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1E6" w:rsidRDefault="002E71E6" w:rsidP="002E71E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7" o:title=""/>
          </v:shape>
          <o:OLEObject Type="Embed" ProgID="Presentations.Drawing.13" ShapeID="_x0000_i1025" DrawAspect="Content" ObjectID="_1518589787" r:id="rId8"/>
        </w:object>
      </w:r>
      <w:r>
        <w:t xml:space="preserve"> </w:t>
      </w:r>
      <w:r>
        <w:ptab w:relativeTo="margin" w:alignment="right" w:leader="none"/>
      </w:r>
    </w:p>
    <w:p w:rsidR="002E71E6" w:rsidRDefault="002E71E6" w:rsidP="002E71E6">
      <w:pPr>
        <w:pStyle w:val="Header"/>
      </w:pPr>
    </w:p>
    <w:p w:rsidR="002E71E6" w:rsidRPr="001E12E2" w:rsidRDefault="002E71E6" w:rsidP="002E71E6">
      <w:pPr>
        <w:jc w:val="center"/>
        <w:rPr>
          <w:b/>
        </w:rPr>
      </w:pPr>
      <w:r w:rsidRPr="001E12E2">
        <w:rPr>
          <w:b/>
        </w:rPr>
        <w:t>COUR SUPRÊME DU CANADA</w:t>
      </w:r>
    </w:p>
    <w:p w:rsidR="002E71E6" w:rsidRDefault="002E71E6" w:rsidP="002E71E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E71E6" w:rsidRPr="001E12E2" w:rsidTr="00D03FA2">
        <w:trPr>
          <w:cantSplit/>
        </w:trPr>
        <w:tc>
          <w:tcPr>
            <w:tcW w:w="6768" w:type="dxa"/>
          </w:tcPr>
          <w:p w:rsidR="002E71E6" w:rsidRPr="001E12E2" w:rsidRDefault="002E71E6" w:rsidP="008317A2">
            <w:r>
              <w:rPr>
                <w:b/>
                <w:smallCaps/>
              </w:rPr>
              <w:t>Référence :</w:t>
            </w:r>
            <w:r w:rsidRPr="001E12E2">
              <w:t xml:space="preserve"> </w:t>
            </w:r>
            <w:r w:rsidRPr="00126089">
              <w:t xml:space="preserve">Goodwin </w:t>
            </w:r>
            <w:r w:rsidRPr="00126089">
              <w:rPr>
                <w:i/>
              </w:rPr>
              <w:t>c.</w:t>
            </w:r>
            <w:r w:rsidRPr="00126089">
              <w:t xml:space="preserve"> Colombie-Britannique (Superintendent of Motor Vehicles)</w:t>
            </w:r>
            <w:r>
              <w:t>, 2015 CSC 46</w:t>
            </w:r>
            <w:r w:rsidR="00015A0A">
              <w:rPr>
                <w:lang w:val="en-US"/>
              </w:rPr>
              <w:t xml:space="preserve">, [2015] </w:t>
            </w:r>
            <w:r w:rsidR="008317A2">
              <w:rPr>
                <w:lang w:val="en-US"/>
              </w:rPr>
              <w:t>3</w:t>
            </w:r>
            <w:bookmarkStart w:id="0" w:name="_GoBack"/>
            <w:bookmarkEnd w:id="0"/>
            <w:r w:rsidR="00015A0A">
              <w:rPr>
                <w:lang w:val="en-US"/>
              </w:rPr>
              <w:t xml:space="preserve"> R.C.S. 250</w:t>
            </w:r>
          </w:p>
        </w:tc>
        <w:tc>
          <w:tcPr>
            <w:tcW w:w="2808" w:type="dxa"/>
          </w:tcPr>
          <w:p w:rsidR="002E71E6" w:rsidRPr="001E12E2" w:rsidRDefault="002E71E6" w:rsidP="00D03FA2">
            <w:r w:rsidRPr="001E12E2">
              <w:rPr>
                <w:b/>
                <w:smallCaps/>
              </w:rPr>
              <w:t>Date</w:t>
            </w:r>
            <w:r>
              <w:rPr>
                <w:b/>
                <w:smallCaps/>
              </w:rPr>
              <w:t> :</w:t>
            </w:r>
            <w:r w:rsidRPr="001E12E2">
              <w:t xml:space="preserve"> </w:t>
            </w:r>
            <w:r>
              <w:t>20151016</w:t>
            </w:r>
          </w:p>
          <w:p w:rsidR="002E71E6" w:rsidRPr="001E12E2" w:rsidRDefault="002E71E6" w:rsidP="00D03FA2">
            <w:r w:rsidRPr="001E12E2">
              <w:rPr>
                <w:b/>
                <w:smallCaps/>
              </w:rPr>
              <w:t>Do</w:t>
            </w:r>
            <w:r>
              <w:rPr>
                <w:b/>
                <w:smallCaps/>
              </w:rPr>
              <w:t>ssier :</w:t>
            </w:r>
            <w:r w:rsidRPr="001E12E2">
              <w:t xml:space="preserve"> </w:t>
            </w:r>
            <w:r>
              <w:t>35864</w:t>
            </w:r>
          </w:p>
        </w:tc>
      </w:tr>
    </w:tbl>
    <w:p w:rsidR="002E71E6" w:rsidRPr="001E12E2" w:rsidRDefault="002E71E6" w:rsidP="002E71E6"/>
    <w:p w:rsidR="002E71E6" w:rsidRDefault="002E71E6" w:rsidP="002E71E6">
      <w:pPr>
        <w:pStyle w:val="SCCLsocPrefix"/>
      </w:pPr>
      <w:r>
        <w:t>Entre :</w:t>
      </w:r>
    </w:p>
    <w:p w:rsidR="002E71E6" w:rsidRDefault="002E71E6" w:rsidP="002E71E6">
      <w:pPr>
        <w:pStyle w:val="SCCLsocParty"/>
        <w:jc w:val="center"/>
      </w:pPr>
      <w:r>
        <w:t>Richard James Goodwin</w:t>
      </w:r>
    </w:p>
    <w:p w:rsidR="002E71E6" w:rsidRDefault="002E71E6" w:rsidP="002E71E6">
      <w:pPr>
        <w:jc w:val="center"/>
      </w:pPr>
      <w:r>
        <w:t>Appelant</w:t>
      </w:r>
    </w:p>
    <w:p w:rsidR="002E71E6" w:rsidRPr="002E71E6" w:rsidRDefault="002E71E6" w:rsidP="002E71E6">
      <w:pPr>
        <w:pStyle w:val="SCCLsocVersus"/>
        <w:spacing w:after="0"/>
        <w:jc w:val="center"/>
        <w:rPr>
          <w:i w:val="0"/>
        </w:rPr>
      </w:pPr>
      <w:r w:rsidRPr="002E71E6">
        <w:rPr>
          <w:i w:val="0"/>
        </w:rPr>
        <w:t>et</w:t>
      </w:r>
    </w:p>
    <w:p w:rsidR="002E71E6" w:rsidRDefault="002E71E6" w:rsidP="002E71E6">
      <w:pPr>
        <w:pStyle w:val="SCCLsocParty"/>
        <w:jc w:val="center"/>
      </w:pPr>
      <w:r>
        <w:t>Colombie-Britannique (Superintendent of Motor Vehicles) et</w:t>
      </w:r>
    </w:p>
    <w:p w:rsidR="002E71E6" w:rsidRPr="002E71E6" w:rsidRDefault="002E71E6" w:rsidP="002E71E6">
      <w:pPr>
        <w:pStyle w:val="SCCLsocParty"/>
        <w:jc w:val="center"/>
        <w:rPr>
          <w:lang w:val="fr-CA"/>
        </w:rPr>
      </w:pPr>
      <w:r w:rsidRPr="002E71E6">
        <w:rPr>
          <w:lang w:val="fr-CA"/>
        </w:rPr>
        <w:t>procureur général de la Colombie-Britannique</w:t>
      </w:r>
    </w:p>
    <w:p w:rsidR="002E71E6" w:rsidRDefault="002E71E6" w:rsidP="002E71E6">
      <w:pPr>
        <w:jc w:val="center"/>
        <w:rPr>
          <w:lang w:val="fr-CA"/>
        </w:rPr>
      </w:pPr>
      <w:r w:rsidRPr="002E71E6">
        <w:rPr>
          <w:lang w:val="fr-CA"/>
        </w:rPr>
        <w:t>Intimés</w:t>
      </w:r>
    </w:p>
    <w:p w:rsidR="0003473B" w:rsidRPr="002E71E6" w:rsidRDefault="0003473B" w:rsidP="002E71E6">
      <w:pPr>
        <w:jc w:val="center"/>
        <w:rPr>
          <w:lang w:val="fr-CA"/>
        </w:rPr>
      </w:pPr>
    </w:p>
    <w:p w:rsidR="002E71E6" w:rsidRDefault="002E71E6" w:rsidP="0003473B">
      <w:pPr>
        <w:pStyle w:val="SCCLsocSubfileSeparator"/>
        <w:spacing w:after="0"/>
        <w:rPr>
          <w:b/>
          <w:smallCaps/>
          <w:lang w:val="fr-CA"/>
        </w:rPr>
      </w:pPr>
      <w:r w:rsidRPr="0003473B">
        <w:rPr>
          <w:b/>
          <w:smallCaps/>
          <w:lang w:val="fr-CA"/>
        </w:rPr>
        <w:t>Et entre :</w:t>
      </w:r>
    </w:p>
    <w:p w:rsidR="002E71E6" w:rsidRPr="002E71E6" w:rsidRDefault="002E71E6" w:rsidP="002E71E6">
      <w:pPr>
        <w:pStyle w:val="SCCLsocParty"/>
        <w:jc w:val="center"/>
        <w:rPr>
          <w:lang w:val="fr-CA"/>
        </w:rPr>
      </w:pPr>
      <w:r w:rsidRPr="002E71E6">
        <w:rPr>
          <w:lang w:val="fr-CA"/>
        </w:rPr>
        <w:t>Colombie-Britannique (Superintendent of Motor Vehicles) et</w:t>
      </w:r>
    </w:p>
    <w:p w:rsidR="002E71E6" w:rsidRPr="002E71E6" w:rsidRDefault="002E71E6" w:rsidP="002E71E6">
      <w:pPr>
        <w:pStyle w:val="SCCLsocParty"/>
        <w:jc w:val="center"/>
        <w:rPr>
          <w:lang w:val="fr-CA"/>
        </w:rPr>
      </w:pPr>
      <w:r w:rsidRPr="002E71E6">
        <w:rPr>
          <w:lang w:val="fr-CA"/>
        </w:rPr>
        <w:t>procureur général de la Colombie-Britannique</w:t>
      </w:r>
    </w:p>
    <w:p w:rsidR="002E71E6" w:rsidRPr="002E71E6" w:rsidRDefault="002E71E6" w:rsidP="002E71E6">
      <w:pPr>
        <w:jc w:val="center"/>
        <w:rPr>
          <w:lang w:val="fr-CA"/>
        </w:rPr>
      </w:pPr>
      <w:r w:rsidRPr="002E71E6">
        <w:rPr>
          <w:lang w:val="fr-CA"/>
        </w:rPr>
        <w:t>Appelants</w:t>
      </w:r>
    </w:p>
    <w:p w:rsidR="002E71E6" w:rsidRPr="002E71E6" w:rsidRDefault="002E71E6" w:rsidP="002E71E6">
      <w:pPr>
        <w:pStyle w:val="SCCLsocVersus"/>
        <w:spacing w:after="0"/>
        <w:jc w:val="center"/>
        <w:rPr>
          <w:i w:val="0"/>
          <w:lang w:val="fr-CA"/>
        </w:rPr>
      </w:pPr>
      <w:r w:rsidRPr="002E71E6">
        <w:rPr>
          <w:i w:val="0"/>
          <w:lang w:val="fr-CA"/>
        </w:rPr>
        <w:t>et</w:t>
      </w:r>
    </w:p>
    <w:p w:rsidR="002E71E6" w:rsidRPr="002E71E6" w:rsidRDefault="002E71E6" w:rsidP="002E71E6">
      <w:pPr>
        <w:pStyle w:val="SCCLsocParty"/>
        <w:jc w:val="center"/>
        <w:rPr>
          <w:lang w:val="fr-CA"/>
        </w:rPr>
      </w:pPr>
      <w:r w:rsidRPr="002E71E6">
        <w:rPr>
          <w:lang w:val="fr-CA"/>
        </w:rPr>
        <w:t>Jamie Allen Chisholm</w:t>
      </w:r>
    </w:p>
    <w:p w:rsidR="002E71E6" w:rsidRPr="002E71E6" w:rsidRDefault="002E71E6" w:rsidP="002E71E6">
      <w:pPr>
        <w:jc w:val="center"/>
        <w:rPr>
          <w:lang w:val="fr-CA"/>
        </w:rPr>
      </w:pPr>
      <w:r w:rsidRPr="002E71E6">
        <w:rPr>
          <w:lang w:val="fr-CA"/>
        </w:rPr>
        <w:t>Intimé</w:t>
      </w:r>
    </w:p>
    <w:p w:rsidR="002E71E6" w:rsidRDefault="002E71E6" w:rsidP="0003473B">
      <w:pPr>
        <w:pStyle w:val="SCCLsocSubfileSeparator"/>
        <w:spacing w:after="0"/>
        <w:rPr>
          <w:b/>
          <w:smallCaps/>
          <w:lang w:val="fr-CA"/>
        </w:rPr>
      </w:pPr>
      <w:r w:rsidRPr="0003473B">
        <w:rPr>
          <w:b/>
          <w:smallCaps/>
          <w:lang w:val="fr-CA"/>
        </w:rPr>
        <w:t>Et entre :</w:t>
      </w:r>
    </w:p>
    <w:p w:rsidR="002E71E6" w:rsidRPr="002E71E6" w:rsidRDefault="002E71E6" w:rsidP="002E71E6">
      <w:pPr>
        <w:pStyle w:val="SCCLsocParty"/>
        <w:jc w:val="center"/>
        <w:rPr>
          <w:lang w:val="fr-CA"/>
        </w:rPr>
      </w:pPr>
      <w:r w:rsidRPr="002E71E6">
        <w:rPr>
          <w:lang w:val="fr-CA"/>
        </w:rPr>
        <w:t>Colombie-Britannique (Superintendent of Motor Vehicles) et</w:t>
      </w:r>
    </w:p>
    <w:p w:rsidR="002E71E6" w:rsidRPr="002E71E6" w:rsidRDefault="002E71E6" w:rsidP="002E71E6">
      <w:pPr>
        <w:pStyle w:val="SCCLsocParty"/>
        <w:jc w:val="center"/>
        <w:rPr>
          <w:lang w:val="fr-CA"/>
        </w:rPr>
      </w:pPr>
      <w:r w:rsidRPr="002E71E6">
        <w:rPr>
          <w:lang w:val="fr-CA"/>
        </w:rPr>
        <w:t>procureur général de la Colombie-Britannique</w:t>
      </w:r>
    </w:p>
    <w:p w:rsidR="002E71E6" w:rsidRPr="002E71E6" w:rsidRDefault="002E71E6" w:rsidP="002E71E6">
      <w:pPr>
        <w:jc w:val="center"/>
        <w:rPr>
          <w:lang w:val="fr-CA"/>
        </w:rPr>
      </w:pPr>
      <w:r w:rsidRPr="002E71E6">
        <w:rPr>
          <w:lang w:val="fr-CA"/>
        </w:rPr>
        <w:t>Appelants</w:t>
      </w:r>
    </w:p>
    <w:p w:rsidR="002E71E6" w:rsidRPr="002E71E6" w:rsidRDefault="002E71E6" w:rsidP="002E71E6">
      <w:pPr>
        <w:pStyle w:val="SCCLsocVersus"/>
        <w:spacing w:after="0"/>
        <w:jc w:val="center"/>
        <w:rPr>
          <w:i w:val="0"/>
          <w:lang w:val="fr-CA"/>
        </w:rPr>
      </w:pPr>
      <w:r w:rsidRPr="002E71E6">
        <w:rPr>
          <w:i w:val="0"/>
          <w:lang w:val="fr-CA"/>
        </w:rPr>
        <w:t>et</w:t>
      </w:r>
    </w:p>
    <w:p w:rsidR="002E71E6" w:rsidRPr="002E71E6" w:rsidRDefault="002E71E6" w:rsidP="002E71E6">
      <w:pPr>
        <w:pStyle w:val="SCCLsocParty"/>
        <w:jc w:val="center"/>
        <w:rPr>
          <w:lang w:val="fr-CA"/>
        </w:rPr>
      </w:pPr>
      <w:r w:rsidRPr="002E71E6">
        <w:rPr>
          <w:lang w:val="fr-CA"/>
        </w:rPr>
        <w:t>Scott Roberts</w:t>
      </w:r>
    </w:p>
    <w:p w:rsidR="002E71E6" w:rsidRPr="002E71E6" w:rsidRDefault="002E71E6" w:rsidP="002E71E6">
      <w:pPr>
        <w:jc w:val="center"/>
        <w:rPr>
          <w:lang w:val="fr-CA"/>
        </w:rPr>
      </w:pPr>
      <w:r w:rsidRPr="002E71E6">
        <w:rPr>
          <w:lang w:val="fr-CA"/>
        </w:rPr>
        <w:t>Intimé</w:t>
      </w:r>
    </w:p>
    <w:p w:rsidR="002E71E6" w:rsidRDefault="002E71E6" w:rsidP="0003473B">
      <w:pPr>
        <w:pStyle w:val="SCCLsocSubfileSeparator"/>
        <w:spacing w:after="0"/>
        <w:rPr>
          <w:b/>
          <w:smallCaps/>
          <w:lang w:val="fr-CA"/>
        </w:rPr>
      </w:pPr>
      <w:r w:rsidRPr="0003473B">
        <w:rPr>
          <w:b/>
          <w:smallCaps/>
          <w:lang w:val="fr-CA"/>
        </w:rPr>
        <w:t>Et entre :</w:t>
      </w:r>
    </w:p>
    <w:p w:rsidR="002E71E6" w:rsidRPr="002E71E6" w:rsidRDefault="002E71E6" w:rsidP="002E71E6">
      <w:pPr>
        <w:pStyle w:val="SCCLsocParty"/>
        <w:jc w:val="center"/>
        <w:rPr>
          <w:lang w:val="fr-CA"/>
        </w:rPr>
      </w:pPr>
      <w:r w:rsidRPr="002E71E6">
        <w:rPr>
          <w:lang w:val="fr-CA"/>
        </w:rPr>
        <w:t>Colombie-Britannique (Superintendent of Motor Vehicles) et</w:t>
      </w:r>
    </w:p>
    <w:p w:rsidR="002E71E6" w:rsidRPr="002E71E6" w:rsidRDefault="002E71E6" w:rsidP="002E71E6">
      <w:pPr>
        <w:pStyle w:val="SCCLsocParty"/>
        <w:jc w:val="center"/>
        <w:rPr>
          <w:lang w:val="fr-CA"/>
        </w:rPr>
      </w:pPr>
      <w:r w:rsidRPr="002E71E6">
        <w:rPr>
          <w:lang w:val="fr-CA"/>
        </w:rPr>
        <w:t>procureur général de la Colombie-Britannique</w:t>
      </w:r>
    </w:p>
    <w:p w:rsidR="002E71E6" w:rsidRPr="002E71E6" w:rsidRDefault="002E71E6" w:rsidP="002E71E6">
      <w:pPr>
        <w:jc w:val="center"/>
        <w:rPr>
          <w:lang w:val="fr-CA"/>
        </w:rPr>
      </w:pPr>
      <w:r w:rsidRPr="002E71E6">
        <w:rPr>
          <w:lang w:val="fr-CA"/>
        </w:rPr>
        <w:t>Appelants</w:t>
      </w:r>
    </w:p>
    <w:p w:rsidR="002E71E6" w:rsidRPr="002E71E6" w:rsidRDefault="002E71E6" w:rsidP="002E71E6">
      <w:pPr>
        <w:pStyle w:val="SCCLsocVersus"/>
        <w:spacing w:after="0"/>
        <w:jc w:val="center"/>
        <w:rPr>
          <w:i w:val="0"/>
          <w:lang w:val="fr-CA"/>
        </w:rPr>
      </w:pPr>
      <w:r w:rsidRPr="002E71E6">
        <w:rPr>
          <w:i w:val="0"/>
          <w:lang w:val="fr-CA"/>
        </w:rPr>
        <w:t>et</w:t>
      </w:r>
    </w:p>
    <w:p w:rsidR="002E71E6" w:rsidRPr="002E71E6" w:rsidRDefault="002E71E6" w:rsidP="002E71E6">
      <w:pPr>
        <w:pStyle w:val="SCCLsocParty"/>
        <w:jc w:val="center"/>
        <w:rPr>
          <w:lang w:val="fr-CA"/>
        </w:rPr>
      </w:pPr>
      <w:r w:rsidRPr="002E71E6">
        <w:rPr>
          <w:lang w:val="fr-CA"/>
        </w:rPr>
        <w:t>Carol Marion Beam</w:t>
      </w:r>
    </w:p>
    <w:p w:rsidR="002E71E6" w:rsidRPr="002E71E6" w:rsidRDefault="002E71E6" w:rsidP="002E71E6">
      <w:pPr>
        <w:jc w:val="center"/>
        <w:rPr>
          <w:lang w:val="fr-CA"/>
        </w:rPr>
      </w:pPr>
      <w:r w:rsidRPr="002E71E6">
        <w:rPr>
          <w:lang w:val="fr-CA"/>
        </w:rPr>
        <w:t>Intimée</w:t>
      </w:r>
    </w:p>
    <w:p w:rsidR="002E71E6" w:rsidRPr="0003473B" w:rsidRDefault="002E71E6" w:rsidP="0003473B">
      <w:pPr>
        <w:pStyle w:val="SCCLsocSubfileSeparator"/>
        <w:spacing w:after="0"/>
        <w:rPr>
          <w:b/>
          <w:smallCaps/>
          <w:lang w:val="fr-CA"/>
        </w:rPr>
      </w:pPr>
      <w:r w:rsidRPr="0003473B">
        <w:rPr>
          <w:b/>
          <w:smallCaps/>
          <w:lang w:val="fr-CA"/>
        </w:rPr>
        <w:t>Et entre :</w:t>
      </w:r>
    </w:p>
    <w:p w:rsidR="002E71E6" w:rsidRPr="002E71E6" w:rsidRDefault="002E71E6" w:rsidP="002E71E6">
      <w:pPr>
        <w:pStyle w:val="SCCLsocParty"/>
        <w:jc w:val="center"/>
        <w:rPr>
          <w:lang w:val="fr-CA"/>
        </w:rPr>
      </w:pPr>
      <w:r w:rsidRPr="002E71E6">
        <w:rPr>
          <w:lang w:val="fr-CA"/>
        </w:rPr>
        <w:t>Colombie-Britannique (Superintendent of Motor Vehicles) et</w:t>
      </w:r>
    </w:p>
    <w:p w:rsidR="002E71E6" w:rsidRPr="002E71E6" w:rsidRDefault="002E71E6" w:rsidP="002E71E6">
      <w:pPr>
        <w:pStyle w:val="SCCLsocParty"/>
        <w:jc w:val="center"/>
        <w:rPr>
          <w:lang w:val="fr-CA"/>
        </w:rPr>
      </w:pPr>
      <w:r w:rsidRPr="002E71E6">
        <w:rPr>
          <w:lang w:val="fr-CA"/>
        </w:rPr>
        <w:t>procureur général de la Colombie-Britannique</w:t>
      </w:r>
    </w:p>
    <w:p w:rsidR="002E71E6" w:rsidRPr="002E71E6" w:rsidRDefault="002E71E6" w:rsidP="002E71E6">
      <w:pPr>
        <w:jc w:val="center"/>
        <w:rPr>
          <w:lang w:val="fr-CA"/>
        </w:rPr>
      </w:pPr>
      <w:r w:rsidRPr="002E71E6">
        <w:rPr>
          <w:lang w:val="fr-CA"/>
        </w:rPr>
        <w:t>Appelants</w:t>
      </w:r>
    </w:p>
    <w:p w:rsidR="002E71E6" w:rsidRPr="002E71E6" w:rsidRDefault="002E71E6" w:rsidP="002E71E6">
      <w:pPr>
        <w:pStyle w:val="SCCLsocVersus"/>
        <w:spacing w:after="0"/>
        <w:jc w:val="center"/>
        <w:rPr>
          <w:i w:val="0"/>
          <w:lang w:val="fr-CA"/>
        </w:rPr>
      </w:pPr>
      <w:r w:rsidRPr="002E71E6">
        <w:rPr>
          <w:i w:val="0"/>
          <w:lang w:val="fr-CA"/>
        </w:rPr>
        <w:t>et</w:t>
      </w:r>
    </w:p>
    <w:p w:rsidR="002E71E6" w:rsidRPr="002E71E6" w:rsidRDefault="002E71E6" w:rsidP="002E71E6">
      <w:pPr>
        <w:pStyle w:val="SCCLsocParty"/>
        <w:jc w:val="center"/>
        <w:rPr>
          <w:lang w:val="fr-CA"/>
        </w:rPr>
      </w:pPr>
      <w:r w:rsidRPr="002E71E6">
        <w:rPr>
          <w:lang w:val="fr-CA"/>
        </w:rPr>
        <w:t>Richard James Goodwin</w:t>
      </w:r>
    </w:p>
    <w:p w:rsidR="002E71E6" w:rsidRPr="002E71E6" w:rsidRDefault="002E71E6" w:rsidP="002E71E6">
      <w:pPr>
        <w:jc w:val="center"/>
        <w:rPr>
          <w:lang w:val="fr-CA"/>
        </w:rPr>
      </w:pPr>
      <w:r w:rsidRPr="002E71E6">
        <w:rPr>
          <w:lang w:val="fr-CA"/>
        </w:rPr>
        <w:t>Intimé</w:t>
      </w:r>
    </w:p>
    <w:p w:rsidR="002E71E6" w:rsidRPr="002E71E6" w:rsidRDefault="002E71E6" w:rsidP="002E71E6">
      <w:pPr>
        <w:pStyle w:val="SCCLsocOtherPartySeparator"/>
        <w:spacing w:after="0"/>
        <w:jc w:val="center"/>
        <w:rPr>
          <w:lang w:val="fr-CA"/>
        </w:rPr>
      </w:pPr>
      <w:r w:rsidRPr="002E71E6">
        <w:rPr>
          <w:lang w:val="fr-CA"/>
        </w:rPr>
        <w:lastRenderedPageBreak/>
        <w:t>- et -</w:t>
      </w:r>
    </w:p>
    <w:p w:rsidR="002E71E6" w:rsidRPr="002E71E6" w:rsidRDefault="002E71E6" w:rsidP="002E71E6">
      <w:pPr>
        <w:pStyle w:val="SCCLsocParty"/>
        <w:jc w:val="center"/>
        <w:rPr>
          <w:lang w:val="fr-CA"/>
        </w:rPr>
      </w:pPr>
      <w:r w:rsidRPr="002E71E6">
        <w:rPr>
          <w:lang w:val="fr-CA"/>
        </w:rPr>
        <w:t>Procureur général du Canada, procureur général de l’Ontario, procureure générale du Québec, procureur général du Manitoba, procureur général de la Saskatchewan, procureur général de l’Alberta, Association des libertés civiles de la Colombie</w:t>
      </w:r>
      <w:r w:rsidRPr="002E71E6">
        <w:rPr>
          <w:lang w:val="fr-CA"/>
        </w:rPr>
        <w:noBreakHyphen/>
        <w:t>Britannique, Bureau d’assurance du Canada, Criminal Trial Lawyers’ Association (Alberta), Criminal Defence Lawyers Association (Calgary), Criminal Lawyers’ Association of Ontario, Alberta Registrar of Motor Vehicle Services et Les mères contre l’alcool au volant Canada</w:t>
      </w:r>
    </w:p>
    <w:p w:rsidR="002E71E6" w:rsidRPr="002E71E6" w:rsidRDefault="002E71E6" w:rsidP="002E71E6">
      <w:pPr>
        <w:jc w:val="center"/>
        <w:rPr>
          <w:lang w:val="fr-CA"/>
        </w:rPr>
      </w:pPr>
      <w:r w:rsidRPr="002E71E6">
        <w:rPr>
          <w:lang w:val="fr-CA"/>
        </w:rPr>
        <w:t>Intervenants</w:t>
      </w:r>
      <w:r w:rsidRPr="002E71E6">
        <w:rPr>
          <w:lang w:val="fr-CA"/>
        </w:rPr>
        <w:br/>
      </w:r>
    </w:p>
    <w:p w:rsidR="002E71E6" w:rsidRPr="002E71E6" w:rsidRDefault="002E71E6" w:rsidP="002E71E6">
      <w:pPr>
        <w:jc w:val="center"/>
        <w:rPr>
          <w:lang w:val="fr-CA"/>
        </w:rPr>
      </w:pPr>
    </w:p>
    <w:p w:rsidR="002E71E6" w:rsidRPr="002E71E6" w:rsidRDefault="002E71E6" w:rsidP="002E71E6">
      <w:pPr>
        <w:jc w:val="center"/>
        <w:rPr>
          <w:b/>
          <w:smallCaps/>
          <w:lang w:val="fr-CA"/>
        </w:rPr>
      </w:pPr>
      <w:r w:rsidRPr="002E71E6">
        <w:rPr>
          <w:b/>
          <w:smallCaps/>
          <w:lang w:val="fr-CA"/>
        </w:rPr>
        <w:t>Traduction française officielle</w:t>
      </w:r>
    </w:p>
    <w:p w:rsidR="002E71E6" w:rsidRPr="002E71E6" w:rsidRDefault="002E71E6" w:rsidP="002E71E6">
      <w:pPr>
        <w:jc w:val="center"/>
        <w:rPr>
          <w:lang w:val="fr-CA"/>
        </w:rPr>
      </w:pPr>
    </w:p>
    <w:p w:rsidR="002E71E6" w:rsidRPr="002E71E6" w:rsidRDefault="002E71E6" w:rsidP="002E71E6">
      <w:pPr>
        <w:rPr>
          <w:lang w:val="fr-CA"/>
        </w:rPr>
      </w:pPr>
      <w:r w:rsidRPr="002E71E6">
        <w:rPr>
          <w:b/>
          <w:smallCaps/>
          <w:lang w:val="fr-CA"/>
        </w:rPr>
        <w:t>Coram :</w:t>
      </w:r>
      <w:r w:rsidRPr="002E71E6">
        <w:rPr>
          <w:lang w:val="fr-CA"/>
        </w:rPr>
        <w:t xml:space="preserve"> La juge en chef McLachlin et les juges Cromwell, Moldaver, Karakatsanis, Wagner, Gascon et Côté</w:t>
      </w:r>
    </w:p>
    <w:p w:rsidR="002E71E6" w:rsidRPr="002E71E6" w:rsidRDefault="002E71E6" w:rsidP="002E71E6">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71E6" w:rsidRPr="0003473B" w:rsidTr="00D03FA2">
        <w:trPr>
          <w:cantSplit/>
        </w:trPr>
        <w:tc>
          <w:tcPr>
            <w:tcW w:w="3618" w:type="dxa"/>
          </w:tcPr>
          <w:p w:rsidR="002E71E6" w:rsidRPr="002E71E6" w:rsidRDefault="002E71E6" w:rsidP="00D03FA2">
            <w:pPr>
              <w:rPr>
                <w:b/>
                <w:smallCaps/>
                <w:lang w:val="fr-CA"/>
              </w:rPr>
            </w:pPr>
            <w:r w:rsidRPr="002E71E6">
              <w:rPr>
                <w:b/>
                <w:smallCaps/>
                <w:lang w:val="fr-CA"/>
              </w:rPr>
              <w:t>Motifs de jugement :</w:t>
            </w:r>
          </w:p>
          <w:p w:rsidR="002E71E6" w:rsidRPr="002E71E6" w:rsidRDefault="002E71E6" w:rsidP="00D03FA2">
            <w:pPr>
              <w:rPr>
                <w:lang w:val="fr-CA"/>
              </w:rPr>
            </w:pPr>
            <w:r w:rsidRPr="002E71E6">
              <w:rPr>
                <w:lang w:val="fr-CA"/>
              </w:rPr>
              <w:t>(par. 1 à 90)</w:t>
            </w:r>
          </w:p>
        </w:tc>
        <w:tc>
          <w:tcPr>
            <w:tcW w:w="5958" w:type="dxa"/>
          </w:tcPr>
          <w:p w:rsidR="002E71E6" w:rsidRPr="002E71E6" w:rsidRDefault="002E71E6" w:rsidP="00D03FA2">
            <w:pPr>
              <w:rPr>
                <w:lang w:val="fr-CA"/>
              </w:rPr>
            </w:pPr>
            <w:r w:rsidRPr="002E71E6">
              <w:rPr>
                <w:lang w:val="fr-CA"/>
              </w:rPr>
              <w:t>La juge Karakatsanis (avec l’accord des juges Cromwell, Moldaver, Wagner, Gascon et Côté)</w:t>
            </w:r>
          </w:p>
        </w:tc>
      </w:tr>
      <w:tr w:rsidR="002E71E6" w:rsidRPr="0003473B" w:rsidTr="00D03FA2">
        <w:trPr>
          <w:cantSplit/>
        </w:trPr>
        <w:tc>
          <w:tcPr>
            <w:tcW w:w="3618" w:type="dxa"/>
          </w:tcPr>
          <w:p w:rsidR="002E71E6" w:rsidRPr="002E71E6" w:rsidRDefault="002E71E6" w:rsidP="00D03FA2">
            <w:pPr>
              <w:rPr>
                <w:b/>
                <w:smallCaps/>
                <w:lang w:val="fr-CA"/>
              </w:rPr>
            </w:pPr>
            <w:r w:rsidRPr="002E71E6">
              <w:rPr>
                <w:b/>
                <w:smallCaps/>
                <w:lang w:val="fr-CA"/>
              </w:rPr>
              <w:t>Motifs dissidents en partie :</w:t>
            </w:r>
          </w:p>
          <w:p w:rsidR="002E71E6" w:rsidRPr="002E71E6" w:rsidRDefault="002E71E6" w:rsidP="00D03FA2">
            <w:pPr>
              <w:rPr>
                <w:lang w:val="fr-CA"/>
              </w:rPr>
            </w:pPr>
            <w:r w:rsidRPr="002E71E6">
              <w:rPr>
                <w:lang w:val="fr-CA"/>
              </w:rPr>
              <w:t>(par. 91 à 110)</w:t>
            </w:r>
          </w:p>
        </w:tc>
        <w:tc>
          <w:tcPr>
            <w:tcW w:w="5958" w:type="dxa"/>
          </w:tcPr>
          <w:p w:rsidR="002E71E6" w:rsidRPr="002E71E6" w:rsidRDefault="002E71E6" w:rsidP="00D03FA2">
            <w:pPr>
              <w:rPr>
                <w:lang w:val="fr-CA"/>
              </w:rPr>
            </w:pPr>
            <w:r w:rsidRPr="002E71E6">
              <w:rPr>
                <w:lang w:val="fr-CA"/>
              </w:rPr>
              <w:t>La juge en chef McLachlin</w:t>
            </w:r>
          </w:p>
        </w:tc>
      </w:tr>
    </w:tbl>
    <w:p w:rsidR="002E71E6" w:rsidRPr="002E71E6" w:rsidRDefault="002E71E6" w:rsidP="002E71E6">
      <w:pPr>
        <w:rPr>
          <w:lang w:val="fr-CA"/>
        </w:rPr>
      </w:pPr>
    </w:p>
    <w:p w:rsidR="002E71E6" w:rsidRPr="002E71E6" w:rsidRDefault="002E71E6" w:rsidP="002E71E6">
      <w:pPr>
        <w:rPr>
          <w:lang w:val="fr-CA"/>
        </w:rPr>
      </w:pPr>
      <w:r>
        <w:rPr>
          <w:noProof/>
        </w:rPr>
        <mc:AlternateContent>
          <mc:Choice Requires="wps">
            <w:drawing>
              <wp:anchor distT="0" distB="0" distL="114300" distR="114300" simplePos="0" relativeHeight="251659264" behindDoc="0" locked="0" layoutInCell="1" allowOverlap="1" wp14:anchorId="00CD745F" wp14:editId="64F6096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8960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E71E6" w:rsidRPr="002E71E6" w:rsidRDefault="002E71E6" w:rsidP="00926B45">
      <w:pPr>
        <w:widowControl w:val="0"/>
        <w:spacing w:after="720"/>
        <w:jc w:val="both"/>
        <w:rPr>
          <w:rStyle w:val="SCCAppellantForRunningHeadChar"/>
          <w:smallCaps w:val="0"/>
          <w:lang w:val="fr-CA"/>
        </w:rPr>
      </w:pPr>
    </w:p>
    <w:p w:rsidR="004D7D95" w:rsidRPr="003B7C99" w:rsidRDefault="003B7C99" w:rsidP="00926B45">
      <w:pPr>
        <w:widowControl w:val="0"/>
        <w:spacing w:after="720"/>
        <w:jc w:val="both"/>
        <w:rPr>
          <w:smallCaps/>
          <w:lang w:val="en-US"/>
        </w:rPr>
      </w:pPr>
      <w:r>
        <w:rPr>
          <w:rStyle w:val="SCCAppellantForRunningHeadChar"/>
          <w:smallCaps w:val="0"/>
          <w:lang w:val="en-US"/>
        </w:rPr>
        <w:t>G</w:t>
      </w:r>
      <w:r w:rsidR="004D7D95" w:rsidRPr="003B7C99">
        <w:rPr>
          <w:rStyle w:val="SCCAppellantForRunningHeadChar"/>
          <w:smallCaps w:val="0"/>
          <w:lang w:val="en-US"/>
        </w:rPr>
        <w:t>oodwin</w:t>
      </w:r>
      <w:r w:rsidR="004D7D95" w:rsidRPr="003B7C99">
        <w:rPr>
          <w:smallCaps/>
          <w:lang w:val="en-US"/>
        </w:rPr>
        <w:t xml:space="preserve"> </w:t>
      </w:r>
      <w:r w:rsidR="004D7D95" w:rsidRPr="003B7C99">
        <w:rPr>
          <w:i/>
          <w:lang w:val="en-US"/>
        </w:rPr>
        <w:t>c.</w:t>
      </w:r>
      <w:r w:rsidRPr="003B7C99">
        <w:rPr>
          <w:lang w:val="en-US"/>
        </w:rPr>
        <w:t xml:space="preserve"> Colombie</w:t>
      </w:r>
      <w:r w:rsidR="00AE5E90" w:rsidRPr="003B7C99">
        <w:rPr>
          <w:rStyle w:val="SCCRespondentForRunningHeadChar"/>
          <w:smallCaps w:val="0"/>
          <w:lang w:val="en-US"/>
        </w:rPr>
        <w:noBreakHyphen/>
      </w:r>
      <w:r>
        <w:rPr>
          <w:rStyle w:val="SCCRespondentForRunningHeadChar"/>
          <w:smallCaps w:val="0"/>
          <w:lang w:val="en-US"/>
        </w:rPr>
        <w:t>Britannique (S</w:t>
      </w:r>
      <w:r w:rsidR="004D7D95" w:rsidRPr="003B7C99">
        <w:rPr>
          <w:rStyle w:val="SCCRespondentForRunningHeadChar"/>
          <w:smallCaps w:val="0"/>
          <w:lang w:val="en-US"/>
        </w:rPr>
        <w:t>uperintende</w:t>
      </w:r>
      <w:r>
        <w:rPr>
          <w:rStyle w:val="SCCRespondentForRunningHeadChar"/>
          <w:smallCaps w:val="0"/>
          <w:lang w:val="en-US"/>
        </w:rPr>
        <w:t>nt of Motor V</w:t>
      </w:r>
      <w:r w:rsidR="00222DB8" w:rsidRPr="003B7C99">
        <w:rPr>
          <w:rStyle w:val="SCCRespondentForRunningHeadChar"/>
          <w:smallCaps w:val="0"/>
          <w:lang w:val="en-US"/>
        </w:rPr>
        <w:t>ehicles)</w:t>
      </w:r>
      <w:r>
        <w:rPr>
          <w:rStyle w:val="SCCRespondentForRunningHeadChar"/>
          <w:smallCaps w:val="0"/>
          <w:lang w:val="en-US"/>
        </w:rPr>
        <w:t xml:space="preserve">, </w:t>
      </w:r>
      <w:r w:rsidRPr="003B7C99">
        <w:rPr>
          <w:lang w:val="en-US"/>
        </w:rPr>
        <w:t>2015 CSC 46</w:t>
      </w:r>
      <w:r>
        <w:rPr>
          <w:lang w:val="en-US"/>
        </w:rPr>
        <w:t>, [2015] 2 R.C.S. 250</w:t>
      </w:r>
    </w:p>
    <w:p w:rsidR="00883B02" w:rsidRPr="004E75DE" w:rsidRDefault="00222DB8" w:rsidP="00926B45">
      <w:pPr>
        <w:pStyle w:val="SCCLsocLastPartyInRole"/>
        <w:widowControl w:val="0"/>
        <w:rPr>
          <w:lang w:val="fr-CA"/>
        </w:rPr>
      </w:pPr>
      <w:r w:rsidRPr="004E75DE">
        <w:rPr>
          <w:lang w:val="fr-CA"/>
        </w:rPr>
        <w:t>Richard James Goodwin</w:t>
      </w:r>
      <w:r w:rsidRPr="004E75DE">
        <w:rPr>
          <w:rStyle w:val="SCCLsocPartyRole"/>
          <w:lang w:val="fr-CA"/>
        </w:rPr>
        <w:tab/>
        <w:t>Appelant</w:t>
      </w:r>
    </w:p>
    <w:p w:rsidR="00883B02" w:rsidRPr="004E75DE" w:rsidRDefault="00222DB8" w:rsidP="00926B45">
      <w:pPr>
        <w:pStyle w:val="SCCLsocVersus"/>
        <w:widowControl w:val="0"/>
        <w:rPr>
          <w:lang w:val="fr-CA"/>
        </w:rPr>
      </w:pPr>
      <w:r w:rsidRPr="004E75DE">
        <w:rPr>
          <w:lang w:val="fr-CA"/>
        </w:rPr>
        <w:t>c.</w:t>
      </w:r>
    </w:p>
    <w:p w:rsidR="00883B02" w:rsidRPr="004E75DE" w:rsidRDefault="00222DB8" w:rsidP="00926B45">
      <w:pPr>
        <w:pStyle w:val="SCCLsocParty"/>
        <w:widowControl w:val="0"/>
        <w:rPr>
          <w:lang w:val="fr-CA"/>
        </w:rPr>
      </w:pPr>
      <w:r w:rsidRPr="004E75DE">
        <w:rPr>
          <w:lang w:val="fr-CA"/>
        </w:rPr>
        <w:t>Colombie</w:t>
      </w:r>
      <w:r w:rsidR="00AE5E90">
        <w:rPr>
          <w:lang w:val="fr-CA"/>
        </w:rPr>
        <w:noBreakHyphen/>
      </w:r>
      <w:r w:rsidRPr="004E75DE">
        <w:rPr>
          <w:lang w:val="fr-CA"/>
        </w:rPr>
        <w:t>Britannique (Superintendent of Motor Vehicles) et</w:t>
      </w:r>
    </w:p>
    <w:p w:rsidR="00883B02" w:rsidRPr="004E75DE" w:rsidRDefault="00222DB8" w:rsidP="00926B45">
      <w:pPr>
        <w:pStyle w:val="SCCLsocLastPartyInRole"/>
        <w:widowControl w:val="0"/>
        <w:rPr>
          <w:lang w:val="fr-CA"/>
        </w:rPr>
      </w:pPr>
      <w:r w:rsidRPr="004E75DE">
        <w:rPr>
          <w:lang w:val="fr-CA"/>
        </w:rPr>
        <w:t>procureur général de la Colombie</w:t>
      </w:r>
      <w:r w:rsidR="00AE5E90">
        <w:rPr>
          <w:lang w:val="fr-CA"/>
        </w:rPr>
        <w:noBreakHyphen/>
      </w:r>
      <w:r w:rsidRPr="004E75DE">
        <w:rPr>
          <w:lang w:val="fr-CA"/>
        </w:rPr>
        <w:t>Britannique</w:t>
      </w:r>
      <w:r w:rsidRPr="004E75DE">
        <w:rPr>
          <w:rStyle w:val="SCCLsocPartyRole"/>
          <w:lang w:val="fr-CA"/>
        </w:rPr>
        <w:tab/>
        <w:t>Intimés</w:t>
      </w:r>
    </w:p>
    <w:p w:rsidR="00883B02" w:rsidRPr="004E75DE" w:rsidRDefault="00AE5E90" w:rsidP="00926B45">
      <w:pPr>
        <w:pStyle w:val="SCCLsocSubfileSeparator"/>
        <w:widowControl w:val="0"/>
        <w:rPr>
          <w:lang w:val="fr-CA"/>
        </w:rPr>
      </w:pPr>
      <w:r>
        <w:rPr>
          <w:lang w:val="fr-CA"/>
        </w:rPr>
        <w:noBreakHyphen/>
      </w:r>
      <w:r w:rsidR="00222DB8" w:rsidRPr="004E75DE">
        <w:rPr>
          <w:lang w:val="fr-CA"/>
        </w:rPr>
        <w:t xml:space="preserve"> et </w:t>
      </w:r>
      <w:r>
        <w:rPr>
          <w:lang w:val="fr-CA"/>
        </w:rPr>
        <w:noBreakHyphen/>
      </w:r>
    </w:p>
    <w:p w:rsidR="00883B02" w:rsidRPr="004E75DE" w:rsidRDefault="00222DB8" w:rsidP="00926B45">
      <w:pPr>
        <w:pStyle w:val="SCCLsocParty"/>
        <w:widowControl w:val="0"/>
        <w:rPr>
          <w:lang w:val="fr-CA"/>
        </w:rPr>
      </w:pPr>
      <w:r w:rsidRPr="004E75DE">
        <w:rPr>
          <w:lang w:val="fr-CA"/>
        </w:rPr>
        <w:lastRenderedPageBreak/>
        <w:t>Colombie</w:t>
      </w:r>
      <w:r w:rsidR="00AE5E90">
        <w:rPr>
          <w:lang w:val="fr-CA"/>
        </w:rPr>
        <w:noBreakHyphen/>
      </w:r>
      <w:r w:rsidRPr="004E75DE">
        <w:rPr>
          <w:lang w:val="fr-CA"/>
        </w:rPr>
        <w:t>Britannique (Superintendent of Motor Vehicles) et</w:t>
      </w:r>
    </w:p>
    <w:p w:rsidR="00883B02" w:rsidRPr="004E75DE" w:rsidRDefault="00222DB8" w:rsidP="00926B45">
      <w:pPr>
        <w:pStyle w:val="SCCLsocLastPartyInRole"/>
        <w:widowControl w:val="0"/>
        <w:rPr>
          <w:lang w:val="fr-CA"/>
        </w:rPr>
      </w:pPr>
      <w:r w:rsidRPr="004E75DE">
        <w:rPr>
          <w:lang w:val="fr-CA"/>
        </w:rPr>
        <w:t>procureur général de la Colombie</w:t>
      </w:r>
      <w:r w:rsidR="00AE5E90">
        <w:rPr>
          <w:lang w:val="fr-CA"/>
        </w:rPr>
        <w:noBreakHyphen/>
      </w:r>
      <w:r w:rsidRPr="004E75DE">
        <w:rPr>
          <w:lang w:val="fr-CA"/>
        </w:rPr>
        <w:t>Britannique</w:t>
      </w:r>
      <w:r w:rsidRPr="004E75DE">
        <w:rPr>
          <w:rStyle w:val="SCCLsocPartyRole"/>
          <w:lang w:val="fr-CA"/>
        </w:rPr>
        <w:tab/>
        <w:t>Appelants</w:t>
      </w:r>
    </w:p>
    <w:p w:rsidR="00883B02" w:rsidRPr="004E75DE" w:rsidRDefault="00222DB8" w:rsidP="00926B45">
      <w:pPr>
        <w:pStyle w:val="SCCLsocVersus"/>
        <w:widowControl w:val="0"/>
        <w:rPr>
          <w:lang w:val="fr-CA"/>
        </w:rPr>
      </w:pPr>
      <w:r w:rsidRPr="004E75DE">
        <w:rPr>
          <w:lang w:val="fr-CA"/>
        </w:rPr>
        <w:t>c.</w:t>
      </w:r>
    </w:p>
    <w:p w:rsidR="00883B02" w:rsidRPr="004E75DE" w:rsidRDefault="00222DB8" w:rsidP="00926B45">
      <w:pPr>
        <w:pStyle w:val="SCCLsocLastPartyInRole"/>
        <w:widowControl w:val="0"/>
        <w:rPr>
          <w:lang w:val="fr-CA"/>
        </w:rPr>
      </w:pPr>
      <w:r w:rsidRPr="004E75DE">
        <w:rPr>
          <w:lang w:val="fr-CA"/>
        </w:rPr>
        <w:t>Jamie Allen Chisholm</w:t>
      </w:r>
      <w:r w:rsidRPr="004E75DE">
        <w:rPr>
          <w:rStyle w:val="SCCLsocPartyRole"/>
          <w:lang w:val="fr-CA"/>
        </w:rPr>
        <w:tab/>
        <w:t>Intimé</w:t>
      </w:r>
    </w:p>
    <w:p w:rsidR="00883B02" w:rsidRPr="004E75DE" w:rsidRDefault="00AE5E90" w:rsidP="00926B45">
      <w:pPr>
        <w:pStyle w:val="SCCLsocSubfileSeparator"/>
        <w:widowControl w:val="0"/>
        <w:rPr>
          <w:lang w:val="fr-CA"/>
        </w:rPr>
      </w:pPr>
      <w:r>
        <w:rPr>
          <w:lang w:val="fr-CA"/>
        </w:rPr>
        <w:noBreakHyphen/>
      </w:r>
      <w:r w:rsidR="00222DB8" w:rsidRPr="004E75DE">
        <w:rPr>
          <w:lang w:val="fr-CA"/>
        </w:rPr>
        <w:t xml:space="preserve"> et </w:t>
      </w:r>
      <w:r>
        <w:rPr>
          <w:lang w:val="fr-CA"/>
        </w:rPr>
        <w:noBreakHyphen/>
      </w:r>
    </w:p>
    <w:p w:rsidR="00883B02" w:rsidRPr="004E75DE" w:rsidRDefault="00222DB8" w:rsidP="00926B45">
      <w:pPr>
        <w:pStyle w:val="SCCLsocParty"/>
        <w:widowControl w:val="0"/>
        <w:rPr>
          <w:lang w:val="fr-CA"/>
        </w:rPr>
      </w:pPr>
      <w:r w:rsidRPr="004E75DE">
        <w:rPr>
          <w:lang w:val="fr-CA"/>
        </w:rPr>
        <w:t>Colombie</w:t>
      </w:r>
      <w:r w:rsidR="00AE5E90">
        <w:rPr>
          <w:lang w:val="fr-CA"/>
        </w:rPr>
        <w:noBreakHyphen/>
      </w:r>
      <w:r w:rsidRPr="004E75DE">
        <w:rPr>
          <w:lang w:val="fr-CA"/>
        </w:rPr>
        <w:t>Britannique (Superintendent of Motor Vehicles) et</w:t>
      </w:r>
    </w:p>
    <w:p w:rsidR="00883B02" w:rsidRPr="004E75DE" w:rsidRDefault="00222DB8" w:rsidP="00926B45">
      <w:pPr>
        <w:pStyle w:val="SCCLsocLastPartyInRole"/>
        <w:widowControl w:val="0"/>
        <w:rPr>
          <w:lang w:val="fr-CA"/>
        </w:rPr>
      </w:pPr>
      <w:r w:rsidRPr="004E75DE">
        <w:rPr>
          <w:lang w:val="fr-CA"/>
        </w:rPr>
        <w:t>procureur général de la Colombie</w:t>
      </w:r>
      <w:r w:rsidR="00AE5E90">
        <w:rPr>
          <w:lang w:val="fr-CA"/>
        </w:rPr>
        <w:noBreakHyphen/>
      </w:r>
      <w:r w:rsidRPr="004E75DE">
        <w:rPr>
          <w:lang w:val="fr-CA"/>
        </w:rPr>
        <w:t>Britannique</w:t>
      </w:r>
      <w:r w:rsidRPr="004E75DE">
        <w:rPr>
          <w:rStyle w:val="SCCLsocPartyRole"/>
          <w:lang w:val="fr-CA"/>
        </w:rPr>
        <w:tab/>
        <w:t>Appelants</w:t>
      </w:r>
    </w:p>
    <w:p w:rsidR="00883B02" w:rsidRPr="004E75DE" w:rsidRDefault="00222DB8" w:rsidP="00926B45">
      <w:pPr>
        <w:pStyle w:val="SCCLsocVersus"/>
        <w:widowControl w:val="0"/>
        <w:rPr>
          <w:lang w:val="fr-CA"/>
        </w:rPr>
      </w:pPr>
      <w:r w:rsidRPr="004E75DE">
        <w:rPr>
          <w:lang w:val="fr-CA"/>
        </w:rPr>
        <w:t>c.</w:t>
      </w:r>
    </w:p>
    <w:p w:rsidR="00883B02" w:rsidRPr="004E75DE" w:rsidRDefault="00222DB8" w:rsidP="00926B45">
      <w:pPr>
        <w:pStyle w:val="SCCLsocLastPartyInRole"/>
        <w:widowControl w:val="0"/>
        <w:rPr>
          <w:lang w:val="fr-CA"/>
        </w:rPr>
      </w:pPr>
      <w:r w:rsidRPr="004E75DE">
        <w:rPr>
          <w:lang w:val="fr-CA"/>
        </w:rPr>
        <w:t>Scott Roberts</w:t>
      </w:r>
      <w:r w:rsidRPr="004E75DE">
        <w:rPr>
          <w:rStyle w:val="SCCLsocPartyRole"/>
          <w:lang w:val="fr-CA"/>
        </w:rPr>
        <w:tab/>
        <w:t>Intimé</w:t>
      </w:r>
    </w:p>
    <w:p w:rsidR="00883B02" w:rsidRPr="004E75DE" w:rsidRDefault="00AE5E90" w:rsidP="00926B45">
      <w:pPr>
        <w:pStyle w:val="SCCLsocSubfileSeparator"/>
        <w:widowControl w:val="0"/>
        <w:rPr>
          <w:lang w:val="fr-CA"/>
        </w:rPr>
      </w:pPr>
      <w:r>
        <w:rPr>
          <w:lang w:val="fr-CA"/>
        </w:rPr>
        <w:noBreakHyphen/>
      </w:r>
      <w:r w:rsidR="00222DB8" w:rsidRPr="004E75DE">
        <w:rPr>
          <w:lang w:val="fr-CA"/>
        </w:rPr>
        <w:t xml:space="preserve"> et </w:t>
      </w:r>
      <w:r>
        <w:rPr>
          <w:lang w:val="fr-CA"/>
        </w:rPr>
        <w:noBreakHyphen/>
      </w:r>
    </w:p>
    <w:p w:rsidR="00883B02" w:rsidRPr="004E75DE" w:rsidRDefault="00222DB8" w:rsidP="00926B45">
      <w:pPr>
        <w:pStyle w:val="SCCLsocParty"/>
        <w:widowControl w:val="0"/>
        <w:rPr>
          <w:lang w:val="fr-CA"/>
        </w:rPr>
      </w:pPr>
      <w:r w:rsidRPr="004E75DE">
        <w:rPr>
          <w:lang w:val="fr-CA"/>
        </w:rPr>
        <w:t>Colombie</w:t>
      </w:r>
      <w:r w:rsidR="00AE5E90">
        <w:rPr>
          <w:lang w:val="fr-CA"/>
        </w:rPr>
        <w:noBreakHyphen/>
      </w:r>
      <w:r w:rsidRPr="004E75DE">
        <w:rPr>
          <w:lang w:val="fr-CA"/>
        </w:rPr>
        <w:t>Britannique (Superintendent of Motor Vehicles) et</w:t>
      </w:r>
    </w:p>
    <w:p w:rsidR="00883B02" w:rsidRPr="004E75DE" w:rsidRDefault="00222DB8" w:rsidP="00926B45">
      <w:pPr>
        <w:pStyle w:val="SCCLsocLastPartyInRole"/>
        <w:widowControl w:val="0"/>
        <w:rPr>
          <w:lang w:val="fr-CA"/>
        </w:rPr>
      </w:pPr>
      <w:r w:rsidRPr="004E75DE">
        <w:rPr>
          <w:lang w:val="fr-CA"/>
        </w:rPr>
        <w:t>procureur général de la Colombie</w:t>
      </w:r>
      <w:r w:rsidR="00AE5E90">
        <w:rPr>
          <w:lang w:val="fr-CA"/>
        </w:rPr>
        <w:noBreakHyphen/>
      </w:r>
      <w:r w:rsidRPr="004E75DE">
        <w:rPr>
          <w:lang w:val="fr-CA"/>
        </w:rPr>
        <w:t>Britannique</w:t>
      </w:r>
      <w:r w:rsidRPr="004E75DE">
        <w:rPr>
          <w:rStyle w:val="SCCLsocPartyRole"/>
          <w:lang w:val="fr-CA"/>
        </w:rPr>
        <w:tab/>
        <w:t>Appelants</w:t>
      </w:r>
    </w:p>
    <w:p w:rsidR="00883B02" w:rsidRPr="004E75DE" w:rsidRDefault="00222DB8" w:rsidP="00926B45">
      <w:pPr>
        <w:pStyle w:val="SCCLsocVersus"/>
        <w:widowControl w:val="0"/>
        <w:rPr>
          <w:lang w:val="fr-CA"/>
        </w:rPr>
      </w:pPr>
      <w:r w:rsidRPr="004E75DE">
        <w:rPr>
          <w:lang w:val="fr-CA"/>
        </w:rPr>
        <w:t>c.</w:t>
      </w:r>
    </w:p>
    <w:p w:rsidR="00883B02" w:rsidRPr="004E75DE" w:rsidRDefault="00222DB8" w:rsidP="00926B45">
      <w:pPr>
        <w:pStyle w:val="SCCLsocLastPartyInRole"/>
        <w:widowControl w:val="0"/>
        <w:rPr>
          <w:lang w:val="fr-CA"/>
        </w:rPr>
      </w:pPr>
      <w:r w:rsidRPr="004E75DE">
        <w:rPr>
          <w:lang w:val="fr-CA"/>
        </w:rPr>
        <w:t>Carol Marion Beam</w:t>
      </w:r>
      <w:r w:rsidRPr="004E75DE">
        <w:rPr>
          <w:rStyle w:val="SCCLsocPartyRole"/>
          <w:lang w:val="fr-CA"/>
        </w:rPr>
        <w:tab/>
        <w:t>Intimée</w:t>
      </w:r>
    </w:p>
    <w:p w:rsidR="00883B02" w:rsidRPr="004E75DE" w:rsidRDefault="00AE5E90" w:rsidP="00926B45">
      <w:pPr>
        <w:pStyle w:val="SCCLsocSubfileSeparator"/>
        <w:widowControl w:val="0"/>
        <w:rPr>
          <w:lang w:val="fr-CA"/>
        </w:rPr>
      </w:pPr>
      <w:r>
        <w:rPr>
          <w:lang w:val="fr-CA"/>
        </w:rPr>
        <w:noBreakHyphen/>
      </w:r>
      <w:r w:rsidR="00222DB8" w:rsidRPr="004E75DE">
        <w:rPr>
          <w:lang w:val="fr-CA"/>
        </w:rPr>
        <w:t xml:space="preserve"> et </w:t>
      </w:r>
      <w:r>
        <w:rPr>
          <w:lang w:val="fr-CA"/>
        </w:rPr>
        <w:noBreakHyphen/>
      </w:r>
    </w:p>
    <w:p w:rsidR="00883B02" w:rsidRPr="004E75DE" w:rsidRDefault="00222DB8" w:rsidP="00926B45">
      <w:pPr>
        <w:pStyle w:val="SCCLsocParty"/>
        <w:widowControl w:val="0"/>
        <w:rPr>
          <w:lang w:val="fr-CA"/>
        </w:rPr>
      </w:pPr>
      <w:r w:rsidRPr="004E75DE">
        <w:rPr>
          <w:lang w:val="fr-CA"/>
        </w:rPr>
        <w:lastRenderedPageBreak/>
        <w:t>Colombie</w:t>
      </w:r>
      <w:r w:rsidR="00AE5E90">
        <w:rPr>
          <w:lang w:val="fr-CA"/>
        </w:rPr>
        <w:noBreakHyphen/>
      </w:r>
      <w:r w:rsidRPr="004E75DE">
        <w:rPr>
          <w:lang w:val="fr-CA"/>
        </w:rPr>
        <w:t>Britannique (Superintendent of Motor Vehicles) et</w:t>
      </w:r>
    </w:p>
    <w:p w:rsidR="00883B02" w:rsidRPr="004E75DE" w:rsidRDefault="00222DB8" w:rsidP="00926B45">
      <w:pPr>
        <w:pStyle w:val="SCCLsocLastPartyInRole"/>
        <w:widowControl w:val="0"/>
        <w:rPr>
          <w:lang w:val="fr-CA"/>
        </w:rPr>
      </w:pPr>
      <w:r w:rsidRPr="004E75DE">
        <w:rPr>
          <w:lang w:val="fr-CA"/>
        </w:rPr>
        <w:t>procureur général de la Colombie</w:t>
      </w:r>
      <w:r w:rsidR="00AE5E90">
        <w:rPr>
          <w:lang w:val="fr-CA"/>
        </w:rPr>
        <w:noBreakHyphen/>
      </w:r>
      <w:r w:rsidRPr="004E75DE">
        <w:rPr>
          <w:lang w:val="fr-CA"/>
        </w:rPr>
        <w:t>Britannique</w:t>
      </w:r>
      <w:r w:rsidRPr="004E75DE">
        <w:rPr>
          <w:rStyle w:val="SCCLsocPartyRole"/>
          <w:lang w:val="fr-CA"/>
        </w:rPr>
        <w:tab/>
        <w:t>Appelants</w:t>
      </w:r>
    </w:p>
    <w:p w:rsidR="00883B02" w:rsidRPr="004E75DE" w:rsidRDefault="00222DB8" w:rsidP="00926B45">
      <w:pPr>
        <w:pStyle w:val="SCCLsocVersus"/>
        <w:widowControl w:val="0"/>
        <w:rPr>
          <w:lang w:val="fr-CA"/>
        </w:rPr>
      </w:pPr>
      <w:r w:rsidRPr="004E75DE">
        <w:rPr>
          <w:lang w:val="fr-CA"/>
        </w:rPr>
        <w:t>c.</w:t>
      </w:r>
    </w:p>
    <w:p w:rsidR="00883B02" w:rsidRPr="004E75DE" w:rsidRDefault="00222DB8" w:rsidP="00926B45">
      <w:pPr>
        <w:pStyle w:val="SCCLsocLastPartyInRole"/>
        <w:widowControl w:val="0"/>
        <w:rPr>
          <w:lang w:val="fr-CA"/>
        </w:rPr>
      </w:pPr>
      <w:r w:rsidRPr="004E75DE">
        <w:rPr>
          <w:lang w:val="fr-CA"/>
        </w:rPr>
        <w:t>Richard James Goodwin</w:t>
      </w:r>
      <w:r w:rsidRPr="004E75DE">
        <w:rPr>
          <w:rStyle w:val="SCCLsocPartyRole"/>
          <w:lang w:val="fr-CA"/>
        </w:rPr>
        <w:tab/>
        <w:t>Intimé</w:t>
      </w:r>
    </w:p>
    <w:p w:rsidR="00883B02" w:rsidRPr="004E75DE" w:rsidRDefault="00222DB8" w:rsidP="00926B45">
      <w:pPr>
        <w:pStyle w:val="SCCLsocOtherPartySeparator"/>
        <w:widowControl w:val="0"/>
        <w:rPr>
          <w:lang w:val="fr-CA"/>
        </w:rPr>
      </w:pPr>
      <w:r w:rsidRPr="004E75DE">
        <w:rPr>
          <w:lang w:val="fr-CA"/>
        </w:rPr>
        <w:t>et</w:t>
      </w:r>
    </w:p>
    <w:p w:rsidR="00883B02" w:rsidRPr="004E75DE" w:rsidRDefault="00222DB8" w:rsidP="00926B45">
      <w:pPr>
        <w:pStyle w:val="SCCLsocParty"/>
        <w:widowControl w:val="0"/>
        <w:rPr>
          <w:lang w:val="fr-CA"/>
        </w:rPr>
      </w:pPr>
      <w:r w:rsidRPr="004E75DE">
        <w:rPr>
          <w:lang w:val="fr-CA"/>
        </w:rPr>
        <w:t>Procureur général du Canada,</w:t>
      </w:r>
    </w:p>
    <w:p w:rsidR="00883B02" w:rsidRPr="004E75DE" w:rsidRDefault="00F00F3F" w:rsidP="00926B45">
      <w:pPr>
        <w:pStyle w:val="SCCLsocParty"/>
        <w:widowControl w:val="0"/>
        <w:rPr>
          <w:lang w:val="fr-CA"/>
        </w:rPr>
      </w:pPr>
      <w:r w:rsidRPr="004E75DE">
        <w:rPr>
          <w:lang w:val="fr-CA"/>
        </w:rPr>
        <w:t>p</w:t>
      </w:r>
      <w:r w:rsidR="00222DB8" w:rsidRPr="004E75DE">
        <w:rPr>
          <w:lang w:val="fr-CA"/>
        </w:rPr>
        <w:t>rocureur général de l</w:t>
      </w:r>
      <w:r w:rsidR="00AE5E90">
        <w:rPr>
          <w:lang w:val="fr-CA"/>
        </w:rPr>
        <w:t>’</w:t>
      </w:r>
      <w:r w:rsidR="00222DB8" w:rsidRPr="004E75DE">
        <w:rPr>
          <w:lang w:val="fr-CA"/>
        </w:rPr>
        <w:t>Ontario,</w:t>
      </w:r>
    </w:p>
    <w:p w:rsidR="00883B02" w:rsidRPr="004E75DE" w:rsidRDefault="00F00F3F" w:rsidP="00926B45">
      <w:pPr>
        <w:pStyle w:val="SCCLsocParty"/>
        <w:widowControl w:val="0"/>
        <w:rPr>
          <w:lang w:val="fr-CA"/>
        </w:rPr>
      </w:pPr>
      <w:r w:rsidRPr="004E75DE">
        <w:rPr>
          <w:lang w:val="fr-CA"/>
        </w:rPr>
        <w:t>p</w:t>
      </w:r>
      <w:r w:rsidR="00222DB8" w:rsidRPr="004E75DE">
        <w:rPr>
          <w:lang w:val="fr-CA"/>
        </w:rPr>
        <w:t>rocureur</w:t>
      </w:r>
      <w:r w:rsidR="00A67929" w:rsidRPr="004E75DE">
        <w:rPr>
          <w:lang w:val="fr-CA"/>
        </w:rPr>
        <w:t>e</w:t>
      </w:r>
      <w:r w:rsidR="00222DB8" w:rsidRPr="004E75DE">
        <w:rPr>
          <w:lang w:val="fr-CA"/>
        </w:rPr>
        <w:t xml:space="preserve"> </w:t>
      </w:r>
      <w:r w:rsidR="00A67929" w:rsidRPr="004E75DE">
        <w:rPr>
          <w:lang w:val="fr-CA"/>
        </w:rPr>
        <w:t>g</w:t>
      </w:r>
      <w:r w:rsidR="00222DB8" w:rsidRPr="004E75DE">
        <w:rPr>
          <w:lang w:val="fr-CA"/>
        </w:rPr>
        <w:t>énéral</w:t>
      </w:r>
      <w:r w:rsidR="00A67929" w:rsidRPr="004E75DE">
        <w:rPr>
          <w:lang w:val="fr-CA"/>
        </w:rPr>
        <w:t>e</w:t>
      </w:r>
      <w:r w:rsidR="00222DB8" w:rsidRPr="004E75DE">
        <w:rPr>
          <w:lang w:val="fr-CA"/>
        </w:rPr>
        <w:t xml:space="preserve"> du Québec,</w:t>
      </w:r>
    </w:p>
    <w:p w:rsidR="00883B02" w:rsidRPr="004E75DE" w:rsidRDefault="00F00F3F" w:rsidP="00926B45">
      <w:pPr>
        <w:pStyle w:val="SCCLsocParty"/>
        <w:widowControl w:val="0"/>
        <w:rPr>
          <w:lang w:val="fr-CA"/>
        </w:rPr>
      </w:pPr>
      <w:r w:rsidRPr="004E75DE">
        <w:rPr>
          <w:lang w:val="fr-CA"/>
        </w:rPr>
        <w:t>p</w:t>
      </w:r>
      <w:r w:rsidR="00222DB8" w:rsidRPr="004E75DE">
        <w:rPr>
          <w:lang w:val="fr-CA"/>
        </w:rPr>
        <w:t>rocureur général du Manitoba,</w:t>
      </w:r>
    </w:p>
    <w:p w:rsidR="00883B02" w:rsidRPr="004E75DE" w:rsidRDefault="00F00F3F" w:rsidP="00926B45">
      <w:pPr>
        <w:pStyle w:val="SCCLsocParty"/>
        <w:widowControl w:val="0"/>
        <w:rPr>
          <w:lang w:val="fr-CA"/>
        </w:rPr>
      </w:pPr>
      <w:r w:rsidRPr="004E75DE">
        <w:rPr>
          <w:lang w:val="fr-CA"/>
        </w:rPr>
        <w:t>p</w:t>
      </w:r>
      <w:r w:rsidR="00222DB8" w:rsidRPr="004E75DE">
        <w:rPr>
          <w:lang w:val="fr-CA"/>
        </w:rPr>
        <w:t>rocureur général de la Saskatchewan,</w:t>
      </w:r>
    </w:p>
    <w:p w:rsidR="00883B02" w:rsidRPr="004E75DE" w:rsidRDefault="00F00F3F" w:rsidP="00926B45">
      <w:pPr>
        <w:pStyle w:val="SCCLsocParty"/>
        <w:widowControl w:val="0"/>
        <w:rPr>
          <w:lang w:val="fr-CA"/>
        </w:rPr>
      </w:pPr>
      <w:r w:rsidRPr="004E75DE">
        <w:rPr>
          <w:lang w:val="fr-CA"/>
        </w:rPr>
        <w:t>procureur général de l</w:t>
      </w:r>
      <w:r w:rsidR="00AE5E90">
        <w:rPr>
          <w:lang w:val="fr-CA"/>
        </w:rPr>
        <w:t>’</w:t>
      </w:r>
      <w:r w:rsidR="00222DB8" w:rsidRPr="004E75DE">
        <w:rPr>
          <w:lang w:val="fr-CA"/>
        </w:rPr>
        <w:t>Alberta,</w:t>
      </w:r>
    </w:p>
    <w:p w:rsidR="00883B02" w:rsidRPr="004E75DE" w:rsidRDefault="00F00F3F" w:rsidP="00926B45">
      <w:pPr>
        <w:pStyle w:val="SCCLsocParty"/>
        <w:widowControl w:val="0"/>
        <w:rPr>
          <w:lang w:val="fr-CA"/>
        </w:rPr>
      </w:pPr>
      <w:r w:rsidRPr="004E75DE">
        <w:rPr>
          <w:lang w:val="fr-CA"/>
        </w:rPr>
        <w:t>Association des libertés civiles de la Colombie</w:t>
      </w:r>
      <w:r w:rsidR="00AE5E90">
        <w:rPr>
          <w:lang w:val="fr-CA"/>
        </w:rPr>
        <w:noBreakHyphen/>
      </w:r>
      <w:r w:rsidRPr="004E75DE">
        <w:rPr>
          <w:lang w:val="fr-CA"/>
        </w:rPr>
        <w:t>Britannique</w:t>
      </w:r>
      <w:r w:rsidR="00222DB8" w:rsidRPr="004E75DE">
        <w:rPr>
          <w:lang w:val="fr-CA"/>
        </w:rPr>
        <w:t>,</w:t>
      </w:r>
    </w:p>
    <w:p w:rsidR="00883B02" w:rsidRPr="00897082" w:rsidRDefault="00F00F3F" w:rsidP="00926B45">
      <w:pPr>
        <w:pStyle w:val="SCCLsocParty"/>
        <w:widowControl w:val="0"/>
        <w:rPr>
          <w:lang w:val="en-US"/>
        </w:rPr>
      </w:pPr>
      <w:r w:rsidRPr="00897082">
        <w:rPr>
          <w:lang w:val="en-US"/>
        </w:rPr>
        <w:t>Bureau d</w:t>
      </w:r>
      <w:r w:rsidR="00AE5E90">
        <w:rPr>
          <w:lang w:val="en-US"/>
        </w:rPr>
        <w:t>’</w:t>
      </w:r>
      <w:r w:rsidRPr="00897082">
        <w:rPr>
          <w:lang w:val="en-US"/>
        </w:rPr>
        <w:t>assurance du Canada</w:t>
      </w:r>
      <w:r w:rsidR="00222DB8" w:rsidRPr="00897082">
        <w:rPr>
          <w:lang w:val="en-US"/>
        </w:rPr>
        <w:t>,</w:t>
      </w:r>
    </w:p>
    <w:p w:rsidR="00F00F3F" w:rsidRPr="00897082" w:rsidRDefault="00222DB8" w:rsidP="00926B45">
      <w:pPr>
        <w:pStyle w:val="SCCLsocParty"/>
        <w:widowControl w:val="0"/>
        <w:rPr>
          <w:lang w:val="en-US"/>
        </w:rPr>
      </w:pPr>
      <w:r w:rsidRPr="00897082">
        <w:rPr>
          <w:lang w:val="en-US"/>
        </w:rPr>
        <w:t>Criminal Trial Lawyers</w:t>
      </w:r>
      <w:r w:rsidR="00AE5E90">
        <w:rPr>
          <w:lang w:val="en-US"/>
        </w:rPr>
        <w:t>’</w:t>
      </w:r>
      <w:r w:rsidRPr="00897082">
        <w:rPr>
          <w:lang w:val="en-US"/>
        </w:rPr>
        <w:t xml:space="preserve"> Association (Alberta)</w:t>
      </w:r>
      <w:r w:rsidR="00F00F3F" w:rsidRPr="00897082">
        <w:rPr>
          <w:lang w:val="en-US"/>
        </w:rPr>
        <w:t>,</w:t>
      </w:r>
    </w:p>
    <w:p w:rsidR="00883B02" w:rsidRPr="00897082" w:rsidRDefault="00222DB8" w:rsidP="00926B45">
      <w:pPr>
        <w:pStyle w:val="SCCLsocParty"/>
        <w:widowControl w:val="0"/>
        <w:rPr>
          <w:lang w:val="en-US"/>
        </w:rPr>
      </w:pPr>
      <w:r w:rsidRPr="00897082">
        <w:rPr>
          <w:lang w:val="en-US"/>
        </w:rPr>
        <w:t>Criminal Defence Lawyers Association (Calgary),</w:t>
      </w:r>
    </w:p>
    <w:p w:rsidR="00883B02" w:rsidRPr="00897082" w:rsidRDefault="00222DB8" w:rsidP="00926B45">
      <w:pPr>
        <w:pStyle w:val="SCCLsocParty"/>
        <w:widowControl w:val="0"/>
        <w:rPr>
          <w:lang w:val="en-US"/>
        </w:rPr>
      </w:pPr>
      <w:r w:rsidRPr="00897082">
        <w:rPr>
          <w:lang w:val="en-US"/>
        </w:rPr>
        <w:t>Criminal Lawyers</w:t>
      </w:r>
      <w:r w:rsidR="00AE5E90">
        <w:rPr>
          <w:lang w:val="en-US"/>
        </w:rPr>
        <w:t>’</w:t>
      </w:r>
      <w:r w:rsidRPr="00897082">
        <w:rPr>
          <w:lang w:val="en-US"/>
        </w:rPr>
        <w:t xml:space="preserve"> Association of Ontario,</w:t>
      </w:r>
    </w:p>
    <w:p w:rsidR="00883B02" w:rsidRPr="00897082" w:rsidRDefault="00222DB8" w:rsidP="00926B45">
      <w:pPr>
        <w:pStyle w:val="SCCLsocParty"/>
        <w:widowControl w:val="0"/>
        <w:rPr>
          <w:lang w:val="en-US"/>
        </w:rPr>
      </w:pPr>
      <w:r w:rsidRPr="00897082">
        <w:rPr>
          <w:lang w:val="en-US"/>
        </w:rPr>
        <w:t>Alberta Registrar of Motor Vehicle Services</w:t>
      </w:r>
      <w:r w:rsidR="00F00F3F" w:rsidRPr="00897082">
        <w:rPr>
          <w:lang w:val="en-US"/>
        </w:rPr>
        <w:t xml:space="preserve"> et</w:t>
      </w:r>
    </w:p>
    <w:p w:rsidR="00883B02" w:rsidRPr="004E75DE" w:rsidRDefault="00F00F3F" w:rsidP="00926B45">
      <w:pPr>
        <w:pStyle w:val="SCCLsocLastPartyInRole"/>
        <w:widowControl w:val="0"/>
        <w:rPr>
          <w:lang w:val="fr-CA"/>
        </w:rPr>
      </w:pPr>
      <w:r w:rsidRPr="004E75DE">
        <w:rPr>
          <w:lang w:val="fr-CA"/>
        </w:rPr>
        <w:t>Les mères contre l</w:t>
      </w:r>
      <w:r w:rsidR="00AE5E90">
        <w:rPr>
          <w:lang w:val="fr-CA"/>
        </w:rPr>
        <w:t>’</w:t>
      </w:r>
      <w:r w:rsidRPr="004E75DE">
        <w:rPr>
          <w:lang w:val="fr-CA"/>
        </w:rPr>
        <w:t>alcool au volant Canada</w:t>
      </w:r>
      <w:r w:rsidR="00222DB8" w:rsidRPr="004E75DE">
        <w:rPr>
          <w:rStyle w:val="SCCLsocPartyRole"/>
          <w:lang w:val="fr-CA"/>
        </w:rPr>
        <w:tab/>
        <w:t>Intervenants</w:t>
      </w:r>
    </w:p>
    <w:p w:rsidR="004D7D95" w:rsidRPr="004E75DE" w:rsidRDefault="004D7D95" w:rsidP="00926B45">
      <w:pPr>
        <w:widowControl w:val="0"/>
        <w:spacing w:after="720"/>
        <w:jc w:val="both"/>
        <w:rPr>
          <w:b/>
          <w:lang w:val="fr-CA"/>
        </w:rPr>
      </w:pPr>
      <w:r w:rsidRPr="004E75DE">
        <w:rPr>
          <w:b/>
          <w:lang w:val="fr-CA"/>
        </w:rPr>
        <w:t>Répertorié</w:t>
      </w:r>
      <w:r w:rsidR="00AE5E90">
        <w:rPr>
          <w:b/>
          <w:lang w:val="fr-CA"/>
        </w:rPr>
        <w:t> :</w:t>
      </w:r>
      <w:r w:rsidRPr="004E75DE">
        <w:rPr>
          <w:b/>
          <w:lang w:val="fr-CA"/>
        </w:rPr>
        <w:t> </w:t>
      </w:r>
      <w:r w:rsidRPr="004E75DE">
        <w:rPr>
          <w:rStyle w:val="SCCAppellantForIndexChar"/>
          <w:lang w:val="fr-CA"/>
        </w:rPr>
        <w:t>Goodwin</w:t>
      </w:r>
      <w:r w:rsidRPr="004E75DE">
        <w:rPr>
          <w:b/>
          <w:lang w:val="fr-CA"/>
        </w:rPr>
        <w:t xml:space="preserve"> </w:t>
      </w:r>
      <w:r w:rsidRPr="004E75DE">
        <w:rPr>
          <w:b/>
          <w:i/>
          <w:lang w:val="fr-CA"/>
        </w:rPr>
        <w:t>c.</w:t>
      </w:r>
      <w:r w:rsidRPr="004E75DE">
        <w:rPr>
          <w:b/>
          <w:lang w:val="fr-CA"/>
        </w:rPr>
        <w:t xml:space="preserve"> </w:t>
      </w:r>
      <w:r w:rsidRPr="004E75DE">
        <w:rPr>
          <w:rStyle w:val="SCCRespondentForIndexChar"/>
          <w:lang w:val="fr-CA"/>
        </w:rPr>
        <w:t>Colombie</w:t>
      </w:r>
      <w:r w:rsidR="00AE5E90">
        <w:rPr>
          <w:rStyle w:val="SCCRespondentForIndexChar"/>
          <w:lang w:val="fr-CA"/>
        </w:rPr>
        <w:noBreakHyphen/>
      </w:r>
      <w:r w:rsidRPr="004E75DE">
        <w:rPr>
          <w:rStyle w:val="SCCRespondentForIndexChar"/>
          <w:lang w:val="fr-CA"/>
        </w:rPr>
        <w:t>Britannique (Superintende</w:t>
      </w:r>
      <w:r w:rsidR="00597E87" w:rsidRPr="004E75DE">
        <w:rPr>
          <w:rStyle w:val="SCCRespondentForIndexChar"/>
          <w:lang w:val="fr-CA"/>
        </w:rPr>
        <w:t>nt of Motor Vehicles)</w:t>
      </w:r>
    </w:p>
    <w:p w:rsidR="004D7D95" w:rsidRPr="004E75DE" w:rsidRDefault="00F62639" w:rsidP="00926B45">
      <w:pPr>
        <w:pStyle w:val="SCCSystemYear"/>
        <w:widowControl w:val="0"/>
        <w:spacing w:after="720"/>
        <w:jc w:val="both"/>
        <w:rPr>
          <w:lang w:val="fr-CA"/>
        </w:rPr>
      </w:pPr>
      <w:r w:rsidRPr="004E75DE">
        <w:rPr>
          <w:lang w:val="fr-CA"/>
        </w:rPr>
        <w:t>2015</w:t>
      </w:r>
      <w:r w:rsidR="004D7D95" w:rsidRPr="004E75DE">
        <w:rPr>
          <w:lang w:val="fr-CA"/>
        </w:rPr>
        <w:t xml:space="preserve"> CSC </w:t>
      </w:r>
      <w:r w:rsidR="007C36E0" w:rsidRPr="004E75DE">
        <w:rPr>
          <w:lang w:val="fr-CA"/>
        </w:rPr>
        <w:t>46</w:t>
      </w:r>
    </w:p>
    <w:p w:rsidR="004D7D95" w:rsidRPr="004E75DE" w:rsidRDefault="004D7D95" w:rsidP="00926B45">
      <w:pPr>
        <w:widowControl w:val="0"/>
        <w:spacing w:after="720"/>
        <w:jc w:val="both"/>
        <w:rPr>
          <w:lang w:val="fr-CA"/>
        </w:rPr>
      </w:pPr>
      <w:r w:rsidRPr="004E75DE">
        <w:rPr>
          <w:lang w:val="fr-CA"/>
        </w:rPr>
        <w:t>N</w:t>
      </w:r>
      <w:r w:rsidRPr="004E75DE">
        <w:rPr>
          <w:vertAlign w:val="superscript"/>
          <w:lang w:val="fr-CA"/>
        </w:rPr>
        <w:t>o</w:t>
      </w:r>
      <w:r w:rsidRPr="004E75DE">
        <w:rPr>
          <w:lang w:val="fr-CA"/>
        </w:rPr>
        <w:t xml:space="preserve"> du greffe</w:t>
      </w:r>
      <w:r w:rsidR="00AE5E90">
        <w:rPr>
          <w:lang w:val="fr-CA"/>
        </w:rPr>
        <w:t> :</w:t>
      </w:r>
      <w:r w:rsidRPr="004E75DE">
        <w:rPr>
          <w:lang w:val="fr-CA"/>
        </w:rPr>
        <w:t> 35864.</w:t>
      </w:r>
    </w:p>
    <w:p w:rsidR="004D7D95" w:rsidRPr="004E75DE" w:rsidRDefault="00F62639" w:rsidP="00926B45">
      <w:pPr>
        <w:widowControl w:val="0"/>
        <w:spacing w:after="720"/>
        <w:jc w:val="both"/>
        <w:rPr>
          <w:lang w:val="fr-CA"/>
        </w:rPr>
      </w:pPr>
      <w:r w:rsidRPr="004E75DE">
        <w:rPr>
          <w:lang w:val="fr-CA"/>
        </w:rPr>
        <w:t>2015</w:t>
      </w:r>
      <w:r w:rsidR="00AE5E90">
        <w:rPr>
          <w:lang w:val="fr-CA"/>
        </w:rPr>
        <w:t> :</w:t>
      </w:r>
      <w:r w:rsidR="00F00F3F" w:rsidRPr="004E75DE">
        <w:rPr>
          <w:lang w:val="fr-CA"/>
        </w:rPr>
        <w:t> </w:t>
      </w:r>
      <w:r w:rsidRPr="004E75DE">
        <w:rPr>
          <w:lang w:val="fr-CA"/>
        </w:rPr>
        <w:t>19 mai</w:t>
      </w:r>
      <w:r w:rsidR="004D7D95" w:rsidRPr="004E75DE">
        <w:rPr>
          <w:lang w:val="fr-CA"/>
        </w:rPr>
        <w:t xml:space="preserve">; </w:t>
      </w:r>
      <w:r w:rsidR="00F00F3F" w:rsidRPr="004E75DE">
        <w:rPr>
          <w:lang w:val="fr-CA"/>
        </w:rPr>
        <w:t>2015</w:t>
      </w:r>
      <w:r w:rsidR="00AE5E90">
        <w:rPr>
          <w:lang w:val="fr-CA"/>
        </w:rPr>
        <w:t> :</w:t>
      </w:r>
      <w:r w:rsidR="00F00F3F" w:rsidRPr="004E75DE">
        <w:rPr>
          <w:lang w:val="fr-CA"/>
        </w:rPr>
        <w:t> </w:t>
      </w:r>
      <w:r w:rsidR="00031F62" w:rsidRPr="004E75DE">
        <w:rPr>
          <w:lang w:val="fr-CA"/>
        </w:rPr>
        <w:t>16 octobre</w:t>
      </w:r>
      <w:r w:rsidR="004D7D95" w:rsidRPr="004E75DE">
        <w:rPr>
          <w:lang w:val="fr-CA"/>
        </w:rPr>
        <w:t>.</w:t>
      </w:r>
    </w:p>
    <w:p w:rsidR="004D7D95" w:rsidRPr="004E75DE" w:rsidRDefault="004D7D95" w:rsidP="00926B45">
      <w:pPr>
        <w:widowControl w:val="0"/>
        <w:spacing w:after="720"/>
        <w:jc w:val="both"/>
        <w:rPr>
          <w:lang w:val="fr-CA"/>
        </w:rPr>
      </w:pPr>
      <w:r w:rsidRPr="004E75DE">
        <w:rPr>
          <w:lang w:val="fr-CA"/>
        </w:rPr>
        <w:lastRenderedPageBreak/>
        <w:t>Présents</w:t>
      </w:r>
      <w:r w:rsidR="00AE5E90">
        <w:rPr>
          <w:lang w:val="fr-CA"/>
        </w:rPr>
        <w:t> :</w:t>
      </w:r>
      <w:r w:rsidRPr="004E75DE">
        <w:rPr>
          <w:lang w:val="fr-CA"/>
        </w:rPr>
        <w:t> La juge en chef McLachlin et les juges Cromwell, Moldaver, Karakatsanis, Wagner, Gascon et Côté.</w:t>
      </w:r>
    </w:p>
    <w:p w:rsidR="004D7D95" w:rsidRPr="004E75DE" w:rsidRDefault="004D7D95" w:rsidP="00926B45">
      <w:pPr>
        <w:widowControl w:val="0"/>
        <w:spacing w:after="480" w:line="480" w:lineRule="auto"/>
        <w:jc w:val="both"/>
        <w:rPr>
          <w:smallCaps/>
          <w:lang w:val="fr-CA"/>
        </w:rPr>
      </w:pPr>
      <w:r w:rsidRPr="004E75DE">
        <w:rPr>
          <w:smallCaps/>
          <w:lang w:val="fr-CA"/>
        </w:rPr>
        <w:t>en appel de la cour d</w:t>
      </w:r>
      <w:r w:rsidR="00AE5E90">
        <w:rPr>
          <w:smallCaps/>
          <w:lang w:val="fr-CA"/>
        </w:rPr>
        <w:t>’</w:t>
      </w:r>
      <w:r w:rsidRPr="004E75DE">
        <w:rPr>
          <w:smallCaps/>
          <w:lang w:val="fr-CA"/>
        </w:rPr>
        <w:t>appel de la colombie</w:t>
      </w:r>
      <w:r w:rsidR="00AE5E90">
        <w:rPr>
          <w:smallCaps/>
          <w:lang w:val="fr-CA"/>
        </w:rPr>
        <w:noBreakHyphen/>
      </w:r>
      <w:r w:rsidRPr="004E75DE">
        <w:rPr>
          <w:smallCaps/>
          <w:lang w:val="fr-CA"/>
        </w:rPr>
        <w:t>britannique</w:t>
      </w:r>
    </w:p>
    <w:p w:rsidR="00430441" w:rsidRPr="004E75DE" w:rsidRDefault="004D7D95" w:rsidP="00926B45">
      <w:pPr>
        <w:pStyle w:val="SCCNormalDoubleSpacing"/>
        <w:widowControl w:val="0"/>
        <w:spacing w:before="480" w:after="480"/>
        <w:rPr>
          <w:i/>
          <w:lang w:val="fr-CA"/>
        </w:rPr>
      </w:pPr>
      <w:r w:rsidRPr="004E75DE">
        <w:rPr>
          <w:lang w:val="fr-CA"/>
        </w:rPr>
        <w:tab/>
      </w:r>
      <w:r w:rsidR="00850368" w:rsidRPr="004E75DE">
        <w:rPr>
          <w:i/>
          <w:lang w:val="fr-CA"/>
        </w:rPr>
        <w:t xml:space="preserve">Droit constitutionnel </w:t>
      </w:r>
      <w:r w:rsidR="00430441" w:rsidRPr="004E75DE">
        <w:rPr>
          <w:i/>
          <w:lang w:val="fr-CA"/>
        </w:rPr>
        <w:t xml:space="preserve">— </w:t>
      </w:r>
      <w:r w:rsidR="00850368" w:rsidRPr="004E75DE">
        <w:rPr>
          <w:i/>
          <w:lang w:val="fr-CA"/>
        </w:rPr>
        <w:t>Partage des compétences</w:t>
      </w:r>
      <w:r w:rsidR="00430441" w:rsidRPr="004E75DE">
        <w:rPr>
          <w:i/>
          <w:lang w:val="fr-CA"/>
        </w:rPr>
        <w:t xml:space="preserve"> — </w:t>
      </w:r>
      <w:r w:rsidR="00850368" w:rsidRPr="004E75DE">
        <w:rPr>
          <w:i/>
          <w:lang w:val="fr-CA"/>
        </w:rPr>
        <w:t>Droit criminel</w:t>
      </w:r>
      <w:r w:rsidR="00430441" w:rsidRPr="004E75DE">
        <w:rPr>
          <w:i/>
          <w:lang w:val="fr-CA"/>
        </w:rPr>
        <w:t xml:space="preserve"> — </w:t>
      </w:r>
      <w:r w:rsidR="00850368" w:rsidRPr="004E75DE">
        <w:rPr>
          <w:i/>
          <w:lang w:val="fr-CA"/>
        </w:rPr>
        <w:t>Propriété et droits civils</w:t>
      </w:r>
      <w:r w:rsidR="00430441" w:rsidRPr="004E75DE">
        <w:rPr>
          <w:i/>
          <w:lang w:val="fr-CA"/>
        </w:rPr>
        <w:t xml:space="preserve"> — </w:t>
      </w:r>
      <w:r w:rsidR="0013124B">
        <w:rPr>
          <w:i/>
          <w:lang w:val="fr-CA"/>
        </w:rPr>
        <w:t>Voies publiques</w:t>
      </w:r>
      <w:r w:rsidR="00430441" w:rsidRPr="004E75DE">
        <w:rPr>
          <w:i/>
          <w:lang w:val="fr-CA"/>
        </w:rPr>
        <w:t xml:space="preserve"> — </w:t>
      </w:r>
      <w:r w:rsidR="00850368" w:rsidRPr="004E75DE">
        <w:rPr>
          <w:i/>
          <w:lang w:val="fr-CA"/>
        </w:rPr>
        <w:t>Conduite avec facultés affaiblies</w:t>
      </w:r>
      <w:r w:rsidR="00430441" w:rsidRPr="004E75DE">
        <w:rPr>
          <w:i/>
          <w:lang w:val="fr-CA"/>
        </w:rPr>
        <w:t xml:space="preserve"> — </w:t>
      </w:r>
      <w:r w:rsidR="00850368" w:rsidRPr="004E75DE">
        <w:rPr>
          <w:i/>
          <w:lang w:val="fr-CA"/>
        </w:rPr>
        <w:t>Loi provinciale prévoyant des suspensions automatiques du permis de conduire, des sanctions et des programmes correctifs à la suite d</w:t>
      </w:r>
      <w:r w:rsidR="00AE5E90">
        <w:rPr>
          <w:i/>
          <w:lang w:val="fr-CA"/>
        </w:rPr>
        <w:t>’</w:t>
      </w:r>
      <w:r w:rsidR="00850368" w:rsidRPr="004E75DE">
        <w:rPr>
          <w:i/>
          <w:lang w:val="fr-CA"/>
        </w:rPr>
        <w:t>une analyse faite lors d</w:t>
      </w:r>
      <w:r w:rsidR="00AE5E90">
        <w:rPr>
          <w:i/>
          <w:lang w:val="fr-CA"/>
        </w:rPr>
        <w:t>’</w:t>
      </w:r>
      <w:r w:rsidR="00850368" w:rsidRPr="004E75DE">
        <w:rPr>
          <w:i/>
          <w:lang w:val="fr-CA"/>
        </w:rPr>
        <w:t>un contrôle routier à l</w:t>
      </w:r>
      <w:r w:rsidR="00AE5E90">
        <w:rPr>
          <w:i/>
          <w:lang w:val="fr-CA"/>
        </w:rPr>
        <w:t>’</w:t>
      </w:r>
      <w:r w:rsidR="00850368" w:rsidRPr="004E75DE">
        <w:rPr>
          <w:i/>
          <w:lang w:val="fr-CA"/>
        </w:rPr>
        <w:t>aide d</w:t>
      </w:r>
      <w:r w:rsidR="00AE5E90">
        <w:rPr>
          <w:i/>
          <w:lang w:val="fr-CA"/>
        </w:rPr>
        <w:t>’</w:t>
      </w:r>
      <w:r w:rsidR="00850368" w:rsidRPr="004E75DE">
        <w:rPr>
          <w:i/>
          <w:lang w:val="fr-CA"/>
        </w:rPr>
        <w:t xml:space="preserve">un appareil de détection approuvé </w:t>
      </w:r>
      <w:r w:rsidR="00430441" w:rsidRPr="004E75DE">
        <w:rPr>
          <w:i/>
          <w:lang w:val="fr-CA"/>
        </w:rPr>
        <w:t xml:space="preserve">— </w:t>
      </w:r>
      <w:r w:rsidR="000C438A" w:rsidRPr="004E75DE">
        <w:rPr>
          <w:i/>
          <w:lang w:val="fr-CA"/>
        </w:rPr>
        <w:t>Le régime d</w:t>
      </w:r>
      <w:r w:rsidR="00AE5E90">
        <w:rPr>
          <w:i/>
          <w:lang w:val="fr-CA"/>
        </w:rPr>
        <w:t>’</w:t>
      </w:r>
      <w:r w:rsidR="000C438A" w:rsidRPr="004E75DE">
        <w:rPr>
          <w:i/>
          <w:lang w:val="fr-CA"/>
        </w:rPr>
        <w:t>interdiction automatique de conduire outrepasse</w:t>
      </w:r>
      <w:r w:rsidR="00AE5E90">
        <w:rPr>
          <w:i/>
          <w:lang w:val="fr-CA"/>
        </w:rPr>
        <w:noBreakHyphen/>
      </w:r>
      <w:r w:rsidR="000C438A" w:rsidRPr="004E75DE">
        <w:rPr>
          <w:i/>
          <w:lang w:val="fr-CA"/>
        </w:rPr>
        <w:t>t</w:t>
      </w:r>
      <w:r w:rsidR="00AE5E90">
        <w:rPr>
          <w:i/>
          <w:lang w:val="fr-CA"/>
        </w:rPr>
        <w:noBreakHyphen/>
      </w:r>
      <w:r w:rsidR="000C438A" w:rsidRPr="004E75DE">
        <w:rPr>
          <w:i/>
          <w:lang w:val="fr-CA"/>
        </w:rPr>
        <w:t xml:space="preserve">il la compétence de la </w:t>
      </w:r>
      <w:r w:rsidR="00430441" w:rsidRPr="004E75DE">
        <w:rPr>
          <w:i/>
          <w:lang w:val="fr-CA"/>
        </w:rPr>
        <w:t xml:space="preserve">province </w:t>
      </w:r>
      <w:r w:rsidR="000C438A" w:rsidRPr="004E75DE">
        <w:rPr>
          <w:i/>
          <w:lang w:val="fr-CA"/>
        </w:rPr>
        <w:t>parce qu</w:t>
      </w:r>
      <w:r w:rsidR="00AE5E90">
        <w:rPr>
          <w:i/>
          <w:lang w:val="fr-CA"/>
        </w:rPr>
        <w:t>’</w:t>
      </w:r>
      <w:r w:rsidR="000C438A" w:rsidRPr="004E75DE">
        <w:rPr>
          <w:i/>
          <w:lang w:val="fr-CA"/>
        </w:rPr>
        <w:t xml:space="preserve">il relève exclusivement de la compétence </w:t>
      </w:r>
      <w:r w:rsidR="00DA6C51" w:rsidRPr="004E75DE">
        <w:rPr>
          <w:i/>
          <w:lang w:val="fr-CA"/>
        </w:rPr>
        <w:t xml:space="preserve">du gouvernement </w:t>
      </w:r>
      <w:r w:rsidR="000C438A" w:rsidRPr="004E75DE">
        <w:rPr>
          <w:i/>
          <w:lang w:val="fr-CA"/>
        </w:rPr>
        <w:t xml:space="preserve">fédéral en matière de droit criminel? </w:t>
      </w:r>
      <w:r w:rsidR="00430441" w:rsidRPr="004E75DE">
        <w:rPr>
          <w:i/>
          <w:lang w:val="fr-CA"/>
        </w:rPr>
        <w:t xml:space="preserve">— </w:t>
      </w:r>
      <w:r w:rsidR="00850368" w:rsidRPr="004E75DE">
        <w:rPr>
          <w:i/>
          <w:lang w:val="fr-CA"/>
        </w:rPr>
        <w:t xml:space="preserve">Loi constitutionnelle de </w:t>
      </w:r>
      <w:r w:rsidR="00430441" w:rsidRPr="004E75DE">
        <w:rPr>
          <w:i/>
          <w:lang w:val="fr-CA"/>
        </w:rPr>
        <w:t xml:space="preserve">1867, </w:t>
      </w:r>
      <w:r w:rsidR="00AE5E90">
        <w:rPr>
          <w:i/>
          <w:lang w:val="fr-CA"/>
        </w:rPr>
        <w:t>art. </w:t>
      </w:r>
      <w:r w:rsidR="00430441" w:rsidRPr="004E75DE">
        <w:rPr>
          <w:i/>
          <w:lang w:val="fr-CA"/>
        </w:rPr>
        <w:t>91(27), 92(13) — Motor</w:t>
      </w:r>
      <w:r w:rsidR="000C438A" w:rsidRPr="004E75DE">
        <w:rPr>
          <w:i/>
          <w:lang w:val="fr-CA"/>
        </w:rPr>
        <w:t xml:space="preserve"> Vehicle Act, R.S.B.C. 1996, c. </w:t>
      </w:r>
      <w:r w:rsidR="00430441" w:rsidRPr="004E75DE">
        <w:rPr>
          <w:i/>
          <w:lang w:val="fr-CA"/>
        </w:rPr>
        <w:t>318.</w:t>
      </w:r>
    </w:p>
    <w:p w:rsidR="00430441" w:rsidRPr="004E75DE" w:rsidRDefault="00430441" w:rsidP="00926B45">
      <w:pPr>
        <w:pStyle w:val="SCCNormalDoubleSpacing"/>
        <w:widowControl w:val="0"/>
        <w:spacing w:before="480" w:after="480"/>
        <w:rPr>
          <w:i/>
          <w:lang w:val="fr-CA"/>
        </w:rPr>
      </w:pPr>
      <w:r w:rsidRPr="004E75DE">
        <w:rPr>
          <w:i/>
          <w:lang w:val="fr-CA"/>
        </w:rPr>
        <w:tab/>
      </w:r>
      <w:r w:rsidR="000C438A" w:rsidRPr="004E75DE">
        <w:rPr>
          <w:i/>
          <w:lang w:val="fr-CA"/>
        </w:rPr>
        <w:t xml:space="preserve">Droit constitutionnel </w:t>
      </w:r>
      <w:r w:rsidRPr="004E75DE">
        <w:rPr>
          <w:i/>
          <w:lang w:val="fr-CA"/>
        </w:rPr>
        <w:t>— Charte</w:t>
      </w:r>
      <w:r w:rsidR="000C438A" w:rsidRPr="004E75DE">
        <w:rPr>
          <w:i/>
          <w:lang w:val="fr-CA"/>
        </w:rPr>
        <w:t xml:space="preserve"> des droits</w:t>
      </w:r>
      <w:r w:rsidRPr="004E75DE">
        <w:rPr>
          <w:i/>
          <w:lang w:val="fr-CA"/>
        </w:rPr>
        <w:t xml:space="preserve"> — Pr</w:t>
      </w:r>
      <w:r w:rsidR="000C438A" w:rsidRPr="004E75DE">
        <w:rPr>
          <w:i/>
          <w:lang w:val="fr-CA"/>
        </w:rPr>
        <w:t>ésomption d</w:t>
      </w:r>
      <w:r w:rsidR="00AE5E90">
        <w:rPr>
          <w:i/>
          <w:lang w:val="fr-CA"/>
        </w:rPr>
        <w:t>’</w:t>
      </w:r>
      <w:r w:rsidR="000C438A" w:rsidRPr="004E75DE">
        <w:rPr>
          <w:i/>
          <w:lang w:val="fr-CA"/>
        </w:rPr>
        <w:t>innocence</w:t>
      </w:r>
      <w:r w:rsidRPr="004E75DE">
        <w:rPr>
          <w:i/>
          <w:lang w:val="fr-CA"/>
        </w:rPr>
        <w:t xml:space="preserve"> — </w:t>
      </w:r>
      <w:r w:rsidR="000C438A" w:rsidRPr="004E75DE">
        <w:rPr>
          <w:i/>
          <w:lang w:val="fr-CA"/>
        </w:rPr>
        <w:t>Fouilles, perquisitions et saisies</w:t>
      </w:r>
      <w:r w:rsidRPr="004E75DE">
        <w:rPr>
          <w:i/>
          <w:lang w:val="fr-CA"/>
        </w:rPr>
        <w:t xml:space="preserve"> — </w:t>
      </w:r>
      <w:r w:rsidR="000C438A" w:rsidRPr="004E75DE">
        <w:rPr>
          <w:i/>
          <w:lang w:val="fr-CA"/>
        </w:rPr>
        <w:t>Conduite avec facultés affaiblies</w:t>
      </w:r>
      <w:r w:rsidRPr="004E75DE">
        <w:rPr>
          <w:i/>
          <w:lang w:val="fr-CA"/>
        </w:rPr>
        <w:t xml:space="preserve"> — </w:t>
      </w:r>
      <w:r w:rsidR="000C438A" w:rsidRPr="004E75DE">
        <w:rPr>
          <w:i/>
          <w:lang w:val="fr-CA"/>
        </w:rPr>
        <w:t>Loi provinciale prévoyant des suspensions automatiques du permis de conduire, des sanctions et des programmes correctifs à la suite d</w:t>
      </w:r>
      <w:r w:rsidR="00AE5E90">
        <w:rPr>
          <w:i/>
          <w:lang w:val="fr-CA"/>
        </w:rPr>
        <w:t>’</w:t>
      </w:r>
      <w:r w:rsidR="000C438A" w:rsidRPr="004E75DE">
        <w:rPr>
          <w:i/>
          <w:lang w:val="fr-CA"/>
        </w:rPr>
        <w:t>une analyse faite lors d</w:t>
      </w:r>
      <w:r w:rsidR="00AE5E90">
        <w:rPr>
          <w:i/>
          <w:lang w:val="fr-CA"/>
        </w:rPr>
        <w:t>’</w:t>
      </w:r>
      <w:r w:rsidR="000C438A" w:rsidRPr="004E75DE">
        <w:rPr>
          <w:i/>
          <w:lang w:val="fr-CA"/>
        </w:rPr>
        <w:t>un contrôle routier à l</w:t>
      </w:r>
      <w:r w:rsidR="00AE5E90">
        <w:rPr>
          <w:i/>
          <w:lang w:val="fr-CA"/>
        </w:rPr>
        <w:t>’</w:t>
      </w:r>
      <w:r w:rsidR="000C438A" w:rsidRPr="004E75DE">
        <w:rPr>
          <w:i/>
          <w:lang w:val="fr-CA"/>
        </w:rPr>
        <w:t>aide d</w:t>
      </w:r>
      <w:r w:rsidR="00AE5E90">
        <w:rPr>
          <w:i/>
          <w:lang w:val="fr-CA"/>
        </w:rPr>
        <w:t>’</w:t>
      </w:r>
      <w:r w:rsidR="000C438A" w:rsidRPr="004E75DE">
        <w:rPr>
          <w:i/>
          <w:lang w:val="fr-CA"/>
        </w:rPr>
        <w:t>un appareil de détection approuvé</w:t>
      </w:r>
      <w:r w:rsidR="00700FF7" w:rsidRPr="004E75DE">
        <w:rPr>
          <w:i/>
          <w:lang w:val="fr-CA"/>
        </w:rPr>
        <w:t xml:space="preserve"> </w:t>
      </w:r>
      <w:r w:rsidRPr="004E75DE">
        <w:rPr>
          <w:i/>
          <w:lang w:val="fr-CA"/>
        </w:rPr>
        <w:t xml:space="preserve">— </w:t>
      </w:r>
      <w:r w:rsidR="00700FF7" w:rsidRPr="004E75DE">
        <w:rPr>
          <w:i/>
          <w:lang w:val="fr-CA"/>
        </w:rPr>
        <w:t>Le régime d</w:t>
      </w:r>
      <w:r w:rsidR="00AE5E90">
        <w:rPr>
          <w:i/>
          <w:lang w:val="fr-CA"/>
        </w:rPr>
        <w:t>’</w:t>
      </w:r>
      <w:r w:rsidR="00700FF7" w:rsidRPr="004E75DE">
        <w:rPr>
          <w:i/>
          <w:lang w:val="fr-CA"/>
        </w:rPr>
        <w:t>interdiction automatique de conduire crée</w:t>
      </w:r>
      <w:r w:rsidR="00AE5E90">
        <w:rPr>
          <w:i/>
          <w:lang w:val="fr-CA"/>
        </w:rPr>
        <w:noBreakHyphen/>
      </w:r>
      <w:r w:rsidR="00700FF7" w:rsidRPr="004E75DE">
        <w:rPr>
          <w:i/>
          <w:lang w:val="fr-CA"/>
        </w:rPr>
        <w:t>t</w:t>
      </w:r>
      <w:r w:rsidR="00AE5E90">
        <w:rPr>
          <w:i/>
          <w:lang w:val="fr-CA"/>
        </w:rPr>
        <w:noBreakHyphen/>
      </w:r>
      <w:r w:rsidR="00700FF7" w:rsidRPr="004E75DE">
        <w:rPr>
          <w:i/>
          <w:lang w:val="fr-CA"/>
        </w:rPr>
        <w:t xml:space="preserve">il une infraction </w:t>
      </w:r>
      <w:r w:rsidR="006B475F" w:rsidRPr="004E75DE">
        <w:rPr>
          <w:i/>
          <w:lang w:val="fr-CA"/>
        </w:rPr>
        <w:t xml:space="preserve">visée </w:t>
      </w:r>
      <w:r w:rsidR="001644D7" w:rsidRPr="004E75DE">
        <w:rPr>
          <w:i/>
          <w:lang w:val="fr-CA"/>
        </w:rPr>
        <w:t>par</w:t>
      </w:r>
      <w:r w:rsidR="006B475F" w:rsidRPr="004E75DE">
        <w:rPr>
          <w:i/>
          <w:lang w:val="fr-CA"/>
        </w:rPr>
        <w:t xml:space="preserve"> l</w:t>
      </w:r>
      <w:r w:rsidR="00AE5E90">
        <w:rPr>
          <w:i/>
          <w:lang w:val="fr-CA"/>
        </w:rPr>
        <w:t>’art. </w:t>
      </w:r>
      <w:r w:rsidR="006B475F" w:rsidRPr="004E75DE">
        <w:rPr>
          <w:i/>
          <w:lang w:val="fr-CA"/>
        </w:rPr>
        <w:t xml:space="preserve">11 de la </w:t>
      </w:r>
      <w:r w:rsidRPr="004E75DE">
        <w:rPr>
          <w:i/>
          <w:lang w:val="fr-CA"/>
        </w:rPr>
        <w:t xml:space="preserve">Charte </w:t>
      </w:r>
      <w:r w:rsidR="006B475F" w:rsidRPr="004E75DE">
        <w:rPr>
          <w:i/>
          <w:lang w:val="fr-CA"/>
        </w:rPr>
        <w:t>et porte</w:t>
      </w:r>
      <w:r w:rsidR="00AE5E90">
        <w:rPr>
          <w:i/>
          <w:lang w:val="fr-CA"/>
        </w:rPr>
        <w:noBreakHyphen/>
      </w:r>
      <w:r w:rsidR="006B475F" w:rsidRPr="004E75DE">
        <w:rPr>
          <w:i/>
          <w:lang w:val="fr-CA"/>
        </w:rPr>
        <w:t>t</w:t>
      </w:r>
      <w:r w:rsidR="00AE5E90">
        <w:rPr>
          <w:i/>
          <w:lang w:val="fr-CA"/>
        </w:rPr>
        <w:noBreakHyphen/>
      </w:r>
      <w:r w:rsidR="006B475F" w:rsidRPr="004E75DE">
        <w:rPr>
          <w:i/>
          <w:lang w:val="fr-CA"/>
        </w:rPr>
        <w:t>il atteinte à la présomption d</w:t>
      </w:r>
      <w:r w:rsidR="00AE5E90">
        <w:rPr>
          <w:i/>
          <w:lang w:val="fr-CA"/>
        </w:rPr>
        <w:t>’</w:t>
      </w:r>
      <w:r w:rsidRPr="004E75DE">
        <w:rPr>
          <w:i/>
          <w:lang w:val="fr-CA"/>
        </w:rPr>
        <w:t>innocence</w:t>
      </w:r>
      <w:r w:rsidR="006B475F" w:rsidRPr="004E75DE">
        <w:rPr>
          <w:i/>
          <w:lang w:val="fr-CA"/>
        </w:rPr>
        <w:t>?</w:t>
      </w:r>
      <w:r w:rsidRPr="004E75DE">
        <w:rPr>
          <w:i/>
          <w:lang w:val="fr-CA"/>
        </w:rPr>
        <w:t xml:space="preserve"> — </w:t>
      </w:r>
      <w:r w:rsidR="006B475F" w:rsidRPr="004E75DE">
        <w:rPr>
          <w:i/>
          <w:lang w:val="fr-CA"/>
        </w:rPr>
        <w:t>Le régime d</w:t>
      </w:r>
      <w:r w:rsidR="00AE5E90">
        <w:rPr>
          <w:i/>
          <w:lang w:val="fr-CA"/>
        </w:rPr>
        <w:t>’</w:t>
      </w:r>
      <w:r w:rsidR="006B475F" w:rsidRPr="004E75DE">
        <w:rPr>
          <w:i/>
          <w:lang w:val="fr-CA"/>
        </w:rPr>
        <w:t>interdiction automatique de conduire porte</w:t>
      </w:r>
      <w:r w:rsidR="00AE5E90">
        <w:rPr>
          <w:i/>
          <w:lang w:val="fr-CA"/>
        </w:rPr>
        <w:noBreakHyphen/>
      </w:r>
      <w:r w:rsidR="006B475F" w:rsidRPr="004E75DE">
        <w:rPr>
          <w:i/>
          <w:lang w:val="fr-CA"/>
        </w:rPr>
        <w:t>t</w:t>
      </w:r>
      <w:r w:rsidR="00AE5E90">
        <w:rPr>
          <w:i/>
          <w:lang w:val="fr-CA"/>
        </w:rPr>
        <w:noBreakHyphen/>
      </w:r>
      <w:r w:rsidR="006B475F" w:rsidRPr="004E75DE">
        <w:rPr>
          <w:i/>
          <w:lang w:val="fr-CA"/>
        </w:rPr>
        <w:t xml:space="preserve">il atteinte au droit à la protection </w:t>
      </w:r>
      <w:r w:rsidR="00840DF2" w:rsidRPr="004E75DE">
        <w:rPr>
          <w:i/>
          <w:lang w:val="fr-CA"/>
        </w:rPr>
        <w:t xml:space="preserve">contre les fouilles, les perquisitions ou les saisies abusives? </w:t>
      </w:r>
      <w:r w:rsidRPr="004E75DE">
        <w:rPr>
          <w:i/>
          <w:lang w:val="fr-CA"/>
        </w:rPr>
        <w:t xml:space="preserve">— </w:t>
      </w:r>
      <w:r w:rsidR="00840DF2" w:rsidRPr="004E75DE">
        <w:rPr>
          <w:i/>
          <w:lang w:val="fr-CA"/>
        </w:rPr>
        <w:t>Dans l</w:t>
      </w:r>
      <w:r w:rsidR="00AE5E90">
        <w:rPr>
          <w:i/>
          <w:lang w:val="fr-CA"/>
        </w:rPr>
        <w:t>’</w:t>
      </w:r>
      <w:r w:rsidR="00840DF2" w:rsidRPr="004E75DE">
        <w:rPr>
          <w:i/>
          <w:lang w:val="fr-CA"/>
        </w:rPr>
        <w:t>affirmative, cette atteinte est</w:t>
      </w:r>
      <w:r w:rsidR="00AE5E90">
        <w:rPr>
          <w:i/>
          <w:lang w:val="fr-CA"/>
        </w:rPr>
        <w:noBreakHyphen/>
      </w:r>
      <w:r w:rsidR="00840DF2" w:rsidRPr="004E75DE">
        <w:rPr>
          <w:i/>
          <w:lang w:val="fr-CA"/>
        </w:rPr>
        <w:t xml:space="preserve">elle justifiable? </w:t>
      </w:r>
      <w:r w:rsidRPr="004E75DE">
        <w:rPr>
          <w:i/>
          <w:lang w:val="fr-CA"/>
        </w:rPr>
        <w:t xml:space="preserve">— </w:t>
      </w:r>
      <w:r w:rsidR="000C438A" w:rsidRPr="004E75DE">
        <w:rPr>
          <w:i/>
          <w:lang w:val="fr-CA"/>
        </w:rPr>
        <w:t>C</w:t>
      </w:r>
      <w:r w:rsidRPr="004E75DE">
        <w:rPr>
          <w:i/>
          <w:lang w:val="fr-CA"/>
        </w:rPr>
        <w:t>harte</w:t>
      </w:r>
      <w:r w:rsidR="0053257B" w:rsidRPr="004E75DE">
        <w:rPr>
          <w:i/>
          <w:lang w:val="fr-CA"/>
        </w:rPr>
        <w:t> </w:t>
      </w:r>
      <w:r w:rsidR="000C438A" w:rsidRPr="004E75DE">
        <w:rPr>
          <w:i/>
          <w:lang w:val="fr-CA"/>
        </w:rPr>
        <w:t>canadienne des droits et libertés</w:t>
      </w:r>
      <w:r w:rsidRPr="004E75DE">
        <w:rPr>
          <w:i/>
          <w:lang w:val="fr-CA"/>
        </w:rPr>
        <w:t xml:space="preserve">, </w:t>
      </w:r>
      <w:r w:rsidR="00AE5E90">
        <w:rPr>
          <w:i/>
          <w:lang w:val="fr-CA"/>
        </w:rPr>
        <w:t>art. </w:t>
      </w:r>
      <w:r w:rsidRPr="004E75DE">
        <w:rPr>
          <w:i/>
          <w:lang w:val="fr-CA"/>
        </w:rPr>
        <w:t>1, 8</w:t>
      </w:r>
      <w:r w:rsidR="006A43F5">
        <w:rPr>
          <w:i/>
          <w:lang w:val="fr-CA"/>
        </w:rPr>
        <w:t xml:space="preserve">, </w:t>
      </w:r>
      <w:r w:rsidRPr="004E75DE">
        <w:rPr>
          <w:i/>
          <w:lang w:val="fr-CA"/>
        </w:rPr>
        <w:t>11d) — Motor</w:t>
      </w:r>
      <w:r w:rsidR="0017448A">
        <w:rPr>
          <w:i/>
          <w:lang w:val="fr-CA"/>
        </w:rPr>
        <w:t xml:space="preserve"> Vehicle Act, R.S.B.C. </w:t>
      </w:r>
      <w:r w:rsidR="0017448A">
        <w:rPr>
          <w:i/>
          <w:lang w:val="fr-CA"/>
        </w:rPr>
        <w:lastRenderedPageBreak/>
        <w:t>1996, c. </w:t>
      </w:r>
      <w:r w:rsidRPr="004E75DE">
        <w:rPr>
          <w:i/>
          <w:lang w:val="fr-CA"/>
        </w:rPr>
        <w:t>318.</w:t>
      </w:r>
    </w:p>
    <w:p w:rsidR="00430441" w:rsidRPr="004E75DE" w:rsidRDefault="00430441" w:rsidP="00926B45">
      <w:pPr>
        <w:pStyle w:val="SCCNormalDoubleSpacing"/>
        <w:widowControl w:val="0"/>
        <w:spacing w:before="480" w:after="480"/>
        <w:rPr>
          <w:lang w:val="fr-CA"/>
        </w:rPr>
      </w:pPr>
      <w:r w:rsidRPr="004E75DE">
        <w:rPr>
          <w:lang w:val="fr-CA"/>
        </w:rPr>
        <w:tab/>
      </w:r>
      <w:r w:rsidR="0053257B" w:rsidRPr="004E75DE">
        <w:rPr>
          <w:color w:val="000000" w:themeColor="text1"/>
          <w:lang w:val="fr-CA"/>
        </w:rPr>
        <w:t>En 2010, la Colombie</w:t>
      </w:r>
      <w:r w:rsidR="00AE5E90">
        <w:rPr>
          <w:color w:val="000000" w:themeColor="text1"/>
          <w:lang w:val="fr-CA"/>
        </w:rPr>
        <w:noBreakHyphen/>
      </w:r>
      <w:r w:rsidR="0053257B" w:rsidRPr="004E75DE">
        <w:rPr>
          <w:color w:val="000000" w:themeColor="text1"/>
          <w:lang w:val="fr-CA"/>
        </w:rPr>
        <w:t>Britannique a créé le régime d</w:t>
      </w:r>
      <w:r w:rsidR="00AE5E90">
        <w:rPr>
          <w:color w:val="000000" w:themeColor="text1"/>
          <w:lang w:val="fr-CA"/>
        </w:rPr>
        <w:t>’</w:t>
      </w:r>
      <w:r w:rsidR="0053257B" w:rsidRPr="004E75DE">
        <w:rPr>
          <w:color w:val="000000" w:themeColor="text1"/>
          <w:lang w:val="fr-CA"/>
        </w:rPr>
        <w:t>interdiction automatique de conduire (RIAC). Ce régime représente le prolongement des efforts déployés depuis longtemps par la Colombie</w:t>
      </w:r>
      <w:r w:rsidR="00AE5E90">
        <w:rPr>
          <w:color w:val="000000" w:themeColor="text1"/>
          <w:lang w:val="fr-CA"/>
        </w:rPr>
        <w:noBreakHyphen/>
      </w:r>
      <w:r w:rsidR="0053257B" w:rsidRPr="004E75DE">
        <w:rPr>
          <w:color w:val="000000" w:themeColor="text1"/>
          <w:lang w:val="fr-CA"/>
        </w:rPr>
        <w:t>Britannique pour chasser les conducteurs aux facultés affaiblies de ses routes par l</w:t>
      </w:r>
      <w:r w:rsidR="00AE5E90">
        <w:rPr>
          <w:color w:val="000000" w:themeColor="text1"/>
          <w:lang w:val="fr-CA"/>
        </w:rPr>
        <w:t>’</w:t>
      </w:r>
      <w:r w:rsidR="0053257B" w:rsidRPr="004E75DE">
        <w:rPr>
          <w:color w:val="000000" w:themeColor="text1"/>
          <w:lang w:val="fr-CA"/>
        </w:rPr>
        <w:t xml:space="preserve">imposition de suspensions de permis, de sanctions et de programmes correctifs. </w:t>
      </w:r>
      <w:r w:rsidR="0053257B" w:rsidRPr="004E75DE">
        <w:rPr>
          <w:lang w:val="fr-CA"/>
        </w:rPr>
        <w:t xml:space="preserve">Selon le régime, il faut analyser </w:t>
      </w:r>
      <w:r w:rsidR="001644D7" w:rsidRPr="004E75DE">
        <w:rPr>
          <w:lang w:val="fr-CA"/>
        </w:rPr>
        <w:t>l</w:t>
      </w:r>
      <w:r w:rsidR="0053257B" w:rsidRPr="004E75DE">
        <w:rPr>
          <w:lang w:val="fr-CA"/>
        </w:rPr>
        <w:t xml:space="preserve">es </w:t>
      </w:r>
      <w:r w:rsidR="0053257B" w:rsidRPr="004E75DE">
        <w:rPr>
          <w:color w:val="000000" w:themeColor="text1"/>
          <w:lang w:val="fr-CA"/>
        </w:rPr>
        <w:t>échantillons d</w:t>
      </w:r>
      <w:r w:rsidR="00AE5E90">
        <w:rPr>
          <w:color w:val="000000" w:themeColor="text1"/>
          <w:lang w:val="fr-CA"/>
        </w:rPr>
        <w:t>’</w:t>
      </w:r>
      <w:r w:rsidR="0053257B" w:rsidRPr="004E75DE">
        <w:rPr>
          <w:color w:val="000000" w:themeColor="text1"/>
          <w:lang w:val="fr-CA"/>
        </w:rPr>
        <w:t>haleine de</w:t>
      </w:r>
      <w:r w:rsidR="001644D7" w:rsidRPr="004E75DE">
        <w:rPr>
          <w:color w:val="000000" w:themeColor="text1"/>
          <w:lang w:val="fr-CA"/>
        </w:rPr>
        <w:t>s</w:t>
      </w:r>
      <w:r w:rsidR="0053257B" w:rsidRPr="004E75DE">
        <w:rPr>
          <w:color w:val="000000" w:themeColor="text1"/>
          <w:lang w:val="fr-CA"/>
        </w:rPr>
        <w:t xml:space="preserve"> conducteurs lors d</w:t>
      </w:r>
      <w:r w:rsidR="00AE5E90">
        <w:rPr>
          <w:color w:val="000000" w:themeColor="text1"/>
          <w:lang w:val="fr-CA"/>
        </w:rPr>
        <w:t>’</w:t>
      </w:r>
      <w:r w:rsidR="0053257B" w:rsidRPr="004E75DE">
        <w:rPr>
          <w:color w:val="000000" w:themeColor="text1"/>
          <w:lang w:val="fr-CA"/>
        </w:rPr>
        <w:t>un contrôle routier au moyen d</w:t>
      </w:r>
      <w:r w:rsidR="00AE5E90">
        <w:rPr>
          <w:color w:val="000000" w:themeColor="text1"/>
          <w:lang w:val="fr-CA"/>
        </w:rPr>
        <w:t>’</w:t>
      </w:r>
      <w:r w:rsidR="0053257B" w:rsidRPr="004E75DE">
        <w:rPr>
          <w:color w:val="000000" w:themeColor="text1"/>
          <w:lang w:val="fr-CA"/>
        </w:rPr>
        <w:t xml:space="preserve">un appareil de détection approuvé (ADA). </w:t>
      </w:r>
      <w:r w:rsidR="0053257B" w:rsidRPr="004E75DE">
        <w:rPr>
          <w:lang w:val="fr-CA"/>
        </w:rPr>
        <w:t>L</w:t>
      </w:r>
      <w:r w:rsidR="0053257B" w:rsidRPr="004E75DE">
        <w:rPr>
          <w:color w:val="000000" w:themeColor="text1"/>
          <w:lang w:val="fr-CA"/>
        </w:rPr>
        <w:t>e résultat « échec » ainsi que le refus ou l</w:t>
      </w:r>
      <w:r w:rsidR="00AE5E90">
        <w:rPr>
          <w:color w:val="000000" w:themeColor="text1"/>
          <w:lang w:val="fr-CA"/>
        </w:rPr>
        <w:t>’</w:t>
      </w:r>
      <w:r w:rsidR="0053257B" w:rsidRPr="004E75DE">
        <w:rPr>
          <w:color w:val="000000" w:themeColor="text1"/>
          <w:lang w:val="fr-CA"/>
        </w:rPr>
        <w:t>omission du conducteur de fournir un échantillon entraînent tous deux une suspension du permis de 90 jours</w:t>
      </w:r>
      <w:r w:rsidRPr="004E75DE">
        <w:rPr>
          <w:lang w:val="fr-CA"/>
        </w:rPr>
        <w:t xml:space="preserve">. </w:t>
      </w:r>
      <w:r w:rsidR="0053257B" w:rsidRPr="004E75DE">
        <w:rPr>
          <w:color w:val="000000" w:themeColor="text1"/>
          <w:lang w:val="fr-CA"/>
        </w:rPr>
        <w:t xml:space="preserve">Le résultat « avertissement » se traduit par une suspension plus courte de </w:t>
      </w:r>
      <w:r w:rsidR="00F3787F">
        <w:rPr>
          <w:color w:val="000000" w:themeColor="text1"/>
          <w:lang w:val="fr-CA"/>
        </w:rPr>
        <w:t>3</w:t>
      </w:r>
      <w:r w:rsidR="0053257B" w:rsidRPr="004E75DE">
        <w:rPr>
          <w:color w:val="000000" w:themeColor="text1"/>
          <w:lang w:val="fr-CA"/>
        </w:rPr>
        <w:t xml:space="preserve"> à 30 jours</w:t>
      </w:r>
      <w:r w:rsidRPr="004E75DE">
        <w:rPr>
          <w:lang w:val="fr-CA"/>
        </w:rPr>
        <w:t xml:space="preserve">. </w:t>
      </w:r>
      <w:r w:rsidR="00DA6C51" w:rsidRPr="004E75DE">
        <w:rPr>
          <w:lang w:val="fr-CA"/>
        </w:rPr>
        <w:t xml:space="preserve">Il existe une </w:t>
      </w:r>
      <w:r w:rsidR="0053257B" w:rsidRPr="004E75DE">
        <w:rPr>
          <w:color w:val="000000" w:themeColor="text1"/>
          <w:lang w:val="fr-CA"/>
        </w:rPr>
        <w:t>procédure de contrôle des suspensions</w:t>
      </w:r>
      <w:r w:rsidR="00DA6C51" w:rsidRPr="004E75DE">
        <w:rPr>
          <w:color w:val="000000" w:themeColor="text1"/>
          <w:lang w:val="fr-CA"/>
        </w:rPr>
        <w:t xml:space="preserve">, mais elle </w:t>
      </w:r>
      <w:r w:rsidR="0053257B" w:rsidRPr="004E75DE">
        <w:rPr>
          <w:color w:val="000000" w:themeColor="text1"/>
          <w:lang w:val="fr-CA"/>
        </w:rPr>
        <w:t xml:space="preserve">permet seulement au </w:t>
      </w:r>
      <w:r w:rsidR="0013124B">
        <w:rPr>
          <w:color w:val="000000" w:themeColor="text1"/>
          <w:lang w:val="fr-CA"/>
        </w:rPr>
        <w:t>Superintendent of Motor Vehicles (« Surintendant »)</w:t>
      </w:r>
      <w:r w:rsidR="0053257B" w:rsidRPr="004E75DE">
        <w:rPr>
          <w:color w:val="000000" w:themeColor="text1"/>
          <w:lang w:val="fr-CA"/>
        </w:rPr>
        <w:t xml:space="preserve"> de</w:t>
      </w:r>
      <w:r w:rsidR="00DA6C51" w:rsidRPr="004E75DE">
        <w:rPr>
          <w:color w:val="000000" w:themeColor="text1"/>
          <w:lang w:val="fr-CA"/>
        </w:rPr>
        <w:t xml:space="preserve"> décider si </w:t>
      </w:r>
      <w:r w:rsidR="0053257B" w:rsidRPr="004E75DE">
        <w:rPr>
          <w:color w:val="000000" w:themeColor="text1"/>
          <w:lang w:val="fr-CA"/>
        </w:rPr>
        <w:t>le demandeur était</w:t>
      </w:r>
      <w:r w:rsidR="00DA6C51" w:rsidRPr="004E75DE">
        <w:rPr>
          <w:color w:val="000000" w:themeColor="text1"/>
          <w:lang w:val="fr-CA"/>
        </w:rPr>
        <w:t xml:space="preserve"> </w:t>
      </w:r>
      <w:r w:rsidR="0053257B" w:rsidRPr="004E75DE">
        <w:rPr>
          <w:color w:val="000000" w:themeColor="text1"/>
          <w:lang w:val="fr-CA"/>
        </w:rPr>
        <w:t>un « conducteur » et</w:t>
      </w:r>
      <w:r w:rsidR="00DA6C51" w:rsidRPr="004E75DE">
        <w:rPr>
          <w:color w:val="000000" w:themeColor="text1"/>
          <w:lang w:val="fr-CA"/>
        </w:rPr>
        <w:t xml:space="preserve"> si</w:t>
      </w:r>
      <w:r w:rsidR="0053257B" w:rsidRPr="004E75DE">
        <w:rPr>
          <w:color w:val="000000" w:themeColor="text1"/>
          <w:lang w:val="fr-CA"/>
        </w:rPr>
        <w:t xml:space="preserve"> l</w:t>
      </w:r>
      <w:r w:rsidR="00AE5E90">
        <w:rPr>
          <w:color w:val="000000" w:themeColor="text1"/>
          <w:lang w:val="fr-CA"/>
        </w:rPr>
        <w:t>’</w:t>
      </w:r>
      <w:r w:rsidR="0053257B" w:rsidRPr="004E75DE">
        <w:rPr>
          <w:color w:val="000000" w:themeColor="text1"/>
          <w:lang w:val="fr-CA"/>
        </w:rPr>
        <w:t>ADA a</w:t>
      </w:r>
      <w:r w:rsidR="00DA6C51" w:rsidRPr="004E75DE">
        <w:rPr>
          <w:color w:val="000000" w:themeColor="text1"/>
          <w:lang w:val="fr-CA"/>
        </w:rPr>
        <w:t xml:space="preserve"> </w:t>
      </w:r>
      <w:r w:rsidR="0053257B" w:rsidRPr="004E75DE">
        <w:rPr>
          <w:color w:val="000000" w:themeColor="text1"/>
          <w:lang w:val="fr-CA"/>
        </w:rPr>
        <w:t>affiché le résultat « échec » ou « avertissement », ou</w:t>
      </w:r>
      <w:r w:rsidR="00DA6C51" w:rsidRPr="004E75DE">
        <w:rPr>
          <w:color w:val="000000" w:themeColor="text1"/>
          <w:lang w:val="fr-CA"/>
        </w:rPr>
        <w:t xml:space="preserve"> si</w:t>
      </w:r>
      <w:r w:rsidR="0053257B" w:rsidRPr="004E75DE">
        <w:rPr>
          <w:color w:val="000000" w:themeColor="text1"/>
          <w:lang w:val="fr-CA"/>
        </w:rPr>
        <w:t xml:space="preserve"> le demandeur a</w:t>
      </w:r>
      <w:r w:rsidR="00DA6C51" w:rsidRPr="004E75DE">
        <w:rPr>
          <w:color w:val="000000" w:themeColor="text1"/>
          <w:lang w:val="fr-CA"/>
        </w:rPr>
        <w:t xml:space="preserve"> </w:t>
      </w:r>
      <w:r w:rsidR="0053257B" w:rsidRPr="004E75DE">
        <w:rPr>
          <w:color w:val="000000" w:themeColor="text1"/>
          <w:lang w:val="fr-CA"/>
        </w:rPr>
        <w:t>refusé de fournir un échantillon</w:t>
      </w:r>
      <w:r w:rsidRPr="004E75DE">
        <w:rPr>
          <w:lang w:val="fr-CA"/>
        </w:rPr>
        <w:t>.</w:t>
      </w:r>
    </w:p>
    <w:p w:rsidR="00430441" w:rsidRPr="004E75DE" w:rsidRDefault="00430441" w:rsidP="00926B45">
      <w:pPr>
        <w:pStyle w:val="SCCNormalDoubleSpacing"/>
        <w:widowControl w:val="0"/>
        <w:spacing w:before="480" w:after="480"/>
        <w:rPr>
          <w:lang w:val="fr-CA"/>
        </w:rPr>
      </w:pPr>
      <w:r w:rsidRPr="004E75DE">
        <w:rPr>
          <w:lang w:val="fr-CA"/>
        </w:rPr>
        <w:tab/>
      </w:r>
      <w:r w:rsidR="00DA6C51" w:rsidRPr="004E75DE">
        <w:rPr>
          <w:lang w:val="fr-CA"/>
        </w:rPr>
        <w:t>Il s</w:t>
      </w:r>
      <w:r w:rsidR="00AE5E90">
        <w:rPr>
          <w:lang w:val="fr-CA"/>
        </w:rPr>
        <w:t>’</w:t>
      </w:r>
      <w:r w:rsidR="00DA6C51" w:rsidRPr="004E75DE">
        <w:rPr>
          <w:lang w:val="fr-CA"/>
        </w:rPr>
        <w:t>agit en l</w:t>
      </w:r>
      <w:r w:rsidR="00AE5E90">
        <w:rPr>
          <w:lang w:val="fr-CA"/>
        </w:rPr>
        <w:t>’</w:t>
      </w:r>
      <w:r w:rsidR="00DA6C51" w:rsidRPr="004E75DE">
        <w:rPr>
          <w:lang w:val="fr-CA"/>
        </w:rPr>
        <w:t>espèce de dé</w:t>
      </w:r>
      <w:r w:rsidR="009C7500" w:rsidRPr="004E75DE">
        <w:rPr>
          <w:lang w:val="fr-CA"/>
        </w:rPr>
        <w:t>cider</w:t>
      </w:r>
      <w:r w:rsidR="00DA6C51" w:rsidRPr="004E75DE">
        <w:rPr>
          <w:lang w:val="fr-CA"/>
        </w:rPr>
        <w:t xml:space="preserve"> si le RIAC </w:t>
      </w:r>
      <w:r w:rsidRPr="004E75DE">
        <w:rPr>
          <w:lang w:val="fr-CA"/>
        </w:rPr>
        <w:t xml:space="preserve"> </w:t>
      </w:r>
      <w:r w:rsidR="00DA6C51" w:rsidRPr="004E75DE">
        <w:rPr>
          <w:color w:val="000000" w:themeColor="text1"/>
          <w:lang w:val="fr-CA"/>
        </w:rPr>
        <w:t>excède la compétence législative de la province et empiète sur la compétence exclusive du gouvernement fédéral en matière de droit criminel</w:t>
      </w:r>
      <w:r w:rsidRPr="004E75DE">
        <w:rPr>
          <w:lang w:val="fr-CA"/>
        </w:rPr>
        <w:t>.</w:t>
      </w:r>
      <w:r w:rsidR="009C7500" w:rsidRPr="004E75DE">
        <w:rPr>
          <w:lang w:val="fr-CA"/>
        </w:rPr>
        <w:t xml:space="preserve"> Il s</w:t>
      </w:r>
      <w:r w:rsidR="00AE5E90">
        <w:rPr>
          <w:lang w:val="fr-CA"/>
        </w:rPr>
        <w:t>’</w:t>
      </w:r>
      <w:r w:rsidR="009C7500" w:rsidRPr="004E75DE">
        <w:rPr>
          <w:lang w:val="fr-CA"/>
        </w:rPr>
        <w:t xml:space="preserve">agit également de déterminer si le régime provincial </w:t>
      </w:r>
      <w:r w:rsidR="009C7500" w:rsidRPr="004E75DE">
        <w:rPr>
          <w:color w:val="000000" w:themeColor="text1"/>
          <w:lang w:val="fr-CA"/>
        </w:rPr>
        <w:t xml:space="preserve">fait intervenir et porte atteinte en fin de compte à deux droits garantis par la </w:t>
      </w:r>
      <w:r w:rsidR="009C7500" w:rsidRPr="004E75DE">
        <w:rPr>
          <w:i/>
          <w:color w:val="000000" w:themeColor="text1"/>
          <w:lang w:val="fr-CA"/>
        </w:rPr>
        <w:t>Charte</w:t>
      </w:r>
      <w:r w:rsidR="00AE5E90">
        <w:rPr>
          <w:color w:val="000000" w:themeColor="text1"/>
          <w:lang w:val="fr-CA"/>
        </w:rPr>
        <w:t> :</w:t>
      </w:r>
      <w:r w:rsidR="009C7500" w:rsidRPr="004E75DE">
        <w:rPr>
          <w:color w:val="000000" w:themeColor="text1"/>
          <w:lang w:val="fr-CA"/>
        </w:rPr>
        <w:t xml:space="preserve"> la </w:t>
      </w:r>
      <w:r w:rsidRPr="004E75DE">
        <w:rPr>
          <w:lang w:val="fr-CA"/>
        </w:rPr>
        <w:t xml:space="preserve">protection </w:t>
      </w:r>
      <w:r w:rsidR="009C7500" w:rsidRPr="004E75DE">
        <w:rPr>
          <w:lang w:val="fr-CA"/>
        </w:rPr>
        <w:t>offerte par l</w:t>
      </w:r>
      <w:r w:rsidR="00AE5E90">
        <w:rPr>
          <w:lang w:val="fr-CA"/>
        </w:rPr>
        <w:t>’art. </w:t>
      </w:r>
      <w:r w:rsidR="009C7500" w:rsidRPr="004E75DE">
        <w:rPr>
          <w:lang w:val="fr-CA"/>
        </w:rPr>
        <w:t>8 contre les fouilles, perquisitions et saisies abusives ainsi que la présomption d</w:t>
      </w:r>
      <w:r w:rsidR="00AE5E90">
        <w:rPr>
          <w:lang w:val="fr-CA"/>
        </w:rPr>
        <w:t>’</w:t>
      </w:r>
      <w:r w:rsidRPr="004E75DE">
        <w:rPr>
          <w:lang w:val="fr-CA"/>
        </w:rPr>
        <w:t>innocence garant</w:t>
      </w:r>
      <w:r w:rsidR="009C7500" w:rsidRPr="004E75DE">
        <w:rPr>
          <w:lang w:val="fr-CA"/>
        </w:rPr>
        <w:t>i</w:t>
      </w:r>
      <w:r w:rsidRPr="004E75DE">
        <w:rPr>
          <w:lang w:val="fr-CA"/>
        </w:rPr>
        <w:t xml:space="preserve">e </w:t>
      </w:r>
      <w:r w:rsidR="009C7500" w:rsidRPr="004E75DE">
        <w:rPr>
          <w:lang w:val="fr-CA"/>
        </w:rPr>
        <w:t>par l</w:t>
      </w:r>
      <w:r w:rsidR="00AE5E90">
        <w:rPr>
          <w:lang w:val="fr-CA"/>
        </w:rPr>
        <w:t>’al. </w:t>
      </w:r>
      <w:r w:rsidRPr="004E75DE">
        <w:rPr>
          <w:lang w:val="fr-CA"/>
        </w:rPr>
        <w:t>11</w:t>
      </w:r>
      <w:r w:rsidRPr="004E75DE">
        <w:rPr>
          <w:i/>
          <w:lang w:val="fr-CA"/>
        </w:rPr>
        <w:t>d</w:t>
      </w:r>
      <w:r w:rsidRPr="004E75DE">
        <w:rPr>
          <w:lang w:val="fr-CA"/>
        </w:rPr>
        <w:t xml:space="preserve">). </w:t>
      </w:r>
      <w:r w:rsidR="00577D00" w:rsidRPr="004E75DE">
        <w:rPr>
          <w:lang w:val="fr-CA"/>
        </w:rPr>
        <w:t>Selon l</w:t>
      </w:r>
      <w:r w:rsidR="009C7500" w:rsidRPr="004E75DE">
        <w:rPr>
          <w:lang w:val="fr-CA"/>
        </w:rPr>
        <w:t>e juge en chambre</w:t>
      </w:r>
      <w:r w:rsidR="00577D00" w:rsidRPr="004E75DE">
        <w:rPr>
          <w:lang w:val="fr-CA"/>
        </w:rPr>
        <w:t xml:space="preserve">, le RIAC relève de la </w:t>
      </w:r>
      <w:r w:rsidRPr="004E75DE">
        <w:rPr>
          <w:lang w:val="fr-CA"/>
        </w:rPr>
        <w:t>province</w:t>
      </w:r>
      <w:r w:rsidR="00577D00" w:rsidRPr="004E75DE">
        <w:rPr>
          <w:lang w:val="fr-CA"/>
        </w:rPr>
        <w:t xml:space="preserve"> et l</w:t>
      </w:r>
      <w:r w:rsidR="00AE5E90">
        <w:rPr>
          <w:lang w:val="fr-CA"/>
        </w:rPr>
        <w:t>’al. </w:t>
      </w:r>
      <w:r w:rsidRPr="004E75DE">
        <w:rPr>
          <w:lang w:val="fr-CA"/>
        </w:rPr>
        <w:t>11</w:t>
      </w:r>
      <w:r w:rsidRPr="004E75DE">
        <w:rPr>
          <w:i/>
          <w:lang w:val="fr-CA"/>
        </w:rPr>
        <w:t>d</w:t>
      </w:r>
      <w:r w:rsidRPr="004E75DE">
        <w:rPr>
          <w:lang w:val="fr-CA"/>
        </w:rPr>
        <w:t xml:space="preserve">) </w:t>
      </w:r>
      <w:r w:rsidR="00577D00" w:rsidRPr="004E75DE">
        <w:rPr>
          <w:lang w:val="fr-CA"/>
        </w:rPr>
        <w:t xml:space="preserve">de la </w:t>
      </w:r>
      <w:r w:rsidRPr="004E75DE">
        <w:rPr>
          <w:i/>
          <w:lang w:val="fr-CA"/>
        </w:rPr>
        <w:t xml:space="preserve">Charte </w:t>
      </w:r>
      <w:r w:rsidR="00577D00" w:rsidRPr="004E75DE">
        <w:rPr>
          <w:lang w:val="fr-CA"/>
        </w:rPr>
        <w:t>ne s</w:t>
      </w:r>
      <w:r w:rsidR="00AE5E90">
        <w:rPr>
          <w:lang w:val="fr-CA"/>
        </w:rPr>
        <w:t>’</w:t>
      </w:r>
      <w:r w:rsidR="00577D00" w:rsidRPr="004E75DE">
        <w:rPr>
          <w:lang w:val="fr-CA"/>
        </w:rPr>
        <w:t>applique pas</w:t>
      </w:r>
      <w:r w:rsidR="00AE5E90">
        <w:rPr>
          <w:lang w:val="fr-CA"/>
        </w:rPr>
        <w:t xml:space="preserve">. </w:t>
      </w:r>
      <w:r w:rsidR="00577D00" w:rsidRPr="004E75DE">
        <w:rPr>
          <w:color w:val="000000" w:themeColor="text1"/>
          <w:lang w:val="fr-CA"/>
        </w:rPr>
        <w:t>Il a toutefois conclu que le RIAC viole l</w:t>
      </w:r>
      <w:r w:rsidR="00AE5E90">
        <w:rPr>
          <w:color w:val="000000" w:themeColor="text1"/>
          <w:lang w:val="fr-CA"/>
        </w:rPr>
        <w:t>’art. </w:t>
      </w:r>
      <w:r w:rsidR="00577D00" w:rsidRPr="004E75DE">
        <w:rPr>
          <w:color w:val="000000" w:themeColor="text1"/>
          <w:lang w:val="fr-CA"/>
        </w:rPr>
        <w:t>8 lorsque l</w:t>
      </w:r>
      <w:r w:rsidR="00AE5E90">
        <w:rPr>
          <w:color w:val="000000" w:themeColor="text1"/>
          <w:lang w:val="fr-CA"/>
        </w:rPr>
        <w:t>’</w:t>
      </w:r>
      <w:r w:rsidR="00577D00" w:rsidRPr="004E75DE">
        <w:rPr>
          <w:color w:val="000000" w:themeColor="text1"/>
          <w:lang w:val="fr-CA"/>
        </w:rPr>
        <w:t xml:space="preserve">appareil de détection </w:t>
      </w:r>
      <w:r w:rsidR="0017448A">
        <w:rPr>
          <w:color w:val="000000" w:themeColor="text1"/>
          <w:lang w:val="fr-CA"/>
        </w:rPr>
        <w:t xml:space="preserve">affiche le résultat </w:t>
      </w:r>
      <w:r w:rsidR="0017448A">
        <w:rPr>
          <w:color w:val="000000" w:themeColor="text1"/>
          <w:lang w:val="fr-CA"/>
        </w:rPr>
        <w:lastRenderedPageBreak/>
        <w:t>« échec </w:t>
      </w:r>
      <w:r w:rsidR="0094552B" w:rsidRPr="004E75DE">
        <w:rPr>
          <w:color w:val="000000" w:themeColor="text1"/>
          <w:lang w:val="fr-CA"/>
        </w:rPr>
        <w:t xml:space="preserve">», mais </w:t>
      </w:r>
      <w:r w:rsidR="00577D00" w:rsidRPr="004E75DE">
        <w:rPr>
          <w:color w:val="000000" w:themeColor="text1"/>
          <w:lang w:val="fr-CA"/>
        </w:rPr>
        <w:t>non lorsqu</w:t>
      </w:r>
      <w:r w:rsidR="0094552B" w:rsidRPr="004E75DE">
        <w:rPr>
          <w:color w:val="000000" w:themeColor="text1"/>
          <w:lang w:val="fr-CA"/>
        </w:rPr>
        <w:t xml:space="preserve">e le conducteur refuse </w:t>
      </w:r>
      <w:r w:rsidR="00577D00" w:rsidRPr="004E75DE">
        <w:rPr>
          <w:color w:val="000000" w:themeColor="text1"/>
          <w:lang w:val="fr-CA"/>
        </w:rPr>
        <w:t>de fournir un échantillon d</w:t>
      </w:r>
      <w:r w:rsidR="00AE5E90">
        <w:rPr>
          <w:color w:val="000000" w:themeColor="text1"/>
          <w:lang w:val="fr-CA"/>
        </w:rPr>
        <w:t>’</w:t>
      </w:r>
      <w:r w:rsidR="00577D00" w:rsidRPr="004E75DE">
        <w:rPr>
          <w:color w:val="000000" w:themeColor="text1"/>
          <w:lang w:val="fr-CA"/>
        </w:rPr>
        <w:t>haleine</w:t>
      </w:r>
      <w:r w:rsidRPr="004E75DE">
        <w:rPr>
          <w:lang w:val="fr-CA"/>
        </w:rPr>
        <w:t xml:space="preserve">. </w:t>
      </w:r>
      <w:r w:rsidR="00DA6C51" w:rsidRPr="004E75DE">
        <w:rPr>
          <w:lang w:val="fr-CA"/>
        </w:rPr>
        <w:t>Sa décision a été confirmée en appel</w:t>
      </w:r>
      <w:r w:rsidRPr="004E75DE">
        <w:rPr>
          <w:lang w:val="fr-CA"/>
        </w:rPr>
        <w:t>.</w:t>
      </w:r>
    </w:p>
    <w:p w:rsidR="00430441" w:rsidRPr="004E75DE" w:rsidRDefault="00430441" w:rsidP="00926B45">
      <w:pPr>
        <w:pStyle w:val="SCCNormalDoubleSpacing"/>
        <w:widowControl w:val="0"/>
        <w:spacing w:before="480" w:after="480"/>
        <w:rPr>
          <w:lang w:val="fr-CA"/>
        </w:rPr>
      </w:pPr>
      <w:r w:rsidRPr="004E75DE">
        <w:rPr>
          <w:i/>
          <w:lang w:val="fr-CA"/>
        </w:rPr>
        <w:tab/>
      </w:r>
      <w:r w:rsidR="00F72A5C" w:rsidRPr="004E75DE">
        <w:rPr>
          <w:i/>
          <w:lang w:val="fr-CA"/>
        </w:rPr>
        <w:t xml:space="preserve">Arrêt </w:t>
      </w:r>
      <w:r w:rsidRPr="004E75DE">
        <w:rPr>
          <w:lang w:val="fr-CA"/>
        </w:rPr>
        <w:t>(</w:t>
      </w:r>
      <w:r w:rsidR="00F72A5C" w:rsidRPr="004E75DE">
        <w:rPr>
          <w:lang w:val="fr-CA"/>
        </w:rPr>
        <w:t xml:space="preserve">la juge en chef </w:t>
      </w:r>
      <w:r w:rsidRPr="004E75DE">
        <w:rPr>
          <w:lang w:val="fr-CA"/>
        </w:rPr>
        <w:t xml:space="preserve">McLachlin </w:t>
      </w:r>
      <w:r w:rsidR="00850368" w:rsidRPr="004E75DE">
        <w:rPr>
          <w:lang w:val="fr-CA"/>
        </w:rPr>
        <w:t>est dissidente en partie</w:t>
      </w:r>
      <w:r w:rsidRPr="004E75DE">
        <w:rPr>
          <w:lang w:val="fr-CA"/>
        </w:rPr>
        <w:t>)</w:t>
      </w:r>
      <w:r w:rsidR="00AE5E90">
        <w:rPr>
          <w:lang w:val="fr-CA"/>
        </w:rPr>
        <w:t> :</w:t>
      </w:r>
      <w:r w:rsidRPr="004E75DE">
        <w:rPr>
          <w:lang w:val="fr-CA"/>
        </w:rPr>
        <w:t xml:space="preserve"> </w:t>
      </w:r>
      <w:r w:rsidR="00F72A5C" w:rsidRPr="004E75DE">
        <w:rPr>
          <w:lang w:val="fr-CA"/>
        </w:rPr>
        <w:t>Les pourvois sont rejetés</w:t>
      </w:r>
      <w:r w:rsidR="00AE5E90">
        <w:rPr>
          <w:lang w:val="fr-CA"/>
        </w:rPr>
        <w:t xml:space="preserve">. </w:t>
      </w:r>
    </w:p>
    <w:p w:rsidR="00C928E6" w:rsidRPr="004E75DE" w:rsidRDefault="009277B0" w:rsidP="00926B45">
      <w:pPr>
        <w:pStyle w:val="SCCNormalDoubleSpacing"/>
        <w:widowControl w:val="0"/>
        <w:spacing w:before="480" w:after="480"/>
        <w:rPr>
          <w:color w:val="000000" w:themeColor="text1"/>
          <w:lang w:val="fr-CA"/>
        </w:rPr>
      </w:pPr>
      <w:r w:rsidRPr="004E75DE">
        <w:rPr>
          <w:i/>
          <w:lang w:val="fr-CA"/>
        </w:rPr>
        <w:tab/>
        <w:t xml:space="preserve">Les </w:t>
      </w:r>
      <w:r w:rsidRPr="004E75DE">
        <w:rPr>
          <w:lang w:val="fr-CA"/>
        </w:rPr>
        <w:t xml:space="preserve">juges Cromwell, Moldaver, </w:t>
      </w:r>
      <w:r w:rsidRPr="008B6FA0">
        <w:rPr>
          <w:lang w:val="fr-CA"/>
        </w:rPr>
        <w:t>Karakatsanis</w:t>
      </w:r>
      <w:r w:rsidRPr="004E75DE">
        <w:rPr>
          <w:lang w:val="fr-CA"/>
        </w:rPr>
        <w:t>, Wagner, Gascon et Côté</w:t>
      </w:r>
      <w:r w:rsidR="00AE5E90">
        <w:rPr>
          <w:lang w:val="fr-CA"/>
        </w:rPr>
        <w:t> :</w:t>
      </w:r>
      <w:r w:rsidR="0017448A">
        <w:rPr>
          <w:lang w:val="fr-CA"/>
        </w:rPr>
        <w:t xml:space="preserve"> </w:t>
      </w:r>
      <w:r w:rsidRPr="004E75DE">
        <w:rPr>
          <w:lang w:val="fr-CA"/>
        </w:rPr>
        <w:t>L</w:t>
      </w:r>
      <w:r w:rsidRPr="004E75DE">
        <w:rPr>
          <w:iCs/>
          <w:color w:val="000000" w:themeColor="text1"/>
          <w:lang w:val="fr-CA"/>
        </w:rPr>
        <w:t xml:space="preserve">a </w:t>
      </w:r>
      <w:r w:rsidR="001644D7" w:rsidRPr="0017448A">
        <w:rPr>
          <w:color w:val="000000" w:themeColor="text1"/>
          <w:lang w:val="fr-CA"/>
        </w:rPr>
        <w:t>p</w:t>
      </w:r>
      <w:r w:rsidRPr="0017448A">
        <w:rPr>
          <w:color w:val="000000" w:themeColor="text1"/>
          <w:lang w:val="fr-CA"/>
        </w:rPr>
        <w:t>rovince</w:t>
      </w:r>
      <w:r w:rsidRPr="004E75DE">
        <w:rPr>
          <w:iCs/>
          <w:color w:val="000000" w:themeColor="text1"/>
          <w:lang w:val="fr-CA"/>
        </w:rPr>
        <w:t>, en instaurant le RIAC, avait pour objectif non pas d</w:t>
      </w:r>
      <w:r w:rsidR="00AE5E90">
        <w:rPr>
          <w:iCs/>
          <w:color w:val="000000" w:themeColor="text1"/>
          <w:lang w:val="fr-CA"/>
        </w:rPr>
        <w:t>’</w:t>
      </w:r>
      <w:r w:rsidRPr="004E75DE">
        <w:rPr>
          <w:iCs/>
          <w:color w:val="000000" w:themeColor="text1"/>
          <w:lang w:val="fr-CA"/>
        </w:rPr>
        <w:t>écarter le droit criminel, mais plutôt d</w:t>
      </w:r>
      <w:r w:rsidR="00AE5E90">
        <w:rPr>
          <w:iCs/>
          <w:color w:val="000000" w:themeColor="text1"/>
          <w:lang w:val="fr-CA"/>
        </w:rPr>
        <w:t>’</w:t>
      </w:r>
      <w:r w:rsidRPr="004E75DE">
        <w:rPr>
          <w:iCs/>
          <w:color w:val="000000" w:themeColor="text1"/>
          <w:lang w:val="fr-CA"/>
        </w:rPr>
        <w:t>empêcher les décès et les blessures graves sur les chemins publics en en chassant les conducteurs en état d</w:t>
      </w:r>
      <w:r w:rsidR="00AE5E90">
        <w:rPr>
          <w:iCs/>
          <w:color w:val="000000" w:themeColor="text1"/>
          <w:lang w:val="fr-CA"/>
        </w:rPr>
        <w:t>’</w:t>
      </w:r>
      <w:r w:rsidRPr="004E75DE">
        <w:rPr>
          <w:iCs/>
          <w:color w:val="000000" w:themeColor="text1"/>
          <w:lang w:val="fr-CA"/>
        </w:rPr>
        <w:t xml:space="preserve">ébriété et en décourageant la conduite avec facultés affaiblies. </w:t>
      </w:r>
      <w:r w:rsidR="00D95F48" w:rsidRPr="004E75DE">
        <w:rPr>
          <w:iCs/>
          <w:color w:val="000000" w:themeColor="text1"/>
          <w:lang w:val="fr-CA"/>
        </w:rPr>
        <w:t>L</w:t>
      </w:r>
      <w:r w:rsidR="00D95F48" w:rsidRPr="004E75DE">
        <w:rPr>
          <w:color w:val="000000" w:themeColor="text1"/>
          <w:lang w:val="fr-CA"/>
        </w:rPr>
        <w:t>e RIAC, de par son caractère véritable, vise à délivrer des permis de conduire, à renforcer la sécurité routière et à dissuader les gens de conduire avec les facultés affaiblies par l</w:t>
      </w:r>
      <w:r w:rsidR="00AE5E90">
        <w:rPr>
          <w:color w:val="000000" w:themeColor="text1"/>
          <w:lang w:val="fr-CA"/>
        </w:rPr>
        <w:t>’</w:t>
      </w:r>
      <w:r w:rsidR="00D95F48" w:rsidRPr="004E75DE">
        <w:rPr>
          <w:color w:val="000000" w:themeColor="text1"/>
          <w:lang w:val="fr-CA"/>
        </w:rPr>
        <w:t>alcool</w:t>
      </w:r>
      <w:r w:rsidRPr="004E75DE">
        <w:rPr>
          <w:lang w:val="fr-CA"/>
        </w:rPr>
        <w:t>.</w:t>
      </w:r>
      <w:r w:rsidR="00D95F48" w:rsidRPr="004E75DE">
        <w:rPr>
          <w:lang w:val="fr-CA"/>
        </w:rPr>
        <w:t xml:space="preserve"> </w:t>
      </w:r>
      <w:r w:rsidR="00D95F48" w:rsidRPr="004E75DE">
        <w:rPr>
          <w:iCs/>
          <w:color w:val="000000" w:themeColor="text1"/>
          <w:lang w:val="fr-CA"/>
        </w:rPr>
        <w:t>Les provinces jouent un rôle important quand elles assurent la sécurité routière, notamment en décidant qui est en mesure de conduire et en chassant les conducteurs dangereux des routes. Les programmes provinciaux de lutte contre la conduite en état d</w:t>
      </w:r>
      <w:r w:rsidR="00AE5E90">
        <w:rPr>
          <w:iCs/>
          <w:color w:val="000000" w:themeColor="text1"/>
          <w:lang w:val="fr-CA"/>
        </w:rPr>
        <w:t>’</w:t>
      </w:r>
      <w:r w:rsidR="00D95F48" w:rsidRPr="004E75DE">
        <w:rPr>
          <w:iCs/>
          <w:color w:val="000000" w:themeColor="text1"/>
          <w:lang w:val="fr-CA"/>
        </w:rPr>
        <w:t>ébriété et le droit criminel sont souvent interreliés.</w:t>
      </w:r>
      <w:r w:rsidR="00D95F48" w:rsidRPr="004E75DE">
        <w:rPr>
          <w:lang w:val="fr-CA"/>
        </w:rPr>
        <w:t xml:space="preserve"> U</w:t>
      </w:r>
      <w:r w:rsidR="00D95F48" w:rsidRPr="004E75DE">
        <w:rPr>
          <w:color w:val="000000" w:themeColor="text1"/>
          <w:lang w:val="fr-CA"/>
        </w:rPr>
        <w:t>ne loi provinciale n</w:t>
      </w:r>
      <w:r w:rsidR="00AE5E90">
        <w:rPr>
          <w:color w:val="000000" w:themeColor="text1"/>
          <w:lang w:val="fr-CA"/>
        </w:rPr>
        <w:t>’</w:t>
      </w:r>
      <w:r w:rsidR="00D95F48" w:rsidRPr="004E75DE">
        <w:rPr>
          <w:color w:val="000000" w:themeColor="text1"/>
          <w:lang w:val="fr-CA"/>
        </w:rPr>
        <w:t>empiète pas sur la compétence fédérale en matière de droit criminel du seul fait qu</w:t>
      </w:r>
      <w:r w:rsidR="00AE5E90">
        <w:rPr>
          <w:color w:val="000000" w:themeColor="text1"/>
          <w:lang w:val="fr-CA"/>
        </w:rPr>
        <w:t>’</w:t>
      </w:r>
      <w:r w:rsidR="00D95F48" w:rsidRPr="004E75DE">
        <w:rPr>
          <w:color w:val="000000" w:themeColor="text1"/>
          <w:lang w:val="fr-CA"/>
        </w:rPr>
        <w:t xml:space="preserve">elle a pour objet de cibler une conduite qui est également visée par le </w:t>
      </w:r>
      <w:r w:rsidR="00D95F48" w:rsidRPr="004E75DE">
        <w:rPr>
          <w:i/>
          <w:color w:val="000000" w:themeColor="text1"/>
          <w:lang w:val="fr-CA"/>
        </w:rPr>
        <w:t>Code criminel</w:t>
      </w:r>
      <w:r w:rsidRPr="004E75DE">
        <w:rPr>
          <w:lang w:val="fr-CA"/>
        </w:rPr>
        <w:t xml:space="preserve">. </w:t>
      </w:r>
      <w:r w:rsidR="00C928E6" w:rsidRPr="004E75DE">
        <w:rPr>
          <w:lang w:val="fr-CA"/>
        </w:rPr>
        <w:t>L</w:t>
      </w:r>
      <w:r w:rsidR="00C928E6" w:rsidRPr="004E75DE">
        <w:rPr>
          <w:color w:val="000000" w:themeColor="text1"/>
          <w:lang w:val="fr-CA"/>
        </w:rPr>
        <w:t>a dissuasion peut être un objectif du droit provinci</w:t>
      </w:r>
      <w:r w:rsidR="00AE5E90">
        <w:rPr>
          <w:color w:val="000000" w:themeColor="text1"/>
          <w:lang w:val="fr-CA"/>
        </w:rPr>
        <w:t>al. </w:t>
      </w:r>
      <w:r w:rsidR="00C928E6" w:rsidRPr="004E75DE">
        <w:rPr>
          <w:color w:val="000000" w:themeColor="text1"/>
          <w:lang w:val="fr-CA"/>
        </w:rPr>
        <w:t xml:space="preserve">Il ne fait aucun doute que la matière relève de la compétence provinciale sur la propriété et les droits civils dans la province. </w:t>
      </w:r>
      <w:r w:rsidR="00D653CA" w:rsidRPr="004E75DE">
        <w:rPr>
          <w:color w:val="000000" w:themeColor="text1"/>
          <w:lang w:val="fr-CA"/>
        </w:rPr>
        <w:t>La loi est donc valide du</w:t>
      </w:r>
      <w:r w:rsidR="00C928E6" w:rsidRPr="004E75DE">
        <w:rPr>
          <w:color w:val="000000" w:themeColor="text1"/>
          <w:lang w:val="fr-CA"/>
        </w:rPr>
        <w:t xml:space="preserve"> point de vue du </w:t>
      </w:r>
      <w:r w:rsidR="00D653CA" w:rsidRPr="004E75DE">
        <w:rPr>
          <w:color w:val="000000" w:themeColor="text1"/>
          <w:lang w:val="fr-CA"/>
        </w:rPr>
        <w:t xml:space="preserve">partage des </w:t>
      </w:r>
      <w:r w:rsidR="0085344B">
        <w:rPr>
          <w:color w:val="000000" w:themeColor="text1"/>
          <w:lang w:val="fr-CA"/>
        </w:rPr>
        <w:t>compétences</w:t>
      </w:r>
      <w:r w:rsidR="00C928E6" w:rsidRPr="004E75DE">
        <w:rPr>
          <w:color w:val="000000" w:themeColor="text1"/>
          <w:lang w:val="fr-CA"/>
        </w:rPr>
        <w:t>.</w:t>
      </w:r>
    </w:p>
    <w:p w:rsidR="009277B0" w:rsidRPr="004E75DE" w:rsidRDefault="009277B0" w:rsidP="00926B45">
      <w:pPr>
        <w:pStyle w:val="SCCNormalDoubleSpacing"/>
        <w:widowControl w:val="0"/>
        <w:spacing w:before="480" w:after="480"/>
        <w:rPr>
          <w:lang w:val="fr-CA"/>
        </w:rPr>
      </w:pPr>
      <w:r w:rsidRPr="004E75DE">
        <w:rPr>
          <w:lang w:val="fr-CA"/>
        </w:rPr>
        <w:tab/>
      </w:r>
      <w:r w:rsidR="00D653CA" w:rsidRPr="004E75DE">
        <w:rPr>
          <w:lang w:val="fr-CA"/>
        </w:rPr>
        <w:t>L</w:t>
      </w:r>
      <w:r w:rsidR="00D653CA" w:rsidRPr="004E75DE">
        <w:rPr>
          <w:color w:val="000000" w:themeColor="text1"/>
          <w:lang w:val="fr-CA"/>
        </w:rPr>
        <w:t xml:space="preserve">e RIAC ne crée pas une infraction visée </w:t>
      </w:r>
      <w:r w:rsidR="001644D7" w:rsidRPr="004E75DE">
        <w:rPr>
          <w:color w:val="000000" w:themeColor="text1"/>
          <w:lang w:val="fr-CA"/>
        </w:rPr>
        <w:t>par</w:t>
      </w:r>
      <w:r w:rsidR="00D653CA" w:rsidRPr="004E75DE">
        <w:rPr>
          <w:color w:val="000000" w:themeColor="text1"/>
          <w:lang w:val="fr-CA"/>
        </w:rPr>
        <w:t xml:space="preserve"> l</w:t>
      </w:r>
      <w:r w:rsidR="00AE5E90">
        <w:rPr>
          <w:color w:val="000000" w:themeColor="text1"/>
          <w:lang w:val="fr-CA"/>
        </w:rPr>
        <w:t>’</w:t>
      </w:r>
      <w:r w:rsidR="00B96857">
        <w:rPr>
          <w:color w:val="000000" w:themeColor="text1"/>
          <w:lang w:val="fr-CA"/>
        </w:rPr>
        <w:t>al</w:t>
      </w:r>
      <w:r w:rsidR="00AE5E90">
        <w:rPr>
          <w:color w:val="000000" w:themeColor="text1"/>
          <w:lang w:val="fr-CA"/>
        </w:rPr>
        <w:t>. </w:t>
      </w:r>
      <w:r w:rsidR="00D653CA" w:rsidRPr="004E75DE">
        <w:rPr>
          <w:color w:val="000000" w:themeColor="text1"/>
          <w:lang w:val="fr-CA"/>
        </w:rPr>
        <w:t>11</w:t>
      </w:r>
      <w:r w:rsidR="0085344B" w:rsidRPr="0085344B">
        <w:rPr>
          <w:i/>
          <w:color w:val="000000" w:themeColor="text1"/>
          <w:lang w:val="fr-CA"/>
        </w:rPr>
        <w:t>d</w:t>
      </w:r>
      <w:r w:rsidR="0085344B">
        <w:rPr>
          <w:color w:val="000000" w:themeColor="text1"/>
          <w:lang w:val="fr-CA"/>
        </w:rPr>
        <w:t>)</w:t>
      </w:r>
      <w:r w:rsidR="00D653CA" w:rsidRPr="004E75DE">
        <w:rPr>
          <w:color w:val="000000" w:themeColor="text1"/>
          <w:lang w:val="fr-CA"/>
        </w:rPr>
        <w:t xml:space="preserve"> de la </w:t>
      </w:r>
      <w:r w:rsidR="00D653CA" w:rsidRPr="004E75DE">
        <w:rPr>
          <w:i/>
          <w:color w:val="000000" w:themeColor="text1"/>
          <w:lang w:val="fr-CA"/>
        </w:rPr>
        <w:t>Charte</w:t>
      </w:r>
      <w:r w:rsidRPr="004E75DE">
        <w:rPr>
          <w:lang w:val="fr-CA"/>
        </w:rPr>
        <w:t xml:space="preserve">. </w:t>
      </w:r>
      <w:r w:rsidR="00D653CA" w:rsidRPr="004E75DE">
        <w:rPr>
          <w:lang w:val="fr-CA"/>
        </w:rPr>
        <w:t xml:space="preserve">Il </w:t>
      </w:r>
      <w:r w:rsidR="00D653CA" w:rsidRPr="004E75DE">
        <w:rPr>
          <w:color w:val="000000" w:themeColor="text1"/>
          <w:szCs w:val="24"/>
          <w:lang w:val="fr-CA"/>
        </w:rPr>
        <w:t xml:space="preserve">ne </w:t>
      </w:r>
      <w:r w:rsidR="00D653CA" w:rsidRPr="004E75DE">
        <w:rPr>
          <w:color w:val="000000" w:themeColor="text1"/>
          <w:szCs w:val="24"/>
          <w:lang w:val="fr-CA"/>
        </w:rPr>
        <w:lastRenderedPageBreak/>
        <w:t>vise pas à réparer en audience publique le tort causé à la société; il vise plutôt à encadrer les conducteurs et la délivrance de permis et à assurer la sécurité routière</w:t>
      </w:r>
      <w:r w:rsidRPr="004E75DE">
        <w:rPr>
          <w:lang w:val="fr-CA"/>
        </w:rPr>
        <w:t xml:space="preserve">. </w:t>
      </w:r>
      <w:r w:rsidR="00D653CA" w:rsidRPr="004E75DE">
        <w:rPr>
          <w:color w:val="000000" w:themeColor="text1"/>
          <w:szCs w:val="24"/>
          <w:lang w:val="fr-CA"/>
        </w:rPr>
        <w:t>Même si le régime a un lien avec le droit criminel, en ce sens qu</w:t>
      </w:r>
      <w:r w:rsidR="00AE5E90">
        <w:rPr>
          <w:color w:val="000000" w:themeColor="text1"/>
          <w:szCs w:val="24"/>
          <w:lang w:val="fr-CA"/>
        </w:rPr>
        <w:t>’</w:t>
      </w:r>
      <w:r w:rsidR="00D653CA" w:rsidRPr="004E75DE">
        <w:rPr>
          <w:color w:val="000000" w:themeColor="text1"/>
          <w:szCs w:val="24"/>
          <w:lang w:val="fr-CA"/>
        </w:rPr>
        <w:t xml:space="preserve">il dépend des pouvoirs de saisie prévus par le </w:t>
      </w:r>
      <w:r w:rsidR="00D653CA" w:rsidRPr="004E75DE">
        <w:rPr>
          <w:i/>
          <w:color w:val="000000" w:themeColor="text1"/>
          <w:szCs w:val="24"/>
          <w:lang w:val="fr-CA"/>
        </w:rPr>
        <w:t>Code criminel</w:t>
      </w:r>
      <w:r w:rsidR="00D653CA" w:rsidRPr="004E75DE">
        <w:rPr>
          <w:color w:val="000000" w:themeColor="text1"/>
          <w:szCs w:val="24"/>
          <w:lang w:val="fr-CA"/>
        </w:rPr>
        <w:t xml:space="preserve"> et est appliqué par la police, il est plus exact de le qualifier de procédure de nature administrative.</w:t>
      </w:r>
      <w:r w:rsidRPr="004E75DE">
        <w:rPr>
          <w:lang w:val="fr-CA"/>
        </w:rPr>
        <w:t xml:space="preserve"> </w:t>
      </w:r>
      <w:r w:rsidR="00D653CA" w:rsidRPr="004E75DE">
        <w:rPr>
          <w:lang w:val="fr-CA"/>
        </w:rPr>
        <w:t xml:space="preserve">De plus, le RIAC </w:t>
      </w:r>
      <w:r w:rsidR="00D653CA" w:rsidRPr="004E75DE">
        <w:rPr>
          <w:color w:val="000000" w:themeColor="text1"/>
          <w:lang w:val="fr-CA"/>
        </w:rPr>
        <w:t>n</w:t>
      </w:r>
      <w:r w:rsidR="00AE5E90">
        <w:rPr>
          <w:color w:val="000000" w:themeColor="text1"/>
          <w:lang w:val="fr-CA"/>
        </w:rPr>
        <w:t>’</w:t>
      </w:r>
      <w:r w:rsidR="00D653CA" w:rsidRPr="004E75DE">
        <w:rPr>
          <w:color w:val="000000" w:themeColor="text1"/>
          <w:lang w:val="fr-CA"/>
        </w:rPr>
        <w:t>impose pas de véritables conséquences pénales</w:t>
      </w:r>
      <w:r w:rsidRPr="004E75DE">
        <w:rPr>
          <w:lang w:val="fr-CA"/>
        </w:rPr>
        <w:t xml:space="preserve">. </w:t>
      </w:r>
      <w:r w:rsidR="00D653CA" w:rsidRPr="004E75DE">
        <w:rPr>
          <w:color w:val="000000" w:themeColor="text1"/>
          <w:lang w:val="fr-CA"/>
        </w:rPr>
        <w:t>Bien qu</w:t>
      </w:r>
      <w:r w:rsidR="00AE5E90">
        <w:rPr>
          <w:color w:val="000000" w:themeColor="text1"/>
          <w:lang w:val="fr-CA"/>
        </w:rPr>
        <w:t>’</w:t>
      </w:r>
      <w:r w:rsidR="00D653CA" w:rsidRPr="004E75DE">
        <w:rPr>
          <w:color w:val="000000" w:themeColor="text1"/>
          <w:lang w:val="fr-CA"/>
        </w:rPr>
        <w:t>une suspension de 90 jours représente une conséquence importante pour quiconque viole un régime de permis, et que l</w:t>
      </w:r>
      <w:r w:rsidR="00AE5E90">
        <w:rPr>
          <w:color w:val="000000" w:themeColor="text1"/>
          <w:lang w:val="fr-CA"/>
        </w:rPr>
        <w:t>’</w:t>
      </w:r>
      <w:r w:rsidR="00D653CA" w:rsidRPr="004E75DE">
        <w:rPr>
          <w:color w:val="000000" w:themeColor="text1"/>
          <w:lang w:val="fr-CA"/>
        </w:rPr>
        <w:t>imposition potentielle d</w:t>
      </w:r>
      <w:r w:rsidR="00AE5E90">
        <w:rPr>
          <w:color w:val="000000" w:themeColor="text1"/>
          <w:lang w:val="fr-CA"/>
        </w:rPr>
        <w:t>’</w:t>
      </w:r>
      <w:r w:rsidR="00D653CA" w:rsidRPr="004E75DE">
        <w:rPr>
          <w:color w:val="000000" w:themeColor="text1"/>
          <w:lang w:val="fr-CA"/>
        </w:rPr>
        <w:t>environ 4 000</w:t>
      </w:r>
      <w:r w:rsidR="00AE5E90">
        <w:rPr>
          <w:color w:val="000000" w:themeColor="text1"/>
          <w:lang w:val="fr-CA"/>
        </w:rPr>
        <w:t> $</w:t>
      </w:r>
      <w:r w:rsidR="00D653CA" w:rsidRPr="004E75DE">
        <w:rPr>
          <w:color w:val="000000" w:themeColor="text1"/>
          <w:lang w:val="fr-CA"/>
        </w:rPr>
        <w:t xml:space="preserve"> en frais et sanctions soit sévère, ces conséquences ne sont pas suffisantes pour mettre en jeu les droits à un procès équitable consacrés à l</w:t>
      </w:r>
      <w:r w:rsidR="00AE5E90">
        <w:rPr>
          <w:color w:val="000000" w:themeColor="text1"/>
          <w:lang w:val="fr-CA"/>
        </w:rPr>
        <w:t>’art. </w:t>
      </w:r>
      <w:r w:rsidR="00D653CA" w:rsidRPr="004E75DE">
        <w:rPr>
          <w:color w:val="000000" w:themeColor="text1"/>
          <w:lang w:val="fr-CA"/>
        </w:rPr>
        <w:t>11</w:t>
      </w:r>
      <w:r w:rsidRPr="004E75DE">
        <w:rPr>
          <w:lang w:val="fr-CA"/>
        </w:rPr>
        <w:t xml:space="preserve">. </w:t>
      </w:r>
      <w:r w:rsidR="00D653CA" w:rsidRPr="004E75DE">
        <w:rPr>
          <w:color w:val="000000" w:themeColor="text1"/>
          <w:lang w:val="fr-CA"/>
        </w:rPr>
        <w:t>L</w:t>
      </w:r>
      <w:r w:rsidR="00AE5E90">
        <w:rPr>
          <w:color w:val="000000" w:themeColor="text1"/>
          <w:lang w:val="fr-CA"/>
        </w:rPr>
        <w:t>’</w:t>
      </w:r>
      <w:r w:rsidR="00D653CA" w:rsidRPr="004E75DE">
        <w:rPr>
          <w:color w:val="000000" w:themeColor="text1"/>
          <w:lang w:val="fr-CA"/>
        </w:rPr>
        <w:t>interdiction de conduire se rapporte directemen</w:t>
      </w:r>
      <w:r w:rsidR="008B6FA0">
        <w:rPr>
          <w:color w:val="000000" w:themeColor="text1"/>
          <w:lang w:val="fr-CA"/>
        </w:rPr>
        <w:t>t aux modalités et conditions ré</w:t>
      </w:r>
      <w:r w:rsidR="00D653CA" w:rsidRPr="004E75DE">
        <w:rPr>
          <w:color w:val="000000" w:themeColor="text1"/>
          <w:lang w:val="fr-CA"/>
        </w:rPr>
        <w:t>glementaires selon lesquelles une personne peut être autorisée à conduire. Les mesures de protection de l</w:t>
      </w:r>
      <w:r w:rsidR="00AE5E90">
        <w:rPr>
          <w:color w:val="000000" w:themeColor="text1"/>
          <w:lang w:val="fr-CA"/>
        </w:rPr>
        <w:t>’art. </w:t>
      </w:r>
      <w:r w:rsidR="00D653CA" w:rsidRPr="004E75DE">
        <w:rPr>
          <w:color w:val="000000" w:themeColor="text1"/>
          <w:lang w:val="fr-CA"/>
        </w:rPr>
        <w:t>11 n</w:t>
      </w:r>
      <w:r w:rsidR="00AE5E90">
        <w:rPr>
          <w:color w:val="000000" w:themeColor="text1"/>
          <w:lang w:val="fr-CA"/>
        </w:rPr>
        <w:t>’</w:t>
      </w:r>
      <w:r w:rsidR="00D653CA" w:rsidRPr="004E75DE">
        <w:rPr>
          <w:color w:val="000000" w:themeColor="text1"/>
          <w:lang w:val="fr-CA"/>
        </w:rPr>
        <w:t>entrent pas en jeu en l</w:t>
      </w:r>
      <w:r w:rsidR="00AE5E90">
        <w:rPr>
          <w:color w:val="000000" w:themeColor="text1"/>
          <w:lang w:val="fr-CA"/>
        </w:rPr>
        <w:t>’</w:t>
      </w:r>
      <w:r w:rsidR="00D653CA" w:rsidRPr="004E75DE">
        <w:rPr>
          <w:color w:val="000000" w:themeColor="text1"/>
          <w:lang w:val="fr-CA"/>
        </w:rPr>
        <w:t>espèce</w:t>
      </w:r>
      <w:r w:rsidRPr="004E75DE">
        <w:rPr>
          <w:lang w:val="fr-CA"/>
        </w:rPr>
        <w:t>.</w:t>
      </w:r>
    </w:p>
    <w:p w:rsidR="009277B0" w:rsidRPr="004E75DE" w:rsidRDefault="009277B0" w:rsidP="00926B45">
      <w:pPr>
        <w:pStyle w:val="SCCNormalDoubleSpacing"/>
        <w:widowControl w:val="0"/>
        <w:spacing w:before="480" w:after="480"/>
        <w:rPr>
          <w:lang w:val="fr-CA"/>
        </w:rPr>
      </w:pPr>
      <w:r w:rsidRPr="004E75DE">
        <w:rPr>
          <w:lang w:val="fr-CA"/>
        </w:rPr>
        <w:tab/>
      </w:r>
      <w:r w:rsidR="00D653CA" w:rsidRPr="004E75DE">
        <w:rPr>
          <w:lang w:val="fr-CA"/>
        </w:rPr>
        <w:t>L</w:t>
      </w:r>
      <w:r w:rsidR="00D653CA" w:rsidRPr="004E75DE">
        <w:rPr>
          <w:color w:val="000000" w:themeColor="text1"/>
          <w:lang w:val="fr-CA"/>
        </w:rPr>
        <w:t xml:space="preserve">a demande de souffler dans un </w:t>
      </w:r>
      <w:r w:rsidR="008B6FA0">
        <w:rPr>
          <w:color w:val="000000" w:themeColor="text1"/>
          <w:lang w:val="fr-CA"/>
        </w:rPr>
        <w:t>ADA</w:t>
      </w:r>
      <w:r w:rsidR="00D653CA" w:rsidRPr="004E75DE">
        <w:rPr>
          <w:color w:val="000000" w:themeColor="text1"/>
          <w:lang w:val="fr-CA"/>
        </w:rPr>
        <w:t xml:space="preserve"> constitue une saisie qui porte atteinte à l</w:t>
      </w:r>
      <w:r w:rsidR="00AE5E90">
        <w:rPr>
          <w:color w:val="000000" w:themeColor="text1"/>
          <w:lang w:val="fr-CA"/>
        </w:rPr>
        <w:t>’</w:t>
      </w:r>
      <w:r w:rsidR="00D653CA" w:rsidRPr="004E75DE">
        <w:rPr>
          <w:color w:val="000000" w:themeColor="text1"/>
          <w:lang w:val="fr-CA"/>
        </w:rPr>
        <w:t>attente raisonnable d</w:t>
      </w:r>
      <w:r w:rsidR="00AE5E90">
        <w:rPr>
          <w:color w:val="000000" w:themeColor="text1"/>
          <w:lang w:val="fr-CA"/>
        </w:rPr>
        <w:t>’</w:t>
      </w:r>
      <w:r w:rsidR="00D653CA" w:rsidRPr="004E75DE">
        <w:rPr>
          <w:color w:val="000000" w:themeColor="text1"/>
          <w:lang w:val="fr-CA"/>
        </w:rPr>
        <w:t>une personne en matière de vie privée</w:t>
      </w:r>
      <w:r w:rsidR="00EF3D62" w:rsidRPr="004E75DE">
        <w:rPr>
          <w:color w:val="000000" w:themeColor="text1"/>
          <w:lang w:val="fr-CA"/>
        </w:rPr>
        <w:t xml:space="preserve"> et fait intervenir la protection offerte par l</w:t>
      </w:r>
      <w:r w:rsidR="00AE5E90">
        <w:rPr>
          <w:color w:val="000000" w:themeColor="text1"/>
          <w:lang w:val="fr-CA"/>
        </w:rPr>
        <w:t>’art. </w:t>
      </w:r>
      <w:r w:rsidR="00EF3D62" w:rsidRPr="004E75DE">
        <w:rPr>
          <w:color w:val="000000" w:themeColor="text1"/>
          <w:lang w:val="fr-CA"/>
        </w:rPr>
        <w:t xml:space="preserve">8 de la </w:t>
      </w:r>
      <w:r w:rsidRPr="004E75DE">
        <w:rPr>
          <w:i/>
          <w:lang w:val="fr-CA"/>
        </w:rPr>
        <w:t>Charte</w:t>
      </w:r>
      <w:r w:rsidRPr="004E75DE">
        <w:rPr>
          <w:lang w:val="fr-CA"/>
        </w:rPr>
        <w:t xml:space="preserve">. </w:t>
      </w:r>
      <w:r w:rsidR="00EF3D62" w:rsidRPr="004E75DE">
        <w:rPr>
          <w:color w:val="000000" w:themeColor="text1"/>
          <w:lang w:val="fr-CA"/>
        </w:rPr>
        <w:t xml:space="preserve">Bien que la province se fonde sur le </w:t>
      </w:r>
      <w:r w:rsidR="00EF3D62" w:rsidRPr="004E75DE">
        <w:rPr>
          <w:i/>
          <w:color w:val="000000" w:themeColor="text1"/>
          <w:lang w:val="fr-CA"/>
        </w:rPr>
        <w:t xml:space="preserve">Code criminel </w:t>
      </w:r>
      <w:r w:rsidR="00EF3D62" w:rsidRPr="004E75DE">
        <w:rPr>
          <w:color w:val="000000" w:themeColor="text1"/>
          <w:lang w:val="fr-CA"/>
        </w:rPr>
        <w:t>pour autoriser la demande d</w:t>
      </w:r>
      <w:r w:rsidR="00AE5E90">
        <w:rPr>
          <w:color w:val="000000" w:themeColor="text1"/>
          <w:lang w:val="fr-CA"/>
        </w:rPr>
        <w:t>’</w:t>
      </w:r>
      <w:r w:rsidR="00EF3D62" w:rsidRPr="004E75DE">
        <w:rPr>
          <w:color w:val="000000" w:themeColor="text1"/>
          <w:lang w:val="fr-CA"/>
        </w:rPr>
        <w:t>échantillon d</w:t>
      </w:r>
      <w:r w:rsidR="00AE5E90">
        <w:rPr>
          <w:color w:val="000000" w:themeColor="text1"/>
          <w:lang w:val="fr-CA"/>
        </w:rPr>
        <w:t>’</w:t>
      </w:r>
      <w:r w:rsidR="00EF3D62" w:rsidRPr="004E75DE">
        <w:rPr>
          <w:color w:val="000000" w:themeColor="text1"/>
          <w:lang w:val="fr-CA"/>
        </w:rPr>
        <w:t>haleine, l</w:t>
      </w:r>
      <w:r w:rsidR="00AE5E90">
        <w:rPr>
          <w:color w:val="000000" w:themeColor="text1"/>
          <w:lang w:val="fr-CA"/>
        </w:rPr>
        <w:t>’</w:t>
      </w:r>
      <w:r w:rsidR="00EF3D62" w:rsidRPr="004E75DE">
        <w:rPr>
          <w:color w:val="000000" w:themeColor="text1"/>
          <w:lang w:val="fr-CA"/>
        </w:rPr>
        <w:t>objet et les conséquences de la saisie son</w:t>
      </w:r>
      <w:r w:rsidR="008B6FA0">
        <w:rPr>
          <w:color w:val="000000" w:themeColor="text1"/>
          <w:lang w:val="fr-CA"/>
        </w:rPr>
        <w:t>t établi</w:t>
      </w:r>
      <w:r w:rsidR="00EF3D62" w:rsidRPr="004E75DE">
        <w:rPr>
          <w:color w:val="000000" w:themeColor="text1"/>
          <w:lang w:val="fr-CA"/>
        </w:rPr>
        <w:t xml:space="preserve">s dans le RIAC, dans la </w:t>
      </w:r>
      <w:r w:rsidR="008B6FA0">
        <w:rPr>
          <w:i/>
          <w:lang w:val="fr-CA"/>
        </w:rPr>
        <w:t>Motor Vehicle</w:t>
      </w:r>
      <w:r w:rsidRPr="004E75DE">
        <w:rPr>
          <w:i/>
          <w:lang w:val="fr-CA"/>
        </w:rPr>
        <w:t xml:space="preserve"> Act</w:t>
      </w:r>
      <w:r w:rsidRPr="004E75DE">
        <w:rPr>
          <w:lang w:val="fr-CA"/>
        </w:rPr>
        <w:t xml:space="preserve">. </w:t>
      </w:r>
      <w:r w:rsidR="00EF3D62" w:rsidRPr="004E75DE">
        <w:rPr>
          <w:lang w:val="fr-CA"/>
        </w:rPr>
        <w:t>C</w:t>
      </w:r>
      <w:r w:rsidR="00AE5E90">
        <w:rPr>
          <w:color w:val="000000" w:themeColor="text1"/>
          <w:lang w:val="fr-CA"/>
        </w:rPr>
        <w:t>’</w:t>
      </w:r>
      <w:r w:rsidR="00EF3D62" w:rsidRPr="004E75DE">
        <w:rPr>
          <w:color w:val="000000" w:themeColor="text1"/>
          <w:lang w:val="fr-CA"/>
        </w:rPr>
        <w:t>est le RIAC qui autorise la saisie de l</w:t>
      </w:r>
      <w:r w:rsidR="00AE5E90">
        <w:rPr>
          <w:color w:val="000000" w:themeColor="text1"/>
          <w:lang w:val="fr-CA"/>
        </w:rPr>
        <w:t>’</w:t>
      </w:r>
      <w:r w:rsidR="00EF3D62" w:rsidRPr="004E75DE">
        <w:rPr>
          <w:color w:val="000000" w:themeColor="text1"/>
          <w:lang w:val="fr-CA"/>
        </w:rPr>
        <w:t>échantillon d</w:t>
      </w:r>
      <w:r w:rsidR="00AE5E90">
        <w:rPr>
          <w:color w:val="000000" w:themeColor="text1"/>
          <w:lang w:val="fr-CA"/>
        </w:rPr>
        <w:t>’</w:t>
      </w:r>
      <w:r w:rsidR="00EF3D62" w:rsidRPr="004E75DE">
        <w:rPr>
          <w:color w:val="000000" w:themeColor="text1"/>
          <w:lang w:val="fr-CA"/>
        </w:rPr>
        <w:t>haleine, et il est donc assujetti à l</w:t>
      </w:r>
      <w:r w:rsidR="00AE5E90">
        <w:rPr>
          <w:color w:val="000000" w:themeColor="text1"/>
          <w:lang w:val="fr-CA"/>
        </w:rPr>
        <w:t>’</w:t>
      </w:r>
      <w:r w:rsidR="00EF3D62" w:rsidRPr="004E75DE">
        <w:rPr>
          <w:color w:val="000000" w:themeColor="text1"/>
          <w:lang w:val="fr-CA"/>
        </w:rPr>
        <w:t xml:space="preserve">examen fondé sur la </w:t>
      </w:r>
      <w:r w:rsidR="00EF3D62" w:rsidRPr="004E75DE">
        <w:rPr>
          <w:i/>
          <w:color w:val="000000" w:themeColor="text1"/>
          <w:lang w:val="fr-CA"/>
        </w:rPr>
        <w:t>Charte</w:t>
      </w:r>
      <w:r w:rsidR="00EF3D62" w:rsidRPr="004E75DE">
        <w:rPr>
          <w:color w:val="000000" w:themeColor="text1"/>
          <w:lang w:val="fr-CA"/>
        </w:rPr>
        <w:t xml:space="preserve"> pour ce motif.</w:t>
      </w:r>
      <w:r w:rsidRPr="004E75DE">
        <w:rPr>
          <w:lang w:val="fr-CA"/>
        </w:rPr>
        <w:t xml:space="preserve"> </w:t>
      </w:r>
      <w:r w:rsidR="00EF3D62" w:rsidRPr="004E75DE">
        <w:rPr>
          <w:color w:val="000000" w:themeColor="text1"/>
          <w:lang w:val="fr-CA"/>
        </w:rPr>
        <w:t>La demande d</w:t>
      </w:r>
      <w:r w:rsidR="00AE5E90">
        <w:rPr>
          <w:color w:val="000000" w:themeColor="text1"/>
          <w:lang w:val="fr-CA"/>
        </w:rPr>
        <w:t>’</w:t>
      </w:r>
      <w:r w:rsidR="00EF3D62" w:rsidRPr="004E75DE">
        <w:rPr>
          <w:color w:val="000000" w:themeColor="text1"/>
          <w:lang w:val="fr-CA"/>
        </w:rPr>
        <w:t>échantillon d</w:t>
      </w:r>
      <w:r w:rsidR="00AE5E90">
        <w:rPr>
          <w:color w:val="000000" w:themeColor="text1"/>
          <w:lang w:val="fr-CA"/>
        </w:rPr>
        <w:t>’</w:t>
      </w:r>
      <w:r w:rsidR="00EF3D62" w:rsidRPr="004E75DE">
        <w:rPr>
          <w:color w:val="000000" w:themeColor="text1"/>
          <w:lang w:val="fr-CA"/>
        </w:rPr>
        <w:t xml:space="preserve">haleine est un élément crucial des efforts déployés par la province pour empêcher </w:t>
      </w:r>
      <w:r w:rsidR="001644D7" w:rsidRPr="004E75DE">
        <w:rPr>
          <w:color w:val="000000" w:themeColor="text1"/>
          <w:lang w:val="fr-CA"/>
        </w:rPr>
        <w:t>que les Britanno</w:t>
      </w:r>
      <w:r w:rsidR="00AE5E90">
        <w:rPr>
          <w:color w:val="000000" w:themeColor="text1"/>
          <w:lang w:val="fr-CA"/>
        </w:rPr>
        <w:noBreakHyphen/>
      </w:r>
      <w:r w:rsidR="001644D7" w:rsidRPr="004E75DE">
        <w:rPr>
          <w:color w:val="000000" w:themeColor="text1"/>
          <w:lang w:val="fr-CA"/>
        </w:rPr>
        <w:t>Colombiens soient tués ou gravement blessés</w:t>
      </w:r>
      <w:r w:rsidR="00390E84" w:rsidRPr="004E75DE">
        <w:rPr>
          <w:color w:val="000000" w:themeColor="text1"/>
          <w:lang w:val="fr-CA"/>
        </w:rPr>
        <w:t xml:space="preserve"> par </w:t>
      </w:r>
      <w:r w:rsidR="00EF3D62" w:rsidRPr="004E75DE">
        <w:rPr>
          <w:color w:val="000000" w:themeColor="text1"/>
          <w:lang w:val="fr-CA"/>
        </w:rPr>
        <w:t>les conducteurs aux facultés affaiblies</w:t>
      </w:r>
      <w:r w:rsidRPr="004E75DE">
        <w:rPr>
          <w:lang w:val="fr-CA"/>
        </w:rPr>
        <w:t>.</w:t>
      </w:r>
      <w:r w:rsidR="00415736" w:rsidRPr="004E75DE">
        <w:rPr>
          <w:lang w:val="fr-CA"/>
        </w:rPr>
        <w:t xml:space="preserve"> </w:t>
      </w:r>
      <w:r w:rsidR="00415736" w:rsidRPr="004E75DE">
        <w:rPr>
          <w:color w:val="000000" w:themeColor="text1"/>
          <w:lang w:val="fr-CA"/>
        </w:rPr>
        <w:t>Cet objet impérieux milite fortement en faveur du caractère raisonnable de la saisie d</w:t>
      </w:r>
      <w:r w:rsidR="00AE5E90">
        <w:rPr>
          <w:color w:val="000000" w:themeColor="text1"/>
          <w:lang w:val="fr-CA"/>
        </w:rPr>
        <w:t>’</w:t>
      </w:r>
      <w:r w:rsidR="00415736" w:rsidRPr="004E75DE">
        <w:rPr>
          <w:color w:val="000000" w:themeColor="text1"/>
          <w:lang w:val="fr-CA"/>
        </w:rPr>
        <w:t>un échantillon d</w:t>
      </w:r>
      <w:r w:rsidR="00AE5E90">
        <w:rPr>
          <w:color w:val="000000" w:themeColor="text1"/>
          <w:lang w:val="fr-CA"/>
        </w:rPr>
        <w:t>’</w:t>
      </w:r>
      <w:r w:rsidR="00415736" w:rsidRPr="004E75DE">
        <w:rPr>
          <w:color w:val="000000" w:themeColor="text1"/>
          <w:lang w:val="fr-CA"/>
        </w:rPr>
        <w:t>haleine</w:t>
      </w:r>
      <w:r w:rsidRPr="004E75DE">
        <w:rPr>
          <w:lang w:val="fr-CA"/>
        </w:rPr>
        <w:t xml:space="preserve">. </w:t>
      </w:r>
      <w:r w:rsidR="00415736" w:rsidRPr="004E75DE">
        <w:rPr>
          <w:color w:val="000000" w:themeColor="text1"/>
          <w:lang w:val="fr-CA"/>
        </w:rPr>
        <w:t>Bien entendu, la conduite automobile sur une voie p</w:t>
      </w:r>
      <w:r w:rsidR="00A30331">
        <w:rPr>
          <w:color w:val="000000" w:themeColor="text1"/>
          <w:lang w:val="fr-CA"/>
        </w:rPr>
        <w:t xml:space="preserve">ublique est </w:t>
      </w:r>
      <w:r w:rsidR="00A30331">
        <w:rPr>
          <w:color w:val="000000" w:themeColor="text1"/>
          <w:lang w:val="fr-CA"/>
        </w:rPr>
        <w:lastRenderedPageBreak/>
        <w:t>une activité très ré</w:t>
      </w:r>
      <w:r w:rsidR="00415736" w:rsidRPr="004E75DE">
        <w:rPr>
          <w:color w:val="000000" w:themeColor="text1"/>
          <w:lang w:val="fr-CA"/>
        </w:rPr>
        <w:t>glementée, et les conducteurs s</w:t>
      </w:r>
      <w:r w:rsidR="00AE5E90">
        <w:rPr>
          <w:color w:val="000000" w:themeColor="text1"/>
          <w:lang w:val="fr-CA"/>
        </w:rPr>
        <w:t>’</w:t>
      </w:r>
      <w:r w:rsidR="00415736" w:rsidRPr="004E75DE">
        <w:rPr>
          <w:color w:val="000000" w:themeColor="text1"/>
          <w:lang w:val="fr-CA"/>
        </w:rPr>
        <w:t>attendent à ce que le code de la route soit appliqué. Cette réalité, conjuguée au fait que le régime s</w:t>
      </w:r>
      <w:r w:rsidR="00AE5E90">
        <w:rPr>
          <w:color w:val="000000" w:themeColor="text1"/>
          <w:lang w:val="fr-CA"/>
        </w:rPr>
        <w:t>’</w:t>
      </w:r>
      <w:r w:rsidR="00415736" w:rsidRPr="004E75DE">
        <w:rPr>
          <w:color w:val="000000" w:themeColor="text1"/>
          <w:lang w:val="fr-CA"/>
        </w:rPr>
        <w:t>inscrit dans un cadre réglementaire plus large visant la conduite et la sécurité routière, permet de qualifier le régime de réglementaire et d</w:t>
      </w:r>
      <w:r w:rsidR="00AE5E90">
        <w:rPr>
          <w:color w:val="000000" w:themeColor="text1"/>
          <w:lang w:val="fr-CA"/>
        </w:rPr>
        <w:t>’</w:t>
      </w:r>
      <w:r w:rsidR="00415736" w:rsidRPr="004E75DE">
        <w:rPr>
          <w:color w:val="000000" w:themeColor="text1"/>
          <w:lang w:val="fr-CA"/>
        </w:rPr>
        <w:t>appliquer une norme plus souple pour en apprécier le caractère raisonnable.</w:t>
      </w:r>
      <w:r w:rsidRPr="004E75DE">
        <w:rPr>
          <w:lang w:val="fr-CA"/>
        </w:rPr>
        <w:t xml:space="preserve"> </w:t>
      </w:r>
      <w:r w:rsidR="00415736" w:rsidRPr="004E75DE">
        <w:rPr>
          <w:lang w:val="fr-CA"/>
        </w:rPr>
        <w:t>Cependant</w:t>
      </w:r>
      <w:r w:rsidRPr="004E75DE">
        <w:rPr>
          <w:lang w:val="fr-CA"/>
        </w:rPr>
        <w:t xml:space="preserve">, </w:t>
      </w:r>
      <w:r w:rsidR="00415736" w:rsidRPr="004E75DE">
        <w:rPr>
          <w:color w:val="000000" w:themeColor="text1"/>
          <w:lang w:val="fr-CA"/>
        </w:rPr>
        <w:t>bien que la saisie d</w:t>
      </w:r>
      <w:r w:rsidR="00AE5E90">
        <w:rPr>
          <w:color w:val="000000" w:themeColor="text1"/>
          <w:lang w:val="fr-CA"/>
        </w:rPr>
        <w:t>’</w:t>
      </w:r>
      <w:r w:rsidR="00415736" w:rsidRPr="004E75DE">
        <w:rPr>
          <w:color w:val="000000" w:themeColor="text1"/>
          <w:lang w:val="fr-CA"/>
        </w:rPr>
        <w:t>un échantillon d</w:t>
      </w:r>
      <w:r w:rsidR="00AE5E90">
        <w:rPr>
          <w:color w:val="000000" w:themeColor="text1"/>
          <w:lang w:val="fr-CA"/>
        </w:rPr>
        <w:t>’</w:t>
      </w:r>
      <w:r w:rsidR="00415736" w:rsidRPr="004E75DE">
        <w:rPr>
          <w:color w:val="000000" w:themeColor="text1"/>
          <w:lang w:val="fr-CA"/>
        </w:rPr>
        <w:t>haleine se fasse à des fins réglementaires, elle possède néanmoins des caractéristiques qui s</w:t>
      </w:r>
      <w:r w:rsidR="00AE5E90">
        <w:rPr>
          <w:color w:val="000000" w:themeColor="text1"/>
          <w:lang w:val="fr-CA"/>
        </w:rPr>
        <w:t>’</w:t>
      </w:r>
      <w:r w:rsidR="00415736" w:rsidRPr="004E75DE">
        <w:rPr>
          <w:color w:val="000000" w:themeColor="text1"/>
          <w:lang w:val="fr-CA"/>
        </w:rPr>
        <w:t>apparentent au droit criminel, comme le fait qu</w:t>
      </w:r>
      <w:r w:rsidR="00AE5E90">
        <w:rPr>
          <w:color w:val="000000" w:themeColor="text1"/>
          <w:lang w:val="fr-CA"/>
        </w:rPr>
        <w:t>’</w:t>
      </w:r>
      <w:r w:rsidR="00415736" w:rsidRPr="004E75DE">
        <w:rPr>
          <w:color w:val="000000" w:themeColor="text1"/>
          <w:lang w:val="fr-CA"/>
        </w:rPr>
        <w:t xml:space="preserve">elle soit administrée par un policier conformément à une autorisation accordée par le </w:t>
      </w:r>
      <w:r w:rsidR="00415736" w:rsidRPr="004E75DE">
        <w:rPr>
          <w:i/>
          <w:color w:val="000000" w:themeColor="text1"/>
          <w:lang w:val="fr-CA"/>
        </w:rPr>
        <w:t>Code criminel</w:t>
      </w:r>
      <w:r w:rsidRPr="004E75DE">
        <w:rPr>
          <w:lang w:val="fr-CA"/>
        </w:rPr>
        <w:t xml:space="preserve">. </w:t>
      </w:r>
      <w:r w:rsidR="009E38B3" w:rsidRPr="004E75DE">
        <w:rPr>
          <w:lang w:val="fr-CA"/>
        </w:rPr>
        <w:t>S</w:t>
      </w:r>
      <w:r w:rsidR="009E38B3" w:rsidRPr="004E75DE">
        <w:rPr>
          <w:color w:val="000000" w:themeColor="text1"/>
          <w:lang w:val="fr-CA"/>
        </w:rPr>
        <w:t>i les conséquences du résultat « échec » ou du défaut de fournir un échantillon d</w:t>
      </w:r>
      <w:r w:rsidR="00AE5E90">
        <w:rPr>
          <w:color w:val="000000" w:themeColor="text1"/>
          <w:lang w:val="fr-CA"/>
        </w:rPr>
        <w:t>’</w:t>
      </w:r>
      <w:r w:rsidR="009E38B3" w:rsidRPr="004E75DE">
        <w:rPr>
          <w:color w:val="000000" w:themeColor="text1"/>
          <w:lang w:val="fr-CA"/>
        </w:rPr>
        <w:t>haleine ne sont pas criminelles, elles sont néanmoins immédiates et graves et surviennent sans qu</w:t>
      </w:r>
      <w:r w:rsidR="00AE5E90">
        <w:rPr>
          <w:color w:val="000000" w:themeColor="text1"/>
          <w:lang w:val="fr-CA"/>
        </w:rPr>
        <w:t>’</w:t>
      </w:r>
      <w:r w:rsidR="009E38B3" w:rsidRPr="004E75DE">
        <w:rPr>
          <w:color w:val="000000" w:themeColor="text1"/>
          <w:lang w:val="fr-CA"/>
        </w:rPr>
        <w:t>une autre analyse ne soit effectuée au moyen d</w:t>
      </w:r>
      <w:r w:rsidR="00AE5E90">
        <w:rPr>
          <w:color w:val="000000" w:themeColor="text1"/>
          <w:lang w:val="fr-CA"/>
        </w:rPr>
        <w:t>’</w:t>
      </w:r>
      <w:r w:rsidR="009E38B3" w:rsidRPr="004E75DE">
        <w:rPr>
          <w:color w:val="000000" w:themeColor="text1"/>
          <w:lang w:val="fr-CA"/>
        </w:rPr>
        <w:t>un alcootest plus fiable. En l</w:t>
      </w:r>
      <w:r w:rsidR="00AE5E90">
        <w:rPr>
          <w:color w:val="000000" w:themeColor="text1"/>
          <w:lang w:val="fr-CA"/>
        </w:rPr>
        <w:t>’</w:t>
      </w:r>
      <w:r w:rsidR="009E38B3" w:rsidRPr="004E75DE">
        <w:rPr>
          <w:color w:val="000000" w:themeColor="text1"/>
          <w:lang w:val="fr-CA"/>
        </w:rPr>
        <w:t>espèce</w:t>
      </w:r>
      <w:r w:rsidRPr="004E75DE">
        <w:rPr>
          <w:lang w:val="fr-CA"/>
        </w:rPr>
        <w:t xml:space="preserve">, </w:t>
      </w:r>
      <w:r w:rsidR="009E38B3" w:rsidRPr="004E75DE">
        <w:rPr>
          <w:lang w:val="fr-CA"/>
        </w:rPr>
        <w:t>p</w:t>
      </w:r>
      <w:r w:rsidR="009E38B3" w:rsidRPr="004E75DE">
        <w:rPr>
          <w:color w:val="000000" w:themeColor="text1"/>
          <w:lang w:val="fr-CA"/>
        </w:rPr>
        <w:t>our déterminer si l</w:t>
      </w:r>
      <w:r w:rsidR="00AE5E90">
        <w:rPr>
          <w:color w:val="000000" w:themeColor="text1"/>
          <w:lang w:val="fr-CA"/>
        </w:rPr>
        <w:t>’</w:t>
      </w:r>
      <w:r w:rsidR="009E38B3" w:rsidRPr="004E75DE">
        <w:rPr>
          <w:color w:val="000000" w:themeColor="text1"/>
          <w:lang w:val="fr-CA"/>
        </w:rPr>
        <w:t>alcoolémie d</w:t>
      </w:r>
      <w:r w:rsidR="00AE5E90">
        <w:rPr>
          <w:color w:val="000000" w:themeColor="text1"/>
          <w:lang w:val="fr-CA"/>
        </w:rPr>
        <w:t>’</w:t>
      </w:r>
      <w:r w:rsidR="009E38B3" w:rsidRPr="004E75DE">
        <w:rPr>
          <w:color w:val="000000" w:themeColor="text1"/>
          <w:lang w:val="fr-CA"/>
        </w:rPr>
        <w:t>un conducteur dépasse la limite permise, on administre un alcootest au moyen d</w:t>
      </w:r>
      <w:r w:rsidR="00AE5E90">
        <w:rPr>
          <w:color w:val="000000" w:themeColor="text1"/>
          <w:lang w:val="fr-CA"/>
        </w:rPr>
        <w:t>’</w:t>
      </w:r>
      <w:r w:rsidR="009E38B3" w:rsidRPr="004E75DE">
        <w:rPr>
          <w:color w:val="000000" w:themeColor="text1"/>
          <w:lang w:val="fr-CA"/>
        </w:rPr>
        <w:t>un ADA</w:t>
      </w:r>
      <w:r w:rsidRPr="004E75DE">
        <w:rPr>
          <w:lang w:val="fr-CA"/>
        </w:rPr>
        <w:t>.</w:t>
      </w:r>
      <w:r w:rsidR="00BB4F78" w:rsidRPr="004E75DE">
        <w:rPr>
          <w:lang w:val="fr-CA"/>
        </w:rPr>
        <w:t xml:space="preserve"> Le juge</w:t>
      </w:r>
      <w:r w:rsidR="0085344B">
        <w:rPr>
          <w:lang w:val="fr-CA"/>
        </w:rPr>
        <w:t xml:space="preserve"> en chambre</w:t>
      </w:r>
      <w:r w:rsidR="00BB4F78" w:rsidRPr="004E75DE">
        <w:rPr>
          <w:lang w:val="fr-CA"/>
        </w:rPr>
        <w:t xml:space="preserve"> a conclu que, dans certains cas, il peut y avoir de sérieux doutes quant à savoir si un ADA </w:t>
      </w:r>
      <w:r w:rsidR="00BB4F78" w:rsidRPr="004E75DE">
        <w:rPr>
          <w:color w:val="000000" w:themeColor="text1"/>
          <w:lang w:val="fr-CA"/>
        </w:rPr>
        <w:t>indique avec exactitude les mesures d</w:t>
      </w:r>
      <w:r w:rsidR="00AE5E90">
        <w:rPr>
          <w:color w:val="000000" w:themeColor="text1"/>
          <w:lang w:val="fr-CA"/>
        </w:rPr>
        <w:t>’</w:t>
      </w:r>
      <w:r w:rsidR="00BB4F78" w:rsidRPr="004E75DE">
        <w:rPr>
          <w:color w:val="000000" w:themeColor="text1"/>
          <w:lang w:val="fr-CA"/>
        </w:rPr>
        <w:t>alcoolémie</w:t>
      </w:r>
      <w:r w:rsidRPr="004E75DE">
        <w:rPr>
          <w:lang w:val="fr-CA"/>
        </w:rPr>
        <w:t>.</w:t>
      </w:r>
      <w:r w:rsidRPr="004E75DE" w:rsidDel="007F3B7B">
        <w:rPr>
          <w:lang w:val="fr-CA"/>
        </w:rPr>
        <w:t xml:space="preserve"> </w:t>
      </w:r>
      <w:r w:rsidR="00BB4F78" w:rsidRPr="004E75DE">
        <w:rPr>
          <w:lang w:val="fr-CA"/>
        </w:rPr>
        <w:t>L</w:t>
      </w:r>
      <w:r w:rsidR="00AE5E90">
        <w:rPr>
          <w:color w:val="000000" w:themeColor="text1"/>
          <w:lang w:val="fr-CA"/>
        </w:rPr>
        <w:t>’</w:t>
      </w:r>
      <w:r w:rsidR="00BB4F78" w:rsidRPr="004E75DE">
        <w:rPr>
          <w:color w:val="000000" w:themeColor="text1"/>
          <w:lang w:val="fr-CA"/>
        </w:rPr>
        <w:t>utilisation d</w:t>
      </w:r>
      <w:r w:rsidR="00AE5E90">
        <w:rPr>
          <w:color w:val="000000" w:themeColor="text1"/>
          <w:lang w:val="fr-CA"/>
        </w:rPr>
        <w:t>’</w:t>
      </w:r>
      <w:r w:rsidR="00BB4F78" w:rsidRPr="004E75DE">
        <w:rPr>
          <w:color w:val="000000" w:themeColor="text1"/>
          <w:lang w:val="fr-CA"/>
        </w:rPr>
        <w:t>un ADA pour obtenir un échantillon d</w:t>
      </w:r>
      <w:r w:rsidR="00AE5E90">
        <w:rPr>
          <w:color w:val="000000" w:themeColor="text1"/>
          <w:lang w:val="fr-CA"/>
        </w:rPr>
        <w:t>’</w:t>
      </w:r>
      <w:r w:rsidR="00BB4F78" w:rsidRPr="004E75DE">
        <w:rPr>
          <w:color w:val="000000" w:themeColor="text1"/>
          <w:lang w:val="fr-CA"/>
        </w:rPr>
        <w:t>haleine soulève des préoccupations qui minent le caractère raisonnable de la saisie, plus particulièrement quant à la fiabilité des résultats d</w:t>
      </w:r>
      <w:r w:rsidR="00AE5E90">
        <w:rPr>
          <w:color w:val="000000" w:themeColor="text1"/>
          <w:lang w:val="fr-CA"/>
        </w:rPr>
        <w:t>’</w:t>
      </w:r>
      <w:r w:rsidR="00BB4F78" w:rsidRPr="004E75DE">
        <w:rPr>
          <w:color w:val="000000" w:themeColor="text1"/>
          <w:lang w:val="fr-CA"/>
        </w:rPr>
        <w:t>analyse</w:t>
      </w:r>
      <w:r w:rsidRPr="004E75DE">
        <w:rPr>
          <w:lang w:val="fr-CA"/>
        </w:rPr>
        <w:t xml:space="preserve">. </w:t>
      </w:r>
    </w:p>
    <w:p w:rsidR="004D7D95" w:rsidRPr="004E75DE" w:rsidRDefault="009277B0" w:rsidP="00926B45">
      <w:pPr>
        <w:pStyle w:val="SCCNormalDoubleSpacing"/>
        <w:widowControl w:val="0"/>
        <w:spacing w:after="480"/>
        <w:rPr>
          <w:lang w:val="fr-CA"/>
        </w:rPr>
      </w:pPr>
      <w:r w:rsidRPr="004E75DE">
        <w:rPr>
          <w:lang w:val="fr-CA"/>
        </w:rPr>
        <w:tab/>
      </w:r>
      <w:r w:rsidR="00F600BB" w:rsidRPr="004E75DE">
        <w:rPr>
          <w:lang w:val="fr-CA"/>
        </w:rPr>
        <w:t>L</w:t>
      </w:r>
      <w:r w:rsidR="00AE5E90">
        <w:rPr>
          <w:color w:val="000000" w:themeColor="text1"/>
          <w:lang w:val="fr-CA"/>
        </w:rPr>
        <w:t>’</w:t>
      </w:r>
      <w:r w:rsidR="00F600BB" w:rsidRPr="004E75DE">
        <w:rPr>
          <w:color w:val="000000" w:themeColor="text1"/>
          <w:lang w:val="fr-CA"/>
        </w:rPr>
        <w:t>étendue du contrôle et la possibilité d</w:t>
      </w:r>
      <w:r w:rsidR="00AE5E90">
        <w:rPr>
          <w:color w:val="000000" w:themeColor="text1"/>
          <w:lang w:val="fr-CA"/>
        </w:rPr>
        <w:t>’</w:t>
      </w:r>
      <w:r w:rsidR="00F600BB" w:rsidRPr="004E75DE">
        <w:rPr>
          <w:color w:val="000000" w:themeColor="text1"/>
          <w:lang w:val="fr-CA"/>
        </w:rPr>
        <w:t>y recourir font partie de l</w:t>
      </w:r>
      <w:r w:rsidR="00AE5E90">
        <w:rPr>
          <w:color w:val="000000" w:themeColor="text1"/>
          <w:lang w:val="fr-CA"/>
        </w:rPr>
        <w:t>’</w:t>
      </w:r>
      <w:r w:rsidR="00F600BB" w:rsidRPr="004E75DE">
        <w:rPr>
          <w:color w:val="000000" w:themeColor="text1"/>
          <w:lang w:val="fr-CA"/>
        </w:rPr>
        <w:t>analyse fondée sur l</w:t>
      </w:r>
      <w:r w:rsidR="00AE5E90">
        <w:rPr>
          <w:color w:val="000000" w:themeColor="text1"/>
          <w:lang w:val="fr-CA"/>
        </w:rPr>
        <w:t>’art. </w:t>
      </w:r>
      <w:r w:rsidR="00F600BB" w:rsidRPr="004E75DE">
        <w:rPr>
          <w:color w:val="000000" w:themeColor="text1"/>
          <w:lang w:val="fr-CA"/>
        </w:rPr>
        <w:t>8. La possibilité pour le conducteur de contester l</w:t>
      </w:r>
      <w:r w:rsidR="00AE5E90">
        <w:rPr>
          <w:color w:val="000000" w:themeColor="text1"/>
          <w:lang w:val="fr-CA"/>
        </w:rPr>
        <w:t>’</w:t>
      </w:r>
      <w:r w:rsidR="00F600BB" w:rsidRPr="004E75DE">
        <w:rPr>
          <w:color w:val="000000" w:themeColor="text1"/>
          <w:lang w:val="fr-CA"/>
        </w:rPr>
        <w:t>exactitude du résultat de l</w:t>
      </w:r>
      <w:r w:rsidR="00AE5E90">
        <w:rPr>
          <w:color w:val="000000" w:themeColor="text1"/>
          <w:lang w:val="fr-CA"/>
        </w:rPr>
        <w:t>’</w:t>
      </w:r>
      <w:r w:rsidR="00F600BB" w:rsidRPr="004E75DE">
        <w:rPr>
          <w:color w:val="000000" w:themeColor="text1"/>
          <w:lang w:val="fr-CA"/>
        </w:rPr>
        <w:t>ADA est essentielle au caractère raisonnable du RIAC</w:t>
      </w:r>
      <w:r w:rsidRPr="004E75DE">
        <w:rPr>
          <w:lang w:val="fr-CA"/>
        </w:rPr>
        <w:t xml:space="preserve">. </w:t>
      </w:r>
      <w:r w:rsidR="00F600BB" w:rsidRPr="004E75DE">
        <w:rPr>
          <w:lang w:val="fr-CA"/>
        </w:rPr>
        <w:t>En l</w:t>
      </w:r>
      <w:r w:rsidR="00AE5E90">
        <w:rPr>
          <w:lang w:val="fr-CA"/>
        </w:rPr>
        <w:t>’</w:t>
      </w:r>
      <w:r w:rsidR="00F600BB" w:rsidRPr="004E75DE">
        <w:rPr>
          <w:lang w:val="fr-CA"/>
        </w:rPr>
        <w:t xml:space="preserve">espèce, </w:t>
      </w:r>
      <w:r w:rsidR="00F600BB" w:rsidRPr="004E75DE">
        <w:rPr>
          <w:color w:val="000000" w:themeColor="text1"/>
          <w:lang w:val="fr-CA"/>
        </w:rPr>
        <w:t xml:space="preserve">la procédure de contrôle des suspensions imposées en application du RIAC permet seulement au </w:t>
      </w:r>
      <w:r w:rsidR="0085344B">
        <w:rPr>
          <w:color w:val="000000" w:themeColor="text1"/>
          <w:lang w:val="fr-CA"/>
        </w:rPr>
        <w:t>S</w:t>
      </w:r>
      <w:r w:rsidR="00F600BB" w:rsidRPr="004E75DE">
        <w:rPr>
          <w:color w:val="000000" w:themeColor="text1"/>
          <w:lang w:val="fr-CA"/>
        </w:rPr>
        <w:t>urintendant</w:t>
      </w:r>
      <w:r w:rsidR="00390E84" w:rsidRPr="004E75DE">
        <w:rPr>
          <w:color w:val="000000" w:themeColor="text1"/>
          <w:lang w:val="fr-CA"/>
        </w:rPr>
        <w:t xml:space="preserve"> </w:t>
      </w:r>
      <w:r w:rsidR="00F600BB" w:rsidRPr="004E75DE">
        <w:rPr>
          <w:color w:val="000000" w:themeColor="text1"/>
          <w:lang w:val="fr-CA"/>
        </w:rPr>
        <w:t>de décider si le demandeur était un « conducteur » et si l</w:t>
      </w:r>
      <w:r w:rsidR="00AE5E90">
        <w:rPr>
          <w:color w:val="000000" w:themeColor="text1"/>
          <w:lang w:val="fr-CA"/>
        </w:rPr>
        <w:t>’</w:t>
      </w:r>
      <w:r w:rsidR="00F600BB" w:rsidRPr="004E75DE">
        <w:rPr>
          <w:color w:val="000000" w:themeColor="text1"/>
          <w:lang w:val="fr-CA"/>
        </w:rPr>
        <w:t xml:space="preserve">ADA a affiché le résultat « échec » ou « avertissement », ou si le demandeur a refusé de fournir un </w:t>
      </w:r>
      <w:r w:rsidR="00F600BB" w:rsidRPr="004E75DE">
        <w:rPr>
          <w:color w:val="000000" w:themeColor="text1"/>
          <w:lang w:val="fr-CA"/>
        </w:rPr>
        <w:lastRenderedPageBreak/>
        <w:t>échantillon. L</w:t>
      </w:r>
      <w:r w:rsidR="00AE5E90">
        <w:rPr>
          <w:color w:val="000000" w:themeColor="text1"/>
          <w:lang w:val="fr-CA"/>
        </w:rPr>
        <w:t>’</w:t>
      </w:r>
      <w:r w:rsidR="00F600BB" w:rsidRPr="004E75DE">
        <w:rPr>
          <w:color w:val="000000" w:themeColor="text1"/>
          <w:lang w:val="fr-CA"/>
        </w:rPr>
        <w:t>absence d</w:t>
      </w:r>
      <w:r w:rsidR="00AE5E90">
        <w:rPr>
          <w:color w:val="000000" w:themeColor="text1"/>
          <w:lang w:val="fr-CA"/>
        </w:rPr>
        <w:t>’</w:t>
      </w:r>
      <w:r w:rsidR="00F600BB" w:rsidRPr="004E75DE">
        <w:rPr>
          <w:color w:val="000000" w:themeColor="text1"/>
          <w:lang w:val="fr-CA"/>
        </w:rPr>
        <w:t>un contrôle valable de l</w:t>
      </w:r>
      <w:r w:rsidR="00AE5E90">
        <w:rPr>
          <w:color w:val="000000" w:themeColor="text1"/>
          <w:lang w:val="fr-CA"/>
        </w:rPr>
        <w:t>’</w:t>
      </w:r>
      <w:r w:rsidR="00F600BB" w:rsidRPr="004E75DE">
        <w:rPr>
          <w:color w:val="000000" w:themeColor="text1"/>
          <w:lang w:val="fr-CA"/>
        </w:rPr>
        <w:t>exactitude du résultat de la saisie, vu la non</w:t>
      </w:r>
      <w:r w:rsidR="00AE5E90">
        <w:rPr>
          <w:color w:val="000000" w:themeColor="text1"/>
          <w:lang w:val="fr-CA"/>
        </w:rPr>
        <w:noBreakHyphen/>
      </w:r>
      <w:r w:rsidR="00F600BB" w:rsidRPr="004E75DE">
        <w:rPr>
          <w:color w:val="000000" w:themeColor="text1"/>
          <w:lang w:val="fr-CA"/>
        </w:rPr>
        <w:t>fiabilité du test, suscite des doutes concernant le caractère raisonnable du RIAC.</w:t>
      </w:r>
      <w:r w:rsidR="00F600BB" w:rsidRPr="004E75DE">
        <w:rPr>
          <w:lang w:val="fr-CA"/>
        </w:rPr>
        <w:t xml:space="preserve"> </w:t>
      </w:r>
      <w:r w:rsidR="00F600BB" w:rsidRPr="004E75DE">
        <w:rPr>
          <w:color w:val="000000" w:themeColor="text1"/>
          <w:lang w:val="fr-CA"/>
        </w:rPr>
        <w:t>En l</w:t>
      </w:r>
      <w:r w:rsidR="00AE5E90">
        <w:rPr>
          <w:color w:val="000000" w:themeColor="text1"/>
          <w:lang w:val="fr-CA"/>
        </w:rPr>
        <w:t>’</w:t>
      </w:r>
      <w:r w:rsidR="00F600BB" w:rsidRPr="004E75DE">
        <w:rPr>
          <w:color w:val="000000" w:themeColor="text1"/>
          <w:lang w:val="fr-CA"/>
        </w:rPr>
        <w:t>absence d</w:t>
      </w:r>
      <w:r w:rsidR="00AE5E90">
        <w:rPr>
          <w:color w:val="000000" w:themeColor="text1"/>
          <w:lang w:val="fr-CA"/>
        </w:rPr>
        <w:t>’</w:t>
      </w:r>
      <w:r w:rsidR="00F600BB" w:rsidRPr="004E75DE">
        <w:rPr>
          <w:color w:val="000000" w:themeColor="text1"/>
          <w:lang w:val="fr-CA"/>
        </w:rPr>
        <w:t>un tel contrôle, le conducteur pourrait se voir imposer de graves sanctions administratives sans que les conditions préalables à l</w:t>
      </w:r>
      <w:r w:rsidR="00AE5E90">
        <w:rPr>
          <w:color w:val="000000" w:themeColor="text1"/>
          <w:lang w:val="fr-CA"/>
        </w:rPr>
        <w:t>’</w:t>
      </w:r>
      <w:r w:rsidR="00F600BB" w:rsidRPr="004E75DE">
        <w:rPr>
          <w:color w:val="000000" w:themeColor="text1"/>
          <w:lang w:val="fr-CA"/>
        </w:rPr>
        <w:t>imposition des sanctions ne soient réunies et sans qu</w:t>
      </w:r>
      <w:r w:rsidR="00AE5E90">
        <w:rPr>
          <w:color w:val="000000" w:themeColor="text1"/>
          <w:lang w:val="fr-CA"/>
        </w:rPr>
        <w:t>’</w:t>
      </w:r>
      <w:r w:rsidR="00F600BB" w:rsidRPr="004E75DE">
        <w:rPr>
          <w:color w:val="000000" w:themeColor="text1"/>
          <w:lang w:val="fr-CA"/>
        </w:rPr>
        <w:t>il ne puisse bénéficier d</w:t>
      </w:r>
      <w:r w:rsidR="00AE5E90">
        <w:rPr>
          <w:color w:val="000000" w:themeColor="text1"/>
          <w:lang w:val="fr-CA"/>
        </w:rPr>
        <w:t>’</w:t>
      </w:r>
      <w:r w:rsidR="00F600BB" w:rsidRPr="004E75DE">
        <w:rPr>
          <w:color w:val="000000" w:themeColor="text1"/>
          <w:lang w:val="fr-CA"/>
        </w:rPr>
        <w:t>un mécanisme pour obtenir réparation</w:t>
      </w:r>
      <w:r w:rsidRPr="004E75DE">
        <w:rPr>
          <w:lang w:val="fr-CA"/>
        </w:rPr>
        <w:t xml:space="preserve">. </w:t>
      </w:r>
      <w:r w:rsidR="00F600BB" w:rsidRPr="004E75DE">
        <w:rPr>
          <w:lang w:val="fr-CA"/>
        </w:rPr>
        <w:t>L</w:t>
      </w:r>
      <w:r w:rsidR="00F600BB" w:rsidRPr="004E75DE">
        <w:rPr>
          <w:color w:val="000000" w:themeColor="text1"/>
          <w:lang w:val="fr-CA"/>
        </w:rPr>
        <w:t>es graves conséquences subies par le conducteur qui échoue au test, conjuguées à l</w:t>
      </w:r>
      <w:r w:rsidR="00AE5E90">
        <w:rPr>
          <w:color w:val="000000" w:themeColor="text1"/>
          <w:lang w:val="fr-CA"/>
        </w:rPr>
        <w:t>’</w:t>
      </w:r>
      <w:r w:rsidR="00F600BB" w:rsidRPr="004E75DE">
        <w:rPr>
          <w:color w:val="000000" w:themeColor="text1"/>
          <w:lang w:val="fr-CA"/>
        </w:rPr>
        <w:t>impossibilité pour lui de contester le motif pour lequel ces conséquences sont imposées, rendent le RIAC abusif</w:t>
      </w:r>
      <w:r w:rsidR="00F600BB" w:rsidRPr="004E75DE">
        <w:rPr>
          <w:lang w:val="fr-CA"/>
        </w:rPr>
        <w:t xml:space="preserve">. </w:t>
      </w:r>
    </w:p>
    <w:p w:rsidR="009E38B3" w:rsidRPr="004E75DE" w:rsidRDefault="00304C6B" w:rsidP="00926B45">
      <w:pPr>
        <w:pStyle w:val="SCCNormalDoubleSpacing"/>
        <w:widowControl w:val="0"/>
        <w:spacing w:before="480" w:after="480"/>
        <w:rPr>
          <w:lang w:val="fr-CA"/>
        </w:rPr>
      </w:pPr>
      <w:r w:rsidRPr="004E75DE">
        <w:rPr>
          <w:lang w:val="fr-CA"/>
        </w:rPr>
        <w:tab/>
        <w:t>L</w:t>
      </w:r>
      <w:r w:rsidR="00AE5E90">
        <w:rPr>
          <w:lang w:val="fr-CA"/>
        </w:rPr>
        <w:t>’</w:t>
      </w:r>
      <w:r w:rsidRPr="004E75DE">
        <w:rPr>
          <w:lang w:val="fr-CA"/>
        </w:rPr>
        <w:t>objectif du régime — réduire le nombre de décès et de blessures causés par la condui</w:t>
      </w:r>
      <w:r w:rsidR="00F925B7">
        <w:rPr>
          <w:lang w:val="fr-CA"/>
        </w:rPr>
        <w:t>t</w:t>
      </w:r>
      <w:r w:rsidRPr="004E75DE">
        <w:rPr>
          <w:lang w:val="fr-CA"/>
        </w:rPr>
        <w:t xml:space="preserve">e avec facultés affaiblies — </w:t>
      </w:r>
      <w:r w:rsidRPr="004E75DE">
        <w:rPr>
          <w:color w:val="000000" w:themeColor="text1"/>
          <w:lang w:val="fr-CA"/>
        </w:rPr>
        <w:t>est urgent et réel</w:t>
      </w:r>
      <w:r w:rsidR="00390E84" w:rsidRPr="004E75DE">
        <w:rPr>
          <w:color w:val="000000" w:themeColor="text1"/>
          <w:lang w:val="fr-CA"/>
        </w:rPr>
        <w:t>,</w:t>
      </w:r>
      <w:r w:rsidRPr="004E75DE">
        <w:rPr>
          <w:color w:val="000000" w:themeColor="text1"/>
          <w:lang w:val="fr-CA"/>
        </w:rPr>
        <w:t xml:space="preserve"> et il existe un lien rationnel entre les interdictions automatiques de conduire et cet objectif. </w:t>
      </w:r>
      <w:r w:rsidR="004E553F" w:rsidRPr="004E75DE">
        <w:rPr>
          <w:color w:val="000000" w:themeColor="text1"/>
          <w:lang w:val="fr-CA"/>
        </w:rPr>
        <w:t>Cependant, le RIAC ne porte pas atteinte de façon minimale au droit du conducteur d</w:t>
      </w:r>
      <w:r w:rsidR="00AE5E90">
        <w:rPr>
          <w:color w:val="000000" w:themeColor="text1"/>
          <w:lang w:val="fr-CA"/>
        </w:rPr>
        <w:t>’</w:t>
      </w:r>
      <w:r w:rsidR="004E553F" w:rsidRPr="004E75DE">
        <w:rPr>
          <w:color w:val="000000" w:themeColor="text1"/>
          <w:lang w:val="fr-CA"/>
        </w:rPr>
        <w:t xml:space="preserve">être protégé contre les fouilles, les perquisitions et les saisies abusives. </w:t>
      </w:r>
      <w:r w:rsidR="00541EFD" w:rsidRPr="004E75DE">
        <w:rPr>
          <w:color w:val="000000" w:themeColor="text1"/>
          <w:lang w:val="fr-CA"/>
        </w:rPr>
        <w:t>Les modifications apportées subséquemment au RIAC pour élargir le contrôle des analyses et des interdictions survenues à l</w:t>
      </w:r>
      <w:r w:rsidR="00AE5E90">
        <w:rPr>
          <w:color w:val="000000" w:themeColor="text1"/>
          <w:lang w:val="fr-CA"/>
        </w:rPr>
        <w:t>’</w:t>
      </w:r>
      <w:r w:rsidR="00541EFD" w:rsidRPr="004E75DE">
        <w:rPr>
          <w:color w:val="000000" w:themeColor="text1"/>
          <w:lang w:val="fr-CA"/>
        </w:rPr>
        <w:t>occasion de contrôles routiers démontrent que des mesures moins attentatoires peuvent facilement être mises en place sans nuire à l</w:t>
      </w:r>
      <w:r w:rsidR="00AE5E90">
        <w:rPr>
          <w:color w:val="000000" w:themeColor="text1"/>
          <w:lang w:val="fr-CA"/>
        </w:rPr>
        <w:t>’</w:t>
      </w:r>
      <w:r w:rsidR="00541EFD" w:rsidRPr="004E75DE">
        <w:rPr>
          <w:color w:val="000000" w:themeColor="text1"/>
          <w:lang w:val="fr-CA"/>
        </w:rPr>
        <w:t>objectif de la province. Par conséquent, le volet « échec » du RIAC n</w:t>
      </w:r>
      <w:r w:rsidR="00AE5E90">
        <w:rPr>
          <w:color w:val="000000" w:themeColor="text1"/>
          <w:lang w:val="fr-CA"/>
        </w:rPr>
        <w:t>’</w:t>
      </w:r>
      <w:r w:rsidR="00541EFD" w:rsidRPr="004E75DE">
        <w:rPr>
          <w:color w:val="000000" w:themeColor="text1"/>
          <w:lang w:val="fr-CA"/>
        </w:rPr>
        <w:t>est pas sauvegardé par l</w:t>
      </w:r>
      <w:r w:rsidR="00AE5E90">
        <w:rPr>
          <w:color w:val="000000" w:themeColor="text1"/>
          <w:lang w:val="fr-CA"/>
        </w:rPr>
        <w:t>’</w:t>
      </w:r>
      <w:r w:rsidR="00541EFD" w:rsidRPr="004E75DE">
        <w:rPr>
          <w:color w:val="000000" w:themeColor="text1"/>
          <w:lang w:val="fr-CA"/>
        </w:rPr>
        <w:t>article premier</w:t>
      </w:r>
      <w:r w:rsidR="009E38B3" w:rsidRPr="004E75DE">
        <w:rPr>
          <w:lang w:val="fr-CA"/>
        </w:rPr>
        <w:t>.</w:t>
      </w:r>
      <w:r w:rsidR="00541EFD" w:rsidRPr="004E75DE">
        <w:rPr>
          <w:lang w:val="fr-CA"/>
        </w:rPr>
        <w:t xml:space="preserve"> Point n</w:t>
      </w:r>
      <w:r w:rsidR="00AE5E90">
        <w:rPr>
          <w:lang w:val="fr-CA"/>
        </w:rPr>
        <w:t>’</w:t>
      </w:r>
      <w:r w:rsidR="00541EFD" w:rsidRPr="004E75DE">
        <w:rPr>
          <w:lang w:val="fr-CA"/>
        </w:rPr>
        <w:t xml:space="preserve">est besoin de </w:t>
      </w:r>
      <w:r w:rsidR="00541EFD" w:rsidRPr="004E75DE">
        <w:rPr>
          <w:color w:val="000000" w:themeColor="text1"/>
          <w:lang w:val="fr-CA"/>
        </w:rPr>
        <w:t>décider si le volet « avertissement » du régime mène au  même résultat</w:t>
      </w:r>
      <w:r w:rsidR="009E38B3" w:rsidRPr="004E75DE">
        <w:rPr>
          <w:lang w:val="fr-CA"/>
        </w:rPr>
        <w:t>.</w:t>
      </w:r>
    </w:p>
    <w:p w:rsidR="009E38B3" w:rsidRPr="004E75DE" w:rsidRDefault="009E38B3" w:rsidP="00926B45">
      <w:pPr>
        <w:pStyle w:val="SCCNormalDoubleSpacing"/>
        <w:widowControl w:val="0"/>
        <w:spacing w:before="480" w:after="480"/>
        <w:rPr>
          <w:lang w:val="fr-CA"/>
        </w:rPr>
      </w:pPr>
      <w:r w:rsidRPr="004E75DE">
        <w:rPr>
          <w:i/>
          <w:lang w:val="fr-CA"/>
        </w:rPr>
        <w:tab/>
        <w:t xml:space="preserve">La </w:t>
      </w:r>
      <w:r w:rsidRPr="004E75DE">
        <w:rPr>
          <w:lang w:val="fr-CA"/>
        </w:rPr>
        <w:t xml:space="preserve">juge en chef </w:t>
      </w:r>
      <w:r w:rsidRPr="00971AFA">
        <w:rPr>
          <w:lang w:val="fr-CA"/>
        </w:rPr>
        <w:t xml:space="preserve">McLachlin </w:t>
      </w:r>
      <w:r w:rsidRPr="004E75DE">
        <w:rPr>
          <w:lang w:val="fr-CA"/>
        </w:rPr>
        <w:t>(dissidente en partie)</w:t>
      </w:r>
      <w:r w:rsidR="00AE5E90">
        <w:rPr>
          <w:lang w:val="fr-CA"/>
        </w:rPr>
        <w:t> :</w:t>
      </w:r>
      <w:r w:rsidRPr="004E75DE">
        <w:rPr>
          <w:lang w:val="fr-CA"/>
        </w:rPr>
        <w:t xml:space="preserve"> </w:t>
      </w:r>
      <w:r w:rsidR="00541EFD" w:rsidRPr="004E75DE">
        <w:rPr>
          <w:lang w:val="fr-CA"/>
        </w:rPr>
        <w:t>Il y a accord avec les juges majoritaires sur la question constitutionnelle et celle relative à l</w:t>
      </w:r>
      <w:r w:rsidR="00AE5E90">
        <w:rPr>
          <w:lang w:val="fr-CA"/>
        </w:rPr>
        <w:t>’al. </w:t>
      </w:r>
      <w:r w:rsidRPr="004E75DE">
        <w:rPr>
          <w:lang w:val="fr-CA"/>
        </w:rPr>
        <w:t>11</w:t>
      </w:r>
      <w:r w:rsidRPr="004E75DE">
        <w:rPr>
          <w:i/>
          <w:lang w:val="fr-CA"/>
        </w:rPr>
        <w:t>d</w:t>
      </w:r>
      <w:r w:rsidRPr="004E75DE">
        <w:rPr>
          <w:lang w:val="fr-CA"/>
        </w:rPr>
        <w:t xml:space="preserve">) </w:t>
      </w:r>
      <w:r w:rsidR="00541EFD" w:rsidRPr="004E75DE">
        <w:rPr>
          <w:lang w:val="fr-CA"/>
        </w:rPr>
        <w:t xml:space="preserve">de la </w:t>
      </w:r>
      <w:r w:rsidRPr="004E75DE">
        <w:rPr>
          <w:i/>
          <w:lang w:val="fr-CA"/>
        </w:rPr>
        <w:t>Charte</w:t>
      </w:r>
      <w:r w:rsidRPr="004E75DE">
        <w:rPr>
          <w:lang w:val="fr-CA"/>
        </w:rPr>
        <w:t>,</w:t>
      </w:r>
      <w:r w:rsidR="00541EFD" w:rsidRPr="004E75DE">
        <w:rPr>
          <w:lang w:val="fr-CA"/>
        </w:rPr>
        <w:t xml:space="preserve"> mais non sur l</w:t>
      </w:r>
      <w:r w:rsidR="00AE5E90">
        <w:rPr>
          <w:lang w:val="fr-CA"/>
        </w:rPr>
        <w:t>’art. </w:t>
      </w:r>
      <w:r w:rsidRPr="004E75DE">
        <w:rPr>
          <w:lang w:val="fr-CA"/>
        </w:rPr>
        <w:t xml:space="preserve">8. </w:t>
      </w:r>
      <w:r w:rsidR="00541EFD" w:rsidRPr="004E75DE">
        <w:rPr>
          <w:lang w:val="fr-CA"/>
        </w:rPr>
        <w:t>Le régime provincial de suspension imposée lors d</w:t>
      </w:r>
      <w:r w:rsidR="00AE5E90">
        <w:rPr>
          <w:lang w:val="fr-CA"/>
        </w:rPr>
        <w:t>’</w:t>
      </w:r>
      <w:r w:rsidR="00541EFD" w:rsidRPr="004E75DE">
        <w:rPr>
          <w:lang w:val="fr-CA"/>
        </w:rPr>
        <w:t xml:space="preserve">un </w:t>
      </w:r>
      <w:r w:rsidR="00541EFD" w:rsidRPr="004E75DE">
        <w:rPr>
          <w:lang w:val="fr-CA"/>
        </w:rPr>
        <w:lastRenderedPageBreak/>
        <w:t>contrôle routier n</w:t>
      </w:r>
      <w:r w:rsidR="00AE5E90">
        <w:rPr>
          <w:lang w:val="fr-CA"/>
        </w:rPr>
        <w:t>’</w:t>
      </w:r>
      <w:r w:rsidR="00541EFD" w:rsidRPr="004E75DE">
        <w:rPr>
          <w:lang w:val="fr-CA"/>
        </w:rPr>
        <w:t>enfreint pas l</w:t>
      </w:r>
      <w:r w:rsidR="00AE5E90">
        <w:rPr>
          <w:lang w:val="fr-CA"/>
        </w:rPr>
        <w:t>’</w:t>
      </w:r>
      <w:r w:rsidR="00541EFD" w:rsidRPr="004E75DE">
        <w:rPr>
          <w:lang w:val="fr-CA"/>
        </w:rPr>
        <w:t>exigence constitutionnelle que les fouilles, perquisitions et saisies ne soient pas abusives</w:t>
      </w:r>
      <w:r w:rsidR="00AE5E90">
        <w:rPr>
          <w:lang w:val="fr-CA"/>
        </w:rPr>
        <w:t xml:space="preserve">. </w:t>
      </w:r>
      <w:r w:rsidR="00541EFD" w:rsidRPr="004E75DE">
        <w:rPr>
          <w:lang w:val="fr-CA"/>
        </w:rPr>
        <w:t xml:space="preserve">Le régime </w:t>
      </w:r>
      <w:r w:rsidRPr="004E75DE">
        <w:rPr>
          <w:lang w:val="fr-CA"/>
        </w:rPr>
        <w:t>provincial</w:t>
      </w:r>
      <w:r w:rsidR="00541EFD" w:rsidRPr="004E75DE">
        <w:rPr>
          <w:lang w:val="fr-CA"/>
        </w:rPr>
        <w:t xml:space="preserve"> en l</w:t>
      </w:r>
      <w:r w:rsidR="00AE5E90">
        <w:rPr>
          <w:lang w:val="fr-CA"/>
        </w:rPr>
        <w:t>’</w:t>
      </w:r>
      <w:r w:rsidR="00541EFD" w:rsidRPr="004E75DE">
        <w:rPr>
          <w:lang w:val="fr-CA"/>
        </w:rPr>
        <w:t>espèce s</w:t>
      </w:r>
      <w:r w:rsidR="00AE5E90">
        <w:rPr>
          <w:lang w:val="fr-CA"/>
        </w:rPr>
        <w:t>’</w:t>
      </w:r>
      <w:r w:rsidR="00541EFD" w:rsidRPr="004E75DE">
        <w:rPr>
          <w:lang w:val="fr-CA"/>
        </w:rPr>
        <w:t xml:space="preserve">en remet aux dispositions du </w:t>
      </w:r>
      <w:r w:rsidR="00541EFD" w:rsidRPr="004E75DE">
        <w:rPr>
          <w:i/>
          <w:lang w:val="fr-CA"/>
        </w:rPr>
        <w:t xml:space="preserve">Code criminel </w:t>
      </w:r>
      <w:r w:rsidR="00541EFD" w:rsidRPr="004E75DE">
        <w:rPr>
          <w:lang w:val="fr-CA"/>
        </w:rPr>
        <w:t>qui permettent à un policier de contraindre un conducteur à donner un échantillon d</w:t>
      </w:r>
      <w:r w:rsidR="00AE5E90">
        <w:rPr>
          <w:lang w:val="fr-CA"/>
        </w:rPr>
        <w:t>’</w:t>
      </w:r>
      <w:r w:rsidR="00541EFD" w:rsidRPr="004E75DE">
        <w:rPr>
          <w:lang w:val="fr-CA"/>
        </w:rPr>
        <w:t>haleine</w:t>
      </w:r>
      <w:r w:rsidRPr="004E75DE">
        <w:rPr>
          <w:lang w:val="fr-CA"/>
        </w:rPr>
        <w:t xml:space="preserve">. </w:t>
      </w:r>
      <w:r w:rsidR="00541EFD" w:rsidRPr="004E75DE">
        <w:rPr>
          <w:lang w:val="fr-CA"/>
        </w:rPr>
        <w:t>Il s</w:t>
      </w:r>
      <w:r w:rsidR="00AE5E90">
        <w:rPr>
          <w:lang w:val="fr-CA"/>
        </w:rPr>
        <w:t>’</w:t>
      </w:r>
      <w:r w:rsidR="00541EFD" w:rsidRPr="004E75DE">
        <w:rPr>
          <w:lang w:val="fr-CA"/>
        </w:rPr>
        <w:t>agit là clairement de la saisie d</w:t>
      </w:r>
      <w:r w:rsidR="00AE5E90">
        <w:rPr>
          <w:lang w:val="fr-CA"/>
        </w:rPr>
        <w:t>’</w:t>
      </w:r>
      <w:r w:rsidR="00541EFD" w:rsidRPr="004E75DE">
        <w:rPr>
          <w:lang w:val="fr-CA"/>
        </w:rPr>
        <w:t>un échantillon d</w:t>
      </w:r>
      <w:r w:rsidR="00AE5E90">
        <w:rPr>
          <w:lang w:val="fr-CA"/>
        </w:rPr>
        <w:t>’</w:t>
      </w:r>
      <w:r w:rsidR="00541EFD" w:rsidRPr="004E75DE">
        <w:rPr>
          <w:lang w:val="fr-CA"/>
        </w:rPr>
        <w:t>une substance corporelle, ce qui signifie qu</w:t>
      </w:r>
      <w:r w:rsidR="00AE5E90">
        <w:rPr>
          <w:lang w:val="fr-CA"/>
        </w:rPr>
        <w:t>’</w:t>
      </w:r>
      <w:r w:rsidR="0085344B">
        <w:rPr>
          <w:lang w:val="fr-CA"/>
        </w:rPr>
        <w:t>elle ne doit pas être abusive</w:t>
      </w:r>
      <w:r w:rsidR="00541EFD" w:rsidRPr="004E75DE">
        <w:rPr>
          <w:lang w:val="fr-CA"/>
        </w:rPr>
        <w:t xml:space="preserve"> au sens de l</w:t>
      </w:r>
      <w:r w:rsidR="00AE5E90">
        <w:rPr>
          <w:lang w:val="fr-CA"/>
        </w:rPr>
        <w:t>’art. </w:t>
      </w:r>
      <w:r w:rsidR="00541EFD" w:rsidRPr="004E75DE">
        <w:rPr>
          <w:lang w:val="fr-CA"/>
        </w:rPr>
        <w:t xml:space="preserve">8 de la </w:t>
      </w:r>
      <w:r w:rsidR="00541EFD" w:rsidRPr="004E75DE">
        <w:rPr>
          <w:i/>
          <w:lang w:val="fr-CA"/>
        </w:rPr>
        <w:t>Charte</w:t>
      </w:r>
      <w:r w:rsidRPr="004E75DE">
        <w:rPr>
          <w:lang w:val="fr-CA"/>
        </w:rPr>
        <w:t xml:space="preserve">. </w:t>
      </w:r>
      <w:r w:rsidR="00541EFD" w:rsidRPr="004E75DE">
        <w:rPr>
          <w:lang w:val="fr-CA"/>
        </w:rPr>
        <w:t>Pour décider</w:t>
      </w:r>
      <w:r w:rsidR="00FC46D5" w:rsidRPr="004E75DE">
        <w:rPr>
          <w:lang w:val="fr-CA"/>
        </w:rPr>
        <w:t xml:space="preserve"> si une fouille, perquisition ou saisie est raisonnable, le tribunal doit examiner trois conditions</w:t>
      </w:r>
      <w:r w:rsidR="00AE5E90">
        <w:rPr>
          <w:lang w:val="fr-CA"/>
        </w:rPr>
        <w:t> :</w:t>
      </w:r>
      <w:r w:rsidR="00FC46D5" w:rsidRPr="004E75DE">
        <w:rPr>
          <w:lang w:val="fr-CA"/>
        </w:rPr>
        <w:t xml:space="preserve"> (1) l</w:t>
      </w:r>
      <w:r w:rsidR="00AE5E90">
        <w:rPr>
          <w:lang w:val="fr-CA"/>
        </w:rPr>
        <w:t>’</w:t>
      </w:r>
      <w:r w:rsidR="00FC46D5" w:rsidRPr="004E75DE">
        <w:rPr>
          <w:lang w:val="fr-CA"/>
        </w:rPr>
        <w:t>État procède à la fouille, à la perquisition ou à la saisie pour réaliser un objectif important qui se fonde sur l</w:t>
      </w:r>
      <w:r w:rsidR="00AE5E90">
        <w:rPr>
          <w:lang w:val="fr-CA"/>
        </w:rPr>
        <w:t>’</w:t>
      </w:r>
      <w:r w:rsidR="00FC46D5" w:rsidRPr="004E75DE">
        <w:rPr>
          <w:lang w:val="fr-CA"/>
        </w:rPr>
        <w:t>intérêt public général; (2) l</w:t>
      </w:r>
      <w:r w:rsidR="00AE5E90">
        <w:rPr>
          <w:lang w:val="fr-CA"/>
        </w:rPr>
        <w:t>’</w:t>
      </w:r>
      <w:r w:rsidR="00FC46D5" w:rsidRPr="004E75DE">
        <w:rPr>
          <w:lang w:val="fr-CA"/>
        </w:rPr>
        <w:t>atteinte ne va pas au</w:t>
      </w:r>
      <w:r w:rsidR="00AE5E90">
        <w:rPr>
          <w:lang w:val="fr-CA"/>
        </w:rPr>
        <w:noBreakHyphen/>
      </w:r>
      <w:r w:rsidR="00FC46D5" w:rsidRPr="004E75DE">
        <w:rPr>
          <w:lang w:val="fr-CA"/>
        </w:rPr>
        <w:t>delà de ce qui est raisonnablement nécessaire pour atteindre l</w:t>
      </w:r>
      <w:r w:rsidR="00AE5E90">
        <w:rPr>
          <w:lang w:val="fr-CA"/>
        </w:rPr>
        <w:t>’</w:t>
      </w:r>
      <w:r w:rsidR="00FC46D5" w:rsidRPr="004E75DE">
        <w:rPr>
          <w:lang w:val="fr-CA"/>
        </w:rPr>
        <w:t>objectif de l</w:t>
      </w:r>
      <w:r w:rsidR="00AE5E90">
        <w:rPr>
          <w:lang w:val="fr-CA"/>
        </w:rPr>
        <w:t>’</w:t>
      </w:r>
      <w:r w:rsidR="00FC46D5" w:rsidRPr="004E75DE">
        <w:rPr>
          <w:lang w:val="fr-CA"/>
        </w:rPr>
        <w:t>État; (3) l</w:t>
      </w:r>
      <w:r w:rsidR="00AE5E90">
        <w:rPr>
          <w:lang w:val="fr-CA"/>
        </w:rPr>
        <w:t>’</w:t>
      </w:r>
      <w:r w:rsidR="00FC46D5" w:rsidRPr="004E75DE">
        <w:rPr>
          <w:lang w:val="fr-CA"/>
        </w:rPr>
        <w:t>atteinte est soumise à la surveillance judiciaire pour empêcher que l</w:t>
      </w:r>
      <w:r w:rsidR="00AE5E90">
        <w:rPr>
          <w:lang w:val="fr-CA"/>
        </w:rPr>
        <w:t>’</w:t>
      </w:r>
      <w:r w:rsidR="00FC46D5" w:rsidRPr="004E75DE">
        <w:rPr>
          <w:lang w:val="fr-CA"/>
        </w:rPr>
        <w:t>État se livre à des abus. Pour décider si une fouille, perquisition ou saisie est raisonnable, on se demande parfois si l</w:t>
      </w:r>
      <w:r w:rsidR="00AE5E90">
        <w:rPr>
          <w:lang w:val="fr-CA"/>
        </w:rPr>
        <w:t>’</w:t>
      </w:r>
      <w:r w:rsidR="00FC46D5" w:rsidRPr="004E75DE">
        <w:rPr>
          <w:lang w:val="fr-CA"/>
        </w:rPr>
        <w:t>acte de l</w:t>
      </w:r>
      <w:r w:rsidR="00AE5E90">
        <w:rPr>
          <w:lang w:val="fr-CA"/>
        </w:rPr>
        <w:t>’</w:t>
      </w:r>
      <w:r w:rsidR="00FC46D5" w:rsidRPr="004E75DE">
        <w:rPr>
          <w:lang w:val="fr-CA"/>
        </w:rPr>
        <w:t>État représente un juste équilibre entre l</w:t>
      </w:r>
      <w:r w:rsidR="00AE5E90">
        <w:rPr>
          <w:lang w:val="fr-CA"/>
        </w:rPr>
        <w:t>’</w:t>
      </w:r>
      <w:r w:rsidR="00FC46D5" w:rsidRPr="004E75DE">
        <w:rPr>
          <w:lang w:val="fr-CA"/>
        </w:rPr>
        <w:t>objectif de l</w:t>
      </w:r>
      <w:r w:rsidR="00AE5E90">
        <w:rPr>
          <w:lang w:val="fr-CA"/>
        </w:rPr>
        <w:t>’</w:t>
      </w:r>
      <w:r w:rsidR="00FC46D5" w:rsidRPr="004E75DE">
        <w:rPr>
          <w:lang w:val="fr-CA"/>
        </w:rPr>
        <w:t>État et le droit de l</w:t>
      </w:r>
      <w:r w:rsidR="00AE5E90">
        <w:rPr>
          <w:lang w:val="fr-CA"/>
        </w:rPr>
        <w:t>’</w:t>
      </w:r>
      <w:r w:rsidR="00FC46D5" w:rsidRPr="004E75DE">
        <w:rPr>
          <w:lang w:val="fr-CA"/>
        </w:rPr>
        <w:t xml:space="preserve">individu à la protection de sa vie privée. </w:t>
      </w:r>
      <w:r w:rsidR="00CB2113" w:rsidRPr="004E75DE">
        <w:rPr>
          <w:lang w:val="fr-CA"/>
        </w:rPr>
        <w:t>Toutefois, considérer l</w:t>
      </w:r>
      <w:r w:rsidR="00AE5E90">
        <w:rPr>
          <w:lang w:val="fr-CA"/>
        </w:rPr>
        <w:t>’</w:t>
      </w:r>
      <w:r w:rsidR="00CB2113" w:rsidRPr="004E75DE">
        <w:rPr>
          <w:lang w:val="fr-CA"/>
        </w:rPr>
        <w:t>analyse fondée sur l</w:t>
      </w:r>
      <w:r w:rsidR="00AE5E90">
        <w:rPr>
          <w:lang w:val="fr-CA"/>
        </w:rPr>
        <w:t>’art. </w:t>
      </w:r>
      <w:r w:rsidR="00CB2113" w:rsidRPr="004E75DE">
        <w:rPr>
          <w:lang w:val="fr-CA"/>
        </w:rPr>
        <w:t>8 comme une simple mise en balance de l</w:t>
      </w:r>
      <w:r w:rsidR="00AE5E90">
        <w:rPr>
          <w:lang w:val="fr-CA"/>
        </w:rPr>
        <w:t>’</w:t>
      </w:r>
      <w:r w:rsidR="00CB2113" w:rsidRPr="004E75DE">
        <w:rPr>
          <w:lang w:val="fr-CA"/>
        </w:rPr>
        <w:t>intérêt de l</w:t>
      </w:r>
      <w:r w:rsidR="00AE5E90">
        <w:rPr>
          <w:lang w:val="fr-CA"/>
        </w:rPr>
        <w:t>’</w:t>
      </w:r>
      <w:r w:rsidR="00CB2113" w:rsidRPr="004E75DE">
        <w:rPr>
          <w:lang w:val="fr-CA"/>
        </w:rPr>
        <w:t>État et du droit de l</w:t>
      </w:r>
      <w:r w:rsidR="00AE5E90">
        <w:rPr>
          <w:lang w:val="fr-CA"/>
        </w:rPr>
        <w:t>’</w:t>
      </w:r>
      <w:r w:rsidR="00CB2113" w:rsidRPr="004E75DE">
        <w:rPr>
          <w:lang w:val="fr-CA"/>
        </w:rPr>
        <w:t>individu à la vie privée ne permet pas toujours de prendre en compte ce qu</w:t>
      </w:r>
      <w:r w:rsidR="00AE5E90">
        <w:rPr>
          <w:lang w:val="fr-CA"/>
        </w:rPr>
        <w:t>’</w:t>
      </w:r>
      <w:r w:rsidR="00CB2113" w:rsidRPr="004E75DE">
        <w:rPr>
          <w:lang w:val="fr-CA"/>
        </w:rPr>
        <w:t>il faut pour établir qu</w:t>
      </w:r>
      <w:r w:rsidR="00AE5E90">
        <w:rPr>
          <w:lang w:val="fr-CA"/>
        </w:rPr>
        <w:t>’</w:t>
      </w:r>
      <w:r w:rsidR="00CB2113" w:rsidRPr="004E75DE">
        <w:rPr>
          <w:lang w:val="fr-CA"/>
        </w:rPr>
        <w:t>une fouille, perquisition ou saisie est raisonnable</w:t>
      </w:r>
      <w:r w:rsidRPr="004E75DE">
        <w:rPr>
          <w:lang w:val="fr-CA"/>
        </w:rPr>
        <w:t xml:space="preserve">. </w:t>
      </w:r>
      <w:r w:rsidR="00CB2113" w:rsidRPr="004E75DE">
        <w:rPr>
          <w:lang w:val="fr-CA"/>
        </w:rPr>
        <w:t>Même lorsque l</w:t>
      </w:r>
      <w:r w:rsidR="00AE5E90">
        <w:rPr>
          <w:lang w:val="fr-CA"/>
        </w:rPr>
        <w:t>’</w:t>
      </w:r>
      <w:r w:rsidR="00CB2113" w:rsidRPr="004E75DE">
        <w:rPr>
          <w:lang w:val="fr-CA"/>
        </w:rPr>
        <w:t>objectif de l</w:t>
      </w:r>
      <w:r w:rsidR="00AE5E90">
        <w:rPr>
          <w:lang w:val="fr-CA"/>
        </w:rPr>
        <w:t>’</w:t>
      </w:r>
      <w:r w:rsidR="00CB2113" w:rsidRPr="004E75DE">
        <w:rPr>
          <w:lang w:val="fr-CA"/>
        </w:rPr>
        <w:t>État revêt une grande importance, l</w:t>
      </w:r>
      <w:r w:rsidR="00AE5E90">
        <w:rPr>
          <w:lang w:val="fr-CA"/>
        </w:rPr>
        <w:t>’</w:t>
      </w:r>
      <w:r w:rsidR="00CB2113" w:rsidRPr="004E75DE">
        <w:rPr>
          <w:lang w:val="fr-CA"/>
        </w:rPr>
        <w:t>État ne doit pas empiéter dans la sphère protégée de l</w:t>
      </w:r>
      <w:r w:rsidR="00AE5E90">
        <w:rPr>
          <w:lang w:val="fr-CA"/>
        </w:rPr>
        <w:t>’</w:t>
      </w:r>
      <w:r w:rsidR="00CB2113" w:rsidRPr="004E75DE">
        <w:rPr>
          <w:lang w:val="fr-CA"/>
        </w:rPr>
        <w:t>individu davantage que ne le justifie raisonnablement cet objectif, ni le faire en l</w:t>
      </w:r>
      <w:r w:rsidR="00AE5E90">
        <w:rPr>
          <w:lang w:val="fr-CA"/>
        </w:rPr>
        <w:t>’</w:t>
      </w:r>
      <w:r w:rsidR="00CB2113" w:rsidRPr="004E75DE">
        <w:rPr>
          <w:lang w:val="fr-CA"/>
        </w:rPr>
        <w:t>absence de garanties appropriées susceptibles de donner lieu à un contrôle judiciaire.</w:t>
      </w:r>
      <w:r w:rsidRPr="004E75DE">
        <w:rPr>
          <w:lang w:val="fr-CA"/>
        </w:rPr>
        <w:t xml:space="preserve"> </w:t>
      </w:r>
      <w:r w:rsidR="00CB2113" w:rsidRPr="004E75DE">
        <w:rPr>
          <w:lang w:val="fr-CA"/>
        </w:rPr>
        <w:t>Pour ce qui est du droit à la vie privée, il doit s</w:t>
      </w:r>
      <w:r w:rsidR="00AE5E90">
        <w:rPr>
          <w:lang w:val="fr-CA"/>
        </w:rPr>
        <w:t>’</w:t>
      </w:r>
      <w:r w:rsidR="00CB2113" w:rsidRPr="004E75DE">
        <w:rPr>
          <w:lang w:val="fr-CA"/>
        </w:rPr>
        <w:t>entendre au sens de ce qui appartient à la sphère privée de l</w:t>
      </w:r>
      <w:r w:rsidR="00AE5E90">
        <w:rPr>
          <w:lang w:val="fr-CA"/>
        </w:rPr>
        <w:t>’</w:t>
      </w:r>
      <w:r w:rsidR="00CB2113" w:rsidRPr="004E75DE">
        <w:rPr>
          <w:lang w:val="fr-CA"/>
        </w:rPr>
        <w:t>individu dans laquelle ce dernier s</w:t>
      </w:r>
      <w:r w:rsidR="00AE5E90">
        <w:rPr>
          <w:lang w:val="fr-CA"/>
        </w:rPr>
        <w:t>’</w:t>
      </w:r>
      <w:r w:rsidR="00CB2113" w:rsidRPr="004E75DE">
        <w:rPr>
          <w:lang w:val="fr-CA"/>
        </w:rPr>
        <w:t>attend raisonnablement à être à l</w:t>
      </w:r>
      <w:r w:rsidR="00AE5E90">
        <w:rPr>
          <w:lang w:val="fr-CA"/>
        </w:rPr>
        <w:t>’</w:t>
      </w:r>
      <w:r w:rsidR="00CB2113" w:rsidRPr="004E75DE">
        <w:rPr>
          <w:lang w:val="fr-CA"/>
        </w:rPr>
        <w:t>abri de l</w:t>
      </w:r>
      <w:r w:rsidR="00AE5E90">
        <w:rPr>
          <w:lang w:val="fr-CA"/>
        </w:rPr>
        <w:t>’</w:t>
      </w:r>
      <w:r w:rsidR="00CB2113" w:rsidRPr="004E75DE">
        <w:rPr>
          <w:lang w:val="fr-CA"/>
        </w:rPr>
        <w:t>intrusion de l</w:t>
      </w:r>
      <w:r w:rsidR="00AE5E90">
        <w:rPr>
          <w:lang w:val="fr-CA"/>
        </w:rPr>
        <w:t>’</w:t>
      </w:r>
      <w:r w:rsidR="00CB2113" w:rsidRPr="004E75DE">
        <w:rPr>
          <w:lang w:val="fr-CA"/>
        </w:rPr>
        <w:t>État en l</w:t>
      </w:r>
      <w:r w:rsidR="00AE5E90">
        <w:rPr>
          <w:lang w:val="fr-CA"/>
        </w:rPr>
        <w:t>’</w:t>
      </w:r>
      <w:r w:rsidR="00CB2113" w:rsidRPr="004E75DE">
        <w:rPr>
          <w:lang w:val="fr-CA"/>
        </w:rPr>
        <w:t>absence d</w:t>
      </w:r>
      <w:r w:rsidR="00AE5E90">
        <w:rPr>
          <w:lang w:val="fr-CA"/>
        </w:rPr>
        <w:t>’</w:t>
      </w:r>
      <w:r w:rsidR="00CB2113" w:rsidRPr="004E75DE">
        <w:rPr>
          <w:lang w:val="fr-CA"/>
        </w:rPr>
        <w:t>un objectif supérieur de celui</w:t>
      </w:r>
      <w:r w:rsidR="00AE5E90">
        <w:rPr>
          <w:lang w:val="fr-CA"/>
        </w:rPr>
        <w:noBreakHyphen/>
      </w:r>
      <w:r w:rsidR="00CB2113" w:rsidRPr="004E75DE">
        <w:rPr>
          <w:lang w:val="fr-CA"/>
        </w:rPr>
        <w:t>ci et de garanties juridiques.</w:t>
      </w:r>
    </w:p>
    <w:p w:rsidR="004D7D95" w:rsidRPr="004E75DE" w:rsidRDefault="009E38B3" w:rsidP="00926B45">
      <w:pPr>
        <w:pStyle w:val="SCCNormalDoubleSpacing"/>
        <w:widowControl w:val="0"/>
        <w:spacing w:after="480"/>
        <w:rPr>
          <w:lang w:val="fr-CA"/>
        </w:rPr>
      </w:pPr>
      <w:r w:rsidRPr="004E75DE">
        <w:rPr>
          <w:lang w:val="fr-CA"/>
        </w:rPr>
        <w:lastRenderedPageBreak/>
        <w:tab/>
      </w:r>
      <w:r w:rsidR="00CB2113" w:rsidRPr="004E75DE">
        <w:rPr>
          <w:lang w:val="fr-CA"/>
        </w:rPr>
        <w:t>Les trois conditions d</w:t>
      </w:r>
      <w:r w:rsidR="00AE5E90">
        <w:rPr>
          <w:lang w:val="fr-CA"/>
        </w:rPr>
        <w:t>’</w:t>
      </w:r>
      <w:r w:rsidR="00CB2113" w:rsidRPr="004E75DE">
        <w:rPr>
          <w:lang w:val="fr-CA"/>
        </w:rPr>
        <w:t>une fouille, d</w:t>
      </w:r>
      <w:r w:rsidR="00AE5E90">
        <w:rPr>
          <w:lang w:val="fr-CA"/>
        </w:rPr>
        <w:t>’</w:t>
      </w:r>
      <w:r w:rsidR="00CB2113" w:rsidRPr="004E75DE">
        <w:rPr>
          <w:lang w:val="fr-CA"/>
        </w:rPr>
        <w:t>une perquisition ou d</w:t>
      </w:r>
      <w:r w:rsidR="00AE5E90">
        <w:rPr>
          <w:lang w:val="fr-CA"/>
        </w:rPr>
        <w:t>’</w:t>
      </w:r>
      <w:r w:rsidR="00CB2113" w:rsidRPr="004E75DE">
        <w:rPr>
          <w:lang w:val="fr-CA"/>
        </w:rPr>
        <w:t>une saisie raisonnable sont toutes réunies en l</w:t>
      </w:r>
      <w:r w:rsidR="00AE5E90">
        <w:rPr>
          <w:lang w:val="fr-CA"/>
        </w:rPr>
        <w:t>’</w:t>
      </w:r>
      <w:r w:rsidR="00CB2113" w:rsidRPr="004E75DE">
        <w:rPr>
          <w:lang w:val="fr-CA"/>
        </w:rPr>
        <w:t>espèce</w:t>
      </w:r>
      <w:r w:rsidRPr="004E75DE">
        <w:rPr>
          <w:lang w:val="fr-CA"/>
        </w:rPr>
        <w:t>.</w:t>
      </w:r>
      <w:r w:rsidR="00CB2113" w:rsidRPr="004E75DE">
        <w:rPr>
          <w:lang w:val="fr-CA"/>
        </w:rPr>
        <w:t xml:space="preserve"> Tout d</w:t>
      </w:r>
      <w:r w:rsidR="00AE5E90">
        <w:rPr>
          <w:lang w:val="fr-CA"/>
        </w:rPr>
        <w:t>’</w:t>
      </w:r>
      <w:r w:rsidR="00CB2113" w:rsidRPr="004E75DE">
        <w:rPr>
          <w:lang w:val="fr-CA"/>
        </w:rPr>
        <w:t>abord, l</w:t>
      </w:r>
      <w:r w:rsidR="00AE5E90">
        <w:rPr>
          <w:lang w:val="fr-CA"/>
        </w:rPr>
        <w:t>’</w:t>
      </w:r>
      <w:r w:rsidR="00CB2113" w:rsidRPr="004E75DE">
        <w:rPr>
          <w:lang w:val="fr-CA"/>
        </w:rPr>
        <w:t>objectif de l</w:t>
      </w:r>
      <w:r w:rsidR="00AE5E90">
        <w:rPr>
          <w:lang w:val="fr-CA"/>
        </w:rPr>
        <w:t>’</w:t>
      </w:r>
      <w:r w:rsidR="00CB2113" w:rsidRPr="004E75DE">
        <w:rPr>
          <w:lang w:val="fr-CA"/>
        </w:rPr>
        <w:t>État — prévenir les décès et les blessures graves imputables à la conduite avec facultés affaiblies — est important et susceptible de justifier l</w:t>
      </w:r>
      <w:r w:rsidR="00AE5E90">
        <w:rPr>
          <w:lang w:val="fr-CA"/>
        </w:rPr>
        <w:t>’</w:t>
      </w:r>
      <w:r w:rsidR="00CB2113" w:rsidRPr="004E75DE">
        <w:rPr>
          <w:lang w:val="fr-CA"/>
        </w:rPr>
        <w:t>intrusion dans la sphère privée des substances corporelles de l</w:t>
      </w:r>
      <w:r w:rsidR="00AE5E90">
        <w:rPr>
          <w:lang w:val="fr-CA"/>
        </w:rPr>
        <w:t>’</w:t>
      </w:r>
      <w:r w:rsidR="00CB2113" w:rsidRPr="004E75DE">
        <w:rPr>
          <w:lang w:val="fr-CA"/>
        </w:rPr>
        <w:t>individu</w:t>
      </w:r>
      <w:r w:rsidR="00850FC7" w:rsidRPr="004E75DE">
        <w:rPr>
          <w:lang w:val="fr-CA"/>
        </w:rPr>
        <w:t>. Ensuite, la saisie ne va pas au</w:t>
      </w:r>
      <w:r w:rsidR="00AE5E90">
        <w:rPr>
          <w:lang w:val="fr-CA"/>
        </w:rPr>
        <w:noBreakHyphen/>
      </w:r>
      <w:r w:rsidR="00850FC7" w:rsidRPr="004E75DE">
        <w:rPr>
          <w:lang w:val="fr-CA"/>
        </w:rPr>
        <w:t>delà de ce qui est raisonnablement nécessaire pour atteindre l</w:t>
      </w:r>
      <w:r w:rsidR="00AE5E90">
        <w:rPr>
          <w:lang w:val="fr-CA"/>
        </w:rPr>
        <w:t>’</w:t>
      </w:r>
      <w:r w:rsidR="00850FC7" w:rsidRPr="004E75DE">
        <w:rPr>
          <w:lang w:val="fr-CA"/>
        </w:rPr>
        <w:t>objectif de l</w:t>
      </w:r>
      <w:r w:rsidR="00AE5E90">
        <w:rPr>
          <w:lang w:val="fr-CA"/>
        </w:rPr>
        <w:t>’</w:t>
      </w:r>
      <w:r w:rsidR="00850FC7" w:rsidRPr="004E75DE">
        <w:rPr>
          <w:lang w:val="fr-CA"/>
        </w:rPr>
        <w:t>État</w:t>
      </w:r>
      <w:r w:rsidRPr="004E75DE">
        <w:rPr>
          <w:lang w:val="fr-CA"/>
        </w:rPr>
        <w:t xml:space="preserve">. </w:t>
      </w:r>
      <w:r w:rsidR="00850FC7" w:rsidRPr="004E75DE">
        <w:rPr>
          <w:lang w:val="fr-CA"/>
        </w:rPr>
        <w:t>Le régime en l</w:t>
      </w:r>
      <w:r w:rsidR="00AE5E90">
        <w:rPr>
          <w:lang w:val="fr-CA"/>
        </w:rPr>
        <w:t>’</w:t>
      </w:r>
      <w:r w:rsidR="00850FC7" w:rsidRPr="004E75DE">
        <w:rPr>
          <w:lang w:val="fr-CA"/>
        </w:rPr>
        <w:t>espèce est de nature réglementaire, non criminelle. De plus, la conduite sur les routes est fortement réglementée et occupe une grande place dans l</w:t>
      </w:r>
      <w:r w:rsidR="00AE5E90">
        <w:rPr>
          <w:lang w:val="fr-CA"/>
        </w:rPr>
        <w:t>’</w:t>
      </w:r>
      <w:r w:rsidR="00850FC7" w:rsidRPr="004E75DE">
        <w:rPr>
          <w:lang w:val="fr-CA"/>
        </w:rPr>
        <w:t xml:space="preserve">application des règles de sécurité routière. </w:t>
      </w:r>
      <w:r w:rsidR="007F19AD" w:rsidRPr="004E75DE">
        <w:rPr>
          <w:lang w:val="fr-CA"/>
        </w:rPr>
        <w:t>La troisième condition — la possibilité de recourir à la surveillance judiciaire —</w:t>
      </w:r>
      <w:r w:rsidRPr="004E75DE">
        <w:rPr>
          <w:lang w:val="fr-CA"/>
        </w:rPr>
        <w:t xml:space="preserve"> </w:t>
      </w:r>
      <w:r w:rsidR="007F19AD" w:rsidRPr="004E75DE">
        <w:rPr>
          <w:lang w:val="fr-CA"/>
        </w:rPr>
        <w:t xml:space="preserve">est la plus problématique, mais le conducteur peut </w:t>
      </w:r>
      <w:r w:rsidR="00390E84" w:rsidRPr="004E75DE">
        <w:rPr>
          <w:lang w:val="fr-CA"/>
        </w:rPr>
        <w:t xml:space="preserve">demander </w:t>
      </w:r>
      <w:r w:rsidR="007F19AD" w:rsidRPr="004E75DE">
        <w:rPr>
          <w:lang w:val="fr-CA"/>
        </w:rPr>
        <w:t>qu</w:t>
      </w:r>
      <w:r w:rsidR="00AE5E90">
        <w:rPr>
          <w:lang w:val="fr-CA"/>
        </w:rPr>
        <w:t>’</w:t>
      </w:r>
      <w:r w:rsidR="007F19AD" w:rsidRPr="004E75DE">
        <w:rPr>
          <w:lang w:val="fr-CA"/>
        </w:rPr>
        <w:t>un deuxième test soit effectué à l</w:t>
      </w:r>
      <w:r w:rsidR="00AE5E90">
        <w:rPr>
          <w:lang w:val="fr-CA"/>
        </w:rPr>
        <w:t>’</w:t>
      </w:r>
      <w:r w:rsidR="007F19AD" w:rsidRPr="004E75DE">
        <w:rPr>
          <w:lang w:val="fr-CA"/>
        </w:rPr>
        <w:t>aide d</w:t>
      </w:r>
      <w:r w:rsidR="00AE5E90">
        <w:rPr>
          <w:lang w:val="fr-CA"/>
        </w:rPr>
        <w:t>’</w:t>
      </w:r>
      <w:r w:rsidR="007F19AD" w:rsidRPr="004E75DE">
        <w:rPr>
          <w:lang w:val="fr-CA"/>
        </w:rPr>
        <w:t>un autre appareil lors du contrôle routier</w:t>
      </w:r>
      <w:r w:rsidRPr="004E75DE">
        <w:rPr>
          <w:lang w:val="fr-CA"/>
        </w:rPr>
        <w:t>.</w:t>
      </w:r>
      <w:r w:rsidR="00A82C86" w:rsidRPr="004E75DE">
        <w:rPr>
          <w:lang w:val="fr-CA"/>
        </w:rPr>
        <w:t xml:space="preserve"> Il peut aussi demander que le </w:t>
      </w:r>
      <w:r w:rsidR="00523F49">
        <w:rPr>
          <w:lang w:val="fr-CA"/>
        </w:rPr>
        <w:t>S</w:t>
      </w:r>
      <w:r w:rsidR="00A82C86" w:rsidRPr="004E75DE">
        <w:rPr>
          <w:lang w:val="fr-CA"/>
        </w:rPr>
        <w:t>urintendant révise une suspension et présenter des déclarations et autres éléments de preuve à l</w:t>
      </w:r>
      <w:r w:rsidR="00AE5E90">
        <w:rPr>
          <w:lang w:val="fr-CA"/>
        </w:rPr>
        <w:t>’</w:t>
      </w:r>
      <w:r w:rsidR="00A82C86" w:rsidRPr="004E75DE">
        <w:rPr>
          <w:lang w:val="fr-CA"/>
        </w:rPr>
        <w:t>appui de sa demande. La décision du Surintendant peut être soumise à la surveillance des tribunaux par voie de contrôle judiciaire</w:t>
      </w:r>
      <w:r w:rsidRPr="004E75DE">
        <w:rPr>
          <w:lang w:val="fr-CA"/>
        </w:rPr>
        <w:t xml:space="preserve">. </w:t>
      </w:r>
      <w:r w:rsidR="00DC077E" w:rsidRPr="004E75DE">
        <w:rPr>
          <w:lang w:val="fr-CA"/>
        </w:rPr>
        <w:t>Le caractère administratif du régime ainsi que la nature des droits du conducteur en jeu justifient la nature administrative du contrôle, tout comme les dispositions moins strictes visant à assurer l</w:t>
      </w:r>
      <w:r w:rsidR="00AE5E90">
        <w:rPr>
          <w:lang w:val="fr-CA"/>
        </w:rPr>
        <w:t>’</w:t>
      </w:r>
      <w:r w:rsidR="00DC077E" w:rsidRPr="004E75DE">
        <w:rPr>
          <w:lang w:val="fr-CA"/>
        </w:rPr>
        <w:t>exactitude de l</w:t>
      </w:r>
      <w:r w:rsidR="00AE5E90">
        <w:rPr>
          <w:lang w:val="fr-CA"/>
        </w:rPr>
        <w:t>’</w:t>
      </w:r>
      <w:r w:rsidR="00DC077E" w:rsidRPr="004E75DE">
        <w:rPr>
          <w:lang w:val="fr-CA"/>
        </w:rPr>
        <w:t>échantillon</w:t>
      </w:r>
      <w:r w:rsidRPr="004E75DE">
        <w:rPr>
          <w:lang w:val="fr-CA"/>
        </w:rPr>
        <w:t xml:space="preserve">. </w:t>
      </w:r>
      <w:r w:rsidR="00DC077E" w:rsidRPr="004E75DE">
        <w:rPr>
          <w:lang w:val="fr-CA"/>
        </w:rPr>
        <w:t xml:space="preserve">Dans la présente affaire, </w:t>
      </w:r>
      <w:r w:rsidR="002F3BF9" w:rsidRPr="004E75DE">
        <w:rPr>
          <w:lang w:val="fr-CA"/>
        </w:rPr>
        <w:t>les dispositions du régime de suspension en matière de révision offrent une protection raisonnable contre l</w:t>
      </w:r>
      <w:r w:rsidR="00AE5E90">
        <w:rPr>
          <w:lang w:val="fr-CA"/>
        </w:rPr>
        <w:t>’</w:t>
      </w:r>
      <w:r w:rsidR="002F3BF9" w:rsidRPr="004E75DE">
        <w:rPr>
          <w:lang w:val="fr-CA"/>
        </w:rPr>
        <w:t>exercice abusif du pouvoir de l</w:t>
      </w:r>
      <w:r w:rsidR="00AE5E90">
        <w:rPr>
          <w:lang w:val="fr-CA"/>
        </w:rPr>
        <w:t>’</w:t>
      </w:r>
      <w:r w:rsidR="002F3BF9" w:rsidRPr="004E75DE">
        <w:rPr>
          <w:lang w:val="fr-CA"/>
        </w:rPr>
        <w:t>État d</w:t>
      </w:r>
      <w:r w:rsidR="00AE5E90">
        <w:rPr>
          <w:lang w:val="fr-CA"/>
        </w:rPr>
        <w:t>’</w:t>
      </w:r>
      <w:r w:rsidR="002F3BF9" w:rsidRPr="004E75DE">
        <w:rPr>
          <w:lang w:val="fr-CA"/>
        </w:rPr>
        <w:t>empiéter dans la sphère privée de l</w:t>
      </w:r>
      <w:r w:rsidR="00AE5E90">
        <w:rPr>
          <w:lang w:val="fr-CA"/>
        </w:rPr>
        <w:t>’</w:t>
      </w:r>
      <w:r w:rsidR="002F3BF9" w:rsidRPr="004E75DE">
        <w:rPr>
          <w:lang w:val="fr-CA"/>
        </w:rPr>
        <w:t>individu, eu égard à la nature du régime et aux droits à la vie privée en jeu</w:t>
      </w:r>
      <w:r w:rsidR="00AE5E90">
        <w:rPr>
          <w:lang w:val="fr-CA"/>
        </w:rPr>
        <w:t xml:space="preserve">. </w:t>
      </w:r>
    </w:p>
    <w:p w:rsidR="004D7D95" w:rsidRPr="004E75DE" w:rsidRDefault="004D7D95" w:rsidP="00926B45">
      <w:pPr>
        <w:pStyle w:val="SCCNormalDoubleSpacing"/>
        <w:widowControl w:val="0"/>
        <w:spacing w:after="720" w:line="240" w:lineRule="auto"/>
        <w:rPr>
          <w:b/>
          <w:lang w:val="fr-CA"/>
        </w:rPr>
      </w:pPr>
      <w:r w:rsidRPr="004E75DE">
        <w:rPr>
          <w:b/>
          <w:lang w:val="fr-CA"/>
        </w:rPr>
        <w:t>Jurisprudence</w:t>
      </w:r>
    </w:p>
    <w:p w:rsidR="004C4A99" w:rsidRPr="004E75DE" w:rsidRDefault="003158A4" w:rsidP="00926B45">
      <w:pPr>
        <w:pStyle w:val="SCCNormalDoubleSpacing"/>
        <w:widowControl w:val="0"/>
        <w:spacing w:after="720" w:line="240" w:lineRule="auto"/>
        <w:rPr>
          <w:lang w:val="fr-CA"/>
        </w:rPr>
      </w:pPr>
      <w:r w:rsidRPr="004E75DE">
        <w:rPr>
          <w:lang w:val="fr-CA"/>
        </w:rPr>
        <w:t>Citée par la juge Karakatsanis</w:t>
      </w:r>
    </w:p>
    <w:p w:rsidR="004D7D95" w:rsidRPr="004E75DE" w:rsidRDefault="004D7D95" w:rsidP="00926B45">
      <w:pPr>
        <w:pStyle w:val="SCCNormalDoubleSpacing"/>
        <w:widowControl w:val="0"/>
        <w:spacing w:after="480"/>
        <w:rPr>
          <w:b/>
          <w:lang w:val="fr-CA"/>
        </w:rPr>
      </w:pPr>
      <w:r w:rsidRPr="004E75DE">
        <w:rPr>
          <w:lang w:val="fr-CA"/>
        </w:rPr>
        <w:lastRenderedPageBreak/>
        <w:tab/>
      </w:r>
      <w:r w:rsidRPr="004E75DE">
        <w:rPr>
          <w:b/>
          <w:lang w:val="fr-CA"/>
        </w:rPr>
        <w:t xml:space="preserve">Arrêts </w:t>
      </w:r>
      <w:r w:rsidR="00F133A1" w:rsidRPr="004E75DE">
        <w:rPr>
          <w:b/>
          <w:lang w:val="fr-CA"/>
        </w:rPr>
        <w:t>appliqués</w:t>
      </w:r>
      <w:r w:rsidR="00AE5E90">
        <w:rPr>
          <w:b/>
          <w:lang w:val="fr-CA"/>
        </w:rPr>
        <w:t> :</w:t>
      </w:r>
      <w:r w:rsidR="00F133A1" w:rsidRPr="004E75DE">
        <w:rPr>
          <w:b/>
          <w:lang w:val="fr-CA"/>
        </w:rPr>
        <w:t xml:space="preserve"> </w:t>
      </w:r>
      <w:r w:rsidR="00F133A1" w:rsidRPr="004E75DE">
        <w:rPr>
          <w:bCs/>
          <w:i/>
          <w:iCs/>
          <w:lang w:val="fr-CA"/>
        </w:rPr>
        <w:t>Martineau c. M.R.N.</w:t>
      </w:r>
      <w:r w:rsidR="00F133A1" w:rsidRPr="004E75DE">
        <w:rPr>
          <w:bCs/>
          <w:iCs/>
          <w:lang w:val="fr-CA"/>
        </w:rPr>
        <w:t xml:space="preserve">, 2004 CSC 81, [2004] 3 R.C.S. 737; </w:t>
      </w:r>
      <w:r w:rsidR="00F133A1" w:rsidRPr="004E75DE">
        <w:rPr>
          <w:bCs/>
          <w:i/>
          <w:iCs/>
          <w:lang w:val="fr-CA"/>
        </w:rPr>
        <w:t>R. c. Wigglesworth</w:t>
      </w:r>
      <w:r w:rsidR="00F133A1" w:rsidRPr="004E75DE">
        <w:rPr>
          <w:bCs/>
          <w:iCs/>
          <w:lang w:val="fr-CA"/>
        </w:rPr>
        <w:t xml:space="preserve">, [1987] 2 R.C.S. 541; </w:t>
      </w:r>
      <w:r w:rsidR="00F133A1" w:rsidRPr="004E75DE">
        <w:rPr>
          <w:b/>
          <w:bCs/>
          <w:iCs/>
          <w:lang w:val="fr-CA"/>
        </w:rPr>
        <w:t>arrêts</w:t>
      </w:r>
      <w:r w:rsidR="00F133A1" w:rsidRPr="004E75DE">
        <w:rPr>
          <w:bCs/>
          <w:iCs/>
          <w:lang w:val="fr-CA"/>
        </w:rPr>
        <w:t xml:space="preserve"> </w:t>
      </w:r>
      <w:r w:rsidRPr="004E75DE">
        <w:rPr>
          <w:b/>
          <w:lang w:val="fr-CA"/>
        </w:rPr>
        <w:t>mentionnés</w:t>
      </w:r>
      <w:r w:rsidR="00AE5E90">
        <w:rPr>
          <w:b/>
          <w:lang w:val="fr-CA"/>
        </w:rPr>
        <w:t> :</w:t>
      </w:r>
      <w:r w:rsidRPr="004E75DE">
        <w:rPr>
          <w:lang w:val="fr-CA"/>
        </w:rPr>
        <w:t xml:space="preserve"> </w:t>
      </w:r>
      <w:r w:rsidR="00686BFC" w:rsidRPr="004E75DE">
        <w:rPr>
          <w:i/>
          <w:lang w:val="fr-CA"/>
        </w:rPr>
        <w:t xml:space="preserve">Sivia c. </w:t>
      </w:r>
      <w:r w:rsidR="007C36E0" w:rsidRPr="004E75DE">
        <w:rPr>
          <w:i/>
          <w:lang w:val="fr-CA"/>
        </w:rPr>
        <w:t>British Columbia (Superintendent of Motor Vehicles)</w:t>
      </w:r>
      <w:r w:rsidR="007C36E0" w:rsidRPr="004E75DE">
        <w:rPr>
          <w:lang w:val="fr-CA"/>
        </w:rPr>
        <w:t>, 2014 BCCA 79, 55 B.C.L.R. (5th) 1</w:t>
      </w:r>
      <w:r w:rsidR="00686BFC" w:rsidRPr="004E75DE">
        <w:rPr>
          <w:lang w:val="fr-CA"/>
        </w:rPr>
        <w:t xml:space="preserve">; </w:t>
      </w:r>
      <w:r w:rsidR="007C36E0" w:rsidRPr="004E75DE">
        <w:rPr>
          <w:i/>
          <w:lang w:val="fr-CA"/>
        </w:rPr>
        <w:t>Buhlers c. Super</w:t>
      </w:r>
      <w:r w:rsidR="00201AC1" w:rsidRPr="004E75DE">
        <w:rPr>
          <w:i/>
          <w:lang w:val="fr-CA"/>
        </w:rPr>
        <w:t>intendent of Motor Vehicles (B.C.)</w:t>
      </w:r>
      <w:r w:rsidR="00201AC1" w:rsidRPr="004E75DE">
        <w:rPr>
          <w:lang w:val="fr-CA"/>
        </w:rPr>
        <w:t>,</w:t>
      </w:r>
      <w:r w:rsidR="00201AC1" w:rsidRPr="004E75DE">
        <w:rPr>
          <w:i/>
          <w:lang w:val="fr-CA"/>
        </w:rPr>
        <w:t xml:space="preserve"> </w:t>
      </w:r>
      <w:r w:rsidR="00201AC1" w:rsidRPr="004E75DE">
        <w:rPr>
          <w:lang w:val="fr-CA"/>
        </w:rPr>
        <w:t>1999 BCCA 0114, 119 B.C.A.C. 207</w:t>
      </w:r>
      <w:r w:rsidR="00686BFC" w:rsidRPr="004E75DE">
        <w:rPr>
          <w:lang w:val="fr-CA"/>
        </w:rPr>
        <w:t xml:space="preserve">; </w:t>
      </w:r>
      <w:r w:rsidR="00686BFC" w:rsidRPr="004E75DE">
        <w:rPr>
          <w:bCs/>
          <w:i/>
          <w:lang w:val="fr-CA"/>
        </w:rPr>
        <w:t>Provincial Sec</w:t>
      </w:r>
      <w:r w:rsidR="00AA3A5B" w:rsidRPr="004E75DE">
        <w:rPr>
          <w:bCs/>
          <w:i/>
          <w:lang w:val="fr-CA"/>
        </w:rPr>
        <w:t>retary of Prince Edward Island c</w:t>
      </w:r>
      <w:r w:rsidR="00686BFC" w:rsidRPr="004E75DE">
        <w:rPr>
          <w:bCs/>
          <w:i/>
          <w:lang w:val="fr-CA"/>
        </w:rPr>
        <w:t>. Egan</w:t>
      </w:r>
      <w:r w:rsidR="00686BFC" w:rsidRPr="004E75DE">
        <w:rPr>
          <w:bCs/>
          <w:lang w:val="fr-CA"/>
        </w:rPr>
        <w:t xml:space="preserve">, [1941] </w:t>
      </w:r>
      <w:r w:rsidR="007C36E0" w:rsidRPr="004E75DE">
        <w:rPr>
          <w:bCs/>
          <w:lang w:val="fr-CA"/>
        </w:rPr>
        <w:t>R.C.S.</w:t>
      </w:r>
      <w:r w:rsidR="00686BFC" w:rsidRPr="004E75DE">
        <w:rPr>
          <w:bCs/>
          <w:lang w:val="fr-CA"/>
        </w:rPr>
        <w:t xml:space="preserve"> 396; </w:t>
      </w:r>
      <w:r w:rsidR="00AA3A5B" w:rsidRPr="004E75DE">
        <w:rPr>
          <w:bCs/>
          <w:i/>
          <w:lang w:val="fr-CA"/>
        </w:rPr>
        <w:t>R. c</w:t>
      </w:r>
      <w:r w:rsidR="00686BFC" w:rsidRPr="004E75DE">
        <w:rPr>
          <w:bCs/>
          <w:i/>
          <w:lang w:val="fr-CA"/>
        </w:rPr>
        <w:t>. Morgentaler</w:t>
      </w:r>
      <w:r w:rsidR="00686BFC" w:rsidRPr="004E75DE">
        <w:rPr>
          <w:bCs/>
          <w:lang w:val="fr-CA"/>
        </w:rPr>
        <w:t xml:space="preserve">, [1993] 3 </w:t>
      </w:r>
      <w:r w:rsidR="00AA3A5B" w:rsidRPr="004E75DE">
        <w:rPr>
          <w:bCs/>
          <w:lang w:val="fr-CA"/>
        </w:rPr>
        <w:t>R.C.S</w:t>
      </w:r>
      <w:r w:rsidR="00686BFC" w:rsidRPr="004E75DE">
        <w:rPr>
          <w:bCs/>
          <w:lang w:val="fr-CA"/>
        </w:rPr>
        <w:t xml:space="preserve">. 463; </w:t>
      </w:r>
      <w:r w:rsidR="00F26C0B" w:rsidRPr="004E75DE">
        <w:rPr>
          <w:bCs/>
          <w:i/>
          <w:lang w:val="fr-CA"/>
        </w:rPr>
        <w:t>Qué</w:t>
      </w:r>
      <w:r w:rsidR="00686BFC" w:rsidRPr="004E75DE">
        <w:rPr>
          <w:bCs/>
          <w:i/>
          <w:lang w:val="fr-CA"/>
        </w:rPr>
        <w:t>bec (</w:t>
      </w:r>
      <w:r w:rsidR="00F26C0B" w:rsidRPr="004E75DE">
        <w:rPr>
          <w:bCs/>
          <w:i/>
          <w:lang w:val="fr-CA"/>
        </w:rPr>
        <w:t>Procureur général</w:t>
      </w:r>
      <w:r w:rsidR="00686BFC" w:rsidRPr="004E75DE">
        <w:rPr>
          <w:bCs/>
          <w:i/>
          <w:lang w:val="fr-CA"/>
        </w:rPr>
        <w:t xml:space="preserve">) </w:t>
      </w:r>
      <w:r w:rsidR="00F26C0B" w:rsidRPr="004E75DE">
        <w:rPr>
          <w:bCs/>
          <w:i/>
          <w:iCs/>
          <w:lang w:val="fr-CA"/>
        </w:rPr>
        <w:t>c</w:t>
      </w:r>
      <w:r w:rsidR="00686BFC" w:rsidRPr="004E75DE">
        <w:rPr>
          <w:bCs/>
          <w:i/>
          <w:iCs/>
          <w:lang w:val="fr-CA"/>
        </w:rPr>
        <w:t>.</w:t>
      </w:r>
      <w:r w:rsidR="00686BFC" w:rsidRPr="004E75DE">
        <w:rPr>
          <w:bCs/>
          <w:i/>
          <w:lang w:val="fr-CA"/>
        </w:rPr>
        <w:t xml:space="preserve"> Canada (</w:t>
      </w:r>
      <w:r w:rsidR="00F26C0B" w:rsidRPr="004E75DE">
        <w:rPr>
          <w:bCs/>
          <w:i/>
          <w:lang w:val="fr-CA"/>
        </w:rPr>
        <w:t>Procureur général</w:t>
      </w:r>
      <w:r w:rsidR="00686BFC" w:rsidRPr="004E75DE">
        <w:rPr>
          <w:bCs/>
          <w:i/>
          <w:lang w:val="fr-CA"/>
        </w:rPr>
        <w:t>)</w:t>
      </w:r>
      <w:r w:rsidR="00686BFC" w:rsidRPr="004E75DE">
        <w:rPr>
          <w:bCs/>
          <w:lang w:val="fr-CA"/>
        </w:rPr>
        <w:t xml:space="preserve">, 2015 </w:t>
      </w:r>
      <w:r w:rsidR="00F26C0B" w:rsidRPr="004E75DE">
        <w:rPr>
          <w:bCs/>
          <w:lang w:val="fr-CA"/>
        </w:rPr>
        <w:t>C</w:t>
      </w:r>
      <w:r w:rsidR="00686BFC" w:rsidRPr="004E75DE">
        <w:rPr>
          <w:bCs/>
          <w:lang w:val="fr-CA"/>
        </w:rPr>
        <w:t>SC 14</w:t>
      </w:r>
      <w:r w:rsidR="00DD5107" w:rsidRPr="004E75DE">
        <w:rPr>
          <w:bCs/>
          <w:lang w:val="fr-CA"/>
        </w:rPr>
        <w:t>, [2015] 1 R.C.S. 693</w:t>
      </w:r>
      <w:r w:rsidR="00686BFC" w:rsidRPr="004E75DE">
        <w:rPr>
          <w:bCs/>
          <w:lang w:val="fr-CA"/>
        </w:rPr>
        <w:t xml:space="preserve">; </w:t>
      </w:r>
      <w:r w:rsidR="00F26C0B" w:rsidRPr="004E75DE">
        <w:rPr>
          <w:bCs/>
          <w:i/>
          <w:iCs/>
          <w:lang w:val="fr-CA"/>
        </w:rPr>
        <w:t>Renvoi relatif à la Loi sur les valeurs mobilières</w:t>
      </w:r>
      <w:r w:rsidR="00686BFC" w:rsidRPr="004E75DE">
        <w:rPr>
          <w:bCs/>
          <w:iCs/>
          <w:lang w:val="fr-CA"/>
        </w:rPr>
        <w:t xml:space="preserve">, 2011 </w:t>
      </w:r>
      <w:r w:rsidR="00F26C0B" w:rsidRPr="004E75DE">
        <w:rPr>
          <w:bCs/>
          <w:iCs/>
          <w:lang w:val="fr-CA"/>
        </w:rPr>
        <w:t>C</w:t>
      </w:r>
      <w:r w:rsidR="00686BFC" w:rsidRPr="004E75DE">
        <w:rPr>
          <w:bCs/>
          <w:iCs/>
          <w:lang w:val="fr-CA"/>
        </w:rPr>
        <w:t xml:space="preserve">SC 66, [2011] 3 </w:t>
      </w:r>
      <w:r w:rsidR="00F26C0B" w:rsidRPr="004E75DE">
        <w:rPr>
          <w:bCs/>
          <w:iCs/>
          <w:lang w:val="fr-CA"/>
        </w:rPr>
        <w:t>R.C.S</w:t>
      </w:r>
      <w:r w:rsidR="00686BFC" w:rsidRPr="004E75DE">
        <w:rPr>
          <w:bCs/>
          <w:iCs/>
          <w:lang w:val="fr-CA"/>
        </w:rPr>
        <w:t xml:space="preserve">. 837; </w:t>
      </w:r>
      <w:r w:rsidR="003423C2" w:rsidRPr="004E75DE">
        <w:rPr>
          <w:bCs/>
          <w:i/>
          <w:iCs/>
          <w:lang w:val="fr-CA"/>
        </w:rPr>
        <w:t>Qué</w:t>
      </w:r>
      <w:r w:rsidR="00686BFC" w:rsidRPr="004E75DE">
        <w:rPr>
          <w:bCs/>
          <w:i/>
          <w:iCs/>
          <w:lang w:val="fr-CA"/>
        </w:rPr>
        <w:t>bec (</w:t>
      </w:r>
      <w:r w:rsidR="003423C2" w:rsidRPr="004E75DE">
        <w:rPr>
          <w:bCs/>
          <w:i/>
          <w:lang w:val="fr-CA"/>
        </w:rPr>
        <w:t>Procureur général</w:t>
      </w:r>
      <w:r w:rsidR="003423C2" w:rsidRPr="004E75DE">
        <w:rPr>
          <w:bCs/>
          <w:i/>
          <w:iCs/>
          <w:lang w:val="fr-CA"/>
        </w:rPr>
        <w:t>) c</w:t>
      </w:r>
      <w:r w:rsidR="00686BFC" w:rsidRPr="004E75DE">
        <w:rPr>
          <w:bCs/>
          <w:i/>
          <w:iCs/>
          <w:lang w:val="fr-CA"/>
        </w:rPr>
        <w:t>. Lacombe</w:t>
      </w:r>
      <w:r w:rsidR="00686BFC" w:rsidRPr="004E75DE">
        <w:rPr>
          <w:bCs/>
          <w:iCs/>
          <w:lang w:val="fr-CA"/>
        </w:rPr>
        <w:t xml:space="preserve">, 2010 </w:t>
      </w:r>
      <w:r w:rsidR="003423C2" w:rsidRPr="004E75DE">
        <w:rPr>
          <w:bCs/>
          <w:iCs/>
          <w:lang w:val="fr-CA"/>
        </w:rPr>
        <w:t>C</w:t>
      </w:r>
      <w:r w:rsidR="00686BFC" w:rsidRPr="004E75DE">
        <w:rPr>
          <w:bCs/>
          <w:iCs/>
          <w:lang w:val="fr-CA"/>
        </w:rPr>
        <w:t xml:space="preserve">SC 38, [2010] 2 </w:t>
      </w:r>
      <w:r w:rsidR="003423C2" w:rsidRPr="004E75DE">
        <w:rPr>
          <w:bCs/>
          <w:iCs/>
          <w:lang w:val="fr-CA"/>
        </w:rPr>
        <w:t>R.C.S</w:t>
      </w:r>
      <w:r w:rsidR="00686BFC" w:rsidRPr="004E75DE">
        <w:rPr>
          <w:bCs/>
          <w:iCs/>
          <w:lang w:val="fr-CA"/>
        </w:rPr>
        <w:t xml:space="preserve">. 453; </w:t>
      </w:r>
      <w:r w:rsidR="00562F04" w:rsidRPr="004E75DE">
        <w:rPr>
          <w:bCs/>
          <w:i/>
          <w:iCs/>
          <w:lang w:val="fr-CA"/>
        </w:rPr>
        <w:t xml:space="preserve">Renvoi relatif à </w:t>
      </w:r>
      <w:r w:rsidR="00971AFA">
        <w:rPr>
          <w:bCs/>
          <w:i/>
          <w:iCs/>
          <w:lang w:val="fr-CA"/>
        </w:rPr>
        <w:t>l’</w:t>
      </w:r>
      <w:r w:rsidR="00686BFC" w:rsidRPr="004E75DE">
        <w:rPr>
          <w:bCs/>
          <w:i/>
          <w:iCs/>
          <w:lang w:val="fr-CA"/>
        </w:rPr>
        <w:t>Upper Churchill Water Rights Reversion Act</w:t>
      </w:r>
      <w:r w:rsidR="00686BFC" w:rsidRPr="004E75DE">
        <w:rPr>
          <w:bCs/>
          <w:iCs/>
          <w:lang w:val="fr-CA"/>
        </w:rPr>
        <w:t xml:space="preserve">, [1984] 1 </w:t>
      </w:r>
      <w:r w:rsidR="00562F04" w:rsidRPr="004E75DE">
        <w:rPr>
          <w:bCs/>
          <w:iCs/>
          <w:lang w:val="fr-CA"/>
        </w:rPr>
        <w:t>R.C.S</w:t>
      </w:r>
      <w:r w:rsidR="00686BFC" w:rsidRPr="004E75DE">
        <w:rPr>
          <w:bCs/>
          <w:iCs/>
          <w:lang w:val="fr-CA"/>
        </w:rPr>
        <w:t xml:space="preserve">. 297; </w:t>
      </w:r>
      <w:r w:rsidR="00BB6553" w:rsidRPr="004E75DE">
        <w:rPr>
          <w:bCs/>
          <w:i/>
          <w:iCs/>
          <w:lang w:val="fr-CA"/>
        </w:rPr>
        <w:t>Ward c. Canada (Procureur général)</w:t>
      </w:r>
      <w:r w:rsidR="00BB6553" w:rsidRPr="004E75DE">
        <w:rPr>
          <w:bCs/>
          <w:iCs/>
          <w:lang w:val="fr-CA"/>
        </w:rPr>
        <w:t xml:space="preserve">, 2002 CSC 17, [2002] 1 R.C.S. 569; </w:t>
      </w:r>
      <w:r w:rsidR="005271E3" w:rsidRPr="004E75DE">
        <w:rPr>
          <w:bCs/>
          <w:i/>
          <w:iCs/>
          <w:lang w:val="fr-CA"/>
        </w:rPr>
        <w:t>Chatterjee c. Ontario (Procureur général)</w:t>
      </w:r>
      <w:r w:rsidR="005271E3" w:rsidRPr="004E75DE">
        <w:rPr>
          <w:bCs/>
          <w:iCs/>
          <w:lang w:val="fr-CA"/>
        </w:rPr>
        <w:t xml:space="preserve">, 2009 CSC 19, [2009] 1 R.C.S. 624; </w:t>
      </w:r>
      <w:r w:rsidR="00E74A40" w:rsidRPr="004E75DE">
        <w:rPr>
          <w:bCs/>
          <w:i/>
          <w:iCs/>
          <w:lang w:val="fr-CA"/>
        </w:rPr>
        <w:t>Dedman c. La Reine</w:t>
      </w:r>
      <w:r w:rsidR="00E74A40" w:rsidRPr="004E75DE">
        <w:rPr>
          <w:bCs/>
          <w:iCs/>
          <w:lang w:val="fr-CA"/>
        </w:rPr>
        <w:t xml:space="preserve">, [1985] 2 R.C.S. 2; </w:t>
      </w:r>
      <w:r w:rsidR="00E74A40" w:rsidRPr="004E75DE">
        <w:rPr>
          <w:bCs/>
          <w:i/>
          <w:iCs/>
          <w:lang w:val="fr-CA"/>
        </w:rPr>
        <w:t>R. c. Beaudry</w:t>
      </w:r>
      <w:r w:rsidR="00E74A40" w:rsidRPr="004E75DE">
        <w:rPr>
          <w:bCs/>
          <w:iCs/>
          <w:lang w:val="fr-CA"/>
        </w:rPr>
        <w:t xml:space="preserve">, 2007 CSC 5, [2007] 1 R.C.S. 190; </w:t>
      </w:r>
      <w:r w:rsidR="00CF0C90" w:rsidRPr="004E75DE">
        <w:rPr>
          <w:bCs/>
          <w:i/>
          <w:iCs/>
          <w:lang w:val="fr-CA"/>
        </w:rPr>
        <w:t>Validity of Section 92(4) of The</w:t>
      </w:r>
      <w:r w:rsidR="00686BFC" w:rsidRPr="004E75DE">
        <w:rPr>
          <w:bCs/>
          <w:i/>
          <w:iCs/>
          <w:lang w:val="fr-CA"/>
        </w:rPr>
        <w:t xml:space="preserve"> Vehicles Act, 1957 (Sask.)</w:t>
      </w:r>
      <w:r w:rsidR="00686BFC" w:rsidRPr="004E75DE">
        <w:rPr>
          <w:bCs/>
          <w:iCs/>
          <w:lang w:val="fr-CA"/>
        </w:rPr>
        <w:t xml:space="preserve">, [1958] </w:t>
      </w:r>
      <w:r w:rsidR="00CF0C90" w:rsidRPr="004E75DE">
        <w:rPr>
          <w:bCs/>
          <w:iCs/>
          <w:lang w:val="fr-CA"/>
        </w:rPr>
        <w:t>R.C.S</w:t>
      </w:r>
      <w:r w:rsidR="00686BFC" w:rsidRPr="004E75DE">
        <w:rPr>
          <w:bCs/>
          <w:iCs/>
          <w:lang w:val="fr-CA"/>
        </w:rPr>
        <w:t xml:space="preserve">. 608; </w:t>
      </w:r>
      <w:r w:rsidR="00CF0C90" w:rsidRPr="004E75DE">
        <w:rPr>
          <w:bCs/>
          <w:i/>
          <w:iCs/>
          <w:lang w:val="fr-CA"/>
        </w:rPr>
        <w:t>O</w:t>
      </w:r>
      <w:r w:rsidR="00AE5E90">
        <w:rPr>
          <w:bCs/>
          <w:i/>
          <w:iCs/>
          <w:lang w:val="fr-CA"/>
        </w:rPr>
        <w:t>’</w:t>
      </w:r>
      <w:r w:rsidR="00CF0C90" w:rsidRPr="004E75DE">
        <w:rPr>
          <w:bCs/>
          <w:i/>
          <w:iCs/>
          <w:lang w:val="fr-CA"/>
        </w:rPr>
        <w:t>Grady c</w:t>
      </w:r>
      <w:r w:rsidR="00686BFC" w:rsidRPr="004E75DE">
        <w:rPr>
          <w:bCs/>
          <w:i/>
          <w:iCs/>
          <w:lang w:val="fr-CA"/>
        </w:rPr>
        <w:t>. Sparling</w:t>
      </w:r>
      <w:r w:rsidR="00686BFC" w:rsidRPr="004E75DE">
        <w:rPr>
          <w:bCs/>
          <w:iCs/>
          <w:lang w:val="fr-CA"/>
        </w:rPr>
        <w:t xml:space="preserve">, [1960] </w:t>
      </w:r>
      <w:r w:rsidR="00CF0C90" w:rsidRPr="004E75DE">
        <w:rPr>
          <w:bCs/>
          <w:iCs/>
          <w:lang w:val="fr-CA"/>
        </w:rPr>
        <w:t>R.C.S</w:t>
      </w:r>
      <w:r w:rsidR="00686BFC" w:rsidRPr="004E75DE">
        <w:rPr>
          <w:bCs/>
          <w:iCs/>
          <w:lang w:val="fr-CA"/>
        </w:rPr>
        <w:t xml:space="preserve">. 804; </w:t>
      </w:r>
      <w:r w:rsidR="009469E5" w:rsidRPr="004E75DE">
        <w:rPr>
          <w:bCs/>
          <w:i/>
          <w:iCs/>
          <w:lang w:val="fr-CA"/>
        </w:rPr>
        <w:t>Ross c</w:t>
      </w:r>
      <w:r w:rsidR="00686BFC" w:rsidRPr="004E75DE">
        <w:rPr>
          <w:bCs/>
          <w:i/>
          <w:iCs/>
          <w:lang w:val="fr-CA"/>
        </w:rPr>
        <w:t xml:space="preserve">. </w:t>
      </w:r>
      <w:r w:rsidR="009469E5" w:rsidRPr="004E75DE">
        <w:rPr>
          <w:bCs/>
          <w:i/>
          <w:iCs/>
          <w:lang w:val="fr-CA"/>
        </w:rPr>
        <w:t>Registraire des véhicules automobiles</w:t>
      </w:r>
      <w:r w:rsidR="00686BFC" w:rsidRPr="004E75DE">
        <w:rPr>
          <w:bCs/>
          <w:iCs/>
          <w:lang w:val="fr-CA"/>
        </w:rPr>
        <w:t xml:space="preserve">, [1975] 1 </w:t>
      </w:r>
      <w:r w:rsidR="009469E5" w:rsidRPr="004E75DE">
        <w:rPr>
          <w:bCs/>
          <w:iCs/>
          <w:lang w:val="fr-CA"/>
        </w:rPr>
        <w:t>R.C.S</w:t>
      </w:r>
      <w:r w:rsidR="00686BFC" w:rsidRPr="004E75DE">
        <w:rPr>
          <w:bCs/>
          <w:iCs/>
          <w:lang w:val="fr-CA"/>
        </w:rPr>
        <w:t xml:space="preserve">. 5; </w:t>
      </w:r>
      <w:r w:rsidR="005545E2" w:rsidRPr="004E75DE">
        <w:rPr>
          <w:bCs/>
          <w:i/>
          <w:iCs/>
          <w:lang w:val="fr-CA"/>
        </w:rPr>
        <w:t>Gonzalez c. Driver Control Board (Alta.)</w:t>
      </w:r>
      <w:r w:rsidR="005545E2" w:rsidRPr="004E75DE">
        <w:rPr>
          <w:bCs/>
          <w:iCs/>
          <w:lang w:val="fr-CA"/>
        </w:rPr>
        <w:t>, 2003 ABCA 256, 330 A.R. 262</w:t>
      </w:r>
      <w:r w:rsidR="00686BFC" w:rsidRPr="004E75DE">
        <w:rPr>
          <w:bCs/>
          <w:iCs/>
          <w:lang w:val="fr-CA"/>
        </w:rPr>
        <w:t xml:space="preserve">; </w:t>
      </w:r>
      <w:r w:rsidR="00686BFC" w:rsidRPr="004E75DE">
        <w:rPr>
          <w:bCs/>
          <w:i/>
          <w:iCs/>
          <w:lang w:val="fr-CA"/>
        </w:rPr>
        <w:t xml:space="preserve">Horsefield </w:t>
      </w:r>
      <w:r w:rsidR="00CC7981" w:rsidRPr="004E75DE">
        <w:rPr>
          <w:bCs/>
          <w:i/>
          <w:iCs/>
          <w:lang w:val="fr-CA"/>
        </w:rPr>
        <w:t>c</w:t>
      </w:r>
      <w:r w:rsidR="00686BFC" w:rsidRPr="004E75DE">
        <w:rPr>
          <w:bCs/>
          <w:i/>
          <w:iCs/>
          <w:lang w:val="fr-CA"/>
        </w:rPr>
        <w:t>. Ontario (Registrar of Motor Vehicles)</w:t>
      </w:r>
      <w:r w:rsidR="00686BFC" w:rsidRPr="004E75DE">
        <w:rPr>
          <w:bCs/>
          <w:iCs/>
          <w:lang w:val="fr-CA"/>
        </w:rPr>
        <w:t xml:space="preserve"> (1999), </w:t>
      </w:r>
      <w:r w:rsidR="007221FA" w:rsidRPr="004E75DE">
        <w:rPr>
          <w:bCs/>
          <w:iCs/>
          <w:lang w:val="fr-CA"/>
        </w:rPr>
        <w:t>44 O.R. (3d) 73</w:t>
      </w:r>
      <w:r w:rsidR="00686BFC" w:rsidRPr="004E75DE">
        <w:rPr>
          <w:bCs/>
          <w:iCs/>
          <w:lang w:val="fr-CA"/>
        </w:rPr>
        <w:t xml:space="preserve">; </w:t>
      </w:r>
      <w:r w:rsidR="00ED771C" w:rsidRPr="004E75DE">
        <w:rPr>
          <w:bCs/>
          <w:i/>
          <w:iCs/>
          <w:lang w:val="fr-CA"/>
        </w:rPr>
        <w:t>Banque canadienne de l</w:t>
      </w:r>
      <w:r w:rsidR="00AE5E90">
        <w:rPr>
          <w:bCs/>
          <w:i/>
          <w:iCs/>
          <w:lang w:val="fr-CA"/>
        </w:rPr>
        <w:t>’</w:t>
      </w:r>
      <w:r w:rsidR="00ED771C" w:rsidRPr="004E75DE">
        <w:rPr>
          <w:bCs/>
          <w:i/>
          <w:iCs/>
          <w:lang w:val="fr-CA"/>
        </w:rPr>
        <w:t>Ouest</w:t>
      </w:r>
      <w:r w:rsidR="00686BFC" w:rsidRPr="004E75DE">
        <w:rPr>
          <w:bCs/>
          <w:i/>
          <w:iCs/>
          <w:lang w:val="fr-CA"/>
        </w:rPr>
        <w:t xml:space="preserve"> </w:t>
      </w:r>
      <w:r w:rsidR="00ED771C" w:rsidRPr="004E75DE">
        <w:rPr>
          <w:bCs/>
          <w:i/>
          <w:iCs/>
          <w:lang w:val="fr-CA"/>
        </w:rPr>
        <w:t>c</w:t>
      </w:r>
      <w:r w:rsidR="00686BFC" w:rsidRPr="004E75DE">
        <w:rPr>
          <w:bCs/>
          <w:i/>
          <w:iCs/>
          <w:lang w:val="fr-CA"/>
        </w:rPr>
        <w:t>. Alberta</w:t>
      </w:r>
      <w:r w:rsidR="00686BFC" w:rsidRPr="004E75DE">
        <w:rPr>
          <w:bCs/>
          <w:iCs/>
          <w:lang w:val="fr-CA"/>
        </w:rPr>
        <w:t xml:space="preserve">, </w:t>
      </w:r>
      <w:r w:rsidR="00ED771C" w:rsidRPr="004E75DE">
        <w:rPr>
          <w:bCs/>
          <w:iCs/>
          <w:lang w:val="fr-CA"/>
        </w:rPr>
        <w:t xml:space="preserve">2007 CSC 22, </w:t>
      </w:r>
      <w:r w:rsidR="00686BFC" w:rsidRPr="004E75DE">
        <w:rPr>
          <w:bCs/>
          <w:iCs/>
          <w:lang w:val="fr-CA"/>
        </w:rPr>
        <w:t xml:space="preserve">[2007] 2 </w:t>
      </w:r>
      <w:r w:rsidR="00ED771C" w:rsidRPr="004E75DE">
        <w:rPr>
          <w:bCs/>
          <w:iCs/>
          <w:lang w:val="fr-CA"/>
        </w:rPr>
        <w:t>R.C.S</w:t>
      </w:r>
      <w:r w:rsidR="00686BFC" w:rsidRPr="004E75DE">
        <w:rPr>
          <w:bCs/>
          <w:iCs/>
          <w:lang w:val="fr-CA"/>
        </w:rPr>
        <w:t xml:space="preserve">. 3; </w:t>
      </w:r>
      <w:r w:rsidR="00E61024" w:rsidRPr="004E75DE">
        <w:rPr>
          <w:bCs/>
          <w:i/>
          <w:iCs/>
          <w:lang w:val="fr-CA"/>
        </w:rPr>
        <w:t>Bande Kitkatla c. Colombie</w:t>
      </w:r>
      <w:r w:rsidR="00AE5E90">
        <w:rPr>
          <w:bCs/>
          <w:i/>
          <w:iCs/>
          <w:lang w:val="fr-CA"/>
        </w:rPr>
        <w:noBreakHyphen/>
      </w:r>
      <w:r w:rsidR="00E61024" w:rsidRPr="004E75DE">
        <w:rPr>
          <w:bCs/>
          <w:i/>
          <w:iCs/>
          <w:lang w:val="fr-CA"/>
        </w:rPr>
        <w:t>Britannique (</w:t>
      </w:r>
      <w:r w:rsidR="005C4C93" w:rsidRPr="004E75DE">
        <w:rPr>
          <w:bCs/>
          <w:i/>
          <w:iCs/>
          <w:lang w:val="fr-CA"/>
        </w:rPr>
        <w:t>Ministre des Petites et moyennes entreprises, du Tourisme et de la Culture</w:t>
      </w:r>
      <w:r w:rsidR="00E61024" w:rsidRPr="004E75DE">
        <w:rPr>
          <w:bCs/>
          <w:i/>
          <w:iCs/>
          <w:lang w:val="fr-CA"/>
        </w:rPr>
        <w:t>)</w:t>
      </w:r>
      <w:r w:rsidR="00E61024" w:rsidRPr="004E75DE">
        <w:rPr>
          <w:bCs/>
          <w:iCs/>
          <w:lang w:val="fr-CA"/>
        </w:rPr>
        <w:t xml:space="preserve">, 2002 </w:t>
      </w:r>
      <w:r w:rsidR="005C4C93" w:rsidRPr="004E75DE">
        <w:rPr>
          <w:bCs/>
          <w:iCs/>
          <w:lang w:val="fr-CA"/>
        </w:rPr>
        <w:t>C</w:t>
      </w:r>
      <w:r w:rsidR="00E61024" w:rsidRPr="004E75DE">
        <w:rPr>
          <w:bCs/>
          <w:iCs/>
          <w:lang w:val="fr-CA"/>
        </w:rPr>
        <w:t xml:space="preserve">SC 31, [2002] 2 </w:t>
      </w:r>
      <w:r w:rsidR="005C4C93" w:rsidRPr="004E75DE">
        <w:rPr>
          <w:bCs/>
          <w:iCs/>
          <w:lang w:val="fr-CA"/>
        </w:rPr>
        <w:t>R.C.S</w:t>
      </w:r>
      <w:r w:rsidR="00E61024" w:rsidRPr="004E75DE">
        <w:rPr>
          <w:bCs/>
          <w:iCs/>
          <w:lang w:val="fr-CA"/>
        </w:rPr>
        <w:t>. 146</w:t>
      </w:r>
      <w:r w:rsidR="005C4C93" w:rsidRPr="004E75DE">
        <w:rPr>
          <w:bCs/>
          <w:iCs/>
          <w:lang w:val="fr-CA"/>
        </w:rPr>
        <w:t xml:space="preserve">; </w:t>
      </w:r>
      <w:r w:rsidR="00954700" w:rsidRPr="004E75DE">
        <w:rPr>
          <w:bCs/>
          <w:i/>
          <w:iCs/>
          <w:lang w:val="fr-CA" w:bidi="en-US"/>
        </w:rPr>
        <w:t>SEFPO</w:t>
      </w:r>
      <w:r w:rsidR="00CC7981" w:rsidRPr="004E75DE">
        <w:rPr>
          <w:bCs/>
          <w:i/>
          <w:iCs/>
          <w:lang w:val="fr-CA" w:bidi="en-US"/>
        </w:rPr>
        <w:t xml:space="preserve"> c</w:t>
      </w:r>
      <w:r w:rsidR="00954700" w:rsidRPr="004E75DE">
        <w:rPr>
          <w:bCs/>
          <w:i/>
          <w:iCs/>
          <w:lang w:val="fr-CA" w:bidi="en-US"/>
        </w:rPr>
        <w:t>. Ontario (Procureur général)</w:t>
      </w:r>
      <w:r w:rsidR="00954700" w:rsidRPr="004E75DE">
        <w:rPr>
          <w:bCs/>
          <w:iCs/>
          <w:lang w:val="fr-CA" w:bidi="en-US"/>
        </w:rPr>
        <w:t xml:space="preserve">, [1987] 2 R.C.S. 2; </w:t>
      </w:r>
      <w:r w:rsidR="000C3CF5" w:rsidRPr="004E75DE">
        <w:rPr>
          <w:bCs/>
          <w:i/>
          <w:iCs/>
          <w:lang w:val="fr-CA"/>
        </w:rPr>
        <w:t>Guindon c. Canada</w:t>
      </w:r>
      <w:r w:rsidR="000C3CF5" w:rsidRPr="004E75DE">
        <w:rPr>
          <w:bCs/>
          <w:iCs/>
          <w:lang w:val="fr-CA"/>
        </w:rPr>
        <w:t>, 2015 CSC 41</w:t>
      </w:r>
      <w:r w:rsidR="007C0F53">
        <w:rPr>
          <w:bCs/>
          <w:iCs/>
          <w:lang w:val="fr-CA"/>
        </w:rPr>
        <w:t>, [2015] 3 R.C.S. 3</w:t>
      </w:r>
      <w:r w:rsidR="000C3CF5" w:rsidRPr="004E75DE">
        <w:rPr>
          <w:bCs/>
          <w:iCs/>
          <w:lang w:val="fr-CA"/>
        </w:rPr>
        <w:t>;</w:t>
      </w:r>
      <w:r w:rsidR="000C3CF5" w:rsidRPr="004E75DE">
        <w:rPr>
          <w:bCs/>
          <w:i/>
          <w:iCs/>
          <w:lang w:val="fr-CA"/>
        </w:rPr>
        <w:t xml:space="preserve"> </w:t>
      </w:r>
      <w:r w:rsidR="00C32386" w:rsidRPr="004E75DE">
        <w:rPr>
          <w:bCs/>
          <w:i/>
          <w:iCs/>
          <w:lang w:val="fr-CA"/>
        </w:rPr>
        <w:t>Blencoe c</w:t>
      </w:r>
      <w:r w:rsidR="00686BFC" w:rsidRPr="004E75DE">
        <w:rPr>
          <w:bCs/>
          <w:i/>
          <w:iCs/>
          <w:lang w:val="fr-CA"/>
        </w:rPr>
        <w:t xml:space="preserve">. </w:t>
      </w:r>
      <w:r w:rsidR="00C32386" w:rsidRPr="004E75DE">
        <w:rPr>
          <w:bCs/>
          <w:i/>
          <w:iCs/>
          <w:lang w:val="fr-CA"/>
        </w:rPr>
        <w:t>Colombie</w:t>
      </w:r>
      <w:r w:rsidR="00AE5E90">
        <w:rPr>
          <w:bCs/>
          <w:i/>
          <w:iCs/>
          <w:lang w:val="fr-CA"/>
        </w:rPr>
        <w:noBreakHyphen/>
      </w:r>
      <w:r w:rsidR="00C32386" w:rsidRPr="004E75DE">
        <w:rPr>
          <w:bCs/>
          <w:i/>
          <w:iCs/>
          <w:lang w:val="fr-CA"/>
        </w:rPr>
        <w:t xml:space="preserve">Britannique </w:t>
      </w:r>
      <w:r w:rsidR="00686BFC" w:rsidRPr="004E75DE">
        <w:rPr>
          <w:bCs/>
          <w:i/>
          <w:iCs/>
          <w:lang w:val="fr-CA"/>
        </w:rPr>
        <w:t>(Human Rights Commission)</w:t>
      </w:r>
      <w:r w:rsidR="00686BFC" w:rsidRPr="004E75DE">
        <w:rPr>
          <w:bCs/>
          <w:iCs/>
          <w:lang w:val="fr-CA"/>
        </w:rPr>
        <w:t xml:space="preserve">, </w:t>
      </w:r>
      <w:r w:rsidR="00C32386" w:rsidRPr="004E75DE">
        <w:rPr>
          <w:bCs/>
          <w:iCs/>
          <w:lang w:val="fr-CA"/>
        </w:rPr>
        <w:t xml:space="preserve">2000 CSC 44, </w:t>
      </w:r>
      <w:r w:rsidR="00686BFC" w:rsidRPr="004E75DE">
        <w:rPr>
          <w:bCs/>
          <w:iCs/>
          <w:lang w:val="fr-CA"/>
        </w:rPr>
        <w:t xml:space="preserve">[2000] 2 </w:t>
      </w:r>
      <w:r w:rsidR="00C32386" w:rsidRPr="004E75DE">
        <w:rPr>
          <w:bCs/>
          <w:iCs/>
          <w:lang w:val="fr-CA"/>
        </w:rPr>
        <w:t>R.C.S</w:t>
      </w:r>
      <w:r w:rsidR="00686BFC" w:rsidRPr="004E75DE">
        <w:rPr>
          <w:bCs/>
          <w:iCs/>
          <w:lang w:val="fr-CA"/>
        </w:rPr>
        <w:t xml:space="preserve">. 307; </w:t>
      </w:r>
      <w:r w:rsidR="009C4918" w:rsidRPr="004E75DE">
        <w:rPr>
          <w:bCs/>
          <w:i/>
          <w:iCs/>
          <w:lang w:val="fr-CA"/>
        </w:rPr>
        <w:t>Rowan c</w:t>
      </w:r>
      <w:r w:rsidR="00686BFC" w:rsidRPr="004E75DE">
        <w:rPr>
          <w:bCs/>
          <w:i/>
          <w:iCs/>
          <w:lang w:val="fr-CA"/>
        </w:rPr>
        <w:t>. Ontario Securities Commission</w:t>
      </w:r>
      <w:r w:rsidR="00686BFC" w:rsidRPr="004E75DE">
        <w:rPr>
          <w:bCs/>
          <w:iCs/>
          <w:lang w:val="fr-CA"/>
        </w:rPr>
        <w:t>, 2012 ONCA 208</w:t>
      </w:r>
      <w:r w:rsidR="00441D7F" w:rsidRPr="004E75DE">
        <w:rPr>
          <w:bCs/>
          <w:iCs/>
          <w:lang w:val="fr-CA"/>
        </w:rPr>
        <w:t>, 110 O.R. (3d) 492</w:t>
      </w:r>
      <w:r w:rsidR="00686BFC" w:rsidRPr="004E75DE">
        <w:rPr>
          <w:bCs/>
          <w:iCs/>
          <w:lang w:val="fr-CA"/>
        </w:rPr>
        <w:t>;</w:t>
      </w:r>
      <w:r w:rsidR="007C0F53" w:rsidRPr="007C0F53">
        <w:rPr>
          <w:bCs/>
          <w:i/>
          <w:iCs/>
          <w:lang w:val="fr-CA"/>
        </w:rPr>
        <w:t xml:space="preserve"> </w:t>
      </w:r>
      <w:r w:rsidR="007C0F53" w:rsidRPr="004E75DE">
        <w:rPr>
          <w:bCs/>
          <w:i/>
          <w:iCs/>
          <w:lang w:val="fr-CA"/>
        </w:rPr>
        <w:t>United States Steel Corp</w:t>
      </w:r>
      <w:r w:rsidR="007C0F53" w:rsidRPr="004E75DE">
        <w:rPr>
          <w:bCs/>
          <w:iCs/>
          <w:lang w:val="fr-CA"/>
        </w:rPr>
        <w:t>.</w:t>
      </w:r>
      <w:r w:rsidR="007C0F53">
        <w:rPr>
          <w:bCs/>
          <w:iCs/>
          <w:lang w:val="fr-CA"/>
        </w:rPr>
        <w:t xml:space="preserve"> </w:t>
      </w:r>
      <w:r w:rsidR="007C0F53" w:rsidRPr="007C0F53">
        <w:rPr>
          <w:bCs/>
          <w:i/>
          <w:iCs/>
          <w:lang w:val="fr-CA"/>
        </w:rPr>
        <w:t>c.</w:t>
      </w:r>
      <w:r w:rsidR="007C0F53">
        <w:rPr>
          <w:bCs/>
          <w:iCs/>
          <w:lang w:val="fr-CA"/>
        </w:rPr>
        <w:t xml:space="preserve"> </w:t>
      </w:r>
      <w:r w:rsidR="007C0F53" w:rsidRPr="004E75DE">
        <w:rPr>
          <w:bCs/>
          <w:i/>
          <w:iCs/>
          <w:lang w:val="fr-CA"/>
        </w:rPr>
        <w:t>Canada (</w:t>
      </w:r>
      <w:r w:rsidR="007C0F53">
        <w:rPr>
          <w:bCs/>
          <w:i/>
          <w:iCs/>
          <w:lang w:val="fr-CA"/>
        </w:rPr>
        <w:t>Procureur général)</w:t>
      </w:r>
      <w:r w:rsidR="00686BFC" w:rsidRPr="004E75DE">
        <w:rPr>
          <w:bCs/>
          <w:iCs/>
          <w:lang w:val="fr-CA"/>
        </w:rPr>
        <w:t xml:space="preserve">, </w:t>
      </w:r>
      <w:r w:rsidR="003E3EDE" w:rsidRPr="004E75DE">
        <w:rPr>
          <w:bCs/>
          <w:iCs/>
          <w:lang w:val="fr-CA"/>
        </w:rPr>
        <w:t>2011 CAF 176</w:t>
      </w:r>
      <w:r w:rsidR="00686BFC" w:rsidRPr="004E75DE">
        <w:rPr>
          <w:bCs/>
          <w:iCs/>
          <w:lang w:val="fr-CA"/>
        </w:rPr>
        <w:t xml:space="preserve">; </w:t>
      </w:r>
      <w:r w:rsidR="00E067E2" w:rsidRPr="004E75DE">
        <w:rPr>
          <w:bCs/>
          <w:i/>
          <w:iCs/>
          <w:lang w:val="fr-CA"/>
        </w:rPr>
        <w:t xml:space="preserve">Lavallee c. Alberta </w:t>
      </w:r>
      <w:r w:rsidR="00686BFC" w:rsidRPr="004E75DE">
        <w:rPr>
          <w:bCs/>
          <w:i/>
          <w:iCs/>
          <w:lang w:val="fr-CA"/>
        </w:rPr>
        <w:t>Securities Commission</w:t>
      </w:r>
      <w:r w:rsidR="00686BFC" w:rsidRPr="004E75DE">
        <w:rPr>
          <w:bCs/>
          <w:iCs/>
          <w:lang w:val="fr-CA"/>
        </w:rPr>
        <w:t xml:space="preserve">, 2010 </w:t>
      </w:r>
      <w:r w:rsidR="00686BFC" w:rsidRPr="004E75DE">
        <w:rPr>
          <w:bCs/>
          <w:iCs/>
          <w:lang w:val="fr-CA"/>
        </w:rPr>
        <w:lastRenderedPageBreak/>
        <w:t xml:space="preserve">ABCA 48, </w:t>
      </w:r>
      <w:r w:rsidR="00E067E2" w:rsidRPr="004E75DE">
        <w:rPr>
          <w:bCs/>
          <w:iCs/>
          <w:lang w:val="fr-CA"/>
        </w:rPr>
        <w:t>474 A.R. 295</w:t>
      </w:r>
      <w:r w:rsidR="00686BFC" w:rsidRPr="004E75DE">
        <w:rPr>
          <w:bCs/>
          <w:iCs/>
          <w:lang w:val="fr-CA"/>
        </w:rPr>
        <w:t xml:space="preserve">; </w:t>
      </w:r>
      <w:r w:rsidR="00E067E2" w:rsidRPr="004E75DE">
        <w:rPr>
          <w:bCs/>
          <w:i/>
          <w:iCs/>
          <w:lang w:val="fr-CA"/>
        </w:rPr>
        <w:t>R. c</w:t>
      </w:r>
      <w:r w:rsidR="00686BFC" w:rsidRPr="004E75DE">
        <w:rPr>
          <w:bCs/>
          <w:i/>
          <w:iCs/>
          <w:lang w:val="fr-CA"/>
        </w:rPr>
        <w:t>. Quesnelle</w:t>
      </w:r>
      <w:r w:rsidR="00686BFC" w:rsidRPr="004E75DE">
        <w:rPr>
          <w:bCs/>
          <w:iCs/>
          <w:lang w:val="fr-CA"/>
        </w:rPr>
        <w:t xml:space="preserve">, 2014 </w:t>
      </w:r>
      <w:r w:rsidR="00E067E2" w:rsidRPr="004E75DE">
        <w:rPr>
          <w:bCs/>
          <w:iCs/>
          <w:lang w:val="fr-CA"/>
        </w:rPr>
        <w:t>C</w:t>
      </w:r>
      <w:r w:rsidR="00686BFC" w:rsidRPr="004E75DE">
        <w:rPr>
          <w:bCs/>
          <w:iCs/>
          <w:lang w:val="fr-CA"/>
        </w:rPr>
        <w:t xml:space="preserve">SC 46, [2014] 2 </w:t>
      </w:r>
      <w:r w:rsidR="00E067E2" w:rsidRPr="004E75DE">
        <w:rPr>
          <w:bCs/>
          <w:iCs/>
          <w:lang w:val="fr-CA"/>
        </w:rPr>
        <w:t>R.C.S</w:t>
      </w:r>
      <w:r w:rsidR="00686BFC" w:rsidRPr="004E75DE">
        <w:rPr>
          <w:bCs/>
          <w:iCs/>
          <w:lang w:val="fr-CA"/>
        </w:rPr>
        <w:t xml:space="preserve">. 390; </w:t>
      </w:r>
      <w:r w:rsidR="002F2B42" w:rsidRPr="004E75DE">
        <w:rPr>
          <w:i/>
          <w:lang w:val="fr-CA"/>
        </w:rPr>
        <w:t>R. c</w:t>
      </w:r>
      <w:r w:rsidR="00686BFC" w:rsidRPr="004E75DE">
        <w:rPr>
          <w:i/>
          <w:lang w:val="fr-CA"/>
        </w:rPr>
        <w:t>. Tessling</w:t>
      </w:r>
      <w:r w:rsidR="00686BFC" w:rsidRPr="004E75DE">
        <w:rPr>
          <w:lang w:val="fr-CA"/>
        </w:rPr>
        <w:t xml:space="preserve">, 2004 </w:t>
      </w:r>
      <w:r w:rsidR="002F2B42" w:rsidRPr="004E75DE">
        <w:rPr>
          <w:lang w:val="fr-CA"/>
        </w:rPr>
        <w:t>C</w:t>
      </w:r>
      <w:r w:rsidR="00686BFC" w:rsidRPr="004E75DE">
        <w:rPr>
          <w:lang w:val="fr-CA"/>
        </w:rPr>
        <w:t xml:space="preserve">SC 67, [2004] 3 </w:t>
      </w:r>
      <w:r w:rsidR="002F2B42" w:rsidRPr="004E75DE">
        <w:rPr>
          <w:lang w:val="fr-CA"/>
        </w:rPr>
        <w:t>R.C.S</w:t>
      </w:r>
      <w:r w:rsidR="00686BFC" w:rsidRPr="004E75DE">
        <w:rPr>
          <w:lang w:val="fr-CA"/>
        </w:rPr>
        <w:t>. 432</w:t>
      </w:r>
      <w:r w:rsidR="00686BFC" w:rsidRPr="004E75DE">
        <w:rPr>
          <w:bCs/>
          <w:iCs/>
          <w:lang w:val="fr-CA"/>
        </w:rPr>
        <w:t>;</w:t>
      </w:r>
      <w:r w:rsidR="00686BFC" w:rsidRPr="004E75DE">
        <w:rPr>
          <w:i/>
          <w:iCs/>
          <w:lang w:val="fr-CA"/>
        </w:rPr>
        <w:t xml:space="preserve"> </w:t>
      </w:r>
      <w:r w:rsidR="002F2B42" w:rsidRPr="004E75DE">
        <w:rPr>
          <w:bCs/>
          <w:i/>
          <w:iCs/>
          <w:lang w:val="fr-CA"/>
        </w:rPr>
        <w:t>R. c</w:t>
      </w:r>
      <w:r w:rsidR="00686BFC" w:rsidRPr="004E75DE">
        <w:rPr>
          <w:bCs/>
          <w:i/>
          <w:iCs/>
          <w:lang w:val="fr-CA"/>
        </w:rPr>
        <w:t>.</w:t>
      </w:r>
      <w:r w:rsidR="00686BFC" w:rsidRPr="004E75DE">
        <w:rPr>
          <w:bCs/>
          <w:iCs/>
          <w:lang w:val="fr-CA"/>
        </w:rPr>
        <w:t xml:space="preserve"> </w:t>
      </w:r>
      <w:r w:rsidR="00686BFC" w:rsidRPr="004E75DE">
        <w:rPr>
          <w:bCs/>
          <w:i/>
          <w:iCs/>
          <w:lang w:val="fr-CA"/>
        </w:rPr>
        <w:t>Caslake</w:t>
      </w:r>
      <w:r w:rsidR="00686BFC" w:rsidRPr="004E75DE">
        <w:rPr>
          <w:bCs/>
          <w:iCs/>
          <w:lang w:val="fr-CA"/>
        </w:rPr>
        <w:t xml:space="preserve">, [1998] 1 </w:t>
      </w:r>
      <w:r w:rsidR="002F2B42" w:rsidRPr="004E75DE">
        <w:rPr>
          <w:bCs/>
          <w:iCs/>
          <w:lang w:val="fr-CA"/>
        </w:rPr>
        <w:t>R.C.S</w:t>
      </w:r>
      <w:r w:rsidR="00686BFC" w:rsidRPr="004E75DE">
        <w:rPr>
          <w:bCs/>
          <w:iCs/>
          <w:lang w:val="fr-CA"/>
        </w:rPr>
        <w:t xml:space="preserve">. 51; </w:t>
      </w:r>
      <w:r w:rsidR="00923A8E" w:rsidRPr="004E75DE">
        <w:rPr>
          <w:bCs/>
          <w:i/>
          <w:iCs/>
          <w:lang w:val="fr-CA"/>
        </w:rPr>
        <w:t>R. c</w:t>
      </w:r>
      <w:r w:rsidR="00686BFC" w:rsidRPr="004E75DE">
        <w:rPr>
          <w:bCs/>
          <w:i/>
          <w:iCs/>
          <w:lang w:val="fr-CA"/>
        </w:rPr>
        <w:t>. Collins</w:t>
      </w:r>
      <w:r w:rsidR="00686BFC" w:rsidRPr="004E75DE">
        <w:rPr>
          <w:bCs/>
          <w:iCs/>
          <w:lang w:val="fr-CA"/>
        </w:rPr>
        <w:t xml:space="preserve">, [1987] 1 </w:t>
      </w:r>
      <w:r w:rsidR="00923A8E" w:rsidRPr="004E75DE">
        <w:rPr>
          <w:bCs/>
          <w:iCs/>
          <w:lang w:val="fr-CA"/>
        </w:rPr>
        <w:t>R.C.S</w:t>
      </w:r>
      <w:r w:rsidR="00686BFC" w:rsidRPr="004E75DE">
        <w:rPr>
          <w:bCs/>
          <w:iCs/>
          <w:lang w:val="fr-CA"/>
        </w:rPr>
        <w:t xml:space="preserve">. 265; </w:t>
      </w:r>
      <w:r w:rsidR="00BC58A7" w:rsidRPr="004E75DE">
        <w:rPr>
          <w:bCs/>
          <w:i/>
          <w:iCs/>
          <w:lang w:val="fr-CA"/>
        </w:rPr>
        <w:t>R. c</w:t>
      </w:r>
      <w:r w:rsidR="00686BFC" w:rsidRPr="004E75DE">
        <w:rPr>
          <w:bCs/>
          <w:i/>
          <w:iCs/>
          <w:lang w:val="fr-CA"/>
        </w:rPr>
        <w:t>. Grant</w:t>
      </w:r>
      <w:r w:rsidR="00686BFC" w:rsidRPr="004E75DE">
        <w:rPr>
          <w:bCs/>
          <w:iCs/>
          <w:lang w:val="fr-CA"/>
        </w:rPr>
        <w:t xml:space="preserve">, 2009 </w:t>
      </w:r>
      <w:r w:rsidR="00BC58A7" w:rsidRPr="004E75DE">
        <w:rPr>
          <w:bCs/>
          <w:iCs/>
          <w:lang w:val="fr-CA"/>
        </w:rPr>
        <w:t>CSC 32, [2009] 2 R.C.S. 353</w:t>
      </w:r>
      <w:r w:rsidR="00686BFC" w:rsidRPr="004E75DE">
        <w:rPr>
          <w:bCs/>
          <w:iCs/>
          <w:lang w:val="fr-CA"/>
        </w:rPr>
        <w:t xml:space="preserve">; </w:t>
      </w:r>
      <w:r w:rsidR="0096270D" w:rsidRPr="004E75DE">
        <w:rPr>
          <w:bCs/>
          <w:i/>
          <w:iCs/>
          <w:lang w:val="fr-CA"/>
        </w:rPr>
        <w:t>R. c</w:t>
      </w:r>
      <w:r w:rsidR="00686BFC" w:rsidRPr="004E75DE">
        <w:rPr>
          <w:bCs/>
          <w:i/>
          <w:iCs/>
          <w:lang w:val="fr-CA"/>
        </w:rPr>
        <w:t>. McKinlay Transport Ltd</w:t>
      </w:r>
      <w:r w:rsidR="00686BFC" w:rsidRPr="004E75DE">
        <w:rPr>
          <w:bCs/>
          <w:iCs/>
          <w:lang w:val="fr-CA"/>
        </w:rPr>
        <w:t xml:space="preserve">., [1990] 1 </w:t>
      </w:r>
      <w:r w:rsidR="0096270D" w:rsidRPr="004E75DE">
        <w:rPr>
          <w:bCs/>
          <w:iCs/>
          <w:lang w:val="fr-CA"/>
        </w:rPr>
        <w:t>R.C.S</w:t>
      </w:r>
      <w:r w:rsidR="00686BFC" w:rsidRPr="004E75DE">
        <w:rPr>
          <w:bCs/>
          <w:iCs/>
          <w:lang w:val="fr-CA"/>
        </w:rPr>
        <w:t xml:space="preserve">. 627; </w:t>
      </w:r>
      <w:r w:rsidR="005A5455" w:rsidRPr="004E75DE">
        <w:rPr>
          <w:bCs/>
          <w:i/>
          <w:iCs/>
          <w:lang w:val="fr-CA"/>
        </w:rPr>
        <w:t>Hunter c. Southam Inc.</w:t>
      </w:r>
      <w:r w:rsidR="005A5455" w:rsidRPr="004E75DE">
        <w:rPr>
          <w:bCs/>
          <w:iCs/>
          <w:lang w:val="fr-CA"/>
        </w:rPr>
        <w:t xml:space="preserve">, [1984] 2 R.C.S. 145; </w:t>
      </w:r>
      <w:r w:rsidR="00686BFC" w:rsidRPr="004E75DE">
        <w:rPr>
          <w:bCs/>
          <w:i/>
          <w:iCs/>
          <w:lang w:val="fr-CA"/>
        </w:rPr>
        <w:t xml:space="preserve">R. </w:t>
      </w:r>
      <w:r w:rsidR="00E14653" w:rsidRPr="004E75DE">
        <w:rPr>
          <w:bCs/>
          <w:i/>
          <w:iCs/>
          <w:lang w:val="fr-CA"/>
        </w:rPr>
        <w:t>c</w:t>
      </w:r>
      <w:r w:rsidR="00686BFC" w:rsidRPr="004E75DE">
        <w:rPr>
          <w:bCs/>
          <w:i/>
          <w:iCs/>
          <w:lang w:val="fr-CA"/>
        </w:rPr>
        <w:t>. Rodgers</w:t>
      </w:r>
      <w:r w:rsidR="00686BFC" w:rsidRPr="004E75DE">
        <w:rPr>
          <w:bCs/>
          <w:iCs/>
          <w:lang w:val="fr-CA"/>
        </w:rPr>
        <w:t xml:space="preserve">, </w:t>
      </w:r>
      <w:r w:rsidR="00E14653" w:rsidRPr="004E75DE">
        <w:rPr>
          <w:bCs/>
          <w:iCs/>
          <w:lang w:val="fr-CA"/>
        </w:rPr>
        <w:t xml:space="preserve">2006 CSC 15, </w:t>
      </w:r>
      <w:r w:rsidR="00686BFC" w:rsidRPr="004E75DE">
        <w:rPr>
          <w:bCs/>
          <w:iCs/>
          <w:lang w:val="fr-CA"/>
        </w:rPr>
        <w:t xml:space="preserve">[2006] 1 </w:t>
      </w:r>
      <w:r w:rsidR="00E14653" w:rsidRPr="004E75DE">
        <w:rPr>
          <w:bCs/>
          <w:iCs/>
          <w:lang w:val="fr-CA"/>
        </w:rPr>
        <w:t>R.C.S</w:t>
      </w:r>
      <w:r w:rsidR="00686BFC" w:rsidRPr="004E75DE">
        <w:rPr>
          <w:bCs/>
          <w:iCs/>
          <w:lang w:val="fr-CA"/>
        </w:rPr>
        <w:t xml:space="preserve">. 554; </w:t>
      </w:r>
      <w:r w:rsidR="00686BFC" w:rsidRPr="004E75DE">
        <w:rPr>
          <w:bCs/>
          <w:i/>
          <w:iCs/>
          <w:lang w:val="fr-CA"/>
        </w:rPr>
        <w:t>Thomson Newspapers</w:t>
      </w:r>
      <w:r w:rsidR="00FD03F3" w:rsidRPr="004E75DE">
        <w:rPr>
          <w:bCs/>
          <w:i/>
          <w:iCs/>
          <w:lang w:val="fr-CA"/>
        </w:rPr>
        <w:t xml:space="preserve"> Ltd. c</w:t>
      </w:r>
      <w:r w:rsidR="00686BFC" w:rsidRPr="004E75DE">
        <w:rPr>
          <w:bCs/>
          <w:i/>
          <w:iCs/>
          <w:lang w:val="fr-CA"/>
        </w:rPr>
        <w:t>. Canada (</w:t>
      </w:r>
      <w:r w:rsidR="00FD03F3" w:rsidRPr="004E75DE">
        <w:rPr>
          <w:bCs/>
          <w:i/>
          <w:iCs/>
          <w:lang w:val="fr-CA"/>
        </w:rPr>
        <w:t>Dir</w:t>
      </w:r>
      <w:r w:rsidR="00293252" w:rsidRPr="004E75DE">
        <w:rPr>
          <w:bCs/>
          <w:i/>
          <w:iCs/>
          <w:lang w:val="fr-CA"/>
        </w:rPr>
        <w:t>ecteur des enquêtes et recherches</w:t>
      </w:r>
      <w:r w:rsidR="00FD03F3" w:rsidRPr="004E75DE">
        <w:rPr>
          <w:bCs/>
          <w:i/>
          <w:iCs/>
          <w:lang w:val="fr-CA"/>
        </w:rPr>
        <w:t>, Commission sur les pratiques restrictive</w:t>
      </w:r>
      <w:r w:rsidR="007C0F53">
        <w:rPr>
          <w:bCs/>
          <w:i/>
          <w:iCs/>
          <w:lang w:val="fr-CA"/>
        </w:rPr>
        <w:t>s</w:t>
      </w:r>
      <w:r w:rsidR="00FD03F3" w:rsidRPr="004E75DE">
        <w:rPr>
          <w:bCs/>
          <w:i/>
          <w:iCs/>
          <w:lang w:val="fr-CA"/>
        </w:rPr>
        <w:t xml:space="preserve"> du commerce</w:t>
      </w:r>
      <w:r w:rsidR="00686BFC" w:rsidRPr="004E75DE">
        <w:rPr>
          <w:bCs/>
          <w:i/>
          <w:iCs/>
          <w:lang w:val="fr-CA"/>
        </w:rPr>
        <w:t>)</w:t>
      </w:r>
      <w:r w:rsidR="00686BFC" w:rsidRPr="004E75DE">
        <w:rPr>
          <w:bCs/>
          <w:iCs/>
          <w:lang w:val="fr-CA"/>
        </w:rPr>
        <w:t xml:space="preserve">, [1990] 1 </w:t>
      </w:r>
      <w:r w:rsidR="00293252" w:rsidRPr="004E75DE">
        <w:rPr>
          <w:bCs/>
          <w:iCs/>
          <w:lang w:val="fr-CA"/>
        </w:rPr>
        <w:t>R.C.S</w:t>
      </w:r>
      <w:r w:rsidR="00686BFC" w:rsidRPr="004E75DE">
        <w:rPr>
          <w:bCs/>
          <w:iCs/>
          <w:lang w:val="fr-CA"/>
        </w:rPr>
        <w:t xml:space="preserve">. 425; </w:t>
      </w:r>
      <w:r w:rsidR="007C36E0" w:rsidRPr="004E75DE">
        <w:rPr>
          <w:bCs/>
          <w:i/>
          <w:iCs/>
          <w:lang w:val="fr-CA"/>
        </w:rPr>
        <w:t>Del Zotto c. Canada</w:t>
      </w:r>
      <w:r w:rsidR="007C36E0" w:rsidRPr="004E75DE">
        <w:rPr>
          <w:bCs/>
          <w:iCs/>
          <w:lang w:val="fr-CA"/>
        </w:rPr>
        <w:t xml:space="preserve">, [1997] 3 C.F. 40, inf. par [1999] 1 R.C.S. 3; </w:t>
      </w:r>
      <w:r w:rsidR="00350DCD" w:rsidRPr="004E75DE">
        <w:rPr>
          <w:bCs/>
          <w:i/>
          <w:iCs/>
          <w:lang w:val="fr-CA" w:bidi="en-US"/>
        </w:rPr>
        <w:t>British Columbia Securities Commission c. Branch</w:t>
      </w:r>
      <w:r w:rsidR="00350DCD" w:rsidRPr="004E75DE">
        <w:rPr>
          <w:bCs/>
          <w:iCs/>
          <w:lang w:val="fr-CA" w:bidi="en-US"/>
        </w:rPr>
        <w:t xml:space="preserve">, [1995] 2 R.C.S. 3; </w:t>
      </w:r>
      <w:r w:rsidR="000A5373" w:rsidRPr="004E75DE">
        <w:rPr>
          <w:bCs/>
          <w:i/>
          <w:iCs/>
          <w:lang w:val="fr-CA" w:bidi="en-US"/>
        </w:rPr>
        <w:t>R. c. Jarvis</w:t>
      </w:r>
      <w:r w:rsidR="000A5373" w:rsidRPr="004E75DE">
        <w:rPr>
          <w:bCs/>
          <w:iCs/>
          <w:lang w:val="fr-CA" w:bidi="en-US"/>
        </w:rPr>
        <w:t xml:space="preserve">, </w:t>
      </w:r>
      <w:r w:rsidR="001B4E27" w:rsidRPr="004E75DE">
        <w:rPr>
          <w:bCs/>
          <w:iCs/>
          <w:lang w:val="fr-CA" w:bidi="en-US"/>
        </w:rPr>
        <w:t xml:space="preserve">2002 CSC 73, </w:t>
      </w:r>
      <w:r w:rsidR="000A5373" w:rsidRPr="004E75DE">
        <w:rPr>
          <w:bCs/>
          <w:iCs/>
          <w:lang w:val="fr-CA" w:bidi="en-US"/>
        </w:rPr>
        <w:t xml:space="preserve">[2002] 3 R.C.S. 757; </w:t>
      </w:r>
      <w:r w:rsidR="00633A6A" w:rsidRPr="004E75DE">
        <w:rPr>
          <w:bCs/>
          <w:i/>
          <w:iCs/>
          <w:lang w:val="fr-CA"/>
        </w:rPr>
        <w:t>R. c</w:t>
      </w:r>
      <w:r w:rsidR="00686BFC" w:rsidRPr="004E75DE">
        <w:rPr>
          <w:bCs/>
          <w:i/>
          <w:iCs/>
          <w:lang w:val="fr-CA"/>
        </w:rPr>
        <w:t>. Lindsay</w:t>
      </w:r>
      <w:r w:rsidR="00613189">
        <w:rPr>
          <w:bCs/>
          <w:i/>
          <w:iCs/>
          <w:lang w:val="fr-CA"/>
        </w:rPr>
        <w:t xml:space="preserve"> </w:t>
      </w:r>
      <w:r w:rsidR="00613189" w:rsidRPr="00613189">
        <w:rPr>
          <w:bCs/>
          <w:iCs/>
          <w:lang w:val="fr-CA"/>
        </w:rPr>
        <w:t>(1999)</w:t>
      </w:r>
      <w:r w:rsidR="00633A6A" w:rsidRPr="004E75DE">
        <w:rPr>
          <w:bCs/>
          <w:iCs/>
          <w:lang w:val="fr-CA"/>
        </w:rPr>
        <w:t>, 1</w:t>
      </w:r>
      <w:r w:rsidR="00686BFC" w:rsidRPr="004E75DE">
        <w:rPr>
          <w:bCs/>
          <w:iCs/>
          <w:lang w:val="fr-CA"/>
        </w:rPr>
        <w:t>3</w:t>
      </w:r>
      <w:r w:rsidR="00633A6A" w:rsidRPr="004E75DE">
        <w:rPr>
          <w:bCs/>
          <w:iCs/>
          <w:lang w:val="fr-CA"/>
        </w:rPr>
        <w:t>4</w:t>
      </w:r>
      <w:r w:rsidR="00686BFC" w:rsidRPr="004E75DE">
        <w:rPr>
          <w:bCs/>
          <w:iCs/>
          <w:lang w:val="fr-CA"/>
        </w:rPr>
        <w:t xml:space="preserve"> C.C.C. (3d) 159; </w:t>
      </w:r>
      <w:r w:rsidR="005502FC" w:rsidRPr="004E75DE">
        <w:rPr>
          <w:bCs/>
          <w:i/>
          <w:iCs/>
          <w:lang w:val="fr-CA"/>
        </w:rPr>
        <w:t>R. c</w:t>
      </w:r>
      <w:r w:rsidR="00686BFC" w:rsidRPr="004E75DE">
        <w:rPr>
          <w:bCs/>
          <w:i/>
          <w:iCs/>
          <w:lang w:val="fr-CA"/>
        </w:rPr>
        <w:t>. Butchko</w:t>
      </w:r>
      <w:r w:rsidR="00686BFC" w:rsidRPr="004E75DE">
        <w:rPr>
          <w:bCs/>
          <w:iCs/>
          <w:lang w:val="fr-CA"/>
        </w:rPr>
        <w:t xml:space="preserve">, 2004 SKCA 159, [2005] 11 W.W.R. 95; </w:t>
      </w:r>
      <w:r w:rsidR="00DB5A87" w:rsidRPr="004E75DE">
        <w:rPr>
          <w:bCs/>
          <w:i/>
          <w:iCs/>
          <w:lang w:val="fr-CA"/>
        </w:rPr>
        <w:t>R. c</w:t>
      </w:r>
      <w:r w:rsidR="00686BFC" w:rsidRPr="004E75DE">
        <w:rPr>
          <w:bCs/>
          <w:i/>
          <w:iCs/>
          <w:lang w:val="fr-CA"/>
        </w:rPr>
        <w:t>. Dyment</w:t>
      </w:r>
      <w:r w:rsidR="00686BFC" w:rsidRPr="004E75DE">
        <w:rPr>
          <w:bCs/>
          <w:iCs/>
          <w:lang w:val="fr-CA"/>
        </w:rPr>
        <w:t xml:space="preserve">, [1988] 2 </w:t>
      </w:r>
      <w:r w:rsidR="00DB5A87" w:rsidRPr="004E75DE">
        <w:rPr>
          <w:bCs/>
          <w:iCs/>
          <w:lang w:val="fr-CA"/>
        </w:rPr>
        <w:t>R.C.S.</w:t>
      </w:r>
      <w:r w:rsidR="00686BFC" w:rsidRPr="004E75DE">
        <w:rPr>
          <w:bCs/>
          <w:iCs/>
          <w:lang w:val="fr-CA"/>
        </w:rPr>
        <w:t xml:space="preserve"> 417; </w:t>
      </w:r>
      <w:r w:rsidR="00DE08C2" w:rsidRPr="004E75DE">
        <w:rPr>
          <w:bCs/>
          <w:i/>
          <w:iCs/>
          <w:lang w:val="fr-CA"/>
        </w:rPr>
        <w:t>R. c</w:t>
      </w:r>
      <w:r w:rsidR="00686BFC" w:rsidRPr="004E75DE">
        <w:rPr>
          <w:bCs/>
          <w:i/>
          <w:iCs/>
          <w:lang w:val="fr-CA"/>
        </w:rPr>
        <w:t>. S.A.B.</w:t>
      </w:r>
      <w:r w:rsidR="00686BFC" w:rsidRPr="004E75DE">
        <w:rPr>
          <w:bCs/>
          <w:iCs/>
          <w:lang w:val="fr-CA"/>
        </w:rPr>
        <w:t xml:space="preserve">, 2003 </w:t>
      </w:r>
      <w:r w:rsidR="00DE08C2" w:rsidRPr="004E75DE">
        <w:rPr>
          <w:bCs/>
          <w:iCs/>
          <w:lang w:val="fr-CA"/>
        </w:rPr>
        <w:t>C</w:t>
      </w:r>
      <w:r w:rsidR="00686BFC" w:rsidRPr="004E75DE">
        <w:rPr>
          <w:bCs/>
          <w:iCs/>
          <w:lang w:val="fr-CA"/>
        </w:rPr>
        <w:t xml:space="preserve">SC 60, [2003] 2 </w:t>
      </w:r>
      <w:r w:rsidR="00DE08C2" w:rsidRPr="004E75DE">
        <w:rPr>
          <w:bCs/>
          <w:iCs/>
          <w:lang w:val="fr-CA"/>
        </w:rPr>
        <w:t>R.C.S</w:t>
      </w:r>
      <w:r w:rsidR="00686BFC" w:rsidRPr="004E75DE">
        <w:rPr>
          <w:bCs/>
          <w:iCs/>
          <w:lang w:val="fr-CA"/>
        </w:rPr>
        <w:t xml:space="preserve">. 678; </w:t>
      </w:r>
      <w:r w:rsidR="00E00527" w:rsidRPr="004E75DE">
        <w:rPr>
          <w:bCs/>
          <w:i/>
          <w:iCs/>
          <w:lang w:val="fr-CA"/>
        </w:rPr>
        <w:t>R. c</w:t>
      </w:r>
      <w:r w:rsidR="00686BFC" w:rsidRPr="004E75DE" w:rsidDel="00880F91">
        <w:rPr>
          <w:bCs/>
          <w:i/>
          <w:iCs/>
          <w:lang w:val="fr-CA"/>
        </w:rPr>
        <w:t>. Stillman</w:t>
      </w:r>
      <w:r w:rsidR="00686BFC" w:rsidRPr="004E75DE" w:rsidDel="00880F91">
        <w:rPr>
          <w:bCs/>
          <w:iCs/>
          <w:lang w:val="fr-CA"/>
        </w:rPr>
        <w:t xml:space="preserve">, [1997] 1 </w:t>
      </w:r>
      <w:r w:rsidR="00E00527" w:rsidRPr="004E75DE">
        <w:rPr>
          <w:bCs/>
          <w:iCs/>
          <w:lang w:val="fr-CA"/>
        </w:rPr>
        <w:t>R.C.S</w:t>
      </w:r>
      <w:r w:rsidR="00686BFC" w:rsidRPr="004E75DE" w:rsidDel="00880F91">
        <w:rPr>
          <w:bCs/>
          <w:iCs/>
          <w:lang w:val="fr-CA"/>
        </w:rPr>
        <w:t>. 607</w:t>
      </w:r>
      <w:r w:rsidR="00686BFC" w:rsidRPr="004E75DE">
        <w:rPr>
          <w:bCs/>
          <w:iCs/>
          <w:lang w:val="fr-CA"/>
        </w:rPr>
        <w:t xml:space="preserve">; </w:t>
      </w:r>
      <w:r w:rsidR="001062C6" w:rsidRPr="004E75DE">
        <w:rPr>
          <w:bCs/>
          <w:i/>
          <w:iCs/>
          <w:lang w:val="fr-CA"/>
        </w:rPr>
        <w:t>R. c</w:t>
      </w:r>
      <w:r w:rsidR="00686BFC" w:rsidRPr="004E75DE">
        <w:rPr>
          <w:bCs/>
          <w:i/>
          <w:iCs/>
          <w:lang w:val="fr-CA"/>
        </w:rPr>
        <w:t>. Chehil</w:t>
      </w:r>
      <w:r w:rsidR="00686BFC" w:rsidRPr="004E75DE">
        <w:rPr>
          <w:bCs/>
          <w:iCs/>
          <w:lang w:val="fr-CA"/>
        </w:rPr>
        <w:t xml:space="preserve">, 2013 </w:t>
      </w:r>
      <w:r w:rsidR="001062C6" w:rsidRPr="004E75DE">
        <w:rPr>
          <w:bCs/>
          <w:iCs/>
          <w:lang w:val="fr-CA"/>
        </w:rPr>
        <w:t>C</w:t>
      </w:r>
      <w:r w:rsidR="00686BFC" w:rsidRPr="004E75DE">
        <w:rPr>
          <w:bCs/>
          <w:iCs/>
          <w:lang w:val="fr-CA"/>
        </w:rPr>
        <w:t xml:space="preserve">SC 49, [2013] 3 </w:t>
      </w:r>
      <w:r w:rsidR="001062C6" w:rsidRPr="004E75DE">
        <w:rPr>
          <w:bCs/>
          <w:iCs/>
          <w:lang w:val="fr-CA"/>
        </w:rPr>
        <w:t>R.C.S</w:t>
      </w:r>
      <w:r w:rsidR="005D5C99">
        <w:rPr>
          <w:bCs/>
          <w:iCs/>
          <w:lang w:val="fr-CA"/>
        </w:rPr>
        <w:t>.</w:t>
      </w:r>
      <w:r w:rsidR="00686BFC" w:rsidRPr="004E75DE">
        <w:rPr>
          <w:bCs/>
          <w:iCs/>
          <w:lang w:val="fr-CA"/>
        </w:rPr>
        <w:t xml:space="preserve"> 220; </w:t>
      </w:r>
      <w:r w:rsidR="00686BFC" w:rsidRPr="004E75DE">
        <w:rPr>
          <w:bCs/>
          <w:i/>
          <w:iCs/>
          <w:lang w:val="fr-CA"/>
        </w:rPr>
        <w:t xml:space="preserve">R. </w:t>
      </w:r>
      <w:r w:rsidR="0019446B" w:rsidRPr="004E75DE">
        <w:rPr>
          <w:bCs/>
          <w:i/>
          <w:iCs/>
          <w:lang w:val="fr-CA"/>
        </w:rPr>
        <w:t>c</w:t>
      </w:r>
      <w:r w:rsidR="00686BFC" w:rsidRPr="004E75DE">
        <w:rPr>
          <w:bCs/>
          <w:i/>
          <w:iCs/>
          <w:lang w:val="fr-CA"/>
        </w:rPr>
        <w:t>. A.M.</w:t>
      </w:r>
      <w:r w:rsidR="00686BFC" w:rsidRPr="004E75DE">
        <w:rPr>
          <w:bCs/>
          <w:iCs/>
          <w:lang w:val="fr-CA"/>
        </w:rPr>
        <w:t xml:space="preserve">, 2008 </w:t>
      </w:r>
      <w:r w:rsidR="0019446B" w:rsidRPr="004E75DE">
        <w:rPr>
          <w:bCs/>
          <w:iCs/>
          <w:lang w:val="fr-CA"/>
        </w:rPr>
        <w:t>C</w:t>
      </w:r>
      <w:r w:rsidR="00686BFC" w:rsidRPr="004E75DE">
        <w:rPr>
          <w:bCs/>
          <w:iCs/>
          <w:lang w:val="fr-CA"/>
        </w:rPr>
        <w:t>SC 19</w:t>
      </w:r>
      <w:r w:rsidR="0019446B" w:rsidRPr="004E75DE">
        <w:rPr>
          <w:bCs/>
          <w:iCs/>
          <w:lang w:val="fr-CA"/>
        </w:rPr>
        <w:t>, [2008] 1 R.C.S. 569</w:t>
      </w:r>
      <w:r w:rsidR="00686BFC" w:rsidRPr="004E75DE">
        <w:rPr>
          <w:bCs/>
          <w:iCs/>
          <w:lang w:val="fr-CA"/>
        </w:rPr>
        <w:t xml:space="preserve">; </w:t>
      </w:r>
      <w:r w:rsidR="0019446B" w:rsidRPr="004E75DE">
        <w:rPr>
          <w:bCs/>
          <w:i/>
          <w:iCs/>
          <w:lang w:val="fr-CA"/>
        </w:rPr>
        <w:t>R. c</w:t>
      </w:r>
      <w:r w:rsidR="00686BFC" w:rsidRPr="004E75DE">
        <w:rPr>
          <w:bCs/>
          <w:i/>
          <w:iCs/>
          <w:lang w:val="fr-CA"/>
        </w:rPr>
        <w:t>. Kang</w:t>
      </w:r>
      <w:r w:rsidR="00AE5E90">
        <w:rPr>
          <w:bCs/>
          <w:i/>
          <w:iCs/>
          <w:lang w:val="fr-CA"/>
        </w:rPr>
        <w:noBreakHyphen/>
      </w:r>
      <w:r w:rsidR="00686BFC" w:rsidRPr="004E75DE">
        <w:rPr>
          <w:bCs/>
          <w:i/>
          <w:iCs/>
          <w:lang w:val="fr-CA"/>
        </w:rPr>
        <w:t>Brown</w:t>
      </w:r>
      <w:r w:rsidR="00686BFC" w:rsidRPr="004E75DE">
        <w:rPr>
          <w:bCs/>
          <w:iCs/>
          <w:lang w:val="fr-CA"/>
        </w:rPr>
        <w:t xml:space="preserve">, 2008 </w:t>
      </w:r>
      <w:r w:rsidR="00FA66E8" w:rsidRPr="004E75DE">
        <w:rPr>
          <w:bCs/>
          <w:iCs/>
          <w:lang w:val="fr-CA"/>
        </w:rPr>
        <w:t>C</w:t>
      </w:r>
      <w:r w:rsidR="00686BFC" w:rsidRPr="004E75DE">
        <w:rPr>
          <w:bCs/>
          <w:iCs/>
          <w:lang w:val="fr-CA"/>
        </w:rPr>
        <w:t>SC 18</w:t>
      </w:r>
      <w:r w:rsidR="00FA66E8" w:rsidRPr="004E75DE">
        <w:rPr>
          <w:bCs/>
          <w:iCs/>
          <w:lang w:val="fr-CA"/>
        </w:rPr>
        <w:t>, [2008] 1 R.C.S. 456</w:t>
      </w:r>
      <w:r w:rsidR="00686BFC" w:rsidRPr="004E75DE">
        <w:rPr>
          <w:bCs/>
          <w:iCs/>
          <w:lang w:val="fr-CA"/>
        </w:rPr>
        <w:t xml:space="preserve">; </w:t>
      </w:r>
      <w:r w:rsidR="00FA66E8" w:rsidRPr="004E75DE">
        <w:rPr>
          <w:bCs/>
          <w:i/>
          <w:iCs/>
          <w:lang w:val="fr-CA"/>
        </w:rPr>
        <w:t>R. c</w:t>
      </w:r>
      <w:r w:rsidR="00686BFC" w:rsidRPr="004E75DE">
        <w:rPr>
          <w:bCs/>
          <w:i/>
          <w:iCs/>
          <w:lang w:val="fr-CA"/>
        </w:rPr>
        <w:t>. Mills</w:t>
      </w:r>
      <w:r w:rsidR="00686BFC" w:rsidRPr="004E75DE">
        <w:rPr>
          <w:bCs/>
          <w:iCs/>
          <w:lang w:val="fr-CA"/>
        </w:rPr>
        <w:t xml:space="preserve">, [1999] 3 </w:t>
      </w:r>
      <w:r w:rsidR="005B0D20" w:rsidRPr="004E75DE">
        <w:rPr>
          <w:bCs/>
          <w:iCs/>
          <w:lang w:val="fr-CA"/>
        </w:rPr>
        <w:t>R.C.S</w:t>
      </w:r>
      <w:r w:rsidR="00686BFC" w:rsidRPr="004E75DE">
        <w:rPr>
          <w:bCs/>
          <w:iCs/>
          <w:lang w:val="fr-CA"/>
        </w:rPr>
        <w:t xml:space="preserve">. 668; </w:t>
      </w:r>
      <w:r w:rsidR="005B0D20" w:rsidRPr="004E75DE">
        <w:rPr>
          <w:bCs/>
          <w:i/>
          <w:iCs/>
          <w:lang w:val="fr-CA"/>
        </w:rPr>
        <w:t>R.</w:t>
      </w:r>
      <w:r w:rsidR="00C80637" w:rsidRPr="004E75DE">
        <w:rPr>
          <w:bCs/>
          <w:i/>
          <w:iCs/>
          <w:lang w:val="fr-CA"/>
        </w:rPr>
        <w:t xml:space="preserve"> c</w:t>
      </w:r>
      <w:r w:rsidR="00686BFC" w:rsidRPr="004E75DE">
        <w:rPr>
          <w:bCs/>
          <w:i/>
          <w:iCs/>
          <w:lang w:val="fr-CA"/>
        </w:rPr>
        <w:t>. Tse</w:t>
      </w:r>
      <w:r w:rsidR="00686BFC" w:rsidRPr="004E75DE">
        <w:rPr>
          <w:bCs/>
          <w:iCs/>
          <w:lang w:val="fr-CA"/>
        </w:rPr>
        <w:t xml:space="preserve">, 2012 </w:t>
      </w:r>
      <w:r w:rsidR="00C80637" w:rsidRPr="004E75DE">
        <w:rPr>
          <w:bCs/>
          <w:iCs/>
          <w:lang w:val="fr-CA"/>
        </w:rPr>
        <w:t>C</w:t>
      </w:r>
      <w:r w:rsidR="00686BFC" w:rsidRPr="004E75DE">
        <w:rPr>
          <w:bCs/>
          <w:iCs/>
          <w:lang w:val="fr-CA"/>
        </w:rPr>
        <w:t xml:space="preserve">SC 16, [2012] 1 </w:t>
      </w:r>
      <w:r w:rsidR="00C80637" w:rsidRPr="004E75DE">
        <w:rPr>
          <w:bCs/>
          <w:iCs/>
          <w:lang w:val="fr-CA"/>
        </w:rPr>
        <w:t>R.C.S</w:t>
      </w:r>
      <w:r w:rsidR="00686BFC" w:rsidRPr="004E75DE">
        <w:rPr>
          <w:bCs/>
          <w:iCs/>
          <w:lang w:val="fr-CA"/>
        </w:rPr>
        <w:t xml:space="preserve">. 531; </w:t>
      </w:r>
      <w:r w:rsidR="007D65B6" w:rsidRPr="004E75DE">
        <w:rPr>
          <w:bCs/>
          <w:i/>
          <w:iCs/>
          <w:lang w:val="fr-CA"/>
        </w:rPr>
        <w:t>R. c</w:t>
      </w:r>
      <w:r w:rsidR="00686BFC" w:rsidRPr="004E75DE">
        <w:rPr>
          <w:bCs/>
          <w:i/>
          <w:iCs/>
          <w:lang w:val="fr-CA"/>
        </w:rPr>
        <w:t>. Nur</w:t>
      </w:r>
      <w:r w:rsidR="00686BFC" w:rsidRPr="004E75DE">
        <w:rPr>
          <w:bCs/>
          <w:iCs/>
          <w:lang w:val="fr-CA"/>
        </w:rPr>
        <w:t xml:space="preserve">, 2015 </w:t>
      </w:r>
      <w:r w:rsidR="007D65B6" w:rsidRPr="004E75DE">
        <w:rPr>
          <w:bCs/>
          <w:iCs/>
          <w:lang w:val="fr-CA"/>
        </w:rPr>
        <w:t>C</w:t>
      </w:r>
      <w:r w:rsidR="00686BFC" w:rsidRPr="004E75DE">
        <w:rPr>
          <w:bCs/>
          <w:iCs/>
          <w:lang w:val="fr-CA"/>
        </w:rPr>
        <w:t>SC 15</w:t>
      </w:r>
      <w:r w:rsidR="00DD5107" w:rsidRPr="004E75DE">
        <w:rPr>
          <w:bCs/>
          <w:iCs/>
          <w:lang w:val="fr-CA"/>
        </w:rPr>
        <w:t>, [2015] 1 R.C.S. 773</w:t>
      </w:r>
      <w:r w:rsidR="00686BFC" w:rsidRPr="004E75DE">
        <w:rPr>
          <w:bCs/>
          <w:iCs/>
          <w:lang w:val="fr-CA"/>
        </w:rPr>
        <w:t xml:space="preserve">; </w:t>
      </w:r>
      <w:r w:rsidR="00D32D2A" w:rsidRPr="004E75DE">
        <w:rPr>
          <w:bCs/>
          <w:i/>
          <w:iCs/>
          <w:lang w:val="fr-CA"/>
        </w:rPr>
        <w:t>R. c</w:t>
      </w:r>
      <w:r w:rsidR="00686BFC" w:rsidRPr="004E75DE">
        <w:rPr>
          <w:bCs/>
          <w:i/>
          <w:iCs/>
          <w:lang w:val="fr-CA"/>
        </w:rPr>
        <w:t>. Oakes</w:t>
      </w:r>
      <w:r w:rsidR="00686BFC" w:rsidRPr="004E75DE">
        <w:rPr>
          <w:bCs/>
          <w:iCs/>
          <w:lang w:val="fr-CA"/>
        </w:rPr>
        <w:t xml:space="preserve">, [1986] 1 </w:t>
      </w:r>
      <w:r w:rsidR="00D32D2A" w:rsidRPr="004E75DE">
        <w:rPr>
          <w:bCs/>
          <w:iCs/>
          <w:lang w:val="fr-CA"/>
        </w:rPr>
        <w:t>R.C.S</w:t>
      </w:r>
      <w:r w:rsidR="00686BFC" w:rsidRPr="004E75DE">
        <w:rPr>
          <w:bCs/>
          <w:iCs/>
          <w:lang w:val="fr-CA"/>
        </w:rPr>
        <w:t xml:space="preserve">. 103; </w:t>
      </w:r>
      <w:r w:rsidR="00D32D2A" w:rsidRPr="004E75DE">
        <w:rPr>
          <w:bCs/>
          <w:i/>
          <w:iCs/>
          <w:lang w:val="fr-CA"/>
        </w:rPr>
        <w:t>Association de la police montée de l</w:t>
      </w:r>
      <w:r w:rsidR="00AE5E90">
        <w:rPr>
          <w:bCs/>
          <w:i/>
          <w:iCs/>
          <w:lang w:val="fr-CA"/>
        </w:rPr>
        <w:t>’</w:t>
      </w:r>
      <w:r w:rsidR="00D32D2A" w:rsidRPr="004E75DE">
        <w:rPr>
          <w:bCs/>
          <w:i/>
          <w:iCs/>
          <w:lang w:val="fr-CA"/>
        </w:rPr>
        <w:t>Ontario</w:t>
      </w:r>
      <w:r w:rsidR="000A5D1D" w:rsidRPr="004E75DE">
        <w:rPr>
          <w:bCs/>
          <w:i/>
          <w:iCs/>
          <w:lang w:val="fr-CA"/>
        </w:rPr>
        <w:t xml:space="preserve"> c. Canada (Procureur général)</w:t>
      </w:r>
      <w:r w:rsidR="000A5D1D" w:rsidRPr="004E75DE">
        <w:rPr>
          <w:bCs/>
          <w:iCs/>
          <w:lang w:val="fr-CA"/>
        </w:rPr>
        <w:t>, 2015 CSC 1</w:t>
      </w:r>
      <w:r w:rsidR="00DD5107" w:rsidRPr="004E75DE">
        <w:rPr>
          <w:bCs/>
          <w:iCs/>
          <w:lang w:val="fr-CA"/>
        </w:rPr>
        <w:t>, [2015] 1 R.C.S. 3</w:t>
      </w:r>
      <w:r w:rsidR="00686BFC" w:rsidRPr="004E75DE">
        <w:rPr>
          <w:bCs/>
          <w:iCs/>
          <w:lang w:val="fr-CA"/>
        </w:rPr>
        <w:t xml:space="preserve">; </w:t>
      </w:r>
      <w:r w:rsidR="00616BCB" w:rsidRPr="004E75DE">
        <w:rPr>
          <w:bCs/>
          <w:i/>
          <w:iCs/>
          <w:lang w:val="fr-CA"/>
        </w:rPr>
        <w:t>Ford c. Qué</w:t>
      </w:r>
      <w:r w:rsidR="00686BFC" w:rsidRPr="004E75DE">
        <w:rPr>
          <w:bCs/>
          <w:i/>
          <w:iCs/>
          <w:lang w:val="fr-CA"/>
        </w:rPr>
        <w:t>bec (</w:t>
      </w:r>
      <w:r w:rsidR="00616BCB" w:rsidRPr="004E75DE">
        <w:rPr>
          <w:bCs/>
          <w:i/>
          <w:iCs/>
          <w:lang w:val="fr-CA"/>
        </w:rPr>
        <w:t>Procureur général</w:t>
      </w:r>
      <w:r w:rsidR="00686BFC" w:rsidRPr="004E75DE">
        <w:rPr>
          <w:bCs/>
          <w:i/>
          <w:iCs/>
          <w:lang w:val="fr-CA"/>
        </w:rPr>
        <w:t>)</w:t>
      </w:r>
      <w:r w:rsidR="00686BFC" w:rsidRPr="004E75DE">
        <w:rPr>
          <w:bCs/>
          <w:iCs/>
          <w:lang w:val="fr-CA"/>
        </w:rPr>
        <w:t xml:space="preserve">, [1988] 2 </w:t>
      </w:r>
      <w:r w:rsidR="00616BCB" w:rsidRPr="004E75DE">
        <w:rPr>
          <w:bCs/>
          <w:iCs/>
          <w:lang w:val="fr-CA"/>
        </w:rPr>
        <w:t>R.C.S</w:t>
      </w:r>
      <w:r w:rsidR="00686BFC" w:rsidRPr="004E75DE">
        <w:rPr>
          <w:bCs/>
          <w:iCs/>
          <w:lang w:val="fr-CA"/>
        </w:rPr>
        <w:t xml:space="preserve">. 712; </w:t>
      </w:r>
      <w:r w:rsidR="007C36E0" w:rsidRPr="004E75DE">
        <w:rPr>
          <w:bCs/>
          <w:i/>
          <w:iCs/>
          <w:lang w:val="fr-CA"/>
        </w:rPr>
        <w:t>Colombie</w:t>
      </w:r>
      <w:r w:rsidR="00AE5E90">
        <w:rPr>
          <w:bCs/>
          <w:i/>
          <w:iCs/>
          <w:lang w:val="fr-CA"/>
        </w:rPr>
        <w:noBreakHyphen/>
      </w:r>
      <w:r w:rsidR="007C36E0" w:rsidRPr="004E75DE">
        <w:rPr>
          <w:bCs/>
          <w:i/>
          <w:iCs/>
          <w:lang w:val="fr-CA"/>
        </w:rPr>
        <w:t>Britannique</w:t>
      </w:r>
      <w:r w:rsidR="00BE71B7" w:rsidRPr="004E75DE">
        <w:rPr>
          <w:bCs/>
          <w:i/>
          <w:iCs/>
          <w:lang w:val="fr-CA"/>
        </w:rPr>
        <w:t xml:space="preserve"> (Ministre des For</w:t>
      </w:r>
      <w:r w:rsidR="00525F2B" w:rsidRPr="004E75DE">
        <w:rPr>
          <w:bCs/>
          <w:i/>
          <w:iCs/>
          <w:lang w:val="fr-CA"/>
        </w:rPr>
        <w:t>ê</w:t>
      </w:r>
      <w:r w:rsidR="00BE71B7" w:rsidRPr="004E75DE">
        <w:rPr>
          <w:bCs/>
          <w:i/>
          <w:iCs/>
          <w:lang w:val="fr-CA"/>
        </w:rPr>
        <w:t xml:space="preserve">ts) c. Bande </w:t>
      </w:r>
      <w:r w:rsidR="00CA0667" w:rsidRPr="004E75DE">
        <w:rPr>
          <w:bCs/>
          <w:i/>
          <w:iCs/>
          <w:lang w:val="fr-CA"/>
        </w:rPr>
        <w:t>i</w:t>
      </w:r>
      <w:r w:rsidR="00BE71B7" w:rsidRPr="004E75DE">
        <w:rPr>
          <w:bCs/>
          <w:i/>
          <w:iCs/>
          <w:lang w:val="fr-CA"/>
        </w:rPr>
        <w:t>ndienne Okanagan</w:t>
      </w:r>
      <w:r w:rsidR="00BE71B7" w:rsidRPr="004E75DE">
        <w:rPr>
          <w:bCs/>
          <w:iCs/>
          <w:lang w:val="fr-CA"/>
        </w:rPr>
        <w:t>, 2003 C</w:t>
      </w:r>
      <w:r w:rsidR="007C36E0" w:rsidRPr="004E75DE">
        <w:rPr>
          <w:bCs/>
          <w:iCs/>
          <w:lang w:val="fr-CA"/>
        </w:rPr>
        <w:t>SC 71, [2003] 3</w:t>
      </w:r>
      <w:r w:rsidR="00BE71B7" w:rsidRPr="004E75DE">
        <w:rPr>
          <w:bCs/>
          <w:iCs/>
          <w:lang w:val="fr-CA"/>
        </w:rPr>
        <w:t xml:space="preserve"> R.C.S. 371;</w:t>
      </w:r>
      <w:r w:rsidR="00BE71B7" w:rsidRPr="004E75DE">
        <w:rPr>
          <w:bCs/>
          <w:i/>
          <w:iCs/>
          <w:lang w:val="fr-CA"/>
        </w:rPr>
        <w:t xml:space="preserve"> B. (R.) c. Children</w:t>
      </w:r>
      <w:r w:rsidR="00AE5E90">
        <w:rPr>
          <w:bCs/>
          <w:i/>
          <w:iCs/>
          <w:lang w:val="fr-CA"/>
        </w:rPr>
        <w:t>’</w:t>
      </w:r>
      <w:r w:rsidR="00BE71B7" w:rsidRPr="004E75DE">
        <w:rPr>
          <w:bCs/>
          <w:i/>
          <w:iCs/>
          <w:lang w:val="fr-CA"/>
        </w:rPr>
        <w:t>s Aid Society of Metropolitan Toronto</w:t>
      </w:r>
      <w:r w:rsidR="00BE71B7" w:rsidRPr="004E75DE">
        <w:rPr>
          <w:bCs/>
          <w:iCs/>
          <w:lang w:val="fr-CA"/>
        </w:rPr>
        <w:t>, [1995] 1 R.C.S. 315</w:t>
      </w:r>
      <w:r w:rsidR="00CB40AD" w:rsidRPr="004E75DE">
        <w:rPr>
          <w:bCs/>
          <w:iCs/>
          <w:lang w:val="fr-CA"/>
        </w:rPr>
        <w:t>.</w:t>
      </w:r>
    </w:p>
    <w:p w:rsidR="004C4A99" w:rsidRPr="004E75DE" w:rsidRDefault="003158A4" w:rsidP="00926B45">
      <w:pPr>
        <w:pStyle w:val="SCCNormalDoubleSpacing"/>
        <w:widowControl w:val="0"/>
        <w:spacing w:after="720" w:line="240" w:lineRule="auto"/>
        <w:rPr>
          <w:lang w:val="fr-CA"/>
        </w:rPr>
      </w:pPr>
      <w:r w:rsidRPr="004E75DE">
        <w:rPr>
          <w:lang w:val="fr-CA"/>
        </w:rPr>
        <w:t>Citée par la juge en chef McLachlin (dissidente</w:t>
      </w:r>
      <w:r w:rsidR="00AE216E" w:rsidRPr="004E75DE">
        <w:rPr>
          <w:lang w:val="fr-CA"/>
        </w:rPr>
        <w:t xml:space="preserve"> en partie</w:t>
      </w:r>
      <w:r w:rsidRPr="004E75DE">
        <w:rPr>
          <w:lang w:val="fr-CA"/>
        </w:rPr>
        <w:t>)</w:t>
      </w:r>
    </w:p>
    <w:p w:rsidR="004C4A99" w:rsidRPr="004E75DE" w:rsidRDefault="004C4A99" w:rsidP="00926B45">
      <w:pPr>
        <w:pStyle w:val="SCCNormalDoubleSpacing"/>
        <w:widowControl w:val="0"/>
        <w:spacing w:after="480"/>
        <w:rPr>
          <w:lang w:val="fr-CA"/>
        </w:rPr>
      </w:pPr>
      <w:r w:rsidRPr="004E75DE">
        <w:rPr>
          <w:lang w:val="fr-CA"/>
        </w:rPr>
        <w:tab/>
      </w:r>
      <w:r w:rsidR="00703242" w:rsidRPr="004E75DE">
        <w:rPr>
          <w:i/>
          <w:lang w:val="fr-CA"/>
        </w:rPr>
        <w:t>R. c</w:t>
      </w:r>
      <w:r w:rsidR="001A6852" w:rsidRPr="004E75DE">
        <w:rPr>
          <w:i/>
          <w:lang w:val="fr-CA"/>
        </w:rPr>
        <w:t>. Tessling</w:t>
      </w:r>
      <w:r w:rsidR="001A6852" w:rsidRPr="004E75DE">
        <w:rPr>
          <w:lang w:val="fr-CA"/>
        </w:rPr>
        <w:t xml:space="preserve">, 2004 </w:t>
      </w:r>
      <w:r w:rsidR="00703242" w:rsidRPr="004E75DE">
        <w:rPr>
          <w:lang w:val="fr-CA"/>
        </w:rPr>
        <w:t>C</w:t>
      </w:r>
      <w:r w:rsidR="001A6852" w:rsidRPr="004E75DE">
        <w:rPr>
          <w:lang w:val="fr-CA"/>
        </w:rPr>
        <w:t xml:space="preserve">SC 67, [2004] 3 </w:t>
      </w:r>
      <w:r w:rsidR="00703242" w:rsidRPr="004E75DE">
        <w:rPr>
          <w:lang w:val="fr-CA"/>
        </w:rPr>
        <w:t>R.C.S</w:t>
      </w:r>
      <w:r w:rsidR="001A6852" w:rsidRPr="004E75DE">
        <w:rPr>
          <w:lang w:val="fr-CA"/>
        </w:rPr>
        <w:t xml:space="preserve">. 432; </w:t>
      </w:r>
      <w:r w:rsidR="001A6852" w:rsidRPr="004E75DE">
        <w:rPr>
          <w:i/>
          <w:lang w:val="fr-CA"/>
        </w:rPr>
        <w:t xml:space="preserve">Hunter </w:t>
      </w:r>
      <w:r w:rsidR="00703242" w:rsidRPr="004E75DE">
        <w:rPr>
          <w:i/>
          <w:lang w:val="fr-CA"/>
        </w:rPr>
        <w:t>c</w:t>
      </w:r>
      <w:r w:rsidR="001A6852" w:rsidRPr="004E75DE">
        <w:rPr>
          <w:i/>
          <w:lang w:val="fr-CA"/>
        </w:rPr>
        <w:t>. Southam Inc</w:t>
      </w:r>
      <w:r w:rsidR="001A6852" w:rsidRPr="004E75DE">
        <w:rPr>
          <w:lang w:val="fr-CA"/>
        </w:rPr>
        <w:t xml:space="preserve">., </w:t>
      </w:r>
      <w:r w:rsidR="001A6852" w:rsidRPr="004E75DE">
        <w:rPr>
          <w:lang w:val="fr-CA"/>
        </w:rPr>
        <w:lastRenderedPageBreak/>
        <w:t xml:space="preserve">[1984] 2 </w:t>
      </w:r>
      <w:r w:rsidR="00703242" w:rsidRPr="004E75DE">
        <w:rPr>
          <w:lang w:val="fr-CA"/>
        </w:rPr>
        <w:t>R.C.S</w:t>
      </w:r>
      <w:r w:rsidR="001A6852" w:rsidRPr="004E75DE">
        <w:rPr>
          <w:lang w:val="fr-CA"/>
        </w:rPr>
        <w:t xml:space="preserve">. 145; </w:t>
      </w:r>
      <w:r w:rsidR="00703242" w:rsidRPr="004E75DE">
        <w:rPr>
          <w:i/>
          <w:lang w:val="fr-CA"/>
        </w:rPr>
        <w:t>R. c</w:t>
      </w:r>
      <w:r w:rsidR="001A6852" w:rsidRPr="004E75DE">
        <w:rPr>
          <w:i/>
          <w:lang w:val="fr-CA"/>
        </w:rPr>
        <w:t>. Dyment</w:t>
      </w:r>
      <w:r w:rsidR="001A6852" w:rsidRPr="004E75DE">
        <w:rPr>
          <w:lang w:val="fr-CA"/>
        </w:rPr>
        <w:t xml:space="preserve">, [1988] 2 </w:t>
      </w:r>
      <w:r w:rsidR="00703242" w:rsidRPr="004E75DE">
        <w:rPr>
          <w:lang w:val="fr-CA"/>
        </w:rPr>
        <w:t>R.C.S</w:t>
      </w:r>
      <w:r w:rsidR="001A6852" w:rsidRPr="004E75DE">
        <w:rPr>
          <w:lang w:val="fr-CA"/>
        </w:rPr>
        <w:t xml:space="preserve">. 417; </w:t>
      </w:r>
      <w:r w:rsidR="00703242" w:rsidRPr="004E75DE">
        <w:rPr>
          <w:i/>
          <w:lang w:val="fr-CA"/>
        </w:rPr>
        <w:t>R. c</w:t>
      </w:r>
      <w:r w:rsidR="001A6852" w:rsidRPr="004E75DE">
        <w:rPr>
          <w:i/>
          <w:lang w:val="fr-CA"/>
        </w:rPr>
        <w:t>. Spencer</w:t>
      </w:r>
      <w:r w:rsidR="001A6852" w:rsidRPr="004E75DE">
        <w:rPr>
          <w:lang w:val="fr-CA"/>
        </w:rPr>
        <w:t xml:space="preserve">, 2014 </w:t>
      </w:r>
      <w:r w:rsidR="00703242" w:rsidRPr="004E75DE">
        <w:rPr>
          <w:lang w:val="fr-CA"/>
        </w:rPr>
        <w:t>C</w:t>
      </w:r>
      <w:r w:rsidR="001A6852" w:rsidRPr="004E75DE">
        <w:rPr>
          <w:lang w:val="fr-CA"/>
        </w:rPr>
        <w:t xml:space="preserve">SC 43, [2014] 2 </w:t>
      </w:r>
      <w:r w:rsidR="00703242" w:rsidRPr="004E75DE">
        <w:rPr>
          <w:lang w:val="fr-CA"/>
        </w:rPr>
        <w:t>R.C.S</w:t>
      </w:r>
      <w:r w:rsidR="001A6852" w:rsidRPr="004E75DE">
        <w:rPr>
          <w:lang w:val="fr-CA"/>
        </w:rPr>
        <w:t xml:space="preserve">. 212; </w:t>
      </w:r>
      <w:r w:rsidR="00703242" w:rsidRPr="004E75DE">
        <w:rPr>
          <w:i/>
          <w:lang w:val="fr-CA"/>
        </w:rPr>
        <w:t>R. c</w:t>
      </w:r>
      <w:r w:rsidR="001A6852" w:rsidRPr="004E75DE">
        <w:rPr>
          <w:i/>
          <w:lang w:val="fr-CA"/>
        </w:rPr>
        <w:t>. McKinlay Transport Ltd.</w:t>
      </w:r>
      <w:r w:rsidR="001A6852" w:rsidRPr="004E75DE">
        <w:rPr>
          <w:lang w:val="fr-CA"/>
        </w:rPr>
        <w:t>,</w:t>
      </w:r>
      <w:r w:rsidR="001A6852" w:rsidRPr="004E75DE">
        <w:rPr>
          <w:i/>
          <w:lang w:val="fr-CA"/>
        </w:rPr>
        <w:t xml:space="preserve"> </w:t>
      </w:r>
      <w:r w:rsidR="001A6852" w:rsidRPr="004E75DE">
        <w:rPr>
          <w:lang w:val="fr-CA"/>
        </w:rPr>
        <w:t xml:space="preserve">[1990] 1 </w:t>
      </w:r>
      <w:r w:rsidR="00703242" w:rsidRPr="004E75DE">
        <w:rPr>
          <w:lang w:val="fr-CA"/>
        </w:rPr>
        <w:t>R.C.S</w:t>
      </w:r>
      <w:r w:rsidR="001A6852" w:rsidRPr="004E75DE">
        <w:rPr>
          <w:lang w:val="fr-CA"/>
        </w:rPr>
        <w:t xml:space="preserve">. 627; </w:t>
      </w:r>
      <w:r w:rsidR="001A6852" w:rsidRPr="004E75DE">
        <w:rPr>
          <w:i/>
          <w:lang w:val="fr-CA"/>
        </w:rPr>
        <w:t xml:space="preserve">British </w:t>
      </w:r>
      <w:r w:rsidR="00703242" w:rsidRPr="004E75DE">
        <w:rPr>
          <w:i/>
          <w:lang w:val="fr-CA"/>
        </w:rPr>
        <w:t>Columbia Securities Commission c</w:t>
      </w:r>
      <w:r w:rsidR="001A6852" w:rsidRPr="004E75DE">
        <w:rPr>
          <w:i/>
          <w:lang w:val="fr-CA"/>
        </w:rPr>
        <w:t>. Branch</w:t>
      </w:r>
      <w:r w:rsidR="001A6852" w:rsidRPr="004E75DE">
        <w:rPr>
          <w:lang w:val="fr-CA"/>
        </w:rPr>
        <w:t xml:space="preserve">, [1995] 2 </w:t>
      </w:r>
      <w:r w:rsidR="00703242" w:rsidRPr="004E75DE">
        <w:rPr>
          <w:lang w:val="fr-CA"/>
        </w:rPr>
        <w:t>R.C.S</w:t>
      </w:r>
      <w:r w:rsidR="001A6852" w:rsidRPr="004E75DE">
        <w:rPr>
          <w:lang w:val="fr-CA"/>
        </w:rPr>
        <w:t xml:space="preserve">. 3; </w:t>
      </w:r>
      <w:r w:rsidR="00703242" w:rsidRPr="004E75DE">
        <w:rPr>
          <w:i/>
          <w:lang w:val="fr-CA"/>
        </w:rPr>
        <w:t>R. c</w:t>
      </w:r>
      <w:r w:rsidR="001A6852" w:rsidRPr="004E75DE">
        <w:rPr>
          <w:i/>
          <w:lang w:val="fr-CA"/>
        </w:rPr>
        <w:t>. Jarvis</w:t>
      </w:r>
      <w:r w:rsidR="001A6852" w:rsidRPr="004E75DE">
        <w:rPr>
          <w:lang w:val="fr-CA"/>
        </w:rPr>
        <w:t xml:space="preserve">, 2002 </w:t>
      </w:r>
      <w:r w:rsidR="00703242" w:rsidRPr="004E75DE">
        <w:rPr>
          <w:lang w:val="fr-CA"/>
        </w:rPr>
        <w:t>C</w:t>
      </w:r>
      <w:r w:rsidR="001A6852" w:rsidRPr="004E75DE">
        <w:rPr>
          <w:lang w:val="fr-CA"/>
        </w:rPr>
        <w:t xml:space="preserve">SC 73, [2002] 3 </w:t>
      </w:r>
      <w:r w:rsidR="00703242" w:rsidRPr="004E75DE">
        <w:rPr>
          <w:lang w:val="fr-CA"/>
        </w:rPr>
        <w:t>R.C.S</w:t>
      </w:r>
      <w:r w:rsidR="001A6852" w:rsidRPr="004E75DE">
        <w:rPr>
          <w:lang w:val="fr-CA"/>
        </w:rPr>
        <w:t xml:space="preserve">. 757; </w:t>
      </w:r>
      <w:r w:rsidR="00703242" w:rsidRPr="004E75DE">
        <w:rPr>
          <w:i/>
          <w:lang w:val="fr-CA"/>
        </w:rPr>
        <w:t>R. c</w:t>
      </w:r>
      <w:r w:rsidR="001A6852" w:rsidRPr="004E75DE">
        <w:rPr>
          <w:i/>
          <w:lang w:val="fr-CA"/>
        </w:rPr>
        <w:t>. Collins</w:t>
      </w:r>
      <w:r w:rsidR="001A6852" w:rsidRPr="004E75DE">
        <w:rPr>
          <w:lang w:val="fr-CA"/>
        </w:rPr>
        <w:t xml:space="preserve">, [1987] 1 </w:t>
      </w:r>
      <w:r w:rsidR="00703242" w:rsidRPr="004E75DE">
        <w:rPr>
          <w:lang w:val="fr-CA"/>
        </w:rPr>
        <w:t>R.C.S</w:t>
      </w:r>
      <w:r w:rsidR="001A6852" w:rsidRPr="004E75DE">
        <w:rPr>
          <w:lang w:val="fr-CA"/>
        </w:rPr>
        <w:t xml:space="preserve">. 265; </w:t>
      </w:r>
      <w:r w:rsidR="00703242" w:rsidRPr="004E75DE">
        <w:rPr>
          <w:i/>
          <w:lang w:val="fr-CA"/>
        </w:rPr>
        <w:t>R. c</w:t>
      </w:r>
      <w:r w:rsidR="001A6852" w:rsidRPr="004E75DE">
        <w:rPr>
          <w:i/>
          <w:lang w:val="fr-CA"/>
        </w:rPr>
        <w:t>. Fearon</w:t>
      </w:r>
      <w:r w:rsidR="001A6852" w:rsidRPr="004E75DE">
        <w:rPr>
          <w:lang w:val="fr-CA"/>
        </w:rPr>
        <w:t xml:space="preserve">, 2014 </w:t>
      </w:r>
      <w:r w:rsidR="00703242" w:rsidRPr="004E75DE">
        <w:rPr>
          <w:lang w:val="fr-CA"/>
        </w:rPr>
        <w:t>C</w:t>
      </w:r>
      <w:r w:rsidR="001A6852" w:rsidRPr="004E75DE">
        <w:rPr>
          <w:lang w:val="fr-CA"/>
        </w:rPr>
        <w:t xml:space="preserve">SC 77, [2014] 3 </w:t>
      </w:r>
      <w:r w:rsidR="00703242" w:rsidRPr="004E75DE">
        <w:rPr>
          <w:lang w:val="fr-CA"/>
        </w:rPr>
        <w:t>R.C.S</w:t>
      </w:r>
      <w:r w:rsidR="001A6852" w:rsidRPr="004E75DE">
        <w:rPr>
          <w:lang w:val="fr-CA"/>
        </w:rPr>
        <w:t xml:space="preserve">. 621; </w:t>
      </w:r>
      <w:r w:rsidR="00703242" w:rsidRPr="004E75DE">
        <w:rPr>
          <w:i/>
          <w:lang w:val="fr-CA"/>
        </w:rPr>
        <w:t>R. c</w:t>
      </w:r>
      <w:r w:rsidR="001A6852" w:rsidRPr="004E75DE">
        <w:rPr>
          <w:i/>
          <w:lang w:val="fr-CA"/>
        </w:rPr>
        <w:t>. Vu</w:t>
      </w:r>
      <w:r w:rsidR="001A6852" w:rsidRPr="004E75DE">
        <w:rPr>
          <w:lang w:val="fr-CA"/>
        </w:rPr>
        <w:t xml:space="preserve">, 2013 </w:t>
      </w:r>
      <w:r w:rsidR="00703242" w:rsidRPr="004E75DE">
        <w:rPr>
          <w:lang w:val="fr-CA"/>
        </w:rPr>
        <w:t>C</w:t>
      </w:r>
      <w:r w:rsidR="001A6852" w:rsidRPr="004E75DE">
        <w:rPr>
          <w:lang w:val="fr-CA"/>
        </w:rPr>
        <w:t xml:space="preserve">SC 60, [2013] 3 </w:t>
      </w:r>
      <w:r w:rsidR="00703242" w:rsidRPr="004E75DE">
        <w:rPr>
          <w:lang w:val="fr-CA"/>
        </w:rPr>
        <w:t>R.C.S</w:t>
      </w:r>
      <w:r w:rsidR="001A6852" w:rsidRPr="004E75DE">
        <w:rPr>
          <w:lang w:val="fr-CA"/>
        </w:rPr>
        <w:t xml:space="preserve">. 657; </w:t>
      </w:r>
      <w:r w:rsidR="00703242" w:rsidRPr="004E75DE">
        <w:rPr>
          <w:i/>
          <w:lang w:val="fr-CA"/>
        </w:rPr>
        <w:t>R. c</w:t>
      </w:r>
      <w:r w:rsidR="001A6852" w:rsidRPr="004E75DE">
        <w:rPr>
          <w:i/>
          <w:lang w:val="fr-CA"/>
        </w:rPr>
        <w:t>. Golden</w:t>
      </w:r>
      <w:r w:rsidR="001A6852" w:rsidRPr="004E75DE">
        <w:rPr>
          <w:lang w:val="fr-CA"/>
        </w:rPr>
        <w:t xml:space="preserve">, 2001 </w:t>
      </w:r>
      <w:r w:rsidR="00703242" w:rsidRPr="004E75DE">
        <w:rPr>
          <w:lang w:val="fr-CA"/>
        </w:rPr>
        <w:t>C</w:t>
      </w:r>
      <w:r w:rsidR="001A6852" w:rsidRPr="004E75DE">
        <w:rPr>
          <w:lang w:val="fr-CA"/>
        </w:rPr>
        <w:t xml:space="preserve">SC 83, [2001] 3 </w:t>
      </w:r>
      <w:r w:rsidR="00CA4195" w:rsidRPr="004E75DE">
        <w:rPr>
          <w:lang w:val="fr-CA"/>
        </w:rPr>
        <w:t>R.C.S</w:t>
      </w:r>
      <w:r w:rsidR="001A6852" w:rsidRPr="004E75DE">
        <w:rPr>
          <w:lang w:val="fr-CA"/>
        </w:rPr>
        <w:t xml:space="preserve">. 679; </w:t>
      </w:r>
      <w:r w:rsidR="00031F62" w:rsidRPr="004E75DE">
        <w:rPr>
          <w:i/>
          <w:lang w:val="fr-CA"/>
        </w:rPr>
        <w:t>Wilson c. Colombie</w:t>
      </w:r>
      <w:r w:rsidR="00AE5E90">
        <w:rPr>
          <w:i/>
          <w:lang w:val="fr-CA"/>
        </w:rPr>
        <w:noBreakHyphen/>
      </w:r>
      <w:r w:rsidR="00031F62" w:rsidRPr="004E75DE">
        <w:rPr>
          <w:i/>
          <w:lang w:val="fr-CA"/>
        </w:rPr>
        <w:t>Britannique (Superintendent of Motor Vehicles)</w:t>
      </w:r>
      <w:r w:rsidR="00031F62" w:rsidRPr="004E75DE">
        <w:rPr>
          <w:lang w:val="fr-CA"/>
        </w:rPr>
        <w:t xml:space="preserve">, 2015 CSC </w:t>
      </w:r>
      <w:r w:rsidR="007C36E0" w:rsidRPr="004E75DE">
        <w:rPr>
          <w:lang w:val="fr-CA"/>
        </w:rPr>
        <w:t>47</w:t>
      </w:r>
      <w:r w:rsidR="00613189">
        <w:rPr>
          <w:lang w:val="fr-CA"/>
        </w:rPr>
        <w:t xml:space="preserve">, [2015] </w:t>
      </w:r>
      <w:r w:rsidR="00984B69">
        <w:rPr>
          <w:lang w:val="fr-CA"/>
        </w:rPr>
        <w:t xml:space="preserve">3 </w:t>
      </w:r>
      <w:r w:rsidR="00613189">
        <w:rPr>
          <w:lang w:val="fr-CA"/>
        </w:rPr>
        <w:t xml:space="preserve">R.C.S. </w:t>
      </w:r>
      <w:r w:rsidR="00987B24">
        <w:rPr>
          <w:lang w:val="fr-CA"/>
        </w:rPr>
        <w:t>300</w:t>
      </w:r>
      <w:r w:rsidR="00031F62" w:rsidRPr="004E75DE">
        <w:rPr>
          <w:lang w:val="fr-CA"/>
        </w:rPr>
        <w:t xml:space="preserve">; </w:t>
      </w:r>
      <w:r w:rsidR="00CA4195" w:rsidRPr="004E75DE">
        <w:rPr>
          <w:i/>
          <w:lang w:val="fr-CA"/>
        </w:rPr>
        <w:t>R. c</w:t>
      </w:r>
      <w:r w:rsidR="001A6852" w:rsidRPr="004E75DE">
        <w:rPr>
          <w:i/>
          <w:lang w:val="fr-CA"/>
        </w:rPr>
        <w:t>. Conway</w:t>
      </w:r>
      <w:r w:rsidR="001A6852" w:rsidRPr="004E75DE">
        <w:rPr>
          <w:lang w:val="fr-CA"/>
        </w:rPr>
        <w:t xml:space="preserve">, 2010 </w:t>
      </w:r>
      <w:r w:rsidR="00CA4195" w:rsidRPr="004E75DE">
        <w:rPr>
          <w:lang w:val="fr-CA"/>
        </w:rPr>
        <w:t>C</w:t>
      </w:r>
      <w:r w:rsidR="001A6852" w:rsidRPr="004E75DE">
        <w:rPr>
          <w:lang w:val="fr-CA"/>
        </w:rPr>
        <w:t xml:space="preserve">SC 22, [2010] 1 </w:t>
      </w:r>
      <w:r w:rsidR="00CA4195" w:rsidRPr="004E75DE">
        <w:rPr>
          <w:lang w:val="fr-CA"/>
        </w:rPr>
        <w:t>R.C.S</w:t>
      </w:r>
      <w:r w:rsidR="001A6852" w:rsidRPr="004E75DE">
        <w:rPr>
          <w:lang w:val="fr-CA"/>
        </w:rPr>
        <w:t>. 765.</w:t>
      </w:r>
    </w:p>
    <w:p w:rsidR="004D7D95" w:rsidRPr="004E75DE" w:rsidRDefault="004D7D95" w:rsidP="00926B45">
      <w:pPr>
        <w:pStyle w:val="SCCNormalDoubleSpacing"/>
        <w:widowControl w:val="0"/>
        <w:spacing w:after="720" w:line="240" w:lineRule="auto"/>
        <w:rPr>
          <w:b/>
          <w:lang w:val="fr-CA"/>
        </w:rPr>
      </w:pPr>
      <w:r w:rsidRPr="004E75DE">
        <w:rPr>
          <w:b/>
          <w:lang w:val="fr-CA"/>
        </w:rPr>
        <w:t>Lois et règlements cités</w:t>
      </w:r>
    </w:p>
    <w:p w:rsidR="00D7018E" w:rsidRPr="004E75DE" w:rsidRDefault="00D7018E" w:rsidP="00926B45">
      <w:pPr>
        <w:pStyle w:val="SCCNormalDoubleSpacing"/>
        <w:widowControl w:val="0"/>
        <w:spacing w:after="240" w:line="240" w:lineRule="auto"/>
        <w:ind w:left="539" w:hanging="539"/>
        <w:rPr>
          <w:lang w:val="fr-CA"/>
        </w:rPr>
      </w:pPr>
      <w:r w:rsidRPr="004E75DE">
        <w:rPr>
          <w:i/>
          <w:lang w:val="fr-CA"/>
        </w:rPr>
        <w:t>Charte canadienne des droits et libertés</w:t>
      </w:r>
      <w:r w:rsidRPr="004E75DE">
        <w:rPr>
          <w:lang w:val="fr-CA"/>
        </w:rPr>
        <w:t xml:space="preserve">, </w:t>
      </w:r>
      <w:r w:rsidR="00AE5E90">
        <w:rPr>
          <w:lang w:val="fr-CA"/>
        </w:rPr>
        <w:t>art. </w:t>
      </w:r>
      <w:r w:rsidRPr="004E75DE">
        <w:rPr>
          <w:lang w:val="fr-CA"/>
        </w:rPr>
        <w:t>1, 7, 8, 10</w:t>
      </w:r>
      <w:r w:rsidRPr="004E75DE">
        <w:rPr>
          <w:i/>
          <w:lang w:val="fr-CA"/>
        </w:rPr>
        <w:t>b</w:t>
      </w:r>
      <w:r w:rsidRPr="004E75DE">
        <w:rPr>
          <w:lang w:val="fr-CA"/>
        </w:rPr>
        <w:t>), 11</w:t>
      </w:r>
      <w:r w:rsidR="00031F62" w:rsidRPr="004E75DE">
        <w:rPr>
          <w:lang w:val="fr-CA"/>
        </w:rPr>
        <w:t>, 24(2)</w:t>
      </w:r>
      <w:r w:rsidRPr="004E75DE">
        <w:rPr>
          <w:lang w:val="fr-CA"/>
        </w:rPr>
        <w:t>.</w:t>
      </w:r>
    </w:p>
    <w:p w:rsidR="00D7018E" w:rsidRPr="004E75DE" w:rsidRDefault="00D7018E" w:rsidP="00926B45">
      <w:pPr>
        <w:pStyle w:val="SCCNormalDoubleSpacing"/>
        <w:widowControl w:val="0"/>
        <w:spacing w:after="240" w:line="240" w:lineRule="auto"/>
        <w:ind w:left="539" w:hanging="539"/>
        <w:rPr>
          <w:lang w:val="fr-CA"/>
        </w:rPr>
      </w:pPr>
      <w:r w:rsidRPr="004E75DE">
        <w:rPr>
          <w:i/>
          <w:lang w:val="fr-CA"/>
        </w:rPr>
        <w:t>Code criminel</w:t>
      </w:r>
      <w:r w:rsidRPr="004E75DE">
        <w:rPr>
          <w:lang w:val="fr-CA"/>
        </w:rPr>
        <w:t>, L.R.C. 1985, c. C</w:t>
      </w:r>
      <w:r w:rsidR="00AE5E90">
        <w:rPr>
          <w:lang w:val="fr-CA"/>
        </w:rPr>
        <w:noBreakHyphen/>
      </w:r>
      <w:r w:rsidRPr="004E75DE">
        <w:rPr>
          <w:lang w:val="fr-CA"/>
        </w:rPr>
        <w:t xml:space="preserve">46, </w:t>
      </w:r>
      <w:r w:rsidR="00AE5E90">
        <w:rPr>
          <w:lang w:val="fr-CA"/>
        </w:rPr>
        <w:t>art. </w:t>
      </w:r>
      <w:r w:rsidRPr="004E75DE">
        <w:rPr>
          <w:lang w:val="fr-CA"/>
        </w:rPr>
        <w:t xml:space="preserve">254(2), (3). </w:t>
      </w:r>
    </w:p>
    <w:p w:rsidR="00D7018E" w:rsidRPr="004E75DE" w:rsidRDefault="00D7018E" w:rsidP="00926B45">
      <w:pPr>
        <w:pStyle w:val="SCCNormalDoubleSpacing"/>
        <w:widowControl w:val="0"/>
        <w:spacing w:after="240" w:line="240" w:lineRule="auto"/>
        <w:ind w:left="539" w:hanging="539"/>
        <w:rPr>
          <w:iCs/>
          <w:lang w:val="fr-CA"/>
        </w:rPr>
      </w:pPr>
      <w:r w:rsidRPr="004E75DE">
        <w:rPr>
          <w:i/>
          <w:iCs/>
          <w:lang w:val="fr-CA"/>
        </w:rPr>
        <w:t>Code de la sécurité routière</w:t>
      </w:r>
      <w:r w:rsidRPr="004E75DE">
        <w:rPr>
          <w:iCs/>
          <w:lang w:val="fr-CA"/>
        </w:rPr>
        <w:t>, RLRQ, c.</w:t>
      </w:r>
      <w:r w:rsidR="0017448A">
        <w:rPr>
          <w:iCs/>
          <w:lang w:val="fr-CA"/>
        </w:rPr>
        <w:t> </w:t>
      </w:r>
      <w:r w:rsidRPr="004E75DE">
        <w:rPr>
          <w:iCs/>
          <w:lang w:val="fr-CA"/>
        </w:rPr>
        <w:t>C</w:t>
      </w:r>
      <w:r w:rsidR="00AE5E90">
        <w:rPr>
          <w:iCs/>
          <w:lang w:val="fr-CA"/>
        </w:rPr>
        <w:noBreakHyphen/>
      </w:r>
      <w:r w:rsidRPr="004E75DE">
        <w:rPr>
          <w:iCs/>
          <w:lang w:val="fr-CA"/>
        </w:rPr>
        <w:t xml:space="preserve">24.2, </w:t>
      </w:r>
      <w:r w:rsidR="00AE5E90">
        <w:rPr>
          <w:iCs/>
          <w:lang w:val="fr-CA"/>
        </w:rPr>
        <w:t>art. </w:t>
      </w:r>
      <w:r w:rsidRPr="004E75DE">
        <w:rPr>
          <w:iCs/>
          <w:lang w:val="fr-CA"/>
        </w:rPr>
        <w:t>202.4 et suiv.</w:t>
      </w:r>
    </w:p>
    <w:p w:rsidR="00D7018E" w:rsidRPr="00897082" w:rsidRDefault="00D7018E" w:rsidP="00926B45">
      <w:pPr>
        <w:pStyle w:val="SCCNormalDoubleSpacing"/>
        <w:widowControl w:val="0"/>
        <w:spacing w:after="240" w:line="240" w:lineRule="auto"/>
        <w:ind w:left="539" w:hanging="539"/>
        <w:rPr>
          <w:lang w:val="en-US"/>
        </w:rPr>
      </w:pPr>
      <w:r w:rsidRPr="00897082">
        <w:rPr>
          <w:i/>
          <w:iCs/>
          <w:lang w:val="en-US"/>
        </w:rPr>
        <w:t>Highway Traffic Act</w:t>
      </w:r>
      <w:r w:rsidR="0017448A">
        <w:rPr>
          <w:lang w:val="en-US"/>
        </w:rPr>
        <w:t>, R.S.P.E.I. 1988, c. </w:t>
      </w:r>
      <w:r w:rsidRPr="00897082">
        <w:rPr>
          <w:lang w:val="en-US"/>
        </w:rPr>
        <w:t>H</w:t>
      </w:r>
      <w:r w:rsidR="00AE5E90">
        <w:rPr>
          <w:lang w:val="en-US"/>
        </w:rPr>
        <w:noBreakHyphen/>
      </w:r>
      <w:r w:rsidRPr="00897082">
        <w:rPr>
          <w:lang w:val="en-US"/>
        </w:rPr>
        <w:t xml:space="preserve">5, </w:t>
      </w:r>
      <w:r w:rsidR="00AE5E90">
        <w:rPr>
          <w:lang w:val="en-US"/>
        </w:rPr>
        <w:t>art. </w:t>
      </w:r>
      <w:r w:rsidRPr="00897082">
        <w:rPr>
          <w:lang w:val="en-US"/>
        </w:rPr>
        <w:t xml:space="preserve">277.2 et suiv. </w:t>
      </w:r>
    </w:p>
    <w:p w:rsidR="00D7018E" w:rsidRPr="004E75DE" w:rsidRDefault="00D7018E" w:rsidP="00926B45">
      <w:pPr>
        <w:pStyle w:val="SCCNormalDoubleSpacing"/>
        <w:widowControl w:val="0"/>
        <w:spacing w:after="240" w:line="240" w:lineRule="auto"/>
        <w:ind w:left="539" w:hanging="539"/>
        <w:rPr>
          <w:lang w:val="fr-CA"/>
        </w:rPr>
      </w:pPr>
      <w:r w:rsidRPr="004E75DE">
        <w:rPr>
          <w:i/>
          <w:lang w:val="fr-CA"/>
        </w:rPr>
        <w:t>Loi constitutionnelle de 1867</w:t>
      </w:r>
      <w:r w:rsidRPr="004E75DE">
        <w:rPr>
          <w:lang w:val="fr-CA"/>
        </w:rPr>
        <w:t xml:space="preserve">, </w:t>
      </w:r>
      <w:r w:rsidR="00AE5E90">
        <w:rPr>
          <w:lang w:val="fr-CA"/>
        </w:rPr>
        <w:t>art. </w:t>
      </w:r>
      <w:r w:rsidRPr="004E75DE">
        <w:rPr>
          <w:lang w:val="fr-CA"/>
        </w:rPr>
        <w:t>91(27), 92.</w:t>
      </w:r>
    </w:p>
    <w:p w:rsidR="00C746AC" w:rsidRPr="003B7C99" w:rsidRDefault="00C746AC" w:rsidP="00926B45">
      <w:pPr>
        <w:pStyle w:val="SCCNormalDoubleSpacing"/>
        <w:widowControl w:val="0"/>
        <w:spacing w:after="240" w:line="240" w:lineRule="auto"/>
        <w:ind w:left="539" w:hanging="539"/>
        <w:rPr>
          <w:lang w:val="fr-CA"/>
        </w:rPr>
      </w:pPr>
      <w:r w:rsidRPr="003B7C99">
        <w:rPr>
          <w:i/>
          <w:lang w:val="fr-CA"/>
        </w:rPr>
        <w:t>Motor Vehicle Act</w:t>
      </w:r>
      <w:r w:rsidRPr="003B7C99">
        <w:rPr>
          <w:lang w:val="fr-CA"/>
        </w:rPr>
        <w:t xml:space="preserve">, R.S.B.C. 1996, c. 318, </w:t>
      </w:r>
      <w:r w:rsidR="00AE5E90" w:rsidRPr="003B7C99">
        <w:rPr>
          <w:lang w:val="fr-CA"/>
        </w:rPr>
        <w:t>art. </w:t>
      </w:r>
      <w:r w:rsidRPr="003B7C99">
        <w:rPr>
          <w:lang w:val="fr-CA"/>
        </w:rPr>
        <w:t>94.1 à 94.6, 94.2</w:t>
      </w:r>
      <w:r w:rsidR="007C36E0" w:rsidRPr="003B7C99">
        <w:rPr>
          <w:lang w:val="fr-CA"/>
        </w:rPr>
        <w:t>(1)</w:t>
      </w:r>
      <w:r w:rsidRPr="003B7C99">
        <w:rPr>
          <w:lang w:val="fr-CA"/>
        </w:rPr>
        <w:t>, 215.41(3), (6), 215.42, 215.43(1), (2),</w:t>
      </w:r>
      <w:r w:rsidR="00031F62" w:rsidRPr="003B7C99">
        <w:rPr>
          <w:lang w:val="fr-CA"/>
        </w:rPr>
        <w:t xml:space="preserve"> (3),</w:t>
      </w:r>
      <w:r w:rsidRPr="003B7C99">
        <w:rPr>
          <w:lang w:val="fr-CA"/>
        </w:rPr>
        <w:t xml:space="preserve"> </w:t>
      </w:r>
      <w:r w:rsidR="00176BB6" w:rsidRPr="003B7C99">
        <w:rPr>
          <w:lang w:val="fr-CA"/>
        </w:rPr>
        <w:t>215.46</w:t>
      </w:r>
      <w:r w:rsidR="007C36E0" w:rsidRPr="003B7C99">
        <w:rPr>
          <w:lang w:val="fr-CA"/>
        </w:rPr>
        <w:t>(2)</w:t>
      </w:r>
      <w:r w:rsidR="00176BB6" w:rsidRPr="003B7C99">
        <w:rPr>
          <w:lang w:val="fr-CA"/>
        </w:rPr>
        <w:t xml:space="preserve">, </w:t>
      </w:r>
      <w:r w:rsidRPr="003B7C99">
        <w:rPr>
          <w:lang w:val="fr-CA"/>
        </w:rPr>
        <w:t xml:space="preserve">215.47, </w:t>
      </w:r>
      <w:r w:rsidR="00031F62" w:rsidRPr="003B7C99">
        <w:rPr>
          <w:lang w:val="fr-CA"/>
        </w:rPr>
        <w:t>215.48, 215.49</w:t>
      </w:r>
      <w:r w:rsidRPr="003B7C99">
        <w:rPr>
          <w:lang w:val="fr-CA"/>
        </w:rPr>
        <w:t>, 215.5</w:t>
      </w:r>
      <w:r w:rsidR="00176BB6" w:rsidRPr="003B7C99">
        <w:rPr>
          <w:lang w:val="fr-CA"/>
        </w:rPr>
        <w:t>, 262</w:t>
      </w:r>
      <w:r w:rsidR="00240538" w:rsidRPr="003B7C99">
        <w:rPr>
          <w:lang w:val="fr-CA"/>
        </w:rPr>
        <w:t>,</w:t>
      </w:r>
      <w:r w:rsidR="00176BB6" w:rsidRPr="003B7C99">
        <w:rPr>
          <w:lang w:val="fr-CA"/>
        </w:rPr>
        <w:t xml:space="preserve"> 263</w:t>
      </w:r>
      <w:r w:rsidRPr="003B7C99">
        <w:rPr>
          <w:lang w:val="fr-CA"/>
        </w:rPr>
        <w:t xml:space="preserve">. </w:t>
      </w:r>
    </w:p>
    <w:p w:rsidR="0023715A" w:rsidRPr="00897082" w:rsidRDefault="0023715A" w:rsidP="00926B45">
      <w:pPr>
        <w:pStyle w:val="SCCNormalDoubleSpacing"/>
        <w:widowControl w:val="0"/>
        <w:spacing w:after="240" w:line="240" w:lineRule="auto"/>
        <w:ind w:left="539" w:hanging="539"/>
        <w:rPr>
          <w:i/>
          <w:iCs/>
          <w:lang w:val="en-US"/>
        </w:rPr>
      </w:pPr>
      <w:r w:rsidRPr="00897082">
        <w:rPr>
          <w:i/>
          <w:iCs/>
          <w:lang w:val="en-US" w:bidi="en-US"/>
        </w:rPr>
        <w:t>Motor Vehicle Act Regulations</w:t>
      </w:r>
      <w:r w:rsidR="00031F62" w:rsidRPr="00897082">
        <w:rPr>
          <w:iCs/>
          <w:lang w:val="en-US" w:bidi="en-US"/>
        </w:rPr>
        <w:t xml:space="preserve">, B.C. Reg. 26/58, </w:t>
      </w:r>
      <w:r w:rsidR="00AE5E90">
        <w:rPr>
          <w:iCs/>
          <w:lang w:val="en-US" w:bidi="en-US"/>
        </w:rPr>
        <w:t>art. </w:t>
      </w:r>
      <w:r w:rsidRPr="00897082">
        <w:rPr>
          <w:iCs/>
          <w:lang w:val="en-US" w:bidi="en-US"/>
        </w:rPr>
        <w:t>43.09.</w:t>
      </w:r>
    </w:p>
    <w:p w:rsidR="00D7018E" w:rsidRPr="004E75DE" w:rsidRDefault="00D7018E" w:rsidP="00926B45">
      <w:pPr>
        <w:pStyle w:val="SCCNormalDoubleSpacing"/>
        <w:widowControl w:val="0"/>
        <w:spacing w:after="720" w:line="240" w:lineRule="auto"/>
        <w:ind w:left="539" w:hanging="539"/>
        <w:rPr>
          <w:lang w:val="fr-CA"/>
        </w:rPr>
      </w:pPr>
      <w:r w:rsidRPr="004E75DE">
        <w:rPr>
          <w:i/>
          <w:iCs/>
          <w:lang w:val="fr-CA"/>
        </w:rPr>
        <w:t>Règles de la Cour suprême du Canada</w:t>
      </w:r>
      <w:r w:rsidRPr="004E75DE">
        <w:rPr>
          <w:lang w:val="fr-CA"/>
        </w:rPr>
        <w:t>, DORS/2002</w:t>
      </w:r>
      <w:r w:rsidR="00AE5E90">
        <w:rPr>
          <w:lang w:val="fr-CA"/>
        </w:rPr>
        <w:noBreakHyphen/>
      </w:r>
      <w:r w:rsidRPr="004E75DE">
        <w:rPr>
          <w:lang w:val="fr-CA"/>
        </w:rPr>
        <w:t>156, règles 2 « sources », 36(2)</w:t>
      </w:r>
      <w:r w:rsidRPr="004E75DE">
        <w:rPr>
          <w:i/>
          <w:lang w:val="fr-CA"/>
        </w:rPr>
        <w:t>a</w:t>
      </w:r>
      <w:r w:rsidRPr="004E75DE">
        <w:rPr>
          <w:lang w:val="fr-CA"/>
        </w:rPr>
        <w:t>)(i).</w:t>
      </w:r>
    </w:p>
    <w:p w:rsidR="004D7D95" w:rsidRPr="004E75DE" w:rsidRDefault="004D7D95" w:rsidP="00926B45">
      <w:pPr>
        <w:pStyle w:val="SCCNormalDoubleSpacing"/>
        <w:widowControl w:val="0"/>
        <w:spacing w:after="720" w:line="240" w:lineRule="auto"/>
        <w:rPr>
          <w:b/>
          <w:lang w:val="fr-CA"/>
        </w:rPr>
      </w:pPr>
      <w:r w:rsidRPr="004E75DE">
        <w:rPr>
          <w:b/>
          <w:lang w:val="fr-CA"/>
        </w:rPr>
        <w:t>Doctrine et autres documents cités</w:t>
      </w:r>
      <w:r w:rsidR="00257871" w:rsidRPr="004E75DE">
        <w:rPr>
          <w:b/>
          <w:lang w:val="fr-CA"/>
        </w:rPr>
        <w:t xml:space="preserve"> </w:t>
      </w:r>
    </w:p>
    <w:p w:rsidR="009F027D" w:rsidRPr="00897082" w:rsidRDefault="009F027D" w:rsidP="00926B45">
      <w:pPr>
        <w:pStyle w:val="SCCNormalDoubleSpacing"/>
        <w:widowControl w:val="0"/>
        <w:spacing w:after="240" w:line="240" w:lineRule="auto"/>
        <w:ind w:left="539" w:hanging="539"/>
        <w:rPr>
          <w:lang w:val="en-US"/>
        </w:rPr>
      </w:pPr>
      <w:r w:rsidRPr="004E75DE">
        <w:rPr>
          <w:lang w:val="fr-CA" w:bidi="en-US"/>
        </w:rPr>
        <w:t>Colombie</w:t>
      </w:r>
      <w:r w:rsidR="00AE5E90">
        <w:rPr>
          <w:lang w:val="fr-CA" w:bidi="en-US"/>
        </w:rPr>
        <w:noBreakHyphen/>
      </w:r>
      <w:r w:rsidRPr="004E75DE">
        <w:rPr>
          <w:lang w:val="fr-CA" w:bidi="en-US"/>
        </w:rPr>
        <w:t xml:space="preserve">Britannique. </w:t>
      </w:r>
      <w:r w:rsidR="00DF7A53" w:rsidRPr="00897082">
        <w:rPr>
          <w:lang w:val="en-US" w:bidi="en-US"/>
        </w:rPr>
        <w:t>Assemblée législative</w:t>
      </w:r>
      <w:r w:rsidRPr="00897082">
        <w:rPr>
          <w:lang w:val="en-US" w:bidi="en-US"/>
        </w:rPr>
        <w:t xml:space="preserve">. </w:t>
      </w:r>
      <w:r w:rsidRPr="00897082">
        <w:rPr>
          <w:i/>
          <w:lang w:val="en-US" w:bidi="en-US"/>
        </w:rPr>
        <w:t>Official Report of Debates of the Legislative Assembly (Hansard)</w:t>
      </w:r>
      <w:r w:rsidRPr="00897082">
        <w:rPr>
          <w:lang w:val="en-US" w:bidi="en-US"/>
        </w:rPr>
        <w:t xml:space="preserve">, </w:t>
      </w:r>
      <w:r w:rsidR="00AE5E90">
        <w:rPr>
          <w:lang w:val="en-US" w:bidi="en-US"/>
        </w:rPr>
        <w:t>vol. </w:t>
      </w:r>
      <w:r w:rsidRPr="00897082">
        <w:rPr>
          <w:lang w:val="en-US" w:bidi="en-US"/>
        </w:rPr>
        <w:t xml:space="preserve">16, </w:t>
      </w:r>
      <w:r w:rsidR="00AE5E90">
        <w:rPr>
          <w:lang w:val="en-US" w:bidi="en-US"/>
        </w:rPr>
        <w:t>No. </w:t>
      </w:r>
      <w:r w:rsidRPr="00897082">
        <w:rPr>
          <w:lang w:val="en-US" w:bidi="en-US"/>
        </w:rPr>
        <w:t xml:space="preserve">1, 2nd Sess., 39th Parl., April 27, 2010, </w:t>
      </w:r>
      <w:r w:rsidR="00AE5E90">
        <w:rPr>
          <w:lang w:val="en-US" w:bidi="en-US"/>
        </w:rPr>
        <w:t>p. </w:t>
      </w:r>
      <w:r w:rsidRPr="00897082">
        <w:rPr>
          <w:lang w:val="en-US" w:bidi="en-US"/>
        </w:rPr>
        <w:t>4871.</w:t>
      </w:r>
    </w:p>
    <w:p w:rsidR="00846F4C" w:rsidRPr="00897082" w:rsidRDefault="0017448A" w:rsidP="00926B45">
      <w:pPr>
        <w:pStyle w:val="SCCNormalDoubleSpacing"/>
        <w:widowControl w:val="0"/>
        <w:spacing w:after="240" w:line="240" w:lineRule="auto"/>
        <w:ind w:left="539" w:hanging="539"/>
        <w:rPr>
          <w:lang w:val="en-US"/>
        </w:rPr>
      </w:pPr>
      <w:r>
        <w:rPr>
          <w:lang w:val="en-US"/>
        </w:rPr>
        <w:lastRenderedPageBreak/>
        <w:t>Hogg, Peter </w:t>
      </w:r>
      <w:r w:rsidR="00846F4C" w:rsidRPr="00897082">
        <w:rPr>
          <w:lang w:val="en-US"/>
        </w:rPr>
        <w:t xml:space="preserve">W. </w:t>
      </w:r>
      <w:r w:rsidR="00846F4C" w:rsidRPr="00897082">
        <w:rPr>
          <w:i/>
          <w:lang w:val="en-US"/>
        </w:rPr>
        <w:t>Constitutional Law of Canada</w:t>
      </w:r>
      <w:r w:rsidR="00846F4C" w:rsidRPr="00897082">
        <w:rPr>
          <w:lang w:val="en-US"/>
        </w:rPr>
        <w:t>, 5th ed. Supp., Toronto, Thomson/Carswell, 2007 (updated 20</w:t>
      </w:r>
      <w:r w:rsidR="005644F1" w:rsidRPr="00897082">
        <w:rPr>
          <w:lang w:val="en-US"/>
        </w:rPr>
        <w:t>14</w:t>
      </w:r>
      <w:r w:rsidR="00846F4C" w:rsidRPr="00897082">
        <w:rPr>
          <w:lang w:val="en-US"/>
        </w:rPr>
        <w:t>, release 1).</w:t>
      </w:r>
    </w:p>
    <w:p w:rsidR="00EA2420" w:rsidRPr="004E75DE" w:rsidRDefault="00AA0A69" w:rsidP="00926B45">
      <w:pPr>
        <w:pStyle w:val="SCCNormalDoubleSpacing"/>
        <w:widowControl w:val="0"/>
        <w:spacing w:after="720" w:line="240" w:lineRule="auto"/>
        <w:ind w:left="540" w:hanging="540"/>
        <w:rPr>
          <w:lang w:val="fr-CA"/>
        </w:rPr>
      </w:pPr>
      <w:r w:rsidRPr="004E75DE">
        <w:rPr>
          <w:lang w:val="fr-CA"/>
        </w:rPr>
        <w:t>Pitel, Stephen</w:t>
      </w:r>
      <w:r w:rsidR="00F2450F">
        <w:rPr>
          <w:lang w:val="fr-CA"/>
        </w:rPr>
        <w:t>,</w:t>
      </w:r>
      <w:r w:rsidRPr="004E75DE">
        <w:rPr>
          <w:lang w:val="fr-CA"/>
        </w:rPr>
        <w:t xml:space="preserve"> et Robert</w:t>
      </w:r>
      <w:r w:rsidR="00EA2420" w:rsidRPr="004E75DE">
        <w:rPr>
          <w:lang w:val="fr-CA"/>
        </w:rPr>
        <w:t xml:space="preserve"> Solomon. « Conduite avec f</w:t>
      </w:r>
      <w:r w:rsidR="00825613">
        <w:rPr>
          <w:lang w:val="fr-CA"/>
        </w:rPr>
        <w:t>acultés affaiblies – Estimation</w:t>
      </w:r>
      <w:r w:rsidR="00EA2420" w:rsidRPr="004E75DE">
        <w:rPr>
          <w:lang w:val="fr-CA"/>
        </w:rPr>
        <w:t xml:space="preserve"> du nombre de collisions et des coûts afférents, 1999 à 2010 »</w:t>
      </w:r>
      <w:r w:rsidR="00597EE2" w:rsidRPr="004E75DE">
        <w:rPr>
          <w:lang w:val="fr-CA"/>
        </w:rPr>
        <w:t xml:space="preserve">, MADD Canada, avril </w:t>
      </w:r>
      <w:r w:rsidR="00EA2420" w:rsidRPr="004E75DE">
        <w:rPr>
          <w:lang w:val="fr-CA"/>
        </w:rPr>
        <w:t>2013 (en ligne</w:t>
      </w:r>
      <w:r w:rsidR="00AE5E90">
        <w:rPr>
          <w:lang w:val="fr-CA"/>
        </w:rPr>
        <w:t> :</w:t>
      </w:r>
      <w:r w:rsidR="00EA2420" w:rsidRPr="004E75DE">
        <w:rPr>
          <w:lang w:val="fr-CA"/>
        </w:rPr>
        <w:t xml:space="preserve"> </w:t>
      </w:r>
      <w:r w:rsidR="00CF1538" w:rsidRPr="004E75DE">
        <w:rPr>
          <w:lang w:val="fr-CA"/>
        </w:rPr>
        <w:t>http://www.madd.ca/media/docs/estimation_du_nombres.pdf</w:t>
      </w:r>
      <w:r w:rsidR="00EA2420" w:rsidRPr="004E75DE">
        <w:rPr>
          <w:lang w:val="fr-CA"/>
        </w:rPr>
        <w:t xml:space="preserve">). </w:t>
      </w:r>
    </w:p>
    <w:p w:rsidR="004D7D95" w:rsidRPr="004E75DE" w:rsidRDefault="00F00F3F" w:rsidP="00926B45">
      <w:pPr>
        <w:pStyle w:val="SCCNormalDoubleSpacing"/>
        <w:widowControl w:val="0"/>
        <w:spacing w:after="480"/>
        <w:rPr>
          <w:lang w:val="fr-CA"/>
        </w:rPr>
      </w:pPr>
      <w:r w:rsidRPr="004E75DE">
        <w:rPr>
          <w:lang w:val="fr-CA"/>
        </w:rPr>
        <w:tab/>
      </w:r>
      <w:r w:rsidR="004D7D95" w:rsidRPr="004E75DE">
        <w:rPr>
          <w:lang w:val="fr-CA"/>
        </w:rPr>
        <w:t>POURVOI</w:t>
      </w:r>
      <w:r w:rsidRPr="004E75DE">
        <w:rPr>
          <w:lang w:val="fr-CA"/>
        </w:rPr>
        <w:t>S</w:t>
      </w:r>
      <w:r w:rsidR="004D7D95" w:rsidRPr="004E75DE">
        <w:rPr>
          <w:lang w:val="fr-CA"/>
        </w:rPr>
        <w:t xml:space="preserve"> contre un arrêt de la Cour d</w:t>
      </w:r>
      <w:r w:rsidR="00AE5E90">
        <w:rPr>
          <w:lang w:val="fr-CA"/>
        </w:rPr>
        <w:t>’</w:t>
      </w:r>
      <w:r w:rsidR="004D7D95" w:rsidRPr="004E75DE">
        <w:rPr>
          <w:lang w:val="fr-CA"/>
        </w:rPr>
        <w:t>appel de la</w:t>
      </w:r>
      <w:r w:rsidRPr="004E75DE">
        <w:rPr>
          <w:lang w:val="fr-CA"/>
        </w:rPr>
        <w:t xml:space="preserve"> Colombie</w:t>
      </w:r>
      <w:r w:rsidR="00AE5E90">
        <w:rPr>
          <w:lang w:val="fr-CA"/>
        </w:rPr>
        <w:noBreakHyphen/>
      </w:r>
      <w:r w:rsidRPr="004E75DE">
        <w:rPr>
          <w:lang w:val="fr-CA"/>
        </w:rPr>
        <w:t>Britannique</w:t>
      </w:r>
      <w:r w:rsidR="001E3F74" w:rsidRPr="004E75DE">
        <w:rPr>
          <w:lang w:val="fr-CA"/>
        </w:rPr>
        <w:t xml:space="preserve"> (les juges Ryan, Hinkson et MacKenzie), 2014 BCCA 79, 55 B.C.L.R. (5th) 1, 370 D.L.R. (4th) 609, 302 C.R.R. (2d) 1, 307 C.C.C. (3d) 77, 352 B.C.A.C. 86, 601 W.A.C. 86, [2014] 6 W.W.R. 1, 64 M.V.R. (6th) 7, [2014] B.C.J. </w:t>
      </w:r>
      <w:r w:rsidR="00AE5E90">
        <w:rPr>
          <w:lang w:val="fr-CA"/>
        </w:rPr>
        <w:t>No. </w:t>
      </w:r>
      <w:r w:rsidR="001E3F74" w:rsidRPr="004E75DE">
        <w:rPr>
          <w:lang w:val="fr-CA"/>
        </w:rPr>
        <w:t xml:space="preserve">346 (QL), 2014 CarswellBC 488 (WL Can.), qui a confirmé les décisions du juge Sigurdson, 2011 BCSC 1639, 27 B.C.L.R. (5th) 229, 247 C.R.R. (2d) 226, 282 C.C.C. (3d) 145, 92 C.R. (6th) 122, [2012] 5 W.W.R. 297, 23 M.V.R. (6th) 185, [2011] B.C.J. </w:t>
      </w:r>
      <w:r w:rsidR="00AE5E90">
        <w:rPr>
          <w:lang w:val="fr-CA"/>
        </w:rPr>
        <w:t>No. </w:t>
      </w:r>
      <w:r w:rsidR="001E3F74" w:rsidRPr="004E75DE">
        <w:rPr>
          <w:lang w:val="fr-CA"/>
        </w:rPr>
        <w:t xml:space="preserve">2282 (QL), 2011 CarswellBC 3225 (WL Can.); 2011 BCSC 1783, 27 B.C.L.R. (5th) 326, 249 C.R.R. (2d) 368, [2012] 4 W.W.R. 506, 23 M.V.R. (6th) 282, [2011] B.C.J. </w:t>
      </w:r>
      <w:r w:rsidR="00AE5E90">
        <w:rPr>
          <w:lang w:val="fr-CA"/>
        </w:rPr>
        <w:t>No. </w:t>
      </w:r>
      <w:r w:rsidR="001E3F74" w:rsidRPr="004E75DE">
        <w:rPr>
          <w:lang w:val="fr-CA"/>
        </w:rPr>
        <w:t xml:space="preserve">2484 (QL), 2011 CarswellBC 3493 (WL Can.); et 2012 BCSC 1030, 36 B.C.L.R. (5th) 360, 353 D.L.R. (4th) 351, 266 C.R.R. (2d) 82, 289 C.C.C. (3d) 476, [2013] 1 W.W.R. 176, 36 M.V.R. (6th) 235, [2012] B.C.J. </w:t>
      </w:r>
      <w:r w:rsidR="00AE5E90">
        <w:rPr>
          <w:lang w:val="fr-CA"/>
        </w:rPr>
        <w:t>No. </w:t>
      </w:r>
      <w:r w:rsidR="001E3F74" w:rsidRPr="004E75DE">
        <w:rPr>
          <w:lang w:val="fr-CA"/>
        </w:rPr>
        <w:t xml:space="preserve">1438 (QL), 2012 CarswellBC 2056 (WL Can.); et qui a confirmé une décision du juge Dley, </w:t>
      </w:r>
      <w:r w:rsidR="0014634A" w:rsidRPr="004E75DE">
        <w:rPr>
          <w:lang w:val="fr-CA"/>
        </w:rPr>
        <w:t>C.S.</w:t>
      </w:r>
      <w:r w:rsidR="001E3F74" w:rsidRPr="004E75DE">
        <w:rPr>
          <w:lang w:val="fr-CA"/>
        </w:rPr>
        <w:t>C.</w:t>
      </w:r>
      <w:r w:rsidR="00AE5E90">
        <w:rPr>
          <w:lang w:val="fr-CA"/>
        </w:rPr>
        <w:noBreakHyphen/>
      </w:r>
      <w:r w:rsidR="001E3F74" w:rsidRPr="004E75DE">
        <w:rPr>
          <w:lang w:val="fr-CA"/>
        </w:rPr>
        <w:t>B.</w:t>
      </w:r>
      <w:r w:rsidR="0014634A" w:rsidRPr="004E75DE">
        <w:rPr>
          <w:lang w:val="fr-CA"/>
        </w:rPr>
        <w:t>,</w:t>
      </w:r>
      <w:r w:rsidR="001E3F74" w:rsidRPr="004E75DE">
        <w:rPr>
          <w:lang w:val="fr-CA"/>
        </w:rPr>
        <w:t xml:space="preserve"> Victoria, n</w:t>
      </w:r>
      <w:r w:rsidR="001E3F74" w:rsidRPr="004E75DE">
        <w:rPr>
          <w:vertAlign w:val="superscript"/>
          <w:lang w:val="fr-CA"/>
        </w:rPr>
        <w:t>o</w:t>
      </w:r>
      <w:r w:rsidR="001E3F74" w:rsidRPr="004E75DE">
        <w:rPr>
          <w:lang w:val="fr-CA"/>
        </w:rPr>
        <w:t xml:space="preserve"> 12</w:t>
      </w:r>
      <w:r w:rsidR="00AE5E90">
        <w:rPr>
          <w:lang w:val="fr-CA"/>
        </w:rPr>
        <w:noBreakHyphen/>
      </w:r>
      <w:r w:rsidR="001E3F74" w:rsidRPr="004E75DE">
        <w:rPr>
          <w:lang w:val="fr-CA"/>
        </w:rPr>
        <w:t>1095, 25 mai 2012</w:t>
      </w:r>
      <w:r w:rsidRPr="004E75DE">
        <w:rPr>
          <w:lang w:val="fr-CA"/>
        </w:rPr>
        <w:t xml:space="preserve">. Pourvois </w:t>
      </w:r>
      <w:r w:rsidR="00814523" w:rsidRPr="004E75DE">
        <w:rPr>
          <w:lang w:val="fr-CA"/>
        </w:rPr>
        <w:t>rejetés, la juge en chef McLachlin est dissidente</w:t>
      </w:r>
      <w:r w:rsidR="00AE216E" w:rsidRPr="004E75DE">
        <w:rPr>
          <w:lang w:val="fr-CA"/>
        </w:rPr>
        <w:t xml:space="preserve"> en partie</w:t>
      </w:r>
      <w:r w:rsidRPr="004E75DE">
        <w:rPr>
          <w:lang w:val="fr-CA"/>
        </w:rPr>
        <w:t>.</w:t>
      </w:r>
    </w:p>
    <w:p w:rsidR="00883B02" w:rsidRPr="004E75DE" w:rsidRDefault="00F00F3F" w:rsidP="00926B45">
      <w:pPr>
        <w:pStyle w:val="SCCNormalDoubleSpacing"/>
        <w:widowControl w:val="0"/>
        <w:spacing w:after="480"/>
        <w:rPr>
          <w:lang w:val="fr-CA"/>
        </w:rPr>
      </w:pPr>
      <w:r w:rsidRPr="004E75DE">
        <w:rPr>
          <w:rStyle w:val="SCCCounselNameChar"/>
          <w:i w:val="0"/>
          <w:lang w:val="fr-CA"/>
        </w:rPr>
        <w:tab/>
      </w:r>
      <w:r w:rsidRPr="004E75DE">
        <w:rPr>
          <w:rStyle w:val="SCCCounselNameChar"/>
          <w:lang w:val="fr-CA"/>
        </w:rPr>
        <w:t>Howard A. Mickelson</w:t>
      </w:r>
      <w:r w:rsidRPr="004E75DE">
        <w:rPr>
          <w:rStyle w:val="SCCCounselNameChar"/>
          <w:i w:val="0"/>
          <w:lang w:val="fr-CA"/>
        </w:rPr>
        <w:t xml:space="preserve">, </w:t>
      </w:r>
      <w:r w:rsidRPr="004E75DE">
        <w:rPr>
          <w:rStyle w:val="SCCCounselNameChar"/>
          <w:lang w:val="fr-CA"/>
        </w:rPr>
        <w:t>c.r.</w:t>
      </w:r>
      <w:r w:rsidRPr="004E75DE">
        <w:rPr>
          <w:rStyle w:val="SCCCounselSeparatorChar"/>
          <w:lang w:val="fr-CA"/>
        </w:rPr>
        <w:t xml:space="preserve">, et </w:t>
      </w:r>
      <w:r w:rsidRPr="004E75DE">
        <w:rPr>
          <w:rStyle w:val="SCCCounselNameChar"/>
          <w:lang w:val="fr-CA"/>
        </w:rPr>
        <w:t>Shea H. Coulson</w:t>
      </w:r>
      <w:r w:rsidR="00222DB8" w:rsidRPr="004E75DE">
        <w:rPr>
          <w:rStyle w:val="SCCCounselPartyRoleChar"/>
          <w:lang w:val="fr-CA"/>
        </w:rPr>
        <w:t>, pour l</w:t>
      </w:r>
      <w:r w:rsidR="00AE5E90">
        <w:rPr>
          <w:rStyle w:val="SCCCounselPartyRoleChar"/>
          <w:lang w:val="fr-CA"/>
        </w:rPr>
        <w:t>’</w:t>
      </w:r>
      <w:r w:rsidR="00222DB8" w:rsidRPr="004E75DE">
        <w:rPr>
          <w:rStyle w:val="SCCCounselPartyRoleChar"/>
          <w:lang w:val="fr-CA"/>
        </w:rPr>
        <w:t>appelant</w:t>
      </w:r>
      <w:r w:rsidR="00E81957" w:rsidRPr="004E75DE">
        <w:rPr>
          <w:rStyle w:val="SCCCounselPartyRoleChar"/>
          <w:lang w:val="fr-CA"/>
        </w:rPr>
        <w:t>/intimé</w:t>
      </w:r>
      <w:r w:rsidRPr="004E75DE">
        <w:rPr>
          <w:rStyle w:val="SCCCounselPartyRoleChar"/>
          <w:lang w:val="fr-CA"/>
        </w:rPr>
        <w:t xml:space="preserve"> </w:t>
      </w:r>
      <w:r w:rsidRPr="004E75DE">
        <w:rPr>
          <w:lang w:val="fr-CA"/>
        </w:rPr>
        <w:t>Richard James Goodwin</w:t>
      </w:r>
      <w:r w:rsidR="00222DB8" w:rsidRPr="004E75DE">
        <w:rPr>
          <w:rStyle w:val="SCCCounselPartyRoleChar"/>
          <w:lang w:val="fr-CA"/>
        </w:rPr>
        <w:t>.</w:t>
      </w:r>
    </w:p>
    <w:p w:rsidR="00883B02" w:rsidRPr="004E75DE" w:rsidRDefault="00F00F3F" w:rsidP="00926B45">
      <w:pPr>
        <w:pStyle w:val="SCCNormalDoubleSpacing"/>
        <w:widowControl w:val="0"/>
        <w:spacing w:after="480"/>
        <w:rPr>
          <w:lang w:val="fr-CA"/>
        </w:rPr>
      </w:pPr>
      <w:r w:rsidRPr="004E75DE">
        <w:rPr>
          <w:rStyle w:val="SCCCounselNameChar"/>
          <w:i w:val="0"/>
          <w:lang w:val="fr-CA"/>
        </w:rPr>
        <w:tab/>
      </w:r>
      <w:r w:rsidRPr="004E75DE">
        <w:rPr>
          <w:rStyle w:val="SCCCounselNameChar"/>
          <w:lang w:val="fr-CA"/>
        </w:rPr>
        <w:t>Nathaniel Carnegie</w:t>
      </w:r>
      <w:r w:rsidRPr="004E75DE">
        <w:rPr>
          <w:rStyle w:val="SCCCounselNameChar"/>
          <w:i w:val="0"/>
          <w:lang w:val="fr-CA"/>
        </w:rPr>
        <w:t>,</w:t>
      </w:r>
      <w:r w:rsidRPr="004E75DE">
        <w:rPr>
          <w:rStyle w:val="SCCCounselSeparatorChar"/>
          <w:lang w:val="fr-CA"/>
        </w:rPr>
        <w:t xml:space="preserve"> </w:t>
      </w:r>
      <w:r w:rsidRPr="004E75DE">
        <w:rPr>
          <w:rStyle w:val="SCCCounselNameChar"/>
          <w:lang w:val="fr-CA"/>
        </w:rPr>
        <w:t>Leah Greathead</w:t>
      </w:r>
      <w:r w:rsidRPr="004E75DE">
        <w:rPr>
          <w:rStyle w:val="SCCCounselNameChar"/>
          <w:i w:val="0"/>
          <w:lang w:val="fr-CA"/>
        </w:rPr>
        <w:t xml:space="preserve"> et</w:t>
      </w:r>
      <w:r w:rsidRPr="004E75DE">
        <w:rPr>
          <w:rStyle w:val="SCCCounselSeparatorChar"/>
          <w:lang w:val="fr-CA"/>
        </w:rPr>
        <w:t xml:space="preserve"> </w:t>
      </w:r>
      <w:r w:rsidRPr="004E75DE">
        <w:rPr>
          <w:rStyle w:val="SCCCounselNameChar"/>
          <w:lang w:val="fr-CA"/>
        </w:rPr>
        <w:t>Tyna Mason</w:t>
      </w:r>
      <w:r w:rsidR="00222DB8" w:rsidRPr="004E75DE">
        <w:rPr>
          <w:rStyle w:val="SCCCounselPartyRoleChar"/>
          <w:lang w:val="fr-CA"/>
        </w:rPr>
        <w:t>, pour l</w:t>
      </w:r>
      <w:r w:rsidRPr="004E75DE">
        <w:rPr>
          <w:rStyle w:val="SCCCounselPartyRoleChar"/>
          <w:lang w:val="fr-CA"/>
        </w:rPr>
        <w:t xml:space="preserve">es </w:t>
      </w:r>
      <w:r w:rsidR="00222DB8" w:rsidRPr="004E75DE">
        <w:rPr>
          <w:rStyle w:val="SCCCounselPartyRoleChar"/>
          <w:lang w:val="fr-CA"/>
        </w:rPr>
        <w:t>appelant</w:t>
      </w:r>
      <w:r w:rsidR="00E45644">
        <w:rPr>
          <w:rStyle w:val="SCCCounselPartyRoleChar"/>
          <w:lang w:val="fr-CA"/>
        </w:rPr>
        <w:t xml:space="preserve">s/intimés </w:t>
      </w:r>
      <w:r w:rsidR="00172DB1" w:rsidRPr="004E75DE">
        <w:rPr>
          <w:rStyle w:val="SCCCounselPartyRoleChar"/>
          <w:lang w:val="fr-CA"/>
        </w:rPr>
        <w:t>Colombie</w:t>
      </w:r>
      <w:r w:rsidR="00AE5E90">
        <w:rPr>
          <w:rStyle w:val="SCCCounselPartyRoleChar"/>
          <w:lang w:val="fr-CA"/>
        </w:rPr>
        <w:noBreakHyphen/>
      </w:r>
      <w:r w:rsidR="00172DB1" w:rsidRPr="004E75DE">
        <w:rPr>
          <w:rStyle w:val="SCCCounselPartyRoleChar"/>
          <w:lang w:val="fr-CA"/>
        </w:rPr>
        <w:t>Britannique</w:t>
      </w:r>
      <w:r w:rsidR="00C812E5" w:rsidRPr="004E75DE">
        <w:rPr>
          <w:rStyle w:val="SCCCounselPartyRoleChar"/>
          <w:lang w:val="fr-CA"/>
        </w:rPr>
        <w:t xml:space="preserve"> </w:t>
      </w:r>
      <w:r w:rsidR="00E45644">
        <w:rPr>
          <w:rStyle w:val="SCCCounselPartyRoleChar"/>
          <w:lang w:val="fr-CA"/>
        </w:rPr>
        <w:t>(</w:t>
      </w:r>
      <w:r w:rsidR="00E45644" w:rsidRPr="004E75DE">
        <w:rPr>
          <w:rStyle w:val="SCCCounselPartyRoleChar"/>
          <w:lang w:val="fr-CA"/>
        </w:rPr>
        <w:t>Superintendent of Motor Vehicles</w:t>
      </w:r>
      <w:r w:rsidR="00E45644">
        <w:rPr>
          <w:rStyle w:val="SCCCounselPartyRoleChar"/>
          <w:lang w:val="fr-CA"/>
        </w:rPr>
        <w:t xml:space="preserve">) </w:t>
      </w:r>
      <w:r w:rsidR="00A67929" w:rsidRPr="004E75DE">
        <w:rPr>
          <w:rStyle w:val="SCCCounselPartyRoleChar"/>
          <w:lang w:val="fr-CA"/>
        </w:rPr>
        <w:t xml:space="preserve">et le </w:t>
      </w:r>
      <w:r w:rsidR="00A67929" w:rsidRPr="004E75DE">
        <w:rPr>
          <w:rStyle w:val="SCCCounselPartyRoleChar"/>
          <w:lang w:val="fr-CA"/>
        </w:rPr>
        <w:lastRenderedPageBreak/>
        <w:t>procureur général de la Colombie</w:t>
      </w:r>
      <w:r w:rsidR="00AE5E90">
        <w:rPr>
          <w:rStyle w:val="SCCCounselPartyRoleChar"/>
          <w:lang w:val="fr-CA"/>
        </w:rPr>
        <w:noBreakHyphen/>
      </w:r>
      <w:r w:rsidR="00A67929" w:rsidRPr="004E75DE">
        <w:rPr>
          <w:rStyle w:val="SCCCounselPartyRoleChar"/>
          <w:lang w:val="fr-CA"/>
        </w:rPr>
        <w:t>Britannique</w:t>
      </w:r>
      <w:r w:rsidR="00222DB8" w:rsidRPr="004E75DE">
        <w:rPr>
          <w:rStyle w:val="SCCCounselPartyRoleChar"/>
          <w:lang w:val="fr-CA"/>
        </w:rPr>
        <w:t>.</w:t>
      </w:r>
    </w:p>
    <w:p w:rsidR="00883B02" w:rsidRPr="004E75DE" w:rsidRDefault="00A67929" w:rsidP="00926B45">
      <w:pPr>
        <w:pStyle w:val="SCCNormalDoubleSpacing"/>
        <w:widowControl w:val="0"/>
        <w:spacing w:after="480"/>
        <w:rPr>
          <w:lang w:val="fr-CA"/>
        </w:rPr>
      </w:pPr>
      <w:r w:rsidRPr="004E75DE">
        <w:rPr>
          <w:rStyle w:val="SCCCounselNameChar"/>
          <w:i w:val="0"/>
          <w:lang w:val="fr-CA"/>
        </w:rPr>
        <w:tab/>
      </w:r>
      <w:r w:rsidRPr="004E75DE">
        <w:rPr>
          <w:rStyle w:val="SCCCounselNameChar"/>
          <w:lang w:val="fr-CA"/>
        </w:rPr>
        <w:t>Shea H. Coulson</w:t>
      </w:r>
      <w:r w:rsidRPr="004E75DE">
        <w:rPr>
          <w:rStyle w:val="SCCCounselPartyRoleChar"/>
          <w:lang w:val="fr-CA"/>
        </w:rPr>
        <w:t xml:space="preserve">, </w:t>
      </w:r>
      <w:r w:rsidRPr="004E75DE">
        <w:rPr>
          <w:rStyle w:val="SCCCounselPartyRoleChar"/>
          <w:i/>
          <w:lang w:val="fr-CA"/>
        </w:rPr>
        <w:t>Diego A. Solimano</w:t>
      </w:r>
      <w:r w:rsidRPr="004E75DE">
        <w:rPr>
          <w:rStyle w:val="SCCCounselPartyRoleChar"/>
          <w:lang w:val="fr-CA"/>
        </w:rPr>
        <w:t xml:space="preserve"> et </w:t>
      </w:r>
      <w:r w:rsidRPr="004E75DE">
        <w:rPr>
          <w:rStyle w:val="SCCCounselPartyRoleChar"/>
          <w:i/>
          <w:lang w:val="fr-CA"/>
        </w:rPr>
        <w:t>Sacha L. I. Roudette</w:t>
      </w:r>
      <w:r w:rsidR="00222DB8" w:rsidRPr="004E75DE">
        <w:rPr>
          <w:rStyle w:val="SCCCounselPartyRoleChar"/>
          <w:lang w:val="fr-CA"/>
        </w:rPr>
        <w:t>, pour l</w:t>
      </w:r>
      <w:r w:rsidRPr="004E75DE">
        <w:rPr>
          <w:rStyle w:val="SCCCounselPartyRoleChar"/>
          <w:lang w:val="fr-CA"/>
        </w:rPr>
        <w:t xml:space="preserve">es </w:t>
      </w:r>
      <w:r w:rsidR="00222DB8" w:rsidRPr="004E75DE">
        <w:rPr>
          <w:rStyle w:val="SCCCounselPartyRoleChar"/>
          <w:lang w:val="fr-CA"/>
        </w:rPr>
        <w:t>intimé</w:t>
      </w:r>
      <w:r w:rsidRPr="004E75DE">
        <w:rPr>
          <w:rStyle w:val="SCCCounselPartyRoleChar"/>
          <w:lang w:val="fr-CA"/>
        </w:rPr>
        <w:t xml:space="preserve">s </w:t>
      </w:r>
      <w:r w:rsidRPr="004E75DE">
        <w:rPr>
          <w:lang w:val="fr-CA"/>
        </w:rPr>
        <w:t>Jamie Allen Chisholm, Scott Roberts et Carol Marion Beam</w:t>
      </w:r>
      <w:r w:rsidR="00222DB8" w:rsidRPr="004E75DE">
        <w:rPr>
          <w:rStyle w:val="SCCCounselPartyRoleChar"/>
          <w:lang w:val="fr-CA"/>
        </w:rPr>
        <w:t>.</w:t>
      </w:r>
    </w:p>
    <w:p w:rsidR="00883B02" w:rsidRPr="004E75DE" w:rsidRDefault="00A67929" w:rsidP="00926B45">
      <w:pPr>
        <w:pStyle w:val="SCCNormalDoubleSpacing"/>
        <w:widowControl w:val="0"/>
        <w:spacing w:after="480"/>
        <w:rPr>
          <w:lang w:val="fr-CA"/>
        </w:rPr>
      </w:pPr>
      <w:r w:rsidRPr="004E75DE">
        <w:rPr>
          <w:rStyle w:val="SCCCounselNameChar"/>
          <w:i w:val="0"/>
          <w:lang w:val="fr-CA"/>
        </w:rPr>
        <w:tab/>
        <w:t xml:space="preserve">Argumentation écrite seulement par </w:t>
      </w:r>
      <w:r w:rsidRPr="004E75DE">
        <w:rPr>
          <w:rStyle w:val="SCCCounselNameChar"/>
          <w:lang w:val="fr-CA"/>
        </w:rPr>
        <w:t>Christine Mohr</w:t>
      </w:r>
      <w:r w:rsidRPr="004E75DE">
        <w:rPr>
          <w:rStyle w:val="SCCCounselNameChar"/>
          <w:i w:val="0"/>
          <w:lang w:val="fr-CA"/>
        </w:rPr>
        <w:t xml:space="preserve"> et </w:t>
      </w:r>
      <w:r w:rsidRPr="004E75DE">
        <w:rPr>
          <w:rStyle w:val="SCCCounselNameChar"/>
          <w:lang w:val="fr-CA"/>
        </w:rPr>
        <w:t>Diba Majzub</w:t>
      </w:r>
      <w:r w:rsidR="00222DB8" w:rsidRPr="004E75DE">
        <w:rPr>
          <w:rStyle w:val="SCCCounselPartyRoleChar"/>
          <w:lang w:val="fr-CA"/>
        </w:rPr>
        <w:t>, pour l</w:t>
      </w:r>
      <w:r w:rsidR="00AE5E90">
        <w:rPr>
          <w:rStyle w:val="SCCCounselPartyRoleChar"/>
          <w:lang w:val="fr-CA"/>
        </w:rPr>
        <w:t>’</w:t>
      </w:r>
      <w:r w:rsidRPr="004E75DE">
        <w:rPr>
          <w:rStyle w:val="SCCCounselPartyRoleChar"/>
          <w:lang w:val="fr-CA"/>
        </w:rPr>
        <w:t>intervenant le p</w:t>
      </w:r>
      <w:r w:rsidR="00222DB8" w:rsidRPr="004E75DE">
        <w:rPr>
          <w:rStyle w:val="SCCCounselPartyRoleChar"/>
          <w:lang w:val="fr-CA"/>
        </w:rPr>
        <w:t>rocureur général du Canada.</w:t>
      </w:r>
    </w:p>
    <w:p w:rsidR="00883B02" w:rsidRPr="004E75DE" w:rsidRDefault="00A67929" w:rsidP="00926B45">
      <w:pPr>
        <w:pStyle w:val="SCCNormalDoubleSpacing"/>
        <w:widowControl w:val="0"/>
        <w:spacing w:after="480"/>
        <w:rPr>
          <w:lang w:val="fr-CA"/>
        </w:rPr>
      </w:pPr>
      <w:r w:rsidRPr="004E75DE">
        <w:rPr>
          <w:rStyle w:val="SCCCounselNameChar"/>
          <w:i w:val="0"/>
          <w:lang w:val="fr-CA"/>
        </w:rPr>
        <w:tab/>
        <w:t xml:space="preserve">Argumentation écrite seulement par </w:t>
      </w:r>
      <w:r w:rsidRPr="004E75DE">
        <w:rPr>
          <w:rStyle w:val="SCCCounselNameChar"/>
          <w:lang w:val="fr-CA"/>
        </w:rPr>
        <w:t>S. Zachary Green</w:t>
      </w:r>
      <w:r w:rsidR="00222DB8" w:rsidRPr="004E75DE">
        <w:rPr>
          <w:rStyle w:val="SCCCounselPartyRoleChar"/>
          <w:lang w:val="fr-CA"/>
        </w:rPr>
        <w:t>, pour l</w:t>
      </w:r>
      <w:r w:rsidR="00AE5E90">
        <w:rPr>
          <w:rStyle w:val="SCCCounselPartyRoleChar"/>
          <w:lang w:val="fr-CA"/>
        </w:rPr>
        <w:t>’</w:t>
      </w:r>
      <w:r w:rsidR="00222DB8" w:rsidRPr="004E75DE">
        <w:rPr>
          <w:rStyle w:val="SCCCounselPartyRoleChar"/>
          <w:lang w:val="fr-CA"/>
        </w:rPr>
        <w:t>intervenant</w:t>
      </w:r>
      <w:r w:rsidRPr="004E75DE">
        <w:rPr>
          <w:rStyle w:val="SCCCounselPartyRoleChar"/>
          <w:lang w:val="fr-CA"/>
        </w:rPr>
        <w:t xml:space="preserve"> le p</w:t>
      </w:r>
      <w:r w:rsidR="00222DB8" w:rsidRPr="004E75DE">
        <w:rPr>
          <w:rStyle w:val="SCCCounselPartyRoleChar"/>
          <w:lang w:val="fr-CA"/>
        </w:rPr>
        <w:t>rocureur général de l</w:t>
      </w:r>
      <w:r w:rsidR="00AE5E90">
        <w:rPr>
          <w:rStyle w:val="SCCCounselPartyRoleChar"/>
          <w:lang w:val="fr-CA"/>
        </w:rPr>
        <w:t>’</w:t>
      </w:r>
      <w:r w:rsidR="00222DB8" w:rsidRPr="004E75DE">
        <w:rPr>
          <w:rStyle w:val="SCCCounselPartyRoleChar"/>
          <w:lang w:val="fr-CA"/>
        </w:rPr>
        <w:t>Ontario.</w:t>
      </w:r>
    </w:p>
    <w:p w:rsidR="00883B02" w:rsidRPr="004E75DE" w:rsidRDefault="00A67929" w:rsidP="00926B45">
      <w:pPr>
        <w:pStyle w:val="SCCNormalDoubleSpacing"/>
        <w:widowControl w:val="0"/>
        <w:spacing w:after="480"/>
        <w:rPr>
          <w:lang w:val="fr-CA"/>
        </w:rPr>
      </w:pPr>
      <w:r w:rsidRPr="004E75DE">
        <w:rPr>
          <w:rStyle w:val="SCCCounselNameChar"/>
          <w:i w:val="0"/>
          <w:lang w:val="fr-CA"/>
        </w:rPr>
        <w:tab/>
        <w:t xml:space="preserve">Argumentation écrite seulement par </w:t>
      </w:r>
      <w:r w:rsidRPr="004E75DE">
        <w:rPr>
          <w:rStyle w:val="SCCCounselNameChar"/>
          <w:lang w:val="fr-CA"/>
        </w:rPr>
        <w:t>Brigitte Bussières</w:t>
      </w:r>
      <w:r w:rsidRPr="004E75DE">
        <w:rPr>
          <w:rStyle w:val="SCCCounselSeparatorChar"/>
          <w:lang w:val="fr-CA"/>
        </w:rPr>
        <w:t xml:space="preserve">, </w:t>
      </w:r>
      <w:r w:rsidRPr="004E75DE">
        <w:rPr>
          <w:rStyle w:val="SCCCounselNameChar"/>
          <w:lang w:val="fr-CA"/>
        </w:rPr>
        <w:t>Alain Gingras</w:t>
      </w:r>
      <w:r w:rsidRPr="004E75DE">
        <w:rPr>
          <w:rStyle w:val="SCCCounselSeparatorChar"/>
          <w:lang w:val="fr-CA"/>
        </w:rPr>
        <w:t xml:space="preserve"> et </w:t>
      </w:r>
      <w:r w:rsidRPr="004E75DE">
        <w:rPr>
          <w:rStyle w:val="SCCCounselNameChar"/>
          <w:lang w:val="fr-CA"/>
        </w:rPr>
        <w:t>Gilles Laporte</w:t>
      </w:r>
      <w:r w:rsidR="00222DB8" w:rsidRPr="004E75DE">
        <w:rPr>
          <w:rStyle w:val="SCCCounselPartyRoleChar"/>
          <w:lang w:val="fr-CA"/>
        </w:rPr>
        <w:t>, pour l</w:t>
      </w:r>
      <w:r w:rsidR="00AE5E90">
        <w:rPr>
          <w:rStyle w:val="SCCCounselPartyRoleChar"/>
          <w:lang w:val="fr-CA"/>
        </w:rPr>
        <w:t>’</w:t>
      </w:r>
      <w:r w:rsidR="00222DB8" w:rsidRPr="004E75DE">
        <w:rPr>
          <w:rStyle w:val="SCCCounselPartyRoleChar"/>
          <w:lang w:val="fr-CA"/>
        </w:rPr>
        <w:t xml:space="preserve">intervenante </w:t>
      </w:r>
      <w:r w:rsidRPr="004E75DE">
        <w:rPr>
          <w:rStyle w:val="SCCCounselPartyRoleChar"/>
          <w:lang w:val="fr-CA"/>
        </w:rPr>
        <w:t>la p</w:t>
      </w:r>
      <w:r w:rsidR="00222DB8" w:rsidRPr="004E75DE">
        <w:rPr>
          <w:rStyle w:val="SCCCounselPartyRoleChar"/>
          <w:lang w:val="fr-CA"/>
        </w:rPr>
        <w:t>rocureur</w:t>
      </w:r>
      <w:r w:rsidRPr="004E75DE">
        <w:rPr>
          <w:rStyle w:val="SCCCounselPartyRoleChar"/>
          <w:lang w:val="fr-CA"/>
        </w:rPr>
        <w:t>e</w:t>
      </w:r>
      <w:r w:rsidR="00222DB8" w:rsidRPr="004E75DE">
        <w:rPr>
          <w:rStyle w:val="SCCCounselPartyRoleChar"/>
          <w:lang w:val="fr-CA"/>
        </w:rPr>
        <w:t xml:space="preserve"> </w:t>
      </w:r>
      <w:r w:rsidRPr="004E75DE">
        <w:rPr>
          <w:rStyle w:val="SCCCounselPartyRoleChar"/>
          <w:lang w:val="fr-CA"/>
        </w:rPr>
        <w:t>g</w:t>
      </w:r>
      <w:r w:rsidR="00222DB8" w:rsidRPr="004E75DE">
        <w:rPr>
          <w:rStyle w:val="SCCCounselPartyRoleChar"/>
          <w:lang w:val="fr-CA"/>
        </w:rPr>
        <w:t>énéral</w:t>
      </w:r>
      <w:r w:rsidRPr="004E75DE">
        <w:rPr>
          <w:rStyle w:val="SCCCounselPartyRoleChar"/>
          <w:lang w:val="fr-CA"/>
        </w:rPr>
        <w:t>e</w:t>
      </w:r>
      <w:r w:rsidR="00222DB8" w:rsidRPr="004E75DE">
        <w:rPr>
          <w:rStyle w:val="SCCCounselPartyRoleChar"/>
          <w:lang w:val="fr-CA"/>
        </w:rPr>
        <w:t xml:space="preserve"> du Québec.</w:t>
      </w:r>
    </w:p>
    <w:p w:rsidR="00A67929" w:rsidRPr="004E75DE" w:rsidRDefault="00A67929" w:rsidP="00926B45">
      <w:pPr>
        <w:pStyle w:val="SCCNormalDoubleSpacing"/>
        <w:widowControl w:val="0"/>
        <w:spacing w:after="480"/>
        <w:rPr>
          <w:lang w:val="fr-CA"/>
        </w:rPr>
      </w:pPr>
      <w:r w:rsidRPr="004E75DE">
        <w:rPr>
          <w:rStyle w:val="SCCCounselNameChar"/>
          <w:i w:val="0"/>
          <w:lang w:val="fr-CA"/>
        </w:rPr>
        <w:tab/>
        <w:t xml:space="preserve">Argumentation écrite seulement par </w:t>
      </w:r>
      <w:r w:rsidRPr="004E75DE">
        <w:rPr>
          <w:rStyle w:val="SCCCounselNameChar"/>
          <w:lang w:val="fr-CA"/>
        </w:rPr>
        <w:t>Michael Conner</w:t>
      </w:r>
      <w:r w:rsidRPr="004E75DE">
        <w:rPr>
          <w:rStyle w:val="SCCCounselNameChar"/>
          <w:i w:val="0"/>
          <w:lang w:val="fr-CA"/>
        </w:rPr>
        <w:t xml:space="preserve"> et </w:t>
      </w:r>
      <w:r w:rsidRPr="004E75DE">
        <w:rPr>
          <w:rStyle w:val="SCCCounselNameChar"/>
          <w:lang w:val="fr-CA"/>
        </w:rPr>
        <w:t>Charles Murray</w:t>
      </w:r>
      <w:r w:rsidRPr="004E75DE">
        <w:rPr>
          <w:rStyle w:val="SCCCounselPartyRoleChar"/>
          <w:lang w:val="fr-CA"/>
        </w:rPr>
        <w:t>, pour l</w:t>
      </w:r>
      <w:r w:rsidR="00AE5E90">
        <w:rPr>
          <w:rStyle w:val="SCCCounselPartyRoleChar"/>
          <w:lang w:val="fr-CA"/>
        </w:rPr>
        <w:t>’</w:t>
      </w:r>
      <w:r w:rsidRPr="004E75DE">
        <w:rPr>
          <w:rStyle w:val="SCCCounselPartyRoleChar"/>
          <w:lang w:val="fr-CA"/>
        </w:rPr>
        <w:t>intervenant le procureur général du Manitoba.</w:t>
      </w:r>
    </w:p>
    <w:p w:rsidR="00A67929" w:rsidRPr="004E75DE" w:rsidRDefault="00A67929" w:rsidP="00926B45">
      <w:pPr>
        <w:pStyle w:val="SCCNormalDoubleSpacing"/>
        <w:widowControl w:val="0"/>
        <w:spacing w:after="480"/>
        <w:rPr>
          <w:lang w:val="fr-CA"/>
        </w:rPr>
      </w:pPr>
      <w:r w:rsidRPr="004E75DE">
        <w:rPr>
          <w:rStyle w:val="SCCCounselNameChar"/>
          <w:i w:val="0"/>
          <w:lang w:val="fr-CA"/>
        </w:rPr>
        <w:tab/>
        <w:t xml:space="preserve">Argumentation écrite seulement par </w:t>
      </w:r>
      <w:r w:rsidRPr="004E75DE">
        <w:rPr>
          <w:rStyle w:val="SCCCounselNameChar"/>
          <w:lang w:val="fr-CA"/>
        </w:rPr>
        <w:t>Graeme G. Mitchell</w:t>
      </w:r>
      <w:r w:rsidRPr="004E75DE">
        <w:rPr>
          <w:rStyle w:val="SCCCounselNameChar"/>
          <w:i w:val="0"/>
          <w:lang w:val="fr-CA"/>
        </w:rPr>
        <w:t xml:space="preserve">, </w:t>
      </w:r>
      <w:r w:rsidRPr="004E75DE">
        <w:rPr>
          <w:rStyle w:val="SCCCounselNameChar"/>
          <w:lang w:val="fr-CA"/>
        </w:rPr>
        <w:t>c.r.</w:t>
      </w:r>
      <w:r w:rsidRPr="004E75DE">
        <w:rPr>
          <w:rStyle w:val="SCCCounselPartyRoleChar"/>
          <w:lang w:val="fr-CA"/>
        </w:rPr>
        <w:t>, pour l</w:t>
      </w:r>
      <w:r w:rsidR="00AE5E90">
        <w:rPr>
          <w:rStyle w:val="SCCCounselPartyRoleChar"/>
          <w:lang w:val="fr-CA"/>
        </w:rPr>
        <w:t>’</w:t>
      </w:r>
      <w:r w:rsidRPr="004E75DE">
        <w:rPr>
          <w:rStyle w:val="SCCCounselPartyRoleChar"/>
          <w:lang w:val="fr-CA"/>
        </w:rPr>
        <w:t>intervenant le procureur général de la Saskatchewan.</w:t>
      </w:r>
    </w:p>
    <w:p w:rsidR="00A67929" w:rsidRPr="004E75DE" w:rsidRDefault="00A67929" w:rsidP="00926B45">
      <w:pPr>
        <w:pStyle w:val="SCCNormalDoubleSpacing"/>
        <w:widowControl w:val="0"/>
        <w:spacing w:after="480"/>
        <w:rPr>
          <w:lang w:val="fr-CA"/>
        </w:rPr>
      </w:pPr>
      <w:r w:rsidRPr="004E75DE">
        <w:rPr>
          <w:rStyle w:val="SCCCounselNameChar"/>
          <w:i w:val="0"/>
          <w:lang w:val="fr-CA"/>
        </w:rPr>
        <w:tab/>
        <w:t xml:space="preserve">Argumentation écrite seulement par </w:t>
      </w:r>
      <w:r w:rsidRPr="004E75DE">
        <w:rPr>
          <w:rStyle w:val="SCCCounselNameChar"/>
          <w:lang w:val="fr-CA"/>
        </w:rPr>
        <w:t>Roderick Wiltshire</w:t>
      </w:r>
      <w:r w:rsidRPr="004E75DE">
        <w:rPr>
          <w:rStyle w:val="SCCCounselPartyRoleChar"/>
          <w:lang w:val="fr-CA"/>
        </w:rPr>
        <w:t>, pour l</w:t>
      </w:r>
      <w:r w:rsidR="00AE5E90">
        <w:rPr>
          <w:rStyle w:val="SCCCounselPartyRoleChar"/>
          <w:lang w:val="fr-CA"/>
        </w:rPr>
        <w:t>’</w:t>
      </w:r>
      <w:r w:rsidRPr="004E75DE">
        <w:rPr>
          <w:rStyle w:val="SCCCounselPartyRoleChar"/>
          <w:lang w:val="fr-CA"/>
        </w:rPr>
        <w:t xml:space="preserve">intervenant le </w:t>
      </w:r>
      <w:r w:rsidRPr="004E75DE">
        <w:rPr>
          <w:lang w:val="fr-CA"/>
        </w:rPr>
        <w:t>procureur général de l</w:t>
      </w:r>
      <w:r w:rsidR="00AE5E90">
        <w:rPr>
          <w:lang w:val="fr-CA"/>
        </w:rPr>
        <w:t>’</w:t>
      </w:r>
      <w:r w:rsidRPr="004E75DE">
        <w:rPr>
          <w:lang w:val="fr-CA"/>
        </w:rPr>
        <w:t>Alberta</w:t>
      </w:r>
      <w:r w:rsidRPr="004E75DE">
        <w:rPr>
          <w:rStyle w:val="SCCCounselPartyRoleChar"/>
          <w:lang w:val="fr-CA"/>
        </w:rPr>
        <w:t>.</w:t>
      </w:r>
    </w:p>
    <w:p w:rsidR="00883B02" w:rsidRPr="004E75DE" w:rsidRDefault="00A67929" w:rsidP="00926B45">
      <w:pPr>
        <w:pStyle w:val="SCCNormalDoubleSpacing"/>
        <w:widowControl w:val="0"/>
        <w:spacing w:after="480"/>
        <w:rPr>
          <w:lang w:val="fr-CA"/>
        </w:rPr>
      </w:pPr>
      <w:r w:rsidRPr="004E75DE">
        <w:rPr>
          <w:rStyle w:val="SCCCounselNameChar"/>
          <w:i w:val="0"/>
          <w:lang w:val="fr-CA"/>
        </w:rPr>
        <w:tab/>
      </w:r>
      <w:r w:rsidRPr="004E75DE">
        <w:rPr>
          <w:rStyle w:val="SCCCounselNameChar"/>
          <w:lang w:val="fr-CA"/>
        </w:rPr>
        <w:t>Claire E. Hunter</w:t>
      </w:r>
      <w:r w:rsidRPr="004E75DE">
        <w:rPr>
          <w:rStyle w:val="SCCCounselSeparatorChar"/>
          <w:lang w:val="fr-CA"/>
        </w:rPr>
        <w:t xml:space="preserve">, </w:t>
      </w:r>
      <w:r w:rsidRPr="004E75DE">
        <w:rPr>
          <w:rStyle w:val="SCCCounselNameChar"/>
          <w:lang w:val="fr-CA"/>
        </w:rPr>
        <w:t>Eileen Patel</w:t>
      </w:r>
      <w:r w:rsidRPr="004E75DE">
        <w:rPr>
          <w:rStyle w:val="SCCCounselNameChar"/>
          <w:i w:val="0"/>
          <w:lang w:val="fr-CA"/>
        </w:rPr>
        <w:t xml:space="preserve"> et </w:t>
      </w:r>
      <w:r w:rsidRPr="004E75DE">
        <w:rPr>
          <w:rStyle w:val="SCCCounselNameChar"/>
          <w:lang w:val="fr-CA"/>
        </w:rPr>
        <w:t>Nigel Marshman</w:t>
      </w:r>
      <w:r w:rsidR="00222DB8" w:rsidRPr="004E75DE">
        <w:rPr>
          <w:rStyle w:val="SCCCounselPartyRoleChar"/>
          <w:lang w:val="fr-CA"/>
        </w:rPr>
        <w:t>, pour l</w:t>
      </w:r>
      <w:r w:rsidR="00AE5E90">
        <w:rPr>
          <w:rStyle w:val="SCCCounselPartyRoleChar"/>
          <w:lang w:val="fr-CA"/>
        </w:rPr>
        <w:t>’</w:t>
      </w:r>
      <w:r w:rsidR="00222DB8" w:rsidRPr="004E75DE">
        <w:rPr>
          <w:rStyle w:val="SCCCounselPartyRoleChar"/>
          <w:lang w:val="fr-CA"/>
        </w:rPr>
        <w:t xml:space="preserve">intervenante </w:t>
      </w:r>
      <w:r w:rsidRPr="004E75DE">
        <w:rPr>
          <w:rStyle w:val="SCCCounselPartyRoleChar"/>
          <w:lang w:val="fr-CA"/>
        </w:rPr>
        <w:t>l</w:t>
      </w:r>
      <w:r w:rsidR="00AE5E90">
        <w:rPr>
          <w:rStyle w:val="SCCCounselPartyRoleChar"/>
          <w:lang w:val="fr-CA"/>
        </w:rPr>
        <w:t>’</w:t>
      </w:r>
      <w:r w:rsidRPr="004E75DE">
        <w:rPr>
          <w:lang w:val="fr-CA"/>
        </w:rPr>
        <w:t>Association des libertés civiles de la Colombie</w:t>
      </w:r>
      <w:r w:rsidR="00AE5E90">
        <w:rPr>
          <w:lang w:val="fr-CA"/>
        </w:rPr>
        <w:noBreakHyphen/>
      </w:r>
      <w:r w:rsidRPr="004E75DE">
        <w:rPr>
          <w:lang w:val="fr-CA"/>
        </w:rPr>
        <w:t>Britannique</w:t>
      </w:r>
      <w:r w:rsidR="00222DB8" w:rsidRPr="004E75DE">
        <w:rPr>
          <w:rStyle w:val="SCCCounselPartyRoleChar"/>
          <w:lang w:val="fr-CA"/>
        </w:rPr>
        <w:t>.</w:t>
      </w:r>
    </w:p>
    <w:p w:rsidR="00883B02" w:rsidRPr="004E75DE" w:rsidRDefault="00A67929" w:rsidP="00926B45">
      <w:pPr>
        <w:pStyle w:val="SCCNormalDoubleSpacing"/>
        <w:widowControl w:val="0"/>
        <w:spacing w:after="480"/>
        <w:rPr>
          <w:lang w:val="fr-CA"/>
        </w:rPr>
      </w:pPr>
      <w:r w:rsidRPr="004E75DE">
        <w:rPr>
          <w:rStyle w:val="SCCCounselNameChar"/>
          <w:i w:val="0"/>
          <w:lang w:val="fr-CA"/>
        </w:rPr>
        <w:lastRenderedPageBreak/>
        <w:tab/>
      </w:r>
      <w:r w:rsidRPr="004E75DE">
        <w:rPr>
          <w:rStyle w:val="SCCCounselNameChar"/>
          <w:lang w:val="fr-CA"/>
        </w:rPr>
        <w:t>Alan L. W. D</w:t>
      </w:r>
      <w:r w:rsidR="00AE5E90">
        <w:rPr>
          <w:rStyle w:val="SCCCounselNameChar"/>
          <w:lang w:val="fr-CA"/>
        </w:rPr>
        <w:t>’</w:t>
      </w:r>
      <w:r w:rsidRPr="004E75DE">
        <w:rPr>
          <w:rStyle w:val="SCCCounselNameChar"/>
          <w:lang w:val="fr-CA"/>
        </w:rPr>
        <w:t>Silva</w:t>
      </w:r>
      <w:r w:rsidRPr="004E75DE">
        <w:rPr>
          <w:rStyle w:val="SCCCounselPartyRoleChar"/>
          <w:lang w:val="fr-CA"/>
        </w:rPr>
        <w:t>,</w:t>
      </w:r>
      <w:r w:rsidRPr="004E75DE">
        <w:rPr>
          <w:rStyle w:val="SCCCounselSeparatorChar"/>
          <w:lang w:val="fr-CA"/>
        </w:rPr>
        <w:t xml:space="preserve"> </w:t>
      </w:r>
      <w:r w:rsidRPr="004E75DE">
        <w:rPr>
          <w:rStyle w:val="SCCCounselSeparatorChar"/>
          <w:i/>
          <w:lang w:val="fr-CA"/>
        </w:rPr>
        <w:t>Nicholas McHaffie</w:t>
      </w:r>
      <w:r w:rsidRPr="004E75DE">
        <w:rPr>
          <w:rStyle w:val="SCCCounselPartyRoleChar"/>
          <w:lang w:val="fr-CA"/>
        </w:rPr>
        <w:t xml:space="preserve"> et</w:t>
      </w:r>
      <w:r w:rsidRPr="004E75DE">
        <w:rPr>
          <w:rStyle w:val="SCCCounselSeparatorChar"/>
          <w:lang w:val="fr-CA"/>
        </w:rPr>
        <w:t xml:space="preserve"> </w:t>
      </w:r>
      <w:r w:rsidRPr="004E75DE">
        <w:rPr>
          <w:rStyle w:val="SCCCounselNameChar"/>
          <w:lang w:val="fr-CA"/>
        </w:rPr>
        <w:t>Alexandra Urbanski</w:t>
      </w:r>
      <w:r w:rsidR="00222DB8" w:rsidRPr="004E75DE">
        <w:rPr>
          <w:rStyle w:val="SCCCounselPartyRoleChar"/>
          <w:lang w:val="fr-CA"/>
        </w:rPr>
        <w:t>, pour l</w:t>
      </w:r>
      <w:r w:rsidR="00AE5E90">
        <w:rPr>
          <w:rStyle w:val="SCCCounselPartyRoleChar"/>
          <w:lang w:val="fr-CA"/>
        </w:rPr>
        <w:t>’</w:t>
      </w:r>
      <w:r w:rsidR="00222DB8" w:rsidRPr="004E75DE">
        <w:rPr>
          <w:rStyle w:val="SCCCounselPartyRoleChar"/>
          <w:lang w:val="fr-CA"/>
        </w:rPr>
        <w:t>intervenant</w:t>
      </w:r>
      <w:r w:rsidRPr="004E75DE">
        <w:rPr>
          <w:rStyle w:val="SCCCounselPartyRoleChar"/>
          <w:lang w:val="fr-CA"/>
        </w:rPr>
        <w:t xml:space="preserve"> le</w:t>
      </w:r>
      <w:r w:rsidR="00222DB8" w:rsidRPr="004E75DE">
        <w:rPr>
          <w:rStyle w:val="SCCCounselPartyRoleChar"/>
          <w:lang w:val="fr-CA"/>
        </w:rPr>
        <w:t xml:space="preserve"> </w:t>
      </w:r>
      <w:r w:rsidRPr="004E75DE">
        <w:rPr>
          <w:lang w:val="fr-CA"/>
        </w:rPr>
        <w:t>Bureau d</w:t>
      </w:r>
      <w:r w:rsidR="00AE5E90">
        <w:rPr>
          <w:lang w:val="fr-CA"/>
        </w:rPr>
        <w:t>’</w:t>
      </w:r>
      <w:r w:rsidRPr="004E75DE">
        <w:rPr>
          <w:lang w:val="fr-CA"/>
        </w:rPr>
        <w:t>assurance du Canada</w:t>
      </w:r>
      <w:r w:rsidR="00222DB8" w:rsidRPr="004E75DE">
        <w:rPr>
          <w:rStyle w:val="SCCCounselPartyRoleChar"/>
          <w:lang w:val="fr-CA"/>
        </w:rPr>
        <w:t>.</w:t>
      </w:r>
    </w:p>
    <w:p w:rsidR="00883B02" w:rsidRPr="004E75DE" w:rsidRDefault="00A67929" w:rsidP="00926B45">
      <w:pPr>
        <w:pStyle w:val="SCCNormalDoubleSpacing"/>
        <w:widowControl w:val="0"/>
        <w:spacing w:after="480"/>
        <w:rPr>
          <w:lang w:val="fr-CA"/>
        </w:rPr>
      </w:pPr>
      <w:r w:rsidRPr="004E75DE">
        <w:rPr>
          <w:rStyle w:val="SCCCounselNameChar"/>
          <w:i w:val="0"/>
          <w:lang w:val="fr-CA"/>
        </w:rPr>
        <w:tab/>
      </w:r>
      <w:r w:rsidRPr="004E75DE">
        <w:rPr>
          <w:rStyle w:val="SCCCounselNameChar"/>
          <w:lang w:val="fr-CA"/>
        </w:rPr>
        <w:t>Shannon Prithipaul</w:t>
      </w:r>
      <w:r w:rsidRPr="004E75DE">
        <w:rPr>
          <w:rStyle w:val="SCCCounselPartyRoleChar"/>
          <w:lang w:val="fr-CA"/>
        </w:rPr>
        <w:t xml:space="preserve">, </w:t>
      </w:r>
      <w:r w:rsidRPr="004E75DE">
        <w:rPr>
          <w:rStyle w:val="SCCCounselNameChar"/>
          <w:lang w:val="fr-CA"/>
        </w:rPr>
        <w:t>Ian Savage</w:t>
      </w:r>
      <w:r w:rsidRPr="004E75DE">
        <w:rPr>
          <w:rStyle w:val="SCCCounselNameChar"/>
          <w:i w:val="0"/>
          <w:lang w:val="fr-CA"/>
        </w:rPr>
        <w:t xml:space="preserve"> et</w:t>
      </w:r>
      <w:r w:rsidRPr="004E75DE">
        <w:rPr>
          <w:rStyle w:val="SCCCounselSeparatorChar"/>
          <w:lang w:val="fr-CA"/>
        </w:rPr>
        <w:t xml:space="preserve"> </w:t>
      </w:r>
      <w:r w:rsidRPr="004E75DE">
        <w:rPr>
          <w:rStyle w:val="SCCCounselNameChar"/>
          <w:lang w:val="fr-CA"/>
        </w:rPr>
        <w:t>Michael Oykhman</w:t>
      </w:r>
      <w:r w:rsidR="00222DB8" w:rsidRPr="004E75DE">
        <w:rPr>
          <w:rStyle w:val="SCCCounselPartyRoleChar"/>
          <w:lang w:val="fr-CA"/>
        </w:rPr>
        <w:t>, pour l</w:t>
      </w:r>
      <w:r w:rsidRPr="004E75DE">
        <w:rPr>
          <w:rStyle w:val="SCCCounselPartyRoleChar"/>
          <w:lang w:val="fr-CA"/>
        </w:rPr>
        <w:t xml:space="preserve">es </w:t>
      </w:r>
      <w:r w:rsidR="00222DB8" w:rsidRPr="004E75DE">
        <w:rPr>
          <w:rStyle w:val="SCCCounselPartyRoleChar"/>
          <w:lang w:val="fr-CA"/>
        </w:rPr>
        <w:t>intervenante</w:t>
      </w:r>
      <w:r w:rsidRPr="004E75DE">
        <w:rPr>
          <w:rStyle w:val="SCCCounselPartyRoleChar"/>
          <w:lang w:val="fr-CA"/>
        </w:rPr>
        <w:t>s</w:t>
      </w:r>
      <w:r w:rsidR="00222DB8" w:rsidRPr="004E75DE">
        <w:rPr>
          <w:rStyle w:val="SCCCounselPartyRoleChar"/>
          <w:lang w:val="fr-CA"/>
        </w:rPr>
        <w:t xml:space="preserve"> Criminal Trial Lawyers</w:t>
      </w:r>
      <w:r w:rsidR="00AE5E90">
        <w:rPr>
          <w:rStyle w:val="SCCCounselPartyRoleChar"/>
          <w:lang w:val="fr-CA"/>
        </w:rPr>
        <w:t>’</w:t>
      </w:r>
      <w:r w:rsidRPr="004E75DE">
        <w:rPr>
          <w:rStyle w:val="SCCCounselPartyRoleChar"/>
          <w:lang w:val="fr-CA"/>
        </w:rPr>
        <w:t xml:space="preserve"> Association (Alberta) et</w:t>
      </w:r>
      <w:r w:rsidR="00222DB8" w:rsidRPr="004E75DE">
        <w:rPr>
          <w:rStyle w:val="SCCCounselPartyRoleChar"/>
          <w:lang w:val="fr-CA"/>
        </w:rPr>
        <w:t xml:space="preserve"> Criminal Defence Lawyers Association (Calgary).</w:t>
      </w:r>
    </w:p>
    <w:p w:rsidR="00883B02" w:rsidRPr="00897082" w:rsidRDefault="00A67929" w:rsidP="00926B45">
      <w:pPr>
        <w:pStyle w:val="SCCNormalDoubleSpacing"/>
        <w:widowControl w:val="0"/>
        <w:spacing w:after="480"/>
        <w:rPr>
          <w:lang w:val="en-US"/>
        </w:rPr>
      </w:pPr>
      <w:r w:rsidRPr="004E75DE">
        <w:rPr>
          <w:rStyle w:val="SCCCounselNameChar"/>
          <w:i w:val="0"/>
          <w:lang w:val="fr-CA"/>
        </w:rPr>
        <w:tab/>
      </w:r>
      <w:r w:rsidRPr="00897082">
        <w:rPr>
          <w:rStyle w:val="SCCCounselNameChar"/>
          <w:lang w:val="en-US"/>
        </w:rPr>
        <w:t>Michael Lacy</w:t>
      </w:r>
      <w:r w:rsidRPr="00897082">
        <w:rPr>
          <w:rStyle w:val="SCCCounselSeparatorChar"/>
          <w:lang w:val="en-US"/>
        </w:rPr>
        <w:t xml:space="preserve">, </w:t>
      </w:r>
      <w:r w:rsidRPr="00897082">
        <w:rPr>
          <w:rStyle w:val="SCCCounselNameChar"/>
          <w:lang w:val="en-US"/>
        </w:rPr>
        <w:t>Joanna Baron</w:t>
      </w:r>
      <w:r w:rsidRPr="00897082">
        <w:rPr>
          <w:rStyle w:val="SCCCounselSeparatorChar"/>
          <w:lang w:val="en-US"/>
        </w:rPr>
        <w:t xml:space="preserve"> et </w:t>
      </w:r>
      <w:r w:rsidRPr="00897082">
        <w:rPr>
          <w:rStyle w:val="SCCCounselNameChar"/>
          <w:lang w:val="en-US"/>
        </w:rPr>
        <w:t>Andrew Burgess</w:t>
      </w:r>
      <w:r w:rsidR="00222DB8" w:rsidRPr="00897082">
        <w:rPr>
          <w:rStyle w:val="SCCCounselPartyRoleChar"/>
          <w:lang w:val="en-US"/>
        </w:rPr>
        <w:t>, pour l</w:t>
      </w:r>
      <w:r w:rsidR="00AE5E90">
        <w:rPr>
          <w:rStyle w:val="SCCCounselPartyRoleChar"/>
          <w:lang w:val="en-US"/>
        </w:rPr>
        <w:t>’</w:t>
      </w:r>
      <w:r w:rsidR="00222DB8" w:rsidRPr="00897082">
        <w:rPr>
          <w:rStyle w:val="SCCCounselPartyRoleChar"/>
          <w:lang w:val="en-US"/>
        </w:rPr>
        <w:t>intervenante Criminal Lawyers</w:t>
      </w:r>
      <w:r w:rsidR="00AE5E90">
        <w:rPr>
          <w:rStyle w:val="SCCCounselPartyRoleChar"/>
          <w:lang w:val="en-US"/>
        </w:rPr>
        <w:t>’</w:t>
      </w:r>
      <w:r w:rsidR="00222DB8" w:rsidRPr="00897082">
        <w:rPr>
          <w:rStyle w:val="SCCCounselPartyRoleChar"/>
          <w:lang w:val="en-US"/>
        </w:rPr>
        <w:t xml:space="preserve"> Association of Ontario.</w:t>
      </w:r>
    </w:p>
    <w:p w:rsidR="00883B02" w:rsidRPr="00897082" w:rsidRDefault="00222DB8" w:rsidP="00926B45">
      <w:pPr>
        <w:pStyle w:val="SCCNormalDoubleSpacing"/>
        <w:widowControl w:val="0"/>
        <w:spacing w:after="480"/>
        <w:rPr>
          <w:lang w:val="en-US"/>
        </w:rPr>
      </w:pPr>
      <w:r w:rsidRPr="00897082">
        <w:rPr>
          <w:rStyle w:val="SCCCounselNameChar"/>
          <w:i w:val="0"/>
          <w:lang w:val="en-US"/>
        </w:rPr>
        <w:tab/>
      </w:r>
      <w:r w:rsidRPr="00897082">
        <w:rPr>
          <w:rStyle w:val="SCCCounselNameChar"/>
          <w:lang w:val="en-US"/>
        </w:rPr>
        <w:t>Sean McDonough</w:t>
      </w:r>
      <w:r w:rsidRPr="00897082">
        <w:rPr>
          <w:rStyle w:val="SCCCounselPartyRoleChar"/>
          <w:lang w:val="en-US"/>
        </w:rPr>
        <w:t>, pour l</w:t>
      </w:r>
      <w:r w:rsidR="00AE5E90">
        <w:rPr>
          <w:rStyle w:val="SCCCounselPartyRoleChar"/>
          <w:lang w:val="en-US"/>
        </w:rPr>
        <w:t>’</w:t>
      </w:r>
      <w:r w:rsidRPr="00897082">
        <w:rPr>
          <w:rStyle w:val="SCCCounselPartyRoleChar"/>
          <w:lang w:val="en-US"/>
        </w:rPr>
        <w:t>intervenant Alberta Registrar of Motor Vehicle Services.</w:t>
      </w:r>
    </w:p>
    <w:p w:rsidR="00883B02" w:rsidRPr="004E75DE" w:rsidRDefault="00B67C98" w:rsidP="00926B45">
      <w:pPr>
        <w:pStyle w:val="SCCNormalDoubleSpacing"/>
        <w:widowControl w:val="0"/>
        <w:spacing w:after="480"/>
        <w:rPr>
          <w:lang w:val="fr-CA"/>
        </w:rPr>
      </w:pPr>
      <w:r w:rsidRPr="00897082">
        <w:rPr>
          <w:rStyle w:val="SCCCounselNameChar"/>
          <w:i w:val="0"/>
          <w:lang w:val="en-US"/>
        </w:rPr>
        <w:tab/>
      </w:r>
      <w:r w:rsidRPr="004E75DE">
        <w:rPr>
          <w:rStyle w:val="SCCCounselNameChar"/>
          <w:lang w:val="fr-CA"/>
        </w:rPr>
        <w:t>Bryant Mackey</w:t>
      </w:r>
      <w:r w:rsidRPr="004E75DE">
        <w:rPr>
          <w:rStyle w:val="SCCCounselSeparatorChar"/>
          <w:lang w:val="fr-CA"/>
        </w:rPr>
        <w:t xml:space="preserve">, </w:t>
      </w:r>
      <w:r w:rsidRPr="004E75DE">
        <w:rPr>
          <w:rStyle w:val="SCCCounselSeparatorChar"/>
          <w:i/>
          <w:lang w:val="fr-CA"/>
        </w:rPr>
        <w:t>Guy Régimbald</w:t>
      </w:r>
      <w:r w:rsidRPr="004E75DE">
        <w:rPr>
          <w:rStyle w:val="SCCCounselSeparatorChar"/>
          <w:lang w:val="fr-CA"/>
        </w:rPr>
        <w:t xml:space="preserve"> et </w:t>
      </w:r>
      <w:r w:rsidRPr="004E75DE">
        <w:rPr>
          <w:rStyle w:val="SCCCounselNameChar"/>
          <w:lang w:val="fr-CA"/>
        </w:rPr>
        <w:t>Matthew Estabrooks</w:t>
      </w:r>
      <w:r w:rsidR="00222DB8" w:rsidRPr="004E75DE">
        <w:rPr>
          <w:rStyle w:val="SCCCounselPartyRoleChar"/>
          <w:lang w:val="fr-CA"/>
        </w:rPr>
        <w:t>, pour l</w:t>
      </w:r>
      <w:r w:rsidR="00AE5E90">
        <w:rPr>
          <w:rStyle w:val="SCCCounselPartyRoleChar"/>
          <w:lang w:val="fr-CA"/>
        </w:rPr>
        <w:t>’</w:t>
      </w:r>
      <w:r w:rsidR="00222DB8" w:rsidRPr="004E75DE">
        <w:rPr>
          <w:rStyle w:val="SCCCounselPartyRoleChar"/>
          <w:lang w:val="fr-CA"/>
        </w:rPr>
        <w:t xml:space="preserve">intervenante </w:t>
      </w:r>
      <w:r w:rsidRPr="004E75DE">
        <w:rPr>
          <w:lang w:val="fr-CA"/>
        </w:rPr>
        <w:t>Les mères contre l</w:t>
      </w:r>
      <w:r w:rsidR="00AE5E90">
        <w:rPr>
          <w:lang w:val="fr-CA"/>
        </w:rPr>
        <w:t>’</w:t>
      </w:r>
      <w:r w:rsidRPr="004E75DE">
        <w:rPr>
          <w:lang w:val="fr-CA"/>
        </w:rPr>
        <w:t>alcool au volant Canada</w:t>
      </w:r>
      <w:r w:rsidR="00222DB8" w:rsidRPr="004E75DE">
        <w:rPr>
          <w:rStyle w:val="SCCCounselPartyRoleChar"/>
          <w:lang w:val="fr-CA"/>
        </w:rPr>
        <w:t>.</w:t>
      </w:r>
    </w:p>
    <w:p w:rsidR="00065721" w:rsidRDefault="00825613" w:rsidP="00926B45">
      <w:pPr>
        <w:pStyle w:val="SCCNormalDoubleSpacing"/>
        <w:widowControl w:val="0"/>
        <w:spacing w:after="480"/>
        <w:rPr>
          <w:lang w:val="fr-CA"/>
        </w:rPr>
      </w:pPr>
      <w:r>
        <w:rPr>
          <w:lang w:val="fr-CA"/>
        </w:rPr>
        <w:tab/>
        <w:t>Version française du jugement des juges Cromwell, Moldaver, Karakatsanis, Wagner, Gascon et Côté rendu par</w:t>
      </w:r>
    </w:p>
    <w:p w:rsidR="00065721" w:rsidRPr="00E13D0A" w:rsidRDefault="00065721" w:rsidP="00926B45">
      <w:pPr>
        <w:pStyle w:val="JudgeJuge"/>
        <w:widowControl w:val="0"/>
        <w:spacing w:before="480"/>
        <w:rPr>
          <w:lang w:val="fr-CA"/>
        </w:rPr>
      </w:pPr>
      <w:r w:rsidRPr="00E13D0A">
        <w:rPr>
          <w:lang w:val="fr-CA"/>
        </w:rPr>
        <w:tab/>
        <w:t xml:space="preserve">La juge Karakatsanis — </w:t>
      </w:r>
    </w:p>
    <w:p w:rsidR="00065721" w:rsidRPr="00E13D0A" w:rsidRDefault="00065721" w:rsidP="00926B45">
      <w:pPr>
        <w:pStyle w:val="Title1LevelTitre1Niveau-AltL"/>
        <w:widowControl w:val="0"/>
        <w:rPr>
          <w:rFonts w:cs="Times New Roman"/>
          <w:lang w:val="fr-CA"/>
        </w:rPr>
      </w:pPr>
      <w:r w:rsidRPr="00E13D0A">
        <w:rPr>
          <w:rFonts w:cs="Times New Roman"/>
          <w:lang w:val="fr-CA"/>
        </w:rPr>
        <w:t>Introduction</w:t>
      </w:r>
    </w:p>
    <w:p w:rsidR="00065721" w:rsidRPr="00E13D0A" w:rsidRDefault="00065721" w:rsidP="00926B45">
      <w:pPr>
        <w:pStyle w:val="ParaNoNdepar-AltN"/>
        <w:widowControl w:val="0"/>
        <w:rPr>
          <w:rFonts w:cs="Times New Roman"/>
          <w:lang w:val="fr-CA"/>
        </w:rPr>
      </w:pPr>
      <w:r w:rsidRPr="00E13D0A">
        <w:rPr>
          <w:rFonts w:cs="Times New Roman"/>
          <w:lang w:val="fr-CA"/>
        </w:rPr>
        <w:t xml:space="preserve">Les conséquences dévastatrices de la conduite avec facultés affaiblies se font sentir dans toute la société canadienne. La conduite avec facultés affaiblies rend </w:t>
      </w:r>
      <w:r w:rsidRPr="00E13D0A">
        <w:rPr>
          <w:rFonts w:cs="Times New Roman"/>
          <w:lang w:val="fr-CA"/>
        </w:rPr>
        <w:lastRenderedPageBreak/>
        <w:t>les routes dangereuses, détruit des vies et entraîne des coûts pour l</w:t>
      </w:r>
      <w:r>
        <w:rPr>
          <w:rFonts w:cs="Times New Roman"/>
          <w:lang w:val="fr-CA"/>
        </w:rPr>
        <w:t>’</w:t>
      </w:r>
      <w:r w:rsidRPr="00E13D0A">
        <w:rPr>
          <w:rFonts w:cs="Times New Roman"/>
          <w:lang w:val="fr-CA"/>
        </w:rPr>
        <w:t xml:space="preserve">ensemble du système de santé. Les gouvernements fédéral et provinciaux ont tous fait face à ce danger pressant. Le gouvernement fédéral a érigé en infractions au </w:t>
      </w:r>
      <w:r w:rsidRPr="00E13D0A">
        <w:rPr>
          <w:rFonts w:cs="Times New Roman"/>
          <w:i/>
          <w:lang w:val="fr-CA"/>
        </w:rPr>
        <w:t>Code criminel</w:t>
      </w:r>
      <w:r w:rsidRPr="00E13D0A">
        <w:rPr>
          <w:rFonts w:cs="Times New Roman"/>
          <w:lang w:val="fr-CA"/>
        </w:rPr>
        <w:t>, L.R.C. 1985, c. C</w:t>
      </w:r>
      <w:r>
        <w:rPr>
          <w:rFonts w:cs="Times New Roman"/>
          <w:lang w:val="fr-CA"/>
        </w:rPr>
        <w:noBreakHyphen/>
      </w:r>
      <w:r w:rsidRPr="00E13D0A">
        <w:rPr>
          <w:rFonts w:cs="Times New Roman"/>
          <w:lang w:val="fr-CA"/>
        </w:rPr>
        <w:t>46, la conduite avec facultés affaiblies et la conduite avec une alcoolémie supérieure à 0,08. Partout au Canada, les gouvernements provinciaux se sont également attaqués à cet enjeu par leurs dispositions législatives régissant la délivrance des permis de conduire.</w:t>
      </w:r>
    </w:p>
    <w:p w:rsidR="00065721" w:rsidRPr="00E13D0A" w:rsidRDefault="00065721" w:rsidP="00926B45">
      <w:pPr>
        <w:pStyle w:val="ParaNoNdepar-AltN"/>
        <w:widowControl w:val="0"/>
        <w:rPr>
          <w:rFonts w:cs="Times New Roman"/>
          <w:lang w:val="fr-CA"/>
        </w:rPr>
      </w:pPr>
      <w:r w:rsidRPr="00E13D0A">
        <w:rPr>
          <w:rFonts w:cs="Times New Roman"/>
          <w:lang w:val="fr-CA"/>
        </w:rPr>
        <w:t>En 2010, la Colombie</w:t>
      </w:r>
      <w:r>
        <w:rPr>
          <w:rFonts w:cs="Times New Roman"/>
          <w:lang w:val="fr-CA"/>
        </w:rPr>
        <w:noBreakHyphen/>
      </w:r>
      <w:r w:rsidRPr="00E13D0A">
        <w:rPr>
          <w:rFonts w:cs="Times New Roman"/>
          <w:lang w:val="fr-CA"/>
        </w:rPr>
        <w:t>Britannique a créé le régime d</w:t>
      </w:r>
      <w:r>
        <w:rPr>
          <w:rFonts w:cs="Times New Roman"/>
          <w:lang w:val="fr-CA"/>
        </w:rPr>
        <w:t>’</w:t>
      </w:r>
      <w:r w:rsidRPr="00E13D0A">
        <w:rPr>
          <w:rFonts w:cs="Times New Roman"/>
          <w:lang w:val="fr-CA"/>
        </w:rPr>
        <w:t>interdiction automatique de conduire (RIAC). Ce régime représente le prolongement des efforts déployés depuis longtemps par la Colombie</w:t>
      </w:r>
      <w:r>
        <w:rPr>
          <w:rFonts w:cs="Times New Roman"/>
          <w:lang w:val="fr-CA"/>
        </w:rPr>
        <w:noBreakHyphen/>
      </w:r>
      <w:r w:rsidRPr="00E13D0A">
        <w:rPr>
          <w:rFonts w:cs="Times New Roman"/>
          <w:lang w:val="fr-CA"/>
        </w:rPr>
        <w:t>Britannique pour chasser les conducteurs aux facultés affaiblies de ses routes par l</w:t>
      </w:r>
      <w:r>
        <w:rPr>
          <w:rFonts w:cs="Times New Roman"/>
          <w:lang w:val="fr-CA"/>
        </w:rPr>
        <w:t>’</w:t>
      </w:r>
      <w:r w:rsidRPr="00E13D0A">
        <w:rPr>
          <w:rFonts w:cs="Times New Roman"/>
          <w:lang w:val="fr-CA"/>
        </w:rPr>
        <w:t>imposition de suspensions de permis, de sanctions et de programmes correctifs.</w:t>
      </w:r>
    </w:p>
    <w:p w:rsidR="00065721" w:rsidRPr="00E13D0A" w:rsidRDefault="00065721" w:rsidP="00926B45">
      <w:pPr>
        <w:pStyle w:val="ParaNoNdepar-AltN"/>
        <w:widowControl w:val="0"/>
        <w:rPr>
          <w:rFonts w:cs="Times New Roman"/>
          <w:lang w:val="fr-CA"/>
        </w:rPr>
      </w:pPr>
      <w:r w:rsidRPr="00E13D0A">
        <w:rPr>
          <w:rFonts w:cs="Times New Roman"/>
          <w:lang w:val="fr-CA"/>
        </w:rPr>
        <w:t>Dans le premier pourvoi, Richard Goodwin, qui a été condamné à une interdiction de conduire en application de ce nouveau RIAC, prie la Cour de décider s</w:t>
      </w:r>
      <w:r>
        <w:rPr>
          <w:rFonts w:cs="Times New Roman"/>
          <w:lang w:val="fr-CA"/>
        </w:rPr>
        <w:t>’</w:t>
      </w:r>
      <w:r w:rsidRPr="00E13D0A">
        <w:rPr>
          <w:rFonts w:cs="Times New Roman"/>
          <w:lang w:val="fr-CA"/>
        </w:rPr>
        <w:t>il excède la compétence législative de la province et empiète sur la compétence exclusive du gouvernement fédéral en matière de droit criminel (le pourvoi de M. Goodwin). Monsieur Goodwin nous demande aussi de déterminer si le régime provincial fait intervenir et viole la présomption d</w:t>
      </w:r>
      <w:r>
        <w:rPr>
          <w:rFonts w:cs="Times New Roman"/>
          <w:lang w:val="fr-CA"/>
        </w:rPr>
        <w:t>’</w:t>
      </w:r>
      <w:r w:rsidRPr="00E13D0A">
        <w:rPr>
          <w:rFonts w:cs="Times New Roman"/>
          <w:lang w:val="fr-CA"/>
        </w:rPr>
        <w:t>innocence garantie par l</w:t>
      </w:r>
      <w:r>
        <w:rPr>
          <w:rFonts w:cs="Times New Roman"/>
          <w:lang w:val="fr-CA"/>
        </w:rPr>
        <w:t>’art. </w:t>
      </w:r>
      <w:r w:rsidRPr="00E13D0A">
        <w:rPr>
          <w:rFonts w:cs="Times New Roman"/>
          <w:lang w:val="fr-CA"/>
        </w:rPr>
        <w:t xml:space="preserve">11 de la </w:t>
      </w:r>
      <w:r w:rsidRPr="00E13D0A">
        <w:rPr>
          <w:rFonts w:cs="Times New Roman"/>
          <w:i/>
          <w:lang w:val="fr-CA"/>
        </w:rPr>
        <w:t>Charte canadienne des droits et libertés</w:t>
      </w:r>
      <w:r w:rsidRPr="00E13D0A">
        <w:rPr>
          <w:rFonts w:cs="Times New Roman"/>
          <w:lang w:val="fr-CA"/>
        </w:rPr>
        <w:t>. Le deuxième pourvoi a été interjeté par la Colombie</w:t>
      </w:r>
      <w:r>
        <w:rPr>
          <w:rFonts w:cs="Times New Roman"/>
          <w:lang w:val="fr-CA"/>
        </w:rPr>
        <w:noBreakHyphen/>
      </w:r>
      <w:r w:rsidRPr="00E13D0A">
        <w:rPr>
          <w:rFonts w:cs="Times New Roman"/>
          <w:lang w:val="fr-CA"/>
        </w:rPr>
        <w:t>Britannique (Superintendent of Motor Vehicles) (« Surintendant ») et le procureur général de cette province (collectivement la Province). Il soulève la question de savoir si le RIAC fait intervenir et viole la protection offerte par l</w:t>
      </w:r>
      <w:r>
        <w:rPr>
          <w:rFonts w:cs="Times New Roman"/>
          <w:lang w:val="fr-CA"/>
        </w:rPr>
        <w:t>’art. </w:t>
      </w:r>
      <w:r w:rsidRPr="00E13D0A">
        <w:rPr>
          <w:rFonts w:cs="Times New Roman"/>
          <w:lang w:val="fr-CA"/>
        </w:rPr>
        <w:t xml:space="preserve">8 contre les </w:t>
      </w:r>
      <w:r w:rsidRPr="00E13D0A">
        <w:rPr>
          <w:rFonts w:cs="Times New Roman"/>
          <w:lang w:val="fr-CA"/>
        </w:rPr>
        <w:lastRenderedPageBreak/>
        <w:t>fouilles, perquisitions et saisies abusives (le pourvoi de la Province).</w:t>
      </w:r>
    </w:p>
    <w:p w:rsidR="00065721" w:rsidRPr="00E13D0A" w:rsidRDefault="00065721" w:rsidP="00926B45">
      <w:pPr>
        <w:pStyle w:val="ParaNoNdepar-AltN"/>
        <w:widowControl w:val="0"/>
        <w:rPr>
          <w:rFonts w:cs="Times New Roman"/>
          <w:lang w:val="fr-CA"/>
        </w:rPr>
      </w:pPr>
      <w:r w:rsidRPr="00E13D0A">
        <w:rPr>
          <w:rFonts w:cs="Times New Roman"/>
          <w:lang w:val="fr-CA"/>
        </w:rPr>
        <w:t>Comme je l</w:t>
      </w:r>
      <w:r>
        <w:rPr>
          <w:rFonts w:cs="Times New Roman"/>
          <w:lang w:val="fr-CA"/>
        </w:rPr>
        <w:t>’</w:t>
      </w:r>
      <w:r w:rsidRPr="00E13D0A">
        <w:rPr>
          <w:rFonts w:cs="Times New Roman"/>
          <w:lang w:val="fr-CA"/>
        </w:rPr>
        <w:t>expliquerai, je suis d</w:t>
      </w:r>
      <w:r>
        <w:rPr>
          <w:rFonts w:cs="Times New Roman"/>
          <w:lang w:val="fr-CA"/>
        </w:rPr>
        <w:t>’</w:t>
      </w:r>
      <w:r w:rsidRPr="00E13D0A">
        <w:rPr>
          <w:rFonts w:cs="Times New Roman"/>
          <w:lang w:val="fr-CA"/>
        </w:rPr>
        <w:t>accord avec les tribunaux d</w:t>
      </w:r>
      <w:r>
        <w:rPr>
          <w:rFonts w:cs="Times New Roman"/>
          <w:lang w:val="fr-CA"/>
        </w:rPr>
        <w:t>’</w:t>
      </w:r>
      <w:r w:rsidRPr="00E13D0A">
        <w:rPr>
          <w:rFonts w:cs="Times New Roman"/>
          <w:lang w:val="fr-CA"/>
        </w:rPr>
        <w:t>instance inférieure. Le RIAC constitue de la législation provinciale valide. Qui plus est, l</w:t>
      </w:r>
      <w:r>
        <w:rPr>
          <w:rFonts w:cs="Times New Roman"/>
          <w:lang w:val="fr-CA"/>
        </w:rPr>
        <w:t>’</w:t>
      </w:r>
      <w:r w:rsidRPr="00E13D0A">
        <w:rPr>
          <w:rFonts w:cs="Times New Roman"/>
          <w:lang w:val="fr-CA"/>
        </w:rPr>
        <w:t>art</w:t>
      </w:r>
      <w:r w:rsidR="00825613">
        <w:rPr>
          <w:rFonts w:cs="Times New Roman"/>
          <w:lang w:val="fr-CA"/>
        </w:rPr>
        <w:t>.</w:t>
      </w:r>
      <w:r w:rsidRPr="00E13D0A">
        <w:rPr>
          <w:rFonts w:cs="Times New Roman"/>
          <w:lang w:val="fr-CA"/>
        </w:rPr>
        <w:t xml:space="preserve"> 11 de la </w:t>
      </w:r>
      <w:r w:rsidRPr="00E13D0A">
        <w:rPr>
          <w:rFonts w:cs="Times New Roman"/>
          <w:i/>
          <w:lang w:val="fr-CA"/>
        </w:rPr>
        <w:t>Charte</w:t>
      </w:r>
      <w:r w:rsidRPr="00E13D0A">
        <w:rPr>
          <w:rFonts w:cs="Times New Roman"/>
          <w:lang w:val="fr-CA"/>
        </w:rPr>
        <w:t xml:space="preserve"> n</w:t>
      </w:r>
      <w:r>
        <w:rPr>
          <w:rFonts w:cs="Times New Roman"/>
          <w:lang w:val="fr-CA"/>
        </w:rPr>
        <w:t>’</w:t>
      </w:r>
      <w:r w:rsidRPr="00E13D0A">
        <w:rPr>
          <w:rFonts w:cs="Times New Roman"/>
          <w:lang w:val="fr-CA"/>
        </w:rPr>
        <w:t>entre pas en jeu puisque le régime provincial ne crée pas une infraction. Je suis toutefois d</w:t>
      </w:r>
      <w:r>
        <w:rPr>
          <w:rFonts w:cs="Times New Roman"/>
          <w:lang w:val="fr-CA"/>
        </w:rPr>
        <w:t>’</w:t>
      </w:r>
      <w:r w:rsidRPr="00E13D0A">
        <w:rPr>
          <w:rFonts w:cs="Times New Roman"/>
          <w:lang w:val="fr-CA"/>
        </w:rPr>
        <w:t>avis de confirmer la conclusion du juge en chambre selon laquelle le régime en vigueur de septembre 2010 à juin 2012 violait les droits garantis par l</w:t>
      </w:r>
      <w:r>
        <w:rPr>
          <w:rFonts w:cs="Times New Roman"/>
          <w:lang w:val="fr-CA"/>
        </w:rPr>
        <w:t>’art. </w:t>
      </w:r>
      <w:r w:rsidRPr="00E13D0A">
        <w:rPr>
          <w:rFonts w:cs="Times New Roman"/>
          <w:lang w:val="fr-CA"/>
        </w:rPr>
        <w:t>8 aux conducteurs sommés de répondre à une demande d</w:t>
      </w:r>
      <w:r>
        <w:rPr>
          <w:rFonts w:cs="Times New Roman"/>
          <w:lang w:val="fr-CA"/>
        </w:rPr>
        <w:t>’</w:t>
      </w:r>
      <w:r w:rsidRPr="00E13D0A">
        <w:rPr>
          <w:rFonts w:cs="Times New Roman"/>
          <w:lang w:val="fr-CA"/>
        </w:rPr>
        <w:t>alcootest qui ont obtenu par la suite le résultat « échec » sur l</w:t>
      </w:r>
      <w:r>
        <w:rPr>
          <w:rFonts w:cs="Times New Roman"/>
          <w:lang w:val="fr-CA"/>
        </w:rPr>
        <w:t>’</w:t>
      </w:r>
      <w:r w:rsidRPr="00E13D0A">
        <w:rPr>
          <w:rFonts w:cs="Times New Roman"/>
          <w:lang w:val="fr-CA"/>
        </w:rPr>
        <w:t>appareil de détection approuvé (ADA), et n</w:t>
      </w:r>
      <w:r>
        <w:rPr>
          <w:rFonts w:cs="Times New Roman"/>
          <w:lang w:val="fr-CA"/>
        </w:rPr>
        <w:t>’</w:t>
      </w:r>
      <w:r w:rsidRPr="00E13D0A">
        <w:rPr>
          <w:rFonts w:cs="Times New Roman"/>
          <w:lang w:val="fr-CA"/>
        </w:rPr>
        <w:t>était pas sauvegardé par l</w:t>
      </w:r>
      <w:r>
        <w:rPr>
          <w:rFonts w:cs="Times New Roman"/>
          <w:lang w:val="fr-CA"/>
        </w:rPr>
        <w:t>’</w:t>
      </w:r>
      <w:r w:rsidRPr="00E13D0A">
        <w:rPr>
          <w:rFonts w:cs="Times New Roman"/>
          <w:lang w:val="fr-CA"/>
        </w:rPr>
        <w:t>article premier.</w:t>
      </w:r>
    </w:p>
    <w:p w:rsidR="00065721" w:rsidRPr="00E13D0A" w:rsidRDefault="00065721" w:rsidP="00926B45">
      <w:pPr>
        <w:pStyle w:val="Title1LevelTitre1Niveau-AltL"/>
        <w:widowControl w:val="0"/>
        <w:rPr>
          <w:rFonts w:cs="Times New Roman"/>
          <w:lang w:val="fr-CA"/>
        </w:rPr>
      </w:pPr>
      <w:r w:rsidRPr="00E13D0A">
        <w:rPr>
          <w:rFonts w:cs="Times New Roman"/>
          <w:lang w:val="fr-CA"/>
        </w:rPr>
        <w:t>Historique judiciaire</w:t>
      </w:r>
    </w:p>
    <w:p w:rsidR="00065721" w:rsidRPr="00E13D0A" w:rsidRDefault="00065721" w:rsidP="00926B45">
      <w:pPr>
        <w:pStyle w:val="ParaNoNdepar-AltN"/>
        <w:widowControl w:val="0"/>
        <w:rPr>
          <w:rFonts w:cs="Times New Roman"/>
          <w:lang w:val="fr-CA"/>
        </w:rPr>
      </w:pPr>
      <w:r w:rsidRPr="00E13D0A">
        <w:rPr>
          <w:rFonts w:cs="Times New Roman"/>
          <w:lang w:val="fr-CA"/>
        </w:rPr>
        <w:t>Chacun des conducteurs en cause dans le pourvoi de la Province a été condamné à une interdiction de conduire en application du RIAC en Colombie</w:t>
      </w:r>
      <w:r>
        <w:rPr>
          <w:rFonts w:cs="Times New Roman"/>
          <w:lang w:val="fr-CA"/>
        </w:rPr>
        <w:noBreakHyphen/>
      </w:r>
      <w:r w:rsidRPr="00E13D0A">
        <w:rPr>
          <w:rFonts w:cs="Times New Roman"/>
          <w:lang w:val="fr-CA"/>
        </w:rPr>
        <w:t>Britannique. Jamie Chisholm, Carol Beam et Scott Roberts ont fourni un échantillon d</w:t>
      </w:r>
      <w:r>
        <w:rPr>
          <w:rFonts w:cs="Times New Roman"/>
          <w:lang w:val="fr-CA"/>
        </w:rPr>
        <w:t>’</w:t>
      </w:r>
      <w:r w:rsidRPr="00E13D0A">
        <w:rPr>
          <w:rFonts w:cs="Times New Roman"/>
          <w:lang w:val="fr-CA"/>
        </w:rPr>
        <w:t>haleine dans un ADA et ont échoué au test. Monsieur Goodwin n</w:t>
      </w:r>
      <w:r>
        <w:rPr>
          <w:rFonts w:cs="Times New Roman"/>
          <w:lang w:val="fr-CA"/>
        </w:rPr>
        <w:t>’</w:t>
      </w:r>
      <w:r w:rsidRPr="00E13D0A">
        <w:rPr>
          <w:rFonts w:cs="Times New Roman"/>
          <w:lang w:val="fr-CA"/>
        </w:rPr>
        <w:t>a pas fourni un échantillon d</w:t>
      </w:r>
      <w:r>
        <w:rPr>
          <w:rFonts w:cs="Times New Roman"/>
          <w:lang w:val="fr-CA"/>
        </w:rPr>
        <w:t>’</w:t>
      </w:r>
      <w:r w:rsidRPr="00E13D0A">
        <w:rPr>
          <w:rFonts w:cs="Times New Roman"/>
          <w:lang w:val="fr-CA"/>
        </w:rPr>
        <w:t xml:space="preserve">haleine adéquat. Chacun des conducteurs a été condamné à une interdiction de conduire pendant 90 jours et a été contraint de payer des amendes et des frais. Leur véhicule a également été saisi pendant 30 jours. Trois des conducteurs ont aussi été contraints de participer à un programme correctif qui, selon le juge en chambre, est une sanction systématiquement imposée aux conducteurs ayant échoué au </w:t>
      </w:r>
      <w:r w:rsidRPr="00E13D0A">
        <w:rPr>
          <w:rFonts w:cs="Times New Roman"/>
          <w:lang w:val="fr-CA"/>
        </w:rPr>
        <w:lastRenderedPageBreak/>
        <w:t>test</w:t>
      </w:r>
      <w:r w:rsidRPr="00E13D0A">
        <w:rPr>
          <w:rStyle w:val="FootnoteReference"/>
          <w:rFonts w:cs="Times New Roman"/>
          <w:lang w:val="fr-CA"/>
        </w:rPr>
        <w:footnoteReference w:id="1"/>
      </w:r>
      <w:r w:rsidRPr="00E13D0A">
        <w:rPr>
          <w:rFonts w:cs="Times New Roman"/>
          <w:lang w:val="fr-CA"/>
        </w:rPr>
        <w:t>.</w:t>
      </w:r>
    </w:p>
    <w:p w:rsidR="00065721" w:rsidRPr="00E13D0A" w:rsidRDefault="00065721" w:rsidP="00926B45">
      <w:pPr>
        <w:pStyle w:val="ParaNoNdepar-AltN"/>
        <w:widowControl w:val="0"/>
        <w:rPr>
          <w:rFonts w:cs="Times New Roman"/>
          <w:lang w:val="fr-CA"/>
        </w:rPr>
      </w:pPr>
      <w:r w:rsidRPr="00E13D0A">
        <w:rPr>
          <w:rFonts w:cs="Times New Roman"/>
          <w:lang w:val="fr-CA"/>
        </w:rPr>
        <w:t>Devant la Cour suprême de la Colombie</w:t>
      </w:r>
      <w:r>
        <w:rPr>
          <w:rFonts w:cs="Times New Roman"/>
          <w:lang w:val="fr-CA"/>
        </w:rPr>
        <w:noBreakHyphen/>
      </w:r>
      <w:r w:rsidRPr="00E13D0A">
        <w:rPr>
          <w:rFonts w:cs="Times New Roman"/>
          <w:lang w:val="fr-CA"/>
        </w:rPr>
        <w:t>Britannique, les requérants ont fait valoir que le RIAC (1) excédait la compétence de la province; (2) violait l</w:t>
      </w:r>
      <w:r>
        <w:rPr>
          <w:rFonts w:cs="Times New Roman"/>
          <w:lang w:val="fr-CA"/>
        </w:rPr>
        <w:t>’al. </w:t>
      </w:r>
      <w:r w:rsidRPr="00E13D0A">
        <w:rPr>
          <w:rFonts w:cs="Times New Roman"/>
          <w:lang w:val="fr-CA"/>
        </w:rPr>
        <w:t>11</w:t>
      </w:r>
      <w:r w:rsidRPr="00E13D0A">
        <w:rPr>
          <w:rFonts w:cs="Times New Roman"/>
          <w:i/>
          <w:lang w:val="fr-CA"/>
        </w:rPr>
        <w:t>d</w:t>
      </w:r>
      <w:r w:rsidRPr="00E13D0A">
        <w:rPr>
          <w:rFonts w:cs="Times New Roman"/>
          <w:lang w:val="fr-CA"/>
        </w:rPr>
        <w:t xml:space="preserve">) de la </w:t>
      </w:r>
      <w:r w:rsidRPr="00E13D0A">
        <w:rPr>
          <w:rFonts w:cs="Times New Roman"/>
          <w:i/>
          <w:lang w:val="fr-CA"/>
        </w:rPr>
        <w:t>Charte</w:t>
      </w:r>
      <w:r w:rsidRPr="00E13D0A">
        <w:rPr>
          <w:rFonts w:cs="Times New Roman"/>
          <w:lang w:val="fr-CA"/>
        </w:rPr>
        <w:t>; (3) contrevenait à l</w:t>
      </w:r>
      <w:r>
        <w:rPr>
          <w:rFonts w:cs="Times New Roman"/>
          <w:lang w:val="fr-CA"/>
        </w:rPr>
        <w:t>’art. </w:t>
      </w:r>
      <w:r w:rsidRPr="00E13D0A">
        <w:rPr>
          <w:rFonts w:cs="Times New Roman"/>
          <w:lang w:val="fr-CA"/>
        </w:rPr>
        <w:t xml:space="preserve">8 de la </w:t>
      </w:r>
      <w:r w:rsidRPr="00E13D0A">
        <w:rPr>
          <w:rFonts w:cs="Times New Roman"/>
          <w:i/>
          <w:lang w:val="fr-CA"/>
        </w:rPr>
        <w:t>Charte</w:t>
      </w:r>
      <w:r w:rsidRPr="00E13D0A">
        <w:rPr>
          <w:rFonts w:cs="Times New Roman"/>
          <w:lang w:val="fr-CA"/>
        </w:rPr>
        <w:t>; (4) violait l</w:t>
      </w:r>
      <w:r>
        <w:rPr>
          <w:rFonts w:cs="Times New Roman"/>
          <w:lang w:val="fr-CA"/>
        </w:rPr>
        <w:t>’al. </w:t>
      </w:r>
      <w:r w:rsidRPr="00E13D0A">
        <w:rPr>
          <w:rFonts w:cs="Times New Roman"/>
          <w:lang w:val="fr-CA"/>
        </w:rPr>
        <w:t>10</w:t>
      </w:r>
      <w:r w:rsidRPr="00E13D0A">
        <w:rPr>
          <w:rFonts w:cs="Times New Roman"/>
          <w:i/>
          <w:lang w:val="fr-CA"/>
        </w:rPr>
        <w:t>b</w:t>
      </w:r>
      <w:r w:rsidRPr="00E13D0A">
        <w:rPr>
          <w:rFonts w:cs="Times New Roman"/>
          <w:lang w:val="fr-CA"/>
        </w:rPr>
        <w:t xml:space="preserve">) de la </w:t>
      </w:r>
      <w:r w:rsidRPr="00E13D0A">
        <w:rPr>
          <w:rFonts w:cs="Times New Roman"/>
          <w:i/>
          <w:lang w:val="fr-CA"/>
        </w:rPr>
        <w:t>Charte</w:t>
      </w:r>
      <w:r w:rsidRPr="00E13D0A">
        <w:rPr>
          <w:rFonts w:cs="Times New Roman"/>
          <w:lang w:val="fr-CA"/>
        </w:rPr>
        <w:t>; et que (5) ces violations n</w:t>
      </w:r>
      <w:r>
        <w:rPr>
          <w:rFonts w:cs="Times New Roman"/>
          <w:lang w:val="fr-CA"/>
        </w:rPr>
        <w:t>’</w:t>
      </w:r>
      <w:r w:rsidRPr="00E13D0A">
        <w:rPr>
          <w:rFonts w:cs="Times New Roman"/>
          <w:lang w:val="fr-CA"/>
        </w:rPr>
        <w:t>étaient pas justifiées au sens de l</w:t>
      </w:r>
      <w:r>
        <w:rPr>
          <w:rFonts w:cs="Times New Roman"/>
          <w:lang w:val="fr-CA"/>
        </w:rPr>
        <w:t>’</w:t>
      </w:r>
      <w:r w:rsidRPr="00E13D0A">
        <w:rPr>
          <w:rFonts w:cs="Times New Roman"/>
          <w:lang w:val="fr-CA"/>
        </w:rPr>
        <w:t xml:space="preserve">article premier de la </w:t>
      </w:r>
      <w:r w:rsidRPr="00E13D0A">
        <w:rPr>
          <w:rFonts w:cs="Times New Roman"/>
          <w:i/>
          <w:lang w:val="fr-CA"/>
        </w:rPr>
        <w:t>Charte</w:t>
      </w:r>
      <w:r w:rsidRPr="00E13D0A">
        <w:rPr>
          <w:rFonts w:cs="Times New Roman"/>
          <w:lang w:val="fr-CA"/>
        </w:rPr>
        <w:t>.</w:t>
      </w:r>
    </w:p>
    <w:p w:rsidR="00065721" w:rsidRPr="00E13D0A" w:rsidRDefault="00065721" w:rsidP="00926B45">
      <w:pPr>
        <w:pStyle w:val="ParaNoNdepar-AltN"/>
        <w:widowControl w:val="0"/>
        <w:rPr>
          <w:rFonts w:eastAsiaTheme="minorHAnsi" w:cs="Times New Roman"/>
          <w:u w:val="single"/>
          <w:lang w:val="fr-CA"/>
        </w:rPr>
      </w:pPr>
      <w:r w:rsidRPr="00E13D0A">
        <w:rPr>
          <w:rFonts w:cs="Times New Roman"/>
          <w:lang w:val="fr-CA"/>
        </w:rPr>
        <w:t>Selon le juge en chambre Sigurdson, le RIAC relève de la compétence législative de la province, et il n</w:t>
      </w:r>
      <w:r>
        <w:rPr>
          <w:rFonts w:cs="Times New Roman"/>
          <w:lang w:val="fr-CA"/>
        </w:rPr>
        <w:t>’</w:t>
      </w:r>
      <w:r w:rsidRPr="00E13D0A">
        <w:rPr>
          <w:rFonts w:cs="Times New Roman"/>
          <w:lang w:val="fr-CA"/>
        </w:rPr>
        <w:t xml:space="preserve">y a pas, en fin de compte, atteinte aux </w:t>
      </w:r>
      <w:r>
        <w:rPr>
          <w:rFonts w:cs="Times New Roman"/>
          <w:lang w:val="fr-CA"/>
        </w:rPr>
        <w:t>al. </w:t>
      </w:r>
      <w:r w:rsidRPr="00E13D0A">
        <w:rPr>
          <w:rFonts w:cs="Times New Roman"/>
          <w:lang w:val="fr-CA"/>
        </w:rPr>
        <w:t>11</w:t>
      </w:r>
      <w:r w:rsidRPr="00E13D0A">
        <w:rPr>
          <w:rFonts w:cs="Times New Roman"/>
          <w:i/>
          <w:lang w:val="fr-CA"/>
        </w:rPr>
        <w:t>d</w:t>
      </w:r>
      <w:r w:rsidRPr="00E13D0A">
        <w:rPr>
          <w:rFonts w:cs="Times New Roman"/>
          <w:lang w:val="fr-CA"/>
        </w:rPr>
        <w:t>) et 10</w:t>
      </w:r>
      <w:r w:rsidRPr="00E13D0A">
        <w:rPr>
          <w:rFonts w:cs="Times New Roman"/>
          <w:i/>
          <w:lang w:val="fr-CA"/>
        </w:rPr>
        <w:t>b</w:t>
      </w:r>
      <w:r w:rsidRPr="00E13D0A">
        <w:rPr>
          <w:rFonts w:cs="Times New Roman"/>
          <w:lang w:val="fr-CA"/>
        </w:rPr>
        <w:t>). Il a toutefois conclu que le RIAC viole l</w:t>
      </w:r>
      <w:r>
        <w:rPr>
          <w:rFonts w:cs="Times New Roman"/>
          <w:lang w:val="fr-CA"/>
        </w:rPr>
        <w:t>’art. </w:t>
      </w:r>
      <w:r w:rsidRPr="00E13D0A">
        <w:rPr>
          <w:rFonts w:cs="Times New Roman"/>
          <w:lang w:val="fr-CA"/>
        </w:rPr>
        <w:t xml:space="preserve">8 de la </w:t>
      </w:r>
      <w:r w:rsidRPr="00E13D0A">
        <w:rPr>
          <w:rFonts w:cs="Times New Roman"/>
          <w:i/>
          <w:lang w:val="fr-CA"/>
        </w:rPr>
        <w:t>Charte</w:t>
      </w:r>
      <w:r w:rsidRPr="00E13D0A">
        <w:rPr>
          <w:rFonts w:cs="Times New Roman"/>
          <w:lang w:val="fr-CA"/>
        </w:rPr>
        <w:t>. Il a subséquemment précisé qu</w:t>
      </w:r>
      <w:r>
        <w:rPr>
          <w:rFonts w:cs="Times New Roman"/>
          <w:lang w:val="fr-CA"/>
        </w:rPr>
        <w:t>’</w:t>
      </w:r>
      <w:r w:rsidRPr="00E13D0A">
        <w:rPr>
          <w:rFonts w:cs="Times New Roman"/>
          <w:lang w:val="fr-CA"/>
        </w:rPr>
        <w:t>il y a atteinte à l</w:t>
      </w:r>
      <w:r>
        <w:rPr>
          <w:rFonts w:cs="Times New Roman"/>
          <w:lang w:val="fr-CA"/>
        </w:rPr>
        <w:t>’art. </w:t>
      </w:r>
      <w:r w:rsidRPr="00E13D0A">
        <w:rPr>
          <w:rFonts w:cs="Times New Roman"/>
          <w:lang w:val="fr-CA"/>
        </w:rPr>
        <w:t>8 seulement lorsque le résultat affiché par l</w:t>
      </w:r>
      <w:r>
        <w:rPr>
          <w:rFonts w:cs="Times New Roman"/>
          <w:lang w:val="fr-CA"/>
        </w:rPr>
        <w:t>’</w:t>
      </w:r>
      <w:r w:rsidRPr="00E13D0A">
        <w:rPr>
          <w:rFonts w:cs="Times New Roman"/>
          <w:lang w:val="fr-CA"/>
        </w:rPr>
        <w:t>appareil de détection est supérieur à 0,08 et non lorsqu</w:t>
      </w:r>
      <w:r>
        <w:rPr>
          <w:rFonts w:cs="Times New Roman"/>
          <w:lang w:val="fr-CA"/>
        </w:rPr>
        <w:t>’</w:t>
      </w:r>
      <w:r w:rsidRPr="00E13D0A">
        <w:rPr>
          <w:rFonts w:cs="Times New Roman"/>
          <w:lang w:val="fr-CA"/>
        </w:rPr>
        <w:t>il y a refus de fournir un échantillon d</w:t>
      </w:r>
      <w:r>
        <w:rPr>
          <w:rFonts w:cs="Times New Roman"/>
          <w:lang w:val="fr-CA"/>
        </w:rPr>
        <w:t>’</w:t>
      </w:r>
      <w:r w:rsidRPr="00E13D0A">
        <w:rPr>
          <w:rFonts w:cs="Times New Roman"/>
          <w:lang w:val="fr-CA"/>
        </w:rPr>
        <w:t>haleine. Le juge en chambre a déclaré invalide la partie attentatoire du RIAC et a suspendu la déclaration d</w:t>
      </w:r>
      <w:r>
        <w:rPr>
          <w:rFonts w:cs="Times New Roman"/>
          <w:lang w:val="fr-CA"/>
        </w:rPr>
        <w:t>’</w:t>
      </w:r>
      <w:r w:rsidRPr="00E13D0A">
        <w:rPr>
          <w:rFonts w:cs="Times New Roman"/>
          <w:lang w:val="fr-CA"/>
        </w:rPr>
        <w:t>invalidité jusqu</w:t>
      </w:r>
      <w:r>
        <w:rPr>
          <w:rFonts w:cs="Times New Roman"/>
          <w:lang w:val="fr-CA"/>
        </w:rPr>
        <w:t>’</w:t>
      </w:r>
      <w:r w:rsidRPr="00E13D0A">
        <w:rPr>
          <w:rFonts w:cs="Times New Roman"/>
          <w:lang w:val="fr-CA"/>
        </w:rPr>
        <w:t>au 30 juin 2012</w:t>
      </w:r>
      <w:r>
        <w:rPr>
          <w:rFonts w:cs="Times New Roman"/>
          <w:lang w:val="fr-CA"/>
        </w:rPr>
        <w:t> :</w:t>
      </w:r>
      <w:r w:rsidRPr="00E13D0A">
        <w:rPr>
          <w:rFonts w:cs="Times New Roman"/>
          <w:lang w:val="fr-CA"/>
        </w:rPr>
        <w:t xml:space="preserve"> 2011 BCSC 1783, 249 C.R.R. (2d) 368. Sa décision a été confirmée en appel par la Cour d</w:t>
      </w:r>
      <w:r>
        <w:rPr>
          <w:rFonts w:cs="Times New Roman"/>
          <w:lang w:val="fr-CA"/>
        </w:rPr>
        <w:t>’</w:t>
      </w:r>
      <w:r w:rsidRPr="00E13D0A">
        <w:rPr>
          <w:rFonts w:cs="Times New Roman"/>
          <w:lang w:val="fr-CA"/>
        </w:rPr>
        <w:t>appel de la Colombie</w:t>
      </w:r>
      <w:r>
        <w:rPr>
          <w:rFonts w:cs="Times New Roman"/>
          <w:lang w:val="fr-CA"/>
        </w:rPr>
        <w:noBreakHyphen/>
      </w:r>
      <w:r w:rsidRPr="00E13D0A">
        <w:rPr>
          <w:rFonts w:cs="Times New Roman"/>
          <w:lang w:val="fr-CA"/>
        </w:rPr>
        <w:t>Britannique</w:t>
      </w:r>
      <w:r>
        <w:rPr>
          <w:rFonts w:cs="Times New Roman"/>
          <w:lang w:val="fr-CA"/>
        </w:rPr>
        <w:t> :</w:t>
      </w:r>
      <w:r w:rsidRPr="00E13D0A">
        <w:rPr>
          <w:rFonts w:cs="Times New Roman"/>
          <w:lang w:val="fr-CA"/>
        </w:rPr>
        <w:t xml:space="preserve"> </w:t>
      </w:r>
      <w:r w:rsidRPr="00E13D0A">
        <w:rPr>
          <w:rFonts w:cs="Times New Roman"/>
          <w:i/>
          <w:lang w:val="fr-CA"/>
        </w:rPr>
        <w:t xml:space="preserve">Sivia c. </w:t>
      </w:r>
      <w:r w:rsidR="007B7B84">
        <w:rPr>
          <w:rFonts w:cs="Times New Roman"/>
          <w:i/>
          <w:lang w:val="fr-CA"/>
        </w:rPr>
        <w:t>British Columbia</w:t>
      </w:r>
      <w:r w:rsidRPr="00E13D0A">
        <w:rPr>
          <w:rFonts w:cs="Times New Roman"/>
          <w:i/>
          <w:lang w:val="fr-CA"/>
        </w:rPr>
        <w:t xml:space="preserve"> (Superintendent of Motor Vehicles)</w:t>
      </w:r>
      <w:r w:rsidRPr="00E13D0A">
        <w:rPr>
          <w:rFonts w:cs="Times New Roman"/>
          <w:lang w:val="fr-CA"/>
        </w:rPr>
        <w:t>, 2014 BCCA 79, 55 B.C.L.R. (5th) 1.</w:t>
      </w:r>
    </w:p>
    <w:p w:rsidR="00065721" w:rsidRPr="00E13D0A" w:rsidRDefault="00065721" w:rsidP="00926B45">
      <w:pPr>
        <w:pStyle w:val="Title1LevelTitre1Niveau-AltL"/>
        <w:widowControl w:val="0"/>
        <w:rPr>
          <w:rFonts w:cs="Times New Roman"/>
          <w:lang w:val="fr-CA"/>
        </w:rPr>
      </w:pPr>
      <w:r w:rsidRPr="00E13D0A">
        <w:rPr>
          <w:rFonts w:cs="Times New Roman"/>
          <w:lang w:val="fr-CA"/>
        </w:rPr>
        <w:t>Le régime législatif provincial</w:t>
      </w:r>
    </w:p>
    <w:p w:rsidR="00065721" w:rsidRPr="00E13D0A" w:rsidRDefault="00065721" w:rsidP="00926B45">
      <w:pPr>
        <w:pStyle w:val="ParaNoNdepar-AltN"/>
        <w:widowControl w:val="0"/>
        <w:rPr>
          <w:rFonts w:cs="Times New Roman"/>
          <w:lang w:val="fr-CA"/>
        </w:rPr>
      </w:pPr>
      <w:r w:rsidRPr="00E13D0A">
        <w:rPr>
          <w:rFonts w:cs="Times New Roman"/>
          <w:lang w:val="fr-CA"/>
        </w:rPr>
        <w:t>La Colombie</w:t>
      </w:r>
      <w:r>
        <w:rPr>
          <w:rFonts w:cs="Times New Roman"/>
          <w:lang w:val="fr-CA"/>
        </w:rPr>
        <w:noBreakHyphen/>
      </w:r>
      <w:r w:rsidRPr="00E13D0A">
        <w:rPr>
          <w:rFonts w:cs="Times New Roman"/>
          <w:lang w:val="fr-CA"/>
        </w:rPr>
        <w:t>Britannique avait instauré un régime d</w:t>
      </w:r>
      <w:r>
        <w:rPr>
          <w:rFonts w:cs="Times New Roman"/>
          <w:lang w:val="fr-CA"/>
        </w:rPr>
        <w:t>’</w:t>
      </w:r>
      <w:r w:rsidRPr="00E13D0A">
        <w:rPr>
          <w:rFonts w:cs="Times New Roman"/>
          <w:lang w:val="fr-CA"/>
        </w:rPr>
        <w:t xml:space="preserve">interdiction administrative de conduire (IAC) en 1997, constitué des </w:t>
      </w:r>
      <w:r>
        <w:rPr>
          <w:rFonts w:cs="Times New Roman"/>
          <w:lang w:val="fr-CA"/>
        </w:rPr>
        <w:t>art. </w:t>
      </w:r>
      <w:r w:rsidRPr="00E13D0A">
        <w:rPr>
          <w:rFonts w:cs="Times New Roman"/>
          <w:lang w:val="fr-CA"/>
        </w:rPr>
        <w:t xml:space="preserve">94.1 à 94.6 de la </w:t>
      </w:r>
      <w:r w:rsidRPr="00E13D0A">
        <w:rPr>
          <w:rFonts w:cs="Times New Roman"/>
          <w:i/>
          <w:lang w:val="fr-CA"/>
        </w:rPr>
        <w:t>Motor Vehicle Act</w:t>
      </w:r>
      <w:r w:rsidRPr="00E13D0A">
        <w:rPr>
          <w:rFonts w:cs="Times New Roman"/>
          <w:lang w:val="fr-CA"/>
        </w:rPr>
        <w:t>, R.S.B.C. 1996, c. 318 (</w:t>
      </w:r>
      <w:r w:rsidRPr="00E13D0A">
        <w:rPr>
          <w:rFonts w:cs="Times New Roman"/>
          <w:i/>
          <w:lang w:val="fr-CA"/>
        </w:rPr>
        <w:t>MVA</w:t>
      </w:r>
      <w:r w:rsidRPr="00E13D0A">
        <w:rPr>
          <w:rFonts w:cs="Times New Roman"/>
          <w:lang w:val="fr-CA"/>
        </w:rPr>
        <w:t xml:space="preserve">). Selon ce régime plus ancien, qui est toujours </w:t>
      </w:r>
      <w:r w:rsidRPr="00E13D0A">
        <w:rPr>
          <w:rFonts w:cs="Times New Roman"/>
          <w:lang w:val="fr-CA"/>
        </w:rPr>
        <w:lastRenderedPageBreak/>
        <w:t>en vigueur, les policiers sont tenus de signifier un avis d</w:t>
      </w:r>
      <w:r>
        <w:rPr>
          <w:rFonts w:cs="Times New Roman"/>
          <w:lang w:val="fr-CA"/>
        </w:rPr>
        <w:t>’</w:t>
      </w:r>
      <w:r w:rsidRPr="00E13D0A">
        <w:rPr>
          <w:rFonts w:cs="Times New Roman"/>
          <w:lang w:val="fr-CA"/>
        </w:rPr>
        <w:t>interdiction de conduire lorsqu</w:t>
      </w:r>
      <w:r>
        <w:rPr>
          <w:rFonts w:cs="Times New Roman"/>
          <w:lang w:val="fr-CA"/>
        </w:rPr>
        <w:t>’</w:t>
      </w:r>
      <w:r w:rsidRPr="00E13D0A">
        <w:rPr>
          <w:rFonts w:cs="Times New Roman"/>
          <w:lang w:val="fr-CA"/>
        </w:rPr>
        <w:t>ils ont des motifs raisonnables et probables de croire, sur le fondement d</w:t>
      </w:r>
      <w:r>
        <w:rPr>
          <w:rFonts w:cs="Times New Roman"/>
          <w:lang w:val="fr-CA"/>
        </w:rPr>
        <w:t>’</w:t>
      </w:r>
      <w:r w:rsidRPr="00E13D0A">
        <w:rPr>
          <w:rFonts w:cs="Times New Roman"/>
          <w:lang w:val="fr-CA"/>
        </w:rPr>
        <w:t>une analyse d</w:t>
      </w:r>
      <w:r>
        <w:rPr>
          <w:rFonts w:cs="Times New Roman"/>
          <w:lang w:val="fr-CA"/>
        </w:rPr>
        <w:t>’</w:t>
      </w:r>
      <w:r w:rsidRPr="00E13D0A">
        <w:rPr>
          <w:rFonts w:cs="Times New Roman"/>
          <w:lang w:val="fr-CA"/>
        </w:rPr>
        <w:t>haleine ou de sang, que le conducteur d</w:t>
      </w:r>
      <w:r>
        <w:rPr>
          <w:rFonts w:cs="Times New Roman"/>
          <w:lang w:val="fr-CA"/>
        </w:rPr>
        <w:t>’</w:t>
      </w:r>
      <w:r w:rsidRPr="00E13D0A">
        <w:rPr>
          <w:rFonts w:cs="Times New Roman"/>
          <w:lang w:val="fr-CA"/>
        </w:rPr>
        <w:t>un véhicule à moteur a une alcoolémie supérieure à 80 milligrammes d</w:t>
      </w:r>
      <w:r>
        <w:rPr>
          <w:rFonts w:cs="Times New Roman"/>
          <w:lang w:val="fr-CA"/>
        </w:rPr>
        <w:t>’</w:t>
      </w:r>
      <w:r w:rsidRPr="00E13D0A">
        <w:rPr>
          <w:rFonts w:cs="Times New Roman"/>
          <w:lang w:val="fr-CA"/>
        </w:rPr>
        <w:t>alcool par 100 millilitres de sang</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par. </w:t>
      </w:r>
      <w:r w:rsidRPr="00E13D0A">
        <w:rPr>
          <w:rFonts w:cs="Times New Roman"/>
          <w:lang w:val="fr-CA"/>
        </w:rPr>
        <w:t>94.1(1). Dans les faits, les motifs justifiant la signification d</w:t>
      </w:r>
      <w:r>
        <w:rPr>
          <w:rFonts w:cs="Times New Roman"/>
          <w:lang w:val="fr-CA"/>
        </w:rPr>
        <w:t>’</w:t>
      </w:r>
      <w:r w:rsidRPr="00E13D0A">
        <w:rPr>
          <w:rFonts w:cs="Times New Roman"/>
          <w:lang w:val="fr-CA"/>
        </w:rPr>
        <w:t>un avis d</w:t>
      </w:r>
      <w:r>
        <w:rPr>
          <w:rFonts w:cs="Times New Roman"/>
          <w:lang w:val="fr-CA"/>
        </w:rPr>
        <w:t>’</w:t>
      </w:r>
      <w:r w:rsidRPr="00E13D0A">
        <w:rPr>
          <w:rFonts w:cs="Times New Roman"/>
          <w:lang w:val="fr-CA"/>
        </w:rPr>
        <w:t>interdiction en application du régime d</w:t>
      </w:r>
      <w:r>
        <w:rPr>
          <w:rFonts w:cs="Times New Roman"/>
          <w:lang w:val="fr-CA"/>
        </w:rPr>
        <w:t>’</w:t>
      </w:r>
      <w:r w:rsidRPr="00E13D0A">
        <w:rPr>
          <w:rFonts w:cs="Times New Roman"/>
          <w:lang w:val="fr-CA"/>
        </w:rPr>
        <w:t>IAC découlent d</w:t>
      </w:r>
      <w:r>
        <w:rPr>
          <w:rFonts w:cs="Times New Roman"/>
          <w:lang w:val="fr-CA"/>
        </w:rPr>
        <w:t>’</w:t>
      </w:r>
      <w:r w:rsidRPr="00E13D0A">
        <w:rPr>
          <w:rFonts w:cs="Times New Roman"/>
          <w:lang w:val="fr-CA"/>
        </w:rPr>
        <w:t>une analyse d</w:t>
      </w:r>
      <w:r>
        <w:rPr>
          <w:rFonts w:cs="Times New Roman"/>
          <w:lang w:val="fr-CA"/>
        </w:rPr>
        <w:t>’</w:t>
      </w:r>
      <w:r w:rsidRPr="00E13D0A">
        <w:rPr>
          <w:rFonts w:cs="Times New Roman"/>
          <w:lang w:val="fr-CA"/>
        </w:rPr>
        <w:t>haleine effectuée au moyen d</w:t>
      </w:r>
      <w:r>
        <w:rPr>
          <w:rFonts w:cs="Times New Roman"/>
          <w:lang w:val="fr-CA"/>
        </w:rPr>
        <w:t>’</w:t>
      </w:r>
      <w:r w:rsidRPr="00E13D0A">
        <w:rPr>
          <w:rFonts w:cs="Times New Roman"/>
          <w:lang w:val="fr-CA"/>
        </w:rPr>
        <w:t>un instrument approuvé (aussi connu sous le nom d</w:t>
      </w:r>
      <w:r>
        <w:rPr>
          <w:rFonts w:cs="Times New Roman"/>
          <w:lang w:val="fr-CA"/>
        </w:rPr>
        <w:t>’</w:t>
      </w:r>
      <w:r w:rsidRPr="00E13D0A">
        <w:rPr>
          <w:rFonts w:cs="Times New Roman"/>
          <w:lang w:val="fr-CA"/>
        </w:rPr>
        <w:t>alcootest) dans un poste de police</w:t>
      </w:r>
      <w:r>
        <w:rPr>
          <w:rFonts w:cs="Times New Roman"/>
          <w:lang w:val="fr-CA"/>
        </w:rPr>
        <w:t> :</w:t>
      </w:r>
      <w:r w:rsidRPr="00E13D0A">
        <w:rPr>
          <w:rFonts w:cs="Times New Roman"/>
          <w:lang w:val="fr-CA"/>
        </w:rPr>
        <w:t xml:space="preserve"> motifs du juge en chambre, </w:t>
      </w:r>
      <w:r>
        <w:rPr>
          <w:rFonts w:cs="Times New Roman"/>
          <w:lang w:val="fr-CA"/>
        </w:rPr>
        <w:t>par. </w:t>
      </w:r>
      <w:r w:rsidRPr="00E13D0A">
        <w:rPr>
          <w:rFonts w:cs="Times New Roman"/>
          <w:lang w:val="fr-CA"/>
        </w:rPr>
        <w:t>55. L</w:t>
      </w:r>
      <w:r>
        <w:rPr>
          <w:rFonts w:cs="Times New Roman"/>
          <w:lang w:val="fr-CA"/>
        </w:rPr>
        <w:t>’</w:t>
      </w:r>
      <w:r w:rsidRPr="00E13D0A">
        <w:rPr>
          <w:rFonts w:cs="Times New Roman"/>
          <w:lang w:val="fr-CA"/>
        </w:rPr>
        <w:t>avis d</w:t>
      </w:r>
      <w:r>
        <w:rPr>
          <w:rFonts w:cs="Times New Roman"/>
          <w:lang w:val="fr-CA"/>
        </w:rPr>
        <w:t>’</w:t>
      </w:r>
      <w:r w:rsidRPr="00E13D0A">
        <w:rPr>
          <w:rFonts w:cs="Times New Roman"/>
          <w:lang w:val="fr-CA"/>
        </w:rPr>
        <w:t>interdiction de conduire signifié en application de ce régime prend effet 21 jours plus tard, pour une durée de 90 jours</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par. </w:t>
      </w:r>
      <w:r w:rsidRPr="00E13D0A">
        <w:rPr>
          <w:rFonts w:cs="Times New Roman"/>
          <w:lang w:val="fr-CA"/>
        </w:rPr>
        <w:t>94.2(1). Les mêmes conséquences s</w:t>
      </w:r>
      <w:r>
        <w:rPr>
          <w:rFonts w:cs="Times New Roman"/>
          <w:lang w:val="fr-CA"/>
        </w:rPr>
        <w:t>’</w:t>
      </w:r>
      <w:r w:rsidRPr="00E13D0A">
        <w:rPr>
          <w:rFonts w:cs="Times New Roman"/>
          <w:lang w:val="fr-CA"/>
        </w:rPr>
        <w:t>ensuivent lorsqu</w:t>
      </w:r>
      <w:r>
        <w:rPr>
          <w:rFonts w:cs="Times New Roman"/>
          <w:lang w:val="fr-CA"/>
        </w:rPr>
        <w:t>’</w:t>
      </w:r>
      <w:r w:rsidRPr="00E13D0A">
        <w:rPr>
          <w:rFonts w:cs="Times New Roman"/>
          <w:lang w:val="fr-CA"/>
        </w:rPr>
        <w:t>un conducteur omet ou refuse, sans excuse raisonnable, de fournir un échantillon d</w:t>
      </w:r>
      <w:r>
        <w:rPr>
          <w:rFonts w:cs="Times New Roman"/>
          <w:lang w:val="fr-CA"/>
        </w:rPr>
        <w:t>’</w:t>
      </w:r>
      <w:r w:rsidRPr="00E13D0A">
        <w:rPr>
          <w:rFonts w:cs="Times New Roman"/>
          <w:lang w:val="fr-CA"/>
        </w:rPr>
        <w:t>haleine</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al. </w:t>
      </w:r>
      <w:r w:rsidRPr="00E13D0A">
        <w:rPr>
          <w:rFonts w:cs="Times New Roman"/>
          <w:lang w:val="fr-CA"/>
        </w:rPr>
        <w:t>94.1(1)</w:t>
      </w:r>
      <w:r w:rsidR="00F2450F">
        <w:rPr>
          <w:rFonts w:cs="Times New Roman"/>
          <w:lang w:val="fr-CA"/>
        </w:rPr>
        <w:t>(</w:t>
      </w:r>
      <w:r w:rsidRPr="00205728">
        <w:rPr>
          <w:rFonts w:cs="Times New Roman"/>
          <w:lang w:val="fr-CA"/>
        </w:rPr>
        <w:t>b</w:t>
      </w:r>
      <w:r w:rsidRPr="00E13D0A">
        <w:rPr>
          <w:rFonts w:cs="Times New Roman"/>
          <w:lang w:val="fr-CA"/>
        </w:rPr>
        <w:t>).</w:t>
      </w:r>
    </w:p>
    <w:p w:rsidR="00065721" w:rsidRPr="00E13D0A" w:rsidRDefault="00065721" w:rsidP="00926B45">
      <w:pPr>
        <w:pStyle w:val="ParaNoNdepar-AltN"/>
        <w:widowControl w:val="0"/>
        <w:rPr>
          <w:rFonts w:cs="Times New Roman"/>
          <w:lang w:val="fr-CA"/>
        </w:rPr>
      </w:pPr>
      <w:r w:rsidRPr="00E13D0A">
        <w:rPr>
          <w:rFonts w:cs="Times New Roman"/>
          <w:lang w:val="fr-CA"/>
        </w:rPr>
        <w:t>Ce régime est similaire à d</w:t>
      </w:r>
      <w:r>
        <w:rPr>
          <w:rFonts w:cs="Times New Roman"/>
          <w:lang w:val="fr-CA"/>
        </w:rPr>
        <w:t>’</w:t>
      </w:r>
      <w:r w:rsidRPr="00E13D0A">
        <w:rPr>
          <w:rFonts w:cs="Times New Roman"/>
          <w:lang w:val="fr-CA"/>
        </w:rPr>
        <w:t>autres régimes provinciaux au pays</w:t>
      </w:r>
      <w:r w:rsidRPr="00E13D0A">
        <w:rPr>
          <w:rStyle w:val="FootnoteReference"/>
          <w:rFonts w:cs="Times New Roman"/>
          <w:lang w:val="fr-CA"/>
        </w:rPr>
        <w:footnoteReference w:id="2"/>
      </w:r>
      <w:r w:rsidRPr="00E13D0A">
        <w:rPr>
          <w:rFonts w:cs="Times New Roman"/>
          <w:lang w:val="fr-CA"/>
        </w:rPr>
        <w:t>. Il a été déclaré constitutionnel, tant au regard du partage des pouvoirs qu</w:t>
      </w:r>
      <w:r>
        <w:rPr>
          <w:rFonts w:cs="Times New Roman"/>
          <w:lang w:val="fr-CA"/>
        </w:rPr>
        <w:t>’</w:t>
      </w:r>
      <w:r w:rsidRPr="00E13D0A">
        <w:rPr>
          <w:rFonts w:cs="Times New Roman"/>
          <w:lang w:val="fr-CA"/>
        </w:rPr>
        <w:t>au regard de l</w:t>
      </w:r>
      <w:r>
        <w:rPr>
          <w:rFonts w:cs="Times New Roman"/>
          <w:lang w:val="fr-CA"/>
        </w:rPr>
        <w:t>’art. </w:t>
      </w:r>
      <w:r w:rsidRPr="00E13D0A">
        <w:rPr>
          <w:rFonts w:cs="Times New Roman"/>
          <w:lang w:val="fr-CA"/>
        </w:rPr>
        <w:t xml:space="preserve">7 de la </w:t>
      </w:r>
      <w:r w:rsidRPr="00E13D0A">
        <w:rPr>
          <w:rFonts w:cs="Times New Roman"/>
          <w:i/>
          <w:lang w:val="fr-CA"/>
        </w:rPr>
        <w:t>Charte</w:t>
      </w:r>
      <w:r w:rsidRPr="00E13D0A">
        <w:rPr>
          <w:rFonts w:cs="Times New Roman"/>
          <w:lang w:val="fr-CA"/>
        </w:rPr>
        <w:t>, dans l</w:t>
      </w:r>
      <w:r>
        <w:rPr>
          <w:rFonts w:cs="Times New Roman"/>
          <w:lang w:val="fr-CA"/>
        </w:rPr>
        <w:t>’</w:t>
      </w:r>
      <w:r w:rsidRPr="00E13D0A">
        <w:rPr>
          <w:rFonts w:cs="Times New Roman"/>
          <w:lang w:val="fr-CA"/>
        </w:rPr>
        <w:t xml:space="preserve">arrêt </w:t>
      </w:r>
      <w:r w:rsidRPr="00E13D0A">
        <w:rPr>
          <w:rFonts w:cs="Times New Roman"/>
          <w:i/>
          <w:lang w:val="fr-CA"/>
        </w:rPr>
        <w:t>Buhlers c. Superintendent of Motor Vehicles (B.C.)</w:t>
      </w:r>
      <w:r w:rsidRPr="00E13D0A">
        <w:rPr>
          <w:rFonts w:cs="Times New Roman"/>
          <w:lang w:val="fr-CA"/>
        </w:rPr>
        <w:t>, 1999 BCCA 0114, 119 B.C.A.C. 207.</w:t>
      </w:r>
    </w:p>
    <w:p w:rsidR="00065721" w:rsidRPr="00E13D0A" w:rsidRDefault="00065721" w:rsidP="00926B45">
      <w:pPr>
        <w:pStyle w:val="ParaNoNdepar-AltN"/>
        <w:widowControl w:val="0"/>
        <w:rPr>
          <w:rFonts w:cs="Times New Roman"/>
          <w:lang w:val="fr-CA"/>
        </w:rPr>
      </w:pPr>
      <w:r w:rsidRPr="00E13D0A">
        <w:rPr>
          <w:rFonts w:cs="Times New Roman"/>
          <w:lang w:val="fr-CA"/>
        </w:rPr>
        <w:t>L</w:t>
      </w:r>
      <w:r>
        <w:rPr>
          <w:rFonts w:cs="Times New Roman"/>
          <w:lang w:val="fr-CA"/>
        </w:rPr>
        <w:t>’</w:t>
      </w:r>
      <w:r w:rsidRPr="00E13D0A">
        <w:rPr>
          <w:rFonts w:cs="Times New Roman"/>
          <w:lang w:val="fr-CA"/>
        </w:rPr>
        <w:t>introduction du nouveau RIAC en 2010 a marqué un tournant dans la méthode employée par la Colombie</w:t>
      </w:r>
      <w:r>
        <w:rPr>
          <w:rFonts w:cs="Times New Roman"/>
          <w:lang w:val="fr-CA"/>
        </w:rPr>
        <w:noBreakHyphen/>
      </w:r>
      <w:r w:rsidRPr="00E13D0A">
        <w:rPr>
          <w:rFonts w:cs="Times New Roman"/>
          <w:lang w:val="fr-CA"/>
        </w:rPr>
        <w:t>Britannique pour réglementer la conduite en état d</w:t>
      </w:r>
      <w:r>
        <w:rPr>
          <w:rFonts w:cs="Times New Roman"/>
          <w:lang w:val="fr-CA"/>
        </w:rPr>
        <w:t>’</w:t>
      </w:r>
      <w:r w:rsidRPr="00E13D0A">
        <w:rPr>
          <w:rFonts w:cs="Times New Roman"/>
          <w:lang w:val="fr-CA"/>
        </w:rPr>
        <w:t>ébriété. Plutôt que d</w:t>
      </w:r>
      <w:r>
        <w:rPr>
          <w:rFonts w:cs="Times New Roman"/>
          <w:lang w:val="fr-CA"/>
        </w:rPr>
        <w:t>’</w:t>
      </w:r>
      <w:r w:rsidRPr="00E13D0A">
        <w:rPr>
          <w:rFonts w:cs="Times New Roman"/>
          <w:lang w:val="fr-CA"/>
        </w:rPr>
        <w:t>être fondées sur les résultats de l</w:t>
      </w:r>
      <w:r>
        <w:rPr>
          <w:rFonts w:cs="Times New Roman"/>
          <w:lang w:val="fr-CA"/>
        </w:rPr>
        <w:t>’</w:t>
      </w:r>
      <w:r w:rsidRPr="00E13D0A">
        <w:rPr>
          <w:rFonts w:cs="Times New Roman"/>
          <w:lang w:val="fr-CA"/>
        </w:rPr>
        <w:t>alcootest obtenus au poste de police, les interdictions de conduire seraient désormais imposées à la suite d</w:t>
      </w:r>
      <w:r>
        <w:rPr>
          <w:rFonts w:cs="Times New Roman"/>
          <w:lang w:val="fr-CA"/>
        </w:rPr>
        <w:t>’</w:t>
      </w:r>
      <w:r w:rsidRPr="00E13D0A">
        <w:rPr>
          <w:rFonts w:cs="Times New Roman"/>
          <w:lang w:val="fr-CA"/>
        </w:rPr>
        <w:t xml:space="preserve">une </w:t>
      </w:r>
      <w:r w:rsidRPr="00E13D0A">
        <w:rPr>
          <w:rFonts w:cs="Times New Roman"/>
          <w:lang w:val="fr-CA"/>
        </w:rPr>
        <w:lastRenderedPageBreak/>
        <w:t>analyse effectuée lors d</w:t>
      </w:r>
      <w:r>
        <w:rPr>
          <w:rFonts w:cs="Times New Roman"/>
          <w:lang w:val="fr-CA"/>
        </w:rPr>
        <w:t>’</w:t>
      </w:r>
      <w:r w:rsidRPr="00E13D0A">
        <w:rPr>
          <w:rFonts w:cs="Times New Roman"/>
          <w:lang w:val="fr-CA"/>
        </w:rPr>
        <w:t>un contrôle routier au moyen d</w:t>
      </w:r>
      <w:r>
        <w:rPr>
          <w:rFonts w:cs="Times New Roman"/>
          <w:lang w:val="fr-CA"/>
        </w:rPr>
        <w:t>’</w:t>
      </w:r>
      <w:r w:rsidRPr="00E13D0A">
        <w:rPr>
          <w:rFonts w:cs="Times New Roman"/>
          <w:lang w:val="fr-CA"/>
        </w:rPr>
        <w:t>un ADA. Bien que le résultat « échec » corresponde à l</w:t>
      </w:r>
      <w:r>
        <w:rPr>
          <w:rFonts w:cs="Times New Roman"/>
          <w:lang w:val="fr-CA"/>
        </w:rPr>
        <w:t>’</w:t>
      </w:r>
      <w:r w:rsidRPr="00E13D0A">
        <w:rPr>
          <w:rFonts w:cs="Times New Roman"/>
          <w:lang w:val="fr-CA"/>
        </w:rPr>
        <w:t>alcoolémie qui débouche sur une interdiction en application du régime d</w:t>
      </w:r>
      <w:r>
        <w:rPr>
          <w:rFonts w:cs="Times New Roman"/>
          <w:lang w:val="fr-CA"/>
        </w:rPr>
        <w:t>’</w:t>
      </w:r>
      <w:r w:rsidRPr="00E13D0A">
        <w:rPr>
          <w:rFonts w:cs="Times New Roman"/>
          <w:lang w:val="fr-CA"/>
        </w:rPr>
        <w:t>IAC, un taux de 0,05 à 0,08 détecté par le résultat « avertissement » entraînerait désormais aussi une suspension de permis, mais pour une durée plus courte. Tout comme dans le cas du régime précédent, le résultat « échec » ainsi que le refus ou l</w:t>
      </w:r>
      <w:r>
        <w:rPr>
          <w:rFonts w:cs="Times New Roman"/>
          <w:lang w:val="fr-CA"/>
        </w:rPr>
        <w:t>’</w:t>
      </w:r>
      <w:r w:rsidRPr="00E13D0A">
        <w:rPr>
          <w:rFonts w:cs="Times New Roman"/>
          <w:lang w:val="fr-CA"/>
        </w:rPr>
        <w:t>omission du conducteur de fournir un échantillon entraînent tous deux une suspension de 90 jours</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par. </w:t>
      </w:r>
      <w:r w:rsidRPr="00E13D0A">
        <w:rPr>
          <w:rFonts w:cs="Times New Roman"/>
          <w:lang w:val="fr-CA"/>
        </w:rPr>
        <w:t xml:space="preserve">215.43(2). Le résultat « avertissement » se traduit par une suspension plus courte de </w:t>
      </w:r>
      <w:r w:rsidR="00C71A64">
        <w:rPr>
          <w:rFonts w:cs="Times New Roman"/>
          <w:lang w:val="fr-CA"/>
        </w:rPr>
        <w:t>3</w:t>
      </w:r>
      <w:r w:rsidRPr="00E13D0A">
        <w:rPr>
          <w:rFonts w:cs="Times New Roman"/>
          <w:lang w:val="fr-CA"/>
        </w:rPr>
        <w:t xml:space="preserve"> à 30 jours, selon que le conducteur ait précédemment reçu signification d</w:t>
      </w:r>
      <w:r>
        <w:rPr>
          <w:rFonts w:cs="Times New Roman"/>
          <w:lang w:val="fr-CA"/>
        </w:rPr>
        <w:t>’</w:t>
      </w:r>
      <w:r w:rsidRPr="00E13D0A">
        <w:rPr>
          <w:rFonts w:cs="Times New Roman"/>
          <w:lang w:val="fr-CA"/>
        </w:rPr>
        <w:t>une interdiction</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par. </w:t>
      </w:r>
      <w:r w:rsidRPr="00E13D0A">
        <w:rPr>
          <w:rFonts w:cs="Times New Roman"/>
          <w:lang w:val="fr-CA"/>
        </w:rPr>
        <w:t>215.43(1). Toutes les interdictions prennent effet immédiatement après leur signification au conducteur</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par. </w:t>
      </w:r>
      <w:r w:rsidRPr="00E13D0A">
        <w:rPr>
          <w:rFonts w:cs="Times New Roman"/>
          <w:lang w:val="fr-CA"/>
        </w:rPr>
        <w:t>215.41(6) et 215.43(3).</w:t>
      </w:r>
    </w:p>
    <w:p w:rsidR="00065721" w:rsidRPr="00E13D0A" w:rsidRDefault="00065721" w:rsidP="00926B45">
      <w:pPr>
        <w:pStyle w:val="ParaNoNdepar-AltN"/>
        <w:widowControl w:val="0"/>
        <w:rPr>
          <w:rFonts w:cs="Times New Roman"/>
          <w:lang w:val="fr-CA"/>
        </w:rPr>
      </w:pPr>
      <w:r w:rsidRPr="00E13D0A">
        <w:rPr>
          <w:rFonts w:cs="Times New Roman"/>
          <w:lang w:val="fr-CA"/>
        </w:rPr>
        <w:t>Contrairement au premier régime d</w:t>
      </w:r>
      <w:r>
        <w:rPr>
          <w:rFonts w:cs="Times New Roman"/>
          <w:lang w:val="fr-CA"/>
        </w:rPr>
        <w:t>’</w:t>
      </w:r>
      <w:r w:rsidRPr="00E13D0A">
        <w:rPr>
          <w:rFonts w:cs="Times New Roman"/>
          <w:lang w:val="fr-CA"/>
        </w:rPr>
        <w:t>IAC, le RIAC impose d</w:t>
      </w:r>
      <w:r>
        <w:rPr>
          <w:rFonts w:cs="Times New Roman"/>
          <w:lang w:val="fr-CA"/>
        </w:rPr>
        <w:t>’</w:t>
      </w:r>
      <w:r w:rsidRPr="00E13D0A">
        <w:rPr>
          <w:rFonts w:cs="Times New Roman"/>
          <w:lang w:val="fr-CA"/>
        </w:rPr>
        <w:t>autres sanctions en plus des coûts habituels associés à l</w:t>
      </w:r>
      <w:r>
        <w:rPr>
          <w:rFonts w:cs="Times New Roman"/>
          <w:lang w:val="fr-CA"/>
        </w:rPr>
        <w:t>’</w:t>
      </w:r>
      <w:r w:rsidRPr="00E13D0A">
        <w:rPr>
          <w:rFonts w:cs="Times New Roman"/>
          <w:lang w:val="fr-CA"/>
        </w:rPr>
        <w:t>interdiction elle</w:t>
      </w:r>
      <w:r>
        <w:rPr>
          <w:rFonts w:cs="Times New Roman"/>
          <w:lang w:val="fr-CA"/>
        </w:rPr>
        <w:noBreakHyphen/>
      </w:r>
      <w:r w:rsidRPr="00E13D0A">
        <w:rPr>
          <w:rFonts w:cs="Times New Roman"/>
          <w:lang w:val="fr-CA"/>
        </w:rPr>
        <w:t>même, comme le droit de rétablissement. D</w:t>
      </w:r>
      <w:r>
        <w:rPr>
          <w:rFonts w:cs="Times New Roman"/>
          <w:lang w:val="fr-CA"/>
        </w:rPr>
        <w:t>’</w:t>
      </w:r>
      <w:r w:rsidRPr="00E13D0A">
        <w:rPr>
          <w:rFonts w:cs="Times New Roman"/>
          <w:lang w:val="fr-CA"/>
        </w:rPr>
        <w:t>après le juge en chambre, le conducteur qui échoue au test ou qui ne fournit pas d</w:t>
      </w:r>
      <w:r>
        <w:rPr>
          <w:rFonts w:cs="Times New Roman"/>
          <w:lang w:val="fr-CA"/>
        </w:rPr>
        <w:t>’</w:t>
      </w:r>
      <w:r w:rsidRPr="00E13D0A">
        <w:rPr>
          <w:rFonts w:cs="Times New Roman"/>
          <w:lang w:val="fr-CA"/>
        </w:rPr>
        <w:t>échantillon s</w:t>
      </w:r>
      <w:r>
        <w:rPr>
          <w:rFonts w:cs="Times New Roman"/>
          <w:lang w:val="fr-CA"/>
        </w:rPr>
        <w:t>’</w:t>
      </w:r>
      <w:r w:rsidRPr="00E13D0A">
        <w:rPr>
          <w:rFonts w:cs="Times New Roman"/>
          <w:lang w:val="fr-CA"/>
        </w:rPr>
        <w:t>expose à des sanctions et à des frais totalisant plus de 4 000</w:t>
      </w:r>
      <w:r>
        <w:rPr>
          <w:rFonts w:cs="Times New Roman"/>
          <w:lang w:val="fr-CA"/>
        </w:rPr>
        <w:t> $</w:t>
      </w:r>
      <w:r w:rsidRPr="00E13D0A">
        <w:rPr>
          <w:rFonts w:cs="Times New Roman"/>
          <w:lang w:val="fr-CA"/>
        </w:rPr>
        <w:t>, auxquels s</w:t>
      </w:r>
      <w:r>
        <w:rPr>
          <w:rFonts w:cs="Times New Roman"/>
          <w:lang w:val="fr-CA"/>
        </w:rPr>
        <w:t>’</w:t>
      </w:r>
      <w:r w:rsidRPr="00E13D0A">
        <w:rPr>
          <w:rFonts w:cs="Times New Roman"/>
          <w:lang w:val="fr-CA"/>
        </w:rPr>
        <w:t>ajoute la suspension de 90 jours</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56. Les conducteurs qui font l</w:t>
      </w:r>
      <w:r>
        <w:rPr>
          <w:rFonts w:cs="Times New Roman"/>
          <w:lang w:val="fr-CA"/>
        </w:rPr>
        <w:t>’</w:t>
      </w:r>
      <w:r w:rsidRPr="00E13D0A">
        <w:rPr>
          <w:rFonts w:cs="Times New Roman"/>
          <w:lang w:val="fr-CA"/>
        </w:rPr>
        <w:t>objet d</w:t>
      </w:r>
      <w:r>
        <w:rPr>
          <w:rFonts w:cs="Times New Roman"/>
          <w:lang w:val="fr-CA"/>
        </w:rPr>
        <w:t>’</w:t>
      </w:r>
      <w:r w:rsidRPr="00E13D0A">
        <w:rPr>
          <w:rFonts w:cs="Times New Roman"/>
          <w:lang w:val="fr-CA"/>
        </w:rPr>
        <w:t>une suspension de 30 ou de 90 jours s</w:t>
      </w:r>
      <w:r>
        <w:rPr>
          <w:rFonts w:cs="Times New Roman"/>
          <w:lang w:val="fr-CA"/>
        </w:rPr>
        <w:t>’</w:t>
      </w:r>
      <w:r w:rsidRPr="00E13D0A">
        <w:rPr>
          <w:rFonts w:cs="Times New Roman"/>
          <w:lang w:val="fr-CA"/>
        </w:rPr>
        <w:t>exposent en outre à la saisie obligatoire du véhicule</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par. </w:t>
      </w:r>
      <w:r w:rsidRPr="00E13D0A">
        <w:rPr>
          <w:rFonts w:cs="Times New Roman"/>
          <w:lang w:val="fr-CA"/>
        </w:rPr>
        <w:t>215.46(2).</w:t>
      </w:r>
    </w:p>
    <w:p w:rsidR="00065721" w:rsidRPr="00E13D0A" w:rsidRDefault="00065721" w:rsidP="00926B45">
      <w:pPr>
        <w:pStyle w:val="ParaNoNdepar-AltN"/>
        <w:widowControl w:val="0"/>
        <w:rPr>
          <w:rFonts w:cs="Times New Roman"/>
          <w:lang w:val="fr-CA"/>
        </w:rPr>
      </w:pPr>
      <w:r w:rsidRPr="00E13D0A">
        <w:rPr>
          <w:rFonts w:cs="Times New Roman"/>
          <w:lang w:val="fr-CA"/>
        </w:rPr>
        <w:t>Le RIAC établi en 2010 diffère également de son prédécesseur en ce qui a trait à l</w:t>
      </w:r>
      <w:r>
        <w:rPr>
          <w:rFonts w:cs="Times New Roman"/>
          <w:lang w:val="fr-CA"/>
        </w:rPr>
        <w:t>’</w:t>
      </w:r>
      <w:r w:rsidRPr="00E13D0A">
        <w:rPr>
          <w:rFonts w:cs="Times New Roman"/>
          <w:lang w:val="fr-CA"/>
        </w:rPr>
        <w:t>étendue du contrôle. Le régime d</w:t>
      </w:r>
      <w:r>
        <w:rPr>
          <w:rFonts w:cs="Times New Roman"/>
          <w:lang w:val="fr-CA"/>
        </w:rPr>
        <w:t>’</w:t>
      </w:r>
      <w:r w:rsidRPr="00E13D0A">
        <w:rPr>
          <w:rFonts w:cs="Times New Roman"/>
          <w:lang w:val="fr-CA"/>
        </w:rPr>
        <w:t>IAC permettait au Surintendant d</w:t>
      </w:r>
      <w:r>
        <w:rPr>
          <w:rFonts w:cs="Times New Roman"/>
          <w:lang w:val="fr-CA"/>
        </w:rPr>
        <w:t>’</w:t>
      </w:r>
      <w:r w:rsidRPr="00E13D0A">
        <w:rPr>
          <w:rFonts w:cs="Times New Roman"/>
          <w:lang w:val="fr-CA"/>
        </w:rPr>
        <w:t>examiner si l</w:t>
      </w:r>
      <w:r>
        <w:rPr>
          <w:rFonts w:cs="Times New Roman"/>
          <w:lang w:val="fr-CA"/>
        </w:rPr>
        <w:t>’</w:t>
      </w:r>
      <w:r w:rsidRPr="00E13D0A">
        <w:rPr>
          <w:rFonts w:cs="Times New Roman"/>
          <w:lang w:val="fr-CA"/>
        </w:rPr>
        <w:t xml:space="preserve">alcoolémie du conducteur était bel et bien supérieure à 0,08, alors que le RIAC limitait les motifs de contrôle aux questions de savoir si la personne était en fait un </w:t>
      </w:r>
      <w:r w:rsidRPr="00E13D0A">
        <w:rPr>
          <w:rFonts w:cs="Times New Roman"/>
          <w:lang w:val="fr-CA"/>
        </w:rPr>
        <w:lastRenderedPageBreak/>
        <w:t>conducteur, si (dans le cas d</w:t>
      </w:r>
      <w:r>
        <w:rPr>
          <w:rFonts w:cs="Times New Roman"/>
          <w:lang w:val="fr-CA"/>
        </w:rPr>
        <w:t>’</w:t>
      </w:r>
      <w:r w:rsidRPr="00E13D0A">
        <w:rPr>
          <w:rFonts w:cs="Times New Roman"/>
          <w:lang w:val="fr-CA"/>
        </w:rPr>
        <w:t>un « avertissement ») l</w:t>
      </w:r>
      <w:r>
        <w:rPr>
          <w:rFonts w:cs="Times New Roman"/>
          <w:lang w:val="fr-CA"/>
        </w:rPr>
        <w:t>’</w:t>
      </w:r>
      <w:r w:rsidRPr="00E13D0A">
        <w:rPr>
          <w:rFonts w:cs="Times New Roman"/>
          <w:lang w:val="fr-CA"/>
        </w:rPr>
        <w:t>interdiction était en fait une interdiction subséquente et si l</w:t>
      </w:r>
      <w:r>
        <w:rPr>
          <w:rFonts w:cs="Times New Roman"/>
          <w:lang w:val="fr-CA"/>
        </w:rPr>
        <w:t>’</w:t>
      </w:r>
      <w:r w:rsidRPr="00E13D0A">
        <w:rPr>
          <w:rFonts w:cs="Times New Roman"/>
          <w:lang w:val="fr-CA"/>
        </w:rPr>
        <w:t>appareil de détection approuvé affichait un « avertissement » ou un « échec » ou, subsidiairement, si le conducteur avait omis ou refusé, sans excuse raisonnable, de fournir un échantillon d</w:t>
      </w:r>
      <w:r>
        <w:rPr>
          <w:rFonts w:cs="Times New Roman"/>
          <w:lang w:val="fr-CA"/>
        </w:rPr>
        <w:t>’</w:t>
      </w:r>
      <w:r w:rsidRPr="00E13D0A">
        <w:rPr>
          <w:rFonts w:cs="Times New Roman"/>
          <w:lang w:val="fr-CA"/>
        </w:rPr>
        <w:t>haleine</w:t>
      </w:r>
      <w:r>
        <w:rPr>
          <w:rFonts w:cs="Times New Roman"/>
          <w:lang w:val="fr-CA"/>
        </w:rPr>
        <w:t> :</w:t>
      </w:r>
      <w:r w:rsidRPr="00E13D0A">
        <w:rPr>
          <w:rFonts w:cs="Times New Roman"/>
          <w:lang w:val="fr-CA"/>
        </w:rPr>
        <w:t xml:space="preserve"> motifs du juge en chambre, </w:t>
      </w:r>
      <w:r>
        <w:rPr>
          <w:rFonts w:cs="Times New Roman"/>
          <w:lang w:val="fr-CA"/>
        </w:rPr>
        <w:t>par. </w:t>
      </w:r>
      <w:r w:rsidRPr="00E13D0A">
        <w:rPr>
          <w:rFonts w:cs="Times New Roman"/>
          <w:lang w:val="fr-CA"/>
        </w:rPr>
        <w:t xml:space="preserve">57; </w:t>
      </w:r>
      <w:r w:rsidRPr="00E13D0A">
        <w:rPr>
          <w:rFonts w:cs="Times New Roman"/>
          <w:i/>
          <w:lang w:val="fr-CA"/>
        </w:rPr>
        <w:t>MVA</w:t>
      </w:r>
      <w:r w:rsidRPr="00E13D0A">
        <w:rPr>
          <w:rFonts w:cs="Times New Roman"/>
          <w:lang w:val="fr-CA"/>
        </w:rPr>
        <w:t xml:space="preserve">, </w:t>
      </w:r>
      <w:r>
        <w:rPr>
          <w:rFonts w:cs="Times New Roman"/>
          <w:lang w:val="fr-CA"/>
        </w:rPr>
        <w:t>art. </w:t>
      </w:r>
      <w:r w:rsidRPr="00E13D0A">
        <w:rPr>
          <w:rFonts w:cs="Times New Roman"/>
          <w:lang w:val="fr-CA"/>
        </w:rPr>
        <w:t>215.5.</w:t>
      </w:r>
    </w:p>
    <w:p w:rsidR="00065721" w:rsidRPr="00E13D0A" w:rsidRDefault="00065721" w:rsidP="00926B45">
      <w:pPr>
        <w:pStyle w:val="ParaNoNdepar-AltN"/>
        <w:widowControl w:val="0"/>
        <w:rPr>
          <w:rFonts w:cs="Times New Roman"/>
          <w:lang w:val="fr-CA"/>
        </w:rPr>
      </w:pPr>
      <w:r w:rsidRPr="00E13D0A">
        <w:rPr>
          <w:rFonts w:cs="Times New Roman"/>
          <w:lang w:val="fr-CA"/>
        </w:rPr>
        <w:t>Le régime a été modifié en 2012, après la décision du juge en chambre, et il exige désormais que le policier informe le conducteur de son droit de demander une deuxième analyse faite au moyen d</w:t>
      </w:r>
      <w:r>
        <w:rPr>
          <w:rFonts w:cs="Times New Roman"/>
          <w:lang w:val="fr-CA"/>
        </w:rPr>
        <w:t>’</w:t>
      </w:r>
      <w:r w:rsidRPr="00E13D0A">
        <w:rPr>
          <w:rFonts w:cs="Times New Roman"/>
          <w:lang w:val="fr-CA"/>
        </w:rPr>
        <w:t>un ADA et d</w:t>
      </w:r>
      <w:r>
        <w:rPr>
          <w:rFonts w:cs="Times New Roman"/>
          <w:lang w:val="fr-CA"/>
        </w:rPr>
        <w:t>’</w:t>
      </w:r>
      <w:r w:rsidRPr="00E13D0A">
        <w:rPr>
          <w:rFonts w:cs="Times New Roman"/>
          <w:lang w:val="fr-CA"/>
        </w:rPr>
        <w:t>en obtenir une. Lorsque deux échantillons sont fournis, le plus faible résultat des deux analyses sert de fondement à l</w:t>
      </w:r>
      <w:r>
        <w:rPr>
          <w:rFonts w:cs="Times New Roman"/>
          <w:lang w:val="fr-CA"/>
        </w:rPr>
        <w:t>’</w:t>
      </w:r>
      <w:r w:rsidRPr="00E13D0A">
        <w:rPr>
          <w:rFonts w:cs="Times New Roman"/>
          <w:lang w:val="fr-CA"/>
        </w:rPr>
        <w:t>interdiction de conduire</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art. </w:t>
      </w:r>
      <w:r w:rsidRPr="00E13D0A">
        <w:rPr>
          <w:rFonts w:cs="Times New Roman"/>
          <w:lang w:val="fr-CA"/>
        </w:rPr>
        <w:t>215.42. Le régime élargit aussi les motifs pour lesquels un conducteur peut contester une interdiction</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art. </w:t>
      </w:r>
      <w:r w:rsidRPr="00E13D0A">
        <w:rPr>
          <w:rFonts w:cs="Times New Roman"/>
          <w:lang w:val="fr-CA"/>
        </w:rPr>
        <w:t>215.5. Suivant le RIAC modifié, le rapport que le policier remet au Surintendant doit être fait sous serment, et la police doit désormais lui fournir des renseignements sur le calibrage de l</w:t>
      </w:r>
      <w:r>
        <w:rPr>
          <w:rFonts w:cs="Times New Roman"/>
          <w:lang w:val="fr-CA"/>
        </w:rPr>
        <w:t>’</w:t>
      </w:r>
      <w:r w:rsidRPr="00E13D0A">
        <w:rPr>
          <w:rFonts w:cs="Times New Roman"/>
          <w:lang w:val="fr-CA"/>
        </w:rPr>
        <w:t>ADA</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art. </w:t>
      </w:r>
      <w:r w:rsidRPr="00E13D0A">
        <w:rPr>
          <w:rFonts w:cs="Times New Roman"/>
          <w:lang w:val="fr-CA"/>
        </w:rPr>
        <w:t>215.47. Ces modifications ne sont pas contestées en l</w:t>
      </w:r>
      <w:r>
        <w:rPr>
          <w:rFonts w:cs="Times New Roman"/>
          <w:lang w:val="fr-CA"/>
        </w:rPr>
        <w:t>’</w:t>
      </w:r>
      <w:r w:rsidRPr="00E13D0A">
        <w:rPr>
          <w:rFonts w:cs="Times New Roman"/>
          <w:lang w:val="fr-CA"/>
        </w:rPr>
        <w:t>espèce.</w:t>
      </w:r>
    </w:p>
    <w:p w:rsidR="00065721" w:rsidRPr="00E13D0A" w:rsidRDefault="00065721" w:rsidP="00926B45">
      <w:pPr>
        <w:pStyle w:val="Title1LevelTitre1Niveau-AltL"/>
        <w:widowControl w:val="0"/>
        <w:rPr>
          <w:rFonts w:cs="Times New Roman"/>
          <w:lang w:val="fr-CA"/>
        </w:rPr>
      </w:pPr>
      <w:r w:rsidRPr="00E13D0A">
        <w:rPr>
          <w:rFonts w:cs="Times New Roman"/>
          <w:lang w:val="fr-CA"/>
        </w:rPr>
        <w:t>Questions en litige</w:t>
      </w:r>
    </w:p>
    <w:p w:rsidR="00065721" w:rsidRPr="00E13D0A" w:rsidRDefault="00065721" w:rsidP="00926B45">
      <w:pPr>
        <w:pStyle w:val="ParaNoNdepar-AltN"/>
        <w:widowControl w:val="0"/>
        <w:rPr>
          <w:rFonts w:cs="Times New Roman"/>
          <w:lang w:val="fr-CA"/>
        </w:rPr>
      </w:pPr>
      <w:r w:rsidRPr="00E13D0A">
        <w:rPr>
          <w:rFonts w:cs="Times New Roman"/>
          <w:lang w:val="fr-CA"/>
        </w:rPr>
        <w:t>Les pourvois soulèvent quatre questions constitutionnelles. La première touche le partage des compétences entre le fédéral et les provinces</w:t>
      </w:r>
      <w:r>
        <w:rPr>
          <w:rFonts w:cs="Times New Roman"/>
          <w:lang w:val="fr-CA"/>
        </w:rPr>
        <w:t> :</w:t>
      </w:r>
      <w:r w:rsidRPr="00E13D0A">
        <w:rPr>
          <w:rFonts w:cs="Times New Roman"/>
          <w:lang w:val="fr-CA"/>
        </w:rPr>
        <w:t xml:space="preserve"> le RIAC, tel qu</w:t>
      </w:r>
      <w:r>
        <w:rPr>
          <w:rFonts w:cs="Times New Roman"/>
          <w:lang w:val="fr-CA"/>
        </w:rPr>
        <w:t>’</w:t>
      </w:r>
      <w:r w:rsidRPr="00E13D0A">
        <w:rPr>
          <w:rFonts w:cs="Times New Roman"/>
          <w:lang w:val="fr-CA"/>
        </w:rPr>
        <w:t>il a été établi en septembre 2010, outrepasse</w:t>
      </w:r>
      <w:r>
        <w:rPr>
          <w:rFonts w:cs="Times New Roman"/>
          <w:lang w:val="fr-CA"/>
        </w:rPr>
        <w:noBreakHyphen/>
      </w:r>
      <w:r w:rsidRPr="00E13D0A">
        <w:rPr>
          <w:rFonts w:cs="Times New Roman"/>
          <w:lang w:val="fr-CA"/>
        </w:rPr>
        <w:t>t</w:t>
      </w:r>
      <w:r>
        <w:rPr>
          <w:rFonts w:cs="Times New Roman"/>
          <w:lang w:val="fr-CA"/>
        </w:rPr>
        <w:noBreakHyphen/>
      </w:r>
      <w:r w:rsidRPr="00E13D0A">
        <w:rPr>
          <w:rFonts w:cs="Times New Roman"/>
          <w:lang w:val="fr-CA"/>
        </w:rPr>
        <w:t>il la compétence de la Colombie</w:t>
      </w:r>
      <w:r>
        <w:rPr>
          <w:rFonts w:cs="Times New Roman"/>
          <w:lang w:val="fr-CA"/>
        </w:rPr>
        <w:noBreakHyphen/>
      </w:r>
      <w:r w:rsidRPr="00E13D0A">
        <w:rPr>
          <w:rFonts w:cs="Times New Roman"/>
          <w:lang w:val="fr-CA"/>
        </w:rPr>
        <w:t>Britannique parce qu</w:t>
      </w:r>
      <w:r>
        <w:rPr>
          <w:rFonts w:cs="Times New Roman"/>
          <w:lang w:val="fr-CA"/>
        </w:rPr>
        <w:t>’</w:t>
      </w:r>
      <w:r w:rsidRPr="00E13D0A">
        <w:rPr>
          <w:rFonts w:cs="Times New Roman"/>
          <w:lang w:val="fr-CA"/>
        </w:rPr>
        <w:t xml:space="preserve">il relève exclusivement de la compétence en matière de droit criminel que confère au gouvernement fédéral le </w:t>
      </w:r>
      <w:r>
        <w:rPr>
          <w:rFonts w:cs="Times New Roman"/>
          <w:lang w:val="fr-CA"/>
        </w:rPr>
        <w:t>par. </w:t>
      </w:r>
      <w:r w:rsidRPr="00E13D0A">
        <w:rPr>
          <w:rFonts w:cs="Times New Roman"/>
          <w:lang w:val="fr-CA"/>
        </w:rPr>
        <w:t xml:space="preserve">91(27) de la </w:t>
      </w:r>
      <w:r w:rsidRPr="00E13D0A">
        <w:rPr>
          <w:rFonts w:cs="Times New Roman"/>
          <w:i/>
          <w:lang w:val="fr-CA"/>
        </w:rPr>
        <w:t>Loi constitutionnelle de 1867</w:t>
      </w:r>
      <w:r w:rsidRPr="00E13D0A">
        <w:rPr>
          <w:rFonts w:cs="Times New Roman"/>
          <w:lang w:val="fr-CA"/>
        </w:rPr>
        <w:t>?</w:t>
      </w:r>
    </w:p>
    <w:p w:rsidR="00065721" w:rsidRPr="00E13D0A" w:rsidRDefault="00065721" w:rsidP="00926B45">
      <w:pPr>
        <w:pStyle w:val="ParaNoNdepar-AltN"/>
        <w:widowControl w:val="0"/>
        <w:rPr>
          <w:rFonts w:eastAsiaTheme="minorHAnsi" w:cs="Times New Roman"/>
          <w:u w:val="single"/>
          <w:lang w:val="fr-CA"/>
        </w:rPr>
      </w:pPr>
      <w:r w:rsidRPr="00E13D0A">
        <w:rPr>
          <w:rFonts w:cs="Times New Roman"/>
          <w:lang w:val="fr-CA"/>
        </w:rPr>
        <w:lastRenderedPageBreak/>
        <w:t>Si le RIAC ressortit à la compétence législative de la Colombie</w:t>
      </w:r>
      <w:r>
        <w:rPr>
          <w:rFonts w:cs="Times New Roman"/>
          <w:lang w:val="fr-CA"/>
        </w:rPr>
        <w:noBreakHyphen/>
      </w:r>
      <w:r w:rsidRPr="00E13D0A">
        <w:rPr>
          <w:rFonts w:cs="Times New Roman"/>
          <w:lang w:val="fr-CA"/>
        </w:rPr>
        <w:t>Britannique, les autres questions portent sur sa conformité à l</w:t>
      </w:r>
      <w:r>
        <w:rPr>
          <w:rFonts w:cs="Times New Roman"/>
          <w:lang w:val="fr-CA"/>
        </w:rPr>
        <w:t>’art. </w:t>
      </w:r>
      <w:r w:rsidRPr="00E13D0A">
        <w:rPr>
          <w:rFonts w:cs="Times New Roman"/>
          <w:lang w:val="fr-CA"/>
        </w:rPr>
        <w:t>8 et à l</w:t>
      </w:r>
      <w:r>
        <w:rPr>
          <w:rFonts w:cs="Times New Roman"/>
          <w:lang w:val="fr-CA"/>
        </w:rPr>
        <w:t>’al. </w:t>
      </w:r>
      <w:r w:rsidRPr="00E13D0A">
        <w:rPr>
          <w:rFonts w:cs="Times New Roman"/>
          <w:lang w:val="fr-CA"/>
        </w:rPr>
        <w:t>11</w:t>
      </w:r>
      <w:r w:rsidRPr="00E13D0A">
        <w:rPr>
          <w:rFonts w:cs="Times New Roman"/>
          <w:i/>
          <w:lang w:val="fr-CA"/>
        </w:rPr>
        <w:t>d</w:t>
      </w:r>
      <w:r w:rsidRPr="00E13D0A">
        <w:rPr>
          <w:rFonts w:cs="Times New Roman"/>
          <w:lang w:val="fr-CA"/>
        </w:rPr>
        <w:t xml:space="preserve">) de la </w:t>
      </w:r>
      <w:r w:rsidRPr="00E13D0A">
        <w:rPr>
          <w:rFonts w:cs="Times New Roman"/>
          <w:i/>
          <w:lang w:val="fr-CA"/>
        </w:rPr>
        <w:t>Charte</w:t>
      </w:r>
      <w:r w:rsidRPr="00E13D0A">
        <w:rPr>
          <w:rStyle w:val="FootnoteReference"/>
          <w:rFonts w:cs="Times New Roman"/>
          <w:lang w:val="fr-CA"/>
        </w:rPr>
        <w:footnoteReference w:id="3"/>
      </w:r>
      <w:r w:rsidRPr="00E13D0A">
        <w:rPr>
          <w:rFonts w:cs="Times New Roman"/>
          <w:lang w:val="fr-CA"/>
        </w:rPr>
        <w:t>. Si le régime législatif porte atteinte à l</w:t>
      </w:r>
      <w:r>
        <w:rPr>
          <w:rFonts w:cs="Times New Roman"/>
          <w:lang w:val="fr-CA"/>
        </w:rPr>
        <w:t>’</w:t>
      </w:r>
      <w:r w:rsidRPr="00E13D0A">
        <w:rPr>
          <w:rFonts w:cs="Times New Roman"/>
          <w:lang w:val="fr-CA"/>
        </w:rPr>
        <w:t>un ou l</w:t>
      </w:r>
      <w:r>
        <w:rPr>
          <w:rFonts w:cs="Times New Roman"/>
          <w:lang w:val="fr-CA"/>
        </w:rPr>
        <w:t>’</w:t>
      </w:r>
      <w:r w:rsidRPr="00E13D0A">
        <w:rPr>
          <w:rFonts w:cs="Times New Roman"/>
          <w:lang w:val="fr-CA"/>
        </w:rPr>
        <w:t xml:space="preserve">autre de ces droits garantis par la </w:t>
      </w:r>
      <w:r w:rsidRPr="00E13D0A">
        <w:rPr>
          <w:rFonts w:cs="Times New Roman"/>
          <w:i/>
          <w:lang w:val="fr-CA"/>
        </w:rPr>
        <w:t>Charte</w:t>
      </w:r>
      <w:r w:rsidRPr="00E13D0A">
        <w:rPr>
          <w:rFonts w:cs="Times New Roman"/>
          <w:lang w:val="fr-CA"/>
        </w:rPr>
        <w:t>, la Cour doit également décider si cette atteinte constitue une limite raisonnable justifiée au sens de l</w:t>
      </w:r>
      <w:r>
        <w:rPr>
          <w:rFonts w:cs="Times New Roman"/>
          <w:lang w:val="fr-CA"/>
        </w:rPr>
        <w:t>’</w:t>
      </w:r>
      <w:r w:rsidRPr="00E13D0A">
        <w:rPr>
          <w:rFonts w:cs="Times New Roman"/>
          <w:lang w:val="fr-CA"/>
        </w:rPr>
        <w:t>article premier.</w:t>
      </w:r>
    </w:p>
    <w:p w:rsidR="00065721" w:rsidRPr="00E13D0A" w:rsidRDefault="00065721" w:rsidP="00926B45">
      <w:pPr>
        <w:pStyle w:val="Title1LevelTitre1Niveau-AltL"/>
        <w:widowControl w:val="0"/>
        <w:rPr>
          <w:rFonts w:cs="Times New Roman"/>
          <w:lang w:val="fr-CA"/>
        </w:rPr>
      </w:pPr>
      <w:r w:rsidRPr="00E13D0A">
        <w:rPr>
          <w:rFonts w:cs="Times New Roman"/>
          <w:lang w:val="fr-CA"/>
        </w:rPr>
        <w:t>Analyse</w:t>
      </w:r>
    </w:p>
    <w:p w:rsidR="00065721" w:rsidRPr="00E13D0A" w:rsidRDefault="00065721" w:rsidP="00926B45">
      <w:pPr>
        <w:pStyle w:val="Title2LevelTitre2Niveau"/>
        <w:widowControl w:val="0"/>
        <w:rPr>
          <w:rFonts w:cs="Times New Roman"/>
          <w:lang w:val="fr-CA"/>
        </w:rPr>
      </w:pPr>
      <w:r w:rsidRPr="00E13D0A">
        <w:rPr>
          <w:rFonts w:cs="Times New Roman"/>
          <w:lang w:val="fr-CA"/>
        </w:rPr>
        <w:t>Le RIAC excède</w:t>
      </w:r>
      <w:r>
        <w:rPr>
          <w:rFonts w:cs="Times New Roman"/>
          <w:lang w:val="fr-CA"/>
        </w:rPr>
        <w:noBreakHyphen/>
      </w:r>
      <w:r w:rsidRPr="00E13D0A">
        <w:rPr>
          <w:rFonts w:cs="Times New Roman"/>
          <w:lang w:val="fr-CA"/>
        </w:rPr>
        <w:t>t</w:t>
      </w:r>
      <w:r>
        <w:rPr>
          <w:rFonts w:cs="Times New Roman"/>
          <w:lang w:val="fr-CA"/>
        </w:rPr>
        <w:noBreakHyphen/>
      </w:r>
      <w:r w:rsidRPr="00E13D0A">
        <w:rPr>
          <w:rFonts w:cs="Times New Roman"/>
          <w:lang w:val="fr-CA"/>
        </w:rPr>
        <w:t>il la compétence de la province?</w:t>
      </w:r>
    </w:p>
    <w:p w:rsidR="00065721" w:rsidRPr="00E13D0A" w:rsidRDefault="00065721" w:rsidP="00926B45">
      <w:pPr>
        <w:pStyle w:val="ParaNoNdepar-AltN"/>
        <w:widowControl w:val="0"/>
        <w:rPr>
          <w:rFonts w:cs="Times New Roman"/>
          <w:lang w:val="fr-CA"/>
        </w:rPr>
      </w:pPr>
      <w:r w:rsidRPr="00E13D0A">
        <w:rPr>
          <w:rFonts w:cs="Times New Roman"/>
          <w:lang w:val="fr-CA"/>
        </w:rPr>
        <w:t xml:space="preserve">Suivant la </w:t>
      </w:r>
      <w:r w:rsidRPr="00E13D0A">
        <w:rPr>
          <w:rFonts w:cs="Times New Roman"/>
          <w:i/>
          <w:lang w:val="fr-CA"/>
        </w:rPr>
        <w:t>Loi constitutionnelle de 1867</w:t>
      </w:r>
      <w:r w:rsidRPr="00E13D0A">
        <w:rPr>
          <w:rFonts w:cs="Times New Roman"/>
          <w:lang w:val="fr-CA"/>
        </w:rPr>
        <w:t>, le gouvernement fédéral exerce une compétence exclusive sur la loi criminelle et la procédure en matière criminelle (</w:t>
      </w:r>
      <w:r>
        <w:rPr>
          <w:rFonts w:cs="Times New Roman"/>
          <w:lang w:val="fr-CA"/>
        </w:rPr>
        <w:t>par. </w:t>
      </w:r>
      <w:r w:rsidRPr="00E13D0A">
        <w:rPr>
          <w:rFonts w:cs="Times New Roman"/>
          <w:lang w:val="fr-CA"/>
        </w:rPr>
        <w:t>91(27)), tandis que chaque province exerce une compétence exclusive sur la propriété et les droits civils à l</w:t>
      </w:r>
      <w:r>
        <w:rPr>
          <w:rFonts w:cs="Times New Roman"/>
          <w:lang w:val="fr-CA"/>
        </w:rPr>
        <w:t>’</w:t>
      </w:r>
      <w:r w:rsidRPr="00E13D0A">
        <w:rPr>
          <w:rFonts w:cs="Times New Roman"/>
          <w:lang w:val="fr-CA"/>
        </w:rPr>
        <w:t>intérieur de son territoire (</w:t>
      </w:r>
      <w:r>
        <w:rPr>
          <w:rFonts w:cs="Times New Roman"/>
          <w:lang w:val="fr-CA"/>
        </w:rPr>
        <w:t>par. </w:t>
      </w:r>
      <w:r w:rsidRPr="00E13D0A">
        <w:rPr>
          <w:rFonts w:cs="Times New Roman"/>
          <w:lang w:val="fr-CA"/>
        </w:rPr>
        <w:t>92(13)).</w:t>
      </w:r>
    </w:p>
    <w:p w:rsidR="00065721" w:rsidRPr="00E13D0A" w:rsidRDefault="00065721" w:rsidP="00926B45">
      <w:pPr>
        <w:pStyle w:val="ParaNoNdepar-AltN"/>
        <w:widowControl w:val="0"/>
        <w:rPr>
          <w:rFonts w:cs="Times New Roman"/>
          <w:lang w:val="fr-CA"/>
        </w:rPr>
      </w:pPr>
      <w:r w:rsidRPr="00E13D0A">
        <w:rPr>
          <w:rFonts w:cs="Times New Roman"/>
          <w:lang w:val="fr-CA"/>
        </w:rPr>
        <w:t>Monsieur Goodwin</w:t>
      </w:r>
      <w:r w:rsidRPr="00E13D0A">
        <w:rPr>
          <w:rFonts w:cs="Times New Roman"/>
          <w:b/>
          <w:lang w:val="fr-CA"/>
        </w:rPr>
        <w:t xml:space="preserve"> </w:t>
      </w:r>
      <w:r w:rsidRPr="00E13D0A">
        <w:rPr>
          <w:rFonts w:cs="Times New Roman"/>
          <w:lang w:val="fr-CA"/>
        </w:rPr>
        <w:t>fait valoir que le RIAC excède la compétence de la province de la Colombie</w:t>
      </w:r>
      <w:r>
        <w:rPr>
          <w:rFonts w:cs="Times New Roman"/>
          <w:lang w:val="fr-CA"/>
        </w:rPr>
        <w:noBreakHyphen/>
      </w:r>
      <w:r w:rsidRPr="00E13D0A">
        <w:rPr>
          <w:rFonts w:cs="Times New Roman"/>
          <w:lang w:val="fr-CA"/>
        </w:rPr>
        <w:t xml:space="preserve">Britannique puisque, de par son caractère véritable, il vise à remplacer les dispositions du </w:t>
      </w:r>
      <w:r w:rsidRPr="00E13D0A">
        <w:rPr>
          <w:rFonts w:cs="Times New Roman"/>
          <w:i/>
          <w:lang w:val="fr-CA"/>
        </w:rPr>
        <w:t>Code criminel</w:t>
      </w:r>
      <w:r w:rsidRPr="00E13D0A">
        <w:rPr>
          <w:rFonts w:cs="Times New Roman"/>
          <w:lang w:val="fr-CA"/>
        </w:rPr>
        <w:t xml:space="preserve"> en matière de conduite avec facultés affaiblies par un régime de sanctions automatiques et lourdes. Il affirme que l</w:t>
      </w:r>
      <w:r>
        <w:rPr>
          <w:rFonts w:cs="Times New Roman"/>
          <w:lang w:val="fr-CA"/>
        </w:rPr>
        <w:t>’</w:t>
      </w:r>
      <w:r w:rsidRPr="00E13D0A">
        <w:rPr>
          <w:rFonts w:cs="Times New Roman"/>
          <w:lang w:val="fr-CA"/>
        </w:rPr>
        <w:t>objectif du régime est punitif, car il vise à réduire les frais d</w:t>
      </w:r>
      <w:r>
        <w:rPr>
          <w:rFonts w:cs="Times New Roman"/>
          <w:lang w:val="fr-CA"/>
        </w:rPr>
        <w:t>’</w:t>
      </w:r>
      <w:r w:rsidRPr="00E13D0A">
        <w:rPr>
          <w:rFonts w:cs="Times New Roman"/>
          <w:lang w:val="fr-CA"/>
        </w:rPr>
        <w:t>application de la loi en supprimant des droits procéduraux. Toujours selon M. Goodwin, le régime a pour effet pratique d</w:t>
      </w:r>
      <w:r>
        <w:rPr>
          <w:rFonts w:cs="Times New Roman"/>
          <w:lang w:val="fr-CA"/>
        </w:rPr>
        <w:t>’</w:t>
      </w:r>
      <w:r w:rsidRPr="00E13D0A">
        <w:rPr>
          <w:rFonts w:cs="Times New Roman"/>
          <w:lang w:val="fr-CA"/>
        </w:rPr>
        <w:t>écarter le droit criminel.</w:t>
      </w:r>
    </w:p>
    <w:p w:rsidR="00065721" w:rsidRPr="00E13D0A" w:rsidRDefault="00065721" w:rsidP="00926B45">
      <w:pPr>
        <w:pStyle w:val="ParaNoNdepar-AltN"/>
        <w:widowControl w:val="0"/>
        <w:rPr>
          <w:rFonts w:cs="Times New Roman"/>
          <w:lang w:val="fr-CA"/>
        </w:rPr>
      </w:pPr>
      <w:r w:rsidRPr="00E13D0A">
        <w:rPr>
          <w:rFonts w:cs="Times New Roman"/>
          <w:lang w:val="fr-CA"/>
        </w:rPr>
        <w:lastRenderedPageBreak/>
        <w:t xml:space="preserve">La Province réplique que le RIAC constitue un exercice valable de son pouvoir de légiférer dans le domaine de la propriété et des droits civils en vertu du </w:t>
      </w:r>
      <w:r>
        <w:rPr>
          <w:rFonts w:cs="Times New Roman"/>
          <w:lang w:val="fr-CA"/>
        </w:rPr>
        <w:t>par. </w:t>
      </w:r>
      <w:r w:rsidRPr="00E13D0A">
        <w:rPr>
          <w:rFonts w:cs="Times New Roman"/>
          <w:lang w:val="fr-CA"/>
        </w:rPr>
        <w:t xml:space="preserve">92(13) de la </w:t>
      </w:r>
      <w:r w:rsidRPr="00E13D0A">
        <w:rPr>
          <w:rFonts w:cs="Times New Roman"/>
          <w:i/>
          <w:lang w:val="fr-CA"/>
        </w:rPr>
        <w:t>Loi constitutionnelle de 1867</w:t>
      </w:r>
      <w:r w:rsidRPr="00E13D0A">
        <w:rPr>
          <w:rFonts w:cs="Times New Roman"/>
          <w:lang w:val="fr-CA"/>
        </w:rPr>
        <w:t>. D</w:t>
      </w:r>
      <w:r>
        <w:rPr>
          <w:rFonts w:cs="Times New Roman"/>
          <w:lang w:val="fr-CA"/>
        </w:rPr>
        <w:t>’</w:t>
      </w:r>
      <w:r w:rsidRPr="00E13D0A">
        <w:rPr>
          <w:rFonts w:cs="Times New Roman"/>
          <w:lang w:val="fr-CA"/>
        </w:rPr>
        <w:t>après la Province, l</w:t>
      </w:r>
      <w:r>
        <w:rPr>
          <w:rFonts w:cs="Times New Roman"/>
          <w:lang w:val="fr-CA"/>
        </w:rPr>
        <w:t>’</w:t>
      </w:r>
      <w:r w:rsidRPr="00E13D0A">
        <w:rPr>
          <w:rFonts w:cs="Times New Roman"/>
          <w:lang w:val="fr-CA"/>
        </w:rPr>
        <w:t xml:space="preserve">arrêt </w:t>
      </w:r>
      <w:r w:rsidRPr="00E13D0A">
        <w:rPr>
          <w:rFonts w:cs="Times New Roman"/>
          <w:bCs/>
          <w:i/>
          <w:lang w:val="fr-CA"/>
        </w:rPr>
        <w:t>Provincial Secretary of Prince Edward Island c. Egan</w:t>
      </w:r>
      <w:r w:rsidRPr="00E13D0A">
        <w:rPr>
          <w:rFonts w:cs="Times New Roman"/>
          <w:bCs/>
          <w:lang w:val="fr-CA"/>
        </w:rPr>
        <w:t>, [1941] R.C.S. 396,</w:t>
      </w:r>
      <w:r w:rsidRPr="00E13D0A">
        <w:rPr>
          <w:rFonts w:cs="Times New Roman"/>
          <w:i/>
          <w:lang w:val="fr-CA"/>
        </w:rPr>
        <w:t xml:space="preserve"> </w:t>
      </w:r>
      <w:r w:rsidRPr="00E13D0A">
        <w:rPr>
          <w:rFonts w:cs="Times New Roman"/>
          <w:lang w:val="fr-CA"/>
        </w:rPr>
        <w:t xml:space="preserve">ainsi que les autres arrêts de la Cour qui confirment la validité des régimes provinciaux régissant la conduite avec facultés affaiblies, répondent entièrement à la prétention des conducteurs selon laquelle le RIAC est </w:t>
      </w:r>
      <w:r w:rsidRPr="00E13D0A">
        <w:rPr>
          <w:rFonts w:cs="Times New Roman"/>
          <w:i/>
          <w:lang w:val="fr-CA"/>
        </w:rPr>
        <w:t>ultra vires</w:t>
      </w:r>
      <w:r w:rsidRPr="00E13D0A">
        <w:rPr>
          <w:rFonts w:cs="Times New Roman"/>
          <w:lang w:val="fr-CA"/>
        </w:rPr>
        <w:t>.</w:t>
      </w:r>
    </w:p>
    <w:p w:rsidR="00065721" w:rsidRPr="00E13D0A" w:rsidRDefault="00065721" w:rsidP="00926B45">
      <w:pPr>
        <w:pStyle w:val="ParaNoNdepar-AltN"/>
        <w:widowControl w:val="0"/>
        <w:rPr>
          <w:rFonts w:cs="Times New Roman"/>
          <w:lang w:val="fr-CA"/>
        </w:rPr>
      </w:pPr>
      <w:r w:rsidRPr="00E13D0A">
        <w:rPr>
          <w:rFonts w:cs="Times New Roman"/>
          <w:lang w:val="fr-CA"/>
        </w:rPr>
        <w:t>Monsieur Goodwin affirme qu</w:t>
      </w:r>
      <w:r>
        <w:rPr>
          <w:rFonts w:cs="Times New Roman"/>
          <w:lang w:val="fr-CA"/>
        </w:rPr>
        <w:t>’</w:t>
      </w:r>
      <w:r w:rsidRPr="00E13D0A">
        <w:rPr>
          <w:rFonts w:cs="Times New Roman"/>
          <w:lang w:val="fr-CA"/>
        </w:rPr>
        <w:t>il faudrait établir une distinction entre la présente affaire et l</w:t>
      </w:r>
      <w:r>
        <w:rPr>
          <w:rFonts w:cs="Times New Roman"/>
          <w:lang w:val="fr-CA"/>
        </w:rPr>
        <w:t>’</w:t>
      </w:r>
      <w:r w:rsidRPr="00E13D0A">
        <w:rPr>
          <w:rFonts w:cs="Times New Roman"/>
          <w:lang w:val="fr-CA"/>
        </w:rPr>
        <w:t xml:space="preserve">arrêt </w:t>
      </w:r>
      <w:r w:rsidRPr="00E13D0A">
        <w:rPr>
          <w:rFonts w:cs="Times New Roman"/>
          <w:i/>
          <w:lang w:val="fr-CA"/>
        </w:rPr>
        <w:t>Egan</w:t>
      </w:r>
      <w:r w:rsidRPr="00E13D0A">
        <w:rPr>
          <w:rFonts w:cs="Times New Roman"/>
          <w:lang w:val="fr-CA"/>
        </w:rPr>
        <w:t xml:space="preserve"> ainsi que les autres arrêts confirmant les régimes provinciaux. Ces régimes visaient, dit</w:t>
      </w:r>
      <w:r>
        <w:rPr>
          <w:rFonts w:cs="Times New Roman"/>
          <w:lang w:val="fr-CA"/>
        </w:rPr>
        <w:noBreakHyphen/>
      </w:r>
      <w:r w:rsidRPr="00E13D0A">
        <w:rPr>
          <w:rFonts w:cs="Times New Roman"/>
          <w:lang w:val="fr-CA"/>
        </w:rPr>
        <w:t>il, à créer un mécanisme parallèle de délivrance de permis, et non à influer sur l</w:t>
      </w:r>
      <w:r>
        <w:rPr>
          <w:rFonts w:cs="Times New Roman"/>
          <w:lang w:val="fr-CA"/>
        </w:rPr>
        <w:t>’</w:t>
      </w:r>
      <w:r w:rsidRPr="00E13D0A">
        <w:rPr>
          <w:rFonts w:cs="Times New Roman"/>
          <w:lang w:val="fr-CA"/>
        </w:rPr>
        <w:t xml:space="preserve">application du </w:t>
      </w:r>
      <w:r w:rsidRPr="00E13D0A">
        <w:rPr>
          <w:rFonts w:cs="Times New Roman"/>
          <w:i/>
          <w:lang w:val="fr-CA"/>
        </w:rPr>
        <w:t>Code criminel</w:t>
      </w:r>
      <w:r w:rsidRPr="00E13D0A">
        <w:rPr>
          <w:rFonts w:cs="Times New Roman"/>
          <w:lang w:val="fr-CA"/>
        </w:rPr>
        <w:t>. À l</w:t>
      </w:r>
      <w:r>
        <w:rPr>
          <w:rFonts w:cs="Times New Roman"/>
          <w:lang w:val="fr-CA"/>
        </w:rPr>
        <w:t>’</w:t>
      </w:r>
      <w:r w:rsidRPr="00E13D0A">
        <w:rPr>
          <w:rFonts w:cs="Times New Roman"/>
          <w:lang w:val="fr-CA"/>
        </w:rPr>
        <w:t>opposé, le RIAC prévoit à la fois les sanctions et les moyens de déterminer qui devrait être puni, supprimant ainsi les formalités plus lourdes et protectrices associées aux enquêtes et aux poursuites criminelles</w:t>
      </w:r>
      <w:r>
        <w:rPr>
          <w:rFonts w:cs="Times New Roman"/>
          <w:lang w:val="fr-CA"/>
        </w:rPr>
        <w:t> :</w:t>
      </w:r>
      <w:r w:rsidRPr="00E13D0A">
        <w:rPr>
          <w:rFonts w:cs="Times New Roman"/>
          <w:lang w:val="fr-CA"/>
        </w:rPr>
        <w:t xml:space="preserve"> motifs du juge en chambre, </w:t>
      </w:r>
      <w:r>
        <w:rPr>
          <w:rFonts w:cs="Times New Roman"/>
          <w:lang w:val="fr-CA"/>
        </w:rPr>
        <w:t>par. </w:t>
      </w:r>
      <w:r w:rsidRPr="00E13D0A">
        <w:rPr>
          <w:rFonts w:cs="Times New Roman"/>
          <w:lang w:val="fr-CA"/>
        </w:rPr>
        <w:t>69</w:t>
      </w:r>
      <w:r>
        <w:rPr>
          <w:rFonts w:cs="Times New Roman"/>
          <w:lang w:val="fr-CA"/>
        </w:rPr>
        <w:noBreakHyphen/>
      </w:r>
      <w:r w:rsidRPr="00E13D0A">
        <w:rPr>
          <w:rFonts w:cs="Times New Roman"/>
          <w:lang w:val="fr-CA"/>
        </w:rPr>
        <w:t>73.</w:t>
      </w:r>
    </w:p>
    <w:p w:rsidR="00065721" w:rsidRPr="00E13D0A" w:rsidRDefault="00065721" w:rsidP="00926B45">
      <w:pPr>
        <w:pStyle w:val="ParaNoNdepar-AltN"/>
        <w:widowControl w:val="0"/>
        <w:rPr>
          <w:rFonts w:cs="Times New Roman"/>
          <w:lang w:val="fr-CA"/>
        </w:rPr>
      </w:pPr>
      <w:r w:rsidRPr="00E13D0A">
        <w:rPr>
          <w:rFonts w:cs="Times New Roman"/>
          <w:lang w:val="fr-CA"/>
        </w:rPr>
        <w:t>Cet argument a été rejeté par les tribunaux d</w:t>
      </w:r>
      <w:r>
        <w:rPr>
          <w:rFonts w:cs="Times New Roman"/>
          <w:lang w:val="fr-CA"/>
        </w:rPr>
        <w:t>’</w:t>
      </w:r>
      <w:r w:rsidRPr="00E13D0A">
        <w:rPr>
          <w:rFonts w:cs="Times New Roman"/>
          <w:lang w:val="fr-CA"/>
        </w:rPr>
        <w:t>instance inférieure. Pour les motifs qui suivent, je suis du même avis. Monsieur Goodwin se méprend sur la nature de l</w:t>
      </w:r>
      <w:r>
        <w:rPr>
          <w:rFonts w:cs="Times New Roman"/>
          <w:lang w:val="fr-CA"/>
        </w:rPr>
        <w:t>’</w:t>
      </w:r>
      <w:r w:rsidRPr="00E13D0A">
        <w:rPr>
          <w:rFonts w:cs="Times New Roman"/>
          <w:lang w:val="fr-CA"/>
        </w:rPr>
        <w:t>analyse du partage des compétences. Bien que l</w:t>
      </w:r>
      <w:r>
        <w:rPr>
          <w:rFonts w:cs="Times New Roman"/>
          <w:lang w:val="fr-CA"/>
        </w:rPr>
        <w:t>’</w:t>
      </w:r>
      <w:r w:rsidRPr="00E13D0A">
        <w:rPr>
          <w:rFonts w:cs="Times New Roman"/>
          <w:lang w:val="fr-CA"/>
        </w:rPr>
        <w:t>objectif et l</w:t>
      </w:r>
      <w:r>
        <w:rPr>
          <w:rFonts w:cs="Times New Roman"/>
          <w:lang w:val="fr-CA"/>
        </w:rPr>
        <w:t>’</w:t>
      </w:r>
      <w:r w:rsidRPr="00E13D0A">
        <w:rPr>
          <w:rFonts w:cs="Times New Roman"/>
          <w:lang w:val="fr-CA"/>
        </w:rPr>
        <w:t>effet soient des facteurs pertinents, ni l</w:t>
      </w:r>
      <w:r>
        <w:rPr>
          <w:rFonts w:cs="Times New Roman"/>
          <w:lang w:val="fr-CA"/>
        </w:rPr>
        <w:t>’</w:t>
      </w:r>
      <w:r w:rsidRPr="00E13D0A">
        <w:rPr>
          <w:rFonts w:cs="Times New Roman"/>
          <w:lang w:val="fr-CA"/>
        </w:rPr>
        <w:t>un ni l</w:t>
      </w:r>
      <w:r>
        <w:rPr>
          <w:rFonts w:cs="Times New Roman"/>
          <w:lang w:val="fr-CA"/>
        </w:rPr>
        <w:t>’</w:t>
      </w:r>
      <w:r w:rsidRPr="00E13D0A">
        <w:rPr>
          <w:rFonts w:cs="Times New Roman"/>
          <w:lang w:val="fr-CA"/>
        </w:rPr>
        <w:t>autre n</w:t>
      </w:r>
      <w:r>
        <w:rPr>
          <w:rFonts w:cs="Times New Roman"/>
          <w:lang w:val="fr-CA"/>
        </w:rPr>
        <w:t>’</w:t>
      </w:r>
      <w:r w:rsidRPr="00E13D0A">
        <w:rPr>
          <w:rFonts w:cs="Times New Roman"/>
          <w:lang w:val="fr-CA"/>
        </w:rPr>
        <w:t>est déterminant. Pour effectuer une analyse adéquate, il convient d</w:t>
      </w:r>
      <w:r>
        <w:rPr>
          <w:rFonts w:cs="Times New Roman"/>
          <w:lang w:val="fr-CA"/>
        </w:rPr>
        <w:t>’</w:t>
      </w:r>
      <w:r w:rsidRPr="00E13D0A">
        <w:rPr>
          <w:rFonts w:cs="Times New Roman"/>
          <w:lang w:val="fr-CA"/>
        </w:rPr>
        <w:t>étudier l</w:t>
      </w:r>
      <w:r>
        <w:rPr>
          <w:rFonts w:cs="Times New Roman"/>
          <w:lang w:val="fr-CA"/>
        </w:rPr>
        <w:t>’</w:t>
      </w:r>
      <w:r w:rsidRPr="00E13D0A">
        <w:rPr>
          <w:rFonts w:cs="Times New Roman"/>
          <w:lang w:val="fr-CA"/>
        </w:rPr>
        <w:t>objectif et l</w:t>
      </w:r>
      <w:r>
        <w:rPr>
          <w:rFonts w:cs="Times New Roman"/>
          <w:lang w:val="fr-CA"/>
        </w:rPr>
        <w:t>’</w:t>
      </w:r>
      <w:r w:rsidRPr="00E13D0A">
        <w:rPr>
          <w:rFonts w:cs="Times New Roman"/>
          <w:lang w:val="fr-CA"/>
        </w:rPr>
        <w:t>effet de la loi pour en identifier d</w:t>
      </w:r>
      <w:r>
        <w:rPr>
          <w:rFonts w:cs="Times New Roman"/>
          <w:lang w:val="fr-CA"/>
        </w:rPr>
        <w:t>’</w:t>
      </w:r>
      <w:r w:rsidRPr="00E13D0A">
        <w:rPr>
          <w:rFonts w:cs="Times New Roman"/>
          <w:lang w:val="fr-CA"/>
        </w:rPr>
        <w:t>abord</w:t>
      </w:r>
      <w:r>
        <w:rPr>
          <w:rFonts w:cs="Times New Roman"/>
          <w:lang w:val="fr-CA"/>
        </w:rPr>
        <w:t xml:space="preserve"> </w:t>
      </w:r>
      <w:r w:rsidRPr="00E13D0A">
        <w:rPr>
          <w:rFonts w:cs="Times New Roman"/>
          <w:lang w:val="fr-CA"/>
        </w:rPr>
        <w:t>la « matière » et, ensuite, d</w:t>
      </w:r>
      <w:r>
        <w:rPr>
          <w:rFonts w:cs="Times New Roman"/>
          <w:lang w:val="fr-CA"/>
        </w:rPr>
        <w:t>’</w:t>
      </w:r>
      <w:r w:rsidRPr="00E13D0A">
        <w:rPr>
          <w:rFonts w:cs="Times New Roman"/>
          <w:lang w:val="fr-CA"/>
        </w:rPr>
        <w:t>examiner si cette « matière » relève d</w:t>
      </w:r>
      <w:r>
        <w:rPr>
          <w:rFonts w:cs="Times New Roman"/>
          <w:lang w:val="fr-CA"/>
        </w:rPr>
        <w:t>’</w:t>
      </w:r>
      <w:r w:rsidRPr="00E13D0A">
        <w:rPr>
          <w:rFonts w:cs="Times New Roman"/>
          <w:lang w:val="fr-CA"/>
        </w:rPr>
        <w:t>un chef de compétence provinciale.</w:t>
      </w:r>
    </w:p>
    <w:p w:rsidR="00065721" w:rsidRPr="00E13D0A" w:rsidRDefault="00065721" w:rsidP="00926B45">
      <w:pPr>
        <w:pStyle w:val="ParaNoNdepar-AltN"/>
        <w:widowControl w:val="0"/>
        <w:rPr>
          <w:rFonts w:cs="Times New Roman"/>
          <w:lang w:val="fr-CA"/>
        </w:rPr>
      </w:pPr>
      <w:r w:rsidRPr="00E13D0A">
        <w:rPr>
          <w:rFonts w:cs="Times New Roman"/>
          <w:lang w:val="fr-CA"/>
        </w:rPr>
        <w:lastRenderedPageBreak/>
        <w:t>La « matière » d</w:t>
      </w:r>
      <w:r>
        <w:rPr>
          <w:rFonts w:cs="Times New Roman"/>
          <w:lang w:val="fr-CA"/>
        </w:rPr>
        <w:t>’</w:t>
      </w:r>
      <w:r w:rsidRPr="00E13D0A">
        <w:rPr>
          <w:rFonts w:cs="Times New Roman"/>
          <w:lang w:val="fr-CA"/>
        </w:rPr>
        <w:t>une loi est son caractère véritable</w:t>
      </w:r>
      <w:r>
        <w:rPr>
          <w:rFonts w:cs="Times New Roman"/>
          <w:lang w:val="fr-CA"/>
        </w:rPr>
        <w:t> :</w:t>
      </w:r>
      <w:r w:rsidRPr="00E13D0A">
        <w:rPr>
          <w:rFonts w:cs="Times New Roman"/>
          <w:lang w:val="fr-CA"/>
        </w:rPr>
        <w:t xml:space="preserve"> </w:t>
      </w:r>
      <w:r w:rsidRPr="00E13D0A">
        <w:rPr>
          <w:rFonts w:cs="Times New Roman"/>
          <w:i/>
          <w:lang w:val="fr-CA"/>
        </w:rPr>
        <w:t>R. c. Morgentaler</w:t>
      </w:r>
      <w:r w:rsidRPr="00E13D0A">
        <w:rPr>
          <w:rFonts w:cs="Times New Roman"/>
          <w:lang w:val="fr-CA"/>
        </w:rPr>
        <w:t xml:space="preserve">, [1993] 3 R.C.S. 463, </w:t>
      </w:r>
      <w:r>
        <w:rPr>
          <w:rFonts w:cs="Times New Roman"/>
          <w:lang w:val="fr-CA"/>
        </w:rPr>
        <w:t>p. </w:t>
      </w:r>
      <w:r w:rsidRPr="00E13D0A">
        <w:rPr>
          <w:rFonts w:cs="Times New Roman"/>
          <w:lang w:val="fr-CA"/>
        </w:rPr>
        <w:t>481. L</w:t>
      </w:r>
      <w:r>
        <w:rPr>
          <w:rFonts w:cs="Times New Roman"/>
          <w:lang w:val="fr-CA"/>
        </w:rPr>
        <w:t>’</w:t>
      </w:r>
      <w:r w:rsidRPr="00E13D0A">
        <w:rPr>
          <w:rFonts w:cs="Times New Roman"/>
          <w:lang w:val="fr-CA"/>
        </w:rPr>
        <w:t>objet de la loi et ses effets juridiques et concrets peuvent aider à en identifier la matière</w:t>
      </w:r>
      <w:r>
        <w:rPr>
          <w:rFonts w:cs="Times New Roman"/>
          <w:lang w:val="fr-CA"/>
        </w:rPr>
        <w:t> :</w:t>
      </w:r>
      <w:r w:rsidRPr="00E13D0A">
        <w:rPr>
          <w:rFonts w:cs="Times New Roman"/>
          <w:iCs/>
          <w:lang w:val="fr-CA"/>
        </w:rPr>
        <w:t xml:space="preserve"> </w:t>
      </w:r>
      <w:r w:rsidRPr="00E13D0A">
        <w:rPr>
          <w:rFonts w:cs="Times New Roman"/>
          <w:i/>
          <w:lang w:val="fr-CA"/>
        </w:rPr>
        <w:t>Québec (Procureur général) c</w:t>
      </w:r>
      <w:r w:rsidRPr="00E13D0A">
        <w:rPr>
          <w:rFonts w:cs="Times New Roman"/>
          <w:i/>
          <w:iCs/>
          <w:lang w:val="fr-CA"/>
        </w:rPr>
        <w:t>.</w:t>
      </w:r>
      <w:r w:rsidRPr="00E13D0A">
        <w:rPr>
          <w:rFonts w:cs="Times New Roman"/>
          <w:i/>
          <w:lang w:val="fr-CA"/>
        </w:rPr>
        <w:t xml:space="preserve"> Canada (Procureur général)</w:t>
      </w:r>
      <w:r w:rsidRPr="00E13D0A">
        <w:rPr>
          <w:rFonts w:cs="Times New Roman"/>
          <w:lang w:val="fr-CA"/>
        </w:rPr>
        <w:t xml:space="preserve">, 2015 CSC 14, [2015] 1 R.C.S. 693, </w:t>
      </w:r>
      <w:r>
        <w:rPr>
          <w:rFonts w:cs="Times New Roman"/>
          <w:lang w:val="fr-CA"/>
        </w:rPr>
        <w:t>par. </w:t>
      </w:r>
      <w:r w:rsidRPr="00E13D0A">
        <w:rPr>
          <w:rFonts w:cs="Times New Roman"/>
          <w:lang w:val="fr-CA"/>
        </w:rPr>
        <w:t xml:space="preserve">29; </w:t>
      </w:r>
      <w:r w:rsidRPr="00E13D0A">
        <w:rPr>
          <w:rFonts w:cs="Times New Roman"/>
          <w:i/>
          <w:iCs/>
          <w:lang w:val="fr-CA"/>
        </w:rPr>
        <w:t>Renvoi relatif à la Loi sur les valeurs mobilières</w:t>
      </w:r>
      <w:r w:rsidRPr="00E13D0A">
        <w:rPr>
          <w:rFonts w:cs="Times New Roman"/>
          <w:iCs/>
          <w:lang w:val="fr-CA"/>
        </w:rPr>
        <w:t xml:space="preserve">, 2011 CSC 66, [2011] 3 R.C.S. 837, </w:t>
      </w:r>
      <w:r>
        <w:rPr>
          <w:rFonts w:cs="Times New Roman"/>
          <w:iCs/>
          <w:lang w:val="fr-CA"/>
        </w:rPr>
        <w:t>par. </w:t>
      </w:r>
      <w:r w:rsidRPr="00E13D0A">
        <w:rPr>
          <w:rFonts w:cs="Times New Roman"/>
          <w:iCs/>
          <w:lang w:val="fr-CA"/>
        </w:rPr>
        <w:t>63</w:t>
      </w:r>
      <w:r>
        <w:rPr>
          <w:rFonts w:cs="Times New Roman"/>
          <w:iCs/>
          <w:lang w:val="fr-CA"/>
        </w:rPr>
        <w:noBreakHyphen/>
      </w:r>
      <w:r w:rsidRPr="00E13D0A">
        <w:rPr>
          <w:rFonts w:cs="Times New Roman"/>
          <w:iCs/>
          <w:lang w:val="fr-CA"/>
        </w:rPr>
        <w:t xml:space="preserve">64; </w:t>
      </w:r>
      <w:r w:rsidRPr="00E13D0A">
        <w:rPr>
          <w:rFonts w:cs="Times New Roman"/>
          <w:i/>
          <w:iCs/>
          <w:lang w:val="fr-CA"/>
        </w:rPr>
        <w:t>Québec (Procureur général) c. Lacombe</w:t>
      </w:r>
      <w:r w:rsidRPr="00E13D0A">
        <w:rPr>
          <w:rFonts w:cs="Times New Roman"/>
          <w:iCs/>
          <w:lang w:val="fr-CA"/>
        </w:rPr>
        <w:t xml:space="preserve">, 2010 CSC 38, [2010] 2 R.C.S. 453, </w:t>
      </w:r>
      <w:r>
        <w:rPr>
          <w:rFonts w:cs="Times New Roman"/>
          <w:iCs/>
          <w:lang w:val="fr-CA"/>
        </w:rPr>
        <w:t>par. </w:t>
      </w:r>
      <w:r w:rsidRPr="00E13D0A">
        <w:rPr>
          <w:rFonts w:cs="Times New Roman"/>
          <w:iCs/>
          <w:lang w:val="fr-CA"/>
        </w:rPr>
        <w:t>20.</w:t>
      </w:r>
    </w:p>
    <w:p w:rsidR="00065721" w:rsidRPr="00E13D0A" w:rsidRDefault="00065721" w:rsidP="00926B45">
      <w:pPr>
        <w:pStyle w:val="ParaNoNdepar-AltN"/>
        <w:widowControl w:val="0"/>
        <w:rPr>
          <w:rFonts w:cs="Times New Roman"/>
          <w:lang w:val="fr-CA"/>
        </w:rPr>
      </w:pPr>
      <w:r w:rsidRPr="00E13D0A">
        <w:rPr>
          <w:rFonts w:cs="Times New Roman"/>
          <w:lang w:val="fr-CA"/>
        </w:rPr>
        <w:t>Monsieur Goodwin soutient principalement que le RIAC ne vise qu</w:t>
      </w:r>
      <w:r>
        <w:rPr>
          <w:rFonts w:cs="Times New Roman"/>
          <w:lang w:val="fr-CA"/>
        </w:rPr>
        <w:t>’</w:t>
      </w:r>
      <w:r w:rsidRPr="00E13D0A">
        <w:rPr>
          <w:rFonts w:cs="Times New Roman"/>
          <w:lang w:val="fr-CA"/>
        </w:rPr>
        <w:t>à réprimer la criminalité sous le couvert d</w:t>
      </w:r>
      <w:r>
        <w:rPr>
          <w:rFonts w:cs="Times New Roman"/>
          <w:lang w:val="fr-CA"/>
        </w:rPr>
        <w:t>’</w:t>
      </w:r>
      <w:r w:rsidRPr="00E13D0A">
        <w:rPr>
          <w:rFonts w:cs="Times New Roman"/>
          <w:lang w:val="fr-CA"/>
        </w:rPr>
        <w:t>un régime de délivrance de permis. À son avis, en adoptant ce régime, la Province avait pour objectif de s</w:t>
      </w:r>
      <w:r>
        <w:rPr>
          <w:rFonts w:cs="Times New Roman"/>
          <w:lang w:val="fr-CA"/>
        </w:rPr>
        <w:t>’</w:t>
      </w:r>
      <w:r w:rsidRPr="00E13D0A">
        <w:rPr>
          <w:rFonts w:cs="Times New Roman"/>
          <w:lang w:val="fr-CA"/>
        </w:rPr>
        <w:t>attaquer à l</w:t>
      </w:r>
      <w:r>
        <w:rPr>
          <w:rFonts w:cs="Times New Roman"/>
          <w:lang w:val="fr-CA"/>
        </w:rPr>
        <w:t>’</w:t>
      </w:r>
      <w:r w:rsidRPr="00E13D0A">
        <w:rPr>
          <w:rFonts w:cs="Times New Roman"/>
          <w:lang w:val="fr-CA"/>
        </w:rPr>
        <w:t xml:space="preserve">ivresse au volant par le droit criminel sans mettre en cause la </w:t>
      </w:r>
      <w:r w:rsidRPr="00E13D0A">
        <w:rPr>
          <w:rFonts w:cs="Times New Roman"/>
          <w:i/>
          <w:lang w:val="fr-CA"/>
        </w:rPr>
        <w:t>Charte</w:t>
      </w:r>
      <w:r w:rsidRPr="00E13D0A">
        <w:rPr>
          <w:rFonts w:cs="Times New Roman"/>
          <w:lang w:val="fr-CA"/>
        </w:rPr>
        <w:t xml:space="preserve"> et les mesures de protection procédurales qui en découlent</w:t>
      </w:r>
      <w:r>
        <w:rPr>
          <w:rFonts w:cs="Times New Roman"/>
          <w:lang w:val="fr-CA"/>
        </w:rPr>
        <w:t> :</w:t>
      </w:r>
      <w:r w:rsidRPr="00E13D0A">
        <w:rPr>
          <w:rFonts w:cs="Times New Roman"/>
          <w:lang w:val="fr-CA"/>
        </w:rPr>
        <w:t xml:space="preserve"> m.a. (Goodwin), </w:t>
      </w:r>
      <w:r>
        <w:rPr>
          <w:rFonts w:cs="Times New Roman"/>
          <w:lang w:val="fr-CA"/>
        </w:rPr>
        <w:t>par. </w:t>
      </w:r>
      <w:r w:rsidRPr="00E13D0A">
        <w:rPr>
          <w:rFonts w:cs="Times New Roman"/>
          <w:lang w:val="fr-CA"/>
        </w:rPr>
        <w:t>74</w:t>
      </w:r>
      <w:r>
        <w:rPr>
          <w:rFonts w:cs="Times New Roman"/>
          <w:lang w:val="fr-CA"/>
        </w:rPr>
        <w:noBreakHyphen/>
      </w:r>
      <w:r w:rsidRPr="00E13D0A">
        <w:rPr>
          <w:rFonts w:cs="Times New Roman"/>
          <w:lang w:val="fr-CA"/>
        </w:rPr>
        <w:t xml:space="preserve">78. </w:t>
      </w:r>
    </w:p>
    <w:p w:rsidR="00065721" w:rsidRPr="00E13D0A" w:rsidRDefault="00065721" w:rsidP="00926B45">
      <w:pPr>
        <w:pStyle w:val="ParaNoNdepar-AltN"/>
        <w:widowControl w:val="0"/>
        <w:rPr>
          <w:rFonts w:cs="Times New Roman"/>
          <w:lang w:val="fr-CA"/>
        </w:rPr>
      </w:pPr>
      <w:r w:rsidRPr="00E13D0A">
        <w:rPr>
          <w:rFonts w:cs="Times New Roman"/>
          <w:lang w:val="fr-CA"/>
        </w:rPr>
        <w:t>Il affirme essentiellement que</w:t>
      </w:r>
      <w:r w:rsidRPr="00E13D0A">
        <w:rPr>
          <w:rFonts w:cs="Times New Roman"/>
          <w:iCs/>
          <w:lang w:val="fr-CA"/>
        </w:rPr>
        <w:t xml:space="preserve"> le RIAC est une tentative déguisée d</w:t>
      </w:r>
      <w:r>
        <w:rPr>
          <w:rFonts w:cs="Times New Roman"/>
          <w:iCs/>
          <w:lang w:val="fr-CA"/>
        </w:rPr>
        <w:t>’</w:t>
      </w:r>
      <w:r w:rsidRPr="00E13D0A">
        <w:rPr>
          <w:rFonts w:cs="Times New Roman"/>
          <w:iCs/>
          <w:lang w:val="fr-CA"/>
        </w:rPr>
        <w:t>empiéter sur le droit criminel fédér</w:t>
      </w:r>
      <w:r>
        <w:rPr>
          <w:rFonts w:cs="Times New Roman"/>
          <w:iCs/>
          <w:lang w:val="fr-CA"/>
        </w:rPr>
        <w:t>al. </w:t>
      </w:r>
      <w:r w:rsidRPr="00E13D0A">
        <w:rPr>
          <w:rFonts w:cs="Times New Roman"/>
          <w:iCs/>
          <w:lang w:val="fr-CA"/>
        </w:rPr>
        <w:t>Bien entendu, c</w:t>
      </w:r>
      <w:r>
        <w:rPr>
          <w:rFonts w:cs="Times New Roman"/>
          <w:iCs/>
          <w:lang w:val="fr-CA"/>
        </w:rPr>
        <w:t>’</w:t>
      </w:r>
      <w:r w:rsidRPr="00E13D0A">
        <w:rPr>
          <w:rFonts w:cs="Times New Roman"/>
          <w:iCs/>
          <w:lang w:val="fr-CA"/>
        </w:rPr>
        <w:t>est le fond et non la forme de la loi qui définit son caractère véritable. Comme l</w:t>
      </w:r>
      <w:r>
        <w:rPr>
          <w:rFonts w:cs="Times New Roman"/>
          <w:iCs/>
          <w:lang w:val="fr-CA"/>
        </w:rPr>
        <w:t>’</w:t>
      </w:r>
      <w:r w:rsidRPr="00E13D0A">
        <w:rPr>
          <w:rFonts w:cs="Times New Roman"/>
          <w:iCs/>
          <w:lang w:val="fr-CA"/>
        </w:rPr>
        <w:t>a souligné la Cour dans l</w:t>
      </w:r>
      <w:r>
        <w:rPr>
          <w:rFonts w:cs="Times New Roman"/>
          <w:iCs/>
          <w:lang w:val="fr-CA"/>
        </w:rPr>
        <w:t>’</w:t>
      </w:r>
      <w:r w:rsidRPr="00E13D0A">
        <w:rPr>
          <w:rFonts w:cs="Times New Roman"/>
          <w:iCs/>
          <w:lang w:val="fr-CA"/>
        </w:rPr>
        <w:t xml:space="preserve">arrêt </w:t>
      </w:r>
      <w:r w:rsidRPr="00E13D0A">
        <w:rPr>
          <w:rFonts w:cs="Times New Roman"/>
          <w:i/>
          <w:lang w:val="fr-CA"/>
        </w:rPr>
        <w:t>Québec (Procureur général) c</w:t>
      </w:r>
      <w:r w:rsidRPr="00E13D0A">
        <w:rPr>
          <w:rFonts w:cs="Times New Roman"/>
          <w:i/>
          <w:iCs/>
          <w:lang w:val="fr-CA"/>
        </w:rPr>
        <w:t>.</w:t>
      </w:r>
      <w:r w:rsidRPr="00E13D0A">
        <w:rPr>
          <w:rFonts w:cs="Times New Roman"/>
          <w:i/>
          <w:lang w:val="fr-CA"/>
        </w:rPr>
        <w:t xml:space="preserve"> Canada (Procureur général)</w:t>
      </w:r>
      <w:r w:rsidRPr="00E13D0A">
        <w:rPr>
          <w:rFonts w:cs="Times New Roman"/>
          <w:lang w:val="fr-CA"/>
        </w:rPr>
        <w:t xml:space="preserve">, </w:t>
      </w:r>
      <w:r w:rsidRPr="00E13D0A">
        <w:rPr>
          <w:rFonts w:cs="Times New Roman"/>
          <w:iCs/>
          <w:lang w:val="fr-CA"/>
        </w:rPr>
        <w:t xml:space="preserve">les tribunaux doivent prendre garde « de donner leur aval à une loi </w:t>
      </w:r>
      <w:r w:rsidRPr="00E13D0A">
        <w:rPr>
          <w:rFonts w:cs="Times New Roman"/>
          <w:lang w:val="fr-CA"/>
        </w:rPr>
        <w:t>“déguisée”, c</w:t>
      </w:r>
      <w:r>
        <w:rPr>
          <w:rFonts w:cs="Times New Roman"/>
          <w:lang w:val="fr-CA"/>
        </w:rPr>
        <w:t>’</w:t>
      </w:r>
      <w:r w:rsidRPr="00E13D0A">
        <w:rPr>
          <w:rFonts w:cs="Times New Roman"/>
          <w:lang w:val="fr-CA"/>
        </w:rPr>
        <w:t>est</w:t>
      </w:r>
      <w:r>
        <w:rPr>
          <w:rFonts w:cs="Times New Roman"/>
          <w:lang w:val="fr-CA"/>
        </w:rPr>
        <w:noBreakHyphen/>
      </w:r>
      <w:r w:rsidRPr="00E13D0A">
        <w:rPr>
          <w:rFonts w:cs="Times New Roman"/>
          <w:lang w:val="fr-CA"/>
        </w:rPr>
        <w:t>à</w:t>
      </w:r>
      <w:r>
        <w:rPr>
          <w:rFonts w:cs="Times New Roman"/>
          <w:lang w:val="fr-CA"/>
        </w:rPr>
        <w:noBreakHyphen/>
      </w:r>
      <w:r w:rsidRPr="00E13D0A">
        <w:rPr>
          <w:rFonts w:cs="Times New Roman"/>
          <w:lang w:val="fr-CA"/>
        </w:rPr>
        <w:t>dire une loi qui, de par sa forme, semble porter sur une matière ressortissant à la compétence législative de l</w:t>
      </w:r>
      <w:r>
        <w:rPr>
          <w:rFonts w:cs="Times New Roman"/>
          <w:lang w:val="fr-CA"/>
        </w:rPr>
        <w:t>’</w:t>
      </w:r>
      <w:r w:rsidRPr="00E13D0A">
        <w:rPr>
          <w:rFonts w:cs="Times New Roman"/>
          <w:lang w:val="fr-CA"/>
        </w:rPr>
        <w:t>ordre de gouvernement qui l</w:t>
      </w:r>
      <w:r>
        <w:rPr>
          <w:rFonts w:cs="Times New Roman"/>
          <w:lang w:val="fr-CA"/>
        </w:rPr>
        <w:t>’</w:t>
      </w:r>
      <w:r w:rsidRPr="00E13D0A">
        <w:rPr>
          <w:rFonts w:cs="Times New Roman"/>
          <w:lang w:val="fr-CA"/>
        </w:rPr>
        <w:t>a adoptée, mais qui traite au fond d</w:t>
      </w:r>
      <w:r>
        <w:rPr>
          <w:rFonts w:cs="Times New Roman"/>
          <w:lang w:val="fr-CA"/>
        </w:rPr>
        <w:t>’</w:t>
      </w:r>
      <w:r w:rsidRPr="00E13D0A">
        <w:rPr>
          <w:rFonts w:cs="Times New Roman"/>
          <w:lang w:val="fr-CA"/>
        </w:rPr>
        <w:t>une matière dépassant sa compétence »</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 xml:space="preserve">31; voir également </w:t>
      </w:r>
      <w:r>
        <w:rPr>
          <w:rFonts w:cs="Times New Roman"/>
          <w:lang w:val="fr-CA"/>
        </w:rPr>
        <w:t>P. </w:t>
      </w:r>
      <w:r w:rsidRPr="00E13D0A">
        <w:rPr>
          <w:rFonts w:cs="Times New Roman"/>
          <w:lang w:val="fr-CA"/>
        </w:rPr>
        <w:t xml:space="preserve">W. Hogg, </w:t>
      </w:r>
      <w:r w:rsidRPr="00E13D0A">
        <w:rPr>
          <w:rFonts w:cs="Times New Roman"/>
          <w:i/>
          <w:lang w:val="fr-CA"/>
        </w:rPr>
        <w:t>Constitutional Law of Canada</w:t>
      </w:r>
      <w:r w:rsidRPr="00E13D0A">
        <w:rPr>
          <w:rFonts w:cs="Times New Roman"/>
          <w:lang w:val="fr-CA"/>
        </w:rPr>
        <w:t xml:space="preserve"> (5</w:t>
      </w:r>
      <w:r w:rsidRPr="00E13D0A">
        <w:rPr>
          <w:rFonts w:cs="Times New Roman"/>
          <w:vertAlign w:val="superscript"/>
          <w:lang w:val="fr-CA"/>
        </w:rPr>
        <w:t>e</w:t>
      </w:r>
      <w:r w:rsidRPr="00E13D0A">
        <w:rPr>
          <w:rFonts w:cs="Times New Roman"/>
          <w:lang w:val="fr-CA"/>
        </w:rPr>
        <w:t xml:space="preserve"> éd. suppl.), </w:t>
      </w:r>
      <w:r>
        <w:rPr>
          <w:rFonts w:cs="Times New Roman"/>
          <w:lang w:val="fr-CA"/>
        </w:rPr>
        <w:t>p. </w:t>
      </w:r>
      <w:r w:rsidRPr="00E13D0A">
        <w:rPr>
          <w:rFonts w:cs="Times New Roman"/>
          <w:lang w:val="fr-CA"/>
        </w:rPr>
        <w:t>15</w:t>
      </w:r>
      <w:r>
        <w:rPr>
          <w:rFonts w:cs="Times New Roman"/>
          <w:lang w:val="fr-CA"/>
        </w:rPr>
        <w:noBreakHyphen/>
      </w:r>
      <w:r w:rsidRPr="00E13D0A">
        <w:rPr>
          <w:rFonts w:cs="Times New Roman"/>
          <w:lang w:val="fr-CA"/>
        </w:rPr>
        <w:t xml:space="preserve">19; </w:t>
      </w:r>
      <w:r w:rsidRPr="00E13D0A">
        <w:rPr>
          <w:rFonts w:cs="Times New Roman"/>
          <w:i/>
          <w:iCs/>
          <w:lang w:val="fr-CA"/>
        </w:rPr>
        <w:t>Renvoi relatif à l</w:t>
      </w:r>
      <w:r>
        <w:rPr>
          <w:rFonts w:cs="Times New Roman"/>
          <w:i/>
          <w:iCs/>
          <w:lang w:val="fr-CA"/>
        </w:rPr>
        <w:t>’</w:t>
      </w:r>
      <w:r w:rsidRPr="00E13D0A">
        <w:rPr>
          <w:rFonts w:cs="Times New Roman"/>
          <w:i/>
          <w:iCs/>
          <w:lang w:val="fr-CA"/>
        </w:rPr>
        <w:t>Upper Churchill Water Rights Reversion Act</w:t>
      </w:r>
      <w:r w:rsidRPr="00E13D0A">
        <w:rPr>
          <w:rFonts w:cs="Times New Roman"/>
          <w:lang w:val="fr-CA"/>
        </w:rPr>
        <w:t>, [1984] 1 R.C.S. 297.</w:t>
      </w:r>
    </w:p>
    <w:p w:rsidR="00065721" w:rsidRPr="00E13D0A" w:rsidRDefault="00065721" w:rsidP="00926B45">
      <w:pPr>
        <w:pStyle w:val="ParaNoNdepar-AltN"/>
        <w:widowControl w:val="0"/>
        <w:rPr>
          <w:rFonts w:cs="Times New Roman"/>
          <w:iCs/>
          <w:lang w:val="fr-CA"/>
        </w:rPr>
      </w:pPr>
      <w:r w:rsidRPr="00E13D0A">
        <w:rPr>
          <w:rFonts w:cs="Times New Roman"/>
          <w:iCs/>
          <w:lang w:val="fr-CA"/>
        </w:rPr>
        <w:lastRenderedPageBreak/>
        <w:t>Cependant, que l</w:t>
      </w:r>
      <w:r>
        <w:rPr>
          <w:rFonts w:cs="Times New Roman"/>
          <w:iCs/>
          <w:lang w:val="fr-CA"/>
        </w:rPr>
        <w:t>’</w:t>
      </w:r>
      <w:r w:rsidRPr="00E13D0A">
        <w:rPr>
          <w:rFonts w:cs="Times New Roman"/>
          <w:iCs/>
          <w:lang w:val="fr-CA"/>
        </w:rPr>
        <w:t>on prétende ou non qu</w:t>
      </w:r>
      <w:r>
        <w:rPr>
          <w:rFonts w:cs="Times New Roman"/>
          <w:iCs/>
          <w:lang w:val="fr-CA"/>
        </w:rPr>
        <w:t>’</w:t>
      </w:r>
      <w:r w:rsidRPr="00E13D0A">
        <w:rPr>
          <w:rFonts w:cs="Times New Roman"/>
          <w:iCs/>
          <w:lang w:val="fr-CA"/>
        </w:rPr>
        <w:t>une loi contestée est déguisée, l</w:t>
      </w:r>
      <w:r>
        <w:rPr>
          <w:rFonts w:cs="Times New Roman"/>
          <w:iCs/>
          <w:lang w:val="fr-CA"/>
        </w:rPr>
        <w:t>’</w:t>
      </w:r>
      <w:r w:rsidRPr="00E13D0A">
        <w:rPr>
          <w:rFonts w:cs="Times New Roman"/>
          <w:iCs/>
          <w:lang w:val="fr-CA"/>
        </w:rPr>
        <w:t>analyse de son caractère véritable demeure la même. L</w:t>
      </w:r>
      <w:r>
        <w:rPr>
          <w:rFonts w:cs="Times New Roman"/>
          <w:iCs/>
          <w:lang w:val="fr-CA"/>
        </w:rPr>
        <w:t>’</w:t>
      </w:r>
      <w:r w:rsidRPr="00E13D0A">
        <w:rPr>
          <w:rFonts w:cs="Times New Roman"/>
          <w:iCs/>
          <w:lang w:val="fr-CA"/>
        </w:rPr>
        <w:t xml:space="preserve">incidence de la loi provinciale sur les droits garantis par la </w:t>
      </w:r>
      <w:r w:rsidRPr="00E13D0A">
        <w:rPr>
          <w:rFonts w:cs="Times New Roman"/>
          <w:i/>
          <w:iCs/>
          <w:lang w:val="fr-CA"/>
        </w:rPr>
        <w:t>Charte</w:t>
      </w:r>
      <w:r w:rsidRPr="00E13D0A">
        <w:rPr>
          <w:rFonts w:cs="Times New Roman"/>
          <w:iCs/>
          <w:lang w:val="fr-CA"/>
        </w:rPr>
        <w:t xml:space="preserve"> peut être pertinente dans cette analyse, mais elle n</w:t>
      </w:r>
      <w:r>
        <w:rPr>
          <w:rFonts w:cs="Times New Roman"/>
          <w:iCs/>
          <w:lang w:val="fr-CA"/>
        </w:rPr>
        <w:t>’</w:t>
      </w:r>
      <w:r w:rsidRPr="00E13D0A">
        <w:rPr>
          <w:rFonts w:cs="Times New Roman"/>
          <w:iCs/>
          <w:lang w:val="fr-CA"/>
        </w:rPr>
        <w:t>est pas déterminante. La Cour a averti qu</w:t>
      </w:r>
      <w:r>
        <w:rPr>
          <w:rFonts w:cs="Times New Roman"/>
          <w:iCs/>
          <w:lang w:val="fr-CA"/>
        </w:rPr>
        <w:t>’</w:t>
      </w:r>
      <w:r w:rsidRPr="00E13D0A">
        <w:rPr>
          <w:rFonts w:cs="Times New Roman"/>
          <w:iCs/>
          <w:lang w:val="fr-CA"/>
        </w:rPr>
        <w:t>on ne saurait confondre l</w:t>
      </w:r>
      <w:r>
        <w:rPr>
          <w:rFonts w:cs="Times New Roman"/>
          <w:iCs/>
          <w:lang w:val="fr-CA"/>
        </w:rPr>
        <w:t>’</w:t>
      </w:r>
      <w:r w:rsidRPr="00E13D0A">
        <w:rPr>
          <w:rFonts w:cs="Times New Roman"/>
          <w:iCs/>
          <w:lang w:val="fr-CA"/>
        </w:rPr>
        <w:t>objet d</w:t>
      </w:r>
      <w:r>
        <w:rPr>
          <w:rFonts w:cs="Times New Roman"/>
          <w:iCs/>
          <w:lang w:val="fr-CA"/>
        </w:rPr>
        <w:t>’</w:t>
      </w:r>
      <w:r w:rsidRPr="00E13D0A">
        <w:rPr>
          <w:rFonts w:cs="Times New Roman"/>
          <w:iCs/>
          <w:lang w:val="fr-CA"/>
        </w:rPr>
        <w:t>une loi et les moyens choisis pour réaliser l</w:t>
      </w:r>
      <w:r>
        <w:rPr>
          <w:rFonts w:cs="Times New Roman"/>
          <w:iCs/>
          <w:lang w:val="fr-CA"/>
        </w:rPr>
        <w:t>’</w:t>
      </w:r>
      <w:r w:rsidRPr="00E13D0A">
        <w:rPr>
          <w:rFonts w:cs="Times New Roman"/>
          <w:iCs/>
          <w:lang w:val="fr-CA"/>
        </w:rPr>
        <w:t>objet</w:t>
      </w:r>
      <w:r>
        <w:rPr>
          <w:rFonts w:cs="Times New Roman"/>
          <w:iCs/>
          <w:lang w:val="fr-CA"/>
        </w:rPr>
        <w:t> :</w:t>
      </w:r>
      <w:r w:rsidRPr="00E13D0A">
        <w:rPr>
          <w:rFonts w:cs="Times New Roman"/>
          <w:iCs/>
          <w:lang w:val="fr-CA"/>
        </w:rPr>
        <w:t xml:space="preserve"> </w:t>
      </w:r>
      <w:r w:rsidRPr="00E13D0A">
        <w:rPr>
          <w:rFonts w:cs="Times New Roman"/>
          <w:i/>
          <w:iCs/>
          <w:lang w:val="fr-CA"/>
        </w:rPr>
        <w:t>Ward c. Canada (Procureur général)</w:t>
      </w:r>
      <w:r w:rsidRPr="00E13D0A">
        <w:rPr>
          <w:rFonts w:cs="Times New Roman"/>
          <w:iCs/>
          <w:lang w:val="fr-CA"/>
        </w:rPr>
        <w:t xml:space="preserve">, 2002 CSC 17, [2002] 1 R.C.S. 569, </w:t>
      </w:r>
      <w:r>
        <w:rPr>
          <w:rFonts w:cs="Times New Roman"/>
          <w:iCs/>
          <w:lang w:val="fr-CA"/>
        </w:rPr>
        <w:t>par. </w:t>
      </w:r>
      <w:r w:rsidRPr="00E13D0A">
        <w:rPr>
          <w:rFonts w:cs="Times New Roman"/>
          <w:iCs/>
          <w:lang w:val="fr-CA"/>
        </w:rPr>
        <w:t xml:space="preserve">25. La possibilité que les moyens employés pour atteindre un objectif provincial fassent entrer en jeu des protections conférées par la </w:t>
      </w:r>
      <w:r w:rsidRPr="00E13D0A">
        <w:rPr>
          <w:rFonts w:cs="Times New Roman"/>
          <w:i/>
          <w:iCs/>
          <w:lang w:val="fr-CA"/>
        </w:rPr>
        <w:t>Charte</w:t>
      </w:r>
      <w:r w:rsidRPr="00E13D0A">
        <w:rPr>
          <w:rFonts w:cs="Times New Roman"/>
          <w:iCs/>
          <w:lang w:val="fr-CA"/>
        </w:rPr>
        <w:t xml:space="preserve"> différentes ou moins nombreuses que dans le cas des moyens utilisés pour réaliser l</w:t>
      </w:r>
      <w:r>
        <w:rPr>
          <w:rFonts w:cs="Times New Roman"/>
          <w:iCs/>
          <w:lang w:val="fr-CA"/>
        </w:rPr>
        <w:t>’</w:t>
      </w:r>
      <w:r w:rsidRPr="00E13D0A">
        <w:rPr>
          <w:rFonts w:cs="Times New Roman"/>
          <w:iCs/>
          <w:lang w:val="fr-CA"/>
        </w:rPr>
        <w:t>objectif fédéral connexe n</w:t>
      </w:r>
      <w:r>
        <w:rPr>
          <w:rFonts w:cs="Times New Roman"/>
          <w:iCs/>
          <w:lang w:val="fr-CA"/>
        </w:rPr>
        <w:t>’</w:t>
      </w:r>
      <w:r w:rsidRPr="00E13D0A">
        <w:rPr>
          <w:rFonts w:cs="Times New Roman"/>
          <w:iCs/>
          <w:lang w:val="fr-CA"/>
        </w:rPr>
        <w:t>implique pas nécessairement que l</w:t>
      </w:r>
      <w:r>
        <w:rPr>
          <w:rFonts w:cs="Times New Roman"/>
          <w:iCs/>
          <w:lang w:val="fr-CA"/>
        </w:rPr>
        <w:t>’</w:t>
      </w:r>
      <w:r w:rsidRPr="00E13D0A">
        <w:rPr>
          <w:rFonts w:cs="Times New Roman"/>
          <w:i/>
          <w:iCs/>
          <w:lang w:val="fr-CA"/>
        </w:rPr>
        <w:t>objectif</w:t>
      </w:r>
      <w:r w:rsidRPr="00E13D0A">
        <w:rPr>
          <w:rFonts w:cs="Times New Roman"/>
          <w:iCs/>
          <w:lang w:val="fr-CA"/>
        </w:rPr>
        <w:t xml:space="preserve"> provincial était d</w:t>
      </w:r>
      <w:r>
        <w:rPr>
          <w:rFonts w:cs="Times New Roman"/>
          <w:iCs/>
          <w:lang w:val="fr-CA"/>
        </w:rPr>
        <w:t>’</w:t>
      </w:r>
      <w:r w:rsidRPr="00E13D0A">
        <w:rPr>
          <w:rFonts w:cs="Times New Roman"/>
          <w:iCs/>
          <w:lang w:val="fr-CA"/>
        </w:rPr>
        <w:t xml:space="preserve">échapper à ces protections ou de les miner. </w:t>
      </w:r>
    </w:p>
    <w:p w:rsidR="00065721" w:rsidRPr="00E13D0A" w:rsidRDefault="00065721" w:rsidP="00926B45">
      <w:pPr>
        <w:pStyle w:val="ParaNoNdepar-AltN"/>
        <w:widowControl w:val="0"/>
        <w:rPr>
          <w:rFonts w:cs="Times New Roman"/>
          <w:iCs/>
          <w:lang w:val="fr-CA"/>
        </w:rPr>
      </w:pPr>
      <w:r w:rsidRPr="00E13D0A">
        <w:rPr>
          <w:rFonts w:cs="Times New Roman"/>
          <w:iCs/>
          <w:lang w:val="fr-CA"/>
        </w:rPr>
        <w:t>À l</w:t>
      </w:r>
      <w:r>
        <w:rPr>
          <w:rFonts w:cs="Times New Roman"/>
          <w:iCs/>
          <w:lang w:val="fr-CA"/>
        </w:rPr>
        <w:t>’</w:t>
      </w:r>
      <w:r w:rsidRPr="00E13D0A">
        <w:rPr>
          <w:rFonts w:cs="Times New Roman"/>
          <w:iCs/>
          <w:lang w:val="fr-CA"/>
        </w:rPr>
        <w:t>instar du juge en chambre, j</w:t>
      </w:r>
      <w:r>
        <w:rPr>
          <w:rFonts w:cs="Times New Roman"/>
          <w:iCs/>
          <w:lang w:val="fr-CA"/>
        </w:rPr>
        <w:t>’</w:t>
      </w:r>
      <w:r w:rsidRPr="00E13D0A">
        <w:rPr>
          <w:rFonts w:cs="Times New Roman"/>
          <w:iCs/>
          <w:lang w:val="fr-CA"/>
        </w:rPr>
        <w:t>estime que la Province, en instaurant le RIAC, avait pour objectif non pas d</w:t>
      </w:r>
      <w:r>
        <w:rPr>
          <w:rFonts w:cs="Times New Roman"/>
          <w:iCs/>
          <w:lang w:val="fr-CA"/>
        </w:rPr>
        <w:t>’</w:t>
      </w:r>
      <w:r w:rsidRPr="00E13D0A">
        <w:rPr>
          <w:rFonts w:cs="Times New Roman"/>
          <w:iCs/>
          <w:lang w:val="fr-CA"/>
        </w:rPr>
        <w:t>écarter le droit criminel, mais plutôt d</w:t>
      </w:r>
      <w:r>
        <w:rPr>
          <w:rFonts w:cs="Times New Roman"/>
          <w:iCs/>
          <w:lang w:val="fr-CA"/>
        </w:rPr>
        <w:t>’</w:t>
      </w:r>
      <w:r w:rsidRPr="00E13D0A">
        <w:rPr>
          <w:rFonts w:cs="Times New Roman"/>
          <w:iCs/>
          <w:lang w:val="fr-CA"/>
        </w:rPr>
        <w:t>empêcher les décès et les blessures graves sur les chemins publics en en chassant les conducteurs en état d</w:t>
      </w:r>
      <w:r>
        <w:rPr>
          <w:rFonts w:cs="Times New Roman"/>
          <w:iCs/>
          <w:lang w:val="fr-CA"/>
        </w:rPr>
        <w:t>’</w:t>
      </w:r>
      <w:r w:rsidRPr="00E13D0A">
        <w:rPr>
          <w:rFonts w:cs="Times New Roman"/>
          <w:iCs/>
          <w:lang w:val="fr-CA"/>
        </w:rPr>
        <w:t xml:space="preserve">ébriété et en décourageant la conduite avec facultés affaiblies. Le RIAC fait partie de la </w:t>
      </w:r>
      <w:r w:rsidRPr="00E13D0A">
        <w:rPr>
          <w:rFonts w:cs="Times New Roman"/>
          <w:i/>
          <w:iCs/>
          <w:lang w:val="fr-CA"/>
        </w:rPr>
        <w:t>MVA</w:t>
      </w:r>
      <w:r w:rsidR="000048F7">
        <w:rPr>
          <w:rFonts w:cs="Times New Roman"/>
          <w:iCs/>
          <w:lang w:val="fr-CA"/>
        </w:rPr>
        <w:t>, qui établit un régime ré</w:t>
      </w:r>
      <w:r w:rsidRPr="00E13D0A">
        <w:rPr>
          <w:rFonts w:cs="Times New Roman"/>
          <w:iCs/>
          <w:lang w:val="fr-CA"/>
        </w:rPr>
        <w:t>glementaire fixant les modalités et conditions de la délivrance des permis de conduire en Colombie</w:t>
      </w:r>
      <w:r>
        <w:rPr>
          <w:rFonts w:cs="Times New Roman"/>
          <w:iCs/>
          <w:lang w:val="fr-CA"/>
        </w:rPr>
        <w:noBreakHyphen/>
      </w:r>
      <w:r w:rsidRPr="00E13D0A">
        <w:rPr>
          <w:rFonts w:cs="Times New Roman"/>
          <w:iCs/>
          <w:lang w:val="fr-CA"/>
        </w:rPr>
        <w:t>Britannique. Il s</w:t>
      </w:r>
      <w:r>
        <w:rPr>
          <w:rFonts w:cs="Times New Roman"/>
          <w:iCs/>
          <w:lang w:val="fr-CA"/>
        </w:rPr>
        <w:t>’</w:t>
      </w:r>
      <w:r w:rsidRPr="00E13D0A">
        <w:rPr>
          <w:rFonts w:cs="Times New Roman"/>
          <w:iCs/>
          <w:lang w:val="fr-CA"/>
        </w:rPr>
        <w:t>inscrit dans la foulée des efforts déployés constamment par la Colombie</w:t>
      </w:r>
      <w:r>
        <w:rPr>
          <w:rFonts w:cs="Times New Roman"/>
          <w:iCs/>
          <w:lang w:val="fr-CA"/>
        </w:rPr>
        <w:noBreakHyphen/>
      </w:r>
      <w:r w:rsidRPr="00E13D0A">
        <w:rPr>
          <w:rFonts w:cs="Times New Roman"/>
          <w:iCs/>
          <w:lang w:val="fr-CA"/>
        </w:rPr>
        <w:t>Britannique pour endiguer la vague d</w:t>
      </w:r>
      <w:r>
        <w:rPr>
          <w:rFonts w:cs="Times New Roman"/>
          <w:iCs/>
          <w:lang w:val="fr-CA"/>
        </w:rPr>
        <w:t>’</w:t>
      </w:r>
      <w:r w:rsidRPr="00E13D0A">
        <w:rPr>
          <w:rFonts w:cs="Times New Roman"/>
          <w:iCs/>
          <w:lang w:val="fr-CA"/>
        </w:rPr>
        <w:t>incidents liés à l</w:t>
      </w:r>
      <w:r>
        <w:rPr>
          <w:rFonts w:cs="Times New Roman"/>
          <w:iCs/>
          <w:lang w:val="fr-CA"/>
        </w:rPr>
        <w:t>’</w:t>
      </w:r>
      <w:r w:rsidRPr="00E13D0A">
        <w:rPr>
          <w:rFonts w:cs="Times New Roman"/>
          <w:iCs/>
          <w:lang w:val="fr-CA"/>
        </w:rPr>
        <w:t>ivresse au volant dans la province. Le RIAC a été mis en place [</w:t>
      </w:r>
      <w:r w:rsidRPr="00E13D0A">
        <w:rPr>
          <w:rFonts w:cs="Times New Roman"/>
          <w:iCs/>
          <w:smallCaps/>
          <w:lang w:val="fr-CA"/>
        </w:rPr>
        <w:t>traduction</w:t>
      </w:r>
      <w:r w:rsidRPr="00E13D0A">
        <w:rPr>
          <w:rFonts w:cs="Times New Roman"/>
          <w:iCs/>
          <w:lang w:val="fr-CA"/>
        </w:rPr>
        <w:t>] « comme moyen de réduire les pertes de vie sur les routes de la Colombie</w:t>
      </w:r>
      <w:r>
        <w:rPr>
          <w:rFonts w:cs="Times New Roman"/>
          <w:iCs/>
          <w:lang w:val="fr-CA"/>
        </w:rPr>
        <w:noBreakHyphen/>
      </w:r>
      <w:r w:rsidRPr="00E13D0A">
        <w:rPr>
          <w:rFonts w:cs="Times New Roman"/>
          <w:iCs/>
          <w:lang w:val="fr-CA"/>
        </w:rPr>
        <w:t>Britannique » en raison d</w:t>
      </w:r>
      <w:r>
        <w:rPr>
          <w:rFonts w:cs="Times New Roman"/>
          <w:iCs/>
          <w:lang w:val="fr-CA"/>
        </w:rPr>
        <w:t>’</w:t>
      </w:r>
      <w:r w:rsidRPr="00E13D0A">
        <w:rPr>
          <w:rFonts w:cs="Times New Roman"/>
          <w:iCs/>
          <w:lang w:val="fr-CA"/>
        </w:rPr>
        <w:t>une augmentation du nombre d</w:t>
      </w:r>
      <w:r>
        <w:rPr>
          <w:rFonts w:cs="Times New Roman"/>
          <w:iCs/>
          <w:lang w:val="fr-CA"/>
        </w:rPr>
        <w:t>’</w:t>
      </w:r>
      <w:r w:rsidRPr="00E13D0A">
        <w:rPr>
          <w:rFonts w:cs="Times New Roman"/>
          <w:iCs/>
          <w:lang w:val="fr-CA"/>
        </w:rPr>
        <w:t>accidents et de décès causés par l</w:t>
      </w:r>
      <w:r>
        <w:rPr>
          <w:rFonts w:cs="Times New Roman"/>
          <w:iCs/>
          <w:lang w:val="fr-CA"/>
        </w:rPr>
        <w:t>’</w:t>
      </w:r>
      <w:r w:rsidRPr="00E13D0A">
        <w:rPr>
          <w:rFonts w:cs="Times New Roman"/>
          <w:iCs/>
          <w:lang w:val="fr-CA"/>
        </w:rPr>
        <w:t>ivresse au volant</w:t>
      </w:r>
      <w:r>
        <w:rPr>
          <w:rFonts w:cs="Times New Roman"/>
          <w:iCs/>
          <w:lang w:val="fr-CA"/>
        </w:rPr>
        <w:t> :</w:t>
      </w:r>
      <w:r w:rsidRPr="00E13D0A">
        <w:rPr>
          <w:rFonts w:cs="Times New Roman"/>
          <w:iCs/>
          <w:lang w:val="fr-CA"/>
        </w:rPr>
        <w:t xml:space="preserve"> Colombie</w:t>
      </w:r>
      <w:r>
        <w:rPr>
          <w:rFonts w:cs="Times New Roman"/>
          <w:iCs/>
          <w:lang w:val="fr-CA"/>
        </w:rPr>
        <w:noBreakHyphen/>
      </w:r>
      <w:r w:rsidRPr="00E13D0A">
        <w:rPr>
          <w:rFonts w:cs="Times New Roman"/>
          <w:iCs/>
          <w:lang w:val="fr-CA"/>
        </w:rPr>
        <w:t xml:space="preserve">Britannique, </w:t>
      </w:r>
      <w:r w:rsidRPr="00E13D0A">
        <w:rPr>
          <w:rFonts w:cs="Times New Roman"/>
          <w:i/>
          <w:iCs/>
          <w:lang w:val="fr-CA"/>
        </w:rPr>
        <w:t>Official Report of Debates of the Legislative Assembly (Hansard)</w:t>
      </w:r>
      <w:r w:rsidRPr="00E13D0A">
        <w:rPr>
          <w:rFonts w:cs="Times New Roman"/>
          <w:iCs/>
          <w:lang w:val="fr-CA"/>
        </w:rPr>
        <w:t xml:space="preserve">, </w:t>
      </w:r>
      <w:r>
        <w:rPr>
          <w:rFonts w:cs="Times New Roman"/>
          <w:iCs/>
          <w:lang w:val="fr-CA"/>
        </w:rPr>
        <w:t>vol. </w:t>
      </w:r>
      <w:r w:rsidRPr="00E13D0A">
        <w:rPr>
          <w:rFonts w:cs="Times New Roman"/>
          <w:iCs/>
          <w:lang w:val="fr-CA"/>
        </w:rPr>
        <w:t>16, n</w:t>
      </w:r>
      <w:r w:rsidRPr="00E13D0A">
        <w:rPr>
          <w:rFonts w:cs="Times New Roman"/>
          <w:iCs/>
          <w:vertAlign w:val="superscript"/>
          <w:lang w:val="fr-CA"/>
        </w:rPr>
        <w:t>o</w:t>
      </w:r>
      <w:r w:rsidRPr="00E13D0A">
        <w:rPr>
          <w:rFonts w:cs="Times New Roman"/>
          <w:iCs/>
          <w:lang w:val="fr-CA"/>
        </w:rPr>
        <w:t> 1, 2</w:t>
      </w:r>
      <w:r w:rsidRPr="00E13D0A">
        <w:rPr>
          <w:rFonts w:cs="Times New Roman"/>
          <w:iCs/>
          <w:vertAlign w:val="superscript"/>
          <w:lang w:val="fr-CA"/>
        </w:rPr>
        <w:t>e</w:t>
      </w:r>
      <w:r w:rsidRPr="00E13D0A">
        <w:rPr>
          <w:rFonts w:cs="Times New Roman"/>
          <w:iCs/>
          <w:lang w:val="fr-CA"/>
        </w:rPr>
        <w:t> sess., 39</w:t>
      </w:r>
      <w:r w:rsidRPr="00E13D0A">
        <w:rPr>
          <w:rFonts w:cs="Times New Roman"/>
          <w:iCs/>
          <w:vertAlign w:val="superscript"/>
          <w:lang w:val="fr-CA"/>
        </w:rPr>
        <w:t>e</w:t>
      </w:r>
      <w:r w:rsidRPr="00E13D0A">
        <w:rPr>
          <w:rFonts w:cs="Times New Roman"/>
          <w:iCs/>
          <w:lang w:val="fr-CA"/>
        </w:rPr>
        <w:t> lég</w:t>
      </w:r>
      <w:r w:rsidR="000048F7">
        <w:rPr>
          <w:rFonts w:cs="Times New Roman"/>
          <w:iCs/>
          <w:lang w:val="fr-CA"/>
        </w:rPr>
        <w:t>.</w:t>
      </w:r>
      <w:r w:rsidRPr="00E13D0A">
        <w:rPr>
          <w:rFonts w:cs="Times New Roman"/>
          <w:iCs/>
          <w:lang w:val="fr-CA"/>
        </w:rPr>
        <w:t xml:space="preserve">, 27 avril 2010, </w:t>
      </w:r>
      <w:r>
        <w:rPr>
          <w:rFonts w:cs="Times New Roman"/>
          <w:iCs/>
          <w:lang w:val="fr-CA"/>
        </w:rPr>
        <w:t>p. </w:t>
      </w:r>
      <w:r w:rsidRPr="00E13D0A">
        <w:rPr>
          <w:rFonts w:cs="Times New Roman"/>
          <w:iCs/>
          <w:lang w:val="fr-CA"/>
        </w:rPr>
        <w:t>4871, l</w:t>
      </w:r>
      <w:r>
        <w:rPr>
          <w:rFonts w:cs="Times New Roman"/>
          <w:iCs/>
          <w:lang w:val="fr-CA"/>
        </w:rPr>
        <w:t>’</w:t>
      </w:r>
      <w:r w:rsidRPr="00E13D0A">
        <w:rPr>
          <w:rFonts w:cs="Times New Roman"/>
          <w:iCs/>
          <w:lang w:val="fr-CA"/>
        </w:rPr>
        <w:t xml:space="preserve">hon. M. de Jong. Malgré les prétentions de M. Goodwin selon lesquelles ces </w:t>
      </w:r>
      <w:r w:rsidRPr="00E13D0A">
        <w:rPr>
          <w:rFonts w:cs="Times New Roman"/>
          <w:iCs/>
          <w:lang w:val="fr-CA"/>
        </w:rPr>
        <w:lastRenderedPageBreak/>
        <w:t>déclarations dissimulent l</w:t>
      </w:r>
      <w:r>
        <w:rPr>
          <w:rFonts w:cs="Times New Roman"/>
          <w:iCs/>
          <w:lang w:val="fr-CA"/>
        </w:rPr>
        <w:t>’</w:t>
      </w:r>
      <w:r w:rsidRPr="00E13D0A">
        <w:rPr>
          <w:rFonts w:cs="Times New Roman"/>
          <w:iCs/>
          <w:lang w:val="fr-CA"/>
        </w:rPr>
        <w:t>objet véritable du régime d</w:t>
      </w:r>
      <w:r>
        <w:rPr>
          <w:rFonts w:cs="Times New Roman"/>
          <w:iCs/>
          <w:lang w:val="fr-CA"/>
        </w:rPr>
        <w:t>’</w:t>
      </w:r>
      <w:r w:rsidRPr="00E13D0A">
        <w:rPr>
          <w:rFonts w:cs="Times New Roman"/>
          <w:iCs/>
          <w:lang w:val="fr-CA"/>
        </w:rPr>
        <w:t>éliminer les droits procéduraux des conducteurs, l</w:t>
      </w:r>
      <w:r>
        <w:rPr>
          <w:rFonts w:cs="Times New Roman"/>
          <w:iCs/>
          <w:lang w:val="fr-CA"/>
        </w:rPr>
        <w:t>’</w:t>
      </w:r>
      <w:r w:rsidRPr="00E13D0A">
        <w:rPr>
          <w:rFonts w:cs="Times New Roman"/>
          <w:iCs/>
          <w:lang w:val="fr-CA"/>
        </w:rPr>
        <w:t>historique législatif et le régime législatif permettent de conclure que le RIAC a été instauré pour accroître la sécurité routière.</w:t>
      </w:r>
    </w:p>
    <w:p w:rsidR="00065721" w:rsidRPr="00E13D0A" w:rsidRDefault="00065721" w:rsidP="00926B45">
      <w:pPr>
        <w:pStyle w:val="ParaNoNdepar-AltN"/>
        <w:widowControl w:val="0"/>
        <w:rPr>
          <w:rFonts w:cs="Times New Roman"/>
          <w:lang w:val="fr-CA"/>
        </w:rPr>
      </w:pPr>
      <w:r w:rsidRPr="00E13D0A">
        <w:rPr>
          <w:rFonts w:cs="Times New Roman"/>
          <w:lang w:val="fr-CA"/>
        </w:rPr>
        <w:t>Monsieur Goodwin conteste également le RIAC au motif que ses effets juridiques et concrets vont au</w:t>
      </w:r>
      <w:r>
        <w:rPr>
          <w:rFonts w:cs="Times New Roman"/>
          <w:lang w:val="fr-CA"/>
        </w:rPr>
        <w:noBreakHyphen/>
      </w:r>
      <w:r w:rsidRPr="00E13D0A">
        <w:rPr>
          <w:rFonts w:cs="Times New Roman"/>
          <w:lang w:val="fr-CA"/>
        </w:rPr>
        <w:t>delà des pouvoirs constitutionnels de la Colombie</w:t>
      </w:r>
      <w:r>
        <w:rPr>
          <w:rFonts w:cs="Times New Roman"/>
          <w:lang w:val="fr-CA"/>
        </w:rPr>
        <w:noBreakHyphen/>
      </w:r>
      <w:r w:rsidRPr="00E13D0A">
        <w:rPr>
          <w:rFonts w:cs="Times New Roman"/>
          <w:lang w:val="fr-CA"/>
        </w:rPr>
        <w:t>Britannique. À son avis, les sanctions prévues par le RIAC sont les [</w:t>
      </w:r>
      <w:r w:rsidRPr="00E13D0A">
        <w:rPr>
          <w:rFonts w:cs="Times New Roman"/>
          <w:smallCaps/>
          <w:lang w:val="fr-CA"/>
        </w:rPr>
        <w:t>traduction</w:t>
      </w:r>
      <w:r w:rsidRPr="00E13D0A">
        <w:rPr>
          <w:rFonts w:cs="Times New Roman"/>
          <w:lang w:val="fr-CA"/>
        </w:rPr>
        <w:t>] « plus sévères » au Canada, ce qui confère au régime un caractère punitif que l</w:t>
      </w:r>
      <w:r>
        <w:rPr>
          <w:rFonts w:cs="Times New Roman"/>
          <w:lang w:val="fr-CA"/>
        </w:rPr>
        <w:t>’</w:t>
      </w:r>
      <w:r w:rsidRPr="00E13D0A">
        <w:rPr>
          <w:rFonts w:cs="Times New Roman"/>
          <w:lang w:val="fr-CA"/>
        </w:rPr>
        <w:t>on associe à juste titre au droit criminel. Toutefois, l</w:t>
      </w:r>
      <w:r>
        <w:rPr>
          <w:rFonts w:cs="Times New Roman"/>
          <w:lang w:val="fr-CA"/>
        </w:rPr>
        <w:t>’</w:t>
      </w:r>
      <w:r w:rsidRPr="00E13D0A">
        <w:rPr>
          <w:rFonts w:cs="Times New Roman"/>
          <w:lang w:val="fr-CA"/>
        </w:rPr>
        <w:t>imposition de sanctions pécuniaires élevées et la perte de privilèges importants ne rendent pas forcément la loi punitive. Les conséquences juridiques peuvent servir de moyens de dissuasion pour réaliser l</w:t>
      </w:r>
      <w:r>
        <w:rPr>
          <w:rFonts w:cs="Times New Roman"/>
          <w:lang w:val="fr-CA"/>
        </w:rPr>
        <w:t>’</w:t>
      </w:r>
      <w:r w:rsidRPr="00E13D0A">
        <w:rPr>
          <w:rFonts w:cs="Times New Roman"/>
          <w:lang w:val="fr-CA"/>
        </w:rPr>
        <w:t xml:space="preserve">objectif de sécurité routière. Les deux sont </w:t>
      </w:r>
      <w:r w:rsidRPr="00E13D0A" w:rsidDel="00022D01">
        <w:rPr>
          <w:rFonts w:cs="Times New Roman"/>
          <w:lang w:val="fr-CA"/>
        </w:rPr>
        <w:t>compatible</w:t>
      </w:r>
      <w:r w:rsidRPr="00E13D0A">
        <w:rPr>
          <w:rFonts w:cs="Times New Roman"/>
          <w:lang w:val="fr-CA"/>
        </w:rPr>
        <w:t>s</w:t>
      </w:r>
      <w:r w:rsidRPr="00E13D0A" w:rsidDel="00022D01">
        <w:rPr>
          <w:rFonts w:cs="Times New Roman"/>
          <w:lang w:val="fr-CA"/>
        </w:rPr>
        <w:t xml:space="preserve"> </w:t>
      </w:r>
      <w:r w:rsidRPr="00E13D0A">
        <w:rPr>
          <w:rFonts w:cs="Times New Roman"/>
          <w:lang w:val="fr-CA"/>
        </w:rPr>
        <w:t>avec un régime de délivrance de permis réglementaire</w:t>
      </w:r>
      <w:r w:rsidRPr="00E13D0A" w:rsidDel="00022D01">
        <w:rPr>
          <w:rFonts w:cs="Times New Roman"/>
          <w:lang w:val="fr-CA"/>
        </w:rPr>
        <w:t>.</w:t>
      </w:r>
    </w:p>
    <w:p w:rsidR="00065721" w:rsidRPr="00E13D0A" w:rsidRDefault="00065721" w:rsidP="00926B45">
      <w:pPr>
        <w:pStyle w:val="ParaNoNdepar-AltN"/>
        <w:widowControl w:val="0"/>
        <w:rPr>
          <w:rFonts w:cs="Times New Roman"/>
          <w:lang w:val="fr-CA"/>
        </w:rPr>
      </w:pPr>
      <w:r w:rsidRPr="00E13D0A">
        <w:rPr>
          <w:rFonts w:cs="Times New Roman"/>
          <w:iCs/>
          <w:lang w:val="fr-CA"/>
        </w:rPr>
        <w:t>Pour ce qui est des effets concrets, M. Goodwin soutient que le RIAC écarte le droit criminel</w:t>
      </w:r>
      <w:r w:rsidRPr="00E13D0A">
        <w:rPr>
          <w:rFonts w:cs="Times New Roman"/>
          <w:lang w:val="fr-CA"/>
        </w:rPr>
        <w:t xml:space="preserve">. Signalant la mise en garde de la Cour au </w:t>
      </w:r>
      <w:r>
        <w:rPr>
          <w:rFonts w:cs="Times New Roman"/>
          <w:lang w:val="fr-CA"/>
        </w:rPr>
        <w:t>par. </w:t>
      </w:r>
      <w:r w:rsidRPr="00E13D0A">
        <w:rPr>
          <w:rFonts w:cs="Times New Roman"/>
          <w:lang w:val="fr-CA"/>
        </w:rPr>
        <w:t>40 de l</w:t>
      </w:r>
      <w:r>
        <w:rPr>
          <w:rFonts w:cs="Times New Roman"/>
          <w:lang w:val="fr-CA"/>
        </w:rPr>
        <w:t>’</w:t>
      </w:r>
      <w:r w:rsidRPr="00E13D0A">
        <w:rPr>
          <w:rFonts w:cs="Times New Roman"/>
          <w:lang w:val="fr-CA"/>
        </w:rPr>
        <w:t xml:space="preserve">arrêt </w:t>
      </w:r>
      <w:r w:rsidRPr="00E13D0A">
        <w:rPr>
          <w:rFonts w:cs="Times New Roman"/>
          <w:i/>
          <w:lang w:val="fr-CA"/>
        </w:rPr>
        <w:t>Chatterjee c. Ontario (Procureur général)</w:t>
      </w:r>
      <w:r w:rsidRPr="00E13D0A">
        <w:rPr>
          <w:rFonts w:cs="Times New Roman"/>
          <w:lang w:val="fr-CA"/>
        </w:rPr>
        <w:t>, 2009 CSC 19, [2009] 1 R.C.S. 624, selon laquelle la province peut légiférer « pour autant que ces mesures soient permises sous u</w:t>
      </w:r>
      <w:r w:rsidR="00FF70CE">
        <w:rPr>
          <w:rFonts w:cs="Times New Roman"/>
          <w:lang w:val="fr-CA"/>
        </w:rPr>
        <w:t>n chef de compétence provincial</w:t>
      </w:r>
      <w:r w:rsidRPr="00E13D0A">
        <w:rPr>
          <w:rFonts w:cs="Times New Roman"/>
          <w:lang w:val="fr-CA"/>
        </w:rPr>
        <w:t xml:space="preserve"> et ne portent pas atteinte à l</w:t>
      </w:r>
      <w:r>
        <w:rPr>
          <w:rFonts w:cs="Times New Roman"/>
          <w:lang w:val="fr-CA"/>
        </w:rPr>
        <w:t>’</w:t>
      </w:r>
      <w:r w:rsidRPr="00E13D0A">
        <w:rPr>
          <w:rFonts w:cs="Times New Roman"/>
          <w:lang w:val="fr-CA"/>
        </w:rPr>
        <w:t xml:space="preserve">application du </w:t>
      </w:r>
      <w:r w:rsidRPr="00E13D0A">
        <w:rPr>
          <w:rFonts w:cs="Times New Roman"/>
          <w:i/>
          <w:lang w:val="fr-CA"/>
        </w:rPr>
        <w:t>Code criminel </w:t>
      </w:r>
      <w:r w:rsidRPr="00E13D0A">
        <w:rPr>
          <w:rFonts w:cs="Times New Roman"/>
          <w:lang w:val="fr-CA"/>
        </w:rPr>
        <w:t>», il s</w:t>
      </w:r>
      <w:r>
        <w:rPr>
          <w:rFonts w:cs="Times New Roman"/>
          <w:lang w:val="fr-CA"/>
        </w:rPr>
        <w:t>’</w:t>
      </w:r>
      <w:r w:rsidRPr="00E13D0A">
        <w:rPr>
          <w:rFonts w:cs="Times New Roman"/>
          <w:lang w:val="fr-CA"/>
        </w:rPr>
        <w:t>appuie sur des éléments de preuve tendant à indiquer que, depuis l</w:t>
      </w:r>
      <w:r>
        <w:rPr>
          <w:rFonts w:cs="Times New Roman"/>
          <w:lang w:val="fr-CA"/>
        </w:rPr>
        <w:t>’</w:t>
      </w:r>
      <w:r w:rsidRPr="00E13D0A">
        <w:rPr>
          <w:rFonts w:cs="Times New Roman"/>
          <w:lang w:val="fr-CA"/>
        </w:rPr>
        <w:t xml:space="preserve">établissement </w:t>
      </w:r>
      <w:r w:rsidRPr="00E13D0A">
        <w:rPr>
          <w:rFonts w:cs="Times New Roman"/>
          <w:iCs/>
          <w:lang w:val="fr-CA"/>
        </w:rPr>
        <w:t>du RIAC, la police a choisi d</w:t>
      </w:r>
      <w:r>
        <w:rPr>
          <w:rFonts w:cs="Times New Roman"/>
          <w:iCs/>
          <w:lang w:val="fr-CA"/>
        </w:rPr>
        <w:t>’</w:t>
      </w:r>
      <w:r w:rsidRPr="00E13D0A">
        <w:rPr>
          <w:rFonts w:cs="Times New Roman"/>
          <w:iCs/>
          <w:lang w:val="fr-CA"/>
        </w:rPr>
        <w:t>appliquer ce régime provincial plutôt que les sanctions prévues par le droit criminel fédéral contre la conduite avec facultés affaiblies. Selon lui, cela différencie les régimes provinciaux qui complètent les dispositions criminelles du RIAC, qui supplante ces dispositions.</w:t>
      </w:r>
    </w:p>
    <w:p w:rsidR="00065721" w:rsidRPr="00E13D0A" w:rsidRDefault="00065721" w:rsidP="00926B45">
      <w:pPr>
        <w:pStyle w:val="ParaNoNdepar-AltN"/>
        <w:widowControl w:val="0"/>
        <w:rPr>
          <w:rFonts w:cs="Times New Roman"/>
          <w:lang w:val="fr-CA"/>
        </w:rPr>
      </w:pPr>
      <w:r w:rsidRPr="00E13D0A">
        <w:rPr>
          <w:rFonts w:cs="Times New Roman"/>
          <w:lang w:val="fr-CA"/>
        </w:rPr>
        <w:lastRenderedPageBreak/>
        <w:t>Comme l</w:t>
      </w:r>
      <w:r>
        <w:rPr>
          <w:rFonts w:cs="Times New Roman"/>
          <w:lang w:val="fr-CA"/>
        </w:rPr>
        <w:t>’</w:t>
      </w:r>
      <w:r w:rsidRPr="00E13D0A">
        <w:rPr>
          <w:rFonts w:cs="Times New Roman"/>
          <w:lang w:val="fr-CA"/>
        </w:rPr>
        <w:t>a signalé le juge en chambre, le fait que la police tend à appliquer le RIAC provincial plutôt que le droit criminel est certainement un facteur à prendre en compte dans l</w:t>
      </w:r>
      <w:r>
        <w:rPr>
          <w:rFonts w:cs="Times New Roman"/>
          <w:lang w:val="fr-CA"/>
        </w:rPr>
        <w:t>’</w:t>
      </w:r>
      <w:r w:rsidRPr="00E13D0A">
        <w:rPr>
          <w:rFonts w:cs="Times New Roman"/>
          <w:lang w:val="fr-CA"/>
        </w:rPr>
        <w:t>analyse du caractère véritable. Or, ce facteur n</w:t>
      </w:r>
      <w:r>
        <w:rPr>
          <w:rFonts w:cs="Times New Roman"/>
          <w:lang w:val="fr-CA"/>
        </w:rPr>
        <w:t>’</w:t>
      </w:r>
      <w:r w:rsidRPr="00E13D0A">
        <w:rPr>
          <w:rFonts w:cs="Times New Roman"/>
          <w:lang w:val="fr-CA"/>
        </w:rPr>
        <w:t>est pas déterminant. Comme l</w:t>
      </w:r>
      <w:r>
        <w:rPr>
          <w:rFonts w:cs="Times New Roman"/>
          <w:lang w:val="fr-CA"/>
        </w:rPr>
        <w:t>’</w:t>
      </w:r>
      <w:r w:rsidRPr="00E13D0A">
        <w:rPr>
          <w:rFonts w:cs="Times New Roman"/>
          <w:lang w:val="fr-CA"/>
        </w:rPr>
        <w:t>a relevé la Cour dans l</w:t>
      </w:r>
      <w:r>
        <w:rPr>
          <w:rFonts w:cs="Times New Roman"/>
          <w:lang w:val="fr-CA"/>
        </w:rPr>
        <w:t>’</w:t>
      </w:r>
      <w:r w:rsidRPr="00E13D0A">
        <w:rPr>
          <w:rFonts w:cs="Times New Roman"/>
          <w:lang w:val="fr-CA"/>
        </w:rPr>
        <w:t xml:space="preserve">arrêt </w:t>
      </w:r>
      <w:r w:rsidRPr="00E13D0A">
        <w:rPr>
          <w:rFonts w:cs="Times New Roman"/>
          <w:i/>
          <w:lang w:val="fr-CA"/>
        </w:rPr>
        <w:t>Dedman c. La Reine</w:t>
      </w:r>
      <w:r w:rsidRPr="00E13D0A">
        <w:rPr>
          <w:rFonts w:cs="Times New Roman"/>
          <w:lang w:val="fr-CA"/>
        </w:rPr>
        <w:t>, [1985] 2 R.C.S. 2, les devoirs qu</w:t>
      </w:r>
      <w:r>
        <w:rPr>
          <w:rFonts w:cs="Times New Roman"/>
          <w:lang w:val="fr-CA"/>
        </w:rPr>
        <w:t>’</w:t>
      </w:r>
      <w:r w:rsidRPr="00E13D0A">
        <w:rPr>
          <w:rFonts w:cs="Times New Roman"/>
          <w:lang w:val="fr-CA"/>
        </w:rPr>
        <w:t>a la police selon la common law comprennent la protection de la vie des personnes et des biens et « l</w:t>
      </w:r>
      <w:r>
        <w:rPr>
          <w:rFonts w:cs="Times New Roman"/>
          <w:lang w:val="fr-CA"/>
        </w:rPr>
        <w:t>’</w:t>
      </w:r>
      <w:r w:rsidRPr="00E13D0A">
        <w:rPr>
          <w:rFonts w:cs="Times New Roman"/>
          <w:lang w:val="fr-CA"/>
        </w:rPr>
        <w:t>obligation de surveiller l</w:t>
      </w:r>
      <w:r w:rsidR="009F583A">
        <w:rPr>
          <w:rFonts w:cs="Times New Roman"/>
          <w:lang w:val="fr-CA"/>
        </w:rPr>
        <w:t xml:space="preserve">a circulation sur les routes » : </w:t>
      </w:r>
      <w:r>
        <w:rPr>
          <w:rFonts w:cs="Times New Roman"/>
          <w:lang w:val="fr-CA"/>
        </w:rPr>
        <w:t>p. </w:t>
      </w:r>
      <w:r w:rsidRPr="00E13D0A">
        <w:rPr>
          <w:rFonts w:cs="Times New Roman"/>
          <w:lang w:val="fr-CA"/>
        </w:rPr>
        <w:t>12. Les policiers sont chargés d</w:t>
      </w:r>
      <w:r>
        <w:rPr>
          <w:rFonts w:cs="Times New Roman"/>
          <w:lang w:val="fr-CA"/>
        </w:rPr>
        <w:t>’</w:t>
      </w:r>
      <w:r w:rsidRPr="00E13D0A">
        <w:rPr>
          <w:rFonts w:cs="Times New Roman"/>
          <w:lang w:val="fr-CA"/>
        </w:rPr>
        <w:t>appliquer le droit criminel et de maintenir la sécurité sur les routes en appliquant les lois provinciales en matière de sécurité routière. Le fait qu</w:t>
      </w:r>
      <w:r>
        <w:rPr>
          <w:rFonts w:cs="Times New Roman"/>
          <w:lang w:val="fr-CA"/>
        </w:rPr>
        <w:t>’</w:t>
      </w:r>
      <w:r w:rsidRPr="00E13D0A">
        <w:rPr>
          <w:rFonts w:cs="Times New Roman"/>
          <w:lang w:val="fr-CA"/>
        </w:rPr>
        <w:t>ils exercent leur pouvoir discrétionnaire d</w:t>
      </w:r>
      <w:r>
        <w:rPr>
          <w:rFonts w:cs="Times New Roman"/>
          <w:lang w:val="fr-CA"/>
        </w:rPr>
        <w:t>’</w:t>
      </w:r>
      <w:r w:rsidRPr="00E13D0A">
        <w:rPr>
          <w:rFonts w:cs="Times New Roman"/>
          <w:lang w:val="fr-CA"/>
        </w:rPr>
        <w:t>appliquer une de ces lois plutôt qu</w:t>
      </w:r>
      <w:r>
        <w:rPr>
          <w:rFonts w:cs="Times New Roman"/>
          <w:lang w:val="fr-CA"/>
        </w:rPr>
        <w:t>’</w:t>
      </w:r>
      <w:r w:rsidRPr="00E13D0A">
        <w:rPr>
          <w:rFonts w:cs="Times New Roman"/>
          <w:lang w:val="fr-CA"/>
        </w:rPr>
        <w:t>une autre est conforme au pouvoir discrétionnaire de la police en génér</w:t>
      </w:r>
      <w:r>
        <w:rPr>
          <w:rFonts w:cs="Times New Roman"/>
          <w:lang w:val="fr-CA"/>
        </w:rPr>
        <w:t>al. </w:t>
      </w:r>
      <w:r w:rsidRPr="00E13D0A">
        <w:rPr>
          <w:rFonts w:cs="Times New Roman"/>
          <w:lang w:val="fr-CA"/>
        </w:rPr>
        <w:t>Ce pouvoir discrétionnaire est essentiel puisqu</w:t>
      </w:r>
      <w:r>
        <w:rPr>
          <w:rFonts w:cs="Times New Roman"/>
          <w:lang w:val="fr-CA"/>
        </w:rPr>
        <w:t>’</w:t>
      </w:r>
      <w:r w:rsidRPr="00E13D0A">
        <w:rPr>
          <w:rFonts w:cs="Times New Roman"/>
          <w:lang w:val="fr-CA"/>
        </w:rPr>
        <w:t>il permet aux policiers d</w:t>
      </w:r>
      <w:r>
        <w:rPr>
          <w:rFonts w:cs="Times New Roman"/>
          <w:lang w:val="fr-CA"/>
        </w:rPr>
        <w:t>’</w:t>
      </w:r>
      <w:r w:rsidRPr="00E13D0A">
        <w:rPr>
          <w:rFonts w:cs="Times New Roman"/>
          <w:lang w:val="fr-CA"/>
        </w:rPr>
        <w:t>appliquer le droit aux situations concrètes de manière équitable</w:t>
      </w:r>
      <w:r>
        <w:rPr>
          <w:rFonts w:cs="Times New Roman"/>
          <w:lang w:val="fr-CA"/>
        </w:rPr>
        <w:t> :</w:t>
      </w:r>
      <w:r w:rsidRPr="00E13D0A">
        <w:rPr>
          <w:rFonts w:cs="Times New Roman"/>
          <w:lang w:val="fr-CA"/>
        </w:rPr>
        <w:t xml:space="preserve"> </w:t>
      </w:r>
      <w:r w:rsidRPr="00E13D0A">
        <w:rPr>
          <w:rFonts w:cs="Times New Roman"/>
          <w:i/>
          <w:lang w:val="fr-CA"/>
        </w:rPr>
        <w:t>R. c</w:t>
      </w:r>
      <w:r w:rsidRPr="00E13D0A">
        <w:rPr>
          <w:rFonts w:cs="Times New Roman"/>
          <w:i/>
          <w:iCs/>
          <w:lang w:val="fr-CA"/>
        </w:rPr>
        <w:t>.</w:t>
      </w:r>
      <w:r w:rsidRPr="00E13D0A">
        <w:rPr>
          <w:rFonts w:cs="Times New Roman"/>
          <w:i/>
          <w:lang w:val="fr-CA"/>
        </w:rPr>
        <w:t xml:space="preserve"> Beaudry</w:t>
      </w:r>
      <w:r w:rsidRPr="00E13D0A">
        <w:rPr>
          <w:rFonts w:cs="Times New Roman"/>
          <w:lang w:val="fr-CA"/>
        </w:rPr>
        <w:t xml:space="preserve">, 2007 CSC 5, [2007] 1 R.C.S. 190, </w:t>
      </w:r>
      <w:r>
        <w:rPr>
          <w:rFonts w:cs="Times New Roman"/>
          <w:lang w:val="fr-CA"/>
        </w:rPr>
        <w:t>par. </w:t>
      </w:r>
      <w:r w:rsidRPr="00E13D0A">
        <w:rPr>
          <w:rFonts w:cs="Times New Roman"/>
          <w:lang w:val="fr-CA"/>
        </w:rPr>
        <w:t>3. Un texte de loi provincial qui permet aux policiers de prendre la décision discrétionnaire d</w:t>
      </w:r>
      <w:r>
        <w:rPr>
          <w:rFonts w:cs="Times New Roman"/>
          <w:lang w:val="fr-CA"/>
        </w:rPr>
        <w:t>’</w:t>
      </w:r>
      <w:r w:rsidRPr="00E13D0A">
        <w:rPr>
          <w:rFonts w:cs="Times New Roman"/>
          <w:lang w:val="fr-CA"/>
        </w:rPr>
        <w:t xml:space="preserve">appliquer soit le </w:t>
      </w:r>
      <w:r w:rsidRPr="00E13D0A">
        <w:rPr>
          <w:rFonts w:cs="Times New Roman"/>
          <w:i/>
          <w:lang w:val="fr-CA"/>
        </w:rPr>
        <w:t>Code criminel</w:t>
      </w:r>
      <w:r w:rsidRPr="00E13D0A">
        <w:rPr>
          <w:rFonts w:cs="Times New Roman"/>
          <w:lang w:val="fr-CA"/>
        </w:rPr>
        <w:t xml:space="preserve">, soit la </w:t>
      </w:r>
      <w:r w:rsidRPr="00E13D0A">
        <w:rPr>
          <w:rFonts w:cs="Times New Roman"/>
          <w:i/>
          <w:lang w:val="fr-CA"/>
        </w:rPr>
        <w:t>MVA</w:t>
      </w:r>
      <w:r w:rsidRPr="00E13D0A">
        <w:rPr>
          <w:rFonts w:cs="Times New Roman"/>
          <w:lang w:val="fr-CA"/>
        </w:rPr>
        <w:t xml:space="preserve"> dans une situation particulière n</w:t>
      </w:r>
      <w:r>
        <w:rPr>
          <w:rFonts w:cs="Times New Roman"/>
          <w:lang w:val="fr-CA"/>
        </w:rPr>
        <w:t>’</w:t>
      </w:r>
      <w:r w:rsidRPr="00E13D0A">
        <w:rPr>
          <w:rFonts w:cs="Times New Roman"/>
          <w:lang w:val="fr-CA"/>
        </w:rPr>
        <w:t>en est pas un qui « port[e] [. . .] atteinte à l</w:t>
      </w:r>
      <w:r>
        <w:rPr>
          <w:rFonts w:cs="Times New Roman"/>
          <w:lang w:val="fr-CA"/>
        </w:rPr>
        <w:t>’</w:t>
      </w:r>
      <w:r w:rsidRPr="00E13D0A">
        <w:rPr>
          <w:rFonts w:cs="Times New Roman"/>
          <w:lang w:val="fr-CA"/>
        </w:rPr>
        <w:t xml:space="preserve">application du </w:t>
      </w:r>
      <w:r w:rsidRPr="00E13D0A">
        <w:rPr>
          <w:rFonts w:cs="Times New Roman"/>
          <w:i/>
          <w:lang w:val="fr-CA"/>
        </w:rPr>
        <w:t>Code criminel</w:t>
      </w:r>
      <w:r w:rsidRPr="00E13D0A">
        <w:rPr>
          <w:rFonts w:cs="Times New Roman"/>
          <w:lang w:val="fr-CA"/>
        </w:rPr>
        <w:t> »</w:t>
      </w:r>
      <w:r>
        <w:rPr>
          <w:rFonts w:cs="Times New Roman"/>
          <w:lang w:val="fr-CA"/>
        </w:rPr>
        <w:t> :</w:t>
      </w:r>
      <w:r w:rsidRPr="00E13D0A">
        <w:rPr>
          <w:rFonts w:cs="Times New Roman"/>
          <w:lang w:val="fr-CA"/>
        </w:rPr>
        <w:t xml:space="preserve"> voir </w:t>
      </w:r>
      <w:r w:rsidRPr="00E13D0A">
        <w:rPr>
          <w:rFonts w:cs="Times New Roman"/>
          <w:i/>
          <w:lang w:val="fr-CA"/>
        </w:rPr>
        <w:t>Chatterjee</w:t>
      </w:r>
      <w:r w:rsidRPr="00E13D0A">
        <w:rPr>
          <w:rFonts w:cs="Times New Roman"/>
          <w:lang w:val="fr-CA"/>
        </w:rPr>
        <w:t xml:space="preserve">, </w:t>
      </w:r>
      <w:r>
        <w:rPr>
          <w:rFonts w:cs="Times New Roman"/>
          <w:lang w:val="fr-CA"/>
        </w:rPr>
        <w:t>par. </w:t>
      </w:r>
      <w:r w:rsidRPr="00E13D0A">
        <w:rPr>
          <w:rFonts w:cs="Times New Roman"/>
          <w:lang w:val="fr-CA"/>
        </w:rPr>
        <w:t>40.</w:t>
      </w:r>
    </w:p>
    <w:p w:rsidR="00065721" w:rsidRPr="00E13D0A" w:rsidRDefault="00065721" w:rsidP="00926B45">
      <w:pPr>
        <w:pStyle w:val="ParaNoNdepar-AltN"/>
        <w:widowControl w:val="0"/>
        <w:rPr>
          <w:rFonts w:cs="Times New Roman"/>
          <w:lang w:val="fr-CA"/>
        </w:rPr>
      </w:pPr>
      <w:r w:rsidRPr="00E13D0A">
        <w:rPr>
          <w:rFonts w:cs="Times New Roman"/>
          <w:lang w:val="fr-CA"/>
        </w:rPr>
        <w:t>En définitive, il faut examiner les objectifs et les effets d</w:t>
      </w:r>
      <w:r>
        <w:rPr>
          <w:rFonts w:cs="Times New Roman"/>
          <w:lang w:val="fr-CA"/>
        </w:rPr>
        <w:t>’</w:t>
      </w:r>
      <w:r w:rsidRPr="00E13D0A">
        <w:rPr>
          <w:rFonts w:cs="Times New Roman"/>
          <w:lang w:val="fr-CA"/>
        </w:rPr>
        <w:t>une loi ensemble plutôt qu</w:t>
      </w:r>
      <w:r>
        <w:rPr>
          <w:rFonts w:cs="Times New Roman"/>
          <w:lang w:val="fr-CA"/>
        </w:rPr>
        <w:t>’</w:t>
      </w:r>
      <w:r w:rsidRPr="00E13D0A">
        <w:rPr>
          <w:rFonts w:cs="Times New Roman"/>
          <w:lang w:val="fr-CA"/>
        </w:rPr>
        <w:t xml:space="preserve">isolément pour déterminer son caractère véritable. Il ne fait aucun doute que le RIAC a des répercussions indirectes sur le droit criminel. Il vise sans aucun doute, en partie, une activité criminelle précise et impose de lourdes sanctions, sans offrir les protections inhérentes aux enquêtes et aux poursuites criminelles. Toutefois, les sanctions se rapportent à la réglementation des privilèges du conducteur. À mon avis, le juge en chambre a décrit avec raison le caractère véritable du RIAC comme </w:t>
      </w:r>
      <w:r w:rsidRPr="00E13D0A">
        <w:rPr>
          <w:rFonts w:cs="Times New Roman"/>
          <w:lang w:val="fr-CA"/>
        </w:rPr>
        <w:lastRenderedPageBreak/>
        <w:t>[</w:t>
      </w:r>
      <w:r w:rsidRPr="00E13D0A">
        <w:rPr>
          <w:rFonts w:cs="Times New Roman"/>
          <w:smallCaps/>
          <w:lang w:val="fr-CA"/>
        </w:rPr>
        <w:t>traduction</w:t>
      </w:r>
      <w:r w:rsidRPr="00E13D0A">
        <w:rPr>
          <w:rFonts w:cs="Times New Roman"/>
          <w:lang w:val="fr-CA"/>
        </w:rPr>
        <w:t>] « la délivrance de permis de conduire, le renforcement de la sécurité routière et le fait de dissuader les gens de conduire sur les routes avec les facultés affaiblies par l</w:t>
      </w:r>
      <w:r>
        <w:rPr>
          <w:rFonts w:cs="Times New Roman"/>
          <w:lang w:val="fr-CA"/>
        </w:rPr>
        <w:t>’</w:t>
      </w:r>
      <w:r w:rsidRPr="00E13D0A">
        <w:rPr>
          <w:rFonts w:cs="Times New Roman"/>
          <w:lang w:val="fr-CA"/>
        </w:rPr>
        <w:t>alcool »</w:t>
      </w:r>
      <w:r>
        <w:rPr>
          <w:rFonts w:cs="Times New Roman"/>
          <w:lang w:val="fr-CA"/>
        </w:rPr>
        <w:t> :</w:t>
      </w:r>
      <w:r w:rsidRPr="00E13D0A">
        <w:rPr>
          <w:rFonts w:cs="Times New Roman"/>
          <w:lang w:val="fr-CA"/>
        </w:rPr>
        <w:t xml:space="preserve"> motifs du juge en chambre, </w:t>
      </w:r>
      <w:r>
        <w:rPr>
          <w:rFonts w:cs="Times New Roman"/>
          <w:lang w:val="fr-CA"/>
        </w:rPr>
        <w:t>par. </w:t>
      </w:r>
      <w:r w:rsidRPr="00E13D0A">
        <w:rPr>
          <w:rFonts w:cs="Times New Roman"/>
          <w:lang w:val="fr-CA"/>
        </w:rPr>
        <w:t xml:space="preserve">74. </w:t>
      </w:r>
    </w:p>
    <w:p w:rsidR="00065721" w:rsidRPr="00E13D0A" w:rsidRDefault="00065721" w:rsidP="00926B45">
      <w:pPr>
        <w:pStyle w:val="ParaNoNdepar-AltN"/>
        <w:widowControl w:val="0"/>
        <w:rPr>
          <w:rFonts w:cs="Times New Roman"/>
          <w:lang w:val="fr-CA"/>
        </w:rPr>
      </w:pPr>
      <w:r w:rsidRPr="00E13D0A">
        <w:rPr>
          <w:rFonts w:cs="Times New Roman"/>
          <w:lang w:val="fr-CA"/>
        </w:rPr>
        <w:t>Une fois la matière identifiée, la prochaine étape consiste à classer la loi ou la disposition au regard du partage des pouvoirs législatifs prévu dans la Constitution. Cela permettra d</w:t>
      </w:r>
      <w:r>
        <w:rPr>
          <w:rFonts w:cs="Times New Roman"/>
          <w:lang w:val="fr-CA"/>
        </w:rPr>
        <w:t>’</w:t>
      </w:r>
      <w:r w:rsidRPr="00E13D0A">
        <w:rPr>
          <w:rFonts w:cs="Times New Roman"/>
          <w:lang w:val="fr-CA"/>
        </w:rPr>
        <w:t>établir si la loi ou la disposition relève de la compétence législative de l</w:t>
      </w:r>
      <w:r>
        <w:rPr>
          <w:rFonts w:cs="Times New Roman"/>
          <w:lang w:val="fr-CA"/>
        </w:rPr>
        <w:t>’</w:t>
      </w:r>
      <w:r w:rsidRPr="00E13D0A">
        <w:rPr>
          <w:rFonts w:cs="Times New Roman"/>
          <w:lang w:val="fr-CA"/>
        </w:rPr>
        <w:t>ordre de gouvernement qui l</w:t>
      </w:r>
      <w:r>
        <w:rPr>
          <w:rFonts w:cs="Times New Roman"/>
          <w:lang w:val="fr-CA"/>
        </w:rPr>
        <w:t>’</w:t>
      </w:r>
      <w:r w:rsidRPr="00E13D0A">
        <w:rPr>
          <w:rFonts w:cs="Times New Roman"/>
          <w:lang w:val="fr-CA"/>
        </w:rPr>
        <w:t>a adoptée.</w:t>
      </w:r>
    </w:p>
    <w:p w:rsidR="00065721" w:rsidRPr="00E13D0A" w:rsidRDefault="00065721" w:rsidP="00926B45">
      <w:pPr>
        <w:pStyle w:val="ParaNoNdepar-AltN"/>
        <w:widowControl w:val="0"/>
        <w:rPr>
          <w:rFonts w:cs="Times New Roman"/>
          <w:lang w:val="fr-CA"/>
        </w:rPr>
      </w:pPr>
      <w:r w:rsidRPr="00E13D0A">
        <w:rPr>
          <w:rFonts w:cs="Times New Roman"/>
          <w:iCs/>
          <w:lang w:val="fr-CA"/>
        </w:rPr>
        <w:t>Un long courant jurisprudentiel établit l</w:t>
      </w:r>
      <w:r>
        <w:rPr>
          <w:rFonts w:cs="Times New Roman"/>
          <w:iCs/>
          <w:lang w:val="fr-CA"/>
        </w:rPr>
        <w:t>’</w:t>
      </w:r>
      <w:r w:rsidRPr="00E13D0A">
        <w:rPr>
          <w:rFonts w:cs="Times New Roman"/>
          <w:iCs/>
          <w:lang w:val="fr-CA"/>
        </w:rPr>
        <w:t>étendue de la compétence législative provinciale</w:t>
      </w:r>
      <w:r>
        <w:rPr>
          <w:rFonts w:cs="Times New Roman"/>
          <w:iCs/>
          <w:lang w:val="fr-CA"/>
        </w:rPr>
        <w:t xml:space="preserve"> </w:t>
      </w:r>
      <w:r w:rsidR="0028560B">
        <w:rPr>
          <w:rFonts w:cs="Times New Roman"/>
          <w:iCs/>
          <w:lang w:val="fr-CA"/>
        </w:rPr>
        <w:t>en matière de ré</w:t>
      </w:r>
      <w:r w:rsidRPr="00E13D0A">
        <w:rPr>
          <w:rFonts w:cs="Times New Roman"/>
          <w:iCs/>
          <w:lang w:val="fr-CA"/>
        </w:rPr>
        <w:t>glementation de la circulation routière. Depuis l</w:t>
      </w:r>
      <w:r>
        <w:rPr>
          <w:rFonts w:cs="Times New Roman"/>
          <w:iCs/>
          <w:lang w:val="fr-CA"/>
        </w:rPr>
        <w:t>’</w:t>
      </w:r>
      <w:r w:rsidRPr="00E13D0A">
        <w:rPr>
          <w:rFonts w:cs="Times New Roman"/>
          <w:iCs/>
          <w:lang w:val="fr-CA"/>
        </w:rPr>
        <w:t xml:space="preserve">arrêt </w:t>
      </w:r>
      <w:r w:rsidRPr="00E13D0A">
        <w:rPr>
          <w:rFonts w:cs="Times New Roman"/>
          <w:i/>
          <w:iCs/>
          <w:lang w:val="fr-CA"/>
        </w:rPr>
        <w:t>Egan</w:t>
      </w:r>
      <w:r w:rsidRPr="00E13D0A">
        <w:rPr>
          <w:rFonts w:cs="Times New Roman"/>
          <w:iCs/>
          <w:lang w:val="fr-CA"/>
        </w:rPr>
        <w:t>, la Cour reconnaît aux provinces le droit de légiférer à propos de la conduite en état d</w:t>
      </w:r>
      <w:r>
        <w:rPr>
          <w:rFonts w:cs="Times New Roman"/>
          <w:iCs/>
          <w:lang w:val="fr-CA"/>
        </w:rPr>
        <w:t>’</w:t>
      </w:r>
      <w:r w:rsidRPr="00E13D0A">
        <w:rPr>
          <w:rFonts w:cs="Times New Roman"/>
          <w:iCs/>
          <w:lang w:val="fr-CA"/>
        </w:rPr>
        <w:t>ébriété en vertu de l</w:t>
      </w:r>
      <w:r>
        <w:rPr>
          <w:rFonts w:cs="Times New Roman"/>
          <w:iCs/>
          <w:lang w:val="fr-CA"/>
        </w:rPr>
        <w:t>’art. </w:t>
      </w:r>
      <w:r w:rsidRPr="00E13D0A">
        <w:rPr>
          <w:rFonts w:cs="Times New Roman"/>
          <w:iCs/>
          <w:lang w:val="fr-CA"/>
        </w:rPr>
        <w:t>92 de la</w:t>
      </w:r>
      <w:r w:rsidRPr="00E13D0A">
        <w:rPr>
          <w:rFonts w:cs="Times New Roman"/>
          <w:lang w:val="fr-CA"/>
        </w:rPr>
        <w:t xml:space="preserve"> </w:t>
      </w:r>
      <w:r w:rsidRPr="00E13D0A">
        <w:rPr>
          <w:rFonts w:cs="Times New Roman"/>
          <w:i/>
          <w:lang w:val="fr-CA"/>
        </w:rPr>
        <w:t>Loi constitutionnelle de 1867</w:t>
      </w:r>
      <w:r>
        <w:rPr>
          <w:rFonts w:cs="Times New Roman"/>
          <w:i/>
          <w:lang w:val="fr-CA"/>
        </w:rPr>
        <w:t> </w:t>
      </w:r>
      <w:r w:rsidRPr="0028560B">
        <w:rPr>
          <w:rFonts w:cs="Times New Roman"/>
          <w:lang w:val="fr-CA"/>
        </w:rPr>
        <w:t>:</w:t>
      </w:r>
      <w:r w:rsidRPr="0028560B">
        <w:rPr>
          <w:rFonts w:cs="Times New Roman"/>
          <w:iCs/>
          <w:lang w:val="fr-CA"/>
        </w:rPr>
        <w:t xml:space="preserve"> </w:t>
      </w:r>
      <w:r w:rsidRPr="00E13D0A">
        <w:rPr>
          <w:rFonts w:cs="Times New Roman"/>
          <w:iCs/>
          <w:lang w:val="fr-CA"/>
        </w:rPr>
        <w:t xml:space="preserve">voir, </w:t>
      </w:r>
      <w:r>
        <w:rPr>
          <w:rFonts w:cs="Times New Roman"/>
          <w:iCs/>
          <w:lang w:val="fr-CA"/>
        </w:rPr>
        <w:t>p. </w:t>
      </w:r>
      <w:r w:rsidRPr="00E13D0A">
        <w:rPr>
          <w:rFonts w:cs="Times New Roman"/>
          <w:iCs/>
          <w:lang w:val="fr-CA"/>
        </w:rPr>
        <w:t xml:space="preserve">ex., </w:t>
      </w:r>
      <w:r w:rsidRPr="00E13D0A">
        <w:rPr>
          <w:rFonts w:cs="Times New Roman"/>
          <w:i/>
          <w:iCs/>
          <w:lang w:val="fr-CA"/>
        </w:rPr>
        <w:t>Validity of Section 92(4) of The Vehicles Act, 1957 (Sask.)</w:t>
      </w:r>
      <w:r w:rsidRPr="00E13D0A">
        <w:rPr>
          <w:rFonts w:cs="Times New Roman"/>
          <w:iCs/>
          <w:lang w:val="fr-CA"/>
        </w:rPr>
        <w:t xml:space="preserve">, [1958] R.C.S. 608; </w:t>
      </w:r>
      <w:r w:rsidRPr="00E13D0A">
        <w:rPr>
          <w:rFonts w:cs="Times New Roman"/>
          <w:i/>
          <w:iCs/>
          <w:lang w:val="fr-CA"/>
        </w:rPr>
        <w:t>O</w:t>
      </w:r>
      <w:r>
        <w:rPr>
          <w:rFonts w:cs="Times New Roman"/>
          <w:i/>
          <w:iCs/>
          <w:lang w:val="fr-CA"/>
        </w:rPr>
        <w:t>’</w:t>
      </w:r>
      <w:r w:rsidRPr="00E13D0A">
        <w:rPr>
          <w:rFonts w:cs="Times New Roman"/>
          <w:i/>
          <w:iCs/>
          <w:lang w:val="fr-CA"/>
        </w:rPr>
        <w:t>Grady c. Sparling</w:t>
      </w:r>
      <w:r w:rsidRPr="00E13D0A">
        <w:rPr>
          <w:rFonts w:cs="Times New Roman"/>
          <w:iCs/>
          <w:lang w:val="fr-CA"/>
        </w:rPr>
        <w:t xml:space="preserve">, [1960] R.C.S. 804; </w:t>
      </w:r>
      <w:r w:rsidRPr="00E13D0A">
        <w:rPr>
          <w:rFonts w:cs="Times New Roman"/>
          <w:i/>
          <w:iCs/>
          <w:lang w:val="fr-CA"/>
        </w:rPr>
        <w:t>Ross c. Registraire des véhicules automobiles</w:t>
      </w:r>
      <w:r w:rsidRPr="00E13D0A">
        <w:rPr>
          <w:rFonts w:cs="Times New Roman"/>
          <w:iCs/>
          <w:lang w:val="fr-CA"/>
        </w:rPr>
        <w:t>, [1975] 1 R.C.S. 5. Comme l</w:t>
      </w:r>
      <w:r>
        <w:rPr>
          <w:rFonts w:cs="Times New Roman"/>
          <w:iCs/>
          <w:lang w:val="fr-CA"/>
        </w:rPr>
        <w:t>’</w:t>
      </w:r>
      <w:r w:rsidRPr="00E13D0A">
        <w:rPr>
          <w:rFonts w:cs="Times New Roman"/>
          <w:iCs/>
          <w:lang w:val="fr-CA"/>
        </w:rPr>
        <w:t>a souligné la Cour dans l</w:t>
      </w:r>
      <w:r>
        <w:rPr>
          <w:rFonts w:cs="Times New Roman"/>
          <w:iCs/>
          <w:lang w:val="fr-CA"/>
        </w:rPr>
        <w:t>’</w:t>
      </w:r>
      <w:r w:rsidRPr="00E13D0A">
        <w:rPr>
          <w:rFonts w:cs="Times New Roman"/>
          <w:iCs/>
          <w:lang w:val="fr-CA"/>
        </w:rPr>
        <w:t xml:space="preserve">arrêt </w:t>
      </w:r>
      <w:r w:rsidRPr="00E13D0A">
        <w:rPr>
          <w:rFonts w:cs="Times New Roman"/>
          <w:i/>
          <w:iCs/>
          <w:lang w:val="fr-CA"/>
        </w:rPr>
        <w:t>Chatterjee</w:t>
      </w:r>
      <w:r w:rsidRPr="00E13D0A">
        <w:rPr>
          <w:rFonts w:cs="Times New Roman"/>
          <w:iCs/>
          <w:lang w:val="fr-CA"/>
        </w:rPr>
        <w:t>, « [l]es conducteurs en état d</w:t>
      </w:r>
      <w:r>
        <w:rPr>
          <w:rFonts w:cs="Times New Roman"/>
          <w:iCs/>
          <w:lang w:val="fr-CA"/>
        </w:rPr>
        <w:t>’</w:t>
      </w:r>
      <w:r w:rsidRPr="00E13D0A">
        <w:rPr>
          <w:rFonts w:cs="Times New Roman"/>
          <w:iCs/>
          <w:lang w:val="fr-CA"/>
        </w:rPr>
        <w:t>ébriété sont des dangers pour la sécurité publique sur les routes provinciales, et leurs accidents entraînent des coûts, par exemple pour les systèmes de santé provinciaux, la police provinciale et les services routiers »</w:t>
      </w:r>
      <w:r>
        <w:rPr>
          <w:rFonts w:cs="Times New Roman"/>
          <w:iCs/>
          <w:lang w:val="fr-CA"/>
        </w:rPr>
        <w:t> :</w:t>
      </w:r>
      <w:r w:rsidRPr="00E13D0A">
        <w:rPr>
          <w:rFonts w:cs="Times New Roman"/>
          <w:iCs/>
          <w:lang w:val="fr-CA"/>
        </w:rPr>
        <w:t xml:space="preserve"> </w:t>
      </w:r>
      <w:r>
        <w:rPr>
          <w:rFonts w:cs="Times New Roman"/>
          <w:iCs/>
          <w:lang w:val="fr-CA"/>
        </w:rPr>
        <w:t>par. </w:t>
      </w:r>
      <w:r w:rsidRPr="00E13D0A">
        <w:rPr>
          <w:rFonts w:cs="Times New Roman"/>
          <w:iCs/>
          <w:lang w:val="fr-CA"/>
        </w:rPr>
        <w:t>41. Les provinces jouent donc un rôle important quand elles assurent la sécurité routière, notamment en décidant qui est en mesure de conduire et en chassant les conducteurs dangereux des routes.</w:t>
      </w:r>
    </w:p>
    <w:p w:rsidR="00065721" w:rsidRPr="00E13D0A" w:rsidRDefault="00065721" w:rsidP="00926B45">
      <w:pPr>
        <w:pStyle w:val="ParaNoNdepar-AltN"/>
        <w:widowControl w:val="0"/>
        <w:rPr>
          <w:rFonts w:cs="Times New Roman"/>
          <w:lang w:val="fr-CA"/>
        </w:rPr>
      </w:pPr>
      <w:r w:rsidRPr="00E13D0A">
        <w:rPr>
          <w:rFonts w:cs="Times New Roman"/>
          <w:iCs/>
          <w:lang w:val="fr-CA"/>
        </w:rPr>
        <w:t>Les programmes provinciaux de lutte contre la conduite en état d</w:t>
      </w:r>
      <w:r>
        <w:rPr>
          <w:rFonts w:cs="Times New Roman"/>
          <w:iCs/>
          <w:lang w:val="fr-CA"/>
        </w:rPr>
        <w:t>’</w:t>
      </w:r>
      <w:r w:rsidRPr="00E13D0A">
        <w:rPr>
          <w:rFonts w:cs="Times New Roman"/>
          <w:iCs/>
          <w:lang w:val="fr-CA"/>
        </w:rPr>
        <w:t xml:space="preserve">ébriété </w:t>
      </w:r>
      <w:r w:rsidRPr="00E13D0A">
        <w:rPr>
          <w:rFonts w:cs="Times New Roman"/>
          <w:iCs/>
          <w:lang w:val="fr-CA"/>
        </w:rPr>
        <w:lastRenderedPageBreak/>
        <w:t>et le droit criminel sont souvent interreliés. Certains régimes provinciaux reposaient de façon accessoire sur des déclarations de culpabilité au criminel</w:t>
      </w:r>
      <w:r>
        <w:rPr>
          <w:rFonts w:cs="Times New Roman"/>
          <w:iCs/>
          <w:lang w:val="fr-CA"/>
        </w:rPr>
        <w:t> :</w:t>
      </w:r>
      <w:r w:rsidRPr="00E13D0A">
        <w:rPr>
          <w:rFonts w:cs="Times New Roman"/>
          <w:iCs/>
          <w:lang w:val="fr-CA"/>
        </w:rPr>
        <w:t xml:space="preserve"> voir </w:t>
      </w:r>
      <w:r w:rsidRPr="00E13D0A">
        <w:rPr>
          <w:rFonts w:cs="Times New Roman"/>
          <w:i/>
          <w:iCs/>
          <w:lang w:val="fr-CA"/>
        </w:rPr>
        <w:t xml:space="preserve">Egan </w:t>
      </w:r>
      <w:r w:rsidRPr="00E13D0A">
        <w:rPr>
          <w:rFonts w:cs="Times New Roman"/>
          <w:iCs/>
          <w:lang w:val="fr-CA"/>
        </w:rPr>
        <w:t>et</w:t>
      </w:r>
      <w:r w:rsidRPr="00E13D0A">
        <w:rPr>
          <w:rFonts w:cs="Times New Roman"/>
          <w:lang w:val="fr-CA"/>
        </w:rPr>
        <w:t xml:space="preserve"> </w:t>
      </w:r>
      <w:r w:rsidRPr="00E13D0A">
        <w:rPr>
          <w:rFonts w:cs="Times New Roman"/>
          <w:i/>
          <w:iCs/>
          <w:lang w:val="fr-CA"/>
        </w:rPr>
        <w:t>Ross</w:t>
      </w:r>
      <w:r w:rsidRPr="00E13D0A">
        <w:rPr>
          <w:rFonts w:cs="Times New Roman"/>
          <w:iCs/>
          <w:lang w:val="fr-CA"/>
        </w:rPr>
        <w:t>, précités. Plusieurs cours d</w:t>
      </w:r>
      <w:r>
        <w:rPr>
          <w:rFonts w:cs="Times New Roman"/>
          <w:iCs/>
          <w:lang w:val="fr-CA"/>
        </w:rPr>
        <w:t>’</w:t>
      </w:r>
      <w:r w:rsidRPr="00E13D0A">
        <w:rPr>
          <w:rFonts w:cs="Times New Roman"/>
          <w:iCs/>
          <w:lang w:val="fr-CA"/>
        </w:rPr>
        <w:t xml:space="preserve">appel provinciales ont aussi confirmé des régimes qui, au lieu de dépendre de déclarations de culpabilité, sont fondés accessoirement </w:t>
      </w:r>
      <w:r w:rsidRPr="00E13D0A">
        <w:rPr>
          <w:rFonts w:cs="Times New Roman"/>
          <w:lang w:val="fr-CA"/>
        </w:rPr>
        <w:t xml:space="preserve">sur des dispositions du </w:t>
      </w:r>
      <w:r w:rsidRPr="00E13D0A">
        <w:rPr>
          <w:rFonts w:cs="Times New Roman"/>
          <w:i/>
          <w:lang w:val="fr-CA"/>
        </w:rPr>
        <w:t>Code criminel</w:t>
      </w:r>
      <w:r w:rsidRPr="00BF0035">
        <w:rPr>
          <w:rFonts w:cs="Times New Roman"/>
          <w:lang w:val="fr-CA"/>
        </w:rPr>
        <w:t> :</w:t>
      </w:r>
      <w:r w:rsidRPr="00E13D0A">
        <w:rPr>
          <w:rFonts w:cs="Times New Roman"/>
          <w:lang w:val="fr-CA"/>
        </w:rPr>
        <w:t xml:space="preserve"> </w:t>
      </w:r>
      <w:r w:rsidRPr="00E13D0A">
        <w:rPr>
          <w:rFonts w:cs="Times New Roman"/>
          <w:i/>
          <w:lang w:val="fr-CA"/>
        </w:rPr>
        <w:t>Buhlers</w:t>
      </w:r>
      <w:r w:rsidRPr="00E13D0A">
        <w:rPr>
          <w:rFonts w:cs="Times New Roman"/>
          <w:lang w:val="fr-CA"/>
        </w:rPr>
        <w:t xml:space="preserve">; </w:t>
      </w:r>
      <w:r w:rsidRPr="00E13D0A">
        <w:rPr>
          <w:rFonts w:cs="Times New Roman"/>
          <w:i/>
          <w:lang w:val="fr-CA"/>
        </w:rPr>
        <w:t>Gon</w:t>
      </w:r>
      <w:r w:rsidR="00BF0035">
        <w:rPr>
          <w:rFonts w:cs="Times New Roman"/>
          <w:i/>
          <w:lang w:val="fr-CA"/>
        </w:rPr>
        <w:t>z</w:t>
      </w:r>
      <w:r w:rsidRPr="00E13D0A">
        <w:rPr>
          <w:rFonts w:cs="Times New Roman"/>
          <w:i/>
          <w:lang w:val="fr-CA"/>
        </w:rPr>
        <w:t>alez c. Driver Control Board (Alta.)</w:t>
      </w:r>
      <w:r w:rsidRPr="00E13D0A">
        <w:rPr>
          <w:rFonts w:cs="Times New Roman"/>
          <w:lang w:val="fr-CA"/>
        </w:rPr>
        <w:t xml:space="preserve">, 2003 ABCA 256, 330 A.R. 262; </w:t>
      </w:r>
      <w:r w:rsidRPr="00E13D0A">
        <w:rPr>
          <w:rFonts w:cs="Times New Roman"/>
          <w:i/>
          <w:lang w:val="fr-CA"/>
        </w:rPr>
        <w:t>Horsefield c. Ontario (Registrar of Motor Vehicles)</w:t>
      </w:r>
      <w:r w:rsidRPr="00E13D0A">
        <w:rPr>
          <w:rFonts w:cs="Times New Roman"/>
          <w:lang w:val="fr-CA"/>
        </w:rPr>
        <w:t xml:space="preserve"> (1999), 44 O.R. (3d) 73 (C.A.). Il ressort clairement de cette jurisprudence qu</w:t>
      </w:r>
      <w:r>
        <w:rPr>
          <w:rFonts w:cs="Times New Roman"/>
          <w:lang w:val="fr-CA"/>
        </w:rPr>
        <w:t>’</w:t>
      </w:r>
      <w:r w:rsidRPr="00E13D0A">
        <w:rPr>
          <w:rFonts w:cs="Times New Roman"/>
          <w:lang w:val="fr-CA"/>
        </w:rPr>
        <w:t>une loi provinciale n</w:t>
      </w:r>
      <w:r>
        <w:rPr>
          <w:rFonts w:cs="Times New Roman"/>
          <w:lang w:val="fr-CA"/>
        </w:rPr>
        <w:t>’</w:t>
      </w:r>
      <w:r w:rsidRPr="00E13D0A">
        <w:rPr>
          <w:rFonts w:cs="Times New Roman"/>
          <w:lang w:val="fr-CA"/>
        </w:rPr>
        <w:t>empiète pas sur la compétence fédérale en matière de droit criminel du seul fait qu</w:t>
      </w:r>
      <w:r>
        <w:rPr>
          <w:rFonts w:cs="Times New Roman"/>
          <w:lang w:val="fr-CA"/>
        </w:rPr>
        <w:t>’</w:t>
      </w:r>
      <w:r w:rsidRPr="00E13D0A">
        <w:rPr>
          <w:rFonts w:cs="Times New Roman"/>
          <w:lang w:val="fr-CA"/>
        </w:rPr>
        <w:t xml:space="preserve">elle a pour objet de cibler une conduite qui est également visée par le </w:t>
      </w:r>
      <w:r w:rsidRPr="00E13D0A">
        <w:rPr>
          <w:rFonts w:cs="Times New Roman"/>
          <w:i/>
          <w:lang w:val="fr-CA"/>
        </w:rPr>
        <w:t>Code criminel</w:t>
      </w:r>
      <w:r w:rsidRPr="00E13D0A">
        <w:rPr>
          <w:rFonts w:cs="Times New Roman"/>
          <w:lang w:val="fr-CA"/>
        </w:rPr>
        <w:t>.</w:t>
      </w:r>
    </w:p>
    <w:p w:rsidR="00065721" w:rsidRPr="00E13D0A" w:rsidRDefault="00065721" w:rsidP="00926B45">
      <w:pPr>
        <w:pStyle w:val="ParaNoNdepar-AltN"/>
        <w:widowControl w:val="0"/>
        <w:rPr>
          <w:rFonts w:cs="Times New Roman"/>
          <w:lang w:val="fr-CA"/>
        </w:rPr>
      </w:pPr>
      <w:r w:rsidRPr="00E13D0A">
        <w:rPr>
          <w:rFonts w:cs="Times New Roman"/>
          <w:iCs/>
          <w:lang w:val="fr-CA"/>
        </w:rPr>
        <w:t>Cette jurisprudence est conforme à la conception moderne du fédéralisme, laquelle reconnaît les inévitables chevauchements de compétences</w:t>
      </w:r>
      <w:r>
        <w:rPr>
          <w:rFonts w:cs="Times New Roman"/>
          <w:iCs/>
          <w:lang w:val="fr-CA"/>
        </w:rPr>
        <w:t> :</w:t>
      </w:r>
      <w:r w:rsidRPr="00E13D0A">
        <w:rPr>
          <w:rFonts w:cs="Times New Roman"/>
          <w:lang w:val="fr-CA"/>
        </w:rPr>
        <w:t xml:space="preserve"> </w:t>
      </w:r>
      <w:r w:rsidRPr="00E13D0A">
        <w:rPr>
          <w:rFonts w:cs="Times New Roman"/>
          <w:i/>
          <w:lang w:val="fr-CA"/>
        </w:rPr>
        <w:t>Banque canadienne de l</w:t>
      </w:r>
      <w:r>
        <w:rPr>
          <w:rFonts w:cs="Times New Roman"/>
          <w:i/>
          <w:lang w:val="fr-CA"/>
        </w:rPr>
        <w:t>’</w:t>
      </w:r>
      <w:r w:rsidRPr="00E13D0A">
        <w:rPr>
          <w:rFonts w:cs="Times New Roman"/>
          <w:i/>
          <w:lang w:val="fr-CA"/>
        </w:rPr>
        <w:t>Ouest c</w:t>
      </w:r>
      <w:r w:rsidRPr="00E13D0A">
        <w:rPr>
          <w:rFonts w:cs="Times New Roman"/>
          <w:i/>
          <w:iCs/>
          <w:lang w:val="fr-CA"/>
        </w:rPr>
        <w:t>.</w:t>
      </w:r>
      <w:r w:rsidRPr="00E13D0A">
        <w:rPr>
          <w:rFonts w:cs="Times New Roman"/>
          <w:i/>
          <w:lang w:val="fr-CA"/>
        </w:rPr>
        <w:t xml:space="preserve"> Alberta</w:t>
      </w:r>
      <w:r w:rsidRPr="00E13D0A">
        <w:rPr>
          <w:rFonts w:cs="Times New Roman"/>
          <w:lang w:val="fr-CA"/>
        </w:rPr>
        <w:t xml:space="preserve">, 2007 CSC 22, [2007] 2 R.C.S. 3, </w:t>
      </w:r>
      <w:r>
        <w:rPr>
          <w:rFonts w:cs="Times New Roman"/>
          <w:lang w:val="fr-CA"/>
        </w:rPr>
        <w:t>par. </w:t>
      </w:r>
      <w:r w:rsidRPr="00E13D0A">
        <w:rPr>
          <w:rFonts w:cs="Times New Roman"/>
          <w:lang w:val="fr-CA"/>
        </w:rPr>
        <w:t>42. Comme l</w:t>
      </w:r>
      <w:r>
        <w:rPr>
          <w:rFonts w:cs="Times New Roman"/>
          <w:lang w:val="fr-CA"/>
        </w:rPr>
        <w:t>’</w:t>
      </w:r>
      <w:r w:rsidRPr="00E13D0A">
        <w:rPr>
          <w:rFonts w:cs="Times New Roman"/>
          <w:lang w:val="fr-CA"/>
        </w:rPr>
        <w:t>a fait remarquer la Cour, les tribunaux devraient privilégier, dans la mesure du possible, « l</w:t>
      </w:r>
      <w:r>
        <w:rPr>
          <w:rFonts w:cs="Times New Roman"/>
          <w:lang w:val="fr-CA"/>
        </w:rPr>
        <w:t>’</w:t>
      </w:r>
      <w:r w:rsidRPr="00E13D0A">
        <w:rPr>
          <w:rFonts w:cs="Times New Roman"/>
          <w:lang w:val="fr-CA"/>
        </w:rPr>
        <w:t xml:space="preserve">application régulière des lois édictées par </w:t>
      </w:r>
      <w:r w:rsidRPr="00E13D0A">
        <w:rPr>
          <w:rFonts w:cs="Times New Roman"/>
          <w:i/>
          <w:lang w:val="fr-CA"/>
        </w:rPr>
        <w:t xml:space="preserve">les deux </w:t>
      </w:r>
      <w:r w:rsidR="000C1BD3">
        <w:rPr>
          <w:rFonts w:cs="Times New Roman"/>
          <w:lang w:val="fr-CA"/>
        </w:rPr>
        <w:t xml:space="preserve">ordres de gouvernement » : </w:t>
      </w:r>
      <w:r w:rsidRPr="00E13D0A">
        <w:rPr>
          <w:rFonts w:cs="Times New Roman"/>
          <w:i/>
          <w:lang w:val="fr-CA"/>
        </w:rPr>
        <w:t>ibid.</w:t>
      </w:r>
      <w:r w:rsidRPr="00E13D0A">
        <w:rPr>
          <w:rFonts w:cs="Times New Roman"/>
          <w:lang w:val="fr-CA"/>
        </w:rPr>
        <w:t>,</w:t>
      </w:r>
      <w:r w:rsidRPr="00E13D0A">
        <w:rPr>
          <w:rFonts w:cs="Times New Roman"/>
          <w:i/>
          <w:lang w:val="fr-CA"/>
        </w:rPr>
        <w:t xml:space="preserve"> </w:t>
      </w:r>
      <w:r>
        <w:rPr>
          <w:rFonts w:cs="Times New Roman"/>
          <w:lang w:val="fr-CA"/>
        </w:rPr>
        <w:t>par. </w:t>
      </w:r>
      <w:r w:rsidR="00BF0035">
        <w:rPr>
          <w:rFonts w:cs="Times New Roman"/>
          <w:lang w:val="fr-CA"/>
        </w:rPr>
        <w:t>37 (</w:t>
      </w:r>
      <w:r w:rsidRPr="00E13D0A">
        <w:rPr>
          <w:rFonts w:cs="Times New Roman"/>
          <w:lang w:val="fr-CA"/>
        </w:rPr>
        <w:t>en italique dans l</w:t>
      </w:r>
      <w:r>
        <w:rPr>
          <w:rFonts w:cs="Times New Roman"/>
          <w:lang w:val="fr-CA"/>
        </w:rPr>
        <w:t>’</w:t>
      </w:r>
      <w:r w:rsidRPr="00E13D0A">
        <w:rPr>
          <w:rFonts w:cs="Times New Roman"/>
          <w:lang w:val="fr-CA"/>
        </w:rPr>
        <w:t>original</w:t>
      </w:r>
      <w:r w:rsidR="00BF0035">
        <w:rPr>
          <w:rFonts w:cs="Times New Roman"/>
          <w:lang w:val="fr-CA"/>
        </w:rPr>
        <w:t>)</w:t>
      </w:r>
      <w:r w:rsidRPr="00E13D0A">
        <w:rPr>
          <w:rFonts w:cs="Times New Roman"/>
          <w:lang w:val="fr-CA"/>
        </w:rPr>
        <w:t>. Il importe également de préciser que le procureur général du Canada intervient pour faire valoir que cette loi relève de la compétence législative provinciale</w:t>
      </w:r>
      <w:r>
        <w:rPr>
          <w:rFonts w:cs="Times New Roman"/>
          <w:lang w:val="fr-CA"/>
        </w:rPr>
        <w:t> :</w:t>
      </w:r>
      <w:r w:rsidRPr="00E13D0A">
        <w:rPr>
          <w:rFonts w:cs="Times New Roman"/>
          <w:lang w:val="fr-CA"/>
        </w:rPr>
        <w:t xml:space="preserve"> m.i., </w:t>
      </w:r>
      <w:r>
        <w:rPr>
          <w:rFonts w:cs="Times New Roman"/>
          <w:lang w:val="fr-CA"/>
        </w:rPr>
        <w:t>par. </w:t>
      </w:r>
      <w:r w:rsidRPr="00E13D0A">
        <w:rPr>
          <w:rFonts w:cs="Times New Roman"/>
          <w:lang w:val="fr-CA"/>
        </w:rPr>
        <w:t>12. Lorsqu</w:t>
      </w:r>
      <w:r>
        <w:rPr>
          <w:rFonts w:cs="Times New Roman"/>
          <w:lang w:val="fr-CA"/>
        </w:rPr>
        <w:t>’</w:t>
      </w:r>
      <w:r w:rsidRPr="00E13D0A">
        <w:rPr>
          <w:rFonts w:cs="Times New Roman"/>
          <w:lang w:val="fr-CA"/>
        </w:rPr>
        <w:t>un procureur général intervient pour appuyer l</w:t>
      </w:r>
      <w:r>
        <w:rPr>
          <w:rFonts w:cs="Times New Roman"/>
          <w:lang w:val="fr-CA"/>
        </w:rPr>
        <w:t>’</w:t>
      </w:r>
      <w:r w:rsidRPr="00E13D0A">
        <w:rPr>
          <w:rFonts w:cs="Times New Roman"/>
          <w:lang w:val="fr-CA"/>
        </w:rPr>
        <w:t>exercice de la compétence d</w:t>
      </w:r>
      <w:r>
        <w:rPr>
          <w:rFonts w:cs="Times New Roman"/>
          <w:lang w:val="fr-CA"/>
        </w:rPr>
        <w:t>’</w:t>
      </w:r>
      <w:r w:rsidRPr="00E13D0A">
        <w:rPr>
          <w:rFonts w:cs="Times New Roman"/>
          <w:lang w:val="fr-CA"/>
        </w:rPr>
        <w:t>une autre législature, « la Cour devrait se montrer prudente avant de conclure que les dispositions contestées excèdent la compétence de la province »</w:t>
      </w:r>
      <w:r>
        <w:rPr>
          <w:rFonts w:cs="Times New Roman"/>
          <w:lang w:val="fr-CA"/>
        </w:rPr>
        <w:t> :</w:t>
      </w:r>
      <w:r w:rsidRPr="00E13D0A">
        <w:rPr>
          <w:rFonts w:cs="Times New Roman"/>
          <w:lang w:val="fr-CA"/>
        </w:rPr>
        <w:t xml:space="preserve"> </w:t>
      </w:r>
      <w:r w:rsidRPr="00E13D0A">
        <w:rPr>
          <w:rFonts w:cs="Times New Roman"/>
          <w:i/>
          <w:lang w:val="fr-CA"/>
        </w:rPr>
        <w:t>Bande Kitkatla c. Colombie</w:t>
      </w:r>
      <w:r>
        <w:rPr>
          <w:rFonts w:cs="Times New Roman"/>
          <w:i/>
          <w:lang w:val="fr-CA"/>
        </w:rPr>
        <w:noBreakHyphen/>
      </w:r>
      <w:r w:rsidRPr="00E13D0A">
        <w:rPr>
          <w:rFonts w:cs="Times New Roman"/>
          <w:i/>
          <w:lang w:val="fr-CA"/>
        </w:rPr>
        <w:t>Britannique (Ministre des Petites et moyennes entreprises, du Tourisme et de la Culture)</w:t>
      </w:r>
      <w:r w:rsidRPr="00E13D0A">
        <w:rPr>
          <w:rFonts w:cs="Times New Roman"/>
          <w:lang w:val="fr-CA"/>
        </w:rPr>
        <w:t xml:space="preserve">, 2002 CSC 31, [2002] 2 R.C.S. 146, </w:t>
      </w:r>
      <w:r>
        <w:rPr>
          <w:rFonts w:cs="Times New Roman"/>
          <w:lang w:val="fr-CA"/>
        </w:rPr>
        <w:t>par. </w:t>
      </w:r>
      <w:r w:rsidRPr="00E13D0A">
        <w:rPr>
          <w:rFonts w:cs="Times New Roman"/>
          <w:lang w:val="fr-CA"/>
        </w:rPr>
        <w:t xml:space="preserve">73; </w:t>
      </w:r>
      <w:r w:rsidRPr="00E13D0A">
        <w:rPr>
          <w:rFonts w:cs="Times New Roman"/>
          <w:i/>
          <w:lang w:val="fr-CA"/>
        </w:rPr>
        <w:t>SEFPO c. Ontario (Procureur général)</w:t>
      </w:r>
      <w:r w:rsidRPr="00E13D0A">
        <w:rPr>
          <w:rFonts w:cs="Times New Roman"/>
          <w:lang w:val="fr-CA"/>
        </w:rPr>
        <w:t xml:space="preserve">, [1987] 2 R.C.S. 2, </w:t>
      </w:r>
      <w:r>
        <w:rPr>
          <w:rFonts w:cs="Times New Roman"/>
          <w:lang w:val="fr-CA"/>
        </w:rPr>
        <w:lastRenderedPageBreak/>
        <w:t>p. </w:t>
      </w:r>
      <w:r w:rsidRPr="00E13D0A">
        <w:rPr>
          <w:rFonts w:cs="Times New Roman"/>
          <w:lang w:val="fr-CA"/>
        </w:rPr>
        <w:t>19</w:t>
      </w:r>
      <w:r>
        <w:rPr>
          <w:rFonts w:cs="Times New Roman"/>
          <w:lang w:val="fr-CA"/>
        </w:rPr>
        <w:noBreakHyphen/>
      </w:r>
      <w:r w:rsidRPr="00E13D0A">
        <w:rPr>
          <w:rFonts w:cs="Times New Roman"/>
          <w:lang w:val="fr-CA"/>
        </w:rPr>
        <w:t>20.</w:t>
      </w:r>
    </w:p>
    <w:p w:rsidR="00065721" w:rsidRPr="00E13D0A" w:rsidRDefault="00065721" w:rsidP="00926B45">
      <w:pPr>
        <w:pStyle w:val="ParaNoNdepar-AltN"/>
        <w:widowControl w:val="0"/>
        <w:rPr>
          <w:rFonts w:cs="Times New Roman"/>
          <w:lang w:val="fr-CA"/>
        </w:rPr>
      </w:pPr>
      <w:r w:rsidRPr="00E13D0A">
        <w:rPr>
          <w:rFonts w:cs="Times New Roman"/>
          <w:lang w:val="fr-CA"/>
        </w:rPr>
        <w:t>Le juge en chambre a examiné la preuve et conclu que [</w:t>
      </w:r>
      <w:r w:rsidRPr="00E13D0A">
        <w:rPr>
          <w:rFonts w:cs="Times New Roman"/>
          <w:smallCaps/>
          <w:lang w:val="fr-CA"/>
        </w:rPr>
        <w:t>traduction</w:t>
      </w:r>
      <w:r w:rsidRPr="00E13D0A">
        <w:rPr>
          <w:rFonts w:cs="Times New Roman"/>
          <w:lang w:val="fr-CA"/>
        </w:rPr>
        <w:t>] « la Province a des motifs légitimes, sérieux et urgents de réglementer la sécurité routière et la délivrance de permis de conduire afin de chasser les conducteurs aux facultés affaiblies des routes »</w:t>
      </w:r>
      <w:r>
        <w:rPr>
          <w:rFonts w:cs="Times New Roman"/>
          <w:lang w:val="fr-CA"/>
        </w:rPr>
        <w:t> :</w:t>
      </w:r>
      <w:r w:rsidRPr="00E13D0A">
        <w:rPr>
          <w:rFonts w:cs="Times New Roman"/>
          <w:lang w:val="fr-CA"/>
        </w:rPr>
        <w:t xml:space="preserve"> motifs du juge en chambre, </w:t>
      </w:r>
      <w:r>
        <w:rPr>
          <w:rFonts w:cs="Times New Roman"/>
          <w:lang w:val="fr-CA"/>
        </w:rPr>
        <w:t>par. </w:t>
      </w:r>
      <w:r w:rsidRPr="00E13D0A">
        <w:rPr>
          <w:rFonts w:cs="Times New Roman"/>
          <w:lang w:val="fr-CA"/>
        </w:rPr>
        <w:t>84. Je partage son avis. Le juge en chambre a conclu que le RIAC, de par son caractère véritable, vise à délivrer des permis de conduire, à renforcer la sécurité routière et à dissuader les gens de conduire avec les facultés affaiblies par l</w:t>
      </w:r>
      <w:r>
        <w:rPr>
          <w:rFonts w:cs="Times New Roman"/>
          <w:lang w:val="fr-CA"/>
        </w:rPr>
        <w:t>’</w:t>
      </w:r>
      <w:r w:rsidRPr="00E13D0A">
        <w:rPr>
          <w:rFonts w:cs="Times New Roman"/>
          <w:lang w:val="fr-CA"/>
        </w:rPr>
        <w:t>alcool. Là encore, je suis d</w:t>
      </w:r>
      <w:r>
        <w:rPr>
          <w:rFonts w:cs="Times New Roman"/>
          <w:lang w:val="fr-CA"/>
        </w:rPr>
        <w:t>’</w:t>
      </w:r>
      <w:r w:rsidRPr="00E13D0A">
        <w:rPr>
          <w:rFonts w:cs="Times New Roman"/>
          <w:lang w:val="fr-CA"/>
        </w:rPr>
        <w:t>accord. Bien que le RIAC constitue une mesure provinciale plus musclée que le régime d</w:t>
      </w:r>
      <w:r>
        <w:rPr>
          <w:rFonts w:cs="Times New Roman"/>
          <w:lang w:val="fr-CA"/>
        </w:rPr>
        <w:t>’</w:t>
      </w:r>
      <w:r w:rsidRPr="00E13D0A">
        <w:rPr>
          <w:rFonts w:cs="Times New Roman"/>
          <w:lang w:val="fr-CA"/>
        </w:rPr>
        <w:t>IAC, il conserve néanmoins son caractère. Comme l</w:t>
      </w:r>
      <w:r>
        <w:rPr>
          <w:rFonts w:cs="Times New Roman"/>
          <w:lang w:val="fr-CA"/>
        </w:rPr>
        <w:t>’</w:t>
      </w:r>
      <w:r w:rsidRPr="00E13D0A">
        <w:rPr>
          <w:rFonts w:cs="Times New Roman"/>
          <w:lang w:val="fr-CA"/>
        </w:rPr>
        <w:t xml:space="preserve">a fait remarquer la Cour dans </w:t>
      </w:r>
      <w:r w:rsidRPr="00E13D0A">
        <w:rPr>
          <w:rFonts w:cs="Times New Roman"/>
          <w:i/>
          <w:lang w:val="fr-CA"/>
        </w:rPr>
        <w:t>Chatterjee</w:t>
      </w:r>
      <w:r w:rsidRPr="00E13D0A">
        <w:rPr>
          <w:rFonts w:cs="Times New Roman"/>
          <w:lang w:val="fr-CA"/>
        </w:rPr>
        <w:t>, la dissuasion peut être un objectif du droit provincial</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3. Il ne fait aucun doute que la matière relève de la compétence provinciale sur la propriété et les droits civils dans la province. Du point de vue du partage des pouvoirs, la loi est valide.</w:t>
      </w:r>
    </w:p>
    <w:p w:rsidR="00065721" w:rsidRPr="00E13D0A" w:rsidRDefault="00065721" w:rsidP="00926B45">
      <w:pPr>
        <w:pStyle w:val="Title2LevelTitre2Niveau"/>
        <w:widowControl w:val="0"/>
        <w:rPr>
          <w:rFonts w:cs="Times New Roman"/>
          <w:lang w:val="fr-CA"/>
        </w:rPr>
      </w:pPr>
      <w:r w:rsidRPr="00E13D0A">
        <w:rPr>
          <w:rFonts w:cs="Times New Roman"/>
          <w:lang w:val="fr-CA"/>
        </w:rPr>
        <w:t>Le RIAC crée</w:t>
      </w:r>
      <w:r>
        <w:rPr>
          <w:rFonts w:cs="Times New Roman"/>
          <w:lang w:val="fr-CA"/>
        </w:rPr>
        <w:noBreakHyphen/>
      </w:r>
      <w:r w:rsidRPr="00E13D0A">
        <w:rPr>
          <w:rFonts w:cs="Times New Roman"/>
          <w:lang w:val="fr-CA"/>
        </w:rPr>
        <w:t>t</w:t>
      </w:r>
      <w:r>
        <w:rPr>
          <w:rFonts w:cs="Times New Roman"/>
          <w:lang w:val="fr-CA"/>
        </w:rPr>
        <w:noBreakHyphen/>
      </w:r>
      <w:r w:rsidRPr="00E13D0A">
        <w:rPr>
          <w:rFonts w:cs="Times New Roman"/>
          <w:lang w:val="fr-CA"/>
        </w:rPr>
        <w:t xml:space="preserve">il une infraction visée </w:t>
      </w:r>
      <w:r>
        <w:rPr>
          <w:rFonts w:cs="Times New Roman"/>
          <w:lang w:val="fr-CA"/>
        </w:rPr>
        <w:t xml:space="preserve">par </w:t>
      </w:r>
      <w:r w:rsidRPr="00E13D0A">
        <w:rPr>
          <w:rFonts w:cs="Times New Roman"/>
          <w:lang w:val="fr-CA"/>
        </w:rPr>
        <w:t>l</w:t>
      </w:r>
      <w:r>
        <w:rPr>
          <w:rFonts w:cs="Times New Roman"/>
          <w:lang w:val="fr-CA"/>
        </w:rPr>
        <w:t>’</w:t>
      </w:r>
      <w:r w:rsidRPr="00E13D0A">
        <w:rPr>
          <w:rFonts w:cs="Times New Roman"/>
          <w:lang w:val="fr-CA"/>
        </w:rPr>
        <w:t>art</w:t>
      </w:r>
      <w:r w:rsidR="00972B70">
        <w:rPr>
          <w:rFonts w:cs="Times New Roman"/>
          <w:lang w:val="fr-CA"/>
        </w:rPr>
        <w:t>.</w:t>
      </w:r>
      <w:r w:rsidRPr="00E13D0A">
        <w:rPr>
          <w:rFonts w:cs="Times New Roman"/>
          <w:lang w:val="fr-CA"/>
        </w:rPr>
        <w:t> 11 de la Charte?</w:t>
      </w:r>
    </w:p>
    <w:p w:rsidR="00065721" w:rsidRPr="00E13D0A" w:rsidRDefault="00065721" w:rsidP="00926B45">
      <w:pPr>
        <w:pStyle w:val="ParaNoNdepar-AltN"/>
        <w:widowControl w:val="0"/>
        <w:rPr>
          <w:rFonts w:cs="Times New Roman"/>
          <w:lang w:val="fr-CA"/>
        </w:rPr>
      </w:pPr>
      <w:r w:rsidRPr="00E13D0A">
        <w:rPr>
          <w:rFonts w:cs="Times New Roman"/>
          <w:lang w:val="fr-CA"/>
        </w:rPr>
        <w:t>L</w:t>
      </w:r>
      <w:r>
        <w:rPr>
          <w:rFonts w:cs="Times New Roman"/>
          <w:lang w:val="fr-CA"/>
        </w:rPr>
        <w:t>’</w:t>
      </w:r>
      <w:r w:rsidRPr="00E13D0A">
        <w:rPr>
          <w:rFonts w:cs="Times New Roman"/>
          <w:lang w:val="fr-CA"/>
        </w:rPr>
        <w:t xml:space="preserve">article 11 de la </w:t>
      </w:r>
      <w:r w:rsidRPr="00E13D0A">
        <w:rPr>
          <w:rFonts w:cs="Times New Roman"/>
          <w:i/>
          <w:lang w:val="fr-CA"/>
        </w:rPr>
        <w:t>Charte</w:t>
      </w:r>
      <w:r w:rsidRPr="00E13D0A">
        <w:rPr>
          <w:rFonts w:cs="Times New Roman"/>
          <w:lang w:val="fr-CA"/>
        </w:rPr>
        <w:t xml:space="preserve"> garantit certaines mesures de protection procédurales aux inculpés. Il prévoit ce qui suit à son </w:t>
      </w:r>
      <w:r>
        <w:rPr>
          <w:rFonts w:cs="Times New Roman"/>
          <w:lang w:val="fr-CA"/>
        </w:rPr>
        <w:t>al. </w:t>
      </w:r>
      <w:r w:rsidRPr="00E13D0A">
        <w:rPr>
          <w:rFonts w:cs="Times New Roman"/>
          <w:i/>
          <w:lang w:val="fr-CA"/>
        </w:rPr>
        <w:t>d</w:t>
      </w:r>
      <w:r w:rsidRPr="00E13D0A">
        <w:rPr>
          <w:rFonts w:cs="Times New Roman"/>
          <w:lang w:val="fr-CA"/>
        </w:rPr>
        <w:t>)</w:t>
      </w:r>
      <w:r>
        <w:rPr>
          <w:rFonts w:cs="Times New Roman"/>
          <w:lang w:val="fr-CA"/>
        </w:rPr>
        <w:t> :</w:t>
      </w:r>
    </w:p>
    <w:p w:rsidR="00065721" w:rsidRPr="00E13D0A" w:rsidRDefault="00065721" w:rsidP="00926B45">
      <w:pPr>
        <w:pStyle w:val="Citation-AltC"/>
        <w:widowControl w:val="0"/>
        <w:tabs>
          <w:tab w:val="left" w:pos="1440"/>
        </w:tabs>
        <w:spacing w:after="240"/>
        <w:ind w:hanging="1166"/>
        <w:contextualSpacing w:val="0"/>
        <w:rPr>
          <w:lang w:val="fr-CA"/>
        </w:rPr>
      </w:pPr>
      <w:r w:rsidRPr="00E13D0A">
        <w:rPr>
          <w:b/>
          <w:lang w:val="fr-CA"/>
        </w:rPr>
        <w:tab/>
      </w:r>
      <w:r w:rsidR="00344EE0">
        <w:rPr>
          <w:b/>
          <w:lang w:val="fr-CA"/>
        </w:rPr>
        <w:tab/>
      </w:r>
      <w:r w:rsidRPr="00E13D0A">
        <w:rPr>
          <w:b/>
          <w:lang w:val="fr-CA"/>
        </w:rPr>
        <w:t>11.</w:t>
      </w:r>
      <w:r w:rsidRPr="00E13D0A">
        <w:rPr>
          <w:lang w:val="fr-CA"/>
        </w:rPr>
        <w:t xml:space="preserve"> Tout inculpé a le droit</w:t>
      </w:r>
      <w:r>
        <w:rPr>
          <w:lang w:val="fr-CA"/>
        </w:rPr>
        <w:t> :</w:t>
      </w:r>
    </w:p>
    <w:p w:rsidR="00065721" w:rsidRPr="00E13D0A" w:rsidRDefault="00344EE0" w:rsidP="00926B45">
      <w:pPr>
        <w:pStyle w:val="Citation-AltC"/>
        <w:widowControl w:val="0"/>
        <w:spacing w:after="240"/>
        <w:contextualSpacing w:val="0"/>
        <w:jc w:val="center"/>
        <w:rPr>
          <w:lang w:val="fr-CA"/>
        </w:rPr>
      </w:pPr>
      <w:r>
        <w:rPr>
          <w:lang w:val="fr-CA"/>
        </w:rPr>
        <w:t>. . .</w:t>
      </w:r>
    </w:p>
    <w:p w:rsidR="00065721" w:rsidRPr="00E13D0A" w:rsidRDefault="00065721" w:rsidP="00926B45">
      <w:pPr>
        <w:pStyle w:val="Citation-AltC"/>
        <w:widowControl w:val="0"/>
        <w:ind w:left="1440" w:hanging="1166"/>
        <w:contextualSpacing w:val="0"/>
        <w:rPr>
          <w:lang w:val="fr-CA"/>
        </w:rPr>
      </w:pPr>
      <w:r w:rsidRPr="00E13D0A">
        <w:rPr>
          <w:i/>
          <w:lang w:val="fr-CA"/>
        </w:rPr>
        <w:tab/>
        <w:t>d</w:t>
      </w:r>
      <w:r w:rsidRPr="00E13D0A">
        <w:rPr>
          <w:lang w:val="fr-CA"/>
        </w:rPr>
        <w:t>) d</w:t>
      </w:r>
      <w:r>
        <w:rPr>
          <w:lang w:val="fr-CA"/>
        </w:rPr>
        <w:t>’</w:t>
      </w:r>
      <w:r w:rsidRPr="00E13D0A">
        <w:rPr>
          <w:lang w:val="fr-CA"/>
        </w:rPr>
        <w:t>être présumé innocent tant qu</w:t>
      </w:r>
      <w:r>
        <w:rPr>
          <w:lang w:val="fr-CA"/>
        </w:rPr>
        <w:t>’</w:t>
      </w:r>
      <w:r w:rsidRPr="00E13D0A">
        <w:rPr>
          <w:lang w:val="fr-CA"/>
        </w:rPr>
        <w:t>il n</w:t>
      </w:r>
      <w:r>
        <w:rPr>
          <w:lang w:val="fr-CA"/>
        </w:rPr>
        <w:t>’</w:t>
      </w:r>
      <w:r w:rsidRPr="00E13D0A">
        <w:rPr>
          <w:lang w:val="fr-CA"/>
        </w:rPr>
        <w:t>est pas déclaré coupable, conformément à la loi, par un tribunal indépendant et impartial à l</w:t>
      </w:r>
      <w:r>
        <w:rPr>
          <w:lang w:val="fr-CA"/>
        </w:rPr>
        <w:t>’</w:t>
      </w:r>
      <w:r w:rsidRPr="00E13D0A">
        <w:rPr>
          <w:lang w:val="fr-CA"/>
        </w:rPr>
        <w:t>issue d</w:t>
      </w:r>
      <w:r>
        <w:rPr>
          <w:lang w:val="fr-CA"/>
        </w:rPr>
        <w:t>’</w:t>
      </w:r>
      <w:r w:rsidRPr="00E13D0A">
        <w:rPr>
          <w:lang w:val="fr-CA"/>
        </w:rPr>
        <w:t>un procès public et équitable;</w:t>
      </w:r>
    </w:p>
    <w:p w:rsidR="00065721" w:rsidRPr="00E13D0A" w:rsidRDefault="00065721" w:rsidP="00926B45">
      <w:pPr>
        <w:pStyle w:val="ParaNoNdepar-AltN"/>
        <w:widowControl w:val="0"/>
        <w:rPr>
          <w:rFonts w:cs="Times New Roman"/>
          <w:lang w:val="fr-CA"/>
        </w:rPr>
      </w:pPr>
      <w:r w:rsidRPr="00E13D0A">
        <w:rPr>
          <w:rFonts w:cs="Times New Roman"/>
          <w:lang w:val="fr-CA"/>
        </w:rPr>
        <w:lastRenderedPageBreak/>
        <w:t xml:space="preserve">Le juge en chambre a conclu que le RIAC ne crée pas une infraction visée </w:t>
      </w:r>
      <w:r>
        <w:rPr>
          <w:rFonts w:cs="Times New Roman"/>
          <w:lang w:val="fr-CA"/>
        </w:rPr>
        <w:t>par</w:t>
      </w:r>
      <w:r w:rsidRPr="00E13D0A">
        <w:rPr>
          <w:rFonts w:cs="Times New Roman"/>
          <w:lang w:val="fr-CA"/>
        </w:rPr>
        <w:t xml:space="preserve"> l</w:t>
      </w:r>
      <w:r>
        <w:rPr>
          <w:rFonts w:cs="Times New Roman"/>
          <w:lang w:val="fr-CA"/>
        </w:rPr>
        <w:t>’al. </w:t>
      </w:r>
      <w:r w:rsidRPr="00E13D0A">
        <w:rPr>
          <w:rFonts w:cs="Times New Roman"/>
          <w:lang w:val="fr-CA"/>
        </w:rPr>
        <w:t>11</w:t>
      </w:r>
      <w:r w:rsidRPr="00E13D0A">
        <w:rPr>
          <w:rFonts w:cs="Times New Roman"/>
          <w:i/>
          <w:lang w:val="fr-CA"/>
        </w:rPr>
        <w:t>d</w:t>
      </w:r>
      <w:r w:rsidRPr="00E13D0A">
        <w:rPr>
          <w:rFonts w:cs="Times New Roman"/>
          <w:lang w:val="fr-CA"/>
        </w:rPr>
        <w:t>). La Cour d</w:t>
      </w:r>
      <w:r>
        <w:rPr>
          <w:rFonts w:cs="Times New Roman"/>
          <w:lang w:val="fr-CA"/>
        </w:rPr>
        <w:t>’</w:t>
      </w:r>
      <w:r w:rsidRPr="00E13D0A">
        <w:rPr>
          <w:rFonts w:cs="Times New Roman"/>
          <w:lang w:val="fr-CA"/>
        </w:rPr>
        <w:t>appel a confirmé cette décision.</w:t>
      </w:r>
    </w:p>
    <w:p w:rsidR="00065721" w:rsidRPr="00E13D0A" w:rsidRDefault="00065721" w:rsidP="00926B45">
      <w:pPr>
        <w:pStyle w:val="ParaNoNdepar-AltN"/>
        <w:widowControl w:val="0"/>
        <w:rPr>
          <w:rFonts w:cs="Times New Roman"/>
          <w:lang w:val="fr-CA"/>
        </w:rPr>
      </w:pPr>
      <w:r w:rsidRPr="00E13D0A">
        <w:rPr>
          <w:rFonts w:cs="Times New Roman"/>
          <w:lang w:val="fr-CA"/>
        </w:rPr>
        <w:t>Monsieur Goodwin soutient que le RIAC fait intervenir ses droits garantis par l</w:t>
      </w:r>
      <w:r>
        <w:rPr>
          <w:rFonts w:cs="Times New Roman"/>
          <w:lang w:val="fr-CA"/>
        </w:rPr>
        <w:t>’al. </w:t>
      </w:r>
      <w:r w:rsidRPr="00E13D0A">
        <w:rPr>
          <w:rFonts w:cs="Times New Roman"/>
          <w:lang w:val="fr-CA"/>
        </w:rPr>
        <w:t>11</w:t>
      </w:r>
      <w:r w:rsidRPr="00E13D0A">
        <w:rPr>
          <w:rFonts w:cs="Times New Roman"/>
          <w:i/>
          <w:lang w:val="fr-CA"/>
        </w:rPr>
        <w:t>d</w:t>
      </w:r>
      <w:r w:rsidRPr="00E13D0A">
        <w:rPr>
          <w:rFonts w:cs="Times New Roman"/>
          <w:lang w:val="fr-CA"/>
        </w:rPr>
        <w:t xml:space="preserve">) de la </w:t>
      </w:r>
      <w:r w:rsidRPr="00E13D0A">
        <w:rPr>
          <w:rFonts w:cs="Times New Roman"/>
          <w:i/>
          <w:lang w:val="fr-CA"/>
        </w:rPr>
        <w:t>Charte</w:t>
      </w:r>
      <w:r w:rsidRPr="00E13D0A">
        <w:rPr>
          <w:rFonts w:cs="Times New Roman"/>
          <w:lang w:val="fr-CA"/>
        </w:rPr>
        <w:t xml:space="preserve"> et y porte atteinte. Il affirme que le critère servant à déterminer s</w:t>
      </w:r>
      <w:r>
        <w:rPr>
          <w:rFonts w:cs="Times New Roman"/>
          <w:lang w:val="fr-CA"/>
        </w:rPr>
        <w:t>’</w:t>
      </w:r>
      <w:r w:rsidRPr="00E13D0A">
        <w:rPr>
          <w:rFonts w:cs="Times New Roman"/>
          <w:lang w:val="fr-CA"/>
        </w:rPr>
        <w:t xml:space="preserve">il existe une infraction visée </w:t>
      </w:r>
      <w:r>
        <w:rPr>
          <w:rFonts w:cs="Times New Roman"/>
          <w:lang w:val="fr-CA"/>
        </w:rPr>
        <w:t>par</w:t>
      </w:r>
      <w:r w:rsidRPr="00E13D0A">
        <w:rPr>
          <w:rFonts w:cs="Times New Roman"/>
          <w:lang w:val="fr-CA"/>
        </w:rPr>
        <w:t xml:space="preserve"> l</w:t>
      </w:r>
      <w:r>
        <w:rPr>
          <w:rFonts w:cs="Times New Roman"/>
          <w:lang w:val="fr-CA"/>
        </w:rPr>
        <w:t>’art. </w:t>
      </w:r>
      <w:r w:rsidRPr="00E13D0A">
        <w:rPr>
          <w:rFonts w:cs="Times New Roman"/>
          <w:lang w:val="fr-CA"/>
        </w:rPr>
        <w:t>11 doit être téléologique, qu</w:t>
      </w:r>
      <w:r>
        <w:rPr>
          <w:rFonts w:cs="Times New Roman"/>
          <w:lang w:val="fr-CA"/>
        </w:rPr>
        <w:t>’</w:t>
      </w:r>
      <w:r w:rsidRPr="00E13D0A">
        <w:rPr>
          <w:rFonts w:cs="Times New Roman"/>
          <w:lang w:val="fr-CA"/>
        </w:rPr>
        <w:t>il ne faudrait pas accorder trop de poids à la forme des procédures et que l</w:t>
      </w:r>
      <w:r>
        <w:rPr>
          <w:rFonts w:cs="Times New Roman"/>
          <w:lang w:val="fr-CA"/>
        </w:rPr>
        <w:t>’</w:t>
      </w:r>
      <w:r w:rsidRPr="00E13D0A">
        <w:rPr>
          <w:rFonts w:cs="Times New Roman"/>
          <w:lang w:val="fr-CA"/>
        </w:rPr>
        <w:t>analyse devrait être axée sur la question de savoir si les effets de la loi mettent en jeu l</w:t>
      </w:r>
      <w:r>
        <w:rPr>
          <w:rFonts w:cs="Times New Roman"/>
          <w:lang w:val="fr-CA"/>
        </w:rPr>
        <w:t>’</w:t>
      </w:r>
      <w:r w:rsidRPr="00E13D0A">
        <w:rPr>
          <w:rFonts w:cs="Times New Roman"/>
          <w:lang w:val="fr-CA"/>
        </w:rPr>
        <w:t>intérêt public à réprimer la criminalité et à promouvoir l</w:t>
      </w:r>
      <w:r>
        <w:rPr>
          <w:rFonts w:cs="Times New Roman"/>
          <w:lang w:val="fr-CA"/>
        </w:rPr>
        <w:t>’</w:t>
      </w:r>
      <w:r w:rsidRPr="00E13D0A">
        <w:rPr>
          <w:rFonts w:cs="Times New Roman"/>
          <w:lang w:val="fr-CA"/>
        </w:rPr>
        <w:t>ordre et le bien</w:t>
      </w:r>
      <w:r>
        <w:rPr>
          <w:rFonts w:cs="Times New Roman"/>
          <w:lang w:val="fr-CA"/>
        </w:rPr>
        <w:noBreakHyphen/>
      </w:r>
      <w:r w:rsidRPr="00E13D0A">
        <w:rPr>
          <w:rFonts w:cs="Times New Roman"/>
          <w:lang w:val="fr-CA"/>
        </w:rPr>
        <w:t>être publics</w:t>
      </w:r>
      <w:r>
        <w:rPr>
          <w:rFonts w:cs="Times New Roman"/>
          <w:lang w:val="fr-CA"/>
        </w:rPr>
        <w:t> :</w:t>
      </w:r>
      <w:r w:rsidRPr="00E13D0A">
        <w:rPr>
          <w:rFonts w:cs="Times New Roman"/>
          <w:lang w:val="fr-CA"/>
        </w:rPr>
        <w:t xml:space="preserve"> m.a., </w:t>
      </w:r>
      <w:r>
        <w:rPr>
          <w:rFonts w:cs="Times New Roman"/>
          <w:lang w:val="fr-CA"/>
        </w:rPr>
        <w:t>par. </w:t>
      </w:r>
      <w:r w:rsidRPr="00E13D0A">
        <w:rPr>
          <w:rFonts w:cs="Times New Roman"/>
          <w:lang w:val="fr-CA"/>
        </w:rPr>
        <w:t>88 et 91. À son avis, les tribunaux d</w:t>
      </w:r>
      <w:r>
        <w:rPr>
          <w:rFonts w:cs="Times New Roman"/>
          <w:lang w:val="fr-CA"/>
        </w:rPr>
        <w:t>’</w:t>
      </w:r>
      <w:r w:rsidRPr="00E13D0A">
        <w:rPr>
          <w:rFonts w:cs="Times New Roman"/>
          <w:lang w:val="fr-CA"/>
        </w:rPr>
        <w:t>instance inférieure ont appliqué d</w:t>
      </w:r>
      <w:r>
        <w:rPr>
          <w:rFonts w:cs="Times New Roman"/>
          <w:lang w:val="fr-CA"/>
        </w:rPr>
        <w:t>’</w:t>
      </w:r>
      <w:r w:rsidRPr="00E13D0A">
        <w:rPr>
          <w:rFonts w:cs="Times New Roman"/>
          <w:lang w:val="fr-CA"/>
        </w:rPr>
        <w:t>une façon formaliste le guide d</w:t>
      </w:r>
      <w:r>
        <w:rPr>
          <w:rFonts w:cs="Times New Roman"/>
          <w:lang w:val="fr-CA"/>
        </w:rPr>
        <w:t>’</w:t>
      </w:r>
      <w:r w:rsidRPr="00E13D0A">
        <w:rPr>
          <w:rFonts w:cs="Times New Roman"/>
          <w:lang w:val="fr-CA"/>
        </w:rPr>
        <w:t xml:space="preserve">analyse établi par la Cour dans </w:t>
      </w:r>
      <w:r w:rsidRPr="00E13D0A">
        <w:rPr>
          <w:rFonts w:cs="Times New Roman"/>
          <w:i/>
          <w:lang w:val="fr-CA"/>
        </w:rPr>
        <w:t>Martineau c. M.R.N.</w:t>
      </w:r>
      <w:r w:rsidRPr="00E13D0A">
        <w:rPr>
          <w:rFonts w:cs="Times New Roman"/>
          <w:lang w:val="fr-CA"/>
        </w:rPr>
        <w:t>, 2004 CSC 81, [2004] 3 R.C.S. 737. Monsieur Goodwin estime que, lorsqu</w:t>
      </w:r>
      <w:r>
        <w:rPr>
          <w:rFonts w:cs="Times New Roman"/>
          <w:lang w:val="fr-CA"/>
        </w:rPr>
        <w:t>’</w:t>
      </w:r>
      <w:r w:rsidRPr="00E13D0A">
        <w:rPr>
          <w:rFonts w:cs="Times New Roman"/>
          <w:lang w:val="fr-CA"/>
        </w:rPr>
        <w:t>on l</w:t>
      </w:r>
      <w:r>
        <w:rPr>
          <w:rFonts w:cs="Times New Roman"/>
          <w:lang w:val="fr-CA"/>
        </w:rPr>
        <w:t>’</w:t>
      </w:r>
      <w:r w:rsidRPr="00E13D0A">
        <w:rPr>
          <w:rFonts w:cs="Times New Roman"/>
          <w:lang w:val="fr-CA"/>
        </w:rPr>
        <w:t>interprète correctement, l</w:t>
      </w:r>
      <w:r>
        <w:rPr>
          <w:rFonts w:cs="Times New Roman"/>
          <w:lang w:val="fr-CA"/>
        </w:rPr>
        <w:t>’</w:t>
      </w:r>
      <w:r w:rsidRPr="00E13D0A">
        <w:rPr>
          <w:rFonts w:cs="Times New Roman"/>
          <w:lang w:val="fr-CA"/>
        </w:rPr>
        <w:t>objectif de répression de la criminalité fait intervenir l</w:t>
      </w:r>
      <w:r>
        <w:rPr>
          <w:rFonts w:cs="Times New Roman"/>
          <w:lang w:val="fr-CA"/>
        </w:rPr>
        <w:t>’art. </w:t>
      </w:r>
      <w:r w:rsidRPr="00E13D0A">
        <w:rPr>
          <w:rFonts w:cs="Times New Roman"/>
          <w:lang w:val="fr-CA"/>
        </w:rPr>
        <w:t>11 dans le cas des régimes hybrides comme le RIAC. Toujours selon lui, l</w:t>
      </w:r>
      <w:r>
        <w:rPr>
          <w:rFonts w:cs="Times New Roman"/>
          <w:lang w:val="fr-CA"/>
        </w:rPr>
        <w:t>’</w:t>
      </w:r>
      <w:r w:rsidRPr="00E13D0A">
        <w:rPr>
          <w:rFonts w:cs="Times New Roman"/>
          <w:lang w:val="fr-CA"/>
        </w:rPr>
        <w:t>effet cumulatif des sanctions démontre que ce régime crée une infraction.</w:t>
      </w:r>
    </w:p>
    <w:p w:rsidR="00065721" w:rsidRPr="00E13D0A" w:rsidRDefault="00065721" w:rsidP="00926B45">
      <w:pPr>
        <w:pStyle w:val="ParaNoNdepar-AltN"/>
        <w:widowControl w:val="0"/>
        <w:rPr>
          <w:rFonts w:cs="Times New Roman"/>
          <w:lang w:val="fr-CA"/>
        </w:rPr>
      </w:pPr>
      <w:r w:rsidRPr="00E13D0A">
        <w:rPr>
          <w:rFonts w:cs="Times New Roman"/>
          <w:lang w:val="fr-CA"/>
        </w:rPr>
        <w:t xml:space="preserve">Pour sa part, la Province soutient que la Cour a déjà établi, dans </w:t>
      </w:r>
      <w:r w:rsidRPr="00E13D0A">
        <w:rPr>
          <w:rFonts w:cs="Times New Roman"/>
          <w:i/>
          <w:lang w:val="fr-CA"/>
        </w:rPr>
        <w:t>R. c. Wigglesworth</w:t>
      </w:r>
      <w:r w:rsidRPr="00E13D0A">
        <w:rPr>
          <w:rFonts w:cs="Times New Roman"/>
          <w:lang w:val="fr-CA"/>
        </w:rPr>
        <w:t>, [1987] 2 R.C.S. 541, que « les procédures engagées pour déterminer l</w:t>
      </w:r>
      <w:r>
        <w:rPr>
          <w:rFonts w:cs="Times New Roman"/>
          <w:lang w:val="fr-CA"/>
        </w:rPr>
        <w:t>’</w:t>
      </w:r>
      <w:r w:rsidRPr="00E13D0A">
        <w:rPr>
          <w:rFonts w:cs="Times New Roman"/>
          <w:lang w:val="fr-CA"/>
        </w:rPr>
        <w:t xml:space="preserve">aptitude à obtenir ou à conserver un permis » ne constituent pas des infractions visées </w:t>
      </w:r>
      <w:r>
        <w:rPr>
          <w:rFonts w:cs="Times New Roman"/>
          <w:lang w:val="fr-CA"/>
        </w:rPr>
        <w:t>par</w:t>
      </w:r>
      <w:r w:rsidRPr="00E13D0A">
        <w:rPr>
          <w:rFonts w:cs="Times New Roman"/>
          <w:lang w:val="fr-CA"/>
        </w:rPr>
        <w:t xml:space="preserve"> l</w:t>
      </w:r>
      <w:r>
        <w:rPr>
          <w:rFonts w:cs="Times New Roman"/>
          <w:lang w:val="fr-CA"/>
        </w:rPr>
        <w:t>’art. </w:t>
      </w:r>
      <w:r w:rsidRPr="00E13D0A">
        <w:rPr>
          <w:rFonts w:cs="Times New Roman"/>
          <w:lang w:val="fr-CA"/>
        </w:rPr>
        <w:t>11</w:t>
      </w:r>
      <w:r>
        <w:rPr>
          <w:rFonts w:cs="Times New Roman"/>
          <w:lang w:val="fr-CA"/>
        </w:rPr>
        <w:t> :</w:t>
      </w:r>
      <w:r w:rsidRPr="00E13D0A">
        <w:rPr>
          <w:rFonts w:cs="Times New Roman"/>
          <w:lang w:val="fr-CA"/>
        </w:rPr>
        <w:t xml:space="preserve"> </w:t>
      </w:r>
      <w:r>
        <w:rPr>
          <w:rFonts w:cs="Times New Roman"/>
          <w:lang w:val="fr-CA"/>
        </w:rPr>
        <w:t>p. </w:t>
      </w:r>
      <w:r w:rsidRPr="00E13D0A">
        <w:rPr>
          <w:rFonts w:cs="Times New Roman"/>
          <w:lang w:val="fr-CA"/>
        </w:rPr>
        <w:t>560. À son avis, cela règle la question de l</w:t>
      </w:r>
      <w:r>
        <w:rPr>
          <w:rFonts w:cs="Times New Roman"/>
          <w:lang w:val="fr-CA"/>
        </w:rPr>
        <w:t>’art. </w:t>
      </w:r>
      <w:r w:rsidRPr="00E13D0A">
        <w:rPr>
          <w:rFonts w:cs="Times New Roman"/>
          <w:lang w:val="fr-CA"/>
        </w:rPr>
        <w:t>11. Le RIAC n</w:t>
      </w:r>
      <w:r>
        <w:rPr>
          <w:rFonts w:cs="Times New Roman"/>
          <w:lang w:val="fr-CA"/>
        </w:rPr>
        <w:t>’</w:t>
      </w:r>
      <w:r w:rsidRPr="00E13D0A">
        <w:rPr>
          <w:rFonts w:cs="Times New Roman"/>
          <w:lang w:val="fr-CA"/>
        </w:rPr>
        <w:t>est pas, de par sa nature même, une procédure pénale ou criminelle et n</w:t>
      </w:r>
      <w:r>
        <w:rPr>
          <w:rFonts w:cs="Times New Roman"/>
          <w:lang w:val="fr-CA"/>
        </w:rPr>
        <w:t>’</w:t>
      </w:r>
      <w:r w:rsidRPr="00E13D0A">
        <w:rPr>
          <w:rFonts w:cs="Times New Roman"/>
          <w:lang w:val="fr-CA"/>
        </w:rPr>
        <w:t>impose pas de véritables conséquences pénales.</w:t>
      </w:r>
    </w:p>
    <w:p w:rsidR="00065721" w:rsidRPr="00E13D0A" w:rsidRDefault="00065721" w:rsidP="00926B45">
      <w:pPr>
        <w:pStyle w:val="ParaNoNdepar-AltN"/>
        <w:widowControl w:val="0"/>
        <w:rPr>
          <w:rFonts w:cs="Times New Roman"/>
          <w:lang w:val="fr-CA"/>
        </w:rPr>
      </w:pPr>
      <w:r w:rsidRPr="00E13D0A">
        <w:rPr>
          <w:rFonts w:cs="Times New Roman"/>
          <w:lang w:val="fr-CA"/>
        </w:rPr>
        <w:t>Je suis d</w:t>
      </w:r>
      <w:r>
        <w:rPr>
          <w:rFonts w:cs="Times New Roman"/>
          <w:lang w:val="fr-CA"/>
        </w:rPr>
        <w:t>’</w:t>
      </w:r>
      <w:r w:rsidRPr="00E13D0A">
        <w:rPr>
          <w:rFonts w:cs="Times New Roman"/>
          <w:lang w:val="fr-CA"/>
        </w:rPr>
        <w:t>avis de ne pas retenir ce moyen d</w:t>
      </w:r>
      <w:r>
        <w:rPr>
          <w:rFonts w:cs="Times New Roman"/>
          <w:lang w:val="fr-CA"/>
        </w:rPr>
        <w:t>’</w:t>
      </w:r>
      <w:r w:rsidRPr="00E13D0A">
        <w:rPr>
          <w:rFonts w:cs="Times New Roman"/>
          <w:lang w:val="fr-CA"/>
        </w:rPr>
        <w:t xml:space="preserve">appel. Je conviens avec les </w:t>
      </w:r>
      <w:r w:rsidRPr="00E13D0A">
        <w:rPr>
          <w:rFonts w:cs="Times New Roman"/>
          <w:lang w:val="fr-CA"/>
        </w:rPr>
        <w:lastRenderedPageBreak/>
        <w:t>tribunaux d</w:t>
      </w:r>
      <w:r>
        <w:rPr>
          <w:rFonts w:cs="Times New Roman"/>
          <w:lang w:val="fr-CA"/>
        </w:rPr>
        <w:t>’</w:t>
      </w:r>
      <w:r w:rsidRPr="00E13D0A">
        <w:rPr>
          <w:rFonts w:cs="Times New Roman"/>
          <w:lang w:val="fr-CA"/>
        </w:rPr>
        <w:t xml:space="preserve">instance inférieure que le RIAC ne crée pas une infraction visée </w:t>
      </w:r>
      <w:r>
        <w:rPr>
          <w:rFonts w:cs="Times New Roman"/>
          <w:lang w:val="fr-CA"/>
        </w:rPr>
        <w:t>par</w:t>
      </w:r>
      <w:r w:rsidRPr="00E13D0A">
        <w:rPr>
          <w:rFonts w:cs="Times New Roman"/>
          <w:lang w:val="fr-CA"/>
        </w:rPr>
        <w:t xml:space="preserve"> l</w:t>
      </w:r>
      <w:r>
        <w:rPr>
          <w:rFonts w:cs="Times New Roman"/>
          <w:lang w:val="fr-CA"/>
        </w:rPr>
        <w:t>’art. </w:t>
      </w:r>
      <w:r w:rsidRPr="00E13D0A">
        <w:rPr>
          <w:rFonts w:cs="Times New Roman"/>
          <w:lang w:val="fr-CA"/>
        </w:rPr>
        <w:t xml:space="preserve">11 de la </w:t>
      </w:r>
      <w:r w:rsidRPr="00E13D0A">
        <w:rPr>
          <w:rFonts w:cs="Times New Roman"/>
          <w:i/>
          <w:lang w:val="fr-CA"/>
        </w:rPr>
        <w:t>Charte</w:t>
      </w:r>
      <w:r w:rsidRPr="00E13D0A">
        <w:rPr>
          <w:rFonts w:cs="Times New Roman"/>
          <w:lang w:val="fr-CA"/>
        </w:rPr>
        <w:t>.</w:t>
      </w:r>
    </w:p>
    <w:p w:rsidR="00065721" w:rsidRPr="00E13D0A" w:rsidRDefault="00065721" w:rsidP="00926B45">
      <w:pPr>
        <w:pStyle w:val="ParaNoNdepar-AltN"/>
        <w:widowControl w:val="0"/>
        <w:rPr>
          <w:rFonts w:cs="Times New Roman"/>
          <w:lang w:val="fr-CA"/>
        </w:rPr>
      </w:pPr>
      <w:r w:rsidRPr="00E13D0A">
        <w:rPr>
          <w:rFonts w:cs="Times New Roman"/>
          <w:lang w:val="fr-CA"/>
        </w:rPr>
        <w:t>La Cour a récemment examiné et confirmé le cadre d</w:t>
      </w:r>
      <w:r>
        <w:rPr>
          <w:rFonts w:cs="Times New Roman"/>
          <w:lang w:val="fr-CA"/>
        </w:rPr>
        <w:t>’</w:t>
      </w:r>
      <w:r w:rsidRPr="00E13D0A">
        <w:rPr>
          <w:rFonts w:cs="Times New Roman"/>
          <w:lang w:val="fr-CA"/>
        </w:rPr>
        <w:t>analyse fondé sur l</w:t>
      </w:r>
      <w:r>
        <w:rPr>
          <w:rFonts w:cs="Times New Roman"/>
          <w:lang w:val="fr-CA"/>
        </w:rPr>
        <w:t>’art. </w:t>
      </w:r>
      <w:r w:rsidRPr="00E13D0A">
        <w:rPr>
          <w:rFonts w:cs="Times New Roman"/>
          <w:lang w:val="fr-CA"/>
        </w:rPr>
        <w:t xml:space="preserve">11 établi dans les arrêts </w:t>
      </w:r>
      <w:r w:rsidRPr="00E13D0A">
        <w:rPr>
          <w:rFonts w:cs="Times New Roman"/>
          <w:i/>
          <w:lang w:val="fr-CA"/>
        </w:rPr>
        <w:t>Wigglesworth</w:t>
      </w:r>
      <w:r w:rsidRPr="00E13D0A">
        <w:rPr>
          <w:rFonts w:cs="Times New Roman"/>
          <w:lang w:val="fr-CA"/>
        </w:rPr>
        <w:t xml:space="preserve"> et </w:t>
      </w:r>
      <w:r w:rsidRPr="00E13D0A">
        <w:rPr>
          <w:rFonts w:cs="Times New Roman"/>
          <w:i/>
          <w:lang w:val="fr-CA"/>
        </w:rPr>
        <w:t>Martineau</w:t>
      </w:r>
      <w:r>
        <w:rPr>
          <w:rFonts w:cs="Times New Roman"/>
          <w:lang w:val="fr-CA"/>
        </w:rPr>
        <w:t> :</w:t>
      </w:r>
      <w:r w:rsidRPr="00E13D0A">
        <w:rPr>
          <w:rFonts w:cs="Times New Roman"/>
          <w:lang w:val="fr-CA"/>
        </w:rPr>
        <w:t xml:space="preserve"> voir </w:t>
      </w:r>
      <w:r w:rsidRPr="00E13D0A">
        <w:rPr>
          <w:rFonts w:cs="Times New Roman"/>
          <w:i/>
          <w:lang w:val="fr-CA"/>
        </w:rPr>
        <w:t>Guindon c. Canada</w:t>
      </w:r>
      <w:r w:rsidRPr="00E13D0A">
        <w:rPr>
          <w:rFonts w:cs="Times New Roman"/>
          <w:lang w:val="fr-CA"/>
        </w:rPr>
        <w:t>, 2015 CSC 41</w:t>
      </w:r>
      <w:r w:rsidR="00344EE0">
        <w:rPr>
          <w:rFonts w:cs="Times New Roman"/>
          <w:lang w:val="fr-CA"/>
        </w:rPr>
        <w:t>, [2015] 3 R.C.S. 3</w:t>
      </w:r>
      <w:r w:rsidRPr="00E13D0A">
        <w:rPr>
          <w:rFonts w:cs="Times New Roman"/>
          <w:lang w:val="fr-CA"/>
        </w:rPr>
        <w:t>. Dans l</w:t>
      </w:r>
      <w:r>
        <w:rPr>
          <w:rFonts w:cs="Times New Roman"/>
          <w:lang w:val="fr-CA"/>
        </w:rPr>
        <w:t>’</w:t>
      </w:r>
      <w:r w:rsidRPr="00E13D0A">
        <w:rPr>
          <w:rFonts w:cs="Times New Roman"/>
          <w:lang w:val="fr-CA"/>
        </w:rPr>
        <w:t xml:space="preserve">arrêt </w:t>
      </w:r>
      <w:r w:rsidRPr="00E13D0A">
        <w:rPr>
          <w:rFonts w:cs="Times New Roman"/>
          <w:i/>
          <w:lang w:val="fr-CA"/>
        </w:rPr>
        <w:t>Wigglesworth</w:t>
      </w:r>
      <w:r w:rsidRPr="00E13D0A">
        <w:rPr>
          <w:rFonts w:cs="Times New Roman"/>
          <w:lang w:val="fr-CA"/>
        </w:rPr>
        <w:t>, la Cour a conclu que les mesures de protection de l</w:t>
      </w:r>
      <w:r>
        <w:rPr>
          <w:rFonts w:cs="Times New Roman"/>
          <w:lang w:val="fr-CA"/>
        </w:rPr>
        <w:t>’art. </w:t>
      </w:r>
      <w:r w:rsidRPr="00E13D0A">
        <w:rPr>
          <w:rFonts w:cs="Times New Roman"/>
          <w:lang w:val="fr-CA"/>
        </w:rPr>
        <w:t>11 s</w:t>
      </w:r>
      <w:r>
        <w:rPr>
          <w:rFonts w:cs="Times New Roman"/>
          <w:lang w:val="fr-CA"/>
        </w:rPr>
        <w:t>’</w:t>
      </w:r>
      <w:r w:rsidRPr="00E13D0A">
        <w:rPr>
          <w:rFonts w:cs="Times New Roman"/>
          <w:lang w:val="fr-CA"/>
        </w:rPr>
        <w:t>appliquent uniquement aux personnes « que l</w:t>
      </w:r>
      <w:r>
        <w:rPr>
          <w:rFonts w:cs="Times New Roman"/>
          <w:lang w:val="fr-CA"/>
        </w:rPr>
        <w:t>’</w:t>
      </w:r>
      <w:r w:rsidRPr="00E13D0A">
        <w:rPr>
          <w:rFonts w:cs="Times New Roman"/>
          <w:lang w:val="fr-CA"/>
        </w:rPr>
        <w:t>État poursuit pour des infractions publiques comportant des sanctions punitives, c.</w:t>
      </w:r>
      <w:r>
        <w:rPr>
          <w:rFonts w:cs="Times New Roman"/>
          <w:lang w:val="fr-CA"/>
        </w:rPr>
        <w:noBreakHyphen/>
      </w:r>
      <w:r w:rsidRPr="00E13D0A">
        <w:rPr>
          <w:rFonts w:cs="Times New Roman"/>
          <w:lang w:val="fr-CA"/>
        </w:rPr>
        <w:t>à</w:t>
      </w:r>
      <w:r>
        <w:rPr>
          <w:rFonts w:cs="Times New Roman"/>
          <w:lang w:val="fr-CA"/>
        </w:rPr>
        <w:noBreakHyphen/>
      </w:r>
      <w:r w:rsidRPr="00E13D0A">
        <w:rPr>
          <w:rFonts w:cs="Times New Roman"/>
          <w:lang w:val="fr-CA"/>
        </w:rPr>
        <w:t>d. des infractions criminelles, quasi criminelles et de nature réglementaire, qu</w:t>
      </w:r>
      <w:r>
        <w:rPr>
          <w:rFonts w:cs="Times New Roman"/>
          <w:lang w:val="fr-CA"/>
        </w:rPr>
        <w:t>’</w:t>
      </w:r>
      <w:r w:rsidRPr="00E13D0A">
        <w:rPr>
          <w:rFonts w:cs="Times New Roman"/>
          <w:lang w:val="fr-CA"/>
        </w:rPr>
        <w:t>elles aient été édictées par le gouvernement fédéral ou par les provinces »</w:t>
      </w:r>
      <w:r>
        <w:rPr>
          <w:rFonts w:cs="Times New Roman"/>
          <w:lang w:val="fr-CA"/>
        </w:rPr>
        <w:t> :</w:t>
      </w:r>
      <w:r w:rsidRPr="00E13D0A">
        <w:rPr>
          <w:rFonts w:cs="Times New Roman"/>
          <w:lang w:val="fr-CA"/>
        </w:rPr>
        <w:t xml:space="preserve"> </w:t>
      </w:r>
      <w:r>
        <w:rPr>
          <w:rFonts w:cs="Times New Roman"/>
          <w:lang w:val="fr-CA"/>
        </w:rPr>
        <w:t>p. </w:t>
      </w:r>
      <w:r w:rsidRPr="00E13D0A">
        <w:rPr>
          <w:rFonts w:cs="Times New Roman"/>
          <w:lang w:val="fr-CA"/>
        </w:rPr>
        <w:t>554. S</w:t>
      </w:r>
      <w:r>
        <w:rPr>
          <w:rFonts w:cs="Times New Roman"/>
          <w:lang w:val="fr-CA"/>
        </w:rPr>
        <w:t>’</w:t>
      </w:r>
      <w:r w:rsidRPr="00E13D0A">
        <w:rPr>
          <w:rFonts w:cs="Times New Roman"/>
          <w:lang w:val="fr-CA"/>
        </w:rPr>
        <w:t>exprimant au nom de la majorité, la juge Wilson a affirmé qu</w:t>
      </w:r>
      <w:r>
        <w:rPr>
          <w:rFonts w:cs="Times New Roman"/>
          <w:lang w:val="fr-CA"/>
        </w:rPr>
        <w:t>’</w:t>
      </w:r>
      <w:r w:rsidRPr="00E13D0A">
        <w:rPr>
          <w:rFonts w:cs="Times New Roman"/>
          <w:lang w:val="fr-CA"/>
        </w:rPr>
        <w:t>une affaire relève de l</w:t>
      </w:r>
      <w:r>
        <w:rPr>
          <w:rFonts w:cs="Times New Roman"/>
          <w:lang w:val="fr-CA"/>
        </w:rPr>
        <w:t>’art. </w:t>
      </w:r>
      <w:r w:rsidRPr="00E13D0A">
        <w:rPr>
          <w:rFonts w:cs="Times New Roman"/>
          <w:lang w:val="fr-CA"/>
        </w:rPr>
        <w:t>11 lorsque, « de par sa nature même, il s</w:t>
      </w:r>
      <w:r>
        <w:rPr>
          <w:rFonts w:cs="Times New Roman"/>
          <w:lang w:val="fr-CA"/>
        </w:rPr>
        <w:t>’</w:t>
      </w:r>
      <w:r w:rsidRPr="00E13D0A">
        <w:rPr>
          <w:rFonts w:cs="Times New Roman"/>
          <w:lang w:val="fr-CA"/>
        </w:rPr>
        <w:t>agit d</w:t>
      </w:r>
      <w:r>
        <w:rPr>
          <w:rFonts w:cs="Times New Roman"/>
          <w:lang w:val="fr-CA"/>
        </w:rPr>
        <w:t>’</w:t>
      </w:r>
      <w:r w:rsidRPr="00E13D0A">
        <w:rPr>
          <w:rFonts w:cs="Times New Roman"/>
          <w:lang w:val="fr-CA"/>
        </w:rPr>
        <w:t>une procédure criminelle » ou lorsqu</w:t>
      </w:r>
      <w:r>
        <w:rPr>
          <w:rFonts w:cs="Times New Roman"/>
          <w:lang w:val="fr-CA"/>
        </w:rPr>
        <w:t>’</w:t>
      </w:r>
      <w:r w:rsidRPr="00E13D0A">
        <w:rPr>
          <w:rFonts w:cs="Times New Roman"/>
          <w:lang w:val="fr-CA"/>
        </w:rPr>
        <w:t>une déclaration de culpabilité « est susceptible d</w:t>
      </w:r>
      <w:r>
        <w:rPr>
          <w:rFonts w:cs="Times New Roman"/>
          <w:lang w:val="fr-CA"/>
        </w:rPr>
        <w:t>’</w:t>
      </w:r>
      <w:r w:rsidRPr="00E13D0A">
        <w:rPr>
          <w:rFonts w:cs="Times New Roman"/>
          <w:lang w:val="fr-CA"/>
        </w:rPr>
        <w:t>entraîner une véritable conséquence pénale »</w:t>
      </w:r>
      <w:r>
        <w:rPr>
          <w:rFonts w:cs="Times New Roman"/>
          <w:lang w:val="fr-CA"/>
        </w:rPr>
        <w:t> :</w:t>
      </w:r>
      <w:r w:rsidRPr="00E13D0A">
        <w:rPr>
          <w:rFonts w:cs="Times New Roman"/>
          <w:lang w:val="fr-CA"/>
        </w:rPr>
        <w:t xml:space="preserve"> </w:t>
      </w:r>
      <w:r>
        <w:rPr>
          <w:rFonts w:cs="Times New Roman"/>
          <w:lang w:val="fr-CA"/>
        </w:rPr>
        <w:t>p. </w:t>
      </w:r>
      <w:r w:rsidRPr="00E13D0A">
        <w:rPr>
          <w:rFonts w:cs="Times New Roman"/>
          <w:lang w:val="fr-CA"/>
        </w:rPr>
        <w:t>559. À l</w:t>
      </w:r>
      <w:r>
        <w:rPr>
          <w:rFonts w:cs="Times New Roman"/>
          <w:lang w:val="fr-CA"/>
        </w:rPr>
        <w:t>’</w:t>
      </w:r>
      <w:r w:rsidRPr="00E13D0A">
        <w:rPr>
          <w:rFonts w:cs="Times New Roman"/>
          <w:lang w:val="fr-CA"/>
        </w:rPr>
        <w:t>opposé, les procédures de nature administrative « engagées pour protéger le public conformément à la politique générale d</w:t>
      </w:r>
      <w:r>
        <w:rPr>
          <w:rFonts w:cs="Times New Roman"/>
          <w:lang w:val="fr-CA"/>
        </w:rPr>
        <w:t>’</w:t>
      </w:r>
      <w:r w:rsidRPr="00E13D0A">
        <w:rPr>
          <w:rFonts w:cs="Times New Roman"/>
          <w:lang w:val="fr-CA"/>
        </w:rPr>
        <w:t>une loi » ne font pas intervenir les mesures de protection prévues à l</w:t>
      </w:r>
      <w:r>
        <w:rPr>
          <w:rFonts w:cs="Times New Roman"/>
          <w:lang w:val="fr-CA"/>
        </w:rPr>
        <w:t>’art. </w:t>
      </w:r>
      <w:r w:rsidRPr="00E13D0A">
        <w:rPr>
          <w:rFonts w:cs="Times New Roman"/>
          <w:lang w:val="fr-CA"/>
        </w:rPr>
        <w:t>11</w:t>
      </w:r>
      <w:r>
        <w:rPr>
          <w:rFonts w:cs="Times New Roman"/>
          <w:lang w:val="fr-CA"/>
        </w:rPr>
        <w:t> :</w:t>
      </w:r>
      <w:r w:rsidRPr="00E13D0A">
        <w:rPr>
          <w:rFonts w:cs="Times New Roman"/>
          <w:lang w:val="fr-CA"/>
        </w:rPr>
        <w:t xml:space="preserve"> </w:t>
      </w:r>
      <w:r>
        <w:rPr>
          <w:rFonts w:cs="Times New Roman"/>
          <w:lang w:val="fr-CA"/>
        </w:rPr>
        <w:t>p. </w:t>
      </w:r>
      <w:r w:rsidRPr="00E13D0A">
        <w:rPr>
          <w:rFonts w:cs="Times New Roman"/>
          <w:lang w:val="fr-CA"/>
        </w:rPr>
        <w:t>560.</w:t>
      </w:r>
    </w:p>
    <w:p w:rsidR="00065721" w:rsidRPr="00E13D0A" w:rsidRDefault="00065721" w:rsidP="00926B45">
      <w:pPr>
        <w:pStyle w:val="ParaNoNdepar-AltN"/>
        <w:widowControl w:val="0"/>
        <w:rPr>
          <w:rFonts w:cs="Times New Roman"/>
          <w:lang w:val="fr-CA"/>
        </w:rPr>
      </w:pPr>
      <w:r w:rsidRPr="00E13D0A">
        <w:rPr>
          <w:rFonts w:cs="Times New Roman"/>
          <w:szCs w:val="24"/>
          <w:lang w:val="fr-CA"/>
        </w:rPr>
        <w:t>Bien que les procédures criminelles et celles de nature a</w:t>
      </w:r>
      <w:r w:rsidRPr="00E13D0A" w:rsidDel="004A5094">
        <w:rPr>
          <w:rFonts w:cs="Times New Roman"/>
          <w:szCs w:val="24"/>
          <w:lang w:val="fr-CA"/>
        </w:rPr>
        <w:t xml:space="preserve">dministrative </w:t>
      </w:r>
      <w:r w:rsidRPr="00E13D0A">
        <w:rPr>
          <w:rFonts w:cs="Times New Roman"/>
          <w:szCs w:val="24"/>
          <w:lang w:val="fr-CA"/>
        </w:rPr>
        <w:t>servent toutes deux des objectifs publics</w:t>
      </w:r>
      <w:r w:rsidRPr="00E13D0A" w:rsidDel="004A5094">
        <w:rPr>
          <w:rFonts w:cs="Times New Roman"/>
          <w:szCs w:val="24"/>
          <w:lang w:val="fr-CA"/>
        </w:rPr>
        <w:t xml:space="preserve">, </w:t>
      </w:r>
      <w:r w:rsidRPr="00E13D0A">
        <w:rPr>
          <w:rFonts w:cs="Times New Roman"/>
          <w:szCs w:val="24"/>
          <w:lang w:val="fr-CA"/>
        </w:rPr>
        <w:t>elles sont fondamentalement différentes</w:t>
      </w:r>
      <w:r w:rsidRPr="00E13D0A" w:rsidDel="004A5094">
        <w:rPr>
          <w:rFonts w:cs="Times New Roman"/>
          <w:szCs w:val="24"/>
          <w:lang w:val="fr-CA"/>
        </w:rPr>
        <w:t>.</w:t>
      </w:r>
      <w:r w:rsidRPr="00E13D0A">
        <w:rPr>
          <w:rFonts w:cs="Times New Roman"/>
          <w:szCs w:val="24"/>
          <w:lang w:val="fr-CA"/>
        </w:rPr>
        <w:t xml:space="preserve"> Les régimes administratifs « sont principalement destiné[s] à maintenir la discipline, l</w:t>
      </w:r>
      <w:r>
        <w:rPr>
          <w:rFonts w:cs="Times New Roman"/>
          <w:szCs w:val="24"/>
          <w:lang w:val="fr-CA"/>
        </w:rPr>
        <w:t>’</w:t>
      </w:r>
      <w:r w:rsidRPr="00E13D0A">
        <w:rPr>
          <w:rFonts w:cs="Times New Roman"/>
          <w:szCs w:val="24"/>
          <w:lang w:val="fr-CA"/>
        </w:rPr>
        <w:t>intégrité professionnelle ainsi que certaines normes professionnelles, ou à réglementer la conduite dans une sphère d</w:t>
      </w:r>
      <w:r>
        <w:rPr>
          <w:rFonts w:cs="Times New Roman"/>
          <w:szCs w:val="24"/>
          <w:lang w:val="fr-CA"/>
        </w:rPr>
        <w:t>’</w:t>
      </w:r>
      <w:r w:rsidRPr="00E13D0A">
        <w:rPr>
          <w:rFonts w:cs="Times New Roman"/>
          <w:szCs w:val="24"/>
          <w:lang w:val="fr-CA"/>
        </w:rPr>
        <w:t>activité privée et limitée »</w:t>
      </w:r>
      <w:r>
        <w:rPr>
          <w:rFonts w:cs="Times New Roman"/>
          <w:szCs w:val="24"/>
          <w:lang w:val="fr-CA"/>
        </w:rPr>
        <w:t> :</w:t>
      </w:r>
      <w:r w:rsidRPr="00E13D0A">
        <w:rPr>
          <w:rFonts w:cs="Times New Roman"/>
          <w:szCs w:val="24"/>
          <w:lang w:val="fr-CA"/>
        </w:rPr>
        <w:t xml:space="preserve"> </w:t>
      </w:r>
      <w:r w:rsidRPr="00E13D0A">
        <w:rPr>
          <w:rFonts w:cs="Times New Roman"/>
          <w:i/>
          <w:szCs w:val="24"/>
          <w:lang w:val="fr-CA"/>
        </w:rPr>
        <w:t>Wigglesworth</w:t>
      </w:r>
      <w:r w:rsidRPr="00E13D0A">
        <w:rPr>
          <w:rFonts w:cs="Times New Roman"/>
          <w:szCs w:val="24"/>
          <w:lang w:val="fr-CA"/>
        </w:rPr>
        <w:t xml:space="preserve">, </w:t>
      </w:r>
      <w:r>
        <w:rPr>
          <w:rFonts w:cs="Times New Roman"/>
          <w:szCs w:val="24"/>
          <w:lang w:val="fr-CA"/>
        </w:rPr>
        <w:t>p. </w:t>
      </w:r>
      <w:r w:rsidRPr="00E13D0A">
        <w:rPr>
          <w:rFonts w:cs="Times New Roman"/>
          <w:szCs w:val="24"/>
          <w:lang w:val="fr-CA"/>
        </w:rPr>
        <w:t xml:space="preserve">560. Les poursuites criminelles, en revanche, sont de nature publique et visent à réparer le tort causé à la société en appliquant les principes du châtiment et de la </w:t>
      </w:r>
      <w:r w:rsidRPr="00E13D0A">
        <w:rPr>
          <w:rFonts w:cs="Times New Roman"/>
          <w:szCs w:val="24"/>
          <w:lang w:val="fr-CA"/>
        </w:rPr>
        <w:lastRenderedPageBreak/>
        <w:t xml:space="preserve">réprobation en audience publique. Dans </w:t>
      </w:r>
      <w:r w:rsidRPr="00E13D0A">
        <w:rPr>
          <w:rFonts w:cs="Times New Roman"/>
          <w:i/>
          <w:lang w:val="fr-CA"/>
        </w:rPr>
        <w:t>Martineau</w:t>
      </w:r>
      <w:r w:rsidRPr="00E13D0A">
        <w:rPr>
          <w:rFonts w:cs="Times New Roman"/>
          <w:lang w:val="fr-CA"/>
        </w:rPr>
        <w:t>, le juge Fish a énoncé trois facteurs à prendre en compte au moment de déterminer si une procédure est de nature criminelle</w:t>
      </w:r>
      <w:r>
        <w:rPr>
          <w:rFonts w:cs="Times New Roman"/>
          <w:lang w:val="fr-CA"/>
        </w:rPr>
        <w:t> :</w:t>
      </w:r>
    </w:p>
    <w:p w:rsidR="00065721" w:rsidRPr="00E13D0A" w:rsidRDefault="00065721" w:rsidP="00926B45">
      <w:pPr>
        <w:pStyle w:val="Citation-AltC"/>
        <w:widowControl w:val="0"/>
        <w:ind w:hanging="1166"/>
        <w:contextualSpacing w:val="0"/>
        <w:rPr>
          <w:lang w:val="fr-CA"/>
        </w:rPr>
      </w:pPr>
      <w:r w:rsidRPr="00E13D0A">
        <w:rPr>
          <w:lang w:val="fr-CA"/>
        </w:rPr>
        <w:tab/>
      </w:r>
      <w:r w:rsidR="009D4D14">
        <w:rPr>
          <w:lang w:val="fr-CA"/>
        </w:rPr>
        <w:tab/>
      </w:r>
      <w:r w:rsidRPr="00E13D0A">
        <w:rPr>
          <w:lang w:val="fr-CA"/>
        </w:rPr>
        <w:t>Pour déterminer la nature de la procédure, un examen de la jurisprudence sous l</w:t>
      </w:r>
      <w:r>
        <w:rPr>
          <w:lang w:val="fr-CA"/>
        </w:rPr>
        <w:t>’</w:t>
      </w:r>
      <w:r w:rsidRPr="00E13D0A">
        <w:rPr>
          <w:lang w:val="fr-CA"/>
        </w:rPr>
        <w:t>éclairage des critères suivants s</w:t>
      </w:r>
      <w:r>
        <w:rPr>
          <w:lang w:val="fr-CA"/>
        </w:rPr>
        <w:t>’</w:t>
      </w:r>
      <w:r w:rsidRPr="00E13D0A">
        <w:rPr>
          <w:lang w:val="fr-CA"/>
        </w:rPr>
        <w:t>impose</w:t>
      </w:r>
      <w:r>
        <w:rPr>
          <w:lang w:val="fr-CA"/>
        </w:rPr>
        <w:t> :</w:t>
      </w:r>
      <w:r w:rsidRPr="00E13D0A">
        <w:rPr>
          <w:lang w:val="fr-CA"/>
        </w:rPr>
        <w:t xml:space="preserve"> (1) les objectifs de la [loi]; (2) le but visé par la sanction; (3) le processus menant à la sanction</w:t>
      </w:r>
      <w:r>
        <w:rPr>
          <w:lang w:val="fr-CA"/>
        </w:rPr>
        <w:t xml:space="preserve">. </w:t>
      </w:r>
      <w:r w:rsidRPr="00E13D0A">
        <w:rPr>
          <w:lang w:val="fr-CA"/>
        </w:rPr>
        <w:t>[</w:t>
      </w:r>
      <w:r>
        <w:rPr>
          <w:lang w:val="fr-CA"/>
        </w:rPr>
        <w:t>par. </w:t>
      </w:r>
      <w:r w:rsidRPr="00E13D0A">
        <w:rPr>
          <w:lang w:val="fr-CA"/>
        </w:rPr>
        <w:t>24]</w:t>
      </w:r>
    </w:p>
    <w:p w:rsidR="00065721" w:rsidRPr="00E13D0A" w:rsidRDefault="00065721" w:rsidP="00926B45">
      <w:pPr>
        <w:pStyle w:val="ParaNoNdepar-AltN"/>
        <w:widowControl w:val="0"/>
        <w:rPr>
          <w:rFonts w:cs="Times New Roman"/>
          <w:lang w:val="fr-CA"/>
        </w:rPr>
      </w:pPr>
      <w:r w:rsidRPr="00E13D0A">
        <w:rPr>
          <w:rFonts w:cs="Times New Roman"/>
          <w:lang w:val="fr-CA"/>
        </w:rPr>
        <w:t xml:space="preserve">À mon sens, le juge en chambre a correctement appliqué les facteurs établis dans </w:t>
      </w:r>
      <w:r w:rsidRPr="00E13D0A">
        <w:rPr>
          <w:rFonts w:cs="Times New Roman"/>
          <w:i/>
          <w:lang w:val="fr-CA"/>
        </w:rPr>
        <w:t>Wigglesworth</w:t>
      </w:r>
      <w:r w:rsidRPr="00E13D0A">
        <w:rPr>
          <w:rFonts w:cs="Times New Roman"/>
          <w:lang w:val="fr-CA"/>
        </w:rPr>
        <w:t xml:space="preserve"> et </w:t>
      </w:r>
      <w:r w:rsidRPr="00E13D0A">
        <w:rPr>
          <w:rFonts w:cs="Times New Roman"/>
          <w:i/>
          <w:lang w:val="fr-CA"/>
        </w:rPr>
        <w:t>Martineau</w:t>
      </w:r>
      <w:r w:rsidRPr="00E13D0A">
        <w:rPr>
          <w:rFonts w:cs="Times New Roman"/>
          <w:lang w:val="fr-CA"/>
        </w:rPr>
        <w:t>. Je reconnais qu</w:t>
      </w:r>
      <w:r>
        <w:rPr>
          <w:rFonts w:cs="Times New Roman"/>
          <w:lang w:val="fr-CA"/>
        </w:rPr>
        <w:t>’</w:t>
      </w:r>
      <w:r w:rsidRPr="00E13D0A">
        <w:rPr>
          <w:rFonts w:cs="Times New Roman"/>
          <w:lang w:val="fr-CA"/>
        </w:rPr>
        <w:t>une infraction est définie tant par des éléments de procédure que des éléments de fond, mais je ne saurais considérer que la poursuite engagée en application du RIAC est, « de par sa nature même, [. . .] une procédure criminelle ».</w:t>
      </w:r>
    </w:p>
    <w:p w:rsidR="00065721" w:rsidRPr="00E13D0A" w:rsidRDefault="00065721" w:rsidP="00926B45">
      <w:pPr>
        <w:pStyle w:val="ParaNoNdepar-AltN"/>
        <w:widowControl w:val="0"/>
        <w:rPr>
          <w:rFonts w:cs="Times New Roman"/>
          <w:szCs w:val="24"/>
          <w:lang w:val="fr-CA"/>
        </w:rPr>
      </w:pPr>
      <w:r w:rsidRPr="00E13D0A">
        <w:rPr>
          <w:rFonts w:cs="Times New Roman"/>
          <w:szCs w:val="24"/>
          <w:lang w:val="fr-CA"/>
        </w:rPr>
        <w:t>Le RIAC impose une interdiction de conduire de même qu</w:t>
      </w:r>
      <w:r>
        <w:rPr>
          <w:rFonts w:cs="Times New Roman"/>
          <w:szCs w:val="24"/>
          <w:lang w:val="fr-CA"/>
        </w:rPr>
        <w:t>’</w:t>
      </w:r>
      <w:r w:rsidRPr="00E13D0A">
        <w:rPr>
          <w:rFonts w:cs="Times New Roman"/>
          <w:szCs w:val="24"/>
          <w:lang w:val="fr-CA"/>
        </w:rPr>
        <w:t>une sanction pécuniaire. Il ne vise pas à réparer en audience publique le tort causé à la société; il vise plutôt à encadrer les conducteurs et la délivrance de permis et à assurer la sécurité routière. Même si le régime a un lien avec le droit criminel, en ce sens qu</w:t>
      </w:r>
      <w:r>
        <w:rPr>
          <w:rFonts w:cs="Times New Roman"/>
          <w:szCs w:val="24"/>
          <w:lang w:val="fr-CA"/>
        </w:rPr>
        <w:t>’</w:t>
      </w:r>
      <w:r w:rsidRPr="00E13D0A">
        <w:rPr>
          <w:rFonts w:cs="Times New Roman"/>
          <w:szCs w:val="24"/>
          <w:lang w:val="fr-CA"/>
        </w:rPr>
        <w:t xml:space="preserve">il dépend des pouvoirs de saisie prévus par le </w:t>
      </w:r>
      <w:r w:rsidRPr="00E13D0A">
        <w:rPr>
          <w:rFonts w:cs="Times New Roman"/>
          <w:i/>
          <w:szCs w:val="24"/>
          <w:lang w:val="fr-CA"/>
        </w:rPr>
        <w:t>Code criminel</w:t>
      </w:r>
      <w:r w:rsidRPr="00E13D0A">
        <w:rPr>
          <w:rFonts w:cs="Times New Roman"/>
          <w:szCs w:val="24"/>
          <w:lang w:val="fr-CA"/>
        </w:rPr>
        <w:t xml:space="preserve"> et est appliqué par la police, il est plus exact de le qualifier de procédure de nature administrative. Comme l</w:t>
      </w:r>
      <w:r>
        <w:rPr>
          <w:rFonts w:cs="Times New Roman"/>
          <w:szCs w:val="24"/>
          <w:lang w:val="fr-CA"/>
        </w:rPr>
        <w:t>’</w:t>
      </w:r>
      <w:r w:rsidRPr="00E13D0A">
        <w:rPr>
          <w:rFonts w:cs="Times New Roman"/>
          <w:szCs w:val="24"/>
          <w:lang w:val="fr-CA"/>
        </w:rPr>
        <w:t>a noté le juge en chambre, les procédures découlant du RIAC ne prennent pas la forme de poursuites pénales. Aucun casier judiciaire n</w:t>
      </w:r>
      <w:r>
        <w:rPr>
          <w:rFonts w:cs="Times New Roman"/>
          <w:szCs w:val="24"/>
          <w:lang w:val="fr-CA"/>
        </w:rPr>
        <w:t>’</w:t>
      </w:r>
      <w:r w:rsidRPr="00E13D0A">
        <w:rPr>
          <w:rFonts w:cs="Times New Roman"/>
          <w:szCs w:val="24"/>
          <w:lang w:val="fr-CA"/>
        </w:rPr>
        <w:t>en résulte. Les procédures sont engagées par les conducteurs eux</w:t>
      </w:r>
      <w:r>
        <w:rPr>
          <w:rFonts w:cs="Times New Roman"/>
          <w:szCs w:val="24"/>
          <w:lang w:val="fr-CA"/>
        </w:rPr>
        <w:noBreakHyphen/>
      </w:r>
      <w:r w:rsidRPr="00E13D0A">
        <w:rPr>
          <w:rFonts w:cs="Times New Roman"/>
          <w:szCs w:val="24"/>
          <w:lang w:val="fr-CA"/>
        </w:rPr>
        <w:t>mêmes. De toute évidence, le processus n</w:t>
      </w:r>
      <w:r>
        <w:rPr>
          <w:rFonts w:cs="Times New Roman"/>
          <w:szCs w:val="24"/>
          <w:lang w:val="fr-CA"/>
        </w:rPr>
        <w:t>’</w:t>
      </w:r>
      <w:r w:rsidRPr="00E13D0A">
        <w:rPr>
          <w:rFonts w:cs="Times New Roman"/>
          <w:szCs w:val="24"/>
          <w:lang w:val="fr-CA"/>
        </w:rPr>
        <w:t xml:space="preserve">est pas de nature criminelle suivant les critères énoncés dans </w:t>
      </w:r>
      <w:r w:rsidRPr="00E13D0A">
        <w:rPr>
          <w:rFonts w:cs="Times New Roman"/>
          <w:i/>
          <w:szCs w:val="24"/>
          <w:lang w:val="fr-CA"/>
        </w:rPr>
        <w:t>Martineau</w:t>
      </w:r>
      <w:r>
        <w:rPr>
          <w:rFonts w:cs="Times New Roman"/>
          <w:i/>
          <w:szCs w:val="24"/>
          <w:lang w:val="fr-CA"/>
        </w:rPr>
        <w:t> </w:t>
      </w:r>
      <w:r w:rsidRPr="009D4D14">
        <w:rPr>
          <w:rFonts w:cs="Times New Roman"/>
          <w:szCs w:val="24"/>
          <w:lang w:val="fr-CA"/>
        </w:rPr>
        <w:t>:</w:t>
      </w:r>
      <w:r w:rsidRPr="00E13D0A">
        <w:rPr>
          <w:rFonts w:cs="Times New Roman"/>
          <w:szCs w:val="24"/>
          <w:lang w:val="fr-CA"/>
        </w:rPr>
        <w:t xml:space="preserve"> </w:t>
      </w:r>
      <w:r>
        <w:rPr>
          <w:rFonts w:cs="Times New Roman"/>
          <w:szCs w:val="24"/>
          <w:lang w:val="fr-CA"/>
        </w:rPr>
        <w:t>par. </w:t>
      </w:r>
      <w:r w:rsidRPr="00E13D0A">
        <w:rPr>
          <w:rFonts w:cs="Times New Roman"/>
          <w:szCs w:val="24"/>
          <w:lang w:val="fr-CA"/>
        </w:rPr>
        <w:t xml:space="preserve">45; voir aussi </w:t>
      </w:r>
      <w:r w:rsidRPr="00E13D0A">
        <w:rPr>
          <w:rFonts w:cs="Times New Roman"/>
          <w:i/>
          <w:szCs w:val="24"/>
          <w:lang w:val="fr-CA"/>
        </w:rPr>
        <w:t>Guindon</w:t>
      </w:r>
      <w:r w:rsidRPr="00E13D0A">
        <w:rPr>
          <w:rFonts w:cs="Times New Roman"/>
          <w:szCs w:val="24"/>
          <w:lang w:val="fr-CA"/>
        </w:rPr>
        <w:t xml:space="preserve">, </w:t>
      </w:r>
      <w:r>
        <w:rPr>
          <w:rFonts w:cs="Times New Roman"/>
          <w:szCs w:val="24"/>
          <w:lang w:val="fr-CA"/>
        </w:rPr>
        <w:t>par. </w:t>
      </w:r>
      <w:r w:rsidRPr="00E13D0A">
        <w:rPr>
          <w:rFonts w:cs="Times New Roman"/>
          <w:szCs w:val="24"/>
          <w:lang w:val="fr-CA"/>
        </w:rPr>
        <w:t>63</w:t>
      </w:r>
      <w:r>
        <w:rPr>
          <w:rFonts w:cs="Times New Roman"/>
          <w:szCs w:val="24"/>
          <w:lang w:val="fr-CA"/>
        </w:rPr>
        <w:noBreakHyphen/>
      </w:r>
      <w:r w:rsidRPr="00E13D0A">
        <w:rPr>
          <w:rFonts w:cs="Times New Roman"/>
          <w:szCs w:val="24"/>
          <w:lang w:val="fr-CA"/>
        </w:rPr>
        <w:t>65.</w:t>
      </w:r>
    </w:p>
    <w:p w:rsidR="00065721" w:rsidRPr="00E13D0A" w:rsidRDefault="00065721" w:rsidP="00926B45">
      <w:pPr>
        <w:pStyle w:val="ParaNoNdepar-AltN"/>
        <w:widowControl w:val="0"/>
        <w:rPr>
          <w:rFonts w:cs="Times New Roman"/>
          <w:szCs w:val="24"/>
          <w:lang w:val="fr-CA"/>
        </w:rPr>
      </w:pPr>
      <w:r w:rsidRPr="00E13D0A">
        <w:rPr>
          <w:rFonts w:cs="Times New Roman"/>
          <w:szCs w:val="24"/>
          <w:lang w:val="fr-CA"/>
        </w:rPr>
        <w:lastRenderedPageBreak/>
        <w:t>Les régimes administratifs ne font pas intervenir les mesures de protection de l</w:t>
      </w:r>
      <w:r>
        <w:rPr>
          <w:rFonts w:cs="Times New Roman"/>
          <w:szCs w:val="24"/>
          <w:lang w:val="fr-CA"/>
        </w:rPr>
        <w:t>’art. </w:t>
      </w:r>
      <w:r w:rsidRPr="00E13D0A">
        <w:rPr>
          <w:rFonts w:cs="Times New Roman"/>
          <w:szCs w:val="24"/>
          <w:lang w:val="fr-CA"/>
        </w:rPr>
        <w:t>11</w:t>
      </w:r>
      <w:r>
        <w:rPr>
          <w:rFonts w:cs="Times New Roman"/>
          <w:szCs w:val="24"/>
          <w:lang w:val="fr-CA"/>
        </w:rPr>
        <w:t> :</w:t>
      </w:r>
      <w:r w:rsidRPr="00E13D0A">
        <w:rPr>
          <w:rFonts w:cs="Times New Roman"/>
          <w:szCs w:val="24"/>
          <w:lang w:val="fr-CA"/>
        </w:rPr>
        <w:t xml:space="preserve"> </w:t>
      </w:r>
      <w:r w:rsidRPr="00E13D0A">
        <w:rPr>
          <w:rFonts w:cs="Times New Roman"/>
          <w:i/>
          <w:szCs w:val="24"/>
          <w:lang w:val="fr-CA"/>
        </w:rPr>
        <w:t>Martineau</w:t>
      </w:r>
      <w:r w:rsidRPr="00E13D0A">
        <w:rPr>
          <w:rFonts w:cs="Times New Roman"/>
          <w:szCs w:val="24"/>
          <w:lang w:val="fr-CA"/>
        </w:rPr>
        <w:t xml:space="preserve">, </w:t>
      </w:r>
      <w:r>
        <w:rPr>
          <w:rFonts w:cs="Times New Roman"/>
          <w:szCs w:val="24"/>
          <w:lang w:val="fr-CA"/>
        </w:rPr>
        <w:t>par. </w:t>
      </w:r>
      <w:r w:rsidRPr="00E13D0A">
        <w:rPr>
          <w:rFonts w:cs="Times New Roman"/>
          <w:szCs w:val="24"/>
          <w:lang w:val="fr-CA"/>
        </w:rPr>
        <w:t>22</w:t>
      </w:r>
      <w:r w:rsidR="009D4D14">
        <w:rPr>
          <w:rFonts w:cs="Times New Roman"/>
          <w:szCs w:val="24"/>
          <w:lang w:val="fr-CA"/>
        </w:rPr>
        <w:t>-</w:t>
      </w:r>
      <w:r w:rsidRPr="00E13D0A">
        <w:rPr>
          <w:rFonts w:cs="Times New Roman"/>
          <w:szCs w:val="24"/>
          <w:lang w:val="fr-CA"/>
        </w:rPr>
        <w:t>23. « Notre Cour a souvent fait des mises en garde contre l</w:t>
      </w:r>
      <w:r>
        <w:rPr>
          <w:rFonts w:cs="Times New Roman"/>
          <w:szCs w:val="24"/>
          <w:lang w:val="fr-CA"/>
        </w:rPr>
        <w:t>’</w:t>
      </w:r>
      <w:r w:rsidRPr="00E13D0A">
        <w:rPr>
          <w:rFonts w:cs="Times New Roman"/>
          <w:szCs w:val="24"/>
          <w:lang w:val="fr-CA"/>
        </w:rPr>
        <w:t>application directe en droit administratif des normes de la justice criminelle »</w:t>
      </w:r>
      <w:r>
        <w:rPr>
          <w:rFonts w:eastAsiaTheme="minorHAnsi" w:cs="Times New Roman"/>
          <w:szCs w:val="24"/>
          <w:lang w:val="fr-CA"/>
        </w:rPr>
        <w:t> :</w:t>
      </w:r>
      <w:r w:rsidRPr="00E13D0A">
        <w:rPr>
          <w:rFonts w:eastAsiaTheme="minorHAnsi" w:cs="Times New Roman"/>
          <w:szCs w:val="24"/>
          <w:lang w:val="fr-CA"/>
        </w:rPr>
        <w:t xml:space="preserve"> </w:t>
      </w:r>
      <w:r w:rsidRPr="00E13D0A">
        <w:rPr>
          <w:rFonts w:eastAsiaTheme="minorHAnsi" w:cs="Times New Roman"/>
          <w:i/>
          <w:iCs/>
          <w:szCs w:val="24"/>
          <w:lang w:val="fr-CA"/>
        </w:rPr>
        <w:t>Blencoe c. Colombie</w:t>
      </w:r>
      <w:r>
        <w:rPr>
          <w:rFonts w:eastAsiaTheme="minorHAnsi" w:cs="Times New Roman"/>
          <w:i/>
          <w:iCs/>
          <w:szCs w:val="24"/>
          <w:lang w:val="fr-CA"/>
        </w:rPr>
        <w:noBreakHyphen/>
      </w:r>
      <w:r w:rsidRPr="00E13D0A">
        <w:rPr>
          <w:rFonts w:eastAsiaTheme="minorHAnsi" w:cs="Times New Roman"/>
          <w:i/>
          <w:iCs/>
          <w:szCs w:val="24"/>
          <w:lang w:val="fr-CA"/>
        </w:rPr>
        <w:t>Britannique (Human Rights Commission)</w:t>
      </w:r>
      <w:r w:rsidRPr="00E13D0A">
        <w:rPr>
          <w:rFonts w:eastAsiaTheme="minorHAnsi" w:cs="Times New Roman"/>
          <w:iCs/>
          <w:szCs w:val="24"/>
          <w:lang w:val="fr-CA"/>
        </w:rPr>
        <w:t>, 2000 CSC 44</w:t>
      </w:r>
      <w:r w:rsidRPr="00E13D0A">
        <w:rPr>
          <w:rFonts w:eastAsiaTheme="minorHAnsi" w:cs="Times New Roman"/>
          <w:szCs w:val="24"/>
          <w:lang w:val="fr-CA"/>
        </w:rPr>
        <w:t xml:space="preserve">, [2000] 2 R.C.S. 307, </w:t>
      </w:r>
      <w:r>
        <w:rPr>
          <w:rFonts w:eastAsiaTheme="minorHAnsi" w:cs="Times New Roman"/>
          <w:szCs w:val="24"/>
          <w:lang w:val="fr-CA"/>
        </w:rPr>
        <w:t>par. </w:t>
      </w:r>
      <w:r w:rsidRPr="00E13D0A">
        <w:rPr>
          <w:rFonts w:eastAsiaTheme="minorHAnsi" w:cs="Times New Roman"/>
          <w:szCs w:val="24"/>
          <w:lang w:val="fr-CA"/>
        </w:rPr>
        <w:t>88.</w:t>
      </w:r>
    </w:p>
    <w:p w:rsidR="00065721" w:rsidRPr="00E13D0A" w:rsidRDefault="00065721" w:rsidP="00926B45">
      <w:pPr>
        <w:pStyle w:val="ParaNoNdepar-AltN"/>
        <w:widowControl w:val="0"/>
        <w:rPr>
          <w:rFonts w:cs="Times New Roman"/>
          <w:lang w:val="fr-CA"/>
        </w:rPr>
      </w:pPr>
      <w:r w:rsidRPr="00E13D0A">
        <w:rPr>
          <w:rFonts w:cs="Times New Roman"/>
          <w:lang w:val="fr-CA"/>
        </w:rPr>
        <w:t>Les conséquences ne sont pas non plus véritablement pénales. Bien qu</w:t>
      </w:r>
      <w:r>
        <w:rPr>
          <w:rFonts w:cs="Times New Roman"/>
          <w:lang w:val="fr-CA"/>
        </w:rPr>
        <w:t>’</w:t>
      </w:r>
      <w:r w:rsidRPr="00E13D0A">
        <w:rPr>
          <w:rFonts w:cs="Times New Roman"/>
          <w:lang w:val="fr-CA"/>
        </w:rPr>
        <w:t>une suspension de 90 jours représente une conséquence importante pour quiconque viole un régime de permis, et que l</w:t>
      </w:r>
      <w:r>
        <w:rPr>
          <w:rFonts w:cs="Times New Roman"/>
          <w:lang w:val="fr-CA"/>
        </w:rPr>
        <w:t>’</w:t>
      </w:r>
      <w:r w:rsidRPr="00E13D0A">
        <w:rPr>
          <w:rFonts w:cs="Times New Roman"/>
          <w:lang w:val="fr-CA"/>
        </w:rPr>
        <w:t>imposition potentielle d</w:t>
      </w:r>
      <w:r>
        <w:rPr>
          <w:rFonts w:cs="Times New Roman"/>
          <w:lang w:val="fr-CA"/>
        </w:rPr>
        <w:t>’</w:t>
      </w:r>
      <w:r w:rsidRPr="00E13D0A">
        <w:rPr>
          <w:rFonts w:cs="Times New Roman"/>
          <w:lang w:val="fr-CA"/>
        </w:rPr>
        <w:t>environ 4 000</w:t>
      </w:r>
      <w:r>
        <w:rPr>
          <w:rFonts w:cs="Times New Roman"/>
          <w:lang w:val="fr-CA"/>
        </w:rPr>
        <w:t> $</w:t>
      </w:r>
      <w:r w:rsidRPr="00E13D0A">
        <w:rPr>
          <w:rFonts w:cs="Times New Roman"/>
          <w:lang w:val="fr-CA"/>
        </w:rPr>
        <w:t xml:space="preserve"> en frais et sanctions soit sévère, ces conséquences ne sont pas suffisantes pour mettre en jeu les droits à un procès équitable consacrés à l</w:t>
      </w:r>
      <w:r>
        <w:rPr>
          <w:rFonts w:cs="Times New Roman"/>
          <w:lang w:val="fr-CA"/>
        </w:rPr>
        <w:t>’art. </w:t>
      </w:r>
      <w:r w:rsidRPr="00E13D0A">
        <w:rPr>
          <w:rFonts w:cs="Times New Roman"/>
          <w:lang w:val="fr-CA"/>
        </w:rPr>
        <w:t>11 — des droits qui, après tout, sont parmi les plus fondamentaux de notre système juridique. Je signale que des sanctions pécuniaires bien plus sévères que celles en cause dans la présente affaire n</w:t>
      </w:r>
      <w:r>
        <w:rPr>
          <w:rFonts w:cs="Times New Roman"/>
          <w:lang w:val="fr-CA"/>
        </w:rPr>
        <w:t>’</w:t>
      </w:r>
      <w:r w:rsidRPr="00E13D0A">
        <w:rPr>
          <w:rFonts w:cs="Times New Roman"/>
          <w:lang w:val="fr-CA"/>
        </w:rPr>
        <w:t>ont pas été considérées comme de véritables conséquences pénales</w:t>
      </w:r>
      <w:r>
        <w:rPr>
          <w:rFonts w:cs="Times New Roman"/>
          <w:lang w:val="fr-CA"/>
        </w:rPr>
        <w:t> :</w:t>
      </w:r>
      <w:r w:rsidRPr="00E13D0A">
        <w:rPr>
          <w:rFonts w:cs="Times New Roman"/>
          <w:lang w:val="fr-CA"/>
        </w:rPr>
        <w:t xml:space="preserve"> voir, </w:t>
      </w:r>
      <w:r>
        <w:rPr>
          <w:rFonts w:cs="Times New Roman"/>
          <w:lang w:val="fr-CA"/>
        </w:rPr>
        <w:t>p. </w:t>
      </w:r>
      <w:r w:rsidRPr="00E13D0A">
        <w:rPr>
          <w:rFonts w:cs="Times New Roman"/>
          <w:lang w:val="fr-CA"/>
        </w:rPr>
        <w:t xml:space="preserve">ex., </w:t>
      </w:r>
      <w:r w:rsidRPr="00E13D0A">
        <w:rPr>
          <w:rFonts w:cs="Times New Roman"/>
          <w:i/>
          <w:lang w:val="fr-CA"/>
        </w:rPr>
        <w:t>Rowan c. Ontario Securities Commission</w:t>
      </w:r>
      <w:r w:rsidRPr="00E13D0A">
        <w:rPr>
          <w:rFonts w:cs="Times New Roman"/>
          <w:lang w:val="fr-CA"/>
        </w:rPr>
        <w:t xml:space="preserve">, 2012 ONCA 208, 110 O.R. (3d) 492; </w:t>
      </w:r>
      <w:r w:rsidR="007D4663" w:rsidRPr="00E13D0A">
        <w:rPr>
          <w:rFonts w:cs="Times New Roman"/>
          <w:i/>
          <w:lang w:val="fr-CA"/>
        </w:rPr>
        <w:t>United States Steel Corp</w:t>
      </w:r>
      <w:r w:rsidR="007D4663" w:rsidRPr="00E13D0A">
        <w:rPr>
          <w:rFonts w:cs="Times New Roman"/>
          <w:lang w:val="fr-CA"/>
        </w:rPr>
        <w:t>.</w:t>
      </w:r>
      <w:r w:rsidRPr="00E13D0A">
        <w:rPr>
          <w:rFonts w:cs="Times New Roman"/>
          <w:i/>
          <w:lang w:val="fr-CA"/>
        </w:rPr>
        <w:t xml:space="preserve"> c.</w:t>
      </w:r>
      <w:r w:rsidR="007D4663">
        <w:rPr>
          <w:rFonts w:cs="Times New Roman"/>
          <w:i/>
          <w:lang w:val="fr-CA"/>
        </w:rPr>
        <w:t xml:space="preserve"> </w:t>
      </w:r>
      <w:r w:rsidR="007D4663" w:rsidRPr="00E13D0A">
        <w:rPr>
          <w:rFonts w:cs="Times New Roman"/>
          <w:i/>
          <w:lang w:val="fr-CA"/>
        </w:rPr>
        <w:t>Canada (Procureur général)</w:t>
      </w:r>
      <w:r w:rsidRPr="00E13D0A">
        <w:rPr>
          <w:rFonts w:cs="Times New Roman"/>
          <w:lang w:val="fr-CA"/>
        </w:rPr>
        <w:t xml:space="preserve">, 2011 CAF 176; </w:t>
      </w:r>
      <w:r w:rsidRPr="00E13D0A">
        <w:rPr>
          <w:rFonts w:cs="Times New Roman"/>
          <w:i/>
          <w:lang w:val="fr-CA"/>
        </w:rPr>
        <w:t>Lavallee c. Alberta Securities Commission</w:t>
      </w:r>
      <w:r w:rsidRPr="00E13D0A">
        <w:rPr>
          <w:rFonts w:cs="Times New Roman"/>
          <w:lang w:val="fr-CA"/>
        </w:rPr>
        <w:t>, 2010 ABCA 48, 474 A.R. 295.</w:t>
      </w:r>
    </w:p>
    <w:p w:rsidR="00065721" w:rsidRPr="00E13D0A" w:rsidRDefault="00065721" w:rsidP="00926B45">
      <w:pPr>
        <w:pStyle w:val="ParaNoNdepar-AltN"/>
        <w:widowControl w:val="0"/>
        <w:rPr>
          <w:rFonts w:cs="Times New Roman"/>
          <w:lang w:val="fr-CA"/>
        </w:rPr>
      </w:pPr>
      <w:r w:rsidRPr="00E13D0A">
        <w:rPr>
          <w:rFonts w:cs="Times New Roman"/>
          <w:lang w:val="fr-CA"/>
        </w:rPr>
        <w:t>Bien entendu, la question de savoir si de telles pénalités sont assimilables à des conséquences pénales doit être évaluée à l</w:t>
      </w:r>
      <w:r>
        <w:rPr>
          <w:rFonts w:cs="Times New Roman"/>
          <w:lang w:val="fr-CA"/>
        </w:rPr>
        <w:t>’</w:t>
      </w:r>
      <w:r w:rsidRPr="00E13D0A">
        <w:rPr>
          <w:rFonts w:cs="Times New Roman"/>
          <w:lang w:val="fr-CA"/>
        </w:rPr>
        <w:t>aune du comportement en cause et de l</w:t>
      </w:r>
      <w:r>
        <w:rPr>
          <w:rFonts w:cs="Times New Roman"/>
          <w:lang w:val="fr-CA"/>
        </w:rPr>
        <w:t>’</w:t>
      </w:r>
      <w:r w:rsidRPr="00E13D0A">
        <w:rPr>
          <w:rFonts w:cs="Times New Roman"/>
          <w:lang w:val="fr-CA"/>
        </w:rPr>
        <w:t>objectif de réglementation. L</w:t>
      </w:r>
      <w:r>
        <w:rPr>
          <w:rFonts w:cs="Times New Roman"/>
          <w:lang w:val="fr-CA"/>
        </w:rPr>
        <w:t>’</w:t>
      </w:r>
      <w:r w:rsidRPr="00E13D0A">
        <w:rPr>
          <w:rFonts w:cs="Times New Roman"/>
          <w:lang w:val="fr-CA"/>
        </w:rPr>
        <w:t>interdiction de conduire se rapporte directemen</w:t>
      </w:r>
      <w:r w:rsidR="007D4663">
        <w:rPr>
          <w:rFonts w:cs="Times New Roman"/>
          <w:lang w:val="fr-CA"/>
        </w:rPr>
        <w:t>t aux modalités et conditions ré</w:t>
      </w:r>
      <w:r w:rsidRPr="00E13D0A">
        <w:rPr>
          <w:rFonts w:cs="Times New Roman"/>
          <w:lang w:val="fr-CA"/>
        </w:rPr>
        <w:t>glementaires selon lesquelles une personne peut être autorisée à conduire. La saisie de véhicule est directement liée à l</w:t>
      </w:r>
      <w:r>
        <w:rPr>
          <w:rFonts w:cs="Times New Roman"/>
          <w:lang w:val="fr-CA"/>
        </w:rPr>
        <w:t>’</w:t>
      </w:r>
      <w:r w:rsidRPr="00E13D0A">
        <w:rPr>
          <w:rFonts w:cs="Times New Roman"/>
          <w:lang w:val="fr-CA"/>
        </w:rPr>
        <w:t xml:space="preserve">objectif de débarrasser la route de certains conducteurs, et les conducteurs peuvent présenter une demande de révision </w:t>
      </w:r>
      <w:r w:rsidRPr="00E13D0A">
        <w:rPr>
          <w:rFonts w:cs="Times New Roman"/>
          <w:lang w:val="fr-CA"/>
        </w:rPr>
        <w:lastRenderedPageBreak/>
        <w:t>au Surintendant, notamment pour des motifs de compassion et de difficultés financières</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art. </w:t>
      </w:r>
      <w:r w:rsidRPr="00E13D0A">
        <w:rPr>
          <w:rFonts w:cs="Times New Roman"/>
          <w:lang w:val="fr-CA"/>
        </w:rPr>
        <w:t>262 et 263. L</w:t>
      </w:r>
      <w:r>
        <w:rPr>
          <w:rFonts w:cs="Times New Roman"/>
          <w:lang w:val="fr-CA"/>
        </w:rPr>
        <w:t>’</w:t>
      </w:r>
      <w:r w:rsidRPr="00E13D0A">
        <w:rPr>
          <w:rFonts w:cs="Times New Roman"/>
          <w:lang w:val="fr-CA"/>
        </w:rPr>
        <w:t>amende est plafonnée à 500</w:t>
      </w:r>
      <w:r>
        <w:rPr>
          <w:rFonts w:cs="Times New Roman"/>
          <w:lang w:val="fr-CA"/>
        </w:rPr>
        <w:t> $ :</w:t>
      </w:r>
      <w:r w:rsidRPr="00E13D0A">
        <w:rPr>
          <w:rFonts w:cs="Times New Roman"/>
          <w:lang w:val="fr-CA"/>
        </w:rPr>
        <w:t xml:space="preserve"> </w:t>
      </w:r>
      <w:r w:rsidRPr="00E13D0A">
        <w:rPr>
          <w:rFonts w:cs="Times New Roman"/>
          <w:i/>
          <w:lang w:val="fr-CA"/>
        </w:rPr>
        <w:t>Motor Vehicle Act Regulations</w:t>
      </w:r>
      <w:r w:rsidRPr="00E13D0A">
        <w:rPr>
          <w:rFonts w:cs="Times New Roman"/>
          <w:lang w:val="fr-CA"/>
        </w:rPr>
        <w:t xml:space="preserve">, B.C. Reg. 26/58, </w:t>
      </w:r>
      <w:r>
        <w:rPr>
          <w:rFonts w:cs="Times New Roman"/>
          <w:lang w:val="fr-CA"/>
        </w:rPr>
        <w:t>art. </w:t>
      </w:r>
      <w:r w:rsidRPr="00E13D0A">
        <w:rPr>
          <w:rFonts w:cs="Times New Roman"/>
          <w:lang w:val="fr-CA"/>
        </w:rPr>
        <w:t>43.09. Les autres frais sont liés aux divers programmes correctifs, y compris l</w:t>
      </w:r>
      <w:r>
        <w:rPr>
          <w:rFonts w:cs="Times New Roman"/>
          <w:lang w:val="fr-CA"/>
        </w:rPr>
        <w:t>’</w:t>
      </w:r>
      <w:r w:rsidRPr="00E13D0A">
        <w:rPr>
          <w:rFonts w:cs="Times New Roman"/>
          <w:lang w:val="fr-CA"/>
        </w:rPr>
        <w:t>installation d</w:t>
      </w:r>
      <w:r>
        <w:rPr>
          <w:rFonts w:cs="Times New Roman"/>
          <w:lang w:val="fr-CA"/>
        </w:rPr>
        <w:t>’</w:t>
      </w:r>
      <w:r w:rsidRPr="00E13D0A">
        <w:rPr>
          <w:rFonts w:cs="Times New Roman"/>
          <w:lang w:val="fr-CA"/>
        </w:rPr>
        <w:t>un antidémarreur, et ils sont accessoires à l</w:t>
      </w:r>
      <w:r>
        <w:rPr>
          <w:rFonts w:cs="Times New Roman"/>
          <w:lang w:val="fr-CA"/>
        </w:rPr>
        <w:t>’</w:t>
      </w:r>
      <w:r w:rsidRPr="00E13D0A">
        <w:rPr>
          <w:rFonts w:cs="Times New Roman"/>
          <w:lang w:val="fr-CA"/>
        </w:rPr>
        <w:t>objectif du régime qui consiste à chasser certains conducteurs et véhicules de la route. On peut difficilement considérer ces frais comme étant d</w:t>
      </w:r>
      <w:r>
        <w:rPr>
          <w:rFonts w:cs="Times New Roman"/>
          <w:lang w:val="fr-CA"/>
        </w:rPr>
        <w:t>’</w:t>
      </w:r>
      <w:r w:rsidRPr="00E13D0A">
        <w:rPr>
          <w:rFonts w:cs="Times New Roman"/>
          <w:lang w:val="fr-CA"/>
        </w:rPr>
        <w:t>ordre pénal, surtout à la lumière de l</w:t>
      </w:r>
      <w:r>
        <w:rPr>
          <w:rFonts w:cs="Times New Roman"/>
          <w:lang w:val="fr-CA"/>
        </w:rPr>
        <w:t>’</w:t>
      </w:r>
      <w:r w:rsidRPr="00E13D0A">
        <w:rPr>
          <w:rFonts w:cs="Times New Roman"/>
          <w:lang w:val="fr-CA"/>
        </w:rPr>
        <w:t>intérêt du public à ce qu</w:t>
      </w:r>
      <w:r>
        <w:rPr>
          <w:rFonts w:cs="Times New Roman"/>
          <w:lang w:val="fr-CA"/>
        </w:rPr>
        <w:t>’</w:t>
      </w:r>
      <w:r w:rsidRPr="00E13D0A">
        <w:rPr>
          <w:rFonts w:cs="Times New Roman"/>
          <w:lang w:val="fr-CA"/>
        </w:rPr>
        <w:t>un conducteur en état d</w:t>
      </w:r>
      <w:r>
        <w:rPr>
          <w:rFonts w:cs="Times New Roman"/>
          <w:lang w:val="fr-CA"/>
        </w:rPr>
        <w:t>’</w:t>
      </w:r>
      <w:r w:rsidRPr="00E13D0A">
        <w:rPr>
          <w:rFonts w:cs="Times New Roman"/>
          <w:lang w:val="fr-CA"/>
        </w:rPr>
        <w:t xml:space="preserve">ébriété, une fois identifié, ne puisse pas prendre la route. </w:t>
      </w:r>
    </w:p>
    <w:p w:rsidR="00065721" w:rsidRPr="00E13D0A" w:rsidRDefault="00065721" w:rsidP="00926B45">
      <w:pPr>
        <w:pStyle w:val="ParaNoNdepar-AltN"/>
        <w:widowControl w:val="0"/>
        <w:rPr>
          <w:rFonts w:eastAsiaTheme="minorHAnsi" w:cs="Times New Roman"/>
          <w:i/>
          <w:lang w:val="fr-CA"/>
        </w:rPr>
      </w:pPr>
      <w:r w:rsidRPr="00E13D0A">
        <w:rPr>
          <w:rFonts w:cs="Times New Roman"/>
          <w:lang w:val="fr-CA"/>
        </w:rPr>
        <w:t xml:space="preserve">En somme, le RIAC ne crée pas une infraction visée </w:t>
      </w:r>
      <w:r>
        <w:rPr>
          <w:rFonts w:cs="Times New Roman"/>
          <w:lang w:val="fr-CA"/>
        </w:rPr>
        <w:t>par</w:t>
      </w:r>
      <w:r w:rsidRPr="00E13D0A">
        <w:rPr>
          <w:rFonts w:cs="Times New Roman"/>
          <w:lang w:val="fr-CA"/>
        </w:rPr>
        <w:t xml:space="preserve"> l</w:t>
      </w:r>
      <w:r>
        <w:rPr>
          <w:rFonts w:cs="Times New Roman"/>
          <w:lang w:val="fr-CA"/>
        </w:rPr>
        <w:t>’art. </w:t>
      </w:r>
      <w:r w:rsidRPr="00E13D0A">
        <w:rPr>
          <w:rFonts w:cs="Times New Roman"/>
          <w:lang w:val="fr-CA"/>
        </w:rPr>
        <w:t xml:space="preserve">11 de la </w:t>
      </w:r>
      <w:r w:rsidRPr="00E13D0A">
        <w:rPr>
          <w:rFonts w:cs="Times New Roman"/>
          <w:i/>
          <w:lang w:val="fr-CA"/>
        </w:rPr>
        <w:t>Charte</w:t>
      </w:r>
      <w:r w:rsidRPr="00E13D0A">
        <w:rPr>
          <w:rFonts w:cs="Times New Roman"/>
          <w:lang w:val="fr-CA"/>
        </w:rPr>
        <w:t>. Par conséquent, les mesures de protection de l</w:t>
      </w:r>
      <w:r>
        <w:rPr>
          <w:rFonts w:cs="Times New Roman"/>
          <w:lang w:val="fr-CA"/>
        </w:rPr>
        <w:t>’art. </w:t>
      </w:r>
      <w:r w:rsidRPr="00E13D0A">
        <w:rPr>
          <w:rFonts w:cs="Times New Roman"/>
          <w:lang w:val="fr-CA"/>
        </w:rPr>
        <w:t>11 n</w:t>
      </w:r>
      <w:r>
        <w:rPr>
          <w:rFonts w:cs="Times New Roman"/>
          <w:lang w:val="fr-CA"/>
        </w:rPr>
        <w:t>’</w:t>
      </w:r>
      <w:r w:rsidRPr="00E13D0A">
        <w:rPr>
          <w:rFonts w:cs="Times New Roman"/>
          <w:lang w:val="fr-CA"/>
        </w:rPr>
        <w:t>entrent pas en jeu en l</w:t>
      </w:r>
      <w:r>
        <w:rPr>
          <w:rFonts w:cs="Times New Roman"/>
          <w:lang w:val="fr-CA"/>
        </w:rPr>
        <w:t>’</w:t>
      </w:r>
      <w:r w:rsidRPr="00E13D0A">
        <w:rPr>
          <w:rFonts w:cs="Times New Roman"/>
          <w:lang w:val="fr-CA"/>
        </w:rPr>
        <w:t>espèce.</w:t>
      </w:r>
    </w:p>
    <w:p w:rsidR="00065721" w:rsidRPr="00E13D0A" w:rsidRDefault="00065721" w:rsidP="00926B45">
      <w:pPr>
        <w:pStyle w:val="Title2LevelTitre2Niveau"/>
        <w:widowControl w:val="0"/>
        <w:rPr>
          <w:rFonts w:cs="Times New Roman"/>
          <w:lang w:val="fr-CA"/>
        </w:rPr>
      </w:pPr>
      <w:r w:rsidRPr="00E13D0A">
        <w:rPr>
          <w:rFonts w:cs="Times New Roman"/>
          <w:lang w:val="fr-CA"/>
        </w:rPr>
        <w:t>Le RIAC porte</w:t>
      </w:r>
      <w:r>
        <w:rPr>
          <w:rFonts w:cs="Times New Roman"/>
          <w:lang w:val="fr-CA"/>
        </w:rPr>
        <w:noBreakHyphen/>
      </w:r>
      <w:r w:rsidRPr="00E13D0A">
        <w:rPr>
          <w:rFonts w:cs="Times New Roman"/>
          <w:lang w:val="fr-CA"/>
        </w:rPr>
        <w:t>t</w:t>
      </w:r>
      <w:r>
        <w:rPr>
          <w:rFonts w:cs="Times New Roman"/>
          <w:lang w:val="fr-CA"/>
        </w:rPr>
        <w:noBreakHyphen/>
      </w:r>
      <w:r w:rsidRPr="00E13D0A">
        <w:rPr>
          <w:rFonts w:cs="Times New Roman"/>
          <w:lang w:val="fr-CA"/>
        </w:rPr>
        <w:t>il atteinte à l</w:t>
      </w:r>
      <w:r>
        <w:rPr>
          <w:rFonts w:cs="Times New Roman"/>
          <w:lang w:val="fr-CA"/>
        </w:rPr>
        <w:t>’</w:t>
      </w:r>
      <w:r w:rsidRPr="00E13D0A">
        <w:rPr>
          <w:rFonts w:cs="Times New Roman"/>
          <w:lang w:val="fr-CA"/>
        </w:rPr>
        <w:t>art</w:t>
      </w:r>
      <w:r w:rsidR="00096FDF">
        <w:rPr>
          <w:rFonts w:cs="Times New Roman"/>
          <w:lang w:val="fr-CA"/>
        </w:rPr>
        <w:t xml:space="preserve">. </w:t>
      </w:r>
      <w:r w:rsidRPr="00E13D0A">
        <w:rPr>
          <w:rFonts w:cs="Times New Roman"/>
          <w:lang w:val="fr-CA"/>
        </w:rPr>
        <w:t>8 de la Charte?</w:t>
      </w:r>
    </w:p>
    <w:p w:rsidR="00065721" w:rsidRPr="00E13D0A" w:rsidRDefault="00065721" w:rsidP="00926B45">
      <w:pPr>
        <w:pStyle w:val="ParaNoNdepar-AltN"/>
        <w:widowControl w:val="0"/>
        <w:rPr>
          <w:rFonts w:eastAsiaTheme="minorHAnsi" w:cs="Times New Roman"/>
          <w:u w:val="single"/>
          <w:lang w:val="fr-CA"/>
        </w:rPr>
      </w:pPr>
      <w:r w:rsidRPr="00E13D0A">
        <w:rPr>
          <w:rFonts w:cs="Times New Roman"/>
          <w:lang w:val="fr-CA"/>
        </w:rPr>
        <w:t>L</w:t>
      </w:r>
      <w:r>
        <w:rPr>
          <w:rFonts w:cs="Times New Roman"/>
          <w:lang w:val="fr-CA"/>
        </w:rPr>
        <w:t>’</w:t>
      </w:r>
      <w:r w:rsidRPr="00E13D0A">
        <w:rPr>
          <w:rFonts w:cs="Times New Roman"/>
          <w:lang w:val="fr-CA"/>
        </w:rPr>
        <w:t xml:space="preserve">article 8 de la </w:t>
      </w:r>
      <w:r w:rsidRPr="00E13D0A">
        <w:rPr>
          <w:rFonts w:cs="Times New Roman"/>
          <w:i/>
          <w:lang w:val="fr-CA"/>
        </w:rPr>
        <w:t xml:space="preserve">Charte </w:t>
      </w:r>
      <w:r w:rsidRPr="00E13D0A">
        <w:rPr>
          <w:rFonts w:cs="Times New Roman"/>
          <w:lang w:val="fr-CA"/>
        </w:rPr>
        <w:t>prévoit que « [c]hacun a droit à la protection contre les fouilles, les perquisitions ou les saisies abusives</w:t>
      </w:r>
      <w:r w:rsidR="00616693">
        <w:rPr>
          <w:rFonts w:cs="Times New Roman"/>
          <w:lang w:val="fr-CA"/>
        </w:rPr>
        <w:t>. »</w:t>
      </w:r>
      <w:r w:rsidRPr="00E13D0A">
        <w:rPr>
          <w:rFonts w:cs="Times New Roman"/>
          <w:lang w:val="fr-CA"/>
        </w:rPr>
        <w:t xml:space="preserve"> Ce droit entre en jeu lorsque l</w:t>
      </w:r>
      <w:r>
        <w:rPr>
          <w:rFonts w:cs="Times New Roman"/>
          <w:lang w:val="fr-CA"/>
        </w:rPr>
        <w:t>’</w:t>
      </w:r>
      <w:r w:rsidRPr="00E13D0A">
        <w:rPr>
          <w:rFonts w:cs="Times New Roman"/>
          <w:lang w:val="fr-CA"/>
        </w:rPr>
        <w:t>État fait une fouille, une perquisition ou une saisie qui porte atteinte à l</w:t>
      </w:r>
      <w:r>
        <w:rPr>
          <w:rFonts w:cs="Times New Roman"/>
          <w:lang w:val="fr-CA"/>
        </w:rPr>
        <w:t>’</w:t>
      </w:r>
      <w:r w:rsidRPr="00E13D0A">
        <w:rPr>
          <w:rFonts w:cs="Times New Roman"/>
          <w:lang w:val="fr-CA"/>
        </w:rPr>
        <w:t>attente raisonnable d</w:t>
      </w:r>
      <w:r>
        <w:rPr>
          <w:rFonts w:cs="Times New Roman"/>
          <w:lang w:val="fr-CA"/>
        </w:rPr>
        <w:t>’</w:t>
      </w:r>
      <w:r w:rsidRPr="00E13D0A">
        <w:rPr>
          <w:rFonts w:cs="Times New Roman"/>
          <w:lang w:val="fr-CA"/>
        </w:rPr>
        <w:t>une personne en matière de vie privée. L</w:t>
      </w:r>
      <w:r>
        <w:rPr>
          <w:rFonts w:cs="Times New Roman"/>
          <w:lang w:val="fr-CA"/>
        </w:rPr>
        <w:t>’</w:t>
      </w:r>
      <w:r w:rsidRPr="00E13D0A">
        <w:rPr>
          <w:rFonts w:cs="Times New Roman"/>
          <w:lang w:val="fr-CA"/>
        </w:rPr>
        <w:t>attente en matière de vie privée est un concept normatif qui reflète le niveau de protection de la vie privée auquel nous devrions, en tant que société, raisonnablement nous attendre dans une situation donnée</w:t>
      </w:r>
      <w:r>
        <w:rPr>
          <w:rFonts w:cs="Times New Roman"/>
          <w:lang w:val="fr-CA"/>
        </w:rPr>
        <w:t> :</w:t>
      </w:r>
      <w:r w:rsidRPr="00E13D0A">
        <w:rPr>
          <w:rFonts w:cs="Times New Roman"/>
          <w:lang w:val="fr-CA"/>
        </w:rPr>
        <w:t xml:space="preserve"> </w:t>
      </w:r>
      <w:r w:rsidRPr="00E13D0A">
        <w:rPr>
          <w:rFonts w:cs="Times New Roman"/>
          <w:i/>
          <w:lang w:val="fr-CA"/>
        </w:rPr>
        <w:t>R. c. Quesnelle</w:t>
      </w:r>
      <w:r w:rsidRPr="00E13D0A">
        <w:rPr>
          <w:rFonts w:cs="Times New Roman"/>
          <w:lang w:val="fr-CA"/>
        </w:rPr>
        <w:t xml:space="preserve">, 2014 CSC 46, [2014] 2 R.C.S. 390, </w:t>
      </w:r>
      <w:r>
        <w:rPr>
          <w:rFonts w:cs="Times New Roman"/>
          <w:lang w:val="fr-CA"/>
        </w:rPr>
        <w:t>par. </w:t>
      </w:r>
      <w:r w:rsidRPr="00E13D0A">
        <w:rPr>
          <w:rFonts w:cs="Times New Roman"/>
          <w:lang w:val="fr-CA"/>
        </w:rPr>
        <w:t xml:space="preserve">44; </w:t>
      </w:r>
      <w:r w:rsidRPr="00E13D0A">
        <w:rPr>
          <w:rFonts w:cs="Times New Roman"/>
          <w:i/>
          <w:lang w:val="fr-CA"/>
        </w:rPr>
        <w:t>R. c. Tessling</w:t>
      </w:r>
      <w:r w:rsidRPr="00E13D0A">
        <w:rPr>
          <w:rFonts w:cs="Times New Roman"/>
          <w:lang w:val="fr-CA"/>
        </w:rPr>
        <w:t xml:space="preserve">, 2004 CSC 67, [2004] 3 R.C.S. 432, </w:t>
      </w:r>
      <w:r>
        <w:rPr>
          <w:rFonts w:cs="Times New Roman"/>
          <w:lang w:val="fr-CA"/>
        </w:rPr>
        <w:t>par. </w:t>
      </w:r>
      <w:r w:rsidRPr="00E13D0A">
        <w:rPr>
          <w:rFonts w:cs="Times New Roman"/>
          <w:lang w:val="fr-CA"/>
        </w:rPr>
        <w:t>42. Il ne s</w:t>
      </w:r>
      <w:r>
        <w:rPr>
          <w:rFonts w:cs="Times New Roman"/>
          <w:lang w:val="fr-CA"/>
        </w:rPr>
        <w:t>’</w:t>
      </w:r>
      <w:r w:rsidRPr="00E13D0A">
        <w:rPr>
          <w:rFonts w:cs="Times New Roman"/>
          <w:lang w:val="fr-CA"/>
        </w:rPr>
        <w:t>agit pas simplement du degré de protection de la vie privée auquel un particulier peut s</w:t>
      </w:r>
      <w:r>
        <w:rPr>
          <w:rFonts w:cs="Times New Roman"/>
          <w:lang w:val="fr-CA"/>
        </w:rPr>
        <w:t>’</w:t>
      </w:r>
      <w:r w:rsidRPr="00E13D0A">
        <w:rPr>
          <w:rFonts w:cs="Times New Roman"/>
          <w:lang w:val="fr-CA"/>
        </w:rPr>
        <w:t xml:space="preserve">attendre ou dont il peut jouir à </w:t>
      </w:r>
      <w:r w:rsidRPr="00E13D0A">
        <w:rPr>
          <w:rFonts w:cs="Times New Roman"/>
          <w:lang w:val="fr-CA"/>
        </w:rPr>
        <w:lastRenderedPageBreak/>
        <w:t>l</w:t>
      </w:r>
      <w:r>
        <w:rPr>
          <w:rFonts w:cs="Times New Roman"/>
          <w:lang w:val="fr-CA"/>
        </w:rPr>
        <w:t>’</w:t>
      </w:r>
      <w:r w:rsidRPr="00E13D0A">
        <w:rPr>
          <w:rFonts w:cs="Times New Roman"/>
          <w:lang w:val="fr-CA"/>
        </w:rPr>
        <w:t>égard de sa personne, de son espace ou de ses biens. Lorsqu</w:t>
      </w:r>
      <w:r>
        <w:rPr>
          <w:rFonts w:cs="Times New Roman"/>
          <w:lang w:val="fr-CA"/>
        </w:rPr>
        <w:t>’</w:t>
      </w:r>
      <w:r w:rsidRPr="00E13D0A">
        <w:rPr>
          <w:rFonts w:cs="Times New Roman"/>
          <w:lang w:val="fr-CA"/>
        </w:rPr>
        <w:t>une fouille, une perquisition ou une saisie met en jeu la protection de l</w:t>
      </w:r>
      <w:r>
        <w:rPr>
          <w:rFonts w:cs="Times New Roman"/>
          <w:lang w:val="fr-CA"/>
        </w:rPr>
        <w:t>’art. </w:t>
      </w:r>
      <w:r w:rsidRPr="00E13D0A">
        <w:rPr>
          <w:rFonts w:cs="Times New Roman"/>
          <w:lang w:val="fr-CA"/>
        </w:rPr>
        <w:t xml:space="preserve">8, la cour de révision doit décider si la fouille, la perquisition ou la saisie est raisonnable. À cet égard, </w:t>
      </w:r>
      <w:r w:rsidR="005C6A68">
        <w:rPr>
          <w:rFonts w:cs="Times New Roman"/>
          <w:lang w:val="fr-CA"/>
        </w:rPr>
        <w:t>(</w:t>
      </w:r>
      <w:r w:rsidRPr="00E13D0A">
        <w:rPr>
          <w:rFonts w:cs="Times New Roman"/>
          <w:lang w:val="fr-CA"/>
        </w:rPr>
        <w:t xml:space="preserve">1) la fouille, perquisition ou saisie doit être autorisée par la loi; </w:t>
      </w:r>
      <w:r w:rsidR="005C6A68">
        <w:rPr>
          <w:rFonts w:cs="Times New Roman"/>
          <w:lang w:val="fr-CA"/>
        </w:rPr>
        <w:t>(</w:t>
      </w:r>
      <w:r w:rsidRPr="00E13D0A">
        <w:rPr>
          <w:rFonts w:cs="Times New Roman"/>
          <w:lang w:val="fr-CA"/>
        </w:rPr>
        <w:t>2) la loi elle</w:t>
      </w:r>
      <w:r>
        <w:rPr>
          <w:rFonts w:cs="Times New Roman"/>
          <w:lang w:val="fr-CA"/>
        </w:rPr>
        <w:noBreakHyphen/>
      </w:r>
      <w:r w:rsidRPr="00E13D0A">
        <w:rPr>
          <w:rFonts w:cs="Times New Roman"/>
          <w:lang w:val="fr-CA"/>
        </w:rPr>
        <w:t>même doit n</w:t>
      </w:r>
      <w:r>
        <w:rPr>
          <w:rFonts w:cs="Times New Roman"/>
          <w:lang w:val="fr-CA"/>
        </w:rPr>
        <w:t>’</w:t>
      </w:r>
      <w:r w:rsidRPr="00E13D0A">
        <w:rPr>
          <w:rFonts w:cs="Times New Roman"/>
          <w:lang w:val="fr-CA"/>
        </w:rPr>
        <w:t>avoir rien d</w:t>
      </w:r>
      <w:r>
        <w:rPr>
          <w:rFonts w:cs="Times New Roman"/>
          <w:lang w:val="fr-CA"/>
        </w:rPr>
        <w:t>’</w:t>
      </w:r>
      <w:r w:rsidRPr="00E13D0A">
        <w:rPr>
          <w:rFonts w:cs="Times New Roman"/>
          <w:lang w:val="fr-CA"/>
        </w:rPr>
        <w:t xml:space="preserve">abusif; </w:t>
      </w:r>
      <w:r w:rsidR="005C6A68">
        <w:rPr>
          <w:rFonts w:cs="Times New Roman"/>
          <w:lang w:val="fr-CA"/>
        </w:rPr>
        <w:t>(</w:t>
      </w:r>
      <w:r w:rsidRPr="00E13D0A">
        <w:rPr>
          <w:rFonts w:cs="Times New Roman"/>
          <w:lang w:val="fr-CA"/>
        </w:rPr>
        <w:t>3) la fouille, perquisition ou saisie ne doit pas être effectuée d</w:t>
      </w:r>
      <w:r>
        <w:rPr>
          <w:rFonts w:cs="Times New Roman"/>
          <w:lang w:val="fr-CA"/>
        </w:rPr>
        <w:t>’</w:t>
      </w:r>
      <w:r w:rsidRPr="00E13D0A">
        <w:rPr>
          <w:rFonts w:cs="Times New Roman"/>
          <w:lang w:val="fr-CA"/>
        </w:rPr>
        <w:t>une manière abusive</w:t>
      </w:r>
      <w:r>
        <w:rPr>
          <w:rFonts w:cs="Times New Roman"/>
          <w:lang w:val="fr-CA"/>
        </w:rPr>
        <w:t> :</w:t>
      </w:r>
      <w:r w:rsidRPr="00E13D0A">
        <w:rPr>
          <w:rFonts w:cs="Times New Roman"/>
          <w:lang w:val="fr-CA"/>
        </w:rPr>
        <w:t xml:space="preserve"> </w:t>
      </w:r>
      <w:r w:rsidRPr="00E13D0A">
        <w:rPr>
          <w:rFonts w:cs="Times New Roman"/>
          <w:i/>
          <w:iCs/>
          <w:lang w:val="fr-CA"/>
        </w:rPr>
        <w:t>R. c.</w:t>
      </w:r>
      <w:r w:rsidRPr="00E13D0A">
        <w:rPr>
          <w:rFonts w:cs="Times New Roman"/>
          <w:lang w:val="fr-CA"/>
        </w:rPr>
        <w:t xml:space="preserve"> </w:t>
      </w:r>
      <w:r w:rsidRPr="00E13D0A">
        <w:rPr>
          <w:rFonts w:cs="Times New Roman"/>
          <w:i/>
          <w:iCs/>
          <w:lang w:val="fr-CA"/>
        </w:rPr>
        <w:t>Caslake</w:t>
      </w:r>
      <w:r w:rsidRPr="00E13D0A">
        <w:rPr>
          <w:rFonts w:cs="Times New Roman"/>
          <w:lang w:val="fr-CA"/>
        </w:rPr>
        <w:t xml:space="preserve">, [1998] 1 R.C.S. 51, </w:t>
      </w:r>
      <w:r>
        <w:rPr>
          <w:rFonts w:cs="Times New Roman"/>
          <w:lang w:val="fr-CA"/>
        </w:rPr>
        <w:t>par. </w:t>
      </w:r>
      <w:r w:rsidRPr="00E13D0A">
        <w:rPr>
          <w:rFonts w:cs="Times New Roman"/>
          <w:lang w:val="fr-CA"/>
        </w:rPr>
        <w:t xml:space="preserve">10; </w:t>
      </w:r>
      <w:r w:rsidRPr="00E13D0A">
        <w:rPr>
          <w:rFonts w:cs="Times New Roman"/>
          <w:i/>
          <w:iCs/>
          <w:lang w:val="fr-CA"/>
        </w:rPr>
        <w:t>R. c. Collins</w:t>
      </w:r>
      <w:r w:rsidRPr="00E13D0A">
        <w:rPr>
          <w:rFonts w:cs="Times New Roman"/>
          <w:lang w:val="fr-CA"/>
        </w:rPr>
        <w:t xml:space="preserve">, [1987] 1 R.C.S. 265, </w:t>
      </w:r>
      <w:r>
        <w:rPr>
          <w:rFonts w:cs="Times New Roman"/>
          <w:lang w:val="fr-CA"/>
        </w:rPr>
        <w:t>p. </w:t>
      </w:r>
      <w:r w:rsidRPr="00E13D0A">
        <w:rPr>
          <w:rFonts w:cs="Times New Roman"/>
          <w:lang w:val="fr-CA"/>
        </w:rPr>
        <w:t>278. On soutient que ni l</w:t>
      </w:r>
      <w:r>
        <w:rPr>
          <w:rFonts w:cs="Times New Roman"/>
          <w:lang w:val="fr-CA"/>
        </w:rPr>
        <w:t>’</w:t>
      </w:r>
      <w:r w:rsidRPr="00E13D0A">
        <w:rPr>
          <w:rFonts w:cs="Times New Roman"/>
          <w:lang w:val="fr-CA"/>
        </w:rPr>
        <w:t>une ni l</w:t>
      </w:r>
      <w:r>
        <w:rPr>
          <w:rFonts w:cs="Times New Roman"/>
          <w:lang w:val="fr-CA"/>
        </w:rPr>
        <w:t>’</w:t>
      </w:r>
      <w:r w:rsidRPr="00E13D0A">
        <w:rPr>
          <w:rFonts w:cs="Times New Roman"/>
          <w:lang w:val="fr-CA"/>
        </w:rPr>
        <w:t>autre des deux premières conditions n</w:t>
      </w:r>
      <w:r>
        <w:rPr>
          <w:rFonts w:cs="Times New Roman"/>
          <w:lang w:val="fr-CA"/>
        </w:rPr>
        <w:t>’</w:t>
      </w:r>
      <w:r w:rsidRPr="00E13D0A">
        <w:rPr>
          <w:rFonts w:cs="Times New Roman"/>
          <w:lang w:val="fr-CA"/>
        </w:rPr>
        <w:t>est remplie en l</w:t>
      </w:r>
      <w:r>
        <w:rPr>
          <w:rFonts w:cs="Times New Roman"/>
          <w:lang w:val="fr-CA"/>
        </w:rPr>
        <w:t>’</w:t>
      </w:r>
      <w:r w:rsidRPr="00E13D0A">
        <w:rPr>
          <w:rFonts w:cs="Times New Roman"/>
          <w:lang w:val="fr-CA"/>
        </w:rPr>
        <w:t>espèce.</w:t>
      </w:r>
    </w:p>
    <w:p w:rsidR="00065721" w:rsidRPr="00E13D0A" w:rsidRDefault="00065721" w:rsidP="00926B45">
      <w:pPr>
        <w:pStyle w:val="Title3LevelTitre3Niveau"/>
        <w:widowControl w:val="0"/>
        <w:rPr>
          <w:rFonts w:cs="Times New Roman"/>
          <w:lang w:val="fr-CA"/>
        </w:rPr>
      </w:pPr>
      <w:r w:rsidRPr="00E13D0A">
        <w:rPr>
          <w:rFonts w:cs="Times New Roman"/>
          <w:lang w:val="fr-CA"/>
        </w:rPr>
        <w:t>L</w:t>
      </w:r>
      <w:r>
        <w:rPr>
          <w:rFonts w:cs="Times New Roman"/>
          <w:lang w:val="fr-CA"/>
        </w:rPr>
        <w:t>’</w:t>
      </w:r>
      <w:r w:rsidRPr="00E13D0A">
        <w:rPr>
          <w:rFonts w:cs="Times New Roman"/>
          <w:lang w:val="fr-CA"/>
        </w:rPr>
        <w:t>article 8 entre</w:t>
      </w:r>
      <w:r>
        <w:rPr>
          <w:rFonts w:cs="Times New Roman"/>
          <w:lang w:val="fr-CA"/>
        </w:rPr>
        <w:noBreakHyphen/>
      </w:r>
      <w:r w:rsidRPr="00E13D0A">
        <w:rPr>
          <w:rFonts w:cs="Times New Roman"/>
          <w:lang w:val="fr-CA"/>
        </w:rPr>
        <w:t>t</w:t>
      </w:r>
      <w:r>
        <w:rPr>
          <w:rFonts w:cs="Times New Roman"/>
          <w:lang w:val="fr-CA"/>
        </w:rPr>
        <w:noBreakHyphen/>
      </w:r>
      <w:r w:rsidRPr="00E13D0A">
        <w:rPr>
          <w:rFonts w:cs="Times New Roman"/>
          <w:lang w:val="fr-CA"/>
        </w:rPr>
        <w:t>il en jeu?</w:t>
      </w:r>
    </w:p>
    <w:p w:rsidR="00065721" w:rsidRPr="00E13D0A" w:rsidRDefault="00065721" w:rsidP="00926B45">
      <w:pPr>
        <w:pStyle w:val="ParaNoNdepar-AltN"/>
        <w:widowControl w:val="0"/>
        <w:rPr>
          <w:rFonts w:cs="Times New Roman"/>
          <w:lang w:val="fr-CA"/>
        </w:rPr>
      </w:pPr>
      <w:r w:rsidRPr="00E13D0A">
        <w:rPr>
          <w:rFonts w:cs="Times New Roman"/>
          <w:lang w:val="fr-CA"/>
        </w:rPr>
        <w:t xml:space="preserve">Le paragraphe 215.41(3) de la </w:t>
      </w:r>
      <w:r w:rsidRPr="00E13D0A">
        <w:rPr>
          <w:rFonts w:cs="Times New Roman"/>
          <w:i/>
          <w:lang w:val="fr-CA"/>
        </w:rPr>
        <w:t xml:space="preserve">MVA </w:t>
      </w:r>
      <w:r w:rsidRPr="00E13D0A">
        <w:rPr>
          <w:rFonts w:cs="Times New Roman"/>
          <w:lang w:val="fr-CA"/>
        </w:rPr>
        <w:t>prévoyait à l</w:t>
      </w:r>
      <w:r>
        <w:rPr>
          <w:rFonts w:cs="Times New Roman"/>
          <w:lang w:val="fr-CA"/>
        </w:rPr>
        <w:t>’</w:t>
      </w:r>
      <w:r w:rsidRPr="00E13D0A">
        <w:rPr>
          <w:rFonts w:cs="Times New Roman"/>
          <w:lang w:val="fr-CA"/>
        </w:rPr>
        <w:t>époque</w:t>
      </w:r>
      <w:r>
        <w:rPr>
          <w:rFonts w:cs="Times New Roman"/>
          <w:lang w:val="fr-CA"/>
        </w:rPr>
        <w:t> :</w:t>
      </w:r>
    </w:p>
    <w:p w:rsidR="00065721" w:rsidRPr="00E13D0A" w:rsidRDefault="00065721" w:rsidP="00926B45">
      <w:pPr>
        <w:pStyle w:val="Citation-AltC"/>
        <w:widowControl w:val="0"/>
        <w:spacing w:after="240"/>
        <w:contextualSpacing w:val="0"/>
        <w:rPr>
          <w:lang w:val="fr-CA"/>
        </w:rPr>
      </w:pPr>
      <w:r w:rsidRPr="00E13D0A">
        <w:rPr>
          <w:lang w:val="fr-CA"/>
        </w:rPr>
        <w:t>[</w:t>
      </w:r>
      <w:r w:rsidRPr="00E13D0A">
        <w:rPr>
          <w:smallCaps/>
          <w:lang w:val="fr-CA"/>
        </w:rPr>
        <w:t>traduction</w:t>
      </w:r>
      <w:r w:rsidRPr="00E13D0A">
        <w:rPr>
          <w:lang w:val="fr-CA"/>
        </w:rPr>
        <w:t>]</w:t>
      </w:r>
    </w:p>
    <w:p w:rsidR="00065721" w:rsidRPr="00E13D0A" w:rsidRDefault="00065721" w:rsidP="00926B45">
      <w:pPr>
        <w:pStyle w:val="Citation-AltC"/>
        <w:widowControl w:val="0"/>
        <w:spacing w:after="240"/>
        <w:ind w:hanging="1166"/>
        <w:contextualSpacing w:val="0"/>
        <w:rPr>
          <w:lang w:val="fr-CA"/>
        </w:rPr>
      </w:pPr>
      <w:r w:rsidRPr="00E13D0A">
        <w:rPr>
          <w:lang w:val="fr-CA"/>
        </w:rPr>
        <w:tab/>
        <w:t>(3) Si, en tout temps ou en tout lieu sur une route ou une route industrielle</w:t>
      </w:r>
      <w:r>
        <w:rPr>
          <w:lang w:val="fr-CA"/>
        </w:rPr>
        <w:t> :</w:t>
      </w:r>
    </w:p>
    <w:p w:rsidR="00065721" w:rsidRPr="00E13D0A" w:rsidRDefault="00FA2921" w:rsidP="00926B45">
      <w:pPr>
        <w:pStyle w:val="Citation-AltC"/>
        <w:widowControl w:val="0"/>
        <w:tabs>
          <w:tab w:val="left" w:pos="1530"/>
        </w:tabs>
        <w:spacing w:after="240"/>
        <w:ind w:left="1890" w:hanging="1440"/>
        <w:contextualSpacing w:val="0"/>
        <w:rPr>
          <w:lang w:val="fr-CA"/>
        </w:rPr>
      </w:pPr>
      <w:r>
        <w:rPr>
          <w:lang w:val="fr-CA"/>
        </w:rPr>
        <w:tab/>
      </w:r>
      <w:r w:rsidR="003165BB">
        <w:rPr>
          <w:lang w:val="fr-CA"/>
        </w:rPr>
        <w:t>(</w:t>
      </w:r>
      <w:r w:rsidR="00065721" w:rsidRPr="00FA2921">
        <w:rPr>
          <w:lang w:val="fr-CA"/>
        </w:rPr>
        <w:t>a</w:t>
      </w:r>
      <w:r w:rsidR="00926B45">
        <w:rPr>
          <w:lang w:val="fr-CA"/>
        </w:rPr>
        <w:t>)</w:t>
      </w:r>
      <w:r w:rsidR="00926B45">
        <w:rPr>
          <w:lang w:val="fr-CA"/>
        </w:rPr>
        <w:tab/>
      </w:r>
      <w:r w:rsidR="00065721" w:rsidRPr="00E13D0A">
        <w:rPr>
          <w:lang w:val="fr-CA"/>
        </w:rPr>
        <w:t xml:space="preserve">un agent de la paix ordonne à un conducteur en vertu du </w:t>
      </w:r>
      <w:r w:rsidR="00065721" w:rsidRPr="00E13D0A">
        <w:rPr>
          <w:i/>
          <w:lang w:val="fr-CA"/>
        </w:rPr>
        <w:t xml:space="preserve">Code criminel </w:t>
      </w:r>
      <w:r w:rsidR="00065721" w:rsidRPr="00E13D0A">
        <w:rPr>
          <w:lang w:val="fr-CA"/>
        </w:rPr>
        <w:t>de fournir un échantillon d</w:t>
      </w:r>
      <w:r w:rsidR="00065721">
        <w:rPr>
          <w:lang w:val="fr-CA"/>
        </w:rPr>
        <w:t>’</w:t>
      </w:r>
      <w:r w:rsidR="00065721" w:rsidRPr="00E13D0A">
        <w:rPr>
          <w:lang w:val="fr-CA"/>
        </w:rPr>
        <w:t>haleine pour analyse au moyen d</w:t>
      </w:r>
      <w:r w:rsidR="00065721">
        <w:rPr>
          <w:lang w:val="fr-CA"/>
        </w:rPr>
        <w:t>’</w:t>
      </w:r>
      <w:r w:rsidR="00065721" w:rsidRPr="00E13D0A">
        <w:rPr>
          <w:lang w:val="fr-CA"/>
        </w:rPr>
        <w:t>un appareil de détection approuvé et celui</w:t>
      </w:r>
      <w:r w:rsidR="00065721">
        <w:rPr>
          <w:lang w:val="fr-CA"/>
        </w:rPr>
        <w:noBreakHyphen/>
      </w:r>
      <w:r w:rsidR="00065721" w:rsidRPr="00E13D0A">
        <w:rPr>
          <w:lang w:val="fr-CA"/>
        </w:rPr>
        <w:t>ci affiche un avertissement ou un échec;</w:t>
      </w:r>
    </w:p>
    <w:p w:rsidR="00065721" w:rsidRPr="00E13D0A" w:rsidRDefault="00FA2921" w:rsidP="00926B45">
      <w:pPr>
        <w:pStyle w:val="Citation-AltC"/>
        <w:widowControl w:val="0"/>
        <w:tabs>
          <w:tab w:val="left" w:pos="1530"/>
        </w:tabs>
        <w:spacing w:after="240"/>
        <w:ind w:left="1890" w:hanging="1440"/>
        <w:contextualSpacing w:val="0"/>
        <w:rPr>
          <w:lang w:val="fr-CA"/>
        </w:rPr>
      </w:pPr>
      <w:r>
        <w:rPr>
          <w:lang w:val="fr-CA"/>
        </w:rPr>
        <w:tab/>
      </w:r>
      <w:r w:rsidR="003165BB">
        <w:rPr>
          <w:lang w:val="fr-CA"/>
        </w:rPr>
        <w:t>(</w:t>
      </w:r>
      <w:r w:rsidR="00065721" w:rsidRPr="00FA2921">
        <w:rPr>
          <w:lang w:val="fr-CA"/>
        </w:rPr>
        <w:t>b</w:t>
      </w:r>
      <w:r w:rsidR="00065721" w:rsidRPr="00E13D0A">
        <w:rPr>
          <w:lang w:val="fr-CA"/>
        </w:rPr>
        <w:t xml:space="preserve">) </w:t>
      </w:r>
      <w:r w:rsidR="00926B45">
        <w:rPr>
          <w:lang w:val="fr-CA"/>
        </w:rPr>
        <w:tab/>
      </w:r>
      <w:r w:rsidR="00065721" w:rsidRPr="00E13D0A">
        <w:rPr>
          <w:lang w:val="fr-CA"/>
        </w:rPr>
        <w:t>l</w:t>
      </w:r>
      <w:r w:rsidR="00065721">
        <w:rPr>
          <w:lang w:val="fr-CA"/>
        </w:rPr>
        <w:t>’</w:t>
      </w:r>
      <w:r w:rsidR="00065721" w:rsidRPr="00E13D0A">
        <w:rPr>
          <w:lang w:val="fr-CA"/>
        </w:rPr>
        <w:t>agent de la paix a des motifs raisonnables de croire, par suite de l</w:t>
      </w:r>
      <w:r w:rsidR="00065721">
        <w:rPr>
          <w:lang w:val="fr-CA"/>
        </w:rPr>
        <w:t>’</w:t>
      </w:r>
      <w:r w:rsidR="00065721" w:rsidRPr="00E13D0A">
        <w:rPr>
          <w:lang w:val="fr-CA"/>
        </w:rPr>
        <w:t>analyse, que les facultés du conducteur sont affaiblies par l</w:t>
      </w:r>
      <w:r w:rsidR="00065721">
        <w:rPr>
          <w:lang w:val="fr-CA"/>
        </w:rPr>
        <w:t>’</w:t>
      </w:r>
      <w:r w:rsidR="00065721" w:rsidRPr="00E13D0A">
        <w:rPr>
          <w:lang w:val="fr-CA"/>
        </w:rPr>
        <w:t>alcool,</w:t>
      </w:r>
    </w:p>
    <w:p w:rsidR="00065721" w:rsidRPr="00E13D0A" w:rsidRDefault="00065721" w:rsidP="00926B45">
      <w:pPr>
        <w:pStyle w:val="Citation-AltC"/>
        <w:widowControl w:val="0"/>
        <w:spacing w:after="240"/>
        <w:ind w:left="1530" w:hanging="1530"/>
        <w:contextualSpacing w:val="0"/>
        <w:rPr>
          <w:lang w:val="fr-CA"/>
        </w:rPr>
      </w:pPr>
      <w:r w:rsidRPr="00E13D0A">
        <w:rPr>
          <w:lang w:val="fr-CA"/>
        </w:rPr>
        <w:tab/>
        <w:t>l</w:t>
      </w:r>
      <w:r>
        <w:rPr>
          <w:lang w:val="fr-CA"/>
        </w:rPr>
        <w:t>’</w:t>
      </w:r>
      <w:r w:rsidRPr="00E13D0A">
        <w:rPr>
          <w:lang w:val="fr-CA"/>
        </w:rPr>
        <w:t>agent de la paix, ou un autre agent de la paix, doit prendre les mesures suivantes</w:t>
      </w:r>
      <w:r>
        <w:rPr>
          <w:lang w:val="fr-CA"/>
        </w:rPr>
        <w:t> :</w:t>
      </w:r>
    </w:p>
    <w:p w:rsidR="00065721" w:rsidRPr="00E13D0A" w:rsidRDefault="00FA2921" w:rsidP="00926B45">
      <w:pPr>
        <w:pStyle w:val="Citation-AltC"/>
        <w:widowControl w:val="0"/>
        <w:tabs>
          <w:tab w:val="left" w:pos="1530"/>
        </w:tabs>
        <w:spacing w:after="240"/>
        <w:ind w:left="1890" w:hanging="1440"/>
        <w:contextualSpacing w:val="0"/>
        <w:rPr>
          <w:lang w:val="fr-CA"/>
        </w:rPr>
      </w:pPr>
      <w:r>
        <w:rPr>
          <w:lang w:val="fr-CA"/>
        </w:rPr>
        <w:tab/>
      </w:r>
      <w:r w:rsidR="003165BB">
        <w:rPr>
          <w:lang w:val="fr-CA"/>
        </w:rPr>
        <w:t>(</w:t>
      </w:r>
      <w:r w:rsidR="00065721" w:rsidRPr="00FA2921">
        <w:rPr>
          <w:lang w:val="fr-CA"/>
        </w:rPr>
        <w:t>c</w:t>
      </w:r>
      <w:r w:rsidR="00926B45">
        <w:rPr>
          <w:lang w:val="fr-CA"/>
        </w:rPr>
        <w:t>)</w:t>
      </w:r>
      <w:r w:rsidR="00926B45">
        <w:rPr>
          <w:lang w:val="fr-CA"/>
        </w:rPr>
        <w:tab/>
      </w:r>
      <w:r w:rsidR="00065721" w:rsidRPr="00E13D0A">
        <w:rPr>
          <w:lang w:val="fr-CA"/>
        </w:rPr>
        <w:t>si le conducteur détient un permis valide [. . .] prendre possession du permis du conducteur</w:t>
      </w:r>
      <w:r w:rsidR="003165BB">
        <w:rPr>
          <w:lang w:val="fr-CA"/>
        </w:rPr>
        <w:t xml:space="preserve"> [. . .]</w:t>
      </w:r>
      <w:r w:rsidR="00065721" w:rsidRPr="00E13D0A">
        <w:rPr>
          <w:lang w:val="fr-CA"/>
        </w:rPr>
        <w:t xml:space="preserve"> si ce dernier l</w:t>
      </w:r>
      <w:r w:rsidR="00065721">
        <w:rPr>
          <w:lang w:val="fr-CA"/>
        </w:rPr>
        <w:t>’</w:t>
      </w:r>
      <w:r w:rsidR="00065721" w:rsidRPr="00E13D0A">
        <w:rPr>
          <w:lang w:val="fr-CA"/>
        </w:rPr>
        <w:t>a en sa possession;</w:t>
      </w:r>
    </w:p>
    <w:p w:rsidR="00065721" w:rsidRPr="00E13D0A" w:rsidRDefault="00FA2921" w:rsidP="004A451C">
      <w:pPr>
        <w:pStyle w:val="Citation-AltC"/>
        <w:widowControl w:val="0"/>
        <w:tabs>
          <w:tab w:val="left" w:pos="1530"/>
        </w:tabs>
        <w:ind w:left="1886" w:hanging="1440"/>
        <w:contextualSpacing w:val="0"/>
        <w:rPr>
          <w:lang w:val="fr-CA"/>
        </w:rPr>
      </w:pPr>
      <w:r>
        <w:rPr>
          <w:lang w:val="fr-CA"/>
        </w:rPr>
        <w:tab/>
      </w:r>
      <w:r w:rsidR="003165BB">
        <w:rPr>
          <w:lang w:val="fr-CA"/>
        </w:rPr>
        <w:t>(</w:t>
      </w:r>
      <w:r w:rsidR="00065721" w:rsidRPr="00FA2921">
        <w:rPr>
          <w:lang w:val="fr-CA"/>
        </w:rPr>
        <w:t>d</w:t>
      </w:r>
      <w:r w:rsidR="00926B45">
        <w:rPr>
          <w:lang w:val="fr-CA"/>
        </w:rPr>
        <w:t>)</w:t>
      </w:r>
      <w:r w:rsidR="00926B45">
        <w:rPr>
          <w:lang w:val="fr-CA"/>
        </w:rPr>
        <w:tab/>
      </w:r>
      <w:r w:rsidR="00065721" w:rsidRPr="00E13D0A">
        <w:rPr>
          <w:lang w:val="fr-CA"/>
        </w:rPr>
        <w:t>signifier au conducteur un avis d</w:t>
      </w:r>
      <w:r w:rsidR="00065721">
        <w:rPr>
          <w:lang w:val="fr-CA"/>
        </w:rPr>
        <w:t>’</w:t>
      </w:r>
      <w:r w:rsidR="00065721" w:rsidRPr="00E13D0A">
        <w:rPr>
          <w:lang w:val="fr-CA"/>
        </w:rPr>
        <w:t>interdiction de conduire.</w:t>
      </w:r>
    </w:p>
    <w:p w:rsidR="00065721" w:rsidRPr="00E13D0A" w:rsidRDefault="00065721" w:rsidP="00926B45">
      <w:pPr>
        <w:pStyle w:val="ParaNoNdepar-AltN"/>
        <w:widowControl w:val="0"/>
        <w:rPr>
          <w:rFonts w:cs="Times New Roman"/>
          <w:lang w:val="fr-CA"/>
        </w:rPr>
      </w:pPr>
      <w:r w:rsidRPr="00E13D0A">
        <w:rPr>
          <w:rFonts w:cs="Times New Roman"/>
          <w:lang w:val="fr-CA"/>
        </w:rPr>
        <w:t>Il n</w:t>
      </w:r>
      <w:r>
        <w:rPr>
          <w:rFonts w:cs="Times New Roman"/>
          <w:lang w:val="fr-CA"/>
        </w:rPr>
        <w:t>’</w:t>
      </w:r>
      <w:r w:rsidRPr="00E13D0A">
        <w:rPr>
          <w:rFonts w:cs="Times New Roman"/>
          <w:lang w:val="fr-CA"/>
        </w:rPr>
        <w:t>est pas contesté devant la Cour que la demande d</w:t>
      </w:r>
      <w:r>
        <w:rPr>
          <w:rFonts w:cs="Times New Roman"/>
          <w:lang w:val="fr-CA"/>
        </w:rPr>
        <w:t>’</w:t>
      </w:r>
      <w:r w:rsidRPr="00E13D0A">
        <w:rPr>
          <w:rFonts w:cs="Times New Roman"/>
          <w:lang w:val="fr-CA"/>
        </w:rPr>
        <w:t xml:space="preserve">alcootest constitue </w:t>
      </w:r>
      <w:r w:rsidRPr="00E13D0A">
        <w:rPr>
          <w:rFonts w:cs="Times New Roman"/>
          <w:lang w:val="fr-CA"/>
        </w:rPr>
        <w:lastRenderedPageBreak/>
        <w:t>une saisie au sens de l</w:t>
      </w:r>
      <w:r>
        <w:rPr>
          <w:rFonts w:cs="Times New Roman"/>
          <w:lang w:val="fr-CA"/>
        </w:rPr>
        <w:t>’art. </w:t>
      </w:r>
      <w:r w:rsidRPr="00E13D0A">
        <w:rPr>
          <w:rFonts w:cs="Times New Roman"/>
          <w:lang w:val="fr-CA"/>
        </w:rPr>
        <w:t xml:space="preserve">8 de la </w:t>
      </w:r>
      <w:r w:rsidRPr="00E13D0A">
        <w:rPr>
          <w:rFonts w:cs="Times New Roman"/>
          <w:i/>
          <w:lang w:val="fr-CA"/>
        </w:rPr>
        <w:t>Charte</w:t>
      </w:r>
      <w:r w:rsidRPr="00E13D0A">
        <w:rPr>
          <w:rStyle w:val="FootnoteReference"/>
          <w:rFonts w:cs="Times New Roman"/>
          <w:lang w:val="fr-CA"/>
        </w:rPr>
        <w:footnoteReference w:id="4"/>
      </w:r>
      <w:r w:rsidRPr="00E13D0A">
        <w:rPr>
          <w:rFonts w:cs="Times New Roman"/>
          <w:lang w:val="fr-CA"/>
        </w:rPr>
        <w:t>.</w:t>
      </w:r>
    </w:p>
    <w:p w:rsidR="00065721" w:rsidRPr="00E13D0A" w:rsidRDefault="00065721" w:rsidP="00926B45">
      <w:pPr>
        <w:pStyle w:val="ParaNoNdepar-AltN"/>
        <w:widowControl w:val="0"/>
        <w:rPr>
          <w:rFonts w:cs="Times New Roman"/>
          <w:lang w:val="fr-CA"/>
        </w:rPr>
      </w:pPr>
      <w:r w:rsidRPr="00E13D0A">
        <w:rPr>
          <w:rFonts w:cs="Times New Roman"/>
          <w:lang w:val="fr-CA"/>
        </w:rPr>
        <w:t xml:space="preserve">Personne ne conteste non plus devant la Cour que les conducteurs de véhicules ont une certaine attente en matière de vie privée concernant leur haleine, même si elle est réduite. Les facteurs qualifiés de « repères utiles » par la Cour aux </w:t>
      </w:r>
      <w:r>
        <w:rPr>
          <w:rFonts w:cs="Times New Roman"/>
          <w:lang w:val="fr-CA"/>
        </w:rPr>
        <w:t>par. </w:t>
      </w:r>
      <w:r w:rsidR="00926B45">
        <w:rPr>
          <w:rFonts w:cs="Times New Roman"/>
          <w:lang w:val="fr-CA"/>
        </w:rPr>
        <w:t>43-</w:t>
      </w:r>
      <w:r w:rsidRPr="00E13D0A">
        <w:rPr>
          <w:rFonts w:cs="Times New Roman"/>
          <w:lang w:val="fr-CA"/>
        </w:rPr>
        <w:t>62 de l</w:t>
      </w:r>
      <w:r>
        <w:rPr>
          <w:rFonts w:cs="Times New Roman"/>
          <w:lang w:val="fr-CA"/>
        </w:rPr>
        <w:t>’</w:t>
      </w:r>
      <w:r w:rsidRPr="00E13D0A">
        <w:rPr>
          <w:rFonts w:cs="Times New Roman"/>
          <w:lang w:val="fr-CA"/>
        </w:rPr>
        <w:t xml:space="preserve">arrêt </w:t>
      </w:r>
      <w:r w:rsidRPr="00E13D0A">
        <w:rPr>
          <w:rFonts w:cs="Times New Roman"/>
          <w:i/>
          <w:lang w:val="fr-CA"/>
        </w:rPr>
        <w:t>Tessling</w:t>
      </w:r>
      <w:r w:rsidRPr="00E13D0A">
        <w:rPr>
          <w:rFonts w:cs="Times New Roman"/>
          <w:lang w:val="fr-CA"/>
        </w:rPr>
        <w:t xml:space="preserve"> étayent cette conclusion. La saisie a lieu dans un véhicule (</w:t>
      </w:r>
      <w:r w:rsidRPr="00E13D0A">
        <w:rPr>
          <w:rFonts w:cs="Times New Roman"/>
          <w:i/>
          <w:lang w:val="fr-CA"/>
        </w:rPr>
        <w:t>R. c. Grant</w:t>
      </w:r>
      <w:r w:rsidRPr="00E13D0A">
        <w:rPr>
          <w:rFonts w:cs="Times New Roman"/>
          <w:lang w:val="fr-CA"/>
        </w:rPr>
        <w:t xml:space="preserve">, 2009 CSC 32, [2009] 2 R.C.S. 353, </w:t>
      </w:r>
      <w:r>
        <w:rPr>
          <w:rFonts w:cs="Times New Roman"/>
          <w:lang w:val="fr-CA"/>
        </w:rPr>
        <w:t>par. </w:t>
      </w:r>
      <w:r w:rsidRPr="00E13D0A">
        <w:rPr>
          <w:rFonts w:cs="Times New Roman"/>
          <w:lang w:val="fr-CA"/>
        </w:rPr>
        <w:t>111 et 113); dans le contexte très réglementé de la conduite automobile sur la voie publique (</w:t>
      </w:r>
      <w:r w:rsidRPr="00E13D0A">
        <w:rPr>
          <w:rFonts w:cs="Times New Roman"/>
          <w:i/>
          <w:lang w:val="fr-CA"/>
        </w:rPr>
        <w:t>R. c. McKinlay Transport Ltd</w:t>
      </w:r>
      <w:r w:rsidRPr="00E13D0A">
        <w:rPr>
          <w:rFonts w:cs="Times New Roman"/>
          <w:lang w:val="fr-CA"/>
        </w:rPr>
        <w:t xml:space="preserve">., [1990] 1 R.C.S. 627, </w:t>
      </w:r>
      <w:r>
        <w:rPr>
          <w:rFonts w:cs="Times New Roman"/>
          <w:lang w:val="fr-CA"/>
        </w:rPr>
        <w:t>p. </w:t>
      </w:r>
      <w:r w:rsidRPr="00E13D0A">
        <w:rPr>
          <w:rFonts w:cs="Times New Roman"/>
          <w:lang w:val="fr-CA"/>
        </w:rPr>
        <w:t>647</w:t>
      </w:r>
      <w:r w:rsidR="00926B45">
        <w:rPr>
          <w:rFonts w:cs="Times New Roman"/>
          <w:lang w:val="fr-CA"/>
        </w:rPr>
        <w:t>-</w:t>
      </w:r>
      <w:r w:rsidRPr="00E13D0A">
        <w:rPr>
          <w:rFonts w:cs="Times New Roman"/>
          <w:lang w:val="fr-CA"/>
        </w:rPr>
        <w:t>648); et est relativement peu envahissante (</w:t>
      </w:r>
      <w:r w:rsidRPr="00E13D0A">
        <w:rPr>
          <w:rFonts w:cs="Times New Roman"/>
          <w:i/>
          <w:lang w:val="fr-CA"/>
        </w:rPr>
        <w:t>Grant</w:t>
      </w:r>
      <w:r w:rsidRPr="00E13D0A">
        <w:rPr>
          <w:rFonts w:cs="Times New Roman"/>
          <w:lang w:val="fr-CA"/>
        </w:rPr>
        <w:t xml:space="preserve">, </w:t>
      </w:r>
      <w:r>
        <w:rPr>
          <w:rFonts w:cs="Times New Roman"/>
          <w:lang w:val="fr-CA"/>
        </w:rPr>
        <w:t>par. </w:t>
      </w:r>
      <w:r w:rsidRPr="00E13D0A">
        <w:rPr>
          <w:rFonts w:cs="Times New Roman"/>
          <w:lang w:val="fr-CA"/>
        </w:rPr>
        <w:t>111). Bien que ces facteurs militent en faveur d</w:t>
      </w:r>
      <w:r>
        <w:rPr>
          <w:rFonts w:cs="Times New Roman"/>
          <w:lang w:val="fr-CA"/>
        </w:rPr>
        <w:t>’</w:t>
      </w:r>
      <w:r w:rsidRPr="00E13D0A">
        <w:rPr>
          <w:rFonts w:cs="Times New Roman"/>
          <w:lang w:val="fr-CA"/>
        </w:rPr>
        <w:t>une attente réduite en matière de vie privée, ils n</w:t>
      </w:r>
      <w:r>
        <w:rPr>
          <w:rFonts w:cs="Times New Roman"/>
          <w:lang w:val="fr-CA"/>
        </w:rPr>
        <w:t>’</w:t>
      </w:r>
      <w:r w:rsidRPr="00E13D0A">
        <w:rPr>
          <w:rFonts w:cs="Times New Roman"/>
          <w:lang w:val="fr-CA"/>
        </w:rPr>
        <w:t>éliminent pas le droit résiduel d</w:t>
      </w:r>
      <w:r>
        <w:rPr>
          <w:rFonts w:cs="Times New Roman"/>
          <w:lang w:val="fr-CA"/>
        </w:rPr>
        <w:t>’</w:t>
      </w:r>
      <w:r w:rsidRPr="00E13D0A">
        <w:rPr>
          <w:rFonts w:cs="Times New Roman"/>
          <w:lang w:val="fr-CA"/>
        </w:rPr>
        <w:t>une personne à la protection de sa vie privée concernant son haleine. Ainsi, la demande de souffler dans un alcootest constitue une saisie qui porte atteinte à l</w:t>
      </w:r>
      <w:r>
        <w:rPr>
          <w:rFonts w:cs="Times New Roman"/>
          <w:lang w:val="fr-CA"/>
        </w:rPr>
        <w:t>’</w:t>
      </w:r>
      <w:r w:rsidRPr="00E13D0A">
        <w:rPr>
          <w:rFonts w:cs="Times New Roman"/>
          <w:lang w:val="fr-CA"/>
        </w:rPr>
        <w:t>attente raisonnable d</w:t>
      </w:r>
      <w:r>
        <w:rPr>
          <w:rFonts w:cs="Times New Roman"/>
          <w:lang w:val="fr-CA"/>
        </w:rPr>
        <w:t>’</w:t>
      </w:r>
      <w:r w:rsidRPr="00E13D0A">
        <w:rPr>
          <w:rFonts w:cs="Times New Roman"/>
          <w:lang w:val="fr-CA"/>
        </w:rPr>
        <w:t>une personne en matière de vie privée. La protection de l</w:t>
      </w:r>
      <w:r>
        <w:rPr>
          <w:rFonts w:cs="Times New Roman"/>
          <w:lang w:val="fr-CA"/>
        </w:rPr>
        <w:t>’art. </w:t>
      </w:r>
      <w:r w:rsidRPr="00E13D0A">
        <w:rPr>
          <w:rFonts w:cs="Times New Roman"/>
          <w:lang w:val="fr-CA"/>
        </w:rPr>
        <w:t>8</w:t>
      </w:r>
      <w:r w:rsidRPr="00E13D0A">
        <w:rPr>
          <w:rFonts w:cs="Times New Roman"/>
          <w:i/>
          <w:lang w:val="fr-CA"/>
        </w:rPr>
        <w:t xml:space="preserve"> </w:t>
      </w:r>
      <w:r w:rsidRPr="00E13D0A">
        <w:rPr>
          <w:rFonts w:cs="Times New Roman"/>
          <w:lang w:val="fr-CA"/>
        </w:rPr>
        <w:t>entre en jeu.</w:t>
      </w:r>
    </w:p>
    <w:p w:rsidR="00065721" w:rsidRPr="00E13D0A" w:rsidRDefault="00065721" w:rsidP="00926B45">
      <w:pPr>
        <w:pStyle w:val="Title3LevelTitre3Niveau"/>
        <w:widowControl w:val="0"/>
        <w:rPr>
          <w:rFonts w:cs="Times New Roman"/>
          <w:lang w:val="fr-CA"/>
        </w:rPr>
      </w:pPr>
      <w:r w:rsidRPr="00E13D0A">
        <w:rPr>
          <w:rFonts w:cs="Times New Roman"/>
          <w:lang w:val="fr-CA"/>
        </w:rPr>
        <w:t>La saisie est</w:t>
      </w:r>
      <w:r>
        <w:rPr>
          <w:rFonts w:cs="Times New Roman"/>
          <w:lang w:val="fr-CA"/>
        </w:rPr>
        <w:noBreakHyphen/>
      </w:r>
      <w:r w:rsidRPr="00E13D0A">
        <w:rPr>
          <w:rFonts w:cs="Times New Roman"/>
          <w:lang w:val="fr-CA"/>
        </w:rPr>
        <w:t>elle autorisée par la loi provinciale?</w:t>
      </w:r>
    </w:p>
    <w:p w:rsidR="00065721" w:rsidRPr="00E13D0A" w:rsidRDefault="00065721" w:rsidP="00926B45">
      <w:pPr>
        <w:pStyle w:val="ParaNoNdepar-AltN"/>
        <w:widowControl w:val="0"/>
        <w:rPr>
          <w:rFonts w:cs="Times New Roman"/>
          <w:lang w:val="fr-CA"/>
        </w:rPr>
      </w:pPr>
      <w:r w:rsidRPr="00E13D0A">
        <w:rPr>
          <w:rFonts w:cs="Times New Roman"/>
          <w:lang w:val="fr-CA"/>
        </w:rPr>
        <w:t xml:space="preserve">La Province fait valoir que ce ne sont pas les dispositions contestées de la </w:t>
      </w:r>
      <w:r w:rsidRPr="00E13D0A">
        <w:rPr>
          <w:rFonts w:cs="Times New Roman"/>
          <w:i/>
          <w:lang w:val="fr-CA"/>
        </w:rPr>
        <w:t xml:space="preserve">MVA </w:t>
      </w:r>
      <w:r w:rsidRPr="00E13D0A">
        <w:rPr>
          <w:rFonts w:cs="Times New Roman"/>
          <w:lang w:val="fr-CA"/>
        </w:rPr>
        <w:t>qui font intervenir les droits garantis au conducteur par l</w:t>
      </w:r>
      <w:r>
        <w:rPr>
          <w:rFonts w:cs="Times New Roman"/>
          <w:lang w:val="fr-CA"/>
        </w:rPr>
        <w:t>’art. </w:t>
      </w:r>
      <w:r w:rsidRPr="00E13D0A">
        <w:rPr>
          <w:rFonts w:cs="Times New Roman"/>
          <w:lang w:val="fr-CA"/>
        </w:rPr>
        <w:t>8 parce que le RIAC n</w:t>
      </w:r>
      <w:r>
        <w:rPr>
          <w:rFonts w:cs="Times New Roman"/>
          <w:lang w:val="fr-CA"/>
        </w:rPr>
        <w:t>’</w:t>
      </w:r>
      <w:r w:rsidRPr="00E13D0A">
        <w:rPr>
          <w:rFonts w:cs="Times New Roman"/>
          <w:lang w:val="fr-CA"/>
        </w:rPr>
        <w:t>autorise pas en soi une saisie. Le régime s</w:t>
      </w:r>
      <w:r>
        <w:rPr>
          <w:rFonts w:cs="Times New Roman"/>
          <w:lang w:val="fr-CA"/>
        </w:rPr>
        <w:t>’</w:t>
      </w:r>
      <w:r w:rsidRPr="00E13D0A">
        <w:rPr>
          <w:rFonts w:cs="Times New Roman"/>
          <w:lang w:val="fr-CA"/>
        </w:rPr>
        <w:t xml:space="preserve">en remet plutôt au </w:t>
      </w:r>
      <w:r>
        <w:rPr>
          <w:rFonts w:cs="Times New Roman"/>
          <w:lang w:val="fr-CA"/>
        </w:rPr>
        <w:t>par. </w:t>
      </w:r>
      <w:r w:rsidRPr="00E13D0A">
        <w:rPr>
          <w:rFonts w:cs="Times New Roman"/>
          <w:lang w:val="fr-CA"/>
        </w:rPr>
        <w:t xml:space="preserve">254(2) du </w:t>
      </w:r>
      <w:r w:rsidRPr="00E13D0A">
        <w:rPr>
          <w:rFonts w:cs="Times New Roman"/>
          <w:i/>
          <w:lang w:val="fr-CA"/>
        </w:rPr>
        <w:t>Code criminel</w:t>
      </w:r>
      <w:r w:rsidRPr="00E13D0A">
        <w:rPr>
          <w:rFonts w:cs="Times New Roman"/>
          <w:lang w:val="fr-CA"/>
        </w:rPr>
        <w:t xml:space="preserve"> pour autoriser une demande d</w:t>
      </w:r>
      <w:r>
        <w:rPr>
          <w:rFonts w:cs="Times New Roman"/>
          <w:lang w:val="fr-CA"/>
        </w:rPr>
        <w:t>’</w:t>
      </w:r>
      <w:r w:rsidRPr="00E13D0A">
        <w:rPr>
          <w:rFonts w:cs="Times New Roman"/>
          <w:lang w:val="fr-CA"/>
        </w:rPr>
        <w:t>alcootest. De l</w:t>
      </w:r>
      <w:r>
        <w:rPr>
          <w:rFonts w:cs="Times New Roman"/>
          <w:lang w:val="fr-CA"/>
        </w:rPr>
        <w:t>’</w:t>
      </w:r>
      <w:r w:rsidRPr="00E13D0A">
        <w:rPr>
          <w:rFonts w:cs="Times New Roman"/>
          <w:lang w:val="fr-CA"/>
        </w:rPr>
        <w:t xml:space="preserve">avis de la Province, une contestation de la conformité à la </w:t>
      </w:r>
      <w:r w:rsidRPr="00E13D0A">
        <w:rPr>
          <w:rFonts w:cs="Times New Roman"/>
          <w:i/>
          <w:lang w:val="fr-CA"/>
        </w:rPr>
        <w:t>Charte</w:t>
      </w:r>
      <w:r w:rsidRPr="00E13D0A">
        <w:rPr>
          <w:rFonts w:cs="Times New Roman"/>
          <w:lang w:val="fr-CA"/>
        </w:rPr>
        <w:t xml:space="preserve"> d</w:t>
      </w:r>
      <w:r>
        <w:rPr>
          <w:rFonts w:cs="Times New Roman"/>
          <w:lang w:val="fr-CA"/>
        </w:rPr>
        <w:t>’</w:t>
      </w:r>
      <w:r w:rsidRPr="00E13D0A">
        <w:rPr>
          <w:rFonts w:cs="Times New Roman"/>
          <w:lang w:val="fr-CA"/>
        </w:rPr>
        <w:t>une demande d</w:t>
      </w:r>
      <w:r>
        <w:rPr>
          <w:rFonts w:cs="Times New Roman"/>
          <w:lang w:val="fr-CA"/>
        </w:rPr>
        <w:t>’</w:t>
      </w:r>
      <w:r w:rsidRPr="00E13D0A">
        <w:rPr>
          <w:rFonts w:cs="Times New Roman"/>
          <w:lang w:val="fr-CA"/>
        </w:rPr>
        <w:t>échantillon d</w:t>
      </w:r>
      <w:r>
        <w:rPr>
          <w:rFonts w:cs="Times New Roman"/>
          <w:lang w:val="fr-CA"/>
        </w:rPr>
        <w:t>’</w:t>
      </w:r>
      <w:r w:rsidRPr="00E13D0A">
        <w:rPr>
          <w:rFonts w:cs="Times New Roman"/>
          <w:lang w:val="fr-CA"/>
        </w:rPr>
        <w:t xml:space="preserve">haleine doit </w:t>
      </w:r>
      <w:r w:rsidRPr="00E13D0A">
        <w:rPr>
          <w:rFonts w:cs="Times New Roman"/>
          <w:lang w:val="fr-CA"/>
        </w:rPr>
        <w:lastRenderedPageBreak/>
        <w:t xml:space="preserve">par conséquent viser le </w:t>
      </w:r>
      <w:r>
        <w:rPr>
          <w:rFonts w:cs="Times New Roman"/>
          <w:lang w:val="fr-CA"/>
        </w:rPr>
        <w:t>par. </w:t>
      </w:r>
      <w:r w:rsidRPr="00E13D0A">
        <w:rPr>
          <w:rFonts w:cs="Times New Roman"/>
          <w:lang w:val="fr-CA"/>
        </w:rPr>
        <w:t xml:space="preserve">254(2) du </w:t>
      </w:r>
      <w:r w:rsidRPr="00E13D0A">
        <w:rPr>
          <w:rFonts w:cs="Times New Roman"/>
          <w:i/>
          <w:lang w:val="fr-CA"/>
        </w:rPr>
        <w:t>Code criminel</w:t>
      </w:r>
      <w:r w:rsidRPr="00E13D0A">
        <w:rPr>
          <w:rFonts w:cs="Times New Roman"/>
          <w:lang w:val="fr-CA"/>
        </w:rPr>
        <w:t>, et non l</w:t>
      </w:r>
      <w:r>
        <w:rPr>
          <w:rFonts w:cs="Times New Roman"/>
          <w:lang w:val="fr-CA"/>
        </w:rPr>
        <w:t>’al. </w:t>
      </w:r>
      <w:r w:rsidR="000E17F5">
        <w:rPr>
          <w:rFonts w:cs="Times New Roman"/>
          <w:lang w:val="fr-CA"/>
        </w:rPr>
        <w:t>215.41(3)</w:t>
      </w:r>
      <w:r w:rsidRPr="000E17F5">
        <w:rPr>
          <w:rFonts w:cs="Times New Roman"/>
          <w:lang w:val="fr-CA"/>
        </w:rPr>
        <w:t>a</w:t>
      </w:r>
      <w:r w:rsidRPr="00E13D0A">
        <w:rPr>
          <w:rFonts w:cs="Times New Roman"/>
          <w:lang w:val="fr-CA"/>
        </w:rPr>
        <w:t xml:space="preserve">) de la </w:t>
      </w:r>
      <w:r w:rsidRPr="00E13D0A">
        <w:rPr>
          <w:rFonts w:cs="Times New Roman"/>
          <w:i/>
          <w:lang w:val="fr-CA"/>
        </w:rPr>
        <w:t xml:space="preserve">MVA </w:t>
      </w:r>
      <w:r w:rsidRPr="00E13D0A">
        <w:rPr>
          <w:rFonts w:cs="Times New Roman"/>
          <w:lang w:val="fr-CA"/>
        </w:rPr>
        <w:t>provinciale.</w:t>
      </w:r>
    </w:p>
    <w:p w:rsidR="00065721" w:rsidRPr="00E13D0A" w:rsidRDefault="00065721" w:rsidP="00926B45">
      <w:pPr>
        <w:pStyle w:val="ParaNoNdepar-AltN"/>
        <w:widowControl w:val="0"/>
        <w:rPr>
          <w:rFonts w:cs="Times New Roman"/>
          <w:lang w:val="fr-CA"/>
        </w:rPr>
      </w:pPr>
      <w:r w:rsidRPr="00E13D0A">
        <w:rPr>
          <w:rFonts w:cs="Times New Roman"/>
          <w:lang w:val="fr-CA"/>
        </w:rPr>
        <w:t>Je ne suis pas d</w:t>
      </w:r>
      <w:r>
        <w:rPr>
          <w:rFonts w:cs="Times New Roman"/>
          <w:lang w:val="fr-CA"/>
        </w:rPr>
        <w:t>’</w:t>
      </w:r>
      <w:r w:rsidRPr="00E13D0A">
        <w:rPr>
          <w:rFonts w:cs="Times New Roman"/>
          <w:lang w:val="fr-CA"/>
        </w:rPr>
        <w:t>accord avec elle. Une interprétation aussi étroite de la question de savoir si la saisie est « autorisée par la loi » mettrait la province à l</w:t>
      </w:r>
      <w:r>
        <w:rPr>
          <w:rFonts w:cs="Times New Roman"/>
          <w:lang w:val="fr-CA"/>
        </w:rPr>
        <w:t>’</w:t>
      </w:r>
      <w:r w:rsidRPr="00E13D0A">
        <w:rPr>
          <w:rFonts w:cs="Times New Roman"/>
          <w:lang w:val="fr-CA"/>
        </w:rPr>
        <w:t>abri de l</w:t>
      </w:r>
      <w:r>
        <w:rPr>
          <w:rFonts w:cs="Times New Roman"/>
          <w:lang w:val="fr-CA"/>
        </w:rPr>
        <w:t>’</w:t>
      </w:r>
      <w:r w:rsidRPr="00E13D0A">
        <w:rPr>
          <w:rFonts w:cs="Times New Roman"/>
          <w:lang w:val="fr-CA"/>
        </w:rPr>
        <w:t>examen, fondé sur l</w:t>
      </w:r>
      <w:r>
        <w:rPr>
          <w:rFonts w:cs="Times New Roman"/>
          <w:lang w:val="fr-CA"/>
        </w:rPr>
        <w:t>’art. </w:t>
      </w:r>
      <w:r w:rsidRPr="00E13D0A">
        <w:rPr>
          <w:rFonts w:cs="Times New Roman"/>
          <w:lang w:val="fr-CA"/>
        </w:rPr>
        <w:t>8, de tout exercice d</w:t>
      </w:r>
      <w:r>
        <w:rPr>
          <w:rFonts w:cs="Times New Roman"/>
          <w:lang w:val="fr-CA"/>
        </w:rPr>
        <w:t>’</w:t>
      </w:r>
      <w:r w:rsidRPr="00E13D0A">
        <w:rPr>
          <w:rFonts w:cs="Times New Roman"/>
          <w:lang w:val="fr-CA"/>
        </w:rPr>
        <w:t xml:space="preserve">un pouvoir de fouille prévu par le </w:t>
      </w:r>
      <w:r w:rsidRPr="00E13D0A">
        <w:rPr>
          <w:rFonts w:cs="Times New Roman"/>
          <w:i/>
          <w:lang w:val="fr-CA"/>
        </w:rPr>
        <w:t>Code criminel</w:t>
      </w:r>
      <w:r w:rsidRPr="00E13D0A">
        <w:rPr>
          <w:rFonts w:cs="Times New Roman"/>
          <w:lang w:val="fr-CA"/>
        </w:rPr>
        <w:t>. Elle serait en outre incompatible avec l</w:t>
      </w:r>
      <w:r>
        <w:rPr>
          <w:rFonts w:cs="Times New Roman"/>
          <w:lang w:val="fr-CA"/>
        </w:rPr>
        <w:t>’</w:t>
      </w:r>
      <w:r w:rsidRPr="00E13D0A">
        <w:rPr>
          <w:rFonts w:cs="Times New Roman"/>
          <w:lang w:val="fr-CA"/>
        </w:rPr>
        <w:t>interprétation souple et fondée sur l</w:t>
      </w:r>
      <w:r>
        <w:rPr>
          <w:rFonts w:cs="Times New Roman"/>
          <w:lang w:val="fr-CA"/>
        </w:rPr>
        <w:t>’</w:t>
      </w:r>
      <w:r w:rsidRPr="00E13D0A">
        <w:rPr>
          <w:rFonts w:cs="Times New Roman"/>
          <w:lang w:val="fr-CA"/>
        </w:rPr>
        <w:t>objet visé, axée sur la protection des personnes et non des lieux, qu</w:t>
      </w:r>
      <w:r>
        <w:rPr>
          <w:rFonts w:cs="Times New Roman"/>
          <w:lang w:val="fr-CA"/>
        </w:rPr>
        <w:t>’</w:t>
      </w:r>
      <w:r w:rsidRPr="00E13D0A">
        <w:rPr>
          <w:rFonts w:cs="Times New Roman"/>
          <w:lang w:val="fr-CA"/>
        </w:rPr>
        <w:t>exige l</w:t>
      </w:r>
      <w:r>
        <w:rPr>
          <w:rFonts w:cs="Times New Roman"/>
          <w:lang w:val="fr-CA"/>
        </w:rPr>
        <w:t>’art. </w:t>
      </w:r>
      <w:r w:rsidRPr="00E13D0A">
        <w:rPr>
          <w:rFonts w:cs="Times New Roman"/>
          <w:lang w:val="fr-CA"/>
        </w:rPr>
        <w:t>8</w:t>
      </w:r>
      <w:r>
        <w:rPr>
          <w:rFonts w:cs="Times New Roman"/>
          <w:lang w:val="fr-CA"/>
        </w:rPr>
        <w:t> :</w:t>
      </w:r>
      <w:r w:rsidRPr="00E13D0A">
        <w:rPr>
          <w:rFonts w:cs="Times New Roman"/>
          <w:lang w:val="fr-CA"/>
        </w:rPr>
        <w:t xml:space="preserve"> </w:t>
      </w:r>
      <w:r w:rsidRPr="00E13D0A">
        <w:rPr>
          <w:rFonts w:cs="Times New Roman"/>
          <w:i/>
          <w:lang w:val="fr-CA"/>
        </w:rPr>
        <w:t>McKinlay Transport Ltd.</w:t>
      </w:r>
      <w:r w:rsidRPr="00E13D0A">
        <w:rPr>
          <w:rFonts w:cs="Times New Roman"/>
          <w:lang w:val="fr-CA"/>
        </w:rPr>
        <w:t xml:space="preserve">, </w:t>
      </w:r>
      <w:r>
        <w:rPr>
          <w:rFonts w:cs="Times New Roman"/>
          <w:lang w:val="fr-CA"/>
        </w:rPr>
        <w:t>p. </w:t>
      </w:r>
      <w:r w:rsidRPr="00E13D0A">
        <w:rPr>
          <w:rFonts w:cs="Times New Roman"/>
          <w:lang w:val="fr-CA"/>
        </w:rPr>
        <w:t xml:space="preserve">647, la juge Wilson; </w:t>
      </w:r>
      <w:r w:rsidRPr="00E13D0A">
        <w:rPr>
          <w:rFonts w:cs="Times New Roman"/>
          <w:i/>
          <w:lang w:val="fr-CA"/>
        </w:rPr>
        <w:t>Hunter c. Southam Inc.</w:t>
      </w:r>
      <w:r w:rsidRPr="00E13D0A">
        <w:rPr>
          <w:rFonts w:cs="Times New Roman"/>
          <w:lang w:val="fr-CA"/>
        </w:rPr>
        <w:t xml:space="preserve">, [1984] 2 R.C.S. 145, </w:t>
      </w:r>
      <w:r>
        <w:rPr>
          <w:rFonts w:cs="Times New Roman"/>
          <w:lang w:val="fr-CA"/>
        </w:rPr>
        <w:t>p. </w:t>
      </w:r>
      <w:r w:rsidRPr="00E13D0A">
        <w:rPr>
          <w:rFonts w:cs="Times New Roman"/>
          <w:lang w:val="fr-CA"/>
        </w:rPr>
        <w:t>158</w:t>
      </w:r>
      <w:r>
        <w:rPr>
          <w:rFonts w:cs="Times New Roman"/>
          <w:lang w:val="fr-CA"/>
        </w:rPr>
        <w:noBreakHyphen/>
      </w:r>
      <w:r w:rsidRPr="00E13D0A">
        <w:rPr>
          <w:rFonts w:cs="Times New Roman"/>
          <w:lang w:val="fr-CA"/>
        </w:rPr>
        <w:t>159. L</w:t>
      </w:r>
      <w:r>
        <w:rPr>
          <w:rFonts w:cs="Times New Roman"/>
          <w:lang w:val="fr-CA"/>
        </w:rPr>
        <w:t>’</w:t>
      </w:r>
      <w:r w:rsidRPr="00E13D0A">
        <w:rPr>
          <w:rFonts w:cs="Times New Roman"/>
          <w:lang w:val="fr-CA"/>
        </w:rPr>
        <w:t>analyse d</w:t>
      </w:r>
      <w:r>
        <w:rPr>
          <w:rFonts w:cs="Times New Roman"/>
          <w:lang w:val="fr-CA"/>
        </w:rPr>
        <w:t>’</w:t>
      </w:r>
      <w:r w:rsidRPr="00E13D0A">
        <w:rPr>
          <w:rFonts w:cs="Times New Roman"/>
          <w:lang w:val="fr-CA"/>
        </w:rPr>
        <w:t>une fouille, d</w:t>
      </w:r>
      <w:r>
        <w:rPr>
          <w:rFonts w:cs="Times New Roman"/>
          <w:lang w:val="fr-CA"/>
        </w:rPr>
        <w:t>’</w:t>
      </w:r>
      <w:r w:rsidRPr="00E13D0A">
        <w:rPr>
          <w:rFonts w:cs="Times New Roman"/>
          <w:lang w:val="fr-CA"/>
        </w:rPr>
        <w:t>une perquisition ou d</w:t>
      </w:r>
      <w:r>
        <w:rPr>
          <w:rFonts w:cs="Times New Roman"/>
          <w:lang w:val="fr-CA"/>
        </w:rPr>
        <w:t>’</w:t>
      </w:r>
      <w:r w:rsidRPr="00E13D0A">
        <w:rPr>
          <w:rFonts w:cs="Times New Roman"/>
          <w:lang w:val="fr-CA"/>
        </w:rPr>
        <w:t>une saisie en application de l</w:t>
      </w:r>
      <w:r>
        <w:rPr>
          <w:rFonts w:cs="Times New Roman"/>
          <w:lang w:val="fr-CA"/>
        </w:rPr>
        <w:t>’art. </w:t>
      </w:r>
      <w:r w:rsidRPr="00E13D0A">
        <w:rPr>
          <w:rFonts w:cs="Times New Roman"/>
          <w:lang w:val="fr-CA"/>
        </w:rPr>
        <w:t>8 est de nature contextuelle</w:t>
      </w:r>
      <w:r>
        <w:rPr>
          <w:rFonts w:cs="Times New Roman"/>
          <w:lang w:val="fr-CA"/>
        </w:rPr>
        <w:t> :</w:t>
      </w:r>
      <w:r w:rsidRPr="00E13D0A">
        <w:rPr>
          <w:rFonts w:cs="Times New Roman"/>
          <w:lang w:val="fr-CA"/>
        </w:rPr>
        <w:t xml:space="preserve"> </w:t>
      </w:r>
      <w:r w:rsidRPr="00E13D0A">
        <w:rPr>
          <w:rFonts w:cs="Times New Roman"/>
          <w:i/>
          <w:lang w:val="fr-CA"/>
        </w:rPr>
        <w:t>R. c. Rodgers</w:t>
      </w:r>
      <w:r w:rsidRPr="00E13D0A">
        <w:rPr>
          <w:rFonts w:cs="Times New Roman"/>
          <w:lang w:val="fr-CA"/>
        </w:rPr>
        <w:t xml:space="preserve">, 2006 CSC 15, [2006] 1 R.C.S. 554, </w:t>
      </w:r>
      <w:r>
        <w:rPr>
          <w:rFonts w:cs="Times New Roman"/>
          <w:lang w:val="fr-CA"/>
        </w:rPr>
        <w:t>par. </w:t>
      </w:r>
      <w:r w:rsidRPr="00E13D0A">
        <w:rPr>
          <w:rFonts w:cs="Times New Roman"/>
          <w:lang w:val="fr-CA"/>
        </w:rPr>
        <w:t>26. Elle exige qu</w:t>
      </w:r>
      <w:r>
        <w:rPr>
          <w:rFonts w:cs="Times New Roman"/>
          <w:lang w:val="fr-CA"/>
        </w:rPr>
        <w:t>’</w:t>
      </w:r>
      <w:r w:rsidRPr="00E13D0A">
        <w:rPr>
          <w:rFonts w:cs="Times New Roman"/>
          <w:lang w:val="fr-CA"/>
        </w:rPr>
        <w:t>il soit tenu compte de l</w:t>
      </w:r>
      <w:r>
        <w:rPr>
          <w:rFonts w:cs="Times New Roman"/>
          <w:lang w:val="fr-CA"/>
        </w:rPr>
        <w:t>’</w:t>
      </w:r>
      <w:r w:rsidRPr="00E13D0A">
        <w:rPr>
          <w:rFonts w:cs="Times New Roman"/>
          <w:lang w:val="fr-CA"/>
        </w:rPr>
        <w:t>objet pour lequel la saisie est faite et des dispositions législatives qui établissent les motifs, les moyens et les conséquences de la saisie. Une fouille, une perquisition ou une saisie peut être valide pour un objet mais pas pour un autre.</w:t>
      </w:r>
    </w:p>
    <w:p w:rsidR="00065721" w:rsidRPr="00E13D0A" w:rsidRDefault="00065721" w:rsidP="00926B45">
      <w:pPr>
        <w:pStyle w:val="ParaNoNdepar-AltN"/>
        <w:widowControl w:val="0"/>
        <w:rPr>
          <w:rFonts w:eastAsiaTheme="minorHAnsi" w:cs="Times New Roman"/>
          <w:u w:val="single"/>
          <w:lang w:val="fr-CA"/>
        </w:rPr>
      </w:pPr>
      <w:r w:rsidRPr="00E13D0A">
        <w:rPr>
          <w:rFonts w:cs="Times New Roman"/>
          <w:lang w:val="fr-CA"/>
        </w:rPr>
        <w:t xml:space="preserve">Bien que la Province se fonde sur le </w:t>
      </w:r>
      <w:r w:rsidRPr="00E13D0A">
        <w:rPr>
          <w:rFonts w:cs="Times New Roman"/>
          <w:i/>
          <w:lang w:val="fr-CA"/>
        </w:rPr>
        <w:t xml:space="preserve">Code criminel </w:t>
      </w:r>
      <w:r w:rsidRPr="00E13D0A">
        <w:rPr>
          <w:rFonts w:cs="Times New Roman"/>
          <w:lang w:val="fr-CA"/>
        </w:rPr>
        <w:t>pour autoriser la demande d</w:t>
      </w:r>
      <w:r>
        <w:rPr>
          <w:rFonts w:cs="Times New Roman"/>
          <w:lang w:val="fr-CA"/>
        </w:rPr>
        <w:t>’</w:t>
      </w:r>
      <w:r w:rsidRPr="00E13D0A">
        <w:rPr>
          <w:rFonts w:cs="Times New Roman"/>
          <w:lang w:val="fr-CA"/>
        </w:rPr>
        <w:t>échantillon d</w:t>
      </w:r>
      <w:r>
        <w:rPr>
          <w:rFonts w:cs="Times New Roman"/>
          <w:lang w:val="fr-CA"/>
        </w:rPr>
        <w:t>’</w:t>
      </w:r>
      <w:r w:rsidRPr="00E13D0A">
        <w:rPr>
          <w:rFonts w:cs="Times New Roman"/>
          <w:lang w:val="fr-CA"/>
        </w:rPr>
        <w:t>haleine, l</w:t>
      </w:r>
      <w:r>
        <w:rPr>
          <w:rFonts w:cs="Times New Roman"/>
          <w:lang w:val="fr-CA"/>
        </w:rPr>
        <w:t>’</w:t>
      </w:r>
      <w:r w:rsidRPr="00E13D0A">
        <w:rPr>
          <w:rFonts w:cs="Times New Roman"/>
          <w:lang w:val="fr-CA"/>
        </w:rPr>
        <w:t xml:space="preserve">objet et les conséquences de la saisie sont établis dans le RIAC, dans la </w:t>
      </w:r>
      <w:r w:rsidRPr="00E13D0A">
        <w:rPr>
          <w:rFonts w:cs="Times New Roman"/>
          <w:i/>
          <w:lang w:val="fr-CA"/>
        </w:rPr>
        <w:t>MVA</w:t>
      </w:r>
      <w:r w:rsidRPr="00E13D0A">
        <w:rPr>
          <w:rFonts w:cs="Times New Roman"/>
          <w:lang w:val="fr-CA"/>
        </w:rPr>
        <w:t>. La saisie tire donc son caractère de la loi provinciale et ne peut être considérée indépendamment de ce régime. Pour l</w:t>
      </w:r>
      <w:r>
        <w:rPr>
          <w:rFonts w:cs="Times New Roman"/>
          <w:lang w:val="fr-CA"/>
        </w:rPr>
        <w:t>’</w:t>
      </w:r>
      <w:r w:rsidRPr="00E13D0A">
        <w:rPr>
          <w:rFonts w:cs="Times New Roman"/>
          <w:lang w:val="fr-CA"/>
        </w:rPr>
        <w:t>application de l</w:t>
      </w:r>
      <w:r>
        <w:rPr>
          <w:rFonts w:cs="Times New Roman"/>
          <w:lang w:val="fr-CA"/>
        </w:rPr>
        <w:t>’art. </w:t>
      </w:r>
      <w:r w:rsidRPr="00E13D0A">
        <w:rPr>
          <w:rFonts w:cs="Times New Roman"/>
          <w:lang w:val="fr-CA"/>
        </w:rPr>
        <w:t>8, c</w:t>
      </w:r>
      <w:r>
        <w:rPr>
          <w:rFonts w:cs="Times New Roman"/>
          <w:lang w:val="fr-CA"/>
        </w:rPr>
        <w:t>’</w:t>
      </w:r>
      <w:r w:rsidRPr="00E13D0A">
        <w:rPr>
          <w:rFonts w:cs="Times New Roman"/>
          <w:lang w:val="fr-CA"/>
        </w:rPr>
        <w:t>est le RIAC qui autorise la saisie de l</w:t>
      </w:r>
      <w:r>
        <w:rPr>
          <w:rFonts w:cs="Times New Roman"/>
          <w:lang w:val="fr-CA"/>
        </w:rPr>
        <w:t>’</w:t>
      </w:r>
      <w:r w:rsidRPr="00E13D0A">
        <w:rPr>
          <w:rFonts w:cs="Times New Roman"/>
          <w:lang w:val="fr-CA"/>
        </w:rPr>
        <w:t>échantillon d</w:t>
      </w:r>
      <w:r>
        <w:rPr>
          <w:rFonts w:cs="Times New Roman"/>
          <w:lang w:val="fr-CA"/>
        </w:rPr>
        <w:t>’</w:t>
      </w:r>
      <w:r w:rsidRPr="00E13D0A">
        <w:rPr>
          <w:rFonts w:cs="Times New Roman"/>
          <w:lang w:val="fr-CA"/>
        </w:rPr>
        <w:t>haleine, et il est donc assujetti à l</w:t>
      </w:r>
      <w:r>
        <w:rPr>
          <w:rFonts w:cs="Times New Roman"/>
          <w:lang w:val="fr-CA"/>
        </w:rPr>
        <w:t>’</w:t>
      </w:r>
      <w:r w:rsidRPr="00E13D0A">
        <w:rPr>
          <w:rFonts w:cs="Times New Roman"/>
          <w:lang w:val="fr-CA"/>
        </w:rPr>
        <w:t xml:space="preserve">examen fondé sur la </w:t>
      </w:r>
      <w:r w:rsidRPr="00E13D0A">
        <w:rPr>
          <w:rFonts w:cs="Times New Roman"/>
          <w:i/>
          <w:lang w:val="fr-CA"/>
        </w:rPr>
        <w:t>Charte</w:t>
      </w:r>
      <w:r w:rsidRPr="00E13D0A">
        <w:rPr>
          <w:rFonts w:cs="Times New Roman"/>
          <w:lang w:val="fr-CA"/>
        </w:rPr>
        <w:t xml:space="preserve"> pour ce motif.</w:t>
      </w:r>
    </w:p>
    <w:p w:rsidR="00065721" w:rsidRPr="00E13D0A" w:rsidRDefault="00065721" w:rsidP="00926B45">
      <w:pPr>
        <w:pStyle w:val="Title3LevelTitre3Niveau"/>
        <w:widowControl w:val="0"/>
        <w:rPr>
          <w:rFonts w:cs="Times New Roman"/>
          <w:lang w:val="fr-CA"/>
        </w:rPr>
      </w:pPr>
      <w:r w:rsidRPr="00E13D0A">
        <w:rPr>
          <w:rFonts w:cs="Times New Roman"/>
          <w:lang w:val="fr-CA"/>
        </w:rPr>
        <w:t>La saisie prévue par le RIAC est</w:t>
      </w:r>
      <w:r>
        <w:rPr>
          <w:rFonts w:cs="Times New Roman"/>
          <w:lang w:val="fr-CA"/>
        </w:rPr>
        <w:noBreakHyphen/>
      </w:r>
      <w:r w:rsidRPr="00E13D0A">
        <w:rPr>
          <w:rFonts w:cs="Times New Roman"/>
          <w:lang w:val="fr-CA"/>
        </w:rPr>
        <w:t>elle raisonnable?</w:t>
      </w:r>
    </w:p>
    <w:p w:rsidR="00065721" w:rsidRPr="00E13D0A" w:rsidRDefault="00065721" w:rsidP="00926B45">
      <w:pPr>
        <w:pStyle w:val="ParaNoNdepar-AltN"/>
        <w:widowControl w:val="0"/>
        <w:rPr>
          <w:rFonts w:cs="Times New Roman"/>
          <w:lang w:val="fr-CA"/>
        </w:rPr>
      </w:pPr>
      <w:r w:rsidRPr="00E13D0A">
        <w:rPr>
          <w:rFonts w:cs="Times New Roman"/>
          <w:lang w:val="fr-CA"/>
        </w:rPr>
        <w:lastRenderedPageBreak/>
        <w:t>Comme l</w:t>
      </w:r>
      <w:r>
        <w:rPr>
          <w:rFonts w:cs="Times New Roman"/>
          <w:lang w:val="fr-CA"/>
        </w:rPr>
        <w:t>’</w:t>
      </w:r>
      <w:r w:rsidRPr="00E13D0A">
        <w:rPr>
          <w:rFonts w:cs="Times New Roman"/>
          <w:lang w:val="fr-CA"/>
        </w:rPr>
        <w:t xml:space="preserve">a écrit le juge Dickson aux </w:t>
      </w:r>
      <w:r>
        <w:rPr>
          <w:rFonts w:cs="Times New Roman"/>
          <w:lang w:val="fr-CA"/>
        </w:rPr>
        <w:t>p. </w:t>
      </w:r>
      <w:r w:rsidRPr="00E13D0A">
        <w:rPr>
          <w:rFonts w:cs="Times New Roman"/>
          <w:lang w:val="fr-CA"/>
        </w:rPr>
        <w:t>159</w:t>
      </w:r>
      <w:r w:rsidR="000E17F5">
        <w:rPr>
          <w:rFonts w:cs="Times New Roman"/>
          <w:lang w:val="fr-CA"/>
        </w:rPr>
        <w:t>-</w:t>
      </w:r>
      <w:r w:rsidRPr="00E13D0A">
        <w:rPr>
          <w:rFonts w:cs="Times New Roman"/>
          <w:lang w:val="fr-CA"/>
        </w:rPr>
        <w:t>160 de l</w:t>
      </w:r>
      <w:r>
        <w:rPr>
          <w:rFonts w:cs="Times New Roman"/>
          <w:lang w:val="fr-CA"/>
        </w:rPr>
        <w:t>’</w:t>
      </w:r>
      <w:r w:rsidRPr="00E13D0A">
        <w:rPr>
          <w:rFonts w:cs="Times New Roman"/>
          <w:lang w:val="fr-CA"/>
        </w:rPr>
        <w:t xml:space="preserve">arrêt unanime </w:t>
      </w:r>
      <w:r w:rsidRPr="00E13D0A">
        <w:rPr>
          <w:rFonts w:cs="Times New Roman"/>
          <w:i/>
          <w:lang w:val="fr-CA"/>
        </w:rPr>
        <w:t>Hunter</w:t>
      </w:r>
      <w:r w:rsidRPr="00E13D0A">
        <w:rPr>
          <w:rFonts w:cs="Times New Roman"/>
          <w:lang w:val="fr-CA"/>
        </w:rPr>
        <w:t>, pour déterminer si la loi qui autorise une fouille, une perquisition ou une saisie est raisonnable, il faut apprécier</w:t>
      </w:r>
    </w:p>
    <w:p w:rsidR="00065721" w:rsidRPr="00E13D0A" w:rsidRDefault="00065721" w:rsidP="00926B45">
      <w:pPr>
        <w:pStyle w:val="Citation-AltC"/>
        <w:widowControl w:val="0"/>
        <w:ind w:hanging="1166"/>
        <w:contextualSpacing w:val="0"/>
        <w:rPr>
          <w:rFonts w:eastAsiaTheme="minorEastAsia"/>
          <w:lang w:val="fr-CA"/>
        </w:rPr>
      </w:pPr>
      <w:r w:rsidRPr="00E13D0A">
        <w:rPr>
          <w:rFonts w:eastAsiaTheme="minorEastAsia"/>
          <w:lang w:val="fr-CA"/>
        </w:rPr>
        <w:tab/>
        <w:t>si, dans une situation donnée, le droit du public de ne pas être importuné par le gouvernement doit céder le pas au droit du gouvernement de s</w:t>
      </w:r>
      <w:r>
        <w:rPr>
          <w:rFonts w:eastAsiaTheme="minorEastAsia"/>
          <w:lang w:val="fr-CA"/>
        </w:rPr>
        <w:t>’</w:t>
      </w:r>
      <w:r w:rsidRPr="00E13D0A">
        <w:rPr>
          <w:rFonts w:eastAsiaTheme="minorEastAsia"/>
          <w:lang w:val="fr-CA"/>
        </w:rPr>
        <w:t>immiscer dans la vie privée des particuliers afin de réaliser ses fins et, notamment, d</w:t>
      </w:r>
      <w:r>
        <w:rPr>
          <w:rFonts w:eastAsiaTheme="minorEastAsia"/>
          <w:lang w:val="fr-CA"/>
        </w:rPr>
        <w:t>’</w:t>
      </w:r>
      <w:r w:rsidRPr="00E13D0A">
        <w:rPr>
          <w:rFonts w:eastAsiaTheme="minorEastAsia"/>
          <w:lang w:val="fr-CA"/>
        </w:rPr>
        <w:t>assurer l</w:t>
      </w:r>
      <w:r>
        <w:rPr>
          <w:rFonts w:eastAsiaTheme="minorEastAsia"/>
          <w:lang w:val="fr-CA"/>
        </w:rPr>
        <w:t>’</w:t>
      </w:r>
      <w:r w:rsidRPr="00E13D0A">
        <w:rPr>
          <w:rFonts w:eastAsiaTheme="minorEastAsia"/>
          <w:lang w:val="fr-CA"/>
        </w:rPr>
        <w:t>application de la loi.</w:t>
      </w:r>
    </w:p>
    <w:p w:rsidR="00065721" w:rsidRPr="00E13D0A" w:rsidRDefault="00065721" w:rsidP="00926B45">
      <w:pPr>
        <w:pStyle w:val="ContinueParaSuitedupar-AltP"/>
        <w:widowControl w:val="0"/>
        <w:rPr>
          <w:rFonts w:cs="Times New Roman"/>
          <w:lang w:val="fr-CA"/>
        </w:rPr>
      </w:pPr>
      <w:r w:rsidRPr="00E13D0A">
        <w:rPr>
          <w:rFonts w:cs="Times New Roman"/>
          <w:lang w:val="fr-CA"/>
        </w:rPr>
        <w:t>La protection que l</w:t>
      </w:r>
      <w:r>
        <w:rPr>
          <w:rFonts w:cs="Times New Roman"/>
          <w:lang w:val="fr-CA"/>
        </w:rPr>
        <w:t>’art. </w:t>
      </w:r>
      <w:r w:rsidRPr="00E13D0A">
        <w:rPr>
          <w:rFonts w:cs="Times New Roman"/>
          <w:lang w:val="fr-CA"/>
        </w:rPr>
        <w:t>8 accorde à la vie privée ― personnelle, territoriale et informationnelle ― d</w:t>
      </w:r>
      <w:r>
        <w:rPr>
          <w:rFonts w:cs="Times New Roman"/>
          <w:lang w:val="fr-CA"/>
        </w:rPr>
        <w:t>’</w:t>
      </w:r>
      <w:r w:rsidRPr="00E13D0A">
        <w:rPr>
          <w:rFonts w:cs="Times New Roman"/>
          <w:lang w:val="fr-CA"/>
        </w:rPr>
        <w:t>un particulier est essentielle non seulement à la dignité humaine, mais aussi au fonctionnement de notre société démocratique. Parallèlement, l</w:t>
      </w:r>
      <w:r>
        <w:rPr>
          <w:rFonts w:cs="Times New Roman"/>
          <w:lang w:val="fr-CA"/>
        </w:rPr>
        <w:t>’art. </w:t>
      </w:r>
      <w:r w:rsidRPr="00E13D0A">
        <w:rPr>
          <w:rFonts w:cs="Times New Roman"/>
          <w:lang w:val="fr-CA"/>
        </w:rPr>
        <w:t xml:space="preserve">8 permet les fouilles, les perquisitions et les saisies </w:t>
      </w:r>
      <w:r w:rsidRPr="00E13D0A">
        <w:rPr>
          <w:rFonts w:cs="Times New Roman"/>
          <w:i/>
          <w:lang w:val="fr-CA"/>
        </w:rPr>
        <w:t>raisonnables</w:t>
      </w:r>
      <w:r w:rsidRPr="00E13D0A">
        <w:rPr>
          <w:rFonts w:cs="Times New Roman"/>
          <w:lang w:val="fr-CA"/>
        </w:rPr>
        <w:t>, reconnaissant que le droit légitime de l</w:t>
      </w:r>
      <w:r>
        <w:rPr>
          <w:rFonts w:cs="Times New Roman"/>
          <w:lang w:val="fr-CA"/>
        </w:rPr>
        <w:t>’</w:t>
      </w:r>
      <w:r w:rsidRPr="00E13D0A">
        <w:rPr>
          <w:rFonts w:cs="Times New Roman"/>
          <w:lang w:val="fr-CA"/>
        </w:rPr>
        <w:t>État de réaliser ses fins ou d</w:t>
      </w:r>
      <w:r>
        <w:rPr>
          <w:rFonts w:cs="Times New Roman"/>
          <w:lang w:val="fr-CA"/>
        </w:rPr>
        <w:t>’</w:t>
      </w:r>
      <w:r w:rsidRPr="00E13D0A">
        <w:rPr>
          <w:rFonts w:cs="Times New Roman"/>
          <w:lang w:val="fr-CA"/>
        </w:rPr>
        <w:t xml:space="preserve">appliquer ses lois nécessitera parfois une certaine intrusion dans la sphère privée. Le tiraillement mis en évidence dans </w:t>
      </w:r>
      <w:r w:rsidRPr="00E13D0A">
        <w:rPr>
          <w:rFonts w:cs="Times New Roman"/>
          <w:i/>
          <w:lang w:val="fr-CA"/>
        </w:rPr>
        <w:t xml:space="preserve">Hunter </w:t>
      </w:r>
      <w:r w:rsidRPr="00E13D0A">
        <w:rPr>
          <w:rFonts w:cs="Times New Roman"/>
          <w:lang w:val="fr-CA"/>
        </w:rPr>
        <w:t>entre les intérêts opposés de l</w:t>
      </w:r>
      <w:r>
        <w:rPr>
          <w:rFonts w:cs="Times New Roman"/>
          <w:lang w:val="fr-CA"/>
        </w:rPr>
        <w:t>’</w:t>
      </w:r>
      <w:r w:rsidRPr="00E13D0A">
        <w:rPr>
          <w:rFonts w:cs="Times New Roman"/>
          <w:lang w:val="fr-CA"/>
        </w:rPr>
        <w:t>individu et de l</w:t>
      </w:r>
      <w:r>
        <w:rPr>
          <w:rFonts w:cs="Times New Roman"/>
          <w:lang w:val="fr-CA"/>
        </w:rPr>
        <w:t>’</w:t>
      </w:r>
      <w:r w:rsidRPr="00E13D0A">
        <w:rPr>
          <w:rFonts w:cs="Times New Roman"/>
          <w:lang w:val="fr-CA"/>
        </w:rPr>
        <w:t>État, et le caractère suffisant des mesures de protection prévues, demeurent fondamenta</w:t>
      </w:r>
      <w:r w:rsidR="000E17F5">
        <w:rPr>
          <w:rFonts w:cs="Times New Roman"/>
          <w:lang w:val="fr-CA"/>
        </w:rPr>
        <w:t>ux</w:t>
      </w:r>
      <w:r w:rsidRPr="00E13D0A">
        <w:rPr>
          <w:rFonts w:cs="Times New Roman"/>
          <w:lang w:val="fr-CA"/>
        </w:rPr>
        <w:t xml:space="preserve"> pour cette analyse. </w:t>
      </w:r>
    </w:p>
    <w:p w:rsidR="00065721" w:rsidRPr="00E13D0A" w:rsidRDefault="00065721" w:rsidP="00926B45">
      <w:pPr>
        <w:pStyle w:val="ParaNoNdepar-AltN"/>
        <w:widowControl w:val="0"/>
        <w:rPr>
          <w:rFonts w:cs="Times New Roman"/>
          <w:lang w:val="fr-CA"/>
        </w:rPr>
      </w:pPr>
      <w:r w:rsidRPr="00E13D0A">
        <w:rPr>
          <w:rFonts w:cs="Times New Roman"/>
          <w:lang w:val="fr-CA"/>
        </w:rPr>
        <w:t>Les fouilles, les perquisitions ou les saisies sans mandat ― comme la saisie sur laquelle repose le RIAC ― sont présumées abusives</w:t>
      </w:r>
      <w:r>
        <w:rPr>
          <w:rFonts w:cs="Times New Roman"/>
          <w:lang w:val="fr-CA"/>
        </w:rPr>
        <w:t> :</w:t>
      </w:r>
      <w:r w:rsidRPr="00E13D0A">
        <w:rPr>
          <w:rFonts w:cs="Times New Roman"/>
          <w:lang w:val="fr-CA"/>
        </w:rPr>
        <w:t xml:space="preserve"> </w:t>
      </w:r>
      <w:r w:rsidRPr="00E13D0A">
        <w:rPr>
          <w:rFonts w:cs="Times New Roman"/>
          <w:i/>
          <w:lang w:val="fr-CA"/>
        </w:rPr>
        <w:t>Hunter</w:t>
      </w:r>
      <w:r w:rsidRPr="00E13D0A">
        <w:rPr>
          <w:rFonts w:cs="Times New Roman"/>
          <w:lang w:val="fr-CA"/>
        </w:rPr>
        <w:t xml:space="preserve">, </w:t>
      </w:r>
      <w:r>
        <w:rPr>
          <w:rFonts w:cs="Times New Roman"/>
          <w:lang w:val="fr-CA"/>
        </w:rPr>
        <w:t>p. </w:t>
      </w:r>
      <w:r w:rsidRPr="00E13D0A">
        <w:rPr>
          <w:rFonts w:cs="Times New Roman"/>
          <w:lang w:val="fr-CA"/>
        </w:rPr>
        <w:t>161</w:t>
      </w:r>
      <w:r>
        <w:rPr>
          <w:rFonts w:cs="Times New Roman"/>
          <w:lang w:val="fr-CA"/>
        </w:rPr>
        <w:t xml:space="preserve">. </w:t>
      </w:r>
      <w:r w:rsidRPr="00E13D0A">
        <w:rPr>
          <w:rFonts w:cs="Times New Roman"/>
          <w:lang w:val="fr-CA"/>
        </w:rPr>
        <w:t>Le fardeau d</w:t>
      </w:r>
      <w:r>
        <w:rPr>
          <w:rFonts w:cs="Times New Roman"/>
          <w:lang w:val="fr-CA"/>
        </w:rPr>
        <w:t>’</w:t>
      </w:r>
      <w:r w:rsidRPr="00E13D0A">
        <w:rPr>
          <w:rFonts w:cs="Times New Roman"/>
          <w:lang w:val="fr-CA"/>
        </w:rPr>
        <w:t>établir le caractère raisonnable incombe donc à l</w:t>
      </w:r>
      <w:r>
        <w:rPr>
          <w:rFonts w:cs="Times New Roman"/>
          <w:lang w:val="fr-CA"/>
        </w:rPr>
        <w:t>’</w:t>
      </w:r>
      <w:r w:rsidRPr="00E13D0A">
        <w:rPr>
          <w:rFonts w:cs="Times New Roman"/>
          <w:lang w:val="fr-CA"/>
        </w:rPr>
        <w:t>État.</w:t>
      </w:r>
    </w:p>
    <w:p w:rsidR="00065721" w:rsidRPr="00E13D0A" w:rsidRDefault="00065721" w:rsidP="00926B45">
      <w:pPr>
        <w:pStyle w:val="ParaNoNdepar-AltN"/>
        <w:widowControl w:val="0"/>
        <w:rPr>
          <w:rFonts w:cs="Times New Roman"/>
          <w:lang w:val="fr-CA"/>
        </w:rPr>
      </w:pPr>
      <w:r w:rsidRPr="00E13D0A">
        <w:rPr>
          <w:rFonts w:cs="Times New Roman"/>
          <w:lang w:val="fr-CA"/>
        </w:rPr>
        <w:t>La Cour a généralement refusé d</w:t>
      </w:r>
      <w:r>
        <w:rPr>
          <w:rFonts w:cs="Times New Roman"/>
          <w:lang w:val="fr-CA"/>
        </w:rPr>
        <w:t>’</w:t>
      </w:r>
      <w:r w:rsidRPr="00E13D0A">
        <w:rPr>
          <w:rFonts w:cs="Times New Roman"/>
          <w:lang w:val="fr-CA"/>
        </w:rPr>
        <w:t>énoncer un critère « absolu » du caractère raisonnable</w:t>
      </w:r>
      <w:r>
        <w:rPr>
          <w:rFonts w:cs="Times New Roman"/>
          <w:lang w:val="fr-CA"/>
        </w:rPr>
        <w:t> :</w:t>
      </w:r>
      <w:r w:rsidRPr="00E13D0A">
        <w:rPr>
          <w:rFonts w:cs="Times New Roman"/>
          <w:lang w:val="fr-CA"/>
        </w:rPr>
        <w:t xml:space="preserve"> voir </w:t>
      </w:r>
      <w:r w:rsidRPr="00E13D0A">
        <w:rPr>
          <w:rFonts w:cs="Times New Roman"/>
          <w:i/>
          <w:lang w:val="fr-CA"/>
        </w:rPr>
        <w:t>Thomson Newspapers Ltd. c. Canada (Directeur des enquêtes et recherches, Commission sur les pratiques restrictives du commerce)</w:t>
      </w:r>
      <w:r w:rsidRPr="00E13D0A">
        <w:rPr>
          <w:rFonts w:cs="Times New Roman"/>
          <w:lang w:val="fr-CA"/>
        </w:rPr>
        <w:t xml:space="preserve">, [1990] 1 R.C.S. 425, </w:t>
      </w:r>
      <w:r>
        <w:rPr>
          <w:rFonts w:cs="Times New Roman"/>
          <w:lang w:val="fr-CA"/>
        </w:rPr>
        <w:t>p. </w:t>
      </w:r>
      <w:r w:rsidRPr="00E13D0A">
        <w:rPr>
          <w:rFonts w:cs="Times New Roman"/>
          <w:lang w:val="fr-CA"/>
        </w:rPr>
        <w:t xml:space="preserve">495. À mon sens, cette approche souple demeure avérée. La Cour a néanmoins </w:t>
      </w:r>
      <w:r w:rsidRPr="00E13D0A">
        <w:rPr>
          <w:rFonts w:cs="Times New Roman"/>
          <w:lang w:val="fr-CA"/>
        </w:rPr>
        <w:lastRenderedPageBreak/>
        <w:t>relevé certaines considérations qui peuvent être utiles dans l</w:t>
      </w:r>
      <w:r>
        <w:rPr>
          <w:rFonts w:cs="Times New Roman"/>
          <w:lang w:val="fr-CA"/>
        </w:rPr>
        <w:t>’</w:t>
      </w:r>
      <w:r w:rsidRPr="00E13D0A">
        <w:rPr>
          <w:rFonts w:cs="Times New Roman"/>
          <w:lang w:val="fr-CA"/>
        </w:rPr>
        <w:t>analyse du caractère raisonnable, dont « la nature et l</w:t>
      </w:r>
      <w:r>
        <w:rPr>
          <w:rFonts w:cs="Times New Roman"/>
          <w:lang w:val="fr-CA"/>
        </w:rPr>
        <w:t>’</w:t>
      </w:r>
      <w:r w:rsidRPr="00E13D0A">
        <w:rPr>
          <w:rFonts w:cs="Times New Roman"/>
          <w:lang w:val="fr-CA"/>
        </w:rPr>
        <w:t>objet du régime législatif [. . .]; le mécanisme employé [. . .] et le degré d</w:t>
      </w:r>
      <w:r>
        <w:rPr>
          <w:rFonts w:cs="Times New Roman"/>
          <w:lang w:val="fr-CA"/>
        </w:rPr>
        <w:t>’</w:t>
      </w:r>
      <w:r w:rsidRPr="00E13D0A">
        <w:rPr>
          <w:rFonts w:cs="Times New Roman"/>
          <w:lang w:val="fr-CA"/>
        </w:rPr>
        <w:t>empiétement possible de ce mécanisme; et l</w:t>
      </w:r>
      <w:r>
        <w:rPr>
          <w:rFonts w:cs="Times New Roman"/>
          <w:lang w:val="fr-CA"/>
        </w:rPr>
        <w:t>’</w:t>
      </w:r>
      <w:r w:rsidRPr="00E13D0A">
        <w:rPr>
          <w:rFonts w:cs="Times New Roman"/>
          <w:lang w:val="fr-CA"/>
        </w:rPr>
        <w:t>existence d</w:t>
      </w:r>
      <w:r>
        <w:rPr>
          <w:rFonts w:cs="Times New Roman"/>
          <w:lang w:val="fr-CA"/>
        </w:rPr>
        <w:t>’</w:t>
      </w:r>
      <w:r w:rsidRPr="00E13D0A">
        <w:rPr>
          <w:rFonts w:cs="Times New Roman"/>
          <w:lang w:val="fr-CA"/>
        </w:rPr>
        <w:t>une supervision judiciaire »</w:t>
      </w:r>
      <w:r>
        <w:rPr>
          <w:rFonts w:cs="Times New Roman"/>
          <w:lang w:val="fr-CA"/>
        </w:rPr>
        <w:t> :</w:t>
      </w:r>
      <w:r w:rsidRPr="00E13D0A">
        <w:rPr>
          <w:rFonts w:cs="Times New Roman"/>
          <w:lang w:val="fr-CA"/>
        </w:rPr>
        <w:t xml:space="preserve"> </w:t>
      </w:r>
      <w:r w:rsidRPr="00E13D0A">
        <w:rPr>
          <w:rFonts w:cs="Times New Roman"/>
          <w:i/>
          <w:iCs/>
          <w:lang w:val="fr-CA"/>
        </w:rPr>
        <w:t>Del Zotto c. Canada</w:t>
      </w:r>
      <w:r w:rsidRPr="00E13D0A">
        <w:rPr>
          <w:rFonts w:cs="Times New Roman"/>
          <w:iCs/>
          <w:lang w:val="fr-CA"/>
        </w:rPr>
        <w:t>,</w:t>
      </w:r>
      <w:r w:rsidRPr="00E13D0A">
        <w:rPr>
          <w:rFonts w:cs="Times New Roman"/>
          <w:i/>
          <w:iCs/>
          <w:lang w:val="fr-CA"/>
        </w:rPr>
        <w:t xml:space="preserve"> </w:t>
      </w:r>
      <w:r w:rsidRPr="00E13D0A">
        <w:rPr>
          <w:rFonts w:cs="Times New Roman"/>
          <w:iCs/>
          <w:lang w:val="fr-CA"/>
        </w:rPr>
        <w:t>[1997] 3 C.F. 40 (C.A.)</w:t>
      </w:r>
      <w:r w:rsidRPr="00E13D0A">
        <w:rPr>
          <w:rFonts w:cs="Times New Roman"/>
          <w:lang w:val="fr-CA"/>
        </w:rPr>
        <w:t>, le juge Strayer, dans ses motifs dissidents adoptés par la Cour dans [1999] 1 R.C.S. 3.</w:t>
      </w:r>
    </w:p>
    <w:p w:rsidR="00065721" w:rsidRPr="00E13D0A" w:rsidRDefault="00065721" w:rsidP="00F100FC">
      <w:pPr>
        <w:pStyle w:val="Title4LevelTitre4Niveau"/>
        <w:rPr>
          <w:lang w:val="fr-CA"/>
        </w:rPr>
      </w:pPr>
      <w:r w:rsidRPr="00E13D0A">
        <w:rPr>
          <w:lang w:val="fr-CA"/>
        </w:rPr>
        <w:t>L</w:t>
      </w:r>
      <w:r>
        <w:rPr>
          <w:lang w:val="fr-CA"/>
        </w:rPr>
        <w:t>’</w:t>
      </w:r>
      <w:r w:rsidRPr="00E13D0A">
        <w:rPr>
          <w:lang w:val="fr-CA"/>
        </w:rPr>
        <w:t>objet du RIAC</w:t>
      </w:r>
    </w:p>
    <w:p w:rsidR="00065721" w:rsidRPr="00E13D0A" w:rsidRDefault="00065721" w:rsidP="00926B45">
      <w:pPr>
        <w:pStyle w:val="ParaNoNdepar-AltN"/>
        <w:widowControl w:val="0"/>
        <w:rPr>
          <w:rFonts w:cs="Times New Roman"/>
          <w:lang w:val="fr-CA"/>
        </w:rPr>
      </w:pPr>
      <w:r w:rsidRPr="00E13D0A">
        <w:rPr>
          <w:rFonts w:cs="Times New Roman"/>
          <w:lang w:val="fr-CA"/>
        </w:rPr>
        <w:t>L</w:t>
      </w:r>
      <w:r>
        <w:rPr>
          <w:rFonts w:cs="Times New Roman"/>
          <w:lang w:val="fr-CA"/>
        </w:rPr>
        <w:t>’</w:t>
      </w:r>
      <w:r w:rsidRPr="00E13D0A">
        <w:rPr>
          <w:rFonts w:cs="Times New Roman"/>
          <w:lang w:val="fr-CA"/>
        </w:rPr>
        <w:t>objectif de chasser des routes les conducteurs aux facultés affaiblies est impérieux. Comme le fait valoir l</w:t>
      </w:r>
      <w:r>
        <w:rPr>
          <w:rFonts w:cs="Times New Roman"/>
          <w:lang w:val="fr-CA"/>
        </w:rPr>
        <w:t>’</w:t>
      </w:r>
      <w:r w:rsidRPr="00E13D0A">
        <w:rPr>
          <w:rFonts w:cs="Times New Roman"/>
          <w:lang w:val="fr-CA"/>
        </w:rPr>
        <w:t>intervenante Les mères contre l</w:t>
      </w:r>
      <w:r>
        <w:rPr>
          <w:rFonts w:cs="Times New Roman"/>
          <w:lang w:val="fr-CA"/>
        </w:rPr>
        <w:t>’</w:t>
      </w:r>
      <w:r w:rsidRPr="00E13D0A">
        <w:rPr>
          <w:rFonts w:cs="Times New Roman"/>
          <w:lang w:val="fr-CA"/>
        </w:rPr>
        <w:t>alcool au volant, la conduite avec facultés affaiblies est responsable d</w:t>
      </w:r>
      <w:r>
        <w:rPr>
          <w:rFonts w:cs="Times New Roman"/>
          <w:lang w:val="fr-CA"/>
        </w:rPr>
        <w:t>’</w:t>
      </w:r>
      <w:r w:rsidRPr="00E13D0A">
        <w:rPr>
          <w:rFonts w:cs="Times New Roman"/>
          <w:lang w:val="fr-CA"/>
        </w:rPr>
        <w:t>un nombre alarmant de blessures et de décès chaque année au Canada, un risque auquel les jeunes sont exposés de façon disproportionnée</w:t>
      </w:r>
      <w:r w:rsidRPr="00E13D0A">
        <w:rPr>
          <w:rStyle w:val="FootnoteReference"/>
          <w:rFonts w:cs="Times New Roman"/>
          <w:lang w:val="fr-CA"/>
        </w:rPr>
        <w:footnoteReference w:id="5"/>
      </w:r>
      <w:r w:rsidRPr="00E13D0A">
        <w:rPr>
          <w:rFonts w:cs="Times New Roman"/>
          <w:lang w:val="fr-CA"/>
        </w:rPr>
        <w:t>. Le RIAC a été mis en place dans le cadre de l</w:t>
      </w:r>
      <w:r>
        <w:rPr>
          <w:rFonts w:cs="Times New Roman"/>
          <w:lang w:val="fr-CA"/>
        </w:rPr>
        <w:t>’</w:t>
      </w:r>
      <w:r w:rsidRPr="00E13D0A">
        <w:rPr>
          <w:rFonts w:cs="Times New Roman"/>
          <w:lang w:val="fr-CA"/>
        </w:rPr>
        <w:t>objectif de la Province de réduire les décès causés par l</w:t>
      </w:r>
      <w:r>
        <w:rPr>
          <w:rFonts w:cs="Times New Roman"/>
          <w:lang w:val="fr-CA"/>
        </w:rPr>
        <w:t>’</w:t>
      </w:r>
      <w:r w:rsidRPr="00E13D0A">
        <w:rPr>
          <w:rFonts w:cs="Times New Roman"/>
          <w:lang w:val="fr-CA"/>
        </w:rPr>
        <w:t>alcool au volant de 35 pour 100 au plus tard à la fin de 2013</w:t>
      </w:r>
      <w:r w:rsidRPr="00E13D0A">
        <w:rPr>
          <w:rStyle w:val="FootnoteReference"/>
          <w:rFonts w:cs="Times New Roman"/>
          <w:lang w:val="fr-CA"/>
        </w:rPr>
        <w:footnoteReference w:id="6"/>
      </w:r>
      <w:r w:rsidRPr="00E13D0A">
        <w:rPr>
          <w:rFonts w:cs="Times New Roman"/>
          <w:lang w:val="fr-CA"/>
        </w:rPr>
        <w:t>.</w:t>
      </w:r>
    </w:p>
    <w:p w:rsidR="00065721" w:rsidRPr="00E13D0A" w:rsidRDefault="00065721" w:rsidP="00926B45">
      <w:pPr>
        <w:pStyle w:val="ParaNoNdepar-AltN"/>
        <w:widowControl w:val="0"/>
        <w:rPr>
          <w:rFonts w:cs="Times New Roman"/>
          <w:lang w:val="fr-CA"/>
        </w:rPr>
      </w:pPr>
      <w:r w:rsidRPr="00E13D0A">
        <w:rPr>
          <w:rFonts w:cs="Times New Roman"/>
          <w:lang w:val="fr-CA"/>
        </w:rPr>
        <w:t>La saisie de l</w:t>
      </w:r>
      <w:r>
        <w:rPr>
          <w:rFonts w:cs="Times New Roman"/>
          <w:lang w:val="fr-CA"/>
        </w:rPr>
        <w:t>’</w:t>
      </w:r>
      <w:r w:rsidRPr="00E13D0A">
        <w:rPr>
          <w:rFonts w:cs="Times New Roman"/>
          <w:lang w:val="fr-CA"/>
        </w:rPr>
        <w:t>échantillon d</w:t>
      </w:r>
      <w:r>
        <w:rPr>
          <w:rFonts w:cs="Times New Roman"/>
          <w:lang w:val="fr-CA"/>
        </w:rPr>
        <w:t>’</w:t>
      </w:r>
      <w:r w:rsidRPr="00E13D0A">
        <w:rPr>
          <w:rFonts w:cs="Times New Roman"/>
          <w:lang w:val="fr-CA"/>
        </w:rPr>
        <w:t>haleine d</w:t>
      </w:r>
      <w:r>
        <w:rPr>
          <w:rFonts w:cs="Times New Roman"/>
          <w:lang w:val="fr-CA"/>
        </w:rPr>
        <w:t>’</w:t>
      </w:r>
      <w:r w:rsidRPr="00E13D0A">
        <w:rPr>
          <w:rFonts w:cs="Times New Roman"/>
          <w:lang w:val="fr-CA"/>
        </w:rPr>
        <w:t>un conducteur au moyen d</w:t>
      </w:r>
      <w:r>
        <w:rPr>
          <w:rFonts w:cs="Times New Roman"/>
          <w:lang w:val="fr-CA"/>
        </w:rPr>
        <w:t>’</w:t>
      </w:r>
      <w:r w:rsidRPr="00E13D0A">
        <w:rPr>
          <w:rFonts w:cs="Times New Roman"/>
          <w:lang w:val="fr-CA"/>
        </w:rPr>
        <w:t>une analyse effectuée à l</w:t>
      </w:r>
      <w:r>
        <w:rPr>
          <w:rFonts w:cs="Times New Roman"/>
          <w:lang w:val="fr-CA"/>
        </w:rPr>
        <w:t>’</w:t>
      </w:r>
      <w:r w:rsidRPr="00E13D0A">
        <w:rPr>
          <w:rFonts w:cs="Times New Roman"/>
          <w:lang w:val="fr-CA"/>
        </w:rPr>
        <w:t>aide d</w:t>
      </w:r>
      <w:r>
        <w:rPr>
          <w:rFonts w:cs="Times New Roman"/>
          <w:lang w:val="fr-CA"/>
        </w:rPr>
        <w:t>’</w:t>
      </w:r>
      <w:r w:rsidRPr="00E13D0A">
        <w:rPr>
          <w:rFonts w:cs="Times New Roman"/>
          <w:lang w:val="fr-CA"/>
        </w:rPr>
        <w:t>un ADA lors d</w:t>
      </w:r>
      <w:r>
        <w:rPr>
          <w:rFonts w:cs="Times New Roman"/>
          <w:lang w:val="fr-CA"/>
        </w:rPr>
        <w:t>’</w:t>
      </w:r>
      <w:r w:rsidRPr="00E13D0A">
        <w:rPr>
          <w:rFonts w:cs="Times New Roman"/>
          <w:lang w:val="fr-CA"/>
        </w:rPr>
        <w:t>un contrôle routier est la première étape de la réponse réglementaire de la Province à la conduite avec facultés affaiblies, réponse qui permet à la Province de repérer les conducteurs dont l</w:t>
      </w:r>
      <w:r>
        <w:rPr>
          <w:rFonts w:cs="Times New Roman"/>
          <w:lang w:val="fr-CA"/>
        </w:rPr>
        <w:t>’</w:t>
      </w:r>
      <w:r w:rsidRPr="00E13D0A">
        <w:rPr>
          <w:rFonts w:cs="Times New Roman"/>
          <w:lang w:val="fr-CA"/>
        </w:rPr>
        <w:t>alcoolémie est supérieure à 0,05 et de suspendre leur permis. La demande d</w:t>
      </w:r>
      <w:r>
        <w:rPr>
          <w:rFonts w:cs="Times New Roman"/>
          <w:lang w:val="fr-CA"/>
        </w:rPr>
        <w:t>’</w:t>
      </w:r>
      <w:r w:rsidRPr="00E13D0A">
        <w:rPr>
          <w:rFonts w:cs="Times New Roman"/>
          <w:lang w:val="fr-CA"/>
        </w:rPr>
        <w:t>échantillon d</w:t>
      </w:r>
      <w:r>
        <w:rPr>
          <w:rFonts w:cs="Times New Roman"/>
          <w:lang w:val="fr-CA"/>
        </w:rPr>
        <w:t>’</w:t>
      </w:r>
      <w:r w:rsidRPr="00E13D0A">
        <w:rPr>
          <w:rFonts w:cs="Times New Roman"/>
          <w:lang w:val="fr-CA"/>
        </w:rPr>
        <w:t xml:space="preserve">haleine est un élément </w:t>
      </w:r>
      <w:r w:rsidRPr="00E13D0A">
        <w:rPr>
          <w:rFonts w:cs="Times New Roman"/>
          <w:lang w:val="fr-CA"/>
        </w:rPr>
        <w:lastRenderedPageBreak/>
        <w:t>crucial des efforts déployés par la Province pour protéger les Britanno</w:t>
      </w:r>
      <w:r>
        <w:rPr>
          <w:rFonts w:cs="Times New Roman"/>
          <w:lang w:val="fr-CA"/>
        </w:rPr>
        <w:noBreakHyphen/>
      </w:r>
      <w:r w:rsidRPr="00E13D0A">
        <w:rPr>
          <w:rFonts w:cs="Times New Roman"/>
          <w:lang w:val="fr-CA"/>
        </w:rPr>
        <w:t>Colombiens des conducteurs aux facultés affaiblies, en révoquant le privilège de conduire à ceux et à celles qui conduisent avec les facultés affaiblies. Cet objet impérieux d</w:t>
      </w:r>
      <w:r>
        <w:rPr>
          <w:rFonts w:cs="Times New Roman"/>
          <w:lang w:val="fr-CA"/>
        </w:rPr>
        <w:t>’</w:t>
      </w:r>
      <w:r w:rsidRPr="00E13D0A">
        <w:rPr>
          <w:rFonts w:cs="Times New Roman"/>
          <w:lang w:val="fr-CA"/>
        </w:rPr>
        <w:t>empêcher les décès et les blessures graves sur les voies publiques milite fortement en faveur du caractère raisonnable de la saisie d</w:t>
      </w:r>
      <w:r>
        <w:rPr>
          <w:rFonts w:cs="Times New Roman"/>
          <w:lang w:val="fr-CA"/>
        </w:rPr>
        <w:t>’</w:t>
      </w:r>
      <w:r w:rsidRPr="00E13D0A">
        <w:rPr>
          <w:rFonts w:cs="Times New Roman"/>
          <w:lang w:val="fr-CA"/>
        </w:rPr>
        <w:t>un échantillon d</w:t>
      </w:r>
      <w:r>
        <w:rPr>
          <w:rFonts w:cs="Times New Roman"/>
          <w:lang w:val="fr-CA"/>
        </w:rPr>
        <w:t>’</w:t>
      </w:r>
      <w:r w:rsidRPr="00E13D0A">
        <w:rPr>
          <w:rFonts w:cs="Times New Roman"/>
          <w:lang w:val="fr-CA"/>
        </w:rPr>
        <w:t>haleine.</w:t>
      </w:r>
    </w:p>
    <w:p w:rsidR="00065721" w:rsidRPr="00E13D0A" w:rsidRDefault="00065721" w:rsidP="00926B45">
      <w:pPr>
        <w:pStyle w:val="Title4LevelTitre4Niveau"/>
        <w:widowControl w:val="0"/>
        <w:rPr>
          <w:rFonts w:cs="Times New Roman"/>
          <w:lang w:val="fr-CA"/>
        </w:rPr>
      </w:pPr>
      <w:r w:rsidRPr="00E13D0A">
        <w:rPr>
          <w:rFonts w:cs="Times New Roman"/>
          <w:lang w:val="fr-CA"/>
        </w:rPr>
        <w:t>La nature du RIAC</w:t>
      </w:r>
    </w:p>
    <w:p w:rsidR="00065721" w:rsidRPr="00E13D0A" w:rsidRDefault="00065721" w:rsidP="00926B45">
      <w:pPr>
        <w:pStyle w:val="ParaNoNdepar-AltN"/>
        <w:widowControl w:val="0"/>
        <w:rPr>
          <w:rFonts w:cs="Times New Roman"/>
          <w:lang w:val="fr-CA"/>
        </w:rPr>
      </w:pPr>
      <w:r w:rsidRPr="00E13D0A">
        <w:rPr>
          <w:rFonts w:cs="Times New Roman"/>
          <w:lang w:val="fr-CA"/>
        </w:rPr>
        <w:t>La Cour a reconnu dans ses premiers arrêts sur l</w:t>
      </w:r>
      <w:r>
        <w:rPr>
          <w:rFonts w:cs="Times New Roman"/>
          <w:lang w:val="fr-CA"/>
        </w:rPr>
        <w:t>’art. </w:t>
      </w:r>
      <w:r w:rsidRPr="00E13D0A">
        <w:rPr>
          <w:rFonts w:cs="Times New Roman"/>
          <w:lang w:val="fr-CA"/>
        </w:rPr>
        <w:t>8 que le caractère criminel ou réglementaire attribué à une fouille, à une perquisition ou à une saisie est pertinent lorsqu</w:t>
      </w:r>
      <w:r>
        <w:rPr>
          <w:rFonts w:cs="Times New Roman"/>
          <w:lang w:val="fr-CA"/>
        </w:rPr>
        <w:t>’</w:t>
      </w:r>
      <w:r w:rsidRPr="00E13D0A">
        <w:rPr>
          <w:rFonts w:cs="Times New Roman"/>
          <w:lang w:val="fr-CA"/>
        </w:rPr>
        <w:t>il s</w:t>
      </w:r>
      <w:r>
        <w:rPr>
          <w:rFonts w:cs="Times New Roman"/>
          <w:lang w:val="fr-CA"/>
        </w:rPr>
        <w:t>’</w:t>
      </w:r>
      <w:r w:rsidRPr="00E13D0A">
        <w:rPr>
          <w:rFonts w:cs="Times New Roman"/>
          <w:lang w:val="fr-CA"/>
        </w:rPr>
        <w:t>agit d</w:t>
      </w:r>
      <w:r>
        <w:rPr>
          <w:rFonts w:cs="Times New Roman"/>
          <w:lang w:val="fr-CA"/>
        </w:rPr>
        <w:t>’</w:t>
      </w:r>
      <w:r w:rsidRPr="00E13D0A">
        <w:rPr>
          <w:rFonts w:cs="Times New Roman"/>
          <w:lang w:val="fr-CA"/>
        </w:rPr>
        <w:t>en apprécier le caractère raisonnable. Lorsque l</w:t>
      </w:r>
      <w:r>
        <w:rPr>
          <w:rFonts w:cs="Times New Roman"/>
          <w:lang w:val="fr-CA"/>
        </w:rPr>
        <w:t>’</w:t>
      </w:r>
      <w:r w:rsidRPr="00E13D0A">
        <w:rPr>
          <w:rFonts w:cs="Times New Roman"/>
          <w:lang w:val="fr-CA"/>
        </w:rPr>
        <w:t>objet de la</w:t>
      </w:r>
      <w:r w:rsidR="00942686">
        <w:rPr>
          <w:rFonts w:cs="Times New Roman"/>
          <w:lang w:val="fr-CA"/>
        </w:rPr>
        <w:t xml:space="preserve"> loi contestée est de nature ré</w:t>
      </w:r>
      <w:r w:rsidRPr="00E13D0A">
        <w:rPr>
          <w:rFonts w:cs="Times New Roman"/>
          <w:lang w:val="fr-CA"/>
        </w:rPr>
        <w:t>glementaire et non criminelle, des normes moins sévères peuvent s</w:t>
      </w:r>
      <w:r>
        <w:rPr>
          <w:rFonts w:cs="Times New Roman"/>
          <w:lang w:val="fr-CA"/>
        </w:rPr>
        <w:t>’</w:t>
      </w:r>
      <w:r w:rsidRPr="00E13D0A">
        <w:rPr>
          <w:rFonts w:cs="Times New Roman"/>
          <w:lang w:val="fr-CA"/>
        </w:rPr>
        <w:t>appliquer</w:t>
      </w:r>
      <w:r>
        <w:rPr>
          <w:rFonts w:cs="Times New Roman"/>
          <w:lang w:val="fr-CA"/>
        </w:rPr>
        <w:t> :</w:t>
      </w:r>
      <w:r w:rsidRPr="00E13D0A">
        <w:rPr>
          <w:rFonts w:cs="Times New Roman"/>
          <w:lang w:val="fr-CA"/>
        </w:rPr>
        <w:t xml:space="preserve"> voir </w:t>
      </w:r>
      <w:r w:rsidRPr="00E13D0A">
        <w:rPr>
          <w:rFonts w:cs="Times New Roman"/>
          <w:i/>
          <w:lang w:val="fr-CA"/>
        </w:rPr>
        <w:t>British Columbia Securities Commission c. Branch</w:t>
      </w:r>
      <w:r w:rsidRPr="00E13D0A">
        <w:rPr>
          <w:rFonts w:cs="Times New Roman"/>
          <w:lang w:val="fr-CA"/>
        </w:rPr>
        <w:t xml:space="preserve">, [1995] 2 R.C.S. 3, </w:t>
      </w:r>
      <w:r>
        <w:rPr>
          <w:rFonts w:cs="Times New Roman"/>
          <w:lang w:val="fr-CA"/>
        </w:rPr>
        <w:t>par. </w:t>
      </w:r>
      <w:r w:rsidRPr="00E13D0A">
        <w:rPr>
          <w:rFonts w:cs="Times New Roman"/>
          <w:lang w:val="fr-CA"/>
        </w:rPr>
        <w:t xml:space="preserve">52; </w:t>
      </w:r>
      <w:r w:rsidRPr="00E13D0A">
        <w:rPr>
          <w:rFonts w:cs="Times New Roman"/>
          <w:i/>
          <w:lang w:val="fr-CA"/>
        </w:rPr>
        <w:t>McKinlay</w:t>
      </w:r>
      <w:r w:rsidR="00424818">
        <w:rPr>
          <w:rFonts w:cs="Times New Roman"/>
          <w:i/>
          <w:lang w:val="fr-CA"/>
        </w:rPr>
        <w:t xml:space="preserve"> Transport Ltd.</w:t>
      </w:r>
      <w:r w:rsidRPr="00E13D0A">
        <w:rPr>
          <w:rFonts w:cs="Times New Roman"/>
          <w:lang w:val="fr-CA"/>
        </w:rPr>
        <w:t xml:space="preserve">, </w:t>
      </w:r>
      <w:r>
        <w:rPr>
          <w:rFonts w:cs="Times New Roman"/>
          <w:lang w:val="fr-CA"/>
        </w:rPr>
        <w:t>p. </w:t>
      </w:r>
      <w:r w:rsidRPr="00E13D0A">
        <w:rPr>
          <w:rFonts w:cs="Times New Roman"/>
          <w:lang w:val="fr-CA"/>
        </w:rPr>
        <w:t xml:space="preserve">647, la juge Wilson; </w:t>
      </w:r>
      <w:r w:rsidRPr="00E13D0A">
        <w:rPr>
          <w:rFonts w:cs="Times New Roman"/>
          <w:i/>
          <w:lang w:val="fr-CA"/>
        </w:rPr>
        <w:t>R. c. Jarvis</w:t>
      </w:r>
      <w:r w:rsidRPr="00E13D0A">
        <w:rPr>
          <w:rFonts w:cs="Times New Roman"/>
          <w:lang w:val="fr-CA"/>
        </w:rPr>
        <w:t>, 2002 CSC 73, [2002] 3 R.C.S. 757. Comme je l</w:t>
      </w:r>
      <w:r>
        <w:rPr>
          <w:rFonts w:cs="Times New Roman"/>
          <w:lang w:val="fr-CA"/>
        </w:rPr>
        <w:t>’</w:t>
      </w:r>
      <w:r w:rsidRPr="00E13D0A">
        <w:rPr>
          <w:rFonts w:cs="Times New Roman"/>
          <w:lang w:val="fr-CA"/>
        </w:rPr>
        <w:t>ai déjà dit, la qualification correcte du RIAC et de la saisie d</w:t>
      </w:r>
      <w:r>
        <w:rPr>
          <w:rFonts w:cs="Times New Roman"/>
          <w:lang w:val="fr-CA"/>
        </w:rPr>
        <w:t>’</w:t>
      </w:r>
      <w:r w:rsidRPr="00E13D0A">
        <w:rPr>
          <w:rFonts w:cs="Times New Roman"/>
          <w:lang w:val="fr-CA"/>
        </w:rPr>
        <w:t>un échantillon d</w:t>
      </w:r>
      <w:r>
        <w:rPr>
          <w:rFonts w:cs="Times New Roman"/>
          <w:lang w:val="fr-CA"/>
        </w:rPr>
        <w:t>’</w:t>
      </w:r>
      <w:r w:rsidRPr="00E13D0A">
        <w:rPr>
          <w:rFonts w:cs="Times New Roman"/>
          <w:lang w:val="fr-CA"/>
        </w:rPr>
        <w:t>haleine d</w:t>
      </w:r>
      <w:r>
        <w:rPr>
          <w:rFonts w:cs="Times New Roman"/>
          <w:lang w:val="fr-CA"/>
        </w:rPr>
        <w:t>’</w:t>
      </w:r>
      <w:r w:rsidRPr="00E13D0A">
        <w:rPr>
          <w:rFonts w:cs="Times New Roman"/>
          <w:lang w:val="fr-CA"/>
        </w:rPr>
        <w:t>un conducteur a fait l</w:t>
      </w:r>
      <w:r>
        <w:rPr>
          <w:rFonts w:cs="Times New Roman"/>
          <w:lang w:val="fr-CA"/>
        </w:rPr>
        <w:t>’</w:t>
      </w:r>
      <w:r w:rsidRPr="00E13D0A">
        <w:rPr>
          <w:rFonts w:cs="Times New Roman"/>
          <w:lang w:val="fr-CA"/>
        </w:rPr>
        <w:t>objet d</w:t>
      </w:r>
      <w:r>
        <w:rPr>
          <w:rFonts w:cs="Times New Roman"/>
          <w:lang w:val="fr-CA"/>
        </w:rPr>
        <w:t>’</w:t>
      </w:r>
      <w:r w:rsidRPr="00E13D0A">
        <w:rPr>
          <w:rFonts w:cs="Times New Roman"/>
          <w:lang w:val="fr-CA"/>
        </w:rPr>
        <w:t>un âpre débat tout au long de l</w:t>
      </w:r>
      <w:r>
        <w:rPr>
          <w:rFonts w:cs="Times New Roman"/>
          <w:lang w:val="fr-CA"/>
        </w:rPr>
        <w:t>’</w:t>
      </w:r>
      <w:r w:rsidRPr="00E13D0A">
        <w:rPr>
          <w:rFonts w:cs="Times New Roman"/>
          <w:lang w:val="fr-CA"/>
        </w:rPr>
        <w:t>instance.</w:t>
      </w:r>
    </w:p>
    <w:p w:rsidR="00065721" w:rsidRPr="00E13D0A" w:rsidRDefault="00065721" w:rsidP="00926B45">
      <w:pPr>
        <w:pStyle w:val="ParaNoNdepar-AltN"/>
        <w:widowControl w:val="0"/>
        <w:rPr>
          <w:rFonts w:cs="Times New Roman"/>
          <w:lang w:val="fr-CA"/>
        </w:rPr>
      </w:pPr>
      <w:r w:rsidRPr="00E13D0A">
        <w:rPr>
          <w:rFonts w:cs="Times New Roman"/>
          <w:lang w:val="fr-CA"/>
        </w:rPr>
        <w:t>Le juge en chambre a relevé plusieurs similitudes entre le RIAC et le droit criminel et a conclu que, même si le régime [</w:t>
      </w:r>
      <w:r w:rsidRPr="00E13D0A">
        <w:rPr>
          <w:rFonts w:cs="Times New Roman"/>
          <w:smallCaps/>
          <w:lang w:val="fr-CA"/>
        </w:rPr>
        <w:t>traduction</w:t>
      </w:r>
      <w:r w:rsidRPr="00E13D0A">
        <w:rPr>
          <w:rFonts w:cs="Times New Roman"/>
          <w:lang w:val="fr-CA"/>
        </w:rPr>
        <w:t>] « ne ressortit pas au droit criminel pour les besoins de l</w:t>
      </w:r>
      <w:r>
        <w:rPr>
          <w:rFonts w:cs="Times New Roman"/>
          <w:lang w:val="fr-CA"/>
        </w:rPr>
        <w:t>’</w:t>
      </w:r>
      <w:r w:rsidRPr="00E13D0A">
        <w:rPr>
          <w:rFonts w:cs="Times New Roman"/>
          <w:lang w:val="fr-CA"/>
        </w:rPr>
        <w:t>analyse du partage des compétences, il est juste de dire qu</w:t>
      </w:r>
      <w:r>
        <w:rPr>
          <w:rFonts w:cs="Times New Roman"/>
          <w:lang w:val="fr-CA"/>
        </w:rPr>
        <w:t>’</w:t>
      </w:r>
      <w:r w:rsidRPr="00E13D0A">
        <w:rPr>
          <w:rFonts w:cs="Times New Roman"/>
          <w:lang w:val="fr-CA"/>
        </w:rPr>
        <w:t>il n</w:t>
      </w:r>
      <w:r>
        <w:rPr>
          <w:rFonts w:cs="Times New Roman"/>
          <w:lang w:val="fr-CA"/>
        </w:rPr>
        <w:t>’</w:t>
      </w:r>
      <w:r w:rsidRPr="00E13D0A">
        <w:rPr>
          <w:rFonts w:cs="Times New Roman"/>
          <w:lang w:val="fr-CA"/>
        </w:rPr>
        <w:t>en est pas très éloigné en pratique »</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281. Il a également fait remarquer que, contrairement à bon nombre des fouilles, perquisitions ou saisies de nature réglementaire examinées dans la jurisprudence, le RIAC implique la saisie d</w:t>
      </w:r>
      <w:r>
        <w:rPr>
          <w:rFonts w:cs="Times New Roman"/>
          <w:lang w:val="fr-CA"/>
        </w:rPr>
        <w:t>’</w:t>
      </w:r>
      <w:r w:rsidRPr="00E13D0A">
        <w:rPr>
          <w:rFonts w:cs="Times New Roman"/>
          <w:lang w:val="fr-CA"/>
        </w:rPr>
        <w:t xml:space="preserve">un </w:t>
      </w:r>
      <w:r w:rsidRPr="00E13D0A">
        <w:rPr>
          <w:rFonts w:cs="Times New Roman"/>
          <w:lang w:val="fr-CA"/>
        </w:rPr>
        <w:lastRenderedPageBreak/>
        <w:t>échantillon d</w:t>
      </w:r>
      <w:r>
        <w:rPr>
          <w:rFonts w:cs="Times New Roman"/>
          <w:lang w:val="fr-CA"/>
        </w:rPr>
        <w:t>’</w:t>
      </w:r>
      <w:r w:rsidRPr="00E13D0A">
        <w:rPr>
          <w:rFonts w:cs="Times New Roman"/>
          <w:lang w:val="fr-CA"/>
        </w:rPr>
        <w:t>haleine plutôt qu</w:t>
      </w:r>
      <w:r>
        <w:rPr>
          <w:rFonts w:cs="Times New Roman"/>
          <w:lang w:val="fr-CA"/>
        </w:rPr>
        <w:t>’</w:t>
      </w:r>
      <w:r w:rsidRPr="00E13D0A">
        <w:rPr>
          <w:rFonts w:cs="Times New Roman"/>
          <w:lang w:val="fr-CA"/>
        </w:rPr>
        <w:t>une fouille, une perquisition ou une saisie de documents, et que les résultats de la saisie ne constituent pas simplement des éléments de preuve qui peuvent être utilisés dans un procès subséquent; ils sont plutôt déterminants quant aux conséquences qui en découlent, dont certaines sont assez graves</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281</w:t>
      </w:r>
      <w:r>
        <w:rPr>
          <w:rFonts w:cs="Times New Roman"/>
          <w:lang w:val="fr-CA"/>
        </w:rPr>
        <w:noBreakHyphen/>
      </w:r>
      <w:r w:rsidRPr="00E13D0A">
        <w:rPr>
          <w:rFonts w:cs="Times New Roman"/>
          <w:lang w:val="fr-CA"/>
        </w:rPr>
        <w:t>284. Ces considérations sont toutes pertinentes.</w:t>
      </w:r>
    </w:p>
    <w:p w:rsidR="00065721" w:rsidRPr="00E13D0A" w:rsidRDefault="00065721" w:rsidP="00926B45">
      <w:pPr>
        <w:pStyle w:val="ParaNoNdepar-AltN"/>
        <w:widowControl w:val="0"/>
        <w:rPr>
          <w:rFonts w:cs="Times New Roman"/>
          <w:lang w:val="fr-CA"/>
        </w:rPr>
      </w:pPr>
      <w:r w:rsidRPr="00E13D0A">
        <w:rPr>
          <w:rFonts w:cs="Times New Roman"/>
          <w:lang w:val="fr-CA"/>
        </w:rPr>
        <w:t>L</w:t>
      </w:r>
      <w:r>
        <w:rPr>
          <w:rFonts w:cs="Times New Roman"/>
          <w:lang w:val="fr-CA"/>
        </w:rPr>
        <w:t>’</w:t>
      </w:r>
      <w:r w:rsidRPr="00E13D0A">
        <w:rPr>
          <w:rFonts w:cs="Times New Roman"/>
          <w:lang w:val="fr-CA"/>
        </w:rPr>
        <w:t>analyse effectuée au moyen d</w:t>
      </w:r>
      <w:r>
        <w:rPr>
          <w:rFonts w:cs="Times New Roman"/>
          <w:lang w:val="fr-CA"/>
        </w:rPr>
        <w:t>’</w:t>
      </w:r>
      <w:r w:rsidRPr="00E13D0A">
        <w:rPr>
          <w:rFonts w:cs="Times New Roman"/>
          <w:lang w:val="fr-CA"/>
        </w:rPr>
        <w:t>un ADA est le seul fondement des sanctions et des suspensions prévues par le RIAC, ce qui est nettement différent du contexte criminel, où l</w:t>
      </w:r>
      <w:r>
        <w:rPr>
          <w:rFonts w:cs="Times New Roman"/>
          <w:lang w:val="fr-CA"/>
        </w:rPr>
        <w:t>’</w:t>
      </w:r>
      <w:r w:rsidRPr="00E13D0A">
        <w:rPr>
          <w:rFonts w:cs="Times New Roman"/>
          <w:lang w:val="fr-CA"/>
        </w:rPr>
        <w:t>analyse effectuée au moyen d</w:t>
      </w:r>
      <w:r>
        <w:rPr>
          <w:rFonts w:cs="Times New Roman"/>
          <w:lang w:val="fr-CA"/>
        </w:rPr>
        <w:t>’</w:t>
      </w:r>
      <w:r w:rsidRPr="00E13D0A">
        <w:rPr>
          <w:rFonts w:cs="Times New Roman"/>
          <w:lang w:val="fr-CA"/>
        </w:rPr>
        <w:t xml:space="preserve">un ADA ne constitue que la première étape de la procédure à deux volets établie dans le </w:t>
      </w:r>
      <w:r w:rsidRPr="00E13D0A">
        <w:rPr>
          <w:rFonts w:cs="Times New Roman"/>
          <w:i/>
          <w:lang w:val="fr-CA"/>
        </w:rPr>
        <w:t>Code criminel</w:t>
      </w:r>
      <w:r w:rsidRPr="00E13D0A">
        <w:rPr>
          <w:rFonts w:cs="Times New Roman"/>
          <w:lang w:val="fr-CA"/>
        </w:rPr>
        <w:t xml:space="preserve"> pour enquêter sur des infractions de conduite en état d</w:t>
      </w:r>
      <w:r>
        <w:rPr>
          <w:rFonts w:cs="Times New Roman"/>
          <w:lang w:val="fr-CA"/>
        </w:rPr>
        <w:t>’</w:t>
      </w:r>
      <w:r w:rsidRPr="00E13D0A">
        <w:rPr>
          <w:rFonts w:cs="Times New Roman"/>
          <w:lang w:val="fr-CA"/>
        </w:rPr>
        <w:t>ébriété. À ce premier stade, le policier n</w:t>
      </w:r>
      <w:r>
        <w:rPr>
          <w:rFonts w:cs="Times New Roman"/>
          <w:lang w:val="fr-CA"/>
        </w:rPr>
        <w:t>’</w:t>
      </w:r>
      <w:r w:rsidRPr="00E13D0A">
        <w:rPr>
          <w:rFonts w:cs="Times New Roman"/>
          <w:lang w:val="fr-CA"/>
        </w:rPr>
        <w:t>a qu</w:t>
      </w:r>
      <w:r>
        <w:rPr>
          <w:rFonts w:cs="Times New Roman"/>
          <w:lang w:val="fr-CA"/>
        </w:rPr>
        <w:t>’</w:t>
      </w:r>
      <w:r w:rsidRPr="00E13D0A">
        <w:rPr>
          <w:rFonts w:cs="Times New Roman"/>
          <w:lang w:val="fr-CA"/>
        </w:rPr>
        <w:t>à soupçonner raisonnablement le conducteur d</w:t>
      </w:r>
      <w:r>
        <w:rPr>
          <w:rFonts w:cs="Times New Roman"/>
          <w:lang w:val="fr-CA"/>
        </w:rPr>
        <w:t>’</w:t>
      </w:r>
      <w:r w:rsidRPr="00E13D0A">
        <w:rPr>
          <w:rFonts w:cs="Times New Roman"/>
          <w:lang w:val="fr-CA"/>
        </w:rPr>
        <w:t>avoir de l</w:t>
      </w:r>
      <w:r>
        <w:rPr>
          <w:rFonts w:cs="Times New Roman"/>
          <w:lang w:val="fr-CA"/>
        </w:rPr>
        <w:t>’</w:t>
      </w:r>
      <w:r w:rsidRPr="00E13D0A">
        <w:rPr>
          <w:rFonts w:cs="Times New Roman"/>
          <w:lang w:val="fr-CA"/>
        </w:rPr>
        <w:t>alcool dans son organisme</w:t>
      </w:r>
      <w:r>
        <w:rPr>
          <w:rFonts w:cs="Times New Roman"/>
          <w:lang w:val="fr-CA"/>
        </w:rPr>
        <w:t> :</w:t>
      </w:r>
      <w:r w:rsidRPr="00E13D0A">
        <w:rPr>
          <w:rFonts w:cs="Times New Roman"/>
          <w:lang w:val="fr-CA"/>
        </w:rPr>
        <w:t xml:space="preserve"> </w:t>
      </w:r>
      <w:r w:rsidRPr="00E13D0A">
        <w:rPr>
          <w:rFonts w:cs="Times New Roman"/>
          <w:i/>
          <w:lang w:val="fr-CA"/>
        </w:rPr>
        <w:t xml:space="preserve">R. c. Lindsay </w:t>
      </w:r>
      <w:r w:rsidRPr="00E13D0A">
        <w:rPr>
          <w:rFonts w:cs="Times New Roman"/>
          <w:lang w:val="fr-CA"/>
        </w:rPr>
        <w:t xml:space="preserve">(1999), 134 C.C.C. (3d) 159 (C.A. Ont.); </w:t>
      </w:r>
      <w:r w:rsidRPr="00E13D0A">
        <w:rPr>
          <w:rFonts w:cs="Times New Roman"/>
          <w:i/>
          <w:lang w:val="fr-CA"/>
        </w:rPr>
        <w:t>R. c. Butchko</w:t>
      </w:r>
      <w:r w:rsidRPr="00E13D0A">
        <w:rPr>
          <w:rFonts w:cs="Times New Roman"/>
          <w:lang w:val="fr-CA"/>
        </w:rPr>
        <w:t>, 2004 SKCA 159, [2005] 11 W.W.R. 95. Toutefois, ces protections réduites pour les conducteurs à l</w:t>
      </w:r>
      <w:r>
        <w:rPr>
          <w:rFonts w:cs="Times New Roman"/>
          <w:lang w:val="fr-CA"/>
        </w:rPr>
        <w:t>’</w:t>
      </w:r>
      <w:r w:rsidRPr="00E13D0A">
        <w:rPr>
          <w:rFonts w:cs="Times New Roman"/>
          <w:lang w:val="fr-CA"/>
        </w:rPr>
        <w:t>étape de la détection routière sont contrebalancées par des restrictions imposées à l</w:t>
      </w:r>
      <w:r>
        <w:rPr>
          <w:rFonts w:cs="Times New Roman"/>
          <w:lang w:val="fr-CA"/>
        </w:rPr>
        <w:t>’</w:t>
      </w:r>
      <w:r w:rsidRPr="00E13D0A">
        <w:rPr>
          <w:rFonts w:cs="Times New Roman"/>
          <w:lang w:val="fr-CA"/>
        </w:rPr>
        <w:t>utilisation que l</w:t>
      </w:r>
      <w:r>
        <w:rPr>
          <w:rFonts w:cs="Times New Roman"/>
          <w:lang w:val="fr-CA"/>
        </w:rPr>
        <w:t>’</w:t>
      </w:r>
      <w:r w:rsidRPr="00E13D0A">
        <w:rPr>
          <w:rFonts w:cs="Times New Roman"/>
          <w:lang w:val="fr-CA"/>
        </w:rPr>
        <w:t>on peut faire du résultat (potentiellement non fiable) d</w:t>
      </w:r>
      <w:r>
        <w:rPr>
          <w:rFonts w:cs="Times New Roman"/>
          <w:lang w:val="fr-CA"/>
        </w:rPr>
        <w:t>’</w:t>
      </w:r>
      <w:r w:rsidRPr="00E13D0A">
        <w:rPr>
          <w:rFonts w:cs="Times New Roman"/>
          <w:lang w:val="fr-CA"/>
        </w:rPr>
        <w:t>un ADA. Ce résultat a pour fonction limitée de justifier une autre analyse d</w:t>
      </w:r>
      <w:r>
        <w:rPr>
          <w:rFonts w:cs="Times New Roman"/>
          <w:lang w:val="fr-CA"/>
        </w:rPr>
        <w:t>’</w:t>
      </w:r>
      <w:r w:rsidRPr="00E13D0A">
        <w:rPr>
          <w:rFonts w:cs="Times New Roman"/>
          <w:lang w:val="fr-CA"/>
        </w:rPr>
        <w:t>échantillon d</w:t>
      </w:r>
      <w:r>
        <w:rPr>
          <w:rFonts w:cs="Times New Roman"/>
          <w:lang w:val="fr-CA"/>
        </w:rPr>
        <w:t>’</w:t>
      </w:r>
      <w:r w:rsidRPr="00E13D0A">
        <w:rPr>
          <w:rFonts w:cs="Times New Roman"/>
          <w:lang w:val="fr-CA"/>
        </w:rPr>
        <w:t>haleine, effectuée au moyen d</w:t>
      </w:r>
      <w:r>
        <w:rPr>
          <w:rFonts w:cs="Times New Roman"/>
          <w:lang w:val="fr-CA"/>
        </w:rPr>
        <w:t>’</w:t>
      </w:r>
      <w:r w:rsidRPr="00E13D0A">
        <w:rPr>
          <w:rFonts w:cs="Times New Roman"/>
          <w:lang w:val="fr-CA"/>
        </w:rPr>
        <w:t xml:space="preserve">un alcootest dans un poste de police, et ne peut à lui seul établir une infraction au </w:t>
      </w:r>
      <w:r w:rsidRPr="00E13D0A">
        <w:rPr>
          <w:rFonts w:cs="Times New Roman"/>
          <w:i/>
          <w:lang w:val="fr-CA"/>
        </w:rPr>
        <w:t>Code criminel</w:t>
      </w:r>
      <w:r>
        <w:rPr>
          <w:rFonts w:cs="Times New Roman"/>
          <w:i/>
          <w:lang w:val="fr-CA"/>
        </w:rPr>
        <w:t> </w:t>
      </w:r>
      <w:r w:rsidRPr="00B52440">
        <w:rPr>
          <w:rFonts w:cs="Times New Roman"/>
          <w:lang w:val="fr-CA"/>
        </w:rPr>
        <w:t xml:space="preserve">: </w:t>
      </w:r>
      <w:r>
        <w:rPr>
          <w:rFonts w:cs="Times New Roman"/>
          <w:lang w:val="fr-CA"/>
        </w:rPr>
        <w:t>par. </w:t>
      </w:r>
      <w:r w:rsidRPr="00E13D0A">
        <w:rPr>
          <w:rFonts w:cs="Times New Roman"/>
          <w:lang w:val="fr-CA"/>
        </w:rPr>
        <w:t>254(3).</w:t>
      </w:r>
    </w:p>
    <w:p w:rsidR="00065721" w:rsidRPr="00E13D0A" w:rsidRDefault="00065721" w:rsidP="00926B45">
      <w:pPr>
        <w:pStyle w:val="ParaNoNdepar-AltN"/>
        <w:widowControl w:val="0"/>
        <w:rPr>
          <w:rFonts w:cs="Times New Roman"/>
          <w:lang w:val="fr-CA"/>
        </w:rPr>
      </w:pPr>
      <w:r w:rsidRPr="00E13D0A">
        <w:rPr>
          <w:rFonts w:cs="Times New Roman"/>
          <w:lang w:val="fr-CA"/>
        </w:rPr>
        <w:t>Bien entendu, la conduite automobile sur une voie p</w:t>
      </w:r>
      <w:r w:rsidR="00B52440">
        <w:rPr>
          <w:rFonts w:cs="Times New Roman"/>
          <w:lang w:val="fr-CA"/>
        </w:rPr>
        <w:t>ublique est une activité très ré</w:t>
      </w:r>
      <w:r w:rsidRPr="00E13D0A">
        <w:rPr>
          <w:rFonts w:cs="Times New Roman"/>
          <w:lang w:val="fr-CA"/>
        </w:rPr>
        <w:t>glementée, et les conducteurs s</w:t>
      </w:r>
      <w:r>
        <w:rPr>
          <w:rFonts w:cs="Times New Roman"/>
          <w:lang w:val="fr-CA"/>
        </w:rPr>
        <w:t>’</w:t>
      </w:r>
      <w:r w:rsidRPr="00E13D0A">
        <w:rPr>
          <w:rFonts w:cs="Times New Roman"/>
          <w:lang w:val="fr-CA"/>
        </w:rPr>
        <w:t>attendent à ce que le code de la route soit appliqué. Cette réalité, conjuguée au fait que le régime s</w:t>
      </w:r>
      <w:r>
        <w:rPr>
          <w:rFonts w:cs="Times New Roman"/>
          <w:lang w:val="fr-CA"/>
        </w:rPr>
        <w:t>’</w:t>
      </w:r>
      <w:r w:rsidRPr="00E13D0A">
        <w:rPr>
          <w:rFonts w:cs="Times New Roman"/>
          <w:lang w:val="fr-CA"/>
        </w:rPr>
        <w:t xml:space="preserve">inscrit dans un cadre réglementaire plus large visant la conduite et la sécurité routière, permet de qualifier le </w:t>
      </w:r>
      <w:r w:rsidRPr="00E13D0A">
        <w:rPr>
          <w:rFonts w:cs="Times New Roman"/>
          <w:lang w:val="fr-CA"/>
        </w:rPr>
        <w:lastRenderedPageBreak/>
        <w:t>régime de réglementaire et d</w:t>
      </w:r>
      <w:r>
        <w:rPr>
          <w:rFonts w:cs="Times New Roman"/>
          <w:lang w:val="fr-CA"/>
        </w:rPr>
        <w:t>’</w:t>
      </w:r>
      <w:r w:rsidRPr="00E13D0A">
        <w:rPr>
          <w:rFonts w:cs="Times New Roman"/>
          <w:lang w:val="fr-CA"/>
        </w:rPr>
        <w:t>appliquer une norme plus souple pour en apprécier le caractère raisonnable. Toutefois, d</w:t>
      </w:r>
      <w:r>
        <w:rPr>
          <w:rFonts w:cs="Times New Roman"/>
          <w:lang w:val="fr-CA"/>
        </w:rPr>
        <w:t>’</w:t>
      </w:r>
      <w:r w:rsidRPr="00E13D0A">
        <w:rPr>
          <w:rFonts w:cs="Times New Roman"/>
          <w:lang w:val="fr-CA"/>
        </w:rPr>
        <w:t>autres éléments du régime tendent à indiquer qu</w:t>
      </w:r>
      <w:r>
        <w:rPr>
          <w:rFonts w:cs="Times New Roman"/>
          <w:lang w:val="fr-CA"/>
        </w:rPr>
        <w:t>’</w:t>
      </w:r>
      <w:r w:rsidRPr="00E13D0A">
        <w:rPr>
          <w:rFonts w:cs="Times New Roman"/>
          <w:lang w:val="fr-CA"/>
        </w:rPr>
        <w:t>un examen plus attentif est nécessaire pour empêcher que l</w:t>
      </w:r>
      <w:r>
        <w:rPr>
          <w:rFonts w:cs="Times New Roman"/>
          <w:lang w:val="fr-CA"/>
        </w:rPr>
        <w:t>’</w:t>
      </w:r>
      <w:r w:rsidRPr="00E13D0A">
        <w:rPr>
          <w:rFonts w:cs="Times New Roman"/>
          <w:lang w:val="fr-CA"/>
        </w:rPr>
        <w:t>État porte abusivement atteinte au droit d</w:t>
      </w:r>
      <w:r>
        <w:rPr>
          <w:rFonts w:cs="Times New Roman"/>
          <w:lang w:val="fr-CA"/>
        </w:rPr>
        <w:t>’</w:t>
      </w:r>
      <w:r w:rsidRPr="00E13D0A">
        <w:rPr>
          <w:rFonts w:cs="Times New Roman"/>
          <w:lang w:val="fr-CA"/>
        </w:rPr>
        <w:t>un conducteur à la vie privée. Premièrement, bien que la saisie d</w:t>
      </w:r>
      <w:r>
        <w:rPr>
          <w:rFonts w:cs="Times New Roman"/>
          <w:lang w:val="fr-CA"/>
        </w:rPr>
        <w:t>’</w:t>
      </w:r>
      <w:r w:rsidRPr="00E13D0A">
        <w:rPr>
          <w:rFonts w:cs="Times New Roman"/>
          <w:lang w:val="fr-CA"/>
        </w:rPr>
        <w:t>un échantillon d</w:t>
      </w:r>
      <w:r>
        <w:rPr>
          <w:rFonts w:cs="Times New Roman"/>
          <w:lang w:val="fr-CA"/>
        </w:rPr>
        <w:t>’</w:t>
      </w:r>
      <w:r w:rsidRPr="00E13D0A">
        <w:rPr>
          <w:rFonts w:cs="Times New Roman"/>
          <w:lang w:val="fr-CA"/>
        </w:rPr>
        <w:t>haleine se fasse à des fins réglementaires, elle possède néanmoins des caractéristiques qui s</w:t>
      </w:r>
      <w:r>
        <w:rPr>
          <w:rFonts w:cs="Times New Roman"/>
          <w:lang w:val="fr-CA"/>
        </w:rPr>
        <w:t>’</w:t>
      </w:r>
      <w:r w:rsidRPr="00E13D0A">
        <w:rPr>
          <w:rFonts w:cs="Times New Roman"/>
          <w:lang w:val="fr-CA"/>
        </w:rPr>
        <w:t>apparentent au droit criminel, comme le fait qu</w:t>
      </w:r>
      <w:r>
        <w:rPr>
          <w:rFonts w:cs="Times New Roman"/>
          <w:lang w:val="fr-CA"/>
        </w:rPr>
        <w:t>’</w:t>
      </w:r>
      <w:r w:rsidRPr="00E13D0A">
        <w:rPr>
          <w:rFonts w:cs="Times New Roman"/>
          <w:lang w:val="fr-CA"/>
        </w:rPr>
        <w:t xml:space="preserve">elle soit administrée par un policier conformément à une autorisation accordée par le </w:t>
      </w:r>
      <w:r w:rsidRPr="00E13D0A">
        <w:rPr>
          <w:rFonts w:cs="Times New Roman"/>
          <w:i/>
          <w:lang w:val="fr-CA"/>
        </w:rPr>
        <w:t>Code criminel</w:t>
      </w:r>
      <w:r w:rsidRPr="00E13D0A">
        <w:rPr>
          <w:rFonts w:cs="Times New Roman"/>
          <w:lang w:val="fr-CA"/>
        </w:rPr>
        <w:t>. Deuxièmement, si les conséquences du résultat « échec » ou du défaut de fournir un échantillon d</w:t>
      </w:r>
      <w:r>
        <w:rPr>
          <w:rFonts w:cs="Times New Roman"/>
          <w:lang w:val="fr-CA"/>
        </w:rPr>
        <w:t>’</w:t>
      </w:r>
      <w:r w:rsidRPr="00E13D0A">
        <w:rPr>
          <w:rFonts w:cs="Times New Roman"/>
          <w:lang w:val="fr-CA"/>
        </w:rPr>
        <w:t>haleine ne sont pas criminelles, elles sont néanmoins immédiates et graves et surviennent sans qu</w:t>
      </w:r>
      <w:r>
        <w:rPr>
          <w:rFonts w:cs="Times New Roman"/>
          <w:lang w:val="fr-CA"/>
        </w:rPr>
        <w:t>’</w:t>
      </w:r>
      <w:r w:rsidRPr="00E13D0A">
        <w:rPr>
          <w:rFonts w:cs="Times New Roman"/>
          <w:lang w:val="fr-CA"/>
        </w:rPr>
        <w:t>une autre analyse ne soit effectuée au moyen d</w:t>
      </w:r>
      <w:r>
        <w:rPr>
          <w:rFonts w:cs="Times New Roman"/>
          <w:lang w:val="fr-CA"/>
        </w:rPr>
        <w:t>’</w:t>
      </w:r>
      <w:r w:rsidRPr="00E13D0A">
        <w:rPr>
          <w:rFonts w:cs="Times New Roman"/>
          <w:lang w:val="fr-CA"/>
        </w:rPr>
        <w:t>un alcootest (plus fiable).</w:t>
      </w:r>
    </w:p>
    <w:p w:rsidR="00065721" w:rsidRPr="00E13D0A" w:rsidRDefault="00065721" w:rsidP="00926B45">
      <w:pPr>
        <w:pStyle w:val="Title4LevelTitre4Niveau"/>
        <w:widowControl w:val="0"/>
        <w:rPr>
          <w:rFonts w:cs="Times New Roman"/>
          <w:lang w:val="fr-CA"/>
        </w:rPr>
      </w:pPr>
      <w:r w:rsidRPr="00E13D0A">
        <w:rPr>
          <w:rFonts w:cs="Times New Roman"/>
          <w:lang w:val="fr-CA"/>
        </w:rPr>
        <w:t>Le mécanisme de saisie</w:t>
      </w:r>
      <w:r>
        <w:rPr>
          <w:rFonts w:cs="Times New Roman"/>
          <w:lang w:val="fr-CA"/>
        </w:rPr>
        <w:t> :</w:t>
      </w:r>
      <w:r w:rsidRPr="00E13D0A">
        <w:rPr>
          <w:rFonts w:cs="Times New Roman"/>
          <w:lang w:val="fr-CA"/>
        </w:rPr>
        <w:t xml:space="preserve"> l</w:t>
      </w:r>
      <w:r>
        <w:rPr>
          <w:rFonts w:cs="Times New Roman"/>
          <w:lang w:val="fr-CA"/>
        </w:rPr>
        <w:t>’</w:t>
      </w:r>
      <w:r w:rsidRPr="00E13D0A">
        <w:rPr>
          <w:rFonts w:cs="Times New Roman"/>
          <w:lang w:val="fr-CA"/>
        </w:rPr>
        <w:t>analyse effectuée au moyen d</w:t>
      </w:r>
      <w:r>
        <w:rPr>
          <w:rFonts w:cs="Times New Roman"/>
          <w:lang w:val="fr-CA"/>
        </w:rPr>
        <w:t>’</w:t>
      </w:r>
      <w:r w:rsidRPr="00E13D0A">
        <w:rPr>
          <w:rFonts w:cs="Times New Roman"/>
          <w:lang w:val="fr-CA"/>
        </w:rPr>
        <w:t>un ADA</w:t>
      </w:r>
    </w:p>
    <w:p w:rsidR="00065721" w:rsidRPr="00E13D0A" w:rsidRDefault="00065721" w:rsidP="00926B45">
      <w:pPr>
        <w:pStyle w:val="ParaNoNdepar-AltN"/>
        <w:widowControl w:val="0"/>
        <w:rPr>
          <w:rFonts w:cs="Times New Roman"/>
          <w:lang w:val="fr-CA"/>
        </w:rPr>
      </w:pPr>
      <w:r w:rsidRPr="00E13D0A">
        <w:rPr>
          <w:rFonts w:cs="Times New Roman"/>
          <w:lang w:val="fr-CA"/>
        </w:rPr>
        <w:t>Pour déterminer si l</w:t>
      </w:r>
      <w:r>
        <w:rPr>
          <w:rFonts w:cs="Times New Roman"/>
          <w:lang w:val="fr-CA"/>
        </w:rPr>
        <w:t>’</w:t>
      </w:r>
      <w:r w:rsidRPr="00E13D0A">
        <w:rPr>
          <w:rFonts w:cs="Times New Roman"/>
          <w:lang w:val="fr-CA"/>
        </w:rPr>
        <w:t>alcoolémie d</w:t>
      </w:r>
      <w:r>
        <w:rPr>
          <w:rFonts w:cs="Times New Roman"/>
          <w:lang w:val="fr-CA"/>
        </w:rPr>
        <w:t>’</w:t>
      </w:r>
      <w:r w:rsidRPr="00E13D0A">
        <w:rPr>
          <w:rFonts w:cs="Times New Roman"/>
          <w:lang w:val="fr-CA"/>
        </w:rPr>
        <w:t>un conducteur dépasse la limite permise, on administre un alcootest au moyen d</w:t>
      </w:r>
      <w:r>
        <w:rPr>
          <w:rFonts w:cs="Times New Roman"/>
          <w:lang w:val="fr-CA"/>
        </w:rPr>
        <w:t>’</w:t>
      </w:r>
      <w:r w:rsidRPr="00E13D0A">
        <w:rPr>
          <w:rFonts w:cs="Times New Roman"/>
          <w:lang w:val="fr-CA"/>
        </w:rPr>
        <w:t>un ADA. Les caractéristiques précises de l</w:t>
      </w:r>
      <w:r>
        <w:rPr>
          <w:rFonts w:cs="Times New Roman"/>
          <w:lang w:val="fr-CA"/>
        </w:rPr>
        <w:t>’</w:t>
      </w:r>
      <w:r w:rsidRPr="00E13D0A">
        <w:rPr>
          <w:rFonts w:cs="Times New Roman"/>
          <w:lang w:val="fr-CA"/>
        </w:rPr>
        <w:t>analyse effectuée au moyen d</w:t>
      </w:r>
      <w:r>
        <w:rPr>
          <w:rFonts w:cs="Times New Roman"/>
          <w:lang w:val="fr-CA"/>
        </w:rPr>
        <w:t>’</w:t>
      </w:r>
      <w:r w:rsidRPr="00E13D0A">
        <w:rPr>
          <w:rFonts w:cs="Times New Roman"/>
          <w:lang w:val="fr-CA"/>
        </w:rPr>
        <w:t>un ADA sont pertinentes pour juger du caractère raisonnable à deux égards.</w:t>
      </w:r>
    </w:p>
    <w:p w:rsidR="00065721" w:rsidRPr="00E13D0A" w:rsidRDefault="00065721" w:rsidP="00926B45">
      <w:pPr>
        <w:pStyle w:val="ParaNoNdepar-AltN"/>
        <w:widowControl w:val="0"/>
        <w:rPr>
          <w:rFonts w:cs="Times New Roman"/>
          <w:lang w:val="fr-CA"/>
        </w:rPr>
      </w:pPr>
      <w:r w:rsidRPr="00E13D0A">
        <w:rPr>
          <w:rFonts w:cs="Times New Roman"/>
          <w:lang w:val="fr-CA"/>
        </w:rPr>
        <w:t>Le premier est le degré d</w:t>
      </w:r>
      <w:r>
        <w:rPr>
          <w:rFonts w:cs="Times New Roman"/>
          <w:lang w:val="fr-CA"/>
        </w:rPr>
        <w:t>’</w:t>
      </w:r>
      <w:r w:rsidRPr="00E13D0A">
        <w:rPr>
          <w:rFonts w:cs="Times New Roman"/>
          <w:lang w:val="fr-CA"/>
        </w:rPr>
        <w:t>atteinte de l</w:t>
      </w:r>
      <w:r>
        <w:rPr>
          <w:rFonts w:cs="Times New Roman"/>
          <w:lang w:val="fr-CA"/>
        </w:rPr>
        <w:t>’</w:t>
      </w:r>
      <w:r w:rsidRPr="00E13D0A">
        <w:rPr>
          <w:rFonts w:cs="Times New Roman"/>
          <w:lang w:val="fr-CA"/>
        </w:rPr>
        <w:t>analyse effectuée au moyen d</w:t>
      </w:r>
      <w:r>
        <w:rPr>
          <w:rFonts w:cs="Times New Roman"/>
          <w:lang w:val="fr-CA"/>
        </w:rPr>
        <w:t>’</w:t>
      </w:r>
      <w:r w:rsidRPr="00E13D0A">
        <w:rPr>
          <w:rFonts w:cs="Times New Roman"/>
          <w:lang w:val="fr-CA"/>
        </w:rPr>
        <w:t>un ADA à l</w:t>
      </w:r>
      <w:r>
        <w:rPr>
          <w:rFonts w:cs="Times New Roman"/>
          <w:lang w:val="fr-CA"/>
        </w:rPr>
        <w:t>’</w:t>
      </w:r>
      <w:r w:rsidRPr="00E13D0A">
        <w:rPr>
          <w:rFonts w:cs="Times New Roman"/>
          <w:lang w:val="fr-CA"/>
        </w:rPr>
        <w:t>intégrité physique et au droit à la vie privée d</w:t>
      </w:r>
      <w:r>
        <w:rPr>
          <w:rFonts w:cs="Times New Roman"/>
          <w:lang w:val="fr-CA"/>
        </w:rPr>
        <w:t>’</w:t>
      </w:r>
      <w:r w:rsidRPr="00E13D0A">
        <w:rPr>
          <w:rFonts w:cs="Times New Roman"/>
          <w:lang w:val="fr-CA"/>
        </w:rPr>
        <w:t>un conducteur. Plus envahissante qu</w:t>
      </w:r>
      <w:r>
        <w:rPr>
          <w:rFonts w:cs="Times New Roman"/>
          <w:lang w:val="fr-CA"/>
        </w:rPr>
        <w:t>’</w:t>
      </w:r>
      <w:r w:rsidRPr="00E13D0A">
        <w:rPr>
          <w:rFonts w:cs="Times New Roman"/>
          <w:lang w:val="fr-CA"/>
        </w:rPr>
        <w:t>une demande de documents, une demande d</w:t>
      </w:r>
      <w:r>
        <w:rPr>
          <w:rFonts w:cs="Times New Roman"/>
          <w:lang w:val="fr-CA"/>
        </w:rPr>
        <w:t>’</w:t>
      </w:r>
      <w:r w:rsidRPr="00E13D0A">
        <w:rPr>
          <w:rFonts w:cs="Times New Roman"/>
          <w:lang w:val="fr-CA"/>
        </w:rPr>
        <w:t>échantillon d</w:t>
      </w:r>
      <w:r>
        <w:rPr>
          <w:rFonts w:cs="Times New Roman"/>
          <w:lang w:val="fr-CA"/>
        </w:rPr>
        <w:t>’</w:t>
      </w:r>
      <w:r w:rsidRPr="00E13D0A">
        <w:rPr>
          <w:rFonts w:cs="Times New Roman"/>
          <w:lang w:val="fr-CA"/>
        </w:rPr>
        <w:t>haleine équivaut clairement à ce que le juge La Forest a décrit comme « l</w:t>
      </w:r>
      <w:r>
        <w:rPr>
          <w:rFonts w:cs="Times New Roman"/>
          <w:lang w:val="fr-CA"/>
        </w:rPr>
        <w:t>’</w:t>
      </w:r>
      <w:r w:rsidRPr="00E13D0A">
        <w:rPr>
          <w:rFonts w:cs="Times New Roman"/>
          <w:lang w:val="fr-CA"/>
        </w:rPr>
        <w:t>utilisation du corps d</w:t>
      </w:r>
      <w:r>
        <w:rPr>
          <w:rFonts w:cs="Times New Roman"/>
          <w:lang w:val="fr-CA"/>
        </w:rPr>
        <w:t>’</w:t>
      </w:r>
      <w:r w:rsidRPr="00E13D0A">
        <w:rPr>
          <w:rFonts w:cs="Times New Roman"/>
          <w:lang w:val="fr-CA"/>
        </w:rPr>
        <w:t>une personne, sans son consentement, en vue d</w:t>
      </w:r>
      <w:r>
        <w:rPr>
          <w:rFonts w:cs="Times New Roman"/>
          <w:lang w:val="fr-CA"/>
        </w:rPr>
        <w:t>’</w:t>
      </w:r>
      <w:r w:rsidRPr="00E13D0A">
        <w:rPr>
          <w:rFonts w:cs="Times New Roman"/>
          <w:lang w:val="fr-CA"/>
        </w:rPr>
        <w:t xml:space="preserve">obtenir des renseignements à son </w:t>
      </w:r>
      <w:r w:rsidRPr="00E13D0A">
        <w:rPr>
          <w:rFonts w:cs="Times New Roman"/>
          <w:lang w:val="fr-CA"/>
        </w:rPr>
        <w:lastRenderedPageBreak/>
        <w:t>sujet » par laquelle l</w:t>
      </w:r>
      <w:r>
        <w:rPr>
          <w:rFonts w:cs="Times New Roman"/>
          <w:lang w:val="fr-CA"/>
        </w:rPr>
        <w:t>’</w:t>
      </w:r>
      <w:r w:rsidRPr="00E13D0A">
        <w:rPr>
          <w:rFonts w:cs="Times New Roman"/>
          <w:lang w:val="fr-CA"/>
        </w:rPr>
        <w:t>État commet « une atteinte à une sphère de la vie privée essentielle au maintien de sa dignité humaine »</w:t>
      </w:r>
      <w:r>
        <w:rPr>
          <w:rFonts w:cs="Times New Roman"/>
          <w:lang w:val="fr-CA"/>
        </w:rPr>
        <w:t> :</w:t>
      </w:r>
      <w:r w:rsidRPr="00E13D0A">
        <w:rPr>
          <w:rFonts w:cs="Times New Roman"/>
          <w:lang w:val="fr-CA"/>
        </w:rPr>
        <w:t xml:space="preserve"> </w:t>
      </w:r>
      <w:r w:rsidRPr="00E13D0A">
        <w:rPr>
          <w:rFonts w:cs="Times New Roman"/>
          <w:i/>
          <w:lang w:val="fr-CA"/>
        </w:rPr>
        <w:t>R. c. Dyment</w:t>
      </w:r>
      <w:r w:rsidRPr="00E13D0A">
        <w:rPr>
          <w:rFonts w:cs="Times New Roman"/>
          <w:lang w:val="fr-CA"/>
        </w:rPr>
        <w:t xml:space="preserve">, [1988] 2 R.C.S. 417, </w:t>
      </w:r>
      <w:r>
        <w:rPr>
          <w:rFonts w:cs="Times New Roman"/>
          <w:lang w:val="fr-CA"/>
        </w:rPr>
        <w:t>p. </w:t>
      </w:r>
      <w:r w:rsidRPr="00E13D0A">
        <w:rPr>
          <w:rFonts w:cs="Times New Roman"/>
          <w:lang w:val="fr-CA"/>
        </w:rPr>
        <w:t>431</w:t>
      </w:r>
      <w:r>
        <w:rPr>
          <w:rFonts w:cs="Times New Roman"/>
          <w:lang w:val="fr-CA"/>
        </w:rPr>
        <w:noBreakHyphen/>
      </w:r>
      <w:r w:rsidRPr="00E13D0A">
        <w:rPr>
          <w:rFonts w:cs="Times New Roman"/>
          <w:lang w:val="fr-CA"/>
        </w:rPr>
        <w:t>432. Toutefois, un alcootest administré au moyen d</w:t>
      </w:r>
      <w:r>
        <w:rPr>
          <w:rFonts w:cs="Times New Roman"/>
          <w:lang w:val="fr-CA"/>
        </w:rPr>
        <w:t>’</w:t>
      </w:r>
      <w:r w:rsidRPr="00E13D0A">
        <w:rPr>
          <w:rFonts w:cs="Times New Roman"/>
          <w:lang w:val="fr-CA"/>
        </w:rPr>
        <w:t>un ADA est beaucoup moins envahissant que bien d</w:t>
      </w:r>
      <w:r>
        <w:rPr>
          <w:rFonts w:cs="Times New Roman"/>
          <w:lang w:val="fr-CA"/>
        </w:rPr>
        <w:t>’</w:t>
      </w:r>
      <w:r w:rsidRPr="00E13D0A">
        <w:rPr>
          <w:rFonts w:cs="Times New Roman"/>
          <w:lang w:val="fr-CA"/>
        </w:rPr>
        <w:t>autres fouilles, perquisitions ou saisies qui peuvent être effectuées aux fins d</w:t>
      </w:r>
      <w:r>
        <w:rPr>
          <w:rFonts w:cs="Times New Roman"/>
          <w:lang w:val="fr-CA"/>
        </w:rPr>
        <w:t>’</w:t>
      </w:r>
      <w:r w:rsidRPr="00E13D0A">
        <w:rPr>
          <w:rFonts w:cs="Times New Roman"/>
          <w:lang w:val="fr-CA"/>
        </w:rPr>
        <w:t>application de la loi, comme le prélèvement de l</w:t>
      </w:r>
      <w:r>
        <w:rPr>
          <w:rFonts w:cs="Times New Roman"/>
          <w:lang w:val="fr-CA"/>
        </w:rPr>
        <w:t>’</w:t>
      </w:r>
      <w:r w:rsidRPr="00E13D0A">
        <w:rPr>
          <w:rFonts w:cs="Times New Roman"/>
          <w:lang w:val="fr-CA"/>
        </w:rPr>
        <w:t>échantillon de sang en cause dans l</w:t>
      </w:r>
      <w:r>
        <w:rPr>
          <w:rFonts w:cs="Times New Roman"/>
          <w:lang w:val="fr-CA"/>
        </w:rPr>
        <w:t>’</w:t>
      </w:r>
      <w:r w:rsidRPr="00E13D0A">
        <w:rPr>
          <w:rFonts w:cs="Times New Roman"/>
          <w:lang w:val="fr-CA"/>
        </w:rPr>
        <w:t xml:space="preserve">arrêt </w:t>
      </w:r>
      <w:r w:rsidRPr="00E13D0A">
        <w:rPr>
          <w:rFonts w:cs="Times New Roman"/>
          <w:i/>
          <w:lang w:val="fr-CA"/>
        </w:rPr>
        <w:t xml:space="preserve">Dyment </w:t>
      </w:r>
      <w:r w:rsidRPr="00E13D0A">
        <w:rPr>
          <w:rFonts w:cs="Times New Roman"/>
          <w:lang w:val="fr-CA"/>
        </w:rPr>
        <w:t>ou le prélèvement d</w:t>
      </w:r>
      <w:r>
        <w:rPr>
          <w:rFonts w:cs="Times New Roman"/>
          <w:lang w:val="fr-CA"/>
        </w:rPr>
        <w:t>’</w:t>
      </w:r>
      <w:r w:rsidRPr="00E13D0A">
        <w:rPr>
          <w:rFonts w:cs="Times New Roman"/>
          <w:lang w:val="fr-CA"/>
        </w:rPr>
        <w:t>ADN qui dévoile des renseignements très personnels</w:t>
      </w:r>
      <w:r>
        <w:rPr>
          <w:rFonts w:cs="Times New Roman"/>
          <w:lang w:val="fr-CA"/>
        </w:rPr>
        <w:t> :</w:t>
      </w:r>
      <w:r w:rsidRPr="00E13D0A">
        <w:rPr>
          <w:rFonts w:cs="Times New Roman"/>
          <w:lang w:val="fr-CA"/>
        </w:rPr>
        <w:t xml:space="preserve"> </w:t>
      </w:r>
      <w:r w:rsidRPr="00E13D0A">
        <w:rPr>
          <w:rFonts w:cs="Times New Roman"/>
          <w:i/>
          <w:lang w:val="fr-CA"/>
        </w:rPr>
        <w:t>R. c. S.A.B.</w:t>
      </w:r>
      <w:r w:rsidRPr="00E13D0A">
        <w:rPr>
          <w:rFonts w:cs="Times New Roman"/>
          <w:lang w:val="fr-CA"/>
        </w:rPr>
        <w:t xml:space="preserve">, 2003 CSC 60, [2003] 2 R.C.S. 678, </w:t>
      </w:r>
      <w:r>
        <w:rPr>
          <w:rFonts w:cs="Times New Roman"/>
          <w:lang w:val="fr-CA"/>
        </w:rPr>
        <w:t>par. </w:t>
      </w:r>
      <w:r w:rsidRPr="00E13D0A">
        <w:rPr>
          <w:rFonts w:cs="Times New Roman"/>
          <w:lang w:val="fr-CA"/>
        </w:rPr>
        <w:t>48. La demande d</w:t>
      </w:r>
      <w:r>
        <w:rPr>
          <w:rFonts w:cs="Times New Roman"/>
          <w:lang w:val="fr-CA"/>
        </w:rPr>
        <w:t>’</w:t>
      </w:r>
      <w:r w:rsidRPr="00E13D0A">
        <w:rPr>
          <w:rFonts w:cs="Times New Roman"/>
          <w:lang w:val="fr-CA"/>
        </w:rPr>
        <w:t xml:space="preserve">alcootest autorisée par le </w:t>
      </w:r>
      <w:r w:rsidRPr="00E13D0A">
        <w:rPr>
          <w:rFonts w:cs="Times New Roman"/>
          <w:i/>
          <w:lang w:val="fr-CA"/>
        </w:rPr>
        <w:t>Code criminel</w:t>
      </w:r>
      <w:r w:rsidRPr="00E13D0A">
        <w:rPr>
          <w:rFonts w:cs="Times New Roman"/>
          <w:lang w:val="fr-CA"/>
        </w:rPr>
        <w:t xml:space="preserve"> a des répercussions beaucoup moins importantes sur l</w:t>
      </w:r>
      <w:r>
        <w:rPr>
          <w:rFonts w:cs="Times New Roman"/>
          <w:lang w:val="fr-CA"/>
        </w:rPr>
        <w:t>’</w:t>
      </w:r>
      <w:r w:rsidRPr="00E13D0A">
        <w:rPr>
          <w:rFonts w:cs="Times New Roman"/>
          <w:lang w:val="fr-CA"/>
        </w:rPr>
        <w:t>intégrité physique et le droit à la vie privée d</w:t>
      </w:r>
      <w:r>
        <w:rPr>
          <w:rFonts w:cs="Times New Roman"/>
          <w:lang w:val="fr-CA"/>
        </w:rPr>
        <w:t>’</w:t>
      </w:r>
      <w:r w:rsidRPr="00E13D0A">
        <w:rPr>
          <w:rFonts w:cs="Times New Roman"/>
          <w:lang w:val="fr-CA"/>
        </w:rPr>
        <w:t>une personne</w:t>
      </w:r>
      <w:r>
        <w:rPr>
          <w:rFonts w:cs="Times New Roman"/>
          <w:lang w:val="fr-CA"/>
        </w:rPr>
        <w:t> :</w:t>
      </w:r>
      <w:r w:rsidRPr="00E13D0A">
        <w:rPr>
          <w:rFonts w:cs="Times New Roman"/>
          <w:lang w:val="fr-CA"/>
        </w:rPr>
        <w:t xml:space="preserve"> </w:t>
      </w:r>
      <w:r w:rsidRPr="00E13D0A" w:rsidDel="00880F91">
        <w:rPr>
          <w:rFonts w:cs="Times New Roman"/>
          <w:i/>
          <w:lang w:val="fr-CA"/>
        </w:rPr>
        <w:t xml:space="preserve">R. </w:t>
      </w:r>
      <w:r w:rsidRPr="00E13D0A">
        <w:rPr>
          <w:rFonts w:cs="Times New Roman"/>
          <w:i/>
          <w:lang w:val="fr-CA"/>
        </w:rPr>
        <w:t>c</w:t>
      </w:r>
      <w:r w:rsidRPr="00E13D0A" w:rsidDel="00880F91">
        <w:rPr>
          <w:rFonts w:cs="Times New Roman"/>
          <w:i/>
          <w:lang w:val="fr-CA"/>
        </w:rPr>
        <w:t>. Stillman</w:t>
      </w:r>
      <w:r w:rsidRPr="00E13D0A" w:rsidDel="00880F91">
        <w:rPr>
          <w:rFonts w:cs="Times New Roman"/>
          <w:lang w:val="fr-CA"/>
        </w:rPr>
        <w:t xml:space="preserve">, [1997] 1 </w:t>
      </w:r>
      <w:r w:rsidRPr="00E13D0A">
        <w:rPr>
          <w:rFonts w:cs="Times New Roman"/>
          <w:lang w:val="fr-CA"/>
        </w:rPr>
        <w:t>R</w:t>
      </w:r>
      <w:r w:rsidRPr="00E13D0A" w:rsidDel="00880F91">
        <w:rPr>
          <w:rFonts w:cs="Times New Roman"/>
          <w:lang w:val="fr-CA"/>
        </w:rPr>
        <w:t>.C.</w:t>
      </w:r>
      <w:r w:rsidRPr="00E13D0A">
        <w:rPr>
          <w:rFonts w:cs="Times New Roman"/>
          <w:lang w:val="fr-CA"/>
        </w:rPr>
        <w:t>S</w:t>
      </w:r>
      <w:r w:rsidRPr="00E13D0A" w:rsidDel="00880F91">
        <w:rPr>
          <w:rFonts w:cs="Times New Roman"/>
          <w:lang w:val="fr-CA"/>
        </w:rPr>
        <w:t xml:space="preserve">. 607, </w:t>
      </w:r>
      <w:r>
        <w:rPr>
          <w:rFonts w:cs="Times New Roman"/>
          <w:lang w:val="fr-CA"/>
        </w:rPr>
        <w:t>par. </w:t>
      </w:r>
      <w:r w:rsidRPr="00E13D0A" w:rsidDel="00880F91">
        <w:rPr>
          <w:rFonts w:cs="Times New Roman"/>
          <w:lang w:val="fr-CA"/>
        </w:rPr>
        <w:t xml:space="preserve">90. </w:t>
      </w:r>
      <w:r w:rsidRPr="00E13D0A">
        <w:rPr>
          <w:rFonts w:cs="Times New Roman"/>
          <w:lang w:val="fr-CA"/>
        </w:rPr>
        <w:t>Cette atteinte minimale étaye le caractère raisonnable de la saisie faite au moyen d</w:t>
      </w:r>
      <w:r>
        <w:rPr>
          <w:rFonts w:cs="Times New Roman"/>
          <w:lang w:val="fr-CA"/>
        </w:rPr>
        <w:t>’</w:t>
      </w:r>
      <w:r w:rsidRPr="00E13D0A">
        <w:rPr>
          <w:rFonts w:cs="Times New Roman"/>
          <w:lang w:val="fr-CA"/>
        </w:rPr>
        <w:t>un ADA.</w:t>
      </w:r>
    </w:p>
    <w:p w:rsidR="00065721" w:rsidRPr="00E13D0A" w:rsidRDefault="00065721" w:rsidP="00926B45">
      <w:pPr>
        <w:pStyle w:val="ParaNoNdepar-AltN"/>
        <w:widowControl w:val="0"/>
        <w:rPr>
          <w:rFonts w:cs="Times New Roman"/>
          <w:lang w:val="fr-CA"/>
        </w:rPr>
      </w:pPr>
      <w:r w:rsidRPr="00E13D0A">
        <w:rPr>
          <w:rFonts w:cs="Times New Roman"/>
          <w:lang w:val="fr-CA"/>
        </w:rPr>
        <w:t>Toutefois, l</w:t>
      </w:r>
      <w:r>
        <w:rPr>
          <w:rFonts w:cs="Times New Roman"/>
          <w:lang w:val="fr-CA"/>
        </w:rPr>
        <w:t>’</w:t>
      </w:r>
      <w:r w:rsidRPr="00E13D0A">
        <w:rPr>
          <w:rFonts w:cs="Times New Roman"/>
          <w:lang w:val="fr-CA"/>
        </w:rPr>
        <w:t>utilisation d</w:t>
      </w:r>
      <w:r>
        <w:rPr>
          <w:rFonts w:cs="Times New Roman"/>
          <w:lang w:val="fr-CA"/>
        </w:rPr>
        <w:t>’</w:t>
      </w:r>
      <w:r w:rsidRPr="00E13D0A">
        <w:rPr>
          <w:rFonts w:cs="Times New Roman"/>
          <w:lang w:val="fr-CA"/>
        </w:rPr>
        <w:t>un ADA pour obtenir un échantillon d</w:t>
      </w:r>
      <w:r>
        <w:rPr>
          <w:rFonts w:cs="Times New Roman"/>
          <w:lang w:val="fr-CA"/>
        </w:rPr>
        <w:t>’</w:t>
      </w:r>
      <w:r w:rsidRPr="00E13D0A">
        <w:rPr>
          <w:rFonts w:cs="Times New Roman"/>
          <w:lang w:val="fr-CA"/>
        </w:rPr>
        <w:t>haleine soulève elle aussi des préoccupations qui minent le caractère raisonnable de la saisie, plus particulièrement quant à la fiabilité des résultats d</w:t>
      </w:r>
      <w:r>
        <w:rPr>
          <w:rFonts w:cs="Times New Roman"/>
          <w:lang w:val="fr-CA"/>
        </w:rPr>
        <w:t>’</w:t>
      </w:r>
      <w:r w:rsidRPr="00E13D0A">
        <w:rPr>
          <w:rFonts w:cs="Times New Roman"/>
          <w:lang w:val="fr-CA"/>
        </w:rPr>
        <w:t>analyse. Le juge en chambre a conclu, sur la foi de la preuve, que, comme un ADA ne peut tenir compte de la présence d</w:t>
      </w:r>
      <w:r>
        <w:rPr>
          <w:rFonts w:cs="Times New Roman"/>
          <w:lang w:val="fr-CA"/>
        </w:rPr>
        <w:t>’</w:t>
      </w:r>
      <w:r w:rsidRPr="00E13D0A">
        <w:rPr>
          <w:rFonts w:cs="Times New Roman"/>
          <w:lang w:val="fr-CA"/>
        </w:rPr>
        <w:t>alcool dans la bouche, [</w:t>
      </w:r>
      <w:r w:rsidRPr="00E13D0A">
        <w:rPr>
          <w:rFonts w:cs="Times New Roman"/>
          <w:smallCaps/>
          <w:lang w:val="fr-CA"/>
        </w:rPr>
        <w:t>traduction</w:t>
      </w:r>
      <w:r w:rsidRPr="00E13D0A">
        <w:rPr>
          <w:rFonts w:cs="Times New Roman"/>
          <w:lang w:val="fr-CA"/>
        </w:rPr>
        <w:t>] « </w:t>
      </w:r>
      <w:r>
        <w:rPr>
          <w:rFonts w:cs="Times New Roman"/>
          <w:lang w:val="fr-CA"/>
        </w:rPr>
        <w:t xml:space="preserve">il peut y avoir de sérieux doutes dans certains cas quant à </w:t>
      </w:r>
      <w:r w:rsidRPr="00E13D0A">
        <w:rPr>
          <w:rFonts w:cs="Times New Roman"/>
          <w:lang w:val="fr-CA"/>
        </w:rPr>
        <w:t>savoir si un ADA indique avec exactitude les mesures d</w:t>
      </w:r>
      <w:r>
        <w:rPr>
          <w:rFonts w:cs="Times New Roman"/>
          <w:lang w:val="fr-CA"/>
        </w:rPr>
        <w:t>’</w:t>
      </w:r>
      <w:r w:rsidRPr="00E13D0A">
        <w:rPr>
          <w:rFonts w:cs="Times New Roman"/>
          <w:lang w:val="fr-CA"/>
        </w:rPr>
        <w:t>alcoolémie »</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286</w:t>
      </w:r>
      <w:r>
        <w:rPr>
          <w:rFonts w:cs="Times New Roman"/>
          <w:lang w:val="fr-CA"/>
        </w:rPr>
        <w:noBreakHyphen/>
      </w:r>
      <w:r w:rsidRPr="00E13D0A">
        <w:rPr>
          <w:rFonts w:cs="Times New Roman"/>
          <w:lang w:val="fr-CA"/>
        </w:rPr>
        <w:t>292.</w:t>
      </w:r>
    </w:p>
    <w:p w:rsidR="00065721" w:rsidRPr="00E13D0A" w:rsidRDefault="00065721" w:rsidP="00926B45">
      <w:pPr>
        <w:pStyle w:val="ParaNoNdepar-AltN"/>
        <w:widowControl w:val="0"/>
        <w:rPr>
          <w:rFonts w:cs="Times New Roman"/>
          <w:lang w:val="fr-CA"/>
        </w:rPr>
      </w:pPr>
      <w:r w:rsidRPr="00E13D0A">
        <w:rPr>
          <w:rFonts w:cs="Times New Roman"/>
          <w:lang w:val="fr-CA"/>
        </w:rPr>
        <w:t>La fiabilité du mécanisme de fouille, de perquisition ou de saisie est directement liée au caractère raisonnable de la fouille, de la perquisition ou de la saisie elle</w:t>
      </w:r>
      <w:r>
        <w:rPr>
          <w:rFonts w:cs="Times New Roman"/>
          <w:lang w:val="fr-CA"/>
        </w:rPr>
        <w:noBreakHyphen/>
      </w:r>
      <w:r w:rsidRPr="00E13D0A">
        <w:rPr>
          <w:rFonts w:cs="Times New Roman"/>
          <w:lang w:val="fr-CA"/>
        </w:rPr>
        <w:t>même</w:t>
      </w:r>
      <w:r>
        <w:rPr>
          <w:rFonts w:cs="Times New Roman"/>
          <w:lang w:val="fr-CA"/>
        </w:rPr>
        <w:t> :</w:t>
      </w:r>
      <w:r w:rsidRPr="00E13D0A">
        <w:rPr>
          <w:rFonts w:cs="Times New Roman"/>
          <w:lang w:val="fr-CA"/>
        </w:rPr>
        <w:t xml:space="preserve"> </w:t>
      </w:r>
      <w:r w:rsidRPr="00E13D0A">
        <w:rPr>
          <w:rFonts w:cs="Times New Roman"/>
          <w:i/>
          <w:lang w:val="fr-CA"/>
        </w:rPr>
        <w:t>R. c. Chehil</w:t>
      </w:r>
      <w:r w:rsidRPr="00E13D0A">
        <w:rPr>
          <w:rFonts w:cs="Times New Roman"/>
          <w:lang w:val="fr-CA"/>
        </w:rPr>
        <w:t xml:space="preserve">, 2013 CSC 49, [2013] 3 R.C.S. 220, </w:t>
      </w:r>
      <w:r>
        <w:rPr>
          <w:rFonts w:cs="Times New Roman"/>
          <w:lang w:val="fr-CA"/>
        </w:rPr>
        <w:t>par. </w:t>
      </w:r>
      <w:r w:rsidRPr="00E13D0A">
        <w:rPr>
          <w:rFonts w:cs="Times New Roman"/>
          <w:lang w:val="fr-CA"/>
        </w:rPr>
        <w:t>48. Comme la Cour l</w:t>
      </w:r>
      <w:r>
        <w:rPr>
          <w:rFonts w:cs="Times New Roman"/>
          <w:lang w:val="fr-CA"/>
        </w:rPr>
        <w:t>’</w:t>
      </w:r>
      <w:r w:rsidRPr="00E13D0A">
        <w:rPr>
          <w:rFonts w:cs="Times New Roman"/>
          <w:lang w:val="fr-CA"/>
        </w:rPr>
        <w:t>a indiqué dans l</w:t>
      </w:r>
      <w:r>
        <w:rPr>
          <w:rFonts w:cs="Times New Roman"/>
          <w:lang w:val="fr-CA"/>
        </w:rPr>
        <w:t>’</w:t>
      </w:r>
      <w:r w:rsidRPr="00E13D0A">
        <w:rPr>
          <w:rFonts w:cs="Times New Roman"/>
          <w:lang w:val="fr-CA"/>
        </w:rPr>
        <w:t xml:space="preserve">arrêt </w:t>
      </w:r>
      <w:r w:rsidRPr="00E13D0A">
        <w:rPr>
          <w:rFonts w:cs="Times New Roman"/>
          <w:i/>
          <w:lang w:val="fr-CA"/>
        </w:rPr>
        <w:t>Chehil</w:t>
      </w:r>
      <w:r w:rsidRPr="00E13D0A">
        <w:rPr>
          <w:rFonts w:cs="Times New Roman"/>
          <w:lang w:val="fr-CA"/>
        </w:rPr>
        <w:t xml:space="preserve">, « [u]ne méthode de fouille qui aurait pour effet de viser </w:t>
      </w:r>
      <w:r w:rsidRPr="00E13D0A">
        <w:rPr>
          <w:rFonts w:cs="Times New Roman"/>
          <w:lang w:val="fr-CA"/>
        </w:rPr>
        <w:lastRenderedPageBreak/>
        <w:t>un nombre démesuré de personnes innocentes ne saurait être jugée non abusive »</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51. À l</w:t>
      </w:r>
      <w:r>
        <w:rPr>
          <w:rFonts w:cs="Times New Roman"/>
          <w:lang w:val="fr-CA"/>
        </w:rPr>
        <w:t>’</w:t>
      </w:r>
      <w:r w:rsidRPr="00E13D0A">
        <w:rPr>
          <w:rFonts w:cs="Times New Roman"/>
          <w:lang w:val="fr-CA"/>
        </w:rPr>
        <w:t>opposé, une grande fiabilité s</w:t>
      </w:r>
      <w:r>
        <w:rPr>
          <w:rFonts w:cs="Times New Roman"/>
          <w:lang w:val="fr-CA"/>
        </w:rPr>
        <w:t>’</w:t>
      </w:r>
      <w:r w:rsidRPr="00E13D0A">
        <w:rPr>
          <w:rFonts w:cs="Times New Roman"/>
          <w:lang w:val="fr-CA"/>
        </w:rPr>
        <w:t>est révélée cruciale pour confirmer la validité des fouilles effectuées à l</w:t>
      </w:r>
      <w:r>
        <w:rPr>
          <w:rFonts w:cs="Times New Roman"/>
          <w:lang w:val="fr-CA"/>
        </w:rPr>
        <w:t>’</w:t>
      </w:r>
      <w:r w:rsidRPr="00E13D0A">
        <w:rPr>
          <w:rFonts w:cs="Times New Roman"/>
          <w:lang w:val="fr-CA"/>
        </w:rPr>
        <w:t>aide de chiens renifleurs selon la norme moins rigoureuse des soupçons raisonnables</w:t>
      </w:r>
      <w:r>
        <w:rPr>
          <w:rFonts w:cs="Times New Roman"/>
          <w:lang w:val="fr-CA"/>
        </w:rPr>
        <w:t> :</w:t>
      </w:r>
      <w:r w:rsidRPr="00E13D0A">
        <w:rPr>
          <w:rFonts w:cs="Times New Roman"/>
          <w:lang w:val="fr-CA"/>
        </w:rPr>
        <w:t xml:space="preserve"> </w:t>
      </w:r>
      <w:r w:rsidRPr="00E13D0A">
        <w:rPr>
          <w:rFonts w:cs="Times New Roman"/>
          <w:i/>
          <w:lang w:val="fr-CA"/>
        </w:rPr>
        <w:t>R. c. A.M.</w:t>
      </w:r>
      <w:r w:rsidRPr="00E13D0A">
        <w:rPr>
          <w:rFonts w:cs="Times New Roman"/>
          <w:lang w:val="fr-CA"/>
        </w:rPr>
        <w:t xml:space="preserve">, 2008 CSC 19, [2008] 1 R.C.S. 569, </w:t>
      </w:r>
      <w:r>
        <w:rPr>
          <w:rFonts w:cs="Times New Roman"/>
          <w:lang w:val="fr-CA"/>
        </w:rPr>
        <w:t>par. </w:t>
      </w:r>
      <w:r w:rsidRPr="00E13D0A">
        <w:rPr>
          <w:rFonts w:cs="Times New Roman"/>
          <w:lang w:val="fr-CA"/>
        </w:rPr>
        <w:t xml:space="preserve">11; voir également </w:t>
      </w:r>
      <w:r w:rsidRPr="00E13D0A">
        <w:rPr>
          <w:rFonts w:cs="Times New Roman"/>
          <w:i/>
          <w:lang w:val="fr-CA"/>
        </w:rPr>
        <w:t>R. c. Kang</w:t>
      </w:r>
      <w:r>
        <w:rPr>
          <w:rFonts w:cs="Times New Roman"/>
          <w:i/>
          <w:lang w:val="fr-CA"/>
        </w:rPr>
        <w:noBreakHyphen/>
      </w:r>
      <w:r w:rsidRPr="00E13D0A">
        <w:rPr>
          <w:rFonts w:cs="Times New Roman"/>
          <w:i/>
          <w:lang w:val="fr-CA"/>
        </w:rPr>
        <w:t>Brown</w:t>
      </w:r>
      <w:r w:rsidRPr="00E13D0A">
        <w:rPr>
          <w:rFonts w:cs="Times New Roman"/>
          <w:lang w:val="fr-CA"/>
        </w:rPr>
        <w:t>, 2008 CSC 18, [2008] 1 R.C.S. 456.</w:t>
      </w:r>
    </w:p>
    <w:p w:rsidR="00065721" w:rsidRPr="00E13D0A" w:rsidRDefault="00065721" w:rsidP="00926B45">
      <w:pPr>
        <w:pStyle w:val="ParaNoNdepar-AltN"/>
        <w:widowControl w:val="0"/>
        <w:rPr>
          <w:rFonts w:eastAsiaTheme="minorHAnsi" w:cs="Times New Roman"/>
          <w:i/>
          <w:lang w:val="fr-CA"/>
        </w:rPr>
      </w:pPr>
      <w:r w:rsidRPr="00E13D0A">
        <w:rPr>
          <w:rFonts w:cs="Times New Roman"/>
          <w:lang w:val="fr-CA"/>
        </w:rPr>
        <w:t>Si le RIAC qui a été mis en place en 2010 autorisait le conducteur à obtenir sur demande une deuxième analyse faite au moyen d</w:t>
      </w:r>
      <w:r>
        <w:rPr>
          <w:rFonts w:cs="Times New Roman"/>
          <w:lang w:val="fr-CA"/>
        </w:rPr>
        <w:t>’</w:t>
      </w:r>
      <w:r w:rsidRPr="00E13D0A">
        <w:rPr>
          <w:rFonts w:cs="Times New Roman"/>
          <w:lang w:val="fr-CA"/>
        </w:rPr>
        <w:t>un autre ADA, il n</w:t>
      </w:r>
      <w:r>
        <w:rPr>
          <w:rFonts w:cs="Times New Roman"/>
          <w:lang w:val="fr-CA"/>
        </w:rPr>
        <w:t>’</w:t>
      </w:r>
      <w:r w:rsidRPr="00E13D0A">
        <w:rPr>
          <w:rFonts w:cs="Times New Roman"/>
          <w:lang w:val="fr-CA"/>
        </w:rPr>
        <w:t>obligeait aucunement le policier à aviser le conducteur de ce droit</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par. </w:t>
      </w:r>
      <w:r w:rsidRPr="00E13D0A">
        <w:rPr>
          <w:rFonts w:cs="Times New Roman"/>
          <w:lang w:val="fr-CA"/>
        </w:rPr>
        <w:t xml:space="preserve">215.42(1) et (2). Le RIAC prescrivait en outre que la deuxième analyse </w:t>
      </w:r>
      <w:r w:rsidR="001B1D1E">
        <w:rPr>
          <w:rFonts w:cs="Times New Roman"/>
          <w:lang w:val="fr-CA"/>
        </w:rPr>
        <w:t xml:space="preserve">ait </w:t>
      </w:r>
      <w:r w:rsidRPr="00E13D0A">
        <w:rPr>
          <w:rFonts w:cs="Times New Roman"/>
          <w:lang w:val="fr-CA"/>
        </w:rPr>
        <w:t>préséance, que la lecture obtenue soit plus élevée ou plus basse que la lecture initiale</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215.42(3). Bien qu</w:t>
      </w:r>
      <w:r>
        <w:rPr>
          <w:rFonts w:cs="Times New Roman"/>
          <w:lang w:val="fr-CA"/>
        </w:rPr>
        <w:t>’</w:t>
      </w:r>
      <w:r w:rsidRPr="00E13D0A">
        <w:rPr>
          <w:rFonts w:cs="Times New Roman"/>
          <w:lang w:val="fr-CA"/>
        </w:rPr>
        <w:t>une deuxième analyse effectuée au moyen d</w:t>
      </w:r>
      <w:r>
        <w:rPr>
          <w:rFonts w:cs="Times New Roman"/>
          <w:lang w:val="fr-CA"/>
        </w:rPr>
        <w:t>’</w:t>
      </w:r>
      <w:r w:rsidRPr="00E13D0A">
        <w:rPr>
          <w:rFonts w:cs="Times New Roman"/>
          <w:lang w:val="fr-CA"/>
        </w:rPr>
        <w:t>un deuxième appareil puisse grandement aider à dissiper les doutes concernant la fiabilité de l</w:t>
      </w:r>
      <w:r>
        <w:rPr>
          <w:rFonts w:cs="Times New Roman"/>
          <w:lang w:val="fr-CA"/>
        </w:rPr>
        <w:t>’</w:t>
      </w:r>
      <w:r w:rsidRPr="00E13D0A">
        <w:rPr>
          <w:rFonts w:cs="Times New Roman"/>
          <w:lang w:val="fr-CA"/>
        </w:rPr>
        <w:t>alcootest administré au moyen d</w:t>
      </w:r>
      <w:r>
        <w:rPr>
          <w:rFonts w:cs="Times New Roman"/>
          <w:lang w:val="fr-CA"/>
        </w:rPr>
        <w:t>’</w:t>
      </w:r>
      <w:r w:rsidRPr="00E13D0A">
        <w:rPr>
          <w:rFonts w:cs="Times New Roman"/>
          <w:lang w:val="fr-CA"/>
        </w:rPr>
        <w:t>un ADA, la possibilité de se prévaloir de cette mesure de protection pourrait s</w:t>
      </w:r>
      <w:r>
        <w:rPr>
          <w:rFonts w:cs="Times New Roman"/>
          <w:lang w:val="fr-CA"/>
        </w:rPr>
        <w:t>’</w:t>
      </w:r>
      <w:r w:rsidRPr="00E13D0A">
        <w:rPr>
          <w:rFonts w:cs="Times New Roman"/>
          <w:lang w:val="fr-CA"/>
        </w:rPr>
        <w:t>avérer illusoire lorsque le conducteur n</w:t>
      </w:r>
      <w:r>
        <w:rPr>
          <w:rFonts w:cs="Times New Roman"/>
          <w:lang w:val="fr-CA"/>
        </w:rPr>
        <w:t>’</w:t>
      </w:r>
      <w:r w:rsidRPr="00E13D0A">
        <w:rPr>
          <w:rFonts w:cs="Times New Roman"/>
          <w:lang w:val="fr-CA"/>
        </w:rPr>
        <w:t>est pas au courant de son existence, particulièrement lorsqu</w:t>
      </w:r>
      <w:r>
        <w:rPr>
          <w:rFonts w:cs="Times New Roman"/>
          <w:lang w:val="fr-CA"/>
        </w:rPr>
        <w:t>’</w:t>
      </w:r>
      <w:r w:rsidRPr="00E13D0A">
        <w:rPr>
          <w:rFonts w:cs="Times New Roman"/>
          <w:lang w:val="fr-CA"/>
        </w:rPr>
        <w:t>il n</w:t>
      </w:r>
      <w:r>
        <w:rPr>
          <w:rFonts w:cs="Times New Roman"/>
          <w:lang w:val="fr-CA"/>
        </w:rPr>
        <w:t>’</w:t>
      </w:r>
      <w:r w:rsidRPr="00E13D0A">
        <w:rPr>
          <w:rFonts w:cs="Times New Roman"/>
          <w:lang w:val="fr-CA"/>
        </w:rPr>
        <w:t>y a aucune garantie que le résultat le plus bas l</w:t>
      </w:r>
      <w:r>
        <w:rPr>
          <w:rFonts w:cs="Times New Roman"/>
          <w:lang w:val="fr-CA"/>
        </w:rPr>
        <w:t>’</w:t>
      </w:r>
      <w:r w:rsidRPr="00E13D0A">
        <w:rPr>
          <w:rFonts w:cs="Times New Roman"/>
          <w:lang w:val="fr-CA"/>
        </w:rPr>
        <w:t>emportera. En l</w:t>
      </w:r>
      <w:r>
        <w:rPr>
          <w:rFonts w:cs="Times New Roman"/>
          <w:lang w:val="fr-CA"/>
        </w:rPr>
        <w:t>’</w:t>
      </w:r>
      <w:r w:rsidRPr="00E13D0A">
        <w:rPr>
          <w:rFonts w:cs="Times New Roman"/>
          <w:lang w:val="fr-CA"/>
        </w:rPr>
        <w:t>absence de mesures de protection significatives assurant la fiabilité, ce facteur suscite de sérieux doutes au sujet du caractère raisonnable de la loi autorisant la saisie.</w:t>
      </w:r>
    </w:p>
    <w:p w:rsidR="00065721" w:rsidRPr="00E13D0A" w:rsidRDefault="00065721" w:rsidP="00926B45">
      <w:pPr>
        <w:pStyle w:val="Title4LevelTitre4Niveau"/>
        <w:widowControl w:val="0"/>
        <w:rPr>
          <w:rFonts w:cs="Times New Roman"/>
          <w:lang w:val="fr-CA"/>
        </w:rPr>
      </w:pPr>
      <w:r w:rsidRPr="00E13D0A">
        <w:rPr>
          <w:rFonts w:cs="Times New Roman"/>
          <w:lang w:val="fr-CA"/>
        </w:rPr>
        <w:t>La possibilité d</w:t>
      </w:r>
      <w:r>
        <w:rPr>
          <w:rFonts w:cs="Times New Roman"/>
          <w:lang w:val="fr-CA"/>
        </w:rPr>
        <w:t>’</w:t>
      </w:r>
      <w:r w:rsidRPr="00E13D0A">
        <w:rPr>
          <w:rFonts w:cs="Times New Roman"/>
          <w:lang w:val="fr-CA"/>
        </w:rPr>
        <w:t>avoir recours à la surveillance judiciaire</w:t>
      </w:r>
    </w:p>
    <w:p w:rsidR="00065721" w:rsidRPr="00E13D0A" w:rsidRDefault="00065721" w:rsidP="00926B45">
      <w:pPr>
        <w:pStyle w:val="ParaNoNdepar-AltN"/>
        <w:widowControl w:val="0"/>
        <w:rPr>
          <w:rFonts w:cs="Times New Roman"/>
          <w:lang w:val="fr-CA"/>
        </w:rPr>
      </w:pPr>
      <w:r w:rsidRPr="00E13D0A">
        <w:rPr>
          <w:rFonts w:cs="Times New Roman"/>
          <w:lang w:val="fr-CA"/>
        </w:rPr>
        <w:t>Une bonne partie du désaccord entre les parties porte sur la possibilité d</w:t>
      </w:r>
      <w:r>
        <w:rPr>
          <w:rFonts w:cs="Times New Roman"/>
          <w:lang w:val="fr-CA"/>
        </w:rPr>
        <w:t>’</w:t>
      </w:r>
      <w:r w:rsidRPr="00E13D0A">
        <w:rPr>
          <w:rFonts w:cs="Times New Roman"/>
          <w:lang w:val="fr-CA"/>
        </w:rPr>
        <w:t>avoir recours à la surveillance judiciaire et sur l</w:t>
      </w:r>
      <w:r>
        <w:rPr>
          <w:rFonts w:cs="Times New Roman"/>
          <w:lang w:val="fr-CA"/>
        </w:rPr>
        <w:t>’</w:t>
      </w:r>
      <w:r w:rsidRPr="00E13D0A">
        <w:rPr>
          <w:rFonts w:cs="Times New Roman"/>
          <w:lang w:val="fr-CA"/>
        </w:rPr>
        <w:t>importance de pouvoir recourir au contrôle dans le cadre de l</w:t>
      </w:r>
      <w:r>
        <w:rPr>
          <w:rFonts w:cs="Times New Roman"/>
          <w:lang w:val="fr-CA"/>
        </w:rPr>
        <w:t>’</w:t>
      </w:r>
      <w:r w:rsidRPr="00E13D0A">
        <w:rPr>
          <w:rFonts w:cs="Times New Roman"/>
          <w:lang w:val="fr-CA"/>
        </w:rPr>
        <w:t>analyse fondée sur l</w:t>
      </w:r>
      <w:r>
        <w:rPr>
          <w:rFonts w:cs="Times New Roman"/>
          <w:lang w:val="fr-CA"/>
        </w:rPr>
        <w:t>’art. </w:t>
      </w:r>
      <w:r w:rsidRPr="00E13D0A">
        <w:rPr>
          <w:rFonts w:cs="Times New Roman"/>
          <w:lang w:val="fr-CA"/>
        </w:rPr>
        <w:t xml:space="preserve">8. Les conducteurs font valoir, et le </w:t>
      </w:r>
      <w:r w:rsidRPr="00E13D0A">
        <w:rPr>
          <w:rFonts w:cs="Times New Roman"/>
          <w:lang w:val="fr-CA"/>
        </w:rPr>
        <w:lastRenderedPageBreak/>
        <w:t>juge en chambre convient avec eux, que comme le conducteur ne peut valablement contester ni le fondement ni, plus important encore, l</w:t>
      </w:r>
      <w:r>
        <w:rPr>
          <w:rFonts w:cs="Times New Roman"/>
          <w:lang w:val="fr-CA"/>
        </w:rPr>
        <w:t>’</w:t>
      </w:r>
      <w:r w:rsidRPr="00E13D0A">
        <w:rPr>
          <w:rFonts w:cs="Times New Roman"/>
          <w:lang w:val="fr-CA"/>
        </w:rPr>
        <w:t>exactitude de l</w:t>
      </w:r>
      <w:r>
        <w:rPr>
          <w:rFonts w:cs="Times New Roman"/>
          <w:lang w:val="fr-CA"/>
        </w:rPr>
        <w:t>’</w:t>
      </w:r>
      <w:r w:rsidRPr="00E13D0A">
        <w:rPr>
          <w:rFonts w:cs="Times New Roman"/>
          <w:lang w:val="fr-CA"/>
        </w:rPr>
        <w:t>analyse effectuée au moyen d</w:t>
      </w:r>
      <w:r>
        <w:rPr>
          <w:rFonts w:cs="Times New Roman"/>
          <w:lang w:val="fr-CA"/>
        </w:rPr>
        <w:t>’</w:t>
      </w:r>
      <w:r w:rsidRPr="00E13D0A">
        <w:rPr>
          <w:rFonts w:cs="Times New Roman"/>
          <w:lang w:val="fr-CA"/>
        </w:rPr>
        <w:t>un ADA, la demande d</w:t>
      </w:r>
      <w:r>
        <w:rPr>
          <w:rFonts w:cs="Times New Roman"/>
          <w:lang w:val="fr-CA"/>
        </w:rPr>
        <w:t>’</w:t>
      </w:r>
      <w:r w:rsidRPr="00E13D0A">
        <w:rPr>
          <w:rFonts w:cs="Times New Roman"/>
          <w:lang w:val="fr-CA"/>
        </w:rPr>
        <w:t>alcootest constitue une saisie abusive. La Province réplique que le fait d</w:t>
      </w:r>
      <w:r>
        <w:rPr>
          <w:rFonts w:cs="Times New Roman"/>
          <w:lang w:val="fr-CA"/>
        </w:rPr>
        <w:t>’</w:t>
      </w:r>
      <w:r w:rsidRPr="00E13D0A">
        <w:rPr>
          <w:rFonts w:cs="Times New Roman"/>
          <w:lang w:val="fr-CA"/>
        </w:rPr>
        <w:t>inclure de telles considérations procédurales dans l</w:t>
      </w:r>
      <w:r>
        <w:rPr>
          <w:rFonts w:cs="Times New Roman"/>
          <w:lang w:val="fr-CA"/>
        </w:rPr>
        <w:t>’</w:t>
      </w:r>
      <w:r w:rsidRPr="00E13D0A">
        <w:rPr>
          <w:rFonts w:cs="Times New Roman"/>
          <w:lang w:val="fr-CA"/>
        </w:rPr>
        <w:t>analyse fondée sur l</w:t>
      </w:r>
      <w:r>
        <w:rPr>
          <w:rFonts w:cs="Times New Roman"/>
          <w:lang w:val="fr-CA"/>
        </w:rPr>
        <w:t>’art. </w:t>
      </w:r>
      <w:r w:rsidRPr="00E13D0A">
        <w:rPr>
          <w:rFonts w:cs="Times New Roman"/>
          <w:lang w:val="fr-CA"/>
        </w:rPr>
        <w:t>8 dénature la portée de cet article, et que ces considérations devraient plutôt être abordées sous l</w:t>
      </w:r>
      <w:r>
        <w:rPr>
          <w:rFonts w:cs="Times New Roman"/>
          <w:lang w:val="fr-CA"/>
        </w:rPr>
        <w:t>’</w:t>
      </w:r>
      <w:r w:rsidRPr="00E13D0A">
        <w:rPr>
          <w:rFonts w:cs="Times New Roman"/>
          <w:lang w:val="fr-CA"/>
        </w:rPr>
        <w:t>angle de l</w:t>
      </w:r>
      <w:r>
        <w:rPr>
          <w:rFonts w:cs="Times New Roman"/>
          <w:lang w:val="fr-CA"/>
        </w:rPr>
        <w:t>’art. </w:t>
      </w:r>
      <w:r w:rsidRPr="00E13D0A">
        <w:rPr>
          <w:rFonts w:cs="Times New Roman"/>
          <w:lang w:val="fr-CA"/>
        </w:rPr>
        <w:t>7 ou des principes de droit administratif.</w:t>
      </w:r>
    </w:p>
    <w:p w:rsidR="00065721" w:rsidRPr="00E13D0A" w:rsidRDefault="00065721" w:rsidP="00926B45">
      <w:pPr>
        <w:pStyle w:val="ParaNoNdepar-AltN"/>
        <w:widowControl w:val="0"/>
        <w:rPr>
          <w:rFonts w:cs="Times New Roman"/>
          <w:lang w:val="fr-CA"/>
        </w:rPr>
      </w:pPr>
      <w:r w:rsidRPr="00E13D0A">
        <w:rPr>
          <w:rFonts w:cs="Times New Roman"/>
          <w:lang w:val="fr-CA"/>
        </w:rPr>
        <w:t>Ce n</w:t>
      </w:r>
      <w:r>
        <w:rPr>
          <w:rFonts w:cs="Times New Roman"/>
          <w:lang w:val="fr-CA"/>
        </w:rPr>
        <w:t>’</w:t>
      </w:r>
      <w:r w:rsidRPr="00E13D0A">
        <w:rPr>
          <w:rFonts w:cs="Times New Roman"/>
          <w:lang w:val="fr-CA"/>
        </w:rPr>
        <w:t>est pas la première fois que la Cour traite de l</w:t>
      </w:r>
      <w:r>
        <w:rPr>
          <w:rFonts w:cs="Times New Roman"/>
          <w:lang w:val="fr-CA"/>
        </w:rPr>
        <w:t>’</w:t>
      </w:r>
      <w:r w:rsidRPr="00E13D0A">
        <w:rPr>
          <w:rFonts w:cs="Times New Roman"/>
          <w:lang w:val="fr-CA"/>
        </w:rPr>
        <w:t>importance des mesures de protection procédurales dans une analyse fondée sur l</w:t>
      </w:r>
      <w:r>
        <w:rPr>
          <w:rFonts w:cs="Times New Roman"/>
          <w:lang w:val="fr-CA"/>
        </w:rPr>
        <w:t>’art. </w:t>
      </w:r>
      <w:r w:rsidRPr="00E13D0A">
        <w:rPr>
          <w:rFonts w:cs="Times New Roman"/>
          <w:lang w:val="fr-CA"/>
        </w:rPr>
        <w:t>8. Bien que le caractère suffisant de ces mesures soit souvent contesté sur le fondement de l</w:t>
      </w:r>
      <w:r>
        <w:rPr>
          <w:rFonts w:cs="Times New Roman"/>
          <w:lang w:val="fr-CA"/>
        </w:rPr>
        <w:t>’art. </w:t>
      </w:r>
      <w:r w:rsidRPr="00E13D0A">
        <w:rPr>
          <w:rFonts w:cs="Times New Roman"/>
          <w:lang w:val="fr-CA"/>
        </w:rPr>
        <w:t>7, la Cour a reconnu dans l</w:t>
      </w:r>
      <w:r>
        <w:rPr>
          <w:rFonts w:cs="Times New Roman"/>
          <w:lang w:val="fr-CA"/>
        </w:rPr>
        <w:t>’</w:t>
      </w:r>
      <w:r w:rsidRPr="00E13D0A">
        <w:rPr>
          <w:rFonts w:cs="Times New Roman"/>
          <w:lang w:val="fr-CA"/>
        </w:rPr>
        <w:t xml:space="preserve">arrêt </w:t>
      </w:r>
      <w:r w:rsidRPr="00E13D0A">
        <w:rPr>
          <w:rFonts w:cs="Times New Roman"/>
          <w:i/>
          <w:lang w:val="fr-CA"/>
        </w:rPr>
        <w:t>R. c. Mills</w:t>
      </w:r>
      <w:r w:rsidRPr="00E13D0A">
        <w:rPr>
          <w:rFonts w:cs="Times New Roman"/>
          <w:lang w:val="fr-CA"/>
        </w:rPr>
        <w:t>, [1999] 3 R.C.S. 668, que le droit à une défense pleine et entière est une considération pertinente lorsqu</w:t>
      </w:r>
      <w:r>
        <w:rPr>
          <w:rFonts w:cs="Times New Roman"/>
          <w:lang w:val="fr-CA"/>
        </w:rPr>
        <w:t>’</w:t>
      </w:r>
      <w:r w:rsidRPr="00E13D0A">
        <w:rPr>
          <w:rFonts w:cs="Times New Roman"/>
          <w:lang w:val="fr-CA"/>
        </w:rPr>
        <w:t>il s</w:t>
      </w:r>
      <w:r>
        <w:rPr>
          <w:rFonts w:cs="Times New Roman"/>
          <w:lang w:val="fr-CA"/>
        </w:rPr>
        <w:t>’</w:t>
      </w:r>
      <w:r w:rsidRPr="00E13D0A">
        <w:rPr>
          <w:rFonts w:cs="Times New Roman"/>
          <w:lang w:val="fr-CA"/>
        </w:rPr>
        <w:t>agit d</w:t>
      </w:r>
      <w:r>
        <w:rPr>
          <w:rFonts w:cs="Times New Roman"/>
          <w:lang w:val="fr-CA"/>
        </w:rPr>
        <w:t>’</w:t>
      </w:r>
      <w:r w:rsidRPr="00E13D0A">
        <w:rPr>
          <w:rFonts w:cs="Times New Roman"/>
          <w:lang w:val="fr-CA"/>
        </w:rPr>
        <w:t>apprécier le caractère raisonnable d</w:t>
      </w:r>
      <w:r>
        <w:rPr>
          <w:rFonts w:cs="Times New Roman"/>
          <w:lang w:val="fr-CA"/>
        </w:rPr>
        <w:t>’</w:t>
      </w:r>
      <w:r w:rsidRPr="00E13D0A">
        <w:rPr>
          <w:rFonts w:cs="Times New Roman"/>
          <w:lang w:val="fr-CA"/>
        </w:rPr>
        <w:t>une fouille, d</w:t>
      </w:r>
      <w:r>
        <w:rPr>
          <w:rFonts w:cs="Times New Roman"/>
          <w:lang w:val="fr-CA"/>
        </w:rPr>
        <w:t>’</w:t>
      </w:r>
      <w:r w:rsidRPr="00E13D0A">
        <w:rPr>
          <w:rFonts w:cs="Times New Roman"/>
          <w:lang w:val="fr-CA"/>
        </w:rPr>
        <w:t>une perquisition ou d</w:t>
      </w:r>
      <w:r>
        <w:rPr>
          <w:rFonts w:cs="Times New Roman"/>
          <w:lang w:val="fr-CA"/>
        </w:rPr>
        <w:t>’</w:t>
      </w:r>
      <w:r w:rsidRPr="00E13D0A">
        <w:rPr>
          <w:rFonts w:cs="Times New Roman"/>
          <w:lang w:val="fr-CA"/>
        </w:rPr>
        <w:t>une saisie</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 xml:space="preserve">88; voir également </w:t>
      </w:r>
      <w:r w:rsidRPr="00E13D0A">
        <w:rPr>
          <w:rFonts w:cs="Times New Roman"/>
          <w:i/>
          <w:lang w:val="fr-CA"/>
        </w:rPr>
        <w:t>S.A.B.</w:t>
      </w:r>
      <w:r w:rsidRPr="00E13D0A">
        <w:rPr>
          <w:rFonts w:cs="Times New Roman"/>
          <w:lang w:val="fr-CA"/>
        </w:rPr>
        <w:t xml:space="preserve">, </w:t>
      </w:r>
      <w:r>
        <w:rPr>
          <w:rFonts w:cs="Times New Roman"/>
          <w:lang w:val="fr-CA"/>
        </w:rPr>
        <w:t>par. </w:t>
      </w:r>
      <w:r w:rsidRPr="00E13D0A">
        <w:rPr>
          <w:rFonts w:cs="Times New Roman"/>
          <w:lang w:val="fr-CA"/>
        </w:rPr>
        <w:t xml:space="preserve">35. Dans </w:t>
      </w:r>
      <w:r w:rsidRPr="00E13D0A">
        <w:rPr>
          <w:rFonts w:cs="Times New Roman"/>
          <w:i/>
          <w:lang w:val="fr-CA"/>
        </w:rPr>
        <w:t>Hunter</w:t>
      </w:r>
      <w:r w:rsidRPr="00E13D0A">
        <w:rPr>
          <w:rFonts w:cs="Times New Roman"/>
          <w:lang w:val="fr-CA"/>
        </w:rPr>
        <w:t>, le juge Dickson a conclu qu</w:t>
      </w:r>
      <w:r>
        <w:rPr>
          <w:rFonts w:cs="Times New Roman"/>
          <w:lang w:val="fr-CA"/>
        </w:rPr>
        <w:t>’</w:t>
      </w:r>
      <w:r w:rsidRPr="00E13D0A">
        <w:rPr>
          <w:rFonts w:cs="Times New Roman"/>
          <w:lang w:val="fr-CA"/>
        </w:rPr>
        <w:t>un pouvoir discrétionnaire de fouille, de perquisition et de saisie non susceptible de révision serait contraire à l</w:t>
      </w:r>
      <w:r>
        <w:rPr>
          <w:rFonts w:cs="Times New Roman"/>
          <w:lang w:val="fr-CA"/>
        </w:rPr>
        <w:t>’art. </w:t>
      </w:r>
      <w:r w:rsidRPr="00E13D0A">
        <w:rPr>
          <w:rFonts w:cs="Times New Roman"/>
          <w:lang w:val="fr-CA"/>
        </w:rPr>
        <w:t>8</w:t>
      </w:r>
      <w:r>
        <w:rPr>
          <w:rFonts w:cs="Times New Roman"/>
          <w:lang w:val="fr-CA"/>
        </w:rPr>
        <w:t> :</w:t>
      </w:r>
      <w:r w:rsidRPr="00E13D0A">
        <w:rPr>
          <w:rFonts w:cs="Times New Roman"/>
          <w:lang w:val="fr-CA"/>
        </w:rPr>
        <w:t xml:space="preserve"> </w:t>
      </w:r>
      <w:r>
        <w:rPr>
          <w:rFonts w:cs="Times New Roman"/>
          <w:lang w:val="fr-CA"/>
        </w:rPr>
        <w:t>p. </w:t>
      </w:r>
      <w:r w:rsidRPr="00E13D0A">
        <w:rPr>
          <w:rFonts w:cs="Times New Roman"/>
          <w:lang w:val="fr-CA"/>
        </w:rPr>
        <w:t>166. Plus récemment, dans l</w:t>
      </w:r>
      <w:r>
        <w:rPr>
          <w:rFonts w:cs="Times New Roman"/>
          <w:lang w:val="fr-CA"/>
        </w:rPr>
        <w:t>’</w:t>
      </w:r>
      <w:r w:rsidRPr="00E13D0A">
        <w:rPr>
          <w:rFonts w:cs="Times New Roman"/>
          <w:lang w:val="fr-CA"/>
        </w:rPr>
        <w:t xml:space="preserve">arrêt </w:t>
      </w:r>
      <w:r w:rsidRPr="00E13D0A">
        <w:rPr>
          <w:rFonts w:cs="Times New Roman"/>
          <w:i/>
          <w:lang w:val="fr-CA"/>
        </w:rPr>
        <w:t>Chehil</w:t>
      </w:r>
      <w:r w:rsidRPr="00E13D0A">
        <w:rPr>
          <w:rFonts w:cs="Times New Roman"/>
          <w:lang w:val="fr-CA"/>
        </w:rPr>
        <w:t>, la Cour a jugé que la norme des « soupçons raisonnables » applicable aux fouilles effectuées à l</w:t>
      </w:r>
      <w:r>
        <w:rPr>
          <w:rFonts w:cs="Times New Roman"/>
          <w:lang w:val="fr-CA"/>
        </w:rPr>
        <w:t>’</w:t>
      </w:r>
      <w:r w:rsidRPr="00E13D0A">
        <w:rPr>
          <w:rFonts w:cs="Times New Roman"/>
          <w:lang w:val="fr-CA"/>
        </w:rPr>
        <w:t>aide d</w:t>
      </w:r>
      <w:r>
        <w:rPr>
          <w:rFonts w:cs="Times New Roman"/>
          <w:lang w:val="fr-CA"/>
        </w:rPr>
        <w:t>’</w:t>
      </w:r>
      <w:r w:rsidRPr="00E13D0A">
        <w:rPr>
          <w:rFonts w:cs="Times New Roman"/>
          <w:lang w:val="fr-CA"/>
        </w:rPr>
        <w:t>un chien renifleur respectait l</w:t>
      </w:r>
      <w:r>
        <w:rPr>
          <w:rFonts w:cs="Times New Roman"/>
          <w:lang w:val="fr-CA"/>
        </w:rPr>
        <w:t>’</w:t>
      </w:r>
      <w:r w:rsidRPr="00E13D0A">
        <w:rPr>
          <w:rFonts w:cs="Times New Roman"/>
          <w:lang w:val="fr-CA"/>
        </w:rPr>
        <w:t>équilibre établi par l</w:t>
      </w:r>
      <w:r>
        <w:rPr>
          <w:rFonts w:cs="Times New Roman"/>
          <w:lang w:val="fr-CA"/>
        </w:rPr>
        <w:t>’art. </w:t>
      </w:r>
      <w:r w:rsidRPr="00E13D0A">
        <w:rPr>
          <w:rFonts w:cs="Times New Roman"/>
          <w:lang w:val="fr-CA"/>
        </w:rPr>
        <w:t>8 en raison d</w:t>
      </w:r>
      <w:r>
        <w:rPr>
          <w:rFonts w:cs="Times New Roman"/>
          <w:lang w:val="fr-CA"/>
        </w:rPr>
        <w:t>’</w:t>
      </w:r>
      <w:r w:rsidRPr="00E13D0A">
        <w:rPr>
          <w:rFonts w:cs="Times New Roman"/>
          <w:lang w:val="fr-CA"/>
        </w:rPr>
        <w:t>un contrôle judiciaire ultérieur qui « permet [. . .] d</w:t>
      </w:r>
      <w:r>
        <w:rPr>
          <w:rFonts w:cs="Times New Roman"/>
          <w:lang w:val="fr-CA"/>
        </w:rPr>
        <w:t>’</w:t>
      </w:r>
      <w:r w:rsidRPr="00E13D0A">
        <w:rPr>
          <w:rFonts w:cs="Times New Roman"/>
          <w:lang w:val="fr-CA"/>
        </w:rPr>
        <w:t>empêcher les atteintes aveugles et discriminatoires au droit à la vie privée, les tribunaux vérifiant que l</w:t>
      </w:r>
      <w:r>
        <w:rPr>
          <w:rFonts w:cs="Times New Roman"/>
          <w:lang w:val="fr-CA"/>
        </w:rPr>
        <w:t>’</w:t>
      </w:r>
      <w:r w:rsidRPr="00E13D0A">
        <w:rPr>
          <w:rFonts w:cs="Times New Roman"/>
          <w:lang w:val="fr-CA"/>
        </w:rPr>
        <w:t>atteinte policière à l</w:t>
      </w:r>
      <w:r>
        <w:rPr>
          <w:rFonts w:cs="Times New Roman"/>
          <w:lang w:val="fr-CA"/>
        </w:rPr>
        <w:t>’</w:t>
      </w:r>
      <w:r w:rsidRPr="00E13D0A">
        <w:rPr>
          <w:rFonts w:cs="Times New Roman"/>
          <w:lang w:val="fr-CA"/>
        </w:rPr>
        <w:t>attente raisonnable en matière de vie privée repose bel et bien sur un fondement objectif et raisonnable »</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25.</w:t>
      </w:r>
    </w:p>
    <w:p w:rsidR="00065721" w:rsidRPr="00E13D0A" w:rsidRDefault="00065721" w:rsidP="00926B45">
      <w:pPr>
        <w:pStyle w:val="ParaNoNdepar-AltN"/>
        <w:widowControl w:val="0"/>
        <w:rPr>
          <w:rFonts w:cs="Times New Roman"/>
          <w:lang w:val="fr-CA"/>
        </w:rPr>
      </w:pPr>
      <w:r w:rsidRPr="00E13D0A">
        <w:rPr>
          <w:rFonts w:cs="Times New Roman"/>
          <w:lang w:val="fr-CA"/>
        </w:rPr>
        <w:t xml:space="preserve">Bien que les arrêts </w:t>
      </w:r>
      <w:r w:rsidRPr="00E13D0A">
        <w:rPr>
          <w:rFonts w:cs="Times New Roman"/>
          <w:i/>
          <w:lang w:val="fr-CA"/>
        </w:rPr>
        <w:t xml:space="preserve">Hunter </w:t>
      </w:r>
      <w:r w:rsidRPr="00E13D0A">
        <w:rPr>
          <w:rFonts w:cs="Times New Roman"/>
          <w:lang w:val="fr-CA"/>
        </w:rPr>
        <w:t xml:space="preserve">et </w:t>
      </w:r>
      <w:r w:rsidRPr="00E13D0A">
        <w:rPr>
          <w:rFonts w:cs="Times New Roman"/>
          <w:i/>
          <w:lang w:val="fr-CA"/>
        </w:rPr>
        <w:t>Chehil</w:t>
      </w:r>
      <w:r w:rsidRPr="00E13D0A">
        <w:rPr>
          <w:rFonts w:cs="Times New Roman"/>
          <w:lang w:val="fr-CA"/>
        </w:rPr>
        <w:t xml:space="preserve"> portent tous deux sur le contrôle de la </w:t>
      </w:r>
      <w:r w:rsidRPr="00E13D0A">
        <w:rPr>
          <w:rFonts w:cs="Times New Roman"/>
          <w:lang w:val="fr-CA"/>
        </w:rPr>
        <w:lastRenderedPageBreak/>
        <w:t>légalité d</w:t>
      </w:r>
      <w:r>
        <w:rPr>
          <w:rFonts w:cs="Times New Roman"/>
          <w:lang w:val="fr-CA"/>
        </w:rPr>
        <w:t>’</w:t>
      </w:r>
      <w:r w:rsidRPr="00E13D0A">
        <w:rPr>
          <w:rFonts w:cs="Times New Roman"/>
          <w:lang w:val="fr-CA"/>
        </w:rPr>
        <w:t>une fouille ou d</w:t>
      </w:r>
      <w:r>
        <w:rPr>
          <w:rFonts w:cs="Times New Roman"/>
          <w:lang w:val="fr-CA"/>
        </w:rPr>
        <w:t>’</w:t>
      </w:r>
      <w:r w:rsidRPr="00E13D0A">
        <w:rPr>
          <w:rFonts w:cs="Times New Roman"/>
          <w:lang w:val="fr-CA"/>
        </w:rPr>
        <w:t>une perquisition plutôt que sur l</w:t>
      </w:r>
      <w:r>
        <w:rPr>
          <w:rFonts w:cs="Times New Roman"/>
          <w:lang w:val="fr-CA"/>
        </w:rPr>
        <w:t>’</w:t>
      </w:r>
      <w:r w:rsidRPr="00E13D0A">
        <w:rPr>
          <w:rFonts w:cs="Times New Roman"/>
          <w:lang w:val="fr-CA"/>
        </w:rPr>
        <w:t>utilisation ou la fiabilité des résultats de cette fouille, je suis d</w:t>
      </w:r>
      <w:r>
        <w:rPr>
          <w:rFonts w:cs="Times New Roman"/>
          <w:lang w:val="fr-CA"/>
        </w:rPr>
        <w:t>’</w:t>
      </w:r>
      <w:r w:rsidRPr="00E13D0A">
        <w:rPr>
          <w:rFonts w:cs="Times New Roman"/>
          <w:lang w:val="fr-CA"/>
        </w:rPr>
        <w:t>avis que des considérations similaires s</w:t>
      </w:r>
      <w:r>
        <w:rPr>
          <w:rFonts w:cs="Times New Roman"/>
          <w:lang w:val="fr-CA"/>
        </w:rPr>
        <w:t>’</w:t>
      </w:r>
      <w:r w:rsidRPr="00E13D0A">
        <w:rPr>
          <w:rFonts w:cs="Times New Roman"/>
          <w:lang w:val="fr-CA"/>
        </w:rPr>
        <w:t>appliquent, surtout dans les cas où les conséquences de la saisie s</w:t>
      </w:r>
      <w:r>
        <w:rPr>
          <w:rFonts w:cs="Times New Roman"/>
          <w:lang w:val="fr-CA"/>
        </w:rPr>
        <w:t>’</w:t>
      </w:r>
      <w:r w:rsidRPr="00E13D0A">
        <w:rPr>
          <w:rFonts w:cs="Times New Roman"/>
          <w:lang w:val="fr-CA"/>
        </w:rPr>
        <w:t>ensuivent automatiquement et sur</w:t>
      </w:r>
      <w:r>
        <w:rPr>
          <w:rFonts w:cs="Times New Roman"/>
          <w:lang w:val="fr-CA"/>
        </w:rPr>
        <w:noBreakHyphen/>
      </w:r>
      <w:r w:rsidRPr="00E13D0A">
        <w:rPr>
          <w:rFonts w:cs="Times New Roman"/>
          <w:lang w:val="fr-CA"/>
        </w:rPr>
        <w:t>le</w:t>
      </w:r>
      <w:r>
        <w:rPr>
          <w:rFonts w:cs="Times New Roman"/>
          <w:lang w:val="fr-CA"/>
        </w:rPr>
        <w:noBreakHyphen/>
      </w:r>
      <w:r w:rsidRPr="00E13D0A">
        <w:rPr>
          <w:rFonts w:cs="Times New Roman"/>
          <w:lang w:val="fr-CA"/>
        </w:rPr>
        <w:t>cham</w:t>
      </w:r>
      <w:r>
        <w:rPr>
          <w:rFonts w:cs="Times New Roman"/>
          <w:lang w:val="fr-CA"/>
        </w:rPr>
        <w:t>p. </w:t>
      </w:r>
      <w:r w:rsidRPr="00E13D0A">
        <w:rPr>
          <w:rFonts w:cs="Times New Roman"/>
          <w:lang w:val="fr-CA"/>
        </w:rPr>
        <w:t>Évidemment, la nature du contrôle nécessaire varie selon les circonstances, y compris la nature du régime. Par ailleurs, la possibilité de recourir à la surveillance après coup est particulièrement importante lorsque, comme en l</w:t>
      </w:r>
      <w:r>
        <w:rPr>
          <w:rFonts w:cs="Times New Roman"/>
          <w:lang w:val="fr-CA"/>
        </w:rPr>
        <w:t>’</w:t>
      </w:r>
      <w:r w:rsidRPr="00E13D0A">
        <w:rPr>
          <w:rFonts w:cs="Times New Roman"/>
          <w:lang w:val="fr-CA"/>
        </w:rPr>
        <w:t>espèce, une fouille, une perquisition ou une saisie a lieu sans autorisation préalable</w:t>
      </w:r>
      <w:r>
        <w:rPr>
          <w:rFonts w:cs="Times New Roman"/>
          <w:lang w:val="fr-CA"/>
        </w:rPr>
        <w:t> :</w:t>
      </w:r>
      <w:r w:rsidRPr="00E13D0A">
        <w:rPr>
          <w:rFonts w:cs="Times New Roman"/>
          <w:lang w:val="fr-CA"/>
        </w:rPr>
        <w:t xml:space="preserve"> </w:t>
      </w:r>
      <w:r w:rsidRPr="00E13D0A">
        <w:rPr>
          <w:rFonts w:cs="Times New Roman"/>
          <w:i/>
          <w:lang w:val="fr-CA"/>
        </w:rPr>
        <w:t>R. c. Tse</w:t>
      </w:r>
      <w:r w:rsidRPr="00E13D0A">
        <w:rPr>
          <w:rFonts w:cs="Times New Roman"/>
          <w:lang w:val="fr-CA"/>
        </w:rPr>
        <w:t xml:space="preserve">, 2012 CSC 16, [2012] 1 R.C.S. 531, </w:t>
      </w:r>
      <w:r>
        <w:rPr>
          <w:rFonts w:cs="Times New Roman"/>
          <w:lang w:val="fr-CA"/>
        </w:rPr>
        <w:t>par. </w:t>
      </w:r>
      <w:r w:rsidRPr="00E13D0A">
        <w:rPr>
          <w:rFonts w:cs="Times New Roman"/>
          <w:lang w:val="fr-CA"/>
        </w:rPr>
        <w:t>84. Même si un contrôle moins rigoureux peut se révéler suffisant dans un contexte réglementaire, la possibilité de recourir au contrôle et l</w:t>
      </w:r>
      <w:r>
        <w:rPr>
          <w:rFonts w:cs="Times New Roman"/>
          <w:lang w:val="fr-CA"/>
        </w:rPr>
        <w:t>’</w:t>
      </w:r>
      <w:r w:rsidRPr="00E13D0A">
        <w:rPr>
          <w:rFonts w:cs="Times New Roman"/>
          <w:lang w:val="fr-CA"/>
        </w:rPr>
        <w:t>efficacité de celui</w:t>
      </w:r>
      <w:r>
        <w:rPr>
          <w:rFonts w:cs="Times New Roman"/>
          <w:lang w:val="fr-CA"/>
        </w:rPr>
        <w:noBreakHyphen/>
      </w:r>
      <w:r w:rsidRPr="00E13D0A">
        <w:rPr>
          <w:rFonts w:cs="Times New Roman"/>
          <w:lang w:val="fr-CA"/>
        </w:rPr>
        <w:t>ci sont néanmoins pertinentes pour juger du caractère raisonnable sur le fondement de l</w:t>
      </w:r>
      <w:r>
        <w:rPr>
          <w:rFonts w:cs="Times New Roman"/>
          <w:lang w:val="fr-CA"/>
        </w:rPr>
        <w:t>’art. </w:t>
      </w:r>
      <w:r w:rsidRPr="00E13D0A">
        <w:rPr>
          <w:rFonts w:cs="Times New Roman"/>
          <w:lang w:val="fr-CA"/>
        </w:rPr>
        <w:t>8.</w:t>
      </w:r>
    </w:p>
    <w:p w:rsidR="00065721" w:rsidRPr="00E13D0A" w:rsidRDefault="00065721" w:rsidP="00926B45">
      <w:pPr>
        <w:pStyle w:val="ParaNoNdepar-AltN"/>
        <w:widowControl w:val="0"/>
        <w:rPr>
          <w:rFonts w:cs="Times New Roman"/>
          <w:lang w:val="fr-CA"/>
        </w:rPr>
      </w:pPr>
      <w:r w:rsidRPr="00E13D0A">
        <w:rPr>
          <w:rFonts w:cs="Times New Roman"/>
          <w:lang w:val="fr-CA"/>
        </w:rPr>
        <w:t>À mon sens, le juge en chambre a eu raison d</w:t>
      </w:r>
      <w:r>
        <w:rPr>
          <w:rFonts w:cs="Times New Roman"/>
          <w:lang w:val="fr-CA"/>
        </w:rPr>
        <w:t>’</w:t>
      </w:r>
      <w:r w:rsidRPr="00E13D0A">
        <w:rPr>
          <w:rFonts w:cs="Times New Roman"/>
          <w:lang w:val="fr-CA"/>
        </w:rPr>
        <w:t>examiner l</w:t>
      </w:r>
      <w:r>
        <w:rPr>
          <w:rFonts w:cs="Times New Roman"/>
          <w:lang w:val="fr-CA"/>
        </w:rPr>
        <w:t>’</w:t>
      </w:r>
      <w:r w:rsidRPr="00E13D0A">
        <w:rPr>
          <w:rFonts w:cs="Times New Roman"/>
          <w:lang w:val="fr-CA"/>
        </w:rPr>
        <w:t>étendue du contrôle et la possibilité d</w:t>
      </w:r>
      <w:r>
        <w:rPr>
          <w:rFonts w:cs="Times New Roman"/>
          <w:lang w:val="fr-CA"/>
        </w:rPr>
        <w:t>’</w:t>
      </w:r>
      <w:r w:rsidRPr="00E13D0A">
        <w:rPr>
          <w:rFonts w:cs="Times New Roman"/>
          <w:lang w:val="fr-CA"/>
        </w:rPr>
        <w:t>y recourir dans son analyse fondée sur l</w:t>
      </w:r>
      <w:r>
        <w:rPr>
          <w:rFonts w:cs="Times New Roman"/>
          <w:lang w:val="fr-CA"/>
        </w:rPr>
        <w:t>’art. </w:t>
      </w:r>
      <w:r w:rsidRPr="00E13D0A">
        <w:rPr>
          <w:rFonts w:cs="Times New Roman"/>
          <w:lang w:val="fr-CA"/>
        </w:rPr>
        <w:t>8. Bien que l</w:t>
      </w:r>
      <w:r>
        <w:rPr>
          <w:rFonts w:cs="Times New Roman"/>
          <w:lang w:val="fr-CA"/>
        </w:rPr>
        <w:t>’art. </w:t>
      </w:r>
      <w:r w:rsidRPr="00E13D0A">
        <w:rPr>
          <w:rFonts w:cs="Times New Roman"/>
          <w:lang w:val="fr-CA"/>
        </w:rPr>
        <w:t>8 ne vise pas principalement des questions d</w:t>
      </w:r>
      <w:r>
        <w:rPr>
          <w:rFonts w:cs="Times New Roman"/>
          <w:lang w:val="fr-CA"/>
        </w:rPr>
        <w:t>’</w:t>
      </w:r>
      <w:r w:rsidRPr="00E13D0A">
        <w:rPr>
          <w:rFonts w:cs="Times New Roman"/>
          <w:lang w:val="fr-CA"/>
        </w:rPr>
        <w:t>équité procédurale et de mesures de protection, l</w:t>
      </w:r>
      <w:r>
        <w:rPr>
          <w:rFonts w:cs="Times New Roman"/>
          <w:lang w:val="fr-CA"/>
        </w:rPr>
        <w:t>’</w:t>
      </w:r>
      <w:r w:rsidRPr="00E13D0A">
        <w:rPr>
          <w:rFonts w:cs="Times New Roman"/>
          <w:lang w:val="fr-CA"/>
        </w:rPr>
        <w:t>examen limité du fondement et des conséquences de la demande d</w:t>
      </w:r>
      <w:r>
        <w:rPr>
          <w:rFonts w:cs="Times New Roman"/>
          <w:lang w:val="fr-CA"/>
        </w:rPr>
        <w:t>’</w:t>
      </w:r>
      <w:r w:rsidRPr="00E13D0A">
        <w:rPr>
          <w:rFonts w:cs="Times New Roman"/>
          <w:lang w:val="fr-CA"/>
        </w:rPr>
        <w:t>échantillon d</w:t>
      </w:r>
      <w:r>
        <w:rPr>
          <w:rFonts w:cs="Times New Roman"/>
          <w:lang w:val="fr-CA"/>
        </w:rPr>
        <w:t>’</w:t>
      </w:r>
      <w:r w:rsidRPr="00E13D0A">
        <w:rPr>
          <w:rFonts w:cs="Times New Roman"/>
          <w:lang w:val="fr-CA"/>
        </w:rPr>
        <w:t>haleine était un élément central du RIAC, surtout compte tenu des doutes concernant la fiabilité de l</w:t>
      </w:r>
      <w:r>
        <w:rPr>
          <w:rFonts w:cs="Times New Roman"/>
          <w:lang w:val="fr-CA"/>
        </w:rPr>
        <w:t>’</w:t>
      </w:r>
      <w:r w:rsidRPr="00E13D0A">
        <w:rPr>
          <w:rFonts w:cs="Times New Roman"/>
          <w:lang w:val="fr-CA"/>
        </w:rPr>
        <w:t>ADA, de l</w:t>
      </w:r>
      <w:r>
        <w:rPr>
          <w:rFonts w:cs="Times New Roman"/>
          <w:lang w:val="fr-CA"/>
        </w:rPr>
        <w:t>’</w:t>
      </w:r>
      <w:r w:rsidRPr="00E13D0A">
        <w:rPr>
          <w:rFonts w:cs="Times New Roman"/>
          <w:lang w:val="fr-CA"/>
        </w:rPr>
        <w:t>absence d</w:t>
      </w:r>
      <w:r>
        <w:rPr>
          <w:rFonts w:cs="Times New Roman"/>
          <w:lang w:val="fr-CA"/>
        </w:rPr>
        <w:t>’</w:t>
      </w:r>
      <w:r w:rsidRPr="00E13D0A">
        <w:rPr>
          <w:rFonts w:cs="Times New Roman"/>
          <w:lang w:val="fr-CA"/>
        </w:rPr>
        <w:t>une étape intermédiaire entre l</w:t>
      </w:r>
      <w:r>
        <w:rPr>
          <w:rFonts w:cs="Times New Roman"/>
          <w:lang w:val="fr-CA"/>
        </w:rPr>
        <w:t>’</w:t>
      </w:r>
      <w:r w:rsidRPr="00E13D0A">
        <w:rPr>
          <w:rFonts w:cs="Times New Roman"/>
          <w:lang w:val="fr-CA"/>
        </w:rPr>
        <w:t>analyse effectuée au moyen d</w:t>
      </w:r>
      <w:r>
        <w:rPr>
          <w:rFonts w:cs="Times New Roman"/>
          <w:lang w:val="fr-CA"/>
        </w:rPr>
        <w:t>’</w:t>
      </w:r>
      <w:r w:rsidRPr="00E13D0A">
        <w:rPr>
          <w:rFonts w:cs="Times New Roman"/>
          <w:lang w:val="fr-CA"/>
        </w:rPr>
        <w:t>un ADA et la suspension imposée lors d</w:t>
      </w:r>
      <w:r>
        <w:rPr>
          <w:rFonts w:cs="Times New Roman"/>
          <w:lang w:val="fr-CA"/>
        </w:rPr>
        <w:t>’</w:t>
      </w:r>
      <w:r w:rsidRPr="00E13D0A">
        <w:rPr>
          <w:rFonts w:cs="Times New Roman"/>
          <w:lang w:val="fr-CA"/>
        </w:rPr>
        <w:t>un contrôle routier et de l</w:t>
      </w:r>
      <w:r>
        <w:rPr>
          <w:rFonts w:cs="Times New Roman"/>
          <w:lang w:val="fr-CA"/>
        </w:rPr>
        <w:t>’</w:t>
      </w:r>
      <w:r w:rsidRPr="00E13D0A">
        <w:rPr>
          <w:rFonts w:cs="Times New Roman"/>
          <w:lang w:val="fr-CA"/>
        </w:rPr>
        <w:t>immédiateté des sanctions qui s</w:t>
      </w:r>
      <w:r>
        <w:rPr>
          <w:rFonts w:cs="Times New Roman"/>
          <w:lang w:val="fr-CA"/>
        </w:rPr>
        <w:t>’</w:t>
      </w:r>
      <w:r w:rsidRPr="00E13D0A">
        <w:rPr>
          <w:rFonts w:cs="Times New Roman"/>
          <w:lang w:val="fr-CA"/>
        </w:rPr>
        <w:t>ensuivent. La possibilité pour le conducteur de contester l</w:t>
      </w:r>
      <w:r>
        <w:rPr>
          <w:rFonts w:cs="Times New Roman"/>
          <w:lang w:val="fr-CA"/>
        </w:rPr>
        <w:t>’</w:t>
      </w:r>
      <w:r w:rsidRPr="00E13D0A">
        <w:rPr>
          <w:rFonts w:cs="Times New Roman"/>
          <w:lang w:val="fr-CA"/>
        </w:rPr>
        <w:t>exactitude du résultat de l</w:t>
      </w:r>
      <w:r>
        <w:rPr>
          <w:rFonts w:cs="Times New Roman"/>
          <w:lang w:val="fr-CA"/>
        </w:rPr>
        <w:t>’</w:t>
      </w:r>
      <w:r w:rsidRPr="00E13D0A">
        <w:rPr>
          <w:rFonts w:cs="Times New Roman"/>
          <w:lang w:val="fr-CA"/>
        </w:rPr>
        <w:t>ADA est donc essentielle au caractère raisonnable du RIAC.</w:t>
      </w:r>
    </w:p>
    <w:p w:rsidR="00065721" w:rsidRPr="00E13D0A" w:rsidRDefault="00065721" w:rsidP="00926B45">
      <w:pPr>
        <w:pStyle w:val="ParaNoNdepar-AltN"/>
        <w:widowControl w:val="0"/>
        <w:rPr>
          <w:rFonts w:cs="Times New Roman"/>
          <w:lang w:val="fr-CA"/>
        </w:rPr>
      </w:pPr>
      <w:r w:rsidRPr="00E13D0A">
        <w:rPr>
          <w:rFonts w:cs="Times New Roman"/>
          <w:lang w:val="fr-CA"/>
        </w:rPr>
        <w:t xml:space="preserve">Il est admis que le RIAC permet à un conducteur de demander au </w:t>
      </w:r>
      <w:r w:rsidRPr="00E13D0A">
        <w:rPr>
          <w:rFonts w:cs="Times New Roman"/>
          <w:lang w:val="fr-CA"/>
        </w:rPr>
        <w:lastRenderedPageBreak/>
        <w:t>Surintendant la révision d</w:t>
      </w:r>
      <w:r>
        <w:rPr>
          <w:rFonts w:cs="Times New Roman"/>
          <w:lang w:val="fr-CA"/>
        </w:rPr>
        <w:t>’</w:t>
      </w:r>
      <w:r w:rsidRPr="00E13D0A">
        <w:rPr>
          <w:rFonts w:cs="Times New Roman"/>
          <w:lang w:val="fr-CA"/>
        </w:rPr>
        <w:t>une interdiction de conduire et que la décision du Surintendant est susceptible de contrôle judiciaire. Toutefois, la procédure de contrôle des suspensions imposées en application du RIAC permet seulement au Surintendant de trancher deux questions</w:t>
      </w:r>
      <w:r>
        <w:rPr>
          <w:rFonts w:cs="Times New Roman"/>
          <w:lang w:val="fr-CA"/>
        </w:rPr>
        <w:t> :</w:t>
      </w:r>
      <w:r w:rsidRPr="00E13D0A">
        <w:rPr>
          <w:rFonts w:cs="Times New Roman"/>
          <w:lang w:val="fr-CA"/>
        </w:rPr>
        <w:t xml:space="preserve"> le demandeur était</w:t>
      </w:r>
      <w:r>
        <w:rPr>
          <w:rFonts w:cs="Times New Roman"/>
          <w:lang w:val="fr-CA"/>
        </w:rPr>
        <w:noBreakHyphen/>
      </w:r>
      <w:r w:rsidRPr="00E13D0A">
        <w:rPr>
          <w:rFonts w:cs="Times New Roman"/>
          <w:lang w:val="fr-CA"/>
        </w:rPr>
        <w:t>il un « conducteur » et l</w:t>
      </w:r>
      <w:r>
        <w:rPr>
          <w:rFonts w:cs="Times New Roman"/>
          <w:lang w:val="fr-CA"/>
        </w:rPr>
        <w:t>’</w:t>
      </w:r>
      <w:r w:rsidRPr="00E13D0A">
        <w:rPr>
          <w:rFonts w:cs="Times New Roman"/>
          <w:lang w:val="fr-CA"/>
        </w:rPr>
        <w:t>ADA a</w:t>
      </w:r>
      <w:r>
        <w:rPr>
          <w:rFonts w:cs="Times New Roman"/>
          <w:lang w:val="fr-CA"/>
        </w:rPr>
        <w:noBreakHyphen/>
      </w:r>
      <w:r w:rsidRPr="00E13D0A">
        <w:rPr>
          <w:rFonts w:cs="Times New Roman"/>
          <w:lang w:val="fr-CA"/>
        </w:rPr>
        <w:t>t</w:t>
      </w:r>
      <w:r>
        <w:rPr>
          <w:rFonts w:cs="Times New Roman"/>
          <w:lang w:val="fr-CA"/>
        </w:rPr>
        <w:noBreakHyphen/>
      </w:r>
      <w:r w:rsidRPr="00E13D0A">
        <w:rPr>
          <w:rFonts w:cs="Times New Roman"/>
          <w:lang w:val="fr-CA"/>
        </w:rPr>
        <w:t>il affiché le résultat « échec » ou « avertissement », ou le demandeur a</w:t>
      </w:r>
      <w:r>
        <w:rPr>
          <w:rFonts w:cs="Times New Roman"/>
          <w:lang w:val="fr-CA"/>
        </w:rPr>
        <w:noBreakHyphen/>
      </w:r>
      <w:r w:rsidRPr="00E13D0A">
        <w:rPr>
          <w:rFonts w:cs="Times New Roman"/>
          <w:lang w:val="fr-CA"/>
        </w:rPr>
        <w:t>t</w:t>
      </w:r>
      <w:r>
        <w:rPr>
          <w:rFonts w:cs="Times New Roman"/>
          <w:lang w:val="fr-CA"/>
        </w:rPr>
        <w:noBreakHyphen/>
      </w:r>
      <w:r w:rsidRPr="00E13D0A">
        <w:rPr>
          <w:rFonts w:cs="Times New Roman"/>
          <w:lang w:val="fr-CA"/>
        </w:rPr>
        <w:t>il refusé de fournir un échantillon? Si les deux conditions sont remplies, le Surintendant est tenu de confirmer la suspension</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215.5(1). Le juge en chambre a conclu qu</w:t>
      </w:r>
      <w:r>
        <w:rPr>
          <w:rFonts w:cs="Times New Roman"/>
          <w:lang w:val="fr-CA"/>
        </w:rPr>
        <w:t>’</w:t>
      </w:r>
      <w:r w:rsidR="00B67B32">
        <w:rPr>
          <w:rFonts w:cs="Times New Roman"/>
          <w:lang w:val="fr-CA"/>
        </w:rPr>
        <w:t xml:space="preserve">en </w:t>
      </w:r>
      <w:r w:rsidRPr="00E13D0A">
        <w:rPr>
          <w:rFonts w:cs="Times New Roman"/>
          <w:lang w:val="fr-CA"/>
        </w:rPr>
        <w:t>[</w:t>
      </w:r>
      <w:r w:rsidRPr="00E13D0A">
        <w:rPr>
          <w:rFonts w:cs="Times New Roman"/>
          <w:smallCaps/>
          <w:lang w:val="fr-CA"/>
        </w:rPr>
        <w:t>traduction</w:t>
      </w:r>
      <w:r w:rsidRPr="00E13D0A">
        <w:rPr>
          <w:rFonts w:cs="Times New Roman"/>
          <w:lang w:val="fr-CA"/>
        </w:rPr>
        <w:t>] « raison de la portée limitée de l</w:t>
      </w:r>
      <w:r>
        <w:rPr>
          <w:rFonts w:cs="Times New Roman"/>
          <w:lang w:val="fr-CA"/>
        </w:rPr>
        <w:t>’</w:t>
      </w:r>
      <w:r w:rsidRPr="00E13D0A">
        <w:rPr>
          <w:rFonts w:cs="Times New Roman"/>
          <w:lang w:val="fr-CA"/>
        </w:rPr>
        <w:t>examen, le conducteur dont l</w:t>
      </w:r>
      <w:r>
        <w:rPr>
          <w:rFonts w:cs="Times New Roman"/>
          <w:lang w:val="fr-CA"/>
        </w:rPr>
        <w:t>’</w:t>
      </w:r>
      <w:r w:rsidRPr="00E13D0A">
        <w:rPr>
          <w:rFonts w:cs="Times New Roman"/>
          <w:lang w:val="fr-CA"/>
        </w:rPr>
        <w:t>alcoolémie n</w:t>
      </w:r>
      <w:r>
        <w:rPr>
          <w:rFonts w:cs="Times New Roman"/>
          <w:lang w:val="fr-CA"/>
        </w:rPr>
        <w:t>’</w:t>
      </w:r>
      <w:r w:rsidRPr="00E13D0A">
        <w:rPr>
          <w:rFonts w:cs="Times New Roman"/>
          <w:lang w:val="fr-CA"/>
        </w:rPr>
        <w:t>est pas supérieure à 0,08 ou à 0,05 au moment de l</w:t>
      </w:r>
      <w:r>
        <w:rPr>
          <w:rFonts w:cs="Times New Roman"/>
          <w:lang w:val="fr-CA"/>
        </w:rPr>
        <w:t>’</w:t>
      </w:r>
      <w:r w:rsidRPr="00E13D0A">
        <w:rPr>
          <w:rFonts w:cs="Times New Roman"/>
          <w:lang w:val="fr-CA"/>
        </w:rPr>
        <w:t>interdiction ne peut tout de même pas contester la suspension sur la base de l</w:t>
      </w:r>
      <w:r>
        <w:rPr>
          <w:rFonts w:cs="Times New Roman"/>
          <w:lang w:val="fr-CA"/>
        </w:rPr>
        <w:t>’</w:t>
      </w:r>
      <w:r w:rsidRPr="00E13D0A">
        <w:rPr>
          <w:rFonts w:cs="Times New Roman"/>
          <w:lang w:val="fr-CA"/>
        </w:rPr>
        <w:t>appareil de détection »</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305.</w:t>
      </w:r>
    </w:p>
    <w:p w:rsidR="00065721" w:rsidRPr="00E13D0A" w:rsidRDefault="00065721" w:rsidP="00926B45">
      <w:pPr>
        <w:pStyle w:val="ParaNoNdepar-AltN"/>
        <w:widowControl w:val="0"/>
        <w:rPr>
          <w:rFonts w:cs="Times New Roman"/>
          <w:lang w:val="fr-CA"/>
        </w:rPr>
      </w:pPr>
      <w:r w:rsidRPr="00E13D0A">
        <w:rPr>
          <w:rFonts w:cs="Times New Roman"/>
          <w:lang w:val="fr-CA"/>
        </w:rPr>
        <w:t>La Juge en chef évoque la possibilité que le Surintendant connaisse des contestations, fondées sur l</w:t>
      </w:r>
      <w:r>
        <w:rPr>
          <w:rFonts w:cs="Times New Roman"/>
          <w:lang w:val="fr-CA"/>
        </w:rPr>
        <w:t>’art. </w:t>
      </w:r>
      <w:r w:rsidRPr="00E13D0A">
        <w:rPr>
          <w:rFonts w:cs="Times New Roman"/>
          <w:lang w:val="fr-CA"/>
        </w:rPr>
        <w:t xml:space="preserve">8 de la </w:t>
      </w:r>
      <w:r w:rsidRPr="00E13D0A">
        <w:rPr>
          <w:rFonts w:cs="Times New Roman"/>
          <w:i/>
          <w:lang w:val="fr-CA"/>
        </w:rPr>
        <w:t>Charte</w:t>
      </w:r>
      <w:r w:rsidRPr="00E13D0A">
        <w:rPr>
          <w:rFonts w:cs="Times New Roman"/>
          <w:lang w:val="fr-CA"/>
        </w:rPr>
        <w:t>, du caractère raisonnable de la manière dont une fouille, une perquisition ou une saisie a été effectuée. Il ne faut pas voir les présents motifs comme l</w:t>
      </w:r>
      <w:r>
        <w:rPr>
          <w:rFonts w:cs="Times New Roman"/>
          <w:lang w:val="fr-CA"/>
        </w:rPr>
        <w:t>’</w:t>
      </w:r>
      <w:r w:rsidRPr="00E13D0A">
        <w:rPr>
          <w:rFonts w:cs="Times New Roman"/>
          <w:lang w:val="fr-CA"/>
        </w:rPr>
        <w:t>expression d</w:t>
      </w:r>
      <w:r>
        <w:rPr>
          <w:rFonts w:cs="Times New Roman"/>
          <w:lang w:val="fr-CA"/>
        </w:rPr>
        <w:t>’</w:t>
      </w:r>
      <w:r w:rsidRPr="00E13D0A">
        <w:rPr>
          <w:rFonts w:cs="Times New Roman"/>
          <w:lang w:val="fr-CA"/>
        </w:rPr>
        <w:t>une opinion sur ce point. Toutefois, la présente affaire ne porte pas sur le caractère raisonnable du comportement d</w:t>
      </w:r>
      <w:r>
        <w:rPr>
          <w:rFonts w:cs="Times New Roman"/>
          <w:lang w:val="fr-CA"/>
        </w:rPr>
        <w:t>’</w:t>
      </w:r>
      <w:r w:rsidRPr="00E13D0A">
        <w:rPr>
          <w:rFonts w:cs="Times New Roman"/>
          <w:lang w:val="fr-CA"/>
        </w:rPr>
        <w:t>un policier qui fait une saisie en particulier. Elle porte sur une question plus fondamentale</w:t>
      </w:r>
      <w:r>
        <w:rPr>
          <w:rFonts w:cs="Times New Roman"/>
          <w:lang w:val="fr-CA"/>
        </w:rPr>
        <w:t> :</w:t>
      </w:r>
      <w:r w:rsidRPr="00E13D0A">
        <w:rPr>
          <w:rFonts w:cs="Times New Roman"/>
          <w:lang w:val="fr-CA"/>
        </w:rPr>
        <w:t xml:space="preserve"> la loi qui autorise la saisie est</w:t>
      </w:r>
      <w:r>
        <w:rPr>
          <w:rFonts w:cs="Times New Roman"/>
          <w:lang w:val="fr-CA"/>
        </w:rPr>
        <w:noBreakHyphen/>
      </w:r>
      <w:r w:rsidRPr="00E13D0A">
        <w:rPr>
          <w:rFonts w:cs="Times New Roman"/>
          <w:lang w:val="fr-CA"/>
        </w:rPr>
        <w:t>elle en soi raisonnable? La possibilité pour un conducteur de contester la manière dont une saisie en particulier a été opérée ne règle pas la question de savoir si le RIAC lui</w:t>
      </w:r>
      <w:r>
        <w:rPr>
          <w:rFonts w:cs="Times New Roman"/>
          <w:lang w:val="fr-CA"/>
        </w:rPr>
        <w:noBreakHyphen/>
      </w:r>
      <w:r w:rsidRPr="00E13D0A">
        <w:rPr>
          <w:rFonts w:cs="Times New Roman"/>
          <w:lang w:val="fr-CA"/>
        </w:rPr>
        <w:t>même est conforme à l</w:t>
      </w:r>
      <w:r>
        <w:rPr>
          <w:rFonts w:cs="Times New Roman"/>
          <w:lang w:val="fr-CA"/>
        </w:rPr>
        <w:t>’art. </w:t>
      </w:r>
      <w:r w:rsidRPr="00E13D0A">
        <w:rPr>
          <w:rFonts w:cs="Times New Roman"/>
          <w:lang w:val="fr-CA"/>
        </w:rPr>
        <w:t>8.</w:t>
      </w:r>
    </w:p>
    <w:p w:rsidR="00065721" w:rsidRPr="00E13D0A" w:rsidRDefault="00065721" w:rsidP="00926B45">
      <w:pPr>
        <w:pStyle w:val="ParaNoNdepar-AltN"/>
        <w:widowControl w:val="0"/>
        <w:rPr>
          <w:rFonts w:eastAsiaTheme="minorHAnsi" w:cs="Times New Roman"/>
          <w:u w:val="single"/>
          <w:lang w:val="fr-CA"/>
        </w:rPr>
      </w:pPr>
      <w:r w:rsidRPr="00E13D0A">
        <w:rPr>
          <w:rFonts w:cs="Times New Roman"/>
          <w:lang w:val="fr-CA"/>
        </w:rPr>
        <w:t>Bien que je partage l</w:t>
      </w:r>
      <w:r>
        <w:rPr>
          <w:rFonts w:cs="Times New Roman"/>
          <w:lang w:val="fr-CA"/>
        </w:rPr>
        <w:t>’</w:t>
      </w:r>
      <w:r w:rsidRPr="00E13D0A">
        <w:rPr>
          <w:rFonts w:cs="Times New Roman"/>
          <w:lang w:val="fr-CA"/>
        </w:rPr>
        <w:t>avis de la Juge en chef selon lequel la nature administrative du régime justifie la nature administrative du contrôle, j</w:t>
      </w:r>
      <w:r>
        <w:rPr>
          <w:rFonts w:cs="Times New Roman"/>
          <w:lang w:val="fr-CA"/>
        </w:rPr>
        <w:t>’</w:t>
      </w:r>
      <w:r w:rsidRPr="00E13D0A">
        <w:rPr>
          <w:rFonts w:cs="Times New Roman"/>
          <w:lang w:val="fr-CA"/>
        </w:rPr>
        <w:t xml:space="preserve">estime que la </w:t>
      </w:r>
      <w:r w:rsidRPr="00E13D0A">
        <w:rPr>
          <w:rFonts w:cs="Times New Roman"/>
          <w:lang w:val="fr-CA"/>
        </w:rPr>
        <w:lastRenderedPageBreak/>
        <w:t>question de savoir si la portée d</w:t>
      </w:r>
      <w:r>
        <w:rPr>
          <w:rFonts w:cs="Times New Roman"/>
          <w:lang w:val="fr-CA"/>
        </w:rPr>
        <w:t>’</w:t>
      </w:r>
      <w:r w:rsidRPr="00E13D0A">
        <w:rPr>
          <w:rFonts w:cs="Times New Roman"/>
          <w:lang w:val="fr-CA"/>
        </w:rPr>
        <w:t>un tel contrôle est suffisante dans les circonstances n</w:t>
      </w:r>
      <w:r>
        <w:rPr>
          <w:rFonts w:cs="Times New Roman"/>
          <w:lang w:val="fr-CA"/>
        </w:rPr>
        <w:t>’</w:t>
      </w:r>
      <w:r w:rsidRPr="00E13D0A">
        <w:rPr>
          <w:rFonts w:cs="Times New Roman"/>
          <w:lang w:val="fr-CA"/>
        </w:rPr>
        <w:t>est pas réglée pour autant. Je souscris à la conclusion du juge en chambre que l</w:t>
      </w:r>
      <w:r>
        <w:rPr>
          <w:rFonts w:cs="Times New Roman"/>
          <w:lang w:val="fr-CA"/>
        </w:rPr>
        <w:t>’</w:t>
      </w:r>
      <w:r w:rsidRPr="00E13D0A">
        <w:rPr>
          <w:rFonts w:cs="Times New Roman"/>
          <w:lang w:val="fr-CA"/>
        </w:rPr>
        <w:t>absence d</w:t>
      </w:r>
      <w:r>
        <w:rPr>
          <w:rFonts w:cs="Times New Roman"/>
          <w:lang w:val="fr-CA"/>
        </w:rPr>
        <w:t>’</w:t>
      </w:r>
      <w:r w:rsidRPr="00E13D0A">
        <w:rPr>
          <w:rFonts w:cs="Times New Roman"/>
          <w:lang w:val="fr-CA"/>
        </w:rPr>
        <w:t>un contrôle valable de l</w:t>
      </w:r>
      <w:r>
        <w:rPr>
          <w:rFonts w:cs="Times New Roman"/>
          <w:lang w:val="fr-CA"/>
        </w:rPr>
        <w:t>’</w:t>
      </w:r>
      <w:r w:rsidRPr="00E13D0A">
        <w:rPr>
          <w:rFonts w:cs="Times New Roman"/>
          <w:lang w:val="fr-CA"/>
        </w:rPr>
        <w:t>exactitude du résultat de la saisie, vu la non</w:t>
      </w:r>
      <w:r>
        <w:rPr>
          <w:rFonts w:cs="Times New Roman"/>
          <w:lang w:val="fr-CA"/>
        </w:rPr>
        <w:noBreakHyphen/>
      </w:r>
      <w:r w:rsidRPr="00E13D0A">
        <w:rPr>
          <w:rFonts w:cs="Times New Roman"/>
          <w:lang w:val="fr-CA"/>
        </w:rPr>
        <w:t xml:space="preserve">fiabilité du test, </w:t>
      </w:r>
      <w:r>
        <w:rPr>
          <w:rFonts w:cs="Times New Roman"/>
          <w:lang w:val="fr-CA"/>
        </w:rPr>
        <w:t xml:space="preserve">suscite </w:t>
      </w:r>
      <w:r w:rsidRPr="00E13D0A">
        <w:rPr>
          <w:rFonts w:cs="Times New Roman"/>
          <w:lang w:val="fr-CA"/>
        </w:rPr>
        <w:t xml:space="preserve">des </w:t>
      </w:r>
      <w:r>
        <w:rPr>
          <w:rFonts w:cs="Times New Roman"/>
          <w:lang w:val="fr-CA"/>
        </w:rPr>
        <w:t xml:space="preserve">doutes </w:t>
      </w:r>
      <w:r w:rsidRPr="00E13D0A">
        <w:rPr>
          <w:rFonts w:cs="Times New Roman"/>
          <w:lang w:val="fr-CA"/>
        </w:rPr>
        <w:t>concernant le caractère raisonnable du RIAC. En l</w:t>
      </w:r>
      <w:r>
        <w:rPr>
          <w:rFonts w:cs="Times New Roman"/>
          <w:lang w:val="fr-CA"/>
        </w:rPr>
        <w:t>’</w:t>
      </w:r>
      <w:r w:rsidRPr="00E13D0A">
        <w:rPr>
          <w:rFonts w:cs="Times New Roman"/>
          <w:lang w:val="fr-CA"/>
        </w:rPr>
        <w:t>absence d</w:t>
      </w:r>
      <w:r>
        <w:rPr>
          <w:rFonts w:cs="Times New Roman"/>
          <w:lang w:val="fr-CA"/>
        </w:rPr>
        <w:t>’</w:t>
      </w:r>
      <w:r w:rsidRPr="00E13D0A">
        <w:rPr>
          <w:rFonts w:cs="Times New Roman"/>
          <w:lang w:val="fr-CA"/>
        </w:rPr>
        <w:t>un tel contrôle, le conducteur pourrait se voir imposer de graves sanctions administratives sans que les conditions préalables à l</w:t>
      </w:r>
      <w:r>
        <w:rPr>
          <w:rFonts w:cs="Times New Roman"/>
          <w:lang w:val="fr-CA"/>
        </w:rPr>
        <w:t>’</w:t>
      </w:r>
      <w:r w:rsidRPr="00E13D0A">
        <w:rPr>
          <w:rFonts w:cs="Times New Roman"/>
          <w:lang w:val="fr-CA"/>
        </w:rPr>
        <w:t>imposition des sanctions ne soient réunies et sans qu</w:t>
      </w:r>
      <w:r>
        <w:rPr>
          <w:rFonts w:cs="Times New Roman"/>
          <w:lang w:val="fr-CA"/>
        </w:rPr>
        <w:t>’</w:t>
      </w:r>
      <w:r w:rsidRPr="00E13D0A">
        <w:rPr>
          <w:rFonts w:cs="Times New Roman"/>
          <w:lang w:val="fr-CA"/>
        </w:rPr>
        <w:t>il ne puisse bénéficier d</w:t>
      </w:r>
      <w:r>
        <w:rPr>
          <w:rFonts w:cs="Times New Roman"/>
          <w:lang w:val="fr-CA"/>
        </w:rPr>
        <w:t>’</w:t>
      </w:r>
      <w:r w:rsidRPr="00E13D0A">
        <w:rPr>
          <w:rFonts w:cs="Times New Roman"/>
          <w:lang w:val="fr-CA"/>
        </w:rPr>
        <w:t>un mécanisme pour obtenir réparation.</w:t>
      </w:r>
    </w:p>
    <w:p w:rsidR="00065721" w:rsidRPr="00E13D0A" w:rsidRDefault="00065721" w:rsidP="00926B45">
      <w:pPr>
        <w:pStyle w:val="Title3LevelTitre3Niveau"/>
        <w:widowControl w:val="0"/>
        <w:rPr>
          <w:rFonts w:cs="Times New Roman"/>
          <w:lang w:val="fr-CA"/>
        </w:rPr>
      </w:pPr>
      <w:r w:rsidRPr="00E13D0A">
        <w:rPr>
          <w:rFonts w:cs="Times New Roman"/>
          <w:lang w:val="fr-CA"/>
        </w:rPr>
        <w:t>Conclusion sur l</w:t>
      </w:r>
      <w:r>
        <w:rPr>
          <w:rFonts w:cs="Times New Roman"/>
          <w:lang w:val="fr-CA"/>
        </w:rPr>
        <w:t>’</w:t>
      </w:r>
      <w:r w:rsidRPr="00E13D0A">
        <w:rPr>
          <w:rFonts w:cs="Times New Roman"/>
          <w:lang w:val="fr-CA"/>
        </w:rPr>
        <w:t>art</w:t>
      </w:r>
      <w:r w:rsidR="0095555D">
        <w:rPr>
          <w:rFonts w:cs="Times New Roman"/>
          <w:lang w:val="fr-CA"/>
        </w:rPr>
        <w:t>.</w:t>
      </w:r>
      <w:r w:rsidRPr="00E13D0A">
        <w:rPr>
          <w:rFonts w:cs="Times New Roman"/>
          <w:lang w:val="fr-CA"/>
        </w:rPr>
        <w:t> 8</w:t>
      </w:r>
    </w:p>
    <w:p w:rsidR="00065721" w:rsidRPr="00E13D0A" w:rsidRDefault="00065721" w:rsidP="00926B45">
      <w:pPr>
        <w:pStyle w:val="ParaNoNdepar-AltN"/>
        <w:widowControl w:val="0"/>
        <w:rPr>
          <w:rFonts w:cs="Times New Roman"/>
          <w:lang w:val="fr-CA"/>
        </w:rPr>
      </w:pPr>
      <w:r w:rsidRPr="00E13D0A">
        <w:rPr>
          <w:rFonts w:cs="Times New Roman"/>
          <w:lang w:val="fr-CA"/>
        </w:rPr>
        <w:t>Le juge en chambre a conclu que les graves conséquences subies par le conducteur qui échoue au test, conjuguées à l</w:t>
      </w:r>
      <w:r>
        <w:rPr>
          <w:rFonts w:cs="Times New Roman"/>
          <w:lang w:val="fr-CA"/>
        </w:rPr>
        <w:t>’</w:t>
      </w:r>
      <w:r w:rsidRPr="00E13D0A">
        <w:rPr>
          <w:rFonts w:cs="Times New Roman"/>
          <w:lang w:val="fr-CA"/>
        </w:rPr>
        <w:t xml:space="preserve">impossibilité pour lui de contester le motif pour lequel ces conséquences sont imposées, rendent le RIAC abusif. Je suis du même avis. </w:t>
      </w:r>
    </w:p>
    <w:p w:rsidR="00065721" w:rsidRPr="00E13D0A" w:rsidRDefault="00065721" w:rsidP="00926B45">
      <w:pPr>
        <w:pStyle w:val="ParaNoNdepar-AltN"/>
        <w:widowControl w:val="0"/>
        <w:rPr>
          <w:rFonts w:cs="Times New Roman"/>
          <w:lang w:val="fr-CA"/>
        </w:rPr>
      </w:pPr>
      <w:r w:rsidRPr="00E13D0A">
        <w:rPr>
          <w:rFonts w:cs="Times New Roman"/>
          <w:lang w:val="fr-CA"/>
        </w:rPr>
        <w:t>Le RIAC mis en place en 2010 dépend entièrement des résultats d</w:t>
      </w:r>
      <w:r>
        <w:rPr>
          <w:rFonts w:cs="Times New Roman"/>
          <w:lang w:val="fr-CA"/>
        </w:rPr>
        <w:t>’</w:t>
      </w:r>
      <w:r w:rsidRPr="00E13D0A">
        <w:rPr>
          <w:rFonts w:cs="Times New Roman"/>
          <w:lang w:val="fr-CA"/>
        </w:rPr>
        <w:t>un test administré à l</w:t>
      </w:r>
      <w:r>
        <w:rPr>
          <w:rFonts w:cs="Times New Roman"/>
          <w:lang w:val="fr-CA"/>
        </w:rPr>
        <w:t>’</w:t>
      </w:r>
      <w:r w:rsidRPr="00E13D0A">
        <w:rPr>
          <w:rFonts w:cs="Times New Roman"/>
          <w:lang w:val="fr-CA"/>
        </w:rPr>
        <w:t>aide d</w:t>
      </w:r>
      <w:r>
        <w:rPr>
          <w:rFonts w:cs="Times New Roman"/>
          <w:lang w:val="fr-CA"/>
        </w:rPr>
        <w:t>’</w:t>
      </w:r>
      <w:r w:rsidRPr="00E13D0A">
        <w:rPr>
          <w:rFonts w:cs="Times New Roman"/>
          <w:lang w:val="fr-CA"/>
        </w:rPr>
        <w:t>un ADA, un appareil reconnu pour donner de faux résultats positifs lorsqu</w:t>
      </w:r>
      <w:r>
        <w:rPr>
          <w:rFonts w:cs="Times New Roman"/>
          <w:lang w:val="fr-CA"/>
        </w:rPr>
        <w:t>’</w:t>
      </w:r>
      <w:r w:rsidRPr="00E13D0A">
        <w:rPr>
          <w:rFonts w:cs="Times New Roman"/>
          <w:lang w:val="fr-CA"/>
        </w:rPr>
        <w:t>il y a de l</w:t>
      </w:r>
      <w:r>
        <w:rPr>
          <w:rFonts w:cs="Times New Roman"/>
          <w:lang w:val="fr-CA"/>
        </w:rPr>
        <w:t>’</w:t>
      </w:r>
      <w:r w:rsidRPr="00E13D0A">
        <w:rPr>
          <w:rFonts w:cs="Times New Roman"/>
          <w:lang w:val="fr-CA"/>
        </w:rPr>
        <w:t>alcool dans la bouche de l</w:t>
      </w:r>
      <w:r>
        <w:rPr>
          <w:rFonts w:cs="Times New Roman"/>
          <w:lang w:val="fr-CA"/>
        </w:rPr>
        <w:t>’</w:t>
      </w:r>
      <w:r w:rsidRPr="00E13D0A">
        <w:rPr>
          <w:rFonts w:cs="Times New Roman"/>
          <w:lang w:val="fr-CA"/>
        </w:rPr>
        <w:t>intéressé. Malgré ce vice entachant la fiabilité de l</w:t>
      </w:r>
      <w:r>
        <w:rPr>
          <w:rFonts w:cs="Times New Roman"/>
          <w:lang w:val="fr-CA"/>
        </w:rPr>
        <w:t>’</w:t>
      </w:r>
      <w:r w:rsidRPr="00E13D0A">
        <w:rPr>
          <w:rFonts w:cs="Times New Roman"/>
          <w:lang w:val="fr-CA"/>
        </w:rPr>
        <w:t>ADA, le régime ne permet pas réellement de contester la suspension d</w:t>
      </w:r>
      <w:r>
        <w:rPr>
          <w:rFonts w:cs="Times New Roman"/>
          <w:lang w:val="fr-CA"/>
        </w:rPr>
        <w:t>’</w:t>
      </w:r>
      <w:r w:rsidRPr="00E13D0A">
        <w:rPr>
          <w:rFonts w:cs="Times New Roman"/>
          <w:lang w:val="fr-CA"/>
        </w:rPr>
        <w:t>un permis imposée en application de ses dispositions au motif que le résultat n</w:t>
      </w:r>
      <w:r>
        <w:rPr>
          <w:rFonts w:cs="Times New Roman"/>
          <w:lang w:val="fr-CA"/>
        </w:rPr>
        <w:t>’</w:t>
      </w:r>
      <w:r w:rsidRPr="00E13D0A">
        <w:rPr>
          <w:rFonts w:cs="Times New Roman"/>
          <w:lang w:val="fr-CA"/>
        </w:rPr>
        <w:t xml:space="preserve">est pas fiable. Dans les circonstances particulières des présents pourvois, où un « échec » entraîne automatiquement de graves conséquences pour un conducteur sans possibilité de contrôle, le régime ne prévoit pas de mesures de protection adéquates. Ainsi, malgré </w:t>
      </w:r>
      <w:r w:rsidRPr="00E13D0A">
        <w:rPr>
          <w:rFonts w:cs="Times New Roman"/>
          <w:lang w:val="fr-CA"/>
        </w:rPr>
        <w:lastRenderedPageBreak/>
        <w:t>l</w:t>
      </w:r>
      <w:r>
        <w:rPr>
          <w:rFonts w:cs="Times New Roman"/>
          <w:lang w:val="fr-CA"/>
        </w:rPr>
        <w:t>’</w:t>
      </w:r>
      <w:r w:rsidRPr="00E13D0A">
        <w:rPr>
          <w:rFonts w:cs="Times New Roman"/>
          <w:lang w:val="fr-CA"/>
        </w:rPr>
        <w:t>objectif urgent et l</w:t>
      </w:r>
      <w:r>
        <w:rPr>
          <w:rFonts w:cs="Times New Roman"/>
          <w:lang w:val="fr-CA"/>
        </w:rPr>
        <w:t>’</w:t>
      </w:r>
      <w:r w:rsidRPr="00E13D0A">
        <w:rPr>
          <w:rFonts w:cs="Times New Roman"/>
          <w:lang w:val="fr-CA"/>
        </w:rPr>
        <w:t>atteinte minimale portée par la saisie, le RIAC n</w:t>
      </w:r>
      <w:r>
        <w:rPr>
          <w:rFonts w:cs="Times New Roman"/>
          <w:lang w:val="fr-CA"/>
        </w:rPr>
        <w:t>’</w:t>
      </w:r>
      <w:r w:rsidRPr="00E13D0A">
        <w:rPr>
          <w:rFonts w:cs="Times New Roman"/>
          <w:lang w:val="fr-CA"/>
        </w:rPr>
        <w:t>établit pas un équilibre raisonnable entre les intérêts de l</w:t>
      </w:r>
      <w:r>
        <w:rPr>
          <w:rFonts w:cs="Times New Roman"/>
          <w:lang w:val="fr-CA"/>
        </w:rPr>
        <w:t>’</w:t>
      </w:r>
      <w:r w:rsidRPr="00E13D0A">
        <w:rPr>
          <w:rFonts w:cs="Times New Roman"/>
          <w:lang w:val="fr-CA"/>
        </w:rPr>
        <w:t>État et ceux des automobilistes et porte atteinte aux droits garantis aux conducteurs par l</w:t>
      </w:r>
      <w:r>
        <w:rPr>
          <w:rFonts w:cs="Times New Roman"/>
          <w:lang w:val="fr-CA"/>
        </w:rPr>
        <w:t>’art. </w:t>
      </w:r>
      <w:r w:rsidRPr="00E13D0A">
        <w:rPr>
          <w:rFonts w:cs="Times New Roman"/>
          <w:lang w:val="fr-CA"/>
        </w:rPr>
        <w:t xml:space="preserve">8. </w:t>
      </w:r>
    </w:p>
    <w:p w:rsidR="00065721" w:rsidRPr="00E13D0A" w:rsidRDefault="00065721" w:rsidP="00926B45">
      <w:pPr>
        <w:pStyle w:val="ParaNoNdepar-AltN"/>
        <w:widowControl w:val="0"/>
        <w:rPr>
          <w:rFonts w:cs="Times New Roman"/>
          <w:lang w:val="fr-CA"/>
        </w:rPr>
      </w:pPr>
      <w:r w:rsidRPr="00E13D0A">
        <w:rPr>
          <w:rFonts w:cs="Times New Roman"/>
          <w:lang w:val="fr-CA"/>
        </w:rPr>
        <w:t>Je n</w:t>
      </w:r>
      <w:r>
        <w:rPr>
          <w:rFonts w:cs="Times New Roman"/>
          <w:lang w:val="fr-CA"/>
        </w:rPr>
        <w:t>’</w:t>
      </w:r>
      <w:r w:rsidRPr="00E13D0A">
        <w:rPr>
          <w:rFonts w:cs="Times New Roman"/>
          <w:lang w:val="fr-CA"/>
        </w:rPr>
        <w:t>ai pas à décider si le volet « avertissement » du régime mène au</w:t>
      </w:r>
      <w:r>
        <w:rPr>
          <w:rFonts w:cs="Times New Roman"/>
          <w:lang w:val="fr-CA"/>
        </w:rPr>
        <w:t xml:space="preserve"> </w:t>
      </w:r>
      <w:r w:rsidRPr="00E13D0A">
        <w:rPr>
          <w:rFonts w:cs="Times New Roman"/>
          <w:lang w:val="fr-CA"/>
        </w:rPr>
        <w:t>même résultat. La conclusion du juge en chambre que l</w:t>
      </w:r>
      <w:r>
        <w:rPr>
          <w:rFonts w:cs="Times New Roman"/>
          <w:lang w:val="fr-CA"/>
        </w:rPr>
        <w:t>’art. </w:t>
      </w:r>
      <w:r w:rsidRPr="00E13D0A">
        <w:rPr>
          <w:rFonts w:cs="Times New Roman"/>
          <w:lang w:val="fr-CA"/>
        </w:rPr>
        <w:t>8 a été violé intéressait uniquement le volet « échec ». À certains égards, il a établi une distinction entre les deux volets. Aucun appel incident n</w:t>
      </w:r>
      <w:r>
        <w:rPr>
          <w:rFonts w:cs="Times New Roman"/>
          <w:lang w:val="fr-CA"/>
        </w:rPr>
        <w:t>’</w:t>
      </w:r>
      <w:r w:rsidRPr="00E13D0A">
        <w:rPr>
          <w:rFonts w:cs="Times New Roman"/>
          <w:lang w:val="fr-CA"/>
        </w:rPr>
        <w:t>a été formé devant la Cour d</w:t>
      </w:r>
      <w:r>
        <w:rPr>
          <w:rFonts w:cs="Times New Roman"/>
          <w:lang w:val="fr-CA"/>
        </w:rPr>
        <w:t>’</w:t>
      </w:r>
      <w:r w:rsidRPr="00E13D0A">
        <w:rPr>
          <w:rFonts w:cs="Times New Roman"/>
          <w:lang w:val="fr-CA"/>
        </w:rPr>
        <w:t>appel ou la Cour contre sa conclusion selon laquelle le volet « avertissement » du régime ne contrevenait pas à l</w:t>
      </w:r>
      <w:r>
        <w:rPr>
          <w:rFonts w:cs="Times New Roman"/>
          <w:lang w:val="fr-CA"/>
        </w:rPr>
        <w:t>’art. </w:t>
      </w:r>
      <w:r w:rsidRPr="00E13D0A">
        <w:rPr>
          <w:rFonts w:cs="Times New Roman"/>
          <w:lang w:val="fr-CA"/>
        </w:rPr>
        <w:t xml:space="preserve">8 de la </w:t>
      </w:r>
      <w:r w:rsidRPr="00E13D0A">
        <w:rPr>
          <w:rFonts w:cs="Times New Roman"/>
          <w:i/>
          <w:lang w:val="fr-CA"/>
        </w:rPr>
        <w:t>Charte</w:t>
      </w:r>
      <w:r w:rsidRPr="00E13D0A">
        <w:rPr>
          <w:rFonts w:cs="Times New Roman"/>
          <w:lang w:val="fr-CA"/>
        </w:rPr>
        <w:t>. Par conséquent, nous ne sommes pas régulièrement saisis de cette conclusion. Dans les circonstances, je préfère ne pas me prononcer sur ce point. Je signale que, dans la mesure où les modifications législatives traitaient à la fois de l</w:t>
      </w:r>
      <w:r>
        <w:rPr>
          <w:rFonts w:cs="Times New Roman"/>
          <w:lang w:val="fr-CA"/>
        </w:rPr>
        <w:t>’</w:t>
      </w:r>
      <w:r w:rsidRPr="00E13D0A">
        <w:rPr>
          <w:rFonts w:cs="Times New Roman"/>
          <w:lang w:val="fr-CA"/>
        </w:rPr>
        <w:t>aspect « avertissement » et de l</w:t>
      </w:r>
      <w:r>
        <w:rPr>
          <w:rFonts w:cs="Times New Roman"/>
          <w:lang w:val="fr-CA"/>
        </w:rPr>
        <w:t>’</w:t>
      </w:r>
      <w:r w:rsidRPr="00E13D0A">
        <w:rPr>
          <w:rFonts w:cs="Times New Roman"/>
          <w:lang w:val="fr-CA"/>
        </w:rPr>
        <w:t>aspect « échec » du programme, cette question est théorique.</w:t>
      </w:r>
    </w:p>
    <w:p w:rsidR="00065721" w:rsidRPr="00E13D0A" w:rsidRDefault="00065721" w:rsidP="00926B45">
      <w:pPr>
        <w:pStyle w:val="Title2LevelTitre2Niveau"/>
        <w:widowControl w:val="0"/>
        <w:rPr>
          <w:rFonts w:eastAsiaTheme="minorEastAsia" w:cs="Times New Roman"/>
          <w:lang w:val="fr-CA"/>
        </w:rPr>
      </w:pPr>
      <w:r w:rsidRPr="00E13D0A">
        <w:rPr>
          <w:rFonts w:cs="Times New Roman"/>
          <w:lang w:val="fr-CA"/>
        </w:rPr>
        <w:t>L</w:t>
      </w:r>
      <w:r>
        <w:rPr>
          <w:rFonts w:cs="Times New Roman"/>
          <w:lang w:val="fr-CA"/>
        </w:rPr>
        <w:t>’</w:t>
      </w:r>
      <w:r w:rsidRPr="00E13D0A">
        <w:rPr>
          <w:rFonts w:cs="Times New Roman"/>
          <w:lang w:val="fr-CA"/>
        </w:rPr>
        <w:t>article premier sauvegarde</w:t>
      </w:r>
      <w:r>
        <w:rPr>
          <w:rFonts w:cs="Times New Roman"/>
          <w:lang w:val="fr-CA"/>
        </w:rPr>
        <w:noBreakHyphen/>
      </w:r>
      <w:r w:rsidRPr="00E13D0A">
        <w:rPr>
          <w:rFonts w:cs="Times New Roman"/>
          <w:lang w:val="fr-CA"/>
        </w:rPr>
        <w:t>t</w:t>
      </w:r>
      <w:r>
        <w:rPr>
          <w:rFonts w:cs="Times New Roman"/>
          <w:lang w:val="fr-CA"/>
        </w:rPr>
        <w:noBreakHyphen/>
      </w:r>
      <w:r w:rsidRPr="00E13D0A">
        <w:rPr>
          <w:rFonts w:cs="Times New Roman"/>
          <w:lang w:val="fr-CA"/>
        </w:rPr>
        <w:t>il la saisie prévue par le RIAC?</w:t>
      </w:r>
    </w:p>
    <w:p w:rsidR="00065721" w:rsidRPr="00E13D0A" w:rsidRDefault="00065721" w:rsidP="00926B45">
      <w:pPr>
        <w:pStyle w:val="ParaNoNdepar-AltN"/>
        <w:widowControl w:val="0"/>
        <w:rPr>
          <w:rFonts w:cs="Times New Roman"/>
          <w:lang w:val="fr-CA"/>
        </w:rPr>
      </w:pPr>
      <w:r w:rsidRPr="00E13D0A">
        <w:rPr>
          <w:rFonts w:cs="Times New Roman"/>
          <w:lang w:val="fr-CA"/>
        </w:rPr>
        <w:t>Il incombe à la Province de justifier la violation de l</w:t>
      </w:r>
      <w:r>
        <w:rPr>
          <w:rFonts w:cs="Times New Roman"/>
          <w:lang w:val="fr-CA"/>
        </w:rPr>
        <w:t>’art. </w:t>
      </w:r>
      <w:r w:rsidRPr="00E13D0A">
        <w:rPr>
          <w:rFonts w:cs="Times New Roman"/>
          <w:lang w:val="fr-CA"/>
        </w:rPr>
        <w:t>8 en vertu de l</w:t>
      </w:r>
      <w:r>
        <w:rPr>
          <w:rFonts w:cs="Times New Roman"/>
          <w:lang w:val="fr-CA"/>
        </w:rPr>
        <w:t>’</w:t>
      </w:r>
      <w:r w:rsidRPr="00E13D0A">
        <w:rPr>
          <w:rFonts w:cs="Times New Roman"/>
          <w:lang w:val="fr-CA"/>
        </w:rPr>
        <w:t xml:space="preserve">article premier de la </w:t>
      </w:r>
      <w:r w:rsidRPr="00E13D0A">
        <w:rPr>
          <w:rFonts w:cs="Times New Roman"/>
          <w:i/>
          <w:lang w:val="fr-CA"/>
        </w:rPr>
        <w:t xml:space="preserve">Charte. </w:t>
      </w:r>
      <w:r w:rsidRPr="00E13D0A">
        <w:rPr>
          <w:rFonts w:cs="Times New Roman"/>
          <w:lang w:val="fr-CA"/>
        </w:rPr>
        <w:t>Pour ce faire, elle doit démontrer, selon la prépondérance des probabilités, que le RIAC a un objectif urgent et réel et que les moyens choisis pour réaliser cet objectif sont proportionnels. Le critère de proportionnalité comporte trois questions</w:t>
      </w:r>
      <w:r>
        <w:rPr>
          <w:rFonts w:cs="Times New Roman"/>
          <w:lang w:val="fr-CA"/>
        </w:rPr>
        <w:t> :</w:t>
      </w:r>
      <w:r w:rsidRPr="00E13D0A">
        <w:rPr>
          <w:rFonts w:cs="Times New Roman"/>
          <w:lang w:val="fr-CA"/>
        </w:rPr>
        <w:t xml:space="preserve"> </w:t>
      </w:r>
      <w:r w:rsidR="00404864">
        <w:rPr>
          <w:rFonts w:cs="Times New Roman"/>
          <w:lang w:val="fr-CA"/>
        </w:rPr>
        <w:t>(</w:t>
      </w:r>
      <w:r w:rsidRPr="00E13D0A">
        <w:rPr>
          <w:rFonts w:cs="Times New Roman"/>
          <w:lang w:val="fr-CA"/>
        </w:rPr>
        <w:t>1) existe</w:t>
      </w:r>
      <w:r>
        <w:rPr>
          <w:rFonts w:cs="Times New Roman"/>
          <w:lang w:val="fr-CA"/>
        </w:rPr>
        <w:noBreakHyphen/>
      </w:r>
      <w:r w:rsidRPr="00E13D0A">
        <w:rPr>
          <w:rFonts w:cs="Times New Roman"/>
          <w:lang w:val="fr-CA"/>
        </w:rPr>
        <w:t>t</w:t>
      </w:r>
      <w:r>
        <w:rPr>
          <w:rFonts w:cs="Times New Roman"/>
          <w:lang w:val="fr-CA"/>
        </w:rPr>
        <w:noBreakHyphen/>
      </w:r>
      <w:r w:rsidRPr="00E13D0A">
        <w:rPr>
          <w:rFonts w:cs="Times New Roman"/>
          <w:lang w:val="fr-CA"/>
        </w:rPr>
        <w:t>il un lien rationnel entre les moyens choisis et l</w:t>
      </w:r>
      <w:r>
        <w:rPr>
          <w:rFonts w:cs="Times New Roman"/>
          <w:lang w:val="fr-CA"/>
        </w:rPr>
        <w:t>’</w:t>
      </w:r>
      <w:r w:rsidRPr="00E13D0A">
        <w:rPr>
          <w:rFonts w:cs="Times New Roman"/>
          <w:lang w:val="fr-CA"/>
        </w:rPr>
        <w:t xml:space="preserve">objectif; </w:t>
      </w:r>
      <w:r w:rsidR="00404864">
        <w:rPr>
          <w:rFonts w:cs="Times New Roman"/>
          <w:lang w:val="fr-CA"/>
        </w:rPr>
        <w:t>(</w:t>
      </w:r>
      <w:r w:rsidRPr="00E13D0A">
        <w:rPr>
          <w:rFonts w:cs="Times New Roman"/>
          <w:lang w:val="fr-CA"/>
        </w:rPr>
        <w:t>2) la loi porte</w:t>
      </w:r>
      <w:r>
        <w:rPr>
          <w:rFonts w:cs="Times New Roman"/>
          <w:lang w:val="fr-CA"/>
        </w:rPr>
        <w:noBreakHyphen/>
      </w:r>
      <w:r w:rsidRPr="00E13D0A">
        <w:rPr>
          <w:rFonts w:cs="Times New Roman"/>
          <w:lang w:val="fr-CA"/>
        </w:rPr>
        <w:t>t</w:t>
      </w:r>
      <w:r>
        <w:rPr>
          <w:rFonts w:cs="Times New Roman"/>
          <w:lang w:val="fr-CA"/>
        </w:rPr>
        <w:noBreakHyphen/>
      </w:r>
      <w:r w:rsidRPr="00E13D0A">
        <w:rPr>
          <w:rFonts w:cs="Times New Roman"/>
          <w:lang w:val="fr-CA"/>
        </w:rPr>
        <w:t xml:space="preserve">elle atteinte de façon minimale au droit violé; </w:t>
      </w:r>
      <w:r w:rsidR="00404864">
        <w:rPr>
          <w:rFonts w:cs="Times New Roman"/>
          <w:lang w:val="fr-CA"/>
        </w:rPr>
        <w:t>(</w:t>
      </w:r>
      <w:r w:rsidRPr="00E13D0A">
        <w:rPr>
          <w:rFonts w:cs="Times New Roman"/>
          <w:lang w:val="fr-CA"/>
        </w:rPr>
        <w:t>3) les effets préjudiciables et les effets bénéfiques de la loi sont</w:t>
      </w:r>
      <w:r>
        <w:rPr>
          <w:rFonts w:cs="Times New Roman"/>
          <w:lang w:val="fr-CA"/>
        </w:rPr>
        <w:noBreakHyphen/>
      </w:r>
      <w:r w:rsidRPr="00E13D0A">
        <w:rPr>
          <w:rFonts w:cs="Times New Roman"/>
          <w:lang w:val="fr-CA"/>
        </w:rPr>
        <w:t xml:space="preserve">ils proportionnels entre eux; voir </w:t>
      </w:r>
      <w:r w:rsidRPr="00E13D0A">
        <w:rPr>
          <w:rFonts w:cs="Times New Roman"/>
          <w:i/>
          <w:lang w:val="fr-CA"/>
        </w:rPr>
        <w:t>R. c. Nur</w:t>
      </w:r>
      <w:r w:rsidRPr="00E13D0A">
        <w:rPr>
          <w:rFonts w:cs="Times New Roman"/>
          <w:lang w:val="fr-CA"/>
        </w:rPr>
        <w:t xml:space="preserve">, 2015 </w:t>
      </w:r>
      <w:r w:rsidRPr="00E13D0A">
        <w:rPr>
          <w:rFonts w:cs="Times New Roman"/>
          <w:lang w:val="fr-CA"/>
        </w:rPr>
        <w:lastRenderedPageBreak/>
        <w:t xml:space="preserve">CSC 15, [2015] 1 R.C.S. 773, </w:t>
      </w:r>
      <w:r>
        <w:rPr>
          <w:rFonts w:cs="Times New Roman"/>
          <w:lang w:val="fr-CA"/>
        </w:rPr>
        <w:t>par. </w:t>
      </w:r>
      <w:r w:rsidRPr="00E13D0A">
        <w:rPr>
          <w:rFonts w:cs="Times New Roman"/>
          <w:lang w:val="fr-CA"/>
        </w:rPr>
        <w:t xml:space="preserve">111; </w:t>
      </w:r>
      <w:r w:rsidRPr="00E13D0A">
        <w:rPr>
          <w:rFonts w:cs="Times New Roman"/>
          <w:i/>
          <w:lang w:val="fr-CA"/>
        </w:rPr>
        <w:t>R. c. Oakes</w:t>
      </w:r>
      <w:r w:rsidRPr="00E13D0A">
        <w:rPr>
          <w:rFonts w:cs="Times New Roman"/>
          <w:lang w:val="fr-CA"/>
        </w:rPr>
        <w:t>, [1986] 1 R.C.S. 103.</w:t>
      </w:r>
    </w:p>
    <w:p w:rsidR="00065721" w:rsidRPr="00E13D0A" w:rsidRDefault="00065721" w:rsidP="00926B45">
      <w:pPr>
        <w:pStyle w:val="ParaNoNdepar-AltN"/>
        <w:widowControl w:val="0"/>
        <w:rPr>
          <w:rFonts w:cs="Times New Roman"/>
          <w:lang w:val="fr-CA"/>
        </w:rPr>
      </w:pPr>
      <w:r w:rsidRPr="00E13D0A">
        <w:rPr>
          <w:rFonts w:cs="Times New Roman"/>
          <w:lang w:val="fr-CA"/>
        </w:rPr>
        <w:t>Je conviens avec le juge en chambre que l</w:t>
      </w:r>
      <w:r>
        <w:rPr>
          <w:rFonts w:cs="Times New Roman"/>
          <w:lang w:val="fr-CA"/>
        </w:rPr>
        <w:t>’</w:t>
      </w:r>
      <w:r w:rsidRPr="00E13D0A">
        <w:rPr>
          <w:rFonts w:cs="Times New Roman"/>
          <w:lang w:val="fr-CA"/>
        </w:rPr>
        <w:t>objectif du régime est [</w:t>
      </w:r>
      <w:r w:rsidRPr="00E13D0A">
        <w:rPr>
          <w:rFonts w:cs="Times New Roman"/>
          <w:smallCaps/>
          <w:lang w:val="fr-CA"/>
        </w:rPr>
        <w:t>traduction</w:t>
      </w:r>
      <w:r w:rsidRPr="00E13D0A">
        <w:rPr>
          <w:rFonts w:cs="Times New Roman"/>
          <w:lang w:val="fr-CA"/>
        </w:rPr>
        <w:t>] « de chasser des routes les conducteurs aux facultés affaiblies et de les empêcher de conduire à nouveau »</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357. Les parties s</w:t>
      </w:r>
      <w:r>
        <w:rPr>
          <w:rFonts w:cs="Times New Roman"/>
          <w:lang w:val="fr-CA"/>
        </w:rPr>
        <w:t>’</w:t>
      </w:r>
      <w:r w:rsidRPr="00E13D0A">
        <w:rPr>
          <w:rFonts w:cs="Times New Roman"/>
          <w:lang w:val="fr-CA"/>
        </w:rPr>
        <w:t>entendent pour dire que cet objectif est urgent et réel.</w:t>
      </w:r>
    </w:p>
    <w:p w:rsidR="00065721" w:rsidRPr="00E13D0A" w:rsidRDefault="00065721" w:rsidP="00926B45">
      <w:pPr>
        <w:pStyle w:val="ParaNoNdepar-AltN"/>
        <w:widowControl w:val="0"/>
        <w:rPr>
          <w:rFonts w:cs="Times New Roman"/>
          <w:lang w:val="fr-CA"/>
        </w:rPr>
      </w:pPr>
      <w:r w:rsidRPr="00E13D0A">
        <w:rPr>
          <w:rFonts w:cs="Times New Roman"/>
          <w:lang w:val="fr-CA"/>
        </w:rPr>
        <w:t>En outre, je partage l</w:t>
      </w:r>
      <w:r>
        <w:rPr>
          <w:rFonts w:cs="Times New Roman"/>
          <w:lang w:val="fr-CA"/>
        </w:rPr>
        <w:t>’</w:t>
      </w:r>
      <w:r w:rsidRPr="00E13D0A">
        <w:rPr>
          <w:rFonts w:cs="Times New Roman"/>
          <w:lang w:val="fr-CA"/>
        </w:rPr>
        <w:t>avis du juge en chambre qu</w:t>
      </w:r>
      <w:r>
        <w:rPr>
          <w:rFonts w:cs="Times New Roman"/>
          <w:lang w:val="fr-CA"/>
        </w:rPr>
        <w:t>’</w:t>
      </w:r>
      <w:r w:rsidRPr="00E13D0A">
        <w:rPr>
          <w:rFonts w:cs="Times New Roman"/>
          <w:lang w:val="fr-CA"/>
        </w:rPr>
        <w:t>il existe un lien rationnel entre les interdictions automatiques de conduire fondées sur une analyse faite lors d</w:t>
      </w:r>
      <w:r>
        <w:rPr>
          <w:rFonts w:cs="Times New Roman"/>
          <w:lang w:val="fr-CA"/>
        </w:rPr>
        <w:t>’</w:t>
      </w:r>
      <w:r w:rsidRPr="00E13D0A">
        <w:rPr>
          <w:rFonts w:cs="Times New Roman"/>
          <w:lang w:val="fr-CA"/>
        </w:rPr>
        <w:t>un contrôle routier et [</w:t>
      </w:r>
      <w:r w:rsidRPr="00E13D0A">
        <w:rPr>
          <w:rFonts w:cs="Times New Roman"/>
          <w:smallCaps/>
          <w:lang w:val="fr-CA"/>
        </w:rPr>
        <w:t>traduction</w:t>
      </w:r>
      <w:r w:rsidRPr="00E13D0A">
        <w:rPr>
          <w:rFonts w:cs="Times New Roman"/>
          <w:lang w:val="fr-CA"/>
        </w:rPr>
        <w:t>] « </w:t>
      </w:r>
      <w:r w:rsidR="000C1F96" w:rsidRPr="00E13D0A">
        <w:rPr>
          <w:rFonts w:cs="Times New Roman"/>
          <w:lang w:val="fr-CA"/>
        </w:rPr>
        <w:t>l</w:t>
      </w:r>
      <w:r w:rsidR="000C1F96">
        <w:rPr>
          <w:rFonts w:cs="Times New Roman"/>
          <w:lang w:val="fr-CA"/>
        </w:rPr>
        <w:t>’</w:t>
      </w:r>
      <w:r w:rsidRPr="00E13D0A">
        <w:rPr>
          <w:rFonts w:cs="Times New Roman"/>
          <w:lang w:val="fr-CA"/>
        </w:rPr>
        <w:t>objectif de réduire les décès et les blessures causés par la conduite avec facultés affaiblies »</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360.</w:t>
      </w:r>
    </w:p>
    <w:p w:rsidR="00065721" w:rsidRPr="00E13D0A" w:rsidRDefault="00065721" w:rsidP="00926B45">
      <w:pPr>
        <w:pStyle w:val="ParaNoNdepar-AltN"/>
        <w:widowControl w:val="0"/>
        <w:rPr>
          <w:rFonts w:cs="Times New Roman"/>
          <w:lang w:val="fr-CA"/>
        </w:rPr>
      </w:pPr>
      <w:r w:rsidRPr="00E13D0A">
        <w:rPr>
          <w:rFonts w:cs="Times New Roman"/>
          <w:lang w:val="fr-CA"/>
        </w:rPr>
        <w:t>À la deuxième étape du critère de proportionnalité, la Province doit établir que le RIAC porte atteinte de façon minimale au droit garanti par l</w:t>
      </w:r>
      <w:r>
        <w:rPr>
          <w:rFonts w:cs="Times New Roman"/>
          <w:lang w:val="fr-CA"/>
        </w:rPr>
        <w:t>’art. </w:t>
      </w:r>
      <w:r w:rsidRPr="00E13D0A">
        <w:rPr>
          <w:rFonts w:cs="Times New Roman"/>
          <w:lang w:val="fr-CA"/>
        </w:rPr>
        <w:t>8 dans la poursuite de son objectif. À cette étape, le gouvernement n</w:t>
      </w:r>
      <w:r>
        <w:rPr>
          <w:rFonts w:cs="Times New Roman"/>
          <w:lang w:val="fr-CA"/>
        </w:rPr>
        <w:t>’</w:t>
      </w:r>
      <w:r w:rsidRPr="00E13D0A">
        <w:rPr>
          <w:rFonts w:cs="Times New Roman"/>
          <w:lang w:val="fr-CA"/>
        </w:rPr>
        <w:t>est pas tenu d</w:t>
      </w:r>
      <w:r>
        <w:rPr>
          <w:rFonts w:cs="Times New Roman"/>
          <w:lang w:val="fr-CA"/>
        </w:rPr>
        <w:t>’</w:t>
      </w:r>
      <w:r w:rsidRPr="00E13D0A">
        <w:rPr>
          <w:rFonts w:cs="Times New Roman"/>
          <w:lang w:val="fr-CA"/>
        </w:rPr>
        <w:t>adopter la mesure la moins attentatoire possible, mais celle qu</w:t>
      </w:r>
      <w:r>
        <w:rPr>
          <w:rFonts w:cs="Times New Roman"/>
          <w:lang w:val="fr-CA"/>
        </w:rPr>
        <w:t>’</w:t>
      </w:r>
      <w:r w:rsidRPr="00E13D0A">
        <w:rPr>
          <w:rFonts w:cs="Times New Roman"/>
          <w:lang w:val="fr-CA"/>
        </w:rPr>
        <w:t>il choisit doit « se situer à l</w:t>
      </w:r>
      <w:r>
        <w:rPr>
          <w:rFonts w:cs="Times New Roman"/>
          <w:lang w:val="fr-CA"/>
        </w:rPr>
        <w:t>’</w:t>
      </w:r>
      <w:r w:rsidRPr="00E13D0A">
        <w:rPr>
          <w:rFonts w:cs="Times New Roman"/>
          <w:lang w:val="fr-CA"/>
        </w:rPr>
        <w:t>intérieur d</w:t>
      </w:r>
      <w:r>
        <w:rPr>
          <w:rFonts w:cs="Times New Roman"/>
          <w:lang w:val="fr-CA"/>
        </w:rPr>
        <w:t>’</w:t>
      </w:r>
      <w:r w:rsidRPr="00E13D0A">
        <w:rPr>
          <w:rFonts w:cs="Times New Roman"/>
          <w:lang w:val="fr-CA"/>
        </w:rPr>
        <w:t>une gamme de mesures alternatives raisonnables »</w:t>
      </w:r>
      <w:r>
        <w:rPr>
          <w:rFonts w:cs="Times New Roman"/>
          <w:lang w:val="fr-CA"/>
        </w:rPr>
        <w:t> :</w:t>
      </w:r>
      <w:r w:rsidRPr="00E13D0A">
        <w:rPr>
          <w:rFonts w:cs="Times New Roman"/>
          <w:lang w:val="fr-CA"/>
        </w:rPr>
        <w:t xml:space="preserve"> </w:t>
      </w:r>
      <w:r w:rsidRPr="00E13D0A">
        <w:rPr>
          <w:rFonts w:cs="Times New Roman"/>
          <w:i/>
          <w:lang w:val="fr-CA"/>
        </w:rPr>
        <w:t>Association de la police montée de l</w:t>
      </w:r>
      <w:r>
        <w:rPr>
          <w:rFonts w:cs="Times New Roman"/>
          <w:i/>
          <w:lang w:val="fr-CA"/>
        </w:rPr>
        <w:t>’</w:t>
      </w:r>
      <w:r w:rsidRPr="00E13D0A">
        <w:rPr>
          <w:rFonts w:cs="Times New Roman"/>
          <w:i/>
          <w:lang w:val="fr-CA"/>
        </w:rPr>
        <w:t>Ontario c. Canada (Procureur général)</w:t>
      </w:r>
      <w:r w:rsidRPr="00E13D0A">
        <w:rPr>
          <w:rFonts w:cs="Times New Roman"/>
          <w:lang w:val="fr-CA"/>
        </w:rPr>
        <w:t xml:space="preserve">, 2015 CSC 1, [2015] 1 R.C.S. 3, </w:t>
      </w:r>
      <w:r>
        <w:rPr>
          <w:rFonts w:cs="Times New Roman"/>
          <w:lang w:val="fr-CA"/>
        </w:rPr>
        <w:t>par. </w:t>
      </w:r>
      <w:r w:rsidRPr="00E13D0A">
        <w:rPr>
          <w:rFonts w:cs="Times New Roman"/>
          <w:lang w:val="fr-CA"/>
        </w:rPr>
        <w:t>149.</w:t>
      </w:r>
    </w:p>
    <w:p w:rsidR="00065721" w:rsidRPr="00E13D0A" w:rsidRDefault="00065721" w:rsidP="00926B45">
      <w:pPr>
        <w:pStyle w:val="ParaNoNdepar-AltN"/>
        <w:widowControl w:val="0"/>
        <w:rPr>
          <w:rFonts w:cs="Times New Roman"/>
          <w:lang w:val="fr-CA"/>
        </w:rPr>
      </w:pPr>
      <w:r w:rsidRPr="00E13D0A">
        <w:rPr>
          <w:rFonts w:cs="Times New Roman"/>
          <w:lang w:val="fr-CA"/>
        </w:rPr>
        <w:t xml:space="preserve">Je prends acte de la crainte de la Province que certaines solutions de rechange obligeant la police à ramener les conducteurs au poste de police portent davantage atteinte au droit des conducteurs à la vie privée et réduisent le temps que la police pourrait passer à effectuer des analyses lors de contrôles routiers. Toutefois, </w:t>
      </w:r>
      <w:r w:rsidRPr="00E13D0A">
        <w:rPr>
          <w:rFonts w:cs="Times New Roman"/>
          <w:lang w:val="fr-CA"/>
        </w:rPr>
        <w:lastRenderedPageBreak/>
        <w:t>comme l</w:t>
      </w:r>
      <w:r>
        <w:rPr>
          <w:rFonts w:cs="Times New Roman"/>
          <w:lang w:val="fr-CA"/>
        </w:rPr>
        <w:t>’</w:t>
      </w:r>
      <w:r w:rsidRPr="00E13D0A">
        <w:rPr>
          <w:rFonts w:cs="Times New Roman"/>
          <w:lang w:val="fr-CA"/>
        </w:rPr>
        <w:t>a signalé le juge en chambre, [</w:t>
      </w:r>
      <w:r w:rsidRPr="00E13D0A">
        <w:rPr>
          <w:rFonts w:cs="Times New Roman"/>
          <w:smallCaps/>
          <w:lang w:val="fr-CA"/>
        </w:rPr>
        <w:t>traduction</w:t>
      </w:r>
      <w:r w:rsidRPr="00E13D0A">
        <w:rPr>
          <w:rFonts w:cs="Times New Roman"/>
          <w:lang w:val="fr-CA"/>
        </w:rPr>
        <w:t>] « il est possible de permettre la mise en place d</w:t>
      </w:r>
      <w:r>
        <w:rPr>
          <w:rFonts w:cs="Times New Roman"/>
          <w:lang w:val="fr-CA"/>
        </w:rPr>
        <w:t>’</w:t>
      </w:r>
      <w:r w:rsidRPr="00E13D0A">
        <w:rPr>
          <w:rFonts w:cs="Times New Roman"/>
          <w:lang w:val="fr-CA"/>
        </w:rPr>
        <w:t>un mécanisme de contrôle plus rigoureux sans nuire sensiblement de quelque façon que ce soit à l</w:t>
      </w:r>
      <w:r>
        <w:rPr>
          <w:rFonts w:cs="Times New Roman"/>
          <w:lang w:val="fr-CA"/>
        </w:rPr>
        <w:t>’</w:t>
      </w:r>
      <w:r w:rsidRPr="00E13D0A">
        <w:rPr>
          <w:rFonts w:cs="Times New Roman"/>
          <w:lang w:val="fr-CA"/>
        </w:rPr>
        <w:t>objectif du gouvernement de chasser rapidement et efficacement des routes les conducteurs aux facultés affaiblies »</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319.</w:t>
      </w:r>
    </w:p>
    <w:p w:rsidR="00065721" w:rsidRPr="00E13D0A" w:rsidRDefault="00065721" w:rsidP="00926B45">
      <w:pPr>
        <w:pStyle w:val="ParaNoNdepar-AltN"/>
        <w:widowControl w:val="0"/>
        <w:rPr>
          <w:rFonts w:cs="Times New Roman"/>
          <w:lang w:val="fr-CA"/>
        </w:rPr>
      </w:pPr>
      <w:r w:rsidRPr="00E13D0A">
        <w:rPr>
          <w:rFonts w:cs="Times New Roman"/>
          <w:lang w:val="fr-CA"/>
        </w:rPr>
        <w:t>En effet, les modifications apportées subséquemment au RIAC pour élargir le contrôle des analyses et des interdictions survenues à l</w:t>
      </w:r>
      <w:r>
        <w:rPr>
          <w:rFonts w:cs="Times New Roman"/>
          <w:lang w:val="fr-CA"/>
        </w:rPr>
        <w:t>’</w:t>
      </w:r>
      <w:r w:rsidRPr="00E13D0A">
        <w:rPr>
          <w:rFonts w:cs="Times New Roman"/>
          <w:lang w:val="fr-CA"/>
        </w:rPr>
        <w:t>occasion de contrôles routiers démontrent que de telles mesures peuvent facilement être mises en place sans nuire à l</w:t>
      </w:r>
      <w:r>
        <w:rPr>
          <w:rFonts w:cs="Times New Roman"/>
          <w:lang w:val="fr-CA"/>
        </w:rPr>
        <w:t>’</w:t>
      </w:r>
      <w:r w:rsidRPr="00E13D0A">
        <w:rPr>
          <w:rFonts w:cs="Times New Roman"/>
          <w:lang w:val="fr-CA"/>
        </w:rPr>
        <w:t>objectif de la Province. Les modifications de 2012 habilitent le Surintendant, dans le cadre d</w:t>
      </w:r>
      <w:r>
        <w:rPr>
          <w:rFonts w:cs="Times New Roman"/>
          <w:lang w:val="fr-CA"/>
        </w:rPr>
        <w:t>’</w:t>
      </w:r>
      <w:r w:rsidRPr="00E13D0A">
        <w:rPr>
          <w:rFonts w:cs="Times New Roman"/>
          <w:lang w:val="fr-CA"/>
        </w:rPr>
        <w:t>un contrôle, à décider du poids à accorder à tout élément de preuve, y compris à tout renseignement ou document non fait sous serment</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par. </w:t>
      </w:r>
      <w:r w:rsidR="00F5626F">
        <w:rPr>
          <w:rFonts w:cs="Times New Roman"/>
          <w:lang w:val="fr-CA"/>
        </w:rPr>
        <w:t>215</w:t>
      </w:r>
      <w:r w:rsidRPr="00E13D0A">
        <w:rPr>
          <w:rFonts w:cs="Times New Roman"/>
          <w:lang w:val="fr-CA"/>
        </w:rPr>
        <w:t>.49(4). Mais surtout, les modifications exigent également du Surintendant qu</w:t>
      </w:r>
      <w:r>
        <w:rPr>
          <w:rFonts w:cs="Times New Roman"/>
          <w:lang w:val="fr-CA"/>
        </w:rPr>
        <w:t>’</w:t>
      </w:r>
      <w:r w:rsidRPr="00E13D0A">
        <w:rPr>
          <w:rFonts w:cs="Times New Roman"/>
          <w:lang w:val="fr-CA"/>
        </w:rPr>
        <w:t>il soit convaincu que le conducteur a été avisé de son droit de demander une deuxième analyse, que la deuxième analyse a été effectuée au moyen d</w:t>
      </w:r>
      <w:r>
        <w:rPr>
          <w:rFonts w:cs="Times New Roman"/>
          <w:lang w:val="fr-CA"/>
        </w:rPr>
        <w:t>’</w:t>
      </w:r>
      <w:r w:rsidRPr="00E13D0A">
        <w:rPr>
          <w:rFonts w:cs="Times New Roman"/>
          <w:lang w:val="fr-CA"/>
        </w:rPr>
        <w:t>un autre ADA, que l</w:t>
      </w:r>
      <w:r>
        <w:rPr>
          <w:rFonts w:cs="Times New Roman"/>
          <w:lang w:val="fr-CA"/>
        </w:rPr>
        <w:t>’</w:t>
      </w:r>
      <w:r w:rsidRPr="00E13D0A">
        <w:rPr>
          <w:rFonts w:cs="Times New Roman"/>
          <w:lang w:val="fr-CA"/>
        </w:rPr>
        <w:t>interdiction a été prononcée sur la base du plus faible résultat des deux analyses et que le résultat de l</w:t>
      </w:r>
      <w:r>
        <w:rPr>
          <w:rFonts w:cs="Times New Roman"/>
          <w:lang w:val="fr-CA"/>
        </w:rPr>
        <w:t>’</w:t>
      </w:r>
      <w:r w:rsidRPr="00E13D0A">
        <w:rPr>
          <w:rFonts w:cs="Times New Roman"/>
          <w:lang w:val="fr-CA"/>
        </w:rPr>
        <w:t>analyse effectuée au moyen de l</w:t>
      </w:r>
      <w:r>
        <w:rPr>
          <w:rFonts w:cs="Times New Roman"/>
          <w:lang w:val="fr-CA"/>
        </w:rPr>
        <w:t>’</w:t>
      </w:r>
      <w:r w:rsidRPr="00E13D0A">
        <w:rPr>
          <w:rFonts w:cs="Times New Roman"/>
          <w:lang w:val="fr-CA"/>
        </w:rPr>
        <w:t>ADA était fiable</w:t>
      </w:r>
      <w:r>
        <w:rPr>
          <w:rFonts w:cs="Times New Roman"/>
          <w:lang w:val="fr-CA"/>
        </w:rPr>
        <w:t> :</w:t>
      </w:r>
      <w:r w:rsidRPr="00E13D0A">
        <w:rPr>
          <w:rFonts w:cs="Times New Roman"/>
          <w:lang w:val="fr-CA"/>
        </w:rPr>
        <w:t xml:space="preserve"> </w:t>
      </w:r>
      <w:r w:rsidRPr="00E13D0A">
        <w:rPr>
          <w:rFonts w:cs="Times New Roman"/>
          <w:i/>
          <w:lang w:val="fr-CA"/>
        </w:rPr>
        <w:t>MVA</w:t>
      </w:r>
      <w:r w:rsidRPr="00E13D0A">
        <w:rPr>
          <w:rFonts w:cs="Times New Roman"/>
          <w:lang w:val="fr-CA"/>
        </w:rPr>
        <w:t xml:space="preserve">, </w:t>
      </w:r>
      <w:r>
        <w:rPr>
          <w:rFonts w:cs="Times New Roman"/>
          <w:lang w:val="fr-CA"/>
        </w:rPr>
        <w:t>par. </w:t>
      </w:r>
      <w:r w:rsidRPr="00E13D0A">
        <w:rPr>
          <w:rFonts w:cs="Times New Roman"/>
          <w:lang w:val="fr-CA"/>
        </w:rPr>
        <w:t>21</w:t>
      </w:r>
      <w:r w:rsidR="00F5626F">
        <w:rPr>
          <w:rFonts w:cs="Times New Roman"/>
          <w:lang w:val="fr-CA"/>
        </w:rPr>
        <w:t>5</w:t>
      </w:r>
      <w:r w:rsidRPr="00E13D0A">
        <w:rPr>
          <w:rFonts w:cs="Times New Roman"/>
          <w:lang w:val="fr-CA"/>
        </w:rPr>
        <w:t>.42(1) et sous</w:t>
      </w:r>
      <w:r>
        <w:rPr>
          <w:rFonts w:cs="Times New Roman"/>
          <w:lang w:val="fr-CA"/>
        </w:rPr>
        <w:noBreakHyphen/>
        <w:t>al. </w:t>
      </w:r>
      <w:r w:rsidR="00F5626F">
        <w:rPr>
          <w:rFonts w:cs="Times New Roman"/>
          <w:lang w:val="fr-CA"/>
        </w:rPr>
        <w:t>215.5(1)a)(i), (ii) et (iv)</w:t>
      </w:r>
      <w:r w:rsidR="004A451C">
        <w:rPr>
          <w:rFonts w:cs="Times New Roman"/>
          <w:lang w:val="fr-CA"/>
        </w:rPr>
        <w:t>.</w:t>
      </w:r>
    </w:p>
    <w:p w:rsidR="00065721" w:rsidRPr="00E13D0A" w:rsidRDefault="00065721" w:rsidP="00926B45">
      <w:pPr>
        <w:pStyle w:val="ParaNoNdepar-AltN"/>
        <w:widowControl w:val="0"/>
        <w:rPr>
          <w:rFonts w:cs="Times New Roman"/>
          <w:lang w:val="fr-CA"/>
        </w:rPr>
      </w:pPr>
      <w:r w:rsidRPr="00E13D0A">
        <w:rPr>
          <w:rFonts w:cs="Times New Roman"/>
          <w:lang w:val="fr-CA"/>
        </w:rPr>
        <w:t>La constitutionnalité du RIAC modifié n</w:t>
      </w:r>
      <w:r>
        <w:rPr>
          <w:rFonts w:cs="Times New Roman"/>
          <w:lang w:val="fr-CA"/>
        </w:rPr>
        <w:t>’</w:t>
      </w:r>
      <w:r w:rsidRPr="00E13D0A">
        <w:rPr>
          <w:rFonts w:cs="Times New Roman"/>
          <w:lang w:val="fr-CA"/>
        </w:rPr>
        <w:t>est pas en cause devant la Cour. Cependant, les mesures de contrôle renforcées dans le régime modifié concernent les solutions législatives les moins attentatoires qui s</w:t>
      </w:r>
      <w:r>
        <w:rPr>
          <w:rFonts w:cs="Times New Roman"/>
          <w:lang w:val="fr-CA"/>
        </w:rPr>
        <w:t>’</w:t>
      </w:r>
      <w:r w:rsidRPr="00E13D0A">
        <w:rPr>
          <w:rFonts w:cs="Times New Roman"/>
          <w:lang w:val="fr-CA"/>
        </w:rPr>
        <w:t>offrent à la Province. Dans les circonstances, je conviens avec le juge en chambre que le RIAC en vigueur à l</w:t>
      </w:r>
      <w:r>
        <w:rPr>
          <w:rFonts w:cs="Times New Roman"/>
          <w:lang w:val="fr-CA"/>
        </w:rPr>
        <w:t>’</w:t>
      </w:r>
      <w:r w:rsidRPr="00E13D0A">
        <w:rPr>
          <w:rFonts w:cs="Times New Roman"/>
          <w:lang w:val="fr-CA"/>
        </w:rPr>
        <w:t>époque [</w:t>
      </w:r>
      <w:r w:rsidRPr="00E13D0A">
        <w:rPr>
          <w:rFonts w:cs="Times New Roman"/>
          <w:smallCaps/>
          <w:lang w:val="fr-CA"/>
        </w:rPr>
        <w:t>traduction</w:t>
      </w:r>
      <w:r w:rsidRPr="00E13D0A">
        <w:rPr>
          <w:rFonts w:cs="Times New Roman"/>
          <w:lang w:val="fr-CA"/>
        </w:rPr>
        <w:t>] « ne port[ait] pas atteinte de façon minimale au droit du conducteur d</w:t>
      </w:r>
      <w:r>
        <w:rPr>
          <w:rFonts w:cs="Times New Roman"/>
          <w:lang w:val="fr-CA"/>
        </w:rPr>
        <w:t>’</w:t>
      </w:r>
      <w:r w:rsidRPr="00E13D0A">
        <w:rPr>
          <w:rFonts w:cs="Times New Roman"/>
          <w:lang w:val="fr-CA"/>
        </w:rPr>
        <w:t>être protégé contre les fouilles, les perquisitions et les saisies abusives »</w:t>
      </w:r>
      <w:r>
        <w:rPr>
          <w:rFonts w:cs="Times New Roman"/>
          <w:lang w:val="fr-CA"/>
        </w:rPr>
        <w:t> :</w:t>
      </w:r>
      <w:r w:rsidRPr="00E13D0A">
        <w:rPr>
          <w:rFonts w:cs="Times New Roman"/>
          <w:lang w:val="fr-CA"/>
        </w:rPr>
        <w:t xml:space="preserve"> </w:t>
      </w:r>
      <w:r>
        <w:rPr>
          <w:rFonts w:cs="Times New Roman"/>
          <w:lang w:val="fr-CA"/>
        </w:rPr>
        <w:t>par. </w:t>
      </w:r>
      <w:r w:rsidRPr="00E13D0A">
        <w:rPr>
          <w:rFonts w:cs="Times New Roman"/>
          <w:lang w:val="fr-CA"/>
        </w:rPr>
        <w:t xml:space="preserve">379 </w:t>
      </w:r>
      <w:r w:rsidRPr="00E13D0A">
        <w:rPr>
          <w:rFonts w:cs="Times New Roman"/>
          <w:lang w:val="fr-CA"/>
        </w:rPr>
        <w:lastRenderedPageBreak/>
        <w:t>(soulignement omis). Je conclus que l</w:t>
      </w:r>
      <w:r>
        <w:rPr>
          <w:rFonts w:cs="Times New Roman"/>
          <w:lang w:val="fr-CA"/>
        </w:rPr>
        <w:t>’</w:t>
      </w:r>
      <w:r w:rsidRPr="00E13D0A">
        <w:rPr>
          <w:rFonts w:cs="Times New Roman"/>
          <w:lang w:val="fr-CA"/>
        </w:rPr>
        <w:t>ancien volet « échec » du RIAC n</w:t>
      </w:r>
      <w:r>
        <w:rPr>
          <w:rFonts w:cs="Times New Roman"/>
          <w:lang w:val="fr-CA"/>
        </w:rPr>
        <w:t>’</w:t>
      </w:r>
      <w:r w:rsidRPr="00E13D0A">
        <w:rPr>
          <w:rFonts w:cs="Times New Roman"/>
          <w:lang w:val="fr-CA"/>
        </w:rPr>
        <w:t>est pas sauvegardé par l</w:t>
      </w:r>
      <w:r>
        <w:rPr>
          <w:rFonts w:cs="Times New Roman"/>
          <w:lang w:val="fr-CA"/>
        </w:rPr>
        <w:t>’</w:t>
      </w:r>
      <w:r w:rsidRPr="00E13D0A">
        <w:rPr>
          <w:rFonts w:cs="Times New Roman"/>
          <w:lang w:val="fr-CA"/>
        </w:rPr>
        <w:t>article premier.</w:t>
      </w:r>
    </w:p>
    <w:p w:rsidR="00065721" w:rsidRPr="00E13D0A" w:rsidRDefault="00065721" w:rsidP="00926B45">
      <w:pPr>
        <w:pStyle w:val="Title1LevelTitre1Niveau-AltL"/>
        <w:widowControl w:val="0"/>
        <w:rPr>
          <w:rFonts w:cs="Times New Roman"/>
          <w:lang w:val="fr-CA"/>
        </w:rPr>
      </w:pPr>
      <w:r w:rsidRPr="00E13D0A">
        <w:rPr>
          <w:rFonts w:cs="Times New Roman"/>
          <w:lang w:val="fr-CA"/>
        </w:rPr>
        <w:t>Dispositif</w:t>
      </w:r>
    </w:p>
    <w:p w:rsidR="00065721" w:rsidRPr="00E13D0A" w:rsidRDefault="00065721" w:rsidP="00926B45">
      <w:pPr>
        <w:pStyle w:val="ParaNoNdepar-AltN"/>
        <w:widowControl w:val="0"/>
        <w:rPr>
          <w:rFonts w:cs="Times New Roman"/>
          <w:lang w:val="fr-CA"/>
        </w:rPr>
      </w:pPr>
      <w:r w:rsidRPr="00E13D0A">
        <w:rPr>
          <w:rFonts w:cs="Times New Roman"/>
          <w:lang w:val="fr-CA"/>
        </w:rPr>
        <w:t>Je suis d</w:t>
      </w:r>
      <w:r>
        <w:rPr>
          <w:rFonts w:cs="Times New Roman"/>
          <w:lang w:val="fr-CA"/>
        </w:rPr>
        <w:t>’</w:t>
      </w:r>
      <w:r w:rsidRPr="00E13D0A">
        <w:rPr>
          <w:rFonts w:cs="Times New Roman"/>
          <w:lang w:val="fr-CA"/>
        </w:rPr>
        <w:t>avis de rejeter la requête en radiation. Les articles publiés font partie des « textes doctrinaux » autorisés dans les recueils de sources présentés à la Cour</w:t>
      </w:r>
      <w:r>
        <w:rPr>
          <w:rFonts w:cs="Times New Roman"/>
          <w:lang w:val="fr-CA"/>
        </w:rPr>
        <w:t> :</w:t>
      </w:r>
      <w:r w:rsidRPr="00E13D0A">
        <w:rPr>
          <w:rFonts w:cs="Times New Roman"/>
          <w:lang w:val="fr-CA"/>
        </w:rPr>
        <w:t xml:space="preserve"> </w:t>
      </w:r>
      <w:r w:rsidRPr="00E13D0A">
        <w:rPr>
          <w:rFonts w:cs="Times New Roman"/>
          <w:i/>
          <w:iCs/>
          <w:lang w:val="fr-CA"/>
        </w:rPr>
        <w:t>Règles de la Cour suprême du Canada</w:t>
      </w:r>
      <w:r w:rsidRPr="00E13D0A">
        <w:rPr>
          <w:rFonts w:cs="Times New Roman"/>
          <w:lang w:val="fr-CA"/>
        </w:rPr>
        <w:t>, DORS/2002</w:t>
      </w:r>
      <w:r>
        <w:rPr>
          <w:rFonts w:cs="Times New Roman"/>
          <w:lang w:val="fr-CA"/>
        </w:rPr>
        <w:noBreakHyphen/>
      </w:r>
      <w:r w:rsidRPr="00E13D0A">
        <w:rPr>
          <w:rFonts w:cs="Times New Roman"/>
          <w:lang w:val="fr-CA"/>
        </w:rPr>
        <w:t>156, règle 2 « sources », sous</w:t>
      </w:r>
      <w:r>
        <w:rPr>
          <w:rFonts w:cs="Times New Roman"/>
          <w:lang w:val="fr-CA"/>
        </w:rPr>
        <w:noBreakHyphen/>
        <w:t>al. </w:t>
      </w:r>
      <w:r w:rsidRPr="00E13D0A">
        <w:rPr>
          <w:rFonts w:cs="Times New Roman"/>
          <w:lang w:val="fr-CA"/>
        </w:rPr>
        <w:t>36(2)</w:t>
      </w:r>
      <w:r w:rsidRPr="00E13D0A">
        <w:rPr>
          <w:rFonts w:cs="Times New Roman"/>
          <w:i/>
          <w:lang w:val="fr-CA"/>
        </w:rPr>
        <w:t>a</w:t>
      </w:r>
      <w:r w:rsidRPr="00E13D0A">
        <w:rPr>
          <w:rFonts w:cs="Times New Roman"/>
          <w:lang w:val="fr-CA"/>
        </w:rPr>
        <w:t>)(i); voir également l</w:t>
      </w:r>
      <w:r>
        <w:rPr>
          <w:rFonts w:cs="Times New Roman"/>
          <w:lang w:val="fr-CA"/>
        </w:rPr>
        <w:t>’</w:t>
      </w:r>
      <w:r w:rsidRPr="00E13D0A">
        <w:rPr>
          <w:rFonts w:cs="Times New Roman"/>
          <w:lang w:val="fr-CA"/>
        </w:rPr>
        <w:t xml:space="preserve">arrêt </w:t>
      </w:r>
      <w:r w:rsidRPr="00E13D0A">
        <w:rPr>
          <w:rFonts w:cs="Times New Roman"/>
          <w:i/>
          <w:iCs/>
          <w:lang w:val="fr-CA"/>
        </w:rPr>
        <w:t>Ford c. Québec (Procureur général)</w:t>
      </w:r>
      <w:r w:rsidRPr="00E13D0A">
        <w:rPr>
          <w:rFonts w:cs="Times New Roman"/>
          <w:lang w:val="fr-CA"/>
        </w:rPr>
        <w:t xml:space="preserve">, [1988] 2 R.C.S. 712, </w:t>
      </w:r>
      <w:r>
        <w:rPr>
          <w:rFonts w:cs="Times New Roman"/>
          <w:lang w:val="fr-CA"/>
        </w:rPr>
        <w:t>p. </w:t>
      </w:r>
      <w:r w:rsidRPr="00E13D0A">
        <w:rPr>
          <w:rFonts w:cs="Times New Roman"/>
          <w:lang w:val="fr-CA"/>
        </w:rPr>
        <w:t>774</w:t>
      </w:r>
      <w:r>
        <w:rPr>
          <w:rFonts w:cs="Times New Roman"/>
          <w:lang w:val="fr-CA"/>
        </w:rPr>
        <w:noBreakHyphen/>
      </w:r>
      <w:r w:rsidRPr="00E13D0A">
        <w:rPr>
          <w:rFonts w:cs="Times New Roman"/>
          <w:lang w:val="fr-CA"/>
        </w:rPr>
        <w:t>777.</w:t>
      </w:r>
    </w:p>
    <w:p w:rsidR="00065721" w:rsidRPr="00E13D0A" w:rsidRDefault="00065721" w:rsidP="00926B45">
      <w:pPr>
        <w:pStyle w:val="ParaNoNdepar-AltN"/>
        <w:widowControl w:val="0"/>
        <w:rPr>
          <w:rFonts w:eastAsiaTheme="minorHAnsi" w:cs="Times New Roman"/>
          <w:u w:val="single"/>
          <w:lang w:val="fr-CA"/>
        </w:rPr>
      </w:pPr>
      <w:r w:rsidRPr="00E13D0A">
        <w:rPr>
          <w:rFonts w:cs="Times New Roman"/>
          <w:lang w:val="fr-CA"/>
        </w:rPr>
        <w:t>Je suis d</w:t>
      </w:r>
      <w:r>
        <w:rPr>
          <w:rFonts w:cs="Times New Roman"/>
          <w:lang w:val="fr-CA"/>
        </w:rPr>
        <w:t>’</w:t>
      </w:r>
      <w:r w:rsidRPr="00E13D0A">
        <w:rPr>
          <w:rFonts w:cs="Times New Roman"/>
          <w:lang w:val="fr-CA"/>
        </w:rPr>
        <w:t>avis de rejeter le pourvoi de M. Goodwin ainsi que celui de la Province et de confirmer le jugement dans lequel le juge en chambre déclare que les dispositions du RIAC relatives au volet « échec » portent atteinte à l</w:t>
      </w:r>
      <w:r>
        <w:rPr>
          <w:rFonts w:cs="Times New Roman"/>
          <w:lang w:val="fr-CA"/>
        </w:rPr>
        <w:t>’art. </w:t>
      </w:r>
      <w:r w:rsidRPr="00E13D0A">
        <w:rPr>
          <w:rFonts w:cs="Times New Roman"/>
          <w:lang w:val="fr-CA"/>
        </w:rPr>
        <w:t xml:space="preserve">8 de la </w:t>
      </w:r>
      <w:r w:rsidRPr="00E13D0A">
        <w:rPr>
          <w:rFonts w:cs="Times New Roman"/>
          <w:i/>
          <w:lang w:val="fr-CA"/>
        </w:rPr>
        <w:t xml:space="preserve">Charte </w:t>
      </w:r>
      <w:r w:rsidRPr="00E13D0A">
        <w:rPr>
          <w:rFonts w:cs="Times New Roman"/>
          <w:lang w:val="fr-CA"/>
        </w:rPr>
        <w:t>et ne sont pas sauvegardées par l</w:t>
      </w:r>
      <w:r>
        <w:rPr>
          <w:rFonts w:cs="Times New Roman"/>
          <w:lang w:val="fr-CA"/>
        </w:rPr>
        <w:t>’</w:t>
      </w:r>
      <w:r w:rsidRPr="00E13D0A">
        <w:rPr>
          <w:rFonts w:cs="Times New Roman"/>
          <w:lang w:val="fr-CA"/>
        </w:rPr>
        <w:t>article premier.</w:t>
      </w:r>
    </w:p>
    <w:p w:rsidR="00065721" w:rsidRPr="00E13D0A" w:rsidRDefault="00065721" w:rsidP="00926B45">
      <w:pPr>
        <w:pStyle w:val="Title1LevelTitre1Niveau-AltL"/>
        <w:widowControl w:val="0"/>
        <w:rPr>
          <w:rFonts w:cs="Times New Roman"/>
          <w:lang w:val="fr-CA"/>
        </w:rPr>
      </w:pPr>
      <w:r w:rsidRPr="00E13D0A">
        <w:rPr>
          <w:rFonts w:cs="Times New Roman"/>
          <w:lang w:val="fr-CA"/>
        </w:rPr>
        <w:t>Dépens</w:t>
      </w:r>
    </w:p>
    <w:p w:rsidR="00065721" w:rsidRPr="00E13D0A" w:rsidRDefault="00065721" w:rsidP="00926B45">
      <w:pPr>
        <w:pStyle w:val="ParaNoNdepar-AltN"/>
        <w:widowControl w:val="0"/>
        <w:rPr>
          <w:rFonts w:cs="Times New Roman"/>
          <w:lang w:val="fr-CA"/>
        </w:rPr>
      </w:pPr>
      <w:r w:rsidRPr="00E13D0A">
        <w:rPr>
          <w:rFonts w:cs="Times New Roman"/>
          <w:lang w:val="fr-CA"/>
        </w:rPr>
        <w:t>Dans le pourvoi de la Province, les intimés sont les parties ayant gain de cause et ont droit à leurs dépens devant toutes les cours.</w:t>
      </w:r>
    </w:p>
    <w:p w:rsidR="00065721" w:rsidRPr="00E13D0A" w:rsidRDefault="00065721" w:rsidP="00926B45">
      <w:pPr>
        <w:pStyle w:val="ParaNoNdepar-AltN"/>
        <w:widowControl w:val="0"/>
        <w:rPr>
          <w:rFonts w:cs="Times New Roman"/>
          <w:lang w:val="fr-CA"/>
        </w:rPr>
      </w:pPr>
      <w:r w:rsidRPr="00E13D0A">
        <w:rPr>
          <w:rFonts w:cs="Times New Roman"/>
          <w:lang w:val="fr-CA"/>
        </w:rPr>
        <w:t>Dans le pourvoi de M. Goodwin, ce dernier sollicite les dépens devant les tribunaux d</w:t>
      </w:r>
      <w:r>
        <w:rPr>
          <w:rFonts w:cs="Times New Roman"/>
          <w:lang w:val="fr-CA"/>
        </w:rPr>
        <w:t>’</w:t>
      </w:r>
      <w:r w:rsidRPr="00E13D0A">
        <w:rPr>
          <w:rFonts w:cs="Times New Roman"/>
          <w:lang w:val="fr-CA"/>
        </w:rPr>
        <w:t>instance inférieure et les dépens relatifs à son pourvoi, même s</w:t>
      </w:r>
      <w:r>
        <w:rPr>
          <w:rFonts w:cs="Times New Roman"/>
          <w:lang w:val="fr-CA"/>
        </w:rPr>
        <w:t>’</w:t>
      </w:r>
      <w:r w:rsidRPr="00E13D0A">
        <w:rPr>
          <w:rFonts w:cs="Times New Roman"/>
          <w:lang w:val="fr-CA"/>
        </w:rPr>
        <w:t>il est débouté. Il dit avoir droit à ses dépens parce que le présent litige constitutionnel est d</w:t>
      </w:r>
      <w:r>
        <w:rPr>
          <w:rFonts w:cs="Times New Roman"/>
          <w:lang w:val="fr-CA"/>
        </w:rPr>
        <w:t>’</w:t>
      </w:r>
      <w:r w:rsidRPr="00E13D0A">
        <w:rPr>
          <w:rFonts w:cs="Times New Roman"/>
          <w:lang w:val="fr-CA"/>
        </w:rPr>
        <w:t xml:space="preserve">intérêt public. La Province ne réclame aucuns dépens et demande de ne pas être </w:t>
      </w:r>
      <w:r w:rsidRPr="00E13D0A">
        <w:rPr>
          <w:rFonts w:cs="Times New Roman"/>
          <w:lang w:val="fr-CA"/>
        </w:rPr>
        <w:lastRenderedPageBreak/>
        <w:t>condamnée aux dépens.</w:t>
      </w:r>
    </w:p>
    <w:p w:rsidR="00065721" w:rsidRPr="00E13D0A" w:rsidRDefault="00065721" w:rsidP="00926B45">
      <w:pPr>
        <w:pStyle w:val="ParaNoNdepar-AltN"/>
        <w:widowControl w:val="0"/>
        <w:rPr>
          <w:rFonts w:cs="Times New Roman"/>
          <w:lang w:val="fr-CA"/>
        </w:rPr>
      </w:pPr>
      <w:r w:rsidRPr="00E13D0A">
        <w:rPr>
          <w:rFonts w:cs="Times New Roman"/>
          <w:szCs w:val="24"/>
          <w:lang w:val="fr-CA"/>
        </w:rPr>
        <w:t>Les parties déboutées peuvent obtenir les dépens dans des affaires vraiment exceptionnelles mettant en cause des questions d</w:t>
      </w:r>
      <w:r>
        <w:rPr>
          <w:rFonts w:cs="Times New Roman"/>
          <w:szCs w:val="24"/>
          <w:lang w:val="fr-CA"/>
        </w:rPr>
        <w:t>’</w:t>
      </w:r>
      <w:r w:rsidRPr="00E13D0A">
        <w:rPr>
          <w:rFonts w:cs="Times New Roman"/>
          <w:szCs w:val="24"/>
          <w:lang w:val="fr-CA"/>
        </w:rPr>
        <w:t>importance pour le public</w:t>
      </w:r>
      <w:r>
        <w:rPr>
          <w:rFonts w:cs="Times New Roman"/>
          <w:szCs w:val="24"/>
          <w:lang w:val="fr-CA"/>
        </w:rPr>
        <w:t> :</w:t>
      </w:r>
      <w:r w:rsidRPr="00E13D0A">
        <w:rPr>
          <w:rFonts w:cs="Times New Roman"/>
          <w:szCs w:val="24"/>
          <w:lang w:val="fr-CA"/>
        </w:rPr>
        <w:t xml:space="preserve"> </w:t>
      </w:r>
      <w:r w:rsidRPr="00E13D0A">
        <w:rPr>
          <w:rFonts w:cs="Times New Roman"/>
          <w:i/>
          <w:iCs/>
          <w:szCs w:val="24"/>
          <w:lang w:val="fr-CA"/>
        </w:rPr>
        <w:t>Colombie</w:t>
      </w:r>
      <w:r>
        <w:rPr>
          <w:rFonts w:cs="Times New Roman"/>
          <w:i/>
          <w:iCs/>
          <w:szCs w:val="24"/>
          <w:lang w:val="fr-CA"/>
        </w:rPr>
        <w:noBreakHyphen/>
      </w:r>
      <w:r w:rsidRPr="00E13D0A">
        <w:rPr>
          <w:rFonts w:cs="Times New Roman"/>
          <w:i/>
          <w:iCs/>
          <w:szCs w:val="24"/>
          <w:lang w:val="fr-CA"/>
        </w:rPr>
        <w:t>Britannique (Ministre des Forêts) c. Bande indienne Okanagan</w:t>
      </w:r>
      <w:r w:rsidRPr="00E13D0A">
        <w:rPr>
          <w:rFonts w:cs="Times New Roman"/>
          <w:szCs w:val="24"/>
          <w:lang w:val="fr-CA"/>
        </w:rPr>
        <w:t xml:space="preserve">, 2003 CSC 71, [2003] 3 R.C.S. 371, </w:t>
      </w:r>
      <w:r>
        <w:rPr>
          <w:rFonts w:cs="Times New Roman"/>
          <w:szCs w:val="24"/>
          <w:lang w:val="fr-CA"/>
        </w:rPr>
        <w:t>par. </w:t>
      </w:r>
      <w:r w:rsidRPr="00E13D0A">
        <w:rPr>
          <w:rFonts w:cs="Times New Roman"/>
          <w:szCs w:val="24"/>
          <w:lang w:val="fr-CA"/>
        </w:rPr>
        <w:t xml:space="preserve">30; voir aussi </w:t>
      </w:r>
      <w:r w:rsidRPr="00E13D0A">
        <w:rPr>
          <w:rFonts w:cs="Times New Roman"/>
          <w:i/>
          <w:iCs/>
          <w:szCs w:val="24"/>
          <w:lang w:val="fr-CA"/>
        </w:rPr>
        <w:t>B. (R.) c. Children</w:t>
      </w:r>
      <w:r>
        <w:rPr>
          <w:rFonts w:cs="Times New Roman"/>
          <w:i/>
          <w:iCs/>
          <w:szCs w:val="24"/>
          <w:lang w:val="fr-CA"/>
        </w:rPr>
        <w:t>’</w:t>
      </w:r>
      <w:r w:rsidRPr="00E13D0A">
        <w:rPr>
          <w:rFonts w:cs="Times New Roman"/>
          <w:i/>
          <w:iCs/>
          <w:szCs w:val="24"/>
          <w:lang w:val="fr-CA"/>
        </w:rPr>
        <w:t>s Aid Society of Metropolitan Toronto</w:t>
      </w:r>
      <w:r w:rsidRPr="00E13D0A">
        <w:rPr>
          <w:rFonts w:cs="Times New Roman"/>
          <w:szCs w:val="24"/>
          <w:lang w:val="fr-CA"/>
        </w:rPr>
        <w:t xml:space="preserve">, [1995] 1 R.C.S. 315, </w:t>
      </w:r>
      <w:r>
        <w:rPr>
          <w:rFonts w:cs="Times New Roman"/>
          <w:szCs w:val="24"/>
          <w:lang w:val="fr-CA"/>
        </w:rPr>
        <w:t>par. </w:t>
      </w:r>
      <w:r w:rsidRPr="00E13D0A">
        <w:rPr>
          <w:rFonts w:cs="Times New Roman"/>
          <w:szCs w:val="24"/>
          <w:lang w:val="fr-CA"/>
        </w:rPr>
        <w:t xml:space="preserve">166. </w:t>
      </w:r>
      <w:r w:rsidRPr="00E13D0A">
        <w:rPr>
          <w:rFonts w:cs="Times New Roman"/>
          <w:lang w:val="fr-CA"/>
        </w:rPr>
        <w:t>Il ne suffit pas qu</w:t>
      </w:r>
      <w:r>
        <w:rPr>
          <w:rFonts w:cs="Times New Roman"/>
          <w:lang w:val="fr-CA"/>
        </w:rPr>
        <w:t>’</w:t>
      </w:r>
      <w:r w:rsidRPr="00E13D0A">
        <w:rPr>
          <w:rFonts w:cs="Times New Roman"/>
          <w:lang w:val="fr-CA"/>
        </w:rPr>
        <w:t>une question soit d</w:t>
      </w:r>
      <w:r>
        <w:rPr>
          <w:rFonts w:cs="Times New Roman"/>
          <w:lang w:val="fr-CA"/>
        </w:rPr>
        <w:t>’</w:t>
      </w:r>
      <w:r w:rsidRPr="00E13D0A">
        <w:rPr>
          <w:rFonts w:cs="Times New Roman"/>
          <w:lang w:val="fr-CA"/>
        </w:rPr>
        <w:t>intérêt public ou d</w:t>
      </w:r>
      <w:r>
        <w:rPr>
          <w:rFonts w:cs="Times New Roman"/>
          <w:lang w:val="fr-CA"/>
        </w:rPr>
        <w:t>’</w:t>
      </w:r>
      <w:r w:rsidRPr="00E13D0A">
        <w:rPr>
          <w:rFonts w:cs="Times New Roman"/>
          <w:lang w:val="fr-CA"/>
        </w:rPr>
        <w:t>importance pour le public; pour justifier l</w:t>
      </w:r>
      <w:r>
        <w:rPr>
          <w:rFonts w:cs="Times New Roman"/>
          <w:lang w:val="fr-CA"/>
        </w:rPr>
        <w:t>’</w:t>
      </w:r>
      <w:r w:rsidRPr="00E13D0A">
        <w:rPr>
          <w:rFonts w:cs="Times New Roman"/>
          <w:lang w:val="fr-CA"/>
        </w:rPr>
        <w:t>octroi de dépens quelle que soit l</w:t>
      </w:r>
      <w:r>
        <w:rPr>
          <w:rFonts w:cs="Times New Roman"/>
          <w:lang w:val="fr-CA"/>
        </w:rPr>
        <w:t>’</w:t>
      </w:r>
      <w:r w:rsidRPr="00E13D0A">
        <w:rPr>
          <w:rFonts w:cs="Times New Roman"/>
          <w:lang w:val="fr-CA"/>
        </w:rPr>
        <w:t>issue de la cause, l</w:t>
      </w:r>
      <w:r>
        <w:rPr>
          <w:rFonts w:cs="Times New Roman"/>
          <w:lang w:val="fr-CA"/>
        </w:rPr>
        <w:t>’</w:t>
      </w:r>
      <w:r w:rsidRPr="00E13D0A">
        <w:rPr>
          <w:rFonts w:cs="Times New Roman"/>
          <w:lang w:val="fr-CA"/>
        </w:rPr>
        <w:t>affaire doit être « vraiment exceptionnelle ».</w:t>
      </w:r>
      <w:r>
        <w:rPr>
          <w:rFonts w:cs="Times New Roman"/>
          <w:lang w:val="fr-CA"/>
        </w:rPr>
        <w:t xml:space="preserve"> </w:t>
      </w:r>
      <w:r w:rsidRPr="00E13D0A">
        <w:rPr>
          <w:rFonts w:cs="Times New Roman"/>
          <w:szCs w:val="24"/>
          <w:lang w:val="fr-CA"/>
        </w:rPr>
        <w:t>À mon sens, la présente affaire ne l</w:t>
      </w:r>
      <w:r>
        <w:rPr>
          <w:rFonts w:cs="Times New Roman"/>
          <w:szCs w:val="24"/>
          <w:lang w:val="fr-CA"/>
        </w:rPr>
        <w:t>’</w:t>
      </w:r>
      <w:r w:rsidRPr="00E13D0A">
        <w:rPr>
          <w:rFonts w:cs="Times New Roman"/>
          <w:szCs w:val="24"/>
          <w:lang w:val="fr-CA"/>
        </w:rPr>
        <w:t>est pas. Par conséquent, aucuns dépens ne seront adjugé</w:t>
      </w:r>
      <w:r>
        <w:rPr>
          <w:rFonts w:cs="Times New Roman"/>
          <w:szCs w:val="24"/>
          <w:lang w:val="fr-CA"/>
        </w:rPr>
        <w:t>s relativement au pourvoi de M. </w:t>
      </w:r>
      <w:r w:rsidRPr="00E13D0A">
        <w:rPr>
          <w:rFonts w:cs="Times New Roman"/>
          <w:szCs w:val="24"/>
          <w:lang w:val="fr-CA"/>
        </w:rPr>
        <w:t xml:space="preserve">Goodwin. </w:t>
      </w:r>
    </w:p>
    <w:p w:rsidR="00065721" w:rsidRDefault="00731301" w:rsidP="00926B45">
      <w:pPr>
        <w:pStyle w:val="SCCNormalDoubleSpacing"/>
        <w:widowControl w:val="0"/>
        <w:spacing w:after="480"/>
        <w:rPr>
          <w:lang w:val="fr-CA"/>
        </w:rPr>
      </w:pPr>
      <w:r>
        <w:rPr>
          <w:lang w:val="fr-CA"/>
        </w:rPr>
        <w:tab/>
        <w:t>Version française des motifs rendus par</w:t>
      </w:r>
    </w:p>
    <w:p w:rsidR="00065721" w:rsidRPr="00BA0FC8" w:rsidRDefault="00683B3C" w:rsidP="00926B45">
      <w:pPr>
        <w:pStyle w:val="ParaNoNdepar-AltN"/>
        <w:widowControl w:val="0"/>
        <w:tabs>
          <w:tab w:val="clear" w:pos="1166"/>
          <w:tab w:val="num" w:pos="1152"/>
        </w:tabs>
        <w:rPr>
          <w:lang w:val="fr-CA"/>
        </w:rPr>
      </w:pPr>
      <w:r w:rsidRPr="00683B3C">
        <w:rPr>
          <w:smallCaps/>
          <w:lang w:val="fr-CA"/>
        </w:rPr>
        <w:t>La Juge en chef</w:t>
      </w:r>
      <w:r w:rsidRPr="00683B3C">
        <w:rPr>
          <w:lang w:val="fr-CA"/>
        </w:rPr>
        <w:t xml:space="preserve"> </w:t>
      </w:r>
      <w:r w:rsidR="00DD4D8E">
        <w:rPr>
          <w:lang w:val="fr-CA"/>
        </w:rPr>
        <w:t xml:space="preserve">(dissidente en partie) </w:t>
      </w:r>
      <w:r w:rsidRPr="00683B3C">
        <w:rPr>
          <w:lang w:val="fr-CA"/>
        </w:rPr>
        <w:t xml:space="preserve">— </w:t>
      </w:r>
      <w:r w:rsidR="00065721" w:rsidRPr="00BA0FC8">
        <w:rPr>
          <w:lang w:val="fr-CA"/>
        </w:rPr>
        <w:t>J’ai pris connaissance des motifs de la juge Karakatsanis. Bien que je souscrive à eux dans une large mesure, je diverge d’opinion sur le point de savoir si le régime provincial de suspension imposée lors d’un contrôle routier enfreint l’exigence constitutionnelle que les fouilles, perquisitions et saisies ne soient pas abusives. À mon avis, le régime n’enfreint pas cette exigence.</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 xml:space="preserve">J’estime que, selon l’art. 8 de la </w:t>
      </w:r>
      <w:r w:rsidRPr="00BA0FC8">
        <w:rPr>
          <w:rFonts w:cs="Times New Roman"/>
          <w:i/>
          <w:lang w:val="fr-CA"/>
        </w:rPr>
        <w:t>Charte canadienne des</w:t>
      </w:r>
      <w:r w:rsidRPr="00BA0FC8">
        <w:rPr>
          <w:rFonts w:cs="Times New Roman"/>
          <w:lang w:val="fr-CA"/>
        </w:rPr>
        <w:t xml:space="preserve"> </w:t>
      </w:r>
      <w:r w:rsidRPr="00BA0FC8">
        <w:rPr>
          <w:rFonts w:cs="Times New Roman"/>
          <w:i/>
          <w:lang w:val="fr-CA"/>
        </w:rPr>
        <w:t>droits et libertés</w:t>
      </w:r>
      <w:r w:rsidRPr="00BA0FC8">
        <w:rPr>
          <w:rFonts w:cs="Times New Roman"/>
          <w:lang w:val="fr-CA"/>
        </w:rPr>
        <w:t xml:space="preserve">, il ne suffit pas de simplement mettre en balance les intérêts de l’État et les intérêts privés opposés; les tribunaux doivent plutôt examiner trois conditions d’une fouille, perquisition ou saisie raisonnable : (1) un objectif de l’État susceptible de l’emporter </w:t>
      </w:r>
      <w:r w:rsidRPr="00BA0FC8">
        <w:rPr>
          <w:rFonts w:cs="Times New Roman"/>
          <w:lang w:val="fr-CA"/>
        </w:rPr>
        <w:lastRenderedPageBreak/>
        <w:t>sur les intérêts privés d’une personne; (2) l’atteinte à l’intérêt privé ne va pas au</w:t>
      </w:r>
      <w:r w:rsidRPr="00BA0FC8">
        <w:rPr>
          <w:rFonts w:cs="Times New Roman"/>
          <w:lang w:val="fr-CA"/>
        </w:rPr>
        <w:noBreakHyphen/>
        <w:t xml:space="preserve">delà de ce qui est raisonnablement nécessaire pour atteindre l’objectif; (3) la possibilité de recourir à la surveillance judiciaire. </w:t>
      </w:r>
    </w:p>
    <w:p w:rsidR="00065721" w:rsidRPr="00BA0FC8" w:rsidRDefault="00065721" w:rsidP="00926B45">
      <w:pPr>
        <w:pStyle w:val="ParaNoNdepar-AltN"/>
        <w:widowControl w:val="0"/>
        <w:numPr>
          <w:ilvl w:val="0"/>
          <w:numId w:val="0"/>
        </w:numPr>
        <w:rPr>
          <w:rFonts w:cs="Times New Roman"/>
          <w:lang w:val="fr-CA"/>
        </w:rPr>
      </w:pPr>
      <w:r w:rsidRPr="00BA0FC8">
        <w:rPr>
          <w:rFonts w:cs="Times New Roman"/>
          <w:u w:val="single"/>
          <w:lang w:val="fr-CA"/>
        </w:rPr>
        <w:t xml:space="preserve">L’article 8 de la </w:t>
      </w:r>
      <w:r w:rsidRPr="00BA0FC8">
        <w:rPr>
          <w:rFonts w:cs="Times New Roman"/>
          <w:i/>
          <w:u w:val="single"/>
          <w:lang w:val="fr-CA"/>
        </w:rPr>
        <w:t xml:space="preserve">Charte </w:t>
      </w:r>
      <w:r w:rsidRPr="00BA0FC8">
        <w:rPr>
          <w:rFonts w:cs="Times New Roman"/>
          <w:u w:val="single"/>
          <w:lang w:val="fr-CA"/>
        </w:rPr>
        <w:t>s’applique</w:t>
      </w:r>
      <w:r w:rsidRPr="00BA0FC8">
        <w:rPr>
          <w:rFonts w:cs="Times New Roman"/>
          <w:u w:val="single"/>
          <w:lang w:val="fr-CA"/>
        </w:rPr>
        <w:noBreakHyphen/>
        <w:t>t</w:t>
      </w:r>
      <w:r w:rsidRPr="00BA0FC8">
        <w:rPr>
          <w:rFonts w:cs="Times New Roman"/>
          <w:u w:val="single"/>
          <w:lang w:val="fr-CA"/>
        </w:rPr>
        <w:noBreakHyphen/>
        <w:t>il?</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La question préliminaire est de savoir si le régime, qui n’autorise pas lui</w:t>
      </w:r>
      <w:r w:rsidRPr="00BA0FC8">
        <w:rPr>
          <w:rFonts w:cs="Times New Roman"/>
          <w:lang w:val="fr-CA"/>
        </w:rPr>
        <w:noBreakHyphen/>
        <w:t xml:space="preserve">même la saisie d’un échantillon d’haleine, est visé par l’art. 8 de la </w:t>
      </w:r>
      <w:r w:rsidRPr="00BA0FC8">
        <w:rPr>
          <w:rFonts w:cs="Times New Roman"/>
          <w:i/>
          <w:lang w:val="fr-CA"/>
        </w:rPr>
        <w:t xml:space="preserve">Charte. </w:t>
      </w:r>
      <w:r w:rsidRPr="00BA0FC8">
        <w:rPr>
          <w:rFonts w:cs="Times New Roman"/>
          <w:lang w:val="fr-CA"/>
        </w:rPr>
        <w:t xml:space="preserve">Le régime provincial s’en remet aux dispositions du </w:t>
      </w:r>
      <w:r w:rsidRPr="00BA0FC8">
        <w:rPr>
          <w:rFonts w:cs="Times New Roman"/>
          <w:i/>
          <w:lang w:val="fr-CA"/>
        </w:rPr>
        <w:t xml:space="preserve">Code criminel </w:t>
      </w:r>
      <w:r w:rsidRPr="00BA0FC8">
        <w:rPr>
          <w:rFonts w:cs="Times New Roman"/>
          <w:lang w:val="fr-CA"/>
        </w:rPr>
        <w:t>qui permettent à un policier de contraindre un conducteur à donner un échantillon d’haleine : L.R.C. 1985, c. C</w:t>
      </w:r>
      <w:r w:rsidRPr="00BA0FC8">
        <w:rPr>
          <w:rFonts w:cs="Times New Roman"/>
          <w:lang w:val="fr-CA"/>
        </w:rPr>
        <w:noBreakHyphen/>
        <w:t xml:space="preserve">46, par. 254(2). Il s’agit là clairement de la saisie d’un échantillon d’une substance corporelle, ce qui signifie qu’elle ne doit pas être « abusive » au sens de l’art. 8 de la </w:t>
      </w:r>
      <w:r w:rsidRPr="00BA0FC8">
        <w:rPr>
          <w:rFonts w:cs="Times New Roman"/>
          <w:i/>
          <w:lang w:val="fr-CA"/>
        </w:rPr>
        <w:t>Charte.</w:t>
      </w:r>
      <w:r w:rsidRPr="00BA0FC8">
        <w:rPr>
          <w:rFonts w:cs="Times New Roman"/>
          <w:lang w:val="fr-CA"/>
        </w:rPr>
        <w:t xml:space="preserve"> Il est factice de plaider que la saisie est autorisée par le </w:t>
      </w:r>
      <w:r w:rsidRPr="00BA0FC8">
        <w:rPr>
          <w:rFonts w:cs="Times New Roman"/>
          <w:i/>
          <w:lang w:val="fr-CA"/>
        </w:rPr>
        <w:t>Code criminel</w:t>
      </w:r>
      <w:r w:rsidRPr="00BA0FC8">
        <w:rPr>
          <w:rFonts w:cs="Times New Roman"/>
          <w:lang w:val="fr-CA"/>
        </w:rPr>
        <w:t xml:space="preserve"> et que le régime provincial n’en prévoit donc aucune. Le fait est que, dans des cas comme celui en l’espèce, le policier saisit un échantillon d’haleine pour l’application du régime provincial : l’autorisation du </w:t>
      </w:r>
      <w:r w:rsidRPr="00BA0FC8">
        <w:rPr>
          <w:rFonts w:cs="Times New Roman"/>
          <w:i/>
          <w:lang w:val="fr-CA"/>
        </w:rPr>
        <w:t xml:space="preserve">Code criminel </w:t>
      </w:r>
      <w:r w:rsidRPr="00BA0FC8">
        <w:rPr>
          <w:rFonts w:cs="Times New Roman"/>
          <w:lang w:val="fr-CA"/>
        </w:rPr>
        <w:t xml:space="preserve">est expressément évoquée par ce régime provincial. La saisie est la base sur laquelle repose tout le régime provincial. Bien qu’elle soit autorisée par un autre texte de loi, la saisie fait partie intégrante de ce régime. </w:t>
      </w:r>
    </w:p>
    <w:p w:rsidR="00065721" w:rsidRPr="00BA0FC8" w:rsidRDefault="00065721" w:rsidP="00926B45">
      <w:pPr>
        <w:widowControl w:val="0"/>
        <w:rPr>
          <w:rFonts w:eastAsiaTheme="minorEastAsia"/>
          <w:szCs w:val="22"/>
          <w:u w:val="single"/>
          <w:lang w:val="fr-CA" w:eastAsia="en-US"/>
        </w:rPr>
      </w:pPr>
      <w:r w:rsidRPr="00BA0FC8">
        <w:rPr>
          <w:u w:val="single"/>
          <w:lang w:val="fr-CA"/>
        </w:rPr>
        <w:t>La saisie est</w:t>
      </w:r>
      <w:r w:rsidRPr="00BA0FC8">
        <w:rPr>
          <w:u w:val="single"/>
          <w:lang w:val="fr-CA"/>
        </w:rPr>
        <w:noBreakHyphen/>
        <w:t>elle raisonnable?</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Cela nous amène à la question principale : la saisie prévue par le régime provincial est</w:t>
      </w:r>
      <w:r w:rsidRPr="00BA0FC8">
        <w:rPr>
          <w:rFonts w:cs="Times New Roman"/>
          <w:lang w:val="fr-CA"/>
        </w:rPr>
        <w:noBreakHyphen/>
        <w:t xml:space="preserve">elle </w:t>
      </w:r>
      <w:r>
        <w:rPr>
          <w:rFonts w:cs="Times New Roman"/>
          <w:lang w:val="fr-CA"/>
        </w:rPr>
        <w:t>« </w:t>
      </w:r>
      <w:r w:rsidRPr="00BA0FC8">
        <w:rPr>
          <w:rFonts w:cs="Times New Roman"/>
          <w:lang w:val="fr-CA"/>
        </w:rPr>
        <w:t>raisonnable</w:t>
      </w:r>
      <w:r>
        <w:rPr>
          <w:rFonts w:cs="Times New Roman"/>
          <w:lang w:val="fr-CA"/>
        </w:rPr>
        <w:t> »</w:t>
      </w:r>
      <w:r w:rsidRPr="00BA0FC8">
        <w:rPr>
          <w:rFonts w:cs="Times New Roman"/>
          <w:lang w:val="fr-CA"/>
        </w:rPr>
        <w:t xml:space="preserve"> et de ce fait conforme à l’art. 8 de la </w:t>
      </w:r>
      <w:r w:rsidRPr="00BA0FC8">
        <w:rPr>
          <w:rFonts w:cs="Times New Roman"/>
          <w:i/>
          <w:lang w:val="fr-CA"/>
        </w:rPr>
        <w:t>Charte</w:t>
      </w:r>
      <w:r w:rsidRPr="00BA0FC8">
        <w:rPr>
          <w:rFonts w:cs="Times New Roman"/>
          <w:lang w:val="fr-CA"/>
        </w:rPr>
        <w:t xml:space="preserve">, qui protège l’individu contre les fouilles, perquisitions et saisies abusives? </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lastRenderedPageBreak/>
        <w:t xml:space="preserve">L’article 8 a pour objet et pour effet de protéger l’individu contre les atteintes abusives de l’État à sa vie privée. La common law protège la vie privée depuis des siècles. Cette protection, qui visait au départ la violation de domicile (le dicton de lord Coke « La maison de chacun est son château » : voir </w:t>
      </w:r>
      <w:r w:rsidRPr="00BA0FC8">
        <w:rPr>
          <w:rFonts w:cs="Times New Roman"/>
          <w:i/>
          <w:lang w:val="fr-CA"/>
        </w:rPr>
        <w:t>R. c. Tessling</w:t>
      </w:r>
      <w:r w:rsidRPr="00BA0FC8">
        <w:rPr>
          <w:rFonts w:cs="Times New Roman"/>
          <w:lang w:val="fr-CA"/>
        </w:rPr>
        <w:t xml:space="preserve">, 2004 CSC 67, [2004] 3 R.C.S. 432, par. 22; voir aussi </w:t>
      </w:r>
      <w:r w:rsidRPr="00BA0FC8">
        <w:rPr>
          <w:rFonts w:cs="Times New Roman"/>
          <w:i/>
          <w:lang w:val="fr-CA"/>
        </w:rPr>
        <w:t>Hunter c. Southam Inc</w:t>
      </w:r>
      <w:r w:rsidRPr="00BA0FC8">
        <w:rPr>
          <w:rFonts w:cs="Times New Roman"/>
          <w:lang w:val="fr-CA"/>
        </w:rPr>
        <w:t>., [1984] 2 R.C.S. 145, p. 157</w:t>
      </w:r>
      <w:r w:rsidRPr="00BA0FC8">
        <w:rPr>
          <w:rFonts w:cs="Times New Roman"/>
          <w:lang w:val="fr-CA"/>
        </w:rPr>
        <w:noBreakHyphen/>
        <w:t xml:space="preserve">158; </w:t>
      </w:r>
      <w:r w:rsidRPr="00BA0FC8">
        <w:rPr>
          <w:rFonts w:cs="Times New Roman"/>
          <w:i/>
          <w:lang w:val="fr-CA"/>
        </w:rPr>
        <w:t>R. c. Dyment</w:t>
      </w:r>
      <w:r w:rsidRPr="00BA0FC8">
        <w:rPr>
          <w:rFonts w:cs="Times New Roman"/>
          <w:lang w:val="fr-CA"/>
        </w:rPr>
        <w:t>, [1988] 2 R.C.S. 417, p. 426</w:t>
      </w:r>
      <w:r w:rsidRPr="00BA0FC8">
        <w:rPr>
          <w:rFonts w:cs="Times New Roman"/>
          <w:lang w:val="fr-CA"/>
        </w:rPr>
        <w:noBreakHyphen/>
        <w:t>429), a été transformée sous l’égide de l’art. 8 de façon à englober trois dimensions de la vie privée : la personne, l’information et les lieux (</w:t>
      </w:r>
      <w:r w:rsidRPr="00BA0FC8">
        <w:rPr>
          <w:rFonts w:cs="Times New Roman"/>
          <w:i/>
          <w:lang w:val="fr-CA"/>
        </w:rPr>
        <w:t>R. c. Spencer</w:t>
      </w:r>
      <w:r w:rsidRPr="00BA0FC8">
        <w:rPr>
          <w:rFonts w:cs="Times New Roman"/>
          <w:lang w:val="fr-CA"/>
        </w:rPr>
        <w:t xml:space="preserve">, 2014 CSC 43, [2014] 2 R.C.S. 212, par. 35; </w:t>
      </w:r>
      <w:r w:rsidRPr="00BA0FC8">
        <w:rPr>
          <w:rFonts w:cs="Times New Roman"/>
          <w:i/>
          <w:lang w:val="fr-CA"/>
        </w:rPr>
        <w:t>Tessling</w:t>
      </w:r>
      <w:r w:rsidRPr="00BA0FC8">
        <w:rPr>
          <w:rFonts w:cs="Times New Roman"/>
          <w:lang w:val="fr-CA"/>
        </w:rPr>
        <w:t>, par. 20</w:t>
      </w:r>
      <w:r w:rsidRPr="00BA0FC8">
        <w:rPr>
          <w:rFonts w:cs="Times New Roman"/>
          <w:lang w:val="fr-CA"/>
        </w:rPr>
        <w:noBreakHyphen/>
        <w:t xml:space="preserve">24).  </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 xml:space="preserve">À l’instar des autres droits garantis par la </w:t>
      </w:r>
      <w:r w:rsidRPr="00BA0FC8">
        <w:rPr>
          <w:rFonts w:cs="Times New Roman"/>
          <w:i/>
          <w:lang w:val="fr-CA"/>
        </w:rPr>
        <w:t>Charte</w:t>
      </w:r>
      <w:r w:rsidRPr="00BA0FC8">
        <w:rPr>
          <w:rFonts w:cs="Times New Roman"/>
          <w:lang w:val="fr-CA"/>
        </w:rPr>
        <w:t xml:space="preserve"> comme l’expression et la liberté, le droit à la vie privée concerne essentiellement la tension fondamentale présente dans une démocratie constitutionnelle entre l’individu et l’État : </w:t>
      </w:r>
      <w:r w:rsidRPr="00BA0FC8">
        <w:rPr>
          <w:rFonts w:cs="Times New Roman"/>
          <w:i/>
          <w:lang w:val="fr-CA"/>
        </w:rPr>
        <w:t>Dyment</w:t>
      </w:r>
      <w:r w:rsidRPr="00BA0FC8">
        <w:rPr>
          <w:rFonts w:cs="Times New Roman"/>
          <w:lang w:val="fr-CA"/>
        </w:rPr>
        <w:t>, p. 427</w:t>
      </w:r>
      <w:r w:rsidRPr="00BA0FC8">
        <w:rPr>
          <w:rFonts w:cs="Times New Roman"/>
          <w:lang w:val="fr-CA"/>
        </w:rPr>
        <w:noBreakHyphen/>
        <w:t>429. En général, l’État peut porter atteinte au droit de l’individu à la vie privée si cette atteinte est autorisée par une loi raisonnable et portée de manière raisonnable. Ce sera le cas lorsque : (1) l’État procède à la fouille, à la perquisition ou à la saisie pour réaliser un objectif important qui se fonde sur l’intérêt public général; (2) l’atteinte ne va pas au</w:t>
      </w:r>
      <w:r w:rsidRPr="00BA0FC8">
        <w:rPr>
          <w:rFonts w:cs="Times New Roman"/>
          <w:lang w:val="fr-CA"/>
        </w:rPr>
        <w:noBreakHyphen/>
        <w:t xml:space="preserve">delà de ce qui est raisonnablement nécessaire pour atteindre l’objectif de l’État; (3) l’atteinte est soumise à la surveillance judiciaire pour empêcher que l’État se livre à des abus. </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 xml:space="preserve">Selon la première condition, l’objectif de l’État doit être suffisamment important pour primer les droits de l’individu à la vie privée en jeu. C’est pourquoi il faut, en règle générale, avoir des motifs raisonnables de croire que l’on trouvera l’objet </w:t>
      </w:r>
      <w:r w:rsidRPr="00BA0FC8">
        <w:rPr>
          <w:rFonts w:cs="Times New Roman"/>
          <w:lang w:val="fr-CA"/>
        </w:rPr>
        <w:lastRenderedPageBreak/>
        <w:t xml:space="preserve">recherché pour pouvoir effectuer une fouille, une perquisition ou une saisie : à défaut de ces motifs, l’objectif de l’État ne justifie pas l’intrusion dans la sphère privée de l’individu. Toutefois, dans certaines situations — notamment les alcootests administrés lors de contrôles routiers pour lutter contre la conduite en état d’ébriété — l’importance de l’objectif de l’État et la difficulté de l’atteindre justifient parfois une fouille, une perquisition ou une saisie malgré l’absence de motifs raisonnables. </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La deuxième condition — l’atteinte au droit à la vie privée ne doit pas aller au</w:t>
      </w:r>
      <w:r w:rsidRPr="00BA0FC8">
        <w:rPr>
          <w:rFonts w:cs="Times New Roman"/>
          <w:lang w:val="fr-CA"/>
        </w:rPr>
        <w:noBreakHyphen/>
        <w:t>delà de ce qui est raisonnablement nécessaire pour atteindre l’objectif de l’État — limite l’atteinte à ce qui est justifié dans les circonstances, qui comprennent notamment la nature du régime. La Cour a reconnu que le régime dont l’objet est de nature réglementaire et non criminelle peut être assujetti à des normes moins rigoureuses :</w:t>
      </w:r>
      <w:r w:rsidRPr="00BA0FC8">
        <w:rPr>
          <w:rFonts w:cs="Times New Roman"/>
          <w:i/>
          <w:lang w:val="fr-CA"/>
        </w:rPr>
        <w:t xml:space="preserve"> R. c. McKinlay Transport Ltd.</w:t>
      </w:r>
      <w:r w:rsidRPr="00BA0FC8">
        <w:rPr>
          <w:rFonts w:cs="Times New Roman"/>
          <w:lang w:val="fr-CA"/>
        </w:rPr>
        <w:t>,</w:t>
      </w:r>
      <w:r w:rsidRPr="00BA0FC8">
        <w:rPr>
          <w:rFonts w:cs="Times New Roman"/>
          <w:i/>
          <w:lang w:val="fr-CA"/>
        </w:rPr>
        <w:t xml:space="preserve"> </w:t>
      </w:r>
      <w:r w:rsidRPr="00BA0FC8">
        <w:rPr>
          <w:rFonts w:cs="Times New Roman"/>
          <w:lang w:val="fr-CA"/>
        </w:rPr>
        <w:t xml:space="preserve">[1990] 1 R.C.S. 627, la juge Wilson; </w:t>
      </w:r>
      <w:r w:rsidRPr="00BA0FC8">
        <w:rPr>
          <w:rFonts w:cs="Times New Roman"/>
          <w:i/>
          <w:lang w:val="fr-CA"/>
        </w:rPr>
        <w:t>British Columbia Securities Commission c. Branch</w:t>
      </w:r>
      <w:r w:rsidRPr="00BA0FC8">
        <w:rPr>
          <w:rFonts w:cs="Times New Roman"/>
          <w:lang w:val="fr-CA"/>
        </w:rPr>
        <w:t>,</w:t>
      </w:r>
      <w:r w:rsidRPr="00BA0FC8">
        <w:rPr>
          <w:rFonts w:cs="Times New Roman"/>
          <w:i/>
          <w:lang w:val="fr-CA"/>
        </w:rPr>
        <w:t xml:space="preserve"> </w:t>
      </w:r>
      <w:r w:rsidRPr="00BA0FC8">
        <w:rPr>
          <w:rFonts w:cs="Times New Roman"/>
          <w:lang w:val="fr-CA"/>
        </w:rPr>
        <w:t xml:space="preserve">[1995] 2 R.C.S. 3, les juges Sopinka et Iacobucci; </w:t>
      </w:r>
      <w:r w:rsidRPr="00BA0FC8">
        <w:rPr>
          <w:rFonts w:cs="Times New Roman"/>
          <w:i/>
          <w:lang w:val="fr-CA"/>
        </w:rPr>
        <w:t>R</w:t>
      </w:r>
      <w:r w:rsidR="00830F68">
        <w:rPr>
          <w:rFonts w:cs="Times New Roman"/>
          <w:i/>
          <w:lang w:val="fr-CA"/>
        </w:rPr>
        <w:t>.</w:t>
      </w:r>
      <w:r w:rsidRPr="00BA0FC8">
        <w:rPr>
          <w:rFonts w:cs="Times New Roman"/>
          <w:i/>
          <w:lang w:val="fr-CA"/>
        </w:rPr>
        <w:t xml:space="preserve"> c. Jarvis</w:t>
      </w:r>
      <w:r w:rsidRPr="00BA0FC8">
        <w:rPr>
          <w:rFonts w:cs="Times New Roman"/>
          <w:lang w:val="fr-CA"/>
        </w:rPr>
        <w:t>, 2002 CSC 73, [2002] 3 R.C.S. 757.</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 xml:space="preserve">La troisième condition, la possibilité de recourir au contrôle judiciaire, exige la présence d’un mécanisme garantissant que les fouilles, perquisitions et saisies soient conformes à la règle de droit et empêchent que l’État abuse de ces pouvoirs. La common law insiste depuis longtemps sur la surveillance judiciaire des intrusions de l’État dans la sphère privée. C’est en raison de ce souci qu’il faut généralement obtenir une autorisation judiciaire préalable pour une fouille ou perquisition de nature criminelle, à défaut de quoi la fouille ou perquisition est à première vue abusive : </w:t>
      </w:r>
      <w:r w:rsidRPr="00BA0FC8">
        <w:rPr>
          <w:rFonts w:cs="Times New Roman"/>
          <w:i/>
          <w:lang w:val="fr-CA"/>
        </w:rPr>
        <w:t>R. c. Collins</w:t>
      </w:r>
      <w:r w:rsidRPr="00BA0FC8">
        <w:rPr>
          <w:rFonts w:cs="Times New Roman"/>
          <w:lang w:val="fr-CA"/>
        </w:rPr>
        <w:t>, [1987] 1 R.C.S. 265, p. 277</w:t>
      </w:r>
      <w:r w:rsidRPr="00BA0FC8">
        <w:rPr>
          <w:rFonts w:cs="Times New Roman"/>
          <w:lang w:val="fr-CA"/>
        </w:rPr>
        <w:noBreakHyphen/>
        <w:t xml:space="preserve">278; </w:t>
      </w:r>
      <w:r w:rsidRPr="00BA0FC8">
        <w:rPr>
          <w:rFonts w:cs="Times New Roman"/>
          <w:i/>
          <w:lang w:val="fr-CA"/>
        </w:rPr>
        <w:t>Hunter c. Southam Inc.</w:t>
      </w:r>
      <w:r w:rsidRPr="00BA0FC8">
        <w:rPr>
          <w:rFonts w:cs="Times New Roman"/>
          <w:lang w:val="fr-CA"/>
        </w:rPr>
        <w:t xml:space="preserve">, p. 161. Ce souci </w:t>
      </w:r>
      <w:r w:rsidRPr="00BA0FC8">
        <w:rPr>
          <w:rFonts w:cs="Times New Roman"/>
          <w:lang w:val="fr-CA"/>
        </w:rPr>
        <w:lastRenderedPageBreak/>
        <w:t xml:space="preserve">explique également le fait que, dans certains cas, les autorités doivent conserver des notes détaillées de ce qu’elles ont fouillé et des raisons pour le faire : </w:t>
      </w:r>
      <w:r w:rsidRPr="00BA0FC8">
        <w:rPr>
          <w:rFonts w:cs="Times New Roman"/>
          <w:i/>
          <w:lang w:val="fr-CA"/>
        </w:rPr>
        <w:t>R. c. Fearon</w:t>
      </w:r>
      <w:r w:rsidRPr="00BA0FC8">
        <w:rPr>
          <w:rFonts w:cs="Times New Roman"/>
          <w:lang w:val="fr-CA"/>
        </w:rPr>
        <w:t xml:space="preserve">, 2014 CSC 77, [2014] 3 R.C.S. 621, par. 4 et 82; </w:t>
      </w:r>
      <w:r w:rsidRPr="00BA0FC8">
        <w:rPr>
          <w:rFonts w:cs="Times New Roman"/>
          <w:i/>
          <w:lang w:val="fr-CA"/>
        </w:rPr>
        <w:t>R. c. Vu</w:t>
      </w:r>
      <w:r w:rsidRPr="00BA0FC8">
        <w:rPr>
          <w:rFonts w:cs="Times New Roman"/>
          <w:lang w:val="fr-CA"/>
        </w:rPr>
        <w:t xml:space="preserve">, 2013 CSC 60, [2013] 3 R.C.S. 657, par. 70; </w:t>
      </w:r>
      <w:r w:rsidRPr="00BA0FC8">
        <w:rPr>
          <w:rFonts w:cs="Times New Roman"/>
          <w:i/>
          <w:lang w:val="fr-CA"/>
        </w:rPr>
        <w:t>R. c. Golden</w:t>
      </w:r>
      <w:r w:rsidRPr="00BA0FC8">
        <w:rPr>
          <w:rFonts w:cs="Times New Roman"/>
          <w:lang w:val="fr-CA"/>
        </w:rPr>
        <w:t xml:space="preserve">, 2001 CSC 83, [2001] 3 R.C.S. 679, par. 101. Lorsque des fouilles sans mandat sont autorisées, il est particulièrement important qu’elles fassent l’objet d’un examen à l’étape du contrôle judiciaire : </w:t>
      </w:r>
      <w:r w:rsidRPr="00BA0FC8">
        <w:rPr>
          <w:rFonts w:cs="Times New Roman"/>
          <w:i/>
          <w:lang w:val="fr-CA"/>
        </w:rPr>
        <w:t>Fearon</w:t>
      </w:r>
      <w:r w:rsidRPr="00BA0FC8">
        <w:rPr>
          <w:rFonts w:cs="Times New Roman"/>
          <w:lang w:val="fr-CA"/>
        </w:rPr>
        <w:t xml:space="preserve">, par. 82 et 87. </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 xml:space="preserve">Bien que le critère ait été énoncé de différentes manières dans la jurisprudence, au fond, les trois conditions que je viens d’exposer — un objectif important de l’État, une atteinte qui se limite à ce qui est raisonnablement nécessaire et la possibilité de recourir au contrôle judiciaire — établissent si une fouille ou perquisition est raisonnable au sens de l’art. 8 de la </w:t>
      </w:r>
      <w:r w:rsidRPr="00BA0FC8">
        <w:rPr>
          <w:rFonts w:cs="Times New Roman"/>
          <w:i/>
          <w:lang w:val="fr-CA"/>
        </w:rPr>
        <w:t>Charte.</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 xml:space="preserve">On dit parfois que, pour décider si une fouille, perquisition ou saisie est raisonnable, on se demande si l’acte de l’État représente un juste équilibre entre l’objectif de l’État (la première condition) et le droit de l’individu à la protection de sa vie privée : voir, par exemple, </w:t>
      </w:r>
      <w:r w:rsidRPr="00BA0FC8">
        <w:rPr>
          <w:rFonts w:cs="Times New Roman"/>
          <w:i/>
          <w:lang w:val="fr-CA"/>
        </w:rPr>
        <w:t>Tessling</w:t>
      </w:r>
      <w:r w:rsidRPr="00BA0FC8">
        <w:rPr>
          <w:rFonts w:cs="Times New Roman"/>
          <w:lang w:val="fr-CA"/>
        </w:rPr>
        <w:t>, par. 17</w:t>
      </w:r>
      <w:r w:rsidRPr="00BA0FC8">
        <w:rPr>
          <w:rFonts w:cs="Times New Roman"/>
          <w:lang w:val="fr-CA"/>
        </w:rPr>
        <w:noBreakHyphen/>
        <w:t>18. Il faut voir la métaphore de la mise en balance comme une interprétation élargie des conditions d’une fouille, perquisition ou saisie raisonnable au sens de l’art. 8. Sans prétendre que la mise en balance donne forcément le mauvais résultat, considérer l’analyse fondée sur l’art. 8 comme une simple mise en balance de l’intérêt de l’État et du droit de l’individu à la vie privée ne permet pas toujours de prendre en compte ce qu’il faut pour établir qu’une fouille, perquisition ou saisie est raisonnable.</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lastRenderedPageBreak/>
        <w:t xml:space="preserve">Un problème est que la mise en balance peut laisser croire que, si l’objectif de l’État est suffisamment impérieux, il permet de passer outre à la retenue et aux procédures qui ouvrent la voie au contrôle judiciaire. À mon avis, ce ne saurait être le cas. Même lorsque l’objectif de l’État (comme en l’espèce) revêt une grande importance, l’État ne doit pas empiéter dans la sphère protégée de l’individu davantage que ne le justifie raisonnablement cet objectif, ni le faire en l’absence de garanties appropriées susceptibles de donner lieu à un contrôle judiciaire. Je le répète, ce qui constitue une surveillance judiciaire adéquate peut varier selon la nature du régime et d’autres facteurs. Il n’est parfois pas nécessaire d’obtenir un mandat. Et un mécanisme d’appel administratif soumis au contrôle judiciaire peut suffire dans le cas des régimes réglementaires : voir, p. ex., </w:t>
      </w:r>
      <w:r w:rsidRPr="00BA0FC8">
        <w:rPr>
          <w:rFonts w:cs="Times New Roman"/>
          <w:i/>
          <w:lang w:val="fr-CA"/>
        </w:rPr>
        <w:t>McKinlay Transport</w:t>
      </w:r>
      <w:r w:rsidR="00830F68">
        <w:rPr>
          <w:rFonts w:cs="Times New Roman"/>
          <w:i/>
          <w:lang w:val="fr-CA"/>
        </w:rPr>
        <w:t xml:space="preserve"> Ltd.</w:t>
      </w:r>
      <w:r w:rsidRPr="00BA0FC8">
        <w:rPr>
          <w:rFonts w:cs="Times New Roman"/>
          <w:lang w:val="fr-CA"/>
        </w:rPr>
        <w:t xml:space="preserve"> et </w:t>
      </w:r>
      <w:r w:rsidRPr="00BA0FC8">
        <w:rPr>
          <w:rFonts w:cs="Times New Roman"/>
          <w:i/>
          <w:lang w:val="fr-CA"/>
        </w:rPr>
        <w:t>Branch.</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 xml:space="preserve">La mise en balance pose un autre problème : elle risque de mettre indûment l’accent sur la gravité de l’atteinte par la fouille, perquisition ou saisie au droit de l’individu à la vie privée, vue sous l’angle de la mesure dans laquelle la chose recherchée ou saisie est « secrète » ou cachée. En conséquence, il peut être plus facile de justifier la fouille et la saisie de quelque chose qui n’est pas secret au motif que l’attente en matière de </w:t>
      </w:r>
      <w:r>
        <w:rPr>
          <w:rFonts w:cs="Times New Roman"/>
          <w:lang w:val="fr-CA"/>
        </w:rPr>
        <w:t>« </w:t>
      </w:r>
      <w:r w:rsidRPr="00BA0FC8">
        <w:rPr>
          <w:rFonts w:cs="Times New Roman"/>
          <w:lang w:val="fr-CA"/>
        </w:rPr>
        <w:t>vie privée</w:t>
      </w:r>
      <w:r>
        <w:rPr>
          <w:rFonts w:cs="Times New Roman"/>
          <w:lang w:val="fr-CA"/>
        </w:rPr>
        <w:t> »</w:t>
      </w:r>
      <w:r w:rsidRPr="00BA0FC8">
        <w:rPr>
          <w:rFonts w:cs="Times New Roman"/>
          <w:lang w:val="fr-CA"/>
        </w:rPr>
        <w:t xml:space="preserve"> est faible et que l’atteinte de l’État est de ce fait minimale. Le droit à la vie privée ne doit pas s’entendre au sens strict du secret ou de ce qu’autrui ignore. </w:t>
      </w:r>
      <w:r>
        <w:rPr>
          <w:rFonts w:cs="Times New Roman"/>
          <w:lang w:val="fr-CA"/>
        </w:rPr>
        <w:t>Il</w:t>
      </w:r>
      <w:r w:rsidRPr="00BA0FC8">
        <w:rPr>
          <w:rFonts w:cs="Times New Roman"/>
          <w:lang w:val="fr-CA"/>
        </w:rPr>
        <w:t xml:space="preserve"> doit plutôt s’entendre au sens de ce qui appartient à la sphère privée de l’individu dans laquelle ce dernier s’attend raisonnablement à être à l’abri de l’intrusion de l’État en l’absence d’un objectif supérieur de celui</w:t>
      </w:r>
      <w:r w:rsidRPr="00BA0FC8">
        <w:rPr>
          <w:rFonts w:cs="Times New Roman"/>
          <w:lang w:val="fr-CA"/>
        </w:rPr>
        <w:noBreakHyphen/>
        <w:t xml:space="preserve">ci et de garanties juridiques : voir, p. ex., </w:t>
      </w:r>
      <w:r w:rsidRPr="00BA0FC8">
        <w:rPr>
          <w:rFonts w:cs="Times New Roman"/>
          <w:i/>
          <w:lang w:val="fr-CA"/>
        </w:rPr>
        <w:t>Dyment</w:t>
      </w:r>
      <w:r w:rsidRPr="00BA0FC8">
        <w:rPr>
          <w:rFonts w:cs="Times New Roman"/>
          <w:lang w:val="fr-CA"/>
        </w:rPr>
        <w:t>, p. 427</w:t>
      </w:r>
      <w:r w:rsidRPr="00BA0FC8">
        <w:rPr>
          <w:rFonts w:cs="Times New Roman"/>
          <w:lang w:val="fr-CA"/>
        </w:rPr>
        <w:noBreakHyphen/>
        <w:t>429 et 431</w:t>
      </w:r>
      <w:r w:rsidRPr="00BA0FC8">
        <w:rPr>
          <w:rFonts w:cs="Times New Roman"/>
          <w:lang w:val="fr-CA"/>
        </w:rPr>
        <w:noBreakHyphen/>
        <w:t xml:space="preserve">435. Comme je l’ai déjà mentionné, cette sphère privée comporte trois dimensions : la personne, l’information (y compris </w:t>
      </w:r>
      <w:r w:rsidRPr="00BA0FC8">
        <w:rPr>
          <w:rFonts w:cs="Times New Roman"/>
          <w:lang w:val="fr-CA"/>
        </w:rPr>
        <w:lastRenderedPageBreak/>
        <w:t xml:space="preserve">l’anonymat, voir </w:t>
      </w:r>
      <w:r w:rsidRPr="00BA0FC8">
        <w:rPr>
          <w:rFonts w:cs="Times New Roman"/>
          <w:i/>
          <w:lang w:val="fr-CA"/>
        </w:rPr>
        <w:t>Spencer</w:t>
      </w:r>
      <w:r w:rsidRPr="00BA0FC8">
        <w:rPr>
          <w:rFonts w:cs="Times New Roman"/>
          <w:lang w:val="fr-CA"/>
        </w:rPr>
        <w:t>,</w:t>
      </w:r>
      <w:r w:rsidRPr="00BA0FC8">
        <w:rPr>
          <w:rFonts w:cs="Times New Roman"/>
          <w:i/>
          <w:lang w:val="fr-CA"/>
        </w:rPr>
        <w:t xml:space="preserve"> </w:t>
      </w:r>
      <w:r w:rsidRPr="00BA0FC8">
        <w:rPr>
          <w:rFonts w:cs="Times New Roman"/>
          <w:lang w:val="fr-CA"/>
        </w:rPr>
        <w:t>par. 35 et 38) et les lieux.</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En l’espèce, les demandeurs attaquent la loi qui autorise la fouille, la perquisition et la saisie en la qualifiant d’abusive sur le plan constitutionnel au sens de l’art. 8. Je ne saurais être d’accord.</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J’estime que les trois conditions d’une fouille, d’une perquisition ou d’une saisie raisonnable sont toutes réunies en l’espèce. L’objectif de l’État — prévenir les décès et les blessures graves imputables à la conduite avec facultés affaiblies — est important et susceptible de justifier l’intrusion dans la sphère privée des substances corporelles de l’individu. À ce stade, le plus grand défi auquel fait face l’État est que le régime permet aux policiers de prélever des échantillons d’haleine</w:t>
      </w:r>
      <w:r>
        <w:rPr>
          <w:rFonts w:cs="Times New Roman"/>
          <w:lang w:val="fr-CA"/>
        </w:rPr>
        <w:t xml:space="preserve"> </w:t>
      </w:r>
      <w:r w:rsidRPr="00BA0FC8">
        <w:rPr>
          <w:rFonts w:cs="Times New Roman"/>
          <w:lang w:val="fr-CA"/>
        </w:rPr>
        <w:t xml:space="preserve">sans avoir des motifs raisonnables de croire ou même soupçonner que les facultés du conducteur sont affaiblies au point de nuire à sa conduite. La Province a toutefois produit une preuve convaincante selon laquelle le fait d’exiger la présence de tels motifs contrecarrerait l’objectif de prévenir les décès et les blessures causés par la conduite avec facultés affaiblies, et les tests de routine sont nécessaires pour atteindre l’objectif du régime administratif. </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La deuxième condition est également réunie. La saisie ne va pas au</w:t>
      </w:r>
      <w:r w:rsidRPr="00BA0FC8">
        <w:rPr>
          <w:rFonts w:cs="Times New Roman"/>
          <w:lang w:val="fr-CA"/>
        </w:rPr>
        <w:noBreakHyphen/>
        <w:t>delà de ce qui est raisonnablement nécessaire pour atteindre l’objectif de l’État. Dans</w:t>
      </w:r>
      <w:r w:rsidRPr="00BA0FC8">
        <w:rPr>
          <w:rFonts w:cs="Times New Roman"/>
          <w:i/>
          <w:lang w:val="fr-CA"/>
        </w:rPr>
        <w:t xml:space="preserve"> McKinlay Transport</w:t>
      </w:r>
      <w:r w:rsidR="00326F81">
        <w:rPr>
          <w:rFonts w:cs="Times New Roman"/>
          <w:i/>
          <w:lang w:val="fr-CA"/>
        </w:rPr>
        <w:t xml:space="preserve"> Ltd.</w:t>
      </w:r>
      <w:r w:rsidRPr="00326F81">
        <w:rPr>
          <w:rFonts w:cs="Times New Roman"/>
          <w:lang w:val="fr-CA"/>
        </w:rPr>
        <w:t xml:space="preserve">, </w:t>
      </w:r>
      <w:r w:rsidRPr="00BA0FC8">
        <w:rPr>
          <w:rFonts w:cs="Times New Roman"/>
          <w:lang w:val="fr-CA"/>
        </w:rPr>
        <w:t xml:space="preserve">la Cour, par l’entremise de la juge Wilson, a jugé que la production obligatoire de documents portait atteinte de façon minimale aux droits à la vie privée parce que le régime de réglementation des valeurs mobilières en cause était de nature </w:t>
      </w:r>
      <w:r w:rsidRPr="00BA0FC8">
        <w:rPr>
          <w:rFonts w:cs="Times New Roman"/>
          <w:lang w:val="fr-CA"/>
        </w:rPr>
        <w:lastRenderedPageBreak/>
        <w:t>réglementaire plutôt que criminelle et que ce secteur était fortement réglementé, ce qui a pour effet de réduire l’attente en matière de vie privée de la personne qui y œuvre. On peut dire la même chose en l’espèce. Le régime est de nature réglementaire, non criminelle. De plus, la conduite sur les routes est fortement réglementée et occupe une grande place dans l’application des règles de sécurité routière. Qui plus est, l’obtention d’un échantillon d’haleine lors d’un contrôle routier est moins envahissante que les solutions de rechange, telles que contraindre un conducteur à fournir un échantillon d’haleine au poste de police ou prélever un échantillon de sang.</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 xml:space="preserve">Le troisième élément est le plus problématique. La question est de savoir s’il est possible de recourir à la surveillance judiciaire. On soutient que le contrôle est inadéquat car le régime n’offre pas les garanties du </w:t>
      </w:r>
      <w:r w:rsidRPr="00BA0FC8">
        <w:rPr>
          <w:rFonts w:cs="Times New Roman"/>
          <w:i/>
          <w:lang w:val="fr-CA"/>
        </w:rPr>
        <w:t xml:space="preserve">Code criminel </w:t>
      </w:r>
      <w:r w:rsidRPr="00BA0FC8">
        <w:rPr>
          <w:rFonts w:cs="Times New Roman"/>
          <w:lang w:val="fr-CA"/>
        </w:rPr>
        <w:t xml:space="preserve">assurant l’exactitude des résultats — en l’occurrence un test subséquent administré au poste de police avec un appareil plus précis — et il peut être difficile pour une personne de contester un résultat inexact enregistré par l’alcootest. Le conducteur peut cependant demander qu’un deuxième test soit effectué à l’aide d’un autre appareil lors du contrôle routier : </w:t>
      </w:r>
      <w:r w:rsidRPr="00BA0FC8">
        <w:rPr>
          <w:rFonts w:cs="Times New Roman"/>
          <w:i/>
          <w:lang w:val="fr-CA"/>
        </w:rPr>
        <w:t>Motor Vehicle Act</w:t>
      </w:r>
      <w:r w:rsidRPr="00BA0FC8">
        <w:rPr>
          <w:rFonts w:cs="Times New Roman"/>
          <w:lang w:val="fr-CA"/>
        </w:rPr>
        <w:t>, R.S.B.C. 1996, c. 318, par. 215.42(1) et (2)</w:t>
      </w:r>
      <w:r w:rsidRPr="00BA0FC8">
        <w:rPr>
          <w:rFonts w:cs="Times New Roman"/>
          <w:i/>
          <w:lang w:val="fr-CA"/>
        </w:rPr>
        <w:t>.</w:t>
      </w:r>
      <w:r w:rsidRPr="00BA0FC8">
        <w:rPr>
          <w:rFonts w:cs="Times New Roman"/>
          <w:lang w:val="fr-CA"/>
        </w:rPr>
        <w:t xml:space="preserve"> Il peut aussi demander que le </w:t>
      </w:r>
      <w:r>
        <w:rPr>
          <w:rFonts w:cs="Times New Roman"/>
          <w:lang w:val="fr-CA"/>
        </w:rPr>
        <w:t>Superintendent of Motor Vehicles (« Surintendant »)</w:t>
      </w:r>
      <w:r w:rsidRPr="00BA0FC8">
        <w:rPr>
          <w:rFonts w:cs="Times New Roman"/>
          <w:lang w:val="fr-CA"/>
        </w:rPr>
        <w:t xml:space="preserve"> révise une suspension et présenter des déclarations et autres éléments de preuve à l’appui de sa demande : </w:t>
      </w:r>
      <w:r w:rsidRPr="00BA0FC8">
        <w:rPr>
          <w:rFonts w:cs="Times New Roman"/>
          <w:i/>
          <w:lang w:val="fr-CA"/>
        </w:rPr>
        <w:t>ibid.</w:t>
      </w:r>
      <w:r w:rsidRPr="00BA0FC8">
        <w:rPr>
          <w:rFonts w:cs="Times New Roman"/>
          <w:lang w:val="fr-CA"/>
        </w:rPr>
        <w:t xml:space="preserve">, art. 215.48 et 215.49. La décision du </w:t>
      </w:r>
      <w:r>
        <w:rPr>
          <w:rFonts w:cs="Times New Roman"/>
          <w:lang w:val="fr-CA"/>
        </w:rPr>
        <w:t>S</w:t>
      </w:r>
      <w:r w:rsidRPr="00BA0FC8">
        <w:rPr>
          <w:rFonts w:cs="Times New Roman"/>
          <w:lang w:val="fr-CA"/>
        </w:rPr>
        <w:t xml:space="preserve">urintendant peut être soumise à la surveillance des tribunaux par voie de contrôle judiciaire. En outre, si, malgré l’échec au test, le policier n’a pas de motifs raisonnables de croire que les facultés du conducteur sont affaiblies, il ne lui impose pas de sanction : </w:t>
      </w:r>
      <w:r w:rsidRPr="00BA0FC8">
        <w:rPr>
          <w:rFonts w:cs="Times New Roman"/>
          <w:i/>
          <w:lang w:val="fr-CA"/>
        </w:rPr>
        <w:t>ibid</w:t>
      </w:r>
      <w:r w:rsidRPr="00BA0FC8">
        <w:rPr>
          <w:rFonts w:cs="Times New Roman"/>
          <w:lang w:val="fr-CA"/>
        </w:rPr>
        <w:t>., par. 215.41(3)</w:t>
      </w:r>
      <w:r w:rsidRPr="00BA0FC8">
        <w:rPr>
          <w:rFonts w:cs="Times New Roman"/>
          <w:i/>
          <w:lang w:val="fr-CA"/>
        </w:rPr>
        <w:t xml:space="preserve">. </w:t>
      </w:r>
      <w:r w:rsidRPr="00BA0FC8">
        <w:rPr>
          <w:rFonts w:cs="Times New Roman"/>
          <w:lang w:val="fr-CA"/>
        </w:rPr>
        <w:t xml:space="preserve">Ce pourrait être le cas, par exemple, si le policier a des doutes au sujet de l’exactitude, de la fiabilité ou du </w:t>
      </w:r>
      <w:r w:rsidRPr="00BA0FC8">
        <w:rPr>
          <w:rFonts w:cs="Times New Roman"/>
          <w:lang w:val="fr-CA"/>
        </w:rPr>
        <w:lastRenderedPageBreak/>
        <w:t xml:space="preserve">fonctionnement de l’appareil ou de tout autre aspect du processus d’analyse : </w:t>
      </w:r>
      <w:r w:rsidRPr="00BA0FC8">
        <w:rPr>
          <w:rFonts w:cs="Times New Roman"/>
          <w:i/>
          <w:lang w:val="fr-CA"/>
        </w:rPr>
        <w:t>Wilson c. Colombie</w:t>
      </w:r>
      <w:r w:rsidRPr="00BA0FC8">
        <w:rPr>
          <w:rFonts w:cs="Times New Roman"/>
          <w:i/>
          <w:lang w:val="fr-CA"/>
        </w:rPr>
        <w:noBreakHyphen/>
        <w:t>Britannique (Superintendent of Motor Vehicles)</w:t>
      </w:r>
      <w:r w:rsidRPr="00BA0FC8">
        <w:rPr>
          <w:rFonts w:cs="Times New Roman"/>
          <w:lang w:val="fr-CA"/>
        </w:rPr>
        <w:t xml:space="preserve">, 2015 CSC 47, </w:t>
      </w:r>
      <w:r w:rsidR="00326F81">
        <w:rPr>
          <w:rFonts w:cs="Times New Roman"/>
          <w:lang w:val="fr-CA"/>
        </w:rPr>
        <w:t xml:space="preserve">[2015] 3 R.C.S. </w:t>
      </w:r>
      <w:r w:rsidR="003341E9">
        <w:rPr>
          <w:rFonts w:cs="Times New Roman"/>
          <w:lang w:val="fr-CA"/>
        </w:rPr>
        <w:t>300</w:t>
      </w:r>
      <w:r w:rsidR="00326F81">
        <w:rPr>
          <w:rFonts w:cs="Times New Roman"/>
          <w:lang w:val="fr-CA"/>
        </w:rPr>
        <w:t xml:space="preserve">, </w:t>
      </w:r>
      <w:r w:rsidRPr="00BA0FC8">
        <w:rPr>
          <w:rFonts w:cs="Times New Roman"/>
          <w:lang w:val="fr-CA"/>
        </w:rPr>
        <w:t xml:space="preserve">par. 29. </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 xml:space="preserve">Bien que la manière de procéder à la fouille n’ait pas été contestée en l’espèce, elle est évidemment sujette à un examen de sa constitutionnalité. Au stade du contrôle, le conducteur peut remettre en question le caractère raisonnable de la fouille en vertu de l’art. 8 et il est loisible au </w:t>
      </w:r>
      <w:r>
        <w:rPr>
          <w:rFonts w:cs="Times New Roman"/>
          <w:lang w:val="fr-CA"/>
        </w:rPr>
        <w:t>S</w:t>
      </w:r>
      <w:r w:rsidRPr="00BA0FC8">
        <w:rPr>
          <w:rFonts w:cs="Times New Roman"/>
          <w:lang w:val="fr-CA"/>
        </w:rPr>
        <w:t xml:space="preserve">urintendant d’écarter la preuve au titre du par. 24(2) dans les cas où cela est justifié : voir </w:t>
      </w:r>
      <w:r w:rsidRPr="00BA0FC8">
        <w:rPr>
          <w:rFonts w:cs="Times New Roman"/>
          <w:i/>
          <w:lang w:val="fr-CA"/>
        </w:rPr>
        <w:t>R. c. Conway</w:t>
      </w:r>
      <w:r w:rsidRPr="00BA0FC8">
        <w:rPr>
          <w:rFonts w:cs="Times New Roman"/>
          <w:lang w:val="fr-CA"/>
        </w:rPr>
        <w:t>, 2010 CSC 22, [2010] 1 R.C.S. 765.</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 xml:space="preserve">Au bout du compte, les différences entre les dispositions du </w:t>
      </w:r>
      <w:r w:rsidRPr="00BA0FC8">
        <w:rPr>
          <w:rFonts w:cs="Times New Roman"/>
          <w:i/>
          <w:lang w:val="fr-CA"/>
        </w:rPr>
        <w:t>Code criminel</w:t>
      </w:r>
      <w:r w:rsidRPr="00BA0FC8">
        <w:rPr>
          <w:rFonts w:cs="Times New Roman"/>
          <w:lang w:val="fr-CA"/>
        </w:rPr>
        <w:t xml:space="preserve"> relatives au contrôle judiciaire et le régime provincial de suspension imposée lors d’un contrôle routier en litige dans la présente affaire traduisent le fait que les dispositions du </w:t>
      </w:r>
      <w:r w:rsidRPr="00BA0FC8">
        <w:rPr>
          <w:rFonts w:cs="Times New Roman"/>
          <w:i/>
          <w:lang w:val="fr-CA"/>
        </w:rPr>
        <w:t xml:space="preserve">Code criminel </w:t>
      </w:r>
      <w:r w:rsidRPr="00BA0FC8">
        <w:rPr>
          <w:rFonts w:cs="Times New Roman"/>
          <w:lang w:val="fr-CA"/>
        </w:rPr>
        <w:t>sont de nature pénale, tandis que celles sur la suspension imposée lors d’un contrôle routier sont de nature réglementaire. Le caractère administratif du régime ainsi que la nature des droits du conducteur en jeu justifient la nature administrative du contrôle, tout comme les dispositions moins strictes visant à assurer l’exactitude de l’échantillon. (Si les sanctions prévues par un régime administratif étaient plus sévères, par exemple si l’atteinte elle</w:t>
      </w:r>
      <w:r w:rsidRPr="00BA0FC8">
        <w:rPr>
          <w:rFonts w:cs="Times New Roman"/>
          <w:lang w:val="fr-CA"/>
        </w:rPr>
        <w:noBreakHyphen/>
        <w:t xml:space="preserve">même faisait intervenir un droit garanti par la </w:t>
      </w:r>
      <w:r w:rsidRPr="00BA0FC8">
        <w:rPr>
          <w:rFonts w:cs="Times New Roman"/>
          <w:i/>
          <w:lang w:val="fr-CA"/>
        </w:rPr>
        <w:t>Charte</w:t>
      </w:r>
      <w:r w:rsidRPr="00BA0FC8">
        <w:rPr>
          <w:rFonts w:cs="Times New Roman"/>
          <w:lang w:val="fr-CA"/>
        </w:rPr>
        <w:t xml:space="preserve">, l’art. 8 pourrait exiger une surveillance judiciaire plus directe. Nous ne sommes toutefois pas en présence d’une telle situation.) La question fondamentale est de savoir si les dispositions du régime de suspension en matière de révision offrent une protection raisonnable contre l’exercice abusif du pouvoir de l’État </w:t>
      </w:r>
      <w:r w:rsidRPr="00BA0FC8">
        <w:rPr>
          <w:rFonts w:cs="Times New Roman"/>
          <w:lang w:val="fr-CA"/>
        </w:rPr>
        <w:lastRenderedPageBreak/>
        <w:t>d’empiéter dans la sphère privée de l’individu, eu égard à la nature du régime et aux droits à la vie privée en jeu. J’estime qu’il faut y répondre par l’affirmative.</w:t>
      </w:r>
    </w:p>
    <w:p w:rsidR="00065721" w:rsidRPr="00BA0FC8" w:rsidRDefault="00065721" w:rsidP="00926B45">
      <w:pPr>
        <w:pStyle w:val="ParaNoNdepar-AltN"/>
        <w:widowControl w:val="0"/>
        <w:tabs>
          <w:tab w:val="clear" w:pos="1166"/>
          <w:tab w:val="num" w:pos="1152"/>
        </w:tabs>
        <w:rPr>
          <w:rFonts w:cs="Times New Roman"/>
          <w:lang w:val="fr-CA"/>
        </w:rPr>
      </w:pPr>
      <w:r w:rsidRPr="00BA0FC8">
        <w:rPr>
          <w:rFonts w:cs="Times New Roman"/>
          <w:lang w:val="fr-CA"/>
        </w:rPr>
        <w:t>Je suis donc d’avis d’accueillir le pourvoi de la Colombie</w:t>
      </w:r>
      <w:r w:rsidRPr="00BA0FC8">
        <w:rPr>
          <w:rFonts w:cs="Times New Roman"/>
          <w:lang w:val="fr-CA"/>
        </w:rPr>
        <w:noBreakHyphen/>
        <w:t>Britannique (</w:t>
      </w:r>
      <w:r>
        <w:rPr>
          <w:rFonts w:cs="Times New Roman"/>
          <w:lang w:val="fr-CA"/>
        </w:rPr>
        <w:t>S</w:t>
      </w:r>
      <w:r w:rsidRPr="00BA0FC8">
        <w:rPr>
          <w:rFonts w:cs="Times New Roman"/>
          <w:lang w:val="fr-CA"/>
        </w:rPr>
        <w:t>u</w:t>
      </w:r>
      <w:r>
        <w:rPr>
          <w:rFonts w:cs="Times New Roman"/>
          <w:lang w:val="fr-CA"/>
        </w:rPr>
        <w:t>per</w:t>
      </w:r>
      <w:r w:rsidRPr="00BA0FC8">
        <w:rPr>
          <w:rFonts w:cs="Times New Roman"/>
          <w:lang w:val="fr-CA"/>
        </w:rPr>
        <w:t>intend</w:t>
      </w:r>
      <w:r>
        <w:rPr>
          <w:rFonts w:cs="Times New Roman"/>
          <w:lang w:val="fr-CA"/>
        </w:rPr>
        <w:t>e</w:t>
      </w:r>
      <w:r w:rsidRPr="00BA0FC8">
        <w:rPr>
          <w:rFonts w:cs="Times New Roman"/>
          <w:lang w:val="fr-CA"/>
        </w:rPr>
        <w:t xml:space="preserve">nt </w:t>
      </w:r>
      <w:r>
        <w:rPr>
          <w:rFonts w:cs="Times New Roman"/>
          <w:lang w:val="fr-CA"/>
        </w:rPr>
        <w:t>of Motor Vehicles</w:t>
      </w:r>
      <w:r w:rsidRPr="00BA0FC8">
        <w:rPr>
          <w:rFonts w:cs="Times New Roman"/>
          <w:lang w:val="fr-CA"/>
        </w:rPr>
        <w:t xml:space="preserve">) et du procureur général de cette province. </w:t>
      </w:r>
    </w:p>
    <w:p w:rsidR="004D7D95" w:rsidRPr="004E75DE" w:rsidRDefault="004D7D95" w:rsidP="00926B45">
      <w:pPr>
        <w:pStyle w:val="SCCNormalDoubleSpacing"/>
        <w:widowControl w:val="0"/>
        <w:spacing w:after="480"/>
        <w:rPr>
          <w:lang w:val="fr-CA"/>
        </w:rPr>
      </w:pPr>
      <w:r w:rsidRPr="004E75DE">
        <w:rPr>
          <w:lang w:val="fr-CA"/>
        </w:rPr>
        <w:tab/>
      </w:r>
      <w:r w:rsidR="005F706D" w:rsidRPr="004E75DE">
        <w:rPr>
          <w:i/>
          <w:lang w:val="fr-CA"/>
        </w:rPr>
        <w:t xml:space="preserve">Pourvois </w:t>
      </w:r>
      <w:r w:rsidR="00AE216E" w:rsidRPr="004E75DE">
        <w:rPr>
          <w:i/>
          <w:lang w:val="fr-CA"/>
        </w:rPr>
        <w:t xml:space="preserve">rejetés, la juge en chef </w:t>
      </w:r>
      <w:r w:rsidR="00AE216E" w:rsidRPr="004E75DE">
        <w:rPr>
          <w:smallCaps/>
          <w:lang w:val="fr-CA"/>
        </w:rPr>
        <w:t>McLachlin</w:t>
      </w:r>
      <w:r w:rsidR="00AE216E" w:rsidRPr="004E75DE">
        <w:rPr>
          <w:i/>
          <w:lang w:val="fr-CA"/>
        </w:rPr>
        <w:t xml:space="preserve"> est dissidente en partie</w:t>
      </w:r>
      <w:r w:rsidR="005F706D" w:rsidRPr="004E75DE">
        <w:rPr>
          <w:i/>
          <w:lang w:val="fr-CA"/>
        </w:rPr>
        <w:t>.</w:t>
      </w:r>
    </w:p>
    <w:p w:rsidR="00172DB1" w:rsidRPr="004E75DE" w:rsidRDefault="005F706D" w:rsidP="00926B45">
      <w:pPr>
        <w:pStyle w:val="SCCLawFirm"/>
        <w:widowControl w:val="0"/>
        <w:spacing w:after="480"/>
        <w:rPr>
          <w:lang w:val="fr-CA"/>
        </w:rPr>
      </w:pPr>
      <w:r w:rsidRPr="004E75DE">
        <w:rPr>
          <w:lang w:val="fr-CA"/>
        </w:rPr>
        <w:tab/>
      </w:r>
      <w:r w:rsidR="00172DB1" w:rsidRPr="004E75DE">
        <w:rPr>
          <w:lang w:val="fr-CA"/>
        </w:rPr>
        <w:t>Procureurs de l</w:t>
      </w:r>
      <w:r w:rsidR="00AE5E90">
        <w:rPr>
          <w:lang w:val="fr-CA"/>
        </w:rPr>
        <w:t>’</w:t>
      </w:r>
      <w:r w:rsidR="00172DB1" w:rsidRPr="004E75DE">
        <w:rPr>
          <w:lang w:val="fr-CA"/>
        </w:rPr>
        <w:t>appelant/intimé Richard James Goodwin</w:t>
      </w:r>
      <w:r w:rsidR="00AE5E90">
        <w:rPr>
          <w:lang w:val="fr-CA"/>
        </w:rPr>
        <w:t> :</w:t>
      </w:r>
      <w:r w:rsidR="00385BBC" w:rsidRPr="004E75DE">
        <w:rPr>
          <w:lang w:val="fr-CA"/>
        </w:rPr>
        <w:t> </w:t>
      </w:r>
      <w:r w:rsidR="00172DB1" w:rsidRPr="004E75DE">
        <w:rPr>
          <w:lang w:val="fr-CA"/>
        </w:rPr>
        <w:t>Gudmundseth Mickelson, Vancouver.</w:t>
      </w:r>
    </w:p>
    <w:p w:rsidR="00172DB1" w:rsidRPr="004E75DE" w:rsidRDefault="00172DB1" w:rsidP="00926B45">
      <w:pPr>
        <w:pStyle w:val="SCCLawFirm"/>
        <w:widowControl w:val="0"/>
        <w:spacing w:after="480"/>
        <w:rPr>
          <w:lang w:val="fr-CA"/>
        </w:rPr>
      </w:pPr>
      <w:r w:rsidRPr="004E75DE">
        <w:rPr>
          <w:lang w:val="fr-CA"/>
        </w:rPr>
        <w:tab/>
        <w:t xml:space="preserve">Procureur des </w:t>
      </w:r>
      <w:r w:rsidRPr="004E75DE">
        <w:rPr>
          <w:rStyle w:val="SCCCounselPartyRoleChar"/>
          <w:lang w:val="fr-CA"/>
        </w:rPr>
        <w:t>appelants/intimés Colombie</w:t>
      </w:r>
      <w:r w:rsidR="00AE5E90">
        <w:rPr>
          <w:rStyle w:val="SCCCounselPartyRoleChar"/>
          <w:lang w:val="fr-CA"/>
        </w:rPr>
        <w:noBreakHyphen/>
      </w:r>
      <w:r w:rsidRPr="004E75DE">
        <w:rPr>
          <w:rStyle w:val="SCCCounselPartyRoleChar"/>
          <w:lang w:val="fr-CA"/>
        </w:rPr>
        <w:t xml:space="preserve">Britannique </w:t>
      </w:r>
      <w:r w:rsidR="00E45644">
        <w:rPr>
          <w:rStyle w:val="SCCCounselPartyRoleChar"/>
          <w:lang w:val="fr-CA"/>
        </w:rPr>
        <w:t>(</w:t>
      </w:r>
      <w:r w:rsidR="00E45644" w:rsidRPr="004E75DE">
        <w:rPr>
          <w:rStyle w:val="SCCCounselPartyRoleChar"/>
          <w:lang w:val="fr-CA"/>
        </w:rPr>
        <w:t>Superintendent of Motor Vehicles</w:t>
      </w:r>
      <w:r w:rsidR="00E45644">
        <w:rPr>
          <w:rStyle w:val="SCCCounselPartyRoleChar"/>
          <w:lang w:val="fr-CA"/>
        </w:rPr>
        <w:t>)</w:t>
      </w:r>
      <w:r w:rsidR="00E45644" w:rsidRPr="004E75DE">
        <w:rPr>
          <w:rStyle w:val="SCCCounselPartyRoleChar"/>
          <w:lang w:val="fr-CA"/>
        </w:rPr>
        <w:t xml:space="preserve"> </w:t>
      </w:r>
      <w:r w:rsidRPr="004E75DE">
        <w:rPr>
          <w:rStyle w:val="SCCCounselPartyRoleChar"/>
          <w:lang w:val="fr-CA"/>
        </w:rPr>
        <w:t>et le procureur général de la Colombie</w:t>
      </w:r>
      <w:r w:rsidR="00AE5E90">
        <w:rPr>
          <w:rStyle w:val="SCCCounselPartyRoleChar"/>
          <w:lang w:val="fr-CA"/>
        </w:rPr>
        <w:noBreakHyphen/>
      </w:r>
      <w:r w:rsidRPr="004E75DE">
        <w:rPr>
          <w:rStyle w:val="SCCCounselPartyRoleChar"/>
          <w:lang w:val="fr-CA"/>
        </w:rPr>
        <w:t>Britannique</w:t>
      </w:r>
      <w:r w:rsidR="00AE5E90">
        <w:rPr>
          <w:lang w:val="fr-CA"/>
        </w:rPr>
        <w:t> :</w:t>
      </w:r>
      <w:r w:rsidR="00385BBC" w:rsidRPr="004E75DE">
        <w:rPr>
          <w:lang w:val="fr-CA"/>
        </w:rPr>
        <w:t> </w:t>
      </w:r>
      <w:r w:rsidRPr="004E75DE">
        <w:rPr>
          <w:rStyle w:val="SCCCounselPartyRoleChar"/>
          <w:lang w:val="fr-CA"/>
        </w:rPr>
        <w:t>Procureur général de la Colombie</w:t>
      </w:r>
      <w:r w:rsidR="00AE5E90">
        <w:rPr>
          <w:rStyle w:val="SCCCounselPartyRoleChar"/>
          <w:lang w:val="fr-CA"/>
        </w:rPr>
        <w:noBreakHyphen/>
      </w:r>
      <w:r w:rsidRPr="004E75DE">
        <w:rPr>
          <w:rStyle w:val="SCCCounselPartyRoleChar"/>
          <w:lang w:val="fr-CA"/>
        </w:rPr>
        <w:t>Britannique</w:t>
      </w:r>
      <w:r w:rsidRPr="004E75DE">
        <w:rPr>
          <w:lang w:val="fr-CA"/>
        </w:rPr>
        <w:t>, Victoria.</w:t>
      </w:r>
    </w:p>
    <w:p w:rsidR="00172DB1" w:rsidRPr="004E75DE" w:rsidRDefault="00172DB1" w:rsidP="00926B45">
      <w:pPr>
        <w:pStyle w:val="SCCLawFirm"/>
        <w:widowControl w:val="0"/>
        <w:spacing w:after="480"/>
        <w:rPr>
          <w:lang w:val="fr-CA"/>
        </w:rPr>
      </w:pPr>
      <w:r w:rsidRPr="004E75DE">
        <w:rPr>
          <w:lang w:val="fr-CA"/>
        </w:rPr>
        <w:tab/>
        <w:t xml:space="preserve">Procureurs des </w:t>
      </w:r>
      <w:r w:rsidRPr="004E75DE">
        <w:rPr>
          <w:rStyle w:val="SCCCounselPartyRoleChar"/>
          <w:lang w:val="fr-CA"/>
        </w:rPr>
        <w:t xml:space="preserve">intimés </w:t>
      </w:r>
      <w:r w:rsidRPr="004E75DE">
        <w:rPr>
          <w:lang w:val="fr-CA"/>
        </w:rPr>
        <w:t>Jamie Allen Chisholm, Scott Roberts et Carol Marion Beam</w:t>
      </w:r>
      <w:r w:rsidR="00AE5E90">
        <w:rPr>
          <w:lang w:val="fr-CA"/>
        </w:rPr>
        <w:t> :</w:t>
      </w:r>
      <w:r w:rsidR="00385BBC" w:rsidRPr="004E75DE">
        <w:rPr>
          <w:lang w:val="fr-CA"/>
        </w:rPr>
        <w:t> </w:t>
      </w:r>
      <w:r w:rsidRPr="004E75DE">
        <w:rPr>
          <w:lang w:val="fr-CA"/>
        </w:rPr>
        <w:t>Gudmundseth Mickelson, Vancouver; Carr Buchan &amp; Company, Victoria.</w:t>
      </w:r>
    </w:p>
    <w:p w:rsidR="00172DB1" w:rsidRPr="004E75DE" w:rsidRDefault="00172DB1" w:rsidP="00926B45">
      <w:pPr>
        <w:pStyle w:val="SCCLawFirm"/>
        <w:widowControl w:val="0"/>
        <w:spacing w:after="480"/>
        <w:rPr>
          <w:lang w:val="fr-CA"/>
        </w:rPr>
      </w:pPr>
      <w:r w:rsidRPr="004E75DE">
        <w:rPr>
          <w:lang w:val="fr-CA"/>
        </w:rPr>
        <w:tab/>
        <w:t>Procureur de l</w:t>
      </w:r>
      <w:r w:rsidR="00AE5E90">
        <w:rPr>
          <w:lang w:val="fr-CA"/>
        </w:rPr>
        <w:t>’</w:t>
      </w:r>
      <w:r w:rsidRPr="004E75DE">
        <w:rPr>
          <w:lang w:val="fr-CA"/>
        </w:rPr>
        <w:t>intervenant le procureur général du Canada</w:t>
      </w:r>
      <w:r w:rsidR="00AE5E90">
        <w:rPr>
          <w:lang w:val="fr-CA"/>
        </w:rPr>
        <w:t> :</w:t>
      </w:r>
      <w:r w:rsidR="00385BBC" w:rsidRPr="004E75DE">
        <w:rPr>
          <w:lang w:val="fr-CA"/>
        </w:rPr>
        <w:t> </w:t>
      </w:r>
      <w:r w:rsidRPr="004E75DE">
        <w:rPr>
          <w:lang w:val="fr-CA"/>
        </w:rPr>
        <w:t>Procureur général du Canada, Toronto.</w:t>
      </w:r>
    </w:p>
    <w:p w:rsidR="00172DB1" w:rsidRPr="004E75DE" w:rsidRDefault="00172DB1" w:rsidP="00926B45">
      <w:pPr>
        <w:pStyle w:val="SCCLawFirm"/>
        <w:widowControl w:val="0"/>
        <w:spacing w:after="480"/>
        <w:rPr>
          <w:lang w:val="fr-CA"/>
        </w:rPr>
      </w:pPr>
      <w:r w:rsidRPr="004E75DE">
        <w:rPr>
          <w:lang w:val="fr-CA"/>
        </w:rPr>
        <w:tab/>
        <w:t>Procureur de l</w:t>
      </w:r>
      <w:r w:rsidR="00AE5E90">
        <w:rPr>
          <w:lang w:val="fr-CA"/>
        </w:rPr>
        <w:t>’</w:t>
      </w:r>
      <w:r w:rsidRPr="004E75DE">
        <w:rPr>
          <w:lang w:val="fr-CA"/>
        </w:rPr>
        <w:t>intervenant le procureur général de l</w:t>
      </w:r>
      <w:r w:rsidR="00AE5E90">
        <w:rPr>
          <w:lang w:val="fr-CA"/>
        </w:rPr>
        <w:t>’</w:t>
      </w:r>
      <w:r w:rsidRPr="004E75DE">
        <w:rPr>
          <w:lang w:val="fr-CA"/>
        </w:rPr>
        <w:t>Ontario</w:t>
      </w:r>
      <w:r w:rsidR="00AE5E90">
        <w:rPr>
          <w:lang w:val="fr-CA"/>
        </w:rPr>
        <w:t> :</w:t>
      </w:r>
      <w:r w:rsidR="00385BBC" w:rsidRPr="004E75DE">
        <w:rPr>
          <w:lang w:val="fr-CA"/>
        </w:rPr>
        <w:t> </w:t>
      </w:r>
      <w:r w:rsidRPr="004E75DE">
        <w:rPr>
          <w:lang w:val="fr-CA"/>
        </w:rPr>
        <w:t>Procureur général de l</w:t>
      </w:r>
      <w:r w:rsidR="00AE5E90">
        <w:rPr>
          <w:lang w:val="fr-CA"/>
        </w:rPr>
        <w:t>’</w:t>
      </w:r>
      <w:r w:rsidRPr="004E75DE">
        <w:rPr>
          <w:lang w:val="fr-CA"/>
        </w:rPr>
        <w:t>Ontario, Toronto.</w:t>
      </w:r>
    </w:p>
    <w:p w:rsidR="00172DB1" w:rsidRPr="004E75DE" w:rsidRDefault="00172DB1" w:rsidP="00926B45">
      <w:pPr>
        <w:pStyle w:val="SCCLawFirm"/>
        <w:widowControl w:val="0"/>
        <w:spacing w:after="480"/>
        <w:rPr>
          <w:lang w:val="fr-CA"/>
        </w:rPr>
      </w:pPr>
      <w:r w:rsidRPr="004E75DE">
        <w:rPr>
          <w:lang w:val="fr-CA"/>
        </w:rPr>
        <w:lastRenderedPageBreak/>
        <w:tab/>
        <w:t>Procureure de l</w:t>
      </w:r>
      <w:r w:rsidR="00AE5E90">
        <w:rPr>
          <w:lang w:val="fr-CA"/>
        </w:rPr>
        <w:t>’</w:t>
      </w:r>
      <w:r w:rsidRPr="004E75DE">
        <w:rPr>
          <w:lang w:val="fr-CA"/>
        </w:rPr>
        <w:t>intervenante la procureure générale du Québec</w:t>
      </w:r>
      <w:r w:rsidR="00AE5E90">
        <w:rPr>
          <w:lang w:val="fr-CA"/>
        </w:rPr>
        <w:t> :</w:t>
      </w:r>
      <w:r w:rsidR="00385BBC" w:rsidRPr="004E75DE">
        <w:rPr>
          <w:lang w:val="fr-CA"/>
        </w:rPr>
        <w:t> </w:t>
      </w:r>
      <w:r w:rsidRPr="004E75DE">
        <w:rPr>
          <w:lang w:val="fr-CA"/>
        </w:rPr>
        <w:t>Procureure générale du Québec, Québec.</w:t>
      </w:r>
    </w:p>
    <w:p w:rsidR="00172DB1" w:rsidRPr="004E75DE" w:rsidRDefault="00172DB1" w:rsidP="00926B45">
      <w:pPr>
        <w:pStyle w:val="SCCLawFirm"/>
        <w:widowControl w:val="0"/>
        <w:spacing w:after="480"/>
        <w:rPr>
          <w:lang w:val="fr-CA"/>
        </w:rPr>
      </w:pPr>
      <w:r w:rsidRPr="004E75DE">
        <w:rPr>
          <w:lang w:val="fr-CA"/>
        </w:rPr>
        <w:tab/>
        <w:t>Procureur de l</w:t>
      </w:r>
      <w:r w:rsidR="00AE5E90">
        <w:rPr>
          <w:lang w:val="fr-CA"/>
        </w:rPr>
        <w:t>’</w:t>
      </w:r>
      <w:r w:rsidRPr="004E75DE">
        <w:rPr>
          <w:lang w:val="fr-CA"/>
        </w:rPr>
        <w:t>intervenant le procureur général du Manitoba</w:t>
      </w:r>
      <w:r w:rsidR="00AE5E90">
        <w:rPr>
          <w:lang w:val="fr-CA"/>
        </w:rPr>
        <w:t> :</w:t>
      </w:r>
      <w:r w:rsidR="00385BBC" w:rsidRPr="004E75DE">
        <w:rPr>
          <w:lang w:val="fr-CA"/>
        </w:rPr>
        <w:t> </w:t>
      </w:r>
      <w:r w:rsidRPr="004E75DE">
        <w:rPr>
          <w:lang w:val="fr-CA"/>
        </w:rPr>
        <w:t>Procureur général du Manitoba, Winnipeg.</w:t>
      </w:r>
    </w:p>
    <w:p w:rsidR="00172DB1" w:rsidRPr="004E75DE" w:rsidRDefault="00172DB1" w:rsidP="00926B45">
      <w:pPr>
        <w:pStyle w:val="SCCLawFirm"/>
        <w:widowControl w:val="0"/>
        <w:spacing w:after="480"/>
        <w:rPr>
          <w:lang w:val="fr-CA"/>
        </w:rPr>
      </w:pPr>
      <w:r w:rsidRPr="004E75DE">
        <w:rPr>
          <w:lang w:val="fr-CA"/>
        </w:rPr>
        <w:tab/>
        <w:t>Procureur de l</w:t>
      </w:r>
      <w:r w:rsidR="00AE5E90">
        <w:rPr>
          <w:lang w:val="fr-CA"/>
        </w:rPr>
        <w:t>’</w:t>
      </w:r>
      <w:r w:rsidRPr="004E75DE">
        <w:rPr>
          <w:lang w:val="fr-CA"/>
        </w:rPr>
        <w:t>intervenant le procureur général de la Saskatchewan</w:t>
      </w:r>
      <w:r w:rsidR="00AE5E90">
        <w:rPr>
          <w:lang w:val="fr-CA"/>
        </w:rPr>
        <w:t> :</w:t>
      </w:r>
      <w:r w:rsidR="00385BBC" w:rsidRPr="004E75DE">
        <w:rPr>
          <w:lang w:val="fr-CA"/>
        </w:rPr>
        <w:t> </w:t>
      </w:r>
      <w:r w:rsidRPr="004E75DE">
        <w:rPr>
          <w:lang w:val="fr-CA"/>
        </w:rPr>
        <w:t>Procureur général de la Saskatchewan, Regina.</w:t>
      </w:r>
    </w:p>
    <w:p w:rsidR="00172DB1" w:rsidRPr="004E75DE" w:rsidRDefault="00172DB1" w:rsidP="00926B45">
      <w:pPr>
        <w:pStyle w:val="SCCLawFirm"/>
        <w:widowControl w:val="0"/>
        <w:spacing w:after="480"/>
        <w:rPr>
          <w:lang w:val="fr-CA"/>
        </w:rPr>
      </w:pPr>
      <w:r w:rsidRPr="004E75DE">
        <w:rPr>
          <w:lang w:val="fr-CA"/>
        </w:rPr>
        <w:tab/>
        <w:t>Procureur de l</w:t>
      </w:r>
      <w:r w:rsidR="00AE5E90">
        <w:rPr>
          <w:lang w:val="fr-CA"/>
        </w:rPr>
        <w:t>’</w:t>
      </w:r>
      <w:r w:rsidRPr="004E75DE">
        <w:rPr>
          <w:lang w:val="fr-CA"/>
        </w:rPr>
        <w:t>intervenant le procureur général de l</w:t>
      </w:r>
      <w:r w:rsidR="00AE5E90">
        <w:rPr>
          <w:lang w:val="fr-CA"/>
        </w:rPr>
        <w:t>’</w:t>
      </w:r>
      <w:r w:rsidRPr="004E75DE">
        <w:rPr>
          <w:lang w:val="fr-CA"/>
        </w:rPr>
        <w:t>Alberta</w:t>
      </w:r>
      <w:r w:rsidR="00AE5E90">
        <w:rPr>
          <w:lang w:val="fr-CA"/>
        </w:rPr>
        <w:t> :</w:t>
      </w:r>
      <w:r w:rsidR="00385BBC" w:rsidRPr="004E75DE">
        <w:rPr>
          <w:lang w:val="fr-CA"/>
        </w:rPr>
        <w:t> </w:t>
      </w:r>
      <w:r w:rsidRPr="004E75DE">
        <w:rPr>
          <w:lang w:val="fr-CA"/>
        </w:rPr>
        <w:t>Procureur général de l</w:t>
      </w:r>
      <w:r w:rsidR="00AE5E90">
        <w:rPr>
          <w:lang w:val="fr-CA"/>
        </w:rPr>
        <w:t>’</w:t>
      </w:r>
      <w:r w:rsidRPr="004E75DE">
        <w:rPr>
          <w:lang w:val="fr-CA"/>
        </w:rPr>
        <w:t>Alberta, Edmonton.</w:t>
      </w:r>
    </w:p>
    <w:p w:rsidR="00172DB1" w:rsidRPr="004E75DE" w:rsidRDefault="00172DB1" w:rsidP="00926B45">
      <w:pPr>
        <w:pStyle w:val="SCCLawFirm"/>
        <w:widowControl w:val="0"/>
        <w:spacing w:after="480"/>
        <w:rPr>
          <w:lang w:val="fr-CA"/>
        </w:rPr>
      </w:pPr>
      <w:r w:rsidRPr="004E75DE">
        <w:rPr>
          <w:lang w:val="fr-CA"/>
        </w:rPr>
        <w:tab/>
        <w:t>Procureurs de l</w:t>
      </w:r>
      <w:r w:rsidR="00AE5E90">
        <w:rPr>
          <w:lang w:val="fr-CA"/>
        </w:rPr>
        <w:t>’</w:t>
      </w:r>
      <w:r w:rsidRPr="004E75DE">
        <w:rPr>
          <w:lang w:val="fr-CA"/>
        </w:rPr>
        <w:t xml:space="preserve">intervenante </w:t>
      </w:r>
      <w:r w:rsidRPr="004E75DE">
        <w:rPr>
          <w:rStyle w:val="SCCCounselPartyRoleChar"/>
          <w:lang w:val="fr-CA"/>
        </w:rPr>
        <w:t>l</w:t>
      </w:r>
      <w:r w:rsidR="00AE5E90">
        <w:rPr>
          <w:rStyle w:val="SCCCounselPartyRoleChar"/>
          <w:lang w:val="fr-CA"/>
        </w:rPr>
        <w:t>’</w:t>
      </w:r>
      <w:r w:rsidRPr="004E75DE">
        <w:rPr>
          <w:lang w:val="fr-CA"/>
        </w:rPr>
        <w:t>Association des libertés civiles de la Colombie</w:t>
      </w:r>
      <w:r w:rsidR="00AE5E90">
        <w:rPr>
          <w:lang w:val="fr-CA"/>
        </w:rPr>
        <w:noBreakHyphen/>
      </w:r>
      <w:r w:rsidRPr="004E75DE">
        <w:rPr>
          <w:lang w:val="fr-CA"/>
        </w:rPr>
        <w:t>Britannique</w:t>
      </w:r>
      <w:r w:rsidR="00AE5E90">
        <w:rPr>
          <w:lang w:val="fr-CA"/>
        </w:rPr>
        <w:t> :</w:t>
      </w:r>
      <w:r w:rsidR="00385BBC" w:rsidRPr="004E75DE">
        <w:rPr>
          <w:lang w:val="fr-CA"/>
        </w:rPr>
        <w:t> </w:t>
      </w:r>
      <w:r w:rsidRPr="004E75DE">
        <w:rPr>
          <w:lang w:val="fr-CA"/>
        </w:rPr>
        <w:t>Hunter Litigation Chambers, Vancouver; Dolgin, Marshman Law, Ottawa.</w:t>
      </w:r>
    </w:p>
    <w:p w:rsidR="00172DB1" w:rsidRPr="004E75DE" w:rsidRDefault="00172DB1" w:rsidP="00926B45">
      <w:pPr>
        <w:pStyle w:val="SCCLawFirm"/>
        <w:widowControl w:val="0"/>
        <w:spacing w:after="480"/>
        <w:rPr>
          <w:lang w:val="fr-CA"/>
        </w:rPr>
      </w:pPr>
      <w:r w:rsidRPr="004E75DE">
        <w:rPr>
          <w:lang w:val="fr-CA"/>
        </w:rPr>
        <w:tab/>
        <w:t>Procureurs de l</w:t>
      </w:r>
      <w:r w:rsidR="00AE5E90">
        <w:rPr>
          <w:lang w:val="fr-CA"/>
        </w:rPr>
        <w:t>’</w:t>
      </w:r>
      <w:r w:rsidRPr="004E75DE">
        <w:rPr>
          <w:lang w:val="fr-CA"/>
        </w:rPr>
        <w:t xml:space="preserve">intervenant </w:t>
      </w:r>
      <w:r w:rsidRPr="004E75DE">
        <w:rPr>
          <w:rStyle w:val="SCCCounselPartyRoleChar"/>
          <w:lang w:val="fr-CA"/>
        </w:rPr>
        <w:t xml:space="preserve">le </w:t>
      </w:r>
      <w:r w:rsidRPr="004E75DE">
        <w:rPr>
          <w:lang w:val="fr-CA"/>
        </w:rPr>
        <w:t>Bureau d</w:t>
      </w:r>
      <w:r w:rsidR="00AE5E90">
        <w:rPr>
          <w:lang w:val="fr-CA"/>
        </w:rPr>
        <w:t>’</w:t>
      </w:r>
      <w:r w:rsidRPr="004E75DE">
        <w:rPr>
          <w:lang w:val="fr-CA"/>
        </w:rPr>
        <w:t>assurance du Canada</w:t>
      </w:r>
      <w:r w:rsidR="00AE5E90">
        <w:rPr>
          <w:lang w:val="fr-CA"/>
        </w:rPr>
        <w:t> :</w:t>
      </w:r>
      <w:r w:rsidR="00385BBC" w:rsidRPr="004E75DE">
        <w:rPr>
          <w:lang w:val="fr-CA"/>
        </w:rPr>
        <w:t> </w:t>
      </w:r>
      <w:r w:rsidRPr="004E75DE">
        <w:rPr>
          <w:lang w:val="fr-CA"/>
        </w:rPr>
        <w:t>Stikeman Elliott, Toronto et Ottawa.</w:t>
      </w:r>
    </w:p>
    <w:p w:rsidR="00172DB1" w:rsidRPr="004E75DE" w:rsidRDefault="00172DB1" w:rsidP="00926B45">
      <w:pPr>
        <w:pStyle w:val="SCCLawFirm"/>
        <w:widowControl w:val="0"/>
        <w:spacing w:after="480"/>
        <w:rPr>
          <w:lang w:val="fr-CA"/>
        </w:rPr>
      </w:pPr>
      <w:r w:rsidRPr="004E75DE">
        <w:rPr>
          <w:lang w:val="fr-CA"/>
        </w:rPr>
        <w:tab/>
        <w:t>Procureurs des intervenantes Criminal Trial Lawyers</w:t>
      </w:r>
      <w:r w:rsidR="00AE5E90">
        <w:rPr>
          <w:lang w:val="fr-CA"/>
        </w:rPr>
        <w:t>’</w:t>
      </w:r>
      <w:r w:rsidRPr="004E75DE">
        <w:rPr>
          <w:lang w:val="fr-CA"/>
        </w:rPr>
        <w:t xml:space="preserve"> Association (Alberta) et Criminal Defence Lawyers Association (Calgary)</w:t>
      </w:r>
      <w:r w:rsidR="00AE5E90">
        <w:rPr>
          <w:lang w:val="fr-CA"/>
        </w:rPr>
        <w:t> :</w:t>
      </w:r>
      <w:r w:rsidR="00385BBC" w:rsidRPr="004E75DE">
        <w:rPr>
          <w:lang w:val="fr-CA"/>
        </w:rPr>
        <w:t> </w:t>
      </w:r>
      <w:r w:rsidRPr="004E75DE">
        <w:rPr>
          <w:lang w:val="fr-CA"/>
        </w:rPr>
        <w:t>Gunn Law Group, Edmonton; Savage Oykhman, Calgary.</w:t>
      </w:r>
    </w:p>
    <w:p w:rsidR="00172DB1" w:rsidRPr="00897082" w:rsidRDefault="00172DB1" w:rsidP="00926B45">
      <w:pPr>
        <w:pStyle w:val="SCCLawFirm"/>
        <w:widowControl w:val="0"/>
        <w:spacing w:after="480"/>
        <w:rPr>
          <w:lang w:val="en-US"/>
        </w:rPr>
      </w:pPr>
      <w:r w:rsidRPr="004E75DE">
        <w:rPr>
          <w:lang w:val="fr-CA"/>
        </w:rPr>
        <w:tab/>
      </w:r>
      <w:r w:rsidRPr="00897082">
        <w:rPr>
          <w:lang w:val="en-US"/>
        </w:rPr>
        <w:t>Procureurs de l</w:t>
      </w:r>
      <w:r w:rsidR="00AE5E90">
        <w:rPr>
          <w:lang w:val="en-US"/>
        </w:rPr>
        <w:t>’</w:t>
      </w:r>
      <w:r w:rsidRPr="00897082">
        <w:rPr>
          <w:lang w:val="en-US"/>
        </w:rPr>
        <w:t>intervenante Criminal Lawyers</w:t>
      </w:r>
      <w:r w:rsidR="00AE5E90">
        <w:rPr>
          <w:lang w:val="en-US"/>
        </w:rPr>
        <w:t>’</w:t>
      </w:r>
      <w:r w:rsidRPr="00897082">
        <w:rPr>
          <w:lang w:val="en-US"/>
        </w:rPr>
        <w:t xml:space="preserve"> Association of Ontario</w:t>
      </w:r>
      <w:r w:rsidR="00AE5E90">
        <w:rPr>
          <w:lang w:val="en-US"/>
        </w:rPr>
        <w:t> :</w:t>
      </w:r>
      <w:r w:rsidR="00385BBC" w:rsidRPr="00897082">
        <w:rPr>
          <w:lang w:val="en-US"/>
        </w:rPr>
        <w:t> </w:t>
      </w:r>
      <w:r w:rsidRPr="00897082">
        <w:rPr>
          <w:lang w:val="en-US"/>
        </w:rPr>
        <w:t>Greenspan Partners, Toronto; Addario Law Group, Toronto.</w:t>
      </w:r>
    </w:p>
    <w:p w:rsidR="00172DB1" w:rsidRPr="004E75DE" w:rsidRDefault="00172DB1" w:rsidP="00926B45">
      <w:pPr>
        <w:pStyle w:val="SCCLawFirm"/>
        <w:widowControl w:val="0"/>
        <w:spacing w:after="480"/>
        <w:rPr>
          <w:lang w:val="fr-CA"/>
        </w:rPr>
      </w:pPr>
      <w:r w:rsidRPr="00897082">
        <w:rPr>
          <w:lang w:val="en-US"/>
        </w:rPr>
        <w:lastRenderedPageBreak/>
        <w:tab/>
      </w:r>
      <w:r w:rsidRPr="004E75DE">
        <w:rPr>
          <w:lang w:val="fr-CA"/>
        </w:rPr>
        <w:t>Procureur de l</w:t>
      </w:r>
      <w:r w:rsidR="00AE5E90">
        <w:rPr>
          <w:lang w:val="fr-CA"/>
        </w:rPr>
        <w:t>’</w:t>
      </w:r>
      <w:r w:rsidRPr="004E75DE">
        <w:rPr>
          <w:lang w:val="fr-CA"/>
        </w:rPr>
        <w:t>intervenant Alberta Registrar of Motor Vehicle Services</w:t>
      </w:r>
      <w:r w:rsidR="00AE5E90">
        <w:rPr>
          <w:lang w:val="fr-CA"/>
        </w:rPr>
        <w:t> :</w:t>
      </w:r>
      <w:r w:rsidR="00385BBC" w:rsidRPr="004E75DE">
        <w:rPr>
          <w:lang w:val="fr-CA"/>
        </w:rPr>
        <w:t> </w:t>
      </w:r>
      <w:r w:rsidRPr="004E75DE">
        <w:rPr>
          <w:lang w:val="fr-CA"/>
        </w:rPr>
        <w:t>Procureur général de l</w:t>
      </w:r>
      <w:r w:rsidR="00AE5E90">
        <w:rPr>
          <w:lang w:val="fr-CA"/>
        </w:rPr>
        <w:t>’</w:t>
      </w:r>
      <w:r w:rsidRPr="004E75DE">
        <w:rPr>
          <w:lang w:val="fr-CA"/>
        </w:rPr>
        <w:t>Alberta, Edmonton.</w:t>
      </w:r>
    </w:p>
    <w:p w:rsidR="00065721" w:rsidRPr="00F3787F" w:rsidRDefault="00172DB1" w:rsidP="00926B45">
      <w:pPr>
        <w:pStyle w:val="SCCLawFirm"/>
        <w:widowControl w:val="0"/>
        <w:rPr>
          <w:lang w:val="fr-CA"/>
        </w:rPr>
      </w:pPr>
      <w:r w:rsidRPr="004E75DE">
        <w:rPr>
          <w:lang w:val="fr-CA"/>
        </w:rPr>
        <w:tab/>
        <w:t>Procureurs de l</w:t>
      </w:r>
      <w:r w:rsidR="00AE5E90">
        <w:rPr>
          <w:lang w:val="fr-CA"/>
        </w:rPr>
        <w:t>’</w:t>
      </w:r>
      <w:r w:rsidRPr="004E75DE">
        <w:rPr>
          <w:lang w:val="fr-CA"/>
        </w:rPr>
        <w:t>intervenante Les mères contre l</w:t>
      </w:r>
      <w:r w:rsidR="00AE5E90">
        <w:rPr>
          <w:lang w:val="fr-CA"/>
        </w:rPr>
        <w:t>’</w:t>
      </w:r>
      <w:r w:rsidRPr="004E75DE">
        <w:rPr>
          <w:lang w:val="fr-CA"/>
        </w:rPr>
        <w:t>alcool au volant Canada</w:t>
      </w:r>
      <w:r w:rsidR="00AE5E90">
        <w:rPr>
          <w:lang w:val="fr-CA"/>
        </w:rPr>
        <w:t> :</w:t>
      </w:r>
      <w:r w:rsidR="00385BBC" w:rsidRPr="004E75DE">
        <w:rPr>
          <w:lang w:val="fr-CA"/>
        </w:rPr>
        <w:t> </w:t>
      </w:r>
      <w:r w:rsidRPr="004E75DE">
        <w:rPr>
          <w:lang w:val="fr-CA"/>
        </w:rPr>
        <w:t>Farris, Vaughan, Wills &amp; Murphy, Victoria; Gowling Lafleur Henderson, Ottawa.</w:t>
      </w:r>
    </w:p>
    <w:sectPr w:rsidR="00065721" w:rsidRPr="00F3787F"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90" w:rsidRDefault="00AE5E90">
      <w:r>
        <w:separator/>
      </w:r>
    </w:p>
  </w:endnote>
  <w:endnote w:type="continuationSeparator" w:id="0">
    <w:p w:rsidR="00AE5E90" w:rsidRDefault="00AE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90" w:rsidRDefault="00AE5E90">
      <w:r>
        <w:separator/>
      </w:r>
    </w:p>
  </w:footnote>
  <w:footnote w:type="continuationSeparator" w:id="0">
    <w:p w:rsidR="00AE5E90" w:rsidRDefault="00AE5E90">
      <w:r>
        <w:continuationSeparator/>
      </w:r>
    </w:p>
  </w:footnote>
  <w:footnote w:id="1">
    <w:p w:rsidR="00065721" w:rsidRPr="00C064BE" w:rsidRDefault="00065721" w:rsidP="00F23D6E">
      <w:pPr>
        <w:pStyle w:val="FootnoteText"/>
        <w:widowControl w:val="0"/>
        <w:jc w:val="both"/>
        <w:rPr>
          <w:rFonts w:ascii="Times New Roman" w:hAnsi="Times New Roman" w:cs="Times New Roman"/>
          <w:lang w:val="fr-CA"/>
        </w:rPr>
      </w:pPr>
      <w:r w:rsidRPr="00C064BE">
        <w:rPr>
          <w:rStyle w:val="FootnoteReference"/>
          <w:rFonts w:ascii="Times New Roman" w:hAnsi="Times New Roman" w:cs="Times New Roman"/>
          <w:lang w:val="fr-CA"/>
        </w:rPr>
        <w:footnoteRef/>
      </w:r>
      <w:r w:rsidRPr="00C064BE">
        <w:rPr>
          <w:rFonts w:ascii="Times New Roman" w:hAnsi="Times New Roman" w:cs="Times New Roman"/>
          <w:lang w:val="fr-CA"/>
        </w:rPr>
        <w:t xml:space="preserve"> </w:t>
      </w:r>
      <w:r>
        <w:rPr>
          <w:rFonts w:ascii="Times New Roman" w:hAnsi="Times New Roman" w:cs="Times New Roman"/>
          <w:lang w:val="fr-CA"/>
        </w:rPr>
        <w:t>m.i. (C.</w:t>
      </w:r>
      <w:r>
        <w:rPr>
          <w:rFonts w:ascii="Times New Roman" w:hAnsi="Times New Roman" w:cs="Times New Roman"/>
          <w:lang w:val="fr-CA"/>
        </w:rPr>
        <w:noBreakHyphen/>
        <w:t>B.), par. </w:t>
      </w:r>
      <w:r w:rsidRPr="00C064BE">
        <w:rPr>
          <w:rFonts w:ascii="Times New Roman" w:hAnsi="Times New Roman" w:cs="Times New Roman"/>
          <w:lang w:val="fr-CA"/>
        </w:rPr>
        <w:t xml:space="preserve">27; </w:t>
      </w:r>
      <w:r>
        <w:rPr>
          <w:rFonts w:ascii="Times New Roman" w:hAnsi="Times New Roman" w:cs="Times New Roman"/>
          <w:lang w:val="fr-CA"/>
        </w:rPr>
        <w:t>2011 BCSC 1639, 27 B.C.L.R. (5th) 229 (« motifs du juge en chambre »)</w:t>
      </w:r>
      <w:r w:rsidRPr="00C064BE">
        <w:rPr>
          <w:rFonts w:ascii="Times New Roman" w:hAnsi="Times New Roman" w:cs="Times New Roman"/>
          <w:lang w:val="fr-CA"/>
        </w:rPr>
        <w:t>.</w:t>
      </w:r>
    </w:p>
  </w:footnote>
  <w:footnote w:id="2">
    <w:p w:rsidR="00065721" w:rsidRPr="00D427F5" w:rsidRDefault="00065721" w:rsidP="00F23D6E">
      <w:pPr>
        <w:widowControl w:val="0"/>
        <w:tabs>
          <w:tab w:val="left" w:pos="180"/>
        </w:tabs>
        <w:ind w:left="180" w:hanging="180"/>
        <w:jc w:val="both"/>
        <w:rPr>
          <w:lang w:val="fr-CA"/>
        </w:rPr>
      </w:pPr>
      <w:r w:rsidRPr="00C064BE">
        <w:rPr>
          <w:rStyle w:val="FootnoteReference"/>
          <w:rFonts w:eastAsiaTheme="minorHAnsi"/>
          <w:sz w:val="20"/>
          <w:lang w:val="fr-CA"/>
        </w:rPr>
        <w:footnoteRef/>
      </w:r>
      <w:r w:rsidRPr="00C064BE">
        <w:rPr>
          <w:sz w:val="20"/>
          <w:lang w:val="fr-CA"/>
        </w:rPr>
        <w:t xml:space="preserve"> </w:t>
      </w:r>
      <w:r w:rsidR="000048F7">
        <w:rPr>
          <w:sz w:val="20"/>
          <w:lang w:val="fr-CA"/>
        </w:rPr>
        <w:tab/>
      </w:r>
      <w:r w:rsidRPr="00C064BE">
        <w:rPr>
          <w:sz w:val="20"/>
          <w:lang w:val="fr-CA"/>
        </w:rPr>
        <w:t xml:space="preserve">Voir </w:t>
      </w:r>
      <w:r w:rsidRPr="00C064BE">
        <w:rPr>
          <w:i/>
          <w:iCs/>
          <w:sz w:val="20"/>
          <w:lang w:val="fr-CA"/>
        </w:rPr>
        <w:t>Highway Traffic Act</w:t>
      </w:r>
      <w:r>
        <w:rPr>
          <w:sz w:val="20"/>
          <w:lang w:val="fr-CA"/>
        </w:rPr>
        <w:t>, R.S.P.E.I. 1988, c. </w:t>
      </w:r>
      <w:r w:rsidRPr="00C064BE">
        <w:rPr>
          <w:sz w:val="20"/>
          <w:lang w:val="fr-CA"/>
        </w:rPr>
        <w:t>H</w:t>
      </w:r>
      <w:r>
        <w:rPr>
          <w:sz w:val="20"/>
          <w:lang w:val="fr-CA"/>
        </w:rPr>
        <w:noBreakHyphen/>
      </w:r>
      <w:r w:rsidRPr="00C064BE">
        <w:rPr>
          <w:sz w:val="20"/>
          <w:lang w:val="fr-CA"/>
        </w:rPr>
        <w:t xml:space="preserve">5, </w:t>
      </w:r>
      <w:r>
        <w:rPr>
          <w:sz w:val="20"/>
          <w:lang w:val="fr-CA"/>
        </w:rPr>
        <w:t>art. </w:t>
      </w:r>
      <w:r w:rsidRPr="00C064BE">
        <w:rPr>
          <w:sz w:val="20"/>
          <w:lang w:val="fr-CA"/>
        </w:rPr>
        <w:t>277.2</w:t>
      </w:r>
      <w:r>
        <w:rPr>
          <w:sz w:val="20"/>
          <w:lang w:val="fr-CA"/>
        </w:rPr>
        <w:t xml:space="preserve"> et suiv.</w:t>
      </w:r>
      <w:r w:rsidRPr="00C064BE">
        <w:rPr>
          <w:sz w:val="20"/>
          <w:lang w:val="fr-CA"/>
        </w:rPr>
        <w:t xml:space="preserve">; </w:t>
      </w:r>
      <w:r>
        <w:rPr>
          <w:i/>
          <w:iCs/>
          <w:sz w:val="20"/>
          <w:lang w:val="fr-CA"/>
        </w:rPr>
        <w:t>Code de la sécurité routière</w:t>
      </w:r>
      <w:r w:rsidRPr="00C064BE">
        <w:rPr>
          <w:sz w:val="20"/>
          <w:lang w:val="fr-CA"/>
        </w:rPr>
        <w:t xml:space="preserve">, </w:t>
      </w:r>
      <w:r>
        <w:rPr>
          <w:sz w:val="20"/>
          <w:lang w:val="fr-CA"/>
        </w:rPr>
        <w:t>RLRQ, c. C</w:t>
      </w:r>
      <w:r>
        <w:rPr>
          <w:sz w:val="20"/>
          <w:lang w:val="fr-CA"/>
        </w:rPr>
        <w:noBreakHyphen/>
      </w:r>
      <w:r w:rsidRPr="00C064BE">
        <w:rPr>
          <w:sz w:val="20"/>
          <w:lang w:val="fr-CA"/>
        </w:rPr>
        <w:t xml:space="preserve">24.2, </w:t>
      </w:r>
      <w:r>
        <w:rPr>
          <w:sz w:val="20"/>
          <w:lang w:val="fr-CA"/>
        </w:rPr>
        <w:t>art. </w:t>
      </w:r>
      <w:r w:rsidRPr="00C064BE">
        <w:rPr>
          <w:sz w:val="20"/>
          <w:lang w:val="fr-CA"/>
        </w:rPr>
        <w:t>202.4</w:t>
      </w:r>
      <w:r>
        <w:rPr>
          <w:sz w:val="20"/>
          <w:lang w:val="fr-CA"/>
        </w:rPr>
        <w:t xml:space="preserve"> et suiv. </w:t>
      </w:r>
    </w:p>
  </w:footnote>
  <w:footnote w:id="3">
    <w:p w:rsidR="00065721" w:rsidRPr="00C064BE" w:rsidRDefault="00065721" w:rsidP="00F23D6E">
      <w:pPr>
        <w:pStyle w:val="FootnoteText"/>
        <w:widowControl w:val="0"/>
        <w:jc w:val="both"/>
        <w:rPr>
          <w:rFonts w:ascii="Times New Roman" w:hAnsi="Times New Roman" w:cs="Times New Roman"/>
          <w:lang w:val="fr-CA"/>
        </w:rPr>
      </w:pPr>
      <w:r w:rsidRPr="00C064BE">
        <w:rPr>
          <w:rStyle w:val="FootnoteReference"/>
          <w:rFonts w:ascii="Times New Roman" w:hAnsi="Times New Roman" w:cs="Times New Roman"/>
          <w:lang w:val="fr-CA"/>
        </w:rPr>
        <w:footnoteRef/>
      </w:r>
      <w:r w:rsidR="00F23D6E">
        <w:rPr>
          <w:rFonts w:ascii="Times New Roman" w:hAnsi="Times New Roman" w:cs="Times New Roman"/>
          <w:lang w:val="fr-CA"/>
        </w:rPr>
        <w:t xml:space="preserve"> </w:t>
      </w:r>
      <w:r>
        <w:rPr>
          <w:rFonts w:ascii="Times New Roman" w:hAnsi="Times New Roman" w:cs="Times New Roman"/>
          <w:lang w:val="fr-CA"/>
        </w:rPr>
        <w:t>La question de l’al. 1</w:t>
      </w:r>
      <w:r w:rsidRPr="00C064BE">
        <w:rPr>
          <w:rFonts w:ascii="Times New Roman" w:hAnsi="Times New Roman" w:cs="Times New Roman"/>
          <w:lang w:val="fr-CA"/>
        </w:rPr>
        <w:t>0</w:t>
      </w:r>
      <w:r w:rsidRPr="00C064BE">
        <w:rPr>
          <w:rFonts w:ascii="Times New Roman" w:hAnsi="Times New Roman" w:cs="Times New Roman"/>
          <w:i/>
          <w:lang w:val="fr-CA"/>
        </w:rPr>
        <w:t>b</w:t>
      </w:r>
      <w:r>
        <w:rPr>
          <w:rFonts w:ascii="Times New Roman" w:hAnsi="Times New Roman" w:cs="Times New Roman"/>
          <w:lang w:val="fr-CA"/>
        </w:rPr>
        <w:t>) n’a pas été portée en appel.</w:t>
      </w:r>
    </w:p>
  </w:footnote>
  <w:footnote w:id="4">
    <w:p w:rsidR="00065721" w:rsidRPr="001171D1" w:rsidRDefault="00065721" w:rsidP="00F23D6E">
      <w:pPr>
        <w:pStyle w:val="FootnoteText"/>
        <w:widowControl w:val="0"/>
        <w:spacing w:before="240"/>
        <w:ind w:left="180" w:hanging="180"/>
        <w:jc w:val="both"/>
        <w:rPr>
          <w:lang w:val="fr-CA"/>
        </w:rPr>
      </w:pPr>
      <w:r>
        <w:rPr>
          <w:rStyle w:val="FootnoteReference"/>
        </w:rPr>
        <w:footnoteRef/>
      </w:r>
      <w:r w:rsidRPr="00997884">
        <w:rPr>
          <w:lang w:val="fr-CA"/>
        </w:rPr>
        <w:t xml:space="preserve"> </w:t>
      </w:r>
      <w:r w:rsidR="000E17F5">
        <w:rPr>
          <w:lang w:val="fr-CA"/>
        </w:rPr>
        <w:tab/>
      </w:r>
      <w:r w:rsidRPr="001171D1">
        <w:rPr>
          <w:rFonts w:ascii="Times New Roman" w:hAnsi="Times New Roman" w:cs="Times New Roman"/>
          <w:lang w:val="fr-CA"/>
        </w:rPr>
        <w:t>Les intimés Chis</w:t>
      </w:r>
      <w:r w:rsidR="000E17F5">
        <w:rPr>
          <w:rFonts w:ascii="Times New Roman" w:hAnsi="Times New Roman" w:cs="Times New Roman"/>
          <w:lang w:val="fr-CA"/>
        </w:rPr>
        <w:t>h</w:t>
      </w:r>
      <w:r w:rsidRPr="001171D1">
        <w:rPr>
          <w:rFonts w:ascii="Times New Roman" w:hAnsi="Times New Roman" w:cs="Times New Roman"/>
          <w:lang w:val="fr-CA"/>
        </w:rPr>
        <w:t xml:space="preserve">olm et </w:t>
      </w:r>
      <w:r w:rsidR="003165BB">
        <w:rPr>
          <w:rFonts w:ascii="Times New Roman" w:hAnsi="Times New Roman" w:cs="Times New Roman"/>
          <w:lang w:val="fr-CA"/>
        </w:rPr>
        <w:t>autres</w:t>
      </w:r>
      <w:r>
        <w:rPr>
          <w:rFonts w:ascii="Times New Roman" w:hAnsi="Times New Roman" w:cs="Times New Roman"/>
          <w:lang w:val="fr-CA"/>
        </w:rPr>
        <w:t xml:space="preserve"> </w:t>
      </w:r>
      <w:r w:rsidRPr="001171D1">
        <w:rPr>
          <w:rFonts w:ascii="Times New Roman" w:hAnsi="Times New Roman" w:cs="Times New Roman"/>
          <w:lang w:val="fr-CA"/>
        </w:rPr>
        <w:t>qualifient le</w:t>
      </w:r>
      <w:r>
        <w:rPr>
          <w:rFonts w:ascii="Times New Roman" w:hAnsi="Times New Roman" w:cs="Times New Roman"/>
          <w:lang w:val="fr-CA"/>
        </w:rPr>
        <w:t xml:space="preserve"> RIAC </w:t>
      </w:r>
      <w:r w:rsidRPr="001171D1">
        <w:rPr>
          <w:rFonts w:ascii="Times New Roman" w:hAnsi="Times New Roman" w:cs="Times New Roman"/>
          <w:lang w:val="fr-CA"/>
        </w:rPr>
        <w:t>d</w:t>
      </w:r>
      <w:r>
        <w:rPr>
          <w:rFonts w:ascii="Times New Roman" w:hAnsi="Times New Roman" w:cs="Times New Roman"/>
          <w:lang w:val="fr-CA"/>
        </w:rPr>
        <w:t xml:space="preserve">e </w:t>
      </w:r>
      <w:r w:rsidRPr="001171D1">
        <w:rPr>
          <w:rFonts w:ascii="Times New Roman" w:hAnsi="Times New Roman" w:cs="Times New Roman"/>
          <w:lang w:val="fr-CA"/>
        </w:rPr>
        <w:t>pouvoir</w:t>
      </w:r>
      <w:r>
        <w:rPr>
          <w:rFonts w:ascii="Times New Roman" w:hAnsi="Times New Roman" w:cs="Times New Roman"/>
          <w:lang w:val="fr-CA"/>
        </w:rPr>
        <w:t xml:space="preserve"> mixte</w:t>
      </w:r>
      <w:r w:rsidRPr="001171D1">
        <w:rPr>
          <w:rFonts w:ascii="Times New Roman" w:hAnsi="Times New Roman" w:cs="Times New Roman"/>
          <w:lang w:val="fr-CA"/>
        </w:rPr>
        <w:t xml:space="preserve"> de fouille, de perquisition et de saisie</w:t>
      </w:r>
      <w:r>
        <w:rPr>
          <w:rFonts w:ascii="Times New Roman" w:hAnsi="Times New Roman" w:cs="Times New Roman"/>
          <w:lang w:val="fr-CA"/>
        </w:rPr>
        <w:t> :</w:t>
      </w:r>
      <w:r w:rsidRPr="001171D1">
        <w:rPr>
          <w:rFonts w:ascii="Times New Roman" w:hAnsi="Times New Roman" w:cs="Times New Roman"/>
          <w:lang w:val="fr-CA"/>
        </w:rPr>
        <w:t xml:space="preserve"> voir m.i., </w:t>
      </w:r>
      <w:r>
        <w:rPr>
          <w:rFonts w:ascii="Times New Roman" w:hAnsi="Times New Roman" w:cs="Times New Roman"/>
          <w:lang w:val="fr-CA"/>
        </w:rPr>
        <w:t>par. </w:t>
      </w:r>
      <w:r w:rsidRPr="001171D1">
        <w:rPr>
          <w:rFonts w:ascii="Times New Roman" w:hAnsi="Times New Roman" w:cs="Times New Roman"/>
          <w:lang w:val="fr-CA"/>
        </w:rPr>
        <w:t>39.</w:t>
      </w:r>
    </w:p>
  </w:footnote>
  <w:footnote w:id="5">
    <w:p w:rsidR="00065721" w:rsidRDefault="00065721" w:rsidP="00F23D6E">
      <w:pPr>
        <w:pStyle w:val="FootnoteText"/>
        <w:widowControl w:val="0"/>
        <w:ind w:left="187" w:hanging="187"/>
        <w:jc w:val="both"/>
        <w:rPr>
          <w:rFonts w:ascii="Times New Roman" w:hAnsi="Times New Roman" w:cs="Times New Roman"/>
          <w:lang w:val="fr-CA"/>
        </w:rPr>
      </w:pPr>
      <w:r w:rsidRPr="00C064BE">
        <w:rPr>
          <w:rStyle w:val="FootnoteReference"/>
          <w:rFonts w:ascii="Times New Roman" w:hAnsi="Times New Roman" w:cs="Times New Roman"/>
          <w:lang w:val="fr-CA"/>
        </w:rPr>
        <w:footnoteRef/>
      </w:r>
      <w:r w:rsidRPr="00942686">
        <w:rPr>
          <w:rFonts w:ascii="Times New Roman" w:hAnsi="Times New Roman" w:cs="Times New Roman"/>
          <w:lang w:val="fr-CA"/>
        </w:rPr>
        <w:t xml:space="preserve"> </w:t>
      </w:r>
      <w:r w:rsidR="00A20722">
        <w:rPr>
          <w:rFonts w:ascii="Times New Roman" w:hAnsi="Times New Roman" w:cs="Times New Roman"/>
          <w:lang w:val="fr-CA"/>
        </w:rPr>
        <w:tab/>
      </w:r>
      <w:r w:rsidRPr="00942686">
        <w:rPr>
          <w:rFonts w:ascii="Times New Roman" w:hAnsi="Times New Roman" w:cs="Times New Roman"/>
          <w:lang w:val="fr-CA"/>
        </w:rPr>
        <w:t>m.i., par. 1, où elle cite S. Pitel et R. Solomon, « </w:t>
      </w:r>
      <w:r w:rsidR="00942686" w:rsidRPr="00942686">
        <w:rPr>
          <w:rFonts w:ascii="Times New Roman" w:hAnsi="Times New Roman" w:cs="Times New Roman"/>
          <w:lang w:val="fr-CA"/>
        </w:rPr>
        <w:t>Conduite avec facultés affaiblies</w:t>
      </w:r>
      <w:r w:rsidRPr="00942686">
        <w:rPr>
          <w:rFonts w:ascii="Times New Roman" w:hAnsi="Times New Roman" w:cs="Times New Roman"/>
          <w:lang w:val="fr-CA"/>
        </w:rPr>
        <w:t xml:space="preserve"> </w:t>
      </w:r>
      <w:r w:rsidR="00942686">
        <w:rPr>
          <w:rFonts w:ascii="Times New Roman" w:hAnsi="Times New Roman" w:cs="Times New Roman"/>
          <w:lang w:val="fr-CA"/>
        </w:rPr>
        <w:t>–</w:t>
      </w:r>
      <w:r w:rsidRPr="00942686">
        <w:rPr>
          <w:rFonts w:cs="Times New Roman"/>
          <w:lang w:val="fr-CA"/>
        </w:rPr>
        <w:t xml:space="preserve"> </w:t>
      </w:r>
      <w:r w:rsidR="00942686">
        <w:rPr>
          <w:rFonts w:ascii="Times New Roman" w:hAnsi="Times New Roman" w:cs="Times New Roman"/>
          <w:lang w:val="fr-CA"/>
        </w:rPr>
        <w:t>Estimation du nombre de collisions et des coûts afférents,</w:t>
      </w:r>
      <w:r w:rsidRPr="00942686">
        <w:rPr>
          <w:rFonts w:ascii="Times New Roman" w:hAnsi="Times New Roman" w:cs="Times New Roman"/>
          <w:lang w:val="fr-CA"/>
        </w:rPr>
        <w:t xml:space="preserve"> 1999 </w:t>
      </w:r>
      <w:r w:rsidR="00942686">
        <w:rPr>
          <w:rFonts w:ascii="Times New Roman" w:hAnsi="Times New Roman" w:cs="Times New Roman"/>
          <w:lang w:val="fr-CA"/>
        </w:rPr>
        <w:t xml:space="preserve">à </w:t>
      </w:r>
      <w:r w:rsidRPr="00942686">
        <w:rPr>
          <w:rFonts w:ascii="Times New Roman" w:hAnsi="Times New Roman" w:cs="Times New Roman"/>
          <w:lang w:val="fr-CA"/>
        </w:rPr>
        <w:t>2010 » (avril 2013).</w:t>
      </w:r>
    </w:p>
    <w:p w:rsidR="00424818" w:rsidRPr="00942686" w:rsidRDefault="00424818" w:rsidP="00F23D6E">
      <w:pPr>
        <w:pStyle w:val="FootnoteText"/>
        <w:widowControl w:val="0"/>
        <w:jc w:val="both"/>
        <w:rPr>
          <w:rFonts w:ascii="Times New Roman" w:hAnsi="Times New Roman" w:cs="Times New Roman"/>
          <w:lang w:val="fr-CA"/>
        </w:rPr>
      </w:pPr>
    </w:p>
  </w:footnote>
  <w:footnote w:id="6">
    <w:p w:rsidR="00065721" w:rsidRPr="00C064BE" w:rsidRDefault="00065721" w:rsidP="00F23D6E">
      <w:pPr>
        <w:pStyle w:val="FootnoteText"/>
        <w:widowControl w:val="0"/>
        <w:ind w:left="180" w:hanging="180"/>
        <w:jc w:val="both"/>
        <w:rPr>
          <w:rFonts w:ascii="Times New Roman" w:hAnsi="Times New Roman" w:cs="Times New Roman"/>
          <w:lang w:val="fr-CA"/>
        </w:rPr>
      </w:pPr>
      <w:r w:rsidRPr="00C064BE">
        <w:rPr>
          <w:rStyle w:val="FootnoteReference"/>
          <w:rFonts w:ascii="Times New Roman" w:hAnsi="Times New Roman" w:cs="Times New Roman"/>
          <w:lang w:val="fr-CA"/>
        </w:rPr>
        <w:footnoteRef/>
      </w:r>
      <w:r w:rsidRPr="00C064BE">
        <w:rPr>
          <w:rFonts w:ascii="Times New Roman" w:hAnsi="Times New Roman" w:cs="Times New Roman"/>
          <w:lang w:val="fr-CA"/>
        </w:rPr>
        <w:t xml:space="preserve"> </w:t>
      </w:r>
      <w:r w:rsidR="00A20722">
        <w:rPr>
          <w:rFonts w:ascii="Times New Roman" w:hAnsi="Times New Roman" w:cs="Times New Roman"/>
          <w:lang w:val="fr-CA"/>
        </w:rPr>
        <w:tab/>
      </w:r>
      <w:r>
        <w:rPr>
          <w:rFonts w:ascii="Times New Roman" w:hAnsi="Times New Roman" w:cs="Times New Roman"/>
          <w:lang w:val="fr-CA"/>
        </w:rPr>
        <w:t>Motifs du juge en chambre, par. </w:t>
      </w:r>
      <w:r w:rsidRPr="00C064BE">
        <w:rPr>
          <w:rFonts w:ascii="Times New Roman" w:hAnsi="Times New Roman" w:cs="Times New Roman"/>
          <w:lang w:val="fr-CA"/>
        </w:rPr>
        <w:t>266.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90" w:rsidRPr="00450352" w:rsidRDefault="00AE5E90"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2DD"/>
    <w:multiLevelType w:val="hybridMultilevel"/>
    <w:tmpl w:val="9B26700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917277"/>
    <w:multiLevelType w:val="hybridMultilevel"/>
    <w:tmpl w:val="3668B1F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C35A41"/>
    <w:multiLevelType w:val="hybridMultilevel"/>
    <w:tmpl w:val="880239F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DF6979"/>
    <w:multiLevelType w:val="hybridMultilevel"/>
    <w:tmpl w:val="199E4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D37AA9"/>
    <w:multiLevelType w:val="hybridMultilevel"/>
    <w:tmpl w:val="EA08EBC2"/>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9F65912"/>
    <w:multiLevelType w:val="hybridMultilevel"/>
    <w:tmpl w:val="901AE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92703B"/>
    <w:multiLevelType w:val="hybridMultilevel"/>
    <w:tmpl w:val="4E8A94EA"/>
    <w:lvl w:ilvl="0" w:tplc="AC8CF504">
      <w:start w:val="8"/>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D24D71"/>
    <w:multiLevelType w:val="hybridMultilevel"/>
    <w:tmpl w:val="7DC2F09C"/>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603130A"/>
    <w:multiLevelType w:val="multilevel"/>
    <w:tmpl w:val="C2608E7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C32228"/>
    <w:multiLevelType w:val="hybridMultilevel"/>
    <w:tmpl w:val="BE40328E"/>
    <w:lvl w:ilvl="0" w:tplc="D7E4C3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4283EE8"/>
    <w:multiLevelType w:val="multilevel"/>
    <w:tmpl w:val="4DDECC0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CC4821"/>
    <w:multiLevelType w:val="hybridMultilevel"/>
    <w:tmpl w:val="A9606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1E354AD"/>
    <w:multiLevelType w:val="hybridMultilevel"/>
    <w:tmpl w:val="8872F65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4"/>
  </w:num>
  <w:num w:numId="4">
    <w:abstractNumId w:val="3"/>
  </w:num>
  <w:num w:numId="5">
    <w:abstractNumId w:val="11"/>
  </w:num>
  <w:num w:numId="6">
    <w:abstractNumId w:val="12"/>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13"/>
  </w:num>
  <w:num w:numId="11">
    <w:abstractNumId w:val="9"/>
  </w:num>
  <w:num w:numId="12">
    <w:abstractNumId w:val="17"/>
  </w:num>
  <w:num w:numId="13">
    <w:abstractNumId w:val="1"/>
  </w:num>
  <w:num w:numId="14">
    <w:abstractNumId w:val="5"/>
  </w:num>
  <w:num w:numId="15">
    <w:abstractNumId w:val="6"/>
  </w:num>
  <w:num w:numId="16">
    <w:abstractNumId w:val="2"/>
  </w:num>
  <w:num w:numId="17">
    <w:abstractNumId w:val="0"/>
  </w:num>
  <w:num w:numId="18">
    <w:abstractNumId w:val="7"/>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8F7"/>
    <w:rsid w:val="00015A0A"/>
    <w:rsid w:val="000231DD"/>
    <w:rsid w:val="00023FC7"/>
    <w:rsid w:val="00025198"/>
    <w:rsid w:val="00031F62"/>
    <w:rsid w:val="0003473B"/>
    <w:rsid w:val="000415DD"/>
    <w:rsid w:val="000578A3"/>
    <w:rsid w:val="00064434"/>
    <w:rsid w:val="000648CC"/>
    <w:rsid w:val="00065721"/>
    <w:rsid w:val="00086262"/>
    <w:rsid w:val="00096FDF"/>
    <w:rsid w:val="000A5373"/>
    <w:rsid w:val="000A5D1D"/>
    <w:rsid w:val="000C1BD3"/>
    <w:rsid w:val="000C1F96"/>
    <w:rsid w:val="000C3CF5"/>
    <w:rsid w:val="000C438A"/>
    <w:rsid w:val="000C59B8"/>
    <w:rsid w:val="000C6AF0"/>
    <w:rsid w:val="000D0A77"/>
    <w:rsid w:val="000E17F5"/>
    <w:rsid w:val="000F7993"/>
    <w:rsid w:val="00104F33"/>
    <w:rsid w:val="001062C6"/>
    <w:rsid w:val="00111DE2"/>
    <w:rsid w:val="00116B38"/>
    <w:rsid w:val="001233DD"/>
    <w:rsid w:val="0013124B"/>
    <w:rsid w:val="00135406"/>
    <w:rsid w:val="00135972"/>
    <w:rsid w:val="001426A9"/>
    <w:rsid w:val="0014634A"/>
    <w:rsid w:val="00154D7C"/>
    <w:rsid w:val="001570B0"/>
    <w:rsid w:val="0015752C"/>
    <w:rsid w:val="00157737"/>
    <w:rsid w:val="001644D7"/>
    <w:rsid w:val="00165277"/>
    <w:rsid w:val="00170592"/>
    <w:rsid w:val="001720F7"/>
    <w:rsid w:val="00172DB1"/>
    <w:rsid w:val="0017448A"/>
    <w:rsid w:val="00176BB6"/>
    <w:rsid w:val="0019446B"/>
    <w:rsid w:val="00195D83"/>
    <w:rsid w:val="001A00C1"/>
    <w:rsid w:val="001A1E93"/>
    <w:rsid w:val="001A3A0A"/>
    <w:rsid w:val="001A6852"/>
    <w:rsid w:val="001B1D1E"/>
    <w:rsid w:val="001B33E0"/>
    <w:rsid w:val="001B4573"/>
    <w:rsid w:val="001B4E27"/>
    <w:rsid w:val="001C779F"/>
    <w:rsid w:val="001D2AC1"/>
    <w:rsid w:val="001D4E88"/>
    <w:rsid w:val="001E3F74"/>
    <w:rsid w:val="00201AC1"/>
    <w:rsid w:val="00220FC2"/>
    <w:rsid w:val="002222F4"/>
    <w:rsid w:val="00222DB8"/>
    <w:rsid w:val="00224FC0"/>
    <w:rsid w:val="00225EA4"/>
    <w:rsid w:val="00226EAF"/>
    <w:rsid w:val="00231AB2"/>
    <w:rsid w:val="00231F3A"/>
    <w:rsid w:val="0023715A"/>
    <w:rsid w:val="00240538"/>
    <w:rsid w:val="002406EE"/>
    <w:rsid w:val="00243EC8"/>
    <w:rsid w:val="00256E2F"/>
    <w:rsid w:val="00257871"/>
    <w:rsid w:val="00270D93"/>
    <w:rsid w:val="002745CC"/>
    <w:rsid w:val="0028560B"/>
    <w:rsid w:val="00293252"/>
    <w:rsid w:val="002B374E"/>
    <w:rsid w:val="002B6FBE"/>
    <w:rsid w:val="002B7924"/>
    <w:rsid w:val="002C10A6"/>
    <w:rsid w:val="002D28C3"/>
    <w:rsid w:val="002D39A4"/>
    <w:rsid w:val="002E6705"/>
    <w:rsid w:val="002E71E6"/>
    <w:rsid w:val="002F2B42"/>
    <w:rsid w:val="002F3BF9"/>
    <w:rsid w:val="0030329A"/>
    <w:rsid w:val="00304C6B"/>
    <w:rsid w:val="00305915"/>
    <w:rsid w:val="0031086F"/>
    <w:rsid w:val="0031414C"/>
    <w:rsid w:val="00314E01"/>
    <w:rsid w:val="003158A4"/>
    <w:rsid w:val="003165BB"/>
    <w:rsid w:val="0032089D"/>
    <w:rsid w:val="00325998"/>
    <w:rsid w:val="00326F81"/>
    <w:rsid w:val="003310DE"/>
    <w:rsid w:val="003323B0"/>
    <w:rsid w:val="003341E9"/>
    <w:rsid w:val="00340A49"/>
    <w:rsid w:val="003423C2"/>
    <w:rsid w:val="00344EE0"/>
    <w:rsid w:val="00350DCD"/>
    <w:rsid w:val="0035169A"/>
    <w:rsid w:val="0035259D"/>
    <w:rsid w:val="00364B18"/>
    <w:rsid w:val="00385798"/>
    <w:rsid w:val="00385BBC"/>
    <w:rsid w:val="00390E84"/>
    <w:rsid w:val="0039149D"/>
    <w:rsid w:val="003A125D"/>
    <w:rsid w:val="003A4C70"/>
    <w:rsid w:val="003B215F"/>
    <w:rsid w:val="003B7C99"/>
    <w:rsid w:val="003C799C"/>
    <w:rsid w:val="003D0399"/>
    <w:rsid w:val="003E1C71"/>
    <w:rsid w:val="003E3EDE"/>
    <w:rsid w:val="003F327B"/>
    <w:rsid w:val="003F5B17"/>
    <w:rsid w:val="00404864"/>
    <w:rsid w:val="00406166"/>
    <w:rsid w:val="0040704B"/>
    <w:rsid w:val="00410A55"/>
    <w:rsid w:val="00411300"/>
    <w:rsid w:val="00413867"/>
    <w:rsid w:val="00413F17"/>
    <w:rsid w:val="00415417"/>
    <w:rsid w:val="00415736"/>
    <w:rsid w:val="00424818"/>
    <w:rsid w:val="00426659"/>
    <w:rsid w:val="00430441"/>
    <w:rsid w:val="00441A19"/>
    <w:rsid w:val="00441D7F"/>
    <w:rsid w:val="00450352"/>
    <w:rsid w:val="00454BDB"/>
    <w:rsid w:val="00463140"/>
    <w:rsid w:val="00465132"/>
    <w:rsid w:val="00480C90"/>
    <w:rsid w:val="0048396F"/>
    <w:rsid w:val="00493C18"/>
    <w:rsid w:val="004A213C"/>
    <w:rsid w:val="004A451C"/>
    <w:rsid w:val="004A600C"/>
    <w:rsid w:val="004A6118"/>
    <w:rsid w:val="004B7237"/>
    <w:rsid w:val="004C478D"/>
    <w:rsid w:val="004C4A99"/>
    <w:rsid w:val="004D7D95"/>
    <w:rsid w:val="004E0BFA"/>
    <w:rsid w:val="004E2C26"/>
    <w:rsid w:val="004E36FB"/>
    <w:rsid w:val="004E553F"/>
    <w:rsid w:val="004E75DE"/>
    <w:rsid w:val="005008BB"/>
    <w:rsid w:val="005125A8"/>
    <w:rsid w:val="00517549"/>
    <w:rsid w:val="00520ABC"/>
    <w:rsid w:val="00521AE8"/>
    <w:rsid w:val="00523F49"/>
    <w:rsid w:val="00525F2B"/>
    <w:rsid w:val="00527180"/>
    <w:rsid w:val="005271E3"/>
    <w:rsid w:val="0053257B"/>
    <w:rsid w:val="00541EFD"/>
    <w:rsid w:val="005502FC"/>
    <w:rsid w:val="005545E2"/>
    <w:rsid w:val="00555291"/>
    <w:rsid w:val="00562F04"/>
    <w:rsid w:val="005644F1"/>
    <w:rsid w:val="00566AD1"/>
    <w:rsid w:val="00577D00"/>
    <w:rsid w:val="00583EDE"/>
    <w:rsid w:val="00597E87"/>
    <w:rsid w:val="00597EE2"/>
    <w:rsid w:val="005A5455"/>
    <w:rsid w:val="005A6079"/>
    <w:rsid w:val="005B061F"/>
    <w:rsid w:val="005B0D20"/>
    <w:rsid w:val="005C4C93"/>
    <w:rsid w:val="005C6A68"/>
    <w:rsid w:val="005D5C99"/>
    <w:rsid w:val="005E4698"/>
    <w:rsid w:val="005F54D7"/>
    <w:rsid w:val="005F706D"/>
    <w:rsid w:val="00603924"/>
    <w:rsid w:val="00610539"/>
    <w:rsid w:val="00613189"/>
    <w:rsid w:val="00613969"/>
    <w:rsid w:val="00613DD4"/>
    <w:rsid w:val="00616693"/>
    <w:rsid w:val="00616BCB"/>
    <w:rsid w:val="00625C35"/>
    <w:rsid w:val="006325CF"/>
    <w:rsid w:val="00633A6A"/>
    <w:rsid w:val="00634CB0"/>
    <w:rsid w:val="00647E49"/>
    <w:rsid w:val="00656313"/>
    <w:rsid w:val="006565F4"/>
    <w:rsid w:val="0067674F"/>
    <w:rsid w:val="00683B3C"/>
    <w:rsid w:val="00684EEA"/>
    <w:rsid w:val="00686BFC"/>
    <w:rsid w:val="0069689B"/>
    <w:rsid w:val="006A43F5"/>
    <w:rsid w:val="006B475F"/>
    <w:rsid w:val="006B5FF5"/>
    <w:rsid w:val="006F30AF"/>
    <w:rsid w:val="006F412F"/>
    <w:rsid w:val="00700FF7"/>
    <w:rsid w:val="00701759"/>
    <w:rsid w:val="00703242"/>
    <w:rsid w:val="00705C15"/>
    <w:rsid w:val="007110F6"/>
    <w:rsid w:val="007208D1"/>
    <w:rsid w:val="007221FA"/>
    <w:rsid w:val="00731301"/>
    <w:rsid w:val="00744518"/>
    <w:rsid w:val="00747288"/>
    <w:rsid w:val="00747DD3"/>
    <w:rsid w:val="007549C8"/>
    <w:rsid w:val="00760C9D"/>
    <w:rsid w:val="00766D14"/>
    <w:rsid w:val="00767A0F"/>
    <w:rsid w:val="00782A00"/>
    <w:rsid w:val="00791272"/>
    <w:rsid w:val="007A05F6"/>
    <w:rsid w:val="007A46EB"/>
    <w:rsid w:val="007B6F4A"/>
    <w:rsid w:val="007B7B84"/>
    <w:rsid w:val="007C0F53"/>
    <w:rsid w:val="007C36E0"/>
    <w:rsid w:val="007D4663"/>
    <w:rsid w:val="007D65B6"/>
    <w:rsid w:val="007E1C47"/>
    <w:rsid w:val="007E209F"/>
    <w:rsid w:val="007E337A"/>
    <w:rsid w:val="007E54B4"/>
    <w:rsid w:val="007E5C70"/>
    <w:rsid w:val="007F19AD"/>
    <w:rsid w:val="007F2FF5"/>
    <w:rsid w:val="007F3F08"/>
    <w:rsid w:val="007F4F96"/>
    <w:rsid w:val="00804CC6"/>
    <w:rsid w:val="00814523"/>
    <w:rsid w:val="00817190"/>
    <w:rsid w:val="00825613"/>
    <w:rsid w:val="008260E2"/>
    <w:rsid w:val="00830F68"/>
    <w:rsid w:val="008317A2"/>
    <w:rsid w:val="008322BD"/>
    <w:rsid w:val="00834F73"/>
    <w:rsid w:val="00840DF2"/>
    <w:rsid w:val="00846F4C"/>
    <w:rsid w:val="00847386"/>
    <w:rsid w:val="00850368"/>
    <w:rsid w:val="00850FC7"/>
    <w:rsid w:val="0085344B"/>
    <w:rsid w:val="00864C8A"/>
    <w:rsid w:val="00864CF8"/>
    <w:rsid w:val="00874914"/>
    <w:rsid w:val="00883B02"/>
    <w:rsid w:val="00891422"/>
    <w:rsid w:val="00892E1A"/>
    <w:rsid w:val="00897082"/>
    <w:rsid w:val="008B660A"/>
    <w:rsid w:val="008B6FA0"/>
    <w:rsid w:val="008C01DA"/>
    <w:rsid w:val="008F2674"/>
    <w:rsid w:val="008F78E9"/>
    <w:rsid w:val="009179F9"/>
    <w:rsid w:val="00917C7A"/>
    <w:rsid w:val="00923A8E"/>
    <w:rsid w:val="00926B45"/>
    <w:rsid w:val="009277B0"/>
    <w:rsid w:val="00933E5E"/>
    <w:rsid w:val="00935218"/>
    <w:rsid w:val="00937C52"/>
    <w:rsid w:val="009403F3"/>
    <w:rsid w:val="00942686"/>
    <w:rsid w:val="0094552B"/>
    <w:rsid w:val="009469E5"/>
    <w:rsid w:val="00954700"/>
    <w:rsid w:val="0095555D"/>
    <w:rsid w:val="009555B7"/>
    <w:rsid w:val="009567AA"/>
    <w:rsid w:val="009602C9"/>
    <w:rsid w:val="0096270D"/>
    <w:rsid w:val="00967374"/>
    <w:rsid w:val="00971ADD"/>
    <w:rsid w:val="00971AFA"/>
    <w:rsid w:val="00972B70"/>
    <w:rsid w:val="00973890"/>
    <w:rsid w:val="00984B69"/>
    <w:rsid w:val="00986013"/>
    <w:rsid w:val="00987B24"/>
    <w:rsid w:val="009A343A"/>
    <w:rsid w:val="009B2F23"/>
    <w:rsid w:val="009B57B3"/>
    <w:rsid w:val="009B6A7B"/>
    <w:rsid w:val="009C3835"/>
    <w:rsid w:val="009C4918"/>
    <w:rsid w:val="009C7500"/>
    <w:rsid w:val="009D2920"/>
    <w:rsid w:val="009D4D14"/>
    <w:rsid w:val="009D5AEB"/>
    <w:rsid w:val="009E38B3"/>
    <w:rsid w:val="009F027D"/>
    <w:rsid w:val="009F0E33"/>
    <w:rsid w:val="009F583A"/>
    <w:rsid w:val="00A149DF"/>
    <w:rsid w:val="00A1755C"/>
    <w:rsid w:val="00A20722"/>
    <w:rsid w:val="00A21B90"/>
    <w:rsid w:val="00A22AAC"/>
    <w:rsid w:val="00A23F2F"/>
    <w:rsid w:val="00A30331"/>
    <w:rsid w:val="00A41805"/>
    <w:rsid w:val="00A45D2C"/>
    <w:rsid w:val="00A51882"/>
    <w:rsid w:val="00A52AFB"/>
    <w:rsid w:val="00A548CB"/>
    <w:rsid w:val="00A5521C"/>
    <w:rsid w:val="00A643E7"/>
    <w:rsid w:val="00A67929"/>
    <w:rsid w:val="00A73C38"/>
    <w:rsid w:val="00A82C86"/>
    <w:rsid w:val="00A94E59"/>
    <w:rsid w:val="00A96002"/>
    <w:rsid w:val="00AA0A69"/>
    <w:rsid w:val="00AA3A5B"/>
    <w:rsid w:val="00AB670D"/>
    <w:rsid w:val="00AE216E"/>
    <w:rsid w:val="00AE42F4"/>
    <w:rsid w:val="00AE5E90"/>
    <w:rsid w:val="00AF03C5"/>
    <w:rsid w:val="00B000D8"/>
    <w:rsid w:val="00B00F75"/>
    <w:rsid w:val="00B145B6"/>
    <w:rsid w:val="00B279EB"/>
    <w:rsid w:val="00B50C81"/>
    <w:rsid w:val="00B52440"/>
    <w:rsid w:val="00B557F8"/>
    <w:rsid w:val="00B67B32"/>
    <w:rsid w:val="00B67C98"/>
    <w:rsid w:val="00B72661"/>
    <w:rsid w:val="00B743FE"/>
    <w:rsid w:val="00B74EDE"/>
    <w:rsid w:val="00B815FC"/>
    <w:rsid w:val="00B81785"/>
    <w:rsid w:val="00B93FBC"/>
    <w:rsid w:val="00B96857"/>
    <w:rsid w:val="00BA7DA0"/>
    <w:rsid w:val="00BB2EE4"/>
    <w:rsid w:val="00BB4C92"/>
    <w:rsid w:val="00BB4F78"/>
    <w:rsid w:val="00BB6553"/>
    <w:rsid w:val="00BC2108"/>
    <w:rsid w:val="00BC58A7"/>
    <w:rsid w:val="00BD0E9E"/>
    <w:rsid w:val="00BD1BEC"/>
    <w:rsid w:val="00BD32FF"/>
    <w:rsid w:val="00BE71B7"/>
    <w:rsid w:val="00BF0035"/>
    <w:rsid w:val="00BF1CF9"/>
    <w:rsid w:val="00BF6FE9"/>
    <w:rsid w:val="00C02092"/>
    <w:rsid w:val="00C24D91"/>
    <w:rsid w:val="00C26DB2"/>
    <w:rsid w:val="00C27148"/>
    <w:rsid w:val="00C32386"/>
    <w:rsid w:val="00C33682"/>
    <w:rsid w:val="00C53F14"/>
    <w:rsid w:val="00C600CF"/>
    <w:rsid w:val="00C6084F"/>
    <w:rsid w:val="00C62A66"/>
    <w:rsid w:val="00C66359"/>
    <w:rsid w:val="00C71458"/>
    <w:rsid w:val="00C71A64"/>
    <w:rsid w:val="00C746AC"/>
    <w:rsid w:val="00C77613"/>
    <w:rsid w:val="00C80637"/>
    <w:rsid w:val="00C812E5"/>
    <w:rsid w:val="00C828E7"/>
    <w:rsid w:val="00C86719"/>
    <w:rsid w:val="00C921DD"/>
    <w:rsid w:val="00C928E6"/>
    <w:rsid w:val="00C93F4A"/>
    <w:rsid w:val="00C97483"/>
    <w:rsid w:val="00CA0667"/>
    <w:rsid w:val="00CA4195"/>
    <w:rsid w:val="00CA6391"/>
    <w:rsid w:val="00CB2113"/>
    <w:rsid w:val="00CB40AD"/>
    <w:rsid w:val="00CC7981"/>
    <w:rsid w:val="00CE036E"/>
    <w:rsid w:val="00CE3171"/>
    <w:rsid w:val="00CF0C90"/>
    <w:rsid w:val="00CF1538"/>
    <w:rsid w:val="00CF1601"/>
    <w:rsid w:val="00D0032C"/>
    <w:rsid w:val="00D0172F"/>
    <w:rsid w:val="00D01E33"/>
    <w:rsid w:val="00D068A7"/>
    <w:rsid w:val="00D17476"/>
    <w:rsid w:val="00D32086"/>
    <w:rsid w:val="00D32D2A"/>
    <w:rsid w:val="00D37A3F"/>
    <w:rsid w:val="00D4431D"/>
    <w:rsid w:val="00D4667A"/>
    <w:rsid w:val="00D63A1C"/>
    <w:rsid w:val="00D63D34"/>
    <w:rsid w:val="00D653CA"/>
    <w:rsid w:val="00D7018E"/>
    <w:rsid w:val="00D7516F"/>
    <w:rsid w:val="00D95F48"/>
    <w:rsid w:val="00D95F8E"/>
    <w:rsid w:val="00DA0590"/>
    <w:rsid w:val="00DA6C51"/>
    <w:rsid w:val="00DB1FE9"/>
    <w:rsid w:val="00DB5A87"/>
    <w:rsid w:val="00DC077E"/>
    <w:rsid w:val="00DC1739"/>
    <w:rsid w:val="00DC1788"/>
    <w:rsid w:val="00DD4D8E"/>
    <w:rsid w:val="00DD5107"/>
    <w:rsid w:val="00DE08C2"/>
    <w:rsid w:val="00DE319C"/>
    <w:rsid w:val="00DF0CA8"/>
    <w:rsid w:val="00DF2B48"/>
    <w:rsid w:val="00DF49A7"/>
    <w:rsid w:val="00DF7A53"/>
    <w:rsid w:val="00E00527"/>
    <w:rsid w:val="00E067E2"/>
    <w:rsid w:val="00E07EE2"/>
    <w:rsid w:val="00E07FD1"/>
    <w:rsid w:val="00E14653"/>
    <w:rsid w:val="00E24573"/>
    <w:rsid w:val="00E25E1E"/>
    <w:rsid w:val="00E27EE7"/>
    <w:rsid w:val="00E35404"/>
    <w:rsid w:val="00E45109"/>
    <w:rsid w:val="00E45644"/>
    <w:rsid w:val="00E47B7A"/>
    <w:rsid w:val="00E54432"/>
    <w:rsid w:val="00E56A44"/>
    <w:rsid w:val="00E60269"/>
    <w:rsid w:val="00E61024"/>
    <w:rsid w:val="00E665DC"/>
    <w:rsid w:val="00E71E5F"/>
    <w:rsid w:val="00E74A40"/>
    <w:rsid w:val="00E81957"/>
    <w:rsid w:val="00E97830"/>
    <w:rsid w:val="00EA2420"/>
    <w:rsid w:val="00ED771C"/>
    <w:rsid w:val="00EE0830"/>
    <w:rsid w:val="00EE4A9E"/>
    <w:rsid w:val="00EE6CB8"/>
    <w:rsid w:val="00EF0683"/>
    <w:rsid w:val="00EF3D62"/>
    <w:rsid w:val="00F0070C"/>
    <w:rsid w:val="00F00EB7"/>
    <w:rsid w:val="00F00F3F"/>
    <w:rsid w:val="00F100FC"/>
    <w:rsid w:val="00F133A1"/>
    <w:rsid w:val="00F1397A"/>
    <w:rsid w:val="00F23D6E"/>
    <w:rsid w:val="00F2450F"/>
    <w:rsid w:val="00F26C0B"/>
    <w:rsid w:val="00F36AB6"/>
    <w:rsid w:val="00F3787F"/>
    <w:rsid w:val="00F37A09"/>
    <w:rsid w:val="00F409CE"/>
    <w:rsid w:val="00F41E37"/>
    <w:rsid w:val="00F4379D"/>
    <w:rsid w:val="00F50D2D"/>
    <w:rsid w:val="00F5626F"/>
    <w:rsid w:val="00F56C8B"/>
    <w:rsid w:val="00F600BB"/>
    <w:rsid w:val="00F62639"/>
    <w:rsid w:val="00F66810"/>
    <w:rsid w:val="00F72A5C"/>
    <w:rsid w:val="00F84DF4"/>
    <w:rsid w:val="00F85C97"/>
    <w:rsid w:val="00F925B7"/>
    <w:rsid w:val="00FA2921"/>
    <w:rsid w:val="00FA66E8"/>
    <w:rsid w:val="00FB37D2"/>
    <w:rsid w:val="00FC46D5"/>
    <w:rsid w:val="00FC4EFB"/>
    <w:rsid w:val="00FD03F3"/>
    <w:rsid w:val="00FD068D"/>
    <w:rsid w:val="00FD4F28"/>
    <w:rsid w:val="00FE1035"/>
    <w:rsid w:val="00FE6784"/>
    <w:rsid w:val="00FE6B12"/>
    <w:rsid w:val="00FE7A8B"/>
    <w:rsid w:val="00FF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EA2420"/>
    <w:rPr>
      <w:color w:val="0000FF" w:themeColor="hyperlink"/>
      <w:u w:val="single"/>
    </w:rPr>
  </w:style>
  <w:style w:type="paragraph" w:customStyle="1" w:styleId="ParaNoNdepar-AltN">
    <w:name w:val="Para. No. / Nº de par. - Alt N"/>
    <w:qFormat/>
    <w:rsid w:val="00C928E6"/>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6572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65721"/>
    <w:rPr>
      <w:rFonts w:eastAsiaTheme="minorHAnsi" w:cstheme="minorBidi"/>
      <w:sz w:val="24"/>
      <w:szCs w:val="22"/>
      <w:lang w:eastAsia="en-US"/>
    </w:rPr>
  </w:style>
  <w:style w:type="paragraph" w:customStyle="1" w:styleId="SCCCoram">
    <w:name w:val="SCC.Coram"/>
    <w:basedOn w:val="Normal"/>
    <w:next w:val="Normal"/>
    <w:link w:val="SCCCoramChar"/>
    <w:rsid w:val="0006572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65721"/>
    <w:rPr>
      <w:rFonts w:eastAsiaTheme="minorHAnsi" w:cstheme="minorBidi"/>
      <w:sz w:val="24"/>
      <w:szCs w:val="22"/>
      <w:lang w:eastAsia="en-US"/>
    </w:rPr>
  </w:style>
  <w:style w:type="character" w:customStyle="1" w:styleId="SCCBanSummaryChar">
    <w:name w:val="SCC.BanSummary Char"/>
    <w:basedOn w:val="DefaultParagraphFont"/>
    <w:link w:val="SCCBanSummary"/>
    <w:rsid w:val="00065721"/>
    <w:rPr>
      <w:b/>
      <w:sz w:val="24"/>
    </w:rPr>
  </w:style>
  <w:style w:type="table" w:styleId="TableGrid">
    <w:name w:val="Table Grid"/>
    <w:basedOn w:val="TableNormal"/>
    <w:uiPriority w:val="59"/>
    <w:rsid w:val="0006572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6572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6572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6572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65721"/>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65721"/>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065721"/>
    <w:pPr>
      <w:numPr>
        <w:ilvl w:val="2"/>
      </w:numPr>
    </w:pPr>
  </w:style>
  <w:style w:type="paragraph" w:customStyle="1" w:styleId="Title4LevelTitre4Niveau">
    <w:name w:val="Title 4 Level / Titre 4 Niveau"/>
    <w:basedOn w:val="Title3LevelTitre3Niveau"/>
    <w:next w:val="ParaNoNdepar-AltN"/>
    <w:uiPriority w:val="4"/>
    <w:qFormat/>
    <w:rsid w:val="00065721"/>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065721"/>
    <w:pPr>
      <w:numPr>
        <w:ilvl w:val="4"/>
      </w:numPr>
    </w:pPr>
  </w:style>
  <w:style w:type="paragraph" w:styleId="TOC1">
    <w:name w:val="toc 1"/>
    <w:basedOn w:val="Normal"/>
    <w:next w:val="Normal"/>
    <w:autoRedefine/>
    <w:uiPriority w:val="39"/>
    <w:unhideWhenUsed/>
    <w:rsid w:val="0006572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6572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6572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6572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6572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65721"/>
    <w:pPr>
      <w:tabs>
        <w:tab w:val="left" w:pos="2160"/>
        <w:tab w:val="right" w:leader="dot" w:pos="8270"/>
      </w:tabs>
      <w:spacing w:after="100"/>
      <w:ind w:left="1800"/>
    </w:pPr>
    <w:rPr>
      <w:noProof/>
    </w:rPr>
  </w:style>
  <w:style w:type="table" w:customStyle="1" w:styleId="TableGrid1">
    <w:name w:val="Table Grid1"/>
    <w:basedOn w:val="TableNormal"/>
    <w:uiPriority w:val="59"/>
    <w:rsid w:val="0006572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65721"/>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65721"/>
    <w:pPr>
      <w:numPr>
        <w:ilvl w:val="5"/>
      </w:numPr>
    </w:pPr>
    <w:rPr>
      <w:i/>
      <w:u w:val="none"/>
    </w:rPr>
  </w:style>
  <w:style w:type="character" w:styleId="CommentReference">
    <w:name w:val="annotation reference"/>
    <w:basedOn w:val="DefaultParagraphFont"/>
    <w:uiPriority w:val="99"/>
    <w:semiHidden/>
    <w:unhideWhenUsed/>
    <w:rsid w:val="00065721"/>
    <w:rPr>
      <w:sz w:val="16"/>
      <w:szCs w:val="16"/>
    </w:rPr>
  </w:style>
  <w:style w:type="paragraph" w:styleId="CommentText">
    <w:name w:val="annotation text"/>
    <w:basedOn w:val="Normal"/>
    <w:link w:val="CommentTextChar"/>
    <w:uiPriority w:val="99"/>
    <w:unhideWhenUsed/>
    <w:rsid w:val="00065721"/>
    <w:rPr>
      <w:sz w:val="20"/>
    </w:rPr>
  </w:style>
  <w:style w:type="character" w:customStyle="1" w:styleId="CommentTextChar">
    <w:name w:val="Comment Text Char"/>
    <w:basedOn w:val="DefaultParagraphFont"/>
    <w:link w:val="CommentText"/>
    <w:uiPriority w:val="99"/>
    <w:rsid w:val="00065721"/>
  </w:style>
  <w:style w:type="paragraph" w:styleId="CommentSubject">
    <w:name w:val="annotation subject"/>
    <w:basedOn w:val="CommentText"/>
    <w:next w:val="CommentText"/>
    <w:link w:val="CommentSubjectChar"/>
    <w:uiPriority w:val="99"/>
    <w:semiHidden/>
    <w:unhideWhenUsed/>
    <w:rsid w:val="00065721"/>
    <w:rPr>
      <w:b/>
      <w:bCs/>
    </w:rPr>
  </w:style>
  <w:style w:type="character" w:customStyle="1" w:styleId="CommentSubjectChar">
    <w:name w:val="Comment Subject Char"/>
    <w:basedOn w:val="CommentTextChar"/>
    <w:link w:val="CommentSubject"/>
    <w:uiPriority w:val="99"/>
    <w:semiHidden/>
    <w:rsid w:val="00065721"/>
    <w:rPr>
      <w:b/>
      <w:bCs/>
    </w:rPr>
  </w:style>
  <w:style w:type="paragraph" w:styleId="ListParagraph">
    <w:name w:val="List Paragraph"/>
    <w:basedOn w:val="Normal"/>
    <w:uiPriority w:val="34"/>
    <w:qFormat/>
    <w:rsid w:val="00065721"/>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065721"/>
    <w:pPr>
      <w:spacing w:before="100" w:beforeAutospacing="1" w:after="100" w:afterAutospacing="1"/>
    </w:pPr>
    <w:rPr>
      <w:rFonts w:ascii="Times" w:eastAsiaTheme="minorEastAsia" w:hAnsi="Times"/>
      <w:sz w:val="20"/>
      <w:lang w:val="en-US" w:eastAsia="en-US"/>
    </w:rPr>
  </w:style>
  <w:style w:type="character" w:customStyle="1" w:styleId="FootnoteTextChar">
    <w:name w:val="Footnote Text Char"/>
    <w:basedOn w:val="DefaultParagraphFont"/>
    <w:link w:val="FootnoteText"/>
    <w:uiPriority w:val="99"/>
    <w:semiHidden/>
    <w:rsid w:val="00065721"/>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065721"/>
    <w:rPr>
      <w:rFonts w:asciiTheme="minorHAnsi" w:eastAsiaTheme="minorHAnsi" w:hAnsiTheme="minorHAnsi" w:cstheme="minorBidi"/>
      <w:sz w:val="20"/>
      <w:lang w:eastAsia="en-US"/>
    </w:rPr>
  </w:style>
  <w:style w:type="character" w:customStyle="1" w:styleId="FootnoteTextChar1">
    <w:name w:val="Footnote Text Char1"/>
    <w:basedOn w:val="DefaultParagraphFont"/>
    <w:uiPriority w:val="99"/>
    <w:semiHidden/>
    <w:rsid w:val="00065721"/>
  </w:style>
  <w:style w:type="paragraph" w:customStyle="1" w:styleId="Quote1">
    <w:name w:val="Quote1"/>
    <w:aliases w:val="Qoute,quote"/>
    <w:basedOn w:val="Normal"/>
    <w:autoRedefine/>
    <w:qFormat/>
    <w:rsid w:val="00065721"/>
    <w:pPr>
      <w:tabs>
        <w:tab w:val="left" w:pos="1800"/>
        <w:tab w:val="left" w:pos="8640"/>
      </w:tabs>
      <w:spacing w:after="360"/>
      <w:ind w:left="1800" w:right="720"/>
      <w:jc w:val="both"/>
    </w:pPr>
    <w:rPr>
      <w:sz w:val="22"/>
      <w:szCs w:val="22"/>
      <w:lang w:val="en-US"/>
    </w:rPr>
  </w:style>
  <w:style w:type="character" w:styleId="SubtleEmphasis">
    <w:name w:val="Subtle Emphasis"/>
    <w:basedOn w:val="DefaultParagraphFont"/>
    <w:uiPriority w:val="19"/>
    <w:qFormat/>
    <w:rsid w:val="00065721"/>
    <w:rPr>
      <w:i/>
      <w:iCs/>
      <w:color w:val="808080" w:themeColor="text1" w:themeTint="7F"/>
    </w:rPr>
  </w:style>
  <w:style w:type="paragraph" w:customStyle="1" w:styleId="paranondepar-altn1">
    <w:name w:val="paranondepar-altn1"/>
    <w:basedOn w:val="Normal"/>
    <w:rsid w:val="00065721"/>
    <w:pPr>
      <w:spacing w:before="480" w:after="480" w:line="480" w:lineRule="auto"/>
      <w:jc w:val="both"/>
    </w:pPr>
    <w:rPr>
      <w:szCs w:val="24"/>
    </w:rPr>
  </w:style>
  <w:style w:type="paragraph" w:customStyle="1" w:styleId="title1leveltitre1niveau-altl1">
    <w:name w:val="title1leveltitre1niveau-altl1"/>
    <w:basedOn w:val="Normal"/>
    <w:rsid w:val="00065721"/>
    <w:pPr>
      <w:spacing w:before="480" w:after="720"/>
      <w:ind w:left="576" w:hanging="576"/>
    </w:pPr>
    <w:rPr>
      <w:szCs w:val="24"/>
      <w:u w:val="single"/>
    </w:rPr>
  </w:style>
  <w:style w:type="character" w:styleId="FootnoteReference">
    <w:name w:val="footnote reference"/>
    <w:basedOn w:val="DefaultParagraphFont"/>
    <w:uiPriority w:val="99"/>
    <w:semiHidden/>
    <w:unhideWhenUsed/>
    <w:rsid w:val="00065721"/>
    <w:rPr>
      <w:vertAlign w:val="superscript"/>
    </w:rPr>
  </w:style>
  <w:style w:type="paragraph" w:customStyle="1" w:styleId="citation-altc1">
    <w:name w:val="citation-altc1"/>
    <w:basedOn w:val="Normal"/>
    <w:rsid w:val="00065721"/>
    <w:pPr>
      <w:spacing w:after="720"/>
      <w:ind w:left="1166"/>
      <w:jc w:val="both"/>
    </w:pPr>
    <w:rPr>
      <w:rFonts w:eastAsiaTheme="minorHAnsi"/>
      <w:szCs w:val="24"/>
    </w:rPr>
  </w:style>
  <w:style w:type="paragraph" w:styleId="Revision">
    <w:name w:val="Revision"/>
    <w:hidden/>
    <w:uiPriority w:val="99"/>
    <w:semiHidden/>
    <w:rsid w:val="00065721"/>
    <w:rPr>
      <w:sz w:val="24"/>
      <w:szCs w:val="24"/>
    </w:rPr>
  </w:style>
  <w:style w:type="character" w:styleId="FollowedHyperlink">
    <w:name w:val="FollowedHyperlink"/>
    <w:basedOn w:val="DefaultParagraphFont"/>
    <w:uiPriority w:val="99"/>
    <w:semiHidden/>
    <w:unhideWhenUsed/>
    <w:rsid w:val="00065721"/>
    <w:rPr>
      <w:color w:val="800080" w:themeColor="followedHyperlink"/>
      <w:u w:val="single"/>
    </w:rPr>
  </w:style>
  <w:style w:type="character" w:customStyle="1" w:styleId="SCCLsocPartyRoleChar">
    <w:name w:val="SCC.Lsoc.PartyRole Char"/>
    <w:basedOn w:val="DefaultParagraphFont"/>
    <w:rsid w:val="002E71E6"/>
    <w:rPr>
      <w:lang w:val="fr-CA"/>
    </w:rPr>
  </w:style>
  <w:style w:type="paragraph" w:customStyle="1" w:styleId="SCCLsocPrefix">
    <w:name w:val="SCC.Lsoc.Prefix"/>
    <w:basedOn w:val="Normal"/>
    <w:next w:val="Normal"/>
    <w:link w:val="SCCLsocPrefixChar"/>
    <w:rsid w:val="002E71E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E71E6"/>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15936</Words>
  <Characters>90840</Characters>
  <Application>Microsoft Office Word</Application>
  <DocSecurity>0</DocSecurity>
  <Lines>757</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2015-10-16T14:10:00Z</dcterms:created>
  <dcterms:modified xsi:type="dcterms:W3CDTF">2016-03-04T14:43:00Z</dcterms:modified>
</cp:coreProperties>
</file>