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EC" w:rsidRDefault="00DB6DEC" w:rsidP="00DB6DEC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65pt;height:64.35pt" o:ole="">
            <v:imagedata r:id="rId6" o:title=""/>
          </v:shape>
          <o:OLEObject Type="Embed" ProgID="Presentations.Drawing.13" ShapeID="_x0000_i1025" DrawAspect="Content" ObjectID="_1517990963" r:id="rId7"/>
        </w:object>
      </w:r>
      <w:r>
        <w:t xml:space="preserve"> </w:t>
      </w:r>
      <w:r>
        <w:ptab w:relativeTo="margin" w:alignment="right" w:leader="none"/>
      </w:r>
    </w:p>
    <w:p w:rsidR="00DB6DEC" w:rsidRDefault="00DB6DEC" w:rsidP="00DB6DEC">
      <w:pPr>
        <w:pStyle w:val="Header"/>
      </w:pPr>
    </w:p>
    <w:p w:rsidR="00DB6DEC" w:rsidRPr="001E12E2" w:rsidRDefault="00DB6DEC" w:rsidP="00DB6DEC">
      <w:pPr>
        <w:jc w:val="center"/>
        <w:rPr>
          <w:b/>
        </w:rPr>
      </w:pPr>
      <w:r w:rsidRPr="001E12E2">
        <w:rPr>
          <w:b/>
        </w:rPr>
        <w:t>COUR SUPRÊME DU CANADA</w:t>
      </w:r>
    </w:p>
    <w:p w:rsidR="00DB6DEC" w:rsidRDefault="00DB6DEC" w:rsidP="00DB6DEC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6768"/>
        <w:gridCol w:w="2808"/>
      </w:tblGrid>
      <w:tr w:rsidR="00DB6DEC" w:rsidRPr="001E12E2" w:rsidTr="00F045EF">
        <w:trPr>
          <w:cantSplit/>
        </w:trPr>
        <w:tc>
          <w:tcPr>
            <w:tcW w:w="6768" w:type="dxa"/>
          </w:tcPr>
          <w:p w:rsidR="00DB6DEC" w:rsidRPr="00E91BD1" w:rsidRDefault="00DB6DEC" w:rsidP="00F045EF">
            <w:pPr>
              <w:rPr>
                <w:lang w:val="fr-CA"/>
              </w:rPr>
            </w:pPr>
            <w:r w:rsidRPr="00DB6DEC">
              <w:rPr>
                <w:b/>
                <w:smallCaps/>
                <w:lang w:val="fr-CA"/>
              </w:rPr>
              <w:t>Référence :</w:t>
            </w:r>
            <w:r w:rsidRPr="00DB6DEC">
              <w:rPr>
                <w:lang w:val="fr-CA"/>
              </w:rPr>
              <w:t xml:space="preserve"> R.</w:t>
            </w:r>
            <w:bookmarkStart w:id="0" w:name="_GoBack"/>
            <w:r w:rsidRPr="00290A2E">
              <w:rPr>
                <w:i/>
                <w:lang w:val="fr-CA"/>
              </w:rPr>
              <w:t xml:space="preserve"> c. </w:t>
            </w:r>
            <w:bookmarkEnd w:id="0"/>
            <w:proofErr w:type="spellStart"/>
            <w:r w:rsidRPr="00DB6DEC">
              <w:rPr>
                <w:lang w:val="fr-CA"/>
              </w:rPr>
              <w:t>Hecimovic</w:t>
            </w:r>
            <w:proofErr w:type="spellEnd"/>
            <w:r w:rsidRPr="00DB6DEC">
              <w:rPr>
                <w:lang w:val="fr-CA"/>
              </w:rPr>
              <w:t>, 2015 CSC 54</w:t>
            </w:r>
            <w:r w:rsidR="00E91BD1" w:rsidRPr="00E91BD1">
              <w:rPr>
                <w:lang w:val="fr-CA"/>
              </w:rPr>
              <w:t>, [2015] 3 R.C.S. 483</w:t>
            </w:r>
          </w:p>
        </w:tc>
        <w:tc>
          <w:tcPr>
            <w:tcW w:w="2808" w:type="dxa"/>
          </w:tcPr>
          <w:p w:rsidR="00DB6DEC" w:rsidRPr="001E12E2" w:rsidRDefault="00DB6DEC" w:rsidP="00F045EF">
            <w:r w:rsidRPr="001E12E2">
              <w:rPr>
                <w:b/>
                <w:smallCaps/>
              </w:rPr>
              <w:t>Date</w:t>
            </w:r>
            <w:r>
              <w:rPr>
                <w:b/>
                <w:smallCaps/>
              </w:rPr>
              <w:t> :</w:t>
            </w:r>
            <w:r w:rsidRPr="001E12E2">
              <w:t xml:space="preserve"> </w:t>
            </w:r>
            <w:r>
              <w:t>20151113</w:t>
            </w:r>
          </w:p>
          <w:p w:rsidR="00DB6DEC" w:rsidRPr="001E12E2" w:rsidRDefault="00DB6DEC" w:rsidP="00F045EF">
            <w:r w:rsidRPr="001E12E2">
              <w:rPr>
                <w:b/>
                <w:smallCaps/>
              </w:rPr>
              <w:t>Do</w:t>
            </w:r>
            <w:r>
              <w:rPr>
                <w:b/>
                <w:smallCaps/>
              </w:rPr>
              <w:t>ssier :</w:t>
            </w:r>
            <w:r w:rsidRPr="001E12E2">
              <w:t xml:space="preserve"> </w:t>
            </w:r>
            <w:r>
              <w:t>36260</w:t>
            </w:r>
          </w:p>
        </w:tc>
      </w:tr>
    </w:tbl>
    <w:p w:rsidR="00DB6DEC" w:rsidRPr="001E12E2" w:rsidRDefault="00DB6DEC" w:rsidP="00DB6DEC"/>
    <w:p w:rsidR="00DB6DEC" w:rsidRDefault="00DB6DEC" w:rsidP="00DB6DEC">
      <w:pPr>
        <w:pStyle w:val="SCCLsocPrefix"/>
      </w:pPr>
      <w:r>
        <w:t>Entre :</w:t>
      </w:r>
    </w:p>
    <w:p w:rsidR="00DB6DEC" w:rsidRPr="00DB6DEC" w:rsidRDefault="00DB6DEC" w:rsidP="00E91BD1">
      <w:pPr>
        <w:pStyle w:val="SCCLsocParty"/>
        <w:jc w:val="center"/>
        <w:rPr>
          <w:lang w:val="fr-CA"/>
        </w:rPr>
      </w:pPr>
      <w:proofErr w:type="spellStart"/>
      <w:r w:rsidRPr="00DB6DEC">
        <w:rPr>
          <w:lang w:val="fr-CA"/>
        </w:rPr>
        <w:t>Andelina</w:t>
      </w:r>
      <w:proofErr w:type="spellEnd"/>
      <w:r w:rsidRPr="00DB6DEC">
        <w:rPr>
          <w:lang w:val="fr-CA"/>
        </w:rPr>
        <w:t xml:space="preserve"> Kristina </w:t>
      </w:r>
      <w:proofErr w:type="spellStart"/>
      <w:r w:rsidRPr="00DB6DEC">
        <w:rPr>
          <w:lang w:val="fr-CA"/>
        </w:rPr>
        <w:t>Hecimovic</w:t>
      </w:r>
      <w:proofErr w:type="spellEnd"/>
    </w:p>
    <w:p w:rsidR="00DB6DEC" w:rsidRPr="00DB6DEC" w:rsidRDefault="00DB6DEC" w:rsidP="00E91BD1">
      <w:pPr>
        <w:jc w:val="center"/>
        <w:rPr>
          <w:lang w:val="fr-CA"/>
        </w:rPr>
      </w:pPr>
      <w:r w:rsidRPr="00DB6DEC">
        <w:rPr>
          <w:lang w:val="fr-CA"/>
        </w:rPr>
        <w:t>Appelante</w:t>
      </w:r>
    </w:p>
    <w:p w:rsidR="00DB6DEC" w:rsidRPr="00E91BD1" w:rsidRDefault="00DB6DEC" w:rsidP="00E91BD1">
      <w:pPr>
        <w:pStyle w:val="SCCLsocVersus"/>
        <w:spacing w:after="0"/>
        <w:jc w:val="center"/>
        <w:rPr>
          <w:i w:val="0"/>
          <w:lang w:val="fr-CA"/>
        </w:rPr>
      </w:pPr>
      <w:proofErr w:type="gramStart"/>
      <w:r w:rsidRPr="00E91BD1">
        <w:rPr>
          <w:i w:val="0"/>
          <w:lang w:val="fr-CA"/>
        </w:rPr>
        <w:t>et</w:t>
      </w:r>
      <w:proofErr w:type="gramEnd"/>
    </w:p>
    <w:p w:rsidR="00DB6DEC" w:rsidRPr="00DB6DEC" w:rsidRDefault="00DB6DEC" w:rsidP="00E91BD1">
      <w:pPr>
        <w:pStyle w:val="SCCLsocParty"/>
        <w:jc w:val="center"/>
        <w:rPr>
          <w:lang w:val="fr-CA"/>
        </w:rPr>
      </w:pPr>
      <w:r w:rsidRPr="00DB6DEC">
        <w:rPr>
          <w:lang w:val="fr-CA"/>
        </w:rPr>
        <w:t>Sa Majesté la Reine</w:t>
      </w:r>
    </w:p>
    <w:p w:rsidR="00DB6DEC" w:rsidRPr="00DB6DEC" w:rsidRDefault="00DB6DEC" w:rsidP="00E91BD1">
      <w:pPr>
        <w:jc w:val="center"/>
        <w:rPr>
          <w:lang w:val="fr-CA"/>
        </w:rPr>
      </w:pPr>
      <w:r w:rsidRPr="00DB6DEC">
        <w:rPr>
          <w:lang w:val="fr-CA"/>
        </w:rPr>
        <w:t>Intimée</w:t>
      </w:r>
    </w:p>
    <w:p w:rsidR="00DB6DEC" w:rsidRPr="00DB6DEC" w:rsidRDefault="00DB6DEC" w:rsidP="00E91BD1">
      <w:pPr>
        <w:jc w:val="center"/>
        <w:rPr>
          <w:lang w:val="fr-CA"/>
        </w:rPr>
      </w:pPr>
    </w:p>
    <w:p w:rsidR="00DB6DEC" w:rsidRPr="00DB6DEC" w:rsidRDefault="00DB6DEC" w:rsidP="00DB6DEC">
      <w:pPr>
        <w:jc w:val="center"/>
        <w:rPr>
          <w:b/>
          <w:smallCaps/>
          <w:lang w:val="fr-CA"/>
        </w:rPr>
      </w:pPr>
      <w:r w:rsidRPr="00DB6DEC">
        <w:rPr>
          <w:b/>
          <w:smallCaps/>
          <w:lang w:val="fr-CA"/>
        </w:rPr>
        <w:t>Traduction française officielle</w:t>
      </w:r>
    </w:p>
    <w:p w:rsidR="00DB6DEC" w:rsidRPr="00DB6DEC" w:rsidRDefault="00DB6DEC" w:rsidP="00DB6DEC">
      <w:pPr>
        <w:rPr>
          <w:lang w:val="fr-CA"/>
        </w:rPr>
      </w:pPr>
    </w:p>
    <w:p w:rsidR="00DB6DEC" w:rsidRPr="00DB6DEC" w:rsidRDefault="00DB6DEC" w:rsidP="00DB6DEC">
      <w:pPr>
        <w:rPr>
          <w:lang w:val="fr-CA"/>
        </w:rPr>
      </w:pPr>
      <w:r w:rsidRPr="00DB6DEC">
        <w:rPr>
          <w:b/>
          <w:smallCaps/>
          <w:lang w:val="fr-CA"/>
        </w:rPr>
        <w:t>Coram :</w:t>
      </w:r>
      <w:r w:rsidRPr="00DB6DEC">
        <w:rPr>
          <w:lang w:val="fr-CA"/>
        </w:rPr>
        <w:t xml:space="preserve"> Les juges Abella, Cromwell, </w:t>
      </w:r>
      <w:proofErr w:type="spellStart"/>
      <w:r w:rsidRPr="00DB6DEC">
        <w:rPr>
          <w:lang w:val="fr-CA"/>
        </w:rPr>
        <w:t>Moldaver</w:t>
      </w:r>
      <w:proofErr w:type="spellEnd"/>
      <w:r w:rsidRPr="00DB6DEC">
        <w:rPr>
          <w:lang w:val="fr-CA"/>
        </w:rPr>
        <w:t xml:space="preserve">, </w:t>
      </w:r>
      <w:proofErr w:type="spellStart"/>
      <w:r w:rsidRPr="00DB6DEC">
        <w:rPr>
          <w:lang w:val="fr-CA"/>
        </w:rPr>
        <w:t>Karakatsanis</w:t>
      </w:r>
      <w:proofErr w:type="spellEnd"/>
      <w:r w:rsidRPr="00DB6DEC">
        <w:rPr>
          <w:lang w:val="fr-CA"/>
        </w:rPr>
        <w:t>, Wagner, Gascon et Brown</w:t>
      </w:r>
    </w:p>
    <w:p w:rsidR="00DB6DEC" w:rsidRPr="00DB6DEC" w:rsidRDefault="00DB6DEC" w:rsidP="00DB6DEC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DB6DEC" w:rsidRPr="00290A2E" w:rsidTr="00F045EF">
        <w:trPr>
          <w:cantSplit/>
        </w:trPr>
        <w:tc>
          <w:tcPr>
            <w:tcW w:w="3618" w:type="dxa"/>
          </w:tcPr>
          <w:p w:rsidR="00DB6DEC" w:rsidRPr="00DB6DEC" w:rsidRDefault="00DB6DEC" w:rsidP="00F045EF">
            <w:pPr>
              <w:rPr>
                <w:b/>
                <w:smallCaps/>
                <w:lang w:val="fr-CA"/>
              </w:rPr>
            </w:pPr>
            <w:r w:rsidRPr="00DB6DEC">
              <w:rPr>
                <w:b/>
                <w:smallCaps/>
                <w:lang w:val="fr-CA"/>
              </w:rPr>
              <w:t>Motifs de jugement :</w:t>
            </w:r>
          </w:p>
          <w:p w:rsidR="00DB6DEC" w:rsidRPr="00DB6DEC" w:rsidRDefault="00DB6DEC" w:rsidP="00F045EF">
            <w:pPr>
              <w:rPr>
                <w:lang w:val="fr-CA"/>
              </w:rPr>
            </w:pPr>
            <w:r w:rsidRPr="00DB6DEC">
              <w:rPr>
                <w:lang w:val="fr-CA"/>
              </w:rPr>
              <w:t>(par. 1 à 2)</w:t>
            </w:r>
          </w:p>
        </w:tc>
        <w:tc>
          <w:tcPr>
            <w:tcW w:w="5958" w:type="dxa"/>
          </w:tcPr>
          <w:p w:rsidR="00DB6DEC" w:rsidRPr="00DB6DEC" w:rsidRDefault="00DB6DEC" w:rsidP="00F045EF">
            <w:pPr>
              <w:rPr>
                <w:lang w:val="fr-CA"/>
              </w:rPr>
            </w:pPr>
            <w:r w:rsidRPr="00DB6DEC">
              <w:rPr>
                <w:lang w:val="fr-CA"/>
              </w:rPr>
              <w:t xml:space="preserve">La juge Abella (avec l’accord des juges Cromwell, </w:t>
            </w:r>
            <w:proofErr w:type="spellStart"/>
            <w:r w:rsidRPr="00DB6DEC">
              <w:rPr>
                <w:lang w:val="fr-CA"/>
              </w:rPr>
              <w:t>Moldaver</w:t>
            </w:r>
            <w:proofErr w:type="spellEnd"/>
            <w:r w:rsidRPr="00DB6DEC">
              <w:rPr>
                <w:lang w:val="fr-CA"/>
              </w:rPr>
              <w:t xml:space="preserve">, </w:t>
            </w:r>
            <w:proofErr w:type="spellStart"/>
            <w:r w:rsidRPr="00DB6DEC">
              <w:rPr>
                <w:lang w:val="fr-CA"/>
              </w:rPr>
              <w:t>Karakatsanis</w:t>
            </w:r>
            <w:proofErr w:type="spellEnd"/>
            <w:r w:rsidRPr="00DB6DEC">
              <w:rPr>
                <w:lang w:val="fr-CA"/>
              </w:rPr>
              <w:t>, Wagner, Gascon et Brown)</w:t>
            </w:r>
          </w:p>
        </w:tc>
      </w:tr>
    </w:tbl>
    <w:p w:rsidR="00DB6DEC" w:rsidRPr="00DB6DEC" w:rsidRDefault="00DB6DEC" w:rsidP="00DB6DEC">
      <w:pPr>
        <w:rPr>
          <w:lang w:val="fr-CA"/>
        </w:rPr>
      </w:pPr>
    </w:p>
    <w:p w:rsidR="00DB6DEC" w:rsidRPr="00DB6DEC" w:rsidRDefault="00DB6DEC" w:rsidP="00DB6DEC">
      <w:pPr>
        <w:rPr>
          <w:lang w:val="fr-C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FF6C6" wp14:editId="64EAF261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134F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DB6DEC" w:rsidRPr="00DB6DEC" w:rsidRDefault="00DB6DEC" w:rsidP="00127D06">
      <w:pPr>
        <w:widowControl w:val="0"/>
        <w:spacing w:line="480" w:lineRule="auto"/>
        <w:jc w:val="both"/>
        <w:rPr>
          <w:lang w:val="fr-CA"/>
        </w:rPr>
      </w:pPr>
    </w:p>
    <w:p w:rsidR="004D7D95" w:rsidRPr="00883E33" w:rsidRDefault="00883E33" w:rsidP="00127D06">
      <w:pPr>
        <w:widowControl w:val="0"/>
        <w:spacing w:line="480" w:lineRule="auto"/>
        <w:jc w:val="both"/>
        <w:rPr>
          <w:rStyle w:val="SCCAppellantForRunningHeadChar"/>
          <w:lang w:val="en-US"/>
        </w:rPr>
      </w:pPr>
      <w:r w:rsidRPr="00883E33">
        <w:rPr>
          <w:lang w:val="en-US"/>
        </w:rPr>
        <w:t>R</w:t>
      </w:r>
      <w:r w:rsidR="00FE571F" w:rsidRPr="00883E33">
        <w:rPr>
          <w:lang w:val="en-US"/>
        </w:rPr>
        <w:t xml:space="preserve">. </w:t>
      </w:r>
      <w:r w:rsidR="00FE571F" w:rsidRPr="00883E33">
        <w:rPr>
          <w:i/>
          <w:lang w:val="en-US"/>
        </w:rPr>
        <w:t>c.</w:t>
      </w:r>
      <w:r w:rsidR="00FE571F" w:rsidRPr="00883E33">
        <w:rPr>
          <w:lang w:val="en-US"/>
        </w:rPr>
        <w:t xml:space="preserve"> </w:t>
      </w:r>
      <w:proofErr w:type="spellStart"/>
      <w:r w:rsidRPr="00883E33">
        <w:rPr>
          <w:rStyle w:val="SCCAppellantForRunningHeadChar"/>
          <w:lang w:val="en-US"/>
        </w:rPr>
        <w:t>H</w:t>
      </w:r>
      <w:r w:rsidR="004D7D95" w:rsidRPr="00883E33">
        <w:rPr>
          <w:rStyle w:val="SCCAppellantForRunningHeadChar"/>
          <w:smallCaps w:val="0"/>
          <w:lang w:val="en-US"/>
        </w:rPr>
        <w:t>ecimovic</w:t>
      </w:r>
      <w:proofErr w:type="spellEnd"/>
      <w:r w:rsidRPr="00883E33">
        <w:rPr>
          <w:rStyle w:val="SCCAppellantForRunningHeadChar"/>
          <w:smallCaps w:val="0"/>
          <w:lang w:val="en-US"/>
        </w:rPr>
        <w:t xml:space="preserve">, </w:t>
      </w:r>
      <w:r w:rsidRPr="00883E33">
        <w:rPr>
          <w:lang w:val="en-US"/>
        </w:rPr>
        <w:t>2015 CSC 54, [2015] 3 R.C.S. 483</w:t>
      </w:r>
    </w:p>
    <w:p w:rsidR="00B870FE" w:rsidRPr="00883E33" w:rsidRDefault="00B870FE" w:rsidP="00127D06">
      <w:pPr>
        <w:widowControl w:val="0"/>
        <w:spacing w:line="480" w:lineRule="auto"/>
        <w:jc w:val="both"/>
        <w:rPr>
          <w:lang w:val="en-US"/>
        </w:rPr>
      </w:pPr>
    </w:p>
    <w:p w:rsidR="00661D2B" w:rsidRPr="00290A2E" w:rsidRDefault="0069421D" w:rsidP="00127D06">
      <w:pPr>
        <w:pStyle w:val="SCCLsocLastPartyInRole"/>
        <w:widowControl w:val="0"/>
        <w:rPr>
          <w:lang w:val="fr-CA"/>
        </w:rPr>
      </w:pPr>
      <w:proofErr w:type="spellStart"/>
      <w:r w:rsidRPr="00290A2E">
        <w:rPr>
          <w:lang w:val="fr-CA"/>
        </w:rPr>
        <w:t>Andelina</w:t>
      </w:r>
      <w:proofErr w:type="spellEnd"/>
      <w:r w:rsidRPr="00290A2E">
        <w:rPr>
          <w:lang w:val="fr-CA"/>
        </w:rPr>
        <w:t xml:space="preserve"> Kristina </w:t>
      </w:r>
      <w:proofErr w:type="spellStart"/>
      <w:r w:rsidRPr="00290A2E">
        <w:rPr>
          <w:lang w:val="fr-CA"/>
        </w:rPr>
        <w:t>Hecimovic</w:t>
      </w:r>
      <w:proofErr w:type="spellEnd"/>
      <w:r w:rsidRPr="00290A2E">
        <w:rPr>
          <w:rStyle w:val="SCCLsocPartyRole"/>
          <w:lang w:val="fr-CA"/>
        </w:rPr>
        <w:tab/>
        <w:t>Appelante</w:t>
      </w:r>
    </w:p>
    <w:p w:rsidR="00661D2B" w:rsidRPr="00566BF5" w:rsidRDefault="0069421D" w:rsidP="00127D06">
      <w:pPr>
        <w:pStyle w:val="SCCLsocVersus"/>
        <w:widowControl w:val="0"/>
        <w:rPr>
          <w:lang w:val="fr-CA"/>
        </w:rPr>
      </w:pPr>
      <w:proofErr w:type="gramStart"/>
      <w:r w:rsidRPr="00566BF5">
        <w:rPr>
          <w:lang w:val="fr-CA"/>
        </w:rPr>
        <w:t>c</w:t>
      </w:r>
      <w:proofErr w:type="gramEnd"/>
      <w:r w:rsidRPr="00566BF5">
        <w:rPr>
          <w:lang w:val="fr-CA"/>
        </w:rPr>
        <w:t>.</w:t>
      </w:r>
    </w:p>
    <w:p w:rsidR="00661D2B" w:rsidRPr="00566BF5" w:rsidRDefault="0069421D" w:rsidP="00127D06">
      <w:pPr>
        <w:pStyle w:val="SCCLsocLastPartyInRole"/>
        <w:widowControl w:val="0"/>
        <w:rPr>
          <w:lang w:val="fr-CA"/>
        </w:rPr>
      </w:pPr>
      <w:r w:rsidRPr="00566BF5">
        <w:rPr>
          <w:lang w:val="fr-CA"/>
        </w:rPr>
        <w:t>Sa Majesté la Reine</w:t>
      </w:r>
      <w:r w:rsidRPr="00566BF5">
        <w:rPr>
          <w:rStyle w:val="SCCLsocPartyRole"/>
          <w:lang w:val="fr-CA"/>
        </w:rPr>
        <w:tab/>
        <w:t>Intimée</w:t>
      </w:r>
    </w:p>
    <w:p w:rsidR="004D7D95" w:rsidRPr="00566BF5" w:rsidRDefault="004B2129" w:rsidP="00127D06">
      <w:pPr>
        <w:pStyle w:val="SCCLsocLastPartyInRole"/>
        <w:widowControl w:val="0"/>
        <w:rPr>
          <w:b w:val="0"/>
          <w:lang w:val="fr-CA"/>
        </w:rPr>
      </w:pPr>
      <w:r>
        <w:rPr>
          <w:lang w:val="fr-CA"/>
        </w:rPr>
        <w:t xml:space="preserve">Répertorié : R. </w:t>
      </w:r>
      <w:r w:rsidRPr="004B2129">
        <w:rPr>
          <w:i/>
          <w:lang w:val="fr-CA"/>
        </w:rPr>
        <w:t>c.</w:t>
      </w:r>
      <w:r>
        <w:rPr>
          <w:lang w:val="fr-CA"/>
        </w:rPr>
        <w:t xml:space="preserve"> </w:t>
      </w:r>
      <w:proofErr w:type="spellStart"/>
      <w:r w:rsidR="004D7D95" w:rsidRPr="00B870FE">
        <w:rPr>
          <w:rStyle w:val="SCCAppellantForIndexChar"/>
          <w:b/>
          <w:lang w:val="fr-CA"/>
        </w:rPr>
        <w:t>Hecimovic</w:t>
      </w:r>
      <w:proofErr w:type="spellEnd"/>
    </w:p>
    <w:p w:rsidR="004D7D95" w:rsidRPr="00B47ECA" w:rsidRDefault="00D17B0E" w:rsidP="00127D06">
      <w:pPr>
        <w:pStyle w:val="SCCLsocLastPartyInRole"/>
        <w:widowControl w:val="0"/>
        <w:rPr>
          <w:lang w:val="fr-CA"/>
        </w:rPr>
      </w:pPr>
      <w:r w:rsidRPr="00B47ECA">
        <w:rPr>
          <w:lang w:val="fr-CA"/>
        </w:rPr>
        <w:lastRenderedPageBreak/>
        <w:t>2015</w:t>
      </w:r>
      <w:r w:rsidR="00023A7D" w:rsidRPr="00B47ECA">
        <w:rPr>
          <w:lang w:val="fr-CA"/>
        </w:rPr>
        <w:t xml:space="preserve"> CSC 54</w:t>
      </w:r>
    </w:p>
    <w:p w:rsidR="004D7D95" w:rsidRPr="00B870FE" w:rsidRDefault="004D7D95" w:rsidP="00127D06">
      <w:pPr>
        <w:pStyle w:val="SCCLsocLastPartyInRole"/>
        <w:widowControl w:val="0"/>
        <w:rPr>
          <w:lang w:val="fr-CA"/>
        </w:rPr>
      </w:pPr>
      <w:r w:rsidRPr="00B870FE">
        <w:rPr>
          <w:lang w:val="fr-CA"/>
        </w:rPr>
        <w:t>N</w:t>
      </w:r>
      <w:r w:rsidRPr="00E962B4">
        <w:rPr>
          <w:vertAlign w:val="superscript"/>
          <w:lang w:val="fr-CA"/>
        </w:rPr>
        <w:t>o</w:t>
      </w:r>
      <w:r w:rsidRPr="00B870FE">
        <w:rPr>
          <w:lang w:val="fr-CA"/>
        </w:rPr>
        <w:t xml:space="preserve"> du greffe : 36260.</w:t>
      </w:r>
    </w:p>
    <w:p w:rsidR="004D7D95" w:rsidRPr="00B47ECA" w:rsidRDefault="004B2129" w:rsidP="00127D06">
      <w:pPr>
        <w:pStyle w:val="SCCLsocLastPartyInRole"/>
        <w:widowControl w:val="0"/>
        <w:rPr>
          <w:b w:val="0"/>
          <w:lang w:val="fr-CA"/>
        </w:rPr>
      </w:pPr>
      <w:r w:rsidRPr="00B47ECA">
        <w:rPr>
          <w:b w:val="0"/>
          <w:lang w:val="fr-CA"/>
        </w:rPr>
        <w:t>2015 </w:t>
      </w:r>
      <w:r w:rsidR="00D17B0E" w:rsidRPr="00B47ECA">
        <w:rPr>
          <w:b w:val="0"/>
          <w:lang w:val="fr-CA"/>
        </w:rPr>
        <w:t>: 13 novembre</w:t>
      </w:r>
      <w:r w:rsidR="004D7D95" w:rsidRPr="00B47ECA">
        <w:rPr>
          <w:b w:val="0"/>
          <w:lang w:val="fr-CA"/>
        </w:rPr>
        <w:t>.</w:t>
      </w:r>
    </w:p>
    <w:p w:rsidR="004D7D95" w:rsidRPr="00B47ECA" w:rsidRDefault="004D7D95" w:rsidP="00127D06">
      <w:pPr>
        <w:widowControl w:val="0"/>
        <w:spacing w:after="720"/>
        <w:jc w:val="both"/>
        <w:rPr>
          <w:lang w:val="fr-CA"/>
        </w:rPr>
      </w:pPr>
      <w:r w:rsidRPr="00B47ECA">
        <w:rPr>
          <w:lang w:val="fr-CA"/>
        </w:rPr>
        <w:t xml:space="preserve">Présents : Les juges Abella, Cromwell, Moldaver, Karakatsanis, Wagner, Gascon et </w:t>
      </w:r>
      <w:r w:rsidR="00566BF5" w:rsidRPr="00B47ECA">
        <w:rPr>
          <w:lang w:val="fr-CA"/>
        </w:rPr>
        <w:t>Brown</w:t>
      </w:r>
      <w:r w:rsidRPr="00B47ECA">
        <w:rPr>
          <w:lang w:val="fr-CA"/>
        </w:rPr>
        <w:t>.</w:t>
      </w:r>
    </w:p>
    <w:p w:rsidR="004D7D95" w:rsidRPr="00B870FE" w:rsidRDefault="004D7D95" w:rsidP="00127D06">
      <w:pPr>
        <w:widowControl w:val="0"/>
        <w:spacing w:after="720"/>
        <w:jc w:val="both"/>
        <w:rPr>
          <w:smallCaps/>
          <w:lang w:val="fr-CA"/>
        </w:rPr>
      </w:pPr>
      <w:r w:rsidRPr="00B47ECA">
        <w:rPr>
          <w:smallCaps/>
          <w:lang w:val="fr-CA"/>
        </w:rPr>
        <w:t>en appel</w:t>
      </w:r>
      <w:r w:rsidRPr="00B870FE">
        <w:rPr>
          <w:smallCaps/>
          <w:lang w:val="fr-CA"/>
        </w:rPr>
        <w:t xml:space="preserve"> de la cour d</w:t>
      </w:r>
      <w:r w:rsidR="004B2129" w:rsidRPr="00B870FE">
        <w:rPr>
          <w:smallCaps/>
          <w:lang w:val="fr-CA"/>
        </w:rPr>
        <w:t>’</w:t>
      </w:r>
      <w:r w:rsidRPr="00B870FE">
        <w:rPr>
          <w:smallCaps/>
          <w:lang w:val="fr-CA"/>
        </w:rPr>
        <w:t xml:space="preserve">appel de la </w:t>
      </w:r>
      <w:proofErr w:type="spellStart"/>
      <w:r w:rsidRPr="00B870FE">
        <w:rPr>
          <w:smallCaps/>
          <w:lang w:val="fr-CA"/>
        </w:rPr>
        <w:t>colombie-britannique</w:t>
      </w:r>
      <w:proofErr w:type="spellEnd"/>
    </w:p>
    <w:p w:rsidR="00526A13" w:rsidRPr="00A33280" w:rsidRDefault="004D7D95" w:rsidP="00127D06">
      <w:pPr>
        <w:pStyle w:val="SCCNormalDoubleSpacing"/>
        <w:widowControl w:val="0"/>
        <w:rPr>
          <w:i/>
          <w:lang w:val="fr-CA"/>
        </w:rPr>
      </w:pPr>
      <w:r w:rsidRPr="00B870FE">
        <w:rPr>
          <w:lang w:val="fr-CA"/>
        </w:rPr>
        <w:tab/>
      </w:r>
      <w:r w:rsidR="00526A13" w:rsidRPr="00A33280">
        <w:rPr>
          <w:i/>
          <w:lang w:val="fr-CA"/>
        </w:rPr>
        <w:t xml:space="preserve">Droit criminel — Conduite dangereuse — Éléments de l’infraction — Mens </w:t>
      </w:r>
      <w:proofErr w:type="spellStart"/>
      <w:r w:rsidR="00526A13" w:rsidRPr="00A33280">
        <w:rPr>
          <w:i/>
          <w:lang w:val="fr-CA"/>
        </w:rPr>
        <w:t>rea</w:t>
      </w:r>
      <w:proofErr w:type="spellEnd"/>
      <w:r w:rsidR="00526A13" w:rsidRPr="00A33280">
        <w:rPr>
          <w:i/>
          <w:lang w:val="fr-CA"/>
        </w:rPr>
        <w:t xml:space="preserve"> — </w:t>
      </w:r>
      <w:r w:rsidR="00A33280" w:rsidRPr="00A33280">
        <w:rPr>
          <w:i/>
          <w:lang w:val="fr-CA"/>
        </w:rPr>
        <w:t xml:space="preserve">Accusée acquittée par le juge du procès de deux chefs de conduite dangereuse ayant causé la mort </w:t>
      </w:r>
      <w:r w:rsidR="0040112F">
        <w:rPr>
          <w:i/>
          <w:lang w:val="fr-CA"/>
        </w:rPr>
        <w:t xml:space="preserve">au motif </w:t>
      </w:r>
      <w:r w:rsidR="00A33280" w:rsidRPr="00A33280">
        <w:rPr>
          <w:i/>
          <w:lang w:val="fr-CA"/>
        </w:rPr>
        <w:t>que l’élément de l’infraction constitu</w:t>
      </w:r>
      <w:r w:rsidR="00A33280">
        <w:rPr>
          <w:i/>
          <w:lang w:val="fr-CA"/>
        </w:rPr>
        <w:t>a</w:t>
      </w:r>
      <w:r w:rsidR="00A33280" w:rsidRPr="00A33280">
        <w:rPr>
          <w:i/>
          <w:lang w:val="fr-CA"/>
        </w:rPr>
        <w:t xml:space="preserve">nt la </w:t>
      </w:r>
      <w:r w:rsidR="00A33280">
        <w:rPr>
          <w:i/>
          <w:lang w:val="fr-CA"/>
        </w:rPr>
        <w:t xml:space="preserve">mens </w:t>
      </w:r>
      <w:proofErr w:type="spellStart"/>
      <w:r w:rsidR="00A33280">
        <w:rPr>
          <w:i/>
          <w:lang w:val="fr-CA"/>
        </w:rPr>
        <w:t>rea</w:t>
      </w:r>
      <w:proofErr w:type="spellEnd"/>
      <w:r w:rsidR="00A33280">
        <w:rPr>
          <w:i/>
          <w:lang w:val="fr-CA"/>
        </w:rPr>
        <w:t xml:space="preserve"> n’avait pas été prouvé hors de tout doute raisonnable </w:t>
      </w:r>
      <w:r w:rsidR="00526A13" w:rsidRPr="00A33280">
        <w:rPr>
          <w:i/>
          <w:lang w:val="fr-CA"/>
        </w:rPr>
        <w:t xml:space="preserve">— </w:t>
      </w:r>
      <w:r w:rsidR="00910403">
        <w:rPr>
          <w:i/>
          <w:lang w:val="fr-CA"/>
        </w:rPr>
        <w:t xml:space="preserve">Absence d’examen adéquat par le juge du procès du comportement de l’accusée eu égard à l’ensemble de la preuve pertinente afin de déterminer si </w:t>
      </w:r>
      <w:r w:rsidR="0040112F">
        <w:rPr>
          <w:i/>
          <w:lang w:val="fr-CA"/>
        </w:rPr>
        <w:t>ce comportement constituait un écart marqué par rapport à la norme de diligence requise</w:t>
      </w:r>
      <w:r w:rsidR="00526A13" w:rsidRPr="00A33280">
        <w:rPr>
          <w:i/>
          <w:lang w:val="fr-CA"/>
        </w:rPr>
        <w:t>.</w:t>
      </w:r>
    </w:p>
    <w:p w:rsidR="004D7D95" w:rsidRPr="00A33280" w:rsidRDefault="004D7D95" w:rsidP="00127D06">
      <w:pPr>
        <w:pStyle w:val="SCCNormalDoubleSpacing"/>
        <w:widowControl w:val="0"/>
        <w:rPr>
          <w:lang w:val="fr-CA"/>
        </w:rPr>
      </w:pPr>
    </w:p>
    <w:p w:rsidR="004D7D95" w:rsidRPr="004D7D95" w:rsidRDefault="004D7D95" w:rsidP="00127D06">
      <w:pPr>
        <w:pStyle w:val="SCCNormalDoubleSpacing"/>
        <w:widowControl w:val="0"/>
        <w:rPr>
          <w:lang w:val="fr-CA"/>
        </w:rPr>
      </w:pPr>
      <w:r w:rsidRPr="00A33280">
        <w:rPr>
          <w:lang w:val="fr-CA"/>
        </w:rPr>
        <w:tab/>
      </w:r>
      <w:r w:rsidRPr="004D7D95">
        <w:rPr>
          <w:lang w:val="fr-CA"/>
        </w:rPr>
        <w:t xml:space="preserve">POURVOI contre un arrêt de la </w:t>
      </w:r>
      <w:r w:rsidRPr="00566BF5">
        <w:rPr>
          <w:lang w:val="fr-CA"/>
        </w:rPr>
        <w:t>Cour d</w:t>
      </w:r>
      <w:r w:rsidR="004B2129">
        <w:rPr>
          <w:lang w:val="fr-CA"/>
        </w:rPr>
        <w:t>’</w:t>
      </w:r>
      <w:r w:rsidRPr="00566BF5">
        <w:rPr>
          <w:lang w:val="fr-CA"/>
        </w:rPr>
        <w:t>appel de la Colombie-Britannique</w:t>
      </w:r>
      <w:r w:rsidR="0069421D">
        <w:rPr>
          <w:lang w:val="fr-CA"/>
        </w:rPr>
        <w:t xml:space="preserve"> </w:t>
      </w:r>
      <w:r w:rsidR="0069421D" w:rsidRPr="0069421D">
        <w:rPr>
          <w:lang w:val="fr-CA"/>
        </w:rPr>
        <w:t>(</w:t>
      </w:r>
      <w:r w:rsidR="0069421D">
        <w:rPr>
          <w:lang w:val="fr-CA"/>
        </w:rPr>
        <w:t xml:space="preserve">les juges </w:t>
      </w:r>
      <w:proofErr w:type="spellStart"/>
      <w:r w:rsidR="0069421D" w:rsidRPr="0069421D">
        <w:rPr>
          <w:lang w:val="fr-CA"/>
        </w:rPr>
        <w:t>Tysoe</w:t>
      </w:r>
      <w:proofErr w:type="spellEnd"/>
      <w:r w:rsidR="0069421D" w:rsidRPr="0069421D">
        <w:rPr>
          <w:lang w:val="fr-CA"/>
        </w:rPr>
        <w:t xml:space="preserve">, </w:t>
      </w:r>
      <w:proofErr w:type="spellStart"/>
      <w:r w:rsidR="0069421D" w:rsidRPr="0069421D">
        <w:rPr>
          <w:lang w:val="fr-CA"/>
        </w:rPr>
        <w:t>Garson</w:t>
      </w:r>
      <w:proofErr w:type="spellEnd"/>
      <w:r w:rsidR="0069421D" w:rsidRPr="0069421D">
        <w:rPr>
          <w:lang w:val="fr-CA"/>
        </w:rPr>
        <w:t xml:space="preserve"> </w:t>
      </w:r>
      <w:r w:rsidR="0069421D">
        <w:rPr>
          <w:lang w:val="fr-CA"/>
        </w:rPr>
        <w:t>et</w:t>
      </w:r>
      <w:r w:rsidR="0069421D" w:rsidRPr="0069421D">
        <w:rPr>
          <w:lang w:val="fr-CA"/>
        </w:rPr>
        <w:t xml:space="preserve"> </w:t>
      </w:r>
      <w:proofErr w:type="spellStart"/>
      <w:r w:rsidR="0069421D" w:rsidRPr="0069421D">
        <w:rPr>
          <w:lang w:val="fr-CA"/>
        </w:rPr>
        <w:t>Willcock</w:t>
      </w:r>
      <w:proofErr w:type="spellEnd"/>
      <w:r w:rsidR="0069421D" w:rsidRPr="0069421D">
        <w:rPr>
          <w:lang w:val="fr-CA"/>
        </w:rPr>
        <w:t xml:space="preserve">), 2014 BCCA 483, 364 B.C.A.C. 144, 317 C.C.C. (3d) 503, 72 M.V.R. (6th) 58, 625 W.A.C. 144, [2014] B.C.J. No. 3066 (QL), 2014 </w:t>
      </w:r>
      <w:proofErr w:type="spellStart"/>
      <w:r w:rsidR="0069421D" w:rsidRPr="0069421D">
        <w:rPr>
          <w:lang w:val="fr-CA"/>
        </w:rPr>
        <w:t>CarswellBC</w:t>
      </w:r>
      <w:proofErr w:type="spellEnd"/>
      <w:r w:rsidR="0069421D" w:rsidRPr="0069421D">
        <w:rPr>
          <w:lang w:val="fr-CA"/>
        </w:rPr>
        <w:t xml:space="preserve"> 3723 (WL Can.), </w:t>
      </w:r>
      <w:r w:rsidR="0069421D">
        <w:rPr>
          <w:lang w:val="fr-CA"/>
        </w:rPr>
        <w:t xml:space="preserve">qui a </w:t>
      </w:r>
      <w:r w:rsidR="005C72EC">
        <w:rPr>
          <w:lang w:val="fr-CA"/>
        </w:rPr>
        <w:t xml:space="preserve">écarté </w:t>
      </w:r>
      <w:r w:rsidR="0069421D">
        <w:rPr>
          <w:lang w:val="fr-CA"/>
        </w:rPr>
        <w:t xml:space="preserve">les </w:t>
      </w:r>
      <w:r w:rsidR="0069421D" w:rsidRPr="0069421D">
        <w:rPr>
          <w:lang w:val="fr-CA"/>
        </w:rPr>
        <w:t>acquittement</w:t>
      </w:r>
      <w:r w:rsidR="0069421D">
        <w:rPr>
          <w:lang w:val="fr-CA"/>
        </w:rPr>
        <w:t>s</w:t>
      </w:r>
      <w:r w:rsidR="0069421D" w:rsidRPr="0069421D">
        <w:rPr>
          <w:lang w:val="fr-CA"/>
        </w:rPr>
        <w:t xml:space="preserve"> prononcé</w:t>
      </w:r>
      <w:r w:rsidR="0069421D">
        <w:rPr>
          <w:lang w:val="fr-CA"/>
        </w:rPr>
        <w:t>s</w:t>
      </w:r>
      <w:r w:rsidR="0069421D" w:rsidRPr="0069421D">
        <w:rPr>
          <w:lang w:val="fr-CA"/>
        </w:rPr>
        <w:t xml:space="preserve"> par </w:t>
      </w:r>
      <w:r w:rsidR="0069421D">
        <w:rPr>
          <w:lang w:val="fr-CA"/>
        </w:rPr>
        <w:t xml:space="preserve">la juge </w:t>
      </w:r>
      <w:proofErr w:type="spellStart"/>
      <w:r w:rsidR="0069421D" w:rsidRPr="0069421D">
        <w:rPr>
          <w:lang w:val="fr-CA"/>
        </w:rPr>
        <w:t>Gropper</w:t>
      </w:r>
      <w:proofErr w:type="spellEnd"/>
      <w:r w:rsidR="0069421D" w:rsidRPr="0069421D">
        <w:rPr>
          <w:lang w:val="fr-CA"/>
        </w:rPr>
        <w:t xml:space="preserve">, 2013 BCSC 1865, 53 M.V.R. (6th) 60, [2013] B.C.J. No. 2243 (QL), 2013 </w:t>
      </w:r>
      <w:proofErr w:type="spellStart"/>
      <w:r w:rsidR="0069421D" w:rsidRPr="0069421D">
        <w:rPr>
          <w:lang w:val="fr-CA"/>
        </w:rPr>
        <w:t>CarswellBC</w:t>
      </w:r>
      <w:proofErr w:type="spellEnd"/>
      <w:r w:rsidR="0069421D" w:rsidRPr="0069421D">
        <w:rPr>
          <w:lang w:val="fr-CA"/>
        </w:rPr>
        <w:t xml:space="preserve"> 3081 (WL Can.), et qui a ordonné la tenue d’un nouveau procès</w:t>
      </w:r>
      <w:r w:rsidR="004B2129">
        <w:rPr>
          <w:lang w:val="fr-CA"/>
        </w:rPr>
        <w:t xml:space="preserve">. Pourvoi </w:t>
      </w:r>
      <w:r w:rsidR="004B2129">
        <w:rPr>
          <w:lang w:val="fr-CA"/>
        </w:rPr>
        <w:lastRenderedPageBreak/>
        <w:t xml:space="preserve">rejeté, les juges </w:t>
      </w:r>
      <w:proofErr w:type="spellStart"/>
      <w:r w:rsidR="004B2129">
        <w:rPr>
          <w:lang w:val="fr-CA"/>
        </w:rPr>
        <w:t>Moldaver</w:t>
      </w:r>
      <w:proofErr w:type="spellEnd"/>
      <w:r w:rsidR="004B2129">
        <w:rPr>
          <w:lang w:val="fr-CA"/>
        </w:rPr>
        <w:t xml:space="preserve"> et </w:t>
      </w:r>
      <w:proofErr w:type="spellStart"/>
      <w:r w:rsidR="004B2129">
        <w:rPr>
          <w:lang w:val="fr-CA"/>
        </w:rPr>
        <w:t>Karakatsanis</w:t>
      </w:r>
      <w:proofErr w:type="spellEnd"/>
      <w:r w:rsidR="004B2129">
        <w:rPr>
          <w:lang w:val="fr-CA"/>
        </w:rPr>
        <w:t xml:space="preserve"> sont dissidents.</w:t>
      </w:r>
    </w:p>
    <w:p w:rsidR="004D7D95" w:rsidRPr="004D7D95" w:rsidRDefault="004D7D95" w:rsidP="00127D06">
      <w:pPr>
        <w:pStyle w:val="SCCNormalDoubleSpacing"/>
        <w:widowControl w:val="0"/>
        <w:rPr>
          <w:lang w:val="fr-CA"/>
        </w:rPr>
      </w:pPr>
    </w:p>
    <w:p w:rsidR="00661D2B" w:rsidRPr="00FE571F" w:rsidRDefault="00FE571F" w:rsidP="00127D06">
      <w:pPr>
        <w:pStyle w:val="SCCNormalDoubleSpacing"/>
        <w:widowControl w:val="0"/>
        <w:rPr>
          <w:lang w:val="fr-CA"/>
        </w:rPr>
      </w:pPr>
      <w:r w:rsidRPr="00F65BE5">
        <w:rPr>
          <w:rStyle w:val="SCCCounselNameChar"/>
          <w:i w:val="0"/>
          <w:lang w:val="fr-CA"/>
        </w:rPr>
        <w:tab/>
      </w:r>
      <w:r w:rsidRPr="00FE571F">
        <w:rPr>
          <w:rStyle w:val="SCCCounselNameChar"/>
          <w:lang w:val="fr-CA"/>
        </w:rPr>
        <w:t>Jeffrey Ray</w:t>
      </w:r>
      <w:r w:rsidRPr="00FE571F">
        <w:rPr>
          <w:rStyle w:val="SCCCounselNameChar"/>
          <w:i w:val="0"/>
          <w:lang w:val="fr-CA"/>
        </w:rPr>
        <w:t>,</w:t>
      </w:r>
      <w:r w:rsidRPr="00FE571F">
        <w:rPr>
          <w:rStyle w:val="SCCCounselSeparatorChar"/>
          <w:lang w:val="fr-CA"/>
        </w:rPr>
        <w:t xml:space="preserve"> </w:t>
      </w:r>
      <w:r w:rsidRPr="00FE571F">
        <w:rPr>
          <w:rStyle w:val="SCCCounselNameChar"/>
          <w:lang w:val="fr-CA"/>
        </w:rPr>
        <w:t xml:space="preserve">Dimitri </w:t>
      </w:r>
      <w:proofErr w:type="spellStart"/>
      <w:r w:rsidRPr="00FE571F">
        <w:rPr>
          <w:rStyle w:val="SCCCounselNameChar"/>
          <w:lang w:val="fr-CA"/>
        </w:rPr>
        <w:t>Kontou</w:t>
      </w:r>
      <w:proofErr w:type="spellEnd"/>
      <w:r w:rsidRPr="00FE571F">
        <w:rPr>
          <w:rStyle w:val="SCCCounselSeparatorChar"/>
          <w:lang w:val="fr-CA"/>
        </w:rPr>
        <w:t xml:space="preserve"> et </w:t>
      </w:r>
      <w:r w:rsidRPr="00FE571F">
        <w:rPr>
          <w:rStyle w:val="SCCCounselNameChar"/>
          <w:lang w:val="fr-CA"/>
        </w:rPr>
        <w:t xml:space="preserve">Roger </w:t>
      </w:r>
      <w:proofErr w:type="spellStart"/>
      <w:r w:rsidRPr="00FE571F">
        <w:rPr>
          <w:rStyle w:val="SCCCounselNameChar"/>
          <w:lang w:val="fr-CA"/>
        </w:rPr>
        <w:t>Thirkell</w:t>
      </w:r>
      <w:proofErr w:type="spellEnd"/>
      <w:r w:rsidR="0069421D" w:rsidRPr="00FE571F">
        <w:rPr>
          <w:rStyle w:val="SCCCounselPartyRoleChar"/>
          <w:lang w:val="fr-CA"/>
        </w:rPr>
        <w:t>, pour l</w:t>
      </w:r>
      <w:r w:rsidR="004B2129" w:rsidRPr="00FE571F">
        <w:rPr>
          <w:rStyle w:val="SCCCounselPartyRoleChar"/>
          <w:lang w:val="fr-CA"/>
        </w:rPr>
        <w:t>’</w:t>
      </w:r>
      <w:r w:rsidR="0069421D" w:rsidRPr="00FE571F">
        <w:rPr>
          <w:rStyle w:val="SCCCounselPartyRoleChar"/>
          <w:lang w:val="fr-CA"/>
        </w:rPr>
        <w:t>appelante.</w:t>
      </w:r>
    </w:p>
    <w:p w:rsidR="00661D2B" w:rsidRPr="00FE571F" w:rsidRDefault="00661D2B" w:rsidP="00127D06">
      <w:pPr>
        <w:pStyle w:val="SCCNormalDoubleSpacing"/>
        <w:widowControl w:val="0"/>
        <w:rPr>
          <w:lang w:val="fr-CA"/>
        </w:rPr>
      </w:pPr>
    </w:p>
    <w:p w:rsidR="00661D2B" w:rsidRPr="00566BF5" w:rsidRDefault="00FE571F" w:rsidP="00127D06">
      <w:pPr>
        <w:pStyle w:val="SCCNormalDoubleSpacing"/>
        <w:widowControl w:val="0"/>
        <w:rPr>
          <w:lang w:val="fr-CA"/>
        </w:rPr>
      </w:pPr>
      <w:r w:rsidRPr="00F65BE5">
        <w:rPr>
          <w:rStyle w:val="SCCCounselNameChar"/>
          <w:i w:val="0"/>
          <w:lang w:val="fr-CA"/>
        </w:rPr>
        <w:tab/>
      </w:r>
      <w:r w:rsidRPr="00F65BE5">
        <w:rPr>
          <w:rStyle w:val="SCCCounselNameChar"/>
          <w:lang w:val="fr-CA"/>
        </w:rPr>
        <w:t xml:space="preserve">Frederick G. </w:t>
      </w:r>
      <w:proofErr w:type="spellStart"/>
      <w:r w:rsidRPr="00F65BE5">
        <w:rPr>
          <w:rStyle w:val="SCCCounselNameChar"/>
          <w:lang w:val="fr-CA"/>
        </w:rPr>
        <w:t>Tischler</w:t>
      </w:r>
      <w:proofErr w:type="spellEnd"/>
      <w:r w:rsidR="0069421D" w:rsidRPr="00566BF5">
        <w:rPr>
          <w:rStyle w:val="SCCCounselPartyRoleChar"/>
          <w:lang w:val="fr-CA"/>
        </w:rPr>
        <w:t>, pour l</w:t>
      </w:r>
      <w:r w:rsidR="004B2129">
        <w:rPr>
          <w:rStyle w:val="SCCCounselPartyRoleChar"/>
          <w:lang w:val="fr-CA"/>
        </w:rPr>
        <w:t>’</w:t>
      </w:r>
      <w:r w:rsidR="0069421D" w:rsidRPr="00566BF5">
        <w:rPr>
          <w:rStyle w:val="SCCCounselPartyRoleChar"/>
          <w:lang w:val="fr-CA"/>
        </w:rPr>
        <w:t>intimée.</w:t>
      </w:r>
    </w:p>
    <w:p w:rsidR="00661D2B" w:rsidRPr="00566BF5" w:rsidRDefault="00661D2B" w:rsidP="00127D06">
      <w:pPr>
        <w:pStyle w:val="SCCNormalDoubleSpacing"/>
        <w:widowControl w:val="0"/>
        <w:rPr>
          <w:lang w:val="fr-CA"/>
        </w:rPr>
      </w:pPr>
    </w:p>
    <w:p w:rsidR="004B2129" w:rsidRDefault="004B2129" w:rsidP="00127D06">
      <w:pPr>
        <w:pStyle w:val="SCCNormalDoubleSpacing"/>
        <w:widowControl w:val="0"/>
        <w:rPr>
          <w:lang w:val="fr-CA"/>
        </w:rPr>
      </w:pPr>
      <w:r w:rsidRPr="004B2129">
        <w:rPr>
          <w:lang w:val="fr-CA"/>
        </w:rPr>
        <w:tab/>
      </w:r>
      <w:r w:rsidRPr="00C7141E">
        <w:rPr>
          <w:lang w:val="fr-CA"/>
        </w:rPr>
        <w:t>Version française du jugement de la Cour rendu oralement par</w:t>
      </w:r>
    </w:p>
    <w:p w:rsidR="004B2129" w:rsidRDefault="004B2129" w:rsidP="00127D06">
      <w:pPr>
        <w:pStyle w:val="SCCNormalDoubleSpacing"/>
        <w:widowControl w:val="0"/>
        <w:rPr>
          <w:lang w:val="fr-CA"/>
        </w:rPr>
      </w:pPr>
    </w:p>
    <w:p w:rsidR="004B2129" w:rsidRPr="00B47ECA" w:rsidRDefault="004B2129" w:rsidP="00127D06">
      <w:pPr>
        <w:pStyle w:val="SCCNormalDoubleSpacing"/>
        <w:widowControl w:val="0"/>
        <w:rPr>
          <w:lang w:val="fr-CA"/>
        </w:rPr>
      </w:pPr>
      <w:r w:rsidRPr="00B870FE">
        <w:rPr>
          <w:lang w:val="fr-CA"/>
        </w:rPr>
        <w:t>[</w:t>
      </w:r>
      <w:r w:rsidRPr="00B47ECA">
        <w:rPr>
          <w:lang w:val="fr-CA"/>
        </w:rPr>
        <w:t>1]</w:t>
      </w:r>
      <w:r w:rsidRPr="00B47ECA">
        <w:rPr>
          <w:lang w:val="fr-CA"/>
        </w:rPr>
        <w:tab/>
      </w:r>
      <w:r w:rsidRPr="00B47ECA">
        <w:rPr>
          <w:smallCaps/>
          <w:lang w:val="fr-CA"/>
        </w:rPr>
        <w:t>La juge Abella</w:t>
      </w:r>
      <w:r w:rsidRPr="00B47ECA">
        <w:rPr>
          <w:lang w:val="fr-CA"/>
        </w:rPr>
        <w:t xml:space="preserve"> — </w:t>
      </w:r>
      <w:r w:rsidR="00B870FE" w:rsidRPr="00B47ECA">
        <w:rPr>
          <w:lang w:val="fr-CA"/>
        </w:rPr>
        <w:t>Les juges de la majorité sont d’avis de rejeter le pourvoi, essentiellement pour les motifs du juge d’appel Willcock.</w:t>
      </w:r>
    </w:p>
    <w:p w:rsidR="00B870FE" w:rsidRPr="00B47ECA" w:rsidRDefault="00B870FE" w:rsidP="00127D06">
      <w:pPr>
        <w:pStyle w:val="SCCNormalDoubleSpacing"/>
        <w:widowControl w:val="0"/>
        <w:rPr>
          <w:lang w:val="fr-CA"/>
        </w:rPr>
      </w:pPr>
    </w:p>
    <w:p w:rsidR="004B2129" w:rsidRPr="00B870FE" w:rsidRDefault="004B2129" w:rsidP="00127D06">
      <w:pPr>
        <w:pStyle w:val="SCCNormalDoubleSpacing"/>
        <w:widowControl w:val="0"/>
        <w:rPr>
          <w:lang w:val="fr-CA"/>
        </w:rPr>
      </w:pPr>
      <w:r w:rsidRPr="00B870FE">
        <w:rPr>
          <w:lang w:val="fr-CA"/>
        </w:rPr>
        <w:t>[2]</w:t>
      </w:r>
      <w:r w:rsidRPr="00B870FE">
        <w:rPr>
          <w:lang w:val="fr-CA"/>
        </w:rPr>
        <w:tab/>
      </w:r>
      <w:r w:rsidR="00B870FE" w:rsidRPr="00B870FE">
        <w:rPr>
          <w:lang w:val="fr-CA"/>
        </w:rPr>
        <w:t xml:space="preserve">Les juges </w:t>
      </w:r>
      <w:proofErr w:type="spellStart"/>
      <w:r w:rsidR="00B870FE" w:rsidRPr="00B870FE">
        <w:rPr>
          <w:lang w:val="fr-CA"/>
        </w:rPr>
        <w:t>Moldaver</w:t>
      </w:r>
      <w:proofErr w:type="spellEnd"/>
      <w:r w:rsidR="00B870FE" w:rsidRPr="00B870FE">
        <w:rPr>
          <w:lang w:val="fr-CA"/>
        </w:rPr>
        <w:t xml:space="preserve"> et </w:t>
      </w:r>
      <w:proofErr w:type="spellStart"/>
      <w:r w:rsidR="00B870FE" w:rsidRPr="00B870FE">
        <w:rPr>
          <w:lang w:val="fr-CA"/>
        </w:rPr>
        <w:t>Karakatsanis</w:t>
      </w:r>
      <w:proofErr w:type="spellEnd"/>
      <w:r w:rsidR="00B870FE" w:rsidRPr="00B870FE">
        <w:rPr>
          <w:lang w:val="fr-CA"/>
        </w:rPr>
        <w:t xml:space="preserve"> accueilleraient le pourvoi, fondamentalement pour les motifs exposés par le juge d’appel </w:t>
      </w:r>
      <w:proofErr w:type="spellStart"/>
      <w:r w:rsidR="00B870FE" w:rsidRPr="00B870FE">
        <w:rPr>
          <w:lang w:val="fr-CA"/>
        </w:rPr>
        <w:t>Tysoe</w:t>
      </w:r>
      <w:proofErr w:type="spellEnd"/>
      <w:r w:rsidR="00B870FE" w:rsidRPr="00B870FE">
        <w:rPr>
          <w:lang w:val="fr-CA"/>
        </w:rPr>
        <w:t>.</w:t>
      </w:r>
    </w:p>
    <w:p w:rsidR="00661D2B" w:rsidRPr="00B870FE" w:rsidRDefault="00661D2B" w:rsidP="00127D06">
      <w:pPr>
        <w:widowControl w:val="0"/>
        <w:rPr>
          <w:lang w:val="fr-CA"/>
        </w:rPr>
      </w:pPr>
    </w:p>
    <w:p w:rsidR="004D7D95" w:rsidRPr="00566BF5" w:rsidRDefault="004D7D95" w:rsidP="00127D06">
      <w:pPr>
        <w:pStyle w:val="SCCNormalDoubleSpacing"/>
        <w:widowControl w:val="0"/>
        <w:rPr>
          <w:lang w:val="fr-CA"/>
        </w:rPr>
      </w:pPr>
      <w:r w:rsidRPr="00B870FE">
        <w:rPr>
          <w:lang w:val="fr-CA"/>
        </w:rPr>
        <w:tab/>
      </w:r>
      <w:r w:rsidR="004B2129">
        <w:rPr>
          <w:i/>
          <w:lang w:val="fr-CA"/>
        </w:rPr>
        <w:t>Jugement en conséquence.</w:t>
      </w:r>
    </w:p>
    <w:p w:rsidR="00661D2B" w:rsidRPr="00566BF5" w:rsidRDefault="0069421D" w:rsidP="00127D06">
      <w:pPr>
        <w:pStyle w:val="SCCLawFirm"/>
        <w:widowControl w:val="0"/>
        <w:rPr>
          <w:lang w:val="fr-CA"/>
        </w:rPr>
      </w:pPr>
      <w:r w:rsidRPr="00566BF5">
        <w:rPr>
          <w:lang w:val="fr-CA"/>
        </w:rPr>
        <w:tab/>
        <w:t>Procureurs</w:t>
      </w:r>
      <w:r w:rsidR="004B2129">
        <w:rPr>
          <w:lang w:val="fr-CA"/>
        </w:rPr>
        <w:t xml:space="preserve"> de l’appelant</w:t>
      </w:r>
      <w:r w:rsidRPr="00566BF5">
        <w:rPr>
          <w:lang w:val="fr-CA"/>
        </w:rPr>
        <w:t xml:space="preserve">e : </w:t>
      </w:r>
      <w:proofErr w:type="spellStart"/>
      <w:r w:rsidRPr="00566BF5">
        <w:rPr>
          <w:lang w:val="fr-CA"/>
        </w:rPr>
        <w:t>Kontou</w:t>
      </w:r>
      <w:proofErr w:type="spellEnd"/>
      <w:r w:rsidRPr="00566BF5">
        <w:rPr>
          <w:lang w:val="fr-CA"/>
        </w:rPr>
        <w:t xml:space="preserve"> Law Corporation, Vancouver.</w:t>
      </w:r>
    </w:p>
    <w:p w:rsidR="00661D2B" w:rsidRPr="00566BF5" w:rsidRDefault="00661D2B" w:rsidP="00127D06">
      <w:pPr>
        <w:pStyle w:val="SCCLawFirm"/>
        <w:widowControl w:val="0"/>
        <w:rPr>
          <w:lang w:val="fr-CA"/>
        </w:rPr>
      </w:pPr>
    </w:p>
    <w:p w:rsidR="00661D2B" w:rsidRPr="00FE571F" w:rsidRDefault="0069421D" w:rsidP="00127D06">
      <w:pPr>
        <w:pStyle w:val="SCCLawFirm"/>
        <w:widowControl w:val="0"/>
        <w:rPr>
          <w:lang w:val="fr-CA"/>
        </w:rPr>
      </w:pPr>
      <w:r w:rsidRPr="00566BF5">
        <w:rPr>
          <w:lang w:val="fr-CA"/>
        </w:rPr>
        <w:tab/>
      </w:r>
      <w:r w:rsidRPr="00FE571F">
        <w:rPr>
          <w:lang w:val="fr-CA"/>
        </w:rPr>
        <w:t>Procureur de l</w:t>
      </w:r>
      <w:r w:rsidR="004B2129" w:rsidRPr="00FE571F">
        <w:rPr>
          <w:lang w:val="fr-CA"/>
        </w:rPr>
        <w:t>’</w:t>
      </w:r>
      <w:r w:rsidRPr="00FE571F">
        <w:rPr>
          <w:lang w:val="fr-CA"/>
        </w:rPr>
        <w:t xml:space="preserve">intimée : </w:t>
      </w:r>
      <w:r w:rsidR="00FE571F" w:rsidRPr="00FE571F">
        <w:rPr>
          <w:lang w:val="fr-CA"/>
        </w:rPr>
        <w:t>Procureur général de la Colombie-Britannique</w:t>
      </w:r>
      <w:r w:rsidRPr="00FE571F">
        <w:rPr>
          <w:lang w:val="fr-CA"/>
        </w:rPr>
        <w:t>, Vancouver.</w:t>
      </w:r>
    </w:p>
    <w:sectPr w:rsidR="00661D2B" w:rsidRPr="00FE571F" w:rsidSect="000648CC">
      <w:headerReference w:type="default" r:id="rId8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0E" w:rsidRDefault="00D17B0E">
      <w:r>
        <w:separator/>
      </w:r>
    </w:p>
  </w:endnote>
  <w:endnote w:type="continuationSeparator" w:id="0">
    <w:p w:rsidR="00D17B0E" w:rsidRDefault="00D1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0E" w:rsidRDefault="00D17B0E">
      <w:r>
        <w:separator/>
      </w:r>
    </w:p>
  </w:footnote>
  <w:footnote w:type="continuationSeparator" w:id="0">
    <w:p w:rsidR="00D17B0E" w:rsidRDefault="00D17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52" w:rsidRPr="00450352" w:rsidRDefault="00450352" w:rsidP="004503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3A7D"/>
    <w:rsid w:val="00023FC7"/>
    <w:rsid w:val="00025198"/>
    <w:rsid w:val="000578A3"/>
    <w:rsid w:val="000648CC"/>
    <w:rsid w:val="000C59B8"/>
    <w:rsid w:val="000C6AF0"/>
    <w:rsid w:val="000D0A77"/>
    <w:rsid w:val="000F7993"/>
    <w:rsid w:val="00104F33"/>
    <w:rsid w:val="00111DE2"/>
    <w:rsid w:val="00116B38"/>
    <w:rsid w:val="00127D06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720F7"/>
    <w:rsid w:val="00195D83"/>
    <w:rsid w:val="001A00C1"/>
    <w:rsid w:val="001B33E0"/>
    <w:rsid w:val="001B4573"/>
    <w:rsid w:val="001C779F"/>
    <w:rsid w:val="001D2AC1"/>
    <w:rsid w:val="001D4E88"/>
    <w:rsid w:val="00220FC2"/>
    <w:rsid w:val="002222F4"/>
    <w:rsid w:val="00224FC0"/>
    <w:rsid w:val="00225EA4"/>
    <w:rsid w:val="00226EAF"/>
    <w:rsid w:val="00231B39"/>
    <w:rsid w:val="00231F3A"/>
    <w:rsid w:val="002406EE"/>
    <w:rsid w:val="00243EC8"/>
    <w:rsid w:val="00270D93"/>
    <w:rsid w:val="002745CC"/>
    <w:rsid w:val="00290A2E"/>
    <w:rsid w:val="002B6FBE"/>
    <w:rsid w:val="002B7924"/>
    <w:rsid w:val="002C10A6"/>
    <w:rsid w:val="002D28C3"/>
    <w:rsid w:val="002D39A4"/>
    <w:rsid w:val="002E6705"/>
    <w:rsid w:val="0030329A"/>
    <w:rsid w:val="0031086F"/>
    <w:rsid w:val="0031414C"/>
    <w:rsid w:val="00314E01"/>
    <w:rsid w:val="0032089D"/>
    <w:rsid w:val="003310DE"/>
    <w:rsid w:val="003323B0"/>
    <w:rsid w:val="00340A49"/>
    <w:rsid w:val="0035169A"/>
    <w:rsid w:val="0035259D"/>
    <w:rsid w:val="00364B18"/>
    <w:rsid w:val="003A125D"/>
    <w:rsid w:val="003A4C70"/>
    <w:rsid w:val="003B215F"/>
    <w:rsid w:val="003C799C"/>
    <w:rsid w:val="003D0399"/>
    <w:rsid w:val="003E1C71"/>
    <w:rsid w:val="003F327B"/>
    <w:rsid w:val="0040112F"/>
    <w:rsid w:val="00406166"/>
    <w:rsid w:val="0040704B"/>
    <w:rsid w:val="00410A55"/>
    <w:rsid w:val="00411300"/>
    <w:rsid w:val="00413F17"/>
    <w:rsid w:val="00415417"/>
    <w:rsid w:val="00426659"/>
    <w:rsid w:val="00450352"/>
    <w:rsid w:val="00454BDB"/>
    <w:rsid w:val="00465132"/>
    <w:rsid w:val="00480C90"/>
    <w:rsid w:val="0048396F"/>
    <w:rsid w:val="00493C18"/>
    <w:rsid w:val="004A600C"/>
    <w:rsid w:val="004A6118"/>
    <w:rsid w:val="004B2129"/>
    <w:rsid w:val="004C478D"/>
    <w:rsid w:val="004D7D95"/>
    <w:rsid w:val="004E2C26"/>
    <w:rsid w:val="005125A8"/>
    <w:rsid w:val="00517549"/>
    <w:rsid w:val="00520ABC"/>
    <w:rsid w:val="00521AE8"/>
    <w:rsid w:val="00526A13"/>
    <w:rsid w:val="00527180"/>
    <w:rsid w:val="00555291"/>
    <w:rsid w:val="00566AD1"/>
    <w:rsid w:val="00566BF5"/>
    <w:rsid w:val="00583EDE"/>
    <w:rsid w:val="005A6079"/>
    <w:rsid w:val="005C72EC"/>
    <w:rsid w:val="005E4698"/>
    <w:rsid w:val="00603924"/>
    <w:rsid w:val="00610539"/>
    <w:rsid w:val="00613969"/>
    <w:rsid w:val="00625C35"/>
    <w:rsid w:val="00647E49"/>
    <w:rsid w:val="00656313"/>
    <w:rsid w:val="006565F4"/>
    <w:rsid w:val="00661D2B"/>
    <w:rsid w:val="00684EEA"/>
    <w:rsid w:val="0069421D"/>
    <w:rsid w:val="0069689B"/>
    <w:rsid w:val="006B5FF5"/>
    <w:rsid w:val="006F30AF"/>
    <w:rsid w:val="00701759"/>
    <w:rsid w:val="00705C15"/>
    <w:rsid w:val="007110F6"/>
    <w:rsid w:val="007208D1"/>
    <w:rsid w:val="00744518"/>
    <w:rsid w:val="00747288"/>
    <w:rsid w:val="00747DD3"/>
    <w:rsid w:val="007549C8"/>
    <w:rsid w:val="00766D14"/>
    <w:rsid w:val="00767A0F"/>
    <w:rsid w:val="00791272"/>
    <w:rsid w:val="007A05F6"/>
    <w:rsid w:val="007B6F4A"/>
    <w:rsid w:val="007E1C47"/>
    <w:rsid w:val="007E337A"/>
    <w:rsid w:val="007E5C70"/>
    <w:rsid w:val="007F2FF5"/>
    <w:rsid w:val="007F3F08"/>
    <w:rsid w:val="00804CC6"/>
    <w:rsid w:val="00817190"/>
    <w:rsid w:val="008260E2"/>
    <w:rsid w:val="008322BD"/>
    <w:rsid w:val="00834F73"/>
    <w:rsid w:val="00864C8A"/>
    <w:rsid w:val="00864CF8"/>
    <w:rsid w:val="00874914"/>
    <w:rsid w:val="00883E33"/>
    <w:rsid w:val="00891422"/>
    <w:rsid w:val="00892E1A"/>
    <w:rsid w:val="008B660A"/>
    <w:rsid w:val="008C01DA"/>
    <w:rsid w:val="008F2674"/>
    <w:rsid w:val="008F78E9"/>
    <w:rsid w:val="00910403"/>
    <w:rsid w:val="009179F9"/>
    <w:rsid w:val="00917C7A"/>
    <w:rsid w:val="00933E5E"/>
    <w:rsid w:val="00935218"/>
    <w:rsid w:val="00937C52"/>
    <w:rsid w:val="009403F3"/>
    <w:rsid w:val="009555B7"/>
    <w:rsid w:val="009567AA"/>
    <w:rsid w:val="009602C9"/>
    <w:rsid w:val="00967374"/>
    <w:rsid w:val="009A343A"/>
    <w:rsid w:val="009B2F23"/>
    <w:rsid w:val="009B57B3"/>
    <w:rsid w:val="009D2920"/>
    <w:rsid w:val="009D5AEB"/>
    <w:rsid w:val="009F0E33"/>
    <w:rsid w:val="00A149DF"/>
    <w:rsid w:val="00A1755C"/>
    <w:rsid w:val="00A21B90"/>
    <w:rsid w:val="00A22AAC"/>
    <w:rsid w:val="00A33280"/>
    <w:rsid w:val="00A41805"/>
    <w:rsid w:val="00A51882"/>
    <w:rsid w:val="00A52AFB"/>
    <w:rsid w:val="00A548CB"/>
    <w:rsid w:val="00A5521C"/>
    <w:rsid w:val="00A643E7"/>
    <w:rsid w:val="00A73C38"/>
    <w:rsid w:val="00A921A7"/>
    <w:rsid w:val="00A9492A"/>
    <w:rsid w:val="00AB670D"/>
    <w:rsid w:val="00AF03C5"/>
    <w:rsid w:val="00B000D8"/>
    <w:rsid w:val="00B00F75"/>
    <w:rsid w:val="00B145B6"/>
    <w:rsid w:val="00B279EB"/>
    <w:rsid w:val="00B47ECA"/>
    <w:rsid w:val="00B50C81"/>
    <w:rsid w:val="00B557F8"/>
    <w:rsid w:val="00B815FC"/>
    <w:rsid w:val="00B870FE"/>
    <w:rsid w:val="00B93FBC"/>
    <w:rsid w:val="00BA7DA0"/>
    <w:rsid w:val="00BB2EE4"/>
    <w:rsid w:val="00BB4C92"/>
    <w:rsid w:val="00BC2108"/>
    <w:rsid w:val="00BD0E9E"/>
    <w:rsid w:val="00BD1BEC"/>
    <w:rsid w:val="00BD32FF"/>
    <w:rsid w:val="00BF6FE9"/>
    <w:rsid w:val="00C02092"/>
    <w:rsid w:val="00C24D91"/>
    <w:rsid w:val="00C26DB2"/>
    <w:rsid w:val="00C53F14"/>
    <w:rsid w:val="00C600CF"/>
    <w:rsid w:val="00C6084F"/>
    <w:rsid w:val="00C62A66"/>
    <w:rsid w:val="00C66359"/>
    <w:rsid w:val="00C71458"/>
    <w:rsid w:val="00C77613"/>
    <w:rsid w:val="00C828E7"/>
    <w:rsid w:val="00C86719"/>
    <w:rsid w:val="00C921DD"/>
    <w:rsid w:val="00CA6391"/>
    <w:rsid w:val="00CE036E"/>
    <w:rsid w:val="00CE3171"/>
    <w:rsid w:val="00CF1601"/>
    <w:rsid w:val="00D0172F"/>
    <w:rsid w:val="00D01E33"/>
    <w:rsid w:val="00D068A7"/>
    <w:rsid w:val="00D17476"/>
    <w:rsid w:val="00D17B0E"/>
    <w:rsid w:val="00D32086"/>
    <w:rsid w:val="00D37A3F"/>
    <w:rsid w:val="00D4431D"/>
    <w:rsid w:val="00D4667A"/>
    <w:rsid w:val="00D63A1C"/>
    <w:rsid w:val="00D7516F"/>
    <w:rsid w:val="00D95F8E"/>
    <w:rsid w:val="00DA0590"/>
    <w:rsid w:val="00DB6DEC"/>
    <w:rsid w:val="00DC1739"/>
    <w:rsid w:val="00DC1788"/>
    <w:rsid w:val="00DE319C"/>
    <w:rsid w:val="00DF0CA8"/>
    <w:rsid w:val="00DF2B48"/>
    <w:rsid w:val="00DF49A7"/>
    <w:rsid w:val="00E07EE2"/>
    <w:rsid w:val="00E07FD1"/>
    <w:rsid w:val="00E24573"/>
    <w:rsid w:val="00E25E1E"/>
    <w:rsid w:val="00E27EE7"/>
    <w:rsid w:val="00E35404"/>
    <w:rsid w:val="00E45109"/>
    <w:rsid w:val="00E47B7A"/>
    <w:rsid w:val="00E56A44"/>
    <w:rsid w:val="00E60269"/>
    <w:rsid w:val="00E91BD1"/>
    <w:rsid w:val="00E962B4"/>
    <w:rsid w:val="00E97830"/>
    <w:rsid w:val="00EE0830"/>
    <w:rsid w:val="00EE6CB8"/>
    <w:rsid w:val="00EF0683"/>
    <w:rsid w:val="00F0070C"/>
    <w:rsid w:val="00F00EB7"/>
    <w:rsid w:val="00F36AB6"/>
    <w:rsid w:val="00F37A09"/>
    <w:rsid w:val="00F409CE"/>
    <w:rsid w:val="00F4379D"/>
    <w:rsid w:val="00F50D2D"/>
    <w:rsid w:val="00F56C8B"/>
    <w:rsid w:val="00F62639"/>
    <w:rsid w:val="00F65BE5"/>
    <w:rsid w:val="00F66810"/>
    <w:rsid w:val="00F84DF4"/>
    <w:rsid w:val="00F85C97"/>
    <w:rsid w:val="00FB37D2"/>
    <w:rsid w:val="00FC4EFB"/>
    <w:rsid w:val="00FD068D"/>
    <w:rsid w:val="00FD4F28"/>
    <w:rsid w:val="00FE571F"/>
    <w:rsid w:val="00FE6784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  <w:sz w:val="24"/>
    </w:rPr>
  </w:style>
  <w:style w:type="table" w:styleId="TableGrid">
    <w:name w:val="Table Grid"/>
    <w:basedOn w:val="TableNormal"/>
    <w:uiPriority w:val="59"/>
    <w:rsid w:val="00DB6DEC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DB6DEC"/>
    <w:rPr>
      <w:lang w:val="fr-CA"/>
    </w:rPr>
  </w:style>
  <w:style w:type="paragraph" w:customStyle="1" w:styleId="SCCLsocPrefix">
    <w:name w:val="SCC.Lsoc.Prefix"/>
    <w:basedOn w:val="Normal"/>
    <w:next w:val="Normal"/>
    <w:link w:val="SCCLsocPrefixChar"/>
    <w:rsid w:val="00DB6DEC"/>
    <w:rPr>
      <w:rFonts w:eastAsiaTheme="minorHAnsi" w:cstheme="minorBidi"/>
      <w:b/>
      <w:smallCaps/>
      <w:szCs w:val="24"/>
      <w:lang w:val="fr-CA" w:eastAsia="en-US"/>
    </w:rPr>
  </w:style>
  <w:style w:type="character" w:customStyle="1" w:styleId="SCCLsocPrefixChar">
    <w:name w:val="SCC.Lsoc.Prefix Char"/>
    <w:basedOn w:val="DefaultParagraphFont"/>
    <w:link w:val="SCCLsocPrefix"/>
    <w:rsid w:val="00DB6DEC"/>
    <w:rPr>
      <w:rFonts w:eastAsiaTheme="minorHAnsi" w:cstheme="minorBidi"/>
      <w:b/>
      <w:smallCaps/>
      <w:sz w:val="24"/>
      <w:szCs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2015-11-13T19:49:00Z</dcterms:created>
  <dcterms:modified xsi:type="dcterms:W3CDTF">2016-02-26T16:21:00Z</dcterms:modified>
</cp:coreProperties>
</file>