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4C" w:rsidRDefault="0005154C" w:rsidP="0005154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64.7pt" o:ole="">
            <v:imagedata r:id="rId7" o:title=""/>
          </v:shape>
          <o:OLEObject Type="Embed" ProgID="Presentations.Drawing.13" ShapeID="_x0000_i1025" DrawAspect="Content" ObjectID="_1687705367" r:id="rId8"/>
        </w:object>
      </w:r>
      <w:r>
        <w:t xml:space="preserve"> </w:t>
      </w:r>
      <w:r>
        <w:ptab w:relativeTo="margin" w:alignment="right" w:leader="none"/>
      </w:r>
    </w:p>
    <w:p w:rsidR="0005154C" w:rsidRDefault="0005154C" w:rsidP="0005154C">
      <w:pPr>
        <w:pStyle w:val="Header"/>
      </w:pPr>
    </w:p>
    <w:p w:rsidR="0005154C" w:rsidRPr="001E12E2" w:rsidRDefault="0005154C" w:rsidP="0005154C">
      <w:pPr>
        <w:jc w:val="center"/>
        <w:rPr>
          <w:b/>
        </w:rPr>
      </w:pPr>
      <w:r w:rsidRPr="001E12E2">
        <w:rPr>
          <w:b/>
        </w:rPr>
        <w:t>COUR SUPRÊME DU CANADA</w:t>
      </w:r>
    </w:p>
    <w:p w:rsidR="0005154C" w:rsidRDefault="0005154C" w:rsidP="0005154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05154C" w:rsidRPr="001E12E2" w:rsidTr="00C672AC">
        <w:trPr>
          <w:cantSplit/>
        </w:trPr>
        <w:tc>
          <w:tcPr>
            <w:tcW w:w="5670" w:type="dxa"/>
          </w:tcPr>
          <w:p w:rsidR="0005154C" w:rsidRPr="0005154C" w:rsidRDefault="0005154C" w:rsidP="00C672AC">
            <w:pPr>
              <w:rPr>
                <w:lang w:val="fr-CA"/>
              </w:rPr>
            </w:pPr>
            <w:r w:rsidRPr="0005154C">
              <w:rPr>
                <w:b/>
                <w:smallCaps/>
                <w:lang w:val="fr-CA"/>
              </w:rPr>
              <w:t>Référence :</w:t>
            </w:r>
            <w:r w:rsidRPr="0005154C">
              <w:rPr>
                <w:lang w:val="fr-CA"/>
              </w:rPr>
              <w:t xml:space="preserve"> R. </w:t>
            </w:r>
            <w:r w:rsidRPr="0005154C">
              <w:rPr>
                <w:i/>
                <w:lang w:val="fr-CA"/>
              </w:rPr>
              <w:t>c.</w:t>
            </w:r>
            <w:r w:rsidRPr="0005154C">
              <w:rPr>
                <w:lang w:val="fr-CA"/>
              </w:rPr>
              <w:t xml:space="preserve"> </w:t>
            </w:r>
            <w:proofErr w:type="spellStart"/>
            <w:r w:rsidRPr="0005154C">
              <w:rPr>
                <w:lang w:val="fr-CA"/>
              </w:rPr>
              <w:t>Vassell</w:t>
            </w:r>
            <w:proofErr w:type="spellEnd"/>
            <w:r w:rsidRPr="0005154C">
              <w:rPr>
                <w:lang w:val="fr-CA"/>
              </w:rPr>
              <w:t>, 2016 CSC 26, [2016] 1 R.C.S. 625</w:t>
            </w:r>
          </w:p>
        </w:tc>
        <w:tc>
          <w:tcPr>
            <w:tcW w:w="3906" w:type="dxa"/>
          </w:tcPr>
          <w:p w:rsidR="0005154C" w:rsidRPr="0005154C" w:rsidRDefault="0005154C" w:rsidP="00C672AC">
            <w:pPr>
              <w:rPr>
                <w:lang w:val="fr-CA"/>
              </w:rPr>
            </w:pPr>
            <w:r w:rsidRPr="0005154C">
              <w:rPr>
                <w:b/>
                <w:smallCaps/>
                <w:lang w:val="fr-CA"/>
              </w:rPr>
              <w:t>Appel entendu :</w:t>
            </w:r>
            <w:r w:rsidRPr="0005154C">
              <w:rPr>
                <w:lang w:val="fr-CA"/>
              </w:rPr>
              <w:t xml:space="preserve"> 20 mai 2016</w:t>
            </w:r>
          </w:p>
          <w:p w:rsidR="0005154C" w:rsidRPr="0005154C" w:rsidRDefault="0005154C" w:rsidP="00C672AC">
            <w:pPr>
              <w:rPr>
                <w:lang w:val="fr-CA"/>
              </w:rPr>
            </w:pPr>
            <w:r w:rsidRPr="0005154C">
              <w:rPr>
                <w:b/>
                <w:smallCaps/>
                <w:lang w:val="fr-CA"/>
              </w:rPr>
              <w:t>Jugement rendu :</w:t>
            </w:r>
            <w:r w:rsidRPr="0005154C">
              <w:rPr>
                <w:lang w:val="fr-CA"/>
              </w:rPr>
              <w:t xml:space="preserve"> 30 juin 2016</w:t>
            </w:r>
          </w:p>
          <w:p w:rsidR="0005154C" w:rsidRPr="001E12E2" w:rsidRDefault="0005154C" w:rsidP="00C672AC">
            <w:r w:rsidRPr="001E12E2">
              <w:rPr>
                <w:b/>
                <w:smallCaps/>
              </w:rPr>
              <w:t>Do</w:t>
            </w:r>
            <w:r>
              <w:rPr>
                <w:b/>
                <w:smallCaps/>
              </w:rPr>
              <w:t>ssier :</w:t>
            </w:r>
            <w:r w:rsidRPr="001E12E2">
              <w:t xml:space="preserve"> </w:t>
            </w:r>
            <w:r>
              <w:t>36792</w:t>
            </w:r>
          </w:p>
        </w:tc>
      </w:tr>
    </w:tbl>
    <w:p w:rsidR="0005154C" w:rsidRPr="001E12E2" w:rsidRDefault="0005154C" w:rsidP="0005154C"/>
    <w:p w:rsidR="0005154C" w:rsidRDefault="0005154C" w:rsidP="0005154C">
      <w:pPr>
        <w:pStyle w:val="SCCLsocPrefix"/>
      </w:pPr>
      <w:r>
        <w:t>Entre :</w:t>
      </w:r>
    </w:p>
    <w:p w:rsidR="0005154C" w:rsidRPr="0005154C" w:rsidRDefault="0005154C" w:rsidP="0005154C">
      <w:pPr>
        <w:pStyle w:val="SCCLsocParty"/>
        <w:spacing w:after="0"/>
        <w:jc w:val="center"/>
        <w:rPr>
          <w:b/>
        </w:rPr>
      </w:pPr>
      <w:r w:rsidRPr="0005154C">
        <w:rPr>
          <w:b/>
        </w:rPr>
        <w:t xml:space="preserve">Shane Rayshawn </w:t>
      </w:r>
      <w:proofErr w:type="spellStart"/>
      <w:r w:rsidRPr="0005154C">
        <w:rPr>
          <w:b/>
        </w:rPr>
        <w:t>Vassell</w:t>
      </w:r>
      <w:proofErr w:type="spellEnd"/>
    </w:p>
    <w:p w:rsidR="0005154C" w:rsidRPr="0005154C" w:rsidRDefault="0005154C" w:rsidP="0005154C">
      <w:pPr>
        <w:jc w:val="center"/>
        <w:rPr>
          <w:lang w:val="fr-CA"/>
        </w:rPr>
      </w:pPr>
      <w:r w:rsidRPr="0005154C">
        <w:rPr>
          <w:lang w:val="fr-CA"/>
        </w:rPr>
        <w:t>Appelant</w:t>
      </w:r>
    </w:p>
    <w:p w:rsidR="0005154C" w:rsidRPr="0005154C" w:rsidRDefault="0005154C" w:rsidP="0005154C">
      <w:pPr>
        <w:jc w:val="center"/>
        <w:rPr>
          <w:lang w:val="fr-CA"/>
        </w:rPr>
      </w:pPr>
    </w:p>
    <w:p w:rsidR="0005154C" w:rsidRPr="0005154C" w:rsidRDefault="0005154C" w:rsidP="0005154C">
      <w:pPr>
        <w:pStyle w:val="SCCLsocVersus"/>
        <w:spacing w:after="0"/>
        <w:jc w:val="center"/>
        <w:rPr>
          <w:i w:val="0"/>
          <w:lang w:val="fr-CA"/>
        </w:rPr>
      </w:pPr>
      <w:proofErr w:type="gramStart"/>
      <w:r w:rsidRPr="0005154C">
        <w:rPr>
          <w:i w:val="0"/>
          <w:lang w:val="fr-CA"/>
        </w:rPr>
        <w:t>et</w:t>
      </w:r>
      <w:proofErr w:type="gramEnd"/>
    </w:p>
    <w:p w:rsidR="0005154C" w:rsidRPr="0005154C" w:rsidRDefault="0005154C" w:rsidP="0005154C">
      <w:pPr>
        <w:jc w:val="center"/>
        <w:rPr>
          <w:lang w:val="fr-CA"/>
        </w:rPr>
      </w:pPr>
    </w:p>
    <w:p w:rsidR="0005154C" w:rsidRPr="0005154C" w:rsidRDefault="0005154C" w:rsidP="0005154C">
      <w:pPr>
        <w:pStyle w:val="SCCLsocParty"/>
        <w:spacing w:after="0"/>
        <w:jc w:val="center"/>
        <w:rPr>
          <w:b/>
          <w:lang w:val="fr-CA"/>
        </w:rPr>
      </w:pPr>
      <w:r w:rsidRPr="0005154C">
        <w:rPr>
          <w:b/>
          <w:lang w:val="fr-CA"/>
        </w:rPr>
        <w:t>Sa Majesté la Reine</w:t>
      </w:r>
    </w:p>
    <w:p w:rsidR="0005154C" w:rsidRPr="0005154C" w:rsidRDefault="0005154C" w:rsidP="0005154C">
      <w:pPr>
        <w:jc w:val="center"/>
        <w:rPr>
          <w:lang w:val="fr-CA"/>
        </w:rPr>
      </w:pPr>
      <w:r w:rsidRPr="0005154C">
        <w:rPr>
          <w:lang w:val="fr-CA"/>
        </w:rPr>
        <w:t>Intimée</w:t>
      </w:r>
    </w:p>
    <w:p w:rsidR="0005154C" w:rsidRPr="0005154C" w:rsidRDefault="0005154C" w:rsidP="0005154C">
      <w:pPr>
        <w:rPr>
          <w:lang w:val="fr-CA"/>
        </w:rPr>
      </w:pPr>
    </w:p>
    <w:p w:rsidR="0005154C" w:rsidRPr="0005154C" w:rsidRDefault="0005154C" w:rsidP="0005154C">
      <w:pPr>
        <w:jc w:val="center"/>
        <w:rPr>
          <w:b/>
          <w:smallCaps/>
          <w:lang w:val="fr-CA"/>
        </w:rPr>
      </w:pPr>
      <w:r w:rsidRPr="0005154C">
        <w:rPr>
          <w:b/>
          <w:smallCaps/>
          <w:lang w:val="fr-CA"/>
        </w:rPr>
        <w:t>Traduction française officielle</w:t>
      </w:r>
    </w:p>
    <w:p w:rsidR="0005154C" w:rsidRPr="0005154C" w:rsidRDefault="0005154C" w:rsidP="0005154C">
      <w:pPr>
        <w:rPr>
          <w:lang w:val="fr-CA"/>
        </w:rPr>
      </w:pPr>
    </w:p>
    <w:p w:rsidR="0005154C" w:rsidRPr="0005154C" w:rsidRDefault="0005154C" w:rsidP="0005154C">
      <w:pPr>
        <w:rPr>
          <w:lang w:val="fr-CA"/>
        </w:rPr>
      </w:pPr>
      <w:r w:rsidRPr="0005154C">
        <w:rPr>
          <w:b/>
          <w:smallCaps/>
          <w:lang w:val="fr-CA"/>
        </w:rPr>
        <w:t>Coram :</w:t>
      </w:r>
      <w:r w:rsidRPr="0005154C">
        <w:rPr>
          <w:lang w:val="fr-CA"/>
        </w:rPr>
        <w:t xml:space="preserve"> Les juges Cromwell, </w:t>
      </w:r>
      <w:proofErr w:type="spellStart"/>
      <w:r w:rsidRPr="0005154C">
        <w:rPr>
          <w:lang w:val="fr-CA"/>
        </w:rPr>
        <w:t>Moldaver</w:t>
      </w:r>
      <w:proofErr w:type="spellEnd"/>
      <w:r w:rsidRPr="0005154C">
        <w:rPr>
          <w:lang w:val="fr-CA"/>
        </w:rPr>
        <w:t xml:space="preserve">, </w:t>
      </w:r>
      <w:proofErr w:type="spellStart"/>
      <w:r w:rsidRPr="0005154C">
        <w:rPr>
          <w:lang w:val="fr-CA"/>
        </w:rPr>
        <w:t>Karakatsanis</w:t>
      </w:r>
      <w:proofErr w:type="spellEnd"/>
      <w:r w:rsidRPr="0005154C">
        <w:rPr>
          <w:lang w:val="fr-CA"/>
        </w:rPr>
        <w:t>, Wagner, Gascon, Côté et Brown</w:t>
      </w:r>
    </w:p>
    <w:p w:rsidR="0005154C" w:rsidRPr="0005154C" w:rsidRDefault="0005154C" w:rsidP="0005154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5154C" w:rsidRPr="009072AF" w:rsidTr="00C672AC">
        <w:trPr>
          <w:cantSplit/>
        </w:trPr>
        <w:tc>
          <w:tcPr>
            <w:tcW w:w="3618" w:type="dxa"/>
          </w:tcPr>
          <w:p w:rsidR="0005154C" w:rsidRPr="0005154C" w:rsidRDefault="0005154C" w:rsidP="00C672AC">
            <w:pPr>
              <w:rPr>
                <w:lang w:val="fr-CA"/>
              </w:rPr>
            </w:pPr>
            <w:r w:rsidRPr="0005154C">
              <w:rPr>
                <w:b/>
                <w:smallCaps/>
                <w:lang w:val="fr-CA"/>
              </w:rPr>
              <w:t>Motifs de jugement :</w:t>
            </w:r>
          </w:p>
          <w:p w:rsidR="0005154C" w:rsidRPr="0005154C" w:rsidRDefault="0005154C" w:rsidP="00C672AC">
            <w:pPr>
              <w:rPr>
                <w:lang w:val="fr-CA"/>
              </w:rPr>
            </w:pPr>
            <w:r w:rsidRPr="0005154C">
              <w:rPr>
                <w:lang w:val="fr-CA"/>
              </w:rPr>
              <w:t>(par. 1 à 12)</w:t>
            </w:r>
          </w:p>
        </w:tc>
        <w:tc>
          <w:tcPr>
            <w:tcW w:w="5958" w:type="dxa"/>
          </w:tcPr>
          <w:p w:rsidR="0005154C" w:rsidRPr="0005154C" w:rsidRDefault="0005154C" w:rsidP="00C672AC">
            <w:pPr>
              <w:rPr>
                <w:lang w:val="fr-CA"/>
              </w:rPr>
            </w:pPr>
            <w:r w:rsidRPr="0005154C">
              <w:rPr>
                <w:lang w:val="fr-CA"/>
              </w:rPr>
              <w:t xml:space="preserve">Le juge </w:t>
            </w:r>
            <w:proofErr w:type="spellStart"/>
            <w:r w:rsidRPr="0005154C">
              <w:rPr>
                <w:lang w:val="fr-CA"/>
              </w:rPr>
              <w:t>Moldaver</w:t>
            </w:r>
            <w:proofErr w:type="spellEnd"/>
            <w:r w:rsidRPr="0005154C">
              <w:rPr>
                <w:lang w:val="fr-CA"/>
              </w:rPr>
              <w:t xml:space="preserve"> (avec l’accord des juges Cromwell, </w:t>
            </w:r>
            <w:proofErr w:type="spellStart"/>
            <w:r w:rsidRPr="0005154C">
              <w:rPr>
                <w:lang w:val="fr-CA"/>
              </w:rPr>
              <w:t>Karakatsanis</w:t>
            </w:r>
            <w:proofErr w:type="spellEnd"/>
            <w:r w:rsidRPr="0005154C">
              <w:rPr>
                <w:lang w:val="fr-CA"/>
              </w:rPr>
              <w:t>, Wagner, Gascon, Côté et Brown)</w:t>
            </w:r>
          </w:p>
        </w:tc>
      </w:tr>
    </w:tbl>
    <w:p w:rsidR="0005154C" w:rsidRPr="0005154C" w:rsidRDefault="0005154C" w:rsidP="0005154C">
      <w:pPr>
        <w:rPr>
          <w:lang w:val="fr-CA"/>
        </w:rPr>
      </w:pPr>
    </w:p>
    <w:p w:rsidR="0005154C" w:rsidRPr="0005154C" w:rsidRDefault="0005154C" w:rsidP="0005154C">
      <w:pPr>
        <w:rPr>
          <w:lang w:val="fr-CA"/>
        </w:rPr>
      </w:pPr>
      <w:r>
        <w:rPr>
          <w:noProof/>
          <w:lang w:val="en-US" w:eastAsia="en-US"/>
        </w:rPr>
        <mc:AlternateContent>
          <mc:Choice Requires="wps">
            <w:drawing>
              <wp:anchor distT="0" distB="0" distL="114300" distR="114300" simplePos="0" relativeHeight="251659264" behindDoc="0" locked="0" layoutInCell="1" allowOverlap="1" wp14:anchorId="4C3ADB3B" wp14:editId="08F94B5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8B51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5154C" w:rsidRPr="0005154C" w:rsidRDefault="0005154C" w:rsidP="006A6864">
      <w:pPr>
        <w:widowControl w:val="0"/>
        <w:spacing w:after="720"/>
        <w:jc w:val="both"/>
        <w:rPr>
          <w:rStyle w:val="SCCRespondentForRunningHeadChar"/>
          <w:smallCaps w:val="0"/>
          <w:lang w:val="fr-CA"/>
        </w:rPr>
      </w:pPr>
    </w:p>
    <w:p w:rsidR="00B35FD6" w:rsidRPr="00676E28" w:rsidRDefault="00676E28" w:rsidP="006A6864">
      <w:pPr>
        <w:widowControl w:val="0"/>
        <w:spacing w:after="720"/>
        <w:jc w:val="both"/>
        <w:rPr>
          <w:smallCaps/>
          <w:lang w:val="en-US"/>
        </w:rPr>
      </w:pPr>
      <w:r w:rsidRPr="00676E28">
        <w:rPr>
          <w:rStyle w:val="SCCRespondentForRunningHeadChar"/>
          <w:smallCaps w:val="0"/>
          <w:lang w:val="en-US"/>
        </w:rPr>
        <w:t>R</w:t>
      </w:r>
      <w:r w:rsidR="00B35FD6" w:rsidRPr="00676E28">
        <w:rPr>
          <w:rStyle w:val="SCCRespondentForRunningHeadChar"/>
          <w:smallCaps w:val="0"/>
          <w:lang w:val="en-US"/>
        </w:rPr>
        <w:t>.</w:t>
      </w:r>
      <w:r w:rsidR="00B35FD6" w:rsidRPr="00676E28">
        <w:rPr>
          <w:rStyle w:val="SCCAppellantForRunningHeadChar"/>
          <w:smallCaps w:val="0"/>
          <w:lang w:val="en-US"/>
        </w:rPr>
        <w:t xml:space="preserve"> </w:t>
      </w:r>
      <w:r w:rsidR="00B35FD6" w:rsidRPr="00676E28">
        <w:rPr>
          <w:i/>
          <w:lang w:val="en-US"/>
        </w:rPr>
        <w:t>c.</w:t>
      </w:r>
      <w:r w:rsidR="00B35FD6" w:rsidRPr="00676E28">
        <w:rPr>
          <w:smallCaps/>
          <w:lang w:val="en-US"/>
        </w:rPr>
        <w:t xml:space="preserve"> </w:t>
      </w:r>
      <w:proofErr w:type="spellStart"/>
      <w:r w:rsidRPr="00676E28">
        <w:rPr>
          <w:rStyle w:val="SCCAppellantForRunningHeadChar"/>
          <w:smallCaps w:val="0"/>
          <w:lang w:val="en-US"/>
        </w:rPr>
        <w:t>V</w:t>
      </w:r>
      <w:r w:rsidR="00B35FD6" w:rsidRPr="00676E28">
        <w:rPr>
          <w:rStyle w:val="SCCAppellantForRunningHeadChar"/>
          <w:smallCaps w:val="0"/>
          <w:lang w:val="en-US"/>
        </w:rPr>
        <w:t>assell</w:t>
      </w:r>
      <w:proofErr w:type="spellEnd"/>
      <w:r w:rsidRPr="00676E28">
        <w:rPr>
          <w:rStyle w:val="SCCAppellantForRunningHeadChar"/>
          <w:smallCaps w:val="0"/>
          <w:lang w:val="en-US"/>
        </w:rPr>
        <w:t xml:space="preserve">, </w:t>
      </w:r>
      <w:r w:rsidRPr="00676E28">
        <w:rPr>
          <w:lang w:val="en-US"/>
        </w:rPr>
        <w:t>2016 CSC 26, [2016] 1 R.C.S. 625</w:t>
      </w:r>
    </w:p>
    <w:p w:rsidR="00B35FD6" w:rsidRPr="009072AF" w:rsidRDefault="00B35FD6" w:rsidP="006A6864">
      <w:pPr>
        <w:pStyle w:val="SCCLsocLastPartyInRole"/>
        <w:widowControl w:val="0"/>
        <w:rPr>
          <w:lang w:val="fr-CA"/>
        </w:rPr>
      </w:pPr>
      <w:r w:rsidRPr="009072AF">
        <w:rPr>
          <w:lang w:val="fr-CA"/>
        </w:rPr>
        <w:t xml:space="preserve">Shane </w:t>
      </w:r>
      <w:proofErr w:type="spellStart"/>
      <w:r w:rsidRPr="009072AF">
        <w:rPr>
          <w:lang w:val="fr-CA"/>
        </w:rPr>
        <w:t>Rayshawn</w:t>
      </w:r>
      <w:proofErr w:type="spellEnd"/>
      <w:r w:rsidRPr="009072AF">
        <w:rPr>
          <w:lang w:val="fr-CA"/>
        </w:rPr>
        <w:t xml:space="preserve"> </w:t>
      </w:r>
      <w:proofErr w:type="spellStart"/>
      <w:r w:rsidRPr="009072AF">
        <w:rPr>
          <w:lang w:val="fr-CA"/>
        </w:rPr>
        <w:t>Vassell</w:t>
      </w:r>
      <w:proofErr w:type="spellEnd"/>
      <w:r w:rsidRPr="009072AF">
        <w:rPr>
          <w:rStyle w:val="SCCLsocPartyRole"/>
          <w:lang w:val="fr-CA"/>
        </w:rPr>
        <w:tab/>
        <w:t>Appelant</w:t>
      </w:r>
    </w:p>
    <w:p w:rsidR="00B35FD6" w:rsidRPr="00CB6860" w:rsidRDefault="00B35FD6" w:rsidP="006A6864">
      <w:pPr>
        <w:pStyle w:val="SCCLsocVersus"/>
        <w:widowControl w:val="0"/>
        <w:rPr>
          <w:lang w:val="fr-CA"/>
        </w:rPr>
      </w:pPr>
      <w:proofErr w:type="gramStart"/>
      <w:r w:rsidRPr="00CB6860">
        <w:rPr>
          <w:lang w:val="fr-CA"/>
        </w:rPr>
        <w:t>c</w:t>
      </w:r>
      <w:proofErr w:type="gramEnd"/>
      <w:r w:rsidRPr="00CB6860">
        <w:rPr>
          <w:lang w:val="fr-CA"/>
        </w:rPr>
        <w:t>.</w:t>
      </w:r>
    </w:p>
    <w:p w:rsidR="00B35FD6" w:rsidRPr="00CB6860" w:rsidRDefault="00B35FD6" w:rsidP="006A6864">
      <w:pPr>
        <w:pStyle w:val="SCCLsocLastPartyInRole"/>
        <w:widowControl w:val="0"/>
        <w:rPr>
          <w:lang w:val="fr-CA"/>
        </w:rPr>
      </w:pPr>
      <w:r w:rsidRPr="00CB6860">
        <w:rPr>
          <w:lang w:val="fr-CA"/>
        </w:rPr>
        <w:t>Sa Majesté la Reine</w:t>
      </w:r>
      <w:r w:rsidRPr="00CB6860">
        <w:rPr>
          <w:rStyle w:val="SCCLsocPartyRole"/>
          <w:lang w:val="fr-CA"/>
        </w:rPr>
        <w:tab/>
        <w:t>Intimée</w:t>
      </w:r>
    </w:p>
    <w:p w:rsidR="00B35FD6" w:rsidRPr="00CB6860" w:rsidRDefault="00B35FD6" w:rsidP="006A6864">
      <w:pPr>
        <w:pStyle w:val="SCCLsocLastPartyInRole"/>
        <w:widowControl w:val="0"/>
        <w:rPr>
          <w:lang w:val="fr-CA"/>
        </w:rPr>
      </w:pPr>
      <w:r w:rsidRPr="00CB6860">
        <w:rPr>
          <w:lang w:val="fr-CA"/>
        </w:rPr>
        <w:lastRenderedPageBreak/>
        <w:t>Répertorié : R</w:t>
      </w:r>
      <w:r w:rsidR="00B20DD1">
        <w:rPr>
          <w:lang w:val="fr-CA"/>
        </w:rPr>
        <w:t>.</w:t>
      </w:r>
      <w:r w:rsidRPr="00CB6860">
        <w:rPr>
          <w:lang w:val="fr-CA"/>
        </w:rPr>
        <w:t xml:space="preserve"> </w:t>
      </w:r>
      <w:r w:rsidRPr="00CB6860">
        <w:rPr>
          <w:i/>
          <w:lang w:val="fr-CA"/>
        </w:rPr>
        <w:t>c.</w:t>
      </w:r>
      <w:r w:rsidRPr="00CB6860">
        <w:rPr>
          <w:lang w:val="fr-CA"/>
        </w:rPr>
        <w:t xml:space="preserve"> </w:t>
      </w:r>
      <w:proofErr w:type="spellStart"/>
      <w:r w:rsidRPr="005C0490">
        <w:rPr>
          <w:rStyle w:val="SCCRespondentForIndexChar"/>
          <w:b/>
          <w:lang w:val="fr-CA"/>
        </w:rPr>
        <w:t>Vassell</w:t>
      </w:r>
      <w:proofErr w:type="spellEnd"/>
    </w:p>
    <w:p w:rsidR="00B35FD6" w:rsidRPr="00CB6860" w:rsidRDefault="00B35FD6" w:rsidP="006A6864">
      <w:pPr>
        <w:pStyle w:val="SCCLsocLastPartyInRole"/>
        <w:widowControl w:val="0"/>
        <w:rPr>
          <w:lang w:val="fr-CA"/>
        </w:rPr>
      </w:pPr>
      <w:r w:rsidRPr="00CB6860">
        <w:rPr>
          <w:lang w:val="fr-CA"/>
        </w:rPr>
        <w:t>2016 CSC 26</w:t>
      </w:r>
    </w:p>
    <w:p w:rsidR="00B35FD6" w:rsidRPr="00CB6860" w:rsidRDefault="00B35FD6" w:rsidP="006A6864">
      <w:pPr>
        <w:widowControl w:val="0"/>
        <w:spacing w:after="720"/>
        <w:jc w:val="both"/>
        <w:rPr>
          <w:lang w:val="fr-CA"/>
        </w:rPr>
      </w:pPr>
      <w:r w:rsidRPr="00CB6860">
        <w:rPr>
          <w:lang w:val="fr-CA"/>
        </w:rPr>
        <w:t>N</w:t>
      </w:r>
      <w:r w:rsidRPr="00CB6860">
        <w:rPr>
          <w:vertAlign w:val="superscript"/>
          <w:lang w:val="fr-CA"/>
        </w:rPr>
        <w:t>o</w:t>
      </w:r>
      <w:r w:rsidRPr="00CB6860">
        <w:rPr>
          <w:lang w:val="fr-CA"/>
        </w:rPr>
        <w:t xml:space="preserve"> du greffe : 36792.</w:t>
      </w:r>
    </w:p>
    <w:p w:rsidR="00B35FD6" w:rsidRPr="00CB6860" w:rsidRDefault="00B35FD6" w:rsidP="006A6864">
      <w:pPr>
        <w:widowControl w:val="0"/>
        <w:spacing w:after="720"/>
        <w:jc w:val="both"/>
        <w:rPr>
          <w:lang w:val="fr-CA"/>
        </w:rPr>
      </w:pPr>
      <w:r w:rsidRPr="00CB6860">
        <w:rPr>
          <w:lang w:val="fr-CA"/>
        </w:rPr>
        <w:t>2016 : 20 mai; 2016 : 30 juin.</w:t>
      </w:r>
    </w:p>
    <w:p w:rsidR="00B35FD6" w:rsidRPr="00CB6860" w:rsidRDefault="00B35FD6" w:rsidP="006A6864">
      <w:pPr>
        <w:widowControl w:val="0"/>
        <w:spacing w:after="720"/>
        <w:jc w:val="both"/>
        <w:rPr>
          <w:lang w:val="fr-CA"/>
        </w:rPr>
      </w:pPr>
      <w:r w:rsidRPr="00CB6860">
        <w:rPr>
          <w:lang w:val="fr-CA"/>
        </w:rPr>
        <w:t xml:space="preserve">Présents : Les juges Cromwell, </w:t>
      </w:r>
      <w:proofErr w:type="spellStart"/>
      <w:r w:rsidRPr="00CB6860">
        <w:rPr>
          <w:lang w:val="fr-CA"/>
        </w:rPr>
        <w:t>Moldaver</w:t>
      </w:r>
      <w:proofErr w:type="spellEnd"/>
      <w:r w:rsidRPr="00CB6860">
        <w:rPr>
          <w:lang w:val="fr-CA"/>
        </w:rPr>
        <w:t xml:space="preserve">, </w:t>
      </w:r>
      <w:proofErr w:type="spellStart"/>
      <w:r w:rsidRPr="00CB6860">
        <w:rPr>
          <w:lang w:val="fr-CA"/>
        </w:rPr>
        <w:t>Karakatsanis</w:t>
      </w:r>
      <w:proofErr w:type="spellEnd"/>
      <w:r w:rsidRPr="00CB6860">
        <w:rPr>
          <w:lang w:val="fr-CA"/>
        </w:rPr>
        <w:t>, Wagner, Gascon, Côté et Brown.</w:t>
      </w:r>
    </w:p>
    <w:p w:rsidR="00B35FD6" w:rsidRPr="00CB6860" w:rsidRDefault="00B35FD6" w:rsidP="006A6864">
      <w:pPr>
        <w:widowControl w:val="0"/>
        <w:spacing w:after="720"/>
        <w:jc w:val="both"/>
        <w:rPr>
          <w:lang w:val="fr-CA"/>
        </w:rPr>
      </w:pPr>
      <w:r w:rsidRPr="00CB6860">
        <w:rPr>
          <w:smallCaps/>
          <w:lang w:val="fr-CA"/>
        </w:rPr>
        <w:t xml:space="preserve">en appel de la cour d’appel de </w:t>
      </w:r>
      <w:proofErr w:type="spellStart"/>
      <w:r w:rsidRPr="00CB6860">
        <w:rPr>
          <w:smallCaps/>
          <w:lang w:val="fr-CA"/>
        </w:rPr>
        <w:t>l’alberta</w:t>
      </w:r>
      <w:proofErr w:type="spellEnd"/>
    </w:p>
    <w:p w:rsidR="00B35FD6" w:rsidRPr="00CB6860" w:rsidRDefault="00B35FD6" w:rsidP="006A6864">
      <w:pPr>
        <w:pStyle w:val="SCCNormalDoubleSpacing"/>
        <w:widowControl w:val="0"/>
        <w:spacing w:before="480" w:after="480"/>
        <w:rPr>
          <w:i/>
          <w:lang w:val="fr-CA"/>
        </w:rPr>
      </w:pPr>
      <w:r w:rsidRPr="00CB6860">
        <w:rPr>
          <w:lang w:val="fr-CA"/>
        </w:rPr>
        <w:tab/>
      </w:r>
      <w:r w:rsidRPr="00CB6860">
        <w:rPr>
          <w:i/>
          <w:lang w:val="fr-CA"/>
        </w:rPr>
        <w:t xml:space="preserve">Droit constitutionnel — Charte des droits — Procès dans un délai raisonnable — Délai de trois ans jusqu’au procès — Y </w:t>
      </w:r>
      <w:proofErr w:type="spellStart"/>
      <w:r w:rsidRPr="00CB6860">
        <w:rPr>
          <w:i/>
          <w:lang w:val="fr-CA"/>
        </w:rPr>
        <w:t>a</w:t>
      </w:r>
      <w:r w:rsidRPr="00CB6860">
        <w:rPr>
          <w:i/>
          <w:lang w:val="fr-CA"/>
        </w:rPr>
        <w:noBreakHyphen/>
        <w:t>t</w:t>
      </w:r>
      <w:r w:rsidRPr="00CB6860">
        <w:rPr>
          <w:i/>
          <w:lang w:val="fr-CA"/>
        </w:rPr>
        <w:noBreakHyphen/>
        <w:t>il</w:t>
      </w:r>
      <w:proofErr w:type="spellEnd"/>
      <w:r w:rsidRPr="00CB6860">
        <w:rPr>
          <w:i/>
          <w:lang w:val="fr-CA"/>
        </w:rPr>
        <w:t xml:space="preserve"> eu violation du d</w:t>
      </w:r>
      <w:r w:rsidR="002371B1">
        <w:rPr>
          <w:i/>
          <w:lang w:val="fr-CA"/>
        </w:rPr>
        <w:t>roit de l’accusé, garanti à l’art</w:t>
      </w:r>
      <w:r w:rsidRPr="00CB6860">
        <w:rPr>
          <w:i/>
          <w:lang w:val="fr-CA"/>
        </w:rPr>
        <w:t>. 11b) de la Charte canadienne des droits et libertés, d’être jugé dans un délai raisonnable?</w:t>
      </w:r>
    </w:p>
    <w:p w:rsidR="00B35FD6" w:rsidRPr="00CB6860" w:rsidRDefault="00B35FD6" w:rsidP="006A6864">
      <w:pPr>
        <w:pStyle w:val="SCCNormalDoubleSpacing"/>
        <w:widowControl w:val="0"/>
        <w:spacing w:before="480" w:after="480"/>
        <w:rPr>
          <w:lang w:val="fr-CA"/>
        </w:rPr>
      </w:pPr>
      <w:r w:rsidRPr="00CB6860">
        <w:rPr>
          <w:lang w:val="fr-CA"/>
        </w:rPr>
        <w:tab/>
        <w:t>V et six autres personnes ont été accusés de possession de cocaïne en vue d’en faire le trafic. Le ministère public a poursuivi conjointement les sept accusés, mais seul V a finalement dû subir un procès. Le délai jusqu’au procès s’est prolongé durant plus de trois ans. En raison de ce délai, V a demandé l’arrêt des procédures. Le juge du procès a rejeté sa demande et l’a reconnu coupable. La Cour d’appel à la majorité a rejeté son appel.</w:t>
      </w:r>
    </w:p>
    <w:p w:rsidR="00B35FD6" w:rsidRPr="00CB6860" w:rsidRDefault="00B35FD6" w:rsidP="006A6864">
      <w:pPr>
        <w:pStyle w:val="SCCNormalDoubleSpacing"/>
        <w:widowControl w:val="0"/>
        <w:spacing w:before="480" w:after="480"/>
        <w:rPr>
          <w:lang w:val="fr-CA"/>
        </w:rPr>
      </w:pPr>
      <w:r w:rsidRPr="00CB6860">
        <w:rPr>
          <w:lang w:val="fr-CA"/>
        </w:rPr>
        <w:lastRenderedPageBreak/>
        <w:tab/>
      </w:r>
      <w:r w:rsidRPr="00CB6860">
        <w:rPr>
          <w:i/>
          <w:lang w:val="fr-CA"/>
        </w:rPr>
        <w:t>Arrêt</w:t>
      </w:r>
      <w:r w:rsidRPr="00CB6860">
        <w:rPr>
          <w:lang w:val="fr-CA"/>
        </w:rPr>
        <w:t> : Le pourvoi est accueilli, la déclaration de culpabilité est annulée et l’arrêt des procédures est ordonné.</w:t>
      </w:r>
    </w:p>
    <w:p w:rsidR="00B35FD6" w:rsidRPr="00CB6860" w:rsidRDefault="00B35FD6" w:rsidP="006A6864">
      <w:pPr>
        <w:pStyle w:val="SCCNormalDoubleSpacing"/>
        <w:widowControl w:val="0"/>
        <w:spacing w:before="480" w:after="480"/>
        <w:rPr>
          <w:lang w:val="fr-CA"/>
        </w:rPr>
      </w:pPr>
      <w:r w:rsidRPr="00CB6860">
        <w:rPr>
          <w:lang w:val="fr-CA"/>
        </w:rPr>
        <w:tab/>
        <w:t>Le droit de V d’être jugé dans un délai raisonnable garanti à l’al. 11</w:t>
      </w:r>
      <w:r w:rsidRPr="00CB6860">
        <w:rPr>
          <w:i/>
          <w:lang w:val="fr-CA"/>
        </w:rPr>
        <w:t>b</w:t>
      </w:r>
      <w:r w:rsidRPr="00CB6860">
        <w:rPr>
          <w:lang w:val="fr-CA"/>
        </w:rPr>
        <w:t xml:space="preserve">) de la </w:t>
      </w:r>
      <w:r w:rsidRPr="00CB6860">
        <w:rPr>
          <w:i/>
          <w:lang w:val="fr-CA"/>
        </w:rPr>
        <w:t>Charte canadienne des droits et libertés</w:t>
      </w:r>
      <w:r w:rsidRPr="00CB6860">
        <w:rPr>
          <w:lang w:val="fr-CA"/>
        </w:rPr>
        <w:t xml:space="preserve"> a été violé. Lorsqu’une violation de l’al. 11</w:t>
      </w:r>
      <w:r w:rsidRPr="00CB6860">
        <w:rPr>
          <w:i/>
          <w:lang w:val="fr-CA"/>
        </w:rPr>
        <w:t>b</w:t>
      </w:r>
      <w:r w:rsidRPr="00CB6860">
        <w:rPr>
          <w:lang w:val="fr-CA"/>
        </w:rPr>
        <w:t>) est soulevée, les tribunaux doivent prendre garde à ce que l’attention portée aux détails ne leur fasse pas perdre de vue l’ensemble de la situation. En l’espèce, V a attendu trois ans pour obtenir un procès de trois jours. Fait important, V n’est aucunement responsable du retard; il a plutôt pris des mesures proactives tout au long du processus pour que son procès ait lieu le plus tôt possible. En dépit de ses efforts, des retards importants ont été causés par ses coaccusés et par l’i</w:t>
      </w:r>
      <w:r>
        <w:rPr>
          <w:lang w:val="fr-CA"/>
        </w:rPr>
        <w:t xml:space="preserve">ncapacité du </w:t>
      </w:r>
      <w:r w:rsidRPr="00CB6860">
        <w:rPr>
          <w:lang w:val="fr-CA"/>
        </w:rPr>
        <w:t>système</w:t>
      </w:r>
      <w:r>
        <w:rPr>
          <w:lang w:val="fr-CA"/>
        </w:rPr>
        <w:t xml:space="preserve"> judiciaire d’offrir</w:t>
      </w:r>
      <w:r w:rsidRPr="00CB6860">
        <w:rPr>
          <w:lang w:val="fr-CA"/>
        </w:rPr>
        <w:t xml:space="preserve"> des dates de procès plus rapprochées. Dans ces circonstances, le ministère public se devait d’adopter une attitude plus proactive. Il a décidé de poursuivre conjointement les sept accusés, comme il en avait le droit. Mais, ce faisant, il devait rester vigilant pour s’assurer que les droits que l’al. 11</w:t>
      </w:r>
      <w:r w:rsidRPr="00CB6860">
        <w:rPr>
          <w:i/>
          <w:lang w:val="fr-CA"/>
        </w:rPr>
        <w:t>b</w:t>
      </w:r>
      <w:r w:rsidRPr="00CB6860">
        <w:rPr>
          <w:lang w:val="fr-CA"/>
        </w:rPr>
        <w:t>) reconnaît à ces accusés ne soient pas compromis. Le procès de V a été ajourné à deux reprises, et le ministère public et les intervenants du système n’ont pas pris, face à ces ajournements, les mesures proactives voulues pour éviter un délai déraisonnable.</w:t>
      </w:r>
    </w:p>
    <w:p w:rsidR="00B35FD6" w:rsidRPr="00CB6860" w:rsidRDefault="00B35FD6" w:rsidP="006A6864">
      <w:pPr>
        <w:pStyle w:val="SCCNormalDoubleSpacing"/>
        <w:widowControl w:val="0"/>
        <w:spacing w:after="720" w:line="240" w:lineRule="auto"/>
        <w:rPr>
          <w:b/>
          <w:lang w:val="fr-CA"/>
        </w:rPr>
      </w:pPr>
      <w:r w:rsidRPr="00CB6860">
        <w:rPr>
          <w:b/>
          <w:lang w:val="fr-CA"/>
        </w:rPr>
        <w:t>Jurisprudence</w:t>
      </w:r>
    </w:p>
    <w:p w:rsidR="00B35FD6" w:rsidRPr="00CB6860" w:rsidRDefault="00B35FD6" w:rsidP="006A6864">
      <w:pPr>
        <w:pStyle w:val="SCCNormalDoubleSpacing"/>
        <w:widowControl w:val="0"/>
        <w:spacing w:before="480" w:after="480"/>
        <w:rPr>
          <w:lang w:val="fr-CA"/>
        </w:rPr>
      </w:pPr>
      <w:r w:rsidRPr="00CB6860">
        <w:rPr>
          <w:lang w:val="fr-CA"/>
        </w:rPr>
        <w:tab/>
      </w:r>
      <w:r w:rsidRPr="00CB6860">
        <w:rPr>
          <w:b/>
          <w:lang w:val="fr-CA"/>
        </w:rPr>
        <w:t>Arrêts mentionnés :</w:t>
      </w:r>
      <w:r w:rsidRPr="00CB6860">
        <w:rPr>
          <w:lang w:val="fr-CA"/>
        </w:rPr>
        <w:t xml:space="preserve"> </w:t>
      </w:r>
      <w:r w:rsidRPr="00CB6860">
        <w:rPr>
          <w:i/>
          <w:lang w:val="fr-CA"/>
        </w:rPr>
        <w:t>R. c. Godin</w:t>
      </w:r>
      <w:r w:rsidRPr="00CB6860">
        <w:rPr>
          <w:lang w:val="fr-CA"/>
        </w:rPr>
        <w:t xml:space="preserve">, 2009 CSC 26, [2009] 2 R.C.S. 3; </w:t>
      </w:r>
      <w:r w:rsidRPr="00CB6860">
        <w:rPr>
          <w:i/>
          <w:lang w:val="fr-CA"/>
        </w:rPr>
        <w:t>R. c. Morin</w:t>
      </w:r>
      <w:r w:rsidRPr="00CB6860">
        <w:rPr>
          <w:lang w:val="fr-CA"/>
        </w:rPr>
        <w:t xml:space="preserve">, [1992] 1 R.C.S. 771; </w:t>
      </w:r>
      <w:r w:rsidRPr="00CB6860">
        <w:rPr>
          <w:i/>
          <w:lang w:val="fr-CA"/>
        </w:rPr>
        <w:t>R. c. Auclair</w:t>
      </w:r>
      <w:r w:rsidRPr="00CB6860">
        <w:rPr>
          <w:lang w:val="fr-CA"/>
        </w:rPr>
        <w:t xml:space="preserve">, 2014 CSC 6, [2014] 1 R.C.S. 83; </w:t>
      </w:r>
      <w:r w:rsidRPr="00CB6860">
        <w:rPr>
          <w:i/>
          <w:lang w:val="fr-CA"/>
        </w:rPr>
        <w:t xml:space="preserve">R. c. </w:t>
      </w:r>
      <w:proofErr w:type="spellStart"/>
      <w:r w:rsidRPr="00CB6860">
        <w:rPr>
          <w:i/>
          <w:lang w:val="fr-CA"/>
        </w:rPr>
        <w:lastRenderedPageBreak/>
        <w:t>Schertzer</w:t>
      </w:r>
      <w:proofErr w:type="spellEnd"/>
      <w:r w:rsidRPr="00CB6860">
        <w:rPr>
          <w:lang w:val="fr-CA"/>
        </w:rPr>
        <w:t>, 2009 ONCA 742, 248 C.C.C. (3d) 270.</w:t>
      </w:r>
    </w:p>
    <w:p w:rsidR="00B35FD6" w:rsidRPr="00CB6860" w:rsidRDefault="00B35FD6" w:rsidP="006A6864">
      <w:pPr>
        <w:pStyle w:val="SCCNormalDoubleSpacing"/>
        <w:widowControl w:val="0"/>
        <w:spacing w:after="720" w:line="240" w:lineRule="auto"/>
        <w:rPr>
          <w:b/>
          <w:lang w:val="fr-CA"/>
        </w:rPr>
      </w:pPr>
      <w:r w:rsidRPr="00CB6860">
        <w:rPr>
          <w:b/>
          <w:lang w:val="fr-CA"/>
        </w:rPr>
        <w:t>Lois et règlements cités</w:t>
      </w:r>
    </w:p>
    <w:p w:rsidR="00B35FD6" w:rsidRPr="00CB6860" w:rsidRDefault="00B35FD6" w:rsidP="006A6864">
      <w:pPr>
        <w:pStyle w:val="SCCNormalDoubleSpacing"/>
        <w:widowControl w:val="0"/>
        <w:spacing w:after="720" w:line="240" w:lineRule="auto"/>
        <w:rPr>
          <w:lang w:val="fr-CA"/>
        </w:rPr>
      </w:pPr>
      <w:r w:rsidRPr="00CB6860">
        <w:rPr>
          <w:i/>
          <w:lang w:val="fr-CA"/>
        </w:rPr>
        <w:t>Charte canadienne des droits et libertés</w:t>
      </w:r>
      <w:r w:rsidRPr="00CB6860">
        <w:rPr>
          <w:lang w:val="fr-CA"/>
        </w:rPr>
        <w:t xml:space="preserve">, </w:t>
      </w:r>
      <w:r>
        <w:rPr>
          <w:lang w:val="fr-CA"/>
        </w:rPr>
        <w:t>art. </w:t>
      </w:r>
      <w:r w:rsidRPr="00CB6860">
        <w:rPr>
          <w:lang w:val="fr-CA"/>
        </w:rPr>
        <w:t>9, 10</w:t>
      </w:r>
      <w:r w:rsidRPr="00CB6860">
        <w:rPr>
          <w:i/>
          <w:lang w:val="fr-CA"/>
        </w:rPr>
        <w:t>b</w:t>
      </w:r>
      <w:r w:rsidRPr="00CB6860">
        <w:rPr>
          <w:lang w:val="fr-CA"/>
        </w:rPr>
        <w:t>), 11</w:t>
      </w:r>
      <w:r w:rsidRPr="00CB6860">
        <w:rPr>
          <w:i/>
          <w:lang w:val="fr-CA"/>
        </w:rPr>
        <w:t>b</w:t>
      </w:r>
      <w:r w:rsidRPr="00CB6860">
        <w:rPr>
          <w:lang w:val="fr-CA"/>
        </w:rPr>
        <w:t>), 24(2).</w:t>
      </w:r>
    </w:p>
    <w:p w:rsidR="00B35FD6" w:rsidRPr="00CB6860" w:rsidRDefault="00B35FD6" w:rsidP="006A6864">
      <w:pPr>
        <w:pStyle w:val="SCCNormalDoubleSpacing"/>
        <w:widowControl w:val="0"/>
        <w:spacing w:before="480" w:after="480"/>
        <w:rPr>
          <w:lang w:val="fr-CA"/>
        </w:rPr>
      </w:pPr>
      <w:r w:rsidRPr="00CB6860">
        <w:rPr>
          <w:lang w:val="fr-CA"/>
        </w:rPr>
        <w:tab/>
        <w:t xml:space="preserve">POURVOI contre un arrêt de la Cour d’appel de l’Alberta (les juges Watson, </w:t>
      </w:r>
      <w:proofErr w:type="spellStart"/>
      <w:r w:rsidRPr="00CB6860">
        <w:rPr>
          <w:lang w:val="fr-CA"/>
        </w:rPr>
        <w:t>Rowbotham</w:t>
      </w:r>
      <w:proofErr w:type="spellEnd"/>
      <w:r w:rsidRPr="00CB6860">
        <w:rPr>
          <w:lang w:val="fr-CA"/>
        </w:rPr>
        <w:t xml:space="preserve"> et </w:t>
      </w:r>
      <w:proofErr w:type="spellStart"/>
      <w:r w:rsidRPr="00CB6860">
        <w:rPr>
          <w:lang w:val="fr-CA"/>
        </w:rPr>
        <w:t>O’Ferrall</w:t>
      </w:r>
      <w:proofErr w:type="spellEnd"/>
      <w:r w:rsidRPr="00CB6860">
        <w:rPr>
          <w:lang w:val="fr-CA"/>
        </w:rPr>
        <w:t xml:space="preserve">), 2015 ABCA 409, 29 Alta. L.R. (6th) 1, 609 A.R. 253, 656 W.A.C. 253, 331 C.C.C. (3d) 97, [2015] A.J. No. 1416 (QL), 2015 </w:t>
      </w:r>
      <w:proofErr w:type="spellStart"/>
      <w:r w:rsidRPr="00CB6860">
        <w:rPr>
          <w:lang w:val="fr-CA"/>
        </w:rPr>
        <w:t>CarswellAlta</w:t>
      </w:r>
      <w:proofErr w:type="spellEnd"/>
      <w:r w:rsidRPr="00CB6860">
        <w:rPr>
          <w:lang w:val="fr-CA"/>
        </w:rPr>
        <w:t xml:space="preserve"> 2344 (WL Can.), qui a confirmé des décisions du juge Marceau, 2014 ABQB 196, 587 A.R. 56, [2014] A.J. No. 386 (QL), 2014 </w:t>
      </w:r>
      <w:proofErr w:type="spellStart"/>
      <w:r w:rsidRPr="00CB6860">
        <w:rPr>
          <w:lang w:val="fr-CA"/>
        </w:rPr>
        <w:t>CarswellAlta</w:t>
      </w:r>
      <w:proofErr w:type="spellEnd"/>
      <w:r w:rsidRPr="00CB6860">
        <w:rPr>
          <w:lang w:val="fr-CA"/>
        </w:rPr>
        <w:t xml:space="preserve"> 590 (WL Can.), et 2014 ABQB 281, [2014] A.J. No. 505 (QL), 2014 </w:t>
      </w:r>
      <w:proofErr w:type="spellStart"/>
      <w:r w:rsidRPr="00CB6860">
        <w:rPr>
          <w:lang w:val="fr-CA"/>
        </w:rPr>
        <w:t>CarswellAlta</w:t>
      </w:r>
      <w:proofErr w:type="spellEnd"/>
      <w:r w:rsidRPr="00CB6860">
        <w:rPr>
          <w:lang w:val="fr-CA"/>
        </w:rPr>
        <w:t xml:space="preserve"> 772 (WL Can.). Pourvoi accueilli.</w:t>
      </w:r>
    </w:p>
    <w:p w:rsidR="00B35FD6" w:rsidRPr="00CB6860" w:rsidRDefault="00B35FD6" w:rsidP="006A6864">
      <w:pPr>
        <w:pStyle w:val="SCCNormalDoubleSpacing"/>
        <w:widowControl w:val="0"/>
        <w:spacing w:before="480" w:after="480"/>
        <w:rPr>
          <w:lang w:val="fr-CA"/>
        </w:rPr>
      </w:pPr>
      <w:r w:rsidRPr="00CB6860">
        <w:rPr>
          <w:rStyle w:val="SCCCounselNameChar"/>
          <w:lang w:val="fr-CA"/>
        </w:rPr>
        <w:tab/>
        <w:t>Graham Johnson</w:t>
      </w:r>
      <w:r w:rsidRPr="00CB6860">
        <w:rPr>
          <w:rStyle w:val="SCCCounselPartyRoleChar"/>
          <w:lang w:val="fr-CA"/>
        </w:rPr>
        <w:t>, pour l’appelant.</w:t>
      </w:r>
    </w:p>
    <w:p w:rsidR="00B35FD6" w:rsidRPr="00CB6860" w:rsidRDefault="00B35FD6" w:rsidP="006A6864">
      <w:pPr>
        <w:pStyle w:val="SCCNormalDoubleSpacing"/>
        <w:widowControl w:val="0"/>
        <w:spacing w:before="480" w:after="480"/>
        <w:rPr>
          <w:lang w:val="fr-CA"/>
        </w:rPr>
      </w:pPr>
      <w:r w:rsidRPr="00CB6860">
        <w:rPr>
          <w:rStyle w:val="SCCCounselNameChar"/>
          <w:lang w:val="fr-CA"/>
        </w:rPr>
        <w:tab/>
        <w:t>Susanne Boucher</w:t>
      </w:r>
      <w:r w:rsidRPr="00CB6860">
        <w:rPr>
          <w:rStyle w:val="SCCCounselSeparatorChar"/>
          <w:lang w:val="fr-CA"/>
        </w:rPr>
        <w:t xml:space="preserve"> et </w:t>
      </w:r>
      <w:r w:rsidRPr="00CB6860">
        <w:rPr>
          <w:rStyle w:val="SCCCounselNameChar"/>
          <w:lang w:val="fr-CA"/>
        </w:rPr>
        <w:t>Jonathan Martin</w:t>
      </w:r>
      <w:r w:rsidRPr="00CB6860">
        <w:rPr>
          <w:rStyle w:val="SCCCounselPartyRoleChar"/>
          <w:lang w:val="fr-CA"/>
        </w:rPr>
        <w:t>, pour l’intimée.</w:t>
      </w:r>
    </w:p>
    <w:p w:rsidR="00B35FD6" w:rsidRPr="00CB6860" w:rsidRDefault="00B35FD6" w:rsidP="006A6864">
      <w:pPr>
        <w:pStyle w:val="SCCNormalDoubleSpacing"/>
        <w:widowControl w:val="0"/>
        <w:spacing w:before="480" w:after="480"/>
        <w:rPr>
          <w:lang w:val="fr-CA"/>
        </w:rPr>
        <w:sectPr w:rsidR="00B35FD6" w:rsidRPr="00CB6860" w:rsidSect="00B35FD6">
          <w:headerReference w:type="even" r:id="rId9"/>
          <w:headerReference w:type="default" r:id="rId10"/>
          <w:footerReference w:type="even" r:id="rId11"/>
          <w:footerReference w:type="default" r:id="rId12"/>
          <w:headerReference w:type="first" r:id="rId13"/>
          <w:footerReference w:type="first" r:id="rId14"/>
          <w:pgSz w:w="12240" w:h="15840" w:code="1"/>
          <w:pgMar w:top="1267" w:right="2160" w:bottom="720" w:left="1800" w:header="1440" w:footer="720" w:gutter="0"/>
          <w:cols w:space="720"/>
          <w:titlePg/>
          <w:docGrid w:linePitch="326"/>
        </w:sectPr>
      </w:pPr>
    </w:p>
    <w:p w:rsidR="00EF5294" w:rsidRPr="002371B1" w:rsidRDefault="002371B1" w:rsidP="006A6864">
      <w:pPr>
        <w:pStyle w:val="JudgeJuge"/>
        <w:widowControl w:val="0"/>
        <w:spacing w:before="480"/>
        <w:rPr>
          <w:smallCaps w:val="0"/>
          <w:lang w:val="fr-CA"/>
        </w:rPr>
      </w:pPr>
      <w:r>
        <w:rPr>
          <w:lang w:val="fr-CA"/>
        </w:rPr>
        <w:lastRenderedPageBreak/>
        <w:tab/>
      </w:r>
      <w:r w:rsidRPr="002371B1">
        <w:rPr>
          <w:smallCaps w:val="0"/>
          <w:lang w:val="fr-CA"/>
        </w:rPr>
        <w:t>Ver</w:t>
      </w:r>
      <w:r>
        <w:rPr>
          <w:smallCaps w:val="0"/>
          <w:lang w:val="fr-CA"/>
        </w:rPr>
        <w:t>sion française du jugement de la Cour rendu par</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EF5294">
        <w:rPr>
          <w:smallCaps/>
          <w:lang w:val="fr-CA"/>
        </w:rPr>
        <w:t xml:space="preserve">Le juge </w:t>
      </w:r>
      <w:proofErr w:type="spellStart"/>
      <w:r w:rsidRPr="00EF5294">
        <w:rPr>
          <w:smallCaps/>
          <w:lang w:val="fr-CA"/>
        </w:rPr>
        <w:t>Moldaver</w:t>
      </w:r>
      <w:proofErr w:type="spellEnd"/>
      <w:r w:rsidRPr="00A05127">
        <w:rPr>
          <w:lang w:val="fr-CA"/>
        </w:rPr>
        <w:t xml:space="preserve"> — </w:t>
      </w:r>
      <w:r w:rsidRPr="00A05127">
        <w:rPr>
          <w:rFonts w:cs="Times New Roman"/>
          <w:lang w:val="fr-CA"/>
        </w:rPr>
        <w:t>Il s</w:t>
      </w:r>
      <w:r>
        <w:rPr>
          <w:rFonts w:cs="Times New Roman"/>
          <w:lang w:val="fr-CA"/>
        </w:rPr>
        <w:t>’</w:t>
      </w:r>
      <w:r w:rsidRPr="00A05127">
        <w:rPr>
          <w:rFonts w:cs="Times New Roman"/>
          <w:lang w:val="fr-CA"/>
        </w:rPr>
        <w:t>agit d</w:t>
      </w:r>
      <w:r>
        <w:rPr>
          <w:rFonts w:cs="Times New Roman"/>
          <w:lang w:val="fr-CA"/>
        </w:rPr>
        <w:t>’</w:t>
      </w:r>
      <w:r w:rsidRPr="00A05127">
        <w:rPr>
          <w:rFonts w:cs="Times New Roman"/>
          <w:lang w:val="fr-CA"/>
        </w:rPr>
        <w:t>un appel interjeté de plein droit à l</w:t>
      </w:r>
      <w:r>
        <w:rPr>
          <w:rFonts w:cs="Times New Roman"/>
          <w:lang w:val="fr-CA"/>
        </w:rPr>
        <w:t>’</w:t>
      </w:r>
      <w:r w:rsidRPr="00A05127">
        <w:rPr>
          <w:rFonts w:cs="Times New Roman"/>
          <w:lang w:val="fr-CA"/>
        </w:rPr>
        <w:t>encontre d</w:t>
      </w:r>
      <w:r>
        <w:rPr>
          <w:rFonts w:cs="Times New Roman"/>
          <w:lang w:val="fr-CA"/>
        </w:rPr>
        <w:t>’</w:t>
      </w:r>
      <w:r w:rsidRPr="00A05127">
        <w:rPr>
          <w:rFonts w:cs="Times New Roman"/>
          <w:lang w:val="fr-CA"/>
        </w:rPr>
        <w:t>un jugement de la Cour d</w:t>
      </w:r>
      <w:r>
        <w:rPr>
          <w:rFonts w:cs="Times New Roman"/>
          <w:lang w:val="fr-CA"/>
        </w:rPr>
        <w:t>’</w:t>
      </w:r>
      <w:r w:rsidRPr="00A05127">
        <w:rPr>
          <w:rFonts w:cs="Times New Roman"/>
          <w:lang w:val="fr-CA"/>
        </w:rPr>
        <w:t>appel de l</w:t>
      </w:r>
      <w:r>
        <w:rPr>
          <w:rFonts w:cs="Times New Roman"/>
          <w:lang w:val="fr-CA"/>
        </w:rPr>
        <w:t>’</w:t>
      </w:r>
      <w:r w:rsidRPr="00A05127">
        <w:rPr>
          <w:rFonts w:cs="Times New Roman"/>
          <w:lang w:val="fr-CA"/>
        </w:rPr>
        <w:t>Alberta sur le fondement des motifs dissidents du juge</w:t>
      </w:r>
      <w:r>
        <w:rPr>
          <w:rFonts w:cs="Times New Roman"/>
          <w:lang w:val="fr-CA"/>
        </w:rPr>
        <w:t xml:space="preserve"> </w:t>
      </w:r>
      <w:proofErr w:type="spellStart"/>
      <w:r w:rsidRPr="00A05127">
        <w:rPr>
          <w:rFonts w:cs="Times New Roman"/>
          <w:lang w:val="fr-CA"/>
        </w:rPr>
        <w:t>O</w:t>
      </w:r>
      <w:r>
        <w:rPr>
          <w:rFonts w:cs="Times New Roman"/>
          <w:lang w:val="fr-CA"/>
        </w:rPr>
        <w:t>’</w:t>
      </w:r>
      <w:r w:rsidRPr="00A05127">
        <w:rPr>
          <w:rFonts w:cs="Times New Roman"/>
          <w:lang w:val="fr-CA"/>
        </w:rPr>
        <w:t>Ferrall</w:t>
      </w:r>
      <w:proofErr w:type="spellEnd"/>
      <w:r w:rsidRPr="00A05127">
        <w:rPr>
          <w:rFonts w:cs="Times New Roman"/>
          <w:lang w:val="fr-CA"/>
        </w:rPr>
        <w:t xml:space="preserve"> (2015 ABCA 409, 609 A.R. 2</w:t>
      </w:r>
      <w:r w:rsidR="00DA7EE9">
        <w:rPr>
          <w:rFonts w:cs="Times New Roman"/>
          <w:lang w:val="fr-CA"/>
        </w:rPr>
        <w:t>53</w:t>
      </w:r>
      <w:r w:rsidRPr="00A05127">
        <w:rPr>
          <w:rFonts w:cs="Times New Roman"/>
          <w:lang w:val="fr-CA"/>
        </w:rPr>
        <w:t>). Conformément à l</w:t>
      </w:r>
      <w:r>
        <w:rPr>
          <w:rFonts w:cs="Times New Roman"/>
          <w:lang w:val="fr-CA"/>
        </w:rPr>
        <w:t>’</w:t>
      </w:r>
      <w:r w:rsidRPr="00A05127">
        <w:rPr>
          <w:rFonts w:cs="Times New Roman"/>
          <w:lang w:val="fr-CA"/>
        </w:rPr>
        <w:t>opinion exprimée par celui</w:t>
      </w:r>
      <w:r w:rsidRPr="00A05127">
        <w:rPr>
          <w:rFonts w:cs="Times New Roman"/>
          <w:lang w:val="fr-CA"/>
        </w:rPr>
        <w:noBreakHyphen/>
        <w:t>ci, M. </w:t>
      </w:r>
      <w:proofErr w:type="spellStart"/>
      <w:r w:rsidRPr="00A05127">
        <w:rPr>
          <w:rFonts w:cs="Times New Roman"/>
          <w:lang w:val="fr-CA"/>
        </w:rPr>
        <w:t>Vassell</w:t>
      </w:r>
      <w:proofErr w:type="spellEnd"/>
      <w:r w:rsidRPr="00A05127">
        <w:rPr>
          <w:rFonts w:cs="Times New Roman"/>
          <w:lang w:val="fr-CA"/>
        </w:rPr>
        <w:t xml:space="preserve"> affirme que son droit d</w:t>
      </w:r>
      <w:r>
        <w:rPr>
          <w:rFonts w:cs="Times New Roman"/>
          <w:lang w:val="fr-CA"/>
        </w:rPr>
        <w:t>’</w:t>
      </w:r>
      <w:r w:rsidRPr="00A05127">
        <w:rPr>
          <w:rFonts w:cs="Times New Roman"/>
          <w:lang w:val="fr-CA"/>
        </w:rPr>
        <w:t>être jugé dans un délai raisonnable garanti à l</w:t>
      </w:r>
      <w:r>
        <w:rPr>
          <w:rFonts w:cs="Times New Roman"/>
          <w:lang w:val="fr-CA"/>
        </w:rPr>
        <w:t>’</w:t>
      </w:r>
      <w:r w:rsidRPr="00A05127">
        <w:rPr>
          <w:rFonts w:cs="Times New Roman"/>
          <w:lang w:val="fr-CA"/>
        </w:rPr>
        <w:t>al. 11</w:t>
      </w:r>
      <w:r w:rsidRPr="00A05127">
        <w:rPr>
          <w:rFonts w:cs="Times New Roman"/>
          <w:i/>
          <w:lang w:val="fr-CA"/>
        </w:rPr>
        <w:t>b</w:t>
      </w:r>
      <w:r w:rsidRPr="00A05127">
        <w:rPr>
          <w:rFonts w:cs="Times New Roman"/>
          <w:lang w:val="fr-CA"/>
        </w:rPr>
        <w:t xml:space="preserve">) de la </w:t>
      </w:r>
      <w:r w:rsidRPr="00A05127">
        <w:rPr>
          <w:rFonts w:cs="Times New Roman"/>
          <w:i/>
          <w:lang w:val="fr-CA"/>
        </w:rPr>
        <w:t>Charte canadienne des droits et libertés</w:t>
      </w:r>
      <w:r w:rsidRPr="00A05127">
        <w:rPr>
          <w:rFonts w:cs="Times New Roman"/>
          <w:lang w:val="fr-CA"/>
        </w:rPr>
        <w:t xml:space="preserve"> a été violé. Il demande à la Cour d</w:t>
      </w:r>
      <w:r>
        <w:rPr>
          <w:rFonts w:cs="Times New Roman"/>
          <w:lang w:val="fr-CA"/>
        </w:rPr>
        <w:t>’</w:t>
      </w:r>
      <w:r w:rsidRPr="00A05127">
        <w:rPr>
          <w:rFonts w:cs="Times New Roman"/>
          <w:lang w:val="fr-CA"/>
        </w:rPr>
        <w:t>annuler sa déclaration de culpabilité pour possession de cocaïne en vue d</w:t>
      </w:r>
      <w:r>
        <w:rPr>
          <w:rFonts w:cs="Times New Roman"/>
          <w:lang w:val="fr-CA"/>
        </w:rPr>
        <w:t>’</w:t>
      </w:r>
      <w:r w:rsidRPr="00A05127">
        <w:rPr>
          <w:rFonts w:cs="Times New Roman"/>
          <w:lang w:val="fr-CA"/>
        </w:rPr>
        <w:t>en faire le trafic (2014 ABQB 281) et d</w:t>
      </w:r>
      <w:r>
        <w:rPr>
          <w:rFonts w:cs="Times New Roman"/>
          <w:lang w:val="fr-CA"/>
        </w:rPr>
        <w:t>’</w:t>
      </w:r>
      <w:r w:rsidRPr="00A05127">
        <w:rPr>
          <w:rFonts w:cs="Times New Roman"/>
          <w:lang w:val="fr-CA"/>
        </w:rPr>
        <w:t>ordonner l</w:t>
      </w:r>
      <w:r>
        <w:rPr>
          <w:rFonts w:cs="Times New Roman"/>
          <w:lang w:val="fr-CA"/>
        </w:rPr>
        <w:t>’</w:t>
      </w:r>
      <w:r w:rsidRPr="00A05127">
        <w:rPr>
          <w:rFonts w:cs="Times New Roman"/>
          <w:lang w:val="fr-CA"/>
        </w:rPr>
        <w:t>arrêt des procédures. À titre subsidiaire, il allègue une violation des droits qui lui sont garantis par l</w:t>
      </w:r>
      <w:r>
        <w:rPr>
          <w:rFonts w:cs="Times New Roman"/>
          <w:lang w:val="fr-CA"/>
        </w:rPr>
        <w:t>’</w:t>
      </w:r>
      <w:r w:rsidRPr="00A05127">
        <w:rPr>
          <w:rFonts w:cs="Times New Roman"/>
          <w:lang w:val="fr-CA"/>
        </w:rPr>
        <w:t>art. 9 et l</w:t>
      </w:r>
      <w:r>
        <w:rPr>
          <w:rFonts w:cs="Times New Roman"/>
          <w:lang w:val="fr-CA"/>
        </w:rPr>
        <w:t>’</w:t>
      </w:r>
      <w:r w:rsidRPr="00A05127">
        <w:rPr>
          <w:rFonts w:cs="Times New Roman"/>
          <w:lang w:val="fr-CA"/>
        </w:rPr>
        <w:t>al. 10</w:t>
      </w:r>
      <w:r w:rsidRPr="00A05127">
        <w:rPr>
          <w:rFonts w:cs="Times New Roman"/>
          <w:i/>
          <w:lang w:val="fr-CA"/>
        </w:rPr>
        <w:t>b</w:t>
      </w:r>
      <w:r w:rsidRPr="00A05127">
        <w:rPr>
          <w:rFonts w:cs="Times New Roman"/>
          <w:lang w:val="fr-CA"/>
        </w:rPr>
        <w:t xml:space="preserve">) de la </w:t>
      </w:r>
      <w:r w:rsidRPr="00A05127">
        <w:rPr>
          <w:rFonts w:cs="Times New Roman"/>
          <w:i/>
          <w:lang w:val="fr-CA"/>
        </w:rPr>
        <w:t>Charte</w:t>
      </w:r>
      <w:r w:rsidRPr="00A05127">
        <w:rPr>
          <w:rFonts w:cs="Times New Roman"/>
          <w:lang w:val="fr-CA"/>
        </w:rPr>
        <w:t xml:space="preserve"> et soutient que sa déclaration à la police aurait dû être écartée au procès conformément au par. 24(2). Dans cette éventualité, il sollicite la tenue d</w:t>
      </w:r>
      <w:r>
        <w:rPr>
          <w:rFonts w:cs="Times New Roman"/>
          <w:lang w:val="fr-CA"/>
        </w:rPr>
        <w:t>’</w:t>
      </w:r>
      <w:r w:rsidRPr="00A05127">
        <w:rPr>
          <w:rFonts w:cs="Times New Roman"/>
          <w:lang w:val="fr-CA"/>
        </w:rPr>
        <w:t>un nouveau procès.</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Pour des motifs qui concordent largement avec ceux exposés par le juge</w:t>
      </w:r>
      <w:r>
        <w:rPr>
          <w:rFonts w:cs="Times New Roman"/>
          <w:lang w:val="fr-CA"/>
        </w:rPr>
        <w:t xml:space="preserve"> </w:t>
      </w:r>
      <w:proofErr w:type="spellStart"/>
      <w:r w:rsidRPr="00A05127">
        <w:rPr>
          <w:rFonts w:cs="Times New Roman"/>
          <w:lang w:val="fr-CA"/>
        </w:rPr>
        <w:t>O</w:t>
      </w:r>
      <w:r>
        <w:rPr>
          <w:rFonts w:cs="Times New Roman"/>
          <w:lang w:val="fr-CA"/>
        </w:rPr>
        <w:t>’</w:t>
      </w:r>
      <w:r w:rsidRPr="00A05127">
        <w:rPr>
          <w:rFonts w:cs="Times New Roman"/>
          <w:lang w:val="fr-CA"/>
        </w:rPr>
        <w:t>Ferrall</w:t>
      </w:r>
      <w:proofErr w:type="spellEnd"/>
      <w:r w:rsidRPr="00A05127">
        <w:rPr>
          <w:rFonts w:cs="Times New Roman"/>
          <w:lang w:val="fr-CA"/>
        </w:rPr>
        <w:t xml:space="preserve">, </w:t>
      </w:r>
      <w:proofErr w:type="gramStart"/>
      <w:r w:rsidRPr="00A05127">
        <w:rPr>
          <w:rFonts w:cs="Times New Roman"/>
          <w:lang w:val="fr-CA"/>
        </w:rPr>
        <w:t>j</w:t>
      </w:r>
      <w:r>
        <w:rPr>
          <w:rFonts w:cs="Times New Roman"/>
          <w:lang w:val="fr-CA"/>
        </w:rPr>
        <w:t>’</w:t>
      </w:r>
      <w:r w:rsidRPr="00A05127">
        <w:rPr>
          <w:rFonts w:cs="Times New Roman"/>
          <w:lang w:val="fr-CA"/>
        </w:rPr>
        <w:t>estime</w:t>
      </w:r>
      <w:proofErr w:type="gramEnd"/>
      <w:r w:rsidRPr="00A05127">
        <w:rPr>
          <w:rFonts w:cs="Times New Roman"/>
          <w:lang w:val="fr-CA"/>
        </w:rPr>
        <w:t xml:space="preserve"> que l</w:t>
      </w:r>
      <w:r>
        <w:rPr>
          <w:rFonts w:cs="Times New Roman"/>
          <w:lang w:val="fr-CA"/>
        </w:rPr>
        <w:t>’</w:t>
      </w:r>
      <w:r w:rsidRPr="00A05127">
        <w:rPr>
          <w:rFonts w:cs="Times New Roman"/>
          <w:lang w:val="fr-CA"/>
        </w:rPr>
        <w:t>argument de M. </w:t>
      </w:r>
      <w:proofErr w:type="spellStart"/>
      <w:r w:rsidRPr="00A05127">
        <w:rPr>
          <w:rFonts w:cs="Times New Roman"/>
          <w:lang w:val="fr-CA"/>
        </w:rPr>
        <w:t>Vassell</w:t>
      </w:r>
      <w:proofErr w:type="spellEnd"/>
      <w:r w:rsidRPr="00A05127">
        <w:rPr>
          <w:rFonts w:cs="Times New Roman"/>
          <w:lang w:val="fr-CA"/>
        </w:rPr>
        <w:t xml:space="preserve"> fondé sur l</w:t>
      </w:r>
      <w:r>
        <w:rPr>
          <w:rFonts w:cs="Times New Roman"/>
          <w:lang w:val="fr-CA"/>
        </w:rPr>
        <w:t>’</w:t>
      </w:r>
      <w:r w:rsidRPr="00A05127">
        <w:rPr>
          <w:rFonts w:cs="Times New Roman"/>
          <w:lang w:val="fr-CA"/>
        </w:rPr>
        <w:t>al. 11</w:t>
      </w:r>
      <w:r w:rsidRPr="00A05127">
        <w:rPr>
          <w:rFonts w:cs="Times New Roman"/>
          <w:i/>
          <w:lang w:val="fr-CA"/>
        </w:rPr>
        <w:t>b</w:t>
      </w:r>
      <w:r w:rsidRPr="00A05127">
        <w:rPr>
          <w:rFonts w:cs="Times New Roman"/>
          <w:lang w:val="fr-CA"/>
        </w:rPr>
        <w:t xml:space="preserve">) de la </w:t>
      </w:r>
      <w:r w:rsidRPr="00A05127">
        <w:rPr>
          <w:rFonts w:cs="Times New Roman"/>
          <w:i/>
          <w:lang w:val="fr-CA"/>
        </w:rPr>
        <w:t>Charte</w:t>
      </w:r>
      <w:r w:rsidRPr="00A05127">
        <w:rPr>
          <w:rFonts w:cs="Times New Roman"/>
          <w:lang w:val="fr-CA"/>
        </w:rPr>
        <w:t xml:space="preserve"> doit être retenu. En conséquence, je suis d</w:t>
      </w:r>
      <w:r>
        <w:rPr>
          <w:rFonts w:cs="Times New Roman"/>
          <w:lang w:val="fr-CA"/>
        </w:rPr>
        <w:t>’</w:t>
      </w:r>
      <w:r w:rsidRPr="00A05127">
        <w:rPr>
          <w:rFonts w:cs="Times New Roman"/>
          <w:lang w:val="fr-CA"/>
        </w:rPr>
        <w:t>avis d</w:t>
      </w:r>
      <w:r>
        <w:rPr>
          <w:rFonts w:cs="Times New Roman"/>
          <w:lang w:val="fr-CA"/>
        </w:rPr>
        <w:t>’</w:t>
      </w:r>
      <w:r w:rsidRPr="00A05127">
        <w:rPr>
          <w:rFonts w:cs="Times New Roman"/>
          <w:lang w:val="fr-CA"/>
        </w:rPr>
        <w:t>accueillir le pourvoi, d</w:t>
      </w:r>
      <w:r>
        <w:rPr>
          <w:rFonts w:cs="Times New Roman"/>
          <w:lang w:val="fr-CA"/>
        </w:rPr>
        <w:t>’</w:t>
      </w:r>
      <w:r w:rsidRPr="00A05127">
        <w:rPr>
          <w:rFonts w:cs="Times New Roman"/>
          <w:lang w:val="fr-CA"/>
        </w:rPr>
        <w:t>annuler la déclaration de culpabilité de M. </w:t>
      </w:r>
      <w:proofErr w:type="spellStart"/>
      <w:r w:rsidRPr="00A05127">
        <w:rPr>
          <w:rFonts w:cs="Times New Roman"/>
          <w:lang w:val="fr-CA"/>
        </w:rPr>
        <w:t>Vassell</w:t>
      </w:r>
      <w:proofErr w:type="spellEnd"/>
      <w:r w:rsidRPr="00A05127">
        <w:rPr>
          <w:rFonts w:cs="Times New Roman"/>
          <w:lang w:val="fr-CA"/>
        </w:rPr>
        <w:t xml:space="preserve"> et d</w:t>
      </w:r>
      <w:r>
        <w:rPr>
          <w:rFonts w:cs="Times New Roman"/>
          <w:lang w:val="fr-CA"/>
        </w:rPr>
        <w:t>’</w:t>
      </w:r>
      <w:r w:rsidRPr="00A05127">
        <w:rPr>
          <w:rFonts w:cs="Times New Roman"/>
          <w:lang w:val="fr-CA"/>
        </w:rPr>
        <w:t>ordonner l</w:t>
      </w:r>
      <w:r>
        <w:rPr>
          <w:rFonts w:cs="Times New Roman"/>
          <w:lang w:val="fr-CA"/>
        </w:rPr>
        <w:t>’</w:t>
      </w:r>
      <w:r w:rsidRPr="00A05127">
        <w:rPr>
          <w:rFonts w:cs="Times New Roman"/>
          <w:lang w:val="fr-CA"/>
        </w:rPr>
        <w:t>arrêt des procédures. En conséquence, il ne m</w:t>
      </w:r>
      <w:r>
        <w:rPr>
          <w:rFonts w:cs="Times New Roman"/>
          <w:lang w:val="fr-CA"/>
        </w:rPr>
        <w:t>’</w:t>
      </w:r>
      <w:r w:rsidRPr="00A05127">
        <w:rPr>
          <w:rFonts w:cs="Times New Roman"/>
          <w:lang w:val="fr-CA"/>
        </w:rPr>
        <w:t>apparaît pas nécessaire d</w:t>
      </w:r>
      <w:r>
        <w:rPr>
          <w:rFonts w:cs="Times New Roman"/>
          <w:lang w:val="fr-CA"/>
        </w:rPr>
        <w:t>’</w:t>
      </w:r>
      <w:r w:rsidRPr="00A05127">
        <w:rPr>
          <w:rFonts w:cs="Times New Roman"/>
          <w:lang w:val="fr-CA"/>
        </w:rPr>
        <w:t>examiner les arguments de M. </w:t>
      </w:r>
      <w:proofErr w:type="spellStart"/>
      <w:r w:rsidRPr="00A05127">
        <w:rPr>
          <w:rFonts w:cs="Times New Roman"/>
          <w:lang w:val="fr-CA"/>
        </w:rPr>
        <w:t>Vassell</w:t>
      </w:r>
      <w:proofErr w:type="spellEnd"/>
      <w:r w:rsidRPr="00A05127">
        <w:rPr>
          <w:rFonts w:cs="Times New Roman"/>
          <w:lang w:val="fr-CA"/>
        </w:rPr>
        <w:t xml:space="preserve"> fondés sur l</w:t>
      </w:r>
      <w:r>
        <w:rPr>
          <w:rFonts w:cs="Times New Roman"/>
          <w:lang w:val="fr-CA"/>
        </w:rPr>
        <w:t>’</w:t>
      </w:r>
      <w:r w:rsidRPr="00A05127">
        <w:rPr>
          <w:rFonts w:cs="Times New Roman"/>
          <w:lang w:val="fr-CA"/>
        </w:rPr>
        <w:t>art. 9 et l</w:t>
      </w:r>
      <w:r>
        <w:rPr>
          <w:rFonts w:cs="Times New Roman"/>
          <w:lang w:val="fr-CA"/>
        </w:rPr>
        <w:t>’</w:t>
      </w:r>
      <w:r w:rsidRPr="00A05127">
        <w:rPr>
          <w:rFonts w:cs="Times New Roman"/>
          <w:lang w:val="fr-CA"/>
        </w:rPr>
        <w:t>al. 10</w:t>
      </w:r>
      <w:r w:rsidRPr="00A05127">
        <w:rPr>
          <w:rFonts w:cs="Times New Roman"/>
          <w:i/>
          <w:lang w:val="fr-CA"/>
        </w:rPr>
        <w:t>b</w:t>
      </w:r>
      <w:r w:rsidRPr="00A05127">
        <w:rPr>
          <w:rFonts w:cs="Times New Roman"/>
          <w:lang w:val="fr-CA"/>
        </w:rPr>
        <w:t xml:space="preserve">). </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Pour ce qui est de la question relative à l</w:t>
      </w:r>
      <w:r>
        <w:rPr>
          <w:rFonts w:cs="Times New Roman"/>
          <w:lang w:val="fr-CA"/>
        </w:rPr>
        <w:t>’</w:t>
      </w:r>
      <w:r w:rsidRPr="00A05127">
        <w:rPr>
          <w:rFonts w:cs="Times New Roman"/>
          <w:lang w:val="fr-CA"/>
        </w:rPr>
        <w:t>al. 11</w:t>
      </w:r>
      <w:r w:rsidRPr="00A05127">
        <w:rPr>
          <w:rFonts w:cs="Times New Roman"/>
          <w:i/>
          <w:lang w:val="fr-CA"/>
        </w:rPr>
        <w:t>b</w:t>
      </w:r>
      <w:r w:rsidRPr="00A05127">
        <w:rPr>
          <w:rFonts w:cs="Times New Roman"/>
          <w:lang w:val="fr-CA"/>
        </w:rPr>
        <w:t>), lorsqu</w:t>
      </w:r>
      <w:r>
        <w:rPr>
          <w:rFonts w:cs="Times New Roman"/>
          <w:lang w:val="fr-CA"/>
        </w:rPr>
        <w:t>’</w:t>
      </w:r>
      <w:r w:rsidRPr="00A05127">
        <w:rPr>
          <w:rFonts w:cs="Times New Roman"/>
          <w:lang w:val="fr-CA"/>
        </w:rPr>
        <w:t>une violation de cette disposition est soulevée, les tribunaux doivent prendre garde à ce que l</w:t>
      </w:r>
      <w:r>
        <w:rPr>
          <w:rFonts w:cs="Times New Roman"/>
          <w:lang w:val="fr-CA"/>
        </w:rPr>
        <w:t>’</w:t>
      </w:r>
      <w:r w:rsidRPr="00A05127">
        <w:rPr>
          <w:rFonts w:cs="Times New Roman"/>
          <w:lang w:val="fr-CA"/>
        </w:rPr>
        <w:t>attention portée aux détails ne leur fasse pas perdre de vue l</w:t>
      </w:r>
      <w:r>
        <w:rPr>
          <w:rFonts w:cs="Times New Roman"/>
          <w:lang w:val="fr-CA"/>
        </w:rPr>
        <w:t>’</w:t>
      </w:r>
      <w:r w:rsidRPr="00A05127">
        <w:rPr>
          <w:rFonts w:cs="Times New Roman"/>
          <w:lang w:val="fr-CA"/>
        </w:rPr>
        <w:t>ensemble de la situation (</w:t>
      </w:r>
      <w:r w:rsidRPr="00A05127">
        <w:rPr>
          <w:rFonts w:cs="Times New Roman"/>
          <w:i/>
          <w:lang w:val="fr-CA"/>
        </w:rPr>
        <w:t xml:space="preserve">R. </w:t>
      </w:r>
      <w:r w:rsidRPr="00A05127">
        <w:rPr>
          <w:rFonts w:cs="Times New Roman"/>
          <w:i/>
          <w:iCs/>
          <w:lang w:val="fr-CA"/>
        </w:rPr>
        <w:t>c.</w:t>
      </w:r>
      <w:r w:rsidRPr="00A05127">
        <w:rPr>
          <w:rFonts w:cs="Times New Roman"/>
          <w:i/>
          <w:lang w:val="fr-CA"/>
        </w:rPr>
        <w:t xml:space="preserve"> Godin</w:t>
      </w:r>
      <w:r w:rsidRPr="00A05127">
        <w:rPr>
          <w:rFonts w:cs="Times New Roman"/>
          <w:lang w:val="fr-CA"/>
        </w:rPr>
        <w:t xml:space="preserve">, </w:t>
      </w:r>
      <w:r w:rsidRPr="00A05127">
        <w:rPr>
          <w:rFonts w:cs="Times New Roman"/>
          <w:lang w:val="fr-CA"/>
        </w:rPr>
        <w:lastRenderedPageBreak/>
        <w:t>2009 CSC 26, [2009] 2 R.C.S. 3, par. 18). En l</w:t>
      </w:r>
      <w:r>
        <w:rPr>
          <w:rFonts w:cs="Times New Roman"/>
          <w:lang w:val="fr-CA"/>
        </w:rPr>
        <w:t>’</w:t>
      </w:r>
      <w:r w:rsidRPr="00A05127">
        <w:rPr>
          <w:rFonts w:cs="Times New Roman"/>
          <w:lang w:val="fr-CA"/>
        </w:rPr>
        <w:t>espèce, la situation est claire comme de l</w:t>
      </w:r>
      <w:r>
        <w:rPr>
          <w:rFonts w:cs="Times New Roman"/>
          <w:lang w:val="fr-CA"/>
        </w:rPr>
        <w:t>’</w:t>
      </w:r>
      <w:r w:rsidRPr="00A05127">
        <w:rPr>
          <w:rFonts w:cs="Times New Roman"/>
          <w:lang w:val="fr-CA"/>
        </w:rPr>
        <w:t>eau de roche. À toutes les occasions possibles, M. </w:t>
      </w:r>
      <w:proofErr w:type="spellStart"/>
      <w:r w:rsidRPr="00A05127">
        <w:rPr>
          <w:rFonts w:cs="Times New Roman"/>
          <w:lang w:val="fr-CA"/>
        </w:rPr>
        <w:t>Vassell</w:t>
      </w:r>
      <w:proofErr w:type="spellEnd"/>
      <w:r w:rsidRPr="00A05127">
        <w:rPr>
          <w:rFonts w:cs="Times New Roman"/>
          <w:lang w:val="fr-CA"/>
        </w:rPr>
        <w:t xml:space="preserve"> a tenté de mener l</w:t>
      </w:r>
      <w:r>
        <w:rPr>
          <w:rFonts w:cs="Times New Roman"/>
          <w:lang w:val="fr-CA"/>
        </w:rPr>
        <w:t>’</w:t>
      </w:r>
      <w:r w:rsidRPr="00A05127">
        <w:rPr>
          <w:rFonts w:cs="Times New Roman"/>
          <w:lang w:val="fr-CA"/>
        </w:rPr>
        <w:t>affaire à procès. Mais, en fin de compte, comme l</w:t>
      </w:r>
      <w:r>
        <w:rPr>
          <w:rFonts w:cs="Times New Roman"/>
          <w:lang w:val="fr-CA"/>
        </w:rPr>
        <w:t>’</w:t>
      </w:r>
      <w:r w:rsidRPr="00A05127">
        <w:rPr>
          <w:rFonts w:cs="Times New Roman"/>
          <w:lang w:val="fr-CA"/>
        </w:rPr>
        <w:t xml:space="preserve">a fait remarquer le juge </w:t>
      </w:r>
      <w:proofErr w:type="spellStart"/>
      <w:r w:rsidRPr="00A05127">
        <w:rPr>
          <w:rFonts w:cs="Times New Roman"/>
          <w:lang w:val="fr-CA"/>
        </w:rPr>
        <w:t>O</w:t>
      </w:r>
      <w:r>
        <w:rPr>
          <w:rFonts w:cs="Times New Roman"/>
          <w:lang w:val="fr-CA"/>
        </w:rPr>
        <w:t>’</w:t>
      </w:r>
      <w:r w:rsidRPr="00A05127">
        <w:rPr>
          <w:rFonts w:cs="Times New Roman"/>
          <w:lang w:val="fr-CA"/>
        </w:rPr>
        <w:t>Ferrall</w:t>
      </w:r>
      <w:proofErr w:type="spellEnd"/>
      <w:r w:rsidRPr="00A05127">
        <w:rPr>
          <w:rFonts w:cs="Times New Roman"/>
          <w:lang w:val="fr-CA"/>
        </w:rPr>
        <w:t>, il [</w:t>
      </w:r>
      <w:r w:rsidRPr="00A05127">
        <w:rPr>
          <w:rFonts w:cs="Times New Roman"/>
          <w:smallCaps/>
          <w:lang w:val="fr-CA"/>
        </w:rPr>
        <w:t>traduction</w:t>
      </w:r>
      <w:r w:rsidRPr="00A05127">
        <w:rPr>
          <w:rFonts w:cs="Times New Roman"/>
          <w:lang w:val="fr-CA"/>
        </w:rPr>
        <w:t>] « a attendu trois ans pour obtenir un procès de trois jours » (par. 54). Eu égard à l</w:t>
      </w:r>
      <w:r>
        <w:rPr>
          <w:rFonts w:cs="Times New Roman"/>
          <w:lang w:val="fr-CA"/>
        </w:rPr>
        <w:t>’</w:t>
      </w:r>
      <w:r w:rsidRPr="00A05127">
        <w:rPr>
          <w:rFonts w:cs="Times New Roman"/>
          <w:lang w:val="fr-CA"/>
        </w:rPr>
        <w:t>ensemble de la situation en l</w:t>
      </w:r>
      <w:r>
        <w:rPr>
          <w:rFonts w:cs="Times New Roman"/>
          <w:lang w:val="fr-CA"/>
        </w:rPr>
        <w:t>’</w:t>
      </w:r>
      <w:r w:rsidRPr="00A05127">
        <w:rPr>
          <w:rFonts w:cs="Times New Roman"/>
          <w:lang w:val="fr-CA"/>
        </w:rPr>
        <w:t>espèce — c</w:t>
      </w:r>
      <w:r>
        <w:rPr>
          <w:rFonts w:cs="Times New Roman"/>
          <w:lang w:val="fr-CA"/>
        </w:rPr>
        <w:t>’</w:t>
      </w:r>
      <w:r w:rsidRPr="00A05127">
        <w:rPr>
          <w:rFonts w:cs="Times New Roman"/>
          <w:lang w:val="fr-CA"/>
        </w:rPr>
        <w:t>est-à-dire le délai global dans un cas d</w:t>
      </w:r>
      <w:r>
        <w:rPr>
          <w:rFonts w:cs="Times New Roman"/>
          <w:lang w:val="fr-CA"/>
        </w:rPr>
        <w:t>’</w:t>
      </w:r>
      <w:r w:rsidRPr="00A05127">
        <w:rPr>
          <w:rFonts w:cs="Times New Roman"/>
          <w:lang w:val="fr-CA"/>
        </w:rPr>
        <w:t>une complexité modérée —, je suis convaincu que le délai était déraisonnable.</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FR"/>
        </w:rPr>
        <w:t>Comme l</w:t>
      </w:r>
      <w:r>
        <w:rPr>
          <w:rFonts w:cs="Times New Roman"/>
          <w:lang w:val="fr-FR"/>
        </w:rPr>
        <w:t>’</w:t>
      </w:r>
      <w:r w:rsidRPr="00A05127">
        <w:rPr>
          <w:rFonts w:cs="Times New Roman"/>
          <w:lang w:val="fr-FR"/>
        </w:rPr>
        <w:t>a conclu le juge du procès</w:t>
      </w:r>
      <w:r w:rsidRPr="00A05127">
        <w:rPr>
          <w:rFonts w:cs="Times New Roman"/>
          <w:lang w:val="fr-CA"/>
        </w:rPr>
        <w:t>, une bonne partie du retard est imputable aux six coaccusés de M. </w:t>
      </w:r>
      <w:proofErr w:type="spellStart"/>
      <w:r w:rsidRPr="00A05127">
        <w:rPr>
          <w:rFonts w:cs="Times New Roman"/>
          <w:lang w:val="fr-CA"/>
        </w:rPr>
        <w:t>Vassell</w:t>
      </w:r>
      <w:proofErr w:type="spellEnd"/>
      <w:r w:rsidRPr="00A05127">
        <w:rPr>
          <w:rFonts w:cs="Times New Roman"/>
          <w:lang w:val="fr-CA"/>
        </w:rPr>
        <w:t xml:space="preserve"> et à leurs avocats (2014 ABQB 196, 587 A.R. 56), mais il faut en tenir compte afin d</w:t>
      </w:r>
      <w:r>
        <w:rPr>
          <w:rFonts w:cs="Times New Roman"/>
          <w:lang w:val="fr-CA"/>
        </w:rPr>
        <w:t>’</w:t>
      </w:r>
      <w:r w:rsidRPr="00A05127">
        <w:rPr>
          <w:rFonts w:cs="Times New Roman"/>
          <w:lang w:val="fr-CA"/>
        </w:rPr>
        <w:t>établir s</w:t>
      </w:r>
      <w:r>
        <w:rPr>
          <w:rFonts w:cs="Times New Roman"/>
          <w:lang w:val="fr-CA"/>
        </w:rPr>
        <w:t>’</w:t>
      </w:r>
      <w:r w:rsidRPr="00A05127">
        <w:rPr>
          <w:rFonts w:cs="Times New Roman"/>
          <w:lang w:val="fr-CA"/>
        </w:rPr>
        <w:t>il y a bien eu atteinte au droit de M. </w:t>
      </w:r>
      <w:proofErr w:type="spellStart"/>
      <w:r w:rsidRPr="00A05127">
        <w:rPr>
          <w:rFonts w:cs="Times New Roman"/>
          <w:lang w:val="fr-CA"/>
        </w:rPr>
        <w:t>Vassell</w:t>
      </w:r>
      <w:proofErr w:type="spellEnd"/>
      <w:r w:rsidRPr="00A05127">
        <w:rPr>
          <w:rFonts w:cs="Times New Roman"/>
          <w:lang w:val="fr-CA"/>
        </w:rPr>
        <w:t xml:space="preserve"> d</w:t>
      </w:r>
      <w:r>
        <w:rPr>
          <w:rFonts w:cs="Times New Roman"/>
          <w:lang w:val="fr-CA"/>
        </w:rPr>
        <w:t>’</w:t>
      </w:r>
      <w:r w:rsidRPr="00A05127">
        <w:rPr>
          <w:rFonts w:cs="Times New Roman"/>
          <w:lang w:val="fr-CA"/>
        </w:rPr>
        <w:t>être jugé dans un délai raisonnable. Comme la Cour a déclaré dans l</w:t>
      </w:r>
      <w:r>
        <w:rPr>
          <w:rFonts w:cs="Times New Roman"/>
          <w:lang w:val="fr-CA"/>
        </w:rPr>
        <w:t>’</w:t>
      </w:r>
      <w:r w:rsidRPr="00A05127">
        <w:rPr>
          <w:rFonts w:cs="Times New Roman"/>
          <w:lang w:val="fr-CA"/>
        </w:rPr>
        <w:t xml:space="preserve">arrêt </w:t>
      </w:r>
      <w:r w:rsidRPr="00A05127">
        <w:rPr>
          <w:rFonts w:cs="Times New Roman"/>
          <w:i/>
          <w:spacing w:val="-3"/>
          <w:lang w:val="fr-CA"/>
        </w:rPr>
        <w:t xml:space="preserve">R. </w:t>
      </w:r>
      <w:r w:rsidRPr="00A05127">
        <w:rPr>
          <w:rFonts w:cs="Times New Roman"/>
          <w:i/>
          <w:iCs/>
          <w:spacing w:val="-3"/>
          <w:lang w:val="fr-CA"/>
        </w:rPr>
        <w:t>c. Morin</w:t>
      </w:r>
      <w:r w:rsidRPr="00A05127">
        <w:rPr>
          <w:rFonts w:cs="Times New Roman"/>
          <w:spacing w:val="-3"/>
          <w:lang w:val="fr-CA"/>
        </w:rPr>
        <w:t>, [1992] 1 R.C.S. 771, p. 800, « l</w:t>
      </w:r>
      <w:r>
        <w:rPr>
          <w:rFonts w:cs="Times New Roman"/>
          <w:spacing w:val="-3"/>
          <w:lang w:val="fr-CA"/>
        </w:rPr>
        <w:t>’</w:t>
      </w:r>
      <w:r w:rsidRPr="00A05127">
        <w:rPr>
          <w:rFonts w:cs="Times New Roman"/>
          <w:spacing w:val="-3"/>
          <w:lang w:val="fr-CA"/>
        </w:rPr>
        <w:t>examen d</w:t>
      </w:r>
      <w:r>
        <w:rPr>
          <w:rFonts w:cs="Times New Roman"/>
          <w:spacing w:val="-3"/>
          <w:lang w:val="fr-CA"/>
        </w:rPr>
        <w:t>’</w:t>
      </w:r>
      <w:r w:rsidRPr="00A05127">
        <w:rPr>
          <w:rFonts w:cs="Times New Roman"/>
          <w:spacing w:val="-3"/>
          <w:lang w:val="fr-CA"/>
        </w:rPr>
        <w:t xml:space="preserve">un délai déraisonnable doit tenir compte de </w:t>
      </w:r>
      <w:r w:rsidRPr="00A05127">
        <w:rPr>
          <w:rFonts w:cs="Times New Roman"/>
          <w:spacing w:val="-3"/>
          <w:u w:val="single"/>
          <w:lang w:val="fr-CA"/>
        </w:rPr>
        <w:t>toutes</w:t>
      </w:r>
      <w:r w:rsidRPr="00A05127">
        <w:rPr>
          <w:rFonts w:cs="Times New Roman"/>
          <w:spacing w:val="-3"/>
          <w:lang w:val="fr-CA"/>
        </w:rPr>
        <w:t xml:space="preserve"> les raisons du délai afin de tenter de délimiter ce qui est vraiment raisonnable relativement à l</w:t>
      </w:r>
      <w:r>
        <w:rPr>
          <w:rFonts w:cs="Times New Roman"/>
          <w:spacing w:val="-3"/>
          <w:lang w:val="fr-CA"/>
        </w:rPr>
        <w:t>’</w:t>
      </w:r>
      <w:r w:rsidRPr="00A05127">
        <w:rPr>
          <w:rFonts w:cs="Times New Roman"/>
          <w:spacing w:val="-3"/>
          <w:lang w:val="fr-CA"/>
        </w:rPr>
        <w:t>affaire dont le tribunal est saisi » (souligné dans l</w:t>
      </w:r>
      <w:r>
        <w:rPr>
          <w:rFonts w:cs="Times New Roman"/>
          <w:spacing w:val="-3"/>
          <w:lang w:val="fr-CA"/>
        </w:rPr>
        <w:t>’</w:t>
      </w:r>
      <w:r w:rsidRPr="00A05127">
        <w:rPr>
          <w:rFonts w:cs="Times New Roman"/>
          <w:spacing w:val="-3"/>
          <w:lang w:val="fr-CA"/>
        </w:rPr>
        <w:t>original).</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En l</w:t>
      </w:r>
      <w:r>
        <w:rPr>
          <w:rFonts w:cs="Times New Roman"/>
          <w:lang w:val="fr-CA"/>
        </w:rPr>
        <w:t>’</w:t>
      </w:r>
      <w:r w:rsidRPr="00A05127">
        <w:rPr>
          <w:rFonts w:cs="Times New Roman"/>
          <w:lang w:val="fr-CA"/>
        </w:rPr>
        <w:t>espèce, le ministère public a décidé de poursuivre conjointement les sept accusés, comme il en avait le droit. Mais, ce faisant, il devait rester vigilant pour s</w:t>
      </w:r>
      <w:r>
        <w:rPr>
          <w:rFonts w:cs="Times New Roman"/>
          <w:lang w:val="fr-CA"/>
        </w:rPr>
        <w:t>’</w:t>
      </w:r>
      <w:r w:rsidRPr="00A05127">
        <w:rPr>
          <w:rFonts w:cs="Times New Roman"/>
          <w:lang w:val="fr-CA"/>
        </w:rPr>
        <w:t>assurer que les droits reconnus aux accusés par l</w:t>
      </w:r>
      <w:r>
        <w:rPr>
          <w:rFonts w:cs="Times New Roman"/>
          <w:lang w:val="fr-CA"/>
        </w:rPr>
        <w:t>’</w:t>
      </w:r>
      <w:r w:rsidRPr="00A05127">
        <w:rPr>
          <w:rFonts w:cs="Times New Roman"/>
          <w:lang w:val="fr-CA"/>
        </w:rPr>
        <w:t>al. 11</w:t>
      </w:r>
      <w:r w:rsidRPr="00A05127">
        <w:rPr>
          <w:rFonts w:cs="Times New Roman"/>
          <w:i/>
          <w:lang w:val="fr-CA"/>
        </w:rPr>
        <w:t>b</w:t>
      </w:r>
      <w:r w:rsidRPr="00A05127">
        <w:rPr>
          <w:rFonts w:cs="Times New Roman"/>
          <w:lang w:val="fr-CA"/>
        </w:rPr>
        <w:t xml:space="preserve">) ne soient pas compromis (voir, p. ex., </w:t>
      </w:r>
      <w:r w:rsidRPr="00A05127">
        <w:rPr>
          <w:rFonts w:cs="Times New Roman"/>
          <w:i/>
          <w:lang w:val="fr-CA"/>
        </w:rPr>
        <w:t>R. </w:t>
      </w:r>
      <w:r w:rsidRPr="00A05127">
        <w:rPr>
          <w:rFonts w:cs="Times New Roman"/>
          <w:i/>
          <w:iCs/>
          <w:lang w:val="fr-CA"/>
        </w:rPr>
        <w:t>c.</w:t>
      </w:r>
      <w:r w:rsidRPr="00A05127">
        <w:rPr>
          <w:rFonts w:cs="Times New Roman"/>
          <w:i/>
          <w:lang w:val="fr-CA"/>
        </w:rPr>
        <w:t> Auclair</w:t>
      </w:r>
      <w:r w:rsidRPr="00A05127">
        <w:rPr>
          <w:rFonts w:cs="Times New Roman"/>
          <w:lang w:val="fr-CA"/>
        </w:rPr>
        <w:t xml:space="preserve">, 2014 CSC 6, [2014] 1 R.C.S. 83, et </w:t>
      </w:r>
      <w:r w:rsidRPr="00A05127">
        <w:rPr>
          <w:rFonts w:cs="Times New Roman"/>
          <w:i/>
          <w:lang w:val="fr-CA"/>
        </w:rPr>
        <w:t>R. c. </w:t>
      </w:r>
      <w:proofErr w:type="spellStart"/>
      <w:r w:rsidRPr="00A05127">
        <w:rPr>
          <w:rFonts w:cs="Times New Roman"/>
          <w:i/>
          <w:lang w:val="fr-CA"/>
        </w:rPr>
        <w:t>Schertzer</w:t>
      </w:r>
      <w:proofErr w:type="spellEnd"/>
      <w:r w:rsidRPr="00A05127">
        <w:rPr>
          <w:rFonts w:cs="Times New Roman"/>
          <w:lang w:val="fr-CA"/>
        </w:rPr>
        <w:t>, 2009 ONCA 742, 248 C.C.C. (3d) 270, par. 146).</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Dans bien des cas, il faut accepter que les délais attribuables au fait de poursuivre plusieurs coaccusés sont une réalité de la vie, et ils doivent être pris en considération lorsqu</w:t>
      </w:r>
      <w:r>
        <w:rPr>
          <w:rFonts w:cs="Times New Roman"/>
          <w:lang w:val="fr-CA"/>
        </w:rPr>
        <w:t>’</w:t>
      </w:r>
      <w:r w:rsidRPr="00A05127">
        <w:rPr>
          <w:rFonts w:cs="Times New Roman"/>
          <w:lang w:val="fr-CA"/>
        </w:rPr>
        <w:t>il s</w:t>
      </w:r>
      <w:r>
        <w:rPr>
          <w:rFonts w:cs="Times New Roman"/>
          <w:lang w:val="fr-CA"/>
        </w:rPr>
        <w:t>’</w:t>
      </w:r>
      <w:r w:rsidRPr="00A05127">
        <w:rPr>
          <w:rFonts w:cs="Times New Roman"/>
          <w:lang w:val="fr-CA"/>
        </w:rPr>
        <w:t xml:space="preserve">agit de déterminer ce qui constitue un délai raisonnable pour </w:t>
      </w:r>
      <w:r w:rsidRPr="00A05127">
        <w:rPr>
          <w:rFonts w:cs="Times New Roman"/>
          <w:lang w:val="fr-CA"/>
        </w:rPr>
        <w:lastRenderedPageBreak/>
        <w:t>être jugé. Mais, en l</w:t>
      </w:r>
      <w:r>
        <w:rPr>
          <w:rFonts w:cs="Times New Roman"/>
          <w:lang w:val="fr-CA"/>
        </w:rPr>
        <w:t>’</w:t>
      </w:r>
      <w:r w:rsidRPr="00A05127">
        <w:rPr>
          <w:rFonts w:cs="Times New Roman"/>
          <w:lang w:val="fr-CA"/>
        </w:rPr>
        <w:t>espèce, il est apparu clairement dès le départ que le délai causé par les différents coaccusés a non seulement fait obstacle à la progression du dossier du ministère public, mais a aussi empêché M. </w:t>
      </w:r>
      <w:proofErr w:type="spellStart"/>
      <w:r w:rsidRPr="00A05127">
        <w:rPr>
          <w:rFonts w:cs="Times New Roman"/>
          <w:lang w:val="fr-CA"/>
        </w:rPr>
        <w:t>Vassell</w:t>
      </w:r>
      <w:proofErr w:type="spellEnd"/>
      <w:r w:rsidRPr="00A05127">
        <w:rPr>
          <w:rFonts w:cs="Times New Roman"/>
          <w:lang w:val="fr-CA"/>
        </w:rPr>
        <w:t xml:space="preserve"> d</w:t>
      </w:r>
      <w:r>
        <w:rPr>
          <w:rFonts w:cs="Times New Roman"/>
          <w:lang w:val="fr-CA"/>
        </w:rPr>
        <w:t>’</w:t>
      </w:r>
      <w:r w:rsidRPr="00A05127">
        <w:rPr>
          <w:rFonts w:cs="Times New Roman"/>
          <w:lang w:val="fr-CA"/>
        </w:rPr>
        <w:t>être jugé rapidement, comme il le souhaitait. Fait important, il ne s</w:t>
      </w:r>
      <w:r>
        <w:rPr>
          <w:rFonts w:cs="Times New Roman"/>
          <w:lang w:val="fr-CA"/>
        </w:rPr>
        <w:t>’</w:t>
      </w:r>
      <w:r w:rsidRPr="00A05127">
        <w:rPr>
          <w:rFonts w:cs="Times New Roman"/>
          <w:lang w:val="fr-CA"/>
        </w:rPr>
        <w:t>agit pas d</w:t>
      </w:r>
      <w:r>
        <w:rPr>
          <w:rFonts w:cs="Times New Roman"/>
          <w:lang w:val="fr-CA"/>
        </w:rPr>
        <w:t>’</w:t>
      </w:r>
      <w:r w:rsidRPr="00A05127">
        <w:rPr>
          <w:rFonts w:cs="Times New Roman"/>
          <w:lang w:val="fr-CA"/>
        </w:rPr>
        <w:t>un cas où</w:t>
      </w:r>
      <w:r w:rsidR="009072AF">
        <w:rPr>
          <w:rFonts w:cs="Times New Roman"/>
          <w:lang w:val="fr-CA"/>
        </w:rPr>
        <w:t xml:space="preserve"> non seulement</w:t>
      </w:r>
      <w:r w:rsidRPr="00A05127">
        <w:rPr>
          <w:rFonts w:cs="Times New Roman"/>
          <w:lang w:val="fr-CA"/>
        </w:rPr>
        <w:t xml:space="preserve"> M. </w:t>
      </w:r>
      <w:proofErr w:type="spellStart"/>
      <w:r w:rsidRPr="00A05127">
        <w:rPr>
          <w:rFonts w:cs="Times New Roman"/>
          <w:lang w:val="fr-CA"/>
        </w:rPr>
        <w:t>Vassell</w:t>
      </w:r>
      <w:proofErr w:type="spellEnd"/>
      <w:r w:rsidRPr="00A05127">
        <w:rPr>
          <w:rFonts w:cs="Times New Roman"/>
          <w:lang w:val="fr-CA"/>
        </w:rPr>
        <w:t xml:space="preserve"> n</w:t>
      </w:r>
      <w:r>
        <w:rPr>
          <w:rFonts w:cs="Times New Roman"/>
          <w:lang w:val="fr-CA"/>
        </w:rPr>
        <w:t>’</w:t>
      </w:r>
      <w:r w:rsidRPr="00A05127">
        <w:rPr>
          <w:rFonts w:cs="Times New Roman"/>
          <w:lang w:val="fr-CA"/>
        </w:rPr>
        <w:t>est aucunement responsable du retard, mais d</w:t>
      </w:r>
      <w:r>
        <w:rPr>
          <w:rFonts w:cs="Times New Roman"/>
          <w:lang w:val="fr-CA"/>
        </w:rPr>
        <w:t>’</w:t>
      </w:r>
      <w:r w:rsidRPr="00A05127">
        <w:rPr>
          <w:rFonts w:cs="Times New Roman"/>
          <w:lang w:val="fr-CA"/>
        </w:rPr>
        <w:t>une situation où celui</w:t>
      </w:r>
      <w:r w:rsidRPr="00A05127">
        <w:rPr>
          <w:rFonts w:cs="Times New Roman"/>
          <w:lang w:val="fr-CA"/>
        </w:rPr>
        <w:noBreakHyphen/>
        <w:t>ci a pris des mesures proactives tout au long du processus, du début à la fin, pour que son procès ait lieu le plus tôt possible. À cet égard, son avocat a examiné sans tarder la preuve communiquée, a fait pression pour obtenir la tenue d</w:t>
      </w:r>
      <w:r>
        <w:rPr>
          <w:rFonts w:cs="Times New Roman"/>
          <w:lang w:val="fr-CA"/>
        </w:rPr>
        <w:t>’</w:t>
      </w:r>
      <w:r w:rsidRPr="00A05127">
        <w:rPr>
          <w:rFonts w:cs="Times New Roman"/>
          <w:lang w:val="fr-CA"/>
        </w:rPr>
        <w:t xml:space="preserve">une </w:t>
      </w:r>
      <w:r w:rsidRPr="00A05127">
        <w:rPr>
          <w:rFonts w:cs="Times New Roman"/>
          <w:lang w:val="fr-FR"/>
        </w:rPr>
        <w:t>conférence préparatoire</w:t>
      </w:r>
      <w:r w:rsidRPr="00A05127">
        <w:rPr>
          <w:rFonts w:cs="Times New Roman"/>
          <w:lang w:val="fr-CA"/>
        </w:rPr>
        <w:t xml:space="preserve"> ou la gestion de l</w:t>
      </w:r>
      <w:r>
        <w:rPr>
          <w:rFonts w:cs="Times New Roman"/>
          <w:lang w:val="fr-CA"/>
        </w:rPr>
        <w:t>’</w:t>
      </w:r>
      <w:r w:rsidRPr="00A05127">
        <w:rPr>
          <w:rFonts w:cs="Times New Roman"/>
          <w:lang w:val="fr-CA"/>
        </w:rPr>
        <w:t>instance, a collaboré avec le ministère public afin de simplifier les questions en litige, a accepté d</w:t>
      </w:r>
      <w:r>
        <w:rPr>
          <w:rFonts w:cs="Times New Roman"/>
          <w:lang w:val="fr-CA"/>
        </w:rPr>
        <w:t>’</w:t>
      </w:r>
      <w:r w:rsidRPr="00A05127">
        <w:rPr>
          <w:rFonts w:cs="Times New Roman"/>
          <w:lang w:val="fr-CA"/>
        </w:rPr>
        <w:t>admettre un rapport d</w:t>
      </w:r>
      <w:r>
        <w:rPr>
          <w:rFonts w:cs="Times New Roman"/>
          <w:lang w:val="fr-CA"/>
        </w:rPr>
        <w:t>’</w:t>
      </w:r>
      <w:r w:rsidRPr="00A05127">
        <w:rPr>
          <w:rFonts w:cs="Times New Roman"/>
          <w:lang w:val="fr-CA"/>
        </w:rPr>
        <w:t>expert, a porté à l</w:t>
      </w:r>
      <w:r>
        <w:rPr>
          <w:rFonts w:cs="Times New Roman"/>
          <w:lang w:val="fr-CA"/>
        </w:rPr>
        <w:t>’</w:t>
      </w:r>
      <w:r w:rsidRPr="00A05127">
        <w:rPr>
          <w:rFonts w:cs="Times New Roman"/>
          <w:lang w:val="fr-CA"/>
        </w:rPr>
        <w:t>attention du ministère public et de la cour les problèmes concernant l</w:t>
      </w:r>
      <w:r>
        <w:rPr>
          <w:rFonts w:cs="Times New Roman"/>
          <w:lang w:val="fr-CA"/>
        </w:rPr>
        <w:t>’</w:t>
      </w:r>
      <w:r w:rsidRPr="00A05127">
        <w:rPr>
          <w:rFonts w:cs="Times New Roman"/>
          <w:lang w:val="fr-CA"/>
        </w:rPr>
        <w:t>al. 11</w:t>
      </w:r>
      <w:r w:rsidRPr="00A05127">
        <w:rPr>
          <w:rFonts w:cs="Times New Roman"/>
          <w:i/>
          <w:lang w:val="fr-CA"/>
        </w:rPr>
        <w:t>b</w:t>
      </w:r>
      <w:r w:rsidRPr="00A05127">
        <w:rPr>
          <w:rFonts w:cs="Times New Roman"/>
          <w:lang w:val="fr-CA"/>
        </w:rPr>
        <w:t>), et a toujours demandé que l</w:t>
      </w:r>
      <w:r>
        <w:rPr>
          <w:rFonts w:cs="Times New Roman"/>
          <w:lang w:val="fr-CA"/>
        </w:rPr>
        <w:t>’</w:t>
      </w:r>
      <w:r w:rsidRPr="00A05127">
        <w:rPr>
          <w:rFonts w:cs="Times New Roman"/>
          <w:lang w:val="fr-CA"/>
        </w:rPr>
        <w:t>on fixe des dates rapprochées.</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Dans ces circonstances, j</w:t>
      </w:r>
      <w:r>
        <w:rPr>
          <w:rFonts w:cs="Times New Roman"/>
          <w:lang w:val="fr-CA"/>
        </w:rPr>
        <w:t>’</w:t>
      </w:r>
      <w:r w:rsidRPr="00A05127">
        <w:rPr>
          <w:rFonts w:cs="Times New Roman"/>
          <w:lang w:val="fr-CA"/>
        </w:rPr>
        <w:t>estime que le ministère public se devait d</w:t>
      </w:r>
      <w:r>
        <w:rPr>
          <w:rFonts w:cs="Times New Roman"/>
          <w:lang w:val="fr-CA"/>
        </w:rPr>
        <w:t>’</w:t>
      </w:r>
      <w:r w:rsidRPr="00A05127">
        <w:rPr>
          <w:rFonts w:cs="Times New Roman"/>
          <w:lang w:val="fr-CA"/>
        </w:rPr>
        <w:t>adopter une attitude plus proactive. Lorsqu</w:t>
      </w:r>
      <w:r>
        <w:rPr>
          <w:rFonts w:cs="Times New Roman"/>
          <w:lang w:val="fr-CA"/>
        </w:rPr>
        <w:t>’</w:t>
      </w:r>
      <w:r w:rsidRPr="00A05127">
        <w:rPr>
          <w:rFonts w:cs="Times New Roman"/>
          <w:lang w:val="fr-CA"/>
        </w:rPr>
        <w:t>il s</w:t>
      </w:r>
      <w:r>
        <w:rPr>
          <w:rFonts w:cs="Times New Roman"/>
          <w:lang w:val="fr-CA"/>
        </w:rPr>
        <w:t>’</w:t>
      </w:r>
      <w:r w:rsidRPr="00A05127">
        <w:rPr>
          <w:rFonts w:cs="Times New Roman"/>
          <w:lang w:val="fr-CA"/>
        </w:rPr>
        <w:t>acquitte de son obligation de traduire des accusés en justice dans un délai raisonnable, le ministère public ne peut fermer les yeux sur la situation d</w:t>
      </w:r>
      <w:r>
        <w:rPr>
          <w:rFonts w:cs="Times New Roman"/>
          <w:lang w:val="fr-CA"/>
        </w:rPr>
        <w:t>’</w:t>
      </w:r>
      <w:r w:rsidRPr="00A05127">
        <w:rPr>
          <w:rFonts w:cs="Times New Roman"/>
          <w:lang w:val="fr-CA"/>
        </w:rPr>
        <w:t>un accusé qui a fait tout ce qu</w:t>
      </w:r>
      <w:r>
        <w:rPr>
          <w:rFonts w:cs="Times New Roman"/>
          <w:lang w:val="fr-CA"/>
        </w:rPr>
        <w:t>’</w:t>
      </w:r>
      <w:r w:rsidRPr="00A05127">
        <w:rPr>
          <w:rFonts w:cs="Times New Roman"/>
          <w:lang w:val="fr-CA"/>
        </w:rPr>
        <w:t xml:space="preserve">il pouvait pour faire avancer le dossier, mais qui se retrouve tenu en otage par ses coaccusés et </w:t>
      </w:r>
      <w:r>
        <w:rPr>
          <w:rFonts w:cs="Times New Roman"/>
          <w:lang w:val="fr-CA"/>
        </w:rPr>
        <w:t>l’</w:t>
      </w:r>
      <w:r w:rsidRPr="00A05127">
        <w:rPr>
          <w:rFonts w:cs="Times New Roman"/>
          <w:lang w:val="fr-CA"/>
        </w:rPr>
        <w:t>incapacité</w:t>
      </w:r>
      <w:r>
        <w:rPr>
          <w:rFonts w:cs="Times New Roman"/>
          <w:lang w:val="fr-CA"/>
        </w:rPr>
        <w:t xml:space="preserve"> du</w:t>
      </w:r>
      <w:r w:rsidRPr="00A05127">
        <w:rPr>
          <w:rFonts w:cs="Times New Roman"/>
          <w:lang w:val="fr-CA"/>
        </w:rPr>
        <w:t xml:space="preserve"> système</w:t>
      </w:r>
      <w:r>
        <w:rPr>
          <w:rFonts w:cs="Times New Roman"/>
          <w:lang w:val="fr-CA"/>
        </w:rPr>
        <w:t xml:space="preserve"> judiciaire d’offri</w:t>
      </w:r>
      <w:r w:rsidRPr="00A05127">
        <w:rPr>
          <w:rFonts w:cs="Times New Roman"/>
          <w:lang w:val="fr-CA"/>
        </w:rPr>
        <w:t>r des dates de procès plus rapprochées. C</w:t>
      </w:r>
      <w:r>
        <w:rPr>
          <w:rFonts w:cs="Times New Roman"/>
          <w:lang w:val="fr-CA"/>
        </w:rPr>
        <w:t>’</w:t>
      </w:r>
      <w:r w:rsidRPr="00A05127">
        <w:rPr>
          <w:rFonts w:cs="Times New Roman"/>
          <w:lang w:val="fr-CA"/>
        </w:rPr>
        <w:t>est malheureusement ce qui s</w:t>
      </w:r>
      <w:r>
        <w:rPr>
          <w:rFonts w:cs="Times New Roman"/>
          <w:lang w:val="fr-CA"/>
        </w:rPr>
        <w:t>’</w:t>
      </w:r>
      <w:r w:rsidRPr="00A05127">
        <w:rPr>
          <w:rFonts w:cs="Times New Roman"/>
          <w:lang w:val="fr-CA"/>
        </w:rPr>
        <w:t>est produit en l</w:t>
      </w:r>
      <w:r>
        <w:rPr>
          <w:rFonts w:cs="Times New Roman"/>
          <w:lang w:val="fr-CA"/>
        </w:rPr>
        <w:t>’</w:t>
      </w:r>
      <w:r w:rsidRPr="00A05127">
        <w:rPr>
          <w:rFonts w:cs="Times New Roman"/>
          <w:lang w:val="fr-CA"/>
        </w:rPr>
        <w:t>espèce. En dernière analyse, M. </w:t>
      </w:r>
      <w:proofErr w:type="spellStart"/>
      <w:r w:rsidRPr="00A05127">
        <w:rPr>
          <w:rFonts w:cs="Times New Roman"/>
          <w:lang w:val="fr-CA"/>
        </w:rPr>
        <w:t>Vassell</w:t>
      </w:r>
      <w:proofErr w:type="spellEnd"/>
      <w:r w:rsidRPr="00A05127">
        <w:rPr>
          <w:rFonts w:cs="Times New Roman"/>
          <w:lang w:val="fr-CA"/>
        </w:rPr>
        <w:t xml:space="preserve"> a fini par être le seul, parmi les sept coaccusés d</w:t>
      </w:r>
      <w:r>
        <w:rPr>
          <w:rFonts w:cs="Times New Roman"/>
          <w:lang w:val="fr-CA"/>
        </w:rPr>
        <w:t>’</w:t>
      </w:r>
      <w:r w:rsidRPr="00A05127">
        <w:rPr>
          <w:rFonts w:cs="Times New Roman"/>
          <w:lang w:val="fr-CA"/>
        </w:rPr>
        <w:t xml:space="preserve">origine, à subir un procès. Pour reprendre les propos du juge </w:t>
      </w:r>
      <w:proofErr w:type="spellStart"/>
      <w:r w:rsidRPr="00A05127">
        <w:rPr>
          <w:rFonts w:cs="Times New Roman"/>
          <w:lang w:val="fr-CA"/>
        </w:rPr>
        <w:t>O</w:t>
      </w:r>
      <w:r>
        <w:rPr>
          <w:rFonts w:cs="Times New Roman"/>
          <w:lang w:val="fr-CA"/>
        </w:rPr>
        <w:t>’</w:t>
      </w:r>
      <w:r w:rsidRPr="00A05127">
        <w:rPr>
          <w:rFonts w:cs="Times New Roman"/>
          <w:lang w:val="fr-CA"/>
        </w:rPr>
        <w:t>Ferrall</w:t>
      </w:r>
      <w:proofErr w:type="spellEnd"/>
      <w:r w:rsidRPr="00A05127">
        <w:rPr>
          <w:rFonts w:cs="Times New Roman"/>
          <w:lang w:val="fr-CA"/>
        </w:rPr>
        <w:t>, il « a attendu trois ans pour obtenir un procès de trois jours ». Cette situation est inacceptable et a eu pour effet de priver M. </w:t>
      </w:r>
      <w:proofErr w:type="spellStart"/>
      <w:r w:rsidRPr="00A05127">
        <w:rPr>
          <w:rFonts w:cs="Times New Roman"/>
          <w:lang w:val="fr-CA"/>
        </w:rPr>
        <w:t>Vassell</w:t>
      </w:r>
      <w:proofErr w:type="spellEnd"/>
      <w:r w:rsidRPr="00A05127">
        <w:rPr>
          <w:rFonts w:cs="Times New Roman"/>
          <w:lang w:val="fr-CA"/>
        </w:rPr>
        <w:t xml:space="preserve"> de son droit d</w:t>
      </w:r>
      <w:r>
        <w:rPr>
          <w:rFonts w:cs="Times New Roman"/>
          <w:lang w:val="fr-CA"/>
        </w:rPr>
        <w:t>’</w:t>
      </w:r>
      <w:r w:rsidRPr="00A05127">
        <w:rPr>
          <w:rFonts w:cs="Times New Roman"/>
          <w:lang w:val="fr-CA"/>
        </w:rPr>
        <w:t xml:space="preserve">être jugé dans un </w:t>
      </w:r>
      <w:r w:rsidRPr="00A05127">
        <w:rPr>
          <w:rFonts w:cs="Times New Roman"/>
          <w:lang w:val="fr-CA"/>
        </w:rPr>
        <w:lastRenderedPageBreak/>
        <w:t>délai raisonnable.</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En examinant brièvement les détails de l</w:t>
      </w:r>
      <w:r>
        <w:rPr>
          <w:rFonts w:cs="Times New Roman"/>
          <w:lang w:val="fr-CA"/>
        </w:rPr>
        <w:t>’</w:t>
      </w:r>
      <w:r w:rsidRPr="00A05127">
        <w:rPr>
          <w:rFonts w:cs="Times New Roman"/>
          <w:lang w:val="fr-CA"/>
        </w:rPr>
        <w:t>affaire, j</w:t>
      </w:r>
      <w:r>
        <w:rPr>
          <w:rFonts w:cs="Times New Roman"/>
          <w:lang w:val="fr-CA"/>
        </w:rPr>
        <w:t>’</w:t>
      </w:r>
      <w:r w:rsidRPr="00A05127">
        <w:rPr>
          <w:rFonts w:cs="Times New Roman"/>
          <w:lang w:val="fr-CA"/>
        </w:rPr>
        <w:t>estime que deux ajournements du procès de M. </w:t>
      </w:r>
      <w:proofErr w:type="spellStart"/>
      <w:r w:rsidRPr="00A05127">
        <w:rPr>
          <w:rFonts w:cs="Times New Roman"/>
          <w:lang w:val="fr-CA"/>
        </w:rPr>
        <w:t>Vassell</w:t>
      </w:r>
      <w:proofErr w:type="spellEnd"/>
      <w:r w:rsidRPr="00A05127">
        <w:rPr>
          <w:rFonts w:cs="Times New Roman"/>
          <w:lang w:val="fr-CA"/>
        </w:rPr>
        <w:t xml:space="preserve"> — imputables au ministère public — ont eu pour effet de prolonger le délai au</w:t>
      </w:r>
      <w:r w:rsidRPr="00A05127">
        <w:rPr>
          <w:rFonts w:cs="Times New Roman"/>
          <w:lang w:val="fr-CA"/>
        </w:rPr>
        <w:noBreakHyphen/>
        <w:t>delà des limites du raisonnable.</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L</w:t>
      </w:r>
      <w:r>
        <w:rPr>
          <w:rFonts w:cs="Times New Roman"/>
          <w:lang w:val="fr-CA"/>
        </w:rPr>
        <w:t>’</w:t>
      </w:r>
      <w:r w:rsidRPr="00A05127">
        <w:rPr>
          <w:rFonts w:cs="Times New Roman"/>
          <w:lang w:val="fr-CA"/>
        </w:rPr>
        <w:t>affaire a été ajournée une première fois en février 2013, parce que le représentant du ministère public devait assister à des funérailles. L</w:t>
      </w:r>
      <w:r>
        <w:rPr>
          <w:rFonts w:cs="Times New Roman"/>
          <w:lang w:val="fr-CA"/>
        </w:rPr>
        <w:t>’</w:t>
      </w:r>
      <w:r w:rsidRPr="00A05127">
        <w:rPr>
          <w:rFonts w:cs="Times New Roman"/>
          <w:lang w:val="fr-CA"/>
        </w:rPr>
        <w:t>acte d</w:t>
      </w:r>
      <w:r>
        <w:rPr>
          <w:rFonts w:cs="Times New Roman"/>
          <w:lang w:val="fr-CA"/>
        </w:rPr>
        <w:t>’</w:t>
      </w:r>
      <w:r w:rsidRPr="00A05127">
        <w:rPr>
          <w:rFonts w:cs="Times New Roman"/>
          <w:lang w:val="fr-CA"/>
        </w:rPr>
        <w:t>accusation ne visait plus alors que M. </w:t>
      </w:r>
      <w:proofErr w:type="spellStart"/>
      <w:r w:rsidRPr="00A05127">
        <w:rPr>
          <w:rFonts w:cs="Times New Roman"/>
          <w:lang w:val="fr-CA"/>
        </w:rPr>
        <w:t>Vassell</w:t>
      </w:r>
      <w:proofErr w:type="spellEnd"/>
      <w:r w:rsidRPr="00A05127">
        <w:rPr>
          <w:rFonts w:cs="Times New Roman"/>
          <w:lang w:val="fr-CA"/>
        </w:rPr>
        <w:t xml:space="preserve"> et deux coaccusés, et le procès devait durer une semaine au lieu des deux semaines prévues à l</w:t>
      </w:r>
      <w:r>
        <w:rPr>
          <w:rFonts w:cs="Times New Roman"/>
          <w:lang w:val="fr-CA"/>
        </w:rPr>
        <w:t>’</w:t>
      </w:r>
      <w:r w:rsidRPr="00A05127">
        <w:rPr>
          <w:rFonts w:cs="Times New Roman"/>
          <w:lang w:val="fr-CA"/>
        </w:rPr>
        <w:t>origine. Bien que, dans ce ressort, le temps d</w:t>
      </w:r>
      <w:r>
        <w:rPr>
          <w:rFonts w:cs="Times New Roman"/>
          <w:lang w:val="fr-CA"/>
        </w:rPr>
        <w:t>’</w:t>
      </w:r>
      <w:r w:rsidRPr="00A05127">
        <w:rPr>
          <w:rFonts w:cs="Times New Roman"/>
          <w:lang w:val="fr-CA"/>
        </w:rPr>
        <w:t>attente avant la tenue d</w:t>
      </w:r>
      <w:r>
        <w:rPr>
          <w:rFonts w:cs="Times New Roman"/>
          <w:lang w:val="fr-CA"/>
        </w:rPr>
        <w:t>’</w:t>
      </w:r>
      <w:r w:rsidRPr="00A05127">
        <w:rPr>
          <w:rFonts w:cs="Times New Roman"/>
          <w:lang w:val="fr-CA"/>
        </w:rPr>
        <w:t>un procès d</w:t>
      </w:r>
      <w:r>
        <w:rPr>
          <w:rFonts w:cs="Times New Roman"/>
          <w:lang w:val="fr-CA"/>
        </w:rPr>
        <w:t>’</w:t>
      </w:r>
      <w:r w:rsidRPr="00A05127">
        <w:rPr>
          <w:rFonts w:cs="Times New Roman"/>
          <w:lang w:val="fr-CA"/>
        </w:rPr>
        <w:t>une semaine était normalement de six à huit mois, le système a permis qu</w:t>
      </w:r>
      <w:r>
        <w:rPr>
          <w:rFonts w:cs="Times New Roman"/>
          <w:lang w:val="fr-CA"/>
        </w:rPr>
        <w:t>’</w:t>
      </w:r>
      <w:r w:rsidRPr="00A05127">
        <w:rPr>
          <w:rFonts w:cs="Times New Roman"/>
          <w:lang w:val="fr-CA"/>
        </w:rPr>
        <w:t>on lui offre une seconde date assez rapprochée, soit</w:t>
      </w:r>
      <w:r>
        <w:rPr>
          <w:rFonts w:cs="Times New Roman"/>
          <w:lang w:val="fr-CA"/>
        </w:rPr>
        <w:t xml:space="preserve"> en juin </w:t>
      </w:r>
      <w:r w:rsidRPr="00A05127">
        <w:rPr>
          <w:rFonts w:cs="Times New Roman"/>
          <w:lang w:val="fr-CA"/>
        </w:rPr>
        <w:t>2013, ce qui représentait une période d</w:t>
      </w:r>
      <w:r>
        <w:rPr>
          <w:rFonts w:cs="Times New Roman"/>
          <w:lang w:val="fr-CA"/>
        </w:rPr>
        <w:t>’</w:t>
      </w:r>
      <w:r w:rsidRPr="00A05127">
        <w:rPr>
          <w:rFonts w:cs="Times New Roman"/>
          <w:lang w:val="fr-CA"/>
        </w:rPr>
        <w:t>attente de quatre mois. Dans son plaidoyer devant la Cour, l</w:t>
      </w:r>
      <w:r>
        <w:rPr>
          <w:rFonts w:cs="Times New Roman"/>
          <w:lang w:val="fr-CA"/>
        </w:rPr>
        <w:t>’</w:t>
      </w:r>
      <w:r w:rsidRPr="00A05127">
        <w:rPr>
          <w:rFonts w:cs="Times New Roman"/>
          <w:lang w:val="fr-CA"/>
        </w:rPr>
        <w:t>avocat de M. </w:t>
      </w:r>
      <w:proofErr w:type="spellStart"/>
      <w:r w:rsidRPr="00A05127">
        <w:rPr>
          <w:rFonts w:cs="Times New Roman"/>
          <w:lang w:val="fr-CA"/>
        </w:rPr>
        <w:t>Vassell</w:t>
      </w:r>
      <w:proofErr w:type="spellEnd"/>
      <w:r w:rsidRPr="00A05127">
        <w:rPr>
          <w:rFonts w:cs="Times New Roman"/>
          <w:lang w:val="fr-CA"/>
        </w:rPr>
        <w:t xml:space="preserve"> a déclaré que lui</w:t>
      </w:r>
      <w:r w:rsidRPr="00A05127">
        <w:rPr>
          <w:rFonts w:cs="Times New Roman"/>
          <w:lang w:val="fr-CA"/>
        </w:rPr>
        <w:noBreakHyphen/>
        <w:t>même et l</w:t>
      </w:r>
      <w:r>
        <w:rPr>
          <w:rFonts w:cs="Times New Roman"/>
          <w:lang w:val="fr-CA"/>
        </w:rPr>
        <w:t>’</w:t>
      </w:r>
      <w:r w:rsidRPr="00A05127">
        <w:rPr>
          <w:rFonts w:cs="Times New Roman"/>
          <w:lang w:val="fr-CA"/>
        </w:rPr>
        <w:t>avocat d</w:t>
      </w:r>
      <w:r>
        <w:rPr>
          <w:rFonts w:cs="Times New Roman"/>
          <w:lang w:val="fr-CA"/>
        </w:rPr>
        <w:t>’</w:t>
      </w:r>
      <w:r w:rsidRPr="00A05127">
        <w:rPr>
          <w:rFonts w:cs="Times New Roman"/>
          <w:lang w:val="fr-CA"/>
        </w:rPr>
        <w:t>un des deux coaccusés étaient disponibles en juin, mais que l</w:t>
      </w:r>
      <w:r>
        <w:rPr>
          <w:rFonts w:cs="Times New Roman"/>
          <w:lang w:val="fr-CA"/>
        </w:rPr>
        <w:t>’</w:t>
      </w:r>
      <w:r w:rsidRPr="00A05127">
        <w:rPr>
          <w:rFonts w:cs="Times New Roman"/>
          <w:lang w:val="fr-CA"/>
        </w:rPr>
        <w:t>avocat de l</w:t>
      </w:r>
      <w:r>
        <w:rPr>
          <w:rFonts w:cs="Times New Roman"/>
          <w:lang w:val="fr-CA"/>
        </w:rPr>
        <w:t>’</w:t>
      </w:r>
      <w:r w:rsidRPr="00A05127">
        <w:rPr>
          <w:rFonts w:cs="Times New Roman"/>
          <w:lang w:val="fr-CA"/>
        </w:rPr>
        <w:t>autre coaccusé ne l</w:t>
      </w:r>
      <w:r>
        <w:rPr>
          <w:rFonts w:cs="Times New Roman"/>
          <w:lang w:val="fr-CA"/>
        </w:rPr>
        <w:t>’</w:t>
      </w:r>
      <w:r w:rsidRPr="00A05127">
        <w:rPr>
          <w:rFonts w:cs="Times New Roman"/>
          <w:lang w:val="fr-CA"/>
        </w:rPr>
        <w:t>était pas. Par conséquent, le procès a été reporté au mois de septembre 2013.</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Les funérailles constituaient un événement inévitable, que personne ne pouvait prévoir et dont nul ne saurait être tenu responsable. Cependant, on ne peut faire complètement abstraction du retard qui en a résulté. En particulier, le report additionnel de trois mois causé par la non</w:t>
      </w:r>
      <w:r w:rsidRPr="00A05127">
        <w:rPr>
          <w:rFonts w:cs="Times New Roman"/>
          <w:lang w:val="fr-CA"/>
        </w:rPr>
        <w:noBreakHyphen/>
        <w:t>disponibilité du coaccusé en juin devrait être attribué au ministère public, qui, dans les circonstances, aurait dû se montrer plus proactif afin de s</w:t>
      </w:r>
      <w:r>
        <w:rPr>
          <w:rFonts w:cs="Times New Roman"/>
          <w:lang w:val="fr-CA"/>
        </w:rPr>
        <w:t>’</w:t>
      </w:r>
      <w:r w:rsidRPr="00A05127">
        <w:rPr>
          <w:rFonts w:cs="Times New Roman"/>
          <w:lang w:val="fr-CA"/>
        </w:rPr>
        <w:t>assurer que le dossier avance rapidement. Par exemple, sachant que M. </w:t>
      </w:r>
      <w:proofErr w:type="spellStart"/>
      <w:r w:rsidRPr="00A05127">
        <w:rPr>
          <w:rFonts w:cs="Times New Roman"/>
          <w:lang w:val="fr-CA"/>
        </w:rPr>
        <w:t>Vassell</w:t>
      </w:r>
      <w:proofErr w:type="spellEnd"/>
      <w:r w:rsidRPr="00A05127">
        <w:rPr>
          <w:rFonts w:cs="Times New Roman"/>
          <w:lang w:val="fr-CA"/>
        </w:rPr>
        <w:t xml:space="preserve"> </w:t>
      </w:r>
      <w:r w:rsidRPr="00A05127">
        <w:rPr>
          <w:rFonts w:cs="Times New Roman"/>
          <w:lang w:val="fr-CA"/>
        </w:rPr>
        <w:lastRenderedPageBreak/>
        <w:t>souhaitait hâter la tenue du procès et qu</w:t>
      </w:r>
      <w:r>
        <w:rPr>
          <w:rFonts w:cs="Times New Roman"/>
          <w:lang w:val="fr-CA"/>
        </w:rPr>
        <w:t>’</w:t>
      </w:r>
      <w:r w:rsidRPr="00A05127">
        <w:rPr>
          <w:rFonts w:cs="Times New Roman"/>
          <w:lang w:val="fr-CA"/>
        </w:rPr>
        <w:t xml:space="preserve">il attendait déjà depuis près de deux ans, le ministère public aurait pu décider de tenir son procès séparément en juin. À mon avis, la disjonction des procédures constituait, à cette étape, une solution à la fois viable et raisonnable. </w:t>
      </w:r>
    </w:p>
    <w:p w:rsidR="00EF5294" w:rsidRPr="00A05127" w:rsidRDefault="00EF5294" w:rsidP="006A6864">
      <w:pPr>
        <w:pStyle w:val="ParaNoNdepar-AltN"/>
        <w:widowControl w:val="0"/>
        <w:numPr>
          <w:ilvl w:val="0"/>
          <w:numId w:val="2"/>
        </w:numPr>
        <w:tabs>
          <w:tab w:val="clear" w:pos="1152"/>
          <w:tab w:val="left" w:pos="1166"/>
        </w:tabs>
        <w:rPr>
          <w:rFonts w:cs="Times New Roman"/>
          <w:lang w:val="fr-CA"/>
        </w:rPr>
      </w:pPr>
      <w:r w:rsidRPr="00A05127">
        <w:rPr>
          <w:rFonts w:cs="Times New Roman"/>
          <w:lang w:val="fr-CA"/>
        </w:rPr>
        <w:t>Comme l</w:t>
      </w:r>
      <w:r>
        <w:rPr>
          <w:rFonts w:cs="Times New Roman"/>
          <w:lang w:val="fr-CA"/>
        </w:rPr>
        <w:t>’</w:t>
      </w:r>
      <w:r w:rsidRPr="00A05127">
        <w:rPr>
          <w:rFonts w:cs="Times New Roman"/>
          <w:lang w:val="fr-CA"/>
        </w:rPr>
        <w:t>a concédé à juste titre le ministère public, le deuxième ajournement est clairement imputable au ministère public et au système. À la deuxième date fixée pour le procès, en septembre 2013, le ministère public a annoncé son intention de produire une preuve d</w:t>
      </w:r>
      <w:r>
        <w:rPr>
          <w:rFonts w:cs="Times New Roman"/>
          <w:lang w:val="fr-CA"/>
        </w:rPr>
        <w:t>’</w:t>
      </w:r>
      <w:r w:rsidRPr="00A05127">
        <w:rPr>
          <w:rFonts w:cs="Times New Roman"/>
          <w:lang w:val="fr-CA"/>
        </w:rPr>
        <w:t>expert additionnelle qu</w:t>
      </w:r>
      <w:r>
        <w:rPr>
          <w:rFonts w:cs="Times New Roman"/>
          <w:lang w:val="fr-CA"/>
        </w:rPr>
        <w:t>’</w:t>
      </w:r>
      <w:r w:rsidR="009072AF">
        <w:rPr>
          <w:rFonts w:cs="Times New Roman"/>
          <w:lang w:val="fr-CA"/>
        </w:rPr>
        <w:t>il</w:t>
      </w:r>
      <w:bookmarkStart w:id="0" w:name="_GoBack"/>
      <w:bookmarkEnd w:id="0"/>
      <w:r w:rsidRPr="00A05127">
        <w:rPr>
          <w:rFonts w:cs="Times New Roman"/>
          <w:lang w:val="fr-CA"/>
        </w:rPr>
        <w:t xml:space="preserve"> n</w:t>
      </w:r>
      <w:r>
        <w:rPr>
          <w:rFonts w:cs="Times New Roman"/>
          <w:lang w:val="fr-CA"/>
        </w:rPr>
        <w:t>’</w:t>
      </w:r>
      <w:r w:rsidRPr="00A05127">
        <w:rPr>
          <w:rFonts w:cs="Times New Roman"/>
          <w:lang w:val="fr-CA"/>
        </w:rPr>
        <w:t>avait pas communiquée. À ce stade, M. </w:t>
      </w:r>
      <w:proofErr w:type="spellStart"/>
      <w:r w:rsidRPr="00A05127">
        <w:rPr>
          <w:rFonts w:cs="Times New Roman"/>
          <w:lang w:val="fr-CA"/>
        </w:rPr>
        <w:t>Vassell</w:t>
      </w:r>
      <w:proofErr w:type="spellEnd"/>
      <w:r w:rsidRPr="00A05127">
        <w:rPr>
          <w:rFonts w:cs="Times New Roman"/>
          <w:lang w:val="fr-CA"/>
        </w:rPr>
        <w:t xml:space="preserve"> restait le seul accusé, l</w:t>
      </w:r>
      <w:r>
        <w:rPr>
          <w:rFonts w:cs="Times New Roman"/>
          <w:lang w:val="fr-CA"/>
        </w:rPr>
        <w:t>’</w:t>
      </w:r>
      <w:r w:rsidRPr="00A05127">
        <w:rPr>
          <w:rFonts w:cs="Times New Roman"/>
          <w:lang w:val="fr-CA"/>
        </w:rPr>
        <w:t>arrêt des procédures ayant été ordonné à l</w:t>
      </w:r>
      <w:r>
        <w:rPr>
          <w:rFonts w:cs="Times New Roman"/>
          <w:lang w:val="fr-CA"/>
        </w:rPr>
        <w:t>’</w:t>
      </w:r>
      <w:r w:rsidRPr="00A05127">
        <w:rPr>
          <w:rFonts w:cs="Times New Roman"/>
          <w:lang w:val="fr-CA"/>
        </w:rPr>
        <w:t>égard de ses deux derniers coaccusés. Son procès devait durer seulement trois jours, et son avocat était disponible en novembre. Pourtant, M. </w:t>
      </w:r>
      <w:proofErr w:type="spellStart"/>
      <w:r w:rsidRPr="00A05127">
        <w:rPr>
          <w:rFonts w:cs="Times New Roman"/>
          <w:lang w:val="fr-CA"/>
        </w:rPr>
        <w:t>Vassell</w:t>
      </w:r>
      <w:proofErr w:type="spellEnd"/>
      <w:r w:rsidRPr="00A05127">
        <w:rPr>
          <w:rFonts w:cs="Times New Roman"/>
          <w:lang w:val="fr-CA"/>
        </w:rPr>
        <w:t xml:space="preserve"> a dû attendre encore sept mois avant la troisième date du procès, car le tribunal ne pouvait instruire l</w:t>
      </w:r>
      <w:r>
        <w:rPr>
          <w:rFonts w:cs="Times New Roman"/>
          <w:lang w:val="fr-CA"/>
        </w:rPr>
        <w:t xml:space="preserve">’affaire avant avril </w:t>
      </w:r>
      <w:r w:rsidRPr="00A05127">
        <w:rPr>
          <w:rFonts w:cs="Times New Roman"/>
          <w:lang w:val="fr-CA"/>
        </w:rPr>
        <w:t>2014. Malgré la préoccupation évidente relativement à l</w:t>
      </w:r>
      <w:r>
        <w:rPr>
          <w:rFonts w:cs="Times New Roman"/>
          <w:lang w:val="fr-CA"/>
        </w:rPr>
        <w:t>’</w:t>
      </w:r>
      <w:r w:rsidRPr="00A05127">
        <w:rPr>
          <w:rFonts w:cs="Times New Roman"/>
          <w:lang w:val="fr-CA"/>
        </w:rPr>
        <w:t>al. 11</w:t>
      </w:r>
      <w:r w:rsidRPr="00A05127">
        <w:rPr>
          <w:rFonts w:cs="Times New Roman"/>
          <w:i/>
          <w:lang w:val="fr-CA"/>
        </w:rPr>
        <w:t>b</w:t>
      </w:r>
      <w:r w:rsidRPr="00A05127">
        <w:rPr>
          <w:rFonts w:cs="Times New Roman"/>
          <w:lang w:val="fr-CA"/>
        </w:rPr>
        <w:t>) — et sachant que M. </w:t>
      </w:r>
      <w:proofErr w:type="spellStart"/>
      <w:r w:rsidRPr="00A05127">
        <w:rPr>
          <w:rFonts w:cs="Times New Roman"/>
          <w:lang w:val="fr-CA"/>
        </w:rPr>
        <w:t>Vassell</w:t>
      </w:r>
      <w:proofErr w:type="spellEnd"/>
      <w:r w:rsidRPr="00A05127">
        <w:rPr>
          <w:rFonts w:cs="Times New Roman"/>
          <w:lang w:val="fr-CA"/>
        </w:rPr>
        <w:t xml:space="preserve"> n</w:t>
      </w:r>
      <w:r>
        <w:rPr>
          <w:rFonts w:cs="Times New Roman"/>
          <w:lang w:val="fr-CA"/>
        </w:rPr>
        <w:t>’</w:t>
      </w:r>
      <w:r w:rsidRPr="00A05127">
        <w:rPr>
          <w:rFonts w:cs="Times New Roman"/>
          <w:lang w:val="fr-CA"/>
        </w:rPr>
        <w:t xml:space="preserve">avait eu de cesse de demander que son procès ait lieu rapidement — il semble que le ministère public et le système </w:t>
      </w:r>
      <w:r>
        <w:rPr>
          <w:rFonts w:cs="Times New Roman"/>
          <w:lang w:val="fr-CA"/>
        </w:rPr>
        <w:t xml:space="preserve">judiciaire </w:t>
      </w:r>
      <w:r w:rsidRPr="00A05127">
        <w:rPr>
          <w:rFonts w:cs="Times New Roman"/>
          <w:lang w:val="fr-CA"/>
        </w:rPr>
        <w:t>n</w:t>
      </w:r>
      <w:r>
        <w:rPr>
          <w:rFonts w:cs="Times New Roman"/>
          <w:lang w:val="fr-CA"/>
        </w:rPr>
        <w:t>’</w:t>
      </w:r>
      <w:r w:rsidRPr="00A05127">
        <w:rPr>
          <w:rFonts w:cs="Times New Roman"/>
          <w:lang w:val="fr-CA"/>
        </w:rPr>
        <w:t>aient rien fait pour qu</w:t>
      </w:r>
      <w:r>
        <w:rPr>
          <w:rFonts w:cs="Times New Roman"/>
          <w:lang w:val="fr-CA"/>
        </w:rPr>
        <w:t>’</w:t>
      </w:r>
      <w:r w:rsidRPr="00A05127">
        <w:rPr>
          <w:rFonts w:cs="Times New Roman"/>
          <w:lang w:val="fr-CA"/>
        </w:rPr>
        <w:t>il obtienne des dates de procès plus rapprochées. De fait,</w:t>
      </w:r>
      <w:r>
        <w:rPr>
          <w:rFonts w:cs="Times New Roman"/>
          <w:lang w:val="fr-CA"/>
        </w:rPr>
        <w:t xml:space="preserve"> le</w:t>
      </w:r>
      <w:r w:rsidRPr="00A05127">
        <w:rPr>
          <w:rFonts w:cs="Times New Roman"/>
          <w:lang w:val="fr-CA"/>
        </w:rPr>
        <w:t xml:space="preserve"> système</w:t>
      </w:r>
      <w:r>
        <w:rPr>
          <w:rFonts w:cs="Times New Roman"/>
          <w:lang w:val="fr-CA"/>
        </w:rPr>
        <w:t xml:space="preserve"> judiciaire</w:t>
      </w:r>
      <w:r w:rsidRPr="00A05127">
        <w:rPr>
          <w:rFonts w:cs="Times New Roman"/>
          <w:lang w:val="fr-CA"/>
        </w:rPr>
        <w:t xml:space="preserve"> a mis presque deux fois plus de temps à offrir à M. </w:t>
      </w:r>
      <w:proofErr w:type="spellStart"/>
      <w:r w:rsidRPr="00A05127">
        <w:rPr>
          <w:rFonts w:cs="Times New Roman"/>
          <w:lang w:val="fr-CA"/>
        </w:rPr>
        <w:t>Vassell</w:t>
      </w:r>
      <w:proofErr w:type="spellEnd"/>
      <w:r w:rsidRPr="00A05127">
        <w:rPr>
          <w:rFonts w:cs="Times New Roman"/>
          <w:lang w:val="fr-CA"/>
        </w:rPr>
        <w:t xml:space="preserve"> une troisième date de procès qu</w:t>
      </w:r>
      <w:r>
        <w:rPr>
          <w:rFonts w:cs="Times New Roman"/>
          <w:lang w:val="fr-CA"/>
        </w:rPr>
        <w:t>’</w:t>
      </w:r>
      <w:r w:rsidR="006653A5">
        <w:rPr>
          <w:rFonts w:cs="Times New Roman"/>
          <w:lang w:val="fr-CA"/>
        </w:rPr>
        <w:t xml:space="preserve">il </w:t>
      </w:r>
      <w:r w:rsidRPr="00A05127">
        <w:rPr>
          <w:rFonts w:cs="Times New Roman"/>
          <w:lang w:val="fr-CA"/>
        </w:rPr>
        <w:t>en a</w:t>
      </w:r>
      <w:r w:rsidR="006653A5">
        <w:rPr>
          <w:rFonts w:cs="Times New Roman"/>
          <w:lang w:val="fr-CA"/>
        </w:rPr>
        <w:t>vait</w:t>
      </w:r>
      <w:r w:rsidRPr="00A05127">
        <w:rPr>
          <w:rFonts w:cs="Times New Roman"/>
          <w:lang w:val="fr-CA"/>
        </w:rPr>
        <w:t xml:space="preserve"> mis à lui offrir la seconde date, pour laquelle un procès plus long était prévu. Et, comme si ce n</w:t>
      </w:r>
      <w:r>
        <w:rPr>
          <w:rFonts w:cs="Times New Roman"/>
          <w:lang w:val="fr-CA"/>
        </w:rPr>
        <w:t>’</w:t>
      </w:r>
      <w:r w:rsidRPr="00A05127">
        <w:rPr>
          <w:rFonts w:cs="Times New Roman"/>
          <w:lang w:val="fr-CA"/>
        </w:rPr>
        <w:t>était pas assez, le ministère public n</w:t>
      </w:r>
      <w:r>
        <w:rPr>
          <w:rFonts w:cs="Times New Roman"/>
          <w:lang w:val="fr-CA"/>
        </w:rPr>
        <w:t>’</w:t>
      </w:r>
      <w:r w:rsidRPr="00A05127">
        <w:rPr>
          <w:rFonts w:cs="Times New Roman"/>
          <w:lang w:val="fr-CA"/>
        </w:rPr>
        <w:t>a finalement pas utilisé sa nouvelle preuve d</w:t>
      </w:r>
      <w:r>
        <w:rPr>
          <w:rFonts w:cs="Times New Roman"/>
          <w:lang w:val="fr-CA"/>
        </w:rPr>
        <w:t>’</w:t>
      </w:r>
      <w:r w:rsidRPr="00A05127">
        <w:rPr>
          <w:rFonts w:cs="Times New Roman"/>
          <w:lang w:val="fr-CA"/>
        </w:rPr>
        <w:t>expert.</w:t>
      </w:r>
    </w:p>
    <w:p w:rsidR="00EF5294" w:rsidRPr="00A05127" w:rsidRDefault="00EF5294" w:rsidP="006A6864">
      <w:pPr>
        <w:pStyle w:val="ParaNoNdepar-AltN"/>
        <w:widowControl w:val="0"/>
        <w:numPr>
          <w:ilvl w:val="0"/>
          <w:numId w:val="2"/>
        </w:numPr>
        <w:rPr>
          <w:rFonts w:cs="Times New Roman"/>
          <w:lang w:val="fr-CA"/>
        </w:rPr>
      </w:pPr>
      <w:r w:rsidRPr="00A05127">
        <w:rPr>
          <w:rFonts w:cs="Times New Roman"/>
          <w:lang w:val="fr-CA"/>
        </w:rPr>
        <w:t>Malgré tous les efforts déployés par M. </w:t>
      </w:r>
      <w:proofErr w:type="spellStart"/>
      <w:r w:rsidRPr="00A05127">
        <w:rPr>
          <w:rFonts w:cs="Times New Roman"/>
          <w:lang w:val="fr-CA"/>
        </w:rPr>
        <w:t>Vassell</w:t>
      </w:r>
      <w:proofErr w:type="spellEnd"/>
      <w:r w:rsidRPr="00A05127">
        <w:rPr>
          <w:rFonts w:cs="Times New Roman"/>
          <w:lang w:val="fr-CA"/>
        </w:rPr>
        <w:t>, la tenue de son procès s</w:t>
      </w:r>
      <w:r>
        <w:rPr>
          <w:rFonts w:cs="Times New Roman"/>
          <w:lang w:val="fr-CA"/>
        </w:rPr>
        <w:t>’</w:t>
      </w:r>
      <w:r w:rsidRPr="00A05127">
        <w:rPr>
          <w:rFonts w:cs="Times New Roman"/>
          <w:lang w:val="fr-CA"/>
        </w:rPr>
        <w:t xml:space="preserve">est </w:t>
      </w:r>
      <w:r w:rsidRPr="00A05127">
        <w:rPr>
          <w:rFonts w:cs="Times New Roman"/>
          <w:lang w:val="fr-CA"/>
        </w:rPr>
        <w:lastRenderedPageBreak/>
        <w:t>enlisée en raison d</w:t>
      </w:r>
      <w:r>
        <w:rPr>
          <w:rFonts w:cs="Times New Roman"/>
          <w:lang w:val="fr-CA"/>
        </w:rPr>
        <w:t>’</w:t>
      </w:r>
      <w:r w:rsidRPr="00A05127">
        <w:rPr>
          <w:rFonts w:cs="Times New Roman"/>
          <w:lang w:val="fr-CA"/>
        </w:rPr>
        <w:t>une série d</w:t>
      </w:r>
      <w:r>
        <w:rPr>
          <w:rFonts w:cs="Times New Roman"/>
          <w:lang w:val="fr-CA"/>
        </w:rPr>
        <w:t>’</w:t>
      </w:r>
      <w:r w:rsidRPr="00A05127">
        <w:rPr>
          <w:rFonts w:cs="Times New Roman"/>
          <w:lang w:val="fr-CA"/>
        </w:rPr>
        <w:t>incidents qui échappaient à son contrôle et dont il n</w:t>
      </w:r>
      <w:r>
        <w:rPr>
          <w:rFonts w:cs="Times New Roman"/>
          <w:lang w:val="fr-CA"/>
        </w:rPr>
        <w:t>’</w:t>
      </w:r>
      <w:r w:rsidRPr="00A05127">
        <w:rPr>
          <w:rFonts w:cs="Times New Roman"/>
          <w:lang w:val="fr-CA"/>
        </w:rPr>
        <w:t>était pas responsable. Le ministère public était tenu d</w:t>
      </w:r>
      <w:r>
        <w:rPr>
          <w:rFonts w:cs="Times New Roman"/>
          <w:lang w:val="fr-CA"/>
        </w:rPr>
        <w:t>’</w:t>
      </w:r>
      <w:r w:rsidRPr="00A05127">
        <w:rPr>
          <w:rFonts w:cs="Times New Roman"/>
          <w:lang w:val="fr-CA"/>
        </w:rPr>
        <w:t>agir de manière plus proactive au regard des efforts soutenus de M. </w:t>
      </w:r>
      <w:proofErr w:type="spellStart"/>
      <w:r w:rsidRPr="00A05127">
        <w:rPr>
          <w:rFonts w:cs="Times New Roman"/>
          <w:lang w:val="fr-CA"/>
        </w:rPr>
        <w:t>Vassell</w:t>
      </w:r>
      <w:proofErr w:type="spellEnd"/>
      <w:r w:rsidRPr="00A05127">
        <w:rPr>
          <w:rFonts w:cs="Times New Roman"/>
          <w:lang w:val="fr-CA"/>
        </w:rPr>
        <w:t xml:space="preserve"> pour être jugé rapidement, et le système n</w:t>
      </w:r>
      <w:r>
        <w:rPr>
          <w:rFonts w:cs="Times New Roman"/>
          <w:lang w:val="fr-CA"/>
        </w:rPr>
        <w:t>’</w:t>
      </w:r>
      <w:r w:rsidRPr="00A05127">
        <w:rPr>
          <w:rFonts w:cs="Times New Roman"/>
          <w:lang w:val="fr-CA"/>
        </w:rPr>
        <w:t>était pas assez souple pour qu</w:t>
      </w:r>
      <w:r>
        <w:rPr>
          <w:rFonts w:cs="Times New Roman"/>
          <w:lang w:val="fr-CA"/>
        </w:rPr>
        <w:t>’</w:t>
      </w:r>
      <w:r w:rsidRPr="00A05127">
        <w:rPr>
          <w:rFonts w:cs="Times New Roman"/>
          <w:lang w:val="fr-CA"/>
        </w:rPr>
        <w:t>on lui offre des dates de procès plus rapprochées à la suite du deuxième ajournement de son procès. Compte tenu de la durée globale du délai et des raisons qui l</w:t>
      </w:r>
      <w:r>
        <w:rPr>
          <w:rFonts w:cs="Times New Roman"/>
          <w:lang w:val="fr-CA"/>
        </w:rPr>
        <w:t>’</w:t>
      </w:r>
      <w:r w:rsidRPr="00A05127">
        <w:rPr>
          <w:rFonts w:cs="Times New Roman"/>
          <w:lang w:val="fr-CA"/>
        </w:rPr>
        <w:t>expliquent, il y a eu violation du droit que l</w:t>
      </w:r>
      <w:r>
        <w:rPr>
          <w:rFonts w:cs="Times New Roman"/>
          <w:lang w:val="fr-CA"/>
        </w:rPr>
        <w:t>’</w:t>
      </w:r>
      <w:r w:rsidRPr="00A05127">
        <w:rPr>
          <w:rFonts w:cs="Times New Roman"/>
          <w:lang w:val="fr-CA"/>
        </w:rPr>
        <w:t>al. 11</w:t>
      </w:r>
      <w:r w:rsidRPr="00A05127">
        <w:rPr>
          <w:rFonts w:cs="Times New Roman"/>
          <w:i/>
          <w:lang w:val="fr-CA"/>
        </w:rPr>
        <w:t>b</w:t>
      </w:r>
      <w:r w:rsidRPr="00A05127">
        <w:rPr>
          <w:rFonts w:cs="Times New Roman"/>
          <w:lang w:val="fr-CA"/>
        </w:rPr>
        <w:t>) garantit à M. </w:t>
      </w:r>
      <w:proofErr w:type="spellStart"/>
      <w:r w:rsidRPr="00A05127">
        <w:rPr>
          <w:rFonts w:cs="Times New Roman"/>
          <w:lang w:val="fr-CA"/>
        </w:rPr>
        <w:t>Vassell</w:t>
      </w:r>
      <w:proofErr w:type="spellEnd"/>
      <w:r w:rsidRPr="00A05127">
        <w:rPr>
          <w:rFonts w:cs="Times New Roman"/>
          <w:lang w:val="fr-CA"/>
        </w:rPr>
        <w:t>. Par conséquent, je suis d</w:t>
      </w:r>
      <w:r>
        <w:rPr>
          <w:rFonts w:cs="Times New Roman"/>
          <w:lang w:val="fr-CA"/>
        </w:rPr>
        <w:t>’</w:t>
      </w:r>
      <w:r w:rsidRPr="00A05127">
        <w:rPr>
          <w:rFonts w:cs="Times New Roman"/>
          <w:lang w:val="fr-CA"/>
        </w:rPr>
        <w:t>avis d</w:t>
      </w:r>
      <w:r>
        <w:rPr>
          <w:rFonts w:cs="Times New Roman"/>
          <w:lang w:val="fr-CA"/>
        </w:rPr>
        <w:t>’</w:t>
      </w:r>
      <w:r w:rsidRPr="00A05127">
        <w:rPr>
          <w:rFonts w:cs="Times New Roman"/>
          <w:lang w:val="fr-CA"/>
        </w:rPr>
        <w:t>accueillir le pourvoi, d</w:t>
      </w:r>
      <w:r>
        <w:rPr>
          <w:rFonts w:cs="Times New Roman"/>
          <w:lang w:val="fr-CA"/>
        </w:rPr>
        <w:t>’</w:t>
      </w:r>
      <w:r w:rsidRPr="00A05127">
        <w:rPr>
          <w:rFonts w:cs="Times New Roman"/>
          <w:lang w:val="fr-CA"/>
        </w:rPr>
        <w:t>annuler la déclaration de culpabilité de M. </w:t>
      </w:r>
      <w:proofErr w:type="spellStart"/>
      <w:r w:rsidRPr="00A05127">
        <w:rPr>
          <w:rFonts w:cs="Times New Roman"/>
          <w:lang w:val="fr-CA"/>
        </w:rPr>
        <w:t>Vassell</w:t>
      </w:r>
      <w:proofErr w:type="spellEnd"/>
      <w:r w:rsidRPr="00A05127">
        <w:rPr>
          <w:rFonts w:cs="Times New Roman"/>
          <w:lang w:val="fr-CA"/>
        </w:rPr>
        <w:t xml:space="preserve"> et d</w:t>
      </w:r>
      <w:r>
        <w:rPr>
          <w:rFonts w:cs="Times New Roman"/>
          <w:lang w:val="fr-CA"/>
        </w:rPr>
        <w:t>’</w:t>
      </w:r>
      <w:r w:rsidRPr="00A05127">
        <w:rPr>
          <w:rFonts w:cs="Times New Roman"/>
          <w:lang w:val="fr-CA"/>
        </w:rPr>
        <w:t>ordonner l</w:t>
      </w:r>
      <w:r>
        <w:rPr>
          <w:rFonts w:cs="Times New Roman"/>
          <w:lang w:val="fr-CA"/>
        </w:rPr>
        <w:t>’</w:t>
      </w:r>
      <w:r w:rsidRPr="00A05127">
        <w:rPr>
          <w:rFonts w:cs="Times New Roman"/>
          <w:lang w:val="fr-CA"/>
        </w:rPr>
        <w:t>arrêt des procédures.</w:t>
      </w:r>
    </w:p>
    <w:p w:rsidR="00B35FD6" w:rsidRPr="00CB6860" w:rsidRDefault="00B35FD6" w:rsidP="006A6864">
      <w:pPr>
        <w:pStyle w:val="SCCNormalDoubleSpacing"/>
        <w:widowControl w:val="0"/>
        <w:spacing w:before="480" w:after="480"/>
        <w:rPr>
          <w:i/>
          <w:lang w:val="fr-CA"/>
        </w:rPr>
      </w:pPr>
      <w:r w:rsidRPr="00CB6860">
        <w:rPr>
          <w:lang w:val="fr-CA"/>
        </w:rPr>
        <w:tab/>
      </w:r>
      <w:r w:rsidRPr="00CB6860">
        <w:rPr>
          <w:i/>
          <w:lang w:val="fr-CA"/>
        </w:rPr>
        <w:t>Pourvoi accueilli.</w:t>
      </w:r>
      <w:r w:rsidR="008971E5">
        <w:rPr>
          <w:i/>
          <w:lang w:val="fr-CA"/>
        </w:rPr>
        <w:t xml:space="preserve"> </w:t>
      </w:r>
    </w:p>
    <w:p w:rsidR="00B35FD6" w:rsidRPr="00CB6860" w:rsidRDefault="00B35FD6" w:rsidP="006A6864">
      <w:pPr>
        <w:pStyle w:val="SCCLawFirm"/>
        <w:widowControl w:val="0"/>
        <w:spacing w:before="480" w:after="480"/>
        <w:rPr>
          <w:lang w:val="fr-CA"/>
        </w:rPr>
      </w:pPr>
      <w:r w:rsidRPr="00CB6860">
        <w:rPr>
          <w:lang w:val="fr-CA"/>
        </w:rPr>
        <w:tab/>
        <w:t xml:space="preserve">Procureurs de l’appelant : Dawson </w:t>
      </w:r>
      <w:proofErr w:type="spellStart"/>
      <w:r w:rsidRPr="00CB6860">
        <w:rPr>
          <w:lang w:val="fr-CA"/>
        </w:rPr>
        <w:t>Duckett</w:t>
      </w:r>
      <w:proofErr w:type="spellEnd"/>
      <w:r w:rsidRPr="00CB6860">
        <w:rPr>
          <w:lang w:val="fr-CA"/>
        </w:rPr>
        <w:t xml:space="preserve"> </w:t>
      </w:r>
      <w:proofErr w:type="spellStart"/>
      <w:r w:rsidRPr="00CB6860">
        <w:rPr>
          <w:lang w:val="fr-CA"/>
        </w:rPr>
        <w:t>Shaigec</w:t>
      </w:r>
      <w:proofErr w:type="spellEnd"/>
      <w:r w:rsidRPr="00CB6860">
        <w:rPr>
          <w:lang w:val="fr-CA"/>
        </w:rPr>
        <w:t xml:space="preserve"> &amp; Garcia, Edmonton.</w:t>
      </w:r>
    </w:p>
    <w:p w:rsidR="00B35FD6" w:rsidRPr="00CB6860" w:rsidRDefault="00B35FD6" w:rsidP="006A6864">
      <w:pPr>
        <w:pStyle w:val="SCCLawFirm"/>
        <w:widowControl w:val="0"/>
        <w:spacing w:before="480" w:after="480"/>
        <w:rPr>
          <w:lang w:val="fr-CA"/>
        </w:rPr>
      </w:pPr>
      <w:r w:rsidRPr="00CB6860">
        <w:rPr>
          <w:lang w:val="fr-CA"/>
        </w:rPr>
        <w:tab/>
        <w:t>Procureur de l’intimée : Service des poursuites pénales du Canada, Yellowknife.</w:t>
      </w:r>
    </w:p>
    <w:p w:rsidR="005D37A6" w:rsidRPr="00B35FD6" w:rsidRDefault="005D37A6" w:rsidP="006A6864">
      <w:pPr>
        <w:widowControl w:val="0"/>
        <w:rPr>
          <w:lang w:val="fr-CA"/>
        </w:rPr>
      </w:pPr>
    </w:p>
    <w:sectPr w:rsidR="005D37A6" w:rsidRPr="00B35FD6" w:rsidSect="000648CC">
      <w:headerReference w:type="defaul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FB" w:rsidRDefault="007548FB" w:rsidP="007548FB">
      <w:r>
        <w:separator/>
      </w:r>
    </w:p>
  </w:endnote>
  <w:endnote w:type="continuationSeparator" w:id="0">
    <w:p w:rsidR="007548FB" w:rsidRDefault="007548FB" w:rsidP="0075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9072AF">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9072AF">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69" w:rsidRDefault="0090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FB" w:rsidRDefault="007548FB" w:rsidP="007548FB">
      <w:r>
        <w:separator/>
      </w:r>
    </w:p>
  </w:footnote>
  <w:footnote w:type="continuationSeparator" w:id="0">
    <w:p w:rsidR="007548FB" w:rsidRDefault="007548FB" w:rsidP="0075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9072AF">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7548FB" w:rsidP="00A12956">
    <w:pPr>
      <w:pStyle w:val="Header"/>
      <w:spacing w:after="720"/>
      <w:jc w:val="center"/>
    </w:pPr>
    <w:r>
      <w:t xml:space="preserve">- </w:t>
    </w:r>
    <w:sdt>
      <w:sdtPr>
        <w:id w:val="4489881"/>
        <w:docPartObj>
          <w:docPartGallery w:val="Page Numbers (Top of Page)"/>
          <w:docPartUnique/>
        </w:docPartObj>
      </w:sdtPr>
      <w:sdtEndPr/>
      <w:sdtContent>
        <w:r>
          <w:fldChar w:fldCharType="begin"/>
        </w:r>
        <w:r>
          <w:instrText xml:space="preserve"> PAGE   \* MERGEFORMAT </w:instrText>
        </w:r>
        <w:r>
          <w:fldChar w:fldCharType="separate"/>
        </w:r>
        <w:r w:rsidR="009072AF">
          <w:rPr>
            <w:noProof/>
          </w:rPr>
          <w:t>4</w:t>
        </w:r>
        <w:r>
          <w:rPr>
            <w:noProof/>
          </w:rPr>
          <w:fldChar w:fldCharType="end"/>
        </w:r>
        <w: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69" w:rsidRDefault="009072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9072AF"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D6"/>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54C"/>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1D17"/>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1DF"/>
    <w:rsid w:val="001F7C18"/>
    <w:rsid w:val="002007A1"/>
    <w:rsid w:val="00202096"/>
    <w:rsid w:val="002025B4"/>
    <w:rsid w:val="0020278E"/>
    <w:rsid w:val="00202B52"/>
    <w:rsid w:val="002044E5"/>
    <w:rsid w:val="002066D7"/>
    <w:rsid w:val="002106CB"/>
    <w:rsid w:val="00212C69"/>
    <w:rsid w:val="002143E6"/>
    <w:rsid w:val="0021493B"/>
    <w:rsid w:val="002169FF"/>
    <w:rsid w:val="00216A99"/>
    <w:rsid w:val="00217E51"/>
    <w:rsid w:val="002211F1"/>
    <w:rsid w:val="002256DA"/>
    <w:rsid w:val="0022662D"/>
    <w:rsid w:val="00226E17"/>
    <w:rsid w:val="00230044"/>
    <w:rsid w:val="00230399"/>
    <w:rsid w:val="00230602"/>
    <w:rsid w:val="002343DB"/>
    <w:rsid w:val="00234B6A"/>
    <w:rsid w:val="00234CF4"/>
    <w:rsid w:val="002368B7"/>
    <w:rsid w:val="002371B1"/>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87B39"/>
    <w:rsid w:val="00287BD6"/>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56E"/>
    <w:rsid w:val="002C2668"/>
    <w:rsid w:val="002C3E9A"/>
    <w:rsid w:val="002C3FF7"/>
    <w:rsid w:val="002C5311"/>
    <w:rsid w:val="002C5B04"/>
    <w:rsid w:val="002C60F0"/>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78EE"/>
    <w:rsid w:val="00300DC5"/>
    <w:rsid w:val="00300E21"/>
    <w:rsid w:val="00303348"/>
    <w:rsid w:val="0030404C"/>
    <w:rsid w:val="00304AB0"/>
    <w:rsid w:val="003050E8"/>
    <w:rsid w:val="0030514A"/>
    <w:rsid w:val="003058F2"/>
    <w:rsid w:val="00305F85"/>
    <w:rsid w:val="00306FB1"/>
    <w:rsid w:val="0031390C"/>
    <w:rsid w:val="00314536"/>
    <w:rsid w:val="00315260"/>
    <w:rsid w:val="0031565E"/>
    <w:rsid w:val="00316363"/>
    <w:rsid w:val="00316859"/>
    <w:rsid w:val="00316B32"/>
    <w:rsid w:val="00316BC8"/>
    <w:rsid w:val="00317FDE"/>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5661"/>
    <w:rsid w:val="003768BA"/>
    <w:rsid w:val="00376E3B"/>
    <w:rsid w:val="0037709B"/>
    <w:rsid w:val="00381B20"/>
    <w:rsid w:val="00382622"/>
    <w:rsid w:val="00382868"/>
    <w:rsid w:val="00382918"/>
    <w:rsid w:val="00384037"/>
    <w:rsid w:val="00384F41"/>
    <w:rsid w:val="003864E8"/>
    <w:rsid w:val="003908C6"/>
    <w:rsid w:val="00390962"/>
    <w:rsid w:val="0039156D"/>
    <w:rsid w:val="003944F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2BF"/>
    <w:rsid w:val="003E7700"/>
    <w:rsid w:val="003F05D3"/>
    <w:rsid w:val="003F1220"/>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4671"/>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1006F"/>
    <w:rsid w:val="00510242"/>
    <w:rsid w:val="00510653"/>
    <w:rsid w:val="00510826"/>
    <w:rsid w:val="0051348F"/>
    <w:rsid w:val="00515079"/>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7161"/>
    <w:rsid w:val="005A0D1E"/>
    <w:rsid w:val="005A1EEF"/>
    <w:rsid w:val="005A2D8F"/>
    <w:rsid w:val="005A48EF"/>
    <w:rsid w:val="005A6045"/>
    <w:rsid w:val="005B0700"/>
    <w:rsid w:val="005B1565"/>
    <w:rsid w:val="005B1A9A"/>
    <w:rsid w:val="005B2158"/>
    <w:rsid w:val="005B4DCE"/>
    <w:rsid w:val="005B5E79"/>
    <w:rsid w:val="005B6505"/>
    <w:rsid w:val="005B678A"/>
    <w:rsid w:val="005C0490"/>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7A46"/>
    <w:rsid w:val="0061039D"/>
    <w:rsid w:val="0061084A"/>
    <w:rsid w:val="006110D1"/>
    <w:rsid w:val="0061440C"/>
    <w:rsid w:val="006144A2"/>
    <w:rsid w:val="006155C4"/>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3F44"/>
    <w:rsid w:val="00664A55"/>
    <w:rsid w:val="00664F83"/>
    <w:rsid w:val="00665057"/>
    <w:rsid w:val="006653A5"/>
    <w:rsid w:val="00666FE1"/>
    <w:rsid w:val="0066700F"/>
    <w:rsid w:val="006678ED"/>
    <w:rsid w:val="00667E99"/>
    <w:rsid w:val="00671EC5"/>
    <w:rsid w:val="006751B4"/>
    <w:rsid w:val="006752C0"/>
    <w:rsid w:val="0067569C"/>
    <w:rsid w:val="0067591B"/>
    <w:rsid w:val="00675B17"/>
    <w:rsid w:val="00676DFE"/>
    <w:rsid w:val="00676E28"/>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864"/>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30"/>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48EF"/>
    <w:rsid w:val="00705B6E"/>
    <w:rsid w:val="00705C4C"/>
    <w:rsid w:val="0070692F"/>
    <w:rsid w:val="00707104"/>
    <w:rsid w:val="0071000F"/>
    <w:rsid w:val="0071144C"/>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8FB"/>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246B"/>
    <w:rsid w:val="007B404B"/>
    <w:rsid w:val="007B4ADC"/>
    <w:rsid w:val="007B4C71"/>
    <w:rsid w:val="007B6517"/>
    <w:rsid w:val="007B759F"/>
    <w:rsid w:val="007C24F6"/>
    <w:rsid w:val="007C2C14"/>
    <w:rsid w:val="007C2E01"/>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3BF2"/>
    <w:rsid w:val="0081433B"/>
    <w:rsid w:val="008154C7"/>
    <w:rsid w:val="0081560B"/>
    <w:rsid w:val="008160CB"/>
    <w:rsid w:val="00817092"/>
    <w:rsid w:val="00820FEF"/>
    <w:rsid w:val="0082107B"/>
    <w:rsid w:val="008213A6"/>
    <w:rsid w:val="00821592"/>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971E5"/>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FFC"/>
    <w:rsid w:val="008F0D27"/>
    <w:rsid w:val="008F19B2"/>
    <w:rsid w:val="008F2085"/>
    <w:rsid w:val="008F3A90"/>
    <w:rsid w:val="008F3EB3"/>
    <w:rsid w:val="008F43BA"/>
    <w:rsid w:val="008F5BA9"/>
    <w:rsid w:val="008F5D3A"/>
    <w:rsid w:val="008F5FF7"/>
    <w:rsid w:val="009000E9"/>
    <w:rsid w:val="009010C7"/>
    <w:rsid w:val="009022A0"/>
    <w:rsid w:val="00902DD9"/>
    <w:rsid w:val="00905FF1"/>
    <w:rsid w:val="00906725"/>
    <w:rsid w:val="009072AF"/>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258"/>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4021D"/>
    <w:rsid w:val="00A43490"/>
    <w:rsid w:val="00A437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5777"/>
    <w:rsid w:val="00AB6108"/>
    <w:rsid w:val="00AB6618"/>
    <w:rsid w:val="00AB6EF2"/>
    <w:rsid w:val="00AB6F58"/>
    <w:rsid w:val="00AC285B"/>
    <w:rsid w:val="00AC2864"/>
    <w:rsid w:val="00AC2A07"/>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AF79FF"/>
    <w:rsid w:val="00B03A85"/>
    <w:rsid w:val="00B04095"/>
    <w:rsid w:val="00B0417F"/>
    <w:rsid w:val="00B049FF"/>
    <w:rsid w:val="00B05E4B"/>
    <w:rsid w:val="00B101D5"/>
    <w:rsid w:val="00B10998"/>
    <w:rsid w:val="00B11FC1"/>
    <w:rsid w:val="00B126ED"/>
    <w:rsid w:val="00B15181"/>
    <w:rsid w:val="00B15554"/>
    <w:rsid w:val="00B1570C"/>
    <w:rsid w:val="00B15E24"/>
    <w:rsid w:val="00B15E9B"/>
    <w:rsid w:val="00B16B69"/>
    <w:rsid w:val="00B16D60"/>
    <w:rsid w:val="00B20236"/>
    <w:rsid w:val="00B20939"/>
    <w:rsid w:val="00B20DD1"/>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F0E"/>
    <w:rsid w:val="00B3391C"/>
    <w:rsid w:val="00B33EA1"/>
    <w:rsid w:val="00B34126"/>
    <w:rsid w:val="00B343B0"/>
    <w:rsid w:val="00B357D0"/>
    <w:rsid w:val="00B35FD6"/>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2646"/>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A7EE9"/>
    <w:rsid w:val="00DB179D"/>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2D25"/>
    <w:rsid w:val="00E03C24"/>
    <w:rsid w:val="00E0493E"/>
    <w:rsid w:val="00E04C09"/>
    <w:rsid w:val="00E0605B"/>
    <w:rsid w:val="00E06B33"/>
    <w:rsid w:val="00E070DB"/>
    <w:rsid w:val="00E07230"/>
    <w:rsid w:val="00E10DC7"/>
    <w:rsid w:val="00E11F9C"/>
    <w:rsid w:val="00E12FAE"/>
    <w:rsid w:val="00E13C3D"/>
    <w:rsid w:val="00E13EC2"/>
    <w:rsid w:val="00E14297"/>
    <w:rsid w:val="00E14CD8"/>
    <w:rsid w:val="00E14DB0"/>
    <w:rsid w:val="00E16E7C"/>
    <w:rsid w:val="00E1754E"/>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0224"/>
    <w:rsid w:val="00E61760"/>
    <w:rsid w:val="00E61C85"/>
    <w:rsid w:val="00E640AA"/>
    <w:rsid w:val="00E64D9E"/>
    <w:rsid w:val="00E65B92"/>
    <w:rsid w:val="00E663C6"/>
    <w:rsid w:val="00E666FC"/>
    <w:rsid w:val="00E70540"/>
    <w:rsid w:val="00E70775"/>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380E"/>
    <w:rsid w:val="00EC47C9"/>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294"/>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4382"/>
    <w:rsid w:val="00F15585"/>
    <w:rsid w:val="00F17393"/>
    <w:rsid w:val="00F203B4"/>
    <w:rsid w:val="00F216E2"/>
    <w:rsid w:val="00F21B32"/>
    <w:rsid w:val="00F2383F"/>
    <w:rsid w:val="00F2388A"/>
    <w:rsid w:val="00F23C42"/>
    <w:rsid w:val="00F2465B"/>
    <w:rsid w:val="00F24A73"/>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2F9B"/>
    <w:rsid w:val="00F635EB"/>
    <w:rsid w:val="00F64ED2"/>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26B3"/>
    <w:rsid w:val="00FC3FC7"/>
    <w:rsid w:val="00FC4883"/>
    <w:rsid w:val="00FC502D"/>
    <w:rsid w:val="00FC62F1"/>
    <w:rsid w:val="00FC6B98"/>
    <w:rsid w:val="00FC7CE7"/>
    <w:rsid w:val="00FD00FB"/>
    <w:rsid w:val="00FD0319"/>
    <w:rsid w:val="00FD1C20"/>
    <w:rsid w:val="00FD2C6B"/>
    <w:rsid w:val="00FD30AA"/>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11A7EB-1800-43F0-946D-DD85E86C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D6"/>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35FD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35FD6"/>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B35FD6"/>
    <w:pPr>
      <w:tabs>
        <w:tab w:val="center" w:pos="4680"/>
        <w:tab w:val="right" w:pos="9360"/>
      </w:tabs>
    </w:pPr>
  </w:style>
  <w:style w:type="character" w:customStyle="1" w:styleId="HeaderChar">
    <w:name w:val="Header Char"/>
    <w:basedOn w:val="DefaultParagraphFont"/>
    <w:link w:val="Header"/>
    <w:uiPriority w:val="99"/>
    <w:rsid w:val="00B35FD6"/>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B35FD6"/>
    <w:pPr>
      <w:tabs>
        <w:tab w:val="center" w:pos="4680"/>
        <w:tab w:val="right" w:pos="9360"/>
      </w:tabs>
    </w:pPr>
  </w:style>
  <w:style w:type="character" w:customStyle="1" w:styleId="FooterChar">
    <w:name w:val="Footer Char"/>
    <w:basedOn w:val="DefaultParagraphFont"/>
    <w:link w:val="Footer"/>
    <w:uiPriority w:val="99"/>
    <w:rsid w:val="00B35FD6"/>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B35FD6"/>
    <w:pPr>
      <w:spacing w:after="720"/>
    </w:pPr>
    <w:rPr>
      <w:i/>
    </w:rPr>
  </w:style>
  <w:style w:type="character" w:customStyle="1" w:styleId="SCCLsocVersusChar">
    <w:name w:val="SCC.Lsoc.Versus Char"/>
    <w:basedOn w:val="DefaultParagraphFont"/>
    <w:link w:val="SCCLsocVersus"/>
    <w:rsid w:val="00B35FD6"/>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B35FD6"/>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B35FD6"/>
    <w:rPr>
      <w:smallCaps/>
    </w:rPr>
  </w:style>
  <w:style w:type="character" w:customStyle="1" w:styleId="SCCAppellantForRunningHeadChar">
    <w:name w:val="SCC.AppellantForRunningHead Char"/>
    <w:basedOn w:val="DefaultParagraphFont"/>
    <w:link w:val="SCCAppellantForRunningHead"/>
    <w:rsid w:val="00B35FD6"/>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B35FD6"/>
    <w:rPr>
      <w:smallCaps/>
    </w:rPr>
  </w:style>
  <w:style w:type="character" w:customStyle="1" w:styleId="SCCRespondentForRunningHeadChar">
    <w:name w:val="SCC.RespondentForRunningHead Char"/>
    <w:basedOn w:val="DefaultParagraphFont"/>
    <w:link w:val="SCCRespondentForRunningHead"/>
    <w:rsid w:val="00B35FD6"/>
    <w:rPr>
      <w:rFonts w:ascii="Times New Roman" w:eastAsia="Times New Roman" w:hAnsi="Times New Roman" w:cs="Times New Roman"/>
      <w:smallCaps/>
      <w:sz w:val="24"/>
      <w:szCs w:val="20"/>
      <w:lang w:val="en-CA" w:eastAsia="en-CA"/>
    </w:rPr>
  </w:style>
  <w:style w:type="paragraph" w:customStyle="1" w:styleId="SCCRespondentForIndex">
    <w:name w:val="SCC.RespondentForIndex"/>
    <w:basedOn w:val="Normal"/>
    <w:next w:val="Normal"/>
    <w:link w:val="SCCRespondentForIndexChar"/>
    <w:rsid w:val="00B35FD6"/>
    <w:rPr>
      <w:b/>
    </w:rPr>
  </w:style>
  <w:style w:type="character" w:customStyle="1" w:styleId="SCCRespondentForIndexChar">
    <w:name w:val="SCC.RespondentForIndex Char"/>
    <w:basedOn w:val="DefaultParagraphFont"/>
    <w:link w:val="SCCRespondentForIndex"/>
    <w:rsid w:val="00B35FD6"/>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B35FD6"/>
    <w:rPr>
      <w:i/>
    </w:rPr>
  </w:style>
  <w:style w:type="character" w:customStyle="1" w:styleId="SCCCounselNameChar">
    <w:name w:val="SCC.CounselName Char"/>
    <w:basedOn w:val="SCCNormalDoubleSpacingChar"/>
    <w:link w:val="SCCCounselName"/>
    <w:rsid w:val="00B35FD6"/>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B35FD6"/>
  </w:style>
  <w:style w:type="character" w:customStyle="1" w:styleId="SCCCounselSeparatorChar">
    <w:name w:val="SCC.CounselSeparator Char"/>
    <w:basedOn w:val="SCCNormalDoubleSpacingChar"/>
    <w:link w:val="SCCCounselSeparator"/>
    <w:rsid w:val="00B35FD6"/>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B35FD6"/>
    <w:rPr>
      <w:i/>
    </w:rPr>
  </w:style>
  <w:style w:type="character" w:customStyle="1" w:styleId="SCCLawFirmChar">
    <w:name w:val="SCC.LawFirm Char"/>
    <w:basedOn w:val="SCCNormalDoubleSpacingChar"/>
    <w:link w:val="SCCLawFirm"/>
    <w:rsid w:val="00B35FD6"/>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B35FD6"/>
  </w:style>
  <w:style w:type="character" w:customStyle="1" w:styleId="SCCCounselPartyRoleChar">
    <w:name w:val="SCC.CounselPartyRole Char"/>
    <w:basedOn w:val="SCCNormalDoubleSpacingChar"/>
    <w:link w:val="SCCCounselPartyRole"/>
    <w:rsid w:val="00B35FD6"/>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B35FD6"/>
    <w:pPr>
      <w:tabs>
        <w:tab w:val="right" w:pos="8222"/>
      </w:tabs>
      <w:spacing w:after="720"/>
    </w:pPr>
    <w:rPr>
      <w:b/>
    </w:rPr>
  </w:style>
  <w:style w:type="character" w:customStyle="1" w:styleId="SCCLsocLastPartyInRoleChar">
    <w:name w:val="SCC.Lsoc.LastPartyInRole Char"/>
    <w:basedOn w:val="DefaultParagraphFont"/>
    <w:link w:val="SCCLsocLastPartyInRole"/>
    <w:rsid w:val="00B35FD6"/>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rsid w:val="00EF5294"/>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EF5294"/>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EF5294"/>
    <w:rPr>
      <w:rFonts w:ascii="Times New Roman" w:hAnsi="Times New Roman"/>
      <w:sz w:val="24"/>
      <w:lang w:val="en-CA"/>
    </w:rPr>
  </w:style>
  <w:style w:type="character" w:customStyle="1" w:styleId="SCCLsocPartyChar">
    <w:name w:val="SCC.Lsoc.Party Char"/>
    <w:basedOn w:val="DefaultParagraphFont"/>
    <w:link w:val="SCCLsocParty"/>
    <w:rsid w:val="00EF5294"/>
    <w:rPr>
      <w:rFonts w:ascii="Times New Roman" w:hAnsi="Times New Roman"/>
      <w:sz w:val="24"/>
      <w:lang w:val="en-CA"/>
    </w:rPr>
  </w:style>
  <w:style w:type="table" w:styleId="TableGrid">
    <w:name w:val="Table Grid"/>
    <w:basedOn w:val="TableNormal"/>
    <w:uiPriority w:val="59"/>
    <w:rsid w:val="00EF5294"/>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EF529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EF5294"/>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character" w:customStyle="1" w:styleId="SCCLsocPartyRoleChar">
    <w:name w:val="SCC.Lsoc.PartyRole Char"/>
    <w:basedOn w:val="DefaultParagraphFont"/>
    <w:rsid w:val="0005154C"/>
    <w:rPr>
      <w:lang w:val="fr-CA"/>
    </w:rPr>
  </w:style>
  <w:style w:type="paragraph" w:customStyle="1" w:styleId="SCCLsocPrefix">
    <w:name w:val="SCC.Lsoc.Prefix"/>
    <w:basedOn w:val="Normal"/>
    <w:next w:val="Normal"/>
    <w:link w:val="SCCLsocPrefixChar"/>
    <w:rsid w:val="0005154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5154C"/>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O'Doherty Peter</cp:lastModifiedBy>
  <cp:revision>2</cp:revision>
  <dcterms:created xsi:type="dcterms:W3CDTF">2021-07-13T22:16:00Z</dcterms:created>
  <dcterms:modified xsi:type="dcterms:W3CDTF">2021-07-13T22:16:00Z</dcterms:modified>
</cp:coreProperties>
</file>