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50D" w:rsidRDefault="007A350D" w:rsidP="007A350D">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49353375" r:id="rId9"/>
        </w:object>
      </w:r>
      <w:r>
        <w:t xml:space="preserve"> </w:t>
      </w:r>
      <w:r>
        <w:ptab w:relativeTo="margin" w:alignment="right" w:leader="none"/>
      </w:r>
    </w:p>
    <w:p w:rsidR="007A350D" w:rsidRDefault="007A350D" w:rsidP="007A350D">
      <w:pPr>
        <w:pStyle w:val="Header"/>
      </w:pPr>
    </w:p>
    <w:p w:rsidR="007A350D" w:rsidRPr="001E12E2" w:rsidRDefault="007A350D" w:rsidP="007A350D">
      <w:pPr>
        <w:jc w:val="center"/>
        <w:rPr>
          <w:b/>
        </w:rPr>
      </w:pPr>
      <w:r w:rsidRPr="001E12E2">
        <w:rPr>
          <w:b/>
        </w:rPr>
        <w:t>COUR SUPRÊME DU CANADA</w:t>
      </w:r>
    </w:p>
    <w:p w:rsidR="007A350D" w:rsidRDefault="007A350D" w:rsidP="007A350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7A350D" w:rsidRPr="001E12E2" w:rsidTr="00803C2E">
        <w:trPr>
          <w:cantSplit/>
        </w:trPr>
        <w:tc>
          <w:tcPr>
            <w:tcW w:w="5130" w:type="dxa"/>
          </w:tcPr>
          <w:p w:rsidR="007A350D" w:rsidRPr="007A350D" w:rsidRDefault="007A350D" w:rsidP="00803C2E">
            <w:pPr>
              <w:rPr>
                <w:lang w:val="fr-CA"/>
              </w:rPr>
            </w:pPr>
            <w:r w:rsidRPr="007A350D">
              <w:rPr>
                <w:b/>
                <w:smallCaps/>
                <w:lang w:val="fr-CA"/>
              </w:rPr>
              <w:t>Référence :</w:t>
            </w:r>
            <w:r w:rsidRPr="007A350D">
              <w:rPr>
                <w:lang w:val="fr-CA"/>
              </w:rPr>
              <w:t xml:space="preserve"> Morasse </w:t>
            </w:r>
            <w:r w:rsidRPr="007A350D">
              <w:rPr>
                <w:i/>
                <w:lang w:val="fr-CA"/>
              </w:rPr>
              <w:t>c.</w:t>
            </w:r>
            <w:r w:rsidRPr="007A350D">
              <w:rPr>
                <w:lang w:val="fr-CA"/>
              </w:rPr>
              <w:t xml:space="preserve"> Nadeau-Dubois, 2016 CSC 44</w:t>
            </w:r>
            <w:r>
              <w:rPr>
                <w:lang w:val="fr-CA"/>
              </w:rPr>
              <w:t xml:space="preserve">, </w:t>
            </w:r>
            <w:r>
              <w:rPr>
                <w:lang w:val="fr-CA"/>
              </w:rPr>
              <w:t>[2016] 2 R.C.S. 232</w:t>
            </w:r>
            <w:r>
              <w:rPr>
                <w:lang w:val="fr-CA"/>
              </w:rPr>
              <w:t xml:space="preserve"> </w:t>
            </w:r>
          </w:p>
        </w:tc>
        <w:tc>
          <w:tcPr>
            <w:tcW w:w="4446" w:type="dxa"/>
          </w:tcPr>
          <w:p w:rsidR="007A350D" w:rsidRPr="007A350D" w:rsidRDefault="007A350D" w:rsidP="00803C2E">
            <w:pPr>
              <w:rPr>
                <w:lang w:val="fr-CA"/>
              </w:rPr>
            </w:pPr>
            <w:r w:rsidRPr="007A350D">
              <w:rPr>
                <w:b/>
                <w:smallCaps/>
                <w:lang w:val="fr-CA"/>
              </w:rPr>
              <w:t>Appel entendu :</w:t>
            </w:r>
            <w:r w:rsidRPr="007A350D">
              <w:rPr>
                <w:lang w:val="fr-CA"/>
              </w:rPr>
              <w:t xml:space="preserve"> 22 avril 2016</w:t>
            </w:r>
          </w:p>
          <w:p w:rsidR="007A350D" w:rsidRPr="007A350D" w:rsidRDefault="007A350D" w:rsidP="00803C2E">
            <w:pPr>
              <w:rPr>
                <w:lang w:val="fr-CA"/>
              </w:rPr>
            </w:pPr>
            <w:r w:rsidRPr="007A350D">
              <w:rPr>
                <w:b/>
                <w:smallCaps/>
                <w:lang w:val="fr-CA"/>
              </w:rPr>
              <w:t>Jugement rendu :</w:t>
            </w:r>
            <w:r w:rsidRPr="007A350D">
              <w:rPr>
                <w:lang w:val="fr-CA"/>
              </w:rPr>
              <w:t xml:space="preserve"> 27 octobre 2016</w:t>
            </w:r>
          </w:p>
          <w:p w:rsidR="007A350D" w:rsidRPr="001E12E2" w:rsidRDefault="007A350D" w:rsidP="00803C2E">
            <w:r w:rsidRPr="001E12E2">
              <w:rPr>
                <w:b/>
                <w:smallCaps/>
              </w:rPr>
              <w:t>Do</w:t>
            </w:r>
            <w:r>
              <w:rPr>
                <w:b/>
                <w:smallCaps/>
              </w:rPr>
              <w:t>ssier :</w:t>
            </w:r>
            <w:r w:rsidRPr="001E12E2">
              <w:t xml:space="preserve"> </w:t>
            </w:r>
            <w:r>
              <w:t>36351</w:t>
            </w:r>
          </w:p>
        </w:tc>
      </w:tr>
    </w:tbl>
    <w:p w:rsidR="007A350D" w:rsidRPr="001E12E2" w:rsidRDefault="007A350D" w:rsidP="007A350D"/>
    <w:p w:rsidR="007A350D" w:rsidRDefault="007A350D" w:rsidP="007A350D">
      <w:pPr>
        <w:pStyle w:val="SCCLsocPrefix"/>
      </w:pPr>
      <w:r>
        <w:t>Entre :</w:t>
      </w:r>
    </w:p>
    <w:p w:rsidR="007A350D" w:rsidRDefault="007A350D" w:rsidP="007A350D">
      <w:pPr>
        <w:pStyle w:val="SCCLsocParty"/>
        <w:jc w:val="center"/>
      </w:pPr>
      <w:r>
        <w:t>Jean-François Morasse</w:t>
      </w:r>
    </w:p>
    <w:p w:rsidR="007A350D" w:rsidRDefault="007A350D" w:rsidP="007A350D">
      <w:pPr>
        <w:jc w:val="center"/>
      </w:pPr>
      <w:r>
        <w:t>Appelant</w:t>
      </w:r>
    </w:p>
    <w:p w:rsidR="007A350D" w:rsidRPr="007D2B29" w:rsidRDefault="007A350D" w:rsidP="007A350D">
      <w:pPr>
        <w:jc w:val="center"/>
      </w:pPr>
    </w:p>
    <w:p w:rsidR="007A350D" w:rsidRPr="007A350D" w:rsidRDefault="007A350D" w:rsidP="007A350D">
      <w:pPr>
        <w:pStyle w:val="SCCLsocVersus"/>
        <w:spacing w:after="0"/>
        <w:jc w:val="center"/>
        <w:rPr>
          <w:i w:val="0"/>
        </w:rPr>
      </w:pPr>
      <w:r w:rsidRPr="007A350D">
        <w:rPr>
          <w:i w:val="0"/>
        </w:rPr>
        <w:t>et</w:t>
      </w:r>
    </w:p>
    <w:p w:rsidR="007A350D" w:rsidRPr="007D2B29" w:rsidRDefault="007A350D" w:rsidP="007A350D">
      <w:pPr>
        <w:jc w:val="center"/>
      </w:pPr>
    </w:p>
    <w:p w:rsidR="007A350D" w:rsidRDefault="007A350D" w:rsidP="007A350D">
      <w:pPr>
        <w:pStyle w:val="SCCLsocParty"/>
        <w:jc w:val="center"/>
      </w:pPr>
      <w:r>
        <w:t>Gabriel Nadeau-Dubois</w:t>
      </w:r>
    </w:p>
    <w:p w:rsidR="007A350D" w:rsidRDefault="007A350D" w:rsidP="007A350D">
      <w:pPr>
        <w:jc w:val="center"/>
      </w:pPr>
      <w:r>
        <w:t>Intimé</w:t>
      </w:r>
    </w:p>
    <w:p w:rsidR="007A350D" w:rsidRPr="007D2B29" w:rsidRDefault="007A350D" w:rsidP="007A350D">
      <w:pPr>
        <w:jc w:val="center"/>
      </w:pPr>
    </w:p>
    <w:p w:rsidR="007A350D" w:rsidRDefault="007A350D" w:rsidP="007A350D">
      <w:pPr>
        <w:pStyle w:val="SCCLsocOtherPartySeparator"/>
        <w:spacing w:after="0"/>
        <w:jc w:val="center"/>
      </w:pPr>
      <w:r>
        <w:t>- et -</w:t>
      </w:r>
    </w:p>
    <w:p w:rsidR="007A350D" w:rsidRPr="007D2B29" w:rsidRDefault="007A350D" w:rsidP="007A350D">
      <w:pPr>
        <w:jc w:val="center"/>
      </w:pPr>
    </w:p>
    <w:p w:rsidR="007A350D" w:rsidRPr="007A350D" w:rsidRDefault="007A350D" w:rsidP="007A350D">
      <w:pPr>
        <w:pStyle w:val="SCCLsocParty"/>
        <w:jc w:val="center"/>
        <w:rPr>
          <w:lang w:val="fr-CA"/>
        </w:rPr>
      </w:pPr>
      <w:r w:rsidRPr="007A350D">
        <w:rPr>
          <w:lang w:val="fr-CA"/>
        </w:rPr>
        <w:t>Association canadienne des libertés civiles,</w:t>
      </w:r>
    </w:p>
    <w:p w:rsidR="007A350D" w:rsidRPr="00F8787D" w:rsidRDefault="007A350D" w:rsidP="007A350D">
      <w:pPr>
        <w:pStyle w:val="SCCLsocParty"/>
        <w:jc w:val="center"/>
        <w:rPr>
          <w:lang w:val="en-US"/>
        </w:rPr>
      </w:pPr>
      <w:r w:rsidRPr="00F8787D">
        <w:rPr>
          <w:lang w:val="en-US"/>
        </w:rPr>
        <w:t>Alberta Public Interest Research Group et</w:t>
      </w:r>
    </w:p>
    <w:p w:rsidR="007A350D" w:rsidRPr="007A350D" w:rsidRDefault="007A350D" w:rsidP="007A350D">
      <w:pPr>
        <w:pStyle w:val="SCCLsocParty"/>
        <w:jc w:val="center"/>
        <w:rPr>
          <w:lang w:val="fr-CA"/>
        </w:rPr>
      </w:pPr>
      <w:r w:rsidRPr="007A350D">
        <w:rPr>
          <w:lang w:val="fr-CA"/>
        </w:rPr>
        <w:t>Amnistie internationale, Section Canada francophone</w:t>
      </w:r>
    </w:p>
    <w:p w:rsidR="007A350D" w:rsidRPr="007A350D" w:rsidRDefault="007A350D" w:rsidP="007A350D">
      <w:pPr>
        <w:jc w:val="center"/>
        <w:rPr>
          <w:lang w:val="fr-CA"/>
        </w:rPr>
      </w:pPr>
      <w:r w:rsidRPr="007A350D">
        <w:rPr>
          <w:lang w:val="fr-CA"/>
        </w:rPr>
        <w:t>Intervenants</w:t>
      </w:r>
    </w:p>
    <w:p w:rsidR="007A350D" w:rsidRPr="007A350D" w:rsidRDefault="007A350D" w:rsidP="007A350D">
      <w:pPr>
        <w:rPr>
          <w:lang w:val="fr-CA"/>
        </w:rPr>
      </w:pPr>
    </w:p>
    <w:p w:rsidR="007A350D" w:rsidRPr="007A350D" w:rsidRDefault="007A350D" w:rsidP="007A350D">
      <w:pPr>
        <w:rPr>
          <w:lang w:val="fr-CA"/>
        </w:rPr>
      </w:pPr>
      <w:r w:rsidRPr="007A350D">
        <w:rPr>
          <w:b/>
          <w:smallCaps/>
          <w:lang w:val="fr-CA"/>
        </w:rPr>
        <w:t>Traduction française officielle :</w:t>
      </w:r>
      <w:r w:rsidRPr="007A350D">
        <w:rPr>
          <w:lang w:val="fr-CA"/>
        </w:rPr>
        <w:t xml:space="preserve"> Motifs des juges Abella et Gascon et du juge Moldaver</w:t>
      </w:r>
    </w:p>
    <w:p w:rsidR="007A350D" w:rsidRPr="007A350D" w:rsidRDefault="007A350D" w:rsidP="007A350D">
      <w:pPr>
        <w:rPr>
          <w:lang w:val="fr-CA"/>
        </w:rPr>
      </w:pPr>
    </w:p>
    <w:p w:rsidR="007A350D" w:rsidRPr="007A350D" w:rsidRDefault="007A350D" w:rsidP="007A350D">
      <w:pPr>
        <w:rPr>
          <w:lang w:val="fr-CA"/>
        </w:rPr>
      </w:pPr>
      <w:r w:rsidRPr="007A350D">
        <w:rPr>
          <w:b/>
          <w:smallCaps/>
          <w:lang w:val="fr-CA"/>
        </w:rPr>
        <w:t>Coram :</w:t>
      </w:r>
      <w:r w:rsidRPr="007A350D">
        <w:rPr>
          <w:lang w:val="fr-CA"/>
        </w:rPr>
        <w:t xml:space="preserve"> La juge en chef McLachlin et les juges Abella, Cromwell, Moldaver, Karakatsanis, Wagner, Gascon, Côté et Brown</w:t>
      </w:r>
    </w:p>
    <w:p w:rsidR="007A350D" w:rsidRPr="007A350D" w:rsidRDefault="007A350D" w:rsidP="007A350D">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A350D" w:rsidRPr="007A350D" w:rsidTr="00803C2E">
        <w:trPr>
          <w:cantSplit/>
        </w:trPr>
        <w:tc>
          <w:tcPr>
            <w:tcW w:w="3618" w:type="dxa"/>
          </w:tcPr>
          <w:p w:rsidR="007A350D" w:rsidRPr="007A350D" w:rsidRDefault="007A350D" w:rsidP="00803C2E">
            <w:pPr>
              <w:ind w:left="-58"/>
              <w:rPr>
                <w:b/>
                <w:smallCaps/>
                <w:lang w:val="fr-CA"/>
              </w:rPr>
            </w:pPr>
            <w:r w:rsidRPr="007A350D">
              <w:rPr>
                <w:b/>
                <w:smallCaps/>
                <w:lang w:val="fr-CA"/>
              </w:rPr>
              <w:t>Motifs de jugement conjoints :</w:t>
            </w:r>
          </w:p>
          <w:p w:rsidR="007A350D" w:rsidRPr="007A350D" w:rsidRDefault="007A350D" w:rsidP="00803C2E">
            <w:pPr>
              <w:ind w:left="-58"/>
              <w:rPr>
                <w:b/>
                <w:smallCaps/>
                <w:lang w:val="fr-CA"/>
              </w:rPr>
            </w:pPr>
            <w:r w:rsidRPr="007A350D">
              <w:rPr>
                <w:lang w:val="fr-CA"/>
              </w:rPr>
              <w:t>(par. 1 à 45)</w:t>
            </w:r>
          </w:p>
          <w:p w:rsidR="007A350D" w:rsidRPr="007A350D" w:rsidRDefault="007A350D" w:rsidP="00803C2E">
            <w:pPr>
              <w:ind w:left="-58"/>
              <w:rPr>
                <w:b/>
                <w:smallCaps/>
                <w:lang w:val="fr-CA"/>
              </w:rPr>
            </w:pPr>
          </w:p>
          <w:p w:rsidR="007A350D" w:rsidRPr="007A350D" w:rsidRDefault="007A350D" w:rsidP="00803C2E">
            <w:pPr>
              <w:ind w:left="-58"/>
              <w:rPr>
                <w:b/>
                <w:smallCaps/>
                <w:lang w:val="fr-CA"/>
              </w:rPr>
            </w:pPr>
            <w:r w:rsidRPr="007A350D">
              <w:rPr>
                <w:b/>
                <w:smallCaps/>
                <w:lang w:val="fr-CA"/>
              </w:rPr>
              <w:t>Motifs concordants :</w:t>
            </w:r>
          </w:p>
          <w:p w:rsidR="007A350D" w:rsidRPr="007A350D" w:rsidRDefault="007A350D" w:rsidP="00803C2E">
            <w:pPr>
              <w:ind w:left="-58"/>
              <w:rPr>
                <w:b/>
                <w:smallCaps/>
                <w:lang w:val="fr-CA"/>
              </w:rPr>
            </w:pPr>
            <w:r w:rsidRPr="007A350D">
              <w:rPr>
                <w:lang w:val="fr-CA"/>
              </w:rPr>
              <w:t>(par. 46 à 52)</w:t>
            </w:r>
          </w:p>
          <w:p w:rsidR="007A350D" w:rsidRPr="007A350D" w:rsidRDefault="007A350D" w:rsidP="00803C2E">
            <w:pPr>
              <w:ind w:left="-58"/>
              <w:rPr>
                <w:b/>
                <w:smallCaps/>
                <w:lang w:val="fr-CA"/>
              </w:rPr>
            </w:pPr>
          </w:p>
          <w:p w:rsidR="007A350D" w:rsidRPr="007A350D" w:rsidRDefault="007A350D" w:rsidP="00803C2E">
            <w:pPr>
              <w:ind w:left="-58"/>
              <w:rPr>
                <w:b/>
                <w:smallCaps/>
                <w:lang w:val="fr-CA"/>
              </w:rPr>
            </w:pPr>
            <w:r w:rsidRPr="007A350D">
              <w:rPr>
                <w:b/>
                <w:smallCaps/>
                <w:lang w:val="fr-CA"/>
              </w:rPr>
              <w:t>Motifs dissidents :</w:t>
            </w:r>
          </w:p>
          <w:p w:rsidR="007A350D" w:rsidRPr="001E12E2" w:rsidRDefault="007A350D" w:rsidP="00803C2E">
            <w:pPr>
              <w:ind w:left="-58"/>
            </w:pPr>
            <w:r>
              <w:t>(par. 53 à 133)</w:t>
            </w:r>
          </w:p>
        </w:tc>
        <w:tc>
          <w:tcPr>
            <w:tcW w:w="5958" w:type="dxa"/>
          </w:tcPr>
          <w:p w:rsidR="007A350D" w:rsidRPr="007A350D" w:rsidRDefault="007A350D" w:rsidP="00803C2E">
            <w:pPr>
              <w:ind w:left="104"/>
              <w:rPr>
                <w:lang w:val="fr-CA"/>
              </w:rPr>
            </w:pPr>
            <w:r w:rsidRPr="007A350D">
              <w:rPr>
                <w:lang w:val="fr-CA"/>
              </w:rPr>
              <w:t>Les juges Abella et Gascon (avec l’accord de la juge en chef McLachlin et des juges Cromwell et Karakatsanis)</w:t>
            </w:r>
          </w:p>
          <w:p w:rsidR="007A350D" w:rsidRPr="007A350D" w:rsidRDefault="007A350D" w:rsidP="00803C2E">
            <w:pPr>
              <w:ind w:left="104"/>
              <w:rPr>
                <w:lang w:val="fr-CA"/>
              </w:rPr>
            </w:pPr>
          </w:p>
          <w:p w:rsidR="007A350D" w:rsidRPr="007A350D" w:rsidRDefault="007A350D" w:rsidP="00803C2E">
            <w:pPr>
              <w:ind w:left="104"/>
              <w:rPr>
                <w:lang w:val="fr-CA"/>
              </w:rPr>
            </w:pPr>
            <w:r w:rsidRPr="007A350D">
              <w:rPr>
                <w:lang w:val="fr-CA"/>
              </w:rPr>
              <w:t>Le juge Moldaver</w:t>
            </w:r>
          </w:p>
          <w:p w:rsidR="007A350D" w:rsidRPr="007A350D" w:rsidRDefault="007A350D" w:rsidP="00803C2E">
            <w:pPr>
              <w:ind w:left="104"/>
              <w:rPr>
                <w:lang w:val="fr-CA"/>
              </w:rPr>
            </w:pPr>
          </w:p>
          <w:p w:rsidR="007A350D" w:rsidRPr="007A350D" w:rsidRDefault="007A350D" w:rsidP="00803C2E">
            <w:pPr>
              <w:ind w:left="104"/>
              <w:rPr>
                <w:lang w:val="fr-CA"/>
              </w:rPr>
            </w:pPr>
          </w:p>
          <w:p w:rsidR="007A350D" w:rsidRPr="007A350D" w:rsidRDefault="007A350D" w:rsidP="00803C2E">
            <w:pPr>
              <w:ind w:left="104"/>
              <w:rPr>
                <w:lang w:val="fr-CA"/>
              </w:rPr>
            </w:pPr>
            <w:r w:rsidRPr="007A350D">
              <w:rPr>
                <w:lang w:val="fr-CA"/>
              </w:rPr>
              <w:t>Le juge Wagner (avec l’accord des juges Côté et Brown)</w:t>
            </w:r>
          </w:p>
        </w:tc>
      </w:tr>
    </w:tbl>
    <w:p w:rsidR="007A350D" w:rsidRPr="007A350D" w:rsidRDefault="007A350D" w:rsidP="007A350D">
      <w:pPr>
        <w:rPr>
          <w:lang w:val="fr-CA"/>
        </w:rPr>
      </w:pPr>
    </w:p>
    <w:p w:rsidR="007A350D" w:rsidRPr="007A350D" w:rsidRDefault="007A350D" w:rsidP="007A350D">
      <w:pPr>
        <w:rPr>
          <w:lang w:val="fr-CA"/>
        </w:rPr>
      </w:pPr>
      <w:bookmarkStart w:id="0" w:name="_GoBack"/>
      <w:bookmarkEnd w:id="0"/>
      <w:r w:rsidRPr="007A350D">
        <w:rPr>
          <w:lang w:val="fr-CA"/>
        </w:rPr>
        <w:t>.</w:t>
      </w:r>
    </w:p>
    <w:p w:rsidR="007A350D" w:rsidRPr="007A350D" w:rsidRDefault="007A350D" w:rsidP="007A350D">
      <w:pPr>
        <w:rPr>
          <w:lang w:val="fr-CA"/>
        </w:rPr>
      </w:pPr>
      <w:r>
        <w:rPr>
          <w:noProof/>
          <w:lang w:val="en-US"/>
        </w:rPr>
        <mc:AlternateContent>
          <mc:Choice Requires="wps">
            <w:drawing>
              <wp:anchor distT="0" distB="0" distL="114300" distR="114300" simplePos="0" relativeHeight="251659264" behindDoc="0" locked="0" layoutInCell="1" allowOverlap="1" wp14:anchorId="5F39148A" wp14:editId="2BD5D19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3521D8"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7A350D" w:rsidRDefault="007A350D" w:rsidP="003223DD">
      <w:pPr>
        <w:widowControl w:val="0"/>
        <w:spacing w:after="720"/>
        <w:jc w:val="both"/>
        <w:rPr>
          <w:rStyle w:val="SCCAppellantForRunningHeadChar"/>
          <w:smallCaps w:val="0"/>
          <w:lang w:val="fr-CA"/>
        </w:rPr>
      </w:pPr>
    </w:p>
    <w:p w:rsidR="00662D8D" w:rsidRPr="002316F4" w:rsidRDefault="002316F4" w:rsidP="003223DD">
      <w:pPr>
        <w:widowControl w:val="0"/>
        <w:spacing w:after="720"/>
        <w:jc w:val="both"/>
        <w:rPr>
          <w:smallCaps/>
          <w:lang w:val="fr-CA"/>
        </w:rPr>
      </w:pPr>
      <w:r>
        <w:rPr>
          <w:rStyle w:val="SCCAppellantForRunningHeadChar"/>
          <w:smallCaps w:val="0"/>
          <w:lang w:val="fr-CA"/>
        </w:rPr>
        <w:lastRenderedPageBreak/>
        <w:t>M</w:t>
      </w:r>
      <w:r w:rsidR="00662D8D" w:rsidRPr="002316F4">
        <w:rPr>
          <w:rStyle w:val="SCCAppellantForRunningHeadChar"/>
          <w:smallCaps w:val="0"/>
          <w:lang w:val="fr-CA"/>
        </w:rPr>
        <w:t>orasse</w:t>
      </w:r>
      <w:r w:rsidR="00662D8D" w:rsidRPr="002316F4">
        <w:rPr>
          <w:smallCaps/>
          <w:lang w:val="fr-CA"/>
        </w:rPr>
        <w:t xml:space="preserve"> </w:t>
      </w:r>
      <w:r w:rsidR="00662D8D" w:rsidRPr="002316F4">
        <w:rPr>
          <w:i/>
          <w:lang w:val="fr-CA"/>
        </w:rPr>
        <w:t>c.</w:t>
      </w:r>
      <w:r w:rsidR="00662D8D" w:rsidRPr="002316F4">
        <w:rPr>
          <w:smallCaps/>
          <w:lang w:val="fr-CA"/>
        </w:rPr>
        <w:t xml:space="preserve"> </w:t>
      </w:r>
      <w:r>
        <w:rPr>
          <w:rStyle w:val="SCCRespondentForRunningHeadChar"/>
          <w:smallCaps w:val="0"/>
          <w:lang w:val="fr-CA"/>
        </w:rPr>
        <w:t>Nadeau</w:t>
      </w:r>
      <w:r>
        <w:rPr>
          <w:rStyle w:val="SCCRespondentForRunningHeadChar"/>
          <w:smallCaps w:val="0"/>
          <w:lang w:val="fr-CA"/>
        </w:rPr>
        <w:noBreakHyphen/>
        <w:t>D</w:t>
      </w:r>
      <w:r w:rsidR="00662D8D" w:rsidRPr="002316F4">
        <w:rPr>
          <w:rStyle w:val="SCCRespondentForRunningHeadChar"/>
          <w:smallCaps w:val="0"/>
          <w:lang w:val="fr-CA"/>
        </w:rPr>
        <w:t>ubois</w:t>
      </w:r>
      <w:r>
        <w:rPr>
          <w:rStyle w:val="SCCRespondentForRunningHeadChar"/>
          <w:smallCaps w:val="0"/>
          <w:lang w:val="fr-CA"/>
        </w:rPr>
        <w:t xml:space="preserve">, </w:t>
      </w:r>
      <w:r w:rsidRPr="003D57C5">
        <w:rPr>
          <w:lang w:val="fr-CA"/>
        </w:rPr>
        <w:t>2016 CSC 44</w:t>
      </w:r>
      <w:r>
        <w:rPr>
          <w:lang w:val="fr-CA"/>
        </w:rPr>
        <w:t xml:space="preserve">, [2016] 2 </w:t>
      </w:r>
      <w:r w:rsidR="00DF09FF">
        <w:rPr>
          <w:lang w:val="fr-CA"/>
        </w:rPr>
        <w:t>R.C.S</w:t>
      </w:r>
      <w:r>
        <w:rPr>
          <w:lang w:val="fr-CA"/>
        </w:rPr>
        <w:t>. 232</w:t>
      </w:r>
    </w:p>
    <w:p w:rsidR="00662D8D" w:rsidRPr="003D57C5" w:rsidRDefault="00662D8D" w:rsidP="003223DD">
      <w:pPr>
        <w:pStyle w:val="SCCLsocLastPartyInRole"/>
        <w:widowControl w:val="0"/>
        <w:rPr>
          <w:lang w:val="fr-CA"/>
        </w:rPr>
      </w:pPr>
      <w:r w:rsidRPr="003D57C5">
        <w:rPr>
          <w:lang w:val="fr-CA"/>
        </w:rPr>
        <w:t>Jean</w:t>
      </w:r>
      <w:r w:rsidRPr="003D57C5">
        <w:rPr>
          <w:lang w:val="fr-CA"/>
        </w:rPr>
        <w:noBreakHyphen/>
        <w:t>François Morasse</w:t>
      </w:r>
      <w:r w:rsidRPr="003D57C5">
        <w:rPr>
          <w:rStyle w:val="SCCLsocPartyRole"/>
          <w:lang w:val="fr-CA"/>
        </w:rPr>
        <w:tab/>
        <w:t>Appelant</w:t>
      </w:r>
    </w:p>
    <w:p w:rsidR="00662D8D" w:rsidRPr="003D57C5" w:rsidRDefault="00662D8D" w:rsidP="003223DD">
      <w:pPr>
        <w:pStyle w:val="SCCLsocVersus"/>
        <w:widowControl w:val="0"/>
        <w:rPr>
          <w:lang w:val="fr-CA"/>
        </w:rPr>
      </w:pPr>
      <w:r w:rsidRPr="003D57C5">
        <w:rPr>
          <w:lang w:val="fr-CA"/>
        </w:rPr>
        <w:t>c.</w:t>
      </w:r>
    </w:p>
    <w:p w:rsidR="00662D8D" w:rsidRPr="003D57C5" w:rsidRDefault="00662D8D" w:rsidP="003223DD">
      <w:pPr>
        <w:pStyle w:val="SCCLsocLastPartyInRole"/>
        <w:widowControl w:val="0"/>
        <w:rPr>
          <w:lang w:val="fr-CA"/>
        </w:rPr>
      </w:pPr>
      <w:r w:rsidRPr="003D57C5">
        <w:rPr>
          <w:lang w:val="fr-CA"/>
        </w:rPr>
        <w:t>Gabriel Nadeau</w:t>
      </w:r>
      <w:r w:rsidRPr="003D57C5">
        <w:rPr>
          <w:lang w:val="fr-CA"/>
        </w:rPr>
        <w:noBreakHyphen/>
        <w:t>Dubois</w:t>
      </w:r>
      <w:r w:rsidRPr="003D57C5">
        <w:rPr>
          <w:rStyle w:val="SCCLsocPartyRole"/>
          <w:lang w:val="fr-CA"/>
        </w:rPr>
        <w:tab/>
        <w:t>Intimé</w:t>
      </w:r>
    </w:p>
    <w:p w:rsidR="00662D8D" w:rsidRPr="003D57C5" w:rsidRDefault="00662D8D" w:rsidP="003223DD">
      <w:pPr>
        <w:pStyle w:val="SCCLsocOtherPartySeparator"/>
        <w:widowControl w:val="0"/>
        <w:rPr>
          <w:lang w:val="fr-CA"/>
        </w:rPr>
      </w:pPr>
      <w:r w:rsidRPr="003D57C5">
        <w:rPr>
          <w:lang w:val="fr-CA"/>
        </w:rPr>
        <w:t>et</w:t>
      </w:r>
    </w:p>
    <w:p w:rsidR="00662D8D" w:rsidRPr="003D57C5" w:rsidRDefault="00662D8D" w:rsidP="003223DD">
      <w:pPr>
        <w:pStyle w:val="SCCLsocParty"/>
        <w:widowControl w:val="0"/>
        <w:rPr>
          <w:lang w:val="fr-CA"/>
        </w:rPr>
      </w:pPr>
      <w:r w:rsidRPr="003D57C5">
        <w:rPr>
          <w:lang w:val="fr-CA"/>
        </w:rPr>
        <w:t>Association canadienne des libertés civiles,</w:t>
      </w:r>
    </w:p>
    <w:p w:rsidR="00662D8D" w:rsidRPr="003D57C5" w:rsidRDefault="00662D8D" w:rsidP="003223DD">
      <w:pPr>
        <w:pStyle w:val="SCCLsocParty"/>
        <w:widowControl w:val="0"/>
      </w:pPr>
      <w:r w:rsidRPr="007A350D">
        <w:rPr>
          <w:lang w:val="en-US"/>
        </w:rPr>
        <w:t>Alberta Public I</w:t>
      </w:r>
      <w:r w:rsidRPr="003D57C5">
        <w:t>nterest Research Group et</w:t>
      </w:r>
    </w:p>
    <w:p w:rsidR="00662D8D" w:rsidRPr="003D57C5" w:rsidRDefault="00662D8D" w:rsidP="003223DD">
      <w:pPr>
        <w:pStyle w:val="SCCLsocLastPartyInRole"/>
        <w:widowControl w:val="0"/>
        <w:rPr>
          <w:rStyle w:val="SCCLsocPartyRole"/>
          <w:lang w:val="fr-CA"/>
        </w:rPr>
      </w:pPr>
      <w:r w:rsidRPr="003D57C5">
        <w:rPr>
          <w:lang w:val="fr-CA"/>
        </w:rPr>
        <w:t>Amnistie internationale, Section Canada francophone</w:t>
      </w:r>
      <w:r w:rsidRPr="003D57C5">
        <w:rPr>
          <w:rStyle w:val="SCCLsocPartyRole"/>
          <w:lang w:val="fr-CA"/>
        </w:rPr>
        <w:tab/>
        <w:t>Intervenants</w:t>
      </w:r>
    </w:p>
    <w:p w:rsidR="00662D8D" w:rsidRPr="003D57C5" w:rsidRDefault="00662D8D" w:rsidP="003223DD">
      <w:pPr>
        <w:widowControl w:val="0"/>
        <w:spacing w:after="720"/>
        <w:jc w:val="both"/>
        <w:rPr>
          <w:b/>
          <w:lang w:val="fr-CA"/>
        </w:rPr>
      </w:pPr>
      <w:r w:rsidRPr="003D57C5">
        <w:rPr>
          <w:b/>
          <w:lang w:val="fr-CA"/>
        </w:rPr>
        <w:t>Répertorié : </w:t>
      </w:r>
      <w:r w:rsidRPr="003D57C5">
        <w:rPr>
          <w:rStyle w:val="SCCAppellantForIndexChar"/>
          <w:lang w:val="fr-CA"/>
        </w:rPr>
        <w:t>Morasse</w:t>
      </w:r>
      <w:r w:rsidRPr="003D57C5">
        <w:rPr>
          <w:b/>
          <w:lang w:val="fr-CA"/>
        </w:rPr>
        <w:t xml:space="preserve"> </w:t>
      </w:r>
      <w:r w:rsidRPr="003D57C5">
        <w:rPr>
          <w:b/>
          <w:i/>
          <w:lang w:val="fr-CA"/>
        </w:rPr>
        <w:t>c.</w:t>
      </w:r>
      <w:r w:rsidRPr="003D57C5">
        <w:rPr>
          <w:b/>
          <w:lang w:val="fr-CA"/>
        </w:rPr>
        <w:t xml:space="preserve"> </w:t>
      </w:r>
      <w:r w:rsidRPr="003D57C5">
        <w:rPr>
          <w:rStyle w:val="SCCRespondentForIndexChar"/>
          <w:lang w:val="fr-CA"/>
        </w:rPr>
        <w:t>Nadeau</w:t>
      </w:r>
      <w:r w:rsidRPr="003D57C5">
        <w:rPr>
          <w:rStyle w:val="SCCRespondentForIndexChar"/>
          <w:lang w:val="fr-CA"/>
        </w:rPr>
        <w:noBreakHyphen/>
        <w:t>Dubois</w:t>
      </w:r>
    </w:p>
    <w:p w:rsidR="00662D8D" w:rsidRPr="003D57C5" w:rsidRDefault="00662D8D" w:rsidP="003223DD">
      <w:pPr>
        <w:pStyle w:val="SCCSystemYear"/>
        <w:widowControl w:val="0"/>
        <w:spacing w:after="720"/>
        <w:jc w:val="both"/>
        <w:rPr>
          <w:lang w:val="fr-CA"/>
        </w:rPr>
      </w:pPr>
      <w:r w:rsidRPr="003D57C5">
        <w:rPr>
          <w:lang w:val="fr-CA"/>
        </w:rPr>
        <w:t>2016 CSC 44</w:t>
      </w:r>
    </w:p>
    <w:p w:rsidR="00662D8D" w:rsidRPr="003D57C5" w:rsidRDefault="00662D8D" w:rsidP="003223DD">
      <w:pPr>
        <w:widowControl w:val="0"/>
        <w:spacing w:after="720"/>
        <w:jc w:val="both"/>
        <w:rPr>
          <w:lang w:val="fr-CA"/>
        </w:rPr>
      </w:pPr>
      <w:r w:rsidRPr="003D57C5">
        <w:rPr>
          <w:lang w:val="fr-CA"/>
        </w:rPr>
        <w:t>N</w:t>
      </w:r>
      <w:r w:rsidRPr="003D57C5">
        <w:rPr>
          <w:vertAlign w:val="superscript"/>
          <w:lang w:val="fr-CA"/>
        </w:rPr>
        <w:t>o</w:t>
      </w:r>
      <w:r w:rsidRPr="003D57C5">
        <w:rPr>
          <w:lang w:val="fr-CA"/>
        </w:rPr>
        <w:t xml:space="preserve"> du greffe : 36351.</w:t>
      </w:r>
    </w:p>
    <w:p w:rsidR="00662D8D" w:rsidRPr="003D57C5" w:rsidRDefault="00662D8D" w:rsidP="003223DD">
      <w:pPr>
        <w:widowControl w:val="0"/>
        <w:spacing w:after="720"/>
        <w:jc w:val="both"/>
        <w:rPr>
          <w:lang w:val="fr-CA"/>
        </w:rPr>
      </w:pPr>
      <w:r w:rsidRPr="003D57C5">
        <w:rPr>
          <w:lang w:val="fr-CA"/>
        </w:rPr>
        <w:t>2016 : 22 avril; 2016 : 27 octobre.</w:t>
      </w:r>
    </w:p>
    <w:p w:rsidR="00662D8D" w:rsidRPr="003D57C5" w:rsidRDefault="00662D8D" w:rsidP="003223DD">
      <w:pPr>
        <w:widowControl w:val="0"/>
        <w:spacing w:after="720"/>
        <w:jc w:val="both"/>
        <w:rPr>
          <w:lang w:val="fr-CA"/>
        </w:rPr>
      </w:pPr>
      <w:r w:rsidRPr="003D57C5">
        <w:rPr>
          <w:lang w:val="fr-CA"/>
        </w:rPr>
        <w:t>Présents : La juge en chef McLachlin et les juges Abella, Cromwell, Moldaver, Karakatsanis, Wagner, Gascon, Côté et Brown.</w:t>
      </w:r>
    </w:p>
    <w:p w:rsidR="00662D8D" w:rsidRPr="003D57C5" w:rsidRDefault="00662D8D" w:rsidP="003223DD">
      <w:pPr>
        <w:widowControl w:val="0"/>
        <w:spacing w:after="720"/>
        <w:jc w:val="both"/>
        <w:rPr>
          <w:smallCaps/>
          <w:lang w:val="fr-CA"/>
        </w:rPr>
      </w:pPr>
      <w:r w:rsidRPr="003D57C5">
        <w:rPr>
          <w:smallCaps/>
          <w:lang w:val="fr-CA"/>
        </w:rPr>
        <w:t>en appel de la cour d’appel du québec</w:t>
      </w:r>
    </w:p>
    <w:p w:rsidR="00662D8D" w:rsidRPr="003D57C5" w:rsidRDefault="00662D8D" w:rsidP="003223DD">
      <w:pPr>
        <w:pStyle w:val="SCCNormalDoubleSpacing"/>
        <w:widowControl w:val="0"/>
        <w:rPr>
          <w:i/>
          <w:iCs/>
          <w:lang w:val="fr-CA"/>
        </w:rPr>
      </w:pPr>
      <w:r w:rsidRPr="003D57C5">
        <w:rPr>
          <w:lang w:val="fr-CA"/>
        </w:rPr>
        <w:lastRenderedPageBreak/>
        <w:tab/>
      </w:r>
      <w:r w:rsidRPr="003D57C5">
        <w:rPr>
          <w:i/>
          <w:lang w:val="fr-CA"/>
        </w:rPr>
        <w:t xml:space="preserve">Procédure civile </w:t>
      </w:r>
      <w:r w:rsidRPr="003D57C5">
        <w:rPr>
          <w:i/>
          <w:iCs/>
          <w:lang w:val="fr-CA"/>
        </w:rPr>
        <w:t xml:space="preserve">— Outrage au tribunal — Connaissance et intention requises — Disposition légale prévoit qu’est coupable de l’infraction d’outrage au tribunal celui qui contrevient à une ordonnance ou à une injonction du tribunal ou d’un de ses juges, ou qui agit de manière, soit à entraver le cours normal de l’administration de la justice, soit à porter atteinte à l’autorité ou à la dignité du tribunal — Protestations orchestrées et piquets de grève érigés à l’université par une organisation étudiante — </w:t>
      </w:r>
      <w:r w:rsidRPr="003D57C5">
        <w:rPr>
          <w:i/>
          <w:lang w:val="fr-CA"/>
        </w:rPr>
        <w:t xml:space="preserve">Injonction interlocutoire provisoire ordonnant de laisser libre accès aux classes et aux installations universitaires obtenue par un étudiant </w:t>
      </w:r>
      <w:r w:rsidRPr="003D57C5">
        <w:rPr>
          <w:i/>
          <w:iCs/>
          <w:lang w:val="fr-CA"/>
        </w:rPr>
        <w:t xml:space="preserve">— Commentaires sur les injonctions et les lignes de piquetage émis par le porte-parole d’une organisation étudiante durant une entrevue — Le porte-parole est-il coupable d’outrage? — Code de procédure civile, </w:t>
      </w:r>
      <w:r w:rsidRPr="003D57C5">
        <w:rPr>
          <w:i/>
          <w:lang w:val="fr-CA"/>
        </w:rPr>
        <w:t>RLRQ, c. C</w:t>
      </w:r>
      <w:r w:rsidRPr="003D57C5">
        <w:rPr>
          <w:i/>
          <w:lang w:val="fr-CA"/>
        </w:rPr>
        <w:noBreakHyphen/>
        <w:t xml:space="preserve">25, art. 50 al. 1. </w:t>
      </w:r>
    </w:p>
    <w:p w:rsidR="00662D8D" w:rsidRPr="003D57C5" w:rsidRDefault="00662D8D" w:rsidP="003223DD">
      <w:pPr>
        <w:pStyle w:val="SCCNormalDoubleSpacing"/>
        <w:widowControl w:val="0"/>
        <w:spacing w:before="480" w:after="480"/>
        <w:rPr>
          <w:szCs w:val="24"/>
          <w:lang w:val="fr-CA"/>
        </w:rPr>
      </w:pPr>
      <w:r w:rsidRPr="003D57C5">
        <w:rPr>
          <w:lang w:val="fr-CA"/>
        </w:rPr>
        <w:tab/>
      </w:r>
      <w:r>
        <w:rPr>
          <w:szCs w:val="24"/>
          <w:lang w:val="fr-CA"/>
        </w:rPr>
        <w:t>N</w:t>
      </w:r>
      <w:r>
        <w:rPr>
          <w:szCs w:val="24"/>
          <w:lang w:val="fr-CA"/>
        </w:rPr>
        <w:noBreakHyphen/>
        <w:t>D</w:t>
      </w:r>
      <w:r w:rsidRPr="003D57C5">
        <w:rPr>
          <w:szCs w:val="24"/>
          <w:lang w:val="fr-CA"/>
        </w:rPr>
        <w:t xml:space="preserve"> était le porte-parole d’une organisation étudiante qui a orchestré des manifestations et érigé des piquets de grève dans divers établissements postsecondaires du Québec pour contester des hausses projetées des droits de scolarité universitaires. </w:t>
      </w:r>
      <w:r>
        <w:rPr>
          <w:szCs w:val="24"/>
          <w:lang w:val="fr-CA"/>
        </w:rPr>
        <w:t>M</w:t>
      </w:r>
      <w:r w:rsidRPr="003D57C5">
        <w:rPr>
          <w:szCs w:val="24"/>
          <w:lang w:val="fr-CA"/>
        </w:rPr>
        <w:t xml:space="preserve">, un étudiant, a obtenu </w:t>
      </w:r>
      <w:r w:rsidRPr="003D57C5">
        <w:rPr>
          <w:lang w:val="fr-CA"/>
        </w:rPr>
        <w:t xml:space="preserve">une injonction interlocutoire provisoire qui intimait de laisser libre accès aux installations où se donnaient les cours du programme auquel </w:t>
      </w:r>
      <w:r>
        <w:rPr>
          <w:lang w:val="fr-CA"/>
        </w:rPr>
        <w:t>M</w:t>
      </w:r>
      <w:r w:rsidRPr="003D57C5">
        <w:rPr>
          <w:lang w:val="fr-CA"/>
        </w:rPr>
        <w:t xml:space="preserve"> était inscrit. Durant une entrevue télévisée qu’il a accordée en présence d’un autre leader étudiant, </w:t>
      </w:r>
      <w:r>
        <w:rPr>
          <w:lang w:val="fr-CA"/>
        </w:rPr>
        <w:t>N</w:t>
      </w:r>
      <w:r>
        <w:rPr>
          <w:lang w:val="fr-CA"/>
        </w:rPr>
        <w:noBreakHyphen/>
        <w:t>D</w:t>
      </w:r>
      <w:r w:rsidRPr="003D57C5">
        <w:rPr>
          <w:lang w:val="fr-CA"/>
        </w:rPr>
        <w:t xml:space="preserve"> a affirmé que ces tentatives pour forcer le retour en classe ne fonctionnent pas, qu’une minorité d’étudiants et d’étudiantes utilisent les tribunaux pour contourner la décision collective de faire la grève, et que les lignes de piquetage constituent un moyen tout à fait légitime d’assurer le respect du vote de grève. </w:t>
      </w:r>
      <w:r>
        <w:rPr>
          <w:lang w:val="fr-CA"/>
        </w:rPr>
        <w:t>M</w:t>
      </w:r>
      <w:r w:rsidRPr="003D57C5">
        <w:rPr>
          <w:lang w:val="fr-CA"/>
        </w:rPr>
        <w:t xml:space="preserve"> a déposé une requête pour outrage contre </w:t>
      </w:r>
      <w:r>
        <w:rPr>
          <w:lang w:val="fr-CA"/>
        </w:rPr>
        <w:t>N</w:t>
      </w:r>
      <w:r>
        <w:rPr>
          <w:lang w:val="fr-CA"/>
        </w:rPr>
        <w:noBreakHyphen/>
        <w:t>D</w:t>
      </w:r>
      <w:r w:rsidRPr="003D57C5">
        <w:rPr>
          <w:lang w:val="fr-CA"/>
        </w:rPr>
        <w:t xml:space="preserve"> </w:t>
      </w:r>
      <w:r w:rsidRPr="003D57C5">
        <w:rPr>
          <w:rFonts w:eastAsia="Calibri"/>
          <w:lang w:val="fr-CA"/>
        </w:rPr>
        <w:t xml:space="preserve">pour les commentaires qu’il a émis durant l’entrevue. </w:t>
      </w:r>
      <w:r>
        <w:rPr>
          <w:rFonts w:eastAsia="Calibri"/>
          <w:lang w:val="fr-CA"/>
        </w:rPr>
        <w:t>N</w:t>
      </w:r>
      <w:r>
        <w:rPr>
          <w:rFonts w:eastAsia="Calibri"/>
          <w:lang w:val="fr-CA"/>
        </w:rPr>
        <w:noBreakHyphen/>
        <w:t>D</w:t>
      </w:r>
      <w:r w:rsidRPr="003D57C5">
        <w:rPr>
          <w:rFonts w:eastAsia="Calibri"/>
          <w:lang w:val="fr-CA"/>
        </w:rPr>
        <w:t xml:space="preserve"> a été déclaré coupable d’outrage au tribunal en application du premier alinéa de l’art. 50 </w:t>
      </w:r>
      <w:r w:rsidRPr="003D57C5">
        <w:rPr>
          <w:rFonts w:eastAsia="Calibri"/>
          <w:lang w:val="fr-CA"/>
        </w:rPr>
        <w:lastRenderedPageBreak/>
        <w:t xml:space="preserve">du </w:t>
      </w:r>
      <w:r w:rsidRPr="003D57C5">
        <w:rPr>
          <w:rFonts w:eastAsia="Calibri"/>
          <w:i/>
          <w:lang w:val="fr-CA"/>
        </w:rPr>
        <w:t>Code de procédure civile</w:t>
      </w:r>
      <w:r w:rsidRPr="003D57C5">
        <w:rPr>
          <w:rFonts w:eastAsia="Calibri"/>
          <w:lang w:val="fr-CA"/>
        </w:rPr>
        <w:t xml:space="preserve"> et </w:t>
      </w:r>
      <w:r w:rsidRPr="003D57C5">
        <w:rPr>
          <w:lang w:val="fr-CA"/>
        </w:rPr>
        <w:t>condamné à accomplir 120 heures de travaux communautaires dans un délai de six mois sous la supervision d’un agent de probation. La Cour d’appel a annulé la déclaration de culpabilité ainsi que la peine et a prononcé un acquittement.</w:t>
      </w:r>
    </w:p>
    <w:p w:rsidR="00662D8D" w:rsidRPr="003D57C5" w:rsidRDefault="00662D8D" w:rsidP="003223DD">
      <w:pPr>
        <w:pStyle w:val="SCCNormalDoubleSpacing"/>
        <w:widowControl w:val="0"/>
        <w:spacing w:before="480" w:after="480"/>
        <w:rPr>
          <w:lang w:val="fr-CA"/>
        </w:rPr>
      </w:pPr>
      <w:r w:rsidRPr="003D57C5">
        <w:rPr>
          <w:lang w:val="fr-CA"/>
        </w:rPr>
        <w:tab/>
      </w:r>
      <w:r w:rsidRPr="003D57C5">
        <w:rPr>
          <w:i/>
          <w:lang w:val="fr-CA"/>
        </w:rPr>
        <w:t>Arrêt</w:t>
      </w:r>
      <w:r w:rsidRPr="003D57C5">
        <w:rPr>
          <w:lang w:val="fr-CA"/>
        </w:rPr>
        <w:t xml:space="preserve"> (les juges Wagner, Côté et Brown sont dissidents) </w:t>
      </w:r>
      <w:r w:rsidRPr="00EC463E">
        <w:rPr>
          <w:rStyle w:val="QuoteChar"/>
          <w:i w:val="0"/>
          <w:lang w:val="fr-CA"/>
        </w:rPr>
        <w:t>:</w:t>
      </w:r>
      <w:r w:rsidRPr="00EC463E">
        <w:rPr>
          <w:i/>
          <w:lang w:val="fr-CA"/>
        </w:rPr>
        <w:t xml:space="preserve"> </w:t>
      </w:r>
      <w:r w:rsidRPr="003D57C5">
        <w:rPr>
          <w:lang w:val="fr-CA"/>
        </w:rPr>
        <w:t xml:space="preserve">L’appel est rejeté. </w:t>
      </w:r>
    </w:p>
    <w:p w:rsidR="00662D8D" w:rsidRPr="003D57C5" w:rsidRDefault="00662D8D" w:rsidP="003223DD">
      <w:pPr>
        <w:pStyle w:val="SCCNormalDoubleSpacing"/>
        <w:widowControl w:val="0"/>
        <w:spacing w:before="480" w:after="480"/>
        <w:rPr>
          <w:bCs/>
          <w:szCs w:val="24"/>
          <w:lang w:val="fr-CA"/>
        </w:rPr>
      </w:pPr>
      <w:r w:rsidRPr="003D57C5">
        <w:rPr>
          <w:lang w:val="fr-CA"/>
        </w:rPr>
        <w:tab/>
      </w:r>
      <w:r w:rsidRPr="003D57C5">
        <w:rPr>
          <w:i/>
          <w:lang w:val="fr-CA"/>
        </w:rPr>
        <w:t>La</w:t>
      </w:r>
      <w:r w:rsidRPr="003D57C5">
        <w:rPr>
          <w:lang w:val="fr-CA"/>
        </w:rPr>
        <w:t xml:space="preserve"> juge en chef McLachlin et les juges </w:t>
      </w:r>
      <w:r w:rsidRPr="003632A7">
        <w:rPr>
          <w:lang w:val="fr-CA"/>
        </w:rPr>
        <w:t>Abella</w:t>
      </w:r>
      <w:r w:rsidRPr="003D57C5">
        <w:rPr>
          <w:lang w:val="fr-CA"/>
        </w:rPr>
        <w:t xml:space="preserve">, Cromwell, Karakatsanis et </w:t>
      </w:r>
      <w:r w:rsidRPr="003632A7">
        <w:rPr>
          <w:bCs/>
          <w:lang w:val="fr-CA"/>
        </w:rPr>
        <w:t>Gascon</w:t>
      </w:r>
      <w:r w:rsidRPr="003D57C5">
        <w:rPr>
          <w:bCs/>
          <w:lang w:val="fr-CA"/>
        </w:rPr>
        <w:t> </w:t>
      </w:r>
      <w:r w:rsidRPr="003D57C5">
        <w:rPr>
          <w:lang w:val="fr-CA"/>
        </w:rPr>
        <w:t xml:space="preserve">: La question en litige est celle de savoir si une accusation d’outrage portée par un simple citoyen contre une autre personne satisfait aux garanties procédurales et substantielles rigoureuses prescrites par la loi pour faire en sorte que le droit à la liberté de personnes accusées d’outrage soit pleinement protégé. </w:t>
      </w:r>
      <w:r w:rsidRPr="003D57C5">
        <w:rPr>
          <w:bCs/>
          <w:szCs w:val="24"/>
          <w:lang w:val="fr-CA"/>
        </w:rPr>
        <w:t xml:space="preserve">Le pouvoir de déclarer une personne coupable d’outrage au tribunal en est un d’exception. Il s’agit d’un pouvoir de contrainte de dernier recours et </w:t>
      </w:r>
      <w:r>
        <w:rPr>
          <w:bCs/>
          <w:szCs w:val="24"/>
          <w:lang w:val="fr-CA"/>
        </w:rPr>
        <w:t xml:space="preserve">de </w:t>
      </w:r>
      <w:r w:rsidRPr="003D57C5">
        <w:rPr>
          <w:bCs/>
          <w:szCs w:val="24"/>
          <w:lang w:val="fr-CA"/>
        </w:rPr>
        <w:t xml:space="preserve">la seule procédure civile au Québec qui peut donner lieu à une peine d’emprisonnement. En raison des répercussions éventuelles qu’elle peut avoir sur la liberté de l’intéressé, les formalités de la procédure pour outrage doivent être strictement respectées; un avis clair, précis et sans ambiguïté de l’infraction particulière d’outrage dont il est inculpé doit être donné à l’accusé, et les éléments nécessaires à la déclaration de culpabilité doivent être prouvés hors de tout doute raisonnable. </w:t>
      </w:r>
      <w:r w:rsidRPr="003D57C5">
        <w:rPr>
          <w:lang w:val="fr-CA"/>
        </w:rPr>
        <w:t>Une déclaration de culpabilité pour outrage ne doit être prononcée que lorsqu’il est véritablement nécessaire de protéger l’administration de la justice</w:t>
      </w:r>
      <w:r>
        <w:rPr>
          <w:lang w:val="fr-CA"/>
        </w:rPr>
        <w:t>.</w:t>
      </w:r>
    </w:p>
    <w:p w:rsidR="00662D8D" w:rsidRPr="003D57C5" w:rsidRDefault="00662D8D" w:rsidP="003223DD">
      <w:pPr>
        <w:pStyle w:val="SCCNormalDoubleSpacing"/>
        <w:widowControl w:val="0"/>
        <w:spacing w:before="480" w:after="480"/>
        <w:rPr>
          <w:lang w:val="fr-CA"/>
        </w:rPr>
      </w:pPr>
      <w:r w:rsidRPr="003D57C5">
        <w:rPr>
          <w:lang w:val="fr-CA"/>
        </w:rPr>
        <w:tab/>
        <w:t>À l’</w:t>
      </w:r>
      <w:r>
        <w:rPr>
          <w:lang w:val="fr-CA"/>
        </w:rPr>
        <w:t xml:space="preserve">époque où M </w:t>
      </w:r>
      <w:r w:rsidRPr="003D57C5">
        <w:rPr>
          <w:lang w:val="fr-CA"/>
        </w:rPr>
        <w:t xml:space="preserve">a engagé sa procédure contre </w:t>
      </w:r>
      <w:r>
        <w:rPr>
          <w:lang w:val="fr-CA"/>
        </w:rPr>
        <w:t>N</w:t>
      </w:r>
      <w:r>
        <w:rPr>
          <w:lang w:val="fr-CA"/>
        </w:rPr>
        <w:noBreakHyphen/>
        <w:t>D</w:t>
      </w:r>
      <w:r w:rsidRPr="003D57C5">
        <w:rPr>
          <w:lang w:val="fr-CA"/>
        </w:rPr>
        <w:t xml:space="preserve">, l’infraction d’outrage </w:t>
      </w:r>
      <w:r w:rsidRPr="003D57C5">
        <w:rPr>
          <w:lang w:val="fr-CA"/>
        </w:rPr>
        <w:lastRenderedPageBreak/>
        <w:t xml:space="preserve">au tribunal était prévue dans deux dispositions distinctes du </w:t>
      </w:r>
      <w:r>
        <w:rPr>
          <w:i/>
          <w:lang w:val="fr-CA"/>
        </w:rPr>
        <w:t>Code</w:t>
      </w:r>
      <w:r w:rsidRPr="003D57C5">
        <w:rPr>
          <w:lang w:val="fr-CA"/>
        </w:rPr>
        <w:t>,</w:t>
      </w:r>
      <w:r>
        <w:rPr>
          <w:lang w:val="fr-CA"/>
        </w:rPr>
        <w:t xml:space="preserve"> </w:t>
      </w:r>
      <w:r w:rsidRPr="003D57C5">
        <w:rPr>
          <w:lang w:val="fr-CA"/>
        </w:rPr>
        <w:t>maintenant consolidée</w:t>
      </w:r>
      <w:r w:rsidR="00EC463E">
        <w:rPr>
          <w:lang w:val="fr-CA"/>
        </w:rPr>
        <w:t>s</w:t>
      </w:r>
      <w:r w:rsidRPr="003D57C5">
        <w:rPr>
          <w:lang w:val="fr-CA"/>
        </w:rPr>
        <w:t xml:space="preserve"> à l’art. 58 du nouveau </w:t>
      </w:r>
      <w:r>
        <w:rPr>
          <w:i/>
          <w:lang w:val="fr-CA"/>
        </w:rPr>
        <w:t>Code</w:t>
      </w:r>
      <w:r w:rsidRPr="003D57C5">
        <w:rPr>
          <w:lang w:val="fr-CA"/>
        </w:rPr>
        <w:t>. Le premier alinéa de l’art. 50 établi</w:t>
      </w:r>
      <w:r>
        <w:rPr>
          <w:lang w:val="fr-CA"/>
        </w:rPr>
        <w:t>ssait</w:t>
      </w:r>
      <w:r w:rsidRPr="003D57C5">
        <w:rPr>
          <w:lang w:val="fr-CA"/>
        </w:rPr>
        <w:t xml:space="preserve"> la compétence générale</w:t>
      </w:r>
      <w:r w:rsidRPr="003D57C5">
        <w:rPr>
          <w:i/>
          <w:lang w:val="fr-CA"/>
        </w:rPr>
        <w:t xml:space="preserve"> </w:t>
      </w:r>
      <w:r w:rsidRPr="003D57C5">
        <w:rPr>
          <w:lang w:val="fr-CA"/>
        </w:rPr>
        <w:t>des tribunaux de déclarer quelqu’un coupable d’outrage. L’article 761 créait l’infraction d’outrage au tribunal qui se rapport</w:t>
      </w:r>
      <w:r>
        <w:rPr>
          <w:lang w:val="fr-CA"/>
        </w:rPr>
        <w:t>ait</w:t>
      </w:r>
      <w:r w:rsidRPr="003D57C5">
        <w:rPr>
          <w:lang w:val="fr-CA"/>
        </w:rPr>
        <w:t xml:space="preserve"> spécifiquement aux violations d’injonctions. Ces deux dispositions ont été interprétées en harmonie avec la common law. L’infraction d’outrage au tribunal décrite au premier alinéa de l’art. 50 comporte deux volets. Lorsqu’une ordonnance ou une injonction en particulier </w:t>
      </w:r>
      <w:r>
        <w:rPr>
          <w:lang w:val="fr-CA"/>
        </w:rPr>
        <w:t xml:space="preserve">est </w:t>
      </w:r>
      <w:r w:rsidRPr="003D57C5">
        <w:rPr>
          <w:lang w:val="fr-CA"/>
        </w:rPr>
        <w:t>en cause, les deux volets exigent la connaissance réelle ou inférée de l’ordonnance ou de l’injonction. Le premier volet vise la contravention à une ordonnance ou à une injonction du tribunal ou d’un juge. La personne accusée d’outrage doit avoir intentionnellement commis un acte interdit par l’ordonnance ou intentionnellement omis de commettre un acte comme elle l’exige. Suivant le deuxième volet, l’</w:t>
      </w:r>
      <w:r w:rsidRPr="003D57C5">
        <w:rPr>
          <w:i/>
          <w:lang w:val="fr-CA"/>
        </w:rPr>
        <w:t>actus reus</w:t>
      </w:r>
      <w:r w:rsidRPr="003D57C5">
        <w:rPr>
          <w:lang w:val="fr-CA"/>
        </w:rPr>
        <w:t xml:space="preserve"> est établi lorsque la personne « agit de manière, soit à entraver le cours normal de l’administration de la justice, soit à porter atteinte à l’autorité ou à la dignité du tribunal ». Les actes posés ou les propos reprochés doivent soit avoir cet effet, soit créer un risque sérieux ou important de l’avoir. La </w:t>
      </w:r>
      <w:r w:rsidRPr="003D57C5">
        <w:rPr>
          <w:i/>
          <w:lang w:val="fr-CA"/>
        </w:rPr>
        <w:t>mens rea</w:t>
      </w:r>
      <w:r w:rsidRPr="003D57C5">
        <w:rPr>
          <w:lang w:val="fr-CA"/>
        </w:rPr>
        <w:t xml:space="preserve"> de cette forme d’outrage est l’intention de dénigrer l’administration de la justice, de miner la confiance du public à son égard, ou d’inciter à la désaffection à son endroit. La critique de bonne foi des institutions judiciaires et de leurs décisions n’atteint pas ce seuil. </w:t>
      </w:r>
    </w:p>
    <w:p w:rsidR="00662D8D" w:rsidRPr="003D57C5" w:rsidRDefault="00662D8D" w:rsidP="003223DD">
      <w:pPr>
        <w:pStyle w:val="SCCNormalDoubleSpacing"/>
        <w:widowControl w:val="0"/>
        <w:spacing w:before="480" w:after="480"/>
        <w:rPr>
          <w:lang w:val="fr-CA"/>
        </w:rPr>
      </w:pPr>
      <w:r w:rsidRPr="003D57C5">
        <w:rPr>
          <w:lang w:val="fr-CA"/>
        </w:rPr>
        <w:tab/>
        <w:t>Les seules allégations qu’</w:t>
      </w:r>
      <w:r>
        <w:rPr>
          <w:lang w:val="fr-CA"/>
        </w:rPr>
        <w:t xml:space="preserve">a soulevées M </w:t>
      </w:r>
      <w:r w:rsidRPr="003D57C5">
        <w:rPr>
          <w:lang w:val="fr-CA"/>
        </w:rPr>
        <w:t xml:space="preserve">à l’endroit de </w:t>
      </w:r>
      <w:r>
        <w:rPr>
          <w:lang w:val="fr-CA"/>
        </w:rPr>
        <w:t>N</w:t>
      </w:r>
      <w:r>
        <w:rPr>
          <w:lang w:val="fr-CA"/>
        </w:rPr>
        <w:noBreakHyphen/>
        <w:t>D</w:t>
      </w:r>
      <w:r w:rsidRPr="003D57C5">
        <w:rPr>
          <w:lang w:val="fr-CA"/>
        </w:rPr>
        <w:t xml:space="preserve"> se rapportaient à une violation alléguée d’un paragraphe d’une ordonnance par les propos tenus en entrevue. </w:t>
      </w:r>
      <w:r>
        <w:rPr>
          <w:lang w:val="fr-CA"/>
        </w:rPr>
        <w:t>N</w:t>
      </w:r>
      <w:r>
        <w:rPr>
          <w:lang w:val="fr-CA"/>
        </w:rPr>
        <w:noBreakHyphen/>
        <w:t>D</w:t>
      </w:r>
      <w:r w:rsidRPr="003D57C5">
        <w:rPr>
          <w:lang w:val="fr-CA"/>
        </w:rPr>
        <w:t xml:space="preserve"> n’a pas été avisé de la partie spécifique du premier alinéa de l’art. 50, le cas échéant, en vertu de laquelle il était accusé. Quant au premier volet, il n’y avait </w:t>
      </w:r>
      <w:r w:rsidRPr="003D57C5">
        <w:rPr>
          <w:lang w:val="fr-CA"/>
        </w:rPr>
        <w:lastRenderedPageBreak/>
        <w:t xml:space="preserve">aucune preuve que </w:t>
      </w:r>
      <w:r>
        <w:rPr>
          <w:lang w:val="fr-CA"/>
        </w:rPr>
        <w:t>N</w:t>
      </w:r>
      <w:r>
        <w:rPr>
          <w:lang w:val="fr-CA"/>
        </w:rPr>
        <w:noBreakHyphen/>
        <w:t>D</w:t>
      </w:r>
      <w:r w:rsidRPr="003D57C5">
        <w:rPr>
          <w:lang w:val="fr-CA"/>
        </w:rPr>
        <w:t xml:space="preserve"> avait une connaissance, directe ou par inférence, de l’ordonnance. Le fait que d’autres injonctions aient été prononcées ne prouve pas que </w:t>
      </w:r>
      <w:r>
        <w:rPr>
          <w:lang w:val="fr-CA"/>
        </w:rPr>
        <w:t>N</w:t>
      </w:r>
      <w:r>
        <w:rPr>
          <w:lang w:val="fr-CA"/>
        </w:rPr>
        <w:noBreakHyphen/>
        <w:t>D</w:t>
      </w:r>
      <w:r w:rsidRPr="003D57C5">
        <w:rPr>
          <w:lang w:val="fr-CA"/>
        </w:rPr>
        <w:t xml:space="preserve"> avait connaissance de l’ordonnance particulière en cause. La connaissance ne peut pas non plus être imputée à </w:t>
      </w:r>
      <w:r>
        <w:rPr>
          <w:lang w:val="fr-CA"/>
        </w:rPr>
        <w:t>N</w:t>
      </w:r>
      <w:r>
        <w:rPr>
          <w:lang w:val="fr-CA"/>
        </w:rPr>
        <w:noBreakHyphen/>
        <w:t>D</w:t>
      </w:r>
      <w:r w:rsidRPr="003D57C5">
        <w:rPr>
          <w:lang w:val="fr-CA"/>
        </w:rPr>
        <w:t xml:space="preserve"> sur le fondement des commentaires qu’il a formulés durant l’entrevue, de la question qui lui a été posée ou des déclarations faites par l’autre leader étudiant interviewé en même temps que lui. L’appui qu’il a donné au piquetage par les étudiants en général n’équivalait pas non plus à une incitation à employer des piquets de grève pour bloquer l’accès aux cours, puisque l’ordonnance n’interdisait pas complètement le piquetage. Le fait que </w:t>
      </w:r>
      <w:r>
        <w:rPr>
          <w:lang w:val="fr-CA"/>
        </w:rPr>
        <w:t>M</w:t>
      </w:r>
      <w:r w:rsidRPr="003D57C5">
        <w:rPr>
          <w:lang w:val="fr-CA"/>
        </w:rPr>
        <w:t xml:space="preserve"> n’ait pas prouvé que </w:t>
      </w:r>
      <w:r>
        <w:rPr>
          <w:lang w:val="fr-CA"/>
        </w:rPr>
        <w:t>N</w:t>
      </w:r>
      <w:r>
        <w:rPr>
          <w:lang w:val="fr-CA"/>
        </w:rPr>
        <w:noBreakHyphen/>
        <w:t>D</w:t>
      </w:r>
      <w:r w:rsidRPr="003D57C5">
        <w:rPr>
          <w:lang w:val="fr-CA"/>
        </w:rPr>
        <w:t xml:space="preserve"> avait connaissance, réellement ou par inférence, de l’ordonnance est déterminant pour trancher la question au regard du deuxième volet. Si </w:t>
      </w:r>
      <w:r>
        <w:rPr>
          <w:lang w:val="fr-CA"/>
        </w:rPr>
        <w:t>N</w:t>
      </w:r>
      <w:r>
        <w:rPr>
          <w:lang w:val="fr-CA"/>
        </w:rPr>
        <w:noBreakHyphen/>
        <w:t>D</w:t>
      </w:r>
      <w:r w:rsidRPr="003D57C5">
        <w:rPr>
          <w:lang w:val="fr-CA"/>
        </w:rPr>
        <w:t xml:space="preserve"> n’avait pas connaissance de l’ordonnance, il ne pouvait avoir l’intention d’y faire obstacle ou d’inciter d’autres personnes à le faire.</w:t>
      </w:r>
    </w:p>
    <w:p w:rsidR="00662D8D" w:rsidRPr="003D57C5" w:rsidRDefault="00662D8D" w:rsidP="003223DD">
      <w:pPr>
        <w:pStyle w:val="SCCNormalDoubleSpacing"/>
        <w:widowControl w:val="0"/>
        <w:spacing w:before="480" w:after="480"/>
        <w:rPr>
          <w:lang w:val="fr-CA"/>
        </w:rPr>
      </w:pPr>
      <w:r w:rsidRPr="003D57C5">
        <w:rPr>
          <w:lang w:val="fr-CA"/>
        </w:rPr>
        <w:tab/>
      </w:r>
      <w:r w:rsidRPr="003D57C5">
        <w:rPr>
          <w:i/>
          <w:lang w:val="fr-CA"/>
        </w:rPr>
        <w:t>Le</w:t>
      </w:r>
      <w:r w:rsidRPr="003D57C5">
        <w:rPr>
          <w:lang w:val="fr-CA"/>
        </w:rPr>
        <w:t xml:space="preserve"> juge </w:t>
      </w:r>
      <w:r w:rsidRPr="003632A7">
        <w:rPr>
          <w:lang w:val="fr-CA"/>
        </w:rPr>
        <w:t>Moldaver</w:t>
      </w:r>
      <w:r w:rsidRPr="003D57C5">
        <w:rPr>
          <w:b/>
          <w:lang w:val="fr-CA"/>
        </w:rPr>
        <w:t> </w:t>
      </w:r>
      <w:r w:rsidRPr="003D57C5">
        <w:rPr>
          <w:lang w:val="fr-CA"/>
        </w:rPr>
        <w:t xml:space="preserve">: En répondant comme il l’a fait durant l’entrevue télévisée, </w:t>
      </w:r>
      <w:r>
        <w:rPr>
          <w:lang w:val="fr-CA"/>
        </w:rPr>
        <w:t>N</w:t>
      </w:r>
      <w:r>
        <w:rPr>
          <w:lang w:val="fr-CA"/>
        </w:rPr>
        <w:noBreakHyphen/>
        <w:t>D</w:t>
      </w:r>
      <w:r w:rsidRPr="003D57C5">
        <w:rPr>
          <w:lang w:val="fr-CA"/>
        </w:rPr>
        <w:t xml:space="preserve"> avait l’intention d’inciter les étudiants en général à contrevenir à toutes les ordonnances judiciaires quelle qu’elles aient été qui prohibaient le piquetage comme moyen d’empêcher l’accès aux cours. Si le dossier avait été présenté de la sorte, son appel généralisé à la désobéissance aurait nécessairement visé l’ordonnance interlocutoire obtenue par </w:t>
      </w:r>
      <w:r>
        <w:rPr>
          <w:lang w:val="fr-CA"/>
        </w:rPr>
        <w:t>M</w:t>
      </w:r>
      <w:r w:rsidRPr="003D57C5">
        <w:rPr>
          <w:lang w:val="fr-CA"/>
        </w:rPr>
        <w:t xml:space="preserve">, que </w:t>
      </w:r>
      <w:r>
        <w:rPr>
          <w:lang w:val="fr-CA"/>
        </w:rPr>
        <w:t>N</w:t>
      </w:r>
      <w:r>
        <w:rPr>
          <w:lang w:val="fr-CA"/>
        </w:rPr>
        <w:noBreakHyphen/>
        <w:t>D</w:t>
      </w:r>
      <w:r w:rsidRPr="003D57C5">
        <w:rPr>
          <w:lang w:val="fr-CA"/>
        </w:rPr>
        <w:t xml:space="preserve"> ait eu une connaissance spécifique de cette dernière ou non. Or, la question à trancher lors du procès était celle de savoir si </w:t>
      </w:r>
      <w:r>
        <w:rPr>
          <w:lang w:val="fr-CA"/>
        </w:rPr>
        <w:t>N</w:t>
      </w:r>
      <w:r>
        <w:rPr>
          <w:lang w:val="fr-CA"/>
        </w:rPr>
        <w:noBreakHyphen/>
        <w:t>D</w:t>
      </w:r>
      <w:r w:rsidRPr="003D57C5">
        <w:rPr>
          <w:lang w:val="fr-CA"/>
        </w:rPr>
        <w:t xml:space="preserve"> avait contrevenu à cette ordonnance en particulier. La Cour d’appel du Québec a donc conclu, à bon droit, que la preuve n’étayait pas la conclusion selon laquelle </w:t>
      </w:r>
      <w:r>
        <w:rPr>
          <w:lang w:val="fr-CA"/>
        </w:rPr>
        <w:t>N</w:t>
      </w:r>
      <w:r>
        <w:rPr>
          <w:lang w:val="fr-CA"/>
        </w:rPr>
        <w:noBreakHyphen/>
        <w:t>D</w:t>
      </w:r>
      <w:r w:rsidRPr="003D57C5">
        <w:rPr>
          <w:lang w:val="fr-CA"/>
        </w:rPr>
        <w:t xml:space="preserve"> avait une connaissance spécifique de l’ordonnance, et que cela empêchait de conclure à l’outrage au tribunal. Vu la façon dont la cause a été présentée au procès, il serait à la </w:t>
      </w:r>
      <w:r w:rsidRPr="003D57C5">
        <w:rPr>
          <w:lang w:val="fr-CA"/>
        </w:rPr>
        <w:lastRenderedPageBreak/>
        <w:t xml:space="preserve">fois injuste et préjudiciable d’autoriser </w:t>
      </w:r>
      <w:r>
        <w:rPr>
          <w:lang w:val="fr-CA"/>
        </w:rPr>
        <w:t>M</w:t>
      </w:r>
      <w:r w:rsidRPr="003D57C5">
        <w:rPr>
          <w:lang w:val="fr-CA"/>
        </w:rPr>
        <w:t xml:space="preserve"> à changer sa thèse à la présente étape </w:t>
      </w:r>
      <w:r>
        <w:rPr>
          <w:lang w:val="fr-CA"/>
        </w:rPr>
        <w:t>des</w:t>
      </w:r>
      <w:r w:rsidRPr="003D57C5">
        <w:rPr>
          <w:lang w:val="fr-CA"/>
        </w:rPr>
        <w:t xml:space="preserve"> </w:t>
      </w:r>
      <w:r>
        <w:rPr>
          <w:lang w:val="fr-CA"/>
        </w:rPr>
        <w:t>procédures</w:t>
      </w:r>
      <w:r w:rsidRPr="003D57C5">
        <w:rPr>
          <w:lang w:val="fr-CA"/>
        </w:rPr>
        <w:t xml:space="preserve">. Pour ce seul motif, l’appel est rejeté. </w:t>
      </w:r>
    </w:p>
    <w:p w:rsidR="00662D8D" w:rsidRPr="003D57C5" w:rsidRDefault="00662D8D" w:rsidP="003223DD">
      <w:pPr>
        <w:pStyle w:val="SCCNormalDoubleSpacing"/>
        <w:widowControl w:val="0"/>
        <w:spacing w:before="480" w:after="480"/>
        <w:rPr>
          <w:lang w:val="fr-CA"/>
        </w:rPr>
      </w:pPr>
      <w:r w:rsidRPr="003D57C5">
        <w:rPr>
          <w:lang w:val="fr-CA"/>
        </w:rPr>
        <w:tab/>
      </w:r>
      <w:r w:rsidRPr="003D57C5">
        <w:rPr>
          <w:i/>
          <w:lang w:val="fr-CA"/>
        </w:rPr>
        <w:t xml:space="preserve">Les </w:t>
      </w:r>
      <w:r w:rsidRPr="003D57C5">
        <w:rPr>
          <w:lang w:val="fr-CA"/>
        </w:rPr>
        <w:t xml:space="preserve">juges </w:t>
      </w:r>
      <w:r w:rsidRPr="003632A7">
        <w:rPr>
          <w:lang w:val="fr-CA"/>
        </w:rPr>
        <w:t>Wagner</w:t>
      </w:r>
      <w:r w:rsidRPr="003D57C5">
        <w:rPr>
          <w:lang w:val="fr-CA"/>
        </w:rPr>
        <w:t>, Côté et Brown (dissidents) : La condamnation pour outrage au tribunal</w:t>
      </w:r>
      <w:r w:rsidRPr="003D57C5">
        <w:rPr>
          <w:szCs w:val="24"/>
          <w:lang w:val="fr-CA"/>
        </w:rPr>
        <w:t>, que ce soit en matière civile ou criminelle, a pour but de sauvegarder la confiance du public dans l’administration de la justice et d’assurer le fonctionnement harmonieux des tribunaux</w:t>
      </w:r>
      <w:r w:rsidRPr="003D57C5">
        <w:rPr>
          <w:lang w:val="fr-CA"/>
        </w:rPr>
        <w:t xml:space="preserve">. Ce pouvoir est exceptionnel et ne doit être exercé qu’en dernier recours. L’exercice de ce pouvoir est néanmoins justifié lorsqu’une </w:t>
      </w:r>
      <w:r w:rsidRPr="003D57C5">
        <w:rPr>
          <w:szCs w:val="24"/>
          <w:lang w:val="fr-CA"/>
        </w:rPr>
        <w:t xml:space="preserve">condamnation pour outrage au tribunal s’impose afin d’appuyer l’intégrité du système de justice et </w:t>
      </w:r>
      <w:r w:rsidR="00EC463E">
        <w:rPr>
          <w:szCs w:val="24"/>
          <w:lang w:val="fr-CA"/>
        </w:rPr>
        <w:t>d’</w:t>
      </w:r>
      <w:r w:rsidRPr="003D57C5">
        <w:rPr>
          <w:szCs w:val="24"/>
          <w:lang w:val="fr-CA"/>
        </w:rPr>
        <w:t>assurer sa crédibilité auprès des justiciables. Le prononcé d’une ordonnance d’outrage exige le respect de conditions d’application strictes, notamment la norme de preuve applicable en droit criminel</w:t>
      </w:r>
      <w:r w:rsidRPr="003D57C5">
        <w:rPr>
          <w:lang w:val="fr-CA"/>
        </w:rPr>
        <w:t xml:space="preserve">. Cela ne veut pas dire pour autant que l’application de ce pouvoir doit être à ce point ardue que celui-ci ne peut plus concrètement être exercé. </w:t>
      </w:r>
    </w:p>
    <w:p w:rsidR="00662D8D" w:rsidRPr="003D57C5" w:rsidRDefault="00662D8D" w:rsidP="003223DD">
      <w:pPr>
        <w:pStyle w:val="SCCNormalDoubleSpacing"/>
        <w:widowControl w:val="0"/>
        <w:spacing w:before="480" w:after="480"/>
        <w:rPr>
          <w:szCs w:val="24"/>
          <w:lang w:val="fr-CA"/>
        </w:rPr>
      </w:pPr>
      <w:r w:rsidRPr="003D57C5">
        <w:rPr>
          <w:lang w:val="fr-CA"/>
        </w:rPr>
        <w:tab/>
        <w:t xml:space="preserve">En l’espèce, </w:t>
      </w:r>
      <w:r>
        <w:rPr>
          <w:lang w:val="fr-CA"/>
        </w:rPr>
        <w:t>N</w:t>
      </w:r>
      <w:r>
        <w:rPr>
          <w:lang w:val="fr-CA"/>
        </w:rPr>
        <w:noBreakHyphen/>
        <w:t>D</w:t>
      </w:r>
      <w:r w:rsidRPr="003D57C5">
        <w:rPr>
          <w:lang w:val="fr-CA"/>
        </w:rPr>
        <w:t xml:space="preserve"> savait précisément qu’il devait répondre à l’accusation d’outrage portée en vertu des art. 761 et</w:t>
      </w:r>
      <w:r w:rsidRPr="003D57C5">
        <w:rPr>
          <w:szCs w:val="24"/>
          <w:lang w:val="fr-CA"/>
        </w:rPr>
        <w:t xml:space="preserve"> 50 al. 1 du </w:t>
      </w:r>
      <w:r w:rsidRPr="003D57C5">
        <w:rPr>
          <w:i/>
          <w:szCs w:val="24"/>
          <w:lang w:val="fr-CA"/>
        </w:rPr>
        <w:t>Code de procédure civile</w:t>
      </w:r>
      <w:r w:rsidRPr="003D57C5">
        <w:rPr>
          <w:szCs w:val="24"/>
          <w:lang w:val="fr-CA"/>
        </w:rPr>
        <w:t xml:space="preserve">, compte tenu des précisions apportées par l’avocat de M lors de sa comparution en première instance, de l’ordonnance spéciale de comparaître qui fait expressément état des deux articles, des faits que M reproche à </w:t>
      </w:r>
      <w:r>
        <w:rPr>
          <w:szCs w:val="24"/>
          <w:lang w:val="fr-CA"/>
        </w:rPr>
        <w:t>N</w:t>
      </w:r>
      <w:r>
        <w:rPr>
          <w:szCs w:val="24"/>
          <w:lang w:val="fr-CA"/>
        </w:rPr>
        <w:noBreakHyphen/>
        <w:t>D</w:t>
      </w:r>
      <w:r w:rsidRPr="003D57C5">
        <w:rPr>
          <w:szCs w:val="24"/>
          <w:lang w:val="fr-CA"/>
        </w:rPr>
        <w:t xml:space="preserve"> dans sa requête et de la description des allégations formulées contre ce dernier, ainsi que des arguments que </w:t>
      </w:r>
      <w:r>
        <w:rPr>
          <w:szCs w:val="24"/>
          <w:lang w:val="fr-CA"/>
        </w:rPr>
        <w:t>N</w:t>
      </w:r>
      <w:r>
        <w:rPr>
          <w:szCs w:val="24"/>
          <w:lang w:val="fr-CA"/>
        </w:rPr>
        <w:noBreakHyphen/>
        <w:t>D</w:t>
      </w:r>
      <w:r w:rsidRPr="003D57C5">
        <w:rPr>
          <w:szCs w:val="24"/>
          <w:lang w:val="fr-CA"/>
        </w:rPr>
        <w:t xml:space="preserve"> a présentés lors du procès. </w:t>
      </w:r>
      <w:r w:rsidRPr="003D57C5">
        <w:rPr>
          <w:lang w:val="fr-CA"/>
        </w:rPr>
        <w:t xml:space="preserve">Le juge de première instance était donc justifié de décider si </w:t>
      </w:r>
      <w:r>
        <w:rPr>
          <w:lang w:val="fr-CA"/>
        </w:rPr>
        <w:t>N</w:t>
      </w:r>
      <w:r>
        <w:rPr>
          <w:lang w:val="fr-CA"/>
        </w:rPr>
        <w:noBreakHyphen/>
        <w:t>D</w:t>
      </w:r>
      <w:r w:rsidRPr="003D57C5">
        <w:rPr>
          <w:lang w:val="fr-CA"/>
        </w:rPr>
        <w:t xml:space="preserve"> était coupable en vertu de la dernière partie de l’art. 50 al. 1 du </w:t>
      </w:r>
      <w:r w:rsidRPr="003D57C5">
        <w:rPr>
          <w:i/>
          <w:lang w:val="fr-CA"/>
        </w:rPr>
        <w:t>Code</w:t>
      </w:r>
      <w:r w:rsidRPr="003D57C5">
        <w:rPr>
          <w:lang w:val="fr-CA"/>
        </w:rPr>
        <w:t xml:space="preserve">. </w:t>
      </w:r>
    </w:p>
    <w:p w:rsidR="00662D8D" w:rsidRPr="003D57C5" w:rsidRDefault="00662D8D" w:rsidP="003223DD">
      <w:pPr>
        <w:pStyle w:val="SCCNormalDoubleSpacing"/>
        <w:widowControl w:val="0"/>
        <w:spacing w:before="480" w:after="480"/>
        <w:rPr>
          <w:szCs w:val="24"/>
          <w:lang w:val="fr-CA"/>
        </w:rPr>
      </w:pPr>
      <w:r w:rsidRPr="003D57C5">
        <w:rPr>
          <w:lang w:val="fr-CA"/>
        </w:rPr>
        <w:lastRenderedPageBreak/>
        <w:tab/>
        <w:t>La connaissance spécifique d’une ordonnance n’est pas essentielle pour les fins de la dernière partie de l’</w:t>
      </w:r>
      <w:r>
        <w:rPr>
          <w:lang w:val="fr-CA"/>
        </w:rPr>
        <w:t>art. </w:t>
      </w:r>
      <w:r w:rsidRPr="003D57C5">
        <w:rPr>
          <w:lang w:val="fr-CA"/>
        </w:rPr>
        <w:t xml:space="preserve">50 al. 1 du </w:t>
      </w:r>
      <w:r w:rsidRPr="003D57C5">
        <w:rPr>
          <w:i/>
          <w:lang w:val="fr-CA"/>
        </w:rPr>
        <w:t>Code</w:t>
      </w:r>
      <w:r w:rsidRPr="003D57C5">
        <w:rPr>
          <w:lang w:val="fr-CA"/>
        </w:rPr>
        <w:t xml:space="preserve">. </w:t>
      </w:r>
      <w:r w:rsidRPr="003D57C5">
        <w:rPr>
          <w:szCs w:val="24"/>
          <w:lang w:val="fr-CA"/>
        </w:rPr>
        <w:t xml:space="preserve">Cette infraction </w:t>
      </w:r>
      <w:r w:rsidRPr="003D57C5">
        <w:rPr>
          <w:lang w:val="fr-CA"/>
        </w:rPr>
        <w:t>est de portée plus générale que la seule violation des ordonnances</w:t>
      </w:r>
      <w:r w:rsidRPr="003D57C5">
        <w:rPr>
          <w:szCs w:val="24"/>
          <w:lang w:val="fr-CA"/>
        </w:rPr>
        <w:t>. Une</w:t>
      </w:r>
      <w:r w:rsidRPr="003D57C5">
        <w:rPr>
          <w:lang w:val="fr-CA"/>
        </w:rPr>
        <w:t xml:space="preserve"> condamnation pour outrage au tribunal est possible, </w:t>
      </w:r>
      <w:r w:rsidRPr="003D57C5">
        <w:rPr>
          <w:szCs w:val="24"/>
          <w:lang w:val="fr-CA"/>
        </w:rPr>
        <w:t xml:space="preserve">sous le régime de cette disposition, </w:t>
      </w:r>
      <w:r w:rsidRPr="003D57C5">
        <w:rPr>
          <w:lang w:val="fr-CA"/>
        </w:rPr>
        <w:t>même si l’ordonnance sous-jacente n’a pas encore pris effet. La connaissance personnelle réelle de l’ordonnance d’un tribunal, exigée par la jurisprudence, peut toujours être inférée de la preuve circonstancielle</w:t>
      </w:r>
      <w:r w:rsidRPr="003D57C5">
        <w:rPr>
          <w:lang w:val="fr-CA" w:bidi="en-US"/>
        </w:rPr>
        <w:t>.</w:t>
      </w:r>
      <w:r w:rsidRPr="003D57C5">
        <w:rPr>
          <w:lang w:val="fr-CA"/>
        </w:rPr>
        <w:t xml:space="preserve"> L’inférence doit être raisonnable compte tenu d’une appréciation logique de la preuve ou de l’absence de preuve, et suivant le bon sens et l’expérience humaine. La preuve doit établir que celui accusé d’avoir incité d’autres personnes à violer une ordonnance connaissait</w:t>
      </w:r>
      <w:r w:rsidRPr="003D57C5">
        <w:rPr>
          <w:szCs w:val="24"/>
          <w:lang w:val="fr-CA"/>
        </w:rPr>
        <w:t xml:space="preserve"> l’existence d’une ou de plusieurs ordonnances en vigueur au moment de l’infraction et qu’il était en mesure de savoir que ses actes ou ses paroles contrevenaient à ces ordonnances.</w:t>
      </w:r>
    </w:p>
    <w:p w:rsidR="00662D8D" w:rsidRPr="003D57C5" w:rsidRDefault="00662D8D" w:rsidP="003223DD">
      <w:pPr>
        <w:pStyle w:val="SCCNormalDoubleSpacing"/>
        <w:widowControl w:val="0"/>
        <w:spacing w:before="480" w:after="480"/>
        <w:rPr>
          <w:lang w:val="fr-CA"/>
        </w:rPr>
      </w:pPr>
      <w:r w:rsidRPr="003D57C5">
        <w:rPr>
          <w:lang w:val="fr-CA"/>
        </w:rPr>
        <w:tab/>
        <w:t xml:space="preserve">En </w:t>
      </w:r>
      <w:r w:rsidRPr="003D57C5">
        <w:rPr>
          <w:szCs w:val="24"/>
          <w:lang w:val="fr-CA"/>
        </w:rPr>
        <w:t>l’espèce</w:t>
      </w:r>
      <w:r w:rsidRPr="003D57C5">
        <w:rPr>
          <w:lang w:val="fr-CA"/>
        </w:rPr>
        <w:t xml:space="preserve">, une analyse </w:t>
      </w:r>
      <w:r w:rsidRPr="003D57C5">
        <w:rPr>
          <w:szCs w:val="24"/>
          <w:lang w:val="fr-CA"/>
        </w:rPr>
        <w:t>contextuelle</w:t>
      </w:r>
      <w:r w:rsidRPr="003D57C5">
        <w:rPr>
          <w:lang w:val="fr-CA"/>
        </w:rPr>
        <w:t xml:space="preserve"> des propos de </w:t>
      </w:r>
      <w:r>
        <w:rPr>
          <w:lang w:val="fr-CA"/>
        </w:rPr>
        <w:t>N</w:t>
      </w:r>
      <w:r>
        <w:rPr>
          <w:lang w:val="fr-CA"/>
        </w:rPr>
        <w:noBreakHyphen/>
        <w:t>D</w:t>
      </w:r>
      <w:r w:rsidRPr="003D57C5">
        <w:rPr>
          <w:lang w:val="fr-CA"/>
        </w:rPr>
        <w:t xml:space="preserve"> ne peut mener qu’à une seule conclusion raisonnable. Considérées dans le contexte de l’ensemble de l’entrevue, les paroles de </w:t>
      </w:r>
      <w:r>
        <w:rPr>
          <w:lang w:val="fr-CA"/>
        </w:rPr>
        <w:t>N</w:t>
      </w:r>
      <w:r>
        <w:rPr>
          <w:lang w:val="fr-CA"/>
        </w:rPr>
        <w:noBreakHyphen/>
        <w:t>D</w:t>
      </w:r>
      <w:r w:rsidRPr="003D57C5">
        <w:rPr>
          <w:lang w:val="fr-CA"/>
        </w:rPr>
        <w:t xml:space="preserve"> démontrent au-delà de tout doute raisonnable qu’il connaissait l’existence des ordonnances, ainsi que la teneur et la portée de celles-ci, et qu’</w:t>
      </w:r>
      <w:r w:rsidRPr="003D57C5">
        <w:rPr>
          <w:spacing w:val="-3"/>
          <w:lang w:val="fr-CA"/>
        </w:rPr>
        <w:t xml:space="preserve">il a incité les étudiants à y contrevenir. </w:t>
      </w:r>
    </w:p>
    <w:p w:rsidR="00662D8D" w:rsidRPr="003D57C5" w:rsidRDefault="00662D8D" w:rsidP="003223DD">
      <w:pPr>
        <w:pStyle w:val="SCCNormalDoubleSpacing"/>
        <w:widowControl w:val="0"/>
        <w:spacing w:before="480" w:after="480"/>
        <w:rPr>
          <w:lang w:val="fr-CA"/>
        </w:rPr>
      </w:pPr>
      <w:r w:rsidRPr="003D57C5">
        <w:rPr>
          <w:lang w:val="fr-CA"/>
        </w:rPr>
        <w:tab/>
        <w:t>La conclusion du juge de première instance sur l’</w:t>
      </w:r>
      <w:r w:rsidRPr="003D57C5">
        <w:rPr>
          <w:i/>
          <w:lang w:val="fr-CA"/>
        </w:rPr>
        <w:t xml:space="preserve">actus reus </w:t>
      </w:r>
      <w:r w:rsidRPr="003D57C5">
        <w:rPr>
          <w:lang w:val="fr-CA"/>
        </w:rPr>
        <w:t>mérite déférence. L’</w:t>
      </w:r>
      <w:r w:rsidRPr="003D57C5">
        <w:rPr>
          <w:i/>
          <w:lang w:val="fr-CA"/>
        </w:rPr>
        <w:t xml:space="preserve">actus reus </w:t>
      </w:r>
      <w:r w:rsidRPr="003D57C5">
        <w:rPr>
          <w:lang w:val="fr-CA"/>
        </w:rPr>
        <w:t>correspondant à la première partie de l’</w:t>
      </w:r>
      <w:r>
        <w:rPr>
          <w:lang w:val="fr-CA"/>
        </w:rPr>
        <w:t xml:space="preserve">art. </w:t>
      </w:r>
      <w:r w:rsidRPr="003D57C5">
        <w:rPr>
          <w:lang w:val="fr-CA"/>
        </w:rPr>
        <w:t xml:space="preserve">50 al. 1 du </w:t>
      </w:r>
      <w:r w:rsidRPr="003D57C5">
        <w:rPr>
          <w:i/>
          <w:lang w:val="fr-CA"/>
        </w:rPr>
        <w:t>Code</w:t>
      </w:r>
      <w:r w:rsidRPr="003D57C5">
        <w:rPr>
          <w:lang w:val="fr-CA"/>
        </w:rPr>
        <w:t xml:space="preserve"> est une contravention à une ordonnance ou à une injonction d’un tribunal. Par contre, l’</w:t>
      </w:r>
      <w:r w:rsidRPr="003D57C5">
        <w:rPr>
          <w:i/>
          <w:lang w:val="fr-CA"/>
        </w:rPr>
        <w:t xml:space="preserve">actus reus </w:t>
      </w:r>
      <w:r w:rsidRPr="003D57C5">
        <w:rPr>
          <w:lang w:val="fr-CA"/>
        </w:rPr>
        <w:t xml:space="preserve">visé par la dernière partie de cette disposition s’entend de toute action qui entrave ou tend à entraver le cours normal de l’administration de la justice, ainsi que </w:t>
      </w:r>
      <w:r w:rsidRPr="003D57C5">
        <w:rPr>
          <w:lang w:val="fr-CA"/>
        </w:rPr>
        <w:lastRenderedPageBreak/>
        <w:t>de toute action qui porte ou tend à porter atteinte à l’autorité ou à la dignité du tribunal. Appréciées dans le contexte de l’ensemble de l’entrevue</w:t>
      </w:r>
      <w:r>
        <w:rPr>
          <w:lang w:val="fr-CA"/>
        </w:rPr>
        <w:t>,</w:t>
      </w:r>
      <w:r w:rsidRPr="003D57C5">
        <w:rPr>
          <w:lang w:val="fr-CA"/>
        </w:rPr>
        <w:t xml:space="preserve"> les paroles de </w:t>
      </w:r>
      <w:r>
        <w:rPr>
          <w:lang w:val="fr-CA"/>
        </w:rPr>
        <w:t>N</w:t>
      </w:r>
      <w:r>
        <w:rPr>
          <w:lang w:val="fr-CA"/>
        </w:rPr>
        <w:noBreakHyphen/>
        <w:t>D</w:t>
      </w:r>
      <w:r w:rsidRPr="003D57C5">
        <w:rPr>
          <w:lang w:val="fr-CA"/>
        </w:rPr>
        <w:t xml:space="preserve"> constituaient une incitation à contrevenir à l’ordonnance en question ainsi qu’aux autres ordonnances visant à assurer l’accès des étudiants à leurs cours.</w:t>
      </w:r>
    </w:p>
    <w:p w:rsidR="00662D8D" w:rsidRPr="003D57C5" w:rsidRDefault="00662D8D" w:rsidP="003223DD">
      <w:pPr>
        <w:pStyle w:val="SCCNormalDoubleSpacing"/>
        <w:widowControl w:val="0"/>
        <w:spacing w:before="480" w:after="480"/>
        <w:rPr>
          <w:lang w:val="fr-CA"/>
        </w:rPr>
      </w:pPr>
      <w:r w:rsidRPr="003D57C5">
        <w:rPr>
          <w:lang w:val="fr-CA"/>
        </w:rPr>
        <w:tab/>
        <w:t xml:space="preserve">La conclusion du juge de première instance sur la </w:t>
      </w:r>
      <w:r w:rsidRPr="003D57C5">
        <w:rPr>
          <w:i/>
          <w:lang w:val="fr-CA"/>
        </w:rPr>
        <w:t>mens rea</w:t>
      </w:r>
      <w:r w:rsidRPr="003D57C5">
        <w:rPr>
          <w:lang w:val="fr-CA"/>
        </w:rPr>
        <w:t xml:space="preserve"> ne justifie pas une intervention. L’intention d’entraver l’administration de la justice ou de porter atteinte à l’autorité ou à la dignité du tribunal ne constitue pas un élément essentiel de l’infraction d’outrage au tribunal; l’insouciance à l’égard de cette conséquence suffit. </w:t>
      </w:r>
      <w:r w:rsidRPr="003D57C5">
        <w:rPr>
          <w:lang w:val="fr-FR"/>
        </w:rPr>
        <w:t xml:space="preserve">Vu le contexte dans lequel </w:t>
      </w:r>
      <w:r>
        <w:rPr>
          <w:lang w:val="fr-FR"/>
        </w:rPr>
        <w:t>N</w:t>
      </w:r>
      <w:r>
        <w:rPr>
          <w:lang w:val="fr-FR"/>
        </w:rPr>
        <w:noBreakHyphen/>
        <w:t>D</w:t>
      </w:r>
      <w:r w:rsidRPr="003D57C5">
        <w:rPr>
          <w:lang w:val="fr-FR"/>
        </w:rPr>
        <w:t xml:space="preserve"> a prononcé ses paroles, il savait que sa transgression serait publique et il est permis d’inférer qu’à tout le moins il ne se souciait pas de savoir s’il y aurait atteinte à l’autorité de la cour.</w:t>
      </w:r>
    </w:p>
    <w:p w:rsidR="00662D8D" w:rsidRPr="003D57C5" w:rsidRDefault="00662D8D" w:rsidP="003223DD">
      <w:pPr>
        <w:pStyle w:val="SCCNormalDoubleSpacing"/>
        <w:widowControl w:val="0"/>
        <w:spacing w:before="480" w:after="480"/>
        <w:rPr>
          <w:lang w:val="fr-CA"/>
        </w:rPr>
      </w:pPr>
      <w:r w:rsidRPr="003D57C5">
        <w:rPr>
          <w:lang w:val="fr-FR"/>
        </w:rPr>
        <w:tab/>
        <w:t>L</w:t>
      </w:r>
      <w:r w:rsidRPr="003D57C5">
        <w:rPr>
          <w:lang w:val="fr-CA"/>
        </w:rPr>
        <w:t>’importance de la liberté d’expression et de sa protection dans une société démocratique ne saurait jamais être exagérée. Or on ne peut, sous prétexte d’exercer sa liberté d’expression, inciter des citoyens à violer une ordonnance de la cour. Le fait d’assurer le respect des ordonnances prononcées par les tribunaux et, ainsi, de maintenir l’autorité et la crédibilité de ceux-ci, a pour effet d’appuyer le principe de la primauté du droit et, par ricochet, les libertés fondamentales, dont la liberté d’expression.</w:t>
      </w:r>
    </w:p>
    <w:p w:rsidR="00662D8D" w:rsidRPr="003D57C5" w:rsidRDefault="00662D8D" w:rsidP="003223DD">
      <w:pPr>
        <w:pStyle w:val="SCCNormalDoubleSpacing"/>
        <w:widowControl w:val="0"/>
        <w:spacing w:before="480" w:after="480"/>
        <w:rPr>
          <w:lang w:val="fr-CA"/>
        </w:rPr>
      </w:pPr>
      <w:r w:rsidRPr="003D57C5">
        <w:rPr>
          <w:lang w:val="fr-CA"/>
        </w:rPr>
        <w:tab/>
        <w:t xml:space="preserve">La peine infligée par le juge de première instance n’était ni déraisonnable ni disproportionnée. Le juge a correctement appliqué les règles relatives à l’admissibilité de la preuve à l’étape de la détermination de la peine. L’argument de </w:t>
      </w:r>
      <w:r>
        <w:rPr>
          <w:lang w:val="fr-CA"/>
        </w:rPr>
        <w:lastRenderedPageBreak/>
        <w:t>N</w:t>
      </w:r>
      <w:r>
        <w:rPr>
          <w:lang w:val="fr-CA"/>
        </w:rPr>
        <w:noBreakHyphen/>
        <w:t>D</w:t>
      </w:r>
      <w:r w:rsidRPr="003D57C5">
        <w:rPr>
          <w:lang w:val="fr-CA"/>
        </w:rPr>
        <w:t xml:space="preserve"> voulant qu’au moment où la peine a été infligée, la nécessité d’empêcher la violation des ordonnances n’existait plus en vertu d’une intervention législative fait abstraction de l’objectif de dénonciation en cas d’outrage au tribunal. La peine infligée ne s’écarte pas de manière déraisonnable des sanctions imposées en semblable matière, où l’outrage avait une connotation publique. </w:t>
      </w:r>
    </w:p>
    <w:p w:rsidR="00662D8D" w:rsidRPr="003D57C5" w:rsidRDefault="00662D8D" w:rsidP="003223DD">
      <w:pPr>
        <w:pStyle w:val="SCCNormalDoubleSpacing"/>
        <w:widowControl w:val="0"/>
        <w:spacing w:after="720" w:line="240" w:lineRule="auto"/>
        <w:rPr>
          <w:lang w:val="fr-CA"/>
        </w:rPr>
      </w:pPr>
      <w:r w:rsidRPr="003D57C5">
        <w:rPr>
          <w:b/>
          <w:lang w:val="fr-CA"/>
        </w:rPr>
        <w:t>Jurisprudence</w:t>
      </w:r>
    </w:p>
    <w:p w:rsidR="00662D8D" w:rsidRPr="003D57C5" w:rsidRDefault="00662D8D" w:rsidP="003223DD">
      <w:pPr>
        <w:pStyle w:val="SCCNormalDoubleSpacing"/>
        <w:widowControl w:val="0"/>
        <w:spacing w:after="720" w:line="240" w:lineRule="auto"/>
        <w:rPr>
          <w:lang w:val="fr-CA"/>
        </w:rPr>
      </w:pPr>
      <w:r w:rsidRPr="003D57C5">
        <w:rPr>
          <w:lang w:val="fr-CA"/>
        </w:rPr>
        <w:t>Citée par les juges Abella et Gascon</w:t>
      </w:r>
    </w:p>
    <w:p w:rsidR="00662D8D" w:rsidRPr="003D57C5" w:rsidRDefault="00662D8D" w:rsidP="003223DD">
      <w:pPr>
        <w:pStyle w:val="SCCNormalDoubleSpacing"/>
        <w:widowControl w:val="0"/>
        <w:spacing w:after="480"/>
        <w:rPr>
          <w:lang w:val="fr-CA"/>
        </w:rPr>
      </w:pPr>
      <w:r w:rsidRPr="003D57C5">
        <w:rPr>
          <w:lang w:val="fr-CA"/>
        </w:rPr>
        <w:tab/>
      </w:r>
      <w:r w:rsidRPr="003D57C5">
        <w:rPr>
          <w:b/>
          <w:lang w:val="fr-CA"/>
        </w:rPr>
        <w:t>Arrêts mentionnés :</w:t>
      </w:r>
      <w:r w:rsidRPr="003D57C5">
        <w:rPr>
          <w:lang w:val="fr-CA"/>
        </w:rPr>
        <w:t xml:space="preserve"> </w:t>
      </w:r>
      <w:r w:rsidRPr="003D57C5">
        <w:rPr>
          <w:i/>
          <w:lang w:val="fr-CA"/>
        </w:rPr>
        <w:t>Morasse c. Université Laval</w:t>
      </w:r>
      <w:r w:rsidRPr="003D57C5">
        <w:rPr>
          <w:lang w:val="fr-CA"/>
        </w:rPr>
        <w:t xml:space="preserve">, 2012 QCCS 1565; </w:t>
      </w:r>
      <w:r w:rsidRPr="003D57C5">
        <w:rPr>
          <w:i/>
          <w:lang w:val="fr-CA"/>
        </w:rPr>
        <w:t>Morasse c. Université Laval</w:t>
      </w:r>
      <w:r w:rsidRPr="003D57C5">
        <w:rPr>
          <w:lang w:val="fr-CA"/>
        </w:rPr>
        <w:t xml:space="preserve">, 2012 QCCS 1859; </w:t>
      </w:r>
      <w:r w:rsidRPr="003D57C5">
        <w:rPr>
          <w:i/>
          <w:lang w:val="fr-CA"/>
        </w:rPr>
        <w:t>Lavoie c. Collège de Rosemont</w:t>
      </w:r>
      <w:r w:rsidRPr="003D57C5">
        <w:rPr>
          <w:lang w:val="fr-CA"/>
        </w:rPr>
        <w:t xml:space="preserve">, 2012 QCCS 1685; </w:t>
      </w:r>
      <w:r w:rsidRPr="003D57C5">
        <w:rPr>
          <w:i/>
          <w:lang w:val="fr-CA"/>
        </w:rPr>
        <w:t>Goudreault c. Collège de Rosemont</w:t>
      </w:r>
      <w:r w:rsidRPr="003D57C5">
        <w:rPr>
          <w:lang w:val="fr-CA"/>
        </w:rPr>
        <w:t xml:space="preserve">, 2012 QCCS 2017; </w:t>
      </w:r>
      <w:r w:rsidRPr="003D57C5">
        <w:rPr>
          <w:i/>
          <w:lang w:val="fr-CA"/>
        </w:rPr>
        <w:t>Caron c. Paul Albert Chevrolet Buick Cadillac inc.</w:t>
      </w:r>
      <w:r w:rsidRPr="003D57C5">
        <w:rPr>
          <w:lang w:val="fr-CA"/>
        </w:rPr>
        <w:t xml:space="preserve">, 2016 QCCA 564; </w:t>
      </w:r>
      <w:r w:rsidRPr="003D57C5">
        <w:rPr>
          <w:i/>
          <w:lang w:val="fr-CA"/>
        </w:rPr>
        <w:t>Carey c. Laiken</w:t>
      </w:r>
      <w:r w:rsidRPr="003D57C5">
        <w:rPr>
          <w:lang w:val="fr-CA"/>
        </w:rPr>
        <w:t xml:space="preserve">, 2015 CSC 17, [2015] 2 R.C.S. 79; </w:t>
      </w:r>
      <w:r w:rsidRPr="003D57C5">
        <w:rPr>
          <w:i/>
          <w:lang w:val="fr-CA"/>
        </w:rPr>
        <w:t>Centre commercial Les Rivières ltée c. Jean bleu inc.</w:t>
      </w:r>
      <w:r w:rsidRPr="003D57C5">
        <w:rPr>
          <w:lang w:val="fr-CA"/>
        </w:rPr>
        <w:t xml:space="preserve">, 2012 QCCA 1663; </w:t>
      </w:r>
      <w:r w:rsidRPr="003D57C5">
        <w:rPr>
          <w:i/>
          <w:lang w:val="fr-CA"/>
        </w:rPr>
        <w:t>Vidéotron Ltée c. Industries Microlec Produits Électroniques Inc.</w:t>
      </w:r>
      <w:r w:rsidRPr="003D57C5">
        <w:rPr>
          <w:lang w:val="fr-CA"/>
        </w:rPr>
        <w:t xml:space="preserve">, [1992] 2 R.C.S. 1065; </w:t>
      </w:r>
      <w:r w:rsidRPr="003D57C5">
        <w:rPr>
          <w:i/>
          <w:lang w:val="fr-CA"/>
        </w:rPr>
        <w:t>Guay c. Lebel</w:t>
      </w:r>
      <w:r w:rsidRPr="003D57C5">
        <w:rPr>
          <w:lang w:val="fr-CA"/>
        </w:rPr>
        <w:t xml:space="preserve">, 2016 QCCA 1555; </w:t>
      </w:r>
      <w:r w:rsidRPr="003D57C5">
        <w:rPr>
          <w:i/>
          <w:lang w:val="fr-CA"/>
        </w:rPr>
        <w:t>Droit de la famille — 122875</w:t>
      </w:r>
      <w:r w:rsidRPr="003D57C5">
        <w:rPr>
          <w:lang w:val="fr-CA"/>
        </w:rPr>
        <w:t xml:space="preserve">, 2012 QCCA 1855, 29 R.F.L. (7th) 137; </w:t>
      </w:r>
      <w:r w:rsidRPr="003D57C5">
        <w:rPr>
          <w:i/>
          <w:lang w:val="fr-CA"/>
        </w:rPr>
        <w:t>Javanmardi c. Collège des médecins du Québec</w:t>
      </w:r>
      <w:r w:rsidRPr="003D57C5">
        <w:rPr>
          <w:lang w:val="fr-CA"/>
        </w:rPr>
        <w:t xml:space="preserve">, 2013 QCCA 306, [2013] R.J.Q. 328; </w:t>
      </w:r>
      <w:r w:rsidRPr="003D57C5">
        <w:rPr>
          <w:i/>
          <w:lang w:val="fr-CA"/>
        </w:rPr>
        <w:t>Godin c. Godin</w:t>
      </w:r>
      <w:r w:rsidRPr="003D57C5">
        <w:rPr>
          <w:lang w:val="fr-CA"/>
        </w:rPr>
        <w:t xml:space="preserve">, 2012 NSCA 54, 317 N.S.R. (2d) 204; </w:t>
      </w:r>
      <w:r w:rsidRPr="003D57C5">
        <w:rPr>
          <w:i/>
          <w:lang w:val="fr-CA"/>
        </w:rPr>
        <w:t>Imperial Oil Ltd. c. Tanguay</w:t>
      </w:r>
      <w:r w:rsidRPr="003D57C5">
        <w:rPr>
          <w:lang w:val="fr-CA"/>
        </w:rPr>
        <w:t xml:space="preserve">, [1971] C.A. 109; </w:t>
      </w:r>
      <w:r w:rsidRPr="003D57C5">
        <w:rPr>
          <w:i/>
          <w:lang w:val="fr-CA"/>
        </w:rPr>
        <w:t>Constructions Louisbourg ltée c. Société Radio</w:t>
      </w:r>
      <w:r w:rsidRPr="003D57C5">
        <w:rPr>
          <w:i/>
          <w:lang w:val="fr-CA"/>
        </w:rPr>
        <w:noBreakHyphen/>
        <w:t>Canada</w:t>
      </w:r>
      <w:r w:rsidRPr="003D57C5">
        <w:rPr>
          <w:lang w:val="fr-CA"/>
        </w:rPr>
        <w:t xml:space="preserve">, 2014 QCCA 155; </w:t>
      </w:r>
      <w:r w:rsidRPr="003D57C5">
        <w:rPr>
          <w:i/>
          <w:lang w:val="fr-CA"/>
        </w:rPr>
        <w:t>Trudel c. Foucher</w:t>
      </w:r>
      <w:r w:rsidRPr="003D57C5">
        <w:rPr>
          <w:lang w:val="fr-CA"/>
        </w:rPr>
        <w:t xml:space="preserve">, 2015 QCCA 691; </w:t>
      </w:r>
      <w:r w:rsidRPr="003D57C5">
        <w:rPr>
          <w:i/>
          <w:lang w:val="fr-CA"/>
        </w:rPr>
        <w:t>Chamandy c. Chartier</w:t>
      </w:r>
      <w:r w:rsidRPr="003D57C5">
        <w:rPr>
          <w:lang w:val="fr-CA"/>
        </w:rPr>
        <w:t xml:space="preserve">, 2015 QCCA 1142; </w:t>
      </w:r>
      <w:r w:rsidRPr="003D57C5">
        <w:rPr>
          <w:i/>
          <w:lang w:val="fr-CA"/>
        </w:rPr>
        <w:t>Montréal (Ville de) c. Syndicat des cols bleus regroupés de Montréal (SCFP), section locale 301</w:t>
      </w:r>
      <w:r w:rsidRPr="003D57C5">
        <w:rPr>
          <w:lang w:val="fr-CA"/>
        </w:rPr>
        <w:t xml:space="preserve">, 2006 QCCS 5273; </w:t>
      </w:r>
      <w:r w:rsidRPr="003D57C5">
        <w:rPr>
          <w:i/>
          <w:lang w:val="fr-CA"/>
        </w:rPr>
        <w:t>Gougoux c. Richard</w:t>
      </w:r>
      <w:r w:rsidRPr="003D57C5">
        <w:rPr>
          <w:lang w:val="fr-CA"/>
        </w:rPr>
        <w:t xml:space="preserve">, 2005 CanLII 37770; </w:t>
      </w:r>
      <w:r w:rsidRPr="003D57C5">
        <w:rPr>
          <w:i/>
          <w:lang w:val="fr-CA"/>
        </w:rPr>
        <w:t>Estrada c. Young</w:t>
      </w:r>
      <w:r w:rsidRPr="003D57C5">
        <w:rPr>
          <w:lang w:val="fr-CA"/>
        </w:rPr>
        <w:t xml:space="preserve">, 2005 QCCA 493; </w:t>
      </w:r>
      <w:r w:rsidRPr="003D57C5">
        <w:rPr>
          <w:i/>
          <w:lang w:val="fr-CA"/>
        </w:rPr>
        <w:t>Zhang c. Chau</w:t>
      </w:r>
      <w:r w:rsidRPr="003D57C5">
        <w:rPr>
          <w:lang w:val="fr-CA"/>
        </w:rPr>
        <w:t xml:space="preserve"> </w:t>
      </w:r>
      <w:r w:rsidRPr="003D57C5">
        <w:rPr>
          <w:lang w:val="fr-CA"/>
        </w:rPr>
        <w:lastRenderedPageBreak/>
        <w:t xml:space="preserve">(2003), 229 D.L.R. (4th) 298; </w:t>
      </w:r>
      <w:r w:rsidRPr="003D57C5">
        <w:rPr>
          <w:i/>
          <w:lang w:val="fr-CA"/>
        </w:rPr>
        <w:t>R. c. Kopyto</w:t>
      </w:r>
      <w:r w:rsidRPr="003D57C5">
        <w:rPr>
          <w:lang w:val="fr-CA"/>
        </w:rPr>
        <w:t xml:space="preserve"> (1987), 62 O.R. (2d) 449; </w:t>
      </w:r>
      <w:r w:rsidRPr="003D57C5">
        <w:rPr>
          <w:i/>
          <w:lang w:val="fr-CA"/>
        </w:rPr>
        <w:t>Attorney</w:t>
      </w:r>
      <w:r w:rsidRPr="003D57C5">
        <w:rPr>
          <w:i/>
          <w:lang w:val="fr-CA"/>
        </w:rPr>
        <w:noBreakHyphen/>
        <w:t>General c. Times Newspapers Ltd.</w:t>
      </w:r>
      <w:r w:rsidRPr="003D57C5">
        <w:rPr>
          <w:lang w:val="fr-CA"/>
        </w:rPr>
        <w:t xml:space="preserve">, [1973] 3 All E.R. 54; </w:t>
      </w:r>
      <w:r w:rsidRPr="003D57C5">
        <w:rPr>
          <w:i/>
          <w:lang w:val="fr-CA"/>
        </w:rPr>
        <w:t>Boucher c. The King</w:t>
      </w:r>
      <w:r w:rsidRPr="003D57C5">
        <w:rPr>
          <w:lang w:val="fr-CA"/>
        </w:rPr>
        <w:t xml:space="preserve">, [1951] R.C.S. 265; </w:t>
      </w:r>
      <w:r w:rsidRPr="003D57C5">
        <w:rPr>
          <w:i/>
          <w:lang w:val="fr-CA"/>
        </w:rPr>
        <w:t>Re Ouellet (No. 1)</w:t>
      </w:r>
      <w:r w:rsidRPr="003D57C5">
        <w:rPr>
          <w:lang w:val="fr-CA"/>
        </w:rPr>
        <w:t xml:space="preserve"> (1976), 28 C.C.C. (2d) 338; </w:t>
      </w:r>
      <w:r w:rsidRPr="003D57C5">
        <w:rPr>
          <w:i/>
          <w:lang w:val="fr-CA"/>
        </w:rPr>
        <w:t>Prud’homme c. Prud’homme</w:t>
      </w:r>
      <w:r w:rsidRPr="003D57C5">
        <w:rPr>
          <w:lang w:val="fr-CA"/>
        </w:rPr>
        <w:t xml:space="preserve">, 1997 CanLII 8253; </w:t>
      </w:r>
      <w:r w:rsidRPr="003D57C5">
        <w:rPr>
          <w:i/>
          <w:lang w:val="fr-CA"/>
        </w:rPr>
        <w:t>S.D.G.M.R., section locale 558 c. Pepsi</w:t>
      </w:r>
      <w:r w:rsidRPr="003D57C5">
        <w:rPr>
          <w:i/>
          <w:lang w:val="fr-CA"/>
        </w:rPr>
        <w:noBreakHyphen/>
        <w:t>Cola Canada Beverages (West) Ltd.</w:t>
      </w:r>
      <w:r w:rsidRPr="003D57C5">
        <w:rPr>
          <w:lang w:val="fr-CA"/>
        </w:rPr>
        <w:t>, 2002 CSC 8, [2002] 1 R.C.S. 156.</w:t>
      </w:r>
    </w:p>
    <w:p w:rsidR="00662D8D" w:rsidRPr="003D57C5" w:rsidRDefault="00662D8D" w:rsidP="003223DD">
      <w:pPr>
        <w:pStyle w:val="SCCNormalDoubleSpacing"/>
        <w:widowControl w:val="0"/>
        <w:spacing w:after="720" w:line="240" w:lineRule="auto"/>
        <w:rPr>
          <w:lang w:val="fr-CA"/>
        </w:rPr>
      </w:pPr>
      <w:r w:rsidRPr="003D57C5">
        <w:rPr>
          <w:lang w:val="fr-CA"/>
        </w:rPr>
        <w:t>Citée par le juge Moldaver</w:t>
      </w:r>
    </w:p>
    <w:p w:rsidR="00662D8D" w:rsidRPr="003D57C5" w:rsidRDefault="00662D8D" w:rsidP="003223DD">
      <w:pPr>
        <w:pStyle w:val="SCCNormalDoubleSpacing"/>
        <w:widowControl w:val="0"/>
        <w:spacing w:after="480"/>
        <w:rPr>
          <w:lang w:val="fr-CA"/>
        </w:rPr>
      </w:pPr>
      <w:r w:rsidRPr="003D57C5">
        <w:rPr>
          <w:lang w:val="fr-CA"/>
        </w:rPr>
        <w:tab/>
      </w:r>
      <w:r w:rsidRPr="003D57C5">
        <w:rPr>
          <w:b/>
          <w:lang w:val="fr-CA"/>
        </w:rPr>
        <w:t>Arrêts mentionnés :</w:t>
      </w:r>
      <w:r w:rsidRPr="003D57C5">
        <w:rPr>
          <w:lang w:val="fr-CA"/>
        </w:rPr>
        <w:t xml:space="preserve"> </w:t>
      </w:r>
      <w:r w:rsidR="00EC463E" w:rsidRPr="003D57C5">
        <w:rPr>
          <w:i/>
          <w:lang w:val="fr-CA"/>
        </w:rPr>
        <w:t>Morasse c. Université Laval</w:t>
      </w:r>
      <w:r w:rsidR="00EC463E" w:rsidRPr="003D57C5">
        <w:rPr>
          <w:lang w:val="fr-CA"/>
        </w:rPr>
        <w:t xml:space="preserve">, 2012 QCCS 1859; </w:t>
      </w:r>
      <w:r w:rsidRPr="003D57C5">
        <w:rPr>
          <w:i/>
          <w:lang w:val="fr-CA"/>
        </w:rPr>
        <w:t>Newcastle Recycling Ltd. c. Clarington (Municipality)</w:t>
      </w:r>
      <w:r w:rsidRPr="003D57C5">
        <w:rPr>
          <w:lang w:val="fr-CA"/>
        </w:rPr>
        <w:t xml:space="preserve">, 2010 ONCA 314, 261 O.A.C. 373; </w:t>
      </w:r>
      <w:r w:rsidRPr="003D57C5">
        <w:rPr>
          <w:i/>
          <w:lang w:val="fr-CA"/>
        </w:rPr>
        <w:t>R. c. Vaillancourt</w:t>
      </w:r>
      <w:r w:rsidRPr="003D57C5">
        <w:rPr>
          <w:lang w:val="fr-CA"/>
        </w:rPr>
        <w:t xml:space="preserve">, 1995 CanLII 5036; </w:t>
      </w:r>
      <w:r w:rsidRPr="003D57C5">
        <w:rPr>
          <w:i/>
          <w:lang w:val="fr-CA"/>
        </w:rPr>
        <w:t>R. c. Tran</w:t>
      </w:r>
      <w:r w:rsidRPr="003D57C5">
        <w:rPr>
          <w:lang w:val="fr-CA"/>
        </w:rPr>
        <w:t xml:space="preserve">, 2016 ONCA 48; </w:t>
      </w:r>
      <w:r w:rsidRPr="003D57C5">
        <w:rPr>
          <w:i/>
          <w:lang w:val="fr-CA"/>
        </w:rPr>
        <w:t>Wexler c. The King</w:t>
      </w:r>
      <w:r w:rsidRPr="003D57C5">
        <w:rPr>
          <w:lang w:val="fr-CA"/>
        </w:rPr>
        <w:t>, [1939] R.C.S. 350.</w:t>
      </w:r>
    </w:p>
    <w:p w:rsidR="00662D8D" w:rsidRPr="003D57C5" w:rsidRDefault="00662D8D" w:rsidP="003223DD">
      <w:pPr>
        <w:pStyle w:val="SCCNormalDoubleSpacing"/>
        <w:widowControl w:val="0"/>
        <w:spacing w:after="720" w:line="240" w:lineRule="auto"/>
        <w:rPr>
          <w:lang w:val="fr-CA"/>
        </w:rPr>
      </w:pPr>
      <w:r w:rsidRPr="003D57C5">
        <w:rPr>
          <w:lang w:val="fr-CA"/>
        </w:rPr>
        <w:t>Citée par le juge Wagner (dissident)</w:t>
      </w:r>
    </w:p>
    <w:p w:rsidR="00662D8D" w:rsidRPr="003D57C5" w:rsidRDefault="00662D8D" w:rsidP="003223DD">
      <w:pPr>
        <w:pStyle w:val="SCCNormalDoubleSpacing"/>
        <w:widowControl w:val="0"/>
        <w:spacing w:after="480"/>
        <w:rPr>
          <w:lang w:val="fr-CA"/>
        </w:rPr>
      </w:pPr>
      <w:r w:rsidRPr="003D57C5">
        <w:rPr>
          <w:lang w:val="fr-CA"/>
        </w:rPr>
        <w:tab/>
      </w:r>
      <w:r w:rsidRPr="003D57C5">
        <w:rPr>
          <w:i/>
          <w:lang w:val="fr-CA"/>
        </w:rPr>
        <w:t>Morasse c. Université Laval</w:t>
      </w:r>
      <w:r w:rsidRPr="003D57C5">
        <w:rPr>
          <w:lang w:val="fr-CA"/>
        </w:rPr>
        <w:t xml:space="preserve">, 2012 QCCS 1565; </w:t>
      </w:r>
      <w:r w:rsidRPr="003D57C5">
        <w:rPr>
          <w:i/>
          <w:lang w:val="fr-CA"/>
        </w:rPr>
        <w:t>Morasse c. Université Laval</w:t>
      </w:r>
      <w:r w:rsidRPr="003D57C5">
        <w:rPr>
          <w:lang w:val="fr-CA"/>
        </w:rPr>
        <w:t xml:space="preserve">, 2012 QCCS 1859; </w:t>
      </w:r>
      <w:r w:rsidRPr="003D57C5">
        <w:rPr>
          <w:i/>
          <w:lang w:val="fr-CA"/>
        </w:rPr>
        <w:t>Zhang c. Chau</w:t>
      </w:r>
      <w:r w:rsidRPr="003D57C5">
        <w:rPr>
          <w:lang w:val="fr-CA"/>
        </w:rPr>
        <w:t xml:space="preserve"> (2003), 229 D.L.R. (4th) 298, autorisation d’appel refusée, [2003] 3 R.C.S. v; </w:t>
      </w:r>
      <w:r w:rsidRPr="003D57C5">
        <w:rPr>
          <w:i/>
          <w:lang w:val="fr-CA"/>
        </w:rPr>
        <w:t>United Nurses of Alberta c. Alberta (Procureur général)</w:t>
      </w:r>
      <w:r w:rsidRPr="003D57C5">
        <w:rPr>
          <w:lang w:val="fr-CA"/>
        </w:rPr>
        <w:t xml:space="preserve">, [1992] 1 R.C.S. 901; </w:t>
      </w:r>
      <w:r w:rsidRPr="003D57C5">
        <w:rPr>
          <w:i/>
          <w:lang w:val="fr-CA"/>
        </w:rPr>
        <w:t>Baxter Travenol Laboratories of Canada Ltd. c. Cutter (Canada), Ltd.</w:t>
      </w:r>
      <w:r w:rsidRPr="003D57C5">
        <w:rPr>
          <w:lang w:val="fr-CA"/>
        </w:rPr>
        <w:t xml:space="preserve">, [1983] 2 R.C.S. 388; </w:t>
      </w:r>
      <w:r w:rsidRPr="003D57C5">
        <w:rPr>
          <w:i/>
          <w:lang w:val="fr-CA"/>
        </w:rPr>
        <w:t>Centre commercial Les Rivières ltée c. Jean bleu inc.</w:t>
      </w:r>
      <w:r w:rsidRPr="003D57C5">
        <w:rPr>
          <w:lang w:val="fr-CA"/>
        </w:rPr>
        <w:t xml:space="preserve">, 2012 QCCA 1663; </w:t>
      </w:r>
      <w:r w:rsidRPr="003D57C5">
        <w:rPr>
          <w:i/>
          <w:lang w:val="fr-CA"/>
        </w:rPr>
        <w:t>Vidéotron Ltée c. Industries Microlec Produits Électroniques Inc.</w:t>
      </w:r>
      <w:r w:rsidRPr="003D57C5">
        <w:rPr>
          <w:lang w:val="fr-CA"/>
        </w:rPr>
        <w:t xml:space="preserve">, [1992] 2 R.C.S. 1065; </w:t>
      </w:r>
      <w:r w:rsidRPr="003D57C5">
        <w:rPr>
          <w:i/>
          <w:lang w:val="fr-CA"/>
        </w:rPr>
        <w:t>R. c. Bridges</w:t>
      </w:r>
      <w:r w:rsidRPr="003D57C5">
        <w:rPr>
          <w:lang w:val="fr-CA"/>
        </w:rPr>
        <w:t xml:space="preserve"> (1989), 61 D.L.R. (4th) 154, conf. par (1990), 54 B.C.L.R. (2d) 273; </w:t>
      </w:r>
      <w:r w:rsidRPr="003D57C5">
        <w:rPr>
          <w:i/>
          <w:lang w:val="fr-CA"/>
        </w:rPr>
        <w:t>MacMillan Bloedel Ltd. c. Simpson</w:t>
      </w:r>
      <w:r w:rsidRPr="003D57C5">
        <w:rPr>
          <w:lang w:val="fr-CA"/>
        </w:rPr>
        <w:t xml:space="preserve"> (1994), 92 B.C.L.R. (2d) 1; </w:t>
      </w:r>
      <w:r w:rsidRPr="003D57C5">
        <w:rPr>
          <w:i/>
          <w:lang w:val="fr-CA"/>
        </w:rPr>
        <w:t>R. c. Krawczyk</w:t>
      </w:r>
      <w:r w:rsidRPr="003D57C5">
        <w:rPr>
          <w:lang w:val="fr-CA"/>
        </w:rPr>
        <w:t xml:space="preserve">, 2009 BCCA 250, 275 B.C.A.C. 6, autorisation d’appel refusée, [2010] </w:t>
      </w:r>
      <w:r w:rsidRPr="003D57C5">
        <w:rPr>
          <w:lang w:val="fr-CA"/>
        </w:rPr>
        <w:lastRenderedPageBreak/>
        <w:t xml:space="preserve">1 R.C.S. xi; </w:t>
      </w:r>
      <w:r w:rsidRPr="003D57C5">
        <w:rPr>
          <w:i/>
          <w:lang w:val="fr-CA"/>
        </w:rPr>
        <w:t>Canada Metal Co. c. Canadian Broadcasting Corp. (No. 2)</w:t>
      </w:r>
      <w:r w:rsidRPr="003D57C5">
        <w:rPr>
          <w:lang w:val="fr-CA"/>
        </w:rPr>
        <w:t xml:space="preserve"> (1974), 4 O.R. (2d) 585, conf. par (1975), 11 O.R. (2d) 167; </w:t>
      </w:r>
      <w:r w:rsidRPr="003D57C5">
        <w:rPr>
          <w:i/>
          <w:lang w:val="fr-CA"/>
        </w:rPr>
        <w:t>Constructions Louisbourg ltée c. Société Radio</w:t>
      </w:r>
      <w:r w:rsidRPr="003D57C5">
        <w:rPr>
          <w:i/>
          <w:lang w:val="fr-CA"/>
        </w:rPr>
        <w:noBreakHyphen/>
        <w:t>Canada</w:t>
      </w:r>
      <w:r w:rsidRPr="003D57C5">
        <w:rPr>
          <w:lang w:val="fr-CA"/>
        </w:rPr>
        <w:t xml:space="preserve">, 2014 QCCA 155; </w:t>
      </w:r>
      <w:r w:rsidRPr="003D57C5">
        <w:rPr>
          <w:i/>
          <w:lang w:val="fr-CA"/>
        </w:rPr>
        <w:t>Echostar Satellite Corp. c. Lis</w:t>
      </w:r>
      <w:r w:rsidRPr="003D57C5">
        <w:rPr>
          <w:lang w:val="fr-CA"/>
        </w:rPr>
        <w:t xml:space="preserve">, 2004 CanLII 2156; </w:t>
      </w:r>
      <w:r w:rsidRPr="003D57C5">
        <w:rPr>
          <w:i/>
          <w:lang w:val="fr-CA"/>
        </w:rPr>
        <w:t>Procom Immobilier Inc. c. Commission des valeurs mobilières du Québec</w:t>
      </w:r>
      <w:r w:rsidRPr="003D57C5">
        <w:rPr>
          <w:lang w:val="fr-CA"/>
        </w:rPr>
        <w:t xml:space="preserve">, [1992] R.D.J. 561; </w:t>
      </w:r>
      <w:r w:rsidRPr="003D57C5">
        <w:rPr>
          <w:i/>
          <w:lang w:val="fr-CA"/>
        </w:rPr>
        <w:t>Cotroni c. Commission de police du Québec</w:t>
      </w:r>
      <w:r w:rsidRPr="003D57C5">
        <w:rPr>
          <w:lang w:val="fr-CA"/>
        </w:rPr>
        <w:t xml:space="preserve">, [1978] 1 R.C.S. 1048; </w:t>
      </w:r>
      <w:r w:rsidRPr="003D57C5">
        <w:rPr>
          <w:i/>
          <w:lang w:val="fr-CA"/>
        </w:rPr>
        <w:t>Re Awada</w:t>
      </w:r>
      <w:r w:rsidRPr="003D57C5">
        <w:rPr>
          <w:lang w:val="fr-CA"/>
        </w:rPr>
        <w:t xml:space="preserve"> (1970), 13 C.R.N.S. 127; </w:t>
      </w:r>
      <w:r w:rsidRPr="003D57C5">
        <w:rPr>
          <w:i/>
          <w:lang w:val="fr-CA"/>
        </w:rPr>
        <w:t>Droit de la famille — 122875</w:t>
      </w:r>
      <w:r w:rsidRPr="003D57C5">
        <w:rPr>
          <w:lang w:val="fr-CA"/>
        </w:rPr>
        <w:t xml:space="preserve">, 2012 QCCA 1855, 29 R.F.L. (7th) 137; </w:t>
      </w:r>
      <w:r w:rsidRPr="003D57C5">
        <w:rPr>
          <w:i/>
          <w:lang w:val="fr-CA"/>
        </w:rPr>
        <w:t>Iron Ore Co. of Canada c. United Steel Workers of America, Local 5795</w:t>
      </w:r>
      <w:r w:rsidRPr="003D57C5">
        <w:rPr>
          <w:lang w:val="fr-CA"/>
        </w:rPr>
        <w:t xml:space="preserve"> (1979), 20 Nfld. &amp; P.E.I.R. 27, autorisation d’appel refusée, [1979] 1 R.C.S. viii; </w:t>
      </w:r>
      <w:r w:rsidRPr="003D57C5">
        <w:rPr>
          <w:i/>
          <w:lang w:val="fr-CA"/>
        </w:rPr>
        <w:t>Bhatnager c. Canada (Ministre de l’Emploi et de l’Immigration)</w:t>
      </w:r>
      <w:r w:rsidRPr="003D57C5">
        <w:rPr>
          <w:lang w:val="fr-CA"/>
        </w:rPr>
        <w:t xml:space="preserve">, [1990] 2 R.C.S. 217; </w:t>
      </w:r>
      <w:r w:rsidRPr="003D57C5">
        <w:rPr>
          <w:i/>
          <w:lang w:val="fr-CA"/>
        </w:rPr>
        <w:t>Société Radio</w:t>
      </w:r>
      <w:r w:rsidRPr="003D57C5">
        <w:rPr>
          <w:i/>
          <w:lang w:val="fr-CA"/>
        </w:rPr>
        <w:noBreakHyphen/>
        <w:t>Canada c. Commission de police du Québec</w:t>
      </w:r>
      <w:r w:rsidRPr="003D57C5">
        <w:rPr>
          <w:lang w:val="fr-CA"/>
        </w:rPr>
        <w:t xml:space="preserve">, </w:t>
      </w:r>
      <w:bookmarkStart w:id="1" w:name="OLE_LINK1"/>
      <w:bookmarkStart w:id="2" w:name="OLE_LINK2"/>
      <w:r w:rsidRPr="003D57C5">
        <w:rPr>
          <w:lang w:val="fr-CA"/>
        </w:rPr>
        <w:t>[1979] 2 R.C.S. 618</w:t>
      </w:r>
      <w:bookmarkEnd w:id="1"/>
      <w:bookmarkEnd w:id="2"/>
      <w:r w:rsidRPr="003D57C5">
        <w:rPr>
          <w:lang w:val="fr-CA"/>
        </w:rPr>
        <w:t xml:space="preserve">; </w:t>
      </w:r>
      <w:r w:rsidRPr="003D57C5">
        <w:rPr>
          <w:i/>
          <w:lang w:val="fr-CA"/>
        </w:rPr>
        <w:t>Carey c. Laiken</w:t>
      </w:r>
      <w:r w:rsidRPr="003D57C5">
        <w:rPr>
          <w:lang w:val="fr-CA"/>
        </w:rPr>
        <w:t xml:space="preserve">, 2015 CSC 17, [2015] 2 R.C.S. 79; </w:t>
      </w:r>
      <w:r w:rsidRPr="003D57C5">
        <w:rPr>
          <w:i/>
          <w:lang w:val="fr-CA"/>
        </w:rPr>
        <w:t>College of Optometrists (Ont.) c. SHS Optical Ltd.</w:t>
      </w:r>
      <w:r w:rsidRPr="003D57C5">
        <w:rPr>
          <w:lang w:val="fr-CA"/>
        </w:rPr>
        <w:t xml:space="preserve">, 2008 ONCA 685, 241 O.A.C. 225; </w:t>
      </w:r>
      <w:r w:rsidRPr="003D57C5">
        <w:rPr>
          <w:i/>
          <w:lang w:val="fr-CA"/>
        </w:rPr>
        <w:t>Estrada c. Young</w:t>
      </w:r>
      <w:r w:rsidRPr="003D57C5">
        <w:rPr>
          <w:lang w:val="fr-CA"/>
        </w:rPr>
        <w:t xml:space="preserve">, 2005 QCCA 493; </w:t>
      </w:r>
      <w:r w:rsidRPr="003D57C5">
        <w:rPr>
          <w:i/>
          <w:lang w:val="fr-CA"/>
        </w:rPr>
        <w:t>R. c. Villaroman</w:t>
      </w:r>
      <w:r w:rsidRPr="003D57C5">
        <w:rPr>
          <w:lang w:val="fr-CA"/>
        </w:rPr>
        <w:t xml:space="preserve">, 2016 CSC 33, [2016] 1 R.C.S. 1001; </w:t>
      </w:r>
      <w:r w:rsidRPr="003D57C5">
        <w:rPr>
          <w:i/>
          <w:lang w:val="fr-CA"/>
        </w:rPr>
        <w:t>Re Tilco Plastics Ltd. c. Skurjat</w:t>
      </w:r>
      <w:r w:rsidRPr="003D57C5">
        <w:rPr>
          <w:lang w:val="fr-CA"/>
        </w:rPr>
        <w:t xml:space="preserve">, [1966] 2 O.R. 547, conf. par [1967] 2 C.C.C. 196, autorisation d’appel refusée, [1966] R.C.S. vii; </w:t>
      </w:r>
      <w:r w:rsidRPr="003D57C5">
        <w:rPr>
          <w:i/>
          <w:lang w:val="fr-CA"/>
        </w:rPr>
        <w:t>Avery c. Andrews</w:t>
      </w:r>
      <w:r w:rsidRPr="003D57C5">
        <w:rPr>
          <w:lang w:val="fr-CA"/>
        </w:rPr>
        <w:t xml:space="preserve"> (1882), 51 L.J. Ch. 414; </w:t>
      </w:r>
      <w:r w:rsidRPr="003D57C5">
        <w:rPr>
          <w:i/>
          <w:lang w:val="fr-CA"/>
        </w:rPr>
        <w:t>Ex parte Langley</w:t>
      </w:r>
      <w:r w:rsidRPr="003D57C5">
        <w:rPr>
          <w:lang w:val="fr-CA"/>
        </w:rPr>
        <w:t xml:space="preserve"> (1879), 13 Ch. D. 110; </w:t>
      </w:r>
      <w:r w:rsidRPr="003D57C5">
        <w:rPr>
          <w:i/>
          <w:lang w:val="fr-CA"/>
        </w:rPr>
        <w:t>R. c. Griffin</w:t>
      </w:r>
      <w:r w:rsidRPr="003D57C5">
        <w:rPr>
          <w:lang w:val="fr-CA"/>
        </w:rPr>
        <w:t xml:space="preserve">, 2009 CSC 28, [2009] 2 R.C.S. 42; </w:t>
      </w:r>
      <w:r w:rsidRPr="003D57C5">
        <w:rPr>
          <w:i/>
          <w:lang w:val="fr-CA"/>
        </w:rPr>
        <w:t>B.C.G.E.U. c. Colombie</w:t>
      </w:r>
      <w:r w:rsidRPr="003D57C5">
        <w:rPr>
          <w:i/>
          <w:lang w:val="fr-CA"/>
        </w:rPr>
        <w:noBreakHyphen/>
        <w:t>Britannique (Procureur général)</w:t>
      </w:r>
      <w:r w:rsidRPr="003D57C5">
        <w:rPr>
          <w:lang w:val="fr-CA"/>
        </w:rPr>
        <w:t xml:space="preserve">, [1988] 2 R.C.S. 214; </w:t>
      </w:r>
      <w:r w:rsidRPr="003D57C5">
        <w:rPr>
          <w:i/>
          <w:lang w:val="fr-CA"/>
        </w:rPr>
        <w:t>Hébert c. Procureur général du Québec</w:t>
      </w:r>
      <w:r w:rsidRPr="003D57C5">
        <w:rPr>
          <w:lang w:val="fr-CA"/>
        </w:rPr>
        <w:t>, [1966] J.Q. n</w:t>
      </w:r>
      <w:r w:rsidRPr="003D57C5">
        <w:rPr>
          <w:vertAlign w:val="superscript"/>
          <w:lang w:val="fr-CA"/>
        </w:rPr>
        <w:t>o</w:t>
      </w:r>
      <w:r w:rsidRPr="003D57C5">
        <w:rPr>
          <w:lang w:val="fr-CA"/>
        </w:rPr>
        <w:t xml:space="preserve"> 15 (QL); </w:t>
      </w:r>
      <w:r w:rsidRPr="003D57C5">
        <w:rPr>
          <w:i/>
          <w:lang w:val="fr-CA"/>
        </w:rPr>
        <w:t>Attorney</w:t>
      </w:r>
      <w:r w:rsidRPr="003D57C5">
        <w:rPr>
          <w:i/>
          <w:lang w:val="fr-CA"/>
        </w:rPr>
        <w:noBreakHyphen/>
        <w:t>General c. Times Newspapers Ltd.</w:t>
      </w:r>
      <w:r w:rsidRPr="003D57C5">
        <w:rPr>
          <w:lang w:val="fr-CA"/>
        </w:rPr>
        <w:t xml:space="preserve">, [1973] 3 All E.R. 54; </w:t>
      </w:r>
      <w:r w:rsidRPr="003D57C5">
        <w:rPr>
          <w:i/>
          <w:lang w:val="fr-CA"/>
        </w:rPr>
        <w:t>R. c. Kopyto</w:t>
      </w:r>
      <w:r w:rsidRPr="003D57C5">
        <w:rPr>
          <w:lang w:val="fr-CA"/>
        </w:rPr>
        <w:t xml:space="preserve"> (1987), 62 O.R. (2d) 449; </w:t>
      </w:r>
      <w:r w:rsidRPr="003D57C5">
        <w:rPr>
          <w:i/>
          <w:lang w:val="fr-CA"/>
        </w:rPr>
        <w:t>Charbonneau c. Procureur général du Québec</w:t>
      </w:r>
      <w:r w:rsidRPr="003D57C5">
        <w:rPr>
          <w:lang w:val="fr-CA"/>
        </w:rPr>
        <w:t xml:space="preserve">, [1973] R.P. 10; </w:t>
      </w:r>
      <w:r w:rsidRPr="003D57C5">
        <w:rPr>
          <w:i/>
          <w:lang w:val="fr-CA"/>
        </w:rPr>
        <w:t>Boon</w:t>
      </w:r>
      <w:r w:rsidRPr="003D57C5">
        <w:rPr>
          <w:i/>
          <w:lang w:val="fr-CA"/>
        </w:rPr>
        <w:noBreakHyphen/>
        <w:t>Strachan Coal Co. c. Campbell</w:t>
      </w:r>
      <w:r w:rsidRPr="003D57C5">
        <w:rPr>
          <w:lang w:val="fr-CA"/>
        </w:rPr>
        <w:t xml:space="preserve">, [1981] C.S. 923; </w:t>
      </w:r>
      <w:r w:rsidRPr="003D57C5">
        <w:rPr>
          <w:i/>
          <w:lang w:val="fr-CA"/>
        </w:rPr>
        <w:t>Re Ouellet (No. 1)</w:t>
      </w:r>
      <w:r w:rsidRPr="003D57C5">
        <w:rPr>
          <w:lang w:val="fr-CA"/>
        </w:rPr>
        <w:t xml:space="preserve"> (1976), 28 C.C.C. (2d) 338, </w:t>
      </w:r>
      <w:r w:rsidR="003632A7">
        <w:rPr>
          <w:lang w:val="fr-CA"/>
        </w:rPr>
        <w:t>modifié pour d’autres motifs</w:t>
      </w:r>
      <w:r w:rsidR="00EC463E">
        <w:rPr>
          <w:lang w:val="fr-CA"/>
        </w:rPr>
        <w:t>,</w:t>
      </w:r>
      <w:r w:rsidRPr="003D57C5">
        <w:rPr>
          <w:lang w:val="fr-CA"/>
        </w:rPr>
        <w:t xml:space="preserve"> [1976] C.A. 788; </w:t>
      </w:r>
      <w:r w:rsidRPr="003D57C5">
        <w:rPr>
          <w:i/>
          <w:lang w:val="fr-CA"/>
        </w:rPr>
        <w:t>Daigle c. Corporation municipale de la Paroisse de St</w:t>
      </w:r>
      <w:r w:rsidRPr="003D57C5">
        <w:rPr>
          <w:i/>
          <w:lang w:val="fr-CA"/>
        </w:rPr>
        <w:noBreakHyphen/>
        <w:t>Gabriel de Brandon</w:t>
      </w:r>
      <w:r w:rsidRPr="003D57C5">
        <w:rPr>
          <w:lang w:val="fr-CA"/>
        </w:rPr>
        <w:t xml:space="preserve">, [1991] R.D.J. 249; </w:t>
      </w:r>
      <w:r w:rsidRPr="003D57C5">
        <w:rPr>
          <w:i/>
          <w:lang w:val="fr-CA"/>
        </w:rPr>
        <w:t>Godin c. Godin</w:t>
      </w:r>
      <w:r w:rsidRPr="003D57C5">
        <w:rPr>
          <w:lang w:val="fr-CA"/>
        </w:rPr>
        <w:t xml:space="preserve">, 2012 NSCA 54, 317 N.S.R. (2d) 204; </w:t>
      </w:r>
      <w:r w:rsidRPr="003D57C5">
        <w:rPr>
          <w:i/>
          <w:lang w:val="fr-CA"/>
        </w:rPr>
        <w:t>Poje c. Attorney General for British Columbia</w:t>
      </w:r>
      <w:r w:rsidRPr="003D57C5">
        <w:rPr>
          <w:lang w:val="fr-CA"/>
        </w:rPr>
        <w:t xml:space="preserve">, [1953] 1 R.C.S. 516; </w:t>
      </w:r>
      <w:r w:rsidRPr="003D57C5">
        <w:rPr>
          <w:i/>
          <w:lang w:val="fr-CA"/>
        </w:rPr>
        <w:lastRenderedPageBreak/>
        <w:t>Canadian Transport Co. c. Alsbury</w:t>
      </w:r>
      <w:r w:rsidRPr="003D57C5">
        <w:rPr>
          <w:lang w:val="fr-CA"/>
        </w:rPr>
        <w:t xml:space="preserve"> (1952), 6 W.W.R. (N.S.) 473, conf. par [1953] 1 D.L.R. 385, conf. par [1953] 1 R.C.S. 516; </w:t>
      </w:r>
      <w:r w:rsidRPr="003D57C5">
        <w:rPr>
          <w:i/>
          <w:lang w:val="fr-CA"/>
        </w:rPr>
        <w:t>R. c. Gardiner</w:t>
      </w:r>
      <w:r w:rsidRPr="003D57C5">
        <w:rPr>
          <w:lang w:val="fr-CA"/>
        </w:rPr>
        <w:t xml:space="preserve">, [1982] 2 R.C.S. 368; </w:t>
      </w:r>
      <w:r w:rsidRPr="003D57C5">
        <w:rPr>
          <w:i/>
          <w:lang w:val="fr-CA"/>
        </w:rPr>
        <w:t>Westfair Foods Ltd. c. Naherny</w:t>
      </w:r>
      <w:r w:rsidRPr="003D57C5">
        <w:rPr>
          <w:lang w:val="fr-CA"/>
        </w:rPr>
        <w:t xml:space="preserve"> (1990), 63 Man. R. (2d) 238; </w:t>
      </w:r>
      <w:r w:rsidRPr="003D57C5">
        <w:rPr>
          <w:i/>
          <w:lang w:val="fr-CA"/>
        </w:rPr>
        <w:t>R. c. Lacasse</w:t>
      </w:r>
      <w:r w:rsidRPr="003D57C5">
        <w:rPr>
          <w:lang w:val="fr-CA"/>
        </w:rPr>
        <w:t xml:space="preserve">, 2015 CSC 64, [2015] 3 R.C.S. 1089; </w:t>
      </w:r>
      <w:r w:rsidRPr="003D57C5">
        <w:rPr>
          <w:i/>
          <w:lang w:val="fr-CA"/>
        </w:rPr>
        <w:t>Agence nationale d’encadrement du secteur financier c. Coopérative de producteurs de bois précieux Québec Forestales</w:t>
      </w:r>
      <w:r w:rsidRPr="003D57C5">
        <w:rPr>
          <w:lang w:val="fr-CA"/>
        </w:rPr>
        <w:t xml:space="preserve">, 2005 CanLII 11614; </w:t>
      </w:r>
      <w:r w:rsidRPr="003D57C5">
        <w:rPr>
          <w:i/>
          <w:lang w:val="fr-CA"/>
        </w:rPr>
        <w:t>Peter Kiewit Sons Co. c. Perry</w:t>
      </w:r>
      <w:r w:rsidRPr="003D57C5">
        <w:rPr>
          <w:lang w:val="fr-CA"/>
        </w:rPr>
        <w:t>, 2007 BCSC 305.</w:t>
      </w:r>
    </w:p>
    <w:p w:rsidR="00662D8D" w:rsidRPr="003D57C5" w:rsidRDefault="00662D8D" w:rsidP="003223DD">
      <w:pPr>
        <w:pStyle w:val="SCCNormalDoubleSpacing"/>
        <w:widowControl w:val="0"/>
        <w:spacing w:after="720" w:line="240" w:lineRule="auto"/>
        <w:rPr>
          <w:lang w:val="fr-CA"/>
        </w:rPr>
      </w:pPr>
      <w:r w:rsidRPr="003D57C5">
        <w:rPr>
          <w:b/>
          <w:lang w:val="fr-CA"/>
        </w:rPr>
        <w:t>Lois et règlements cités</w:t>
      </w:r>
    </w:p>
    <w:p w:rsidR="00662D8D" w:rsidRPr="003D57C5" w:rsidRDefault="00662D8D" w:rsidP="003223DD">
      <w:pPr>
        <w:pStyle w:val="SCCNormalDoubleSpacing"/>
        <w:widowControl w:val="0"/>
        <w:spacing w:after="240" w:line="240" w:lineRule="auto"/>
        <w:ind w:left="539" w:hanging="539"/>
        <w:rPr>
          <w:lang w:val="fr-CA"/>
        </w:rPr>
      </w:pPr>
      <w:r w:rsidRPr="003D57C5">
        <w:rPr>
          <w:i/>
          <w:lang w:val="fr-CA"/>
        </w:rPr>
        <w:t>Charte canadienne des droits et libertés</w:t>
      </w:r>
      <w:r w:rsidRPr="003D57C5">
        <w:rPr>
          <w:lang w:val="fr-CA"/>
        </w:rPr>
        <w:t>, préambule, art. 2</w:t>
      </w:r>
      <w:r w:rsidRPr="003D57C5">
        <w:rPr>
          <w:i/>
          <w:lang w:val="fr-CA"/>
        </w:rPr>
        <w:t>b</w:t>
      </w:r>
      <w:r w:rsidRPr="003D57C5">
        <w:rPr>
          <w:lang w:val="fr-CA"/>
        </w:rPr>
        <w:t>).</w:t>
      </w:r>
    </w:p>
    <w:p w:rsidR="00662D8D" w:rsidRPr="003D57C5" w:rsidRDefault="00662D8D" w:rsidP="003223DD">
      <w:pPr>
        <w:pStyle w:val="SCCNormalDoubleSpacing"/>
        <w:widowControl w:val="0"/>
        <w:spacing w:after="240" w:line="240" w:lineRule="auto"/>
        <w:ind w:left="539" w:hanging="539"/>
        <w:rPr>
          <w:lang w:val="fr-CA"/>
        </w:rPr>
      </w:pPr>
      <w:r w:rsidRPr="003D57C5">
        <w:rPr>
          <w:i/>
          <w:lang w:val="fr-CA"/>
        </w:rPr>
        <w:t>Charte des droits et libertés de la personne</w:t>
      </w:r>
      <w:r w:rsidRPr="003D57C5">
        <w:rPr>
          <w:lang w:val="fr-CA"/>
        </w:rPr>
        <w:t>, RLRQ, c. C</w:t>
      </w:r>
      <w:r w:rsidRPr="003D57C5">
        <w:rPr>
          <w:lang w:val="fr-CA"/>
        </w:rPr>
        <w:noBreakHyphen/>
        <w:t>12, art. 3.</w:t>
      </w:r>
    </w:p>
    <w:p w:rsidR="00662D8D" w:rsidRPr="003D57C5" w:rsidRDefault="00662D8D" w:rsidP="003223DD">
      <w:pPr>
        <w:pStyle w:val="SCCNormalDoubleSpacing"/>
        <w:widowControl w:val="0"/>
        <w:spacing w:after="240" w:line="240" w:lineRule="auto"/>
        <w:ind w:left="539" w:hanging="539"/>
        <w:rPr>
          <w:lang w:val="fr-CA"/>
        </w:rPr>
      </w:pPr>
      <w:r w:rsidRPr="003D57C5">
        <w:rPr>
          <w:i/>
          <w:lang w:val="fr-CA"/>
        </w:rPr>
        <w:t>Code de procédure civile</w:t>
      </w:r>
      <w:r w:rsidRPr="003D57C5">
        <w:rPr>
          <w:lang w:val="fr-CA"/>
        </w:rPr>
        <w:t>, RLRQ, c. C</w:t>
      </w:r>
      <w:r w:rsidRPr="003D57C5">
        <w:rPr>
          <w:lang w:val="fr-CA"/>
        </w:rPr>
        <w:noBreakHyphen/>
        <w:t>25 [rempl. 2014, c. 1, art. 833], art. 1, 50, 51 al. 1, 53, 53.1, 761.</w:t>
      </w:r>
    </w:p>
    <w:p w:rsidR="00662D8D" w:rsidRPr="003D57C5" w:rsidRDefault="00662D8D" w:rsidP="003223DD">
      <w:pPr>
        <w:pStyle w:val="SCCNormalDoubleSpacing"/>
        <w:widowControl w:val="0"/>
        <w:spacing w:after="240" w:line="240" w:lineRule="auto"/>
        <w:ind w:left="539" w:hanging="539"/>
        <w:rPr>
          <w:lang w:val="fr-CA"/>
        </w:rPr>
      </w:pPr>
      <w:r w:rsidRPr="003D57C5">
        <w:rPr>
          <w:i/>
          <w:lang w:val="fr-CA"/>
        </w:rPr>
        <w:t>Code de procédure civile</w:t>
      </w:r>
      <w:r w:rsidRPr="003D57C5">
        <w:rPr>
          <w:lang w:val="fr-CA"/>
        </w:rPr>
        <w:t>, RLRQ, c. C</w:t>
      </w:r>
      <w:r w:rsidRPr="003D57C5">
        <w:rPr>
          <w:lang w:val="fr-CA"/>
        </w:rPr>
        <w:noBreakHyphen/>
        <w:t>25.01, art. 58, 62.</w:t>
      </w:r>
    </w:p>
    <w:p w:rsidR="00662D8D" w:rsidRPr="003D57C5" w:rsidRDefault="00662D8D" w:rsidP="003223DD">
      <w:pPr>
        <w:pStyle w:val="SCCNormalDoubleSpacing"/>
        <w:widowControl w:val="0"/>
        <w:spacing w:after="240" w:line="240" w:lineRule="auto"/>
        <w:ind w:left="539" w:hanging="539"/>
        <w:rPr>
          <w:lang w:val="fr-CA"/>
        </w:rPr>
      </w:pPr>
      <w:r w:rsidRPr="003D57C5">
        <w:rPr>
          <w:i/>
          <w:lang w:val="fr-CA"/>
        </w:rPr>
        <w:t>Loi permettant aux étudiants de recevoir l’enseignement dispensé par les établissements de niveau postsecondaire qu’ils fréquentent</w:t>
      </w:r>
      <w:r w:rsidRPr="003D57C5">
        <w:rPr>
          <w:lang w:val="fr-CA"/>
        </w:rPr>
        <w:t>, L.Q. 2012, c. 12, art. 10, 11, 13, 14, 32.</w:t>
      </w:r>
    </w:p>
    <w:p w:rsidR="00662D8D" w:rsidRPr="003D57C5" w:rsidRDefault="00662D8D" w:rsidP="003223DD">
      <w:pPr>
        <w:pStyle w:val="SCCNormalDoubleSpacing"/>
        <w:widowControl w:val="0"/>
        <w:spacing w:after="240" w:line="240" w:lineRule="auto"/>
        <w:ind w:left="539" w:hanging="539"/>
        <w:rPr>
          <w:lang w:val="fr-CA"/>
        </w:rPr>
      </w:pPr>
      <w:r w:rsidRPr="003D57C5">
        <w:rPr>
          <w:i/>
          <w:lang w:val="fr-CA"/>
        </w:rPr>
        <w:t>Règlement modifiant le Règlement sur la prévention des troubles de la paix, de la sécurité et de l’ordre publics, et sur l’utilisation du domaine public</w:t>
      </w:r>
      <w:r w:rsidRPr="003D57C5">
        <w:rPr>
          <w:lang w:val="fr-CA"/>
        </w:rPr>
        <w:t xml:space="preserve">, 18 mai 2012, Ville de Montréal, </w:t>
      </w:r>
      <w:r w:rsidR="00C973D2">
        <w:rPr>
          <w:lang w:val="fr-CA"/>
        </w:rPr>
        <w:t>R</w:t>
      </w:r>
      <w:r w:rsidRPr="003D57C5">
        <w:rPr>
          <w:lang w:val="fr-CA"/>
        </w:rPr>
        <w:t>ègl. 12</w:t>
      </w:r>
      <w:r w:rsidRPr="003D57C5">
        <w:rPr>
          <w:lang w:val="fr-CA"/>
        </w:rPr>
        <w:noBreakHyphen/>
        <w:t>024, art. 1.</w:t>
      </w:r>
    </w:p>
    <w:p w:rsidR="00662D8D" w:rsidRPr="00EC463E" w:rsidRDefault="00662D8D" w:rsidP="003223DD">
      <w:pPr>
        <w:pStyle w:val="SCCNormalDoubleSpacing"/>
        <w:widowControl w:val="0"/>
        <w:spacing w:after="720" w:line="240" w:lineRule="auto"/>
        <w:ind w:left="539" w:hanging="539"/>
        <w:rPr>
          <w:lang w:val="fr-CA"/>
        </w:rPr>
      </w:pPr>
      <w:r w:rsidRPr="003D57C5">
        <w:rPr>
          <w:i/>
          <w:lang w:val="fr-CA"/>
        </w:rPr>
        <w:t>Règlement sur la prévention des troubles de la paix, de la sécurité et de l’ordre publics, et sur l’utilisation du domaine public</w:t>
      </w:r>
      <w:r w:rsidRPr="003D57C5">
        <w:rPr>
          <w:lang w:val="fr-CA"/>
        </w:rPr>
        <w:t>, R.R.V.M., c. P</w:t>
      </w:r>
      <w:r w:rsidRPr="003D57C5">
        <w:rPr>
          <w:lang w:val="fr-CA"/>
        </w:rPr>
        <w:noBreakHyphen/>
        <w:t xml:space="preserve">6, art. 2.1 [aj. 2012, </w:t>
      </w:r>
      <w:r w:rsidR="00EC463E">
        <w:rPr>
          <w:lang w:val="fr-CA"/>
        </w:rPr>
        <w:t>R</w:t>
      </w:r>
      <w:r w:rsidRPr="003D57C5">
        <w:rPr>
          <w:lang w:val="fr-CA"/>
        </w:rPr>
        <w:t xml:space="preserve">ègl. </w:t>
      </w:r>
      <w:r w:rsidRPr="00EC463E">
        <w:rPr>
          <w:lang w:val="fr-CA"/>
        </w:rPr>
        <w:t>12</w:t>
      </w:r>
      <w:r w:rsidRPr="00EC463E">
        <w:rPr>
          <w:lang w:val="fr-CA"/>
        </w:rPr>
        <w:noBreakHyphen/>
        <w:t>024, art. 1].</w:t>
      </w:r>
    </w:p>
    <w:p w:rsidR="00662D8D" w:rsidRPr="003D57C5" w:rsidRDefault="00662D8D" w:rsidP="003223DD">
      <w:pPr>
        <w:pStyle w:val="SCCNormalDoubleSpacing"/>
        <w:widowControl w:val="0"/>
        <w:spacing w:after="720" w:line="240" w:lineRule="auto"/>
        <w:rPr>
          <w:lang w:val="en-US"/>
        </w:rPr>
      </w:pPr>
      <w:r w:rsidRPr="003D57C5">
        <w:rPr>
          <w:b/>
          <w:lang w:val="en-US"/>
        </w:rPr>
        <w:t>Doctrine et autres documents cités</w:t>
      </w:r>
    </w:p>
    <w:p w:rsidR="00662D8D" w:rsidRPr="003D57C5" w:rsidRDefault="00662D8D" w:rsidP="003223DD">
      <w:pPr>
        <w:pStyle w:val="SCCNormalDoubleSpacing"/>
        <w:widowControl w:val="0"/>
        <w:spacing w:after="240" w:line="240" w:lineRule="auto"/>
        <w:ind w:left="539" w:hanging="539"/>
      </w:pPr>
      <w:r w:rsidRPr="003D57C5">
        <w:rPr>
          <w:i/>
        </w:rPr>
        <w:t>Borrie &amp; Lowe : The Law of Contempt</w:t>
      </w:r>
      <w:r w:rsidRPr="003D57C5">
        <w:t>, 4th ed., by Ian Cram, gen. ed., London, LexisNexis, 2010.</w:t>
      </w:r>
    </w:p>
    <w:p w:rsidR="00662D8D" w:rsidRPr="003D57C5" w:rsidRDefault="00662D8D" w:rsidP="003223DD">
      <w:pPr>
        <w:pStyle w:val="SCCNormalDoubleSpacing"/>
        <w:widowControl w:val="0"/>
        <w:spacing w:after="240" w:line="240" w:lineRule="auto"/>
        <w:ind w:left="539" w:hanging="539"/>
        <w:rPr>
          <w:lang w:val="fr-CA"/>
        </w:rPr>
      </w:pPr>
      <w:r w:rsidRPr="003D57C5">
        <w:rPr>
          <w:lang w:val="fr-CA"/>
        </w:rPr>
        <w:t xml:space="preserve">Ferland, Denis. « La Cour suprême et l’outrage au tribunal en matière d’injonction : </w:t>
      </w:r>
      <w:r w:rsidRPr="003D57C5">
        <w:rPr>
          <w:lang w:val="fr-CA"/>
        </w:rPr>
        <w:lastRenderedPageBreak/>
        <w:t xml:space="preserve">Baxter Travenol Laboratories of Canada Ltd. c. Cutter (Canada) Ltd., [1983] 2 R.C.S. 388; [1983] R.D.J. 481 (C.S.C.) » (1985), 45 </w:t>
      </w:r>
      <w:r w:rsidRPr="003D57C5">
        <w:rPr>
          <w:i/>
          <w:lang w:val="fr-CA"/>
        </w:rPr>
        <w:t>R. du B.</w:t>
      </w:r>
      <w:r w:rsidRPr="003D57C5">
        <w:rPr>
          <w:lang w:val="fr-CA"/>
        </w:rPr>
        <w:t xml:space="preserve"> 462.</w:t>
      </w:r>
    </w:p>
    <w:p w:rsidR="00662D8D" w:rsidRPr="003D57C5" w:rsidRDefault="00662D8D" w:rsidP="003223DD">
      <w:pPr>
        <w:pStyle w:val="SCCNormalDoubleSpacing"/>
        <w:widowControl w:val="0"/>
        <w:spacing w:after="240" w:line="240" w:lineRule="auto"/>
        <w:ind w:left="539" w:hanging="539"/>
        <w:rPr>
          <w:lang w:val="fr-CA"/>
        </w:rPr>
      </w:pPr>
      <w:r w:rsidRPr="003D57C5">
        <w:rPr>
          <w:lang w:val="fr-CA"/>
        </w:rPr>
        <w:t xml:space="preserve">Ferland, Denis, et Benoît Emery. </w:t>
      </w:r>
      <w:r w:rsidRPr="003D57C5">
        <w:rPr>
          <w:i/>
          <w:lang w:val="fr-CA"/>
        </w:rPr>
        <w:t>Précis de procédure civile du Québec</w:t>
      </w:r>
      <w:r w:rsidRPr="003D57C5">
        <w:rPr>
          <w:lang w:val="fr-CA"/>
        </w:rPr>
        <w:t xml:space="preserve">, </w:t>
      </w:r>
      <w:r w:rsidR="00EC463E">
        <w:rPr>
          <w:lang w:val="fr-CA"/>
        </w:rPr>
        <w:t xml:space="preserve">vol. 1, </w:t>
      </w:r>
      <w:r w:rsidRPr="003D57C5">
        <w:rPr>
          <w:lang w:val="fr-CA"/>
        </w:rPr>
        <w:t>5</w:t>
      </w:r>
      <w:r w:rsidRPr="003D57C5">
        <w:rPr>
          <w:vertAlign w:val="superscript"/>
          <w:lang w:val="fr-CA"/>
        </w:rPr>
        <w:t>e</w:t>
      </w:r>
      <w:r w:rsidRPr="003D57C5">
        <w:rPr>
          <w:lang w:val="fr-CA"/>
        </w:rPr>
        <w:t xml:space="preserve"> éd., Montréal, Yvon Blais, 2015.</w:t>
      </w:r>
    </w:p>
    <w:p w:rsidR="00662D8D" w:rsidRPr="003D57C5" w:rsidRDefault="00662D8D" w:rsidP="003223DD">
      <w:pPr>
        <w:pStyle w:val="SCCNormalDoubleSpacing"/>
        <w:widowControl w:val="0"/>
        <w:spacing w:after="240" w:line="240" w:lineRule="auto"/>
        <w:ind w:left="539" w:hanging="539"/>
        <w:rPr>
          <w:lang w:val="fr-CA"/>
        </w:rPr>
      </w:pPr>
      <w:r w:rsidRPr="003D57C5">
        <w:rPr>
          <w:lang w:val="fr-CA"/>
        </w:rPr>
        <w:t>Gendreau, Paul</w:t>
      </w:r>
      <w:r w:rsidRPr="003D57C5">
        <w:rPr>
          <w:lang w:val="fr-CA"/>
        </w:rPr>
        <w:noBreakHyphen/>
        <w:t xml:space="preserve">Arthur, et autres. </w:t>
      </w:r>
      <w:r w:rsidRPr="003D57C5">
        <w:rPr>
          <w:i/>
          <w:lang w:val="fr-CA"/>
        </w:rPr>
        <w:t>L’injonction</w:t>
      </w:r>
      <w:r w:rsidRPr="003D57C5">
        <w:rPr>
          <w:lang w:val="fr-CA"/>
        </w:rPr>
        <w:t>, Cowansville (Qc), Yvon Blais, 1998.</w:t>
      </w:r>
    </w:p>
    <w:p w:rsidR="00662D8D" w:rsidRPr="003D57C5" w:rsidRDefault="00662D8D" w:rsidP="003223DD">
      <w:pPr>
        <w:pStyle w:val="SCCNormalDoubleSpacing"/>
        <w:widowControl w:val="0"/>
        <w:spacing w:after="240" w:line="240" w:lineRule="auto"/>
        <w:ind w:left="539" w:hanging="539"/>
        <w:rPr>
          <w:lang w:val="fr-CA"/>
        </w:rPr>
      </w:pPr>
      <w:r w:rsidRPr="003D57C5">
        <w:rPr>
          <w:lang w:val="fr-CA"/>
        </w:rPr>
        <w:t xml:space="preserve">Gervais, Céline. </w:t>
      </w:r>
      <w:r w:rsidRPr="003D57C5">
        <w:rPr>
          <w:i/>
          <w:lang w:val="fr-CA"/>
        </w:rPr>
        <w:t>L’injonction</w:t>
      </w:r>
      <w:r w:rsidRPr="003D57C5">
        <w:rPr>
          <w:lang w:val="fr-CA"/>
        </w:rPr>
        <w:t>, 2</w:t>
      </w:r>
      <w:r w:rsidRPr="003D57C5">
        <w:rPr>
          <w:vertAlign w:val="superscript"/>
          <w:lang w:val="fr-CA"/>
        </w:rPr>
        <w:t>e</w:t>
      </w:r>
      <w:r w:rsidRPr="003D57C5">
        <w:rPr>
          <w:lang w:val="fr-CA"/>
        </w:rPr>
        <w:t xml:space="preserve"> éd., Cowansville (Qc), Yvon Blais, 2005.</w:t>
      </w:r>
    </w:p>
    <w:p w:rsidR="00662D8D" w:rsidRPr="003D57C5" w:rsidRDefault="00662D8D" w:rsidP="003223DD">
      <w:pPr>
        <w:pStyle w:val="SCCNormalDoubleSpacing"/>
        <w:widowControl w:val="0"/>
        <w:spacing w:after="240" w:line="240" w:lineRule="auto"/>
        <w:ind w:left="539" w:hanging="539"/>
        <w:rPr>
          <w:lang w:val="fr-CA"/>
        </w:rPr>
      </w:pPr>
      <w:r w:rsidRPr="003D57C5">
        <w:rPr>
          <w:lang w:val="fr-CA"/>
        </w:rPr>
        <w:t xml:space="preserve">Popovici, Adrian. </w:t>
      </w:r>
      <w:r w:rsidRPr="003D57C5">
        <w:rPr>
          <w:i/>
          <w:lang w:val="fr-CA"/>
        </w:rPr>
        <w:t>L’outrage au tribunal</w:t>
      </w:r>
      <w:r w:rsidRPr="003D57C5">
        <w:rPr>
          <w:lang w:val="fr-CA"/>
        </w:rPr>
        <w:t>, Montréal, Thémis, 1977.</w:t>
      </w:r>
    </w:p>
    <w:p w:rsidR="00662D8D" w:rsidRPr="003D57C5" w:rsidRDefault="00662D8D" w:rsidP="003223DD">
      <w:pPr>
        <w:pStyle w:val="SCCNormalDoubleSpacing"/>
        <w:widowControl w:val="0"/>
        <w:spacing w:after="720" w:line="240" w:lineRule="auto"/>
        <w:ind w:left="539" w:hanging="539"/>
      </w:pPr>
      <w:r w:rsidRPr="003D57C5">
        <w:t xml:space="preserve">Sharpe, Robert J. </w:t>
      </w:r>
      <w:r w:rsidRPr="003D57C5">
        <w:rPr>
          <w:i/>
        </w:rPr>
        <w:t>Injunctions and Specific Performance</w:t>
      </w:r>
      <w:r w:rsidRPr="003D57C5">
        <w:t>, loose</w:t>
      </w:r>
      <w:r w:rsidRPr="003D57C5">
        <w:noBreakHyphen/>
        <w:t>leaf ed., Toronto, Canada Law Book, 2015 (updated November 2015</w:t>
      </w:r>
      <w:r w:rsidR="00EC463E">
        <w:t>,</w:t>
      </w:r>
      <w:r w:rsidRPr="003D57C5">
        <w:t xml:space="preserve"> release 24).</w:t>
      </w:r>
    </w:p>
    <w:p w:rsidR="00662D8D" w:rsidRPr="003D57C5" w:rsidRDefault="00662D8D" w:rsidP="003223DD">
      <w:pPr>
        <w:pStyle w:val="SCCNormalDoubleSpacing"/>
        <w:widowControl w:val="0"/>
        <w:spacing w:after="480"/>
        <w:rPr>
          <w:szCs w:val="24"/>
          <w:lang w:val="fr-CA"/>
        </w:rPr>
      </w:pPr>
      <w:r w:rsidRPr="003D57C5">
        <w:rPr>
          <w:lang w:val="en-US"/>
        </w:rPr>
        <w:tab/>
      </w:r>
      <w:r w:rsidRPr="003D57C5">
        <w:rPr>
          <w:lang w:val="fr-CA"/>
        </w:rPr>
        <w:t>POURVOI contre un arrêt de la Cour d’appel du Québec (</w:t>
      </w:r>
      <w:r w:rsidRPr="003D57C5">
        <w:rPr>
          <w:bCs/>
          <w:szCs w:val="24"/>
          <w:lang w:val="fr-CA"/>
        </w:rPr>
        <w:t xml:space="preserve">les juges Bich, Giroux et Dufresne), 2015 QCCA 78, </w:t>
      </w:r>
      <w:r w:rsidRPr="003D57C5">
        <w:rPr>
          <w:szCs w:val="24"/>
          <w:lang w:val="fr-CA"/>
        </w:rPr>
        <w:t>[2015] AZ</w:t>
      </w:r>
      <w:r w:rsidRPr="003D57C5">
        <w:rPr>
          <w:szCs w:val="24"/>
          <w:lang w:val="fr-CA"/>
        </w:rPr>
        <w:noBreakHyphen/>
        <w:t>51142714, [2015] J.Q. n</w:t>
      </w:r>
      <w:r w:rsidRPr="003D57C5">
        <w:rPr>
          <w:szCs w:val="24"/>
          <w:vertAlign w:val="superscript"/>
          <w:lang w:val="fr-CA"/>
        </w:rPr>
        <w:t>o</w:t>
      </w:r>
      <w:r w:rsidRPr="003D57C5">
        <w:rPr>
          <w:szCs w:val="24"/>
          <w:lang w:val="fr-CA"/>
        </w:rPr>
        <w:t xml:space="preserve"> 158 (QL), 2015 CarswellQue 284 (WL Can.), qui a </w:t>
      </w:r>
      <w:r w:rsidRPr="003D57C5">
        <w:rPr>
          <w:lang w:val="fr-FR"/>
        </w:rPr>
        <w:t>annulé la déclaration de culpabilité</w:t>
      </w:r>
      <w:r w:rsidRPr="003D57C5">
        <w:rPr>
          <w:szCs w:val="24"/>
          <w:lang w:val="fr-CA"/>
        </w:rPr>
        <w:t xml:space="preserve"> et la peine prononcées par le juge Jacques</w:t>
      </w:r>
      <w:r>
        <w:rPr>
          <w:szCs w:val="24"/>
          <w:lang w:val="fr-CA"/>
        </w:rPr>
        <w:t xml:space="preserve"> </w:t>
      </w:r>
      <w:r w:rsidRPr="003D57C5">
        <w:rPr>
          <w:szCs w:val="24"/>
          <w:lang w:val="fr-CA"/>
        </w:rPr>
        <w:t>à l’égard de l’outrage au tribunal</w:t>
      </w:r>
      <w:r w:rsidRPr="003D57C5">
        <w:rPr>
          <w:bCs/>
          <w:szCs w:val="24"/>
          <w:lang w:val="fr-CA"/>
        </w:rPr>
        <w:t xml:space="preserve">, 2012 QCCS 5438, </w:t>
      </w:r>
      <w:r w:rsidRPr="003D57C5">
        <w:rPr>
          <w:szCs w:val="24"/>
          <w:lang w:val="fr-CA"/>
        </w:rPr>
        <w:t xml:space="preserve">[2012] R.J.Q. 2174, </w:t>
      </w:r>
      <w:r w:rsidRPr="003D57C5">
        <w:rPr>
          <w:bCs/>
          <w:szCs w:val="24"/>
          <w:lang w:val="fr-CA"/>
        </w:rPr>
        <w:t>[2012] AZ</w:t>
      </w:r>
      <w:r w:rsidRPr="003D57C5">
        <w:rPr>
          <w:bCs/>
          <w:szCs w:val="24"/>
          <w:lang w:val="fr-CA"/>
        </w:rPr>
        <w:noBreakHyphen/>
        <w:t xml:space="preserve">50907942, </w:t>
      </w:r>
      <w:r w:rsidRPr="003D57C5">
        <w:rPr>
          <w:szCs w:val="24"/>
          <w:lang w:val="fr-CA"/>
        </w:rPr>
        <w:t>[2012] J.Q. n</w:t>
      </w:r>
      <w:r w:rsidRPr="003D57C5">
        <w:rPr>
          <w:szCs w:val="24"/>
          <w:vertAlign w:val="superscript"/>
          <w:lang w:val="fr-CA"/>
        </w:rPr>
        <w:t>o</w:t>
      </w:r>
      <w:r w:rsidRPr="003D57C5">
        <w:rPr>
          <w:szCs w:val="24"/>
          <w:lang w:val="fr-CA"/>
        </w:rPr>
        <w:t> 11705 (QL), 2012 CarswellQue 11446 (WL Can.), et 2012 QCCS 6101, [2012] R.J.Q. 2279, [2012] AZ</w:t>
      </w:r>
      <w:r w:rsidRPr="003D57C5">
        <w:rPr>
          <w:szCs w:val="24"/>
          <w:lang w:val="fr-CA"/>
        </w:rPr>
        <w:noBreakHyphen/>
        <w:t>50918771, [2012] J.Q. n</w:t>
      </w:r>
      <w:r w:rsidRPr="003D57C5">
        <w:rPr>
          <w:szCs w:val="24"/>
          <w:vertAlign w:val="superscript"/>
          <w:lang w:val="fr-CA"/>
        </w:rPr>
        <w:t>o</w:t>
      </w:r>
      <w:r w:rsidRPr="003D57C5">
        <w:rPr>
          <w:szCs w:val="24"/>
          <w:lang w:val="fr-CA"/>
        </w:rPr>
        <w:t xml:space="preserve"> 14670 (QL), 2012 CarswellQue 12900 (WL Can.), </w:t>
      </w:r>
      <w:r w:rsidRPr="003D57C5">
        <w:rPr>
          <w:lang w:val="fr-FR"/>
        </w:rPr>
        <w:t>et prononcé un acquittement</w:t>
      </w:r>
      <w:r w:rsidRPr="003D57C5">
        <w:rPr>
          <w:szCs w:val="24"/>
          <w:lang w:val="fr-CA"/>
        </w:rPr>
        <w:t>. Pourvoi rejeté, les juges Wagner, Côté et Brown sont dissidents.</w:t>
      </w:r>
    </w:p>
    <w:p w:rsidR="00662D8D" w:rsidRPr="003D57C5" w:rsidRDefault="00662D8D" w:rsidP="003223DD">
      <w:pPr>
        <w:pStyle w:val="SCCNormalDoubleSpacing"/>
        <w:widowControl w:val="0"/>
        <w:spacing w:after="480"/>
        <w:rPr>
          <w:lang w:val="fr-CA"/>
        </w:rPr>
      </w:pPr>
      <w:r w:rsidRPr="003D57C5">
        <w:rPr>
          <w:rStyle w:val="SCCCounselNameChar"/>
          <w:lang w:val="fr-CA"/>
        </w:rPr>
        <w:tab/>
        <w:t>Maxime Roy</w:t>
      </w:r>
      <w:r w:rsidRPr="003D57C5">
        <w:rPr>
          <w:rStyle w:val="SCCCounselSeparatorChar"/>
          <w:lang w:val="fr-CA"/>
        </w:rPr>
        <w:t xml:space="preserve">, </w:t>
      </w:r>
      <w:r w:rsidRPr="003D57C5">
        <w:rPr>
          <w:rStyle w:val="SCCCounselNameChar"/>
          <w:lang w:val="fr-CA"/>
        </w:rPr>
        <w:t xml:space="preserve">Vincent Rochette </w:t>
      </w:r>
      <w:r w:rsidRPr="003D57C5">
        <w:rPr>
          <w:rStyle w:val="SCCCounselSeparatorChar"/>
          <w:lang w:val="fr-CA"/>
        </w:rPr>
        <w:t>et</w:t>
      </w:r>
      <w:r w:rsidRPr="003D57C5">
        <w:rPr>
          <w:rStyle w:val="SCCCounselNameChar"/>
          <w:lang w:val="fr-CA"/>
        </w:rPr>
        <w:t xml:space="preserve"> Ariane Gagnon</w:t>
      </w:r>
      <w:r w:rsidRPr="003D57C5">
        <w:rPr>
          <w:rStyle w:val="SCCCounselNameChar"/>
          <w:lang w:val="fr-CA"/>
        </w:rPr>
        <w:noBreakHyphen/>
        <w:t>Rocque</w:t>
      </w:r>
      <w:r w:rsidRPr="003D57C5">
        <w:rPr>
          <w:rStyle w:val="SCCCounselPartyRoleChar"/>
          <w:lang w:val="fr-CA"/>
        </w:rPr>
        <w:t>, pour l’appelant.</w:t>
      </w:r>
    </w:p>
    <w:p w:rsidR="00662D8D" w:rsidRPr="003D57C5" w:rsidRDefault="00662D8D" w:rsidP="003223DD">
      <w:pPr>
        <w:pStyle w:val="SCCNormalDoubleSpacing"/>
        <w:widowControl w:val="0"/>
        <w:spacing w:after="480"/>
        <w:rPr>
          <w:lang w:val="fr-CA"/>
        </w:rPr>
      </w:pPr>
      <w:r w:rsidRPr="003D57C5">
        <w:rPr>
          <w:rStyle w:val="SCCCounselNameChar"/>
          <w:lang w:val="fr-CA"/>
        </w:rPr>
        <w:tab/>
        <w:t>Giuseppe Sciortino</w:t>
      </w:r>
      <w:r w:rsidRPr="003D57C5">
        <w:rPr>
          <w:rStyle w:val="SCCCounselSeparatorChar"/>
          <w:lang w:val="fr-CA"/>
        </w:rPr>
        <w:t xml:space="preserve">, </w:t>
      </w:r>
      <w:r w:rsidRPr="003D57C5">
        <w:rPr>
          <w:rStyle w:val="SCCCounselNameChar"/>
          <w:lang w:val="fr-CA"/>
        </w:rPr>
        <w:t>Sibel Ataogul</w:t>
      </w:r>
      <w:r w:rsidRPr="003D57C5">
        <w:rPr>
          <w:rStyle w:val="SCCCounselSeparatorChar"/>
          <w:lang w:val="fr-CA"/>
        </w:rPr>
        <w:t xml:space="preserve"> et </w:t>
      </w:r>
      <w:r w:rsidRPr="003D57C5">
        <w:rPr>
          <w:rStyle w:val="SCCCounselNameChar"/>
          <w:lang w:val="fr-CA"/>
        </w:rPr>
        <w:t>Félix</w:t>
      </w:r>
      <w:r w:rsidRPr="003D57C5">
        <w:rPr>
          <w:rStyle w:val="SCCCounselNameChar"/>
          <w:lang w:val="fr-CA"/>
        </w:rPr>
        <w:noBreakHyphen/>
        <w:t>Antoine Michaud</w:t>
      </w:r>
      <w:r w:rsidRPr="003D57C5">
        <w:rPr>
          <w:rStyle w:val="SCCCounselPartyRoleChar"/>
          <w:lang w:val="fr-CA"/>
        </w:rPr>
        <w:t>, pour l’intimé.</w:t>
      </w:r>
    </w:p>
    <w:p w:rsidR="00662D8D" w:rsidRPr="003D57C5" w:rsidRDefault="00662D8D" w:rsidP="003223DD">
      <w:pPr>
        <w:pStyle w:val="SCCNormalDoubleSpacing"/>
        <w:widowControl w:val="0"/>
        <w:spacing w:after="480"/>
        <w:rPr>
          <w:lang w:val="fr-CA"/>
        </w:rPr>
      </w:pPr>
      <w:r w:rsidRPr="003D57C5">
        <w:rPr>
          <w:rStyle w:val="SCCCounselNameChar"/>
          <w:lang w:val="fr-CA"/>
        </w:rPr>
        <w:tab/>
      </w:r>
      <w:r w:rsidRPr="00C973D2">
        <w:rPr>
          <w:rStyle w:val="SCCCounselNameChar"/>
          <w:i w:val="0"/>
          <w:lang w:val="fr-CA"/>
        </w:rPr>
        <w:t>Argumentation écrite seulement</w:t>
      </w:r>
      <w:r w:rsidRPr="003D57C5">
        <w:rPr>
          <w:rStyle w:val="SCCCounselPartyRoleChar"/>
          <w:lang w:val="fr-CA"/>
        </w:rPr>
        <w:t xml:space="preserve"> par </w:t>
      </w:r>
      <w:r w:rsidRPr="003D57C5">
        <w:rPr>
          <w:rStyle w:val="SCCCounselPartyRoleChar"/>
          <w:i/>
          <w:lang w:val="fr-CA"/>
        </w:rPr>
        <w:t>Julius H. Grey</w:t>
      </w:r>
      <w:r w:rsidRPr="003D57C5">
        <w:rPr>
          <w:rStyle w:val="SCCCounselPartyRoleChar"/>
          <w:lang w:val="fr-CA"/>
        </w:rPr>
        <w:t>, pour l’intervenante l’Association canadienne des libertés civiles.</w:t>
      </w:r>
    </w:p>
    <w:p w:rsidR="00662D8D" w:rsidRPr="003D57C5" w:rsidRDefault="00662D8D" w:rsidP="003223DD">
      <w:pPr>
        <w:pStyle w:val="SCCNormalDoubleSpacing"/>
        <w:widowControl w:val="0"/>
        <w:spacing w:after="480"/>
        <w:rPr>
          <w:lang w:val="fr-CA"/>
        </w:rPr>
      </w:pPr>
      <w:r w:rsidRPr="003D57C5">
        <w:rPr>
          <w:rStyle w:val="SCCCounselNameChar"/>
          <w:lang w:val="fr-CA"/>
        </w:rPr>
        <w:lastRenderedPageBreak/>
        <w:tab/>
        <w:t>Ranjan K. Agarwal</w:t>
      </w:r>
      <w:r w:rsidRPr="003D57C5">
        <w:rPr>
          <w:rStyle w:val="SCCCounselSeparatorChar"/>
          <w:lang w:val="fr-CA"/>
        </w:rPr>
        <w:t xml:space="preserve">, </w:t>
      </w:r>
      <w:r w:rsidRPr="003D57C5">
        <w:rPr>
          <w:rStyle w:val="SCCCounselNameChar"/>
          <w:lang w:val="fr-CA"/>
        </w:rPr>
        <w:t>Faiz M. Lalani</w:t>
      </w:r>
      <w:r w:rsidRPr="003D57C5">
        <w:rPr>
          <w:rStyle w:val="SCCCounselSeparatorChar"/>
          <w:lang w:val="fr-CA"/>
        </w:rPr>
        <w:t xml:space="preserve"> et </w:t>
      </w:r>
      <w:r w:rsidRPr="003D57C5">
        <w:rPr>
          <w:rStyle w:val="SCCCounselNameChar"/>
          <w:lang w:val="fr-CA"/>
        </w:rPr>
        <w:t>Avnish Nanda</w:t>
      </w:r>
      <w:r w:rsidRPr="003D57C5">
        <w:rPr>
          <w:rStyle w:val="SCCCounselPartyRoleChar"/>
          <w:lang w:val="fr-CA"/>
        </w:rPr>
        <w:t>, pour l’intervenant Alberta Public Interest Research Group.</w:t>
      </w:r>
    </w:p>
    <w:p w:rsidR="00662D8D" w:rsidRDefault="00662D8D" w:rsidP="003223DD">
      <w:pPr>
        <w:pStyle w:val="SCCNormalDoubleSpacing"/>
        <w:widowControl w:val="0"/>
        <w:spacing w:after="480"/>
        <w:rPr>
          <w:rStyle w:val="SCCCounselPartyRoleChar"/>
          <w:lang w:val="fr-CA"/>
        </w:rPr>
      </w:pPr>
      <w:r w:rsidRPr="003D57C5">
        <w:rPr>
          <w:rStyle w:val="SCCCounselNameChar"/>
          <w:lang w:val="fr-CA"/>
        </w:rPr>
        <w:tab/>
        <w:t>François Larocque</w:t>
      </w:r>
      <w:r w:rsidRPr="003D57C5">
        <w:rPr>
          <w:rStyle w:val="SCCCounselSeparatorChar"/>
          <w:lang w:val="fr-CA"/>
        </w:rPr>
        <w:t xml:space="preserve"> et </w:t>
      </w:r>
      <w:r w:rsidRPr="003D57C5">
        <w:rPr>
          <w:rStyle w:val="SCCCounselNameChar"/>
          <w:lang w:val="fr-CA"/>
        </w:rPr>
        <w:t>Maxine Vincelette</w:t>
      </w:r>
      <w:r w:rsidRPr="003D57C5">
        <w:rPr>
          <w:rStyle w:val="SCCCounselPartyRoleChar"/>
          <w:lang w:val="fr-CA"/>
        </w:rPr>
        <w:t>, pour l’intervenante Amnistie internationale, Section Canada francophone.</w:t>
      </w:r>
    </w:p>
    <w:p w:rsidR="0060245B" w:rsidRPr="003D57C5" w:rsidRDefault="00C97DC3" w:rsidP="003223DD">
      <w:pPr>
        <w:pStyle w:val="SCCNormalDoubleSpacing"/>
        <w:widowControl w:val="0"/>
        <w:spacing w:after="480"/>
        <w:rPr>
          <w:rStyle w:val="SCCCounselPartyRoleChar"/>
          <w:lang w:val="fr-CA"/>
        </w:rPr>
      </w:pPr>
      <w:r>
        <w:rPr>
          <w:rStyle w:val="SCCCounselPartyRoleChar"/>
          <w:lang w:val="fr-CA"/>
        </w:rPr>
        <w:tab/>
        <w:t>Version française du jugement de la juge en chef McLachlin et des juges Abella, Cromwell, Karakatsanis et Gascon rendu par</w:t>
      </w:r>
    </w:p>
    <w:p w:rsidR="00810FD5" w:rsidRPr="00AA314A" w:rsidRDefault="00B06DE6" w:rsidP="003223DD">
      <w:pPr>
        <w:pStyle w:val="ParaNoNdepar-AltN"/>
        <w:widowControl w:val="0"/>
        <w:tabs>
          <w:tab w:val="clear" w:pos="1166"/>
          <w:tab w:val="clear" w:pos="1512"/>
          <w:tab w:val="num" w:pos="1152"/>
        </w:tabs>
        <w:spacing w:before="360" w:after="360"/>
        <w:ind w:left="0"/>
        <w:rPr>
          <w:rFonts w:cs="Times New Roman"/>
          <w:lang w:val="fr-CA"/>
        </w:rPr>
      </w:pPr>
      <w:r w:rsidRPr="00B06DE6">
        <w:rPr>
          <w:smallCaps/>
          <w:lang w:val="fr-CA"/>
        </w:rPr>
        <w:t>Les juges Abella et Gascon</w:t>
      </w:r>
      <w:r w:rsidRPr="00AA314A">
        <w:rPr>
          <w:lang w:val="fr-CA"/>
        </w:rPr>
        <w:t xml:space="preserve"> — </w:t>
      </w:r>
      <w:r w:rsidR="00810FD5" w:rsidRPr="00AA314A">
        <w:rPr>
          <w:rFonts w:eastAsia="Times New Roman" w:cs="Times New Roman"/>
          <w:szCs w:val="24"/>
          <w:lang w:val="fr-CA" w:eastAsia="en-CA"/>
        </w:rPr>
        <w:t>Au printemps</w:t>
      </w:r>
      <w:r w:rsidR="00810FD5">
        <w:rPr>
          <w:rFonts w:eastAsia="Times New Roman" w:cs="Times New Roman"/>
          <w:szCs w:val="24"/>
          <w:lang w:val="fr-CA" w:eastAsia="en-CA"/>
        </w:rPr>
        <w:t xml:space="preserve"> </w:t>
      </w:r>
      <w:r w:rsidR="00810FD5" w:rsidRPr="00AA314A">
        <w:rPr>
          <w:rFonts w:eastAsia="Times New Roman" w:cs="Times New Roman"/>
          <w:szCs w:val="24"/>
          <w:lang w:val="fr-CA" w:eastAsia="en-CA"/>
        </w:rPr>
        <w:t>2012, des manifestations étudiantes importantes et soutenues ont lieu dans la province de Québec sur la question de hausses projetées des droits de scolarité universitaires. Les hausses sont annoncées dans le cadre du budget présenté par le gouvernement provinci</w:t>
      </w:r>
      <w:r w:rsidR="00810FD5">
        <w:rPr>
          <w:rFonts w:eastAsia="Times New Roman" w:cs="Times New Roman"/>
          <w:szCs w:val="24"/>
          <w:lang w:val="fr-CA" w:eastAsia="en-CA"/>
        </w:rPr>
        <w:t>al. </w:t>
      </w:r>
      <w:r w:rsidR="00810FD5" w:rsidRPr="00AA314A">
        <w:rPr>
          <w:rFonts w:eastAsia="Times New Roman" w:cs="Times New Roman"/>
          <w:szCs w:val="24"/>
          <w:lang w:val="fr-CA" w:eastAsia="en-CA"/>
        </w:rPr>
        <w:t>Plusieurs organisations étudiantes opposées à ces hausses organisent des manifestations en réaction au projet.</w:t>
      </w:r>
    </w:p>
    <w:p w:rsidR="00810FD5" w:rsidRPr="00AA314A" w:rsidRDefault="00810FD5" w:rsidP="003223DD">
      <w:pPr>
        <w:pStyle w:val="ParaNoNdepar-AltN"/>
        <w:widowControl w:val="0"/>
        <w:tabs>
          <w:tab w:val="clear" w:pos="1166"/>
          <w:tab w:val="clear" w:pos="1512"/>
          <w:tab w:val="num" w:pos="1152"/>
        </w:tabs>
        <w:spacing w:before="360" w:after="360"/>
        <w:ind w:left="0"/>
        <w:rPr>
          <w:rFonts w:cs="Times New Roman"/>
          <w:lang w:val="fr-CA"/>
        </w:rPr>
      </w:pPr>
      <w:r w:rsidRPr="00AA314A">
        <w:rPr>
          <w:rFonts w:eastAsia="Times New Roman" w:cs="Times New Roman"/>
          <w:szCs w:val="24"/>
          <w:lang w:val="fr-CA" w:eastAsia="en-CA"/>
        </w:rPr>
        <w:t>Les manifestations paralysent plusieurs établissements postsecondaires et des cours sont annulés dans plusieurs d</w:t>
      </w:r>
      <w:r>
        <w:rPr>
          <w:rFonts w:eastAsia="Times New Roman" w:cs="Times New Roman"/>
          <w:szCs w:val="24"/>
          <w:lang w:val="fr-CA" w:eastAsia="en-CA"/>
        </w:rPr>
        <w:t>’</w:t>
      </w:r>
      <w:r w:rsidRPr="00AA314A">
        <w:rPr>
          <w:rFonts w:eastAsia="Times New Roman" w:cs="Times New Roman"/>
          <w:szCs w:val="24"/>
          <w:lang w:val="fr-CA" w:eastAsia="en-CA"/>
        </w:rPr>
        <w:t>entre eux. Des organisations étudiantes tiennent des votes « de grève ». Des lignes de piquetage sont formées sur les campus de plusieurs universités et cégeps</w:t>
      </w:r>
      <w:r w:rsidRPr="00AA314A">
        <w:rPr>
          <w:rStyle w:val="FootnoteReference"/>
          <w:rFonts w:eastAsia="Times New Roman" w:cs="Times New Roman"/>
          <w:szCs w:val="24"/>
          <w:lang w:val="fr-CA" w:eastAsia="en-CA"/>
        </w:rPr>
        <w:footnoteReference w:id="1"/>
      </w:r>
      <w:r w:rsidR="00BA70BB">
        <w:rPr>
          <w:rFonts w:eastAsia="Times New Roman" w:cs="Times New Roman"/>
          <w:szCs w:val="24"/>
          <w:lang w:val="fr-CA" w:eastAsia="en-CA"/>
        </w:rPr>
        <w:t>.</w:t>
      </w:r>
      <w:r w:rsidRPr="00AA314A">
        <w:rPr>
          <w:rFonts w:eastAsia="Times New Roman" w:cs="Times New Roman"/>
          <w:szCs w:val="24"/>
          <w:lang w:val="fr-CA" w:eastAsia="en-CA"/>
        </w:rPr>
        <w:t xml:space="preserve"> Des étudiants et des enseignants sont empêchés de pénétrer dans les édifices où doivent se donner les cours. En conséquence, plusieurs injonctions sont demandées pour limiter ces entraves et aider à faire en sorte que </w:t>
      </w:r>
      <w:r w:rsidRPr="00AA314A">
        <w:rPr>
          <w:rFonts w:eastAsia="Times New Roman" w:cs="Times New Roman"/>
          <w:szCs w:val="24"/>
          <w:lang w:val="fr-CA" w:eastAsia="en-CA"/>
        </w:rPr>
        <w:lastRenderedPageBreak/>
        <w:t>l</w:t>
      </w:r>
      <w:r>
        <w:rPr>
          <w:rFonts w:eastAsia="Times New Roman" w:cs="Times New Roman"/>
          <w:szCs w:val="24"/>
          <w:lang w:val="fr-CA" w:eastAsia="en-CA"/>
        </w:rPr>
        <w:t>’</w:t>
      </w:r>
      <w:r w:rsidRPr="00AA314A">
        <w:rPr>
          <w:rFonts w:eastAsia="Times New Roman" w:cs="Times New Roman"/>
          <w:szCs w:val="24"/>
          <w:lang w:val="fr-CA" w:eastAsia="en-CA"/>
        </w:rPr>
        <w:t>année scolaire se poursuive.</w:t>
      </w:r>
    </w:p>
    <w:p w:rsidR="00810FD5" w:rsidRPr="00AA314A" w:rsidRDefault="00810FD5" w:rsidP="003223DD">
      <w:pPr>
        <w:pStyle w:val="ParaNoNdepar-AltN"/>
        <w:widowControl w:val="0"/>
        <w:tabs>
          <w:tab w:val="clear" w:pos="1166"/>
          <w:tab w:val="clear" w:pos="1512"/>
          <w:tab w:val="num" w:pos="1152"/>
        </w:tabs>
        <w:spacing w:before="360" w:after="360"/>
        <w:ind w:left="0"/>
        <w:rPr>
          <w:rFonts w:cs="Times New Roman"/>
          <w:lang w:val="fr-CA"/>
        </w:rPr>
      </w:pPr>
      <w:r w:rsidRPr="00AA314A">
        <w:rPr>
          <w:rFonts w:cs="Times New Roman"/>
          <w:lang w:val="fr-CA"/>
        </w:rPr>
        <w:t>Les événements sous</w:t>
      </w:r>
      <w:r>
        <w:rPr>
          <w:rFonts w:cs="Times New Roman"/>
          <w:lang w:val="fr-CA"/>
        </w:rPr>
        <w:noBreakHyphen/>
      </w:r>
      <w:r w:rsidRPr="00AA314A">
        <w:rPr>
          <w:rFonts w:cs="Times New Roman"/>
          <w:lang w:val="fr-CA"/>
        </w:rPr>
        <w:t>jacents de ce printemps 2012 ont été très perturbateurs et ils ont causé d</w:t>
      </w:r>
      <w:r>
        <w:rPr>
          <w:rFonts w:cs="Times New Roman"/>
          <w:lang w:val="fr-CA"/>
        </w:rPr>
        <w:t>’</w:t>
      </w:r>
      <w:r w:rsidRPr="00AA314A">
        <w:rPr>
          <w:rFonts w:cs="Times New Roman"/>
          <w:lang w:val="fr-CA"/>
        </w:rPr>
        <w:t>importants ennuis et beaucoup de frustration pour plusieurs. Toutefois, tel n</w:t>
      </w:r>
      <w:r>
        <w:rPr>
          <w:rFonts w:cs="Times New Roman"/>
          <w:lang w:val="fr-CA"/>
        </w:rPr>
        <w:t>’</w:t>
      </w:r>
      <w:r w:rsidRPr="00AA314A">
        <w:rPr>
          <w:rFonts w:cs="Times New Roman"/>
          <w:lang w:val="fr-CA"/>
        </w:rPr>
        <w:t>est pas l</w:t>
      </w:r>
      <w:r>
        <w:rPr>
          <w:rFonts w:cs="Times New Roman"/>
          <w:lang w:val="fr-CA"/>
        </w:rPr>
        <w:t>’</w:t>
      </w:r>
      <w:r w:rsidRPr="00AA314A">
        <w:rPr>
          <w:rFonts w:cs="Times New Roman"/>
          <w:lang w:val="fr-CA"/>
        </w:rPr>
        <w:t>objet du pourvoi. Nous devons nous garder de nous prononcer sur des questions et des éléments de preuve qui n</w:t>
      </w:r>
      <w:r>
        <w:rPr>
          <w:rFonts w:cs="Times New Roman"/>
          <w:lang w:val="fr-CA"/>
        </w:rPr>
        <w:t>’</w:t>
      </w:r>
      <w:r w:rsidRPr="00AA314A">
        <w:rPr>
          <w:rFonts w:cs="Times New Roman"/>
          <w:lang w:val="fr-CA"/>
        </w:rPr>
        <w:t>ont pas fait l</w:t>
      </w:r>
      <w:r>
        <w:rPr>
          <w:rFonts w:cs="Times New Roman"/>
          <w:lang w:val="fr-CA"/>
        </w:rPr>
        <w:t>’</w:t>
      </w:r>
      <w:r w:rsidRPr="00AA314A">
        <w:rPr>
          <w:rFonts w:cs="Times New Roman"/>
          <w:lang w:val="fr-CA"/>
        </w:rPr>
        <w:t>objet du procès et qui n</w:t>
      </w:r>
      <w:r>
        <w:rPr>
          <w:rFonts w:cs="Times New Roman"/>
          <w:lang w:val="fr-CA"/>
        </w:rPr>
        <w:t>’</w:t>
      </w:r>
      <w:r w:rsidRPr="00AA314A">
        <w:rPr>
          <w:rFonts w:cs="Times New Roman"/>
          <w:lang w:val="fr-CA"/>
        </w:rPr>
        <w:t>y ont pas été examinés. La question sur laquelle nous sommes appelés à nous pencher est celle de savoir si une accusation d</w:t>
      </w:r>
      <w:r>
        <w:rPr>
          <w:rFonts w:cs="Times New Roman"/>
          <w:lang w:val="fr-CA"/>
        </w:rPr>
        <w:t>’</w:t>
      </w:r>
      <w:r w:rsidRPr="00AA314A">
        <w:rPr>
          <w:rFonts w:cs="Times New Roman"/>
          <w:lang w:val="fr-CA"/>
        </w:rPr>
        <w:t>outrage portée par un simple citoyen contre une autre personne satisfait aux garanties procédurales et substantielles rigoureuses prescrites par la loi pour faire en sorte que le droit à la liberté de personnes accusées d</w:t>
      </w:r>
      <w:r>
        <w:rPr>
          <w:rFonts w:cs="Times New Roman"/>
          <w:lang w:val="fr-CA"/>
        </w:rPr>
        <w:t>’</w:t>
      </w:r>
      <w:r w:rsidRPr="00AA314A">
        <w:rPr>
          <w:rFonts w:cs="Times New Roman"/>
          <w:lang w:val="fr-CA"/>
        </w:rPr>
        <w:t>outrage soit pleinement protégé. À notre avis, il faut répondre à cette question par la négative.</w:t>
      </w:r>
    </w:p>
    <w:p w:rsidR="00810FD5" w:rsidRPr="00AA314A" w:rsidRDefault="00810FD5" w:rsidP="003223DD">
      <w:pPr>
        <w:pStyle w:val="ParaNoNdepar-AltN"/>
        <w:widowControl w:val="0"/>
        <w:tabs>
          <w:tab w:val="clear" w:pos="1166"/>
          <w:tab w:val="clear" w:pos="1512"/>
          <w:tab w:val="num" w:pos="1152"/>
        </w:tabs>
        <w:spacing w:before="360" w:after="360"/>
        <w:ind w:left="0"/>
        <w:rPr>
          <w:rFonts w:cs="Times New Roman"/>
          <w:lang w:val="fr-CA"/>
        </w:rPr>
      </w:pPr>
      <w:r w:rsidRPr="00AA314A">
        <w:rPr>
          <w:rFonts w:eastAsia="Times New Roman" w:cs="Times New Roman"/>
          <w:szCs w:val="24"/>
          <w:lang w:val="fr-CA" w:eastAsia="en-CA"/>
        </w:rPr>
        <w:t>Durant la période en cause, Gabriel Nadeau</w:t>
      </w:r>
      <w:r>
        <w:rPr>
          <w:rFonts w:eastAsia="Times New Roman" w:cs="Times New Roman"/>
          <w:szCs w:val="24"/>
          <w:lang w:val="fr-CA" w:eastAsia="en-CA"/>
        </w:rPr>
        <w:noBreakHyphen/>
      </w:r>
      <w:r w:rsidRPr="00AA314A">
        <w:rPr>
          <w:rFonts w:eastAsia="Times New Roman" w:cs="Times New Roman"/>
          <w:szCs w:val="24"/>
          <w:lang w:val="fr-CA" w:eastAsia="en-CA"/>
        </w:rPr>
        <w:t>Dubois est le porte</w:t>
      </w:r>
      <w:r>
        <w:rPr>
          <w:rFonts w:eastAsia="Times New Roman" w:cs="Times New Roman"/>
          <w:szCs w:val="24"/>
          <w:lang w:val="fr-CA" w:eastAsia="en-CA"/>
        </w:rPr>
        <w:noBreakHyphen/>
      </w:r>
      <w:r w:rsidRPr="00AA314A">
        <w:rPr>
          <w:rFonts w:eastAsia="Times New Roman" w:cs="Times New Roman"/>
          <w:szCs w:val="24"/>
          <w:lang w:val="fr-CA" w:eastAsia="en-CA"/>
        </w:rPr>
        <w:t>parole de la Coalition large de l</w:t>
      </w:r>
      <w:r>
        <w:rPr>
          <w:rFonts w:eastAsia="Times New Roman" w:cs="Times New Roman"/>
          <w:szCs w:val="24"/>
          <w:lang w:val="fr-CA" w:eastAsia="en-CA"/>
        </w:rPr>
        <w:t>’</w:t>
      </w:r>
      <w:r w:rsidRPr="00AA314A">
        <w:rPr>
          <w:rFonts w:eastAsia="Times New Roman" w:cs="Times New Roman"/>
          <w:szCs w:val="24"/>
          <w:lang w:val="fr-CA" w:eastAsia="en-CA"/>
        </w:rPr>
        <w:t>Association pour une solidarité syndicale étudiante (CLASSE). En tant qu</w:t>
      </w:r>
      <w:r>
        <w:rPr>
          <w:rFonts w:eastAsia="Times New Roman" w:cs="Times New Roman"/>
          <w:szCs w:val="24"/>
          <w:lang w:val="fr-CA" w:eastAsia="en-CA"/>
        </w:rPr>
        <w:t>’</w:t>
      </w:r>
      <w:r w:rsidRPr="00AA314A">
        <w:rPr>
          <w:rFonts w:eastAsia="Times New Roman" w:cs="Times New Roman"/>
          <w:szCs w:val="24"/>
          <w:lang w:val="fr-CA" w:eastAsia="en-CA"/>
        </w:rPr>
        <w:t>organisation étudiante parmi les plus actives dans la province, la CLASSE organise des manifestations et des piquetages dans plusieurs institutions d</w:t>
      </w:r>
      <w:r>
        <w:rPr>
          <w:rFonts w:eastAsia="Times New Roman" w:cs="Times New Roman"/>
          <w:szCs w:val="24"/>
          <w:lang w:val="fr-CA" w:eastAsia="en-CA"/>
        </w:rPr>
        <w:t>’</w:t>
      </w:r>
      <w:r w:rsidRPr="00AA314A">
        <w:rPr>
          <w:rFonts w:eastAsia="Times New Roman" w:cs="Times New Roman"/>
          <w:szCs w:val="24"/>
          <w:lang w:val="fr-CA" w:eastAsia="en-CA"/>
        </w:rPr>
        <w:t>enseignement postsecondaire.</w:t>
      </w:r>
      <w:r w:rsidRPr="00AA314A">
        <w:rPr>
          <w:rFonts w:eastAsia="Times New Roman" w:cs="Times New Roman"/>
          <w:b/>
          <w:szCs w:val="24"/>
          <w:lang w:val="fr-CA" w:eastAsia="en-CA"/>
        </w:rPr>
        <w:t xml:space="preserve"> </w:t>
      </w:r>
    </w:p>
    <w:p w:rsidR="00810FD5" w:rsidRPr="00AA314A" w:rsidRDefault="00810FD5" w:rsidP="003223DD">
      <w:pPr>
        <w:pStyle w:val="ParaNoNdepar-AltN"/>
        <w:widowControl w:val="0"/>
        <w:ind w:left="0"/>
        <w:rPr>
          <w:rFonts w:cs="Times New Roman"/>
          <w:lang w:val="fr-CA"/>
        </w:rPr>
      </w:pPr>
      <w:r w:rsidRPr="00AA314A">
        <w:rPr>
          <w:rFonts w:eastAsia="Times New Roman" w:cs="Times New Roman"/>
          <w:lang w:val="fr-CA"/>
        </w:rPr>
        <w:t>Au plus fort des manifestations, Jean</w:t>
      </w:r>
      <w:r>
        <w:rPr>
          <w:rFonts w:eastAsia="Times New Roman" w:cs="Times New Roman"/>
          <w:lang w:val="fr-CA"/>
        </w:rPr>
        <w:noBreakHyphen/>
      </w:r>
      <w:r w:rsidRPr="00AA314A">
        <w:rPr>
          <w:rFonts w:eastAsia="Times New Roman" w:cs="Times New Roman"/>
          <w:lang w:val="fr-CA"/>
        </w:rPr>
        <w:t>François Morasse est étudiant à la Faculté d</w:t>
      </w:r>
      <w:r>
        <w:rPr>
          <w:rFonts w:eastAsia="Times New Roman" w:cs="Times New Roman"/>
          <w:lang w:val="fr-CA"/>
        </w:rPr>
        <w:t>’</w:t>
      </w:r>
      <w:r w:rsidRPr="00AA314A">
        <w:rPr>
          <w:rFonts w:eastAsia="Times New Roman" w:cs="Times New Roman"/>
          <w:lang w:val="fr-CA"/>
        </w:rPr>
        <w:t>aménagement, d</w:t>
      </w:r>
      <w:r>
        <w:rPr>
          <w:rFonts w:eastAsia="Times New Roman" w:cs="Times New Roman"/>
          <w:lang w:val="fr-CA"/>
        </w:rPr>
        <w:t>’</w:t>
      </w:r>
      <w:r w:rsidRPr="00AA314A">
        <w:rPr>
          <w:rFonts w:eastAsia="Times New Roman" w:cs="Times New Roman"/>
          <w:lang w:val="fr-CA"/>
        </w:rPr>
        <w:t>architecture, d</w:t>
      </w:r>
      <w:r>
        <w:rPr>
          <w:rFonts w:eastAsia="Times New Roman" w:cs="Times New Roman"/>
          <w:lang w:val="fr-CA"/>
        </w:rPr>
        <w:t>’</w:t>
      </w:r>
      <w:r w:rsidRPr="00AA314A">
        <w:rPr>
          <w:rFonts w:eastAsia="Times New Roman" w:cs="Times New Roman"/>
          <w:lang w:val="fr-CA"/>
        </w:rPr>
        <w:t>art et de design de l</w:t>
      </w:r>
      <w:r>
        <w:rPr>
          <w:rFonts w:eastAsia="Times New Roman" w:cs="Times New Roman"/>
          <w:lang w:val="fr-CA"/>
        </w:rPr>
        <w:t>’</w:t>
      </w:r>
      <w:r w:rsidRPr="00AA314A">
        <w:rPr>
          <w:rFonts w:eastAsia="Times New Roman" w:cs="Times New Roman"/>
          <w:lang w:val="fr-CA"/>
        </w:rPr>
        <w:t>Université Laval, qu</w:t>
      </w:r>
      <w:r>
        <w:rPr>
          <w:rFonts w:eastAsia="Times New Roman" w:cs="Times New Roman"/>
          <w:lang w:val="fr-CA"/>
        </w:rPr>
        <w:t>’</w:t>
      </w:r>
      <w:r w:rsidRPr="00AA314A">
        <w:rPr>
          <w:rFonts w:eastAsia="Times New Roman" w:cs="Times New Roman"/>
          <w:lang w:val="fr-CA"/>
        </w:rPr>
        <w:t>il fréquente pour une dernière année avant de terminer un certificat en arts plastiques. L</w:t>
      </w:r>
      <w:r>
        <w:rPr>
          <w:rFonts w:eastAsia="Times New Roman" w:cs="Times New Roman"/>
          <w:lang w:val="fr-CA"/>
        </w:rPr>
        <w:t>’</w:t>
      </w:r>
      <w:r w:rsidRPr="00AA314A">
        <w:rPr>
          <w:rFonts w:eastAsia="Times New Roman" w:cs="Times New Roman"/>
          <w:lang w:val="fr-CA"/>
        </w:rPr>
        <w:t>Association des étudiants en arts plastiques de l</w:t>
      </w:r>
      <w:r>
        <w:rPr>
          <w:rFonts w:eastAsia="Times New Roman" w:cs="Times New Roman"/>
          <w:lang w:val="fr-CA"/>
        </w:rPr>
        <w:t>’</w:t>
      </w:r>
      <w:r w:rsidRPr="00AA314A">
        <w:rPr>
          <w:rFonts w:eastAsia="Times New Roman" w:cs="Times New Roman"/>
          <w:lang w:val="fr-CA"/>
        </w:rPr>
        <w:t>Université Laval (AS</w:t>
      </w:r>
      <w:r w:rsidR="006E7D2F">
        <w:rPr>
          <w:rFonts w:eastAsia="Times New Roman" w:cs="Times New Roman"/>
          <w:lang w:val="fr-CA"/>
        </w:rPr>
        <w:t>É</w:t>
      </w:r>
      <w:r w:rsidRPr="00AA314A">
        <w:rPr>
          <w:rFonts w:eastAsia="Times New Roman" w:cs="Times New Roman"/>
          <w:lang w:val="fr-CA"/>
        </w:rPr>
        <w:t>TAP), l</w:t>
      </w:r>
      <w:r>
        <w:rPr>
          <w:rFonts w:eastAsia="Times New Roman" w:cs="Times New Roman"/>
          <w:lang w:val="fr-CA"/>
        </w:rPr>
        <w:t>’</w:t>
      </w:r>
      <w:r w:rsidRPr="00AA314A">
        <w:rPr>
          <w:rFonts w:eastAsia="Times New Roman" w:cs="Times New Roman"/>
          <w:lang w:val="fr-CA"/>
        </w:rPr>
        <w:t xml:space="preserve">organisation qui représente les étudiants inscrits à ce programme, tient un vote de </w:t>
      </w:r>
      <w:r w:rsidRPr="00AA314A">
        <w:rPr>
          <w:rFonts w:eastAsia="Times New Roman" w:cs="Times New Roman"/>
          <w:lang w:val="fr-CA"/>
        </w:rPr>
        <w:lastRenderedPageBreak/>
        <w:t>grève et organise des manifestations. Le 29 février 2012, des lignes de piquetage sont érigées pour bloquer l</w:t>
      </w:r>
      <w:r>
        <w:rPr>
          <w:rFonts w:eastAsia="Times New Roman" w:cs="Times New Roman"/>
          <w:lang w:val="fr-CA"/>
        </w:rPr>
        <w:t>’</w:t>
      </w:r>
      <w:r w:rsidRPr="00AA314A">
        <w:rPr>
          <w:rFonts w:eastAsia="Times New Roman" w:cs="Times New Roman"/>
          <w:lang w:val="fr-CA"/>
        </w:rPr>
        <w:t>entrée de l</w:t>
      </w:r>
      <w:r>
        <w:rPr>
          <w:rFonts w:eastAsia="Times New Roman" w:cs="Times New Roman"/>
          <w:lang w:val="fr-CA"/>
        </w:rPr>
        <w:t>’</w:t>
      </w:r>
      <w:r w:rsidRPr="00AA314A">
        <w:rPr>
          <w:rFonts w:eastAsia="Times New Roman" w:cs="Times New Roman"/>
          <w:lang w:val="fr-CA"/>
        </w:rPr>
        <w:t>édifice où sont offerts les cours de M. Morasse.</w:t>
      </w:r>
    </w:p>
    <w:p w:rsidR="00810FD5" w:rsidRPr="00AA314A" w:rsidRDefault="00810FD5" w:rsidP="003223DD">
      <w:pPr>
        <w:pStyle w:val="ParaNoNdepar-AltN"/>
        <w:widowControl w:val="0"/>
        <w:ind w:left="0"/>
        <w:rPr>
          <w:rFonts w:cs="Times New Roman"/>
          <w:lang w:val="fr-CA"/>
        </w:rPr>
      </w:pPr>
      <w:r w:rsidRPr="00AA314A">
        <w:rPr>
          <w:rFonts w:cs="Times New Roman"/>
          <w:lang w:val="fr-CA"/>
        </w:rPr>
        <w:t>Dans le cadre d</w:t>
      </w:r>
      <w:r>
        <w:rPr>
          <w:rFonts w:cs="Times New Roman"/>
          <w:lang w:val="fr-CA"/>
        </w:rPr>
        <w:t>’</w:t>
      </w:r>
      <w:r w:rsidRPr="00AA314A">
        <w:rPr>
          <w:rFonts w:cs="Times New Roman"/>
          <w:lang w:val="fr-CA"/>
        </w:rPr>
        <w:t>une instance civile qu</w:t>
      </w:r>
      <w:r>
        <w:rPr>
          <w:rFonts w:cs="Times New Roman"/>
          <w:lang w:val="fr-CA"/>
        </w:rPr>
        <w:t>’</w:t>
      </w:r>
      <w:r w:rsidRPr="00AA314A">
        <w:rPr>
          <w:rFonts w:cs="Times New Roman"/>
          <w:lang w:val="fr-CA"/>
        </w:rPr>
        <w:t>il introduit contre l</w:t>
      </w:r>
      <w:r>
        <w:rPr>
          <w:rFonts w:cs="Times New Roman"/>
          <w:lang w:val="fr-CA"/>
        </w:rPr>
        <w:t>’</w:t>
      </w:r>
      <w:r w:rsidRPr="00AA314A">
        <w:rPr>
          <w:rFonts w:cs="Times New Roman"/>
          <w:lang w:val="fr-CA"/>
        </w:rPr>
        <w:t>Université Laval, l</w:t>
      </w:r>
      <w:r>
        <w:rPr>
          <w:rFonts w:cs="Times New Roman"/>
          <w:lang w:val="fr-CA"/>
        </w:rPr>
        <w:t>’</w:t>
      </w:r>
      <w:r w:rsidRPr="00AA314A">
        <w:rPr>
          <w:rFonts w:cs="Times New Roman"/>
          <w:lang w:val="fr-CA"/>
        </w:rPr>
        <w:t>AS</w:t>
      </w:r>
      <w:r w:rsidR="00312417">
        <w:rPr>
          <w:rFonts w:cs="Times New Roman"/>
          <w:lang w:val="fr-CA"/>
        </w:rPr>
        <w:t>É</w:t>
      </w:r>
      <w:r w:rsidRPr="00AA314A">
        <w:rPr>
          <w:rFonts w:cs="Times New Roman"/>
          <w:lang w:val="fr-CA"/>
        </w:rPr>
        <w:t>TAP et une autre organisation étudiante, M. Morasse obtient le 12 avril 2012 une injonction interlocutoire provisoire d</w:t>
      </w:r>
      <w:r>
        <w:rPr>
          <w:rFonts w:cs="Times New Roman"/>
          <w:lang w:val="fr-CA"/>
        </w:rPr>
        <w:t>’</w:t>
      </w:r>
      <w:r w:rsidRPr="00AA314A">
        <w:rPr>
          <w:rFonts w:cs="Times New Roman"/>
          <w:lang w:val="fr-CA"/>
        </w:rPr>
        <w:t xml:space="preserve">une durée de </w:t>
      </w:r>
      <w:r w:rsidR="00312417">
        <w:rPr>
          <w:rFonts w:cs="Times New Roman"/>
          <w:lang w:val="fr-CA"/>
        </w:rPr>
        <w:t xml:space="preserve">10 </w:t>
      </w:r>
      <w:r w:rsidRPr="00AA314A">
        <w:rPr>
          <w:rFonts w:cs="Times New Roman"/>
          <w:lang w:val="fr-CA"/>
        </w:rPr>
        <w:t>jours</w:t>
      </w:r>
      <w:r w:rsidRPr="00AA314A">
        <w:rPr>
          <w:rStyle w:val="FootnoteReference"/>
          <w:rFonts w:cs="Times New Roman"/>
          <w:lang w:val="fr-CA"/>
        </w:rPr>
        <w:footnoteReference w:id="2"/>
      </w:r>
      <w:r w:rsidR="00312417">
        <w:rPr>
          <w:rFonts w:cs="Times New Roman"/>
          <w:lang w:val="fr-CA"/>
        </w:rPr>
        <w:t>.</w:t>
      </w:r>
      <w:r w:rsidRPr="00AA314A">
        <w:rPr>
          <w:rFonts w:cs="Times New Roman"/>
          <w:lang w:val="fr-CA"/>
        </w:rPr>
        <w:t xml:space="preserve"> L</w:t>
      </w:r>
      <w:r>
        <w:rPr>
          <w:rFonts w:cs="Times New Roman"/>
          <w:lang w:val="fr-CA"/>
        </w:rPr>
        <w:t>’</w:t>
      </w:r>
      <w:r w:rsidRPr="00AA314A">
        <w:rPr>
          <w:rFonts w:cs="Times New Roman"/>
          <w:lang w:val="fr-CA"/>
        </w:rPr>
        <w:t>injonction intime de laisser libre accès à toutes les installations où se donnent des cours du programme d</w:t>
      </w:r>
      <w:r>
        <w:rPr>
          <w:rFonts w:cs="Times New Roman"/>
          <w:lang w:val="fr-CA"/>
        </w:rPr>
        <w:t>’</w:t>
      </w:r>
      <w:r w:rsidRPr="00AA314A">
        <w:rPr>
          <w:rFonts w:cs="Times New Roman"/>
          <w:lang w:val="fr-CA"/>
        </w:rPr>
        <w:t>arts plastiques. Elle enjoint également à tous ceux qui boycottent alors les cours de s</w:t>
      </w:r>
      <w:r>
        <w:rPr>
          <w:rFonts w:cs="Times New Roman"/>
          <w:lang w:val="fr-CA"/>
        </w:rPr>
        <w:t>’</w:t>
      </w:r>
      <w:r w:rsidRPr="00AA314A">
        <w:rPr>
          <w:rFonts w:cs="Times New Roman"/>
          <w:lang w:val="fr-CA"/>
        </w:rPr>
        <w:t>abstenir d</w:t>
      </w:r>
      <w:r>
        <w:rPr>
          <w:rFonts w:cs="Times New Roman"/>
          <w:lang w:val="fr-CA"/>
        </w:rPr>
        <w:t>’</w:t>
      </w:r>
      <w:r w:rsidRPr="00AA314A">
        <w:rPr>
          <w:rFonts w:cs="Times New Roman"/>
          <w:lang w:val="fr-CA"/>
        </w:rPr>
        <w:t>obstruer ou de bloquer autrement l</w:t>
      </w:r>
      <w:r>
        <w:rPr>
          <w:rFonts w:cs="Times New Roman"/>
          <w:lang w:val="fr-CA"/>
        </w:rPr>
        <w:t>’</w:t>
      </w:r>
      <w:r w:rsidRPr="00AA314A">
        <w:rPr>
          <w:rFonts w:cs="Times New Roman"/>
          <w:lang w:val="fr-CA"/>
        </w:rPr>
        <w:t>accès aux cours par l</w:t>
      </w:r>
      <w:r>
        <w:rPr>
          <w:rFonts w:cs="Times New Roman"/>
          <w:lang w:val="fr-CA"/>
        </w:rPr>
        <w:t>’</w:t>
      </w:r>
      <w:r w:rsidRPr="00AA314A">
        <w:rPr>
          <w:rFonts w:cs="Times New Roman"/>
          <w:lang w:val="fr-CA"/>
        </w:rPr>
        <w:t>intimidation ou par d</w:t>
      </w:r>
      <w:r>
        <w:rPr>
          <w:rFonts w:cs="Times New Roman"/>
          <w:lang w:val="fr-CA"/>
        </w:rPr>
        <w:t>’</w:t>
      </w:r>
      <w:r w:rsidRPr="00AA314A">
        <w:rPr>
          <w:rFonts w:cs="Times New Roman"/>
          <w:lang w:val="fr-CA"/>
        </w:rPr>
        <w:t>autres gestes qui auraient vraisemblablement cet effet.</w:t>
      </w:r>
    </w:p>
    <w:p w:rsidR="00810FD5" w:rsidRPr="00AA314A" w:rsidRDefault="00810FD5" w:rsidP="003223DD">
      <w:pPr>
        <w:pStyle w:val="ParaNoNdepar-AltN"/>
        <w:widowControl w:val="0"/>
        <w:ind w:left="0"/>
        <w:rPr>
          <w:rFonts w:cs="Times New Roman"/>
          <w:b/>
          <w:lang w:val="fr-CA"/>
        </w:rPr>
      </w:pPr>
      <w:r w:rsidRPr="00AA314A">
        <w:rPr>
          <w:rFonts w:cs="Times New Roman"/>
          <w:lang w:val="fr-CA"/>
        </w:rPr>
        <w:t>Le 26 avril 2012, M. Morasse présente une demande de renouvellement de l</w:t>
      </w:r>
      <w:r>
        <w:rPr>
          <w:rFonts w:cs="Times New Roman"/>
          <w:lang w:val="fr-CA"/>
        </w:rPr>
        <w:t>’</w:t>
      </w:r>
      <w:r w:rsidRPr="00AA314A">
        <w:rPr>
          <w:rFonts w:cs="Times New Roman"/>
          <w:lang w:val="fr-CA"/>
        </w:rPr>
        <w:t>injonction.</w:t>
      </w:r>
      <w:r w:rsidRPr="00E73235">
        <w:rPr>
          <w:rFonts w:cs="Times New Roman"/>
          <w:lang w:val="fr-CA"/>
        </w:rPr>
        <w:t xml:space="preserve"> </w:t>
      </w:r>
      <w:r w:rsidRPr="00AA314A">
        <w:rPr>
          <w:rFonts w:cs="Times New Roman"/>
          <w:lang w:val="fr-CA"/>
        </w:rPr>
        <w:t>Le 2 mai 2012, le juge Émond</w:t>
      </w:r>
      <w:r w:rsidR="00161CEC">
        <w:rPr>
          <w:rFonts w:cs="Times New Roman"/>
          <w:lang w:val="fr-CA"/>
        </w:rPr>
        <w:t xml:space="preserve"> (maintenant juge de la Cour d’appel)</w:t>
      </w:r>
      <w:r w:rsidRPr="00AA314A">
        <w:rPr>
          <w:rFonts w:cs="Times New Roman"/>
          <w:lang w:val="fr-CA"/>
        </w:rPr>
        <w:t xml:space="preserve"> renouvelle l</w:t>
      </w:r>
      <w:r>
        <w:rPr>
          <w:rFonts w:cs="Times New Roman"/>
          <w:lang w:val="fr-CA"/>
        </w:rPr>
        <w:t>’</w:t>
      </w:r>
      <w:r w:rsidRPr="00AA314A">
        <w:rPr>
          <w:rFonts w:cs="Times New Roman"/>
          <w:lang w:val="fr-CA"/>
        </w:rPr>
        <w:t>injonction en prononçant une ordonnance de sauvegarde valide jusqu</w:t>
      </w:r>
      <w:r>
        <w:rPr>
          <w:rFonts w:cs="Times New Roman"/>
          <w:lang w:val="fr-CA"/>
        </w:rPr>
        <w:t>’</w:t>
      </w:r>
      <w:r w:rsidRPr="00AA314A">
        <w:rPr>
          <w:rFonts w:cs="Times New Roman"/>
          <w:lang w:val="fr-CA"/>
        </w:rPr>
        <w:t>au 14 septembre 2012</w:t>
      </w:r>
      <w:r w:rsidRPr="00AA314A">
        <w:rPr>
          <w:rStyle w:val="FootnoteReference"/>
          <w:rFonts w:cs="Times New Roman"/>
          <w:lang w:val="fr-CA"/>
        </w:rPr>
        <w:footnoteReference w:id="3"/>
      </w:r>
      <w:r w:rsidR="00312417">
        <w:rPr>
          <w:rFonts w:cs="Times New Roman"/>
          <w:lang w:val="fr-CA"/>
        </w:rPr>
        <w:t xml:space="preserve">. </w:t>
      </w:r>
      <w:r w:rsidRPr="00AA314A">
        <w:rPr>
          <w:rFonts w:cs="Times New Roman"/>
          <w:lang w:val="fr-CA"/>
        </w:rPr>
        <w:t>Dans cette ordonnance, le juge réaffirme l</w:t>
      </w:r>
      <w:r>
        <w:rPr>
          <w:rFonts w:cs="Times New Roman"/>
          <w:lang w:val="fr-CA"/>
        </w:rPr>
        <w:t>’</w:t>
      </w:r>
      <w:r w:rsidRPr="00AA314A">
        <w:rPr>
          <w:rFonts w:cs="Times New Roman"/>
          <w:lang w:val="fr-CA"/>
        </w:rPr>
        <w:t>interdiction d</w:t>
      </w:r>
      <w:r>
        <w:rPr>
          <w:rFonts w:cs="Times New Roman"/>
          <w:lang w:val="fr-CA"/>
        </w:rPr>
        <w:t>’</w:t>
      </w:r>
      <w:r w:rsidRPr="00AA314A">
        <w:rPr>
          <w:rFonts w:cs="Times New Roman"/>
          <w:lang w:val="fr-CA"/>
        </w:rPr>
        <w:t>obstruer l</w:t>
      </w:r>
      <w:r>
        <w:rPr>
          <w:rFonts w:cs="Times New Roman"/>
          <w:lang w:val="fr-CA"/>
        </w:rPr>
        <w:t>’</w:t>
      </w:r>
      <w:r w:rsidRPr="00AA314A">
        <w:rPr>
          <w:rFonts w:cs="Times New Roman"/>
          <w:lang w:val="fr-CA"/>
        </w:rPr>
        <w:t>accès aux cours ou de nuire à cet accès, mais il ne fait aucune mention particulière du piquetage en général</w:t>
      </w:r>
      <w:r>
        <w:rPr>
          <w:rFonts w:cs="Times New Roman"/>
          <w:lang w:val="fr-CA"/>
        </w:rPr>
        <w:t> :</w:t>
      </w:r>
    </w:p>
    <w:p w:rsidR="00810FD5" w:rsidRPr="00AA314A" w:rsidRDefault="00810FD5" w:rsidP="003223DD">
      <w:pPr>
        <w:pStyle w:val="Citation-AltC"/>
        <w:widowControl w:val="0"/>
        <w:spacing w:after="240"/>
        <w:ind w:hanging="1166"/>
        <w:contextualSpacing w:val="0"/>
        <w:rPr>
          <w:lang w:val="fr-CA"/>
        </w:rPr>
      </w:pPr>
      <w:r w:rsidRPr="00AA314A">
        <w:rPr>
          <w:rFonts w:eastAsia="Calibri"/>
          <w:b/>
          <w:lang w:val="fr-CA"/>
        </w:rPr>
        <w:tab/>
      </w:r>
      <w:r w:rsidR="00312417">
        <w:rPr>
          <w:rFonts w:eastAsia="Calibri"/>
          <w:b/>
          <w:lang w:val="fr-CA"/>
        </w:rPr>
        <w:tab/>
      </w:r>
      <w:r w:rsidRPr="00AA314A">
        <w:rPr>
          <w:rFonts w:eastAsia="Calibri"/>
          <w:b/>
          <w:lang w:val="fr-CA"/>
        </w:rPr>
        <w:t>ORDONNE</w:t>
      </w:r>
      <w:r w:rsidRPr="00AA314A">
        <w:rPr>
          <w:rFonts w:eastAsia="Calibri"/>
          <w:lang w:val="fr-CA"/>
        </w:rPr>
        <w:t xml:space="preserve"> à l</w:t>
      </w:r>
      <w:r>
        <w:rPr>
          <w:rFonts w:eastAsia="Calibri"/>
          <w:lang w:val="fr-CA"/>
        </w:rPr>
        <w:t>’</w:t>
      </w:r>
      <w:r w:rsidRPr="00AA314A">
        <w:rPr>
          <w:rFonts w:eastAsia="Calibri"/>
          <w:lang w:val="fr-CA"/>
        </w:rPr>
        <w:t>Université Laval, l</w:t>
      </w:r>
      <w:r>
        <w:rPr>
          <w:rFonts w:eastAsia="Calibri"/>
          <w:lang w:val="fr-CA"/>
        </w:rPr>
        <w:t>’</w:t>
      </w:r>
      <w:r w:rsidRPr="00AA314A">
        <w:rPr>
          <w:rFonts w:eastAsia="Calibri"/>
          <w:lang w:val="fr-CA"/>
        </w:rPr>
        <w:t xml:space="preserve">Association des étudiants en arts plastiques </w:t>
      </w:r>
      <w:r w:rsidR="00312417">
        <w:rPr>
          <w:rFonts w:eastAsia="Calibri"/>
          <w:lang w:val="fr-CA"/>
        </w:rPr>
        <w:t xml:space="preserve">[ASÉTAP] </w:t>
      </w:r>
      <w:r w:rsidRPr="00AA314A">
        <w:rPr>
          <w:rFonts w:eastAsia="Calibri"/>
          <w:lang w:val="fr-CA"/>
        </w:rPr>
        <w:t>ainsi qu</w:t>
      </w:r>
      <w:r>
        <w:rPr>
          <w:rFonts w:eastAsia="Calibri"/>
          <w:lang w:val="fr-CA"/>
        </w:rPr>
        <w:t>’</w:t>
      </w:r>
      <w:r w:rsidRPr="00AA314A">
        <w:rPr>
          <w:rFonts w:eastAsia="Calibri"/>
          <w:lang w:val="fr-CA"/>
        </w:rPr>
        <w:t xml:space="preserve">à toute personne informée de la présente ordonnance, </w:t>
      </w:r>
      <w:r w:rsidRPr="00AA314A">
        <w:rPr>
          <w:rFonts w:eastAsia="Calibri"/>
          <w:u w:val="single"/>
          <w:lang w:val="fr-CA"/>
        </w:rPr>
        <w:t>de laisser libre accès aux salles de cours</w:t>
      </w:r>
      <w:r w:rsidRPr="00AA314A">
        <w:rPr>
          <w:rFonts w:eastAsia="Calibri"/>
          <w:lang w:val="fr-CA"/>
        </w:rPr>
        <w:t xml:space="preserve"> de l</w:t>
      </w:r>
      <w:r>
        <w:rPr>
          <w:rFonts w:eastAsia="Calibri"/>
          <w:lang w:val="fr-CA"/>
        </w:rPr>
        <w:t>’</w:t>
      </w:r>
      <w:r w:rsidRPr="00AA314A">
        <w:rPr>
          <w:rFonts w:eastAsia="Calibri"/>
          <w:lang w:val="fr-CA"/>
        </w:rPr>
        <w:t>Université Laval où sont dispensés les cours menant au certificat en arts plastiques, et ce, afin que ces cours puissent être donnés à l</w:t>
      </w:r>
      <w:r>
        <w:rPr>
          <w:rFonts w:eastAsia="Calibri"/>
          <w:lang w:val="fr-CA"/>
        </w:rPr>
        <w:t>’</w:t>
      </w:r>
      <w:r w:rsidRPr="00AA314A">
        <w:rPr>
          <w:rFonts w:eastAsia="Calibri"/>
          <w:lang w:val="fr-CA"/>
        </w:rPr>
        <w:t>horaire prévu à la session d</w:t>
      </w:r>
      <w:r>
        <w:rPr>
          <w:rFonts w:eastAsia="Calibri"/>
          <w:lang w:val="fr-CA"/>
        </w:rPr>
        <w:t>’</w:t>
      </w:r>
      <w:r w:rsidRPr="00AA314A">
        <w:rPr>
          <w:rFonts w:eastAsia="Calibri"/>
          <w:lang w:val="fr-CA"/>
        </w:rPr>
        <w:t>hiver 2012</w:t>
      </w:r>
      <w:r w:rsidRPr="00AA314A">
        <w:rPr>
          <w:lang w:val="fr-CA"/>
        </w:rPr>
        <w:t>;</w:t>
      </w:r>
    </w:p>
    <w:p w:rsidR="00810FD5" w:rsidRPr="00AA314A" w:rsidRDefault="00810FD5" w:rsidP="003223DD">
      <w:pPr>
        <w:pStyle w:val="Citation-AltC"/>
        <w:widowControl w:val="0"/>
        <w:spacing w:after="240"/>
        <w:ind w:hanging="1166"/>
        <w:contextualSpacing w:val="0"/>
        <w:rPr>
          <w:lang w:val="fr-CA"/>
        </w:rPr>
      </w:pPr>
      <w:r w:rsidRPr="00AA314A">
        <w:rPr>
          <w:b/>
          <w:lang w:val="fr-CA"/>
        </w:rPr>
        <w:tab/>
      </w:r>
      <w:r w:rsidR="00312417">
        <w:rPr>
          <w:b/>
          <w:lang w:val="fr-CA"/>
        </w:rPr>
        <w:tab/>
      </w:r>
      <w:r w:rsidRPr="00AA314A">
        <w:rPr>
          <w:b/>
          <w:lang w:val="fr-CA"/>
        </w:rPr>
        <w:t>ORDONNE</w:t>
      </w:r>
      <w:r w:rsidRPr="00AA314A">
        <w:rPr>
          <w:lang w:val="fr-CA"/>
        </w:rPr>
        <w:t xml:space="preserve"> à tous les étudiants et autres personnes qui pratiquent présentement le boycottage des cours </w:t>
      </w:r>
      <w:r w:rsidRPr="00AA314A">
        <w:rPr>
          <w:u w:val="single"/>
          <w:lang w:val="fr-CA"/>
        </w:rPr>
        <w:t>de s</w:t>
      </w:r>
      <w:r>
        <w:rPr>
          <w:u w:val="single"/>
          <w:lang w:val="fr-CA"/>
        </w:rPr>
        <w:t>’</w:t>
      </w:r>
      <w:r w:rsidRPr="00AA314A">
        <w:rPr>
          <w:u w:val="single"/>
          <w:lang w:val="fr-CA"/>
        </w:rPr>
        <w:t>abstenir d</w:t>
      </w:r>
      <w:r>
        <w:rPr>
          <w:u w:val="single"/>
          <w:lang w:val="fr-CA"/>
        </w:rPr>
        <w:t>’</w:t>
      </w:r>
      <w:r w:rsidRPr="00AA314A">
        <w:rPr>
          <w:u w:val="single"/>
          <w:lang w:val="fr-CA"/>
        </w:rPr>
        <w:t xml:space="preserve">obstruer ou de nuire </w:t>
      </w:r>
      <w:r w:rsidRPr="00AA314A">
        <w:rPr>
          <w:u w:val="single"/>
          <w:lang w:val="fr-CA"/>
        </w:rPr>
        <w:lastRenderedPageBreak/>
        <w:t>à l</w:t>
      </w:r>
      <w:r>
        <w:rPr>
          <w:u w:val="single"/>
          <w:lang w:val="fr-CA"/>
        </w:rPr>
        <w:t>’</w:t>
      </w:r>
      <w:r w:rsidRPr="00AA314A">
        <w:rPr>
          <w:u w:val="single"/>
          <w:lang w:val="fr-CA"/>
        </w:rPr>
        <w:t>accès aux cours</w:t>
      </w:r>
      <w:r w:rsidRPr="00AA314A">
        <w:rPr>
          <w:lang w:val="fr-CA"/>
        </w:rPr>
        <w:t xml:space="preserve"> par intimidation ou de poser toute action susceptible d</w:t>
      </w:r>
      <w:r>
        <w:rPr>
          <w:lang w:val="fr-CA"/>
        </w:rPr>
        <w:t>’</w:t>
      </w:r>
      <w:r w:rsidRPr="00AA314A">
        <w:rPr>
          <w:lang w:val="fr-CA"/>
        </w:rPr>
        <w:t>empêcher ou d</w:t>
      </w:r>
      <w:r>
        <w:rPr>
          <w:lang w:val="fr-CA"/>
        </w:rPr>
        <w:t>’</w:t>
      </w:r>
      <w:r w:rsidRPr="00AA314A">
        <w:rPr>
          <w:lang w:val="fr-CA"/>
        </w:rPr>
        <w:t>affecter négativement l</w:t>
      </w:r>
      <w:r>
        <w:rPr>
          <w:lang w:val="fr-CA"/>
        </w:rPr>
        <w:t>’</w:t>
      </w:r>
      <w:r w:rsidRPr="00AA314A">
        <w:rPr>
          <w:lang w:val="fr-CA"/>
        </w:rPr>
        <w:t>accès à ces cours;</w:t>
      </w:r>
    </w:p>
    <w:p w:rsidR="00810FD5" w:rsidRPr="00AA314A" w:rsidRDefault="00810FD5" w:rsidP="003223DD">
      <w:pPr>
        <w:pStyle w:val="Citation-AltC"/>
        <w:widowControl w:val="0"/>
        <w:spacing w:after="240"/>
        <w:ind w:hanging="1166"/>
        <w:contextualSpacing w:val="0"/>
        <w:rPr>
          <w:lang w:val="fr-CA"/>
        </w:rPr>
      </w:pPr>
      <w:r w:rsidRPr="00AA314A">
        <w:rPr>
          <w:b/>
          <w:lang w:val="fr-CA"/>
        </w:rPr>
        <w:tab/>
      </w:r>
      <w:r w:rsidR="00312417">
        <w:rPr>
          <w:b/>
          <w:lang w:val="fr-CA"/>
        </w:rPr>
        <w:tab/>
      </w:r>
      <w:r w:rsidRPr="00AA314A">
        <w:rPr>
          <w:b/>
          <w:lang w:val="fr-CA"/>
        </w:rPr>
        <w:t>CONFIE</w:t>
      </w:r>
      <w:r w:rsidRPr="00AA314A">
        <w:rPr>
          <w:lang w:val="fr-CA"/>
        </w:rPr>
        <w:t xml:space="preserve"> à l</w:t>
      </w:r>
      <w:r>
        <w:rPr>
          <w:lang w:val="fr-CA"/>
        </w:rPr>
        <w:t>’</w:t>
      </w:r>
      <w:r w:rsidRPr="00AA314A">
        <w:rPr>
          <w:lang w:val="fr-CA"/>
        </w:rPr>
        <w:t xml:space="preserve">Université Laval le soin de signifier sans délai la présente ordonnance selon les modalités prévues au </w:t>
      </w:r>
      <w:r w:rsidRPr="00AA314A">
        <w:rPr>
          <w:i/>
          <w:lang w:val="fr-CA"/>
        </w:rPr>
        <w:t>Code de procédure civile</w:t>
      </w:r>
      <w:r w:rsidRPr="00AA314A">
        <w:rPr>
          <w:lang w:val="fr-CA"/>
        </w:rPr>
        <w:t xml:space="preserve"> et d</w:t>
      </w:r>
      <w:r>
        <w:rPr>
          <w:lang w:val="fr-CA"/>
        </w:rPr>
        <w:t>’</w:t>
      </w:r>
      <w:r w:rsidRPr="00AA314A">
        <w:rPr>
          <w:lang w:val="fr-CA"/>
        </w:rPr>
        <w:t>en informer toute personne qu</w:t>
      </w:r>
      <w:r>
        <w:rPr>
          <w:lang w:val="fr-CA"/>
        </w:rPr>
        <w:t>’</w:t>
      </w:r>
      <w:r w:rsidRPr="00AA314A">
        <w:rPr>
          <w:lang w:val="fr-CA"/>
        </w:rPr>
        <w:t>elle jugera à propos de façon à ce qu</w:t>
      </w:r>
      <w:r>
        <w:rPr>
          <w:lang w:val="fr-CA"/>
        </w:rPr>
        <w:t>’</w:t>
      </w:r>
      <w:r w:rsidRPr="00AA314A">
        <w:rPr>
          <w:lang w:val="fr-CA"/>
        </w:rPr>
        <w:t>elle puisse, à titre de propriétaire et responsable des lieux, s</w:t>
      </w:r>
      <w:r>
        <w:rPr>
          <w:lang w:val="fr-CA"/>
        </w:rPr>
        <w:t>’</w:t>
      </w:r>
      <w:r w:rsidRPr="00AA314A">
        <w:rPr>
          <w:lang w:val="fr-CA"/>
        </w:rPr>
        <w:t>assurer de la bonne exécution de la présente ordonnance;</w:t>
      </w:r>
    </w:p>
    <w:p w:rsidR="00810FD5" w:rsidRPr="00AA314A" w:rsidRDefault="00810FD5" w:rsidP="003223DD">
      <w:pPr>
        <w:pStyle w:val="Citation-AltC"/>
        <w:widowControl w:val="0"/>
        <w:ind w:hanging="1166"/>
        <w:contextualSpacing w:val="0"/>
        <w:rPr>
          <w:lang w:val="fr-CA"/>
        </w:rPr>
      </w:pPr>
      <w:r w:rsidRPr="00AA314A">
        <w:rPr>
          <w:b/>
          <w:lang w:val="fr-CA"/>
        </w:rPr>
        <w:tab/>
      </w:r>
      <w:r w:rsidR="00312417">
        <w:rPr>
          <w:b/>
          <w:lang w:val="fr-CA"/>
        </w:rPr>
        <w:tab/>
      </w:r>
      <w:r w:rsidRPr="00AA314A">
        <w:rPr>
          <w:b/>
          <w:lang w:val="fr-CA"/>
        </w:rPr>
        <w:t>DÉCLARE</w:t>
      </w:r>
      <w:r w:rsidRPr="00AA314A">
        <w:rPr>
          <w:lang w:val="fr-CA"/>
        </w:rPr>
        <w:t xml:space="preserve"> que la présente ordonnance demeure en vigueur jusqu</w:t>
      </w:r>
      <w:r>
        <w:rPr>
          <w:lang w:val="fr-CA"/>
        </w:rPr>
        <w:t>’</w:t>
      </w:r>
      <w:r w:rsidRPr="00AA314A">
        <w:rPr>
          <w:lang w:val="fr-CA"/>
        </w:rPr>
        <w:t xml:space="preserve">au 14 septembre 2012; [Nous soulignons; </w:t>
      </w:r>
      <w:r>
        <w:rPr>
          <w:lang w:val="fr-CA"/>
        </w:rPr>
        <w:t>par. </w:t>
      </w:r>
      <w:r w:rsidRPr="00AA314A">
        <w:rPr>
          <w:lang w:val="fr-CA"/>
        </w:rPr>
        <w:t>59</w:t>
      </w:r>
      <w:r w:rsidR="00161CEC">
        <w:rPr>
          <w:lang w:val="fr-CA"/>
        </w:rPr>
        <w:t>-</w:t>
      </w:r>
      <w:r w:rsidRPr="00AA314A">
        <w:rPr>
          <w:lang w:val="fr-CA"/>
        </w:rPr>
        <w:t>62 (CanLII).]</w:t>
      </w:r>
    </w:p>
    <w:p w:rsidR="00810FD5" w:rsidRPr="00AA314A" w:rsidRDefault="00810FD5" w:rsidP="003223DD">
      <w:pPr>
        <w:pStyle w:val="ParaNoNdepar-AltN"/>
        <w:widowControl w:val="0"/>
        <w:ind w:left="0"/>
        <w:rPr>
          <w:rFonts w:cs="Times New Roman"/>
          <w:lang w:val="fr-CA"/>
        </w:rPr>
      </w:pPr>
      <w:r w:rsidRPr="00AA314A">
        <w:rPr>
          <w:rFonts w:cs="Times New Roman"/>
          <w:lang w:val="fr-CA"/>
        </w:rPr>
        <w:t>Onze jours plus tard, le 13 mai 2012, M. Nadeau</w:t>
      </w:r>
      <w:r>
        <w:rPr>
          <w:rFonts w:cs="Times New Roman"/>
          <w:lang w:val="fr-CA"/>
        </w:rPr>
        <w:noBreakHyphen/>
      </w:r>
      <w:r w:rsidRPr="00AA314A">
        <w:rPr>
          <w:rFonts w:cs="Times New Roman"/>
          <w:lang w:val="fr-CA"/>
        </w:rPr>
        <w:t>Dubois est interviewé par RDI, le réseau français de l</w:t>
      </w:r>
      <w:r>
        <w:rPr>
          <w:rFonts w:cs="Times New Roman"/>
          <w:lang w:val="fr-CA"/>
        </w:rPr>
        <w:t>’</w:t>
      </w:r>
      <w:r w:rsidRPr="00AA314A">
        <w:rPr>
          <w:rFonts w:cs="Times New Roman"/>
          <w:lang w:val="fr-CA"/>
        </w:rPr>
        <w:t>information de Radio</w:t>
      </w:r>
      <w:r>
        <w:rPr>
          <w:rFonts w:cs="Times New Roman"/>
          <w:lang w:val="fr-CA"/>
        </w:rPr>
        <w:noBreakHyphen/>
      </w:r>
      <w:r w:rsidRPr="00AA314A">
        <w:rPr>
          <w:rFonts w:cs="Times New Roman"/>
          <w:lang w:val="fr-CA"/>
        </w:rPr>
        <w:t>Canada, après qu</w:t>
      </w:r>
      <w:r>
        <w:rPr>
          <w:rFonts w:cs="Times New Roman"/>
          <w:lang w:val="fr-CA"/>
        </w:rPr>
        <w:t>’</w:t>
      </w:r>
      <w:r w:rsidRPr="00AA314A">
        <w:rPr>
          <w:rFonts w:cs="Times New Roman"/>
          <w:lang w:val="fr-CA"/>
        </w:rPr>
        <w:t>un cégep, le Collège de Rosemont, eut repris son horaire normal parce qu</w:t>
      </w:r>
      <w:r>
        <w:rPr>
          <w:rFonts w:cs="Times New Roman"/>
          <w:lang w:val="fr-CA"/>
        </w:rPr>
        <w:t>’</w:t>
      </w:r>
      <w:r w:rsidRPr="00AA314A">
        <w:rPr>
          <w:rFonts w:cs="Times New Roman"/>
          <w:lang w:val="fr-CA"/>
        </w:rPr>
        <w:t>une ordonnance de la Cour supérieure lui enjoignait de le faire</w:t>
      </w:r>
      <w:r w:rsidRPr="00AA314A">
        <w:rPr>
          <w:rStyle w:val="FootnoteReference"/>
          <w:rFonts w:cs="Times New Roman"/>
          <w:lang w:val="fr-CA"/>
        </w:rPr>
        <w:footnoteReference w:id="4"/>
      </w:r>
      <w:r w:rsidR="00161CEC">
        <w:rPr>
          <w:rFonts w:cs="Times New Roman"/>
          <w:lang w:val="fr-CA"/>
        </w:rPr>
        <w:t>.</w:t>
      </w:r>
      <w:r w:rsidRPr="00AA314A">
        <w:rPr>
          <w:rFonts w:cs="Times New Roman"/>
          <w:lang w:val="fr-CA"/>
        </w:rPr>
        <w:t xml:space="preserve"> Participe également à l</w:t>
      </w:r>
      <w:r>
        <w:rPr>
          <w:rFonts w:cs="Times New Roman"/>
          <w:lang w:val="fr-CA"/>
        </w:rPr>
        <w:t>’</w:t>
      </w:r>
      <w:r w:rsidRPr="00AA314A">
        <w:rPr>
          <w:rFonts w:cs="Times New Roman"/>
          <w:lang w:val="fr-CA"/>
        </w:rPr>
        <w:t>entrevue M. Léo</w:t>
      </w:r>
      <w:r>
        <w:rPr>
          <w:rFonts w:cs="Times New Roman"/>
          <w:lang w:val="fr-CA"/>
        </w:rPr>
        <w:t> </w:t>
      </w:r>
      <w:r w:rsidRPr="00AA314A">
        <w:rPr>
          <w:rFonts w:cs="Times New Roman"/>
          <w:lang w:val="fr-CA"/>
        </w:rPr>
        <w:t>Bureau</w:t>
      </w:r>
      <w:r>
        <w:rPr>
          <w:rFonts w:cs="Times New Roman"/>
          <w:lang w:val="fr-CA"/>
        </w:rPr>
        <w:noBreakHyphen/>
      </w:r>
      <w:r w:rsidRPr="00AA314A">
        <w:rPr>
          <w:rFonts w:cs="Times New Roman"/>
          <w:lang w:val="fr-CA"/>
        </w:rPr>
        <w:t>Blouin, dirigeant de la Fédération étudiante collégiale du Québec, une coalition représentant des associations étudiantes des cégeps et collèges privés du Québec. L</w:t>
      </w:r>
      <w:r>
        <w:rPr>
          <w:rFonts w:cs="Times New Roman"/>
          <w:lang w:val="fr-CA"/>
        </w:rPr>
        <w:t>’</w:t>
      </w:r>
      <w:r w:rsidRPr="00AA314A">
        <w:rPr>
          <w:rFonts w:cs="Times New Roman"/>
          <w:lang w:val="fr-CA"/>
        </w:rPr>
        <w:t>entrevue est diffusée en direct partout dans la province. Les extraits pertinents sont reproduits ci</w:t>
      </w:r>
      <w:r>
        <w:rPr>
          <w:rFonts w:cs="Times New Roman"/>
          <w:lang w:val="fr-CA"/>
        </w:rPr>
        <w:noBreakHyphen/>
      </w:r>
      <w:r w:rsidRPr="00AA314A">
        <w:rPr>
          <w:rFonts w:cs="Times New Roman"/>
          <w:lang w:val="fr-CA"/>
        </w:rPr>
        <w:t>après</w:t>
      </w:r>
      <w:r>
        <w:rPr>
          <w:rFonts w:cs="Times New Roman"/>
          <w:lang w:val="fr-CA"/>
        </w:rPr>
        <w:t> :</w:t>
      </w:r>
    </w:p>
    <w:p w:rsidR="00810FD5" w:rsidRPr="00AA314A" w:rsidRDefault="00810FD5" w:rsidP="003223DD">
      <w:pPr>
        <w:pStyle w:val="Citation-AltC"/>
        <w:widowControl w:val="0"/>
        <w:spacing w:after="240"/>
        <w:ind w:hanging="1166"/>
        <w:contextualSpacing w:val="0"/>
        <w:rPr>
          <w:lang w:val="fr-CA"/>
        </w:rPr>
      </w:pPr>
      <w:r w:rsidRPr="00AA314A">
        <w:rPr>
          <w:b/>
          <w:bCs/>
          <w:lang w:val="fr-CA"/>
        </w:rPr>
        <w:tab/>
      </w:r>
      <w:r w:rsidR="00312417">
        <w:rPr>
          <w:b/>
          <w:bCs/>
          <w:lang w:val="fr-CA"/>
        </w:rPr>
        <w:t>[</w:t>
      </w:r>
      <w:r w:rsidRPr="00AA314A">
        <w:rPr>
          <w:bCs/>
          <w:lang w:val="fr-CA"/>
        </w:rPr>
        <w:t>Journaliste de RDI</w:t>
      </w:r>
      <w:r w:rsidR="00312417">
        <w:rPr>
          <w:bCs/>
          <w:lang w:val="fr-CA"/>
        </w:rPr>
        <w:t>]</w:t>
      </w:r>
      <w:r>
        <w:rPr>
          <w:bCs/>
          <w:lang w:val="fr-CA"/>
        </w:rPr>
        <w:t> :</w:t>
      </w:r>
      <w:r w:rsidRPr="00AA314A">
        <w:rPr>
          <w:lang w:val="fr-CA"/>
        </w:rPr>
        <w:t xml:space="preserve"> On va parler concrètement sur le terrain, Léo Bureau</w:t>
      </w:r>
      <w:r>
        <w:rPr>
          <w:lang w:val="fr-CA"/>
        </w:rPr>
        <w:noBreakHyphen/>
      </w:r>
      <w:r w:rsidRPr="00AA314A">
        <w:rPr>
          <w:lang w:val="fr-CA"/>
        </w:rPr>
        <w:t>Blouin, bon demain, on a vu du côté du Cégep de Rosemont, on incite les étudiants à revenir en classe. Vous de votre côté, est</w:t>
      </w:r>
      <w:r>
        <w:rPr>
          <w:lang w:val="fr-CA"/>
        </w:rPr>
        <w:noBreakHyphen/>
      </w:r>
      <w:r w:rsidRPr="00AA314A">
        <w:rPr>
          <w:lang w:val="fr-CA"/>
        </w:rPr>
        <w:t>ce que vous invitez toujours les grévistes à ériger des piquets de grève pour empêcher les étudiants d</w:t>
      </w:r>
      <w:r>
        <w:rPr>
          <w:lang w:val="fr-CA"/>
        </w:rPr>
        <w:t>’</w:t>
      </w:r>
      <w:r w:rsidRPr="00AA314A">
        <w:rPr>
          <w:lang w:val="fr-CA"/>
        </w:rPr>
        <w:t>entrer</w:t>
      </w:r>
      <w:r w:rsidR="00312417">
        <w:rPr>
          <w:lang w:val="fr-CA"/>
        </w:rPr>
        <w:t xml:space="preserve"> </w:t>
      </w:r>
      <w:r w:rsidRPr="00AA314A">
        <w:rPr>
          <w:lang w:val="fr-CA"/>
        </w:rPr>
        <w:t>.</w:t>
      </w:r>
      <w:r>
        <w:rPr>
          <w:lang w:val="fr-CA"/>
        </w:rPr>
        <w:t> </w:t>
      </w:r>
      <w:r w:rsidRPr="00AA314A">
        <w:rPr>
          <w:lang w:val="fr-CA"/>
        </w:rPr>
        <w:t>.</w:t>
      </w:r>
      <w:r>
        <w:rPr>
          <w:lang w:val="fr-CA"/>
        </w:rPr>
        <w:t> </w:t>
      </w:r>
      <w:r w:rsidRPr="00AA314A">
        <w:rPr>
          <w:lang w:val="fr-CA"/>
        </w:rPr>
        <w:t>. Lionel</w:t>
      </w:r>
      <w:r>
        <w:rPr>
          <w:lang w:val="fr-CA"/>
        </w:rPr>
        <w:noBreakHyphen/>
      </w:r>
      <w:r w:rsidRPr="00AA314A">
        <w:rPr>
          <w:lang w:val="fr-CA"/>
        </w:rPr>
        <w:t>Groulx également</w:t>
      </w:r>
      <w:r w:rsidR="00312417">
        <w:rPr>
          <w:lang w:val="fr-CA"/>
        </w:rPr>
        <w:t xml:space="preserve"> </w:t>
      </w:r>
      <w:r w:rsidRPr="00AA314A">
        <w:rPr>
          <w:lang w:val="fr-CA"/>
        </w:rPr>
        <w:t>.</w:t>
      </w:r>
      <w:r>
        <w:rPr>
          <w:lang w:val="fr-CA"/>
        </w:rPr>
        <w:t> </w:t>
      </w:r>
      <w:r w:rsidRPr="00AA314A">
        <w:rPr>
          <w:lang w:val="fr-CA"/>
        </w:rPr>
        <w:t>.</w:t>
      </w:r>
      <w:r>
        <w:rPr>
          <w:lang w:val="fr-CA"/>
        </w:rPr>
        <w:t> </w:t>
      </w:r>
      <w:r w:rsidRPr="00AA314A">
        <w:rPr>
          <w:lang w:val="fr-CA"/>
        </w:rPr>
        <w:t>. il y a des injonctions un peu partout dans certains cégeps</w:t>
      </w:r>
      <w:r w:rsidR="00312417">
        <w:rPr>
          <w:lang w:val="fr-CA"/>
        </w:rPr>
        <w:t xml:space="preserve"> </w:t>
      </w:r>
      <w:r w:rsidRPr="00AA314A">
        <w:rPr>
          <w:lang w:val="fr-CA"/>
        </w:rPr>
        <w:t>.</w:t>
      </w:r>
      <w:r>
        <w:rPr>
          <w:lang w:val="fr-CA"/>
        </w:rPr>
        <w:t> </w:t>
      </w:r>
      <w:r w:rsidRPr="00AA314A">
        <w:rPr>
          <w:lang w:val="fr-CA"/>
        </w:rPr>
        <w:t>.</w:t>
      </w:r>
      <w:r>
        <w:rPr>
          <w:lang w:val="fr-CA"/>
        </w:rPr>
        <w:t> </w:t>
      </w:r>
      <w:r w:rsidRPr="00AA314A">
        <w:rPr>
          <w:lang w:val="fr-CA"/>
        </w:rPr>
        <w:t>.?</w:t>
      </w:r>
    </w:p>
    <w:p w:rsidR="00810FD5" w:rsidRPr="00AA314A" w:rsidRDefault="00810FD5" w:rsidP="003223DD">
      <w:pPr>
        <w:pStyle w:val="Citation-AltC"/>
        <w:widowControl w:val="0"/>
        <w:spacing w:after="240"/>
        <w:ind w:hanging="1166"/>
        <w:contextualSpacing w:val="0"/>
        <w:rPr>
          <w:lang w:val="fr-CA"/>
        </w:rPr>
      </w:pPr>
      <w:r w:rsidRPr="00AA314A">
        <w:rPr>
          <w:b/>
          <w:bCs/>
          <w:lang w:val="fr-CA"/>
        </w:rPr>
        <w:tab/>
      </w:r>
      <w:r w:rsidR="00312417">
        <w:rPr>
          <w:b/>
          <w:bCs/>
          <w:lang w:val="fr-CA"/>
        </w:rPr>
        <w:t>[</w:t>
      </w:r>
      <w:r w:rsidRPr="00AA314A">
        <w:rPr>
          <w:bCs/>
          <w:lang w:val="fr-CA"/>
        </w:rPr>
        <w:t>Léo Bureau</w:t>
      </w:r>
      <w:r>
        <w:rPr>
          <w:bCs/>
          <w:lang w:val="fr-CA"/>
        </w:rPr>
        <w:noBreakHyphen/>
      </w:r>
      <w:r w:rsidRPr="00AA314A">
        <w:rPr>
          <w:bCs/>
          <w:lang w:val="fr-CA"/>
        </w:rPr>
        <w:t>Blouin</w:t>
      </w:r>
      <w:r w:rsidR="00312417">
        <w:rPr>
          <w:bCs/>
          <w:lang w:val="fr-CA"/>
        </w:rPr>
        <w:t>]</w:t>
      </w:r>
      <w:r>
        <w:rPr>
          <w:bCs/>
          <w:lang w:val="fr-CA"/>
        </w:rPr>
        <w:t> :</w:t>
      </w:r>
      <w:r w:rsidRPr="00AA314A">
        <w:rPr>
          <w:lang w:val="fr-CA"/>
        </w:rPr>
        <w:t xml:space="preserve"> Il n</w:t>
      </w:r>
      <w:r>
        <w:rPr>
          <w:lang w:val="fr-CA"/>
        </w:rPr>
        <w:t>’</w:t>
      </w:r>
      <w:r w:rsidRPr="00AA314A">
        <w:rPr>
          <w:lang w:val="fr-CA"/>
        </w:rPr>
        <w:t>y a pas de manifestation qui est organisée directement par la fédération, mais à chaque fois qu</w:t>
      </w:r>
      <w:r>
        <w:rPr>
          <w:lang w:val="fr-CA"/>
        </w:rPr>
        <w:t>’</w:t>
      </w:r>
      <w:r w:rsidRPr="00AA314A">
        <w:rPr>
          <w:lang w:val="fr-CA"/>
        </w:rPr>
        <w:t>il y a des retours comme ça forcés en classe, évidemment ça amène des piquets justement qui s</w:t>
      </w:r>
      <w:r>
        <w:rPr>
          <w:lang w:val="fr-CA"/>
        </w:rPr>
        <w:t>’</w:t>
      </w:r>
      <w:r w:rsidRPr="00AA314A">
        <w:rPr>
          <w:lang w:val="fr-CA"/>
        </w:rPr>
        <w:t>érigent devant le collège, c</w:t>
      </w:r>
      <w:r>
        <w:rPr>
          <w:lang w:val="fr-CA"/>
        </w:rPr>
        <w:t>’</w:t>
      </w:r>
      <w:r w:rsidRPr="00AA314A">
        <w:rPr>
          <w:lang w:val="fr-CA"/>
        </w:rPr>
        <w:t>est sûr que nous on a invité les étudiants par exemple à respecter les injonctions hein, quand y a des ordres précis de la Cour, pour ne pas bloquer le passage de certains étudiants, ça je pense que c</w:t>
      </w:r>
      <w:r>
        <w:rPr>
          <w:lang w:val="fr-CA"/>
        </w:rPr>
        <w:t>’</w:t>
      </w:r>
      <w:r w:rsidRPr="00AA314A">
        <w:rPr>
          <w:lang w:val="fr-CA"/>
        </w:rPr>
        <w:t>est important qu</w:t>
      </w:r>
      <w:r>
        <w:rPr>
          <w:lang w:val="fr-CA"/>
        </w:rPr>
        <w:t>’</w:t>
      </w:r>
      <w:r w:rsidRPr="00AA314A">
        <w:rPr>
          <w:lang w:val="fr-CA"/>
        </w:rPr>
        <w:t>on les respecte, mais c</w:t>
      </w:r>
      <w:r>
        <w:rPr>
          <w:lang w:val="fr-CA"/>
        </w:rPr>
        <w:t>’</w:t>
      </w:r>
      <w:r w:rsidRPr="00AA314A">
        <w:rPr>
          <w:lang w:val="fr-CA"/>
        </w:rPr>
        <w:t xml:space="preserve">est sûr que la décision du </w:t>
      </w:r>
      <w:r w:rsidR="005D7BE7">
        <w:rPr>
          <w:lang w:val="fr-CA"/>
        </w:rPr>
        <w:lastRenderedPageBreak/>
        <w:t>C</w:t>
      </w:r>
      <w:r w:rsidRPr="00AA314A">
        <w:rPr>
          <w:lang w:val="fr-CA"/>
        </w:rPr>
        <w:t>ollège de Rosemont, je pense c</w:t>
      </w:r>
      <w:r>
        <w:rPr>
          <w:lang w:val="fr-CA"/>
        </w:rPr>
        <w:t>’</w:t>
      </w:r>
      <w:r w:rsidRPr="00AA314A">
        <w:rPr>
          <w:lang w:val="fr-CA"/>
        </w:rPr>
        <w:t>est une décision qui est dangereuse qui peut potentiellement amener des tensions parce que dans un premier temps c</w:t>
      </w:r>
      <w:r>
        <w:rPr>
          <w:lang w:val="fr-CA"/>
        </w:rPr>
        <w:t>’</w:t>
      </w:r>
      <w:r w:rsidRPr="00AA314A">
        <w:rPr>
          <w:lang w:val="fr-CA"/>
        </w:rPr>
        <w:t>est un vote qui a été pris de manière démocratique quand même par les étudiants donc ça crée un malaise pour les enseignants de franchir justement ces piquets de grève là ou de malgré le vote d</w:t>
      </w:r>
      <w:r>
        <w:rPr>
          <w:lang w:val="fr-CA"/>
        </w:rPr>
        <w:t>’</w:t>
      </w:r>
      <w:r w:rsidRPr="00AA314A">
        <w:rPr>
          <w:lang w:val="fr-CA"/>
        </w:rPr>
        <w:t>aller donner les cours mais surtout aussi que ça amène des tensions parce qu</w:t>
      </w:r>
      <w:r>
        <w:rPr>
          <w:lang w:val="fr-CA"/>
        </w:rPr>
        <w:t>’</w:t>
      </w:r>
      <w:r w:rsidRPr="00AA314A">
        <w:rPr>
          <w:lang w:val="fr-CA"/>
        </w:rPr>
        <w:t>il y a des étudiants qui veulent entrer en classe, y en a d</w:t>
      </w:r>
      <w:r>
        <w:rPr>
          <w:lang w:val="fr-CA"/>
        </w:rPr>
        <w:t>’</w:t>
      </w:r>
      <w:r w:rsidRPr="00AA314A">
        <w:rPr>
          <w:lang w:val="fr-CA"/>
        </w:rPr>
        <w:t>autres qui veulent pas que les cours reprennent et ça amène des échauffourées, potentiellement des bagarres alors qu</w:t>
      </w:r>
      <w:r>
        <w:rPr>
          <w:lang w:val="fr-CA"/>
        </w:rPr>
        <w:t>’</w:t>
      </w:r>
      <w:r w:rsidRPr="00AA314A">
        <w:rPr>
          <w:lang w:val="fr-CA"/>
        </w:rPr>
        <w:t>en ce moment justement on essaie de pacifier le conflit et ça marche parce que depuis quelques jours la situation est un peu plus calme à Montréal.</w:t>
      </w:r>
    </w:p>
    <w:p w:rsidR="00810FD5" w:rsidRPr="00AA314A" w:rsidRDefault="00810FD5" w:rsidP="003223DD">
      <w:pPr>
        <w:pStyle w:val="Citation-AltC"/>
        <w:widowControl w:val="0"/>
        <w:spacing w:after="240"/>
        <w:ind w:hanging="1166"/>
        <w:contextualSpacing w:val="0"/>
        <w:rPr>
          <w:b/>
          <w:lang w:val="fr-CA"/>
        </w:rPr>
      </w:pPr>
      <w:r w:rsidRPr="00AA314A">
        <w:rPr>
          <w:b/>
          <w:bCs/>
          <w:lang w:val="fr-CA"/>
        </w:rPr>
        <w:tab/>
      </w:r>
      <w:r w:rsidR="000D0AC3">
        <w:rPr>
          <w:b/>
          <w:bCs/>
          <w:lang w:val="fr-CA"/>
        </w:rPr>
        <w:t>[</w:t>
      </w:r>
      <w:r w:rsidRPr="00AA314A">
        <w:rPr>
          <w:bCs/>
          <w:lang w:val="fr-CA"/>
        </w:rPr>
        <w:t>Journaliste de RDI</w:t>
      </w:r>
      <w:r w:rsidR="000D0AC3">
        <w:rPr>
          <w:bCs/>
          <w:lang w:val="fr-CA"/>
        </w:rPr>
        <w:t>]</w:t>
      </w:r>
      <w:r>
        <w:rPr>
          <w:bCs/>
          <w:lang w:val="fr-CA"/>
        </w:rPr>
        <w:t> :</w:t>
      </w:r>
      <w:r w:rsidRPr="00AA314A">
        <w:rPr>
          <w:b/>
          <w:bCs/>
          <w:lang w:val="fr-CA"/>
        </w:rPr>
        <w:t xml:space="preserve"> </w:t>
      </w:r>
      <w:r w:rsidRPr="00AA314A">
        <w:rPr>
          <w:lang w:val="fr-CA"/>
        </w:rPr>
        <w:t>À la CLASSE Gabriel Nadeau</w:t>
      </w:r>
      <w:r>
        <w:rPr>
          <w:lang w:val="fr-CA"/>
        </w:rPr>
        <w:noBreakHyphen/>
      </w:r>
      <w:r w:rsidRPr="00AA314A">
        <w:rPr>
          <w:lang w:val="fr-CA"/>
        </w:rPr>
        <w:t>Dubois, on réagit comment devant ce retour en classe demain, est</w:t>
      </w:r>
      <w:r>
        <w:rPr>
          <w:lang w:val="fr-CA"/>
        </w:rPr>
        <w:noBreakHyphen/>
      </w:r>
      <w:r w:rsidRPr="00AA314A">
        <w:rPr>
          <w:lang w:val="fr-CA"/>
        </w:rPr>
        <w:t>ce que bon vous, de votre côté, vous encouragez encore les piquets de grève pour empêcher euh?</w:t>
      </w:r>
    </w:p>
    <w:p w:rsidR="00810FD5" w:rsidRPr="00AA314A" w:rsidRDefault="00810FD5" w:rsidP="003223DD">
      <w:pPr>
        <w:pStyle w:val="Citation-AltC"/>
        <w:widowControl w:val="0"/>
        <w:spacing w:after="240"/>
        <w:ind w:hanging="1166"/>
        <w:contextualSpacing w:val="0"/>
        <w:rPr>
          <w:lang w:val="fr-CA"/>
        </w:rPr>
      </w:pPr>
      <w:r w:rsidRPr="00AA314A">
        <w:rPr>
          <w:b/>
          <w:bCs/>
          <w:lang w:val="fr-CA"/>
        </w:rPr>
        <w:tab/>
      </w:r>
      <w:r w:rsidR="000D0AC3">
        <w:rPr>
          <w:b/>
          <w:bCs/>
          <w:lang w:val="fr-CA"/>
        </w:rPr>
        <w:t>[</w:t>
      </w:r>
      <w:r w:rsidRPr="00AA314A">
        <w:rPr>
          <w:bCs/>
          <w:lang w:val="fr-CA"/>
        </w:rPr>
        <w:t>Gabriel Nadeau</w:t>
      </w:r>
      <w:r>
        <w:rPr>
          <w:bCs/>
          <w:lang w:val="fr-CA"/>
        </w:rPr>
        <w:noBreakHyphen/>
      </w:r>
      <w:r w:rsidRPr="00AA314A">
        <w:rPr>
          <w:lang w:val="fr-CA"/>
        </w:rPr>
        <w:t>Dubois</w:t>
      </w:r>
      <w:r w:rsidR="000D0AC3">
        <w:rPr>
          <w:lang w:val="fr-CA"/>
        </w:rPr>
        <w:t>]</w:t>
      </w:r>
      <w:r>
        <w:rPr>
          <w:lang w:val="fr-CA"/>
        </w:rPr>
        <w:t> :</w:t>
      </w:r>
      <w:r w:rsidRPr="00AA314A">
        <w:rPr>
          <w:lang w:val="fr-CA"/>
        </w:rPr>
        <w:t xml:space="preserve"> Ce qui est clair c</w:t>
      </w:r>
      <w:r>
        <w:rPr>
          <w:lang w:val="fr-CA"/>
        </w:rPr>
        <w:t>’</w:t>
      </w:r>
      <w:r w:rsidRPr="00AA314A">
        <w:rPr>
          <w:lang w:val="fr-CA"/>
        </w:rPr>
        <w:t>est que ces décisions</w:t>
      </w:r>
      <w:r>
        <w:rPr>
          <w:lang w:val="fr-CA"/>
        </w:rPr>
        <w:noBreakHyphen/>
      </w:r>
      <w:r w:rsidRPr="00AA314A">
        <w:rPr>
          <w:lang w:val="fr-CA"/>
        </w:rPr>
        <w:t>là, ces tentatives</w:t>
      </w:r>
      <w:r>
        <w:rPr>
          <w:lang w:val="fr-CA"/>
        </w:rPr>
        <w:noBreakHyphen/>
      </w:r>
      <w:r w:rsidRPr="00AA314A">
        <w:rPr>
          <w:lang w:val="fr-CA"/>
        </w:rPr>
        <w:t>là de forcer le retour en classe, ça ne fonctionne jamais parce que les étudiants et les étudiantes qui sont en grève depuis 13 semaines sont solidaires les uns les autres, respectent, de manière générale là, respectent la volonté démocratique qui s</w:t>
      </w:r>
      <w:r>
        <w:rPr>
          <w:lang w:val="fr-CA"/>
        </w:rPr>
        <w:t>’</w:t>
      </w:r>
      <w:r w:rsidRPr="00AA314A">
        <w:rPr>
          <w:lang w:val="fr-CA"/>
        </w:rPr>
        <w:t>est exprimée à travers le vote de grève et je crois qu</w:t>
      </w:r>
      <w:r>
        <w:rPr>
          <w:lang w:val="fr-CA"/>
        </w:rPr>
        <w:t>’</w:t>
      </w:r>
      <w:r w:rsidRPr="00AA314A">
        <w:rPr>
          <w:lang w:val="fr-CA"/>
        </w:rPr>
        <w:t>il est tout à fait légitime pour les étudiants et étudiantes de prendre les moyens pour faire respecter le choix démocratique qui a été fait d</w:t>
      </w:r>
      <w:r>
        <w:rPr>
          <w:lang w:val="fr-CA"/>
        </w:rPr>
        <w:t>’</w:t>
      </w:r>
      <w:r w:rsidRPr="00AA314A">
        <w:rPr>
          <w:lang w:val="fr-CA"/>
        </w:rPr>
        <w:t>aller en grève.</w:t>
      </w:r>
      <w:r>
        <w:rPr>
          <w:lang w:val="fr-CA"/>
        </w:rPr>
        <w:t xml:space="preserve"> </w:t>
      </w:r>
      <w:r w:rsidRPr="00AA314A">
        <w:rPr>
          <w:lang w:val="fr-CA"/>
        </w:rPr>
        <w:t>C</w:t>
      </w:r>
      <w:r>
        <w:rPr>
          <w:lang w:val="fr-CA"/>
        </w:rPr>
        <w:t>’</w:t>
      </w:r>
      <w:r w:rsidRPr="00AA314A">
        <w:rPr>
          <w:lang w:val="fr-CA"/>
        </w:rPr>
        <w:t>est tout à fait regrettable là qu</w:t>
      </w:r>
      <w:r>
        <w:rPr>
          <w:lang w:val="fr-CA"/>
        </w:rPr>
        <w:t>’</w:t>
      </w:r>
      <w:r w:rsidRPr="00AA314A">
        <w:rPr>
          <w:lang w:val="fr-CA"/>
        </w:rPr>
        <w:t>il y ait vraiment une minorité d</w:t>
      </w:r>
      <w:r>
        <w:rPr>
          <w:lang w:val="fr-CA"/>
        </w:rPr>
        <w:t>’</w:t>
      </w:r>
      <w:r w:rsidRPr="00AA314A">
        <w:rPr>
          <w:lang w:val="fr-CA"/>
        </w:rPr>
        <w:t>étudiants et d</w:t>
      </w:r>
      <w:r>
        <w:rPr>
          <w:lang w:val="fr-CA"/>
        </w:rPr>
        <w:t>’</w:t>
      </w:r>
      <w:r w:rsidRPr="00AA314A">
        <w:rPr>
          <w:lang w:val="fr-CA"/>
        </w:rPr>
        <w:t>étudiantes qui utilisent les tribunaux pour contourner la décision collective qui a été prise. Donc nous, on trouve ça tout à fait légitime là, que les gens prennent les moyens nécessaires pour faire respecter le vote de grève et si ça prend des lignes de piquetage, on croit que c</w:t>
      </w:r>
      <w:r>
        <w:rPr>
          <w:lang w:val="fr-CA"/>
        </w:rPr>
        <w:t>’</w:t>
      </w:r>
      <w:r w:rsidRPr="00AA314A">
        <w:rPr>
          <w:lang w:val="fr-CA"/>
        </w:rPr>
        <w:t>est un moyen tout à fait légitime de le faire.</w:t>
      </w:r>
    </w:p>
    <w:p w:rsidR="00810FD5" w:rsidRPr="00AA314A" w:rsidRDefault="00810FD5" w:rsidP="003223DD">
      <w:pPr>
        <w:pStyle w:val="Citation-AltC"/>
        <w:widowControl w:val="0"/>
        <w:ind w:hanging="1166"/>
        <w:contextualSpacing w:val="0"/>
        <w:rPr>
          <w:lang w:val="fr-CA"/>
        </w:rPr>
      </w:pPr>
      <w:r w:rsidRPr="00AA314A">
        <w:rPr>
          <w:lang w:val="fr-CA"/>
        </w:rPr>
        <w:t xml:space="preserve">(m.i., </w:t>
      </w:r>
      <w:r>
        <w:rPr>
          <w:lang w:val="fr-CA"/>
        </w:rPr>
        <w:t>par. </w:t>
      </w:r>
      <w:r w:rsidRPr="00AA314A">
        <w:rPr>
          <w:lang w:val="fr-CA"/>
        </w:rPr>
        <w:t>62)</w:t>
      </w:r>
    </w:p>
    <w:p w:rsidR="00810FD5" w:rsidRPr="00AA314A" w:rsidRDefault="00810FD5" w:rsidP="003223DD">
      <w:pPr>
        <w:pStyle w:val="ParaNoNdepar-AltN"/>
        <w:widowControl w:val="0"/>
        <w:tabs>
          <w:tab w:val="clear" w:pos="1166"/>
          <w:tab w:val="clear" w:pos="1512"/>
          <w:tab w:val="num" w:pos="1152"/>
        </w:tabs>
        <w:spacing w:before="0" w:after="720"/>
        <w:ind w:left="0"/>
        <w:rPr>
          <w:rFonts w:eastAsia="Calibri" w:cs="Times New Roman"/>
          <w:lang w:val="fr-CA"/>
        </w:rPr>
      </w:pPr>
      <w:r w:rsidRPr="00AA314A">
        <w:rPr>
          <w:rFonts w:eastAsia="Calibri" w:cs="Times New Roman"/>
          <w:lang w:val="fr-CA"/>
        </w:rPr>
        <w:t>Le 15 mai 2012, M. Morasse, agissant en application de l</w:t>
      </w:r>
      <w:r>
        <w:rPr>
          <w:rFonts w:eastAsia="Calibri" w:cs="Times New Roman"/>
          <w:lang w:val="fr-CA"/>
        </w:rPr>
        <w:t>’art. </w:t>
      </w:r>
      <w:r w:rsidRPr="00AA314A">
        <w:rPr>
          <w:rFonts w:eastAsia="Calibri" w:cs="Times New Roman"/>
          <w:lang w:val="fr-CA"/>
        </w:rPr>
        <w:t xml:space="preserve">53 du </w:t>
      </w:r>
      <w:r w:rsidRPr="00AA314A">
        <w:rPr>
          <w:rFonts w:eastAsia="Calibri" w:cs="Times New Roman"/>
          <w:i/>
          <w:lang w:val="fr-CA"/>
        </w:rPr>
        <w:t>Code de procédure civile</w:t>
      </w:r>
      <w:r w:rsidRPr="00AA314A">
        <w:rPr>
          <w:rStyle w:val="FootnoteReference"/>
          <w:rFonts w:eastAsia="Calibri" w:cs="Times New Roman"/>
          <w:lang w:val="fr-CA"/>
        </w:rPr>
        <w:footnoteReference w:id="5"/>
      </w:r>
      <w:r w:rsidRPr="00AA314A">
        <w:rPr>
          <w:rFonts w:eastAsia="Calibri" w:cs="Times New Roman"/>
          <w:lang w:val="fr-CA"/>
        </w:rPr>
        <w:t xml:space="preserve"> (« </w:t>
      </w:r>
      <w:r w:rsidR="000D0AC3">
        <w:rPr>
          <w:rFonts w:eastAsia="Calibri" w:cs="Times New Roman"/>
          <w:i/>
          <w:lang w:val="fr-CA"/>
        </w:rPr>
        <w:t>C.p.</w:t>
      </w:r>
      <w:r w:rsidR="00EC463E">
        <w:rPr>
          <w:rFonts w:eastAsia="Calibri" w:cs="Times New Roman"/>
          <w:i/>
          <w:lang w:val="fr-CA"/>
        </w:rPr>
        <w:t>c</w:t>
      </w:r>
      <w:r w:rsidR="000D0AC3">
        <w:rPr>
          <w:rFonts w:eastAsia="Calibri" w:cs="Times New Roman"/>
          <w:i/>
          <w:lang w:val="fr-CA"/>
        </w:rPr>
        <w:t>.</w:t>
      </w:r>
      <w:r w:rsidRPr="00AA314A">
        <w:rPr>
          <w:rFonts w:cs="Times New Roman"/>
          <w:lang w:val="fr-CA"/>
        </w:rPr>
        <w:t> </w:t>
      </w:r>
      <w:r w:rsidRPr="00AA314A">
        <w:rPr>
          <w:rFonts w:eastAsia="Calibri" w:cs="Times New Roman"/>
          <w:lang w:val="fr-CA"/>
        </w:rPr>
        <w:t>»</w:t>
      </w:r>
      <w:r>
        <w:rPr>
          <w:rFonts w:eastAsia="Calibri" w:cs="Times New Roman"/>
          <w:lang w:val="fr-CA"/>
        </w:rPr>
        <w:t xml:space="preserve"> ou « </w:t>
      </w:r>
      <w:r w:rsidRPr="00C94595">
        <w:rPr>
          <w:rFonts w:eastAsia="Calibri" w:cs="Times New Roman"/>
          <w:i/>
          <w:lang w:val="fr-CA"/>
        </w:rPr>
        <w:t>Code</w:t>
      </w:r>
      <w:r>
        <w:rPr>
          <w:rFonts w:eastAsia="Calibri" w:cs="Times New Roman"/>
          <w:lang w:val="fr-CA"/>
        </w:rPr>
        <w:t> »</w:t>
      </w:r>
      <w:r w:rsidRPr="00AA314A">
        <w:rPr>
          <w:rFonts w:eastAsia="Calibri" w:cs="Times New Roman"/>
          <w:lang w:val="fr-CA"/>
        </w:rPr>
        <w:t xml:space="preserve">), dépose une requête pour outrage contre </w:t>
      </w:r>
      <w:r w:rsidRPr="00AA314A">
        <w:rPr>
          <w:rFonts w:eastAsia="Calibri" w:cs="Times New Roman"/>
          <w:lang w:val="fr-CA"/>
        </w:rPr>
        <w:lastRenderedPageBreak/>
        <w:t>M. Nadeau</w:t>
      </w:r>
      <w:r>
        <w:rPr>
          <w:rFonts w:eastAsia="Calibri" w:cs="Times New Roman"/>
          <w:lang w:val="fr-CA"/>
        </w:rPr>
        <w:noBreakHyphen/>
      </w:r>
      <w:r w:rsidRPr="00AA314A">
        <w:rPr>
          <w:rFonts w:eastAsia="Calibri" w:cs="Times New Roman"/>
          <w:lang w:val="fr-CA"/>
        </w:rPr>
        <w:t>Dubois pour les commentaires qu</w:t>
      </w:r>
      <w:r>
        <w:rPr>
          <w:rFonts w:eastAsia="Calibri" w:cs="Times New Roman"/>
          <w:lang w:val="fr-CA"/>
        </w:rPr>
        <w:t>’</w:t>
      </w:r>
      <w:r w:rsidRPr="00AA314A">
        <w:rPr>
          <w:rFonts w:eastAsia="Calibri" w:cs="Times New Roman"/>
          <w:lang w:val="fr-CA"/>
        </w:rPr>
        <w:t>il a émis durant l</w:t>
      </w:r>
      <w:r>
        <w:rPr>
          <w:rFonts w:eastAsia="Calibri" w:cs="Times New Roman"/>
          <w:lang w:val="fr-CA"/>
        </w:rPr>
        <w:t>’</w:t>
      </w:r>
      <w:r w:rsidRPr="00AA314A">
        <w:rPr>
          <w:rFonts w:eastAsia="Calibri" w:cs="Times New Roman"/>
          <w:lang w:val="fr-CA"/>
        </w:rPr>
        <w:t>entrevue. Dans cette requête, déposée dans le cadre de son instance pendante contre l</w:t>
      </w:r>
      <w:r>
        <w:rPr>
          <w:rFonts w:eastAsia="Calibri" w:cs="Times New Roman"/>
          <w:lang w:val="fr-CA"/>
        </w:rPr>
        <w:t>’</w:t>
      </w:r>
      <w:r w:rsidRPr="00AA314A">
        <w:rPr>
          <w:rFonts w:eastAsia="Calibri" w:cs="Times New Roman"/>
          <w:lang w:val="fr-CA"/>
        </w:rPr>
        <w:t>Université Laval et l</w:t>
      </w:r>
      <w:r>
        <w:rPr>
          <w:rFonts w:eastAsia="Calibri" w:cs="Times New Roman"/>
          <w:lang w:val="fr-CA"/>
        </w:rPr>
        <w:t>’</w:t>
      </w:r>
      <w:r w:rsidRPr="00AA314A">
        <w:rPr>
          <w:rFonts w:eastAsia="Calibri" w:cs="Times New Roman"/>
          <w:lang w:val="fr-CA"/>
        </w:rPr>
        <w:t>AS</w:t>
      </w:r>
      <w:r w:rsidR="00EC463E">
        <w:rPr>
          <w:rFonts w:eastAsia="Calibri" w:cs="Times New Roman"/>
          <w:lang w:val="fr-CA"/>
        </w:rPr>
        <w:t>É</w:t>
      </w:r>
      <w:r w:rsidRPr="00AA314A">
        <w:rPr>
          <w:rFonts w:eastAsia="Calibri" w:cs="Times New Roman"/>
          <w:lang w:val="fr-CA"/>
        </w:rPr>
        <w:t>TAP, M. Morasse allègue que les commentaires de M. Nadeau</w:t>
      </w:r>
      <w:r>
        <w:rPr>
          <w:rFonts w:eastAsia="Calibri" w:cs="Times New Roman"/>
          <w:lang w:val="fr-CA"/>
        </w:rPr>
        <w:noBreakHyphen/>
      </w:r>
      <w:r w:rsidRPr="00AA314A">
        <w:rPr>
          <w:rFonts w:eastAsia="Calibri" w:cs="Times New Roman"/>
          <w:lang w:val="fr-CA"/>
        </w:rPr>
        <w:t>Dubois violent le paragraphe suivant de l</w:t>
      </w:r>
      <w:r>
        <w:rPr>
          <w:rFonts w:eastAsia="Calibri" w:cs="Times New Roman"/>
          <w:lang w:val="fr-CA"/>
        </w:rPr>
        <w:t>’</w:t>
      </w:r>
      <w:r w:rsidRPr="00AA314A">
        <w:rPr>
          <w:rFonts w:eastAsia="Calibri" w:cs="Times New Roman"/>
          <w:lang w:val="fr-CA"/>
        </w:rPr>
        <w:t>ordonnance prononcée le 2 mai par le juge Émond</w:t>
      </w:r>
      <w:r>
        <w:rPr>
          <w:rFonts w:eastAsia="Calibri" w:cs="Times New Roman"/>
          <w:lang w:val="fr-CA"/>
        </w:rPr>
        <w:t> :</w:t>
      </w:r>
    </w:p>
    <w:p w:rsidR="00810FD5" w:rsidRPr="00AA314A" w:rsidRDefault="00810FD5" w:rsidP="003223DD">
      <w:pPr>
        <w:pStyle w:val="Citation-AltC"/>
        <w:widowControl w:val="0"/>
        <w:ind w:hanging="1166"/>
        <w:contextualSpacing w:val="0"/>
        <w:rPr>
          <w:lang w:val="fr-CA"/>
        </w:rPr>
      </w:pPr>
      <w:r w:rsidRPr="00AA314A">
        <w:rPr>
          <w:b/>
          <w:lang w:val="fr-CA"/>
        </w:rPr>
        <w:tab/>
      </w:r>
      <w:r w:rsidRPr="00AA314A">
        <w:rPr>
          <w:b/>
          <w:lang w:val="fr-CA"/>
        </w:rPr>
        <w:tab/>
        <w:t>ORDONNE</w:t>
      </w:r>
      <w:r w:rsidRPr="00AA314A">
        <w:rPr>
          <w:lang w:val="fr-CA"/>
        </w:rPr>
        <w:t xml:space="preserve"> à tous les étudiants et autres personnes qui pratiquent présentement le boycottage des cours de s</w:t>
      </w:r>
      <w:r>
        <w:rPr>
          <w:lang w:val="fr-CA"/>
        </w:rPr>
        <w:t>’</w:t>
      </w:r>
      <w:r w:rsidRPr="00AA314A">
        <w:rPr>
          <w:lang w:val="fr-CA"/>
        </w:rPr>
        <w:t>abstenir d</w:t>
      </w:r>
      <w:r>
        <w:rPr>
          <w:lang w:val="fr-CA"/>
        </w:rPr>
        <w:t>’</w:t>
      </w:r>
      <w:r w:rsidRPr="00AA314A">
        <w:rPr>
          <w:lang w:val="fr-CA"/>
        </w:rPr>
        <w:t>obstruer ou de nuire à l</w:t>
      </w:r>
      <w:r>
        <w:rPr>
          <w:lang w:val="fr-CA"/>
        </w:rPr>
        <w:t>’</w:t>
      </w:r>
      <w:r w:rsidRPr="00AA314A">
        <w:rPr>
          <w:lang w:val="fr-CA"/>
        </w:rPr>
        <w:t>accès aux cours par intimidation ou de poser toute action susceptible d</w:t>
      </w:r>
      <w:r>
        <w:rPr>
          <w:lang w:val="fr-CA"/>
        </w:rPr>
        <w:t>’</w:t>
      </w:r>
      <w:r w:rsidRPr="00AA314A">
        <w:rPr>
          <w:lang w:val="fr-CA"/>
        </w:rPr>
        <w:t>empêcher ou d</w:t>
      </w:r>
      <w:r>
        <w:rPr>
          <w:lang w:val="fr-CA"/>
        </w:rPr>
        <w:t>’</w:t>
      </w:r>
      <w:r w:rsidRPr="00AA314A">
        <w:rPr>
          <w:lang w:val="fr-CA"/>
        </w:rPr>
        <w:t>affecter négativement l</w:t>
      </w:r>
      <w:r>
        <w:rPr>
          <w:lang w:val="fr-CA"/>
        </w:rPr>
        <w:t>’</w:t>
      </w:r>
      <w:r w:rsidRPr="00AA314A">
        <w:rPr>
          <w:lang w:val="fr-CA"/>
        </w:rPr>
        <w:t>accès à ces cours; [</w:t>
      </w:r>
      <w:r>
        <w:rPr>
          <w:lang w:val="fr-CA"/>
        </w:rPr>
        <w:t>par. </w:t>
      </w:r>
      <w:r w:rsidRPr="00AA314A">
        <w:rPr>
          <w:lang w:val="fr-CA"/>
        </w:rPr>
        <w:t>60]</w:t>
      </w:r>
    </w:p>
    <w:p w:rsidR="00810FD5" w:rsidRPr="00AA314A" w:rsidRDefault="00810FD5" w:rsidP="003223DD">
      <w:pPr>
        <w:pStyle w:val="ParaNoNdepar-AltN"/>
        <w:widowControl w:val="0"/>
        <w:tabs>
          <w:tab w:val="clear" w:pos="1166"/>
          <w:tab w:val="clear" w:pos="1512"/>
          <w:tab w:val="num" w:pos="1152"/>
        </w:tabs>
        <w:spacing w:before="360" w:after="120"/>
        <w:ind w:left="0"/>
        <w:rPr>
          <w:rFonts w:eastAsia="Calibri" w:cs="Times New Roman"/>
          <w:lang w:val="fr-CA"/>
        </w:rPr>
      </w:pPr>
      <w:r w:rsidRPr="00AA314A">
        <w:rPr>
          <w:rFonts w:eastAsia="Calibri" w:cs="Times New Roman"/>
          <w:lang w:val="fr-CA"/>
        </w:rPr>
        <w:t>La requête se limite à alléguer une violation de l</w:t>
      </w:r>
      <w:r>
        <w:rPr>
          <w:rFonts w:eastAsia="Calibri" w:cs="Times New Roman"/>
          <w:lang w:val="fr-CA"/>
        </w:rPr>
        <w:t>’art. </w:t>
      </w:r>
      <w:r w:rsidRPr="00AA314A">
        <w:rPr>
          <w:rFonts w:eastAsia="Calibri" w:cs="Times New Roman"/>
          <w:lang w:val="fr-CA"/>
        </w:rPr>
        <w:t xml:space="preserve">761 du </w:t>
      </w:r>
      <w:r w:rsidRPr="00AA314A">
        <w:rPr>
          <w:rFonts w:eastAsia="Calibri" w:cs="Times New Roman"/>
          <w:i/>
          <w:lang w:val="fr-CA"/>
        </w:rPr>
        <w:t>Code</w:t>
      </w:r>
      <w:r w:rsidRPr="00AA314A">
        <w:rPr>
          <w:rFonts w:eastAsia="Calibri" w:cs="Times New Roman"/>
          <w:lang w:val="fr-CA"/>
        </w:rPr>
        <w:t>, qui dispose</w:t>
      </w:r>
      <w:r>
        <w:rPr>
          <w:rFonts w:eastAsia="Calibri" w:cs="Times New Roman"/>
          <w:lang w:val="fr-CA"/>
        </w:rPr>
        <w:t> :</w:t>
      </w:r>
      <w:r w:rsidRPr="00AA314A">
        <w:rPr>
          <w:rFonts w:eastAsia="Calibri" w:cs="Times New Roman"/>
          <w:lang w:val="fr-CA"/>
        </w:rPr>
        <w:t xml:space="preserve"> </w:t>
      </w:r>
    </w:p>
    <w:p w:rsidR="00810FD5" w:rsidRPr="00AA314A" w:rsidRDefault="00810FD5" w:rsidP="003223DD">
      <w:pPr>
        <w:pStyle w:val="Citation-AltC"/>
        <w:widowControl w:val="0"/>
        <w:spacing w:after="240"/>
        <w:ind w:hanging="1166"/>
        <w:contextualSpacing w:val="0"/>
        <w:rPr>
          <w:rFonts w:eastAsia="Calibri"/>
          <w:lang w:val="fr-CA"/>
        </w:rPr>
      </w:pPr>
      <w:r w:rsidRPr="00AA314A">
        <w:rPr>
          <w:rFonts w:eastAsia="Calibri"/>
          <w:lang w:val="fr-CA"/>
        </w:rPr>
        <w:tab/>
      </w:r>
      <w:r w:rsidRPr="00C94595">
        <w:rPr>
          <w:rFonts w:eastAsia="Calibri"/>
          <w:b/>
          <w:lang w:val="fr-CA"/>
        </w:rPr>
        <w:t>761.</w:t>
      </w:r>
      <w:r>
        <w:rPr>
          <w:rFonts w:eastAsia="Calibri"/>
          <w:lang w:val="fr-CA"/>
        </w:rPr>
        <w:t> </w:t>
      </w:r>
      <w:r w:rsidRPr="00AA314A">
        <w:rPr>
          <w:rFonts w:eastAsia="Calibri"/>
          <w:lang w:val="fr-CA"/>
        </w:rPr>
        <w:t>Toute personne nommée ou désignée dans une ordonnance d</w:t>
      </w:r>
      <w:r>
        <w:rPr>
          <w:rFonts w:eastAsia="Calibri"/>
          <w:lang w:val="fr-CA"/>
        </w:rPr>
        <w:t>’</w:t>
      </w:r>
      <w:r w:rsidRPr="00AA314A">
        <w:rPr>
          <w:rFonts w:eastAsia="Calibri"/>
          <w:lang w:val="fr-CA"/>
        </w:rPr>
        <w:t>injonction, qui la transgresse ou refuse d</w:t>
      </w:r>
      <w:r>
        <w:rPr>
          <w:rFonts w:eastAsia="Calibri"/>
          <w:lang w:val="fr-CA"/>
        </w:rPr>
        <w:t>’</w:t>
      </w:r>
      <w:r w:rsidRPr="00AA314A">
        <w:rPr>
          <w:rFonts w:eastAsia="Calibri"/>
          <w:lang w:val="fr-CA"/>
        </w:rPr>
        <w:t>y obéir, de même que toute personne non désignée qui y contrevient sciemment, se rendent coupables d</w:t>
      </w:r>
      <w:r>
        <w:rPr>
          <w:rFonts w:eastAsia="Calibri"/>
          <w:lang w:val="fr-CA"/>
        </w:rPr>
        <w:t>’</w:t>
      </w:r>
      <w:r w:rsidRPr="00AA314A">
        <w:rPr>
          <w:rFonts w:eastAsia="Calibri"/>
          <w:lang w:val="fr-CA"/>
        </w:rPr>
        <w:t>outrage au tribunal et peuvent être condamnées à une amende n</w:t>
      </w:r>
      <w:r>
        <w:rPr>
          <w:rFonts w:eastAsia="Calibri"/>
          <w:lang w:val="fr-CA"/>
        </w:rPr>
        <w:t>’</w:t>
      </w:r>
      <w:r w:rsidRPr="00AA314A">
        <w:rPr>
          <w:rFonts w:eastAsia="Calibri"/>
          <w:lang w:val="fr-CA"/>
        </w:rPr>
        <w:t>excédant pas 50 000</w:t>
      </w:r>
      <w:r>
        <w:rPr>
          <w:rFonts w:eastAsia="Calibri"/>
          <w:lang w:val="fr-CA"/>
        </w:rPr>
        <w:t> $</w:t>
      </w:r>
      <w:r w:rsidRPr="00AA314A">
        <w:rPr>
          <w:rFonts w:eastAsia="Calibri"/>
          <w:lang w:val="fr-CA"/>
        </w:rPr>
        <w:t>, avec ou sans emprisonnement pour une durée d</w:t>
      </w:r>
      <w:r>
        <w:rPr>
          <w:rFonts w:eastAsia="Calibri"/>
          <w:lang w:val="fr-CA"/>
        </w:rPr>
        <w:t>’</w:t>
      </w:r>
      <w:r w:rsidRPr="00AA314A">
        <w:rPr>
          <w:rFonts w:eastAsia="Calibri"/>
          <w:lang w:val="fr-CA"/>
        </w:rPr>
        <w:t>au plus un an, et sans préjudice à tous recours en dommages</w:t>
      </w:r>
      <w:r>
        <w:rPr>
          <w:rFonts w:eastAsia="Calibri"/>
          <w:lang w:val="fr-CA"/>
        </w:rPr>
        <w:noBreakHyphen/>
      </w:r>
      <w:r w:rsidRPr="00AA314A">
        <w:rPr>
          <w:rFonts w:eastAsia="Calibri"/>
          <w:lang w:val="fr-CA"/>
        </w:rPr>
        <w:t>intérêts. Ces pénalités peuvent être infligées derechef jusqu</w:t>
      </w:r>
      <w:r>
        <w:rPr>
          <w:rFonts w:eastAsia="Calibri"/>
          <w:lang w:val="fr-CA"/>
        </w:rPr>
        <w:t>’</w:t>
      </w:r>
      <w:r w:rsidRPr="00AA314A">
        <w:rPr>
          <w:rFonts w:eastAsia="Calibri"/>
          <w:lang w:val="fr-CA"/>
        </w:rPr>
        <w:t>à ce que le contrevenant se soit conformé à l</w:t>
      </w:r>
      <w:r>
        <w:rPr>
          <w:rFonts w:eastAsia="Calibri"/>
          <w:lang w:val="fr-CA"/>
        </w:rPr>
        <w:t>’</w:t>
      </w:r>
      <w:r w:rsidRPr="00AA314A">
        <w:rPr>
          <w:rFonts w:eastAsia="Calibri"/>
          <w:lang w:val="fr-CA"/>
        </w:rPr>
        <w:t>injonction.</w:t>
      </w:r>
    </w:p>
    <w:p w:rsidR="00810FD5" w:rsidRPr="00AA314A" w:rsidRDefault="00810FD5" w:rsidP="003223DD">
      <w:pPr>
        <w:pStyle w:val="Citation-AltC"/>
        <w:widowControl w:val="0"/>
        <w:ind w:hanging="1166"/>
        <w:contextualSpacing w:val="0"/>
        <w:rPr>
          <w:rFonts w:eastAsia="Calibri"/>
          <w:lang w:val="fr-CA"/>
        </w:rPr>
      </w:pPr>
      <w:r w:rsidRPr="00AA314A">
        <w:rPr>
          <w:rFonts w:eastAsia="Calibri"/>
          <w:lang w:val="fr-CA"/>
        </w:rPr>
        <w:tab/>
        <w:t>Le tribunal peut également ordonner que ce qui a été fait en contravention à l</w:t>
      </w:r>
      <w:r>
        <w:rPr>
          <w:rFonts w:eastAsia="Calibri"/>
          <w:lang w:val="fr-CA"/>
        </w:rPr>
        <w:t>’</w:t>
      </w:r>
      <w:r w:rsidRPr="00AA314A">
        <w:rPr>
          <w:rFonts w:eastAsia="Calibri"/>
          <w:lang w:val="fr-CA"/>
        </w:rPr>
        <w:t>injonction soit détruit ou enlevé, s</w:t>
      </w:r>
      <w:r>
        <w:rPr>
          <w:rFonts w:eastAsia="Calibri"/>
          <w:lang w:val="fr-CA"/>
        </w:rPr>
        <w:t>’</w:t>
      </w:r>
      <w:r w:rsidRPr="00AA314A">
        <w:rPr>
          <w:rFonts w:eastAsia="Calibri"/>
          <w:lang w:val="fr-CA"/>
        </w:rPr>
        <w:t>il y a lieu.</w:t>
      </w:r>
    </w:p>
    <w:p w:rsidR="00810FD5" w:rsidRPr="00AA314A" w:rsidRDefault="00810FD5" w:rsidP="003223DD">
      <w:pPr>
        <w:pStyle w:val="ParaNoNdepar-AltN"/>
        <w:widowControl w:val="0"/>
        <w:tabs>
          <w:tab w:val="clear" w:pos="1166"/>
          <w:tab w:val="clear" w:pos="1512"/>
          <w:tab w:val="num" w:pos="1152"/>
        </w:tabs>
        <w:spacing w:before="360" w:after="120"/>
        <w:ind w:left="0"/>
        <w:rPr>
          <w:rFonts w:eastAsia="Calibri" w:cs="Times New Roman"/>
          <w:lang w:val="fr-CA"/>
        </w:rPr>
      </w:pPr>
      <w:r w:rsidRPr="00AA314A">
        <w:rPr>
          <w:rFonts w:eastAsia="Calibri" w:cs="Times New Roman"/>
          <w:lang w:val="fr-CA"/>
        </w:rPr>
        <w:t>Le 17 mai 2012, le juge Jacques</w:t>
      </w:r>
      <w:r w:rsidRPr="00AA314A">
        <w:rPr>
          <w:rFonts w:eastAsia="Calibri" w:cs="Times New Roman"/>
          <w:b/>
          <w:lang w:val="fr-CA"/>
        </w:rPr>
        <w:t xml:space="preserve"> </w:t>
      </w:r>
      <w:r w:rsidRPr="00AA314A">
        <w:rPr>
          <w:rFonts w:eastAsia="Calibri" w:cs="Times New Roman"/>
          <w:lang w:val="fr-CA"/>
        </w:rPr>
        <w:t>ordonne à M. Nadeau</w:t>
      </w:r>
      <w:r>
        <w:rPr>
          <w:rFonts w:eastAsia="Calibri" w:cs="Times New Roman"/>
          <w:lang w:val="fr-CA"/>
        </w:rPr>
        <w:noBreakHyphen/>
      </w:r>
      <w:r w:rsidRPr="00AA314A">
        <w:rPr>
          <w:rFonts w:eastAsia="Calibri" w:cs="Times New Roman"/>
          <w:lang w:val="fr-CA"/>
        </w:rPr>
        <w:t>Dubois de comparaître le 29 mai suivant pour répondre aux allégations énoncées dans la requête pour outrage de M. Morasse, ainsi qu</w:t>
      </w:r>
      <w:r>
        <w:rPr>
          <w:rFonts w:eastAsia="Calibri" w:cs="Times New Roman"/>
          <w:lang w:val="fr-CA"/>
        </w:rPr>
        <w:t>’</w:t>
      </w:r>
      <w:r w:rsidRPr="00AA314A">
        <w:rPr>
          <w:rFonts w:eastAsia="Calibri" w:cs="Times New Roman"/>
          <w:lang w:val="fr-CA"/>
        </w:rPr>
        <w:t>à la preuve présentée dans ce contexte</w:t>
      </w:r>
      <w:r w:rsidRPr="00AA314A">
        <w:rPr>
          <w:rStyle w:val="FootnoteReference"/>
          <w:rFonts w:eastAsia="Calibri" w:cs="Times New Roman"/>
          <w:lang w:val="fr-CA"/>
        </w:rPr>
        <w:footnoteReference w:id="6"/>
      </w:r>
      <w:r w:rsidR="000D0AC3">
        <w:rPr>
          <w:rFonts w:eastAsia="Calibri" w:cs="Times New Roman"/>
          <w:lang w:val="fr-CA"/>
        </w:rPr>
        <w:t xml:space="preserve">. </w:t>
      </w:r>
      <w:r w:rsidRPr="00AA314A">
        <w:rPr>
          <w:rFonts w:eastAsia="Calibri" w:cs="Times New Roman"/>
          <w:lang w:val="fr-CA"/>
        </w:rPr>
        <w:t>Dans l</w:t>
      </w:r>
      <w:r>
        <w:rPr>
          <w:rFonts w:eastAsia="Calibri" w:cs="Times New Roman"/>
          <w:lang w:val="fr-CA"/>
        </w:rPr>
        <w:t>’</w:t>
      </w:r>
      <w:r w:rsidRPr="00AA314A">
        <w:rPr>
          <w:rFonts w:eastAsia="Calibri" w:cs="Times New Roman"/>
          <w:lang w:val="fr-CA"/>
        </w:rPr>
        <w:t>« ordonnance spéciale de comparaître » qu</w:t>
      </w:r>
      <w:r>
        <w:rPr>
          <w:rFonts w:eastAsia="Calibri" w:cs="Times New Roman"/>
          <w:lang w:val="fr-CA"/>
        </w:rPr>
        <w:t>’</w:t>
      </w:r>
      <w:r w:rsidRPr="00AA314A">
        <w:rPr>
          <w:rFonts w:eastAsia="Calibri" w:cs="Times New Roman"/>
          <w:lang w:val="fr-CA"/>
        </w:rPr>
        <w:t>il prononce en application de l</w:t>
      </w:r>
      <w:r>
        <w:rPr>
          <w:rFonts w:eastAsia="Calibri" w:cs="Times New Roman"/>
          <w:lang w:val="fr-CA"/>
        </w:rPr>
        <w:t>’art. </w:t>
      </w:r>
      <w:r w:rsidRPr="00AA314A">
        <w:rPr>
          <w:rFonts w:eastAsia="Calibri" w:cs="Times New Roman"/>
          <w:lang w:val="fr-CA"/>
        </w:rPr>
        <w:t xml:space="preserve">53 du </w:t>
      </w:r>
      <w:r w:rsidR="000D0AC3">
        <w:rPr>
          <w:rFonts w:eastAsia="Calibri" w:cs="Times New Roman"/>
          <w:i/>
          <w:lang w:val="fr-CA"/>
        </w:rPr>
        <w:lastRenderedPageBreak/>
        <w:t>C.p.c.</w:t>
      </w:r>
      <w:r w:rsidRPr="00AA314A">
        <w:rPr>
          <w:rFonts w:eastAsia="Calibri" w:cs="Times New Roman"/>
          <w:lang w:val="fr-CA"/>
        </w:rPr>
        <w:t>, le juge Jacques décrit en ces termes les allégations formulées contre M. Nadeau</w:t>
      </w:r>
      <w:r>
        <w:rPr>
          <w:rFonts w:eastAsia="Calibri" w:cs="Times New Roman"/>
          <w:lang w:val="fr-CA"/>
        </w:rPr>
        <w:noBreakHyphen/>
      </w:r>
      <w:r w:rsidRPr="00AA314A">
        <w:rPr>
          <w:rFonts w:eastAsia="Calibri" w:cs="Times New Roman"/>
          <w:lang w:val="fr-CA"/>
        </w:rPr>
        <w:t>Dubois</w:t>
      </w:r>
      <w:r>
        <w:rPr>
          <w:rFonts w:eastAsia="Calibri" w:cs="Times New Roman"/>
          <w:lang w:val="fr-CA"/>
        </w:rPr>
        <w:t> :</w:t>
      </w:r>
      <w:r w:rsidR="000D0AC3">
        <w:rPr>
          <w:rFonts w:eastAsia="Calibri" w:cs="Times New Roman"/>
          <w:lang w:val="fr-CA"/>
        </w:rPr>
        <w:t xml:space="preserve"> « </w:t>
      </w:r>
      <w:r w:rsidRPr="00AA314A">
        <w:rPr>
          <w:rFonts w:eastAsia="Calibri" w:cs="Times New Roman"/>
          <w:lang w:val="fr-CA"/>
        </w:rPr>
        <w:t>.</w:t>
      </w:r>
      <w:r>
        <w:rPr>
          <w:rFonts w:eastAsia="Calibri" w:cs="Times New Roman"/>
          <w:lang w:val="fr-CA"/>
        </w:rPr>
        <w:t> </w:t>
      </w:r>
      <w:r w:rsidRPr="00AA314A">
        <w:rPr>
          <w:rFonts w:eastAsia="Calibri" w:cs="Times New Roman"/>
          <w:lang w:val="fr-CA"/>
        </w:rPr>
        <w:t>.</w:t>
      </w:r>
      <w:r>
        <w:rPr>
          <w:rFonts w:eastAsia="Calibri" w:cs="Times New Roman"/>
          <w:lang w:val="fr-CA"/>
        </w:rPr>
        <w:t> </w:t>
      </w:r>
      <w:r w:rsidR="000D0AC3">
        <w:rPr>
          <w:rFonts w:eastAsia="Calibri" w:cs="Times New Roman"/>
          <w:lang w:val="fr-CA"/>
        </w:rPr>
        <w:t>.</w:t>
      </w:r>
      <w:r w:rsidRPr="00AA314A">
        <w:rPr>
          <w:rFonts w:eastAsia="Calibri" w:cs="Times New Roman"/>
          <w:lang w:val="fr-CA"/>
        </w:rPr>
        <w:t xml:space="preserve"> a, sur les ondes du réseau de télévision RDI, incité publiquement les gens à contrevenir à l</w:t>
      </w:r>
      <w:r>
        <w:rPr>
          <w:rFonts w:eastAsia="Calibri" w:cs="Times New Roman"/>
          <w:lang w:val="fr-CA"/>
        </w:rPr>
        <w:t>’</w:t>
      </w:r>
      <w:r w:rsidRPr="00AA314A">
        <w:rPr>
          <w:rFonts w:eastAsia="Calibri" w:cs="Times New Roman"/>
          <w:lang w:val="fr-CA"/>
        </w:rPr>
        <w:t>ordonnance rendue [c</w:t>
      </w:r>
      <w:r>
        <w:rPr>
          <w:rFonts w:eastAsia="Calibri" w:cs="Times New Roman"/>
          <w:lang w:val="fr-CA"/>
        </w:rPr>
        <w:t>’</w:t>
      </w:r>
      <w:r w:rsidRPr="00AA314A">
        <w:rPr>
          <w:rFonts w:eastAsia="Calibri" w:cs="Times New Roman"/>
          <w:lang w:val="fr-CA"/>
        </w:rPr>
        <w:t>est</w:t>
      </w:r>
      <w:r>
        <w:rPr>
          <w:rFonts w:eastAsia="Calibri" w:cs="Times New Roman"/>
          <w:lang w:val="fr-CA"/>
        </w:rPr>
        <w:noBreakHyphen/>
      </w:r>
      <w:r w:rsidRPr="00AA314A">
        <w:rPr>
          <w:rFonts w:eastAsia="Calibri" w:cs="Times New Roman"/>
          <w:lang w:val="fr-CA"/>
        </w:rPr>
        <w:t>à</w:t>
      </w:r>
      <w:r>
        <w:rPr>
          <w:rFonts w:eastAsia="Calibri" w:cs="Times New Roman"/>
          <w:lang w:val="fr-CA"/>
        </w:rPr>
        <w:noBreakHyphen/>
      </w:r>
      <w:r w:rsidRPr="00AA314A">
        <w:rPr>
          <w:rFonts w:eastAsia="Calibri" w:cs="Times New Roman"/>
          <w:lang w:val="fr-CA"/>
        </w:rPr>
        <w:t>dire l</w:t>
      </w:r>
      <w:r>
        <w:rPr>
          <w:rFonts w:eastAsia="Calibri" w:cs="Times New Roman"/>
          <w:lang w:val="fr-CA"/>
        </w:rPr>
        <w:t>’</w:t>
      </w:r>
      <w:r w:rsidRPr="00AA314A">
        <w:rPr>
          <w:rFonts w:eastAsia="Calibri" w:cs="Times New Roman"/>
          <w:lang w:val="fr-CA"/>
        </w:rPr>
        <w:t>ordonnance rendue par le juge Émond] en empêchant les étudiants et étudiantes, dont le demandeur [à savoir, M. Morasse], à avoir accès à leurs cours » (</w:t>
      </w:r>
      <w:r>
        <w:rPr>
          <w:rFonts w:eastAsia="Calibri" w:cs="Times New Roman"/>
          <w:lang w:val="fr-CA"/>
        </w:rPr>
        <w:t>par. </w:t>
      </w:r>
      <w:r w:rsidRPr="00AA314A">
        <w:rPr>
          <w:rFonts w:eastAsia="Calibri" w:cs="Times New Roman"/>
          <w:lang w:val="fr-CA"/>
        </w:rPr>
        <w:t xml:space="preserve">3 (CanLII)). </w:t>
      </w:r>
    </w:p>
    <w:p w:rsidR="00810FD5" w:rsidRPr="00AA314A" w:rsidRDefault="00810FD5" w:rsidP="003223DD">
      <w:pPr>
        <w:pStyle w:val="ParaNoNdepar-AltN"/>
        <w:widowControl w:val="0"/>
        <w:tabs>
          <w:tab w:val="clear" w:pos="1166"/>
          <w:tab w:val="clear" w:pos="1512"/>
          <w:tab w:val="num" w:pos="1152"/>
        </w:tabs>
        <w:ind w:left="0"/>
        <w:rPr>
          <w:rFonts w:eastAsia="Calibri" w:cs="Times New Roman"/>
          <w:lang w:val="fr-CA"/>
        </w:rPr>
      </w:pPr>
      <w:r w:rsidRPr="00AA314A">
        <w:rPr>
          <w:rFonts w:eastAsia="Calibri" w:cs="Times New Roman"/>
          <w:lang w:val="fr-CA"/>
        </w:rPr>
        <w:t>De son propre chef, le juge Jacques fait aussi référence dans les « considérants » de l</w:t>
      </w:r>
      <w:r>
        <w:rPr>
          <w:rFonts w:eastAsia="Calibri" w:cs="Times New Roman"/>
          <w:lang w:val="fr-CA"/>
        </w:rPr>
        <w:t>’</w:t>
      </w:r>
      <w:r w:rsidRPr="00AA314A">
        <w:rPr>
          <w:rFonts w:eastAsia="Calibri" w:cs="Times New Roman"/>
          <w:lang w:val="fr-CA"/>
        </w:rPr>
        <w:t>ordonnance au premier alinéa de l</w:t>
      </w:r>
      <w:r>
        <w:rPr>
          <w:rFonts w:eastAsia="Calibri" w:cs="Times New Roman"/>
          <w:lang w:val="fr-CA"/>
        </w:rPr>
        <w:t>’art. </w:t>
      </w:r>
      <w:r w:rsidRPr="00AA314A">
        <w:rPr>
          <w:rFonts w:eastAsia="Calibri" w:cs="Times New Roman"/>
          <w:lang w:val="fr-CA"/>
        </w:rPr>
        <w:t xml:space="preserve">50 du </w:t>
      </w:r>
      <w:r w:rsidR="000D0AC3">
        <w:rPr>
          <w:rFonts w:eastAsia="Calibri" w:cs="Times New Roman"/>
          <w:i/>
          <w:lang w:val="fr-CA"/>
        </w:rPr>
        <w:t xml:space="preserve">C.p.c. </w:t>
      </w:r>
      <w:r w:rsidRPr="00AA314A">
        <w:rPr>
          <w:rFonts w:eastAsia="Calibri" w:cs="Times New Roman"/>
          <w:lang w:val="fr-CA"/>
        </w:rPr>
        <w:t>(le seul à être pertinent dans le présent pourvoi)</w:t>
      </w:r>
      <w:r>
        <w:rPr>
          <w:rFonts w:eastAsia="Calibri" w:cs="Times New Roman"/>
          <w:lang w:val="fr-CA"/>
        </w:rPr>
        <w:t> :</w:t>
      </w:r>
    </w:p>
    <w:p w:rsidR="00810FD5" w:rsidRPr="00AA314A" w:rsidRDefault="00810FD5" w:rsidP="003223DD">
      <w:pPr>
        <w:pStyle w:val="Citation-AltC"/>
        <w:widowControl w:val="0"/>
        <w:ind w:hanging="1166"/>
        <w:contextualSpacing w:val="0"/>
        <w:rPr>
          <w:rFonts w:eastAsia="Calibri"/>
          <w:lang w:val="fr-CA"/>
        </w:rPr>
      </w:pPr>
      <w:r w:rsidRPr="00AA314A">
        <w:rPr>
          <w:rFonts w:eastAsia="Calibri"/>
          <w:b/>
          <w:lang w:val="fr-CA"/>
        </w:rPr>
        <w:tab/>
        <w:t xml:space="preserve">50. </w:t>
      </w:r>
      <w:r w:rsidRPr="00AA314A">
        <w:rPr>
          <w:rFonts w:eastAsia="Calibri"/>
          <w:lang w:val="fr-CA"/>
        </w:rPr>
        <w:t>Est coupable d</w:t>
      </w:r>
      <w:r>
        <w:rPr>
          <w:rFonts w:eastAsia="Calibri"/>
          <w:lang w:val="fr-CA"/>
        </w:rPr>
        <w:t>’</w:t>
      </w:r>
      <w:r w:rsidRPr="00AA314A">
        <w:rPr>
          <w:rFonts w:eastAsia="Calibri"/>
          <w:lang w:val="fr-CA"/>
        </w:rPr>
        <w:t>outrage au tribunal celui qui contrevient à une ordonnance ou à une injonction du tribunal ou d</w:t>
      </w:r>
      <w:r>
        <w:rPr>
          <w:rFonts w:eastAsia="Calibri"/>
          <w:lang w:val="fr-CA"/>
        </w:rPr>
        <w:t>’</w:t>
      </w:r>
      <w:r w:rsidRPr="00AA314A">
        <w:rPr>
          <w:rFonts w:eastAsia="Calibri"/>
          <w:lang w:val="fr-CA"/>
        </w:rPr>
        <w:t>un de ses juges, ou qui agit de manière, soit à entraver le cours normal de l</w:t>
      </w:r>
      <w:r>
        <w:rPr>
          <w:rFonts w:eastAsia="Calibri"/>
          <w:lang w:val="fr-CA"/>
        </w:rPr>
        <w:t>’</w:t>
      </w:r>
      <w:r w:rsidRPr="00AA314A">
        <w:rPr>
          <w:rFonts w:eastAsia="Calibri"/>
          <w:lang w:val="fr-CA"/>
        </w:rPr>
        <w:t>administration de la justice, soit à porter atteinte à l</w:t>
      </w:r>
      <w:r>
        <w:rPr>
          <w:rFonts w:eastAsia="Calibri"/>
          <w:lang w:val="fr-CA"/>
        </w:rPr>
        <w:t>’</w:t>
      </w:r>
      <w:r w:rsidRPr="00AA314A">
        <w:rPr>
          <w:rFonts w:eastAsia="Calibri"/>
          <w:lang w:val="fr-CA"/>
        </w:rPr>
        <w:t>autorité ou à la dignité du tribunal.</w:t>
      </w:r>
    </w:p>
    <w:p w:rsidR="00810FD5" w:rsidRPr="00AA314A" w:rsidRDefault="00810FD5" w:rsidP="003223DD">
      <w:pPr>
        <w:pStyle w:val="ContinueParaSuitedupar-AltP"/>
        <w:widowControl w:val="0"/>
        <w:rPr>
          <w:rFonts w:cs="Times New Roman"/>
          <w:lang w:val="fr-CA"/>
        </w:rPr>
      </w:pPr>
      <w:r w:rsidRPr="00AA314A">
        <w:rPr>
          <w:rFonts w:cs="Times New Roman"/>
          <w:lang w:val="fr-CA"/>
        </w:rPr>
        <w:t>Toutefois, l</w:t>
      </w:r>
      <w:r>
        <w:rPr>
          <w:rFonts w:cs="Times New Roman"/>
          <w:lang w:val="fr-CA"/>
        </w:rPr>
        <w:t>’</w:t>
      </w:r>
      <w:r w:rsidRPr="00AA314A">
        <w:rPr>
          <w:rFonts w:cs="Times New Roman"/>
          <w:lang w:val="fr-CA"/>
        </w:rPr>
        <w:t>ordonnance spéciale de comparaître ne précise pas quelle partie du premier alinéa de l</w:t>
      </w:r>
      <w:r>
        <w:rPr>
          <w:rFonts w:cs="Times New Roman"/>
          <w:lang w:val="fr-CA"/>
        </w:rPr>
        <w:t>’art. </w:t>
      </w:r>
      <w:r w:rsidRPr="00AA314A">
        <w:rPr>
          <w:rFonts w:cs="Times New Roman"/>
          <w:lang w:val="fr-CA"/>
        </w:rPr>
        <w:t>50 est en cause. Aucune injonction autre que celle prononcée par le juge</w:t>
      </w:r>
      <w:r>
        <w:rPr>
          <w:rFonts w:cs="Times New Roman"/>
          <w:lang w:val="fr-CA"/>
        </w:rPr>
        <w:t xml:space="preserve"> </w:t>
      </w:r>
      <w:r w:rsidRPr="00AA314A">
        <w:rPr>
          <w:rFonts w:cs="Times New Roman"/>
          <w:lang w:val="fr-CA"/>
        </w:rPr>
        <w:t>Émond le 2 mai n</w:t>
      </w:r>
      <w:r>
        <w:rPr>
          <w:rFonts w:cs="Times New Roman"/>
          <w:lang w:val="fr-CA"/>
        </w:rPr>
        <w:t>’</w:t>
      </w:r>
      <w:r w:rsidRPr="00AA314A">
        <w:rPr>
          <w:rFonts w:cs="Times New Roman"/>
          <w:lang w:val="fr-CA"/>
        </w:rPr>
        <w:t xml:space="preserve">y est par ailleurs mentionnée. </w:t>
      </w:r>
    </w:p>
    <w:p w:rsidR="00810FD5" w:rsidRPr="00AA314A" w:rsidRDefault="00810FD5" w:rsidP="003223DD">
      <w:pPr>
        <w:pStyle w:val="ParaNoNdepar-AltN"/>
        <w:widowControl w:val="0"/>
        <w:ind w:left="0"/>
        <w:rPr>
          <w:rFonts w:cs="Times New Roman"/>
          <w:lang w:val="fr-CA"/>
        </w:rPr>
      </w:pPr>
      <w:r w:rsidRPr="00AA314A">
        <w:rPr>
          <w:rFonts w:cs="Times New Roman"/>
          <w:lang w:val="fr-CA"/>
        </w:rPr>
        <w:t>Il ressort clairement du procès</w:t>
      </w:r>
      <w:r>
        <w:rPr>
          <w:rFonts w:cs="Times New Roman"/>
          <w:lang w:val="fr-CA"/>
        </w:rPr>
        <w:noBreakHyphen/>
      </w:r>
      <w:r w:rsidRPr="00AA314A">
        <w:rPr>
          <w:rFonts w:cs="Times New Roman"/>
          <w:lang w:val="fr-CA"/>
        </w:rPr>
        <w:t>verbal et des notes sténographiques de l</w:t>
      </w:r>
      <w:r>
        <w:rPr>
          <w:rFonts w:cs="Times New Roman"/>
          <w:lang w:val="fr-CA"/>
        </w:rPr>
        <w:t>’</w:t>
      </w:r>
      <w:r w:rsidRPr="00AA314A">
        <w:rPr>
          <w:rFonts w:cs="Times New Roman"/>
          <w:lang w:val="fr-CA"/>
        </w:rPr>
        <w:t>audience du 29 mai 2012 ― lors de laquelle la preuve contre M. Nadeau</w:t>
      </w:r>
      <w:r>
        <w:rPr>
          <w:rFonts w:cs="Times New Roman"/>
          <w:lang w:val="fr-CA"/>
        </w:rPr>
        <w:noBreakHyphen/>
      </w:r>
      <w:r w:rsidRPr="00AA314A">
        <w:rPr>
          <w:rFonts w:cs="Times New Roman"/>
          <w:lang w:val="fr-CA"/>
        </w:rPr>
        <w:t>Dubois est communiquée ― que, pour toutes les parties, la seule accusation portée contre M. Nadeau</w:t>
      </w:r>
      <w:r>
        <w:rPr>
          <w:rFonts w:cs="Times New Roman"/>
          <w:lang w:val="fr-CA"/>
        </w:rPr>
        <w:noBreakHyphen/>
      </w:r>
      <w:r w:rsidRPr="00AA314A">
        <w:rPr>
          <w:rFonts w:cs="Times New Roman"/>
          <w:lang w:val="fr-CA"/>
        </w:rPr>
        <w:t>Dubois est celle d</w:t>
      </w:r>
      <w:r>
        <w:rPr>
          <w:rFonts w:cs="Times New Roman"/>
          <w:lang w:val="fr-CA"/>
        </w:rPr>
        <w:t>’</w:t>
      </w:r>
      <w:r w:rsidRPr="00AA314A">
        <w:rPr>
          <w:rFonts w:cs="Times New Roman"/>
          <w:lang w:val="fr-CA"/>
        </w:rPr>
        <w:t xml:space="preserve">avoir effectivement violé le </w:t>
      </w:r>
      <w:r>
        <w:rPr>
          <w:rFonts w:cs="Times New Roman"/>
          <w:lang w:val="fr-CA"/>
        </w:rPr>
        <w:t>par. </w:t>
      </w:r>
      <w:r w:rsidRPr="00AA314A">
        <w:rPr>
          <w:rFonts w:cs="Times New Roman"/>
          <w:lang w:val="fr-CA"/>
        </w:rPr>
        <w:t>60 de l</w:t>
      </w:r>
      <w:r>
        <w:rPr>
          <w:rFonts w:cs="Times New Roman"/>
          <w:lang w:val="fr-CA"/>
        </w:rPr>
        <w:t>’</w:t>
      </w:r>
      <w:r w:rsidRPr="00AA314A">
        <w:rPr>
          <w:rFonts w:cs="Times New Roman"/>
          <w:lang w:val="fr-CA"/>
        </w:rPr>
        <w:t>injonction prononcée le 2 mai 2012 en posant un geste susceptible d</w:t>
      </w:r>
      <w:r>
        <w:rPr>
          <w:rFonts w:cs="Times New Roman"/>
          <w:lang w:val="fr-CA"/>
        </w:rPr>
        <w:t>’</w:t>
      </w:r>
      <w:r w:rsidRPr="00AA314A">
        <w:rPr>
          <w:rFonts w:cs="Times New Roman"/>
          <w:lang w:val="fr-CA"/>
        </w:rPr>
        <w:t>empêcher ou d</w:t>
      </w:r>
      <w:r>
        <w:rPr>
          <w:rFonts w:cs="Times New Roman"/>
          <w:lang w:val="fr-CA"/>
        </w:rPr>
        <w:t>’</w:t>
      </w:r>
      <w:r w:rsidRPr="00AA314A">
        <w:rPr>
          <w:rFonts w:cs="Times New Roman"/>
          <w:lang w:val="fr-CA"/>
        </w:rPr>
        <w:t>affecter négativement l</w:t>
      </w:r>
      <w:r>
        <w:rPr>
          <w:rFonts w:cs="Times New Roman"/>
          <w:lang w:val="fr-CA"/>
        </w:rPr>
        <w:t>’</w:t>
      </w:r>
      <w:r w:rsidRPr="00AA314A">
        <w:rPr>
          <w:rFonts w:cs="Times New Roman"/>
          <w:lang w:val="fr-CA"/>
        </w:rPr>
        <w:t>accès aux cours.</w:t>
      </w:r>
    </w:p>
    <w:p w:rsidR="00810FD5" w:rsidRPr="00AA314A" w:rsidRDefault="00810FD5" w:rsidP="003223DD">
      <w:pPr>
        <w:pStyle w:val="ParaNoNdepar-AltN"/>
        <w:widowControl w:val="0"/>
        <w:ind w:left="0"/>
        <w:rPr>
          <w:rFonts w:cs="Times New Roman"/>
          <w:lang w:val="fr-CA"/>
        </w:rPr>
      </w:pPr>
      <w:r w:rsidRPr="00AA314A">
        <w:rPr>
          <w:rFonts w:cs="Times New Roman"/>
          <w:lang w:val="fr-CA"/>
        </w:rPr>
        <w:lastRenderedPageBreak/>
        <w:t>Sur le fond de la requête pour outrage, le juge Jacques conclut que M. Nadeau</w:t>
      </w:r>
      <w:r>
        <w:rPr>
          <w:rFonts w:cs="Times New Roman"/>
          <w:lang w:val="fr-CA"/>
        </w:rPr>
        <w:noBreakHyphen/>
      </w:r>
      <w:r w:rsidRPr="00AA314A">
        <w:rPr>
          <w:rFonts w:cs="Times New Roman"/>
          <w:lang w:val="fr-CA"/>
        </w:rPr>
        <w:t>Dubois ne peut pas être reconnu coupable d</w:t>
      </w:r>
      <w:r>
        <w:rPr>
          <w:rFonts w:cs="Times New Roman"/>
          <w:lang w:val="fr-CA"/>
        </w:rPr>
        <w:t>’</w:t>
      </w:r>
      <w:r w:rsidRPr="00AA314A">
        <w:rPr>
          <w:rFonts w:cs="Times New Roman"/>
          <w:lang w:val="fr-CA"/>
        </w:rPr>
        <w:t>outrage au tribunal en application de l</w:t>
      </w:r>
      <w:r>
        <w:rPr>
          <w:rFonts w:cs="Times New Roman"/>
          <w:lang w:val="fr-CA"/>
        </w:rPr>
        <w:t>’art. </w:t>
      </w:r>
      <w:r w:rsidRPr="00AA314A">
        <w:rPr>
          <w:rFonts w:cs="Times New Roman"/>
          <w:lang w:val="fr-CA"/>
        </w:rPr>
        <w:t>761 puisque l</w:t>
      </w:r>
      <w:r>
        <w:rPr>
          <w:rFonts w:cs="Times New Roman"/>
          <w:lang w:val="fr-CA"/>
        </w:rPr>
        <w:t>’</w:t>
      </w:r>
      <w:r w:rsidRPr="00AA314A">
        <w:rPr>
          <w:rFonts w:cs="Times New Roman"/>
          <w:lang w:val="fr-CA"/>
        </w:rPr>
        <w:t>ordonnance du juge Émond ne lui a pas été signifiée. Toutefois, le juge le déclare coupable en vertu de la disposition du premier alinéa de l</w:t>
      </w:r>
      <w:r>
        <w:rPr>
          <w:rFonts w:cs="Times New Roman"/>
          <w:lang w:val="fr-CA"/>
        </w:rPr>
        <w:t>’art. </w:t>
      </w:r>
      <w:r w:rsidRPr="00AA314A">
        <w:rPr>
          <w:rFonts w:cs="Times New Roman"/>
          <w:lang w:val="fr-CA"/>
        </w:rPr>
        <w:t>50 qui crée l</w:t>
      </w:r>
      <w:r>
        <w:rPr>
          <w:rFonts w:cs="Times New Roman"/>
          <w:lang w:val="fr-CA"/>
        </w:rPr>
        <w:t>’</w:t>
      </w:r>
      <w:r w:rsidRPr="00AA314A">
        <w:rPr>
          <w:rFonts w:cs="Times New Roman"/>
          <w:lang w:val="fr-CA"/>
        </w:rPr>
        <w:t>infraction d</w:t>
      </w:r>
      <w:r>
        <w:rPr>
          <w:rFonts w:cs="Times New Roman"/>
          <w:lang w:val="fr-CA"/>
        </w:rPr>
        <w:t>’</w:t>
      </w:r>
      <w:r w:rsidRPr="00AA314A">
        <w:rPr>
          <w:rFonts w:cs="Times New Roman"/>
          <w:lang w:val="fr-CA"/>
        </w:rPr>
        <w:t>outrage pour des actes qui portent atteinte à l</w:t>
      </w:r>
      <w:r>
        <w:rPr>
          <w:rFonts w:cs="Times New Roman"/>
          <w:lang w:val="fr-CA"/>
        </w:rPr>
        <w:t>’</w:t>
      </w:r>
      <w:r w:rsidRPr="00AA314A">
        <w:rPr>
          <w:rFonts w:cs="Times New Roman"/>
          <w:lang w:val="fr-CA"/>
        </w:rPr>
        <w:t>autorité ou à la dignité du tribun</w:t>
      </w:r>
      <w:r>
        <w:rPr>
          <w:rFonts w:cs="Times New Roman"/>
          <w:lang w:val="fr-CA"/>
        </w:rPr>
        <w:t>al. </w:t>
      </w:r>
      <w:r w:rsidRPr="00AA314A">
        <w:rPr>
          <w:rFonts w:cs="Times New Roman"/>
          <w:lang w:val="fr-CA"/>
        </w:rPr>
        <w:t>Le juge Jacques conclut que la connaissance qu</w:t>
      </w:r>
      <w:r>
        <w:rPr>
          <w:rFonts w:cs="Times New Roman"/>
          <w:lang w:val="fr-CA"/>
        </w:rPr>
        <w:t>’</w:t>
      </w:r>
      <w:r w:rsidRPr="00AA314A">
        <w:rPr>
          <w:rFonts w:cs="Times New Roman"/>
          <w:lang w:val="fr-CA"/>
        </w:rPr>
        <w:t>avait M. Nadeau</w:t>
      </w:r>
      <w:r>
        <w:rPr>
          <w:rFonts w:cs="Times New Roman"/>
          <w:lang w:val="fr-CA"/>
        </w:rPr>
        <w:noBreakHyphen/>
      </w:r>
      <w:r w:rsidRPr="00AA314A">
        <w:rPr>
          <w:rFonts w:cs="Times New Roman"/>
          <w:lang w:val="fr-CA"/>
        </w:rPr>
        <w:t>Dubois de l</w:t>
      </w:r>
      <w:r>
        <w:rPr>
          <w:rFonts w:cs="Times New Roman"/>
          <w:lang w:val="fr-CA"/>
        </w:rPr>
        <w:t>’</w:t>
      </w:r>
      <w:r w:rsidRPr="00AA314A">
        <w:rPr>
          <w:rFonts w:cs="Times New Roman"/>
          <w:lang w:val="fr-CA"/>
        </w:rPr>
        <w:t>injonction peut être inférée du fait que l</w:t>
      </w:r>
      <w:r>
        <w:rPr>
          <w:rFonts w:cs="Times New Roman"/>
          <w:lang w:val="fr-CA"/>
        </w:rPr>
        <w:t>’</w:t>
      </w:r>
      <w:r w:rsidR="00951211">
        <w:rPr>
          <w:rFonts w:cs="Times New Roman"/>
          <w:lang w:val="fr-CA"/>
        </w:rPr>
        <w:t>ASÉ</w:t>
      </w:r>
      <w:r w:rsidRPr="00AA314A">
        <w:rPr>
          <w:rFonts w:cs="Times New Roman"/>
          <w:lang w:val="fr-CA"/>
        </w:rPr>
        <w:t>TAP, à qui l</w:t>
      </w:r>
      <w:r>
        <w:rPr>
          <w:rFonts w:cs="Times New Roman"/>
          <w:lang w:val="fr-CA"/>
        </w:rPr>
        <w:t>’</w:t>
      </w:r>
      <w:r w:rsidRPr="00AA314A">
        <w:rPr>
          <w:rFonts w:cs="Times New Roman"/>
          <w:lang w:val="fr-CA"/>
        </w:rPr>
        <w:t>ordonnance a été signifiée, était membre de la CLASSE au moment où l</w:t>
      </w:r>
      <w:r>
        <w:rPr>
          <w:rFonts w:cs="Times New Roman"/>
          <w:lang w:val="fr-CA"/>
        </w:rPr>
        <w:t>’</w:t>
      </w:r>
      <w:r w:rsidRPr="00AA314A">
        <w:rPr>
          <w:rFonts w:cs="Times New Roman"/>
          <w:lang w:val="fr-CA"/>
        </w:rPr>
        <w:t>ordonnance a été prononcée. Puisque M. Nadeau</w:t>
      </w:r>
      <w:r>
        <w:rPr>
          <w:rFonts w:cs="Times New Roman"/>
          <w:lang w:val="fr-CA"/>
        </w:rPr>
        <w:noBreakHyphen/>
      </w:r>
      <w:r w:rsidRPr="00AA314A">
        <w:rPr>
          <w:rFonts w:cs="Times New Roman"/>
          <w:lang w:val="fr-CA"/>
        </w:rPr>
        <w:t>Dubois était le porte</w:t>
      </w:r>
      <w:r>
        <w:rPr>
          <w:rFonts w:cs="Times New Roman"/>
          <w:lang w:val="fr-CA"/>
        </w:rPr>
        <w:noBreakHyphen/>
      </w:r>
      <w:r w:rsidRPr="00AA314A">
        <w:rPr>
          <w:rFonts w:cs="Times New Roman"/>
          <w:lang w:val="fr-CA"/>
        </w:rPr>
        <w:t>parole de la CLASSE à l</w:t>
      </w:r>
      <w:r>
        <w:rPr>
          <w:rFonts w:cs="Times New Roman"/>
          <w:lang w:val="fr-CA"/>
        </w:rPr>
        <w:t>’</w:t>
      </w:r>
      <w:r w:rsidRPr="00AA314A">
        <w:rPr>
          <w:rFonts w:cs="Times New Roman"/>
          <w:lang w:val="fr-CA"/>
        </w:rPr>
        <w:t>époque,</w:t>
      </w:r>
      <w:r w:rsidRPr="00AA314A">
        <w:rPr>
          <w:rFonts w:cs="Times New Roman"/>
          <w:b/>
          <w:lang w:val="fr-CA"/>
        </w:rPr>
        <w:t xml:space="preserve"> </w:t>
      </w:r>
      <w:r w:rsidRPr="00AA314A">
        <w:rPr>
          <w:rFonts w:cs="Times New Roman"/>
          <w:lang w:val="fr-CA"/>
        </w:rPr>
        <w:t>sa connaissance peut être inférée. La connaissance qu</w:t>
      </w:r>
      <w:r>
        <w:rPr>
          <w:rFonts w:cs="Times New Roman"/>
          <w:lang w:val="fr-CA"/>
        </w:rPr>
        <w:t>’</w:t>
      </w:r>
      <w:r w:rsidRPr="00AA314A">
        <w:rPr>
          <w:rFonts w:cs="Times New Roman"/>
          <w:lang w:val="fr-CA"/>
        </w:rPr>
        <w:t>il avait de l</w:t>
      </w:r>
      <w:r>
        <w:rPr>
          <w:rFonts w:cs="Times New Roman"/>
          <w:lang w:val="fr-CA"/>
        </w:rPr>
        <w:t>’</w:t>
      </w:r>
      <w:r w:rsidRPr="00AA314A">
        <w:rPr>
          <w:rFonts w:cs="Times New Roman"/>
          <w:lang w:val="fr-CA"/>
        </w:rPr>
        <w:t>injonction peut également être inférée de ses propos tenus lors de l</w:t>
      </w:r>
      <w:r>
        <w:rPr>
          <w:rFonts w:cs="Times New Roman"/>
          <w:lang w:val="fr-CA"/>
        </w:rPr>
        <w:t>’</w:t>
      </w:r>
      <w:r w:rsidRPr="00AA314A">
        <w:rPr>
          <w:rFonts w:cs="Times New Roman"/>
          <w:lang w:val="fr-CA"/>
        </w:rPr>
        <w:t>entrevue, et de sa connaissance présumée d</w:t>
      </w:r>
      <w:r>
        <w:rPr>
          <w:rFonts w:cs="Times New Roman"/>
          <w:lang w:val="fr-CA"/>
        </w:rPr>
        <w:t>’</w:t>
      </w:r>
      <w:r w:rsidRPr="00AA314A">
        <w:rPr>
          <w:rFonts w:cs="Times New Roman"/>
          <w:lang w:val="fr-CA"/>
        </w:rPr>
        <w:t>autres injonctions non précisées que d</w:t>
      </w:r>
      <w:r>
        <w:rPr>
          <w:rFonts w:cs="Times New Roman"/>
          <w:lang w:val="fr-CA"/>
        </w:rPr>
        <w:t>’</w:t>
      </w:r>
      <w:r w:rsidRPr="00AA314A">
        <w:rPr>
          <w:rFonts w:cs="Times New Roman"/>
          <w:lang w:val="fr-CA"/>
        </w:rPr>
        <w:t>autres tribunaux ont prononcées à la même époque. Pour le juge Jacques, les déclarations de M. Nadeau</w:t>
      </w:r>
      <w:r>
        <w:rPr>
          <w:rFonts w:cs="Times New Roman"/>
          <w:lang w:val="fr-CA"/>
        </w:rPr>
        <w:noBreakHyphen/>
      </w:r>
      <w:r w:rsidRPr="00AA314A">
        <w:rPr>
          <w:rFonts w:cs="Times New Roman"/>
          <w:lang w:val="fr-CA"/>
        </w:rPr>
        <w:t>Dubois témoignent d</w:t>
      </w:r>
      <w:r>
        <w:rPr>
          <w:rFonts w:cs="Times New Roman"/>
          <w:lang w:val="fr-CA"/>
        </w:rPr>
        <w:t>’</w:t>
      </w:r>
      <w:r w:rsidRPr="00AA314A">
        <w:rPr>
          <w:rFonts w:cs="Times New Roman"/>
          <w:lang w:val="fr-CA"/>
        </w:rPr>
        <w:t>une intention d</w:t>
      </w:r>
      <w:r>
        <w:rPr>
          <w:rFonts w:cs="Times New Roman"/>
          <w:lang w:val="fr-CA"/>
        </w:rPr>
        <w:t>’</w:t>
      </w:r>
      <w:r w:rsidRPr="00AA314A">
        <w:rPr>
          <w:rFonts w:cs="Times New Roman"/>
          <w:lang w:val="fr-CA"/>
        </w:rPr>
        <w:t>entraver l</w:t>
      </w:r>
      <w:r>
        <w:rPr>
          <w:rFonts w:cs="Times New Roman"/>
          <w:lang w:val="fr-CA"/>
        </w:rPr>
        <w:t>’</w:t>
      </w:r>
      <w:r w:rsidRPr="00AA314A">
        <w:rPr>
          <w:rFonts w:cs="Times New Roman"/>
          <w:lang w:val="fr-CA"/>
        </w:rPr>
        <w:t>administration de la justice ou de porter atteinte à l</w:t>
      </w:r>
      <w:r>
        <w:rPr>
          <w:rFonts w:cs="Times New Roman"/>
          <w:lang w:val="fr-CA"/>
        </w:rPr>
        <w:t>’</w:t>
      </w:r>
      <w:r w:rsidRPr="00AA314A">
        <w:rPr>
          <w:rFonts w:cs="Times New Roman"/>
          <w:lang w:val="fr-CA"/>
        </w:rPr>
        <w:t xml:space="preserve">autorité des tribunaux. Qui plus est, en incitant à contrevenir aux injonctions généralement, ses propos ont eu pour </w:t>
      </w:r>
      <w:r w:rsidRPr="00AA314A">
        <w:rPr>
          <w:rFonts w:cs="Times New Roman"/>
          <w:i/>
          <w:lang w:val="fr-CA"/>
        </w:rPr>
        <w:t xml:space="preserve">effet </w:t>
      </w:r>
      <w:r w:rsidRPr="00AA314A">
        <w:rPr>
          <w:rFonts w:cs="Times New Roman"/>
          <w:lang w:val="fr-CA"/>
        </w:rPr>
        <w:t>d</w:t>
      </w:r>
      <w:r>
        <w:rPr>
          <w:rFonts w:cs="Times New Roman"/>
          <w:lang w:val="fr-CA"/>
        </w:rPr>
        <w:t>’</w:t>
      </w:r>
      <w:r w:rsidRPr="00AA314A">
        <w:rPr>
          <w:rFonts w:cs="Times New Roman"/>
          <w:lang w:val="fr-CA"/>
        </w:rPr>
        <w:t>inciter à contrevenir à l</w:t>
      </w:r>
      <w:r>
        <w:rPr>
          <w:rFonts w:cs="Times New Roman"/>
          <w:lang w:val="fr-CA"/>
        </w:rPr>
        <w:t>’</w:t>
      </w:r>
      <w:r w:rsidR="00951211">
        <w:rPr>
          <w:rFonts w:cs="Times New Roman"/>
          <w:lang w:val="fr-CA"/>
        </w:rPr>
        <w:t>injonction du juge Émond</w:t>
      </w:r>
      <w:r w:rsidRPr="00AA314A">
        <w:rPr>
          <w:rStyle w:val="FootnoteReference"/>
          <w:rFonts w:cs="Times New Roman"/>
          <w:lang w:val="fr-CA"/>
        </w:rPr>
        <w:t xml:space="preserve"> </w:t>
      </w:r>
      <w:r w:rsidRPr="00AA314A">
        <w:rPr>
          <w:rStyle w:val="FootnoteReference"/>
          <w:rFonts w:cs="Times New Roman"/>
          <w:lang w:val="fr-CA"/>
        </w:rPr>
        <w:footnoteReference w:id="7"/>
      </w:r>
      <w:r w:rsidR="00951211">
        <w:rPr>
          <w:rFonts w:cs="Times New Roman"/>
          <w:lang w:val="fr-CA"/>
        </w:rPr>
        <w:t>.</w:t>
      </w:r>
    </w:p>
    <w:p w:rsidR="00810FD5" w:rsidRPr="00AA314A" w:rsidRDefault="00810FD5" w:rsidP="003223DD">
      <w:pPr>
        <w:pStyle w:val="ParaNoNdepar-AltN"/>
        <w:widowControl w:val="0"/>
        <w:ind w:left="0"/>
        <w:rPr>
          <w:rFonts w:cs="Times New Roman"/>
          <w:lang w:val="fr-CA"/>
        </w:rPr>
      </w:pPr>
      <w:r w:rsidRPr="00AA314A">
        <w:rPr>
          <w:rFonts w:cs="Times New Roman"/>
          <w:lang w:val="fr-CA"/>
        </w:rPr>
        <w:t>Monsieur Nadeau</w:t>
      </w:r>
      <w:r>
        <w:rPr>
          <w:rFonts w:cs="Times New Roman"/>
          <w:lang w:val="fr-CA"/>
        </w:rPr>
        <w:noBreakHyphen/>
      </w:r>
      <w:r w:rsidRPr="00AA314A">
        <w:rPr>
          <w:rFonts w:cs="Times New Roman"/>
          <w:lang w:val="fr-CA"/>
        </w:rPr>
        <w:t>Dubois est condamné à accomplir 120 heures de travaux communautaires dans un délai de six mois sous la supervision d</w:t>
      </w:r>
      <w:r>
        <w:rPr>
          <w:rFonts w:cs="Times New Roman"/>
          <w:lang w:val="fr-CA"/>
        </w:rPr>
        <w:t>’</w:t>
      </w:r>
      <w:r w:rsidRPr="00AA314A">
        <w:rPr>
          <w:rFonts w:cs="Times New Roman"/>
          <w:lang w:val="fr-CA"/>
        </w:rPr>
        <w:t>un agent de probation</w:t>
      </w:r>
      <w:r w:rsidRPr="00AA314A">
        <w:rPr>
          <w:rStyle w:val="FootnoteReference"/>
          <w:rFonts w:cs="Times New Roman"/>
          <w:lang w:val="fr-CA"/>
        </w:rPr>
        <w:footnoteReference w:id="8"/>
      </w:r>
      <w:r w:rsidR="00951211">
        <w:rPr>
          <w:rFonts w:cs="Times New Roman"/>
          <w:lang w:val="fr-CA"/>
        </w:rPr>
        <w:t>.</w:t>
      </w:r>
    </w:p>
    <w:p w:rsidR="00810FD5" w:rsidRPr="00AA314A" w:rsidRDefault="00810FD5" w:rsidP="003223DD">
      <w:pPr>
        <w:pStyle w:val="ParaNoNdepar-AltN"/>
        <w:widowControl w:val="0"/>
        <w:ind w:left="0"/>
        <w:rPr>
          <w:rFonts w:cs="Times New Roman"/>
          <w:b/>
          <w:lang w:val="fr-CA"/>
        </w:rPr>
      </w:pPr>
      <w:r w:rsidRPr="00AA314A">
        <w:rPr>
          <w:rFonts w:cs="Times New Roman"/>
          <w:lang w:val="fr-CA"/>
        </w:rPr>
        <w:t>Dans un arrêt unanime, la Cour d</w:t>
      </w:r>
      <w:r>
        <w:rPr>
          <w:rFonts w:cs="Times New Roman"/>
          <w:lang w:val="fr-CA"/>
        </w:rPr>
        <w:t>’</w:t>
      </w:r>
      <w:r w:rsidRPr="00AA314A">
        <w:rPr>
          <w:rFonts w:cs="Times New Roman"/>
          <w:lang w:val="fr-CA"/>
        </w:rPr>
        <w:t>appel du Québec accueille l</w:t>
      </w:r>
      <w:r>
        <w:rPr>
          <w:rFonts w:cs="Times New Roman"/>
          <w:lang w:val="fr-CA"/>
        </w:rPr>
        <w:t>’</w:t>
      </w:r>
      <w:r w:rsidRPr="00AA314A">
        <w:rPr>
          <w:rFonts w:cs="Times New Roman"/>
          <w:lang w:val="fr-CA"/>
        </w:rPr>
        <w:t>appel</w:t>
      </w:r>
      <w:r w:rsidRPr="00AA314A">
        <w:rPr>
          <w:rStyle w:val="FootnoteReference"/>
          <w:rFonts w:cs="Times New Roman"/>
          <w:lang w:val="fr-CA"/>
        </w:rPr>
        <w:footnoteReference w:id="9"/>
      </w:r>
      <w:r w:rsidR="00951211">
        <w:rPr>
          <w:rFonts w:cs="Times New Roman"/>
          <w:lang w:val="fr-CA"/>
        </w:rPr>
        <w:t>.</w:t>
      </w:r>
      <w:r w:rsidRPr="00AA314A">
        <w:rPr>
          <w:rFonts w:cs="Times New Roman"/>
          <w:lang w:val="fr-CA"/>
        </w:rPr>
        <w:t xml:space="preserve"> Au </w:t>
      </w:r>
      <w:r w:rsidRPr="00AA314A">
        <w:rPr>
          <w:rFonts w:cs="Times New Roman"/>
          <w:lang w:val="fr-CA"/>
        </w:rPr>
        <w:lastRenderedPageBreak/>
        <w:t xml:space="preserve">nom de la </w:t>
      </w:r>
      <w:r w:rsidR="00EC463E">
        <w:rPr>
          <w:rFonts w:cs="Times New Roman"/>
          <w:lang w:val="fr-CA"/>
        </w:rPr>
        <w:t>c</w:t>
      </w:r>
      <w:r w:rsidRPr="00AA314A">
        <w:rPr>
          <w:rFonts w:cs="Times New Roman"/>
          <w:lang w:val="fr-CA"/>
        </w:rPr>
        <w:t>our, le juge Dufresne conclut que les propos tenus pendant l</w:t>
      </w:r>
      <w:r>
        <w:rPr>
          <w:rFonts w:cs="Times New Roman"/>
          <w:lang w:val="fr-CA"/>
        </w:rPr>
        <w:t>’</w:t>
      </w:r>
      <w:r w:rsidRPr="00AA314A">
        <w:rPr>
          <w:rFonts w:cs="Times New Roman"/>
          <w:lang w:val="fr-CA"/>
        </w:rPr>
        <w:t>entrevue à la télévision ne permettent pas d</w:t>
      </w:r>
      <w:r>
        <w:rPr>
          <w:rFonts w:cs="Times New Roman"/>
          <w:lang w:val="fr-CA"/>
        </w:rPr>
        <w:t>’</w:t>
      </w:r>
      <w:r w:rsidRPr="00AA314A">
        <w:rPr>
          <w:rFonts w:cs="Times New Roman"/>
          <w:lang w:val="fr-CA"/>
        </w:rPr>
        <w:t>établir que M. Nadeau</w:t>
      </w:r>
      <w:r>
        <w:rPr>
          <w:rFonts w:cs="Times New Roman"/>
          <w:lang w:val="fr-CA"/>
        </w:rPr>
        <w:noBreakHyphen/>
      </w:r>
      <w:r w:rsidRPr="00AA314A">
        <w:rPr>
          <w:rFonts w:cs="Times New Roman"/>
          <w:lang w:val="fr-CA"/>
        </w:rPr>
        <w:t>Dubois connaissait l</w:t>
      </w:r>
      <w:r>
        <w:rPr>
          <w:rFonts w:cs="Times New Roman"/>
          <w:lang w:val="fr-CA"/>
        </w:rPr>
        <w:t>’</w:t>
      </w:r>
      <w:r w:rsidRPr="00AA314A">
        <w:rPr>
          <w:rFonts w:cs="Times New Roman"/>
          <w:lang w:val="fr-CA"/>
        </w:rPr>
        <w:t>existence et la teneur de l</w:t>
      </w:r>
      <w:r>
        <w:rPr>
          <w:rFonts w:cs="Times New Roman"/>
          <w:lang w:val="fr-CA"/>
        </w:rPr>
        <w:t>’</w:t>
      </w:r>
      <w:r w:rsidRPr="00AA314A">
        <w:rPr>
          <w:rFonts w:cs="Times New Roman"/>
          <w:lang w:val="fr-CA"/>
        </w:rPr>
        <w:t>ordonnance du juge Émond. La question à laquelle M. Nadeau</w:t>
      </w:r>
      <w:r>
        <w:rPr>
          <w:rFonts w:cs="Times New Roman"/>
          <w:lang w:val="fr-CA"/>
        </w:rPr>
        <w:noBreakHyphen/>
      </w:r>
      <w:r w:rsidRPr="00AA314A">
        <w:rPr>
          <w:rFonts w:cs="Times New Roman"/>
          <w:lang w:val="fr-CA"/>
        </w:rPr>
        <w:t>Dubois répondait en entrevue portait sur l</w:t>
      </w:r>
      <w:r>
        <w:rPr>
          <w:rFonts w:cs="Times New Roman"/>
          <w:lang w:val="fr-CA"/>
        </w:rPr>
        <w:t>’</w:t>
      </w:r>
      <w:r w:rsidRPr="00AA314A">
        <w:rPr>
          <w:rFonts w:cs="Times New Roman"/>
          <w:lang w:val="fr-CA"/>
        </w:rPr>
        <w:t>injonction prononcée contre un cégep, et non sur l</w:t>
      </w:r>
      <w:r>
        <w:rPr>
          <w:rFonts w:cs="Times New Roman"/>
          <w:lang w:val="fr-CA"/>
        </w:rPr>
        <w:t>’</w:t>
      </w:r>
      <w:r w:rsidRPr="00AA314A">
        <w:rPr>
          <w:rFonts w:cs="Times New Roman"/>
          <w:lang w:val="fr-CA"/>
        </w:rPr>
        <w:t>ordonnance rendue le 2 mai par le juge Émond contre l</w:t>
      </w:r>
      <w:r>
        <w:rPr>
          <w:rFonts w:cs="Times New Roman"/>
          <w:lang w:val="fr-CA"/>
        </w:rPr>
        <w:t>’</w:t>
      </w:r>
      <w:r w:rsidRPr="00AA314A">
        <w:rPr>
          <w:rFonts w:cs="Times New Roman"/>
          <w:lang w:val="fr-CA"/>
        </w:rPr>
        <w:t>Université Lav</w:t>
      </w:r>
      <w:r>
        <w:rPr>
          <w:rFonts w:cs="Times New Roman"/>
          <w:lang w:val="fr-CA"/>
        </w:rPr>
        <w:t>al. </w:t>
      </w:r>
      <w:r w:rsidRPr="00AA314A">
        <w:rPr>
          <w:rFonts w:cs="Times New Roman"/>
          <w:lang w:val="fr-CA"/>
        </w:rPr>
        <w:t>En outre, la référence générale de M. Nadeau</w:t>
      </w:r>
      <w:r>
        <w:rPr>
          <w:rFonts w:cs="Times New Roman"/>
          <w:lang w:val="fr-CA"/>
        </w:rPr>
        <w:noBreakHyphen/>
      </w:r>
      <w:r w:rsidRPr="00AA314A">
        <w:rPr>
          <w:rFonts w:cs="Times New Roman"/>
          <w:lang w:val="fr-CA"/>
        </w:rPr>
        <w:t>Dubois à « ces tentatives</w:t>
      </w:r>
      <w:r>
        <w:rPr>
          <w:rFonts w:cs="Times New Roman"/>
          <w:lang w:val="fr-CA"/>
        </w:rPr>
        <w:noBreakHyphen/>
      </w:r>
      <w:r w:rsidRPr="00AA314A">
        <w:rPr>
          <w:rFonts w:cs="Times New Roman"/>
          <w:lang w:val="fr-CA"/>
        </w:rPr>
        <w:t>là de forcer le retour en classe » ne permet pas d</w:t>
      </w:r>
      <w:r>
        <w:rPr>
          <w:rFonts w:cs="Times New Roman"/>
          <w:lang w:val="fr-CA"/>
        </w:rPr>
        <w:t>’</w:t>
      </w:r>
      <w:r w:rsidRPr="00AA314A">
        <w:rPr>
          <w:rFonts w:cs="Times New Roman"/>
          <w:lang w:val="fr-CA"/>
        </w:rPr>
        <w:t>inférer la connaissance de cette ordonnance en particulier.</w:t>
      </w:r>
    </w:p>
    <w:p w:rsidR="00810FD5" w:rsidRPr="00AA314A" w:rsidRDefault="00810FD5" w:rsidP="003223DD">
      <w:pPr>
        <w:pStyle w:val="ParaNoNdepar-AltN"/>
        <w:widowControl w:val="0"/>
        <w:ind w:left="0"/>
        <w:rPr>
          <w:rFonts w:cs="Times New Roman"/>
          <w:lang w:val="fr-CA"/>
        </w:rPr>
      </w:pPr>
      <w:r w:rsidRPr="00AA314A">
        <w:rPr>
          <w:rFonts w:cs="Times New Roman"/>
          <w:lang w:val="fr-CA"/>
        </w:rPr>
        <w:t>La Cour d</w:t>
      </w:r>
      <w:r>
        <w:rPr>
          <w:rFonts w:cs="Times New Roman"/>
          <w:lang w:val="fr-CA"/>
        </w:rPr>
        <w:t>’</w:t>
      </w:r>
      <w:r w:rsidRPr="00AA314A">
        <w:rPr>
          <w:rFonts w:cs="Times New Roman"/>
          <w:lang w:val="fr-CA"/>
        </w:rPr>
        <w:t>appel se dit d</w:t>
      </w:r>
      <w:r>
        <w:rPr>
          <w:rFonts w:cs="Times New Roman"/>
          <w:lang w:val="fr-CA"/>
        </w:rPr>
        <w:t>’</w:t>
      </w:r>
      <w:r w:rsidRPr="00AA314A">
        <w:rPr>
          <w:rFonts w:cs="Times New Roman"/>
          <w:lang w:val="fr-CA"/>
        </w:rPr>
        <w:t>accord avec le juge Jacques pour conclure que l</w:t>
      </w:r>
      <w:r>
        <w:rPr>
          <w:rFonts w:cs="Times New Roman"/>
          <w:lang w:val="fr-CA"/>
        </w:rPr>
        <w:t>’art. </w:t>
      </w:r>
      <w:r w:rsidRPr="00AA314A">
        <w:rPr>
          <w:rFonts w:cs="Times New Roman"/>
          <w:lang w:val="fr-CA"/>
        </w:rPr>
        <w:t>761 ne s</w:t>
      </w:r>
      <w:r>
        <w:rPr>
          <w:rFonts w:cs="Times New Roman"/>
          <w:lang w:val="fr-CA"/>
        </w:rPr>
        <w:t>’</w:t>
      </w:r>
      <w:r w:rsidRPr="00AA314A">
        <w:rPr>
          <w:rFonts w:cs="Times New Roman"/>
          <w:lang w:val="fr-CA"/>
        </w:rPr>
        <w:t>applique pas, puisque M. Nadeau</w:t>
      </w:r>
      <w:r>
        <w:rPr>
          <w:rFonts w:cs="Times New Roman"/>
          <w:lang w:val="fr-CA"/>
        </w:rPr>
        <w:noBreakHyphen/>
      </w:r>
      <w:r w:rsidRPr="00AA314A">
        <w:rPr>
          <w:rFonts w:cs="Times New Roman"/>
          <w:lang w:val="fr-CA"/>
        </w:rPr>
        <w:t>Dubois n</w:t>
      </w:r>
      <w:r>
        <w:rPr>
          <w:rFonts w:cs="Times New Roman"/>
          <w:lang w:val="fr-CA"/>
        </w:rPr>
        <w:t>’</w:t>
      </w:r>
      <w:r w:rsidRPr="00AA314A">
        <w:rPr>
          <w:rFonts w:cs="Times New Roman"/>
          <w:lang w:val="fr-CA"/>
        </w:rPr>
        <w:t>était ni nommé ni visé par l</w:t>
      </w:r>
      <w:r>
        <w:rPr>
          <w:rFonts w:cs="Times New Roman"/>
          <w:lang w:val="fr-CA"/>
        </w:rPr>
        <w:t>’</w:t>
      </w:r>
      <w:r w:rsidRPr="00AA314A">
        <w:rPr>
          <w:rFonts w:cs="Times New Roman"/>
          <w:lang w:val="fr-CA"/>
        </w:rPr>
        <w:t>injonction. La seule question à trancher est donc celle de savoir si M. Nadeau</w:t>
      </w:r>
      <w:r>
        <w:rPr>
          <w:rFonts w:cs="Times New Roman"/>
          <w:lang w:val="fr-CA"/>
        </w:rPr>
        <w:noBreakHyphen/>
      </w:r>
      <w:r w:rsidRPr="00AA314A">
        <w:rPr>
          <w:rFonts w:cs="Times New Roman"/>
          <w:lang w:val="fr-CA"/>
        </w:rPr>
        <w:t>Dubois est coupable en application du premier alinéa de l</w:t>
      </w:r>
      <w:r>
        <w:rPr>
          <w:rFonts w:cs="Times New Roman"/>
          <w:lang w:val="fr-CA"/>
        </w:rPr>
        <w:t>’art. </w:t>
      </w:r>
      <w:r w:rsidRPr="00AA314A">
        <w:rPr>
          <w:rFonts w:cs="Times New Roman"/>
          <w:lang w:val="fr-CA"/>
        </w:rPr>
        <w:t xml:space="preserve">50. La cour conclut que la </w:t>
      </w:r>
      <w:r w:rsidRPr="00AA314A">
        <w:rPr>
          <w:rFonts w:cs="Times New Roman"/>
          <w:i/>
          <w:lang w:val="fr-CA"/>
        </w:rPr>
        <w:t>mens rea</w:t>
      </w:r>
      <w:r w:rsidRPr="00AA314A">
        <w:rPr>
          <w:rFonts w:cs="Times New Roman"/>
          <w:lang w:val="fr-CA"/>
        </w:rPr>
        <w:t xml:space="preserve"> n</w:t>
      </w:r>
      <w:r>
        <w:rPr>
          <w:rFonts w:cs="Times New Roman"/>
          <w:lang w:val="fr-CA"/>
        </w:rPr>
        <w:t>’</w:t>
      </w:r>
      <w:r w:rsidRPr="00AA314A">
        <w:rPr>
          <w:rFonts w:cs="Times New Roman"/>
          <w:lang w:val="fr-CA"/>
        </w:rPr>
        <w:t>a pas été établie, puisqu</w:t>
      </w:r>
      <w:r>
        <w:rPr>
          <w:rFonts w:cs="Times New Roman"/>
          <w:lang w:val="fr-CA"/>
        </w:rPr>
        <w:t>’</w:t>
      </w:r>
      <w:r w:rsidRPr="00AA314A">
        <w:rPr>
          <w:rFonts w:cs="Times New Roman"/>
          <w:lang w:val="fr-CA"/>
        </w:rPr>
        <w:t>il n</w:t>
      </w:r>
      <w:r>
        <w:rPr>
          <w:rFonts w:cs="Times New Roman"/>
          <w:lang w:val="fr-CA"/>
        </w:rPr>
        <w:t>’</w:t>
      </w:r>
      <w:r w:rsidRPr="00AA314A">
        <w:rPr>
          <w:rFonts w:cs="Times New Roman"/>
          <w:lang w:val="fr-CA"/>
        </w:rPr>
        <w:t>a pas été prouvé hors de tout doute raisonnable que M. Nadeau</w:t>
      </w:r>
      <w:r>
        <w:rPr>
          <w:rFonts w:cs="Times New Roman"/>
          <w:lang w:val="fr-CA"/>
        </w:rPr>
        <w:noBreakHyphen/>
      </w:r>
      <w:r w:rsidRPr="00AA314A">
        <w:rPr>
          <w:rFonts w:cs="Times New Roman"/>
          <w:lang w:val="fr-CA"/>
        </w:rPr>
        <w:t>Dubois avait connaissance de l</w:t>
      </w:r>
      <w:r>
        <w:rPr>
          <w:rFonts w:cs="Times New Roman"/>
          <w:lang w:val="fr-CA"/>
        </w:rPr>
        <w:t>’</w:t>
      </w:r>
      <w:r w:rsidRPr="00AA314A">
        <w:rPr>
          <w:rFonts w:cs="Times New Roman"/>
          <w:lang w:val="fr-CA"/>
        </w:rPr>
        <w:t>injonction du 2 mai. Dans de telles circonstances, on ne peut imputer à M. Nadeau</w:t>
      </w:r>
      <w:r>
        <w:rPr>
          <w:rFonts w:cs="Times New Roman"/>
          <w:lang w:val="fr-CA"/>
        </w:rPr>
        <w:noBreakHyphen/>
      </w:r>
      <w:r w:rsidRPr="00AA314A">
        <w:rPr>
          <w:rFonts w:cs="Times New Roman"/>
          <w:lang w:val="fr-CA"/>
        </w:rPr>
        <w:t>Dubois une intention d</w:t>
      </w:r>
      <w:r>
        <w:rPr>
          <w:rFonts w:cs="Times New Roman"/>
          <w:lang w:val="fr-CA"/>
        </w:rPr>
        <w:t>’</w:t>
      </w:r>
      <w:r w:rsidRPr="00AA314A">
        <w:rPr>
          <w:rFonts w:cs="Times New Roman"/>
          <w:lang w:val="fr-CA"/>
        </w:rPr>
        <w:t>inciter d</w:t>
      </w:r>
      <w:r>
        <w:rPr>
          <w:rFonts w:cs="Times New Roman"/>
          <w:lang w:val="fr-CA"/>
        </w:rPr>
        <w:t>’</w:t>
      </w:r>
      <w:r w:rsidRPr="00AA314A">
        <w:rPr>
          <w:rFonts w:cs="Times New Roman"/>
          <w:lang w:val="fr-CA"/>
        </w:rPr>
        <w:t>autres personnes à violer une ordonnance dont il n</w:t>
      </w:r>
      <w:r>
        <w:rPr>
          <w:rFonts w:cs="Times New Roman"/>
          <w:lang w:val="fr-CA"/>
        </w:rPr>
        <w:t>’</w:t>
      </w:r>
      <w:r w:rsidRPr="00AA314A">
        <w:rPr>
          <w:rFonts w:cs="Times New Roman"/>
          <w:lang w:val="fr-CA"/>
        </w:rPr>
        <w:t>avait pas connaissance. Quant à l</w:t>
      </w:r>
      <w:r>
        <w:rPr>
          <w:rFonts w:cs="Times New Roman"/>
          <w:lang w:val="fr-CA"/>
        </w:rPr>
        <w:t>’</w:t>
      </w:r>
      <w:r w:rsidRPr="00AA314A">
        <w:rPr>
          <w:rFonts w:cs="Times New Roman"/>
          <w:i/>
          <w:lang w:val="fr-CA"/>
        </w:rPr>
        <w:t>actus reus</w:t>
      </w:r>
      <w:r w:rsidRPr="00AA314A">
        <w:rPr>
          <w:rFonts w:cs="Times New Roman"/>
          <w:lang w:val="fr-CA"/>
        </w:rPr>
        <w:t>, la cour conclut que, de toute façon, les paroles prononcées étaient ambiguës, si bien qu</w:t>
      </w:r>
      <w:r>
        <w:rPr>
          <w:rFonts w:cs="Times New Roman"/>
          <w:lang w:val="fr-CA"/>
        </w:rPr>
        <w:t>’</w:t>
      </w:r>
      <w:r w:rsidRPr="00AA314A">
        <w:rPr>
          <w:rFonts w:cs="Times New Roman"/>
          <w:lang w:val="fr-CA"/>
        </w:rPr>
        <w:t>elle ne peut conclure hors de tout doute raisonnable que ces paroles ont incité ou encouragé quiconque à violer l</w:t>
      </w:r>
      <w:r>
        <w:rPr>
          <w:rFonts w:cs="Times New Roman"/>
          <w:lang w:val="fr-CA"/>
        </w:rPr>
        <w:t>’</w:t>
      </w:r>
      <w:r w:rsidRPr="00AA314A">
        <w:rPr>
          <w:rFonts w:cs="Times New Roman"/>
          <w:lang w:val="fr-CA"/>
        </w:rPr>
        <w:t>injonction. La cour annule donc la déclaration de culpabilité ainsi que la peine et prononce un verdict d</w:t>
      </w:r>
      <w:r>
        <w:rPr>
          <w:rFonts w:cs="Times New Roman"/>
          <w:lang w:val="fr-CA"/>
        </w:rPr>
        <w:t>’</w:t>
      </w:r>
      <w:r w:rsidRPr="00AA314A">
        <w:rPr>
          <w:rFonts w:cs="Times New Roman"/>
          <w:lang w:val="fr-CA"/>
        </w:rPr>
        <w:t>acquittement.</w:t>
      </w:r>
    </w:p>
    <w:p w:rsidR="00810FD5" w:rsidRPr="00AA314A" w:rsidRDefault="00810FD5" w:rsidP="003223DD">
      <w:pPr>
        <w:pStyle w:val="ParaNoNdepar-AltN"/>
        <w:widowControl w:val="0"/>
        <w:ind w:left="0"/>
        <w:rPr>
          <w:rFonts w:cs="Times New Roman"/>
          <w:lang w:val="fr-CA"/>
        </w:rPr>
      </w:pPr>
      <w:r w:rsidRPr="00AA314A">
        <w:rPr>
          <w:rFonts w:eastAsia="Times New Roman" w:cs="Times New Roman"/>
          <w:szCs w:val="24"/>
          <w:lang w:val="fr-CA" w:eastAsia="en-CA"/>
        </w:rPr>
        <w:t>Nous souscrivons aux conclusions de la Cour d</w:t>
      </w:r>
      <w:r>
        <w:rPr>
          <w:rFonts w:eastAsia="Times New Roman" w:cs="Times New Roman"/>
          <w:szCs w:val="24"/>
          <w:lang w:val="fr-CA" w:eastAsia="en-CA"/>
        </w:rPr>
        <w:t>’</w:t>
      </w:r>
      <w:r w:rsidRPr="00AA314A">
        <w:rPr>
          <w:rFonts w:eastAsia="Times New Roman" w:cs="Times New Roman"/>
          <w:szCs w:val="24"/>
          <w:lang w:val="fr-CA" w:eastAsia="en-CA"/>
        </w:rPr>
        <w:t>appel. Le juge Jacques a commis des erreurs de droit de même que des erreurs manifestes et déterminantes qui justifiaient l</w:t>
      </w:r>
      <w:r>
        <w:rPr>
          <w:rFonts w:eastAsia="Times New Roman" w:cs="Times New Roman"/>
          <w:szCs w:val="24"/>
          <w:lang w:val="fr-CA" w:eastAsia="en-CA"/>
        </w:rPr>
        <w:t>’</w:t>
      </w:r>
      <w:r w:rsidRPr="00AA314A">
        <w:rPr>
          <w:rFonts w:eastAsia="Times New Roman" w:cs="Times New Roman"/>
          <w:szCs w:val="24"/>
          <w:lang w:val="fr-CA" w:eastAsia="en-CA"/>
        </w:rPr>
        <w:t>intervention de la Cour d</w:t>
      </w:r>
      <w:r>
        <w:rPr>
          <w:rFonts w:eastAsia="Times New Roman" w:cs="Times New Roman"/>
          <w:szCs w:val="24"/>
          <w:lang w:val="fr-CA" w:eastAsia="en-CA"/>
        </w:rPr>
        <w:t>’</w:t>
      </w:r>
      <w:r w:rsidRPr="00AA314A">
        <w:rPr>
          <w:rFonts w:eastAsia="Times New Roman" w:cs="Times New Roman"/>
          <w:szCs w:val="24"/>
          <w:lang w:val="fr-CA" w:eastAsia="en-CA"/>
        </w:rPr>
        <w:t xml:space="preserve">appel. Pour les motifs qui suivent, nous sommes </w:t>
      </w:r>
      <w:r w:rsidRPr="00AA314A">
        <w:rPr>
          <w:rFonts w:eastAsia="Times New Roman" w:cs="Times New Roman"/>
          <w:szCs w:val="24"/>
          <w:lang w:val="fr-CA" w:eastAsia="en-CA"/>
        </w:rPr>
        <w:lastRenderedPageBreak/>
        <w:t>d</w:t>
      </w:r>
      <w:r>
        <w:rPr>
          <w:rFonts w:eastAsia="Times New Roman" w:cs="Times New Roman"/>
          <w:szCs w:val="24"/>
          <w:lang w:val="fr-CA" w:eastAsia="en-CA"/>
        </w:rPr>
        <w:t>’</w:t>
      </w:r>
      <w:r w:rsidRPr="00AA314A">
        <w:rPr>
          <w:rFonts w:eastAsia="Times New Roman" w:cs="Times New Roman"/>
          <w:szCs w:val="24"/>
          <w:lang w:val="fr-CA" w:eastAsia="en-CA"/>
        </w:rPr>
        <w:t>avis de rejeter le pourvoi.</w:t>
      </w:r>
    </w:p>
    <w:p w:rsidR="00810FD5" w:rsidRPr="00AA314A" w:rsidRDefault="00810FD5" w:rsidP="003223DD">
      <w:pPr>
        <w:pStyle w:val="TitleTitre-AltT"/>
        <w:widowControl w:val="0"/>
        <w:rPr>
          <w:rFonts w:cs="Times New Roman"/>
          <w:u w:val="single"/>
          <w:lang w:val="fr-CA"/>
        </w:rPr>
      </w:pPr>
      <w:r w:rsidRPr="00AA314A">
        <w:rPr>
          <w:rFonts w:cs="Times New Roman"/>
          <w:u w:val="single"/>
          <w:lang w:val="fr-CA"/>
        </w:rPr>
        <w:t>Analyse</w:t>
      </w:r>
    </w:p>
    <w:p w:rsidR="00810FD5" w:rsidRPr="00AA314A" w:rsidRDefault="00810FD5" w:rsidP="003223DD">
      <w:pPr>
        <w:pStyle w:val="ParaNoNdepar-AltN"/>
        <w:widowControl w:val="0"/>
        <w:ind w:left="0"/>
        <w:rPr>
          <w:rFonts w:cs="Times New Roman"/>
          <w:b/>
          <w:lang w:val="fr-CA"/>
        </w:rPr>
      </w:pPr>
      <w:r w:rsidRPr="00AA314A">
        <w:rPr>
          <w:rFonts w:eastAsia="Times New Roman" w:cs="Times New Roman"/>
          <w:bCs/>
          <w:szCs w:val="24"/>
          <w:lang w:val="fr-CA" w:eastAsia="en-CA"/>
        </w:rPr>
        <w:t>Au Québec, le pouvoir de déclarer une personne coupable d</w:t>
      </w:r>
      <w:r>
        <w:rPr>
          <w:rFonts w:eastAsia="Times New Roman" w:cs="Times New Roman"/>
          <w:bCs/>
          <w:szCs w:val="24"/>
          <w:lang w:val="fr-CA" w:eastAsia="en-CA"/>
        </w:rPr>
        <w:t>’</w:t>
      </w:r>
      <w:r w:rsidRPr="00AA314A">
        <w:rPr>
          <w:rFonts w:eastAsia="Times New Roman" w:cs="Times New Roman"/>
          <w:bCs/>
          <w:szCs w:val="24"/>
          <w:lang w:val="fr-CA" w:eastAsia="en-CA"/>
        </w:rPr>
        <w:t>outrage au tribunal en est un d</w:t>
      </w:r>
      <w:r>
        <w:rPr>
          <w:rFonts w:eastAsia="Times New Roman" w:cs="Times New Roman"/>
          <w:bCs/>
          <w:szCs w:val="24"/>
          <w:lang w:val="fr-CA" w:eastAsia="en-CA"/>
        </w:rPr>
        <w:t>’</w:t>
      </w:r>
      <w:r w:rsidRPr="00AA314A">
        <w:rPr>
          <w:rFonts w:eastAsia="Times New Roman" w:cs="Times New Roman"/>
          <w:bCs/>
          <w:szCs w:val="24"/>
          <w:lang w:val="fr-CA" w:eastAsia="en-CA"/>
        </w:rPr>
        <w:t>exception. Les tribunaux ont toujours refusé de l</w:t>
      </w:r>
      <w:r>
        <w:rPr>
          <w:rFonts w:eastAsia="Times New Roman" w:cs="Times New Roman"/>
          <w:bCs/>
          <w:szCs w:val="24"/>
          <w:lang w:val="fr-CA" w:eastAsia="en-CA"/>
        </w:rPr>
        <w:t>’</w:t>
      </w:r>
      <w:r w:rsidRPr="00AA314A">
        <w:rPr>
          <w:rFonts w:eastAsia="Times New Roman" w:cs="Times New Roman"/>
          <w:bCs/>
          <w:szCs w:val="24"/>
          <w:lang w:val="fr-CA" w:eastAsia="en-CA"/>
        </w:rPr>
        <w:t>exercer de façon routinière pour faire respecter des ordonnances judiciaires. En somme, il s</w:t>
      </w:r>
      <w:r>
        <w:rPr>
          <w:rFonts w:eastAsia="Times New Roman" w:cs="Times New Roman"/>
          <w:bCs/>
          <w:szCs w:val="24"/>
          <w:lang w:val="fr-CA" w:eastAsia="en-CA"/>
        </w:rPr>
        <w:t>’</w:t>
      </w:r>
      <w:r w:rsidRPr="00AA314A">
        <w:rPr>
          <w:rFonts w:eastAsia="Times New Roman" w:cs="Times New Roman"/>
          <w:bCs/>
          <w:szCs w:val="24"/>
          <w:lang w:val="fr-CA" w:eastAsia="en-CA"/>
        </w:rPr>
        <w:t>agit d</w:t>
      </w:r>
      <w:r>
        <w:rPr>
          <w:rFonts w:eastAsia="Times New Roman" w:cs="Times New Roman"/>
          <w:bCs/>
          <w:szCs w:val="24"/>
          <w:lang w:val="fr-CA" w:eastAsia="en-CA"/>
        </w:rPr>
        <w:t>’</w:t>
      </w:r>
      <w:r w:rsidRPr="00AA314A">
        <w:rPr>
          <w:rFonts w:eastAsia="Times New Roman" w:cs="Times New Roman"/>
          <w:bCs/>
          <w:szCs w:val="24"/>
          <w:lang w:val="fr-CA" w:eastAsia="en-CA"/>
        </w:rPr>
        <w:t>un pouvoir qui ne doit être exercé qu</w:t>
      </w:r>
      <w:r>
        <w:rPr>
          <w:rFonts w:eastAsia="Times New Roman" w:cs="Times New Roman"/>
          <w:bCs/>
          <w:szCs w:val="24"/>
          <w:lang w:val="fr-CA" w:eastAsia="en-CA"/>
        </w:rPr>
        <w:t>’</w:t>
      </w:r>
      <w:r w:rsidRPr="00AA314A">
        <w:rPr>
          <w:rFonts w:eastAsia="Times New Roman" w:cs="Times New Roman"/>
          <w:bCs/>
          <w:szCs w:val="24"/>
          <w:lang w:val="fr-CA" w:eastAsia="en-CA"/>
        </w:rPr>
        <w:t>en dernier recours</w:t>
      </w:r>
      <w:r>
        <w:rPr>
          <w:rFonts w:eastAsia="Times New Roman" w:cs="Times New Roman"/>
          <w:bCs/>
          <w:szCs w:val="24"/>
          <w:lang w:val="fr-CA" w:eastAsia="en-CA"/>
        </w:rPr>
        <w:t> :</w:t>
      </w:r>
      <w:r w:rsidRPr="00AA314A">
        <w:rPr>
          <w:rFonts w:eastAsia="Times New Roman" w:cs="Times New Roman"/>
          <w:bCs/>
          <w:szCs w:val="24"/>
          <w:lang w:val="fr-CA" w:eastAsia="en-CA"/>
        </w:rPr>
        <w:t xml:space="preserve"> </w:t>
      </w:r>
      <w:r w:rsidRPr="00AA314A">
        <w:rPr>
          <w:rFonts w:eastAsia="Times New Roman" w:cs="Times New Roman"/>
          <w:bCs/>
          <w:i/>
          <w:szCs w:val="24"/>
          <w:lang w:val="fr-CA" w:eastAsia="en-CA"/>
        </w:rPr>
        <w:t>Caron c. Paul Albert Chevrolet Buick Cadillac inc.</w:t>
      </w:r>
      <w:r w:rsidRPr="00AA314A">
        <w:rPr>
          <w:rFonts w:eastAsia="Times New Roman" w:cs="Times New Roman"/>
          <w:bCs/>
          <w:szCs w:val="24"/>
          <w:lang w:val="fr-CA" w:eastAsia="en-CA"/>
        </w:rPr>
        <w:t xml:space="preserve">, 2016 QCCA 564, </w:t>
      </w:r>
      <w:r>
        <w:rPr>
          <w:rFonts w:eastAsia="Times New Roman" w:cs="Times New Roman"/>
          <w:bCs/>
          <w:szCs w:val="24"/>
          <w:lang w:val="fr-CA" w:eastAsia="en-CA"/>
        </w:rPr>
        <w:t>par. </w:t>
      </w:r>
      <w:r w:rsidRPr="00AA314A">
        <w:rPr>
          <w:rFonts w:eastAsia="Times New Roman" w:cs="Times New Roman"/>
          <w:bCs/>
          <w:szCs w:val="24"/>
          <w:lang w:val="fr-CA" w:eastAsia="en-CA"/>
        </w:rPr>
        <w:t>25</w:t>
      </w:r>
      <w:r>
        <w:rPr>
          <w:rFonts w:eastAsia="Times New Roman" w:cs="Times New Roman"/>
          <w:bCs/>
          <w:szCs w:val="24"/>
          <w:lang w:val="fr-CA" w:eastAsia="en-CA"/>
        </w:rPr>
        <w:noBreakHyphen/>
      </w:r>
      <w:r w:rsidRPr="00AA314A">
        <w:rPr>
          <w:rFonts w:eastAsia="Times New Roman" w:cs="Times New Roman"/>
          <w:bCs/>
          <w:szCs w:val="24"/>
          <w:lang w:val="fr-CA" w:eastAsia="en-CA"/>
        </w:rPr>
        <w:t>26 (CanLII),</w:t>
      </w:r>
      <w:r w:rsidRPr="00AA314A">
        <w:rPr>
          <w:rFonts w:eastAsia="Times New Roman" w:cs="Times New Roman"/>
          <w:bCs/>
          <w:i/>
          <w:szCs w:val="24"/>
          <w:lang w:val="fr-CA" w:eastAsia="en-CA"/>
        </w:rPr>
        <w:t xml:space="preserve"> </w:t>
      </w:r>
      <w:r w:rsidRPr="00AA314A">
        <w:rPr>
          <w:rFonts w:eastAsia="Times New Roman" w:cs="Times New Roman"/>
          <w:bCs/>
          <w:szCs w:val="24"/>
          <w:lang w:val="fr-CA" w:eastAsia="en-CA"/>
        </w:rPr>
        <w:t xml:space="preserve">citant </w:t>
      </w:r>
      <w:r w:rsidRPr="00AA314A">
        <w:rPr>
          <w:rFonts w:eastAsia="Times New Roman" w:cs="Times New Roman"/>
          <w:bCs/>
          <w:i/>
          <w:szCs w:val="24"/>
          <w:lang w:val="fr-CA" w:eastAsia="en-CA"/>
        </w:rPr>
        <w:t>Carey</w:t>
      </w:r>
      <w:r w:rsidRPr="00AA314A">
        <w:rPr>
          <w:rFonts w:eastAsia="Times New Roman" w:cs="Times New Roman"/>
          <w:i/>
          <w:szCs w:val="24"/>
          <w:lang w:val="fr-CA" w:eastAsia="en-CA"/>
        </w:rPr>
        <w:t xml:space="preserve"> </w:t>
      </w:r>
      <w:r w:rsidRPr="00AA314A">
        <w:rPr>
          <w:rFonts w:eastAsia="Times New Roman" w:cs="Times New Roman"/>
          <w:bCs/>
          <w:i/>
          <w:szCs w:val="24"/>
          <w:lang w:val="fr-CA" w:eastAsia="en-CA"/>
        </w:rPr>
        <w:t>c. Laiken</w:t>
      </w:r>
      <w:r w:rsidRPr="00AA314A">
        <w:rPr>
          <w:rFonts w:eastAsia="Times New Roman" w:cs="Times New Roman"/>
          <w:bCs/>
          <w:szCs w:val="24"/>
          <w:lang w:val="fr-CA" w:eastAsia="en-CA"/>
        </w:rPr>
        <w:t>, [2015] 2 R.C.S</w:t>
      </w:r>
      <w:r w:rsidR="00951211">
        <w:rPr>
          <w:rFonts w:eastAsia="Times New Roman" w:cs="Times New Roman"/>
          <w:bCs/>
          <w:szCs w:val="24"/>
          <w:lang w:val="fr-CA" w:eastAsia="en-CA"/>
        </w:rPr>
        <w:t>.</w:t>
      </w:r>
      <w:r w:rsidRPr="00AA314A">
        <w:rPr>
          <w:rFonts w:eastAsia="Times New Roman" w:cs="Times New Roman"/>
          <w:bCs/>
          <w:szCs w:val="24"/>
          <w:lang w:val="fr-CA" w:eastAsia="en-CA"/>
        </w:rPr>
        <w:t xml:space="preserve"> 79, </w:t>
      </w:r>
      <w:r>
        <w:rPr>
          <w:rFonts w:eastAsia="Times New Roman" w:cs="Times New Roman"/>
          <w:bCs/>
          <w:szCs w:val="24"/>
          <w:lang w:val="fr-CA" w:eastAsia="en-CA"/>
        </w:rPr>
        <w:t>par. </w:t>
      </w:r>
      <w:r w:rsidRPr="00AA314A">
        <w:rPr>
          <w:rFonts w:eastAsia="Times New Roman" w:cs="Times New Roman"/>
          <w:bCs/>
          <w:szCs w:val="24"/>
          <w:lang w:val="fr-CA" w:eastAsia="en-CA"/>
        </w:rPr>
        <w:t xml:space="preserve">36; </w:t>
      </w:r>
      <w:r w:rsidRPr="00AA314A">
        <w:rPr>
          <w:rFonts w:eastAsia="Times New Roman" w:cs="Times New Roman"/>
          <w:bCs/>
          <w:i/>
          <w:szCs w:val="24"/>
          <w:lang w:val="fr-CA" w:eastAsia="en-CA"/>
        </w:rPr>
        <w:t>Centre commercial Les Rivières ltée c. Jean bleu inc.</w:t>
      </w:r>
      <w:r w:rsidRPr="00AA314A">
        <w:rPr>
          <w:rFonts w:eastAsia="Times New Roman" w:cs="Times New Roman"/>
          <w:bCs/>
          <w:szCs w:val="24"/>
          <w:lang w:val="fr-CA" w:eastAsia="en-CA"/>
        </w:rPr>
        <w:t>,</w:t>
      </w:r>
      <w:r w:rsidRPr="00AA314A">
        <w:rPr>
          <w:rFonts w:eastAsia="Times New Roman" w:cs="Times New Roman"/>
          <w:bCs/>
          <w:i/>
          <w:szCs w:val="24"/>
          <w:lang w:val="fr-CA" w:eastAsia="en-CA"/>
        </w:rPr>
        <w:t xml:space="preserve"> </w:t>
      </w:r>
      <w:r w:rsidRPr="00AA314A">
        <w:rPr>
          <w:rFonts w:eastAsia="Times New Roman" w:cs="Times New Roman"/>
          <w:bCs/>
          <w:szCs w:val="24"/>
          <w:lang w:val="fr-CA" w:eastAsia="en-CA"/>
        </w:rPr>
        <w:t xml:space="preserve">2012 QCCA 1663, </w:t>
      </w:r>
      <w:r>
        <w:rPr>
          <w:rFonts w:eastAsia="Times New Roman" w:cs="Times New Roman"/>
          <w:bCs/>
          <w:szCs w:val="24"/>
          <w:lang w:val="fr-CA" w:eastAsia="en-CA"/>
        </w:rPr>
        <w:t>par. </w:t>
      </w:r>
      <w:r w:rsidRPr="00AA314A">
        <w:rPr>
          <w:rFonts w:eastAsia="Times New Roman" w:cs="Times New Roman"/>
          <w:bCs/>
          <w:szCs w:val="24"/>
          <w:lang w:val="fr-CA" w:eastAsia="en-CA"/>
        </w:rPr>
        <w:t>7</w:t>
      </w:r>
      <w:r>
        <w:rPr>
          <w:rFonts w:eastAsia="Times New Roman" w:cs="Times New Roman"/>
          <w:bCs/>
          <w:szCs w:val="24"/>
          <w:lang w:val="fr-CA" w:eastAsia="en-CA"/>
        </w:rPr>
        <w:noBreakHyphen/>
      </w:r>
      <w:r w:rsidRPr="00AA314A">
        <w:rPr>
          <w:rFonts w:eastAsia="Times New Roman" w:cs="Times New Roman"/>
          <w:bCs/>
          <w:szCs w:val="24"/>
          <w:lang w:val="fr-CA" w:eastAsia="en-CA"/>
        </w:rPr>
        <w:t>8 (CanLII).</w:t>
      </w:r>
    </w:p>
    <w:p w:rsidR="00810FD5" w:rsidRPr="00AA314A" w:rsidRDefault="00810FD5" w:rsidP="003223DD">
      <w:pPr>
        <w:pStyle w:val="ParaNoNdepar-AltN"/>
        <w:widowControl w:val="0"/>
        <w:ind w:left="0"/>
        <w:rPr>
          <w:rFonts w:cs="Times New Roman"/>
          <w:b/>
          <w:lang w:val="fr-CA"/>
        </w:rPr>
      </w:pPr>
      <w:r w:rsidRPr="00AA314A">
        <w:rPr>
          <w:rFonts w:eastAsia="Times New Roman" w:cs="Times New Roman"/>
          <w:bCs/>
          <w:szCs w:val="24"/>
          <w:lang w:val="fr-CA" w:eastAsia="en-CA"/>
        </w:rPr>
        <w:t>L</w:t>
      </w:r>
      <w:r>
        <w:rPr>
          <w:rFonts w:eastAsia="Times New Roman" w:cs="Times New Roman"/>
          <w:bCs/>
          <w:szCs w:val="24"/>
          <w:lang w:val="fr-CA" w:eastAsia="en-CA"/>
        </w:rPr>
        <w:t>’</w:t>
      </w:r>
      <w:r w:rsidRPr="00AA314A">
        <w:rPr>
          <w:rFonts w:eastAsia="Times New Roman" w:cs="Times New Roman"/>
          <w:bCs/>
          <w:szCs w:val="24"/>
          <w:lang w:val="fr-CA" w:eastAsia="en-CA"/>
        </w:rPr>
        <w:t>outrage au tribunal est la seule procédure civile au Québec qui peut donner lieu à une peine d</w:t>
      </w:r>
      <w:r>
        <w:rPr>
          <w:rFonts w:eastAsia="Times New Roman" w:cs="Times New Roman"/>
          <w:bCs/>
          <w:szCs w:val="24"/>
          <w:lang w:val="fr-CA" w:eastAsia="en-CA"/>
        </w:rPr>
        <w:t>’</w:t>
      </w:r>
      <w:r w:rsidRPr="00AA314A">
        <w:rPr>
          <w:rFonts w:eastAsia="Times New Roman" w:cs="Times New Roman"/>
          <w:bCs/>
          <w:szCs w:val="24"/>
          <w:lang w:val="fr-CA" w:eastAsia="en-CA"/>
        </w:rPr>
        <w:t>emprisonnement</w:t>
      </w:r>
      <w:r>
        <w:rPr>
          <w:rFonts w:eastAsia="Times New Roman" w:cs="Times New Roman"/>
          <w:bCs/>
          <w:szCs w:val="24"/>
          <w:lang w:val="fr-CA" w:eastAsia="en-CA"/>
        </w:rPr>
        <w:t> :</w:t>
      </w:r>
      <w:r w:rsidRPr="00AA314A">
        <w:rPr>
          <w:rFonts w:eastAsia="Times New Roman" w:cs="Times New Roman"/>
          <w:bCs/>
          <w:szCs w:val="24"/>
          <w:lang w:val="fr-CA" w:eastAsia="en-CA"/>
        </w:rPr>
        <w:t xml:space="preserve"> </w:t>
      </w:r>
      <w:r w:rsidRPr="00AA314A">
        <w:rPr>
          <w:rFonts w:eastAsia="Times New Roman" w:cs="Times New Roman"/>
          <w:bCs/>
          <w:i/>
          <w:szCs w:val="24"/>
          <w:lang w:val="fr-CA" w:eastAsia="en-CA"/>
        </w:rPr>
        <w:t>Vidéotron Ltée c. Industries Microlec Produits Électroniques Inc.</w:t>
      </w:r>
      <w:r w:rsidRPr="00AA314A">
        <w:rPr>
          <w:rFonts w:eastAsia="Times New Roman" w:cs="Times New Roman"/>
          <w:bCs/>
          <w:szCs w:val="24"/>
          <w:lang w:val="fr-CA" w:eastAsia="en-CA"/>
        </w:rPr>
        <w:t>,</w:t>
      </w:r>
      <w:r w:rsidRPr="00AA314A">
        <w:rPr>
          <w:rFonts w:eastAsia="Times New Roman" w:cs="Times New Roman"/>
          <w:bCs/>
          <w:i/>
          <w:szCs w:val="24"/>
          <w:lang w:val="fr-CA" w:eastAsia="en-CA"/>
        </w:rPr>
        <w:t xml:space="preserve"> </w:t>
      </w:r>
      <w:r w:rsidRPr="00AA314A">
        <w:rPr>
          <w:rFonts w:eastAsia="Times New Roman" w:cs="Times New Roman"/>
          <w:bCs/>
          <w:szCs w:val="24"/>
          <w:lang w:val="fr-CA" w:eastAsia="en-CA"/>
        </w:rPr>
        <w:t xml:space="preserve">[1992] 2 R.C.S. 1065, </w:t>
      </w:r>
      <w:r>
        <w:rPr>
          <w:rFonts w:eastAsia="Times New Roman" w:cs="Times New Roman"/>
          <w:bCs/>
          <w:szCs w:val="24"/>
          <w:lang w:val="fr-CA" w:eastAsia="en-CA"/>
        </w:rPr>
        <w:t>p. </w:t>
      </w:r>
      <w:r w:rsidRPr="00AA314A">
        <w:rPr>
          <w:rFonts w:eastAsia="Times New Roman" w:cs="Times New Roman"/>
          <w:bCs/>
          <w:szCs w:val="24"/>
          <w:lang w:val="fr-CA" w:eastAsia="en-CA"/>
        </w:rPr>
        <w:t>1076; article premier du</w:t>
      </w:r>
      <w:r w:rsidRPr="00AA314A">
        <w:rPr>
          <w:rFonts w:eastAsia="Calibri" w:cs="Times New Roman"/>
          <w:lang w:val="fr-CA"/>
        </w:rPr>
        <w:t xml:space="preserve"> </w:t>
      </w:r>
      <w:r w:rsidRPr="00AA314A">
        <w:rPr>
          <w:rFonts w:eastAsia="Calibri" w:cs="Times New Roman"/>
          <w:i/>
          <w:lang w:val="fr-CA"/>
        </w:rPr>
        <w:t>Code de procédure civile</w:t>
      </w:r>
      <w:r w:rsidRPr="00AA314A">
        <w:rPr>
          <w:rFonts w:eastAsia="Calibri" w:cs="Times New Roman"/>
          <w:lang w:val="fr-CA"/>
        </w:rPr>
        <w:t xml:space="preserve">; </w:t>
      </w:r>
      <w:r>
        <w:rPr>
          <w:rFonts w:eastAsia="Times New Roman" w:cs="Times New Roman"/>
          <w:bCs/>
          <w:szCs w:val="24"/>
          <w:lang w:val="fr-CA" w:eastAsia="en-CA"/>
        </w:rPr>
        <w:t>art. </w:t>
      </w:r>
      <w:r w:rsidRPr="00AA314A">
        <w:rPr>
          <w:rFonts w:eastAsia="Times New Roman" w:cs="Times New Roman"/>
          <w:bCs/>
          <w:szCs w:val="24"/>
          <w:lang w:val="fr-CA" w:eastAsia="en-CA"/>
        </w:rPr>
        <w:t xml:space="preserve">62 du nouveau </w:t>
      </w:r>
      <w:r w:rsidRPr="00AA314A">
        <w:rPr>
          <w:rFonts w:eastAsia="Times New Roman" w:cs="Times New Roman"/>
          <w:bCs/>
          <w:i/>
          <w:szCs w:val="24"/>
          <w:lang w:val="fr-CA" w:eastAsia="en-CA"/>
        </w:rPr>
        <w:t>Code de procédure civile</w:t>
      </w:r>
      <w:r w:rsidRPr="00AA314A">
        <w:rPr>
          <w:rFonts w:eastAsia="Times New Roman" w:cs="Times New Roman"/>
          <w:bCs/>
          <w:szCs w:val="24"/>
          <w:lang w:val="fr-CA" w:eastAsia="en-CA"/>
        </w:rPr>
        <w:t xml:space="preserve">, </w:t>
      </w:r>
      <w:r w:rsidRPr="00AA314A">
        <w:rPr>
          <w:rFonts w:cs="Times New Roman"/>
          <w:lang w:val="fr-CA"/>
        </w:rPr>
        <w:t>RLR</w:t>
      </w:r>
      <w:r w:rsidR="00EC463E" w:rsidRPr="00AA314A">
        <w:rPr>
          <w:rFonts w:cs="Times New Roman"/>
          <w:lang w:val="fr-CA"/>
        </w:rPr>
        <w:t>Q</w:t>
      </w:r>
      <w:r w:rsidRPr="00AA314A">
        <w:rPr>
          <w:rFonts w:cs="Times New Roman"/>
          <w:lang w:val="fr-CA"/>
        </w:rPr>
        <w:t xml:space="preserve">, </w:t>
      </w:r>
      <w:r>
        <w:rPr>
          <w:rFonts w:cs="Times New Roman"/>
          <w:lang w:val="fr-CA"/>
        </w:rPr>
        <w:t>c. </w:t>
      </w:r>
      <w:r w:rsidRPr="00AA314A">
        <w:rPr>
          <w:rFonts w:cs="Times New Roman"/>
          <w:lang w:val="fr-CA"/>
        </w:rPr>
        <w:t>C</w:t>
      </w:r>
      <w:r>
        <w:rPr>
          <w:rFonts w:cs="Times New Roman"/>
          <w:lang w:val="fr-CA"/>
        </w:rPr>
        <w:noBreakHyphen/>
      </w:r>
      <w:r w:rsidRPr="00AA314A">
        <w:rPr>
          <w:rFonts w:cs="Times New Roman"/>
          <w:lang w:val="fr-CA"/>
        </w:rPr>
        <w:t>25.01, entré en vigueur le 1</w:t>
      </w:r>
      <w:r w:rsidRPr="00AA314A">
        <w:rPr>
          <w:rFonts w:cs="Times New Roman"/>
          <w:vertAlign w:val="superscript"/>
          <w:lang w:val="fr-CA"/>
        </w:rPr>
        <w:t>er</w:t>
      </w:r>
      <w:r w:rsidRPr="00AA314A">
        <w:rPr>
          <w:rFonts w:cs="Times New Roman"/>
          <w:lang w:val="fr-CA"/>
        </w:rPr>
        <w:t xml:space="preserve"> janvier 2016. </w:t>
      </w:r>
      <w:r w:rsidRPr="00AA314A">
        <w:rPr>
          <w:rFonts w:eastAsia="Times New Roman" w:cs="Times New Roman"/>
          <w:bCs/>
          <w:szCs w:val="24"/>
          <w:lang w:val="fr-CA" w:eastAsia="en-CA"/>
        </w:rPr>
        <w:t>En raison des répercussions éventuelles qu</w:t>
      </w:r>
      <w:r>
        <w:rPr>
          <w:rFonts w:eastAsia="Times New Roman" w:cs="Times New Roman"/>
          <w:bCs/>
          <w:szCs w:val="24"/>
          <w:lang w:val="fr-CA" w:eastAsia="en-CA"/>
        </w:rPr>
        <w:t>’</w:t>
      </w:r>
      <w:r w:rsidRPr="00AA314A">
        <w:rPr>
          <w:rFonts w:eastAsia="Times New Roman" w:cs="Times New Roman"/>
          <w:bCs/>
          <w:szCs w:val="24"/>
          <w:lang w:val="fr-CA" w:eastAsia="en-CA"/>
        </w:rPr>
        <w:t>elle peut avoir sur la liberté de l</w:t>
      </w:r>
      <w:r>
        <w:rPr>
          <w:rFonts w:eastAsia="Times New Roman" w:cs="Times New Roman"/>
          <w:bCs/>
          <w:szCs w:val="24"/>
          <w:lang w:val="fr-CA" w:eastAsia="en-CA"/>
        </w:rPr>
        <w:t>’</w:t>
      </w:r>
      <w:r w:rsidRPr="00AA314A">
        <w:rPr>
          <w:rFonts w:eastAsia="Times New Roman" w:cs="Times New Roman"/>
          <w:bCs/>
          <w:szCs w:val="24"/>
          <w:lang w:val="fr-CA" w:eastAsia="en-CA"/>
        </w:rPr>
        <w:t>intéressé, les formalités de la procédure pour outrage doivent être strictement respectées; un avis clair, précis et sans ambiguïté de l</w:t>
      </w:r>
      <w:r>
        <w:rPr>
          <w:rFonts w:eastAsia="Times New Roman" w:cs="Times New Roman"/>
          <w:bCs/>
          <w:szCs w:val="24"/>
          <w:lang w:val="fr-CA" w:eastAsia="en-CA"/>
        </w:rPr>
        <w:t>’</w:t>
      </w:r>
      <w:r w:rsidRPr="00AA314A">
        <w:rPr>
          <w:rFonts w:eastAsia="Times New Roman" w:cs="Times New Roman"/>
          <w:bCs/>
          <w:szCs w:val="24"/>
          <w:lang w:val="fr-CA" w:eastAsia="en-CA"/>
        </w:rPr>
        <w:t>infraction particulière d</w:t>
      </w:r>
      <w:r>
        <w:rPr>
          <w:rFonts w:eastAsia="Times New Roman" w:cs="Times New Roman"/>
          <w:bCs/>
          <w:szCs w:val="24"/>
          <w:lang w:val="fr-CA" w:eastAsia="en-CA"/>
        </w:rPr>
        <w:t>’</w:t>
      </w:r>
      <w:r w:rsidRPr="00AA314A">
        <w:rPr>
          <w:rFonts w:eastAsia="Times New Roman" w:cs="Times New Roman"/>
          <w:bCs/>
          <w:szCs w:val="24"/>
          <w:lang w:val="fr-CA" w:eastAsia="en-CA"/>
        </w:rPr>
        <w:t>outrage dont il est inculpé doit être donné à l</w:t>
      </w:r>
      <w:r>
        <w:rPr>
          <w:rFonts w:eastAsia="Times New Roman" w:cs="Times New Roman"/>
          <w:bCs/>
          <w:szCs w:val="24"/>
          <w:lang w:val="fr-CA" w:eastAsia="en-CA"/>
        </w:rPr>
        <w:t>’</w:t>
      </w:r>
      <w:r w:rsidRPr="00AA314A">
        <w:rPr>
          <w:rFonts w:eastAsia="Times New Roman" w:cs="Times New Roman"/>
          <w:bCs/>
          <w:szCs w:val="24"/>
          <w:lang w:val="fr-CA" w:eastAsia="en-CA"/>
        </w:rPr>
        <w:t>accusé, et les éléments nécessaires à la déclaration de culpabilité doivent être prouvés hors de tout doute raisonnable</w:t>
      </w:r>
      <w:r>
        <w:rPr>
          <w:rFonts w:eastAsia="Times New Roman" w:cs="Times New Roman"/>
          <w:bCs/>
          <w:szCs w:val="24"/>
          <w:lang w:val="fr-CA" w:eastAsia="en-CA"/>
        </w:rPr>
        <w:t> :</w:t>
      </w:r>
      <w:r w:rsidRPr="00AA314A">
        <w:rPr>
          <w:rFonts w:eastAsia="Times New Roman" w:cs="Times New Roman"/>
          <w:bCs/>
          <w:szCs w:val="24"/>
          <w:lang w:val="fr-CA" w:eastAsia="en-CA"/>
        </w:rPr>
        <w:t xml:space="preserve"> </w:t>
      </w:r>
      <w:r w:rsidRPr="00AA314A">
        <w:rPr>
          <w:rFonts w:eastAsia="Times New Roman" w:cs="Times New Roman"/>
          <w:bCs/>
          <w:i/>
          <w:szCs w:val="24"/>
          <w:lang w:val="fr-CA" w:eastAsia="en-CA"/>
        </w:rPr>
        <w:t>Guay c. Lebel</w:t>
      </w:r>
      <w:r w:rsidRPr="00AA314A">
        <w:rPr>
          <w:rFonts w:eastAsia="Times New Roman" w:cs="Times New Roman"/>
          <w:bCs/>
          <w:szCs w:val="24"/>
          <w:lang w:val="fr-CA" w:eastAsia="en-CA"/>
        </w:rPr>
        <w:t xml:space="preserve">, 2016 QCCA 1555, </w:t>
      </w:r>
      <w:r>
        <w:rPr>
          <w:rFonts w:eastAsia="Times New Roman" w:cs="Times New Roman"/>
          <w:bCs/>
          <w:szCs w:val="24"/>
          <w:lang w:val="fr-CA" w:eastAsia="en-CA"/>
        </w:rPr>
        <w:t>par. </w:t>
      </w:r>
      <w:r w:rsidRPr="00AA314A">
        <w:rPr>
          <w:rFonts w:eastAsia="Times New Roman" w:cs="Times New Roman"/>
          <w:bCs/>
          <w:szCs w:val="24"/>
          <w:lang w:val="fr-CA" w:eastAsia="en-CA"/>
        </w:rPr>
        <w:t>8</w:t>
      </w:r>
      <w:r w:rsidR="00951211">
        <w:rPr>
          <w:rFonts w:eastAsia="Times New Roman" w:cs="Times New Roman"/>
          <w:bCs/>
          <w:szCs w:val="24"/>
          <w:lang w:val="fr-CA" w:eastAsia="en-CA"/>
        </w:rPr>
        <w:t xml:space="preserve"> (CanLII)</w:t>
      </w:r>
      <w:r w:rsidRPr="00AA314A">
        <w:rPr>
          <w:rFonts w:eastAsia="Times New Roman" w:cs="Times New Roman"/>
          <w:bCs/>
          <w:szCs w:val="24"/>
          <w:lang w:val="fr-CA" w:eastAsia="en-CA"/>
        </w:rPr>
        <w:t xml:space="preserve">; </w:t>
      </w:r>
      <w:r w:rsidRPr="00AA314A">
        <w:rPr>
          <w:rFonts w:eastAsia="Times New Roman" w:cs="Times New Roman"/>
          <w:bCs/>
          <w:i/>
          <w:szCs w:val="24"/>
          <w:lang w:val="fr-CA" w:eastAsia="en-CA"/>
        </w:rPr>
        <w:t>Droit de la famille — 122875</w:t>
      </w:r>
      <w:r w:rsidRPr="00AA314A">
        <w:rPr>
          <w:rFonts w:eastAsia="Times New Roman" w:cs="Times New Roman"/>
          <w:bCs/>
          <w:szCs w:val="24"/>
          <w:lang w:val="fr-CA" w:eastAsia="en-CA"/>
        </w:rPr>
        <w:t xml:space="preserve"> (2012), 29 R.F.L. (7</w:t>
      </w:r>
      <w:r w:rsidRPr="00951211">
        <w:rPr>
          <w:rFonts w:eastAsia="Times New Roman" w:cs="Times New Roman"/>
          <w:bCs/>
          <w:szCs w:val="24"/>
          <w:lang w:val="fr-CA" w:eastAsia="en-CA"/>
        </w:rPr>
        <w:t>th</w:t>
      </w:r>
      <w:r w:rsidRPr="00AA314A">
        <w:rPr>
          <w:rFonts w:eastAsia="Times New Roman" w:cs="Times New Roman"/>
          <w:bCs/>
          <w:szCs w:val="24"/>
          <w:lang w:val="fr-CA" w:eastAsia="en-CA"/>
        </w:rPr>
        <w:t>) 137 (C.A.</w:t>
      </w:r>
      <w:r w:rsidR="00951211">
        <w:rPr>
          <w:rFonts w:eastAsia="Times New Roman" w:cs="Times New Roman"/>
          <w:bCs/>
          <w:szCs w:val="24"/>
          <w:lang w:val="fr-CA" w:eastAsia="en-CA"/>
        </w:rPr>
        <w:t xml:space="preserve"> Qc</w:t>
      </w:r>
      <w:r w:rsidRPr="00AA314A">
        <w:rPr>
          <w:rFonts w:eastAsia="Times New Roman" w:cs="Times New Roman"/>
          <w:bCs/>
          <w:szCs w:val="24"/>
          <w:lang w:val="fr-CA" w:eastAsia="en-CA"/>
        </w:rPr>
        <w:t xml:space="preserve">), </w:t>
      </w:r>
      <w:r>
        <w:rPr>
          <w:rFonts w:eastAsia="Times New Roman" w:cs="Times New Roman"/>
          <w:bCs/>
          <w:szCs w:val="24"/>
          <w:lang w:val="fr-CA" w:eastAsia="en-CA"/>
        </w:rPr>
        <w:t>par. </w:t>
      </w:r>
      <w:r w:rsidRPr="00AA314A">
        <w:rPr>
          <w:rFonts w:eastAsia="Times New Roman" w:cs="Times New Roman"/>
          <w:bCs/>
          <w:szCs w:val="24"/>
          <w:lang w:val="fr-CA" w:eastAsia="en-CA"/>
        </w:rPr>
        <w:t xml:space="preserve">24 et 30, et </w:t>
      </w:r>
      <w:r w:rsidRPr="00AA314A">
        <w:rPr>
          <w:rFonts w:eastAsia="Times New Roman" w:cs="Times New Roman"/>
          <w:bCs/>
          <w:i/>
          <w:szCs w:val="24"/>
          <w:lang w:val="fr-CA" w:eastAsia="en-CA"/>
        </w:rPr>
        <w:t>Javanmardi c. Collège des médecins du Québec</w:t>
      </w:r>
      <w:r w:rsidRPr="00AA314A">
        <w:rPr>
          <w:rFonts w:eastAsia="Times New Roman" w:cs="Times New Roman"/>
          <w:bCs/>
          <w:szCs w:val="24"/>
          <w:lang w:val="fr-CA" w:eastAsia="en-CA"/>
        </w:rPr>
        <w:t xml:space="preserve">, [2013] R.J.Q. 328 (C.A.), </w:t>
      </w:r>
      <w:r>
        <w:rPr>
          <w:rFonts w:eastAsia="Times New Roman" w:cs="Times New Roman"/>
          <w:bCs/>
          <w:szCs w:val="24"/>
          <w:lang w:val="fr-CA" w:eastAsia="en-CA"/>
        </w:rPr>
        <w:t>par. </w:t>
      </w:r>
      <w:r w:rsidRPr="00AA314A">
        <w:rPr>
          <w:rFonts w:eastAsia="Times New Roman" w:cs="Times New Roman"/>
          <w:bCs/>
          <w:szCs w:val="24"/>
          <w:lang w:val="fr-CA" w:eastAsia="en-CA"/>
        </w:rPr>
        <w:t xml:space="preserve">26, citant tous les deux </w:t>
      </w:r>
      <w:r w:rsidRPr="00AA314A">
        <w:rPr>
          <w:rFonts w:eastAsia="Times New Roman" w:cs="Times New Roman"/>
          <w:bCs/>
          <w:i/>
          <w:szCs w:val="24"/>
          <w:lang w:val="fr-CA" w:eastAsia="en-CA"/>
        </w:rPr>
        <w:t xml:space="preserve">Godin </w:t>
      </w:r>
      <w:r w:rsidRPr="00AA314A">
        <w:rPr>
          <w:rFonts w:eastAsia="Times New Roman" w:cs="Times New Roman"/>
          <w:bCs/>
          <w:i/>
          <w:szCs w:val="24"/>
          <w:lang w:val="fr-CA" w:eastAsia="en-CA"/>
        </w:rPr>
        <w:lastRenderedPageBreak/>
        <w:t xml:space="preserve">c. Godin </w:t>
      </w:r>
      <w:r w:rsidRPr="00AA314A">
        <w:rPr>
          <w:rFonts w:eastAsia="Times New Roman" w:cs="Times New Roman"/>
          <w:bCs/>
          <w:szCs w:val="24"/>
          <w:lang w:val="fr-CA" w:eastAsia="en-CA"/>
        </w:rPr>
        <w:t xml:space="preserve">(2012), </w:t>
      </w:r>
      <w:r w:rsidR="00951211">
        <w:rPr>
          <w:rFonts w:eastAsia="Times New Roman" w:cs="Times New Roman"/>
          <w:bCs/>
          <w:szCs w:val="24"/>
          <w:lang w:val="fr-CA" w:eastAsia="en-CA"/>
        </w:rPr>
        <w:t xml:space="preserve">317 </w:t>
      </w:r>
      <w:r w:rsidRPr="00AA314A">
        <w:rPr>
          <w:rFonts w:eastAsia="Times New Roman" w:cs="Times New Roman"/>
          <w:bCs/>
          <w:szCs w:val="24"/>
          <w:lang w:val="fr-CA" w:eastAsia="en-CA"/>
        </w:rPr>
        <w:t>N.S.R. (2</w:t>
      </w:r>
      <w:r w:rsidR="00951211" w:rsidRPr="00951211">
        <w:rPr>
          <w:rFonts w:eastAsia="Times New Roman" w:cs="Times New Roman"/>
          <w:bCs/>
          <w:szCs w:val="24"/>
          <w:lang w:val="fr-CA" w:eastAsia="en-CA"/>
        </w:rPr>
        <w:t>d</w:t>
      </w:r>
      <w:r w:rsidRPr="00AA314A">
        <w:rPr>
          <w:rFonts w:eastAsia="Times New Roman" w:cs="Times New Roman"/>
          <w:bCs/>
          <w:szCs w:val="24"/>
          <w:lang w:val="fr-CA" w:eastAsia="en-CA"/>
        </w:rPr>
        <w:t xml:space="preserve">) 204 (C.A.), </w:t>
      </w:r>
      <w:r>
        <w:rPr>
          <w:rFonts w:eastAsia="Times New Roman" w:cs="Times New Roman"/>
          <w:bCs/>
          <w:szCs w:val="24"/>
          <w:lang w:val="fr-CA" w:eastAsia="en-CA"/>
        </w:rPr>
        <w:t>par. </w:t>
      </w:r>
      <w:r w:rsidRPr="00AA314A">
        <w:rPr>
          <w:rFonts w:eastAsia="Times New Roman" w:cs="Times New Roman"/>
          <w:bCs/>
          <w:szCs w:val="24"/>
          <w:lang w:val="fr-CA" w:eastAsia="en-CA"/>
        </w:rPr>
        <w:t xml:space="preserve">47; </w:t>
      </w:r>
      <w:r>
        <w:rPr>
          <w:rFonts w:eastAsia="Times New Roman" w:cs="Times New Roman"/>
          <w:bCs/>
          <w:szCs w:val="24"/>
          <w:lang w:val="fr-CA" w:eastAsia="en-CA"/>
        </w:rPr>
        <w:t>art. </w:t>
      </w:r>
      <w:r w:rsidRPr="00AA314A">
        <w:rPr>
          <w:rFonts w:eastAsia="Times New Roman" w:cs="Times New Roman"/>
          <w:bCs/>
          <w:szCs w:val="24"/>
          <w:lang w:val="fr-CA" w:eastAsia="en-CA"/>
        </w:rPr>
        <w:t xml:space="preserve">53.1 du </w:t>
      </w:r>
      <w:r w:rsidRPr="00AA314A">
        <w:rPr>
          <w:rFonts w:eastAsia="Times New Roman" w:cs="Times New Roman"/>
          <w:bCs/>
          <w:i/>
          <w:szCs w:val="24"/>
          <w:lang w:val="fr-CA" w:eastAsia="en-CA"/>
        </w:rPr>
        <w:t>Code de procédure civile</w:t>
      </w:r>
      <w:r w:rsidRPr="00AA314A">
        <w:rPr>
          <w:rFonts w:eastAsia="Times New Roman" w:cs="Times New Roman"/>
          <w:bCs/>
          <w:szCs w:val="24"/>
          <w:lang w:val="fr-CA" w:eastAsia="en-CA"/>
        </w:rPr>
        <w:t xml:space="preserve">; Céline Gervais, </w:t>
      </w:r>
      <w:r w:rsidRPr="00AA314A">
        <w:rPr>
          <w:rFonts w:eastAsia="Times New Roman" w:cs="Times New Roman"/>
          <w:bCs/>
          <w:i/>
          <w:szCs w:val="24"/>
          <w:lang w:val="fr-CA" w:eastAsia="en-CA"/>
        </w:rPr>
        <w:t>L</w:t>
      </w:r>
      <w:r>
        <w:rPr>
          <w:rFonts w:eastAsia="Times New Roman" w:cs="Times New Roman"/>
          <w:bCs/>
          <w:i/>
          <w:szCs w:val="24"/>
          <w:lang w:val="fr-CA" w:eastAsia="en-CA"/>
        </w:rPr>
        <w:t>’</w:t>
      </w:r>
      <w:r w:rsidRPr="00AA314A">
        <w:rPr>
          <w:rFonts w:eastAsia="Times New Roman" w:cs="Times New Roman"/>
          <w:bCs/>
          <w:i/>
          <w:szCs w:val="24"/>
          <w:lang w:val="fr-CA" w:eastAsia="en-CA"/>
        </w:rPr>
        <w:t>injonction</w:t>
      </w:r>
      <w:r w:rsidRPr="00AA314A">
        <w:rPr>
          <w:rFonts w:eastAsia="Times New Roman" w:cs="Times New Roman"/>
          <w:bCs/>
          <w:szCs w:val="24"/>
          <w:lang w:val="fr-CA" w:eastAsia="en-CA"/>
        </w:rPr>
        <w:t xml:space="preserve"> (2</w:t>
      </w:r>
      <w:r w:rsidRPr="00AA314A">
        <w:rPr>
          <w:rFonts w:eastAsia="Times New Roman" w:cs="Times New Roman"/>
          <w:bCs/>
          <w:szCs w:val="24"/>
          <w:vertAlign w:val="superscript"/>
          <w:lang w:val="fr-CA" w:eastAsia="en-CA"/>
        </w:rPr>
        <w:t>e</w:t>
      </w:r>
      <w:r w:rsidRPr="00AA314A">
        <w:rPr>
          <w:rFonts w:eastAsia="Times New Roman" w:cs="Times New Roman"/>
          <w:bCs/>
          <w:szCs w:val="24"/>
          <w:lang w:val="fr-CA" w:eastAsia="en-CA"/>
        </w:rPr>
        <w:t xml:space="preserve"> éd. 2005), </w:t>
      </w:r>
      <w:r>
        <w:rPr>
          <w:rFonts w:eastAsia="Times New Roman" w:cs="Times New Roman"/>
          <w:bCs/>
          <w:szCs w:val="24"/>
          <w:lang w:val="fr-CA" w:eastAsia="en-CA"/>
        </w:rPr>
        <w:t>p. </w:t>
      </w:r>
      <w:r w:rsidRPr="00AA314A">
        <w:rPr>
          <w:rFonts w:eastAsia="Times New Roman" w:cs="Times New Roman"/>
          <w:bCs/>
          <w:szCs w:val="24"/>
          <w:lang w:val="fr-CA" w:eastAsia="en-CA"/>
        </w:rPr>
        <w:t xml:space="preserve">125; </w:t>
      </w:r>
      <w:r w:rsidRPr="00AA314A">
        <w:rPr>
          <w:rFonts w:eastAsia="Times New Roman" w:cs="Times New Roman"/>
          <w:bCs/>
          <w:i/>
          <w:szCs w:val="24"/>
          <w:lang w:val="fr-CA" w:eastAsia="en-CA"/>
        </w:rPr>
        <w:t>Vidéotron</w:t>
      </w:r>
      <w:r w:rsidRPr="00AA314A">
        <w:rPr>
          <w:rFonts w:eastAsia="Times New Roman" w:cs="Times New Roman"/>
          <w:bCs/>
          <w:szCs w:val="24"/>
          <w:lang w:val="fr-CA" w:eastAsia="en-CA"/>
        </w:rPr>
        <w:t xml:space="preserve">, </w:t>
      </w:r>
      <w:r>
        <w:rPr>
          <w:rFonts w:eastAsia="Times New Roman" w:cs="Times New Roman"/>
          <w:bCs/>
          <w:szCs w:val="24"/>
          <w:lang w:val="fr-CA" w:eastAsia="en-CA"/>
        </w:rPr>
        <w:t>p. </w:t>
      </w:r>
      <w:r w:rsidRPr="00AA314A">
        <w:rPr>
          <w:rFonts w:eastAsia="Times New Roman" w:cs="Times New Roman"/>
          <w:bCs/>
          <w:szCs w:val="24"/>
          <w:lang w:val="fr-CA" w:eastAsia="en-CA"/>
        </w:rPr>
        <w:t xml:space="preserve">1077, citant </w:t>
      </w:r>
      <w:r w:rsidRPr="00AA314A">
        <w:rPr>
          <w:rFonts w:eastAsia="Times New Roman" w:cs="Times New Roman"/>
          <w:bCs/>
          <w:i/>
          <w:szCs w:val="24"/>
          <w:lang w:val="fr-CA" w:eastAsia="en-CA"/>
        </w:rPr>
        <w:t>Imperial Oil Ltd. c. Tanguay</w:t>
      </w:r>
      <w:r w:rsidRPr="00AA314A">
        <w:rPr>
          <w:rFonts w:eastAsia="Times New Roman" w:cs="Times New Roman"/>
          <w:bCs/>
          <w:szCs w:val="24"/>
          <w:lang w:val="fr-CA" w:eastAsia="en-CA"/>
        </w:rPr>
        <w:t>, [1971] C.A. 109. Cette insistance sur le formalisme est particulièrement importante dans le cadre exceptionnel de la procédure pour outrage introduite par des parties privées.</w:t>
      </w:r>
    </w:p>
    <w:p w:rsidR="00810FD5" w:rsidRPr="00AA314A" w:rsidRDefault="00810FD5" w:rsidP="003223DD">
      <w:pPr>
        <w:pStyle w:val="ParaNoNdepar-AltN"/>
        <w:widowControl w:val="0"/>
        <w:ind w:left="0"/>
        <w:rPr>
          <w:rFonts w:cs="Times New Roman"/>
          <w:b/>
          <w:lang w:val="fr-CA"/>
        </w:rPr>
      </w:pPr>
      <w:r w:rsidRPr="00AA314A">
        <w:rPr>
          <w:rFonts w:cs="Times New Roman"/>
          <w:lang w:val="fr-CA"/>
        </w:rPr>
        <w:t>Dans toutes les affaires d</w:t>
      </w:r>
      <w:r>
        <w:rPr>
          <w:rFonts w:cs="Times New Roman"/>
          <w:lang w:val="fr-CA"/>
        </w:rPr>
        <w:t>’</w:t>
      </w:r>
      <w:r w:rsidRPr="00AA314A">
        <w:rPr>
          <w:rFonts w:cs="Times New Roman"/>
          <w:lang w:val="fr-CA"/>
        </w:rPr>
        <w:t>outrage, il est essentiel que les tribunaux gardent à l</w:t>
      </w:r>
      <w:r>
        <w:rPr>
          <w:rFonts w:cs="Times New Roman"/>
          <w:lang w:val="fr-CA"/>
        </w:rPr>
        <w:t>’</w:t>
      </w:r>
      <w:r w:rsidRPr="00AA314A">
        <w:rPr>
          <w:rFonts w:cs="Times New Roman"/>
          <w:lang w:val="fr-CA"/>
        </w:rPr>
        <w:t>esprit le caractère exceptionnel de leurs pouvoirs en la matière et ne les exercent qu</w:t>
      </w:r>
      <w:r>
        <w:rPr>
          <w:rFonts w:cs="Times New Roman"/>
          <w:lang w:val="fr-CA"/>
        </w:rPr>
        <w:t>’</w:t>
      </w:r>
      <w:r w:rsidRPr="00AA314A">
        <w:rPr>
          <w:rFonts w:cs="Times New Roman"/>
          <w:lang w:val="fr-CA"/>
        </w:rPr>
        <w:t>à titre de mesure de dernier recours. Une déclaration de culpabilité pour outrage ne doit être prononcée que lorsqu</w:t>
      </w:r>
      <w:r>
        <w:rPr>
          <w:rFonts w:cs="Times New Roman"/>
          <w:lang w:val="fr-CA"/>
        </w:rPr>
        <w:t>’</w:t>
      </w:r>
      <w:r w:rsidRPr="00AA314A">
        <w:rPr>
          <w:rFonts w:cs="Times New Roman"/>
          <w:lang w:val="fr-CA"/>
        </w:rPr>
        <w:t>il est véritablement nécessaire de protéger l</w:t>
      </w:r>
      <w:r>
        <w:rPr>
          <w:rFonts w:cs="Times New Roman"/>
          <w:lang w:val="fr-CA"/>
        </w:rPr>
        <w:t>’</w:t>
      </w:r>
      <w:r w:rsidRPr="00AA314A">
        <w:rPr>
          <w:rFonts w:cs="Times New Roman"/>
          <w:lang w:val="fr-CA"/>
        </w:rPr>
        <w:t>administration de la justice</w:t>
      </w:r>
      <w:r>
        <w:rPr>
          <w:rFonts w:cs="Times New Roman"/>
          <w:lang w:val="fr-CA"/>
        </w:rPr>
        <w:t> :</w:t>
      </w:r>
      <w:r w:rsidRPr="00AA314A">
        <w:rPr>
          <w:rFonts w:cs="Times New Roman"/>
          <w:lang w:val="fr-CA"/>
        </w:rPr>
        <w:t xml:space="preserve"> </w:t>
      </w:r>
      <w:r w:rsidRPr="00AA314A">
        <w:rPr>
          <w:rFonts w:cs="Times New Roman"/>
          <w:i/>
          <w:lang w:val="fr-CA"/>
        </w:rPr>
        <w:t>Centre commercial Les Rivières</w:t>
      </w:r>
      <w:r w:rsidRPr="00AA314A">
        <w:rPr>
          <w:rFonts w:cs="Times New Roman"/>
          <w:lang w:val="fr-CA"/>
        </w:rPr>
        <w:t xml:space="preserve">, </w:t>
      </w:r>
      <w:r>
        <w:rPr>
          <w:rFonts w:cs="Times New Roman"/>
          <w:lang w:val="fr-CA"/>
        </w:rPr>
        <w:t>par. </w:t>
      </w:r>
      <w:r w:rsidRPr="00AA314A">
        <w:rPr>
          <w:rFonts w:cs="Times New Roman"/>
          <w:lang w:val="fr-CA"/>
        </w:rPr>
        <w:t xml:space="preserve">7 </w:t>
      </w:r>
      <w:r>
        <w:rPr>
          <w:rFonts w:cs="Times New Roman"/>
          <w:lang w:val="fr-CA"/>
        </w:rPr>
        <w:t xml:space="preserve">et </w:t>
      </w:r>
      <w:r w:rsidRPr="00AA314A">
        <w:rPr>
          <w:rFonts w:cs="Times New Roman"/>
          <w:lang w:val="fr-CA"/>
        </w:rPr>
        <w:t>65</w:t>
      </w:r>
      <w:r>
        <w:rPr>
          <w:rFonts w:cs="Times New Roman"/>
          <w:lang w:val="fr-CA"/>
        </w:rPr>
        <w:noBreakHyphen/>
      </w:r>
      <w:r w:rsidRPr="00AA314A">
        <w:rPr>
          <w:rFonts w:cs="Times New Roman"/>
          <w:lang w:val="fr-CA"/>
        </w:rPr>
        <w:t xml:space="preserve">66; </w:t>
      </w:r>
      <w:r w:rsidRPr="00AA314A">
        <w:rPr>
          <w:rFonts w:cs="Times New Roman"/>
          <w:i/>
          <w:lang w:val="fr-CA"/>
        </w:rPr>
        <w:t>Constructions Louisbourg ltée c. Société Radio</w:t>
      </w:r>
      <w:r>
        <w:rPr>
          <w:rFonts w:cs="Times New Roman"/>
          <w:i/>
          <w:lang w:val="fr-CA"/>
        </w:rPr>
        <w:noBreakHyphen/>
      </w:r>
      <w:r w:rsidRPr="00AA314A">
        <w:rPr>
          <w:rFonts w:cs="Times New Roman"/>
          <w:i/>
          <w:lang w:val="fr-CA"/>
        </w:rPr>
        <w:t>Canada</w:t>
      </w:r>
      <w:r w:rsidRPr="00AA314A">
        <w:rPr>
          <w:rFonts w:cs="Times New Roman"/>
          <w:lang w:val="fr-CA"/>
        </w:rPr>
        <w:t>,</w:t>
      </w:r>
      <w:r w:rsidRPr="00AA314A">
        <w:rPr>
          <w:rFonts w:cs="Times New Roman"/>
          <w:i/>
          <w:lang w:val="fr-CA"/>
        </w:rPr>
        <w:t xml:space="preserve"> </w:t>
      </w:r>
      <w:r w:rsidRPr="00AA314A">
        <w:rPr>
          <w:rFonts w:cs="Times New Roman"/>
          <w:lang w:val="fr-CA"/>
        </w:rPr>
        <w:t xml:space="preserve">2014 QCCA 155, </w:t>
      </w:r>
      <w:r>
        <w:rPr>
          <w:rFonts w:cs="Times New Roman"/>
          <w:lang w:val="fr-CA"/>
        </w:rPr>
        <w:t>par. </w:t>
      </w:r>
      <w:r w:rsidRPr="00AA314A">
        <w:rPr>
          <w:rFonts w:cs="Times New Roman"/>
          <w:lang w:val="fr-CA"/>
        </w:rPr>
        <w:t xml:space="preserve">26 (CanLII). </w:t>
      </w:r>
    </w:p>
    <w:p w:rsidR="00810FD5" w:rsidRPr="00AA314A" w:rsidRDefault="00810FD5" w:rsidP="003223DD">
      <w:pPr>
        <w:pStyle w:val="ParaNoNdepar-AltN"/>
        <w:widowControl w:val="0"/>
        <w:ind w:left="0"/>
        <w:rPr>
          <w:rFonts w:cs="Times New Roman"/>
          <w:lang w:val="fr-CA"/>
        </w:rPr>
      </w:pPr>
      <w:r w:rsidRPr="00AA314A">
        <w:rPr>
          <w:rFonts w:eastAsia="Times New Roman" w:cs="Times New Roman"/>
          <w:lang w:val="fr-CA"/>
        </w:rPr>
        <w:t>À l</w:t>
      </w:r>
      <w:r>
        <w:rPr>
          <w:rFonts w:eastAsia="Times New Roman" w:cs="Times New Roman"/>
          <w:lang w:val="fr-CA"/>
        </w:rPr>
        <w:t>’</w:t>
      </w:r>
      <w:r w:rsidRPr="00AA314A">
        <w:rPr>
          <w:rFonts w:eastAsia="Times New Roman" w:cs="Times New Roman"/>
          <w:lang w:val="fr-CA"/>
        </w:rPr>
        <w:t>époque où M. Morasse engage sa procédure contre M. Nadeau</w:t>
      </w:r>
      <w:r>
        <w:rPr>
          <w:rFonts w:eastAsia="Times New Roman" w:cs="Times New Roman"/>
          <w:lang w:val="fr-CA"/>
        </w:rPr>
        <w:noBreakHyphen/>
      </w:r>
      <w:r w:rsidRPr="00AA314A">
        <w:rPr>
          <w:rFonts w:eastAsia="Times New Roman" w:cs="Times New Roman"/>
          <w:lang w:val="fr-CA"/>
        </w:rPr>
        <w:t>Dubois, l</w:t>
      </w:r>
      <w:r>
        <w:rPr>
          <w:rFonts w:eastAsia="Times New Roman" w:cs="Times New Roman"/>
          <w:lang w:val="fr-CA"/>
        </w:rPr>
        <w:t>’</w:t>
      </w:r>
      <w:r w:rsidRPr="00AA314A">
        <w:rPr>
          <w:rFonts w:eastAsia="Times New Roman" w:cs="Times New Roman"/>
          <w:lang w:val="fr-CA"/>
        </w:rPr>
        <w:t>infraction d</w:t>
      </w:r>
      <w:r>
        <w:rPr>
          <w:rFonts w:eastAsia="Times New Roman" w:cs="Times New Roman"/>
          <w:lang w:val="fr-CA"/>
        </w:rPr>
        <w:t>’</w:t>
      </w:r>
      <w:r w:rsidRPr="00AA314A">
        <w:rPr>
          <w:rFonts w:eastAsia="Times New Roman" w:cs="Times New Roman"/>
          <w:lang w:val="fr-CA"/>
        </w:rPr>
        <w:t>outrage au tribunal est prévue dans deux dispositions distinctes du</w:t>
      </w:r>
      <w:r w:rsidRPr="00AA314A">
        <w:rPr>
          <w:rFonts w:cs="Times New Roman"/>
          <w:lang w:val="fr-CA"/>
        </w:rPr>
        <w:t xml:space="preserve"> </w:t>
      </w:r>
      <w:r w:rsidR="009D5994">
        <w:rPr>
          <w:rFonts w:cs="Times New Roman"/>
          <w:i/>
          <w:lang w:val="fr-CA"/>
        </w:rPr>
        <w:t>C.p.c.</w:t>
      </w:r>
      <w:r w:rsidRPr="00AA314A">
        <w:rPr>
          <w:rFonts w:eastAsia="Times New Roman" w:cs="Times New Roman"/>
          <w:lang w:val="fr-CA"/>
        </w:rPr>
        <w:t xml:space="preserve">, soit les </w:t>
      </w:r>
      <w:r>
        <w:rPr>
          <w:rFonts w:cs="Times New Roman"/>
          <w:lang w:val="fr-CA"/>
        </w:rPr>
        <w:t>art. </w:t>
      </w:r>
      <w:r w:rsidRPr="00AA314A">
        <w:rPr>
          <w:rFonts w:cs="Times New Roman"/>
          <w:lang w:val="fr-CA"/>
        </w:rPr>
        <w:t>50 et 761</w:t>
      </w:r>
      <w:r w:rsidRPr="00AA314A">
        <w:rPr>
          <w:rStyle w:val="FootnoteReference"/>
          <w:rFonts w:cs="Times New Roman"/>
          <w:lang w:val="fr-CA"/>
        </w:rPr>
        <w:footnoteReference w:id="10"/>
      </w:r>
      <w:r w:rsidR="00B51064">
        <w:rPr>
          <w:rFonts w:cs="Times New Roman"/>
          <w:lang w:val="fr-CA"/>
        </w:rPr>
        <w:t>.</w:t>
      </w:r>
      <w:r w:rsidRPr="00AA314A">
        <w:rPr>
          <w:rFonts w:cs="Times New Roman"/>
          <w:lang w:val="fr-CA"/>
        </w:rPr>
        <w:t xml:space="preserve"> Le premier alinéa de l</w:t>
      </w:r>
      <w:r>
        <w:rPr>
          <w:rFonts w:cs="Times New Roman"/>
          <w:lang w:val="fr-CA"/>
        </w:rPr>
        <w:t>’art. </w:t>
      </w:r>
      <w:r w:rsidRPr="00AA314A">
        <w:rPr>
          <w:rFonts w:cs="Times New Roman"/>
          <w:lang w:val="fr-CA"/>
        </w:rPr>
        <w:t xml:space="preserve">50, qui se trouve dans la partie du </w:t>
      </w:r>
      <w:r w:rsidRPr="00AA314A">
        <w:rPr>
          <w:rFonts w:cs="Times New Roman"/>
          <w:i/>
          <w:lang w:val="fr-CA"/>
        </w:rPr>
        <w:t xml:space="preserve">Code </w:t>
      </w:r>
      <w:r w:rsidRPr="00AA314A">
        <w:rPr>
          <w:rFonts w:cs="Times New Roman"/>
          <w:lang w:val="fr-CA"/>
        </w:rPr>
        <w:t xml:space="preserve">qui énonce les pouvoirs des tribunaux et des juges, établit la compétence </w:t>
      </w:r>
      <w:r w:rsidRPr="00AA314A">
        <w:rPr>
          <w:rFonts w:cs="Times New Roman"/>
          <w:i/>
          <w:lang w:val="fr-CA"/>
        </w:rPr>
        <w:t xml:space="preserve">générale </w:t>
      </w:r>
      <w:r w:rsidRPr="00AA314A">
        <w:rPr>
          <w:rFonts w:cs="Times New Roman"/>
          <w:lang w:val="fr-CA"/>
        </w:rPr>
        <w:lastRenderedPageBreak/>
        <w:t>des tribunaux de déclarer quelqu</w:t>
      </w:r>
      <w:r>
        <w:rPr>
          <w:rFonts w:cs="Times New Roman"/>
          <w:lang w:val="fr-CA"/>
        </w:rPr>
        <w:t>’</w:t>
      </w:r>
      <w:r w:rsidRPr="00AA314A">
        <w:rPr>
          <w:rFonts w:cs="Times New Roman"/>
          <w:lang w:val="fr-CA"/>
        </w:rPr>
        <w:t>un coupable d</w:t>
      </w:r>
      <w:r>
        <w:rPr>
          <w:rFonts w:cs="Times New Roman"/>
          <w:lang w:val="fr-CA"/>
        </w:rPr>
        <w:t>’</w:t>
      </w:r>
      <w:r w:rsidRPr="00AA314A">
        <w:rPr>
          <w:rFonts w:cs="Times New Roman"/>
          <w:lang w:val="fr-CA"/>
        </w:rPr>
        <w:t>outrage</w:t>
      </w:r>
      <w:r>
        <w:rPr>
          <w:rFonts w:cs="Times New Roman"/>
          <w:lang w:val="fr-CA"/>
        </w:rPr>
        <w:t> :</w:t>
      </w:r>
      <w:r w:rsidRPr="00AA314A">
        <w:rPr>
          <w:rFonts w:cs="Times New Roman"/>
          <w:lang w:val="fr-CA"/>
        </w:rPr>
        <w:t xml:space="preserve"> </w:t>
      </w:r>
    </w:p>
    <w:p w:rsidR="00810FD5" w:rsidRPr="00AA314A" w:rsidRDefault="00810FD5" w:rsidP="003223DD">
      <w:pPr>
        <w:pStyle w:val="Citation-AltC"/>
        <w:widowControl w:val="0"/>
        <w:ind w:left="1168" w:hanging="1168"/>
        <w:contextualSpacing w:val="0"/>
        <w:rPr>
          <w:lang w:val="fr-CA"/>
        </w:rPr>
      </w:pPr>
      <w:r w:rsidRPr="00AA314A">
        <w:rPr>
          <w:b/>
          <w:lang w:val="fr-CA"/>
        </w:rPr>
        <w:tab/>
        <w:t>50. </w:t>
      </w:r>
      <w:r w:rsidRPr="00AA314A">
        <w:rPr>
          <w:lang w:val="fr-CA"/>
        </w:rPr>
        <w:t>Est coupable d</w:t>
      </w:r>
      <w:r>
        <w:rPr>
          <w:lang w:val="fr-CA"/>
        </w:rPr>
        <w:t>’</w:t>
      </w:r>
      <w:r w:rsidRPr="00AA314A">
        <w:rPr>
          <w:lang w:val="fr-CA"/>
        </w:rPr>
        <w:t>outrage au tribunal celui qui contrevient à une ordonnance ou à une injonction du tribunal ou d</w:t>
      </w:r>
      <w:r>
        <w:rPr>
          <w:lang w:val="fr-CA"/>
        </w:rPr>
        <w:t>’</w:t>
      </w:r>
      <w:r w:rsidRPr="00AA314A">
        <w:rPr>
          <w:lang w:val="fr-CA"/>
        </w:rPr>
        <w:t>un de ses juges, ou qui agit de manière, soit à entraver le cours normal de l</w:t>
      </w:r>
      <w:r>
        <w:rPr>
          <w:lang w:val="fr-CA"/>
        </w:rPr>
        <w:t>’</w:t>
      </w:r>
      <w:r w:rsidRPr="00AA314A">
        <w:rPr>
          <w:lang w:val="fr-CA"/>
        </w:rPr>
        <w:t>administration de la justice, soit à porter atteinte à l</w:t>
      </w:r>
      <w:r>
        <w:rPr>
          <w:lang w:val="fr-CA"/>
        </w:rPr>
        <w:t>’</w:t>
      </w:r>
      <w:r w:rsidRPr="00AA314A">
        <w:rPr>
          <w:lang w:val="fr-CA"/>
        </w:rPr>
        <w:t>autorité ou à la dignité du tribunal.</w:t>
      </w:r>
    </w:p>
    <w:p w:rsidR="00810FD5" w:rsidRPr="00AA314A" w:rsidRDefault="00810FD5" w:rsidP="003223DD">
      <w:pPr>
        <w:pStyle w:val="ParaNoNdepar-AltN"/>
        <w:widowControl w:val="0"/>
        <w:ind w:left="0"/>
        <w:rPr>
          <w:rFonts w:cs="Times New Roman"/>
          <w:lang w:val="fr-CA"/>
        </w:rPr>
      </w:pPr>
      <w:r w:rsidRPr="00AA314A">
        <w:rPr>
          <w:rFonts w:cs="Times New Roman"/>
          <w:lang w:val="fr-CA"/>
        </w:rPr>
        <w:t>L</w:t>
      </w:r>
      <w:r>
        <w:rPr>
          <w:rFonts w:cs="Times New Roman"/>
          <w:lang w:val="fr-CA"/>
        </w:rPr>
        <w:t>’</w:t>
      </w:r>
      <w:r w:rsidRPr="00AA314A">
        <w:rPr>
          <w:rFonts w:cs="Times New Roman"/>
          <w:lang w:val="fr-CA"/>
        </w:rPr>
        <w:t xml:space="preserve">article 761 se trouve dans la partie du </w:t>
      </w:r>
      <w:r w:rsidRPr="00AA314A">
        <w:rPr>
          <w:rFonts w:cs="Times New Roman"/>
          <w:i/>
          <w:lang w:val="fr-CA"/>
        </w:rPr>
        <w:t>C</w:t>
      </w:r>
      <w:r w:rsidR="00570CB7">
        <w:rPr>
          <w:rFonts w:cs="Times New Roman"/>
          <w:i/>
          <w:lang w:val="fr-CA"/>
        </w:rPr>
        <w:t>.p.c.</w:t>
      </w:r>
      <w:r w:rsidRPr="00AA314A">
        <w:rPr>
          <w:rFonts w:cs="Times New Roman"/>
          <w:lang w:val="fr-CA"/>
        </w:rPr>
        <w:t xml:space="preserve"> qui porte sur les injonctions. Il crée l</w:t>
      </w:r>
      <w:r>
        <w:rPr>
          <w:rFonts w:cs="Times New Roman"/>
          <w:lang w:val="fr-CA"/>
        </w:rPr>
        <w:t>’</w:t>
      </w:r>
      <w:r w:rsidRPr="00AA314A">
        <w:rPr>
          <w:rFonts w:cs="Times New Roman"/>
          <w:lang w:val="fr-CA"/>
        </w:rPr>
        <w:t>infraction d</w:t>
      </w:r>
      <w:r>
        <w:rPr>
          <w:rFonts w:cs="Times New Roman"/>
          <w:lang w:val="fr-CA"/>
        </w:rPr>
        <w:t>’</w:t>
      </w:r>
      <w:r w:rsidRPr="00AA314A">
        <w:rPr>
          <w:rFonts w:cs="Times New Roman"/>
          <w:lang w:val="fr-CA"/>
        </w:rPr>
        <w:t>outrage au tribunal qui se rapporte spécifiquement aux violations d</w:t>
      </w:r>
      <w:r>
        <w:rPr>
          <w:rFonts w:cs="Times New Roman"/>
          <w:lang w:val="fr-CA"/>
        </w:rPr>
        <w:t>’</w:t>
      </w:r>
      <w:r w:rsidRPr="00AA314A">
        <w:rPr>
          <w:rFonts w:cs="Times New Roman"/>
          <w:lang w:val="fr-CA"/>
        </w:rPr>
        <w:t>injonctions</w:t>
      </w:r>
      <w:r>
        <w:rPr>
          <w:rFonts w:cs="Times New Roman"/>
          <w:lang w:val="fr-CA"/>
        </w:rPr>
        <w:t> :</w:t>
      </w:r>
    </w:p>
    <w:p w:rsidR="00810FD5" w:rsidRPr="00AA314A" w:rsidRDefault="00810FD5" w:rsidP="003223DD">
      <w:pPr>
        <w:pStyle w:val="Citation-AltC"/>
        <w:widowControl w:val="0"/>
        <w:spacing w:after="240"/>
        <w:ind w:hanging="1166"/>
        <w:contextualSpacing w:val="0"/>
        <w:rPr>
          <w:lang w:val="fr-CA"/>
        </w:rPr>
      </w:pPr>
      <w:r w:rsidRPr="00AA314A">
        <w:rPr>
          <w:b/>
          <w:lang w:val="fr-CA"/>
        </w:rPr>
        <w:tab/>
        <w:t>761. </w:t>
      </w:r>
      <w:r w:rsidRPr="00AA314A">
        <w:rPr>
          <w:lang w:val="fr-CA"/>
        </w:rPr>
        <w:t>Toute personne nommée ou désignée dans une ordonnance d</w:t>
      </w:r>
      <w:r>
        <w:rPr>
          <w:lang w:val="fr-CA"/>
        </w:rPr>
        <w:t>’</w:t>
      </w:r>
      <w:r w:rsidRPr="00AA314A">
        <w:rPr>
          <w:lang w:val="fr-CA"/>
        </w:rPr>
        <w:t>injonction, qui la transgresse ou refuse d</w:t>
      </w:r>
      <w:r>
        <w:rPr>
          <w:lang w:val="fr-CA"/>
        </w:rPr>
        <w:t>’</w:t>
      </w:r>
      <w:r w:rsidRPr="00AA314A">
        <w:rPr>
          <w:lang w:val="fr-CA"/>
        </w:rPr>
        <w:t>y obéir, de même que toute personne non désignée qui y contrevient sciemment, se rendent coupables d</w:t>
      </w:r>
      <w:r>
        <w:rPr>
          <w:lang w:val="fr-CA"/>
        </w:rPr>
        <w:t>’</w:t>
      </w:r>
      <w:r w:rsidRPr="00AA314A">
        <w:rPr>
          <w:lang w:val="fr-CA"/>
        </w:rPr>
        <w:t>outrage au tribunal et peuvent être condamnées à une amende n</w:t>
      </w:r>
      <w:r>
        <w:rPr>
          <w:lang w:val="fr-CA"/>
        </w:rPr>
        <w:t>’</w:t>
      </w:r>
      <w:r w:rsidRPr="00AA314A">
        <w:rPr>
          <w:lang w:val="fr-CA"/>
        </w:rPr>
        <w:t>excédant pas 50 000</w:t>
      </w:r>
      <w:r>
        <w:rPr>
          <w:lang w:val="fr-CA"/>
        </w:rPr>
        <w:t> $</w:t>
      </w:r>
      <w:r w:rsidRPr="00AA314A">
        <w:rPr>
          <w:lang w:val="fr-CA"/>
        </w:rPr>
        <w:t>, avec ou sans emprisonnement pour une durée d</w:t>
      </w:r>
      <w:r>
        <w:rPr>
          <w:lang w:val="fr-CA"/>
        </w:rPr>
        <w:t>’</w:t>
      </w:r>
      <w:r w:rsidRPr="00AA314A">
        <w:rPr>
          <w:lang w:val="fr-CA"/>
        </w:rPr>
        <w:t>au plus un an, et sans préjudice à tous recours en dommages</w:t>
      </w:r>
      <w:r>
        <w:rPr>
          <w:lang w:val="fr-CA"/>
        </w:rPr>
        <w:noBreakHyphen/>
      </w:r>
      <w:r w:rsidRPr="00AA314A">
        <w:rPr>
          <w:lang w:val="fr-CA"/>
        </w:rPr>
        <w:t>intérêts. Ces pénalités peuvent être infligées derechef jusqu</w:t>
      </w:r>
      <w:r>
        <w:rPr>
          <w:lang w:val="fr-CA"/>
        </w:rPr>
        <w:t>’</w:t>
      </w:r>
      <w:r w:rsidRPr="00AA314A">
        <w:rPr>
          <w:lang w:val="fr-CA"/>
        </w:rPr>
        <w:t>à ce que le contrevenant se soit conformé à l</w:t>
      </w:r>
      <w:r>
        <w:rPr>
          <w:lang w:val="fr-CA"/>
        </w:rPr>
        <w:t>’</w:t>
      </w:r>
      <w:r w:rsidRPr="00AA314A">
        <w:rPr>
          <w:lang w:val="fr-CA"/>
        </w:rPr>
        <w:t>injonction.</w:t>
      </w:r>
    </w:p>
    <w:p w:rsidR="00810FD5" w:rsidRPr="00AA314A" w:rsidRDefault="00810FD5" w:rsidP="003223DD">
      <w:pPr>
        <w:pStyle w:val="Citation-AltC"/>
        <w:widowControl w:val="0"/>
        <w:ind w:hanging="1166"/>
        <w:contextualSpacing w:val="0"/>
        <w:rPr>
          <w:lang w:val="fr-CA"/>
        </w:rPr>
      </w:pPr>
      <w:r w:rsidRPr="00AA314A">
        <w:rPr>
          <w:lang w:val="fr-CA"/>
        </w:rPr>
        <w:tab/>
        <w:t>Le tribunal peut également ordonner que ce qui a été fait en contravention à l</w:t>
      </w:r>
      <w:r>
        <w:rPr>
          <w:lang w:val="fr-CA"/>
        </w:rPr>
        <w:t>’</w:t>
      </w:r>
      <w:r w:rsidRPr="00AA314A">
        <w:rPr>
          <w:lang w:val="fr-CA"/>
        </w:rPr>
        <w:t>injonction soit détruit ou enlevé, s</w:t>
      </w:r>
      <w:r>
        <w:rPr>
          <w:lang w:val="fr-CA"/>
        </w:rPr>
        <w:t>’</w:t>
      </w:r>
      <w:r w:rsidRPr="00AA314A">
        <w:rPr>
          <w:lang w:val="fr-CA"/>
        </w:rPr>
        <w:t>il y a lieu.</w:t>
      </w:r>
    </w:p>
    <w:p w:rsidR="00810FD5" w:rsidRPr="00AA314A" w:rsidRDefault="00810FD5" w:rsidP="003223DD">
      <w:pPr>
        <w:pStyle w:val="ParaNoNdepar-AltN"/>
        <w:widowControl w:val="0"/>
        <w:ind w:left="0"/>
        <w:rPr>
          <w:rFonts w:cs="Times New Roman"/>
          <w:b/>
          <w:lang w:val="fr-CA"/>
        </w:rPr>
      </w:pPr>
      <w:r w:rsidRPr="00AA314A">
        <w:rPr>
          <w:rFonts w:cs="Times New Roman"/>
          <w:lang w:val="fr-CA"/>
        </w:rPr>
        <w:t>Les articles 50 et 761 ont été tous les deux interprétés en harmonie avec la common law</w:t>
      </w:r>
      <w:r>
        <w:rPr>
          <w:rFonts w:cs="Times New Roman"/>
          <w:lang w:val="fr-CA"/>
        </w:rPr>
        <w:t> :</w:t>
      </w:r>
      <w:r w:rsidRPr="00AA314A">
        <w:rPr>
          <w:rFonts w:cs="Times New Roman"/>
          <w:lang w:val="fr-CA"/>
        </w:rPr>
        <w:t xml:space="preserve"> voir, par ex., </w:t>
      </w:r>
      <w:r w:rsidRPr="00AA314A">
        <w:rPr>
          <w:rFonts w:cs="Times New Roman"/>
          <w:i/>
          <w:lang w:val="fr-CA"/>
        </w:rPr>
        <w:t>Vidéotron</w:t>
      </w:r>
      <w:r w:rsidRPr="00AA314A">
        <w:rPr>
          <w:rFonts w:cs="Times New Roman"/>
          <w:lang w:val="fr-CA"/>
        </w:rPr>
        <w:t xml:space="preserve">, </w:t>
      </w:r>
      <w:r>
        <w:rPr>
          <w:rFonts w:cs="Times New Roman"/>
          <w:lang w:val="fr-CA"/>
        </w:rPr>
        <w:t>p. </w:t>
      </w:r>
      <w:r w:rsidRPr="00AA314A">
        <w:rPr>
          <w:rFonts w:cs="Times New Roman"/>
          <w:lang w:val="fr-CA"/>
        </w:rPr>
        <w:t xml:space="preserve">1078; </w:t>
      </w:r>
      <w:r w:rsidRPr="00AA314A">
        <w:rPr>
          <w:rFonts w:cs="Times New Roman"/>
          <w:i/>
          <w:lang w:val="fr-CA"/>
        </w:rPr>
        <w:t>Trudel c. Foucher</w:t>
      </w:r>
      <w:r w:rsidRPr="00AA314A">
        <w:rPr>
          <w:rFonts w:cs="Times New Roman"/>
          <w:lang w:val="fr-CA"/>
        </w:rPr>
        <w:t xml:space="preserve">, 2015 QCCA 691, </w:t>
      </w:r>
      <w:r>
        <w:rPr>
          <w:rFonts w:cs="Times New Roman"/>
          <w:lang w:val="fr-CA"/>
        </w:rPr>
        <w:t>par. </w:t>
      </w:r>
      <w:r w:rsidRPr="00AA314A">
        <w:rPr>
          <w:rFonts w:cs="Times New Roman"/>
          <w:lang w:val="fr-CA"/>
        </w:rPr>
        <w:t>31</w:t>
      </w:r>
      <w:r w:rsidR="005667AD">
        <w:rPr>
          <w:rFonts w:cs="Times New Roman"/>
          <w:lang w:val="fr-CA"/>
        </w:rPr>
        <w:t xml:space="preserve"> </w:t>
      </w:r>
      <w:r w:rsidRPr="00AA314A">
        <w:rPr>
          <w:rFonts w:cs="Times New Roman"/>
          <w:lang w:val="fr-CA"/>
        </w:rPr>
        <w:t xml:space="preserve">(CanLII); </w:t>
      </w:r>
      <w:r w:rsidRPr="00AA314A">
        <w:rPr>
          <w:rFonts w:cs="Times New Roman"/>
          <w:i/>
          <w:lang w:val="fr-CA"/>
        </w:rPr>
        <w:t>Chamandy c. Chartier</w:t>
      </w:r>
      <w:r w:rsidRPr="00AA314A">
        <w:rPr>
          <w:rFonts w:cs="Times New Roman"/>
          <w:lang w:val="fr-CA"/>
        </w:rPr>
        <w:t>,</w:t>
      </w:r>
      <w:r w:rsidRPr="00AA314A">
        <w:rPr>
          <w:rFonts w:cs="Times New Roman"/>
          <w:i/>
          <w:lang w:val="fr-CA"/>
        </w:rPr>
        <w:t xml:space="preserve"> </w:t>
      </w:r>
      <w:r w:rsidRPr="00AA314A">
        <w:rPr>
          <w:rFonts w:cs="Times New Roman"/>
          <w:lang w:val="fr-CA"/>
        </w:rPr>
        <w:t xml:space="preserve">2015 QCCA 1142, </w:t>
      </w:r>
      <w:r>
        <w:rPr>
          <w:rFonts w:cs="Times New Roman"/>
          <w:lang w:val="fr-CA"/>
        </w:rPr>
        <w:t>par. </w:t>
      </w:r>
      <w:r w:rsidRPr="00AA314A">
        <w:rPr>
          <w:rFonts w:cs="Times New Roman"/>
          <w:lang w:val="fr-CA"/>
        </w:rPr>
        <w:t xml:space="preserve">26 et 31 (CanLII); </w:t>
      </w:r>
      <w:r w:rsidRPr="00AA314A">
        <w:rPr>
          <w:rFonts w:cs="Times New Roman"/>
          <w:bCs/>
          <w:i/>
          <w:lang w:val="fr-CA"/>
        </w:rPr>
        <w:t>Montréal (Ville de) c. Syndicat des cols bleus regroupés de Montréal (SCFP)</w:t>
      </w:r>
      <w:r w:rsidRPr="00EC463E">
        <w:rPr>
          <w:rFonts w:cs="Times New Roman"/>
          <w:bCs/>
          <w:i/>
          <w:lang w:val="fr-CA"/>
        </w:rPr>
        <w:t>,</w:t>
      </w:r>
      <w:r w:rsidRPr="00AA314A">
        <w:rPr>
          <w:rFonts w:cs="Times New Roman"/>
          <w:bCs/>
          <w:i/>
          <w:lang w:val="fr-CA"/>
        </w:rPr>
        <w:t xml:space="preserve"> section locale 301</w:t>
      </w:r>
      <w:r w:rsidRPr="00AA314A">
        <w:rPr>
          <w:rFonts w:cs="Times New Roman"/>
          <w:bCs/>
          <w:lang w:val="fr-CA"/>
        </w:rPr>
        <w:t xml:space="preserve">, 2006 QCCS 5273, </w:t>
      </w:r>
      <w:r>
        <w:rPr>
          <w:rFonts w:cs="Times New Roman"/>
          <w:bCs/>
          <w:lang w:val="fr-CA"/>
        </w:rPr>
        <w:t>par. </w:t>
      </w:r>
      <w:r w:rsidRPr="00AA314A">
        <w:rPr>
          <w:rFonts w:cs="Times New Roman"/>
          <w:bCs/>
          <w:lang w:val="fr-CA"/>
        </w:rPr>
        <w:t xml:space="preserve">117 (CanLII); </w:t>
      </w:r>
      <w:r w:rsidRPr="00AA314A">
        <w:rPr>
          <w:rFonts w:cs="Times New Roman"/>
          <w:bCs/>
          <w:i/>
          <w:lang w:val="fr-CA"/>
        </w:rPr>
        <w:t>Gougoux c. Richard</w:t>
      </w:r>
      <w:r w:rsidRPr="00AA314A">
        <w:rPr>
          <w:rFonts w:cs="Times New Roman"/>
          <w:bCs/>
          <w:lang w:val="fr-CA"/>
        </w:rPr>
        <w:t>,</w:t>
      </w:r>
      <w:r w:rsidRPr="00AA314A">
        <w:rPr>
          <w:rFonts w:cs="Times New Roman"/>
          <w:bCs/>
          <w:i/>
          <w:lang w:val="fr-CA"/>
        </w:rPr>
        <w:t xml:space="preserve"> </w:t>
      </w:r>
      <w:r w:rsidRPr="00AA314A">
        <w:rPr>
          <w:rFonts w:cs="Times New Roman"/>
          <w:bCs/>
          <w:lang w:val="fr-CA"/>
        </w:rPr>
        <w:t>2005 CanLII 37770 (C.S.</w:t>
      </w:r>
      <w:r w:rsidR="005667AD">
        <w:rPr>
          <w:rFonts w:cs="Times New Roman"/>
          <w:bCs/>
          <w:lang w:val="fr-CA"/>
        </w:rPr>
        <w:t xml:space="preserve"> Qc</w:t>
      </w:r>
      <w:r w:rsidRPr="00AA314A">
        <w:rPr>
          <w:rFonts w:cs="Times New Roman"/>
          <w:bCs/>
          <w:lang w:val="fr-CA"/>
        </w:rPr>
        <w:t xml:space="preserve">), </w:t>
      </w:r>
      <w:r>
        <w:rPr>
          <w:rFonts w:cs="Times New Roman"/>
          <w:bCs/>
          <w:lang w:val="fr-CA"/>
        </w:rPr>
        <w:t>par. </w:t>
      </w:r>
      <w:r w:rsidRPr="00AA314A">
        <w:rPr>
          <w:rFonts w:cs="Times New Roman"/>
          <w:bCs/>
          <w:lang w:val="fr-CA"/>
        </w:rPr>
        <w:t>28</w:t>
      </w:r>
      <w:r>
        <w:rPr>
          <w:rFonts w:cs="Times New Roman"/>
          <w:bCs/>
          <w:lang w:val="fr-CA"/>
        </w:rPr>
        <w:noBreakHyphen/>
      </w:r>
      <w:r w:rsidRPr="00AA314A">
        <w:rPr>
          <w:rFonts w:cs="Times New Roman"/>
          <w:bCs/>
          <w:lang w:val="fr-CA"/>
        </w:rPr>
        <w:t xml:space="preserve">31. </w:t>
      </w:r>
    </w:p>
    <w:p w:rsidR="00810FD5" w:rsidRPr="00AA314A" w:rsidRDefault="00810FD5" w:rsidP="003223DD">
      <w:pPr>
        <w:pStyle w:val="ParaNoNdepar-AltN"/>
        <w:widowControl w:val="0"/>
        <w:ind w:left="0"/>
        <w:rPr>
          <w:rFonts w:cs="Times New Roman"/>
          <w:b/>
          <w:lang w:val="fr-CA"/>
        </w:rPr>
      </w:pPr>
      <w:r w:rsidRPr="00AA314A">
        <w:rPr>
          <w:rFonts w:cs="Times New Roman"/>
          <w:lang w:val="fr-CA"/>
        </w:rPr>
        <w:t>L</w:t>
      </w:r>
      <w:r>
        <w:rPr>
          <w:rFonts w:cs="Times New Roman"/>
          <w:lang w:val="fr-CA"/>
        </w:rPr>
        <w:t>’</w:t>
      </w:r>
      <w:r w:rsidRPr="00AA314A">
        <w:rPr>
          <w:rFonts w:cs="Times New Roman"/>
          <w:lang w:val="fr-CA"/>
        </w:rPr>
        <w:t>infraction d</w:t>
      </w:r>
      <w:r>
        <w:rPr>
          <w:rFonts w:cs="Times New Roman"/>
          <w:lang w:val="fr-CA"/>
        </w:rPr>
        <w:t>’</w:t>
      </w:r>
      <w:r w:rsidRPr="00AA314A">
        <w:rPr>
          <w:rFonts w:cs="Times New Roman"/>
          <w:lang w:val="fr-CA"/>
        </w:rPr>
        <w:t>outrage au tribunal décrite au premier alinéa de l</w:t>
      </w:r>
      <w:r>
        <w:rPr>
          <w:rFonts w:cs="Times New Roman"/>
          <w:lang w:val="fr-CA"/>
        </w:rPr>
        <w:t>’art. </w:t>
      </w:r>
      <w:r w:rsidRPr="00AA314A">
        <w:rPr>
          <w:rFonts w:cs="Times New Roman"/>
          <w:lang w:val="fr-CA"/>
        </w:rPr>
        <w:t xml:space="preserve">50 </w:t>
      </w:r>
      <w:r w:rsidRPr="00AA314A">
        <w:rPr>
          <w:rFonts w:cs="Times New Roman"/>
          <w:lang w:val="fr-CA"/>
        </w:rPr>
        <w:lastRenderedPageBreak/>
        <w:t>comporte deux volets. Lorsqu</w:t>
      </w:r>
      <w:r>
        <w:rPr>
          <w:rFonts w:cs="Times New Roman"/>
          <w:lang w:val="fr-CA"/>
        </w:rPr>
        <w:t>’</w:t>
      </w:r>
      <w:r w:rsidRPr="00AA314A">
        <w:rPr>
          <w:rFonts w:cs="Times New Roman"/>
          <w:lang w:val="fr-CA"/>
        </w:rPr>
        <w:t>une ordonnance ou une injonction en particulier du tribunal est en cause, les deux volets exigent la connaissance réelle ou inférée de l</w:t>
      </w:r>
      <w:r>
        <w:rPr>
          <w:rFonts w:cs="Times New Roman"/>
          <w:lang w:val="fr-CA"/>
        </w:rPr>
        <w:t>’</w:t>
      </w:r>
      <w:r w:rsidRPr="00AA314A">
        <w:rPr>
          <w:rFonts w:cs="Times New Roman"/>
          <w:lang w:val="fr-CA"/>
        </w:rPr>
        <w:t>ordonnance ou de l</w:t>
      </w:r>
      <w:r>
        <w:rPr>
          <w:rFonts w:cs="Times New Roman"/>
          <w:lang w:val="fr-CA"/>
        </w:rPr>
        <w:t>’</w:t>
      </w:r>
      <w:r w:rsidRPr="00AA314A">
        <w:rPr>
          <w:rFonts w:cs="Times New Roman"/>
          <w:lang w:val="fr-CA"/>
        </w:rPr>
        <w:t>injonction. La connaissance réelle peut être établie par la preuve que l</w:t>
      </w:r>
      <w:r>
        <w:rPr>
          <w:rFonts w:cs="Times New Roman"/>
          <w:lang w:val="fr-CA"/>
        </w:rPr>
        <w:t>’</w:t>
      </w:r>
      <w:r w:rsidRPr="00AA314A">
        <w:rPr>
          <w:rFonts w:cs="Times New Roman"/>
          <w:lang w:val="fr-CA"/>
        </w:rPr>
        <w:t>ordonnance du tribunal a été signifiée personnellement à l</w:t>
      </w:r>
      <w:r>
        <w:rPr>
          <w:rFonts w:cs="Times New Roman"/>
          <w:lang w:val="fr-CA"/>
        </w:rPr>
        <w:t>’</w:t>
      </w:r>
      <w:r w:rsidRPr="00AA314A">
        <w:rPr>
          <w:rFonts w:cs="Times New Roman"/>
          <w:lang w:val="fr-CA"/>
        </w:rPr>
        <w:t>individu accusé d</w:t>
      </w:r>
      <w:r>
        <w:rPr>
          <w:rFonts w:cs="Times New Roman"/>
          <w:lang w:val="fr-CA"/>
        </w:rPr>
        <w:t>’</w:t>
      </w:r>
      <w:r w:rsidRPr="00AA314A">
        <w:rPr>
          <w:rFonts w:cs="Times New Roman"/>
          <w:lang w:val="fr-CA"/>
        </w:rPr>
        <w:t>outrage. Elle peut aussi être inférée des circonstances ou du comportement de l</w:t>
      </w:r>
      <w:r>
        <w:rPr>
          <w:rFonts w:cs="Times New Roman"/>
          <w:lang w:val="fr-CA"/>
        </w:rPr>
        <w:t>’</w:t>
      </w:r>
      <w:r w:rsidRPr="00AA314A">
        <w:rPr>
          <w:rFonts w:cs="Times New Roman"/>
          <w:lang w:val="fr-CA"/>
        </w:rPr>
        <w:t>intéressé</w:t>
      </w:r>
      <w:r>
        <w:rPr>
          <w:rFonts w:cs="Times New Roman"/>
          <w:lang w:val="fr-CA"/>
        </w:rPr>
        <w:t> :</w:t>
      </w:r>
      <w:r w:rsidRPr="00AA314A">
        <w:rPr>
          <w:rFonts w:cs="Times New Roman"/>
          <w:lang w:val="fr-CA"/>
        </w:rPr>
        <w:t xml:space="preserve"> </w:t>
      </w:r>
      <w:r w:rsidRPr="00AA314A">
        <w:rPr>
          <w:rFonts w:cs="Times New Roman"/>
          <w:i/>
          <w:lang w:val="fr-CA" w:bidi="en-US"/>
        </w:rPr>
        <w:t>Estrada c. Young</w:t>
      </w:r>
      <w:r w:rsidRPr="00AA314A">
        <w:rPr>
          <w:rFonts w:cs="Times New Roman"/>
          <w:lang w:val="fr-CA" w:bidi="en-US"/>
        </w:rPr>
        <w:t xml:space="preserve">, 2005 QCCA 493, </w:t>
      </w:r>
      <w:r>
        <w:rPr>
          <w:rFonts w:cs="Times New Roman"/>
          <w:lang w:val="fr-CA" w:bidi="en-US"/>
        </w:rPr>
        <w:t>par. </w:t>
      </w:r>
      <w:r w:rsidRPr="00AA314A">
        <w:rPr>
          <w:rFonts w:cs="Times New Roman"/>
          <w:lang w:val="fr-CA" w:bidi="en-US"/>
        </w:rPr>
        <w:t xml:space="preserve">11 (CanLII); </w:t>
      </w:r>
      <w:r w:rsidRPr="00AA314A">
        <w:rPr>
          <w:rFonts w:cs="Times New Roman"/>
          <w:i/>
          <w:lang w:val="fr-CA" w:bidi="en-US"/>
        </w:rPr>
        <w:t>Zhang c. Chau</w:t>
      </w:r>
      <w:r w:rsidRPr="00AA314A">
        <w:rPr>
          <w:rFonts w:cs="Times New Roman"/>
          <w:lang w:val="fr-CA" w:bidi="en-US"/>
        </w:rPr>
        <w:t xml:space="preserve"> (2003), 229 D.L.R. (4</w:t>
      </w:r>
      <w:r w:rsidRPr="00E31380">
        <w:rPr>
          <w:rFonts w:cs="Times New Roman"/>
          <w:lang w:val="fr-CA" w:bidi="en-US"/>
        </w:rPr>
        <w:t>th</w:t>
      </w:r>
      <w:r w:rsidRPr="00AA314A">
        <w:rPr>
          <w:rFonts w:cs="Times New Roman"/>
          <w:lang w:val="fr-CA" w:bidi="en-US"/>
        </w:rPr>
        <w:t>) 298 (C.A.</w:t>
      </w:r>
      <w:r w:rsidR="00E31380">
        <w:rPr>
          <w:rFonts w:cs="Times New Roman"/>
          <w:lang w:val="fr-CA" w:bidi="en-US"/>
        </w:rPr>
        <w:t xml:space="preserve"> Qc</w:t>
      </w:r>
      <w:r w:rsidRPr="00AA314A">
        <w:rPr>
          <w:rFonts w:cs="Times New Roman"/>
          <w:lang w:val="fr-CA" w:bidi="en-US"/>
        </w:rPr>
        <w:t xml:space="preserve">), </w:t>
      </w:r>
      <w:r>
        <w:rPr>
          <w:rFonts w:cs="Times New Roman"/>
          <w:lang w:val="fr-CA" w:bidi="en-US"/>
        </w:rPr>
        <w:t>par. </w:t>
      </w:r>
      <w:r w:rsidR="00E31380">
        <w:rPr>
          <w:rFonts w:cs="Times New Roman"/>
          <w:lang w:val="fr-CA" w:bidi="en-US"/>
        </w:rPr>
        <w:t>30-</w:t>
      </w:r>
      <w:r w:rsidRPr="00AA314A">
        <w:rPr>
          <w:rFonts w:cs="Times New Roman"/>
          <w:lang w:val="fr-CA" w:bidi="en-US"/>
        </w:rPr>
        <w:t>31.</w:t>
      </w:r>
      <w:r w:rsidRPr="00AA314A">
        <w:rPr>
          <w:rFonts w:cs="Times New Roman"/>
          <w:lang w:val="fr-CA"/>
        </w:rPr>
        <w:t xml:space="preserve"> Toutefois, la connaissance réelle ne peut être inférée du comportement d</w:t>
      </w:r>
      <w:r>
        <w:rPr>
          <w:rFonts w:cs="Times New Roman"/>
          <w:lang w:val="fr-CA"/>
        </w:rPr>
        <w:t>’</w:t>
      </w:r>
      <w:r w:rsidRPr="00AA314A">
        <w:rPr>
          <w:rFonts w:cs="Times New Roman"/>
          <w:lang w:val="fr-CA"/>
        </w:rPr>
        <w:t>autrui ou de la signification de l</w:t>
      </w:r>
      <w:r>
        <w:rPr>
          <w:rFonts w:cs="Times New Roman"/>
          <w:lang w:val="fr-CA"/>
        </w:rPr>
        <w:t>’</w:t>
      </w:r>
      <w:r w:rsidRPr="00AA314A">
        <w:rPr>
          <w:rFonts w:cs="Times New Roman"/>
          <w:lang w:val="fr-CA"/>
        </w:rPr>
        <w:t>ordonnance du tribunal à d</w:t>
      </w:r>
      <w:r>
        <w:rPr>
          <w:rFonts w:cs="Times New Roman"/>
          <w:lang w:val="fr-CA"/>
        </w:rPr>
        <w:t>’</w:t>
      </w:r>
      <w:r w:rsidRPr="00AA314A">
        <w:rPr>
          <w:rFonts w:cs="Times New Roman"/>
          <w:lang w:val="fr-CA"/>
        </w:rPr>
        <w:t>autres personnes que l</w:t>
      </w:r>
      <w:r>
        <w:rPr>
          <w:rFonts w:cs="Times New Roman"/>
          <w:lang w:val="fr-CA"/>
        </w:rPr>
        <w:t>’</w:t>
      </w:r>
      <w:r w:rsidRPr="00AA314A">
        <w:rPr>
          <w:rFonts w:cs="Times New Roman"/>
          <w:lang w:val="fr-CA"/>
        </w:rPr>
        <w:t>accusé</w:t>
      </w:r>
      <w:r>
        <w:rPr>
          <w:rFonts w:cs="Times New Roman"/>
          <w:lang w:val="fr-CA"/>
        </w:rPr>
        <w:t> :</w:t>
      </w:r>
      <w:r w:rsidRPr="00AA314A">
        <w:rPr>
          <w:rFonts w:cs="Times New Roman"/>
          <w:lang w:val="fr-CA"/>
        </w:rPr>
        <w:t xml:space="preserve"> </w:t>
      </w:r>
      <w:r w:rsidRPr="00AA314A">
        <w:rPr>
          <w:rFonts w:cs="Times New Roman"/>
          <w:i/>
          <w:lang w:val="fr-CA"/>
        </w:rPr>
        <w:t>Syndicat des cols bleus regroupés de Montréal</w:t>
      </w:r>
      <w:r w:rsidRPr="00AA314A">
        <w:rPr>
          <w:rFonts w:cs="Times New Roman"/>
          <w:lang w:val="fr-CA"/>
        </w:rPr>
        <w:t xml:space="preserve">, </w:t>
      </w:r>
      <w:r>
        <w:rPr>
          <w:rFonts w:cs="Times New Roman"/>
          <w:lang w:val="fr-CA"/>
        </w:rPr>
        <w:t>par. </w:t>
      </w:r>
      <w:r w:rsidRPr="00AA314A">
        <w:rPr>
          <w:rFonts w:cs="Times New Roman"/>
          <w:lang w:val="fr-CA"/>
        </w:rPr>
        <w:t>128. En outre, lorsqu</w:t>
      </w:r>
      <w:r>
        <w:rPr>
          <w:rFonts w:cs="Times New Roman"/>
          <w:lang w:val="fr-CA"/>
        </w:rPr>
        <w:t>’</w:t>
      </w:r>
      <w:r w:rsidRPr="00AA314A">
        <w:rPr>
          <w:rFonts w:cs="Times New Roman"/>
          <w:lang w:val="fr-CA"/>
        </w:rPr>
        <w:t>on allègue la violation d</w:t>
      </w:r>
      <w:r>
        <w:rPr>
          <w:rFonts w:cs="Times New Roman"/>
          <w:lang w:val="fr-CA"/>
        </w:rPr>
        <w:t>’</w:t>
      </w:r>
      <w:r w:rsidRPr="00AA314A">
        <w:rPr>
          <w:rFonts w:cs="Times New Roman"/>
          <w:lang w:val="fr-CA"/>
        </w:rPr>
        <w:t>une ordonnance du tribunal, il faut que l</w:t>
      </w:r>
      <w:r>
        <w:rPr>
          <w:rFonts w:cs="Times New Roman"/>
          <w:lang w:val="fr-CA"/>
        </w:rPr>
        <w:t>’</w:t>
      </w:r>
      <w:r w:rsidRPr="00AA314A">
        <w:rPr>
          <w:rFonts w:cs="Times New Roman"/>
          <w:lang w:val="fr-CA"/>
        </w:rPr>
        <w:t>ordonnance énonce clairement et sans équivoque ce qui est exigé ou interdit. Cette exigence vise à faire en sorte que l</w:t>
      </w:r>
      <w:r>
        <w:rPr>
          <w:rFonts w:cs="Times New Roman"/>
          <w:lang w:val="fr-CA"/>
        </w:rPr>
        <w:t>’</w:t>
      </w:r>
      <w:r w:rsidRPr="00AA314A">
        <w:rPr>
          <w:rFonts w:cs="Times New Roman"/>
          <w:lang w:val="fr-CA"/>
        </w:rPr>
        <w:t>intéressé ne soit pas déclaré coupable d</w:t>
      </w:r>
      <w:r>
        <w:rPr>
          <w:rFonts w:cs="Times New Roman"/>
          <w:lang w:val="fr-CA"/>
        </w:rPr>
        <w:t>’</w:t>
      </w:r>
      <w:r w:rsidRPr="00AA314A">
        <w:rPr>
          <w:rFonts w:cs="Times New Roman"/>
          <w:lang w:val="fr-CA"/>
        </w:rPr>
        <w:t>outrage si l</w:t>
      </w:r>
      <w:r>
        <w:rPr>
          <w:rFonts w:cs="Times New Roman"/>
          <w:lang w:val="fr-CA"/>
        </w:rPr>
        <w:t>’</w:t>
      </w:r>
      <w:r w:rsidRPr="00AA314A">
        <w:rPr>
          <w:rFonts w:cs="Times New Roman"/>
          <w:lang w:val="fr-CA"/>
        </w:rPr>
        <w:t>ordonnance du tribunal est vague</w:t>
      </w:r>
      <w:r>
        <w:rPr>
          <w:rFonts w:cs="Times New Roman"/>
          <w:lang w:val="fr-CA"/>
        </w:rPr>
        <w:t> :</w:t>
      </w:r>
      <w:r w:rsidRPr="00AA314A">
        <w:rPr>
          <w:rFonts w:cs="Times New Roman"/>
          <w:lang w:val="fr-CA"/>
        </w:rPr>
        <w:t xml:space="preserve"> </w:t>
      </w:r>
      <w:r w:rsidRPr="00AA314A">
        <w:rPr>
          <w:rFonts w:eastAsia="Times New Roman" w:cs="Times New Roman"/>
          <w:bCs/>
          <w:i/>
          <w:szCs w:val="24"/>
          <w:lang w:val="fr-CA" w:eastAsia="en-CA"/>
        </w:rPr>
        <w:t>Paul Albert Chevrolet</w:t>
      </w:r>
      <w:r w:rsidRPr="00AA314A">
        <w:rPr>
          <w:rFonts w:eastAsia="Times New Roman" w:cs="Times New Roman"/>
          <w:bCs/>
          <w:szCs w:val="24"/>
          <w:lang w:val="fr-CA" w:eastAsia="en-CA"/>
        </w:rPr>
        <w:t>,</w:t>
      </w:r>
      <w:r w:rsidRPr="00AA314A">
        <w:rPr>
          <w:rFonts w:eastAsia="Times New Roman" w:cs="Times New Roman"/>
          <w:bCs/>
          <w:i/>
          <w:szCs w:val="24"/>
          <w:lang w:val="fr-CA" w:eastAsia="en-CA"/>
        </w:rPr>
        <w:t xml:space="preserve"> </w:t>
      </w:r>
      <w:r>
        <w:rPr>
          <w:rFonts w:eastAsia="Times New Roman" w:cs="Times New Roman"/>
          <w:bCs/>
          <w:szCs w:val="24"/>
          <w:lang w:val="fr-CA" w:eastAsia="en-CA"/>
        </w:rPr>
        <w:t>par. </w:t>
      </w:r>
      <w:r w:rsidRPr="00AA314A">
        <w:rPr>
          <w:rFonts w:eastAsia="Times New Roman" w:cs="Times New Roman"/>
          <w:bCs/>
          <w:szCs w:val="24"/>
          <w:lang w:val="fr-CA" w:eastAsia="en-CA"/>
        </w:rPr>
        <w:t>26;</w:t>
      </w:r>
      <w:r w:rsidRPr="00AA314A">
        <w:rPr>
          <w:rFonts w:eastAsia="Times New Roman" w:cs="Times New Roman"/>
          <w:bCs/>
          <w:i/>
          <w:szCs w:val="24"/>
          <w:lang w:val="fr-CA" w:eastAsia="en-CA"/>
        </w:rPr>
        <w:t xml:space="preserve"> </w:t>
      </w:r>
      <w:r w:rsidRPr="00AA314A">
        <w:rPr>
          <w:rFonts w:cs="Times New Roman"/>
          <w:i/>
          <w:lang w:val="fr-CA"/>
        </w:rPr>
        <w:t>Carey</w:t>
      </w:r>
      <w:r w:rsidRPr="00AA314A">
        <w:rPr>
          <w:rFonts w:cs="Times New Roman"/>
          <w:lang w:val="fr-CA"/>
        </w:rPr>
        <w:t xml:space="preserve">, </w:t>
      </w:r>
      <w:r>
        <w:rPr>
          <w:rFonts w:cs="Times New Roman"/>
          <w:lang w:val="fr-CA"/>
        </w:rPr>
        <w:t>par. </w:t>
      </w:r>
      <w:r w:rsidRPr="00AA314A">
        <w:rPr>
          <w:rFonts w:cs="Times New Roman"/>
          <w:lang w:val="fr-CA"/>
        </w:rPr>
        <w:t xml:space="preserve">33. </w:t>
      </w:r>
    </w:p>
    <w:p w:rsidR="00810FD5" w:rsidRPr="00AA314A" w:rsidRDefault="00810FD5" w:rsidP="003223DD">
      <w:pPr>
        <w:pStyle w:val="ParaNoNdepar-AltN"/>
        <w:widowControl w:val="0"/>
        <w:ind w:left="0"/>
        <w:rPr>
          <w:rFonts w:cs="Times New Roman"/>
          <w:b/>
          <w:lang w:val="fr-CA"/>
        </w:rPr>
      </w:pPr>
      <w:r w:rsidRPr="00AA314A">
        <w:rPr>
          <w:rFonts w:cs="Times New Roman"/>
          <w:lang w:val="fr-CA"/>
        </w:rPr>
        <w:t>Le premier volet vise la contravention à une ordonnance ou à une injonction du tribunal ou d</w:t>
      </w:r>
      <w:r>
        <w:rPr>
          <w:rFonts w:cs="Times New Roman"/>
          <w:lang w:val="fr-CA"/>
        </w:rPr>
        <w:t>’</w:t>
      </w:r>
      <w:r w:rsidRPr="00AA314A">
        <w:rPr>
          <w:rFonts w:cs="Times New Roman"/>
          <w:lang w:val="fr-CA"/>
        </w:rPr>
        <w:t>un juge. La personne accusée d</w:t>
      </w:r>
      <w:r>
        <w:rPr>
          <w:rFonts w:cs="Times New Roman"/>
          <w:lang w:val="fr-CA"/>
        </w:rPr>
        <w:t>’</w:t>
      </w:r>
      <w:r w:rsidRPr="00AA314A">
        <w:rPr>
          <w:rFonts w:cs="Times New Roman"/>
          <w:lang w:val="fr-CA"/>
        </w:rPr>
        <w:t>outrage doit avoir intentionnellement commis un acte interdit par l</w:t>
      </w:r>
      <w:r>
        <w:rPr>
          <w:rFonts w:cs="Times New Roman"/>
          <w:lang w:val="fr-CA"/>
        </w:rPr>
        <w:t>’</w:t>
      </w:r>
      <w:r w:rsidRPr="00AA314A">
        <w:rPr>
          <w:rFonts w:cs="Times New Roman"/>
          <w:lang w:val="fr-CA"/>
        </w:rPr>
        <w:t>ordonnance ou intentionnellement omis de commettre un acte comme elle l</w:t>
      </w:r>
      <w:r>
        <w:rPr>
          <w:rFonts w:cs="Times New Roman"/>
          <w:lang w:val="fr-CA"/>
        </w:rPr>
        <w:t>’</w:t>
      </w:r>
      <w:r w:rsidRPr="00AA314A">
        <w:rPr>
          <w:rFonts w:cs="Times New Roman"/>
          <w:lang w:val="fr-CA"/>
        </w:rPr>
        <w:t>exige</w:t>
      </w:r>
      <w:r>
        <w:rPr>
          <w:rFonts w:cs="Times New Roman"/>
          <w:lang w:val="fr-CA"/>
        </w:rPr>
        <w:t> :</w:t>
      </w:r>
      <w:r w:rsidRPr="00AA314A">
        <w:rPr>
          <w:rFonts w:cs="Times New Roman"/>
          <w:lang w:val="fr-CA"/>
        </w:rPr>
        <w:t xml:space="preserve"> </w:t>
      </w:r>
      <w:r w:rsidRPr="00AA314A">
        <w:rPr>
          <w:rFonts w:cs="Times New Roman"/>
          <w:i/>
          <w:lang w:val="fr-CA"/>
        </w:rPr>
        <w:t>Carey</w:t>
      </w:r>
      <w:r w:rsidRPr="00AA314A">
        <w:rPr>
          <w:rFonts w:cs="Times New Roman"/>
          <w:lang w:val="fr-CA"/>
        </w:rPr>
        <w:t xml:space="preserve">, </w:t>
      </w:r>
      <w:r>
        <w:rPr>
          <w:rFonts w:cs="Times New Roman"/>
          <w:lang w:val="fr-CA"/>
        </w:rPr>
        <w:t>par. </w:t>
      </w:r>
      <w:r w:rsidRPr="00AA314A">
        <w:rPr>
          <w:rFonts w:cs="Times New Roman"/>
          <w:lang w:val="fr-CA"/>
        </w:rPr>
        <w:t>35</w:t>
      </w:r>
      <w:r w:rsidRPr="00AA314A">
        <w:rPr>
          <w:rFonts w:eastAsia="Times New Roman" w:cs="Times New Roman"/>
          <w:bCs/>
          <w:szCs w:val="24"/>
          <w:lang w:val="fr-CA" w:eastAsia="en-CA"/>
        </w:rPr>
        <w:t>.</w:t>
      </w:r>
      <w:r w:rsidRPr="00AA314A">
        <w:rPr>
          <w:rFonts w:eastAsia="Times New Roman" w:cs="Times New Roman"/>
          <w:bCs/>
          <w:i/>
          <w:szCs w:val="24"/>
          <w:lang w:val="fr-CA" w:eastAsia="en-CA"/>
        </w:rPr>
        <w:t xml:space="preserve"> </w:t>
      </w:r>
    </w:p>
    <w:p w:rsidR="00810FD5" w:rsidRPr="00AA314A" w:rsidRDefault="00810FD5" w:rsidP="003223DD">
      <w:pPr>
        <w:pStyle w:val="ParaNoNdepar-AltN"/>
        <w:widowControl w:val="0"/>
        <w:ind w:left="0"/>
        <w:rPr>
          <w:rFonts w:cs="Times New Roman"/>
          <w:b/>
          <w:lang w:val="en-US"/>
        </w:rPr>
      </w:pPr>
      <w:r w:rsidRPr="00AA314A">
        <w:rPr>
          <w:rFonts w:cs="Times New Roman"/>
          <w:lang w:val="fr-CA"/>
        </w:rPr>
        <w:t>Le deuxième volet du premier alinéa de l</w:t>
      </w:r>
      <w:r>
        <w:rPr>
          <w:rFonts w:cs="Times New Roman"/>
          <w:lang w:val="fr-CA"/>
        </w:rPr>
        <w:t>’art. </w:t>
      </w:r>
      <w:r w:rsidRPr="00AA314A">
        <w:rPr>
          <w:rFonts w:cs="Times New Roman"/>
          <w:lang w:val="fr-CA"/>
        </w:rPr>
        <w:t>50 est différent. L</w:t>
      </w:r>
      <w:r>
        <w:rPr>
          <w:rFonts w:cs="Times New Roman"/>
          <w:lang w:val="fr-CA"/>
        </w:rPr>
        <w:t>’</w:t>
      </w:r>
      <w:r w:rsidRPr="00AA314A">
        <w:rPr>
          <w:rFonts w:cs="Times New Roman"/>
          <w:i/>
          <w:lang w:val="fr-CA"/>
        </w:rPr>
        <w:t>actus reus</w:t>
      </w:r>
      <w:r w:rsidRPr="00AA314A">
        <w:rPr>
          <w:rFonts w:cs="Times New Roman"/>
          <w:lang w:val="fr-CA"/>
        </w:rPr>
        <w:t xml:space="preserve"> est établi lorsque la personne « agit de manière, soit à entraver le cours normal de l</w:t>
      </w:r>
      <w:r>
        <w:rPr>
          <w:rFonts w:cs="Times New Roman"/>
          <w:lang w:val="fr-CA"/>
        </w:rPr>
        <w:t>’</w:t>
      </w:r>
      <w:r w:rsidRPr="00AA314A">
        <w:rPr>
          <w:rFonts w:cs="Times New Roman"/>
          <w:lang w:val="fr-CA"/>
        </w:rPr>
        <w:t>administration de la justice, soit à porter atteinte à l</w:t>
      </w:r>
      <w:r>
        <w:rPr>
          <w:rFonts w:cs="Times New Roman"/>
          <w:lang w:val="fr-CA"/>
        </w:rPr>
        <w:t>’</w:t>
      </w:r>
      <w:r w:rsidRPr="00AA314A">
        <w:rPr>
          <w:rFonts w:cs="Times New Roman"/>
          <w:lang w:val="fr-CA"/>
        </w:rPr>
        <w:t xml:space="preserve">autorité ou à la dignité du tribunal ». Les actes posés ou les propos reprochés doivent soit avoir cet effet, soit créer </w:t>
      </w:r>
      <w:r w:rsidRPr="00AA314A">
        <w:rPr>
          <w:rFonts w:cs="Times New Roman"/>
          <w:lang w:val="fr-CA"/>
        </w:rPr>
        <w:lastRenderedPageBreak/>
        <w:t>un risque sérieux ou important de l</w:t>
      </w:r>
      <w:r>
        <w:rPr>
          <w:rFonts w:cs="Times New Roman"/>
          <w:lang w:val="fr-CA"/>
        </w:rPr>
        <w:t>’</w:t>
      </w:r>
      <w:r w:rsidRPr="00AA314A">
        <w:rPr>
          <w:rFonts w:cs="Times New Roman"/>
          <w:lang w:val="fr-CA"/>
        </w:rPr>
        <w:t>avoir</w:t>
      </w:r>
      <w:r>
        <w:rPr>
          <w:rFonts w:cs="Times New Roman"/>
          <w:lang w:val="fr-CA"/>
        </w:rPr>
        <w:t> :</w:t>
      </w:r>
      <w:r w:rsidRPr="00AA314A">
        <w:rPr>
          <w:rFonts w:cs="Times New Roman"/>
          <w:i/>
          <w:lang w:val="fr-CA"/>
        </w:rPr>
        <w:t xml:space="preserve"> </w:t>
      </w:r>
      <w:r w:rsidRPr="00AA314A">
        <w:rPr>
          <w:rFonts w:cs="Times New Roman"/>
          <w:lang w:val="fr-CA"/>
        </w:rPr>
        <w:t xml:space="preserve">Adrian Popovici, </w:t>
      </w:r>
      <w:r w:rsidRPr="00AA314A">
        <w:rPr>
          <w:rFonts w:cs="Times New Roman"/>
          <w:i/>
          <w:lang w:val="fr-CA"/>
        </w:rPr>
        <w:t>L</w:t>
      </w:r>
      <w:r>
        <w:rPr>
          <w:rFonts w:cs="Times New Roman"/>
          <w:i/>
          <w:lang w:val="fr-CA"/>
        </w:rPr>
        <w:t>’</w:t>
      </w:r>
      <w:r w:rsidRPr="00AA314A">
        <w:rPr>
          <w:rFonts w:cs="Times New Roman"/>
          <w:i/>
          <w:lang w:val="fr-CA"/>
        </w:rPr>
        <w:t>outrage au tribunal</w:t>
      </w:r>
      <w:r w:rsidRPr="00AA314A">
        <w:rPr>
          <w:rFonts w:cs="Times New Roman"/>
          <w:lang w:val="fr-CA"/>
        </w:rPr>
        <w:t xml:space="preserve"> (1977), </w:t>
      </w:r>
      <w:r>
        <w:rPr>
          <w:rFonts w:cs="Times New Roman"/>
          <w:lang w:val="fr-CA"/>
        </w:rPr>
        <w:t>p. </w:t>
      </w:r>
      <w:r w:rsidRPr="00AA314A">
        <w:rPr>
          <w:rFonts w:cs="Times New Roman"/>
          <w:lang w:val="fr-CA"/>
        </w:rPr>
        <w:t xml:space="preserve">41; </w:t>
      </w:r>
      <w:r w:rsidRPr="00AA314A">
        <w:rPr>
          <w:rFonts w:cs="Times New Roman"/>
          <w:i/>
          <w:lang w:val="fr-CA"/>
        </w:rPr>
        <w:t xml:space="preserve">R. c. Kopyto </w:t>
      </w:r>
      <w:r w:rsidRPr="00AA314A">
        <w:rPr>
          <w:rFonts w:cs="Times New Roman"/>
          <w:lang w:val="fr-CA"/>
        </w:rPr>
        <w:t>(1987), 62 O.R. (2d) 449 (C.A.)</w:t>
      </w:r>
      <w:r w:rsidRPr="00AA314A">
        <w:rPr>
          <w:rFonts w:cs="Times New Roman"/>
          <w:lang w:val="fr-CA" w:bidi="en-US"/>
        </w:rPr>
        <w:t xml:space="preserve">, </w:t>
      </w:r>
      <w:r>
        <w:rPr>
          <w:rFonts w:cs="Times New Roman"/>
          <w:lang w:val="fr-CA" w:bidi="en-US"/>
        </w:rPr>
        <w:t>p. </w:t>
      </w:r>
      <w:r w:rsidRPr="00AA314A">
        <w:rPr>
          <w:rFonts w:cs="Times New Roman"/>
          <w:lang w:val="fr-CA" w:bidi="en-US"/>
        </w:rPr>
        <w:t xml:space="preserve">512, citant </w:t>
      </w:r>
      <w:r w:rsidRPr="00AA314A">
        <w:rPr>
          <w:rFonts w:cs="Times New Roman"/>
          <w:i/>
          <w:lang w:val="fr-CA" w:bidi="en-US"/>
        </w:rPr>
        <w:t>Attorney</w:t>
      </w:r>
      <w:r>
        <w:rPr>
          <w:rFonts w:cs="Times New Roman"/>
          <w:i/>
          <w:lang w:val="fr-CA" w:bidi="en-US"/>
        </w:rPr>
        <w:noBreakHyphen/>
      </w:r>
      <w:r w:rsidRPr="00AA314A">
        <w:rPr>
          <w:rFonts w:cs="Times New Roman"/>
          <w:i/>
          <w:lang w:val="fr-CA" w:bidi="en-US"/>
        </w:rPr>
        <w:t>General c. Times Newspapers Ltd.</w:t>
      </w:r>
      <w:r w:rsidRPr="00AA314A">
        <w:rPr>
          <w:rFonts w:cs="Times New Roman"/>
          <w:lang w:val="fr-CA" w:bidi="en-US"/>
        </w:rPr>
        <w:t>,</w:t>
      </w:r>
      <w:r w:rsidRPr="00AA314A">
        <w:rPr>
          <w:rFonts w:cs="Times New Roman"/>
          <w:i/>
          <w:lang w:val="fr-CA" w:bidi="en-US"/>
        </w:rPr>
        <w:t xml:space="preserve"> </w:t>
      </w:r>
      <w:r w:rsidRPr="00AA314A">
        <w:rPr>
          <w:rFonts w:cs="Times New Roman"/>
          <w:lang w:val="fr-CA" w:bidi="en-US"/>
        </w:rPr>
        <w:t xml:space="preserve">[1973] 3 All E.R. 54 (H.L.), </w:t>
      </w:r>
      <w:r>
        <w:rPr>
          <w:rFonts w:cs="Times New Roman"/>
          <w:lang w:val="fr-CA" w:bidi="en-US"/>
        </w:rPr>
        <w:t>p. </w:t>
      </w:r>
      <w:r w:rsidR="00E31380">
        <w:rPr>
          <w:rFonts w:cs="Times New Roman"/>
          <w:lang w:val="fr-CA" w:bidi="en-US"/>
        </w:rPr>
        <w:t>66-</w:t>
      </w:r>
      <w:r w:rsidRPr="00AA314A">
        <w:rPr>
          <w:rFonts w:cs="Times New Roman"/>
          <w:lang w:val="fr-CA" w:bidi="en-US"/>
        </w:rPr>
        <w:t xml:space="preserve">67, </w:t>
      </w:r>
      <w:r w:rsidR="00EC463E">
        <w:rPr>
          <w:rFonts w:cs="Times New Roman"/>
          <w:lang w:val="fr-CA" w:bidi="en-US"/>
        </w:rPr>
        <w:t>l</w:t>
      </w:r>
      <w:r w:rsidRPr="00AA314A">
        <w:rPr>
          <w:rFonts w:cs="Times New Roman"/>
          <w:lang w:val="fr-CA" w:bidi="en-US"/>
        </w:rPr>
        <w:t xml:space="preserve">ord Morris </w:t>
      </w:r>
      <w:r w:rsidR="00EC463E">
        <w:rPr>
          <w:rFonts w:cs="Times New Roman"/>
          <w:lang w:val="fr-CA" w:bidi="en-US"/>
        </w:rPr>
        <w:t xml:space="preserve">de </w:t>
      </w:r>
      <w:r w:rsidRPr="00AA314A">
        <w:rPr>
          <w:rFonts w:cs="Times New Roman"/>
          <w:lang w:val="fr-CA" w:bidi="en-US"/>
        </w:rPr>
        <w:t>Borth</w:t>
      </w:r>
      <w:r>
        <w:rPr>
          <w:rFonts w:cs="Times New Roman"/>
          <w:lang w:val="fr-CA" w:bidi="en-US"/>
        </w:rPr>
        <w:noBreakHyphen/>
      </w:r>
      <w:r w:rsidRPr="00AA314A">
        <w:rPr>
          <w:rFonts w:cs="Times New Roman"/>
          <w:lang w:val="fr-CA" w:bidi="en-US"/>
        </w:rPr>
        <w:t>y</w:t>
      </w:r>
      <w:r>
        <w:rPr>
          <w:rFonts w:cs="Times New Roman"/>
          <w:lang w:val="fr-CA" w:bidi="en-US"/>
        </w:rPr>
        <w:noBreakHyphen/>
      </w:r>
      <w:r w:rsidRPr="00AA314A">
        <w:rPr>
          <w:rFonts w:cs="Times New Roman"/>
          <w:lang w:val="fr-CA" w:bidi="en-US"/>
        </w:rPr>
        <w:t>Gest</w:t>
      </w:r>
      <w:r w:rsidRPr="00AA314A">
        <w:rPr>
          <w:rFonts w:cs="Times New Roman"/>
          <w:lang w:val="fr-CA"/>
        </w:rPr>
        <w:t>. Inciter des tiers à violer une ordonnance du tribunal n</w:t>
      </w:r>
      <w:r>
        <w:rPr>
          <w:rFonts w:cs="Times New Roman"/>
          <w:lang w:val="fr-CA"/>
        </w:rPr>
        <w:t>’</w:t>
      </w:r>
      <w:r w:rsidRPr="00AA314A">
        <w:rPr>
          <w:rFonts w:cs="Times New Roman"/>
          <w:lang w:val="fr-CA"/>
        </w:rPr>
        <w:t>est qu</w:t>
      </w:r>
      <w:r>
        <w:rPr>
          <w:rFonts w:cs="Times New Roman"/>
          <w:lang w:val="fr-CA"/>
        </w:rPr>
        <w:t>’</w:t>
      </w:r>
      <w:r w:rsidRPr="00AA314A">
        <w:rPr>
          <w:rFonts w:cs="Times New Roman"/>
          <w:lang w:val="fr-CA"/>
        </w:rPr>
        <w:t>un exemple parmi d</w:t>
      </w:r>
      <w:r>
        <w:rPr>
          <w:rFonts w:cs="Times New Roman"/>
          <w:lang w:val="fr-CA"/>
        </w:rPr>
        <w:t>’</w:t>
      </w:r>
      <w:r w:rsidRPr="00AA314A">
        <w:rPr>
          <w:rFonts w:cs="Times New Roman"/>
          <w:lang w:val="fr-CA"/>
        </w:rPr>
        <w:t>autres de ce que peut constituer l</w:t>
      </w:r>
      <w:r>
        <w:rPr>
          <w:rFonts w:cs="Times New Roman"/>
          <w:lang w:val="fr-CA"/>
        </w:rPr>
        <w:t>’</w:t>
      </w:r>
      <w:r w:rsidRPr="00AA314A">
        <w:rPr>
          <w:rFonts w:cs="Times New Roman"/>
          <w:i/>
          <w:lang w:val="fr-CA"/>
        </w:rPr>
        <w:t>actus reus</w:t>
      </w:r>
      <w:r w:rsidRPr="00AA314A">
        <w:rPr>
          <w:rFonts w:cs="Times New Roman"/>
          <w:lang w:val="fr-CA"/>
        </w:rPr>
        <w:t xml:space="preserve"> de ce volet de l</w:t>
      </w:r>
      <w:r>
        <w:rPr>
          <w:rFonts w:cs="Times New Roman"/>
          <w:lang w:val="fr-CA"/>
        </w:rPr>
        <w:t>’</w:t>
      </w:r>
      <w:r w:rsidRPr="00AA314A">
        <w:rPr>
          <w:rFonts w:cs="Times New Roman"/>
          <w:lang w:val="fr-CA"/>
        </w:rPr>
        <w:t>outrage en matière civile</w:t>
      </w:r>
      <w:r>
        <w:rPr>
          <w:rFonts w:cs="Times New Roman"/>
          <w:lang w:val="fr-CA"/>
        </w:rPr>
        <w:t> :</w:t>
      </w:r>
      <w:r w:rsidRPr="00AA314A">
        <w:rPr>
          <w:rFonts w:cs="Times New Roman"/>
          <w:lang w:val="fr-CA"/>
        </w:rPr>
        <w:t xml:space="preserve"> Denis Ferland, « La Cour suprême et l</w:t>
      </w:r>
      <w:r>
        <w:rPr>
          <w:rFonts w:cs="Times New Roman"/>
          <w:lang w:val="fr-CA"/>
        </w:rPr>
        <w:t>’</w:t>
      </w:r>
      <w:r w:rsidRPr="00AA314A">
        <w:rPr>
          <w:rFonts w:cs="Times New Roman"/>
          <w:lang w:val="fr-CA"/>
        </w:rPr>
        <w:t>outrage au tribunal en matière d</w:t>
      </w:r>
      <w:r>
        <w:rPr>
          <w:rFonts w:cs="Times New Roman"/>
          <w:lang w:val="fr-CA"/>
        </w:rPr>
        <w:t>’</w:t>
      </w:r>
      <w:r w:rsidRPr="00AA314A">
        <w:rPr>
          <w:rFonts w:cs="Times New Roman"/>
          <w:lang w:val="fr-CA"/>
        </w:rPr>
        <w:t>injonction</w:t>
      </w:r>
      <w:r>
        <w:rPr>
          <w:rFonts w:cs="Times New Roman"/>
          <w:lang w:val="fr-CA"/>
        </w:rPr>
        <w:t> :</w:t>
      </w:r>
      <w:r w:rsidRPr="00AA314A">
        <w:rPr>
          <w:rFonts w:cs="Times New Roman"/>
          <w:lang w:val="fr-CA"/>
        </w:rPr>
        <w:t xml:space="preserve"> </w:t>
      </w:r>
      <w:r w:rsidRPr="00E31380">
        <w:rPr>
          <w:rFonts w:cs="Times New Roman"/>
          <w:lang w:val="fr-CA"/>
        </w:rPr>
        <w:t>Baxter Travenol Laboratories of Canada Ltd. c. Cutter (Canada) Ltd.</w:t>
      </w:r>
      <w:r w:rsidRPr="00AA314A">
        <w:rPr>
          <w:rFonts w:cs="Times New Roman"/>
          <w:lang w:val="fr-CA"/>
        </w:rPr>
        <w:t xml:space="preserve"> » </w:t>
      </w:r>
      <w:r w:rsidRPr="00AA314A">
        <w:rPr>
          <w:rFonts w:cs="Times New Roman"/>
          <w:lang w:val="en-US"/>
        </w:rPr>
        <w:t xml:space="preserve">(1985), 45 </w:t>
      </w:r>
      <w:r w:rsidRPr="00AA314A">
        <w:rPr>
          <w:rFonts w:cs="Times New Roman"/>
          <w:i/>
          <w:lang w:val="en-US"/>
        </w:rPr>
        <w:t>R. du B.</w:t>
      </w:r>
      <w:r w:rsidRPr="00AA314A">
        <w:rPr>
          <w:rFonts w:cs="Times New Roman"/>
          <w:lang w:val="en-US"/>
        </w:rPr>
        <w:t xml:space="preserve"> 462, </w:t>
      </w:r>
      <w:r>
        <w:rPr>
          <w:rFonts w:cs="Times New Roman"/>
          <w:lang w:val="en-US"/>
        </w:rPr>
        <w:t>p. </w:t>
      </w:r>
      <w:r w:rsidRPr="00AA314A">
        <w:rPr>
          <w:rFonts w:cs="Times New Roman"/>
          <w:lang w:val="en-US"/>
        </w:rPr>
        <w:t xml:space="preserve">464; </w:t>
      </w:r>
      <w:r w:rsidRPr="00AA314A">
        <w:rPr>
          <w:rFonts w:cs="Times New Roman"/>
          <w:i/>
          <w:lang w:val="en-US"/>
        </w:rPr>
        <w:t>Borrie &amp; Lowe</w:t>
      </w:r>
      <w:r>
        <w:rPr>
          <w:rFonts w:cs="Times New Roman"/>
          <w:lang w:val="en-US"/>
        </w:rPr>
        <w:t> </w:t>
      </w:r>
      <w:r w:rsidRPr="00EC463E">
        <w:rPr>
          <w:rFonts w:cs="Times New Roman"/>
          <w:i/>
          <w:lang w:val="en-US"/>
        </w:rPr>
        <w:t>:</w:t>
      </w:r>
      <w:r w:rsidRPr="00AA314A">
        <w:rPr>
          <w:rFonts w:cs="Times New Roman"/>
          <w:lang w:val="en-US"/>
        </w:rPr>
        <w:t xml:space="preserve"> </w:t>
      </w:r>
      <w:r w:rsidRPr="00AA314A">
        <w:rPr>
          <w:rFonts w:cs="Times New Roman"/>
          <w:i/>
          <w:lang w:val="en-US"/>
        </w:rPr>
        <w:t>The Law of Contempt</w:t>
      </w:r>
      <w:r w:rsidRPr="00AA314A">
        <w:rPr>
          <w:rFonts w:cs="Times New Roman"/>
          <w:lang w:val="en-US"/>
        </w:rPr>
        <w:t xml:space="preserve"> (4</w:t>
      </w:r>
      <w:r w:rsidRPr="004F6586">
        <w:rPr>
          <w:rFonts w:cs="Times New Roman"/>
          <w:vertAlign w:val="superscript"/>
          <w:lang w:val="en-US"/>
        </w:rPr>
        <w:t>e</w:t>
      </w:r>
      <w:r w:rsidRPr="00AA314A">
        <w:rPr>
          <w:rFonts w:cs="Times New Roman"/>
          <w:lang w:val="en-US"/>
        </w:rPr>
        <w:t xml:space="preserve"> </w:t>
      </w:r>
      <w:r w:rsidR="00EC463E">
        <w:rPr>
          <w:rFonts w:cs="Times New Roman"/>
          <w:lang w:val="en-US"/>
        </w:rPr>
        <w:t>é</w:t>
      </w:r>
      <w:r w:rsidRPr="00AA314A">
        <w:rPr>
          <w:rFonts w:cs="Times New Roman"/>
          <w:lang w:val="en-US"/>
        </w:rPr>
        <w:t xml:space="preserve">d. 2010), </w:t>
      </w:r>
      <w:r>
        <w:rPr>
          <w:rFonts w:cs="Times New Roman"/>
          <w:lang w:val="en-US"/>
        </w:rPr>
        <w:t>p. </w:t>
      </w:r>
      <w:r w:rsidRPr="00AA314A">
        <w:rPr>
          <w:rFonts w:cs="Times New Roman"/>
          <w:lang w:val="en-US"/>
        </w:rPr>
        <w:t>145.</w:t>
      </w:r>
      <w:r w:rsidRPr="00AA314A">
        <w:rPr>
          <w:rFonts w:cs="Times New Roman"/>
          <w:b/>
          <w:lang w:val="en-US"/>
        </w:rPr>
        <w:t xml:space="preserve"> </w:t>
      </w:r>
    </w:p>
    <w:p w:rsidR="00810FD5" w:rsidRPr="00AA314A" w:rsidRDefault="00810FD5" w:rsidP="003223DD">
      <w:pPr>
        <w:pStyle w:val="ParaNoNdepar-AltN"/>
        <w:widowControl w:val="0"/>
        <w:ind w:left="0"/>
        <w:rPr>
          <w:rFonts w:cs="Times New Roman"/>
          <w:lang w:val="fr-CA"/>
        </w:rPr>
      </w:pPr>
      <w:r w:rsidRPr="00AA314A">
        <w:rPr>
          <w:rFonts w:cs="Times New Roman"/>
          <w:lang w:val="fr-CA"/>
        </w:rPr>
        <w:t xml:space="preserve">La </w:t>
      </w:r>
      <w:r w:rsidRPr="00AA314A">
        <w:rPr>
          <w:rFonts w:cs="Times New Roman"/>
          <w:i/>
          <w:lang w:val="fr-CA"/>
        </w:rPr>
        <w:t>mens rea</w:t>
      </w:r>
      <w:r w:rsidRPr="00AA314A">
        <w:rPr>
          <w:rFonts w:cs="Times New Roman"/>
          <w:lang w:val="fr-CA"/>
        </w:rPr>
        <w:t xml:space="preserve"> de cette forme d</w:t>
      </w:r>
      <w:r>
        <w:rPr>
          <w:rFonts w:cs="Times New Roman"/>
          <w:lang w:val="fr-CA"/>
        </w:rPr>
        <w:t>’</w:t>
      </w:r>
      <w:r w:rsidRPr="00AA314A">
        <w:rPr>
          <w:rFonts w:cs="Times New Roman"/>
          <w:lang w:val="fr-CA"/>
        </w:rPr>
        <w:t>outrage, tant en common law qu</w:t>
      </w:r>
      <w:r>
        <w:rPr>
          <w:rFonts w:cs="Times New Roman"/>
          <w:lang w:val="fr-CA"/>
        </w:rPr>
        <w:t>’</w:t>
      </w:r>
      <w:r w:rsidRPr="00AA314A">
        <w:rPr>
          <w:rFonts w:cs="Times New Roman"/>
          <w:lang w:val="fr-CA"/>
        </w:rPr>
        <w:t>en droit québécois, est l</w:t>
      </w:r>
      <w:r>
        <w:rPr>
          <w:rFonts w:cs="Times New Roman"/>
          <w:lang w:val="fr-CA"/>
        </w:rPr>
        <w:t>’</w:t>
      </w:r>
      <w:r w:rsidRPr="00AA314A">
        <w:rPr>
          <w:rFonts w:cs="Times New Roman"/>
          <w:lang w:val="fr-CA"/>
        </w:rPr>
        <w:t>intention de [</w:t>
      </w:r>
      <w:r w:rsidRPr="00AA314A">
        <w:rPr>
          <w:rFonts w:cs="Times New Roman"/>
          <w:smallCaps/>
          <w:lang w:val="fr-CA"/>
        </w:rPr>
        <w:t>traduction</w:t>
      </w:r>
      <w:r w:rsidRPr="00AA314A">
        <w:rPr>
          <w:rFonts w:cs="Times New Roman"/>
          <w:lang w:val="fr-CA"/>
        </w:rPr>
        <w:t>] « dénigrer l</w:t>
      </w:r>
      <w:r>
        <w:rPr>
          <w:rFonts w:cs="Times New Roman"/>
          <w:lang w:val="fr-CA"/>
        </w:rPr>
        <w:t>’</w:t>
      </w:r>
      <w:r w:rsidRPr="00AA314A">
        <w:rPr>
          <w:rFonts w:cs="Times New Roman"/>
          <w:lang w:val="fr-CA"/>
        </w:rPr>
        <w:t>administration de la justice », de « miner la confiance du public à son égard », ou d</w:t>
      </w:r>
      <w:r>
        <w:rPr>
          <w:rFonts w:cs="Times New Roman"/>
          <w:lang w:val="fr-CA"/>
        </w:rPr>
        <w:t>’</w:t>
      </w:r>
      <w:r w:rsidRPr="00AA314A">
        <w:rPr>
          <w:rFonts w:cs="Times New Roman"/>
          <w:lang w:val="fr-CA"/>
        </w:rPr>
        <w:t>« inciter à la désaffection à son endroit »</w:t>
      </w:r>
      <w:r>
        <w:rPr>
          <w:rFonts w:cs="Times New Roman"/>
          <w:lang w:val="fr-CA"/>
        </w:rPr>
        <w:t> :</w:t>
      </w:r>
      <w:r w:rsidRPr="00AA314A">
        <w:rPr>
          <w:rFonts w:cs="Times New Roman"/>
          <w:i/>
          <w:lang w:val="fr-CA" w:bidi="en-US"/>
        </w:rPr>
        <w:t xml:space="preserve"> Kopyto</w:t>
      </w:r>
      <w:r w:rsidRPr="00AA314A">
        <w:rPr>
          <w:rFonts w:cs="Times New Roman"/>
          <w:lang w:val="fr-CA"/>
        </w:rPr>
        <w:t xml:space="preserve">, </w:t>
      </w:r>
      <w:r>
        <w:rPr>
          <w:rFonts w:cs="Times New Roman"/>
          <w:lang w:val="fr-CA"/>
        </w:rPr>
        <w:t>p. </w:t>
      </w:r>
      <w:r w:rsidRPr="00AA314A">
        <w:rPr>
          <w:rFonts w:cs="Times New Roman"/>
          <w:lang w:val="fr-CA"/>
        </w:rPr>
        <w:t xml:space="preserve">514, citant </w:t>
      </w:r>
      <w:r w:rsidRPr="00AA314A">
        <w:rPr>
          <w:rFonts w:cs="Times New Roman"/>
          <w:i/>
          <w:lang w:val="fr-CA"/>
        </w:rPr>
        <w:t>Boucher c. The King</w:t>
      </w:r>
      <w:r w:rsidRPr="00AA314A">
        <w:rPr>
          <w:rFonts w:cs="Times New Roman"/>
          <w:lang w:val="fr-CA"/>
        </w:rPr>
        <w:t>,</w:t>
      </w:r>
      <w:r w:rsidRPr="00AA314A">
        <w:rPr>
          <w:rFonts w:cs="Times New Roman"/>
          <w:i/>
          <w:lang w:val="fr-CA"/>
        </w:rPr>
        <w:t xml:space="preserve"> </w:t>
      </w:r>
      <w:r w:rsidRPr="00AA314A">
        <w:rPr>
          <w:rFonts w:cs="Times New Roman"/>
          <w:lang w:val="fr-CA"/>
        </w:rPr>
        <w:t xml:space="preserve">[1951] R.C.S. 265, </w:t>
      </w:r>
      <w:r>
        <w:rPr>
          <w:rFonts w:cs="Times New Roman"/>
          <w:lang w:val="fr-CA"/>
        </w:rPr>
        <w:t>p. </w:t>
      </w:r>
      <w:r w:rsidRPr="00AA314A">
        <w:rPr>
          <w:rFonts w:cs="Times New Roman"/>
          <w:lang w:val="fr-CA"/>
        </w:rPr>
        <w:t xml:space="preserve">344; </w:t>
      </w:r>
      <w:r w:rsidRPr="00AA314A">
        <w:rPr>
          <w:rFonts w:cs="Times New Roman"/>
          <w:i/>
          <w:lang w:val="fr-CA"/>
        </w:rPr>
        <w:t>Re Ouellet (</w:t>
      </w:r>
      <w:r>
        <w:rPr>
          <w:rFonts w:cs="Times New Roman"/>
          <w:i/>
          <w:lang w:val="fr-CA"/>
        </w:rPr>
        <w:t>No. </w:t>
      </w:r>
      <w:r w:rsidRPr="00AA314A">
        <w:rPr>
          <w:rFonts w:cs="Times New Roman"/>
          <w:i/>
          <w:lang w:val="fr-CA"/>
        </w:rPr>
        <w:t>1)</w:t>
      </w:r>
      <w:r w:rsidRPr="00AA314A">
        <w:rPr>
          <w:rFonts w:cs="Times New Roman"/>
          <w:lang w:val="fr-CA"/>
        </w:rPr>
        <w:t xml:space="preserve"> (1976), 28 C.C.C. (2d) 338 (C.S.</w:t>
      </w:r>
      <w:r w:rsidR="00E31380">
        <w:rPr>
          <w:rFonts w:cs="Times New Roman"/>
          <w:lang w:val="fr-CA"/>
        </w:rPr>
        <w:t xml:space="preserve"> Qc</w:t>
      </w:r>
      <w:r w:rsidRPr="00AA314A">
        <w:rPr>
          <w:rFonts w:cs="Times New Roman"/>
          <w:lang w:val="fr-CA"/>
        </w:rPr>
        <w:t xml:space="preserve">), </w:t>
      </w:r>
      <w:r>
        <w:rPr>
          <w:rFonts w:cs="Times New Roman"/>
          <w:lang w:val="fr-CA"/>
        </w:rPr>
        <w:t>p. </w:t>
      </w:r>
      <w:r w:rsidR="00E31380">
        <w:rPr>
          <w:rFonts w:cs="Times New Roman"/>
          <w:lang w:val="fr-CA"/>
        </w:rPr>
        <w:t>356-</w:t>
      </w:r>
      <w:r w:rsidRPr="00AA314A">
        <w:rPr>
          <w:rFonts w:cs="Times New Roman"/>
          <w:lang w:val="fr-CA"/>
        </w:rPr>
        <w:t xml:space="preserve">357; </w:t>
      </w:r>
      <w:r w:rsidRPr="00AA314A">
        <w:rPr>
          <w:rFonts w:cs="Times New Roman"/>
          <w:i/>
          <w:lang w:val="fr-CA"/>
        </w:rPr>
        <w:t>Gougoux</w:t>
      </w:r>
      <w:r w:rsidRPr="00AA314A">
        <w:rPr>
          <w:rFonts w:cs="Times New Roman"/>
          <w:lang w:val="fr-CA"/>
        </w:rPr>
        <w:t xml:space="preserve">, </w:t>
      </w:r>
      <w:r>
        <w:rPr>
          <w:rFonts w:cs="Times New Roman"/>
          <w:lang w:val="fr-CA"/>
        </w:rPr>
        <w:t>par. </w:t>
      </w:r>
      <w:r w:rsidRPr="00AA314A">
        <w:rPr>
          <w:rFonts w:cs="Times New Roman"/>
          <w:lang w:val="fr-CA"/>
        </w:rPr>
        <w:t>30. La critique de bonne foi des institutions judiciaires et de leurs décisions, même lorsqu</w:t>
      </w:r>
      <w:r>
        <w:rPr>
          <w:rFonts w:cs="Times New Roman"/>
          <w:lang w:val="fr-CA"/>
        </w:rPr>
        <w:t>’</w:t>
      </w:r>
      <w:r w:rsidRPr="00AA314A">
        <w:rPr>
          <w:rFonts w:cs="Times New Roman"/>
          <w:lang w:val="fr-CA"/>
        </w:rPr>
        <w:t>elle est vigoureuse et véhémente, n</w:t>
      </w:r>
      <w:r>
        <w:rPr>
          <w:rFonts w:cs="Times New Roman"/>
          <w:lang w:val="fr-CA"/>
        </w:rPr>
        <w:t>’</w:t>
      </w:r>
      <w:r w:rsidRPr="00AA314A">
        <w:rPr>
          <w:rFonts w:cs="Times New Roman"/>
          <w:lang w:val="fr-CA"/>
        </w:rPr>
        <w:t>atteint pas ce seuil</w:t>
      </w:r>
      <w:r>
        <w:rPr>
          <w:rFonts w:cs="Times New Roman"/>
          <w:lang w:val="fr-CA"/>
        </w:rPr>
        <w:t> :</w:t>
      </w:r>
      <w:r w:rsidRPr="00AA314A">
        <w:rPr>
          <w:rFonts w:cs="Times New Roman"/>
          <w:lang w:val="fr-CA"/>
        </w:rPr>
        <w:t xml:space="preserve"> </w:t>
      </w:r>
      <w:r w:rsidRPr="00AA314A">
        <w:rPr>
          <w:rFonts w:cs="Times New Roman"/>
          <w:i/>
          <w:lang w:val="fr-CA"/>
        </w:rPr>
        <w:t>Kopyto</w:t>
      </w:r>
      <w:r w:rsidRPr="00AA314A">
        <w:rPr>
          <w:rFonts w:cs="Times New Roman"/>
          <w:lang w:val="fr-CA"/>
        </w:rPr>
        <w:t xml:space="preserve">, </w:t>
      </w:r>
      <w:r>
        <w:rPr>
          <w:rFonts w:cs="Times New Roman"/>
          <w:lang w:val="fr-CA"/>
        </w:rPr>
        <w:t>p. </w:t>
      </w:r>
      <w:r w:rsidRPr="00AA314A">
        <w:rPr>
          <w:rFonts w:cs="Times New Roman"/>
          <w:lang w:val="fr-CA"/>
        </w:rPr>
        <w:t>502, le juge Dubin de la Cour d</w:t>
      </w:r>
      <w:r>
        <w:rPr>
          <w:rFonts w:cs="Times New Roman"/>
          <w:lang w:val="fr-CA"/>
        </w:rPr>
        <w:t>’</w:t>
      </w:r>
      <w:r w:rsidRPr="00AA314A">
        <w:rPr>
          <w:rFonts w:cs="Times New Roman"/>
          <w:lang w:val="fr-CA"/>
        </w:rPr>
        <w:t xml:space="preserve">appel, dissident en partie; </w:t>
      </w:r>
      <w:r w:rsidRPr="00AA314A">
        <w:rPr>
          <w:rFonts w:cs="Times New Roman"/>
          <w:i/>
          <w:lang w:val="fr-CA"/>
        </w:rPr>
        <w:t>Prud</w:t>
      </w:r>
      <w:r>
        <w:rPr>
          <w:rFonts w:cs="Times New Roman"/>
          <w:i/>
          <w:lang w:val="fr-CA"/>
        </w:rPr>
        <w:t>’</w:t>
      </w:r>
      <w:r w:rsidRPr="00AA314A">
        <w:rPr>
          <w:rFonts w:cs="Times New Roman"/>
          <w:i/>
          <w:lang w:val="fr-CA"/>
        </w:rPr>
        <w:t>homme c. Prud</w:t>
      </w:r>
      <w:r>
        <w:rPr>
          <w:rFonts w:cs="Times New Roman"/>
          <w:i/>
          <w:lang w:val="fr-CA"/>
        </w:rPr>
        <w:t>’</w:t>
      </w:r>
      <w:r w:rsidRPr="00AA314A">
        <w:rPr>
          <w:rFonts w:cs="Times New Roman"/>
          <w:i/>
          <w:lang w:val="fr-CA"/>
        </w:rPr>
        <w:t>homme</w:t>
      </w:r>
      <w:r w:rsidRPr="00AA314A">
        <w:rPr>
          <w:rFonts w:cs="Times New Roman"/>
          <w:lang w:val="fr-CA"/>
        </w:rPr>
        <w:t>,</w:t>
      </w:r>
      <w:r w:rsidRPr="00AA314A">
        <w:rPr>
          <w:rFonts w:cs="Times New Roman"/>
          <w:i/>
          <w:lang w:val="fr-CA"/>
        </w:rPr>
        <w:t xml:space="preserve"> </w:t>
      </w:r>
      <w:r w:rsidRPr="00AA314A">
        <w:rPr>
          <w:rFonts w:cs="Times New Roman"/>
          <w:lang w:val="fr-CA"/>
        </w:rPr>
        <w:t>1997 CanLII 8253 (C.S.</w:t>
      </w:r>
      <w:r w:rsidR="00E31380">
        <w:rPr>
          <w:rFonts w:cs="Times New Roman"/>
          <w:lang w:val="fr-CA"/>
        </w:rPr>
        <w:t xml:space="preserve"> Qc</w:t>
      </w:r>
      <w:r w:rsidRPr="00AA314A">
        <w:rPr>
          <w:rFonts w:cs="Times New Roman"/>
          <w:lang w:val="fr-CA"/>
        </w:rPr>
        <w:t xml:space="preserve">), </w:t>
      </w:r>
      <w:r>
        <w:rPr>
          <w:rFonts w:cs="Times New Roman"/>
          <w:lang w:val="fr-CA"/>
        </w:rPr>
        <w:t>par. </w:t>
      </w:r>
      <w:r w:rsidR="00E31380">
        <w:rPr>
          <w:rFonts w:cs="Times New Roman"/>
          <w:lang w:val="fr-CA"/>
        </w:rPr>
        <w:t>8-</w:t>
      </w:r>
      <w:r w:rsidRPr="00AA314A">
        <w:rPr>
          <w:rFonts w:cs="Times New Roman"/>
          <w:lang w:val="fr-CA"/>
        </w:rPr>
        <w:t>9.</w:t>
      </w:r>
      <w:r w:rsidRPr="00AA314A">
        <w:rPr>
          <w:rFonts w:cs="Times New Roman"/>
          <w:b/>
          <w:lang w:val="fr-CA"/>
        </w:rPr>
        <w:t xml:space="preserve"> </w:t>
      </w:r>
    </w:p>
    <w:p w:rsidR="00810FD5" w:rsidRPr="00AA314A" w:rsidRDefault="00810FD5" w:rsidP="003223DD">
      <w:pPr>
        <w:pStyle w:val="TitleTitre-AltT"/>
        <w:widowControl w:val="0"/>
        <w:rPr>
          <w:rFonts w:cs="Times New Roman"/>
          <w:u w:val="single"/>
          <w:lang w:val="fr-CA"/>
        </w:rPr>
      </w:pPr>
      <w:r w:rsidRPr="00AA314A">
        <w:rPr>
          <w:rFonts w:cs="Times New Roman"/>
          <w:u w:val="single"/>
          <w:lang w:val="fr-CA"/>
        </w:rPr>
        <w:t>Application</w:t>
      </w:r>
    </w:p>
    <w:p w:rsidR="00810FD5" w:rsidRPr="00AA314A" w:rsidRDefault="00810FD5" w:rsidP="003223DD">
      <w:pPr>
        <w:pStyle w:val="ParaNoNdepar-AltN"/>
        <w:widowControl w:val="0"/>
        <w:ind w:left="0"/>
        <w:rPr>
          <w:rFonts w:cs="Times New Roman"/>
          <w:lang w:val="fr-CA"/>
        </w:rPr>
      </w:pPr>
      <w:r w:rsidRPr="00AA314A">
        <w:rPr>
          <w:rFonts w:cs="Times New Roman"/>
          <w:lang w:val="fr-CA"/>
        </w:rPr>
        <w:t>Nous sommes d</w:t>
      </w:r>
      <w:r>
        <w:rPr>
          <w:rFonts w:cs="Times New Roman"/>
          <w:lang w:val="fr-CA"/>
        </w:rPr>
        <w:t>’</w:t>
      </w:r>
      <w:r w:rsidRPr="00AA314A">
        <w:rPr>
          <w:rFonts w:cs="Times New Roman"/>
          <w:lang w:val="fr-CA"/>
        </w:rPr>
        <w:t>avis de rejeter le pourvoi.</w:t>
      </w:r>
    </w:p>
    <w:p w:rsidR="00810FD5" w:rsidRPr="00AA314A" w:rsidRDefault="00810FD5" w:rsidP="003223DD">
      <w:pPr>
        <w:pStyle w:val="ParaNoNdepar-AltN"/>
        <w:widowControl w:val="0"/>
        <w:ind w:left="0"/>
        <w:rPr>
          <w:rFonts w:cs="Times New Roman"/>
          <w:lang w:val="fr-CA"/>
        </w:rPr>
      </w:pPr>
      <w:r w:rsidRPr="00AA314A">
        <w:rPr>
          <w:rFonts w:cs="Times New Roman"/>
          <w:lang w:val="fr-CA"/>
        </w:rPr>
        <w:lastRenderedPageBreak/>
        <w:t>Le juge Jacques a ordonné à M. Nadeau</w:t>
      </w:r>
      <w:r>
        <w:rPr>
          <w:rFonts w:cs="Times New Roman"/>
          <w:lang w:val="fr-CA"/>
        </w:rPr>
        <w:noBreakHyphen/>
      </w:r>
      <w:r w:rsidRPr="00AA314A">
        <w:rPr>
          <w:rFonts w:cs="Times New Roman"/>
          <w:lang w:val="fr-CA"/>
        </w:rPr>
        <w:t>Dubois de comparaître pour répondre à des accusations fondées à la fois sur le premier alinéa de l</w:t>
      </w:r>
      <w:r>
        <w:rPr>
          <w:rFonts w:cs="Times New Roman"/>
          <w:lang w:val="fr-CA"/>
        </w:rPr>
        <w:t>’art. </w:t>
      </w:r>
      <w:r w:rsidRPr="00AA314A">
        <w:rPr>
          <w:rFonts w:cs="Times New Roman"/>
          <w:lang w:val="fr-CA"/>
        </w:rPr>
        <w:t>50 et sur l</w:t>
      </w:r>
      <w:r>
        <w:rPr>
          <w:rFonts w:cs="Times New Roman"/>
          <w:lang w:val="fr-CA"/>
        </w:rPr>
        <w:t>’</w:t>
      </w:r>
      <w:r w:rsidRPr="00AA314A">
        <w:rPr>
          <w:rFonts w:cs="Times New Roman"/>
          <w:lang w:val="fr-CA"/>
        </w:rPr>
        <w:t>art</w:t>
      </w:r>
      <w:r w:rsidR="00E31380">
        <w:rPr>
          <w:rFonts w:cs="Times New Roman"/>
          <w:lang w:val="fr-CA"/>
        </w:rPr>
        <w:t>.</w:t>
      </w:r>
      <w:r w:rsidRPr="00AA314A">
        <w:rPr>
          <w:rFonts w:cs="Times New Roman"/>
          <w:lang w:val="fr-CA"/>
        </w:rPr>
        <w:t xml:space="preserve"> 761 du </w:t>
      </w:r>
      <w:r w:rsidRPr="00AA314A">
        <w:rPr>
          <w:rFonts w:cs="Times New Roman"/>
          <w:i/>
          <w:lang w:val="fr-CA"/>
        </w:rPr>
        <w:t>C</w:t>
      </w:r>
      <w:r w:rsidR="00E31380">
        <w:rPr>
          <w:rFonts w:cs="Times New Roman"/>
          <w:i/>
          <w:lang w:val="fr-CA"/>
        </w:rPr>
        <w:t>.p.c.</w:t>
      </w:r>
      <w:r w:rsidRPr="00AA314A">
        <w:rPr>
          <w:rFonts w:cs="Times New Roman"/>
          <w:lang w:val="fr-CA"/>
        </w:rPr>
        <w:t>, même si M. Morasse n</w:t>
      </w:r>
      <w:r>
        <w:rPr>
          <w:rFonts w:cs="Times New Roman"/>
          <w:lang w:val="fr-CA"/>
        </w:rPr>
        <w:t>’</w:t>
      </w:r>
      <w:r w:rsidRPr="00AA314A">
        <w:rPr>
          <w:rFonts w:cs="Times New Roman"/>
          <w:lang w:val="fr-CA"/>
        </w:rPr>
        <w:t>avait porté des accusations qu</w:t>
      </w:r>
      <w:r>
        <w:rPr>
          <w:rFonts w:cs="Times New Roman"/>
          <w:lang w:val="fr-CA"/>
        </w:rPr>
        <w:t>’</w:t>
      </w:r>
      <w:r w:rsidRPr="00AA314A">
        <w:rPr>
          <w:rFonts w:cs="Times New Roman"/>
          <w:lang w:val="fr-CA"/>
        </w:rPr>
        <w:t>en vertu de la seconde de ces dispositions. Rappelons que, dans une procédure pour outrage, l</w:t>
      </w:r>
      <w:r>
        <w:rPr>
          <w:rFonts w:cs="Times New Roman"/>
          <w:lang w:val="fr-CA"/>
        </w:rPr>
        <w:t>’</w:t>
      </w:r>
      <w:r w:rsidRPr="00AA314A">
        <w:rPr>
          <w:rFonts w:cs="Times New Roman"/>
          <w:lang w:val="fr-CA"/>
        </w:rPr>
        <w:t>accusé doit être informé de la nature précise des accusations portées contre lui</w:t>
      </w:r>
      <w:r>
        <w:rPr>
          <w:rFonts w:cs="Times New Roman"/>
          <w:lang w:val="fr-CA"/>
        </w:rPr>
        <w:t> :</w:t>
      </w:r>
      <w:r w:rsidRPr="00AA314A">
        <w:rPr>
          <w:rFonts w:cs="Times New Roman"/>
          <w:lang w:val="fr-CA"/>
        </w:rPr>
        <w:t xml:space="preserve"> </w:t>
      </w:r>
      <w:r w:rsidRPr="00AA314A">
        <w:rPr>
          <w:rFonts w:cs="Times New Roman"/>
          <w:i/>
          <w:lang w:val="fr-CA"/>
        </w:rPr>
        <w:t>Droit de la famille</w:t>
      </w:r>
      <w:r w:rsidRPr="00AA314A">
        <w:rPr>
          <w:rFonts w:cs="Times New Roman"/>
          <w:lang w:val="fr-CA"/>
        </w:rPr>
        <w:t xml:space="preserve">, </w:t>
      </w:r>
      <w:r>
        <w:rPr>
          <w:rFonts w:cs="Times New Roman"/>
          <w:lang w:val="fr-CA"/>
        </w:rPr>
        <w:t>par. </w:t>
      </w:r>
      <w:r w:rsidRPr="00AA314A">
        <w:rPr>
          <w:rFonts w:cs="Times New Roman"/>
          <w:lang w:val="fr-CA"/>
        </w:rPr>
        <w:t>26</w:t>
      </w:r>
      <w:r>
        <w:rPr>
          <w:rFonts w:cs="Times New Roman"/>
          <w:lang w:val="fr-CA"/>
        </w:rPr>
        <w:noBreakHyphen/>
      </w:r>
      <w:r w:rsidRPr="00AA314A">
        <w:rPr>
          <w:rFonts w:cs="Times New Roman"/>
          <w:lang w:val="fr-CA"/>
        </w:rPr>
        <w:t>27. Pour protéger les droits de l</w:t>
      </w:r>
      <w:r>
        <w:rPr>
          <w:rFonts w:cs="Times New Roman"/>
          <w:lang w:val="fr-CA"/>
        </w:rPr>
        <w:t>’</w:t>
      </w:r>
      <w:r w:rsidRPr="00AA314A">
        <w:rPr>
          <w:rFonts w:cs="Times New Roman"/>
          <w:lang w:val="fr-CA"/>
        </w:rPr>
        <w:t>accusé, tout doute ou ambiguïté à cet égard doit jouer en sa faveur. En l</w:t>
      </w:r>
      <w:r>
        <w:rPr>
          <w:rFonts w:cs="Times New Roman"/>
          <w:lang w:val="fr-CA"/>
        </w:rPr>
        <w:t>’</w:t>
      </w:r>
      <w:r w:rsidRPr="00AA314A">
        <w:rPr>
          <w:rFonts w:cs="Times New Roman"/>
          <w:lang w:val="fr-CA"/>
        </w:rPr>
        <w:t>espèce, les seules allégations qu</w:t>
      </w:r>
      <w:r>
        <w:rPr>
          <w:rFonts w:cs="Times New Roman"/>
          <w:lang w:val="fr-CA"/>
        </w:rPr>
        <w:t>’</w:t>
      </w:r>
      <w:r w:rsidRPr="00AA314A">
        <w:rPr>
          <w:rFonts w:cs="Times New Roman"/>
          <w:lang w:val="fr-CA"/>
        </w:rPr>
        <w:t>a soulevées M. Morasse à l</w:t>
      </w:r>
      <w:r>
        <w:rPr>
          <w:rFonts w:cs="Times New Roman"/>
          <w:lang w:val="fr-CA"/>
        </w:rPr>
        <w:t>’</w:t>
      </w:r>
      <w:r w:rsidRPr="00AA314A">
        <w:rPr>
          <w:rFonts w:cs="Times New Roman"/>
          <w:lang w:val="fr-CA"/>
        </w:rPr>
        <w:t>endroit de M. Nadeau</w:t>
      </w:r>
      <w:r>
        <w:rPr>
          <w:rFonts w:cs="Times New Roman"/>
          <w:lang w:val="fr-CA"/>
        </w:rPr>
        <w:noBreakHyphen/>
      </w:r>
      <w:r w:rsidRPr="00AA314A">
        <w:rPr>
          <w:rFonts w:cs="Times New Roman"/>
          <w:lang w:val="fr-CA"/>
        </w:rPr>
        <w:t xml:space="preserve">Dubois se rapportaient à une violation alléguée du </w:t>
      </w:r>
      <w:r>
        <w:rPr>
          <w:rFonts w:cs="Times New Roman"/>
          <w:lang w:val="fr-CA"/>
        </w:rPr>
        <w:t>par. </w:t>
      </w:r>
      <w:r w:rsidRPr="00AA314A">
        <w:rPr>
          <w:rFonts w:cs="Times New Roman"/>
          <w:lang w:val="fr-CA"/>
        </w:rPr>
        <w:t>60 de l</w:t>
      </w:r>
      <w:r>
        <w:rPr>
          <w:rFonts w:cs="Times New Roman"/>
          <w:lang w:val="fr-CA"/>
        </w:rPr>
        <w:t>’</w:t>
      </w:r>
      <w:r w:rsidRPr="00AA314A">
        <w:rPr>
          <w:rFonts w:cs="Times New Roman"/>
          <w:lang w:val="fr-CA"/>
        </w:rPr>
        <w:t>ordonnance du juge Émond par les propos tenus en entrevue. Aucune ordonnance judiciaire autre que celle du juge Émond n</w:t>
      </w:r>
      <w:r>
        <w:rPr>
          <w:rFonts w:cs="Times New Roman"/>
          <w:lang w:val="fr-CA"/>
        </w:rPr>
        <w:t>’</w:t>
      </w:r>
      <w:r w:rsidRPr="00AA314A">
        <w:rPr>
          <w:rFonts w:cs="Times New Roman"/>
          <w:lang w:val="fr-CA"/>
        </w:rPr>
        <w:t>a été invoquée dans l</w:t>
      </w:r>
      <w:r>
        <w:rPr>
          <w:rFonts w:cs="Times New Roman"/>
          <w:lang w:val="fr-CA"/>
        </w:rPr>
        <w:t>’</w:t>
      </w:r>
      <w:r w:rsidRPr="00AA314A">
        <w:rPr>
          <w:rFonts w:cs="Times New Roman"/>
          <w:lang w:val="fr-CA"/>
        </w:rPr>
        <w:t>ordonnance spéciale de comparaître. Cela a été dit très clairement lors de l</w:t>
      </w:r>
      <w:r>
        <w:rPr>
          <w:rFonts w:cs="Times New Roman"/>
          <w:lang w:val="fr-CA"/>
        </w:rPr>
        <w:t>’</w:t>
      </w:r>
      <w:r w:rsidRPr="00AA314A">
        <w:rPr>
          <w:rFonts w:cs="Times New Roman"/>
          <w:lang w:val="fr-CA"/>
        </w:rPr>
        <w:t>audience du 29 mai 2012. Dans ses motifs, le juge Jacques a même reconnu qu</w:t>
      </w:r>
      <w:r>
        <w:rPr>
          <w:rFonts w:cs="Times New Roman"/>
          <w:lang w:val="fr-CA"/>
        </w:rPr>
        <w:t>’</w:t>
      </w:r>
      <w:r w:rsidRPr="00AA314A">
        <w:rPr>
          <w:rFonts w:cs="Times New Roman"/>
          <w:lang w:val="fr-CA"/>
        </w:rPr>
        <w:t>il était essentiel qu</w:t>
      </w:r>
      <w:r>
        <w:rPr>
          <w:rFonts w:cs="Times New Roman"/>
          <w:lang w:val="fr-CA"/>
        </w:rPr>
        <w:t>’</w:t>
      </w:r>
      <w:r w:rsidRPr="00AA314A">
        <w:rPr>
          <w:rFonts w:cs="Times New Roman"/>
          <w:lang w:val="fr-CA"/>
        </w:rPr>
        <w:t>il soit convaincu hors de tout doute raisonnable que M. Nadeau</w:t>
      </w:r>
      <w:r>
        <w:rPr>
          <w:rFonts w:cs="Times New Roman"/>
          <w:lang w:val="fr-CA"/>
        </w:rPr>
        <w:noBreakHyphen/>
      </w:r>
      <w:r w:rsidRPr="00AA314A">
        <w:rPr>
          <w:rFonts w:cs="Times New Roman"/>
          <w:lang w:val="fr-CA"/>
        </w:rPr>
        <w:t>Dubois connaissait la teneur de cette ordonnance en particulier (</w:t>
      </w:r>
      <w:r>
        <w:rPr>
          <w:rFonts w:cs="Times New Roman"/>
          <w:lang w:val="fr-CA"/>
        </w:rPr>
        <w:t>par. </w:t>
      </w:r>
      <w:r w:rsidRPr="00AA314A">
        <w:rPr>
          <w:rFonts w:cs="Times New Roman"/>
          <w:lang w:val="fr-CA"/>
        </w:rPr>
        <w:t xml:space="preserve">2, 49, 51(2) et 67). </w:t>
      </w:r>
    </w:p>
    <w:p w:rsidR="00810FD5" w:rsidRPr="00AA314A" w:rsidRDefault="00810FD5" w:rsidP="003223DD">
      <w:pPr>
        <w:pStyle w:val="ParaNoNdepar-AltN"/>
        <w:widowControl w:val="0"/>
        <w:ind w:left="0"/>
        <w:rPr>
          <w:rFonts w:cs="Times New Roman"/>
          <w:lang w:val="fr-CA"/>
        </w:rPr>
      </w:pPr>
      <w:r w:rsidRPr="00AA314A">
        <w:rPr>
          <w:rFonts w:cs="Times New Roman"/>
          <w:lang w:val="fr-CA"/>
        </w:rPr>
        <w:t>Puisque M. Nadeau</w:t>
      </w:r>
      <w:r>
        <w:rPr>
          <w:rFonts w:cs="Times New Roman"/>
          <w:lang w:val="fr-CA"/>
        </w:rPr>
        <w:noBreakHyphen/>
      </w:r>
      <w:r w:rsidRPr="00AA314A">
        <w:rPr>
          <w:rFonts w:cs="Times New Roman"/>
          <w:lang w:val="fr-CA"/>
        </w:rPr>
        <w:t>Dubois n</w:t>
      </w:r>
      <w:r>
        <w:rPr>
          <w:rFonts w:cs="Times New Roman"/>
          <w:lang w:val="fr-CA"/>
        </w:rPr>
        <w:t>’</w:t>
      </w:r>
      <w:r w:rsidRPr="00AA314A">
        <w:rPr>
          <w:rFonts w:cs="Times New Roman"/>
          <w:lang w:val="fr-CA"/>
        </w:rPr>
        <w:t>était ni nommé, ni désigné dans l</w:t>
      </w:r>
      <w:r>
        <w:rPr>
          <w:rFonts w:cs="Times New Roman"/>
          <w:lang w:val="fr-CA"/>
        </w:rPr>
        <w:t>’</w:t>
      </w:r>
      <w:r w:rsidRPr="00AA314A">
        <w:rPr>
          <w:rFonts w:cs="Times New Roman"/>
          <w:lang w:val="fr-CA"/>
        </w:rPr>
        <w:t>injonction qu</w:t>
      </w:r>
      <w:r>
        <w:rPr>
          <w:rFonts w:cs="Times New Roman"/>
          <w:lang w:val="fr-CA"/>
        </w:rPr>
        <w:t>’</w:t>
      </w:r>
      <w:r w:rsidRPr="00AA314A">
        <w:rPr>
          <w:rFonts w:cs="Times New Roman"/>
          <w:lang w:val="fr-CA"/>
        </w:rPr>
        <w:t>a prononcée le juge Émond le 2 mai 2012, les deux juridictions d</w:t>
      </w:r>
      <w:r>
        <w:rPr>
          <w:rFonts w:cs="Times New Roman"/>
          <w:lang w:val="fr-CA"/>
        </w:rPr>
        <w:t>’</w:t>
      </w:r>
      <w:r w:rsidRPr="00AA314A">
        <w:rPr>
          <w:rFonts w:cs="Times New Roman"/>
          <w:lang w:val="fr-CA"/>
        </w:rPr>
        <w:t>instances inférieures ont conclu qu</w:t>
      </w:r>
      <w:r>
        <w:rPr>
          <w:rFonts w:cs="Times New Roman"/>
          <w:lang w:val="fr-CA"/>
        </w:rPr>
        <w:t>’</w:t>
      </w:r>
      <w:r w:rsidRPr="00AA314A">
        <w:rPr>
          <w:rFonts w:cs="Times New Roman"/>
          <w:lang w:val="fr-CA"/>
        </w:rPr>
        <w:t>une déclaration de culpabilité d</w:t>
      </w:r>
      <w:r>
        <w:rPr>
          <w:rFonts w:cs="Times New Roman"/>
          <w:lang w:val="fr-CA"/>
        </w:rPr>
        <w:t>’</w:t>
      </w:r>
      <w:r w:rsidRPr="00AA314A">
        <w:rPr>
          <w:rFonts w:cs="Times New Roman"/>
          <w:lang w:val="fr-CA"/>
        </w:rPr>
        <w:t>outrage en application de l</w:t>
      </w:r>
      <w:r>
        <w:rPr>
          <w:rFonts w:cs="Times New Roman"/>
          <w:lang w:val="fr-CA"/>
        </w:rPr>
        <w:t>’art. </w:t>
      </w:r>
      <w:r w:rsidRPr="00AA314A">
        <w:rPr>
          <w:rFonts w:cs="Times New Roman"/>
          <w:lang w:val="fr-CA"/>
        </w:rPr>
        <w:t xml:space="preserve">761 du </w:t>
      </w:r>
      <w:r w:rsidRPr="00AA314A">
        <w:rPr>
          <w:rFonts w:cs="Times New Roman"/>
          <w:i/>
          <w:lang w:val="fr-CA"/>
        </w:rPr>
        <w:t>Code</w:t>
      </w:r>
      <w:r w:rsidRPr="00AA314A">
        <w:rPr>
          <w:rFonts w:cs="Times New Roman"/>
          <w:lang w:val="fr-CA"/>
        </w:rPr>
        <w:t xml:space="preserve"> ne pouvait être prononcée contre lui. Devant la Cour, M. Morasse n</w:t>
      </w:r>
      <w:r>
        <w:rPr>
          <w:rFonts w:cs="Times New Roman"/>
          <w:lang w:val="fr-CA"/>
        </w:rPr>
        <w:t>’</w:t>
      </w:r>
      <w:r w:rsidRPr="00AA314A">
        <w:rPr>
          <w:rFonts w:cs="Times New Roman"/>
          <w:lang w:val="fr-CA"/>
        </w:rPr>
        <w:t>a pas poursuivi le débat sur cette question</w:t>
      </w:r>
      <w:r>
        <w:rPr>
          <w:rFonts w:cs="Times New Roman"/>
          <w:lang w:val="fr-CA"/>
        </w:rPr>
        <w:t xml:space="preserve">. </w:t>
      </w:r>
    </w:p>
    <w:p w:rsidR="00810FD5" w:rsidRPr="00AA314A" w:rsidRDefault="00810FD5" w:rsidP="003223DD">
      <w:pPr>
        <w:pStyle w:val="ParaNoNdepar-AltN"/>
        <w:widowControl w:val="0"/>
        <w:ind w:left="0"/>
        <w:rPr>
          <w:rFonts w:cs="Times New Roman"/>
          <w:lang w:val="fr-CA"/>
        </w:rPr>
      </w:pPr>
      <w:r w:rsidRPr="00AA314A">
        <w:rPr>
          <w:rFonts w:cs="Times New Roman"/>
          <w:lang w:val="fr-CA"/>
        </w:rPr>
        <w:t>Quant au premier alinéa de l</w:t>
      </w:r>
      <w:r>
        <w:rPr>
          <w:rFonts w:cs="Times New Roman"/>
          <w:lang w:val="fr-CA"/>
        </w:rPr>
        <w:t>’art. </w:t>
      </w:r>
      <w:r w:rsidRPr="00AA314A">
        <w:rPr>
          <w:rFonts w:cs="Times New Roman"/>
          <w:lang w:val="fr-CA"/>
        </w:rPr>
        <w:t>50, bien qu</w:t>
      </w:r>
      <w:r>
        <w:rPr>
          <w:rFonts w:cs="Times New Roman"/>
          <w:lang w:val="fr-CA"/>
        </w:rPr>
        <w:t>’</w:t>
      </w:r>
      <w:r w:rsidRPr="00AA314A">
        <w:rPr>
          <w:rFonts w:cs="Times New Roman"/>
          <w:lang w:val="fr-CA"/>
        </w:rPr>
        <w:t>il comporte deux volets, M. Nadeau</w:t>
      </w:r>
      <w:r>
        <w:rPr>
          <w:rFonts w:cs="Times New Roman"/>
          <w:lang w:val="fr-CA"/>
        </w:rPr>
        <w:noBreakHyphen/>
      </w:r>
      <w:r w:rsidRPr="00AA314A">
        <w:rPr>
          <w:rFonts w:cs="Times New Roman"/>
          <w:lang w:val="fr-CA"/>
        </w:rPr>
        <w:t>Dubois n</w:t>
      </w:r>
      <w:r>
        <w:rPr>
          <w:rFonts w:cs="Times New Roman"/>
          <w:lang w:val="fr-CA"/>
        </w:rPr>
        <w:t>’</w:t>
      </w:r>
      <w:r w:rsidRPr="00AA314A">
        <w:rPr>
          <w:rFonts w:cs="Times New Roman"/>
          <w:lang w:val="fr-CA"/>
        </w:rPr>
        <w:t>a pas été avisé de la partie spécifique, le cas échéant, en vertu de laquelle il était accusé. Au contraire, l</w:t>
      </w:r>
      <w:r>
        <w:rPr>
          <w:rFonts w:cs="Times New Roman"/>
          <w:lang w:val="fr-CA"/>
        </w:rPr>
        <w:t>’</w:t>
      </w:r>
      <w:r w:rsidRPr="00AA314A">
        <w:rPr>
          <w:rFonts w:cs="Times New Roman"/>
          <w:lang w:val="fr-CA"/>
        </w:rPr>
        <w:t xml:space="preserve">ordonnance spéciale de comparaître ne faisait </w:t>
      </w:r>
      <w:r w:rsidRPr="00AA314A">
        <w:rPr>
          <w:rFonts w:cs="Times New Roman"/>
          <w:lang w:val="fr-CA"/>
        </w:rPr>
        <w:lastRenderedPageBreak/>
        <w:t xml:space="preserve">mention que </w:t>
      </w:r>
      <w:r>
        <w:rPr>
          <w:rFonts w:cs="Times New Roman"/>
          <w:lang w:val="fr-CA"/>
        </w:rPr>
        <w:t xml:space="preserve">de l’alinéa </w:t>
      </w:r>
      <w:r w:rsidRPr="00AA314A">
        <w:rPr>
          <w:rFonts w:cs="Times New Roman"/>
          <w:lang w:val="fr-CA"/>
        </w:rPr>
        <w:t>en entier. Sans autre précision, il s</w:t>
      </w:r>
      <w:r>
        <w:rPr>
          <w:rFonts w:cs="Times New Roman"/>
          <w:lang w:val="fr-CA"/>
        </w:rPr>
        <w:t>’</w:t>
      </w:r>
      <w:r w:rsidRPr="00AA314A">
        <w:rPr>
          <w:rFonts w:cs="Times New Roman"/>
          <w:lang w:val="fr-CA"/>
        </w:rPr>
        <w:t>ensuivait que la seule infraction à l</w:t>
      </w:r>
      <w:r>
        <w:rPr>
          <w:rFonts w:cs="Times New Roman"/>
          <w:lang w:val="fr-CA"/>
        </w:rPr>
        <w:t>’</w:t>
      </w:r>
      <w:r w:rsidRPr="00AA314A">
        <w:rPr>
          <w:rFonts w:cs="Times New Roman"/>
          <w:lang w:val="fr-CA"/>
        </w:rPr>
        <w:t>égard de laquelle M. Nadeau</w:t>
      </w:r>
      <w:r>
        <w:rPr>
          <w:rFonts w:cs="Times New Roman"/>
          <w:lang w:val="fr-CA"/>
        </w:rPr>
        <w:noBreakHyphen/>
      </w:r>
      <w:r w:rsidRPr="00AA314A">
        <w:rPr>
          <w:rFonts w:cs="Times New Roman"/>
          <w:lang w:val="fr-CA"/>
        </w:rPr>
        <w:t xml:space="preserve">Dubois devait se défendre avait trait aux allégations particulières qui se trouvaient dans la requête pour outrage présentée par M. Morasse. </w:t>
      </w:r>
    </w:p>
    <w:p w:rsidR="00810FD5" w:rsidRPr="00AA314A" w:rsidRDefault="00810FD5" w:rsidP="003223DD">
      <w:pPr>
        <w:pStyle w:val="ParaNoNdepar-AltN"/>
        <w:widowControl w:val="0"/>
        <w:ind w:left="0"/>
        <w:rPr>
          <w:rFonts w:cs="Times New Roman"/>
          <w:lang w:val="fr-CA"/>
        </w:rPr>
      </w:pPr>
      <w:r w:rsidRPr="00AA314A">
        <w:rPr>
          <w:rFonts w:cs="Times New Roman"/>
          <w:lang w:val="fr-CA"/>
        </w:rPr>
        <w:t>Rappelons que pour faire déclarer M. Nadeau</w:t>
      </w:r>
      <w:r>
        <w:rPr>
          <w:rFonts w:cs="Times New Roman"/>
          <w:lang w:val="fr-CA"/>
        </w:rPr>
        <w:noBreakHyphen/>
      </w:r>
      <w:r w:rsidRPr="00AA314A">
        <w:rPr>
          <w:rFonts w:cs="Times New Roman"/>
          <w:lang w:val="fr-CA"/>
        </w:rPr>
        <w:t>Dubois coupable en vertu du premier volet du premier alinéa de l</w:t>
      </w:r>
      <w:r>
        <w:rPr>
          <w:rFonts w:cs="Times New Roman"/>
          <w:lang w:val="fr-CA"/>
        </w:rPr>
        <w:t>’art. </w:t>
      </w:r>
      <w:r w:rsidRPr="00AA314A">
        <w:rPr>
          <w:rFonts w:cs="Times New Roman"/>
          <w:lang w:val="fr-CA"/>
        </w:rPr>
        <w:t>50, M. Morasse avait le fardeau de prouver hors de tout doute raisonnable que l</w:t>
      </w:r>
      <w:r>
        <w:rPr>
          <w:rFonts w:cs="Times New Roman"/>
          <w:lang w:val="fr-CA"/>
        </w:rPr>
        <w:t>’</w:t>
      </w:r>
      <w:r w:rsidRPr="00AA314A">
        <w:rPr>
          <w:rFonts w:cs="Times New Roman"/>
          <w:lang w:val="fr-CA"/>
        </w:rPr>
        <w:t>ordonnance du juge Émond était claire, que M. Nadeau</w:t>
      </w:r>
      <w:r>
        <w:rPr>
          <w:rFonts w:cs="Times New Roman"/>
          <w:lang w:val="fr-CA"/>
        </w:rPr>
        <w:noBreakHyphen/>
      </w:r>
      <w:r w:rsidRPr="00AA314A">
        <w:rPr>
          <w:rFonts w:cs="Times New Roman"/>
          <w:lang w:val="fr-CA"/>
        </w:rPr>
        <w:t>Dubois en avait connaissance et qu</w:t>
      </w:r>
      <w:r>
        <w:rPr>
          <w:rFonts w:cs="Times New Roman"/>
          <w:lang w:val="fr-CA"/>
        </w:rPr>
        <w:t>’</w:t>
      </w:r>
      <w:r w:rsidRPr="00AA314A">
        <w:rPr>
          <w:rFonts w:cs="Times New Roman"/>
          <w:lang w:val="fr-CA"/>
        </w:rPr>
        <w:t>il avait intentionnellement fait ce qu</w:t>
      </w:r>
      <w:r>
        <w:rPr>
          <w:rFonts w:cs="Times New Roman"/>
          <w:lang w:val="fr-CA"/>
        </w:rPr>
        <w:t>’</w:t>
      </w:r>
      <w:r w:rsidRPr="00AA314A">
        <w:rPr>
          <w:rFonts w:cs="Times New Roman"/>
          <w:lang w:val="fr-CA"/>
        </w:rPr>
        <w:t>interdisait l</w:t>
      </w:r>
      <w:r>
        <w:rPr>
          <w:rFonts w:cs="Times New Roman"/>
          <w:lang w:val="fr-CA"/>
        </w:rPr>
        <w:t>’</w:t>
      </w:r>
      <w:r w:rsidRPr="00AA314A">
        <w:rPr>
          <w:rFonts w:cs="Times New Roman"/>
          <w:lang w:val="fr-CA"/>
        </w:rPr>
        <w:t>ordonnance. Or, il n</w:t>
      </w:r>
      <w:r>
        <w:rPr>
          <w:rFonts w:cs="Times New Roman"/>
          <w:lang w:val="fr-CA"/>
        </w:rPr>
        <w:t>’</w:t>
      </w:r>
      <w:r w:rsidRPr="00AA314A">
        <w:rPr>
          <w:rFonts w:cs="Times New Roman"/>
          <w:lang w:val="fr-CA"/>
        </w:rPr>
        <w:t>y avait aucune preuve que M. Nadeau</w:t>
      </w:r>
      <w:r>
        <w:rPr>
          <w:rFonts w:cs="Times New Roman"/>
          <w:lang w:val="fr-CA"/>
        </w:rPr>
        <w:noBreakHyphen/>
      </w:r>
      <w:r w:rsidRPr="00AA314A">
        <w:rPr>
          <w:rFonts w:cs="Times New Roman"/>
          <w:lang w:val="fr-CA"/>
        </w:rPr>
        <w:t>Dubois avait une connaissance, directe ou par inférence, de l</w:t>
      </w:r>
      <w:r>
        <w:rPr>
          <w:rFonts w:cs="Times New Roman"/>
          <w:lang w:val="fr-CA"/>
        </w:rPr>
        <w:t>’</w:t>
      </w:r>
      <w:r w:rsidRPr="00AA314A">
        <w:rPr>
          <w:rFonts w:cs="Times New Roman"/>
          <w:lang w:val="fr-CA"/>
        </w:rPr>
        <w:t>injonction du 2 mai. Aucune copie de cette dernière n</w:t>
      </w:r>
      <w:r>
        <w:rPr>
          <w:rFonts w:cs="Times New Roman"/>
          <w:lang w:val="fr-CA"/>
        </w:rPr>
        <w:t>’</w:t>
      </w:r>
      <w:r w:rsidRPr="00AA314A">
        <w:rPr>
          <w:rFonts w:cs="Times New Roman"/>
          <w:lang w:val="fr-CA"/>
        </w:rPr>
        <w:t>a été signifiée personnellement à M. Nadeau</w:t>
      </w:r>
      <w:r>
        <w:rPr>
          <w:rFonts w:cs="Times New Roman"/>
          <w:lang w:val="fr-CA"/>
        </w:rPr>
        <w:noBreakHyphen/>
      </w:r>
      <w:r w:rsidRPr="00AA314A">
        <w:rPr>
          <w:rFonts w:cs="Times New Roman"/>
          <w:lang w:val="fr-CA"/>
        </w:rPr>
        <w:t>Dubois. Marie</w:t>
      </w:r>
      <w:r>
        <w:rPr>
          <w:rFonts w:cs="Times New Roman"/>
          <w:lang w:val="fr-CA"/>
        </w:rPr>
        <w:noBreakHyphen/>
      </w:r>
      <w:r w:rsidRPr="00AA314A">
        <w:rPr>
          <w:rFonts w:cs="Times New Roman"/>
          <w:lang w:val="fr-CA"/>
        </w:rPr>
        <w:t>Pierre Bocquet, qui était présidente de l</w:t>
      </w:r>
      <w:r>
        <w:rPr>
          <w:rFonts w:cs="Times New Roman"/>
          <w:lang w:val="fr-CA"/>
        </w:rPr>
        <w:t>’</w:t>
      </w:r>
      <w:r w:rsidR="006B79D8">
        <w:rPr>
          <w:rFonts w:cs="Times New Roman"/>
          <w:lang w:val="fr-CA"/>
        </w:rPr>
        <w:t>ASÉ</w:t>
      </w:r>
      <w:r w:rsidRPr="00AA314A">
        <w:rPr>
          <w:rFonts w:cs="Times New Roman"/>
          <w:lang w:val="fr-CA"/>
        </w:rPr>
        <w:t>TAP à l</w:t>
      </w:r>
      <w:r>
        <w:rPr>
          <w:rFonts w:cs="Times New Roman"/>
          <w:lang w:val="fr-CA"/>
        </w:rPr>
        <w:t>’</w:t>
      </w:r>
      <w:r w:rsidRPr="00AA314A">
        <w:rPr>
          <w:rFonts w:cs="Times New Roman"/>
          <w:lang w:val="fr-CA"/>
        </w:rPr>
        <w:t>époque où l</w:t>
      </w:r>
      <w:r>
        <w:rPr>
          <w:rFonts w:cs="Times New Roman"/>
          <w:lang w:val="fr-CA"/>
        </w:rPr>
        <w:t>’</w:t>
      </w:r>
      <w:r w:rsidRPr="00AA314A">
        <w:rPr>
          <w:rFonts w:cs="Times New Roman"/>
          <w:lang w:val="fr-CA"/>
        </w:rPr>
        <w:t>injonction a été prononcée, a reconnu qu</w:t>
      </w:r>
      <w:r>
        <w:rPr>
          <w:rFonts w:cs="Times New Roman"/>
          <w:lang w:val="fr-CA"/>
        </w:rPr>
        <w:t>’</w:t>
      </w:r>
      <w:r w:rsidRPr="00AA314A">
        <w:rPr>
          <w:rFonts w:cs="Times New Roman"/>
          <w:lang w:val="fr-CA"/>
        </w:rPr>
        <w:t>une copie de l</w:t>
      </w:r>
      <w:r>
        <w:rPr>
          <w:rFonts w:cs="Times New Roman"/>
          <w:lang w:val="fr-CA"/>
        </w:rPr>
        <w:t>’</w:t>
      </w:r>
      <w:r w:rsidRPr="00AA314A">
        <w:rPr>
          <w:rFonts w:cs="Times New Roman"/>
          <w:lang w:val="fr-CA"/>
        </w:rPr>
        <w:t>ordonnance du 2 mai lui avait été signifiée, mais elle a affirmé dans son témoignage qu</w:t>
      </w:r>
      <w:r>
        <w:rPr>
          <w:rFonts w:cs="Times New Roman"/>
          <w:lang w:val="fr-CA"/>
        </w:rPr>
        <w:t>’</w:t>
      </w:r>
      <w:r w:rsidRPr="00AA314A">
        <w:rPr>
          <w:rFonts w:cs="Times New Roman"/>
          <w:lang w:val="fr-CA"/>
        </w:rPr>
        <w:t>elle n</w:t>
      </w:r>
      <w:r>
        <w:rPr>
          <w:rFonts w:cs="Times New Roman"/>
          <w:lang w:val="fr-CA"/>
        </w:rPr>
        <w:t>’</w:t>
      </w:r>
      <w:r w:rsidRPr="00AA314A">
        <w:rPr>
          <w:rFonts w:cs="Times New Roman"/>
          <w:lang w:val="fr-CA"/>
        </w:rPr>
        <w:t>en avait pas remis copie à la CLASSE ou à M. Nadeau</w:t>
      </w:r>
      <w:r>
        <w:rPr>
          <w:rFonts w:cs="Times New Roman"/>
          <w:lang w:val="fr-CA"/>
        </w:rPr>
        <w:noBreakHyphen/>
      </w:r>
      <w:r w:rsidRPr="00AA314A">
        <w:rPr>
          <w:rFonts w:cs="Times New Roman"/>
          <w:lang w:val="fr-CA"/>
        </w:rPr>
        <w:t>Dubois et que, à sa connaissance, personne d</w:t>
      </w:r>
      <w:r>
        <w:rPr>
          <w:rFonts w:cs="Times New Roman"/>
          <w:lang w:val="fr-CA"/>
        </w:rPr>
        <w:t>’</w:t>
      </w:r>
      <w:r w:rsidRPr="00AA314A">
        <w:rPr>
          <w:rFonts w:cs="Times New Roman"/>
          <w:lang w:val="fr-CA"/>
        </w:rPr>
        <w:t>autre ne l</w:t>
      </w:r>
      <w:r>
        <w:rPr>
          <w:rFonts w:cs="Times New Roman"/>
          <w:lang w:val="fr-CA"/>
        </w:rPr>
        <w:t>’</w:t>
      </w:r>
      <w:r w:rsidRPr="00AA314A">
        <w:rPr>
          <w:rFonts w:cs="Times New Roman"/>
          <w:lang w:val="fr-CA"/>
        </w:rPr>
        <w:t>avait fait. La signification à des personnes autres que M. Nadeau</w:t>
      </w:r>
      <w:r>
        <w:rPr>
          <w:rFonts w:cs="Times New Roman"/>
          <w:lang w:val="fr-CA"/>
        </w:rPr>
        <w:noBreakHyphen/>
      </w:r>
      <w:r w:rsidRPr="00AA314A">
        <w:rPr>
          <w:rFonts w:cs="Times New Roman"/>
          <w:lang w:val="fr-CA"/>
        </w:rPr>
        <w:t>Dubois ne permet pas, à elle seule, de conclure hors de tout doute raisonnable que M. Nadeau</w:t>
      </w:r>
      <w:r>
        <w:rPr>
          <w:rFonts w:cs="Times New Roman"/>
          <w:lang w:val="fr-CA"/>
        </w:rPr>
        <w:noBreakHyphen/>
      </w:r>
      <w:r w:rsidRPr="00AA314A">
        <w:rPr>
          <w:rFonts w:cs="Times New Roman"/>
          <w:lang w:val="fr-CA"/>
        </w:rPr>
        <w:t xml:space="preserve">Dubois en avait </w:t>
      </w:r>
      <w:r w:rsidRPr="00AA314A">
        <w:rPr>
          <w:rFonts w:cs="Times New Roman"/>
          <w:i/>
          <w:lang w:val="fr-CA"/>
        </w:rPr>
        <w:t>lui</w:t>
      </w:r>
      <w:r>
        <w:rPr>
          <w:rFonts w:cs="Times New Roman"/>
          <w:i/>
          <w:lang w:val="fr-CA"/>
        </w:rPr>
        <w:noBreakHyphen/>
      </w:r>
      <w:r w:rsidRPr="00AA314A">
        <w:rPr>
          <w:rFonts w:cs="Times New Roman"/>
          <w:i/>
          <w:lang w:val="fr-CA"/>
        </w:rPr>
        <w:t>même</w:t>
      </w:r>
      <w:r w:rsidRPr="00AA314A">
        <w:rPr>
          <w:rFonts w:cs="Times New Roman"/>
          <w:lang w:val="fr-CA"/>
        </w:rPr>
        <w:t xml:space="preserve"> connaissance</w:t>
      </w:r>
      <w:r>
        <w:rPr>
          <w:rFonts w:cs="Times New Roman"/>
          <w:lang w:val="fr-CA"/>
        </w:rPr>
        <w:t> :</w:t>
      </w:r>
      <w:r w:rsidRPr="00AA314A">
        <w:rPr>
          <w:rFonts w:cs="Times New Roman"/>
          <w:lang w:val="fr-CA"/>
        </w:rPr>
        <w:t xml:space="preserve"> </w:t>
      </w:r>
      <w:r w:rsidRPr="00AA314A">
        <w:rPr>
          <w:rFonts w:cs="Times New Roman"/>
          <w:i/>
          <w:lang w:val="fr-CA"/>
        </w:rPr>
        <w:t>Syndicat des cols bleus regroupés de Montréal</w:t>
      </w:r>
      <w:r w:rsidRPr="00AA314A">
        <w:rPr>
          <w:rFonts w:cs="Times New Roman"/>
          <w:lang w:val="fr-CA"/>
        </w:rPr>
        <w:t xml:space="preserve">, </w:t>
      </w:r>
      <w:r>
        <w:rPr>
          <w:rFonts w:cs="Times New Roman"/>
          <w:lang w:val="fr-CA"/>
        </w:rPr>
        <w:t>par. </w:t>
      </w:r>
      <w:r w:rsidRPr="00AA314A">
        <w:rPr>
          <w:rFonts w:cs="Times New Roman"/>
          <w:lang w:val="fr-CA"/>
        </w:rPr>
        <w:t xml:space="preserve">128. </w:t>
      </w:r>
    </w:p>
    <w:p w:rsidR="00810FD5" w:rsidRPr="00AA314A" w:rsidRDefault="00810FD5" w:rsidP="003223DD">
      <w:pPr>
        <w:pStyle w:val="ParaNoNdepar-AltN"/>
        <w:widowControl w:val="0"/>
        <w:ind w:left="0"/>
        <w:rPr>
          <w:rFonts w:cs="Times New Roman"/>
          <w:lang w:val="fr-CA"/>
        </w:rPr>
      </w:pPr>
      <w:r w:rsidRPr="00AA314A">
        <w:rPr>
          <w:rFonts w:cs="Times New Roman"/>
          <w:lang w:val="fr-CA"/>
        </w:rPr>
        <w:t>Contrairement à ce qu</w:t>
      </w:r>
      <w:r>
        <w:rPr>
          <w:rFonts w:cs="Times New Roman"/>
          <w:lang w:val="fr-CA"/>
        </w:rPr>
        <w:t>’</w:t>
      </w:r>
      <w:r w:rsidRPr="00AA314A">
        <w:rPr>
          <w:rFonts w:cs="Times New Roman"/>
          <w:lang w:val="fr-CA"/>
        </w:rPr>
        <w:t>a conclu le juge Jacques, le fait que, à l</w:t>
      </w:r>
      <w:r>
        <w:rPr>
          <w:rFonts w:cs="Times New Roman"/>
          <w:lang w:val="fr-CA"/>
        </w:rPr>
        <w:t>’</w:t>
      </w:r>
      <w:r w:rsidRPr="00AA314A">
        <w:rPr>
          <w:rFonts w:cs="Times New Roman"/>
          <w:lang w:val="fr-CA"/>
        </w:rPr>
        <w:t>époque de l</w:t>
      </w:r>
      <w:r>
        <w:rPr>
          <w:rFonts w:cs="Times New Roman"/>
          <w:lang w:val="fr-CA"/>
        </w:rPr>
        <w:t>’</w:t>
      </w:r>
      <w:r w:rsidRPr="00AA314A">
        <w:rPr>
          <w:rFonts w:cs="Times New Roman"/>
          <w:lang w:val="fr-CA"/>
        </w:rPr>
        <w:t>entrevue, d</w:t>
      </w:r>
      <w:r>
        <w:rPr>
          <w:rFonts w:cs="Times New Roman"/>
          <w:lang w:val="fr-CA"/>
        </w:rPr>
        <w:t>’</w:t>
      </w:r>
      <w:r w:rsidRPr="00AA314A">
        <w:rPr>
          <w:rFonts w:cs="Times New Roman"/>
          <w:lang w:val="fr-CA"/>
        </w:rPr>
        <w:t>autres injonctions aient été prononcées dans le contexte des manifestations étudiantes ne prouve pas que M. Nadeau</w:t>
      </w:r>
      <w:r>
        <w:rPr>
          <w:rFonts w:cs="Times New Roman"/>
          <w:lang w:val="fr-CA"/>
        </w:rPr>
        <w:noBreakHyphen/>
      </w:r>
      <w:r w:rsidRPr="00AA314A">
        <w:rPr>
          <w:rFonts w:cs="Times New Roman"/>
          <w:lang w:val="fr-CA"/>
        </w:rPr>
        <w:t>Dubois avait connaissance de l</w:t>
      </w:r>
      <w:r>
        <w:rPr>
          <w:rFonts w:cs="Times New Roman"/>
          <w:lang w:val="fr-CA"/>
        </w:rPr>
        <w:t>’</w:t>
      </w:r>
      <w:r w:rsidRPr="00AA314A">
        <w:rPr>
          <w:rFonts w:cs="Times New Roman"/>
          <w:lang w:val="fr-CA"/>
        </w:rPr>
        <w:t>injonction rendue par le juge Émond. Comme la Cour d</w:t>
      </w:r>
      <w:r>
        <w:rPr>
          <w:rFonts w:cs="Times New Roman"/>
          <w:lang w:val="fr-CA"/>
        </w:rPr>
        <w:t>’</w:t>
      </w:r>
      <w:r w:rsidRPr="00AA314A">
        <w:rPr>
          <w:rFonts w:cs="Times New Roman"/>
          <w:lang w:val="fr-CA"/>
        </w:rPr>
        <w:t>appel l</w:t>
      </w:r>
      <w:r>
        <w:rPr>
          <w:rFonts w:cs="Times New Roman"/>
          <w:lang w:val="fr-CA"/>
        </w:rPr>
        <w:t>’</w:t>
      </w:r>
      <w:r w:rsidRPr="00AA314A">
        <w:rPr>
          <w:rFonts w:cs="Times New Roman"/>
          <w:lang w:val="fr-CA"/>
        </w:rPr>
        <w:t xml:space="preserve">a affirmé à bon droit, </w:t>
      </w:r>
      <w:r w:rsidRPr="00AA314A">
        <w:rPr>
          <w:rFonts w:cs="Times New Roman"/>
          <w:lang w:val="fr-CA"/>
        </w:rPr>
        <w:lastRenderedPageBreak/>
        <w:t>inférer que M. Nadeau</w:t>
      </w:r>
      <w:r>
        <w:rPr>
          <w:rFonts w:cs="Times New Roman"/>
          <w:lang w:val="fr-CA"/>
        </w:rPr>
        <w:noBreakHyphen/>
      </w:r>
      <w:r w:rsidRPr="00AA314A">
        <w:rPr>
          <w:rFonts w:cs="Times New Roman"/>
          <w:lang w:val="fr-CA"/>
        </w:rPr>
        <w:t>Dubois avait connaissance de l</w:t>
      </w:r>
      <w:r>
        <w:rPr>
          <w:rFonts w:cs="Times New Roman"/>
          <w:lang w:val="fr-CA"/>
        </w:rPr>
        <w:t>’</w:t>
      </w:r>
      <w:r w:rsidRPr="00AA314A">
        <w:rPr>
          <w:rFonts w:cs="Times New Roman"/>
          <w:lang w:val="fr-CA"/>
        </w:rPr>
        <w:t xml:space="preserve">ordonnance particulière en </w:t>
      </w:r>
      <w:r w:rsidRPr="00AA314A">
        <w:rPr>
          <w:rFonts w:cs="Times New Roman"/>
          <w:i/>
          <w:lang w:val="fr-CA"/>
        </w:rPr>
        <w:t>présumant</w:t>
      </w:r>
      <w:r w:rsidRPr="00AA314A">
        <w:rPr>
          <w:rFonts w:cs="Times New Roman"/>
          <w:lang w:val="fr-CA"/>
        </w:rPr>
        <w:t xml:space="preserve"> qu</w:t>
      </w:r>
      <w:r>
        <w:rPr>
          <w:rFonts w:cs="Times New Roman"/>
          <w:lang w:val="fr-CA"/>
        </w:rPr>
        <w:t>’</w:t>
      </w:r>
      <w:r w:rsidRPr="00AA314A">
        <w:rPr>
          <w:rFonts w:cs="Times New Roman"/>
          <w:lang w:val="fr-CA"/>
        </w:rPr>
        <w:t>il avait connaissance d</w:t>
      </w:r>
      <w:r>
        <w:rPr>
          <w:rFonts w:cs="Times New Roman"/>
          <w:lang w:val="fr-CA"/>
        </w:rPr>
        <w:t>’</w:t>
      </w:r>
      <w:r w:rsidRPr="00AA314A">
        <w:rPr>
          <w:rFonts w:cs="Times New Roman"/>
          <w:lang w:val="fr-CA"/>
        </w:rPr>
        <w:t>autres ordonnances, potentiellement semblables, mais dont aucune n</w:t>
      </w:r>
      <w:r>
        <w:rPr>
          <w:rFonts w:cs="Times New Roman"/>
          <w:lang w:val="fr-CA"/>
        </w:rPr>
        <w:t>’</w:t>
      </w:r>
      <w:r w:rsidRPr="00AA314A">
        <w:rPr>
          <w:rFonts w:cs="Times New Roman"/>
          <w:lang w:val="fr-CA"/>
        </w:rPr>
        <w:t>a été mise en preuve ou mentionnée dans la procédure pour outrage, équivaut à inverser le fardeau de la preuve; il s</w:t>
      </w:r>
      <w:r>
        <w:rPr>
          <w:rFonts w:cs="Times New Roman"/>
          <w:lang w:val="fr-CA"/>
        </w:rPr>
        <w:t>’</w:t>
      </w:r>
      <w:r w:rsidRPr="00AA314A">
        <w:rPr>
          <w:rFonts w:cs="Times New Roman"/>
          <w:lang w:val="fr-CA"/>
        </w:rPr>
        <w:t>agit là d</w:t>
      </w:r>
      <w:r>
        <w:rPr>
          <w:rFonts w:cs="Times New Roman"/>
          <w:lang w:val="fr-CA"/>
        </w:rPr>
        <w:t>’</w:t>
      </w:r>
      <w:r w:rsidRPr="00AA314A">
        <w:rPr>
          <w:rFonts w:cs="Times New Roman"/>
          <w:lang w:val="fr-CA"/>
        </w:rPr>
        <w:t xml:space="preserve">une erreur manifeste et déterminante. </w:t>
      </w:r>
    </w:p>
    <w:p w:rsidR="00810FD5" w:rsidRPr="00AA314A" w:rsidRDefault="00810FD5" w:rsidP="003223DD">
      <w:pPr>
        <w:pStyle w:val="ParaNoNdepar-AltN"/>
        <w:widowControl w:val="0"/>
        <w:ind w:left="0"/>
        <w:rPr>
          <w:rFonts w:cs="Times New Roman"/>
          <w:lang w:val="fr-CA"/>
        </w:rPr>
      </w:pPr>
      <w:r w:rsidRPr="00AA314A">
        <w:rPr>
          <w:rFonts w:cs="Times New Roman"/>
          <w:lang w:val="fr-CA"/>
        </w:rPr>
        <w:t>Nous n</w:t>
      </w:r>
      <w:r>
        <w:rPr>
          <w:rFonts w:cs="Times New Roman"/>
          <w:lang w:val="fr-CA"/>
        </w:rPr>
        <w:t>’</w:t>
      </w:r>
      <w:r w:rsidRPr="00AA314A">
        <w:rPr>
          <w:rFonts w:cs="Times New Roman"/>
          <w:lang w:val="fr-CA"/>
        </w:rPr>
        <w:t>admettons pas non plus que la connaissance puisse être imputée à M. Nadeau</w:t>
      </w:r>
      <w:r>
        <w:rPr>
          <w:rFonts w:cs="Times New Roman"/>
          <w:lang w:val="fr-CA"/>
        </w:rPr>
        <w:noBreakHyphen/>
      </w:r>
      <w:r w:rsidRPr="00AA314A">
        <w:rPr>
          <w:rFonts w:cs="Times New Roman"/>
          <w:lang w:val="fr-CA"/>
        </w:rPr>
        <w:t>Dubois sur le fondement de la réponse qu</w:t>
      </w:r>
      <w:r>
        <w:rPr>
          <w:rFonts w:cs="Times New Roman"/>
          <w:lang w:val="fr-CA"/>
        </w:rPr>
        <w:t>’</w:t>
      </w:r>
      <w:r w:rsidRPr="00AA314A">
        <w:rPr>
          <w:rFonts w:cs="Times New Roman"/>
          <w:lang w:val="fr-CA"/>
        </w:rPr>
        <w:t>il a donnée à la question qui lui a été posée pendant l</w:t>
      </w:r>
      <w:r>
        <w:rPr>
          <w:rFonts w:cs="Times New Roman"/>
          <w:lang w:val="fr-CA"/>
        </w:rPr>
        <w:t>’</w:t>
      </w:r>
      <w:r w:rsidRPr="00AA314A">
        <w:rPr>
          <w:rFonts w:cs="Times New Roman"/>
          <w:lang w:val="fr-CA"/>
        </w:rPr>
        <w:t>entrevue, ou, plus indirectement, en s</w:t>
      </w:r>
      <w:r>
        <w:rPr>
          <w:rFonts w:cs="Times New Roman"/>
          <w:lang w:val="fr-CA"/>
        </w:rPr>
        <w:t>’</w:t>
      </w:r>
      <w:r w:rsidRPr="00AA314A">
        <w:rPr>
          <w:rFonts w:cs="Times New Roman"/>
          <w:lang w:val="fr-CA"/>
        </w:rPr>
        <w:t>appuyant sur des déclarations faites par l</w:t>
      </w:r>
      <w:r>
        <w:rPr>
          <w:rFonts w:cs="Times New Roman"/>
          <w:lang w:val="fr-CA"/>
        </w:rPr>
        <w:t>’</w:t>
      </w:r>
      <w:r w:rsidRPr="00AA314A">
        <w:rPr>
          <w:rFonts w:cs="Times New Roman"/>
          <w:lang w:val="fr-CA"/>
        </w:rPr>
        <w:t>autre personne interviewée, M. Bureau</w:t>
      </w:r>
      <w:r>
        <w:rPr>
          <w:rFonts w:cs="Times New Roman"/>
          <w:lang w:val="fr-CA"/>
        </w:rPr>
        <w:noBreakHyphen/>
      </w:r>
      <w:r w:rsidRPr="00AA314A">
        <w:rPr>
          <w:rFonts w:cs="Times New Roman"/>
          <w:lang w:val="fr-CA"/>
        </w:rPr>
        <w:t>Blouin. Ni la question de la journaliste à M. Bureau</w:t>
      </w:r>
      <w:r>
        <w:rPr>
          <w:rFonts w:cs="Times New Roman"/>
          <w:lang w:val="fr-CA"/>
        </w:rPr>
        <w:noBreakHyphen/>
      </w:r>
      <w:r w:rsidRPr="00AA314A">
        <w:rPr>
          <w:rFonts w:cs="Times New Roman"/>
          <w:lang w:val="fr-CA"/>
        </w:rPr>
        <w:t>Blouin ni les déclarations de ce dernier n</w:t>
      </w:r>
      <w:r>
        <w:rPr>
          <w:rFonts w:cs="Times New Roman"/>
          <w:lang w:val="fr-CA"/>
        </w:rPr>
        <w:t>’</w:t>
      </w:r>
      <w:r w:rsidRPr="00AA314A">
        <w:rPr>
          <w:rFonts w:cs="Times New Roman"/>
          <w:lang w:val="fr-CA"/>
        </w:rPr>
        <w:t>ont fait mention d</w:t>
      </w:r>
      <w:r>
        <w:rPr>
          <w:rFonts w:cs="Times New Roman"/>
          <w:lang w:val="fr-CA"/>
        </w:rPr>
        <w:t>’</w:t>
      </w:r>
      <w:r w:rsidRPr="00AA314A">
        <w:rPr>
          <w:rFonts w:cs="Times New Roman"/>
          <w:lang w:val="fr-CA"/>
        </w:rPr>
        <w:t>injonction s</w:t>
      </w:r>
      <w:r>
        <w:rPr>
          <w:rFonts w:cs="Times New Roman"/>
          <w:lang w:val="fr-CA"/>
        </w:rPr>
        <w:t>’</w:t>
      </w:r>
      <w:r w:rsidRPr="00AA314A">
        <w:rPr>
          <w:rFonts w:cs="Times New Roman"/>
          <w:lang w:val="fr-CA"/>
        </w:rPr>
        <w:t>appliquant à l</w:t>
      </w:r>
      <w:r>
        <w:rPr>
          <w:rFonts w:cs="Times New Roman"/>
          <w:lang w:val="fr-CA"/>
        </w:rPr>
        <w:t>’</w:t>
      </w:r>
      <w:r w:rsidRPr="00AA314A">
        <w:rPr>
          <w:rFonts w:cs="Times New Roman"/>
          <w:lang w:val="fr-CA"/>
        </w:rPr>
        <w:t>Université Laval, ni, de fait, à aucune autre université. Monsieur</w:t>
      </w:r>
      <w:r>
        <w:rPr>
          <w:rFonts w:cs="Times New Roman"/>
          <w:lang w:val="fr-CA"/>
        </w:rPr>
        <w:t xml:space="preserve"> </w:t>
      </w:r>
      <w:r w:rsidRPr="00AA314A">
        <w:rPr>
          <w:rFonts w:cs="Times New Roman"/>
          <w:lang w:val="fr-CA"/>
        </w:rPr>
        <w:t>Bureau</w:t>
      </w:r>
      <w:r>
        <w:rPr>
          <w:rFonts w:cs="Times New Roman"/>
          <w:lang w:val="fr-CA"/>
        </w:rPr>
        <w:noBreakHyphen/>
      </w:r>
      <w:r w:rsidRPr="00AA314A">
        <w:rPr>
          <w:rFonts w:cs="Times New Roman"/>
          <w:lang w:val="fr-CA"/>
        </w:rPr>
        <w:t>Blouin n</w:t>
      </w:r>
      <w:r>
        <w:rPr>
          <w:rFonts w:cs="Times New Roman"/>
          <w:lang w:val="fr-CA"/>
        </w:rPr>
        <w:t>’</w:t>
      </w:r>
      <w:r w:rsidRPr="00AA314A">
        <w:rPr>
          <w:rFonts w:cs="Times New Roman"/>
          <w:lang w:val="fr-CA"/>
        </w:rPr>
        <w:t>a parlé que des injonctions qui s</w:t>
      </w:r>
      <w:r>
        <w:rPr>
          <w:rFonts w:cs="Times New Roman"/>
          <w:lang w:val="fr-CA"/>
        </w:rPr>
        <w:t>’</w:t>
      </w:r>
      <w:r w:rsidRPr="00AA314A">
        <w:rPr>
          <w:rFonts w:cs="Times New Roman"/>
          <w:lang w:val="fr-CA"/>
        </w:rPr>
        <w:t>appliquaient aux cégeps. Qui plus est, l</w:t>
      </w:r>
      <w:r w:rsidR="003B7D1F">
        <w:rPr>
          <w:rFonts w:cs="Times New Roman"/>
          <w:lang w:val="fr-CA"/>
        </w:rPr>
        <w:t>a</w:t>
      </w:r>
      <w:r w:rsidRPr="00AA314A">
        <w:rPr>
          <w:rFonts w:cs="Times New Roman"/>
          <w:lang w:val="fr-CA"/>
        </w:rPr>
        <w:t xml:space="preserve"> question que la journaliste a adressée à M. Nadeau</w:t>
      </w:r>
      <w:r>
        <w:rPr>
          <w:rFonts w:cs="Times New Roman"/>
          <w:lang w:val="fr-CA"/>
        </w:rPr>
        <w:noBreakHyphen/>
      </w:r>
      <w:r w:rsidRPr="00AA314A">
        <w:rPr>
          <w:rFonts w:cs="Times New Roman"/>
          <w:lang w:val="fr-CA"/>
        </w:rPr>
        <w:t>Dubois n</w:t>
      </w:r>
      <w:r>
        <w:rPr>
          <w:rFonts w:cs="Times New Roman"/>
          <w:lang w:val="fr-CA"/>
        </w:rPr>
        <w:t>’</w:t>
      </w:r>
      <w:r w:rsidR="003B7D1F">
        <w:rPr>
          <w:rFonts w:cs="Times New Roman"/>
          <w:lang w:val="fr-CA"/>
        </w:rPr>
        <w:t>a</w:t>
      </w:r>
      <w:r w:rsidRPr="00AA314A">
        <w:rPr>
          <w:rFonts w:cs="Times New Roman"/>
          <w:lang w:val="fr-CA"/>
        </w:rPr>
        <w:t xml:space="preserve"> nullement fait mention de quelque injonction que ce soit. Du contexte de l</w:t>
      </w:r>
      <w:r>
        <w:rPr>
          <w:rFonts w:cs="Times New Roman"/>
          <w:lang w:val="fr-CA"/>
        </w:rPr>
        <w:t>’</w:t>
      </w:r>
      <w:r w:rsidRPr="00AA314A">
        <w:rPr>
          <w:rFonts w:cs="Times New Roman"/>
          <w:lang w:val="fr-CA"/>
        </w:rPr>
        <w:t>entrevue, il ne ressort aucune preuve selon laquelle il était question, même indirectement, de l</w:t>
      </w:r>
      <w:r>
        <w:rPr>
          <w:rFonts w:cs="Times New Roman"/>
          <w:lang w:val="fr-CA"/>
        </w:rPr>
        <w:t>’</w:t>
      </w:r>
      <w:r w:rsidRPr="00AA314A">
        <w:rPr>
          <w:rFonts w:cs="Times New Roman"/>
          <w:lang w:val="fr-CA"/>
        </w:rPr>
        <w:t>ordonnance du juge Émond, de sorte que l</w:t>
      </w:r>
      <w:r>
        <w:rPr>
          <w:rFonts w:cs="Times New Roman"/>
          <w:lang w:val="fr-CA"/>
        </w:rPr>
        <w:t>’</w:t>
      </w:r>
      <w:r w:rsidRPr="00AA314A">
        <w:rPr>
          <w:rFonts w:cs="Times New Roman"/>
          <w:lang w:val="fr-CA"/>
        </w:rPr>
        <w:t>on pût présumer la connaissance de M. Nadeau</w:t>
      </w:r>
      <w:r>
        <w:rPr>
          <w:rFonts w:cs="Times New Roman"/>
          <w:lang w:val="fr-CA"/>
        </w:rPr>
        <w:noBreakHyphen/>
      </w:r>
      <w:r w:rsidRPr="00AA314A">
        <w:rPr>
          <w:rFonts w:cs="Times New Roman"/>
          <w:lang w:val="fr-CA"/>
        </w:rPr>
        <w:t xml:space="preserve">Dubois. </w:t>
      </w:r>
    </w:p>
    <w:p w:rsidR="00810FD5" w:rsidRPr="00AA314A" w:rsidRDefault="00810FD5" w:rsidP="003223DD">
      <w:pPr>
        <w:pStyle w:val="ParaNoNdepar-AltN"/>
        <w:widowControl w:val="0"/>
        <w:ind w:left="0"/>
        <w:rPr>
          <w:rFonts w:cs="Times New Roman"/>
          <w:lang w:val="fr-CA"/>
        </w:rPr>
      </w:pPr>
      <w:r w:rsidRPr="00AA314A">
        <w:rPr>
          <w:rFonts w:cs="Times New Roman"/>
          <w:lang w:val="fr-CA"/>
        </w:rPr>
        <w:t>Quant à l</w:t>
      </w:r>
      <w:r>
        <w:rPr>
          <w:rFonts w:cs="Times New Roman"/>
          <w:lang w:val="fr-CA"/>
        </w:rPr>
        <w:t>’</w:t>
      </w:r>
      <w:r w:rsidRPr="00AA314A">
        <w:rPr>
          <w:rFonts w:cs="Times New Roman"/>
          <w:lang w:val="fr-CA"/>
        </w:rPr>
        <w:t>affirmation de M. Nadeau</w:t>
      </w:r>
      <w:r>
        <w:rPr>
          <w:rFonts w:cs="Times New Roman"/>
          <w:lang w:val="fr-CA"/>
        </w:rPr>
        <w:noBreakHyphen/>
      </w:r>
      <w:r w:rsidRPr="00AA314A">
        <w:rPr>
          <w:rFonts w:cs="Times New Roman"/>
          <w:lang w:val="fr-CA"/>
        </w:rPr>
        <w:t>Dubois dans l</w:t>
      </w:r>
      <w:r>
        <w:rPr>
          <w:rFonts w:cs="Times New Roman"/>
          <w:lang w:val="fr-CA"/>
        </w:rPr>
        <w:t>’</w:t>
      </w:r>
      <w:r w:rsidRPr="00AA314A">
        <w:rPr>
          <w:rFonts w:cs="Times New Roman"/>
          <w:lang w:val="fr-CA"/>
        </w:rPr>
        <w:t>entrevue voulant qu</w:t>
      </w:r>
      <w:r>
        <w:rPr>
          <w:rFonts w:cs="Times New Roman"/>
          <w:lang w:val="fr-CA"/>
        </w:rPr>
        <w:t>’</w:t>
      </w:r>
      <w:r w:rsidRPr="00AA314A">
        <w:rPr>
          <w:rFonts w:cs="Times New Roman"/>
          <w:lang w:val="fr-CA"/>
        </w:rPr>
        <w:t>il y ait « une minorité d</w:t>
      </w:r>
      <w:r>
        <w:rPr>
          <w:rFonts w:cs="Times New Roman"/>
          <w:lang w:val="fr-CA"/>
        </w:rPr>
        <w:t>’</w:t>
      </w:r>
      <w:r w:rsidRPr="00AA314A">
        <w:rPr>
          <w:rFonts w:cs="Times New Roman"/>
          <w:lang w:val="fr-CA"/>
        </w:rPr>
        <w:t>étudiants et d</w:t>
      </w:r>
      <w:r>
        <w:rPr>
          <w:rFonts w:cs="Times New Roman"/>
          <w:lang w:val="fr-CA"/>
        </w:rPr>
        <w:t>’</w:t>
      </w:r>
      <w:r w:rsidRPr="00AA314A">
        <w:rPr>
          <w:rFonts w:cs="Times New Roman"/>
          <w:lang w:val="fr-CA"/>
        </w:rPr>
        <w:t>étudiantes qui utilisent les tribunaux pour contourner la décision collective qui a été prise [de faire la grève] », elle est, au mieux, ambiguë. À elle seule, cette affirmation ne permet pas de conclure qu</w:t>
      </w:r>
      <w:r>
        <w:rPr>
          <w:rFonts w:cs="Times New Roman"/>
          <w:lang w:val="fr-CA"/>
        </w:rPr>
        <w:t>’</w:t>
      </w:r>
      <w:r w:rsidRPr="00AA314A">
        <w:rPr>
          <w:rFonts w:cs="Times New Roman"/>
          <w:lang w:val="fr-CA"/>
        </w:rPr>
        <w:t xml:space="preserve">il connaissait les détails des injonctions prononcées contre les cégeps mentionnées par la journaliste et </w:t>
      </w:r>
      <w:r w:rsidRPr="00AA314A">
        <w:rPr>
          <w:rFonts w:cs="Times New Roman"/>
          <w:lang w:val="fr-CA"/>
        </w:rPr>
        <w:lastRenderedPageBreak/>
        <w:t>M. Bureau</w:t>
      </w:r>
      <w:r>
        <w:rPr>
          <w:rFonts w:cs="Times New Roman"/>
          <w:lang w:val="fr-CA"/>
        </w:rPr>
        <w:noBreakHyphen/>
      </w:r>
      <w:r w:rsidRPr="00AA314A">
        <w:rPr>
          <w:rFonts w:cs="Times New Roman"/>
          <w:lang w:val="fr-CA"/>
        </w:rPr>
        <w:t>Blouin, et encore moins de l</w:t>
      </w:r>
      <w:r>
        <w:rPr>
          <w:rFonts w:cs="Times New Roman"/>
          <w:lang w:val="fr-CA"/>
        </w:rPr>
        <w:t>’</w:t>
      </w:r>
      <w:r w:rsidRPr="00AA314A">
        <w:rPr>
          <w:rFonts w:cs="Times New Roman"/>
          <w:lang w:val="fr-CA"/>
        </w:rPr>
        <w:t xml:space="preserve">ordonnance du juge Émond en particulier. </w:t>
      </w:r>
    </w:p>
    <w:p w:rsidR="00810FD5" w:rsidRPr="00AA314A" w:rsidRDefault="00810FD5" w:rsidP="003223DD">
      <w:pPr>
        <w:pStyle w:val="ParaNoNdepar-AltN"/>
        <w:widowControl w:val="0"/>
        <w:ind w:left="0"/>
        <w:rPr>
          <w:rFonts w:cs="Times New Roman"/>
          <w:lang w:val="fr-CA"/>
        </w:rPr>
      </w:pPr>
      <w:r w:rsidRPr="00AA314A">
        <w:rPr>
          <w:rFonts w:cs="Times New Roman"/>
          <w:lang w:val="fr-CA"/>
        </w:rPr>
        <w:t>À tous égards, indépendamment de la teneur de la question de la journaliste ou de la réponse de M. Bureau</w:t>
      </w:r>
      <w:r>
        <w:rPr>
          <w:rFonts w:cs="Times New Roman"/>
          <w:lang w:val="fr-CA"/>
        </w:rPr>
        <w:noBreakHyphen/>
      </w:r>
      <w:r w:rsidRPr="00AA314A">
        <w:rPr>
          <w:rFonts w:cs="Times New Roman"/>
          <w:lang w:val="fr-CA"/>
        </w:rPr>
        <w:t>Blouin, aucun de leurs propos ne peut être utilisé de manière à attribuer à M. Nadeau</w:t>
      </w:r>
      <w:r>
        <w:rPr>
          <w:rFonts w:cs="Times New Roman"/>
          <w:lang w:val="fr-CA"/>
        </w:rPr>
        <w:noBreakHyphen/>
      </w:r>
      <w:r w:rsidRPr="00AA314A">
        <w:rPr>
          <w:rFonts w:cs="Times New Roman"/>
          <w:lang w:val="fr-CA"/>
        </w:rPr>
        <w:t>Dubois la connaissance de l</w:t>
      </w:r>
      <w:r>
        <w:rPr>
          <w:rFonts w:cs="Times New Roman"/>
          <w:lang w:val="fr-CA"/>
        </w:rPr>
        <w:t>’</w:t>
      </w:r>
      <w:r w:rsidRPr="00AA314A">
        <w:rPr>
          <w:rFonts w:cs="Times New Roman"/>
          <w:lang w:val="fr-CA"/>
        </w:rPr>
        <w:t>ordonnance du juge Émond. S</w:t>
      </w:r>
      <w:r>
        <w:rPr>
          <w:rFonts w:cs="Times New Roman"/>
          <w:lang w:val="fr-CA"/>
        </w:rPr>
        <w:t>’</w:t>
      </w:r>
      <w:r w:rsidRPr="00AA314A">
        <w:rPr>
          <w:rFonts w:cs="Times New Roman"/>
          <w:lang w:val="fr-CA"/>
        </w:rPr>
        <w:t>il en était autrement, on ouvrirait la porte à la possibilité que des individus puissent être punis pour les paroles prononcées par d</w:t>
      </w:r>
      <w:r>
        <w:rPr>
          <w:rFonts w:cs="Times New Roman"/>
          <w:lang w:val="fr-CA"/>
        </w:rPr>
        <w:t>’</w:t>
      </w:r>
      <w:r w:rsidRPr="00AA314A">
        <w:rPr>
          <w:rFonts w:cs="Times New Roman"/>
          <w:i/>
          <w:lang w:val="fr-CA"/>
        </w:rPr>
        <w:t>autres</w:t>
      </w:r>
      <w:r w:rsidRPr="00AA314A">
        <w:rPr>
          <w:rFonts w:cs="Times New Roman"/>
          <w:lang w:val="fr-CA"/>
        </w:rPr>
        <w:t>.</w:t>
      </w:r>
    </w:p>
    <w:p w:rsidR="00810FD5" w:rsidRPr="00AA314A" w:rsidRDefault="00810FD5" w:rsidP="003223DD">
      <w:pPr>
        <w:pStyle w:val="ParaNoNdepar-AltN"/>
        <w:widowControl w:val="0"/>
        <w:ind w:left="0"/>
        <w:rPr>
          <w:rFonts w:cs="Times New Roman"/>
          <w:lang w:val="fr-CA"/>
        </w:rPr>
      </w:pPr>
      <w:r w:rsidRPr="00AA314A">
        <w:rPr>
          <w:rFonts w:cs="Times New Roman"/>
          <w:lang w:val="fr-CA"/>
        </w:rPr>
        <w:t>Puisqu</w:t>
      </w:r>
      <w:r>
        <w:rPr>
          <w:rFonts w:cs="Times New Roman"/>
          <w:lang w:val="fr-CA"/>
        </w:rPr>
        <w:t>’</w:t>
      </w:r>
      <w:r w:rsidRPr="00AA314A">
        <w:rPr>
          <w:rFonts w:cs="Times New Roman"/>
          <w:lang w:val="fr-CA"/>
        </w:rPr>
        <w:t>il est purement hypothétique d</w:t>
      </w:r>
      <w:r>
        <w:rPr>
          <w:rFonts w:cs="Times New Roman"/>
          <w:lang w:val="fr-CA"/>
        </w:rPr>
        <w:t>’</w:t>
      </w:r>
      <w:r w:rsidRPr="00AA314A">
        <w:rPr>
          <w:rFonts w:cs="Times New Roman"/>
          <w:lang w:val="fr-CA"/>
        </w:rPr>
        <w:t>attribuer à M. Nadeau</w:t>
      </w:r>
      <w:r>
        <w:rPr>
          <w:rFonts w:cs="Times New Roman"/>
          <w:lang w:val="fr-CA"/>
        </w:rPr>
        <w:noBreakHyphen/>
      </w:r>
      <w:r w:rsidRPr="00AA314A">
        <w:rPr>
          <w:rFonts w:cs="Times New Roman"/>
          <w:lang w:val="fr-CA"/>
        </w:rPr>
        <w:t>Dubois la connaissance de l</w:t>
      </w:r>
      <w:r>
        <w:rPr>
          <w:rFonts w:cs="Times New Roman"/>
          <w:lang w:val="fr-CA"/>
        </w:rPr>
        <w:t>’</w:t>
      </w:r>
      <w:r w:rsidRPr="00AA314A">
        <w:rPr>
          <w:rFonts w:cs="Times New Roman"/>
          <w:lang w:val="fr-CA"/>
        </w:rPr>
        <w:t>ordonnance que le tribunal a prononcée le 2 mai, et partant, la connaissance de sa teneur, on ne saurait lui imputer une intention de violer cette ordonnance par les propos qu</w:t>
      </w:r>
      <w:r>
        <w:rPr>
          <w:rFonts w:cs="Times New Roman"/>
          <w:lang w:val="fr-CA"/>
        </w:rPr>
        <w:t>’</w:t>
      </w:r>
      <w:r w:rsidRPr="00AA314A">
        <w:rPr>
          <w:rFonts w:cs="Times New Roman"/>
          <w:lang w:val="fr-CA"/>
        </w:rPr>
        <w:t xml:space="preserve">il a tenus en entrevue. </w:t>
      </w:r>
    </w:p>
    <w:p w:rsidR="00810FD5" w:rsidRPr="00AA314A" w:rsidRDefault="00810FD5" w:rsidP="003223DD">
      <w:pPr>
        <w:pStyle w:val="ParaNoNdepar-AltN"/>
        <w:widowControl w:val="0"/>
        <w:ind w:left="0"/>
        <w:rPr>
          <w:rFonts w:cs="Times New Roman"/>
          <w:lang w:val="fr-CA"/>
        </w:rPr>
      </w:pPr>
      <w:r w:rsidRPr="00AA314A">
        <w:rPr>
          <w:rFonts w:cs="Times New Roman"/>
          <w:lang w:val="fr-CA"/>
        </w:rPr>
        <w:t>En outre, le juge Jacques a inféré que, dans les circonstances, l</w:t>
      </w:r>
      <w:r>
        <w:rPr>
          <w:rFonts w:cs="Times New Roman"/>
          <w:lang w:val="fr-CA"/>
        </w:rPr>
        <w:t>’</w:t>
      </w:r>
      <w:r w:rsidRPr="00AA314A">
        <w:rPr>
          <w:rFonts w:cs="Times New Roman"/>
          <w:lang w:val="fr-CA"/>
        </w:rPr>
        <w:t>appui de M. Nadeau</w:t>
      </w:r>
      <w:r>
        <w:rPr>
          <w:rFonts w:cs="Times New Roman"/>
          <w:lang w:val="fr-CA"/>
        </w:rPr>
        <w:noBreakHyphen/>
      </w:r>
      <w:r w:rsidRPr="00AA314A">
        <w:rPr>
          <w:rFonts w:cs="Times New Roman"/>
          <w:lang w:val="fr-CA"/>
        </w:rPr>
        <w:t>Dubois au piquetage par les étudiants en général équivalait à une incitation à employer des piquets de grève pour bloquer l</w:t>
      </w:r>
      <w:r>
        <w:rPr>
          <w:rFonts w:cs="Times New Roman"/>
          <w:lang w:val="fr-CA"/>
        </w:rPr>
        <w:t>’</w:t>
      </w:r>
      <w:r w:rsidRPr="00AA314A">
        <w:rPr>
          <w:rFonts w:cs="Times New Roman"/>
          <w:lang w:val="fr-CA"/>
        </w:rPr>
        <w:t>accès aux cours. Or, l</w:t>
      </w:r>
      <w:r>
        <w:rPr>
          <w:rFonts w:cs="Times New Roman"/>
          <w:lang w:val="fr-CA"/>
        </w:rPr>
        <w:t>’</w:t>
      </w:r>
      <w:r w:rsidRPr="00AA314A">
        <w:rPr>
          <w:rFonts w:cs="Times New Roman"/>
          <w:lang w:val="fr-CA"/>
        </w:rPr>
        <w:t>injonction qu</w:t>
      </w:r>
      <w:r>
        <w:rPr>
          <w:rFonts w:cs="Times New Roman"/>
          <w:lang w:val="fr-CA"/>
        </w:rPr>
        <w:t>’</w:t>
      </w:r>
      <w:r w:rsidRPr="00AA314A">
        <w:rPr>
          <w:rFonts w:cs="Times New Roman"/>
          <w:lang w:val="fr-CA"/>
        </w:rPr>
        <w:t>a prononcée le juge Émond le 2 mai n</w:t>
      </w:r>
      <w:r>
        <w:rPr>
          <w:rFonts w:cs="Times New Roman"/>
          <w:lang w:val="fr-CA"/>
        </w:rPr>
        <w:t>’</w:t>
      </w:r>
      <w:r w:rsidRPr="00AA314A">
        <w:rPr>
          <w:rFonts w:cs="Times New Roman"/>
          <w:lang w:val="fr-CA"/>
        </w:rPr>
        <w:t>interdisait pas le piquetage en tant que tel. Elle se limitait à proscrire des comportements qui auraient pour effet d</w:t>
      </w:r>
      <w:r>
        <w:rPr>
          <w:rFonts w:cs="Times New Roman"/>
          <w:lang w:val="fr-CA"/>
        </w:rPr>
        <w:t>’</w:t>
      </w:r>
      <w:r w:rsidRPr="00AA314A">
        <w:rPr>
          <w:rFonts w:cs="Times New Roman"/>
          <w:lang w:val="fr-CA"/>
        </w:rPr>
        <w:t>entraver l</w:t>
      </w:r>
      <w:r>
        <w:rPr>
          <w:rFonts w:cs="Times New Roman"/>
          <w:lang w:val="fr-CA"/>
        </w:rPr>
        <w:t>’</w:t>
      </w:r>
      <w:r w:rsidRPr="00AA314A">
        <w:rPr>
          <w:rFonts w:cs="Times New Roman"/>
          <w:lang w:val="fr-CA"/>
        </w:rPr>
        <w:t>accès aux cours; le piquetage qui n</w:t>
      </w:r>
      <w:r>
        <w:rPr>
          <w:rFonts w:cs="Times New Roman"/>
          <w:lang w:val="fr-CA"/>
        </w:rPr>
        <w:t>’</w:t>
      </w:r>
      <w:r w:rsidRPr="00AA314A">
        <w:rPr>
          <w:rFonts w:cs="Times New Roman"/>
          <w:lang w:val="fr-CA"/>
        </w:rPr>
        <w:t>avait pas pour effet de bloquer l</w:t>
      </w:r>
      <w:r>
        <w:rPr>
          <w:rFonts w:cs="Times New Roman"/>
          <w:lang w:val="fr-CA"/>
        </w:rPr>
        <w:t>’</w:t>
      </w:r>
      <w:r w:rsidRPr="00AA314A">
        <w:rPr>
          <w:rFonts w:cs="Times New Roman"/>
          <w:lang w:val="fr-CA"/>
        </w:rPr>
        <w:t>accès était permis. Dans ses commentaires, M. Nadeau</w:t>
      </w:r>
      <w:r>
        <w:rPr>
          <w:rFonts w:cs="Times New Roman"/>
          <w:lang w:val="fr-CA"/>
        </w:rPr>
        <w:noBreakHyphen/>
      </w:r>
      <w:r w:rsidRPr="00AA314A">
        <w:rPr>
          <w:rFonts w:cs="Times New Roman"/>
          <w:lang w:val="fr-CA"/>
        </w:rPr>
        <w:t>Dubois n</w:t>
      </w:r>
      <w:r>
        <w:rPr>
          <w:rFonts w:cs="Times New Roman"/>
          <w:lang w:val="fr-CA"/>
        </w:rPr>
        <w:t>’</w:t>
      </w:r>
      <w:r w:rsidRPr="00AA314A">
        <w:rPr>
          <w:rFonts w:cs="Times New Roman"/>
          <w:lang w:val="fr-CA"/>
        </w:rPr>
        <w:t>a pas parlé de bloquer et d</w:t>
      </w:r>
      <w:r>
        <w:rPr>
          <w:rFonts w:cs="Times New Roman"/>
          <w:lang w:val="fr-CA"/>
        </w:rPr>
        <w:t>’</w:t>
      </w:r>
      <w:r w:rsidRPr="00AA314A">
        <w:rPr>
          <w:rFonts w:cs="Times New Roman"/>
          <w:lang w:val="fr-CA"/>
        </w:rPr>
        <w:t>empêcher l</w:t>
      </w:r>
      <w:r>
        <w:rPr>
          <w:rFonts w:cs="Times New Roman"/>
          <w:lang w:val="fr-CA"/>
        </w:rPr>
        <w:t>’</w:t>
      </w:r>
      <w:r w:rsidRPr="00AA314A">
        <w:rPr>
          <w:rFonts w:cs="Times New Roman"/>
          <w:lang w:val="fr-CA"/>
        </w:rPr>
        <w:t>accès aux cours. Sa déclaration générale à propos des lignes de piquetage était à tout le moins compatible avec l</w:t>
      </w:r>
      <w:r>
        <w:rPr>
          <w:rFonts w:cs="Times New Roman"/>
          <w:lang w:val="fr-CA"/>
        </w:rPr>
        <w:t>’</w:t>
      </w:r>
      <w:r w:rsidRPr="00AA314A">
        <w:rPr>
          <w:rFonts w:cs="Times New Roman"/>
          <w:lang w:val="fr-CA"/>
        </w:rPr>
        <w:t>encouragement au recours continu à des piquets de grève d</w:t>
      </w:r>
      <w:r>
        <w:rPr>
          <w:rFonts w:cs="Times New Roman"/>
          <w:lang w:val="fr-CA"/>
        </w:rPr>
        <w:t>’</w:t>
      </w:r>
      <w:r w:rsidRPr="00AA314A">
        <w:rPr>
          <w:rFonts w:cs="Times New Roman"/>
          <w:lang w:val="fr-CA"/>
        </w:rPr>
        <w:t>une manière qui était permise par l</w:t>
      </w:r>
      <w:r>
        <w:rPr>
          <w:rFonts w:cs="Times New Roman"/>
          <w:lang w:val="fr-CA"/>
        </w:rPr>
        <w:t>’</w:t>
      </w:r>
      <w:r w:rsidRPr="00AA314A">
        <w:rPr>
          <w:rFonts w:cs="Times New Roman"/>
          <w:lang w:val="fr-CA"/>
        </w:rPr>
        <w:t>injonction. Tout au plus, dire simplement que le piquetage était légitime, même si cela était interprété comme l</w:t>
      </w:r>
      <w:r>
        <w:rPr>
          <w:rFonts w:cs="Times New Roman"/>
          <w:lang w:val="fr-CA"/>
        </w:rPr>
        <w:t>’</w:t>
      </w:r>
      <w:r w:rsidRPr="00AA314A">
        <w:rPr>
          <w:rFonts w:cs="Times New Roman"/>
          <w:lang w:val="fr-CA"/>
        </w:rPr>
        <w:t>équivalent d</w:t>
      </w:r>
      <w:r>
        <w:rPr>
          <w:rFonts w:cs="Times New Roman"/>
          <w:lang w:val="fr-CA"/>
        </w:rPr>
        <w:t>’</w:t>
      </w:r>
      <w:r w:rsidRPr="00AA314A">
        <w:rPr>
          <w:rFonts w:cs="Times New Roman"/>
          <w:lang w:val="fr-CA"/>
        </w:rPr>
        <w:t xml:space="preserve">empêcher </w:t>
      </w:r>
      <w:r w:rsidRPr="00AA314A">
        <w:rPr>
          <w:rFonts w:cs="Times New Roman"/>
          <w:lang w:val="fr-CA"/>
        </w:rPr>
        <w:lastRenderedPageBreak/>
        <w:t>l</w:t>
      </w:r>
      <w:r>
        <w:rPr>
          <w:rFonts w:cs="Times New Roman"/>
          <w:lang w:val="fr-CA"/>
        </w:rPr>
        <w:t>’</w:t>
      </w:r>
      <w:r w:rsidRPr="00AA314A">
        <w:rPr>
          <w:rFonts w:cs="Times New Roman"/>
          <w:lang w:val="fr-CA"/>
        </w:rPr>
        <w:t>accès, était bien loin d</w:t>
      </w:r>
      <w:r>
        <w:rPr>
          <w:rFonts w:cs="Times New Roman"/>
          <w:lang w:val="fr-CA"/>
        </w:rPr>
        <w:t>’</w:t>
      </w:r>
      <w:r w:rsidRPr="00AA314A">
        <w:rPr>
          <w:rFonts w:cs="Times New Roman"/>
          <w:lang w:val="fr-CA"/>
        </w:rPr>
        <w:t>encourager les autres à poser des gestes illégaux.</w:t>
      </w:r>
    </w:p>
    <w:p w:rsidR="00810FD5" w:rsidRPr="00AA314A" w:rsidRDefault="00810FD5" w:rsidP="003223DD">
      <w:pPr>
        <w:pStyle w:val="ParaNoNdepar-AltN"/>
        <w:widowControl w:val="0"/>
        <w:ind w:left="0"/>
        <w:rPr>
          <w:rFonts w:cs="Times New Roman"/>
          <w:lang w:val="fr-CA"/>
        </w:rPr>
      </w:pPr>
      <w:r w:rsidRPr="00AA314A">
        <w:rPr>
          <w:rFonts w:cs="Times New Roman"/>
          <w:lang w:val="fr-CA"/>
        </w:rPr>
        <w:t>Même s</w:t>
      </w:r>
      <w:r>
        <w:rPr>
          <w:rFonts w:cs="Times New Roman"/>
          <w:lang w:val="fr-CA"/>
        </w:rPr>
        <w:t>’</w:t>
      </w:r>
      <w:r w:rsidRPr="00AA314A">
        <w:rPr>
          <w:rFonts w:cs="Times New Roman"/>
          <w:lang w:val="fr-CA"/>
        </w:rPr>
        <w:t>il était possible de tirer d</w:t>
      </w:r>
      <w:r>
        <w:rPr>
          <w:rFonts w:cs="Times New Roman"/>
          <w:lang w:val="fr-CA"/>
        </w:rPr>
        <w:t>’</w:t>
      </w:r>
      <w:r w:rsidRPr="00AA314A">
        <w:rPr>
          <w:rFonts w:cs="Times New Roman"/>
          <w:lang w:val="fr-CA"/>
        </w:rPr>
        <w:t>autres inférences raisonnables et logiques des propos de M. Nadeau</w:t>
      </w:r>
      <w:r>
        <w:rPr>
          <w:rFonts w:cs="Times New Roman"/>
          <w:lang w:val="fr-CA"/>
        </w:rPr>
        <w:noBreakHyphen/>
      </w:r>
      <w:r w:rsidRPr="00AA314A">
        <w:rPr>
          <w:rFonts w:cs="Times New Roman"/>
          <w:lang w:val="fr-CA"/>
        </w:rPr>
        <w:t>Dubois, nulle part dans ses motifs le juge Jacques n</w:t>
      </w:r>
      <w:r>
        <w:rPr>
          <w:rFonts w:cs="Times New Roman"/>
          <w:lang w:val="fr-CA"/>
        </w:rPr>
        <w:t>’</w:t>
      </w:r>
      <w:r w:rsidRPr="00AA314A">
        <w:rPr>
          <w:rFonts w:cs="Times New Roman"/>
          <w:lang w:val="fr-CA"/>
        </w:rPr>
        <w:t>a</w:t>
      </w:r>
      <w:r>
        <w:rPr>
          <w:rFonts w:cs="Times New Roman"/>
          <w:lang w:val="fr-CA"/>
        </w:rPr>
        <w:noBreakHyphen/>
      </w:r>
      <w:r w:rsidRPr="00AA314A">
        <w:rPr>
          <w:rFonts w:cs="Times New Roman"/>
          <w:lang w:val="fr-CA"/>
        </w:rPr>
        <w:t>t</w:t>
      </w:r>
      <w:r>
        <w:rPr>
          <w:rFonts w:cs="Times New Roman"/>
          <w:lang w:val="fr-CA"/>
        </w:rPr>
        <w:noBreakHyphen/>
      </w:r>
      <w:r w:rsidRPr="00AA314A">
        <w:rPr>
          <w:rFonts w:cs="Times New Roman"/>
          <w:lang w:val="fr-CA"/>
        </w:rPr>
        <w:t>il pris en considération ces autres possibilités. Dans son analyse sommaire des paroles effectivement prononcées par M. Nadeau</w:t>
      </w:r>
      <w:r>
        <w:rPr>
          <w:rFonts w:cs="Times New Roman"/>
          <w:lang w:val="fr-CA"/>
        </w:rPr>
        <w:noBreakHyphen/>
      </w:r>
      <w:r w:rsidRPr="00AA314A">
        <w:rPr>
          <w:rFonts w:cs="Times New Roman"/>
          <w:lang w:val="fr-CA"/>
        </w:rPr>
        <w:t>Dubois, le juge Jacques n</w:t>
      </w:r>
      <w:r>
        <w:rPr>
          <w:rFonts w:cs="Times New Roman"/>
          <w:lang w:val="fr-CA"/>
        </w:rPr>
        <w:t>’</w:t>
      </w:r>
      <w:r w:rsidRPr="00AA314A">
        <w:rPr>
          <w:rFonts w:cs="Times New Roman"/>
          <w:lang w:val="fr-CA"/>
        </w:rPr>
        <w:t>a pas fait de distinction entre les piquets de grève légaux et ceux qui étaient interdits, ce qui l</w:t>
      </w:r>
      <w:r>
        <w:rPr>
          <w:rFonts w:cs="Times New Roman"/>
          <w:lang w:val="fr-CA"/>
        </w:rPr>
        <w:t>’</w:t>
      </w:r>
      <w:r w:rsidRPr="00AA314A">
        <w:rPr>
          <w:rFonts w:cs="Times New Roman"/>
          <w:lang w:val="fr-CA"/>
        </w:rPr>
        <w:t>a amené à tirer l</w:t>
      </w:r>
      <w:r>
        <w:rPr>
          <w:rFonts w:cs="Times New Roman"/>
          <w:lang w:val="fr-CA"/>
        </w:rPr>
        <w:t>’</w:t>
      </w:r>
      <w:r w:rsidRPr="00AA314A">
        <w:rPr>
          <w:rFonts w:cs="Times New Roman"/>
          <w:lang w:val="fr-CA"/>
        </w:rPr>
        <w:t>inférence selon laquelle M. Nadeau</w:t>
      </w:r>
      <w:r>
        <w:rPr>
          <w:rFonts w:cs="Times New Roman"/>
          <w:lang w:val="fr-CA"/>
        </w:rPr>
        <w:noBreakHyphen/>
      </w:r>
      <w:r w:rsidRPr="00AA314A">
        <w:rPr>
          <w:rFonts w:cs="Times New Roman"/>
          <w:lang w:val="fr-CA"/>
        </w:rPr>
        <w:t>Dubois « prôn[ait] . .</w:t>
      </w:r>
      <w:r>
        <w:rPr>
          <w:rFonts w:cs="Times New Roman"/>
          <w:lang w:val="fr-CA"/>
        </w:rPr>
        <w:t> </w:t>
      </w:r>
      <w:r w:rsidRPr="00AA314A">
        <w:rPr>
          <w:rFonts w:cs="Times New Roman"/>
          <w:lang w:val="fr-CA"/>
        </w:rPr>
        <w:t>. l</w:t>
      </w:r>
      <w:r>
        <w:rPr>
          <w:rFonts w:cs="Times New Roman"/>
          <w:lang w:val="fr-CA"/>
        </w:rPr>
        <w:t>’</w:t>
      </w:r>
      <w:r w:rsidR="006B79D8">
        <w:rPr>
          <w:rFonts w:cs="Times New Roman"/>
          <w:lang w:val="fr-CA"/>
        </w:rPr>
        <w:t>anarchie et encourag</w:t>
      </w:r>
      <w:r w:rsidRPr="00AA314A">
        <w:rPr>
          <w:rFonts w:cs="Times New Roman"/>
          <w:lang w:val="fr-CA"/>
        </w:rPr>
        <w:t>e</w:t>
      </w:r>
      <w:r w:rsidR="006B79D8">
        <w:rPr>
          <w:rFonts w:cs="Times New Roman"/>
          <w:lang w:val="fr-CA"/>
        </w:rPr>
        <w:t>[</w:t>
      </w:r>
      <w:r w:rsidRPr="00AA314A">
        <w:rPr>
          <w:rFonts w:cs="Times New Roman"/>
          <w:lang w:val="fr-CA"/>
        </w:rPr>
        <w:t>ait] la désobéissance civile » (</w:t>
      </w:r>
      <w:r>
        <w:rPr>
          <w:rFonts w:cs="Times New Roman"/>
          <w:lang w:val="fr-CA"/>
        </w:rPr>
        <w:t>par. </w:t>
      </w:r>
      <w:r w:rsidRPr="00AA314A">
        <w:rPr>
          <w:rFonts w:cs="Times New Roman"/>
          <w:lang w:val="fr-CA"/>
        </w:rPr>
        <w:t>95). La Cour d</w:t>
      </w:r>
      <w:r>
        <w:rPr>
          <w:rFonts w:cs="Times New Roman"/>
          <w:lang w:val="fr-CA"/>
        </w:rPr>
        <w:t>’</w:t>
      </w:r>
      <w:r w:rsidRPr="00AA314A">
        <w:rPr>
          <w:rFonts w:cs="Times New Roman"/>
          <w:lang w:val="fr-CA"/>
        </w:rPr>
        <w:t>appel a eu raison de conclure que le juge Jacques s</w:t>
      </w:r>
      <w:r>
        <w:rPr>
          <w:rFonts w:cs="Times New Roman"/>
          <w:lang w:val="fr-CA"/>
        </w:rPr>
        <w:t>’</w:t>
      </w:r>
      <w:r w:rsidRPr="00AA314A">
        <w:rPr>
          <w:rFonts w:cs="Times New Roman"/>
          <w:lang w:val="fr-CA"/>
        </w:rPr>
        <w:t>est trompé en assimilant apparemment le piquetage en général au fait de bloquer l</w:t>
      </w:r>
      <w:r>
        <w:rPr>
          <w:rFonts w:cs="Times New Roman"/>
          <w:lang w:val="fr-CA"/>
        </w:rPr>
        <w:t>’</w:t>
      </w:r>
      <w:r w:rsidRPr="00AA314A">
        <w:rPr>
          <w:rFonts w:cs="Times New Roman"/>
          <w:lang w:val="fr-CA"/>
        </w:rPr>
        <w:t>accès aux salles de cours de l</w:t>
      </w:r>
      <w:r>
        <w:rPr>
          <w:rFonts w:cs="Times New Roman"/>
          <w:lang w:val="fr-CA"/>
        </w:rPr>
        <w:t>’</w:t>
      </w:r>
      <w:r w:rsidRPr="00AA314A">
        <w:rPr>
          <w:rFonts w:cs="Times New Roman"/>
          <w:lang w:val="fr-CA"/>
        </w:rPr>
        <w:t xml:space="preserve">université en particulier (motifs du juge Jacques, </w:t>
      </w:r>
      <w:r>
        <w:rPr>
          <w:rFonts w:cs="Times New Roman"/>
          <w:lang w:val="fr-CA"/>
        </w:rPr>
        <w:t>par. </w:t>
      </w:r>
      <w:r w:rsidRPr="00AA314A">
        <w:rPr>
          <w:rFonts w:cs="Times New Roman"/>
          <w:lang w:val="fr-CA"/>
        </w:rPr>
        <w:t>84, 94 et 103; motifs de la Cour d</w:t>
      </w:r>
      <w:r>
        <w:rPr>
          <w:rFonts w:cs="Times New Roman"/>
          <w:lang w:val="fr-CA"/>
        </w:rPr>
        <w:t>’</w:t>
      </w:r>
      <w:r w:rsidRPr="00AA314A">
        <w:rPr>
          <w:rFonts w:cs="Times New Roman"/>
          <w:lang w:val="fr-CA"/>
        </w:rPr>
        <w:t xml:space="preserve">appel, </w:t>
      </w:r>
      <w:r>
        <w:rPr>
          <w:rFonts w:cs="Times New Roman"/>
          <w:lang w:val="fr-CA"/>
        </w:rPr>
        <w:t>par. </w:t>
      </w:r>
      <w:r w:rsidRPr="00AA314A">
        <w:rPr>
          <w:rFonts w:cs="Times New Roman"/>
          <w:lang w:val="fr-CA"/>
        </w:rPr>
        <w:t>77). La Cour a déjà statué que le piquetage est une forme légitime d</w:t>
      </w:r>
      <w:r>
        <w:rPr>
          <w:rFonts w:cs="Times New Roman"/>
          <w:lang w:val="fr-CA"/>
        </w:rPr>
        <w:t>’</w:t>
      </w:r>
      <w:r w:rsidRPr="00AA314A">
        <w:rPr>
          <w:rFonts w:cs="Times New Roman"/>
          <w:lang w:val="fr-CA"/>
        </w:rPr>
        <w:t>expression et d</w:t>
      </w:r>
      <w:r>
        <w:rPr>
          <w:rFonts w:cs="Times New Roman"/>
          <w:lang w:val="fr-CA"/>
        </w:rPr>
        <w:t>’</w:t>
      </w:r>
      <w:r w:rsidRPr="00AA314A">
        <w:rPr>
          <w:rFonts w:cs="Times New Roman"/>
          <w:lang w:val="fr-CA"/>
        </w:rPr>
        <w:t>exercice de la liberté de réunion; le piquetage n</w:t>
      </w:r>
      <w:r>
        <w:rPr>
          <w:rFonts w:cs="Times New Roman"/>
          <w:lang w:val="fr-CA"/>
        </w:rPr>
        <w:t>’</w:t>
      </w:r>
      <w:r w:rsidRPr="00AA314A">
        <w:rPr>
          <w:rFonts w:cs="Times New Roman"/>
          <w:lang w:val="fr-CA"/>
        </w:rPr>
        <w:t>est pas une activité illégale en soi</w:t>
      </w:r>
      <w:r>
        <w:rPr>
          <w:rFonts w:cs="Times New Roman"/>
          <w:lang w:val="fr-CA"/>
        </w:rPr>
        <w:t> :</w:t>
      </w:r>
      <w:r w:rsidRPr="00AA314A">
        <w:rPr>
          <w:rFonts w:cs="Times New Roman"/>
          <w:lang w:val="fr-CA"/>
        </w:rPr>
        <w:t xml:space="preserve"> </w:t>
      </w:r>
      <w:r w:rsidRPr="00AA314A">
        <w:rPr>
          <w:rFonts w:cs="Times New Roman"/>
          <w:i/>
          <w:lang w:val="fr-CA"/>
        </w:rPr>
        <w:t>S.D.G.M.R., section locale 558</w:t>
      </w:r>
      <w:r w:rsidRPr="00AA314A">
        <w:rPr>
          <w:rFonts w:cs="Times New Roman"/>
          <w:b/>
          <w:i/>
          <w:lang w:val="fr-CA"/>
        </w:rPr>
        <w:t xml:space="preserve"> </w:t>
      </w:r>
      <w:r w:rsidRPr="00AA314A">
        <w:rPr>
          <w:rFonts w:cs="Times New Roman"/>
          <w:i/>
          <w:lang w:val="fr-CA"/>
        </w:rPr>
        <w:t>c. Pepsi</w:t>
      </w:r>
      <w:r>
        <w:rPr>
          <w:rFonts w:cs="Times New Roman"/>
          <w:i/>
          <w:lang w:val="fr-CA"/>
        </w:rPr>
        <w:noBreakHyphen/>
      </w:r>
      <w:r w:rsidRPr="00AA314A">
        <w:rPr>
          <w:rFonts w:cs="Times New Roman"/>
          <w:i/>
          <w:lang w:val="fr-CA"/>
        </w:rPr>
        <w:t>Cola Canada Beverages (West) Ltd</w:t>
      </w:r>
      <w:r w:rsidRPr="00AA314A">
        <w:rPr>
          <w:rFonts w:cs="Times New Roman"/>
          <w:lang w:val="fr-CA"/>
        </w:rPr>
        <w:t xml:space="preserve">., [2002] 1 R.C.S. 156, </w:t>
      </w:r>
      <w:r>
        <w:rPr>
          <w:rFonts w:cs="Times New Roman"/>
          <w:lang w:val="fr-CA"/>
        </w:rPr>
        <w:t>par. </w:t>
      </w:r>
      <w:r w:rsidR="006B79D8">
        <w:rPr>
          <w:rFonts w:cs="Times New Roman"/>
          <w:lang w:val="fr-CA"/>
        </w:rPr>
        <w:t>27 et 30-</w:t>
      </w:r>
      <w:r w:rsidRPr="00AA314A">
        <w:rPr>
          <w:rFonts w:cs="Times New Roman"/>
          <w:lang w:val="fr-CA"/>
        </w:rPr>
        <w:t xml:space="preserve">31; voir également </w:t>
      </w:r>
      <w:r w:rsidRPr="00AA314A">
        <w:rPr>
          <w:rFonts w:cs="Times New Roman"/>
          <w:i/>
          <w:lang w:val="fr-CA"/>
        </w:rPr>
        <w:t>Paul Albert Chevrolet</w:t>
      </w:r>
      <w:r w:rsidRPr="00AA314A">
        <w:rPr>
          <w:rFonts w:cs="Times New Roman"/>
          <w:lang w:val="fr-CA"/>
        </w:rPr>
        <w:t xml:space="preserve">, </w:t>
      </w:r>
      <w:r>
        <w:rPr>
          <w:rFonts w:cs="Times New Roman"/>
          <w:lang w:val="fr-CA"/>
        </w:rPr>
        <w:t>par. </w:t>
      </w:r>
      <w:r w:rsidRPr="00AA314A">
        <w:rPr>
          <w:rFonts w:cs="Times New Roman"/>
          <w:lang w:val="fr-CA"/>
        </w:rPr>
        <w:t xml:space="preserve">27 et 30. </w:t>
      </w:r>
    </w:p>
    <w:p w:rsidR="00810FD5" w:rsidRPr="00AA314A" w:rsidRDefault="00810FD5" w:rsidP="003223DD">
      <w:pPr>
        <w:pStyle w:val="ParaNoNdepar-AltN"/>
        <w:widowControl w:val="0"/>
        <w:ind w:left="0"/>
        <w:rPr>
          <w:rFonts w:cs="Times New Roman"/>
          <w:lang w:val="fr-CA"/>
        </w:rPr>
      </w:pPr>
      <w:r w:rsidRPr="00AA314A">
        <w:rPr>
          <w:rFonts w:cs="Times New Roman"/>
          <w:lang w:val="fr-CA"/>
        </w:rPr>
        <w:t>Puisque l</w:t>
      </w:r>
      <w:r>
        <w:rPr>
          <w:rFonts w:cs="Times New Roman"/>
          <w:lang w:val="fr-CA"/>
        </w:rPr>
        <w:t>’</w:t>
      </w:r>
      <w:r w:rsidRPr="00AA314A">
        <w:rPr>
          <w:rFonts w:cs="Times New Roman"/>
          <w:lang w:val="fr-CA"/>
        </w:rPr>
        <w:t>ordonnance du juge Émond n</w:t>
      </w:r>
      <w:r>
        <w:rPr>
          <w:rFonts w:cs="Times New Roman"/>
          <w:lang w:val="fr-CA"/>
        </w:rPr>
        <w:t>’</w:t>
      </w:r>
      <w:r w:rsidRPr="00AA314A">
        <w:rPr>
          <w:rFonts w:cs="Times New Roman"/>
          <w:lang w:val="fr-CA"/>
        </w:rPr>
        <w:t>interdit pas complètement le piquetage, le juge Jacques a eu tort de simplement tenir pour acquis, sans vraiment se pencher sur les autres possibilités, que M. Nadeau</w:t>
      </w:r>
      <w:r>
        <w:rPr>
          <w:rFonts w:cs="Times New Roman"/>
          <w:lang w:val="fr-CA"/>
        </w:rPr>
        <w:noBreakHyphen/>
      </w:r>
      <w:r w:rsidRPr="00AA314A">
        <w:rPr>
          <w:rFonts w:cs="Times New Roman"/>
          <w:lang w:val="fr-CA"/>
        </w:rPr>
        <w:t>Dubois parlait d</w:t>
      </w:r>
      <w:r>
        <w:rPr>
          <w:rFonts w:cs="Times New Roman"/>
          <w:lang w:val="fr-CA"/>
        </w:rPr>
        <w:t>’</w:t>
      </w:r>
      <w:r w:rsidRPr="00AA314A">
        <w:rPr>
          <w:rFonts w:cs="Times New Roman"/>
          <w:lang w:val="fr-CA"/>
        </w:rPr>
        <w:t>un acte prohibé, alors que, dans les faits, il n</w:t>
      </w:r>
      <w:r>
        <w:rPr>
          <w:rFonts w:cs="Times New Roman"/>
          <w:lang w:val="fr-CA"/>
        </w:rPr>
        <w:t>’</w:t>
      </w:r>
      <w:r w:rsidRPr="00AA314A">
        <w:rPr>
          <w:rFonts w:cs="Times New Roman"/>
          <w:lang w:val="fr-CA"/>
        </w:rPr>
        <w:t>a pas parlé de bloquer l</w:t>
      </w:r>
      <w:r>
        <w:rPr>
          <w:rFonts w:cs="Times New Roman"/>
          <w:lang w:val="fr-CA"/>
        </w:rPr>
        <w:t>’</w:t>
      </w:r>
      <w:r w:rsidRPr="00AA314A">
        <w:rPr>
          <w:rFonts w:cs="Times New Roman"/>
          <w:lang w:val="fr-CA"/>
        </w:rPr>
        <w:t>accès à des classes, mais seulement de piquetage en génér</w:t>
      </w:r>
      <w:r>
        <w:rPr>
          <w:rFonts w:cs="Times New Roman"/>
          <w:lang w:val="fr-CA"/>
        </w:rPr>
        <w:t xml:space="preserve">al. </w:t>
      </w:r>
      <w:r w:rsidRPr="00AA314A">
        <w:rPr>
          <w:rFonts w:cs="Times New Roman"/>
          <w:lang w:val="fr-CA"/>
        </w:rPr>
        <w:t>De même, en l</w:t>
      </w:r>
      <w:r>
        <w:rPr>
          <w:rFonts w:cs="Times New Roman"/>
          <w:lang w:val="fr-CA"/>
        </w:rPr>
        <w:t>’</w:t>
      </w:r>
      <w:r w:rsidRPr="00AA314A">
        <w:rPr>
          <w:rFonts w:cs="Times New Roman"/>
          <w:lang w:val="fr-CA"/>
        </w:rPr>
        <w:t>absence de paroles allant directement dans ce sens, le juge Jacques n</w:t>
      </w:r>
      <w:r>
        <w:rPr>
          <w:rFonts w:cs="Times New Roman"/>
          <w:lang w:val="fr-CA"/>
        </w:rPr>
        <w:t>’</w:t>
      </w:r>
      <w:r w:rsidRPr="00AA314A">
        <w:rPr>
          <w:rFonts w:cs="Times New Roman"/>
          <w:lang w:val="fr-CA"/>
        </w:rPr>
        <w:t>aurait pas dû assimiler la déclaration de M. Nadeau</w:t>
      </w:r>
      <w:r>
        <w:rPr>
          <w:rFonts w:cs="Times New Roman"/>
          <w:lang w:val="fr-CA"/>
        </w:rPr>
        <w:noBreakHyphen/>
      </w:r>
      <w:r w:rsidRPr="00AA314A">
        <w:rPr>
          <w:rFonts w:cs="Times New Roman"/>
          <w:lang w:val="fr-CA"/>
        </w:rPr>
        <w:t xml:space="preserve">Dubois selon laquelle il était légitime de respecter le vote de grève à un encouragement à </w:t>
      </w:r>
      <w:r w:rsidRPr="00AA314A">
        <w:rPr>
          <w:rFonts w:cs="Times New Roman"/>
          <w:lang w:val="fr-CA"/>
        </w:rPr>
        <w:lastRenderedPageBreak/>
        <w:t>l</w:t>
      </w:r>
      <w:r>
        <w:rPr>
          <w:rFonts w:cs="Times New Roman"/>
          <w:lang w:val="fr-CA"/>
        </w:rPr>
        <w:t>’</w:t>
      </w:r>
      <w:r w:rsidRPr="00AA314A">
        <w:rPr>
          <w:rFonts w:cs="Times New Roman"/>
          <w:lang w:val="fr-CA"/>
        </w:rPr>
        <w:t>endroit d</w:t>
      </w:r>
      <w:r>
        <w:rPr>
          <w:rFonts w:cs="Times New Roman"/>
          <w:lang w:val="fr-CA"/>
        </w:rPr>
        <w:t>’</w:t>
      </w:r>
      <w:r w:rsidRPr="00AA314A">
        <w:rPr>
          <w:rFonts w:cs="Times New Roman"/>
          <w:lang w:val="fr-CA"/>
        </w:rPr>
        <w:t>autres personnes à commettre des gestes illégaux.</w:t>
      </w:r>
    </w:p>
    <w:p w:rsidR="00810FD5" w:rsidRPr="00AA314A" w:rsidRDefault="00810FD5" w:rsidP="003223DD">
      <w:pPr>
        <w:pStyle w:val="ParaNoNdepar-AltN"/>
        <w:widowControl w:val="0"/>
        <w:ind w:left="0"/>
        <w:rPr>
          <w:rFonts w:cs="Times New Roman"/>
          <w:lang w:val="fr-CA"/>
        </w:rPr>
      </w:pPr>
      <w:r w:rsidRPr="00AA314A">
        <w:rPr>
          <w:rFonts w:cs="Times New Roman"/>
          <w:lang w:val="fr-CA"/>
        </w:rPr>
        <w:t>Il reste à trancher la question de savoir si M. Nadeau</w:t>
      </w:r>
      <w:r>
        <w:rPr>
          <w:rFonts w:cs="Times New Roman"/>
          <w:lang w:val="fr-CA"/>
        </w:rPr>
        <w:noBreakHyphen/>
      </w:r>
      <w:r w:rsidRPr="00AA314A">
        <w:rPr>
          <w:rFonts w:cs="Times New Roman"/>
          <w:lang w:val="fr-CA"/>
        </w:rPr>
        <w:t>Dubois pouvait être déclaré coupable d</w:t>
      </w:r>
      <w:r>
        <w:rPr>
          <w:rFonts w:cs="Times New Roman"/>
          <w:lang w:val="fr-CA"/>
        </w:rPr>
        <w:t>’</w:t>
      </w:r>
      <w:r w:rsidRPr="00AA314A">
        <w:rPr>
          <w:rFonts w:cs="Times New Roman"/>
          <w:lang w:val="fr-CA"/>
        </w:rPr>
        <w:t>outrage en vertu du deuxième volet du premier alinéa de l</w:t>
      </w:r>
      <w:r>
        <w:rPr>
          <w:rFonts w:cs="Times New Roman"/>
          <w:lang w:val="fr-CA"/>
        </w:rPr>
        <w:t>’art. </w:t>
      </w:r>
      <w:r w:rsidRPr="00AA314A">
        <w:rPr>
          <w:rFonts w:cs="Times New Roman"/>
          <w:lang w:val="fr-CA"/>
        </w:rPr>
        <w:t>50, c</w:t>
      </w:r>
      <w:r>
        <w:rPr>
          <w:rFonts w:cs="Times New Roman"/>
          <w:lang w:val="fr-CA"/>
        </w:rPr>
        <w:t>’</w:t>
      </w:r>
      <w:r w:rsidRPr="00AA314A">
        <w:rPr>
          <w:rFonts w:cs="Times New Roman"/>
          <w:lang w:val="fr-CA"/>
        </w:rPr>
        <w:t>est</w:t>
      </w:r>
      <w:r>
        <w:rPr>
          <w:rFonts w:cs="Times New Roman"/>
          <w:lang w:val="fr-CA"/>
        </w:rPr>
        <w:noBreakHyphen/>
      </w:r>
      <w:r w:rsidRPr="00AA314A">
        <w:rPr>
          <w:rFonts w:cs="Times New Roman"/>
          <w:lang w:val="fr-CA"/>
        </w:rPr>
        <w:t>à</w:t>
      </w:r>
      <w:r>
        <w:rPr>
          <w:rFonts w:cs="Times New Roman"/>
          <w:lang w:val="fr-CA"/>
        </w:rPr>
        <w:noBreakHyphen/>
      </w:r>
      <w:r w:rsidRPr="00AA314A">
        <w:rPr>
          <w:rFonts w:cs="Times New Roman"/>
          <w:lang w:val="fr-CA"/>
        </w:rPr>
        <w:t>dire de déterminer si ses paroles ou ses actes ont « soit [.</w:t>
      </w:r>
      <w:r>
        <w:rPr>
          <w:rFonts w:cs="Times New Roman"/>
          <w:lang w:val="fr-CA"/>
        </w:rPr>
        <w:t> </w:t>
      </w:r>
      <w:r w:rsidRPr="00AA314A">
        <w:rPr>
          <w:rFonts w:cs="Times New Roman"/>
          <w:lang w:val="fr-CA"/>
        </w:rPr>
        <w:t>.</w:t>
      </w:r>
      <w:r>
        <w:rPr>
          <w:rFonts w:cs="Times New Roman"/>
          <w:lang w:val="fr-CA"/>
        </w:rPr>
        <w:t> </w:t>
      </w:r>
      <w:r w:rsidRPr="00AA314A">
        <w:rPr>
          <w:rFonts w:cs="Times New Roman"/>
          <w:lang w:val="fr-CA"/>
        </w:rPr>
        <w:t>.] entrav[é] le cours normal de l</w:t>
      </w:r>
      <w:r>
        <w:rPr>
          <w:rFonts w:cs="Times New Roman"/>
          <w:lang w:val="fr-CA"/>
        </w:rPr>
        <w:t>’</w:t>
      </w:r>
      <w:r w:rsidRPr="00AA314A">
        <w:rPr>
          <w:rFonts w:cs="Times New Roman"/>
          <w:lang w:val="fr-CA"/>
        </w:rPr>
        <w:t>administration de la justice, soit [.</w:t>
      </w:r>
      <w:r>
        <w:rPr>
          <w:rFonts w:cs="Times New Roman"/>
          <w:lang w:val="fr-CA"/>
        </w:rPr>
        <w:t> </w:t>
      </w:r>
      <w:r w:rsidRPr="00AA314A">
        <w:rPr>
          <w:rFonts w:cs="Times New Roman"/>
          <w:lang w:val="fr-CA"/>
        </w:rPr>
        <w:t>.</w:t>
      </w:r>
      <w:r>
        <w:rPr>
          <w:rFonts w:cs="Times New Roman"/>
          <w:lang w:val="fr-CA"/>
        </w:rPr>
        <w:t> </w:t>
      </w:r>
      <w:r w:rsidRPr="00AA314A">
        <w:rPr>
          <w:rFonts w:cs="Times New Roman"/>
          <w:lang w:val="fr-CA"/>
        </w:rPr>
        <w:t>.] port[é] atteinte à l</w:t>
      </w:r>
      <w:r>
        <w:rPr>
          <w:rFonts w:cs="Times New Roman"/>
          <w:lang w:val="fr-CA"/>
        </w:rPr>
        <w:t>’</w:t>
      </w:r>
      <w:r w:rsidRPr="00AA314A">
        <w:rPr>
          <w:rFonts w:cs="Times New Roman"/>
          <w:lang w:val="fr-CA"/>
        </w:rPr>
        <w:t>autorité ou à la dignité du tribunal » dans le contexte des accusations identifiées dans l</w:t>
      </w:r>
      <w:r>
        <w:rPr>
          <w:rFonts w:cs="Times New Roman"/>
          <w:lang w:val="fr-CA"/>
        </w:rPr>
        <w:t>’</w:t>
      </w:r>
      <w:r w:rsidRPr="00AA314A">
        <w:rPr>
          <w:rFonts w:cs="Times New Roman"/>
          <w:lang w:val="fr-CA"/>
        </w:rPr>
        <w:t>ordonnance spéciale de comparaître. Pour pouvoir déclarer M. Nadeau</w:t>
      </w:r>
      <w:r>
        <w:rPr>
          <w:rFonts w:cs="Times New Roman"/>
          <w:lang w:val="fr-CA"/>
        </w:rPr>
        <w:noBreakHyphen/>
      </w:r>
      <w:r w:rsidRPr="00AA314A">
        <w:rPr>
          <w:rFonts w:cs="Times New Roman"/>
          <w:lang w:val="fr-CA"/>
        </w:rPr>
        <w:t>Dubois coupable en vertu de ce deuxième volet du premier alinéa de l</w:t>
      </w:r>
      <w:r>
        <w:rPr>
          <w:rFonts w:cs="Times New Roman"/>
          <w:lang w:val="fr-CA"/>
        </w:rPr>
        <w:t>’art. </w:t>
      </w:r>
      <w:r w:rsidRPr="00AA314A">
        <w:rPr>
          <w:rFonts w:cs="Times New Roman"/>
          <w:lang w:val="fr-CA"/>
        </w:rPr>
        <w:t>50, compte tenu des allégations précises de la requête pour outrage, de l</w:t>
      </w:r>
      <w:r>
        <w:rPr>
          <w:rFonts w:cs="Times New Roman"/>
          <w:lang w:val="fr-CA"/>
        </w:rPr>
        <w:t>’</w:t>
      </w:r>
      <w:r w:rsidRPr="00AA314A">
        <w:rPr>
          <w:rFonts w:cs="Times New Roman"/>
          <w:lang w:val="fr-CA"/>
        </w:rPr>
        <w:t>ordonnance spéciale et de la communication de la preuve, M. Morasse devait prouver hors de tout doute raisonnable que M. Nadeau</w:t>
      </w:r>
      <w:r>
        <w:rPr>
          <w:rFonts w:cs="Times New Roman"/>
          <w:lang w:val="fr-CA"/>
        </w:rPr>
        <w:noBreakHyphen/>
      </w:r>
      <w:r w:rsidRPr="00AA314A">
        <w:rPr>
          <w:rFonts w:cs="Times New Roman"/>
          <w:lang w:val="fr-CA"/>
        </w:rPr>
        <w:t>Dubois avait entravé le cours normal de l</w:t>
      </w:r>
      <w:r>
        <w:rPr>
          <w:rFonts w:cs="Times New Roman"/>
          <w:lang w:val="fr-CA"/>
        </w:rPr>
        <w:t>’</w:t>
      </w:r>
      <w:r w:rsidRPr="00AA314A">
        <w:rPr>
          <w:rFonts w:cs="Times New Roman"/>
          <w:lang w:val="fr-CA"/>
        </w:rPr>
        <w:t>administration de la justice ou qu</w:t>
      </w:r>
      <w:r>
        <w:rPr>
          <w:rFonts w:cs="Times New Roman"/>
          <w:lang w:val="fr-CA"/>
        </w:rPr>
        <w:t>’</w:t>
      </w:r>
      <w:r w:rsidRPr="00AA314A">
        <w:rPr>
          <w:rFonts w:cs="Times New Roman"/>
          <w:lang w:val="fr-CA"/>
        </w:rPr>
        <w:t>il avait porté atteinte à la dignité du tribunal en incitant d</w:t>
      </w:r>
      <w:r>
        <w:rPr>
          <w:rFonts w:cs="Times New Roman"/>
          <w:lang w:val="fr-CA"/>
        </w:rPr>
        <w:t>’</w:t>
      </w:r>
      <w:r w:rsidRPr="00AA314A">
        <w:rPr>
          <w:rFonts w:cs="Times New Roman"/>
          <w:lang w:val="fr-CA"/>
        </w:rPr>
        <w:t xml:space="preserve">autres personnes à violer le </w:t>
      </w:r>
      <w:r>
        <w:rPr>
          <w:rFonts w:cs="Times New Roman"/>
          <w:lang w:val="fr-CA"/>
        </w:rPr>
        <w:t>par. </w:t>
      </w:r>
      <w:r w:rsidRPr="00AA314A">
        <w:rPr>
          <w:rFonts w:cs="Times New Roman"/>
          <w:lang w:val="fr-CA"/>
        </w:rPr>
        <w:t>60 de l</w:t>
      </w:r>
      <w:r>
        <w:rPr>
          <w:rFonts w:cs="Times New Roman"/>
          <w:lang w:val="fr-CA"/>
        </w:rPr>
        <w:t>’</w:t>
      </w:r>
      <w:r w:rsidRPr="00AA314A">
        <w:rPr>
          <w:rFonts w:cs="Times New Roman"/>
          <w:lang w:val="fr-CA"/>
        </w:rPr>
        <w:t>ordonnance particulière qu</w:t>
      </w:r>
      <w:r>
        <w:rPr>
          <w:rFonts w:cs="Times New Roman"/>
          <w:lang w:val="fr-CA"/>
        </w:rPr>
        <w:t>’</w:t>
      </w:r>
      <w:r w:rsidRPr="00AA314A">
        <w:rPr>
          <w:rFonts w:cs="Times New Roman"/>
          <w:lang w:val="fr-CA"/>
        </w:rPr>
        <w:t>avait prononcée le juge Émond le 2 mai. Pour ce faire, M. Morasse devait prouver que M. Nadeau</w:t>
      </w:r>
      <w:r>
        <w:rPr>
          <w:rFonts w:cs="Times New Roman"/>
          <w:lang w:val="fr-CA"/>
        </w:rPr>
        <w:noBreakHyphen/>
      </w:r>
      <w:r w:rsidRPr="00AA314A">
        <w:rPr>
          <w:rFonts w:cs="Times New Roman"/>
          <w:lang w:val="fr-CA"/>
        </w:rPr>
        <w:t>Dubois avait connaissance de l</w:t>
      </w:r>
      <w:r>
        <w:rPr>
          <w:rFonts w:cs="Times New Roman"/>
          <w:lang w:val="fr-CA"/>
        </w:rPr>
        <w:t>’</w:t>
      </w:r>
      <w:r w:rsidRPr="00AA314A">
        <w:rPr>
          <w:rFonts w:cs="Times New Roman"/>
          <w:lang w:val="fr-CA"/>
        </w:rPr>
        <w:t>ordonnance et qu</w:t>
      </w:r>
      <w:r>
        <w:rPr>
          <w:rFonts w:cs="Times New Roman"/>
          <w:lang w:val="fr-CA"/>
        </w:rPr>
        <w:t>’</w:t>
      </w:r>
      <w:r w:rsidRPr="00AA314A">
        <w:rPr>
          <w:rFonts w:cs="Times New Roman"/>
          <w:lang w:val="fr-CA"/>
        </w:rPr>
        <w:t>il voulait par ses propos</w:t>
      </w:r>
      <w:r w:rsidR="00B755DC">
        <w:rPr>
          <w:rFonts w:cs="Times New Roman"/>
          <w:lang w:val="fr-CA"/>
        </w:rPr>
        <w:t xml:space="preserve"> [</w:t>
      </w:r>
      <w:r w:rsidR="00B755DC" w:rsidRPr="00B755DC">
        <w:rPr>
          <w:rFonts w:cs="Times New Roman"/>
          <w:smallCaps/>
          <w:lang w:val="fr-CA"/>
        </w:rPr>
        <w:t>traduction</w:t>
      </w:r>
      <w:r w:rsidR="00B755DC">
        <w:rPr>
          <w:rFonts w:cs="Times New Roman"/>
          <w:lang w:val="fr-CA"/>
        </w:rPr>
        <w:t>]</w:t>
      </w:r>
      <w:r w:rsidRPr="00AA314A">
        <w:rPr>
          <w:rFonts w:cs="Times New Roman"/>
          <w:lang w:val="fr-CA"/>
        </w:rPr>
        <w:t xml:space="preserve"> « dénigrer l</w:t>
      </w:r>
      <w:r>
        <w:rPr>
          <w:rFonts w:cs="Times New Roman"/>
          <w:lang w:val="fr-CA"/>
        </w:rPr>
        <w:t>’</w:t>
      </w:r>
      <w:r w:rsidR="00B755DC">
        <w:rPr>
          <w:rFonts w:cs="Times New Roman"/>
          <w:lang w:val="fr-CA"/>
        </w:rPr>
        <w:t>administration de la justice</w:t>
      </w:r>
      <w:r w:rsidRPr="00AA314A">
        <w:rPr>
          <w:rFonts w:cs="Times New Roman"/>
          <w:lang w:val="fr-CA"/>
        </w:rPr>
        <w:t> »</w:t>
      </w:r>
      <w:r w:rsidR="00B755DC">
        <w:rPr>
          <w:rFonts w:cs="Times New Roman"/>
          <w:lang w:val="fr-CA"/>
        </w:rPr>
        <w:t>,</w:t>
      </w:r>
      <w:r w:rsidRPr="00AA314A">
        <w:rPr>
          <w:rFonts w:cs="Times New Roman"/>
          <w:lang w:val="fr-CA"/>
        </w:rPr>
        <w:t xml:space="preserve"> ou « inciter à la désaffection à son endroit », ou du moins qu</w:t>
      </w:r>
      <w:r>
        <w:rPr>
          <w:rFonts w:cs="Times New Roman"/>
          <w:lang w:val="fr-CA"/>
        </w:rPr>
        <w:t>’</w:t>
      </w:r>
      <w:r w:rsidRPr="00AA314A">
        <w:rPr>
          <w:rFonts w:cs="Times New Roman"/>
          <w:lang w:val="fr-CA"/>
        </w:rPr>
        <w:t>il s</w:t>
      </w:r>
      <w:r>
        <w:rPr>
          <w:rFonts w:cs="Times New Roman"/>
          <w:lang w:val="fr-CA"/>
        </w:rPr>
        <w:t>’</w:t>
      </w:r>
      <w:r w:rsidRPr="00AA314A">
        <w:rPr>
          <w:rFonts w:cs="Times New Roman"/>
          <w:lang w:val="fr-CA"/>
        </w:rPr>
        <w:t xml:space="preserve">était montré insouciant à cet égard. </w:t>
      </w:r>
    </w:p>
    <w:p w:rsidR="00810FD5" w:rsidRPr="00AA314A" w:rsidRDefault="00810FD5" w:rsidP="003223DD">
      <w:pPr>
        <w:pStyle w:val="ParaNoNdepar-AltN"/>
        <w:widowControl w:val="0"/>
        <w:ind w:left="0"/>
        <w:rPr>
          <w:rFonts w:cs="Times New Roman"/>
          <w:lang w:val="fr-CA"/>
        </w:rPr>
      </w:pPr>
      <w:r w:rsidRPr="00AA314A">
        <w:rPr>
          <w:rFonts w:cs="Times New Roman"/>
          <w:lang w:val="fr-CA"/>
        </w:rPr>
        <w:t>À l</w:t>
      </w:r>
      <w:r>
        <w:rPr>
          <w:rFonts w:cs="Times New Roman"/>
          <w:lang w:val="fr-CA"/>
        </w:rPr>
        <w:t>’</w:t>
      </w:r>
      <w:r w:rsidRPr="00AA314A">
        <w:rPr>
          <w:rFonts w:cs="Times New Roman"/>
          <w:lang w:val="fr-CA"/>
        </w:rPr>
        <w:t>instar de ce qui découle de l</w:t>
      </w:r>
      <w:r>
        <w:rPr>
          <w:rFonts w:cs="Times New Roman"/>
          <w:lang w:val="fr-CA"/>
        </w:rPr>
        <w:t>’</w:t>
      </w:r>
      <w:r w:rsidRPr="00AA314A">
        <w:rPr>
          <w:rFonts w:cs="Times New Roman"/>
          <w:lang w:val="fr-CA"/>
        </w:rPr>
        <w:t>application du premier volet du premier alinéa de l</w:t>
      </w:r>
      <w:r>
        <w:rPr>
          <w:rFonts w:cs="Times New Roman"/>
          <w:lang w:val="fr-CA"/>
        </w:rPr>
        <w:t>’art. </w:t>
      </w:r>
      <w:r w:rsidRPr="00AA314A">
        <w:rPr>
          <w:rFonts w:cs="Times New Roman"/>
          <w:lang w:val="fr-CA"/>
        </w:rPr>
        <w:t>50, le fait que M. Morasse n</w:t>
      </w:r>
      <w:r>
        <w:rPr>
          <w:rFonts w:cs="Times New Roman"/>
          <w:lang w:val="fr-CA"/>
        </w:rPr>
        <w:t>’</w:t>
      </w:r>
      <w:r w:rsidRPr="00AA314A">
        <w:rPr>
          <w:rFonts w:cs="Times New Roman"/>
          <w:lang w:val="fr-CA"/>
        </w:rPr>
        <w:t>ait pas prouvé que M. Nadeau</w:t>
      </w:r>
      <w:r>
        <w:rPr>
          <w:rFonts w:cs="Times New Roman"/>
          <w:lang w:val="fr-CA"/>
        </w:rPr>
        <w:noBreakHyphen/>
      </w:r>
      <w:r w:rsidRPr="00AA314A">
        <w:rPr>
          <w:rFonts w:cs="Times New Roman"/>
          <w:lang w:val="fr-CA"/>
        </w:rPr>
        <w:t>Dubois avait connaissance, réellement ou par inférence, de l</w:t>
      </w:r>
      <w:r>
        <w:rPr>
          <w:rFonts w:cs="Times New Roman"/>
          <w:lang w:val="fr-CA"/>
        </w:rPr>
        <w:t>’</w:t>
      </w:r>
      <w:r w:rsidRPr="00AA314A">
        <w:rPr>
          <w:rFonts w:cs="Times New Roman"/>
          <w:lang w:val="fr-CA"/>
        </w:rPr>
        <w:t>ordonnance du 2 mai est déterminant. Si M. Nadeau</w:t>
      </w:r>
      <w:r>
        <w:rPr>
          <w:rFonts w:cs="Times New Roman"/>
          <w:lang w:val="fr-CA"/>
        </w:rPr>
        <w:noBreakHyphen/>
      </w:r>
      <w:r w:rsidRPr="00AA314A">
        <w:rPr>
          <w:rFonts w:cs="Times New Roman"/>
          <w:lang w:val="fr-CA"/>
        </w:rPr>
        <w:t>Dubois n</w:t>
      </w:r>
      <w:r>
        <w:rPr>
          <w:rFonts w:cs="Times New Roman"/>
          <w:lang w:val="fr-CA"/>
        </w:rPr>
        <w:t>’</w:t>
      </w:r>
      <w:r w:rsidRPr="00AA314A">
        <w:rPr>
          <w:rFonts w:cs="Times New Roman"/>
          <w:lang w:val="fr-CA"/>
        </w:rPr>
        <w:t>avait pas connaissance de l</w:t>
      </w:r>
      <w:r>
        <w:rPr>
          <w:rFonts w:cs="Times New Roman"/>
          <w:lang w:val="fr-CA"/>
        </w:rPr>
        <w:t>’</w:t>
      </w:r>
      <w:r w:rsidRPr="00AA314A">
        <w:rPr>
          <w:rFonts w:cs="Times New Roman"/>
          <w:lang w:val="fr-CA"/>
        </w:rPr>
        <w:t>ordonnance, il ne pouvait avoir l</w:t>
      </w:r>
      <w:r>
        <w:rPr>
          <w:rFonts w:cs="Times New Roman"/>
          <w:lang w:val="fr-CA"/>
        </w:rPr>
        <w:t>’</w:t>
      </w:r>
      <w:r w:rsidRPr="00AA314A">
        <w:rPr>
          <w:rFonts w:cs="Times New Roman"/>
          <w:lang w:val="fr-CA"/>
        </w:rPr>
        <w:t>intention d</w:t>
      </w:r>
      <w:r>
        <w:rPr>
          <w:rFonts w:cs="Times New Roman"/>
          <w:lang w:val="fr-CA"/>
        </w:rPr>
        <w:t>’</w:t>
      </w:r>
      <w:r w:rsidRPr="00AA314A">
        <w:rPr>
          <w:rFonts w:cs="Times New Roman"/>
          <w:lang w:val="fr-CA"/>
        </w:rPr>
        <w:t>y faire obstacle ou d</w:t>
      </w:r>
      <w:r>
        <w:rPr>
          <w:rFonts w:cs="Times New Roman"/>
          <w:lang w:val="fr-CA"/>
        </w:rPr>
        <w:t>’</w:t>
      </w:r>
      <w:r w:rsidRPr="00AA314A">
        <w:rPr>
          <w:rFonts w:cs="Times New Roman"/>
          <w:lang w:val="fr-CA"/>
        </w:rPr>
        <w:t>inciter d</w:t>
      </w:r>
      <w:r>
        <w:rPr>
          <w:rFonts w:cs="Times New Roman"/>
          <w:lang w:val="fr-CA"/>
        </w:rPr>
        <w:t>’</w:t>
      </w:r>
      <w:r w:rsidRPr="00AA314A">
        <w:rPr>
          <w:rFonts w:cs="Times New Roman"/>
          <w:lang w:val="fr-CA"/>
        </w:rPr>
        <w:t>autres personnes à le faire.</w:t>
      </w:r>
    </w:p>
    <w:p w:rsidR="00810FD5" w:rsidRPr="00AA314A" w:rsidRDefault="00810FD5" w:rsidP="003223DD">
      <w:pPr>
        <w:pStyle w:val="ParaNoNdepar-AltN"/>
        <w:widowControl w:val="0"/>
        <w:ind w:left="0"/>
        <w:rPr>
          <w:rFonts w:cs="Times New Roman"/>
          <w:lang w:val="fr-CA"/>
        </w:rPr>
      </w:pPr>
      <w:r w:rsidRPr="00AA314A">
        <w:rPr>
          <w:rFonts w:cs="Times New Roman"/>
          <w:lang w:val="fr-CA"/>
        </w:rPr>
        <w:lastRenderedPageBreak/>
        <w:t>Les événements qui se sont déroulés au printemps 2012 ont donné lieu à plusieurs recours judiciaires, dont celui qui nous occupe n</w:t>
      </w:r>
      <w:r>
        <w:rPr>
          <w:rFonts w:cs="Times New Roman"/>
          <w:lang w:val="fr-CA"/>
        </w:rPr>
        <w:t>’</w:t>
      </w:r>
      <w:r w:rsidRPr="00AA314A">
        <w:rPr>
          <w:rFonts w:cs="Times New Roman"/>
          <w:lang w:val="fr-CA"/>
        </w:rPr>
        <w:t>est qu</w:t>
      </w:r>
      <w:r>
        <w:rPr>
          <w:rFonts w:cs="Times New Roman"/>
          <w:lang w:val="fr-CA"/>
        </w:rPr>
        <w:t>’</w:t>
      </w:r>
      <w:r w:rsidRPr="00AA314A">
        <w:rPr>
          <w:rFonts w:cs="Times New Roman"/>
          <w:lang w:val="fr-CA"/>
        </w:rPr>
        <w:t>un exemple. Le rôle des tribunaux était de traiter des questions juridiques spécifiques et particulières à chaque recours. Le présent appel ne concerne que la question de savoir si les accusations portées par M. Morasse contre M. Nadeau</w:t>
      </w:r>
      <w:r>
        <w:rPr>
          <w:rFonts w:cs="Times New Roman"/>
          <w:lang w:val="fr-CA"/>
        </w:rPr>
        <w:noBreakHyphen/>
      </w:r>
      <w:r w:rsidRPr="00AA314A">
        <w:rPr>
          <w:rFonts w:cs="Times New Roman"/>
          <w:lang w:val="fr-CA"/>
        </w:rPr>
        <w:t>Dubois satisfaisaient aux règles strictes régissant l</w:t>
      </w:r>
      <w:r>
        <w:rPr>
          <w:rFonts w:cs="Times New Roman"/>
          <w:lang w:val="fr-CA"/>
        </w:rPr>
        <w:t>’</w:t>
      </w:r>
      <w:r w:rsidRPr="00AA314A">
        <w:rPr>
          <w:rFonts w:cs="Times New Roman"/>
          <w:lang w:val="fr-CA"/>
        </w:rPr>
        <w:t>outrage au tribun</w:t>
      </w:r>
      <w:r>
        <w:rPr>
          <w:rFonts w:cs="Times New Roman"/>
          <w:lang w:val="fr-CA"/>
        </w:rPr>
        <w:t>al. </w:t>
      </w:r>
      <w:r w:rsidRPr="00AA314A">
        <w:rPr>
          <w:rFonts w:cs="Times New Roman"/>
          <w:lang w:val="fr-CA"/>
        </w:rPr>
        <w:t>Considérer que quoi que ce soit d</w:t>
      </w:r>
      <w:r>
        <w:rPr>
          <w:rFonts w:cs="Times New Roman"/>
          <w:lang w:val="fr-CA"/>
        </w:rPr>
        <w:t>’</w:t>
      </w:r>
      <w:r w:rsidRPr="00AA314A">
        <w:rPr>
          <w:rFonts w:cs="Times New Roman"/>
          <w:lang w:val="fr-CA"/>
        </w:rPr>
        <w:t>autre était en jeu dans le contexte de ce recours irait, selon nous, au</w:t>
      </w:r>
      <w:r>
        <w:rPr>
          <w:rFonts w:cs="Times New Roman"/>
          <w:lang w:val="fr-CA"/>
        </w:rPr>
        <w:noBreakHyphen/>
      </w:r>
      <w:r w:rsidRPr="00AA314A">
        <w:rPr>
          <w:rFonts w:cs="Times New Roman"/>
          <w:lang w:val="fr-CA"/>
        </w:rPr>
        <w:t>delà des questions juridiques concrètes qui sont en cause ici, et risquerait de punir l</w:t>
      </w:r>
      <w:r>
        <w:rPr>
          <w:rFonts w:cs="Times New Roman"/>
          <w:lang w:val="fr-CA"/>
        </w:rPr>
        <w:t>’</w:t>
      </w:r>
      <w:r w:rsidRPr="00AA314A">
        <w:rPr>
          <w:rFonts w:cs="Times New Roman"/>
          <w:lang w:val="fr-CA"/>
        </w:rPr>
        <w:t>accusé en regard du rôle qu</w:t>
      </w:r>
      <w:r>
        <w:rPr>
          <w:rFonts w:cs="Times New Roman"/>
          <w:lang w:val="fr-CA"/>
        </w:rPr>
        <w:t>’</w:t>
      </w:r>
      <w:r w:rsidRPr="00AA314A">
        <w:rPr>
          <w:rFonts w:cs="Times New Roman"/>
          <w:lang w:val="fr-CA"/>
        </w:rPr>
        <w:t>il a joué plutôt qu</w:t>
      </w:r>
      <w:r>
        <w:rPr>
          <w:rFonts w:cs="Times New Roman"/>
          <w:lang w:val="fr-CA"/>
        </w:rPr>
        <w:t>’</w:t>
      </w:r>
      <w:r w:rsidRPr="00AA314A">
        <w:rPr>
          <w:rFonts w:cs="Times New Roman"/>
          <w:lang w:val="fr-CA"/>
        </w:rPr>
        <w:t>en regard des accusations portées contre lui.</w:t>
      </w:r>
    </w:p>
    <w:p w:rsidR="0060245B" w:rsidRPr="003632A7" w:rsidRDefault="00810FD5" w:rsidP="003223DD">
      <w:pPr>
        <w:pStyle w:val="ParaNoNdepar-AltN"/>
        <w:widowControl w:val="0"/>
        <w:ind w:left="0"/>
        <w:rPr>
          <w:lang w:val="fr-CA"/>
        </w:rPr>
      </w:pPr>
      <w:r w:rsidRPr="00AA314A">
        <w:rPr>
          <w:rFonts w:cs="Times New Roman"/>
          <w:lang w:val="fr-CA"/>
        </w:rPr>
        <w:t>Nous sommes d</w:t>
      </w:r>
      <w:r>
        <w:rPr>
          <w:rFonts w:cs="Times New Roman"/>
          <w:lang w:val="fr-CA"/>
        </w:rPr>
        <w:t>’</w:t>
      </w:r>
      <w:r w:rsidRPr="00AA314A">
        <w:rPr>
          <w:rFonts w:cs="Times New Roman"/>
          <w:lang w:val="fr-CA"/>
        </w:rPr>
        <w:t>avis de rejeter le pourvoi avec dépens en faveur de M. Nadeau</w:t>
      </w:r>
      <w:r>
        <w:rPr>
          <w:rFonts w:cs="Times New Roman"/>
          <w:lang w:val="fr-CA"/>
        </w:rPr>
        <w:noBreakHyphen/>
      </w:r>
      <w:r w:rsidRPr="00AA314A">
        <w:rPr>
          <w:rFonts w:cs="Times New Roman"/>
          <w:lang w:val="fr-CA"/>
        </w:rPr>
        <w:t>Dubois.</w:t>
      </w:r>
    </w:p>
    <w:p w:rsidR="00810FD5" w:rsidRPr="003632A7" w:rsidRDefault="00810FD5" w:rsidP="003223DD">
      <w:pPr>
        <w:pStyle w:val="ParaNoNdepar-AltN"/>
        <w:widowControl w:val="0"/>
        <w:numPr>
          <w:ilvl w:val="0"/>
          <w:numId w:val="0"/>
        </w:numPr>
        <w:rPr>
          <w:lang w:val="fr-CA"/>
        </w:rPr>
      </w:pPr>
      <w:r w:rsidRPr="00794279">
        <w:rPr>
          <w:lang w:val="fr-CA"/>
        </w:rPr>
        <w:tab/>
      </w:r>
      <w:r w:rsidR="00B755DC">
        <w:rPr>
          <w:lang w:val="fr-CA"/>
        </w:rPr>
        <w:t>Version française des motifs rendus par</w:t>
      </w:r>
    </w:p>
    <w:p w:rsidR="00810FD5" w:rsidRPr="00794279" w:rsidRDefault="0060245B" w:rsidP="003223DD">
      <w:pPr>
        <w:pStyle w:val="ParaNoNdepar-AltN"/>
        <w:widowControl w:val="0"/>
        <w:tabs>
          <w:tab w:val="clear" w:pos="1512"/>
          <w:tab w:val="num" w:pos="1872"/>
        </w:tabs>
        <w:ind w:left="0"/>
        <w:rPr>
          <w:lang w:val="fr-CA"/>
        </w:rPr>
      </w:pPr>
      <w:r w:rsidRPr="0060245B">
        <w:rPr>
          <w:smallCaps/>
          <w:lang w:val="fr-CA"/>
        </w:rPr>
        <w:t>Le juge Moldaver</w:t>
      </w:r>
      <w:r w:rsidRPr="0060245B">
        <w:rPr>
          <w:lang w:val="fr-CA"/>
        </w:rPr>
        <w:t xml:space="preserve"> — </w:t>
      </w:r>
      <w:r w:rsidR="00810FD5" w:rsidRPr="00794279">
        <w:rPr>
          <w:lang w:val="fr-CA"/>
        </w:rPr>
        <w:t xml:space="preserve">J’ai eu </w:t>
      </w:r>
      <w:r w:rsidR="00810FD5" w:rsidRPr="007E1C59">
        <w:rPr>
          <w:rFonts w:cs="Times New Roman"/>
          <w:lang w:val="fr-CA"/>
        </w:rPr>
        <w:t>l’occasion</w:t>
      </w:r>
      <w:r w:rsidR="00810FD5" w:rsidRPr="00794279">
        <w:rPr>
          <w:lang w:val="fr-CA"/>
        </w:rPr>
        <w:t xml:space="preserve"> de lire les motifs des juges Abella et Gascon de même que ceux du juge Wagner. Malheureusement, je ne suis d’accord avec ni l’une ni l’autre de leur série de motifs. Comme je l’expliquerai, si la cause avait été présentée au procès comme je le décris ci</w:t>
      </w:r>
      <w:r w:rsidR="00810FD5" w:rsidRPr="00794279">
        <w:rPr>
          <w:lang w:val="fr-CA"/>
        </w:rPr>
        <w:noBreakHyphen/>
        <w:t>après, j’aurais accueilli l’appel et maintenu la conclusion d’outrage au tribunal contre l’intimé, Gabriel Nadeau</w:t>
      </w:r>
      <w:r w:rsidR="00810FD5" w:rsidRPr="00794279">
        <w:rPr>
          <w:lang w:val="fr-CA"/>
        </w:rPr>
        <w:noBreakHyphen/>
        <w:t xml:space="preserve">Dubois. Cela dit, étant donné la façon dont s’est déroulé le procès, des préoccupations quant à l’équité procédurale m’empêchent d’adopter cette position. En conséquence, je dois rejeter l’appel. </w:t>
      </w:r>
    </w:p>
    <w:p w:rsidR="00810FD5" w:rsidRPr="00794279" w:rsidRDefault="00810FD5" w:rsidP="003223DD">
      <w:pPr>
        <w:pStyle w:val="ParaNoNdepar-AltN"/>
        <w:widowControl w:val="0"/>
        <w:tabs>
          <w:tab w:val="clear" w:pos="1512"/>
          <w:tab w:val="num" w:pos="1872"/>
        </w:tabs>
        <w:ind w:left="0"/>
        <w:rPr>
          <w:rFonts w:cs="Times New Roman"/>
          <w:lang w:val="fr-CA"/>
        </w:rPr>
      </w:pPr>
      <w:r w:rsidRPr="00794279">
        <w:rPr>
          <w:rFonts w:cs="Times New Roman"/>
          <w:lang w:val="fr-CA"/>
        </w:rPr>
        <w:lastRenderedPageBreak/>
        <w:t>Selon ma lecture du dossier, il ne fait aucun doute que, en répondant comme il l’a fait durant l’entrevue télévisée, l’intimé avait l’intention d’inciter les étudiants en général à contrevenir à toutes les ordonnances judiciaires</w:t>
      </w:r>
      <w:r w:rsidR="003B7D1F">
        <w:rPr>
          <w:rFonts w:cs="Times New Roman"/>
          <w:lang w:val="fr-CA"/>
        </w:rPr>
        <w:t>,</w:t>
      </w:r>
      <w:r w:rsidRPr="00794279">
        <w:rPr>
          <w:rFonts w:cs="Times New Roman"/>
          <w:lang w:val="fr-CA"/>
        </w:rPr>
        <w:t xml:space="preserve"> quelle</w:t>
      </w:r>
      <w:r w:rsidR="003B7D1F">
        <w:rPr>
          <w:rFonts w:cs="Times New Roman"/>
          <w:lang w:val="fr-CA"/>
        </w:rPr>
        <w:t>s</w:t>
      </w:r>
      <w:r w:rsidRPr="00794279">
        <w:rPr>
          <w:rFonts w:cs="Times New Roman"/>
          <w:lang w:val="fr-CA"/>
        </w:rPr>
        <w:t xml:space="preserve"> qu’elles aient été</w:t>
      </w:r>
      <w:r w:rsidR="003B7D1F">
        <w:rPr>
          <w:rFonts w:cs="Times New Roman"/>
          <w:lang w:val="fr-CA"/>
        </w:rPr>
        <w:t>,</w:t>
      </w:r>
      <w:r w:rsidRPr="00794279">
        <w:rPr>
          <w:rFonts w:cs="Times New Roman"/>
          <w:lang w:val="fr-CA"/>
        </w:rPr>
        <w:t xml:space="preserve"> qui prohibaient le piquetage comme moyen d’empêcher les étudiants d’accéder à leurs cours. Autrement dit, sa déclaration était un appel généralisé à désobéir aux ordonnances judiciaires, quels qu’aient été le juge en particulier qui avait pu rendre l’ordonnance ou l’établissement auquel cette dernière s’appliquait.</w:t>
      </w:r>
    </w:p>
    <w:p w:rsidR="00810FD5" w:rsidRPr="00794279" w:rsidRDefault="00810FD5" w:rsidP="003223DD">
      <w:pPr>
        <w:pStyle w:val="ParaNoNdepar-AltN"/>
        <w:widowControl w:val="0"/>
        <w:tabs>
          <w:tab w:val="clear" w:pos="1512"/>
          <w:tab w:val="num" w:pos="1872"/>
        </w:tabs>
        <w:ind w:left="0"/>
        <w:rPr>
          <w:rFonts w:cs="Times New Roman"/>
          <w:lang w:val="fr-CA"/>
        </w:rPr>
      </w:pPr>
      <w:r w:rsidRPr="00794279">
        <w:rPr>
          <w:rFonts w:cs="Times New Roman"/>
          <w:lang w:val="fr-CA"/>
        </w:rPr>
        <w:t>À mon avis, si le dossier avait été présenté de la sorte, le fait que l’allégation contre l’intimé ait fait spécifiquement référence à une violation de l’</w:t>
      </w:r>
      <w:r>
        <w:rPr>
          <w:rFonts w:cs="Times New Roman"/>
          <w:lang w:val="fr-CA"/>
        </w:rPr>
        <w:t>« </w:t>
      </w:r>
      <w:r w:rsidRPr="00794279">
        <w:rPr>
          <w:rFonts w:cs="Times New Roman"/>
          <w:lang w:val="fr-CA"/>
        </w:rPr>
        <w:t>ordonnance de sauvegarde</w:t>
      </w:r>
      <w:r>
        <w:rPr>
          <w:rFonts w:cs="Times New Roman"/>
          <w:lang w:val="fr-CA"/>
        </w:rPr>
        <w:t> »</w:t>
      </w:r>
      <w:r w:rsidRPr="00794279">
        <w:rPr>
          <w:rFonts w:cs="Times New Roman"/>
          <w:lang w:val="fr-CA"/>
        </w:rPr>
        <w:t xml:space="preserve"> rendue par le juge Émond le 2 mai 2012 (</w:t>
      </w:r>
      <w:r w:rsidR="003B7D1F" w:rsidRPr="003D57C5">
        <w:rPr>
          <w:i/>
          <w:lang w:val="fr-CA"/>
        </w:rPr>
        <w:t>Morasse c. Université Laval</w:t>
      </w:r>
      <w:r w:rsidR="003B7D1F">
        <w:rPr>
          <w:lang w:val="fr-CA"/>
        </w:rPr>
        <w:t xml:space="preserve">, </w:t>
      </w:r>
      <w:r w:rsidRPr="00794279">
        <w:rPr>
          <w:rFonts w:cs="Times New Roman"/>
          <w:lang w:val="fr-CA"/>
        </w:rPr>
        <w:t xml:space="preserve">2012 QCCS 1859), n’aurait pas été un obstacle à sa déclaration de culpabilité pour outrage au tribunal. Ceci s’explique du fait que l’appel généralisé de l’intimé à la désobéissance aurait nécessairement visé l’ordonnance du juge Émond, qu’il ait eu une connaissance spécifique de cette dernière ou non. </w:t>
      </w:r>
    </w:p>
    <w:p w:rsidR="00810FD5" w:rsidRPr="00794279" w:rsidRDefault="00810FD5" w:rsidP="003223DD">
      <w:pPr>
        <w:pStyle w:val="ParaNoNdepar-AltN"/>
        <w:widowControl w:val="0"/>
        <w:tabs>
          <w:tab w:val="clear" w:pos="1512"/>
          <w:tab w:val="num" w:pos="1872"/>
        </w:tabs>
        <w:ind w:left="0"/>
        <w:rPr>
          <w:rFonts w:cs="Times New Roman"/>
          <w:lang w:val="fr-CA"/>
        </w:rPr>
      </w:pPr>
      <w:r w:rsidRPr="00794279">
        <w:rPr>
          <w:rFonts w:cs="Times New Roman"/>
          <w:lang w:val="fr-CA"/>
        </w:rPr>
        <w:t xml:space="preserve">De ce point de vue, l’appel généralisé de l’intimé à la désobéissance aurait manifestement constitué l’outrage au tribunal décrit à la dernière portion du premier alinéa de l’art. 50 du </w:t>
      </w:r>
      <w:r w:rsidRPr="00794279">
        <w:rPr>
          <w:rFonts w:cs="Times New Roman"/>
          <w:i/>
          <w:lang w:val="fr-CA"/>
        </w:rPr>
        <w:t>Code de procédure civile</w:t>
      </w:r>
      <w:r w:rsidR="00817F29">
        <w:rPr>
          <w:rFonts w:cs="Times New Roman"/>
          <w:lang w:val="fr-CA"/>
        </w:rPr>
        <w:t>, RLRQ</w:t>
      </w:r>
      <w:r w:rsidRPr="00794279">
        <w:rPr>
          <w:rFonts w:cs="Times New Roman"/>
          <w:lang w:val="fr-CA"/>
        </w:rPr>
        <w:t>, c. C</w:t>
      </w:r>
      <w:r>
        <w:rPr>
          <w:rFonts w:cs="Times New Roman"/>
          <w:lang w:val="fr-CA"/>
        </w:rPr>
        <w:noBreakHyphen/>
      </w:r>
      <w:r w:rsidRPr="00794279">
        <w:rPr>
          <w:rFonts w:cs="Times New Roman"/>
          <w:lang w:val="fr-CA"/>
        </w:rPr>
        <w:t>25 (maintenant abrogé), dans la mesure où il a agi de manière à porter atteinte à l’autorité ou à la dignité du tribunal. En effet, il se serait agi d’un cas manifeste d’outrage au tribunal.</w:t>
      </w:r>
    </w:p>
    <w:p w:rsidR="00810FD5" w:rsidRPr="00794279" w:rsidRDefault="00810FD5" w:rsidP="003223DD">
      <w:pPr>
        <w:pStyle w:val="ParaNoNdepar-AltN"/>
        <w:widowControl w:val="0"/>
        <w:tabs>
          <w:tab w:val="clear" w:pos="1512"/>
          <w:tab w:val="num" w:pos="1872"/>
        </w:tabs>
        <w:ind w:left="0"/>
        <w:rPr>
          <w:rFonts w:cs="Times New Roman"/>
          <w:lang w:val="fr-CA"/>
        </w:rPr>
      </w:pPr>
      <w:r w:rsidRPr="00794279">
        <w:rPr>
          <w:rFonts w:cs="Times New Roman"/>
          <w:lang w:val="fr-CA"/>
        </w:rPr>
        <w:t xml:space="preserve">Ce n’est toutefois pas comme cela que la cause s’est déroulée. Au procès, la question a été débattue sur le fondement de la connaissance spécifique par l’intimé </w:t>
      </w:r>
      <w:r w:rsidRPr="00794279">
        <w:rPr>
          <w:rFonts w:cs="Times New Roman"/>
          <w:lang w:val="fr-CA"/>
        </w:rPr>
        <w:lastRenderedPageBreak/>
        <w:t>de l’ordonnance du juge Émond et du fait qu’il a incité les étudiants à y contrevenir en mettant en place des piquets de grève pour empêcher les étudiants en art</w:t>
      </w:r>
      <w:r>
        <w:rPr>
          <w:rFonts w:cs="Times New Roman"/>
          <w:lang w:val="fr-CA"/>
        </w:rPr>
        <w:t>s</w:t>
      </w:r>
      <w:r w:rsidRPr="00794279">
        <w:rPr>
          <w:rFonts w:cs="Times New Roman"/>
          <w:lang w:val="fr-CA"/>
        </w:rPr>
        <w:t xml:space="preserve"> plastique</w:t>
      </w:r>
      <w:r>
        <w:rPr>
          <w:rFonts w:cs="Times New Roman"/>
          <w:lang w:val="fr-CA"/>
        </w:rPr>
        <w:t>s</w:t>
      </w:r>
      <w:r w:rsidRPr="00794279">
        <w:rPr>
          <w:rFonts w:cs="Times New Roman"/>
          <w:lang w:val="fr-CA"/>
        </w:rPr>
        <w:t xml:space="preserve"> de l’Université Laval d’accéder à leurs classes.</w:t>
      </w:r>
    </w:p>
    <w:p w:rsidR="00810FD5" w:rsidRPr="00794279" w:rsidRDefault="00810FD5" w:rsidP="003223DD">
      <w:pPr>
        <w:pStyle w:val="ParaNoNdepar-AltN"/>
        <w:widowControl w:val="0"/>
        <w:tabs>
          <w:tab w:val="clear" w:pos="1512"/>
          <w:tab w:val="num" w:pos="1872"/>
        </w:tabs>
        <w:ind w:left="0"/>
        <w:rPr>
          <w:rFonts w:cs="Times New Roman"/>
          <w:lang w:val="fr-CA"/>
        </w:rPr>
      </w:pPr>
      <w:r w:rsidRPr="00794279">
        <w:rPr>
          <w:rFonts w:cs="Times New Roman"/>
          <w:lang w:val="fr-CA"/>
        </w:rPr>
        <w:t>En accueillant l’appel de l’ordonnance du juge Jacques selon laquelle l’intimé s’était rendu coupable d’outrage au tribunal (2012 QCCS 5438, [2012] R.J.Q. 2174), la Cour d’appel du Québec a conclu, à bon droit selon moi, que la preuve n’étayait pas la conclusion selon laquelle l’intimé avait une connaissance spécifique de l’ordonnance du juge Émond, comme le précisait l’allégation de la demande contre lui, et que cela empêchait de conclure à l’outrage au tribunal (2015 QCCA 78). Je souscris à cette conclusion, mais uniquement parce que c’est de cette façon que la cause a été présentée au procès et que c’est contre cette cause que l’accusé a eu à se défendre.</w:t>
      </w:r>
    </w:p>
    <w:p w:rsidR="00A36157" w:rsidRPr="0060245B" w:rsidRDefault="00810FD5" w:rsidP="003223DD">
      <w:pPr>
        <w:pStyle w:val="ParaNoNdepar-AltN"/>
        <w:widowControl w:val="0"/>
        <w:tabs>
          <w:tab w:val="clear" w:pos="1512"/>
          <w:tab w:val="num" w:pos="1872"/>
        </w:tabs>
        <w:ind w:left="0"/>
        <w:rPr>
          <w:lang w:val="fr-CA"/>
        </w:rPr>
      </w:pPr>
      <w:r w:rsidRPr="00794279">
        <w:rPr>
          <w:rFonts w:cs="Times New Roman"/>
          <w:lang w:val="fr-CA"/>
        </w:rPr>
        <w:t>Si la cause avait été présentée sur le fondement que j’ai décrit précédemment, soit sur celui d’un appel généralisé à la désobéissance, une telle conclusion ― que l’intimé avait une connaissance spécifique de l’ordonnance du juge Émond ― n’aurait pas été nécessaire pour prouver qu’il avait été coupable d’outrage au tribunal. Cela dit, la cause n’ayant pas été présentée de cette façon au procès, j’estime qu’il serait à la fois injuste et préjudiciable d’autoriser l</w:t>
      </w:r>
      <w:r w:rsidR="003B7D1F">
        <w:rPr>
          <w:rFonts w:cs="Times New Roman"/>
          <w:lang w:val="fr-CA"/>
        </w:rPr>
        <w:t>’appelant</w:t>
      </w:r>
      <w:r w:rsidRPr="00794279">
        <w:rPr>
          <w:rFonts w:cs="Times New Roman"/>
          <w:lang w:val="fr-CA"/>
        </w:rPr>
        <w:t>, Jean</w:t>
      </w:r>
      <w:r w:rsidRPr="00794279">
        <w:rPr>
          <w:rFonts w:cs="Times New Roman"/>
          <w:lang w:val="fr-CA"/>
        </w:rPr>
        <w:noBreakHyphen/>
        <w:t>François Morasse, à changer sa thèse à la présente étape du processus (</w:t>
      </w:r>
      <w:r w:rsidRPr="00794279">
        <w:rPr>
          <w:rFonts w:cs="Times New Roman"/>
          <w:i/>
          <w:lang w:val="fr-CA"/>
        </w:rPr>
        <w:t>Newcastle Recycling Ltd. c. Clarington (Municipality)</w:t>
      </w:r>
      <w:r w:rsidRPr="00794279">
        <w:rPr>
          <w:rFonts w:cs="Times New Roman"/>
          <w:lang w:val="fr-CA"/>
        </w:rPr>
        <w:t xml:space="preserve">, 2010 ONCA 314, 261 O.A.C. 373; </w:t>
      </w:r>
      <w:r w:rsidR="00817F29">
        <w:rPr>
          <w:rFonts w:cs="Times New Roman"/>
          <w:i/>
          <w:lang w:val="fr-CA"/>
        </w:rPr>
        <w:t>R. c. Vaillancourt</w:t>
      </w:r>
      <w:r w:rsidR="00817F29" w:rsidRPr="00817F29">
        <w:rPr>
          <w:rFonts w:cs="Times New Roman"/>
          <w:lang w:val="fr-CA"/>
        </w:rPr>
        <w:t>, 1995 CanLII 5036</w:t>
      </w:r>
      <w:r w:rsidR="00817F29">
        <w:rPr>
          <w:rFonts w:cs="Times New Roman"/>
          <w:i/>
          <w:lang w:val="fr-CA"/>
        </w:rPr>
        <w:t xml:space="preserve"> </w:t>
      </w:r>
      <w:r w:rsidRPr="00794279">
        <w:rPr>
          <w:rFonts w:cs="Times New Roman"/>
          <w:lang w:val="fr-CA"/>
        </w:rPr>
        <w:t>(C</w:t>
      </w:r>
      <w:r w:rsidR="00817F29">
        <w:rPr>
          <w:rFonts w:cs="Times New Roman"/>
          <w:lang w:val="fr-CA"/>
        </w:rPr>
        <w:t>.</w:t>
      </w:r>
      <w:r w:rsidRPr="00794279">
        <w:rPr>
          <w:rFonts w:cs="Times New Roman"/>
          <w:lang w:val="fr-CA"/>
        </w:rPr>
        <w:t>A</w:t>
      </w:r>
      <w:r w:rsidR="00817F29">
        <w:rPr>
          <w:rFonts w:cs="Times New Roman"/>
          <w:lang w:val="fr-CA"/>
        </w:rPr>
        <w:t xml:space="preserve">. </w:t>
      </w:r>
      <w:r w:rsidRPr="00794279">
        <w:rPr>
          <w:rFonts w:cs="Times New Roman"/>
          <w:lang w:val="fr-CA"/>
        </w:rPr>
        <w:t>Q</w:t>
      </w:r>
      <w:r w:rsidR="00817F29">
        <w:rPr>
          <w:rFonts w:cs="Times New Roman"/>
          <w:lang w:val="fr-CA"/>
        </w:rPr>
        <w:t>c</w:t>
      </w:r>
      <w:r w:rsidRPr="00794279">
        <w:rPr>
          <w:rFonts w:cs="Times New Roman"/>
          <w:lang w:val="fr-CA"/>
        </w:rPr>
        <w:t xml:space="preserve">); </w:t>
      </w:r>
      <w:r w:rsidRPr="00794279">
        <w:rPr>
          <w:rFonts w:cs="Times New Roman"/>
          <w:i/>
          <w:lang w:val="fr-CA"/>
        </w:rPr>
        <w:t>R. c. Tran</w:t>
      </w:r>
      <w:r w:rsidRPr="00794279">
        <w:rPr>
          <w:rFonts w:cs="Times New Roman"/>
          <w:lang w:val="fr-CA"/>
        </w:rPr>
        <w:t xml:space="preserve">, 2016 ONCA 48; </w:t>
      </w:r>
      <w:r w:rsidRPr="00794279">
        <w:rPr>
          <w:rFonts w:cs="Times New Roman"/>
          <w:i/>
          <w:lang w:val="fr-CA"/>
        </w:rPr>
        <w:t>Wexler c. The King</w:t>
      </w:r>
      <w:r w:rsidRPr="00794279">
        <w:rPr>
          <w:rFonts w:cs="Times New Roman"/>
          <w:lang w:val="fr-CA"/>
        </w:rPr>
        <w:t>, [1939] R</w:t>
      </w:r>
      <w:r>
        <w:rPr>
          <w:rFonts w:cs="Times New Roman"/>
          <w:lang w:val="fr-CA"/>
        </w:rPr>
        <w:t>.</w:t>
      </w:r>
      <w:r w:rsidRPr="00794279">
        <w:rPr>
          <w:rFonts w:cs="Times New Roman"/>
          <w:lang w:val="fr-CA"/>
        </w:rPr>
        <w:t>C</w:t>
      </w:r>
      <w:r>
        <w:rPr>
          <w:rFonts w:cs="Times New Roman"/>
          <w:lang w:val="fr-CA"/>
        </w:rPr>
        <w:t>.</w:t>
      </w:r>
      <w:r w:rsidRPr="00794279">
        <w:rPr>
          <w:rFonts w:cs="Times New Roman"/>
          <w:lang w:val="fr-CA"/>
        </w:rPr>
        <w:t>S</w:t>
      </w:r>
      <w:r>
        <w:rPr>
          <w:rFonts w:cs="Times New Roman"/>
          <w:lang w:val="fr-CA"/>
        </w:rPr>
        <w:t>.</w:t>
      </w:r>
      <w:r w:rsidRPr="00794279">
        <w:rPr>
          <w:rFonts w:cs="Times New Roman"/>
          <w:lang w:val="fr-CA"/>
        </w:rPr>
        <w:t xml:space="preserve"> 350). Pour ce motif ― et pour ce seul motif ―, je suis d’avis de rejeter l’appel avec dépens. </w:t>
      </w:r>
    </w:p>
    <w:p w:rsidR="0060245B" w:rsidRPr="00A36157" w:rsidRDefault="00817F29" w:rsidP="003223DD">
      <w:pPr>
        <w:pStyle w:val="ParaNoNdepar-AltN"/>
        <w:widowControl w:val="0"/>
        <w:numPr>
          <w:ilvl w:val="0"/>
          <w:numId w:val="0"/>
        </w:numPr>
        <w:rPr>
          <w:lang w:val="fr-CA"/>
        </w:rPr>
      </w:pPr>
      <w:r>
        <w:rPr>
          <w:lang w:val="fr-CA"/>
        </w:rPr>
        <w:lastRenderedPageBreak/>
        <w:tab/>
        <w:t>Les motifs des juges Wagner, Côté et Brown ont été rendus par</w:t>
      </w:r>
    </w:p>
    <w:p w:rsidR="00A36157" w:rsidRPr="00240EF8" w:rsidRDefault="00A36157" w:rsidP="003223DD">
      <w:pPr>
        <w:pStyle w:val="JudgeJuge"/>
        <w:widowControl w:val="0"/>
      </w:pPr>
      <w:r w:rsidRPr="00A36157">
        <w:rPr>
          <w:lang w:val="fr-CA"/>
        </w:rPr>
        <w:tab/>
      </w:r>
      <w:r w:rsidR="00817F29">
        <w:t xml:space="preserve">Le juge Wagner </w:t>
      </w:r>
      <w:r w:rsidR="00817F29" w:rsidRPr="00817F29">
        <w:rPr>
          <w:smallCaps w:val="0"/>
        </w:rPr>
        <w:t>(dissident)</w:t>
      </w:r>
      <w:r w:rsidR="00817F29">
        <w:t xml:space="preserve"> </w:t>
      </w:r>
      <w:r w:rsidRPr="00240EF8">
        <w:t xml:space="preserve">— </w:t>
      </w:r>
    </w:p>
    <w:p w:rsidR="00A36157" w:rsidRPr="00240EF8" w:rsidRDefault="00A36157" w:rsidP="003223DD">
      <w:pPr>
        <w:pStyle w:val="Title1LevelTitre1Niveau-AltL"/>
        <w:widowControl w:val="0"/>
        <w:numPr>
          <w:ilvl w:val="0"/>
          <w:numId w:val="3"/>
        </w:numPr>
        <w:jc w:val="both"/>
        <w:rPr>
          <w:rFonts w:cs="Times New Roman"/>
          <w:u w:val="none"/>
        </w:rPr>
      </w:pPr>
      <w:r w:rsidRPr="00240EF8">
        <w:rPr>
          <w:rFonts w:cs="Times New Roman"/>
        </w:rPr>
        <w:t>Aperçu</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240EF8">
        <w:rPr>
          <w:rFonts w:cs="Times New Roman"/>
          <w:lang w:val="fr-FR"/>
        </w:rPr>
        <w:t>Le pouvoir de sanctionner l’outrage au tribunal ne doit être exercé qu’en dernier recours, avec prudence et avec discernement</w:t>
      </w:r>
      <w:r w:rsidRPr="00A36157">
        <w:rPr>
          <w:rFonts w:cs="Times New Roman"/>
          <w:lang w:val="fr-CA"/>
        </w:rPr>
        <w:t>. Cela dit, une telle ordonnance s’impose lorsqu’elle est nécessaire pour protéger la primauté du droit, la liberté d’expression et la démocratie, lesquelles sont largement tributaires de la crédibilité de la magistrature et du système de justice auprès des justiciables.</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 xml:space="preserve">Ce pourvoi soulève la question du niveau de connaissance requis de la part d’une personne accusée d’outrage au tribunal pour cause de violation de l’art. 50 du </w:t>
      </w:r>
      <w:r w:rsidRPr="00A36157">
        <w:rPr>
          <w:rFonts w:cs="Times New Roman"/>
          <w:i/>
          <w:lang w:val="fr-CA"/>
        </w:rPr>
        <w:t>Code de procédure civile</w:t>
      </w:r>
      <w:r w:rsidRPr="00A36157">
        <w:rPr>
          <w:rFonts w:cs="Times New Roman"/>
          <w:lang w:val="fr-CA"/>
        </w:rPr>
        <w:t>, RLRQ, c. C-25 (« </w:t>
      </w:r>
      <w:r w:rsidRPr="00A36157">
        <w:rPr>
          <w:rFonts w:cs="Times New Roman"/>
          <w:i/>
          <w:lang w:val="fr-CA"/>
        </w:rPr>
        <w:t>C.p.c.</w:t>
      </w:r>
      <w:r w:rsidRPr="00A36157">
        <w:rPr>
          <w:rFonts w:cs="Times New Roman"/>
          <w:lang w:val="fr-CA"/>
        </w:rPr>
        <w:t> »)</w:t>
      </w:r>
      <w:r w:rsidRPr="00240EF8">
        <w:rPr>
          <w:rStyle w:val="FootnoteReference"/>
          <w:rFonts w:cs="Times New Roman"/>
        </w:rPr>
        <w:footnoteReference w:id="11"/>
      </w:r>
      <w:r w:rsidRPr="00A36157">
        <w:rPr>
          <w:rFonts w:cs="Times New Roman"/>
          <w:lang w:val="fr-CA"/>
        </w:rPr>
        <w:t xml:space="preserve">, en vigueur à l’époque, dans un contexte particulièrement médiatisé. </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La Cour supérieure a déclaré l’intimé, Gabriel Nadeau-Dubois, coupable d’outrage au tribunal en vertu de cet article, pour avoir incité, lors d’une entrevue télévisée, les citoyens à contrevenir à une ordonnance d’injonction prononcée par un de ses juges. La Cour d’appel a infirmé le jugement de la Cour supérieure, essentiellement au motif que le niveau de connaissance requis ainsi que l’</w:t>
      </w:r>
      <w:r w:rsidRPr="00A36157">
        <w:rPr>
          <w:rFonts w:cs="Times New Roman"/>
          <w:i/>
          <w:lang w:val="fr-CA"/>
        </w:rPr>
        <w:t>actus</w:t>
      </w:r>
      <w:r w:rsidRPr="00A36157">
        <w:rPr>
          <w:rFonts w:cs="Times New Roman"/>
          <w:lang w:val="fr-CA"/>
        </w:rPr>
        <w:t xml:space="preserve"> </w:t>
      </w:r>
      <w:r w:rsidRPr="00A36157">
        <w:rPr>
          <w:rFonts w:cs="Times New Roman"/>
          <w:i/>
          <w:lang w:val="fr-CA"/>
        </w:rPr>
        <w:t>reus</w:t>
      </w:r>
      <w:r w:rsidRPr="00A36157">
        <w:rPr>
          <w:rFonts w:cs="Times New Roman"/>
          <w:lang w:val="fr-CA"/>
        </w:rPr>
        <w:t xml:space="preserve"> </w:t>
      </w:r>
      <w:r w:rsidRPr="00A36157">
        <w:rPr>
          <w:rFonts w:cs="Times New Roman"/>
          <w:lang w:val="fr-CA"/>
        </w:rPr>
        <w:lastRenderedPageBreak/>
        <w:t>n’avai</w:t>
      </w:r>
      <w:r w:rsidR="003B7D1F">
        <w:rPr>
          <w:rFonts w:cs="Times New Roman"/>
          <w:lang w:val="fr-CA"/>
        </w:rPr>
        <w:t>en</w:t>
      </w:r>
      <w:r w:rsidRPr="00A36157">
        <w:rPr>
          <w:rFonts w:cs="Times New Roman"/>
          <w:lang w:val="fr-CA"/>
        </w:rPr>
        <w:t>t pas été établi</w:t>
      </w:r>
      <w:r w:rsidR="003B7D1F">
        <w:rPr>
          <w:rFonts w:cs="Times New Roman"/>
          <w:lang w:val="fr-CA"/>
        </w:rPr>
        <w:t>s</w:t>
      </w:r>
      <w:r w:rsidRPr="00A36157">
        <w:rPr>
          <w:rFonts w:cs="Times New Roman"/>
          <w:lang w:val="fr-CA"/>
        </w:rPr>
        <w:t xml:space="preserve"> hors de tout doute raisonnable. </w:t>
      </w:r>
    </w:p>
    <w:p w:rsidR="00A36157" w:rsidRPr="00240EF8" w:rsidRDefault="00A36157" w:rsidP="003223DD">
      <w:pPr>
        <w:pStyle w:val="ParaNoNdepar-AltN"/>
        <w:widowControl w:val="0"/>
        <w:tabs>
          <w:tab w:val="clear" w:pos="1166"/>
          <w:tab w:val="clear" w:pos="1512"/>
          <w:tab w:val="num" w:pos="1152"/>
        </w:tabs>
        <w:ind w:left="0"/>
        <w:rPr>
          <w:rFonts w:cs="Times New Roman"/>
        </w:rPr>
      </w:pPr>
      <w:r w:rsidRPr="00A36157">
        <w:rPr>
          <w:rFonts w:cs="Times New Roman"/>
          <w:lang w:val="fr-CA"/>
        </w:rPr>
        <w:t>Avec égards, je suis d’avis que la Cour d’appel a eu tort d’infirmer la décision de la Cour supérieure. Contrairement à la Cour d’appel, je suis d’avis que la preuve de la connaissance spécifique de l’ordonnance d’injonction n’était pas requise. De plus, en l’absence d’erreur dans le jugement de première instance, il n’était pas loisible à la Cour d’appel de substituer son avis sur l’</w:t>
      </w:r>
      <w:r w:rsidRPr="00A36157">
        <w:rPr>
          <w:rFonts w:cs="Times New Roman"/>
          <w:i/>
          <w:lang w:val="fr-CA"/>
        </w:rPr>
        <w:t>actus</w:t>
      </w:r>
      <w:r w:rsidRPr="00A36157">
        <w:rPr>
          <w:rFonts w:cs="Times New Roman"/>
          <w:lang w:val="fr-CA"/>
        </w:rPr>
        <w:t xml:space="preserve"> </w:t>
      </w:r>
      <w:r w:rsidRPr="00A36157">
        <w:rPr>
          <w:rFonts w:cs="Times New Roman"/>
          <w:i/>
          <w:lang w:val="fr-CA"/>
        </w:rPr>
        <w:t>reus</w:t>
      </w:r>
      <w:r w:rsidRPr="00A36157">
        <w:rPr>
          <w:rFonts w:cs="Times New Roman"/>
          <w:lang w:val="fr-CA"/>
        </w:rPr>
        <w:t xml:space="preserve">. </w:t>
      </w:r>
      <w:r w:rsidRPr="00240EF8">
        <w:rPr>
          <w:rFonts w:cs="Times New Roman"/>
        </w:rPr>
        <w:t>Je propose donc d’accueillir le pourvoi.</w:t>
      </w:r>
    </w:p>
    <w:p w:rsidR="00A36157" w:rsidRPr="00240EF8" w:rsidRDefault="00A36157" w:rsidP="003223DD">
      <w:pPr>
        <w:pStyle w:val="Title1LevelTitre1Niveau-AltL"/>
        <w:widowControl w:val="0"/>
        <w:numPr>
          <w:ilvl w:val="0"/>
          <w:numId w:val="3"/>
        </w:numPr>
        <w:jc w:val="both"/>
        <w:rPr>
          <w:rFonts w:cs="Times New Roman"/>
        </w:rPr>
      </w:pPr>
      <w:r w:rsidRPr="00240EF8">
        <w:rPr>
          <w:rFonts w:cs="Times New Roman"/>
        </w:rPr>
        <w:t>Le contexte</w:t>
      </w:r>
    </w:p>
    <w:p w:rsidR="00A36157" w:rsidRPr="00240EF8" w:rsidRDefault="00A36157" w:rsidP="003223DD">
      <w:pPr>
        <w:pStyle w:val="Title2LevelTitre2Niveau"/>
        <w:widowControl w:val="0"/>
        <w:numPr>
          <w:ilvl w:val="1"/>
          <w:numId w:val="3"/>
        </w:numPr>
        <w:jc w:val="both"/>
        <w:rPr>
          <w:rFonts w:cs="Times New Roman"/>
        </w:rPr>
      </w:pPr>
      <w:r w:rsidRPr="00240EF8">
        <w:rPr>
          <w:rFonts w:cs="Times New Roman"/>
        </w:rPr>
        <w:t>Mise en contexte</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 xml:space="preserve">Le pourvoi entrepris concerne une période d’agitation sociale sans précédent dans l’histoire du Québec, soit « la plus importante “grèveˮ étudiante de son histoire ».  Il s’agit d’un conflit maintenant connu et décrit comme le «  printemps érable » par analogie avec le « printemps arabe » qui, en 2011, avait monopolisé l’attention médiatique à l’échelle internationale. Ce conflit a éclaté en réponse à une hausse des frais de scolarité proposée par le gouvernement du Québec en 2012. Pour exprimer leur désaccord, certains </w:t>
      </w:r>
      <w:r w:rsidRPr="00A36157">
        <w:rPr>
          <w:rFonts w:cs="Times New Roman"/>
          <w:szCs w:val="24"/>
          <w:lang w:val="fr-CA"/>
        </w:rPr>
        <w:t xml:space="preserve">étudiants opposés à la hausse des frais de scolarité appellent au « </w:t>
      </w:r>
      <w:r w:rsidRPr="00A36157">
        <w:rPr>
          <w:rFonts w:cs="Times New Roman"/>
          <w:lang w:val="fr-CA"/>
        </w:rPr>
        <w:t xml:space="preserve">boycottage » des cours comme moyen de pression (jugement de la Cour d’appel, 2015 QCCA 78, par. 12 (CanLII)). Notamment, des associations étudiantes, dont la </w:t>
      </w:r>
      <w:r w:rsidRPr="00240EF8">
        <w:rPr>
          <w:rFonts w:eastAsia="Times New Roman" w:cs="Times New Roman"/>
          <w:lang w:val="fr-FR" w:eastAsia="en-CA"/>
        </w:rPr>
        <w:t>Coalition large de l’Association pour une solidarité syndicale étudiante (« CLASSE »)</w:t>
      </w:r>
      <w:r w:rsidRPr="00A36157">
        <w:rPr>
          <w:rFonts w:cs="Times New Roman"/>
          <w:lang w:val="fr-CA"/>
        </w:rPr>
        <w:t xml:space="preserve">, font la promotion du boycott des cours. À tout moment pertinent, </w:t>
      </w:r>
      <w:r w:rsidRPr="00A36157">
        <w:rPr>
          <w:rFonts w:cs="Times New Roman"/>
          <w:lang w:val="fr-CA"/>
        </w:rPr>
        <w:lastRenderedPageBreak/>
        <w:t xml:space="preserve">l’intimé est le principal porte-parole de la CLASSE. Il devient avec Léo Bureau-Blouin, président de la Fédération étudiante collégiale du Québec, le  « porte-étendard » du mouvement et la « figure de proue » de la contestation étudiante (jugement sur la peine, 2012 QCCS 6101, [2012] R.J.Q. 2279, par. 6 et 15). Ils sont aussi reconnus comme les « leaders du mouvement », incarnent les principaux protagonistes auprès de la population et « sont de toutes les tribunes » pendant que le conflit perdure. </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 xml:space="preserve">Pour appuyer l’appel au boycott des cours, </w:t>
      </w:r>
      <w:r w:rsidRPr="00A36157">
        <w:rPr>
          <w:rFonts w:cs="Times New Roman"/>
          <w:szCs w:val="24"/>
          <w:lang w:val="fr-CA"/>
        </w:rPr>
        <w:t xml:space="preserve">des piquets sont érigés devant de nombreux établissements d’enseignement postsecondaire </w:t>
      </w:r>
      <w:r w:rsidRPr="00A36157">
        <w:rPr>
          <w:rFonts w:cs="Times New Roman"/>
          <w:lang w:val="fr-CA"/>
        </w:rPr>
        <w:t>(</w:t>
      </w:r>
      <w:r w:rsidRPr="00A36157">
        <w:rPr>
          <w:rFonts w:cs="Times New Roman"/>
          <w:i/>
          <w:lang w:val="fr-CA"/>
        </w:rPr>
        <w:t>Morasse c. Université Laval</w:t>
      </w:r>
      <w:r w:rsidRPr="00A36157">
        <w:rPr>
          <w:rFonts w:cs="Times New Roman"/>
          <w:lang w:val="fr-CA"/>
        </w:rPr>
        <w:t xml:space="preserve">, </w:t>
      </w:r>
      <w:r w:rsidRPr="00A36157">
        <w:rPr>
          <w:rFonts w:cs="Times New Roman"/>
          <w:szCs w:val="24"/>
          <w:lang w:val="fr-CA"/>
        </w:rPr>
        <w:t>2012 QCCS 1565, par. 4 (CanLII), le juge Lemelin)</w:t>
      </w:r>
      <w:r w:rsidRPr="00A36157">
        <w:rPr>
          <w:rFonts w:cs="Times New Roman"/>
          <w:lang w:val="fr-CA"/>
        </w:rPr>
        <w:t xml:space="preserve">.  </w:t>
      </w:r>
      <w:r w:rsidRPr="00A36157">
        <w:rPr>
          <w:rFonts w:cs="Times New Roman"/>
          <w:szCs w:val="24"/>
          <w:lang w:val="fr-CA"/>
        </w:rPr>
        <w:t>De ce fait, les cours sont « perturbés » et plusieurs de ces établissements sont « paralysés », puisque les professeurs et autres responsables ne peuvent s’acquitter de leurs tâches (j</w:t>
      </w:r>
      <w:r w:rsidRPr="00A36157">
        <w:rPr>
          <w:rFonts w:cs="Times New Roman"/>
          <w:lang w:val="fr-CA"/>
        </w:rPr>
        <w:t>ugement de la Cour d’appel, par. 12</w:t>
      </w:r>
      <w:r w:rsidRPr="00A36157">
        <w:rPr>
          <w:rFonts w:cs="Times New Roman"/>
          <w:szCs w:val="24"/>
          <w:lang w:val="fr-CA"/>
        </w:rPr>
        <w:t xml:space="preserve">). De tous les gestes d’éclat accomplis par les associations étudiantes, c’est sans contredit la levée des cours et la mise en place de lignes de piquetage empêchant les étudiants d’accéder à leurs salles de classe qui suscitent le plus de controverse. </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 xml:space="preserve">Le mouvement, qui tire son origine d’une action étudiante, s’étend progressivement et rallie dorénavant les syndicats ainsi que des groupes de pression qui prônent toutes sortes de causes ayant peu à voir avec les revendications initiales. Cette période « particulièrement fébrile » dans la province est marquée par de « nombreuses manifestations » populaires quotidiennes, lesquelles se terminent souvent par des actes de violence et des affrontements avec les forces de l’ordre  (jugement de la Cour d’appel, par. 12). </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lastRenderedPageBreak/>
        <w:t>Au début du mois de mai 2012, « [p]endant cette période de boycottage des cours et de perturbation », l’appelant, Jean-François Morasse, est étudiant et il est inscrit au programme d’arts plastiques de l’Université Laval. Il désire terminer ses études, s’objecte au mouvement de levée des cours et veut accéder aux salles de cours. L’Association des étudiants en arts plastiques de l’Université Laval (« ASÉTAP ») est membre de la CLASSE depuis avril 2012 et agit officiellement au nom de tous les étudiants du programme. Elle appuie la levée des cours et</w:t>
      </w:r>
      <w:r w:rsidR="003B7D1F">
        <w:rPr>
          <w:rFonts w:cs="Times New Roman"/>
          <w:lang w:val="fr-CA"/>
        </w:rPr>
        <w:t>,</w:t>
      </w:r>
      <w:r w:rsidRPr="00A36157">
        <w:rPr>
          <w:rFonts w:cs="Times New Roman"/>
          <w:lang w:val="fr-CA"/>
        </w:rPr>
        <w:t xml:space="preserve"> à compter du 29 février 2012, elle assure la mise en place de lignes de piquetage devant l’Université Laval pour empêcher les étudiants d’assister à leurs cours (2012 QCCS 1565, </w:t>
      </w:r>
      <w:r w:rsidRPr="00A36157">
        <w:rPr>
          <w:rFonts w:cs="Times New Roman"/>
          <w:szCs w:val="24"/>
          <w:lang w:val="fr-CA"/>
        </w:rPr>
        <w:t>par. 4).</w:t>
      </w:r>
    </w:p>
    <w:p w:rsidR="00A36157" w:rsidRPr="00240EF8" w:rsidRDefault="00A36157" w:rsidP="003223DD">
      <w:pPr>
        <w:pStyle w:val="ParaNoNdepar-AltN"/>
        <w:widowControl w:val="0"/>
        <w:tabs>
          <w:tab w:val="clear" w:pos="1166"/>
          <w:tab w:val="clear" w:pos="1512"/>
          <w:tab w:val="num" w:pos="1152"/>
        </w:tabs>
        <w:ind w:left="0"/>
        <w:rPr>
          <w:rFonts w:cs="Times New Roman"/>
        </w:rPr>
      </w:pPr>
      <w:r w:rsidRPr="00A36157">
        <w:rPr>
          <w:rFonts w:cs="Times New Roman"/>
          <w:lang w:val="fr-CA"/>
        </w:rPr>
        <w:t>Afin d’accéder aux salles de cours, l’appelant sollicite et obtient une ordonnance d’injonction interlocutoire provisoire prononcée par le juge Lemelin le 12 avril 2012. Le 2 mai 2012, cette ordonnance est renouvelée sous la forme d’une ordonnance de sauvegarde, laquelle demeurera en vigueur jusqu’au 14 septembre 2012 (</w:t>
      </w:r>
      <w:r w:rsidRPr="00A36157">
        <w:rPr>
          <w:rFonts w:cs="Times New Roman"/>
          <w:i/>
          <w:lang w:val="fr-CA"/>
        </w:rPr>
        <w:t>Morasse c. Université Laval</w:t>
      </w:r>
      <w:r w:rsidRPr="00A36157">
        <w:rPr>
          <w:rFonts w:cs="Times New Roman"/>
          <w:lang w:val="fr-CA"/>
        </w:rPr>
        <w:t xml:space="preserve">, 2012 QCCS 1859 (l’« Ordonnance de sauvegarde »)). C’est cette ordonnance, rendue par le juge Émond (maintenant juge de la Cour d’appel), qui est à l’origine de ce pourvoi. </w:t>
      </w:r>
      <w:r w:rsidRPr="00240EF8">
        <w:rPr>
          <w:rFonts w:cs="Times New Roman"/>
        </w:rPr>
        <w:t>Les conclusions pertinentes sont libellées ainsi :</w:t>
      </w:r>
    </w:p>
    <w:p w:rsidR="00A36157" w:rsidRPr="00A36157" w:rsidRDefault="00A36157" w:rsidP="003223DD">
      <w:pPr>
        <w:pStyle w:val="Citation-AltC"/>
        <w:widowControl w:val="0"/>
        <w:ind w:left="1170" w:firstLine="540"/>
        <w:rPr>
          <w:lang w:val="fr-CA"/>
        </w:rPr>
      </w:pPr>
      <w:r w:rsidRPr="00A36157">
        <w:rPr>
          <w:b/>
          <w:lang w:val="fr-CA"/>
        </w:rPr>
        <w:t>ORDONNE</w:t>
      </w:r>
      <w:r w:rsidRPr="00A36157">
        <w:rPr>
          <w:lang w:val="fr-CA"/>
        </w:rPr>
        <w:t xml:space="preserve"> à l’Université Laval, l’Association des étudiants en arts plastiques ainsi qu’à toute personne informée de la présente ordonnance, de laisser libre accès aux salles de cours de l’Université Laval où sont dispensés les cours menant au certificat en arts plastiques, et ce, afin que ces cours puissent être donnés à l’horaire prévu à la session d’hiver 2012;</w:t>
      </w:r>
    </w:p>
    <w:p w:rsidR="00A36157" w:rsidRPr="00A36157" w:rsidRDefault="00A36157" w:rsidP="003223DD">
      <w:pPr>
        <w:pStyle w:val="Citation-AltC"/>
        <w:widowControl w:val="0"/>
        <w:rPr>
          <w:lang w:val="fr-CA"/>
        </w:rPr>
      </w:pPr>
    </w:p>
    <w:p w:rsidR="00A36157" w:rsidRPr="00A36157" w:rsidRDefault="00A36157" w:rsidP="003223DD">
      <w:pPr>
        <w:pStyle w:val="Citation-AltC"/>
        <w:widowControl w:val="0"/>
        <w:ind w:left="1170" w:firstLine="540"/>
        <w:rPr>
          <w:lang w:val="fr-CA"/>
        </w:rPr>
      </w:pPr>
      <w:r w:rsidRPr="00A36157">
        <w:rPr>
          <w:b/>
          <w:lang w:val="fr-CA"/>
        </w:rPr>
        <w:t>ORDONNE</w:t>
      </w:r>
      <w:r w:rsidRPr="00A36157">
        <w:rPr>
          <w:lang w:val="fr-CA"/>
        </w:rPr>
        <w:t xml:space="preserve"> à tous les étudiants et autres personnes qui pratiquent présentement le boycottage des cours de s’abstenir d’obstruer ou de nuire à l’accès aux cours par intimidation ou de poser toute action susceptible d’empêcher ou d’affecter négativement l’accès à ces cours; [</w:t>
      </w:r>
      <w:r w:rsidR="00817F29">
        <w:rPr>
          <w:lang w:val="fr-CA"/>
        </w:rPr>
        <w:t>En caractère</w:t>
      </w:r>
      <w:r w:rsidRPr="00A36157">
        <w:rPr>
          <w:lang w:val="fr-CA"/>
        </w:rPr>
        <w:t xml:space="preserve"> gras dans l’original; par. 59-60 (CanLII).]</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lastRenderedPageBreak/>
        <w:t>Il y a alors une « multiplication des injonctions » similaires au Québec (jugement de la Cour d’appel, par. 13; jugement de première instance, 2012 QCCS 5438, [2012] R.J.Q. 2174, par. 81</w:t>
      </w:r>
      <w:r w:rsidR="003B7D1F">
        <w:rPr>
          <w:rFonts w:cs="Times New Roman"/>
          <w:lang w:val="fr-CA"/>
        </w:rPr>
        <w:t>-</w:t>
      </w:r>
      <w:r w:rsidRPr="00A36157">
        <w:rPr>
          <w:rFonts w:cs="Times New Roman"/>
          <w:lang w:val="fr-CA"/>
        </w:rPr>
        <w:t>82, le juge Jacques; jugement sur la peine, par. 32). L’objectif demeure toujours le même : permettre aux étudiants le libre accès à leurs cours pour terminer leur année scolaire (jugement de première instance</w:t>
      </w:r>
      <w:r w:rsidRPr="00A36157">
        <w:rPr>
          <w:rFonts w:cs="Times New Roman"/>
          <w:szCs w:val="24"/>
          <w:lang w:val="fr-CA"/>
        </w:rPr>
        <w:t>, par. 15 et 23).</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Bien que d’aucuns qualifient de « grève » le mouvement entrepris, nulle part dans le jugement attaqué ne retrouve-t-on l’application de règles propres au droit du travail. D’ailleurs dans le jugement portant sur la prolongation de l’ordonnance d’injonction déjà prononcée (l’Ordonnance de sauvegarde), le juge Émond écartait en ces mots les arguments à cet effet :</w:t>
      </w:r>
    </w:p>
    <w:p w:rsidR="00A36157" w:rsidRPr="00A36157" w:rsidRDefault="00A36157" w:rsidP="003223DD">
      <w:pPr>
        <w:pStyle w:val="Citation-AltC"/>
        <w:widowControl w:val="0"/>
        <w:ind w:firstLine="274"/>
        <w:rPr>
          <w:lang w:val="fr-CA"/>
        </w:rPr>
      </w:pPr>
      <w:r w:rsidRPr="00A36157">
        <w:rPr>
          <w:lang w:val="fr-CA"/>
        </w:rPr>
        <w:t xml:space="preserve">L’ASETAP confond le monopole de représentation, si monopole de représentation il y a, avec le monopole du travail, lequel découle des dispositions anti-briseurs de grève du </w:t>
      </w:r>
      <w:r w:rsidRPr="00A36157">
        <w:rPr>
          <w:i/>
          <w:lang w:val="fr-CA"/>
        </w:rPr>
        <w:t>Code du travail</w:t>
      </w:r>
      <w:r w:rsidRPr="00A36157">
        <w:rPr>
          <w:lang w:val="fr-CA"/>
        </w:rPr>
        <w:t xml:space="preserve"> qui interdisent à un employeur de retenir les services d’un salarié qui fait partie d’une unité de négociation en grève.</w:t>
      </w:r>
    </w:p>
    <w:p w:rsidR="00A36157" w:rsidRPr="00A36157" w:rsidRDefault="00A36157" w:rsidP="003223DD">
      <w:pPr>
        <w:pStyle w:val="Citation-AltC"/>
        <w:widowControl w:val="0"/>
        <w:rPr>
          <w:lang w:val="fr-CA"/>
        </w:rPr>
      </w:pPr>
    </w:p>
    <w:p w:rsidR="00A36157" w:rsidRPr="00A36157" w:rsidRDefault="00A36157" w:rsidP="003223DD">
      <w:pPr>
        <w:pStyle w:val="Citation-AltC"/>
        <w:widowControl w:val="0"/>
        <w:ind w:firstLine="274"/>
        <w:rPr>
          <w:lang w:val="fr-CA"/>
        </w:rPr>
      </w:pPr>
      <w:r w:rsidRPr="00A36157">
        <w:rPr>
          <w:lang w:val="fr-CA"/>
        </w:rPr>
        <w:t xml:space="preserve">Contrairement au </w:t>
      </w:r>
      <w:r w:rsidRPr="00A36157">
        <w:rPr>
          <w:i/>
          <w:lang w:val="fr-CA"/>
        </w:rPr>
        <w:t>Code du travail</w:t>
      </w:r>
      <w:r w:rsidRPr="00A36157">
        <w:rPr>
          <w:lang w:val="fr-CA"/>
        </w:rPr>
        <w:t xml:space="preserve">, la </w:t>
      </w:r>
      <w:r w:rsidRPr="00A36157">
        <w:rPr>
          <w:i/>
          <w:lang w:val="fr-CA"/>
        </w:rPr>
        <w:t>Loi sur l’accréditation et le financement des associations d’élèves ou d’étudiants</w:t>
      </w:r>
      <w:r w:rsidRPr="00A36157">
        <w:rPr>
          <w:lang w:val="fr-CA"/>
        </w:rPr>
        <w:t xml:space="preserve"> ne contient </w:t>
      </w:r>
      <w:r w:rsidRPr="00A36157">
        <w:rPr>
          <w:u w:val="single"/>
          <w:lang w:val="fr-CA"/>
        </w:rPr>
        <w:t>aucune disposition permettant à une association de forcer un étudiant, contre son gré, à pratiquer le boycott de ses cours et de lui en faire supporter les effets</w:t>
      </w:r>
      <w:r w:rsidRPr="00A36157">
        <w:rPr>
          <w:lang w:val="fr-CA"/>
        </w:rPr>
        <w:t>.</w:t>
      </w:r>
    </w:p>
    <w:p w:rsidR="00A36157" w:rsidRPr="00A36157" w:rsidRDefault="00A36157" w:rsidP="003223DD">
      <w:pPr>
        <w:pStyle w:val="Citation-AltC"/>
        <w:widowControl w:val="0"/>
        <w:rPr>
          <w:lang w:val="fr-CA"/>
        </w:rPr>
      </w:pPr>
    </w:p>
    <w:p w:rsidR="00A36157" w:rsidRPr="00240EF8" w:rsidRDefault="00A36157" w:rsidP="003223DD">
      <w:pPr>
        <w:pStyle w:val="Citation-AltC"/>
        <w:widowControl w:val="0"/>
        <w:ind w:firstLine="274"/>
      </w:pPr>
      <w:r w:rsidRPr="00A36157">
        <w:rPr>
          <w:lang w:val="fr-CA"/>
        </w:rPr>
        <w:t xml:space="preserve">Les références au </w:t>
      </w:r>
      <w:r w:rsidRPr="00A36157">
        <w:rPr>
          <w:i/>
          <w:lang w:val="fr-CA"/>
        </w:rPr>
        <w:t>Code du travail</w:t>
      </w:r>
      <w:r w:rsidRPr="00A36157">
        <w:rPr>
          <w:lang w:val="fr-CA"/>
        </w:rPr>
        <w:t xml:space="preserve"> sont non seulement boiteuses et inappropriées, mais encore, elles confirment l’interprétation de ceux qui, comme le juge Lemelin, </w:t>
      </w:r>
      <w:r w:rsidRPr="00A36157">
        <w:rPr>
          <w:u w:val="single"/>
          <w:lang w:val="fr-CA"/>
        </w:rPr>
        <w:t>considèrent que les lois du Québec ne confèrent aucun véritable droit de grève aux étudiants</w:t>
      </w:r>
      <w:r w:rsidRPr="00A36157">
        <w:rPr>
          <w:lang w:val="fr-CA"/>
        </w:rPr>
        <w:t xml:space="preserve">. </w:t>
      </w:r>
      <w:r w:rsidRPr="00240EF8">
        <w:t>[Je souligne; notes en bas de page omises; par. 30-32.]</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De plus, il résumait ainsi la position de l’appelant :</w:t>
      </w:r>
    </w:p>
    <w:p w:rsidR="00A36157" w:rsidRPr="00A36157" w:rsidRDefault="00A36157" w:rsidP="003223DD">
      <w:pPr>
        <w:pStyle w:val="Citation-AltC"/>
        <w:widowControl w:val="0"/>
        <w:ind w:firstLine="274"/>
        <w:rPr>
          <w:lang w:val="fr-CA"/>
        </w:rPr>
      </w:pPr>
      <w:r w:rsidRPr="00A36157">
        <w:rPr>
          <w:lang w:val="fr-CA"/>
        </w:rPr>
        <w:t xml:space="preserve">La demande de M. Morasse ne vise pas à interdire aux étudiants de </w:t>
      </w:r>
      <w:r w:rsidRPr="00A36157">
        <w:rPr>
          <w:lang w:val="fr-CA"/>
        </w:rPr>
        <w:lastRenderedPageBreak/>
        <w:t>manifester, mais seulement à les empêcher de poser des gestes illégaux, en l’occurrence le blocage de l’accès aux salles où sont dispensés les cours.</w:t>
      </w:r>
    </w:p>
    <w:p w:rsidR="00A36157" w:rsidRPr="00A36157" w:rsidRDefault="00A36157" w:rsidP="003223DD">
      <w:pPr>
        <w:pStyle w:val="Citation-AltC"/>
        <w:widowControl w:val="0"/>
        <w:rPr>
          <w:lang w:val="fr-CA"/>
        </w:rPr>
      </w:pPr>
    </w:p>
    <w:p w:rsidR="00A36157" w:rsidRPr="00A36157" w:rsidRDefault="00A36157" w:rsidP="003223DD">
      <w:pPr>
        <w:pStyle w:val="Citation-AltC"/>
        <w:widowControl w:val="0"/>
        <w:jc w:val="center"/>
        <w:rPr>
          <w:lang w:val="fr-CA"/>
        </w:rPr>
      </w:pPr>
      <w:r w:rsidRPr="00A36157">
        <w:rPr>
          <w:lang w:val="fr-CA"/>
        </w:rPr>
        <w:t>. . .</w:t>
      </w:r>
    </w:p>
    <w:p w:rsidR="00A36157" w:rsidRPr="00A36157" w:rsidRDefault="00A36157" w:rsidP="003223DD">
      <w:pPr>
        <w:pStyle w:val="Citation-AltC"/>
        <w:widowControl w:val="0"/>
        <w:rPr>
          <w:lang w:val="fr-CA"/>
        </w:rPr>
      </w:pPr>
    </w:p>
    <w:p w:rsidR="00A36157" w:rsidRPr="00A36157" w:rsidRDefault="00A36157" w:rsidP="003223DD">
      <w:pPr>
        <w:pStyle w:val="Citation-AltC"/>
        <w:widowControl w:val="0"/>
        <w:ind w:firstLine="274"/>
        <w:rPr>
          <w:lang w:val="fr-CA"/>
        </w:rPr>
      </w:pPr>
      <w:r w:rsidRPr="00A36157">
        <w:rPr>
          <w:lang w:val="fr-CA"/>
        </w:rPr>
        <w:t xml:space="preserve">Or, nous l’avons déjà mentionné, la </w:t>
      </w:r>
      <w:r w:rsidRPr="00A36157">
        <w:rPr>
          <w:i/>
          <w:lang w:val="fr-CA"/>
        </w:rPr>
        <w:t>Loi sur l’accréditation et le financement des associations d’élèves ou d’étudiants</w:t>
      </w:r>
      <w:r w:rsidRPr="00A36157">
        <w:rPr>
          <w:lang w:val="fr-CA"/>
        </w:rPr>
        <w:t xml:space="preserve"> ne contient aucune disposition permettant à une association étudiante de forcer un étudiant à boycotter ses cours contre son gré. [par. 44-46]</w:t>
      </w:r>
    </w:p>
    <w:p w:rsidR="00A36157" w:rsidRPr="00A36157" w:rsidRDefault="00A36157" w:rsidP="003223DD">
      <w:pPr>
        <w:pStyle w:val="ContinueParaSuitedupar-AltP"/>
        <w:widowControl w:val="0"/>
        <w:rPr>
          <w:rFonts w:cs="Times New Roman"/>
          <w:lang w:val="fr-CA"/>
        </w:rPr>
      </w:pPr>
      <w:r w:rsidRPr="00A36157">
        <w:rPr>
          <w:rFonts w:cs="Times New Roman"/>
          <w:lang w:val="fr-CA"/>
        </w:rPr>
        <w:t xml:space="preserve">Ces propos complétaient en quelque sorte les constatations du juge Lemelin de la Cour supérieure, qui avait rendu la première ordonnance d’injonction provisoire en ces termes : </w:t>
      </w:r>
    </w:p>
    <w:p w:rsidR="00A36157" w:rsidRPr="00A36157" w:rsidRDefault="00A36157" w:rsidP="003223DD">
      <w:pPr>
        <w:pStyle w:val="Citation-AltC"/>
        <w:widowControl w:val="0"/>
        <w:ind w:firstLine="274"/>
        <w:rPr>
          <w:lang w:val="fr-CA"/>
        </w:rPr>
      </w:pPr>
      <w:r w:rsidRPr="00A36157">
        <w:rPr>
          <w:lang w:val="fr-CA"/>
        </w:rPr>
        <w:t>Le Tribunal ne discute pas le droit de certains étudiants de soutenir et de participer au boycottage des cours en refusant d’y assister, mais leur refus ne leur accorde [pas] le droit de brimer et même d’anéantir le droit des autres étudiants d’assister à leurs cours de manière à terminer leur session.</w:t>
      </w:r>
    </w:p>
    <w:p w:rsidR="00A36157" w:rsidRPr="00A36157" w:rsidRDefault="00A36157" w:rsidP="003223DD">
      <w:pPr>
        <w:pStyle w:val="Citation-AltC"/>
        <w:widowControl w:val="0"/>
        <w:rPr>
          <w:lang w:val="fr-CA"/>
        </w:rPr>
      </w:pPr>
    </w:p>
    <w:p w:rsidR="00A36157" w:rsidRPr="00240EF8" w:rsidRDefault="00A36157" w:rsidP="003223DD">
      <w:pPr>
        <w:pStyle w:val="Citation-AltC"/>
        <w:widowControl w:val="0"/>
        <w:ind w:firstLine="274"/>
      </w:pPr>
      <w:r w:rsidRPr="00A36157">
        <w:rPr>
          <w:lang w:val="fr-CA"/>
        </w:rPr>
        <w:t xml:space="preserve">Il appartient aux étudiants qui boycottent les cours de supporter seuls les risques de cette action. Ils n’ont pas le droit d’imposer ou de faire supporter ce risque à ceux qui veulent assister à leurs cours. </w:t>
      </w:r>
      <w:r w:rsidRPr="00240EF8">
        <w:t>[par. 14-15]</w:t>
      </w:r>
    </w:p>
    <w:p w:rsidR="00A36157" w:rsidRPr="00240EF8" w:rsidRDefault="00A36157" w:rsidP="003223DD">
      <w:pPr>
        <w:pStyle w:val="Citation-AltC"/>
        <w:widowControl w:val="0"/>
      </w:pP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 xml:space="preserve">De plus, le boycott des cours relève d’un choix individuel et de nombreux étudiants contestent en conséquence la légitimité, voire la légalité d’un tel moyen de pression, comme le démontrent les ordonnances décrites ci-dessous. </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En dépit du prononcé de nombreuses ordonnances d’injonction, la situation dégénère, les actes de violence et d’intimidation se succèdent, les responsables des institutions d’enseignement ne peuvent assurer le respect des ordonnances en toute sécurité, alors qu’ils assistent à des</w:t>
      </w:r>
      <w:r w:rsidRPr="00A36157">
        <w:rPr>
          <w:rFonts w:cs="Times New Roman"/>
          <w:szCs w:val="24"/>
          <w:lang w:val="fr-CA"/>
        </w:rPr>
        <w:t xml:space="preserve"> « échauffourées</w:t>
      </w:r>
      <w:r w:rsidR="00AA7455">
        <w:rPr>
          <w:rFonts w:cs="Times New Roman"/>
          <w:szCs w:val="24"/>
          <w:lang w:val="fr-CA"/>
        </w:rPr>
        <w:t> </w:t>
      </w:r>
      <w:r w:rsidRPr="00A36157">
        <w:rPr>
          <w:rFonts w:cs="Times New Roman"/>
          <w:szCs w:val="24"/>
          <w:lang w:val="fr-CA"/>
        </w:rPr>
        <w:t>», des « bagarres</w:t>
      </w:r>
      <w:r w:rsidR="00AA7455">
        <w:rPr>
          <w:rFonts w:cs="Times New Roman"/>
          <w:szCs w:val="24"/>
          <w:lang w:val="fr-CA"/>
        </w:rPr>
        <w:t> </w:t>
      </w:r>
      <w:r w:rsidRPr="00A36157">
        <w:rPr>
          <w:rFonts w:cs="Times New Roman"/>
          <w:szCs w:val="24"/>
          <w:lang w:val="fr-CA"/>
        </w:rPr>
        <w:t xml:space="preserve">» (jugement de la </w:t>
      </w:r>
      <w:r w:rsidRPr="00A36157">
        <w:rPr>
          <w:rFonts w:cs="Times New Roman"/>
          <w:szCs w:val="24"/>
          <w:lang w:val="fr-CA"/>
        </w:rPr>
        <w:lastRenderedPageBreak/>
        <w:t>Cour d’appel, par. 15, citant une entrevue avec M. Bureau-Blouin)</w:t>
      </w:r>
      <w:r w:rsidRPr="00A36157">
        <w:rPr>
          <w:rFonts w:cs="Times New Roman"/>
          <w:lang w:val="fr-CA"/>
        </w:rPr>
        <w:t xml:space="preserve">. Il s’installe alors au Québec une crise de légitimité et de désobéissance civile qui empoisonne le climat social. </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szCs w:val="24"/>
          <w:lang w:val="fr-CA"/>
        </w:rPr>
        <w:t>Pour résoudre cette impasse, l’Assemblée nationale du Québec adopte le 18 mai 2012 une loi spéciale (</w:t>
      </w:r>
      <w:r w:rsidRPr="00A36157">
        <w:rPr>
          <w:rFonts w:cs="Times New Roman"/>
          <w:i/>
          <w:szCs w:val="24"/>
          <w:lang w:val="fr-CA"/>
        </w:rPr>
        <w:t>Loi permettant aux étudiants de recevoir l’enseignement dispensé par les établissements de niveau postsecondaire qu’ils fréquentent</w:t>
      </w:r>
      <w:r w:rsidRPr="00A36157">
        <w:rPr>
          <w:rFonts w:cs="Times New Roman"/>
          <w:szCs w:val="24"/>
          <w:lang w:val="fr-CA"/>
        </w:rPr>
        <w:t>, L.Q. 2012, c. 12 (la « </w:t>
      </w:r>
      <w:r w:rsidRPr="00A36157">
        <w:rPr>
          <w:rFonts w:cs="Times New Roman"/>
          <w:i/>
          <w:szCs w:val="24"/>
          <w:lang w:val="fr-CA"/>
        </w:rPr>
        <w:t>Loi 12</w:t>
      </w:r>
      <w:r w:rsidRPr="00A36157">
        <w:rPr>
          <w:rFonts w:cs="Times New Roman"/>
          <w:szCs w:val="24"/>
          <w:lang w:val="fr-CA"/>
        </w:rPr>
        <w:t xml:space="preserve"> »)), qui prévoit entre autres que : </w:t>
      </w:r>
    </w:p>
    <w:p w:rsidR="00A36157" w:rsidRPr="00A36157" w:rsidRDefault="00A36157" w:rsidP="003223DD">
      <w:pPr>
        <w:pStyle w:val="Citation-AltC"/>
        <w:widowControl w:val="0"/>
        <w:rPr>
          <w:lang w:val="fr-CA"/>
        </w:rPr>
      </w:pPr>
      <w:r w:rsidRPr="00A36157">
        <w:rPr>
          <w:b/>
          <w:lang w:val="fr-CA"/>
        </w:rPr>
        <w:t>13.</w:t>
      </w:r>
      <w:r w:rsidRPr="00A36157">
        <w:rPr>
          <w:lang w:val="fr-CA"/>
        </w:rPr>
        <w:t> Nul ne peut, par un acte ou une omission, entraver le droit d’un étudiant de recevoir l’enseignement dispensé par l’établissement d’enseignement qu’il fréquente, faire obstacle ou nuire à la reprise ou au maintien des services d’enseignement d’un établissement ou à l’exécution par les salariés de leur prestation de travail relative à ces services, ni contribuer directement ou indirectement à ralentir, altérer ou retarder la reprise ou le maintien de ces services ou l’exécution de cette prestation.</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szCs w:val="24"/>
          <w:lang w:val="fr-CA"/>
        </w:rPr>
        <w:t>Cette loi spéciale in</w:t>
      </w:r>
      <w:r w:rsidR="00817F29">
        <w:rPr>
          <w:rFonts w:cs="Times New Roman"/>
          <w:szCs w:val="24"/>
          <w:lang w:val="fr-CA"/>
        </w:rPr>
        <w:t>terdit également à quiconque d’</w:t>
      </w:r>
      <w:r w:rsidRPr="00A36157">
        <w:rPr>
          <w:rFonts w:cs="Times New Roman"/>
          <w:szCs w:val="24"/>
          <w:lang w:val="fr-CA"/>
        </w:rPr>
        <w:t xml:space="preserve">« entraver l’accès d’une personne à un lieu où elle a le droit ou le devoir d’accéder pour y bénéficier des services d’un établissement ou pour y exercer des fonctions » (art. 14). Finalement, la loi oblige le personnel d’un établissement, y compris les professeurs, à se présenter au travail et à accomplir toutes </w:t>
      </w:r>
      <w:r w:rsidR="0075146A">
        <w:rPr>
          <w:rFonts w:cs="Times New Roman"/>
          <w:szCs w:val="24"/>
          <w:lang w:val="fr-CA"/>
        </w:rPr>
        <w:t>se</w:t>
      </w:r>
      <w:r w:rsidRPr="00A36157">
        <w:rPr>
          <w:rFonts w:cs="Times New Roman"/>
          <w:szCs w:val="24"/>
          <w:lang w:val="fr-CA"/>
        </w:rPr>
        <w:t>s tâches habituelles (art. 10 et 11).</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szCs w:val="24"/>
          <w:lang w:val="fr-CA"/>
        </w:rPr>
        <w:t>Au même moment, la Ville de Montréal adopte un nouveau règlement (</w:t>
      </w:r>
      <w:r w:rsidRPr="00A36157">
        <w:rPr>
          <w:rFonts w:cs="Times New Roman"/>
          <w:i/>
          <w:szCs w:val="24"/>
          <w:lang w:val="fr-CA"/>
        </w:rPr>
        <w:t>Règlement modifiant le Règlement sur la prévention des troubles de la paix, de la sécurité et de l’ordre publics, et sur l’utilisation du domaine public</w:t>
      </w:r>
      <w:r w:rsidRPr="00A36157">
        <w:rPr>
          <w:rFonts w:cs="Times New Roman"/>
          <w:szCs w:val="24"/>
          <w:lang w:val="fr-CA"/>
        </w:rPr>
        <w:t xml:space="preserve">, Règl. 12-024, 18 mai 2012) qui oblige les organisateurs de manifestation à fournir à l’avance aux </w:t>
      </w:r>
      <w:r w:rsidRPr="00A36157">
        <w:rPr>
          <w:rFonts w:cs="Times New Roman"/>
          <w:szCs w:val="24"/>
          <w:lang w:val="fr-CA"/>
        </w:rPr>
        <w:lastRenderedPageBreak/>
        <w:t>autorités le lieu et l’itinéraire que choisiront les manifestants (ajoutant l’art. 2.1 au R.R.V.M., c. P-6).</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Suite au prononcé des ordonnances d’injonction, l’intimé et M. Bureau-Blouin accordent au réseau d’information RDI (un service télévisuel de Radio-Canada), le 13 mai 2012, une entrevue télévisée portant sur le conflit étudiant. Les deux leaders « profitent de l’occasion [. . .] pour s’adresser à leurs membres et sympathisants ainsi qu’à la population du Québec » (jugement de première instance, par. 24).</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Au cours de l’entrevue, qui survient au paroxysme du conflit, la journaliste rappelle aux deux leaders étudiants que le Collège de Rosemont incite les étudiants à revenir en classe, puis pose la question suivante à M. Bureau-Blouin :</w:t>
      </w:r>
    </w:p>
    <w:p w:rsidR="00A36157" w:rsidRPr="00A36157" w:rsidRDefault="00A36157" w:rsidP="003223DD">
      <w:pPr>
        <w:pStyle w:val="Citation-AltC"/>
        <w:widowControl w:val="0"/>
        <w:rPr>
          <w:lang w:val="fr-CA"/>
        </w:rPr>
      </w:pPr>
      <w:r w:rsidRPr="00A36157">
        <w:rPr>
          <w:lang w:val="fr-CA"/>
        </w:rPr>
        <w:t>Vous de votre côté, est-ce que vous invitez toujours les grévistes à ériger des piquets de grève pour empêcher les étudiants d’entrer</w:t>
      </w:r>
      <w:r w:rsidR="00817F29">
        <w:rPr>
          <w:lang w:val="fr-CA"/>
        </w:rPr>
        <w:t xml:space="preserve"> </w:t>
      </w:r>
      <w:r w:rsidRPr="00A36157">
        <w:rPr>
          <w:lang w:val="fr-CA"/>
        </w:rPr>
        <w:t>. . . [le Collège] Lionel-Groulx également</w:t>
      </w:r>
      <w:r w:rsidR="00817F29">
        <w:rPr>
          <w:lang w:val="fr-CA"/>
        </w:rPr>
        <w:t xml:space="preserve"> </w:t>
      </w:r>
      <w:r w:rsidRPr="00A36157">
        <w:rPr>
          <w:lang w:val="fr-CA"/>
        </w:rPr>
        <w:t>. . . il y a des injonctions un peu partout dans certains cégeps</w:t>
      </w:r>
      <w:r w:rsidR="00817F29">
        <w:rPr>
          <w:lang w:val="fr-CA"/>
        </w:rPr>
        <w:t xml:space="preserve"> </w:t>
      </w:r>
      <w:r w:rsidRPr="00A36157">
        <w:rPr>
          <w:lang w:val="fr-CA"/>
        </w:rPr>
        <w:t>. . .?</w:t>
      </w:r>
    </w:p>
    <w:p w:rsidR="00A36157" w:rsidRPr="00A36157" w:rsidRDefault="00A36157" w:rsidP="003223DD">
      <w:pPr>
        <w:pStyle w:val="Citation-AltC"/>
        <w:widowControl w:val="0"/>
        <w:rPr>
          <w:lang w:val="fr-CA"/>
        </w:rPr>
      </w:pPr>
    </w:p>
    <w:p w:rsidR="00A36157" w:rsidRPr="00A36157" w:rsidRDefault="00A36157" w:rsidP="003223DD">
      <w:pPr>
        <w:pStyle w:val="Citation-AltC"/>
        <w:widowControl w:val="0"/>
        <w:ind w:left="0"/>
        <w:rPr>
          <w:lang w:val="fr-CA"/>
        </w:rPr>
      </w:pPr>
      <w:r w:rsidRPr="00A36157">
        <w:rPr>
          <w:lang w:val="fr-CA"/>
        </w:rPr>
        <w:t>(Jugement de la Cour d’appel, par. 15)</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Conscient de la nature et de la portée des ordonnances d’injonction déjà prononcées, comme en témoignent ses propos, M. Bureau-Blouin conseille aux auditeurs de respecter les ordonnances des tribunaux :</w:t>
      </w:r>
    </w:p>
    <w:p w:rsidR="00A36157" w:rsidRPr="00817F29" w:rsidRDefault="00A36157" w:rsidP="003223DD">
      <w:pPr>
        <w:pStyle w:val="Citation-AltC"/>
        <w:widowControl w:val="0"/>
        <w:rPr>
          <w:lang w:val="fr-CA"/>
        </w:rPr>
      </w:pPr>
      <w:r w:rsidRPr="00A36157">
        <w:rPr>
          <w:lang w:val="fr-CA"/>
        </w:rPr>
        <w:t xml:space="preserve">Il n’y a pas de manifestation qui est organisée directement par la fédération, mais à chaque fois qui a des retours comme ça forcés en classe, évidemment ça amène des piquets justement qui s’érigent devant le collège, </w:t>
      </w:r>
      <w:r w:rsidRPr="00A36157">
        <w:rPr>
          <w:u w:val="single"/>
          <w:lang w:val="fr-CA"/>
        </w:rPr>
        <w:t xml:space="preserve">c’est sûr que nous on a invité les étudiants par exemple à respecter les injonctions hein, quand y a des ordres précis de la Cour, pour ne pas </w:t>
      </w:r>
      <w:r w:rsidRPr="00A36157">
        <w:rPr>
          <w:u w:val="single"/>
          <w:lang w:val="fr-CA"/>
        </w:rPr>
        <w:lastRenderedPageBreak/>
        <w:t>bloquer le passage de certains étudiants, ça je pense que c’est important qu’on les respecte</w:t>
      </w:r>
      <w:r w:rsidRPr="00A36157">
        <w:rPr>
          <w:lang w:val="fr-CA"/>
        </w:rPr>
        <w:t xml:space="preserve">, </w:t>
      </w:r>
      <w:r w:rsidRPr="00A36157">
        <w:rPr>
          <w:lang w:val="fr-CA" w:eastAsia="en-US"/>
        </w:rPr>
        <w:t>mais c’est sûr que la décision du Collège de Rosemont, je pense c’est une décision qui est dangereuse qui peut potentiellement amener des tensions parce que dans un premier temps c’est un vote qui a été pris de manière démocratique quand même par les étudiants donc ça crée un malaise pour les enseignants de franchir justement ces piquets de grève là ou de malgré le vote d’aller donner les cours mais surtout aussi que ça amène des tensions parce qu’il y a des étudiants qui veulent entrer en classe, y en a d’autres qui veulent pas que les cours reprenne</w:t>
      </w:r>
      <w:r w:rsidR="00817F29">
        <w:rPr>
          <w:lang w:val="fr-CA" w:eastAsia="en-US"/>
        </w:rPr>
        <w:t>nt et ça amène des écha</w:t>
      </w:r>
      <w:r w:rsidRPr="00A36157">
        <w:rPr>
          <w:lang w:val="fr-CA" w:eastAsia="en-US"/>
        </w:rPr>
        <w:t>uffourées, potentiellement des bagarres alors qu’en ce moment justement on essaie de pacifier le conflit et ça marche parce que depuis quelques jours la situation est un peu plus calme à Montréal.</w:t>
      </w:r>
      <w:r w:rsidRPr="00A36157">
        <w:rPr>
          <w:lang w:val="fr-CA"/>
        </w:rPr>
        <w:t xml:space="preserve"> </w:t>
      </w:r>
      <w:r w:rsidRPr="00817F29">
        <w:rPr>
          <w:lang w:val="fr-CA"/>
        </w:rPr>
        <w:t>[Je souligne.]</w:t>
      </w:r>
    </w:p>
    <w:p w:rsidR="00A36157" w:rsidRPr="00817F29" w:rsidRDefault="00A36157" w:rsidP="003223DD">
      <w:pPr>
        <w:pStyle w:val="Citation-AltC"/>
        <w:widowControl w:val="0"/>
        <w:rPr>
          <w:lang w:val="fr-CA"/>
        </w:rPr>
      </w:pPr>
    </w:p>
    <w:p w:rsidR="00A36157" w:rsidRPr="00817F29" w:rsidRDefault="00A36157" w:rsidP="003223DD">
      <w:pPr>
        <w:pStyle w:val="Citation-AltC"/>
        <w:widowControl w:val="0"/>
        <w:ind w:left="0"/>
        <w:rPr>
          <w:lang w:val="fr-CA"/>
        </w:rPr>
      </w:pPr>
      <w:r w:rsidRPr="00817F29">
        <w:rPr>
          <w:lang w:val="fr-CA"/>
        </w:rPr>
        <w:t>(Jugement de la Cour d’appel, par. 15)</w:t>
      </w:r>
    </w:p>
    <w:p w:rsidR="00A36157" w:rsidRPr="00240EF8" w:rsidRDefault="00A36157" w:rsidP="003223DD">
      <w:pPr>
        <w:pStyle w:val="ParaNoNdepar-AltN"/>
        <w:widowControl w:val="0"/>
        <w:tabs>
          <w:tab w:val="clear" w:pos="1166"/>
          <w:tab w:val="clear" w:pos="1512"/>
          <w:tab w:val="num" w:pos="1152"/>
        </w:tabs>
        <w:ind w:left="0"/>
        <w:rPr>
          <w:rFonts w:cs="Times New Roman"/>
        </w:rPr>
      </w:pPr>
      <w:r w:rsidRPr="00A36157">
        <w:rPr>
          <w:rFonts w:cs="Times New Roman"/>
          <w:lang w:val="fr-CA"/>
        </w:rPr>
        <w:t xml:space="preserve">L’intimé emprunte pour sa part une tout autre approche. Après avoir entendu la réponse de M. Bureau-Blouin, la journaliste pose une question similaire à l’intimé : « . . . on réagit comment devant ce retour en classe demain, est-ce que bon vous, de votre côté, vous encouragez encore les piquets de grève pour empêcher [les étudiants d’entrer]? » </w:t>
      </w:r>
      <w:r w:rsidRPr="00240EF8">
        <w:rPr>
          <w:rFonts w:cs="Times New Roman"/>
        </w:rPr>
        <w:t>L’intimé répond ce qui suit :</w:t>
      </w:r>
    </w:p>
    <w:p w:rsidR="00A36157" w:rsidRPr="00240EF8" w:rsidRDefault="00A36157" w:rsidP="003223DD">
      <w:pPr>
        <w:pStyle w:val="Citation-AltC"/>
        <w:widowControl w:val="0"/>
      </w:pPr>
      <w:r w:rsidRPr="00A36157">
        <w:rPr>
          <w:lang w:val="fr-CA"/>
        </w:rPr>
        <w:t xml:space="preserve">Ce qui est clair c’est que ces décisions-là, ces tentatives-là de forcer le retour en classe, ça ne fonctionne jamais parce que les étudiants et les étudiantes qui sont en grève depuis 13 semaines sont solidaires les uns les autres, respectent, de manière générale là, respectent la volonté démocratique qui s’est exprimée à travers le vote de grève et </w:t>
      </w:r>
      <w:r w:rsidRPr="00A36157">
        <w:rPr>
          <w:u w:val="single"/>
          <w:lang w:val="fr-CA"/>
        </w:rPr>
        <w:t>je crois qu’il est tout à fait légitime pour les étudiants et étudiantes de prendre les moyens pour faire respecter le choix démocratique qui a été fait d’aller en grève. C’est tout à fait regrettable là qu’il y ait vraiment une minorité d’étudiants et d’étudiantes qui utilisent les tribunaux pour contourner la décision collective qui a été prise. Donc nous, on trouve ça tout à fait légitime là, que les gens prennent les moyens nécessaires pour faire respecter le vote de grève et si ça prend des lignes de piquetage, on croit que c’est un moyen tout à fait légitime de le faire.</w:t>
      </w:r>
      <w:r w:rsidRPr="00A36157">
        <w:rPr>
          <w:lang w:val="fr-CA"/>
        </w:rPr>
        <w:t xml:space="preserve"> </w:t>
      </w:r>
      <w:r w:rsidRPr="00240EF8">
        <w:t>[Je souligne.]</w:t>
      </w:r>
    </w:p>
    <w:p w:rsidR="00A36157" w:rsidRPr="00240EF8" w:rsidRDefault="00A36157" w:rsidP="003223DD">
      <w:pPr>
        <w:pStyle w:val="Citation-AltC"/>
        <w:widowControl w:val="0"/>
      </w:pPr>
    </w:p>
    <w:p w:rsidR="00A36157" w:rsidRPr="00240EF8" w:rsidRDefault="00A36157" w:rsidP="003223DD">
      <w:pPr>
        <w:pStyle w:val="Citation-AltC"/>
        <w:widowControl w:val="0"/>
        <w:ind w:left="0"/>
      </w:pPr>
      <w:r w:rsidRPr="00240EF8">
        <w:t>(Jugement de la Cour d’appel, par. 15)</w:t>
      </w:r>
    </w:p>
    <w:p w:rsidR="00A36157" w:rsidRPr="00240EF8" w:rsidRDefault="00A36157" w:rsidP="003223DD">
      <w:pPr>
        <w:pStyle w:val="Title2LevelTitre2Niveau"/>
        <w:widowControl w:val="0"/>
        <w:numPr>
          <w:ilvl w:val="1"/>
          <w:numId w:val="3"/>
        </w:numPr>
        <w:jc w:val="both"/>
        <w:rPr>
          <w:rFonts w:cs="Times New Roman"/>
          <w:lang w:val="fr-CA"/>
        </w:rPr>
      </w:pPr>
      <w:r w:rsidRPr="00240EF8">
        <w:rPr>
          <w:rFonts w:cs="Times New Roman"/>
          <w:lang w:val="fr-CA"/>
        </w:rPr>
        <w:lastRenderedPageBreak/>
        <w:t>Jugements à l’origine de ce pourvoi</w:t>
      </w:r>
    </w:p>
    <w:p w:rsidR="00A36157" w:rsidRPr="00240EF8" w:rsidRDefault="00A36157" w:rsidP="003223DD">
      <w:pPr>
        <w:pStyle w:val="ParaNoNdepar-AltN"/>
        <w:widowControl w:val="0"/>
        <w:tabs>
          <w:tab w:val="clear" w:pos="1166"/>
          <w:tab w:val="clear" w:pos="1512"/>
          <w:tab w:val="num" w:pos="1152"/>
        </w:tabs>
        <w:ind w:left="0"/>
        <w:rPr>
          <w:rFonts w:cs="Times New Roman"/>
        </w:rPr>
      </w:pPr>
      <w:r w:rsidRPr="00A36157">
        <w:rPr>
          <w:rFonts w:cs="Times New Roman"/>
          <w:lang w:val="fr-CA"/>
        </w:rPr>
        <w:t xml:space="preserve">Deux jours après l’entrevue, l’appelant présente, en vertu de l’art. 53 </w:t>
      </w:r>
      <w:r w:rsidRPr="00A36157">
        <w:rPr>
          <w:rFonts w:cs="Times New Roman"/>
          <w:i/>
          <w:lang w:val="fr-CA"/>
        </w:rPr>
        <w:t>C.p.c.</w:t>
      </w:r>
      <w:r w:rsidRPr="00A36157">
        <w:rPr>
          <w:rFonts w:cs="Times New Roman"/>
          <w:lang w:val="fr-CA"/>
        </w:rPr>
        <w:t xml:space="preserve">, une requête demandant que l’intimé soit assigné à comparaître pour répondre à une accusation d’outrage au tribunal. Il invoque l’art. 761 </w:t>
      </w:r>
      <w:r w:rsidRPr="00A36157">
        <w:rPr>
          <w:rFonts w:cs="Times New Roman"/>
          <w:i/>
          <w:lang w:val="fr-CA"/>
        </w:rPr>
        <w:t>C.p.c.</w:t>
      </w:r>
      <w:r w:rsidRPr="00A36157">
        <w:rPr>
          <w:rFonts w:cs="Times New Roman"/>
          <w:lang w:val="fr-CA"/>
        </w:rPr>
        <w:t xml:space="preserve"> et soutient que, par ses propos lors de l’entrevue télévisée, l’intimé a contrevenu à l’Ordonnance de sauvegarde. </w:t>
      </w:r>
      <w:r w:rsidRPr="00240EF8">
        <w:rPr>
          <w:rFonts w:cs="Times New Roman"/>
        </w:rPr>
        <w:t>Cet article était rédigé ainsi :</w:t>
      </w:r>
    </w:p>
    <w:p w:rsidR="00A36157" w:rsidRPr="00A36157" w:rsidRDefault="00A36157" w:rsidP="003223DD">
      <w:pPr>
        <w:pStyle w:val="Citation-AltC"/>
        <w:widowControl w:val="0"/>
        <w:rPr>
          <w:lang w:val="fr-CA"/>
        </w:rPr>
      </w:pPr>
      <w:r w:rsidRPr="00A36157">
        <w:rPr>
          <w:b/>
          <w:lang w:val="fr-CA"/>
        </w:rPr>
        <w:t>761.</w:t>
      </w:r>
      <w:r w:rsidRPr="00A36157">
        <w:rPr>
          <w:lang w:val="fr-CA"/>
        </w:rPr>
        <w:t xml:space="preserve"> Toute personne nommée ou désignée dans une ordonnance d’injonction, qui la transgresse ou refuse d’y obéir, de même que toute personne non désignée qui y contrevient sciemment, se rendent coupables d’outrage au tribunal et peuvent être condamnées à une amende n’excédant pas 50 000 $, avec ou sans emprisonnement pour une durée d’au plus un an, et sans préjudice à tous recours en dommages-intérêts. Ces pénalités peuvent être infligées derechef jusqu’à ce que le contrevenant se soit conformé à l’injonction.</w:t>
      </w:r>
    </w:p>
    <w:p w:rsidR="00A36157" w:rsidRPr="00A36157" w:rsidRDefault="00A36157" w:rsidP="003223DD">
      <w:pPr>
        <w:pStyle w:val="Citation-AltC"/>
        <w:widowControl w:val="0"/>
        <w:rPr>
          <w:lang w:val="fr-CA"/>
        </w:rPr>
      </w:pPr>
    </w:p>
    <w:p w:rsidR="00A36157" w:rsidRPr="00A36157" w:rsidRDefault="00A36157" w:rsidP="003223DD">
      <w:pPr>
        <w:pStyle w:val="Citation-AltC"/>
        <w:widowControl w:val="0"/>
        <w:rPr>
          <w:lang w:val="fr-CA"/>
        </w:rPr>
      </w:pPr>
      <w:r w:rsidRPr="00A36157">
        <w:rPr>
          <w:lang w:val="fr-CA"/>
        </w:rPr>
        <w:t>Le tribunal peut également ordonner que ce qui a été fait en contravention à l’injonction soit détruit ou enlevé, s’il y a lieu.</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 xml:space="preserve">Le 17 mai 2012, le juge Jacques de la Cour supérieure enjoint à l’intimé de comparaître (2012 QCCS 2141). Dans ses motifs, le juge reproduit l’art. 761 al. 1 </w:t>
      </w:r>
      <w:r w:rsidRPr="00A36157">
        <w:rPr>
          <w:rFonts w:cs="Times New Roman"/>
          <w:i/>
          <w:lang w:val="fr-CA"/>
        </w:rPr>
        <w:t>C.p.c.</w:t>
      </w:r>
      <w:r w:rsidRPr="00A36157">
        <w:rPr>
          <w:rFonts w:cs="Times New Roman"/>
          <w:lang w:val="fr-CA"/>
        </w:rPr>
        <w:t xml:space="preserve">, ainsi que l’art. 50 al. 1 </w:t>
      </w:r>
      <w:r w:rsidRPr="00A36157">
        <w:rPr>
          <w:rFonts w:cs="Times New Roman"/>
          <w:i/>
          <w:lang w:val="fr-CA"/>
        </w:rPr>
        <w:t>C.p.c.</w:t>
      </w:r>
      <w:r w:rsidRPr="00A36157">
        <w:rPr>
          <w:rFonts w:cs="Times New Roman"/>
          <w:lang w:val="fr-CA"/>
        </w:rPr>
        <w:t xml:space="preserve">, lequel prévoyait ce qui suit : </w:t>
      </w:r>
    </w:p>
    <w:p w:rsidR="00A36157" w:rsidRPr="00A36157" w:rsidRDefault="00A36157" w:rsidP="003223DD">
      <w:pPr>
        <w:pStyle w:val="Citation-AltC"/>
        <w:widowControl w:val="0"/>
        <w:rPr>
          <w:lang w:val="fr-CA"/>
        </w:rPr>
      </w:pPr>
      <w:r w:rsidRPr="00A36157">
        <w:rPr>
          <w:b/>
          <w:lang w:val="fr-CA"/>
        </w:rPr>
        <w:t>50.</w:t>
      </w:r>
      <w:r w:rsidRPr="00A36157">
        <w:rPr>
          <w:lang w:val="fr-CA"/>
        </w:rPr>
        <w:t xml:space="preserve"> Est coupable d’outrage au tribunal celui qui contrevient à une ordonnance ou à une injonction du tribunal ou d’un de ses juges, ou qui agit de manière, soit à entraver le cours normal de l’administration de la justice, soit à porter atteinte à l’autorité ou à la dignité du tribunal.</w:t>
      </w:r>
    </w:p>
    <w:p w:rsidR="00A36157" w:rsidRPr="00A36157" w:rsidRDefault="00A36157" w:rsidP="003223DD">
      <w:pPr>
        <w:pStyle w:val="ContinueParaSuitedupar-AltP"/>
        <w:widowControl w:val="0"/>
        <w:rPr>
          <w:rFonts w:cs="Times New Roman"/>
          <w:lang w:val="fr-CA"/>
        </w:rPr>
      </w:pPr>
      <w:r w:rsidRPr="00A36157">
        <w:rPr>
          <w:rFonts w:cs="Times New Roman"/>
          <w:lang w:val="fr-CA"/>
        </w:rPr>
        <w:t xml:space="preserve">Le juge décrit ainsi les prétentions de l’appelant : </w:t>
      </w:r>
    </w:p>
    <w:p w:rsidR="00A36157" w:rsidRPr="00240EF8" w:rsidRDefault="00A36157" w:rsidP="003223DD">
      <w:pPr>
        <w:pStyle w:val="Citation-AltC"/>
        <w:widowControl w:val="0"/>
        <w:ind w:firstLine="274"/>
      </w:pPr>
      <w:r w:rsidRPr="00A36157">
        <w:rPr>
          <w:lang w:val="fr-CA"/>
        </w:rPr>
        <w:lastRenderedPageBreak/>
        <w:t xml:space="preserve">. . . le demandeur [Jean-François Morasse] allègue que le défendeur Gabriel Nadeau-Dubois [. . .] a, sur les ondes du réseau de télévision RDI, </w:t>
      </w:r>
      <w:r w:rsidRPr="00A36157">
        <w:rPr>
          <w:u w:val="single"/>
          <w:lang w:val="fr-CA"/>
        </w:rPr>
        <w:t>incité publiquement les gens à contrevenir à l’ordonnance rendue</w:t>
      </w:r>
      <w:r w:rsidRPr="00A36157">
        <w:rPr>
          <w:lang w:val="fr-CA"/>
        </w:rPr>
        <w:t xml:space="preserve"> [par le juge Émond] en empêchant les étudiants et étudiantes, dont le demandeur, à avoir accès à leurs cours . . . </w:t>
      </w:r>
      <w:r w:rsidRPr="00240EF8">
        <w:t>[Je souligne; par. 3 (CanLII).]</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 xml:space="preserve">Au procès, l’intimé ― qui n’a pas témoigné comme c’était son droit le plus strict ― invoque des arguments basés à la fois sur la dernière partie de l’art. 50 al. 1 </w:t>
      </w:r>
      <w:r w:rsidRPr="00A36157">
        <w:rPr>
          <w:rFonts w:cs="Times New Roman"/>
          <w:i/>
          <w:lang w:val="fr-CA"/>
        </w:rPr>
        <w:t>C.p.c.</w:t>
      </w:r>
      <w:r w:rsidRPr="00A36157">
        <w:rPr>
          <w:rFonts w:cs="Times New Roman"/>
          <w:lang w:val="fr-CA"/>
        </w:rPr>
        <w:t xml:space="preserve">, et sur l’art. 761 al. 1 </w:t>
      </w:r>
      <w:r w:rsidRPr="00A36157">
        <w:rPr>
          <w:rFonts w:cs="Times New Roman"/>
          <w:i/>
          <w:lang w:val="fr-CA"/>
        </w:rPr>
        <w:t>C.p.c.</w:t>
      </w:r>
      <w:r w:rsidRPr="00A36157">
        <w:rPr>
          <w:rFonts w:cs="Times New Roman"/>
          <w:lang w:val="fr-CA"/>
        </w:rPr>
        <w:t xml:space="preserve"> Le juge de première instance le reconnaît néanmoins coupable d’outrage au tribunal en vertu de la dernière partie de l’art. 50 al. 1 </w:t>
      </w:r>
      <w:r w:rsidRPr="00A36157">
        <w:rPr>
          <w:rFonts w:cs="Times New Roman"/>
          <w:i/>
          <w:lang w:val="fr-CA"/>
        </w:rPr>
        <w:t>C.p.c.</w:t>
      </w:r>
      <w:r w:rsidRPr="00A36157">
        <w:rPr>
          <w:rFonts w:cs="Times New Roman"/>
          <w:lang w:val="fr-CA"/>
        </w:rPr>
        <w:t xml:space="preserve"> étant d’avis, au-delà de tout doute raisonnable, que l’intimé connaissait pertinemment la nature des ordonnances d’injonction prononcées, dont l’Ordonnance de sauvegarde, que ses propos ont incité au non-respect de ces ordonnances et qu’il a intentionnellement agi de manière à porter atteinte à l’autorité du tribunal. Le juge ajoute que l’art. 761 al. 1 </w:t>
      </w:r>
      <w:r w:rsidRPr="00A36157">
        <w:rPr>
          <w:rFonts w:cs="Times New Roman"/>
          <w:i/>
          <w:lang w:val="fr-CA"/>
        </w:rPr>
        <w:t>C.p.c.</w:t>
      </w:r>
      <w:r w:rsidRPr="00A36157">
        <w:rPr>
          <w:rFonts w:cs="Times New Roman"/>
          <w:lang w:val="fr-CA"/>
        </w:rPr>
        <w:t xml:space="preserve"> ne s’appliquait pas en l’espèce, car l’intimé n’était pas directement ou nommément visé par l’Ordonnance de sauvegarde. Finalement, il condamne l’intimé à accomplir 120 heures de travaux communautaires, tout en soulignant au passage qu’en incitant les citoyens à contrevenir à une ordonnance du tribunal, l’intimé « a outrepassé une règle fondamentale de notre société fondée sur l’état de droit » (jugement sur la peine, par. 65).</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 xml:space="preserve">La Cour d’appel infirme le jugement. Elle estime que la connaissance </w:t>
      </w:r>
      <w:r w:rsidRPr="00A36157">
        <w:rPr>
          <w:rFonts w:cs="Times New Roman"/>
          <w:i/>
          <w:lang w:val="fr-CA"/>
        </w:rPr>
        <w:t>spécifique</w:t>
      </w:r>
      <w:r w:rsidRPr="00A36157">
        <w:rPr>
          <w:rFonts w:cs="Times New Roman"/>
          <w:lang w:val="fr-CA"/>
        </w:rPr>
        <w:t xml:space="preserve"> de l’Ordonnance de sauvegarde est requise et que, tout comme la connaissance de l’</w:t>
      </w:r>
      <w:r w:rsidRPr="00A36157">
        <w:rPr>
          <w:rFonts w:cs="Times New Roman"/>
          <w:i/>
          <w:lang w:val="fr-CA"/>
        </w:rPr>
        <w:t>actus reus</w:t>
      </w:r>
      <w:r w:rsidRPr="00A36157">
        <w:rPr>
          <w:rFonts w:cs="Times New Roman"/>
          <w:lang w:val="fr-CA"/>
        </w:rPr>
        <w:t>, cette connaissance n’a pas été établie hors de tout doute raisonnable.</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szCs w:val="24"/>
          <w:lang w:val="fr-CA"/>
        </w:rPr>
        <w:lastRenderedPageBreak/>
        <w:t>A</w:t>
      </w:r>
      <w:r w:rsidRPr="00A36157">
        <w:rPr>
          <w:rFonts w:cs="Times New Roman"/>
          <w:spacing w:val="-3"/>
          <w:lang w:val="fr-CA"/>
        </w:rPr>
        <w:t xml:space="preserve">vec égards, la Cour d’appel a selon moi </w:t>
      </w:r>
      <w:r w:rsidRPr="00A36157">
        <w:rPr>
          <w:rFonts w:cs="Times New Roman"/>
          <w:szCs w:val="24"/>
          <w:lang w:val="fr-CA"/>
        </w:rPr>
        <w:t xml:space="preserve">eu tort d’infirmer la décision du juge de première instance. Puisque la conclusion du juge de première instance, selon laquelle l’art. 761 </w:t>
      </w:r>
      <w:r w:rsidRPr="00A36157">
        <w:rPr>
          <w:rFonts w:cs="Times New Roman"/>
          <w:i/>
          <w:szCs w:val="24"/>
          <w:lang w:val="fr-CA"/>
        </w:rPr>
        <w:t>C.p.c.</w:t>
      </w:r>
      <w:r w:rsidRPr="00A36157">
        <w:rPr>
          <w:rFonts w:cs="Times New Roman"/>
          <w:szCs w:val="24"/>
          <w:lang w:val="fr-CA"/>
        </w:rPr>
        <w:t xml:space="preserve"> ne s’appliquait pas, n’était pas contestée devant la Cour d’appel et devant notre Cour, l’analyse porte essentiellement sur l’art. 50 al. 1 </w:t>
      </w:r>
      <w:r w:rsidRPr="00A36157">
        <w:rPr>
          <w:rFonts w:cs="Times New Roman"/>
          <w:i/>
          <w:szCs w:val="24"/>
          <w:lang w:val="fr-CA"/>
        </w:rPr>
        <w:t>C.p.c.</w:t>
      </w:r>
      <w:r w:rsidRPr="00A36157">
        <w:rPr>
          <w:rFonts w:cs="Times New Roman"/>
          <w:szCs w:val="24"/>
          <w:lang w:val="fr-CA"/>
        </w:rPr>
        <w:t xml:space="preserve"> En matière d’outrage au tribunal fondé sur la dernière partie de cet alinéa,</w:t>
      </w:r>
      <w:r w:rsidRPr="00A36157">
        <w:rPr>
          <w:rFonts w:cs="Times New Roman"/>
          <w:i/>
          <w:szCs w:val="24"/>
          <w:lang w:val="fr-CA"/>
        </w:rPr>
        <w:t xml:space="preserve"> </w:t>
      </w:r>
      <w:r w:rsidRPr="00A36157">
        <w:rPr>
          <w:rFonts w:cs="Times New Roman"/>
          <w:szCs w:val="24"/>
          <w:lang w:val="fr-CA"/>
        </w:rPr>
        <w:t xml:space="preserve">j’estime que la preuve de la connaissance </w:t>
      </w:r>
      <w:r w:rsidRPr="00A36157">
        <w:rPr>
          <w:rFonts w:cs="Times New Roman"/>
          <w:i/>
          <w:szCs w:val="24"/>
          <w:lang w:val="fr-CA"/>
        </w:rPr>
        <w:t>spécifique</w:t>
      </w:r>
      <w:r w:rsidRPr="00A36157">
        <w:rPr>
          <w:rFonts w:cs="Times New Roman"/>
          <w:szCs w:val="24"/>
          <w:lang w:val="fr-CA"/>
        </w:rPr>
        <w:t xml:space="preserve"> de l’ordonnance n’est pas requise. Il suffit, pour le poursuivant en semblable matière, d’établir hors de tout doute raisonnable que le défendeur savait que des ordonnances existaient et qu’elles contenaient, comme l’Ordonnance de sauvegarde, les mêmes termes qu’il a incité les citoyens à violer. En ce qui concerne l’</w:t>
      </w:r>
      <w:r w:rsidRPr="00A36157">
        <w:rPr>
          <w:rFonts w:cs="Times New Roman"/>
          <w:i/>
          <w:szCs w:val="24"/>
          <w:lang w:val="fr-CA"/>
        </w:rPr>
        <w:t>actus reus</w:t>
      </w:r>
      <w:r w:rsidRPr="00A36157">
        <w:rPr>
          <w:rFonts w:cs="Times New Roman"/>
          <w:szCs w:val="24"/>
          <w:lang w:val="fr-CA"/>
        </w:rPr>
        <w:t xml:space="preserve">, la Cour d’appel a, à mon sens, erronément substitué sa propre évaluation des propos de l’intimé à celle du juge de première instance. Finalement, </w:t>
      </w:r>
      <w:r w:rsidRPr="00240EF8">
        <w:rPr>
          <w:rFonts w:cs="Times New Roman"/>
          <w:lang w:val="fr-FR"/>
        </w:rPr>
        <w:t xml:space="preserve">je suis d’avis que la conclusion du juge de première instance sur la preuve de la </w:t>
      </w:r>
      <w:r w:rsidRPr="00240EF8">
        <w:rPr>
          <w:rFonts w:cs="Times New Roman"/>
          <w:i/>
          <w:lang w:val="fr-FR"/>
        </w:rPr>
        <w:t>mens rea</w:t>
      </w:r>
      <w:r w:rsidRPr="00240EF8">
        <w:rPr>
          <w:rFonts w:cs="Times New Roman"/>
          <w:lang w:val="fr-FR"/>
        </w:rPr>
        <w:t xml:space="preserve"> est conforme à la règle de droit applicable. J’accueillerais le pourvoi et je rétablirais la déclaration de culpabilité de l’intimé pour outrage au tribunal. Je ne modifierais pas la peine infligée par le juge de première instance</w:t>
      </w:r>
      <w:r w:rsidRPr="00A36157">
        <w:rPr>
          <w:rFonts w:cs="Times New Roman"/>
          <w:spacing w:val="-3"/>
          <w:lang w:val="fr-CA"/>
        </w:rPr>
        <w:t>.</w:t>
      </w:r>
    </w:p>
    <w:p w:rsidR="00A36157" w:rsidRPr="00240EF8" w:rsidRDefault="00A36157" w:rsidP="003223DD">
      <w:pPr>
        <w:pStyle w:val="Title1LevelTitre1Niveau-AltL"/>
        <w:widowControl w:val="0"/>
        <w:numPr>
          <w:ilvl w:val="0"/>
          <w:numId w:val="3"/>
        </w:numPr>
        <w:jc w:val="both"/>
        <w:rPr>
          <w:rFonts w:cs="Times New Roman"/>
        </w:rPr>
      </w:pPr>
      <w:r w:rsidRPr="00240EF8">
        <w:rPr>
          <w:rFonts w:cs="Times New Roman"/>
        </w:rPr>
        <w:t>Analyse</w:t>
      </w:r>
    </w:p>
    <w:p w:rsidR="00A36157" w:rsidRPr="00240EF8" w:rsidRDefault="00A36157" w:rsidP="003223DD">
      <w:pPr>
        <w:pStyle w:val="Title2LevelTitre2Niveau"/>
        <w:widowControl w:val="0"/>
        <w:numPr>
          <w:ilvl w:val="1"/>
          <w:numId w:val="3"/>
        </w:numPr>
        <w:jc w:val="both"/>
        <w:rPr>
          <w:rFonts w:cs="Times New Roman"/>
          <w:lang w:val="fr-CA"/>
        </w:rPr>
      </w:pPr>
      <w:r w:rsidRPr="00240EF8">
        <w:rPr>
          <w:rFonts w:cs="Times New Roman"/>
          <w:lang w:val="fr-CA"/>
        </w:rPr>
        <w:t xml:space="preserve">Principes </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En matière d’outrage au tribunal, les circonstances dans lesquelles l’ordonnance est prononcée doivent être examinées avec attention (</w:t>
      </w:r>
      <w:r w:rsidRPr="00A36157">
        <w:rPr>
          <w:rFonts w:cs="Times New Roman"/>
          <w:i/>
          <w:lang w:val="fr-CA"/>
        </w:rPr>
        <w:t>Zhang c. Chau</w:t>
      </w:r>
      <w:r w:rsidRPr="00A36157">
        <w:rPr>
          <w:rFonts w:cs="Times New Roman"/>
          <w:lang w:val="fr-CA"/>
        </w:rPr>
        <w:t xml:space="preserve"> (2003), </w:t>
      </w:r>
      <w:r w:rsidRPr="00A36157">
        <w:rPr>
          <w:rStyle w:val="nowrap"/>
          <w:rFonts w:cs="Times New Roman"/>
          <w:lang w:val="fr-CA"/>
        </w:rPr>
        <w:t>229 D.L.R. (4th) 298</w:t>
      </w:r>
      <w:r w:rsidRPr="00A36157">
        <w:rPr>
          <w:rFonts w:cs="Times New Roman"/>
          <w:lang w:val="fr-CA"/>
        </w:rPr>
        <w:t xml:space="preserve"> (C.A. Qc), par. 31, autorisation d’appel refusée, [2003] 3 R.C.S. v). En l’espèce, l’examen des jugements de la Cour supérieure et de la Cour </w:t>
      </w:r>
      <w:r w:rsidRPr="00A36157">
        <w:rPr>
          <w:rFonts w:cs="Times New Roman"/>
          <w:lang w:val="fr-CA"/>
        </w:rPr>
        <w:lastRenderedPageBreak/>
        <w:t>d’appel révèle que la situation au Québec était explosive, de nombreuses ordonnances des tribunaux n’étaient pas respectées et des manifestations populaires, au départ pacifiques, dégénéraient quotidiennement.</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 xml:space="preserve">Il convient de rappeler le lien essentiel entre la sanction de l’outrage au tribunal et la préservation de la primauté du droit. Comme le souligne la juge McLachlin (maintenant Juge en chef) dans l’arrêt </w:t>
      </w:r>
      <w:r w:rsidRPr="00A36157">
        <w:rPr>
          <w:rFonts w:cs="Times New Roman"/>
          <w:i/>
          <w:iCs/>
          <w:lang w:val="fr-CA"/>
        </w:rPr>
        <w:t xml:space="preserve">United Nurses of Alberta </w:t>
      </w:r>
      <w:r w:rsidRPr="00A36157">
        <w:rPr>
          <w:rFonts w:cs="Times New Roman"/>
          <w:i/>
          <w:lang w:val="fr-CA"/>
        </w:rPr>
        <w:t>c.</w:t>
      </w:r>
      <w:r w:rsidRPr="00A36157">
        <w:rPr>
          <w:rFonts w:cs="Times New Roman"/>
          <w:lang w:val="fr-CA"/>
        </w:rPr>
        <w:t xml:space="preserve"> </w:t>
      </w:r>
      <w:r w:rsidRPr="00A36157">
        <w:rPr>
          <w:rFonts w:cs="Times New Roman"/>
          <w:i/>
          <w:iCs/>
          <w:lang w:val="fr-CA"/>
        </w:rPr>
        <w:t>Alberta (Procureur général)</w:t>
      </w:r>
      <w:r w:rsidRPr="00A36157">
        <w:rPr>
          <w:rFonts w:cs="Times New Roman"/>
          <w:lang w:val="fr-CA"/>
        </w:rPr>
        <w:t xml:space="preserve">, [1992] 1 R.C.S. 901, p. 931 </w:t>
      </w:r>
      <w:r w:rsidRPr="00A36157">
        <w:rPr>
          <w:rStyle w:val="reflex3-alt"/>
          <w:rFonts w:cs="Times New Roman"/>
          <w:spacing w:val="-3"/>
          <w:lang w:val="fr-CA"/>
        </w:rPr>
        <w:t>:</w:t>
      </w:r>
      <w:r w:rsidRPr="00A36157">
        <w:rPr>
          <w:rFonts w:cs="Times New Roman"/>
          <w:szCs w:val="24"/>
          <w:lang w:val="fr-CA"/>
        </w:rPr>
        <w:t xml:space="preserve"> </w:t>
      </w:r>
    </w:p>
    <w:p w:rsidR="00A36157" w:rsidRPr="00A36157" w:rsidRDefault="00A36157" w:rsidP="003223DD">
      <w:pPr>
        <w:pStyle w:val="Citation-AltC"/>
        <w:widowControl w:val="0"/>
        <w:ind w:firstLine="274"/>
        <w:rPr>
          <w:lang w:val="fr-CA"/>
        </w:rPr>
      </w:pPr>
      <w:r w:rsidRPr="00A36157">
        <w:rPr>
          <w:lang w:val="fr-CA"/>
        </w:rPr>
        <w:t>Tant l’outrage civil au tribunal que l’outrage criminel au tribunal reposent sur le pouvoir de la cour de maintenir sa dignité et sa procédure.  La primauté du droit est le fondement de notre société; sans elle, la paix, l’ordre et le bon gouvernement n’existent pas.  La primauté du droit est directement tributaire de la capacité des tribunaux de faire observer leur procédure et de maintenir leur dignité et le respect qui leur est dû.</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 xml:space="preserve">Autrement dit, la condamnation pour outrage au tribunal fait partie des outils essentiels pour assurer la primauté du droit dans une société démocratique </w:t>
      </w:r>
      <w:r w:rsidRPr="00A36157">
        <w:rPr>
          <w:rFonts w:cs="Times New Roman"/>
          <w:szCs w:val="24"/>
          <w:lang w:val="fr-CA"/>
        </w:rPr>
        <w:t xml:space="preserve">et pour garantir que l’ordre social prime sur le chaos (C. Gervais, </w:t>
      </w:r>
      <w:r w:rsidRPr="00A36157">
        <w:rPr>
          <w:rFonts w:cs="Times New Roman"/>
          <w:i/>
          <w:szCs w:val="24"/>
          <w:lang w:val="fr-CA"/>
        </w:rPr>
        <w:t>L’injonction</w:t>
      </w:r>
      <w:r w:rsidRPr="00A36157">
        <w:rPr>
          <w:rFonts w:cs="Times New Roman"/>
          <w:szCs w:val="24"/>
          <w:lang w:val="fr-CA"/>
        </w:rPr>
        <w:t xml:space="preserve"> (2</w:t>
      </w:r>
      <w:r w:rsidRPr="00A36157">
        <w:rPr>
          <w:rFonts w:cs="Times New Roman"/>
          <w:szCs w:val="24"/>
          <w:vertAlign w:val="superscript"/>
          <w:lang w:val="fr-CA"/>
        </w:rPr>
        <w:t>e</w:t>
      </w:r>
      <w:r w:rsidRPr="00A36157">
        <w:rPr>
          <w:rFonts w:cs="Times New Roman"/>
          <w:szCs w:val="24"/>
          <w:lang w:val="fr-CA"/>
        </w:rPr>
        <w:t xml:space="preserve"> éd. 2005), p. 123). Il est acquis que cette procédure, que ce soit en matière civile ou criminelle, a pour but de sauvegarder la confiance du public dans l’administration de la justice et d’assurer le fonctionnement harmonieux des tribunaux (</w:t>
      </w:r>
      <w:r w:rsidRPr="00A36157">
        <w:rPr>
          <w:rFonts w:cs="Times New Roman"/>
          <w:lang w:val="fr-CA"/>
        </w:rPr>
        <w:t xml:space="preserve">A. Popovici, </w:t>
      </w:r>
      <w:r w:rsidRPr="00A36157">
        <w:rPr>
          <w:rFonts w:cs="Times New Roman"/>
          <w:i/>
          <w:lang w:val="fr-CA"/>
        </w:rPr>
        <w:t>L’outrage au tribunal</w:t>
      </w:r>
      <w:r w:rsidRPr="00A36157">
        <w:rPr>
          <w:rFonts w:cs="Times New Roman"/>
          <w:lang w:val="fr-CA"/>
        </w:rPr>
        <w:t xml:space="preserve"> (1977), p. 98-99; </w:t>
      </w:r>
      <w:r w:rsidRPr="00A36157">
        <w:rPr>
          <w:rFonts w:cs="Times New Roman"/>
          <w:i/>
          <w:lang w:val="fr-CA"/>
        </w:rPr>
        <w:t xml:space="preserve">Baxter </w:t>
      </w:r>
      <w:r w:rsidRPr="00A36157">
        <w:rPr>
          <w:rFonts w:cs="Times New Roman"/>
          <w:i/>
          <w:iCs/>
          <w:spacing w:val="-3"/>
          <w:lang w:val="fr-CA"/>
        </w:rPr>
        <w:t>Travenol Laboratories of Canada Ltd. c. Cutter (Canada), Ltd.</w:t>
      </w:r>
      <w:r w:rsidRPr="00A36157">
        <w:rPr>
          <w:rFonts w:cs="Times New Roman"/>
          <w:spacing w:val="-3"/>
          <w:lang w:val="fr-CA"/>
        </w:rPr>
        <w:t xml:space="preserve">, </w:t>
      </w:r>
      <w:r w:rsidRPr="00A36157">
        <w:rPr>
          <w:rStyle w:val="reflex3-alt"/>
          <w:rFonts w:cs="Times New Roman"/>
          <w:spacing w:val="-3"/>
          <w:lang w:val="fr-CA"/>
        </w:rPr>
        <w:t xml:space="preserve">[1983] 2 R.C.S. 388). </w:t>
      </w:r>
      <w:r w:rsidRPr="00A36157">
        <w:rPr>
          <w:rFonts w:cs="Times New Roman"/>
          <w:lang w:val="fr-CA"/>
        </w:rPr>
        <w:t xml:space="preserve"> En conséquence, toute forme d’outrage implique une entrave à la bonne administration de la justice qui s’attaque au cœur même de la primauté du droit (</w:t>
      </w:r>
      <w:r w:rsidRPr="00A36157">
        <w:rPr>
          <w:rFonts w:cs="Times New Roman"/>
          <w:i/>
          <w:lang w:val="fr-CA"/>
        </w:rPr>
        <w:t>Centre commercial Les Rivières ltée c. Jean bleu inc.</w:t>
      </w:r>
      <w:r w:rsidRPr="00A36157">
        <w:rPr>
          <w:rFonts w:cs="Times New Roman"/>
          <w:lang w:val="fr-CA"/>
        </w:rPr>
        <w:t xml:space="preserve">, 2012 QCCA 1663, par. 65 (CanLII), citant </w:t>
      </w:r>
      <w:r w:rsidRPr="00A36157">
        <w:rPr>
          <w:rFonts w:cs="Times New Roman"/>
          <w:i/>
          <w:spacing w:val="-3"/>
          <w:lang w:val="fr-CA"/>
        </w:rPr>
        <w:t xml:space="preserve">Vidéotron Ltée </w:t>
      </w:r>
      <w:r w:rsidRPr="00A36157">
        <w:rPr>
          <w:rFonts w:cs="Times New Roman"/>
          <w:i/>
          <w:iCs/>
          <w:spacing w:val="-3"/>
          <w:lang w:val="fr-CA"/>
        </w:rPr>
        <w:t>c.</w:t>
      </w:r>
      <w:r w:rsidRPr="00A36157">
        <w:rPr>
          <w:rFonts w:cs="Times New Roman"/>
          <w:i/>
          <w:spacing w:val="-3"/>
          <w:lang w:val="fr-CA"/>
        </w:rPr>
        <w:t xml:space="preserve"> Industries Microlec Produits </w:t>
      </w:r>
      <w:r w:rsidRPr="00A36157">
        <w:rPr>
          <w:rFonts w:cs="Times New Roman"/>
          <w:i/>
          <w:spacing w:val="-3"/>
          <w:lang w:val="fr-CA"/>
        </w:rPr>
        <w:lastRenderedPageBreak/>
        <w:t>Électroniques Inc.</w:t>
      </w:r>
      <w:r w:rsidRPr="00A36157">
        <w:rPr>
          <w:rFonts w:cs="Times New Roman"/>
          <w:spacing w:val="-3"/>
          <w:lang w:val="fr-CA"/>
        </w:rPr>
        <w:t>, [1992] 2 R.C.S. 1065).</w:t>
      </w:r>
      <w:r w:rsidRPr="00A36157">
        <w:rPr>
          <w:rFonts w:cs="Times New Roman"/>
          <w:szCs w:val="24"/>
          <w:lang w:val="fr-CA"/>
        </w:rPr>
        <w:t xml:space="preserve"> </w:t>
      </w:r>
    </w:p>
    <w:p w:rsidR="00A36157" w:rsidRPr="00240EF8" w:rsidRDefault="00A36157" w:rsidP="003223DD">
      <w:pPr>
        <w:pStyle w:val="ParaNoNdepar-AltN"/>
        <w:widowControl w:val="0"/>
        <w:tabs>
          <w:tab w:val="clear" w:pos="1166"/>
          <w:tab w:val="clear" w:pos="1512"/>
          <w:tab w:val="num" w:pos="1152"/>
        </w:tabs>
        <w:ind w:left="0"/>
        <w:rPr>
          <w:rFonts w:cs="Times New Roman"/>
          <w:szCs w:val="24"/>
          <w:lang w:val="en-US"/>
        </w:rPr>
      </w:pPr>
      <w:r w:rsidRPr="00A36157">
        <w:rPr>
          <w:rFonts w:cs="Times New Roman"/>
          <w:lang w:val="fr-CA"/>
        </w:rPr>
        <w:t>Il est donc primordial que tous les acteurs d’une société civile dite démocratique adhèrent à cet idéal et que les tribunaux restent vigilants et assurent le respect des ordonnances qu’ils prononcent. Cette vigilance est particulièrement cruciale en période de crise ou d’agitation sociale, telle celle qu’a vécue le Québec durant le « printemps érable ». Dans un tel climat, l’incitation à désobéir aux ordonnances des tribunaux engendre le désordre et met en péril les libertés fondamentales. [</w:t>
      </w:r>
      <w:r w:rsidRPr="00A36157">
        <w:rPr>
          <w:rFonts w:cs="Times New Roman"/>
          <w:smallCaps/>
          <w:lang w:val="fr-CA"/>
        </w:rPr>
        <w:t>traduction]</w:t>
      </w:r>
      <w:r w:rsidRPr="00A36157">
        <w:rPr>
          <w:rFonts w:cs="Times New Roman"/>
          <w:lang w:val="fr-CA"/>
        </w:rPr>
        <w:t xml:space="preserve"> « La fragilité de la primauté du droit est telle qu’aucune personne désireuse de jouir des avantages de ce principe ne saurait être autorisée à déroger à ses préceptes pour quelque moment d’anarchie occasionnelle, et ce, aussi impérieuse ou par ailleurs convaincante que puisse être la cause que ces moments d’anarchie visent à soutenir » (</w:t>
      </w:r>
      <w:r w:rsidRPr="00A36157">
        <w:rPr>
          <w:rFonts w:cs="Times New Roman"/>
          <w:i/>
          <w:lang w:val="fr-CA"/>
        </w:rPr>
        <w:t>R.</w:t>
      </w:r>
      <w:r w:rsidRPr="00A36157">
        <w:rPr>
          <w:rFonts w:cs="Times New Roman"/>
          <w:lang w:val="fr-CA"/>
        </w:rPr>
        <w:t xml:space="preserve"> </w:t>
      </w:r>
      <w:r w:rsidRPr="00A36157">
        <w:rPr>
          <w:rFonts w:cs="Times New Roman"/>
          <w:i/>
          <w:lang w:val="fr-CA"/>
        </w:rPr>
        <w:t xml:space="preserve">c. Bridges </w:t>
      </w:r>
      <w:r w:rsidRPr="00A36157">
        <w:rPr>
          <w:rFonts w:cs="Times New Roman"/>
          <w:lang w:val="fr-CA"/>
        </w:rPr>
        <w:t xml:space="preserve">(1989), 61 D.L.R. (4th) 154 (C.S. C.-B.), p. 157, le juge Wood, conf. par (1990), 54 B.C.L.R. (2d) 273 (C.A.), cité avec approbation dans </w:t>
      </w:r>
      <w:r w:rsidRPr="00A36157">
        <w:rPr>
          <w:rFonts w:cs="Times New Roman"/>
          <w:i/>
          <w:lang w:val="fr-CA"/>
        </w:rPr>
        <w:t xml:space="preserve">MacMillan Bloedel Ltd. c. Simpson </w:t>
      </w:r>
      <w:r w:rsidRPr="00A36157">
        <w:rPr>
          <w:rFonts w:cs="Times New Roman"/>
          <w:lang w:val="fr-CA"/>
        </w:rPr>
        <w:t xml:space="preserve">(1994), 92 B.C.L.R. (2d) 1 (C.A.), par. 6, et dans </w:t>
      </w:r>
      <w:r w:rsidRPr="00A36157">
        <w:rPr>
          <w:rFonts w:cs="Times New Roman"/>
          <w:i/>
          <w:lang w:val="fr-CA"/>
        </w:rPr>
        <w:t>R. c. Krawczyk</w:t>
      </w:r>
      <w:r w:rsidRPr="00A36157">
        <w:rPr>
          <w:rFonts w:cs="Times New Roman"/>
          <w:lang w:val="fr-CA"/>
        </w:rPr>
        <w:t xml:space="preserve">, 2009 BCCA 250, 275 B.C.A.C. 6, par. 32, autorisation d’appel refusée, [2010] 1 R.C.S. xi; voir également </w:t>
      </w:r>
      <w:r w:rsidRPr="00A36157">
        <w:rPr>
          <w:rFonts w:cs="Times New Roman"/>
          <w:i/>
          <w:lang w:val="fr-CA"/>
        </w:rPr>
        <w:t xml:space="preserve">Canada Metal Co. c. Canadian Broadcasting Corp. </w:t>
      </w:r>
      <w:r w:rsidRPr="00240EF8">
        <w:rPr>
          <w:rFonts w:cs="Times New Roman"/>
          <w:i/>
          <w:lang w:val="en-US"/>
        </w:rPr>
        <w:t xml:space="preserve">(No. 2) </w:t>
      </w:r>
      <w:r w:rsidRPr="00240EF8">
        <w:rPr>
          <w:rFonts w:cs="Times New Roman"/>
          <w:lang w:val="en-US"/>
        </w:rPr>
        <w:t>(1974), 4 O.R. (2d) 585 (H.C.J.), p. 613, conf. par (1975), 11 O.R. (2d) 167 (C.A.)</w:t>
      </w:r>
      <w:r>
        <w:rPr>
          <w:rFonts w:cs="Times New Roman"/>
          <w:lang w:val="en-US"/>
        </w:rPr>
        <w:t>)</w:t>
      </w:r>
      <w:r w:rsidRPr="00240EF8">
        <w:rPr>
          <w:rFonts w:cs="Times New Roman"/>
          <w:lang w:val="en-US"/>
        </w:rPr>
        <w:t>.</w:t>
      </w:r>
    </w:p>
    <w:p w:rsidR="00A36157" w:rsidRPr="00A36157" w:rsidRDefault="00A36157" w:rsidP="003223DD">
      <w:pPr>
        <w:pStyle w:val="ParaNoNdepar-AltN"/>
        <w:widowControl w:val="0"/>
        <w:tabs>
          <w:tab w:val="clear" w:pos="1166"/>
          <w:tab w:val="clear" w:pos="1512"/>
          <w:tab w:val="num" w:pos="1152"/>
        </w:tabs>
        <w:ind w:left="0"/>
        <w:rPr>
          <w:rFonts w:cs="Times New Roman"/>
          <w:szCs w:val="24"/>
          <w:lang w:val="fr-CA"/>
        </w:rPr>
      </w:pPr>
      <w:r w:rsidRPr="00A36157">
        <w:rPr>
          <w:rFonts w:cs="Times New Roman"/>
          <w:szCs w:val="24"/>
          <w:lang w:val="fr-CA"/>
        </w:rPr>
        <w:t xml:space="preserve">Ainsi, en matière d’outrage au tribunal, il ne faut pas réduire à une simple question de procédure et de fardeau de preuve le véritable enjeu juridique, soit le respect de l’autorité des tribunaux, puisque la résolution juste et équitable du litige est tributaire des circonstances et des conséquences liées aux actes reprochés. </w:t>
      </w:r>
    </w:p>
    <w:p w:rsidR="00A36157" w:rsidRPr="00A36157" w:rsidRDefault="00A36157" w:rsidP="003223DD">
      <w:pPr>
        <w:pStyle w:val="ParaNoNdepar-AltN"/>
        <w:widowControl w:val="0"/>
        <w:tabs>
          <w:tab w:val="clear" w:pos="1166"/>
          <w:tab w:val="clear" w:pos="1512"/>
          <w:tab w:val="num" w:pos="1152"/>
        </w:tabs>
        <w:ind w:left="0"/>
        <w:rPr>
          <w:rFonts w:cs="Times New Roman"/>
          <w:szCs w:val="24"/>
          <w:lang w:val="fr-CA"/>
        </w:rPr>
      </w:pPr>
      <w:r w:rsidRPr="00A36157">
        <w:rPr>
          <w:rFonts w:cs="Times New Roman"/>
          <w:lang w:val="fr-CA"/>
        </w:rPr>
        <w:lastRenderedPageBreak/>
        <w:t>Cela dit, il coule de source que le pouvoir de sanctionner l’outrage au tribunal est exceptionnel et ne doit être exercé qu’en dernier recours (</w:t>
      </w:r>
      <w:r w:rsidR="00817F29">
        <w:rPr>
          <w:rFonts w:cs="Times New Roman"/>
          <w:i/>
          <w:lang w:val="fr-CA"/>
        </w:rPr>
        <w:t>Centre commercial Les Rivières</w:t>
      </w:r>
      <w:r w:rsidRPr="00A36157">
        <w:rPr>
          <w:rFonts w:cs="Times New Roman"/>
          <w:lang w:val="fr-CA"/>
        </w:rPr>
        <w:t xml:space="preserve">, par. 7; </w:t>
      </w:r>
      <w:r w:rsidRPr="00A36157">
        <w:rPr>
          <w:rFonts w:cs="Times New Roman"/>
          <w:i/>
          <w:lang w:val="fr-CA"/>
        </w:rPr>
        <w:t>Constructions Louisbourg ltée c. Société Radio-Canada</w:t>
      </w:r>
      <w:r w:rsidRPr="00A36157">
        <w:rPr>
          <w:rFonts w:cs="Times New Roman"/>
          <w:lang w:val="fr-CA"/>
        </w:rPr>
        <w:t xml:space="preserve">, 2014 QCCA 155, par. 26 (CanLII)). L’exercice de ce pouvoir est néanmoins justifié lorsqu’une </w:t>
      </w:r>
      <w:r w:rsidRPr="00A36157">
        <w:rPr>
          <w:rFonts w:cs="Times New Roman"/>
          <w:szCs w:val="24"/>
          <w:lang w:val="fr-CA"/>
        </w:rPr>
        <w:t xml:space="preserve">condamnation pour outrage au tribunal s’impose afin d’appuyer l’intégrité du système de justice et </w:t>
      </w:r>
      <w:r w:rsidR="0075146A">
        <w:rPr>
          <w:rFonts w:cs="Times New Roman"/>
          <w:szCs w:val="24"/>
          <w:lang w:val="fr-CA"/>
        </w:rPr>
        <w:t>d’</w:t>
      </w:r>
      <w:r w:rsidRPr="00A36157">
        <w:rPr>
          <w:rFonts w:cs="Times New Roman"/>
          <w:szCs w:val="24"/>
          <w:lang w:val="fr-CA"/>
        </w:rPr>
        <w:t>assurer sa crédibilité auprès des justiciables (</w:t>
      </w:r>
      <w:r w:rsidRPr="00A36157">
        <w:rPr>
          <w:rFonts w:cs="Times New Roman"/>
          <w:i/>
          <w:szCs w:val="24"/>
          <w:lang w:val="fr-CA"/>
        </w:rPr>
        <w:t>Echostar Satellite Corp. c. Lis</w:t>
      </w:r>
      <w:r w:rsidRPr="00A36157">
        <w:rPr>
          <w:rFonts w:cs="Times New Roman"/>
          <w:szCs w:val="24"/>
          <w:lang w:val="fr-CA"/>
        </w:rPr>
        <w:t>, 2004 CanLII 2156 (C.S. Qc), par. 21). Cela dit, en raison de la nature d’une telle ordonnance, son prononcé exige le respect de conditions d’application strictes, notamment la norme de preuve hors de tout doute raisonnable applicable en droit criminel</w:t>
      </w:r>
      <w:r w:rsidRPr="00A36157">
        <w:rPr>
          <w:rFonts w:cs="Times New Roman"/>
          <w:lang w:val="fr-CA"/>
        </w:rPr>
        <w:t xml:space="preserve"> (art. 53.1 al. 1 </w:t>
      </w:r>
      <w:r w:rsidRPr="00A36157">
        <w:rPr>
          <w:rFonts w:cs="Times New Roman"/>
          <w:i/>
          <w:lang w:val="fr-CA"/>
        </w:rPr>
        <w:t>C.p.c.</w:t>
      </w:r>
      <w:r w:rsidRPr="00A36157">
        <w:rPr>
          <w:rFonts w:cs="Times New Roman"/>
          <w:lang w:val="fr-CA"/>
        </w:rPr>
        <w:t>). Cela ne veut pas dire pour autant que l’application de ce pouvoir doit être à ce point ardue que celui-ci ne peut plus concrètement être exercé.</w:t>
      </w:r>
    </w:p>
    <w:p w:rsidR="00A36157" w:rsidRPr="0075146A"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 xml:space="preserve">Force est de </w:t>
      </w:r>
      <w:r w:rsidRPr="00A36157">
        <w:rPr>
          <w:rFonts w:cs="Times New Roman"/>
          <w:szCs w:val="24"/>
          <w:lang w:val="fr-CA"/>
        </w:rPr>
        <w:t xml:space="preserve">constater, comme le soulignait la Cour d’appel du Québec dans l’arrêt </w:t>
      </w:r>
      <w:r w:rsidRPr="00A36157">
        <w:rPr>
          <w:rFonts w:cs="Times New Roman"/>
          <w:i/>
          <w:szCs w:val="24"/>
          <w:lang w:val="fr-CA"/>
        </w:rPr>
        <w:t>Procom Immobilier Inc. c. Commission des valeurs mobilières du Québec</w:t>
      </w:r>
      <w:r w:rsidRPr="00A36157">
        <w:rPr>
          <w:rFonts w:cs="Times New Roman"/>
          <w:szCs w:val="24"/>
          <w:lang w:val="fr-CA"/>
        </w:rPr>
        <w:t xml:space="preserve">, [1992] R.D.J. 561, cité dans </w:t>
      </w:r>
      <w:r w:rsidRPr="00A36157">
        <w:rPr>
          <w:rFonts w:cs="Times New Roman"/>
          <w:i/>
          <w:iCs/>
          <w:szCs w:val="24"/>
          <w:lang w:val="fr-CA"/>
        </w:rPr>
        <w:t>Zhang</w:t>
      </w:r>
      <w:r w:rsidR="0075146A" w:rsidRPr="00A36157">
        <w:rPr>
          <w:rFonts w:cs="Times New Roman"/>
          <w:szCs w:val="24"/>
          <w:lang w:val="fr-CA"/>
        </w:rPr>
        <w:t xml:space="preserve">, </w:t>
      </w:r>
      <w:r w:rsidRPr="00A36157">
        <w:rPr>
          <w:rFonts w:cs="Times New Roman"/>
          <w:szCs w:val="24"/>
          <w:lang w:val="fr-CA"/>
        </w:rPr>
        <w:t>que</w:t>
      </w:r>
      <w:r w:rsidR="0075146A">
        <w:rPr>
          <w:rFonts w:cs="Times New Roman"/>
          <w:szCs w:val="24"/>
          <w:lang w:val="fr-CA"/>
        </w:rPr>
        <w:t xml:space="preserve"> </w:t>
      </w:r>
      <w:r w:rsidRPr="00A36157">
        <w:rPr>
          <w:rFonts w:cs="Times New Roman"/>
          <w:szCs w:val="24"/>
          <w:lang w:val="fr-CA"/>
        </w:rPr>
        <w:t xml:space="preserve">même si les règles procédurales portant sur l’outrage au tribunal sont d’application stricte, </w:t>
      </w:r>
      <w:r w:rsidRPr="00A36157">
        <w:rPr>
          <w:rFonts w:cs="Times New Roman"/>
          <w:i/>
          <w:szCs w:val="24"/>
          <w:lang w:val="fr-CA"/>
        </w:rPr>
        <w:t>strictissimi juris</w:t>
      </w:r>
      <w:r w:rsidRPr="00A36157">
        <w:rPr>
          <w:rFonts w:cs="Times New Roman"/>
          <w:szCs w:val="24"/>
          <w:lang w:val="fr-CA"/>
        </w:rPr>
        <w:t xml:space="preserve">, cela ne veut pas dire que la cour doit tolérer la violation de ces ordonnances ou qu’elle doit permettre d’ignorer ou pire encore d’inciter à défier une injonction au nom d’un formalisme artificiel et excessif. </w:t>
      </w:r>
      <w:r w:rsidRPr="0075146A">
        <w:rPr>
          <w:rFonts w:cs="Times New Roman"/>
          <w:szCs w:val="24"/>
          <w:lang w:val="fr-CA"/>
        </w:rPr>
        <w:t>Voir, également, Gervais, p. 125-126.</w:t>
      </w:r>
    </w:p>
    <w:p w:rsidR="00A36157" w:rsidRPr="00240EF8" w:rsidRDefault="00A36157" w:rsidP="003223DD">
      <w:pPr>
        <w:pStyle w:val="Title2LevelTitre2Niveau"/>
        <w:widowControl w:val="0"/>
        <w:numPr>
          <w:ilvl w:val="1"/>
          <w:numId w:val="3"/>
        </w:numPr>
        <w:jc w:val="both"/>
        <w:rPr>
          <w:rFonts w:cs="Times New Roman"/>
          <w:lang w:val="fr-CA"/>
        </w:rPr>
      </w:pPr>
      <w:r w:rsidRPr="00240EF8">
        <w:rPr>
          <w:rFonts w:cs="Times New Roman"/>
          <w:lang w:val="fr-CA"/>
        </w:rPr>
        <w:t xml:space="preserve">Le préavis de l’art. 50 al. 1 C.p.c., in fine </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 xml:space="preserve">Je partage l’opinion de la Cour d’appel selon laquelle, en l’espèce, il ne fait </w:t>
      </w:r>
      <w:r w:rsidRPr="00A36157">
        <w:rPr>
          <w:rFonts w:cs="Times New Roman"/>
          <w:lang w:val="fr-CA"/>
        </w:rPr>
        <w:lastRenderedPageBreak/>
        <w:t xml:space="preserve">aucun doute que l’intimé savait précisément qu’il devait répondre à l’accusation d’outrage portée en vertu de l’art. 761 </w:t>
      </w:r>
      <w:r w:rsidRPr="00A36157">
        <w:rPr>
          <w:rFonts w:cs="Times New Roman"/>
          <w:i/>
          <w:lang w:val="fr-CA"/>
        </w:rPr>
        <w:t>C.p.c.</w:t>
      </w:r>
      <w:r w:rsidRPr="00A36157">
        <w:rPr>
          <w:rFonts w:cs="Times New Roman"/>
          <w:lang w:val="fr-CA"/>
        </w:rPr>
        <w:t xml:space="preserve"> et de l’ensemble de </w:t>
      </w:r>
      <w:r w:rsidRPr="00A36157">
        <w:rPr>
          <w:rFonts w:cs="Times New Roman"/>
          <w:szCs w:val="24"/>
          <w:lang w:val="fr-CA"/>
        </w:rPr>
        <w:t xml:space="preserve">l’art. 50 al. 1 </w:t>
      </w:r>
      <w:r w:rsidRPr="00A36157">
        <w:rPr>
          <w:rFonts w:cs="Times New Roman"/>
          <w:i/>
          <w:szCs w:val="24"/>
          <w:lang w:val="fr-CA"/>
        </w:rPr>
        <w:t>C.p.c.</w:t>
      </w:r>
      <w:r w:rsidRPr="00A36157">
        <w:rPr>
          <w:rFonts w:cs="Times New Roman"/>
          <w:szCs w:val="24"/>
          <w:lang w:val="fr-CA"/>
        </w:rPr>
        <w:t xml:space="preserve"> </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szCs w:val="24"/>
          <w:lang w:val="fr-CA"/>
        </w:rPr>
        <w:t xml:space="preserve">Je reconnais que </w:t>
      </w:r>
      <w:r w:rsidRPr="00A36157">
        <w:rPr>
          <w:rFonts w:cs="Times New Roman"/>
          <w:lang w:val="fr-CA"/>
        </w:rPr>
        <w:t xml:space="preserve">le libellé de la requête de l’appelant qui demandait que l’intimé soit assigné à comparaître pour outrage au tribunal se référait uniquement à l’art. 761 </w:t>
      </w:r>
      <w:r w:rsidRPr="00A36157">
        <w:rPr>
          <w:rFonts w:cs="Times New Roman"/>
          <w:i/>
          <w:lang w:val="fr-CA"/>
        </w:rPr>
        <w:t>C.p.c.</w:t>
      </w:r>
      <w:r w:rsidRPr="00A36157">
        <w:rPr>
          <w:rFonts w:cs="Times New Roman"/>
          <w:lang w:val="fr-CA"/>
        </w:rPr>
        <w:t xml:space="preserve"> Lors de sa comparution, l’avocat de l’appelant a précisé que ce dernier invoquait aussi la violation du par. 60 de l’Ordonnance de sauvegarde, à savoir la violation de celle-ci en accomplissant « toute action susceptible d’empêcher ou d’affecter négativement l’accès à ces cours ». Cette prétention reprend les éléments essentiels de l’art. 761 </w:t>
      </w:r>
      <w:r w:rsidRPr="00A36157">
        <w:rPr>
          <w:rFonts w:cs="Times New Roman"/>
          <w:i/>
          <w:lang w:val="fr-CA"/>
        </w:rPr>
        <w:t>C.p.c.</w:t>
      </w:r>
      <w:r w:rsidRPr="00A36157">
        <w:rPr>
          <w:rFonts w:cs="Times New Roman"/>
          <w:lang w:val="fr-CA"/>
        </w:rPr>
        <w:t xml:space="preserve"> et de la première partie de l’art. 50 al. 1 </w:t>
      </w:r>
      <w:r w:rsidRPr="00A36157">
        <w:rPr>
          <w:rFonts w:cs="Times New Roman"/>
          <w:i/>
          <w:lang w:val="fr-CA"/>
        </w:rPr>
        <w:t>C.p.c.</w:t>
      </w:r>
      <w:r w:rsidRPr="00A36157">
        <w:rPr>
          <w:rFonts w:cs="Times New Roman"/>
          <w:lang w:val="fr-CA"/>
        </w:rPr>
        <w:t xml:space="preserve"> Les deux dispositions couvrent ainsi les infractions fondées sur la violation par le défendeur d’une ordonnance de la Cour supérieure.</w:t>
      </w:r>
    </w:p>
    <w:p w:rsidR="00A36157" w:rsidRPr="00A36157" w:rsidRDefault="00A36157" w:rsidP="003223DD">
      <w:pPr>
        <w:pStyle w:val="ParaNoNdepar-AltN"/>
        <w:widowControl w:val="0"/>
        <w:tabs>
          <w:tab w:val="clear" w:pos="1166"/>
          <w:tab w:val="clear" w:pos="1512"/>
          <w:tab w:val="num" w:pos="1152"/>
        </w:tabs>
        <w:ind w:left="0"/>
        <w:rPr>
          <w:rFonts w:cs="Times New Roman"/>
          <w:szCs w:val="24"/>
          <w:lang w:val="fr-CA"/>
        </w:rPr>
      </w:pPr>
      <w:r w:rsidRPr="00A36157">
        <w:rPr>
          <w:rFonts w:cs="Times New Roman"/>
          <w:szCs w:val="24"/>
          <w:lang w:val="fr-CA"/>
        </w:rPr>
        <w:t xml:space="preserve">L’ordonnance spéciale de comparaître, dont l’intimé a reçu signification, fait expressément état des art. 50 et 761 </w:t>
      </w:r>
      <w:r w:rsidRPr="00A36157">
        <w:rPr>
          <w:rFonts w:cs="Times New Roman"/>
          <w:i/>
          <w:szCs w:val="24"/>
          <w:lang w:val="fr-CA"/>
        </w:rPr>
        <w:t>C.p.c.</w:t>
      </w:r>
      <w:r w:rsidRPr="00A36157">
        <w:rPr>
          <w:rFonts w:cs="Times New Roman"/>
          <w:szCs w:val="24"/>
          <w:lang w:val="fr-CA"/>
        </w:rPr>
        <w:t xml:space="preserve"> Puisque cette ordonnance ne cite pas seulement une partie de l’art. 50 al. 1 </w:t>
      </w:r>
      <w:r w:rsidRPr="00A36157">
        <w:rPr>
          <w:rFonts w:cs="Times New Roman"/>
          <w:i/>
          <w:szCs w:val="24"/>
          <w:lang w:val="fr-CA"/>
        </w:rPr>
        <w:t>C.p.c.</w:t>
      </w:r>
      <w:r w:rsidRPr="00A36157">
        <w:rPr>
          <w:rFonts w:cs="Times New Roman"/>
          <w:szCs w:val="24"/>
          <w:lang w:val="fr-CA"/>
        </w:rPr>
        <w:t xml:space="preserve">, il est loisible de conclure que les deux articles sont au cœur du litige. De plus, les faits que l’appelant reproche à l’intimé dans sa requête, ainsi que la description des allégations formulées contre ce dernier dans l’ordonnance spéciale ― notamment qu’il a « incité publiquement les gens à contrevenir à » l’Ordonnance de sauvegarde ― sont visés par la dernière partie de l’art. 50 al. 1 </w:t>
      </w:r>
      <w:r w:rsidRPr="00A36157">
        <w:rPr>
          <w:rFonts w:cs="Times New Roman"/>
          <w:i/>
          <w:szCs w:val="24"/>
          <w:lang w:val="fr-CA"/>
        </w:rPr>
        <w:t>C.p.c.</w:t>
      </w:r>
      <w:r w:rsidRPr="00A36157">
        <w:rPr>
          <w:rFonts w:cs="Times New Roman"/>
          <w:szCs w:val="24"/>
          <w:lang w:val="fr-CA"/>
        </w:rPr>
        <w:t xml:space="preserve"> (voir le jugement de première instance, par. 61-62; jugement de la Cour d’appel, par. 44). Finalement, lors du procès, l’intimé a présenté des arguments portant sur cette disposition, soulignant « qu’il n’a pas agi de manière à entraver le cours normal de la justice ou à porter atteinte à l’autorité ou à la dignité du tribunal » </w:t>
      </w:r>
      <w:r w:rsidRPr="00A36157">
        <w:rPr>
          <w:rFonts w:cs="Times New Roman"/>
          <w:szCs w:val="24"/>
          <w:lang w:val="fr-CA"/>
        </w:rPr>
        <w:lastRenderedPageBreak/>
        <w:t xml:space="preserve">(jugement de première instance, par. 32). Avec égards pour l’opinion contraire, il est raisonnable d’affirmer que l’intimé savait qu’il devait aussi répondre aux allégations d’outrage au tribunal fondées sur la dernière partie de l’art. 50 al. 1 </w:t>
      </w:r>
      <w:r w:rsidRPr="00A36157">
        <w:rPr>
          <w:rFonts w:cs="Times New Roman"/>
          <w:i/>
          <w:szCs w:val="24"/>
          <w:lang w:val="fr-CA"/>
        </w:rPr>
        <w:t>C.p.c.</w:t>
      </w:r>
      <w:r w:rsidRPr="00A36157">
        <w:rPr>
          <w:rFonts w:cs="Times New Roman"/>
          <w:szCs w:val="24"/>
          <w:lang w:val="fr-CA"/>
        </w:rPr>
        <w:t xml:space="preserve">   </w:t>
      </w:r>
    </w:p>
    <w:p w:rsidR="00A36157" w:rsidRPr="00A36157" w:rsidRDefault="00A36157" w:rsidP="003223DD">
      <w:pPr>
        <w:pStyle w:val="ParaNoNdepar-AltN"/>
        <w:widowControl w:val="0"/>
        <w:tabs>
          <w:tab w:val="clear" w:pos="1166"/>
          <w:tab w:val="clear" w:pos="1512"/>
          <w:tab w:val="num" w:pos="1152"/>
        </w:tabs>
        <w:ind w:left="0"/>
        <w:rPr>
          <w:rFonts w:cs="Times New Roman"/>
          <w:szCs w:val="24"/>
          <w:lang w:val="fr-CA"/>
        </w:rPr>
      </w:pPr>
      <w:r w:rsidRPr="00A36157">
        <w:rPr>
          <w:rFonts w:cs="Times New Roman"/>
          <w:lang w:val="fr-CA"/>
        </w:rPr>
        <w:t xml:space="preserve">En conséquence, au vu de l’ensemble des circonstances, je suis d’avis que l’intimé a reçu une notification suffisamment claire et précise de l’accusation d’outrage portant sur une contravention de l’art. 50 al. 1 </w:t>
      </w:r>
      <w:r w:rsidRPr="00A36157">
        <w:rPr>
          <w:rFonts w:cs="Times New Roman"/>
          <w:i/>
          <w:lang w:val="fr-CA"/>
        </w:rPr>
        <w:t>C.p.c.</w:t>
      </w:r>
      <w:r w:rsidRPr="00A36157">
        <w:rPr>
          <w:rFonts w:cs="Times New Roman"/>
          <w:lang w:val="fr-CA"/>
        </w:rPr>
        <w:t xml:space="preserve"> L’accusation déposée contre l’intimé était précise, car les propos exacts à l’origine de l’accusation ainsi que les articles pertinents du </w:t>
      </w:r>
      <w:r w:rsidRPr="00A36157">
        <w:rPr>
          <w:rFonts w:cs="Times New Roman"/>
          <w:i/>
          <w:lang w:val="fr-CA"/>
        </w:rPr>
        <w:t>C.p.c.</w:t>
      </w:r>
      <w:r w:rsidRPr="00A36157">
        <w:rPr>
          <w:rFonts w:cs="Times New Roman"/>
          <w:lang w:val="fr-CA"/>
        </w:rPr>
        <w:t xml:space="preserve"> étaient reproduits (</w:t>
      </w:r>
      <w:r w:rsidRPr="00A36157">
        <w:rPr>
          <w:rFonts w:cs="Times New Roman"/>
          <w:bCs/>
          <w:i/>
          <w:szCs w:val="24"/>
          <w:lang w:val="fr-CA"/>
        </w:rPr>
        <w:t>Cotroni c. Commission de police du Québec</w:t>
      </w:r>
      <w:r w:rsidRPr="00A36157">
        <w:rPr>
          <w:rFonts w:cs="Times New Roman"/>
          <w:bCs/>
          <w:szCs w:val="24"/>
          <w:lang w:val="fr-CA"/>
        </w:rPr>
        <w:t xml:space="preserve">, [1978] 1 R.C.S. 1048; </w:t>
      </w:r>
      <w:r w:rsidRPr="00A36157">
        <w:rPr>
          <w:rFonts w:cs="Times New Roman"/>
          <w:bCs/>
          <w:i/>
          <w:szCs w:val="24"/>
          <w:lang w:val="fr-CA"/>
        </w:rPr>
        <w:t xml:space="preserve">Re Awada </w:t>
      </w:r>
      <w:r w:rsidRPr="00A36157">
        <w:rPr>
          <w:rFonts w:cs="Times New Roman"/>
          <w:bCs/>
          <w:szCs w:val="24"/>
          <w:lang w:val="fr-CA"/>
        </w:rPr>
        <w:t>(1970), 13 C.R.N.S. 127 (C.A. Qc))</w:t>
      </w:r>
      <w:r w:rsidRPr="00A36157">
        <w:rPr>
          <w:rFonts w:cs="Times New Roman"/>
          <w:lang w:val="fr-CA"/>
        </w:rPr>
        <w:t>. Il connaissait la nature de l’accusation et avait reçu tous les détails pertinents (</w:t>
      </w:r>
      <w:r w:rsidRPr="00A36157">
        <w:rPr>
          <w:rFonts w:eastAsia="Times New Roman" w:cs="Times New Roman"/>
          <w:bCs/>
          <w:i/>
          <w:szCs w:val="24"/>
          <w:lang w:val="fr-CA" w:eastAsia="en-CA"/>
        </w:rPr>
        <w:t>Droit de la famille ― 122875</w:t>
      </w:r>
      <w:r w:rsidRPr="00A36157">
        <w:rPr>
          <w:rFonts w:eastAsia="Times New Roman" w:cs="Times New Roman"/>
          <w:bCs/>
          <w:szCs w:val="24"/>
          <w:lang w:val="fr-CA" w:eastAsia="en-CA"/>
        </w:rPr>
        <w:t>, 2012 QCCA 1855, 29 R.F.L. (7th) 137, par. 27). Il était pleinement conscient de l’accusation portée contre lui et il avait la possibilité d’y répondre (</w:t>
      </w:r>
      <w:r w:rsidRPr="00A36157">
        <w:rPr>
          <w:rFonts w:eastAsia="Times New Roman" w:cs="Times New Roman"/>
          <w:bCs/>
          <w:i/>
          <w:szCs w:val="24"/>
          <w:lang w:val="fr-CA" w:eastAsia="en-CA"/>
        </w:rPr>
        <w:t xml:space="preserve">Iron Ore Co. of Canada c. United Steel Workers of America, Local 5795 </w:t>
      </w:r>
      <w:r w:rsidRPr="00A36157">
        <w:rPr>
          <w:rFonts w:eastAsia="Times New Roman" w:cs="Times New Roman"/>
          <w:bCs/>
          <w:szCs w:val="24"/>
          <w:lang w:val="fr-CA" w:eastAsia="en-CA"/>
        </w:rPr>
        <w:t>(1979), 20 Nfld. &amp; P.E.I.R. 27 (C.A. T.-N.)</w:t>
      </w:r>
      <w:r w:rsidRPr="00A36157">
        <w:rPr>
          <w:rFonts w:cs="Times New Roman"/>
          <w:lang w:val="fr-CA"/>
        </w:rPr>
        <w:t>, par. 45, le juge Gushue</w:t>
      </w:r>
      <w:r w:rsidRPr="00A36157">
        <w:rPr>
          <w:rFonts w:eastAsia="Times New Roman" w:cs="Times New Roman"/>
          <w:bCs/>
          <w:szCs w:val="24"/>
          <w:lang w:val="fr-CA" w:eastAsia="en-CA"/>
        </w:rPr>
        <w:t xml:space="preserve">, </w:t>
      </w:r>
      <w:r w:rsidRPr="00A36157">
        <w:rPr>
          <w:rFonts w:cs="Times New Roman"/>
          <w:lang w:val="fr-CA"/>
        </w:rPr>
        <w:t>autorisation d’appel refusée, [1979] 1 R.C.S. viii).</w:t>
      </w:r>
      <w:r w:rsidRPr="00A36157">
        <w:rPr>
          <w:rFonts w:eastAsia="Times New Roman" w:cs="Times New Roman"/>
          <w:bCs/>
          <w:szCs w:val="24"/>
          <w:lang w:val="fr-CA" w:eastAsia="en-CA"/>
        </w:rPr>
        <w:t xml:space="preserve"> Un </w:t>
      </w:r>
      <w:r w:rsidRPr="00A36157">
        <w:rPr>
          <w:rFonts w:cs="Times New Roman"/>
          <w:szCs w:val="24"/>
          <w:lang w:val="fr-CA"/>
        </w:rPr>
        <w:t>« formalisme artificiel et excessif » ne saurait s’appliquer (</w:t>
      </w:r>
      <w:r w:rsidRPr="00A36157">
        <w:rPr>
          <w:rFonts w:cs="Times New Roman"/>
          <w:i/>
          <w:szCs w:val="24"/>
          <w:lang w:val="fr-CA"/>
        </w:rPr>
        <w:t>Procom</w:t>
      </w:r>
      <w:r w:rsidRPr="00A36157">
        <w:rPr>
          <w:rFonts w:cs="Times New Roman"/>
          <w:szCs w:val="24"/>
          <w:lang w:val="fr-CA"/>
        </w:rPr>
        <w:t>, p. 563). D</w:t>
      </w:r>
      <w:r w:rsidRPr="00A36157">
        <w:rPr>
          <w:rFonts w:cs="Times New Roman"/>
          <w:lang w:val="fr-CA"/>
        </w:rPr>
        <w:t xml:space="preserve">ans l’évaluation de la preuve des faits, le juge de première instance était donc justifié de décider si, en incitant d’autres personnes à violer l’Ordonnance de sauvegarde, comme il lui était reproché de l’avoir fait, l’intimé a agi de manière à entraver le cours de la justice ou à porter atteinte à l’autorité ou à la dignité du tribunal, suivant les termes de la dernière partie de l’art. 50 al. 1 </w:t>
      </w:r>
      <w:r w:rsidRPr="00A36157">
        <w:rPr>
          <w:rFonts w:cs="Times New Roman"/>
          <w:i/>
          <w:lang w:val="fr-CA"/>
        </w:rPr>
        <w:t>C.p.c.</w:t>
      </w:r>
      <w:r w:rsidRPr="00A36157">
        <w:rPr>
          <w:rFonts w:cs="Times New Roman"/>
          <w:lang w:val="fr-CA"/>
        </w:rPr>
        <w:t xml:space="preserve"> (par. 64).</w:t>
      </w:r>
    </w:p>
    <w:p w:rsidR="00A36157" w:rsidRPr="00240EF8" w:rsidRDefault="00A36157" w:rsidP="003223DD">
      <w:pPr>
        <w:pStyle w:val="Title2LevelTitre2Niveau"/>
        <w:widowControl w:val="0"/>
        <w:numPr>
          <w:ilvl w:val="1"/>
          <w:numId w:val="3"/>
        </w:numPr>
        <w:jc w:val="both"/>
        <w:rPr>
          <w:rFonts w:cs="Times New Roman"/>
        </w:rPr>
      </w:pPr>
      <w:r w:rsidRPr="00240EF8">
        <w:rPr>
          <w:rFonts w:cs="Times New Roman"/>
        </w:rPr>
        <w:t>La connaissance de l’ordonnance</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lastRenderedPageBreak/>
        <w:t xml:space="preserve">J’estime que la connaissance spécifique d’une ordonnance que l’intimé a, prétend-on, incité d’autres citoyens à enfreindre n’est pas essentielle pour que ce dernier soit déclaré coupable d’outrage au tribunal en vertu de la dernière partie de l’art. 50 al. 1 </w:t>
      </w:r>
      <w:r w:rsidRPr="00A36157">
        <w:rPr>
          <w:rFonts w:cs="Times New Roman"/>
          <w:i/>
          <w:lang w:val="fr-CA"/>
        </w:rPr>
        <w:t>C.p.c.</w:t>
      </w:r>
      <w:r w:rsidRPr="00A36157">
        <w:rPr>
          <w:rFonts w:cs="Times New Roman"/>
          <w:lang w:val="fr-CA"/>
        </w:rPr>
        <w:t xml:space="preserve"> </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szCs w:val="24"/>
          <w:lang w:val="fr-CA"/>
        </w:rPr>
        <w:t xml:space="preserve">En l’espèce, il ne s’agit pas d’une ordonnance à laquelle l’intimé a lui-même désobéi. Il s’agit plutôt d’une ordonnance, parmi plusieurs autres ordonnances semblables, à laquelle l’intimé est accusé d’avoir contrevenu en incitant d’autres étudiants à y désobéir. Partant, l’outrage au tribunal allégué en l’espèce ne vise pas vraiment la violation de l’Ordonnance de sauvegarde elle-même (la première partie de l’art. 50 al. 1 </w:t>
      </w:r>
      <w:r w:rsidRPr="00A36157">
        <w:rPr>
          <w:rFonts w:cs="Times New Roman"/>
          <w:i/>
          <w:szCs w:val="24"/>
          <w:lang w:val="fr-CA"/>
        </w:rPr>
        <w:t>C.p.c.</w:t>
      </w:r>
      <w:r w:rsidRPr="00A36157">
        <w:rPr>
          <w:rFonts w:cs="Times New Roman"/>
          <w:szCs w:val="24"/>
          <w:lang w:val="fr-CA"/>
        </w:rPr>
        <w:t xml:space="preserve">), mais plutôt un comportement ayant porté atteinte à l’autorité du tribunal (la dernière partie de l’art. 50 al. 1 </w:t>
      </w:r>
      <w:r w:rsidRPr="00A36157">
        <w:rPr>
          <w:rFonts w:cs="Times New Roman"/>
          <w:i/>
          <w:szCs w:val="24"/>
          <w:lang w:val="fr-CA"/>
        </w:rPr>
        <w:t>C.p.c.</w:t>
      </w:r>
      <w:r w:rsidRPr="00A36157">
        <w:rPr>
          <w:rFonts w:cs="Times New Roman"/>
          <w:szCs w:val="24"/>
          <w:lang w:val="fr-CA"/>
        </w:rPr>
        <w:t xml:space="preserve">). La deuxième de ces infractions </w:t>
      </w:r>
      <w:r w:rsidRPr="00A36157">
        <w:rPr>
          <w:rFonts w:cs="Times New Roman"/>
          <w:lang w:val="fr-CA"/>
        </w:rPr>
        <w:t>est de portée plus générale que la seule violation des ordonnances</w:t>
      </w:r>
      <w:r w:rsidRPr="00A36157">
        <w:rPr>
          <w:rFonts w:cs="Times New Roman"/>
          <w:szCs w:val="24"/>
          <w:lang w:val="fr-CA"/>
        </w:rPr>
        <w:t>. C’est pourquoi une</w:t>
      </w:r>
      <w:r w:rsidRPr="00A36157">
        <w:rPr>
          <w:rFonts w:cs="Times New Roman"/>
          <w:lang w:val="fr-CA"/>
        </w:rPr>
        <w:t xml:space="preserve"> condamnation pour outrage au tribunal est possible, </w:t>
      </w:r>
      <w:r w:rsidRPr="00A36157">
        <w:rPr>
          <w:rFonts w:cs="Times New Roman"/>
          <w:szCs w:val="24"/>
          <w:lang w:val="fr-CA"/>
        </w:rPr>
        <w:t xml:space="preserve">sous le régime de la dernière partie de l’art. 50 al. 1 </w:t>
      </w:r>
      <w:r w:rsidRPr="00A36157">
        <w:rPr>
          <w:rFonts w:cs="Times New Roman"/>
          <w:i/>
          <w:szCs w:val="24"/>
          <w:lang w:val="fr-CA"/>
        </w:rPr>
        <w:t>C.p.c.</w:t>
      </w:r>
      <w:r w:rsidRPr="00A36157">
        <w:rPr>
          <w:rFonts w:cs="Times New Roman"/>
          <w:szCs w:val="24"/>
          <w:lang w:val="fr-CA"/>
        </w:rPr>
        <w:t xml:space="preserve">, </w:t>
      </w:r>
      <w:r w:rsidRPr="00A36157">
        <w:rPr>
          <w:rFonts w:cs="Times New Roman"/>
          <w:lang w:val="fr-CA"/>
        </w:rPr>
        <w:t>même si l’ordonnance sous-jacente n’a pas encore pris effet</w:t>
      </w:r>
      <w:r w:rsidRPr="00A36157">
        <w:rPr>
          <w:rStyle w:val="reflex3-alt"/>
          <w:rFonts w:cs="Times New Roman"/>
          <w:spacing w:val="-3"/>
          <w:lang w:val="fr-CA"/>
        </w:rPr>
        <w:t>.</w:t>
      </w:r>
      <w:r w:rsidRPr="00A36157">
        <w:rPr>
          <w:rFonts w:cs="Times New Roman"/>
          <w:lang w:val="fr-CA"/>
        </w:rPr>
        <w:t xml:space="preserve"> Comme </w:t>
      </w:r>
      <w:r w:rsidRPr="00A36157">
        <w:rPr>
          <w:rFonts w:cs="Times New Roman"/>
          <w:szCs w:val="24"/>
          <w:lang w:val="fr-CA"/>
        </w:rPr>
        <w:t xml:space="preserve">l’a reconnu le juge Dickson (plus tard Juge en chef) </w:t>
      </w:r>
      <w:r w:rsidR="0075146A" w:rsidRPr="00A36157">
        <w:rPr>
          <w:rFonts w:cs="Times New Roman"/>
          <w:szCs w:val="24"/>
          <w:lang w:val="fr-CA"/>
        </w:rPr>
        <w:t xml:space="preserve">au nom de la Cour </w:t>
      </w:r>
      <w:r w:rsidRPr="00A36157">
        <w:rPr>
          <w:rFonts w:cs="Times New Roman"/>
          <w:szCs w:val="24"/>
          <w:lang w:val="fr-CA"/>
        </w:rPr>
        <w:t xml:space="preserve">dans l’arrêt </w:t>
      </w:r>
      <w:r w:rsidRPr="00A36157">
        <w:rPr>
          <w:rFonts w:cs="Times New Roman"/>
          <w:i/>
          <w:iCs/>
          <w:spacing w:val="-3"/>
          <w:lang w:val="fr-CA"/>
        </w:rPr>
        <w:t>Baxter</w:t>
      </w:r>
      <w:r w:rsidRPr="00A36157">
        <w:rPr>
          <w:rStyle w:val="reflex3-alt"/>
          <w:rFonts w:cs="Times New Roman"/>
          <w:spacing w:val="-3"/>
          <w:lang w:val="fr-CA"/>
        </w:rPr>
        <w:t>, p. 396-397 :</w:t>
      </w:r>
      <w:r w:rsidRPr="00A36157">
        <w:rPr>
          <w:rFonts w:cs="Times New Roman"/>
          <w:szCs w:val="24"/>
          <w:lang w:val="fr-CA"/>
        </w:rPr>
        <w:t xml:space="preserve"> </w:t>
      </w:r>
    </w:p>
    <w:p w:rsidR="00A36157" w:rsidRPr="00A36157" w:rsidRDefault="00A36157" w:rsidP="003223DD">
      <w:pPr>
        <w:pStyle w:val="Citation-AltC"/>
        <w:widowControl w:val="0"/>
        <w:ind w:firstLine="274"/>
        <w:rPr>
          <w:lang w:val="fr-CA"/>
        </w:rPr>
      </w:pPr>
      <w:r w:rsidRPr="00A36157">
        <w:rPr>
          <w:lang w:val="fr-CA"/>
        </w:rPr>
        <w:t xml:space="preserve">Les pouvoirs de la cour en matière d’outrage ont pour but général d’assurer le fonctionnement harmonieux du système judiciaire. </w:t>
      </w:r>
      <w:r w:rsidRPr="00A36157">
        <w:rPr>
          <w:u w:val="single"/>
          <w:lang w:val="fr-CA"/>
        </w:rPr>
        <w:t xml:space="preserve">L’outrage au </w:t>
      </w:r>
      <w:r w:rsidRPr="00A36157">
        <w:rPr>
          <w:spacing w:val="4"/>
          <w:u w:val="single"/>
          <w:lang w:val="fr-CA"/>
        </w:rPr>
        <w:t xml:space="preserve">tribunal </w:t>
      </w:r>
      <w:r w:rsidRPr="00A36157">
        <w:rPr>
          <w:u w:val="single"/>
          <w:lang w:val="fr-CA"/>
        </w:rPr>
        <w:t>va beaucoup plus loin que la violation des ordonnances de la cour.</w:t>
      </w:r>
      <w:r w:rsidRPr="00A36157">
        <w:rPr>
          <w:lang w:val="fr-CA"/>
        </w:rPr>
        <w:t xml:space="preserve"> . .  </w:t>
      </w:r>
    </w:p>
    <w:p w:rsidR="00A36157" w:rsidRPr="00A36157" w:rsidRDefault="00A36157" w:rsidP="003223DD">
      <w:pPr>
        <w:pStyle w:val="Citation-AltC"/>
        <w:widowControl w:val="0"/>
        <w:ind w:firstLine="274"/>
        <w:rPr>
          <w:lang w:val="fr-CA"/>
        </w:rPr>
      </w:pPr>
    </w:p>
    <w:p w:rsidR="00A36157" w:rsidRPr="00240EF8" w:rsidRDefault="00A36157" w:rsidP="003223DD">
      <w:pPr>
        <w:pStyle w:val="Citation-AltC"/>
        <w:widowControl w:val="0"/>
        <w:ind w:firstLine="274"/>
        <w:rPr>
          <w:spacing w:val="4"/>
        </w:rPr>
      </w:pPr>
      <w:r w:rsidRPr="00A36157">
        <w:rPr>
          <w:u w:val="single"/>
          <w:lang w:val="fr-CA"/>
        </w:rPr>
        <w:t>L’outrage relatif à des injonctions a toujours été de portée plus générale que la violation réelle d’une injonction.</w:t>
      </w:r>
      <w:r w:rsidRPr="00A36157">
        <w:rPr>
          <w:lang w:val="fr-CA"/>
        </w:rPr>
        <w:t xml:space="preserve"> Le juge Cattanach le reconnaît en l’espèce. Thomas Maxwell est désigné dans l’ordonnance de justification comme auteur d’un outrage au tribunal à titre personnel bien qu’il ne soit pas partie à l’action. Il n’est pas personnellement lié par l’injonction et il ne pouvait donc pas être personnellement coupable de violation. </w:t>
      </w:r>
      <w:r w:rsidRPr="00A36157">
        <w:rPr>
          <w:lang w:val="fr-CA"/>
        </w:rPr>
        <w:lastRenderedPageBreak/>
        <w:t xml:space="preserve">Néanmoins, le juge Cattanach a reconnu qu’il pouvait </w:t>
      </w:r>
      <w:r w:rsidRPr="00A36157">
        <w:rPr>
          <w:spacing w:val="4"/>
          <w:lang w:val="fr-CA"/>
        </w:rPr>
        <w:t xml:space="preserve">quand même être déclaré coupable d’outrage, </w:t>
      </w:r>
      <w:r w:rsidRPr="00A36157">
        <w:rPr>
          <w:spacing w:val="4"/>
          <w:u w:val="single"/>
          <w:lang w:val="fr-CA"/>
        </w:rPr>
        <w:t>si en toute connaissance de l’existence de l’injonction, il a contrevenu à ses conditions. Bien qu’il ne s’agisse pas formellement de la violation d’une injonction, une telle conduite constitue un outrage au tribunal parce qu’elle tend à entraver le cours de la justice</w:t>
      </w:r>
      <w:r w:rsidRPr="00A36157">
        <w:rPr>
          <w:spacing w:val="4"/>
          <w:lang w:val="fr-CA"/>
        </w:rPr>
        <w:t xml:space="preserve">; </w:t>
      </w:r>
      <w:r w:rsidRPr="00A36157">
        <w:rPr>
          <w:i/>
          <w:iCs/>
          <w:lang w:val="fr-CA"/>
        </w:rPr>
        <w:t>Kerr on Injunctions</w:t>
      </w:r>
      <w:r w:rsidRPr="00A36157">
        <w:rPr>
          <w:iCs/>
          <w:lang w:val="fr-CA"/>
        </w:rPr>
        <w:t>,</w:t>
      </w:r>
      <w:r w:rsidRPr="00A36157">
        <w:rPr>
          <w:i/>
          <w:iCs/>
          <w:lang w:val="fr-CA"/>
        </w:rPr>
        <w:t xml:space="preserve"> </w:t>
      </w:r>
      <w:r w:rsidRPr="00A36157">
        <w:rPr>
          <w:iCs/>
          <w:lang w:val="fr-CA"/>
        </w:rPr>
        <w:t>6</w:t>
      </w:r>
      <w:r w:rsidRPr="00A36157">
        <w:rPr>
          <w:spacing w:val="4"/>
          <w:vertAlign w:val="superscript"/>
          <w:lang w:val="fr-CA"/>
        </w:rPr>
        <w:t>e</w:t>
      </w:r>
      <w:r w:rsidRPr="00A36157">
        <w:rPr>
          <w:spacing w:val="4"/>
          <w:lang w:val="fr-CA"/>
        </w:rPr>
        <w:t xml:space="preserve"> éd., 1927, à la p. 675; </w:t>
      </w:r>
      <w:r w:rsidRPr="00A36157">
        <w:rPr>
          <w:i/>
          <w:iCs/>
          <w:lang w:val="fr-CA"/>
        </w:rPr>
        <w:t>Poje v. Attorney General for British Columbia</w:t>
      </w:r>
      <w:r w:rsidRPr="00A36157">
        <w:rPr>
          <w:rStyle w:val="reflex3-block"/>
          <w:rFonts w:eastAsiaTheme="minorEastAsia"/>
          <w:spacing w:val="4"/>
          <w:lang w:val="fr-CA"/>
        </w:rPr>
        <w:t xml:space="preserve">, </w:t>
      </w:r>
      <w:r w:rsidRPr="00A36157">
        <w:rPr>
          <w:rStyle w:val="reflex3-alt"/>
          <w:spacing w:val="4"/>
          <w:lang w:val="fr-CA"/>
        </w:rPr>
        <w:t>[1953] 1 R.C.S. 516</w:t>
      </w:r>
      <w:r w:rsidRPr="00A36157">
        <w:rPr>
          <w:spacing w:val="4"/>
          <w:lang w:val="fr-CA"/>
        </w:rPr>
        <w:t xml:space="preserve">. </w:t>
      </w:r>
      <w:r w:rsidRPr="00240EF8">
        <w:rPr>
          <w:spacing w:val="4"/>
        </w:rPr>
        <w:t>[Je souligne.]</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 xml:space="preserve">Le juge doit alors apprécier la nature et l’étendue de la connaissance de l’ordonnance en cause afin de décider si le défendeur est, hors de tout doute raisonnable, coupable d’outrage au tribunal selon la dernière partie de l’art. 50 al. 1 </w:t>
      </w:r>
      <w:r w:rsidRPr="00A36157">
        <w:rPr>
          <w:rFonts w:cs="Times New Roman"/>
          <w:i/>
          <w:lang w:val="fr-CA"/>
        </w:rPr>
        <w:t>C.p.c.</w:t>
      </w:r>
      <w:r w:rsidRPr="00A36157">
        <w:rPr>
          <w:rFonts w:cs="Times New Roman"/>
          <w:lang w:val="fr-CA"/>
        </w:rPr>
        <w:t>, pour le motif qu’il a incité d’autres personnes à désobéir à cette ordonnance.</w:t>
      </w:r>
    </w:p>
    <w:p w:rsidR="00A36157" w:rsidRPr="00A36157" w:rsidRDefault="00A36157" w:rsidP="003223DD">
      <w:pPr>
        <w:pStyle w:val="ParaNoNdepar-AltN"/>
        <w:widowControl w:val="0"/>
        <w:tabs>
          <w:tab w:val="clear" w:pos="1166"/>
          <w:tab w:val="clear" w:pos="1512"/>
          <w:tab w:val="num" w:pos="1152"/>
        </w:tabs>
        <w:ind w:left="0"/>
        <w:rPr>
          <w:rStyle w:val="reflex3-alt"/>
          <w:rFonts w:cs="Times New Roman"/>
          <w:lang w:val="fr-CA"/>
        </w:rPr>
      </w:pPr>
      <w:r w:rsidRPr="00A36157">
        <w:rPr>
          <w:rFonts w:cs="Times New Roman"/>
          <w:lang w:val="fr-CA"/>
        </w:rPr>
        <w:t xml:space="preserve">Dans l’arrêt </w:t>
      </w:r>
      <w:r w:rsidRPr="00A36157">
        <w:rPr>
          <w:rFonts w:cs="Times New Roman"/>
          <w:i/>
          <w:lang w:val="fr-CA"/>
        </w:rPr>
        <w:t>Bhatnager c. Canada (Ministre de l’Emploi et de l’Immigration)</w:t>
      </w:r>
      <w:r w:rsidRPr="00A36157">
        <w:rPr>
          <w:rFonts w:cs="Times New Roman"/>
          <w:lang w:val="fr-CA"/>
        </w:rPr>
        <w:t>, [1990] 2 R.C.S. 217, p. 225, il est exact que notre Cour a précisé que la preuve doit démontrer « la connaissance personnelle réelle [par le défendeur] de l’ordonnance d’un tribunal ». Le droit québécois en matière d’outrage au tribunal tire sa source de la common law, dont les règles s’appliquent à moins d’avoir été écartées expressément (</w:t>
      </w:r>
      <w:r w:rsidRPr="00A36157">
        <w:rPr>
          <w:rFonts w:cs="Times New Roman"/>
          <w:i/>
          <w:lang w:val="fr-CA"/>
        </w:rPr>
        <w:t>Vidéotron</w:t>
      </w:r>
      <w:r w:rsidRPr="00A36157">
        <w:rPr>
          <w:rFonts w:cs="Times New Roman"/>
          <w:lang w:val="fr-CA"/>
        </w:rPr>
        <w:t xml:space="preserve">, le juge Gonthier; </w:t>
      </w:r>
      <w:r w:rsidRPr="00A36157">
        <w:rPr>
          <w:rFonts w:cs="Times New Roman"/>
          <w:i/>
          <w:iCs/>
          <w:spacing w:val="-3"/>
          <w:lang w:val="fr-CA"/>
        </w:rPr>
        <w:t>Société Radio-Canada c. Commission de police du Québec</w:t>
      </w:r>
      <w:r w:rsidRPr="00A36157">
        <w:rPr>
          <w:rFonts w:cs="Times New Roman"/>
          <w:spacing w:val="-3"/>
          <w:lang w:val="fr-CA"/>
        </w:rPr>
        <w:t xml:space="preserve">, </w:t>
      </w:r>
      <w:r w:rsidRPr="00A36157">
        <w:rPr>
          <w:rStyle w:val="reflex3-alt"/>
          <w:rFonts w:cs="Times New Roman"/>
          <w:spacing w:val="-3"/>
          <w:lang w:val="fr-CA"/>
        </w:rPr>
        <w:t xml:space="preserve">[1979] 2 R.C.S. 618, p. 644, le juge Beetz; D. Ferland et B. Emery, </w:t>
      </w:r>
      <w:r w:rsidRPr="00A36157">
        <w:rPr>
          <w:rStyle w:val="reflex3-alt"/>
          <w:rFonts w:cs="Times New Roman"/>
          <w:i/>
          <w:spacing w:val="-3"/>
          <w:lang w:val="fr-CA"/>
        </w:rPr>
        <w:t>Précis de procédure civile du Québec</w:t>
      </w:r>
      <w:r w:rsidRPr="00A36157">
        <w:rPr>
          <w:rStyle w:val="reflex3-alt"/>
          <w:rFonts w:cs="Times New Roman"/>
          <w:spacing w:val="-3"/>
          <w:lang w:val="fr-CA"/>
        </w:rPr>
        <w:t xml:space="preserve"> (5</w:t>
      </w:r>
      <w:r w:rsidRPr="00A36157">
        <w:rPr>
          <w:rStyle w:val="reflex3-alt"/>
          <w:rFonts w:cs="Times New Roman"/>
          <w:spacing w:val="-3"/>
          <w:vertAlign w:val="superscript"/>
          <w:lang w:val="fr-CA"/>
        </w:rPr>
        <w:t>e</w:t>
      </w:r>
      <w:r w:rsidRPr="00A36157">
        <w:rPr>
          <w:rStyle w:val="reflex3-alt"/>
          <w:rFonts w:cs="Times New Roman"/>
          <w:spacing w:val="-3"/>
          <w:lang w:val="fr-CA"/>
        </w:rPr>
        <w:t xml:space="preserve"> éd. 2015), vol. 1, p. 302-303).</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 xml:space="preserve">Toutefois, l’arrêt </w:t>
      </w:r>
      <w:r w:rsidRPr="00A36157">
        <w:rPr>
          <w:rFonts w:cs="Times New Roman"/>
          <w:i/>
          <w:lang w:val="fr-CA"/>
        </w:rPr>
        <w:t xml:space="preserve">Bhatnager </w:t>
      </w:r>
      <w:r w:rsidRPr="00A36157">
        <w:rPr>
          <w:rFonts w:cs="Times New Roman"/>
          <w:lang w:val="fr-CA"/>
        </w:rPr>
        <w:t xml:space="preserve">et d’autres décisions importantes en la matière ne précisent pas ce qui constitue la connaissance « personnelle réelle ». Elles ne déclarent pas non plus que cette connaissance doit être spécifique. Voir, à titre d’exemple, </w:t>
      </w:r>
      <w:r w:rsidRPr="00240EF8">
        <w:rPr>
          <w:rFonts w:cs="Times New Roman"/>
          <w:i/>
          <w:lang w:val="fr-FR"/>
        </w:rPr>
        <w:t xml:space="preserve">Carey </w:t>
      </w:r>
      <w:r w:rsidRPr="00240EF8">
        <w:rPr>
          <w:rFonts w:cs="Times New Roman"/>
          <w:i/>
          <w:iCs/>
          <w:lang w:val="fr-FR"/>
        </w:rPr>
        <w:t>c.</w:t>
      </w:r>
      <w:r w:rsidRPr="00240EF8">
        <w:rPr>
          <w:rFonts w:cs="Times New Roman"/>
          <w:i/>
          <w:lang w:val="fr-FR"/>
        </w:rPr>
        <w:t xml:space="preserve"> Laiken</w:t>
      </w:r>
      <w:r w:rsidRPr="00240EF8">
        <w:rPr>
          <w:rFonts w:cs="Times New Roman"/>
          <w:lang w:val="fr-FR"/>
        </w:rPr>
        <w:t>, 2015 CSC 17, [2015] 2 R.C.S. 79, par. 34; et</w:t>
      </w:r>
      <w:r w:rsidRPr="00240EF8">
        <w:rPr>
          <w:rFonts w:cs="Times New Roman"/>
          <w:i/>
          <w:iCs/>
          <w:lang w:val="fr-FR"/>
        </w:rPr>
        <w:t xml:space="preserve"> College of Optometrists (Ont.) c. SHS Optical Ltd.</w:t>
      </w:r>
      <w:r w:rsidRPr="00240EF8">
        <w:rPr>
          <w:rFonts w:cs="Times New Roman"/>
          <w:lang w:val="fr-FR"/>
        </w:rPr>
        <w:t xml:space="preserve">, 2008 ONCA 685, 241 O.A.C. 225, par. 71. </w:t>
      </w:r>
      <w:r w:rsidRPr="00A36157">
        <w:rPr>
          <w:rFonts w:cs="Times New Roman"/>
          <w:lang w:val="fr-CA"/>
        </w:rPr>
        <w:t xml:space="preserve">Ce </w:t>
      </w:r>
      <w:r w:rsidRPr="00A36157">
        <w:rPr>
          <w:rFonts w:cs="Times New Roman"/>
          <w:lang w:val="fr-CA"/>
        </w:rPr>
        <w:lastRenderedPageBreak/>
        <w:t>qui est clair, c’est qu’il n’est pas nécessaire que le défendeur ait reçu signification de l’ordonnance. La connaissance peut toujours être inférée de la preuve circonstancielle (</w:t>
      </w:r>
      <w:r w:rsidRPr="00A36157">
        <w:rPr>
          <w:rFonts w:cs="Times New Roman"/>
          <w:i/>
          <w:lang w:val="fr-CA"/>
        </w:rPr>
        <w:t>Bhatnager</w:t>
      </w:r>
      <w:r w:rsidRPr="00A36157">
        <w:rPr>
          <w:rFonts w:cs="Times New Roman"/>
          <w:lang w:val="fr-CA"/>
        </w:rPr>
        <w:t xml:space="preserve">, p. 226; </w:t>
      </w:r>
      <w:r w:rsidRPr="00A36157">
        <w:rPr>
          <w:rFonts w:cs="Times New Roman"/>
          <w:i/>
          <w:lang w:val="fr-CA" w:bidi="en-US"/>
        </w:rPr>
        <w:t>Estrada c. Young</w:t>
      </w:r>
      <w:r w:rsidRPr="00A36157">
        <w:rPr>
          <w:rFonts w:cs="Times New Roman"/>
          <w:lang w:val="fr-CA" w:bidi="en-US"/>
        </w:rPr>
        <w:t>, 2005 QCCA 493, par. 11 (CanLII)).</w:t>
      </w:r>
      <w:r w:rsidRPr="00A36157">
        <w:rPr>
          <w:rFonts w:cs="Times New Roman"/>
          <w:lang w:val="fr-CA"/>
        </w:rPr>
        <w:t xml:space="preserve"> L’inférence doit être raisonnable compte tenu d’une appréciation logique de la preuve ou de l’absence de preuve, et suivant le bon sens et l’expérience humaine (</w:t>
      </w:r>
      <w:r w:rsidRPr="00A36157">
        <w:rPr>
          <w:rFonts w:cs="Times New Roman"/>
          <w:i/>
          <w:lang w:val="fr-CA"/>
        </w:rPr>
        <w:t>R. c. Villaroman</w:t>
      </w:r>
      <w:r w:rsidRPr="00A36157">
        <w:rPr>
          <w:rFonts w:cs="Times New Roman"/>
          <w:lang w:val="fr-CA"/>
        </w:rPr>
        <w:t>, 2016 CSC 33, [2016] 1 R.C.S. 1001, par. 36).</w:t>
      </w:r>
    </w:p>
    <w:p w:rsidR="00A36157" w:rsidRPr="00A36157" w:rsidRDefault="00A36157" w:rsidP="003223DD">
      <w:pPr>
        <w:pStyle w:val="ParaNoNdepar-AltN"/>
        <w:widowControl w:val="0"/>
        <w:tabs>
          <w:tab w:val="clear" w:pos="1166"/>
          <w:tab w:val="clear" w:pos="1512"/>
          <w:tab w:val="num" w:pos="1152"/>
        </w:tabs>
        <w:ind w:left="0"/>
        <w:rPr>
          <w:rFonts w:cs="Times New Roman"/>
          <w:szCs w:val="24"/>
          <w:lang w:val="fr-CA"/>
        </w:rPr>
      </w:pPr>
      <w:r w:rsidRPr="00A36157">
        <w:rPr>
          <w:rFonts w:cs="Times New Roman"/>
          <w:lang w:val="fr-CA"/>
        </w:rPr>
        <w:t xml:space="preserve">L’arrêt </w:t>
      </w:r>
      <w:r w:rsidRPr="00A36157">
        <w:rPr>
          <w:rFonts w:cs="Times New Roman"/>
          <w:i/>
          <w:lang w:val="fr-CA"/>
        </w:rPr>
        <w:t xml:space="preserve">Re </w:t>
      </w:r>
      <w:r w:rsidRPr="00A36157">
        <w:rPr>
          <w:rStyle w:val="tightinline1"/>
          <w:rFonts w:cs="Times New Roman"/>
          <w:i/>
          <w:szCs w:val="24"/>
          <w:lang w:val="fr-CA"/>
        </w:rPr>
        <w:t>Tilco Plastics Ltd. c. Skurjat</w:t>
      </w:r>
      <w:r w:rsidRPr="00A36157">
        <w:rPr>
          <w:rStyle w:val="tightinline1"/>
          <w:rFonts w:cs="Times New Roman"/>
          <w:szCs w:val="24"/>
          <w:lang w:val="fr-CA"/>
        </w:rPr>
        <w:t xml:space="preserve">, [1966] 2 O.R. 547 (H.C.J.), conf. par [1967] 2 C.C.C. 196 (C.A.), </w:t>
      </w:r>
      <w:r w:rsidRPr="00A36157">
        <w:rPr>
          <w:rFonts w:cs="Times New Roman"/>
          <w:lang w:val="fr-CA"/>
        </w:rPr>
        <w:t>autorisation d’appel refusée, [1966] R.C.S. vii</w:t>
      </w:r>
      <w:r w:rsidRPr="00A36157">
        <w:rPr>
          <w:rStyle w:val="tightinline1"/>
          <w:rFonts w:cs="Times New Roman"/>
          <w:szCs w:val="24"/>
          <w:lang w:val="fr-CA"/>
        </w:rPr>
        <w:t xml:space="preserve">, constitue </w:t>
      </w:r>
      <w:r w:rsidRPr="00A36157">
        <w:rPr>
          <w:rFonts w:cs="Times New Roman"/>
          <w:lang w:val="fr-CA"/>
        </w:rPr>
        <w:t xml:space="preserve">un exemple pertinent de connaissance inférée. Dans cet arrêt, il était allégué que les manifestants avaient violé une ordonnance limitant le piquetage autour d’un lieu de travail. La plupart des manifestants n’étaient ni nommés dans l’ordonnance, ni parties à l’action dans laquelle elle avait été prononcée. Néanmoins, la cour a apprécié la preuve circonstancielle, notamment le fait que la presse régionale avait informé le public de l’existence et du contenu de l’ordonnance, et le fait que plusieurs affiches brandies par certains manifestants durant leur piquetage référaient de façon générale aux ordonnances d’injonction. La cour a conclu qu’il avait été démontré hors de tout doute </w:t>
      </w:r>
      <w:r w:rsidRPr="00A36157">
        <w:rPr>
          <w:rFonts w:cs="Times New Roman"/>
          <w:szCs w:val="24"/>
          <w:lang w:val="fr-CA"/>
        </w:rPr>
        <w:t>raisonnable que les manifestants connaissaient la nature et le contenu de l’ordonnance et les a reconnus coupables d’outrage au tribunal : [</w:t>
      </w:r>
      <w:r w:rsidRPr="00A36157">
        <w:rPr>
          <w:rFonts w:cs="Times New Roman"/>
          <w:smallCaps/>
          <w:szCs w:val="24"/>
          <w:lang w:val="fr-CA"/>
        </w:rPr>
        <w:t>traduction</w:t>
      </w:r>
      <w:r w:rsidRPr="00A36157">
        <w:rPr>
          <w:rFonts w:cs="Times New Roman"/>
          <w:szCs w:val="24"/>
          <w:lang w:val="fr-CA"/>
        </w:rPr>
        <w:t>] « . . . il est très peu probable, compte tenu des autres circonstances établies, que les autres intimés n’aient pas appris l’existence de l’ordonnance par l’entremise de la radio et de la télévision, ainsi que par la notoriété dont jouissait cette situation dans la communauté » (</w:t>
      </w:r>
      <w:r w:rsidRPr="00A36157">
        <w:rPr>
          <w:rFonts w:cs="Times New Roman"/>
          <w:i/>
          <w:szCs w:val="24"/>
          <w:lang w:val="fr-CA"/>
        </w:rPr>
        <w:t>Tilco Plastics</w:t>
      </w:r>
      <w:r w:rsidRPr="00A36157">
        <w:rPr>
          <w:rFonts w:cs="Times New Roman"/>
          <w:szCs w:val="24"/>
          <w:lang w:val="fr-CA"/>
        </w:rPr>
        <w:t>, p. 570).</w:t>
      </w:r>
    </w:p>
    <w:p w:rsidR="00A36157" w:rsidRPr="00A36157" w:rsidRDefault="00A36157" w:rsidP="003223DD">
      <w:pPr>
        <w:pStyle w:val="ParaNoNdepar-AltN"/>
        <w:widowControl w:val="0"/>
        <w:tabs>
          <w:tab w:val="clear" w:pos="1166"/>
          <w:tab w:val="clear" w:pos="1512"/>
          <w:tab w:val="num" w:pos="1152"/>
        </w:tabs>
        <w:ind w:left="0"/>
        <w:rPr>
          <w:rFonts w:cs="Times New Roman"/>
          <w:szCs w:val="24"/>
          <w:lang w:val="fr-CA"/>
        </w:rPr>
      </w:pPr>
      <w:r w:rsidRPr="00A36157">
        <w:rPr>
          <w:rFonts w:cs="Times New Roman"/>
          <w:szCs w:val="24"/>
          <w:lang w:val="fr-CA"/>
        </w:rPr>
        <w:lastRenderedPageBreak/>
        <w:t xml:space="preserve">Dans l’arrêt </w:t>
      </w:r>
      <w:r w:rsidRPr="00A36157">
        <w:rPr>
          <w:rFonts w:cs="Times New Roman"/>
          <w:i/>
          <w:szCs w:val="24"/>
          <w:lang w:val="fr-CA"/>
        </w:rPr>
        <w:t>Avery c. Andrews</w:t>
      </w:r>
      <w:r w:rsidRPr="00A36157">
        <w:rPr>
          <w:rFonts w:cs="Times New Roman"/>
          <w:szCs w:val="24"/>
          <w:lang w:val="fr-CA"/>
        </w:rPr>
        <w:t xml:space="preserve"> (1882), 51 L.J. Ch. 414, mentionné dans </w:t>
      </w:r>
      <w:r w:rsidRPr="00A36157">
        <w:rPr>
          <w:rFonts w:cs="Times New Roman"/>
          <w:i/>
          <w:szCs w:val="24"/>
          <w:lang w:val="fr-CA"/>
        </w:rPr>
        <w:t>Bhatnager</w:t>
      </w:r>
      <w:r w:rsidRPr="00A36157">
        <w:rPr>
          <w:rFonts w:cs="Times New Roman"/>
          <w:szCs w:val="24"/>
          <w:lang w:val="fr-CA"/>
        </w:rPr>
        <w:t>, le tribunal a estimé que certains défendeurs, nouveaux fiduciaires d’une société, possédaient une connaissance suffisante du contenu d’une ordonnance d’injonction visant et nommant seulement les anciens fiduciaires, même si ces défendeurs avaient prétendu n’avoir jamais vu l’ordonnance ou une copie de celle-ci. Le tribunal a décidé que ces défendeurs étaient [</w:t>
      </w:r>
      <w:r w:rsidRPr="00A36157">
        <w:rPr>
          <w:rFonts w:cs="Times New Roman"/>
          <w:smallCaps/>
          <w:szCs w:val="24"/>
          <w:lang w:val="fr-CA"/>
        </w:rPr>
        <w:t>traduction</w:t>
      </w:r>
      <w:r w:rsidRPr="00A36157">
        <w:rPr>
          <w:rFonts w:cs="Times New Roman"/>
          <w:szCs w:val="24"/>
          <w:lang w:val="fr-CA"/>
        </w:rPr>
        <w:t>] « au fait des effets de l’ordonnance », étant donné qu’ils avaient assisté à une réunion pendant laquelle une lettre conseillant à la société de consentir à l’ordonnance était lue, et qu’un journal local avait publié un résumé complet du recours dans lequel l’ordonnance avait été rendue (p. 415-416).</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 xml:space="preserve">En conséquence, la question de la connaissance requiert une évaluation contextuelle. Dans </w:t>
      </w:r>
      <w:r w:rsidRPr="00A36157">
        <w:rPr>
          <w:rFonts w:cs="Times New Roman"/>
          <w:i/>
          <w:lang w:val="fr-CA"/>
        </w:rPr>
        <w:t>Bhatnager</w:t>
      </w:r>
      <w:r w:rsidRPr="00A36157">
        <w:rPr>
          <w:rFonts w:cs="Times New Roman"/>
          <w:lang w:val="fr-CA"/>
        </w:rPr>
        <w:t xml:space="preserve">, p. 225, notre Cour a cité et approuvé les propos suivants du lord juge Thesiger dans l’arrêt </w:t>
      </w:r>
      <w:r w:rsidRPr="00A36157">
        <w:rPr>
          <w:rFonts w:cs="Times New Roman"/>
          <w:i/>
          <w:iCs/>
          <w:lang w:val="fr-CA"/>
        </w:rPr>
        <w:t>Ex parte Langley</w:t>
      </w:r>
      <w:r w:rsidRPr="00A36157">
        <w:rPr>
          <w:rFonts w:cs="Times New Roman"/>
          <w:lang w:val="fr-CA"/>
        </w:rPr>
        <w:t xml:space="preserve"> (1879), 13 Ch. D. 110 (C.A.), p. 119 :</w:t>
      </w:r>
    </w:p>
    <w:p w:rsidR="00A36157" w:rsidRPr="00240EF8" w:rsidRDefault="00A36157" w:rsidP="003223DD">
      <w:pPr>
        <w:pStyle w:val="Citation-AltC"/>
        <w:widowControl w:val="0"/>
        <w:rPr>
          <w:spacing w:val="-3"/>
        </w:rPr>
      </w:pPr>
      <w:r w:rsidRPr="00A36157">
        <w:rPr>
          <w:lang w:val="fr-CA"/>
        </w:rPr>
        <w:t>[</w:t>
      </w:r>
      <w:r w:rsidRPr="00A36157">
        <w:rPr>
          <w:smallCaps/>
          <w:lang w:val="fr-CA"/>
        </w:rPr>
        <w:t>traduction</w:t>
      </w:r>
      <w:r w:rsidRPr="00A36157">
        <w:rPr>
          <w:lang w:val="fr-CA"/>
        </w:rPr>
        <w:t xml:space="preserve">] . . . la question dans chaque cas, </w:t>
      </w:r>
      <w:r w:rsidRPr="00A36157">
        <w:rPr>
          <w:u w:val="single"/>
          <w:lang w:val="fr-CA"/>
        </w:rPr>
        <w:t>et selon les circonstances particulières de l’affaire</w:t>
      </w:r>
      <w:r w:rsidRPr="00A36157">
        <w:rPr>
          <w:lang w:val="fr-CA"/>
        </w:rPr>
        <w:t>, doit être :  y a</w:t>
      </w:r>
      <w:r w:rsidRPr="00A36157">
        <w:rPr>
          <w:lang w:val="fr-CA"/>
        </w:rPr>
        <w:noBreakHyphen/>
        <w:t>t</w:t>
      </w:r>
      <w:r w:rsidRPr="00A36157">
        <w:rPr>
          <w:lang w:val="fr-CA"/>
        </w:rPr>
        <w:noBreakHyphen/>
        <w:t xml:space="preserve">il eu un avis donné à la personne accusée d’outrage au tribunal qui permette de déduire des faits qu’elle </w:t>
      </w:r>
      <w:r w:rsidRPr="00A36157">
        <w:rPr>
          <w:u w:val="single"/>
          <w:lang w:val="fr-CA"/>
        </w:rPr>
        <w:t>a effectivement reçu un avis de l’ordonnance qui avait été rendue</w:t>
      </w:r>
      <w:r w:rsidRPr="00A36157">
        <w:rPr>
          <w:lang w:val="fr-CA"/>
        </w:rPr>
        <w:t xml:space="preserve">?  Et dans une affaire de ce genre, compte tenu du fait qu’il peut y avoir atteinte à la liberté de la personne, je suis d’avis que ceux qui affirment qu’il y a eu un tel avis sont tenus de le démontrer hors de tout doute raisonnable. </w:t>
      </w:r>
      <w:r w:rsidRPr="00240EF8">
        <w:t>[Je souligne.]</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szCs w:val="24"/>
          <w:lang w:val="fr-CA"/>
        </w:rPr>
        <w:t xml:space="preserve">Ainsi, le juge Baudouin de la Cour d’appel du Québec a souligné ce qui suit dans l’arrêt </w:t>
      </w:r>
      <w:r w:rsidRPr="00A36157">
        <w:rPr>
          <w:rFonts w:cs="Times New Roman"/>
          <w:i/>
          <w:szCs w:val="24"/>
          <w:lang w:val="fr-CA"/>
        </w:rPr>
        <w:t>Zhang </w:t>
      </w:r>
      <w:r w:rsidRPr="00A36157">
        <w:rPr>
          <w:rFonts w:cs="Times New Roman"/>
          <w:szCs w:val="24"/>
          <w:lang w:val="fr-CA"/>
        </w:rPr>
        <w:t>: [</w:t>
      </w:r>
      <w:r w:rsidRPr="00A36157">
        <w:rPr>
          <w:rFonts w:cs="Times New Roman"/>
          <w:smallCaps/>
          <w:szCs w:val="24"/>
          <w:lang w:val="fr-CA"/>
        </w:rPr>
        <w:t>traduction</w:t>
      </w:r>
      <w:r w:rsidR="00B60208">
        <w:rPr>
          <w:rFonts w:cs="Times New Roman"/>
          <w:szCs w:val="24"/>
          <w:lang w:val="fr-CA"/>
        </w:rPr>
        <w:t>] « . . . l</w:t>
      </w:r>
      <w:r w:rsidRPr="00A36157">
        <w:rPr>
          <w:rFonts w:cs="Times New Roman"/>
          <w:szCs w:val="24"/>
          <w:lang w:val="fr-CA"/>
        </w:rPr>
        <w:t xml:space="preserve">es tribunaux doivent, d’une part, examiner le contexte dans lequel l’ordonnance a été rendue et l’évaluer selon les </w:t>
      </w:r>
      <w:r w:rsidRPr="00A36157">
        <w:rPr>
          <w:rFonts w:cs="Times New Roman"/>
          <w:szCs w:val="24"/>
          <w:lang w:val="fr-CA"/>
        </w:rPr>
        <w:lastRenderedPageBreak/>
        <w:t xml:space="preserve">circonstances spécifiques et particulières de la cause puis, d’autre part, </w:t>
      </w:r>
      <w:r w:rsidRPr="00A36157">
        <w:rPr>
          <w:rFonts w:cs="Times New Roman"/>
          <w:szCs w:val="24"/>
          <w:u w:val="single"/>
          <w:lang w:val="fr-CA"/>
        </w:rPr>
        <w:t>se demander si le défendeur aurait ou non raisonnablement pu savoir que ses actes ou omissions étaient visés par l’ordonnance</w:t>
      </w:r>
      <w:r w:rsidRPr="002A6540">
        <w:rPr>
          <w:rFonts w:cs="Times New Roman"/>
          <w:szCs w:val="24"/>
          <w:lang w:val="fr-CA"/>
        </w:rPr>
        <w:t> </w:t>
      </w:r>
      <w:r w:rsidRPr="00A36157">
        <w:rPr>
          <w:rFonts w:cs="Times New Roman"/>
          <w:szCs w:val="24"/>
          <w:lang w:val="fr-CA"/>
        </w:rPr>
        <w:t>» (par. 31 (je souligne)).</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szCs w:val="24"/>
          <w:lang w:val="fr-CA"/>
        </w:rPr>
        <w:t xml:space="preserve">Cela dit, lorsque l’accusation d’outrage au tribunal reproche au défendeur d’avoir incité d’autres personnes à violer une ordonnance, en contravention de la dernière partie de l’art. 50 al. 1 </w:t>
      </w:r>
      <w:r w:rsidRPr="00A36157">
        <w:rPr>
          <w:rFonts w:cs="Times New Roman"/>
          <w:i/>
          <w:szCs w:val="24"/>
          <w:lang w:val="fr-CA"/>
        </w:rPr>
        <w:t>C.p.c.</w:t>
      </w:r>
      <w:r w:rsidRPr="00A36157">
        <w:rPr>
          <w:rFonts w:cs="Times New Roman"/>
          <w:szCs w:val="24"/>
          <w:lang w:val="fr-CA"/>
        </w:rPr>
        <w:t>, je suis d’avis que la preuve doit établir hors de tout doute raisonnable que le défendeur savait que l’ordonnance en cause existait ou qu’il existait des ordonnances semblables contenant les mêmes conditions qu’il a encouragé d’autres personnes à ne pas respecter. En d’autres mots, la preuve doit établir, d’une part, que le défendeur connaissait l’existence d’une ou de plusieurs ordonnances en vigueur au moment de l’infraction et, d’autre part, qu’il était en mesure de savoir que ses actes ou ses paroles contrevenaient à ces ordonnances.</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En l’espèce, une analyse contextuelle des propos de l’intimé ne peut mener qu’à une seule conclusion raisonnable (</w:t>
      </w:r>
      <w:r w:rsidRPr="00A36157">
        <w:rPr>
          <w:rFonts w:cs="Times New Roman"/>
          <w:i/>
          <w:lang w:val="fr-CA"/>
        </w:rPr>
        <w:t>Villaroman</w:t>
      </w:r>
      <w:r w:rsidRPr="00A36157">
        <w:rPr>
          <w:rFonts w:cs="Times New Roman"/>
          <w:lang w:val="fr-CA"/>
        </w:rPr>
        <w:t>, par. 30;</w:t>
      </w:r>
      <w:r w:rsidRPr="00A36157">
        <w:rPr>
          <w:rFonts w:cs="Times New Roman"/>
          <w:i/>
          <w:lang w:val="fr-CA"/>
        </w:rPr>
        <w:t xml:space="preserve"> R.</w:t>
      </w:r>
      <w:r w:rsidRPr="00A36157">
        <w:rPr>
          <w:rFonts w:cs="Times New Roman"/>
          <w:i/>
          <w:iCs/>
          <w:lang w:val="fr-CA"/>
        </w:rPr>
        <w:t xml:space="preserve"> c</w:t>
      </w:r>
      <w:r w:rsidRPr="00A36157">
        <w:rPr>
          <w:rFonts w:cs="Times New Roman"/>
          <w:i/>
          <w:lang w:val="fr-CA"/>
        </w:rPr>
        <w:t>. Griffin</w:t>
      </w:r>
      <w:r w:rsidRPr="00A36157">
        <w:rPr>
          <w:rFonts w:cs="Times New Roman"/>
          <w:lang w:val="fr-CA"/>
        </w:rPr>
        <w:t>, 2009 CSC 28, [2009] 2 R.C.S. 42, par. 33, la juge Charron pour la majorité), soit que l’intimé avait la connaissance requise de la nature et de la portée des ordonnances.</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 xml:space="preserve">La connaissance des ordonnances étant une question de fait, la conclusion du tribunal de première instance à cet égard commande la déférence. Même si la Cour d’appel remet en cause certains faits constatés par le juge de première instance qui sont tributaires de la connaissance, ainsi que les inférences qu’en a tirées le juge, ces reproches concernent pour la plupart la preuve de la connaissance spécifique de </w:t>
      </w:r>
      <w:r w:rsidRPr="00A36157">
        <w:rPr>
          <w:rFonts w:cs="Times New Roman"/>
          <w:lang w:val="fr-CA"/>
        </w:rPr>
        <w:lastRenderedPageBreak/>
        <w:t>l’Ordonnance de sauvegarde, connaissance qui, tel qu’il a été expliqué plus haut, n’est pas nécessaire.</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szCs w:val="24"/>
          <w:lang w:val="fr-CA"/>
        </w:rPr>
        <w:t>À mon avis, tant l’approche adoptée par la Cour d’appel, que celle avancée par l’intimé lors de l’audience de notre Cour sont erronées. Si la preuve de la connaissance est circonstancielle, il faut alors examiner toutes les circonstances. Or, la Cour d’appel a affirmé que, dans le cadre de l’analyse de la connaissance de l’intimé, il fallait s’attarder à la réponse donnée par l’intimé lors de l’entrevue, plutôt qu’aux questions posées par la journaliste (par. 56). De même, l’intimé suggère d’ignorer les paroles de M. Bureau-Blouin sur le même sujet qui ont été diffusées juste avant. Une telle approche surprend et laisse perplexe. Comment peut-on procéder à une véritable évaluation contextuelle et circonstancielle en acceptant la preuve de certaines circonstances mais en écartant certaines autres? Avec égards pour l’opinion contraire, j’estime qu’une telle analyse est perfectible et incomplète.</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 xml:space="preserve">Considérées dans le contexte de l’ensemble de l’entrevue, comme l’a fait le juge de première instance, les paroles de l’intimé démontrent au-delà de tout doute raisonnable que l’intimé connaissait l’existence des ordonnances, ainsi que la teneur et la portée de celles-ci ― c’est-à-dire l’obligation de laisser aux étudiants le libre accès à leurs cours. </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spacing w:val="-3"/>
          <w:lang w:val="fr-CA"/>
        </w:rPr>
        <w:t xml:space="preserve">Comme le constate le juge de première instance, l’intimé « lui-même fait directement référence aux ordonnances rendues par les tribunaux ordonnant le libre accès des étudiants à leurs cours » (par. 81). Pendant l’entrevue télévisée, l’intimé dit qu’il est </w:t>
      </w:r>
      <w:r w:rsidRPr="00A36157">
        <w:rPr>
          <w:rFonts w:cs="Times New Roman"/>
          <w:spacing w:val="-3"/>
          <w:lang w:val="fr-CA"/>
        </w:rPr>
        <w:lastRenderedPageBreak/>
        <w:t>« </w:t>
      </w:r>
      <w:r w:rsidRPr="00A36157">
        <w:rPr>
          <w:rFonts w:cs="Times New Roman"/>
          <w:lang w:val="fr-CA"/>
        </w:rPr>
        <w:t xml:space="preserve">tout à fait regrettable là qu’il y ait vraiment </w:t>
      </w:r>
      <w:r w:rsidRPr="00A36157">
        <w:rPr>
          <w:rFonts w:cs="Times New Roman"/>
          <w:u w:val="single"/>
          <w:lang w:val="fr-CA"/>
        </w:rPr>
        <w:t>une minorité d’étudiants et d’étudiantes qui utilisent les tribunaux</w:t>
      </w:r>
      <w:r w:rsidRPr="00A36157">
        <w:rPr>
          <w:rFonts w:cs="Times New Roman"/>
          <w:lang w:val="fr-CA"/>
        </w:rPr>
        <w:t xml:space="preserve"> pour contourner la décision collective » de boycotter les cours (jugement de la Cour d’appel, par. 15 (je souligne)). Ces propos de l’intimé suivent la réponse</w:t>
      </w:r>
      <w:r w:rsidRPr="00A36157">
        <w:rPr>
          <w:rFonts w:cs="Times New Roman"/>
          <w:spacing w:val="-3"/>
          <w:lang w:val="fr-CA"/>
        </w:rPr>
        <w:t xml:space="preserve"> de M. Bureau-Blouin, lequel mentionne qu’il y a des « injonctions », « </w:t>
      </w:r>
      <w:r w:rsidRPr="00A36157">
        <w:rPr>
          <w:rFonts w:cs="Times New Roman"/>
          <w:lang w:val="fr-CA"/>
        </w:rPr>
        <w:t>des ordres précis de la Cour, pour ne pas bloquer le passage de certains étudiants » (</w:t>
      </w:r>
      <w:r w:rsidRPr="00A36157">
        <w:rPr>
          <w:rFonts w:cs="Times New Roman"/>
          <w:i/>
          <w:lang w:val="fr-CA"/>
        </w:rPr>
        <w:t>ibid.</w:t>
      </w:r>
      <w:r w:rsidRPr="00A36157">
        <w:rPr>
          <w:rFonts w:cs="Times New Roman"/>
          <w:lang w:val="fr-CA"/>
        </w:rPr>
        <w:t xml:space="preserve">). L’intimé a tenu les propos reproduits ci-dessus après avoir entendu cette réponse de M. Bureau-Blouin. </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Prétendre que l’intimé ne savait pas qu’il y avait des ordonnances dont les conditions pertinentes interdisaient de bloquer l’accès des étudiants à leurs cours fait totalement abstraction du contexte mis en preuve devant le juge de première instance. Même si c’était là une interprétation des faits théoriquement possible, le juge des faits ne devait pas s’appuyer sur des interprétations qu’il considère comme déraisonnables (</w:t>
      </w:r>
      <w:r w:rsidRPr="00A36157">
        <w:rPr>
          <w:rFonts w:cs="Times New Roman"/>
          <w:i/>
          <w:lang w:val="fr-CA"/>
        </w:rPr>
        <w:t>Villaroman</w:t>
      </w:r>
      <w:r w:rsidRPr="00A36157">
        <w:rPr>
          <w:rFonts w:cs="Times New Roman"/>
          <w:lang w:val="fr-CA"/>
        </w:rPr>
        <w:t xml:space="preserve">, par. 42). L’Ordonnance de sauvegarde faisait partie des mesures dont l’intimé connaissait pertinemment la teneur. Ainsi que </w:t>
      </w:r>
      <w:r w:rsidRPr="00A36157">
        <w:rPr>
          <w:rFonts w:cs="Times New Roman"/>
          <w:spacing w:val="-3"/>
          <w:lang w:val="fr-CA"/>
        </w:rPr>
        <w:t>le souligne le juge de première instance, au par. 82, « </w:t>
      </w:r>
      <w:r w:rsidRPr="00A36157">
        <w:rPr>
          <w:rFonts w:cs="Times New Roman"/>
          <w:lang w:val="fr-CA"/>
        </w:rPr>
        <w:t>[d]ans ce contexte, [l’intimé] ne peut prétendre [. . .] [qu’]il référait à toutes les autres ordonnances rendues par les tribunaux protégeant l’accès pour les étudiants à leurs cours, sauf celle du juge Émond. » De plus</w:t>
      </w:r>
      <w:r w:rsidRPr="00A36157">
        <w:rPr>
          <w:rFonts w:cs="Times New Roman"/>
          <w:spacing w:val="-3"/>
          <w:lang w:val="fr-CA"/>
        </w:rPr>
        <w:t xml:space="preserve">, comme a conclu le juge de première instance, et c’était là l’essentiel de son raisonnement, l’intimé connaissait la teneur des ordonnances et il a incité les étudiants à contrevenir à celles-ci pendant l’entrevue télévisée. </w:t>
      </w:r>
    </w:p>
    <w:p w:rsidR="00A36157" w:rsidRPr="00240EF8" w:rsidRDefault="00A36157" w:rsidP="003223DD">
      <w:pPr>
        <w:pStyle w:val="Title2LevelTitre2Niveau"/>
        <w:widowControl w:val="0"/>
        <w:numPr>
          <w:ilvl w:val="1"/>
          <w:numId w:val="3"/>
        </w:numPr>
        <w:jc w:val="both"/>
        <w:rPr>
          <w:rFonts w:cs="Times New Roman"/>
        </w:rPr>
      </w:pPr>
      <w:r w:rsidRPr="00240EF8">
        <w:rPr>
          <w:rFonts w:cs="Times New Roman"/>
        </w:rPr>
        <w:t>L’actus reus</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lastRenderedPageBreak/>
        <w:t>Je suis d’avis que la conclusion du juge de première instance sur l’</w:t>
      </w:r>
      <w:r w:rsidRPr="00A36157">
        <w:rPr>
          <w:rFonts w:cs="Times New Roman"/>
          <w:i/>
          <w:lang w:val="fr-CA"/>
        </w:rPr>
        <w:t xml:space="preserve">actus reus </w:t>
      </w:r>
      <w:r w:rsidRPr="00A36157">
        <w:rPr>
          <w:rFonts w:cs="Times New Roman"/>
          <w:lang w:val="fr-CA"/>
        </w:rPr>
        <w:t>mérite déférence. Avec égards, la Cour d’appel n’a relevé aucune erreur manifeste et déterminante dans le raisonnement du juge de première instance sur la nature et la connaissance de l’</w:t>
      </w:r>
      <w:r w:rsidRPr="00A36157">
        <w:rPr>
          <w:rFonts w:cs="Times New Roman"/>
          <w:i/>
          <w:lang w:val="fr-CA"/>
        </w:rPr>
        <w:t>actus reus</w:t>
      </w:r>
      <w:r w:rsidRPr="00A36157">
        <w:rPr>
          <w:rFonts w:cs="Times New Roman"/>
          <w:lang w:val="fr-CA"/>
        </w:rPr>
        <w:t>. Elle a tout simplement qualifié différemment la même trame factuelle.</w:t>
      </w:r>
    </w:p>
    <w:p w:rsidR="00A36157" w:rsidRPr="00A36157" w:rsidRDefault="00A36157" w:rsidP="003223DD">
      <w:pPr>
        <w:pStyle w:val="ParaNoNdepar-AltN"/>
        <w:widowControl w:val="0"/>
        <w:tabs>
          <w:tab w:val="clear" w:pos="1166"/>
          <w:tab w:val="clear" w:pos="1512"/>
          <w:tab w:val="num" w:pos="1152"/>
        </w:tabs>
        <w:ind w:left="0"/>
        <w:rPr>
          <w:rFonts w:cs="Times New Roman"/>
          <w:szCs w:val="24"/>
          <w:lang w:val="fr-CA"/>
        </w:rPr>
      </w:pPr>
      <w:r w:rsidRPr="00A36157">
        <w:rPr>
          <w:rFonts w:cs="Times New Roman"/>
          <w:lang w:val="fr-CA"/>
        </w:rPr>
        <w:t>L’</w:t>
      </w:r>
      <w:r w:rsidRPr="00A36157">
        <w:rPr>
          <w:rFonts w:cs="Times New Roman"/>
          <w:i/>
          <w:lang w:val="fr-CA"/>
        </w:rPr>
        <w:t xml:space="preserve">actus reus </w:t>
      </w:r>
      <w:r w:rsidRPr="00A36157">
        <w:rPr>
          <w:rFonts w:cs="Times New Roman"/>
          <w:lang w:val="fr-CA"/>
        </w:rPr>
        <w:t xml:space="preserve">correspondant à la première partie de l’art. 50 al. 1 </w:t>
      </w:r>
      <w:r w:rsidRPr="00A36157">
        <w:rPr>
          <w:rFonts w:cs="Times New Roman"/>
          <w:i/>
          <w:lang w:val="fr-CA"/>
        </w:rPr>
        <w:t>C.p.c.</w:t>
      </w:r>
      <w:r w:rsidRPr="00A36157">
        <w:rPr>
          <w:rFonts w:cs="Times New Roman"/>
          <w:lang w:val="fr-CA"/>
        </w:rPr>
        <w:t xml:space="preserve"> est une contravention à une ordonnance ou à une injonction d’un tribunal ou d’un de ses juges. Par contre, l’</w:t>
      </w:r>
      <w:r w:rsidRPr="00A36157">
        <w:rPr>
          <w:rFonts w:cs="Times New Roman"/>
          <w:i/>
          <w:lang w:val="fr-CA"/>
        </w:rPr>
        <w:t xml:space="preserve">actus reus </w:t>
      </w:r>
      <w:r w:rsidRPr="00A36157">
        <w:rPr>
          <w:rFonts w:cs="Times New Roman"/>
          <w:lang w:val="fr-CA"/>
        </w:rPr>
        <w:t>visé par la dernière partie de cette disposition s’entend de toute action qui entrave ou tend à entraver le cours normal de l’administration de la justice, ainsi que de toute action qui porte ou tend à porter atteinte à l’autorité ou à la dignité du tribunal (</w:t>
      </w:r>
      <w:r w:rsidRPr="00A36157">
        <w:rPr>
          <w:rFonts w:cs="Times New Roman"/>
          <w:i/>
          <w:lang w:val="fr-CA"/>
        </w:rPr>
        <w:t>Baxter</w:t>
      </w:r>
      <w:r w:rsidRPr="00A36157">
        <w:rPr>
          <w:rFonts w:cs="Times New Roman"/>
          <w:lang w:val="fr-CA"/>
        </w:rPr>
        <w:t>, p. 396;</w:t>
      </w:r>
      <w:r w:rsidRPr="00A36157">
        <w:rPr>
          <w:rFonts w:cs="Times New Roman"/>
          <w:i/>
          <w:lang w:val="fr-CA"/>
        </w:rPr>
        <w:t xml:space="preserve"> </w:t>
      </w:r>
      <w:r w:rsidRPr="00A36157">
        <w:rPr>
          <w:rFonts w:cs="Times New Roman"/>
          <w:i/>
          <w:spacing w:val="-3"/>
          <w:lang w:val="fr-CA"/>
        </w:rPr>
        <w:t xml:space="preserve">B.C.G.E.U. </w:t>
      </w:r>
      <w:r w:rsidRPr="00A36157">
        <w:rPr>
          <w:rFonts w:cs="Times New Roman"/>
          <w:i/>
          <w:iCs/>
          <w:spacing w:val="-3"/>
          <w:lang w:val="fr-CA"/>
        </w:rPr>
        <w:t>c.</w:t>
      </w:r>
      <w:r w:rsidRPr="00A36157">
        <w:rPr>
          <w:rFonts w:cs="Times New Roman"/>
          <w:i/>
          <w:spacing w:val="-3"/>
          <w:lang w:val="fr-CA"/>
        </w:rPr>
        <w:t xml:space="preserve"> Colombie-Britannique (Procureur général)</w:t>
      </w:r>
      <w:r w:rsidRPr="00A36157">
        <w:rPr>
          <w:rFonts w:cs="Times New Roman"/>
          <w:spacing w:val="-3"/>
          <w:lang w:val="fr-CA"/>
        </w:rPr>
        <w:t xml:space="preserve">, [1988] 2 R.C.S. 214, le juge en chef Dickson; </w:t>
      </w:r>
      <w:r w:rsidRPr="00A36157">
        <w:rPr>
          <w:rFonts w:cs="Times New Roman"/>
          <w:i/>
          <w:spacing w:val="-3"/>
          <w:lang w:val="fr-CA"/>
        </w:rPr>
        <w:t>Hébert c. Procureur général du Québec</w:t>
      </w:r>
      <w:r w:rsidRPr="00A36157">
        <w:rPr>
          <w:rFonts w:cs="Times New Roman"/>
          <w:spacing w:val="-3"/>
          <w:lang w:val="fr-CA"/>
        </w:rPr>
        <w:t>, [1966] J.Q. n</w:t>
      </w:r>
      <w:r w:rsidRPr="00A36157">
        <w:rPr>
          <w:rFonts w:cs="Times New Roman"/>
          <w:spacing w:val="-3"/>
          <w:vertAlign w:val="superscript"/>
          <w:lang w:val="fr-CA"/>
        </w:rPr>
        <w:t>o</w:t>
      </w:r>
      <w:r w:rsidRPr="00A36157">
        <w:rPr>
          <w:rFonts w:cs="Times New Roman"/>
          <w:spacing w:val="-3"/>
          <w:lang w:val="fr-CA"/>
        </w:rPr>
        <w:t xml:space="preserve"> 15 </w:t>
      </w:r>
      <w:r w:rsidR="00F17D86" w:rsidRPr="00A36157">
        <w:rPr>
          <w:rFonts w:cs="Times New Roman"/>
          <w:spacing w:val="-3"/>
          <w:lang w:val="fr-CA"/>
        </w:rPr>
        <w:t xml:space="preserve">(QL) </w:t>
      </w:r>
      <w:r w:rsidRPr="00A36157">
        <w:rPr>
          <w:rFonts w:cs="Times New Roman"/>
          <w:spacing w:val="-3"/>
          <w:lang w:val="fr-CA"/>
        </w:rPr>
        <w:t xml:space="preserve">(B.R.), par. 71-73, le juge en chef Tremblay). </w:t>
      </w:r>
      <w:r w:rsidRPr="00A36157">
        <w:rPr>
          <w:rFonts w:cs="Times New Roman"/>
          <w:lang w:val="fr-CA"/>
        </w:rPr>
        <w:t>Il faut que le risque de préjudice pour l’administration de la justice ou pour l’autorité du tribunal soit sérieux, réel ou substantiel (</w:t>
      </w:r>
      <w:r w:rsidRPr="00A36157">
        <w:rPr>
          <w:rStyle w:val="Emphasis"/>
          <w:rFonts w:cs="Times New Roman"/>
          <w:szCs w:val="24"/>
          <w:lang w:val="fr-CA"/>
        </w:rPr>
        <w:t>Attorney-General c. Times Newspapers Ltd.</w:t>
      </w:r>
      <w:r w:rsidRPr="00A36157">
        <w:rPr>
          <w:rFonts w:cs="Times New Roman"/>
          <w:szCs w:val="24"/>
          <w:lang w:val="fr-CA"/>
        </w:rPr>
        <w:t xml:space="preserve">, [1973] 3 All E.R. 54 (H.L.), p. 66-67, cité dans </w:t>
      </w:r>
      <w:r w:rsidRPr="00A36157">
        <w:rPr>
          <w:rFonts w:cs="Times New Roman"/>
          <w:i/>
          <w:szCs w:val="24"/>
          <w:lang w:val="fr-CA"/>
        </w:rPr>
        <w:t xml:space="preserve">R. c. Kopyto </w:t>
      </w:r>
      <w:r w:rsidRPr="00A36157">
        <w:rPr>
          <w:rFonts w:cs="Times New Roman"/>
          <w:szCs w:val="24"/>
          <w:lang w:val="fr-CA"/>
        </w:rPr>
        <w:t xml:space="preserve">(1987), 62 O.R. (2d) 449 (C.A.), p. 512, le juge Dubin, dissident en partie). </w:t>
      </w:r>
      <w:r w:rsidRPr="00A36157">
        <w:rPr>
          <w:rFonts w:cs="Times New Roman"/>
          <w:lang w:val="fr-CA"/>
        </w:rPr>
        <w:t>L’incitation et l’encouragement à désobéir à une injonction ou à une ordonnance peuvent constituer l’</w:t>
      </w:r>
      <w:r w:rsidRPr="00A36157">
        <w:rPr>
          <w:rFonts w:cs="Times New Roman"/>
          <w:i/>
          <w:lang w:val="fr-CA"/>
        </w:rPr>
        <w:t xml:space="preserve">actus reus </w:t>
      </w:r>
      <w:r w:rsidRPr="00A36157">
        <w:rPr>
          <w:rFonts w:cs="Times New Roman"/>
          <w:lang w:val="fr-CA"/>
        </w:rPr>
        <w:t xml:space="preserve">de l’infraction prévue à la dernière partie de l’art. 50 al. 1 </w:t>
      </w:r>
      <w:r w:rsidRPr="00A36157">
        <w:rPr>
          <w:rFonts w:cs="Times New Roman"/>
          <w:i/>
          <w:lang w:val="fr-CA"/>
        </w:rPr>
        <w:t>C.p.c.</w:t>
      </w:r>
      <w:r w:rsidRPr="00A36157">
        <w:rPr>
          <w:rFonts w:cs="Times New Roman"/>
          <w:lang w:val="fr-CA"/>
        </w:rPr>
        <w:t xml:space="preserve"> (</w:t>
      </w:r>
      <w:r w:rsidRPr="002A6540">
        <w:rPr>
          <w:rStyle w:val="bold1"/>
          <w:rFonts w:cs="Times New Roman"/>
          <w:b w:val="0"/>
          <w:i/>
          <w:szCs w:val="24"/>
          <w:lang w:val="fr-CA"/>
        </w:rPr>
        <w:t>Charbonneau c. Procureur général du Québec</w:t>
      </w:r>
      <w:r w:rsidRPr="00A36157">
        <w:rPr>
          <w:rFonts w:cs="Times New Roman"/>
          <w:szCs w:val="24"/>
          <w:lang w:val="fr-CA"/>
        </w:rPr>
        <w:t xml:space="preserve">, [1973] R.P. 10 (C.A.); </w:t>
      </w:r>
      <w:r w:rsidRPr="00A36157">
        <w:rPr>
          <w:rFonts w:cs="Times New Roman"/>
          <w:i/>
          <w:szCs w:val="24"/>
          <w:lang w:val="fr-CA"/>
        </w:rPr>
        <w:t>Boon-Strachan Coal Co. c. Campbell</w:t>
      </w:r>
      <w:r w:rsidRPr="00A36157">
        <w:rPr>
          <w:rFonts w:cs="Times New Roman"/>
          <w:szCs w:val="24"/>
          <w:lang w:val="fr-CA"/>
        </w:rPr>
        <w:t xml:space="preserve">, [1981] C.S. 923; </w:t>
      </w:r>
      <w:r w:rsidRPr="00A36157">
        <w:rPr>
          <w:rFonts w:cs="Times New Roman"/>
          <w:lang w:val="fr-CA"/>
        </w:rPr>
        <w:t xml:space="preserve">P.-A. Gendreau et autres, </w:t>
      </w:r>
      <w:r w:rsidRPr="00A36157">
        <w:rPr>
          <w:rFonts w:cs="Times New Roman"/>
          <w:i/>
          <w:lang w:val="fr-CA"/>
        </w:rPr>
        <w:t xml:space="preserve">L’injonction </w:t>
      </w:r>
      <w:r w:rsidRPr="00A36157">
        <w:rPr>
          <w:rFonts w:cs="Times New Roman"/>
          <w:lang w:val="fr-CA"/>
        </w:rPr>
        <w:t>(1998), p. 356).</w:t>
      </w:r>
      <w:r w:rsidRPr="00A36157">
        <w:rPr>
          <w:rFonts w:cs="Times New Roman"/>
          <w:szCs w:val="24"/>
          <w:lang w:val="fr-CA"/>
        </w:rPr>
        <w:t xml:space="preserve">  </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 xml:space="preserve">À la lumière de ces principes, je ne décèle aucune erreur dans la conclusion </w:t>
      </w:r>
      <w:r w:rsidRPr="00A36157">
        <w:rPr>
          <w:rFonts w:cs="Times New Roman"/>
          <w:lang w:val="fr-CA"/>
        </w:rPr>
        <w:lastRenderedPageBreak/>
        <w:t>du juge de première instance sur la nature de l’</w:t>
      </w:r>
      <w:r w:rsidRPr="00A36157">
        <w:rPr>
          <w:rFonts w:cs="Times New Roman"/>
          <w:i/>
          <w:lang w:val="fr-CA"/>
        </w:rPr>
        <w:t xml:space="preserve">actus reus </w:t>
      </w:r>
      <w:r w:rsidRPr="00A36157">
        <w:rPr>
          <w:rFonts w:cs="Times New Roman"/>
          <w:lang w:val="fr-CA"/>
        </w:rPr>
        <w:t xml:space="preserve">ou dans le raisonnement qui l’a amené à conclure ainsi. Ce dernier n’a pas « prêt[é] des intentions » à l’intimé (jugement de la Cour d’appel, par. 71). Il a procédé à une analyse contextuelle raisonnée, alors que la Cour d’appel a plutôt entrepris une analyse fragmentaire de la preuve. </w:t>
      </w:r>
      <w:r w:rsidRPr="00A36157">
        <w:rPr>
          <w:rFonts w:cs="Times New Roman"/>
          <w:spacing w:val="-3"/>
          <w:lang w:val="fr-CA"/>
        </w:rPr>
        <w:t>De plus, le juge de première instance était le mieux placé pour réaliser cette analyse.</w:t>
      </w:r>
    </w:p>
    <w:p w:rsidR="00A36157" w:rsidRPr="00240EF8" w:rsidRDefault="00A36157" w:rsidP="003223DD">
      <w:pPr>
        <w:pStyle w:val="ParaNoNdepar-AltN"/>
        <w:widowControl w:val="0"/>
        <w:tabs>
          <w:tab w:val="clear" w:pos="1166"/>
          <w:tab w:val="clear" w:pos="1512"/>
          <w:tab w:val="num" w:pos="1152"/>
        </w:tabs>
        <w:ind w:left="0"/>
        <w:rPr>
          <w:rFonts w:cs="Times New Roman"/>
        </w:rPr>
      </w:pPr>
      <w:r w:rsidRPr="00A36157">
        <w:rPr>
          <w:rFonts w:cs="Times New Roman"/>
          <w:lang w:val="fr-CA"/>
        </w:rPr>
        <w:t xml:space="preserve">Appréciées dans le contexte de l’ensemble de l’entrevue, les paroles de l’intimé démontrent au-delà de tout doute raisonnable que l’intimé exprimait davantage que son simple désaccord avec la judiciarisation du conflit étudiant. L’intimé ― qui était porte-parole de la CLASSE et un des leaders du mouvement étudiant ― a déclaré pendant l’entrevue télévisée portant sur le conflit sévissant alors au Québec, au cours duquel des étudiants ont sollicité l’aide des tribunaux afin de pouvoir accéder à leurs salles de cours, que, selon lui, il était « tout à fait légitime » pour les étudiants et les étudiantes de prendre « les moyens nécessaires pour </w:t>
      </w:r>
      <w:r w:rsidRPr="00A36157">
        <w:rPr>
          <w:rFonts w:cs="Times New Roman"/>
          <w:u w:val="single"/>
          <w:lang w:val="fr-CA"/>
        </w:rPr>
        <w:t>faire respecter</w:t>
      </w:r>
      <w:r w:rsidRPr="00A36157">
        <w:rPr>
          <w:rFonts w:cs="Times New Roman"/>
          <w:lang w:val="fr-CA"/>
        </w:rPr>
        <w:t xml:space="preserve"> le vote de grève », même « si ça pren[ait] des lignes de piquetage » (jugement de la Cour d’appel, par. 15 (je souligne)). L’intimé a fait ces remarques après celles de M. Bureau-Blouin, qui a plutôt invité les étudiants à respecter les ordonnances d’injonctions, et immédiatement après la question de la journaliste, lui demandant s’il « </w:t>
      </w:r>
      <w:r w:rsidRPr="00A36157">
        <w:rPr>
          <w:rFonts w:cs="Times New Roman"/>
          <w:u w:val="single"/>
          <w:lang w:val="fr-CA"/>
        </w:rPr>
        <w:t>encourage[ait]</w:t>
      </w:r>
      <w:r w:rsidRPr="00A36157">
        <w:rPr>
          <w:rFonts w:cs="Times New Roman"/>
          <w:lang w:val="fr-CA"/>
        </w:rPr>
        <w:t xml:space="preserve"> encore les piquets de grève </w:t>
      </w:r>
      <w:r w:rsidRPr="00A36157">
        <w:rPr>
          <w:rFonts w:cs="Times New Roman"/>
          <w:u w:val="single"/>
          <w:lang w:val="fr-CA"/>
        </w:rPr>
        <w:t>pour empêcher</w:t>
      </w:r>
      <w:r w:rsidRPr="00A36157">
        <w:rPr>
          <w:rFonts w:cs="Times New Roman"/>
          <w:lang w:val="fr-CA"/>
        </w:rPr>
        <w:t xml:space="preserve"> [les étudiants d’entrer] » (</w:t>
      </w:r>
      <w:r w:rsidRPr="00A36157">
        <w:rPr>
          <w:rFonts w:cs="Times New Roman"/>
          <w:i/>
          <w:lang w:val="fr-CA"/>
        </w:rPr>
        <w:t>ibid.</w:t>
      </w:r>
      <w:r w:rsidRPr="00A36157">
        <w:rPr>
          <w:rFonts w:cs="Times New Roman"/>
          <w:lang w:val="fr-CA"/>
        </w:rPr>
        <w:t xml:space="preserve"> </w:t>
      </w:r>
      <w:r w:rsidRPr="00240EF8">
        <w:rPr>
          <w:rFonts w:cs="Times New Roman"/>
        </w:rPr>
        <w:t>(je souligne)).</w:t>
      </w:r>
    </w:p>
    <w:p w:rsidR="00A36157" w:rsidRPr="00240EF8" w:rsidRDefault="00A36157" w:rsidP="003223DD">
      <w:pPr>
        <w:pStyle w:val="ParaNoNdepar-AltN"/>
        <w:widowControl w:val="0"/>
        <w:tabs>
          <w:tab w:val="clear" w:pos="1166"/>
          <w:tab w:val="clear" w:pos="1512"/>
          <w:tab w:val="num" w:pos="1152"/>
        </w:tabs>
        <w:ind w:left="0"/>
        <w:rPr>
          <w:rFonts w:cs="Times New Roman"/>
        </w:rPr>
      </w:pPr>
      <w:r w:rsidRPr="00A36157">
        <w:rPr>
          <w:rFonts w:cs="Times New Roman"/>
          <w:lang w:val="fr-CA"/>
        </w:rPr>
        <w:t xml:space="preserve">Selon le juge de première instance, il ne faisait aucun doute que, dans ce contexte, « faire respecter le vote de grève » ou « faire respecter le choix démocratique qui a été fait d’aller en grève » voulait dire « empêcher l’accès aux étudiants à leurs </w:t>
      </w:r>
      <w:r w:rsidRPr="00A36157">
        <w:rPr>
          <w:rFonts w:cs="Times New Roman"/>
          <w:lang w:val="fr-CA"/>
        </w:rPr>
        <w:lastRenderedPageBreak/>
        <w:t xml:space="preserve">cours, voire même par le piquetage, malgré les injonctions, le tout afin de faire respecter le vote tenu par les étudiants favorables au boycottage » (par. 94 et 96-97). Dans ces circonstances, aucune autre inférence raisonnable et logique ne peut être tirée de ces propos. De plus, la déclaration de l’intimé selon laquelle il est « légitime » de prendre les « moyens nécessaires » à cette fin, faite en réponse à la question de savoir s’il « encourage[ait] encore les piquets de grève pour empêcher [les étudiants d’entrer] », relève de l’incitation.  Il n’y avait alors aucun doute que les paroles de l’intimé constituaient une incitation à contrevenir aux conditions de l’Ordonnance de sauvegarde, ainsi qu’aux autres ordonnances visant à assurer l’accès des étudiants à leurs cours. L’Ordonnance de sauvegarde interdisait à toutes les personnes qui boycottaient les cours « d’obstruer ou de nuire à l’accès aux cours par intimidation ou de poser toute action susceptible d’empêcher ou d’affecter négativement l’accès à ces cours » (par. 60). </w:t>
      </w:r>
      <w:r w:rsidRPr="00240EF8">
        <w:rPr>
          <w:rFonts w:cs="Times New Roman"/>
        </w:rPr>
        <w:t xml:space="preserve">Les autres ordonnances imposaient les mêmes restrictions. </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 xml:space="preserve">La conclusion de la Cour d’appel selon laquelle « [r]ien ne </w:t>
      </w:r>
      <w:r w:rsidRPr="00A36157">
        <w:rPr>
          <w:rFonts w:cs="Times New Roman"/>
          <w:szCs w:val="24"/>
          <w:lang w:val="fr-CA"/>
        </w:rPr>
        <w:t>permet de conclure que les “moyens de pressionˮ dont [l’intimé] parle sont autres choses que des moyens légaux », et que, de toute manière, ses</w:t>
      </w:r>
      <w:r w:rsidR="002A6540">
        <w:rPr>
          <w:rFonts w:cs="Times New Roman"/>
          <w:szCs w:val="24"/>
          <w:lang w:val="fr-CA"/>
        </w:rPr>
        <w:t xml:space="preserve"> propos « comportent une ambiguï</w:t>
      </w:r>
      <w:r w:rsidRPr="00A36157">
        <w:rPr>
          <w:rFonts w:cs="Times New Roman"/>
          <w:szCs w:val="24"/>
          <w:lang w:val="fr-CA"/>
        </w:rPr>
        <w:t>té irrésoluble » étonne (par. 71-72). En effet, on ne peut conclure ainsi à moins de donner aux paroles de l’intimé une signification latitudinaire qui s’éloigne de la logique et de la raisonnabilité. À quoi peuvent bien référer les mots « les moyens nécessaires pour faire respecter le vote de grève », sinon aux moyens d’empêcher l’accès aux cours, en contravention des conditions de l’Ordonnance de sauvegarde? Soit dit en tout respect, la conclusion de la Cour d’appel fait abstraction du contexte et témoigne d’un formalisme artificiel et excessif, car elle permet à l’intimé de [</w:t>
      </w:r>
      <w:r w:rsidRPr="00A36157">
        <w:rPr>
          <w:rFonts w:cs="Times New Roman"/>
          <w:smallCaps/>
          <w:szCs w:val="24"/>
          <w:lang w:val="fr-CA"/>
        </w:rPr>
        <w:t>traduction</w:t>
      </w:r>
      <w:r w:rsidRPr="00A36157">
        <w:rPr>
          <w:rFonts w:cs="Times New Roman"/>
          <w:szCs w:val="24"/>
          <w:lang w:val="fr-CA"/>
        </w:rPr>
        <w:t xml:space="preserve">] « se </w:t>
      </w:r>
      <w:r w:rsidRPr="00A36157">
        <w:rPr>
          <w:rFonts w:cs="Times New Roman"/>
          <w:szCs w:val="24"/>
          <w:lang w:val="fr-CA"/>
        </w:rPr>
        <w:lastRenderedPageBreak/>
        <w:t>réfugier derrière une interprétation restrictive et littérale pour contourner l’ordonnance ainsi que pour la tourner en dérision de même que l’administration de la justice » (</w:t>
      </w:r>
      <w:r w:rsidRPr="00A36157">
        <w:rPr>
          <w:rFonts w:cs="Times New Roman"/>
          <w:i/>
          <w:szCs w:val="24"/>
          <w:lang w:val="fr-CA"/>
        </w:rPr>
        <w:t>Zhang</w:t>
      </w:r>
      <w:r w:rsidRPr="00A36157">
        <w:rPr>
          <w:rFonts w:cs="Times New Roman"/>
          <w:szCs w:val="24"/>
          <w:lang w:val="fr-CA"/>
        </w:rPr>
        <w:t>, par. 32).</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 xml:space="preserve">De l’avis du juge de première instance, par ses paroles, l’intimé « prôn[ait] [. . .] l’anarchie et encourage[ait] la désobéissance civile » (par. 95). Le juge a également conclu que l’incitation par l’intimé au non-respect des ordonnances, dont celle obtenue par l’appelant, portait une atteinte grave à l’autorité des tribunaux (par. 109). Je suis d’accord. Lors d’une entrevue télévisée largement diffusée, l’intimé incitait publiquement à la violation des ordonnances des tribunaux au beau milieu du conflit. Il a formulé ces propos en sa </w:t>
      </w:r>
      <w:r w:rsidRPr="00A36157">
        <w:rPr>
          <w:rFonts w:cs="Times New Roman"/>
          <w:szCs w:val="24"/>
          <w:lang w:val="fr-CA"/>
        </w:rPr>
        <w:t>qualité de porte-parole de la CLASSE, ce qui ajoutait au risque de nuire à l’autorité et de miner la crédibilité des tribunaux (</w:t>
      </w:r>
      <w:r w:rsidRPr="00A36157">
        <w:rPr>
          <w:rFonts w:cs="Times New Roman"/>
          <w:i/>
          <w:szCs w:val="24"/>
          <w:lang w:val="fr-CA"/>
        </w:rPr>
        <w:t>Re Ouellet (No. 1)</w:t>
      </w:r>
      <w:r w:rsidRPr="00A36157">
        <w:rPr>
          <w:rFonts w:cs="Times New Roman"/>
          <w:szCs w:val="24"/>
          <w:lang w:val="fr-CA"/>
        </w:rPr>
        <w:t xml:space="preserve"> (1976), 28 C.C.C. (2d) 338 (C.S. Qc), modifié pour d’autres motifs</w:t>
      </w:r>
      <w:r w:rsidR="00F17D86">
        <w:rPr>
          <w:rFonts w:cs="Times New Roman"/>
          <w:szCs w:val="24"/>
          <w:lang w:val="fr-CA"/>
        </w:rPr>
        <w:t>,</w:t>
      </w:r>
      <w:r w:rsidRPr="00A36157">
        <w:rPr>
          <w:rFonts w:cs="Times New Roman"/>
          <w:szCs w:val="24"/>
          <w:lang w:val="fr-CA"/>
        </w:rPr>
        <w:t xml:space="preserve"> [1976] C.A. 788). Dans ce contexte, le risque de préjudice pour l’autorité du tribunal était suffisamment sérieux</w:t>
      </w:r>
      <w:r w:rsidRPr="00A36157">
        <w:rPr>
          <w:rFonts w:cs="Times New Roman"/>
          <w:lang w:val="fr-CA"/>
        </w:rPr>
        <w:t xml:space="preserve"> et substantiel pour que le juge de première instance soit justifié d’exercer son pouvoir discrétionnaire et de prononcer la culpabilité de l’intimé.</w:t>
      </w:r>
    </w:p>
    <w:p w:rsidR="00A36157" w:rsidRPr="00240EF8" w:rsidRDefault="00A36157" w:rsidP="003223DD">
      <w:pPr>
        <w:pStyle w:val="Title2LevelTitre2Niveau"/>
        <w:widowControl w:val="0"/>
        <w:numPr>
          <w:ilvl w:val="1"/>
          <w:numId w:val="3"/>
        </w:numPr>
        <w:jc w:val="both"/>
        <w:rPr>
          <w:rFonts w:cs="Times New Roman"/>
        </w:rPr>
      </w:pPr>
      <w:r w:rsidRPr="00240EF8">
        <w:rPr>
          <w:rFonts w:cs="Times New Roman"/>
        </w:rPr>
        <w:t>La mens rea</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 xml:space="preserve">Je n’interviendrai pas à l’égard de la conclusion du juge de première instance selon laquelle l’intimé possédait la </w:t>
      </w:r>
      <w:r w:rsidRPr="00A36157">
        <w:rPr>
          <w:rFonts w:cs="Times New Roman"/>
          <w:i/>
          <w:lang w:val="fr-CA"/>
        </w:rPr>
        <w:t>mens rea</w:t>
      </w:r>
      <w:r w:rsidRPr="00A36157">
        <w:rPr>
          <w:rFonts w:cs="Times New Roman"/>
          <w:lang w:val="fr-CA"/>
        </w:rPr>
        <w:t xml:space="preserve"> nécessaire pour être reconnu coupable d’outrage au tribunal en vertu de la dernière partie de l’art. 50 al. 1 </w:t>
      </w:r>
      <w:r w:rsidRPr="00A36157">
        <w:rPr>
          <w:rFonts w:cs="Times New Roman"/>
          <w:i/>
          <w:lang w:val="fr-CA"/>
        </w:rPr>
        <w:t>C.p.c.</w:t>
      </w:r>
      <w:r w:rsidRPr="00A36157">
        <w:rPr>
          <w:rFonts w:cs="Times New Roman"/>
          <w:lang w:val="fr-CA"/>
        </w:rPr>
        <w:t xml:space="preserve"> La Cour d’appel n’a pas examiné cette question vu ses conclusions sur la connaissance et l’</w:t>
      </w:r>
      <w:r w:rsidRPr="00A36157">
        <w:rPr>
          <w:rFonts w:cs="Times New Roman"/>
          <w:i/>
          <w:lang w:val="fr-CA"/>
        </w:rPr>
        <w:t>actus reus</w:t>
      </w:r>
      <w:r w:rsidRPr="00A36157">
        <w:rPr>
          <w:rFonts w:cs="Times New Roman"/>
          <w:lang w:val="fr-CA"/>
        </w:rPr>
        <w:t>.</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lastRenderedPageBreak/>
        <w:t xml:space="preserve">Le juge de première instance a estimé qu’il ressortait manifestement de l’examen du contexte particulier de l’entrevue télévisée que l’intimé incitait et avait l’intention d’inciter les citoyens à contrevenir aux ordonnances prononcées par les tribunaux. Il a donc conclu que l’appelant avait satisfait au fardeau qui lui incombait de prouver la </w:t>
      </w:r>
      <w:r w:rsidRPr="00A36157">
        <w:rPr>
          <w:rFonts w:cs="Times New Roman"/>
          <w:i/>
          <w:lang w:val="fr-CA"/>
        </w:rPr>
        <w:t>mens rea</w:t>
      </w:r>
      <w:r w:rsidRPr="00A36157">
        <w:rPr>
          <w:rFonts w:cs="Times New Roman"/>
          <w:lang w:val="fr-CA"/>
        </w:rPr>
        <w:t xml:space="preserve"> hors de tout doute raisonnable, et ce, suivant un degré d’intention qui semble être plus exigeant que nécessaire. </w:t>
      </w:r>
    </w:p>
    <w:p w:rsidR="00A36157" w:rsidRPr="00A36157" w:rsidRDefault="00A36157" w:rsidP="003223DD">
      <w:pPr>
        <w:pStyle w:val="ParaNoNdepar-AltN"/>
        <w:widowControl w:val="0"/>
        <w:tabs>
          <w:tab w:val="clear" w:pos="1166"/>
          <w:tab w:val="clear" w:pos="1512"/>
          <w:tab w:val="num" w:pos="1152"/>
        </w:tabs>
        <w:ind w:left="0"/>
        <w:rPr>
          <w:rStyle w:val="reflex3-alt"/>
          <w:rFonts w:cs="Times New Roman"/>
          <w:lang w:val="fr-CA"/>
        </w:rPr>
      </w:pPr>
      <w:r w:rsidRPr="00A36157">
        <w:rPr>
          <w:rFonts w:cs="Times New Roman"/>
          <w:lang w:val="fr-CA"/>
        </w:rPr>
        <w:t xml:space="preserve">Dans l’arrêt </w:t>
      </w:r>
      <w:r w:rsidRPr="00A36157">
        <w:rPr>
          <w:rFonts w:cs="Times New Roman"/>
          <w:i/>
          <w:iCs/>
          <w:szCs w:val="24"/>
          <w:lang w:val="fr-CA"/>
        </w:rPr>
        <w:t xml:space="preserve">Daigle </w:t>
      </w:r>
      <w:r w:rsidRPr="00A36157">
        <w:rPr>
          <w:rFonts w:cs="Times New Roman"/>
          <w:i/>
          <w:szCs w:val="24"/>
          <w:lang w:val="fr-CA"/>
        </w:rPr>
        <w:t xml:space="preserve">c. Corporation municipale de la Paroisse de </w:t>
      </w:r>
      <w:r w:rsidRPr="00A36157">
        <w:rPr>
          <w:rFonts w:cs="Times New Roman"/>
          <w:i/>
          <w:iCs/>
          <w:szCs w:val="24"/>
          <w:lang w:val="fr-CA"/>
        </w:rPr>
        <w:t>St-Gabriel de Brandon</w:t>
      </w:r>
      <w:r w:rsidRPr="00A36157">
        <w:rPr>
          <w:rFonts w:cs="Times New Roman"/>
          <w:iCs/>
          <w:szCs w:val="24"/>
          <w:lang w:val="fr-CA"/>
        </w:rPr>
        <w:t>,</w:t>
      </w:r>
      <w:r w:rsidRPr="00A36157">
        <w:rPr>
          <w:rFonts w:cs="Times New Roman"/>
          <w:szCs w:val="24"/>
          <w:lang w:val="fr-CA"/>
        </w:rPr>
        <w:t xml:space="preserve"> </w:t>
      </w:r>
      <w:r w:rsidRPr="00A36157">
        <w:rPr>
          <w:rStyle w:val="reflex3-alt"/>
          <w:rFonts w:cs="Times New Roman"/>
          <w:szCs w:val="24"/>
          <w:lang w:val="fr-CA"/>
        </w:rPr>
        <w:t xml:space="preserve">[1991] R.D.J. 249 (C.A.), la Cour d’appel a décrit comme suit la </w:t>
      </w:r>
      <w:r w:rsidRPr="00A36157">
        <w:rPr>
          <w:rStyle w:val="reflex3-alt"/>
          <w:rFonts w:cs="Times New Roman"/>
          <w:i/>
          <w:szCs w:val="24"/>
          <w:lang w:val="fr-CA"/>
        </w:rPr>
        <w:t xml:space="preserve">mens rea </w:t>
      </w:r>
      <w:r w:rsidRPr="00A36157">
        <w:rPr>
          <w:rStyle w:val="reflex3-alt"/>
          <w:rFonts w:cs="Times New Roman"/>
          <w:szCs w:val="24"/>
          <w:lang w:val="fr-CA"/>
        </w:rPr>
        <w:t xml:space="preserve">requise pour l’application de l’art. 50 al. 1 </w:t>
      </w:r>
      <w:r w:rsidRPr="00A36157">
        <w:rPr>
          <w:rStyle w:val="reflex3-alt"/>
          <w:rFonts w:cs="Times New Roman"/>
          <w:i/>
          <w:szCs w:val="24"/>
          <w:lang w:val="fr-CA"/>
        </w:rPr>
        <w:t>C.p.c.</w:t>
      </w:r>
      <w:r w:rsidRPr="00A36157">
        <w:rPr>
          <w:rStyle w:val="reflex3-alt"/>
          <w:rFonts w:cs="Times New Roman"/>
          <w:szCs w:val="24"/>
          <w:lang w:val="fr-CA"/>
        </w:rPr>
        <w:t xml:space="preserve"> :</w:t>
      </w:r>
    </w:p>
    <w:p w:rsidR="00A36157" w:rsidRPr="002A6540" w:rsidRDefault="00A36157" w:rsidP="003223DD">
      <w:pPr>
        <w:pStyle w:val="Citation-AltC"/>
        <w:widowControl w:val="0"/>
        <w:ind w:firstLine="274"/>
        <w:rPr>
          <w:lang w:val="fr-CA"/>
        </w:rPr>
      </w:pPr>
      <w:r w:rsidRPr="00A36157">
        <w:rPr>
          <w:lang w:val="fr-CA"/>
        </w:rPr>
        <w:t>Dans le contexte particulier de l’article 50</w:t>
      </w:r>
      <w:r w:rsidR="002A6540">
        <w:rPr>
          <w:lang w:val="fr-CA"/>
        </w:rPr>
        <w:t xml:space="preserve"> [</w:t>
      </w:r>
      <w:r w:rsidR="002A6540" w:rsidRPr="002A6540">
        <w:rPr>
          <w:i/>
          <w:lang w:val="fr-CA"/>
        </w:rPr>
        <w:t>C.p.c.</w:t>
      </w:r>
      <w:r w:rsidR="002A6540">
        <w:rPr>
          <w:lang w:val="fr-CA"/>
        </w:rPr>
        <w:t>]</w:t>
      </w:r>
      <w:r w:rsidRPr="00A36157">
        <w:rPr>
          <w:lang w:val="fr-CA"/>
        </w:rPr>
        <w:t xml:space="preserve">, la </w:t>
      </w:r>
      <w:r w:rsidRPr="00A36157">
        <w:rPr>
          <w:i/>
          <w:iCs/>
          <w:lang w:val="fr-CA"/>
        </w:rPr>
        <w:t>mens rea</w:t>
      </w:r>
      <w:r w:rsidRPr="00A36157">
        <w:rPr>
          <w:lang w:val="fr-CA"/>
        </w:rPr>
        <w:t xml:space="preserve"> qui constitue un élément essentiel du comportement de l’intimé peut se manifester de deux façons : ou bien l’attitude du débiteur de l’obligation reconnue par le jugement démontre </w:t>
      </w:r>
      <w:r w:rsidRPr="00A36157">
        <w:rPr>
          <w:u w:val="single"/>
          <w:lang w:val="fr-CA"/>
        </w:rPr>
        <w:t>une intention évidente de ne pas l’exécuter</w:t>
      </w:r>
      <w:r w:rsidRPr="00A36157">
        <w:rPr>
          <w:lang w:val="fr-CA"/>
        </w:rPr>
        <w:t xml:space="preserve">; ou bien il y a donné suite d’une façon qui, en plus d’être insatisfaisante, révèle de sa part </w:t>
      </w:r>
      <w:r w:rsidRPr="00A36157">
        <w:rPr>
          <w:u w:val="single"/>
          <w:lang w:val="fr-CA"/>
        </w:rPr>
        <w:t>une insouciance grossière à en respecter, sinon la lettre, du moins l’esprit dans lequel elle lui a été imposée</w:t>
      </w:r>
      <w:r w:rsidRPr="00A36157">
        <w:rPr>
          <w:lang w:val="fr-CA"/>
        </w:rPr>
        <w:t xml:space="preserve">. </w:t>
      </w:r>
      <w:r w:rsidRPr="002A6540">
        <w:rPr>
          <w:lang w:val="fr-CA"/>
        </w:rPr>
        <w:t>[Je souligne; p. 253.]</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 xml:space="preserve">Cependant, cette description concerne la violation d’une ordonnance et, de ce fait, la première partie de l’art. 50 al. 1 </w:t>
      </w:r>
      <w:r w:rsidRPr="00A36157">
        <w:rPr>
          <w:rFonts w:cs="Times New Roman"/>
          <w:i/>
          <w:lang w:val="fr-CA"/>
        </w:rPr>
        <w:t>C.p.c.</w:t>
      </w:r>
      <w:r w:rsidRPr="00A36157">
        <w:rPr>
          <w:rFonts w:cs="Times New Roman"/>
          <w:lang w:val="fr-CA"/>
        </w:rPr>
        <w:t xml:space="preserve"> Dans l’arrêt </w:t>
      </w:r>
      <w:r w:rsidRPr="00A36157">
        <w:rPr>
          <w:rFonts w:cs="Times New Roman"/>
          <w:i/>
          <w:lang w:val="fr-CA"/>
        </w:rPr>
        <w:t>Carey</w:t>
      </w:r>
      <w:r w:rsidRPr="00A36157">
        <w:rPr>
          <w:rFonts w:cs="Times New Roman"/>
          <w:lang w:val="fr-CA"/>
        </w:rPr>
        <w:t xml:space="preserve">, une décision récente sur le sujet en common law, notre Cour a décidé que le droit n’exige pas, pour qu’il soit satisfait aux éléments constitutifs de l’outrage en matière civile, que le défendeur ait violé une injonction avec l’intention d’y désobéir ou d’entraver l’administration de la justice. Au civil, il suffit que le poursuivant prouve hors de tout doute raisonnable que le défendeur a intentionnellement agi — ou omis d’agir — en violation d’une ordonnance claire, dont il avait connaissance. En conséquence, seules </w:t>
      </w:r>
      <w:r w:rsidRPr="00A36157">
        <w:rPr>
          <w:rFonts w:cs="Times New Roman"/>
          <w:lang w:val="fr-CA"/>
        </w:rPr>
        <w:lastRenderedPageBreak/>
        <w:t xml:space="preserve">des actions spontanées ou accidentelles ne sauraient satisfaire à l’exigence relative à l’intention (l’honorable R. J. Sharpe, </w:t>
      </w:r>
      <w:r w:rsidRPr="00A36157">
        <w:rPr>
          <w:rFonts w:cs="Times New Roman"/>
          <w:i/>
          <w:lang w:val="fr-CA"/>
        </w:rPr>
        <w:t xml:space="preserve">Injunctions and Specific Performance </w:t>
      </w:r>
      <w:r w:rsidRPr="00A36157">
        <w:rPr>
          <w:rFonts w:cs="Times New Roman"/>
          <w:lang w:val="fr-CA"/>
        </w:rPr>
        <w:t>(</w:t>
      </w:r>
      <w:r w:rsidR="00C160CD">
        <w:rPr>
          <w:rFonts w:cs="Times New Roman"/>
          <w:lang w:val="fr-CA"/>
        </w:rPr>
        <w:t xml:space="preserve">éd. </w:t>
      </w:r>
      <w:r w:rsidRPr="00A36157">
        <w:rPr>
          <w:rFonts w:cs="Times New Roman"/>
          <w:lang w:val="fr-CA"/>
        </w:rPr>
        <w:t>feuilles mobiles), p. 6-18).</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 xml:space="preserve">Pour ce qui est des tiers, c’est-à-dire les personnes qui ne sont pas visées par une ordonnance, la situation n’est pas aussi claire. </w:t>
      </w:r>
      <w:r w:rsidRPr="00A36157">
        <w:rPr>
          <w:rFonts w:cs="Times New Roman"/>
          <w:bCs/>
          <w:szCs w:val="24"/>
          <w:lang w:val="fr-CA"/>
        </w:rPr>
        <w:t xml:space="preserve">Selon le juge Sharpe de la Cour d’appel de l’Ontario, en Angleterre et en Australie, il est établi que la preuve de l’intention </w:t>
      </w:r>
      <w:r w:rsidRPr="00A36157">
        <w:rPr>
          <w:rFonts w:cs="Times New Roman"/>
          <w:lang w:val="fr-CA"/>
        </w:rPr>
        <w:t>d’entraver</w:t>
      </w:r>
      <w:r w:rsidRPr="00A36157">
        <w:rPr>
          <w:rFonts w:cs="Times New Roman"/>
          <w:bCs/>
          <w:szCs w:val="24"/>
          <w:lang w:val="fr-CA"/>
        </w:rPr>
        <w:t xml:space="preserve"> l’administration de la justice est requise dans le cas des tiers qui ne sont pas visés par l’injonction en question (p. 6-2</w:t>
      </w:r>
      <w:r w:rsidRPr="00A36157">
        <w:rPr>
          <w:rFonts w:cs="Times New Roman"/>
          <w:szCs w:val="24"/>
          <w:lang w:val="fr-CA"/>
        </w:rPr>
        <w:t>6)</w:t>
      </w:r>
      <w:r w:rsidRPr="00A36157">
        <w:rPr>
          <w:rFonts w:cs="Times New Roman"/>
          <w:lang w:val="fr-CA"/>
        </w:rPr>
        <w:t xml:space="preserve">. Notre </w:t>
      </w:r>
      <w:r w:rsidRPr="00A36157">
        <w:rPr>
          <w:rFonts w:cs="Times New Roman"/>
          <w:szCs w:val="24"/>
          <w:lang w:val="fr-CA"/>
        </w:rPr>
        <w:t xml:space="preserve">Cour a commenté ce point dans </w:t>
      </w:r>
      <w:r w:rsidRPr="00A36157">
        <w:rPr>
          <w:rFonts w:cs="Times New Roman"/>
          <w:i/>
          <w:szCs w:val="24"/>
          <w:lang w:val="fr-CA"/>
        </w:rPr>
        <w:t>Carey</w:t>
      </w:r>
      <w:r w:rsidRPr="00A36157">
        <w:rPr>
          <w:rFonts w:cs="Times New Roman"/>
          <w:szCs w:val="24"/>
          <w:lang w:val="fr-CA"/>
        </w:rPr>
        <w:t>, mais ne l’a pas tranché (par. 45-46).</w:t>
      </w:r>
      <w:r w:rsidRPr="00A36157">
        <w:rPr>
          <w:rFonts w:cs="Times New Roman"/>
          <w:lang w:val="fr-CA"/>
        </w:rPr>
        <w:t xml:space="preserve"> D’après la jurisprudence canadienne existante, il semble que l’intention d’entraver l’administration de la justice ou de porter atteinte à l’autorité ou à la dignité du tribunal ne constitue pas un élément essentiel de l’infraction d’outrage au tribunal en matière civile dans le cas de la violation d’une ordonnance. Voir, à titre d’exemple, </w:t>
      </w:r>
      <w:r w:rsidRPr="00A36157">
        <w:rPr>
          <w:rFonts w:cs="Times New Roman"/>
          <w:i/>
          <w:lang w:val="fr-CA"/>
        </w:rPr>
        <w:t>B.C.G.E.U.</w:t>
      </w:r>
      <w:r w:rsidRPr="00A36157">
        <w:rPr>
          <w:rFonts w:cs="Times New Roman"/>
          <w:lang w:val="fr-CA"/>
        </w:rPr>
        <w:t xml:space="preserve">; et </w:t>
      </w:r>
      <w:r w:rsidRPr="00A36157">
        <w:rPr>
          <w:rFonts w:cs="Times New Roman"/>
          <w:i/>
          <w:lang w:val="fr-CA"/>
        </w:rPr>
        <w:t>Droit de la famille</w:t>
      </w:r>
      <w:r w:rsidRPr="00A36157">
        <w:rPr>
          <w:rFonts w:cs="Times New Roman"/>
          <w:lang w:val="fr-CA"/>
        </w:rPr>
        <w:t xml:space="preserve">, par. 30, où le juge d’appel Dalphond fait siens les propos formulés par le juge Saunders de la Cour d’appel de la Nouvelle-Écosse dans l’arrêt </w:t>
      </w:r>
      <w:r w:rsidRPr="00A36157">
        <w:rPr>
          <w:rFonts w:cs="Times New Roman"/>
          <w:i/>
          <w:iCs/>
          <w:lang w:val="fr-CA"/>
        </w:rPr>
        <w:t>Godin c. Godin</w:t>
      </w:r>
      <w:r w:rsidRPr="00A36157">
        <w:rPr>
          <w:rFonts w:cs="Times New Roman"/>
          <w:lang w:val="fr-CA"/>
        </w:rPr>
        <w:t xml:space="preserve">, </w:t>
      </w:r>
      <w:r w:rsidRPr="00A36157">
        <w:rPr>
          <w:rStyle w:val="reflex3-alt"/>
          <w:rFonts w:cs="Times New Roman"/>
          <w:lang w:val="fr-CA"/>
        </w:rPr>
        <w:t>2012 NSCA 54</w:t>
      </w:r>
      <w:r w:rsidRPr="00A36157">
        <w:rPr>
          <w:rStyle w:val="reflex3-block"/>
          <w:lang w:val="fr-CA"/>
        </w:rPr>
        <w:t xml:space="preserve">, </w:t>
      </w:r>
      <w:r w:rsidRPr="00A36157">
        <w:rPr>
          <w:rStyle w:val="reflex3-alt"/>
          <w:rFonts w:cs="Times New Roman"/>
          <w:lang w:val="fr-CA"/>
        </w:rPr>
        <w:t>317 N.S.R. (2d) 204</w:t>
      </w:r>
      <w:r w:rsidRPr="00A36157">
        <w:rPr>
          <w:rFonts w:cs="Times New Roman"/>
          <w:lang w:val="fr-CA"/>
        </w:rPr>
        <w:t>, par. 47.</w:t>
      </w:r>
    </w:p>
    <w:p w:rsidR="00A36157" w:rsidRPr="00240EF8" w:rsidRDefault="00A36157" w:rsidP="003223DD">
      <w:pPr>
        <w:pStyle w:val="ParaNoNdepar-AltN"/>
        <w:widowControl w:val="0"/>
        <w:tabs>
          <w:tab w:val="clear" w:pos="1166"/>
          <w:tab w:val="clear" w:pos="1512"/>
          <w:tab w:val="num" w:pos="1152"/>
        </w:tabs>
        <w:ind w:left="0"/>
        <w:rPr>
          <w:rFonts w:cs="Times New Roman"/>
          <w:lang w:val="fr-FR"/>
        </w:rPr>
      </w:pPr>
      <w:r w:rsidRPr="00A36157">
        <w:rPr>
          <w:rFonts w:cs="Times New Roman"/>
          <w:lang w:val="fr-CA"/>
        </w:rPr>
        <w:t>Même dans les cas d’outrage en matière criminelle, l’intention de miner sciemment l’autorité de la cour n’est pas requise; l’insouciance à l’égard de cette conséquence suffit</w:t>
      </w:r>
      <w:r w:rsidRPr="00A36157">
        <w:rPr>
          <w:rFonts w:cs="Times New Roman"/>
          <w:spacing w:val="-3"/>
          <w:lang w:val="fr-CA"/>
        </w:rPr>
        <w:t>.</w:t>
      </w:r>
      <w:r w:rsidRPr="00A36157">
        <w:rPr>
          <w:rFonts w:cs="Times New Roman"/>
          <w:lang w:val="fr-CA"/>
        </w:rPr>
        <w:t xml:space="preserve"> L’appelant prétend en effet que, aux termes de l’arrêt </w:t>
      </w:r>
      <w:r w:rsidRPr="00A36157">
        <w:rPr>
          <w:rFonts w:cs="Times New Roman"/>
          <w:i/>
          <w:lang w:val="fr-CA"/>
        </w:rPr>
        <w:t>United</w:t>
      </w:r>
      <w:r w:rsidRPr="00A36157">
        <w:rPr>
          <w:rFonts w:cs="Times New Roman"/>
          <w:lang w:val="fr-CA"/>
        </w:rPr>
        <w:t xml:space="preserve"> </w:t>
      </w:r>
      <w:r w:rsidRPr="00A36157">
        <w:rPr>
          <w:rFonts w:cs="Times New Roman"/>
          <w:i/>
          <w:lang w:val="fr-CA"/>
        </w:rPr>
        <w:t>Nurses</w:t>
      </w:r>
      <w:r w:rsidRPr="00A36157">
        <w:rPr>
          <w:rFonts w:cs="Times New Roman"/>
          <w:lang w:val="fr-CA"/>
        </w:rPr>
        <w:t xml:space="preserve">, il doit être prouvé que, par les actes ou paroles qui lui sont reprochés, « l’accusé a [. . .] contribu[é] à miner l’autorité de la cour, en le sachant ou sans s’en soucier » (p. 933). En raison de la dualité ― civile et criminelle ― de l’infraction d’outrage au </w:t>
      </w:r>
      <w:r w:rsidRPr="00A36157">
        <w:rPr>
          <w:rFonts w:cs="Times New Roman"/>
          <w:lang w:val="fr-CA"/>
        </w:rPr>
        <w:lastRenderedPageBreak/>
        <w:t>tribunal et du fait qu’en</w:t>
      </w:r>
      <w:r w:rsidRPr="00A36157">
        <w:rPr>
          <w:rFonts w:cs="Times New Roman"/>
          <w:i/>
          <w:lang w:val="fr-CA"/>
        </w:rPr>
        <w:t xml:space="preserve"> </w:t>
      </w:r>
      <w:r w:rsidRPr="00A36157">
        <w:rPr>
          <w:rFonts w:cs="Times New Roman"/>
          <w:lang w:val="fr-CA"/>
        </w:rPr>
        <w:t xml:space="preserve">visant l’intérêt du public à la sauvegarde de l’administration de la justice, la dernière partie de l’art. 50 al. 1 </w:t>
      </w:r>
      <w:r w:rsidRPr="00A36157">
        <w:rPr>
          <w:rFonts w:cs="Times New Roman"/>
          <w:i/>
          <w:lang w:val="fr-CA"/>
        </w:rPr>
        <w:t>C.p.c.</w:t>
      </w:r>
      <w:r w:rsidRPr="00A36157">
        <w:rPr>
          <w:rFonts w:cs="Times New Roman"/>
          <w:lang w:val="fr-CA"/>
        </w:rPr>
        <w:t>, implique la nature quasi criminelle de l’outrage (</w:t>
      </w:r>
      <w:r w:rsidRPr="00A36157">
        <w:rPr>
          <w:rFonts w:cs="Times New Roman"/>
          <w:i/>
          <w:lang w:val="fr-CA"/>
        </w:rPr>
        <w:t>Poje c. Attorney General for British Columbia</w:t>
      </w:r>
      <w:r w:rsidRPr="00A36157">
        <w:rPr>
          <w:rFonts w:cs="Times New Roman"/>
          <w:lang w:val="fr-CA"/>
        </w:rPr>
        <w:t xml:space="preserve">, [1953] 1 R.C.S. 516), cette prétention de l’appelant est raisonnable. D’ailleurs, la notion de </w:t>
      </w:r>
      <w:r w:rsidRPr="00A36157">
        <w:rPr>
          <w:rFonts w:cs="Times New Roman"/>
          <w:i/>
          <w:lang w:val="fr-CA"/>
        </w:rPr>
        <w:t>mens rea</w:t>
      </w:r>
      <w:r w:rsidRPr="00A36157">
        <w:rPr>
          <w:rFonts w:cs="Times New Roman"/>
          <w:lang w:val="fr-CA"/>
        </w:rPr>
        <w:t>, telle qu’elle est plaidée en l’espèce, ressemble à celle</w:t>
      </w:r>
      <w:r w:rsidRPr="00A36157">
        <w:rPr>
          <w:rFonts w:cs="Times New Roman"/>
          <w:i/>
          <w:lang w:val="fr-CA"/>
        </w:rPr>
        <w:t xml:space="preserve"> </w:t>
      </w:r>
      <w:r w:rsidRPr="00A36157">
        <w:rPr>
          <w:rFonts w:cs="Times New Roman"/>
          <w:lang w:val="fr-CA"/>
        </w:rPr>
        <w:t xml:space="preserve">exposée dans </w:t>
      </w:r>
      <w:r w:rsidRPr="00A36157">
        <w:rPr>
          <w:rFonts w:cs="Times New Roman"/>
          <w:i/>
          <w:lang w:val="fr-CA"/>
        </w:rPr>
        <w:t>Daigle</w:t>
      </w:r>
      <w:r w:rsidRPr="00A36157">
        <w:rPr>
          <w:rFonts w:cs="Times New Roman"/>
          <w:lang w:val="fr-CA"/>
        </w:rPr>
        <w:t>, sans être rattachée à l’intention de violer une ordonnance par le défendeur lui-même.</w:t>
      </w:r>
    </w:p>
    <w:p w:rsidR="00A36157" w:rsidRPr="00240EF8" w:rsidRDefault="00A36157" w:rsidP="003223DD">
      <w:pPr>
        <w:pStyle w:val="ParaNoNdepar-AltN"/>
        <w:widowControl w:val="0"/>
        <w:tabs>
          <w:tab w:val="clear" w:pos="1166"/>
          <w:tab w:val="clear" w:pos="1512"/>
          <w:tab w:val="num" w:pos="1152"/>
        </w:tabs>
        <w:ind w:left="0"/>
        <w:rPr>
          <w:rFonts w:cs="Times New Roman"/>
          <w:lang w:val="fr-FR"/>
        </w:rPr>
      </w:pPr>
      <w:r w:rsidRPr="00240EF8">
        <w:rPr>
          <w:rFonts w:cs="Times New Roman"/>
          <w:lang w:val="fr-FR"/>
        </w:rPr>
        <w:t xml:space="preserve">À supposer que la </w:t>
      </w:r>
      <w:r w:rsidRPr="00240EF8">
        <w:rPr>
          <w:rFonts w:cs="Times New Roman"/>
          <w:i/>
          <w:lang w:val="fr-FR"/>
        </w:rPr>
        <w:t xml:space="preserve">mens rea </w:t>
      </w:r>
      <w:r w:rsidRPr="00240EF8">
        <w:rPr>
          <w:rFonts w:cs="Times New Roman"/>
          <w:lang w:val="fr-FR"/>
        </w:rPr>
        <w:t xml:space="preserve">plus exigeante liée à l’outrage criminel s’applique en l’espèce, sans toutefois décider ce point, la preuve démontre hors de tout doute raisonnable que l’intimé possédait cette </w:t>
      </w:r>
      <w:r w:rsidRPr="00240EF8">
        <w:rPr>
          <w:rFonts w:cs="Times New Roman"/>
          <w:i/>
          <w:lang w:val="fr-FR"/>
        </w:rPr>
        <w:t>mens rea</w:t>
      </w:r>
      <w:r w:rsidRPr="00240EF8">
        <w:rPr>
          <w:rFonts w:cs="Times New Roman"/>
          <w:lang w:val="fr-FR"/>
        </w:rPr>
        <w:t xml:space="preserve">. </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 xml:space="preserve">Dans </w:t>
      </w:r>
      <w:r w:rsidRPr="00A36157">
        <w:rPr>
          <w:rFonts w:cs="Times New Roman"/>
          <w:i/>
          <w:lang w:val="fr-CA"/>
        </w:rPr>
        <w:t>United Nurses</w:t>
      </w:r>
      <w:r w:rsidRPr="00A36157">
        <w:rPr>
          <w:rFonts w:cs="Times New Roman"/>
          <w:lang w:val="fr-CA"/>
        </w:rPr>
        <w:t xml:space="preserve">, la juge McLachlin, écrivant au nom de la majorité, a expliqué que le caractère public de l’action à l’origine de l’outrage reproché permet d’inférer l’insouciance : </w:t>
      </w:r>
    </w:p>
    <w:p w:rsidR="00A36157" w:rsidRPr="00240EF8" w:rsidRDefault="00A36157" w:rsidP="003223DD">
      <w:pPr>
        <w:pStyle w:val="Citation-AltC"/>
        <w:widowControl w:val="0"/>
        <w:ind w:firstLine="4"/>
      </w:pPr>
      <w:r w:rsidRPr="00A36157">
        <w:rPr>
          <w:lang w:val="fr-CA"/>
        </w:rPr>
        <w:t>Une transgression patente et publique d’une ordonnance de la cour tendra à miner l’autorité de celle</w:t>
      </w:r>
      <w:r w:rsidRPr="00A36157">
        <w:rPr>
          <w:lang w:val="fr-CA"/>
        </w:rPr>
        <w:noBreakHyphen/>
        <w:t xml:space="preserve">ci.  Par conséquent, lorsqu’il ressort de la preuve que l’accusé devait savoir que sa transgression serait publique, il peut être inféré qu’à tout le moins, il ne se souciait pas de savoir s’il y aurait outrage à l’autorité de la cour. </w:t>
      </w:r>
      <w:r w:rsidRPr="00240EF8">
        <w:t>[p. 933]</w:t>
      </w:r>
    </w:p>
    <w:p w:rsidR="00A36157" w:rsidRPr="00240EF8" w:rsidRDefault="00A36157" w:rsidP="003223DD">
      <w:pPr>
        <w:pStyle w:val="ParaNoNdepar-AltN"/>
        <w:widowControl w:val="0"/>
        <w:tabs>
          <w:tab w:val="clear" w:pos="1166"/>
          <w:tab w:val="clear" w:pos="1512"/>
          <w:tab w:val="num" w:pos="1152"/>
        </w:tabs>
        <w:ind w:left="0"/>
        <w:rPr>
          <w:rFonts w:cs="Times New Roman"/>
          <w:lang w:val="fr-FR"/>
        </w:rPr>
      </w:pPr>
      <w:r w:rsidRPr="00240EF8">
        <w:rPr>
          <w:rFonts w:cs="Times New Roman"/>
          <w:lang w:val="fr-FR"/>
        </w:rPr>
        <w:t xml:space="preserve">Vu le contexte dans lequel l’intimé a prononcé ses paroles ― à savoir à l’occasion d’une entrevue télévisée largement diffusée au Québec ―, il savait que sa transgression serait publique et, conformément à l’arrêt </w:t>
      </w:r>
      <w:r w:rsidRPr="00240EF8">
        <w:rPr>
          <w:rFonts w:cs="Times New Roman"/>
          <w:i/>
          <w:lang w:val="fr-FR"/>
        </w:rPr>
        <w:t>United Nurses</w:t>
      </w:r>
      <w:r w:rsidRPr="00240EF8">
        <w:rPr>
          <w:rFonts w:cs="Times New Roman"/>
          <w:lang w:val="fr-FR"/>
        </w:rPr>
        <w:t xml:space="preserve">, il est permis d’inférer qu’à tout le moins il ne se souciait pas de savoir s’il y aurait atteinte à l’autorité de la cour. La preuve présentée en première instance satisfait aux exigences de la </w:t>
      </w:r>
      <w:r w:rsidRPr="00240EF8">
        <w:rPr>
          <w:rFonts w:cs="Times New Roman"/>
          <w:i/>
          <w:lang w:val="fr-FR"/>
        </w:rPr>
        <w:t>mens</w:t>
      </w:r>
      <w:r w:rsidRPr="00240EF8">
        <w:rPr>
          <w:rFonts w:cs="Times New Roman"/>
          <w:lang w:val="fr-FR"/>
        </w:rPr>
        <w:t xml:space="preserve"> </w:t>
      </w:r>
      <w:r w:rsidRPr="00240EF8">
        <w:rPr>
          <w:rFonts w:cs="Times New Roman"/>
          <w:i/>
          <w:lang w:val="fr-FR"/>
        </w:rPr>
        <w:lastRenderedPageBreak/>
        <w:t>rea</w:t>
      </w:r>
      <w:r w:rsidRPr="00240EF8">
        <w:rPr>
          <w:rFonts w:cs="Times New Roman"/>
          <w:lang w:val="fr-FR"/>
        </w:rPr>
        <w:t xml:space="preserve"> de l’infraction prévue à la dernière partie de l’art. 50 al. 1 </w:t>
      </w:r>
      <w:r w:rsidRPr="00240EF8">
        <w:rPr>
          <w:rFonts w:cs="Times New Roman"/>
          <w:i/>
          <w:lang w:val="fr-FR"/>
        </w:rPr>
        <w:t>C.p.c.</w:t>
      </w:r>
      <w:r w:rsidRPr="00240EF8">
        <w:rPr>
          <w:rFonts w:cs="Times New Roman"/>
          <w:lang w:val="fr-FR"/>
        </w:rPr>
        <w:t xml:space="preserve"> : l’appelant a démontré hors de tout doute raisonnable que l’intimé a publiquement incité les étudiants à violer les conditions des ordonnances judiciaires dont il connaissait la teneur et la portée, y compris l’Ordonnance de sauvegarde, et qu’il était, au mieux, insouciant à l’égard de la possibilité que ses propos portent atteinte à l’autorité des tribunaux.</w:t>
      </w:r>
    </w:p>
    <w:p w:rsidR="00A36157" w:rsidRPr="00240EF8" w:rsidRDefault="00A36157" w:rsidP="003223DD">
      <w:pPr>
        <w:pStyle w:val="Title2LevelTitre2Niveau"/>
        <w:widowControl w:val="0"/>
        <w:numPr>
          <w:ilvl w:val="1"/>
          <w:numId w:val="3"/>
        </w:numPr>
        <w:jc w:val="both"/>
        <w:rPr>
          <w:rFonts w:cs="Times New Roman"/>
          <w:lang w:val="fr-CA"/>
        </w:rPr>
      </w:pPr>
      <w:r w:rsidRPr="00240EF8">
        <w:rPr>
          <w:rFonts w:cs="Times New Roman"/>
          <w:lang w:val="fr-CA"/>
        </w:rPr>
        <w:t>La liberté d’expression</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 xml:space="preserve">Avant d’aborder le volet de la peine, je crois opportun de commenter brièvement la question de la liberté d’expression. Les parties et les intervenants l’ont débattue avec vigueur, et la Cour d’appel y a consacré quelques paragraphes de son arrêt (par. 73-76). Puisque </w:t>
      </w:r>
      <w:r w:rsidRPr="00A36157">
        <w:rPr>
          <w:rFonts w:eastAsia="Times New Roman" w:cs="Times New Roman"/>
          <w:szCs w:val="20"/>
          <w:lang w:val="fr-CA" w:eastAsia="en-CA"/>
        </w:rPr>
        <w:t>le droit d’une personne d’exprimer ses opinions en public est protégé par l’al. 2</w:t>
      </w:r>
      <w:r w:rsidRPr="00A36157">
        <w:rPr>
          <w:rFonts w:eastAsia="Times New Roman" w:cs="Times New Roman"/>
          <w:i/>
          <w:szCs w:val="20"/>
          <w:lang w:val="fr-CA" w:eastAsia="en-CA"/>
        </w:rPr>
        <w:t>b</w:t>
      </w:r>
      <w:r w:rsidRPr="00A36157">
        <w:rPr>
          <w:rFonts w:eastAsia="Times New Roman" w:cs="Times New Roman"/>
          <w:szCs w:val="20"/>
          <w:lang w:val="fr-CA" w:eastAsia="en-CA"/>
        </w:rPr>
        <w:t xml:space="preserve">) de la </w:t>
      </w:r>
      <w:r w:rsidRPr="00A36157">
        <w:rPr>
          <w:rFonts w:eastAsia="Times New Roman" w:cs="Times New Roman"/>
          <w:i/>
          <w:iCs/>
          <w:szCs w:val="20"/>
          <w:lang w:val="fr-CA" w:eastAsia="en-CA"/>
        </w:rPr>
        <w:t xml:space="preserve">Charte canadienne des droits et libertés </w:t>
      </w:r>
      <w:r w:rsidRPr="00A36157">
        <w:rPr>
          <w:rFonts w:eastAsia="Times New Roman" w:cs="Times New Roman"/>
          <w:szCs w:val="20"/>
          <w:lang w:val="fr-CA" w:eastAsia="en-CA"/>
        </w:rPr>
        <w:t xml:space="preserve">et également, au Québec, par l’art. 3 de la </w:t>
      </w:r>
      <w:r w:rsidRPr="00A36157">
        <w:rPr>
          <w:rFonts w:eastAsia="Times New Roman" w:cs="Times New Roman"/>
          <w:i/>
          <w:iCs/>
          <w:szCs w:val="20"/>
          <w:lang w:val="fr-CA" w:eastAsia="en-CA"/>
        </w:rPr>
        <w:t>Charte des droits et libertés de la personne</w:t>
      </w:r>
      <w:r w:rsidRPr="00A36157">
        <w:rPr>
          <w:rFonts w:eastAsia="Times New Roman" w:cs="Times New Roman"/>
          <w:iCs/>
          <w:szCs w:val="20"/>
          <w:lang w:val="fr-CA" w:eastAsia="en-CA"/>
        </w:rPr>
        <w:t xml:space="preserve">, RLRQ, c. C-12, </w:t>
      </w:r>
      <w:r w:rsidRPr="00A36157">
        <w:rPr>
          <w:rFonts w:cs="Times New Roman"/>
          <w:lang w:val="fr-CA"/>
        </w:rPr>
        <w:t>la Cour d’appel a souligné l’importance « d’être conscient de cette dimension dans l’évaluation des propos tenus pour pallier le risque de paralyser l’exercice de ce droit fondamental ou d’imposer indirectement une certaine forme de censure » (par. 76).</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 xml:space="preserve">L’importance de la liberté d’expression et de sa protection dans une société démocratique ne saurait jamais être exagérée, et je souscris entièrement au souci exprimé par la Cour d’appel sur le besoin de protéger le mieux possible la liberté d’expression sous toutes ses formes. Cela dit, l’idée de lier l’incitation à violer une ordonnance d’un tribunal à l’exercice légitime de la liberté d’expression peut surprendre. Le jugement contesté et les propos qui sont à l’origine de celui-ci n’ont rien </w:t>
      </w:r>
      <w:r w:rsidRPr="00A36157">
        <w:rPr>
          <w:rFonts w:cs="Times New Roman"/>
          <w:lang w:val="fr-CA"/>
        </w:rPr>
        <w:lastRenderedPageBreak/>
        <w:t>à voir avec la protection de la liberté d’expression. On ne peut, sous prétexte d’exercer sa liberté d’expression, inciter des citoyens à violer une ordonnance de la cour. D’autres remèdes existent pour contester le bien-fondé des décisions d’une cour de justice.</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 xml:space="preserve">La primauté du droit est à la base de nos libertés et constitue le fondement même de la </w:t>
      </w:r>
      <w:r w:rsidRPr="00A36157">
        <w:rPr>
          <w:rFonts w:cs="Times New Roman"/>
          <w:i/>
          <w:lang w:val="fr-CA"/>
        </w:rPr>
        <w:t xml:space="preserve">Charte canadienne </w:t>
      </w:r>
      <w:r w:rsidRPr="00A36157">
        <w:rPr>
          <w:rFonts w:cs="Times New Roman"/>
          <w:lang w:val="fr-CA"/>
        </w:rPr>
        <w:t>(</w:t>
      </w:r>
      <w:r w:rsidRPr="00A36157">
        <w:rPr>
          <w:rFonts w:cs="Times New Roman"/>
          <w:i/>
          <w:lang w:val="fr-CA"/>
        </w:rPr>
        <w:t>B.C.G.E.U.</w:t>
      </w:r>
      <w:r w:rsidRPr="00A36157">
        <w:rPr>
          <w:rFonts w:cs="Times New Roman"/>
          <w:lang w:val="fr-CA"/>
        </w:rPr>
        <w:t xml:space="preserve">), ainsi que le précise le préambule de cette dernière : « . . . le Canada est fondé sur des principes qui reconnaissent [. . .] la primauté du droit ». D’ailleurs, si nos libertés, dont la liberté d’expression, continuent de s’épanouir aujourd’hui, c’est grâce à la primauté du droit. Comme l’explique de manière éloquente le juge Wood, dans </w:t>
      </w:r>
      <w:r w:rsidRPr="00A36157">
        <w:rPr>
          <w:rFonts w:cs="Times New Roman"/>
          <w:i/>
          <w:lang w:val="fr-CA"/>
        </w:rPr>
        <w:t>Bridges </w:t>
      </w:r>
      <w:r w:rsidRPr="00A36157">
        <w:rPr>
          <w:rFonts w:cs="Times New Roman"/>
          <w:lang w:val="fr-CA"/>
        </w:rPr>
        <w:t xml:space="preserve">:  </w:t>
      </w:r>
    </w:p>
    <w:p w:rsidR="00A36157" w:rsidRPr="00E871D3" w:rsidRDefault="00A36157" w:rsidP="003223DD">
      <w:pPr>
        <w:pStyle w:val="Citation-AltC"/>
        <w:widowControl w:val="0"/>
        <w:rPr>
          <w:lang w:val="fr-CA"/>
        </w:rPr>
      </w:pPr>
      <w:r w:rsidRPr="00A36157">
        <w:rPr>
          <w:lang w:val="fr-CA"/>
        </w:rPr>
        <w:t>[</w:t>
      </w:r>
      <w:r w:rsidRPr="00A36157">
        <w:rPr>
          <w:smallCaps/>
          <w:lang w:val="fr-CA"/>
        </w:rPr>
        <w:t>traduction</w:t>
      </w:r>
      <w:r w:rsidRPr="00A36157">
        <w:rPr>
          <w:lang w:val="fr-CA"/>
        </w:rPr>
        <w:t xml:space="preserve">] Tout ce que nous avons aujourd’hui, et que nous chérissons dans ce pays libre et démocratique, nous l’avons grâce à la primauté du droit. C’est aussi grâce à elle que nous jouissons aujourd’hui de la liberté de religion et de la liberté d’expression. Votre droit d’avoir les croyances qui sont les vôtres et de les épouser avec la ferveur que vous souhaitez ainsi que celui de tenter de persuader les autres de votre point de vue existent uniquement grâce à la primauté du droit. Sans cette dernière, n’existerait que la loi du plus fort, et la </w:t>
      </w:r>
      <w:r w:rsidRPr="00A36157">
        <w:rPr>
          <w:i/>
          <w:lang w:val="fr-CA"/>
        </w:rPr>
        <w:t xml:space="preserve">Charte </w:t>
      </w:r>
      <w:r w:rsidR="00E871D3">
        <w:rPr>
          <w:i/>
          <w:lang w:val="fr-CA"/>
        </w:rPr>
        <w:t xml:space="preserve">canadienne </w:t>
      </w:r>
      <w:r w:rsidRPr="00A36157">
        <w:rPr>
          <w:i/>
          <w:lang w:val="fr-CA"/>
        </w:rPr>
        <w:t>des droits et libertés</w:t>
      </w:r>
      <w:r w:rsidRPr="00A36157">
        <w:rPr>
          <w:lang w:val="fr-CA"/>
        </w:rPr>
        <w:t xml:space="preserve">, que certains d’entre vous ont invoquée, ne serait rien de plus qu’un autre morceau de parchemin à la dérive sur la route intemporelle de l’histoire de l’humanité. </w:t>
      </w:r>
      <w:r w:rsidRPr="00E871D3">
        <w:rPr>
          <w:lang w:val="fr-CA"/>
        </w:rPr>
        <w:t>[p. 156]</w:t>
      </w:r>
    </w:p>
    <w:p w:rsidR="00A36157" w:rsidRPr="00E871D3" w:rsidRDefault="00A36157" w:rsidP="003223DD">
      <w:pPr>
        <w:pStyle w:val="Citation-AltC"/>
        <w:widowControl w:val="0"/>
        <w:rPr>
          <w:lang w:val="fr-CA"/>
        </w:rPr>
      </w:pP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 xml:space="preserve">En conséquence, le fait d’assurer le respect des ordonnances prononcées par les tribunaux et, ainsi, de maintenir l’autorité et la crédibilité de ceux-ci, a pour effet d’appuyer le principe de la primauté du droit et, par ricochet, nos libertés fondamentales, dont la liberté d’expression : </w:t>
      </w:r>
    </w:p>
    <w:p w:rsidR="00A36157" w:rsidRPr="00A36157" w:rsidRDefault="00A36157" w:rsidP="003223DD">
      <w:pPr>
        <w:pStyle w:val="Citation-AltC"/>
        <w:widowControl w:val="0"/>
        <w:ind w:firstLine="274"/>
        <w:rPr>
          <w:lang w:val="fr-CA"/>
        </w:rPr>
      </w:pPr>
      <w:r w:rsidRPr="00A36157">
        <w:rPr>
          <w:lang w:val="fr-CA"/>
        </w:rPr>
        <w:t>[</w:t>
      </w:r>
      <w:r w:rsidRPr="00A36157">
        <w:rPr>
          <w:smallCaps/>
          <w:lang w:val="fr-CA"/>
        </w:rPr>
        <w:t>traduction</w:t>
      </w:r>
      <w:r w:rsidRPr="00A36157">
        <w:rPr>
          <w:lang w:val="fr-CA"/>
        </w:rPr>
        <w:t xml:space="preserve">] Au cours des siècles, nos régimes législatifs ont été </w:t>
      </w:r>
      <w:r w:rsidRPr="00A36157">
        <w:rPr>
          <w:lang w:val="fr-CA"/>
        </w:rPr>
        <w:lastRenderedPageBreak/>
        <w:t xml:space="preserve">conçus pour offrir une protection optimale à toutes les classes sociales et ce n’est que grâce à la liberté et à l’indépendance des tribunaux que ces privilèges sont protégés. Dès lors qu’on fait fi </w:t>
      </w:r>
      <w:r w:rsidR="00E871D3">
        <w:rPr>
          <w:lang w:val="fr-CA"/>
        </w:rPr>
        <w:t xml:space="preserve">de </w:t>
      </w:r>
      <w:r w:rsidRPr="00A36157">
        <w:rPr>
          <w:lang w:val="fr-CA"/>
        </w:rPr>
        <w:t>nos lois et que nos tribunaux sont traités avec mépris</w:t>
      </w:r>
      <w:r w:rsidR="00E871D3">
        <w:rPr>
          <w:lang w:val="fr-CA"/>
        </w:rPr>
        <w:t>,</w:t>
      </w:r>
      <w:r w:rsidRPr="00A36157">
        <w:rPr>
          <w:lang w:val="fr-CA"/>
        </w:rPr>
        <w:t xml:space="preserve"> tout le tissu de nos libertés s’effile. Ne reste alors que le recours aux méthodes du Moyen Âge lorsque la seule règle de droit reconnue était la loi du plus fort. Qu’une loi soit violée et que cette violation soit ignorée ne constitue qu’une incitation à en bafouer d’autres et, de fils en aiguille, ne peut qu’entraîner la disparition de la liberté que garantit notre droit et que nous chérissons.</w:t>
      </w:r>
    </w:p>
    <w:p w:rsidR="00A36157" w:rsidRPr="00A36157" w:rsidRDefault="00A36157" w:rsidP="003223DD">
      <w:pPr>
        <w:pStyle w:val="Citation-AltC"/>
        <w:widowControl w:val="0"/>
        <w:rPr>
          <w:lang w:val="fr-CA"/>
        </w:rPr>
      </w:pPr>
    </w:p>
    <w:p w:rsidR="00A36157" w:rsidRPr="00A36157" w:rsidRDefault="00A36157" w:rsidP="003223DD">
      <w:pPr>
        <w:pStyle w:val="Citation-AltC"/>
        <w:widowControl w:val="0"/>
        <w:spacing w:after="480" w:line="480" w:lineRule="auto"/>
        <w:ind w:left="0"/>
        <w:contextualSpacing w:val="0"/>
        <w:rPr>
          <w:lang w:val="fr-CA"/>
        </w:rPr>
      </w:pPr>
      <w:r w:rsidRPr="00A36157">
        <w:rPr>
          <w:lang w:val="fr-CA"/>
        </w:rPr>
        <w:t>(</w:t>
      </w:r>
      <w:r w:rsidRPr="00A36157">
        <w:rPr>
          <w:bCs/>
          <w:i/>
          <w:lang w:val="fr-CA"/>
        </w:rPr>
        <w:t xml:space="preserve">Canadian Transport Co. c. Alsbury </w:t>
      </w:r>
      <w:r w:rsidRPr="00A36157">
        <w:rPr>
          <w:bCs/>
          <w:lang w:val="fr-CA"/>
        </w:rPr>
        <w:t>(1952), 6 W.W.R. (N.S.) 473 (C.S. C.-B.),</w:t>
      </w:r>
      <w:r w:rsidR="0062105B">
        <w:rPr>
          <w:bCs/>
          <w:lang w:val="fr-CA"/>
        </w:rPr>
        <w:t xml:space="preserve"> </w:t>
      </w:r>
      <w:r w:rsidR="0062105B" w:rsidRPr="00A36157">
        <w:rPr>
          <w:lang w:val="fr-CA"/>
        </w:rPr>
        <w:t>p. 478</w:t>
      </w:r>
      <w:r w:rsidR="0062105B">
        <w:rPr>
          <w:lang w:val="fr-CA"/>
        </w:rPr>
        <w:t>,</w:t>
      </w:r>
      <w:r w:rsidRPr="00A36157">
        <w:rPr>
          <w:lang w:val="fr-CA"/>
        </w:rPr>
        <w:t xml:space="preserve"> conf. par [1953] 1 D.L.R. 385 (C.A. C.-B.), conf. par l’arrêt </w:t>
      </w:r>
      <w:r w:rsidRPr="00A36157">
        <w:rPr>
          <w:i/>
          <w:lang w:val="fr-CA"/>
        </w:rPr>
        <w:t>Poje</w:t>
      </w:r>
      <w:r w:rsidR="00E871D3">
        <w:rPr>
          <w:lang w:val="fr-CA"/>
        </w:rPr>
        <w:t>.</w:t>
      </w:r>
      <w:r w:rsidRPr="00A36157">
        <w:rPr>
          <w:lang w:val="fr-CA"/>
        </w:rPr>
        <w:t>)</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Selon le juge de première instance, en incitant à désobéir aux ordonnances rendues par les tribunaux, l’intimé prônait dans les faits l’anarchie et encourageait à la désobéissance civile (par. 95). À la lumière des enseignements susmentionnés, il nuisait donc aux libertés mêmes qu’il prétendait exercer, puisqu’il s’attaquait à la capacité des tribunaux de les faire respecter.</w:t>
      </w:r>
    </w:p>
    <w:p w:rsidR="00A36157" w:rsidRPr="00240EF8" w:rsidRDefault="00A36157" w:rsidP="003223DD">
      <w:pPr>
        <w:pStyle w:val="Title2LevelTitre2Niveau"/>
        <w:widowControl w:val="0"/>
        <w:numPr>
          <w:ilvl w:val="1"/>
          <w:numId w:val="3"/>
        </w:numPr>
        <w:jc w:val="both"/>
        <w:rPr>
          <w:rFonts w:cs="Times New Roman"/>
        </w:rPr>
      </w:pPr>
      <w:r w:rsidRPr="00240EF8">
        <w:rPr>
          <w:rFonts w:cs="Times New Roman"/>
        </w:rPr>
        <w:t>La peine</w:t>
      </w:r>
    </w:p>
    <w:p w:rsidR="00A36157" w:rsidRPr="00240EF8" w:rsidRDefault="00A36157" w:rsidP="003223DD">
      <w:pPr>
        <w:pStyle w:val="ParaNoNdepar-AltN"/>
        <w:widowControl w:val="0"/>
        <w:tabs>
          <w:tab w:val="clear" w:pos="1166"/>
          <w:tab w:val="clear" w:pos="1512"/>
          <w:tab w:val="num" w:pos="1152"/>
        </w:tabs>
        <w:ind w:left="0"/>
        <w:rPr>
          <w:rFonts w:cs="Times New Roman"/>
        </w:rPr>
      </w:pPr>
      <w:r w:rsidRPr="00A36157">
        <w:rPr>
          <w:rFonts w:cs="Times New Roman"/>
          <w:lang w:val="fr-CA"/>
        </w:rPr>
        <w:t xml:space="preserve">L’intimé avance deux arguments au soutien de son appel sur la peine qui lui a été infligée. Premièrement, il prétend que, durant la dernière audience portant sur la peine, le juge de première instance a considéré une vidéo qui avait préalablement été déclarée inadmissible, étant donné qu’elle avait été tournée le 7 avril 2012, avant l’Ordonnance de sauvegarde rendue le 2 mai 2012. L’intimé demande que cet élément ne soit pas pris en compte. Deuxièmement, il plaide que l’adoption au même moment de la </w:t>
      </w:r>
      <w:r w:rsidRPr="00A36157">
        <w:rPr>
          <w:rFonts w:cs="Times New Roman"/>
          <w:i/>
          <w:lang w:val="fr-CA"/>
        </w:rPr>
        <w:t xml:space="preserve">Loi 12 </w:t>
      </w:r>
      <w:r w:rsidRPr="00A36157">
        <w:rPr>
          <w:rFonts w:cs="Times New Roman"/>
          <w:lang w:val="fr-CA"/>
        </w:rPr>
        <w:t xml:space="preserve">soit considérée comme un facteur atténuant, puisqu’au moment de l’infliction de la peine, il n’était plus nécessaire de dissuader les délinquants potentiels. </w:t>
      </w:r>
      <w:r w:rsidRPr="00A36157">
        <w:rPr>
          <w:rFonts w:cs="Times New Roman"/>
          <w:lang w:val="fr-CA"/>
        </w:rPr>
        <w:lastRenderedPageBreak/>
        <w:t xml:space="preserve">En raison de ce contexte, il affirme que la peine qui lui a été imposée par le juge de première instance était déraisonnable et largement disproportionnée. </w:t>
      </w:r>
      <w:r w:rsidRPr="00240EF8">
        <w:rPr>
          <w:rFonts w:cs="Times New Roman"/>
        </w:rPr>
        <w:t>À mon avis, il a tort.</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En ce qui concerne l’argument portant sur la vidéo, le juge de première instance a correctement souligné qu’il y a un assouplissement des règles relatives à l’admissibilité de la preuve à l’étape de la détermination de la peine (</w:t>
      </w:r>
      <w:r w:rsidRPr="00A36157">
        <w:rPr>
          <w:rFonts w:cs="Times New Roman"/>
          <w:i/>
          <w:lang w:val="fr-CA"/>
        </w:rPr>
        <w:t>R. c. Gardiner</w:t>
      </w:r>
      <w:r w:rsidRPr="00A36157">
        <w:rPr>
          <w:rFonts w:cs="Times New Roman"/>
          <w:lang w:val="fr-CA"/>
        </w:rPr>
        <w:t xml:space="preserve">, [1982] 2 R.C.S. 368, p. 414). De plus, je suis d’avis qu’une lecture attentive des motifs du juge démontre que la vidéo ne l’a pas amené à infliger une peine déraisonnable. </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 xml:space="preserve">J’aborde maintenant le deuxième argument de l’intimé. L’article 32 al. 1 de la </w:t>
      </w:r>
      <w:r w:rsidRPr="00A36157">
        <w:rPr>
          <w:rFonts w:cs="Times New Roman"/>
          <w:i/>
          <w:lang w:val="fr-CA"/>
        </w:rPr>
        <w:t>Loi 12</w:t>
      </w:r>
      <w:r w:rsidRPr="00A36157">
        <w:rPr>
          <w:rFonts w:cs="Times New Roman"/>
          <w:lang w:val="fr-CA"/>
        </w:rPr>
        <w:t xml:space="preserve"> précise que les ordonnances visant à garantir aux étudiants les services d’enseignement auxquels ils ont droit cessaient de s’appliquer à partir du 18 mai 2012. Cependant, au moment où l’intimé a prononcé les paroles constituant l’outrage ― le 13 mai 2012 ― ces ordonnances, dont celle concernant l’appelant, étaient toujours en force. De plus, l’art. 32 al. 2 de la </w:t>
      </w:r>
      <w:r w:rsidRPr="00A36157">
        <w:rPr>
          <w:rFonts w:cs="Times New Roman"/>
          <w:i/>
          <w:lang w:val="fr-CA"/>
        </w:rPr>
        <w:t xml:space="preserve">Loi 12 </w:t>
      </w:r>
      <w:r w:rsidRPr="00A36157">
        <w:rPr>
          <w:rFonts w:cs="Times New Roman"/>
          <w:lang w:val="fr-CA"/>
        </w:rPr>
        <w:t>prescrit que les demandes de condamnation pour outrage au tribunal liées aux contraventions des ordonnances rendues avant le 18 mai 2012 peuvent être introduites ou continuées après le 18 mai 2012. Le juge de première instance en était conscient (jugement sur la peine, par. 42-44).</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 xml:space="preserve">L’intimé soutient que les raisons qui appuient l’infliction d’une peine pour outrage incluent l’assurance que les ordonnances prononcées par les tribunaux seront respectées. Il affirme donc que la peine de 120 heures de travaux communautaires était déraisonnable, parce qu’au moment où elle a été imposée, la nécessité d’empêcher la </w:t>
      </w:r>
      <w:r w:rsidRPr="00A36157">
        <w:rPr>
          <w:rFonts w:cs="Times New Roman"/>
          <w:lang w:val="fr-CA"/>
        </w:rPr>
        <w:lastRenderedPageBreak/>
        <w:t xml:space="preserve">violation des ordonnances n’existait plus en vertu de la </w:t>
      </w:r>
      <w:r w:rsidRPr="00A36157">
        <w:rPr>
          <w:rFonts w:cs="Times New Roman"/>
          <w:i/>
          <w:lang w:val="fr-CA"/>
        </w:rPr>
        <w:t>Loi 12</w:t>
      </w:r>
      <w:r w:rsidRPr="00A36157">
        <w:rPr>
          <w:rFonts w:cs="Times New Roman"/>
          <w:lang w:val="fr-CA"/>
        </w:rPr>
        <w:t>. Cet argument fait abstraction d’un autre objectif de l’infliction d’une peine en cas d’outrage au tribunal, soit celui de dénoncer la violation des ordonnances des tribunaux et les comportements qui entravent le cours normal de l’administration de la justice ou qui portent atteinte à l’autorité ou à la dignité du tribunal (</w:t>
      </w:r>
      <w:r w:rsidRPr="00A36157">
        <w:rPr>
          <w:rFonts w:cs="Times New Roman"/>
          <w:i/>
          <w:szCs w:val="24"/>
          <w:lang w:val="fr-CA"/>
        </w:rPr>
        <w:t>Westfair Foods Ltd. c. Naherny</w:t>
      </w:r>
      <w:r w:rsidRPr="00A36157">
        <w:rPr>
          <w:rFonts w:cs="Times New Roman"/>
          <w:szCs w:val="24"/>
          <w:lang w:val="fr-CA"/>
        </w:rPr>
        <w:t xml:space="preserve"> (1990), 63 Man. R. (2d) 238 (C.A.)).</w:t>
      </w:r>
    </w:p>
    <w:p w:rsidR="00A36157" w:rsidRPr="00A36157" w:rsidRDefault="00A36157" w:rsidP="003223DD">
      <w:pPr>
        <w:pStyle w:val="ParaNoNdepar-AltN"/>
        <w:widowControl w:val="0"/>
        <w:tabs>
          <w:tab w:val="clear" w:pos="1166"/>
          <w:tab w:val="clear" w:pos="1512"/>
          <w:tab w:val="num" w:pos="1152"/>
        </w:tabs>
        <w:ind w:left="0"/>
        <w:rPr>
          <w:rFonts w:cs="Times New Roman"/>
          <w:szCs w:val="24"/>
          <w:lang w:val="fr-CA"/>
        </w:rPr>
      </w:pPr>
      <w:r w:rsidRPr="00A36157">
        <w:rPr>
          <w:rFonts w:cs="Times New Roman"/>
          <w:lang w:val="fr-CA"/>
        </w:rPr>
        <w:t xml:space="preserve">Finalement, sur la proportionnalité de la peine, il convient de souligner que, comme en matière d’infractions criminelles, la peine imposée à la suite d’une condamnation pour outrage relève de la </w:t>
      </w:r>
      <w:r w:rsidRPr="00A36157">
        <w:rPr>
          <w:rFonts w:cs="Times New Roman"/>
          <w:szCs w:val="24"/>
          <w:lang w:val="fr-CA"/>
        </w:rPr>
        <w:t>discrétion du juge de première instance (</w:t>
      </w:r>
      <w:r w:rsidRPr="00A36157">
        <w:rPr>
          <w:rFonts w:cs="Times New Roman"/>
          <w:i/>
          <w:iCs/>
          <w:szCs w:val="24"/>
          <w:lang w:val="fr-CA"/>
        </w:rPr>
        <w:t xml:space="preserve">R. </w:t>
      </w:r>
      <w:r w:rsidRPr="00A36157">
        <w:rPr>
          <w:rFonts w:cs="Times New Roman"/>
          <w:i/>
          <w:szCs w:val="24"/>
          <w:lang w:val="fr-CA"/>
        </w:rPr>
        <w:t>c.</w:t>
      </w:r>
      <w:r w:rsidRPr="00A36157">
        <w:rPr>
          <w:rFonts w:cs="Times New Roman"/>
          <w:szCs w:val="24"/>
          <w:lang w:val="fr-CA"/>
        </w:rPr>
        <w:t xml:space="preserve"> </w:t>
      </w:r>
      <w:r w:rsidRPr="00A36157">
        <w:rPr>
          <w:rFonts w:cs="Times New Roman"/>
          <w:i/>
          <w:iCs/>
          <w:szCs w:val="24"/>
          <w:lang w:val="fr-CA"/>
        </w:rPr>
        <w:t>Lacasse</w:t>
      </w:r>
      <w:r w:rsidRPr="00A36157">
        <w:rPr>
          <w:rFonts w:cs="Times New Roman"/>
          <w:szCs w:val="24"/>
          <w:lang w:val="fr-CA"/>
        </w:rPr>
        <w:t>, 2015 CSC 64, [2015] 3 R.C.S. 1089, par. 39)</w:t>
      </w:r>
      <w:r w:rsidRPr="00A36157">
        <w:rPr>
          <w:rFonts w:cs="Times New Roman"/>
          <w:lang w:val="fr-CA"/>
        </w:rPr>
        <w:t>.</w:t>
      </w:r>
      <w:r w:rsidRPr="00A36157">
        <w:rPr>
          <w:rFonts w:cs="Times New Roman"/>
          <w:szCs w:val="24"/>
          <w:lang w:val="fr-CA"/>
        </w:rPr>
        <w:t xml:space="preserve"> Les cours d’appel n’interviendront pas, sauf s’il est démontré qu’il y a eu erreur de droit ou un abus de ce pouvoir discrétionnaire, ou encore que la peine s’appuie sur des motifs non juridiques. Les motifs du juge de première instance n’entrent dans aucune de ces catégories.</w:t>
      </w:r>
      <w:r w:rsidRPr="00A36157">
        <w:rPr>
          <w:rFonts w:cs="Times New Roman"/>
          <w:lang w:val="fr-CA"/>
        </w:rPr>
        <w:t xml:space="preserve"> La peine qui a été infligée n’est pas disproportionnée. Une peine de 120 heures de travaux communautaires ne s’écarte pas de manière déraisonnable des sanctions imposées en semblable matière, où l’outrage avait une connotation publique (voir, à titre d’exemple, </w:t>
      </w:r>
      <w:r w:rsidRPr="00A36157">
        <w:rPr>
          <w:rFonts w:cs="Times New Roman"/>
          <w:i/>
          <w:lang w:val="fr-CA"/>
        </w:rPr>
        <w:t>Charbonneau</w:t>
      </w:r>
      <w:r w:rsidRPr="00A36157">
        <w:rPr>
          <w:rFonts w:cs="Times New Roman"/>
          <w:lang w:val="fr-CA"/>
        </w:rPr>
        <w:t>;</w:t>
      </w:r>
      <w:r w:rsidRPr="00A36157">
        <w:rPr>
          <w:rFonts w:cs="Times New Roman"/>
          <w:i/>
          <w:lang w:val="fr-CA"/>
        </w:rPr>
        <w:t xml:space="preserve"> Agence nationale d’encadrement du secteur financier c. Coopérative de producteurs de bois précieux Québec Forestales</w:t>
      </w:r>
      <w:r w:rsidRPr="00A36157">
        <w:rPr>
          <w:rFonts w:cs="Times New Roman"/>
          <w:lang w:val="fr-CA"/>
        </w:rPr>
        <w:t xml:space="preserve">, 2005 CanLII 11614 (C.S. Qc);  </w:t>
      </w:r>
      <w:r w:rsidRPr="00A36157">
        <w:rPr>
          <w:rFonts w:cs="Times New Roman"/>
          <w:i/>
          <w:lang w:val="fr-CA"/>
        </w:rPr>
        <w:t>Westfair Foods</w:t>
      </w:r>
      <w:r w:rsidRPr="00A36157">
        <w:rPr>
          <w:rFonts w:cs="Times New Roman"/>
          <w:lang w:val="fr-CA"/>
        </w:rPr>
        <w:t xml:space="preserve">; et </w:t>
      </w:r>
      <w:r w:rsidRPr="00A36157">
        <w:rPr>
          <w:rFonts w:cs="Times New Roman"/>
          <w:i/>
          <w:lang w:val="fr-CA"/>
        </w:rPr>
        <w:t>Peter Kiewit Sons Co. c. Perry</w:t>
      </w:r>
      <w:r w:rsidRPr="00A36157">
        <w:rPr>
          <w:rFonts w:cs="Times New Roman"/>
          <w:lang w:val="fr-CA"/>
        </w:rPr>
        <w:t xml:space="preserve">, 2007 BCSC 305). </w:t>
      </w:r>
      <w:r w:rsidRPr="00A36157">
        <w:rPr>
          <w:rFonts w:cs="Times New Roman"/>
          <w:szCs w:val="24"/>
          <w:lang w:val="fr-CA"/>
        </w:rPr>
        <w:t xml:space="preserve">Une personne </w:t>
      </w:r>
      <w:r w:rsidRPr="00240EF8">
        <w:rPr>
          <w:rStyle w:val="texte-courant1"/>
          <w:rFonts w:cs="Times New Roman"/>
          <w:szCs w:val="24"/>
          <w:lang w:val="fr-FR"/>
        </w:rPr>
        <w:t xml:space="preserve">qui se rend coupable d’outrage au tribunal en vertu de l’art. 50 </w:t>
      </w:r>
      <w:r w:rsidRPr="00240EF8">
        <w:rPr>
          <w:rStyle w:val="texte-courant1"/>
          <w:rFonts w:cs="Times New Roman"/>
          <w:i/>
          <w:szCs w:val="24"/>
          <w:lang w:val="fr-FR"/>
        </w:rPr>
        <w:t>C.p.c.</w:t>
      </w:r>
      <w:r w:rsidRPr="00240EF8">
        <w:rPr>
          <w:rStyle w:val="texte-courant1"/>
          <w:rFonts w:cs="Times New Roman"/>
          <w:szCs w:val="24"/>
          <w:lang w:val="fr-FR"/>
        </w:rPr>
        <w:t xml:space="preserve"> est passible d’une amende n’excédant pas 5 000 $ ou d’un emprisonnement pour une période d’au plus un an (art. 51 al. 1 </w:t>
      </w:r>
      <w:r w:rsidRPr="00240EF8">
        <w:rPr>
          <w:rStyle w:val="texte-courant1"/>
          <w:rFonts w:cs="Times New Roman"/>
          <w:i/>
          <w:szCs w:val="24"/>
          <w:lang w:val="fr-FR"/>
        </w:rPr>
        <w:t>C.p.c.</w:t>
      </w:r>
      <w:r w:rsidRPr="00240EF8">
        <w:rPr>
          <w:rStyle w:val="texte-courant1"/>
          <w:rFonts w:cs="Times New Roman"/>
          <w:szCs w:val="24"/>
          <w:lang w:val="fr-FR"/>
        </w:rPr>
        <w:t xml:space="preserve">), et </w:t>
      </w:r>
      <w:r w:rsidRPr="00A36157">
        <w:rPr>
          <w:rFonts w:cs="Times New Roman"/>
          <w:szCs w:val="24"/>
          <w:lang w:val="fr-CA"/>
        </w:rPr>
        <w:t xml:space="preserve">l’appelant a suggéré l’infliction d’une peine de prison de 30 jours. Après avoir considéré les différents critères pertinents, ainsi que les facteurs </w:t>
      </w:r>
      <w:r w:rsidRPr="00A36157">
        <w:rPr>
          <w:rFonts w:cs="Times New Roman"/>
          <w:szCs w:val="24"/>
          <w:lang w:val="fr-CA"/>
        </w:rPr>
        <w:lastRenderedPageBreak/>
        <w:t xml:space="preserve">atténuants et aggravants, le juge de première instance a conclu qu’une peine de 120 heures de travaux communautaires répondait adéquatement aux besoins de la justice. </w:t>
      </w:r>
    </w:p>
    <w:p w:rsidR="00A36157" w:rsidRPr="00B06DE6" w:rsidRDefault="00A36157" w:rsidP="003223DD">
      <w:pPr>
        <w:pStyle w:val="ParaNoNdepar-AltN"/>
        <w:widowControl w:val="0"/>
        <w:tabs>
          <w:tab w:val="clear" w:pos="1166"/>
          <w:tab w:val="clear" w:pos="1512"/>
          <w:tab w:val="num" w:pos="1152"/>
        </w:tabs>
        <w:ind w:left="0"/>
        <w:rPr>
          <w:rFonts w:cs="Times New Roman"/>
          <w:szCs w:val="24"/>
          <w:lang w:val="fr-CA"/>
        </w:rPr>
      </w:pPr>
      <w:r w:rsidRPr="00B06DE6">
        <w:rPr>
          <w:rFonts w:cs="Times New Roman"/>
          <w:szCs w:val="24"/>
          <w:lang w:val="fr-CA"/>
        </w:rPr>
        <w:t xml:space="preserve">Le respect des ordonnances des tribunaux et de la primauté du droit assure la pérennité de la démocratie. Selon le juge de première instance, </w:t>
      </w:r>
      <w:r w:rsidRPr="00B06DE6">
        <w:rPr>
          <w:rFonts w:cs="Times New Roman"/>
          <w:lang w:val="fr-CA"/>
        </w:rPr>
        <w:t>l’intimé « a outrepassé une règle fondamentale de notre société fondée sur l’état de droit » (jugement sur la peine, par. 65). En conséquence, je suis d’avis que la peine infligée en l’espèce n’est pas excessive.</w:t>
      </w:r>
    </w:p>
    <w:p w:rsidR="00A36157" w:rsidRPr="00240EF8" w:rsidRDefault="00A36157" w:rsidP="003223DD">
      <w:pPr>
        <w:pStyle w:val="Title1LevelTitre1Niveau-AltL"/>
        <w:widowControl w:val="0"/>
        <w:numPr>
          <w:ilvl w:val="0"/>
          <w:numId w:val="3"/>
        </w:numPr>
        <w:jc w:val="both"/>
        <w:rPr>
          <w:rFonts w:cs="Times New Roman"/>
        </w:rPr>
      </w:pPr>
      <w:r w:rsidRPr="00240EF8">
        <w:rPr>
          <w:rFonts w:cs="Times New Roman"/>
        </w:rPr>
        <w:t>Conclusion</w:t>
      </w:r>
    </w:p>
    <w:p w:rsidR="00A36157" w:rsidRPr="00A36157" w:rsidRDefault="00A36157" w:rsidP="003223DD">
      <w:pPr>
        <w:pStyle w:val="ParaNoNdepar-AltN"/>
        <w:widowControl w:val="0"/>
        <w:tabs>
          <w:tab w:val="clear" w:pos="1166"/>
          <w:tab w:val="clear" w:pos="1512"/>
          <w:tab w:val="num" w:pos="1152"/>
        </w:tabs>
        <w:ind w:left="0"/>
        <w:rPr>
          <w:rFonts w:cs="Times New Roman"/>
          <w:lang w:val="fr-CA"/>
        </w:rPr>
      </w:pPr>
      <w:r w:rsidRPr="00A36157">
        <w:rPr>
          <w:rFonts w:cs="Times New Roman"/>
          <w:lang w:val="fr-CA"/>
        </w:rPr>
        <w:t>Pour ces motifs, j’accueillerais l’appel, je rétablirais la déclaration de culpabilité prononcée contre l’intimé et j’infirmerais la déclaration de la Cour d’appel selon laquelle le jugement de la Cour supérieure sur la peine est sans effet.</w:t>
      </w:r>
    </w:p>
    <w:p w:rsidR="00662D8D" w:rsidRPr="003D57C5" w:rsidRDefault="00662D8D" w:rsidP="003223DD">
      <w:pPr>
        <w:pStyle w:val="SCCNormalDoubleSpacing"/>
        <w:widowControl w:val="0"/>
        <w:spacing w:after="480"/>
        <w:rPr>
          <w:i/>
          <w:lang w:val="fr-CA"/>
        </w:rPr>
      </w:pPr>
      <w:r w:rsidRPr="00A36157">
        <w:rPr>
          <w:lang w:val="fr-CA"/>
        </w:rPr>
        <w:tab/>
      </w:r>
      <w:r w:rsidRPr="003D57C5">
        <w:rPr>
          <w:i/>
          <w:lang w:val="fr-CA"/>
        </w:rPr>
        <w:t xml:space="preserve">Pourvoi rejeté avec dépens, les juges </w:t>
      </w:r>
      <w:r w:rsidRPr="003D57C5">
        <w:rPr>
          <w:smallCaps/>
          <w:lang w:val="fr-CA"/>
        </w:rPr>
        <w:t>Wagner</w:t>
      </w:r>
      <w:r w:rsidRPr="003D57C5">
        <w:rPr>
          <w:i/>
          <w:lang w:val="fr-CA"/>
        </w:rPr>
        <w:t xml:space="preserve">, </w:t>
      </w:r>
      <w:r w:rsidRPr="003D57C5">
        <w:rPr>
          <w:smallCaps/>
          <w:lang w:val="fr-CA"/>
        </w:rPr>
        <w:t>Côté</w:t>
      </w:r>
      <w:r w:rsidRPr="003D57C5">
        <w:rPr>
          <w:i/>
          <w:lang w:val="fr-CA"/>
        </w:rPr>
        <w:t xml:space="preserve"> et </w:t>
      </w:r>
      <w:r w:rsidRPr="003D57C5">
        <w:rPr>
          <w:smallCaps/>
          <w:lang w:val="fr-CA"/>
        </w:rPr>
        <w:t>Brown</w:t>
      </w:r>
      <w:r w:rsidRPr="003D57C5">
        <w:rPr>
          <w:i/>
          <w:lang w:val="fr-CA"/>
        </w:rPr>
        <w:t xml:space="preserve"> sont dissidents.</w:t>
      </w:r>
    </w:p>
    <w:p w:rsidR="00662D8D" w:rsidRPr="003D57C5" w:rsidRDefault="00662D8D" w:rsidP="003223DD">
      <w:pPr>
        <w:pStyle w:val="SCCLawFirm"/>
        <w:widowControl w:val="0"/>
        <w:spacing w:after="480"/>
        <w:rPr>
          <w:lang w:val="fr-CA"/>
        </w:rPr>
      </w:pPr>
      <w:r w:rsidRPr="003D57C5">
        <w:rPr>
          <w:lang w:val="fr-CA"/>
        </w:rPr>
        <w:tab/>
        <w:t>Procureurs de l’appelant : Thibault, Roy, Avocats, Québec; Norton Rose Fulbright Canada, Québec.</w:t>
      </w:r>
    </w:p>
    <w:p w:rsidR="00662D8D" w:rsidRPr="003D57C5" w:rsidRDefault="00662D8D" w:rsidP="003223DD">
      <w:pPr>
        <w:pStyle w:val="SCCLawFirm"/>
        <w:widowControl w:val="0"/>
        <w:spacing w:after="480"/>
        <w:rPr>
          <w:lang w:val="fr-CA"/>
        </w:rPr>
      </w:pPr>
      <w:r w:rsidRPr="003D57C5">
        <w:rPr>
          <w:lang w:val="fr-CA"/>
        </w:rPr>
        <w:tab/>
        <w:t>Procureurs de l’intimé : Melançon Marceau Grenier et Sciortino, Montréal.</w:t>
      </w:r>
    </w:p>
    <w:p w:rsidR="00662D8D" w:rsidRPr="003D57C5" w:rsidRDefault="00662D8D" w:rsidP="003223DD">
      <w:pPr>
        <w:pStyle w:val="SCCLawFirm"/>
        <w:widowControl w:val="0"/>
        <w:spacing w:after="480"/>
        <w:rPr>
          <w:lang w:val="fr-CA"/>
        </w:rPr>
      </w:pPr>
      <w:r w:rsidRPr="003D57C5">
        <w:rPr>
          <w:lang w:val="fr-CA"/>
        </w:rPr>
        <w:tab/>
        <w:t xml:space="preserve">Procureurs de l’intervenante l’Association canadienne des libertés </w:t>
      </w:r>
      <w:r w:rsidRPr="003D57C5">
        <w:rPr>
          <w:lang w:val="fr-CA"/>
        </w:rPr>
        <w:lastRenderedPageBreak/>
        <w:t>civiles : Grey, Casgrain, Montréal.</w:t>
      </w:r>
    </w:p>
    <w:p w:rsidR="00662D8D" w:rsidRPr="003D57C5" w:rsidRDefault="00662D8D" w:rsidP="003223DD">
      <w:pPr>
        <w:pStyle w:val="SCCLawFirm"/>
        <w:widowControl w:val="0"/>
        <w:spacing w:after="480"/>
        <w:rPr>
          <w:lang w:val="fr-CA"/>
        </w:rPr>
      </w:pPr>
      <w:r w:rsidRPr="003D57C5">
        <w:rPr>
          <w:lang w:val="fr-CA"/>
        </w:rPr>
        <w:tab/>
        <w:t>Procureurs de l’intervenant Alberta Public Interest Research Group : Bennett Jones, Toronto; Nanda &amp; Company, Edmonton.</w:t>
      </w:r>
    </w:p>
    <w:p w:rsidR="005D37A6" w:rsidRPr="00662D8D" w:rsidRDefault="00662D8D" w:rsidP="006D0693">
      <w:pPr>
        <w:pStyle w:val="SCCLawFirm"/>
        <w:widowControl w:val="0"/>
        <w:rPr>
          <w:lang w:val="fr-CA"/>
        </w:rPr>
      </w:pPr>
      <w:r w:rsidRPr="003D57C5">
        <w:rPr>
          <w:lang w:val="fr-CA"/>
        </w:rPr>
        <w:tab/>
        <w:t>Procureurs de l’intervenante Amnistie internationale, Section Canada francophone : Juristes Power, Ottawa.</w:t>
      </w:r>
    </w:p>
    <w:sectPr w:rsidR="005D37A6" w:rsidRPr="00662D8D"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FD5" w:rsidRDefault="00810FD5" w:rsidP="00810FD5">
      <w:r>
        <w:separator/>
      </w:r>
    </w:p>
  </w:endnote>
  <w:endnote w:type="continuationSeparator" w:id="0">
    <w:p w:rsidR="00810FD5" w:rsidRDefault="00810FD5" w:rsidP="0081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FD5" w:rsidRDefault="00810FD5" w:rsidP="00810FD5">
      <w:r>
        <w:separator/>
      </w:r>
    </w:p>
  </w:footnote>
  <w:footnote w:type="continuationSeparator" w:id="0">
    <w:p w:rsidR="00810FD5" w:rsidRDefault="00810FD5" w:rsidP="00810FD5">
      <w:r>
        <w:continuationSeparator/>
      </w:r>
    </w:p>
  </w:footnote>
  <w:footnote w:id="1">
    <w:p w:rsidR="00810FD5" w:rsidRPr="00D33864" w:rsidRDefault="00810FD5" w:rsidP="002F5898">
      <w:pPr>
        <w:pStyle w:val="FootnoteText"/>
        <w:ind w:left="180" w:hanging="180"/>
        <w:jc w:val="both"/>
        <w:rPr>
          <w:lang w:val="fr-FR"/>
        </w:rPr>
      </w:pPr>
      <w:r>
        <w:rPr>
          <w:rStyle w:val="FootnoteReference"/>
        </w:rPr>
        <w:footnoteRef/>
      </w:r>
      <w:r w:rsidRPr="00D33864">
        <w:rPr>
          <w:lang w:val="fr-FR"/>
        </w:rPr>
        <w:t xml:space="preserve"> </w:t>
      </w:r>
      <w:r w:rsidR="002F5898">
        <w:rPr>
          <w:lang w:val="fr-FR"/>
        </w:rPr>
        <w:tab/>
      </w:r>
      <w:r w:rsidRPr="00D33864">
        <w:rPr>
          <w:i/>
          <w:lang w:val="fr-FR"/>
        </w:rPr>
        <w:t>Collège</w:t>
      </w:r>
      <w:r>
        <w:rPr>
          <w:i/>
          <w:lang w:val="fr-FR"/>
        </w:rPr>
        <w:t>s</w:t>
      </w:r>
      <w:r w:rsidRPr="00D33864">
        <w:rPr>
          <w:i/>
          <w:lang w:val="fr-FR"/>
        </w:rPr>
        <w:t xml:space="preserve"> d</w:t>
      </w:r>
      <w:r>
        <w:rPr>
          <w:i/>
          <w:lang w:val="fr-FR"/>
        </w:rPr>
        <w:t>’</w:t>
      </w:r>
      <w:r w:rsidRPr="00D33864">
        <w:rPr>
          <w:i/>
          <w:lang w:val="fr-FR"/>
        </w:rPr>
        <w:t>enseignement général et professionnel</w:t>
      </w:r>
      <w:r w:rsidRPr="00D33864">
        <w:rPr>
          <w:lang w:val="fr-FR"/>
        </w:rPr>
        <w:t xml:space="preserve">, </w:t>
      </w:r>
      <w:r>
        <w:rPr>
          <w:lang w:val="fr-FR"/>
        </w:rPr>
        <w:t>les établissements d’enseignement postsecondaires et préuniversitaires du Québec</w:t>
      </w:r>
      <w:r w:rsidRPr="00D33864">
        <w:rPr>
          <w:lang w:val="fr-FR"/>
        </w:rPr>
        <w:t>.</w:t>
      </w:r>
    </w:p>
  </w:footnote>
  <w:footnote w:id="2">
    <w:p w:rsidR="00810FD5" w:rsidRPr="00D93C79" w:rsidRDefault="00810FD5" w:rsidP="00810FD5">
      <w:pPr>
        <w:pStyle w:val="FootnoteText"/>
        <w:rPr>
          <w:i/>
          <w:lang w:val="fr-CA"/>
        </w:rPr>
      </w:pPr>
      <w:r>
        <w:rPr>
          <w:rStyle w:val="FootnoteReference"/>
        </w:rPr>
        <w:footnoteRef/>
      </w:r>
      <w:r w:rsidRPr="00D93C79">
        <w:rPr>
          <w:lang w:val="fr-CA"/>
        </w:rPr>
        <w:t xml:space="preserve"> </w:t>
      </w:r>
      <w:r w:rsidRPr="00D93C79">
        <w:rPr>
          <w:i/>
          <w:lang w:val="fr-CA"/>
        </w:rPr>
        <w:t xml:space="preserve">Morasse c. Université Laval, </w:t>
      </w:r>
      <w:r w:rsidRPr="00D93C79">
        <w:rPr>
          <w:lang w:val="fr-CA"/>
        </w:rPr>
        <w:t>2012 QCCS</w:t>
      </w:r>
      <w:r>
        <w:rPr>
          <w:lang w:val="fr-CA"/>
        </w:rPr>
        <w:t> </w:t>
      </w:r>
      <w:r w:rsidRPr="00D93C79">
        <w:rPr>
          <w:lang w:val="fr-CA"/>
        </w:rPr>
        <w:t>1565.</w:t>
      </w:r>
    </w:p>
  </w:footnote>
  <w:footnote w:id="3">
    <w:p w:rsidR="00810FD5" w:rsidRPr="00E41D66" w:rsidRDefault="00810FD5" w:rsidP="00810FD5">
      <w:pPr>
        <w:pStyle w:val="FootnoteText"/>
        <w:rPr>
          <w:lang w:val="fr-CA"/>
        </w:rPr>
      </w:pPr>
      <w:r>
        <w:rPr>
          <w:rStyle w:val="FootnoteReference"/>
        </w:rPr>
        <w:footnoteRef/>
      </w:r>
      <w:r w:rsidRPr="00E41D66">
        <w:rPr>
          <w:lang w:val="fr-CA"/>
        </w:rPr>
        <w:t xml:space="preserve"> </w:t>
      </w:r>
      <w:r w:rsidRPr="00E41D66">
        <w:rPr>
          <w:i/>
          <w:lang w:val="fr-CA"/>
        </w:rPr>
        <w:t>Morasse c. Université Laval</w:t>
      </w:r>
      <w:r w:rsidRPr="00E41D66">
        <w:rPr>
          <w:lang w:val="fr-CA"/>
        </w:rPr>
        <w:t>, 2012 QCCS</w:t>
      </w:r>
      <w:r>
        <w:rPr>
          <w:lang w:val="fr-CA"/>
        </w:rPr>
        <w:t> </w:t>
      </w:r>
      <w:r w:rsidRPr="00E41D66">
        <w:rPr>
          <w:lang w:val="fr-CA"/>
        </w:rPr>
        <w:t>1859.</w:t>
      </w:r>
    </w:p>
  </w:footnote>
  <w:footnote w:id="4">
    <w:p w:rsidR="00810FD5" w:rsidRPr="00D93C79" w:rsidRDefault="00810FD5" w:rsidP="00810FD5">
      <w:pPr>
        <w:pStyle w:val="FootnoteText"/>
        <w:ind w:right="-450"/>
        <w:rPr>
          <w:lang w:val="fr-CA"/>
        </w:rPr>
      </w:pPr>
      <w:r>
        <w:rPr>
          <w:rStyle w:val="FootnoteReference"/>
        </w:rPr>
        <w:footnoteRef/>
      </w:r>
      <w:r w:rsidRPr="00D93C79">
        <w:rPr>
          <w:lang w:val="fr-CA"/>
        </w:rPr>
        <w:t xml:space="preserve"> </w:t>
      </w:r>
      <w:r>
        <w:rPr>
          <w:i/>
          <w:lang w:val="fr-CA"/>
        </w:rPr>
        <w:t>Lavoie c. Collège de Rosemont</w:t>
      </w:r>
      <w:r w:rsidRPr="000F527D">
        <w:rPr>
          <w:lang w:val="fr-CA"/>
        </w:rPr>
        <w:t>,</w:t>
      </w:r>
      <w:r>
        <w:rPr>
          <w:i/>
          <w:lang w:val="fr-CA"/>
        </w:rPr>
        <w:t xml:space="preserve"> </w:t>
      </w:r>
      <w:r>
        <w:rPr>
          <w:lang w:val="fr-CA"/>
        </w:rPr>
        <w:t xml:space="preserve">2012 QCCS 1685; </w:t>
      </w:r>
      <w:r>
        <w:rPr>
          <w:i/>
          <w:lang w:val="fr-CA"/>
        </w:rPr>
        <w:t>Goudreault c. Collège de Rosemont</w:t>
      </w:r>
      <w:r w:rsidRPr="000F527D">
        <w:rPr>
          <w:lang w:val="fr-CA"/>
        </w:rPr>
        <w:t>,</w:t>
      </w:r>
      <w:r>
        <w:rPr>
          <w:i/>
          <w:lang w:val="fr-CA"/>
        </w:rPr>
        <w:t xml:space="preserve"> </w:t>
      </w:r>
      <w:r>
        <w:rPr>
          <w:lang w:val="fr-CA"/>
        </w:rPr>
        <w:t>2012 QCCS 2017.</w:t>
      </w:r>
    </w:p>
  </w:footnote>
  <w:footnote w:id="5">
    <w:p w:rsidR="00810FD5" w:rsidRDefault="00810FD5" w:rsidP="00810FD5">
      <w:pPr>
        <w:pStyle w:val="FootnoteText"/>
        <w:spacing w:after="240"/>
        <w:jc w:val="both"/>
        <w:rPr>
          <w:lang w:val="fr-CA"/>
        </w:rPr>
      </w:pPr>
      <w:r>
        <w:rPr>
          <w:rStyle w:val="FootnoteReference"/>
        </w:rPr>
        <w:footnoteRef/>
      </w:r>
      <w:r w:rsidRPr="00834A48">
        <w:rPr>
          <w:lang w:val="fr-CA"/>
        </w:rPr>
        <w:t xml:space="preserve"> </w:t>
      </w:r>
      <w:r>
        <w:rPr>
          <w:lang w:val="fr-CA"/>
        </w:rPr>
        <w:t>RLRQ, c. C</w:t>
      </w:r>
      <w:r w:rsidR="00E733B4" w:rsidRPr="00E733B4">
        <w:rPr>
          <w:rFonts w:eastAsia="MS Mincho"/>
          <w:lang w:val="fr-CA"/>
        </w:rPr>
        <w:t>-</w:t>
      </w:r>
      <w:r>
        <w:rPr>
          <w:lang w:val="fr-CA"/>
        </w:rPr>
        <w:t xml:space="preserve">25 (abrogé) : </w:t>
      </w:r>
    </w:p>
    <w:p w:rsidR="00810FD5" w:rsidRPr="00EF2B3F" w:rsidRDefault="00810FD5" w:rsidP="000D0AC3">
      <w:pPr>
        <w:pStyle w:val="FootnoteText"/>
        <w:spacing w:after="120"/>
        <w:ind w:left="720"/>
        <w:jc w:val="both"/>
        <w:rPr>
          <w:lang w:val="fr-CA"/>
        </w:rPr>
      </w:pPr>
      <w:r w:rsidRPr="000F527D">
        <w:rPr>
          <w:b/>
          <w:lang w:val="fr-CA"/>
        </w:rPr>
        <w:t>53.</w:t>
      </w:r>
      <w:r>
        <w:rPr>
          <w:lang w:val="fr-CA"/>
        </w:rPr>
        <w:t xml:space="preserve"> </w:t>
      </w:r>
      <w:r w:rsidRPr="00EF2B3F">
        <w:rPr>
          <w:lang w:val="fr-CA"/>
        </w:rPr>
        <w:t>Nul ne peut être condamné pour outrage au tribunal com</w:t>
      </w:r>
      <w:r>
        <w:rPr>
          <w:lang w:val="fr-CA"/>
        </w:rPr>
        <w:t xml:space="preserve">mis </w:t>
      </w:r>
      <w:r w:rsidR="000D0AC3">
        <w:rPr>
          <w:lang w:val="fr-CA"/>
        </w:rPr>
        <w:t xml:space="preserve">hors la présence du juge, s’il </w:t>
      </w:r>
      <w:r>
        <w:rPr>
          <w:lang w:val="fr-CA"/>
        </w:rPr>
        <w:t>n’</w:t>
      </w:r>
      <w:r w:rsidRPr="00EF2B3F">
        <w:rPr>
          <w:lang w:val="fr-CA"/>
        </w:rPr>
        <w:t>a été assigné par ordonnance spéciale lui enjoignant de comparaître devant le tribun</w:t>
      </w:r>
      <w:r w:rsidR="000D0AC3">
        <w:rPr>
          <w:lang w:val="fr-CA"/>
        </w:rPr>
        <w:t xml:space="preserve">al, au jour </w:t>
      </w:r>
      <w:r>
        <w:rPr>
          <w:lang w:val="fr-CA"/>
        </w:rPr>
        <w:t>et à l’</w:t>
      </w:r>
      <w:r w:rsidRPr="00EF2B3F">
        <w:rPr>
          <w:lang w:val="fr-CA"/>
        </w:rPr>
        <w:t>heure indiqués, pour entendre la preuve des faits qui lui sont reprochés et faire valoir les moyens de défense qu</w:t>
      </w:r>
      <w:r>
        <w:rPr>
          <w:lang w:val="fr-CA"/>
        </w:rPr>
        <w:t>’</w:t>
      </w:r>
      <w:r w:rsidRPr="00EF2B3F">
        <w:rPr>
          <w:lang w:val="fr-CA"/>
        </w:rPr>
        <w:t>il peut avoir.</w:t>
      </w:r>
    </w:p>
    <w:p w:rsidR="00810FD5" w:rsidRPr="00EF2B3F" w:rsidRDefault="00810FD5" w:rsidP="000D0AC3">
      <w:pPr>
        <w:pStyle w:val="FootnoteText"/>
        <w:spacing w:after="120"/>
        <w:ind w:left="720"/>
        <w:jc w:val="both"/>
        <w:rPr>
          <w:lang w:val="fr-CA"/>
        </w:rPr>
      </w:pPr>
      <w:r>
        <w:rPr>
          <w:lang w:val="fr-CA"/>
        </w:rPr>
        <w:t>Le juge peut émettre l’</w:t>
      </w:r>
      <w:r w:rsidRPr="00EF2B3F">
        <w:rPr>
          <w:lang w:val="fr-CA"/>
        </w:rPr>
        <w:t>ordonnance d</w:t>
      </w:r>
      <w:r>
        <w:rPr>
          <w:lang w:val="fr-CA"/>
        </w:rPr>
        <w:t>’</w:t>
      </w:r>
      <w:r w:rsidRPr="00EF2B3F">
        <w:rPr>
          <w:lang w:val="fr-CA"/>
        </w:rPr>
        <w:t xml:space="preserve">office </w:t>
      </w:r>
      <w:r>
        <w:rPr>
          <w:lang w:val="fr-CA"/>
        </w:rPr>
        <w:t>ou sur demande. Cette demande n’</w:t>
      </w:r>
      <w:r w:rsidRPr="00EF2B3F">
        <w:rPr>
          <w:lang w:val="fr-CA"/>
        </w:rPr>
        <w:t xml:space="preserve">a pas à être signifiée et peut être présentée </w:t>
      </w:r>
      <w:r>
        <w:rPr>
          <w:lang w:val="fr-CA"/>
        </w:rPr>
        <w:t>devant un juge du district où l’</w:t>
      </w:r>
      <w:r w:rsidRPr="00EF2B3F">
        <w:rPr>
          <w:lang w:val="fr-CA"/>
        </w:rPr>
        <w:t>outrage a été commis.</w:t>
      </w:r>
    </w:p>
    <w:p w:rsidR="00810FD5" w:rsidRPr="00834A48" w:rsidRDefault="00810FD5" w:rsidP="000D0AC3">
      <w:pPr>
        <w:pStyle w:val="FootnoteText"/>
        <w:ind w:left="720"/>
        <w:jc w:val="both"/>
        <w:rPr>
          <w:lang w:val="fr-CA"/>
        </w:rPr>
      </w:pPr>
      <w:r>
        <w:rPr>
          <w:lang w:val="fr-CA"/>
        </w:rPr>
        <w:t>L’</w:t>
      </w:r>
      <w:r w:rsidRPr="00EF2B3F">
        <w:rPr>
          <w:lang w:val="fr-CA"/>
        </w:rPr>
        <w:t>ordonnance doit être signifiée à personne, à moins qu</w:t>
      </w:r>
      <w:r>
        <w:rPr>
          <w:lang w:val="fr-CA"/>
        </w:rPr>
        <w:t>e pour raison valable le juge n’</w:t>
      </w:r>
      <w:r w:rsidRPr="00EF2B3F">
        <w:rPr>
          <w:lang w:val="fr-CA"/>
        </w:rPr>
        <w:t>autorise un autre mode de signification</w:t>
      </w:r>
      <w:r>
        <w:rPr>
          <w:lang w:val="fr-CA"/>
        </w:rPr>
        <w:t>.</w:t>
      </w:r>
    </w:p>
  </w:footnote>
  <w:footnote w:id="6">
    <w:p w:rsidR="00810FD5" w:rsidRPr="00166B7D" w:rsidRDefault="00810FD5" w:rsidP="00810FD5">
      <w:pPr>
        <w:pStyle w:val="FootnoteText"/>
        <w:rPr>
          <w:lang w:val="fr-CA"/>
        </w:rPr>
      </w:pPr>
      <w:r>
        <w:rPr>
          <w:rStyle w:val="FootnoteReference"/>
        </w:rPr>
        <w:footnoteRef/>
      </w:r>
      <w:r w:rsidRPr="00166B7D">
        <w:rPr>
          <w:lang w:val="fr-CA"/>
        </w:rPr>
        <w:t xml:space="preserve"> </w:t>
      </w:r>
      <w:r>
        <w:rPr>
          <w:i/>
          <w:lang w:val="fr-CA"/>
        </w:rPr>
        <w:t>Morasse c. Nadeau-Dubois</w:t>
      </w:r>
      <w:r w:rsidRPr="008C7BD1">
        <w:rPr>
          <w:lang w:val="fr-CA"/>
        </w:rPr>
        <w:t>,</w:t>
      </w:r>
      <w:r>
        <w:rPr>
          <w:i/>
          <w:lang w:val="fr-CA"/>
        </w:rPr>
        <w:t xml:space="preserve"> </w:t>
      </w:r>
      <w:r>
        <w:rPr>
          <w:lang w:val="fr-CA"/>
        </w:rPr>
        <w:t>2012 QCCS 2141.</w:t>
      </w:r>
    </w:p>
  </w:footnote>
  <w:footnote w:id="7">
    <w:p w:rsidR="00810FD5" w:rsidRPr="00211CAA" w:rsidRDefault="00810FD5" w:rsidP="00810FD5">
      <w:pPr>
        <w:pStyle w:val="FootnoteText"/>
        <w:rPr>
          <w:lang w:val="fr-CA"/>
        </w:rPr>
      </w:pPr>
      <w:r>
        <w:rPr>
          <w:rStyle w:val="FootnoteReference"/>
        </w:rPr>
        <w:footnoteRef/>
      </w:r>
      <w:r w:rsidRPr="00211CAA">
        <w:rPr>
          <w:lang w:val="fr-CA"/>
        </w:rPr>
        <w:t xml:space="preserve"> </w:t>
      </w:r>
      <w:r>
        <w:rPr>
          <w:lang w:val="fr-CA"/>
        </w:rPr>
        <w:t>[</w:t>
      </w:r>
      <w:r w:rsidRPr="00211CAA">
        <w:rPr>
          <w:lang w:val="fr-CA"/>
        </w:rPr>
        <w:t>2012</w:t>
      </w:r>
      <w:r>
        <w:rPr>
          <w:lang w:val="fr-CA"/>
        </w:rPr>
        <w:t>]</w:t>
      </w:r>
      <w:r w:rsidRPr="00211CAA">
        <w:rPr>
          <w:lang w:val="fr-CA"/>
        </w:rPr>
        <w:t xml:space="preserve"> </w:t>
      </w:r>
      <w:r>
        <w:rPr>
          <w:lang w:val="fr-CA"/>
        </w:rPr>
        <w:t>R.J.Q. 2174</w:t>
      </w:r>
      <w:r w:rsidRPr="00211CAA">
        <w:rPr>
          <w:lang w:val="fr-CA"/>
        </w:rPr>
        <w:t>.</w:t>
      </w:r>
    </w:p>
  </w:footnote>
  <w:footnote w:id="8">
    <w:p w:rsidR="00810FD5" w:rsidRPr="009657F2" w:rsidRDefault="00810FD5" w:rsidP="00810FD5">
      <w:pPr>
        <w:pStyle w:val="FootnoteText"/>
        <w:rPr>
          <w:lang w:val="fr-CA"/>
        </w:rPr>
      </w:pPr>
      <w:r>
        <w:rPr>
          <w:rStyle w:val="FootnoteReference"/>
        </w:rPr>
        <w:footnoteRef/>
      </w:r>
      <w:r w:rsidRPr="009657F2">
        <w:rPr>
          <w:lang w:val="fr-CA"/>
        </w:rPr>
        <w:t xml:space="preserve"> </w:t>
      </w:r>
      <w:r>
        <w:rPr>
          <w:lang w:val="fr-CA"/>
        </w:rPr>
        <w:t>[2012] R.J.Q. 2279.</w:t>
      </w:r>
    </w:p>
  </w:footnote>
  <w:footnote w:id="9">
    <w:p w:rsidR="00810FD5" w:rsidRPr="00211CAA" w:rsidRDefault="00810FD5" w:rsidP="00810FD5">
      <w:pPr>
        <w:pStyle w:val="FootnoteText"/>
        <w:rPr>
          <w:lang w:val="fr-CA"/>
        </w:rPr>
      </w:pPr>
      <w:r>
        <w:rPr>
          <w:rStyle w:val="FootnoteReference"/>
        </w:rPr>
        <w:footnoteRef/>
      </w:r>
      <w:r w:rsidRPr="00211CAA">
        <w:rPr>
          <w:lang w:val="fr-CA"/>
        </w:rPr>
        <w:t xml:space="preserve"> 2015 QCCA 78.</w:t>
      </w:r>
    </w:p>
  </w:footnote>
  <w:footnote w:id="10">
    <w:p w:rsidR="00810FD5" w:rsidRDefault="00810FD5" w:rsidP="00B51064">
      <w:pPr>
        <w:pStyle w:val="FootnoteText"/>
        <w:keepNext/>
        <w:spacing w:before="240" w:after="240"/>
        <w:ind w:left="360" w:hanging="360"/>
        <w:jc w:val="both"/>
        <w:rPr>
          <w:lang w:val="fr-CA"/>
        </w:rPr>
      </w:pPr>
      <w:r>
        <w:rPr>
          <w:rStyle w:val="FootnoteReference"/>
        </w:rPr>
        <w:footnoteRef/>
      </w:r>
      <w:r w:rsidRPr="00834A48">
        <w:rPr>
          <w:lang w:val="fr-CA"/>
        </w:rPr>
        <w:t xml:space="preserve"> </w:t>
      </w:r>
      <w:r w:rsidR="00B51064">
        <w:rPr>
          <w:lang w:val="fr-CA"/>
        </w:rPr>
        <w:tab/>
      </w:r>
      <w:r w:rsidRPr="00740287">
        <w:rPr>
          <w:lang w:val="fr-CA"/>
        </w:rPr>
        <w:t xml:space="preserve">Le nouveau </w:t>
      </w:r>
      <w:r w:rsidRPr="00740287">
        <w:rPr>
          <w:i/>
          <w:lang w:val="fr-CA"/>
        </w:rPr>
        <w:t>Code de procédure civile</w:t>
      </w:r>
      <w:r w:rsidRPr="00740287">
        <w:rPr>
          <w:lang w:val="fr-CA"/>
        </w:rPr>
        <w:t xml:space="preserve"> du Québec ne renferme qu</w:t>
      </w:r>
      <w:r>
        <w:rPr>
          <w:lang w:val="fr-CA"/>
        </w:rPr>
        <w:t>’</w:t>
      </w:r>
      <w:r w:rsidRPr="00740287">
        <w:rPr>
          <w:lang w:val="fr-CA"/>
        </w:rPr>
        <w:t>une seule disposition créant l</w:t>
      </w:r>
      <w:r>
        <w:rPr>
          <w:lang w:val="fr-CA"/>
        </w:rPr>
        <w:t>’</w:t>
      </w:r>
      <w:r w:rsidRPr="00740287">
        <w:rPr>
          <w:lang w:val="fr-CA"/>
        </w:rPr>
        <w:t>infraction d</w:t>
      </w:r>
      <w:r>
        <w:rPr>
          <w:lang w:val="fr-CA"/>
        </w:rPr>
        <w:t>’</w:t>
      </w:r>
      <w:r w:rsidRPr="00740287">
        <w:rPr>
          <w:lang w:val="fr-CA"/>
        </w:rPr>
        <w:t>outrage au tribunal, réunissant de fait les dispositions distinctes de l</w:t>
      </w:r>
      <w:r>
        <w:rPr>
          <w:lang w:val="fr-CA"/>
        </w:rPr>
        <w:t>’</w:t>
      </w:r>
      <w:r w:rsidRPr="00740287">
        <w:rPr>
          <w:lang w:val="fr-CA"/>
        </w:rPr>
        <w:t xml:space="preserve">ancien </w:t>
      </w:r>
      <w:r w:rsidRPr="00740287">
        <w:rPr>
          <w:i/>
          <w:lang w:val="fr-CA"/>
        </w:rPr>
        <w:t>Code</w:t>
      </w:r>
      <w:r w:rsidRPr="00740287">
        <w:rPr>
          <w:lang w:val="fr-CA"/>
        </w:rPr>
        <w:t>. L</w:t>
      </w:r>
      <w:r>
        <w:rPr>
          <w:lang w:val="fr-CA"/>
        </w:rPr>
        <w:t>’</w:t>
      </w:r>
      <w:r w:rsidR="00B51064">
        <w:rPr>
          <w:lang w:val="fr-CA"/>
        </w:rPr>
        <w:t>article</w:t>
      </w:r>
      <w:r>
        <w:rPr>
          <w:lang w:val="fr-CA"/>
        </w:rPr>
        <w:t xml:space="preserve"> </w:t>
      </w:r>
      <w:r w:rsidRPr="00740287">
        <w:rPr>
          <w:lang w:val="fr-CA"/>
        </w:rPr>
        <w:t xml:space="preserve">58 du nouveau </w:t>
      </w:r>
      <w:r w:rsidRPr="00740287">
        <w:rPr>
          <w:i/>
          <w:lang w:val="fr-CA"/>
        </w:rPr>
        <w:t>Code</w:t>
      </w:r>
      <w:r w:rsidRPr="00740287">
        <w:rPr>
          <w:lang w:val="fr-CA"/>
        </w:rPr>
        <w:t xml:space="preserve"> dispose</w:t>
      </w:r>
      <w:r>
        <w:rPr>
          <w:lang w:val="fr-CA"/>
        </w:rPr>
        <w:t> :</w:t>
      </w:r>
      <w:r w:rsidRPr="00740287">
        <w:rPr>
          <w:lang w:val="fr-CA"/>
        </w:rPr>
        <w:t xml:space="preserve"> </w:t>
      </w:r>
    </w:p>
    <w:p w:rsidR="00810FD5" w:rsidRPr="00834A48" w:rsidRDefault="00810FD5" w:rsidP="00810FD5">
      <w:pPr>
        <w:pStyle w:val="FootnoteText"/>
        <w:tabs>
          <w:tab w:val="left" w:pos="540"/>
        </w:tabs>
        <w:spacing w:after="240"/>
        <w:ind w:left="547" w:hanging="547"/>
        <w:jc w:val="both"/>
        <w:rPr>
          <w:lang w:val="fr-CA"/>
        </w:rPr>
      </w:pPr>
      <w:r>
        <w:rPr>
          <w:b/>
          <w:lang w:val="fr-CA"/>
        </w:rPr>
        <w:tab/>
      </w:r>
      <w:r w:rsidRPr="00CA0C3A">
        <w:rPr>
          <w:b/>
          <w:lang w:val="fr-CA"/>
        </w:rPr>
        <w:t>58.</w:t>
      </w:r>
      <w:r>
        <w:rPr>
          <w:lang w:val="fr-CA"/>
        </w:rPr>
        <w:t> Se rend coupable d’</w:t>
      </w:r>
      <w:r w:rsidRPr="00740287">
        <w:rPr>
          <w:lang w:val="fr-CA"/>
        </w:rPr>
        <w:t xml:space="preserve">outrage au tribunal la personne qui contrevient à une ordonnance </w:t>
      </w:r>
      <w:r w:rsidRPr="005F6D50">
        <w:rPr>
          <w:i/>
          <w:lang w:val="fr-CA"/>
        </w:rPr>
        <w:t>ou</w:t>
      </w:r>
      <w:r w:rsidRPr="00740287">
        <w:rPr>
          <w:lang w:val="fr-CA"/>
        </w:rPr>
        <w:t xml:space="preserve"> à une injonction du tribunal </w:t>
      </w:r>
      <w:r w:rsidRPr="005F6D50">
        <w:rPr>
          <w:i/>
          <w:lang w:val="fr-CA"/>
        </w:rPr>
        <w:t>ou</w:t>
      </w:r>
      <w:r w:rsidRPr="00740287">
        <w:rPr>
          <w:lang w:val="fr-CA"/>
        </w:rPr>
        <w:t xml:space="preserve"> qui agit de manière à entraver le cours de l</w:t>
      </w:r>
      <w:r>
        <w:rPr>
          <w:lang w:val="fr-CA"/>
        </w:rPr>
        <w:t>’</w:t>
      </w:r>
      <w:r w:rsidRPr="00740287">
        <w:rPr>
          <w:lang w:val="fr-CA"/>
        </w:rPr>
        <w:t>administration de la j</w:t>
      </w:r>
      <w:r>
        <w:rPr>
          <w:lang w:val="fr-CA"/>
        </w:rPr>
        <w:t>ustice ou à porter atteinte à l’</w:t>
      </w:r>
      <w:r w:rsidRPr="00740287">
        <w:rPr>
          <w:lang w:val="fr-CA"/>
        </w:rPr>
        <w:t>autorité ou à la dignité du tribunal.</w:t>
      </w:r>
    </w:p>
    <w:p w:rsidR="00810FD5" w:rsidRPr="005F6D50" w:rsidRDefault="00810FD5" w:rsidP="00810FD5">
      <w:pPr>
        <w:pStyle w:val="FootnoteText"/>
        <w:ind w:left="547"/>
        <w:jc w:val="both"/>
        <w:rPr>
          <w:lang w:val="fr-CA"/>
        </w:rPr>
      </w:pPr>
      <w:r w:rsidRPr="005F6D50">
        <w:rPr>
          <w:lang w:val="fr-CA"/>
        </w:rPr>
        <w:t>En matière d</w:t>
      </w:r>
      <w:r>
        <w:rPr>
          <w:lang w:val="fr-CA"/>
        </w:rPr>
        <w:t>’injonction, la personne qui n’</w:t>
      </w:r>
      <w:r w:rsidRPr="005F6D50">
        <w:rPr>
          <w:lang w:val="fr-CA"/>
        </w:rPr>
        <w:t xml:space="preserve">y est pas </w:t>
      </w:r>
      <w:r>
        <w:rPr>
          <w:lang w:val="fr-CA"/>
        </w:rPr>
        <w:t>désignée ne se rend coupable d’</w:t>
      </w:r>
      <w:r w:rsidRPr="005F6D50">
        <w:rPr>
          <w:lang w:val="fr-CA"/>
        </w:rPr>
        <w:t>outrage au</w:t>
      </w:r>
      <w:r>
        <w:rPr>
          <w:lang w:val="fr-CA"/>
        </w:rPr>
        <w:t xml:space="preserve"> </w:t>
      </w:r>
      <w:r w:rsidRPr="00150D47">
        <w:rPr>
          <w:lang w:val="fr-CA"/>
        </w:rPr>
        <w:t>tribunal q</w:t>
      </w:r>
      <w:r w:rsidRPr="005F6D50">
        <w:rPr>
          <w:lang w:val="fr-CA"/>
        </w:rPr>
        <w:t>ue si elle y contrevient sciemment</w:t>
      </w:r>
      <w:r>
        <w:rPr>
          <w:lang w:val="fr-CA"/>
        </w:rPr>
        <w:t>.</w:t>
      </w:r>
    </w:p>
  </w:footnote>
  <w:footnote w:id="11">
    <w:p w:rsidR="00A36157" w:rsidRPr="00817F29" w:rsidRDefault="00A36157" w:rsidP="00766458">
      <w:pPr>
        <w:pStyle w:val="FootnoteText"/>
        <w:ind w:left="180" w:hanging="180"/>
        <w:jc w:val="both"/>
        <w:rPr>
          <w:i/>
          <w:lang w:val="fr-CA"/>
        </w:rPr>
      </w:pPr>
      <w:r>
        <w:rPr>
          <w:rStyle w:val="FootnoteReference"/>
        </w:rPr>
        <w:footnoteRef/>
      </w:r>
      <w:r w:rsidRPr="004C2523">
        <w:rPr>
          <w:lang w:val="fr-CA"/>
        </w:rPr>
        <w:t xml:space="preserve"> </w:t>
      </w:r>
      <w:r>
        <w:rPr>
          <w:lang w:val="fr-CA"/>
        </w:rPr>
        <w:t xml:space="preserve">Le </w:t>
      </w:r>
      <w:r w:rsidRPr="00D02103">
        <w:rPr>
          <w:i/>
          <w:lang w:val="fr-CA"/>
        </w:rPr>
        <w:t>C.p.c.</w:t>
      </w:r>
      <w:r>
        <w:rPr>
          <w:lang w:val="fr-CA"/>
        </w:rPr>
        <w:t xml:space="preserve"> est </w:t>
      </w:r>
      <w:r w:rsidRPr="00817F29">
        <w:rPr>
          <w:rStyle w:val="italic1"/>
          <w:i w:val="0"/>
          <w:lang w:val="fr-FR"/>
        </w:rPr>
        <w:t>remplacé le 1</w:t>
      </w:r>
      <w:r w:rsidRPr="00817F29">
        <w:rPr>
          <w:rStyle w:val="italic1"/>
          <w:i w:val="0"/>
          <w:vertAlign w:val="superscript"/>
          <w:lang w:val="fr-FR"/>
        </w:rPr>
        <w:t>er</w:t>
      </w:r>
      <w:r w:rsidRPr="00817F29">
        <w:rPr>
          <w:rStyle w:val="italic1"/>
          <w:i w:val="0"/>
          <w:lang w:val="fr-FR"/>
        </w:rPr>
        <w:t xml:space="preserve"> janvier 2016 par le nouveau</w:t>
      </w:r>
      <w:r w:rsidRPr="004C2523">
        <w:rPr>
          <w:rStyle w:val="italic1"/>
          <w:lang w:val="fr-FR"/>
        </w:rPr>
        <w:t xml:space="preserve"> </w:t>
      </w:r>
      <w:r w:rsidRPr="00D02103">
        <w:rPr>
          <w:rStyle w:val="italic1"/>
          <w:lang w:val="fr-FR"/>
        </w:rPr>
        <w:t>Code de procédure civile</w:t>
      </w:r>
      <w:r w:rsidRPr="00817F29">
        <w:rPr>
          <w:rStyle w:val="italic1"/>
          <w:lang w:val="fr-FR"/>
        </w:rPr>
        <w:t xml:space="preserve">, </w:t>
      </w:r>
      <w:r w:rsidRPr="00817F29">
        <w:rPr>
          <w:rStyle w:val="italic1"/>
          <w:i w:val="0"/>
          <w:lang w:val="fr-FR"/>
        </w:rPr>
        <w:t>RLRQ, c. C-25.01.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7A350D"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9251BD"/>
    <w:multiLevelType w:val="hybridMultilevel"/>
    <w:tmpl w:val="FC8C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A2EC8"/>
    <w:multiLevelType w:val="hybridMultilevel"/>
    <w:tmpl w:val="F10CEAB4"/>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A045DD3"/>
    <w:multiLevelType w:val="hybridMultilevel"/>
    <w:tmpl w:val="CD20F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94801AF"/>
    <w:multiLevelType w:val="hybridMultilevel"/>
    <w:tmpl w:val="30DCE6FE"/>
    <w:lvl w:ilvl="0" w:tplc="502882D4">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82043A2">
      <w:start w:val="1"/>
      <w:numFmt w:val="bullet"/>
      <w:pStyle w:val="D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0D422B"/>
    <w:multiLevelType w:val="hybridMultilevel"/>
    <w:tmpl w:val="688C4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A2D0F"/>
    <w:multiLevelType w:val="hybridMultilevel"/>
    <w:tmpl w:val="5AAAB0B8"/>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1" w15:restartNumberingAfterBreak="0">
    <w:nsid w:val="54283EE8"/>
    <w:multiLevelType w:val="multilevel"/>
    <w:tmpl w:val="811A548C"/>
    <w:lvl w:ilvl="0">
      <w:start w:val="1"/>
      <w:numFmt w:val="decimal"/>
      <w:pStyle w:val="ParaNoNdepar-AltN"/>
      <w:lvlText w:val="[%1]"/>
      <w:lvlJc w:val="left"/>
      <w:pPr>
        <w:tabs>
          <w:tab w:val="num" w:pos="1512"/>
        </w:tabs>
        <w:ind w:left="360" w:firstLine="0"/>
      </w:pPr>
      <w:rPr>
        <w:rFonts w:ascii="Times New Roman" w:hAnsi="Times New Roman" w:hint="default"/>
        <w:b w:val="0"/>
        <w:i w:val="0"/>
        <w:strike w:val="0"/>
        <w:color w:val="auto"/>
        <w:sz w:val="24"/>
        <w:lang w:val="en-U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4E65362"/>
    <w:multiLevelType w:val="hybridMultilevel"/>
    <w:tmpl w:val="57D4B162"/>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3" w15:restartNumberingAfterBreak="0">
    <w:nsid w:val="57C85216"/>
    <w:multiLevelType w:val="hybridMultilevel"/>
    <w:tmpl w:val="A934D3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5"/>
  </w:num>
  <w:num w:numId="3">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6"/>
  </w:num>
  <w:num w:numId="5">
    <w:abstractNumId w:val="13"/>
  </w:num>
  <w:num w:numId="6">
    <w:abstractNumId w:val="2"/>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num>
  <w:num w:numId="11">
    <w:abstractNumId w:val="3"/>
  </w:num>
  <w:num w:numId="12">
    <w:abstractNumId w:val="0"/>
  </w:num>
  <w:num w:numId="13">
    <w:abstractNumId w:val="7"/>
  </w:num>
  <w:num w:numId="14">
    <w:abstractNumId w:val="8"/>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8D"/>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248F"/>
    <w:rsid w:val="00012672"/>
    <w:rsid w:val="000132F9"/>
    <w:rsid w:val="00013F85"/>
    <w:rsid w:val="00014871"/>
    <w:rsid w:val="00017679"/>
    <w:rsid w:val="000201FE"/>
    <w:rsid w:val="000228CF"/>
    <w:rsid w:val="00023A81"/>
    <w:rsid w:val="00023B94"/>
    <w:rsid w:val="00024977"/>
    <w:rsid w:val="00025009"/>
    <w:rsid w:val="000258CB"/>
    <w:rsid w:val="0002649D"/>
    <w:rsid w:val="000264EC"/>
    <w:rsid w:val="0002668E"/>
    <w:rsid w:val="0002785E"/>
    <w:rsid w:val="000279AD"/>
    <w:rsid w:val="00030453"/>
    <w:rsid w:val="00030E0E"/>
    <w:rsid w:val="00031D2A"/>
    <w:rsid w:val="00031DD5"/>
    <w:rsid w:val="000321A1"/>
    <w:rsid w:val="00032C93"/>
    <w:rsid w:val="00032D0D"/>
    <w:rsid w:val="00033B00"/>
    <w:rsid w:val="00033ED4"/>
    <w:rsid w:val="0003495F"/>
    <w:rsid w:val="00035286"/>
    <w:rsid w:val="000353E6"/>
    <w:rsid w:val="00035697"/>
    <w:rsid w:val="00036E84"/>
    <w:rsid w:val="000372F2"/>
    <w:rsid w:val="00037A79"/>
    <w:rsid w:val="0004046B"/>
    <w:rsid w:val="00040B9E"/>
    <w:rsid w:val="0004185A"/>
    <w:rsid w:val="0004265D"/>
    <w:rsid w:val="00042CDB"/>
    <w:rsid w:val="00043088"/>
    <w:rsid w:val="00044B6C"/>
    <w:rsid w:val="00044C24"/>
    <w:rsid w:val="000454E1"/>
    <w:rsid w:val="000456CB"/>
    <w:rsid w:val="00045949"/>
    <w:rsid w:val="00045D44"/>
    <w:rsid w:val="0005033B"/>
    <w:rsid w:val="0005194D"/>
    <w:rsid w:val="00052BEC"/>
    <w:rsid w:val="00052C40"/>
    <w:rsid w:val="0005367E"/>
    <w:rsid w:val="000539F8"/>
    <w:rsid w:val="00053DC7"/>
    <w:rsid w:val="00053EB6"/>
    <w:rsid w:val="00054EBD"/>
    <w:rsid w:val="00055090"/>
    <w:rsid w:val="00055196"/>
    <w:rsid w:val="0005559E"/>
    <w:rsid w:val="00055BD8"/>
    <w:rsid w:val="0005604C"/>
    <w:rsid w:val="00056079"/>
    <w:rsid w:val="00056436"/>
    <w:rsid w:val="00056E32"/>
    <w:rsid w:val="000570F1"/>
    <w:rsid w:val="00057F33"/>
    <w:rsid w:val="0006138A"/>
    <w:rsid w:val="000618EE"/>
    <w:rsid w:val="00062343"/>
    <w:rsid w:val="00062C9C"/>
    <w:rsid w:val="00063B90"/>
    <w:rsid w:val="000652C5"/>
    <w:rsid w:val="0006587D"/>
    <w:rsid w:val="000664DA"/>
    <w:rsid w:val="000666D4"/>
    <w:rsid w:val="00066751"/>
    <w:rsid w:val="00066CAC"/>
    <w:rsid w:val="0007030B"/>
    <w:rsid w:val="00070482"/>
    <w:rsid w:val="000707B6"/>
    <w:rsid w:val="000712A8"/>
    <w:rsid w:val="00071403"/>
    <w:rsid w:val="00071676"/>
    <w:rsid w:val="000717AE"/>
    <w:rsid w:val="000718B3"/>
    <w:rsid w:val="00071A31"/>
    <w:rsid w:val="00071DAF"/>
    <w:rsid w:val="00072DDE"/>
    <w:rsid w:val="00073507"/>
    <w:rsid w:val="000740DC"/>
    <w:rsid w:val="0007440B"/>
    <w:rsid w:val="00074EFE"/>
    <w:rsid w:val="0007620E"/>
    <w:rsid w:val="000767AA"/>
    <w:rsid w:val="00076BD7"/>
    <w:rsid w:val="00076CF5"/>
    <w:rsid w:val="0007701E"/>
    <w:rsid w:val="00077902"/>
    <w:rsid w:val="0008076E"/>
    <w:rsid w:val="00080F9C"/>
    <w:rsid w:val="00082A0B"/>
    <w:rsid w:val="00082AC7"/>
    <w:rsid w:val="0008350F"/>
    <w:rsid w:val="00083C53"/>
    <w:rsid w:val="000843DB"/>
    <w:rsid w:val="00084A18"/>
    <w:rsid w:val="00085400"/>
    <w:rsid w:val="0008567A"/>
    <w:rsid w:val="0008588C"/>
    <w:rsid w:val="0008649A"/>
    <w:rsid w:val="000870B0"/>
    <w:rsid w:val="000878EE"/>
    <w:rsid w:val="00087E1B"/>
    <w:rsid w:val="00091E78"/>
    <w:rsid w:val="00091E9F"/>
    <w:rsid w:val="00092F55"/>
    <w:rsid w:val="00093210"/>
    <w:rsid w:val="0009389F"/>
    <w:rsid w:val="00093BAD"/>
    <w:rsid w:val="00093D6D"/>
    <w:rsid w:val="00094912"/>
    <w:rsid w:val="000955AF"/>
    <w:rsid w:val="000966F9"/>
    <w:rsid w:val="000968E3"/>
    <w:rsid w:val="00096FD3"/>
    <w:rsid w:val="00097D3C"/>
    <w:rsid w:val="000A077C"/>
    <w:rsid w:val="000A0CEA"/>
    <w:rsid w:val="000A0E82"/>
    <w:rsid w:val="000A19B7"/>
    <w:rsid w:val="000A3590"/>
    <w:rsid w:val="000A3975"/>
    <w:rsid w:val="000A399F"/>
    <w:rsid w:val="000A4BE3"/>
    <w:rsid w:val="000A56A6"/>
    <w:rsid w:val="000A5794"/>
    <w:rsid w:val="000A60D7"/>
    <w:rsid w:val="000A64CE"/>
    <w:rsid w:val="000A658B"/>
    <w:rsid w:val="000A79F9"/>
    <w:rsid w:val="000B01AB"/>
    <w:rsid w:val="000B11F1"/>
    <w:rsid w:val="000B128E"/>
    <w:rsid w:val="000B3027"/>
    <w:rsid w:val="000B3BDC"/>
    <w:rsid w:val="000B6373"/>
    <w:rsid w:val="000B668E"/>
    <w:rsid w:val="000B6CFC"/>
    <w:rsid w:val="000B721F"/>
    <w:rsid w:val="000B77B6"/>
    <w:rsid w:val="000B7B56"/>
    <w:rsid w:val="000C03C0"/>
    <w:rsid w:val="000C0AE8"/>
    <w:rsid w:val="000C0C99"/>
    <w:rsid w:val="000C2412"/>
    <w:rsid w:val="000C25F4"/>
    <w:rsid w:val="000C3C63"/>
    <w:rsid w:val="000C3C66"/>
    <w:rsid w:val="000C45E6"/>
    <w:rsid w:val="000C4EF0"/>
    <w:rsid w:val="000C4F69"/>
    <w:rsid w:val="000C537C"/>
    <w:rsid w:val="000C5463"/>
    <w:rsid w:val="000C63EC"/>
    <w:rsid w:val="000C6E01"/>
    <w:rsid w:val="000D0133"/>
    <w:rsid w:val="000D0774"/>
    <w:rsid w:val="000D0AC3"/>
    <w:rsid w:val="000D1641"/>
    <w:rsid w:val="000D1C94"/>
    <w:rsid w:val="000D2535"/>
    <w:rsid w:val="000D2FE6"/>
    <w:rsid w:val="000D52E4"/>
    <w:rsid w:val="000D53A2"/>
    <w:rsid w:val="000D7242"/>
    <w:rsid w:val="000E05E3"/>
    <w:rsid w:val="000E0674"/>
    <w:rsid w:val="000E0C61"/>
    <w:rsid w:val="000E124C"/>
    <w:rsid w:val="000E1C61"/>
    <w:rsid w:val="000E3971"/>
    <w:rsid w:val="000E3C3B"/>
    <w:rsid w:val="000E3E55"/>
    <w:rsid w:val="000E453A"/>
    <w:rsid w:val="000E4C6A"/>
    <w:rsid w:val="000E515F"/>
    <w:rsid w:val="000E560C"/>
    <w:rsid w:val="000E5C6B"/>
    <w:rsid w:val="000E79DC"/>
    <w:rsid w:val="000E7B45"/>
    <w:rsid w:val="000F0500"/>
    <w:rsid w:val="000F2540"/>
    <w:rsid w:val="000F25E2"/>
    <w:rsid w:val="000F27A2"/>
    <w:rsid w:val="000F3DA8"/>
    <w:rsid w:val="000F3E85"/>
    <w:rsid w:val="000F5FCF"/>
    <w:rsid w:val="00101202"/>
    <w:rsid w:val="0010192D"/>
    <w:rsid w:val="00101A20"/>
    <w:rsid w:val="00105031"/>
    <w:rsid w:val="0010588E"/>
    <w:rsid w:val="00106417"/>
    <w:rsid w:val="00106CAF"/>
    <w:rsid w:val="00107E46"/>
    <w:rsid w:val="001114B6"/>
    <w:rsid w:val="00111C49"/>
    <w:rsid w:val="00112653"/>
    <w:rsid w:val="00113114"/>
    <w:rsid w:val="00113248"/>
    <w:rsid w:val="00113D2F"/>
    <w:rsid w:val="00113E45"/>
    <w:rsid w:val="00114EDD"/>
    <w:rsid w:val="00115A34"/>
    <w:rsid w:val="0011623B"/>
    <w:rsid w:val="001163A8"/>
    <w:rsid w:val="00116A26"/>
    <w:rsid w:val="001174BD"/>
    <w:rsid w:val="00117559"/>
    <w:rsid w:val="0012062C"/>
    <w:rsid w:val="00120705"/>
    <w:rsid w:val="001213E3"/>
    <w:rsid w:val="00121A12"/>
    <w:rsid w:val="001221BA"/>
    <w:rsid w:val="00122719"/>
    <w:rsid w:val="001227F7"/>
    <w:rsid w:val="001228E0"/>
    <w:rsid w:val="00122BC2"/>
    <w:rsid w:val="00123491"/>
    <w:rsid w:val="00124465"/>
    <w:rsid w:val="00124EC1"/>
    <w:rsid w:val="001265A0"/>
    <w:rsid w:val="0012731F"/>
    <w:rsid w:val="0012734D"/>
    <w:rsid w:val="001301EF"/>
    <w:rsid w:val="0013164D"/>
    <w:rsid w:val="0013178C"/>
    <w:rsid w:val="00133492"/>
    <w:rsid w:val="00134567"/>
    <w:rsid w:val="00134AE0"/>
    <w:rsid w:val="00136B8A"/>
    <w:rsid w:val="00137FEA"/>
    <w:rsid w:val="001401FD"/>
    <w:rsid w:val="00141899"/>
    <w:rsid w:val="00141F1D"/>
    <w:rsid w:val="001420F8"/>
    <w:rsid w:val="001429C3"/>
    <w:rsid w:val="00143EF2"/>
    <w:rsid w:val="0014415A"/>
    <w:rsid w:val="00146189"/>
    <w:rsid w:val="001462DD"/>
    <w:rsid w:val="001463FB"/>
    <w:rsid w:val="001469EA"/>
    <w:rsid w:val="001472BB"/>
    <w:rsid w:val="00147BE6"/>
    <w:rsid w:val="00147C57"/>
    <w:rsid w:val="00147D6E"/>
    <w:rsid w:val="0015135C"/>
    <w:rsid w:val="00151388"/>
    <w:rsid w:val="00151D28"/>
    <w:rsid w:val="00152EDA"/>
    <w:rsid w:val="00153D27"/>
    <w:rsid w:val="00154744"/>
    <w:rsid w:val="00154A56"/>
    <w:rsid w:val="00155950"/>
    <w:rsid w:val="00156553"/>
    <w:rsid w:val="0015681B"/>
    <w:rsid w:val="00161724"/>
    <w:rsid w:val="00161CEC"/>
    <w:rsid w:val="00162509"/>
    <w:rsid w:val="00162C56"/>
    <w:rsid w:val="001639AE"/>
    <w:rsid w:val="00164139"/>
    <w:rsid w:val="00165223"/>
    <w:rsid w:val="00165AF6"/>
    <w:rsid w:val="001668FA"/>
    <w:rsid w:val="001679D4"/>
    <w:rsid w:val="00167AE4"/>
    <w:rsid w:val="00167F3E"/>
    <w:rsid w:val="0017046B"/>
    <w:rsid w:val="00170536"/>
    <w:rsid w:val="001708D1"/>
    <w:rsid w:val="00171BD1"/>
    <w:rsid w:val="00171D28"/>
    <w:rsid w:val="00173418"/>
    <w:rsid w:val="001736C5"/>
    <w:rsid w:val="00173765"/>
    <w:rsid w:val="00173846"/>
    <w:rsid w:val="00174C00"/>
    <w:rsid w:val="001757FE"/>
    <w:rsid w:val="00176AE5"/>
    <w:rsid w:val="00176C7C"/>
    <w:rsid w:val="00177268"/>
    <w:rsid w:val="001800A6"/>
    <w:rsid w:val="00180534"/>
    <w:rsid w:val="0018110D"/>
    <w:rsid w:val="001816F8"/>
    <w:rsid w:val="00182065"/>
    <w:rsid w:val="0018220C"/>
    <w:rsid w:val="001842C8"/>
    <w:rsid w:val="00184D5A"/>
    <w:rsid w:val="00184F86"/>
    <w:rsid w:val="00185024"/>
    <w:rsid w:val="001851D1"/>
    <w:rsid w:val="00185998"/>
    <w:rsid w:val="0018666E"/>
    <w:rsid w:val="001876E9"/>
    <w:rsid w:val="00190048"/>
    <w:rsid w:val="00190E78"/>
    <w:rsid w:val="001925D3"/>
    <w:rsid w:val="00192D11"/>
    <w:rsid w:val="00193973"/>
    <w:rsid w:val="00193AFF"/>
    <w:rsid w:val="00194B5B"/>
    <w:rsid w:val="00194E0E"/>
    <w:rsid w:val="00194EAE"/>
    <w:rsid w:val="001956E1"/>
    <w:rsid w:val="001971E2"/>
    <w:rsid w:val="001A19F6"/>
    <w:rsid w:val="001A1A01"/>
    <w:rsid w:val="001A1AE2"/>
    <w:rsid w:val="001A1CED"/>
    <w:rsid w:val="001A1D0C"/>
    <w:rsid w:val="001A38A7"/>
    <w:rsid w:val="001A49EB"/>
    <w:rsid w:val="001A4B90"/>
    <w:rsid w:val="001A53D6"/>
    <w:rsid w:val="001A6A3B"/>
    <w:rsid w:val="001A7164"/>
    <w:rsid w:val="001A7402"/>
    <w:rsid w:val="001A7791"/>
    <w:rsid w:val="001A7AF6"/>
    <w:rsid w:val="001B0346"/>
    <w:rsid w:val="001B0829"/>
    <w:rsid w:val="001B0A7C"/>
    <w:rsid w:val="001B12AD"/>
    <w:rsid w:val="001B2028"/>
    <w:rsid w:val="001B2422"/>
    <w:rsid w:val="001B2F23"/>
    <w:rsid w:val="001B3800"/>
    <w:rsid w:val="001B431F"/>
    <w:rsid w:val="001B4BF4"/>
    <w:rsid w:val="001B4CB9"/>
    <w:rsid w:val="001B6C01"/>
    <w:rsid w:val="001B7F27"/>
    <w:rsid w:val="001C0414"/>
    <w:rsid w:val="001C08FA"/>
    <w:rsid w:val="001C2328"/>
    <w:rsid w:val="001C2E92"/>
    <w:rsid w:val="001C2EC9"/>
    <w:rsid w:val="001C5CFC"/>
    <w:rsid w:val="001C6414"/>
    <w:rsid w:val="001C718D"/>
    <w:rsid w:val="001C7BE0"/>
    <w:rsid w:val="001D177E"/>
    <w:rsid w:val="001D1A3B"/>
    <w:rsid w:val="001D33E9"/>
    <w:rsid w:val="001D4200"/>
    <w:rsid w:val="001D4956"/>
    <w:rsid w:val="001D5026"/>
    <w:rsid w:val="001D5382"/>
    <w:rsid w:val="001D62E2"/>
    <w:rsid w:val="001D62E8"/>
    <w:rsid w:val="001D6865"/>
    <w:rsid w:val="001D6EC9"/>
    <w:rsid w:val="001D75FF"/>
    <w:rsid w:val="001D7882"/>
    <w:rsid w:val="001E11FC"/>
    <w:rsid w:val="001E2A6B"/>
    <w:rsid w:val="001E4CB6"/>
    <w:rsid w:val="001E77E0"/>
    <w:rsid w:val="001F0056"/>
    <w:rsid w:val="001F00C4"/>
    <w:rsid w:val="001F01AE"/>
    <w:rsid w:val="001F1D41"/>
    <w:rsid w:val="001F2D95"/>
    <w:rsid w:val="001F380C"/>
    <w:rsid w:val="001F3A5B"/>
    <w:rsid w:val="001F3B3B"/>
    <w:rsid w:val="001F61DB"/>
    <w:rsid w:val="001F6CE3"/>
    <w:rsid w:val="001F71DF"/>
    <w:rsid w:val="001F78B0"/>
    <w:rsid w:val="001F7C18"/>
    <w:rsid w:val="002007A1"/>
    <w:rsid w:val="00202096"/>
    <w:rsid w:val="002025B4"/>
    <w:rsid w:val="0020278E"/>
    <w:rsid w:val="00202B52"/>
    <w:rsid w:val="00203ED9"/>
    <w:rsid w:val="0020440F"/>
    <w:rsid w:val="002044E5"/>
    <w:rsid w:val="002055F6"/>
    <w:rsid w:val="00205C56"/>
    <w:rsid w:val="002066D7"/>
    <w:rsid w:val="00207D7B"/>
    <w:rsid w:val="002106CB"/>
    <w:rsid w:val="00212C69"/>
    <w:rsid w:val="00212DA3"/>
    <w:rsid w:val="002143E6"/>
    <w:rsid w:val="0021493B"/>
    <w:rsid w:val="00215647"/>
    <w:rsid w:val="002169FF"/>
    <w:rsid w:val="00216A99"/>
    <w:rsid w:val="00217E51"/>
    <w:rsid w:val="002205C0"/>
    <w:rsid w:val="002211F1"/>
    <w:rsid w:val="002256DA"/>
    <w:rsid w:val="0022662D"/>
    <w:rsid w:val="00226E17"/>
    <w:rsid w:val="00230044"/>
    <w:rsid w:val="00230399"/>
    <w:rsid w:val="00230602"/>
    <w:rsid w:val="002316F4"/>
    <w:rsid w:val="002343DB"/>
    <w:rsid w:val="00234B6A"/>
    <w:rsid w:val="00234CF4"/>
    <w:rsid w:val="002368B7"/>
    <w:rsid w:val="00237B2D"/>
    <w:rsid w:val="00237C20"/>
    <w:rsid w:val="00240E34"/>
    <w:rsid w:val="002410E5"/>
    <w:rsid w:val="002412A1"/>
    <w:rsid w:val="0024219F"/>
    <w:rsid w:val="00243228"/>
    <w:rsid w:val="00243ACD"/>
    <w:rsid w:val="00244D79"/>
    <w:rsid w:val="0024570C"/>
    <w:rsid w:val="00246238"/>
    <w:rsid w:val="00246E2E"/>
    <w:rsid w:val="002478E3"/>
    <w:rsid w:val="00247E39"/>
    <w:rsid w:val="0025023A"/>
    <w:rsid w:val="00251DE2"/>
    <w:rsid w:val="002524B7"/>
    <w:rsid w:val="00254C84"/>
    <w:rsid w:val="002552D5"/>
    <w:rsid w:val="00257846"/>
    <w:rsid w:val="00260D0E"/>
    <w:rsid w:val="00260E3F"/>
    <w:rsid w:val="002631F2"/>
    <w:rsid w:val="0026364B"/>
    <w:rsid w:val="0026390F"/>
    <w:rsid w:val="00263A18"/>
    <w:rsid w:val="002669CF"/>
    <w:rsid w:val="00266B4A"/>
    <w:rsid w:val="00267ECC"/>
    <w:rsid w:val="00271E23"/>
    <w:rsid w:val="00271FEC"/>
    <w:rsid w:val="00272806"/>
    <w:rsid w:val="00272C50"/>
    <w:rsid w:val="00273002"/>
    <w:rsid w:val="00273100"/>
    <w:rsid w:val="00273361"/>
    <w:rsid w:val="00274922"/>
    <w:rsid w:val="00274BA1"/>
    <w:rsid w:val="00274D70"/>
    <w:rsid w:val="002761AE"/>
    <w:rsid w:val="002765E8"/>
    <w:rsid w:val="00276824"/>
    <w:rsid w:val="00276E07"/>
    <w:rsid w:val="00276FF9"/>
    <w:rsid w:val="002776AB"/>
    <w:rsid w:val="00280BE3"/>
    <w:rsid w:val="0028197C"/>
    <w:rsid w:val="00281A52"/>
    <w:rsid w:val="00282EBF"/>
    <w:rsid w:val="00283569"/>
    <w:rsid w:val="0028584F"/>
    <w:rsid w:val="0028647D"/>
    <w:rsid w:val="00286579"/>
    <w:rsid w:val="002866CC"/>
    <w:rsid w:val="00287B39"/>
    <w:rsid w:val="00287BD6"/>
    <w:rsid w:val="00287E9F"/>
    <w:rsid w:val="002903D6"/>
    <w:rsid w:val="00290756"/>
    <w:rsid w:val="00290BEE"/>
    <w:rsid w:val="002918F3"/>
    <w:rsid w:val="002919C6"/>
    <w:rsid w:val="00294170"/>
    <w:rsid w:val="00294C23"/>
    <w:rsid w:val="002958B0"/>
    <w:rsid w:val="0029627F"/>
    <w:rsid w:val="00296C66"/>
    <w:rsid w:val="002970B2"/>
    <w:rsid w:val="002971E9"/>
    <w:rsid w:val="002A00F0"/>
    <w:rsid w:val="002A1B5C"/>
    <w:rsid w:val="002A23E0"/>
    <w:rsid w:val="002A2F28"/>
    <w:rsid w:val="002A41CA"/>
    <w:rsid w:val="002A6540"/>
    <w:rsid w:val="002B083A"/>
    <w:rsid w:val="002B11E4"/>
    <w:rsid w:val="002B1334"/>
    <w:rsid w:val="002B16E8"/>
    <w:rsid w:val="002B1B50"/>
    <w:rsid w:val="002B222A"/>
    <w:rsid w:val="002B2614"/>
    <w:rsid w:val="002B4349"/>
    <w:rsid w:val="002B43DB"/>
    <w:rsid w:val="002B4593"/>
    <w:rsid w:val="002B4609"/>
    <w:rsid w:val="002B5080"/>
    <w:rsid w:val="002B5085"/>
    <w:rsid w:val="002B57DB"/>
    <w:rsid w:val="002B625A"/>
    <w:rsid w:val="002B7157"/>
    <w:rsid w:val="002B7236"/>
    <w:rsid w:val="002B7863"/>
    <w:rsid w:val="002C0484"/>
    <w:rsid w:val="002C0C7A"/>
    <w:rsid w:val="002C0EA8"/>
    <w:rsid w:val="002C107D"/>
    <w:rsid w:val="002C256E"/>
    <w:rsid w:val="002C2668"/>
    <w:rsid w:val="002C31DC"/>
    <w:rsid w:val="002C3475"/>
    <w:rsid w:val="002C381F"/>
    <w:rsid w:val="002C3E9A"/>
    <w:rsid w:val="002C3FF7"/>
    <w:rsid w:val="002C5311"/>
    <w:rsid w:val="002C5B04"/>
    <w:rsid w:val="002C60F0"/>
    <w:rsid w:val="002C6CB6"/>
    <w:rsid w:val="002D000F"/>
    <w:rsid w:val="002D0204"/>
    <w:rsid w:val="002D0C4E"/>
    <w:rsid w:val="002D17BB"/>
    <w:rsid w:val="002D1C34"/>
    <w:rsid w:val="002D2060"/>
    <w:rsid w:val="002D2139"/>
    <w:rsid w:val="002D31F8"/>
    <w:rsid w:val="002D3AF3"/>
    <w:rsid w:val="002D414E"/>
    <w:rsid w:val="002D4E3E"/>
    <w:rsid w:val="002D600B"/>
    <w:rsid w:val="002E00A0"/>
    <w:rsid w:val="002E0256"/>
    <w:rsid w:val="002E2265"/>
    <w:rsid w:val="002E23CD"/>
    <w:rsid w:val="002E2E13"/>
    <w:rsid w:val="002E3919"/>
    <w:rsid w:val="002E3993"/>
    <w:rsid w:val="002E4FF2"/>
    <w:rsid w:val="002E5692"/>
    <w:rsid w:val="002E5732"/>
    <w:rsid w:val="002E6499"/>
    <w:rsid w:val="002E660C"/>
    <w:rsid w:val="002E7387"/>
    <w:rsid w:val="002F054A"/>
    <w:rsid w:val="002F0866"/>
    <w:rsid w:val="002F184A"/>
    <w:rsid w:val="002F23BA"/>
    <w:rsid w:val="002F2579"/>
    <w:rsid w:val="002F2A1B"/>
    <w:rsid w:val="002F3C48"/>
    <w:rsid w:val="002F3E59"/>
    <w:rsid w:val="002F4BA0"/>
    <w:rsid w:val="002F5898"/>
    <w:rsid w:val="002F5F98"/>
    <w:rsid w:val="002F69C7"/>
    <w:rsid w:val="002F6B73"/>
    <w:rsid w:val="002F78EE"/>
    <w:rsid w:val="002F7B3B"/>
    <w:rsid w:val="00300DC5"/>
    <w:rsid w:val="00300E21"/>
    <w:rsid w:val="00303348"/>
    <w:rsid w:val="00303648"/>
    <w:rsid w:val="0030404C"/>
    <w:rsid w:val="003043F7"/>
    <w:rsid w:val="00304AB0"/>
    <w:rsid w:val="003050E8"/>
    <w:rsid w:val="0030514A"/>
    <w:rsid w:val="003058F2"/>
    <w:rsid w:val="00305F03"/>
    <w:rsid w:val="00305F85"/>
    <w:rsid w:val="00306FB1"/>
    <w:rsid w:val="00312417"/>
    <w:rsid w:val="0031390C"/>
    <w:rsid w:val="00314536"/>
    <w:rsid w:val="00315260"/>
    <w:rsid w:val="00315329"/>
    <w:rsid w:val="0031565E"/>
    <w:rsid w:val="00316363"/>
    <w:rsid w:val="00316859"/>
    <w:rsid w:val="00316B32"/>
    <w:rsid w:val="00316BC8"/>
    <w:rsid w:val="00317FDE"/>
    <w:rsid w:val="003206EB"/>
    <w:rsid w:val="0032077F"/>
    <w:rsid w:val="003218C2"/>
    <w:rsid w:val="00321D6D"/>
    <w:rsid w:val="00321FBB"/>
    <w:rsid w:val="003223DD"/>
    <w:rsid w:val="003227F2"/>
    <w:rsid w:val="00322858"/>
    <w:rsid w:val="00322BC0"/>
    <w:rsid w:val="00322E9B"/>
    <w:rsid w:val="00324730"/>
    <w:rsid w:val="003248EE"/>
    <w:rsid w:val="00324B41"/>
    <w:rsid w:val="00324C31"/>
    <w:rsid w:val="0032591A"/>
    <w:rsid w:val="00325B7C"/>
    <w:rsid w:val="00325D88"/>
    <w:rsid w:val="00326375"/>
    <w:rsid w:val="00326813"/>
    <w:rsid w:val="003269C4"/>
    <w:rsid w:val="00327141"/>
    <w:rsid w:val="0033102D"/>
    <w:rsid w:val="003311BA"/>
    <w:rsid w:val="00332D08"/>
    <w:rsid w:val="0033740D"/>
    <w:rsid w:val="00337980"/>
    <w:rsid w:val="0034122C"/>
    <w:rsid w:val="00341DA0"/>
    <w:rsid w:val="0034282B"/>
    <w:rsid w:val="00342A92"/>
    <w:rsid w:val="00345D03"/>
    <w:rsid w:val="003460D3"/>
    <w:rsid w:val="003466D1"/>
    <w:rsid w:val="00347F0F"/>
    <w:rsid w:val="00351E03"/>
    <w:rsid w:val="00351FA6"/>
    <w:rsid w:val="00352BEB"/>
    <w:rsid w:val="003534EA"/>
    <w:rsid w:val="00354CF4"/>
    <w:rsid w:val="003566EA"/>
    <w:rsid w:val="00356E0A"/>
    <w:rsid w:val="00356E34"/>
    <w:rsid w:val="003578A3"/>
    <w:rsid w:val="0035797F"/>
    <w:rsid w:val="003605C1"/>
    <w:rsid w:val="00360800"/>
    <w:rsid w:val="003611B5"/>
    <w:rsid w:val="003617F7"/>
    <w:rsid w:val="00361B4A"/>
    <w:rsid w:val="00363062"/>
    <w:rsid w:val="003632A7"/>
    <w:rsid w:val="003646ED"/>
    <w:rsid w:val="00366412"/>
    <w:rsid w:val="0036667B"/>
    <w:rsid w:val="0037115D"/>
    <w:rsid w:val="00371DFB"/>
    <w:rsid w:val="00372A86"/>
    <w:rsid w:val="00372CB9"/>
    <w:rsid w:val="003732F0"/>
    <w:rsid w:val="0037454C"/>
    <w:rsid w:val="00375661"/>
    <w:rsid w:val="003768BA"/>
    <w:rsid w:val="00376E3B"/>
    <w:rsid w:val="0037709B"/>
    <w:rsid w:val="00377713"/>
    <w:rsid w:val="0038088B"/>
    <w:rsid w:val="0038099B"/>
    <w:rsid w:val="003810B3"/>
    <w:rsid w:val="00381B20"/>
    <w:rsid w:val="00382622"/>
    <w:rsid w:val="00382868"/>
    <w:rsid w:val="00382918"/>
    <w:rsid w:val="00383112"/>
    <w:rsid w:val="00384037"/>
    <w:rsid w:val="00384F41"/>
    <w:rsid w:val="00385354"/>
    <w:rsid w:val="003864E8"/>
    <w:rsid w:val="00386ACF"/>
    <w:rsid w:val="003908C6"/>
    <w:rsid w:val="00390962"/>
    <w:rsid w:val="0039156D"/>
    <w:rsid w:val="003944FD"/>
    <w:rsid w:val="00396A8E"/>
    <w:rsid w:val="00396BCD"/>
    <w:rsid w:val="00396F4D"/>
    <w:rsid w:val="00396F8A"/>
    <w:rsid w:val="003972EC"/>
    <w:rsid w:val="003978BA"/>
    <w:rsid w:val="00397951"/>
    <w:rsid w:val="003A0254"/>
    <w:rsid w:val="003A0CB3"/>
    <w:rsid w:val="003A196D"/>
    <w:rsid w:val="003A1E2E"/>
    <w:rsid w:val="003A28A5"/>
    <w:rsid w:val="003A2CC9"/>
    <w:rsid w:val="003A502D"/>
    <w:rsid w:val="003A5BCC"/>
    <w:rsid w:val="003A6E40"/>
    <w:rsid w:val="003B0266"/>
    <w:rsid w:val="003B08BB"/>
    <w:rsid w:val="003B0C33"/>
    <w:rsid w:val="003B113F"/>
    <w:rsid w:val="003B17FF"/>
    <w:rsid w:val="003B1890"/>
    <w:rsid w:val="003B2409"/>
    <w:rsid w:val="003B282F"/>
    <w:rsid w:val="003B3744"/>
    <w:rsid w:val="003B37EA"/>
    <w:rsid w:val="003B3C8A"/>
    <w:rsid w:val="003B4496"/>
    <w:rsid w:val="003B498D"/>
    <w:rsid w:val="003B620C"/>
    <w:rsid w:val="003B6B34"/>
    <w:rsid w:val="003B72D2"/>
    <w:rsid w:val="003B7D1F"/>
    <w:rsid w:val="003C0FA9"/>
    <w:rsid w:val="003C131C"/>
    <w:rsid w:val="003C2F35"/>
    <w:rsid w:val="003C3379"/>
    <w:rsid w:val="003C3E43"/>
    <w:rsid w:val="003C5837"/>
    <w:rsid w:val="003C5C30"/>
    <w:rsid w:val="003C6CB2"/>
    <w:rsid w:val="003D0CA7"/>
    <w:rsid w:val="003D19DA"/>
    <w:rsid w:val="003D1F3D"/>
    <w:rsid w:val="003D2817"/>
    <w:rsid w:val="003D28DA"/>
    <w:rsid w:val="003D40DA"/>
    <w:rsid w:val="003D42FE"/>
    <w:rsid w:val="003D4E1A"/>
    <w:rsid w:val="003D5346"/>
    <w:rsid w:val="003D5F9D"/>
    <w:rsid w:val="003D643E"/>
    <w:rsid w:val="003D683D"/>
    <w:rsid w:val="003D71E2"/>
    <w:rsid w:val="003D73AC"/>
    <w:rsid w:val="003E14C2"/>
    <w:rsid w:val="003E36E9"/>
    <w:rsid w:val="003E3E9C"/>
    <w:rsid w:val="003E42A6"/>
    <w:rsid w:val="003E4632"/>
    <w:rsid w:val="003E5136"/>
    <w:rsid w:val="003E52BF"/>
    <w:rsid w:val="003E628D"/>
    <w:rsid w:val="003E7700"/>
    <w:rsid w:val="003F05D3"/>
    <w:rsid w:val="003F1220"/>
    <w:rsid w:val="003F2124"/>
    <w:rsid w:val="003F2191"/>
    <w:rsid w:val="003F2E43"/>
    <w:rsid w:val="003F4153"/>
    <w:rsid w:val="003F5D43"/>
    <w:rsid w:val="003F5DF9"/>
    <w:rsid w:val="003F6827"/>
    <w:rsid w:val="003F68F8"/>
    <w:rsid w:val="003F6917"/>
    <w:rsid w:val="003F6B16"/>
    <w:rsid w:val="003F6C50"/>
    <w:rsid w:val="003F6DD1"/>
    <w:rsid w:val="003F6F0F"/>
    <w:rsid w:val="00400572"/>
    <w:rsid w:val="004005CC"/>
    <w:rsid w:val="00400647"/>
    <w:rsid w:val="0040096F"/>
    <w:rsid w:val="004024C0"/>
    <w:rsid w:val="00402AE5"/>
    <w:rsid w:val="00402C18"/>
    <w:rsid w:val="00403CE7"/>
    <w:rsid w:val="00406E0A"/>
    <w:rsid w:val="00407F74"/>
    <w:rsid w:val="00410932"/>
    <w:rsid w:val="0041178A"/>
    <w:rsid w:val="00412C03"/>
    <w:rsid w:val="004135BA"/>
    <w:rsid w:val="00413D5B"/>
    <w:rsid w:val="004153B8"/>
    <w:rsid w:val="00416280"/>
    <w:rsid w:val="004174BF"/>
    <w:rsid w:val="0042082A"/>
    <w:rsid w:val="004213DC"/>
    <w:rsid w:val="00421625"/>
    <w:rsid w:val="004217A5"/>
    <w:rsid w:val="00421BD5"/>
    <w:rsid w:val="00422974"/>
    <w:rsid w:val="00422B79"/>
    <w:rsid w:val="004231EF"/>
    <w:rsid w:val="00423CD3"/>
    <w:rsid w:val="00424EF5"/>
    <w:rsid w:val="004256B8"/>
    <w:rsid w:val="00430A78"/>
    <w:rsid w:val="00430AEB"/>
    <w:rsid w:val="00431595"/>
    <w:rsid w:val="00431D4B"/>
    <w:rsid w:val="00432270"/>
    <w:rsid w:val="0043263D"/>
    <w:rsid w:val="004346E0"/>
    <w:rsid w:val="0043659B"/>
    <w:rsid w:val="004378EC"/>
    <w:rsid w:val="00440576"/>
    <w:rsid w:val="00441E22"/>
    <w:rsid w:val="00441FD5"/>
    <w:rsid w:val="00443059"/>
    <w:rsid w:val="004437BA"/>
    <w:rsid w:val="004447E6"/>
    <w:rsid w:val="00446968"/>
    <w:rsid w:val="00447432"/>
    <w:rsid w:val="0045025B"/>
    <w:rsid w:val="00450A95"/>
    <w:rsid w:val="00450D93"/>
    <w:rsid w:val="0045157A"/>
    <w:rsid w:val="00452276"/>
    <w:rsid w:val="00452C15"/>
    <w:rsid w:val="00452CF3"/>
    <w:rsid w:val="00453310"/>
    <w:rsid w:val="004534CA"/>
    <w:rsid w:val="0045449A"/>
    <w:rsid w:val="00454686"/>
    <w:rsid w:val="004558A0"/>
    <w:rsid w:val="004559F1"/>
    <w:rsid w:val="00455F6D"/>
    <w:rsid w:val="00456860"/>
    <w:rsid w:val="004578AC"/>
    <w:rsid w:val="00460488"/>
    <w:rsid w:val="00460631"/>
    <w:rsid w:val="0046064C"/>
    <w:rsid w:val="00461880"/>
    <w:rsid w:val="004639C0"/>
    <w:rsid w:val="00463B3A"/>
    <w:rsid w:val="004640F0"/>
    <w:rsid w:val="004647C8"/>
    <w:rsid w:val="00465291"/>
    <w:rsid w:val="004653A5"/>
    <w:rsid w:val="00465CCB"/>
    <w:rsid w:val="00466D9A"/>
    <w:rsid w:val="00466F0D"/>
    <w:rsid w:val="00474AFE"/>
    <w:rsid w:val="004762B2"/>
    <w:rsid w:val="00476AC8"/>
    <w:rsid w:val="00480B13"/>
    <w:rsid w:val="00480DDC"/>
    <w:rsid w:val="00480EC9"/>
    <w:rsid w:val="00482CE5"/>
    <w:rsid w:val="00483174"/>
    <w:rsid w:val="004845F7"/>
    <w:rsid w:val="004852BC"/>
    <w:rsid w:val="00485308"/>
    <w:rsid w:val="00485E99"/>
    <w:rsid w:val="0049086B"/>
    <w:rsid w:val="00490985"/>
    <w:rsid w:val="0049138A"/>
    <w:rsid w:val="004922EE"/>
    <w:rsid w:val="004934E6"/>
    <w:rsid w:val="00493B77"/>
    <w:rsid w:val="00493F13"/>
    <w:rsid w:val="00494671"/>
    <w:rsid w:val="00496795"/>
    <w:rsid w:val="00496980"/>
    <w:rsid w:val="00497094"/>
    <w:rsid w:val="0049746C"/>
    <w:rsid w:val="004A1F26"/>
    <w:rsid w:val="004A288D"/>
    <w:rsid w:val="004A2D1C"/>
    <w:rsid w:val="004A2F92"/>
    <w:rsid w:val="004A3B7D"/>
    <w:rsid w:val="004A49FD"/>
    <w:rsid w:val="004A4D78"/>
    <w:rsid w:val="004A5577"/>
    <w:rsid w:val="004A593D"/>
    <w:rsid w:val="004A65EC"/>
    <w:rsid w:val="004A7A95"/>
    <w:rsid w:val="004B0831"/>
    <w:rsid w:val="004B0CFC"/>
    <w:rsid w:val="004B1514"/>
    <w:rsid w:val="004B43EA"/>
    <w:rsid w:val="004B4578"/>
    <w:rsid w:val="004B4B2A"/>
    <w:rsid w:val="004B5CA2"/>
    <w:rsid w:val="004B7E23"/>
    <w:rsid w:val="004C0237"/>
    <w:rsid w:val="004C0425"/>
    <w:rsid w:val="004C07BD"/>
    <w:rsid w:val="004C13DC"/>
    <w:rsid w:val="004C153F"/>
    <w:rsid w:val="004C2611"/>
    <w:rsid w:val="004C2A0C"/>
    <w:rsid w:val="004C3465"/>
    <w:rsid w:val="004C36D4"/>
    <w:rsid w:val="004C3F5D"/>
    <w:rsid w:val="004C438C"/>
    <w:rsid w:val="004C546A"/>
    <w:rsid w:val="004C5E47"/>
    <w:rsid w:val="004C61C8"/>
    <w:rsid w:val="004C7CA8"/>
    <w:rsid w:val="004D0230"/>
    <w:rsid w:val="004D124D"/>
    <w:rsid w:val="004D1AF8"/>
    <w:rsid w:val="004D2096"/>
    <w:rsid w:val="004D2789"/>
    <w:rsid w:val="004D2C93"/>
    <w:rsid w:val="004D2DC2"/>
    <w:rsid w:val="004D446B"/>
    <w:rsid w:val="004D4F09"/>
    <w:rsid w:val="004D5481"/>
    <w:rsid w:val="004D7951"/>
    <w:rsid w:val="004E01BD"/>
    <w:rsid w:val="004E08A0"/>
    <w:rsid w:val="004E10B5"/>
    <w:rsid w:val="004E1E7E"/>
    <w:rsid w:val="004E2A33"/>
    <w:rsid w:val="004E3ABD"/>
    <w:rsid w:val="004E4A4C"/>
    <w:rsid w:val="004E5905"/>
    <w:rsid w:val="004E5B62"/>
    <w:rsid w:val="004E7190"/>
    <w:rsid w:val="004E7332"/>
    <w:rsid w:val="004E7E50"/>
    <w:rsid w:val="004E7EA3"/>
    <w:rsid w:val="004E7EB0"/>
    <w:rsid w:val="004F0925"/>
    <w:rsid w:val="004F0A4A"/>
    <w:rsid w:val="004F257F"/>
    <w:rsid w:val="004F260A"/>
    <w:rsid w:val="004F4361"/>
    <w:rsid w:val="004F6D6E"/>
    <w:rsid w:val="004F70E7"/>
    <w:rsid w:val="004F7653"/>
    <w:rsid w:val="0050027A"/>
    <w:rsid w:val="00500678"/>
    <w:rsid w:val="00503BBA"/>
    <w:rsid w:val="0050487B"/>
    <w:rsid w:val="00505390"/>
    <w:rsid w:val="005059D1"/>
    <w:rsid w:val="00505E16"/>
    <w:rsid w:val="00506C16"/>
    <w:rsid w:val="005071FB"/>
    <w:rsid w:val="0051006F"/>
    <w:rsid w:val="00510242"/>
    <w:rsid w:val="00510653"/>
    <w:rsid w:val="00510826"/>
    <w:rsid w:val="00513333"/>
    <w:rsid w:val="0051348F"/>
    <w:rsid w:val="00515079"/>
    <w:rsid w:val="00515140"/>
    <w:rsid w:val="00515CA8"/>
    <w:rsid w:val="00516414"/>
    <w:rsid w:val="00516C9B"/>
    <w:rsid w:val="00516F40"/>
    <w:rsid w:val="005176FB"/>
    <w:rsid w:val="00520127"/>
    <w:rsid w:val="005201DD"/>
    <w:rsid w:val="00520525"/>
    <w:rsid w:val="00520CEC"/>
    <w:rsid w:val="00521239"/>
    <w:rsid w:val="00523410"/>
    <w:rsid w:val="00523AE2"/>
    <w:rsid w:val="0052421C"/>
    <w:rsid w:val="00525BA7"/>
    <w:rsid w:val="00525CD3"/>
    <w:rsid w:val="00525F2C"/>
    <w:rsid w:val="00526DDE"/>
    <w:rsid w:val="00527D79"/>
    <w:rsid w:val="00531426"/>
    <w:rsid w:val="00532919"/>
    <w:rsid w:val="00533659"/>
    <w:rsid w:val="00533956"/>
    <w:rsid w:val="00534DBA"/>
    <w:rsid w:val="00535BD1"/>
    <w:rsid w:val="0053611F"/>
    <w:rsid w:val="00536598"/>
    <w:rsid w:val="00537D08"/>
    <w:rsid w:val="00541273"/>
    <w:rsid w:val="00541E68"/>
    <w:rsid w:val="00544485"/>
    <w:rsid w:val="00544770"/>
    <w:rsid w:val="00544D8D"/>
    <w:rsid w:val="00545642"/>
    <w:rsid w:val="00545A2F"/>
    <w:rsid w:val="00546580"/>
    <w:rsid w:val="00547969"/>
    <w:rsid w:val="00550302"/>
    <w:rsid w:val="00550AFE"/>
    <w:rsid w:val="00550CF2"/>
    <w:rsid w:val="00552679"/>
    <w:rsid w:val="005536BC"/>
    <w:rsid w:val="00553843"/>
    <w:rsid w:val="00553BE0"/>
    <w:rsid w:val="00553F2C"/>
    <w:rsid w:val="005575A4"/>
    <w:rsid w:val="00557FAC"/>
    <w:rsid w:val="0056049C"/>
    <w:rsid w:val="00560594"/>
    <w:rsid w:val="005612BD"/>
    <w:rsid w:val="00562BCC"/>
    <w:rsid w:val="00563357"/>
    <w:rsid w:val="005636B5"/>
    <w:rsid w:val="00564364"/>
    <w:rsid w:val="00564534"/>
    <w:rsid w:val="0056480D"/>
    <w:rsid w:val="00564A75"/>
    <w:rsid w:val="00565AEE"/>
    <w:rsid w:val="005664C5"/>
    <w:rsid w:val="005667AD"/>
    <w:rsid w:val="005667B4"/>
    <w:rsid w:val="005670F6"/>
    <w:rsid w:val="00570405"/>
    <w:rsid w:val="00570CB7"/>
    <w:rsid w:val="00572F19"/>
    <w:rsid w:val="00574D0F"/>
    <w:rsid w:val="00574E49"/>
    <w:rsid w:val="005760EC"/>
    <w:rsid w:val="005768FC"/>
    <w:rsid w:val="00577686"/>
    <w:rsid w:val="005776E9"/>
    <w:rsid w:val="00577D72"/>
    <w:rsid w:val="00580988"/>
    <w:rsid w:val="00580D07"/>
    <w:rsid w:val="00580EA6"/>
    <w:rsid w:val="00581364"/>
    <w:rsid w:val="005813EE"/>
    <w:rsid w:val="00581C76"/>
    <w:rsid w:val="00581D74"/>
    <w:rsid w:val="00582643"/>
    <w:rsid w:val="005826B1"/>
    <w:rsid w:val="005833C5"/>
    <w:rsid w:val="005835BA"/>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4669"/>
    <w:rsid w:val="005947CB"/>
    <w:rsid w:val="00595C12"/>
    <w:rsid w:val="005967D7"/>
    <w:rsid w:val="00596C6C"/>
    <w:rsid w:val="00597161"/>
    <w:rsid w:val="00597305"/>
    <w:rsid w:val="005A0D1E"/>
    <w:rsid w:val="005A1EEF"/>
    <w:rsid w:val="005A2D8F"/>
    <w:rsid w:val="005A30A3"/>
    <w:rsid w:val="005A48EF"/>
    <w:rsid w:val="005A5A39"/>
    <w:rsid w:val="005A6045"/>
    <w:rsid w:val="005A6D46"/>
    <w:rsid w:val="005B00B4"/>
    <w:rsid w:val="005B0700"/>
    <w:rsid w:val="005B1565"/>
    <w:rsid w:val="005B1A9A"/>
    <w:rsid w:val="005B2158"/>
    <w:rsid w:val="005B313F"/>
    <w:rsid w:val="005B3683"/>
    <w:rsid w:val="005B4DCE"/>
    <w:rsid w:val="005B4FAA"/>
    <w:rsid w:val="005B5E79"/>
    <w:rsid w:val="005B5FEC"/>
    <w:rsid w:val="005B6505"/>
    <w:rsid w:val="005B678A"/>
    <w:rsid w:val="005C071D"/>
    <w:rsid w:val="005C15D4"/>
    <w:rsid w:val="005C2353"/>
    <w:rsid w:val="005C2AE0"/>
    <w:rsid w:val="005C2EA9"/>
    <w:rsid w:val="005C4675"/>
    <w:rsid w:val="005C4E4F"/>
    <w:rsid w:val="005C6060"/>
    <w:rsid w:val="005C62BF"/>
    <w:rsid w:val="005C6B01"/>
    <w:rsid w:val="005D147E"/>
    <w:rsid w:val="005D157B"/>
    <w:rsid w:val="005D1CB1"/>
    <w:rsid w:val="005D218E"/>
    <w:rsid w:val="005D2271"/>
    <w:rsid w:val="005D326D"/>
    <w:rsid w:val="005D34CC"/>
    <w:rsid w:val="005D37A6"/>
    <w:rsid w:val="005D3850"/>
    <w:rsid w:val="005D3D47"/>
    <w:rsid w:val="005D59EA"/>
    <w:rsid w:val="005D6315"/>
    <w:rsid w:val="005D66BA"/>
    <w:rsid w:val="005D69F9"/>
    <w:rsid w:val="005D7BE7"/>
    <w:rsid w:val="005D7DAD"/>
    <w:rsid w:val="005E13FF"/>
    <w:rsid w:val="005E1931"/>
    <w:rsid w:val="005E19EA"/>
    <w:rsid w:val="005E3FF6"/>
    <w:rsid w:val="005E5969"/>
    <w:rsid w:val="005E6A88"/>
    <w:rsid w:val="005E6BEB"/>
    <w:rsid w:val="005E77E9"/>
    <w:rsid w:val="005F0E28"/>
    <w:rsid w:val="005F0E68"/>
    <w:rsid w:val="005F11F2"/>
    <w:rsid w:val="005F2DD4"/>
    <w:rsid w:val="005F31A0"/>
    <w:rsid w:val="005F39A9"/>
    <w:rsid w:val="005F3D1C"/>
    <w:rsid w:val="005F52B5"/>
    <w:rsid w:val="005F5CBE"/>
    <w:rsid w:val="005F71D4"/>
    <w:rsid w:val="005F721C"/>
    <w:rsid w:val="005F7415"/>
    <w:rsid w:val="005F78FD"/>
    <w:rsid w:val="005F7A86"/>
    <w:rsid w:val="005F7FCB"/>
    <w:rsid w:val="006005C2"/>
    <w:rsid w:val="00600A99"/>
    <w:rsid w:val="00600B83"/>
    <w:rsid w:val="00601180"/>
    <w:rsid w:val="0060245B"/>
    <w:rsid w:val="00603A52"/>
    <w:rsid w:val="0060424A"/>
    <w:rsid w:val="00604606"/>
    <w:rsid w:val="0060472F"/>
    <w:rsid w:val="00604A26"/>
    <w:rsid w:val="00604C26"/>
    <w:rsid w:val="00604CFC"/>
    <w:rsid w:val="00605685"/>
    <w:rsid w:val="006061F8"/>
    <w:rsid w:val="00607A46"/>
    <w:rsid w:val="0061039D"/>
    <w:rsid w:val="0061084A"/>
    <w:rsid w:val="006110D1"/>
    <w:rsid w:val="0061440C"/>
    <w:rsid w:val="006144A2"/>
    <w:rsid w:val="00614C03"/>
    <w:rsid w:val="006155C4"/>
    <w:rsid w:val="00615712"/>
    <w:rsid w:val="00616770"/>
    <w:rsid w:val="0062105B"/>
    <w:rsid w:val="00621125"/>
    <w:rsid w:val="0062190E"/>
    <w:rsid w:val="00622B37"/>
    <w:rsid w:val="006236E4"/>
    <w:rsid w:val="00623BB1"/>
    <w:rsid w:val="00624048"/>
    <w:rsid w:val="00625343"/>
    <w:rsid w:val="00625DE3"/>
    <w:rsid w:val="006302B5"/>
    <w:rsid w:val="00630FEC"/>
    <w:rsid w:val="00631307"/>
    <w:rsid w:val="006325C1"/>
    <w:rsid w:val="00633127"/>
    <w:rsid w:val="00633829"/>
    <w:rsid w:val="006349C8"/>
    <w:rsid w:val="00634D14"/>
    <w:rsid w:val="006350CA"/>
    <w:rsid w:val="006351B1"/>
    <w:rsid w:val="006354EA"/>
    <w:rsid w:val="00636E83"/>
    <w:rsid w:val="00636F0B"/>
    <w:rsid w:val="00637203"/>
    <w:rsid w:val="0063762C"/>
    <w:rsid w:val="00637667"/>
    <w:rsid w:val="00637B69"/>
    <w:rsid w:val="00640482"/>
    <w:rsid w:val="00640FFF"/>
    <w:rsid w:val="006414D4"/>
    <w:rsid w:val="00641D05"/>
    <w:rsid w:val="00642551"/>
    <w:rsid w:val="0064272F"/>
    <w:rsid w:val="00642FBE"/>
    <w:rsid w:val="006452C0"/>
    <w:rsid w:val="006460B2"/>
    <w:rsid w:val="00647131"/>
    <w:rsid w:val="00647900"/>
    <w:rsid w:val="006507BB"/>
    <w:rsid w:val="00650AA0"/>
    <w:rsid w:val="00650F54"/>
    <w:rsid w:val="00651BFD"/>
    <w:rsid w:val="00651CF5"/>
    <w:rsid w:val="00652B02"/>
    <w:rsid w:val="00653326"/>
    <w:rsid w:val="00653DA0"/>
    <w:rsid w:val="00654740"/>
    <w:rsid w:val="00656924"/>
    <w:rsid w:val="00656959"/>
    <w:rsid w:val="00657013"/>
    <w:rsid w:val="00657166"/>
    <w:rsid w:val="00660A44"/>
    <w:rsid w:val="00662579"/>
    <w:rsid w:val="00662D8D"/>
    <w:rsid w:val="00663A6C"/>
    <w:rsid w:val="00663F44"/>
    <w:rsid w:val="00664A55"/>
    <w:rsid w:val="00664F83"/>
    <w:rsid w:val="00665057"/>
    <w:rsid w:val="00666FE1"/>
    <w:rsid w:val="0066700F"/>
    <w:rsid w:val="006678ED"/>
    <w:rsid w:val="00667E99"/>
    <w:rsid w:val="00670A05"/>
    <w:rsid w:val="00670B20"/>
    <w:rsid w:val="00671279"/>
    <w:rsid w:val="00671719"/>
    <w:rsid w:val="00671779"/>
    <w:rsid w:val="00671CB8"/>
    <w:rsid w:val="00671EC5"/>
    <w:rsid w:val="006729E9"/>
    <w:rsid w:val="006737CC"/>
    <w:rsid w:val="00674FE2"/>
    <w:rsid w:val="006751B4"/>
    <w:rsid w:val="006752C0"/>
    <w:rsid w:val="0067569C"/>
    <w:rsid w:val="0067591B"/>
    <w:rsid w:val="00675B17"/>
    <w:rsid w:val="00676DFE"/>
    <w:rsid w:val="0067777B"/>
    <w:rsid w:val="00677DFD"/>
    <w:rsid w:val="006815EA"/>
    <w:rsid w:val="006819F2"/>
    <w:rsid w:val="00681FA7"/>
    <w:rsid w:val="0068263C"/>
    <w:rsid w:val="00684BC5"/>
    <w:rsid w:val="00685CC7"/>
    <w:rsid w:val="0068638E"/>
    <w:rsid w:val="00686903"/>
    <w:rsid w:val="00687282"/>
    <w:rsid w:val="006902D6"/>
    <w:rsid w:val="0069196D"/>
    <w:rsid w:val="00691AEB"/>
    <w:rsid w:val="00691E6B"/>
    <w:rsid w:val="00692954"/>
    <w:rsid w:val="00692E4D"/>
    <w:rsid w:val="00693048"/>
    <w:rsid w:val="00693079"/>
    <w:rsid w:val="00694AB5"/>
    <w:rsid w:val="00695771"/>
    <w:rsid w:val="006957EA"/>
    <w:rsid w:val="00695C41"/>
    <w:rsid w:val="00695ED4"/>
    <w:rsid w:val="00696186"/>
    <w:rsid w:val="006A096B"/>
    <w:rsid w:val="006A0EBA"/>
    <w:rsid w:val="006A177D"/>
    <w:rsid w:val="006A1C86"/>
    <w:rsid w:val="006A205C"/>
    <w:rsid w:val="006A27DB"/>
    <w:rsid w:val="006A2F69"/>
    <w:rsid w:val="006A38BD"/>
    <w:rsid w:val="006A3DD5"/>
    <w:rsid w:val="006A3EB0"/>
    <w:rsid w:val="006A43F8"/>
    <w:rsid w:val="006A48C3"/>
    <w:rsid w:val="006A50AE"/>
    <w:rsid w:val="006A50C6"/>
    <w:rsid w:val="006A5338"/>
    <w:rsid w:val="006A5618"/>
    <w:rsid w:val="006A6EDF"/>
    <w:rsid w:val="006B053A"/>
    <w:rsid w:val="006B1071"/>
    <w:rsid w:val="006B25C3"/>
    <w:rsid w:val="006B3C7F"/>
    <w:rsid w:val="006B3D98"/>
    <w:rsid w:val="006B4603"/>
    <w:rsid w:val="006B47AE"/>
    <w:rsid w:val="006B5D3C"/>
    <w:rsid w:val="006B65C4"/>
    <w:rsid w:val="006B73E9"/>
    <w:rsid w:val="006B74D0"/>
    <w:rsid w:val="006B7942"/>
    <w:rsid w:val="006B79D8"/>
    <w:rsid w:val="006C131A"/>
    <w:rsid w:val="006C2FF2"/>
    <w:rsid w:val="006C3295"/>
    <w:rsid w:val="006C346A"/>
    <w:rsid w:val="006C3B0D"/>
    <w:rsid w:val="006C3FA6"/>
    <w:rsid w:val="006C4AE8"/>
    <w:rsid w:val="006C4F57"/>
    <w:rsid w:val="006C5E80"/>
    <w:rsid w:val="006C5F9B"/>
    <w:rsid w:val="006C699A"/>
    <w:rsid w:val="006D0693"/>
    <w:rsid w:val="006D0A2E"/>
    <w:rsid w:val="006D2270"/>
    <w:rsid w:val="006D25AE"/>
    <w:rsid w:val="006D2BDD"/>
    <w:rsid w:val="006D550B"/>
    <w:rsid w:val="006D6030"/>
    <w:rsid w:val="006D606B"/>
    <w:rsid w:val="006D7865"/>
    <w:rsid w:val="006E0300"/>
    <w:rsid w:val="006E0696"/>
    <w:rsid w:val="006E567B"/>
    <w:rsid w:val="006E5FDC"/>
    <w:rsid w:val="006E6BF7"/>
    <w:rsid w:val="006E6EA1"/>
    <w:rsid w:val="006E7A6C"/>
    <w:rsid w:val="006E7D2F"/>
    <w:rsid w:val="006F0989"/>
    <w:rsid w:val="006F0F13"/>
    <w:rsid w:val="006F0FCE"/>
    <w:rsid w:val="006F1CEC"/>
    <w:rsid w:val="006F1D71"/>
    <w:rsid w:val="006F4128"/>
    <w:rsid w:val="006F53E0"/>
    <w:rsid w:val="006F5CCB"/>
    <w:rsid w:val="006F6292"/>
    <w:rsid w:val="006F6553"/>
    <w:rsid w:val="006F6F58"/>
    <w:rsid w:val="006F72D0"/>
    <w:rsid w:val="006F7CB7"/>
    <w:rsid w:val="00700423"/>
    <w:rsid w:val="00700B55"/>
    <w:rsid w:val="00703067"/>
    <w:rsid w:val="007045E6"/>
    <w:rsid w:val="007047A9"/>
    <w:rsid w:val="007048EF"/>
    <w:rsid w:val="00705B46"/>
    <w:rsid w:val="00705B6E"/>
    <w:rsid w:val="00705C4C"/>
    <w:rsid w:val="0070692F"/>
    <w:rsid w:val="00707104"/>
    <w:rsid w:val="007076CF"/>
    <w:rsid w:val="0071000F"/>
    <w:rsid w:val="007105FB"/>
    <w:rsid w:val="0071144C"/>
    <w:rsid w:val="007119A9"/>
    <w:rsid w:val="00712116"/>
    <w:rsid w:val="00712FFD"/>
    <w:rsid w:val="00713211"/>
    <w:rsid w:val="00713944"/>
    <w:rsid w:val="00713CB8"/>
    <w:rsid w:val="00713DD0"/>
    <w:rsid w:val="00714239"/>
    <w:rsid w:val="00714BEA"/>
    <w:rsid w:val="00715FFB"/>
    <w:rsid w:val="0071672C"/>
    <w:rsid w:val="00716D1E"/>
    <w:rsid w:val="00721AA7"/>
    <w:rsid w:val="00723921"/>
    <w:rsid w:val="00724012"/>
    <w:rsid w:val="007244CF"/>
    <w:rsid w:val="007279B0"/>
    <w:rsid w:val="007279D3"/>
    <w:rsid w:val="00727F39"/>
    <w:rsid w:val="00730D48"/>
    <w:rsid w:val="0073164A"/>
    <w:rsid w:val="00732040"/>
    <w:rsid w:val="007323D1"/>
    <w:rsid w:val="007325B1"/>
    <w:rsid w:val="0073379B"/>
    <w:rsid w:val="00733E50"/>
    <w:rsid w:val="00735065"/>
    <w:rsid w:val="00735714"/>
    <w:rsid w:val="00735919"/>
    <w:rsid w:val="00740639"/>
    <w:rsid w:val="00740BA6"/>
    <w:rsid w:val="00741078"/>
    <w:rsid w:val="00741FCC"/>
    <w:rsid w:val="007430D4"/>
    <w:rsid w:val="00743697"/>
    <w:rsid w:val="00743A18"/>
    <w:rsid w:val="00743D8F"/>
    <w:rsid w:val="007441A6"/>
    <w:rsid w:val="0074448F"/>
    <w:rsid w:val="0074480C"/>
    <w:rsid w:val="0074548A"/>
    <w:rsid w:val="007454A6"/>
    <w:rsid w:val="0074561C"/>
    <w:rsid w:val="00746825"/>
    <w:rsid w:val="007476D3"/>
    <w:rsid w:val="0075082B"/>
    <w:rsid w:val="0075146A"/>
    <w:rsid w:val="00751B14"/>
    <w:rsid w:val="00751B2C"/>
    <w:rsid w:val="007529CB"/>
    <w:rsid w:val="00753176"/>
    <w:rsid w:val="007534D3"/>
    <w:rsid w:val="00754043"/>
    <w:rsid w:val="00754254"/>
    <w:rsid w:val="007545CC"/>
    <w:rsid w:val="0075475D"/>
    <w:rsid w:val="00754F82"/>
    <w:rsid w:val="007551AB"/>
    <w:rsid w:val="007557F8"/>
    <w:rsid w:val="00755CB2"/>
    <w:rsid w:val="0075774A"/>
    <w:rsid w:val="00761C25"/>
    <w:rsid w:val="0076291D"/>
    <w:rsid w:val="00763351"/>
    <w:rsid w:val="00764246"/>
    <w:rsid w:val="00764795"/>
    <w:rsid w:val="007649BC"/>
    <w:rsid w:val="00766458"/>
    <w:rsid w:val="00766728"/>
    <w:rsid w:val="00766EB1"/>
    <w:rsid w:val="00767113"/>
    <w:rsid w:val="00770454"/>
    <w:rsid w:val="00770479"/>
    <w:rsid w:val="007713D9"/>
    <w:rsid w:val="007718D3"/>
    <w:rsid w:val="00771964"/>
    <w:rsid w:val="00772085"/>
    <w:rsid w:val="00773668"/>
    <w:rsid w:val="00773BE5"/>
    <w:rsid w:val="00774501"/>
    <w:rsid w:val="007753E1"/>
    <w:rsid w:val="007771FE"/>
    <w:rsid w:val="007772FA"/>
    <w:rsid w:val="00777E73"/>
    <w:rsid w:val="00777EA8"/>
    <w:rsid w:val="00777F84"/>
    <w:rsid w:val="00780066"/>
    <w:rsid w:val="007800AA"/>
    <w:rsid w:val="007801B8"/>
    <w:rsid w:val="00780254"/>
    <w:rsid w:val="007802AA"/>
    <w:rsid w:val="00780702"/>
    <w:rsid w:val="00781341"/>
    <w:rsid w:val="00781391"/>
    <w:rsid w:val="00781A94"/>
    <w:rsid w:val="00782C4E"/>
    <w:rsid w:val="00782F80"/>
    <w:rsid w:val="00783DF3"/>
    <w:rsid w:val="007851F4"/>
    <w:rsid w:val="00785AEE"/>
    <w:rsid w:val="00787386"/>
    <w:rsid w:val="00787A0C"/>
    <w:rsid w:val="0079126D"/>
    <w:rsid w:val="00791E0C"/>
    <w:rsid w:val="0079205F"/>
    <w:rsid w:val="007928A2"/>
    <w:rsid w:val="00792BF4"/>
    <w:rsid w:val="00794432"/>
    <w:rsid w:val="007946F9"/>
    <w:rsid w:val="00794EFB"/>
    <w:rsid w:val="0079540D"/>
    <w:rsid w:val="00795BAC"/>
    <w:rsid w:val="00795BBB"/>
    <w:rsid w:val="007A04C8"/>
    <w:rsid w:val="007A26EA"/>
    <w:rsid w:val="007A3158"/>
    <w:rsid w:val="007A3216"/>
    <w:rsid w:val="007A350D"/>
    <w:rsid w:val="007A4E52"/>
    <w:rsid w:val="007A6FF1"/>
    <w:rsid w:val="007B13EE"/>
    <w:rsid w:val="007B1CA9"/>
    <w:rsid w:val="007B1D47"/>
    <w:rsid w:val="007B246B"/>
    <w:rsid w:val="007B404B"/>
    <w:rsid w:val="007B4ADC"/>
    <w:rsid w:val="007B4C71"/>
    <w:rsid w:val="007B632D"/>
    <w:rsid w:val="007B6517"/>
    <w:rsid w:val="007B757D"/>
    <w:rsid w:val="007B759F"/>
    <w:rsid w:val="007C009C"/>
    <w:rsid w:val="007C24F6"/>
    <w:rsid w:val="007C2597"/>
    <w:rsid w:val="007C2C14"/>
    <w:rsid w:val="007C2E01"/>
    <w:rsid w:val="007C3983"/>
    <w:rsid w:val="007C562D"/>
    <w:rsid w:val="007C62E2"/>
    <w:rsid w:val="007C6FC3"/>
    <w:rsid w:val="007C72EE"/>
    <w:rsid w:val="007C7864"/>
    <w:rsid w:val="007C78A7"/>
    <w:rsid w:val="007D0086"/>
    <w:rsid w:val="007D0187"/>
    <w:rsid w:val="007D09AA"/>
    <w:rsid w:val="007D12DF"/>
    <w:rsid w:val="007D12EE"/>
    <w:rsid w:val="007D18A7"/>
    <w:rsid w:val="007D24C7"/>
    <w:rsid w:val="007D254D"/>
    <w:rsid w:val="007D3B2C"/>
    <w:rsid w:val="007D3B98"/>
    <w:rsid w:val="007D3C4D"/>
    <w:rsid w:val="007D40AF"/>
    <w:rsid w:val="007D4A0F"/>
    <w:rsid w:val="007D5A7A"/>
    <w:rsid w:val="007D5F32"/>
    <w:rsid w:val="007D65F6"/>
    <w:rsid w:val="007E0D15"/>
    <w:rsid w:val="007E3125"/>
    <w:rsid w:val="007E3E33"/>
    <w:rsid w:val="007E4B40"/>
    <w:rsid w:val="007E4B43"/>
    <w:rsid w:val="007E5D7A"/>
    <w:rsid w:val="007E6AD3"/>
    <w:rsid w:val="007E72F2"/>
    <w:rsid w:val="007F1B0A"/>
    <w:rsid w:val="007F3C15"/>
    <w:rsid w:val="007F500F"/>
    <w:rsid w:val="007F529D"/>
    <w:rsid w:val="007F542E"/>
    <w:rsid w:val="007F6011"/>
    <w:rsid w:val="008005DA"/>
    <w:rsid w:val="00800EDF"/>
    <w:rsid w:val="008016CB"/>
    <w:rsid w:val="00801981"/>
    <w:rsid w:val="00802D3D"/>
    <w:rsid w:val="00803053"/>
    <w:rsid w:val="00804C6E"/>
    <w:rsid w:val="00805D77"/>
    <w:rsid w:val="00806043"/>
    <w:rsid w:val="0080654A"/>
    <w:rsid w:val="00806D8B"/>
    <w:rsid w:val="00807E68"/>
    <w:rsid w:val="008100B6"/>
    <w:rsid w:val="00810E4E"/>
    <w:rsid w:val="00810FD5"/>
    <w:rsid w:val="008115F2"/>
    <w:rsid w:val="00811990"/>
    <w:rsid w:val="00811992"/>
    <w:rsid w:val="00811A70"/>
    <w:rsid w:val="00812344"/>
    <w:rsid w:val="008127DE"/>
    <w:rsid w:val="00813168"/>
    <w:rsid w:val="00813BF2"/>
    <w:rsid w:val="0081433B"/>
    <w:rsid w:val="008154C7"/>
    <w:rsid w:val="0081560B"/>
    <w:rsid w:val="008160CB"/>
    <w:rsid w:val="00816BAB"/>
    <w:rsid w:val="00817092"/>
    <w:rsid w:val="00817217"/>
    <w:rsid w:val="00817F29"/>
    <w:rsid w:val="00820FEF"/>
    <w:rsid w:val="0082107B"/>
    <w:rsid w:val="008213A6"/>
    <w:rsid w:val="00821592"/>
    <w:rsid w:val="00821974"/>
    <w:rsid w:val="008220EC"/>
    <w:rsid w:val="00822AAC"/>
    <w:rsid w:val="00823AC6"/>
    <w:rsid w:val="0082499B"/>
    <w:rsid w:val="00825CFF"/>
    <w:rsid w:val="008262A0"/>
    <w:rsid w:val="0082662E"/>
    <w:rsid w:val="00826BA5"/>
    <w:rsid w:val="0082785A"/>
    <w:rsid w:val="00827A52"/>
    <w:rsid w:val="00827B58"/>
    <w:rsid w:val="00827DBD"/>
    <w:rsid w:val="00830019"/>
    <w:rsid w:val="008301D4"/>
    <w:rsid w:val="008315DF"/>
    <w:rsid w:val="008316C3"/>
    <w:rsid w:val="00831D37"/>
    <w:rsid w:val="0083226C"/>
    <w:rsid w:val="0083241B"/>
    <w:rsid w:val="00832E3C"/>
    <w:rsid w:val="0083334C"/>
    <w:rsid w:val="00833DAC"/>
    <w:rsid w:val="0083502C"/>
    <w:rsid w:val="00840CE0"/>
    <w:rsid w:val="00842D8A"/>
    <w:rsid w:val="00842DE5"/>
    <w:rsid w:val="008437B1"/>
    <w:rsid w:val="00844D8D"/>
    <w:rsid w:val="00847574"/>
    <w:rsid w:val="00850DA4"/>
    <w:rsid w:val="00850E87"/>
    <w:rsid w:val="008526CF"/>
    <w:rsid w:val="00852920"/>
    <w:rsid w:val="00853D5E"/>
    <w:rsid w:val="008552BB"/>
    <w:rsid w:val="00855C2F"/>
    <w:rsid w:val="00857887"/>
    <w:rsid w:val="00861349"/>
    <w:rsid w:val="00861E75"/>
    <w:rsid w:val="008626F0"/>
    <w:rsid w:val="0086309F"/>
    <w:rsid w:val="008637B8"/>
    <w:rsid w:val="00864DCF"/>
    <w:rsid w:val="008669C6"/>
    <w:rsid w:val="00867402"/>
    <w:rsid w:val="0086748A"/>
    <w:rsid w:val="0087049B"/>
    <w:rsid w:val="0087064C"/>
    <w:rsid w:val="00870BBF"/>
    <w:rsid w:val="008712E8"/>
    <w:rsid w:val="00872918"/>
    <w:rsid w:val="00872D0C"/>
    <w:rsid w:val="00874D41"/>
    <w:rsid w:val="008775D1"/>
    <w:rsid w:val="00881AAC"/>
    <w:rsid w:val="00881C60"/>
    <w:rsid w:val="008824A9"/>
    <w:rsid w:val="008827AE"/>
    <w:rsid w:val="008834A4"/>
    <w:rsid w:val="00885878"/>
    <w:rsid w:val="00885DD2"/>
    <w:rsid w:val="008875AF"/>
    <w:rsid w:val="00887A71"/>
    <w:rsid w:val="00887B8C"/>
    <w:rsid w:val="008906E5"/>
    <w:rsid w:val="008909AA"/>
    <w:rsid w:val="00890B41"/>
    <w:rsid w:val="008916D7"/>
    <w:rsid w:val="00891BEE"/>
    <w:rsid w:val="00892ADE"/>
    <w:rsid w:val="00892B69"/>
    <w:rsid w:val="008931B4"/>
    <w:rsid w:val="00893587"/>
    <w:rsid w:val="00893A94"/>
    <w:rsid w:val="00894054"/>
    <w:rsid w:val="00895B19"/>
    <w:rsid w:val="00896545"/>
    <w:rsid w:val="0089663B"/>
    <w:rsid w:val="0089670C"/>
    <w:rsid w:val="008979FE"/>
    <w:rsid w:val="008A159D"/>
    <w:rsid w:val="008A3125"/>
    <w:rsid w:val="008A31D6"/>
    <w:rsid w:val="008A3C0A"/>
    <w:rsid w:val="008A3E0B"/>
    <w:rsid w:val="008A42C6"/>
    <w:rsid w:val="008A45E6"/>
    <w:rsid w:val="008A5F8F"/>
    <w:rsid w:val="008A76A7"/>
    <w:rsid w:val="008A76CA"/>
    <w:rsid w:val="008A7A49"/>
    <w:rsid w:val="008B0320"/>
    <w:rsid w:val="008B07B6"/>
    <w:rsid w:val="008B241A"/>
    <w:rsid w:val="008B3341"/>
    <w:rsid w:val="008B42CE"/>
    <w:rsid w:val="008B51DC"/>
    <w:rsid w:val="008B56B1"/>
    <w:rsid w:val="008B5916"/>
    <w:rsid w:val="008B69D3"/>
    <w:rsid w:val="008B6C41"/>
    <w:rsid w:val="008B7998"/>
    <w:rsid w:val="008B7F76"/>
    <w:rsid w:val="008C17BD"/>
    <w:rsid w:val="008C1958"/>
    <w:rsid w:val="008C1ACD"/>
    <w:rsid w:val="008C1B8F"/>
    <w:rsid w:val="008C1DCB"/>
    <w:rsid w:val="008C2EB9"/>
    <w:rsid w:val="008C70D3"/>
    <w:rsid w:val="008C72D4"/>
    <w:rsid w:val="008C7700"/>
    <w:rsid w:val="008D0BA5"/>
    <w:rsid w:val="008D0CC1"/>
    <w:rsid w:val="008D1065"/>
    <w:rsid w:val="008D1098"/>
    <w:rsid w:val="008D1622"/>
    <w:rsid w:val="008D240F"/>
    <w:rsid w:val="008D2E68"/>
    <w:rsid w:val="008D38A8"/>
    <w:rsid w:val="008D3EE2"/>
    <w:rsid w:val="008D5617"/>
    <w:rsid w:val="008D7350"/>
    <w:rsid w:val="008D7C11"/>
    <w:rsid w:val="008E0DA8"/>
    <w:rsid w:val="008E321E"/>
    <w:rsid w:val="008E3358"/>
    <w:rsid w:val="008E3DD3"/>
    <w:rsid w:val="008E44CB"/>
    <w:rsid w:val="008E519B"/>
    <w:rsid w:val="008E569E"/>
    <w:rsid w:val="008E5EA7"/>
    <w:rsid w:val="008E6AD4"/>
    <w:rsid w:val="008E711D"/>
    <w:rsid w:val="008E7594"/>
    <w:rsid w:val="008E766F"/>
    <w:rsid w:val="008E7D16"/>
    <w:rsid w:val="008E7D51"/>
    <w:rsid w:val="008E7FFC"/>
    <w:rsid w:val="008F0D27"/>
    <w:rsid w:val="008F19B2"/>
    <w:rsid w:val="008F1EA6"/>
    <w:rsid w:val="008F2085"/>
    <w:rsid w:val="008F3A90"/>
    <w:rsid w:val="008F3EB3"/>
    <w:rsid w:val="008F43BA"/>
    <w:rsid w:val="008F5BA9"/>
    <w:rsid w:val="008F5D3A"/>
    <w:rsid w:val="008F5FF7"/>
    <w:rsid w:val="008F6A1C"/>
    <w:rsid w:val="009000E9"/>
    <w:rsid w:val="009010C7"/>
    <w:rsid w:val="00901C57"/>
    <w:rsid w:val="00901E31"/>
    <w:rsid w:val="009022A0"/>
    <w:rsid w:val="00902DD9"/>
    <w:rsid w:val="00905164"/>
    <w:rsid w:val="00905FF1"/>
    <w:rsid w:val="00906725"/>
    <w:rsid w:val="00906AA7"/>
    <w:rsid w:val="00907941"/>
    <w:rsid w:val="009113AF"/>
    <w:rsid w:val="00913FA1"/>
    <w:rsid w:val="0091554B"/>
    <w:rsid w:val="009176EA"/>
    <w:rsid w:val="00917DEC"/>
    <w:rsid w:val="00920554"/>
    <w:rsid w:val="00920BE9"/>
    <w:rsid w:val="00922433"/>
    <w:rsid w:val="00922674"/>
    <w:rsid w:val="009246D7"/>
    <w:rsid w:val="0092669E"/>
    <w:rsid w:val="00926C63"/>
    <w:rsid w:val="00930AA7"/>
    <w:rsid w:val="00932148"/>
    <w:rsid w:val="00932528"/>
    <w:rsid w:val="009326BD"/>
    <w:rsid w:val="009327FB"/>
    <w:rsid w:val="0093295D"/>
    <w:rsid w:val="00933450"/>
    <w:rsid w:val="00934B1D"/>
    <w:rsid w:val="00935752"/>
    <w:rsid w:val="00935783"/>
    <w:rsid w:val="009361C7"/>
    <w:rsid w:val="00936C6C"/>
    <w:rsid w:val="00936D4D"/>
    <w:rsid w:val="0093726B"/>
    <w:rsid w:val="0093756C"/>
    <w:rsid w:val="0093788A"/>
    <w:rsid w:val="009405F1"/>
    <w:rsid w:val="00941544"/>
    <w:rsid w:val="00943A9A"/>
    <w:rsid w:val="00944C00"/>
    <w:rsid w:val="00944FB6"/>
    <w:rsid w:val="009451C3"/>
    <w:rsid w:val="00947E60"/>
    <w:rsid w:val="00947EC7"/>
    <w:rsid w:val="00950D4F"/>
    <w:rsid w:val="00950EF7"/>
    <w:rsid w:val="00951211"/>
    <w:rsid w:val="009526F0"/>
    <w:rsid w:val="00954BC5"/>
    <w:rsid w:val="0095599A"/>
    <w:rsid w:val="009561A3"/>
    <w:rsid w:val="009562E9"/>
    <w:rsid w:val="00956C9C"/>
    <w:rsid w:val="0095730D"/>
    <w:rsid w:val="00960202"/>
    <w:rsid w:val="00960A4A"/>
    <w:rsid w:val="00961322"/>
    <w:rsid w:val="00961BDD"/>
    <w:rsid w:val="00961D33"/>
    <w:rsid w:val="00962A9B"/>
    <w:rsid w:val="00963267"/>
    <w:rsid w:val="009643AB"/>
    <w:rsid w:val="0096551B"/>
    <w:rsid w:val="009659E7"/>
    <w:rsid w:val="00965B78"/>
    <w:rsid w:val="009660C1"/>
    <w:rsid w:val="00966DDF"/>
    <w:rsid w:val="0096734F"/>
    <w:rsid w:val="009679B3"/>
    <w:rsid w:val="009711CA"/>
    <w:rsid w:val="009717D4"/>
    <w:rsid w:val="00972C29"/>
    <w:rsid w:val="00974062"/>
    <w:rsid w:val="00975BDB"/>
    <w:rsid w:val="009763D7"/>
    <w:rsid w:val="0097652F"/>
    <w:rsid w:val="0098362F"/>
    <w:rsid w:val="00983E6F"/>
    <w:rsid w:val="00984F36"/>
    <w:rsid w:val="0098572D"/>
    <w:rsid w:val="00985AB5"/>
    <w:rsid w:val="00985F29"/>
    <w:rsid w:val="00986BAB"/>
    <w:rsid w:val="0098737D"/>
    <w:rsid w:val="0099014E"/>
    <w:rsid w:val="009902E4"/>
    <w:rsid w:val="00992654"/>
    <w:rsid w:val="009929E0"/>
    <w:rsid w:val="0099311B"/>
    <w:rsid w:val="0099336B"/>
    <w:rsid w:val="009975E4"/>
    <w:rsid w:val="00997683"/>
    <w:rsid w:val="00997D63"/>
    <w:rsid w:val="009A022E"/>
    <w:rsid w:val="009A0238"/>
    <w:rsid w:val="009A0DCB"/>
    <w:rsid w:val="009A163C"/>
    <w:rsid w:val="009A18E6"/>
    <w:rsid w:val="009A1A07"/>
    <w:rsid w:val="009A31D0"/>
    <w:rsid w:val="009A33E8"/>
    <w:rsid w:val="009A49F2"/>
    <w:rsid w:val="009A5019"/>
    <w:rsid w:val="009A5D81"/>
    <w:rsid w:val="009A622D"/>
    <w:rsid w:val="009A7382"/>
    <w:rsid w:val="009A7908"/>
    <w:rsid w:val="009A7A43"/>
    <w:rsid w:val="009B08F5"/>
    <w:rsid w:val="009B0A08"/>
    <w:rsid w:val="009B286C"/>
    <w:rsid w:val="009B2ACB"/>
    <w:rsid w:val="009B39AD"/>
    <w:rsid w:val="009B4B4A"/>
    <w:rsid w:val="009B4E4A"/>
    <w:rsid w:val="009B4ECD"/>
    <w:rsid w:val="009B5F00"/>
    <w:rsid w:val="009B6697"/>
    <w:rsid w:val="009B6A2B"/>
    <w:rsid w:val="009B6EAE"/>
    <w:rsid w:val="009C0B55"/>
    <w:rsid w:val="009C278C"/>
    <w:rsid w:val="009C3482"/>
    <w:rsid w:val="009C3507"/>
    <w:rsid w:val="009C3D9E"/>
    <w:rsid w:val="009C47B3"/>
    <w:rsid w:val="009C4E21"/>
    <w:rsid w:val="009C4F49"/>
    <w:rsid w:val="009C545F"/>
    <w:rsid w:val="009D01DA"/>
    <w:rsid w:val="009D0308"/>
    <w:rsid w:val="009D05E8"/>
    <w:rsid w:val="009D065F"/>
    <w:rsid w:val="009D0718"/>
    <w:rsid w:val="009D1675"/>
    <w:rsid w:val="009D5994"/>
    <w:rsid w:val="009D67FE"/>
    <w:rsid w:val="009D6862"/>
    <w:rsid w:val="009E2258"/>
    <w:rsid w:val="009E23BE"/>
    <w:rsid w:val="009E249A"/>
    <w:rsid w:val="009E2CA2"/>
    <w:rsid w:val="009E34F2"/>
    <w:rsid w:val="009E5873"/>
    <w:rsid w:val="009E5CBE"/>
    <w:rsid w:val="009E5D38"/>
    <w:rsid w:val="009E620B"/>
    <w:rsid w:val="009E6578"/>
    <w:rsid w:val="009E65F2"/>
    <w:rsid w:val="009E662A"/>
    <w:rsid w:val="009E6AE1"/>
    <w:rsid w:val="009F13EF"/>
    <w:rsid w:val="009F181C"/>
    <w:rsid w:val="009F38D8"/>
    <w:rsid w:val="009F6368"/>
    <w:rsid w:val="009F69F0"/>
    <w:rsid w:val="009F76FC"/>
    <w:rsid w:val="00A00CE8"/>
    <w:rsid w:val="00A01602"/>
    <w:rsid w:val="00A01AA9"/>
    <w:rsid w:val="00A02A72"/>
    <w:rsid w:val="00A02B19"/>
    <w:rsid w:val="00A040E8"/>
    <w:rsid w:val="00A06384"/>
    <w:rsid w:val="00A079C4"/>
    <w:rsid w:val="00A104E1"/>
    <w:rsid w:val="00A11E57"/>
    <w:rsid w:val="00A11FDF"/>
    <w:rsid w:val="00A124BE"/>
    <w:rsid w:val="00A128C7"/>
    <w:rsid w:val="00A13570"/>
    <w:rsid w:val="00A13634"/>
    <w:rsid w:val="00A1422F"/>
    <w:rsid w:val="00A1458D"/>
    <w:rsid w:val="00A168D8"/>
    <w:rsid w:val="00A16F32"/>
    <w:rsid w:val="00A170F7"/>
    <w:rsid w:val="00A17A17"/>
    <w:rsid w:val="00A17F21"/>
    <w:rsid w:val="00A17FA6"/>
    <w:rsid w:val="00A20E5E"/>
    <w:rsid w:val="00A218D8"/>
    <w:rsid w:val="00A2343D"/>
    <w:rsid w:val="00A23C27"/>
    <w:rsid w:val="00A25298"/>
    <w:rsid w:val="00A256BD"/>
    <w:rsid w:val="00A26A8D"/>
    <w:rsid w:val="00A27741"/>
    <w:rsid w:val="00A27A90"/>
    <w:rsid w:val="00A30D95"/>
    <w:rsid w:val="00A3107F"/>
    <w:rsid w:val="00A31549"/>
    <w:rsid w:val="00A31DFF"/>
    <w:rsid w:val="00A33001"/>
    <w:rsid w:val="00A357D2"/>
    <w:rsid w:val="00A35982"/>
    <w:rsid w:val="00A36157"/>
    <w:rsid w:val="00A370B1"/>
    <w:rsid w:val="00A37F53"/>
    <w:rsid w:val="00A4021D"/>
    <w:rsid w:val="00A43490"/>
    <w:rsid w:val="00A43790"/>
    <w:rsid w:val="00A43F86"/>
    <w:rsid w:val="00A456D8"/>
    <w:rsid w:val="00A4594B"/>
    <w:rsid w:val="00A4661A"/>
    <w:rsid w:val="00A47A53"/>
    <w:rsid w:val="00A47D44"/>
    <w:rsid w:val="00A502D2"/>
    <w:rsid w:val="00A509BD"/>
    <w:rsid w:val="00A53ECD"/>
    <w:rsid w:val="00A5485B"/>
    <w:rsid w:val="00A54A0C"/>
    <w:rsid w:val="00A54FBC"/>
    <w:rsid w:val="00A5512F"/>
    <w:rsid w:val="00A55448"/>
    <w:rsid w:val="00A5562C"/>
    <w:rsid w:val="00A55CFE"/>
    <w:rsid w:val="00A6081C"/>
    <w:rsid w:val="00A61339"/>
    <w:rsid w:val="00A6282B"/>
    <w:rsid w:val="00A6389C"/>
    <w:rsid w:val="00A63E3B"/>
    <w:rsid w:val="00A63EF2"/>
    <w:rsid w:val="00A6456B"/>
    <w:rsid w:val="00A661E5"/>
    <w:rsid w:val="00A66915"/>
    <w:rsid w:val="00A66CDD"/>
    <w:rsid w:val="00A670BC"/>
    <w:rsid w:val="00A67591"/>
    <w:rsid w:val="00A70223"/>
    <w:rsid w:val="00A71A4E"/>
    <w:rsid w:val="00A71AD7"/>
    <w:rsid w:val="00A724BF"/>
    <w:rsid w:val="00A73BD7"/>
    <w:rsid w:val="00A74AA9"/>
    <w:rsid w:val="00A75CA2"/>
    <w:rsid w:val="00A765A7"/>
    <w:rsid w:val="00A77C1A"/>
    <w:rsid w:val="00A80522"/>
    <w:rsid w:val="00A806A0"/>
    <w:rsid w:val="00A81033"/>
    <w:rsid w:val="00A81F2F"/>
    <w:rsid w:val="00A82A6A"/>
    <w:rsid w:val="00A82F99"/>
    <w:rsid w:val="00A83620"/>
    <w:rsid w:val="00A838F8"/>
    <w:rsid w:val="00A83A97"/>
    <w:rsid w:val="00A84913"/>
    <w:rsid w:val="00A85DA5"/>
    <w:rsid w:val="00A861FD"/>
    <w:rsid w:val="00A86C8C"/>
    <w:rsid w:val="00A87D6D"/>
    <w:rsid w:val="00A87FBF"/>
    <w:rsid w:val="00A90047"/>
    <w:rsid w:val="00A90F7C"/>
    <w:rsid w:val="00A91489"/>
    <w:rsid w:val="00A92297"/>
    <w:rsid w:val="00A92D9F"/>
    <w:rsid w:val="00A936D7"/>
    <w:rsid w:val="00A93C2E"/>
    <w:rsid w:val="00A95750"/>
    <w:rsid w:val="00A962AB"/>
    <w:rsid w:val="00A9685F"/>
    <w:rsid w:val="00AA095E"/>
    <w:rsid w:val="00AA0AB0"/>
    <w:rsid w:val="00AA0C50"/>
    <w:rsid w:val="00AA18B8"/>
    <w:rsid w:val="00AA3FED"/>
    <w:rsid w:val="00AA5D0B"/>
    <w:rsid w:val="00AA71E1"/>
    <w:rsid w:val="00AA7455"/>
    <w:rsid w:val="00AB065F"/>
    <w:rsid w:val="00AB156E"/>
    <w:rsid w:val="00AB252B"/>
    <w:rsid w:val="00AB25F3"/>
    <w:rsid w:val="00AB3201"/>
    <w:rsid w:val="00AB3DF5"/>
    <w:rsid w:val="00AB5777"/>
    <w:rsid w:val="00AB6108"/>
    <w:rsid w:val="00AB6618"/>
    <w:rsid w:val="00AB69F5"/>
    <w:rsid w:val="00AB6EF2"/>
    <w:rsid w:val="00AB6F58"/>
    <w:rsid w:val="00AC285B"/>
    <w:rsid w:val="00AC2864"/>
    <w:rsid w:val="00AC2A07"/>
    <w:rsid w:val="00AC2F52"/>
    <w:rsid w:val="00AC4E2E"/>
    <w:rsid w:val="00AC586C"/>
    <w:rsid w:val="00AC5A6F"/>
    <w:rsid w:val="00AC6925"/>
    <w:rsid w:val="00AC6DDC"/>
    <w:rsid w:val="00AC76DD"/>
    <w:rsid w:val="00AD0102"/>
    <w:rsid w:val="00AD27E2"/>
    <w:rsid w:val="00AD4802"/>
    <w:rsid w:val="00AD4F7D"/>
    <w:rsid w:val="00AD556F"/>
    <w:rsid w:val="00AD6084"/>
    <w:rsid w:val="00AD6636"/>
    <w:rsid w:val="00AE042B"/>
    <w:rsid w:val="00AE15CD"/>
    <w:rsid w:val="00AE41AA"/>
    <w:rsid w:val="00AE4E61"/>
    <w:rsid w:val="00AE6089"/>
    <w:rsid w:val="00AE6154"/>
    <w:rsid w:val="00AE67ED"/>
    <w:rsid w:val="00AE78EE"/>
    <w:rsid w:val="00AF10FF"/>
    <w:rsid w:val="00AF18A2"/>
    <w:rsid w:val="00AF2E55"/>
    <w:rsid w:val="00AF4FB6"/>
    <w:rsid w:val="00AF522E"/>
    <w:rsid w:val="00AF5CCE"/>
    <w:rsid w:val="00AF5FB6"/>
    <w:rsid w:val="00AF6354"/>
    <w:rsid w:val="00AF6A7A"/>
    <w:rsid w:val="00AF7093"/>
    <w:rsid w:val="00AF7687"/>
    <w:rsid w:val="00AF79FF"/>
    <w:rsid w:val="00B00C80"/>
    <w:rsid w:val="00B03A85"/>
    <w:rsid w:val="00B04095"/>
    <w:rsid w:val="00B0417F"/>
    <w:rsid w:val="00B049FF"/>
    <w:rsid w:val="00B04D30"/>
    <w:rsid w:val="00B05E4B"/>
    <w:rsid w:val="00B061A8"/>
    <w:rsid w:val="00B06DE6"/>
    <w:rsid w:val="00B101D5"/>
    <w:rsid w:val="00B10998"/>
    <w:rsid w:val="00B11FC1"/>
    <w:rsid w:val="00B126ED"/>
    <w:rsid w:val="00B1324D"/>
    <w:rsid w:val="00B13267"/>
    <w:rsid w:val="00B14127"/>
    <w:rsid w:val="00B15181"/>
    <w:rsid w:val="00B1519D"/>
    <w:rsid w:val="00B15366"/>
    <w:rsid w:val="00B1570C"/>
    <w:rsid w:val="00B15E24"/>
    <w:rsid w:val="00B15E9B"/>
    <w:rsid w:val="00B16B69"/>
    <w:rsid w:val="00B16D60"/>
    <w:rsid w:val="00B20236"/>
    <w:rsid w:val="00B20939"/>
    <w:rsid w:val="00B219CC"/>
    <w:rsid w:val="00B227AF"/>
    <w:rsid w:val="00B22D08"/>
    <w:rsid w:val="00B23990"/>
    <w:rsid w:val="00B23A70"/>
    <w:rsid w:val="00B23DB5"/>
    <w:rsid w:val="00B23E2E"/>
    <w:rsid w:val="00B248FF"/>
    <w:rsid w:val="00B25CFA"/>
    <w:rsid w:val="00B26CE2"/>
    <w:rsid w:val="00B26F58"/>
    <w:rsid w:val="00B27117"/>
    <w:rsid w:val="00B276D2"/>
    <w:rsid w:val="00B27C33"/>
    <w:rsid w:val="00B3000D"/>
    <w:rsid w:val="00B30A99"/>
    <w:rsid w:val="00B30E61"/>
    <w:rsid w:val="00B315B6"/>
    <w:rsid w:val="00B31AF0"/>
    <w:rsid w:val="00B32F0E"/>
    <w:rsid w:val="00B3391C"/>
    <w:rsid w:val="00B33EA1"/>
    <w:rsid w:val="00B34126"/>
    <w:rsid w:val="00B343B0"/>
    <w:rsid w:val="00B357D0"/>
    <w:rsid w:val="00B36416"/>
    <w:rsid w:val="00B374DD"/>
    <w:rsid w:val="00B4143F"/>
    <w:rsid w:val="00B422C7"/>
    <w:rsid w:val="00B448E6"/>
    <w:rsid w:val="00B448F5"/>
    <w:rsid w:val="00B457DA"/>
    <w:rsid w:val="00B46C0D"/>
    <w:rsid w:val="00B502DA"/>
    <w:rsid w:val="00B5076B"/>
    <w:rsid w:val="00B50A5A"/>
    <w:rsid w:val="00B51064"/>
    <w:rsid w:val="00B5198A"/>
    <w:rsid w:val="00B51BB0"/>
    <w:rsid w:val="00B51D51"/>
    <w:rsid w:val="00B527E4"/>
    <w:rsid w:val="00B52AB8"/>
    <w:rsid w:val="00B533CA"/>
    <w:rsid w:val="00B5377C"/>
    <w:rsid w:val="00B5397D"/>
    <w:rsid w:val="00B53D77"/>
    <w:rsid w:val="00B541C6"/>
    <w:rsid w:val="00B54273"/>
    <w:rsid w:val="00B54DDD"/>
    <w:rsid w:val="00B55274"/>
    <w:rsid w:val="00B55B31"/>
    <w:rsid w:val="00B55B9B"/>
    <w:rsid w:val="00B55EC3"/>
    <w:rsid w:val="00B56045"/>
    <w:rsid w:val="00B60208"/>
    <w:rsid w:val="00B606A5"/>
    <w:rsid w:val="00B62437"/>
    <w:rsid w:val="00B64527"/>
    <w:rsid w:val="00B668F1"/>
    <w:rsid w:val="00B66CDF"/>
    <w:rsid w:val="00B7064F"/>
    <w:rsid w:val="00B71EA3"/>
    <w:rsid w:val="00B7208D"/>
    <w:rsid w:val="00B7238E"/>
    <w:rsid w:val="00B7251D"/>
    <w:rsid w:val="00B7265E"/>
    <w:rsid w:val="00B73252"/>
    <w:rsid w:val="00B740A5"/>
    <w:rsid w:val="00B751CC"/>
    <w:rsid w:val="00B751D8"/>
    <w:rsid w:val="00B755DC"/>
    <w:rsid w:val="00B763B4"/>
    <w:rsid w:val="00B77160"/>
    <w:rsid w:val="00B77311"/>
    <w:rsid w:val="00B8015B"/>
    <w:rsid w:val="00B801B2"/>
    <w:rsid w:val="00B81746"/>
    <w:rsid w:val="00B818A2"/>
    <w:rsid w:val="00B82CD4"/>
    <w:rsid w:val="00B83025"/>
    <w:rsid w:val="00B8332C"/>
    <w:rsid w:val="00B83DAB"/>
    <w:rsid w:val="00B8436C"/>
    <w:rsid w:val="00B85525"/>
    <w:rsid w:val="00B85AAA"/>
    <w:rsid w:val="00B85C79"/>
    <w:rsid w:val="00B86448"/>
    <w:rsid w:val="00B87F7E"/>
    <w:rsid w:val="00B9233A"/>
    <w:rsid w:val="00B92455"/>
    <w:rsid w:val="00B92D2D"/>
    <w:rsid w:val="00B93213"/>
    <w:rsid w:val="00B9362C"/>
    <w:rsid w:val="00B93741"/>
    <w:rsid w:val="00B93C77"/>
    <w:rsid w:val="00B93DCA"/>
    <w:rsid w:val="00B93E88"/>
    <w:rsid w:val="00B94462"/>
    <w:rsid w:val="00B9447C"/>
    <w:rsid w:val="00B952A2"/>
    <w:rsid w:val="00B9571F"/>
    <w:rsid w:val="00B957CF"/>
    <w:rsid w:val="00B9594B"/>
    <w:rsid w:val="00B96185"/>
    <w:rsid w:val="00B964C0"/>
    <w:rsid w:val="00B97DF5"/>
    <w:rsid w:val="00BA0532"/>
    <w:rsid w:val="00BA083C"/>
    <w:rsid w:val="00BA432B"/>
    <w:rsid w:val="00BA5199"/>
    <w:rsid w:val="00BA5DC2"/>
    <w:rsid w:val="00BA6D29"/>
    <w:rsid w:val="00BA70BB"/>
    <w:rsid w:val="00BA7A49"/>
    <w:rsid w:val="00BB0007"/>
    <w:rsid w:val="00BB01C4"/>
    <w:rsid w:val="00BB0336"/>
    <w:rsid w:val="00BB0A9B"/>
    <w:rsid w:val="00BB1C1B"/>
    <w:rsid w:val="00BB24C0"/>
    <w:rsid w:val="00BB2949"/>
    <w:rsid w:val="00BB3217"/>
    <w:rsid w:val="00BB385C"/>
    <w:rsid w:val="00BB3909"/>
    <w:rsid w:val="00BB3C02"/>
    <w:rsid w:val="00BB4C70"/>
    <w:rsid w:val="00BB4EE2"/>
    <w:rsid w:val="00BB5586"/>
    <w:rsid w:val="00BB652D"/>
    <w:rsid w:val="00BB7BD2"/>
    <w:rsid w:val="00BC037D"/>
    <w:rsid w:val="00BC211F"/>
    <w:rsid w:val="00BC2202"/>
    <w:rsid w:val="00BC2523"/>
    <w:rsid w:val="00BC2806"/>
    <w:rsid w:val="00BC4192"/>
    <w:rsid w:val="00BC7B71"/>
    <w:rsid w:val="00BD10C6"/>
    <w:rsid w:val="00BD13F4"/>
    <w:rsid w:val="00BD2791"/>
    <w:rsid w:val="00BD2BC4"/>
    <w:rsid w:val="00BD2E2A"/>
    <w:rsid w:val="00BD2EEA"/>
    <w:rsid w:val="00BD2FCD"/>
    <w:rsid w:val="00BD3580"/>
    <w:rsid w:val="00BD39FA"/>
    <w:rsid w:val="00BD3BEF"/>
    <w:rsid w:val="00BD4316"/>
    <w:rsid w:val="00BD4E77"/>
    <w:rsid w:val="00BD56FF"/>
    <w:rsid w:val="00BD6DF1"/>
    <w:rsid w:val="00BD71AC"/>
    <w:rsid w:val="00BD7562"/>
    <w:rsid w:val="00BE00B2"/>
    <w:rsid w:val="00BE0116"/>
    <w:rsid w:val="00BE019D"/>
    <w:rsid w:val="00BE3587"/>
    <w:rsid w:val="00BE36D9"/>
    <w:rsid w:val="00BE3BE7"/>
    <w:rsid w:val="00BE4259"/>
    <w:rsid w:val="00BE46CF"/>
    <w:rsid w:val="00BE4986"/>
    <w:rsid w:val="00BE7102"/>
    <w:rsid w:val="00BE7CC8"/>
    <w:rsid w:val="00BF123C"/>
    <w:rsid w:val="00BF1403"/>
    <w:rsid w:val="00BF1D91"/>
    <w:rsid w:val="00BF2410"/>
    <w:rsid w:val="00BF264E"/>
    <w:rsid w:val="00BF2CD6"/>
    <w:rsid w:val="00BF4183"/>
    <w:rsid w:val="00BF4DF2"/>
    <w:rsid w:val="00BF65EB"/>
    <w:rsid w:val="00BF6B63"/>
    <w:rsid w:val="00BF7237"/>
    <w:rsid w:val="00BF747B"/>
    <w:rsid w:val="00BF7FC4"/>
    <w:rsid w:val="00C01021"/>
    <w:rsid w:val="00C0207C"/>
    <w:rsid w:val="00C0210B"/>
    <w:rsid w:val="00C043E6"/>
    <w:rsid w:val="00C0512E"/>
    <w:rsid w:val="00C063B5"/>
    <w:rsid w:val="00C075B1"/>
    <w:rsid w:val="00C075BA"/>
    <w:rsid w:val="00C07B06"/>
    <w:rsid w:val="00C103F5"/>
    <w:rsid w:val="00C11478"/>
    <w:rsid w:val="00C1194E"/>
    <w:rsid w:val="00C12310"/>
    <w:rsid w:val="00C12368"/>
    <w:rsid w:val="00C12824"/>
    <w:rsid w:val="00C12C9B"/>
    <w:rsid w:val="00C130F4"/>
    <w:rsid w:val="00C13854"/>
    <w:rsid w:val="00C13908"/>
    <w:rsid w:val="00C150B1"/>
    <w:rsid w:val="00C1527E"/>
    <w:rsid w:val="00C15E8D"/>
    <w:rsid w:val="00C160CD"/>
    <w:rsid w:val="00C16144"/>
    <w:rsid w:val="00C16DA9"/>
    <w:rsid w:val="00C16DB3"/>
    <w:rsid w:val="00C16EC5"/>
    <w:rsid w:val="00C16F99"/>
    <w:rsid w:val="00C17031"/>
    <w:rsid w:val="00C20122"/>
    <w:rsid w:val="00C20CE3"/>
    <w:rsid w:val="00C2139E"/>
    <w:rsid w:val="00C22648"/>
    <w:rsid w:val="00C22989"/>
    <w:rsid w:val="00C23092"/>
    <w:rsid w:val="00C23CA3"/>
    <w:rsid w:val="00C23DA8"/>
    <w:rsid w:val="00C24AA3"/>
    <w:rsid w:val="00C252E2"/>
    <w:rsid w:val="00C3013A"/>
    <w:rsid w:val="00C303A8"/>
    <w:rsid w:val="00C31E32"/>
    <w:rsid w:val="00C333E8"/>
    <w:rsid w:val="00C34D37"/>
    <w:rsid w:val="00C34DD3"/>
    <w:rsid w:val="00C4091E"/>
    <w:rsid w:val="00C40E04"/>
    <w:rsid w:val="00C415DB"/>
    <w:rsid w:val="00C417AD"/>
    <w:rsid w:val="00C4194D"/>
    <w:rsid w:val="00C41C2B"/>
    <w:rsid w:val="00C41F83"/>
    <w:rsid w:val="00C4264A"/>
    <w:rsid w:val="00C42E1B"/>
    <w:rsid w:val="00C42E20"/>
    <w:rsid w:val="00C434CE"/>
    <w:rsid w:val="00C4363F"/>
    <w:rsid w:val="00C439C7"/>
    <w:rsid w:val="00C43C60"/>
    <w:rsid w:val="00C4605C"/>
    <w:rsid w:val="00C466E2"/>
    <w:rsid w:val="00C507C9"/>
    <w:rsid w:val="00C51075"/>
    <w:rsid w:val="00C51CA6"/>
    <w:rsid w:val="00C51CF3"/>
    <w:rsid w:val="00C5244B"/>
    <w:rsid w:val="00C526EF"/>
    <w:rsid w:val="00C52E30"/>
    <w:rsid w:val="00C53159"/>
    <w:rsid w:val="00C53331"/>
    <w:rsid w:val="00C53D18"/>
    <w:rsid w:val="00C5442B"/>
    <w:rsid w:val="00C57917"/>
    <w:rsid w:val="00C57DA1"/>
    <w:rsid w:val="00C61D85"/>
    <w:rsid w:val="00C62460"/>
    <w:rsid w:val="00C626A0"/>
    <w:rsid w:val="00C63E1C"/>
    <w:rsid w:val="00C6511D"/>
    <w:rsid w:val="00C6526E"/>
    <w:rsid w:val="00C653B0"/>
    <w:rsid w:val="00C6660B"/>
    <w:rsid w:val="00C67341"/>
    <w:rsid w:val="00C7091D"/>
    <w:rsid w:val="00C71DE1"/>
    <w:rsid w:val="00C7319A"/>
    <w:rsid w:val="00C7404D"/>
    <w:rsid w:val="00C75704"/>
    <w:rsid w:val="00C75A9E"/>
    <w:rsid w:val="00C80D2A"/>
    <w:rsid w:val="00C80F29"/>
    <w:rsid w:val="00C81C86"/>
    <w:rsid w:val="00C8339F"/>
    <w:rsid w:val="00C8384C"/>
    <w:rsid w:val="00C83A9D"/>
    <w:rsid w:val="00C8427E"/>
    <w:rsid w:val="00C84361"/>
    <w:rsid w:val="00C84CE7"/>
    <w:rsid w:val="00C850BA"/>
    <w:rsid w:val="00C85578"/>
    <w:rsid w:val="00C9042A"/>
    <w:rsid w:val="00C90BBF"/>
    <w:rsid w:val="00C90EB1"/>
    <w:rsid w:val="00C91224"/>
    <w:rsid w:val="00C914A0"/>
    <w:rsid w:val="00C915E1"/>
    <w:rsid w:val="00C9344D"/>
    <w:rsid w:val="00C94539"/>
    <w:rsid w:val="00C94E8F"/>
    <w:rsid w:val="00C972A4"/>
    <w:rsid w:val="00C97365"/>
    <w:rsid w:val="00C973D2"/>
    <w:rsid w:val="00C97C85"/>
    <w:rsid w:val="00C97DC3"/>
    <w:rsid w:val="00CA0FD9"/>
    <w:rsid w:val="00CA2A1F"/>
    <w:rsid w:val="00CA30CF"/>
    <w:rsid w:val="00CA3623"/>
    <w:rsid w:val="00CA464C"/>
    <w:rsid w:val="00CA4756"/>
    <w:rsid w:val="00CA6280"/>
    <w:rsid w:val="00CA7A97"/>
    <w:rsid w:val="00CB04D1"/>
    <w:rsid w:val="00CB207F"/>
    <w:rsid w:val="00CB21E6"/>
    <w:rsid w:val="00CB2B82"/>
    <w:rsid w:val="00CB2BA7"/>
    <w:rsid w:val="00CB4966"/>
    <w:rsid w:val="00CB5376"/>
    <w:rsid w:val="00CB6558"/>
    <w:rsid w:val="00CB6A63"/>
    <w:rsid w:val="00CB705E"/>
    <w:rsid w:val="00CB721A"/>
    <w:rsid w:val="00CB7285"/>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1DB"/>
    <w:rsid w:val="00CC6293"/>
    <w:rsid w:val="00CD0366"/>
    <w:rsid w:val="00CD158E"/>
    <w:rsid w:val="00CD2004"/>
    <w:rsid w:val="00CD21E2"/>
    <w:rsid w:val="00CD56EA"/>
    <w:rsid w:val="00CD5A65"/>
    <w:rsid w:val="00CD5D03"/>
    <w:rsid w:val="00CD6302"/>
    <w:rsid w:val="00CD6408"/>
    <w:rsid w:val="00CD7947"/>
    <w:rsid w:val="00CE1179"/>
    <w:rsid w:val="00CE133C"/>
    <w:rsid w:val="00CE1496"/>
    <w:rsid w:val="00CE151B"/>
    <w:rsid w:val="00CE1B58"/>
    <w:rsid w:val="00CE35B1"/>
    <w:rsid w:val="00CE3E1F"/>
    <w:rsid w:val="00CE48F8"/>
    <w:rsid w:val="00CE5D31"/>
    <w:rsid w:val="00CE5E99"/>
    <w:rsid w:val="00CE63C1"/>
    <w:rsid w:val="00CF06AD"/>
    <w:rsid w:val="00CF0781"/>
    <w:rsid w:val="00CF12BF"/>
    <w:rsid w:val="00CF1F8F"/>
    <w:rsid w:val="00CF2351"/>
    <w:rsid w:val="00CF35E2"/>
    <w:rsid w:val="00CF49C8"/>
    <w:rsid w:val="00CF4AB7"/>
    <w:rsid w:val="00CF4DFA"/>
    <w:rsid w:val="00CF5180"/>
    <w:rsid w:val="00CF53F4"/>
    <w:rsid w:val="00CF56A6"/>
    <w:rsid w:val="00CF624A"/>
    <w:rsid w:val="00D00A36"/>
    <w:rsid w:val="00D01231"/>
    <w:rsid w:val="00D02646"/>
    <w:rsid w:val="00D0342C"/>
    <w:rsid w:val="00D034B5"/>
    <w:rsid w:val="00D0388A"/>
    <w:rsid w:val="00D04E4D"/>
    <w:rsid w:val="00D054C1"/>
    <w:rsid w:val="00D06072"/>
    <w:rsid w:val="00D07AF6"/>
    <w:rsid w:val="00D07C01"/>
    <w:rsid w:val="00D07D1C"/>
    <w:rsid w:val="00D103DA"/>
    <w:rsid w:val="00D109FE"/>
    <w:rsid w:val="00D117B1"/>
    <w:rsid w:val="00D134AA"/>
    <w:rsid w:val="00D13B53"/>
    <w:rsid w:val="00D14161"/>
    <w:rsid w:val="00D14345"/>
    <w:rsid w:val="00D148E9"/>
    <w:rsid w:val="00D1499A"/>
    <w:rsid w:val="00D1523B"/>
    <w:rsid w:val="00D15853"/>
    <w:rsid w:val="00D15B2B"/>
    <w:rsid w:val="00D1604D"/>
    <w:rsid w:val="00D16252"/>
    <w:rsid w:val="00D20B46"/>
    <w:rsid w:val="00D20E90"/>
    <w:rsid w:val="00D21AB1"/>
    <w:rsid w:val="00D22382"/>
    <w:rsid w:val="00D2301C"/>
    <w:rsid w:val="00D250C9"/>
    <w:rsid w:val="00D2633D"/>
    <w:rsid w:val="00D26EA3"/>
    <w:rsid w:val="00D27219"/>
    <w:rsid w:val="00D27740"/>
    <w:rsid w:val="00D313F6"/>
    <w:rsid w:val="00D31D17"/>
    <w:rsid w:val="00D32A8C"/>
    <w:rsid w:val="00D32F4B"/>
    <w:rsid w:val="00D34208"/>
    <w:rsid w:val="00D34590"/>
    <w:rsid w:val="00D34985"/>
    <w:rsid w:val="00D35A2D"/>
    <w:rsid w:val="00D35B11"/>
    <w:rsid w:val="00D35E2C"/>
    <w:rsid w:val="00D37003"/>
    <w:rsid w:val="00D42103"/>
    <w:rsid w:val="00D43575"/>
    <w:rsid w:val="00D45562"/>
    <w:rsid w:val="00D4591D"/>
    <w:rsid w:val="00D46852"/>
    <w:rsid w:val="00D47B59"/>
    <w:rsid w:val="00D5000D"/>
    <w:rsid w:val="00D50013"/>
    <w:rsid w:val="00D5031B"/>
    <w:rsid w:val="00D5161C"/>
    <w:rsid w:val="00D51F15"/>
    <w:rsid w:val="00D52940"/>
    <w:rsid w:val="00D531E6"/>
    <w:rsid w:val="00D53566"/>
    <w:rsid w:val="00D5393F"/>
    <w:rsid w:val="00D56200"/>
    <w:rsid w:val="00D571C3"/>
    <w:rsid w:val="00D5770A"/>
    <w:rsid w:val="00D57C17"/>
    <w:rsid w:val="00D60676"/>
    <w:rsid w:val="00D60DFD"/>
    <w:rsid w:val="00D62782"/>
    <w:rsid w:val="00D62FC7"/>
    <w:rsid w:val="00D64CA7"/>
    <w:rsid w:val="00D655E5"/>
    <w:rsid w:val="00D6652C"/>
    <w:rsid w:val="00D7092A"/>
    <w:rsid w:val="00D71085"/>
    <w:rsid w:val="00D72689"/>
    <w:rsid w:val="00D72E04"/>
    <w:rsid w:val="00D74350"/>
    <w:rsid w:val="00D74483"/>
    <w:rsid w:val="00D746A6"/>
    <w:rsid w:val="00D74EE8"/>
    <w:rsid w:val="00D7508B"/>
    <w:rsid w:val="00D753FD"/>
    <w:rsid w:val="00D75ED5"/>
    <w:rsid w:val="00D76CAB"/>
    <w:rsid w:val="00D77C77"/>
    <w:rsid w:val="00D77DC6"/>
    <w:rsid w:val="00D804C1"/>
    <w:rsid w:val="00D815E1"/>
    <w:rsid w:val="00D815FD"/>
    <w:rsid w:val="00D81A91"/>
    <w:rsid w:val="00D82799"/>
    <w:rsid w:val="00D829A8"/>
    <w:rsid w:val="00D8347C"/>
    <w:rsid w:val="00D84268"/>
    <w:rsid w:val="00D84298"/>
    <w:rsid w:val="00D84735"/>
    <w:rsid w:val="00D85306"/>
    <w:rsid w:val="00D853DC"/>
    <w:rsid w:val="00D855A8"/>
    <w:rsid w:val="00D85A95"/>
    <w:rsid w:val="00D86259"/>
    <w:rsid w:val="00D87D64"/>
    <w:rsid w:val="00D9039D"/>
    <w:rsid w:val="00D90AEF"/>
    <w:rsid w:val="00D9100F"/>
    <w:rsid w:val="00D918B7"/>
    <w:rsid w:val="00D919AA"/>
    <w:rsid w:val="00D92D23"/>
    <w:rsid w:val="00D93BEB"/>
    <w:rsid w:val="00D95189"/>
    <w:rsid w:val="00D9529E"/>
    <w:rsid w:val="00D969DF"/>
    <w:rsid w:val="00D96E1F"/>
    <w:rsid w:val="00DA0495"/>
    <w:rsid w:val="00DA06B2"/>
    <w:rsid w:val="00DA0E89"/>
    <w:rsid w:val="00DA1516"/>
    <w:rsid w:val="00DA186C"/>
    <w:rsid w:val="00DA192A"/>
    <w:rsid w:val="00DA1AC4"/>
    <w:rsid w:val="00DA211A"/>
    <w:rsid w:val="00DA2923"/>
    <w:rsid w:val="00DA2A1E"/>
    <w:rsid w:val="00DA357D"/>
    <w:rsid w:val="00DA3DC5"/>
    <w:rsid w:val="00DA43C2"/>
    <w:rsid w:val="00DA452A"/>
    <w:rsid w:val="00DA46ED"/>
    <w:rsid w:val="00DA5CA8"/>
    <w:rsid w:val="00DA68EC"/>
    <w:rsid w:val="00DA75D5"/>
    <w:rsid w:val="00DB1673"/>
    <w:rsid w:val="00DB179D"/>
    <w:rsid w:val="00DB1B0A"/>
    <w:rsid w:val="00DB220B"/>
    <w:rsid w:val="00DB27FE"/>
    <w:rsid w:val="00DB4ABC"/>
    <w:rsid w:val="00DB6180"/>
    <w:rsid w:val="00DB6D69"/>
    <w:rsid w:val="00DC08C6"/>
    <w:rsid w:val="00DC0AFC"/>
    <w:rsid w:val="00DC0FF5"/>
    <w:rsid w:val="00DC16CE"/>
    <w:rsid w:val="00DC2B1D"/>
    <w:rsid w:val="00DC3589"/>
    <w:rsid w:val="00DC3A46"/>
    <w:rsid w:val="00DC4C9F"/>
    <w:rsid w:val="00DC7510"/>
    <w:rsid w:val="00DD09CC"/>
    <w:rsid w:val="00DD132D"/>
    <w:rsid w:val="00DD190E"/>
    <w:rsid w:val="00DD2158"/>
    <w:rsid w:val="00DD216B"/>
    <w:rsid w:val="00DD2E2A"/>
    <w:rsid w:val="00DD31B7"/>
    <w:rsid w:val="00DD4ED2"/>
    <w:rsid w:val="00DD5AFB"/>
    <w:rsid w:val="00DE000D"/>
    <w:rsid w:val="00DE2868"/>
    <w:rsid w:val="00DE28F0"/>
    <w:rsid w:val="00DE3349"/>
    <w:rsid w:val="00DE44FB"/>
    <w:rsid w:val="00DE67F3"/>
    <w:rsid w:val="00DE70EC"/>
    <w:rsid w:val="00DE7EB1"/>
    <w:rsid w:val="00DE7FAA"/>
    <w:rsid w:val="00DF09FF"/>
    <w:rsid w:val="00DF2672"/>
    <w:rsid w:val="00DF2964"/>
    <w:rsid w:val="00DF5400"/>
    <w:rsid w:val="00DF5A87"/>
    <w:rsid w:val="00DF5DA9"/>
    <w:rsid w:val="00DF5DB0"/>
    <w:rsid w:val="00DF7288"/>
    <w:rsid w:val="00E01C73"/>
    <w:rsid w:val="00E01D59"/>
    <w:rsid w:val="00E03C24"/>
    <w:rsid w:val="00E04651"/>
    <w:rsid w:val="00E0493E"/>
    <w:rsid w:val="00E04C09"/>
    <w:rsid w:val="00E0605B"/>
    <w:rsid w:val="00E06B33"/>
    <w:rsid w:val="00E070DB"/>
    <w:rsid w:val="00E07230"/>
    <w:rsid w:val="00E0769F"/>
    <w:rsid w:val="00E10B9B"/>
    <w:rsid w:val="00E10DC7"/>
    <w:rsid w:val="00E11F9C"/>
    <w:rsid w:val="00E12BF8"/>
    <w:rsid w:val="00E12FAE"/>
    <w:rsid w:val="00E13C3D"/>
    <w:rsid w:val="00E13EC2"/>
    <w:rsid w:val="00E14297"/>
    <w:rsid w:val="00E14CD8"/>
    <w:rsid w:val="00E14DB0"/>
    <w:rsid w:val="00E16E7C"/>
    <w:rsid w:val="00E172CC"/>
    <w:rsid w:val="00E1754E"/>
    <w:rsid w:val="00E175B3"/>
    <w:rsid w:val="00E2087F"/>
    <w:rsid w:val="00E2088D"/>
    <w:rsid w:val="00E208B7"/>
    <w:rsid w:val="00E20FCA"/>
    <w:rsid w:val="00E22667"/>
    <w:rsid w:val="00E23331"/>
    <w:rsid w:val="00E242D1"/>
    <w:rsid w:val="00E24CBE"/>
    <w:rsid w:val="00E26209"/>
    <w:rsid w:val="00E267DC"/>
    <w:rsid w:val="00E277F7"/>
    <w:rsid w:val="00E3070A"/>
    <w:rsid w:val="00E31380"/>
    <w:rsid w:val="00E318DF"/>
    <w:rsid w:val="00E32B54"/>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2936"/>
    <w:rsid w:val="00E436D0"/>
    <w:rsid w:val="00E43ADE"/>
    <w:rsid w:val="00E43F98"/>
    <w:rsid w:val="00E450AB"/>
    <w:rsid w:val="00E45BBC"/>
    <w:rsid w:val="00E45C03"/>
    <w:rsid w:val="00E4687A"/>
    <w:rsid w:val="00E46A9B"/>
    <w:rsid w:val="00E475A8"/>
    <w:rsid w:val="00E47E3C"/>
    <w:rsid w:val="00E5000F"/>
    <w:rsid w:val="00E505E7"/>
    <w:rsid w:val="00E5303C"/>
    <w:rsid w:val="00E5369A"/>
    <w:rsid w:val="00E53702"/>
    <w:rsid w:val="00E53A94"/>
    <w:rsid w:val="00E54299"/>
    <w:rsid w:val="00E54E77"/>
    <w:rsid w:val="00E559AB"/>
    <w:rsid w:val="00E565C3"/>
    <w:rsid w:val="00E56CD7"/>
    <w:rsid w:val="00E57B23"/>
    <w:rsid w:val="00E57DE8"/>
    <w:rsid w:val="00E57E66"/>
    <w:rsid w:val="00E60224"/>
    <w:rsid w:val="00E60598"/>
    <w:rsid w:val="00E60B0A"/>
    <w:rsid w:val="00E61760"/>
    <w:rsid w:val="00E61C85"/>
    <w:rsid w:val="00E640AA"/>
    <w:rsid w:val="00E64D9E"/>
    <w:rsid w:val="00E65309"/>
    <w:rsid w:val="00E65B92"/>
    <w:rsid w:val="00E65D43"/>
    <w:rsid w:val="00E663C6"/>
    <w:rsid w:val="00E666FC"/>
    <w:rsid w:val="00E70540"/>
    <w:rsid w:val="00E70775"/>
    <w:rsid w:val="00E71E29"/>
    <w:rsid w:val="00E733B4"/>
    <w:rsid w:val="00E7415D"/>
    <w:rsid w:val="00E7426C"/>
    <w:rsid w:val="00E7433B"/>
    <w:rsid w:val="00E74781"/>
    <w:rsid w:val="00E74E62"/>
    <w:rsid w:val="00E7538D"/>
    <w:rsid w:val="00E75D98"/>
    <w:rsid w:val="00E77D02"/>
    <w:rsid w:val="00E81525"/>
    <w:rsid w:val="00E81AD3"/>
    <w:rsid w:val="00E8227D"/>
    <w:rsid w:val="00E82F0F"/>
    <w:rsid w:val="00E834A0"/>
    <w:rsid w:val="00E8361D"/>
    <w:rsid w:val="00E84783"/>
    <w:rsid w:val="00E84895"/>
    <w:rsid w:val="00E85C72"/>
    <w:rsid w:val="00E8668D"/>
    <w:rsid w:val="00E86763"/>
    <w:rsid w:val="00E86C26"/>
    <w:rsid w:val="00E86EE7"/>
    <w:rsid w:val="00E871D3"/>
    <w:rsid w:val="00E87FC4"/>
    <w:rsid w:val="00E908B1"/>
    <w:rsid w:val="00E909E7"/>
    <w:rsid w:val="00E91817"/>
    <w:rsid w:val="00E92054"/>
    <w:rsid w:val="00E92623"/>
    <w:rsid w:val="00E92C9E"/>
    <w:rsid w:val="00E92CE0"/>
    <w:rsid w:val="00E92E43"/>
    <w:rsid w:val="00E93D35"/>
    <w:rsid w:val="00E94DD9"/>
    <w:rsid w:val="00E953B7"/>
    <w:rsid w:val="00E9567C"/>
    <w:rsid w:val="00E95912"/>
    <w:rsid w:val="00E95CD5"/>
    <w:rsid w:val="00E968A9"/>
    <w:rsid w:val="00E9740B"/>
    <w:rsid w:val="00E974FC"/>
    <w:rsid w:val="00EA043B"/>
    <w:rsid w:val="00EA146C"/>
    <w:rsid w:val="00EA1545"/>
    <w:rsid w:val="00EA25D8"/>
    <w:rsid w:val="00EA2B3F"/>
    <w:rsid w:val="00EA2DA7"/>
    <w:rsid w:val="00EA37AB"/>
    <w:rsid w:val="00EA382C"/>
    <w:rsid w:val="00EA3D9A"/>
    <w:rsid w:val="00EA3DEC"/>
    <w:rsid w:val="00EA4A6E"/>
    <w:rsid w:val="00EA775F"/>
    <w:rsid w:val="00EA7838"/>
    <w:rsid w:val="00EB0355"/>
    <w:rsid w:val="00EB1143"/>
    <w:rsid w:val="00EB16EA"/>
    <w:rsid w:val="00EB1E2E"/>
    <w:rsid w:val="00EB2C8D"/>
    <w:rsid w:val="00EB5C4A"/>
    <w:rsid w:val="00EB62AC"/>
    <w:rsid w:val="00EB7205"/>
    <w:rsid w:val="00EC1D2D"/>
    <w:rsid w:val="00EC1DF3"/>
    <w:rsid w:val="00EC2162"/>
    <w:rsid w:val="00EC249B"/>
    <w:rsid w:val="00EC265C"/>
    <w:rsid w:val="00EC2FF1"/>
    <w:rsid w:val="00EC380E"/>
    <w:rsid w:val="00EC463E"/>
    <w:rsid w:val="00EC47C9"/>
    <w:rsid w:val="00EC494B"/>
    <w:rsid w:val="00EC5205"/>
    <w:rsid w:val="00EC5A0B"/>
    <w:rsid w:val="00EC5B0F"/>
    <w:rsid w:val="00EC6560"/>
    <w:rsid w:val="00ED06FC"/>
    <w:rsid w:val="00ED1A7E"/>
    <w:rsid w:val="00ED3714"/>
    <w:rsid w:val="00ED41EA"/>
    <w:rsid w:val="00ED4899"/>
    <w:rsid w:val="00ED4996"/>
    <w:rsid w:val="00ED537A"/>
    <w:rsid w:val="00ED5CF2"/>
    <w:rsid w:val="00ED5D87"/>
    <w:rsid w:val="00ED7061"/>
    <w:rsid w:val="00ED79A9"/>
    <w:rsid w:val="00ED7C56"/>
    <w:rsid w:val="00ED7E95"/>
    <w:rsid w:val="00EE3032"/>
    <w:rsid w:val="00EE33E3"/>
    <w:rsid w:val="00EE398C"/>
    <w:rsid w:val="00EE4F75"/>
    <w:rsid w:val="00EE55D1"/>
    <w:rsid w:val="00EE5A04"/>
    <w:rsid w:val="00EE69C2"/>
    <w:rsid w:val="00EE69CB"/>
    <w:rsid w:val="00EE6DB7"/>
    <w:rsid w:val="00EE7169"/>
    <w:rsid w:val="00EE74C9"/>
    <w:rsid w:val="00EF0332"/>
    <w:rsid w:val="00EF04D8"/>
    <w:rsid w:val="00EF17B3"/>
    <w:rsid w:val="00EF4283"/>
    <w:rsid w:val="00EF4EC0"/>
    <w:rsid w:val="00EF53E3"/>
    <w:rsid w:val="00EF5F21"/>
    <w:rsid w:val="00EF63D1"/>
    <w:rsid w:val="00EF6F9F"/>
    <w:rsid w:val="00EF7C8C"/>
    <w:rsid w:val="00F00B90"/>
    <w:rsid w:val="00F02A8A"/>
    <w:rsid w:val="00F02D6C"/>
    <w:rsid w:val="00F03095"/>
    <w:rsid w:val="00F03A30"/>
    <w:rsid w:val="00F03BFC"/>
    <w:rsid w:val="00F03CD1"/>
    <w:rsid w:val="00F07307"/>
    <w:rsid w:val="00F07A0D"/>
    <w:rsid w:val="00F07B9A"/>
    <w:rsid w:val="00F07D00"/>
    <w:rsid w:val="00F1096D"/>
    <w:rsid w:val="00F10D1B"/>
    <w:rsid w:val="00F116FC"/>
    <w:rsid w:val="00F11A56"/>
    <w:rsid w:val="00F122C8"/>
    <w:rsid w:val="00F1315A"/>
    <w:rsid w:val="00F14382"/>
    <w:rsid w:val="00F15585"/>
    <w:rsid w:val="00F15D61"/>
    <w:rsid w:val="00F168A7"/>
    <w:rsid w:val="00F17393"/>
    <w:rsid w:val="00F17D86"/>
    <w:rsid w:val="00F2035B"/>
    <w:rsid w:val="00F203B4"/>
    <w:rsid w:val="00F2095F"/>
    <w:rsid w:val="00F216E2"/>
    <w:rsid w:val="00F21B32"/>
    <w:rsid w:val="00F2383F"/>
    <w:rsid w:val="00F2388A"/>
    <w:rsid w:val="00F23AFB"/>
    <w:rsid w:val="00F23C42"/>
    <w:rsid w:val="00F2465B"/>
    <w:rsid w:val="00F248FA"/>
    <w:rsid w:val="00F24A73"/>
    <w:rsid w:val="00F26621"/>
    <w:rsid w:val="00F268A1"/>
    <w:rsid w:val="00F27E06"/>
    <w:rsid w:val="00F3062C"/>
    <w:rsid w:val="00F31216"/>
    <w:rsid w:val="00F32A67"/>
    <w:rsid w:val="00F33618"/>
    <w:rsid w:val="00F33A1F"/>
    <w:rsid w:val="00F33D90"/>
    <w:rsid w:val="00F344FC"/>
    <w:rsid w:val="00F34960"/>
    <w:rsid w:val="00F35855"/>
    <w:rsid w:val="00F35BF2"/>
    <w:rsid w:val="00F363E7"/>
    <w:rsid w:val="00F415A6"/>
    <w:rsid w:val="00F41FF2"/>
    <w:rsid w:val="00F426F1"/>
    <w:rsid w:val="00F43700"/>
    <w:rsid w:val="00F43822"/>
    <w:rsid w:val="00F4393D"/>
    <w:rsid w:val="00F43C67"/>
    <w:rsid w:val="00F44216"/>
    <w:rsid w:val="00F44246"/>
    <w:rsid w:val="00F4453E"/>
    <w:rsid w:val="00F45FE8"/>
    <w:rsid w:val="00F472A7"/>
    <w:rsid w:val="00F50E80"/>
    <w:rsid w:val="00F5151E"/>
    <w:rsid w:val="00F51B49"/>
    <w:rsid w:val="00F52F08"/>
    <w:rsid w:val="00F53A02"/>
    <w:rsid w:val="00F545DB"/>
    <w:rsid w:val="00F54A6A"/>
    <w:rsid w:val="00F55F4C"/>
    <w:rsid w:val="00F56BCE"/>
    <w:rsid w:val="00F56EF1"/>
    <w:rsid w:val="00F608BA"/>
    <w:rsid w:val="00F60AEF"/>
    <w:rsid w:val="00F62F9B"/>
    <w:rsid w:val="00F635EB"/>
    <w:rsid w:val="00F64834"/>
    <w:rsid w:val="00F64ED2"/>
    <w:rsid w:val="00F65E1D"/>
    <w:rsid w:val="00F66EEA"/>
    <w:rsid w:val="00F70124"/>
    <w:rsid w:val="00F70FEB"/>
    <w:rsid w:val="00F71D33"/>
    <w:rsid w:val="00F72183"/>
    <w:rsid w:val="00F727BC"/>
    <w:rsid w:val="00F72A86"/>
    <w:rsid w:val="00F73396"/>
    <w:rsid w:val="00F73628"/>
    <w:rsid w:val="00F80177"/>
    <w:rsid w:val="00F8080A"/>
    <w:rsid w:val="00F8106F"/>
    <w:rsid w:val="00F822ED"/>
    <w:rsid w:val="00F823D0"/>
    <w:rsid w:val="00F82548"/>
    <w:rsid w:val="00F82605"/>
    <w:rsid w:val="00F82B07"/>
    <w:rsid w:val="00F83749"/>
    <w:rsid w:val="00F83795"/>
    <w:rsid w:val="00F8522E"/>
    <w:rsid w:val="00F85311"/>
    <w:rsid w:val="00F86028"/>
    <w:rsid w:val="00F860B2"/>
    <w:rsid w:val="00F861AE"/>
    <w:rsid w:val="00F861F5"/>
    <w:rsid w:val="00F865E2"/>
    <w:rsid w:val="00F86B61"/>
    <w:rsid w:val="00F90955"/>
    <w:rsid w:val="00F912DC"/>
    <w:rsid w:val="00F91359"/>
    <w:rsid w:val="00F918D9"/>
    <w:rsid w:val="00F91CD4"/>
    <w:rsid w:val="00F91F44"/>
    <w:rsid w:val="00F92AB5"/>
    <w:rsid w:val="00F9373E"/>
    <w:rsid w:val="00F93ACF"/>
    <w:rsid w:val="00F94D82"/>
    <w:rsid w:val="00F96255"/>
    <w:rsid w:val="00F96369"/>
    <w:rsid w:val="00F9763A"/>
    <w:rsid w:val="00FA0E89"/>
    <w:rsid w:val="00FA1869"/>
    <w:rsid w:val="00FA1E9A"/>
    <w:rsid w:val="00FA1F58"/>
    <w:rsid w:val="00FA2181"/>
    <w:rsid w:val="00FA4DCE"/>
    <w:rsid w:val="00FA6359"/>
    <w:rsid w:val="00FA73F0"/>
    <w:rsid w:val="00FA7406"/>
    <w:rsid w:val="00FB0C13"/>
    <w:rsid w:val="00FB22F2"/>
    <w:rsid w:val="00FB25D5"/>
    <w:rsid w:val="00FB3043"/>
    <w:rsid w:val="00FB37A0"/>
    <w:rsid w:val="00FB3FC6"/>
    <w:rsid w:val="00FB4B85"/>
    <w:rsid w:val="00FB4BDB"/>
    <w:rsid w:val="00FB4DA0"/>
    <w:rsid w:val="00FB6172"/>
    <w:rsid w:val="00FB6D07"/>
    <w:rsid w:val="00FB6DC8"/>
    <w:rsid w:val="00FB77BE"/>
    <w:rsid w:val="00FC1B54"/>
    <w:rsid w:val="00FC1CB5"/>
    <w:rsid w:val="00FC26B3"/>
    <w:rsid w:val="00FC35D4"/>
    <w:rsid w:val="00FC3FC7"/>
    <w:rsid w:val="00FC4883"/>
    <w:rsid w:val="00FC502D"/>
    <w:rsid w:val="00FC62F1"/>
    <w:rsid w:val="00FC631F"/>
    <w:rsid w:val="00FC6B98"/>
    <w:rsid w:val="00FC73AB"/>
    <w:rsid w:val="00FC7CE7"/>
    <w:rsid w:val="00FC7F9A"/>
    <w:rsid w:val="00FD00FB"/>
    <w:rsid w:val="00FD0319"/>
    <w:rsid w:val="00FD143A"/>
    <w:rsid w:val="00FD1C20"/>
    <w:rsid w:val="00FD1CAC"/>
    <w:rsid w:val="00FD292A"/>
    <w:rsid w:val="00FD2C6B"/>
    <w:rsid w:val="00FD30AA"/>
    <w:rsid w:val="00FD30F1"/>
    <w:rsid w:val="00FD35DE"/>
    <w:rsid w:val="00FD438D"/>
    <w:rsid w:val="00FD51DD"/>
    <w:rsid w:val="00FD52EA"/>
    <w:rsid w:val="00FD5323"/>
    <w:rsid w:val="00FD7473"/>
    <w:rsid w:val="00FD7687"/>
    <w:rsid w:val="00FD7C57"/>
    <w:rsid w:val="00FE13DC"/>
    <w:rsid w:val="00FE2EF8"/>
    <w:rsid w:val="00FE5457"/>
    <w:rsid w:val="00FE59A7"/>
    <w:rsid w:val="00FE5A2F"/>
    <w:rsid w:val="00FE7A34"/>
    <w:rsid w:val="00FF0E5F"/>
    <w:rsid w:val="00FF196D"/>
    <w:rsid w:val="00FF1C20"/>
    <w:rsid w:val="00FF1CD5"/>
    <w:rsid w:val="00FF4BE1"/>
    <w:rsid w:val="00FF5116"/>
    <w:rsid w:val="00FF6A0B"/>
    <w:rsid w:val="00FF7C08"/>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B0289-CB28-4D14-AEA0-22154F7D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D8D"/>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810FD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810FD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662D8D"/>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662D8D"/>
    <w:rPr>
      <w:rFonts w:ascii="Times New Roman" w:eastAsia="Times New Roman" w:hAnsi="Times New Roman" w:cs="Times New Roman"/>
      <w:sz w:val="24"/>
      <w:szCs w:val="20"/>
      <w:lang w:val="en-CA" w:eastAsia="en-CA"/>
    </w:rPr>
  </w:style>
  <w:style w:type="paragraph" w:styleId="Quote">
    <w:name w:val="Quote"/>
    <w:basedOn w:val="Normal"/>
    <w:next w:val="Normal"/>
    <w:link w:val="QuoteChar"/>
    <w:uiPriority w:val="29"/>
    <w:qFormat/>
    <w:rsid w:val="00662D8D"/>
    <w:rPr>
      <w:i/>
      <w:iCs/>
      <w:color w:val="000000" w:themeColor="text1"/>
    </w:rPr>
  </w:style>
  <w:style w:type="character" w:customStyle="1" w:styleId="QuoteChar">
    <w:name w:val="Quote Char"/>
    <w:basedOn w:val="DefaultParagraphFont"/>
    <w:link w:val="Quote"/>
    <w:uiPriority w:val="29"/>
    <w:rsid w:val="00662D8D"/>
    <w:rPr>
      <w:rFonts w:ascii="Times New Roman" w:eastAsia="Times New Roman" w:hAnsi="Times New Roman" w:cs="Times New Roman"/>
      <w:i/>
      <w:iCs/>
      <w:color w:val="000000" w:themeColor="text1"/>
      <w:sz w:val="24"/>
      <w:szCs w:val="20"/>
      <w:lang w:val="en-CA" w:eastAsia="en-CA"/>
    </w:rPr>
  </w:style>
  <w:style w:type="paragraph" w:styleId="Header">
    <w:name w:val="header"/>
    <w:basedOn w:val="Normal"/>
    <w:link w:val="HeaderChar"/>
    <w:uiPriority w:val="99"/>
    <w:unhideWhenUsed/>
    <w:rsid w:val="00662D8D"/>
    <w:pPr>
      <w:tabs>
        <w:tab w:val="center" w:pos="4680"/>
        <w:tab w:val="right" w:pos="9360"/>
      </w:tabs>
    </w:pPr>
  </w:style>
  <w:style w:type="character" w:customStyle="1" w:styleId="HeaderChar">
    <w:name w:val="Header Char"/>
    <w:basedOn w:val="DefaultParagraphFont"/>
    <w:link w:val="Header"/>
    <w:uiPriority w:val="99"/>
    <w:rsid w:val="00662D8D"/>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662D8D"/>
    <w:pPr>
      <w:tabs>
        <w:tab w:val="right" w:pos="8222"/>
      </w:tabs>
      <w:jc w:val="both"/>
    </w:pPr>
    <w:rPr>
      <w:b/>
    </w:rPr>
  </w:style>
  <w:style w:type="character" w:customStyle="1" w:styleId="SCCLsocPartyChar">
    <w:name w:val="SCC.Lsoc.Party Char"/>
    <w:basedOn w:val="DefaultParagraphFont"/>
    <w:link w:val="SCCLsocParty"/>
    <w:rsid w:val="00662D8D"/>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662D8D"/>
    <w:pPr>
      <w:spacing w:after="720"/>
    </w:pPr>
    <w:rPr>
      <w:i/>
    </w:rPr>
  </w:style>
  <w:style w:type="character" w:customStyle="1" w:styleId="SCCLsocVersusChar">
    <w:name w:val="SCC.Lsoc.Versus Char"/>
    <w:basedOn w:val="DefaultParagraphFont"/>
    <w:link w:val="SCCLsocVersus"/>
    <w:rsid w:val="00662D8D"/>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662D8D"/>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662D8D"/>
    <w:pPr>
      <w:spacing w:after="720"/>
    </w:pPr>
  </w:style>
  <w:style w:type="character" w:customStyle="1" w:styleId="SCCLsocOtherPartySeparatorChar">
    <w:name w:val="SCC.Lsoc.OtherPartySeparator Char"/>
    <w:basedOn w:val="DefaultParagraphFont"/>
    <w:link w:val="SCCLsocOtherPartySeparator"/>
    <w:rsid w:val="00662D8D"/>
    <w:rPr>
      <w:rFonts w:ascii="Times New Roman" w:eastAsia="Times New Roman" w:hAnsi="Times New Roman" w:cs="Times New Roman"/>
      <w:sz w:val="24"/>
      <w:szCs w:val="20"/>
      <w:lang w:val="en-CA" w:eastAsia="en-CA"/>
    </w:rPr>
  </w:style>
  <w:style w:type="paragraph" w:customStyle="1" w:styleId="SCCAppellantForRunningHead">
    <w:name w:val="SCC.AppellantForRunningHead"/>
    <w:basedOn w:val="Normal"/>
    <w:next w:val="Normal"/>
    <w:link w:val="SCCAppellantForRunningHeadChar"/>
    <w:rsid w:val="00662D8D"/>
    <w:rPr>
      <w:smallCaps/>
    </w:rPr>
  </w:style>
  <w:style w:type="character" w:customStyle="1" w:styleId="SCCAppellantForRunningHeadChar">
    <w:name w:val="SCC.AppellantForRunningHead Char"/>
    <w:basedOn w:val="DefaultParagraphFont"/>
    <w:link w:val="SCCAppellantForRunningHead"/>
    <w:rsid w:val="00662D8D"/>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662D8D"/>
    <w:rPr>
      <w:smallCaps/>
    </w:rPr>
  </w:style>
  <w:style w:type="character" w:customStyle="1" w:styleId="SCCRespondentForRunningHeadChar">
    <w:name w:val="SCC.RespondentForRunningHead Char"/>
    <w:basedOn w:val="DefaultParagraphFont"/>
    <w:link w:val="SCCRespondentForRunningHead"/>
    <w:rsid w:val="00662D8D"/>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662D8D"/>
    <w:rPr>
      <w:b/>
    </w:rPr>
  </w:style>
  <w:style w:type="character" w:customStyle="1" w:styleId="SCCAppellantForIndexChar">
    <w:name w:val="SCC.AppellantForIndex Char"/>
    <w:basedOn w:val="DefaultParagraphFont"/>
    <w:link w:val="SCCAppellantForIndex"/>
    <w:rsid w:val="00662D8D"/>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662D8D"/>
    <w:rPr>
      <w:b/>
    </w:rPr>
  </w:style>
  <w:style w:type="character" w:customStyle="1" w:styleId="SCCRespondentForIndexChar">
    <w:name w:val="SCC.RespondentForIndex Char"/>
    <w:basedOn w:val="DefaultParagraphFont"/>
    <w:link w:val="SCCRespondentForIndex"/>
    <w:rsid w:val="00662D8D"/>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662D8D"/>
    <w:rPr>
      <w:b/>
    </w:rPr>
  </w:style>
  <w:style w:type="character" w:customStyle="1" w:styleId="SCCSystemYearChar">
    <w:name w:val="SCC.SystemYear Char"/>
    <w:basedOn w:val="DefaultParagraphFont"/>
    <w:link w:val="SCCSystemYear"/>
    <w:rsid w:val="00662D8D"/>
    <w:rPr>
      <w:rFonts w:ascii="Times New Roman" w:eastAsia="Times New Roman" w:hAnsi="Times New Roman" w:cs="Times New Roman"/>
      <w:b/>
      <w:sz w:val="24"/>
      <w:szCs w:val="20"/>
      <w:lang w:val="en-CA" w:eastAsia="en-CA"/>
    </w:rPr>
  </w:style>
  <w:style w:type="paragraph" w:customStyle="1" w:styleId="SCCCounselName">
    <w:name w:val="SCC.CounselName"/>
    <w:basedOn w:val="SCCNormalDoubleSpacing"/>
    <w:next w:val="SCCNormalDoubleSpacing"/>
    <w:link w:val="SCCCounselNameChar"/>
    <w:rsid w:val="00662D8D"/>
    <w:rPr>
      <w:i/>
    </w:rPr>
  </w:style>
  <w:style w:type="character" w:customStyle="1" w:styleId="SCCCounselNameChar">
    <w:name w:val="SCC.CounselName Char"/>
    <w:basedOn w:val="SCCNormalDoubleSpacingChar"/>
    <w:link w:val="SCCCounselName"/>
    <w:rsid w:val="00662D8D"/>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662D8D"/>
  </w:style>
  <w:style w:type="character" w:customStyle="1" w:styleId="SCCCounselSeparatorChar">
    <w:name w:val="SCC.CounselSeparator Char"/>
    <w:basedOn w:val="SCCNormalDoubleSpacingChar"/>
    <w:link w:val="SCCCounselSeparator"/>
    <w:rsid w:val="00662D8D"/>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662D8D"/>
    <w:rPr>
      <w:i/>
    </w:rPr>
  </w:style>
  <w:style w:type="character" w:customStyle="1" w:styleId="SCCLawFirmChar">
    <w:name w:val="SCC.LawFirm Char"/>
    <w:basedOn w:val="SCCNormalDoubleSpacingChar"/>
    <w:link w:val="SCCLawFirm"/>
    <w:rsid w:val="00662D8D"/>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662D8D"/>
  </w:style>
  <w:style w:type="character" w:customStyle="1" w:styleId="SCCCounselPartyRoleChar">
    <w:name w:val="SCC.CounselPartyRole Char"/>
    <w:basedOn w:val="SCCNormalDoubleSpacingChar"/>
    <w:link w:val="SCCCounselPartyRole"/>
    <w:rsid w:val="00662D8D"/>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662D8D"/>
    <w:pPr>
      <w:tabs>
        <w:tab w:val="right" w:pos="8222"/>
      </w:tabs>
      <w:spacing w:after="720"/>
    </w:pPr>
    <w:rPr>
      <w:b/>
    </w:rPr>
  </w:style>
  <w:style w:type="character" w:customStyle="1" w:styleId="SCCLsocLastPartyInRoleChar">
    <w:name w:val="SCC.Lsoc.LastPartyInRole Char"/>
    <w:basedOn w:val="SCCLsocPartyChar"/>
    <w:link w:val="SCCLsocLastPartyInRole"/>
    <w:rsid w:val="00662D8D"/>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810FD5"/>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810FD5"/>
    <w:rPr>
      <w:rFonts w:asciiTheme="majorHAnsi" w:eastAsiaTheme="majorEastAsia" w:hAnsiTheme="majorHAnsi" w:cstheme="majorBidi"/>
      <w:b/>
      <w:bCs/>
      <w:color w:val="5B9BD5" w:themeColor="accent1"/>
      <w:sz w:val="26"/>
      <w:szCs w:val="26"/>
      <w:lang w:val="en-CA" w:eastAsia="en-CA"/>
    </w:rPr>
  </w:style>
  <w:style w:type="paragraph" w:styleId="Footer">
    <w:name w:val="footer"/>
    <w:basedOn w:val="Normal"/>
    <w:link w:val="FooterChar"/>
    <w:uiPriority w:val="99"/>
    <w:unhideWhenUsed/>
    <w:rsid w:val="00810FD5"/>
    <w:pPr>
      <w:tabs>
        <w:tab w:val="center" w:pos="4680"/>
        <w:tab w:val="right" w:pos="9360"/>
      </w:tabs>
    </w:pPr>
    <w:rPr>
      <w:szCs w:val="24"/>
    </w:rPr>
  </w:style>
  <w:style w:type="character" w:customStyle="1" w:styleId="FooterChar">
    <w:name w:val="Footer Char"/>
    <w:basedOn w:val="DefaultParagraphFont"/>
    <w:link w:val="Footer"/>
    <w:uiPriority w:val="99"/>
    <w:rsid w:val="00810FD5"/>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810FD5"/>
    <w:pPr>
      <w:spacing w:after="480"/>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810FD5"/>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810FD5"/>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810FD5"/>
    <w:rPr>
      <w:rFonts w:ascii="Times New Roman" w:hAnsi="Times New Roman"/>
      <w:sz w:val="24"/>
      <w:lang w:val="en-CA"/>
    </w:rPr>
  </w:style>
  <w:style w:type="paragraph" w:customStyle="1" w:styleId="SCCBanSummary">
    <w:name w:val="SCC.BanSummary"/>
    <w:basedOn w:val="Normal"/>
    <w:next w:val="Normal"/>
    <w:link w:val="SCCBanSummaryChar"/>
    <w:rsid w:val="00810FD5"/>
    <w:pPr>
      <w:jc w:val="right"/>
    </w:pPr>
    <w:rPr>
      <w:rFonts w:eastAsiaTheme="minorEastAsia"/>
      <w:b/>
      <w:szCs w:val="24"/>
    </w:rPr>
  </w:style>
  <w:style w:type="character" w:customStyle="1" w:styleId="SCCBanSummaryChar">
    <w:name w:val="SCC.BanSummary Char"/>
    <w:basedOn w:val="DefaultParagraphFont"/>
    <w:link w:val="SCCBanSummary"/>
    <w:rsid w:val="00810FD5"/>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810FD5"/>
    <w:rPr>
      <w:color w:val="808080"/>
    </w:rPr>
  </w:style>
  <w:style w:type="paragraph" w:styleId="BalloonText">
    <w:name w:val="Balloon Text"/>
    <w:basedOn w:val="Normal"/>
    <w:link w:val="BalloonTextChar"/>
    <w:uiPriority w:val="99"/>
    <w:semiHidden/>
    <w:unhideWhenUsed/>
    <w:rsid w:val="00810FD5"/>
    <w:rPr>
      <w:rFonts w:ascii="Tahoma" w:hAnsi="Tahoma" w:cs="Tahoma"/>
      <w:sz w:val="16"/>
      <w:szCs w:val="16"/>
    </w:rPr>
  </w:style>
  <w:style w:type="character" w:customStyle="1" w:styleId="BalloonTextChar">
    <w:name w:val="Balloon Text Char"/>
    <w:basedOn w:val="DefaultParagraphFont"/>
    <w:link w:val="BalloonText"/>
    <w:uiPriority w:val="99"/>
    <w:semiHidden/>
    <w:rsid w:val="00810FD5"/>
    <w:rPr>
      <w:rFonts w:ascii="Tahoma" w:eastAsia="Times New Roman" w:hAnsi="Tahoma" w:cs="Tahoma"/>
      <w:sz w:val="16"/>
      <w:szCs w:val="16"/>
      <w:lang w:val="en-CA" w:eastAsia="en-CA"/>
    </w:rPr>
  </w:style>
  <w:style w:type="table" w:styleId="TableGrid">
    <w:name w:val="Table Grid"/>
    <w:basedOn w:val="TableNormal"/>
    <w:uiPriority w:val="59"/>
    <w:rsid w:val="00810FD5"/>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link w:val="Citation-AltCChar"/>
    <w:uiPriority w:val="2"/>
    <w:qFormat/>
    <w:rsid w:val="00810FD5"/>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810FD5"/>
    <w:pPr>
      <w:spacing w:before="480" w:after="480" w:line="480" w:lineRule="auto"/>
      <w:jc w:val="both"/>
    </w:pPr>
    <w:rPr>
      <w:rFonts w:ascii="Times New Roman" w:hAnsi="Times New Roman"/>
      <w:sz w:val="24"/>
      <w:lang w:val="en-CA"/>
    </w:rPr>
  </w:style>
  <w:style w:type="paragraph" w:customStyle="1" w:styleId="JudgeJuge">
    <w:name w:val="Judge / Juge"/>
    <w:uiPriority w:val="3"/>
    <w:rsid w:val="00810FD5"/>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link w:val="ParaNoNdepar-AltNChar"/>
    <w:qFormat/>
    <w:rsid w:val="00810FD5"/>
    <w:pPr>
      <w:numPr>
        <w:numId w:val="1"/>
      </w:numPr>
      <w:tabs>
        <w:tab w:val="left" w:pos="1166"/>
      </w:tabs>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810FD5"/>
    <w:pPr>
      <w:numPr>
        <w:numId w:val="2"/>
      </w:numPr>
      <w:spacing w:before="480" w:after="720" w:line="240" w:lineRule="auto"/>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810FD5"/>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810FD5"/>
    <w:pPr>
      <w:numPr>
        <w:ilvl w:val="2"/>
      </w:numPr>
    </w:pPr>
  </w:style>
  <w:style w:type="paragraph" w:customStyle="1" w:styleId="Title4LevelTitre4Niveau">
    <w:name w:val="Title 4 Level / Titre 4 Niveau"/>
    <w:basedOn w:val="Title3LevelTitre3Niveau"/>
    <w:next w:val="ParaNoNdepar-AltN"/>
    <w:uiPriority w:val="4"/>
    <w:qFormat/>
    <w:rsid w:val="00810FD5"/>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810FD5"/>
    <w:pPr>
      <w:numPr>
        <w:ilvl w:val="4"/>
      </w:numPr>
    </w:pPr>
  </w:style>
  <w:style w:type="paragraph" w:styleId="TOC1">
    <w:name w:val="toc 1"/>
    <w:basedOn w:val="Normal"/>
    <w:next w:val="Normal"/>
    <w:autoRedefine/>
    <w:uiPriority w:val="39"/>
    <w:unhideWhenUsed/>
    <w:rsid w:val="00810FD5"/>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810FD5"/>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810FD5"/>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810FD5"/>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810FD5"/>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810FD5"/>
    <w:pPr>
      <w:tabs>
        <w:tab w:val="left" w:pos="2160"/>
        <w:tab w:val="right" w:leader="dot" w:pos="8270"/>
      </w:tabs>
      <w:spacing w:after="100"/>
      <w:ind w:left="1800"/>
    </w:pPr>
    <w:rPr>
      <w:noProof/>
    </w:rPr>
  </w:style>
  <w:style w:type="table" w:customStyle="1" w:styleId="TableGrid1">
    <w:name w:val="Table Grid1"/>
    <w:basedOn w:val="TableNormal"/>
    <w:uiPriority w:val="59"/>
    <w:rsid w:val="00810FD5"/>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810FD5"/>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810FD5"/>
    <w:pPr>
      <w:numPr>
        <w:ilvl w:val="5"/>
      </w:numPr>
    </w:pPr>
    <w:rPr>
      <w:i/>
      <w:u w:val="none"/>
    </w:rPr>
  </w:style>
  <w:style w:type="character" w:customStyle="1" w:styleId="canliisectionwithsubsection1">
    <w:name w:val="canlii_section_with_subsection1"/>
    <w:basedOn w:val="DefaultParagraphFont"/>
    <w:rsid w:val="00810FD5"/>
    <w:rPr>
      <w:strike w:val="0"/>
      <w:dstrike w:val="0"/>
      <w:color w:val="027ABB"/>
      <w:u w:val="none"/>
      <w:effect w:val="none"/>
      <w:shd w:val="clear" w:color="auto" w:fill="F3F3F3"/>
    </w:rPr>
  </w:style>
  <w:style w:type="character" w:customStyle="1" w:styleId="sectionlabel1">
    <w:name w:val="sectionlabel1"/>
    <w:basedOn w:val="DefaultParagraphFont"/>
    <w:rsid w:val="00810FD5"/>
    <w:rPr>
      <w:b/>
      <w:bCs/>
    </w:rPr>
  </w:style>
  <w:style w:type="paragraph" w:customStyle="1" w:styleId="SCCSsoc">
    <w:name w:val="SCC.Ssoc"/>
    <w:basedOn w:val="Normal"/>
    <w:next w:val="Normal"/>
    <w:link w:val="SCCSsocChar"/>
    <w:rsid w:val="00810FD5"/>
    <w:rPr>
      <w:i/>
    </w:rPr>
  </w:style>
  <w:style w:type="character" w:customStyle="1" w:styleId="SCCSsocChar">
    <w:name w:val="SCC.Ssoc Char"/>
    <w:basedOn w:val="DefaultParagraphFont"/>
    <w:link w:val="SCCSsoc"/>
    <w:rsid w:val="00810FD5"/>
    <w:rPr>
      <w:rFonts w:ascii="Times New Roman" w:eastAsia="Times New Roman" w:hAnsi="Times New Roman" w:cs="Times New Roman"/>
      <w:i/>
      <w:sz w:val="24"/>
      <w:szCs w:val="20"/>
      <w:lang w:val="en-CA" w:eastAsia="en-CA"/>
    </w:rPr>
  </w:style>
  <w:style w:type="character" w:customStyle="1" w:styleId="ParaNoNdepar-AltNChar">
    <w:name w:val="Para. No. / Nº de par. - Alt N Char"/>
    <w:basedOn w:val="DefaultParagraphFont"/>
    <w:link w:val="ParaNoNdepar-AltN"/>
    <w:rsid w:val="00810FD5"/>
    <w:rPr>
      <w:rFonts w:ascii="Times New Roman" w:eastAsiaTheme="minorEastAsia" w:hAnsi="Times New Roman"/>
      <w:sz w:val="24"/>
      <w:lang w:val="en-CA"/>
    </w:rPr>
  </w:style>
  <w:style w:type="paragraph" w:styleId="FootnoteText">
    <w:name w:val="footnote text"/>
    <w:basedOn w:val="Normal"/>
    <w:link w:val="FootnoteTextChar"/>
    <w:uiPriority w:val="99"/>
    <w:unhideWhenUsed/>
    <w:rsid w:val="00810FD5"/>
    <w:rPr>
      <w:sz w:val="20"/>
    </w:rPr>
  </w:style>
  <w:style w:type="character" w:customStyle="1" w:styleId="FootnoteTextChar">
    <w:name w:val="Footnote Text Char"/>
    <w:basedOn w:val="DefaultParagraphFont"/>
    <w:link w:val="FootnoteText"/>
    <w:uiPriority w:val="99"/>
    <w:rsid w:val="00810FD5"/>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810FD5"/>
    <w:rPr>
      <w:vertAlign w:val="superscript"/>
    </w:rPr>
  </w:style>
  <w:style w:type="paragraph" w:styleId="ListParagraph">
    <w:name w:val="List Paragraph"/>
    <w:basedOn w:val="Normal"/>
    <w:uiPriority w:val="34"/>
    <w:qFormat/>
    <w:rsid w:val="00810FD5"/>
    <w:pPr>
      <w:ind w:left="720"/>
      <w:contextualSpacing/>
    </w:pPr>
    <w:rPr>
      <w:szCs w:val="24"/>
    </w:rPr>
  </w:style>
  <w:style w:type="paragraph" w:customStyle="1" w:styleId="Default">
    <w:name w:val="Default"/>
    <w:rsid w:val="00810FD5"/>
    <w:pPr>
      <w:autoSpaceDE w:val="0"/>
      <w:autoSpaceDN w:val="0"/>
      <w:adjustRightInd w:val="0"/>
      <w:spacing w:after="0" w:line="240" w:lineRule="auto"/>
    </w:pPr>
    <w:rPr>
      <w:rFonts w:ascii="Times New Roman" w:hAnsi="Times New Roman" w:cs="Times New Roman"/>
      <w:color w:val="000000"/>
      <w:sz w:val="24"/>
      <w:szCs w:val="24"/>
      <w:lang w:val="en-CA"/>
    </w:rPr>
  </w:style>
  <w:style w:type="character" w:customStyle="1" w:styleId="Citation-AltCChar">
    <w:name w:val="Citation - Alt C Char"/>
    <w:basedOn w:val="DefaultParagraphFont"/>
    <w:link w:val="Citation-AltC"/>
    <w:uiPriority w:val="2"/>
    <w:rsid w:val="00810FD5"/>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810FD5"/>
    <w:rPr>
      <w:color w:val="0563C1" w:themeColor="hyperlink"/>
      <w:u w:val="single"/>
    </w:rPr>
  </w:style>
  <w:style w:type="character" w:customStyle="1" w:styleId="term-1">
    <w:name w:val="term-1"/>
    <w:basedOn w:val="DefaultParagraphFont"/>
    <w:rsid w:val="00810FD5"/>
  </w:style>
  <w:style w:type="character" w:styleId="SubtleEmphasis">
    <w:name w:val="Subtle Emphasis"/>
    <w:uiPriority w:val="19"/>
    <w:qFormat/>
    <w:rsid w:val="00810FD5"/>
    <w:rPr>
      <w:i/>
      <w:iCs/>
    </w:rPr>
  </w:style>
  <w:style w:type="character" w:customStyle="1" w:styleId="italic1">
    <w:name w:val="italic1"/>
    <w:basedOn w:val="DefaultParagraphFont"/>
    <w:rsid w:val="00810FD5"/>
    <w:rPr>
      <w:i/>
      <w:iCs/>
    </w:rPr>
  </w:style>
  <w:style w:type="paragraph" w:customStyle="1" w:styleId="DCitationDoubleIndent">
    <w:name w:val="DCitation Double Indent"/>
    <w:basedOn w:val="Citation-AltC"/>
    <w:link w:val="CitationDoubleIndentChar"/>
    <w:uiPriority w:val="2"/>
    <w:qFormat/>
    <w:rsid w:val="00810FD5"/>
    <w:pPr>
      <w:ind w:left="2160"/>
    </w:pPr>
  </w:style>
  <w:style w:type="character" w:customStyle="1" w:styleId="CitationDoubleIndentChar">
    <w:name w:val="Citation Double Indent Char"/>
    <w:basedOn w:val="Citation-AltCChar"/>
    <w:link w:val="DCitationDoubleIndent"/>
    <w:uiPriority w:val="2"/>
    <w:rsid w:val="00810FD5"/>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810FD5"/>
    <w:rPr>
      <w:i/>
      <w:iCs/>
    </w:rPr>
  </w:style>
  <w:style w:type="paragraph" w:customStyle="1" w:styleId="subsection">
    <w:name w:val="subsection"/>
    <w:basedOn w:val="Normal"/>
    <w:rsid w:val="00810FD5"/>
    <w:pPr>
      <w:spacing w:before="100" w:beforeAutospacing="1" w:after="100" w:afterAutospacing="1"/>
    </w:pPr>
    <w:rPr>
      <w:szCs w:val="24"/>
    </w:rPr>
  </w:style>
  <w:style w:type="paragraph" w:customStyle="1" w:styleId="paragraph">
    <w:name w:val="paragraph"/>
    <w:basedOn w:val="Normal"/>
    <w:rsid w:val="00810FD5"/>
    <w:pPr>
      <w:spacing w:before="100" w:beforeAutospacing="1" w:after="100" w:afterAutospacing="1"/>
    </w:pPr>
    <w:rPr>
      <w:szCs w:val="24"/>
    </w:rPr>
  </w:style>
  <w:style w:type="paragraph" w:customStyle="1" w:styleId="subparagraph">
    <w:name w:val="subparagraph"/>
    <w:basedOn w:val="Normal"/>
    <w:rsid w:val="00810FD5"/>
    <w:pPr>
      <w:spacing w:before="100" w:beforeAutospacing="1" w:after="100" w:afterAutospacing="1"/>
    </w:pPr>
    <w:rPr>
      <w:szCs w:val="24"/>
    </w:rPr>
  </w:style>
  <w:style w:type="character" w:customStyle="1" w:styleId="reflex3-block">
    <w:name w:val="reflex3-block"/>
    <w:basedOn w:val="DefaultParagraphFont"/>
    <w:rsid w:val="00810FD5"/>
  </w:style>
  <w:style w:type="character" w:customStyle="1" w:styleId="reflex3-alt">
    <w:name w:val="reflex3-alt"/>
    <w:basedOn w:val="DefaultParagraphFont"/>
    <w:rsid w:val="00810FD5"/>
  </w:style>
  <w:style w:type="paragraph" w:styleId="NormalWeb">
    <w:name w:val="Normal (Web)"/>
    <w:basedOn w:val="Normal"/>
    <w:uiPriority w:val="99"/>
    <w:semiHidden/>
    <w:unhideWhenUsed/>
    <w:rsid w:val="00810FD5"/>
    <w:pPr>
      <w:spacing w:before="100" w:beforeAutospacing="1" w:after="100" w:afterAutospacing="1"/>
    </w:pPr>
    <w:rPr>
      <w:szCs w:val="24"/>
    </w:rPr>
  </w:style>
  <w:style w:type="paragraph" w:customStyle="1" w:styleId="Bullet">
    <w:name w:val="Bullet"/>
    <w:basedOn w:val="ParaNoNdepar-AltN"/>
    <w:link w:val="BulletChar"/>
    <w:uiPriority w:val="2"/>
    <w:qFormat/>
    <w:rsid w:val="00810FD5"/>
    <w:pPr>
      <w:numPr>
        <w:numId w:val="4"/>
      </w:numPr>
    </w:pPr>
  </w:style>
  <w:style w:type="paragraph" w:customStyle="1" w:styleId="DBullet">
    <w:name w:val="DBullet"/>
    <w:basedOn w:val="Bullet"/>
    <w:uiPriority w:val="2"/>
    <w:qFormat/>
    <w:rsid w:val="00810FD5"/>
    <w:pPr>
      <w:numPr>
        <w:ilvl w:val="3"/>
      </w:numPr>
      <w:tabs>
        <w:tab w:val="num" w:pos="360"/>
      </w:tabs>
      <w:spacing w:before="240" w:after="240" w:line="240" w:lineRule="auto"/>
    </w:pPr>
  </w:style>
  <w:style w:type="character" w:customStyle="1" w:styleId="BulletChar">
    <w:name w:val="Bullet Char"/>
    <w:basedOn w:val="ParaNoNdepar-AltNChar"/>
    <w:link w:val="Bullet"/>
    <w:uiPriority w:val="2"/>
    <w:rsid w:val="00810FD5"/>
    <w:rPr>
      <w:rFonts w:ascii="Times New Roman" w:eastAsiaTheme="minorEastAsia" w:hAnsi="Times New Roman"/>
      <w:sz w:val="24"/>
      <w:lang w:val="en-CA"/>
    </w:rPr>
  </w:style>
  <w:style w:type="paragraph" w:customStyle="1" w:styleId="QuotePara">
    <w:name w:val="Quote Para"/>
    <w:basedOn w:val="ParaNoNdepar-AltN"/>
    <w:link w:val="QuoteParaChar"/>
    <w:uiPriority w:val="2"/>
    <w:qFormat/>
    <w:rsid w:val="00810FD5"/>
    <w:pPr>
      <w:numPr>
        <w:numId w:val="0"/>
      </w:numPr>
      <w:spacing w:line="240" w:lineRule="auto"/>
      <w:ind w:left="1800" w:right="1800"/>
    </w:pPr>
    <w:rPr>
      <w:lang w:val="fr-CA"/>
    </w:rPr>
  </w:style>
  <w:style w:type="character" w:customStyle="1" w:styleId="QuoteParaChar">
    <w:name w:val="Quote Para Char"/>
    <w:basedOn w:val="ParaNoNdepar-AltNChar"/>
    <w:link w:val="QuotePara"/>
    <w:uiPriority w:val="2"/>
    <w:rsid w:val="00810FD5"/>
    <w:rPr>
      <w:rFonts w:ascii="Times New Roman" w:eastAsiaTheme="minorEastAsia" w:hAnsi="Times New Roman"/>
      <w:sz w:val="24"/>
      <w:lang w:val="fr-CA"/>
    </w:rPr>
  </w:style>
  <w:style w:type="character" w:customStyle="1" w:styleId="term01">
    <w:name w:val="term01"/>
    <w:basedOn w:val="DefaultParagraphFont"/>
    <w:rsid w:val="00810FD5"/>
    <w:rPr>
      <w:shd w:val="clear" w:color="auto" w:fill="BFE8FD"/>
    </w:rPr>
  </w:style>
  <w:style w:type="character" w:styleId="CommentReference">
    <w:name w:val="annotation reference"/>
    <w:basedOn w:val="DefaultParagraphFont"/>
    <w:uiPriority w:val="99"/>
    <w:semiHidden/>
    <w:unhideWhenUsed/>
    <w:rsid w:val="00810FD5"/>
    <w:rPr>
      <w:sz w:val="16"/>
      <w:szCs w:val="16"/>
    </w:rPr>
  </w:style>
  <w:style w:type="paragraph" w:styleId="CommentText">
    <w:name w:val="annotation text"/>
    <w:basedOn w:val="Normal"/>
    <w:link w:val="CommentTextChar"/>
    <w:uiPriority w:val="99"/>
    <w:semiHidden/>
    <w:unhideWhenUsed/>
    <w:rsid w:val="00810FD5"/>
    <w:rPr>
      <w:sz w:val="20"/>
    </w:rPr>
  </w:style>
  <w:style w:type="character" w:customStyle="1" w:styleId="CommentTextChar">
    <w:name w:val="Comment Text Char"/>
    <w:basedOn w:val="DefaultParagraphFont"/>
    <w:link w:val="CommentText"/>
    <w:uiPriority w:val="99"/>
    <w:semiHidden/>
    <w:rsid w:val="00810FD5"/>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810FD5"/>
    <w:rPr>
      <w:b/>
      <w:bCs/>
    </w:rPr>
  </w:style>
  <w:style w:type="character" w:customStyle="1" w:styleId="CommentSubjectChar">
    <w:name w:val="Comment Subject Char"/>
    <w:basedOn w:val="CommentTextChar"/>
    <w:link w:val="CommentSubject"/>
    <w:uiPriority w:val="99"/>
    <w:semiHidden/>
    <w:rsid w:val="00810FD5"/>
    <w:rPr>
      <w:rFonts w:ascii="Times New Roman" w:eastAsia="Times New Roman" w:hAnsi="Times New Roman" w:cs="Times New Roman"/>
      <w:b/>
      <w:bCs/>
      <w:sz w:val="20"/>
      <w:szCs w:val="20"/>
      <w:lang w:val="en-CA" w:eastAsia="en-CA"/>
    </w:rPr>
  </w:style>
  <w:style w:type="paragraph" w:customStyle="1" w:styleId="citation-altc0">
    <w:name w:val="citation-altc"/>
    <w:basedOn w:val="Normal"/>
    <w:rsid w:val="00810FD5"/>
    <w:pPr>
      <w:spacing w:after="720"/>
      <w:ind w:left="1166"/>
      <w:jc w:val="both"/>
    </w:pPr>
    <w:rPr>
      <w:rFonts w:eastAsiaTheme="minorHAnsi"/>
      <w:szCs w:val="24"/>
      <w:lang w:val="en-US" w:eastAsia="en-US"/>
    </w:rPr>
  </w:style>
  <w:style w:type="paragraph" w:styleId="NoSpacing">
    <w:name w:val="No Spacing"/>
    <w:uiPriority w:val="1"/>
    <w:qFormat/>
    <w:rsid w:val="00810FD5"/>
    <w:pPr>
      <w:spacing w:after="0" w:line="240" w:lineRule="auto"/>
    </w:pPr>
    <w:rPr>
      <w:rFonts w:ascii="Times New Roman" w:eastAsia="Times New Roman" w:hAnsi="Times New Roman" w:cs="Times New Roman"/>
      <w:sz w:val="24"/>
      <w:szCs w:val="20"/>
      <w:lang w:val="en-CA" w:eastAsia="en-CA"/>
    </w:rPr>
  </w:style>
  <w:style w:type="character" w:customStyle="1" w:styleId="nowrap">
    <w:name w:val="nowrap"/>
    <w:basedOn w:val="DefaultParagraphFont"/>
    <w:rsid w:val="00810FD5"/>
  </w:style>
  <w:style w:type="character" w:styleId="FollowedHyperlink">
    <w:name w:val="FollowedHyperlink"/>
    <w:basedOn w:val="DefaultParagraphFont"/>
    <w:uiPriority w:val="99"/>
    <w:semiHidden/>
    <w:unhideWhenUsed/>
    <w:rsid w:val="00810FD5"/>
    <w:rPr>
      <w:color w:val="954F72" w:themeColor="followedHyperlink"/>
      <w:u w:val="single"/>
    </w:rPr>
  </w:style>
  <w:style w:type="character" w:customStyle="1" w:styleId="tightinline1">
    <w:name w:val="tightinline1"/>
    <w:basedOn w:val="DefaultParagraphFont"/>
    <w:rsid w:val="00810FD5"/>
  </w:style>
  <w:style w:type="character" w:customStyle="1" w:styleId="bold1">
    <w:name w:val="bold1"/>
    <w:basedOn w:val="DefaultParagraphFont"/>
    <w:rsid w:val="00810FD5"/>
    <w:rPr>
      <w:b/>
      <w:bCs/>
    </w:rPr>
  </w:style>
  <w:style w:type="character" w:customStyle="1" w:styleId="texte-courant1">
    <w:name w:val="texte-courant1"/>
    <w:basedOn w:val="DefaultParagraphFont"/>
    <w:rsid w:val="00810FD5"/>
  </w:style>
  <w:style w:type="paragraph" w:customStyle="1" w:styleId="SCCCoram">
    <w:name w:val="SCC.Coram"/>
    <w:basedOn w:val="Normal"/>
    <w:next w:val="Normal"/>
    <w:link w:val="SCCCoramChar"/>
    <w:rsid w:val="00A36157"/>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A36157"/>
    <w:rPr>
      <w:rFonts w:ascii="Times New Roman" w:hAnsi="Times New Roman"/>
      <w:sz w:val="24"/>
      <w:lang w:val="fr-CA"/>
    </w:rPr>
  </w:style>
  <w:style w:type="character" w:customStyle="1" w:styleId="SCCLsocPartyRoleChar">
    <w:name w:val="SCC.Lsoc.PartyRole Char"/>
    <w:basedOn w:val="DefaultParagraphFont"/>
    <w:rsid w:val="007A350D"/>
    <w:rPr>
      <w:lang w:val="fr-CA"/>
    </w:rPr>
  </w:style>
  <w:style w:type="paragraph" w:customStyle="1" w:styleId="SCCLsocPrefix">
    <w:name w:val="SCC.Lsoc.Prefix"/>
    <w:basedOn w:val="Normal"/>
    <w:next w:val="Normal"/>
    <w:link w:val="SCCLsocPrefixChar"/>
    <w:rsid w:val="007A350D"/>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7A350D"/>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8B171-8A40-4753-9A4F-F62905A6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75</Pages>
  <Words>18634</Words>
  <Characters>106220</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124605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34</cp:revision>
  <cp:lastPrinted>2017-02-23T16:02:00Z</cp:lastPrinted>
  <dcterms:created xsi:type="dcterms:W3CDTF">2016-10-27T14:01:00Z</dcterms:created>
  <dcterms:modified xsi:type="dcterms:W3CDTF">2017-02-23T16:09:00Z</dcterms:modified>
</cp:coreProperties>
</file>