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E0" w:rsidRDefault="00A94FE0" w:rsidP="00A94FE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65pt" o:ole="">
            <v:imagedata r:id="rId7" o:title=""/>
          </v:shape>
          <o:OLEObject Type="Embed" ProgID="Presentations.Drawing.13" ShapeID="_x0000_i1025" DrawAspect="Content" ObjectID="_1569756995" r:id="rId8"/>
        </w:object>
      </w:r>
      <w:r>
        <w:t xml:space="preserve"> </w:t>
      </w:r>
      <w:r>
        <w:ptab w:relativeTo="margin" w:alignment="right" w:leader="none"/>
      </w:r>
    </w:p>
    <w:p w:rsidR="00A94FE0" w:rsidRDefault="00A94FE0" w:rsidP="00A94FE0">
      <w:pPr>
        <w:pStyle w:val="Header"/>
      </w:pPr>
      <w:bookmarkStart w:id="0" w:name="_GoBack"/>
      <w:bookmarkEnd w:id="0"/>
    </w:p>
    <w:p w:rsidR="00A94FE0" w:rsidRPr="001E12E2" w:rsidRDefault="00A94FE0" w:rsidP="00A94FE0">
      <w:pPr>
        <w:jc w:val="center"/>
        <w:rPr>
          <w:b/>
        </w:rPr>
      </w:pPr>
      <w:r w:rsidRPr="001E12E2">
        <w:rPr>
          <w:b/>
        </w:rPr>
        <w:t>COUR SUPRÊME DU CANADA</w:t>
      </w:r>
    </w:p>
    <w:p w:rsidR="00A94FE0" w:rsidRDefault="00A94FE0" w:rsidP="00A94FE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A94FE0" w:rsidRPr="001E12E2" w:rsidTr="00F77372">
        <w:trPr>
          <w:cantSplit/>
        </w:trPr>
        <w:tc>
          <w:tcPr>
            <w:tcW w:w="5310" w:type="dxa"/>
          </w:tcPr>
          <w:p w:rsidR="00A94FE0" w:rsidRPr="00A94FE0" w:rsidRDefault="00A94FE0" w:rsidP="00F77372">
            <w:pPr>
              <w:rPr>
                <w:lang w:val="fr-CA"/>
              </w:rPr>
            </w:pPr>
            <w:r w:rsidRPr="00A94FE0">
              <w:rPr>
                <w:b/>
                <w:smallCaps/>
                <w:lang w:val="fr-CA"/>
              </w:rPr>
              <w:t>Référence :</w:t>
            </w:r>
            <w:r w:rsidRPr="00A94FE0">
              <w:rPr>
                <w:lang w:val="fr-CA"/>
              </w:rPr>
              <w:t xml:space="preserve"> </w:t>
            </w:r>
            <w:r w:rsidRPr="006A4755">
              <w:rPr>
                <w:rStyle w:val="SCCAppellantForRunningHeadChar"/>
                <w:lang w:val="fr-CA"/>
              </w:rPr>
              <w:t xml:space="preserve">R. </w:t>
            </w:r>
            <w:r w:rsidRPr="006D45C1">
              <w:rPr>
                <w:rStyle w:val="SCCAppellantForRunningHeadChar"/>
                <w:i/>
                <w:smallCaps w:val="0"/>
                <w:lang w:val="fr-CA"/>
              </w:rPr>
              <w:t>c</w:t>
            </w:r>
            <w:r w:rsidRPr="006A4755">
              <w:rPr>
                <w:rStyle w:val="SCCAppellantForRunningHeadChar"/>
                <w:i/>
                <w:lang w:val="fr-CA"/>
              </w:rPr>
              <w:t>.</w:t>
            </w:r>
            <w:r w:rsidRPr="006A4755">
              <w:rPr>
                <w:rStyle w:val="SCCAppellantForRunningHeadChar"/>
                <w:lang w:val="fr-CA"/>
              </w:rPr>
              <w:t xml:space="preserve"> </w:t>
            </w:r>
            <w:proofErr w:type="spellStart"/>
            <w:r>
              <w:rPr>
                <w:rStyle w:val="SCCAppellantForRunningHeadChar"/>
                <w:smallCaps w:val="0"/>
                <w:lang w:val="fr-CA"/>
              </w:rPr>
              <w:t>Awer</w:t>
            </w:r>
            <w:proofErr w:type="spellEnd"/>
            <w:r w:rsidRPr="006A4755">
              <w:rPr>
                <w:rStyle w:val="SCCAppellantForRunningHeadChar"/>
                <w:lang w:val="fr-CA"/>
              </w:rPr>
              <w:t xml:space="preserve">, </w:t>
            </w:r>
            <w:r w:rsidRPr="00A94FE0">
              <w:rPr>
                <w:lang w:val="fr-CA"/>
              </w:rPr>
              <w:t>2017 CSC 2, [2017] 1 R.C.S. 83</w:t>
            </w:r>
          </w:p>
        </w:tc>
        <w:tc>
          <w:tcPr>
            <w:tcW w:w="4266" w:type="dxa"/>
          </w:tcPr>
          <w:p w:rsidR="00A94FE0" w:rsidRPr="00A94FE0" w:rsidRDefault="00A94FE0" w:rsidP="00F77372">
            <w:pPr>
              <w:rPr>
                <w:lang w:val="fr-CA"/>
              </w:rPr>
            </w:pPr>
            <w:r w:rsidRPr="00A94FE0">
              <w:rPr>
                <w:b/>
                <w:smallCaps/>
                <w:lang w:val="fr-CA"/>
              </w:rPr>
              <w:t>Appel entendu:</w:t>
            </w:r>
            <w:r w:rsidRPr="00A94FE0">
              <w:rPr>
                <w:lang w:val="fr-CA"/>
              </w:rPr>
              <w:t xml:space="preserve"> </w:t>
            </w:r>
            <w:r w:rsidRPr="00361163">
              <w:rPr>
                <w:lang w:val="fr-CA"/>
              </w:rPr>
              <w:t>17 janvier</w:t>
            </w:r>
            <w:r w:rsidRPr="00A94FE0">
              <w:rPr>
                <w:lang w:val="fr-CA"/>
              </w:rPr>
              <w:t xml:space="preserve"> 2017</w:t>
            </w:r>
          </w:p>
          <w:p w:rsidR="00A94FE0" w:rsidRPr="00A94FE0" w:rsidRDefault="00A94FE0" w:rsidP="00F77372">
            <w:pPr>
              <w:rPr>
                <w:b/>
                <w:smallCaps/>
                <w:lang w:val="fr-CA"/>
              </w:rPr>
            </w:pPr>
            <w:r w:rsidRPr="00A94FE0">
              <w:rPr>
                <w:b/>
                <w:smallCaps/>
                <w:lang w:val="fr-CA"/>
              </w:rPr>
              <w:t>Jugement rendu :</w:t>
            </w:r>
            <w:r w:rsidRPr="00A94FE0">
              <w:rPr>
                <w:lang w:val="fr-CA"/>
              </w:rPr>
              <w:t xml:space="preserve"> 17 janvier 2017</w:t>
            </w:r>
          </w:p>
          <w:p w:rsidR="00A94FE0" w:rsidRPr="001E12E2" w:rsidRDefault="00A94FE0" w:rsidP="00F77372">
            <w:r w:rsidRPr="001E12E2">
              <w:rPr>
                <w:b/>
                <w:smallCaps/>
              </w:rPr>
              <w:t>Do</w:t>
            </w:r>
            <w:r>
              <w:rPr>
                <w:b/>
                <w:smallCaps/>
              </w:rPr>
              <w:t>ssiers :</w:t>
            </w:r>
            <w:r w:rsidRPr="001E12E2">
              <w:t xml:space="preserve"> </w:t>
            </w:r>
            <w:r>
              <w:t>37021</w:t>
            </w:r>
          </w:p>
        </w:tc>
      </w:tr>
    </w:tbl>
    <w:p w:rsidR="00A94FE0" w:rsidRDefault="00A94FE0" w:rsidP="00A94FE0">
      <w:pPr>
        <w:pStyle w:val="SCCLsocPrefix"/>
      </w:pPr>
    </w:p>
    <w:p w:rsidR="00A94FE0" w:rsidRDefault="00A94FE0" w:rsidP="00A94FE0">
      <w:pPr>
        <w:pStyle w:val="SCCLsocPrefix"/>
      </w:pPr>
    </w:p>
    <w:p w:rsidR="00A94FE0" w:rsidRDefault="00A94FE0" w:rsidP="00A94FE0">
      <w:pPr>
        <w:pStyle w:val="SCCLsocPrefix"/>
      </w:pPr>
      <w:r>
        <w:t>Entre :</w:t>
      </w:r>
    </w:p>
    <w:p w:rsidR="00A94FE0" w:rsidRPr="00A94FE0" w:rsidRDefault="00A94FE0" w:rsidP="00A94FE0">
      <w:pPr>
        <w:pStyle w:val="SCCLsocParty"/>
        <w:jc w:val="center"/>
        <w:rPr>
          <w:lang w:val="fr-CA"/>
        </w:rPr>
      </w:pPr>
      <w:proofErr w:type="spellStart"/>
      <w:r w:rsidRPr="00A94FE0">
        <w:rPr>
          <w:lang w:val="fr-CA"/>
        </w:rPr>
        <w:t>Nihal</w:t>
      </w:r>
      <w:proofErr w:type="spellEnd"/>
      <w:r w:rsidRPr="00A94FE0">
        <w:rPr>
          <w:lang w:val="fr-CA"/>
        </w:rPr>
        <w:t xml:space="preserve"> </w:t>
      </w:r>
      <w:proofErr w:type="spellStart"/>
      <w:r w:rsidRPr="00A94FE0">
        <w:rPr>
          <w:lang w:val="fr-CA"/>
        </w:rPr>
        <w:t>Awer</w:t>
      </w:r>
      <w:proofErr w:type="spellEnd"/>
    </w:p>
    <w:p w:rsidR="00A94FE0" w:rsidRPr="00A94FE0" w:rsidRDefault="00A94FE0" w:rsidP="00A94FE0">
      <w:pPr>
        <w:jc w:val="center"/>
        <w:rPr>
          <w:lang w:val="fr-CA"/>
        </w:rPr>
      </w:pPr>
      <w:r w:rsidRPr="00A94FE0">
        <w:rPr>
          <w:lang w:val="fr-CA"/>
        </w:rPr>
        <w:t>Appelant</w:t>
      </w:r>
    </w:p>
    <w:p w:rsidR="00A94FE0" w:rsidRPr="00A94FE0" w:rsidRDefault="00A94FE0" w:rsidP="00A94FE0">
      <w:pPr>
        <w:jc w:val="center"/>
        <w:rPr>
          <w:lang w:val="fr-CA"/>
        </w:rPr>
      </w:pPr>
    </w:p>
    <w:p w:rsidR="00A94FE0" w:rsidRPr="00A94FE0" w:rsidRDefault="00A94FE0" w:rsidP="00A94FE0">
      <w:pPr>
        <w:pStyle w:val="SCCLsocVersus"/>
        <w:spacing w:after="0"/>
        <w:jc w:val="center"/>
        <w:rPr>
          <w:i w:val="0"/>
          <w:lang w:val="fr-CA"/>
        </w:rPr>
      </w:pPr>
      <w:proofErr w:type="gramStart"/>
      <w:r w:rsidRPr="00A94FE0">
        <w:rPr>
          <w:i w:val="0"/>
          <w:lang w:val="fr-CA"/>
        </w:rPr>
        <w:t>et</w:t>
      </w:r>
      <w:proofErr w:type="gramEnd"/>
    </w:p>
    <w:p w:rsidR="00A94FE0" w:rsidRPr="00A94FE0" w:rsidRDefault="00A94FE0" w:rsidP="00A94FE0">
      <w:pPr>
        <w:jc w:val="center"/>
        <w:rPr>
          <w:lang w:val="fr-CA"/>
        </w:rPr>
      </w:pPr>
    </w:p>
    <w:p w:rsidR="00A94FE0" w:rsidRPr="00A94FE0" w:rsidRDefault="00A94FE0" w:rsidP="00A94FE0">
      <w:pPr>
        <w:pStyle w:val="SCCLsocParty"/>
        <w:jc w:val="center"/>
        <w:rPr>
          <w:lang w:val="fr-CA"/>
        </w:rPr>
      </w:pPr>
      <w:r w:rsidRPr="00A94FE0">
        <w:rPr>
          <w:lang w:val="fr-CA"/>
        </w:rPr>
        <w:t>Sa Majesté la Reine</w:t>
      </w:r>
    </w:p>
    <w:p w:rsidR="00A94FE0" w:rsidRPr="00A94FE0" w:rsidRDefault="00A94FE0" w:rsidP="00A94FE0">
      <w:pPr>
        <w:jc w:val="center"/>
        <w:rPr>
          <w:lang w:val="fr-CA"/>
        </w:rPr>
      </w:pPr>
      <w:r w:rsidRPr="00A94FE0">
        <w:rPr>
          <w:lang w:val="fr-CA"/>
        </w:rPr>
        <w:t>Intimée</w:t>
      </w:r>
    </w:p>
    <w:p w:rsidR="00A94FE0" w:rsidRPr="00A94FE0" w:rsidRDefault="00A94FE0" w:rsidP="00A94FE0">
      <w:pPr>
        <w:rPr>
          <w:lang w:val="fr-CA"/>
        </w:rPr>
      </w:pPr>
    </w:p>
    <w:p w:rsidR="00A94FE0" w:rsidRPr="00A94FE0" w:rsidRDefault="00A94FE0" w:rsidP="00A94FE0">
      <w:pPr>
        <w:rPr>
          <w:lang w:val="fr-CA"/>
        </w:rPr>
      </w:pPr>
    </w:p>
    <w:p w:rsidR="00A94FE0" w:rsidRPr="00A94FE0" w:rsidRDefault="00A94FE0" w:rsidP="00A94FE0">
      <w:pPr>
        <w:rPr>
          <w:lang w:val="fr-CA"/>
        </w:rPr>
      </w:pPr>
    </w:p>
    <w:p w:rsidR="00A94FE0" w:rsidRPr="00A94FE0" w:rsidRDefault="00A94FE0" w:rsidP="00A94FE0">
      <w:pPr>
        <w:jc w:val="center"/>
        <w:rPr>
          <w:b/>
          <w:smallCaps/>
          <w:lang w:val="fr-CA"/>
        </w:rPr>
      </w:pPr>
      <w:r w:rsidRPr="00A94FE0">
        <w:rPr>
          <w:b/>
          <w:smallCaps/>
          <w:lang w:val="fr-CA"/>
        </w:rPr>
        <w:t>Traduction française officielle</w:t>
      </w:r>
    </w:p>
    <w:p w:rsidR="00A94FE0" w:rsidRPr="00A94FE0" w:rsidRDefault="00A94FE0" w:rsidP="00A94FE0">
      <w:pPr>
        <w:rPr>
          <w:lang w:val="fr-CA"/>
        </w:rPr>
      </w:pPr>
    </w:p>
    <w:p w:rsidR="00A94FE0" w:rsidRPr="00A94FE0" w:rsidRDefault="00A94FE0" w:rsidP="00A94FE0">
      <w:pPr>
        <w:rPr>
          <w:lang w:val="fr-CA"/>
        </w:rPr>
      </w:pPr>
      <w:r w:rsidRPr="00A94FE0">
        <w:rPr>
          <w:b/>
          <w:smallCaps/>
          <w:lang w:val="fr-CA"/>
        </w:rPr>
        <w:t>Coram :</w:t>
      </w:r>
      <w:r w:rsidRPr="00A94FE0">
        <w:rPr>
          <w:lang w:val="fr-CA"/>
        </w:rPr>
        <w:t xml:space="preserve"> </w:t>
      </w:r>
      <w:r w:rsidRPr="00361163">
        <w:rPr>
          <w:lang w:val="fr-CA"/>
        </w:rPr>
        <w:t xml:space="preserve">Les juges </w:t>
      </w:r>
      <w:proofErr w:type="spellStart"/>
      <w:r w:rsidRPr="00361163">
        <w:rPr>
          <w:lang w:val="fr-CA"/>
        </w:rPr>
        <w:t>Moldaver</w:t>
      </w:r>
      <w:proofErr w:type="spellEnd"/>
      <w:r w:rsidRPr="00361163">
        <w:rPr>
          <w:lang w:val="fr-CA"/>
        </w:rPr>
        <w:t xml:space="preserve">, </w:t>
      </w:r>
      <w:proofErr w:type="spellStart"/>
      <w:r w:rsidRPr="00361163">
        <w:rPr>
          <w:lang w:val="fr-CA"/>
        </w:rPr>
        <w:t>Karakatsanis</w:t>
      </w:r>
      <w:proofErr w:type="spellEnd"/>
      <w:r w:rsidRPr="00361163">
        <w:rPr>
          <w:lang w:val="fr-CA"/>
        </w:rPr>
        <w:t>, Wagner, Brown et Rowe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94FE0" w:rsidRPr="006D45C1" w:rsidTr="00F77372">
        <w:trPr>
          <w:cantSplit/>
        </w:trPr>
        <w:tc>
          <w:tcPr>
            <w:tcW w:w="3618" w:type="dxa"/>
          </w:tcPr>
          <w:p w:rsidR="00A94FE0" w:rsidRPr="00A94FE0" w:rsidRDefault="00A94FE0" w:rsidP="00F77372">
            <w:pPr>
              <w:rPr>
                <w:b/>
                <w:smallCaps/>
                <w:lang w:val="fr-CA"/>
              </w:rPr>
            </w:pPr>
            <w:r w:rsidRPr="00A94FE0">
              <w:rPr>
                <w:b/>
                <w:smallCaps/>
                <w:lang w:val="fr-CA"/>
              </w:rPr>
              <w:t>Motifs de jugement :</w:t>
            </w:r>
          </w:p>
          <w:p w:rsidR="00A94FE0" w:rsidRPr="00A94FE0" w:rsidRDefault="00A94FE0" w:rsidP="00F77372">
            <w:pPr>
              <w:rPr>
                <w:lang w:val="fr-CA"/>
              </w:rPr>
            </w:pPr>
            <w:r w:rsidRPr="00A94FE0">
              <w:rPr>
                <w:lang w:val="fr-CA"/>
              </w:rPr>
              <w:t>(par. 1 à 8)</w:t>
            </w:r>
          </w:p>
        </w:tc>
        <w:tc>
          <w:tcPr>
            <w:tcW w:w="5958" w:type="dxa"/>
          </w:tcPr>
          <w:p w:rsidR="00A94FE0" w:rsidRPr="00A94FE0" w:rsidRDefault="00A94FE0" w:rsidP="00F77372">
            <w:pPr>
              <w:rPr>
                <w:lang w:val="fr-CA"/>
              </w:rPr>
            </w:pPr>
            <w:r w:rsidRPr="00A94FE0">
              <w:rPr>
                <w:lang w:val="fr-CA"/>
              </w:rPr>
              <w:t xml:space="preserve">Le juge </w:t>
            </w:r>
            <w:proofErr w:type="spellStart"/>
            <w:r w:rsidRPr="00A94FE0">
              <w:rPr>
                <w:lang w:val="fr-CA"/>
              </w:rPr>
              <w:t>Moldaver</w:t>
            </w:r>
            <w:proofErr w:type="spellEnd"/>
            <w:r w:rsidRPr="00A94FE0">
              <w:rPr>
                <w:lang w:val="fr-CA"/>
              </w:rPr>
              <w:t xml:space="preserve"> (avec l’accord des juges </w:t>
            </w:r>
            <w:proofErr w:type="spellStart"/>
            <w:r w:rsidRPr="00A94FE0">
              <w:rPr>
                <w:lang w:val="fr-CA"/>
              </w:rPr>
              <w:t>Karakatsanis</w:t>
            </w:r>
            <w:proofErr w:type="spellEnd"/>
            <w:r w:rsidRPr="00A94FE0">
              <w:rPr>
                <w:lang w:val="fr-CA"/>
              </w:rPr>
              <w:t>, Wagner, Brown et Rowe)</w:t>
            </w:r>
          </w:p>
        </w:tc>
      </w:tr>
    </w:tbl>
    <w:p w:rsidR="00A94FE0" w:rsidRPr="00A94FE0" w:rsidRDefault="00A94FE0" w:rsidP="00A94FE0">
      <w:pPr>
        <w:rPr>
          <w:lang w:val="fr-CA"/>
        </w:rPr>
      </w:pPr>
    </w:p>
    <w:p w:rsidR="00A94FE0" w:rsidRPr="00A94FE0" w:rsidRDefault="00A94FE0" w:rsidP="00A94FE0">
      <w:pPr>
        <w:rPr>
          <w:lang w:val="fr-CA"/>
        </w:rPr>
      </w:pPr>
      <w:r>
        <w:rPr>
          <w:noProof/>
          <w:lang w:val="en-US" w:eastAsia="en-US"/>
        </w:rPr>
        <mc:AlternateContent>
          <mc:Choice Requires="wps">
            <w:drawing>
              <wp:anchor distT="0" distB="0" distL="114300" distR="114300" simplePos="0" relativeHeight="251659264" behindDoc="0" locked="0" layoutInCell="1" allowOverlap="1" wp14:anchorId="7361E1DB" wp14:editId="0D22889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E13D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94FE0" w:rsidRPr="00A94FE0" w:rsidRDefault="00A94FE0" w:rsidP="00A94FE0">
      <w:pPr>
        <w:rPr>
          <w:lang w:val="fr-CA"/>
        </w:rPr>
      </w:pPr>
    </w:p>
    <w:p w:rsidR="00A94FE0" w:rsidRPr="00A94FE0" w:rsidRDefault="00A94FE0" w:rsidP="00A94FE0">
      <w:pPr>
        <w:rPr>
          <w:lang w:val="fr-CA"/>
        </w:rPr>
      </w:pPr>
    </w:p>
    <w:p w:rsidR="00A94FE0" w:rsidRPr="00A94FE0" w:rsidRDefault="00A94FE0" w:rsidP="004D7D95">
      <w:pPr>
        <w:spacing w:line="480" w:lineRule="auto"/>
        <w:jc w:val="both"/>
        <w:rPr>
          <w:lang w:val="fr-CA"/>
        </w:rPr>
      </w:pPr>
    </w:p>
    <w:p w:rsidR="004D7D95" w:rsidRPr="006D45C1" w:rsidRDefault="00014E39" w:rsidP="004D7D95">
      <w:pPr>
        <w:spacing w:line="480" w:lineRule="auto"/>
        <w:jc w:val="both"/>
        <w:rPr>
          <w:lang w:val="en-US"/>
        </w:rPr>
      </w:pPr>
      <w:r w:rsidRPr="006D45C1">
        <w:rPr>
          <w:lang w:val="en-US"/>
        </w:rPr>
        <w:t>R</w:t>
      </w:r>
      <w:r w:rsidR="008B73A8" w:rsidRPr="006D45C1">
        <w:rPr>
          <w:lang w:val="en-US"/>
        </w:rPr>
        <w:t>.</w:t>
      </w:r>
      <w:r w:rsidR="008B73A8" w:rsidRPr="006D45C1">
        <w:rPr>
          <w:i/>
          <w:lang w:val="en-US"/>
        </w:rPr>
        <w:t xml:space="preserve"> </w:t>
      </w:r>
      <w:r w:rsidR="004D7D95" w:rsidRPr="006D45C1">
        <w:rPr>
          <w:i/>
          <w:lang w:val="en-US"/>
        </w:rPr>
        <w:t>c.</w:t>
      </w:r>
      <w:r w:rsidR="004D7D95" w:rsidRPr="006D45C1">
        <w:rPr>
          <w:lang w:val="en-US"/>
        </w:rPr>
        <w:t xml:space="preserve"> </w:t>
      </w:r>
      <w:proofErr w:type="spellStart"/>
      <w:r w:rsidRPr="006D45C1">
        <w:rPr>
          <w:lang w:val="en-US"/>
        </w:rPr>
        <w:t>A</w:t>
      </w:r>
      <w:r w:rsidR="008B73A8" w:rsidRPr="006D45C1">
        <w:rPr>
          <w:lang w:val="en-US"/>
        </w:rPr>
        <w:t>wer</w:t>
      </w:r>
      <w:proofErr w:type="spellEnd"/>
      <w:r w:rsidRPr="006D45C1">
        <w:rPr>
          <w:lang w:val="en-US"/>
        </w:rPr>
        <w:t>, 2017 CSC 2, [2017] 1 R.C.S. 83</w:t>
      </w:r>
    </w:p>
    <w:p w:rsidR="004D7D95" w:rsidRPr="006D45C1" w:rsidRDefault="004D7D95" w:rsidP="004D7D95">
      <w:pPr>
        <w:jc w:val="both"/>
        <w:rPr>
          <w:lang w:val="en-US"/>
        </w:rPr>
      </w:pPr>
    </w:p>
    <w:p w:rsidR="004D7D95" w:rsidRPr="006D45C1" w:rsidRDefault="004D7D95" w:rsidP="004D7D95">
      <w:pPr>
        <w:jc w:val="both"/>
        <w:rPr>
          <w:lang w:val="en-US"/>
        </w:rPr>
      </w:pPr>
    </w:p>
    <w:p w:rsidR="004D7D95" w:rsidRPr="006D45C1" w:rsidRDefault="004D7D95" w:rsidP="004D7D95">
      <w:pPr>
        <w:jc w:val="both"/>
        <w:rPr>
          <w:lang w:val="en-US"/>
        </w:rPr>
      </w:pPr>
    </w:p>
    <w:p w:rsidR="00E320E9" w:rsidRPr="00014E39" w:rsidRDefault="00F0216C">
      <w:pPr>
        <w:pStyle w:val="SCCLsocLastPartyInRole"/>
        <w:rPr>
          <w:lang w:val="fr-CA"/>
        </w:rPr>
      </w:pPr>
      <w:proofErr w:type="spellStart"/>
      <w:r w:rsidRPr="00014E39">
        <w:rPr>
          <w:lang w:val="fr-CA"/>
        </w:rPr>
        <w:t>Nihal</w:t>
      </w:r>
      <w:proofErr w:type="spellEnd"/>
      <w:r w:rsidRPr="00014E39">
        <w:rPr>
          <w:lang w:val="fr-CA"/>
        </w:rPr>
        <w:t xml:space="preserve"> </w:t>
      </w:r>
      <w:proofErr w:type="spellStart"/>
      <w:r w:rsidRPr="00014E39">
        <w:rPr>
          <w:lang w:val="fr-CA"/>
        </w:rPr>
        <w:t>Awer</w:t>
      </w:r>
      <w:proofErr w:type="spellEnd"/>
      <w:r w:rsidRPr="00014E39">
        <w:rPr>
          <w:rStyle w:val="SCCLsocPartyRole"/>
          <w:lang w:val="fr-CA"/>
        </w:rPr>
        <w:tab/>
        <w:t>Appelant</w:t>
      </w:r>
    </w:p>
    <w:p w:rsidR="00E320E9" w:rsidRPr="00361163" w:rsidRDefault="00F0216C">
      <w:pPr>
        <w:pStyle w:val="SCCLsocVersus"/>
        <w:rPr>
          <w:lang w:val="fr-CA"/>
        </w:rPr>
      </w:pPr>
      <w:proofErr w:type="gramStart"/>
      <w:r w:rsidRPr="00361163">
        <w:rPr>
          <w:lang w:val="fr-CA"/>
        </w:rPr>
        <w:t>c</w:t>
      </w:r>
      <w:proofErr w:type="gramEnd"/>
      <w:r w:rsidRPr="00361163">
        <w:rPr>
          <w:lang w:val="fr-CA"/>
        </w:rPr>
        <w:t>.</w:t>
      </w:r>
    </w:p>
    <w:p w:rsidR="00E320E9" w:rsidRPr="00361163" w:rsidRDefault="00F0216C">
      <w:pPr>
        <w:pStyle w:val="SCCLsocLastPartyInRole"/>
        <w:rPr>
          <w:lang w:val="fr-CA"/>
        </w:rPr>
      </w:pPr>
      <w:r w:rsidRPr="00361163">
        <w:rPr>
          <w:lang w:val="fr-CA"/>
        </w:rPr>
        <w:lastRenderedPageBreak/>
        <w:t>Sa Majesté la Reine</w:t>
      </w:r>
      <w:r w:rsidRPr="00361163">
        <w:rPr>
          <w:rStyle w:val="SCCLsocPartyRole"/>
          <w:lang w:val="fr-CA"/>
        </w:rPr>
        <w:tab/>
        <w:t>Intimé</w:t>
      </w:r>
      <w:r w:rsidR="00542F83">
        <w:rPr>
          <w:rStyle w:val="SCCLsocPartyRole"/>
          <w:lang w:val="fr-CA"/>
        </w:rPr>
        <w:t>e</w:t>
      </w:r>
    </w:p>
    <w:p w:rsidR="004D7D95" w:rsidRPr="00361163" w:rsidRDefault="004D7D95" w:rsidP="004D7D95">
      <w:pPr>
        <w:jc w:val="both"/>
        <w:rPr>
          <w:lang w:val="fr-CA"/>
        </w:rPr>
      </w:pPr>
    </w:p>
    <w:p w:rsidR="004D7D95" w:rsidRPr="00361163" w:rsidRDefault="00865CEA" w:rsidP="004D7D95">
      <w:pPr>
        <w:jc w:val="both"/>
        <w:rPr>
          <w:b/>
          <w:lang w:val="fr-CA"/>
        </w:rPr>
      </w:pPr>
      <w:r>
        <w:rPr>
          <w:b/>
          <w:lang w:val="fr-CA"/>
        </w:rPr>
        <w:t xml:space="preserve">Répertorié : R. </w:t>
      </w:r>
      <w:r w:rsidRPr="00865CEA">
        <w:rPr>
          <w:b/>
          <w:i/>
          <w:lang w:val="fr-CA"/>
        </w:rPr>
        <w:t xml:space="preserve">c. </w:t>
      </w:r>
      <w:r w:rsidR="004D7D95" w:rsidRPr="00361163">
        <w:rPr>
          <w:rStyle w:val="SCCAppellantForIndexChar"/>
          <w:lang w:val="fr-CA"/>
        </w:rPr>
        <w:t>Awer</w:t>
      </w:r>
      <w:r w:rsidR="004D7D95" w:rsidRPr="00BB4C92">
        <w:rPr>
          <w:b/>
          <w:lang w:val="fr-CA"/>
        </w:rPr>
        <w:t xml:space="preserve"> </w:t>
      </w:r>
    </w:p>
    <w:p w:rsidR="004D7D95" w:rsidRPr="00361163" w:rsidRDefault="004D7D95" w:rsidP="004D7D95">
      <w:pPr>
        <w:jc w:val="both"/>
        <w:rPr>
          <w:lang w:val="fr-CA"/>
        </w:rPr>
      </w:pPr>
    </w:p>
    <w:p w:rsidR="004D7D95" w:rsidRPr="00361163" w:rsidRDefault="004D7D95" w:rsidP="004D7D95">
      <w:pPr>
        <w:jc w:val="both"/>
        <w:rPr>
          <w:lang w:val="fr-CA"/>
        </w:rPr>
      </w:pPr>
    </w:p>
    <w:p w:rsidR="004D7D95" w:rsidRPr="00361163" w:rsidRDefault="004D7D95" w:rsidP="004D7D95">
      <w:pPr>
        <w:jc w:val="both"/>
        <w:rPr>
          <w:lang w:val="fr-CA"/>
        </w:rPr>
      </w:pPr>
    </w:p>
    <w:p w:rsidR="004D7D95" w:rsidRPr="00361163" w:rsidRDefault="00D17B0E" w:rsidP="004D7D95">
      <w:pPr>
        <w:pStyle w:val="SCCSystemYear"/>
        <w:jc w:val="both"/>
        <w:rPr>
          <w:lang w:val="fr-CA"/>
        </w:rPr>
      </w:pPr>
      <w:r w:rsidRPr="00361163">
        <w:rPr>
          <w:lang w:val="fr-CA"/>
        </w:rPr>
        <w:t>2017</w:t>
      </w:r>
      <w:r w:rsidR="004D7D95" w:rsidRPr="00361163">
        <w:rPr>
          <w:lang w:val="fr-CA"/>
        </w:rPr>
        <w:t xml:space="preserve"> CSC </w:t>
      </w:r>
      <w:r w:rsidR="00865CEA">
        <w:rPr>
          <w:lang w:val="fr-CA"/>
        </w:rPr>
        <w:t>2</w:t>
      </w:r>
    </w:p>
    <w:p w:rsidR="004D7D95" w:rsidRPr="00361163" w:rsidRDefault="004D7D95" w:rsidP="004D7D95">
      <w:pPr>
        <w:jc w:val="both"/>
        <w:rPr>
          <w:lang w:val="fr-CA"/>
        </w:rPr>
      </w:pPr>
    </w:p>
    <w:p w:rsidR="004D7D95" w:rsidRPr="00361163" w:rsidRDefault="004D7D95" w:rsidP="004D7D95">
      <w:pPr>
        <w:jc w:val="both"/>
        <w:rPr>
          <w:lang w:val="fr-CA"/>
        </w:rPr>
      </w:pPr>
    </w:p>
    <w:p w:rsidR="004D7D95" w:rsidRPr="00361163" w:rsidRDefault="004D7D95" w:rsidP="004D7D95">
      <w:pPr>
        <w:jc w:val="both"/>
        <w:rPr>
          <w:lang w:val="fr-CA"/>
        </w:rPr>
      </w:pPr>
    </w:p>
    <w:p w:rsidR="004D7D95" w:rsidRPr="00361163" w:rsidRDefault="004D7D95" w:rsidP="004D7D95">
      <w:pPr>
        <w:jc w:val="both"/>
        <w:rPr>
          <w:lang w:val="fr-CA"/>
        </w:rPr>
      </w:pPr>
      <w:r w:rsidRPr="00361163">
        <w:rPr>
          <w:lang w:val="fr-CA"/>
        </w:rPr>
        <w:t>N</w:t>
      </w:r>
      <w:r w:rsidRPr="00361163">
        <w:rPr>
          <w:vertAlign w:val="superscript"/>
          <w:lang w:val="fr-CA"/>
        </w:rPr>
        <w:t>o</w:t>
      </w:r>
      <w:r w:rsidRPr="00361163">
        <w:rPr>
          <w:lang w:val="fr-CA"/>
        </w:rPr>
        <w:t xml:space="preserve"> du greffe : 37021.</w:t>
      </w:r>
    </w:p>
    <w:p w:rsidR="004D7D95" w:rsidRPr="00361163" w:rsidRDefault="004D7D95" w:rsidP="004D7D95">
      <w:pPr>
        <w:jc w:val="both"/>
        <w:rPr>
          <w:lang w:val="fr-CA"/>
        </w:rPr>
      </w:pPr>
    </w:p>
    <w:p w:rsidR="004D7D95" w:rsidRPr="00361163" w:rsidRDefault="004D7D95" w:rsidP="004D7D95">
      <w:pPr>
        <w:jc w:val="both"/>
        <w:rPr>
          <w:lang w:val="fr-CA"/>
        </w:rPr>
      </w:pPr>
    </w:p>
    <w:p w:rsidR="004D7D95" w:rsidRPr="00361163" w:rsidRDefault="004D7D95" w:rsidP="004D7D95">
      <w:pPr>
        <w:jc w:val="both"/>
        <w:rPr>
          <w:lang w:val="fr-CA"/>
        </w:rPr>
      </w:pPr>
    </w:p>
    <w:p w:rsidR="004D7D95" w:rsidRPr="00361163" w:rsidRDefault="00D17B0E" w:rsidP="004D7D95">
      <w:pPr>
        <w:jc w:val="both"/>
        <w:rPr>
          <w:lang w:val="fr-CA"/>
        </w:rPr>
      </w:pPr>
      <w:r w:rsidRPr="00361163">
        <w:rPr>
          <w:lang w:val="fr-CA"/>
        </w:rPr>
        <w:t>2017 : 17 janvier</w:t>
      </w:r>
      <w:r w:rsidR="00865CEA">
        <w:rPr>
          <w:lang w:val="fr-CA"/>
        </w:rPr>
        <w:t>.</w:t>
      </w:r>
    </w:p>
    <w:p w:rsidR="004D7D95" w:rsidRPr="00361163" w:rsidRDefault="004D7D95" w:rsidP="004D7D95">
      <w:pPr>
        <w:jc w:val="both"/>
        <w:rPr>
          <w:lang w:val="fr-CA"/>
        </w:rPr>
      </w:pPr>
    </w:p>
    <w:p w:rsidR="004D7D95" w:rsidRPr="00361163" w:rsidRDefault="004D7D95" w:rsidP="004D7D95">
      <w:pPr>
        <w:jc w:val="both"/>
        <w:rPr>
          <w:lang w:val="fr-CA"/>
        </w:rPr>
      </w:pPr>
    </w:p>
    <w:p w:rsidR="004D7D95" w:rsidRPr="00361163" w:rsidRDefault="004D7D95" w:rsidP="004D7D95">
      <w:pPr>
        <w:jc w:val="both"/>
        <w:rPr>
          <w:lang w:val="fr-CA"/>
        </w:rPr>
      </w:pPr>
    </w:p>
    <w:p w:rsidR="004D7D95" w:rsidRPr="00361163" w:rsidRDefault="004D7D95" w:rsidP="004D7D95">
      <w:pPr>
        <w:jc w:val="both"/>
        <w:rPr>
          <w:lang w:val="fr-CA"/>
        </w:rPr>
      </w:pPr>
      <w:r w:rsidRPr="00361163">
        <w:rPr>
          <w:lang w:val="fr-CA"/>
        </w:rPr>
        <w:t>Présents : Les juges Moldaver, Karakatsanis, Wagner, Brown et Rowe.</w:t>
      </w:r>
    </w:p>
    <w:p w:rsidR="004D7D95" w:rsidRPr="00361163" w:rsidRDefault="004D7D95" w:rsidP="004D7D95">
      <w:pPr>
        <w:jc w:val="both"/>
        <w:rPr>
          <w:lang w:val="fr-CA"/>
        </w:rPr>
      </w:pPr>
    </w:p>
    <w:p w:rsidR="00E320E9" w:rsidRDefault="00E320E9">
      <w:pPr>
        <w:rPr>
          <w:lang w:val="fr-CA"/>
        </w:rPr>
      </w:pPr>
    </w:p>
    <w:p w:rsidR="00E417C8" w:rsidRPr="00361163" w:rsidRDefault="00E417C8">
      <w:pPr>
        <w:rPr>
          <w:lang w:val="fr-CA"/>
        </w:rPr>
      </w:pPr>
    </w:p>
    <w:p w:rsidR="004D7D95" w:rsidRPr="00E417C8" w:rsidRDefault="004D7D95" w:rsidP="000F7993">
      <w:pPr>
        <w:jc w:val="both"/>
        <w:rPr>
          <w:smallCaps/>
          <w:lang w:val="fr-CA"/>
        </w:rPr>
      </w:pPr>
      <w:r w:rsidRPr="00E417C8">
        <w:rPr>
          <w:smallCaps/>
          <w:lang w:val="fr-CA"/>
        </w:rPr>
        <w:t xml:space="preserve">en appel de la </w:t>
      </w:r>
      <w:r w:rsidR="00E417C8" w:rsidRPr="00E417C8">
        <w:rPr>
          <w:smallCaps/>
          <w:lang w:val="fr-CA"/>
        </w:rPr>
        <w:t>cour d’</w:t>
      </w:r>
      <w:r w:rsidRPr="00E417C8">
        <w:rPr>
          <w:smallCaps/>
          <w:lang w:val="fr-CA"/>
        </w:rPr>
        <w:t>appel de l’alberta</w:t>
      </w:r>
    </w:p>
    <w:p w:rsidR="00E417C8" w:rsidRPr="00BB4C92" w:rsidRDefault="00E417C8" w:rsidP="000F7993">
      <w:pPr>
        <w:jc w:val="both"/>
        <w:rPr>
          <w:lang w:val="fr-CA"/>
        </w:rPr>
      </w:pPr>
    </w:p>
    <w:p w:rsidR="004D7D95" w:rsidRPr="00BB4C92" w:rsidRDefault="004D7D95" w:rsidP="004D7D95">
      <w:pPr>
        <w:pStyle w:val="SCCNormalDoubleSpacing"/>
        <w:rPr>
          <w:lang w:val="fr-CA"/>
        </w:rPr>
      </w:pPr>
    </w:p>
    <w:p w:rsidR="00EE6953" w:rsidRDefault="004D7D95" w:rsidP="004B6918">
      <w:pPr>
        <w:pStyle w:val="SCCNormalDoubleSpacing"/>
        <w:rPr>
          <w:i/>
          <w:lang w:val="fr-CA"/>
        </w:rPr>
      </w:pPr>
      <w:r w:rsidRPr="00BB4C92">
        <w:rPr>
          <w:lang w:val="fr-CA"/>
        </w:rPr>
        <w:tab/>
      </w:r>
      <w:r w:rsidR="00867C3C">
        <w:rPr>
          <w:i/>
          <w:lang w:val="fr-CA"/>
        </w:rPr>
        <w:t>Droit c</w:t>
      </w:r>
      <w:r w:rsidR="004B6918" w:rsidRPr="00867C3C">
        <w:rPr>
          <w:i/>
          <w:lang w:val="fr-CA"/>
        </w:rPr>
        <w:t>rimin</w:t>
      </w:r>
      <w:r w:rsidR="00867C3C">
        <w:rPr>
          <w:i/>
          <w:lang w:val="fr-CA"/>
        </w:rPr>
        <w:t>el</w:t>
      </w:r>
      <w:r w:rsidR="004B6918" w:rsidRPr="00867C3C">
        <w:rPr>
          <w:i/>
          <w:lang w:val="fr-CA"/>
        </w:rPr>
        <w:t xml:space="preserve"> </w:t>
      </w:r>
      <w:r w:rsidR="00C01A94">
        <w:rPr>
          <w:i/>
          <w:lang w:val="fr-CA"/>
        </w:rPr>
        <w:t>—</w:t>
      </w:r>
      <w:r w:rsidR="004B6918" w:rsidRPr="00867C3C">
        <w:rPr>
          <w:i/>
          <w:lang w:val="fr-CA"/>
        </w:rPr>
        <w:t xml:space="preserve"> </w:t>
      </w:r>
      <w:r w:rsidR="00EE6953">
        <w:rPr>
          <w:i/>
          <w:lang w:val="fr-CA"/>
        </w:rPr>
        <w:t>Agression sexuelle</w:t>
      </w:r>
      <w:r w:rsidR="004B6918" w:rsidRPr="00867C3C">
        <w:rPr>
          <w:i/>
          <w:lang w:val="fr-CA"/>
        </w:rPr>
        <w:t xml:space="preserve"> </w:t>
      </w:r>
      <w:r w:rsidR="00C01A94">
        <w:rPr>
          <w:i/>
          <w:lang w:val="fr-CA"/>
        </w:rPr>
        <w:t>—</w:t>
      </w:r>
      <w:r w:rsidR="004B6918" w:rsidRPr="00867C3C">
        <w:rPr>
          <w:i/>
          <w:lang w:val="fr-CA"/>
        </w:rPr>
        <w:t xml:space="preserve"> </w:t>
      </w:r>
      <w:r w:rsidR="00EE6953">
        <w:rPr>
          <w:i/>
          <w:lang w:val="fr-CA"/>
        </w:rPr>
        <w:t>Preuve</w:t>
      </w:r>
      <w:r w:rsidR="004B6918" w:rsidRPr="00867C3C">
        <w:rPr>
          <w:i/>
          <w:lang w:val="fr-CA"/>
        </w:rPr>
        <w:t xml:space="preserve"> </w:t>
      </w:r>
      <w:r w:rsidR="00C01A94">
        <w:rPr>
          <w:i/>
          <w:lang w:val="fr-CA"/>
        </w:rPr>
        <w:t>—</w:t>
      </w:r>
      <w:r w:rsidR="004B6918" w:rsidRPr="00867C3C">
        <w:rPr>
          <w:i/>
          <w:lang w:val="fr-CA"/>
        </w:rPr>
        <w:t xml:space="preserve"> </w:t>
      </w:r>
      <w:r w:rsidR="00EE6953">
        <w:rPr>
          <w:i/>
          <w:lang w:val="fr-CA"/>
        </w:rPr>
        <w:t>Preuve d’e</w:t>
      </w:r>
      <w:r w:rsidR="004B6918" w:rsidRPr="00867C3C">
        <w:rPr>
          <w:i/>
          <w:lang w:val="fr-CA"/>
        </w:rPr>
        <w:t>xpert</w:t>
      </w:r>
      <w:r w:rsidR="00EE6953">
        <w:rPr>
          <w:i/>
          <w:lang w:val="fr-CA"/>
        </w:rPr>
        <w:t xml:space="preserve"> </w:t>
      </w:r>
      <w:r w:rsidR="00C01A94">
        <w:rPr>
          <w:i/>
          <w:lang w:val="fr-CA"/>
        </w:rPr>
        <w:t>—</w:t>
      </w:r>
      <w:r w:rsidR="004B6918" w:rsidRPr="00867C3C">
        <w:rPr>
          <w:i/>
          <w:lang w:val="fr-CA"/>
        </w:rPr>
        <w:t xml:space="preserve"> </w:t>
      </w:r>
      <w:r w:rsidR="00EE6953">
        <w:rPr>
          <w:i/>
          <w:lang w:val="fr-CA"/>
        </w:rPr>
        <w:t>Analyse génétique</w:t>
      </w:r>
      <w:r w:rsidR="004B4B6C">
        <w:rPr>
          <w:i/>
          <w:lang w:val="fr-CA"/>
        </w:rPr>
        <w:t xml:space="preserve"> </w:t>
      </w:r>
      <w:r w:rsidR="00C01A94">
        <w:rPr>
          <w:i/>
          <w:lang w:val="fr-CA"/>
        </w:rPr>
        <w:t>—</w:t>
      </w:r>
      <w:r w:rsidR="00E059C9">
        <w:rPr>
          <w:i/>
          <w:lang w:val="fr-CA"/>
        </w:rPr>
        <w:t>T</w:t>
      </w:r>
      <w:r w:rsidR="00282137">
        <w:rPr>
          <w:i/>
          <w:lang w:val="fr-CA"/>
        </w:rPr>
        <w:t>émoignages de</w:t>
      </w:r>
      <w:r w:rsidR="00C66C7C">
        <w:rPr>
          <w:i/>
          <w:lang w:val="fr-CA"/>
        </w:rPr>
        <w:t>s</w:t>
      </w:r>
      <w:r w:rsidR="00282137">
        <w:rPr>
          <w:i/>
          <w:lang w:val="fr-CA"/>
        </w:rPr>
        <w:t xml:space="preserve"> expert</w:t>
      </w:r>
      <w:r w:rsidR="00C66C7C">
        <w:rPr>
          <w:i/>
          <w:lang w:val="fr-CA"/>
        </w:rPr>
        <w:t>s</w:t>
      </w:r>
      <w:r w:rsidR="00282137">
        <w:rPr>
          <w:i/>
          <w:lang w:val="fr-CA"/>
        </w:rPr>
        <w:t xml:space="preserve"> en ADN de la Couronne et de la défense </w:t>
      </w:r>
      <w:r w:rsidR="00E059C9">
        <w:rPr>
          <w:i/>
          <w:lang w:val="fr-CA"/>
        </w:rPr>
        <w:t xml:space="preserve">soumis de manière injustifiée par le juge du procès </w:t>
      </w:r>
      <w:r w:rsidR="00282137">
        <w:rPr>
          <w:i/>
          <w:lang w:val="fr-CA"/>
        </w:rPr>
        <w:t xml:space="preserve">à des degrés fondamentalement différents d’examen </w:t>
      </w:r>
      <w:r w:rsidR="00C01A94">
        <w:rPr>
          <w:i/>
          <w:lang w:val="fr-CA"/>
        </w:rPr>
        <w:t>—</w:t>
      </w:r>
      <w:r w:rsidR="00282137">
        <w:rPr>
          <w:i/>
          <w:lang w:val="fr-CA"/>
        </w:rPr>
        <w:t xml:space="preserve"> Déclaration de culpabilité écartée et nouveau procès ordonné.</w:t>
      </w:r>
    </w:p>
    <w:p w:rsidR="004D7D95" w:rsidRPr="004D7D95" w:rsidRDefault="004D7D95" w:rsidP="004D7D95">
      <w:pPr>
        <w:pStyle w:val="SCCNormalDoubleSpacing"/>
        <w:rPr>
          <w:lang w:val="fr-CA"/>
        </w:rPr>
      </w:pPr>
    </w:p>
    <w:p w:rsidR="004D7D95" w:rsidRPr="004D7D95" w:rsidRDefault="004D7D95" w:rsidP="004D7D95">
      <w:pPr>
        <w:pStyle w:val="SCCNormalDoubleSpacing"/>
        <w:keepNext/>
        <w:keepLines/>
        <w:rPr>
          <w:b/>
          <w:lang w:val="fr-CA"/>
        </w:rPr>
      </w:pPr>
      <w:r w:rsidRPr="004D7D95">
        <w:rPr>
          <w:b/>
          <w:lang w:val="fr-CA"/>
        </w:rPr>
        <w:t>Jurisprudence</w:t>
      </w:r>
    </w:p>
    <w:p w:rsidR="004D7D95" w:rsidRPr="004D7D95" w:rsidRDefault="004D7D95" w:rsidP="004D7D95">
      <w:pPr>
        <w:pStyle w:val="SCCNormalDoubleSpacing"/>
        <w:keepNext/>
        <w:keepLines/>
        <w:rPr>
          <w:lang w:val="fr-CA"/>
        </w:rPr>
      </w:pPr>
    </w:p>
    <w:p w:rsidR="004D7D95" w:rsidRPr="005D5039" w:rsidRDefault="004D7D95" w:rsidP="004D7D95">
      <w:pPr>
        <w:pStyle w:val="SCCNormalDoubleSpacing"/>
        <w:keepNext/>
        <w:keepLines/>
        <w:rPr>
          <w:b/>
          <w:lang w:val="fr-CA"/>
        </w:rPr>
      </w:pPr>
      <w:r w:rsidRPr="004D7D95">
        <w:rPr>
          <w:lang w:val="fr-CA"/>
        </w:rPr>
        <w:tab/>
      </w:r>
      <w:r w:rsidR="005D5039" w:rsidRPr="005D5039">
        <w:rPr>
          <w:b/>
          <w:lang w:val="fr-CA"/>
        </w:rPr>
        <w:t>Distinction d’avec</w:t>
      </w:r>
      <w:r w:rsidR="002C2C59">
        <w:rPr>
          <w:b/>
          <w:lang w:val="fr-CA"/>
        </w:rPr>
        <w:t xml:space="preserve"> l’arrêt</w:t>
      </w:r>
      <w:r w:rsidRPr="005D5039">
        <w:rPr>
          <w:b/>
          <w:lang w:val="fr-CA"/>
        </w:rPr>
        <w:t> :</w:t>
      </w:r>
      <w:r w:rsidRPr="005D5039">
        <w:rPr>
          <w:lang w:val="fr-CA"/>
        </w:rPr>
        <w:t xml:space="preserve"> </w:t>
      </w:r>
      <w:r w:rsidR="00FF2919" w:rsidRPr="005D5039">
        <w:rPr>
          <w:i/>
          <w:lang w:val="fr-CA"/>
        </w:rPr>
        <w:t>R. c. Sekhon</w:t>
      </w:r>
      <w:r w:rsidR="00FF2919" w:rsidRPr="005D5039">
        <w:rPr>
          <w:lang w:val="fr-CA"/>
        </w:rPr>
        <w:t>, 2014 CSC 15, [2014] 1 R.C.S. 272.</w:t>
      </w:r>
    </w:p>
    <w:p w:rsidR="004D7D95" w:rsidRPr="005D5039" w:rsidRDefault="004D7D95" w:rsidP="004D7D95">
      <w:pPr>
        <w:pStyle w:val="SCCNormalDoubleSpacing"/>
        <w:rPr>
          <w:lang w:val="fr-CA"/>
        </w:rPr>
      </w:pPr>
    </w:p>
    <w:p w:rsidR="004D7D95" w:rsidRPr="004D7D95" w:rsidRDefault="004D7D95" w:rsidP="004D7D95">
      <w:pPr>
        <w:pStyle w:val="SCCNormalDoubleSpacing"/>
        <w:rPr>
          <w:lang w:val="fr-CA"/>
        </w:rPr>
      </w:pPr>
      <w:r w:rsidRPr="005D5039">
        <w:rPr>
          <w:lang w:val="fr-CA"/>
        </w:rPr>
        <w:tab/>
      </w:r>
      <w:r w:rsidRPr="004D7D95">
        <w:rPr>
          <w:lang w:val="fr-CA"/>
        </w:rPr>
        <w:t xml:space="preserve">POURVOI contre un arrêt de la </w:t>
      </w:r>
      <w:r w:rsidR="00AE03D1">
        <w:rPr>
          <w:lang w:val="fr-CA"/>
        </w:rPr>
        <w:t>Cour d’</w:t>
      </w:r>
      <w:r w:rsidRPr="00361163">
        <w:rPr>
          <w:lang w:val="fr-CA"/>
        </w:rPr>
        <w:t>appel de l’Alberta</w:t>
      </w:r>
      <w:r w:rsidR="009C5F54">
        <w:rPr>
          <w:lang w:val="fr-CA"/>
        </w:rPr>
        <w:t xml:space="preserve"> (les juges Berger, Watson et Schutz</w:t>
      </w:r>
      <w:r w:rsidR="009C5F54" w:rsidRPr="009C5F54">
        <w:rPr>
          <w:lang w:val="fr-CA"/>
        </w:rPr>
        <w:t>),</w:t>
      </w:r>
      <w:r w:rsidR="009C5F54">
        <w:rPr>
          <w:lang w:val="fr-CA"/>
        </w:rPr>
        <w:t xml:space="preserve"> 2016 ABCA 128, </w:t>
      </w:r>
      <w:r w:rsidR="00F0216C" w:rsidRPr="00F0216C">
        <w:rPr>
          <w:lang w:val="fr-CA"/>
        </w:rPr>
        <w:t>37 Alta. L.R. (6th) 62, 29 C.R. (7th) 118, [2016] 9 W.W.R. 458, [2016] A.J. No. 457 (QL), 2016 CarswellAlta 827</w:t>
      </w:r>
      <w:r w:rsidR="00CE1787">
        <w:rPr>
          <w:lang w:val="fr-CA"/>
        </w:rPr>
        <w:t xml:space="preserve"> (WL Can.)</w:t>
      </w:r>
      <w:r w:rsidR="00F0216C" w:rsidRPr="00F0216C">
        <w:rPr>
          <w:lang w:val="fr-CA"/>
        </w:rPr>
        <w:t>,</w:t>
      </w:r>
      <w:r w:rsidR="009C5F54" w:rsidRPr="009C5F54">
        <w:rPr>
          <w:lang w:val="fr-FR"/>
        </w:rPr>
        <w:t xml:space="preserve"> </w:t>
      </w:r>
      <w:r w:rsidR="009C5F54" w:rsidRPr="005D5039">
        <w:rPr>
          <w:lang w:val="fr-FR"/>
        </w:rPr>
        <w:t xml:space="preserve">qui a confirmé la déclaration de culpabilité pour agression sexuelle </w:t>
      </w:r>
      <w:r w:rsidR="00E059C9">
        <w:rPr>
          <w:lang w:val="fr-FR"/>
        </w:rPr>
        <w:t>prononcée contre l’accusé</w:t>
      </w:r>
      <w:r w:rsidR="009C5F54">
        <w:rPr>
          <w:lang w:val="fr-FR"/>
        </w:rPr>
        <w:t>. Pourvoi</w:t>
      </w:r>
      <w:r w:rsidR="00AC08B6">
        <w:rPr>
          <w:lang w:val="fr-FR"/>
        </w:rPr>
        <w:t xml:space="preserve"> accueilli.</w:t>
      </w:r>
    </w:p>
    <w:p w:rsidR="004D7D95" w:rsidRPr="004D7D95" w:rsidRDefault="004D7D95" w:rsidP="004D7D95">
      <w:pPr>
        <w:pStyle w:val="SCCNormalDoubleSpacing"/>
        <w:rPr>
          <w:lang w:val="fr-CA"/>
        </w:rPr>
      </w:pPr>
    </w:p>
    <w:p w:rsidR="00E320E9" w:rsidRPr="00361163" w:rsidRDefault="00F0216C">
      <w:pPr>
        <w:pStyle w:val="SCCNormalDoubleSpacing"/>
        <w:rPr>
          <w:lang w:val="fr-CA"/>
        </w:rPr>
      </w:pPr>
      <w:r w:rsidRPr="00361163">
        <w:rPr>
          <w:rStyle w:val="SCCCounselNameChar"/>
          <w:lang w:val="fr-CA"/>
        </w:rPr>
        <w:tab/>
        <w:t>Nathan J. Whitling</w:t>
      </w:r>
      <w:r w:rsidRPr="00361163">
        <w:rPr>
          <w:rStyle w:val="SCCCounselSeparatorChar"/>
          <w:lang w:val="fr-CA"/>
        </w:rPr>
        <w:t xml:space="preserve"> et </w:t>
      </w:r>
      <w:r w:rsidRPr="00361163">
        <w:rPr>
          <w:rStyle w:val="SCCCounselNameChar"/>
          <w:lang w:val="fr-CA"/>
        </w:rPr>
        <w:t>Amy Lind</w:t>
      </w:r>
      <w:r w:rsidR="00274C4D">
        <w:rPr>
          <w:rStyle w:val="SCCCounselPartyRoleChar"/>
          <w:lang w:val="fr-CA"/>
        </w:rPr>
        <w:t>, pour l’appelant</w:t>
      </w:r>
      <w:r w:rsidRPr="00361163">
        <w:rPr>
          <w:rStyle w:val="SCCCounselPartyRoleChar"/>
          <w:lang w:val="fr-CA"/>
        </w:rPr>
        <w:t>.</w:t>
      </w:r>
    </w:p>
    <w:p w:rsidR="00E320E9" w:rsidRPr="00361163" w:rsidRDefault="00E320E9">
      <w:pPr>
        <w:pStyle w:val="SCCNormalDoubleSpacing"/>
        <w:rPr>
          <w:lang w:val="fr-CA"/>
        </w:rPr>
      </w:pPr>
    </w:p>
    <w:p w:rsidR="00E320E9" w:rsidRPr="00361163" w:rsidRDefault="00F0216C" w:rsidP="004C15DA">
      <w:pPr>
        <w:pStyle w:val="SCCNormalDoubleSpacing"/>
        <w:spacing w:after="480"/>
        <w:rPr>
          <w:lang w:val="fr-CA"/>
        </w:rPr>
      </w:pPr>
      <w:r w:rsidRPr="00361163">
        <w:rPr>
          <w:rStyle w:val="SCCCounselNameChar"/>
          <w:lang w:val="fr-CA"/>
        </w:rPr>
        <w:tab/>
        <w:t>Troy Couillard</w:t>
      </w:r>
      <w:r w:rsidR="00274C4D">
        <w:rPr>
          <w:rStyle w:val="SCCCounselPartyRoleChar"/>
          <w:lang w:val="fr-CA"/>
        </w:rPr>
        <w:t>, pour l’intimée</w:t>
      </w:r>
      <w:r w:rsidRPr="00361163">
        <w:rPr>
          <w:rStyle w:val="SCCCounselPartyRoleChar"/>
          <w:lang w:val="fr-CA"/>
        </w:rPr>
        <w:t>.</w:t>
      </w:r>
    </w:p>
    <w:p w:rsidR="004C15DA" w:rsidRDefault="004C15DA" w:rsidP="004C15DA">
      <w:pPr>
        <w:pStyle w:val="SCCNormalDoubleSpacing"/>
        <w:rPr>
          <w:smallCaps/>
          <w:lang w:val="fr-CA"/>
        </w:rPr>
      </w:pPr>
      <w:r>
        <w:rPr>
          <w:smallCaps/>
          <w:lang w:val="fr-CA"/>
        </w:rPr>
        <w:tab/>
      </w:r>
      <w:r w:rsidRPr="004C15DA">
        <w:rPr>
          <w:lang w:val="fr-CA"/>
        </w:rPr>
        <w:t>Ver</w:t>
      </w:r>
      <w:r>
        <w:rPr>
          <w:lang w:val="fr-CA"/>
        </w:rPr>
        <w:t>sion française du jugement de la Cour rendu oralement par</w:t>
      </w:r>
    </w:p>
    <w:p w:rsidR="0095544B" w:rsidRPr="004C11C3" w:rsidRDefault="0095544B" w:rsidP="004C11C3">
      <w:pPr>
        <w:pStyle w:val="ParaNoNdepar-AltN"/>
        <w:widowControl w:val="0"/>
        <w:numPr>
          <w:ilvl w:val="0"/>
          <w:numId w:val="1"/>
        </w:numPr>
        <w:tabs>
          <w:tab w:val="num" w:pos="1152"/>
        </w:tabs>
        <w:ind w:left="0" w:firstLine="0"/>
        <w:rPr>
          <w:lang w:val="fr-CA"/>
        </w:rPr>
      </w:pPr>
      <w:r w:rsidRPr="004C11C3">
        <w:rPr>
          <w:smallCaps/>
          <w:lang w:val="fr-CA"/>
        </w:rPr>
        <w:t>Le juge Moldaver</w:t>
      </w:r>
      <w:r w:rsidRPr="004C11C3">
        <w:rPr>
          <w:lang w:val="fr-CA"/>
        </w:rPr>
        <w:t xml:space="preserve"> — Not</w:t>
      </w:r>
      <w:r w:rsidRPr="00F8338F">
        <w:rPr>
          <w:lang w:val="fr-CA"/>
        </w:rPr>
        <w:t>r</w:t>
      </w:r>
      <w:r w:rsidRPr="004C11C3">
        <w:rPr>
          <w:lang w:val="fr-CA"/>
        </w:rPr>
        <w:t xml:space="preserve">e </w:t>
      </w:r>
      <w:r w:rsidRPr="00F8338F">
        <w:rPr>
          <w:rFonts w:cs="Times New Roman"/>
          <w:lang w:val="fr-CA"/>
        </w:rPr>
        <w:t>Cour</w:t>
      </w:r>
      <w:r w:rsidRPr="004C11C3">
        <w:rPr>
          <w:lang w:val="fr-CA"/>
        </w:rPr>
        <w:t xml:space="preserve"> est saisie du présent appel de plein droit, qui vise un arrêt de la Cour d’appel de l’Alberta dans lequel celle-ci a conclu, à la majorité, qu’aucune raison ne justifiait d’infirmer la déclaration de culpabilité pour agression sexuelle prononcée contre l’appelant. Dissident, le juge Berger aurait pour sa part annulé la déclaration de culpabilité de l’appelant et ordonné un nouveau procès.</w:t>
      </w:r>
    </w:p>
    <w:p w:rsidR="0095544B" w:rsidRPr="00CB048A" w:rsidRDefault="0095544B" w:rsidP="00F8338F">
      <w:pPr>
        <w:pStyle w:val="ParaNoNdepar-AltN"/>
        <w:widowControl w:val="0"/>
        <w:numPr>
          <w:ilvl w:val="0"/>
          <w:numId w:val="1"/>
        </w:numPr>
        <w:tabs>
          <w:tab w:val="num" w:pos="1152"/>
        </w:tabs>
        <w:ind w:left="0" w:firstLine="0"/>
        <w:rPr>
          <w:lang w:val="fr-CA"/>
        </w:rPr>
      </w:pPr>
      <w:r w:rsidRPr="00CB048A">
        <w:rPr>
          <w:lang w:val="fr-CA"/>
        </w:rPr>
        <w:t>Comme nous concluons qu’il y a lieu d’ordonner la tenue d’un nouveau procès, il n’est pas nécessaire que nous décidions de manière définitive si l’opinion contestée qu’a fournie l’expert en ADN de la Couronne relativement à la source de l’ADN de la plaignante qui a été trouvé sur le pénis de l’appelant était ou non admissible. Si l’on tente de présenter cette preuve lors du nouveau procès, un voir dire pourrait alors être requis afin de déterminer si elle est suffisamment fiable pour justifier sa réception. Il est concevable que cet élément puisse constituer, selon l’expérience de l’expert, une preuve circonstancielle dont pourrait raisonnablement être tirée une inférence relativement à l’origine de l’ADN de la plaignante. Inve</w:t>
      </w:r>
      <w:r>
        <w:rPr>
          <w:lang w:val="fr-CA"/>
        </w:rPr>
        <w:t xml:space="preserve">rsement, </w:t>
      </w:r>
      <w:r w:rsidRPr="00CB048A">
        <w:rPr>
          <w:lang w:val="fr-CA"/>
        </w:rPr>
        <w:t xml:space="preserve">le voir dire pourrait révéler qu’il s’agit seulement d’une preuve purement conjecturale, ne possédant que peu ou pas de fondement scientifique. Quoi qu’il en soit, je souligne qu’il s’agit d’une preuve qualitativement différente de celle qui était contestée dans </w:t>
      </w:r>
      <w:r w:rsidRPr="00CB048A">
        <w:rPr>
          <w:i/>
          <w:lang w:val="fr-CA"/>
        </w:rPr>
        <w:t>R. c. Sekhon</w:t>
      </w:r>
      <w:r w:rsidRPr="00CB048A">
        <w:rPr>
          <w:lang w:val="fr-CA"/>
        </w:rPr>
        <w:t>, 2014 CSC 15, [2014] 1 R.C.S. 272, où une logique défectueuse, dénuée de toute valeur probante, avait été appliquée pour inférer</w:t>
      </w:r>
      <w:r>
        <w:rPr>
          <w:lang w:val="fr-CA"/>
        </w:rPr>
        <w:t xml:space="preserve"> </w:t>
      </w:r>
      <w:r w:rsidRPr="00CB048A">
        <w:rPr>
          <w:lang w:val="fr-CA"/>
        </w:rPr>
        <w:t>l’état d’esprit de personnes transportant de grandes quantités de drogues illicites alors qu’elles franchissaient la frontière canado-américaine.</w:t>
      </w:r>
    </w:p>
    <w:p w:rsidR="0095544B" w:rsidRPr="00CB048A" w:rsidRDefault="0095544B" w:rsidP="00F8338F">
      <w:pPr>
        <w:pStyle w:val="ParaNoNdepar-AltN"/>
        <w:widowControl w:val="0"/>
        <w:numPr>
          <w:ilvl w:val="0"/>
          <w:numId w:val="1"/>
        </w:numPr>
        <w:tabs>
          <w:tab w:val="num" w:pos="1152"/>
        </w:tabs>
        <w:ind w:left="0" w:firstLine="0"/>
        <w:rPr>
          <w:lang w:val="fr-CA"/>
        </w:rPr>
      </w:pPr>
      <w:r w:rsidRPr="00CB048A">
        <w:rPr>
          <w:lang w:val="fr-CA"/>
        </w:rPr>
        <w:t xml:space="preserve">En l’espèce, à supposer que l’opinion de l’expert en ADN de la Couronne ait été admissible, l’expert de la défense en la matière l’a contestée, lui reprochant de reposer sur des conjectures et d’être dépourvue de toute assise scientifique. De prime abord, rien ne permettait de dire si cette opinion était de nature conjecturale, scientifique ou à mi-chemin entre les deux — et l’avocat de la défense n’a pas exploré cet aspect en contre-interrogatoire. </w:t>
      </w:r>
    </w:p>
    <w:p w:rsidR="0095544B" w:rsidRPr="00CB048A" w:rsidRDefault="0095544B" w:rsidP="00F8338F">
      <w:pPr>
        <w:pStyle w:val="ParaNoNdepar-AltN"/>
        <w:widowControl w:val="0"/>
        <w:numPr>
          <w:ilvl w:val="0"/>
          <w:numId w:val="1"/>
        </w:numPr>
        <w:tabs>
          <w:tab w:val="num" w:pos="1152"/>
        </w:tabs>
        <w:ind w:left="0" w:firstLine="0"/>
        <w:rPr>
          <w:lang w:val="fr-CA"/>
        </w:rPr>
      </w:pPr>
      <w:r w:rsidRPr="00CB048A">
        <w:rPr>
          <w:lang w:val="fr-CA"/>
        </w:rPr>
        <w:t>Malheureusement, bien que ni l’avocat de la Couronne ni celui de la défense n’aient fait état de la preuve contestée dans leurs plaidoiries, la juge de première instance l’a acceptée d’emblée, sans la soumettre à un examen minutieux, et elle l’a invoquée comme élément de preuve important lorsqu’elle a conclu à la culpabilité de l’appelant.</w:t>
      </w:r>
    </w:p>
    <w:p w:rsidR="0095544B" w:rsidRPr="00CB048A" w:rsidRDefault="0095544B" w:rsidP="00F8338F">
      <w:pPr>
        <w:pStyle w:val="ParaNoNdepar-AltN"/>
        <w:widowControl w:val="0"/>
        <w:numPr>
          <w:ilvl w:val="0"/>
          <w:numId w:val="1"/>
        </w:numPr>
        <w:tabs>
          <w:tab w:val="num" w:pos="1152"/>
        </w:tabs>
        <w:ind w:left="0" w:firstLine="0"/>
        <w:rPr>
          <w:lang w:val="fr-CA"/>
        </w:rPr>
      </w:pPr>
      <w:r w:rsidRPr="00CB048A">
        <w:rPr>
          <w:lang w:val="fr-CA"/>
        </w:rPr>
        <w:t>En revanche, elle a assujetti à un examen minutieux la déposition de l’expert en ADN de la défense, qui a témoigné que l’opinion contestée reposait sur des conjectures et était dépourvue de toute assise scientifique.</w:t>
      </w:r>
    </w:p>
    <w:p w:rsidR="0095544B" w:rsidRPr="00CB048A" w:rsidRDefault="0095544B" w:rsidP="00F8338F">
      <w:pPr>
        <w:pStyle w:val="ParaNoNdepar-AltN"/>
        <w:widowControl w:val="0"/>
        <w:numPr>
          <w:ilvl w:val="0"/>
          <w:numId w:val="1"/>
        </w:numPr>
        <w:tabs>
          <w:tab w:val="num" w:pos="1152"/>
        </w:tabs>
        <w:ind w:left="0" w:firstLine="0"/>
        <w:rPr>
          <w:lang w:val="fr-CA"/>
        </w:rPr>
      </w:pPr>
      <w:r w:rsidRPr="00CB048A">
        <w:rPr>
          <w:lang w:val="fr-CA"/>
        </w:rPr>
        <w:t>À notre avis, le degré fondamentalement différent d’examen auquel ont été soumis les témoignages des deux experts — absence d’examen dans le cas de l’expert de la Couronne et examen minutieux dans le cas de l’expert de la défense — était injustifié, et cette situation a eu pour effet de déplacer le fardeau de la preuve sur les épaules de l’appelant.</w:t>
      </w:r>
    </w:p>
    <w:p w:rsidR="0095544B" w:rsidRPr="00CB048A" w:rsidRDefault="0095544B" w:rsidP="00F8338F">
      <w:pPr>
        <w:pStyle w:val="ParaNoNdepar-AltN"/>
        <w:widowControl w:val="0"/>
        <w:numPr>
          <w:ilvl w:val="0"/>
          <w:numId w:val="1"/>
        </w:numPr>
        <w:tabs>
          <w:tab w:val="num" w:pos="1152"/>
        </w:tabs>
        <w:ind w:left="0" w:firstLine="0"/>
        <w:rPr>
          <w:lang w:val="fr-CA"/>
        </w:rPr>
      </w:pPr>
      <w:r w:rsidRPr="00CB048A">
        <w:rPr>
          <w:lang w:val="fr-CA"/>
        </w:rPr>
        <w:t xml:space="preserve">Dans ces circonstances, nous sommes dans l’obligation d’écarter la déclaration de culpabilité et d’ordonner un nouveau procès.  Tout en concluant ainsi, nous tenons à souligner que la Couronne n’a pas demandé que nous appliquions la disposition réparatrice. À tout événement, vu l’importance qu’a accordée la juge du procès à la preuve contestée en concluant à la culpabilité de l’appelant, il nous est impossible d’affirmer que le verdict aurait nécessairement été le même si elle ne lui avait pas accordé cette importance. </w:t>
      </w:r>
    </w:p>
    <w:p w:rsidR="00C57D60" w:rsidRDefault="0095544B" w:rsidP="00F8338F">
      <w:pPr>
        <w:pStyle w:val="ParaNoNdepar-AltN"/>
        <w:widowControl w:val="0"/>
        <w:numPr>
          <w:ilvl w:val="0"/>
          <w:numId w:val="1"/>
        </w:numPr>
        <w:tabs>
          <w:tab w:val="num" w:pos="1152"/>
        </w:tabs>
        <w:ind w:left="0" w:firstLine="0"/>
        <w:rPr>
          <w:lang w:val="fr-CA"/>
        </w:rPr>
      </w:pPr>
      <w:r w:rsidRPr="00CB048A">
        <w:rPr>
          <w:lang w:val="fr-CA"/>
        </w:rPr>
        <w:t>En conséquence, nous sommes d’avis d’accueillir l’appel, d’écarter la déclaration de culpabilité et d’ordonner un nouveau procès.</w:t>
      </w:r>
    </w:p>
    <w:p w:rsidR="004D7D95" w:rsidRPr="00C57D60" w:rsidRDefault="004D7D95" w:rsidP="004D7D95">
      <w:pPr>
        <w:pStyle w:val="SCCNormalDoubleSpacing"/>
        <w:rPr>
          <w:i/>
          <w:lang w:val="fr-CA"/>
        </w:rPr>
      </w:pPr>
      <w:r w:rsidRPr="00361163">
        <w:rPr>
          <w:lang w:val="fr-CA"/>
        </w:rPr>
        <w:tab/>
      </w:r>
      <w:r w:rsidR="00C57D60" w:rsidRPr="00C57D60">
        <w:rPr>
          <w:i/>
          <w:lang w:val="fr-CA"/>
        </w:rPr>
        <w:t>Jugement en conséquence.</w:t>
      </w:r>
    </w:p>
    <w:p w:rsidR="004D7D95" w:rsidRPr="00C57D60" w:rsidRDefault="004D7D95" w:rsidP="004D7D95">
      <w:pPr>
        <w:pStyle w:val="SCCNormalDoubleSpacing"/>
        <w:rPr>
          <w:i/>
          <w:lang w:val="fr-CA"/>
        </w:rPr>
      </w:pPr>
    </w:p>
    <w:p w:rsidR="00E320E9" w:rsidRPr="00361163" w:rsidRDefault="00F0216C">
      <w:pPr>
        <w:pStyle w:val="SCCLawFirm"/>
        <w:rPr>
          <w:lang w:val="fr-CA"/>
        </w:rPr>
      </w:pPr>
      <w:r w:rsidRPr="00361163">
        <w:rPr>
          <w:lang w:val="fr-CA"/>
        </w:rPr>
        <w:tab/>
        <w:t>Procureur</w:t>
      </w:r>
      <w:r w:rsidR="00FF2919">
        <w:rPr>
          <w:lang w:val="fr-CA"/>
        </w:rPr>
        <w:t>s</w:t>
      </w:r>
      <w:r w:rsidR="00AB141A">
        <w:rPr>
          <w:lang w:val="fr-CA"/>
        </w:rPr>
        <w:t xml:space="preserve"> de l’</w:t>
      </w:r>
      <w:r w:rsidRPr="00361163">
        <w:rPr>
          <w:lang w:val="fr-CA"/>
        </w:rPr>
        <w:t>appelant</w:t>
      </w:r>
      <w:r w:rsidR="00FF2919">
        <w:rPr>
          <w:lang w:val="fr-CA"/>
        </w:rPr>
        <w:t xml:space="preserve"> </w:t>
      </w:r>
      <w:r w:rsidR="00AB141A">
        <w:rPr>
          <w:lang w:val="fr-CA"/>
        </w:rPr>
        <w:t>: Beresh Aloneissi O’Neill Hurley O’</w:t>
      </w:r>
      <w:r w:rsidRPr="00361163">
        <w:rPr>
          <w:lang w:val="fr-CA"/>
        </w:rPr>
        <w:t>Keefe Millsap, Edmonton.</w:t>
      </w:r>
    </w:p>
    <w:p w:rsidR="00E320E9" w:rsidRPr="00361163" w:rsidRDefault="00E320E9">
      <w:pPr>
        <w:pStyle w:val="SCCLawFirm"/>
        <w:rPr>
          <w:lang w:val="fr-CA"/>
        </w:rPr>
      </w:pPr>
    </w:p>
    <w:p w:rsidR="00E320E9" w:rsidRPr="006B16B1" w:rsidRDefault="00F0216C">
      <w:pPr>
        <w:pStyle w:val="SCCLawFirm"/>
        <w:rPr>
          <w:lang w:val="fr-CA"/>
        </w:rPr>
      </w:pPr>
      <w:r w:rsidRPr="00361163">
        <w:rPr>
          <w:lang w:val="fr-CA"/>
        </w:rPr>
        <w:tab/>
      </w:r>
      <w:r w:rsidR="00FF2919" w:rsidRPr="006B16B1">
        <w:rPr>
          <w:lang w:val="fr-CA"/>
        </w:rPr>
        <w:t>Procureur de l’intimée</w:t>
      </w:r>
      <w:r w:rsidRPr="006B16B1">
        <w:rPr>
          <w:lang w:val="fr-CA"/>
        </w:rPr>
        <w:t xml:space="preserve"> : </w:t>
      </w:r>
      <w:r w:rsidR="006B16B1" w:rsidRPr="006B16B1">
        <w:rPr>
          <w:lang w:val="fr-CA"/>
        </w:rPr>
        <w:t>Ministère de la Justice de l’Alberta</w:t>
      </w:r>
      <w:r w:rsidRPr="006B16B1">
        <w:rPr>
          <w:lang w:val="fr-CA"/>
        </w:rPr>
        <w:t>, Edmonton.</w:t>
      </w:r>
    </w:p>
    <w:sectPr w:rsidR="00E320E9" w:rsidRPr="006B16B1"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7B5" w:rsidRDefault="004E0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7B5" w:rsidRDefault="004E07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7B5" w:rsidRDefault="004E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7B5" w:rsidRDefault="004E0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7B5" w:rsidRDefault="004E0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488"/>
    <w:multiLevelType w:val="hybridMultilevel"/>
    <w:tmpl w:val="4BDC9BC8"/>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E39"/>
    <w:rsid w:val="00023FC7"/>
    <w:rsid w:val="00025198"/>
    <w:rsid w:val="000578A3"/>
    <w:rsid w:val="000648CC"/>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779F"/>
    <w:rsid w:val="001D2AC1"/>
    <w:rsid w:val="001D4E88"/>
    <w:rsid w:val="00220FC2"/>
    <w:rsid w:val="002222F4"/>
    <w:rsid w:val="00224FC0"/>
    <w:rsid w:val="00225EA4"/>
    <w:rsid w:val="00226EAF"/>
    <w:rsid w:val="00231F3A"/>
    <w:rsid w:val="002406EE"/>
    <w:rsid w:val="00243EC8"/>
    <w:rsid w:val="00270D93"/>
    <w:rsid w:val="002745CC"/>
    <w:rsid w:val="00274C4D"/>
    <w:rsid w:val="00282137"/>
    <w:rsid w:val="002B6FBE"/>
    <w:rsid w:val="002B7924"/>
    <w:rsid w:val="002C10A6"/>
    <w:rsid w:val="002C2C59"/>
    <w:rsid w:val="002D28C3"/>
    <w:rsid w:val="002D39A4"/>
    <w:rsid w:val="002E6705"/>
    <w:rsid w:val="0030329A"/>
    <w:rsid w:val="0031086F"/>
    <w:rsid w:val="0031414C"/>
    <w:rsid w:val="00314E01"/>
    <w:rsid w:val="0032089D"/>
    <w:rsid w:val="003310DE"/>
    <w:rsid w:val="003323B0"/>
    <w:rsid w:val="00340A49"/>
    <w:rsid w:val="0035169A"/>
    <w:rsid w:val="0035259D"/>
    <w:rsid w:val="00355675"/>
    <w:rsid w:val="003560D3"/>
    <w:rsid w:val="00361163"/>
    <w:rsid w:val="00364B18"/>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B4B6C"/>
    <w:rsid w:val="004B6918"/>
    <w:rsid w:val="004C11C3"/>
    <w:rsid w:val="004C15DA"/>
    <w:rsid w:val="004C478D"/>
    <w:rsid w:val="004D7D95"/>
    <w:rsid w:val="004E07B5"/>
    <w:rsid w:val="004E2C26"/>
    <w:rsid w:val="005125A8"/>
    <w:rsid w:val="00517549"/>
    <w:rsid w:val="00520ABC"/>
    <w:rsid w:val="00521AE8"/>
    <w:rsid w:val="00527180"/>
    <w:rsid w:val="00542F83"/>
    <w:rsid w:val="00555291"/>
    <w:rsid w:val="00566AD1"/>
    <w:rsid w:val="00583EDE"/>
    <w:rsid w:val="005A6079"/>
    <w:rsid w:val="005D5039"/>
    <w:rsid w:val="005E4698"/>
    <w:rsid w:val="00603924"/>
    <w:rsid w:val="00610539"/>
    <w:rsid w:val="00613969"/>
    <w:rsid w:val="00625C35"/>
    <w:rsid w:val="00647E49"/>
    <w:rsid w:val="00656313"/>
    <w:rsid w:val="006565F4"/>
    <w:rsid w:val="00684EEA"/>
    <w:rsid w:val="0069689B"/>
    <w:rsid w:val="006B16B1"/>
    <w:rsid w:val="006B5FF5"/>
    <w:rsid w:val="006D45C1"/>
    <w:rsid w:val="006F30AF"/>
    <w:rsid w:val="00701759"/>
    <w:rsid w:val="00705C15"/>
    <w:rsid w:val="007110F6"/>
    <w:rsid w:val="007208D1"/>
    <w:rsid w:val="00744518"/>
    <w:rsid w:val="00747288"/>
    <w:rsid w:val="00747DD3"/>
    <w:rsid w:val="007549C8"/>
    <w:rsid w:val="00766D14"/>
    <w:rsid w:val="00767A0F"/>
    <w:rsid w:val="00791272"/>
    <w:rsid w:val="007A05F6"/>
    <w:rsid w:val="007B6F4A"/>
    <w:rsid w:val="007E1C47"/>
    <w:rsid w:val="007E337A"/>
    <w:rsid w:val="007E5C70"/>
    <w:rsid w:val="007F2FF5"/>
    <w:rsid w:val="007F3F08"/>
    <w:rsid w:val="007F4EA1"/>
    <w:rsid w:val="00804CC6"/>
    <w:rsid w:val="00817190"/>
    <w:rsid w:val="008260E2"/>
    <w:rsid w:val="008322BD"/>
    <w:rsid w:val="00834F73"/>
    <w:rsid w:val="00864C8A"/>
    <w:rsid w:val="00864CF8"/>
    <w:rsid w:val="00865CEA"/>
    <w:rsid w:val="00867C3C"/>
    <w:rsid w:val="00874914"/>
    <w:rsid w:val="00891422"/>
    <w:rsid w:val="00892E1A"/>
    <w:rsid w:val="008B660A"/>
    <w:rsid w:val="008B73A8"/>
    <w:rsid w:val="008C01DA"/>
    <w:rsid w:val="008F2674"/>
    <w:rsid w:val="008F78E9"/>
    <w:rsid w:val="009179F9"/>
    <w:rsid w:val="00917C7A"/>
    <w:rsid w:val="00933E5E"/>
    <w:rsid w:val="00935218"/>
    <w:rsid w:val="00937C52"/>
    <w:rsid w:val="009403F3"/>
    <w:rsid w:val="0095544B"/>
    <w:rsid w:val="009555B7"/>
    <w:rsid w:val="009567AA"/>
    <w:rsid w:val="009602C9"/>
    <w:rsid w:val="00967374"/>
    <w:rsid w:val="009A343A"/>
    <w:rsid w:val="009B2F23"/>
    <w:rsid w:val="009B57B3"/>
    <w:rsid w:val="009C5F54"/>
    <w:rsid w:val="009D2920"/>
    <w:rsid w:val="009D5AEB"/>
    <w:rsid w:val="009F0E33"/>
    <w:rsid w:val="00A149DF"/>
    <w:rsid w:val="00A1755C"/>
    <w:rsid w:val="00A21B90"/>
    <w:rsid w:val="00A22AAC"/>
    <w:rsid w:val="00A41805"/>
    <w:rsid w:val="00A51882"/>
    <w:rsid w:val="00A52AFB"/>
    <w:rsid w:val="00A548CB"/>
    <w:rsid w:val="00A5521C"/>
    <w:rsid w:val="00A643E7"/>
    <w:rsid w:val="00A73C38"/>
    <w:rsid w:val="00A921A7"/>
    <w:rsid w:val="00A94FE0"/>
    <w:rsid w:val="00AB141A"/>
    <w:rsid w:val="00AB670D"/>
    <w:rsid w:val="00AC08B6"/>
    <w:rsid w:val="00AE03D1"/>
    <w:rsid w:val="00AE7F9A"/>
    <w:rsid w:val="00AF03C5"/>
    <w:rsid w:val="00B000D8"/>
    <w:rsid w:val="00B00F75"/>
    <w:rsid w:val="00B145B6"/>
    <w:rsid w:val="00B279EB"/>
    <w:rsid w:val="00B50C81"/>
    <w:rsid w:val="00B557F8"/>
    <w:rsid w:val="00B815FC"/>
    <w:rsid w:val="00B93FBC"/>
    <w:rsid w:val="00BA7DA0"/>
    <w:rsid w:val="00BB2EE4"/>
    <w:rsid w:val="00BB4C92"/>
    <w:rsid w:val="00BC2108"/>
    <w:rsid w:val="00BD0E9E"/>
    <w:rsid w:val="00BD1BEC"/>
    <w:rsid w:val="00BD32FF"/>
    <w:rsid w:val="00BF6FE9"/>
    <w:rsid w:val="00C01A94"/>
    <w:rsid w:val="00C02092"/>
    <w:rsid w:val="00C24D91"/>
    <w:rsid w:val="00C26DB2"/>
    <w:rsid w:val="00C53F14"/>
    <w:rsid w:val="00C57D60"/>
    <w:rsid w:val="00C600CF"/>
    <w:rsid w:val="00C6084F"/>
    <w:rsid w:val="00C62A66"/>
    <w:rsid w:val="00C66359"/>
    <w:rsid w:val="00C66C7C"/>
    <w:rsid w:val="00C71458"/>
    <w:rsid w:val="00C77613"/>
    <w:rsid w:val="00C828E7"/>
    <w:rsid w:val="00C86719"/>
    <w:rsid w:val="00C921DD"/>
    <w:rsid w:val="00CA6391"/>
    <w:rsid w:val="00CE036E"/>
    <w:rsid w:val="00CE1787"/>
    <w:rsid w:val="00CE3171"/>
    <w:rsid w:val="00CF1601"/>
    <w:rsid w:val="00D0172F"/>
    <w:rsid w:val="00D01E33"/>
    <w:rsid w:val="00D068A7"/>
    <w:rsid w:val="00D17476"/>
    <w:rsid w:val="00D17B0E"/>
    <w:rsid w:val="00D32086"/>
    <w:rsid w:val="00D37A3F"/>
    <w:rsid w:val="00D4431D"/>
    <w:rsid w:val="00D4667A"/>
    <w:rsid w:val="00D63A1C"/>
    <w:rsid w:val="00D7516F"/>
    <w:rsid w:val="00D8246D"/>
    <w:rsid w:val="00D95F8E"/>
    <w:rsid w:val="00DA0590"/>
    <w:rsid w:val="00DC1739"/>
    <w:rsid w:val="00DC1788"/>
    <w:rsid w:val="00DE319C"/>
    <w:rsid w:val="00DF0CA8"/>
    <w:rsid w:val="00DF2B48"/>
    <w:rsid w:val="00DF49A7"/>
    <w:rsid w:val="00E059C9"/>
    <w:rsid w:val="00E07EE2"/>
    <w:rsid w:val="00E07FD1"/>
    <w:rsid w:val="00E24573"/>
    <w:rsid w:val="00E25E1E"/>
    <w:rsid w:val="00E27EE7"/>
    <w:rsid w:val="00E320E9"/>
    <w:rsid w:val="00E35404"/>
    <w:rsid w:val="00E417C8"/>
    <w:rsid w:val="00E45109"/>
    <w:rsid w:val="00E47B7A"/>
    <w:rsid w:val="00E56A44"/>
    <w:rsid w:val="00E60269"/>
    <w:rsid w:val="00E97830"/>
    <w:rsid w:val="00EE0830"/>
    <w:rsid w:val="00EE6953"/>
    <w:rsid w:val="00EE6CB8"/>
    <w:rsid w:val="00EF0683"/>
    <w:rsid w:val="00F0070C"/>
    <w:rsid w:val="00F00EB7"/>
    <w:rsid w:val="00F0216C"/>
    <w:rsid w:val="00F36AB6"/>
    <w:rsid w:val="00F37A09"/>
    <w:rsid w:val="00F409CE"/>
    <w:rsid w:val="00F4379D"/>
    <w:rsid w:val="00F50D2D"/>
    <w:rsid w:val="00F565EF"/>
    <w:rsid w:val="00F56C8B"/>
    <w:rsid w:val="00F6076E"/>
    <w:rsid w:val="00F62639"/>
    <w:rsid w:val="00F66810"/>
    <w:rsid w:val="00F8338F"/>
    <w:rsid w:val="00F84DF4"/>
    <w:rsid w:val="00F85C97"/>
    <w:rsid w:val="00FB003B"/>
    <w:rsid w:val="00FB37D2"/>
    <w:rsid w:val="00FC4EFB"/>
    <w:rsid w:val="00FD068D"/>
    <w:rsid w:val="00FD4F28"/>
    <w:rsid w:val="00FE6784"/>
    <w:rsid w:val="00FE7A8B"/>
    <w:rsid w:val="00FF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4C11C3"/>
    <w:pPr>
      <w:ind w:left="720"/>
      <w:contextualSpacing/>
    </w:pPr>
  </w:style>
  <w:style w:type="paragraph" w:customStyle="1" w:styleId="ParaNoNdepar-AltN">
    <w:name w:val="Para. No. / Nº de par. - Alt N"/>
    <w:link w:val="ParaNoNdepar-AltNChar"/>
    <w:qFormat/>
    <w:rsid w:val="004C11C3"/>
    <w:pPr>
      <w:tabs>
        <w:tab w:val="num" w:pos="1152"/>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4C11C3"/>
    <w:rPr>
      <w:rFonts w:eastAsiaTheme="minorEastAsia" w:cstheme="minorBidi"/>
      <w:sz w:val="24"/>
      <w:szCs w:val="22"/>
      <w:lang w:eastAsia="en-US"/>
    </w:rPr>
  </w:style>
  <w:style w:type="table" w:styleId="TableGrid">
    <w:name w:val="Table Grid"/>
    <w:basedOn w:val="TableNormal"/>
    <w:uiPriority w:val="59"/>
    <w:rsid w:val="00A94FE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A94FE0"/>
    <w:rPr>
      <w:szCs w:val="24"/>
      <w:lang w:val="fr-CA"/>
    </w:rPr>
  </w:style>
  <w:style w:type="paragraph" w:customStyle="1" w:styleId="SCCLsocPrefix">
    <w:name w:val="SCC.Lsoc.Prefix"/>
    <w:basedOn w:val="Normal"/>
    <w:next w:val="Normal"/>
    <w:link w:val="SCCLsocPrefixChar"/>
    <w:rsid w:val="00A94FE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A94FE0"/>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882</Words>
  <Characters>4739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2017-03-06T15:57:00Z</dcterms:created>
  <dcterms:modified xsi:type="dcterms:W3CDTF">2017-10-17T18:50:00Z</dcterms:modified>
</cp:coreProperties>
</file>