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DAB" w:rsidRDefault="005F7DAB" w:rsidP="005F7DAB">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539761322" r:id="rId8"/>
        </w:object>
      </w:r>
      <w:r>
        <w:t xml:space="preserve"> </w:t>
      </w:r>
      <w:r>
        <w:ptab w:relativeTo="margin" w:alignment="right" w:leader="none"/>
      </w:r>
    </w:p>
    <w:p w:rsidR="005F7DAB" w:rsidRDefault="005F7DAB" w:rsidP="005F7DAB">
      <w:pPr>
        <w:pStyle w:val="Header"/>
      </w:pPr>
    </w:p>
    <w:p w:rsidR="005F7DAB" w:rsidRPr="001E12E2" w:rsidRDefault="005F7DAB" w:rsidP="005F7DAB">
      <w:pPr>
        <w:jc w:val="center"/>
        <w:rPr>
          <w:b/>
        </w:rPr>
      </w:pPr>
      <w:r w:rsidRPr="001E12E2">
        <w:rPr>
          <w:b/>
        </w:rPr>
        <w:t>COUR SUPRÊME DU CANADA</w:t>
      </w:r>
    </w:p>
    <w:p w:rsidR="005F7DAB" w:rsidRDefault="005F7DAB" w:rsidP="005F7DAB"/>
    <w:p w:rsidR="00D41CEE" w:rsidRDefault="00D41CEE" w:rsidP="005F7DAB"/>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D41CEE" w:rsidRPr="0078432F" w:rsidTr="006F6E40">
        <w:trPr>
          <w:cantSplit/>
        </w:trPr>
        <w:tc>
          <w:tcPr>
            <w:tcW w:w="5130" w:type="dxa"/>
          </w:tcPr>
          <w:p w:rsidR="00D41CEE" w:rsidRDefault="00D41CEE" w:rsidP="006F6E40">
            <w:pPr>
              <w:ind w:left="-58"/>
              <w:rPr>
                <w:b/>
                <w:smallCaps/>
              </w:rPr>
            </w:pPr>
          </w:p>
          <w:p w:rsidR="00D41CEE" w:rsidRPr="00C24C89" w:rsidRDefault="00D41CEE" w:rsidP="006F6E40">
            <w:pPr>
              <w:ind w:left="-58"/>
              <w:rPr>
                <w:lang w:val="fr-CA"/>
              </w:rPr>
            </w:pPr>
            <w:r w:rsidRPr="00C24C89">
              <w:rPr>
                <w:b/>
                <w:smallCaps/>
                <w:lang w:val="fr-CA"/>
              </w:rPr>
              <w:t>Référence :</w:t>
            </w:r>
            <w:r w:rsidRPr="00C24C89">
              <w:rPr>
                <w:lang w:val="fr-CA"/>
              </w:rPr>
              <w:t xml:space="preserve"> </w:t>
            </w:r>
            <w:r w:rsidRPr="00D41CEE">
              <w:rPr>
                <w:rStyle w:val="SCCAppellantForRunningHeadChar"/>
                <w:smallCaps w:val="0"/>
                <w:lang w:val="fr-CA"/>
              </w:rPr>
              <w:t xml:space="preserve">S.H. </w:t>
            </w:r>
            <w:r w:rsidRPr="00D41CEE">
              <w:rPr>
                <w:i/>
                <w:lang w:val="fr-CA"/>
              </w:rPr>
              <w:t>c.</w:t>
            </w:r>
            <w:r w:rsidRPr="00D41CEE">
              <w:rPr>
                <w:smallCaps/>
                <w:lang w:val="fr-CA"/>
              </w:rPr>
              <w:t xml:space="preserve"> </w:t>
            </w:r>
            <w:r w:rsidRPr="00D41CEE">
              <w:rPr>
                <w:rStyle w:val="SCCAppellantForRunningHeadChar"/>
                <w:smallCaps w:val="0"/>
                <w:lang w:val="fr-CA"/>
              </w:rPr>
              <w:t>Québec (Emploi et Solidarité sociale)</w:t>
            </w:r>
            <w:r w:rsidRPr="00E73EA1">
              <w:rPr>
                <w:rStyle w:val="SCCAppellantForRunningHeadChar"/>
                <w:lang w:val="fr-CA"/>
              </w:rPr>
              <w:t xml:space="preserve">, </w:t>
            </w:r>
            <w:r w:rsidRPr="00D41CEE">
              <w:rPr>
                <w:lang w:val="fr-CA"/>
              </w:rPr>
              <w:t>2015 CSC 66, [2016] 1 R.C.S. 3</w:t>
            </w:r>
          </w:p>
        </w:tc>
        <w:tc>
          <w:tcPr>
            <w:tcW w:w="4446" w:type="dxa"/>
          </w:tcPr>
          <w:p w:rsidR="00D41CEE" w:rsidRPr="00D41CEE" w:rsidRDefault="00D41CEE" w:rsidP="006F6E40">
            <w:pPr>
              <w:rPr>
                <w:b/>
                <w:smallCaps/>
                <w:lang w:val="fr-CA"/>
              </w:rPr>
            </w:pPr>
          </w:p>
          <w:p w:rsidR="00D41CEE" w:rsidRPr="00C24C89" w:rsidRDefault="00D41CEE" w:rsidP="006F6E40">
            <w:pPr>
              <w:rPr>
                <w:lang w:val="fr-CA"/>
              </w:rPr>
            </w:pPr>
            <w:r w:rsidRPr="00C24C89">
              <w:rPr>
                <w:b/>
                <w:smallCaps/>
                <w:lang w:val="fr-CA"/>
              </w:rPr>
              <w:t>Re</w:t>
            </w:r>
            <w:r w:rsidRPr="00D41CEE">
              <w:rPr>
                <w:b/>
                <w:smallCaps/>
                <w:lang w:val="fr-CA"/>
              </w:rPr>
              <w:t>nvoi d’une affaire entendu</w:t>
            </w:r>
            <w:r w:rsidRPr="00C24C89">
              <w:rPr>
                <w:b/>
                <w:smallCaps/>
                <w:lang w:val="fr-CA"/>
              </w:rPr>
              <w:t> :</w:t>
            </w:r>
            <w:r w:rsidRPr="00D41CEE">
              <w:rPr>
                <w:lang w:val="fr-CA"/>
              </w:rPr>
              <w:t xml:space="preserve"> 13 octobre 2015</w:t>
            </w:r>
          </w:p>
          <w:p w:rsidR="00D41CEE" w:rsidRPr="00C24C89" w:rsidRDefault="00D41CEE" w:rsidP="006F6E40">
            <w:pPr>
              <w:rPr>
                <w:lang w:val="fr-CA"/>
              </w:rPr>
            </w:pPr>
            <w:r>
              <w:rPr>
                <w:b/>
                <w:smallCaps/>
                <w:lang w:val="fr-CA"/>
              </w:rPr>
              <w:t>Ordonnance</w:t>
            </w:r>
            <w:r w:rsidRPr="00C24C89">
              <w:rPr>
                <w:b/>
                <w:smallCaps/>
                <w:lang w:val="fr-CA"/>
              </w:rPr>
              <w:t> :</w:t>
            </w:r>
            <w:r>
              <w:t xml:space="preserve"> 13</w:t>
            </w:r>
            <w:r w:rsidRPr="00C24C89">
              <w:rPr>
                <w:lang w:val="fr-CA"/>
              </w:rPr>
              <w:t xml:space="preserve"> </w:t>
            </w:r>
            <w:proofErr w:type="spellStart"/>
            <w:r>
              <w:t>octobre</w:t>
            </w:r>
            <w:proofErr w:type="spellEnd"/>
            <w:r>
              <w:t xml:space="preserve"> 2015 </w:t>
            </w:r>
          </w:p>
          <w:p w:rsidR="00D41CEE" w:rsidRPr="0078432F" w:rsidRDefault="00D41CEE" w:rsidP="006F6E40">
            <w:pPr>
              <w:rPr>
                <w:lang w:val="fr-CA"/>
              </w:rPr>
            </w:pPr>
            <w:r w:rsidRPr="0078432F">
              <w:rPr>
                <w:b/>
                <w:smallCaps/>
                <w:lang w:val="fr-CA"/>
              </w:rPr>
              <w:t>Dossier :</w:t>
            </w:r>
            <w:r w:rsidRPr="0078432F">
              <w:rPr>
                <w:lang w:val="fr-CA"/>
              </w:rPr>
              <w:t xml:space="preserve"> </w:t>
            </w:r>
            <w:r>
              <w:t>36674</w:t>
            </w:r>
          </w:p>
        </w:tc>
      </w:tr>
    </w:tbl>
    <w:p w:rsidR="00D41CEE" w:rsidRPr="0078432F" w:rsidRDefault="00D41CEE" w:rsidP="00D41CEE">
      <w:pPr>
        <w:rPr>
          <w:lang w:val="fr-CA"/>
        </w:rPr>
      </w:pPr>
    </w:p>
    <w:p w:rsidR="00D41CEE" w:rsidRPr="001E12E2" w:rsidRDefault="00D41CEE" w:rsidP="005F7DAB"/>
    <w:p w:rsidR="005F7DAB" w:rsidRDefault="005F7DAB" w:rsidP="005F7DAB">
      <w:pPr>
        <w:pStyle w:val="SCCLsocPrefix"/>
      </w:pPr>
      <w:r>
        <w:t>Entre :</w:t>
      </w:r>
    </w:p>
    <w:p w:rsidR="005F7DAB" w:rsidRPr="005F7DAB" w:rsidRDefault="005F7DAB" w:rsidP="002169C0">
      <w:pPr>
        <w:pStyle w:val="SCCLsocParty"/>
        <w:jc w:val="center"/>
        <w:rPr>
          <w:lang w:val="fr-CA"/>
        </w:rPr>
      </w:pPr>
      <w:r w:rsidRPr="005F7DAB">
        <w:rPr>
          <w:lang w:val="fr-CA"/>
        </w:rPr>
        <w:t>S.H.</w:t>
      </w:r>
    </w:p>
    <w:p w:rsidR="005F7DAB" w:rsidRDefault="005F7DAB" w:rsidP="002169C0">
      <w:pPr>
        <w:jc w:val="center"/>
        <w:rPr>
          <w:lang w:val="fr-CA"/>
        </w:rPr>
      </w:pPr>
      <w:r w:rsidRPr="005F7DAB">
        <w:rPr>
          <w:lang w:val="fr-CA"/>
        </w:rPr>
        <w:t>Appelant</w:t>
      </w:r>
    </w:p>
    <w:p w:rsidR="002169C0" w:rsidRPr="005F7DAB" w:rsidRDefault="002169C0" w:rsidP="002169C0">
      <w:pPr>
        <w:jc w:val="center"/>
        <w:rPr>
          <w:lang w:val="fr-CA"/>
        </w:rPr>
      </w:pPr>
    </w:p>
    <w:p w:rsidR="005F7DAB" w:rsidRDefault="002169C0" w:rsidP="002169C0">
      <w:pPr>
        <w:pStyle w:val="SCCLsocVersus"/>
        <w:spacing w:after="0"/>
        <w:jc w:val="center"/>
        <w:rPr>
          <w:i w:val="0"/>
          <w:lang w:val="fr-CA"/>
        </w:rPr>
      </w:pPr>
      <w:proofErr w:type="gramStart"/>
      <w:r>
        <w:rPr>
          <w:i w:val="0"/>
          <w:lang w:val="fr-CA"/>
        </w:rPr>
        <w:t>e</w:t>
      </w:r>
      <w:r w:rsidR="005F7DAB" w:rsidRPr="002169C0">
        <w:rPr>
          <w:i w:val="0"/>
          <w:lang w:val="fr-CA"/>
        </w:rPr>
        <w:t>t</w:t>
      </w:r>
      <w:proofErr w:type="gramEnd"/>
    </w:p>
    <w:p w:rsidR="002169C0" w:rsidRPr="002169C0" w:rsidRDefault="002169C0" w:rsidP="002169C0">
      <w:pPr>
        <w:rPr>
          <w:lang w:val="fr-CA"/>
        </w:rPr>
      </w:pPr>
    </w:p>
    <w:p w:rsidR="005F7DAB" w:rsidRPr="0051571C" w:rsidRDefault="005F7DAB" w:rsidP="005F7DAB">
      <w:pPr>
        <w:pStyle w:val="SCCLsocLastPartyInRole"/>
        <w:spacing w:after="0"/>
        <w:jc w:val="center"/>
        <w:rPr>
          <w:lang w:val="fr-CA"/>
        </w:rPr>
      </w:pPr>
      <w:r w:rsidRPr="0051571C">
        <w:rPr>
          <w:lang w:val="fr-CA"/>
        </w:rPr>
        <w:t>Ministère de l’Emploi et de la Solidarité sociale,</w:t>
      </w:r>
    </w:p>
    <w:p w:rsidR="005F7DAB" w:rsidRPr="0051571C" w:rsidRDefault="005F7DAB" w:rsidP="005F7DAB">
      <w:pPr>
        <w:pStyle w:val="SCCLsocLastPartyInRole"/>
        <w:spacing w:after="0"/>
        <w:jc w:val="center"/>
        <w:rPr>
          <w:lang w:val="fr-CA"/>
        </w:rPr>
      </w:pPr>
      <w:r>
        <w:rPr>
          <w:lang w:val="fr-CA"/>
        </w:rPr>
        <w:t>C</w:t>
      </w:r>
      <w:r w:rsidRPr="0051571C">
        <w:rPr>
          <w:lang w:val="fr-CA"/>
        </w:rPr>
        <w:t>entre local d’emploi de Sainte-Foy, Stéphanie Paquet,</w:t>
      </w:r>
    </w:p>
    <w:p w:rsidR="005F7DAB" w:rsidRDefault="005F7DAB" w:rsidP="005F7DAB">
      <w:pPr>
        <w:pStyle w:val="SCCLsocLastPartyInRole"/>
        <w:spacing w:after="0"/>
        <w:jc w:val="center"/>
        <w:rPr>
          <w:lang w:val="fr-CA"/>
        </w:rPr>
      </w:pPr>
      <w:r w:rsidRPr="0051571C">
        <w:rPr>
          <w:lang w:val="fr-CA"/>
        </w:rPr>
        <w:t xml:space="preserve">Johanne Dufour et Centre de formation de Québec </w:t>
      </w:r>
      <w:proofErr w:type="spellStart"/>
      <w:r w:rsidRPr="0051571C">
        <w:rPr>
          <w:lang w:val="fr-CA"/>
        </w:rPr>
        <w:t>inc.</w:t>
      </w:r>
      <w:proofErr w:type="spellEnd"/>
    </w:p>
    <w:p w:rsidR="005F7DAB" w:rsidRPr="005F7DAB" w:rsidRDefault="005F7DAB" w:rsidP="002169C0">
      <w:pPr>
        <w:jc w:val="center"/>
        <w:rPr>
          <w:lang w:val="fr-CA"/>
        </w:rPr>
      </w:pPr>
      <w:r w:rsidRPr="005F7DAB">
        <w:rPr>
          <w:lang w:val="fr-CA"/>
        </w:rPr>
        <w:t>Intimés</w:t>
      </w:r>
    </w:p>
    <w:p w:rsidR="005F7DAB" w:rsidRPr="005F7DAB" w:rsidRDefault="005F7DAB" w:rsidP="005F7DAB">
      <w:pPr>
        <w:rPr>
          <w:lang w:val="fr-CA"/>
        </w:rPr>
      </w:pPr>
    </w:p>
    <w:p w:rsidR="005F7DAB" w:rsidRPr="005F7DAB" w:rsidRDefault="005F7DAB" w:rsidP="005F7DAB">
      <w:pPr>
        <w:rPr>
          <w:lang w:val="fr-CA"/>
        </w:rPr>
      </w:pPr>
    </w:p>
    <w:p w:rsidR="005F7DAB" w:rsidRPr="005F7DAB" w:rsidRDefault="005F7DAB" w:rsidP="005F7DAB">
      <w:pPr>
        <w:jc w:val="center"/>
        <w:rPr>
          <w:smallCaps/>
          <w:lang w:val="fr-CA"/>
        </w:rPr>
      </w:pPr>
      <w:r w:rsidRPr="005F7DAB">
        <w:rPr>
          <w:b/>
          <w:smallCaps/>
          <w:lang w:val="fr-CA"/>
        </w:rPr>
        <w:t>Traduction française officielle </w:t>
      </w:r>
    </w:p>
    <w:p w:rsidR="005F7DAB" w:rsidRPr="005F7DAB" w:rsidRDefault="005F7DAB" w:rsidP="005F7DAB">
      <w:pPr>
        <w:rPr>
          <w:lang w:val="fr-CA"/>
        </w:rPr>
      </w:pPr>
    </w:p>
    <w:p w:rsidR="005F7DAB" w:rsidRPr="005F7DAB" w:rsidRDefault="005F7DAB" w:rsidP="005F7DAB">
      <w:pPr>
        <w:rPr>
          <w:lang w:val="fr-CA"/>
        </w:rPr>
      </w:pPr>
      <w:r w:rsidRPr="005F7DAB">
        <w:rPr>
          <w:b/>
          <w:smallCaps/>
          <w:lang w:val="fr-CA"/>
        </w:rPr>
        <w:t>Coram </w:t>
      </w:r>
      <w:proofErr w:type="gramStart"/>
      <w:r w:rsidRPr="005F7DAB">
        <w:rPr>
          <w:b/>
          <w:smallCaps/>
          <w:lang w:val="fr-CA"/>
        </w:rPr>
        <w:t>:</w:t>
      </w:r>
      <w:r w:rsidRPr="005F7DAB">
        <w:rPr>
          <w:lang w:val="fr-CA"/>
        </w:rPr>
        <w:t xml:space="preserve">  Le</w:t>
      </w:r>
      <w:proofErr w:type="gramEnd"/>
      <w:r w:rsidRPr="005F7DAB">
        <w:rPr>
          <w:lang w:val="fr-CA"/>
        </w:rPr>
        <w:t xml:space="preserve"> juge Cromwell</w:t>
      </w:r>
    </w:p>
    <w:p w:rsidR="005F7DAB" w:rsidRPr="005F7DAB" w:rsidRDefault="005F7DAB" w:rsidP="005F7DAB">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5F7DAB" w:rsidRPr="001E12E2" w:rsidTr="00B55753">
        <w:trPr>
          <w:cantSplit/>
        </w:trPr>
        <w:tc>
          <w:tcPr>
            <w:tcW w:w="3618" w:type="dxa"/>
          </w:tcPr>
          <w:p w:rsidR="005F7DAB" w:rsidRPr="005F7DAB" w:rsidRDefault="005F7DAB" w:rsidP="005E761F">
            <w:pPr>
              <w:rPr>
                <w:b/>
                <w:smallCaps/>
                <w:lang w:val="fr-CA"/>
              </w:rPr>
            </w:pPr>
            <w:r w:rsidRPr="005F7DAB">
              <w:rPr>
                <w:b/>
                <w:smallCaps/>
                <w:lang w:val="fr-CA"/>
              </w:rPr>
              <w:t>Motifs de l’ordonnance :</w:t>
            </w:r>
            <w:bookmarkStart w:id="0" w:name="_GoBack"/>
            <w:bookmarkEnd w:id="0"/>
          </w:p>
          <w:p w:rsidR="005F7DAB" w:rsidRPr="005F7DAB" w:rsidRDefault="005F7DAB" w:rsidP="005F7DAB">
            <w:pPr>
              <w:ind w:left="-148"/>
              <w:rPr>
                <w:lang w:val="fr-CA"/>
              </w:rPr>
            </w:pPr>
            <w:r w:rsidRPr="005F7DAB">
              <w:rPr>
                <w:lang w:val="fr-CA"/>
              </w:rPr>
              <w:t>(</w:t>
            </w:r>
            <w:r w:rsidR="002169C0">
              <w:rPr>
                <w:lang w:val="fr-CA"/>
              </w:rPr>
              <w:t>(</w:t>
            </w:r>
            <w:r w:rsidRPr="005F7DAB">
              <w:rPr>
                <w:lang w:val="fr-CA"/>
              </w:rPr>
              <w:t>par. 1 à 7)</w:t>
            </w:r>
          </w:p>
        </w:tc>
        <w:tc>
          <w:tcPr>
            <w:tcW w:w="5958" w:type="dxa"/>
          </w:tcPr>
          <w:p w:rsidR="005F7DAB" w:rsidRPr="001E12E2" w:rsidRDefault="005F7DAB" w:rsidP="005F7DAB">
            <w:pPr>
              <w:ind w:left="104"/>
            </w:pPr>
            <w:r>
              <w:t xml:space="preserve">Le </w:t>
            </w:r>
            <w:proofErr w:type="spellStart"/>
            <w:r>
              <w:t>juge</w:t>
            </w:r>
            <w:proofErr w:type="spellEnd"/>
            <w:r>
              <w:t xml:space="preserve"> Cromwell </w:t>
            </w:r>
          </w:p>
        </w:tc>
      </w:tr>
    </w:tbl>
    <w:p w:rsidR="005F7DAB" w:rsidRDefault="005F7DAB" w:rsidP="005F7DAB"/>
    <w:p w:rsidR="005F7DAB" w:rsidRPr="001E12E2" w:rsidRDefault="005F7DAB" w:rsidP="005F7DAB">
      <w:r>
        <w:rPr>
          <w:noProof/>
          <w:lang w:val="en-US" w:eastAsia="en-US"/>
        </w:rPr>
        <mc:AlternateContent>
          <mc:Choice Requires="wps">
            <w:drawing>
              <wp:anchor distT="0" distB="0" distL="114300" distR="114300" simplePos="0" relativeHeight="251659264" behindDoc="0" locked="0" layoutInCell="1" allowOverlap="1" wp14:anchorId="789FD22B" wp14:editId="264EB48F">
                <wp:simplePos x="0" y="0"/>
                <wp:positionH relativeFrom="column">
                  <wp:posOffset>1609725</wp:posOffset>
                </wp:positionH>
                <wp:positionV relativeFrom="paragraph">
                  <wp:posOffset>184150</wp:posOffset>
                </wp:positionV>
                <wp:extent cx="2505075" cy="0"/>
                <wp:effectExtent l="9525" t="11430" r="952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287390" id="_x0000_t32" coordsize="21600,21600" o:spt="32" o:oned="t" path="m,l21600,21600e" filled="f">
                <v:path arrowok="t" fillok="f" o:connecttype="none"/>
                <o:lock v:ext="edit" shapetype="t"/>
              </v:shapetype>
              <v:shape id="Straight Arrow Connector 1"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T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iapJP0cUIJv+4lLL8mGuv8RwkdCZOCuouOm4As&#10;HsMOL86jEEy8JoRTNaxU20Y7tJr0BZ1NRpOY4KBVImyGMGd327K15MCCoeITqoJgd2EW9lpEsEYy&#10;sbzMPVPteY7xrQ54KAzpXGZnx3ybpbPldDkdD8ajh+VgnFbV4HlVjgcPq+xxUn2oyrLKvgdq2Thv&#10;lBBSB3ZX92bjv3PH5R6dfXfz760MyT16lIhkr+9IOnY2NPNsiy2I09qGaoQmo2Fj8OVyhRvx6zpG&#10;/fwFLH4AAAD//wMAUEsDBBQABgAIAAAAIQCqb4Iu3QAAAAkBAAAPAAAAZHJzL2Rvd25yZXYueG1s&#10;TI9Bb8IwDIXvk/YfIiPtMo2UjiIoTRGatMOOA6RdQ+O1hcapmpR2/Pp54sBuz/bT8/eyzWgbccHO&#10;144UzKYRCKTCmZpKBYf9+8sShA+ajG4coYIf9LDJHx8ynRo30CdedqEUHEI+1QqqENpUSl9UaLWf&#10;uhaJb9+uszrw2JXSdHrgcNvIOIoW0uqa+EOlW3yrsDjveqsAfZ/Mou3KloeP6/D8FV9PQ7tX6mky&#10;btcgAo7hboY/fEaHnJmOrifjRaMgTl4TtrJYcSc2LOZLFsfbQuaZ/N8g/wUAAP//AwBQSwECLQAU&#10;AAYACAAAACEAtoM4kv4AAADhAQAAEwAAAAAAAAAAAAAAAAAAAAAAW0NvbnRlbnRfVHlwZXNdLnht&#10;bFBLAQItABQABgAIAAAAIQA4/SH/1gAAAJQBAAALAAAAAAAAAAAAAAAAAC8BAABfcmVscy8ucmVs&#10;c1BLAQItABQABgAIAAAAIQBpeI+TJgIAAEoEAAAOAAAAAAAAAAAAAAAAAC4CAABkcnMvZTJvRG9j&#10;LnhtbFBLAQItABQABgAIAAAAIQCqb4Iu3QAAAAkBAAAPAAAAAAAAAAAAAAAAAIAEAABkcnMvZG93&#10;bnJldi54bWxQSwUGAAAAAAQABADzAAAAigUAAAAA&#10;"/>
            </w:pict>
          </mc:Fallback>
        </mc:AlternateContent>
      </w:r>
    </w:p>
    <w:p w:rsidR="005F7DAB" w:rsidRDefault="005F7DAB" w:rsidP="005F7DAB"/>
    <w:p w:rsidR="005F7DAB" w:rsidRDefault="005F7DAB" w:rsidP="000B4CD2">
      <w:pPr>
        <w:spacing w:after="480" w:line="480" w:lineRule="auto"/>
        <w:jc w:val="both"/>
        <w:rPr>
          <w:rStyle w:val="SCCAppellantForRunningHeadChar"/>
          <w:smallCaps w:val="0"/>
          <w:lang w:val="fr-CA"/>
        </w:rPr>
      </w:pPr>
    </w:p>
    <w:p w:rsidR="008322BD" w:rsidRPr="002A69E5" w:rsidRDefault="002A69E5" w:rsidP="000B4CD2">
      <w:pPr>
        <w:spacing w:after="480" w:line="480" w:lineRule="auto"/>
        <w:jc w:val="both"/>
        <w:rPr>
          <w:smallCaps/>
          <w:lang w:val="fr-CA"/>
        </w:rPr>
      </w:pPr>
      <w:r>
        <w:rPr>
          <w:rStyle w:val="SCCAppellantForRunningHeadChar"/>
          <w:smallCaps w:val="0"/>
          <w:lang w:val="fr-CA"/>
        </w:rPr>
        <w:t>S.H</w:t>
      </w:r>
      <w:r w:rsidR="008C3C41" w:rsidRPr="002A69E5">
        <w:rPr>
          <w:rStyle w:val="SCCAppellantForRunningHeadChar"/>
          <w:smallCaps w:val="0"/>
          <w:lang w:val="fr-CA"/>
        </w:rPr>
        <w:t xml:space="preserve">. </w:t>
      </w:r>
      <w:r w:rsidR="002A08B2" w:rsidRPr="002A69E5">
        <w:rPr>
          <w:i/>
          <w:lang w:val="fr-CA"/>
        </w:rPr>
        <w:t>c</w:t>
      </w:r>
      <w:r w:rsidR="008C3C41" w:rsidRPr="002A69E5">
        <w:rPr>
          <w:i/>
          <w:lang w:val="fr-CA"/>
        </w:rPr>
        <w:t>.</w:t>
      </w:r>
      <w:r w:rsidR="008C3C41" w:rsidRPr="002A69E5">
        <w:rPr>
          <w:smallCaps/>
          <w:lang w:val="fr-CA"/>
        </w:rPr>
        <w:t xml:space="preserve"> </w:t>
      </w:r>
      <w:r>
        <w:rPr>
          <w:rStyle w:val="SCCAppellantForRunningHeadChar"/>
          <w:smallCaps w:val="0"/>
          <w:lang w:val="fr-CA"/>
        </w:rPr>
        <w:t>Q</w:t>
      </w:r>
      <w:r w:rsidR="0054478A" w:rsidRPr="002A69E5">
        <w:rPr>
          <w:rStyle w:val="SCCAppellantForRunningHeadChar"/>
          <w:smallCaps w:val="0"/>
          <w:lang w:val="fr-CA"/>
        </w:rPr>
        <w:t>u</w:t>
      </w:r>
      <w:r w:rsidR="002A08B2" w:rsidRPr="002A69E5">
        <w:rPr>
          <w:rStyle w:val="SCCAppellantForRunningHeadChar"/>
          <w:smallCaps w:val="0"/>
          <w:lang w:val="fr-CA"/>
        </w:rPr>
        <w:t>é</w:t>
      </w:r>
      <w:r>
        <w:rPr>
          <w:rStyle w:val="SCCAppellantForRunningHeadChar"/>
          <w:smallCaps w:val="0"/>
          <w:lang w:val="fr-CA"/>
        </w:rPr>
        <w:t>bec (Emploi et S</w:t>
      </w:r>
      <w:r w:rsidR="0054478A" w:rsidRPr="002A69E5">
        <w:rPr>
          <w:rStyle w:val="SCCAppellantForRunningHeadChar"/>
          <w:smallCaps w:val="0"/>
          <w:lang w:val="fr-CA"/>
        </w:rPr>
        <w:t>olidarité sociale)</w:t>
      </w:r>
      <w:r>
        <w:rPr>
          <w:rStyle w:val="SCCAppellantForRunningHeadChar"/>
          <w:smallCaps w:val="0"/>
          <w:lang w:val="fr-CA"/>
        </w:rPr>
        <w:t xml:space="preserve">, </w:t>
      </w:r>
      <w:r w:rsidRPr="0051571C">
        <w:rPr>
          <w:lang w:val="fr-CA"/>
        </w:rPr>
        <w:t>2015 CSC 66</w:t>
      </w:r>
      <w:r>
        <w:rPr>
          <w:lang w:val="fr-CA"/>
        </w:rPr>
        <w:t>, [2016] 1 R.C.S. 3</w:t>
      </w:r>
    </w:p>
    <w:p w:rsidR="000A4D1C" w:rsidRPr="0051571C" w:rsidRDefault="0054478A">
      <w:pPr>
        <w:pStyle w:val="SCCLsocLastPartyInRole"/>
        <w:rPr>
          <w:lang w:val="fr-CA"/>
        </w:rPr>
      </w:pPr>
      <w:r w:rsidRPr="0051571C">
        <w:rPr>
          <w:lang w:val="fr-CA"/>
        </w:rPr>
        <w:t>S.H.</w:t>
      </w:r>
      <w:r w:rsidR="00E63F81" w:rsidRPr="0051571C">
        <w:rPr>
          <w:rStyle w:val="SCCLsocPartyRole"/>
          <w:lang w:val="fr-CA"/>
        </w:rPr>
        <w:tab/>
      </w:r>
      <w:r w:rsidR="00BE5C77" w:rsidRPr="0051571C">
        <w:rPr>
          <w:rStyle w:val="SCCLsocPartyRole"/>
          <w:lang w:val="fr-CA"/>
        </w:rPr>
        <w:t>Demandeur</w:t>
      </w:r>
    </w:p>
    <w:p w:rsidR="000A4D1C" w:rsidRPr="0051571C" w:rsidRDefault="002A08B2">
      <w:pPr>
        <w:pStyle w:val="SCCLsocVersus"/>
        <w:rPr>
          <w:lang w:val="fr-CA"/>
        </w:rPr>
      </w:pPr>
      <w:proofErr w:type="gramStart"/>
      <w:r w:rsidRPr="0051571C">
        <w:rPr>
          <w:lang w:val="fr-CA"/>
        </w:rPr>
        <w:lastRenderedPageBreak/>
        <w:t>c</w:t>
      </w:r>
      <w:proofErr w:type="gramEnd"/>
      <w:r w:rsidR="00E63F81" w:rsidRPr="0051571C">
        <w:rPr>
          <w:lang w:val="fr-CA"/>
        </w:rPr>
        <w:t>.</w:t>
      </w:r>
    </w:p>
    <w:p w:rsidR="00304022" w:rsidRPr="0051571C" w:rsidRDefault="0054478A" w:rsidP="0051571C">
      <w:pPr>
        <w:pStyle w:val="SCCLsocLastPartyInRole"/>
        <w:spacing w:after="0"/>
        <w:rPr>
          <w:lang w:val="fr-CA"/>
        </w:rPr>
      </w:pPr>
      <w:r w:rsidRPr="0051571C">
        <w:rPr>
          <w:lang w:val="fr-CA"/>
        </w:rPr>
        <w:t xml:space="preserve">Ministère de l’Emploi et de la Solidarité sociale, </w:t>
      </w:r>
    </w:p>
    <w:p w:rsidR="00304022" w:rsidRPr="0051571C" w:rsidRDefault="00977E03" w:rsidP="0051571C">
      <w:pPr>
        <w:pStyle w:val="SCCLsocLastPartyInRole"/>
        <w:spacing w:after="0"/>
        <w:rPr>
          <w:lang w:val="fr-CA"/>
        </w:rPr>
      </w:pPr>
      <w:r>
        <w:rPr>
          <w:lang w:val="fr-CA"/>
        </w:rPr>
        <w:t>C</w:t>
      </w:r>
      <w:r w:rsidR="0054478A" w:rsidRPr="0051571C">
        <w:rPr>
          <w:lang w:val="fr-CA"/>
        </w:rPr>
        <w:t xml:space="preserve">entre local d’emploi de Sainte-Foy, Stéphanie Paquet, </w:t>
      </w:r>
    </w:p>
    <w:p w:rsidR="0051571C" w:rsidRPr="0051571C" w:rsidRDefault="0054478A" w:rsidP="0051571C">
      <w:pPr>
        <w:pStyle w:val="SCCLsocLastPartyInRole"/>
        <w:spacing w:after="0"/>
        <w:rPr>
          <w:lang w:val="fr-CA"/>
        </w:rPr>
      </w:pPr>
      <w:r w:rsidRPr="0051571C">
        <w:rPr>
          <w:lang w:val="fr-CA"/>
        </w:rPr>
        <w:t xml:space="preserve">Johanne Dufour </w:t>
      </w:r>
      <w:r w:rsidR="002A08B2" w:rsidRPr="0051571C">
        <w:rPr>
          <w:lang w:val="fr-CA"/>
        </w:rPr>
        <w:t>et</w:t>
      </w:r>
      <w:r w:rsidRPr="0051571C">
        <w:rPr>
          <w:lang w:val="fr-CA"/>
        </w:rPr>
        <w:t xml:space="preserve"> Centre de formation de Québec </w:t>
      </w:r>
      <w:proofErr w:type="spellStart"/>
      <w:r w:rsidRPr="0051571C">
        <w:rPr>
          <w:lang w:val="fr-CA"/>
        </w:rPr>
        <w:t>inc.</w:t>
      </w:r>
      <w:proofErr w:type="spellEnd"/>
      <w:r w:rsidR="002A08B2" w:rsidRPr="0051571C">
        <w:rPr>
          <w:rStyle w:val="SCCLsocPartyRole"/>
          <w:lang w:val="fr-CA"/>
        </w:rPr>
        <w:tab/>
        <w:t>Intimé</w:t>
      </w:r>
      <w:r w:rsidRPr="0051571C">
        <w:rPr>
          <w:rStyle w:val="SCCLsocPartyRole"/>
          <w:lang w:val="fr-CA"/>
        </w:rPr>
        <w:t>s</w:t>
      </w:r>
    </w:p>
    <w:p w:rsidR="00426659" w:rsidRDefault="00BE5C77" w:rsidP="0051571C">
      <w:pPr>
        <w:spacing w:after="720"/>
        <w:jc w:val="both"/>
        <w:rPr>
          <w:b/>
          <w:lang w:val="fr-CA"/>
        </w:rPr>
      </w:pPr>
      <w:r w:rsidRPr="00952AC7">
        <w:rPr>
          <w:b/>
          <w:lang w:val="fr-CA"/>
        </w:rPr>
        <w:t>Répertorié : </w:t>
      </w:r>
      <w:r w:rsidR="0054478A" w:rsidRPr="0051571C">
        <w:rPr>
          <w:b/>
          <w:lang w:val="fr-CA"/>
        </w:rPr>
        <w:t xml:space="preserve">S.H. </w:t>
      </w:r>
      <w:r w:rsidR="002A08B2" w:rsidRPr="0051571C">
        <w:rPr>
          <w:b/>
          <w:i/>
          <w:lang w:val="fr-CA"/>
        </w:rPr>
        <w:t>c</w:t>
      </w:r>
      <w:r w:rsidR="0054478A" w:rsidRPr="0051571C">
        <w:rPr>
          <w:b/>
          <w:i/>
          <w:lang w:val="fr-CA"/>
        </w:rPr>
        <w:t>.</w:t>
      </w:r>
      <w:r w:rsidR="002A08B2" w:rsidRPr="0051571C">
        <w:rPr>
          <w:b/>
          <w:lang w:val="fr-CA"/>
        </w:rPr>
        <w:t xml:space="preserve"> Qué</w:t>
      </w:r>
      <w:r w:rsidR="0054478A" w:rsidRPr="0051571C">
        <w:rPr>
          <w:b/>
          <w:lang w:val="fr-CA"/>
        </w:rPr>
        <w:t>bec (Emploi et Solidarité sociale)</w:t>
      </w:r>
    </w:p>
    <w:p w:rsidR="00E52CD8" w:rsidRPr="0051571C" w:rsidRDefault="00E52CD8" w:rsidP="0051571C">
      <w:pPr>
        <w:spacing w:after="720"/>
        <w:jc w:val="both"/>
        <w:rPr>
          <w:b/>
          <w:lang w:val="fr-CA"/>
        </w:rPr>
      </w:pPr>
      <w:r>
        <w:rPr>
          <w:b/>
          <w:lang w:val="fr-CA"/>
        </w:rPr>
        <w:t>Répertorié : S.H.</w:t>
      </w:r>
      <w:r w:rsidRPr="00623800">
        <w:rPr>
          <w:b/>
          <w:i/>
          <w:lang w:val="fr-CA"/>
        </w:rPr>
        <w:t xml:space="preserve"> c. </w:t>
      </w:r>
      <w:r>
        <w:rPr>
          <w:b/>
          <w:lang w:val="fr-CA"/>
        </w:rPr>
        <w:t>Québec (Emploi et Solidarité sociale)</w:t>
      </w:r>
    </w:p>
    <w:p w:rsidR="00426659" w:rsidRPr="0051571C" w:rsidRDefault="00ED5464" w:rsidP="0051571C">
      <w:pPr>
        <w:pStyle w:val="SCCSystemYear"/>
        <w:spacing w:after="720"/>
        <w:jc w:val="both"/>
        <w:rPr>
          <w:lang w:val="fr-CA"/>
        </w:rPr>
      </w:pPr>
      <w:r w:rsidRPr="0051571C">
        <w:rPr>
          <w:lang w:val="fr-CA"/>
        </w:rPr>
        <w:t>201</w:t>
      </w:r>
      <w:r w:rsidR="00952AC7" w:rsidRPr="0051571C">
        <w:rPr>
          <w:lang w:val="fr-CA"/>
        </w:rPr>
        <w:t>5</w:t>
      </w:r>
      <w:r w:rsidR="003D0399" w:rsidRPr="0051571C">
        <w:rPr>
          <w:lang w:val="fr-CA"/>
        </w:rPr>
        <w:t xml:space="preserve"> </w:t>
      </w:r>
      <w:r w:rsidR="00426659" w:rsidRPr="0051571C">
        <w:rPr>
          <w:lang w:val="fr-CA"/>
        </w:rPr>
        <w:t>C</w:t>
      </w:r>
      <w:r w:rsidR="002A08B2" w:rsidRPr="0051571C">
        <w:rPr>
          <w:lang w:val="fr-CA"/>
        </w:rPr>
        <w:t>S</w:t>
      </w:r>
      <w:r w:rsidR="00426659" w:rsidRPr="0051571C">
        <w:rPr>
          <w:lang w:val="fr-CA"/>
        </w:rPr>
        <w:t>C </w:t>
      </w:r>
      <w:r w:rsidR="00952AC7" w:rsidRPr="0051571C">
        <w:rPr>
          <w:lang w:val="fr-CA"/>
        </w:rPr>
        <w:t>66</w:t>
      </w:r>
    </w:p>
    <w:p w:rsidR="008322BD" w:rsidRPr="0051571C" w:rsidRDefault="00BE5C77" w:rsidP="0051571C">
      <w:pPr>
        <w:spacing w:after="720"/>
        <w:jc w:val="both"/>
        <w:rPr>
          <w:lang w:val="fr-CA"/>
        </w:rPr>
      </w:pPr>
      <w:r w:rsidRPr="00063C5E">
        <w:rPr>
          <w:lang w:val="fr-CA"/>
        </w:rPr>
        <w:t>N</w:t>
      </w:r>
      <w:r w:rsidRPr="00063C5E">
        <w:rPr>
          <w:vertAlign w:val="superscript"/>
          <w:lang w:val="fr-CA"/>
        </w:rPr>
        <w:t>o</w:t>
      </w:r>
      <w:r w:rsidRPr="00063C5E">
        <w:rPr>
          <w:lang w:val="fr-CA"/>
        </w:rPr>
        <w:t xml:space="preserve"> du greffe : </w:t>
      </w:r>
      <w:r w:rsidR="009B57B3" w:rsidRPr="0051571C">
        <w:rPr>
          <w:lang w:val="fr-CA"/>
        </w:rPr>
        <w:t>36</w:t>
      </w:r>
      <w:r w:rsidR="0054478A" w:rsidRPr="0051571C">
        <w:rPr>
          <w:lang w:val="fr-CA"/>
        </w:rPr>
        <w:t>674</w:t>
      </w:r>
      <w:r w:rsidR="009B57B3" w:rsidRPr="0051571C">
        <w:rPr>
          <w:lang w:val="fr-CA"/>
        </w:rPr>
        <w:t>.</w:t>
      </w:r>
    </w:p>
    <w:p w:rsidR="008322BD" w:rsidRPr="0051571C" w:rsidRDefault="008C3C41" w:rsidP="0051571C">
      <w:pPr>
        <w:spacing w:after="720"/>
        <w:jc w:val="both"/>
        <w:rPr>
          <w:lang w:val="fr-CA"/>
        </w:rPr>
      </w:pPr>
      <w:r w:rsidRPr="0051571C">
        <w:rPr>
          <w:lang w:val="fr-CA"/>
        </w:rPr>
        <w:t>2015</w:t>
      </w:r>
      <w:r w:rsidR="002A08B2" w:rsidRPr="0051571C">
        <w:rPr>
          <w:lang w:val="fr-CA"/>
        </w:rPr>
        <w:t> </w:t>
      </w:r>
      <w:r w:rsidRPr="0051571C">
        <w:rPr>
          <w:lang w:val="fr-CA"/>
        </w:rPr>
        <w:t>:</w:t>
      </w:r>
      <w:r w:rsidR="002A08B2" w:rsidRPr="0051571C">
        <w:rPr>
          <w:lang w:val="fr-CA"/>
        </w:rPr>
        <w:t> 13 o</w:t>
      </w:r>
      <w:r w:rsidR="0054478A" w:rsidRPr="0051571C">
        <w:rPr>
          <w:lang w:val="fr-CA"/>
        </w:rPr>
        <w:t>ctobr</w:t>
      </w:r>
      <w:r w:rsidR="002A08B2" w:rsidRPr="0051571C">
        <w:rPr>
          <w:lang w:val="fr-CA"/>
        </w:rPr>
        <w:t>e</w:t>
      </w:r>
      <w:r w:rsidR="009B57B3" w:rsidRPr="0051571C">
        <w:rPr>
          <w:lang w:val="fr-CA"/>
        </w:rPr>
        <w:t>.</w:t>
      </w:r>
    </w:p>
    <w:p w:rsidR="008322BD" w:rsidRPr="0051571C" w:rsidRDefault="008C3C41" w:rsidP="0051571C">
      <w:pPr>
        <w:spacing w:after="720"/>
        <w:jc w:val="both"/>
        <w:rPr>
          <w:lang w:val="fr-CA"/>
        </w:rPr>
      </w:pPr>
      <w:r w:rsidRPr="0051571C">
        <w:rPr>
          <w:lang w:val="fr-CA"/>
        </w:rPr>
        <w:t>Pr</w:t>
      </w:r>
      <w:r w:rsidR="002A08B2" w:rsidRPr="0051571C">
        <w:rPr>
          <w:lang w:val="fr-CA"/>
        </w:rPr>
        <w:t>é</w:t>
      </w:r>
      <w:r w:rsidRPr="0051571C">
        <w:rPr>
          <w:lang w:val="fr-CA"/>
        </w:rPr>
        <w:t>sent</w:t>
      </w:r>
      <w:r w:rsidR="002A08B2" w:rsidRPr="0051571C">
        <w:rPr>
          <w:lang w:val="fr-CA"/>
        </w:rPr>
        <w:t> </w:t>
      </w:r>
      <w:r w:rsidR="00BE5C77" w:rsidRPr="0051571C">
        <w:rPr>
          <w:lang w:val="fr-CA"/>
        </w:rPr>
        <w:t>: </w:t>
      </w:r>
      <w:r w:rsidR="002A08B2" w:rsidRPr="0051571C">
        <w:rPr>
          <w:lang w:val="fr-CA"/>
        </w:rPr>
        <w:t xml:space="preserve">Le juge </w:t>
      </w:r>
      <w:r w:rsidR="009B57B3" w:rsidRPr="0051571C">
        <w:rPr>
          <w:lang w:val="fr-CA"/>
        </w:rPr>
        <w:t>Cromwell</w:t>
      </w:r>
      <w:r w:rsidR="00BE5C77" w:rsidRPr="0051571C">
        <w:rPr>
          <w:lang w:val="fr-CA"/>
        </w:rPr>
        <w:t>.</w:t>
      </w:r>
    </w:p>
    <w:p w:rsidR="008322BD" w:rsidRDefault="000232D7" w:rsidP="0051571C">
      <w:pPr>
        <w:pStyle w:val="SCCLowerCourtNameLowercase"/>
        <w:spacing w:after="720" w:line="240" w:lineRule="auto"/>
        <w:rPr>
          <w:lang w:val="fr-CA"/>
        </w:rPr>
      </w:pPr>
      <w:r w:rsidRPr="00977E03">
        <w:rPr>
          <w:lang w:val="fr-CA"/>
        </w:rPr>
        <w:t>renvoi d’une affaire à un juge</w:t>
      </w:r>
    </w:p>
    <w:p w:rsidR="008322BD" w:rsidRPr="0051571C" w:rsidRDefault="000232D7" w:rsidP="00FC4EFB">
      <w:pPr>
        <w:pStyle w:val="SCCNormalDoubleSpacing"/>
        <w:rPr>
          <w:lang w:val="fr-CA"/>
        </w:rPr>
      </w:pPr>
      <w:r w:rsidRPr="00977E03">
        <w:rPr>
          <w:rStyle w:val="QuoteChar"/>
          <w:color w:val="auto"/>
          <w:lang w:val="fr-CA"/>
        </w:rPr>
        <w:tab/>
        <w:t>Procédure civile — Cour suprême du Canada — Dépôt de documents par le demandeur —</w:t>
      </w:r>
      <w:r w:rsidR="009A0DDB">
        <w:rPr>
          <w:rStyle w:val="QuoteChar"/>
          <w:color w:val="auto"/>
          <w:lang w:val="fr-CA"/>
        </w:rPr>
        <w:t xml:space="preserve"> </w:t>
      </w:r>
      <w:r w:rsidRPr="00977E03">
        <w:rPr>
          <w:rStyle w:val="QuoteChar"/>
          <w:color w:val="auto"/>
          <w:lang w:val="fr-CA"/>
        </w:rPr>
        <w:t>Affaire renvoyée à un juge par le registraire —</w:t>
      </w:r>
      <w:r w:rsidR="009A0DDB">
        <w:rPr>
          <w:rStyle w:val="QuoteChar"/>
          <w:color w:val="auto"/>
          <w:lang w:val="fr-CA"/>
        </w:rPr>
        <w:t xml:space="preserve"> </w:t>
      </w:r>
      <w:r w:rsidRPr="00977E03">
        <w:rPr>
          <w:rStyle w:val="QuoteChar"/>
          <w:color w:val="auto"/>
          <w:lang w:val="fr-CA"/>
        </w:rPr>
        <w:t xml:space="preserve">Pouvoir du registraire de refuser tout document </w:t>
      </w:r>
      <w:r w:rsidR="004C501F">
        <w:rPr>
          <w:rStyle w:val="QuoteChar"/>
          <w:color w:val="auto"/>
          <w:lang w:val="fr-CA"/>
        </w:rPr>
        <w:t>non conforme aux exigences des R</w:t>
      </w:r>
      <w:r w:rsidRPr="00977E03">
        <w:rPr>
          <w:rStyle w:val="QuoteChar"/>
          <w:color w:val="auto"/>
          <w:lang w:val="fr-CA"/>
        </w:rPr>
        <w:t xml:space="preserve">ègles de la Cour — Les documents ne respectent pas les exigences et le registraire doit les retourner </w:t>
      </w:r>
      <w:r w:rsidRPr="00977E03">
        <w:rPr>
          <w:rStyle w:val="QuoteChar"/>
          <w:i w:val="0"/>
          <w:color w:val="auto"/>
          <w:lang w:val="fr-CA"/>
        </w:rPr>
        <w:t xml:space="preserve">— </w:t>
      </w:r>
      <w:r w:rsidRPr="00977E03">
        <w:rPr>
          <w:i/>
          <w:lang w:val="fr-CA"/>
        </w:rPr>
        <w:t>Règles de la Cour suprême du Canada, DORS/2002</w:t>
      </w:r>
      <w:r w:rsidRPr="00977E03">
        <w:rPr>
          <w:i/>
          <w:lang w:val="fr-CA"/>
        </w:rPr>
        <w:noBreakHyphen/>
        <w:t>156, règles 8(2), 19(2)a).</w:t>
      </w:r>
    </w:p>
    <w:p w:rsidR="00A149DF" w:rsidRPr="0051571C" w:rsidRDefault="00A149DF" w:rsidP="00FC4EFB">
      <w:pPr>
        <w:pStyle w:val="SCCNormalDoubleSpacing"/>
        <w:rPr>
          <w:lang w:val="fr-CA"/>
        </w:rPr>
      </w:pPr>
    </w:p>
    <w:p w:rsidR="00BE5C77" w:rsidRPr="004D7D95" w:rsidRDefault="00BE5C77" w:rsidP="0071377F">
      <w:pPr>
        <w:pStyle w:val="SCCNormalDoubleSpacing"/>
        <w:spacing w:after="240" w:line="240" w:lineRule="auto"/>
        <w:rPr>
          <w:b/>
          <w:lang w:val="fr-CA"/>
        </w:rPr>
      </w:pPr>
      <w:r w:rsidRPr="004D7D95">
        <w:rPr>
          <w:b/>
          <w:lang w:val="fr-CA"/>
        </w:rPr>
        <w:t>Lois et règlements cités</w:t>
      </w:r>
    </w:p>
    <w:p w:rsidR="00A41805" w:rsidRPr="0051571C" w:rsidRDefault="00A41805" w:rsidP="00FC4EFB">
      <w:pPr>
        <w:pStyle w:val="SCCNormalDoubleSpacing"/>
        <w:spacing w:line="240" w:lineRule="auto"/>
        <w:ind w:left="540" w:hanging="540"/>
        <w:rPr>
          <w:lang w:val="fr-CA"/>
        </w:rPr>
      </w:pPr>
    </w:p>
    <w:p w:rsidR="003752FC" w:rsidRPr="0051571C" w:rsidRDefault="007E7FCA" w:rsidP="00FC4EFB">
      <w:pPr>
        <w:pStyle w:val="SCCNormalDoubleSpacing"/>
        <w:spacing w:line="240" w:lineRule="auto"/>
        <w:ind w:left="540" w:hanging="540"/>
        <w:rPr>
          <w:lang w:val="fr-CA"/>
        </w:rPr>
      </w:pPr>
      <w:r w:rsidRPr="0051571C">
        <w:rPr>
          <w:i/>
          <w:lang w:val="fr-CA"/>
        </w:rPr>
        <w:t>Charte canadienne des droits et libertés</w:t>
      </w:r>
      <w:r w:rsidR="003752FC" w:rsidRPr="0051571C">
        <w:rPr>
          <w:lang w:val="fr-CA"/>
        </w:rPr>
        <w:t>.</w:t>
      </w:r>
    </w:p>
    <w:p w:rsidR="003752FC" w:rsidRPr="0051571C" w:rsidRDefault="003752FC" w:rsidP="00FC4EFB">
      <w:pPr>
        <w:pStyle w:val="SCCNormalDoubleSpacing"/>
        <w:spacing w:line="240" w:lineRule="auto"/>
        <w:ind w:left="540" w:hanging="540"/>
        <w:rPr>
          <w:lang w:val="fr-CA"/>
        </w:rPr>
      </w:pPr>
    </w:p>
    <w:p w:rsidR="00A149DF" w:rsidRPr="0051571C" w:rsidRDefault="007E7FCA" w:rsidP="00FC4EFB">
      <w:pPr>
        <w:pStyle w:val="SCCNormalDoubleSpacing"/>
        <w:spacing w:line="240" w:lineRule="auto"/>
        <w:ind w:left="540" w:hanging="540"/>
        <w:rPr>
          <w:lang w:val="fr-CA"/>
        </w:rPr>
      </w:pPr>
      <w:r w:rsidRPr="0051571C">
        <w:rPr>
          <w:i/>
          <w:lang w:val="fr-CA"/>
        </w:rPr>
        <w:t>Charte des droits et libertés de la personne</w:t>
      </w:r>
      <w:r w:rsidR="00F1696A" w:rsidRPr="0051571C">
        <w:rPr>
          <w:lang w:val="fr-CA"/>
        </w:rPr>
        <w:t xml:space="preserve">, </w:t>
      </w:r>
      <w:r w:rsidRPr="0051571C">
        <w:rPr>
          <w:lang w:val="fr-CA"/>
        </w:rPr>
        <w:t>RLRQ</w:t>
      </w:r>
      <w:r w:rsidR="00F1696A" w:rsidRPr="0051571C">
        <w:rPr>
          <w:lang w:val="fr-CA"/>
        </w:rPr>
        <w:t>, c. C</w:t>
      </w:r>
      <w:r w:rsidR="00F1696A" w:rsidRPr="0051571C">
        <w:rPr>
          <w:lang w:val="fr-CA"/>
        </w:rPr>
        <w:noBreakHyphen/>
        <w:t>12.</w:t>
      </w:r>
    </w:p>
    <w:p w:rsidR="00935218" w:rsidRPr="0051571C" w:rsidRDefault="00935218" w:rsidP="00FC4EFB">
      <w:pPr>
        <w:pStyle w:val="SCCNormalDoubleSpacing"/>
        <w:spacing w:line="240" w:lineRule="auto"/>
        <w:ind w:left="540" w:hanging="540"/>
        <w:rPr>
          <w:lang w:val="fr-CA"/>
        </w:rPr>
      </w:pPr>
    </w:p>
    <w:p w:rsidR="003752FC" w:rsidRPr="0051571C" w:rsidRDefault="007E7FCA" w:rsidP="003752FC">
      <w:pPr>
        <w:pStyle w:val="SCCNormalDoubleSpacing"/>
        <w:spacing w:line="240" w:lineRule="auto"/>
        <w:ind w:left="540" w:hanging="540"/>
        <w:rPr>
          <w:lang w:val="fr-CA"/>
        </w:rPr>
      </w:pPr>
      <w:r w:rsidRPr="0051571C">
        <w:rPr>
          <w:i/>
          <w:lang w:val="fr-CA"/>
        </w:rPr>
        <w:t>Code de procédure civile</w:t>
      </w:r>
      <w:r w:rsidR="003752FC" w:rsidRPr="0051571C">
        <w:rPr>
          <w:lang w:val="fr-CA"/>
        </w:rPr>
        <w:t xml:space="preserve">, </w:t>
      </w:r>
      <w:r w:rsidRPr="0051571C">
        <w:rPr>
          <w:lang w:val="fr-CA"/>
        </w:rPr>
        <w:t>RLRQ</w:t>
      </w:r>
      <w:r w:rsidR="00F1696A" w:rsidRPr="0051571C">
        <w:rPr>
          <w:lang w:val="fr-CA"/>
        </w:rPr>
        <w:t>, c. C</w:t>
      </w:r>
      <w:r w:rsidR="00F1696A" w:rsidRPr="0051571C">
        <w:rPr>
          <w:lang w:val="fr-CA"/>
        </w:rPr>
        <w:noBreakHyphen/>
        <w:t xml:space="preserve">25, </w:t>
      </w:r>
      <w:r w:rsidR="003752FC" w:rsidRPr="0051571C">
        <w:rPr>
          <w:lang w:val="fr-CA"/>
        </w:rPr>
        <w:t>art. 5, 26, 54.1.</w:t>
      </w:r>
    </w:p>
    <w:p w:rsidR="00F1696A" w:rsidRPr="0051571C" w:rsidRDefault="00F1696A" w:rsidP="003752FC">
      <w:pPr>
        <w:pStyle w:val="SCCNormalDoubleSpacing"/>
        <w:spacing w:line="240" w:lineRule="auto"/>
        <w:ind w:left="540" w:hanging="540"/>
        <w:rPr>
          <w:lang w:val="fr-CA"/>
        </w:rPr>
      </w:pPr>
    </w:p>
    <w:p w:rsidR="003752FC" w:rsidRPr="0051571C" w:rsidRDefault="007E7FCA" w:rsidP="003752FC">
      <w:pPr>
        <w:pStyle w:val="SCCNormalDoubleSpacing"/>
        <w:spacing w:line="240" w:lineRule="auto"/>
        <w:ind w:left="540" w:hanging="540"/>
        <w:rPr>
          <w:lang w:val="fr-CA"/>
        </w:rPr>
      </w:pPr>
      <w:r w:rsidRPr="0051571C">
        <w:rPr>
          <w:i/>
          <w:lang w:val="fr-CA"/>
        </w:rPr>
        <w:t>Loi sur la Cour suprême</w:t>
      </w:r>
      <w:r w:rsidR="003752FC" w:rsidRPr="0051571C">
        <w:rPr>
          <w:lang w:val="fr-CA"/>
        </w:rPr>
        <w:t xml:space="preserve">, </w:t>
      </w:r>
      <w:r w:rsidRPr="0051571C">
        <w:rPr>
          <w:lang w:val="fr-CA"/>
        </w:rPr>
        <w:t>L.</w:t>
      </w:r>
      <w:r w:rsidR="00F1696A" w:rsidRPr="0051571C">
        <w:rPr>
          <w:lang w:val="fr-CA"/>
        </w:rPr>
        <w:t>R.C. 1985, c. S</w:t>
      </w:r>
      <w:r w:rsidR="00F1696A" w:rsidRPr="0051571C">
        <w:rPr>
          <w:lang w:val="fr-CA"/>
        </w:rPr>
        <w:noBreakHyphen/>
        <w:t xml:space="preserve">26, </w:t>
      </w:r>
      <w:r w:rsidRPr="0051571C">
        <w:rPr>
          <w:lang w:val="fr-CA"/>
        </w:rPr>
        <w:t>art</w:t>
      </w:r>
      <w:r w:rsidR="003752FC" w:rsidRPr="0051571C">
        <w:rPr>
          <w:lang w:val="fr-CA"/>
        </w:rPr>
        <w:t xml:space="preserve">. 28, </w:t>
      </w:r>
      <w:r w:rsidR="00F1696A" w:rsidRPr="0051571C">
        <w:rPr>
          <w:lang w:val="fr-CA"/>
        </w:rPr>
        <w:t xml:space="preserve">43(1.2), </w:t>
      </w:r>
      <w:r w:rsidR="003752FC" w:rsidRPr="0051571C">
        <w:rPr>
          <w:lang w:val="fr-CA"/>
        </w:rPr>
        <w:t>61.</w:t>
      </w:r>
    </w:p>
    <w:p w:rsidR="003752FC" w:rsidRPr="0051571C" w:rsidRDefault="003752FC" w:rsidP="003752FC">
      <w:pPr>
        <w:pStyle w:val="SCCNormalDoubleSpacing"/>
        <w:spacing w:line="240" w:lineRule="auto"/>
        <w:ind w:left="540" w:hanging="540"/>
        <w:rPr>
          <w:lang w:val="fr-CA"/>
        </w:rPr>
      </w:pPr>
    </w:p>
    <w:p w:rsidR="007E7FCA" w:rsidRPr="0051571C" w:rsidRDefault="007E7FCA" w:rsidP="0071377F">
      <w:pPr>
        <w:pStyle w:val="SCCNormalDoubleSpacing"/>
        <w:spacing w:after="240" w:line="240" w:lineRule="auto"/>
        <w:ind w:left="547" w:hanging="547"/>
        <w:rPr>
          <w:lang w:val="fr-CA"/>
        </w:rPr>
      </w:pPr>
      <w:r w:rsidRPr="0051571C">
        <w:rPr>
          <w:i/>
          <w:lang w:val="fr-CA"/>
        </w:rPr>
        <w:t>Règles de la Cour suprême du Canada</w:t>
      </w:r>
      <w:r w:rsidRPr="0051571C">
        <w:rPr>
          <w:lang w:val="fr-CA"/>
        </w:rPr>
        <w:t>, DORS/2002</w:t>
      </w:r>
      <w:r w:rsidRPr="0051571C">
        <w:rPr>
          <w:lang w:val="fr-CA"/>
        </w:rPr>
        <w:noBreakHyphen/>
        <w:t xml:space="preserve">156, </w:t>
      </w:r>
      <w:r w:rsidR="006A7619" w:rsidRPr="00977E03">
        <w:rPr>
          <w:lang w:val="fr-CA"/>
        </w:rPr>
        <w:t>règles</w:t>
      </w:r>
      <w:r w:rsidRPr="0051571C">
        <w:rPr>
          <w:lang w:val="fr-CA"/>
        </w:rPr>
        <w:t xml:space="preserve"> 8(2), 13, 19(2)</w:t>
      </w:r>
      <w:r w:rsidRPr="0051571C">
        <w:rPr>
          <w:i/>
          <w:lang w:val="fr-CA"/>
        </w:rPr>
        <w:t>a</w:t>
      </w:r>
      <w:r w:rsidRPr="0051571C">
        <w:rPr>
          <w:lang w:val="fr-CA"/>
        </w:rPr>
        <w:t>), 33</w:t>
      </w:r>
      <w:r w:rsidRPr="0051571C">
        <w:rPr>
          <w:i/>
          <w:lang w:val="fr-CA"/>
        </w:rPr>
        <w:t>b</w:t>
      </w:r>
      <w:r w:rsidRPr="0051571C">
        <w:rPr>
          <w:lang w:val="fr-CA"/>
        </w:rPr>
        <w:t>).</w:t>
      </w:r>
    </w:p>
    <w:p w:rsidR="007E7FCA" w:rsidRPr="0051571C" w:rsidRDefault="007E7FCA" w:rsidP="007E7FCA">
      <w:pPr>
        <w:pStyle w:val="SCCNormalDoubleSpacing"/>
        <w:spacing w:line="240" w:lineRule="auto"/>
        <w:ind w:left="540" w:hanging="540"/>
        <w:rPr>
          <w:lang w:val="fr-CA"/>
        </w:rPr>
      </w:pPr>
    </w:p>
    <w:p w:rsidR="00A149DF" w:rsidRPr="0051571C" w:rsidRDefault="00A149DF" w:rsidP="00FC4EFB">
      <w:pPr>
        <w:pStyle w:val="SCCNormalDoubleSpacing"/>
        <w:spacing w:line="240" w:lineRule="auto"/>
        <w:ind w:left="540" w:hanging="540"/>
        <w:rPr>
          <w:lang w:val="fr-CA"/>
        </w:rPr>
      </w:pPr>
    </w:p>
    <w:p w:rsidR="000232D7" w:rsidRDefault="009B57B3" w:rsidP="00FC4EFB">
      <w:pPr>
        <w:pStyle w:val="SCCNormalDoubleSpacing"/>
        <w:rPr>
          <w:lang w:val="fr-CA"/>
        </w:rPr>
      </w:pPr>
      <w:r w:rsidRPr="0051571C">
        <w:rPr>
          <w:lang w:val="fr-CA"/>
        </w:rPr>
        <w:tab/>
      </w:r>
      <w:r w:rsidR="000232D7" w:rsidRPr="00977E03">
        <w:rPr>
          <w:lang w:val="fr-CA"/>
        </w:rPr>
        <w:t>RENVOI d’une affaire à un juge par le registraire. Ordonnance enjoignant au registraire de retourner les documents déposés par le demandeur.</w:t>
      </w:r>
    </w:p>
    <w:p w:rsidR="00656313" w:rsidRPr="0051571C" w:rsidRDefault="000232D7" w:rsidP="00FC4EFB">
      <w:pPr>
        <w:pStyle w:val="SCCNormalDoubleSpacing"/>
        <w:rPr>
          <w:lang w:val="fr-CA"/>
        </w:rPr>
      </w:pPr>
      <w:r w:rsidRPr="0051571C">
        <w:rPr>
          <w:lang w:val="fr-CA"/>
        </w:rPr>
        <w:t xml:space="preserve"> </w:t>
      </w:r>
    </w:p>
    <w:p w:rsidR="000A4D1C" w:rsidRPr="0051571C" w:rsidRDefault="00277068">
      <w:pPr>
        <w:pStyle w:val="SCCNormalDoubleSpacing"/>
        <w:rPr>
          <w:lang w:val="fr-CA"/>
        </w:rPr>
      </w:pPr>
      <w:r w:rsidRPr="0051571C">
        <w:rPr>
          <w:rStyle w:val="SCCCounselNameChar"/>
          <w:i w:val="0"/>
          <w:lang w:val="fr-CA"/>
        </w:rPr>
        <w:tab/>
      </w:r>
      <w:r w:rsidR="00A31BB9" w:rsidRPr="0051571C">
        <w:rPr>
          <w:rStyle w:val="SCCCounselNameChar"/>
          <w:lang w:val="fr-CA"/>
        </w:rPr>
        <w:t>S.H.</w:t>
      </w:r>
      <w:r w:rsidR="00A31BB9" w:rsidRPr="0051571C">
        <w:rPr>
          <w:rStyle w:val="SCCCounselNameChar"/>
          <w:i w:val="0"/>
          <w:lang w:val="fr-CA"/>
        </w:rPr>
        <w:t xml:space="preserve">, </w:t>
      </w:r>
      <w:r w:rsidR="00F71D49" w:rsidRPr="0051571C">
        <w:rPr>
          <w:rStyle w:val="SCCCounselNameChar"/>
          <w:i w:val="0"/>
          <w:lang w:val="fr-CA"/>
        </w:rPr>
        <w:t>pour son propre compte</w:t>
      </w:r>
      <w:r w:rsidR="00E63F81" w:rsidRPr="0051571C">
        <w:rPr>
          <w:rStyle w:val="SCCCounselPartyRoleChar"/>
          <w:lang w:val="fr-CA"/>
        </w:rPr>
        <w:t>.</w:t>
      </w:r>
    </w:p>
    <w:p w:rsidR="000A4D1C" w:rsidRPr="0051571C" w:rsidRDefault="000A4D1C">
      <w:pPr>
        <w:pStyle w:val="SCCNormalDoubleSpacing"/>
        <w:rPr>
          <w:lang w:val="fr-CA"/>
        </w:rPr>
      </w:pPr>
    </w:p>
    <w:p w:rsidR="000A4D1C" w:rsidRPr="0051571C" w:rsidRDefault="00277068" w:rsidP="00FD67ED">
      <w:pPr>
        <w:pStyle w:val="SCCNormalDoubleSpacing"/>
        <w:rPr>
          <w:lang w:val="fr-CA"/>
        </w:rPr>
      </w:pPr>
      <w:r w:rsidRPr="0051571C">
        <w:rPr>
          <w:rStyle w:val="SCCCounselNameChar"/>
          <w:i w:val="0"/>
          <w:lang w:val="fr-CA"/>
        </w:rPr>
        <w:tab/>
      </w:r>
      <w:r w:rsidRPr="0051571C">
        <w:rPr>
          <w:rStyle w:val="SCCCounselNameChar"/>
          <w:lang w:val="fr-CA"/>
        </w:rPr>
        <w:t>J</w:t>
      </w:r>
      <w:r w:rsidR="00FD67ED" w:rsidRPr="0051571C">
        <w:rPr>
          <w:rStyle w:val="SCCCounselNameChar"/>
          <w:lang w:val="fr-CA"/>
        </w:rPr>
        <w:t>ennifer Tremblay</w:t>
      </w:r>
      <w:r w:rsidR="00E63F81" w:rsidRPr="0051571C">
        <w:rPr>
          <w:rStyle w:val="SCCCounselPartyRoleChar"/>
          <w:lang w:val="fr-CA"/>
        </w:rPr>
        <w:t xml:space="preserve">, </w:t>
      </w:r>
      <w:r w:rsidR="002A08B2" w:rsidRPr="0051571C">
        <w:rPr>
          <w:rStyle w:val="SCCCounselPartyRoleChar"/>
          <w:lang w:val="fr-CA"/>
        </w:rPr>
        <w:t>pour les intimés le</w:t>
      </w:r>
      <w:r w:rsidR="00FD67ED" w:rsidRPr="0051571C">
        <w:rPr>
          <w:rStyle w:val="SCCCounselPartyRoleChar"/>
          <w:lang w:val="fr-CA"/>
        </w:rPr>
        <w:t xml:space="preserve"> </w:t>
      </w:r>
      <w:r w:rsidR="003D4FF1" w:rsidRPr="0051571C">
        <w:rPr>
          <w:rStyle w:val="SCCCounselPartyRoleChar"/>
          <w:lang w:val="fr-CA"/>
        </w:rPr>
        <w:t>m</w:t>
      </w:r>
      <w:r w:rsidR="00FD67ED" w:rsidRPr="0051571C">
        <w:rPr>
          <w:rStyle w:val="SCCCounselPartyRoleChar"/>
          <w:lang w:val="fr-CA"/>
        </w:rPr>
        <w:t xml:space="preserve">inistère de l’Emploi et de la Solidarité </w:t>
      </w:r>
      <w:r w:rsidR="003D4FF1" w:rsidRPr="0051571C">
        <w:rPr>
          <w:rStyle w:val="SCCCounselPartyRoleChar"/>
          <w:lang w:val="fr-CA"/>
        </w:rPr>
        <w:t xml:space="preserve">sociale, </w:t>
      </w:r>
      <w:r w:rsidR="00977E03">
        <w:rPr>
          <w:rStyle w:val="SCCCounselPartyRoleChar"/>
          <w:lang w:val="fr-CA"/>
        </w:rPr>
        <w:t>le C</w:t>
      </w:r>
      <w:r w:rsidR="00FD67ED" w:rsidRPr="0051571C">
        <w:rPr>
          <w:rStyle w:val="SCCCounselPartyRoleChar"/>
          <w:lang w:val="fr-CA"/>
        </w:rPr>
        <w:t xml:space="preserve">entre local d’emploi de Sainte-Foy, Stéphanie Paquet </w:t>
      </w:r>
      <w:r w:rsidR="002A08B2" w:rsidRPr="0051571C">
        <w:rPr>
          <w:rStyle w:val="SCCCounselPartyRoleChar"/>
          <w:lang w:val="fr-CA"/>
        </w:rPr>
        <w:t>et</w:t>
      </w:r>
      <w:r w:rsidR="00FD67ED" w:rsidRPr="0051571C">
        <w:rPr>
          <w:rStyle w:val="SCCCounselPartyRoleChar"/>
          <w:lang w:val="fr-CA"/>
        </w:rPr>
        <w:t xml:space="preserve"> Johanne Dufour</w:t>
      </w:r>
      <w:r w:rsidR="00E63F81" w:rsidRPr="0051571C">
        <w:rPr>
          <w:rStyle w:val="SCCCounselPartyRoleChar"/>
          <w:lang w:val="fr-CA"/>
        </w:rPr>
        <w:t>.</w:t>
      </w:r>
    </w:p>
    <w:p w:rsidR="000A4D1C" w:rsidRPr="0051571C" w:rsidRDefault="000A4D1C">
      <w:pPr>
        <w:pStyle w:val="SCCNormalDoubleSpacing"/>
        <w:rPr>
          <w:lang w:val="fr-CA"/>
        </w:rPr>
      </w:pPr>
    </w:p>
    <w:p w:rsidR="008C3C41" w:rsidRPr="0051571C" w:rsidRDefault="00277068" w:rsidP="008C3C41">
      <w:pPr>
        <w:pStyle w:val="SCCNormalDoubleSpacing"/>
        <w:rPr>
          <w:lang w:val="fr-CA"/>
        </w:rPr>
      </w:pPr>
      <w:r w:rsidRPr="0051571C">
        <w:rPr>
          <w:rStyle w:val="SCCCounselNameChar"/>
          <w:i w:val="0"/>
          <w:lang w:val="fr-CA"/>
        </w:rPr>
        <w:tab/>
      </w:r>
      <w:proofErr w:type="spellStart"/>
      <w:r w:rsidR="008C3C41" w:rsidRPr="0051571C">
        <w:rPr>
          <w:rStyle w:val="SCCCounselNameChar"/>
          <w:lang w:val="fr-CA"/>
        </w:rPr>
        <w:t>M</w:t>
      </w:r>
      <w:r w:rsidR="00FD67ED" w:rsidRPr="0051571C">
        <w:rPr>
          <w:rStyle w:val="SCCCounselNameChar"/>
          <w:lang w:val="fr-CA"/>
        </w:rPr>
        <w:t>ihnea</w:t>
      </w:r>
      <w:proofErr w:type="spellEnd"/>
      <w:r w:rsidR="00FD67ED" w:rsidRPr="0051571C">
        <w:rPr>
          <w:i/>
          <w:lang w:val="fr-CA"/>
        </w:rPr>
        <w:t xml:space="preserve"> </w:t>
      </w:r>
      <w:proofErr w:type="spellStart"/>
      <w:r w:rsidR="00FD67ED" w:rsidRPr="0051571C">
        <w:rPr>
          <w:rStyle w:val="SCCCounselNameChar"/>
          <w:lang w:val="fr-CA"/>
        </w:rPr>
        <w:t>Bantoiu</w:t>
      </w:r>
      <w:proofErr w:type="spellEnd"/>
      <w:r w:rsidR="008C3C41" w:rsidRPr="0051571C">
        <w:rPr>
          <w:rStyle w:val="SCCCounselPartyRoleChar"/>
          <w:lang w:val="fr-CA"/>
        </w:rPr>
        <w:t xml:space="preserve">, </w:t>
      </w:r>
      <w:r w:rsidR="002A08B2" w:rsidRPr="0051571C">
        <w:rPr>
          <w:rStyle w:val="SCCCounselPartyRoleChar"/>
          <w:lang w:val="fr-CA"/>
        </w:rPr>
        <w:t xml:space="preserve">pour l’intimé le </w:t>
      </w:r>
      <w:r w:rsidR="00FD67ED" w:rsidRPr="0051571C">
        <w:rPr>
          <w:rStyle w:val="SCCCounselPartyRoleChar"/>
          <w:lang w:val="fr-CA"/>
        </w:rPr>
        <w:t xml:space="preserve">Centre de formation de Québec </w:t>
      </w:r>
      <w:proofErr w:type="spellStart"/>
      <w:r w:rsidR="00FD67ED" w:rsidRPr="0051571C">
        <w:rPr>
          <w:rStyle w:val="SCCCounselPartyRoleChar"/>
          <w:lang w:val="fr-CA"/>
        </w:rPr>
        <w:t>inc</w:t>
      </w:r>
      <w:r w:rsidR="008C3C41" w:rsidRPr="0051571C">
        <w:rPr>
          <w:rStyle w:val="SCCCounselPartyRoleChar"/>
          <w:lang w:val="fr-CA"/>
        </w:rPr>
        <w:t>.</w:t>
      </w:r>
      <w:proofErr w:type="spellEnd"/>
    </w:p>
    <w:p w:rsidR="008C3C41" w:rsidRPr="0051571C" w:rsidRDefault="008C3C41" w:rsidP="008C3C41">
      <w:pPr>
        <w:pStyle w:val="SCCNormalDoubleSpacing"/>
        <w:rPr>
          <w:lang w:val="fr-CA"/>
        </w:rPr>
      </w:pPr>
    </w:p>
    <w:p w:rsidR="00581C42" w:rsidRPr="0051571C" w:rsidRDefault="00581C42" w:rsidP="008C3C41">
      <w:pPr>
        <w:pStyle w:val="SCCNormalDoubleSpacing"/>
        <w:rPr>
          <w:lang w:val="fr-CA"/>
        </w:rPr>
      </w:pPr>
      <w:r w:rsidRPr="0051571C">
        <w:rPr>
          <w:lang w:val="fr-CA"/>
        </w:rPr>
        <w:tab/>
      </w:r>
      <w:r w:rsidR="007E7FCA" w:rsidRPr="0051571C">
        <w:rPr>
          <w:lang w:val="fr-CA"/>
        </w:rPr>
        <w:t>Version française de l’ordonnance rendue par</w:t>
      </w:r>
    </w:p>
    <w:p w:rsidR="00581C42" w:rsidRPr="0051571C" w:rsidRDefault="00581C42" w:rsidP="008C3C41">
      <w:pPr>
        <w:pStyle w:val="SCCNormalDoubleSpacing"/>
        <w:rPr>
          <w:lang w:val="fr-CA"/>
        </w:rPr>
      </w:pPr>
    </w:p>
    <w:p w:rsidR="002A08B2" w:rsidRPr="0051571C" w:rsidRDefault="00304022" w:rsidP="002A08B2">
      <w:pPr>
        <w:pStyle w:val="SCCNormalDoubleSpacing"/>
        <w:rPr>
          <w:lang w:val="fr-CA"/>
        </w:rPr>
      </w:pPr>
      <w:r w:rsidRPr="0051571C">
        <w:rPr>
          <w:lang w:val="fr-CA"/>
        </w:rPr>
        <w:t>[1]</w:t>
      </w:r>
      <w:r w:rsidRPr="0051571C">
        <w:rPr>
          <w:lang w:val="fr-CA"/>
        </w:rPr>
        <w:tab/>
      </w:r>
      <w:r w:rsidR="002A08B2" w:rsidRPr="0051571C">
        <w:rPr>
          <w:smallCaps/>
          <w:lang w:val="fr-CA"/>
        </w:rPr>
        <w:t>Le juge C</w:t>
      </w:r>
      <w:r w:rsidR="00FD67ED" w:rsidRPr="0051571C">
        <w:rPr>
          <w:smallCaps/>
          <w:lang w:val="fr-CA"/>
        </w:rPr>
        <w:t>romwell</w:t>
      </w:r>
      <w:r w:rsidR="00FD67ED" w:rsidRPr="0051571C">
        <w:rPr>
          <w:lang w:val="fr-CA"/>
        </w:rPr>
        <w:t xml:space="preserve"> — </w:t>
      </w:r>
      <w:r w:rsidR="002A08B2" w:rsidRPr="0051571C">
        <w:rPr>
          <w:lang w:val="fr-CA"/>
        </w:rPr>
        <w:t>Le 12 février 2015, le Greffe a reçu</w:t>
      </w:r>
      <w:r w:rsidR="007E7FCA" w:rsidRPr="0051571C">
        <w:rPr>
          <w:lang w:val="fr-CA"/>
        </w:rPr>
        <w:t xml:space="preserve"> de S.H. un document intitulé « </w:t>
      </w:r>
      <w:r w:rsidR="002A08B2" w:rsidRPr="0051571C">
        <w:rPr>
          <w:lang w:val="fr-CA"/>
        </w:rPr>
        <w:t>Avis d’appel de plein droit</w:t>
      </w:r>
      <w:r w:rsidR="007E7FCA" w:rsidRPr="0051571C">
        <w:rPr>
          <w:lang w:val="fr-CA"/>
        </w:rPr>
        <w:t> </w:t>
      </w:r>
      <w:r w:rsidR="002A08B2" w:rsidRPr="0051571C">
        <w:rPr>
          <w:lang w:val="fr-CA"/>
        </w:rPr>
        <w:t xml:space="preserve">» portant sur quatre jugements rendus en matière civile. Dans ce document, S.H. énumère plusieurs dispositions législatives qui, selon lui, confèrent un droit d’appel devant la Cour. Il invoque notamment </w:t>
      </w:r>
      <w:proofErr w:type="gramStart"/>
      <w:r w:rsidR="002A08B2" w:rsidRPr="0051571C">
        <w:rPr>
          <w:lang w:val="fr-CA"/>
        </w:rPr>
        <w:t>les art</w:t>
      </w:r>
      <w:proofErr w:type="gramEnd"/>
      <w:r w:rsidR="002A08B2" w:rsidRPr="0051571C">
        <w:rPr>
          <w:lang w:val="fr-CA"/>
        </w:rPr>
        <w:t xml:space="preserve">. 28 et 61 de la </w:t>
      </w:r>
      <w:r w:rsidR="002A08B2" w:rsidRPr="0051571C">
        <w:rPr>
          <w:i/>
          <w:lang w:val="fr-CA"/>
        </w:rPr>
        <w:t>Loi sur la Cour suprême</w:t>
      </w:r>
      <w:r w:rsidR="002A08B2" w:rsidRPr="0051571C">
        <w:rPr>
          <w:lang w:val="fr-CA"/>
        </w:rPr>
        <w:t xml:space="preserve">, </w:t>
      </w:r>
      <w:r w:rsidR="0058374D" w:rsidRPr="0051571C">
        <w:rPr>
          <w:lang w:val="fr-CA"/>
        </w:rPr>
        <w:t>L.R.C. 1985, c. S</w:t>
      </w:r>
      <w:r w:rsidR="0058374D" w:rsidRPr="0051571C">
        <w:rPr>
          <w:lang w:val="fr-CA"/>
        </w:rPr>
        <w:noBreakHyphen/>
        <w:t xml:space="preserve">26, </w:t>
      </w:r>
      <w:proofErr w:type="gramStart"/>
      <w:r w:rsidR="002A08B2" w:rsidRPr="0051571C">
        <w:rPr>
          <w:lang w:val="fr-CA"/>
        </w:rPr>
        <w:t>les art</w:t>
      </w:r>
      <w:proofErr w:type="gramEnd"/>
      <w:r w:rsidR="002A08B2" w:rsidRPr="0051571C">
        <w:rPr>
          <w:lang w:val="fr-CA"/>
        </w:rPr>
        <w:t xml:space="preserve">. 5, 26 et 54.1 du </w:t>
      </w:r>
      <w:r w:rsidR="002A08B2" w:rsidRPr="0051571C">
        <w:rPr>
          <w:i/>
          <w:lang w:val="fr-CA"/>
        </w:rPr>
        <w:t>Code de procédure civile</w:t>
      </w:r>
      <w:r w:rsidR="002A08B2" w:rsidRPr="0051571C">
        <w:rPr>
          <w:lang w:val="fr-CA"/>
        </w:rPr>
        <w:t xml:space="preserve"> du Québec, </w:t>
      </w:r>
      <w:r w:rsidR="0058374D" w:rsidRPr="0051571C">
        <w:rPr>
          <w:lang w:val="fr-CA"/>
        </w:rPr>
        <w:t>RLRQ, c. C</w:t>
      </w:r>
      <w:r w:rsidR="0058374D" w:rsidRPr="0051571C">
        <w:rPr>
          <w:lang w:val="fr-CA"/>
        </w:rPr>
        <w:noBreakHyphen/>
        <w:t xml:space="preserve">25, </w:t>
      </w:r>
      <w:r w:rsidR="002A08B2" w:rsidRPr="0051571C">
        <w:rPr>
          <w:lang w:val="fr-CA"/>
        </w:rPr>
        <w:t xml:space="preserve">la </w:t>
      </w:r>
      <w:r w:rsidR="002A08B2" w:rsidRPr="0051571C">
        <w:rPr>
          <w:i/>
          <w:lang w:val="fr-CA"/>
        </w:rPr>
        <w:t>Charte canadienne des droits et libertés</w:t>
      </w:r>
      <w:r w:rsidR="002A08B2" w:rsidRPr="0051571C">
        <w:rPr>
          <w:lang w:val="fr-CA"/>
        </w:rPr>
        <w:t xml:space="preserve"> et la </w:t>
      </w:r>
      <w:r w:rsidR="002A08B2" w:rsidRPr="0051571C">
        <w:rPr>
          <w:i/>
          <w:lang w:val="fr-CA"/>
        </w:rPr>
        <w:t>Charte des droits et libertés de la personne</w:t>
      </w:r>
      <w:r w:rsidR="002A08B2" w:rsidRPr="0051571C">
        <w:rPr>
          <w:lang w:val="fr-CA"/>
        </w:rPr>
        <w:t xml:space="preserve"> du Québec</w:t>
      </w:r>
      <w:r w:rsidR="0058374D" w:rsidRPr="0051571C">
        <w:rPr>
          <w:lang w:val="fr-CA"/>
        </w:rPr>
        <w:t>, RLRQ, c. C</w:t>
      </w:r>
      <w:r w:rsidR="0058374D" w:rsidRPr="0051571C">
        <w:rPr>
          <w:lang w:val="fr-CA"/>
        </w:rPr>
        <w:noBreakHyphen/>
        <w:t>12</w:t>
      </w:r>
      <w:r w:rsidR="002A08B2" w:rsidRPr="0051571C">
        <w:rPr>
          <w:lang w:val="fr-CA"/>
        </w:rPr>
        <w:t>.</w:t>
      </w:r>
    </w:p>
    <w:p w:rsidR="00304022" w:rsidRPr="0051571C" w:rsidRDefault="00304022" w:rsidP="00304022">
      <w:pPr>
        <w:pStyle w:val="SCCNormalDoubleSpacing"/>
        <w:rPr>
          <w:lang w:val="fr-CA"/>
        </w:rPr>
      </w:pPr>
    </w:p>
    <w:p w:rsidR="00304022" w:rsidRPr="0051571C" w:rsidRDefault="00304022" w:rsidP="00304022">
      <w:pPr>
        <w:pStyle w:val="SCCNormalDoubleSpacing"/>
        <w:rPr>
          <w:lang w:val="fr-CA"/>
        </w:rPr>
      </w:pPr>
      <w:r w:rsidRPr="0051571C">
        <w:rPr>
          <w:lang w:val="fr-CA"/>
        </w:rPr>
        <w:t>[2]</w:t>
      </w:r>
      <w:r w:rsidRPr="0051571C">
        <w:rPr>
          <w:lang w:val="fr-CA"/>
        </w:rPr>
        <w:tab/>
      </w:r>
      <w:r w:rsidR="002A08B2" w:rsidRPr="0051571C">
        <w:rPr>
          <w:lang w:val="fr-CA"/>
        </w:rPr>
        <w:t xml:space="preserve">Le Greffe a écrit à S.H. pour l’aviser qu’il ne peut être interjeté appel de ces décisions à la Cour, sauf si cette dernière l’autorise. Le Greffe lui demandait dans cette lettre de déposer un avis de demande d’autorisation d’appel, quatre copies de ses documents, lesquels seraient traités comme une demande d’autorisation d’appel dans les circonstances, de même qu’un exemplaire du formulaire 23A. S.H. a plutôt présenté une demande d’audience en vertu du par. 43(1.2) de la </w:t>
      </w:r>
      <w:r w:rsidR="002A08B2" w:rsidRPr="0051571C">
        <w:rPr>
          <w:i/>
          <w:lang w:val="fr-CA"/>
        </w:rPr>
        <w:t>Loi sur la Cour suprême</w:t>
      </w:r>
      <w:r w:rsidR="002A08B2" w:rsidRPr="0051571C">
        <w:rPr>
          <w:lang w:val="fr-CA"/>
        </w:rPr>
        <w:t>. En annexe se trouvait un document demandant en toute apparence la permission d’appel</w:t>
      </w:r>
      <w:r w:rsidRPr="0051571C">
        <w:rPr>
          <w:lang w:val="fr-CA"/>
        </w:rPr>
        <w:t>.</w:t>
      </w:r>
    </w:p>
    <w:p w:rsidR="00304022" w:rsidRPr="0051571C" w:rsidRDefault="00304022" w:rsidP="00304022">
      <w:pPr>
        <w:pStyle w:val="SCCNormalDoubleSpacing"/>
        <w:rPr>
          <w:lang w:val="fr-CA"/>
        </w:rPr>
      </w:pPr>
    </w:p>
    <w:p w:rsidR="00304022" w:rsidRPr="0051571C" w:rsidRDefault="00304022" w:rsidP="00304022">
      <w:pPr>
        <w:pStyle w:val="SCCNormalDoubleSpacing"/>
        <w:rPr>
          <w:lang w:val="fr-CA"/>
        </w:rPr>
      </w:pPr>
      <w:r w:rsidRPr="0051571C">
        <w:rPr>
          <w:lang w:val="fr-CA"/>
        </w:rPr>
        <w:t>[3]</w:t>
      </w:r>
      <w:r w:rsidRPr="0051571C">
        <w:rPr>
          <w:lang w:val="fr-CA"/>
        </w:rPr>
        <w:tab/>
      </w:r>
      <w:r w:rsidR="002A08B2" w:rsidRPr="0051571C">
        <w:rPr>
          <w:lang w:val="fr-CA"/>
        </w:rPr>
        <w:t xml:space="preserve">Le dépôt des deux documents de S.H. n’a pas encore été accepté et l’affaire m’a été renvoyée par le registraire en vertu de </w:t>
      </w:r>
      <w:r w:rsidR="00074B76">
        <w:rPr>
          <w:lang w:val="fr-CA"/>
        </w:rPr>
        <w:t>la règle</w:t>
      </w:r>
      <w:r w:rsidR="002A08B2" w:rsidRPr="0051571C">
        <w:rPr>
          <w:lang w:val="fr-CA"/>
        </w:rPr>
        <w:t xml:space="preserve"> 13 des </w:t>
      </w:r>
      <w:r w:rsidR="002A08B2" w:rsidRPr="0051571C">
        <w:rPr>
          <w:i/>
          <w:lang w:val="fr-CA"/>
        </w:rPr>
        <w:t>Règles de la Cour suprême du Canada</w:t>
      </w:r>
      <w:r w:rsidR="0058374D" w:rsidRPr="0051571C">
        <w:rPr>
          <w:lang w:val="fr-CA"/>
        </w:rPr>
        <w:t>, DORS/2002</w:t>
      </w:r>
      <w:r w:rsidR="0058374D" w:rsidRPr="0051571C">
        <w:rPr>
          <w:lang w:val="fr-CA"/>
        </w:rPr>
        <w:noBreakHyphen/>
        <w:t>156</w:t>
      </w:r>
      <w:r w:rsidRPr="0051571C">
        <w:rPr>
          <w:lang w:val="fr-CA"/>
        </w:rPr>
        <w:t>.</w:t>
      </w:r>
    </w:p>
    <w:p w:rsidR="00304022" w:rsidRPr="0051571C" w:rsidRDefault="00304022" w:rsidP="00304022">
      <w:pPr>
        <w:pStyle w:val="SCCNormalDoubleSpacing"/>
        <w:rPr>
          <w:lang w:val="fr-CA"/>
        </w:rPr>
      </w:pPr>
    </w:p>
    <w:p w:rsidR="00304022" w:rsidRPr="0051571C" w:rsidRDefault="00304022" w:rsidP="00304022">
      <w:pPr>
        <w:pStyle w:val="SCCNormalDoubleSpacing"/>
        <w:rPr>
          <w:lang w:val="fr-CA"/>
        </w:rPr>
      </w:pPr>
      <w:r w:rsidRPr="0051571C">
        <w:rPr>
          <w:lang w:val="fr-CA"/>
        </w:rPr>
        <w:t>[4]</w:t>
      </w:r>
      <w:r w:rsidRPr="0051571C">
        <w:rPr>
          <w:lang w:val="fr-CA"/>
        </w:rPr>
        <w:tab/>
      </w:r>
      <w:r w:rsidR="002A08B2" w:rsidRPr="0051571C">
        <w:rPr>
          <w:lang w:val="fr-CA"/>
        </w:rPr>
        <w:t>Le dépôt des deux documents doit être refusé en application du par. 8(2) et de l’al. 19(2)</w:t>
      </w:r>
      <w:r w:rsidR="002A08B2" w:rsidRPr="0051571C">
        <w:rPr>
          <w:i/>
          <w:lang w:val="fr-CA"/>
        </w:rPr>
        <w:t>a</w:t>
      </w:r>
      <w:r w:rsidR="002A08B2" w:rsidRPr="0051571C">
        <w:rPr>
          <w:lang w:val="fr-CA"/>
        </w:rPr>
        <w:t xml:space="preserve">) des </w:t>
      </w:r>
      <w:r w:rsidR="002A08B2" w:rsidRPr="0051571C">
        <w:rPr>
          <w:i/>
          <w:lang w:val="fr-CA"/>
        </w:rPr>
        <w:t>Règles</w:t>
      </w:r>
      <w:r w:rsidRPr="0051571C">
        <w:rPr>
          <w:lang w:val="fr-CA"/>
        </w:rPr>
        <w:t xml:space="preserve">. </w:t>
      </w:r>
    </w:p>
    <w:p w:rsidR="00304022" w:rsidRPr="0051571C" w:rsidRDefault="00304022" w:rsidP="00304022">
      <w:pPr>
        <w:pStyle w:val="SCCNormalDoubleSpacing"/>
        <w:rPr>
          <w:lang w:val="fr-CA"/>
        </w:rPr>
      </w:pPr>
    </w:p>
    <w:p w:rsidR="00304022" w:rsidRPr="0051571C" w:rsidRDefault="00304022" w:rsidP="00304022">
      <w:pPr>
        <w:pStyle w:val="SCCNormalDoubleSpacing"/>
        <w:rPr>
          <w:lang w:val="fr-CA"/>
        </w:rPr>
      </w:pPr>
      <w:r w:rsidRPr="0051571C">
        <w:rPr>
          <w:lang w:val="fr-CA"/>
        </w:rPr>
        <w:t>[5]</w:t>
      </w:r>
      <w:r w:rsidRPr="0051571C">
        <w:rPr>
          <w:lang w:val="fr-CA"/>
        </w:rPr>
        <w:tab/>
      </w:r>
      <w:r w:rsidR="007E7FCA" w:rsidRPr="0051571C">
        <w:rPr>
          <w:lang w:val="fr-CA"/>
        </w:rPr>
        <w:t>Le document intitulé « </w:t>
      </w:r>
      <w:r w:rsidR="002A08B2" w:rsidRPr="0051571C">
        <w:rPr>
          <w:lang w:val="fr-CA"/>
        </w:rPr>
        <w:t>Avis d’appel de plein droit</w:t>
      </w:r>
      <w:r w:rsidR="007E7FCA" w:rsidRPr="0051571C">
        <w:rPr>
          <w:lang w:val="fr-CA"/>
        </w:rPr>
        <w:t> </w:t>
      </w:r>
      <w:r w:rsidR="002A08B2" w:rsidRPr="0051571C">
        <w:rPr>
          <w:lang w:val="fr-CA"/>
        </w:rPr>
        <w:t>» n’est pas conforme aux exigences de l’al. 33</w:t>
      </w:r>
      <w:r w:rsidR="002A08B2" w:rsidRPr="0051571C">
        <w:rPr>
          <w:i/>
          <w:lang w:val="fr-CA"/>
        </w:rPr>
        <w:t>b</w:t>
      </w:r>
      <w:r w:rsidR="002A08B2" w:rsidRPr="0051571C">
        <w:rPr>
          <w:lang w:val="fr-CA"/>
        </w:rPr>
        <w:t xml:space="preserve">) des </w:t>
      </w:r>
      <w:r w:rsidR="002A08B2" w:rsidRPr="0051571C">
        <w:rPr>
          <w:i/>
          <w:lang w:val="fr-CA"/>
        </w:rPr>
        <w:t>Règles</w:t>
      </w:r>
      <w:r w:rsidR="002A08B2" w:rsidRPr="0051571C">
        <w:rPr>
          <w:lang w:val="fr-CA"/>
        </w:rPr>
        <w:t>. Cette règle vise à assurer le respect de normes minimales afin que le registraire soit en mesure d’aider adéquatement la Cour à gérer le registre des affaires dont elle est saisie. Pour accepter le dépôt d’un avis d’appel en application de l’al. 19(2)</w:t>
      </w:r>
      <w:r w:rsidR="002A08B2" w:rsidRPr="0051571C">
        <w:rPr>
          <w:i/>
          <w:lang w:val="fr-CA"/>
        </w:rPr>
        <w:t>a</w:t>
      </w:r>
      <w:r w:rsidR="002A08B2" w:rsidRPr="0051571C">
        <w:rPr>
          <w:lang w:val="fr-CA"/>
        </w:rPr>
        <w:t>), le registraire doit être à tout le moins convaincu que la ou les dispositions mentionnées dans le document accordent un droit d’appel devant la Cour suprême du Canada. Si elles n’autorisent pas un tel appel, le registraire peut refuser le dépôt du document en application du par. 8(2) et de l’al. 19(2)</w:t>
      </w:r>
      <w:r w:rsidR="002A08B2" w:rsidRPr="0051571C">
        <w:rPr>
          <w:i/>
          <w:lang w:val="fr-CA"/>
        </w:rPr>
        <w:t>a</w:t>
      </w:r>
      <w:r w:rsidR="002A08B2" w:rsidRPr="0051571C">
        <w:rPr>
          <w:lang w:val="fr-CA"/>
        </w:rPr>
        <w:t xml:space="preserve">) au motif qu’il n’est pas conforme aux </w:t>
      </w:r>
      <w:r w:rsidR="002A08B2" w:rsidRPr="0051571C">
        <w:rPr>
          <w:i/>
          <w:lang w:val="fr-CA"/>
        </w:rPr>
        <w:t>Règles</w:t>
      </w:r>
      <w:r w:rsidRPr="0051571C">
        <w:rPr>
          <w:lang w:val="fr-CA"/>
        </w:rPr>
        <w:t>.</w:t>
      </w:r>
    </w:p>
    <w:p w:rsidR="00304022" w:rsidRPr="0051571C" w:rsidRDefault="00304022" w:rsidP="00304022">
      <w:pPr>
        <w:pStyle w:val="SCCNormalDoubleSpacing"/>
        <w:rPr>
          <w:lang w:val="fr-CA"/>
        </w:rPr>
      </w:pPr>
    </w:p>
    <w:p w:rsidR="00304022" w:rsidRPr="0051571C" w:rsidRDefault="00304022" w:rsidP="00304022">
      <w:pPr>
        <w:pStyle w:val="SCCNormalDoubleSpacing"/>
        <w:rPr>
          <w:lang w:val="fr-CA"/>
        </w:rPr>
      </w:pPr>
      <w:r w:rsidRPr="0051571C">
        <w:rPr>
          <w:lang w:val="fr-CA"/>
        </w:rPr>
        <w:t>[6]</w:t>
      </w:r>
      <w:r w:rsidRPr="0051571C">
        <w:rPr>
          <w:lang w:val="fr-CA"/>
        </w:rPr>
        <w:tab/>
      </w:r>
      <w:r w:rsidR="002A08B2" w:rsidRPr="0051571C">
        <w:rPr>
          <w:lang w:val="fr-CA"/>
        </w:rPr>
        <w:t xml:space="preserve">Quant au document intitulé « Demande d’audience », comme une telle demande ne peut être présentée que dans le cadre d’une demande d’autorisation d’appel à la Cour, son dépôt doit lui aussi être refusé. Bien qu’il inclue à titre d’annexe H un soi-disant avis de demande d’autorisation d’appel, cet avis n’est pas conforme aux exigences des </w:t>
      </w:r>
      <w:r w:rsidR="002A08B2" w:rsidRPr="0051571C">
        <w:rPr>
          <w:i/>
          <w:lang w:val="fr-CA"/>
        </w:rPr>
        <w:t>Règles</w:t>
      </w:r>
      <w:r w:rsidR="002A08B2" w:rsidRPr="0051571C">
        <w:rPr>
          <w:lang w:val="fr-CA"/>
        </w:rPr>
        <w:t xml:space="preserve"> en ce qui a trait à la demande d’autorisation d’appel. En effet, un avis de demande d’autorisation d’appel doit préciser la disposition législative en vertu de laquelle la demande est présentée; il doit énoncer les motifs qui justifient la demande d’autorisation d’appel et il doit indiquer de quel jugement le demandeur cherche à faire appel. Or, l’avis à l’annexe H ne contient pas ces renseignements requis</w:t>
      </w:r>
      <w:r w:rsidRPr="0051571C">
        <w:rPr>
          <w:lang w:val="fr-CA"/>
        </w:rPr>
        <w:t xml:space="preserve">.  </w:t>
      </w:r>
    </w:p>
    <w:p w:rsidR="00304022" w:rsidRPr="0051571C" w:rsidRDefault="00304022" w:rsidP="00304022">
      <w:pPr>
        <w:pStyle w:val="SCCNormalDoubleSpacing"/>
        <w:rPr>
          <w:lang w:val="fr-CA"/>
        </w:rPr>
      </w:pPr>
    </w:p>
    <w:p w:rsidR="00304022" w:rsidRPr="0051571C" w:rsidRDefault="00304022" w:rsidP="00304022">
      <w:pPr>
        <w:pStyle w:val="SCCNormalDoubleSpacing"/>
        <w:rPr>
          <w:lang w:val="fr-CA"/>
        </w:rPr>
      </w:pPr>
      <w:r w:rsidRPr="0051571C">
        <w:rPr>
          <w:lang w:val="fr-CA"/>
        </w:rPr>
        <w:t>[7]</w:t>
      </w:r>
      <w:r w:rsidRPr="0051571C">
        <w:rPr>
          <w:lang w:val="fr-CA"/>
        </w:rPr>
        <w:tab/>
      </w:r>
      <w:r w:rsidR="002A08B2" w:rsidRPr="0051571C">
        <w:rPr>
          <w:lang w:val="fr-CA"/>
        </w:rPr>
        <w:t>Le registraire retournera les documents à S.H</w:t>
      </w:r>
      <w:r w:rsidRPr="0051571C">
        <w:rPr>
          <w:lang w:val="fr-CA"/>
        </w:rPr>
        <w:t>.</w:t>
      </w:r>
    </w:p>
    <w:p w:rsidR="000A4D1C" w:rsidRPr="0051571C" w:rsidRDefault="000A4D1C">
      <w:pPr>
        <w:pStyle w:val="SCCNormalDoubleSpacing"/>
        <w:rPr>
          <w:lang w:val="fr-CA"/>
        </w:rPr>
      </w:pPr>
    </w:p>
    <w:p w:rsidR="009B57B3" w:rsidRPr="0051571C" w:rsidRDefault="008C3C41" w:rsidP="00FC4EFB">
      <w:pPr>
        <w:pStyle w:val="SCCNormalDoubleSpacing"/>
        <w:rPr>
          <w:lang w:val="fr-CA"/>
        </w:rPr>
      </w:pPr>
      <w:r w:rsidRPr="0051571C">
        <w:rPr>
          <w:lang w:val="fr-CA"/>
        </w:rPr>
        <w:tab/>
      </w:r>
      <w:r w:rsidR="00F71D49" w:rsidRPr="0051571C">
        <w:rPr>
          <w:i/>
          <w:lang w:val="fr-CA"/>
        </w:rPr>
        <w:t>Ordonnance</w:t>
      </w:r>
      <w:r w:rsidR="002A08B2" w:rsidRPr="0051571C">
        <w:rPr>
          <w:i/>
          <w:lang w:val="fr-CA"/>
        </w:rPr>
        <w:t xml:space="preserve"> en conséquence</w:t>
      </w:r>
      <w:r w:rsidRPr="0051571C">
        <w:rPr>
          <w:i/>
          <w:lang w:val="fr-CA"/>
        </w:rPr>
        <w:t>.</w:t>
      </w:r>
    </w:p>
    <w:p w:rsidR="00A149DF" w:rsidRPr="0051571C" w:rsidRDefault="00A149DF" w:rsidP="00FC4EFB">
      <w:pPr>
        <w:pStyle w:val="SCCNormalDoubleSpacing"/>
        <w:rPr>
          <w:lang w:val="fr-CA"/>
        </w:rPr>
      </w:pPr>
    </w:p>
    <w:p w:rsidR="00F71D49" w:rsidRPr="0051571C" w:rsidRDefault="00F71D49" w:rsidP="00143B6D">
      <w:pPr>
        <w:pStyle w:val="SCCLawFirm"/>
        <w:rPr>
          <w:lang w:val="fr-CA"/>
        </w:rPr>
      </w:pPr>
      <w:r w:rsidRPr="0051571C">
        <w:rPr>
          <w:lang w:val="fr-CA"/>
        </w:rPr>
        <w:tab/>
        <w:t>S.H., pour son propre compte.</w:t>
      </w:r>
    </w:p>
    <w:p w:rsidR="00F71D49" w:rsidRPr="0051571C" w:rsidRDefault="00F71D49" w:rsidP="00143B6D">
      <w:pPr>
        <w:pStyle w:val="SCCLawFirm"/>
        <w:rPr>
          <w:lang w:val="fr-CA"/>
        </w:rPr>
      </w:pPr>
    </w:p>
    <w:p w:rsidR="00143B6D" w:rsidRPr="0051571C" w:rsidRDefault="00143B6D" w:rsidP="00143B6D">
      <w:pPr>
        <w:pStyle w:val="SCCLawFirm"/>
        <w:rPr>
          <w:lang w:val="fr-CA"/>
        </w:rPr>
      </w:pPr>
      <w:r w:rsidRPr="0051571C">
        <w:rPr>
          <w:lang w:val="fr-CA"/>
        </w:rPr>
        <w:tab/>
      </w:r>
      <w:r w:rsidR="002A08B2" w:rsidRPr="0051571C">
        <w:rPr>
          <w:lang w:val="fr-CA"/>
        </w:rPr>
        <w:t>Procureurs des intimés le</w:t>
      </w:r>
      <w:r w:rsidR="007F71DC" w:rsidRPr="0051571C">
        <w:rPr>
          <w:lang w:val="fr-CA"/>
        </w:rPr>
        <w:t xml:space="preserve"> </w:t>
      </w:r>
      <w:r w:rsidR="003D4FF1" w:rsidRPr="0051571C">
        <w:rPr>
          <w:lang w:val="fr-CA"/>
        </w:rPr>
        <w:t>m</w:t>
      </w:r>
      <w:r w:rsidR="007F71DC" w:rsidRPr="0051571C">
        <w:rPr>
          <w:lang w:val="fr-CA"/>
        </w:rPr>
        <w:t>inistère de l’Emplo</w:t>
      </w:r>
      <w:r w:rsidR="003D4FF1" w:rsidRPr="0051571C">
        <w:rPr>
          <w:lang w:val="fr-CA"/>
        </w:rPr>
        <w:t xml:space="preserve">i et de la Solidarité sociale, </w:t>
      </w:r>
      <w:r w:rsidR="00074B76">
        <w:rPr>
          <w:lang w:val="fr-CA"/>
        </w:rPr>
        <w:t>le C</w:t>
      </w:r>
      <w:r w:rsidR="007F71DC" w:rsidRPr="0051571C">
        <w:rPr>
          <w:lang w:val="fr-CA"/>
        </w:rPr>
        <w:t xml:space="preserve">entre local d’emploi de Sainte-Foy, Stéphanie Paquet </w:t>
      </w:r>
      <w:r w:rsidR="002A08B2" w:rsidRPr="0051571C">
        <w:rPr>
          <w:lang w:val="fr-CA"/>
        </w:rPr>
        <w:t>et</w:t>
      </w:r>
      <w:r w:rsidR="007F71DC" w:rsidRPr="0051571C">
        <w:rPr>
          <w:lang w:val="fr-CA"/>
        </w:rPr>
        <w:t xml:space="preserve"> Johanne Dufour</w:t>
      </w:r>
      <w:r w:rsidR="002A08B2" w:rsidRPr="0051571C">
        <w:rPr>
          <w:lang w:val="fr-CA"/>
        </w:rPr>
        <w:t> </w:t>
      </w:r>
      <w:r w:rsidRPr="0051571C">
        <w:rPr>
          <w:lang w:val="fr-CA"/>
        </w:rPr>
        <w:t xml:space="preserve">: </w:t>
      </w:r>
      <w:r w:rsidR="007F71DC" w:rsidRPr="0051571C">
        <w:rPr>
          <w:lang w:val="fr-CA"/>
        </w:rPr>
        <w:t>Chamberland, Gagnon, Québec</w:t>
      </w:r>
      <w:r w:rsidRPr="0051571C">
        <w:rPr>
          <w:lang w:val="fr-CA"/>
        </w:rPr>
        <w:t>.</w:t>
      </w:r>
    </w:p>
    <w:p w:rsidR="00143B6D" w:rsidRPr="0051571C" w:rsidRDefault="00143B6D" w:rsidP="00143B6D">
      <w:pPr>
        <w:pStyle w:val="SCCLawFirm"/>
        <w:rPr>
          <w:lang w:val="fr-CA"/>
        </w:rPr>
      </w:pPr>
    </w:p>
    <w:p w:rsidR="00143B6D" w:rsidRPr="0051571C" w:rsidRDefault="00143B6D" w:rsidP="00143B6D">
      <w:pPr>
        <w:pStyle w:val="SCCLawFirm"/>
        <w:rPr>
          <w:lang w:val="fr-CA"/>
        </w:rPr>
      </w:pPr>
      <w:r w:rsidRPr="0051571C">
        <w:rPr>
          <w:lang w:val="fr-CA"/>
        </w:rPr>
        <w:tab/>
      </w:r>
      <w:r w:rsidR="002A08B2" w:rsidRPr="0051571C">
        <w:rPr>
          <w:lang w:val="fr-CA"/>
        </w:rPr>
        <w:t xml:space="preserve">Procureurs de l’intimé le </w:t>
      </w:r>
      <w:r w:rsidR="007F71DC" w:rsidRPr="0051571C">
        <w:rPr>
          <w:lang w:val="fr-CA"/>
        </w:rPr>
        <w:t xml:space="preserve">Centre de formation de Québec </w:t>
      </w:r>
      <w:proofErr w:type="spellStart"/>
      <w:r w:rsidR="007F71DC" w:rsidRPr="0051571C">
        <w:rPr>
          <w:lang w:val="fr-CA"/>
        </w:rPr>
        <w:t>inc.</w:t>
      </w:r>
      <w:proofErr w:type="spellEnd"/>
      <w:r w:rsidR="002A08B2" w:rsidRPr="0051571C">
        <w:rPr>
          <w:lang w:val="fr-CA"/>
        </w:rPr>
        <w:t> </w:t>
      </w:r>
      <w:r w:rsidR="007F71DC" w:rsidRPr="0051571C">
        <w:rPr>
          <w:lang w:val="fr-CA"/>
        </w:rPr>
        <w:t xml:space="preserve">: </w:t>
      </w:r>
      <w:proofErr w:type="spellStart"/>
      <w:r w:rsidR="007F71DC" w:rsidRPr="0051571C">
        <w:rPr>
          <w:lang w:val="fr-CA"/>
        </w:rPr>
        <w:t>Létourneau</w:t>
      </w:r>
      <w:proofErr w:type="spellEnd"/>
      <w:r w:rsidR="007F71DC" w:rsidRPr="0051571C">
        <w:rPr>
          <w:lang w:val="fr-CA"/>
        </w:rPr>
        <w:t xml:space="preserve"> &amp; Gagné, Québec</w:t>
      </w:r>
      <w:r w:rsidRPr="0051571C">
        <w:rPr>
          <w:lang w:val="fr-CA"/>
        </w:rPr>
        <w:t>.</w:t>
      </w:r>
    </w:p>
    <w:sectPr w:rsidR="00143B6D" w:rsidRPr="0051571C" w:rsidSect="006D3BF2">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FF1" w:rsidRDefault="003D4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Default="00450352">
    <w:pPr>
      <w:pStyle w:val="Header"/>
      <w:jc w:val="center"/>
    </w:pPr>
    <w:r>
      <w:t>-</w:t>
    </w:r>
    <w:r w:rsidR="00A5521C">
      <w:t xml:space="preserve"> </w:t>
    </w:r>
    <w:sdt>
      <w:sdtPr>
        <w:id w:val="4489865"/>
        <w:docPartObj>
          <w:docPartGallery w:val="Page Numbers (Top of Page)"/>
          <w:docPartUnique/>
        </w:docPartObj>
      </w:sdtPr>
      <w:sdtEndPr/>
      <w:sdtContent>
        <w:r w:rsidR="00AE4535">
          <w:fldChar w:fldCharType="begin"/>
        </w:r>
        <w:r w:rsidR="00AE4535">
          <w:instrText xml:space="preserve"> PAGE   \* MERGEFORMAT </w:instrText>
        </w:r>
        <w:r w:rsidR="00AE4535">
          <w:fldChar w:fldCharType="separate"/>
        </w:r>
        <w:r w:rsidR="005E761F">
          <w:rPr>
            <w:noProof/>
          </w:rPr>
          <w:t>2</w:t>
        </w:r>
        <w:r w:rsidR="00AE4535">
          <w:rPr>
            <w:noProof/>
          </w:rPr>
          <w:fldChar w:fldCharType="end"/>
        </w:r>
        <w:r w:rsidR="00A5521C">
          <w:t xml:space="preserve"> </w:t>
        </w:r>
        <w:r>
          <w:t>-</w:t>
        </w:r>
      </w:sdtContent>
    </w:sdt>
  </w:p>
  <w:p w:rsidR="00684EEA" w:rsidRDefault="00684E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FF1" w:rsidRDefault="003D4F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2D7"/>
    <w:rsid w:val="00025198"/>
    <w:rsid w:val="000578A3"/>
    <w:rsid w:val="000648CC"/>
    <w:rsid w:val="00074B76"/>
    <w:rsid w:val="000A4D1C"/>
    <w:rsid w:val="000B4CD2"/>
    <w:rsid w:val="000C59B8"/>
    <w:rsid w:val="000C6AF0"/>
    <w:rsid w:val="00104F33"/>
    <w:rsid w:val="00111DE2"/>
    <w:rsid w:val="00116B38"/>
    <w:rsid w:val="00127625"/>
    <w:rsid w:val="00135406"/>
    <w:rsid w:val="00135972"/>
    <w:rsid w:val="001426A9"/>
    <w:rsid w:val="00143B6D"/>
    <w:rsid w:val="00154D7C"/>
    <w:rsid w:val="001570B0"/>
    <w:rsid w:val="0015752C"/>
    <w:rsid w:val="00157737"/>
    <w:rsid w:val="00165277"/>
    <w:rsid w:val="00170592"/>
    <w:rsid w:val="00186351"/>
    <w:rsid w:val="00195D83"/>
    <w:rsid w:val="001A00C1"/>
    <w:rsid w:val="001B33E0"/>
    <w:rsid w:val="001B4573"/>
    <w:rsid w:val="001C779F"/>
    <w:rsid w:val="001D2AC1"/>
    <w:rsid w:val="001D4E88"/>
    <w:rsid w:val="002169C0"/>
    <w:rsid w:val="00220FC2"/>
    <w:rsid w:val="002222F4"/>
    <w:rsid w:val="00224FC0"/>
    <w:rsid w:val="00225EA4"/>
    <w:rsid w:val="00226EAF"/>
    <w:rsid w:val="00231F3A"/>
    <w:rsid w:val="00234199"/>
    <w:rsid w:val="002406EE"/>
    <w:rsid w:val="00243EC8"/>
    <w:rsid w:val="002551B8"/>
    <w:rsid w:val="00270D93"/>
    <w:rsid w:val="002745CC"/>
    <w:rsid w:val="00277068"/>
    <w:rsid w:val="002A08B2"/>
    <w:rsid w:val="002A69E5"/>
    <w:rsid w:val="002B7924"/>
    <w:rsid w:val="002D28C3"/>
    <w:rsid w:val="002D39A4"/>
    <w:rsid w:val="002E6705"/>
    <w:rsid w:val="00301D08"/>
    <w:rsid w:val="0030329A"/>
    <w:rsid w:val="00304022"/>
    <w:rsid w:val="0031086F"/>
    <w:rsid w:val="0031414C"/>
    <w:rsid w:val="00314E01"/>
    <w:rsid w:val="0032089D"/>
    <w:rsid w:val="003310DE"/>
    <w:rsid w:val="003323B0"/>
    <w:rsid w:val="0035169A"/>
    <w:rsid w:val="0035259D"/>
    <w:rsid w:val="00364B18"/>
    <w:rsid w:val="003752FC"/>
    <w:rsid w:val="003A125D"/>
    <w:rsid w:val="003A4C70"/>
    <w:rsid w:val="003B215F"/>
    <w:rsid w:val="003C799C"/>
    <w:rsid w:val="003D0399"/>
    <w:rsid w:val="003D4FF1"/>
    <w:rsid w:val="003E1C71"/>
    <w:rsid w:val="003F327B"/>
    <w:rsid w:val="00406166"/>
    <w:rsid w:val="0040704B"/>
    <w:rsid w:val="00410A55"/>
    <w:rsid w:val="00411300"/>
    <w:rsid w:val="00415417"/>
    <w:rsid w:val="00426659"/>
    <w:rsid w:val="00450352"/>
    <w:rsid w:val="00454BDB"/>
    <w:rsid w:val="00464800"/>
    <w:rsid w:val="00465132"/>
    <w:rsid w:val="00480C90"/>
    <w:rsid w:val="0048396F"/>
    <w:rsid w:val="00493C18"/>
    <w:rsid w:val="004A600C"/>
    <w:rsid w:val="004A6118"/>
    <w:rsid w:val="004C478D"/>
    <w:rsid w:val="004C501F"/>
    <w:rsid w:val="004E2C26"/>
    <w:rsid w:val="004F36FF"/>
    <w:rsid w:val="005125A8"/>
    <w:rsid w:val="0051571C"/>
    <w:rsid w:val="00521AE8"/>
    <w:rsid w:val="00527180"/>
    <w:rsid w:val="0054201E"/>
    <w:rsid w:val="0054478A"/>
    <w:rsid w:val="00555291"/>
    <w:rsid w:val="00566AD1"/>
    <w:rsid w:val="00581C42"/>
    <w:rsid w:val="0058374D"/>
    <w:rsid w:val="00583EDE"/>
    <w:rsid w:val="00584DEC"/>
    <w:rsid w:val="00590C1B"/>
    <w:rsid w:val="005A6079"/>
    <w:rsid w:val="005C403D"/>
    <w:rsid w:val="005E4698"/>
    <w:rsid w:val="005E761F"/>
    <w:rsid w:val="005F7DAB"/>
    <w:rsid w:val="00610539"/>
    <w:rsid w:val="00613969"/>
    <w:rsid w:val="00623800"/>
    <w:rsid w:val="00625C35"/>
    <w:rsid w:val="00656313"/>
    <w:rsid w:val="006565F4"/>
    <w:rsid w:val="00684EEA"/>
    <w:rsid w:val="00687291"/>
    <w:rsid w:val="0069689B"/>
    <w:rsid w:val="006A1551"/>
    <w:rsid w:val="006A7619"/>
    <w:rsid w:val="006B5FF5"/>
    <w:rsid w:val="006D3BF2"/>
    <w:rsid w:val="006F30AF"/>
    <w:rsid w:val="00701759"/>
    <w:rsid w:val="00705C15"/>
    <w:rsid w:val="0071377F"/>
    <w:rsid w:val="0071600E"/>
    <w:rsid w:val="007208D1"/>
    <w:rsid w:val="00747288"/>
    <w:rsid w:val="00747DD3"/>
    <w:rsid w:val="007549C8"/>
    <w:rsid w:val="00754A0B"/>
    <w:rsid w:val="00766D14"/>
    <w:rsid w:val="00767A0F"/>
    <w:rsid w:val="00771B52"/>
    <w:rsid w:val="00796F2B"/>
    <w:rsid w:val="007A05F6"/>
    <w:rsid w:val="007B6F4A"/>
    <w:rsid w:val="007E1C47"/>
    <w:rsid w:val="007E337A"/>
    <w:rsid w:val="007E5C70"/>
    <w:rsid w:val="007E7FCA"/>
    <w:rsid w:val="007F2FF5"/>
    <w:rsid w:val="007F3F08"/>
    <w:rsid w:val="007F71DC"/>
    <w:rsid w:val="00804CC6"/>
    <w:rsid w:val="00817190"/>
    <w:rsid w:val="00820EE5"/>
    <w:rsid w:val="008260E2"/>
    <w:rsid w:val="008322BD"/>
    <w:rsid w:val="00833E0A"/>
    <w:rsid w:val="00834F73"/>
    <w:rsid w:val="00864CF8"/>
    <w:rsid w:val="008666E8"/>
    <w:rsid w:val="00872819"/>
    <w:rsid w:val="00874914"/>
    <w:rsid w:val="00891422"/>
    <w:rsid w:val="00892E1A"/>
    <w:rsid w:val="008A3F29"/>
    <w:rsid w:val="008B660A"/>
    <w:rsid w:val="008C01DA"/>
    <w:rsid w:val="008C3C41"/>
    <w:rsid w:val="008F78E9"/>
    <w:rsid w:val="00911989"/>
    <w:rsid w:val="009179F9"/>
    <w:rsid w:val="00933E5E"/>
    <w:rsid w:val="00935218"/>
    <w:rsid w:val="009403F3"/>
    <w:rsid w:val="00952AC7"/>
    <w:rsid w:val="009555B7"/>
    <w:rsid w:val="009567AA"/>
    <w:rsid w:val="00967374"/>
    <w:rsid w:val="00977E03"/>
    <w:rsid w:val="009A0DDB"/>
    <w:rsid w:val="009A343A"/>
    <w:rsid w:val="009B2F23"/>
    <w:rsid w:val="009B57B3"/>
    <w:rsid w:val="009C5B92"/>
    <w:rsid w:val="009D2920"/>
    <w:rsid w:val="009D5AEB"/>
    <w:rsid w:val="009F0E33"/>
    <w:rsid w:val="00A00F61"/>
    <w:rsid w:val="00A030CE"/>
    <w:rsid w:val="00A149DF"/>
    <w:rsid w:val="00A1707A"/>
    <w:rsid w:val="00A1755C"/>
    <w:rsid w:val="00A21B90"/>
    <w:rsid w:val="00A31BB9"/>
    <w:rsid w:val="00A41805"/>
    <w:rsid w:val="00A42DCD"/>
    <w:rsid w:val="00A52AFB"/>
    <w:rsid w:val="00A548CB"/>
    <w:rsid w:val="00A5521C"/>
    <w:rsid w:val="00A643E7"/>
    <w:rsid w:val="00A73C38"/>
    <w:rsid w:val="00AB670D"/>
    <w:rsid w:val="00AE4535"/>
    <w:rsid w:val="00AF03C5"/>
    <w:rsid w:val="00B000D8"/>
    <w:rsid w:val="00B00F75"/>
    <w:rsid w:val="00B145B6"/>
    <w:rsid w:val="00B279EB"/>
    <w:rsid w:val="00B50C81"/>
    <w:rsid w:val="00B557F8"/>
    <w:rsid w:val="00B632C8"/>
    <w:rsid w:val="00B815FC"/>
    <w:rsid w:val="00B93FBC"/>
    <w:rsid w:val="00BA7DA0"/>
    <w:rsid w:val="00BB2EE4"/>
    <w:rsid w:val="00BC2108"/>
    <w:rsid w:val="00BD0E9E"/>
    <w:rsid w:val="00BD1BEC"/>
    <w:rsid w:val="00BD32FF"/>
    <w:rsid w:val="00BE5C77"/>
    <w:rsid w:val="00C02092"/>
    <w:rsid w:val="00C24D91"/>
    <w:rsid w:val="00C53F14"/>
    <w:rsid w:val="00C600CF"/>
    <w:rsid w:val="00C6084F"/>
    <w:rsid w:val="00C62A66"/>
    <w:rsid w:val="00C71458"/>
    <w:rsid w:val="00C77613"/>
    <w:rsid w:val="00C828E7"/>
    <w:rsid w:val="00C86719"/>
    <w:rsid w:val="00C921DD"/>
    <w:rsid w:val="00CA6391"/>
    <w:rsid w:val="00CC34BD"/>
    <w:rsid w:val="00CE161A"/>
    <w:rsid w:val="00CE3171"/>
    <w:rsid w:val="00CF1601"/>
    <w:rsid w:val="00D0172F"/>
    <w:rsid w:val="00D068A7"/>
    <w:rsid w:val="00D17476"/>
    <w:rsid w:val="00D23080"/>
    <w:rsid w:val="00D32086"/>
    <w:rsid w:val="00D37A3F"/>
    <w:rsid w:val="00D41CEE"/>
    <w:rsid w:val="00D4431D"/>
    <w:rsid w:val="00D4667A"/>
    <w:rsid w:val="00D63A1C"/>
    <w:rsid w:val="00D7516F"/>
    <w:rsid w:val="00D8579F"/>
    <w:rsid w:val="00D95F8E"/>
    <w:rsid w:val="00DA0590"/>
    <w:rsid w:val="00DB7BEA"/>
    <w:rsid w:val="00DC1739"/>
    <w:rsid w:val="00DC1788"/>
    <w:rsid w:val="00DE319C"/>
    <w:rsid w:val="00DF0CA8"/>
    <w:rsid w:val="00DF2B48"/>
    <w:rsid w:val="00DF49A7"/>
    <w:rsid w:val="00E07EE2"/>
    <w:rsid w:val="00E07FD1"/>
    <w:rsid w:val="00E176D8"/>
    <w:rsid w:val="00E24573"/>
    <w:rsid w:val="00E25E1E"/>
    <w:rsid w:val="00E27EE7"/>
    <w:rsid w:val="00E35404"/>
    <w:rsid w:val="00E45109"/>
    <w:rsid w:val="00E47789"/>
    <w:rsid w:val="00E47B7A"/>
    <w:rsid w:val="00E52CD8"/>
    <w:rsid w:val="00E56A44"/>
    <w:rsid w:val="00E60269"/>
    <w:rsid w:val="00E63F81"/>
    <w:rsid w:val="00E77932"/>
    <w:rsid w:val="00E97830"/>
    <w:rsid w:val="00ED5464"/>
    <w:rsid w:val="00EE643C"/>
    <w:rsid w:val="00EF0683"/>
    <w:rsid w:val="00EF69D2"/>
    <w:rsid w:val="00EF766E"/>
    <w:rsid w:val="00F0070C"/>
    <w:rsid w:val="00F00EB7"/>
    <w:rsid w:val="00F1696A"/>
    <w:rsid w:val="00F36AB6"/>
    <w:rsid w:val="00F37A09"/>
    <w:rsid w:val="00F409CE"/>
    <w:rsid w:val="00F4379D"/>
    <w:rsid w:val="00F50D2D"/>
    <w:rsid w:val="00F56C8B"/>
    <w:rsid w:val="00F66810"/>
    <w:rsid w:val="00F71D49"/>
    <w:rsid w:val="00F846D9"/>
    <w:rsid w:val="00F84DF4"/>
    <w:rsid w:val="00F85C97"/>
    <w:rsid w:val="00FB37D2"/>
    <w:rsid w:val="00FC4EFB"/>
    <w:rsid w:val="00FD068D"/>
    <w:rsid w:val="00FD4F28"/>
    <w:rsid w:val="00FD67ED"/>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table" w:styleId="TableGrid">
    <w:name w:val="Table Grid"/>
    <w:basedOn w:val="TableNormal"/>
    <w:uiPriority w:val="59"/>
    <w:rsid w:val="005F7DA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5F7DAB"/>
    <w:rPr>
      <w:rFonts w:ascii="Times New Roman" w:hAnsi="Times New Roman"/>
      <w:sz w:val="24"/>
      <w:szCs w:val="24"/>
      <w:lang w:val="fr-CA"/>
    </w:rPr>
  </w:style>
  <w:style w:type="paragraph" w:customStyle="1" w:styleId="SCCLsocPrefix">
    <w:name w:val="SCC.Lsoc.Prefix"/>
    <w:basedOn w:val="Normal"/>
    <w:next w:val="Normal"/>
    <w:link w:val="SCCLsocPrefixChar"/>
    <w:rsid w:val="005F7DAB"/>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5F7DAB"/>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46D72-520F-4420-9985-36DFA185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919</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2016-03-02T22:57:00Z</dcterms:created>
  <dcterms:modified xsi:type="dcterms:W3CDTF">2016-11-04T14:42:00Z</dcterms:modified>
</cp:coreProperties>
</file>