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18" w:rsidRDefault="00860918" w:rsidP="00860918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65pt" o:ole="">
            <v:imagedata r:id="rId8" o:title=""/>
          </v:shape>
          <o:OLEObject Type="Embed" ProgID="Presentations.Drawing.13" ShapeID="_x0000_i1025" DrawAspect="Content" ObjectID="_1569827452" r:id="rId9"/>
        </w:object>
      </w:r>
      <w:r>
        <w:t xml:space="preserve"> </w:t>
      </w:r>
      <w:r>
        <w:ptab w:relativeTo="margin" w:alignment="right" w:leader="none"/>
      </w:r>
    </w:p>
    <w:p w:rsidR="00860918" w:rsidRDefault="00860918" w:rsidP="00860918">
      <w:pPr>
        <w:pStyle w:val="Header"/>
      </w:pPr>
    </w:p>
    <w:p w:rsidR="00860918" w:rsidRPr="001E12E2" w:rsidRDefault="00860918" w:rsidP="00860918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860918" w:rsidRDefault="00860918" w:rsidP="00860918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860918" w:rsidRPr="001E12E2" w:rsidTr="009F3BC8">
        <w:trPr>
          <w:cantSplit/>
        </w:trPr>
        <w:tc>
          <w:tcPr>
            <w:tcW w:w="5310" w:type="dxa"/>
          </w:tcPr>
          <w:p w:rsidR="00860918" w:rsidRPr="00860918" w:rsidRDefault="00860918" w:rsidP="009F3BC8">
            <w:pPr>
              <w:rPr>
                <w:lang w:val="fr-CA"/>
              </w:rPr>
            </w:pPr>
            <w:r w:rsidRPr="00860918">
              <w:rPr>
                <w:b/>
                <w:smallCaps/>
                <w:lang w:val="fr-CA"/>
              </w:rPr>
              <w:t>Référence :</w:t>
            </w:r>
            <w:r w:rsidRPr="00860918">
              <w:rPr>
                <w:lang w:val="fr-CA"/>
              </w:rPr>
              <w:t xml:space="preserve"> </w:t>
            </w:r>
            <w:r w:rsidRPr="006A4755">
              <w:rPr>
                <w:rStyle w:val="SCCAppellantForRunningHeadChar"/>
                <w:lang w:val="fr-CA"/>
              </w:rPr>
              <w:t xml:space="preserve">R. </w:t>
            </w:r>
            <w:r w:rsidRPr="00860918">
              <w:rPr>
                <w:rStyle w:val="SCCAppellantForRunningHeadChar"/>
                <w:i/>
                <w:smallCaps w:val="0"/>
                <w:lang w:val="fr-CA"/>
              </w:rPr>
              <w:t>c.</w:t>
            </w:r>
            <w:r w:rsidRPr="006A4755">
              <w:rPr>
                <w:rStyle w:val="SCCAppellantForRunningHeadChar"/>
                <w:lang w:val="fr-CA"/>
              </w:rPr>
              <w:t xml:space="preserve"> </w:t>
            </w:r>
            <w:r>
              <w:rPr>
                <w:rStyle w:val="SCCAppellantForRunningHeadChar"/>
                <w:smallCaps w:val="0"/>
                <w:lang w:val="fr-CA"/>
              </w:rPr>
              <w:t>Clifford</w:t>
            </w:r>
            <w:r w:rsidRPr="006A4755">
              <w:rPr>
                <w:rStyle w:val="SCCAppellantForRunningHeadChar"/>
                <w:lang w:val="fr-CA"/>
              </w:rPr>
              <w:t xml:space="preserve">, </w:t>
            </w:r>
            <w:r w:rsidRPr="00860918">
              <w:rPr>
                <w:lang w:val="fr-CA"/>
              </w:rPr>
              <w:t>2017 CS</w:t>
            </w:r>
            <w:bookmarkStart w:id="0" w:name="_GoBack"/>
            <w:bookmarkEnd w:id="0"/>
            <w:r w:rsidRPr="00860918">
              <w:rPr>
                <w:lang w:val="fr-CA"/>
              </w:rPr>
              <w:t>C 9, [2017] 1 R.C.S. 164</w:t>
            </w:r>
          </w:p>
        </w:tc>
        <w:tc>
          <w:tcPr>
            <w:tcW w:w="4266" w:type="dxa"/>
          </w:tcPr>
          <w:p w:rsidR="00860918" w:rsidRPr="00860918" w:rsidRDefault="00860918" w:rsidP="009F3BC8">
            <w:pPr>
              <w:rPr>
                <w:lang w:val="fr-CA"/>
              </w:rPr>
            </w:pPr>
            <w:r w:rsidRPr="00860918">
              <w:rPr>
                <w:b/>
                <w:smallCaps/>
                <w:lang w:val="fr-CA"/>
              </w:rPr>
              <w:t>Appel entendu:</w:t>
            </w:r>
            <w:r w:rsidRPr="00860918">
              <w:rPr>
                <w:lang w:val="fr-CA"/>
              </w:rPr>
              <w:t xml:space="preserve"> 17 février 2017</w:t>
            </w:r>
          </w:p>
          <w:p w:rsidR="00860918" w:rsidRPr="00860918" w:rsidRDefault="00860918" w:rsidP="009F3BC8">
            <w:pPr>
              <w:rPr>
                <w:b/>
                <w:smallCaps/>
                <w:lang w:val="fr-CA"/>
              </w:rPr>
            </w:pPr>
            <w:r w:rsidRPr="00860918">
              <w:rPr>
                <w:b/>
                <w:smallCaps/>
                <w:lang w:val="fr-CA"/>
              </w:rPr>
              <w:t>Jugement rendu :</w:t>
            </w:r>
            <w:r w:rsidRPr="00860918">
              <w:rPr>
                <w:lang w:val="fr-CA"/>
              </w:rPr>
              <w:t xml:space="preserve"> 17 février 2017</w:t>
            </w:r>
          </w:p>
          <w:p w:rsidR="00860918" w:rsidRPr="001E12E2" w:rsidRDefault="00860918" w:rsidP="009F3BC8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ssiers :</w:t>
            </w:r>
            <w:r w:rsidRPr="001E12E2">
              <w:t xml:space="preserve"> </w:t>
            </w:r>
            <w:r w:rsidRPr="00903EE3">
              <w:rPr>
                <w:lang w:val="fr-CA"/>
              </w:rPr>
              <w:t>37140</w:t>
            </w:r>
          </w:p>
        </w:tc>
      </w:tr>
    </w:tbl>
    <w:p w:rsidR="00860918" w:rsidRDefault="00860918" w:rsidP="00860918">
      <w:pPr>
        <w:pStyle w:val="SCCLsocPrefix"/>
      </w:pPr>
    </w:p>
    <w:p w:rsidR="00860918" w:rsidRDefault="00860918" w:rsidP="00860918">
      <w:pPr>
        <w:pStyle w:val="SCCLsocPrefix"/>
      </w:pPr>
    </w:p>
    <w:p w:rsidR="00860918" w:rsidRDefault="00860918" w:rsidP="00860918">
      <w:pPr>
        <w:pStyle w:val="SCCLsocPrefix"/>
      </w:pPr>
      <w:r>
        <w:t>Entre :</w:t>
      </w:r>
    </w:p>
    <w:p w:rsidR="00860918" w:rsidRPr="00D85283" w:rsidRDefault="00860918" w:rsidP="00860918">
      <w:pPr>
        <w:pStyle w:val="SCCLsocParty"/>
        <w:jc w:val="center"/>
      </w:pPr>
      <w:r>
        <w:t>William Scott Clifford</w:t>
      </w:r>
    </w:p>
    <w:p w:rsidR="00860918" w:rsidRPr="00D85283" w:rsidRDefault="00860918" w:rsidP="00860918">
      <w:pPr>
        <w:jc w:val="center"/>
      </w:pPr>
      <w:proofErr w:type="spellStart"/>
      <w:r w:rsidRPr="00D85283">
        <w:t>Appelant</w:t>
      </w:r>
      <w:proofErr w:type="spellEnd"/>
    </w:p>
    <w:p w:rsidR="00860918" w:rsidRPr="00D85283" w:rsidRDefault="00860918" w:rsidP="00860918">
      <w:pPr>
        <w:jc w:val="center"/>
      </w:pPr>
    </w:p>
    <w:p w:rsidR="00860918" w:rsidRPr="00860918" w:rsidRDefault="00860918" w:rsidP="00860918">
      <w:pPr>
        <w:pStyle w:val="SCCLsocVersus"/>
        <w:spacing w:after="0"/>
        <w:jc w:val="center"/>
        <w:rPr>
          <w:i w:val="0"/>
        </w:rPr>
      </w:pPr>
      <w:proofErr w:type="gramStart"/>
      <w:r w:rsidRPr="00860918">
        <w:rPr>
          <w:i w:val="0"/>
        </w:rPr>
        <w:t>et</w:t>
      </w:r>
      <w:proofErr w:type="gramEnd"/>
    </w:p>
    <w:p w:rsidR="00860918" w:rsidRPr="0033260A" w:rsidRDefault="00860918" w:rsidP="00860918">
      <w:pPr>
        <w:jc w:val="center"/>
      </w:pPr>
    </w:p>
    <w:p w:rsidR="00860918" w:rsidRPr="00860918" w:rsidRDefault="00860918" w:rsidP="00860918">
      <w:pPr>
        <w:pStyle w:val="SCCLsocParty"/>
        <w:jc w:val="center"/>
        <w:rPr>
          <w:lang w:val="fr-CA"/>
        </w:rPr>
      </w:pPr>
      <w:r w:rsidRPr="00860918">
        <w:rPr>
          <w:lang w:val="fr-CA"/>
        </w:rPr>
        <w:t>Sa Majesté la Reine</w:t>
      </w:r>
    </w:p>
    <w:p w:rsidR="00860918" w:rsidRPr="00860918" w:rsidRDefault="00860918" w:rsidP="00860918">
      <w:pPr>
        <w:jc w:val="center"/>
        <w:rPr>
          <w:lang w:val="fr-CA"/>
        </w:rPr>
      </w:pPr>
      <w:r w:rsidRPr="00860918">
        <w:rPr>
          <w:lang w:val="fr-CA"/>
        </w:rPr>
        <w:t>Intimée</w:t>
      </w:r>
    </w:p>
    <w:p w:rsidR="00860918" w:rsidRPr="00860918" w:rsidRDefault="00860918" w:rsidP="00860918">
      <w:pPr>
        <w:jc w:val="center"/>
        <w:rPr>
          <w:lang w:val="fr-CA"/>
        </w:rPr>
      </w:pPr>
    </w:p>
    <w:p w:rsidR="00860918" w:rsidRPr="00860918" w:rsidRDefault="00860918" w:rsidP="00860918">
      <w:pPr>
        <w:pStyle w:val="SCCLsocParty"/>
        <w:widowControl w:val="0"/>
        <w:jc w:val="center"/>
        <w:rPr>
          <w:lang w:val="fr-CA"/>
        </w:rPr>
      </w:pPr>
      <w:proofErr w:type="spellStart"/>
      <w:r w:rsidRPr="00860918">
        <w:rPr>
          <w:lang w:val="fr-CA"/>
        </w:rPr>
        <w:t>Criminal</w:t>
      </w:r>
      <w:proofErr w:type="spellEnd"/>
      <w:r w:rsidRPr="00860918">
        <w:rPr>
          <w:lang w:val="fr-CA"/>
        </w:rPr>
        <w:t xml:space="preserve"> </w:t>
      </w:r>
      <w:proofErr w:type="spellStart"/>
      <w:r w:rsidRPr="00860918">
        <w:rPr>
          <w:lang w:val="fr-CA"/>
        </w:rPr>
        <w:t>Lawyers</w:t>
      </w:r>
      <w:proofErr w:type="spellEnd"/>
      <w:r w:rsidRPr="00860918">
        <w:rPr>
          <w:lang w:val="fr-CA"/>
        </w:rPr>
        <w:t>’ Association of Ontario et</w:t>
      </w:r>
    </w:p>
    <w:p w:rsidR="00860918" w:rsidRPr="00860918" w:rsidRDefault="00860918" w:rsidP="00860918">
      <w:pPr>
        <w:jc w:val="center"/>
        <w:rPr>
          <w:b/>
          <w:lang w:val="fr-CA"/>
        </w:rPr>
      </w:pPr>
      <w:proofErr w:type="gramStart"/>
      <w:r w:rsidRPr="00886469">
        <w:rPr>
          <w:b/>
          <w:lang w:val="fr-CA"/>
        </w:rPr>
        <w:t>directeur</w:t>
      </w:r>
      <w:proofErr w:type="gramEnd"/>
      <w:r w:rsidRPr="00886469">
        <w:rPr>
          <w:b/>
          <w:lang w:val="fr-CA"/>
        </w:rPr>
        <w:t xml:space="preserve"> des poursuites pénales du Canada</w:t>
      </w:r>
    </w:p>
    <w:p w:rsidR="00860918" w:rsidRPr="00860918" w:rsidRDefault="00860918" w:rsidP="00860918">
      <w:pPr>
        <w:jc w:val="center"/>
        <w:rPr>
          <w:lang w:val="fr-CA"/>
        </w:rPr>
      </w:pPr>
      <w:r w:rsidRPr="00860918">
        <w:rPr>
          <w:lang w:val="fr-CA"/>
        </w:rPr>
        <w:t>Intervenants</w:t>
      </w:r>
    </w:p>
    <w:p w:rsidR="00860918" w:rsidRPr="00860918" w:rsidRDefault="00860918" w:rsidP="00860918">
      <w:pPr>
        <w:rPr>
          <w:lang w:val="fr-CA"/>
        </w:rPr>
      </w:pPr>
    </w:p>
    <w:p w:rsidR="00860918" w:rsidRPr="00860918" w:rsidRDefault="00860918" w:rsidP="00860918">
      <w:pPr>
        <w:rPr>
          <w:lang w:val="fr-CA"/>
        </w:rPr>
      </w:pPr>
    </w:p>
    <w:p w:rsidR="00860918" w:rsidRPr="00860918" w:rsidRDefault="00860918" w:rsidP="00860918">
      <w:pPr>
        <w:jc w:val="center"/>
        <w:rPr>
          <w:b/>
          <w:smallCaps/>
          <w:lang w:val="fr-CA"/>
        </w:rPr>
      </w:pPr>
      <w:r w:rsidRPr="00860918">
        <w:rPr>
          <w:b/>
          <w:smallCaps/>
          <w:lang w:val="fr-CA"/>
        </w:rPr>
        <w:t>Traduction française officielle</w:t>
      </w:r>
    </w:p>
    <w:p w:rsidR="00860918" w:rsidRPr="00860918" w:rsidRDefault="00860918" w:rsidP="00860918">
      <w:pPr>
        <w:rPr>
          <w:lang w:val="fr-CA"/>
        </w:rPr>
      </w:pPr>
    </w:p>
    <w:p w:rsidR="00860918" w:rsidRPr="00860918" w:rsidRDefault="00860918" w:rsidP="00860918">
      <w:pPr>
        <w:rPr>
          <w:lang w:val="fr-CA"/>
        </w:rPr>
      </w:pPr>
      <w:r w:rsidRPr="00860918">
        <w:rPr>
          <w:b/>
          <w:smallCaps/>
          <w:lang w:val="fr-CA"/>
        </w:rPr>
        <w:t>Coram :</w:t>
      </w:r>
      <w:r w:rsidRPr="00860918">
        <w:rPr>
          <w:lang w:val="fr-CA"/>
        </w:rPr>
        <w:t xml:space="preserve"> </w:t>
      </w:r>
      <w:r w:rsidRPr="00903EE3">
        <w:rPr>
          <w:lang w:val="fr-CA"/>
        </w:rPr>
        <w:t xml:space="preserve">Les juges Abella, </w:t>
      </w:r>
      <w:proofErr w:type="spellStart"/>
      <w:r w:rsidRPr="00903EE3">
        <w:rPr>
          <w:lang w:val="fr-CA"/>
        </w:rPr>
        <w:t>Moldaver</w:t>
      </w:r>
      <w:proofErr w:type="spellEnd"/>
      <w:r w:rsidRPr="00903EE3">
        <w:rPr>
          <w:lang w:val="fr-CA"/>
        </w:rPr>
        <w:t xml:space="preserve">, </w:t>
      </w:r>
      <w:proofErr w:type="spellStart"/>
      <w:r w:rsidRPr="00903EE3">
        <w:rPr>
          <w:lang w:val="fr-CA"/>
        </w:rPr>
        <w:t>Karakatsanis</w:t>
      </w:r>
      <w:proofErr w:type="spellEnd"/>
      <w:r w:rsidRPr="00903EE3">
        <w:rPr>
          <w:lang w:val="fr-CA"/>
        </w:rPr>
        <w:t>, Wagner, Côté, Brown et Rowe</w:t>
      </w:r>
    </w:p>
    <w:p w:rsidR="00860918" w:rsidRPr="00860918" w:rsidRDefault="00860918" w:rsidP="00860918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860918" w:rsidRPr="00860918" w:rsidTr="009F3BC8">
        <w:trPr>
          <w:cantSplit/>
        </w:trPr>
        <w:tc>
          <w:tcPr>
            <w:tcW w:w="3618" w:type="dxa"/>
          </w:tcPr>
          <w:p w:rsidR="00860918" w:rsidRPr="00860918" w:rsidRDefault="00860918" w:rsidP="009F3BC8">
            <w:pPr>
              <w:rPr>
                <w:b/>
                <w:smallCaps/>
                <w:lang w:val="fr-CA"/>
              </w:rPr>
            </w:pPr>
            <w:r w:rsidRPr="00860918">
              <w:rPr>
                <w:b/>
                <w:smallCaps/>
                <w:lang w:val="fr-CA"/>
              </w:rPr>
              <w:t>Motifs de jugement :</w:t>
            </w:r>
          </w:p>
          <w:p w:rsidR="00860918" w:rsidRPr="00860918" w:rsidRDefault="00860918" w:rsidP="009F3BC8">
            <w:pPr>
              <w:rPr>
                <w:lang w:val="fr-CA"/>
              </w:rPr>
            </w:pPr>
            <w:r w:rsidRPr="00860918">
              <w:rPr>
                <w:lang w:val="fr-CA"/>
              </w:rPr>
              <w:t>(par. 1 à 2)</w:t>
            </w:r>
          </w:p>
        </w:tc>
        <w:tc>
          <w:tcPr>
            <w:tcW w:w="5958" w:type="dxa"/>
          </w:tcPr>
          <w:p w:rsidR="00860918" w:rsidRPr="00860918" w:rsidRDefault="00860918" w:rsidP="009F3BC8">
            <w:pPr>
              <w:rPr>
                <w:lang w:val="fr-CA"/>
              </w:rPr>
            </w:pPr>
            <w:r w:rsidRPr="00860918">
              <w:rPr>
                <w:lang w:val="fr-CA"/>
              </w:rPr>
              <w:t xml:space="preserve">La juge Abella (avec l’accord des juges </w:t>
            </w:r>
            <w:proofErr w:type="spellStart"/>
            <w:r w:rsidRPr="00860918">
              <w:rPr>
                <w:lang w:val="fr-CA"/>
              </w:rPr>
              <w:t>Moldaver</w:t>
            </w:r>
            <w:proofErr w:type="spellEnd"/>
            <w:r w:rsidRPr="00860918">
              <w:rPr>
                <w:lang w:val="fr-CA"/>
              </w:rPr>
              <w:t xml:space="preserve">, </w:t>
            </w:r>
            <w:proofErr w:type="spellStart"/>
            <w:r w:rsidRPr="00860918">
              <w:rPr>
                <w:lang w:val="fr-CA"/>
              </w:rPr>
              <w:t>Karakatsanis</w:t>
            </w:r>
            <w:proofErr w:type="spellEnd"/>
            <w:r w:rsidRPr="00860918">
              <w:rPr>
                <w:lang w:val="fr-CA"/>
              </w:rPr>
              <w:t xml:space="preserve">, </w:t>
            </w:r>
            <w:proofErr w:type="spellStart"/>
            <w:r w:rsidRPr="00860918">
              <w:rPr>
                <w:lang w:val="fr-CA"/>
              </w:rPr>
              <w:t>Wager</w:t>
            </w:r>
            <w:proofErr w:type="spellEnd"/>
            <w:r w:rsidRPr="00860918">
              <w:rPr>
                <w:lang w:val="fr-CA"/>
              </w:rPr>
              <w:t>, Côté, Brown et Rowe)</w:t>
            </w:r>
          </w:p>
        </w:tc>
      </w:tr>
    </w:tbl>
    <w:p w:rsidR="00860918" w:rsidRPr="00860918" w:rsidRDefault="00860918" w:rsidP="00860918">
      <w:pPr>
        <w:rPr>
          <w:lang w:val="fr-CA"/>
        </w:rPr>
      </w:pPr>
    </w:p>
    <w:p w:rsidR="00860918" w:rsidRPr="00860918" w:rsidRDefault="00860918" w:rsidP="00860918">
      <w:pPr>
        <w:rPr>
          <w:lang w:val="fr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44DF9" wp14:editId="14A050A1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9EB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860918" w:rsidRPr="00860918" w:rsidRDefault="00860918" w:rsidP="00860918">
      <w:pPr>
        <w:rPr>
          <w:lang w:val="fr-CA"/>
        </w:rPr>
      </w:pPr>
    </w:p>
    <w:p w:rsidR="00860918" w:rsidRPr="00860918" w:rsidRDefault="00860918" w:rsidP="00860918">
      <w:pPr>
        <w:rPr>
          <w:lang w:val="fr-CA"/>
        </w:rPr>
      </w:pPr>
    </w:p>
    <w:p w:rsidR="004D7D95" w:rsidRPr="00840FB7" w:rsidRDefault="00840FB7" w:rsidP="001A7D6E">
      <w:pPr>
        <w:widowControl w:val="0"/>
        <w:spacing w:line="480" w:lineRule="auto"/>
        <w:jc w:val="both"/>
        <w:rPr>
          <w:lang w:val="en-US"/>
        </w:rPr>
      </w:pPr>
      <w:r>
        <w:rPr>
          <w:lang w:val="en-US"/>
        </w:rPr>
        <w:t>R</w:t>
      </w:r>
      <w:r w:rsidR="00B95313" w:rsidRPr="00840FB7">
        <w:rPr>
          <w:lang w:val="en-US"/>
        </w:rPr>
        <w:t xml:space="preserve">. </w:t>
      </w:r>
      <w:r w:rsidR="00B95313" w:rsidRPr="00840FB7">
        <w:rPr>
          <w:i/>
          <w:lang w:val="en-US"/>
        </w:rPr>
        <w:t>c.</w:t>
      </w:r>
      <w:r w:rsidR="00B95313" w:rsidRPr="00840FB7">
        <w:rPr>
          <w:lang w:val="en-US"/>
        </w:rPr>
        <w:t xml:space="preserve"> </w:t>
      </w:r>
      <w:r>
        <w:rPr>
          <w:lang w:val="en-US"/>
        </w:rPr>
        <w:t>C</w:t>
      </w:r>
      <w:r w:rsidR="00B95313" w:rsidRPr="00840FB7">
        <w:rPr>
          <w:lang w:val="en-US"/>
        </w:rPr>
        <w:t>lifford</w:t>
      </w:r>
      <w:r>
        <w:rPr>
          <w:lang w:val="en-US"/>
        </w:rPr>
        <w:t xml:space="preserve">, </w:t>
      </w:r>
      <w:r w:rsidRPr="00840FB7">
        <w:rPr>
          <w:lang w:val="en-US"/>
        </w:rPr>
        <w:t>2017 CSC 9, [2017] 1 R.C.S. 164</w:t>
      </w:r>
    </w:p>
    <w:p w:rsidR="004D7D95" w:rsidRPr="00B70EC3" w:rsidRDefault="004D7D95" w:rsidP="001A7D6E">
      <w:pPr>
        <w:widowControl w:val="0"/>
        <w:jc w:val="both"/>
        <w:rPr>
          <w:lang w:val="en-US"/>
        </w:rPr>
      </w:pPr>
    </w:p>
    <w:p w:rsidR="004D7D95" w:rsidRPr="00B70EC3" w:rsidRDefault="004D7D95" w:rsidP="001A7D6E">
      <w:pPr>
        <w:widowControl w:val="0"/>
        <w:jc w:val="both"/>
        <w:rPr>
          <w:lang w:val="en-US"/>
        </w:rPr>
      </w:pPr>
    </w:p>
    <w:p w:rsidR="004D7D95" w:rsidRPr="00B70EC3" w:rsidRDefault="004D7D95" w:rsidP="001A7D6E">
      <w:pPr>
        <w:widowControl w:val="0"/>
        <w:jc w:val="both"/>
        <w:rPr>
          <w:lang w:val="en-US"/>
        </w:rPr>
      </w:pPr>
    </w:p>
    <w:p w:rsidR="00C31722" w:rsidRDefault="00C73D7B" w:rsidP="001A7D6E">
      <w:pPr>
        <w:pStyle w:val="SCCLsocLastPartyInRole"/>
        <w:widowControl w:val="0"/>
      </w:pPr>
      <w:r>
        <w:t>William Scott Clifford</w:t>
      </w:r>
      <w:r>
        <w:rPr>
          <w:rStyle w:val="SCCLsocPartyRole"/>
        </w:rPr>
        <w:tab/>
      </w:r>
      <w:proofErr w:type="spellStart"/>
      <w:r>
        <w:rPr>
          <w:rStyle w:val="SCCLsocPartyRole"/>
        </w:rPr>
        <w:t>Appelant</w:t>
      </w:r>
      <w:proofErr w:type="spellEnd"/>
    </w:p>
    <w:p w:rsidR="00C31722" w:rsidRPr="00903EE3" w:rsidRDefault="00C73D7B" w:rsidP="001A7D6E">
      <w:pPr>
        <w:pStyle w:val="SCCLsocVersus"/>
        <w:widowControl w:val="0"/>
        <w:rPr>
          <w:lang w:val="fr-CA"/>
        </w:rPr>
      </w:pPr>
      <w:proofErr w:type="gramStart"/>
      <w:r w:rsidRPr="00903EE3">
        <w:rPr>
          <w:lang w:val="fr-CA"/>
        </w:rPr>
        <w:lastRenderedPageBreak/>
        <w:t>c</w:t>
      </w:r>
      <w:proofErr w:type="gramEnd"/>
      <w:r w:rsidRPr="00903EE3">
        <w:rPr>
          <w:lang w:val="fr-CA"/>
        </w:rPr>
        <w:t>.</w:t>
      </w:r>
    </w:p>
    <w:p w:rsidR="00C31722" w:rsidRPr="00903EE3" w:rsidRDefault="00C73D7B" w:rsidP="001A7D6E">
      <w:pPr>
        <w:pStyle w:val="SCCLsocLastPartyInRole"/>
        <w:widowControl w:val="0"/>
        <w:rPr>
          <w:lang w:val="fr-CA"/>
        </w:rPr>
      </w:pPr>
      <w:r w:rsidRPr="00903EE3">
        <w:rPr>
          <w:lang w:val="fr-CA"/>
        </w:rPr>
        <w:t>Sa Majesté la Reine</w:t>
      </w:r>
      <w:r w:rsidR="0021226A">
        <w:rPr>
          <w:rStyle w:val="SCCLsocPartyRole"/>
          <w:lang w:val="fr-CA"/>
        </w:rPr>
        <w:tab/>
        <w:t>Intimée</w:t>
      </w:r>
    </w:p>
    <w:p w:rsidR="00C31722" w:rsidRPr="00B70EC3" w:rsidRDefault="00C73D7B" w:rsidP="001A7D6E">
      <w:pPr>
        <w:pStyle w:val="SCCLsocOtherPartySeparator"/>
        <w:widowControl w:val="0"/>
        <w:rPr>
          <w:lang w:val="fr-CA"/>
        </w:rPr>
      </w:pPr>
      <w:proofErr w:type="gramStart"/>
      <w:r w:rsidRPr="00B70EC3">
        <w:rPr>
          <w:lang w:val="fr-CA"/>
        </w:rPr>
        <w:t>et</w:t>
      </w:r>
      <w:proofErr w:type="gramEnd"/>
    </w:p>
    <w:p w:rsidR="00C31722" w:rsidRPr="00B70EC3" w:rsidRDefault="0021226A" w:rsidP="001A7D6E">
      <w:pPr>
        <w:pStyle w:val="SCCLsocParty"/>
        <w:widowControl w:val="0"/>
        <w:rPr>
          <w:lang w:val="fr-CA"/>
        </w:rPr>
      </w:pPr>
      <w:proofErr w:type="spellStart"/>
      <w:r w:rsidRPr="00B70EC3">
        <w:rPr>
          <w:lang w:val="fr-CA"/>
        </w:rPr>
        <w:t>Criminal</w:t>
      </w:r>
      <w:proofErr w:type="spellEnd"/>
      <w:r w:rsidRPr="00B70EC3">
        <w:rPr>
          <w:lang w:val="fr-CA"/>
        </w:rPr>
        <w:t xml:space="preserve"> </w:t>
      </w:r>
      <w:proofErr w:type="spellStart"/>
      <w:r w:rsidRPr="00B70EC3">
        <w:rPr>
          <w:lang w:val="fr-CA"/>
        </w:rPr>
        <w:t>Lawyers</w:t>
      </w:r>
      <w:proofErr w:type="spellEnd"/>
      <w:r w:rsidRPr="00B70EC3">
        <w:rPr>
          <w:lang w:val="fr-CA"/>
        </w:rPr>
        <w:t>’</w:t>
      </w:r>
      <w:r w:rsidR="00C73D7B" w:rsidRPr="00B70EC3">
        <w:rPr>
          <w:lang w:val="fr-CA"/>
        </w:rPr>
        <w:t xml:space="preserve"> Association </w:t>
      </w:r>
      <w:r w:rsidR="004037B3" w:rsidRPr="00B70EC3">
        <w:rPr>
          <w:lang w:val="fr-CA"/>
        </w:rPr>
        <w:t xml:space="preserve">of Ontario </w:t>
      </w:r>
      <w:r w:rsidR="00761830" w:rsidRPr="00B70EC3">
        <w:rPr>
          <w:lang w:val="fr-CA"/>
        </w:rPr>
        <w:t>et</w:t>
      </w:r>
    </w:p>
    <w:p w:rsidR="00C31722" w:rsidRPr="0021226A" w:rsidRDefault="002231C0" w:rsidP="001A7D6E">
      <w:pPr>
        <w:pStyle w:val="SCCLsocLastPartyInRole"/>
        <w:widowControl w:val="0"/>
        <w:rPr>
          <w:lang w:val="fr-CA"/>
        </w:rPr>
      </w:pPr>
      <w:proofErr w:type="gramStart"/>
      <w:r>
        <w:rPr>
          <w:lang w:val="fr-CA"/>
        </w:rPr>
        <w:t>d</w:t>
      </w:r>
      <w:r w:rsidR="0021226A" w:rsidRPr="0021226A">
        <w:rPr>
          <w:lang w:val="fr-CA"/>
        </w:rPr>
        <w:t>irecteur</w:t>
      </w:r>
      <w:proofErr w:type="gramEnd"/>
      <w:r w:rsidR="0021226A" w:rsidRPr="0021226A">
        <w:rPr>
          <w:lang w:val="fr-CA"/>
        </w:rPr>
        <w:t xml:space="preserve"> des poursuites pénales du Canada</w:t>
      </w:r>
      <w:r w:rsidR="0021226A" w:rsidRPr="0021226A">
        <w:rPr>
          <w:rStyle w:val="SCCLsocPartyRole"/>
          <w:lang w:val="fr-CA"/>
        </w:rPr>
        <w:tab/>
        <w:t>Intervenant</w:t>
      </w:r>
      <w:r w:rsidR="00C73D7B" w:rsidRPr="0021226A">
        <w:rPr>
          <w:rStyle w:val="SCCLsocPartyRole"/>
          <w:lang w:val="fr-CA"/>
        </w:rPr>
        <w:t>s</w:t>
      </w:r>
    </w:p>
    <w:p w:rsidR="004D7D95" w:rsidRPr="0021226A" w:rsidRDefault="004D7D95" w:rsidP="001A7D6E">
      <w:pPr>
        <w:widowControl w:val="0"/>
        <w:jc w:val="both"/>
        <w:rPr>
          <w:lang w:val="fr-CA"/>
        </w:rPr>
      </w:pPr>
    </w:p>
    <w:p w:rsidR="004D7D95" w:rsidRDefault="004D7D95" w:rsidP="001A7D6E">
      <w:pPr>
        <w:widowControl w:val="0"/>
        <w:jc w:val="both"/>
        <w:rPr>
          <w:rStyle w:val="SCCRespondentForIndexChar"/>
          <w:lang w:val="fr-CA"/>
        </w:rPr>
      </w:pPr>
      <w:r w:rsidRPr="00BB4C92">
        <w:rPr>
          <w:b/>
          <w:lang w:val="fr-CA"/>
        </w:rPr>
        <w:t>Répertorié : </w:t>
      </w:r>
      <w:r w:rsidR="00761830">
        <w:rPr>
          <w:b/>
          <w:lang w:val="fr-CA"/>
        </w:rPr>
        <w:t xml:space="preserve">R. </w:t>
      </w:r>
      <w:r w:rsidRPr="00BB4C92">
        <w:rPr>
          <w:b/>
          <w:i/>
          <w:lang w:val="fr-CA"/>
        </w:rPr>
        <w:t>c.</w:t>
      </w:r>
      <w:r w:rsidRPr="00BB4C92">
        <w:rPr>
          <w:b/>
          <w:lang w:val="fr-CA"/>
        </w:rPr>
        <w:t xml:space="preserve"> </w:t>
      </w:r>
      <w:r w:rsidR="00761830">
        <w:rPr>
          <w:rStyle w:val="SCCRespondentForIndexChar"/>
          <w:lang w:val="fr-CA"/>
        </w:rPr>
        <w:t>Clifford</w:t>
      </w:r>
    </w:p>
    <w:p w:rsidR="00761830" w:rsidRDefault="00761830" w:rsidP="001A7D6E">
      <w:pPr>
        <w:widowControl w:val="0"/>
        <w:jc w:val="both"/>
        <w:rPr>
          <w:lang w:val="fr-CA"/>
        </w:rPr>
      </w:pPr>
    </w:p>
    <w:p w:rsidR="00E4430C" w:rsidRPr="00903EE3" w:rsidRDefault="00E4430C" w:rsidP="001A7D6E">
      <w:pPr>
        <w:widowControl w:val="0"/>
        <w:jc w:val="both"/>
        <w:rPr>
          <w:lang w:val="fr-CA"/>
        </w:rPr>
      </w:pPr>
    </w:p>
    <w:p w:rsidR="004D7D95" w:rsidRPr="00903EE3" w:rsidRDefault="004D7D95" w:rsidP="001A7D6E">
      <w:pPr>
        <w:widowControl w:val="0"/>
        <w:jc w:val="both"/>
        <w:rPr>
          <w:lang w:val="fr-CA"/>
        </w:rPr>
      </w:pPr>
    </w:p>
    <w:p w:rsidR="004D7D95" w:rsidRPr="00903EE3" w:rsidRDefault="00D17B0E" w:rsidP="001A7D6E">
      <w:pPr>
        <w:pStyle w:val="SCCSystemYear"/>
        <w:widowControl w:val="0"/>
        <w:jc w:val="both"/>
        <w:rPr>
          <w:lang w:val="fr-CA"/>
        </w:rPr>
      </w:pPr>
      <w:r w:rsidRPr="00903EE3">
        <w:rPr>
          <w:lang w:val="fr-CA"/>
        </w:rPr>
        <w:t>2017</w:t>
      </w:r>
      <w:r w:rsidR="004D7D95" w:rsidRPr="00903EE3">
        <w:rPr>
          <w:lang w:val="fr-CA"/>
        </w:rPr>
        <w:t xml:space="preserve"> CSC </w:t>
      </w:r>
      <w:r w:rsidR="00655DB0">
        <w:rPr>
          <w:lang w:val="fr-CA"/>
        </w:rPr>
        <w:t>9</w:t>
      </w:r>
    </w:p>
    <w:p w:rsidR="004D7D95" w:rsidRPr="00903EE3" w:rsidRDefault="004D7D95" w:rsidP="001A7D6E">
      <w:pPr>
        <w:widowControl w:val="0"/>
        <w:jc w:val="both"/>
        <w:rPr>
          <w:lang w:val="fr-CA"/>
        </w:rPr>
      </w:pPr>
    </w:p>
    <w:p w:rsidR="004D7D95" w:rsidRPr="00903EE3" w:rsidRDefault="004D7D95" w:rsidP="001A7D6E">
      <w:pPr>
        <w:widowControl w:val="0"/>
        <w:jc w:val="both"/>
        <w:rPr>
          <w:lang w:val="fr-CA"/>
        </w:rPr>
      </w:pPr>
    </w:p>
    <w:p w:rsidR="004D7D95" w:rsidRPr="00903EE3" w:rsidRDefault="004D7D95" w:rsidP="001A7D6E">
      <w:pPr>
        <w:widowControl w:val="0"/>
        <w:jc w:val="both"/>
        <w:rPr>
          <w:lang w:val="fr-CA"/>
        </w:rPr>
      </w:pPr>
    </w:p>
    <w:p w:rsidR="004D7D95" w:rsidRPr="00903EE3" w:rsidRDefault="004D7D95" w:rsidP="001A7D6E">
      <w:pPr>
        <w:widowControl w:val="0"/>
        <w:jc w:val="both"/>
        <w:rPr>
          <w:lang w:val="fr-CA"/>
        </w:rPr>
      </w:pPr>
      <w:r w:rsidRPr="00903EE3">
        <w:rPr>
          <w:lang w:val="fr-CA"/>
        </w:rPr>
        <w:t>N</w:t>
      </w:r>
      <w:r w:rsidRPr="00903EE3">
        <w:rPr>
          <w:vertAlign w:val="superscript"/>
          <w:lang w:val="fr-CA"/>
        </w:rPr>
        <w:t>o</w:t>
      </w:r>
      <w:r w:rsidRPr="00903EE3">
        <w:rPr>
          <w:lang w:val="fr-CA"/>
        </w:rPr>
        <w:t xml:space="preserve"> du greffe : 37140.</w:t>
      </w:r>
    </w:p>
    <w:p w:rsidR="004D7D95" w:rsidRPr="00903EE3" w:rsidRDefault="004D7D95" w:rsidP="001A7D6E">
      <w:pPr>
        <w:widowControl w:val="0"/>
        <w:jc w:val="both"/>
        <w:rPr>
          <w:lang w:val="fr-CA"/>
        </w:rPr>
      </w:pPr>
    </w:p>
    <w:p w:rsidR="004D7D95" w:rsidRPr="00903EE3" w:rsidRDefault="004D7D95" w:rsidP="001A7D6E">
      <w:pPr>
        <w:widowControl w:val="0"/>
        <w:jc w:val="both"/>
        <w:rPr>
          <w:lang w:val="fr-CA"/>
        </w:rPr>
      </w:pPr>
    </w:p>
    <w:p w:rsidR="004D7D95" w:rsidRPr="00903EE3" w:rsidRDefault="004D7D95" w:rsidP="001A7D6E">
      <w:pPr>
        <w:widowControl w:val="0"/>
        <w:jc w:val="both"/>
        <w:rPr>
          <w:lang w:val="fr-CA"/>
        </w:rPr>
      </w:pPr>
    </w:p>
    <w:p w:rsidR="004D7D95" w:rsidRPr="00903EE3" w:rsidRDefault="00D17B0E" w:rsidP="001A7D6E">
      <w:pPr>
        <w:widowControl w:val="0"/>
        <w:jc w:val="both"/>
        <w:rPr>
          <w:lang w:val="fr-CA"/>
        </w:rPr>
      </w:pPr>
      <w:r w:rsidRPr="00903EE3">
        <w:rPr>
          <w:lang w:val="fr-CA"/>
        </w:rPr>
        <w:t>2017 : 17 février</w:t>
      </w:r>
      <w:r w:rsidR="00655DB0">
        <w:rPr>
          <w:lang w:val="fr-CA"/>
        </w:rPr>
        <w:t>.</w:t>
      </w:r>
    </w:p>
    <w:p w:rsidR="004D7D95" w:rsidRPr="00903EE3" w:rsidRDefault="004D7D95" w:rsidP="001A7D6E">
      <w:pPr>
        <w:widowControl w:val="0"/>
        <w:jc w:val="both"/>
        <w:rPr>
          <w:lang w:val="fr-CA"/>
        </w:rPr>
      </w:pPr>
    </w:p>
    <w:p w:rsidR="004D7D95" w:rsidRPr="00903EE3" w:rsidRDefault="004D7D95" w:rsidP="001A7D6E">
      <w:pPr>
        <w:widowControl w:val="0"/>
        <w:jc w:val="both"/>
        <w:rPr>
          <w:lang w:val="fr-CA"/>
        </w:rPr>
      </w:pPr>
    </w:p>
    <w:p w:rsidR="004D7D95" w:rsidRPr="00903EE3" w:rsidRDefault="004D7D95" w:rsidP="001A7D6E">
      <w:pPr>
        <w:widowControl w:val="0"/>
        <w:jc w:val="both"/>
        <w:rPr>
          <w:lang w:val="fr-CA"/>
        </w:rPr>
      </w:pPr>
    </w:p>
    <w:p w:rsidR="004D7D95" w:rsidRPr="00903EE3" w:rsidRDefault="004D7D95" w:rsidP="001A7D6E">
      <w:pPr>
        <w:widowControl w:val="0"/>
        <w:jc w:val="both"/>
        <w:rPr>
          <w:lang w:val="fr-CA"/>
        </w:rPr>
      </w:pPr>
      <w:r w:rsidRPr="00903EE3">
        <w:rPr>
          <w:lang w:val="fr-CA"/>
        </w:rPr>
        <w:t xml:space="preserve">Présents : Les juges Abella, </w:t>
      </w:r>
      <w:proofErr w:type="spellStart"/>
      <w:r w:rsidRPr="00903EE3">
        <w:rPr>
          <w:lang w:val="fr-CA"/>
        </w:rPr>
        <w:t>Moldaver</w:t>
      </w:r>
      <w:proofErr w:type="spellEnd"/>
      <w:r w:rsidRPr="00903EE3">
        <w:rPr>
          <w:lang w:val="fr-CA"/>
        </w:rPr>
        <w:t xml:space="preserve">, </w:t>
      </w:r>
      <w:proofErr w:type="spellStart"/>
      <w:r w:rsidRPr="00903EE3">
        <w:rPr>
          <w:lang w:val="fr-CA"/>
        </w:rPr>
        <w:t>Karakatsanis</w:t>
      </w:r>
      <w:proofErr w:type="spellEnd"/>
      <w:r w:rsidRPr="00903EE3">
        <w:rPr>
          <w:lang w:val="fr-CA"/>
        </w:rPr>
        <w:t>, Wagner, Côté, Brown et Rowe.</w:t>
      </w:r>
    </w:p>
    <w:p w:rsidR="004D7D95" w:rsidRPr="00903EE3" w:rsidRDefault="004D7D95" w:rsidP="001A7D6E">
      <w:pPr>
        <w:widowControl w:val="0"/>
        <w:jc w:val="both"/>
        <w:rPr>
          <w:lang w:val="fr-CA"/>
        </w:rPr>
      </w:pPr>
    </w:p>
    <w:p w:rsidR="00EE0830" w:rsidRPr="00903EE3" w:rsidRDefault="00EE0830" w:rsidP="001A7D6E">
      <w:pPr>
        <w:widowControl w:val="0"/>
        <w:jc w:val="both"/>
        <w:rPr>
          <w:lang w:val="fr-CA"/>
        </w:rPr>
      </w:pPr>
    </w:p>
    <w:p w:rsidR="00EE0830" w:rsidRPr="00903EE3" w:rsidRDefault="00EE0830" w:rsidP="001A7D6E">
      <w:pPr>
        <w:widowControl w:val="0"/>
        <w:jc w:val="both"/>
        <w:rPr>
          <w:lang w:val="fr-CA"/>
        </w:rPr>
      </w:pPr>
    </w:p>
    <w:p w:rsidR="002B6FBE" w:rsidRPr="00903EE3" w:rsidRDefault="002B6FBE" w:rsidP="001A7D6E">
      <w:pPr>
        <w:widowControl w:val="0"/>
        <w:jc w:val="both"/>
        <w:rPr>
          <w:lang w:val="fr-CA"/>
        </w:rPr>
      </w:pPr>
    </w:p>
    <w:p w:rsidR="00BF6FE9" w:rsidRPr="00903EE3" w:rsidRDefault="00BF6FE9" w:rsidP="001A7D6E">
      <w:pPr>
        <w:widowControl w:val="0"/>
        <w:jc w:val="both"/>
        <w:rPr>
          <w:lang w:val="fr-CA"/>
        </w:rPr>
      </w:pPr>
    </w:p>
    <w:p w:rsidR="00BF6FE9" w:rsidRPr="00903EE3" w:rsidRDefault="00BF6FE9" w:rsidP="001A7D6E">
      <w:pPr>
        <w:widowControl w:val="0"/>
        <w:jc w:val="both"/>
        <w:rPr>
          <w:lang w:val="fr-CA"/>
        </w:rPr>
      </w:pPr>
    </w:p>
    <w:p w:rsidR="00C31722" w:rsidRPr="00903EE3" w:rsidRDefault="00C31722" w:rsidP="001A7D6E">
      <w:pPr>
        <w:widowControl w:val="0"/>
        <w:rPr>
          <w:lang w:val="fr-CA"/>
        </w:rPr>
      </w:pPr>
    </w:p>
    <w:p w:rsidR="004D7D95" w:rsidRPr="00655DB0" w:rsidRDefault="004D7D95" w:rsidP="001A7D6E">
      <w:pPr>
        <w:widowControl w:val="0"/>
        <w:jc w:val="both"/>
        <w:rPr>
          <w:smallCaps/>
          <w:lang w:val="fr-CA"/>
        </w:rPr>
      </w:pPr>
      <w:r w:rsidRPr="00655DB0">
        <w:rPr>
          <w:smallCaps/>
          <w:lang w:val="fr-CA"/>
        </w:rPr>
        <w:t xml:space="preserve">en appel de la cour d’appel de la </w:t>
      </w:r>
      <w:proofErr w:type="spellStart"/>
      <w:r w:rsidRPr="00655DB0">
        <w:rPr>
          <w:smallCaps/>
          <w:lang w:val="fr-CA"/>
        </w:rPr>
        <w:t>colombie-britannique</w:t>
      </w:r>
      <w:proofErr w:type="spellEnd"/>
      <w:r w:rsidRPr="00655DB0">
        <w:rPr>
          <w:smallCaps/>
          <w:lang w:val="fr-CA"/>
        </w:rPr>
        <w:t xml:space="preserve"> </w:t>
      </w:r>
    </w:p>
    <w:p w:rsidR="004D7D95" w:rsidRDefault="004D7D95" w:rsidP="001A7D6E">
      <w:pPr>
        <w:pStyle w:val="SCCNormalDoubleSpacing"/>
        <w:widowControl w:val="0"/>
        <w:rPr>
          <w:lang w:val="fr-CA"/>
        </w:rPr>
      </w:pPr>
    </w:p>
    <w:p w:rsidR="00F33172" w:rsidRPr="0009414B" w:rsidRDefault="00F33172" w:rsidP="001A7D6E">
      <w:pPr>
        <w:pStyle w:val="SCCNormalDoubleSpacing"/>
        <w:widowControl w:val="0"/>
        <w:rPr>
          <w:i/>
          <w:lang w:val="fr-FR"/>
        </w:rPr>
      </w:pPr>
      <w:r w:rsidRPr="00F33172">
        <w:rPr>
          <w:lang w:val="fr-FR"/>
        </w:rPr>
        <w:tab/>
      </w:r>
      <w:r w:rsidR="00BE2691">
        <w:rPr>
          <w:i/>
          <w:lang w:val="fr-FR"/>
        </w:rPr>
        <w:t>Droit criminel — Preuve — Alibi — Preuve de faits similaires —</w:t>
      </w:r>
      <w:r w:rsidRPr="0009414B">
        <w:rPr>
          <w:i/>
          <w:lang w:val="fr-FR"/>
        </w:rPr>
        <w:t xml:space="preserve"> Garage incendié et arbres détruits</w:t>
      </w:r>
      <w:r w:rsidR="00BE2691">
        <w:rPr>
          <w:i/>
          <w:lang w:val="fr-FR"/>
        </w:rPr>
        <w:t xml:space="preserve"> sur la propriété des victimes —</w:t>
      </w:r>
      <w:r w:rsidRPr="0009414B">
        <w:rPr>
          <w:i/>
          <w:lang w:val="fr-FR"/>
        </w:rPr>
        <w:t xml:space="preserve"> </w:t>
      </w:r>
      <w:r w:rsidR="0009414B" w:rsidRPr="00794CF6">
        <w:rPr>
          <w:i/>
          <w:lang w:val="fr-FR"/>
        </w:rPr>
        <w:t xml:space="preserve">Conclusion </w:t>
      </w:r>
      <w:r w:rsidR="00401CB3" w:rsidRPr="00794CF6">
        <w:rPr>
          <w:i/>
          <w:lang w:val="fr-FR"/>
        </w:rPr>
        <w:t xml:space="preserve">du </w:t>
      </w:r>
      <w:r w:rsidR="0009414B" w:rsidRPr="00794CF6">
        <w:rPr>
          <w:i/>
          <w:lang w:val="fr-FR"/>
        </w:rPr>
        <w:t xml:space="preserve">juge du procès </w:t>
      </w:r>
      <w:r w:rsidR="005E4B7B" w:rsidRPr="00794CF6">
        <w:rPr>
          <w:i/>
          <w:lang w:val="fr-FR"/>
        </w:rPr>
        <w:t xml:space="preserve">selon laquelle l’accusé aurait </w:t>
      </w:r>
      <w:r w:rsidR="0009414B" w:rsidRPr="00794CF6">
        <w:rPr>
          <w:i/>
          <w:lang w:val="fr-FR"/>
        </w:rPr>
        <w:t xml:space="preserve">délibérément </w:t>
      </w:r>
      <w:r w:rsidR="005E4B7B" w:rsidRPr="00794CF6">
        <w:rPr>
          <w:i/>
          <w:lang w:val="fr-FR"/>
        </w:rPr>
        <w:t>fourni un faux alibi</w:t>
      </w:r>
      <w:r w:rsidR="00BE2691">
        <w:rPr>
          <w:i/>
          <w:lang w:val="fr-FR"/>
        </w:rPr>
        <w:t xml:space="preserve"> —</w:t>
      </w:r>
      <w:r w:rsidRPr="0009414B">
        <w:rPr>
          <w:i/>
          <w:lang w:val="fr-FR"/>
        </w:rPr>
        <w:t xml:space="preserve"> </w:t>
      </w:r>
      <w:r w:rsidR="00401CB3" w:rsidRPr="00794CF6">
        <w:rPr>
          <w:i/>
          <w:lang w:val="fr-FR"/>
        </w:rPr>
        <w:t xml:space="preserve">Considération par </w:t>
      </w:r>
      <w:r w:rsidR="0009414B" w:rsidRPr="00794CF6">
        <w:rPr>
          <w:i/>
          <w:lang w:val="fr-FR"/>
        </w:rPr>
        <w:t>le juge du procès d</w:t>
      </w:r>
      <w:r w:rsidR="005E4B7B" w:rsidRPr="00794CF6">
        <w:rPr>
          <w:i/>
          <w:lang w:val="fr-FR"/>
        </w:rPr>
        <w:t>e la thèse de la défense selon laquelle quelqu’un d’autre que l’accusé aurait été responsable d’actes de vandalisme antérieurs commis contre les victimes</w:t>
      </w:r>
      <w:r w:rsidR="00401CB3">
        <w:rPr>
          <w:i/>
          <w:lang w:val="fr-FR"/>
        </w:rPr>
        <w:t xml:space="preserve"> </w:t>
      </w:r>
      <w:r w:rsidR="00BE2691">
        <w:rPr>
          <w:i/>
          <w:lang w:val="fr-FR"/>
        </w:rPr>
        <w:t>—</w:t>
      </w:r>
      <w:r w:rsidRPr="0009414B">
        <w:rPr>
          <w:i/>
          <w:lang w:val="fr-FR"/>
        </w:rPr>
        <w:t xml:space="preserve"> Co</w:t>
      </w:r>
      <w:r w:rsidR="00401CB3">
        <w:rPr>
          <w:i/>
          <w:lang w:val="fr-FR"/>
        </w:rPr>
        <w:t xml:space="preserve">nclusion de la Cour d’appel portant que l’alibi délibérément faux pouvait à bon droit </w:t>
      </w:r>
      <w:r w:rsidR="00401CB3" w:rsidRPr="00794CF6">
        <w:rPr>
          <w:i/>
          <w:lang w:val="fr-FR"/>
        </w:rPr>
        <w:t>être invoqué par le</w:t>
      </w:r>
      <w:r w:rsidR="00401CB3">
        <w:rPr>
          <w:i/>
          <w:lang w:val="fr-FR"/>
        </w:rPr>
        <w:t xml:space="preserve"> juge du procès comme </w:t>
      </w:r>
      <w:r w:rsidR="00CF03E4">
        <w:rPr>
          <w:i/>
          <w:lang w:val="fr-FR"/>
        </w:rPr>
        <w:t>un élément de preuve tendant à établir la culpabilité</w:t>
      </w:r>
      <w:r w:rsidR="00BE2691">
        <w:rPr>
          <w:i/>
          <w:lang w:val="fr-FR"/>
        </w:rPr>
        <w:t xml:space="preserve"> —</w:t>
      </w:r>
      <w:r w:rsidRPr="0009414B">
        <w:rPr>
          <w:i/>
          <w:lang w:val="fr-FR"/>
        </w:rPr>
        <w:t xml:space="preserve"> Co</w:t>
      </w:r>
      <w:r w:rsidR="00CF03E4">
        <w:rPr>
          <w:i/>
          <w:lang w:val="fr-FR"/>
        </w:rPr>
        <w:t xml:space="preserve">nclusion de la Cour d’appel portant que le juge du </w:t>
      </w:r>
      <w:r w:rsidR="00CF03E4" w:rsidRPr="00794CF6">
        <w:rPr>
          <w:i/>
          <w:lang w:val="fr-FR"/>
        </w:rPr>
        <w:t>procès n’a pas</w:t>
      </w:r>
      <w:r w:rsidR="00CF03E4">
        <w:rPr>
          <w:i/>
          <w:lang w:val="fr-FR"/>
        </w:rPr>
        <w:t xml:space="preserve"> irrégulièrement utilisé la preuve relative </w:t>
      </w:r>
      <w:r w:rsidR="005E4B7B" w:rsidRPr="00794CF6">
        <w:rPr>
          <w:i/>
          <w:lang w:val="fr-FR"/>
        </w:rPr>
        <w:t>aux actes de vandalisme antérieurs</w:t>
      </w:r>
      <w:r w:rsidR="00CF03E4">
        <w:rPr>
          <w:i/>
          <w:lang w:val="fr-FR"/>
        </w:rPr>
        <w:t xml:space="preserve"> comme preuve de faits similaires appuyant la déclaration de culpabilité</w:t>
      </w:r>
      <w:r w:rsidR="00BE2691">
        <w:rPr>
          <w:i/>
          <w:lang w:val="fr-FR"/>
        </w:rPr>
        <w:t xml:space="preserve"> —</w:t>
      </w:r>
      <w:r w:rsidRPr="0009414B">
        <w:rPr>
          <w:i/>
          <w:lang w:val="fr-FR"/>
        </w:rPr>
        <w:t xml:space="preserve"> </w:t>
      </w:r>
      <w:r w:rsidR="00CF03E4">
        <w:rPr>
          <w:i/>
          <w:lang w:val="fr-FR"/>
        </w:rPr>
        <w:t>Déclarations de culpabilité confirmées</w:t>
      </w:r>
      <w:r w:rsidRPr="0009414B">
        <w:rPr>
          <w:i/>
          <w:lang w:val="fr-FR"/>
        </w:rPr>
        <w:t>.</w:t>
      </w:r>
    </w:p>
    <w:p w:rsidR="00E4430C" w:rsidRPr="0009414B" w:rsidRDefault="00E4430C" w:rsidP="001A7D6E">
      <w:pPr>
        <w:pStyle w:val="SCCNormalDoubleSpacing"/>
        <w:widowControl w:val="0"/>
        <w:spacing w:line="240" w:lineRule="auto"/>
        <w:ind w:left="540" w:hanging="540"/>
        <w:rPr>
          <w:lang w:val="fr-FR"/>
        </w:rPr>
      </w:pPr>
    </w:p>
    <w:p w:rsidR="00E4430C" w:rsidRPr="0009414B" w:rsidRDefault="00E4430C" w:rsidP="001A7D6E">
      <w:pPr>
        <w:pStyle w:val="SCCNormalDoubleSpacing"/>
        <w:widowControl w:val="0"/>
        <w:spacing w:line="240" w:lineRule="auto"/>
        <w:ind w:left="540" w:hanging="540"/>
        <w:rPr>
          <w:lang w:val="fr-FR"/>
        </w:rPr>
      </w:pPr>
    </w:p>
    <w:p w:rsidR="004D7D95" w:rsidRDefault="004D7D95" w:rsidP="001A7D6E">
      <w:pPr>
        <w:pStyle w:val="SCCNormalDoubleSpacing"/>
        <w:widowControl w:val="0"/>
        <w:rPr>
          <w:lang w:val="fr-CA"/>
        </w:rPr>
      </w:pPr>
      <w:r w:rsidRPr="0009414B">
        <w:rPr>
          <w:lang w:val="fr-FR"/>
        </w:rPr>
        <w:tab/>
      </w:r>
      <w:r w:rsidRPr="004D7D95">
        <w:rPr>
          <w:lang w:val="fr-CA"/>
        </w:rPr>
        <w:t xml:space="preserve">POURVOI contre un arrêt de la </w:t>
      </w:r>
      <w:r w:rsidRPr="00903EE3">
        <w:rPr>
          <w:lang w:val="fr-CA"/>
        </w:rPr>
        <w:t xml:space="preserve">Cour d’appel de la Colombie-Britannique </w:t>
      </w:r>
      <w:r w:rsidR="003F580B">
        <w:rPr>
          <w:lang w:val="fr-CA"/>
        </w:rPr>
        <w:t>(les juges</w:t>
      </w:r>
      <w:r w:rsidR="004037B3">
        <w:rPr>
          <w:lang w:val="fr-CA"/>
        </w:rPr>
        <w:t xml:space="preserve"> Newbury, </w:t>
      </w:r>
      <w:proofErr w:type="spellStart"/>
      <w:r w:rsidR="004037B3">
        <w:rPr>
          <w:lang w:val="fr-CA"/>
        </w:rPr>
        <w:t>Willcock</w:t>
      </w:r>
      <w:proofErr w:type="spellEnd"/>
      <w:r w:rsidR="004037B3">
        <w:rPr>
          <w:lang w:val="fr-CA"/>
        </w:rPr>
        <w:t xml:space="preserve"> et </w:t>
      </w:r>
      <w:proofErr w:type="spellStart"/>
      <w:r w:rsidR="004037B3">
        <w:rPr>
          <w:lang w:val="fr-CA"/>
        </w:rPr>
        <w:t>Fenlon</w:t>
      </w:r>
      <w:proofErr w:type="spellEnd"/>
      <w:r w:rsidR="00042CEA">
        <w:rPr>
          <w:lang w:val="fr-CA"/>
        </w:rPr>
        <w:t xml:space="preserve">), </w:t>
      </w:r>
      <w:r w:rsidR="004037B3" w:rsidRPr="004037B3">
        <w:rPr>
          <w:lang w:val="fr-CA"/>
        </w:rPr>
        <w:t xml:space="preserve">2016 BCCA 336, 339 C.C.C. (3d) 276, [2016] B.C.J. No. 1644 (QL), 2016 </w:t>
      </w:r>
      <w:proofErr w:type="spellStart"/>
      <w:r w:rsidR="004037B3" w:rsidRPr="004037B3">
        <w:rPr>
          <w:lang w:val="fr-CA"/>
        </w:rPr>
        <w:t>CarswellBC</w:t>
      </w:r>
      <w:proofErr w:type="spellEnd"/>
      <w:r w:rsidR="004037B3" w:rsidRPr="004037B3">
        <w:rPr>
          <w:lang w:val="fr-CA"/>
        </w:rPr>
        <w:t xml:space="preserve"> 2150 (</w:t>
      </w:r>
      <w:r w:rsidR="004037B3">
        <w:rPr>
          <w:lang w:val="fr-CA"/>
        </w:rPr>
        <w:t>WL Can.</w:t>
      </w:r>
      <w:r w:rsidR="004037B3" w:rsidRPr="004037B3">
        <w:rPr>
          <w:lang w:val="fr-CA"/>
        </w:rPr>
        <w:t>),</w:t>
      </w:r>
      <w:r w:rsidR="00042CEA">
        <w:rPr>
          <w:lang w:val="fr-CA"/>
        </w:rPr>
        <w:t xml:space="preserve"> </w:t>
      </w:r>
      <w:r w:rsidR="00042CEA" w:rsidRPr="005D5039">
        <w:rPr>
          <w:lang w:val="fr-FR"/>
        </w:rPr>
        <w:t>qui a confirmé l</w:t>
      </w:r>
      <w:r w:rsidR="00415ED1">
        <w:rPr>
          <w:lang w:val="fr-FR"/>
        </w:rPr>
        <w:t>es</w:t>
      </w:r>
      <w:r w:rsidR="00042CEA" w:rsidRPr="005D5039">
        <w:rPr>
          <w:lang w:val="fr-FR"/>
        </w:rPr>
        <w:t xml:space="preserve"> déclaration</w:t>
      </w:r>
      <w:r w:rsidR="00415ED1">
        <w:rPr>
          <w:lang w:val="fr-FR"/>
        </w:rPr>
        <w:t>s</w:t>
      </w:r>
      <w:r w:rsidR="00042CEA" w:rsidRPr="005D5039">
        <w:rPr>
          <w:lang w:val="fr-FR"/>
        </w:rPr>
        <w:t xml:space="preserve"> de culpabilité pour</w:t>
      </w:r>
      <w:r w:rsidR="00042CEA">
        <w:rPr>
          <w:lang w:val="fr-FR"/>
        </w:rPr>
        <w:t xml:space="preserve"> </w:t>
      </w:r>
      <w:r w:rsidR="004037B3">
        <w:rPr>
          <w:lang w:val="fr-FR"/>
        </w:rPr>
        <w:t>incendie criminel et méfait</w:t>
      </w:r>
      <w:r w:rsidR="00042CEA">
        <w:rPr>
          <w:lang w:val="fr-FR"/>
        </w:rPr>
        <w:t xml:space="preserve"> </w:t>
      </w:r>
      <w:r w:rsidR="00042CEA" w:rsidRPr="005D5039">
        <w:rPr>
          <w:lang w:val="fr-FR"/>
        </w:rPr>
        <w:t>prononcée</w:t>
      </w:r>
      <w:r w:rsidR="00415ED1">
        <w:rPr>
          <w:lang w:val="fr-FR"/>
        </w:rPr>
        <w:t>s</w:t>
      </w:r>
      <w:r w:rsidR="00042CEA" w:rsidRPr="005D5039">
        <w:rPr>
          <w:lang w:val="fr-FR"/>
        </w:rPr>
        <w:t xml:space="preserve"> contre l’accusé</w:t>
      </w:r>
      <w:r w:rsidR="00042CEA">
        <w:rPr>
          <w:lang w:val="fr-FR"/>
        </w:rPr>
        <w:t xml:space="preserve"> par le</w:t>
      </w:r>
      <w:r w:rsidR="004037B3">
        <w:rPr>
          <w:lang w:val="fr-FR"/>
        </w:rPr>
        <w:t xml:space="preserve"> juge Maci</w:t>
      </w:r>
      <w:r w:rsidR="00042CEA">
        <w:rPr>
          <w:lang w:val="fr-FR"/>
        </w:rPr>
        <w:t>ntosh</w:t>
      </w:r>
      <w:r w:rsidR="00415ED1">
        <w:rPr>
          <w:lang w:val="fr-FR"/>
        </w:rPr>
        <w:t xml:space="preserve">, </w:t>
      </w:r>
      <w:r w:rsidR="00415ED1" w:rsidRPr="00415ED1">
        <w:rPr>
          <w:lang w:val="fr-CA"/>
        </w:rPr>
        <w:t xml:space="preserve">2015 BCSC 435, [2015] B.C.J. No. 535 (QL), 2015 </w:t>
      </w:r>
      <w:proofErr w:type="spellStart"/>
      <w:r w:rsidR="00415ED1" w:rsidRPr="00415ED1">
        <w:rPr>
          <w:lang w:val="fr-CA"/>
        </w:rPr>
        <w:t>CarswellBC</w:t>
      </w:r>
      <w:proofErr w:type="spellEnd"/>
      <w:r w:rsidR="00415ED1" w:rsidRPr="00415ED1">
        <w:rPr>
          <w:lang w:val="fr-CA"/>
        </w:rPr>
        <w:t xml:space="preserve"> 745</w:t>
      </w:r>
      <w:r w:rsidR="00BE2691">
        <w:rPr>
          <w:lang w:val="fr-CA"/>
        </w:rPr>
        <w:t xml:space="preserve"> (WL Can.)</w:t>
      </w:r>
      <w:r w:rsidR="00042CEA">
        <w:rPr>
          <w:lang w:val="fr-FR"/>
        </w:rPr>
        <w:t>.  Pourvoi</w:t>
      </w:r>
      <w:r w:rsidR="00B70EC3">
        <w:rPr>
          <w:lang w:val="fr-FR"/>
        </w:rPr>
        <w:t> rejeté, le juge Rowe est dissident.</w:t>
      </w:r>
    </w:p>
    <w:p w:rsidR="003F580B" w:rsidRDefault="003F580B" w:rsidP="001A7D6E">
      <w:pPr>
        <w:pStyle w:val="SCCNormalDoubleSpacing"/>
        <w:widowControl w:val="0"/>
        <w:rPr>
          <w:lang w:val="fr-CA"/>
        </w:rPr>
      </w:pPr>
    </w:p>
    <w:p w:rsidR="00C31722" w:rsidRPr="00903EE3" w:rsidRDefault="00C73D7B" w:rsidP="001A7D6E">
      <w:pPr>
        <w:pStyle w:val="SCCNormalDoubleSpacing"/>
        <w:widowControl w:val="0"/>
        <w:rPr>
          <w:lang w:val="fr-CA"/>
        </w:rPr>
      </w:pPr>
      <w:r w:rsidRPr="00903EE3">
        <w:rPr>
          <w:rStyle w:val="SCCCounselNameChar"/>
          <w:lang w:val="fr-CA"/>
        </w:rPr>
        <w:tab/>
      </w:r>
      <w:proofErr w:type="spellStart"/>
      <w:r w:rsidRPr="00903EE3">
        <w:rPr>
          <w:rStyle w:val="SCCCounselNameChar"/>
          <w:lang w:val="fr-CA"/>
        </w:rPr>
        <w:t>Dane</w:t>
      </w:r>
      <w:proofErr w:type="spellEnd"/>
      <w:r w:rsidRPr="00903EE3">
        <w:rPr>
          <w:rStyle w:val="SCCCounselNameChar"/>
          <w:lang w:val="fr-CA"/>
        </w:rPr>
        <w:t xml:space="preserve"> F. </w:t>
      </w:r>
      <w:proofErr w:type="spellStart"/>
      <w:r w:rsidRPr="00903EE3">
        <w:rPr>
          <w:rStyle w:val="SCCCounselNameChar"/>
          <w:lang w:val="fr-CA"/>
        </w:rPr>
        <w:t>Bullerwell</w:t>
      </w:r>
      <w:proofErr w:type="spellEnd"/>
      <w:r w:rsidR="00952D37">
        <w:rPr>
          <w:rStyle w:val="SCCCounselPartyRoleChar"/>
          <w:lang w:val="fr-CA"/>
        </w:rPr>
        <w:t xml:space="preserve"> et </w:t>
      </w:r>
      <w:r w:rsidR="00952D37" w:rsidRPr="00952D37">
        <w:rPr>
          <w:rStyle w:val="SCCCounselPartyRoleChar"/>
          <w:i/>
          <w:lang w:val="fr-CA"/>
        </w:rPr>
        <w:t xml:space="preserve">Jeffrey W. </w:t>
      </w:r>
      <w:proofErr w:type="spellStart"/>
      <w:r w:rsidR="00952D37" w:rsidRPr="00952D37">
        <w:rPr>
          <w:rStyle w:val="SCCCounselPartyRoleChar"/>
          <w:i/>
          <w:lang w:val="fr-CA"/>
        </w:rPr>
        <w:t>Beedell</w:t>
      </w:r>
      <w:proofErr w:type="spellEnd"/>
      <w:r w:rsidR="00952D37">
        <w:rPr>
          <w:rStyle w:val="SCCCounselPartyRoleChar"/>
          <w:lang w:val="fr-CA"/>
        </w:rPr>
        <w:t xml:space="preserve">, </w:t>
      </w:r>
      <w:r w:rsidR="003F580B">
        <w:rPr>
          <w:rStyle w:val="SCCCounselPartyRoleChar"/>
          <w:lang w:val="fr-CA"/>
        </w:rPr>
        <w:t>pour l’</w:t>
      </w:r>
      <w:r w:rsidRPr="00903EE3">
        <w:rPr>
          <w:rStyle w:val="SCCCounselPartyRoleChar"/>
          <w:lang w:val="fr-CA"/>
        </w:rPr>
        <w:t>appelant</w:t>
      </w:r>
      <w:r w:rsidR="004037B3">
        <w:rPr>
          <w:rStyle w:val="SCCCounselPartyRoleChar"/>
          <w:lang w:val="fr-CA"/>
        </w:rPr>
        <w:t>.</w:t>
      </w:r>
    </w:p>
    <w:p w:rsidR="00C31722" w:rsidRPr="00903EE3" w:rsidRDefault="00C31722" w:rsidP="001A7D6E">
      <w:pPr>
        <w:pStyle w:val="SCCNormalDoubleSpacing"/>
        <w:widowControl w:val="0"/>
        <w:rPr>
          <w:lang w:val="fr-CA"/>
        </w:rPr>
      </w:pPr>
    </w:p>
    <w:p w:rsidR="00C31722" w:rsidRPr="00903EE3" w:rsidRDefault="00C73D7B" w:rsidP="001A7D6E">
      <w:pPr>
        <w:pStyle w:val="SCCNormalDoubleSpacing"/>
        <w:widowControl w:val="0"/>
        <w:rPr>
          <w:lang w:val="fr-CA"/>
        </w:rPr>
      </w:pPr>
      <w:r w:rsidRPr="00903EE3">
        <w:rPr>
          <w:rStyle w:val="SCCCounselNameChar"/>
          <w:lang w:val="fr-CA"/>
        </w:rPr>
        <w:tab/>
        <w:t>John M. Gordon</w:t>
      </w:r>
      <w:r w:rsidRPr="004037B3">
        <w:rPr>
          <w:rStyle w:val="SCCCounselNameChar"/>
          <w:i w:val="0"/>
          <w:lang w:val="fr-CA"/>
        </w:rPr>
        <w:t>,</w:t>
      </w:r>
      <w:r w:rsidRPr="00903EE3">
        <w:rPr>
          <w:rStyle w:val="SCCCounselNameChar"/>
          <w:lang w:val="fr-CA"/>
        </w:rPr>
        <w:t xml:space="preserve"> </w:t>
      </w:r>
      <w:proofErr w:type="spellStart"/>
      <w:proofErr w:type="gramStart"/>
      <w:r w:rsidR="004037B3">
        <w:rPr>
          <w:rStyle w:val="SCCCounselNameChar"/>
          <w:lang w:val="fr-CA"/>
        </w:rPr>
        <w:t>c.r</w:t>
      </w:r>
      <w:proofErr w:type="spellEnd"/>
      <w:r w:rsidR="004037B3">
        <w:rPr>
          <w:rStyle w:val="SCCCounselNameChar"/>
          <w:lang w:val="fr-CA"/>
        </w:rPr>
        <w:t>.</w:t>
      </w:r>
      <w:r w:rsidR="004037B3" w:rsidRPr="004037B3">
        <w:rPr>
          <w:rStyle w:val="SCCCounselNameChar"/>
          <w:i w:val="0"/>
          <w:lang w:val="fr-CA"/>
        </w:rPr>
        <w:t>,</w:t>
      </w:r>
      <w:proofErr w:type="gramEnd"/>
      <w:r w:rsidR="003F580B">
        <w:rPr>
          <w:rStyle w:val="SCCCounselPartyRoleChar"/>
          <w:lang w:val="fr-CA"/>
        </w:rPr>
        <w:t xml:space="preserve"> pour l’</w:t>
      </w:r>
      <w:r w:rsidR="004037B3">
        <w:rPr>
          <w:rStyle w:val="SCCCounselPartyRoleChar"/>
          <w:lang w:val="fr-CA"/>
        </w:rPr>
        <w:t>intimé</w:t>
      </w:r>
      <w:r w:rsidRPr="00903EE3">
        <w:rPr>
          <w:rStyle w:val="SCCCounselPartyRoleChar"/>
          <w:lang w:val="fr-CA"/>
        </w:rPr>
        <w:t>e.</w:t>
      </w:r>
    </w:p>
    <w:p w:rsidR="00C31722" w:rsidRPr="00903EE3" w:rsidRDefault="00C31722" w:rsidP="001A7D6E">
      <w:pPr>
        <w:pStyle w:val="SCCNormalDoubleSpacing"/>
        <w:widowControl w:val="0"/>
        <w:rPr>
          <w:lang w:val="fr-CA"/>
        </w:rPr>
      </w:pPr>
    </w:p>
    <w:p w:rsidR="00C31722" w:rsidRPr="00903EE3" w:rsidRDefault="00C73D7B" w:rsidP="001A7D6E">
      <w:pPr>
        <w:pStyle w:val="SCCNormalDoubleSpacing"/>
        <w:widowControl w:val="0"/>
        <w:rPr>
          <w:lang w:val="fr-CA"/>
        </w:rPr>
      </w:pPr>
      <w:r w:rsidRPr="00903EE3">
        <w:rPr>
          <w:rStyle w:val="SCCCounselNameChar"/>
          <w:lang w:val="fr-CA"/>
        </w:rPr>
        <w:tab/>
        <w:t xml:space="preserve">Michael </w:t>
      </w:r>
      <w:proofErr w:type="spellStart"/>
      <w:r w:rsidRPr="00903EE3">
        <w:rPr>
          <w:rStyle w:val="SCCCounselNameChar"/>
          <w:lang w:val="fr-CA"/>
        </w:rPr>
        <w:t>Dineen</w:t>
      </w:r>
      <w:proofErr w:type="spellEnd"/>
      <w:r w:rsidR="00952D37">
        <w:rPr>
          <w:rStyle w:val="SCCCounselPartyRoleChar"/>
          <w:lang w:val="fr-CA"/>
        </w:rPr>
        <w:t xml:space="preserve"> et </w:t>
      </w:r>
      <w:r w:rsidR="00952D37" w:rsidRPr="00952D37">
        <w:rPr>
          <w:rStyle w:val="SCCCounselPartyRoleChar"/>
          <w:i/>
          <w:lang w:val="fr-CA"/>
        </w:rPr>
        <w:t xml:space="preserve">Jonathan </w:t>
      </w:r>
      <w:proofErr w:type="spellStart"/>
      <w:r w:rsidR="00952D37" w:rsidRPr="00952D37">
        <w:rPr>
          <w:rStyle w:val="SCCCounselPartyRoleChar"/>
          <w:i/>
          <w:lang w:val="fr-CA"/>
        </w:rPr>
        <w:t>Dawe</w:t>
      </w:r>
      <w:proofErr w:type="spellEnd"/>
      <w:r w:rsidR="00952D37">
        <w:rPr>
          <w:rStyle w:val="SCCCounselPartyRoleChar"/>
          <w:lang w:val="fr-CA"/>
        </w:rPr>
        <w:t xml:space="preserve">, </w:t>
      </w:r>
      <w:r w:rsidR="004037B3">
        <w:rPr>
          <w:rStyle w:val="SCCCounselPartyRoleChar"/>
          <w:lang w:val="fr-CA"/>
        </w:rPr>
        <w:t xml:space="preserve">pour l’intervenante </w:t>
      </w:r>
      <w:proofErr w:type="spellStart"/>
      <w:r w:rsidR="004037B3">
        <w:rPr>
          <w:rStyle w:val="SCCCounselPartyRoleChar"/>
          <w:lang w:val="fr-CA"/>
        </w:rPr>
        <w:t>Criminal</w:t>
      </w:r>
      <w:proofErr w:type="spellEnd"/>
      <w:r w:rsidR="004037B3">
        <w:rPr>
          <w:rStyle w:val="SCCCounselPartyRoleChar"/>
          <w:lang w:val="fr-CA"/>
        </w:rPr>
        <w:t xml:space="preserve"> </w:t>
      </w:r>
      <w:proofErr w:type="spellStart"/>
      <w:r w:rsidR="004037B3">
        <w:rPr>
          <w:rStyle w:val="SCCCounselPartyRoleChar"/>
          <w:lang w:val="fr-CA"/>
        </w:rPr>
        <w:t>Lawyers</w:t>
      </w:r>
      <w:proofErr w:type="spellEnd"/>
      <w:r w:rsidR="004037B3">
        <w:rPr>
          <w:rStyle w:val="SCCCounselPartyRoleChar"/>
          <w:lang w:val="fr-CA"/>
        </w:rPr>
        <w:t>’ Association of Ontario</w:t>
      </w:r>
      <w:r w:rsidRPr="00903EE3">
        <w:rPr>
          <w:rStyle w:val="SCCCounselPartyRoleChar"/>
          <w:lang w:val="fr-CA"/>
        </w:rPr>
        <w:t>.</w:t>
      </w:r>
    </w:p>
    <w:p w:rsidR="00C31722" w:rsidRPr="00903EE3" w:rsidRDefault="00C31722" w:rsidP="001A7D6E">
      <w:pPr>
        <w:pStyle w:val="SCCNormalDoubleSpacing"/>
        <w:widowControl w:val="0"/>
        <w:rPr>
          <w:lang w:val="fr-CA"/>
        </w:rPr>
      </w:pPr>
    </w:p>
    <w:p w:rsidR="00C31722" w:rsidRPr="004037B3" w:rsidRDefault="00C73D7B" w:rsidP="001A7D6E">
      <w:pPr>
        <w:pStyle w:val="SCCNormalDoubleSpacing"/>
        <w:widowControl w:val="0"/>
        <w:rPr>
          <w:lang w:val="fr-CA"/>
        </w:rPr>
      </w:pPr>
      <w:r w:rsidRPr="00903EE3">
        <w:rPr>
          <w:rStyle w:val="SCCCounselNameChar"/>
          <w:lang w:val="fr-CA"/>
        </w:rPr>
        <w:tab/>
      </w:r>
      <w:r w:rsidRPr="004037B3">
        <w:rPr>
          <w:rStyle w:val="SCCCounselNameChar"/>
          <w:lang w:val="fr-CA"/>
        </w:rPr>
        <w:t xml:space="preserve">Janna A. </w:t>
      </w:r>
      <w:proofErr w:type="spellStart"/>
      <w:r w:rsidRPr="004037B3">
        <w:rPr>
          <w:rStyle w:val="SCCCounselNameChar"/>
          <w:lang w:val="fr-CA"/>
        </w:rPr>
        <w:t>Hyman</w:t>
      </w:r>
      <w:proofErr w:type="spellEnd"/>
      <w:r w:rsidR="00952D37">
        <w:rPr>
          <w:rStyle w:val="SCCCounselPartyRoleChar"/>
          <w:lang w:val="fr-CA"/>
        </w:rPr>
        <w:t xml:space="preserve"> et </w:t>
      </w:r>
      <w:r w:rsidR="00952D37" w:rsidRPr="00952D37">
        <w:rPr>
          <w:rStyle w:val="SCCCounselPartyRoleChar"/>
          <w:i/>
          <w:lang w:val="fr-CA"/>
        </w:rPr>
        <w:t xml:space="preserve">François </w:t>
      </w:r>
      <w:proofErr w:type="spellStart"/>
      <w:r w:rsidR="00952D37" w:rsidRPr="00952D37">
        <w:rPr>
          <w:rStyle w:val="SCCCounselPartyRoleChar"/>
          <w:i/>
          <w:lang w:val="fr-CA"/>
        </w:rPr>
        <w:t>Lacasse</w:t>
      </w:r>
      <w:proofErr w:type="spellEnd"/>
      <w:r w:rsidR="00952D37">
        <w:rPr>
          <w:rStyle w:val="SCCCounselPartyRoleChar"/>
          <w:lang w:val="fr-CA"/>
        </w:rPr>
        <w:t>,</w:t>
      </w:r>
      <w:r w:rsidR="004037B3" w:rsidRPr="004037B3">
        <w:rPr>
          <w:rStyle w:val="SCCCounselPartyRoleChar"/>
          <w:lang w:val="fr-CA"/>
        </w:rPr>
        <w:t xml:space="preserve"> pour l’intervenant le</w:t>
      </w:r>
      <w:r w:rsidR="004037B3">
        <w:rPr>
          <w:rStyle w:val="SCCCounselPartyRoleChar"/>
          <w:lang w:val="fr-CA"/>
        </w:rPr>
        <w:t xml:space="preserve"> </w:t>
      </w:r>
      <w:r w:rsidR="004037B3">
        <w:rPr>
          <w:lang w:val="fr-CA"/>
        </w:rPr>
        <w:t>d</w:t>
      </w:r>
      <w:r w:rsidR="004037B3" w:rsidRPr="0021226A">
        <w:rPr>
          <w:lang w:val="fr-CA"/>
        </w:rPr>
        <w:t>irecteur des poursuites pénales du Canada</w:t>
      </w:r>
      <w:r w:rsidRPr="004037B3">
        <w:rPr>
          <w:rStyle w:val="SCCCounselPartyRoleChar"/>
          <w:lang w:val="fr-CA"/>
        </w:rPr>
        <w:t>.</w:t>
      </w:r>
    </w:p>
    <w:p w:rsidR="004037B3" w:rsidRDefault="004037B3" w:rsidP="001A7D6E">
      <w:pPr>
        <w:pStyle w:val="SCCNormalDoubleSpacing"/>
        <w:widowControl w:val="0"/>
        <w:rPr>
          <w:lang w:val="fr-CA"/>
        </w:rPr>
      </w:pPr>
    </w:p>
    <w:p w:rsidR="00D26B71" w:rsidRDefault="00D26B71" w:rsidP="001A7D6E">
      <w:pPr>
        <w:pStyle w:val="SCCNormalDoubleSpacing"/>
        <w:widowControl w:val="0"/>
        <w:rPr>
          <w:smallCaps/>
          <w:lang w:val="fr-CA"/>
        </w:rPr>
      </w:pPr>
      <w:r>
        <w:rPr>
          <w:lang w:val="fr-CA"/>
        </w:rPr>
        <w:tab/>
      </w:r>
      <w:r w:rsidRPr="004C15DA">
        <w:rPr>
          <w:lang w:val="fr-CA"/>
        </w:rPr>
        <w:t>Ver</w:t>
      </w:r>
      <w:r>
        <w:rPr>
          <w:lang w:val="fr-CA"/>
        </w:rPr>
        <w:t>sion française du jugement de la Cour rendu oralement par</w:t>
      </w:r>
    </w:p>
    <w:p w:rsidR="00C23191" w:rsidRPr="00081528" w:rsidRDefault="00C23191" w:rsidP="001A7D6E">
      <w:pPr>
        <w:pStyle w:val="ParaNoNdepar-AltN"/>
        <w:widowControl w:val="0"/>
        <w:numPr>
          <w:ilvl w:val="0"/>
          <w:numId w:val="2"/>
        </w:numPr>
        <w:tabs>
          <w:tab w:val="num" w:pos="1152"/>
        </w:tabs>
        <w:ind w:left="0" w:firstLine="0"/>
        <w:rPr>
          <w:rFonts w:cs="Times New Roman"/>
          <w:lang w:val="fr-FR"/>
        </w:rPr>
      </w:pPr>
      <w:r w:rsidRPr="00C23191">
        <w:rPr>
          <w:rFonts w:cs="Times New Roman"/>
          <w:smallCaps/>
          <w:lang w:val="fr-FR"/>
        </w:rPr>
        <w:t>La juge Abella</w:t>
      </w:r>
      <w:r>
        <w:rPr>
          <w:rFonts w:cs="Times New Roman"/>
          <w:lang w:val="fr-FR"/>
        </w:rPr>
        <w:t xml:space="preserve"> — </w:t>
      </w:r>
      <w:r w:rsidRPr="00081528">
        <w:rPr>
          <w:rFonts w:cs="Times New Roman"/>
          <w:lang w:val="fr-FR"/>
        </w:rPr>
        <w:t xml:space="preserve">Notre Cour, à la majorité, est d’avis de rejeter le pourvoi, essentiellement pour les motifs exposés par le juge d’appel </w:t>
      </w:r>
      <w:proofErr w:type="spellStart"/>
      <w:r w:rsidRPr="00081528">
        <w:rPr>
          <w:rFonts w:cs="Times New Roman"/>
          <w:lang w:val="fr-FR"/>
        </w:rPr>
        <w:t>Willcock</w:t>
      </w:r>
      <w:proofErr w:type="spellEnd"/>
      <w:r w:rsidRPr="00081528">
        <w:rPr>
          <w:rFonts w:cs="Times New Roman"/>
          <w:lang w:val="fr-FR"/>
        </w:rPr>
        <w:t xml:space="preserve">. Bien que nous soyons sensibles aux suggestions des intervenants selon lesquelles il y a lieu de réexaminer le droit, nous ne sommes pas convaincus qu’un tel réexamen s’impose en l’espèce, </w:t>
      </w:r>
      <w:r w:rsidRPr="00B70EC3">
        <w:rPr>
          <w:lang w:val="fr-CA"/>
        </w:rPr>
        <w:t>particulièrement</w:t>
      </w:r>
      <w:r w:rsidRPr="00081528">
        <w:rPr>
          <w:rFonts w:cs="Times New Roman"/>
          <w:lang w:val="fr-FR"/>
        </w:rPr>
        <w:t xml:space="preserve"> dans un cas où aucune des parties ne nous a demandé de déroger à la jurisprudence de notre Cour.</w:t>
      </w:r>
    </w:p>
    <w:p w:rsidR="00952D37" w:rsidRDefault="00C23191" w:rsidP="001A7D6E">
      <w:pPr>
        <w:pStyle w:val="ParaNoNdepar-AltN"/>
        <w:widowControl w:val="0"/>
        <w:numPr>
          <w:ilvl w:val="0"/>
          <w:numId w:val="2"/>
        </w:numPr>
        <w:tabs>
          <w:tab w:val="num" w:pos="1152"/>
        </w:tabs>
        <w:ind w:left="0" w:firstLine="0"/>
        <w:rPr>
          <w:lang w:val="fr-CA"/>
        </w:rPr>
      </w:pPr>
      <w:r w:rsidRPr="00081528">
        <w:rPr>
          <w:rFonts w:cs="Times New Roman"/>
          <w:lang w:val="fr-FR"/>
        </w:rPr>
        <w:t xml:space="preserve">Le juge Rowe aurait </w:t>
      </w:r>
      <w:r w:rsidRPr="00B70EC3">
        <w:rPr>
          <w:lang w:val="fr-CA"/>
        </w:rPr>
        <w:t>accueilli</w:t>
      </w:r>
      <w:r w:rsidRPr="00081528">
        <w:rPr>
          <w:rFonts w:cs="Times New Roman"/>
          <w:lang w:val="fr-FR"/>
        </w:rPr>
        <w:t xml:space="preserve"> le </w:t>
      </w:r>
      <w:r w:rsidRPr="00C23191">
        <w:rPr>
          <w:lang w:val="fr-CA"/>
        </w:rPr>
        <w:t>pourvoi</w:t>
      </w:r>
      <w:r w:rsidRPr="00081528">
        <w:rPr>
          <w:rFonts w:cs="Times New Roman"/>
          <w:lang w:val="fr-FR"/>
        </w:rPr>
        <w:t>, pour les raisons énoncées par la juge</w:t>
      </w:r>
      <w:r w:rsidR="00B70EC3">
        <w:rPr>
          <w:rFonts w:cs="Times New Roman"/>
          <w:lang w:val="fr-FR"/>
        </w:rPr>
        <w:t xml:space="preserve"> d’appel Newbury aux </w:t>
      </w:r>
      <w:proofErr w:type="spellStart"/>
      <w:r w:rsidR="00BE2691">
        <w:rPr>
          <w:rFonts w:cs="Times New Roman"/>
          <w:lang w:val="fr-FR"/>
        </w:rPr>
        <w:t>par</w:t>
      </w:r>
      <w:proofErr w:type="spellEnd"/>
      <w:r w:rsidR="00BE2691">
        <w:rPr>
          <w:rFonts w:cs="Times New Roman"/>
          <w:lang w:val="fr-FR"/>
        </w:rPr>
        <w:t>. 22-</w:t>
      </w:r>
      <w:r w:rsidRPr="002231C0">
        <w:rPr>
          <w:rFonts w:cs="Times New Roman"/>
          <w:lang w:val="fr-FR"/>
        </w:rPr>
        <w:t>26</w:t>
      </w:r>
      <w:r w:rsidRPr="00081528">
        <w:rPr>
          <w:rFonts w:cs="Times New Roman"/>
          <w:lang w:val="fr-FR"/>
        </w:rPr>
        <w:t xml:space="preserve"> de ses motifs dissidents.</w:t>
      </w:r>
    </w:p>
    <w:p w:rsidR="004D7D95" w:rsidRPr="00952D37" w:rsidRDefault="004D7D95" w:rsidP="001A7D6E">
      <w:pPr>
        <w:pStyle w:val="SCCNormalDoubleSpacing"/>
        <w:widowControl w:val="0"/>
        <w:rPr>
          <w:i/>
          <w:lang w:val="fr-CA"/>
        </w:rPr>
      </w:pPr>
      <w:r w:rsidRPr="00952D37">
        <w:rPr>
          <w:lang w:val="fr-CA"/>
        </w:rPr>
        <w:tab/>
      </w:r>
      <w:r w:rsidR="00952D37" w:rsidRPr="00952D37">
        <w:rPr>
          <w:i/>
          <w:lang w:val="fr-CA"/>
        </w:rPr>
        <w:t>Jugement en conséquence.</w:t>
      </w:r>
    </w:p>
    <w:p w:rsidR="004D7D95" w:rsidRPr="00903EE3" w:rsidRDefault="004D7D95" w:rsidP="001A7D6E">
      <w:pPr>
        <w:pStyle w:val="SCCNormalDoubleSpacing"/>
        <w:widowControl w:val="0"/>
        <w:rPr>
          <w:lang w:val="fr-CA"/>
        </w:rPr>
      </w:pPr>
    </w:p>
    <w:p w:rsidR="00DF025C" w:rsidRPr="00B70EC3" w:rsidRDefault="00EF48C3" w:rsidP="001A7D6E">
      <w:pPr>
        <w:pStyle w:val="SCCLawFirm"/>
        <w:widowControl w:val="0"/>
        <w:rPr>
          <w:lang w:val="fr-CA"/>
        </w:rPr>
      </w:pPr>
      <w:r>
        <w:rPr>
          <w:lang w:val="fr-CA"/>
        </w:rPr>
        <w:tab/>
        <w:t>Procureurs de l’appelant</w:t>
      </w:r>
      <w:r w:rsidR="00C73D7B" w:rsidRPr="00903EE3">
        <w:rPr>
          <w:lang w:val="fr-CA"/>
        </w:rPr>
        <w:t xml:space="preserve"> : </w:t>
      </w:r>
      <w:proofErr w:type="spellStart"/>
      <w:r w:rsidR="00C73D7B" w:rsidRPr="00903EE3">
        <w:rPr>
          <w:lang w:val="fr-CA"/>
        </w:rPr>
        <w:t>Pringle</w:t>
      </w:r>
      <w:proofErr w:type="spellEnd"/>
      <w:r w:rsidR="00C73D7B" w:rsidRPr="00903EE3">
        <w:rPr>
          <w:lang w:val="fr-CA"/>
        </w:rPr>
        <w:t xml:space="preserve">, </w:t>
      </w:r>
      <w:proofErr w:type="spellStart"/>
      <w:r w:rsidR="00C73D7B" w:rsidRPr="00903EE3">
        <w:rPr>
          <w:lang w:val="fr-CA"/>
        </w:rPr>
        <w:t>Ch</w:t>
      </w:r>
      <w:r w:rsidR="00DF025C">
        <w:rPr>
          <w:lang w:val="fr-CA"/>
        </w:rPr>
        <w:t>ivers</w:t>
      </w:r>
      <w:proofErr w:type="spellEnd"/>
      <w:r w:rsidR="00DF025C">
        <w:rPr>
          <w:lang w:val="fr-CA"/>
        </w:rPr>
        <w:t xml:space="preserve">, Sparks, </w:t>
      </w:r>
      <w:proofErr w:type="spellStart"/>
      <w:r w:rsidR="00DF025C">
        <w:rPr>
          <w:lang w:val="fr-CA"/>
        </w:rPr>
        <w:t>Teskey</w:t>
      </w:r>
      <w:proofErr w:type="spellEnd"/>
      <w:r w:rsidR="00DF025C">
        <w:rPr>
          <w:lang w:val="fr-CA"/>
        </w:rPr>
        <w:t xml:space="preserve">, Edmonton; </w:t>
      </w:r>
      <w:proofErr w:type="spellStart"/>
      <w:r w:rsidR="00DF025C" w:rsidRPr="00B70EC3">
        <w:rPr>
          <w:lang w:val="fr-CA"/>
        </w:rPr>
        <w:t>Gowling</w:t>
      </w:r>
      <w:proofErr w:type="spellEnd"/>
      <w:r w:rsidR="00DF025C" w:rsidRPr="00B70EC3">
        <w:rPr>
          <w:lang w:val="fr-CA"/>
        </w:rPr>
        <w:t xml:space="preserve"> WLG, Ottawa.</w:t>
      </w:r>
    </w:p>
    <w:p w:rsidR="00C31722" w:rsidRPr="00903EE3" w:rsidRDefault="00C31722" w:rsidP="001A7D6E">
      <w:pPr>
        <w:pStyle w:val="SCCLawFirm"/>
        <w:widowControl w:val="0"/>
        <w:rPr>
          <w:lang w:val="fr-CA"/>
        </w:rPr>
      </w:pPr>
    </w:p>
    <w:p w:rsidR="00C31722" w:rsidRPr="00DF025C" w:rsidRDefault="00C73D7B" w:rsidP="001A7D6E">
      <w:pPr>
        <w:pStyle w:val="SCCLawFirm"/>
        <w:widowControl w:val="0"/>
        <w:rPr>
          <w:lang w:val="fr-CA"/>
        </w:rPr>
      </w:pPr>
      <w:r w:rsidRPr="00903EE3">
        <w:rPr>
          <w:lang w:val="fr-CA"/>
        </w:rPr>
        <w:tab/>
      </w:r>
      <w:r w:rsidR="00DF025C" w:rsidRPr="00DF025C">
        <w:rPr>
          <w:lang w:val="fr-CA"/>
        </w:rPr>
        <w:t>Procureur de l’intimée</w:t>
      </w:r>
      <w:r w:rsidRPr="00DF025C">
        <w:rPr>
          <w:lang w:val="fr-CA"/>
        </w:rPr>
        <w:t xml:space="preserve"> : </w:t>
      </w:r>
      <w:r w:rsidR="00415ED1">
        <w:rPr>
          <w:lang w:val="fr-CA"/>
        </w:rPr>
        <w:t>Procureur géné</w:t>
      </w:r>
      <w:r w:rsidR="00DF025C" w:rsidRPr="00DF025C">
        <w:rPr>
          <w:lang w:val="fr-CA"/>
        </w:rPr>
        <w:t>ral de la Colombie-Britannique</w:t>
      </w:r>
      <w:r w:rsidRPr="00DF025C">
        <w:rPr>
          <w:lang w:val="fr-CA"/>
        </w:rPr>
        <w:t>, Vancouver.</w:t>
      </w:r>
    </w:p>
    <w:p w:rsidR="00C31722" w:rsidRPr="00DF025C" w:rsidRDefault="00C31722" w:rsidP="001A7D6E">
      <w:pPr>
        <w:pStyle w:val="SCCLawFirm"/>
        <w:widowControl w:val="0"/>
        <w:rPr>
          <w:lang w:val="fr-CA"/>
        </w:rPr>
      </w:pPr>
    </w:p>
    <w:p w:rsidR="00C31722" w:rsidRPr="00B70EC3" w:rsidRDefault="00C73D7B" w:rsidP="001A7D6E">
      <w:pPr>
        <w:pStyle w:val="SCCLawFirm"/>
        <w:widowControl w:val="0"/>
        <w:rPr>
          <w:lang w:val="fr-CA"/>
        </w:rPr>
      </w:pPr>
      <w:r w:rsidRPr="00DF025C">
        <w:rPr>
          <w:lang w:val="fr-CA"/>
        </w:rPr>
        <w:tab/>
      </w:r>
      <w:r w:rsidR="00C50B79" w:rsidRPr="00B70EC3">
        <w:rPr>
          <w:lang w:val="fr-CA"/>
        </w:rPr>
        <w:t xml:space="preserve">Procureurs de l’intervenante </w:t>
      </w:r>
      <w:proofErr w:type="spellStart"/>
      <w:r w:rsidR="00C50B79" w:rsidRPr="00B70EC3">
        <w:rPr>
          <w:lang w:val="fr-CA"/>
        </w:rPr>
        <w:t>Criminal</w:t>
      </w:r>
      <w:proofErr w:type="spellEnd"/>
      <w:r w:rsidR="00C50B79" w:rsidRPr="00B70EC3">
        <w:rPr>
          <w:lang w:val="fr-CA"/>
        </w:rPr>
        <w:t xml:space="preserve"> </w:t>
      </w:r>
      <w:proofErr w:type="spellStart"/>
      <w:r w:rsidR="00C50B79" w:rsidRPr="00B70EC3">
        <w:rPr>
          <w:lang w:val="fr-CA"/>
        </w:rPr>
        <w:t>Lawyers</w:t>
      </w:r>
      <w:proofErr w:type="spellEnd"/>
      <w:r w:rsidR="00C50B79" w:rsidRPr="00B70EC3">
        <w:rPr>
          <w:lang w:val="fr-CA"/>
        </w:rPr>
        <w:t>’</w:t>
      </w:r>
      <w:r w:rsidRPr="00B70EC3">
        <w:rPr>
          <w:lang w:val="fr-CA"/>
        </w:rPr>
        <w:t xml:space="preserve"> Association of Ontario : </w:t>
      </w:r>
      <w:proofErr w:type="spellStart"/>
      <w:r w:rsidRPr="00B70EC3">
        <w:rPr>
          <w:lang w:val="fr-CA"/>
        </w:rPr>
        <w:t>Dawe</w:t>
      </w:r>
      <w:proofErr w:type="spellEnd"/>
      <w:r w:rsidRPr="00B70EC3">
        <w:rPr>
          <w:lang w:val="fr-CA"/>
        </w:rPr>
        <w:t xml:space="preserve"> &amp; </w:t>
      </w:r>
      <w:proofErr w:type="spellStart"/>
      <w:r w:rsidRPr="00B70EC3">
        <w:rPr>
          <w:lang w:val="fr-CA"/>
        </w:rPr>
        <w:t>Dineen</w:t>
      </w:r>
      <w:proofErr w:type="spellEnd"/>
      <w:r w:rsidRPr="00B70EC3">
        <w:rPr>
          <w:lang w:val="fr-CA"/>
        </w:rPr>
        <w:t>, Toronto.</w:t>
      </w:r>
    </w:p>
    <w:p w:rsidR="00C31722" w:rsidRPr="00B70EC3" w:rsidRDefault="00C31722" w:rsidP="001A7D6E">
      <w:pPr>
        <w:pStyle w:val="SCCLawFirm"/>
        <w:widowControl w:val="0"/>
        <w:rPr>
          <w:lang w:val="fr-CA"/>
        </w:rPr>
      </w:pPr>
    </w:p>
    <w:p w:rsidR="00C31722" w:rsidRPr="00C50B79" w:rsidRDefault="00C50B79" w:rsidP="001A7D6E">
      <w:pPr>
        <w:pStyle w:val="SCCLawFirm"/>
        <w:widowControl w:val="0"/>
        <w:rPr>
          <w:lang w:val="fr-CA"/>
        </w:rPr>
      </w:pPr>
      <w:r w:rsidRPr="00B70EC3">
        <w:rPr>
          <w:lang w:val="fr-CA"/>
        </w:rPr>
        <w:tab/>
      </w:r>
      <w:r w:rsidRPr="00C50B79">
        <w:rPr>
          <w:lang w:val="fr-CA"/>
        </w:rPr>
        <w:t>Procureur de l’intervenant le</w:t>
      </w:r>
      <w:r>
        <w:rPr>
          <w:lang w:val="fr-CA"/>
        </w:rPr>
        <w:t xml:space="preserve"> d</w:t>
      </w:r>
      <w:r w:rsidRPr="0021226A">
        <w:rPr>
          <w:lang w:val="fr-CA"/>
        </w:rPr>
        <w:t>irecteur des poursuites pénales du Canada</w:t>
      </w:r>
      <w:r w:rsidR="00415ED1">
        <w:rPr>
          <w:lang w:val="fr-CA"/>
        </w:rPr>
        <w:t> : Service des poursuites pénales du Canada</w:t>
      </w:r>
      <w:r w:rsidR="00C73D7B" w:rsidRPr="00C50B79">
        <w:rPr>
          <w:lang w:val="fr-CA"/>
        </w:rPr>
        <w:t>, Winnipeg</w:t>
      </w:r>
      <w:r w:rsidRPr="00C50B79">
        <w:rPr>
          <w:lang w:val="fr-CA"/>
        </w:rPr>
        <w:t xml:space="preserve"> et Ottawa</w:t>
      </w:r>
      <w:r w:rsidR="00C73D7B" w:rsidRPr="00C50B79">
        <w:rPr>
          <w:lang w:val="fr-CA"/>
        </w:rPr>
        <w:t>.</w:t>
      </w:r>
    </w:p>
    <w:sectPr w:rsidR="00C31722" w:rsidRPr="00C50B79" w:rsidSect="000648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7B" w:rsidRDefault="00C73D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7B" w:rsidRDefault="00C73D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7B" w:rsidRDefault="00C73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7B" w:rsidRDefault="00C73D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7B" w:rsidRDefault="00C73D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11581"/>
    <w:multiLevelType w:val="hybridMultilevel"/>
    <w:tmpl w:val="39C2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C05DC"/>
    <w:multiLevelType w:val="hybridMultilevel"/>
    <w:tmpl w:val="11EE181A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42CEA"/>
    <w:rsid w:val="000578A3"/>
    <w:rsid w:val="000648CC"/>
    <w:rsid w:val="0009414B"/>
    <w:rsid w:val="000C59B8"/>
    <w:rsid w:val="000C6AF0"/>
    <w:rsid w:val="000D0A77"/>
    <w:rsid w:val="000F7993"/>
    <w:rsid w:val="00104F33"/>
    <w:rsid w:val="00111DE2"/>
    <w:rsid w:val="00113293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A7D6E"/>
    <w:rsid w:val="001B33E0"/>
    <w:rsid w:val="001B4573"/>
    <w:rsid w:val="001C779F"/>
    <w:rsid w:val="001D2AC1"/>
    <w:rsid w:val="001D4E88"/>
    <w:rsid w:val="0021226A"/>
    <w:rsid w:val="00220FC2"/>
    <w:rsid w:val="002222F4"/>
    <w:rsid w:val="002231C0"/>
    <w:rsid w:val="00224FC0"/>
    <w:rsid w:val="00225EA4"/>
    <w:rsid w:val="00226EAF"/>
    <w:rsid w:val="00231F3A"/>
    <w:rsid w:val="002406EE"/>
    <w:rsid w:val="00243EC8"/>
    <w:rsid w:val="00270D93"/>
    <w:rsid w:val="002745CC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14FC9"/>
    <w:rsid w:val="0032089D"/>
    <w:rsid w:val="003310DE"/>
    <w:rsid w:val="003323B0"/>
    <w:rsid w:val="00340A49"/>
    <w:rsid w:val="0035169A"/>
    <w:rsid w:val="0035259D"/>
    <w:rsid w:val="00364B18"/>
    <w:rsid w:val="003A125D"/>
    <w:rsid w:val="003A4C70"/>
    <w:rsid w:val="003B215F"/>
    <w:rsid w:val="003C799C"/>
    <w:rsid w:val="003D0399"/>
    <w:rsid w:val="003E1C71"/>
    <w:rsid w:val="003F327B"/>
    <w:rsid w:val="003F580B"/>
    <w:rsid w:val="00401CB3"/>
    <w:rsid w:val="004037B3"/>
    <w:rsid w:val="00406166"/>
    <w:rsid w:val="0040704B"/>
    <w:rsid w:val="00410A55"/>
    <w:rsid w:val="00411300"/>
    <w:rsid w:val="00413F17"/>
    <w:rsid w:val="00415417"/>
    <w:rsid w:val="00415ED1"/>
    <w:rsid w:val="00426659"/>
    <w:rsid w:val="00450352"/>
    <w:rsid w:val="00454BDB"/>
    <w:rsid w:val="00465132"/>
    <w:rsid w:val="00480C90"/>
    <w:rsid w:val="0048396F"/>
    <w:rsid w:val="00493C18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55291"/>
    <w:rsid w:val="00566AD1"/>
    <w:rsid w:val="00583EDE"/>
    <w:rsid w:val="005A6079"/>
    <w:rsid w:val="005E4698"/>
    <w:rsid w:val="005E4B7B"/>
    <w:rsid w:val="00603924"/>
    <w:rsid w:val="00610539"/>
    <w:rsid w:val="00613969"/>
    <w:rsid w:val="00625C35"/>
    <w:rsid w:val="00647E49"/>
    <w:rsid w:val="00655DB0"/>
    <w:rsid w:val="00656313"/>
    <w:rsid w:val="006565F4"/>
    <w:rsid w:val="00684EEA"/>
    <w:rsid w:val="0069689B"/>
    <w:rsid w:val="006B5FF5"/>
    <w:rsid w:val="006D2814"/>
    <w:rsid w:val="006F30AF"/>
    <w:rsid w:val="00701759"/>
    <w:rsid w:val="00705C15"/>
    <w:rsid w:val="007110F6"/>
    <w:rsid w:val="007208D1"/>
    <w:rsid w:val="00744518"/>
    <w:rsid w:val="00747288"/>
    <w:rsid w:val="00747DD3"/>
    <w:rsid w:val="007549C8"/>
    <w:rsid w:val="00761830"/>
    <w:rsid w:val="00766D14"/>
    <w:rsid w:val="00767A0F"/>
    <w:rsid w:val="00791272"/>
    <w:rsid w:val="00794CF6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40FB7"/>
    <w:rsid w:val="00860918"/>
    <w:rsid w:val="00864C8A"/>
    <w:rsid w:val="00864CF8"/>
    <w:rsid w:val="00874914"/>
    <w:rsid w:val="00891422"/>
    <w:rsid w:val="00892E1A"/>
    <w:rsid w:val="008B660A"/>
    <w:rsid w:val="008C01DA"/>
    <w:rsid w:val="008F2674"/>
    <w:rsid w:val="008F78E9"/>
    <w:rsid w:val="00903EE3"/>
    <w:rsid w:val="009179F9"/>
    <w:rsid w:val="00917C7A"/>
    <w:rsid w:val="00933E5E"/>
    <w:rsid w:val="00935218"/>
    <w:rsid w:val="00937C52"/>
    <w:rsid w:val="009403F3"/>
    <w:rsid w:val="00952D37"/>
    <w:rsid w:val="009555B7"/>
    <w:rsid w:val="009567AA"/>
    <w:rsid w:val="009602C9"/>
    <w:rsid w:val="00967374"/>
    <w:rsid w:val="009A343A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921A7"/>
    <w:rsid w:val="00AB670D"/>
    <w:rsid w:val="00AF03C5"/>
    <w:rsid w:val="00B000D8"/>
    <w:rsid w:val="00B00F75"/>
    <w:rsid w:val="00B145B6"/>
    <w:rsid w:val="00B279EB"/>
    <w:rsid w:val="00B50C81"/>
    <w:rsid w:val="00B557F8"/>
    <w:rsid w:val="00B70EC3"/>
    <w:rsid w:val="00B815FC"/>
    <w:rsid w:val="00B93FBC"/>
    <w:rsid w:val="00B95313"/>
    <w:rsid w:val="00BA7DA0"/>
    <w:rsid w:val="00BB2EE4"/>
    <w:rsid w:val="00BB4C92"/>
    <w:rsid w:val="00BC2108"/>
    <w:rsid w:val="00BD0E9E"/>
    <w:rsid w:val="00BD1BEC"/>
    <w:rsid w:val="00BD32FF"/>
    <w:rsid w:val="00BE2691"/>
    <w:rsid w:val="00BF6FE9"/>
    <w:rsid w:val="00C02092"/>
    <w:rsid w:val="00C23191"/>
    <w:rsid w:val="00C24D91"/>
    <w:rsid w:val="00C26DB2"/>
    <w:rsid w:val="00C31722"/>
    <w:rsid w:val="00C50B79"/>
    <w:rsid w:val="00C53F14"/>
    <w:rsid w:val="00C600CF"/>
    <w:rsid w:val="00C6084F"/>
    <w:rsid w:val="00C62A66"/>
    <w:rsid w:val="00C66359"/>
    <w:rsid w:val="00C71458"/>
    <w:rsid w:val="00C73D7B"/>
    <w:rsid w:val="00C77613"/>
    <w:rsid w:val="00C828E7"/>
    <w:rsid w:val="00C86719"/>
    <w:rsid w:val="00C921DD"/>
    <w:rsid w:val="00CA6391"/>
    <w:rsid w:val="00CB7820"/>
    <w:rsid w:val="00CE036E"/>
    <w:rsid w:val="00CE3171"/>
    <w:rsid w:val="00CF03E4"/>
    <w:rsid w:val="00CF1601"/>
    <w:rsid w:val="00D0172F"/>
    <w:rsid w:val="00D01E33"/>
    <w:rsid w:val="00D068A7"/>
    <w:rsid w:val="00D17476"/>
    <w:rsid w:val="00D17B0E"/>
    <w:rsid w:val="00D26B71"/>
    <w:rsid w:val="00D32086"/>
    <w:rsid w:val="00D37A3F"/>
    <w:rsid w:val="00D4431D"/>
    <w:rsid w:val="00D4667A"/>
    <w:rsid w:val="00D63A1C"/>
    <w:rsid w:val="00D7516F"/>
    <w:rsid w:val="00D95F8E"/>
    <w:rsid w:val="00DA0590"/>
    <w:rsid w:val="00DC1739"/>
    <w:rsid w:val="00DC1788"/>
    <w:rsid w:val="00DE319C"/>
    <w:rsid w:val="00DF025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430C"/>
    <w:rsid w:val="00E45109"/>
    <w:rsid w:val="00E47B7A"/>
    <w:rsid w:val="00E56A44"/>
    <w:rsid w:val="00E60269"/>
    <w:rsid w:val="00E97830"/>
    <w:rsid w:val="00EE0830"/>
    <w:rsid w:val="00EE6CB8"/>
    <w:rsid w:val="00EF0683"/>
    <w:rsid w:val="00EF48C3"/>
    <w:rsid w:val="00F0070C"/>
    <w:rsid w:val="00F00EB7"/>
    <w:rsid w:val="00F33172"/>
    <w:rsid w:val="00F36AB6"/>
    <w:rsid w:val="00F37A09"/>
    <w:rsid w:val="00F409CE"/>
    <w:rsid w:val="00F4379D"/>
    <w:rsid w:val="00F50D2D"/>
    <w:rsid w:val="00F56C8B"/>
    <w:rsid w:val="00F62639"/>
    <w:rsid w:val="00F66810"/>
    <w:rsid w:val="00F84DF4"/>
    <w:rsid w:val="00F85C97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paragraph" w:customStyle="1" w:styleId="ParaNoNdepar-AltN">
    <w:name w:val="Para. No. / Nº de par. - Alt N"/>
    <w:link w:val="ParaNoNdepar-AltNChar"/>
    <w:qFormat/>
    <w:rsid w:val="00C23191"/>
    <w:p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C23191"/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860918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860918"/>
    <w:rPr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860918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860918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7330D-7FE4-415F-BF24-2BDC4C10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2017-02-21T15:54:00Z</dcterms:created>
  <dcterms:modified xsi:type="dcterms:W3CDTF">2017-10-18T14:24:00Z</dcterms:modified>
</cp:coreProperties>
</file>