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86" w:rsidRDefault="00645E86" w:rsidP="00645E86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65pt" o:ole="">
            <v:imagedata r:id="rId6" o:title=""/>
          </v:shape>
          <o:OLEObject Type="Embed" ProgID="Presentations.Drawing.13" ShapeID="_x0000_i1025" DrawAspect="Content" ObjectID="_1569841915" r:id="rId7"/>
        </w:object>
      </w:r>
      <w:r>
        <w:t xml:space="preserve"> </w:t>
      </w:r>
      <w:r>
        <w:ptab w:relativeTo="margin" w:alignment="right" w:leader="none"/>
      </w:r>
    </w:p>
    <w:p w:rsidR="00645E86" w:rsidRDefault="00645E86" w:rsidP="00645E86">
      <w:pPr>
        <w:pStyle w:val="Header"/>
      </w:pPr>
    </w:p>
    <w:p w:rsidR="00645E86" w:rsidRPr="001E12E2" w:rsidRDefault="00645E86" w:rsidP="00645E86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645E86" w:rsidRDefault="00645E86" w:rsidP="00645E86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645E86" w:rsidRPr="001E12E2" w:rsidTr="009126A8">
        <w:trPr>
          <w:cantSplit/>
        </w:trPr>
        <w:tc>
          <w:tcPr>
            <w:tcW w:w="5310" w:type="dxa"/>
          </w:tcPr>
          <w:p w:rsidR="00645E86" w:rsidRPr="003262E7" w:rsidRDefault="00645E86" w:rsidP="009126A8">
            <w:pPr>
              <w:rPr>
                <w:lang w:val="fr-CA"/>
              </w:rPr>
            </w:pPr>
            <w:r w:rsidRPr="00645E86">
              <w:rPr>
                <w:b/>
                <w:smallCaps/>
                <w:lang w:val="fr-CA"/>
              </w:rPr>
              <w:t>Référence :</w:t>
            </w:r>
            <w:r w:rsidRPr="00645E86">
              <w:rPr>
                <w:lang w:val="fr-CA"/>
              </w:rPr>
              <w:t xml:space="preserve"> </w:t>
            </w:r>
            <w:r w:rsidRPr="003262E7">
              <w:rPr>
                <w:rStyle w:val="SCCAppellantForRunningHeadChar"/>
                <w:smallCaps w:val="0"/>
                <w:lang w:val="fr-CA"/>
              </w:rPr>
              <w:t xml:space="preserve">R. </w:t>
            </w:r>
            <w:r w:rsidRPr="003262E7">
              <w:rPr>
                <w:i/>
                <w:lang w:val="fr-CA"/>
              </w:rPr>
              <w:t>c.</w:t>
            </w:r>
            <w:r w:rsidRPr="003262E7">
              <w:rPr>
                <w:lang w:val="fr-CA"/>
              </w:rPr>
              <w:t xml:space="preserve"> </w:t>
            </w:r>
            <w:proofErr w:type="spellStart"/>
            <w:r w:rsidRPr="003262E7">
              <w:rPr>
                <w:rStyle w:val="SCCAppellantForRunningHeadChar"/>
                <w:smallCaps w:val="0"/>
                <w:lang w:val="fr-CA"/>
              </w:rPr>
              <w:t>Peers</w:t>
            </w:r>
            <w:proofErr w:type="spellEnd"/>
            <w:r w:rsidRPr="003262E7">
              <w:rPr>
                <w:rStyle w:val="SCCAppellantForRunningHeadChar"/>
                <w:smallCaps w:val="0"/>
                <w:lang w:val="fr-CA"/>
              </w:rPr>
              <w:t xml:space="preserve">, </w:t>
            </w:r>
            <w:r w:rsidRPr="003262E7">
              <w:rPr>
                <w:lang w:val="fr-CA"/>
              </w:rPr>
              <w:t>2017 CSC 13, [2017] 1 R.C.S. 196</w:t>
            </w:r>
          </w:p>
        </w:tc>
        <w:tc>
          <w:tcPr>
            <w:tcW w:w="4266" w:type="dxa"/>
          </w:tcPr>
          <w:p w:rsidR="00645E86" w:rsidRPr="00645E86" w:rsidRDefault="00645E86" w:rsidP="009126A8">
            <w:pPr>
              <w:rPr>
                <w:lang w:val="fr-CA"/>
              </w:rPr>
            </w:pPr>
            <w:r w:rsidRPr="00645E86">
              <w:rPr>
                <w:b/>
                <w:smallCaps/>
                <w:lang w:val="fr-CA"/>
              </w:rPr>
              <w:t>Appel entendu:</w:t>
            </w:r>
            <w:r w:rsidRPr="00645E86">
              <w:rPr>
                <w:lang w:val="fr-CA"/>
              </w:rPr>
              <w:t xml:space="preserve"> 14 février 2017</w:t>
            </w:r>
          </w:p>
          <w:p w:rsidR="00645E86" w:rsidRPr="00645E86" w:rsidRDefault="00645E86" w:rsidP="009126A8">
            <w:pPr>
              <w:rPr>
                <w:b/>
                <w:smallCaps/>
                <w:lang w:val="fr-CA"/>
              </w:rPr>
            </w:pPr>
            <w:r w:rsidRPr="00645E86">
              <w:rPr>
                <w:b/>
                <w:smallCaps/>
                <w:lang w:val="fr-CA"/>
              </w:rPr>
              <w:t>Jugement rendu :</w:t>
            </w:r>
            <w:r w:rsidRPr="00645E86">
              <w:rPr>
                <w:lang w:val="fr-CA"/>
              </w:rPr>
              <w:t xml:space="preserve"> 24 février 2017</w:t>
            </w:r>
          </w:p>
          <w:p w:rsidR="00645E86" w:rsidRPr="001E12E2" w:rsidRDefault="00645E86" w:rsidP="009126A8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ssiers :</w:t>
            </w:r>
            <w:r w:rsidRPr="001E12E2">
              <w:t xml:space="preserve"> </w:t>
            </w:r>
            <w:r>
              <w:t>36865</w:t>
            </w:r>
          </w:p>
        </w:tc>
      </w:tr>
    </w:tbl>
    <w:p w:rsidR="00645E86" w:rsidRDefault="00645E86" w:rsidP="00645E86">
      <w:pPr>
        <w:pStyle w:val="SCCLsocPrefix"/>
      </w:pPr>
    </w:p>
    <w:p w:rsidR="00645E86" w:rsidRDefault="00645E86" w:rsidP="00645E86">
      <w:pPr>
        <w:pStyle w:val="SCCLsocPrefix"/>
      </w:pPr>
    </w:p>
    <w:p w:rsidR="00645E86" w:rsidRDefault="00645E86" w:rsidP="00645E86">
      <w:pPr>
        <w:pStyle w:val="SCCLsocPrefix"/>
      </w:pPr>
      <w:r>
        <w:t>Entre :</w:t>
      </w:r>
    </w:p>
    <w:p w:rsidR="00645E86" w:rsidRPr="004E101B" w:rsidRDefault="00645E86" w:rsidP="00645E86">
      <w:pPr>
        <w:pStyle w:val="SCCLsocParty"/>
        <w:jc w:val="center"/>
        <w:rPr>
          <w:lang w:val="fr-CA"/>
        </w:rPr>
      </w:pPr>
      <w:r w:rsidRPr="00DE5E7A">
        <w:rPr>
          <w:lang w:val="fr-CA"/>
        </w:rPr>
        <w:t xml:space="preserve">Jeremy James </w:t>
      </w:r>
      <w:proofErr w:type="spellStart"/>
      <w:r w:rsidRPr="00DE5E7A">
        <w:rPr>
          <w:lang w:val="fr-CA"/>
        </w:rPr>
        <w:t>Peers</w:t>
      </w:r>
      <w:proofErr w:type="spellEnd"/>
    </w:p>
    <w:p w:rsidR="00645E86" w:rsidRPr="004E101B" w:rsidRDefault="00645E86" w:rsidP="00645E86">
      <w:pPr>
        <w:jc w:val="center"/>
        <w:rPr>
          <w:lang w:val="fr-CA"/>
        </w:rPr>
      </w:pPr>
      <w:r w:rsidRPr="004E101B">
        <w:rPr>
          <w:lang w:val="fr-CA"/>
        </w:rPr>
        <w:t>Appelant</w:t>
      </w:r>
    </w:p>
    <w:p w:rsidR="00645E86" w:rsidRPr="004E101B" w:rsidRDefault="00645E86" w:rsidP="00645E86">
      <w:pPr>
        <w:jc w:val="center"/>
        <w:rPr>
          <w:lang w:val="fr-CA"/>
        </w:rPr>
      </w:pPr>
    </w:p>
    <w:p w:rsidR="00645E86" w:rsidRPr="004E101B" w:rsidRDefault="00645E86" w:rsidP="00645E86">
      <w:pPr>
        <w:pStyle w:val="SCCLsocVersus"/>
        <w:spacing w:after="0"/>
        <w:jc w:val="center"/>
        <w:rPr>
          <w:i w:val="0"/>
          <w:lang w:val="fr-CA"/>
        </w:rPr>
      </w:pPr>
      <w:proofErr w:type="gramStart"/>
      <w:r w:rsidRPr="004E101B">
        <w:rPr>
          <w:i w:val="0"/>
          <w:lang w:val="fr-CA"/>
        </w:rPr>
        <w:t>et</w:t>
      </w:r>
      <w:proofErr w:type="gramEnd"/>
    </w:p>
    <w:p w:rsidR="00645E86" w:rsidRPr="00645E86" w:rsidRDefault="00645E86" w:rsidP="00645E86">
      <w:pPr>
        <w:jc w:val="center"/>
        <w:rPr>
          <w:lang w:val="fr-CA"/>
        </w:rPr>
      </w:pPr>
    </w:p>
    <w:p w:rsidR="00645E86" w:rsidRPr="00645E86" w:rsidRDefault="00645E86" w:rsidP="00645E86">
      <w:pPr>
        <w:pStyle w:val="SCCLsocParty"/>
        <w:jc w:val="center"/>
        <w:rPr>
          <w:lang w:val="fr-CA"/>
        </w:rPr>
      </w:pPr>
      <w:r w:rsidRPr="00645E86">
        <w:rPr>
          <w:lang w:val="fr-CA"/>
        </w:rPr>
        <w:t>Sa Majesté la Reine (Alberta Securities Commission)</w:t>
      </w:r>
    </w:p>
    <w:p w:rsidR="00645E86" w:rsidRPr="00645E86" w:rsidRDefault="00645E86" w:rsidP="00645E86">
      <w:pPr>
        <w:jc w:val="center"/>
        <w:rPr>
          <w:lang w:val="fr-CA"/>
        </w:rPr>
      </w:pPr>
      <w:r w:rsidRPr="00645E86">
        <w:rPr>
          <w:lang w:val="fr-CA"/>
        </w:rPr>
        <w:t>Intimée</w:t>
      </w:r>
    </w:p>
    <w:p w:rsidR="00645E86" w:rsidRDefault="00645E86" w:rsidP="00645E86">
      <w:pPr>
        <w:jc w:val="center"/>
        <w:rPr>
          <w:lang w:val="fr-CA"/>
        </w:rPr>
      </w:pPr>
    </w:p>
    <w:p w:rsidR="00EB4955" w:rsidRDefault="00EB4955" w:rsidP="00645E86">
      <w:pPr>
        <w:jc w:val="center"/>
        <w:rPr>
          <w:lang w:val="fr-CA"/>
        </w:rPr>
      </w:pPr>
      <w:proofErr w:type="gramStart"/>
      <w:r>
        <w:rPr>
          <w:lang w:val="fr-CA"/>
        </w:rPr>
        <w:t>et</w:t>
      </w:r>
      <w:bookmarkStart w:id="0" w:name="_GoBack"/>
      <w:bookmarkEnd w:id="0"/>
      <w:proofErr w:type="gramEnd"/>
    </w:p>
    <w:p w:rsidR="00EB4955" w:rsidRPr="00645E86" w:rsidRDefault="00EB4955" w:rsidP="00645E86">
      <w:pPr>
        <w:jc w:val="center"/>
        <w:rPr>
          <w:lang w:val="fr-CA"/>
        </w:rPr>
      </w:pPr>
    </w:p>
    <w:p w:rsidR="004E101B" w:rsidRPr="00AA69F2" w:rsidRDefault="004E101B" w:rsidP="004E101B">
      <w:pPr>
        <w:pStyle w:val="SCCLsocParty"/>
        <w:jc w:val="center"/>
        <w:rPr>
          <w:lang w:val="fr-CA"/>
        </w:rPr>
      </w:pPr>
      <w:r w:rsidRPr="00AA69F2">
        <w:rPr>
          <w:lang w:val="fr-CA"/>
        </w:rPr>
        <w:t>Procureur général du Canada,</w:t>
      </w:r>
    </w:p>
    <w:p w:rsidR="004E101B" w:rsidRPr="00AA69F2" w:rsidRDefault="004E101B" w:rsidP="004E101B">
      <w:pPr>
        <w:pStyle w:val="SCCLsocParty"/>
        <w:jc w:val="center"/>
        <w:rPr>
          <w:lang w:val="fr-CA"/>
        </w:rPr>
      </w:pPr>
      <w:proofErr w:type="gramStart"/>
      <w:r>
        <w:rPr>
          <w:lang w:val="fr-CA"/>
        </w:rPr>
        <w:t>p</w:t>
      </w:r>
      <w:r w:rsidRPr="00AA69F2">
        <w:rPr>
          <w:lang w:val="fr-CA"/>
        </w:rPr>
        <w:t>rocureur</w:t>
      </w:r>
      <w:proofErr w:type="gramEnd"/>
      <w:r w:rsidRPr="00AA69F2">
        <w:rPr>
          <w:lang w:val="fr-CA"/>
        </w:rPr>
        <w:t xml:space="preserve"> général de l</w:t>
      </w:r>
      <w:r>
        <w:rPr>
          <w:lang w:val="fr-CA"/>
        </w:rPr>
        <w:t>’</w:t>
      </w:r>
      <w:r w:rsidRPr="00AA69F2">
        <w:rPr>
          <w:lang w:val="fr-CA"/>
        </w:rPr>
        <w:t>Ontario,</w:t>
      </w:r>
    </w:p>
    <w:p w:rsidR="004E101B" w:rsidRPr="00AA69F2" w:rsidRDefault="004E101B" w:rsidP="004E101B">
      <w:pPr>
        <w:pStyle w:val="SCCLsocParty"/>
        <w:jc w:val="center"/>
        <w:rPr>
          <w:lang w:val="fr-CA"/>
        </w:rPr>
      </w:pPr>
      <w:proofErr w:type="gramStart"/>
      <w:r>
        <w:rPr>
          <w:lang w:val="fr-CA"/>
        </w:rPr>
        <w:t>p</w:t>
      </w:r>
      <w:r w:rsidRPr="00AA69F2">
        <w:rPr>
          <w:lang w:val="fr-CA"/>
        </w:rPr>
        <w:t>rocureure</w:t>
      </w:r>
      <w:proofErr w:type="gramEnd"/>
      <w:r w:rsidRPr="00AA69F2">
        <w:rPr>
          <w:lang w:val="fr-CA"/>
        </w:rPr>
        <w:t xml:space="preserve"> générale du Québec,</w:t>
      </w:r>
    </w:p>
    <w:p w:rsidR="004E101B" w:rsidRPr="00AA69F2" w:rsidRDefault="004E101B" w:rsidP="004E101B">
      <w:pPr>
        <w:pStyle w:val="SCCLsocParty"/>
        <w:jc w:val="center"/>
        <w:rPr>
          <w:lang w:val="fr-CA"/>
        </w:rPr>
      </w:pPr>
      <w:proofErr w:type="gramStart"/>
      <w:r>
        <w:rPr>
          <w:lang w:val="fr-CA"/>
        </w:rPr>
        <w:t>p</w:t>
      </w:r>
      <w:r w:rsidRPr="00AA69F2">
        <w:rPr>
          <w:lang w:val="fr-CA"/>
        </w:rPr>
        <w:t>rocureur</w:t>
      </w:r>
      <w:proofErr w:type="gramEnd"/>
      <w:r w:rsidRPr="00AA69F2">
        <w:rPr>
          <w:lang w:val="fr-CA"/>
        </w:rPr>
        <w:t xml:space="preserve"> général de l</w:t>
      </w:r>
      <w:r>
        <w:rPr>
          <w:lang w:val="fr-CA"/>
        </w:rPr>
        <w:t>’</w:t>
      </w:r>
      <w:r w:rsidRPr="00AA69F2">
        <w:rPr>
          <w:lang w:val="fr-CA"/>
        </w:rPr>
        <w:t>Alberta,</w:t>
      </w:r>
    </w:p>
    <w:p w:rsidR="004E101B" w:rsidRPr="00AA69F2" w:rsidRDefault="004E101B" w:rsidP="004E101B">
      <w:pPr>
        <w:pStyle w:val="SCCLsocParty"/>
        <w:jc w:val="center"/>
        <w:rPr>
          <w:lang w:val="fr-CA"/>
        </w:rPr>
      </w:pPr>
      <w:r w:rsidRPr="00AA69F2">
        <w:rPr>
          <w:lang w:val="fr-CA"/>
        </w:rPr>
        <w:t xml:space="preserve">Canadian Constitution </w:t>
      </w:r>
      <w:proofErr w:type="spellStart"/>
      <w:r w:rsidRPr="00AA69F2">
        <w:rPr>
          <w:lang w:val="fr-CA"/>
        </w:rPr>
        <w:t>Foundation</w:t>
      </w:r>
      <w:proofErr w:type="spellEnd"/>
      <w:r w:rsidRPr="00AA69F2">
        <w:rPr>
          <w:lang w:val="fr-CA"/>
        </w:rPr>
        <w:t>,</w:t>
      </w:r>
    </w:p>
    <w:p w:rsidR="004E101B" w:rsidRPr="00AA69F2" w:rsidRDefault="004E101B" w:rsidP="004E101B">
      <w:pPr>
        <w:pStyle w:val="SCCLsocParty"/>
        <w:jc w:val="center"/>
        <w:rPr>
          <w:lang w:val="fr-CA"/>
        </w:rPr>
      </w:pPr>
      <w:r w:rsidRPr="00AA69F2">
        <w:rPr>
          <w:lang w:val="fr-CA"/>
        </w:rPr>
        <w:t>Commission des valeurs mobilières de l</w:t>
      </w:r>
      <w:r>
        <w:rPr>
          <w:lang w:val="fr-CA"/>
        </w:rPr>
        <w:t>’</w:t>
      </w:r>
      <w:r w:rsidRPr="00AA69F2">
        <w:rPr>
          <w:lang w:val="fr-CA"/>
        </w:rPr>
        <w:t>Ontario,</w:t>
      </w:r>
    </w:p>
    <w:p w:rsidR="004E101B" w:rsidRPr="00AA69F2" w:rsidRDefault="004E101B" w:rsidP="004E101B">
      <w:pPr>
        <w:pStyle w:val="SCCLsocParty"/>
        <w:jc w:val="center"/>
        <w:rPr>
          <w:lang w:val="fr-CA"/>
        </w:rPr>
      </w:pPr>
      <w:r w:rsidRPr="00727B2F">
        <w:rPr>
          <w:lang w:val="fr-CA"/>
        </w:rPr>
        <w:t xml:space="preserve">British Columbia Civil </w:t>
      </w:r>
      <w:proofErr w:type="spellStart"/>
      <w:r w:rsidRPr="00727B2F">
        <w:rPr>
          <w:lang w:val="fr-CA"/>
        </w:rPr>
        <w:t>Liberties</w:t>
      </w:r>
      <w:proofErr w:type="spellEnd"/>
      <w:r w:rsidRPr="00727B2F">
        <w:rPr>
          <w:lang w:val="fr-CA"/>
        </w:rPr>
        <w:t xml:space="preserve"> Association</w:t>
      </w:r>
      <w:r>
        <w:rPr>
          <w:lang w:val="fr-CA"/>
        </w:rPr>
        <w:t xml:space="preserve"> et</w:t>
      </w:r>
    </w:p>
    <w:p w:rsidR="00645E86" w:rsidRPr="004E101B" w:rsidRDefault="004E101B" w:rsidP="004E101B">
      <w:pPr>
        <w:jc w:val="center"/>
        <w:rPr>
          <w:b/>
          <w:lang w:val="fr-CA"/>
        </w:rPr>
      </w:pPr>
      <w:r w:rsidRPr="004E101B">
        <w:rPr>
          <w:b/>
          <w:lang w:val="fr-CA"/>
        </w:rPr>
        <w:t>Association canadienne des libertés civiles</w:t>
      </w:r>
    </w:p>
    <w:p w:rsidR="00645E86" w:rsidRPr="00645E86" w:rsidRDefault="004E101B" w:rsidP="004E101B">
      <w:pPr>
        <w:jc w:val="center"/>
        <w:rPr>
          <w:lang w:val="fr-CA"/>
        </w:rPr>
      </w:pPr>
      <w:r>
        <w:rPr>
          <w:lang w:val="fr-CA"/>
        </w:rPr>
        <w:t>Intervenants</w:t>
      </w:r>
    </w:p>
    <w:p w:rsidR="00645E86" w:rsidRPr="00645E86" w:rsidRDefault="00645E86" w:rsidP="00645E86">
      <w:pPr>
        <w:rPr>
          <w:lang w:val="fr-CA"/>
        </w:rPr>
      </w:pPr>
    </w:p>
    <w:p w:rsidR="00645E86" w:rsidRPr="00645E86" w:rsidRDefault="00645E86" w:rsidP="00645E86">
      <w:pPr>
        <w:jc w:val="center"/>
        <w:rPr>
          <w:b/>
          <w:smallCaps/>
          <w:lang w:val="fr-CA"/>
        </w:rPr>
      </w:pPr>
      <w:r w:rsidRPr="00645E86">
        <w:rPr>
          <w:b/>
          <w:smallCaps/>
          <w:lang w:val="fr-CA"/>
        </w:rPr>
        <w:t>Traduction française officielle</w:t>
      </w:r>
    </w:p>
    <w:p w:rsidR="00645E86" w:rsidRPr="00645E86" w:rsidRDefault="00645E86" w:rsidP="00645E86">
      <w:pPr>
        <w:rPr>
          <w:lang w:val="fr-CA"/>
        </w:rPr>
      </w:pPr>
    </w:p>
    <w:p w:rsidR="00645E86" w:rsidRPr="00645E86" w:rsidRDefault="00645E86" w:rsidP="00645E86">
      <w:pPr>
        <w:rPr>
          <w:lang w:val="fr-CA"/>
        </w:rPr>
      </w:pPr>
      <w:r w:rsidRPr="00645E86">
        <w:rPr>
          <w:b/>
          <w:smallCaps/>
          <w:lang w:val="fr-CA"/>
        </w:rPr>
        <w:t>Coram :</w:t>
      </w:r>
      <w:r w:rsidRPr="00645E86">
        <w:rPr>
          <w:lang w:val="fr-CA"/>
        </w:rPr>
        <w:t xml:space="preserve"> </w:t>
      </w:r>
      <w:r w:rsidRPr="00AA69F2">
        <w:rPr>
          <w:lang w:val="fr-CA"/>
        </w:rPr>
        <w:t xml:space="preserve">La juge en chef </w:t>
      </w:r>
      <w:proofErr w:type="spellStart"/>
      <w:r w:rsidRPr="00AA69F2">
        <w:rPr>
          <w:lang w:val="fr-CA"/>
        </w:rPr>
        <w:t>McLachlin</w:t>
      </w:r>
      <w:proofErr w:type="spellEnd"/>
      <w:r w:rsidRPr="00AA69F2">
        <w:rPr>
          <w:lang w:val="fr-CA"/>
        </w:rPr>
        <w:t xml:space="preserve"> et les juges Abella, </w:t>
      </w:r>
      <w:proofErr w:type="spellStart"/>
      <w:r w:rsidRPr="00AA69F2">
        <w:rPr>
          <w:lang w:val="fr-CA"/>
        </w:rPr>
        <w:t>Moldaver</w:t>
      </w:r>
      <w:proofErr w:type="spellEnd"/>
      <w:r w:rsidRPr="00AA69F2">
        <w:rPr>
          <w:lang w:val="fr-CA"/>
        </w:rPr>
        <w:t xml:space="preserve">, </w:t>
      </w:r>
      <w:proofErr w:type="spellStart"/>
      <w:r w:rsidRPr="00AA69F2">
        <w:rPr>
          <w:lang w:val="fr-CA"/>
        </w:rPr>
        <w:t>Karakatsanis</w:t>
      </w:r>
      <w:proofErr w:type="spellEnd"/>
      <w:r w:rsidRPr="00AA69F2">
        <w:rPr>
          <w:lang w:val="fr-CA"/>
        </w:rPr>
        <w:t>, Wagner, Gascon, Côté, Brown et Rowe</w:t>
      </w:r>
    </w:p>
    <w:p w:rsidR="00645E86" w:rsidRPr="00645E86" w:rsidRDefault="00645E86" w:rsidP="00645E86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645E86" w:rsidRPr="001E12E2" w:rsidTr="009126A8">
        <w:trPr>
          <w:cantSplit/>
        </w:trPr>
        <w:tc>
          <w:tcPr>
            <w:tcW w:w="3618" w:type="dxa"/>
          </w:tcPr>
          <w:p w:rsidR="00645E86" w:rsidRDefault="00645E86" w:rsidP="009126A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proofErr w:type="spellEnd"/>
            <w:r>
              <w:rPr>
                <w:b/>
                <w:smallCaps/>
              </w:rPr>
              <w:t> :</w:t>
            </w:r>
          </w:p>
          <w:p w:rsidR="00645E86" w:rsidRPr="0097746B" w:rsidRDefault="00645E86" w:rsidP="009126A8">
            <w:r w:rsidRPr="0097746B">
              <w:t>(par. 1)</w:t>
            </w:r>
          </w:p>
        </w:tc>
        <w:tc>
          <w:tcPr>
            <w:tcW w:w="5958" w:type="dxa"/>
          </w:tcPr>
          <w:p w:rsidR="00645E86" w:rsidRPr="001E12E2" w:rsidRDefault="00645E86" w:rsidP="009126A8">
            <w:r>
              <w:t xml:space="preserve">La </w:t>
            </w:r>
            <w:proofErr w:type="spellStart"/>
            <w:r>
              <w:t>Cour</w:t>
            </w:r>
            <w:proofErr w:type="spellEnd"/>
          </w:p>
        </w:tc>
      </w:tr>
    </w:tbl>
    <w:p w:rsidR="00645E86" w:rsidRDefault="00645E86" w:rsidP="00645E86"/>
    <w:p w:rsidR="00645E86" w:rsidRPr="001E12E2" w:rsidRDefault="00645E86" w:rsidP="00645E8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F67B3" wp14:editId="3909F0D4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61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645E86" w:rsidRDefault="00645E86" w:rsidP="00645E86"/>
    <w:p w:rsidR="00645E86" w:rsidRDefault="00645E86" w:rsidP="00645E86"/>
    <w:p w:rsidR="00645E86" w:rsidRDefault="00645E86" w:rsidP="00645E86"/>
    <w:p w:rsidR="004D7D95" w:rsidRPr="00DE5E7A" w:rsidRDefault="00DE5E7A" w:rsidP="00E644CE">
      <w:pPr>
        <w:widowControl w:val="0"/>
        <w:spacing w:line="480" w:lineRule="auto"/>
        <w:jc w:val="both"/>
        <w:rPr>
          <w:smallCaps/>
          <w:lang w:val="en-US"/>
        </w:rPr>
      </w:pPr>
      <w:r w:rsidRPr="00DE5E7A">
        <w:rPr>
          <w:rStyle w:val="SCCAppellantForRunningHeadChar"/>
          <w:smallCaps w:val="0"/>
          <w:lang w:val="en-US"/>
        </w:rPr>
        <w:t>R</w:t>
      </w:r>
      <w:r w:rsidR="00512B21" w:rsidRPr="00DE5E7A">
        <w:rPr>
          <w:rStyle w:val="SCCAppellantForRunningHeadChar"/>
          <w:smallCaps w:val="0"/>
          <w:lang w:val="en-US"/>
        </w:rPr>
        <w:t xml:space="preserve">. </w:t>
      </w:r>
      <w:r w:rsidR="00512B21" w:rsidRPr="00DE5E7A">
        <w:rPr>
          <w:i/>
          <w:lang w:val="en-US"/>
        </w:rPr>
        <w:t>c.</w:t>
      </w:r>
      <w:r w:rsidR="00512B21" w:rsidRPr="00DE5E7A">
        <w:rPr>
          <w:lang w:val="en-US"/>
        </w:rPr>
        <w:t xml:space="preserve"> </w:t>
      </w:r>
      <w:r w:rsidRPr="00DE5E7A">
        <w:rPr>
          <w:rStyle w:val="SCCAppellantForRunningHeadChar"/>
          <w:smallCaps w:val="0"/>
          <w:lang w:val="en-US"/>
        </w:rPr>
        <w:t>P</w:t>
      </w:r>
      <w:r w:rsidR="004D7D95" w:rsidRPr="00DE5E7A">
        <w:rPr>
          <w:rStyle w:val="SCCAppellantForRunningHeadChar"/>
          <w:smallCaps w:val="0"/>
          <w:lang w:val="en-US"/>
        </w:rPr>
        <w:t>eers</w:t>
      </w:r>
      <w:r w:rsidRPr="00DE5E7A">
        <w:rPr>
          <w:rStyle w:val="SCCAppellantForRunningHeadChar"/>
          <w:smallCaps w:val="0"/>
          <w:lang w:val="en-US"/>
        </w:rPr>
        <w:t xml:space="preserve">, </w:t>
      </w:r>
      <w:r w:rsidRPr="00DE5E7A">
        <w:rPr>
          <w:lang w:val="en-US"/>
        </w:rPr>
        <w:t>2017 CSC 13, [2017] 1 R.C.</w:t>
      </w:r>
      <w:r>
        <w:rPr>
          <w:lang w:val="en-US"/>
        </w:rPr>
        <w:t>S. 196</w:t>
      </w:r>
    </w:p>
    <w:p w:rsidR="004D7D95" w:rsidRPr="00DE5E7A" w:rsidRDefault="004D7D95" w:rsidP="004D7D95">
      <w:pPr>
        <w:jc w:val="both"/>
        <w:rPr>
          <w:lang w:val="en-US"/>
        </w:rPr>
      </w:pPr>
    </w:p>
    <w:p w:rsidR="004D7D95" w:rsidRPr="00DE5E7A" w:rsidRDefault="004D7D95" w:rsidP="004D7D95">
      <w:pPr>
        <w:jc w:val="both"/>
        <w:rPr>
          <w:lang w:val="en-US"/>
        </w:rPr>
      </w:pPr>
    </w:p>
    <w:p w:rsidR="004D7D95" w:rsidRPr="00DE5E7A" w:rsidRDefault="004D7D95" w:rsidP="004D7D95">
      <w:pPr>
        <w:jc w:val="both"/>
        <w:rPr>
          <w:lang w:val="en-US"/>
        </w:rPr>
      </w:pPr>
    </w:p>
    <w:p w:rsidR="00995EC8" w:rsidRPr="004E101B" w:rsidRDefault="00AA7E05">
      <w:pPr>
        <w:pStyle w:val="SCCLsocLastPartyInRole"/>
        <w:rPr>
          <w:lang w:val="fr-CA"/>
        </w:rPr>
      </w:pPr>
      <w:r w:rsidRPr="004E101B">
        <w:rPr>
          <w:lang w:val="fr-CA"/>
        </w:rPr>
        <w:t xml:space="preserve">Jeremy James </w:t>
      </w:r>
      <w:proofErr w:type="spellStart"/>
      <w:r w:rsidRPr="004E101B">
        <w:rPr>
          <w:lang w:val="fr-CA"/>
        </w:rPr>
        <w:t>Peers</w:t>
      </w:r>
      <w:proofErr w:type="spellEnd"/>
      <w:r w:rsidR="00D3499B" w:rsidRPr="004E101B">
        <w:rPr>
          <w:rStyle w:val="SCCLsocPartyRole"/>
          <w:lang w:val="fr-CA"/>
        </w:rPr>
        <w:tab/>
        <w:t>Appelant</w:t>
      </w:r>
    </w:p>
    <w:p w:rsidR="00995EC8" w:rsidRPr="00AA69F2" w:rsidRDefault="00AA7E05">
      <w:pPr>
        <w:pStyle w:val="SCCLsocVersus"/>
        <w:rPr>
          <w:lang w:val="fr-CA"/>
        </w:rPr>
      </w:pPr>
      <w:proofErr w:type="gramStart"/>
      <w:r w:rsidRPr="00AA69F2">
        <w:rPr>
          <w:lang w:val="fr-CA"/>
        </w:rPr>
        <w:t>c</w:t>
      </w:r>
      <w:proofErr w:type="gramEnd"/>
      <w:r w:rsidRPr="00AA69F2">
        <w:rPr>
          <w:lang w:val="fr-CA"/>
        </w:rPr>
        <w:t>.</w:t>
      </w:r>
    </w:p>
    <w:p w:rsidR="00995EC8" w:rsidRPr="00AA69F2" w:rsidRDefault="00AA7E05">
      <w:pPr>
        <w:pStyle w:val="SCCLsocLastPartyInRole"/>
        <w:rPr>
          <w:lang w:val="fr-CA"/>
        </w:rPr>
      </w:pPr>
      <w:r w:rsidRPr="00AA69F2">
        <w:rPr>
          <w:lang w:val="fr-CA"/>
        </w:rPr>
        <w:t xml:space="preserve">Sa Majesté la Reine </w:t>
      </w:r>
      <w:r w:rsidRPr="00F21C99">
        <w:rPr>
          <w:lang w:val="fr-CA"/>
        </w:rPr>
        <w:t>(Alberta Securities Commission)</w:t>
      </w:r>
      <w:r w:rsidR="00D3499B">
        <w:rPr>
          <w:rStyle w:val="SCCLsocPartyRole"/>
          <w:lang w:val="fr-CA"/>
        </w:rPr>
        <w:tab/>
        <w:t>Intimée</w:t>
      </w:r>
    </w:p>
    <w:p w:rsidR="00995EC8" w:rsidRPr="00AA69F2" w:rsidRDefault="00AA7E05">
      <w:pPr>
        <w:pStyle w:val="SCCLsocOtherPartySeparator"/>
        <w:rPr>
          <w:lang w:val="fr-CA"/>
        </w:rPr>
      </w:pPr>
      <w:proofErr w:type="gramStart"/>
      <w:r w:rsidRPr="00AA69F2">
        <w:rPr>
          <w:lang w:val="fr-CA"/>
        </w:rPr>
        <w:t>et</w:t>
      </w:r>
      <w:proofErr w:type="gramEnd"/>
    </w:p>
    <w:p w:rsidR="00995EC8" w:rsidRPr="00AA69F2" w:rsidRDefault="00AA7E05">
      <w:pPr>
        <w:pStyle w:val="SCCLsocParty"/>
        <w:rPr>
          <w:lang w:val="fr-CA"/>
        </w:rPr>
      </w:pPr>
      <w:r w:rsidRPr="00AA69F2">
        <w:rPr>
          <w:lang w:val="fr-CA"/>
        </w:rPr>
        <w:t>Procureur général du Canada,</w:t>
      </w:r>
    </w:p>
    <w:p w:rsidR="00995EC8" w:rsidRPr="00AA69F2" w:rsidRDefault="00727B2F">
      <w:pPr>
        <w:pStyle w:val="SCCLsocParty"/>
        <w:rPr>
          <w:lang w:val="fr-CA"/>
        </w:rPr>
      </w:pPr>
      <w:proofErr w:type="gramStart"/>
      <w:r>
        <w:rPr>
          <w:lang w:val="fr-CA"/>
        </w:rPr>
        <w:t>p</w:t>
      </w:r>
      <w:r w:rsidR="00AA7E05" w:rsidRPr="00AA69F2">
        <w:rPr>
          <w:lang w:val="fr-CA"/>
        </w:rPr>
        <w:t>rocureur</w:t>
      </w:r>
      <w:proofErr w:type="gramEnd"/>
      <w:r w:rsidR="00AA7E05" w:rsidRPr="00AA69F2">
        <w:rPr>
          <w:lang w:val="fr-CA"/>
        </w:rPr>
        <w:t xml:space="preserve"> général de l</w:t>
      </w:r>
      <w:r>
        <w:rPr>
          <w:lang w:val="fr-CA"/>
        </w:rPr>
        <w:t>’</w:t>
      </w:r>
      <w:r w:rsidR="00AA7E05" w:rsidRPr="00AA69F2">
        <w:rPr>
          <w:lang w:val="fr-CA"/>
        </w:rPr>
        <w:t>Ontario,</w:t>
      </w:r>
    </w:p>
    <w:p w:rsidR="00995EC8" w:rsidRPr="00AA69F2" w:rsidRDefault="00727B2F">
      <w:pPr>
        <w:pStyle w:val="SCCLsocParty"/>
        <w:rPr>
          <w:lang w:val="fr-CA"/>
        </w:rPr>
      </w:pPr>
      <w:proofErr w:type="gramStart"/>
      <w:r>
        <w:rPr>
          <w:lang w:val="fr-CA"/>
        </w:rPr>
        <w:t>p</w:t>
      </w:r>
      <w:r w:rsidR="00AA7E05" w:rsidRPr="00AA69F2">
        <w:rPr>
          <w:lang w:val="fr-CA"/>
        </w:rPr>
        <w:t>rocureure</w:t>
      </w:r>
      <w:proofErr w:type="gramEnd"/>
      <w:r w:rsidR="00AA7E05" w:rsidRPr="00AA69F2">
        <w:rPr>
          <w:lang w:val="fr-CA"/>
        </w:rPr>
        <w:t xml:space="preserve"> générale du Québec,</w:t>
      </w:r>
    </w:p>
    <w:p w:rsidR="00995EC8" w:rsidRPr="00AA69F2" w:rsidRDefault="00727B2F">
      <w:pPr>
        <w:pStyle w:val="SCCLsocParty"/>
        <w:rPr>
          <w:lang w:val="fr-CA"/>
        </w:rPr>
      </w:pPr>
      <w:proofErr w:type="gramStart"/>
      <w:r>
        <w:rPr>
          <w:lang w:val="fr-CA"/>
        </w:rPr>
        <w:t>p</w:t>
      </w:r>
      <w:r w:rsidR="00AA7E05" w:rsidRPr="00AA69F2">
        <w:rPr>
          <w:lang w:val="fr-CA"/>
        </w:rPr>
        <w:t>rocureur</w:t>
      </w:r>
      <w:proofErr w:type="gramEnd"/>
      <w:r w:rsidR="00AA7E05" w:rsidRPr="00AA69F2">
        <w:rPr>
          <w:lang w:val="fr-CA"/>
        </w:rPr>
        <w:t xml:space="preserve"> général de l</w:t>
      </w:r>
      <w:r>
        <w:rPr>
          <w:lang w:val="fr-CA"/>
        </w:rPr>
        <w:t>’</w:t>
      </w:r>
      <w:r w:rsidR="00AA7E05" w:rsidRPr="00AA69F2">
        <w:rPr>
          <w:lang w:val="fr-CA"/>
        </w:rPr>
        <w:t>Alberta,</w:t>
      </w:r>
    </w:p>
    <w:p w:rsidR="00995EC8" w:rsidRPr="00AA69F2" w:rsidRDefault="00AA7E05">
      <w:pPr>
        <w:pStyle w:val="SCCLsocParty"/>
        <w:rPr>
          <w:lang w:val="fr-CA"/>
        </w:rPr>
      </w:pPr>
      <w:r w:rsidRPr="00AA69F2">
        <w:rPr>
          <w:lang w:val="fr-CA"/>
        </w:rPr>
        <w:t xml:space="preserve">Canadian Constitution </w:t>
      </w:r>
      <w:proofErr w:type="spellStart"/>
      <w:r w:rsidRPr="00AA69F2">
        <w:rPr>
          <w:lang w:val="fr-CA"/>
        </w:rPr>
        <w:t>Foundation</w:t>
      </w:r>
      <w:proofErr w:type="spellEnd"/>
      <w:r w:rsidRPr="00AA69F2">
        <w:rPr>
          <w:lang w:val="fr-CA"/>
        </w:rPr>
        <w:t>,</w:t>
      </w:r>
    </w:p>
    <w:p w:rsidR="00995EC8" w:rsidRPr="00AA69F2" w:rsidRDefault="00AA7E05">
      <w:pPr>
        <w:pStyle w:val="SCCLsocParty"/>
        <w:rPr>
          <w:lang w:val="fr-CA"/>
        </w:rPr>
      </w:pPr>
      <w:r w:rsidRPr="00AA69F2">
        <w:rPr>
          <w:lang w:val="fr-CA"/>
        </w:rPr>
        <w:t>Commission des valeurs mobilières de l</w:t>
      </w:r>
      <w:r w:rsidR="00727B2F">
        <w:rPr>
          <w:lang w:val="fr-CA"/>
        </w:rPr>
        <w:t>’</w:t>
      </w:r>
      <w:r w:rsidRPr="00AA69F2">
        <w:rPr>
          <w:lang w:val="fr-CA"/>
        </w:rPr>
        <w:t>Ontario,</w:t>
      </w:r>
    </w:p>
    <w:p w:rsidR="00995EC8" w:rsidRPr="00AA69F2" w:rsidRDefault="00727B2F">
      <w:pPr>
        <w:pStyle w:val="SCCLsocParty"/>
        <w:rPr>
          <w:lang w:val="fr-CA"/>
        </w:rPr>
      </w:pPr>
      <w:r w:rsidRPr="00727B2F">
        <w:rPr>
          <w:lang w:val="fr-CA"/>
        </w:rPr>
        <w:t xml:space="preserve">British Columbia Civil </w:t>
      </w:r>
      <w:proofErr w:type="spellStart"/>
      <w:r w:rsidRPr="00727B2F">
        <w:rPr>
          <w:lang w:val="fr-CA"/>
        </w:rPr>
        <w:t>Liberties</w:t>
      </w:r>
      <w:proofErr w:type="spellEnd"/>
      <w:r w:rsidRPr="00727B2F">
        <w:rPr>
          <w:lang w:val="fr-CA"/>
        </w:rPr>
        <w:t xml:space="preserve"> Association</w:t>
      </w:r>
      <w:r>
        <w:rPr>
          <w:lang w:val="fr-CA"/>
        </w:rPr>
        <w:t xml:space="preserve"> et</w:t>
      </w:r>
    </w:p>
    <w:p w:rsidR="00995EC8" w:rsidRPr="00AA69F2" w:rsidRDefault="00AA7E05">
      <w:pPr>
        <w:pStyle w:val="SCCLsocLastPartyInRole"/>
        <w:rPr>
          <w:lang w:val="fr-CA"/>
        </w:rPr>
      </w:pPr>
      <w:r w:rsidRPr="00AA69F2">
        <w:rPr>
          <w:lang w:val="fr-CA"/>
        </w:rPr>
        <w:t>Association canadienne des libertés civiles</w:t>
      </w:r>
      <w:r w:rsidR="00727B2F">
        <w:rPr>
          <w:rStyle w:val="SCCLsocPartyRole"/>
          <w:lang w:val="fr-CA"/>
        </w:rPr>
        <w:tab/>
        <w:t>Intervenant</w:t>
      </w:r>
      <w:r w:rsidRPr="00AA69F2">
        <w:rPr>
          <w:rStyle w:val="SCCLsocPartyRole"/>
          <w:lang w:val="fr-CA"/>
        </w:rPr>
        <w:t>s</w:t>
      </w:r>
    </w:p>
    <w:p w:rsidR="004D7D95" w:rsidRPr="00AA69F2" w:rsidRDefault="004D7D95" w:rsidP="004D7D95">
      <w:pPr>
        <w:jc w:val="both"/>
        <w:rPr>
          <w:lang w:val="fr-CA"/>
        </w:rPr>
      </w:pPr>
    </w:p>
    <w:p w:rsidR="004D7D95" w:rsidRPr="00AA69F2" w:rsidRDefault="004D7D95" w:rsidP="004D7D95">
      <w:pPr>
        <w:jc w:val="both"/>
        <w:rPr>
          <w:lang w:val="fr-CA"/>
        </w:rPr>
      </w:pPr>
    </w:p>
    <w:p w:rsidR="004D7D95" w:rsidRPr="00AA69F2" w:rsidRDefault="004D7D95" w:rsidP="004D7D95">
      <w:pPr>
        <w:jc w:val="both"/>
        <w:rPr>
          <w:lang w:val="fr-CA"/>
        </w:rPr>
      </w:pPr>
    </w:p>
    <w:p w:rsidR="004D7D95" w:rsidRPr="00AA69F2" w:rsidRDefault="00EC14DB" w:rsidP="004D7D95">
      <w:pPr>
        <w:jc w:val="both"/>
        <w:rPr>
          <w:b/>
          <w:lang w:val="fr-CA"/>
        </w:rPr>
      </w:pPr>
      <w:r>
        <w:rPr>
          <w:b/>
          <w:lang w:val="fr-CA"/>
        </w:rPr>
        <w:t>Répertorié : </w:t>
      </w:r>
      <w:r w:rsidRPr="00AA69F2">
        <w:rPr>
          <w:rStyle w:val="SCCRespondentForIndexChar"/>
          <w:lang w:val="fr-CA"/>
        </w:rPr>
        <w:t>R.</w:t>
      </w:r>
      <w:r w:rsidRPr="00EC14DB">
        <w:rPr>
          <w:b/>
          <w:i/>
          <w:lang w:val="fr-CA"/>
        </w:rPr>
        <w:t xml:space="preserve"> </w:t>
      </w:r>
      <w:r w:rsidRPr="00BB4C92">
        <w:rPr>
          <w:b/>
          <w:i/>
          <w:lang w:val="fr-CA"/>
        </w:rPr>
        <w:t>c.</w:t>
      </w:r>
      <w:r w:rsidRPr="00BB4C92">
        <w:rPr>
          <w:b/>
          <w:lang w:val="fr-CA"/>
        </w:rPr>
        <w:t xml:space="preserve"> </w:t>
      </w:r>
      <w:proofErr w:type="spellStart"/>
      <w:r w:rsidR="004D7D95" w:rsidRPr="00AA69F2">
        <w:rPr>
          <w:rStyle w:val="SCCAppellantForIndexChar"/>
          <w:lang w:val="fr-CA"/>
        </w:rPr>
        <w:t>Peers</w:t>
      </w:r>
      <w:proofErr w:type="spellEnd"/>
    </w:p>
    <w:p w:rsidR="004D7D95" w:rsidRPr="00AA69F2" w:rsidRDefault="004D7D95" w:rsidP="004D7D95">
      <w:pPr>
        <w:jc w:val="both"/>
        <w:rPr>
          <w:lang w:val="fr-CA"/>
        </w:rPr>
      </w:pPr>
    </w:p>
    <w:p w:rsidR="004D7D95" w:rsidRPr="00AA69F2" w:rsidRDefault="004D7D95" w:rsidP="004D7D95">
      <w:pPr>
        <w:jc w:val="both"/>
        <w:rPr>
          <w:lang w:val="fr-CA"/>
        </w:rPr>
      </w:pPr>
    </w:p>
    <w:p w:rsidR="004D7D95" w:rsidRPr="00AA69F2" w:rsidRDefault="004D7D95" w:rsidP="004D7D95">
      <w:pPr>
        <w:jc w:val="both"/>
        <w:rPr>
          <w:lang w:val="fr-CA"/>
        </w:rPr>
      </w:pPr>
    </w:p>
    <w:p w:rsidR="004D7D95" w:rsidRPr="00AA69F2" w:rsidRDefault="00D17B0E" w:rsidP="004D7D95">
      <w:pPr>
        <w:pStyle w:val="SCCSystemYear"/>
        <w:jc w:val="both"/>
        <w:rPr>
          <w:lang w:val="fr-CA"/>
        </w:rPr>
      </w:pPr>
      <w:r w:rsidRPr="00AA69F2">
        <w:rPr>
          <w:lang w:val="fr-CA"/>
        </w:rPr>
        <w:t>2017</w:t>
      </w:r>
      <w:r w:rsidR="004D7D95" w:rsidRPr="00AA69F2">
        <w:rPr>
          <w:lang w:val="fr-CA"/>
        </w:rPr>
        <w:t xml:space="preserve"> CSC </w:t>
      </w:r>
      <w:r w:rsidR="00F21C99" w:rsidRPr="00F21C99">
        <w:rPr>
          <w:lang w:val="fr-CA"/>
        </w:rPr>
        <w:t>1</w:t>
      </w:r>
      <w:r w:rsidR="00F21C99">
        <w:rPr>
          <w:lang w:val="fr-CA"/>
        </w:rPr>
        <w:t>3</w:t>
      </w:r>
    </w:p>
    <w:p w:rsidR="004D7D95" w:rsidRPr="00AA69F2" w:rsidRDefault="004D7D95" w:rsidP="004D7D95">
      <w:pPr>
        <w:jc w:val="both"/>
        <w:rPr>
          <w:lang w:val="fr-CA"/>
        </w:rPr>
      </w:pPr>
    </w:p>
    <w:p w:rsidR="004D7D95" w:rsidRPr="00AA69F2" w:rsidRDefault="004D7D95" w:rsidP="004D7D95">
      <w:pPr>
        <w:jc w:val="both"/>
        <w:rPr>
          <w:lang w:val="fr-CA"/>
        </w:rPr>
      </w:pPr>
    </w:p>
    <w:p w:rsidR="004D7D95" w:rsidRPr="00AA69F2" w:rsidRDefault="004D7D95" w:rsidP="004D7D95">
      <w:pPr>
        <w:jc w:val="both"/>
        <w:rPr>
          <w:lang w:val="fr-CA"/>
        </w:rPr>
      </w:pPr>
    </w:p>
    <w:p w:rsidR="004D7D95" w:rsidRPr="00AA69F2" w:rsidRDefault="004D7D95" w:rsidP="004D7D95">
      <w:pPr>
        <w:jc w:val="both"/>
        <w:rPr>
          <w:lang w:val="fr-CA"/>
        </w:rPr>
      </w:pPr>
      <w:r w:rsidRPr="00AA69F2">
        <w:rPr>
          <w:lang w:val="fr-CA"/>
        </w:rPr>
        <w:t>N</w:t>
      </w:r>
      <w:r w:rsidRPr="00AA69F2">
        <w:rPr>
          <w:vertAlign w:val="superscript"/>
          <w:lang w:val="fr-CA"/>
        </w:rPr>
        <w:t>o</w:t>
      </w:r>
      <w:r w:rsidRPr="00AA69F2">
        <w:rPr>
          <w:lang w:val="fr-CA"/>
        </w:rPr>
        <w:t xml:space="preserve"> du greffe : 36865.</w:t>
      </w:r>
    </w:p>
    <w:p w:rsidR="004D7D95" w:rsidRPr="00AA69F2" w:rsidRDefault="004D7D95" w:rsidP="004D7D95">
      <w:pPr>
        <w:jc w:val="both"/>
        <w:rPr>
          <w:lang w:val="fr-CA"/>
        </w:rPr>
      </w:pPr>
    </w:p>
    <w:p w:rsidR="004D7D95" w:rsidRPr="00AA69F2" w:rsidRDefault="004D7D95" w:rsidP="004D7D95">
      <w:pPr>
        <w:jc w:val="both"/>
        <w:rPr>
          <w:lang w:val="fr-CA"/>
        </w:rPr>
      </w:pPr>
    </w:p>
    <w:p w:rsidR="004D7D95" w:rsidRPr="00AA69F2" w:rsidRDefault="004D7D95" w:rsidP="004D7D95">
      <w:pPr>
        <w:jc w:val="both"/>
        <w:rPr>
          <w:lang w:val="fr-CA"/>
        </w:rPr>
      </w:pPr>
    </w:p>
    <w:p w:rsidR="004D7D95" w:rsidRPr="00AA69F2" w:rsidRDefault="00EC14DB" w:rsidP="004D7D95">
      <w:pPr>
        <w:jc w:val="both"/>
        <w:rPr>
          <w:lang w:val="fr-CA"/>
        </w:rPr>
      </w:pPr>
      <w:r>
        <w:rPr>
          <w:lang w:val="fr-CA"/>
        </w:rPr>
        <w:t>2017 </w:t>
      </w:r>
      <w:r w:rsidR="00D17B0E" w:rsidRPr="00AA69F2">
        <w:rPr>
          <w:lang w:val="fr-CA"/>
        </w:rPr>
        <w:t>: 14 février</w:t>
      </w:r>
      <w:r w:rsidR="004D7D95" w:rsidRPr="00AA69F2">
        <w:rPr>
          <w:lang w:val="fr-CA"/>
        </w:rPr>
        <w:t xml:space="preserve">; </w:t>
      </w:r>
      <w:r w:rsidR="00F21C99">
        <w:rPr>
          <w:lang w:val="fr-CA"/>
        </w:rPr>
        <w:t>2017 : 24 février</w:t>
      </w:r>
      <w:r w:rsidR="004D7D95" w:rsidRPr="00AA69F2">
        <w:rPr>
          <w:lang w:val="fr-CA"/>
        </w:rPr>
        <w:t>.</w:t>
      </w:r>
    </w:p>
    <w:p w:rsidR="004D7D95" w:rsidRPr="00AA69F2" w:rsidRDefault="004D7D95" w:rsidP="004D7D95">
      <w:pPr>
        <w:jc w:val="both"/>
        <w:rPr>
          <w:lang w:val="fr-CA"/>
        </w:rPr>
      </w:pPr>
    </w:p>
    <w:p w:rsidR="004D7D95" w:rsidRPr="00AA69F2" w:rsidRDefault="004D7D95" w:rsidP="004D7D95">
      <w:pPr>
        <w:jc w:val="both"/>
        <w:rPr>
          <w:lang w:val="fr-CA"/>
        </w:rPr>
      </w:pPr>
    </w:p>
    <w:p w:rsidR="004D7D95" w:rsidRPr="00AA69F2" w:rsidRDefault="004D7D95" w:rsidP="004D7D95">
      <w:pPr>
        <w:jc w:val="both"/>
        <w:rPr>
          <w:lang w:val="fr-CA"/>
        </w:rPr>
      </w:pPr>
    </w:p>
    <w:p w:rsidR="004D7D95" w:rsidRPr="00AA69F2" w:rsidRDefault="004D7D95" w:rsidP="00682C08">
      <w:pPr>
        <w:rPr>
          <w:lang w:val="fr-CA"/>
        </w:rPr>
      </w:pPr>
      <w:r w:rsidRPr="00AA69F2">
        <w:rPr>
          <w:lang w:val="fr-CA"/>
        </w:rPr>
        <w:t>Présents : La juge en chef McLachlin et les juges Abella, Moldaver, Karakatsanis, Wagner, Gascon, Côté, Brown et Rowe.</w:t>
      </w:r>
    </w:p>
    <w:p w:rsidR="00BF6FE9" w:rsidRPr="00AA69F2" w:rsidRDefault="00BF6FE9" w:rsidP="004777C0">
      <w:pPr>
        <w:spacing w:line="480" w:lineRule="auto"/>
        <w:jc w:val="both"/>
        <w:rPr>
          <w:lang w:val="fr-CA"/>
        </w:rPr>
      </w:pPr>
    </w:p>
    <w:p w:rsidR="004D7D95" w:rsidRPr="00EC14DB" w:rsidRDefault="004D7D95" w:rsidP="004777C0">
      <w:pPr>
        <w:spacing w:line="480" w:lineRule="auto"/>
        <w:jc w:val="both"/>
        <w:rPr>
          <w:smallCaps/>
          <w:lang w:val="fr-CA"/>
        </w:rPr>
      </w:pPr>
      <w:r w:rsidRPr="00EC14DB">
        <w:rPr>
          <w:smallCaps/>
          <w:lang w:val="fr-CA"/>
        </w:rPr>
        <w:t>en appel de la cour d</w:t>
      </w:r>
      <w:r w:rsidR="00727B2F" w:rsidRPr="00EC14DB">
        <w:rPr>
          <w:smallCaps/>
          <w:lang w:val="fr-CA"/>
        </w:rPr>
        <w:t>’</w:t>
      </w:r>
      <w:r w:rsidRPr="00EC14DB">
        <w:rPr>
          <w:smallCaps/>
          <w:lang w:val="fr-CA"/>
        </w:rPr>
        <w:t xml:space="preserve">appel de </w:t>
      </w:r>
      <w:proofErr w:type="spellStart"/>
      <w:r w:rsidRPr="00EC14DB">
        <w:rPr>
          <w:smallCaps/>
          <w:lang w:val="fr-CA"/>
        </w:rPr>
        <w:t>l</w:t>
      </w:r>
      <w:r w:rsidR="00727B2F" w:rsidRPr="00EC14DB">
        <w:rPr>
          <w:smallCaps/>
          <w:lang w:val="fr-CA"/>
        </w:rPr>
        <w:t>’</w:t>
      </w:r>
      <w:r w:rsidR="00EC14DB" w:rsidRPr="00EC14DB">
        <w:rPr>
          <w:smallCaps/>
          <w:lang w:val="fr-CA"/>
        </w:rPr>
        <w:t>alberta</w:t>
      </w:r>
      <w:proofErr w:type="spellEnd"/>
    </w:p>
    <w:p w:rsidR="004D7D95" w:rsidRPr="00BB4C92" w:rsidRDefault="004D7D95" w:rsidP="004777C0">
      <w:pPr>
        <w:pStyle w:val="SCCNormalDoubleSpacing"/>
        <w:rPr>
          <w:lang w:val="fr-CA"/>
        </w:rPr>
      </w:pPr>
    </w:p>
    <w:p w:rsidR="002116A6" w:rsidRPr="00555AC7" w:rsidRDefault="004D7D95" w:rsidP="002116A6">
      <w:pPr>
        <w:pStyle w:val="SCCNormalDoubleSpacing"/>
        <w:rPr>
          <w:i/>
          <w:lang w:val="fr-CA"/>
        </w:rPr>
      </w:pPr>
      <w:r w:rsidRPr="00BB4C92">
        <w:rPr>
          <w:lang w:val="fr-CA"/>
        </w:rPr>
        <w:tab/>
      </w:r>
      <w:r w:rsidR="00682C08">
        <w:rPr>
          <w:i/>
          <w:lang w:val="fr-CA"/>
        </w:rPr>
        <w:t>Droit constitutionnel — Charte des droits —</w:t>
      </w:r>
      <w:r w:rsidR="002116A6" w:rsidRPr="00555AC7">
        <w:rPr>
          <w:i/>
          <w:lang w:val="fr-CA"/>
        </w:rPr>
        <w:t xml:space="preserve"> </w:t>
      </w:r>
      <w:r w:rsidR="00555AC7" w:rsidRPr="00555AC7">
        <w:rPr>
          <w:i/>
          <w:lang w:val="fr-CA"/>
        </w:rPr>
        <w:t>Valeurs mobilières</w:t>
      </w:r>
      <w:r w:rsidR="00682C08">
        <w:rPr>
          <w:i/>
          <w:lang w:val="fr-CA"/>
        </w:rPr>
        <w:t xml:space="preserve"> —</w:t>
      </w:r>
      <w:r w:rsidR="002116A6" w:rsidRPr="00555AC7">
        <w:rPr>
          <w:i/>
          <w:lang w:val="fr-CA"/>
        </w:rPr>
        <w:t xml:space="preserve"> </w:t>
      </w:r>
      <w:r w:rsidR="00555AC7" w:rsidRPr="00555AC7">
        <w:rPr>
          <w:i/>
          <w:lang w:val="fr-CA"/>
        </w:rPr>
        <w:t>Infractions</w:t>
      </w:r>
      <w:r w:rsidR="00682C08">
        <w:rPr>
          <w:i/>
          <w:lang w:val="fr-CA"/>
        </w:rPr>
        <w:t xml:space="preserve"> — Droit à un procès avec jury —</w:t>
      </w:r>
      <w:r w:rsidR="002116A6" w:rsidRPr="00555AC7">
        <w:rPr>
          <w:i/>
          <w:lang w:val="fr-CA"/>
        </w:rPr>
        <w:t xml:space="preserve"> Accus</w:t>
      </w:r>
      <w:r w:rsidR="00555AC7" w:rsidRPr="00555AC7">
        <w:rPr>
          <w:i/>
          <w:lang w:val="fr-CA"/>
        </w:rPr>
        <w:t xml:space="preserve">é inculpé d’infractions à la </w:t>
      </w:r>
      <w:r w:rsidR="003E62EB" w:rsidRPr="007A56A7">
        <w:rPr>
          <w:i/>
          <w:lang w:val="fr-CA"/>
        </w:rPr>
        <w:t>loi sur les valeurs mobilières</w:t>
      </w:r>
      <w:r w:rsidR="00555AC7" w:rsidRPr="00555AC7">
        <w:rPr>
          <w:i/>
          <w:lang w:val="fr-CA"/>
        </w:rPr>
        <w:t xml:space="preserve"> de l’Alberta</w:t>
      </w:r>
      <w:r w:rsidR="002116A6" w:rsidRPr="00555AC7">
        <w:rPr>
          <w:i/>
          <w:lang w:val="fr-CA"/>
        </w:rPr>
        <w:t xml:space="preserve">, </w:t>
      </w:r>
      <w:r w:rsidR="003E62EB">
        <w:rPr>
          <w:i/>
          <w:lang w:val="fr-CA"/>
        </w:rPr>
        <w:t xml:space="preserve">qui </w:t>
      </w:r>
      <w:r w:rsidR="00555AC7" w:rsidRPr="00555AC7">
        <w:rPr>
          <w:i/>
          <w:lang w:val="fr-CA"/>
        </w:rPr>
        <w:t>prévoit une peine d’emprisonnement maximale de cinq ans moins un jour ou une amende d’au plus cinq millions de dollars</w:t>
      </w:r>
      <w:r w:rsidR="009C2918">
        <w:rPr>
          <w:i/>
          <w:lang w:val="fr-CA"/>
        </w:rPr>
        <w:t>,</w:t>
      </w:r>
      <w:r w:rsidR="00555AC7" w:rsidRPr="00555AC7">
        <w:rPr>
          <w:i/>
          <w:lang w:val="fr-CA"/>
        </w:rPr>
        <w:t xml:space="preserve"> ou les deux</w:t>
      </w:r>
      <w:r w:rsidR="00682C08">
        <w:rPr>
          <w:i/>
          <w:lang w:val="fr-CA"/>
        </w:rPr>
        <w:t xml:space="preserve"> —</w:t>
      </w:r>
      <w:r w:rsidR="002116A6" w:rsidRPr="00555AC7">
        <w:rPr>
          <w:i/>
          <w:lang w:val="fr-CA"/>
        </w:rPr>
        <w:t xml:space="preserve"> </w:t>
      </w:r>
      <w:r w:rsidR="003E62EB" w:rsidRPr="009448B0">
        <w:rPr>
          <w:i/>
          <w:lang w:val="fr-CA"/>
        </w:rPr>
        <w:t xml:space="preserve">Demande </w:t>
      </w:r>
      <w:r w:rsidR="003E62EB">
        <w:rPr>
          <w:i/>
          <w:lang w:val="fr-CA"/>
        </w:rPr>
        <w:t xml:space="preserve">de </w:t>
      </w:r>
      <w:r w:rsidR="003E62EB" w:rsidRPr="009448B0">
        <w:rPr>
          <w:i/>
          <w:lang w:val="fr-CA"/>
        </w:rPr>
        <w:t xml:space="preserve">l’accusé </w:t>
      </w:r>
      <w:r w:rsidR="003E62EB">
        <w:rPr>
          <w:i/>
          <w:lang w:val="fr-CA"/>
        </w:rPr>
        <w:t xml:space="preserve">en vue d’obtenir une </w:t>
      </w:r>
      <w:r w:rsidR="003E62EB" w:rsidRPr="009448B0">
        <w:rPr>
          <w:i/>
          <w:lang w:val="fr-CA"/>
        </w:rPr>
        <w:t xml:space="preserve">décision </w:t>
      </w:r>
      <w:r w:rsidR="003E62EB">
        <w:rPr>
          <w:i/>
          <w:lang w:val="fr-CA"/>
        </w:rPr>
        <w:t xml:space="preserve">statuant </w:t>
      </w:r>
      <w:r w:rsidR="003E62EB" w:rsidRPr="009448B0">
        <w:rPr>
          <w:i/>
          <w:lang w:val="fr-CA"/>
        </w:rPr>
        <w:t>que la peine maximale met en jeu son droit constitutionnel à un procès avec jury</w:t>
      </w:r>
      <w:r w:rsidR="007A56A7">
        <w:rPr>
          <w:i/>
          <w:lang w:val="fr-CA"/>
        </w:rPr>
        <w:t xml:space="preserve"> </w:t>
      </w:r>
      <w:r w:rsidR="004747F1">
        <w:rPr>
          <w:i/>
          <w:lang w:val="fr-CA"/>
        </w:rPr>
        <w:t>prévu par</w:t>
      </w:r>
      <w:r w:rsidR="00682C08">
        <w:rPr>
          <w:i/>
          <w:lang w:val="fr-CA"/>
        </w:rPr>
        <w:t xml:space="preserve"> l’art</w:t>
      </w:r>
      <w:r w:rsidR="007A56A7">
        <w:rPr>
          <w:i/>
          <w:lang w:val="fr-CA"/>
        </w:rPr>
        <w:t>. 11f) de la Charte canadienne des droits et libertés</w:t>
      </w:r>
      <w:r w:rsidR="003E62EB" w:rsidRPr="00555AC7">
        <w:rPr>
          <w:i/>
          <w:lang w:val="fr-CA"/>
        </w:rPr>
        <w:t xml:space="preserve"> </w:t>
      </w:r>
      <w:r w:rsidR="00682C08">
        <w:rPr>
          <w:i/>
          <w:lang w:val="fr-CA"/>
        </w:rPr>
        <w:t>—</w:t>
      </w:r>
      <w:r w:rsidR="002116A6" w:rsidRPr="00555AC7">
        <w:rPr>
          <w:i/>
          <w:lang w:val="fr-CA"/>
        </w:rPr>
        <w:t xml:space="preserve"> </w:t>
      </w:r>
      <w:r w:rsidR="003E62EB">
        <w:rPr>
          <w:i/>
          <w:lang w:val="fr-CA"/>
        </w:rPr>
        <w:t xml:space="preserve">Décision du </w:t>
      </w:r>
      <w:r w:rsidR="00F9637C">
        <w:rPr>
          <w:i/>
          <w:lang w:val="fr-CA"/>
        </w:rPr>
        <w:t xml:space="preserve">juge de la Cour provinciale </w:t>
      </w:r>
      <w:r w:rsidR="003E62EB">
        <w:rPr>
          <w:i/>
          <w:lang w:val="fr-CA"/>
        </w:rPr>
        <w:t xml:space="preserve">concluant </w:t>
      </w:r>
      <w:r w:rsidR="00F9637C">
        <w:rPr>
          <w:i/>
          <w:lang w:val="fr-CA"/>
        </w:rPr>
        <w:t>que l’accusé a droit à un procès avec jury et transf</w:t>
      </w:r>
      <w:r w:rsidR="003E62EB">
        <w:rPr>
          <w:i/>
          <w:lang w:val="fr-CA"/>
        </w:rPr>
        <w:t xml:space="preserve">érant </w:t>
      </w:r>
      <w:r w:rsidR="00F9637C">
        <w:rPr>
          <w:i/>
          <w:lang w:val="fr-CA"/>
        </w:rPr>
        <w:t xml:space="preserve">l’affaire pour instruction devant la Cour du Banc de la Reine </w:t>
      </w:r>
      <w:r w:rsidR="00682C08">
        <w:rPr>
          <w:i/>
          <w:lang w:val="fr-CA"/>
        </w:rPr>
        <w:t>—</w:t>
      </w:r>
      <w:r w:rsidR="002116A6" w:rsidRPr="00555AC7">
        <w:rPr>
          <w:i/>
          <w:lang w:val="fr-CA"/>
        </w:rPr>
        <w:t xml:space="preserve"> </w:t>
      </w:r>
      <w:r w:rsidR="00F9637C">
        <w:rPr>
          <w:i/>
          <w:lang w:val="fr-CA"/>
        </w:rPr>
        <w:t>Dé</w:t>
      </w:r>
      <w:r w:rsidR="003E62EB">
        <w:rPr>
          <w:i/>
          <w:lang w:val="fr-CA"/>
        </w:rPr>
        <w:t xml:space="preserve">cision à l’effet contraire </w:t>
      </w:r>
      <w:r w:rsidR="00F9637C">
        <w:rPr>
          <w:i/>
          <w:lang w:val="fr-CA"/>
        </w:rPr>
        <w:t>d</w:t>
      </w:r>
      <w:r w:rsidR="00A839BF">
        <w:rPr>
          <w:i/>
          <w:lang w:val="fr-CA"/>
        </w:rPr>
        <w:t>e la</w:t>
      </w:r>
      <w:r w:rsidR="00F9637C">
        <w:rPr>
          <w:i/>
          <w:lang w:val="fr-CA"/>
        </w:rPr>
        <w:t xml:space="preserve"> juge</w:t>
      </w:r>
      <w:r w:rsidR="009C2918">
        <w:rPr>
          <w:i/>
          <w:lang w:val="fr-CA"/>
        </w:rPr>
        <w:t xml:space="preserve"> chargé</w:t>
      </w:r>
      <w:r w:rsidR="00A839BF">
        <w:rPr>
          <w:i/>
          <w:lang w:val="fr-CA"/>
        </w:rPr>
        <w:t>e</w:t>
      </w:r>
      <w:r w:rsidR="009C2918">
        <w:rPr>
          <w:i/>
          <w:lang w:val="fr-CA"/>
        </w:rPr>
        <w:t xml:space="preserve"> du contrôle</w:t>
      </w:r>
      <w:r w:rsidR="00F9637C">
        <w:rPr>
          <w:i/>
          <w:lang w:val="fr-CA"/>
        </w:rPr>
        <w:t xml:space="preserve"> et renvoi </w:t>
      </w:r>
      <w:r w:rsidR="003E62EB">
        <w:rPr>
          <w:i/>
          <w:lang w:val="fr-CA"/>
        </w:rPr>
        <w:t xml:space="preserve">par celle-ci </w:t>
      </w:r>
      <w:r w:rsidR="00F9637C">
        <w:rPr>
          <w:i/>
          <w:lang w:val="fr-CA"/>
        </w:rPr>
        <w:t xml:space="preserve">de l’affaire à la Cour provinciale </w:t>
      </w:r>
      <w:r w:rsidR="00682C08">
        <w:rPr>
          <w:i/>
          <w:lang w:val="fr-CA"/>
        </w:rPr>
        <w:t xml:space="preserve">— </w:t>
      </w:r>
      <w:r w:rsidR="003E62EB">
        <w:rPr>
          <w:i/>
          <w:lang w:val="fr-CA"/>
        </w:rPr>
        <w:t xml:space="preserve">Conclusion de </w:t>
      </w:r>
      <w:r w:rsidR="00682C08">
        <w:rPr>
          <w:i/>
          <w:lang w:val="fr-CA"/>
        </w:rPr>
        <w:t>la Cour d’appel portant que l’art</w:t>
      </w:r>
      <w:r w:rsidR="003E62EB">
        <w:rPr>
          <w:i/>
          <w:lang w:val="fr-CA"/>
        </w:rPr>
        <w:t xml:space="preserve">. </w:t>
      </w:r>
      <w:r w:rsidR="003E62EB" w:rsidRPr="009448B0">
        <w:rPr>
          <w:i/>
          <w:lang w:val="fr-CA"/>
        </w:rPr>
        <w:t xml:space="preserve">11f) </w:t>
      </w:r>
      <w:r w:rsidR="003E62EB">
        <w:rPr>
          <w:i/>
          <w:lang w:val="fr-CA"/>
        </w:rPr>
        <w:t xml:space="preserve">de la </w:t>
      </w:r>
      <w:r w:rsidR="003E62EB" w:rsidRPr="009448B0">
        <w:rPr>
          <w:i/>
          <w:lang w:val="fr-CA"/>
        </w:rPr>
        <w:t>Charte</w:t>
      </w:r>
      <w:r w:rsidR="003E62EB">
        <w:rPr>
          <w:i/>
          <w:lang w:val="fr-CA"/>
        </w:rPr>
        <w:t xml:space="preserve"> doit être considéré comme visant principalement la privation de </w:t>
      </w:r>
      <w:r w:rsidR="003E62EB" w:rsidRPr="009448B0">
        <w:rPr>
          <w:i/>
          <w:lang w:val="fr-CA"/>
        </w:rPr>
        <w:t>libert</w:t>
      </w:r>
      <w:r w:rsidR="003E62EB">
        <w:rPr>
          <w:i/>
          <w:lang w:val="fr-CA"/>
        </w:rPr>
        <w:t>é découlant de la peine d’emprisonnement maximale</w:t>
      </w:r>
      <w:r w:rsidR="003E62EB" w:rsidRPr="009448B0">
        <w:rPr>
          <w:i/>
          <w:lang w:val="fr-CA"/>
        </w:rPr>
        <w:t xml:space="preserve"> </w:t>
      </w:r>
      <w:r w:rsidR="003E62EB">
        <w:rPr>
          <w:i/>
          <w:lang w:val="fr-CA"/>
        </w:rPr>
        <w:t>prévue par un texte de loi et qu’un emprisonnement de cinq ans moins un jour ne devient pas une « peine plus grave » du seul fait que s’</w:t>
      </w:r>
      <w:r w:rsidR="007A56A7">
        <w:rPr>
          <w:i/>
          <w:lang w:val="fr-CA"/>
        </w:rPr>
        <w:t xml:space="preserve">y </w:t>
      </w:r>
      <w:r w:rsidR="003E62EB">
        <w:rPr>
          <w:i/>
          <w:lang w:val="fr-CA"/>
        </w:rPr>
        <w:t>ajoute le risque d’une amende ou autre sanction pécuniaire</w:t>
      </w:r>
      <w:r w:rsidR="002116A6" w:rsidRPr="00555AC7">
        <w:rPr>
          <w:i/>
          <w:lang w:val="fr-CA"/>
        </w:rPr>
        <w:t xml:space="preserve"> </w:t>
      </w:r>
      <w:r w:rsidR="00682C08">
        <w:rPr>
          <w:i/>
          <w:lang w:val="fr-CA"/>
        </w:rPr>
        <w:t>—</w:t>
      </w:r>
      <w:r w:rsidR="002116A6" w:rsidRPr="007A56A7">
        <w:rPr>
          <w:i/>
          <w:lang w:val="fr-CA"/>
        </w:rPr>
        <w:t xml:space="preserve"> </w:t>
      </w:r>
      <w:r w:rsidR="00395532" w:rsidRPr="007A56A7">
        <w:rPr>
          <w:i/>
          <w:lang w:val="fr-CA"/>
        </w:rPr>
        <w:t>Droit à un procès avec jury refusé à l’accusé</w:t>
      </w:r>
      <w:r w:rsidR="007A56A7" w:rsidRPr="007A56A7">
        <w:rPr>
          <w:i/>
          <w:lang w:val="fr-CA"/>
        </w:rPr>
        <w:t xml:space="preserve"> </w:t>
      </w:r>
      <w:r w:rsidR="00682C08">
        <w:rPr>
          <w:i/>
          <w:lang w:val="fr-CA"/>
        </w:rPr>
        <w:t>—</w:t>
      </w:r>
      <w:r w:rsidR="002116A6" w:rsidRPr="00555AC7">
        <w:rPr>
          <w:i/>
          <w:lang w:val="fr-CA"/>
        </w:rPr>
        <w:t xml:space="preserve"> Securities </w:t>
      </w:r>
      <w:proofErr w:type="spellStart"/>
      <w:r w:rsidR="002116A6" w:rsidRPr="00555AC7">
        <w:rPr>
          <w:i/>
          <w:lang w:val="fr-CA"/>
        </w:rPr>
        <w:t>Act</w:t>
      </w:r>
      <w:proofErr w:type="spellEnd"/>
      <w:r w:rsidR="002116A6" w:rsidRPr="00555AC7">
        <w:rPr>
          <w:i/>
          <w:lang w:val="fr-CA"/>
        </w:rPr>
        <w:t xml:space="preserve">, R.S.A. 2000, c. S-4, </w:t>
      </w:r>
      <w:r w:rsidR="00555AC7" w:rsidRPr="00555AC7">
        <w:rPr>
          <w:i/>
          <w:lang w:val="fr-CA"/>
        </w:rPr>
        <w:t>art</w:t>
      </w:r>
      <w:r w:rsidR="002116A6" w:rsidRPr="00555AC7">
        <w:rPr>
          <w:i/>
          <w:lang w:val="fr-CA"/>
        </w:rPr>
        <w:t>. 194.</w:t>
      </w:r>
    </w:p>
    <w:p w:rsidR="004D7D95" w:rsidRPr="00555AC7" w:rsidRDefault="002116A6" w:rsidP="002116A6">
      <w:pPr>
        <w:pStyle w:val="SCCNormalDoubleSpacing"/>
        <w:rPr>
          <w:lang w:val="fr-CA"/>
        </w:rPr>
      </w:pPr>
      <w:r w:rsidRPr="00555AC7">
        <w:rPr>
          <w:lang w:val="fr-CA"/>
        </w:rPr>
        <w:t xml:space="preserve"> </w:t>
      </w:r>
    </w:p>
    <w:p w:rsidR="004D7D95" w:rsidRPr="000B79A7" w:rsidRDefault="004D7D95" w:rsidP="004777C0">
      <w:pPr>
        <w:pStyle w:val="SCCNormalDoubleSpacing"/>
        <w:rPr>
          <w:lang w:val="fr-CA"/>
        </w:rPr>
      </w:pPr>
      <w:r w:rsidRPr="00555AC7">
        <w:rPr>
          <w:lang w:val="fr-CA"/>
        </w:rPr>
        <w:tab/>
      </w:r>
      <w:r w:rsidRPr="004D7D95">
        <w:rPr>
          <w:lang w:val="fr-CA"/>
        </w:rPr>
        <w:t xml:space="preserve">POURVOI contre un arrêt de la </w:t>
      </w:r>
      <w:r w:rsidRPr="00AA69F2">
        <w:rPr>
          <w:lang w:val="fr-CA"/>
        </w:rPr>
        <w:t>Cour d</w:t>
      </w:r>
      <w:r w:rsidR="00727B2F">
        <w:rPr>
          <w:lang w:val="fr-CA"/>
        </w:rPr>
        <w:t>’</w:t>
      </w:r>
      <w:r w:rsidRPr="00AA69F2">
        <w:rPr>
          <w:lang w:val="fr-CA"/>
        </w:rPr>
        <w:t>appel de l</w:t>
      </w:r>
      <w:r w:rsidR="00727B2F">
        <w:rPr>
          <w:lang w:val="fr-CA"/>
        </w:rPr>
        <w:t>’</w:t>
      </w:r>
      <w:r w:rsidRPr="00AA69F2">
        <w:rPr>
          <w:lang w:val="fr-CA"/>
        </w:rPr>
        <w:t>Alberta (</w:t>
      </w:r>
      <w:r w:rsidR="00EC14DB">
        <w:rPr>
          <w:lang w:val="fr-CA"/>
        </w:rPr>
        <w:t xml:space="preserve">les juges </w:t>
      </w:r>
      <w:r w:rsidR="00F733F9">
        <w:rPr>
          <w:lang w:val="fr-CA"/>
        </w:rPr>
        <w:t xml:space="preserve">Berger, </w:t>
      </w:r>
      <w:proofErr w:type="spellStart"/>
      <w:r w:rsidR="00F733F9">
        <w:rPr>
          <w:lang w:val="fr-CA"/>
        </w:rPr>
        <w:t>Slatter</w:t>
      </w:r>
      <w:proofErr w:type="spellEnd"/>
      <w:r w:rsidR="00F733F9">
        <w:rPr>
          <w:lang w:val="fr-CA"/>
        </w:rPr>
        <w:t xml:space="preserve"> et </w:t>
      </w:r>
      <w:proofErr w:type="spellStart"/>
      <w:r w:rsidR="00F733F9">
        <w:rPr>
          <w:lang w:val="fr-CA"/>
        </w:rPr>
        <w:t>O’Ferrall</w:t>
      </w:r>
      <w:proofErr w:type="spellEnd"/>
      <w:r w:rsidRPr="00AA69F2">
        <w:rPr>
          <w:lang w:val="fr-CA"/>
        </w:rPr>
        <w:t>)</w:t>
      </w:r>
      <w:r w:rsidR="00F733F9">
        <w:rPr>
          <w:lang w:val="fr-CA"/>
        </w:rPr>
        <w:t xml:space="preserve">, </w:t>
      </w:r>
      <w:r w:rsidR="001A33EA" w:rsidRPr="001A33EA">
        <w:rPr>
          <w:lang w:val="fr-CA"/>
        </w:rPr>
        <w:t>2015 ABCA 407, 609 A.R. 352,</w:t>
      </w:r>
      <w:r w:rsidR="00682C08" w:rsidRPr="00682C08">
        <w:rPr>
          <w:lang w:val="fr-CA"/>
        </w:rPr>
        <w:t xml:space="preserve"> </w:t>
      </w:r>
      <w:r w:rsidR="00682C08" w:rsidRPr="001A33EA">
        <w:rPr>
          <w:lang w:val="fr-CA"/>
        </w:rPr>
        <w:t xml:space="preserve">656 W.A.C. 352, </w:t>
      </w:r>
      <w:r w:rsidR="001A33EA" w:rsidRPr="001A33EA">
        <w:rPr>
          <w:lang w:val="fr-CA"/>
        </w:rPr>
        <w:t xml:space="preserve">32 Alta. L.R. (6th) 304, 330 C.C.C. (3d) 175, [2016] 3 W.W.R. 464, [2015] A.J. No. 1413 (QL), 2015 CarswellAlta 2332 (WL Can.), </w:t>
      </w:r>
      <w:r w:rsidR="00400CDA" w:rsidRPr="007A56A7">
        <w:rPr>
          <w:lang w:val="fr-CA"/>
        </w:rPr>
        <w:t>qui a confirmé</w:t>
      </w:r>
      <w:r w:rsidR="001A33EA" w:rsidRPr="007A56A7">
        <w:rPr>
          <w:lang w:val="fr-CA"/>
        </w:rPr>
        <w:t xml:space="preserve"> une décision de la juge Topolniski</w:t>
      </w:r>
      <w:r w:rsidR="001A33EA" w:rsidRPr="001A33EA">
        <w:rPr>
          <w:lang w:val="fr-CA"/>
        </w:rPr>
        <w:t>, 2015 ABQB 129, 605 A.R. 283, 18 Alta. L.R. (6th) 396, 329 C.R.R. (2d) 299, [2015] 9 W.W.R. 514, [2015] A.J. No. 207 (QL), 2015 CarswellAlta 296 (WL Can.)</w:t>
      </w:r>
      <w:r w:rsidR="000B79A7">
        <w:rPr>
          <w:lang w:val="fr-CA"/>
        </w:rPr>
        <w:t xml:space="preserve">, </w:t>
      </w:r>
      <w:r w:rsidR="00337B36" w:rsidRPr="007A56A7">
        <w:rPr>
          <w:lang w:val="fr-CA"/>
        </w:rPr>
        <w:t xml:space="preserve">laquelle </w:t>
      </w:r>
      <w:r w:rsidR="004777C0" w:rsidRPr="007A56A7">
        <w:rPr>
          <w:lang w:val="fr-CA"/>
        </w:rPr>
        <w:t>avait accueilli une requête en révision judiciaire de décisions</w:t>
      </w:r>
      <w:r w:rsidR="000B79A7" w:rsidRPr="007A56A7">
        <w:rPr>
          <w:color w:val="FF0000"/>
          <w:lang w:val="fr-CA"/>
        </w:rPr>
        <w:t xml:space="preserve"> </w:t>
      </w:r>
      <w:r w:rsidR="007A56A7">
        <w:rPr>
          <w:lang w:val="fr-CA"/>
        </w:rPr>
        <w:t>de la Cour provinciale (</w:t>
      </w:r>
      <w:r w:rsidR="000B79A7" w:rsidRPr="007A56A7">
        <w:rPr>
          <w:lang w:val="fr-CA"/>
        </w:rPr>
        <w:t>juge Day</w:t>
      </w:r>
      <w:r w:rsidR="007A56A7">
        <w:rPr>
          <w:lang w:val="fr-CA"/>
        </w:rPr>
        <w:t>)</w:t>
      </w:r>
      <w:r w:rsidR="000B79A7">
        <w:rPr>
          <w:lang w:val="fr-CA"/>
        </w:rPr>
        <w:t xml:space="preserve"> </w:t>
      </w:r>
      <w:r w:rsidR="000B79A7" w:rsidRPr="007A56A7">
        <w:rPr>
          <w:lang w:val="fr-CA"/>
        </w:rPr>
        <w:t xml:space="preserve">et renvoyé l’affaire </w:t>
      </w:r>
      <w:r w:rsidR="00BB4609">
        <w:rPr>
          <w:lang w:val="fr-CA"/>
        </w:rPr>
        <w:t>devant cette cour pour procès</w:t>
      </w:r>
      <w:r w:rsidR="001A33EA" w:rsidRPr="001A33EA">
        <w:rPr>
          <w:lang w:val="fr-CA"/>
        </w:rPr>
        <w:t xml:space="preserve">. </w:t>
      </w:r>
      <w:r w:rsidR="001A33EA" w:rsidRPr="000B79A7">
        <w:rPr>
          <w:lang w:val="fr-CA"/>
        </w:rPr>
        <w:t xml:space="preserve">Pourvoi </w:t>
      </w:r>
      <w:r w:rsidR="00F21C99" w:rsidRPr="004777C0">
        <w:rPr>
          <w:lang w:val="fr-CA"/>
        </w:rPr>
        <w:t>rejeté</w:t>
      </w:r>
      <w:r w:rsidR="001A33EA" w:rsidRPr="000B79A7">
        <w:rPr>
          <w:lang w:val="fr-CA"/>
        </w:rPr>
        <w:t>.</w:t>
      </w:r>
    </w:p>
    <w:p w:rsidR="004D7D95" w:rsidRPr="000B79A7" w:rsidRDefault="004D7D95" w:rsidP="004D7D95">
      <w:pPr>
        <w:pStyle w:val="SCCNormalDoubleSpacing"/>
        <w:rPr>
          <w:lang w:val="fr-CA"/>
        </w:rPr>
      </w:pPr>
    </w:p>
    <w:p w:rsidR="00995EC8" w:rsidRPr="002F1697" w:rsidRDefault="00AA7E05">
      <w:pPr>
        <w:pStyle w:val="SCCNormalDoubleSpacing"/>
        <w:rPr>
          <w:lang w:val="fr-CA"/>
        </w:rPr>
      </w:pPr>
      <w:r w:rsidRPr="000B79A7">
        <w:rPr>
          <w:rStyle w:val="SCCCounselNameChar"/>
          <w:lang w:val="fr-CA"/>
        </w:rPr>
        <w:tab/>
      </w:r>
      <w:r w:rsidR="00677DD0" w:rsidRPr="002F1697">
        <w:rPr>
          <w:rStyle w:val="SCCCounselNameChar"/>
          <w:lang w:val="fr-CA"/>
        </w:rPr>
        <w:t xml:space="preserve">Nathan J. </w:t>
      </w:r>
      <w:proofErr w:type="spellStart"/>
      <w:r w:rsidR="00677DD0" w:rsidRPr="002F1697">
        <w:rPr>
          <w:rStyle w:val="SCCCounselNameChar"/>
          <w:lang w:val="fr-CA"/>
        </w:rPr>
        <w:t>Whitling</w:t>
      </w:r>
      <w:proofErr w:type="spellEnd"/>
      <w:r w:rsidR="00677DD0" w:rsidRPr="002F1697">
        <w:rPr>
          <w:rStyle w:val="SCCCounselNameChar"/>
          <w:i w:val="0"/>
          <w:lang w:val="fr-CA"/>
        </w:rPr>
        <w:t>,</w:t>
      </w:r>
      <w:r w:rsidR="00677DD0" w:rsidRPr="002F1697">
        <w:rPr>
          <w:rStyle w:val="SCCCounselSeparatorChar"/>
          <w:lang w:val="fr-CA"/>
        </w:rPr>
        <w:t xml:space="preserve"> </w:t>
      </w:r>
      <w:r w:rsidR="00677DD0" w:rsidRPr="002F1697">
        <w:rPr>
          <w:rStyle w:val="SCCCounselNameChar"/>
          <w:lang w:val="fr-CA"/>
        </w:rPr>
        <w:t>Alex</w:t>
      </w:r>
      <w:r w:rsidR="002F1697" w:rsidRPr="002F1697">
        <w:rPr>
          <w:rStyle w:val="SCCCounselNameChar"/>
          <w:lang w:val="fr-CA"/>
        </w:rPr>
        <w:t>ander</w:t>
      </w:r>
      <w:r w:rsidR="00677DD0" w:rsidRPr="002F1697">
        <w:rPr>
          <w:rStyle w:val="SCCCounselNameChar"/>
          <w:lang w:val="fr-CA"/>
        </w:rPr>
        <w:t xml:space="preserve"> </w:t>
      </w:r>
      <w:proofErr w:type="spellStart"/>
      <w:r w:rsidR="00677DD0" w:rsidRPr="002F1697">
        <w:rPr>
          <w:rStyle w:val="SCCCounselNameChar"/>
          <w:lang w:val="fr-CA"/>
        </w:rPr>
        <w:t>Millman</w:t>
      </w:r>
      <w:proofErr w:type="spellEnd"/>
      <w:r w:rsidR="00677DD0" w:rsidRPr="002F1697">
        <w:rPr>
          <w:rStyle w:val="SCCCounselPartyRoleChar"/>
          <w:lang w:val="fr-CA"/>
        </w:rPr>
        <w:t xml:space="preserve"> </w:t>
      </w:r>
      <w:r w:rsidR="00677DD0" w:rsidRPr="002F1697">
        <w:rPr>
          <w:rStyle w:val="SCCCounselSeparatorChar"/>
          <w:lang w:val="fr-CA"/>
        </w:rPr>
        <w:t xml:space="preserve">et </w:t>
      </w:r>
      <w:r w:rsidR="00677DD0" w:rsidRPr="002F1697">
        <w:rPr>
          <w:rStyle w:val="SCCCounselNameChar"/>
          <w:lang w:val="fr-CA"/>
        </w:rPr>
        <w:t xml:space="preserve">Steven J. </w:t>
      </w:r>
      <w:proofErr w:type="spellStart"/>
      <w:r w:rsidR="00677DD0" w:rsidRPr="002F1697">
        <w:rPr>
          <w:rStyle w:val="SCCCounselNameChar"/>
          <w:lang w:val="fr-CA"/>
        </w:rPr>
        <w:t>Fix</w:t>
      </w:r>
      <w:proofErr w:type="spellEnd"/>
      <w:r w:rsidRPr="002F1697">
        <w:rPr>
          <w:rStyle w:val="SCCCounselPartyRoleChar"/>
          <w:lang w:val="fr-CA"/>
        </w:rPr>
        <w:t>, pour l</w:t>
      </w:r>
      <w:r w:rsidR="00727B2F" w:rsidRPr="002F1697">
        <w:rPr>
          <w:rStyle w:val="SCCCounselPartyRoleChar"/>
          <w:lang w:val="fr-CA"/>
        </w:rPr>
        <w:t>’</w:t>
      </w:r>
      <w:r w:rsidR="00677DD0" w:rsidRPr="002F1697">
        <w:rPr>
          <w:rStyle w:val="SCCCounselPartyRoleChar"/>
          <w:lang w:val="fr-CA"/>
        </w:rPr>
        <w:t>appelant</w:t>
      </w:r>
      <w:r w:rsidRPr="002F1697">
        <w:rPr>
          <w:rStyle w:val="SCCCounselPartyRoleChar"/>
          <w:lang w:val="fr-CA"/>
        </w:rPr>
        <w:t>.</w:t>
      </w:r>
    </w:p>
    <w:p w:rsidR="00995EC8" w:rsidRPr="002F1697" w:rsidRDefault="00995EC8">
      <w:pPr>
        <w:pStyle w:val="SCCNormalDoubleSpacing"/>
        <w:rPr>
          <w:lang w:val="fr-CA"/>
        </w:rPr>
      </w:pPr>
    </w:p>
    <w:p w:rsidR="00995EC8" w:rsidRDefault="00AA7E05">
      <w:pPr>
        <w:pStyle w:val="SCCNormalDoubleSpacing"/>
        <w:rPr>
          <w:rStyle w:val="SCCCounselPartyRoleChar"/>
          <w:lang w:val="fr-CA"/>
        </w:rPr>
      </w:pPr>
      <w:r w:rsidRPr="002F1697">
        <w:rPr>
          <w:rStyle w:val="SCCCounselNameChar"/>
          <w:lang w:val="fr-CA"/>
        </w:rPr>
        <w:tab/>
      </w:r>
      <w:r w:rsidRPr="00AA69F2">
        <w:rPr>
          <w:rStyle w:val="SCCCounselNameChar"/>
          <w:lang w:val="fr-CA"/>
        </w:rPr>
        <w:t>Don Young</w:t>
      </w:r>
      <w:r w:rsidRPr="00AA69F2">
        <w:rPr>
          <w:rStyle w:val="SCCCounselSeparatorChar"/>
          <w:lang w:val="fr-CA"/>
        </w:rPr>
        <w:t xml:space="preserve"> et </w:t>
      </w:r>
      <w:r w:rsidR="00BD7B20">
        <w:rPr>
          <w:rStyle w:val="SCCCounselNameChar"/>
          <w:lang w:val="fr-CA"/>
        </w:rPr>
        <w:t xml:space="preserve">Robert </w:t>
      </w:r>
      <w:proofErr w:type="spellStart"/>
      <w:r w:rsidR="00BD7B20">
        <w:rPr>
          <w:rStyle w:val="SCCCounselNameChar"/>
          <w:lang w:val="fr-CA"/>
        </w:rPr>
        <w:t>Stack</w:t>
      </w:r>
      <w:proofErr w:type="spellEnd"/>
      <w:r w:rsidRPr="00AA69F2">
        <w:rPr>
          <w:rStyle w:val="SCCCounselPartyRoleChar"/>
          <w:lang w:val="fr-CA"/>
        </w:rPr>
        <w:t>, pour l</w:t>
      </w:r>
      <w:r w:rsidR="00727B2F">
        <w:rPr>
          <w:rStyle w:val="SCCCounselPartyRoleChar"/>
          <w:lang w:val="fr-CA"/>
        </w:rPr>
        <w:t>’</w:t>
      </w:r>
      <w:r w:rsidR="00BD7B20">
        <w:rPr>
          <w:rStyle w:val="SCCCounselPartyRoleChar"/>
          <w:lang w:val="fr-CA"/>
        </w:rPr>
        <w:t>intimée</w:t>
      </w:r>
      <w:r w:rsidRPr="00AA69F2">
        <w:rPr>
          <w:rStyle w:val="SCCCounselPartyRoleChar"/>
          <w:lang w:val="fr-CA"/>
        </w:rPr>
        <w:t>.</w:t>
      </w:r>
    </w:p>
    <w:p w:rsidR="003535D6" w:rsidRPr="00AA69F2" w:rsidRDefault="003535D6">
      <w:pPr>
        <w:pStyle w:val="SCCNormalDoubleSpacing"/>
        <w:rPr>
          <w:lang w:val="fr-CA"/>
        </w:rPr>
      </w:pPr>
    </w:p>
    <w:p w:rsidR="00995EC8" w:rsidRDefault="003535D6">
      <w:pPr>
        <w:pStyle w:val="SCCNormalDoubleSpacing"/>
        <w:rPr>
          <w:rStyle w:val="SCCCounselPartyRoleChar"/>
          <w:lang w:val="fr-CA"/>
        </w:rPr>
      </w:pPr>
      <w:r>
        <w:rPr>
          <w:rStyle w:val="SCCCounselNameChar"/>
          <w:lang w:val="fr-CA"/>
        </w:rPr>
        <w:tab/>
      </w:r>
      <w:r w:rsidRPr="00AA69F2">
        <w:rPr>
          <w:rStyle w:val="SCCCounselNameChar"/>
          <w:lang w:val="fr-CA"/>
        </w:rPr>
        <w:t xml:space="preserve">Marianne </w:t>
      </w:r>
      <w:proofErr w:type="spellStart"/>
      <w:r w:rsidRPr="00AA69F2">
        <w:rPr>
          <w:rStyle w:val="SCCCounselNameChar"/>
          <w:lang w:val="fr-CA"/>
        </w:rPr>
        <w:t>Zoric</w:t>
      </w:r>
      <w:proofErr w:type="spellEnd"/>
      <w:r w:rsidRPr="00AA69F2">
        <w:rPr>
          <w:rStyle w:val="SCCCounselSeparatorChar"/>
          <w:lang w:val="fr-CA"/>
        </w:rPr>
        <w:t xml:space="preserve"> et </w:t>
      </w:r>
      <w:proofErr w:type="spellStart"/>
      <w:r w:rsidRPr="00AA69F2">
        <w:rPr>
          <w:rStyle w:val="SCCCounselNameChar"/>
          <w:lang w:val="fr-CA"/>
        </w:rPr>
        <w:t>Jeanette</w:t>
      </w:r>
      <w:proofErr w:type="spellEnd"/>
      <w:r w:rsidRPr="00AA69F2">
        <w:rPr>
          <w:rStyle w:val="SCCCounselNameChar"/>
          <w:lang w:val="fr-CA"/>
        </w:rPr>
        <w:t xml:space="preserve"> </w:t>
      </w:r>
      <w:proofErr w:type="spellStart"/>
      <w:r w:rsidRPr="00AA69F2">
        <w:rPr>
          <w:rStyle w:val="SCCCounselNameChar"/>
          <w:lang w:val="fr-CA"/>
        </w:rPr>
        <w:t>Gevikoglu</w:t>
      </w:r>
      <w:proofErr w:type="spellEnd"/>
      <w:r w:rsidRPr="00AA69F2">
        <w:rPr>
          <w:rStyle w:val="SCCCounselPartyRoleChar"/>
          <w:lang w:val="fr-CA"/>
        </w:rPr>
        <w:t>, pour l</w:t>
      </w:r>
      <w:r>
        <w:rPr>
          <w:rStyle w:val="SCCCounselPartyRoleChar"/>
          <w:lang w:val="fr-CA"/>
        </w:rPr>
        <w:t>’intervenant le p</w:t>
      </w:r>
      <w:r w:rsidRPr="00AA69F2">
        <w:rPr>
          <w:rStyle w:val="SCCCounselPartyRoleChar"/>
          <w:lang w:val="fr-CA"/>
        </w:rPr>
        <w:t>rocureur général du Canada.</w:t>
      </w:r>
    </w:p>
    <w:p w:rsidR="003535D6" w:rsidRDefault="003535D6">
      <w:pPr>
        <w:pStyle w:val="SCCNormalDoubleSpacing"/>
        <w:rPr>
          <w:rStyle w:val="SCCCounselPartyRoleChar"/>
          <w:lang w:val="fr-CA"/>
        </w:rPr>
      </w:pPr>
    </w:p>
    <w:p w:rsidR="003535D6" w:rsidRDefault="003535D6">
      <w:pPr>
        <w:pStyle w:val="SCCNormalDoubleSpacing"/>
        <w:rPr>
          <w:rStyle w:val="SCCCounselPartyRoleChar"/>
          <w:lang w:val="fr-CA"/>
        </w:rPr>
      </w:pPr>
      <w:r>
        <w:rPr>
          <w:rStyle w:val="SCCCounselNameChar"/>
          <w:lang w:val="fr-CA"/>
        </w:rPr>
        <w:tab/>
      </w:r>
      <w:r w:rsidRPr="00AA69F2">
        <w:rPr>
          <w:rStyle w:val="SCCCounselNameChar"/>
          <w:lang w:val="fr-CA"/>
        </w:rPr>
        <w:t xml:space="preserve">Matthew </w:t>
      </w:r>
      <w:proofErr w:type="spellStart"/>
      <w:r w:rsidRPr="00AA69F2">
        <w:rPr>
          <w:rStyle w:val="SCCCounselNameChar"/>
          <w:lang w:val="fr-CA"/>
        </w:rPr>
        <w:t>Horner</w:t>
      </w:r>
      <w:proofErr w:type="spellEnd"/>
      <w:r w:rsidRPr="00AA69F2">
        <w:rPr>
          <w:rStyle w:val="SCCCounselSeparatorChar"/>
          <w:lang w:val="fr-CA"/>
        </w:rPr>
        <w:t xml:space="preserve"> et </w:t>
      </w:r>
      <w:r w:rsidRPr="00AA69F2">
        <w:rPr>
          <w:rStyle w:val="SCCCounselNameChar"/>
          <w:lang w:val="fr-CA"/>
        </w:rPr>
        <w:t>Jennifer Luong</w:t>
      </w:r>
      <w:r w:rsidRPr="00AA69F2">
        <w:rPr>
          <w:rStyle w:val="SCCCounselPartyRoleChar"/>
          <w:lang w:val="fr-CA"/>
        </w:rPr>
        <w:t>, pour l</w:t>
      </w:r>
      <w:r>
        <w:rPr>
          <w:rStyle w:val="SCCCounselPartyRoleChar"/>
          <w:lang w:val="fr-CA"/>
        </w:rPr>
        <w:t>’intervenant le</w:t>
      </w:r>
      <w:r w:rsidRPr="00AA69F2">
        <w:rPr>
          <w:rStyle w:val="SCCCounselPartyRoleChar"/>
          <w:lang w:val="fr-CA"/>
        </w:rPr>
        <w:t xml:space="preserve"> </w:t>
      </w:r>
      <w:r>
        <w:rPr>
          <w:rStyle w:val="SCCCounselPartyRoleChar"/>
          <w:lang w:val="fr-CA"/>
        </w:rPr>
        <w:t>p</w:t>
      </w:r>
      <w:r w:rsidRPr="00AA69F2">
        <w:rPr>
          <w:rStyle w:val="SCCCounselPartyRoleChar"/>
          <w:lang w:val="fr-CA"/>
        </w:rPr>
        <w:t>rocureur général de l</w:t>
      </w:r>
      <w:r>
        <w:rPr>
          <w:rStyle w:val="SCCCounselPartyRoleChar"/>
          <w:lang w:val="fr-CA"/>
        </w:rPr>
        <w:t>’</w:t>
      </w:r>
      <w:r w:rsidRPr="00AA69F2">
        <w:rPr>
          <w:rStyle w:val="SCCCounselPartyRoleChar"/>
          <w:lang w:val="fr-CA"/>
        </w:rPr>
        <w:t>Ontario.</w:t>
      </w:r>
    </w:p>
    <w:p w:rsidR="003535D6" w:rsidRDefault="003535D6">
      <w:pPr>
        <w:pStyle w:val="SCCNormalDoubleSpacing"/>
        <w:rPr>
          <w:rStyle w:val="SCCCounselPartyRoleChar"/>
          <w:lang w:val="fr-CA"/>
        </w:rPr>
      </w:pPr>
    </w:p>
    <w:p w:rsidR="003535D6" w:rsidRDefault="003535D6">
      <w:pPr>
        <w:pStyle w:val="SCCNormalDoubleSpacing"/>
        <w:rPr>
          <w:rStyle w:val="SCCCounselPartyRoleChar"/>
          <w:lang w:val="fr-CA"/>
        </w:rPr>
      </w:pPr>
      <w:r>
        <w:rPr>
          <w:rStyle w:val="SCCCounselNameChar"/>
          <w:lang w:val="fr-CA"/>
        </w:rPr>
        <w:tab/>
      </w:r>
      <w:r w:rsidR="008A1E9C">
        <w:rPr>
          <w:rStyle w:val="SCCCounselNameChar"/>
          <w:i w:val="0"/>
          <w:lang w:val="fr-CA"/>
        </w:rPr>
        <w:t>Argumentation écrite seulement</w:t>
      </w:r>
      <w:r w:rsidR="008A1E9C">
        <w:rPr>
          <w:rStyle w:val="SCCCounselPartyRoleChar"/>
          <w:lang w:val="fr-CA"/>
        </w:rPr>
        <w:t xml:space="preserve"> par </w:t>
      </w:r>
      <w:r w:rsidR="008A1E9C">
        <w:rPr>
          <w:rStyle w:val="SCCCounselPartyRoleChar"/>
          <w:i/>
          <w:lang w:val="fr-CA"/>
        </w:rPr>
        <w:t xml:space="preserve">Sylvain </w:t>
      </w:r>
      <w:proofErr w:type="spellStart"/>
      <w:r w:rsidR="008A1E9C">
        <w:rPr>
          <w:rStyle w:val="SCCCounselPartyRoleChar"/>
          <w:i/>
          <w:lang w:val="fr-CA"/>
        </w:rPr>
        <w:t>Leboeuf</w:t>
      </w:r>
      <w:proofErr w:type="spellEnd"/>
      <w:r w:rsidR="008A1E9C">
        <w:rPr>
          <w:rStyle w:val="SCCCounselPartyRoleChar"/>
          <w:lang w:val="fr-CA"/>
        </w:rPr>
        <w:t>, pour</w:t>
      </w:r>
      <w:r w:rsidRPr="00AA69F2">
        <w:rPr>
          <w:rStyle w:val="SCCCounselPartyRoleChar"/>
          <w:lang w:val="fr-CA"/>
        </w:rPr>
        <w:t xml:space="preserve"> l</w:t>
      </w:r>
      <w:r>
        <w:rPr>
          <w:rStyle w:val="SCCCounselPartyRoleChar"/>
          <w:lang w:val="fr-CA"/>
        </w:rPr>
        <w:t>’intervenante la p</w:t>
      </w:r>
      <w:r w:rsidRPr="00AA69F2">
        <w:rPr>
          <w:rStyle w:val="SCCCounselPartyRoleChar"/>
          <w:lang w:val="fr-CA"/>
        </w:rPr>
        <w:t>rocureure générale du Québec.</w:t>
      </w:r>
    </w:p>
    <w:p w:rsidR="00DA0C40" w:rsidRPr="00AA69F2" w:rsidRDefault="00DA0C40">
      <w:pPr>
        <w:pStyle w:val="SCCNormalDoubleSpacing"/>
        <w:rPr>
          <w:lang w:val="fr-CA"/>
        </w:rPr>
      </w:pPr>
    </w:p>
    <w:p w:rsidR="00995EC8" w:rsidRPr="00AA69F2" w:rsidRDefault="003535D6">
      <w:pPr>
        <w:pStyle w:val="SCCNormalDoubleSpacing"/>
        <w:rPr>
          <w:lang w:val="fr-CA"/>
        </w:rPr>
      </w:pPr>
      <w:r>
        <w:rPr>
          <w:rStyle w:val="SCCCounselNameChar"/>
          <w:lang w:val="fr-CA"/>
        </w:rPr>
        <w:tab/>
        <w:t xml:space="preserve">Robert </w:t>
      </w:r>
      <w:r w:rsidR="00722DB8">
        <w:rPr>
          <w:rStyle w:val="SCCCounselNameChar"/>
          <w:lang w:val="fr-CA"/>
        </w:rPr>
        <w:t xml:space="preserve">J. </w:t>
      </w:r>
      <w:proofErr w:type="spellStart"/>
      <w:r w:rsidR="00AA7E05" w:rsidRPr="00AA69F2">
        <w:rPr>
          <w:rStyle w:val="SCCCounselNameChar"/>
          <w:lang w:val="fr-CA"/>
        </w:rPr>
        <w:t>Normey</w:t>
      </w:r>
      <w:proofErr w:type="spellEnd"/>
      <w:r w:rsidR="00AA7E05" w:rsidRPr="00AA69F2">
        <w:rPr>
          <w:rStyle w:val="SCCCounselPartyRoleChar"/>
          <w:lang w:val="fr-CA"/>
        </w:rPr>
        <w:t>, pour l</w:t>
      </w:r>
      <w:r w:rsidR="00727B2F">
        <w:rPr>
          <w:rStyle w:val="SCCCounselPartyRoleChar"/>
          <w:lang w:val="fr-CA"/>
        </w:rPr>
        <w:t>’</w:t>
      </w:r>
      <w:r w:rsidR="001B4116">
        <w:rPr>
          <w:rStyle w:val="SCCCounselPartyRoleChar"/>
          <w:lang w:val="fr-CA"/>
        </w:rPr>
        <w:t>intervenant le p</w:t>
      </w:r>
      <w:r w:rsidR="00AA7E05" w:rsidRPr="00AA69F2">
        <w:rPr>
          <w:rStyle w:val="SCCCounselPartyRoleChar"/>
          <w:lang w:val="fr-CA"/>
        </w:rPr>
        <w:t>rocureur général de l</w:t>
      </w:r>
      <w:r w:rsidR="00727B2F">
        <w:rPr>
          <w:rStyle w:val="SCCCounselPartyRoleChar"/>
          <w:lang w:val="fr-CA"/>
        </w:rPr>
        <w:t>’</w:t>
      </w:r>
      <w:r w:rsidR="00AA7E05" w:rsidRPr="00AA69F2">
        <w:rPr>
          <w:rStyle w:val="SCCCounselPartyRoleChar"/>
          <w:lang w:val="fr-CA"/>
        </w:rPr>
        <w:t>Alberta.</w:t>
      </w:r>
    </w:p>
    <w:p w:rsidR="00995EC8" w:rsidRPr="00AA69F2" w:rsidRDefault="00995EC8">
      <w:pPr>
        <w:pStyle w:val="SCCNormalDoubleSpacing"/>
        <w:rPr>
          <w:lang w:val="fr-CA"/>
        </w:rPr>
      </w:pPr>
    </w:p>
    <w:p w:rsidR="00995EC8" w:rsidRPr="00AA69F2" w:rsidRDefault="00AA7E05">
      <w:pPr>
        <w:pStyle w:val="SCCNormalDoubleSpacing"/>
        <w:rPr>
          <w:lang w:val="fr-CA"/>
        </w:rPr>
      </w:pPr>
      <w:r w:rsidRPr="00AA69F2">
        <w:rPr>
          <w:rStyle w:val="SCCCounselNameChar"/>
          <w:lang w:val="fr-CA"/>
        </w:rPr>
        <w:tab/>
      </w:r>
      <w:r w:rsidR="00DA0C40" w:rsidRPr="00AA69F2">
        <w:rPr>
          <w:rStyle w:val="SCCCounselNameChar"/>
          <w:lang w:val="fr-CA"/>
        </w:rPr>
        <w:t>Byron Shaw</w:t>
      </w:r>
      <w:r w:rsidR="00DA0C40">
        <w:rPr>
          <w:rStyle w:val="SCCCounselNameChar"/>
          <w:lang w:val="fr-CA"/>
        </w:rPr>
        <w:t xml:space="preserve"> </w:t>
      </w:r>
      <w:r w:rsidR="00DA0C40" w:rsidRPr="00DA0C40">
        <w:rPr>
          <w:rStyle w:val="SCCCounselNameChar"/>
          <w:i w:val="0"/>
          <w:lang w:val="fr-CA"/>
        </w:rPr>
        <w:t>et</w:t>
      </w:r>
      <w:r w:rsidR="00DA0C40" w:rsidRPr="00DA0C40">
        <w:rPr>
          <w:rStyle w:val="SCCCounselNameChar"/>
          <w:lang w:val="fr-CA"/>
        </w:rPr>
        <w:t xml:space="preserve"> </w:t>
      </w:r>
      <w:r w:rsidR="00DA0C40">
        <w:rPr>
          <w:rStyle w:val="SCCCounselNameChar"/>
          <w:lang w:val="fr-CA"/>
        </w:rPr>
        <w:t>Brandon Kain</w:t>
      </w:r>
      <w:r w:rsidR="00DA0C40" w:rsidRPr="00AA69F2">
        <w:rPr>
          <w:rStyle w:val="SCCCounselPartyRoleChar"/>
          <w:lang w:val="fr-CA"/>
        </w:rPr>
        <w:t>, pour l</w:t>
      </w:r>
      <w:r w:rsidR="00DA0C40">
        <w:rPr>
          <w:rStyle w:val="SCCCounselPartyRoleChar"/>
          <w:lang w:val="fr-CA"/>
        </w:rPr>
        <w:t>’intervenante</w:t>
      </w:r>
      <w:r w:rsidR="00DA0C40" w:rsidRPr="00AA69F2">
        <w:rPr>
          <w:rStyle w:val="SCCCounselPartyRoleChar"/>
          <w:lang w:val="fr-CA"/>
        </w:rPr>
        <w:t xml:space="preserve"> Canadian Constitution </w:t>
      </w:r>
      <w:proofErr w:type="spellStart"/>
      <w:r w:rsidR="00DA0C40" w:rsidRPr="00AA69F2">
        <w:rPr>
          <w:rStyle w:val="SCCCounselPartyRoleChar"/>
          <w:lang w:val="fr-CA"/>
        </w:rPr>
        <w:t>Foundation</w:t>
      </w:r>
      <w:proofErr w:type="spellEnd"/>
      <w:r w:rsidR="00DA0C40" w:rsidRPr="00AA69F2">
        <w:rPr>
          <w:rStyle w:val="SCCCounselPartyRoleChar"/>
          <w:lang w:val="fr-CA"/>
        </w:rPr>
        <w:t>.</w:t>
      </w:r>
    </w:p>
    <w:p w:rsidR="00995EC8" w:rsidRPr="00AA69F2" w:rsidRDefault="00995EC8">
      <w:pPr>
        <w:pStyle w:val="SCCNormalDoubleSpacing"/>
        <w:rPr>
          <w:lang w:val="fr-CA"/>
        </w:rPr>
      </w:pPr>
    </w:p>
    <w:p w:rsidR="00995EC8" w:rsidRPr="00AA69F2" w:rsidRDefault="00AA7E05">
      <w:pPr>
        <w:pStyle w:val="SCCNormalDoubleSpacing"/>
        <w:rPr>
          <w:lang w:val="fr-CA"/>
        </w:rPr>
      </w:pPr>
      <w:r w:rsidRPr="00AA69F2">
        <w:rPr>
          <w:rStyle w:val="SCCCounselNameChar"/>
          <w:lang w:val="fr-CA"/>
        </w:rPr>
        <w:tab/>
        <w:t>Hugh Craig</w:t>
      </w:r>
      <w:r w:rsidRPr="00AA69F2">
        <w:rPr>
          <w:rStyle w:val="SCCCounselSeparatorChar"/>
          <w:lang w:val="fr-CA"/>
        </w:rPr>
        <w:t xml:space="preserve"> et </w:t>
      </w:r>
      <w:r w:rsidRPr="00AA69F2">
        <w:rPr>
          <w:rStyle w:val="SCCCounselNameChar"/>
          <w:lang w:val="fr-CA"/>
        </w:rPr>
        <w:t>Carlo Rossi</w:t>
      </w:r>
      <w:r w:rsidRPr="00AA69F2">
        <w:rPr>
          <w:rStyle w:val="SCCCounselPartyRoleChar"/>
          <w:lang w:val="fr-CA"/>
        </w:rPr>
        <w:t>, pour l</w:t>
      </w:r>
      <w:r w:rsidR="00727B2F">
        <w:rPr>
          <w:rStyle w:val="SCCCounselPartyRoleChar"/>
          <w:lang w:val="fr-CA"/>
        </w:rPr>
        <w:t>’</w:t>
      </w:r>
      <w:r w:rsidR="00DA0C40">
        <w:rPr>
          <w:rStyle w:val="SCCCounselPartyRoleChar"/>
          <w:lang w:val="fr-CA"/>
        </w:rPr>
        <w:t>intervenant</w:t>
      </w:r>
      <w:r w:rsidRPr="00AA69F2">
        <w:rPr>
          <w:rStyle w:val="SCCCounselPartyRoleChar"/>
          <w:lang w:val="fr-CA"/>
        </w:rPr>
        <w:t>e</w:t>
      </w:r>
      <w:r w:rsidR="00DA0C40">
        <w:rPr>
          <w:rStyle w:val="SCCCounselPartyRoleChar"/>
          <w:lang w:val="fr-CA"/>
        </w:rPr>
        <w:t xml:space="preserve"> la</w:t>
      </w:r>
      <w:r w:rsidRPr="00AA69F2">
        <w:rPr>
          <w:rStyle w:val="SCCCounselPartyRoleChar"/>
          <w:lang w:val="fr-CA"/>
        </w:rPr>
        <w:t xml:space="preserve"> Commission des valeurs mobilières de l</w:t>
      </w:r>
      <w:r w:rsidR="00727B2F">
        <w:rPr>
          <w:rStyle w:val="SCCCounselPartyRoleChar"/>
          <w:lang w:val="fr-CA"/>
        </w:rPr>
        <w:t>’</w:t>
      </w:r>
      <w:r w:rsidRPr="00AA69F2">
        <w:rPr>
          <w:rStyle w:val="SCCCounselPartyRoleChar"/>
          <w:lang w:val="fr-CA"/>
        </w:rPr>
        <w:t>Ontario.</w:t>
      </w:r>
    </w:p>
    <w:p w:rsidR="00995EC8" w:rsidRPr="00AA69F2" w:rsidRDefault="00995EC8">
      <w:pPr>
        <w:pStyle w:val="SCCNormalDoubleSpacing"/>
        <w:rPr>
          <w:lang w:val="fr-CA"/>
        </w:rPr>
      </w:pPr>
    </w:p>
    <w:p w:rsidR="00995EC8" w:rsidRPr="00AA69F2" w:rsidRDefault="00AA7E05">
      <w:pPr>
        <w:pStyle w:val="SCCNormalDoubleSpacing"/>
        <w:rPr>
          <w:lang w:val="fr-CA"/>
        </w:rPr>
      </w:pPr>
      <w:r w:rsidRPr="00AA69F2">
        <w:rPr>
          <w:rStyle w:val="SCCCounselNameChar"/>
          <w:lang w:val="fr-CA"/>
        </w:rPr>
        <w:tab/>
        <w:t>Gerald Chan</w:t>
      </w:r>
      <w:r w:rsidRPr="00AA69F2">
        <w:rPr>
          <w:rStyle w:val="SCCCounselPartyRoleChar"/>
          <w:lang w:val="fr-CA"/>
        </w:rPr>
        <w:t>, pour l</w:t>
      </w:r>
      <w:r w:rsidR="00727B2F">
        <w:rPr>
          <w:rStyle w:val="SCCCounselPartyRoleChar"/>
          <w:lang w:val="fr-CA"/>
        </w:rPr>
        <w:t>’</w:t>
      </w:r>
      <w:r w:rsidR="00DA0C40">
        <w:rPr>
          <w:rStyle w:val="SCCCounselPartyRoleChar"/>
          <w:lang w:val="fr-CA"/>
        </w:rPr>
        <w:t>intervenante</w:t>
      </w:r>
      <w:r w:rsidRPr="00AA69F2">
        <w:rPr>
          <w:rStyle w:val="SCCCounselPartyRoleChar"/>
          <w:lang w:val="fr-CA"/>
        </w:rPr>
        <w:t xml:space="preserve"> </w:t>
      </w:r>
      <w:r w:rsidR="00DA0C40" w:rsidRPr="00DA0C40">
        <w:rPr>
          <w:rStyle w:val="SCCCounselPartyRoleChar"/>
          <w:lang w:val="fr-CA"/>
        </w:rPr>
        <w:t xml:space="preserve">British Columbia Civil </w:t>
      </w:r>
      <w:proofErr w:type="spellStart"/>
      <w:r w:rsidR="00DA0C40" w:rsidRPr="00DA0C40">
        <w:rPr>
          <w:rStyle w:val="SCCCounselPartyRoleChar"/>
          <w:lang w:val="fr-CA"/>
        </w:rPr>
        <w:t>Liberties</w:t>
      </w:r>
      <w:proofErr w:type="spellEnd"/>
      <w:r w:rsidR="00DA0C40" w:rsidRPr="00DA0C40">
        <w:rPr>
          <w:rStyle w:val="SCCCounselPartyRoleChar"/>
          <w:lang w:val="fr-CA"/>
        </w:rPr>
        <w:t xml:space="preserve"> Association</w:t>
      </w:r>
      <w:r w:rsidRPr="00AA69F2">
        <w:rPr>
          <w:rStyle w:val="SCCCounselPartyRoleChar"/>
          <w:lang w:val="fr-CA"/>
        </w:rPr>
        <w:t>.</w:t>
      </w:r>
    </w:p>
    <w:p w:rsidR="00995EC8" w:rsidRPr="00AA69F2" w:rsidRDefault="00995EC8">
      <w:pPr>
        <w:pStyle w:val="SCCNormalDoubleSpacing"/>
        <w:rPr>
          <w:lang w:val="fr-CA"/>
        </w:rPr>
      </w:pPr>
    </w:p>
    <w:p w:rsidR="00995EC8" w:rsidRPr="00AA69F2" w:rsidRDefault="00AA7E05">
      <w:pPr>
        <w:pStyle w:val="SCCNormalDoubleSpacing"/>
        <w:rPr>
          <w:lang w:val="fr-CA"/>
        </w:rPr>
      </w:pPr>
      <w:r w:rsidRPr="00AA69F2">
        <w:rPr>
          <w:rStyle w:val="SCCCounselNameChar"/>
          <w:lang w:val="fr-CA"/>
        </w:rPr>
        <w:tab/>
        <w:t>Adriel Weaver</w:t>
      </w:r>
      <w:r w:rsidRPr="00AA69F2">
        <w:rPr>
          <w:rStyle w:val="SCCCounselPartyRoleChar"/>
          <w:lang w:val="fr-CA"/>
        </w:rPr>
        <w:t>, pour l</w:t>
      </w:r>
      <w:r w:rsidR="00727B2F">
        <w:rPr>
          <w:rStyle w:val="SCCCounselPartyRoleChar"/>
          <w:lang w:val="fr-CA"/>
        </w:rPr>
        <w:t>’</w:t>
      </w:r>
      <w:r w:rsidR="00DA0C40">
        <w:rPr>
          <w:rStyle w:val="SCCCounselPartyRoleChar"/>
          <w:lang w:val="fr-CA"/>
        </w:rPr>
        <w:t>intervenante</w:t>
      </w:r>
      <w:r w:rsidRPr="00AA69F2">
        <w:rPr>
          <w:rStyle w:val="SCCCounselPartyRoleChar"/>
          <w:lang w:val="fr-CA"/>
        </w:rPr>
        <w:t xml:space="preserve"> </w:t>
      </w:r>
      <w:r w:rsidR="00DA0C40">
        <w:rPr>
          <w:rStyle w:val="SCCCounselPartyRoleChar"/>
          <w:lang w:val="fr-CA"/>
        </w:rPr>
        <w:t>l’</w:t>
      </w:r>
      <w:r w:rsidRPr="00AA69F2">
        <w:rPr>
          <w:rStyle w:val="SCCCounselPartyRoleChar"/>
          <w:lang w:val="fr-CA"/>
        </w:rPr>
        <w:t>Association canadienne des libertés civiles.</w:t>
      </w:r>
    </w:p>
    <w:p w:rsidR="00995EC8" w:rsidRDefault="00995EC8">
      <w:pPr>
        <w:pStyle w:val="SCCNormalDoubleSpacing"/>
        <w:rPr>
          <w:lang w:val="fr-CA"/>
        </w:rPr>
      </w:pPr>
    </w:p>
    <w:p w:rsidR="002F1697" w:rsidRDefault="002F1697">
      <w:pPr>
        <w:pStyle w:val="SCCNormalDoubleSpacing"/>
        <w:rPr>
          <w:lang w:val="fr-CA"/>
        </w:rPr>
      </w:pPr>
      <w:r>
        <w:rPr>
          <w:lang w:val="fr-CA"/>
        </w:rPr>
        <w:tab/>
        <w:t>Version française du jugement rendu par</w:t>
      </w:r>
    </w:p>
    <w:p w:rsidR="002F1697" w:rsidRDefault="002F1697">
      <w:pPr>
        <w:pStyle w:val="SCCNormalDoubleSpacing"/>
        <w:rPr>
          <w:lang w:val="fr-CA"/>
        </w:rPr>
      </w:pPr>
    </w:p>
    <w:p w:rsidR="002F1697" w:rsidRDefault="002F1697">
      <w:pPr>
        <w:pStyle w:val="SCCNormalDoubleSpacing"/>
        <w:rPr>
          <w:lang w:val="fr-CA"/>
        </w:rPr>
      </w:pPr>
      <w:r w:rsidRPr="002F1697">
        <w:rPr>
          <w:lang w:val="fr-CA"/>
        </w:rPr>
        <w:t>[1]</w:t>
      </w:r>
      <w:r>
        <w:rPr>
          <w:lang w:val="fr-CA"/>
        </w:rPr>
        <w:tab/>
      </w:r>
      <w:r w:rsidRPr="00AB2C53">
        <w:rPr>
          <w:smallCaps/>
          <w:lang w:val="fr-CA"/>
        </w:rPr>
        <w:t>La Cour</w:t>
      </w:r>
      <w:r w:rsidRPr="00AB2C53">
        <w:rPr>
          <w:lang w:val="fr-CA"/>
        </w:rPr>
        <w:t xml:space="preserve"> — L’appel est rejeté. Nous concluons que l’appelant n’avait pas droit à un procès devant jury, essentiellement pour les motifs exposés par les juges de la majorité en Cour d’appel, 2015 ABCA 407, 609 A.R. 352.</w:t>
      </w:r>
    </w:p>
    <w:p w:rsidR="002F1697" w:rsidRDefault="002F1697">
      <w:pPr>
        <w:pStyle w:val="SCCNormalDoubleSpacing"/>
        <w:rPr>
          <w:lang w:val="fr-CA"/>
        </w:rPr>
      </w:pPr>
    </w:p>
    <w:p w:rsidR="002F1697" w:rsidRDefault="002F1697">
      <w:pPr>
        <w:pStyle w:val="SCCNormalDoubleSpacing"/>
        <w:rPr>
          <w:lang w:val="fr-CA"/>
        </w:rPr>
      </w:pPr>
      <w:r>
        <w:rPr>
          <w:lang w:val="fr-CA"/>
        </w:rPr>
        <w:tab/>
      </w:r>
      <w:r>
        <w:rPr>
          <w:i/>
          <w:lang w:val="fr-CA"/>
        </w:rPr>
        <w:t>Appel rejeté</w:t>
      </w:r>
      <w:r>
        <w:rPr>
          <w:lang w:val="fr-CA"/>
        </w:rPr>
        <w:t>.</w:t>
      </w:r>
    </w:p>
    <w:p w:rsidR="002F1697" w:rsidRPr="002F1697" w:rsidRDefault="002F1697">
      <w:pPr>
        <w:pStyle w:val="SCCNormalDoubleSpacing"/>
        <w:rPr>
          <w:lang w:val="fr-CA"/>
        </w:rPr>
      </w:pPr>
    </w:p>
    <w:p w:rsidR="00995EC8" w:rsidRPr="00AA69F2" w:rsidRDefault="001B4116">
      <w:pPr>
        <w:pStyle w:val="SCCLawFirm"/>
        <w:rPr>
          <w:lang w:val="fr-CA"/>
        </w:rPr>
      </w:pPr>
      <w:r>
        <w:rPr>
          <w:lang w:val="fr-CA"/>
        </w:rPr>
        <w:tab/>
        <w:t>Procureurs</w:t>
      </w:r>
      <w:r w:rsidR="00AA7E05" w:rsidRPr="00AA69F2">
        <w:rPr>
          <w:lang w:val="fr-CA"/>
        </w:rPr>
        <w:t xml:space="preserve"> de l</w:t>
      </w:r>
      <w:r w:rsidR="00727B2F">
        <w:rPr>
          <w:lang w:val="fr-CA"/>
        </w:rPr>
        <w:t>’</w:t>
      </w:r>
      <w:r>
        <w:rPr>
          <w:lang w:val="fr-CA"/>
        </w:rPr>
        <w:t>appelant</w:t>
      </w:r>
      <w:r w:rsidR="00AA7E05" w:rsidRPr="00AA69F2">
        <w:rPr>
          <w:lang w:val="fr-CA"/>
        </w:rPr>
        <w:t xml:space="preserve"> : </w:t>
      </w:r>
      <w:proofErr w:type="spellStart"/>
      <w:r w:rsidR="00AA7E05" w:rsidRPr="00AA69F2">
        <w:rPr>
          <w:lang w:val="fr-CA"/>
        </w:rPr>
        <w:t>Beresh</w:t>
      </w:r>
      <w:proofErr w:type="spellEnd"/>
      <w:r w:rsidR="00AA7E05" w:rsidRPr="00AA69F2">
        <w:rPr>
          <w:lang w:val="fr-CA"/>
        </w:rPr>
        <w:t xml:space="preserve"> </w:t>
      </w:r>
      <w:proofErr w:type="spellStart"/>
      <w:r w:rsidR="00AA7E05" w:rsidRPr="00AA69F2">
        <w:rPr>
          <w:lang w:val="fr-CA"/>
        </w:rPr>
        <w:t>Aloneissi</w:t>
      </w:r>
      <w:proofErr w:type="spellEnd"/>
      <w:r w:rsidR="00AA7E05" w:rsidRPr="00AA69F2">
        <w:rPr>
          <w:lang w:val="fr-CA"/>
        </w:rPr>
        <w:t xml:space="preserve"> O</w:t>
      </w:r>
      <w:r w:rsidR="00727B2F">
        <w:rPr>
          <w:lang w:val="fr-CA"/>
        </w:rPr>
        <w:t>’</w:t>
      </w:r>
      <w:r w:rsidR="00AA7E05" w:rsidRPr="00AA69F2">
        <w:rPr>
          <w:lang w:val="fr-CA"/>
        </w:rPr>
        <w:t xml:space="preserve">Neill Hurley </w:t>
      </w:r>
      <w:proofErr w:type="spellStart"/>
      <w:r w:rsidR="00AA7E05" w:rsidRPr="00AA69F2">
        <w:rPr>
          <w:lang w:val="fr-CA"/>
        </w:rPr>
        <w:t>O</w:t>
      </w:r>
      <w:r w:rsidR="00727B2F">
        <w:rPr>
          <w:lang w:val="fr-CA"/>
        </w:rPr>
        <w:t>’</w:t>
      </w:r>
      <w:r w:rsidR="00713FB3">
        <w:rPr>
          <w:lang w:val="fr-CA"/>
        </w:rPr>
        <w:t>Keefe</w:t>
      </w:r>
      <w:proofErr w:type="spellEnd"/>
      <w:r w:rsidR="00713FB3">
        <w:rPr>
          <w:lang w:val="fr-CA"/>
        </w:rPr>
        <w:t xml:space="preserve"> </w:t>
      </w:r>
      <w:proofErr w:type="spellStart"/>
      <w:r w:rsidR="00713FB3">
        <w:rPr>
          <w:lang w:val="fr-CA"/>
        </w:rPr>
        <w:t>Millsap</w:t>
      </w:r>
      <w:proofErr w:type="spellEnd"/>
      <w:r w:rsidR="00713FB3">
        <w:rPr>
          <w:lang w:val="fr-CA"/>
        </w:rPr>
        <w:t xml:space="preserve">, Edmonton; Alexander </w:t>
      </w:r>
      <w:proofErr w:type="spellStart"/>
      <w:r w:rsidR="00713FB3">
        <w:rPr>
          <w:lang w:val="fr-CA"/>
        </w:rPr>
        <w:t>Millman</w:t>
      </w:r>
      <w:proofErr w:type="spellEnd"/>
      <w:r w:rsidR="00713FB3">
        <w:rPr>
          <w:lang w:val="fr-CA"/>
        </w:rPr>
        <w:t xml:space="preserve"> Law Office, Edmonton; </w:t>
      </w:r>
      <w:proofErr w:type="spellStart"/>
      <w:r w:rsidR="00713FB3">
        <w:rPr>
          <w:lang w:val="fr-CA"/>
        </w:rPr>
        <w:t>Fix</w:t>
      </w:r>
      <w:proofErr w:type="spellEnd"/>
      <w:r w:rsidR="00713FB3">
        <w:rPr>
          <w:lang w:val="fr-CA"/>
        </w:rPr>
        <w:t xml:space="preserve"> &amp; Smith, Edmonton.</w:t>
      </w:r>
    </w:p>
    <w:p w:rsidR="00995EC8" w:rsidRPr="00AA69F2" w:rsidRDefault="00995EC8">
      <w:pPr>
        <w:pStyle w:val="SCCLawFirm"/>
        <w:rPr>
          <w:lang w:val="fr-CA"/>
        </w:rPr>
      </w:pPr>
    </w:p>
    <w:p w:rsidR="00995EC8" w:rsidRDefault="001B4116">
      <w:pPr>
        <w:pStyle w:val="SCCLawFirm"/>
        <w:rPr>
          <w:lang w:val="fr-CA"/>
        </w:rPr>
      </w:pPr>
      <w:r>
        <w:rPr>
          <w:lang w:val="fr-CA"/>
        </w:rPr>
        <w:tab/>
        <w:t>Procureur</w:t>
      </w:r>
      <w:r w:rsidR="00AA7E05" w:rsidRPr="00AA69F2">
        <w:rPr>
          <w:lang w:val="fr-CA"/>
        </w:rPr>
        <w:t xml:space="preserve"> de l</w:t>
      </w:r>
      <w:r w:rsidR="00727B2F">
        <w:rPr>
          <w:lang w:val="fr-CA"/>
        </w:rPr>
        <w:t>’</w:t>
      </w:r>
      <w:r>
        <w:rPr>
          <w:lang w:val="fr-CA"/>
        </w:rPr>
        <w:t>intimée</w:t>
      </w:r>
      <w:r w:rsidR="00AA7E05" w:rsidRPr="00AA69F2">
        <w:rPr>
          <w:lang w:val="fr-CA"/>
        </w:rPr>
        <w:t> : Alberta Securities Commission, Calgary.</w:t>
      </w:r>
    </w:p>
    <w:p w:rsidR="001B4116" w:rsidRPr="001B4116" w:rsidRDefault="001B4116" w:rsidP="001B4116">
      <w:pPr>
        <w:pStyle w:val="SCCNormalDoubleSpacing"/>
        <w:rPr>
          <w:lang w:val="fr-CA"/>
        </w:rPr>
      </w:pPr>
    </w:p>
    <w:p w:rsidR="00995EC8" w:rsidRDefault="001B4116">
      <w:pPr>
        <w:pStyle w:val="SCCLawFirm"/>
        <w:rPr>
          <w:lang w:val="fr-CA"/>
        </w:rPr>
      </w:pPr>
      <w:r>
        <w:rPr>
          <w:lang w:val="fr-CA"/>
        </w:rPr>
        <w:tab/>
        <w:t>Procureur</w:t>
      </w:r>
      <w:r w:rsidR="00682C08">
        <w:rPr>
          <w:lang w:val="fr-CA"/>
        </w:rPr>
        <w:t>s</w:t>
      </w:r>
      <w:r w:rsidRPr="00AA69F2">
        <w:rPr>
          <w:lang w:val="fr-CA"/>
        </w:rPr>
        <w:t xml:space="preserve"> de l</w:t>
      </w:r>
      <w:r>
        <w:rPr>
          <w:lang w:val="fr-CA"/>
        </w:rPr>
        <w:t>’intervenant</w:t>
      </w:r>
      <w:r w:rsidRPr="00AA69F2">
        <w:rPr>
          <w:lang w:val="fr-CA"/>
        </w:rPr>
        <w:t xml:space="preserve"> </w:t>
      </w:r>
      <w:r>
        <w:rPr>
          <w:lang w:val="fr-CA"/>
        </w:rPr>
        <w:t>le p</w:t>
      </w:r>
      <w:r w:rsidRPr="00AA69F2">
        <w:rPr>
          <w:lang w:val="fr-CA"/>
        </w:rPr>
        <w:t xml:space="preserve">rocureur général du Canada : </w:t>
      </w:r>
      <w:r>
        <w:rPr>
          <w:lang w:val="fr-CA"/>
        </w:rPr>
        <w:t>Procureur général du Canada</w:t>
      </w:r>
      <w:r w:rsidR="00713FB3">
        <w:rPr>
          <w:lang w:val="fr-CA"/>
        </w:rPr>
        <w:t>, Toronto; Service des poursuites pénales du Canada, Toronto.</w:t>
      </w:r>
    </w:p>
    <w:p w:rsidR="001B4116" w:rsidRPr="001B4116" w:rsidRDefault="001B4116" w:rsidP="001B4116">
      <w:pPr>
        <w:pStyle w:val="SCCNormalDoubleSpacing"/>
        <w:rPr>
          <w:lang w:val="fr-CA"/>
        </w:rPr>
      </w:pPr>
    </w:p>
    <w:p w:rsidR="0097568E" w:rsidRPr="0097568E" w:rsidRDefault="00AA7E05">
      <w:pPr>
        <w:pStyle w:val="SCCLawFirm"/>
        <w:rPr>
          <w:lang w:val="fr-CA"/>
        </w:rPr>
      </w:pPr>
      <w:r w:rsidRPr="00AA69F2">
        <w:rPr>
          <w:lang w:val="fr-CA"/>
        </w:rPr>
        <w:tab/>
      </w:r>
      <w:r w:rsidR="0097568E" w:rsidRPr="0097568E">
        <w:rPr>
          <w:lang w:val="fr-CA"/>
        </w:rPr>
        <w:t>Procureur de l’intervenant le procureur général de l’Ontario : Procureur général de l’Ontario, Toronto.</w:t>
      </w:r>
    </w:p>
    <w:p w:rsidR="0097568E" w:rsidRDefault="0097568E">
      <w:pPr>
        <w:pStyle w:val="SCCLawFirm"/>
        <w:rPr>
          <w:i w:val="0"/>
          <w:lang w:val="fr-CA"/>
        </w:rPr>
      </w:pPr>
    </w:p>
    <w:p w:rsidR="008A1E9C" w:rsidRPr="0097568E" w:rsidRDefault="0097568E" w:rsidP="0097568E">
      <w:pPr>
        <w:pStyle w:val="SCCLawFirm"/>
        <w:rPr>
          <w:lang w:val="fr-CA"/>
        </w:rPr>
      </w:pPr>
      <w:r>
        <w:rPr>
          <w:i w:val="0"/>
          <w:lang w:val="fr-CA"/>
        </w:rPr>
        <w:tab/>
      </w:r>
      <w:r w:rsidR="001B4116">
        <w:rPr>
          <w:lang w:val="fr-CA"/>
        </w:rPr>
        <w:t>Procureur</w:t>
      </w:r>
      <w:r>
        <w:rPr>
          <w:lang w:val="fr-CA"/>
        </w:rPr>
        <w:t>e</w:t>
      </w:r>
      <w:r w:rsidR="001B4116" w:rsidRPr="00AA69F2">
        <w:rPr>
          <w:lang w:val="fr-CA"/>
        </w:rPr>
        <w:t xml:space="preserve"> de l</w:t>
      </w:r>
      <w:r w:rsidR="008A1E9C">
        <w:rPr>
          <w:lang w:val="fr-CA"/>
        </w:rPr>
        <w:t>’intervenante la</w:t>
      </w:r>
      <w:r w:rsidR="001B4116" w:rsidRPr="00AA69F2">
        <w:rPr>
          <w:lang w:val="fr-CA"/>
        </w:rPr>
        <w:t xml:space="preserve"> </w:t>
      </w:r>
      <w:r w:rsidR="001B4116">
        <w:rPr>
          <w:lang w:val="fr-CA"/>
        </w:rPr>
        <w:t>p</w:t>
      </w:r>
      <w:r w:rsidR="001B4116" w:rsidRPr="00AA69F2">
        <w:rPr>
          <w:lang w:val="fr-CA"/>
        </w:rPr>
        <w:t>rocureur</w:t>
      </w:r>
      <w:r w:rsidR="008A1E9C">
        <w:rPr>
          <w:lang w:val="fr-CA"/>
        </w:rPr>
        <w:t>e</w:t>
      </w:r>
      <w:r w:rsidR="001B4116" w:rsidRPr="00AA69F2">
        <w:rPr>
          <w:lang w:val="fr-CA"/>
        </w:rPr>
        <w:t xml:space="preserve"> général</w:t>
      </w:r>
      <w:r w:rsidR="008A1E9C">
        <w:rPr>
          <w:lang w:val="fr-CA"/>
        </w:rPr>
        <w:t>e</w:t>
      </w:r>
      <w:r w:rsidR="001B4116" w:rsidRPr="00AA69F2">
        <w:rPr>
          <w:lang w:val="fr-CA"/>
        </w:rPr>
        <w:t xml:space="preserve"> </w:t>
      </w:r>
      <w:r w:rsidR="008A1E9C">
        <w:rPr>
          <w:lang w:val="fr-CA"/>
        </w:rPr>
        <w:t>du Québec</w:t>
      </w:r>
      <w:r w:rsidR="001B4116" w:rsidRPr="00AA69F2">
        <w:rPr>
          <w:lang w:val="fr-CA"/>
        </w:rPr>
        <w:t xml:space="preserve"> : </w:t>
      </w:r>
      <w:r w:rsidR="001B4116">
        <w:rPr>
          <w:lang w:val="fr-CA"/>
        </w:rPr>
        <w:t>Procureur</w:t>
      </w:r>
      <w:r>
        <w:rPr>
          <w:lang w:val="fr-CA"/>
        </w:rPr>
        <w:t>e</w:t>
      </w:r>
      <w:r w:rsidR="001B4116">
        <w:rPr>
          <w:lang w:val="fr-CA"/>
        </w:rPr>
        <w:t xml:space="preserve"> général</w:t>
      </w:r>
      <w:r>
        <w:rPr>
          <w:lang w:val="fr-CA"/>
        </w:rPr>
        <w:t>e</w:t>
      </w:r>
      <w:r w:rsidR="001B4116">
        <w:rPr>
          <w:lang w:val="fr-CA"/>
        </w:rPr>
        <w:t xml:space="preserve"> </w:t>
      </w:r>
      <w:r>
        <w:rPr>
          <w:lang w:val="fr-CA"/>
        </w:rPr>
        <w:t>du Québec</w:t>
      </w:r>
      <w:r w:rsidR="001B4116" w:rsidRPr="00AA69F2">
        <w:rPr>
          <w:lang w:val="fr-CA"/>
        </w:rPr>
        <w:t xml:space="preserve">, </w:t>
      </w:r>
      <w:r>
        <w:rPr>
          <w:lang w:val="fr-CA"/>
        </w:rPr>
        <w:t>Québec</w:t>
      </w:r>
      <w:r w:rsidR="001B4116" w:rsidRPr="00AA69F2">
        <w:rPr>
          <w:lang w:val="fr-CA"/>
        </w:rPr>
        <w:t>.</w:t>
      </w:r>
    </w:p>
    <w:p w:rsidR="008A1E9C" w:rsidRPr="001B4116" w:rsidRDefault="008A1E9C" w:rsidP="001B4116">
      <w:pPr>
        <w:pStyle w:val="SCCNormalDoubleSpacing"/>
        <w:rPr>
          <w:lang w:val="fr-CA"/>
        </w:rPr>
      </w:pPr>
    </w:p>
    <w:p w:rsidR="00995EC8" w:rsidRPr="00AA69F2" w:rsidRDefault="00AA7E05">
      <w:pPr>
        <w:pStyle w:val="SCCLawFirm"/>
        <w:rPr>
          <w:lang w:val="fr-CA"/>
        </w:rPr>
      </w:pPr>
      <w:r w:rsidRPr="00AA69F2">
        <w:rPr>
          <w:lang w:val="fr-CA"/>
        </w:rPr>
        <w:tab/>
      </w:r>
      <w:r w:rsidR="001B4116">
        <w:rPr>
          <w:lang w:val="fr-CA"/>
        </w:rPr>
        <w:t>Procureur</w:t>
      </w:r>
      <w:r w:rsidR="001B4116" w:rsidRPr="00AA69F2">
        <w:rPr>
          <w:lang w:val="fr-CA"/>
        </w:rPr>
        <w:t xml:space="preserve"> de l</w:t>
      </w:r>
      <w:r w:rsidR="001B4116">
        <w:rPr>
          <w:lang w:val="fr-CA"/>
        </w:rPr>
        <w:t>’intervenant le</w:t>
      </w:r>
      <w:r w:rsidR="001B4116" w:rsidRPr="00AA69F2">
        <w:rPr>
          <w:lang w:val="fr-CA"/>
        </w:rPr>
        <w:t xml:space="preserve"> </w:t>
      </w:r>
      <w:r w:rsidR="001B4116">
        <w:rPr>
          <w:lang w:val="fr-CA"/>
        </w:rPr>
        <w:t>p</w:t>
      </w:r>
      <w:r w:rsidR="001B4116" w:rsidRPr="00AA69F2">
        <w:rPr>
          <w:lang w:val="fr-CA"/>
        </w:rPr>
        <w:t>rocureur général de l</w:t>
      </w:r>
      <w:r w:rsidR="001B4116">
        <w:rPr>
          <w:lang w:val="fr-CA"/>
        </w:rPr>
        <w:t>’</w:t>
      </w:r>
      <w:r w:rsidR="00291583">
        <w:rPr>
          <w:lang w:val="fr-CA"/>
        </w:rPr>
        <w:t xml:space="preserve">Alberta : Alberta Justice, </w:t>
      </w:r>
      <w:proofErr w:type="spellStart"/>
      <w:r w:rsidR="00291583">
        <w:rPr>
          <w:lang w:val="fr-CA"/>
        </w:rPr>
        <w:t>Constitutional</w:t>
      </w:r>
      <w:proofErr w:type="spellEnd"/>
      <w:r w:rsidR="00291583">
        <w:rPr>
          <w:lang w:val="fr-CA"/>
        </w:rPr>
        <w:t xml:space="preserve"> Law Branch</w:t>
      </w:r>
      <w:r w:rsidR="00713FB3">
        <w:rPr>
          <w:lang w:val="fr-CA"/>
        </w:rPr>
        <w:t>, Edmonton.</w:t>
      </w:r>
    </w:p>
    <w:p w:rsidR="00995EC8" w:rsidRPr="00AA69F2" w:rsidRDefault="00995EC8">
      <w:pPr>
        <w:pStyle w:val="SCCLawFirm"/>
        <w:rPr>
          <w:lang w:val="fr-CA"/>
        </w:rPr>
      </w:pPr>
    </w:p>
    <w:p w:rsidR="00995EC8" w:rsidRPr="00AA69F2" w:rsidRDefault="001B4116">
      <w:pPr>
        <w:pStyle w:val="SCCLawFirm"/>
        <w:rPr>
          <w:lang w:val="fr-CA"/>
        </w:rPr>
      </w:pPr>
      <w:r>
        <w:rPr>
          <w:lang w:val="fr-CA"/>
        </w:rPr>
        <w:tab/>
        <w:t>Procureurs</w:t>
      </w:r>
      <w:r w:rsidR="00AA7E05" w:rsidRPr="00AA69F2">
        <w:rPr>
          <w:lang w:val="fr-CA"/>
        </w:rPr>
        <w:t xml:space="preserve"> de l</w:t>
      </w:r>
      <w:r w:rsidR="00727B2F">
        <w:rPr>
          <w:lang w:val="fr-CA"/>
        </w:rPr>
        <w:t>’</w:t>
      </w:r>
      <w:r>
        <w:rPr>
          <w:lang w:val="fr-CA"/>
        </w:rPr>
        <w:t>intervenante</w:t>
      </w:r>
      <w:r w:rsidR="00AA7E05" w:rsidRPr="00AA69F2">
        <w:rPr>
          <w:lang w:val="fr-CA"/>
        </w:rPr>
        <w:t xml:space="preserve"> Canadian Constitution </w:t>
      </w:r>
      <w:proofErr w:type="spellStart"/>
      <w:r w:rsidR="00AA7E05" w:rsidRPr="00AA69F2">
        <w:rPr>
          <w:lang w:val="fr-CA"/>
        </w:rPr>
        <w:t>Foundation</w:t>
      </w:r>
      <w:proofErr w:type="spellEnd"/>
      <w:r w:rsidR="00AA7E05" w:rsidRPr="00AA69F2">
        <w:rPr>
          <w:lang w:val="fr-CA"/>
        </w:rPr>
        <w:t xml:space="preserve"> : McCarthy </w:t>
      </w:r>
      <w:proofErr w:type="spellStart"/>
      <w:r w:rsidR="00AA7E05" w:rsidRPr="00AA69F2">
        <w:rPr>
          <w:lang w:val="fr-CA"/>
        </w:rPr>
        <w:t>Tétrault</w:t>
      </w:r>
      <w:proofErr w:type="spellEnd"/>
      <w:r w:rsidR="00AA7E05" w:rsidRPr="00AA69F2">
        <w:rPr>
          <w:lang w:val="fr-CA"/>
        </w:rPr>
        <w:t>, Toronto.</w:t>
      </w:r>
    </w:p>
    <w:p w:rsidR="00995EC8" w:rsidRPr="00AA69F2" w:rsidRDefault="00995EC8">
      <w:pPr>
        <w:pStyle w:val="SCCLawFirm"/>
        <w:rPr>
          <w:lang w:val="fr-CA"/>
        </w:rPr>
      </w:pPr>
    </w:p>
    <w:p w:rsidR="00995EC8" w:rsidRPr="00AA69F2" w:rsidRDefault="00A4218E">
      <w:pPr>
        <w:pStyle w:val="SCCLawFirm"/>
        <w:rPr>
          <w:lang w:val="fr-CA"/>
        </w:rPr>
      </w:pPr>
      <w:r>
        <w:rPr>
          <w:lang w:val="fr-CA"/>
        </w:rPr>
        <w:tab/>
        <w:t>Procureur</w:t>
      </w:r>
      <w:r w:rsidR="00AA7E05" w:rsidRPr="00AA69F2">
        <w:rPr>
          <w:lang w:val="fr-CA"/>
        </w:rPr>
        <w:t xml:space="preserve"> de l</w:t>
      </w:r>
      <w:r w:rsidR="00727B2F">
        <w:rPr>
          <w:lang w:val="fr-CA"/>
        </w:rPr>
        <w:t>’</w:t>
      </w:r>
      <w:r>
        <w:rPr>
          <w:lang w:val="fr-CA"/>
        </w:rPr>
        <w:t>intervenante la</w:t>
      </w:r>
      <w:r w:rsidR="00AA7E05" w:rsidRPr="00AA69F2">
        <w:rPr>
          <w:lang w:val="fr-CA"/>
        </w:rPr>
        <w:t xml:space="preserve"> Commission des valeurs mobilières de l</w:t>
      </w:r>
      <w:r w:rsidR="00727B2F">
        <w:rPr>
          <w:lang w:val="fr-CA"/>
        </w:rPr>
        <w:t>’</w:t>
      </w:r>
      <w:r w:rsidR="00AA7E05" w:rsidRPr="00AA69F2">
        <w:rPr>
          <w:lang w:val="fr-CA"/>
        </w:rPr>
        <w:t xml:space="preserve">Ontario : </w:t>
      </w:r>
      <w:r w:rsidRPr="00AA69F2">
        <w:rPr>
          <w:lang w:val="fr-CA"/>
        </w:rPr>
        <w:t>Commission des valeurs mobilières de l</w:t>
      </w:r>
      <w:r>
        <w:rPr>
          <w:lang w:val="fr-CA"/>
        </w:rPr>
        <w:t>’</w:t>
      </w:r>
      <w:r w:rsidRPr="00AA69F2">
        <w:rPr>
          <w:lang w:val="fr-CA"/>
        </w:rPr>
        <w:t>Ontario</w:t>
      </w:r>
      <w:r w:rsidR="00AA7E05" w:rsidRPr="00AA69F2">
        <w:rPr>
          <w:lang w:val="fr-CA"/>
        </w:rPr>
        <w:t>, Toronto.</w:t>
      </w:r>
    </w:p>
    <w:p w:rsidR="00995EC8" w:rsidRPr="00AA69F2" w:rsidRDefault="00995EC8">
      <w:pPr>
        <w:pStyle w:val="SCCLawFirm"/>
        <w:rPr>
          <w:lang w:val="fr-CA"/>
        </w:rPr>
      </w:pPr>
    </w:p>
    <w:p w:rsidR="00995EC8" w:rsidRPr="00AA69F2" w:rsidRDefault="00A4218E">
      <w:pPr>
        <w:pStyle w:val="SCCLawFirm"/>
        <w:rPr>
          <w:lang w:val="fr-CA"/>
        </w:rPr>
      </w:pPr>
      <w:r>
        <w:rPr>
          <w:lang w:val="fr-CA"/>
        </w:rPr>
        <w:tab/>
        <w:t>Procureurs</w:t>
      </w:r>
      <w:r w:rsidR="00AA7E05" w:rsidRPr="00AA69F2">
        <w:rPr>
          <w:lang w:val="fr-CA"/>
        </w:rPr>
        <w:t xml:space="preserve"> de l</w:t>
      </w:r>
      <w:r w:rsidR="00727B2F">
        <w:rPr>
          <w:lang w:val="fr-CA"/>
        </w:rPr>
        <w:t>’</w:t>
      </w:r>
      <w:r w:rsidR="00AA7E05" w:rsidRPr="00AA69F2">
        <w:rPr>
          <w:lang w:val="fr-CA"/>
        </w:rPr>
        <w:t>intervenant</w:t>
      </w:r>
      <w:r>
        <w:rPr>
          <w:lang w:val="fr-CA"/>
        </w:rPr>
        <w:t>e</w:t>
      </w:r>
      <w:r w:rsidR="00AA7E05" w:rsidRPr="00AA69F2">
        <w:rPr>
          <w:lang w:val="fr-CA"/>
        </w:rPr>
        <w:t xml:space="preserve"> </w:t>
      </w:r>
      <w:r w:rsidRPr="00A4218E">
        <w:rPr>
          <w:lang w:val="fr-CA"/>
        </w:rPr>
        <w:t xml:space="preserve">British Columbia Civil </w:t>
      </w:r>
      <w:proofErr w:type="spellStart"/>
      <w:r w:rsidRPr="00A4218E">
        <w:rPr>
          <w:lang w:val="fr-CA"/>
        </w:rPr>
        <w:t>Liberties</w:t>
      </w:r>
      <w:proofErr w:type="spellEnd"/>
      <w:r w:rsidRPr="00A4218E">
        <w:rPr>
          <w:lang w:val="fr-CA"/>
        </w:rPr>
        <w:t xml:space="preserve"> Association</w:t>
      </w:r>
      <w:r w:rsidR="00AA7E05" w:rsidRPr="00AA69F2">
        <w:rPr>
          <w:lang w:val="fr-CA"/>
        </w:rPr>
        <w:t xml:space="preserve"> : </w:t>
      </w:r>
      <w:proofErr w:type="spellStart"/>
      <w:r w:rsidR="00AA7E05" w:rsidRPr="00AA69F2">
        <w:rPr>
          <w:lang w:val="fr-CA"/>
        </w:rPr>
        <w:t>Stockwoods</w:t>
      </w:r>
      <w:proofErr w:type="spellEnd"/>
      <w:r w:rsidR="00AA7E05" w:rsidRPr="00AA69F2">
        <w:rPr>
          <w:lang w:val="fr-CA"/>
        </w:rPr>
        <w:t>, Toronto.</w:t>
      </w:r>
    </w:p>
    <w:p w:rsidR="00995EC8" w:rsidRPr="00AA69F2" w:rsidRDefault="00995EC8">
      <w:pPr>
        <w:pStyle w:val="SCCLawFirm"/>
        <w:rPr>
          <w:lang w:val="fr-CA"/>
        </w:rPr>
      </w:pPr>
    </w:p>
    <w:p w:rsidR="00995EC8" w:rsidRPr="00AA69F2" w:rsidRDefault="00A4218E">
      <w:pPr>
        <w:pStyle w:val="SCCLawFirm"/>
        <w:rPr>
          <w:lang w:val="fr-CA"/>
        </w:rPr>
      </w:pPr>
      <w:r>
        <w:rPr>
          <w:lang w:val="fr-CA"/>
        </w:rPr>
        <w:tab/>
        <w:t>Procureurs</w:t>
      </w:r>
      <w:r w:rsidR="00AA7E05" w:rsidRPr="00AA69F2">
        <w:rPr>
          <w:lang w:val="fr-CA"/>
        </w:rPr>
        <w:t xml:space="preserve"> de l</w:t>
      </w:r>
      <w:r w:rsidR="00727B2F">
        <w:rPr>
          <w:lang w:val="fr-CA"/>
        </w:rPr>
        <w:t>’</w:t>
      </w:r>
      <w:r>
        <w:rPr>
          <w:lang w:val="fr-CA"/>
        </w:rPr>
        <w:t>intervenante</w:t>
      </w:r>
      <w:r w:rsidR="00AA7E05" w:rsidRPr="00AA69F2">
        <w:rPr>
          <w:lang w:val="fr-CA"/>
        </w:rPr>
        <w:t xml:space="preserve"> </w:t>
      </w:r>
      <w:r>
        <w:rPr>
          <w:lang w:val="fr-CA"/>
        </w:rPr>
        <w:t>l’</w:t>
      </w:r>
      <w:r w:rsidR="00AA7E05" w:rsidRPr="00AA69F2">
        <w:rPr>
          <w:lang w:val="fr-CA"/>
        </w:rPr>
        <w:t xml:space="preserve">Association canadienne des libertés civiles : </w:t>
      </w:r>
      <w:proofErr w:type="spellStart"/>
      <w:r w:rsidR="00AA7E05" w:rsidRPr="00AA69F2">
        <w:rPr>
          <w:lang w:val="fr-CA"/>
        </w:rPr>
        <w:t>Goldblatt</w:t>
      </w:r>
      <w:proofErr w:type="spellEnd"/>
      <w:r w:rsidR="00AA7E05" w:rsidRPr="00AA69F2">
        <w:rPr>
          <w:lang w:val="fr-CA"/>
        </w:rPr>
        <w:t xml:space="preserve"> </w:t>
      </w:r>
      <w:proofErr w:type="spellStart"/>
      <w:r w:rsidR="00AA7E05" w:rsidRPr="00AA69F2">
        <w:rPr>
          <w:lang w:val="fr-CA"/>
        </w:rPr>
        <w:t>Partners</w:t>
      </w:r>
      <w:proofErr w:type="spellEnd"/>
      <w:r w:rsidR="00AA7E05" w:rsidRPr="00AA69F2">
        <w:rPr>
          <w:lang w:val="fr-CA"/>
        </w:rPr>
        <w:t>, Toronto.</w:t>
      </w:r>
    </w:p>
    <w:p w:rsidR="00A4218E" w:rsidRPr="00AA69F2" w:rsidRDefault="00A4218E" w:rsidP="0097568E">
      <w:pPr>
        <w:pStyle w:val="SCCLawFirm"/>
        <w:rPr>
          <w:lang w:val="fr-CA"/>
        </w:rPr>
      </w:pPr>
    </w:p>
    <w:sectPr w:rsidR="00A4218E" w:rsidRPr="00AA69F2" w:rsidSect="00064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7D" w:rsidRDefault="00961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7D" w:rsidRDefault="00961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7D" w:rsidRDefault="00961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7D" w:rsidRDefault="00961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7D" w:rsidRDefault="009619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4507D"/>
    <w:rsid w:val="000578A3"/>
    <w:rsid w:val="000648CC"/>
    <w:rsid w:val="000B79A7"/>
    <w:rsid w:val="000C59B8"/>
    <w:rsid w:val="000C6AF0"/>
    <w:rsid w:val="000D0A77"/>
    <w:rsid w:val="000F7993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A33EA"/>
    <w:rsid w:val="001B33E0"/>
    <w:rsid w:val="001B4116"/>
    <w:rsid w:val="001B4573"/>
    <w:rsid w:val="001C779F"/>
    <w:rsid w:val="001D2AC1"/>
    <w:rsid w:val="001D4E88"/>
    <w:rsid w:val="002116A6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91583"/>
    <w:rsid w:val="002B6FBE"/>
    <w:rsid w:val="002B7924"/>
    <w:rsid w:val="002C10A6"/>
    <w:rsid w:val="002D28C3"/>
    <w:rsid w:val="002D39A4"/>
    <w:rsid w:val="002E6705"/>
    <w:rsid w:val="002F1697"/>
    <w:rsid w:val="0030329A"/>
    <w:rsid w:val="0031086F"/>
    <w:rsid w:val="0031414C"/>
    <w:rsid w:val="00314E01"/>
    <w:rsid w:val="0032089D"/>
    <w:rsid w:val="003310DE"/>
    <w:rsid w:val="003323B0"/>
    <w:rsid w:val="00337B36"/>
    <w:rsid w:val="00340A49"/>
    <w:rsid w:val="0035169A"/>
    <w:rsid w:val="0035259D"/>
    <w:rsid w:val="003535D6"/>
    <w:rsid w:val="00364B18"/>
    <w:rsid w:val="00387FA1"/>
    <w:rsid w:val="00395532"/>
    <w:rsid w:val="003A125D"/>
    <w:rsid w:val="003A4C70"/>
    <w:rsid w:val="003B215F"/>
    <w:rsid w:val="003C799C"/>
    <w:rsid w:val="003D0399"/>
    <w:rsid w:val="003D4E97"/>
    <w:rsid w:val="003E1C71"/>
    <w:rsid w:val="003E62EB"/>
    <w:rsid w:val="003F327B"/>
    <w:rsid w:val="00400CDA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65132"/>
    <w:rsid w:val="004747F1"/>
    <w:rsid w:val="004777C0"/>
    <w:rsid w:val="00480C90"/>
    <w:rsid w:val="0048396F"/>
    <w:rsid w:val="00485ED3"/>
    <w:rsid w:val="00493C18"/>
    <w:rsid w:val="004A600C"/>
    <w:rsid w:val="004A6118"/>
    <w:rsid w:val="004C478D"/>
    <w:rsid w:val="004D7D95"/>
    <w:rsid w:val="004E101B"/>
    <w:rsid w:val="004E2C26"/>
    <w:rsid w:val="004F1621"/>
    <w:rsid w:val="005125A8"/>
    <w:rsid w:val="00512B21"/>
    <w:rsid w:val="00517549"/>
    <w:rsid w:val="00520ABC"/>
    <w:rsid w:val="00521AE8"/>
    <w:rsid w:val="00527180"/>
    <w:rsid w:val="00555291"/>
    <w:rsid w:val="00555AC7"/>
    <w:rsid w:val="00566AD1"/>
    <w:rsid w:val="00583EDE"/>
    <w:rsid w:val="005973D7"/>
    <w:rsid w:val="005A6079"/>
    <w:rsid w:val="005E4698"/>
    <w:rsid w:val="00603924"/>
    <w:rsid w:val="00610539"/>
    <w:rsid w:val="00613969"/>
    <w:rsid w:val="00625C35"/>
    <w:rsid w:val="00645E86"/>
    <w:rsid w:val="00647E49"/>
    <w:rsid w:val="00656313"/>
    <w:rsid w:val="006565F4"/>
    <w:rsid w:val="0066798B"/>
    <w:rsid w:val="00677DD0"/>
    <w:rsid w:val="00682C08"/>
    <w:rsid w:val="00684EEA"/>
    <w:rsid w:val="00693218"/>
    <w:rsid w:val="0069689B"/>
    <w:rsid w:val="006B5FF5"/>
    <w:rsid w:val="006F30AF"/>
    <w:rsid w:val="00701759"/>
    <w:rsid w:val="00705C15"/>
    <w:rsid w:val="007110F6"/>
    <w:rsid w:val="00713FB3"/>
    <w:rsid w:val="007208D1"/>
    <w:rsid w:val="00722DB8"/>
    <w:rsid w:val="00727B2F"/>
    <w:rsid w:val="00744518"/>
    <w:rsid w:val="00747288"/>
    <w:rsid w:val="00747DD3"/>
    <w:rsid w:val="007549C8"/>
    <w:rsid w:val="00766D14"/>
    <w:rsid w:val="00767A0F"/>
    <w:rsid w:val="00791272"/>
    <w:rsid w:val="007A05F6"/>
    <w:rsid w:val="007A56A7"/>
    <w:rsid w:val="007B6F4A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35937"/>
    <w:rsid w:val="00864C8A"/>
    <w:rsid w:val="00864CF8"/>
    <w:rsid w:val="00874914"/>
    <w:rsid w:val="00891422"/>
    <w:rsid w:val="00892E1A"/>
    <w:rsid w:val="008A1E9C"/>
    <w:rsid w:val="008B660A"/>
    <w:rsid w:val="008C01DA"/>
    <w:rsid w:val="008F2674"/>
    <w:rsid w:val="008F4430"/>
    <w:rsid w:val="008F78E9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197D"/>
    <w:rsid w:val="00967374"/>
    <w:rsid w:val="0097568E"/>
    <w:rsid w:val="00995EC8"/>
    <w:rsid w:val="009A343A"/>
    <w:rsid w:val="009B2F23"/>
    <w:rsid w:val="009B57B3"/>
    <w:rsid w:val="009C2918"/>
    <w:rsid w:val="009D2920"/>
    <w:rsid w:val="009D5AEB"/>
    <w:rsid w:val="009F0E33"/>
    <w:rsid w:val="00A149DF"/>
    <w:rsid w:val="00A1755C"/>
    <w:rsid w:val="00A21B90"/>
    <w:rsid w:val="00A22AAC"/>
    <w:rsid w:val="00A41805"/>
    <w:rsid w:val="00A4218E"/>
    <w:rsid w:val="00A51882"/>
    <w:rsid w:val="00A52AFB"/>
    <w:rsid w:val="00A548CB"/>
    <w:rsid w:val="00A5521C"/>
    <w:rsid w:val="00A643E7"/>
    <w:rsid w:val="00A73C38"/>
    <w:rsid w:val="00A839BF"/>
    <w:rsid w:val="00A921A7"/>
    <w:rsid w:val="00AA69F2"/>
    <w:rsid w:val="00AA7E05"/>
    <w:rsid w:val="00AB670D"/>
    <w:rsid w:val="00AF03C5"/>
    <w:rsid w:val="00B000D8"/>
    <w:rsid w:val="00B00F75"/>
    <w:rsid w:val="00B145B6"/>
    <w:rsid w:val="00B279EB"/>
    <w:rsid w:val="00B40767"/>
    <w:rsid w:val="00B50C81"/>
    <w:rsid w:val="00B557F8"/>
    <w:rsid w:val="00B815FC"/>
    <w:rsid w:val="00B93FBC"/>
    <w:rsid w:val="00BA7DA0"/>
    <w:rsid w:val="00BB2EE4"/>
    <w:rsid w:val="00BB4609"/>
    <w:rsid w:val="00BB4C92"/>
    <w:rsid w:val="00BC2108"/>
    <w:rsid w:val="00BD0E9E"/>
    <w:rsid w:val="00BD1BEC"/>
    <w:rsid w:val="00BD32FF"/>
    <w:rsid w:val="00BD7B20"/>
    <w:rsid w:val="00BF6FE9"/>
    <w:rsid w:val="00C02092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A6391"/>
    <w:rsid w:val="00CE036E"/>
    <w:rsid w:val="00CE3171"/>
    <w:rsid w:val="00CF1601"/>
    <w:rsid w:val="00D0172F"/>
    <w:rsid w:val="00D01E33"/>
    <w:rsid w:val="00D068A7"/>
    <w:rsid w:val="00D17476"/>
    <w:rsid w:val="00D17B0E"/>
    <w:rsid w:val="00D32086"/>
    <w:rsid w:val="00D3499B"/>
    <w:rsid w:val="00D37A3F"/>
    <w:rsid w:val="00D4431D"/>
    <w:rsid w:val="00D4667A"/>
    <w:rsid w:val="00D63A1C"/>
    <w:rsid w:val="00D7516F"/>
    <w:rsid w:val="00D95F8E"/>
    <w:rsid w:val="00DA0590"/>
    <w:rsid w:val="00DA0C40"/>
    <w:rsid w:val="00DC1739"/>
    <w:rsid w:val="00DC1788"/>
    <w:rsid w:val="00DE319C"/>
    <w:rsid w:val="00DE5E7A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644CE"/>
    <w:rsid w:val="00E97830"/>
    <w:rsid w:val="00EB4955"/>
    <w:rsid w:val="00EC14DB"/>
    <w:rsid w:val="00EE0830"/>
    <w:rsid w:val="00EE6CB8"/>
    <w:rsid w:val="00EF0683"/>
    <w:rsid w:val="00F0070C"/>
    <w:rsid w:val="00F00EB7"/>
    <w:rsid w:val="00F21C99"/>
    <w:rsid w:val="00F36AB6"/>
    <w:rsid w:val="00F37A09"/>
    <w:rsid w:val="00F409CE"/>
    <w:rsid w:val="00F4379D"/>
    <w:rsid w:val="00F50D2D"/>
    <w:rsid w:val="00F56C8B"/>
    <w:rsid w:val="00F62639"/>
    <w:rsid w:val="00F66810"/>
    <w:rsid w:val="00F733F9"/>
    <w:rsid w:val="00F84DF4"/>
    <w:rsid w:val="00F85C97"/>
    <w:rsid w:val="00F9637C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table" w:styleId="TableGrid">
    <w:name w:val="Table Grid"/>
    <w:basedOn w:val="TableNormal"/>
    <w:uiPriority w:val="59"/>
    <w:rsid w:val="00645E86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645E86"/>
    <w:rPr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645E86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645E86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849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2017-02-16T14:59:00Z</dcterms:created>
  <dcterms:modified xsi:type="dcterms:W3CDTF">2017-10-18T18:25:00Z</dcterms:modified>
</cp:coreProperties>
</file>