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56B" w:rsidRDefault="0046556B" w:rsidP="0046556B">
      <w:pPr>
        <w:pStyle w:val="En-tte"/>
      </w:pPr>
      <w:r>
        <w:ptab w:relativeTo="margin" w:alignment="center" w:leader="none"/>
      </w:r>
      <w:r>
        <w:t xml:space="preserve"> </w:t>
      </w:r>
      <w:r>
        <w:rPr>
          <w:rFonts w:eastAsiaTheme="minorHAnsi" w:cstheme="minorBidi"/>
          <w:szCs w:val="24"/>
          <w:lang w:val="fr-CA" w:eastAsia="en-US"/>
        </w:rPr>
        <w:object w:dxaOrig="1236" w:dyaOrig="12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9pt;height:64.4pt" o:ole="">
            <v:imagedata r:id="rId7" o:title=""/>
          </v:shape>
          <o:OLEObject Type="Embed" ProgID="Presentations.Drawing.17" ShapeID="_x0000_i1025" DrawAspect="Content" ObjectID="_1581507050" r:id="rId8"/>
        </w:object>
      </w:r>
      <w:r>
        <w:t xml:space="preserve"> </w:t>
      </w:r>
      <w:r>
        <w:ptab w:relativeTo="margin" w:alignment="right" w:leader="none"/>
      </w:r>
      <w:r>
        <w:t xml:space="preserve"> </w:t>
      </w:r>
    </w:p>
    <w:p w:rsidR="0046556B" w:rsidRDefault="0046556B" w:rsidP="0046556B">
      <w:pPr>
        <w:pStyle w:val="En-tte"/>
      </w:pPr>
    </w:p>
    <w:p w:rsidR="0046556B" w:rsidRDefault="0046556B" w:rsidP="0046556B">
      <w:pPr>
        <w:jc w:val="center"/>
        <w:rPr>
          <w:b/>
        </w:rPr>
      </w:pPr>
      <w:r>
        <w:rPr>
          <w:b/>
        </w:rPr>
        <w:t>COUR SUPRÊME DU CANADA</w:t>
      </w:r>
    </w:p>
    <w:p w:rsidR="0046556B" w:rsidRDefault="0046556B" w:rsidP="0046556B"/>
    <w:tbl>
      <w:tblPr>
        <w:tblStyle w:val="Grilledutableau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130"/>
        <w:gridCol w:w="1638"/>
        <w:gridCol w:w="2808"/>
      </w:tblGrid>
      <w:tr w:rsidR="0046556B" w:rsidTr="0046556B">
        <w:trPr>
          <w:cantSplit/>
        </w:trPr>
        <w:tc>
          <w:tcPr>
            <w:tcW w:w="6768" w:type="dxa"/>
            <w:gridSpan w:val="2"/>
          </w:tcPr>
          <w:p w:rsidR="0046556B" w:rsidRDefault="0046556B"/>
        </w:tc>
        <w:tc>
          <w:tcPr>
            <w:tcW w:w="2808" w:type="dxa"/>
          </w:tcPr>
          <w:p w:rsidR="0046556B" w:rsidRDefault="0046556B"/>
        </w:tc>
      </w:tr>
      <w:tr w:rsidR="0046556B" w:rsidTr="0046556B">
        <w:trPr>
          <w:cantSplit/>
        </w:trPr>
        <w:tc>
          <w:tcPr>
            <w:tcW w:w="5130" w:type="dxa"/>
            <w:hideMark/>
          </w:tcPr>
          <w:p w:rsidR="0046556B" w:rsidRPr="0046556B" w:rsidRDefault="0046556B">
            <w:pPr>
              <w:ind w:right="-58"/>
              <w:rPr>
                <w:lang w:val="fr-CA"/>
              </w:rPr>
            </w:pPr>
            <w:r w:rsidRPr="0046556B">
              <w:rPr>
                <w:b/>
                <w:smallCaps/>
                <w:lang w:val="fr-CA"/>
              </w:rPr>
              <w:t>Référence :</w:t>
            </w:r>
            <w:r w:rsidRPr="0046556B">
              <w:rPr>
                <w:lang w:val="fr-CA"/>
              </w:rPr>
              <w:t xml:space="preserve"> </w:t>
            </w:r>
            <w:proofErr w:type="spellStart"/>
            <w:r w:rsidRPr="0046556B">
              <w:rPr>
                <w:lang w:val="fr-CA"/>
              </w:rPr>
              <w:t>Pintea</w:t>
            </w:r>
            <w:proofErr w:type="spellEnd"/>
            <w:r w:rsidRPr="0046556B">
              <w:rPr>
                <w:lang w:val="fr-CA"/>
              </w:rPr>
              <w:t xml:space="preserve"> </w:t>
            </w:r>
            <w:r w:rsidRPr="0046556B">
              <w:rPr>
                <w:i/>
                <w:lang w:val="fr-CA"/>
              </w:rPr>
              <w:t>c.</w:t>
            </w:r>
            <w:r w:rsidRPr="0046556B">
              <w:rPr>
                <w:lang w:val="fr-CA"/>
              </w:rPr>
              <w:t xml:space="preserve"> Johns, 2017 CSC 23, [2017] 1 R.C.S. 470</w:t>
            </w:r>
          </w:p>
        </w:tc>
        <w:tc>
          <w:tcPr>
            <w:tcW w:w="4446" w:type="dxa"/>
            <w:gridSpan w:val="2"/>
            <w:hideMark/>
          </w:tcPr>
          <w:p w:rsidR="0046556B" w:rsidRPr="0046556B" w:rsidRDefault="0046556B">
            <w:pPr>
              <w:rPr>
                <w:lang w:val="fr-CA"/>
              </w:rPr>
            </w:pPr>
            <w:r w:rsidRPr="0046556B">
              <w:rPr>
                <w:b/>
                <w:smallCaps/>
                <w:lang w:val="fr-CA"/>
              </w:rPr>
              <w:t>Appel entendu :</w:t>
            </w:r>
            <w:r w:rsidRPr="0046556B">
              <w:rPr>
                <w:lang w:val="fr-CA"/>
              </w:rPr>
              <w:t xml:space="preserve"> 18 avril 2017</w:t>
            </w:r>
          </w:p>
          <w:p w:rsidR="0046556B" w:rsidRPr="0046556B" w:rsidRDefault="0046556B">
            <w:pPr>
              <w:rPr>
                <w:smallCaps/>
                <w:lang w:val="fr-CA"/>
              </w:rPr>
            </w:pPr>
            <w:r w:rsidRPr="0046556B">
              <w:rPr>
                <w:b/>
                <w:smallCaps/>
                <w:lang w:val="fr-CA"/>
              </w:rPr>
              <w:t>Jugement rendu :</w:t>
            </w:r>
            <w:r w:rsidRPr="0046556B">
              <w:rPr>
                <w:lang w:val="fr-CA"/>
              </w:rPr>
              <w:t xml:space="preserve"> 18 avril 2017</w:t>
            </w:r>
          </w:p>
          <w:p w:rsidR="0046556B" w:rsidRDefault="0046556B">
            <w:r>
              <w:rPr>
                <w:b/>
                <w:smallCaps/>
              </w:rPr>
              <w:t>Dossier :</w:t>
            </w:r>
            <w:r>
              <w:t xml:space="preserve"> 37109</w:t>
            </w:r>
          </w:p>
        </w:tc>
      </w:tr>
    </w:tbl>
    <w:p w:rsidR="0046556B" w:rsidRDefault="0046556B" w:rsidP="0046556B">
      <w:pPr>
        <w:rPr>
          <w:rFonts w:cstheme="minorBidi"/>
          <w:lang w:val="fr-CA" w:eastAsia="en-US"/>
        </w:rPr>
      </w:pPr>
    </w:p>
    <w:p w:rsidR="0046556B" w:rsidRDefault="0046556B" w:rsidP="0046556B"/>
    <w:p w:rsidR="0046556B" w:rsidRPr="005A5C1D" w:rsidRDefault="0046556B" w:rsidP="0046556B">
      <w:pPr>
        <w:pStyle w:val="SCCLsocPrefix"/>
        <w:rPr>
          <w:sz w:val="24"/>
          <w:szCs w:val="24"/>
        </w:rPr>
      </w:pPr>
      <w:r w:rsidRPr="005A5C1D">
        <w:rPr>
          <w:sz w:val="24"/>
          <w:szCs w:val="24"/>
        </w:rPr>
        <w:t>Entre :</w:t>
      </w:r>
    </w:p>
    <w:p w:rsidR="0046556B" w:rsidRDefault="0046556B" w:rsidP="0046556B">
      <w:pPr>
        <w:jc w:val="center"/>
        <w:rPr>
          <w:b/>
        </w:rPr>
      </w:pPr>
      <w:r>
        <w:rPr>
          <w:b/>
        </w:rPr>
        <w:t xml:space="preserve">Valentin </w:t>
      </w:r>
      <w:proofErr w:type="spellStart"/>
      <w:r>
        <w:rPr>
          <w:b/>
        </w:rPr>
        <w:t>Pintea</w:t>
      </w:r>
      <w:proofErr w:type="spellEnd"/>
    </w:p>
    <w:p w:rsidR="0046556B" w:rsidRDefault="0046556B" w:rsidP="0046556B">
      <w:pPr>
        <w:jc w:val="center"/>
      </w:pPr>
      <w:proofErr w:type="spellStart"/>
      <w:r>
        <w:t>Appelant</w:t>
      </w:r>
      <w:proofErr w:type="spellEnd"/>
    </w:p>
    <w:p w:rsidR="0046556B" w:rsidRDefault="0046556B" w:rsidP="0046556B">
      <w:pPr>
        <w:jc w:val="center"/>
      </w:pPr>
    </w:p>
    <w:p w:rsidR="0046556B" w:rsidRPr="005A5C1D" w:rsidRDefault="0046556B" w:rsidP="0046556B">
      <w:pPr>
        <w:pStyle w:val="SCCLsocVersus"/>
        <w:spacing w:after="0"/>
        <w:jc w:val="center"/>
        <w:rPr>
          <w:i w:val="0"/>
          <w:lang w:val="fr-CA"/>
        </w:rPr>
      </w:pPr>
      <w:proofErr w:type="gramStart"/>
      <w:r w:rsidRPr="005A5C1D">
        <w:rPr>
          <w:i w:val="0"/>
          <w:lang w:val="fr-CA"/>
        </w:rPr>
        <w:t>et</w:t>
      </w:r>
      <w:proofErr w:type="gramEnd"/>
    </w:p>
    <w:p w:rsidR="0046556B" w:rsidRPr="005A5C1D" w:rsidRDefault="0046556B" w:rsidP="0046556B">
      <w:pPr>
        <w:jc w:val="center"/>
        <w:rPr>
          <w:lang w:val="fr-CA"/>
        </w:rPr>
      </w:pPr>
    </w:p>
    <w:p w:rsidR="005A5C1D" w:rsidRDefault="0046556B" w:rsidP="005A5C1D">
      <w:pPr>
        <w:pStyle w:val="SCCLsocParty"/>
        <w:jc w:val="center"/>
        <w:rPr>
          <w:lang w:val="fr-CA"/>
        </w:rPr>
      </w:pPr>
      <w:r w:rsidRPr="005A5C1D">
        <w:rPr>
          <w:lang w:val="fr-CA"/>
        </w:rPr>
        <w:t xml:space="preserve">Dale Johns et </w:t>
      </w:r>
    </w:p>
    <w:p w:rsidR="0046556B" w:rsidRPr="005A5C1D" w:rsidRDefault="0046556B" w:rsidP="005A5C1D">
      <w:pPr>
        <w:pStyle w:val="SCCLsocParty"/>
        <w:jc w:val="center"/>
        <w:rPr>
          <w:lang w:val="fr-CA"/>
        </w:rPr>
      </w:pPr>
      <w:r w:rsidRPr="005A5C1D">
        <w:rPr>
          <w:lang w:val="fr-CA"/>
        </w:rPr>
        <w:t>Dylan Johns</w:t>
      </w:r>
    </w:p>
    <w:p w:rsidR="0046556B" w:rsidRPr="005A5C1D" w:rsidRDefault="0046556B" w:rsidP="0046556B">
      <w:pPr>
        <w:jc w:val="center"/>
        <w:rPr>
          <w:lang w:val="fr-CA"/>
        </w:rPr>
      </w:pPr>
      <w:r w:rsidRPr="005A5C1D">
        <w:rPr>
          <w:lang w:val="fr-CA"/>
        </w:rPr>
        <w:t>Intimés</w:t>
      </w:r>
    </w:p>
    <w:p w:rsidR="0046556B" w:rsidRPr="005A5C1D" w:rsidRDefault="0046556B" w:rsidP="0046556B">
      <w:pPr>
        <w:jc w:val="center"/>
        <w:rPr>
          <w:lang w:val="fr-CA"/>
        </w:rPr>
      </w:pPr>
    </w:p>
    <w:p w:rsidR="0046556B" w:rsidRPr="005A5C1D" w:rsidRDefault="0046556B" w:rsidP="0046556B">
      <w:pPr>
        <w:jc w:val="center"/>
        <w:rPr>
          <w:lang w:val="fr-CA"/>
        </w:rPr>
      </w:pPr>
      <w:r w:rsidRPr="005A5C1D">
        <w:rPr>
          <w:lang w:val="fr-CA"/>
        </w:rPr>
        <w:t>- et -</w:t>
      </w:r>
    </w:p>
    <w:p w:rsidR="0046556B" w:rsidRPr="005A5C1D" w:rsidRDefault="0046556B" w:rsidP="0046556B">
      <w:pPr>
        <w:jc w:val="center"/>
        <w:rPr>
          <w:lang w:val="fr-CA"/>
        </w:rPr>
      </w:pPr>
    </w:p>
    <w:p w:rsidR="005A5C1D" w:rsidRPr="006F7AF2" w:rsidRDefault="0046556B" w:rsidP="0046556B">
      <w:pPr>
        <w:pStyle w:val="SCCLsocParty"/>
        <w:jc w:val="center"/>
        <w:rPr>
          <w:lang w:val="en-US"/>
        </w:rPr>
      </w:pPr>
      <w:r w:rsidRPr="006F7AF2">
        <w:rPr>
          <w:lang w:val="en-US"/>
        </w:rPr>
        <w:t xml:space="preserve">National Self-Represented Litigants Project, </w:t>
      </w:r>
    </w:p>
    <w:p w:rsidR="005A5C1D" w:rsidRPr="006F7AF2" w:rsidRDefault="0046556B" w:rsidP="0046556B">
      <w:pPr>
        <w:pStyle w:val="SCCLsocParty"/>
        <w:jc w:val="center"/>
        <w:rPr>
          <w:lang w:val="en-US"/>
        </w:rPr>
      </w:pPr>
      <w:r w:rsidRPr="006F7AF2">
        <w:rPr>
          <w:lang w:val="en-US"/>
        </w:rPr>
        <w:t xml:space="preserve">Pro Bono Ontario </w:t>
      </w:r>
      <w:proofErr w:type="gramStart"/>
      <w:r w:rsidRPr="006F7AF2">
        <w:rPr>
          <w:lang w:val="en-US"/>
        </w:rPr>
        <w:t>et</w:t>
      </w:r>
      <w:proofErr w:type="gramEnd"/>
      <w:r w:rsidRPr="006F7AF2">
        <w:rPr>
          <w:lang w:val="en-US"/>
        </w:rPr>
        <w:t xml:space="preserve"> </w:t>
      </w:r>
    </w:p>
    <w:p w:rsidR="0046556B" w:rsidRPr="006F7AF2" w:rsidRDefault="0046556B" w:rsidP="0046556B">
      <w:pPr>
        <w:pStyle w:val="SCCLsocParty"/>
        <w:jc w:val="center"/>
        <w:rPr>
          <w:lang w:val="en-US"/>
        </w:rPr>
      </w:pPr>
      <w:r w:rsidRPr="006F7AF2">
        <w:rPr>
          <w:lang w:val="en-US"/>
        </w:rPr>
        <w:t>Access Pro Bono</w:t>
      </w:r>
    </w:p>
    <w:p w:rsidR="0046556B" w:rsidRPr="0046556B" w:rsidRDefault="0046556B" w:rsidP="0046556B">
      <w:pPr>
        <w:jc w:val="center"/>
        <w:rPr>
          <w:lang w:val="fr-CA"/>
        </w:rPr>
      </w:pPr>
      <w:r w:rsidRPr="0046556B">
        <w:rPr>
          <w:lang w:val="fr-CA"/>
        </w:rPr>
        <w:t>Intervenants</w:t>
      </w:r>
    </w:p>
    <w:p w:rsidR="0046556B" w:rsidRPr="0046556B" w:rsidRDefault="0046556B" w:rsidP="0046556B">
      <w:pPr>
        <w:rPr>
          <w:lang w:val="fr-CA"/>
        </w:rPr>
      </w:pPr>
    </w:p>
    <w:p w:rsidR="0046556B" w:rsidRDefault="0046556B" w:rsidP="0046556B">
      <w:pPr>
        <w:jc w:val="center"/>
        <w:rPr>
          <w:b/>
          <w:smallCaps/>
          <w:lang w:val="fr-CA"/>
        </w:rPr>
      </w:pPr>
      <w:r w:rsidRPr="0046556B">
        <w:rPr>
          <w:b/>
          <w:smallCaps/>
          <w:lang w:val="fr-CA"/>
        </w:rPr>
        <w:t>Traduction française officielle</w:t>
      </w:r>
    </w:p>
    <w:p w:rsidR="0046556B" w:rsidRPr="0046556B" w:rsidRDefault="0046556B" w:rsidP="0046556B">
      <w:pPr>
        <w:rPr>
          <w:lang w:val="fr-CA"/>
        </w:rPr>
      </w:pPr>
    </w:p>
    <w:p w:rsidR="0046556B" w:rsidRPr="0046556B" w:rsidRDefault="0046556B" w:rsidP="0046556B">
      <w:pPr>
        <w:rPr>
          <w:lang w:val="fr-CA"/>
        </w:rPr>
      </w:pPr>
      <w:r w:rsidRPr="0046556B">
        <w:rPr>
          <w:b/>
          <w:smallCaps/>
          <w:lang w:val="fr-CA"/>
        </w:rPr>
        <w:t>Coram :</w:t>
      </w:r>
      <w:r w:rsidRPr="0046556B">
        <w:rPr>
          <w:lang w:val="fr-CA"/>
        </w:rPr>
        <w:t xml:space="preserve"> La juge en chef McLachlin et les juges Abella, Moldaver, Karakatsanis, Wagner, Gascon, Côté, Brown et Rowe</w:t>
      </w:r>
    </w:p>
    <w:p w:rsidR="0046556B" w:rsidRPr="0046556B" w:rsidRDefault="0046556B" w:rsidP="0046556B">
      <w:pPr>
        <w:rPr>
          <w:lang w:val="fr-CA"/>
        </w:rPr>
      </w:pP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46556B" w:rsidRPr="006F7AF2" w:rsidTr="0046556B">
        <w:trPr>
          <w:cantSplit/>
        </w:trPr>
        <w:tc>
          <w:tcPr>
            <w:tcW w:w="3618" w:type="dxa"/>
            <w:hideMark/>
          </w:tcPr>
          <w:p w:rsidR="0046556B" w:rsidRPr="0046556B" w:rsidRDefault="0046556B">
            <w:pPr>
              <w:rPr>
                <w:b/>
                <w:smallCaps/>
                <w:lang w:val="fr-CA"/>
              </w:rPr>
            </w:pPr>
            <w:r w:rsidRPr="0046556B">
              <w:rPr>
                <w:b/>
                <w:smallCaps/>
                <w:lang w:val="fr-CA"/>
              </w:rPr>
              <w:t>Motifs de jugement :</w:t>
            </w:r>
          </w:p>
          <w:p w:rsidR="0046556B" w:rsidRPr="0046556B" w:rsidRDefault="0046556B">
            <w:pPr>
              <w:rPr>
                <w:lang w:val="fr-CA"/>
              </w:rPr>
            </w:pPr>
            <w:r w:rsidRPr="0046556B">
              <w:rPr>
                <w:lang w:val="fr-CA"/>
              </w:rPr>
              <w:t>(par. 1 à 5)</w:t>
            </w:r>
          </w:p>
        </w:tc>
        <w:tc>
          <w:tcPr>
            <w:tcW w:w="5958" w:type="dxa"/>
            <w:hideMark/>
          </w:tcPr>
          <w:p w:rsidR="0046556B" w:rsidRPr="0046556B" w:rsidRDefault="0046556B">
            <w:pPr>
              <w:rPr>
                <w:lang w:val="fr-CA"/>
              </w:rPr>
            </w:pPr>
            <w:r w:rsidRPr="0046556B">
              <w:rPr>
                <w:lang w:val="fr-CA"/>
              </w:rPr>
              <w:t>La juge Karakatsanis (avec l’accord de la juge en chef McLachlin et des juges Abella, Moldaver, Wagner, Gascon, Côté, Brown et Rowe)</w:t>
            </w:r>
          </w:p>
        </w:tc>
      </w:tr>
    </w:tbl>
    <w:p w:rsidR="0046556B" w:rsidRDefault="0046556B" w:rsidP="0046556B">
      <w:pPr>
        <w:rPr>
          <w:rFonts w:cstheme="minorBidi"/>
          <w:lang w:val="fr-CA" w:eastAsia="en-US"/>
        </w:rPr>
      </w:pPr>
    </w:p>
    <w:p w:rsidR="0046556B" w:rsidRPr="0046556B" w:rsidRDefault="0046556B" w:rsidP="0046556B">
      <w:pPr>
        <w:rPr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0" t="0" r="28575" b="19050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6586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126.75pt;margin-top:14.5pt;width:19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"/>
            </w:pict>
          </mc:Fallback>
        </mc:AlternateContent>
      </w:r>
    </w:p>
    <w:p w:rsidR="0046556B" w:rsidRDefault="0046556B" w:rsidP="004D7D95">
      <w:pPr>
        <w:spacing w:line="480" w:lineRule="auto"/>
        <w:jc w:val="both"/>
        <w:rPr>
          <w:rStyle w:val="SCCAppellantForRunningHeadChar"/>
          <w:smallCaps w:val="0"/>
          <w:lang w:val="fr-CA"/>
        </w:rPr>
      </w:pPr>
    </w:p>
    <w:p w:rsidR="004D7D95" w:rsidRPr="0046556B" w:rsidRDefault="00BD22CE" w:rsidP="004D7D95">
      <w:pPr>
        <w:spacing w:line="480" w:lineRule="auto"/>
        <w:jc w:val="both"/>
        <w:rPr>
          <w:smallCaps/>
          <w:lang w:val="en-US"/>
        </w:rPr>
      </w:pPr>
      <w:proofErr w:type="spellStart"/>
      <w:r w:rsidRPr="0046556B">
        <w:rPr>
          <w:rStyle w:val="SCCAppellantForRunningHeadChar"/>
          <w:smallCaps w:val="0"/>
          <w:lang w:val="en-US"/>
        </w:rPr>
        <w:t>Pintea</w:t>
      </w:r>
      <w:proofErr w:type="spellEnd"/>
      <w:r w:rsidRPr="0046556B">
        <w:rPr>
          <w:rStyle w:val="SCCAppellantForRunningHeadChar"/>
          <w:smallCaps w:val="0"/>
          <w:lang w:val="en-US"/>
        </w:rPr>
        <w:t xml:space="preserve"> </w:t>
      </w:r>
      <w:r w:rsidRPr="0046556B">
        <w:rPr>
          <w:rStyle w:val="SCCAppellantForRunningHeadChar"/>
          <w:i/>
          <w:smallCaps w:val="0"/>
          <w:lang w:val="en-US"/>
        </w:rPr>
        <w:t>c.</w:t>
      </w:r>
      <w:r w:rsidRPr="0046556B">
        <w:rPr>
          <w:rStyle w:val="SCCAppellantForRunningHeadChar"/>
          <w:smallCaps w:val="0"/>
          <w:lang w:val="en-US"/>
        </w:rPr>
        <w:t xml:space="preserve"> Johns, </w:t>
      </w:r>
      <w:r w:rsidRPr="0046556B">
        <w:rPr>
          <w:lang w:val="en-US"/>
        </w:rPr>
        <w:t>2017 CSC 23, [2017] 1 R.C.S. 470</w:t>
      </w:r>
    </w:p>
    <w:p w:rsidR="004D7D95" w:rsidRPr="0046556B" w:rsidRDefault="004D7D95" w:rsidP="004D7D95">
      <w:pPr>
        <w:jc w:val="both"/>
        <w:rPr>
          <w:lang w:val="en-US"/>
        </w:rPr>
      </w:pPr>
    </w:p>
    <w:p w:rsidR="004D7D95" w:rsidRPr="0046556B" w:rsidRDefault="004D7D95" w:rsidP="004D7D95">
      <w:pPr>
        <w:jc w:val="both"/>
        <w:rPr>
          <w:lang w:val="en-US"/>
        </w:rPr>
      </w:pPr>
    </w:p>
    <w:p w:rsidR="004D7D95" w:rsidRPr="0046556B" w:rsidRDefault="004D7D95" w:rsidP="004D7D95">
      <w:pPr>
        <w:jc w:val="both"/>
        <w:rPr>
          <w:lang w:val="en-US"/>
        </w:rPr>
      </w:pPr>
    </w:p>
    <w:p w:rsidR="00BD764C" w:rsidRPr="0030088E" w:rsidRDefault="0030088E">
      <w:pPr>
        <w:pStyle w:val="SCCLsocLastPartyInRole"/>
        <w:rPr>
          <w:lang w:val="fr-CA"/>
        </w:rPr>
      </w:pPr>
      <w:r w:rsidRPr="0030088E">
        <w:rPr>
          <w:lang w:val="fr-CA"/>
        </w:rPr>
        <w:t xml:space="preserve">Valentin </w:t>
      </w:r>
      <w:proofErr w:type="spellStart"/>
      <w:r w:rsidRPr="0030088E">
        <w:rPr>
          <w:lang w:val="fr-CA"/>
        </w:rPr>
        <w:t>Pintea</w:t>
      </w:r>
      <w:proofErr w:type="spellEnd"/>
      <w:r w:rsidRPr="0030088E">
        <w:rPr>
          <w:rStyle w:val="SCCLsocPartyRole"/>
          <w:lang w:val="fr-CA"/>
        </w:rPr>
        <w:tab/>
        <w:t>Appelant</w:t>
      </w:r>
    </w:p>
    <w:p w:rsidR="00BD764C" w:rsidRPr="0030088E" w:rsidRDefault="0030088E">
      <w:pPr>
        <w:pStyle w:val="SCCLsocVersus"/>
        <w:rPr>
          <w:lang w:val="fr-CA"/>
        </w:rPr>
      </w:pPr>
      <w:proofErr w:type="gramStart"/>
      <w:r w:rsidRPr="0030088E">
        <w:rPr>
          <w:lang w:val="fr-CA"/>
        </w:rPr>
        <w:t>c</w:t>
      </w:r>
      <w:proofErr w:type="gramEnd"/>
      <w:r w:rsidRPr="0030088E">
        <w:rPr>
          <w:lang w:val="fr-CA"/>
        </w:rPr>
        <w:t>.</w:t>
      </w:r>
    </w:p>
    <w:p w:rsidR="00BD764C" w:rsidRPr="0030088E" w:rsidRDefault="00F31F7B">
      <w:pPr>
        <w:pStyle w:val="SCCLsocParty"/>
        <w:rPr>
          <w:lang w:val="fr-CA"/>
        </w:rPr>
      </w:pPr>
      <w:r>
        <w:rPr>
          <w:lang w:val="fr-CA"/>
        </w:rPr>
        <w:t>Dale Johns et</w:t>
      </w:r>
    </w:p>
    <w:p w:rsidR="00BD764C" w:rsidRPr="0030088E" w:rsidRDefault="0030088E">
      <w:pPr>
        <w:pStyle w:val="SCCLsocLastPartyInRole"/>
        <w:rPr>
          <w:lang w:val="fr-CA"/>
        </w:rPr>
      </w:pPr>
      <w:r w:rsidRPr="0030088E">
        <w:rPr>
          <w:lang w:val="fr-CA"/>
        </w:rPr>
        <w:t>Dylan Johns</w:t>
      </w:r>
      <w:r w:rsidR="00CF7B56">
        <w:rPr>
          <w:rStyle w:val="SCCLsocPartyRole"/>
          <w:lang w:val="fr-CA"/>
        </w:rPr>
        <w:tab/>
        <w:t>Intimé</w:t>
      </w:r>
      <w:r w:rsidRPr="0030088E">
        <w:rPr>
          <w:rStyle w:val="SCCLsocPartyRole"/>
          <w:lang w:val="fr-CA"/>
        </w:rPr>
        <w:t>s</w:t>
      </w:r>
    </w:p>
    <w:p w:rsidR="00BD764C" w:rsidRPr="0030088E" w:rsidRDefault="0030088E">
      <w:pPr>
        <w:pStyle w:val="SCCLsocOtherPartySeparator"/>
        <w:rPr>
          <w:lang w:val="fr-CA"/>
        </w:rPr>
      </w:pPr>
      <w:proofErr w:type="gramStart"/>
      <w:r w:rsidRPr="0030088E">
        <w:rPr>
          <w:lang w:val="fr-CA"/>
        </w:rPr>
        <w:t>et</w:t>
      </w:r>
      <w:proofErr w:type="gramEnd"/>
    </w:p>
    <w:p w:rsidR="00BD764C" w:rsidRPr="00F31F7B" w:rsidRDefault="0030088E">
      <w:pPr>
        <w:pStyle w:val="SCCLsocParty"/>
        <w:rPr>
          <w:lang w:val="fr-CA"/>
        </w:rPr>
      </w:pPr>
      <w:r w:rsidRPr="00F31F7B">
        <w:rPr>
          <w:lang w:val="fr-CA"/>
        </w:rPr>
        <w:t>National Self-</w:t>
      </w:r>
      <w:proofErr w:type="spellStart"/>
      <w:r w:rsidRPr="00F31F7B">
        <w:rPr>
          <w:lang w:val="fr-CA"/>
        </w:rPr>
        <w:t>Represented</w:t>
      </w:r>
      <w:proofErr w:type="spellEnd"/>
      <w:r w:rsidRPr="00F31F7B">
        <w:rPr>
          <w:lang w:val="fr-CA"/>
        </w:rPr>
        <w:t xml:space="preserve"> Litigants Project,</w:t>
      </w:r>
    </w:p>
    <w:p w:rsidR="00BD764C" w:rsidRPr="00F31F7B" w:rsidRDefault="00F31F7B">
      <w:pPr>
        <w:pStyle w:val="SCCLsocParty"/>
        <w:rPr>
          <w:lang w:val="fr-CA"/>
        </w:rPr>
      </w:pPr>
      <w:r>
        <w:rPr>
          <w:lang w:val="fr-CA"/>
        </w:rPr>
        <w:t>Pro Bono Ontario et</w:t>
      </w:r>
    </w:p>
    <w:p w:rsidR="00BD764C" w:rsidRPr="00AA540E" w:rsidRDefault="0030088E">
      <w:pPr>
        <w:pStyle w:val="SCCLsocLastPartyInRole"/>
        <w:rPr>
          <w:lang w:val="fr-CA"/>
        </w:rPr>
      </w:pPr>
      <w:r w:rsidRPr="00AA540E">
        <w:rPr>
          <w:lang w:val="fr-CA"/>
        </w:rPr>
        <w:t>Access Pro Bono</w:t>
      </w:r>
      <w:r w:rsidR="00CF7B56" w:rsidRPr="00AA540E">
        <w:rPr>
          <w:rStyle w:val="SCCLsocPartyRole"/>
          <w:lang w:val="fr-CA"/>
        </w:rPr>
        <w:tab/>
        <w:t>Intervenant</w:t>
      </w:r>
      <w:r w:rsidRPr="00AA540E">
        <w:rPr>
          <w:rStyle w:val="SCCLsocPartyRole"/>
          <w:lang w:val="fr-CA"/>
        </w:rPr>
        <w:t>s</w:t>
      </w:r>
    </w:p>
    <w:p w:rsidR="004D7D95" w:rsidRPr="00AA540E" w:rsidRDefault="004D7D95" w:rsidP="004D7D95">
      <w:pPr>
        <w:jc w:val="both"/>
        <w:rPr>
          <w:lang w:val="fr-CA"/>
        </w:rPr>
      </w:pPr>
    </w:p>
    <w:p w:rsidR="004D7D95" w:rsidRPr="00AA540E" w:rsidRDefault="004D7D95" w:rsidP="004D7D95">
      <w:pPr>
        <w:jc w:val="both"/>
        <w:rPr>
          <w:lang w:val="fr-CA"/>
        </w:rPr>
      </w:pPr>
    </w:p>
    <w:p w:rsidR="004D7D95" w:rsidRPr="00AA540E" w:rsidRDefault="004D7D95" w:rsidP="004D7D95">
      <w:pPr>
        <w:jc w:val="both"/>
        <w:rPr>
          <w:lang w:val="fr-CA"/>
        </w:rPr>
      </w:pPr>
    </w:p>
    <w:p w:rsidR="004D7D95" w:rsidRPr="00AA540E" w:rsidRDefault="00CF7B56" w:rsidP="004D7D95">
      <w:pPr>
        <w:jc w:val="both"/>
        <w:rPr>
          <w:rStyle w:val="SCCRespondentForIndexChar"/>
          <w:lang w:val="fr-CA"/>
        </w:rPr>
      </w:pPr>
      <w:r w:rsidRPr="00AA540E">
        <w:rPr>
          <w:b/>
          <w:lang w:val="fr-CA"/>
        </w:rPr>
        <w:t>Répertorié : </w:t>
      </w:r>
      <w:proofErr w:type="spellStart"/>
      <w:r w:rsidR="004D7D95" w:rsidRPr="00AA540E">
        <w:rPr>
          <w:rStyle w:val="SCCAppellantForIndexChar"/>
          <w:lang w:val="fr-CA"/>
        </w:rPr>
        <w:t>Pintea</w:t>
      </w:r>
      <w:proofErr w:type="spellEnd"/>
      <w:r w:rsidR="004D7D95" w:rsidRPr="00AA540E">
        <w:rPr>
          <w:b/>
          <w:lang w:val="fr-CA"/>
        </w:rPr>
        <w:t xml:space="preserve"> </w:t>
      </w:r>
      <w:r w:rsidR="004D7D95" w:rsidRPr="00AA540E">
        <w:rPr>
          <w:b/>
          <w:i/>
          <w:lang w:val="fr-CA"/>
        </w:rPr>
        <w:t>c.</w:t>
      </w:r>
      <w:r w:rsidR="004D7D95" w:rsidRPr="00AA540E">
        <w:rPr>
          <w:b/>
          <w:lang w:val="fr-CA"/>
        </w:rPr>
        <w:t xml:space="preserve"> </w:t>
      </w:r>
      <w:r w:rsidR="004D7D95" w:rsidRPr="00AA540E">
        <w:rPr>
          <w:rStyle w:val="SCCRespondentForIndexChar"/>
          <w:lang w:val="fr-CA"/>
        </w:rPr>
        <w:t xml:space="preserve">Johns </w:t>
      </w:r>
    </w:p>
    <w:p w:rsidR="00CF7B56" w:rsidRPr="00AA540E" w:rsidRDefault="00CF7B56" w:rsidP="004D7D95">
      <w:pPr>
        <w:jc w:val="both"/>
        <w:rPr>
          <w:rStyle w:val="SCCRespondentForIndexChar"/>
          <w:lang w:val="fr-CA"/>
        </w:rPr>
      </w:pPr>
    </w:p>
    <w:p w:rsidR="00CF7B56" w:rsidRPr="00AA540E" w:rsidRDefault="00CF7B56" w:rsidP="004D7D95">
      <w:pPr>
        <w:jc w:val="both"/>
        <w:rPr>
          <w:lang w:val="fr-CA"/>
        </w:rPr>
      </w:pPr>
    </w:p>
    <w:p w:rsidR="004D7D95" w:rsidRPr="00AA540E" w:rsidRDefault="004D7D95" w:rsidP="004D7D95">
      <w:pPr>
        <w:jc w:val="both"/>
        <w:rPr>
          <w:lang w:val="fr-CA"/>
        </w:rPr>
      </w:pPr>
    </w:p>
    <w:p w:rsidR="004D7D95" w:rsidRPr="00AA540E" w:rsidRDefault="00D17B0E" w:rsidP="004D7D95">
      <w:pPr>
        <w:pStyle w:val="SCCSystemYear"/>
        <w:jc w:val="both"/>
        <w:rPr>
          <w:lang w:val="fr-CA"/>
        </w:rPr>
      </w:pPr>
      <w:r w:rsidRPr="00AA540E">
        <w:rPr>
          <w:lang w:val="fr-CA"/>
        </w:rPr>
        <w:t>2017</w:t>
      </w:r>
      <w:r w:rsidR="00CF7B56" w:rsidRPr="00AA540E">
        <w:rPr>
          <w:lang w:val="fr-CA"/>
        </w:rPr>
        <w:t xml:space="preserve"> CSC 23</w:t>
      </w:r>
    </w:p>
    <w:p w:rsidR="004D7D95" w:rsidRPr="00AA540E" w:rsidRDefault="004D7D95" w:rsidP="004D7D95">
      <w:pPr>
        <w:jc w:val="both"/>
        <w:rPr>
          <w:lang w:val="fr-CA"/>
        </w:rPr>
      </w:pPr>
    </w:p>
    <w:p w:rsidR="004D7D95" w:rsidRPr="00AA540E" w:rsidRDefault="004D7D95" w:rsidP="004D7D95">
      <w:pPr>
        <w:jc w:val="both"/>
        <w:rPr>
          <w:lang w:val="fr-CA"/>
        </w:rPr>
      </w:pPr>
    </w:p>
    <w:p w:rsidR="004D7D95" w:rsidRPr="00AA540E" w:rsidRDefault="004D7D95" w:rsidP="004D7D95">
      <w:pPr>
        <w:jc w:val="both"/>
        <w:rPr>
          <w:lang w:val="fr-CA"/>
        </w:rPr>
      </w:pPr>
    </w:p>
    <w:p w:rsidR="004D7D95" w:rsidRPr="0030088E" w:rsidRDefault="004D7D95" w:rsidP="004D7D95">
      <w:pPr>
        <w:jc w:val="both"/>
        <w:rPr>
          <w:lang w:val="fr-CA"/>
        </w:rPr>
      </w:pPr>
      <w:r w:rsidRPr="0030088E">
        <w:rPr>
          <w:lang w:val="fr-CA"/>
        </w:rPr>
        <w:t>N</w:t>
      </w:r>
      <w:r w:rsidRPr="0030088E">
        <w:rPr>
          <w:vertAlign w:val="superscript"/>
          <w:lang w:val="fr-CA"/>
        </w:rPr>
        <w:t>o</w:t>
      </w:r>
      <w:r w:rsidRPr="0030088E">
        <w:rPr>
          <w:lang w:val="fr-CA"/>
        </w:rPr>
        <w:t xml:space="preserve"> du greffe : 37109.</w:t>
      </w:r>
    </w:p>
    <w:p w:rsidR="004D7D95" w:rsidRPr="0030088E" w:rsidRDefault="004D7D95" w:rsidP="004D7D95">
      <w:pPr>
        <w:jc w:val="both"/>
        <w:rPr>
          <w:lang w:val="fr-CA"/>
        </w:rPr>
      </w:pPr>
    </w:p>
    <w:p w:rsidR="004D7D95" w:rsidRPr="0030088E" w:rsidRDefault="004D7D95" w:rsidP="004D7D95">
      <w:pPr>
        <w:jc w:val="both"/>
        <w:rPr>
          <w:lang w:val="fr-CA"/>
        </w:rPr>
      </w:pPr>
    </w:p>
    <w:p w:rsidR="004D7D95" w:rsidRPr="0030088E" w:rsidRDefault="004D7D95" w:rsidP="004D7D95">
      <w:pPr>
        <w:jc w:val="both"/>
        <w:rPr>
          <w:lang w:val="fr-CA"/>
        </w:rPr>
      </w:pPr>
    </w:p>
    <w:p w:rsidR="004D7D95" w:rsidRPr="0030088E" w:rsidRDefault="00D17B0E" w:rsidP="004D7D95">
      <w:pPr>
        <w:jc w:val="both"/>
        <w:rPr>
          <w:lang w:val="fr-CA"/>
        </w:rPr>
      </w:pPr>
      <w:r w:rsidRPr="0030088E">
        <w:rPr>
          <w:lang w:val="fr-CA"/>
        </w:rPr>
        <w:t>2017 : 18 avri</w:t>
      </w:r>
      <w:r w:rsidR="00CF7B56">
        <w:rPr>
          <w:lang w:val="fr-CA"/>
        </w:rPr>
        <w:t>l</w:t>
      </w:r>
      <w:r w:rsidR="004D7D95" w:rsidRPr="0030088E">
        <w:rPr>
          <w:lang w:val="fr-CA"/>
        </w:rPr>
        <w:t>.</w:t>
      </w:r>
    </w:p>
    <w:p w:rsidR="004D7D95" w:rsidRPr="0030088E" w:rsidRDefault="004D7D95" w:rsidP="004D7D95">
      <w:pPr>
        <w:jc w:val="both"/>
        <w:rPr>
          <w:lang w:val="fr-CA"/>
        </w:rPr>
      </w:pPr>
    </w:p>
    <w:p w:rsidR="004D7D95" w:rsidRPr="0030088E" w:rsidRDefault="004D7D95" w:rsidP="004D7D95">
      <w:pPr>
        <w:jc w:val="both"/>
        <w:rPr>
          <w:lang w:val="fr-CA"/>
        </w:rPr>
      </w:pPr>
    </w:p>
    <w:p w:rsidR="004D7D95" w:rsidRPr="0030088E" w:rsidRDefault="004D7D95" w:rsidP="004D7D95">
      <w:pPr>
        <w:jc w:val="both"/>
        <w:rPr>
          <w:lang w:val="fr-CA"/>
        </w:rPr>
      </w:pPr>
    </w:p>
    <w:p w:rsidR="00F31F7B" w:rsidRDefault="004D7D95" w:rsidP="00F31F7B">
      <w:pPr>
        <w:jc w:val="both"/>
        <w:rPr>
          <w:lang w:val="fr-CA"/>
        </w:rPr>
      </w:pPr>
      <w:r w:rsidRPr="0030088E">
        <w:rPr>
          <w:lang w:val="fr-CA"/>
        </w:rPr>
        <w:t>Présents : La juge en chef McLachlin et les juges Abella, Moldaver, Karakatsanis, Wagner, Gascon, Côté, Brown et Rowe.</w:t>
      </w:r>
    </w:p>
    <w:p w:rsidR="00F31F7B" w:rsidRDefault="00F31F7B" w:rsidP="00F31F7B">
      <w:pPr>
        <w:jc w:val="both"/>
        <w:rPr>
          <w:lang w:val="fr-CA"/>
        </w:rPr>
      </w:pPr>
    </w:p>
    <w:p w:rsidR="004D7D95" w:rsidRPr="00F31F7B" w:rsidRDefault="004D7D95" w:rsidP="00F31F7B">
      <w:pPr>
        <w:spacing w:line="480" w:lineRule="auto"/>
        <w:jc w:val="both"/>
        <w:rPr>
          <w:lang w:val="fr-CA"/>
        </w:rPr>
      </w:pPr>
      <w:r w:rsidRPr="00CF7B56">
        <w:rPr>
          <w:smallCaps/>
          <w:lang w:val="fr-CA"/>
        </w:rPr>
        <w:t xml:space="preserve">en appel de la </w:t>
      </w:r>
      <w:r w:rsidR="00CF7B56" w:rsidRPr="00CF7B56">
        <w:rPr>
          <w:smallCaps/>
          <w:lang w:val="fr-CA"/>
        </w:rPr>
        <w:t xml:space="preserve">cour d’appel de </w:t>
      </w:r>
      <w:proofErr w:type="spellStart"/>
      <w:r w:rsidR="00CF7B56" w:rsidRPr="00CF7B56">
        <w:rPr>
          <w:smallCaps/>
          <w:lang w:val="fr-CA"/>
        </w:rPr>
        <w:t>l’alberta</w:t>
      </w:r>
      <w:proofErr w:type="spellEnd"/>
    </w:p>
    <w:p w:rsidR="00C847DB" w:rsidRPr="00C847DB" w:rsidRDefault="00C847DB" w:rsidP="00C847DB">
      <w:pPr>
        <w:pStyle w:val="SCCNormalDoubleSpacing"/>
        <w:rPr>
          <w:lang w:val="fr-FR"/>
        </w:rPr>
      </w:pPr>
    </w:p>
    <w:p w:rsidR="004D7D95" w:rsidRPr="00662E28" w:rsidRDefault="00C847DB" w:rsidP="0091236F">
      <w:pPr>
        <w:pStyle w:val="SCCNormalDoubleSpacing"/>
        <w:widowControl w:val="0"/>
        <w:rPr>
          <w:lang w:val="fr-FR"/>
        </w:rPr>
      </w:pPr>
      <w:r w:rsidRPr="00C847DB">
        <w:rPr>
          <w:lang w:val="fr-FR"/>
        </w:rPr>
        <w:tab/>
      </w:r>
      <w:r w:rsidRPr="00662E28">
        <w:rPr>
          <w:i/>
          <w:lang w:val="fr-FR"/>
        </w:rPr>
        <w:t xml:space="preserve">Procédure civile </w:t>
      </w:r>
      <w:r w:rsidR="0091236F" w:rsidRPr="0091236F">
        <w:rPr>
          <w:i/>
          <w:lang w:val="fr-CA"/>
        </w:rPr>
        <w:t>—</w:t>
      </w:r>
      <w:r w:rsidRPr="00662E28">
        <w:rPr>
          <w:i/>
          <w:lang w:val="fr-FR"/>
        </w:rPr>
        <w:t xml:space="preserve"> Outrage au tribunal </w:t>
      </w:r>
      <w:r w:rsidR="0091236F" w:rsidRPr="0091236F">
        <w:rPr>
          <w:i/>
          <w:lang w:val="fr-CA"/>
        </w:rPr>
        <w:t>—</w:t>
      </w:r>
      <w:r w:rsidRPr="00662E28">
        <w:rPr>
          <w:i/>
          <w:lang w:val="fr-FR"/>
        </w:rPr>
        <w:t xml:space="preserve"> </w:t>
      </w:r>
      <w:r w:rsidR="00662E28" w:rsidRPr="00662E28">
        <w:rPr>
          <w:i/>
          <w:lang w:val="fr-FR"/>
        </w:rPr>
        <w:t xml:space="preserve">Connaissance </w:t>
      </w:r>
      <w:r w:rsidR="00662E28" w:rsidRPr="001E4813">
        <w:rPr>
          <w:i/>
          <w:lang w:val="fr-FR"/>
        </w:rPr>
        <w:t>requise</w:t>
      </w:r>
      <w:r w:rsidR="001E4813">
        <w:rPr>
          <w:i/>
          <w:lang w:val="fr-FR"/>
        </w:rPr>
        <w:t xml:space="preserve"> </w:t>
      </w:r>
      <w:r w:rsidR="0091236F" w:rsidRPr="0091236F">
        <w:rPr>
          <w:i/>
          <w:lang w:val="fr-CA"/>
        </w:rPr>
        <w:t>—</w:t>
      </w:r>
      <w:r w:rsidRPr="00662E28">
        <w:rPr>
          <w:i/>
          <w:lang w:val="fr-FR"/>
        </w:rPr>
        <w:t xml:space="preserve"> </w:t>
      </w:r>
      <w:r w:rsidR="00662E28" w:rsidRPr="00662E28">
        <w:rPr>
          <w:i/>
          <w:lang w:val="fr-FR"/>
        </w:rPr>
        <w:t>Défaut par un</w:t>
      </w:r>
      <w:r w:rsidR="00897EA6">
        <w:rPr>
          <w:i/>
          <w:lang w:val="fr-FR"/>
        </w:rPr>
        <w:t xml:space="preserve"> demandeur</w:t>
      </w:r>
      <w:r w:rsidR="00662E28" w:rsidRPr="00662E28">
        <w:rPr>
          <w:i/>
          <w:lang w:val="fr-FR"/>
        </w:rPr>
        <w:t xml:space="preserve"> non représenté de se conformer </w:t>
      </w:r>
      <w:r w:rsidR="001E4813">
        <w:rPr>
          <w:i/>
          <w:lang w:val="fr-FR"/>
        </w:rPr>
        <w:t>à des</w:t>
      </w:r>
      <w:r w:rsidR="00662E28" w:rsidRPr="00662E28">
        <w:rPr>
          <w:i/>
          <w:lang w:val="fr-FR"/>
        </w:rPr>
        <w:t xml:space="preserve"> ordonnances relatives à la gestion de l’instance et de se présenter à des rencontres de gestion d’instance après avoir déménagé sans </w:t>
      </w:r>
      <w:r w:rsidR="00662E28" w:rsidRPr="001E4813">
        <w:rPr>
          <w:i/>
          <w:lang w:val="fr-FR"/>
        </w:rPr>
        <w:t>communiquer au tribunal</w:t>
      </w:r>
      <w:r w:rsidR="00662E28" w:rsidRPr="00662E28">
        <w:rPr>
          <w:i/>
          <w:lang w:val="fr-FR"/>
        </w:rPr>
        <w:t xml:space="preserve"> son changement d’adresse comme </w:t>
      </w:r>
      <w:r w:rsidR="001E4813">
        <w:rPr>
          <w:i/>
          <w:lang w:val="fr-FR"/>
        </w:rPr>
        <w:t>il était tenu</w:t>
      </w:r>
      <w:r w:rsidR="00662E28" w:rsidRPr="00662E28">
        <w:rPr>
          <w:i/>
          <w:lang w:val="fr-FR"/>
        </w:rPr>
        <w:t xml:space="preserve"> de le faire</w:t>
      </w:r>
      <w:r w:rsidRPr="00662E28">
        <w:rPr>
          <w:i/>
          <w:lang w:val="fr-FR"/>
        </w:rPr>
        <w:t xml:space="preserve"> </w:t>
      </w:r>
      <w:r w:rsidR="0091236F" w:rsidRPr="0091236F">
        <w:rPr>
          <w:i/>
          <w:lang w:val="fr-CA"/>
        </w:rPr>
        <w:t>—</w:t>
      </w:r>
      <w:r w:rsidR="0091236F">
        <w:rPr>
          <w:i/>
          <w:lang w:val="fr-CA"/>
        </w:rPr>
        <w:t xml:space="preserve"> </w:t>
      </w:r>
      <w:r w:rsidR="001E4813">
        <w:rPr>
          <w:i/>
          <w:lang w:val="fr-FR"/>
        </w:rPr>
        <w:t>Décision de la</w:t>
      </w:r>
      <w:r w:rsidR="00897EA6">
        <w:rPr>
          <w:i/>
          <w:lang w:val="fr-FR"/>
        </w:rPr>
        <w:t xml:space="preserve"> juge chargé</w:t>
      </w:r>
      <w:r w:rsidR="001E4813">
        <w:rPr>
          <w:i/>
          <w:lang w:val="fr-FR"/>
        </w:rPr>
        <w:t>e</w:t>
      </w:r>
      <w:r w:rsidR="00897EA6">
        <w:rPr>
          <w:i/>
          <w:lang w:val="fr-FR"/>
        </w:rPr>
        <w:t xml:space="preserve"> de la gestion de l’instance radiant </w:t>
      </w:r>
      <w:r w:rsidR="00897EA6" w:rsidRPr="001E4813">
        <w:rPr>
          <w:i/>
          <w:lang w:val="fr-FR"/>
        </w:rPr>
        <w:t>la demande</w:t>
      </w:r>
      <w:r w:rsidR="00897EA6">
        <w:rPr>
          <w:i/>
          <w:lang w:val="fr-FR"/>
        </w:rPr>
        <w:t>, déclarant le demandeur coupable d’outrage au tribunal et adjugeant les dépens en faveur des défendeurs</w:t>
      </w:r>
      <w:r w:rsidRPr="00662E28">
        <w:rPr>
          <w:i/>
          <w:lang w:val="fr-FR"/>
        </w:rPr>
        <w:t xml:space="preserve"> </w:t>
      </w:r>
      <w:r w:rsidR="0091236F" w:rsidRPr="0091236F">
        <w:rPr>
          <w:i/>
          <w:lang w:val="fr-CA"/>
        </w:rPr>
        <w:t>—</w:t>
      </w:r>
      <w:r w:rsidRPr="00662E28">
        <w:rPr>
          <w:i/>
          <w:lang w:val="fr-FR"/>
        </w:rPr>
        <w:t xml:space="preserve"> </w:t>
      </w:r>
      <w:r w:rsidR="00897EA6">
        <w:rPr>
          <w:i/>
          <w:lang w:val="fr-FR"/>
        </w:rPr>
        <w:t xml:space="preserve">Arrêt de la Cour d’appel confirmant cette décision à la majorité </w:t>
      </w:r>
      <w:r w:rsidR="0091236F" w:rsidRPr="0091236F">
        <w:rPr>
          <w:i/>
          <w:lang w:val="fr-CA"/>
        </w:rPr>
        <w:t>—</w:t>
      </w:r>
      <w:r w:rsidR="0091236F">
        <w:rPr>
          <w:i/>
          <w:lang w:val="fr-CA"/>
        </w:rPr>
        <w:t xml:space="preserve"> </w:t>
      </w:r>
      <w:r w:rsidR="00897EA6" w:rsidRPr="001E4813">
        <w:rPr>
          <w:i/>
          <w:lang w:val="fr-FR"/>
        </w:rPr>
        <w:t>Opinion</w:t>
      </w:r>
      <w:r w:rsidR="00C10EE9" w:rsidRPr="001E4813">
        <w:rPr>
          <w:i/>
          <w:lang w:val="fr-FR"/>
        </w:rPr>
        <w:t xml:space="preserve"> dissidente</w:t>
      </w:r>
      <w:r w:rsidR="00897EA6">
        <w:rPr>
          <w:i/>
          <w:lang w:val="fr-FR"/>
        </w:rPr>
        <w:t xml:space="preserve"> concluant que </w:t>
      </w:r>
      <w:r w:rsidR="00C10EE9">
        <w:rPr>
          <w:i/>
          <w:lang w:val="fr-FR"/>
        </w:rPr>
        <w:t>le défaut du demandeur de se présenter aux rencontres de gestion d’instance ne représentait pas un outrage au tribunal et que la condamnation aux dépens constituait une conséquence disproportionnée par rapport à l’omission d’avoir communiqué le changement d’adresse</w:t>
      </w:r>
      <w:r w:rsidRPr="00662E28">
        <w:rPr>
          <w:i/>
          <w:lang w:val="fr-FR"/>
        </w:rPr>
        <w:t xml:space="preserve"> </w:t>
      </w:r>
      <w:r w:rsidR="0091236F" w:rsidRPr="0091236F">
        <w:rPr>
          <w:i/>
          <w:lang w:val="fr-CA"/>
        </w:rPr>
        <w:t>—</w:t>
      </w:r>
      <w:r w:rsidR="0091236F">
        <w:rPr>
          <w:i/>
          <w:lang w:val="fr-CA"/>
        </w:rPr>
        <w:t xml:space="preserve"> </w:t>
      </w:r>
      <w:r w:rsidR="009944C1">
        <w:rPr>
          <w:i/>
          <w:lang w:val="fr-FR"/>
        </w:rPr>
        <w:t>Preuve de la connaissance réelle par le demandeur des ordonnances en cause requise pour justifier sa condamnation pour outrage au tribunal</w:t>
      </w:r>
      <w:r w:rsidRPr="00662E28">
        <w:rPr>
          <w:i/>
          <w:lang w:val="fr-FR"/>
        </w:rPr>
        <w:t xml:space="preserve"> </w:t>
      </w:r>
      <w:r w:rsidR="0091236F" w:rsidRPr="0091236F">
        <w:rPr>
          <w:i/>
          <w:lang w:val="fr-CA"/>
        </w:rPr>
        <w:t>—</w:t>
      </w:r>
      <w:r w:rsidRPr="00662E28">
        <w:rPr>
          <w:i/>
          <w:lang w:val="fr-FR"/>
        </w:rPr>
        <w:t xml:space="preserve"> </w:t>
      </w:r>
      <w:r w:rsidR="00C10EE9">
        <w:rPr>
          <w:i/>
          <w:lang w:val="fr-FR"/>
        </w:rPr>
        <w:t>Rétablissement de l’action en justice et annulation de la condamnation aux dépens</w:t>
      </w:r>
      <w:r w:rsidRPr="00662E28">
        <w:rPr>
          <w:i/>
          <w:lang w:val="fr-FR"/>
        </w:rPr>
        <w:t xml:space="preserve"> </w:t>
      </w:r>
      <w:r w:rsidR="0091236F" w:rsidRPr="0091236F">
        <w:rPr>
          <w:i/>
          <w:lang w:val="fr-CA"/>
        </w:rPr>
        <w:t>—</w:t>
      </w:r>
      <w:r w:rsidRPr="00662E28">
        <w:rPr>
          <w:i/>
          <w:lang w:val="fr-FR"/>
        </w:rPr>
        <w:t xml:space="preserve"> Alberta </w:t>
      </w:r>
      <w:proofErr w:type="spellStart"/>
      <w:r w:rsidRPr="00662E28">
        <w:rPr>
          <w:i/>
          <w:lang w:val="fr-FR"/>
        </w:rPr>
        <w:t>Rules</w:t>
      </w:r>
      <w:proofErr w:type="spellEnd"/>
      <w:r w:rsidRPr="00662E28">
        <w:rPr>
          <w:i/>
          <w:lang w:val="fr-FR"/>
        </w:rPr>
        <w:t xml:space="preserve"> of Court, Alta. Reg. 124/2010, </w:t>
      </w:r>
      <w:r w:rsidR="001E4813">
        <w:rPr>
          <w:i/>
          <w:lang w:val="fr-FR"/>
        </w:rPr>
        <w:t>art.</w:t>
      </w:r>
      <w:r w:rsidRPr="00662E28">
        <w:rPr>
          <w:i/>
          <w:lang w:val="fr-FR"/>
        </w:rPr>
        <w:t xml:space="preserve"> 10.52(3</w:t>
      </w:r>
      <w:proofErr w:type="gramStart"/>
      <w:r w:rsidRPr="00662E28">
        <w:rPr>
          <w:i/>
          <w:lang w:val="fr-FR"/>
        </w:rPr>
        <w:t>)(</w:t>
      </w:r>
      <w:proofErr w:type="gramEnd"/>
      <w:r w:rsidRPr="00662E28">
        <w:rPr>
          <w:i/>
          <w:lang w:val="fr-FR"/>
        </w:rPr>
        <w:t>a)(iii).</w:t>
      </w:r>
    </w:p>
    <w:p w:rsidR="004D7D95" w:rsidRPr="00662E28" w:rsidRDefault="004D7D95" w:rsidP="00F31F7B">
      <w:pPr>
        <w:pStyle w:val="SCCNormalDoubleSpacing"/>
        <w:rPr>
          <w:lang w:val="fr-FR"/>
        </w:rPr>
      </w:pPr>
    </w:p>
    <w:p w:rsidR="004D7D95" w:rsidRPr="004D7D95" w:rsidRDefault="004D7D95" w:rsidP="00F31F7B">
      <w:pPr>
        <w:pStyle w:val="SCCNormalDoubleSpacing"/>
        <w:rPr>
          <w:b/>
          <w:lang w:val="fr-CA"/>
        </w:rPr>
      </w:pPr>
      <w:r w:rsidRPr="004D7D95">
        <w:rPr>
          <w:b/>
          <w:lang w:val="fr-CA"/>
        </w:rPr>
        <w:t>Lois et règlements cités</w:t>
      </w:r>
    </w:p>
    <w:p w:rsidR="004D7D95" w:rsidRPr="004D7D95" w:rsidRDefault="004D7D95" w:rsidP="004D7D95">
      <w:pPr>
        <w:pStyle w:val="SCCNormalDoubleSpacing"/>
        <w:spacing w:line="240" w:lineRule="auto"/>
        <w:ind w:left="540" w:hanging="540"/>
        <w:rPr>
          <w:lang w:val="fr-CA"/>
        </w:rPr>
      </w:pPr>
    </w:p>
    <w:p w:rsidR="00393D30" w:rsidRPr="00F4272F" w:rsidRDefault="00393D30" w:rsidP="004D7D95">
      <w:pPr>
        <w:pStyle w:val="SCCNormalDoubleSpacing"/>
        <w:spacing w:line="240" w:lineRule="auto"/>
        <w:ind w:left="540" w:hanging="540"/>
        <w:rPr>
          <w:i/>
          <w:lang w:val="fr-CA"/>
        </w:rPr>
      </w:pPr>
    </w:p>
    <w:p w:rsidR="004D7D95" w:rsidRPr="005A5C1D" w:rsidRDefault="00393D30" w:rsidP="004D7D95">
      <w:pPr>
        <w:pStyle w:val="SCCNormalDoubleSpacing"/>
        <w:spacing w:line="240" w:lineRule="auto"/>
        <w:ind w:left="540" w:hanging="540"/>
        <w:rPr>
          <w:lang w:val="en-US"/>
        </w:rPr>
      </w:pPr>
      <w:r w:rsidRPr="005A5C1D">
        <w:rPr>
          <w:i/>
          <w:lang w:val="en-US"/>
        </w:rPr>
        <w:t>Alberta Rules of Court</w:t>
      </w:r>
      <w:r w:rsidRPr="005A5C1D">
        <w:rPr>
          <w:lang w:val="en-US"/>
        </w:rPr>
        <w:t>, Alta. Reg. 124/2010, art. 10.52(3</w:t>
      </w:r>
      <w:proofErr w:type="gramStart"/>
      <w:r w:rsidRPr="005A5C1D">
        <w:rPr>
          <w:lang w:val="en-US"/>
        </w:rPr>
        <w:t>)(</w:t>
      </w:r>
      <w:proofErr w:type="gramEnd"/>
      <w:r w:rsidRPr="005A5C1D">
        <w:rPr>
          <w:lang w:val="en-US"/>
        </w:rPr>
        <w:t>a)(iii).</w:t>
      </w:r>
    </w:p>
    <w:p w:rsidR="00852064" w:rsidRPr="005A5C1D" w:rsidRDefault="00852064" w:rsidP="004D7D95">
      <w:pPr>
        <w:pStyle w:val="SCCNormalDoubleSpacing"/>
        <w:spacing w:line="240" w:lineRule="auto"/>
        <w:ind w:left="540" w:hanging="540"/>
        <w:rPr>
          <w:lang w:val="en-US"/>
        </w:rPr>
      </w:pPr>
    </w:p>
    <w:p w:rsidR="00852064" w:rsidRPr="005A5C1D" w:rsidRDefault="00852064" w:rsidP="004D7D95">
      <w:pPr>
        <w:pStyle w:val="SCCNormalDoubleSpacing"/>
        <w:spacing w:line="240" w:lineRule="auto"/>
        <w:ind w:left="540" w:hanging="540"/>
        <w:rPr>
          <w:lang w:val="en-US"/>
        </w:rPr>
      </w:pPr>
    </w:p>
    <w:p w:rsidR="00393D30" w:rsidRPr="005A5C1D" w:rsidRDefault="00393D30" w:rsidP="004D7D95">
      <w:pPr>
        <w:pStyle w:val="SCCNormalDoubleSpacing"/>
        <w:spacing w:line="240" w:lineRule="auto"/>
        <w:ind w:left="540" w:hanging="540"/>
        <w:rPr>
          <w:b/>
          <w:lang w:val="en-US"/>
        </w:rPr>
      </w:pPr>
    </w:p>
    <w:p w:rsidR="00852064" w:rsidRPr="00947A1A" w:rsidRDefault="00947A1A" w:rsidP="004D7D95">
      <w:pPr>
        <w:pStyle w:val="SCCNormalDoubleSpacing"/>
        <w:spacing w:line="240" w:lineRule="auto"/>
        <w:ind w:left="540" w:hanging="540"/>
        <w:rPr>
          <w:b/>
          <w:lang w:val="fr-CA"/>
        </w:rPr>
      </w:pPr>
      <w:r w:rsidRPr="00947A1A">
        <w:rPr>
          <w:b/>
          <w:lang w:val="fr-CA"/>
        </w:rPr>
        <w:t>Doctrine et autres documents cités</w:t>
      </w:r>
    </w:p>
    <w:p w:rsidR="00947A1A" w:rsidRPr="00947A1A" w:rsidRDefault="00947A1A" w:rsidP="004D7D95">
      <w:pPr>
        <w:pStyle w:val="SCCNormalDoubleSpacing"/>
        <w:spacing w:line="240" w:lineRule="auto"/>
        <w:ind w:left="540" w:hanging="540"/>
        <w:rPr>
          <w:b/>
          <w:lang w:val="fr-CA"/>
        </w:rPr>
      </w:pPr>
    </w:p>
    <w:p w:rsidR="00947A1A" w:rsidRDefault="00947A1A" w:rsidP="004D7D95">
      <w:pPr>
        <w:pStyle w:val="SCCNormalDoubleSpacing"/>
        <w:spacing w:line="240" w:lineRule="auto"/>
        <w:ind w:left="540" w:hanging="540"/>
        <w:rPr>
          <w:lang w:val="fr-CA"/>
        </w:rPr>
      </w:pPr>
    </w:p>
    <w:p w:rsidR="004D7D95" w:rsidRPr="004D7D95" w:rsidRDefault="00393D30" w:rsidP="00640461">
      <w:pPr>
        <w:pStyle w:val="SCCNormalDoubleSpacing"/>
        <w:spacing w:line="240" w:lineRule="auto"/>
        <w:ind w:left="540" w:hanging="540"/>
        <w:rPr>
          <w:lang w:val="fr-CA"/>
        </w:rPr>
      </w:pPr>
      <w:r>
        <w:rPr>
          <w:lang w:val="fr-CA"/>
        </w:rPr>
        <w:t xml:space="preserve">Conseil canadien de la magistrature. </w:t>
      </w:r>
      <w:r w:rsidRPr="001F03FF">
        <w:rPr>
          <w:i/>
          <w:lang w:val="fr-FR"/>
        </w:rPr>
        <w:t>Énoncé de principes concernant les plaideurs et les accusés non représentés par un avoca</w:t>
      </w:r>
      <w:r w:rsidRPr="005A5C70">
        <w:rPr>
          <w:i/>
          <w:lang w:val="fr-FR"/>
        </w:rPr>
        <w:t>t</w:t>
      </w:r>
      <w:r w:rsidRPr="00393D30">
        <w:rPr>
          <w:lang w:val="fr-FR"/>
        </w:rPr>
        <w:t>, septembre 2006 (en ligne :</w:t>
      </w:r>
      <w:r w:rsidRPr="00393D30">
        <w:rPr>
          <w:lang w:val="fr-CA"/>
        </w:rPr>
        <w:t xml:space="preserve"> </w:t>
      </w:r>
      <w:r w:rsidR="0005254E" w:rsidRPr="0005254E">
        <w:rPr>
          <w:lang w:val="fr-CA"/>
        </w:rPr>
        <w:lastRenderedPageBreak/>
        <w:t>https://www.cjc-ccm.gc.ca/cmslib/general/news_pub_other_PrinciplesStatement_2006_fr.pdf</w:t>
      </w:r>
      <w:r w:rsidR="0005254E">
        <w:rPr>
          <w:lang w:val="fr-CA"/>
        </w:rPr>
        <w:t xml:space="preserve">; version archivée : </w:t>
      </w:r>
      <w:hyperlink r:id="rId9" w:history="1">
        <w:r w:rsidR="00233B17" w:rsidRPr="00A92D21">
          <w:rPr>
            <w:rStyle w:val="Lienhypertexte"/>
            <w:lang w:val="fr-CA"/>
          </w:rPr>
          <w:t>http://www.scc-csc</w:t>
        </w:r>
        <w:r w:rsidR="00233B17" w:rsidRPr="00A92D21">
          <w:rPr>
            <w:rStyle w:val="Lienhypertexte"/>
            <w:lang w:val="fr-CA"/>
          </w:rPr>
          <w:t>.</w:t>
        </w:r>
        <w:r w:rsidR="00233B17" w:rsidRPr="00A92D21">
          <w:rPr>
            <w:rStyle w:val="Lienhypertexte"/>
            <w:lang w:val="fr-CA"/>
          </w:rPr>
          <w:t>ca/cso-dce/2017SCC-CSC23_1_fra.pdf</w:t>
        </w:r>
      </w:hyperlink>
      <w:r>
        <w:rPr>
          <w:lang w:val="fr-CA"/>
        </w:rPr>
        <w:t>).</w:t>
      </w:r>
      <w:bookmarkStart w:id="0" w:name="_GoBack"/>
      <w:bookmarkEnd w:id="0"/>
    </w:p>
    <w:p w:rsidR="004D7D95" w:rsidRPr="004D7D95" w:rsidRDefault="004D7D95" w:rsidP="00640461">
      <w:pPr>
        <w:pStyle w:val="SCCNormalDoubleSpacing"/>
        <w:spacing w:after="480" w:line="240" w:lineRule="auto"/>
        <w:ind w:left="547" w:hanging="547"/>
        <w:rPr>
          <w:lang w:val="fr-CA"/>
        </w:rPr>
      </w:pPr>
    </w:p>
    <w:p w:rsidR="004D7D95" w:rsidRDefault="004D7D95" w:rsidP="004D7D95">
      <w:pPr>
        <w:pStyle w:val="SCCNormalDoubleSpacing"/>
        <w:rPr>
          <w:lang w:val="fr-CA"/>
        </w:rPr>
      </w:pPr>
      <w:r w:rsidRPr="004D7D95">
        <w:rPr>
          <w:lang w:val="fr-CA"/>
        </w:rPr>
        <w:tab/>
        <w:t xml:space="preserve">POURVOI contre un arrêt de la </w:t>
      </w:r>
      <w:r w:rsidR="00CF7B56">
        <w:rPr>
          <w:lang w:val="fr-CA"/>
        </w:rPr>
        <w:t>Cour d’</w:t>
      </w:r>
      <w:r w:rsidRPr="0030088E">
        <w:rPr>
          <w:lang w:val="fr-CA"/>
        </w:rPr>
        <w:t xml:space="preserve">appel de l’Alberta </w:t>
      </w:r>
      <w:r w:rsidR="00CF7B56">
        <w:rPr>
          <w:lang w:val="fr-CA"/>
        </w:rPr>
        <w:t xml:space="preserve">(les juges Martin, McDonald et Veldhuis), </w:t>
      </w:r>
      <w:r w:rsidR="008706C0">
        <w:rPr>
          <w:lang w:val="fr-CA"/>
        </w:rPr>
        <w:t>2016 ABCA 99,</w:t>
      </w:r>
      <w:r w:rsidR="00D86A1D">
        <w:rPr>
          <w:lang w:val="fr-CA"/>
        </w:rPr>
        <w:t xml:space="preserve"> </w:t>
      </w:r>
      <w:r w:rsidR="00D86A1D" w:rsidRPr="00D86A1D">
        <w:rPr>
          <w:lang w:val="fr-CA"/>
        </w:rPr>
        <w:t>[2016] A.J. No. 432 (QL</w:t>
      </w:r>
      <w:r w:rsidR="00D86A1D">
        <w:rPr>
          <w:lang w:val="fr-CA"/>
        </w:rPr>
        <w:t>),</w:t>
      </w:r>
      <w:r w:rsidR="008306A8" w:rsidRPr="008306A8">
        <w:rPr>
          <w:lang w:val="fr-CA"/>
        </w:rPr>
        <w:t xml:space="preserve"> 2016 CarswellAlta 772 (WL Can.),</w:t>
      </w:r>
      <w:r w:rsidR="008306A8">
        <w:rPr>
          <w:lang w:val="fr-CA"/>
        </w:rPr>
        <w:t xml:space="preserve"> </w:t>
      </w:r>
      <w:r w:rsidR="00FC6958" w:rsidRPr="00F31F7B">
        <w:rPr>
          <w:lang w:val="fr-CA"/>
        </w:rPr>
        <w:t>qu</w:t>
      </w:r>
      <w:r w:rsidR="008706C0" w:rsidRPr="00F31F7B">
        <w:rPr>
          <w:lang w:val="fr-CA"/>
        </w:rPr>
        <w:t xml:space="preserve">i a confirmé </w:t>
      </w:r>
      <w:r w:rsidR="00F31F7B">
        <w:rPr>
          <w:lang w:val="fr-CA"/>
        </w:rPr>
        <w:t>une</w:t>
      </w:r>
      <w:r w:rsidR="008706C0" w:rsidRPr="00F31F7B">
        <w:rPr>
          <w:lang w:val="fr-CA"/>
        </w:rPr>
        <w:t xml:space="preserve"> décision de la </w:t>
      </w:r>
      <w:r w:rsidR="00F31F7B">
        <w:rPr>
          <w:lang w:val="fr-CA"/>
        </w:rPr>
        <w:t>Cour du Banc de la Reine (juge Kenny)</w:t>
      </w:r>
      <w:r w:rsidR="008706C0">
        <w:rPr>
          <w:lang w:val="fr-CA"/>
        </w:rPr>
        <w:t>.  P</w:t>
      </w:r>
      <w:r w:rsidR="000F618E">
        <w:rPr>
          <w:lang w:val="fr-CA"/>
        </w:rPr>
        <w:t>ourvoi accueilli.</w:t>
      </w:r>
    </w:p>
    <w:p w:rsidR="00CF7B56" w:rsidRDefault="00CF7B56" w:rsidP="004D7D95">
      <w:pPr>
        <w:pStyle w:val="SCCNormalDoubleSpacing"/>
        <w:rPr>
          <w:lang w:val="fr-CA"/>
        </w:rPr>
      </w:pPr>
    </w:p>
    <w:p w:rsidR="00BD764C" w:rsidRPr="0030088E" w:rsidRDefault="0030088E">
      <w:pPr>
        <w:pStyle w:val="SCCNormalDoubleSpacing"/>
        <w:rPr>
          <w:lang w:val="fr-CA"/>
        </w:rPr>
      </w:pPr>
      <w:r w:rsidRPr="0030088E">
        <w:rPr>
          <w:rStyle w:val="SCCCounselNameChar"/>
          <w:lang w:val="fr-CA"/>
        </w:rPr>
        <w:tab/>
        <w:t xml:space="preserve">Colin </w:t>
      </w:r>
      <w:proofErr w:type="spellStart"/>
      <w:r w:rsidRPr="0030088E">
        <w:rPr>
          <w:rStyle w:val="SCCCounselNameChar"/>
          <w:lang w:val="fr-CA"/>
        </w:rPr>
        <w:t>Feasby</w:t>
      </w:r>
      <w:proofErr w:type="spellEnd"/>
      <w:r w:rsidRPr="0030088E">
        <w:rPr>
          <w:rStyle w:val="SCCCounselSeparatorChar"/>
          <w:lang w:val="fr-CA"/>
        </w:rPr>
        <w:t xml:space="preserve">, </w:t>
      </w:r>
      <w:r w:rsidRPr="0030088E">
        <w:rPr>
          <w:rStyle w:val="SCCCounselNameChar"/>
          <w:lang w:val="fr-CA"/>
        </w:rPr>
        <w:t>Sean Sutherland</w:t>
      </w:r>
      <w:r w:rsidRPr="0030088E">
        <w:rPr>
          <w:rStyle w:val="SCCCounselSeparatorChar"/>
          <w:lang w:val="fr-CA"/>
        </w:rPr>
        <w:t xml:space="preserve"> et </w:t>
      </w:r>
      <w:r w:rsidRPr="0030088E">
        <w:rPr>
          <w:rStyle w:val="SCCCounselNameChar"/>
          <w:lang w:val="fr-CA"/>
        </w:rPr>
        <w:t xml:space="preserve">Adam </w:t>
      </w:r>
      <w:proofErr w:type="spellStart"/>
      <w:r w:rsidRPr="0030088E">
        <w:rPr>
          <w:rStyle w:val="SCCCounselNameChar"/>
          <w:lang w:val="fr-CA"/>
        </w:rPr>
        <w:t>LaRoche</w:t>
      </w:r>
      <w:proofErr w:type="spellEnd"/>
      <w:r w:rsidR="008306A8">
        <w:rPr>
          <w:rStyle w:val="SCCCounselPartyRoleChar"/>
          <w:lang w:val="fr-CA"/>
        </w:rPr>
        <w:t>, pour l’appelant</w:t>
      </w:r>
      <w:r w:rsidRPr="0030088E">
        <w:rPr>
          <w:rStyle w:val="SCCCounselPartyRoleChar"/>
          <w:lang w:val="fr-CA"/>
        </w:rPr>
        <w:t>.</w:t>
      </w:r>
    </w:p>
    <w:p w:rsidR="00BD764C" w:rsidRPr="0030088E" w:rsidRDefault="00BD764C">
      <w:pPr>
        <w:pStyle w:val="SCCNormalDoubleSpacing"/>
        <w:rPr>
          <w:lang w:val="fr-CA"/>
        </w:rPr>
      </w:pPr>
    </w:p>
    <w:p w:rsidR="00BD764C" w:rsidRPr="0030088E" w:rsidRDefault="0030088E">
      <w:pPr>
        <w:pStyle w:val="SCCNormalDoubleSpacing"/>
        <w:rPr>
          <w:lang w:val="fr-CA"/>
        </w:rPr>
      </w:pPr>
      <w:r w:rsidRPr="0030088E">
        <w:rPr>
          <w:rStyle w:val="SCCCounselNameChar"/>
          <w:lang w:val="fr-CA"/>
        </w:rPr>
        <w:tab/>
      </w:r>
      <w:r w:rsidR="00EB1D71" w:rsidRPr="0030088E">
        <w:rPr>
          <w:rStyle w:val="SCCCounselNameChar"/>
          <w:lang w:val="fr-CA"/>
        </w:rPr>
        <w:t xml:space="preserve">Duncan C. Boswell </w:t>
      </w:r>
      <w:r w:rsidR="00EB1D71" w:rsidRPr="0011607C">
        <w:rPr>
          <w:rStyle w:val="SCCCounselNameChar"/>
          <w:i w:val="0"/>
          <w:lang w:val="fr-CA"/>
        </w:rPr>
        <w:t>et</w:t>
      </w:r>
      <w:r w:rsidR="00EB1D71">
        <w:rPr>
          <w:rStyle w:val="SCCCounselNameChar"/>
          <w:lang w:val="fr-CA"/>
        </w:rPr>
        <w:t xml:space="preserve"> </w:t>
      </w:r>
      <w:r w:rsidRPr="0030088E">
        <w:rPr>
          <w:rStyle w:val="SCCCounselNameChar"/>
          <w:lang w:val="fr-CA"/>
        </w:rPr>
        <w:t>Alyssa</w:t>
      </w:r>
      <w:r w:rsidR="00EB1D71">
        <w:rPr>
          <w:rStyle w:val="SCCCounselNameChar"/>
          <w:lang w:val="fr-CA"/>
        </w:rPr>
        <w:t xml:space="preserve"> J.</w:t>
      </w:r>
      <w:r w:rsidRPr="0030088E">
        <w:rPr>
          <w:rStyle w:val="SCCCounselNameChar"/>
          <w:lang w:val="fr-CA"/>
        </w:rPr>
        <w:t xml:space="preserve"> Duke</w:t>
      </w:r>
      <w:r w:rsidR="008306A8">
        <w:rPr>
          <w:rStyle w:val="SCCCounselPartyRoleChar"/>
          <w:lang w:val="fr-CA"/>
        </w:rPr>
        <w:t>, pour les intimés</w:t>
      </w:r>
      <w:r w:rsidRPr="0030088E">
        <w:rPr>
          <w:rStyle w:val="SCCCounselPartyRoleChar"/>
          <w:lang w:val="fr-CA"/>
        </w:rPr>
        <w:t>.</w:t>
      </w:r>
    </w:p>
    <w:p w:rsidR="00BD764C" w:rsidRPr="0030088E" w:rsidRDefault="00BD764C">
      <w:pPr>
        <w:pStyle w:val="SCCNormalDoubleSpacing"/>
        <w:rPr>
          <w:lang w:val="fr-CA"/>
        </w:rPr>
      </w:pPr>
    </w:p>
    <w:p w:rsidR="00BD764C" w:rsidRPr="0030088E" w:rsidRDefault="0030088E">
      <w:pPr>
        <w:pStyle w:val="SCCNormalDoubleSpacing"/>
        <w:rPr>
          <w:lang w:val="fr-CA"/>
        </w:rPr>
      </w:pPr>
      <w:r w:rsidRPr="0030088E">
        <w:rPr>
          <w:rStyle w:val="SCCCounselNameChar"/>
          <w:lang w:val="fr-CA"/>
        </w:rPr>
        <w:tab/>
      </w:r>
      <w:r w:rsidR="00F26FE0" w:rsidRPr="0030088E">
        <w:rPr>
          <w:rStyle w:val="SCCCounselNameChar"/>
          <w:lang w:val="fr-CA"/>
        </w:rPr>
        <w:t xml:space="preserve">Ilan </w:t>
      </w:r>
      <w:proofErr w:type="spellStart"/>
      <w:r w:rsidR="00F26FE0" w:rsidRPr="0030088E">
        <w:rPr>
          <w:rStyle w:val="SCCCounselNameChar"/>
          <w:lang w:val="fr-CA"/>
        </w:rPr>
        <w:t>Ishai</w:t>
      </w:r>
      <w:proofErr w:type="spellEnd"/>
      <w:r w:rsidR="00F26FE0" w:rsidRPr="0030088E">
        <w:rPr>
          <w:rStyle w:val="SCCCounselNameChar"/>
          <w:lang w:val="fr-CA"/>
        </w:rPr>
        <w:t xml:space="preserve"> </w:t>
      </w:r>
      <w:r w:rsidRPr="0030088E">
        <w:rPr>
          <w:rStyle w:val="SCCCounselSeparatorChar"/>
          <w:lang w:val="fr-CA"/>
        </w:rPr>
        <w:t>et</w:t>
      </w:r>
      <w:r w:rsidR="00F26FE0">
        <w:rPr>
          <w:rStyle w:val="SCCCounselSeparatorChar"/>
          <w:lang w:val="fr-CA"/>
        </w:rPr>
        <w:t xml:space="preserve"> </w:t>
      </w:r>
      <w:r w:rsidR="00F26FE0" w:rsidRPr="0030088E">
        <w:rPr>
          <w:rStyle w:val="SCCCounselNameChar"/>
          <w:lang w:val="fr-CA"/>
        </w:rPr>
        <w:t>Ranjan Agarwal</w:t>
      </w:r>
      <w:r w:rsidR="008306A8">
        <w:rPr>
          <w:rStyle w:val="SCCCounselPartyRoleChar"/>
          <w:lang w:val="fr-CA"/>
        </w:rPr>
        <w:t>, pour l’intervenant</w:t>
      </w:r>
      <w:r w:rsidRPr="0030088E">
        <w:rPr>
          <w:rStyle w:val="SCCCounselPartyRoleChar"/>
          <w:lang w:val="fr-CA"/>
        </w:rPr>
        <w:t xml:space="preserve"> National Self-</w:t>
      </w:r>
      <w:proofErr w:type="spellStart"/>
      <w:r w:rsidRPr="0030088E">
        <w:rPr>
          <w:rStyle w:val="SCCCounselPartyRoleChar"/>
          <w:lang w:val="fr-CA"/>
        </w:rPr>
        <w:t>Represented</w:t>
      </w:r>
      <w:proofErr w:type="spellEnd"/>
      <w:r w:rsidRPr="0030088E">
        <w:rPr>
          <w:rStyle w:val="SCCCounselPartyRoleChar"/>
          <w:lang w:val="fr-CA"/>
        </w:rPr>
        <w:t xml:space="preserve"> Litigants Project.</w:t>
      </w:r>
    </w:p>
    <w:p w:rsidR="00BD764C" w:rsidRPr="0030088E" w:rsidRDefault="00BD764C">
      <w:pPr>
        <w:pStyle w:val="SCCNormalDoubleSpacing"/>
        <w:rPr>
          <w:lang w:val="fr-CA"/>
        </w:rPr>
      </w:pPr>
    </w:p>
    <w:p w:rsidR="00BD764C" w:rsidRPr="0030088E" w:rsidRDefault="0030088E">
      <w:pPr>
        <w:pStyle w:val="SCCNormalDoubleSpacing"/>
        <w:rPr>
          <w:lang w:val="fr-CA"/>
        </w:rPr>
      </w:pPr>
      <w:r w:rsidRPr="0030088E">
        <w:rPr>
          <w:rStyle w:val="SCCCounselNameChar"/>
          <w:lang w:val="fr-CA"/>
        </w:rPr>
        <w:tab/>
        <w:t>Andrew Bernstein</w:t>
      </w:r>
      <w:r w:rsidRPr="0030088E">
        <w:rPr>
          <w:rStyle w:val="SCCCounselSeparatorChar"/>
          <w:lang w:val="fr-CA"/>
        </w:rPr>
        <w:t xml:space="preserve">, </w:t>
      </w:r>
      <w:r w:rsidRPr="0030088E">
        <w:rPr>
          <w:rStyle w:val="SCCCounselNameChar"/>
          <w:lang w:val="fr-CA"/>
        </w:rPr>
        <w:t xml:space="preserve">Jeremy </w:t>
      </w:r>
      <w:proofErr w:type="spellStart"/>
      <w:r w:rsidRPr="0030088E">
        <w:rPr>
          <w:rStyle w:val="SCCCounselNameChar"/>
          <w:lang w:val="fr-CA"/>
        </w:rPr>
        <w:t>Opolsky</w:t>
      </w:r>
      <w:proofErr w:type="spellEnd"/>
      <w:r w:rsidRPr="0030088E">
        <w:rPr>
          <w:rStyle w:val="SCCCounselSeparatorChar"/>
          <w:lang w:val="fr-CA"/>
        </w:rPr>
        <w:t xml:space="preserve"> et </w:t>
      </w:r>
      <w:proofErr w:type="spellStart"/>
      <w:r w:rsidRPr="0030088E">
        <w:rPr>
          <w:rStyle w:val="SCCCounselNameChar"/>
          <w:lang w:val="fr-CA"/>
        </w:rPr>
        <w:t>Leora</w:t>
      </w:r>
      <w:proofErr w:type="spellEnd"/>
      <w:r w:rsidRPr="0030088E">
        <w:rPr>
          <w:rStyle w:val="SCCCounselNameChar"/>
          <w:lang w:val="fr-CA"/>
        </w:rPr>
        <w:t xml:space="preserve"> Jackson</w:t>
      </w:r>
      <w:r w:rsidR="008306A8">
        <w:rPr>
          <w:rStyle w:val="SCCCounselPartyRoleChar"/>
          <w:lang w:val="fr-CA"/>
        </w:rPr>
        <w:t>, pour l</w:t>
      </w:r>
      <w:r w:rsidR="000F618E">
        <w:rPr>
          <w:rStyle w:val="SCCCounselPartyRoleChar"/>
          <w:lang w:val="fr-CA"/>
        </w:rPr>
        <w:t xml:space="preserve">es </w:t>
      </w:r>
      <w:r w:rsidR="008306A8">
        <w:rPr>
          <w:rStyle w:val="SCCCounselPartyRoleChar"/>
          <w:lang w:val="fr-CA"/>
        </w:rPr>
        <w:t>intervenant</w:t>
      </w:r>
      <w:r w:rsidR="00AA540E">
        <w:rPr>
          <w:rStyle w:val="SCCCounselPartyRoleChar"/>
          <w:lang w:val="fr-CA"/>
        </w:rPr>
        <w:t>e</w:t>
      </w:r>
      <w:r w:rsidR="000F618E">
        <w:rPr>
          <w:rStyle w:val="SCCCounselPartyRoleChar"/>
          <w:lang w:val="fr-CA"/>
        </w:rPr>
        <w:t>s</w:t>
      </w:r>
      <w:r w:rsidRPr="0030088E">
        <w:rPr>
          <w:rStyle w:val="SCCCounselPartyRoleChar"/>
          <w:lang w:val="fr-CA"/>
        </w:rPr>
        <w:t xml:space="preserve"> Pro Bono Ontario</w:t>
      </w:r>
      <w:r w:rsidR="000F618E">
        <w:rPr>
          <w:rStyle w:val="SCCCounselPartyRoleChar"/>
          <w:lang w:val="fr-CA"/>
        </w:rPr>
        <w:t xml:space="preserve"> et Access Pro Bono</w:t>
      </w:r>
      <w:r w:rsidRPr="0030088E">
        <w:rPr>
          <w:rStyle w:val="SCCCounselPartyRoleChar"/>
          <w:lang w:val="fr-CA"/>
        </w:rPr>
        <w:t>.</w:t>
      </w:r>
    </w:p>
    <w:p w:rsidR="00BD764C" w:rsidRDefault="00BD764C">
      <w:pPr>
        <w:pStyle w:val="SCCNormalDoubleSpacing"/>
        <w:rPr>
          <w:lang w:val="fr-CA"/>
        </w:rPr>
      </w:pPr>
    </w:p>
    <w:p w:rsidR="00EB1D71" w:rsidRDefault="00522081">
      <w:pPr>
        <w:pStyle w:val="SCCNormalDoubleSpacing"/>
        <w:rPr>
          <w:lang w:val="fr-CA"/>
        </w:rPr>
      </w:pPr>
      <w:r>
        <w:rPr>
          <w:lang w:val="fr-CA"/>
        </w:rPr>
        <w:tab/>
      </w:r>
      <w:r w:rsidRPr="004C15DA">
        <w:rPr>
          <w:lang w:val="fr-CA"/>
        </w:rPr>
        <w:t>Ver</w:t>
      </w:r>
      <w:r>
        <w:rPr>
          <w:lang w:val="fr-CA"/>
        </w:rPr>
        <w:t>sion française du jugement de la Cour rendu oralement par</w:t>
      </w:r>
    </w:p>
    <w:p w:rsidR="004B1FF3" w:rsidRDefault="004B1FF3" w:rsidP="004B1FF3">
      <w:pPr>
        <w:pStyle w:val="ParaNoNdepar-AltN"/>
        <w:widowControl w:val="0"/>
        <w:numPr>
          <w:ilvl w:val="0"/>
          <w:numId w:val="1"/>
        </w:numPr>
        <w:tabs>
          <w:tab w:val="left" w:pos="1170"/>
        </w:tabs>
        <w:ind w:left="0" w:firstLine="0"/>
        <w:rPr>
          <w:lang w:val="fr-CA"/>
        </w:rPr>
      </w:pPr>
      <w:r w:rsidRPr="001848AF">
        <w:rPr>
          <w:smallCaps/>
          <w:lang w:val="fr-CA"/>
        </w:rPr>
        <w:t xml:space="preserve">La juge Karakatsanis </w:t>
      </w:r>
      <w:r w:rsidRPr="001848AF">
        <w:rPr>
          <w:rFonts w:cs="Times New Roman"/>
          <w:smallCaps/>
          <w:lang w:val="fr-CA"/>
        </w:rPr>
        <w:t>—</w:t>
      </w:r>
      <w:r w:rsidRPr="001848AF">
        <w:rPr>
          <w:smallCaps/>
          <w:lang w:val="fr-CA"/>
        </w:rPr>
        <w:t xml:space="preserve"> </w:t>
      </w:r>
      <w:r>
        <w:rPr>
          <w:lang w:val="fr-CA"/>
        </w:rPr>
        <w:t xml:space="preserve">Suivant les règles de la common law relatives à l’outrage au tribunal en matière civile, les intimés doivent prouver hors de tout doute raisonnable que M. </w:t>
      </w:r>
      <w:proofErr w:type="spellStart"/>
      <w:r>
        <w:rPr>
          <w:lang w:val="fr-CA"/>
        </w:rPr>
        <w:t>Pintea</w:t>
      </w:r>
      <w:proofErr w:type="spellEnd"/>
      <w:r>
        <w:rPr>
          <w:lang w:val="fr-CA"/>
        </w:rPr>
        <w:t xml:space="preserve"> connaissait réellement l’existence des ordonnances fixant la tenue des rencontres de gestion d’instance auxquelles il a omis d’assister. </w:t>
      </w:r>
    </w:p>
    <w:p w:rsidR="004B1FF3" w:rsidRDefault="004B1FF3" w:rsidP="004B1FF3">
      <w:pPr>
        <w:pStyle w:val="ParaNoNdepar-AltN"/>
        <w:widowControl w:val="0"/>
        <w:numPr>
          <w:ilvl w:val="0"/>
          <w:numId w:val="1"/>
        </w:numPr>
        <w:tabs>
          <w:tab w:val="left" w:pos="1170"/>
        </w:tabs>
        <w:ind w:left="0" w:firstLine="0"/>
        <w:rPr>
          <w:lang w:val="fr-FR"/>
        </w:rPr>
      </w:pPr>
      <w:r>
        <w:rPr>
          <w:lang w:val="fr-CA"/>
        </w:rPr>
        <w:lastRenderedPageBreak/>
        <w:t xml:space="preserve">La juge chargée de la gestion de l’instance a omis de se demander si M. </w:t>
      </w:r>
      <w:proofErr w:type="spellStart"/>
      <w:r>
        <w:rPr>
          <w:lang w:val="fr-CA"/>
        </w:rPr>
        <w:t>Pintea</w:t>
      </w:r>
      <w:proofErr w:type="spellEnd"/>
      <w:r>
        <w:rPr>
          <w:lang w:val="fr-CA"/>
        </w:rPr>
        <w:t xml:space="preserve"> connaissait réellement l’existence de deux des trois ordonnances sur lesquelles elle a basé sa décision. Les intimés concèdent que les conditions d’application du sous-al. </w:t>
      </w:r>
      <w:r w:rsidRPr="00F54588">
        <w:rPr>
          <w:lang w:val="fr-FR"/>
        </w:rPr>
        <w:t>10.52(3</w:t>
      </w:r>
      <w:proofErr w:type="gramStart"/>
      <w:r w:rsidRPr="00F54588">
        <w:rPr>
          <w:lang w:val="fr-FR"/>
        </w:rPr>
        <w:t>)(</w:t>
      </w:r>
      <w:proofErr w:type="gramEnd"/>
      <w:r w:rsidRPr="00F54588">
        <w:rPr>
          <w:lang w:val="fr-FR"/>
        </w:rPr>
        <w:t xml:space="preserve">a)(iii) des </w:t>
      </w:r>
      <w:r w:rsidRPr="00F54588">
        <w:rPr>
          <w:i/>
          <w:lang w:val="fr-FR"/>
        </w:rPr>
        <w:t xml:space="preserve">Alberta </w:t>
      </w:r>
      <w:proofErr w:type="spellStart"/>
      <w:r w:rsidRPr="00F54588">
        <w:rPr>
          <w:i/>
          <w:lang w:val="fr-FR"/>
        </w:rPr>
        <w:t>Rules</w:t>
      </w:r>
      <w:proofErr w:type="spellEnd"/>
      <w:r w:rsidRPr="00F54588">
        <w:rPr>
          <w:i/>
          <w:lang w:val="fr-FR"/>
        </w:rPr>
        <w:t xml:space="preserve"> of Court</w:t>
      </w:r>
      <w:r w:rsidRPr="00F54588">
        <w:rPr>
          <w:lang w:val="fr-FR"/>
        </w:rPr>
        <w:t>, Alta. Reg. 124/2010, n</w:t>
      </w:r>
      <w:r>
        <w:rPr>
          <w:lang w:val="fr-FR"/>
        </w:rPr>
        <w:t xml:space="preserve">’étaient pas réunies </w:t>
      </w:r>
      <w:r w:rsidRPr="00F54588">
        <w:rPr>
          <w:lang w:val="fr-FR"/>
        </w:rPr>
        <w:t>à l’égard de ces deux ordonnances.</w:t>
      </w:r>
    </w:p>
    <w:p w:rsidR="004B1FF3" w:rsidRDefault="004B1FF3" w:rsidP="004B1FF3">
      <w:pPr>
        <w:pStyle w:val="ParaNoNdepar-AltN"/>
        <w:widowControl w:val="0"/>
        <w:numPr>
          <w:ilvl w:val="0"/>
          <w:numId w:val="1"/>
        </w:numPr>
        <w:tabs>
          <w:tab w:val="left" w:pos="1170"/>
        </w:tabs>
        <w:ind w:left="0" w:firstLine="0"/>
        <w:rPr>
          <w:lang w:val="fr-FR"/>
        </w:rPr>
      </w:pPr>
      <w:r>
        <w:rPr>
          <w:lang w:val="fr-FR"/>
        </w:rPr>
        <w:t xml:space="preserve">En conséquence, la </w:t>
      </w:r>
      <w:r w:rsidRPr="004B1FF3">
        <w:rPr>
          <w:lang w:val="fr-CA"/>
        </w:rPr>
        <w:t>conclusion</w:t>
      </w:r>
      <w:r>
        <w:rPr>
          <w:lang w:val="fr-FR"/>
        </w:rPr>
        <w:t xml:space="preserve"> selon laquelle il y a eu outrage au tribunal ne saurait être maintenue.</w:t>
      </w:r>
    </w:p>
    <w:p w:rsidR="004B1FF3" w:rsidRDefault="004B1FF3" w:rsidP="004B1FF3">
      <w:pPr>
        <w:pStyle w:val="ParaNoNdepar-AltN"/>
        <w:widowControl w:val="0"/>
        <w:numPr>
          <w:ilvl w:val="0"/>
          <w:numId w:val="1"/>
        </w:numPr>
        <w:tabs>
          <w:tab w:val="left" w:pos="1170"/>
        </w:tabs>
        <w:ind w:left="0" w:firstLine="0"/>
        <w:rPr>
          <w:lang w:val="fr-FR"/>
        </w:rPr>
      </w:pPr>
      <w:r>
        <w:rPr>
          <w:lang w:val="fr-FR"/>
        </w:rPr>
        <w:t xml:space="preserve">Nous tenons à </w:t>
      </w:r>
      <w:r w:rsidRPr="004B1FF3">
        <w:rPr>
          <w:lang w:val="fr-CA"/>
        </w:rPr>
        <w:t>souligner</w:t>
      </w:r>
      <w:r>
        <w:rPr>
          <w:lang w:val="fr-FR"/>
        </w:rPr>
        <w:t xml:space="preserve"> que nous souscrivons à l’</w:t>
      </w:r>
      <w:r w:rsidRPr="001F03FF">
        <w:rPr>
          <w:i/>
          <w:lang w:val="fr-FR"/>
        </w:rPr>
        <w:t>Énoncé de principes concernant les plaideurs et les accusés non représentés par un avocat</w:t>
      </w:r>
      <w:r>
        <w:rPr>
          <w:lang w:val="fr-FR"/>
        </w:rPr>
        <w:t xml:space="preserve"> (2006)</w:t>
      </w:r>
      <w:r w:rsidR="0005254E">
        <w:rPr>
          <w:lang w:val="fr-FR"/>
        </w:rPr>
        <w:t xml:space="preserve"> (en ligne)</w:t>
      </w:r>
      <w:r>
        <w:rPr>
          <w:lang w:val="fr-FR"/>
        </w:rPr>
        <w:t xml:space="preserve"> établi par le Conseil canadien de la magistrature.</w:t>
      </w:r>
    </w:p>
    <w:p w:rsidR="00EB1D71" w:rsidRPr="0030088E" w:rsidRDefault="004B1FF3" w:rsidP="004B1FF3">
      <w:pPr>
        <w:pStyle w:val="ParaNoNdepar-AltN"/>
        <w:widowControl w:val="0"/>
        <w:numPr>
          <w:ilvl w:val="0"/>
          <w:numId w:val="1"/>
        </w:numPr>
        <w:tabs>
          <w:tab w:val="left" w:pos="1170"/>
        </w:tabs>
        <w:ind w:left="0" w:firstLine="0"/>
        <w:rPr>
          <w:lang w:val="fr-CA"/>
        </w:rPr>
      </w:pPr>
      <w:r>
        <w:rPr>
          <w:lang w:val="fr-FR"/>
        </w:rPr>
        <w:t xml:space="preserve">L’appel est </w:t>
      </w:r>
      <w:r w:rsidRPr="004B1FF3">
        <w:rPr>
          <w:lang w:val="fr-CA"/>
        </w:rPr>
        <w:t>accueilli</w:t>
      </w:r>
      <w:r>
        <w:rPr>
          <w:lang w:val="fr-FR"/>
        </w:rPr>
        <w:t>, l’action en justice est rétablie et la condamnation aux dépens est annulée.</w:t>
      </w:r>
    </w:p>
    <w:p w:rsidR="008306A8" w:rsidRPr="008306A8" w:rsidRDefault="008306A8">
      <w:pPr>
        <w:pStyle w:val="SCCNormalDoubleSpacing"/>
        <w:rPr>
          <w:i/>
          <w:lang w:val="fr-CA"/>
        </w:rPr>
      </w:pPr>
      <w:r>
        <w:rPr>
          <w:lang w:val="fr-CA"/>
        </w:rPr>
        <w:tab/>
      </w:r>
      <w:r w:rsidRPr="008306A8">
        <w:rPr>
          <w:i/>
          <w:lang w:val="fr-CA"/>
        </w:rPr>
        <w:t>Jugement en conséquence.</w:t>
      </w:r>
    </w:p>
    <w:p w:rsidR="008306A8" w:rsidRPr="008306A8" w:rsidRDefault="008306A8">
      <w:pPr>
        <w:pStyle w:val="SCCNormalDoubleSpacing"/>
        <w:rPr>
          <w:i/>
          <w:lang w:val="fr-CA"/>
        </w:rPr>
      </w:pPr>
    </w:p>
    <w:p w:rsidR="00BD764C" w:rsidRPr="0030088E" w:rsidRDefault="001A1AFD">
      <w:pPr>
        <w:pStyle w:val="SCCLawFirm"/>
        <w:rPr>
          <w:lang w:val="fr-CA"/>
        </w:rPr>
      </w:pPr>
      <w:r>
        <w:rPr>
          <w:lang w:val="fr-CA"/>
        </w:rPr>
        <w:tab/>
        <w:t>Procureurs de l’appelant</w:t>
      </w:r>
      <w:r w:rsidR="0030088E" w:rsidRPr="0030088E">
        <w:rPr>
          <w:lang w:val="fr-CA"/>
        </w:rPr>
        <w:t> : Osler, Hoskin &amp; Harcourt, Calgary.</w:t>
      </w:r>
    </w:p>
    <w:p w:rsidR="00BD764C" w:rsidRPr="0030088E" w:rsidRDefault="00BD764C">
      <w:pPr>
        <w:pStyle w:val="SCCLawFirm"/>
        <w:rPr>
          <w:lang w:val="fr-CA"/>
        </w:rPr>
      </w:pPr>
    </w:p>
    <w:p w:rsidR="00BD764C" w:rsidRPr="0030088E" w:rsidRDefault="001A1AFD">
      <w:pPr>
        <w:pStyle w:val="SCCLawFirm"/>
        <w:rPr>
          <w:lang w:val="fr-CA"/>
        </w:rPr>
      </w:pPr>
      <w:r>
        <w:rPr>
          <w:lang w:val="fr-CA"/>
        </w:rPr>
        <w:tab/>
        <w:t>Procureurs des intimés</w:t>
      </w:r>
      <w:r w:rsidR="0030088E" w:rsidRPr="0030088E">
        <w:rPr>
          <w:lang w:val="fr-CA"/>
        </w:rPr>
        <w:t> : Gowling WLG (Canada), Calgary.</w:t>
      </w:r>
    </w:p>
    <w:p w:rsidR="00BD764C" w:rsidRPr="0030088E" w:rsidRDefault="00BD764C">
      <w:pPr>
        <w:pStyle w:val="SCCLawFirm"/>
        <w:rPr>
          <w:lang w:val="fr-CA"/>
        </w:rPr>
      </w:pPr>
    </w:p>
    <w:p w:rsidR="00BD764C" w:rsidRPr="0030088E" w:rsidRDefault="0030088E">
      <w:pPr>
        <w:pStyle w:val="SCCLawFirm"/>
        <w:rPr>
          <w:lang w:val="fr-CA"/>
        </w:rPr>
      </w:pPr>
      <w:r w:rsidRPr="0030088E">
        <w:rPr>
          <w:lang w:val="fr-CA"/>
        </w:rPr>
        <w:tab/>
      </w:r>
      <w:r w:rsidR="00F45EE5">
        <w:rPr>
          <w:lang w:val="fr-CA"/>
        </w:rPr>
        <w:t>Procureurs de l’intervenant</w:t>
      </w:r>
      <w:r w:rsidRPr="0030088E">
        <w:rPr>
          <w:lang w:val="fr-CA"/>
        </w:rPr>
        <w:t xml:space="preserve"> National Self-</w:t>
      </w:r>
      <w:proofErr w:type="spellStart"/>
      <w:r w:rsidRPr="0030088E">
        <w:rPr>
          <w:lang w:val="fr-CA"/>
        </w:rPr>
        <w:t>Represented</w:t>
      </w:r>
      <w:proofErr w:type="spellEnd"/>
      <w:r w:rsidRPr="0030088E">
        <w:rPr>
          <w:lang w:val="fr-CA"/>
        </w:rPr>
        <w:t xml:space="preserve"> Litigants Project : Bennett Jones, Toronto.</w:t>
      </w:r>
    </w:p>
    <w:p w:rsidR="00BD764C" w:rsidRPr="0030088E" w:rsidRDefault="00BD764C">
      <w:pPr>
        <w:pStyle w:val="SCCLawFirm"/>
        <w:rPr>
          <w:lang w:val="fr-CA"/>
        </w:rPr>
      </w:pPr>
    </w:p>
    <w:p w:rsidR="00BD764C" w:rsidRPr="0030088E" w:rsidRDefault="001A1AFD">
      <w:pPr>
        <w:pStyle w:val="SCCLawFirm"/>
        <w:rPr>
          <w:lang w:val="fr-CA"/>
        </w:rPr>
      </w:pPr>
      <w:r>
        <w:rPr>
          <w:lang w:val="fr-CA"/>
        </w:rPr>
        <w:tab/>
        <w:t>Procureurs</w:t>
      </w:r>
      <w:r w:rsidR="000F618E">
        <w:rPr>
          <w:lang w:val="fr-CA"/>
        </w:rPr>
        <w:t xml:space="preserve"> des </w:t>
      </w:r>
      <w:r>
        <w:rPr>
          <w:lang w:val="fr-CA"/>
        </w:rPr>
        <w:t>intervenant</w:t>
      </w:r>
      <w:r w:rsidR="00AA540E">
        <w:rPr>
          <w:lang w:val="fr-CA"/>
        </w:rPr>
        <w:t>e</w:t>
      </w:r>
      <w:r w:rsidR="000F618E">
        <w:rPr>
          <w:lang w:val="fr-CA"/>
        </w:rPr>
        <w:t>s</w:t>
      </w:r>
      <w:r w:rsidR="0030088E" w:rsidRPr="0030088E">
        <w:rPr>
          <w:lang w:val="fr-CA"/>
        </w:rPr>
        <w:t xml:space="preserve"> Pro Bono Ontario</w:t>
      </w:r>
      <w:r w:rsidR="000F618E">
        <w:rPr>
          <w:lang w:val="fr-CA"/>
        </w:rPr>
        <w:t xml:space="preserve"> et Access Pro Bono</w:t>
      </w:r>
      <w:r w:rsidR="0030088E" w:rsidRPr="0030088E">
        <w:rPr>
          <w:lang w:val="fr-CA"/>
        </w:rPr>
        <w:t> : Torys, Toronto.</w:t>
      </w:r>
    </w:p>
    <w:sectPr w:rsidR="00BD764C" w:rsidRPr="0030088E" w:rsidSect="000648CC">
      <w:headerReference w:type="default" r:id="rId10"/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0E" w:rsidRDefault="00D17B0E">
      <w:r>
        <w:separator/>
      </w:r>
    </w:p>
  </w:endnote>
  <w:endnote w:type="continuationSeparator" w:id="0">
    <w:p w:rsidR="00D17B0E" w:rsidRDefault="00D1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0E" w:rsidRDefault="00D17B0E">
      <w:r>
        <w:separator/>
      </w:r>
    </w:p>
  </w:footnote>
  <w:footnote w:type="continuationSeparator" w:id="0">
    <w:p w:rsidR="00D17B0E" w:rsidRDefault="00D17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352" w:rsidRPr="00450352" w:rsidRDefault="00450352" w:rsidP="0045035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D119D"/>
    <w:multiLevelType w:val="hybridMultilevel"/>
    <w:tmpl w:val="B0CE4C6E"/>
    <w:lvl w:ilvl="0" w:tplc="BD56451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removePersonalInformation/>
  <w:removeDateAndTime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1737D"/>
    <w:rsid w:val="00023FC7"/>
    <w:rsid w:val="00025198"/>
    <w:rsid w:val="0005254E"/>
    <w:rsid w:val="000578A3"/>
    <w:rsid w:val="000648CC"/>
    <w:rsid w:val="000C59B8"/>
    <w:rsid w:val="000C6AF0"/>
    <w:rsid w:val="000D0A77"/>
    <w:rsid w:val="000F618E"/>
    <w:rsid w:val="000F7993"/>
    <w:rsid w:val="00104F33"/>
    <w:rsid w:val="00111DE2"/>
    <w:rsid w:val="0011607C"/>
    <w:rsid w:val="00116B38"/>
    <w:rsid w:val="00135406"/>
    <w:rsid w:val="00135972"/>
    <w:rsid w:val="001426A9"/>
    <w:rsid w:val="00154D7C"/>
    <w:rsid w:val="001570B0"/>
    <w:rsid w:val="0015752C"/>
    <w:rsid w:val="00157737"/>
    <w:rsid w:val="00165277"/>
    <w:rsid w:val="00170592"/>
    <w:rsid w:val="001720F7"/>
    <w:rsid w:val="00195D83"/>
    <w:rsid w:val="001A00C1"/>
    <w:rsid w:val="001A1AFD"/>
    <w:rsid w:val="001B33E0"/>
    <w:rsid w:val="001B4573"/>
    <w:rsid w:val="001C779F"/>
    <w:rsid w:val="001D2AC1"/>
    <w:rsid w:val="001D4E88"/>
    <w:rsid w:val="001E4813"/>
    <w:rsid w:val="00220FC2"/>
    <w:rsid w:val="002222F4"/>
    <w:rsid w:val="00224FC0"/>
    <w:rsid w:val="00225EA4"/>
    <w:rsid w:val="00226EAF"/>
    <w:rsid w:val="00231F3A"/>
    <w:rsid w:val="00233B17"/>
    <w:rsid w:val="002406EE"/>
    <w:rsid w:val="00243EC8"/>
    <w:rsid w:val="00270D93"/>
    <w:rsid w:val="002745CC"/>
    <w:rsid w:val="002B6FBE"/>
    <w:rsid w:val="002B7924"/>
    <w:rsid w:val="002C10A6"/>
    <w:rsid w:val="002D28C3"/>
    <w:rsid w:val="002D39A4"/>
    <w:rsid w:val="002E6705"/>
    <w:rsid w:val="0030088E"/>
    <w:rsid w:val="0030329A"/>
    <w:rsid w:val="0031086F"/>
    <w:rsid w:val="0031414C"/>
    <w:rsid w:val="00314E01"/>
    <w:rsid w:val="0032089D"/>
    <w:rsid w:val="003310DE"/>
    <w:rsid w:val="003323B0"/>
    <w:rsid w:val="00340A49"/>
    <w:rsid w:val="0035169A"/>
    <w:rsid w:val="0035259D"/>
    <w:rsid w:val="00364B18"/>
    <w:rsid w:val="00393D30"/>
    <w:rsid w:val="003A125D"/>
    <w:rsid w:val="003A4C70"/>
    <w:rsid w:val="003B215F"/>
    <w:rsid w:val="003C799C"/>
    <w:rsid w:val="003D0399"/>
    <w:rsid w:val="003E1C71"/>
    <w:rsid w:val="003F327B"/>
    <w:rsid w:val="00406166"/>
    <w:rsid w:val="0040704B"/>
    <w:rsid w:val="00410A55"/>
    <w:rsid w:val="00411300"/>
    <w:rsid w:val="00413F17"/>
    <w:rsid w:val="00415417"/>
    <w:rsid w:val="00426659"/>
    <w:rsid w:val="00450352"/>
    <w:rsid w:val="00454BDB"/>
    <w:rsid w:val="00465132"/>
    <w:rsid w:val="0046556B"/>
    <w:rsid w:val="00480C90"/>
    <w:rsid w:val="0048396F"/>
    <w:rsid w:val="00493C18"/>
    <w:rsid w:val="004A600C"/>
    <w:rsid w:val="004A6118"/>
    <w:rsid w:val="004B1FF3"/>
    <w:rsid w:val="004C478D"/>
    <w:rsid w:val="004D7D95"/>
    <w:rsid w:val="004E2C26"/>
    <w:rsid w:val="005125A8"/>
    <w:rsid w:val="00517549"/>
    <w:rsid w:val="00520ABC"/>
    <w:rsid w:val="00521AE8"/>
    <w:rsid w:val="00522081"/>
    <w:rsid w:val="00527180"/>
    <w:rsid w:val="00555291"/>
    <w:rsid w:val="00566AD1"/>
    <w:rsid w:val="00583EDE"/>
    <w:rsid w:val="005A5C1D"/>
    <w:rsid w:val="005A5C70"/>
    <w:rsid w:val="005A6079"/>
    <w:rsid w:val="005E4698"/>
    <w:rsid w:val="00603924"/>
    <w:rsid w:val="00610539"/>
    <w:rsid w:val="00613969"/>
    <w:rsid w:val="00625C35"/>
    <w:rsid w:val="00640461"/>
    <w:rsid w:val="00647E49"/>
    <w:rsid w:val="00656313"/>
    <w:rsid w:val="006565F4"/>
    <w:rsid w:val="00662E28"/>
    <w:rsid w:val="00684EEA"/>
    <w:rsid w:val="0069689B"/>
    <w:rsid w:val="006B5FF5"/>
    <w:rsid w:val="006F30AF"/>
    <w:rsid w:val="006F7AF2"/>
    <w:rsid w:val="00701759"/>
    <w:rsid w:val="00705C15"/>
    <w:rsid w:val="007110F6"/>
    <w:rsid w:val="007208D1"/>
    <w:rsid w:val="00744518"/>
    <w:rsid w:val="00747288"/>
    <w:rsid w:val="00747DD3"/>
    <w:rsid w:val="007549C8"/>
    <w:rsid w:val="00766D14"/>
    <w:rsid w:val="00767A0F"/>
    <w:rsid w:val="00791272"/>
    <w:rsid w:val="007A05F6"/>
    <w:rsid w:val="007B6F4A"/>
    <w:rsid w:val="007E1C47"/>
    <w:rsid w:val="007E337A"/>
    <w:rsid w:val="007E5C70"/>
    <w:rsid w:val="007F2FF5"/>
    <w:rsid w:val="007F3F08"/>
    <w:rsid w:val="00804CC6"/>
    <w:rsid w:val="00817190"/>
    <w:rsid w:val="008260E2"/>
    <w:rsid w:val="008306A8"/>
    <w:rsid w:val="008322BD"/>
    <w:rsid w:val="00834F73"/>
    <w:rsid w:val="00852064"/>
    <w:rsid w:val="00864C8A"/>
    <w:rsid w:val="00864CF8"/>
    <w:rsid w:val="008706C0"/>
    <w:rsid w:val="00874914"/>
    <w:rsid w:val="00891422"/>
    <w:rsid w:val="00892E1A"/>
    <w:rsid w:val="00897EA6"/>
    <w:rsid w:val="008B660A"/>
    <w:rsid w:val="008C01DA"/>
    <w:rsid w:val="008F2674"/>
    <w:rsid w:val="008F78E9"/>
    <w:rsid w:val="0091236F"/>
    <w:rsid w:val="009179F9"/>
    <w:rsid w:val="00917C7A"/>
    <w:rsid w:val="00933E5E"/>
    <w:rsid w:val="00935218"/>
    <w:rsid w:val="00937C52"/>
    <w:rsid w:val="009403F3"/>
    <w:rsid w:val="00947A1A"/>
    <w:rsid w:val="009555B7"/>
    <w:rsid w:val="009567AA"/>
    <w:rsid w:val="009602C9"/>
    <w:rsid w:val="00967374"/>
    <w:rsid w:val="009944C1"/>
    <w:rsid w:val="009A343A"/>
    <w:rsid w:val="009B2F23"/>
    <w:rsid w:val="009B57B3"/>
    <w:rsid w:val="009D2920"/>
    <w:rsid w:val="009D5AEB"/>
    <w:rsid w:val="009F0E33"/>
    <w:rsid w:val="00A149DF"/>
    <w:rsid w:val="00A1755C"/>
    <w:rsid w:val="00A21B90"/>
    <w:rsid w:val="00A22AAC"/>
    <w:rsid w:val="00A41805"/>
    <w:rsid w:val="00A51882"/>
    <w:rsid w:val="00A52AFB"/>
    <w:rsid w:val="00A548CB"/>
    <w:rsid w:val="00A5521C"/>
    <w:rsid w:val="00A643E7"/>
    <w:rsid w:val="00A73C38"/>
    <w:rsid w:val="00A921A7"/>
    <w:rsid w:val="00AA540E"/>
    <w:rsid w:val="00AB670D"/>
    <w:rsid w:val="00AF03C5"/>
    <w:rsid w:val="00B000D8"/>
    <w:rsid w:val="00B00F75"/>
    <w:rsid w:val="00B07602"/>
    <w:rsid w:val="00B145B6"/>
    <w:rsid w:val="00B279EB"/>
    <w:rsid w:val="00B50C81"/>
    <w:rsid w:val="00B557F8"/>
    <w:rsid w:val="00B815FC"/>
    <w:rsid w:val="00B93FBC"/>
    <w:rsid w:val="00BA7DA0"/>
    <w:rsid w:val="00BB2EE4"/>
    <w:rsid w:val="00BB4C92"/>
    <w:rsid w:val="00BC2108"/>
    <w:rsid w:val="00BD0E9E"/>
    <w:rsid w:val="00BD1BEC"/>
    <w:rsid w:val="00BD22CE"/>
    <w:rsid w:val="00BD32FF"/>
    <w:rsid w:val="00BD764C"/>
    <w:rsid w:val="00BF6FE9"/>
    <w:rsid w:val="00C02092"/>
    <w:rsid w:val="00C10EE9"/>
    <w:rsid w:val="00C24D91"/>
    <w:rsid w:val="00C26DB2"/>
    <w:rsid w:val="00C53F14"/>
    <w:rsid w:val="00C600CF"/>
    <w:rsid w:val="00C6084F"/>
    <w:rsid w:val="00C62A66"/>
    <w:rsid w:val="00C66359"/>
    <w:rsid w:val="00C71458"/>
    <w:rsid w:val="00C77613"/>
    <w:rsid w:val="00C828E7"/>
    <w:rsid w:val="00C847DB"/>
    <w:rsid w:val="00C86719"/>
    <w:rsid w:val="00C921DD"/>
    <w:rsid w:val="00CA6391"/>
    <w:rsid w:val="00CE036E"/>
    <w:rsid w:val="00CE3171"/>
    <w:rsid w:val="00CF1601"/>
    <w:rsid w:val="00CF7B56"/>
    <w:rsid w:val="00D0172F"/>
    <w:rsid w:val="00D01E33"/>
    <w:rsid w:val="00D068A7"/>
    <w:rsid w:val="00D17476"/>
    <w:rsid w:val="00D17B0E"/>
    <w:rsid w:val="00D32086"/>
    <w:rsid w:val="00D37A3F"/>
    <w:rsid w:val="00D4431D"/>
    <w:rsid w:val="00D4667A"/>
    <w:rsid w:val="00D63A1C"/>
    <w:rsid w:val="00D7516F"/>
    <w:rsid w:val="00D82E7A"/>
    <w:rsid w:val="00D86A1D"/>
    <w:rsid w:val="00D95F8E"/>
    <w:rsid w:val="00DA0590"/>
    <w:rsid w:val="00DC1739"/>
    <w:rsid w:val="00DC1788"/>
    <w:rsid w:val="00DE319C"/>
    <w:rsid w:val="00DF0CA8"/>
    <w:rsid w:val="00DF2B48"/>
    <w:rsid w:val="00DF49A7"/>
    <w:rsid w:val="00E07EE2"/>
    <w:rsid w:val="00E07FD1"/>
    <w:rsid w:val="00E24573"/>
    <w:rsid w:val="00E25E1E"/>
    <w:rsid w:val="00E27EE7"/>
    <w:rsid w:val="00E35404"/>
    <w:rsid w:val="00E45109"/>
    <w:rsid w:val="00E47B7A"/>
    <w:rsid w:val="00E56A44"/>
    <w:rsid w:val="00E60269"/>
    <w:rsid w:val="00E97830"/>
    <w:rsid w:val="00EB1D71"/>
    <w:rsid w:val="00EE0830"/>
    <w:rsid w:val="00EE6CB8"/>
    <w:rsid w:val="00EF0683"/>
    <w:rsid w:val="00F0070C"/>
    <w:rsid w:val="00F00EB7"/>
    <w:rsid w:val="00F26FE0"/>
    <w:rsid w:val="00F31F7B"/>
    <w:rsid w:val="00F36AB6"/>
    <w:rsid w:val="00F37A09"/>
    <w:rsid w:val="00F409CE"/>
    <w:rsid w:val="00F4272F"/>
    <w:rsid w:val="00F4379D"/>
    <w:rsid w:val="00F45EE5"/>
    <w:rsid w:val="00F50D2D"/>
    <w:rsid w:val="00F56C8B"/>
    <w:rsid w:val="00F62639"/>
    <w:rsid w:val="00F66810"/>
    <w:rsid w:val="00F721C0"/>
    <w:rsid w:val="00F84DF4"/>
    <w:rsid w:val="00F85C97"/>
    <w:rsid w:val="00FB37D2"/>
    <w:rsid w:val="00FC4EFB"/>
    <w:rsid w:val="00FC6958"/>
    <w:rsid w:val="00FD068D"/>
    <w:rsid w:val="00FD4F28"/>
    <w:rsid w:val="00FE6784"/>
    <w:rsid w:val="00F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Policepardfaut"/>
    <w:link w:val="SCCNormalDoubleSpacing"/>
    <w:rsid w:val="00104F33"/>
    <w:rPr>
      <w:sz w:val="24"/>
    </w:rPr>
  </w:style>
  <w:style w:type="character" w:styleId="lev">
    <w:name w:val="Strong"/>
    <w:basedOn w:val="Policepardfaut"/>
    <w:uiPriority w:val="22"/>
    <w:qFormat/>
    <w:rsid w:val="00C53F14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A548CB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Textedelespacerserv">
    <w:name w:val="Placeholder Text"/>
    <w:basedOn w:val="Policepardfaut"/>
    <w:uiPriority w:val="99"/>
    <w:semiHidden/>
    <w:rsid w:val="00CE317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0C59B8"/>
    <w:rPr>
      <w:sz w:val="24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0C59B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Policepardfau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Policepardfau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Policepardfau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Policepardfaut"/>
    <w:link w:val="SCCLsocOtherPartySeparator"/>
    <w:rsid w:val="003323B0"/>
    <w:rPr>
      <w:sz w:val="24"/>
    </w:rPr>
  </w:style>
  <w:style w:type="character" w:customStyle="1" w:styleId="Titre1Car">
    <w:name w:val="Titre 1 Car"/>
    <w:basedOn w:val="Policepardfaut"/>
    <w:link w:val="Titre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Policepardfau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Policepardfau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Policepardfau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Policepardfau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Policepardfau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Policepardfau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Policepardfau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FE7A8B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FE7A8B"/>
    <w:rPr>
      <w:b/>
      <w:sz w:val="24"/>
    </w:rPr>
  </w:style>
  <w:style w:type="paragraph" w:customStyle="1" w:styleId="ParaNoNdepar-AltN">
    <w:name w:val="Para. No. / Nº de par. - Alt N"/>
    <w:link w:val="ParaNoNdepar-AltNChar"/>
    <w:qFormat/>
    <w:rsid w:val="004B1FF3"/>
    <w:pPr>
      <w:spacing w:before="480" w:after="480" w:line="480" w:lineRule="auto"/>
      <w:jc w:val="both"/>
    </w:pPr>
    <w:rPr>
      <w:rFonts w:eastAsiaTheme="minorEastAsia" w:cstheme="minorBidi"/>
      <w:sz w:val="24"/>
      <w:szCs w:val="22"/>
      <w:lang w:eastAsia="en-US"/>
    </w:rPr>
  </w:style>
  <w:style w:type="character" w:customStyle="1" w:styleId="ParaNoNdepar-AltNChar">
    <w:name w:val="Para. No. / Nº de par. - Alt N Char"/>
    <w:basedOn w:val="Policepardfaut"/>
    <w:link w:val="ParaNoNdepar-AltN"/>
    <w:locked/>
    <w:rsid w:val="004B1FF3"/>
    <w:rPr>
      <w:rFonts w:eastAsiaTheme="minorEastAsia" w:cstheme="minorBidi"/>
      <w:sz w:val="24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5254E"/>
    <w:rPr>
      <w:color w:val="0000FF" w:themeColor="hyperlink"/>
      <w:u w:val="single"/>
    </w:rPr>
  </w:style>
  <w:style w:type="character" w:customStyle="1" w:styleId="SCCLsocPartyRoleChar">
    <w:name w:val="SCC.Lsoc.PartyRole Char"/>
    <w:basedOn w:val="Policepardfaut"/>
    <w:locked/>
    <w:rsid w:val="0046556B"/>
    <w:rPr>
      <w:lang w:val="fr-CA"/>
    </w:rPr>
  </w:style>
  <w:style w:type="character" w:customStyle="1" w:styleId="SCCLsocPrefixChar">
    <w:name w:val="SCC.Lsoc.Prefix Char"/>
    <w:basedOn w:val="Policepardfaut"/>
    <w:link w:val="SCCLsocPrefix"/>
    <w:locked/>
    <w:rsid w:val="0046556B"/>
    <w:rPr>
      <w:b/>
      <w:smallCaps/>
      <w:lang w:val="fr-CA"/>
    </w:rPr>
  </w:style>
  <w:style w:type="paragraph" w:customStyle="1" w:styleId="SCCLsocPrefix">
    <w:name w:val="SCC.Lsoc.Prefix"/>
    <w:basedOn w:val="Normal"/>
    <w:next w:val="Normal"/>
    <w:link w:val="SCCLsocPrefixChar"/>
    <w:rsid w:val="0046556B"/>
    <w:rPr>
      <w:b/>
      <w:smallCaps/>
      <w:sz w:val="20"/>
      <w:lang w:val="fr-CA"/>
    </w:rPr>
  </w:style>
  <w:style w:type="table" w:styleId="Grilledutableau">
    <w:name w:val="Table Grid"/>
    <w:basedOn w:val="TableauNormal"/>
    <w:uiPriority w:val="59"/>
    <w:rsid w:val="0046556B"/>
    <w:rPr>
      <w:rFonts w:eastAsiaTheme="minorHAnsi" w:cstheme="minorBidi"/>
      <w:sz w:val="24"/>
      <w:szCs w:val="24"/>
      <w:lang w:val="en-US"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233B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so-dce/2017SCC-CSC23_1_fr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732</Words>
  <Characters>4259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2017-04-24T12:41:00Z</dcterms:created>
  <dcterms:modified xsi:type="dcterms:W3CDTF">2018-03-02T19:44:00Z</dcterms:modified>
</cp:coreProperties>
</file>