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9E" w:rsidRDefault="00464C9E" w:rsidP="00464C9E">
      <w:pPr>
        <w:pStyle w:val="En-tte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64.35pt" o:ole="">
            <v:imagedata r:id="rId8" o:title=""/>
          </v:shape>
          <o:OLEObject Type="Embed" ProgID="Presentations.Drawing.13" ShapeID="_x0000_i1025" DrawAspect="Content" ObjectID="_1569828773" r:id="rId9"/>
        </w:object>
      </w:r>
      <w:r>
        <w:t xml:space="preserve"> </w:t>
      </w:r>
      <w:r>
        <w:ptab w:relativeTo="margin" w:alignment="right" w:leader="none"/>
      </w:r>
    </w:p>
    <w:p w:rsidR="00464C9E" w:rsidRDefault="00464C9E" w:rsidP="00464C9E">
      <w:pPr>
        <w:pStyle w:val="En-tte"/>
      </w:pPr>
    </w:p>
    <w:p w:rsidR="00464C9E" w:rsidRPr="001E12E2" w:rsidRDefault="00464C9E" w:rsidP="00464C9E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464C9E" w:rsidRDefault="00464C9E" w:rsidP="00464C9E"/>
    <w:tbl>
      <w:tblPr>
        <w:tblStyle w:val="Grilledutableau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1638"/>
        <w:gridCol w:w="2808"/>
      </w:tblGrid>
      <w:tr w:rsidR="00464C9E" w:rsidRPr="001E12E2" w:rsidTr="00A346F0">
        <w:trPr>
          <w:cantSplit/>
        </w:trPr>
        <w:tc>
          <w:tcPr>
            <w:tcW w:w="6768" w:type="dxa"/>
            <w:gridSpan w:val="2"/>
          </w:tcPr>
          <w:p w:rsidR="00464C9E" w:rsidRPr="001E12E2" w:rsidRDefault="00464C9E" w:rsidP="00A346F0"/>
        </w:tc>
        <w:tc>
          <w:tcPr>
            <w:tcW w:w="2808" w:type="dxa"/>
          </w:tcPr>
          <w:p w:rsidR="00464C9E" w:rsidRPr="001E12E2" w:rsidRDefault="00464C9E" w:rsidP="00A346F0"/>
        </w:tc>
      </w:tr>
      <w:tr w:rsidR="00464C9E" w:rsidRPr="001E12E2" w:rsidTr="00A346F0">
        <w:trPr>
          <w:cantSplit/>
        </w:trPr>
        <w:tc>
          <w:tcPr>
            <w:tcW w:w="5130" w:type="dxa"/>
          </w:tcPr>
          <w:p w:rsidR="00464C9E" w:rsidRPr="00464C9E" w:rsidRDefault="00464C9E" w:rsidP="00A346F0">
            <w:pPr>
              <w:ind w:right="-58"/>
              <w:rPr>
                <w:lang w:val="fr-CA"/>
              </w:rPr>
            </w:pPr>
            <w:r w:rsidRPr="00464C9E">
              <w:rPr>
                <w:b/>
                <w:smallCaps/>
                <w:lang w:val="fr-CA"/>
              </w:rPr>
              <w:t>Référence :</w:t>
            </w:r>
            <w:r w:rsidRPr="00464C9E">
              <w:rPr>
                <w:lang w:val="fr-CA"/>
              </w:rPr>
              <w:t xml:space="preserve"> Lajeunesse (Re), 2017 CSC 24, [2017] 1 R.C.S. 473</w:t>
            </w:r>
          </w:p>
        </w:tc>
        <w:tc>
          <w:tcPr>
            <w:tcW w:w="4446" w:type="dxa"/>
            <w:gridSpan w:val="2"/>
          </w:tcPr>
          <w:p w:rsidR="00464C9E" w:rsidRPr="00464C9E" w:rsidRDefault="00464C9E" w:rsidP="00A346F0">
            <w:pPr>
              <w:rPr>
                <w:lang w:val="fr-CA"/>
              </w:rPr>
            </w:pPr>
            <w:r w:rsidRPr="00464C9E">
              <w:rPr>
                <w:b/>
                <w:smallCaps/>
                <w:lang w:val="fr-CA"/>
              </w:rPr>
              <w:t>Appel entendu :</w:t>
            </w:r>
            <w:r w:rsidRPr="00464C9E">
              <w:rPr>
                <w:lang w:val="fr-CA"/>
              </w:rPr>
              <w:t xml:space="preserve"> 20 avril 2017</w:t>
            </w:r>
          </w:p>
          <w:p w:rsidR="00464C9E" w:rsidRPr="00464C9E" w:rsidRDefault="00464C9E" w:rsidP="00A346F0">
            <w:pPr>
              <w:rPr>
                <w:smallCaps/>
                <w:lang w:val="fr-CA"/>
              </w:rPr>
            </w:pPr>
            <w:r w:rsidRPr="00464C9E">
              <w:rPr>
                <w:b/>
                <w:smallCaps/>
                <w:lang w:val="fr-CA"/>
              </w:rPr>
              <w:t>Jugement rendu :</w:t>
            </w:r>
            <w:r w:rsidRPr="00464C9E">
              <w:rPr>
                <w:lang w:val="fr-CA"/>
              </w:rPr>
              <w:t xml:space="preserve"> 20 avril 2017</w:t>
            </w:r>
          </w:p>
          <w:p w:rsidR="00464C9E" w:rsidRPr="001E12E2" w:rsidRDefault="00464C9E" w:rsidP="00A346F0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37320</w:t>
            </w:r>
          </w:p>
        </w:tc>
      </w:tr>
    </w:tbl>
    <w:p w:rsidR="00464C9E" w:rsidRDefault="00464C9E" w:rsidP="00464C9E"/>
    <w:p w:rsidR="00464C9E" w:rsidRPr="001E12E2" w:rsidRDefault="00464C9E" w:rsidP="00464C9E"/>
    <w:p w:rsidR="00464C9E" w:rsidRDefault="00464C9E" w:rsidP="00464C9E">
      <w:pPr>
        <w:pStyle w:val="SCCLsocPrefix"/>
      </w:pPr>
      <w:r>
        <w:t>Entre :</w:t>
      </w:r>
    </w:p>
    <w:p w:rsidR="000714B9" w:rsidRDefault="00464C9E" w:rsidP="00464C9E">
      <w:pPr>
        <w:jc w:val="center"/>
        <w:rPr>
          <w:b/>
          <w:lang w:val="fr-CA"/>
        </w:rPr>
      </w:pPr>
      <w:r w:rsidRPr="00464C9E">
        <w:rPr>
          <w:b/>
          <w:lang w:val="fr-CA"/>
        </w:rPr>
        <w:t xml:space="preserve">Pierre-Michel Lajeunesse, </w:t>
      </w:r>
    </w:p>
    <w:p w:rsidR="000714B9" w:rsidRDefault="00464C9E" w:rsidP="00464C9E">
      <w:pPr>
        <w:jc w:val="center"/>
        <w:rPr>
          <w:b/>
          <w:lang w:val="fr-CA"/>
        </w:rPr>
      </w:pPr>
      <w:r w:rsidRPr="00464C9E">
        <w:rPr>
          <w:b/>
          <w:lang w:val="fr-CA"/>
        </w:rPr>
        <w:t xml:space="preserve">Annick Marcoux et </w:t>
      </w:r>
    </w:p>
    <w:p w:rsidR="00464C9E" w:rsidRPr="00464C9E" w:rsidRDefault="00464C9E" w:rsidP="00464C9E">
      <w:pPr>
        <w:jc w:val="center"/>
        <w:rPr>
          <w:b/>
          <w:lang w:val="fr-CA"/>
        </w:rPr>
      </w:pPr>
      <w:r w:rsidRPr="00464C9E">
        <w:rPr>
          <w:b/>
          <w:lang w:val="fr-CA"/>
        </w:rPr>
        <w:t>Les avocats et notaires de l’État québécois</w:t>
      </w:r>
    </w:p>
    <w:p w:rsidR="00464C9E" w:rsidRPr="00464C9E" w:rsidRDefault="00464C9E" w:rsidP="00464C9E">
      <w:pPr>
        <w:jc w:val="center"/>
        <w:rPr>
          <w:lang w:val="fr-CA"/>
        </w:rPr>
      </w:pPr>
      <w:r w:rsidRPr="00464C9E">
        <w:rPr>
          <w:lang w:val="fr-CA"/>
        </w:rPr>
        <w:t>Appelants</w:t>
      </w:r>
    </w:p>
    <w:p w:rsidR="00464C9E" w:rsidRPr="00464C9E" w:rsidRDefault="00464C9E" w:rsidP="00464C9E">
      <w:pPr>
        <w:jc w:val="center"/>
        <w:rPr>
          <w:lang w:val="fr-CA"/>
        </w:rPr>
      </w:pPr>
    </w:p>
    <w:p w:rsidR="00464C9E" w:rsidRPr="00464C9E" w:rsidRDefault="00464C9E" w:rsidP="00464C9E">
      <w:pPr>
        <w:pStyle w:val="SCCLsocVersus"/>
        <w:spacing w:after="0"/>
        <w:jc w:val="center"/>
        <w:rPr>
          <w:i w:val="0"/>
          <w:lang w:val="fr-CA"/>
        </w:rPr>
      </w:pPr>
      <w:r w:rsidRPr="00464C9E">
        <w:rPr>
          <w:i w:val="0"/>
          <w:lang w:val="fr-CA"/>
        </w:rPr>
        <w:t>- et -</w:t>
      </w:r>
    </w:p>
    <w:p w:rsidR="00464C9E" w:rsidRPr="00464C9E" w:rsidRDefault="00464C9E" w:rsidP="00464C9E">
      <w:pPr>
        <w:jc w:val="center"/>
        <w:rPr>
          <w:lang w:val="fr-CA"/>
        </w:rPr>
      </w:pPr>
    </w:p>
    <w:p w:rsidR="000714B9" w:rsidRDefault="00464C9E" w:rsidP="00464C9E">
      <w:pPr>
        <w:pStyle w:val="SCCLsocParty"/>
        <w:widowControl w:val="0"/>
        <w:jc w:val="center"/>
        <w:rPr>
          <w:lang w:val="fr-CA"/>
        </w:rPr>
      </w:pPr>
      <w:r w:rsidRPr="00464C9E">
        <w:rPr>
          <w:lang w:val="fr-CA"/>
        </w:rPr>
        <w:t xml:space="preserve">Procureure générale du Québec, </w:t>
      </w:r>
    </w:p>
    <w:p w:rsidR="000714B9" w:rsidRDefault="00464C9E" w:rsidP="000714B9">
      <w:pPr>
        <w:pStyle w:val="SCCLsocParty"/>
        <w:widowControl w:val="0"/>
        <w:jc w:val="center"/>
        <w:rPr>
          <w:lang w:val="fr-CA"/>
        </w:rPr>
      </w:pPr>
      <w:r w:rsidRPr="00464C9E">
        <w:rPr>
          <w:lang w:val="fr-CA"/>
        </w:rPr>
        <w:t xml:space="preserve">procureur général de l’Ontario, </w:t>
      </w:r>
    </w:p>
    <w:p w:rsidR="000714B9" w:rsidRDefault="00464C9E" w:rsidP="000714B9">
      <w:pPr>
        <w:pStyle w:val="SCCLsocParty"/>
        <w:widowControl w:val="0"/>
        <w:jc w:val="center"/>
        <w:rPr>
          <w:lang w:val="fr-CA"/>
        </w:rPr>
      </w:pPr>
      <w:r w:rsidRPr="00464C9E">
        <w:rPr>
          <w:lang w:val="fr-CA"/>
        </w:rPr>
        <w:t xml:space="preserve">Association des avocats plaideurs de la Colombie-Britannique, </w:t>
      </w:r>
    </w:p>
    <w:p w:rsidR="000714B9" w:rsidRDefault="00464C9E" w:rsidP="000714B9">
      <w:pPr>
        <w:pStyle w:val="SCCLsocParty"/>
        <w:widowControl w:val="0"/>
        <w:jc w:val="center"/>
        <w:rPr>
          <w:lang w:val="fr-CA"/>
        </w:rPr>
      </w:pPr>
      <w:r w:rsidRPr="00464C9E">
        <w:rPr>
          <w:lang w:val="fr-CA"/>
        </w:rPr>
        <w:t xml:space="preserve">Tribunal administratif du travail </w:t>
      </w:r>
    </w:p>
    <w:p w:rsidR="000714B9" w:rsidRDefault="00464C9E" w:rsidP="000714B9">
      <w:pPr>
        <w:pStyle w:val="SCCLsocParty"/>
        <w:widowControl w:val="0"/>
        <w:jc w:val="center"/>
        <w:rPr>
          <w:lang w:val="fr-CA"/>
        </w:rPr>
      </w:pPr>
      <w:r w:rsidRPr="00464C9E">
        <w:rPr>
          <w:lang w:val="fr-CA"/>
        </w:rPr>
        <w:t xml:space="preserve">(anciennement connu sous le nom de Commission des lésions professionnelles), </w:t>
      </w:r>
    </w:p>
    <w:p w:rsidR="000714B9" w:rsidRDefault="00464C9E" w:rsidP="000714B9">
      <w:pPr>
        <w:pStyle w:val="SCCLsocParty"/>
        <w:widowControl w:val="0"/>
        <w:jc w:val="center"/>
        <w:rPr>
          <w:lang w:val="fr-CA"/>
        </w:rPr>
      </w:pPr>
      <w:r w:rsidRPr="00464C9E">
        <w:rPr>
          <w:lang w:val="fr-CA"/>
        </w:rPr>
        <w:t xml:space="preserve">Commission des normes, de l’équité, de la santé et de la sécurité du travail </w:t>
      </w:r>
    </w:p>
    <w:p w:rsidR="000714B9" w:rsidRDefault="00464C9E" w:rsidP="000714B9">
      <w:pPr>
        <w:pStyle w:val="SCCLsocParty"/>
        <w:widowControl w:val="0"/>
        <w:jc w:val="center"/>
        <w:rPr>
          <w:lang w:val="fr-CA"/>
        </w:rPr>
      </w:pPr>
      <w:r w:rsidRPr="00464C9E">
        <w:rPr>
          <w:lang w:val="fr-CA"/>
        </w:rPr>
        <w:t xml:space="preserve">(anciennement connue sous le nom de Commission de la santé et de la sécurité du travail) et </w:t>
      </w:r>
    </w:p>
    <w:p w:rsidR="00464C9E" w:rsidRPr="00464C9E" w:rsidRDefault="00464C9E" w:rsidP="000714B9">
      <w:pPr>
        <w:pStyle w:val="SCCLsocParty"/>
        <w:widowControl w:val="0"/>
        <w:jc w:val="center"/>
        <w:rPr>
          <w:lang w:val="fr-CA"/>
        </w:rPr>
      </w:pPr>
      <w:r w:rsidRPr="00464C9E">
        <w:rPr>
          <w:lang w:val="fr-CA"/>
        </w:rPr>
        <w:t>9069-4654 Québec inc.</w:t>
      </w:r>
    </w:p>
    <w:p w:rsidR="00464C9E" w:rsidRPr="00464C9E" w:rsidRDefault="00464C9E" w:rsidP="00464C9E">
      <w:pPr>
        <w:jc w:val="center"/>
        <w:rPr>
          <w:lang w:val="fr-CA"/>
        </w:rPr>
      </w:pPr>
      <w:r w:rsidRPr="00464C9E">
        <w:rPr>
          <w:lang w:val="fr-CA"/>
        </w:rPr>
        <w:t>Intervenants</w:t>
      </w:r>
    </w:p>
    <w:p w:rsidR="00464C9E" w:rsidRPr="00464C9E" w:rsidRDefault="00464C9E" w:rsidP="00464C9E">
      <w:pPr>
        <w:rPr>
          <w:lang w:val="fr-CA"/>
        </w:rPr>
      </w:pPr>
    </w:p>
    <w:p w:rsidR="00464C9E" w:rsidRPr="00464C9E" w:rsidRDefault="00464C9E" w:rsidP="00464C9E">
      <w:pPr>
        <w:rPr>
          <w:lang w:val="fr-CA"/>
        </w:rPr>
      </w:pPr>
      <w:r w:rsidRPr="00464C9E">
        <w:rPr>
          <w:b/>
          <w:smallCaps/>
          <w:lang w:val="fr-CA"/>
        </w:rPr>
        <w:t>Coram :</w:t>
      </w:r>
      <w:r w:rsidRPr="00464C9E">
        <w:rPr>
          <w:lang w:val="fr-CA"/>
        </w:rPr>
        <w:t xml:space="preserve"> La juge en chef McLachlin et les juges Abella, Moldaver, Karakatsanis, Wagner, Gascon, Côté, Brown et Rowe</w:t>
      </w:r>
    </w:p>
    <w:p w:rsidR="00464C9E" w:rsidRPr="00464C9E" w:rsidRDefault="00464C9E" w:rsidP="00464C9E">
      <w:pPr>
        <w:rPr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464C9E" w:rsidRPr="000714B9" w:rsidTr="00A346F0">
        <w:trPr>
          <w:cantSplit/>
        </w:trPr>
        <w:tc>
          <w:tcPr>
            <w:tcW w:w="3618" w:type="dxa"/>
          </w:tcPr>
          <w:p w:rsidR="00464C9E" w:rsidRDefault="00464C9E" w:rsidP="00A346F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r>
              <w:rPr>
                <w:b/>
                <w:smallCaps/>
              </w:rPr>
              <w:t> :</w:t>
            </w:r>
          </w:p>
          <w:p w:rsidR="00464C9E" w:rsidRPr="001E12E2" w:rsidRDefault="00464C9E" w:rsidP="00A346F0">
            <w:r>
              <w:t>(par. 1)</w:t>
            </w:r>
          </w:p>
        </w:tc>
        <w:tc>
          <w:tcPr>
            <w:tcW w:w="5958" w:type="dxa"/>
          </w:tcPr>
          <w:p w:rsidR="00464C9E" w:rsidRPr="00464C9E" w:rsidRDefault="00464C9E" w:rsidP="00A346F0">
            <w:pPr>
              <w:rPr>
                <w:lang w:val="fr-CA"/>
              </w:rPr>
            </w:pPr>
            <w:r w:rsidRPr="00464C9E">
              <w:rPr>
                <w:lang w:val="fr-CA"/>
              </w:rPr>
              <w:t>Le juge Gascon (</w:t>
            </w:r>
            <w:bookmarkStart w:id="0" w:name="_GoBack"/>
            <w:bookmarkEnd w:id="0"/>
            <w:r w:rsidRPr="00464C9E">
              <w:rPr>
                <w:lang w:val="fr-CA"/>
              </w:rPr>
              <w:t>avec l’accord de la juge en chef McLachlin et des juges Abella, Moldaver, Karakatsanis, Wagner, Côté, Brown et Rowe)</w:t>
            </w:r>
          </w:p>
        </w:tc>
      </w:tr>
    </w:tbl>
    <w:p w:rsidR="00464C9E" w:rsidRPr="00464C9E" w:rsidRDefault="00464C9E" w:rsidP="00464C9E">
      <w:pPr>
        <w:rPr>
          <w:lang w:val="fr-CA"/>
        </w:rPr>
      </w:pPr>
    </w:p>
    <w:p w:rsidR="00464C9E" w:rsidRPr="00464C9E" w:rsidRDefault="00464C9E" w:rsidP="00464C9E">
      <w:pPr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47F6A" wp14:editId="6358D275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1EA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464C9E" w:rsidRDefault="00464C9E" w:rsidP="00270AEE">
      <w:pPr>
        <w:widowControl w:val="0"/>
        <w:spacing w:line="480" w:lineRule="auto"/>
        <w:jc w:val="both"/>
        <w:rPr>
          <w:lang w:val="fr-CA"/>
        </w:rPr>
      </w:pPr>
    </w:p>
    <w:p w:rsidR="004D7D95" w:rsidRPr="006D4DF0" w:rsidRDefault="006D4DF0" w:rsidP="00270AEE">
      <w:pPr>
        <w:widowControl w:val="0"/>
        <w:spacing w:line="480" w:lineRule="auto"/>
        <w:jc w:val="both"/>
        <w:rPr>
          <w:lang w:val="fr-CA"/>
        </w:rPr>
      </w:pPr>
      <w:r>
        <w:rPr>
          <w:lang w:val="fr-CA"/>
        </w:rPr>
        <w:t>L</w:t>
      </w:r>
      <w:r w:rsidR="005F1D79" w:rsidRPr="006D4DF0">
        <w:rPr>
          <w:lang w:val="fr-CA"/>
        </w:rPr>
        <w:t>ajeunesse (</w:t>
      </w:r>
      <w:r>
        <w:rPr>
          <w:lang w:val="fr-CA"/>
        </w:rPr>
        <w:t>R</w:t>
      </w:r>
      <w:r w:rsidR="009C54C8" w:rsidRPr="006D4DF0">
        <w:rPr>
          <w:lang w:val="fr-CA"/>
        </w:rPr>
        <w:t>e</w:t>
      </w:r>
      <w:r w:rsidR="005F1D79" w:rsidRPr="006D4DF0">
        <w:rPr>
          <w:lang w:val="fr-CA"/>
        </w:rPr>
        <w:t>)</w:t>
      </w:r>
      <w:r>
        <w:rPr>
          <w:lang w:val="fr-CA"/>
        </w:rPr>
        <w:t xml:space="preserve">, </w:t>
      </w:r>
      <w:r w:rsidRPr="00CE5BF8">
        <w:rPr>
          <w:lang w:val="fr-CA"/>
        </w:rPr>
        <w:t>2017 CSC </w:t>
      </w:r>
      <w:r>
        <w:rPr>
          <w:lang w:val="fr-CA"/>
        </w:rPr>
        <w:t>24, [2017] 1 R.C.S. 473</w:t>
      </w:r>
    </w:p>
    <w:p w:rsidR="004D7D95" w:rsidRPr="00CE5BF8" w:rsidRDefault="004D7D95" w:rsidP="00270AEE">
      <w:pPr>
        <w:widowControl w:val="0"/>
        <w:jc w:val="both"/>
        <w:rPr>
          <w:lang w:val="fr-CA"/>
        </w:rPr>
      </w:pPr>
    </w:p>
    <w:p w:rsidR="004D7D95" w:rsidRPr="00CE5BF8" w:rsidRDefault="004D7D95" w:rsidP="00270AEE">
      <w:pPr>
        <w:widowControl w:val="0"/>
        <w:jc w:val="both"/>
        <w:rPr>
          <w:lang w:val="fr-CA"/>
        </w:rPr>
      </w:pPr>
    </w:p>
    <w:p w:rsidR="004D7D95" w:rsidRPr="00CE5BF8" w:rsidRDefault="004D7D95" w:rsidP="00270AEE">
      <w:pPr>
        <w:widowControl w:val="0"/>
        <w:jc w:val="both"/>
        <w:rPr>
          <w:lang w:val="fr-CA"/>
        </w:rPr>
      </w:pPr>
    </w:p>
    <w:p w:rsidR="00E61C20" w:rsidRDefault="00CE5BF8" w:rsidP="00270AEE">
      <w:pPr>
        <w:pStyle w:val="SCCLsocParty"/>
        <w:widowControl w:val="0"/>
        <w:rPr>
          <w:lang w:val="fr-CA"/>
        </w:rPr>
      </w:pPr>
      <w:r w:rsidRPr="00CE5BF8">
        <w:rPr>
          <w:lang w:val="fr-CA"/>
        </w:rPr>
        <w:t>Pierre-Michel Lajeunesse,</w:t>
      </w:r>
    </w:p>
    <w:p w:rsidR="00270AEE" w:rsidRPr="00270AEE" w:rsidRDefault="00270AEE" w:rsidP="00270AEE">
      <w:pPr>
        <w:widowControl w:val="0"/>
        <w:rPr>
          <w:b/>
          <w:lang w:val="fr-CA"/>
        </w:rPr>
      </w:pPr>
      <w:r w:rsidRPr="00270AEE">
        <w:rPr>
          <w:b/>
          <w:lang w:val="fr-CA"/>
        </w:rPr>
        <w:lastRenderedPageBreak/>
        <w:t>Annick Marcoux et Les avocats et</w:t>
      </w:r>
    </w:p>
    <w:p w:rsidR="00E61C20" w:rsidRPr="00CE5BF8" w:rsidRDefault="00896527" w:rsidP="00270AEE">
      <w:pPr>
        <w:pStyle w:val="SCCLsocLastPartyInRole"/>
        <w:widowControl w:val="0"/>
        <w:rPr>
          <w:lang w:val="fr-CA"/>
        </w:rPr>
      </w:pPr>
      <w:r>
        <w:rPr>
          <w:lang w:val="fr-CA"/>
        </w:rPr>
        <w:t>notaires de l’</w:t>
      </w:r>
      <w:r w:rsidR="00CE5BF8" w:rsidRPr="00CE5BF8">
        <w:rPr>
          <w:lang w:val="fr-CA"/>
        </w:rPr>
        <w:t>État québécois</w:t>
      </w:r>
      <w:r w:rsidR="009C54C8">
        <w:rPr>
          <w:rStyle w:val="SCCLsocPartyRole"/>
          <w:lang w:val="fr-CA"/>
        </w:rPr>
        <w:tab/>
        <w:t>Appelant</w:t>
      </w:r>
      <w:r w:rsidR="00CE5BF8" w:rsidRPr="00CE5BF8">
        <w:rPr>
          <w:rStyle w:val="SCCLsocPartyRole"/>
          <w:lang w:val="fr-CA"/>
        </w:rPr>
        <w:t>s</w:t>
      </w:r>
    </w:p>
    <w:p w:rsidR="005F1D79" w:rsidRDefault="005F1D79" w:rsidP="00270AEE">
      <w:pPr>
        <w:pStyle w:val="SCCLsocParty"/>
        <w:widowControl w:val="0"/>
        <w:rPr>
          <w:lang w:val="fr-CA"/>
        </w:rPr>
      </w:pPr>
      <w:r>
        <w:rPr>
          <w:lang w:val="fr-CA"/>
        </w:rPr>
        <w:t>et</w:t>
      </w:r>
    </w:p>
    <w:p w:rsidR="005F1D79" w:rsidRDefault="005F1D79" w:rsidP="00270AEE">
      <w:pPr>
        <w:pStyle w:val="SCCLsocParty"/>
        <w:widowControl w:val="0"/>
        <w:rPr>
          <w:lang w:val="fr-CA"/>
        </w:rPr>
      </w:pPr>
    </w:p>
    <w:p w:rsidR="005F1D79" w:rsidRDefault="005F1D79" w:rsidP="00270AEE">
      <w:pPr>
        <w:pStyle w:val="SCCLsocParty"/>
        <w:widowControl w:val="0"/>
        <w:rPr>
          <w:lang w:val="fr-CA"/>
        </w:rPr>
      </w:pPr>
    </w:p>
    <w:p w:rsidR="00E61C20" w:rsidRPr="00CE5BF8" w:rsidRDefault="00CE5BF8" w:rsidP="00270AEE">
      <w:pPr>
        <w:pStyle w:val="SCCLsocParty"/>
        <w:widowControl w:val="0"/>
        <w:rPr>
          <w:lang w:val="fr-CA"/>
        </w:rPr>
      </w:pPr>
      <w:r w:rsidRPr="00CE5BF8">
        <w:rPr>
          <w:lang w:val="fr-CA"/>
        </w:rPr>
        <w:t>Procureur</w:t>
      </w:r>
      <w:r w:rsidR="00A60BCE">
        <w:rPr>
          <w:lang w:val="fr-CA"/>
        </w:rPr>
        <w:t>e</w:t>
      </w:r>
      <w:r w:rsidRPr="00CE5BF8">
        <w:rPr>
          <w:lang w:val="fr-CA"/>
        </w:rPr>
        <w:t xml:space="preserve"> </w:t>
      </w:r>
      <w:r w:rsidR="009C54C8">
        <w:rPr>
          <w:lang w:val="fr-CA"/>
        </w:rPr>
        <w:t>général</w:t>
      </w:r>
      <w:r w:rsidR="00A60BCE">
        <w:rPr>
          <w:lang w:val="fr-CA"/>
        </w:rPr>
        <w:t>e du Québec</w:t>
      </w:r>
      <w:r w:rsidRPr="00CE5BF8">
        <w:rPr>
          <w:lang w:val="fr-CA"/>
        </w:rPr>
        <w:t>,</w:t>
      </w:r>
    </w:p>
    <w:p w:rsidR="00E61C20" w:rsidRPr="00CE5BF8" w:rsidRDefault="00E972F2" w:rsidP="00270AEE">
      <w:pPr>
        <w:pStyle w:val="SCCLsocParty"/>
        <w:widowControl w:val="0"/>
        <w:rPr>
          <w:lang w:val="fr-CA"/>
        </w:rPr>
      </w:pPr>
      <w:r>
        <w:rPr>
          <w:lang w:val="fr-CA"/>
        </w:rPr>
        <w:t>p</w:t>
      </w:r>
      <w:r w:rsidR="00CE5BF8" w:rsidRPr="00CE5BF8">
        <w:rPr>
          <w:lang w:val="fr-CA"/>
        </w:rPr>
        <w:t>rocureur général</w:t>
      </w:r>
      <w:r w:rsidR="00A60BCE">
        <w:rPr>
          <w:lang w:val="fr-CA"/>
        </w:rPr>
        <w:t xml:space="preserve"> de l’Ontario</w:t>
      </w:r>
      <w:r w:rsidR="00CE5BF8" w:rsidRPr="00CE5BF8">
        <w:rPr>
          <w:lang w:val="fr-CA"/>
        </w:rPr>
        <w:t>,</w:t>
      </w:r>
    </w:p>
    <w:p w:rsidR="00270AEE" w:rsidRDefault="00CE5BF8" w:rsidP="00270AEE">
      <w:pPr>
        <w:pStyle w:val="SCCLsocParty"/>
        <w:widowControl w:val="0"/>
        <w:rPr>
          <w:lang w:val="fr-CA"/>
        </w:rPr>
      </w:pPr>
      <w:r w:rsidRPr="00CE5BF8">
        <w:rPr>
          <w:lang w:val="fr-CA"/>
        </w:rPr>
        <w:t xml:space="preserve">Association des avocats plaideurs de la </w:t>
      </w:r>
    </w:p>
    <w:p w:rsidR="00E61C20" w:rsidRPr="00CE5BF8" w:rsidRDefault="00CE5BF8" w:rsidP="00270AEE">
      <w:pPr>
        <w:pStyle w:val="SCCLsocParty"/>
        <w:widowControl w:val="0"/>
        <w:rPr>
          <w:lang w:val="fr-CA"/>
        </w:rPr>
      </w:pPr>
      <w:r w:rsidRPr="00CE5BF8">
        <w:rPr>
          <w:lang w:val="fr-CA"/>
        </w:rPr>
        <w:t>Colombie-Britannique,</w:t>
      </w:r>
    </w:p>
    <w:p w:rsidR="00270AEE" w:rsidRDefault="00CE5BF8" w:rsidP="00270AEE">
      <w:pPr>
        <w:pStyle w:val="SCCLsocParty"/>
        <w:widowControl w:val="0"/>
        <w:rPr>
          <w:lang w:val="fr-CA"/>
        </w:rPr>
      </w:pPr>
      <w:r w:rsidRPr="00CE5BF8">
        <w:rPr>
          <w:lang w:val="fr-CA"/>
        </w:rPr>
        <w:t xml:space="preserve">Tribunal administratif du travail </w:t>
      </w:r>
    </w:p>
    <w:p w:rsidR="00270AEE" w:rsidRDefault="00CE5BF8" w:rsidP="00270AEE">
      <w:pPr>
        <w:pStyle w:val="SCCLsocParty"/>
        <w:widowControl w:val="0"/>
        <w:rPr>
          <w:lang w:val="fr-CA"/>
        </w:rPr>
      </w:pPr>
      <w:r w:rsidRPr="00CE5BF8">
        <w:rPr>
          <w:lang w:val="fr-CA"/>
        </w:rPr>
        <w:t xml:space="preserve">(anciennement connu sous le nom de </w:t>
      </w:r>
    </w:p>
    <w:p w:rsidR="00E61C20" w:rsidRPr="00CE5BF8" w:rsidRDefault="00CE5BF8" w:rsidP="00270AEE">
      <w:pPr>
        <w:pStyle w:val="SCCLsocParty"/>
        <w:widowControl w:val="0"/>
        <w:rPr>
          <w:lang w:val="fr-CA"/>
        </w:rPr>
      </w:pPr>
      <w:r w:rsidRPr="00CE5BF8">
        <w:rPr>
          <w:lang w:val="fr-CA"/>
        </w:rPr>
        <w:t>Commission des lésions professionnelles),</w:t>
      </w:r>
    </w:p>
    <w:p w:rsidR="00270AEE" w:rsidRDefault="002B1500" w:rsidP="00270AEE">
      <w:pPr>
        <w:pStyle w:val="SCCLsocParty"/>
        <w:widowControl w:val="0"/>
        <w:rPr>
          <w:lang w:val="fr-CA"/>
        </w:rPr>
      </w:pPr>
      <w:r>
        <w:rPr>
          <w:lang w:val="fr-CA"/>
        </w:rPr>
        <w:t>Commission des normes, de l’</w:t>
      </w:r>
      <w:r w:rsidR="00CE5BF8" w:rsidRPr="00CE5BF8">
        <w:rPr>
          <w:lang w:val="fr-CA"/>
        </w:rPr>
        <w:t xml:space="preserve">équité, de la santé et de la </w:t>
      </w:r>
    </w:p>
    <w:p w:rsidR="00270AEE" w:rsidRDefault="00CE5BF8" w:rsidP="00270AEE">
      <w:pPr>
        <w:pStyle w:val="SCCLsocParty"/>
        <w:widowControl w:val="0"/>
        <w:rPr>
          <w:lang w:val="fr-CA"/>
        </w:rPr>
      </w:pPr>
      <w:r w:rsidRPr="00CE5BF8">
        <w:rPr>
          <w:lang w:val="fr-CA"/>
        </w:rPr>
        <w:t xml:space="preserve">sécurité du travail (anciennement connue sous le nom </w:t>
      </w:r>
    </w:p>
    <w:p w:rsidR="00E61C20" w:rsidRPr="00CE5BF8" w:rsidRDefault="00CE5BF8" w:rsidP="00270AEE">
      <w:pPr>
        <w:pStyle w:val="SCCLsocParty"/>
        <w:widowControl w:val="0"/>
        <w:rPr>
          <w:lang w:val="fr-CA"/>
        </w:rPr>
      </w:pPr>
      <w:r w:rsidRPr="00CE5BF8">
        <w:rPr>
          <w:lang w:val="fr-CA"/>
        </w:rPr>
        <w:t>de Commission de la sant</w:t>
      </w:r>
      <w:r w:rsidR="005F1D79">
        <w:rPr>
          <w:lang w:val="fr-CA"/>
        </w:rPr>
        <w:t>é et de la sécurité du travail) et</w:t>
      </w:r>
    </w:p>
    <w:p w:rsidR="00E61C20" w:rsidRPr="009C54C8" w:rsidRDefault="00CE5BF8" w:rsidP="00270AEE">
      <w:pPr>
        <w:pStyle w:val="SCCLsocLastPartyInRole"/>
        <w:widowControl w:val="0"/>
        <w:rPr>
          <w:lang w:val="fr-CA"/>
        </w:rPr>
      </w:pPr>
      <w:r w:rsidRPr="009C54C8">
        <w:rPr>
          <w:lang w:val="fr-CA"/>
        </w:rPr>
        <w:t>9069-4654 Québec inc.</w:t>
      </w:r>
      <w:r w:rsidR="009C54C8" w:rsidRPr="009C54C8">
        <w:rPr>
          <w:rStyle w:val="SCCLsocPartyRole"/>
          <w:lang w:val="fr-CA"/>
        </w:rPr>
        <w:tab/>
        <w:t>Intervenant</w:t>
      </w:r>
      <w:r w:rsidRPr="009C54C8">
        <w:rPr>
          <w:rStyle w:val="SCCLsocPartyRole"/>
          <w:lang w:val="fr-CA"/>
        </w:rPr>
        <w:t>s</w:t>
      </w:r>
    </w:p>
    <w:p w:rsidR="004D7D95" w:rsidRPr="009C54C8" w:rsidRDefault="009C54C8" w:rsidP="00270AEE">
      <w:pPr>
        <w:widowControl w:val="0"/>
        <w:jc w:val="both"/>
        <w:rPr>
          <w:b/>
          <w:i/>
          <w:lang w:val="fr-CA"/>
        </w:rPr>
      </w:pPr>
      <w:r>
        <w:rPr>
          <w:b/>
          <w:lang w:val="fr-CA"/>
        </w:rPr>
        <w:t>Répertorié : </w:t>
      </w:r>
      <w:r w:rsidRPr="009C54C8">
        <w:rPr>
          <w:b/>
          <w:lang w:val="fr-CA"/>
        </w:rPr>
        <w:t>L</w:t>
      </w:r>
      <w:r>
        <w:rPr>
          <w:b/>
          <w:lang w:val="fr-CA"/>
        </w:rPr>
        <w:t xml:space="preserve">ajeunesse </w:t>
      </w:r>
      <w:r w:rsidR="005F1D79">
        <w:rPr>
          <w:b/>
          <w:lang w:val="fr-CA"/>
        </w:rPr>
        <w:t>(</w:t>
      </w:r>
      <w:r>
        <w:rPr>
          <w:b/>
          <w:lang w:val="fr-CA"/>
        </w:rPr>
        <w:t>Re</w:t>
      </w:r>
      <w:r w:rsidR="005F1D79">
        <w:rPr>
          <w:b/>
          <w:lang w:val="fr-CA"/>
        </w:rPr>
        <w:t>)</w:t>
      </w:r>
    </w:p>
    <w:p w:rsidR="004D7D95" w:rsidRPr="00CE5BF8" w:rsidRDefault="004D7D95" w:rsidP="00270AEE">
      <w:pPr>
        <w:widowControl w:val="0"/>
        <w:jc w:val="both"/>
        <w:rPr>
          <w:lang w:val="fr-CA"/>
        </w:rPr>
      </w:pPr>
    </w:p>
    <w:p w:rsidR="004D7D95" w:rsidRPr="00CE5BF8" w:rsidRDefault="00D17B0E" w:rsidP="00270AEE">
      <w:pPr>
        <w:pStyle w:val="SCCSystemYear"/>
        <w:widowControl w:val="0"/>
        <w:jc w:val="both"/>
        <w:rPr>
          <w:lang w:val="fr-CA"/>
        </w:rPr>
      </w:pPr>
      <w:r w:rsidRPr="00CE5BF8">
        <w:rPr>
          <w:lang w:val="fr-CA"/>
        </w:rPr>
        <w:t>2017</w:t>
      </w:r>
      <w:r w:rsidR="004D7D95" w:rsidRPr="00CE5BF8">
        <w:rPr>
          <w:lang w:val="fr-CA"/>
        </w:rPr>
        <w:t xml:space="preserve"> CSC </w:t>
      </w:r>
      <w:r w:rsidR="009C54C8">
        <w:rPr>
          <w:lang w:val="fr-CA"/>
        </w:rPr>
        <w:t>24</w:t>
      </w:r>
    </w:p>
    <w:p w:rsidR="004D7D95" w:rsidRPr="00CE5BF8" w:rsidRDefault="004D7D95" w:rsidP="00270AEE">
      <w:pPr>
        <w:widowControl w:val="0"/>
        <w:jc w:val="both"/>
        <w:rPr>
          <w:lang w:val="fr-CA"/>
        </w:rPr>
      </w:pPr>
    </w:p>
    <w:p w:rsidR="004D7D95" w:rsidRPr="00CE5BF8" w:rsidRDefault="004D7D95" w:rsidP="00270AEE">
      <w:pPr>
        <w:widowControl w:val="0"/>
        <w:jc w:val="both"/>
        <w:rPr>
          <w:lang w:val="fr-CA"/>
        </w:rPr>
      </w:pPr>
      <w:r w:rsidRPr="00CE5BF8">
        <w:rPr>
          <w:lang w:val="fr-CA"/>
        </w:rPr>
        <w:t>N</w:t>
      </w:r>
      <w:r w:rsidRPr="00CE5BF8">
        <w:rPr>
          <w:vertAlign w:val="superscript"/>
          <w:lang w:val="fr-CA"/>
        </w:rPr>
        <w:t>o</w:t>
      </w:r>
      <w:r w:rsidRPr="00CE5BF8">
        <w:rPr>
          <w:lang w:val="fr-CA"/>
        </w:rPr>
        <w:t xml:space="preserve"> du greffe : 37320.</w:t>
      </w:r>
    </w:p>
    <w:p w:rsidR="004D7D95" w:rsidRPr="00CE5BF8" w:rsidRDefault="004D7D95" w:rsidP="00270AEE">
      <w:pPr>
        <w:widowControl w:val="0"/>
        <w:jc w:val="both"/>
        <w:rPr>
          <w:lang w:val="fr-CA"/>
        </w:rPr>
      </w:pPr>
    </w:p>
    <w:p w:rsidR="004D7D95" w:rsidRPr="00CE5BF8" w:rsidRDefault="00D17B0E" w:rsidP="00270AEE">
      <w:pPr>
        <w:widowControl w:val="0"/>
        <w:jc w:val="both"/>
        <w:rPr>
          <w:lang w:val="fr-CA"/>
        </w:rPr>
      </w:pPr>
      <w:r w:rsidRPr="00CE5BF8">
        <w:rPr>
          <w:lang w:val="fr-CA"/>
        </w:rPr>
        <w:t>2017 : 20 avril</w:t>
      </w:r>
      <w:r w:rsidR="004D7D95" w:rsidRPr="00CE5BF8">
        <w:rPr>
          <w:lang w:val="fr-CA"/>
        </w:rPr>
        <w:t>.</w:t>
      </w:r>
    </w:p>
    <w:p w:rsidR="004D7D95" w:rsidRPr="00CE5BF8" w:rsidRDefault="004D7D95" w:rsidP="00270AEE">
      <w:pPr>
        <w:widowControl w:val="0"/>
        <w:jc w:val="both"/>
        <w:rPr>
          <w:lang w:val="fr-CA"/>
        </w:rPr>
      </w:pPr>
    </w:p>
    <w:p w:rsidR="004D7D95" w:rsidRPr="00CE5BF8" w:rsidRDefault="004D7D95" w:rsidP="00270AEE">
      <w:pPr>
        <w:widowControl w:val="0"/>
        <w:jc w:val="both"/>
        <w:rPr>
          <w:lang w:val="fr-CA"/>
        </w:rPr>
      </w:pPr>
      <w:r w:rsidRPr="00CE5BF8">
        <w:rPr>
          <w:lang w:val="fr-CA"/>
        </w:rPr>
        <w:t>Présents : La juge en chef McLachlin et les juges Abella, Moldaver, Karakatsanis, Wagner, Gascon, Côté, Brown et Rowe.</w:t>
      </w:r>
    </w:p>
    <w:p w:rsidR="004D7D95" w:rsidRPr="00CE5BF8" w:rsidRDefault="004D7D95" w:rsidP="00270AEE">
      <w:pPr>
        <w:widowControl w:val="0"/>
        <w:jc w:val="both"/>
        <w:rPr>
          <w:lang w:val="fr-CA"/>
        </w:rPr>
      </w:pPr>
    </w:p>
    <w:p w:rsidR="004D7D95" w:rsidRPr="009C54C8" w:rsidRDefault="004D7D95" w:rsidP="00270AEE">
      <w:pPr>
        <w:widowControl w:val="0"/>
        <w:jc w:val="both"/>
        <w:rPr>
          <w:smallCaps/>
          <w:lang w:val="fr-CA"/>
        </w:rPr>
      </w:pPr>
      <w:r w:rsidRPr="009C54C8">
        <w:rPr>
          <w:smallCaps/>
          <w:lang w:val="fr-CA"/>
        </w:rPr>
        <w:t xml:space="preserve">en appel de la </w:t>
      </w:r>
      <w:r w:rsidR="009C54C8" w:rsidRPr="009C54C8">
        <w:rPr>
          <w:smallCaps/>
          <w:lang w:val="fr-CA"/>
        </w:rPr>
        <w:t>cour d’appel du québec</w:t>
      </w:r>
    </w:p>
    <w:p w:rsidR="004D7D95" w:rsidRPr="009C54C8" w:rsidRDefault="004D7D95" w:rsidP="00270AEE">
      <w:pPr>
        <w:pStyle w:val="SCCNormalDoubleSpacing"/>
        <w:widowControl w:val="0"/>
        <w:rPr>
          <w:smallCaps/>
          <w:lang w:val="fr-CA"/>
        </w:rPr>
      </w:pPr>
    </w:p>
    <w:p w:rsidR="00A60BCE" w:rsidRDefault="004D7D95" w:rsidP="00270AEE">
      <w:pPr>
        <w:pStyle w:val="SCCNormalDoubleSpacing"/>
        <w:widowControl w:val="0"/>
        <w:rPr>
          <w:i/>
          <w:lang w:val="fr-CA"/>
        </w:rPr>
      </w:pPr>
      <w:r w:rsidRPr="00BB4C92">
        <w:rPr>
          <w:lang w:val="fr-CA"/>
        </w:rPr>
        <w:tab/>
      </w:r>
      <w:r w:rsidR="00A60BCE" w:rsidRPr="00A160CE">
        <w:rPr>
          <w:i/>
          <w:lang w:val="fr-CA"/>
        </w:rPr>
        <w:t xml:space="preserve">Droit constitutionnel </w:t>
      </w:r>
      <w:r w:rsidR="00B24E9F">
        <w:rPr>
          <w:i/>
          <w:lang w:val="fr-CA"/>
        </w:rPr>
        <w:t>— Charte des droits — Liberté d’association — Droit de grève —</w:t>
      </w:r>
      <w:r w:rsidR="00A160CE">
        <w:rPr>
          <w:i/>
          <w:lang w:val="fr-CA"/>
        </w:rPr>
        <w:t xml:space="preserve"> </w:t>
      </w:r>
      <w:r w:rsidR="00A60BCE" w:rsidRPr="00A160CE">
        <w:rPr>
          <w:i/>
          <w:lang w:val="fr-CA"/>
        </w:rPr>
        <w:t>Déclenche</w:t>
      </w:r>
      <w:r w:rsidR="000072DB">
        <w:rPr>
          <w:i/>
          <w:lang w:val="fr-CA"/>
        </w:rPr>
        <w:t>ment d’une grève illimitée par L</w:t>
      </w:r>
      <w:r w:rsidR="00A60BCE" w:rsidRPr="00A160CE">
        <w:rPr>
          <w:i/>
          <w:lang w:val="fr-CA"/>
        </w:rPr>
        <w:t>es avocats et notaires</w:t>
      </w:r>
      <w:r w:rsidR="000072DB">
        <w:rPr>
          <w:i/>
          <w:lang w:val="fr-CA"/>
        </w:rPr>
        <w:t xml:space="preserve"> de l’État québécois</w:t>
      </w:r>
      <w:r w:rsidR="00B24E9F">
        <w:rPr>
          <w:i/>
          <w:lang w:val="fr-CA"/>
        </w:rPr>
        <w:t xml:space="preserve"> —</w:t>
      </w:r>
      <w:r w:rsidR="00A60BCE" w:rsidRPr="00A160CE">
        <w:rPr>
          <w:i/>
          <w:lang w:val="fr-CA"/>
        </w:rPr>
        <w:t xml:space="preserve"> Détermination par le Tribunal administratif du travail des services essentiels que doivent maintenir les membres</w:t>
      </w:r>
      <w:r w:rsidR="00B24E9F">
        <w:rPr>
          <w:i/>
          <w:lang w:val="fr-CA"/>
        </w:rPr>
        <w:t xml:space="preserve"> de LANEQ au cours de la grève —</w:t>
      </w:r>
      <w:r w:rsidR="00A60BCE" w:rsidRPr="00A160CE">
        <w:rPr>
          <w:i/>
          <w:lang w:val="fr-CA"/>
        </w:rPr>
        <w:t xml:space="preserve"> </w:t>
      </w:r>
      <w:r w:rsidR="00671AC9" w:rsidRPr="00A160CE">
        <w:rPr>
          <w:i/>
          <w:lang w:val="fr-CA"/>
        </w:rPr>
        <w:t>Demandes de remise figurant</w:t>
      </w:r>
      <w:r w:rsidR="00B24E9F">
        <w:rPr>
          <w:i/>
          <w:lang w:val="fr-CA"/>
        </w:rPr>
        <w:t xml:space="preserve"> parmi les services essentiels —</w:t>
      </w:r>
      <w:r w:rsidR="00671AC9" w:rsidRPr="00A160CE">
        <w:rPr>
          <w:i/>
          <w:lang w:val="fr-CA"/>
        </w:rPr>
        <w:t xml:space="preserve"> </w:t>
      </w:r>
      <w:r w:rsidR="00A60BCE" w:rsidRPr="00A160CE">
        <w:rPr>
          <w:i/>
          <w:lang w:val="fr-CA"/>
        </w:rPr>
        <w:t>Demande de remise formulée par des membres de LANEQ dans le cadre d’un pourvoi devant la Cour d’</w:t>
      </w:r>
      <w:r w:rsidR="00B24E9F">
        <w:rPr>
          <w:i/>
          <w:lang w:val="fr-CA"/>
        </w:rPr>
        <w:t>appel du Québec —</w:t>
      </w:r>
      <w:r w:rsidR="00671AC9" w:rsidRPr="00A160CE">
        <w:rPr>
          <w:i/>
          <w:lang w:val="fr-CA"/>
        </w:rPr>
        <w:t xml:space="preserve"> Demande de remise refusée au motif que </w:t>
      </w:r>
      <w:r w:rsidR="00A160CE">
        <w:rPr>
          <w:i/>
          <w:lang w:val="fr-CA"/>
        </w:rPr>
        <w:t xml:space="preserve">la Juge en chef du </w:t>
      </w:r>
      <w:r w:rsidR="00A160CE">
        <w:rPr>
          <w:i/>
          <w:lang w:val="fr-CA"/>
        </w:rPr>
        <w:lastRenderedPageBreak/>
        <w:t xml:space="preserve">Québec considère que </w:t>
      </w:r>
      <w:r w:rsidR="00671AC9" w:rsidRPr="00A160CE">
        <w:rPr>
          <w:i/>
          <w:lang w:val="fr-CA"/>
        </w:rPr>
        <w:t>les audiences de la Cour d’appel co</w:t>
      </w:r>
      <w:r w:rsidR="00B24E9F">
        <w:rPr>
          <w:i/>
          <w:lang w:val="fr-CA"/>
        </w:rPr>
        <w:t>nstituent un service essentiel —</w:t>
      </w:r>
      <w:r w:rsidR="00671AC9" w:rsidRPr="00A160CE">
        <w:rPr>
          <w:i/>
          <w:lang w:val="fr-CA"/>
        </w:rPr>
        <w:t xml:space="preserve"> </w:t>
      </w:r>
      <w:r w:rsidR="00757DE7">
        <w:rPr>
          <w:i/>
          <w:lang w:val="fr-CA"/>
        </w:rPr>
        <w:t>Décision portée en appel au motif qu’elle a</w:t>
      </w:r>
      <w:r w:rsidR="00A160CE" w:rsidRPr="00A160CE">
        <w:rPr>
          <w:i/>
          <w:lang w:val="fr-CA"/>
        </w:rPr>
        <w:t xml:space="preserve"> été rendue sans a</w:t>
      </w:r>
      <w:r w:rsidR="00757DE7">
        <w:rPr>
          <w:i/>
          <w:lang w:val="fr-CA"/>
        </w:rPr>
        <w:t>gir judiciairement et repose sur des considérations</w:t>
      </w:r>
      <w:r w:rsidR="00A160CE" w:rsidRPr="00A160CE">
        <w:rPr>
          <w:i/>
          <w:lang w:val="fr-CA"/>
        </w:rPr>
        <w:t xml:space="preserve"> erronées en droit, notamment en ce qu’elle p</w:t>
      </w:r>
      <w:r w:rsidR="00757DE7">
        <w:rPr>
          <w:i/>
          <w:lang w:val="fr-CA"/>
        </w:rPr>
        <w:t>orte atteinte au droit de grève</w:t>
      </w:r>
      <w:r w:rsidR="00A160CE">
        <w:rPr>
          <w:i/>
          <w:lang w:val="fr-CA"/>
        </w:rPr>
        <w:t xml:space="preserve"> </w:t>
      </w:r>
      <w:r w:rsidR="00B24E9F">
        <w:rPr>
          <w:i/>
          <w:lang w:val="fr-CA"/>
        </w:rPr>
        <w:t>—</w:t>
      </w:r>
      <w:r w:rsidR="00A160CE" w:rsidRPr="00A160CE">
        <w:rPr>
          <w:i/>
          <w:lang w:val="fr-CA"/>
        </w:rPr>
        <w:t xml:space="preserve"> Loi s</w:t>
      </w:r>
      <w:r w:rsidR="00F72B12">
        <w:rPr>
          <w:i/>
          <w:lang w:val="fr-CA"/>
        </w:rPr>
        <w:t xml:space="preserve">péciale adoptée </w:t>
      </w:r>
      <w:r w:rsidR="00A160CE" w:rsidRPr="00A160CE">
        <w:rPr>
          <w:i/>
          <w:lang w:val="fr-CA"/>
        </w:rPr>
        <w:t xml:space="preserve">ordonnant le retour au travail des membres de LANEQ </w:t>
      </w:r>
      <w:r w:rsidR="00B24E9F">
        <w:rPr>
          <w:i/>
          <w:lang w:val="fr-CA"/>
        </w:rPr>
        <w:t>—</w:t>
      </w:r>
      <w:r w:rsidR="00A160CE">
        <w:rPr>
          <w:i/>
          <w:lang w:val="fr-CA"/>
        </w:rPr>
        <w:t xml:space="preserve"> </w:t>
      </w:r>
      <w:r w:rsidR="000072DB">
        <w:rPr>
          <w:i/>
          <w:lang w:val="fr-CA"/>
        </w:rPr>
        <w:t>Pourvoi devenu théorique</w:t>
      </w:r>
      <w:r w:rsidR="00A160CE">
        <w:rPr>
          <w:i/>
          <w:lang w:val="fr-CA"/>
        </w:rPr>
        <w:t>.</w:t>
      </w:r>
    </w:p>
    <w:p w:rsidR="00270AEE" w:rsidRPr="00A160CE" w:rsidRDefault="00270AEE" w:rsidP="00270AEE">
      <w:pPr>
        <w:pStyle w:val="SCCNormalDoubleSpacing"/>
        <w:widowControl w:val="0"/>
        <w:rPr>
          <w:i/>
          <w:lang w:val="fr-CA"/>
        </w:rPr>
      </w:pPr>
    </w:p>
    <w:p w:rsidR="004D7D95" w:rsidRPr="004D7D95" w:rsidRDefault="009C54C8" w:rsidP="00270AEE">
      <w:pPr>
        <w:pStyle w:val="SCCNormalDoubleSpacing"/>
        <w:widowControl w:val="0"/>
        <w:rPr>
          <w:lang w:val="fr-CA"/>
        </w:rPr>
      </w:pPr>
      <w:r>
        <w:rPr>
          <w:lang w:val="fr-CA"/>
        </w:rPr>
        <w:tab/>
      </w:r>
      <w:r w:rsidR="000072DB">
        <w:rPr>
          <w:lang w:val="fr-CA"/>
        </w:rPr>
        <w:t>POURVOI contre une décision</w:t>
      </w:r>
      <w:r w:rsidR="004D7D95" w:rsidRPr="004D7D95">
        <w:rPr>
          <w:lang w:val="fr-CA"/>
        </w:rPr>
        <w:t xml:space="preserve"> de la </w:t>
      </w:r>
      <w:r w:rsidR="004D7D95" w:rsidRPr="00CE5BF8">
        <w:rPr>
          <w:lang w:val="fr-CA"/>
        </w:rPr>
        <w:t xml:space="preserve">Cour d’appel du Québec </w:t>
      </w:r>
      <w:r w:rsidR="00CA5FD0">
        <w:rPr>
          <w:lang w:val="fr-CA"/>
        </w:rPr>
        <w:t xml:space="preserve">(la juge Dutil), </w:t>
      </w:r>
      <w:r w:rsidR="000072DB">
        <w:rPr>
          <w:lang w:val="fr-CA"/>
        </w:rPr>
        <w:t xml:space="preserve">rendue le 9 novembre 2016, </w:t>
      </w:r>
      <w:r w:rsidR="00A160CE">
        <w:rPr>
          <w:lang w:val="fr-CA"/>
        </w:rPr>
        <w:t>qui a refusé une</w:t>
      </w:r>
      <w:r w:rsidR="00F90D45">
        <w:rPr>
          <w:lang w:val="fr-CA"/>
        </w:rPr>
        <w:t xml:space="preserve"> demande de remise </w:t>
      </w:r>
      <w:r w:rsidR="0008026B">
        <w:rPr>
          <w:lang w:val="fr-CA"/>
        </w:rPr>
        <w:t>formulée par les appelants</w:t>
      </w:r>
      <w:r w:rsidR="009141A8">
        <w:rPr>
          <w:lang w:val="fr-CA"/>
        </w:rPr>
        <w:t>.  Pourvoi rejeté.</w:t>
      </w:r>
    </w:p>
    <w:p w:rsidR="004D7D95" w:rsidRPr="004D7D95" w:rsidRDefault="004D7D95" w:rsidP="00270AEE">
      <w:pPr>
        <w:pStyle w:val="SCCNormalDoubleSpacing"/>
        <w:widowControl w:val="0"/>
        <w:rPr>
          <w:lang w:val="fr-CA"/>
        </w:rPr>
      </w:pPr>
    </w:p>
    <w:p w:rsidR="00E61C20" w:rsidRPr="00CE5BF8" w:rsidRDefault="00CE5BF8" w:rsidP="00270AEE">
      <w:pPr>
        <w:pStyle w:val="SCCNormalDoubleSpacing"/>
        <w:widowControl w:val="0"/>
        <w:rPr>
          <w:lang w:val="fr-CA"/>
        </w:rPr>
      </w:pPr>
      <w:r w:rsidRPr="00CE5BF8">
        <w:rPr>
          <w:rStyle w:val="SCCCounselNameChar"/>
          <w:lang w:val="fr-CA"/>
        </w:rPr>
        <w:tab/>
      </w:r>
      <w:r w:rsidR="00BA6731" w:rsidRPr="00CE5BF8">
        <w:rPr>
          <w:rStyle w:val="SCCCounselNameChar"/>
          <w:lang w:val="fr-CA"/>
        </w:rPr>
        <w:t xml:space="preserve">Guillaume Grenier </w:t>
      </w:r>
      <w:r w:rsidR="00BA6731" w:rsidRPr="00BA6731">
        <w:rPr>
          <w:rStyle w:val="SCCCounselNameChar"/>
          <w:i w:val="0"/>
          <w:lang w:val="fr-CA"/>
        </w:rPr>
        <w:t xml:space="preserve">et </w:t>
      </w:r>
      <w:r w:rsidRPr="00CE5BF8">
        <w:rPr>
          <w:rStyle w:val="SCCCounselNameChar"/>
          <w:lang w:val="fr-CA"/>
        </w:rPr>
        <w:t>Pierre Grenier</w:t>
      </w:r>
      <w:r w:rsidRPr="00CE5BF8">
        <w:rPr>
          <w:rStyle w:val="SCCCounselPartyRoleChar"/>
          <w:lang w:val="fr-CA"/>
        </w:rPr>
        <w:t xml:space="preserve">, pour </w:t>
      </w:r>
      <w:r w:rsidR="009C54C8">
        <w:rPr>
          <w:rStyle w:val="SCCCounselPartyRoleChar"/>
          <w:lang w:val="fr-CA"/>
        </w:rPr>
        <w:t>les appelants</w:t>
      </w:r>
      <w:r w:rsidRPr="00CE5BF8">
        <w:rPr>
          <w:rStyle w:val="SCCCounselPartyRoleChar"/>
          <w:lang w:val="fr-CA"/>
        </w:rPr>
        <w:t>.</w:t>
      </w:r>
    </w:p>
    <w:p w:rsidR="00270AEE" w:rsidRDefault="00270AEE" w:rsidP="00270AEE">
      <w:pPr>
        <w:pStyle w:val="SCCNormalDoubleSpacing"/>
        <w:widowControl w:val="0"/>
        <w:rPr>
          <w:rStyle w:val="SCCCounselNameChar"/>
          <w:lang w:val="fr-CA"/>
        </w:rPr>
      </w:pPr>
    </w:p>
    <w:p w:rsidR="00905332" w:rsidRPr="00CE5BF8" w:rsidRDefault="00905332" w:rsidP="00270AEE">
      <w:pPr>
        <w:pStyle w:val="SCCNormalDoubleSpacing"/>
        <w:widowControl w:val="0"/>
        <w:rPr>
          <w:lang w:val="fr-CA"/>
        </w:rPr>
      </w:pPr>
      <w:r w:rsidRPr="00CE5BF8">
        <w:rPr>
          <w:rStyle w:val="SCCCounselNameChar"/>
          <w:lang w:val="fr-CA"/>
        </w:rPr>
        <w:tab/>
        <w:t>Sébastien Grammond</w:t>
      </w:r>
      <w:r w:rsidR="0008026B">
        <w:rPr>
          <w:rStyle w:val="SCCCounselPartyRoleChar"/>
          <w:lang w:val="fr-CA"/>
        </w:rPr>
        <w:t>, en qualité d</w:t>
      </w:r>
      <w:r w:rsidRPr="009141A8">
        <w:rPr>
          <w:rStyle w:val="SCCCounselPartyRoleChar"/>
          <w:lang w:val="fr-CA"/>
        </w:rPr>
        <w:t>’</w:t>
      </w:r>
      <w:r w:rsidRPr="00905332">
        <w:rPr>
          <w:rStyle w:val="SCCCounselPartyRoleChar"/>
          <w:i/>
          <w:lang w:val="fr-CA"/>
        </w:rPr>
        <w:t>amicus curiae</w:t>
      </w:r>
      <w:r w:rsidRPr="00CE5BF8">
        <w:rPr>
          <w:rStyle w:val="SCCCounselPartyRoleChar"/>
          <w:lang w:val="fr-CA"/>
        </w:rPr>
        <w:t>.</w:t>
      </w:r>
    </w:p>
    <w:p w:rsidR="00270AEE" w:rsidRDefault="00270AEE" w:rsidP="00270AEE">
      <w:pPr>
        <w:pStyle w:val="SCCNormalDoubleSpacing"/>
        <w:widowControl w:val="0"/>
        <w:rPr>
          <w:rStyle w:val="SCCCounselNameChar"/>
          <w:lang w:val="fr-CA"/>
        </w:rPr>
      </w:pPr>
    </w:p>
    <w:p w:rsidR="0008026B" w:rsidRPr="00CE5BF8" w:rsidRDefault="0008026B" w:rsidP="00270AEE">
      <w:pPr>
        <w:pStyle w:val="SCCNormalDoubleSpacing"/>
        <w:widowControl w:val="0"/>
        <w:rPr>
          <w:lang w:val="fr-CA"/>
        </w:rPr>
      </w:pPr>
      <w:r w:rsidRPr="00CE5BF8">
        <w:rPr>
          <w:rStyle w:val="SCCCounselNameChar"/>
          <w:lang w:val="fr-CA"/>
        </w:rPr>
        <w:tab/>
        <w:t>Louis P. Bernier</w:t>
      </w:r>
      <w:r w:rsidRPr="00CE5BF8">
        <w:rPr>
          <w:rStyle w:val="SCCCounselSeparatorChar"/>
          <w:lang w:val="fr-CA"/>
        </w:rPr>
        <w:t xml:space="preserve"> et </w:t>
      </w:r>
      <w:r w:rsidRPr="00CE5BF8">
        <w:rPr>
          <w:rStyle w:val="SCCCounselNameChar"/>
          <w:lang w:val="fr-CA"/>
        </w:rPr>
        <w:t>Marc-André Boucher</w:t>
      </w:r>
      <w:r>
        <w:rPr>
          <w:rStyle w:val="SCCCounselPartyRoleChar"/>
          <w:lang w:val="fr-CA"/>
        </w:rPr>
        <w:t>, pour l’intervenante la p</w:t>
      </w:r>
      <w:r w:rsidRPr="00CE5BF8">
        <w:rPr>
          <w:rStyle w:val="SCCCounselPartyRoleChar"/>
          <w:lang w:val="fr-CA"/>
        </w:rPr>
        <w:t>rocureur</w:t>
      </w:r>
      <w:r>
        <w:rPr>
          <w:rStyle w:val="SCCCounselPartyRoleChar"/>
          <w:lang w:val="fr-CA"/>
        </w:rPr>
        <w:t xml:space="preserve">e générale </w:t>
      </w:r>
      <w:r w:rsidRPr="00CE5BF8">
        <w:rPr>
          <w:rStyle w:val="SCCCounselPartyRoleChar"/>
          <w:lang w:val="fr-CA"/>
        </w:rPr>
        <w:t>du Québec.</w:t>
      </w:r>
    </w:p>
    <w:p w:rsidR="00270AEE" w:rsidRDefault="00270AEE" w:rsidP="00270AEE">
      <w:pPr>
        <w:pStyle w:val="SCCNormalDoubleSpacing"/>
        <w:widowControl w:val="0"/>
        <w:rPr>
          <w:rStyle w:val="SCCCounselNameChar"/>
          <w:lang w:val="fr-CA"/>
        </w:rPr>
      </w:pPr>
    </w:p>
    <w:p w:rsidR="00802EEE" w:rsidRPr="00CE5BF8" w:rsidRDefault="00802EEE" w:rsidP="00270AEE">
      <w:pPr>
        <w:pStyle w:val="SCCNormalDoubleSpacing"/>
        <w:widowControl w:val="0"/>
        <w:rPr>
          <w:lang w:val="fr-CA"/>
        </w:rPr>
      </w:pPr>
      <w:r w:rsidRPr="00CE5BF8">
        <w:rPr>
          <w:rStyle w:val="SCCCounselNameChar"/>
          <w:lang w:val="fr-CA"/>
        </w:rPr>
        <w:tab/>
        <w:t>Paul Boniferro</w:t>
      </w:r>
      <w:r w:rsidRPr="00155DF4">
        <w:rPr>
          <w:rStyle w:val="SCCCounselNameChar"/>
          <w:i w:val="0"/>
          <w:lang w:val="fr-CA"/>
        </w:rPr>
        <w:t>,</w:t>
      </w:r>
      <w:r w:rsidRPr="00CE5BF8">
        <w:rPr>
          <w:rStyle w:val="SCCCounselNameChar"/>
          <w:lang w:val="fr-CA"/>
        </w:rPr>
        <w:t xml:space="preserve"> Sunil Kapur</w:t>
      </w:r>
      <w:r w:rsidRPr="00CE5BF8">
        <w:rPr>
          <w:rStyle w:val="SCCCounselSeparatorChar"/>
          <w:lang w:val="fr-CA"/>
        </w:rPr>
        <w:t xml:space="preserve"> et </w:t>
      </w:r>
      <w:r w:rsidRPr="00CE5BF8">
        <w:rPr>
          <w:rStyle w:val="SCCCounselNameChar"/>
          <w:lang w:val="fr-CA"/>
        </w:rPr>
        <w:t>Brandon Kain</w:t>
      </w:r>
      <w:r>
        <w:rPr>
          <w:rStyle w:val="SCCCounselPartyRoleChar"/>
          <w:lang w:val="fr-CA"/>
        </w:rPr>
        <w:t>, pour l’intervenant le procureur général de l’</w:t>
      </w:r>
      <w:r w:rsidRPr="00CE5BF8">
        <w:rPr>
          <w:rStyle w:val="SCCCounselPartyRoleChar"/>
          <w:lang w:val="fr-CA"/>
        </w:rPr>
        <w:t>Ontario.</w:t>
      </w:r>
    </w:p>
    <w:p w:rsidR="00802EEE" w:rsidRDefault="00802EEE" w:rsidP="00270AEE">
      <w:pPr>
        <w:pStyle w:val="SCCNormalDoubleSpacing"/>
        <w:widowControl w:val="0"/>
        <w:rPr>
          <w:rStyle w:val="SCCCounselNameChar"/>
          <w:lang w:val="fr-CA"/>
        </w:rPr>
      </w:pPr>
    </w:p>
    <w:p w:rsidR="00802EEE" w:rsidRPr="00CE5BF8" w:rsidRDefault="00802EEE" w:rsidP="00270AEE">
      <w:pPr>
        <w:pStyle w:val="SCCNormalDoubleSpacing"/>
        <w:widowControl w:val="0"/>
        <w:rPr>
          <w:lang w:val="fr-CA"/>
        </w:rPr>
      </w:pPr>
      <w:r w:rsidRPr="00CE5BF8">
        <w:rPr>
          <w:rStyle w:val="SCCCounselNameChar"/>
          <w:lang w:val="fr-CA"/>
        </w:rPr>
        <w:tab/>
      </w:r>
      <w:r w:rsidR="00BA6731" w:rsidRPr="00CE5BF8">
        <w:rPr>
          <w:rStyle w:val="SCCCounselNameChar"/>
          <w:lang w:val="fr-CA"/>
        </w:rPr>
        <w:t xml:space="preserve">Ariane Bisaillon </w:t>
      </w:r>
      <w:r w:rsidR="00BA6731" w:rsidRPr="00BA6731">
        <w:rPr>
          <w:rStyle w:val="SCCCounselNameChar"/>
          <w:i w:val="0"/>
          <w:lang w:val="fr-CA"/>
        </w:rPr>
        <w:t>et</w:t>
      </w:r>
      <w:r w:rsidR="00BA6731">
        <w:rPr>
          <w:rStyle w:val="SCCCounselNameChar"/>
          <w:lang w:val="fr-CA"/>
        </w:rPr>
        <w:t xml:space="preserve"> </w:t>
      </w:r>
      <w:r w:rsidRPr="00CE5BF8">
        <w:rPr>
          <w:rStyle w:val="SCCCounselNameChar"/>
          <w:lang w:val="fr-CA"/>
        </w:rPr>
        <w:t>Mathew P. Good</w:t>
      </w:r>
      <w:r>
        <w:rPr>
          <w:rStyle w:val="SCCCounselPartyRoleChar"/>
          <w:lang w:val="fr-CA"/>
        </w:rPr>
        <w:t>, pour l’intervenante l’</w:t>
      </w:r>
      <w:r w:rsidRPr="00CE5BF8">
        <w:rPr>
          <w:rStyle w:val="SCCCounselPartyRoleChar"/>
          <w:lang w:val="fr-CA"/>
        </w:rPr>
        <w:t>Association des avocats plaideurs de la Colombie-Britannique.</w:t>
      </w:r>
    </w:p>
    <w:p w:rsidR="000F14B7" w:rsidRPr="000F14B7" w:rsidRDefault="000F14B7" w:rsidP="00270AEE">
      <w:pPr>
        <w:pStyle w:val="SCCNormalDoubleSpacing"/>
        <w:widowControl w:val="0"/>
        <w:rPr>
          <w:lang w:val="fr-CA"/>
        </w:rPr>
      </w:pPr>
    </w:p>
    <w:p w:rsidR="00802EEE" w:rsidRPr="00CE5BF8" w:rsidRDefault="00802EEE" w:rsidP="00270AEE">
      <w:pPr>
        <w:pStyle w:val="SCCNormalDoubleSpacing"/>
        <w:widowControl w:val="0"/>
        <w:rPr>
          <w:lang w:val="fr-CA"/>
        </w:rPr>
      </w:pPr>
      <w:r w:rsidRPr="00CE5BF8">
        <w:rPr>
          <w:rStyle w:val="SCCCounselNameChar"/>
          <w:lang w:val="fr-CA"/>
        </w:rPr>
        <w:tab/>
      </w:r>
      <w:r w:rsidR="000F14B7" w:rsidRPr="000F14B7">
        <w:rPr>
          <w:rStyle w:val="SCCCounselNameChar"/>
          <w:i w:val="0"/>
          <w:lang w:val="fr-CA"/>
        </w:rPr>
        <w:t>Personne n’a comparu</w:t>
      </w:r>
      <w:r>
        <w:rPr>
          <w:rStyle w:val="SCCCounselPartyRoleChar"/>
          <w:lang w:val="fr-CA"/>
        </w:rPr>
        <w:t xml:space="preserve"> pour l’intervenant le</w:t>
      </w:r>
      <w:r w:rsidRPr="00CE5BF8">
        <w:rPr>
          <w:rStyle w:val="SCCCounselPartyRoleChar"/>
          <w:lang w:val="fr-CA"/>
        </w:rPr>
        <w:t xml:space="preserve"> Tribunal administratif du travail (anciennement connu sous le nom de Commission des lésions professionnelles).</w:t>
      </w:r>
    </w:p>
    <w:p w:rsidR="00E61C20" w:rsidRDefault="00E61C20" w:rsidP="00270AEE">
      <w:pPr>
        <w:pStyle w:val="SCCNormalDoubleSpacing"/>
        <w:widowControl w:val="0"/>
        <w:rPr>
          <w:lang w:val="fr-CA"/>
        </w:rPr>
      </w:pPr>
    </w:p>
    <w:p w:rsidR="000F14B7" w:rsidRPr="000F14B7" w:rsidRDefault="000F14B7" w:rsidP="00270AEE">
      <w:pPr>
        <w:pStyle w:val="SCCNormalDoubleSpacing"/>
        <w:widowControl w:val="0"/>
        <w:rPr>
          <w:lang w:val="fr-CA"/>
        </w:rPr>
      </w:pPr>
      <w:r>
        <w:rPr>
          <w:lang w:val="fr-CA"/>
        </w:rPr>
        <w:tab/>
      </w:r>
      <w:r w:rsidRPr="000F14B7">
        <w:rPr>
          <w:rStyle w:val="SCCCounselPartyRoleChar"/>
          <w:lang w:val="fr-CA"/>
        </w:rPr>
        <w:t>Personne</w:t>
      </w:r>
      <w:r w:rsidRPr="000F14B7">
        <w:rPr>
          <w:lang w:val="fr-CA"/>
        </w:rPr>
        <w:t xml:space="preserve"> n’a comparu pour l’intervenante la Commission des normes, de l'équité, de la santé et de la sécurité du travail (anciennement connue sous le nom de Commission de la sant</w:t>
      </w:r>
      <w:r>
        <w:rPr>
          <w:lang w:val="fr-CA"/>
        </w:rPr>
        <w:t>é et de la sécurité du travail).</w:t>
      </w:r>
    </w:p>
    <w:p w:rsidR="000F14B7" w:rsidRPr="000F14B7" w:rsidRDefault="000F14B7" w:rsidP="00270AEE">
      <w:pPr>
        <w:pStyle w:val="SCCNormalDoubleSpacing"/>
        <w:widowControl w:val="0"/>
        <w:rPr>
          <w:lang w:val="fr-CA"/>
        </w:rPr>
      </w:pPr>
    </w:p>
    <w:p w:rsidR="00E61C20" w:rsidRPr="00CE5BF8" w:rsidRDefault="00CE5BF8" w:rsidP="00270AEE">
      <w:pPr>
        <w:pStyle w:val="SCCNormalDoubleSpacing"/>
        <w:widowControl w:val="0"/>
        <w:rPr>
          <w:lang w:val="fr-CA"/>
        </w:rPr>
      </w:pPr>
      <w:r w:rsidRPr="00CE5BF8">
        <w:rPr>
          <w:rStyle w:val="SCCCounselNameChar"/>
          <w:lang w:val="fr-CA"/>
        </w:rPr>
        <w:tab/>
      </w:r>
      <w:r w:rsidR="000F14B7" w:rsidRPr="000F14B7">
        <w:rPr>
          <w:rStyle w:val="SCCCounselNameChar"/>
          <w:i w:val="0"/>
          <w:lang w:val="fr-CA"/>
        </w:rPr>
        <w:t>Personne n’a comparu</w:t>
      </w:r>
      <w:r w:rsidR="000F14B7">
        <w:rPr>
          <w:rStyle w:val="SCCCounselNameChar"/>
          <w:lang w:val="fr-CA"/>
        </w:rPr>
        <w:t xml:space="preserve"> </w:t>
      </w:r>
      <w:r w:rsidR="009C54C8">
        <w:rPr>
          <w:rStyle w:val="SCCCounselPartyRoleChar"/>
          <w:lang w:val="fr-CA"/>
        </w:rPr>
        <w:t xml:space="preserve"> pour l’intervenante</w:t>
      </w:r>
      <w:r w:rsidR="00702C32">
        <w:rPr>
          <w:rStyle w:val="SCCCounselPartyRoleChar"/>
          <w:lang w:val="fr-CA"/>
        </w:rPr>
        <w:t xml:space="preserve"> 9069-4654 Québec inc.</w:t>
      </w:r>
    </w:p>
    <w:p w:rsidR="00E61C20" w:rsidRDefault="00E61C20" w:rsidP="00270AEE">
      <w:pPr>
        <w:pStyle w:val="SCCNormalDoubleSpacing"/>
        <w:widowControl w:val="0"/>
        <w:rPr>
          <w:lang w:val="fr-CA"/>
        </w:rPr>
      </w:pPr>
    </w:p>
    <w:p w:rsidR="00145129" w:rsidRDefault="00145129" w:rsidP="00270AEE">
      <w:pPr>
        <w:pStyle w:val="SCCNormalDoubleSpacing"/>
        <w:widowControl w:val="0"/>
        <w:rPr>
          <w:lang w:val="fr-CA"/>
        </w:rPr>
      </w:pPr>
      <w:r>
        <w:rPr>
          <w:lang w:val="fr-CA"/>
        </w:rPr>
        <w:tab/>
        <w:t>Le jugement de la Cour a été rendu oralement par</w:t>
      </w:r>
    </w:p>
    <w:p w:rsidR="00145129" w:rsidRDefault="00145129" w:rsidP="00270AEE">
      <w:pPr>
        <w:pStyle w:val="SCCNormalDoubleSpacing"/>
        <w:widowControl w:val="0"/>
        <w:rPr>
          <w:lang w:val="fr-CA"/>
        </w:rPr>
      </w:pPr>
    </w:p>
    <w:p w:rsidR="00145129" w:rsidRPr="00BA2A37" w:rsidRDefault="00BA2A37" w:rsidP="00270AEE">
      <w:pPr>
        <w:pStyle w:val="SCCNormalDoubleSpacing"/>
        <w:widowControl w:val="0"/>
        <w:numPr>
          <w:ilvl w:val="0"/>
          <w:numId w:val="1"/>
        </w:numPr>
        <w:tabs>
          <w:tab w:val="clear" w:pos="1168"/>
          <w:tab w:val="left" w:pos="1170"/>
        </w:tabs>
        <w:ind w:left="0" w:firstLine="0"/>
        <w:rPr>
          <w:lang w:val="fr-CA"/>
        </w:rPr>
      </w:pPr>
      <w:r w:rsidRPr="00BA2A37">
        <w:rPr>
          <w:smallCaps/>
          <w:lang w:val="fr-CA"/>
        </w:rPr>
        <w:t>Le juge Gascon</w:t>
      </w:r>
      <w:r w:rsidRPr="00BA2A37">
        <w:rPr>
          <w:lang w:val="fr-CA"/>
        </w:rPr>
        <w:t xml:space="preserve"> — Nous sommes tous d’avis que la question qui est devant nous est théorique, puisque la grève</w:t>
      </w:r>
      <w:r w:rsidR="0008026B">
        <w:rPr>
          <w:lang w:val="fr-CA"/>
        </w:rPr>
        <w:t xml:space="preserve"> de LANEQ</w:t>
      </w:r>
      <w:r w:rsidRPr="00BA2A37">
        <w:rPr>
          <w:lang w:val="fr-CA"/>
        </w:rPr>
        <w:t xml:space="preserve"> </w:t>
      </w:r>
      <w:r w:rsidR="000072DB" w:rsidRPr="000072DB">
        <w:rPr>
          <w:lang w:val="fr-CA"/>
        </w:rPr>
        <w:t xml:space="preserve">(Les avocats et notaires de l’État québécois) </w:t>
      </w:r>
      <w:r w:rsidRPr="00BA2A37">
        <w:rPr>
          <w:lang w:val="fr-CA"/>
        </w:rPr>
        <w:t>est terminée. Le pourvoi est donc rejeté, sans dépens. Ce faisant, nous n’avalisons ni le processus suivi ni le bien-fondé des considérations identifiées par la Cour d’appel dans sa décision.</w:t>
      </w:r>
    </w:p>
    <w:p w:rsidR="009141A8" w:rsidRDefault="009141A8" w:rsidP="00270AEE">
      <w:pPr>
        <w:pStyle w:val="SCCNormalDoubleSpacing"/>
        <w:widowControl w:val="0"/>
        <w:rPr>
          <w:lang w:val="fr-CA"/>
        </w:rPr>
      </w:pPr>
    </w:p>
    <w:p w:rsidR="004D7D95" w:rsidRPr="00145129" w:rsidRDefault="004D7D95" w:rsidP="00270AEE">
      <w:pPr>
        <w:pStyle w:val="SCCNormalDoubleSpacing"/>
        <w:widowControl w:val="0"/>
        <w:rPr>
          <w:i/>
          <w:lang w:val="fr-CA"/>
        </w:rPr>
      </w:pPr>
      <w:r w:rsidRPr="00CE5BF8">
        <w:rPr>
          <w:lang w:val="fr-CA"/>
        </w:rPr>
        <w:tab/>
      </w:r>
      <w:r w:rsidR="00145129" w:rsidRPr="00145129">
        <w:rPr>
          <w:i/>
          <w:lang w:val="fr-CA"/>
        </w:rPr>
        <w:t>Jugement en conséquence.</w:t>
      </w:r>
    </w:p>
    <w:p w:rsidR="004D7D95" w:rsidRPr="00CE5BF8" w:rsidRDefault="004D7D95" w:rsidP="00270AEE">
      <w:pPr>
        <w:pStyle w:val="SCCNormalDoubleSpacing"/>
        <w:widowControl w:val="0"/>
        <w:rPr>
          <w:lang w:val="fr-CA"/>
        </w:rPr>
      </w:pPr>
    </w:p>
    <w:p w:rsidR="00E61C20" w:rsidRPr="00CE5BF8" w:rsidRDefault="00145129" w:rsidP="00270AEE">
      <w:pPr>
        <w:pStyle w:val="SCCLawFirm"/>
        <w:widowControl w:val="0"/>
        <w:rPr>
          <w:lang w:val="fr-CA"/>
        </w:rPr>
      </w:pPr>
      <w:r>
        <w:rPr>
          <w:lang w:val="fr-CA"/>
        </w:rPr>
        <w:tab/>
        <w:t xml:space="preserve">Procureurs </w:t>
      </w:r>
      <w:r w:rsidR="00CE5BF8" w:rsidRPr="00CE5BF8">
        <w:rPr>
          <w:lang w:val="fr-CA"/>
        </w:rPr>
        <w:t>de</w:t>
      </w:r>
      <w:r>
        <w:rPr>
          <w:lang w:val="fr-CA"/>
        </w:rPr>
        <w:t>s</w:t>
      </w:r>
      <w:r w:rsidR="00CE5BF8" w:rsidRPr="00CE5BF8">
        <w:rPr>
          <w:lang w:val="fr-CA"/>
        </w:rPr>
        <w:t xml:space="preserve"> </w:t>
      </w:r>
      <w:r>
        <w:rPr>
          <w:lang w:val="fr-CA"/>
        </w:rPr>
        <w:t>appelants</w:t>
      </w:r>
      <w:r w:rsidR="00CE5BF8" w:rsidRPr="00CE5BF8">
        <w:rPr>
          <w:lang w:val="fr-CA"/>
        </w:rPr>
        <w:t> : Melançon, Marceau, Grenier &amp; Sciortino, Montréal.</w:t>
      </w:r>
    </w:p>
    <w:p w:rsidR="0008026B" w:rsidRPr="0008026B" w:rsidRDefault="0008026B" w:rsidP="00270AEE">
      <w:pPr>
        <w:pStyle w:val="SCCNormalDoubleSpacing"/>
        <w:widowControl w:val="0"/>
        <w:rPr>
          <w:lang w:val="fr-CA"/>
        </w:rPr>
      </w:pPr>
    </w:p>
    <w:p w:rsidR="0008026B" w:rsidRDefault="008C4DAC" w:rsidP="00270AEE">
      <w:pPr>
        <w:pStyle w:val="SCCLawFirm"/>
        <w:widowControl w:val="0"/>
        <w:rPr>
          <w:lang w:val="fr-CA"/>
        </w:rPr>
      </w:pPr>
      <w:r w:rsidRPr="00CE5BF8">
        <w:rPr>
          <w:lang w:val="fr-CA"/>
        </w:rPr>
        <w:tab/>
      </w:r>
      <w:r w:rsidR="0008026B">
        <w:rPr>
          <w:lang w:val="fr-CA"/>
        </w:rPr>
        <w:t>Procureurs de l’intervenante la p</w:t>
      </w:r>
      <w:r w:rsidR="0008026B" w:rsidRPr="00CE5BF8">
        <w:rPr>
          <w:lang w:val="fr-CA"/>
        </w:rPr>
        <w:t>rocureur</w:t>
      </w:r>
      <w:r w:rsidR="0008026B">
        <w:rPr>
          <w:lang w:val="fr-CA"/>
        </w:rPr>
        <w:t>e</w:t>
      </w:r>
      <w:r w:rsidR="0008026B" w:rsidRPr="00CE5BF8">
        <w:rPr>
          <w:lang w:val="fr-CA"/>
        </w:rPr>
        <w:t xml:space="preserve"> général</w:t>
      </w:r>
      <w:r w:rsidR="0008026B">
        <w:rPr>
          <w:lang w:val="fr-CA"/>
        </w:rPr>
        <w:t>e</w:t>
      </w:r>
      <w:r w:rsidR="0008026B" w:rsidRPr="00CE5BF8">
        <w:rPr>
          <w:lang w:val="fr-CA"/>
        </w:rPr>
        <w:t xml:space="preserve"> du Québec : Fasken Martineau DuMoulin, Montréal.</w:t>
      </w:r>
    </w:p>
    <w:p w:rsidR="0008026B" w:rsidRDefault="0008026B" w:rsidP="00270AEE">
      <w:pPr>
        <w:pStyle w:val="SCCLawFirm"/>
        <w:widowControl w:val="0"/>
        <w:rPr>
          <w:lang w:val="fr-CA"/>
        </w:rPr>
      </w:pPr>
    </w:p>
    <w:p w:rsidR="008C4DAC" w:rsidRPr="00CE5BF8" w:rsidRDefault="0008026B" w:rsidP="00270AEE">
      <w:pPr>
        <w:pStyle w:val="SCCLawFirm"/>
        <w:widowControl w:val="0"/>
        <w:rPr>
          <w:lang w:val="fr-CA"/>
        </w:rPr>
      </w:pPr>
      <w:r w:rsidRPr="00CE5BF8">
        <w:rPr>
          <w:lang w:val="fr-CA"/>
        </w:rPr>
        <w:tab/>
      </w:r>
      <w:r w:rsidR="008C4DAC" w:rsidRPr="00CE5BF8">
        <w:rPr>
          <w:lang w:val="fr-CA"/>
        </w:rPr>
        <w:t>Pr</w:t>
      </w:r>
      <w:r w:rsidR="008C4DAC">
        <w:rPr>
          <w:lang w:val="fr-CA"/>
        </w:rPr>
        <w:t>ocureurs de l’intervenant le p</w:t>
      </w:r>
      <w:r w:rsidR="00F84FAE">
        <w:rPr>
          <w:lang w:val="fr-CA"/>
        </w:rPr>
        <w:t>rocureur général de l’</w:t>
      </w:r>
      <w:r w:rsidR="008C4DAC" w:rsidRPr="00CE5BF8">
        <w:rPr>
          <w:lang w:val="fr-CA"/>
        </w:rPr>
        <w:t>Ontario : McCarthy Tétrault, Toronto.</w:t>
      </w:r>
    </w:p>
    <w:p w:rsidR="008C4DAC" w:rsidRPr="00CE5BF8" w:rsidRDefault="008C4DAC" w:rsidP="00270AEE">
      <w:pPr>
        <w:pStyle w:val="SCCLawFirm"/>
        <w:widowControl w:val="0"/>
        <w:rPr>
          <w:lang w:val="fr-CA"/>
        </w:rPr>
      </w:pPr>
    </w:p>
    <w:p w:rsidR="00BA2A37" w:rsidRPr="00CE5BF8" w:rsidRDefault="00BA2A37" w:rsidP="00270AEE">
      <w:pPr>
        <w:pStyle w:val="SCCLawFirm"/>
        <w:widowControl w:val="0"/>
        <w:rPr>
          <w:lang w:val="fr-CA"/>
        </w:rPr>
      </w:pPr>
      <w:r>
        <w:rPr>
          <w:lang w:val="fr-CA"/>
        </w:rPr>
        <w:tab/>
        <w:t>Procureurs de l’intervenante l’</w:t>
      </w:r>
      <w:r w:rsidRPr="00CE5BF8">
        <w:rPr>
          <w:lang w:val="fr-CA"/>
        </w:rPr>
        <w:t>Association des avocats plaideurs de la Colombie-Britannique </w:t>
      </w:r>
      <w:r w:rsidR="000548A9">
        <w:rPr>
          <w:lang w:val="fr-CA"/>
        </w:rPr>
        <w:t xml:space="preserve">: Blake, Cassels &amp; Graydon, </w:t>
      </w:r>
      <w:r w:rsidRPr="00CE5BF8">
        <w:rPr>
          <w:lang w:val="fr-CA"/>
        </w:rPr>
        <w:t>Vancouver.</w:t>
      </w:r>
    </w:p>
    <w:p w:rsidR="00E61C20" w:rsidRPr="00CE5BF8" w:rsidRDefault="00E61C20" w:rsidP="00270AEE">
      <w:pPr>
        <w:pStyle w:val="SCCLawFirm"/>
        <w:widowControl w:val="0"/>
        <w:rPr>
          <w:lang w:val="fr-CA"/>
        </w:rPr>
      </w:pPr>
    </w:p>
    <w:p w:rsidR="00E61C20" w:rsidRPr="00CE5BF8" w:rsidRDefault="00E61C20" w:rsidP="00270AEE">
      <w:pPr>
        <w:pStyle w:val="SCCLawFirm"/>
        <w:widowControl w:val="0"/>
        <w:rPr>
          <w:lang w:val="fr-CA"/>
        </w:rPr>
      </w:pPr>
    </w:p>
    <w:p w:rsidR="00E61C20" w:rsidRPr="00CE5BF8" w:rsidRDefault="00E61C20" w:rsidP="00270AEE">
      <w:pPr>
        <w:pStyle w:val="SCCLawFirm"/>
        <w:widowControl w:val="0"/>
        <w:rPr>
          <w:lang w:val="fr-CA"/>
        </w:rPr>
      </w:pPr>
    </w:p>
    <w:sectPr w:rsidR="00E61C20" w:rsidRPr="00CE5BF8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47EB"/>
    <w:multiLevelType w:val="hybridMultilevel"/>
    <w:tmpl w:val="B5A03EC2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072DB"/>
    <w:rsid w:val="00023FC7"/>
    <w:rsid w:val="00025198"/>
    <w:rsid w:val="000548A9"/>
    <w:rsid w:val="000578A3"/>
    <w:rsid w:val="000648CC"/>
    <w:rsid w:val="000714B9"/>
    <w:rsid w:val="0008026B"/>
    <w:rsid w:val="000C59B8"/>
    <w:rsid w:val="000C6AF0"/>
    <w:rsid w:val="000D0A77"/>
    <w:rsid w:val="000F14B7"/>
    <w:rsid w:val="000F7993"/>
    <w:rsid w:val="00104F33"/>
    <w:rsid w:val="00111DE2"/>
    <w:rsid w:val="00116B38"/>
    <w:rsid w:val="00135406"/>
    <w:rsid w:val="00135972"/>
    <w:rsid w:val="001426A9"/>
    <w:rsid w:val="00145129"/>
    <w:rsid w:val="00154D7C"/>
    <w:rsid w:val="00155DF4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08C1"/>
    <w:rsid w:val="00231F3A"/>
    <w:rsid w:val="002406EE"/>
    <w:rsid w:val="00243EC8"/>
    <w:rsid w:val="00270AEE"/>
    <w:rsid w:val="00270D93"/>
    <w:rsid w:val="002745CC"/>
    <w:rsid w:val="002B1500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126A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4C9E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E4698"/>
    <w:rsid w:val="005F1D79"/>
    <w:rsid w:val="00603924"/>
    <w:rsid w:val="00610539"/>
    <w:rsid w:val="00613969"/>
    <w:rsid w:val="00615BDA"/>
    <w:rsid w:val="00625C35"/>
    <w:rsid w:val="00647E49"/>
    <w:rsid w:val="00656313"/>
    <w:rsid w:val="006565F4"/>
    <w:rsid w:val="00671AC9"/>
    <w:rsid w:val="00684EEA"/>
    <w:rsid w:val="0069689B"/>
    <w:rsid w:val="006B5FF5"/>
    <w:rsid w:val="006D4DF0"/>
    <w:rsid w:val="006F30AF"/>
    <w:rsid w:val="006F56E8"/>
    <w:rsid w:val="00701759"/>
    <w:rsid w:val="00702C32"/>
    <w:rsid w:val="00705C15"/>
    <w:rsid w:val="007110F6"/>
    <w:rsid w:val="007208D1"/>
    <w:rsid w:val="00744518"/>
    <w:rsid w:val="00747288"/>
    <w:rsid w:val="00747DD3"/>
    <w:rsid w:val="007549C8"/>
    <w:rsid w:val="00757DE7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2EEE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96527"/>
    <w:rsid w:val="008B660A"/>
    <w:rsid w:val="008C01DA"/>
    <w:rsid w:val="008C4DAC"/>
    <w:rsid w:val="008F2674"/>
    <w:rsid w:val="008F78E9"/>
    <w:rsid w:val="00905332"/>
    <w:rsid w:val="009141A8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93305"/>
    <w:rsid w:val="009A343A"/>
    <w:rsid w:val="009B2F23"/>
    <w:rsid w:val="009B57B3"/>
    <w:rsid w:val="009C54C8"/>
    <w:rsid w:val="009D2920"/>
    <w:rsid w:val="009D5AEB"/>
    <w:rsid w:val="009E3A53"/>
    <w:rsid w:val="009F0E33"/>
    <w:rsid w:val="00A149DF"/>
    <w:rsid w:val="00A160CE"/>
    <w:rsid w:val="00A1755C"/>
    <w:rsid w:val="00A21B90"/>
    <w:rsid w:val="00A22AAC"/>
    <w:rsid w:val="00A41805"/>
    <w:rsid w:val="00A51882"/>
    <w:rsid w:val="00A52AFB"/>
    <w:rsid w:val="00A548CB"/>
    <w:rsid w:val="00A5521C"/>
    <w:rsid w:val="00A60BCE"/>
    <w:rsid w:val="00A643E7"/>
    <w:rsid w:val="00A73C38"/>
    <w:rsid w:val="00A7682E"/>
    <w:rsid w:val="00A921A7"/>
    <w:rsid w:val="00AB670D"/>
    <w:rsid w:val="00AF03C5"/>
    <w:rsid w:val="00B000D8"/>
    <w:rsid w:val="00B00F75"/>
    <w:rsid w:val="00B145B6"/>
    <w:rsid w:val="00B24E9F"/>
    <w:rsid w:val="00B279EB"/>
    <w:rsid w:val="00B50C81"/>
    <w:rsid w:val="00B557F8"/>
    <w:rsid w:val="00B815FC"/>
    <w:rsid w:val="00B93FBC"/>
    <w:rsid w:val="00BA2A37"/>
    <w:rsid w:val="00BA6731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44FF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5FD0"/>
    <w:rsid w:val="00CA6391"/>
    <w:rsid w:val="00CE036E"/>
    <w:rsid w:val="00CE3171"/>
    <w:rsid w:val="00CE5BF8"/>
    <w:rsid w:val="00CF1601"/>
    <w:rsid w:val="00D0172F"/>
    <w:rsid w:val="00D01E33"/>
    <w:rsid w:val="00D068A7"/>
    <w:rsid w:val="00D1222C"/>
    <w:rsid w:val="00D17476"/>
    <w:rsid w:val="00D17B0E"/>
    <w:rsid w:val="00D32086"/>
    <w:rsid w:val="00D37A3F"/>
    <w:rsid w:val="00D4431D"/>
    <w:rsid w:val="00D4667A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61C20"/>
    <w:rsid w:val="00E972F2"/>
    <w:rsid w:val="00E97830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72B12"/>
    <w:rsid w:val="00F84DF4"/>
    <w:rsid w:val="00F84FAE"/>
    <w:rsid w:val="00F85C97"/>
    <w:rsid w:val="00F90D45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Policepardfaut"/>
    <w:link w:val="SCCNormalDoubleSpacing"/>
    <w:rsid w:val="00104F33"/>
    <w:rPr>
      <w:sz w:val="24"/>
    </w:rPr>
  </w:style>
  <w:style w:type="character" w:styleId="lev">
    <w:name w:val="Strong"/>
    <w:basedOn w:val="Policepardfaut"/>
    <w:uiPriority w:val="22"/>
    <w:qFormat/>
    <w:rsid w:val="00C53F14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A548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CE317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C59B8"/>
    <w:rPr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Policepardfau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Policepardfau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Policepardfau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Policepardfaut"/>
    <w:link w:val="SCCLsocOtherPartySeparator"/>
    <w:rsid w:val="003323B0"/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Policepardfau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Policepardfau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Policepardfau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Policepardfau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Policepardfau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Policepardfau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Policepardfau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Grilledutableau">
    <w:name w:val="Table Grid"/>
    <w:basedOn w:val="TableauNormal"/>
    <w:uiPriority w:val="59"/>
    <w:rsid w:val="00464C9E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Policepardfaut"/>
    <w:rsid w:val="00464C9E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464C9E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Policepardfaut"/>
    <w:link w:val="SCCLsocPrefix"/>
    <w:rsid w:val="00464C9E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2E33-BD28-4117-ADAB-B8BB2D9D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2017-04-24T18:25:00Z</dcterms:created>
  <dcterms:modified xsi:type="dcterms:W3CDTF">2017-10-18T14:46:00Z</dcterms:modified>
</cp:coreProperties>
</file>