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FA0" w:rsidRDefault="00450FA0" w:rsidP="00450FA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577780181" r:id="rId9"/>
        </w:object>
      </w:r>
      <w:r>
        <w:t xml:space="preserve"> </w:t>
      </w:r>
      <w:r>
        <w:ptab w:relativeTo="margin" w:alignment="right" w:leader="none"/>
      </w:r>
    </w:p>
    <w:p w:rsidR="00450FA0" w:rsidRDefault="00450FA0" w:rsidP="00450FA0">
      <w:pPr>
        <w:pStyle w:val="Header"/>
      </w:pPr>
    </w:p>
    <w:p w:rsidR="00450FA0" w:rsidRPr="001E12E2" w:rsidRDefault="00450FA0" w:rsidP="00450FA0">
      <w:pPr>
        <w:jc w:val="center"/>
        <w:rPr>
          <w:b/>
        </w:rPr>
      </w:pPr>
      <w:r w:rsidRPr="001E12E2">
        <w:rPr>
          <w:b/>
        </w:rPr>
        <w:t>COUR SUPRÊME DU CANADA</w:t>
      </w:r>
    </w:p>
    <w:p w:rsidR="00450FA0" w:rsidRDefault="00450FA0" w:rsidP="00450FA0"/>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120"/>
        <w:gridCol w:w="3510"/>
      </w:tblGrid>
      <w:tr w:rsidR="00450FA0" w:rsidRPr="001E12E2" w:rsidTr="008375E1">
        <w:trPr>
          <w:cantSplit/>
        </w:trPr>
        <w:tc>
          <w:tcPr>
            <w:tcW w:w="6120" w:type="dxa"/>
          </w:tcPr>
          <w:p w:rsidR="00450FA0" w:rsidRPr="00450FA0" w:rsidRDefault="00450FA0" w:rsidP="008375E1">
            <w:pPr>
              <w:rPr>
                <w:lang w:val="fr-CA"/>
              </w:rPr>
            </w:pPr>
            <w:r w:rsidRPr="00450FA0">
              <w:rPr>
                <w:b/>
                <w:smallCaps/>
                <w:lang w:val="fr-CA"/>
              </w:rPr>
              <w:t>Référence :</w:t>
            </w:r>
            <w:r w:rsidRPr="00450FA0">
              <w:rPr>
                <w:lang w:val="fr-CA"/>
              </w:rPr>
              <w:t xml:space="preserve"> R. </w:t>
            </w:r>
            <w:r w:rsidRPr="00450FA0">
              <w:rPr>
                <w:i/>
                <w:lang w:val="fr-CA"/>
              </w:rPr>
              <w:t>c.</w:t>
            </w:r>
            <w:r w:rsidRPr="00450FA0">
              <w:rPr>
                <w:lang w:val="fr-CA"/>
              </w:rPr>
              <w:t xml:space="preserve"> Cody, 2017 CSC 31</w:t>
            </w:r>
            <w:r>
              <w:rPr>
                <w:lang w:val="fr-CA"/>
              </w:rPr>
              <w:t>,</w:t>
            </w:r>
            <w:bookmarkStart w:id="0" w:name="_GoBack"/>
            <w:bookmarkEnd w:id="0"/>
            <w:r w:rsidRPr="00450FA0">
              <w:rPr>
                <w:lang w:val="fr-CA"/>
              </w:rPr>
              <w:t xml:space="preserve"> [2017] 1 R.C.S. 659</w:t>
            </w:r>
          </w:p>
        </w:tc>
        <w:tc>
          <w:tcPr>
            <w:tcW w:w="3510" w:type="dxa"/>
          </w:tcPr>
          <w:p w:rsidR="00450FA0" w:rsidRPr="00450FA0" w:rsidRDefault="00450FA0" w:rsidP="008375E1">
            <w:pPr>
              <w:rPr>
                <w:lang w:val="fr-CA"/>
              </w:rPr>
            </w:pPr>
            <w:r w:rsidRPr="00450FA0">
              <w:rPr>
                <w:b/>
                <w:smallCaps/>
                <w:lang w:val="fr-CA"/>
              </w:rPr>
              <w:t>Appel entendu :</w:t>
            </w:r>
            <w:r w:rsidRPr="00450FA0">
              <w:rPr>
                <w:lang w:val="fr-CA"/>
              </w:rPr>
              <w:t xml:space="preserve"> 25 avril 2017</w:t>
            </w:r>
          </w:p>
          <w:p w:rsidR="00450FA0" w:rsidRPr="00450FA0" w:rsidRDefault="00450FA0" w:rsidP="008375E1">
            <w:pPr>
              <w:rPr>
                <w:lang w:val="fr-CA"/>
              </w:rPr>
            </w:pPr>
            <w:r w:rsidRPr="00450FA0">
              <w:rPr>
                <w:b/>
                <w:smallCaps/>
                <w:lang w:val="fr-CA"/>
              </w:rPr>
              <w:t>Jugement rendu</w:t>
            </w:r>
            <w:r w:rsidRPr="00450FA0">
              <w:rPr>
                <w:lang w:val="fr-CA"/>
              </w:rPr>
              <w:t> </w:t>
            </w:r>
            <w:r w:rsidRPr="00450FA0">
              <w:rPr>
                <w:b/>
                <w:smallCaps/>
                <w:lang w:val="fr-CA"/>
              </w:rPr>
              <w:t xml:space="preserve">: </w:t>
            </w:r>
            <w:r w:rsidRPr="00450FA0">
              <w:rPr>
                <w:lang w:val="fr-CA"/>
              </w:rPr>
              <w:t>16 juin 2017</w:t>
            </w:r>
          </w:p>
          <w:p w:rsidR="00450FA0" w:rsidRPr="001E12E2" w:rsidRDefault="00450FA0" w:rsidP="008375E1">
            <w:r w:rsidRPr="001E12E2">
              <w:rPr>
                <w:b/>
                <w:smallCaps/>
              </w:rPr>
              <w:t>Do</w:t>
            </w:r>
            <w:r>
              <w:rPr>
                <w:b/>
                <w:smallCaps/>
              </w:rPr>
              <w:t>ssier :</w:t>
            </w:r>
            <w:r w:rsidRPr="001E12E2">
              <w:t xml:space="preserve"> </w:t>
            </w:r>
            <w:r>
              <w:t>37310</w:t>
            </w:r>
          </w:p>
        </w:tc>
      </w:tr>
    </w:tbl>
    <w:p w:rsidR="00450FA0" w:rsidRPr="001E12E2" w:rsidRDefault="00450FA0" w:rsidP="00450FA0"/>
    <w:p w:rsidR="00450FA0" w:rsidRDefault="00450FA0" w:rsidP="00450FA0">
      <w:pPr>
        <w:pStyle w:val="SCCLsocPrefix"/>
      </w:pPr>
      <w:r>
        <w:t>Entre :</w:t>
      </w:r>
    </w:p>
    <w:p w:rsidR="00450FA0" w:rsidRDefault="00450FA0" w:rsidP="00450FA0">
      <w:pPr>
        <w:pStyle w:val="SCCLsocParty"/>
        <w:jc w:val="center"/>
      </w:pPr>
      <w:r>
        <w:t>James Cody</w:t>
      </w:r>
    </w:p>
    <w:p w:rsidR="00450FA0" w:rsidRDefault="00450FA0" w:rsidP="00450FA0">
      <w:pPr>
        <w:jc w:val="center"/>
      </w:pPr>
      <w:r>
        <w:t>Appelant</w:t>
      </w:r>
    </w:p>
    <w:p w:rsidR="00450FA0" w:rsidRPr="009C6703" w:rsidRDefault="00450FA0" w:rsidP="00450FA0">
      <w:pPr>
        <w:jc w:val="center"/>
      </w:pPr>
    </w:p>
    <w:p w:rsidR="00450FA0" w:rsidRPr="00450FA0" w:rsidRDefault="00450FA0" w:rsidP="00450FA0">
      <w:pPr>
        <w:pStyle w:val="SCCLsocVersus"/>
        <w:spacing w:after="0"/>
        <w:jc w:val="center"/>
        <w:rPr>
          <w:i w:val="0"/>
        </w:rPr>
      </w:pPr>
      <w:r w:rsidRPr="00450FA0">
        <w:rPr>
          <w:i w:val="0"/>
        </w:rPr>
        <w:t>et</w:t>
      </w:r>
    </w:p>
    <w:p w:rsidR="00450FA0" w:rsidRPr="009C6703" w:rsidRDefault="00450FA0" w:rsidP="00450FA0">
      <w:pPr>
        <w:jc w:val="center"/>
      </w:pPr>
    </w:p>
    <w:p w:rsidR="00450FA0" w:rsidRDefault="00450FA0" w:rsidP="00450FA0">
      <w:pPr>
        <w:pStyle w:val="SCCLsocParty"/>
        <w:jc w:val="center"/>
      </w:pPr>
      <w:r>
        <w:t>Sa Majesté la Reine</w:t>
      </w:r>
    </w:p>
    <w:p w:rsidR="00450FA0" w:rsidRDefault="00450FA0" w:rsidP="00450FA0">
      <w:pPr>
        <w:jc w:val="center"/>
      </w:pPr>
      <w:r>
        <w:t>Intimée</w:t>
      </w:r>
    </w:p>
    <w:p w:rsidR="00450FA0" w:rsidRPr="009C6703" w:rsidRDefault="00450FA0" w:rsidP="00450FA0">
      <w:pPr>
        <w:jc w:val="center"/>
      </w:pPr>
    </w:p>
    <w:p w:rsidR="00450FA0" w:rsidRDefault="00450FA0" w:rsidP="00450FA0">
      <w:pPr>
        <w:pStyle w:val="SCCLsocOtherPartySeparator"/>
        <w:spacing w:after="0"/>
        <w:jc w:val="center"/>
      </w:pPr>
      <w:r>
        <w:t>- et -</w:t>
      </w:r>
    </w:p>
    <w:p w:rsidR="00450FA0" w:rsidRPr="009C6703" w:rsidRDefault="00450FA0" w:rsidP="00450FA0">
      <w:pPr>
        <w:jc w:val="center"/>
      </w:pPr>
    </w:p>
    <w:p w:rsidR="00450FA0" w:rsidRPr="00450FA0" w:rsidRDefault="00450FA0" w:rsidP="00450FA0">
      <w:pPr>
        <w:pStyle w:val="SCCLsocParty"/>
        <w:jc w:val="center"/>
        <w:rPr>
          <w:lang w:val="fr-CA"/>
        </w:rPr>
      </w:pPr>
      <w:r w:rsidRPr="00450FA0">
        <w:rPr>
          <w:lang w:val="fr-CA"/>
        </w:rPr>
        <w:t>Procureur général de l’Ontario, procureure générale du Québec, procureur général du Manitoba, procureur général de la Colombie-Britannique, procureur général de l’Alberta, directeur des poursuites criminelles et pénales et Criminal Lawyers’ Association of Ontario</w:t>
      </w:r>
    </w:p>
    <w:p w:rsidR="00450FA0" w:rsidRDefault="00450FA0" w:rsidP="00450FA0">
      <w:pPr>
        <w:jc w:val="center"/>
      </w:pPr>
      <w:r>
        <w:t>Intervenants</w:t>
      </w:r>
    </w:p>
    <w:p w:rsidR="00450FA0" w:rsidRDefault="00450FA0" w:rsidP="00450FA0"/>
    <w:p w:rsidR="00450FA0" w:rsidRPr="001E12E2" w:rsidRDefault="00450FA0" w:rsidP="00450FA0"/>
    <w:p w:rsidR="00450FA0" w:rsidRPr="001E12E2" w:rsidRDefault="00450FA0" w:rsidP="00450FA0">
      <w:pPr>
        <w:jc w:val="center"/>
        <w:rPr>
          <w:b/>
          <w:smallCaps/>
        </w:rPr>
      </w:pPr>
      <w:r>
        <w:rPr>
          <w:b/>
          <w:smallCaps/>
        </w:rPr>
        <w:t>Traduction française o</w:t>
      </w:r>
      <w:r w:rsidRPr="001E12E2">
        <w:rPr>
          <w:b/>
          <w:smallCaps/>
        </w:rPr>
        <w:t>ffici</w:t>
      </w:r>
      <w:r>
        <w:rPr>
          <w:b/>
          <w:smallCaps/>
        </w:rPr>
        <w:t>elle</w:t>
      </w:r>
    </w:p>
    <w:p w:rsidR="00450FA0" w:rsidRPr="001E12E2" w:rsidRDefault="00450FA0" w:rsidP="00450FA0"/>
    <w:p w:rsidR="00450FA0" w:rsidRPr="00450FA0" w:rsidRDefault="00450FA0" w:rsidP="00450FA0">
      <w:pPr>
        <w:rPr>
          <w:lang w:val="fr-CA"/>
        </w:rPr>
      </w:pPr>
      <w:r w:rsidRPr="00450FA0">
        <w:rPr>
          <w:b/>
          <w:smallCaps/>
          <w:lang w:val="fr-CA"/>
        </w:rPr>
        <w:t>Coram :</w:t>
      </w:r>
      <w:r w:rsidRPr="00450FA0">
        <w:rPr>
          <w:lang w:val="fr-CA"/>
        </w:rPr>
        <w:t xml:space="preserve"> Les juges Abella, Moldaver, Karakatsanis, Wagner, Gascon, Côté et Brown</w:t>
      </w:r>
    </w:p>
    <w:p w:rsidR="00450FA0" w:rsidRPr="00450FA0" w:rsidRDefault="00450FA0" w:rsidP="00450FA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50FA0" w:rsidRPr="001E12E2" w:rsidTr="008375E1">
        <w:trPr>
          <w:cantSplit/>
        </w:trPr>
        <w:tc>
          <w:tcPr>
            <w:tcW w:w="3618" w:type="dxa"/>
          </w:tcPr>
          <w:p w:rsidR="00450FA0" w:rsidRPr="00450FA0" w:rsidRDefault="00450FA0" w:rsidP="008375E1">
            <w:pPr>
              <w:rPr>
                <w:b/>
                <w:smallCaps/>
                <w:lang w:val="fr-CA"/>
              </w:rPr>
            </w:pPr>
            <w:r w:rsidRPr="00450FA0">
              <w:rPr>
                <w:b/>
                <w:smallCaps/>
                <w:lang w:val="fr-CA"/>
              </w:rPr>
              <w:t>Motifs de jugement :</w:t>
            </w:r>
          </w:p>
          <w:p w:rsidR="00450FA0" w:rsidRPr="00450FA0" w:rsidRDefault="00450FA0" w:rsidP="008375E1">
            <w:pPr>
              <w:rPr>
                <w:lang w:val="fr-CA"/>
              </w:rPr>
            </w:pPr>
            <w:r w:rsidRPr="00450FA0">
              <w:rPr>
                <w:lang w:val="fr-CA"/>
              </w:rPr>
              <w:t>(par. 1 à 75)</w:t>
            </w:r>
          </w:p>
        </w:tc>
        <w:tc>
          <w:tcPr>
            <w:tcW w:w="5958" w:type="dxa"/>
          </w:tcPr>
          <w:p w:rsidR="00450FA0" w:rsidRPr="001E12E2" w:rsidRDefault="00450FA0" w:rsidP="008375E1">
            <w:r>
              <w:t>La Cour</w:t>
            </w:r>
          </w:p>
        </w:tc>
      </w:tr>
    </w:tbl>
    <w:p w:rsidR="00450FA0" w:rsidRPr="00450FA0" w:rsidRDefault="00450FA0" w:rsidP="00450FA0">
      <w:pPr>
        <w:rPr>
          <w:lang w:val="fr-CA"/>
        </w:rPr>
      </w:pPr>
      <w:r>
        <w:rPr>
          <w:noProof/>
          <w:lang w:val="en-US"/>
        </w:rPr>
        <mc:AlternateContent>
          <mc:Choice Requires="wps">
            <w:drawing>
              <wp:anchor distT="0" distB="0" distL="114300" distR="114300" simplePos="0" relativeHeight="251659264" behindDoc="0" locked="0" layoutInCell="1" allowOverlap="1" wp14:anchorId="5D1C30FF" wp14:editId="1D908E6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52A6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50FA0" w:rsidRPr="00450FA0" w:rsidRDefault="00450FA0" w:rsidP="00D42258">
      <w:pPr>
        <w:widowControl w:val="0"/>
        <w:spacing w:after="720"/>
        <w:jc w:val="both"/>
        <w:rPr>
          <w:lang w:val="fr-CA"/>
        </w:rPr>
      </w:pPr>
    </w:p>
    <w:p w:rsidR="004D7D95" w:rsidRPr="000E31D2" w:rsidRDefault="00322E3F" w:rsidP="00D42258">
      <w:pPr>
        <w:widowControl w:val="0"/>
        <w:spacing w:after="720"/>
        <w:jc w:val="both"/>
        <w:rPr>
          <w:lang w:val="en-US"/>
        </w:rPr>
      </w:pPr>
      <w:r w:rsidRPr="00322E3F">
        <w:rPr>
          <w:lang w:val="en-US"/>
        </w:rPr>
        <w:t>R</w:t>
      </w:r>
      <w:r w:rsidR="00A31D98" w:rsidRPr="00322E3F">
        <w:rPr>
          <w:lang w:val="en-US"/>
        </w:rPr>
        <w:t xml:space="preserve">. </w:t>
      </w:r>
      <w:r w:rsidR="00A31D98" w:rsidRPr="00322E3F">
        <w:rPr>
          <w:i/>
          <w:lang w:val="en-US"/>
        </w:rPr>
        <w:t>c.</w:t>
      </w:r>
      <w:r w:rsidR="00A31D98" w:rsidRPr="00322E3F">
        <w:rPr>
          <w:lang w:val="en-US"/>
        </w:rPr>
        <w:t xml:space="preserve"> </w:t>
      </w:r>
      <w:r w:rsidRPr="00322E3F">
        <w:rPr>
          <w:lang w:val="en-US"/>
        </w:rPr>
        <w:t>C</w:t>
      </w:r>
      <w:r w:rsidR="00A31D98" w:rsidRPr="00322E3F">
        <w:rPr>
          <w:lang w:val="en-US"/>
        </w:rPr>
        <w:t>ody</w:t>
      </w:r>
      <w:r w:rsidRPr="00322E3F">
        <w:rPr>
          <w:lang w:val="en-US"/>
        </w:rPr>
        <w:t xml:space="preserve">, </w:t>
      </w:r>
      <w:r w:rsidR="000E31D2" w:rsidRPr="000E31D2">
        <w:rPr>
          <w:lang w:val="en-US"/>
        </w:rPr>
        <w:t>2017 CSC 31, [2017] 1 R.C.S. 659</w:t>
      </w:r>
    </w:p>
    <w:p w:rsidR="000A37E9" w:rsidRPr="005C33AA" w:rsidRDefault="00A157E9" w:rsidP="00D42258">
      <w:pPr>
        <w:pStyle w:val="SCCLsocLastPartyInRole"/>
        <w:widowControl w:val="0"/>
        <w:rPr>
          <w:lang w:val="fr-CA"/>
        </w:rPr>
      </w:pPr>
      <w:r w:rsidRPr="005C33AA">
        <w:rPr>
          <w:lang w:val="fr-CA"/>
        </w:rPr>
        <w:t>James Cody</w:t>
      </w:r>
      <w:r w:rsidRPr="005C33AA">
        <w:rPr>
          <w:rStyle w:val="SCCLsocPartyRole"/>
          <w:lang w:val="fr-CA"/>
        </w:rPr>
        <w:tab/>
        <w:t>Appelant</w:t>
      </w:r>
    </w:p>
    <w:p w:rsidR="000A37E9" w:rsidRPr="005C33AA" w:rsidRDefault="00A157E9" w:rsidP="00D42258">
      <w:pPr>
        <w:pStyle w:val="SCCLsocVersus"/>
        <w:widowControl w:val="0"/>
        <w:rPr>
          <w:lang w:val="fr-CA"/>
        </w:rPr>
      </w:pPr>
      <w:r w:rsidRPr="005C33AA">
        <w:rPr>
          <w:lang w:val="fr-CA"/>
        </w:rPr>
        <w:lastRenderedPageBreak/>
        <w:t>c.</w:t>
      </w:r>
    </w:p>
    <w:p w:rsidR="000A37E9" w:rsidRPr="005C33AA" w:rsidRDefault="00A157E9" w:rsidP="00D42258">
      <w:pPr>
        <w:pStyle w:val="SCCLsocLastPartyInRole"/>
        <w:widowControl w:val="0"/>
        <w:rPr>
          <w:lang w:val="fr-CA"/>
        </w:rPr>
      </w:pPr>
      <w:r w:rsidRPr="005C33AA">
        <w:rPr>
          <w:lang w:val="fr-CA"/>
        </w:rPr>
        <w:t>Sa Majesté la Reine</w:t>
      </w:r>
      <w:r w:rsidR="00A31D98" w:rsidRPr="005C33AA">
        <w:rPr>
          <w:rStyle w:val="SCCLsocPartyRole"/>
          <w:lang w:val="fr-CA"/>
        </w:rPr>
        <w:tab/>
        <w:t>Intimée</w:t>
      </w:r>
    </w:p>
    <w:p w:rsidR="000A37E9" w:rsidRPr="005C33AA" w:rsidRDefault="00A157E9" w:rsidP="00D42258">
      <w:pPr>
        <w:pStyle w:val="SCCLsocOtherPartySeparator"/>
        <w:widowControl w:val="0"/>
        <w:rPr>
          <w:lang w:val="fr-CA"/>
        </w:rPr>
      </w:pPr>
      <w:r w:rsidRPr="005C33AA">
        <w:rPr>
          <w:lang w:val="fr-CA"/>
        </w:rPr>
        <w:t>et</w:t>
      </w:r>
    </w:p>
    <w:p w:rsidR="000A37E9" w:rsidRPr="005C33AA" w:rsidRDefault="00A31D98" w:rsidP="00D42258">
      <w:pPr>
        <w:pStyle w:val="SCCLsocParty"/>
        <w:widowControl w:val="0"/>
        <w:rPr>
          <w:lang w:val="fr-CA"/>
        </w:rPr>
      </w:pPr>
      <w:r w:rsidRPr="005C33AA">
        <w:rPr>
          <w:lang w:val="fr-CA"/>
        </w:rPr>
        <w:t>Procureur général de l’</w:t>
      </w:r>
      <w:r w:rsidR="00A157E9" w:rsidRPr="005C33AA">
        <w:rPr>
          <w:lang w:val="fr-CA"/>
        </w:rPr>
        <w:t>Ontario,</w:t>
      </w:r>
    </w:p>
    <w:p w:rsidR="000A37E9" w:rsidRPr="005C33AA" w:rsidRDefault="00A31D98" w:rsidP="00D42258">
      <w:pPr>
        <w:pStyle w:val="SCCLsocParty"/>
        <w:widowControl w:val="0"/>
        <w:rPr>
          <w:lang w:val="fr-CA"/>
        </w:rPr>
      </w:pPr>
      <w:r w:rsidRPr="005C33AA">
        <w:rPr>
          <w:lang w:val="fr-CA"/>
        </w:rPr>
        <w:t>p</w:t>
      </w:r>
      <w:r w:rsidR="00A157E9" w:rsidRPr="005C33AA">
        <w:rPr>
          <w:lang w:val="fr-CA"/>
        </w:rPr>
        <w:t>rocureure générale du Québec,</w:t>
      </w:r>
    </w:p>
    <w:p w:rsidR="000A37E9" w:rsidRPr="005C33AA" w:rsidRDefault="00A31D98" w:rsidP="00D42258">
      <w:pPr>
        <w:pStyle w:val="SCCLsocParty"/>
        <w:widowControl w:val="0"/>
        <w:rPr>
          <w:lang w:val="fr-CA"/>
        </w:rPr>
      </w:pPr>
      <w:r w:rsidRPr="005C33AA">
        <w:rPr>
          <w:lang w:val="fr-CA"/>
        </w:rPr>
        <w:t>p</w:t>
      </w:r>
      <w:r w:rsidR="00A157E9" w:rsidRPr="005C33AA">
        <w:rPr>
          <w:lang w:val="fr-CA"/>
        </w:rPr>
        <w:t>rocureur général du Manitoba,</w:t>
      </w:r>
    </w:p>
    <w:p w:rsidR="000A37E9" w:rsidRPr="005C33AA" w:rsidRDefault="00A31D98" w:rsidP="00D42258">
      <w:pPr>
        <w:pStyle w:val="SCCLsocParty"/>
        <w:widowControl w:val="0"/>
        <w:rPr>
          <w:lang w:val="fr-CA"/>
        </w:rPr>
      </w:pPr>
      <w:r w:rsidRPr="005C33AA">
        <w:rPr>
          <w:lang w:val="fr-CA"/>
        </w:rPr>
        <w:t>p</w:t>
      </w:r>
      <w:r w:rsidR="00A157E9" w:rsidRPr="005C33AA">
        <w:rPr>
          <w:lang w:val="fr-CA"/>
        </w:rPr>
        <w:t>rocureur général de la Colombie</w:t>
      </w:r>
      <w:r w:rsidR="00D60C0F">
        <w:rPr>
          <w:lang w:val="fr-CA"/>
        </w:rPr>
        <w:noBreakHyphen/>
      </w:r>
      <w:r w:rsidR="00A157E9" w:rsidRPr="005C33AA">
        <w:rPr>
          <w:lang w:val="fr-CA"/>
        </w:rPr>
        <w:t>Britannique,</w:t>
      </w:r>
    </w:p>
    <w:p w:rsidR="000A37E9" w:rsidRPr="005C33AA" w:rsidRDefault="00A31D98" w:rsidP="00D42258">
      <w:pPr>
        <w:pStyle w:val="SCCLsocParty"/>
        <w:widowControl w:val="0"/>
        <w:rPr>
          <w:lang w:val="fr-CA"/>
        </w:rPr>
      </w:pPr>
      <w:r w:rsidRPr="005C33AA">
        <w:rPr>
          <w:lang w:val="fr-CA"/>
        </w:rPr>
        <w:t>procureur général de l’</w:t>
      </w:r>
      <w:r w:rsidR="00A157E9" w:rsidRPr="005C33AA">
        <w:rPr>
          <w:lang w:val="fr-CA"/>
        </w:rPr>
        <w:t>Alberta,</w:t>
      </w:r>
    </w:p>
    <w:p w:rsidR="000A37E9" w:rsidRPr="005C33AA" w:rsidRDefault="00A31D98" w:rsidP="00D42258">
      <w:pPr>
        <w:pStyle w:val="SCCLsocParty"/>
        <w:widowControl w:val="0"/>
        <w:rPr>
          <w:lang w:val="fr-CA"/>
        </w:rPr>
      </w:pPr>
      <w:r w:rsidRPr="005C33AA">
        <w:rPr>
          <w:lang w:val="fr-CA"/>
        </w:rPr>
        <w:t>d</w:t>
      </w:r>
      <w:r w:rsidR="00A157E9" w:rsidRPr="005C33AA">
        <w:rPr>
          <w:lang w:val="fr-CA"/>
        </w:rPr>
        <w:t>irecteur des po</w:t>
      </w:r>
      <w:r w:rsidRPr="005C33AA">
        <w:rPr>
          <w:lang w:val="fr-CA"/>
        </w:rPr>
        <w:t>ursuites criminelles et pénales</w:t>
      </w:r>
      <w:r w:rsidR="00AB2328" w:rsidRPr="005C33AA">
        <w:rPr>
          <w:lang w:val="fr-CA"/>
        </w:rPr>
        <w:t xml:space="preserve"> </w:t>
      </w:r>
      <w:r w:rsidRPr="005C33AA">
        <w:rPr>
          <w:lang w:val="fr-CA"/>
        </w:rPr>
        <w:t>et</w:t>
      </w:r>
    </w:p>
    <w:p w:rsidR="000A37E9" w:rsidRPr="005C33AA" w:rsidRDefault="00A31D98" w:rsidP="00D42258">
      <w:pPr>
        <w:pStyle w:val="SCCLsocLastPartyInRole"/>
        <w:widowControl w:val="0"/>
        <w:rPr>
          <w:lang w:val="en-US"/>
        </w:rPr>
      </w:pPr>
      <w:r w:rsidRPr="005C33AA">
        <w:rPr>
          <w:lang w:val="en-US"/>
        </w:rPr>
        <w:t>Criminal Lawyers’</w:t>
      </w:r>
      <w:r w:rsidR="00A157E9" w:rsidRPr="005C33AA">
        <w:rPr>
          <w:lang w:val="en-US"/>
        </w:rPr>
        <w:t xml:space="preserve"> Association of Ontario</w:t>
      </w:r>
      <w:r w:rsidRPr="005C33AA">
        <w:rPr>
          <w:rStyle w:val="SCCLsocPartyRole"/>
          <w:lang w:val="en-US"/>
        </w:rPr>
        <w:tab/>
        <w:t>Intervenant</w:t>
      </w:r>
      <w:r w:rsidR="00A157E9" w:rsidRPr="005C33AA">
        <w:rPr>
          <w:rStyle w:val="SCCLsocPartyRole"/>
          <w:lang w:val="en-US"/>
        </w:rPr>
        <w:t>s</w:t>
      </w:r>
    </w:p>
    <w:p w:rsidR="004D7D95" w:rsidRPr="005C33AA" w:rsidRDefault="004D7D95" w:rsidP="00D42258">
      <w:pPr>
        <w:widowControl w:val="0"/>
        <w:spacing w:after="720"/>
        <w:jc w:val="both"/>
        <w:rPr>
          <w:b/>
          <w:lang w:val="fr-CA"/>
        </w:rPr>
      </w:pPr>
      <w:r w:rsidRPr="005C33AA">
        <w:rPr>
          <w:b/>
          <w:lang w:val="fr-CA"/>
        </w:rPr>
        <w:t>Répertorié</w:t>
      </w:r>
      <w:r w:rsidR="00D60C0F">
        <w:rPr>
          <w:b/>
          <w:lang w:val="fr-CA"/>
        </w:rPr>
        <w:t> :</w:t>
      </w:r>
      <w:r w:rsidR="00A31D98" w:rsidRPr="005C33AA">
        <w:rPr>
          <w:b/>
          <w:lang w:val="fr-CA"/>
        </w:rPr>
        <w:t xml:space="preserve"> R. </w:t>
      </w:r>
      <w:r w:rsidRPr="005C33AA">
        <w:rPr>
          <w:b/>
          <w:i/>
          <w:lang w:val="fr-CA"/>
        </w:rPr>
        <w:t>c.</w:t>
      </w:r>
      <w:r w:rsidRPr="005C33AA">
        <w:rPr>
          <w:b/>
          <w:lang w:val="fr-CA"/>
        </w:rPr>
        <w:t xml:space="preserve"> </w:t>
      </w:r>
      <w:r w:rsidR="00A31D98" w:rsidRPr="005C33AA">
        <w:rPr>
          <w:b/>
          <w:lang w:val="fr-CA"/>
        </w:rPr>
        <w:t>Cody</w:t>
      </w:r>
    </w:p>
    <w:p w:rsidR="004D7D95" w:rsidRPr="005C33AA" w:rsidRDefault="00D17B0E" w:rsidP="00D42258">
      <w:pPr>
        <w:pStyle w:val="SCCSystemYear"/>
        <w:widowControl w:val="0"/>
        <w:spacing w:after="720"/>
        <w:jc w:val="both"/>
        <w:rPr>
          <w:lang w:val="fr-CA"/>
        </w:rPr>
      </w:pPr>
      <w:r w:rsidRPr="005C33AA">
        <w:rPr>
          <w:lang w:val="fr-CA"/>
        </w:rPr>
        <w:t>2017</w:t>
      </w:r>
      <w:r w:rsidR="004D7D95" w:rsidRPr="005C33AA">
        <w:rPr>
          <w:lang w:val="fr-CA"/>
        </w:rPr>
        <w:t xml:space="preserve"> CSC </w:t>
      </w:r>
      <w:r w:rsidR="00EC5B64" w:rsidRPr="005C33AA">
        <w:rPr>
          <w:lang w:val="fr-CA"/>
        </w:rPr>
        <w:t>31</w:t>
      </w:r>
    </w:p>
    <w:p w:rsidR="004D7D95" w:rsidRPr="005C33AA" w:rsidRDefault="004D7D95" w:rsidP="00D42258">
      <w:pPr>
        <w:widowControl w:val="0"/>
        <w:spacing w:after="720"/>
        <w:jc w:val="both"/>
        <w:rPr>
          <w:lang w:val="fr-CA"/>
        </w:rPr>
      </w:pPr>
      <w:r w:rsidRPr="005C33AA">
        <w:rPr>
          <w:lang w:val="fr-CA"/>
        </w:rPr>
        <w:t>N</w:t>
      </w:r>
      <w:r w:rsidRPr="005C33AA">
        <w:rPr>
          <w:vertAlign w:val="superscript"/>
          <w:lang w:val="fr-CA"/>
        </w:rPr>
        <w:t>o</w:t>
      </w:r>
      <w:r w:rsidRPr="005C33AA">
        <w:rPr>
          <w:lang w:val="fr-CA"/>
        </w:rPr>
        <w:t xml:space="preserve"> du greffe</w:t>
      </w:r>
      <w:r w:rsidR="00D60C0F">
        <w:rPr>
          <w:lang w:val="fr-CA"/>
        </w:rPr>
        <w:t> :</w:t>
      </w:r>
      <w:r w:rsidRPr="005C33AA">
        <w:rPr>
          <w:lang w:val="fr-CA"/>
        </w:rPr>
        <w:t> 37310.</w:t>
      </w:r>
    </w:p>
    <w:p w:rsidR="004D7D95" w:rsidRPr="005C33AA" w:rsidRDefault="00D17B0E" w:rsidP="00D42258">
      <w:pPr>
        <w:widowControl w:val="0"/>
        <w:spacing w:after="720"/>
        <w:jc w:val="both"/>
        <w:rPr>
          <w:lang w:val="fr-CA"/>
        </w:rPr>
      </w:pPr>
      <w:r w:rsidRPr="005C33AA">
        <w:rPr>
          <w:lang w:val="fr-CA"/>
        </w:rPr>
        <w:t>2017</w:t>
      </w:r>
      <w:r w:rsidR="00D60C0F">
        <w:rPr>
          <w:lang w:val="fr-CA"/>
        </w:rPr>
        <w:t> :</w:t>
      </w:r>
      <w:r w:rsidR="00FD0A5E" w:rsidRPr="005C33AA">
        <w:rPr>
          <w:lang w:val="fr-CA"/>
        </w:rPr>
        <w:t> 25 </w:t>
      </w:r>
      <w:r w:rsidRPr="005C33AA">
        <w:rPr>
          <w:lang w:val="fr-CA"/>
        </w:rPr>
        <w:t>avril</w:t>
      </w:r>
      <w:r w:rsidR="002D36A5" w:rsidRPr="005C33AA">
        <w:rPr>
          <w:lang w:val="fr-CA"/>
        </w:rPr>
        <w:t>; 2017</w:t>
      </w:r>
      <w:r w:rsidR="00D60C0F">
        <w:rPr>
          <w:lang w:val="fr-CA"/>
        </w:rPr>
        <w:t> : 16 </w:t>
      </w:r>
      <w:r w:rsidR="002D36A5" w:rsidRPr="005C33AA">
        <w:rPr>
          <w:lang w:val="fr-CA"/>
        </w:rPr>
        <w:t>juin</w:t>
      </w:r>
      <w:r w:rsidR="004D7D95" w:rsidRPr="005C33AA">
        <w:rPr>
          <w:lang w:val="fr-CA"/>
        </w:rPr>
        <w:t>.</w:t>
      </w:r>
    </w:p>
    <w:p w:rsidR="004D7D95" w:rsidRPr="005C33AA" w:rsidRDefault="004D7D95" w:rsidP="00D42258">
      <w:pPr>
        <w:widowControl w:val="0"/>
        <w:spacing w:after="720"/>
        <w:jc w:val="both"/>
        <w:rPr>
          <w:lang w:val="fr-CA"/>
        </w:rPr>
      </w:pPr>
      <w:r w:rsidRPr="005C33AA">
        <w:rPr>
          <w:lang w:val="fr-CA"/>
        </w:rPr>
        <w:t>Présents</w:t>
      </w:r>
      <w:r w:rsidR="00D60C0F">
        <w:rPr>
          <w:lang w:val="fr-CA"/>
        </w:rPr>
        <w:t> :</w:t>
      </w:r>
      <w:r w:rsidRPr="005C33AA">
        <w:rPr>
          <w:lang w:val="fr-CA"/>
        </w:rPr>
        <w:t> Les juges Abella, Moldaver, Karakatsanis, Wagner, Gascon, Côté et Brown.</w:t>
      </w:r>
    </w:p>
    <w:p w:rsidR="00F65F9A" w:rsidRPr="005C33AA" w:rsidRDefault="00F65F9A" w:rsidP="00D42258">
      <w:pPr>
        <w:widowControl w:val="0"/>
        <w:spacing w:after="720"/>
        <w:jc w:val="both"/>
        <w:rPr>
          <w:smallCaps/>
          <w:lang w:val="fr-CA"/>
        </w:rPr>
      </w:pPr>
      <w:r w:rsidRPr="005C33AA">
        <w:rPr>
          <w:smallCaps/>
          <w:lang w:val="fr-CA"/>
        </w:rPr>
        <w:t>en appel de la cour d’appel de terre</w:t>
      </w:r>
      <w:r w:rsidR="00D60C0F">
        <w:rPr>
          <w:smallCaps/>
          <w:lang w:val="fr-CA"/>
        </w:rPr>
        <w:noBreakHyphen/>
      </w:r>
      <w:r w:rsidRPr="005C33AA">
        <w:rPr>
          <w:smallCaps/>
          <w:lang w:val="fr-CA"/>
        </w:rPr>
        <w:t>neuve</w:t>
      </w:r>
      <w:r w:rsidR="00D60C0F">
        <w:rPr>
          <w:smallCaps/>
          <w:lang w:val="fr-CA"/>
        </w:rPr>
        <w:noBreakHyphen/>
      </w:r>
      <w:r w:rsidRPr="005C33AA">
        <w:rPr>
          <w:smallCaps/>
          <w:lang w:val="fr-CA"/>
        </w:rPr>
        <w:t>et</w:t>
      </w:r>
      <w:r w:rsidR="00D60C0F">
        <w:rPr>
          <w:smallCaps/>
          <w:lang w:val="fr-CA"/>
        </w:rPr>
        <w:noBreakHyphen/>
      </w:r>
      <w:r w:rsidRPr="005C33AA">
        <w:rPr>
          <w:smallCaps/>
          <w:lang w:val="fr-CA"/>
        </w:rPr>
        <w:t>labrador</w:t>
      </w:r>
    </w:p>
    <w:p w:rsidR="00A91CBD" w:rsidRPr="005C33AA" w:rsidRDefault="004D7D95" w:rsidP="00D42258">
      <w:pPr>
        <w:pStyle w:val="SCCNormalDoubleSpacing"/>
        <w:widowControl w:val="0"/>
        <w:spacing w:after="480"/>
        <w:rPr>
          <w:i/>
          <w:lang w:val="fr-CA"/>
        </w:rPr>
      </w:pPr>
      <w:r w:rsidRPr="005C33AA">
        <w:rPr>
          <w:lang w:val="fr-CA"/>
        </w:rPr>
        <w:tab/>
      </w:r>
      <w:r w:rsidR="00891CAD" w:rsidRPr="005C33AA">
        <w:rPr>
          <w:i/>
          <w:lang w:val="fr-CA"/>
        </w:rPr>
        <w:t>Droit c</w:t>
      </w:r>
      <w:r w:rsidR="00A91CBD" w:rsidRPr="005C33AA">
        <w:rPr>
          <w:i/>
          <w:lang w:val="fr-CA"/>
        </w:rPr>
        <w:t>onstitution</w:t>
      </w:r>
      <w:r w:rsidR="00891CAD" w:rsidRPr="005C33AA">
        <w:rPr>
          <w:i/>
          <w:lang w:val="fr-CA"/>
        </w:rPr>
        <w:t>ne</w:t>
      </w:r>
      <w:r w:rsidR="00A91CBD" w:rsidRPr="005C33AA">
        <w:rPr>
          <w:i/>
          <w:lang w:val="fr-CA"/>
        </w:rPr>
        <w:t xml:space="preserve">l </w:t>
      </w:r>
      <w:r w:rsidR="00A91CBD" w:rsidRPr="005C33AA">
        <w:rPr>
          <w:i/>
          <w:iCs/>
          <w:szCs w:val="24"/>
          <w:lang w:val="fr-CA"/>
        </w:rPr>
        <w:t>—</w:t>
      </w:r>
      <w:r w:rsidR="00A91CBD" w:rsidRPr="005C33AA">
        <w:rPr>
          <w:i/>
          <w:lang w:val="fr-CA"/>
        </w:rPr>
        <w:t xml:space="preserve"> Charte</w:t>
      </w:r>
      <w:r w:rsidR="00891CAD" w:rsidRPr="005C33AA">
        <w:rPr>
          <w:i/>
          <w:lang w:val="fr-CA"/>
        </w:rPr>
        <w:t xml:space="preserve"> des droits</w:t>
      </w:r>
      <w:r w:rsidR="00A91CBD" w:rsidRPr="005C33AA">
        <w:rPr>
          <w:i/>
          <w:lang w:val="fr-CA"/>
        </w:rPr>
        <w:t xml:space="preserve"> </w:t>
      </w:r>
      <w:r w:rsidR="00A91CBD" w:rsidRPr="005C33AA">
        <w:rPr>
          <w:i/>
          <w:iCs/>
          <w:szCs w:val="24"/>
          <w:lang w:val="fr-CA"/>
        </w:rPr>
        <w:t>—</w:t>
      </w:r>
      <w:r w:rsidR="00A91CBD" w:rsidRPr="005C33AA">
        <w:rPr>
          <w:i/>
          <w:lang w:val="fr-CA"/>
        </w:rPr>
        <w:t xml:space="preserve"> </w:t>
      </w:r>
      <w:r w:rsidR="00891CAD" w:rsidRPr="005C33AA">
        <w:rPr>
          <w:i/>
          <w:lang w:val="fr-CA"/>
        </w:rPr>
        <w:t>Procès dans un délai</w:t>
      </w:r>
      <w:r w:rsidR="00A91CBD" w:rsidRPr="005C33AA">
        <w:rPr>
          <w:i/>
          <w:lang w:val="fr-CA"/>
        </w:rPr>
        <w:t xml:space="preserve"> ra</w:t>
      </w:r>
      <w:r w:rsidR="00891CAD" w:rsidRPr="005C33AA">
        <w:rPr>
          <w:i/>
          <w:lang w:val="fr-CA"/>
        </w:rPr>
        <w:t>i</w:t>
      </w:r>
      <w:r w:rsidR="00A91CBD" w:rsidRPr="005C33AA">
        <w:rPr>
          <w:i/>
          <w:lang w:val="fr-CA"/>
        </w:rPr>
        <w:t>son</w:t>
      </w:r>
      <w:r w:rsidR="00891CAD" w:rsidRPr="005C33AA">
        <w:rPr>
          <w:i/>
          <w:lang w:val="fr-CA"/>
        </w:rPr>
        <w:t>n</w:t>
      </w:r>
      <w:r w:rsidR="00A91CBD" w:rsidRPr="005C33AA">
        <w:rPr>
          <w:i/>
          <w:lang w:val="fr-CA"/>
        </w:rPr>
        <w:t xml:space="preserve">able </w:t>
      </w:r>
      <w:r w:rsidR="00A91CBD" w:rsidRPr="005C33AA">
        <w:rPr>
          <w:i/>
          <w:iCs/>
          <w:szCs w:val="24"/>
          <w:lang w:val="fr-CA"/>
        </w:rPr>
        <w:t>—</w:t>
      </w:r>
      <w:r w:rsidR="00A91CBD" w:rsidRPr="005C33AA">
        <w:rPr>
          <w:i/>
          <w:lang w:val="fr-CA"/>
        </w:rPr>
        <w:t xml:space="preserve"> </w:t>
      </w:r>
      <w:r w:rsidR="00894297" w:rsidRPr="005C33AA">
        <w:rPr>
          <w:i/>
          <w:lang w:val="fr-CA"/>
        </w:rPr>
        <w:t>Écoulement avant le prononcé de l’arrêt Jordan</w:t>
      </w:r>
      <w:r w:rsidR="00894297" w:rsidRPr="005C33AA">
        <w:rPr>
          <w:lang w:val="fr-CA"/>
        </w:rPr>
        <w:t xml:space="preserve"> </w:t>
      </w:r>
      <w:r w:rsidR="00894297" w:rsidRPr="005C33AA">
        <w:rPr>
          <w:i/>
          <w:lang w:val="fr-CA"/>
        </w:rPr>
        <w:t>d’un d</w:t>
      </w:r>
      <w:r w:rsidR="00DB7F36" w:rsidRPr="005C33AA">
        <w:rPr>
          <w:i/>
          <w:lang w:val="fr-CA"/>
        </w:rPr>
        <w:t xml:space="preserve">élai de plus de </w:t>
      </w:r>
      <w:r w:rsidR="00DB7F36" w:rsidRPr="005C33AA">
        <w:rPr>
          <w:i/>
          <w:lang w:val="fr-CA"/>
        </w:rPr>
        <w:lastRenderedPageBreak/>
        <w:t>cinq ans entre le dépôt des accusations et la conclusion anticipée du procès</w:t>
      </w:r>
      <w:r w:rsidR="00894297" w:rsidRPr="005C33AA">
        <w:rPr>
          <w:i/>
          <w:lang w:val="fr-CA"/>
        </w:rPr>
        <w:t xml:space="preserve"> </w:t>
      </w:r>
      <w:r w:rsidR="00A91CBD" w:rsidRPr="005C33AA">
        <w:rPr>
          <w:i/>
          <w:iCs/>
          <w:szCs w:val="24"/>
          <w:lang w:val="fr-CA"/>
        </w:rPr>
        <w:t>—</w:t>
      </w:r>
      <w:r w:rsidR="00A91CBD" w:rsidRPr="005C33AA">
        <w:rPr>
          <w:i/>
          <w:lang w:val="fr-CA"/>
        </w:rPr>
        <w:t xml:space="preserve"> </w:t>
      </w:r>
      <w:r w:rsidR="00B143D7" w:rsidRPr="005C33AA">
        <w:rPr>
          <w:i/>
          <w:lang w:val="fr-CA"/>
        </w:rPr>
        <w:t>Y</w:t>
      </w:r>
      <w:r w:rsidR="00514018">
        <w:rPr>
          <w:i/>
          <w:lang w:val="fr-CA"/>
        </w:rPr>
        <w:t xml:space="preserve"> </w:t>
      </w:r>
      <w:r w:rsidR="00B143D7" w:rsidRPr="005C33AA">
        <w:rPr>
          <w:i/>
          <w:lang w:val="fr-CA"/>
        </w:rPr>
        <w:t>a</w:t>
      </w:r>
      <w:r w:rsidR="00D60C0F">
        <w:rPr>
          <w:i/>
          <w:lang w:val="fr-CA"/>
        </w:rPr>
        <w:noBreakHyphen/>
      </w:r>
      <w:r w:rsidR="00B143D7" w:rsidRPr="005C33AA">
        <w:rPr>
          <w:i/>
          <w:lang w:val="fr-CA"/>
        </w:rPr>
        <w:t>t</w:t>
      </w:r>
      <w:r w:rsidR="00D60C0F">
        <w:rPr>
          <w:i/>
          <w:lang w:val="fr-CA"/>
        </w:rPr>
        <w:noBreakHyphen/>
      </w:r>
      <w:r w:rsidR="00B143D7" w:rsidRPr="005C33AA">
        <w:rPr>
          <w:i/>
          <w:lang w:val="fr-CA"/>
        </w:rPr>
        <w:t xml:space="preserve">il eu atteinte au </w:t>
      </w:r>
      <w:r w:rsidR="007F329C" w:rsidRPr="005C33AA">
        <w:rPr>
          <w:i/>
          <w:lang w:val="fr-CA"/>
        </w:rPr>
        <w:t xml:space="preserve">droit de l’accusé </w:t>
      </w:r>
      <w:r w:rsidR="00B143D7" w:rsidRPr="005C33AA">
        <w:rPr>
          <w:i/>
          <w:lang w:val="fr-CA"/>
        </w:rPr>
        <w:t xml:space="preserve">d’être jugé dans </w:t>
      </w:r>
      <w:r w:rsidR="00343DE5" w:rsidRPr="005C33AA">
        <w:rPr>
          <w:i/>
          <w:lang w:val="fr-CA"/>
        </w:rPr>
        <w:t xml:space="preserve">un délai </w:t>
      </w:r>
      <w:r w:rsidR="00A91CBD" w:rsidRPr="005C33AA">
        <w:rPr>
          <w:i/>
          <w:lang w:val="fr-CA"/>
        </w:rPr>
        <w:t>ra</w:t>
      </w:r>
      <w:r w:rsidR="007F329C" w:rsidRPr="005C33AA">
        <w:rPr>
          <w:i/>
          <w:lang w:val="fr-CA"/>
        </w:rPr>
        <w:t>i</w:t>
      </w:r>
      <w:r w:rsidR="00A91CBD" w:rsidRPr="005C33AA">
        <w:rPr>
          <w:i/>
          <w:lang w:val="fr-CA"/>
        </w:rPr>
        <w:t>son</w:t>
      </w:r>
      <w:r w:rsidR="007F329C" w:rsidRPr="005C33AA">
        <w:rPr>
          <w:i/>
          <w:lang w:val="fr-CA"/>
        </w:rPr>
        <w:t>n</w:t>
      </w:r>
      <w:r w:rsidR="00A91CBD" w:rsidRPr="005C33AA">
        <w:rPr>
          <w:i/>
          <w:lang w:val="fr-CA"/>
        </w:rPr>
        <w:t xml:space="preserve">able </w:t>
      </w:r>
      <w:r w:rsidR="00B143D7" w:rsidRPr="005C33AA">
        <w:rPr>
          <w:i/>
          <w:lang w:val="fr-CA"/>
        </w:rPr>
        <w:t xml:space="preserve">que lui garantit </w:t>
      </w:r>
      <w:r w:rsidR="007F329C" w:rsidRPr="005C33AA">
        <w:rPr>
          <w:i/>
          <w:lang w:val="fr-CA"/>
        </w:rPr>
        <w:t>l’</w:t>
      </w:r>
      <w:r w:rsidR="00514018">
        <w:rPr>
          <w:i/>
          <w:lang w:val="fr-CA"/>
        </w:rPr>
        <w:t>art</w:t>
      </w:r>
      <w:r w:rsidR="00D60C0F">
        <w:rPr>
          <w:i/>
          <w:lang w:val="fr-CA"/>
        </w:rPr>
        <w:t>. </w:t>
      </w:r>
      <w:r w:rsidR="00A91CBD" w:rsidRPr="005C33AA">
        <w:rPr>
          <w:i/>
          <w:lang w:val="fr-CA"/>
        </w:rPr>
        <w:t xml:space="preserve">11b) </w:t>
      </w:r>
      <w:r w:rsidR="007F329C" w:rsidRPr="005C33AA">
        <w:rPr>
          <w:i/>
          <w:lang w:val="fr-CA"/>
        </w:rPr>
        <w:t>de la</w:t>
      </w:r>
      <w:r w:rsidR="00A91CBD" w:rsidRPr="005C33AA">
        <w:rPr>
          <w:i/>
          <w:lang w:val="fr-CA"/>
        </w:rPr>
        <w:t xml:space="preserve"> C</w:t>
      </w:r>
      <w:r w:rsidR="007F329C" w:rsidRPr="005C33AA">
        <w:rPr>
          <w:i/>
          <w:lang w:val="fr-CA"/>
        </w:rPr>
        <w:t>hart</w:t>
      </w:r>
      <w:r w:rsidR="00343DE5" w:rsidRPr="005C33AA">
        <w:rPr>
          <w:i/>
          <w:lang w:val="fr-CA"/>
        </w:rPr>
        <w:t>e</w:t>
      </w:r>
      <w:r w:rsidR="007F329C" w:rsidRPr="005C33AA">
        <w:rPr>
          <w:i/>
          <w:lang w:val="fr-CA"/>
        </w:rPr>
        <w:t xml:space="preserve"> c</w:t>
      </w:r>
      <w:r w:rsidR="00A91CBD" w:rsidRPr="005C33AA">
        <w:rPr>
          <w:i/>
          <w:lang w:val="fr-CA"/>
        </w:rPr>
        <w:t>anadi</w:t>
      </w:r>
      <w:r w:rsidR="007F329C" w:rsidRPr="005C33AA">
        <w:rPr>
          <w:i/>
          <w:lang w:val="fr-CA"/>
        </w:rPr>
        <w:t>e</w:t>
      </w:r>
      <w:r w:rsidR="00A91CBD" w:rsidRPr="005C33AA">
        <w:rPr>
          <w:i/>
          <w:lang w:val="fr-CA"/>
        </w:rPr>
        <w:t>n</w:t>
      </w:r>
      <w:r w:rsidR="007F329C" w:rsidRPr="005C33AA">
        <w:rPr>
          <w:i/>
          <w:lang w:val="fr-CA"/>
        </w:rPr>
        <w:t xml:space="preserve">ne des droits et libertés? </w:t>
      </w:r>
      <w:r w:rsidR="00A91CBD" w:rsidRPr="005C33AA">
        <w:rPr>
          <w:i/>
          <w:iCs/>
          <w:szCs w:val="24"/>
          <w:lang w:val="fr-CA"/>
        </w:rPr>
        <w:t xml:space="preserve">— </w:t>
      </w:r>
      <w:r w:rsidR="007F329C" w:rsidRPr="005C33AA">
        <w:rPr>
          <w:i/>
          <w:iCs/>
          <w:szCs w:val="24"/>
          <w:lang w:val="fr-CA"/>
        </w:rPr>
        <w:t xml:space="preserve">Application du </w:t>
      </w:r>
      <w:r w:rsidR="00405C2E" w:rsidRPr="005C33AA">
        <w:rPr>
          <w:i/>
          <w:iCs/>
          <w:szCs w:val="24"/>
          <w:lang w:val="fr-CA"/>
        </w:rPr>
        <w:t xml:space="preserve">cadre </w:t>
      </w:r>
      <w:r w:rsidR="00C02E06" w:rsidRPr="005C33AA">
        <w:rPr>
          <w:i/>
          <w:iCs/>
          <w:szCs w:val="24"/>
          <w:lang w:val="fr-CA"/>
        </w:rPr>
        <w:t xml:space="preserve">énoncé </w:t>
      </w:r>
      <w:r w:rsidR="007F329C" w:rsidRPr="005C33AA">
        <w:rPr>
          <w:i/>
          <w:iCs/>
          <w:szCs w:val="24"/>
          <w:lang w:val="fr-CA"/>
        </w:rPr>
        <w:t>dans Jordan pour établir s’il y a eu violation de l’</w:t>
      </w:r>
      <w:r w:rsidR="00514018">
        <w:rPr>
          <w:i/>
          <w:iCs/>
          <w:szCs w:val="24"/>
          <w:lang w:val="fr-CA"/>
        </w:rPr>
        <w:t>art</w:t>
      </w:r>
      <w:r w:rsidR="00D60C0F">
        <w:rPr>
          <w:i/>
          <w:iCs/>
          <w:szCs w:val="24"/>
          <w:lang w:val="fr-CA"/>
        </w:rPr>
        <w:t>. </w:t>
      </w:r>
      <w:r w:rsidR="00A91CBD" w:rsidRPr="005C33AA">
        <w:rPr>
          <w:i/>
          <w:lang w:val="fr-CA"/>
        </w:rPr>
        <w:t>11b).</w:t>
      </w:r>
    </w:p>
    <w:p w:rsidR="00A91CBD" w:rsidRPr="005C33AA" w:rsidRDefault="00A91CBD" w:rsidP="00D42258">
      <w:pPr>
        <w:pStyle w:val="SCCNormalDoubleSpacing"/>
        <w:widowControl w:val="0"/>
        <w:spacing w:after="480"/>
        <w:rPr>
          <w:lang w:val="fr-CA"/>
        </w:rPr>
      </w:pPr>
      <w:r w:rsidRPr="005C33AA">
        <w:rPr>
          <w:lang w:val="fr-CA"/>
        </w:rPr>
        <w:tab/>
      </w:r>
      <w:r w:rsidR="00891CAD" w:rsidRPr="005C33AA">
        <w:rPr>
          <w:lang w:val="fr-CA"/>
        </w:rPr>
        <w:t xml:space="preserve">C a été accusé d’infractions liées aux drogues et aux armes </w:t>
      </w:r>
      <w:r w:rsidR="00D60C0F">
        <w:rPr>
          <w:lang w:val="fr-CA"/>
        </w:rPr>
        <w:t>le 12 </w:t>
      </w:r>
      <w:r w:rsidR="00E92E1E" w:rsidRPr="005C33AA">
        <w:rPr>
          <w:lang w:val="fr-CA"/>
        </w:rPr>
        <w:t>janvier</w:t>
      </w:r>
      <w:r w:rsidRPr="005C33AA">
        <w:rPr>
          <w:lang w:val="fr-CA"/>
        </w:rPr>
        <w:t xml:space="preserve"> 2010. </w:t>
      </w:r>
      <w:r w:rsidR="00E92E1E" w:rsidRPr="005C33AA">
        <w:rPr>
          <w:lang w:val="fr-CA"/>
        </w:rPr>
        <w:t>Son procès devait se terminer le</w:t>
      </w:r>
      <w:r w:rsidRPr="005C33AA">
        <w:rPr>
          <w:lang w:val="fr-CA"/>
        </w:rPr>
        <w:t xml:space="preserve"> 30</w:t>
      </w:r>
      <w:r w:rsidR="00D60C0F">
        <w:rPr>
          <w:lang w:val="fr-CA"/>
        </w:rPr>
        <w:t> </w:t>
      </w:r>
      <w:r w:rsidR="00E92E1E" w:rsidRPr="005C33AA">
        <w:rPr>
          <w:lang w:val="fr-CA"/>
        </w:rPr>
        <w:t>janvier</w:t>
      </w:r>
      <w:r w:rsidRPr="005C33AA">
        <w:rPr>
          <w:lang w:val="fr-CA"/>
        </w:rPr>
        <w:t xml:space="preserve"> 2015. </w:t>
      </w:r>
      <w:r w:rsidR="00E92E1E" w:rsidRPr="005C33AA">
        <w:rPr>
          <w:lang w:val="fr-CA"/>
        </w:rPr>
        <w:t>Avant le début de son procès,</w:t>
      </w:r>
      <w:r w:rsidRPr="005C33AA">
        <w:rPr>
          <w:lang w:val="fr-CA"/>
        </w:rPr>
        <w:t xml:space="preserve"> C </w:t>
      </w:r>
      <w:r w:rsidR="00E92E1E" w:rsidRPr="005C33AA">
        <w:rPr>
          <w:lang w:val="fr-CA"/>
        </w:rPr>
        <w:t xml:space="preserve">a présenté une demande </w:t>
      </w:r>
      <w:r w:rsidR="00963938" w:rsidRPr="005C33AA">
        <w:rPr>
          <w:lang w:val="fr-CA"/>
        </w:rPr>
        <w:t>fondée sur</w:t>
      </w:r>
      <w:r w:rsidR="00E92E1E" w:rsidRPr="005C33AA">
        <w:rPr>
          <w:lang w:val="fr-CA"/>
        </w:rPr>
        <w:t xml:space="preserve"> l’</w:t>
      </w:r>
      <w:r w:rsidR="00D60C0F">
        <w:rPr>
          <w:lang w:val="fr-CA"/>
        </w:rPr>
        <w:t>al. </w:t>
      </w:r>
      <w:r w:rsidR="00E92E1E" w:rsidRPr="005C33AA">
        <w:rPr>
          <w:lang w:val="fr-CA"/>
        </w:rPr>
        <w:t>11</w:t>
      </w:r>
      <w:r w:rsidRPr="005C33AA">
        <w:rPr>
          <w:i/>
          <w:lang w:val="fr-CA"/>
        </w:rPr>
        <w:t>b</w:t>
      </w:r>
      <w:r w:rsidRPr="005C33AA">
        <w:rPr>
          <w:lang w:val="fr-CA"/>
        </w:rPr>
        <w:t xml:space="preserve">) </w:t>
      </w:r>
      <w:r w:rsidR="00E92E1E" w:rsidRPr="005C33AA">
        <w:rPr>
          <w:lang w:val="fr-CA"/>
        </w:rPr>
        <w:t>de la</w:t>
      </w:r>
      <w:r w:rsidRPr="005C33AA">
        <w:rPr>
          <w:lang w:val="fr-CA"/>
        </w:rPr>
        <w:t xml:space="preserve"> </w:t>
      </w:r>
      <w:r w:rsidRPr="005C33AA">
        <w:rPr>
          <w:i/>
          <w:lang w:val="fr-CA"/>
        </w:rPr>
        <w:t>Chart</w:t>
      </w:r>
      <w:r w:rsidR="00E92E1E" w:rsidRPr="005C33AA">
        <w:rPr>
          <w:i/>
          <w:lang w:val="fr-CA"/>
        </w:rPr>
        <w:t>e</w:t>
      </w:r>
      <w:r w:rsidR="00E92E1E" w:rsidRPr="005C33AA">
        <w:rPr>
          <w:lang w:val="fr-CA"/>
        </w:rPr>
        <w:t xml:space="preserve"> en vue d’obtenir l’arrêt des procédures en raison du délai</w:t>
      </w:r>
      <w:r w:rsidR="00F9736F" w:rsidRPr="005C33AA">
        <w:rPr>
          <w:lang w:val="fr-CA"/>
        </w:rPr>
        <w:t xml:space="preserve"> écoulé</w:t>
      </w:r>
      <w:r w:rsidRPr="005C33AA">
        <w:rPr>
          <w:lang w:val="fr-CA"/>
        </w:rPr>
        <w:t xml:space="preserve">. </w:t>
      </w:r>
      <w:r w:rsidR="00E92E1E" w:rsidRPr="005C33AA">
        <w:rPr>
          <w:lang w:val="fr-CA"/>
        </w:rPr>
        <w:t xml:space="preserve">Parce que </w:t>
      </w:r>
      <w:r w:rsidR="00B143D7" w:rsidRPr="005C33AA">
        <w:rPr>
          <w:lang w:val="fr-CA"/>
        </w:rPr>
        <w:t>l</w:t>
      </w:r>
      <w:r w:rsidR="00E92E1E" w:rsidRPr="005C33AA">
        <w:rPr>
          <w:lang w:val="fr-CA"/>
        </w:rPr>
        <w:t xml:space="preserve">a demande </w:t>
      </w:r>
      <w:r w:rsidR="00B143D7" w:rsidRPr="005C33AA">
        <w:rPr>
          <w:lang w:val="fr-CA"/>
        </w:rPr>
        <w:t xml:space="preserve">de C </w:t>
      </w:r>
      <w:r w:rsidR="00E92E1E" w:rsidRPr="005C33AA">
        <w:rPr>
          <w:lang w:val="fr-CA"/>
        </w:rPr>
        <w:t xml:space="preserve">a été présentée </w:t>
      </w:r>
      <w:r w:rsidR="00F9736F" w:rsidRPr="005C33AA">
        <w:rPr>
          <w:lang w:val="fr-CA"/>
        </w:rPr>
        <w:t>antérieurement à</w:t>
      </w:r>
      <w:r w:rsidR="00E92E1E" w:rsidRPr="005C33AA">
        <w:rPr>
          <w:lang w:val="fr-CA"/>
        </w:rPr>
        <w:t xml:space="preserve"> l’arrêt </w:t>
      </w:r>
      <w:r w:rsidR="00E92E1E" w:rsidRPr="005C33AA">
        <w:rPr>
          <w:i/>
          <w:lang w:val="fr-CA"/>
        </w:rPr>
        <w:t>R. c. Jordan</w:t>
      </w:r>
      <w:r w:rsidR="00E92E1E" w:rsidRPr="005C33AA">
        <w:rPr>
          <w:lang w:val="fr-CA"/>
        </w:rPr>
        <w:t>, 2016 CSC 27, [2016] 1 R.</w:t>
      </w:r>
      <w:r w:rsidR="00963938" w:rsidRPr="005C33AA">
        <w:rPr>
          <w:lang w:val="fr-CA"/>
        </w:rPr>
        <w:t>C.S.</w:t>
      </w:r>
      <w:r w:rsidR="00E92E1E" w:rsidRPr="005C33AA">
        <w:rPr>
          <w:lang w:val="fr-CA"/>
        </w:rPr>
        <w:t xml:space="preserve"> 631, le juge de première instance a appliqué l’ancien cadre d’analyse énoncé dans </w:t>
      </w:r>
      <w:r w:rsidR="00E92E1E" w:rsidRPr="005C33AA">
        <w:rPr>
          <w:i/>
          <w:lang w:val="fr-CA"/>
        </w:rPr>
        <w:t>R. c</w:t>
      </w:r>
      <w:r w:rsidRPr="005C33AA">
        <w:rPr>
          <w:i/>
          <w:lang w:val="fr-CA"/>
        </w:rPr>
        <w:t>. Morin</w:t>
      </w:r>
      <w:r w:rsidRPr="005C33AA">
        <w:rPr>
          <w:lang w:val="fr-CA"/>
        </w:rPr>
        <w:t xml:space="preserve">, [1992] 1 </w:t>
      </w:r>
      <w:r w:rsidR="00E92E1E" w:rsidRPr="005C33AA">
        <w:rPr>
          <w:lang w:val="fr-CA"/>
        </w:rPr>
        <w:t>R.C.</w:t>
      </w:r>
      <w:r w:rsidRPr="005C33AA">
        <w:rPr>
          <w:lang w:val="fr-CA"/>
        </w:rPr>
        <w:t xml:space="preserve">S. 771. </w:t>
      </w:r>
      <w:r w:rsidR="00E92E1E" w:rsidRPr="005C33AA">
        <w:rPr>
          <w:lang w:val="fr-CA"/>
        </w:rPr>
        <w:t xml:space="preserve">Il a </w:t>
      </w:r>
      <w:r w:rsidR="00F9736F" w:rsidRPr="005C33AA">
        <w:rPr>
          <w:lang w:val="fr-CA"/>
        </w:rPr>
        <w:t xml:space="preserve">accueilli </w:t>
      </w:r>
      <w:r w:rsidR="00E92E1E" w:rsidRPr="005C33AA">
        <w:rPr>
          <w:lang w:val="fr-CA"/>
        </w:rPr>
        <w:t>la demande</w:t>
      </w:r>
      <w:r w:rsidRPr="005C33AA">
        <w:rPr>
          <w:lang w:val="fr-CA"/>
        </w:rPr>
        <w:t xml:space="preserve"> </w:t>
      </w:r>
      <w:r w:rsidR="00E92E1E" w:rsidRPr="005C33AA">
        <w:rPr>
          <w:lang w:val="fr-CA"/>
        </w:rPr>
        <w:t>et ordonné l’arrêt des procédures. La</w:t>
      </w:r>
      <w:r w:rsidRPr="005C33AA">
        <w:rPr>
          <w:lang w:val="fr-CA"/>
        </w:rPr>
        <w:t xml:space="preserve"> majorit</w:t>
      </w:r>
      <w:r w:rsidR="00E92E1E" w:rsidRPr="005C33AA">
        <w:rPr>
          <w:lang w:val="fr-CA"/>
        </w:rPr>
        <w:t>é de la</w:t>
      </w:r>
      <w:r w:rsidRPr="005C33AA">
        <w:rPr>
          <w:lang w:val="fr-CA"/>
        </w:rPr>
        <w:t xml:space="preserve"> Cour </w:t>
      </w:r>
      <w:r w:rsidR="00E92E1E" w:rsidRPr="005C33AA">
        <w:rPr>
          <w:lang w:val="fr-CA"/>
        </w:rPr>
        <w:t>d’a</w:t>
      </w:r>
      <w:r w:rsidRPr="005C33AA">
        <w:rPr>
          <w:lang w:val="fr-CA"/>
        </w:rPr>
        <w:t>ppel</w:t>
      </w:r>
      <w:r w:rsidR="00E92E1E" w:rsidRPr="005C33AA">
        <w:rPr>
          <w:lang w:val="fr-CA"/>
        </w:rPr>
        <w:t xml:space="preserve"> a</w:t>
      </w:r>
      <w:r w:rsidR="00C959F8" w:rsidRPr="005C33AA">
        <w:rPr>
          <w:lang w:val="fr-CA"/>
        </w:rPr>
        <w:t xml:space="preserve"> appliqué le cadre d’analyse établi dans</w:t>
      </w:r>
      <w:r w:rsidRPr="005C33AA">
        <w:rPr>
          <w:lang w:val="fr-CA"/>
        </w:rPr>
        <w:t xml:space="preserve"> </w:t>
      </w:r>
      <w:r w:rsidRPr="005C33AA">
        <w:rPr>
          <w:i/>
          <w:lang w:val="fr-CA"/>
        </w:rPr>
        <w:t>Jordan</w:t>
      </w:r>
      <w:r w:rsidRPr="005C33AA">
        <w:rPr>
          <w:lang w:val="fr-CA"/>
        </w:rPr>
        <w:t xml:space="preserve"> </w:t>
      </w:r>
      <w:r w:rsidR="00C959F8" w:rsidRPr="005C33AA">
        <w:rPr>
          <w:lang w:val="fr-CA"/>
        </w:rPr>
        <w:t>et a accueilli l’</w:t>
      </w:r>
      <w:r w:rsidRPr="005C33AA">
        <w:rPr>
          <w:lang w:val="fr-CA"/>
        </w:rPr>
        <w:t xml:space="preserve">appel, </w:t>
      </w:r>
      <w:r w:rsidR="00C959F8" w:rsidRPr="005C33AA">
        <w:rPr>
          <w:lang w:val="fr-CA"/>
        </w:rPr>
        <w:t>annulé l’arrêt des procédures et renvoyé l’affaire pour qu’elle soit jugée</w:t>
      </w:r>
      <w:r w:rsidRPr="005C33AA">
        <w:rPr>
          <w:lang w:val="fr-CA"/>
        </w:rPr>
        <w:t>.</w:t>
      </w:r>
    </w:p>
    <w:p w:rsidR="00A91CBD" w:rsidRPr="005C33AA" w:rsidRDefault="00A91CBD" w:rsidP="00D42258">
      <w:pPr>
        <w:pStyle w:val="SCCNormalDoubleSpacing"/>
        <w:widowControl w:val="0"/>
        <w:spacing w:after="480"/>
        <w:rPr>
          <w:lang w:val="fr-CA"/>
        </w:rPr>
      </w:pPr>
      <w:r w:rsidRPr="005C33AA">
        <w:rPr>
          <w:lang w:val="fr-CA"/>
        </w:rPr>
        <w:tab/>
      </w:r>
      <w:r w:rsidR="00C959F8" w:rsidRPr="005C33AA">
        <w:rPr>
          <w:rStyle w:val="QuoteChar"/>
          <w:color w:val="auto"/>
          <w:lang w:val="fr-CA"/>
        </w:rPr>
        <w:t>Arrêt</w:t>
      </w:r>
      <w:r w:rsidR="00D60C0F">
        <w:rPr>
          <w:rStyle w:val="QuoteChar"/>
          <w:color w:val="auto"/>
          <w:lang w:val="fr-CA"/>
        </w:rPr>
        <w:t> </w:t>
      </w:r>
      <w:r w:rsidR="00D60C0F" w:rsidRPr="00B54B2D">
        <w:rPr>
          <w:rStyle w:val="QuoteChar"/>
          <w:i w:val="0"/>
          <w:color w:val="auto"/>
          <w:lang w:val="fr-CA"/>
        </w:rPr>
        <w:t>:</w:t>
      </w:r>
      <w:r w:rsidRPr="005C33AA">
        <w:rPr>
          <w:lang w:val="fr-CA"/>
        </w:rPr>
        <w:t xml:space="preserve"> </w:t>
      </w:r>
      <w:r w:rsidR="00C959F8" w:rsidRPr="005C33AA">
        <w:rPr>
          <w:lang w:val="fr-CA"/>
        </w:rPr>
        <w:t>Le pourvoi</w:t>
      </w:r>
      <w:r w:rsidRPr="005C33AA">
        <w:rPr>
          <w:lang w:val="fr-CA"/>
        </w:rPr>
        <w:t xml:space="preserve"> </w:t>
      </w:r>
      <w:r w:rsidR="00C959F8" w:rsidRPr="005C33AA">
        <w:rPr>
          <w:lang w:val="fr-CA"/>
        </w:rPr>
        <w:t>est accueilli et l’arrêt</w:t>
      </w:r>
      <w:r w:rsidRPr="005C33AA">
        <w:rPr>
          <w:lang w:val="fr-CA"/>
        </w:rPr>
        <w:t xml:space="preserve"> </w:t>
      </w:r>
      <w:r w:rsidR="00C959F8" w:rsidRPr="005C33AA">
        <w:rPr>
          <w:lang w:val="fr-CA"/>
        </w:rPr>
        <w:t>des procédures est rétabli</w:t>
      </w:r>
      <w:r w:rsidRPr="005C33AA">
        <w:rPr>
          <w:lang w:val="fr-CA"/>
        </w:rPr>
        <w:t>.</w:t>
      </w:r>
    </w:p>
    <w:p w:rsidR="00A91CBD" w:rsidRPr="005C33AA" w:rsidRDefault="00A91CBD" w:rsidP="00D42258">
      <w:pPr>
        <w:pStyle w:val="SCCNormalDoubleSpacing"/>
        <w:widowControl w:val="0"/>
        <w:spacing w:after="480"/>
        <w:rPr>
          <w:lang w:val="fr-CA"/>
        </w:rPr>
      </w:pPr>
      <w:r w:rsidRPr="005C33AA">
        <w:rPr>
          <w:lang w:val="fr-CA"/>
        </w:rPr>
        <w:tab/>
      </w:r>
      <w:r w:rsidR="00F9736F" w:rsidRPr="005C33AA">
        <w:rPr>
          <w:lang w:val="fr-CA"/>
        </w:rPr>
        <w:t>E</w:t>
      </w:r>
      <w:r w:rsidR="00C959F8" w:rsidRPr="005C33AA">
        <w:rPr>
          <w:lang w:val="fr-CA"/>
        </w:rPr>
        <w:t>n l’espèce</w:t>
      </w:r>
      <w:r w:rsidR="00F9736F" w:rsidRPr="005C33AA">
        <w:rPr>
          <w:lang w:val="fr-CA"/>
        </w:rPr>
        <w:t>,</w:t>
      </w:r>
      <w:r w:rsidR="00C959F8" w:rsidRPr="005C33AA">
        <w:rPr>
          <w:lang w:val="fr-CA"/>
        </w:rPr>
        <w:t xml:space="preserve"> </w:t>
      </w:r>
      <w:r w:rsidR="00F9736F" w:rsidRPr="005C33AA">
        <w:rPr>
          <w:lang w:val="fr-CA"/>
        </w:rPr>
        <w:t xml:space="preserve">le délai </w:t>
      </w:r>
      <w:r w:rsidR="00C959F8" w:rsidRPr="005C33AA">
        <w:rPr>
          <w:lang w:val="fr-CA"/>
        </w:rPr>
        <w:t xml:space="preserve">était déraisonnable et le droit </w:t>
      </w:r>
      <w:r w:rsidR="00F9736F" w:rsidRPr="005C33AA">
        <w:rPr>
          <w:lang w:val="fr-CA"/>
        </w:rPr>
        <w:t xml:space="preserve">garanti à </w:t>
      </w:r>
      <w:r w:rsidRPr="005C33AA">
        <w:rPr>
          <w:lang w:val="fr-CA"/>
        </w:rPr>
        <w:t>C</w:t>
      </w:r>
      <w:r w:rsidR="00C959F8" w:rsidRPr="005C33AA">
        <w:rPr>
          <w:lang w:val="fr-CA"/>
        </w:rPr>
        <w:t xml:space="preserve"> par l’</w:t>
      </w:r>
      <w:r w:rsidR="00D60C0F">
        <w:rPr>
          <w:lang w:val="fr-CA"/>
        </w:rPr>
        <w:t>al. </w:t>
      </w:r>
      <w:r w:rsidR="00C959F8" w:rsidRPr="005C33AA">
        <w:rPr>
          <w:lang w:val="fr-CA"/>
        </w:rPr>
        <w:t>11</w:t>
      </w:r>
      <w:r w:rsidRPr="005C33AA">
        <w:rPr>
          <w:i/>
          <w:lang w:val="fr-CA"/>
        </w:rPr>
        <w:t>b</w:t>
      </w:r>
      <w:r w:rsidRPr="005C33AA">
        <w:rPr>
          <w:lang w:val="fr-CA"/>
        </w:rPr>
        <w:t xml:space="preserve">) </w:t>
      </w:r>
      <w:r w:rsidR="00C959F8" w:rsidRPr="005C33AA">
        <w:rPr>
          <w:lang w:val="fr-CA"/>
        </w:rPr>
        <w:t>de la</w:t>
      </w:r>
      <w:r w:rsidRPr="005C33AA">
        <w:rPr>
          <w:lang w:val="fr-CA"/>
        </w:rPr>
        <w:t xml:space="preserve"> </w:t>
      </w:r>
      <w:r w:rsidRPr="005C33AA">
        <w:rPr>
          <w:i/>
          <w:lang w:val="fr-CA"/>
        </w:rPr>
        <w:t>Charte</w:t>
      </w:r>
      <w:r w:rsidRPr="005C33AA">
        <w:rPr>
          <w:lang w:val="fr-CA"/>
        </w:rPr>
        <w:t xml:space="preserve"> </w:t>
      </w:r>
      <w:r w:rsidR="00C959F8" w:rsidRPr="005C33AA">
        <w:rPr>
          <w:lang w:val="fr-CA"/>
        </w:rPr>
        <w:t>a</w:t>
      </w:r>
      <w:r w:rsidR="00B143D7" w:rsidRPr="005C33AA">
        <w:rPr>
          <w:lang w:val="fr-CA"/>
        </w:rPr>
        <w:t xml:space="preserve"> en conséquence </w:t>
      </w:r>
      <w:r w:rsidR="00C959F8" w:rsidRPr="005C33AA">
        <w:rPr>
          <w:lang w:val="fr-CA"/>
        </w:rPr>
        <w:t>été violé</w:t>
      </w:r>
      <w:r w:rsidRPr="005C33AA">
        <w:rPr>
          <w:lang w:val="fr-CA"/>
        </w:rPr>
        <w:t xml:space="preserve">. </w:t>
      </w:r>
      <w:r w:rsidR="00C959F8" w:rsidRPr="005C33AA">
        <w:rPr>
          <w:lang w:val="fr-CA"/>
        </w:rPr>
        <w:t xml:space="preserve">La Cour d’appel a mal appliqué l’arrêt </w:t>
      </w:r>
      <w:r w:rsidR="00C959F8" w:rsidRPr="005C33AA">
        <w:rPr>
          <w:i/>
          <w:lang w:val="fr-CA"/>
        </w:rPr>
        <w:t>Jordan</w:t>
      </w:r>
      <w:r w:rsidR="00C959F8" w:rsidRPr="005C33AA">
        <w:rPr>
          <w:lang w:val="fr-CA"/>
        </w:rPr>
        <w:t>.</w:t>
      </w:r>
      <w:r w:rsidRPr="005C33AA">
        <w:rPr>
          <w:lang w:val="fr-CA"/>
        </w:rPr>
        <w:t xml:space="preserve"> </w:t>
      </w:r>
      <w:r w:rsidR="00C959F8" w:rsidRPr="005C33AA">
        <w:rPr>
          <w:lang w:val="fr-CA"/>
        </w:rPr>
        <w:t>Entre le moment où C a été accusé et la date à laquelle son procès de cinq jours devait commencer, cinq années complètes se sont écoulées. Tant le ministère public que la défense et le système ont contribué à ce délai.</w:t>
      </w:r>
      <w:r w:rsidRPr="005C33AA">
        <w:rPr>
          <w:lang w:val="fr-CA"/>
        </w:rPr>
        <w:t xml:space="preserve"> </w:t>
      </w:r>
      <w:r w:rsidR="00C959F8" w:rsidRPr="005C33AA">
        <w:rPr>
          <w:lang w:val="fr-CA"/>
        </w:rPr>
        <w:t>Selon le cadre d’analyse établi dans</w:t>
      </w:r>
      <w:r w:rsidRPr="005C33AA">
        <w:rPr>
          <w:lang w:val="fr-CA"/>
        </w:rPr>
        <w:t xml:space="preserve"> </w:t>
      </w:r>
      <w:r w:rsidR="00F9736F" w:rsidRPr="005C33AA">
        <w:rPr>
          <w:lang w:val="fr-CA"/>
        </w:rPr>
        <w:t xml:space="preserve">l’arrêt </w:t>
      </w:r>
      <w:r w:rsidRPr="005C33AA">
        <w:rPr>
          <w:i/>
          <w:lang w:val="fr-CA"/>
        </w:rPr>
        <w:t>Jordan</w:t>
      </w:r>
      <w:r w:rsidR="00C959F8" w:rsidRPr="005C33AA">
        <w:rPr>
          <w:lang w:val="fr-CA"/>
        </w:rPr>
        <w:t xml:space="preserve">, </w:t>
      </w:r>
      <w:r w:rsidR="00E14E0C" w:rsidRPr="005C33AA">
        <w:rPr>
          <w:lang w:val="fr-CA"/>
        </w:rPr>
        <w:t xml:space="preserve">chaque acteur au sein du système judiciaire a la responsabilité de s’assurer que les procédures criminelles se déroulent de manière compatible avec le </w:t>
      </w:r>
      <w:r w:rsidR="00E14E0C" w:rsidRPr="005C33AA">
        <w:rPr>
          <w:lang w:val="fr-CA"/>
        </w:rPr>
        <w:lastRenderedPageBreak/>
        <w:t>droit de l’inculpé d’être jugé dans un délai raisonnable</w:t>
      </w:r>
      <w:r w:rsidRPr="005C33AA">
        <w:rPr>
          <w:lang w:val="fr-CA"/>
        </w:rPr>
        <w:t>.</w:t>
      </w:r>
      <w:r w:rsidR="00E14E0C" w:rsidRPr="005C33AA">
        <w:rPr>
          <w:lang w:val="fr-FR"/>
        </w:rPr>
        <w:t xml:space="preserve"> </w:t>
      </w:r>
      <w:r w:rsidR="00F9736F" w:rsidRPr="005C33AA">
        <w:rPr>
          <w:lang w:val="fr-FR"/>
        </w:rPr>
        <w:t>C’est c</w:t>
      </w:r>
      <w:r w:rsidR="00E14E0C" w:rsidRPr="005C33AA">
        <w:rPr>
          <w:lang w:val="fr-FR"/>
        </w:rPr>
        <w:t>e</w:t>
      </w:r>
      <w:r w:rsidR="00E14E0C" w:rsidRPr="005C33AA">
        <w:rPr>
          <w:lang w:val="fr-CA"/>
        </w:rPr>
        <w:t xml:space="preserve"> cadre </w:t>
      </w:r>
      <w:r w:rsidR="00F9736F" w:rsidRPr="005C33AA">
        <w:rPr>
          <w:lang w:val="fr-CA"/>
        </w:rPr>
        <w:t xml:space="preserve">qui </w:t>
      </w:r>
      <w:r w:rsidR="00E14E0C" w:rsidRPr="005C33AA">
        <w:rPr>
          <w:lang w:val="fr-CA"/>
        </w:rPr>
        <w:t>régit dorénavant l’analyse requise pour l’application de l’</w:t>
      </w:r>
      <w:r w:rsidR="00D60C0F">
        <w:rPr>
          <w:lang w:val="fr-CA"/>
        </w:rPr>
        <w:t>al. </w:t>
      </w:r>
      <w:r w:rsidR="00E14E0C" w:rsidRPr="005C33AA">
        <w:rPr>
          <w:lang w:val="fr-CA"/>
        </w:rPr>
        <w:t>11</w:t>
      </w:r>
      <w:r w:rsidR="00E14E0C" w:rsidRPr="005C33AA">
        <w:rPr>
          <w:i/>
          <w:lang w:val="fr-CA"/>
        </w:rPr>
        <w:t>b</w:t>
      </w:r>
      <w:r w:rsidR="00E14E0C" w:rsidRPr="005C33AA">
        <w:rPr>
          <w:lang w:val="fr-CA"/>
        </w:rPr>
        <w:t>) et</w:t>
      </w:r>
      <w:r w:rsidRPr="005C33AA">
        <w:rPr>
          <w:lang w:val="fr-CA"/>
        </w:rPr>
        <w:t xml:space="preserve">, </w:t>
      </w:r>
      <w:r w:rsidR="00E14E0C" w:rsidRPr="005C33AA">
        <w:rPr>
          <w:lang w:val="fr-FR"/>
        </w:rPr>
        <w:t xml:space="preserve">à l’instar </w:t>
      </w:r>
      <w:r w:rsidR="00F9736F" w:rsidRPr="005C33AA">
        <w:rPr>
          <w:lang w:val="fr-FR"/>
        </w:rPr>
        <w:t xml:space="preserve">des prescriptions </w:t>
      </w:r>
      <w:r w:rsidR="00E14E0C" w:rsidRPr="005C33AA">
        <w:rPr>
          <w:lang w:val="fr-FR"/>
        </w:rPr>
        <w:t xml:space="preserve">de tout autre précédent de </w:t>
      </w:r>
      <w:r w:rsidR="00963938" w:rsidRPr="005C33AA">
        <w:rPr>
          <w:lang w:val="fr-FR"/>
        </w:rPr>
        <w:t>la</w:t>
      </w:r>
      <w:r w:rsidR="00E14E0C" w:rsidRPr="005C33AA">
        <w:rPr>
          <w:lang w:val="fr-FR"/>
        </w:rPr>
        <w:t xml:space="preserve"> Cour, </w:t>
      </w:r>
      <w:r w:rsidR="00F9736F" w:rsidRPr="005C33AA">
        <w:rPr>
          <w:lang w:val="fr-FR"/>
        </w:rPr>
        <w:t xml:space="preserve">il </w:t>
      </w:r>
      <w:r w:rsidR="00E14E0C" w:rsidRPr="005C33AA">
        <w:rPr>
          <w:lang w:val="fr-FR"/>
        </w:rPr>
        <w:t>doit être suivi et il ne saurait être infirmé ou écarté à la légère</w:t>
      </w:r>
      <w:r w:rsidRPr="005C33AA">
        <w:rPr>
          <w:lang w:val="fr-CA"/>
        </w:rPr>
        <w:t xml:space="preserve">. </w:t>
      </w:r>
      <w:r w:rsidR="00E14E0C" w:rsidRPr="005C33AA">
        <w:rPr>
          <w:lang w:val="fr-CA"/>
        </w:rPr>
        <w:t>Correctement appliqué, ce cadre accorde déjà suffisamment de souplesse, en plus de prévoir la période de transition requise pour que le système de justice criminelle puisse s’adapter</w:t>
      </w:r>
      <w:r w:rsidRPr="005C33AA">
        <w:rPr>
          <w:lang w:val="fr-CA"/>
        </w:rPr>
        <w:t xml:space="preserve">. </w:t>
      </w:r>
    </w:p>
    <w:p w:rsidR="00A91CBD" w:rsidRPr="005C33AA" w:rsidRDefault="00A91CBD" w:rsidP="00D42258">
      <w:pPr>
        <w:pStyle w:val="SCCNormalDoubleSpacing"/>
        <w:widowControl w:val="0"/>
        <w:spacing w:after="480"/>
        <w:rPr>
          <w:lang w:val="fr-CA"/>
        </w:rPr>
      </w:pPr>
      <w:r w:rsidRPr="005C33AA">
        <w:rPr>
          <w:lang w:val="fr-CA"/>
        </w:rPr>
        <w:tab/>
      </w:r>
      <w:r w:rsidR="006965BA" w:rsidRPr="005C33AA">
        <w:rPr>
          <w:lang w:val="fr-CA"/>
        </w:rPr>
        <w:t xml:space="preserve">Une fois calculé </w:t>
      </w:r>
      <w:r w:rsidR="00F9736F" w:rsidRPr="005C33AA">
        <w:rPr>
          <w:lang w:val="fr-CA"/>
        </w:rPr>
        <w:t xml:space="preserve">le délai total </w:t>
      </w:r>
      <w:r w:rsidR="006965BA" w:rsidRPr="005C33AA">
        <w:rPr>
          <w:lang w:val="fr-CA"/>
        </w:rPr>
        <w:t xml:space="preserve">entre le dépôt des accusations et la conclusion réelle ou anticipée du procès selon le cadre établi dans </w:t>
      </w:r>
      <w:r w:rsidR="006965BA" w:rsidRPr="005C33AA">
        <w:rPr>
          <w:i/>
          <w:lang w:val="fr-CA"/>
        </w:rPr>
        <w:t>Jordan</w:t>
      </w:r>
      <w:r w:rsidR="006965BA" w:rsidRPr="005C33AA">
        <w:rPr>
          <w:lang w:val="fr-CA"/>
        </w:rPr>
        <w:t>, il faut en soustraire le délai imputable à la défense. Le délai imputable à la défense comporte deux volets</w:t>
      </w:r>
      <w:r w:rsidR="00D60C0F">
        <w:rPr>
          <w:lang w:val="fr-CA"/>
        </w:rPr>
        <w:t> :</w:t>
      </w:r>
      <w:r w:rsidR="006965BA" w:rsidRPr="005C33AA">
        <w:rPr>
          <w:lang w:val="fr-CA"/>
        </w:rPr>
        <w:t xml:space="preserve"> le délai que la défense renonce à invoquer et</w:t>
      </w:r>
      <w:r w:rsidR="00F9736F" w:rsidRPr="005C33AA">
        <w:rPr>
          <w:lang w:val="fr-CA"/>
        </w:rPr>
        <w:t xml:space="preserve"> </w:t>
      </w:r>
      <w:r w:rsidR="006965BA" w:rsidRPr="005C33AA">
        <w:rPr>
          <w:lang w:val="fr-CA"/>
        </w:rPr>
        <w:t>le délai qui résulte de la conduite de cette dernière.</w:t>
      </w:r>
      <w:r w:rsidR="00F9736F" w:rsidRPr="005C33AA">
        <w:rPr>
          <w:lang w:val="fr-CA"/>
        </w:rPr>
        <w:t xml:space="preserve"> </w:t>
      </w:r>
      <w:r w:rsidR="006965BA" w:rsidRPr="005C33AA">
        <w:rPr>
          <w:lang w:val="fr-CA"/>
        </w:rPr>
        <w:t>Le seul délai imputable à la défense qui peut être déduit en vertu du deuxième volet est un délai qui est causé uniquement ou directement par l’accusé et</w:t>
      </w:r>
      <w:r w:rsidR="00F9736F" w:rsidRPr="005C33AA">
        <w:rPr>
          <w:lang w:val="fr-CA"/>
        </w:rPr>
        <w:t xml:space="preserve"> </w:t>
      </w:r>
      <w:r w:rsidR="006965BA" w:rsidRPr="005C33AA">
        <w:rPr>
          <w:lang w:val="fr-CA"/>
        </w:rPr>
        <w:t xml:space="preserve">découle d’une </w:t>
      </w:r>
      <w:r w:rsidR="00F9736F" w:rsidRPr="005C33AA">
        <w:rPr>
          <w:lang w:val="fr-CA"/>
        </w:rPr>
        <w:t xml:space="preserve">action </w:t>
      </w:r>
      <w:r w:rsidR="006965BA" w:rsidRPr="005C33AA">
        <w:rPr>
          <w:lang w:val="fr-CA"/>
        </w:rPr>
        <w:t xml:space="preserve">prise illégitimement par la défense dans la mesure où elle ne vise pas à répondre aux accusations. Dans </w:t>
      </w:r>
      <w:r w:rsidR="00F9736F" w:rsidRPr="005C33AA">
        <w:rPr>
          <w:lang w:val="fr-CA"/>
        </w:rPr>
        <w:t>c</w:t>
      </w:r>
      <w:r w:rsidR="006965BA" w:rsidRPr="005C33AA">
        <w:rPr>
          <w:lang w:val="fr-CA"/>
        </w:rPr>
        <w:t>e</w:t>
      </w:r>
      <w:r w:rsidR="00963938" w:rsidRPr="005C33AA">
        <w:rPr>
          <w:lang w:val="fr-CA"/>
        </w:rPr>
        <w:t xml:space="preserve"> </w:t>
      </w:r>
      <w:r w:rsidR="006965BA" w:rsidRPr="005C33AA">
        <w:rPr>
          <w:lang w:val="fr-CA"/>
        </w:rPr>
        <w:t xml:space="preserve">contexte, l’illégitimité d’une conduite n’équivaut pas nécessairement à une faute professionnelle ou éthique, mais tire plutôt son sens du changement de culture exigé dans </w:t>
      </w:r>
      <w:r w:rsidR="006965BA" w:rsidRPr="005C33AA">
        <w:rPr>
          <w:i/>
          <w:lang w:val="fr-CA"/>
        </w:rPr>
        <w:t>Jordan</w:t>
      </w:r>
      <w:r w:rsidR="006965BA" w:rsidRPr="005C33AA">
        <w:rPr>
          <w:lang w:val="fr-CA"/>
        </w:rPr>
        <w:t xml:space="preserve">. </w:t>
      </w:r>
      <w:r w:rsidR="000A5460" w:rsidRPr="005C33AA">
        <w:rPr>
          <w:lang w:val="fr-CA"/>
        </w:rPr>
        <w:t xml:space="preserve">La détermination de la légitimité de la conduite de la défense est une décision </w:t>
      </w:r>
      <w:r w:rsidR="00F9736F" w:rsidRPr="005C33AA">
        <w:rPr>
          <w:lang w:val="fr-CA"/>
        </w:rPr>
        <w:t xml:space="preserve">qui </w:t>
      </w:r>
      <w:r w:rsidR="000A5460" w:rsidRPr="005C33AA">
        <w:rPr>
          <w:lang w:val="fr-CA"/>
        </w:rPr>
        <w:t>présent</w:t>
      </w:r>
      <w:r w:rsidR="00F9736F" w:rsidRPr="005C33AA">
        <w:rPr>
          <w:lang w:val="fr-CA"/>
        </w:rPr>
        <w:t xml:space="preserve">e </w:t>
      </w:r>
      <w:r w:rsidR="000A5460" w:rsidRPr="005C33AA">
        <w:rPr>
          <w:lang w:val="fr-CA"/>
        </w:rPr>
        <w:t>un caractère discrétionnaire élevé</w:t>
      </w:r>
      <w:r w:rsidR="00F9736F" w:rsidRPr="005C33AA">
        <w:rPr>
          <w:lang w:val="fr-CA"/>
        </w:rPr>
        <w:t xml:space="preserve"> et</w:t>
      </w:r>
      <w:r w:rsidR="000A5460" w:rsidRPr="005C33AA">
        <w:rPr>
          <w:lang w:val="fr-CA"/>
        </w:rPr>
        <w:t xml:space="preserve"> à l’égard de laquelle les tribunaux d’appel doivent faire montre d’un degré de déférence similairement élevé. La notion de conduite de la défense vise autant le fond que la procédure —</w:t>
      </w:r>
      <w:r w:rsidR="000A5460" w:rsidRPr="005C33AA" w:rsidDel="00FE2B91">
        <w:rPr>
          <w:lang w:val="fr-CA"/>
        </w:rPr>
        <w:t xml:space="preserve"> </w:t>
      </w:r>
      <w:r w:rsidR="000A5460" w:rsidRPr="005C33AA">
        <w:rPr>
          <w:lang w:val="fr-CA"/>
        </w:rPr>
        <w:t>la décision de prendre une mesure</w:t>
      </w:r>
      <w:r w:rsidR="000A5460" w:rsidRPr="005C33AA" w:rsidDel="00FE2B91">
        <w:rPr>
          <w:lang w:val="fr-CA"/>
        </w:rPr>
        <w:t xml:space="preserve">, </w:t>
      </w:r>
      <w:r w:rsidR="000A5460" w:rsidRPr="005C33AA">
        <w:rPr>
          <w:lang w:val="fr-CA"/>
        </w:rPr>
        <w:t>ainsi que la manière dont celle</w:t>
      </w:r>
      <w:r w:rsidR="00D60C0F">
        <w:rPr>
          <w:lang w:val="fr-CA"/>
        </w:rPr>
        <w:noBreakHyphen/>
      </w:r>
      <w:r w:rsidR="000A5460" w:rsidRPr="005C33AA">
        <w:rPr>
          <w:lang w:val="fr-CA"/>
        </w:rPr>
        <w:t>ci est exécutée</w:t>
      </w:r>
      <w:r w:rsidR="000A5460" w:rsidRPr="005C33AA" w:rsidDel="00FE2B91">
        <w:rPr>
          <w:lang w:val="fr-CA"/>
        </w:rPr>
        <w:t xml:space="preserve">, </w:t>
      </w:r>
      <w:r w:rsidR="000A5460" w:rsidRPr="005C33AA">
        <w:rPr>
          <w:lang w:val="fr-CA"/>
        </w:rPr>
        <w:t xml:space="preserve">sont toutes deux susceptibles d’examen. Pour déterminer si une action de la défense a été prise légitimement en vue de répondre aux accusations, les </w:t>
      </w:r>
      <w:r w:rsidR="000A5460" w:rsidRPr="005C33AA">
        <w:rPr>
          <w:lang w:val="fr-CA"/>
        </w:rPr>
        <w:lastRenderedPageBreak/>
        <w:t xml:space="preserve">circonstances entourant l’action ou la conduite peuvent donc être prises en considération. Le nombre total des demandes présentées par la défense, leur solidité, leur importance, la proximité des plafonds établis dans </w:t>
      </w:r>
      <w:r w:rsidR="000A5460" w:rsidRPr="005C33AA">
        <w:rPr>
          <w:i/>
          <w:lang w:val="fr-CA"/>
        </w:rPr>
        <w:t>Jordan</w:t>
      </w:r>
      <w:r w:rsidR="000A5460" w:rsidRPr="005C33AA">
        <w:rPr>
          <w:lang w:val="fr-CA"/>
        </w:rPr>
        <w:t>, le respect de toutes les exigences en matière de préavis ou de dépôt et la présentation de ces demandes dans les délais impartis constituent autant de considérations pertinentes qui peuvent être prises en compte.</w:t>
      </w:r>
      <w:r w:rsidR="000A5460" w:rsidRPr="005C33AA" w:rsidDel="00FE2B91">
        <w:rPr>
          <w:lang w:val="fr-CA"/>
        </w:rPr>
        <w:t xml:space="preserve"> I</w:t>
      </w:r>
      <w:r w:rsidR="000A5460" w:rsidRPr="005C33AA">
        <w:rPr>
          <w:lang w:val="fr-CA"/>
        </w:rPr>
        <w:t>ndépendamment de son bien</w:t>
      </w:r>
      <w:r w:rsidR="00D60C0F">
        <w:rPr>
          <w:lang w:val="fr-CA"/>
        </w:rPr>
        <w:noBreakHyphen/>
      </w:r>
      <w:r w:rsidR="000A5460" w:rsidRPr="005C33AA">
        <w:rPr>
          <w:lang w:val="fr-CA"/>
        </w:rPr>
        <w:t>fondé</w:t>
      </w:r>
      <w:r w:rsidR="000A5460" w:rsidRPr="005C33AA" w:rsidDel="00FE2B91">
        <w:rPr>
          <w:lang w:val="fr-CA"/>
        </w:rPr>
        <w:t>,</w:t>
      </w:r>
      <w:r w:rsidR="000A5460" w:rsidRPr="005C33AA">
        <w:rPr>
          <w:lang w:val="fr-CA"/>
        </w:rPr>
        <w:t xml:space="preserve"> une action de la défense peut être considérée illégitime si elle vise à retarder l’instance ou encore si elle témoigne d’une inefficacité ou indifférence marquées à l’égard des délais.</w:t>
      </w:r>
      <w:r w:rsidRPr="005C33AA">
        <w:rPr>
          <w:lang w:val="fr-CA"/>
        </w:rPr>
        <w:t xml:space="preserve"> </w:t>
      </w:r>
    </w:p>
    <w:p w:rsidR="00A91CBD" w:rsidRPr="005C33AA" w:rsidRDefault="00A91CBD" w:rsidP="00D42258">
      <w:pPr>
        <w:pStyle w:val="SCCNormalDoubleSpacing"/>
        <w:widowControl w:val="0"/>
        <w:spacing w:after="480"/>
        <w:rPr>
          <w:lang w:val="fr-CA"/>
        </w:rPr>
      </w:pPr>
      <w:r w:rsidRPr="005C33AA">
        <w:rPr>
          <w:lang w:val="fr-CA"/>
        </w:rPr>
        <w:tab/>
      </w:r>
      <w:r w:rsidR="00F9736F" w:rsidRPr="005C33AA">
        <w:rPr>
          <w:lang w:val="fr-CA"/>
        </w:rPr>
        <w:t>Au</w:t>
      </w:r>
      <w:r w:rsidR="00D60C0F">
        <w:rPr>
          <w:lang w:val="fr-CA"/>
        </w:rPr>
        <w:noBreakHyphen/>
      </w:r>
      <w:r w:rsidR="00F9736F" w:rsidRPr="005C33AA">
        <w:rPr>
          <w:lang w:val="fr-CA"/>
        </w:rPr>
        <w:t xml:space="preserve">delà de la </w:t>
      </w:r>
      <w:r w:rsidR="00A82907" w:rsidRPr="005C33AA">
        <w:rPr>
          <w:lang w:val="fr-CA"/>
        </w:rPr>
        <w:t xml:space="preserve">comptabilisation rétrospective du délai, il faut que toutes les personnes associées au système de justice criminelle adoptent une approche proactive afin d’empêcher de tels délais et de les réduire au minimum. </w:t>
      </w:r>
      <w:r w:rsidR="00A45B48" w:rsidRPr="005C33AA">
        <w:rPr>
          <w:lang w:val="fr-CA"/>
        </w:rPr>
        <w:t>Les juges de première instance devraient proposer des moyens d’instruire plus efficacement les demandes et requêtes légitimes</w:t>
      </w:r>
      <w:r w:rsidR="003602E9" w:rsidRPr="005C33AA">
        <w:rPr>
          <w:lang w:val="fr-CA"/>
        </w:rPr>
        <w:t xml:space="preserve"> et</w:t>
      </w:r>
      <w:r w:rsidR="00A45B48" w:rsidRPr="005C33AA">
        <w:rPr>
          <w:lang w:val="fr-CA"/>
        </w:rPr>
        <w:t xml:space="preserve"> utiliser leurs pouvoirs de gestion des instances</w:t>
      </w:r>
      <w:r w:rsidR="003602E9" w:rsidRPr="005C33AA">
        <w:rPr>
          <w:lang w:val="fr-CA"/>
        </w:rPr>
        <w:t>,</w:t>
      </w:r>
      <w:r w:rsidR="00A45B48" w:rsidRPr="005C33AA">
        <w:rPr>
          <w:lang w:val="fr-CA"/>
        </w:rPr>
        <w:t xml:space="preserve"> et </w:t>
      </w:r>
      <w:r w:rsidR="00FB1585" w:rsidRPr="005C33AA">
        <w:rPr>
          <w:lang w:val="fr-CA"/>
        </w:rPr>
        <w:t xml:space="preserve">ils </w:t>
      </w:r>
      <w:r w:rsidR="00A45B48" w:rsidRPr="005C33AA">
        <w:rPr>
          <w:lang w:val="fr-CA"/>
        </w:rPr>
        <w:t>ne devraient pas hésiter à rejeter sommairement des demandes dès qu’il apparaît évident qu’elles sont frivoles</w:t>
      </w:r>
      <w:r w:rsidRPr="005C33AA">
        <w:rPr>
          <w:lang w:val="fr-CA"/>
        </w:rPr>
        <w:t>.</w:t>
      </w:r>
    </w:p>
    <w:p w:rsidR="00A91CBD" w:rsidRPr="005C33AA" w:rsidRDefault="00A91CBD" w:rsidP="00D42258">
      <w:pPr>
        <w:pStyle w:val="SCCNormalDoubleSpacing"/>
        <w:widowControl w:val="0"/>
        <w:spacing w:after="480"/>
        <w:rPr>
          <w:lang w:val="fr-CA"/>
        </w:rPr>
      </w:pPr>
      <w:r w:rsidRPr="005C33AA">
        <w:rPr>
          <w:lang w:val="fr-CA"/>
        </w:rPr>
        <w:tab/>
      </w:r>
      <w:r w:rsidR="001A54ED" w:rsidRPr="005C33AA">
        <w:rPr>
          <w:lang w:val="fr-CA"/>
        </w:rPr>
        <w:t>Une fois que le délai imputable à la défense a été soustrait, le délai net doit ensuite être comparé au plafond présumé appli</w:t>
      </w:r>
      <w:r w:rsidR="003602E9" w:rsidRPr="005C33AA">
        <w:rPr>
          <w:lang w:val="fr-CA"/>
        </w:rPr>
        <w:t>cable</w:t>
      </w:r>
      <w:r w:rsidR="001A54ED" w:rsidRPr="005C33AA">
        <w:rPr>
          <w:lang w:val="fr-CA"/>
        </w:rPr>
        <w:t xml:space="preserve"> établi dans </w:t>
      </w:r>
      <w:r w:rsidR="001A54ED" w:rsidRPr="005C33AA">
        <w:rPr>
          <w:i/>
          <w:lang w:val="fr-CA"/>
        </w:rPr>
        <w:t>Jordan</w:t>
      </w:r>
      <w:r w:rsidR="001A54ED" w:rsidRPr="005C33AA">
        <w:rPr>
          <w:lang w:val="fr-CA"/>
        </w:rPr>
        <w:t>. Si l</w:t>
      </w:r>
      <w:r w:rsidR="00D85375">
        <w:rPr>
          <w:lang w:val="fr-CA"/>
        </w:rPr>
        <w:t xml:space="preserve">e délai net dépasse le plafond, </w:t>
      </w:r>
      <w:r w:rsidR="001A54ED" w:rsidRPr="005C33AA">
        <w:rPr>
          <w:lang w:val="fr-CA"/>
        </w:rPr>
        <w:t xml:space="preserve">il est présumé déraisonnable. Pour réfuter cette présomption, le ministère public doit établir la présence de circonstances exceptionnelles, </w:t>
      </w:r>
      <w:r w:rsidR="00F9736F" w:rsidRPr="005C33AA">
        <w:rPr>
          <w:lang w:val="fr-CA"/>
        </w:rPr>
        <w:t xml:space="preserve">lesquelles </w:t>
      </w:r>
      <w:r w:rsidR="001A54ED" w:rsidRPr="005C33AA">
        <w:rPr>
          <w:lang w:val="fr-CA"/>
        </w:rPr>
        <w:t>se divisent en deux catégories</w:t>
      </w:r>
      <w:r w:rsidR="00D60C0F">
        <w:rPr>
          <w:lang w:val="fr-CA"/>
        </w:rPr>
        <w:t> :</w:t>
      </w:r>
      <w:r w:rsidR="001A54ED" w:rsidRPr="005C33AA">
        <w:rPr>
          <w:lang w:val="fr-CA"/>
        </w:rPr>
        <w:t xml:space="preserve"> les événements distincts et les affaires particulièrement complexes. </w:t>
      </w:r>
      <w:r w:rsidR="001A54ED" w:rsidRPr="005C33AA">
        <w:rPr>
          <w:rStyle w:val="ParaNoNdepar-AltNChar"/>
          <w:rFonts w:cs="Times New Roman"/>
          <w:lang w:val="fr-CA"/>
        </w:rPr>
        <w:t xml:space="preserve">À l’instar du délai imputable à la défense, les événements distincts donnent </w:t>
      </w:r>
      <w:r w:rsidR="001A54ED" w:rsidRPr="005C33AA">
        <w:rPr>
          <w:rStyle w:val="ParaNoNdepar-AltNChar"/>
          <w:rFonts w:cs="Times New Roman"/>
          <w:lang w:val="fr-CA"/>
        </w:rPr>
        <w:lastRenderedPageBreak/>
        <w:t xml:space="preserve">lieu à la déduction quantitative de certaines périodes. Cependant, </w:t>
      </w:r>
      <w:r w:rsidR="000B176E" w:rsidRPr="005C33AA">
        <w:rPr>
          <w:lang w:val="fr-CA"/>
        </w:rPr>
        <w:t>la complexité d’une affaire requiert une appréciation qualitative et elle ne peut être utilisée pour déduire des portions précises du délai. L</w:t>
      </w:r>
      <w:r w:rsidR="001A54ED" w:rsidRPr="005C33AA">
        <w:rPr>
          <w:lang w:val="fr-CA"/>
        </w:rPr>
        <w:t>a complexité ne constitue une circonstance exceptionnelle que dans les cas où l’affaire dans son ensemble est particulièrement complexe</w:t>
      </w:r>
      <w:r w:rsidR="000B176E" w:rsidRPr="005C33AA">
        <w:rPr>
          <w:lang w:val="fr-CA"/>
        </w:rPr>
        <w:t xml:space="preserve">. Le délai qui a été causé par une seule étape isolée présentant des aspects complexes </w:t>
      </w:r>
      <w:r w:rsidR="008C0DA7">
        <w:rPr>
          <w:lang w:val="fr-CA"/>
        </w:rPr>
        <w:t xml:space="preserve">ne doit </w:t>
      </w:r>
      <w:r w:rsidR="000B176E" w:rsidRPr="005C33AA">
        <w:rPr>
          <w:lang w:val="fr-CA"/>
        </w:rPr>
        <w:t xml:space="preserve">pas être déduit </w:t>
      </w:r>
      <w:r w:rsidR="00F9736F" w:rsidRPr="005C33AA">
        <w:rPr>
          <w:lang w:val="fr-CA"/>
        </w:rPr>
        <w:t xml:space="preserve">suivant </w:t>
      </w:r>
      <w:r w:rsidR="000B176E" w:rsidRPr="005C33AA">
        <w:rPr>
          <w:lang w:val="fr-CA"/>
        </w:rPr>
        <w:t>cette catégorie.</w:t>
      </w:r>
      <w:r w:rsidRPr="005C33AA">
        <w:rPr>
          <w:lang w:val="fr-CA"/>
        </w:rPr>
        <w:t xml:space="preserve"> </w:t>
      </w:r>
    </w:p>
    <w:p w:rsidR="00A91CBD" w:rsidRPr="005C33AA" w:rsidRDefault="00A91CBD" w:rsidP="00D42258">
      <w:pPr>
        <w:pStyle w:val="SCCNormalDoubleSpacing"/>
        <w:widowControl w:val="0"/>
        <w:spacing w:after="480"/>
        <w:rPr>
          <w:lang w:val="fr-CA"/>
        </w:rPr>
      </w:pPr>
      <w:r w:rsidRPr="005C33AA">
        <w:rPr>
          <w:lang w:val="fr-CA"/>
        </w:rPr>
        <w:tab/>
      </w:r>
      <w:r w:rsidR="000B176E" w:rsidRPr="005C33AA">
        <w:rPr>
          <w:lang w:val="fr-CA"/>
        </w:rPr>
        <w:t xml:space="preserve">Il est possible de tenir compte de considérations d’ordre transitoire comme troisième forme de circonstances exceptionnelles dans les cas où l’instance était déjà en cours lorsque l’affaire </w:t>
      </w:r>
      <w:r w:rsidR="000B176E" w:rsidRPr="005C33AA">
        <w:rPr>
          <w:i/>
          <w:lang w:val="fr-CA"/>
        </w:rPr>
        <w:t xml:space="preserve">Jordan </w:t>
      </w:r>
      <w:r w:rsidR="000B176E" w:rsidRPr="005C33AA">
        <w:rPr>
          <w:lang w:val="fr-CA"/>
        </w:rPr>
        <w:t xml:space="preserve">a été tranchée. Tout comme le critère de la complexité de l’affaire, l’application de la mesure transitoire exceptionnelle implique une appréciation qualitative. La nature exceptionnelle de la « mesure transitoire exceptionnelle » ne repose pas sur le fait qu’elle s’applique rarement, mais plutôt </w:t>
      </w:r>
      <w:r w:rsidR="00F9736F" w:rsidRPr="005C33AA">
        <w:rPr>
          <w:lang w:val="fr-CA"/>
        </w:rPr>
        <w:t xml:space="preserve">sur le </w:t>
      </w:r>
      <w:r w:rsidR="000B176E" w:rsidRPr="005C33AA">
        <w:rPr>
          <w:lang w:val="fr-CA"/>
        </w:rPr>
        <w:t>fait qu’elle s’applique temporairement pour justifier des délais qui excèdent le plafond parce que les parties se sont raisonnablement conformées au droit tel qu’il existait auparavant</w:t>
      </w:r>
      <w:r w:rsidR="00CA7E71" w:rsidRPr="005C33AA">
        <w:rPr>
          <w:lang w:val="fr-CA"/>
        </w:rPr>
        <w:t xml:space="preserve">. Le degré général de diligence </w:t>
      </w:r>
      <w:r w:rsidR="00F9736F" w:rsidRPr="005C33AA">
        <w:rPr>
          <w:lang w:val="fr-CA"/>
        </w:rPr>
        <w:t xml:space="preserve">manifesté par les </w:t>
      </w:r>
      <w:r w:rsidR="00CA7E71" w:rsidRPr="005C33AA">
        <w:rPr>
          <w:lang w:val="fr-CA"/>
        </w:rPr>
        <w:t>parties, la gravité de l’infraction et l’absence de préjudice sont tous des facteurs qui doivent être pris en considération selon ce qui convient dans les circonstances.</w:t>
      </w:r>
      <w:r w:rsidRPr="005C33AA">
        <w:rPr>
          <w:lang w:val="fr-CA"/>
        </w:rPr>
        <w:t xml:space="preserve"> </w:t>
      </w:r>
    </w:p>
    <w:p w:rsidR="00A91CBD" w:rsidRPr="005C33AA" w:rsidRDefault="00A91CBD" w:rsidP="00D42258">
      <w:pPr>
        <w:pStyle w:val="SCCNormalDoubleSpacing"/>
        <w:widowControl w:val="0"/>
        <w:spacing w:after="480"/>
        <w:rPr>
          <w:lang w:val="fr-CA"/>
        </w:rPr>
      </w:pPr>
      <w:r w:rsidRPr="005C33AA">
        <w:rPr>
          <w:lang w:val="fr-CA"/>
        </w:rPr>
        <w:tab/>
      </w:r>
      <w:r w:rsidR="002A1912" w:rsidRPr="005C33AA">
        <w:rPr>
          <w:lang w:val="fr-CA"/>
        </w:rPr>
        <w:t xml:space="preserve">En l’espèce, le délai total </w:t>
      </w:r>
      <w:r w:rsidR="00F9736F" w:rsidRPr="005C33AA">
        <w:rPr>
          <w:lang w:val="fr-CA"/>
        </w:rPr>
        <w:t xml:space="preserve">s’élevait à </w:t>
      </w:r>
      <w:r w:rsidR="002A1912" w:rsidRPr="005C33AA">
        <w:rPr>
          <w:lang w:val="fr-CA"/>
        </w:rPr>
        <w:t>environ 60,5</w:t>
      </w:r>
      <w:r w:rsidR="003326C9" w:rsidRPr="005C33AA">
        <w:rPr>
          <w:lang w:val="fr-CA"/>
        </w:rPr>
        <w:t xml:space="preserve"> mois</w:t>
      </w:r>
      <w:r w:rsidR="00F9736F" w:rsidRPr="005C33AA">
        <w:rPr>
          <w:lang w:val="fr-CA"/>
        </w:rPr>
        <w:t>,</w:t>
      </w:r>
      <w:r w:rsidR="003326C9" w:rsidRPr="005C33AA">
        <w:rPr>
          <w:lang w:val="fr-CA"/>
        </w:rPr>
        <w:t xml:space="preserve"> </w:t>
      </w:r>
      <w:r w:rsidR="00B143D7" w:rsidRPr="005C33AA">
        <w:rPr>
          <w:lang w:val="fr-CA"/>
        </w:rPr>
        <w:t xml:space="preserve">total </w:t>
      </w:r>
      <w:r w:rsidR="00F9736F" w:rsidRPr="005C33AA">
        <w:rPr>
          <w:lang w:val="fr-CA"/>
        </w:rPr>
        <w:t xml:space="preserve">dont </w:t>
      </w:r>
      <w:r w:rsidR="003326C9" w:rsidRPr="005C33AA">
        <w:rPr>
          <w:lang w:val="fr-CA"/>
        </w:rPr>
        <w:t>il faut déduire</w:t>
      </w:r>
      <w:r w:rsidR="002A1912" w:rsidRPr="005C33AA">
        <w:rPr>
          <w:lang w:val="fr-CA"/>
        </w:rPr>
        <w:t xml:space="preserve"> la période à laquelle C a renoncé (13 mois). </w:t>
      </w:r>
      <w:r w:rsidR="00B143D7" w:rsidRPr="005C33AA">
        <w:rPr>
          <w:lang w:val="fr-CA"/>
        </w:rPr>
        <w:t xml:space="preserve">Il faut ensuite déduire </w:t>
      </w:r>
      <w:r w:rsidR="002A1912" w:rsidRPr="005C33AA">
        <w:rPr>
          <w:lang w:val="fr-CA"/>
        </w:rPr>
        <w:t xml:space="preserve">deux </w:t>
      </w:r>
      <w:r w:rsidR="00B143D7" w:rsidRPr="005C33AA">
        <w:rPr>
          <w:lang w:val="fr-CA"/>
        </w:rPr>
        <w:t xml:space="preserve">autres </w:t>
      </w:r>
      <w:r w:rsidR="002A1912" w:rsidRPr="005C33AA">
        <w:rPr>
          <w:lang w:val="fr-CA"/>
        </w:rPr>
        <w:t>périodes</w:t>
      </w:r>
      <w:r w:rsidR="00C313DE" w:rsidRPr="005C33AA">
        <w:rPr>
          <w:lang w:val="fr-CA"/>
        </w:rPr>
        <w:t xml:space="preserve"> </w:t>
      </w:r>
      <w:r w:rsidR="002A1912" w:rsidRPr="005C33AA">
        <w:rPr>
          <w:lang w:val="fr-CA"/>
        </w:rPr>
        <w:t xml:space="preserve">au titre des délais imputables </w:t>
      </w:r>
      <w:r w:rsidR="00C313DE" w:rsidRPr="005C33AA">
        <w:rPr>
          <w:lang w:val="fr-CA"/>
        </w:rPr>
        <w:t>à la défense</w:t>
      </w:r>
      <w:r w:rsidR="00D60C0F">
        <w:rPr>
          <w:lang w:val="fr-CA"/>
        </w:rPr>
        <w:t> :</w:t>
      </w:r>
      <w:r w:rsidR="00C313DE" w:rsidRPr="005C33AA">
        <w:rPr>
          <w:lang w:val="fr-CA"/>
        </w:rPr>
        <w:t xml:space="preserve"> le délai résultant du premier changemen</w:t>
      </w:r>
      <w:r w:rsidR="00F9736F" w:rsidRPr="005C33AA">
        <w:rPr>
          <w:lang w:val="fr-CA"/>
        </w:rPr>
        <w:t xml:space="preserve">t d’avocat de </w:t>
      </w:r>
      <w:r w:rsidR="00C313DE" w:rsidRPr="005C33AA">
        <w:rPr>
          <w:lang w:val="fr-CA"/>
        </w:rPr>
        <w:t>C (</w:t>
      </w:r>
      <w:r w:rsidR="00F9736F" w:rsidRPr="005C33AA">
        <w:rPr>
          <w:lang w:val="fr-CA"/>
        </w:rPr>
        <w:t xml:space="preserve">1 </w:t>
      </w:r>
      <w:r w:rsidR="00C313DE" w:rsidRPr="005C33AA">
        <w:rPr>
          <w:lang w:val="fr-CA"/>
        </w:rPr>
        <w:t xml:space="preserve">mois) et le délai résultant de la demande de récusation de </w:t>
      </w:r>
      <w:r w:rsidR="00C313DE" w:rsidRPr="005C33AA">
        <w:rPr>
          <w:lang w:val="fr-CA"/>
        </w:rPr>
        <w:lastRenderedPageBreak/>
        <w:t xml:space="preserve">C (2,5 mois). Une fois ces périodes déduites, le délai s’établit à 44 mois, ce qui dépasse le délai de 30 mois établi dans </w:t>
      </w:r>
      <w:r w:rsidR="00C313DE" w:rsidRPr="005C33AA">
        <w:rPr>
          <w:i/>
          <w:lang w:val="fr-CA"/>
        </w:rPr>
        <w:t>Jordan</w:t>
      </w:r>
      <w:r w:rsidR="00C313DE" w:rsidRPr="005C33AA">
        <w:rPr>
          <w:lang w:val="fr-CA"/>
        </w:rPr>
        <w:t>, et constitue donc un délai présumé déraisonnable.</w:t>
      </w:r>
    </w:p>
    <w:p w:rsidR="00A91CBD" w:rsidRPr="005C33AA" w:rsidRDefault="00A91CBD" w:rsidP="00D42258">
      <w:pPr>
        <w:pStyle w:val="ParaNoNdepar-AltN"/>
        <w:widowControl w:val="0"/>
        <w:numPr>
          <w:ilvl w:val="0"/>
          <w:numId w:val="0"/>
        </w:numPr>
        <w:tabs>
          <w:tab w:val="left" w:pos="1166"/>
        </w:tabs>
        <w:rPr>
          <w:rFonts w:cs="Times New Roman"/>
          <w:lang w:val="fr-CA"/>
        </w:rPr>
      </w:pPr>
      <w:r w:rsidRPr="005C33AA">
        <w:rPr>
          <w:rFonts w:cs="Times New Roman"/>
          <w:lang w:val="fr-CA"/>
        </w:rPr>
        <w:tab/>
      </w:r>
      <w:r w:rsidR="00C313DE" w:rsidRPr="005C33AA">
        <w:rPr>
          <w:rFonts w:cs="Times New Roman"/>
          <w:lang w:val="fr-CA"/>
        </w:rPr>
        <w:t>En ce qui a trait aux circonstances exceptionnelles, les délais suivants d</w:t>
      </w:r>
      <w:r w:rsidR="003326C9" w:rsidRPr="005C33AA">
        <w:rPr>
          <w:rFonts w:cs="Times New Roman"/>
          <w:lang w:val="fr-CA"/>
        </w:rPr>
        <w:t>oiv</w:t>
      </w:r>
      <w:r w:rsidR="00C313DE" w:rsidRPr="005C33AA">
        <w:rPr>
          <w:rFonts w:cs="Times New Roman"/>
          <w:lang w:val="fr-CA"/>
        </w:rPr>
        <w:t>ent être déduits en tant qu’événements distincts</w:t>
      </w:r>
      <w:r w:rsidR="00D60C0F">
        <w:rPr>
          <w:rFonts w:cs="Times New Roman"/>
          <w:lang w:val="fr-CA"/>
        </w:rPr>
        <w:t> :</w:t>
      </w:r>
      <w:r w:rsidR="00C313DE" w:rsidRPr="005C33AA">
        <w:rPr>
          <w:rFonts w:cs="Times New Roman"/>
          <w:lang w:val="fr-CA"/>
        </w:rPr>
        <w:t xml:space="preserve"> </w:t>
      </w:r>
      <w:r w:rsidR="00C313DE" w:rsidRPr="005C33AA">
        <w:rPr>
          <w:rStyle w:val="ParaNoNdepar-AltNChar"/>
          <w:rFonts w:cs="Times New Roman"/>
          <w:lang w:val="fr-CA"/>
        </w:rPr>
        <w:t xml:space="preserve">la nomination de l’ancien avocat de C à la magistrature (4,5 mois) </w:t>
      </w:r>
      <w:r w:rsidR="00760AD9" w:rsidRPr="005C33AA">
        <w:rPr>
          <w:rStyle w:val="ParaNoNdepar-AltNChar"/>
          <w:rFonts w:cs="Times New Roman"/>
          <w:lang w:val="fr-CA"/>
        </w:rPr>
        <w:t xml:space="preserve">et une partie du délai découlant </w:t>
      </w:r>
      <w:r w:rsidR="00760AD9" w:rsidRPr="005C33AA">
        <w:rPr>
          <w:rStyle w:val="Italic"/>
          <w:rFonts w:cs="Times New Roman"/>
          <w:i w:val="0"/>
          <w:lang w:val="fr-CA"/>
        </w:rPr>
        <w:t xml:space="preserve">de la situation liée à la communication de la preuve suivant l’arrêt </w:t>
      </w:r>
      <w:r w:rsidR="00760AD9" w:rsidRPr="005C33AA">
        <w:rPr>
          <w:rStyle w:val="Italic"/>
          <w:rFonts w:cs="Times New Roman"/>
          <w:lang w:val="fr-CA"/>
        </w:rPr>
        <w:t>McNeil</w:t>
      </w:r>
      <w:r w:rsidR="00760AD9" w:rsidRPr="005C33AA">
        <w:rPr>
          <w:rStyle w:val="Italic"/>
          <w:rFonts w:cs="Times New Roman"/>
          <w:i w:val="0"/>
          <w:lang w:val="fr-CA"/>
        </w:rPr>
        <w:t xml:space="preserve"> qui a surgi (3 mois). L</w:t>
      </w:r>
      <w:r w:rsidR="00760AD9" w:rsidRPr="005C33AA">
        <w:rPr>
          <w:rFonts w:cs="Times New Roman"/>
          <w:lang w:val="fr-CA"/>
        </w:rPr>
        <w:t xml:space="preserve">e délai </w:t>
      </w:r>
      <w:r w:rsidR="00CB7E1E">
        <w:rPr>
          <w:rFonts w:cs="Times New Roman"/>
          <w:lang w:val="fr-CA"/>
        </w:rPr>
        <w:t xml:space="preserve">net </w:t>
      </w:r>
      <w:r w:rsidR="00760AD9" w:rsidRPr="005C33AA">
        <w:rPr>
          <w:rFonts w:cs="Times New Roman"/>
          <w:lang w:val="fr-CA"/>
        </w:rPr>
        <w:t xml:space="preserve">est donc de 36,5 mois. Malgré la preuve volumineuse qui a été communiquée, la présente affaire ne saurait être qualifiée de particulièrement complexe. </w:t>
      </w:r>
    </w:p>
    <w:p w:rsidR="004D7D95" w:rsidRPr="005C33AA" w:rsidRDefault="00F9736F" w:rsidP="00D42258">
      <w:pPr>
        <w:pStyle w:val="SCCNormalDoubleSpacing"/>
        <w:widowControl w:val="0"/>
        <w:spacing w:after="480"/>
        <w:rPr>
          <w:lang w:val="fr-CA"/>
        </w:rPr>
      </w:pPr>
      <w:r w:rsidRPr="005C33AA">
        <w:rPr>
          <w:lang w:val="fr-CA"/>
        </w:rPr>
        <w:tab/>
      </w:r>
      <w:r w:rsidR="00760AD9" w:rsidRPr="005C33AA">
        <w:rPr>
          <w:lang w:val="fr-CA"/>
        </w:rPr>
        <w:t xml:space="preserve">Vu les conclusions du juge de première instance </w:t>
      </w:r>
      <w:r w:rsidRPr="005C33AA">
        <w:rPr>
          <w:lang w:val="fr-CA"/>
        </w:rPr>
        <w:t>portant qu’</w:t>
      </w:r>
      <w:r w:rsidR="00760AD9" w:rsidRPr="005C33AA">
        <w:rPr>
          <w:lang w:val="fr-CA"/>
        </w:rPr>
        <w:t>il y a eu effectivement u</w:t>
      </w:r>
      <w:r w:rsidRPr="005C33AA">
        <w:rPr>
          <w:lang w:val="fr-CA"/>
        </w:rPr>
        <w:t xml:space="preserve">n préjudice réel et substantiel </w:t>
      </w:r>
      <w:r w:rsidR="00760AD9" w:rsidRPr="005C33AA">
        <w:rPr>
          <w:lang w:val="fr-CA"/>
        </w:rPr>
        <w:t xml:space="preserve">et </w:t>
      </w:r>
      <w:r w:rsidRPr="005C33AA">
        <w:rPr>
          <w:lang w:val="fr-CA"/>
        </w:rPr>
        <w:t xml:space="preserve">que </w:t>
      </w:r>
      <w:r w:rsidR="00760AD9" w:rsidRPr="005C33AA">
        <w:rPr>
          <w:lang w:val="fr-CA"/>
        </w:rPr>
        <w:t>la conduite de C n’était pas</w:t>
      </w:r>
      <w:r w:rsidRPr="005C33AA">
        <w:rPr>
          <w:lang w:val="fr-CA"/>
        </w:rPr>
        <w:t xml:space="preserve"> </w:t>
      </w:r>
      <w:r w:rsidR="00760AD9" w:rsidRPr="005C33AA">
        <w:rPr>
          <w:lang w:val="fr-CA"/>
        </w:rPr>
        <w:t xml:space="preserve">incompatible avec le désir que le procès se tienne dans les meilleurs délais, le ministère public n’est pas en mesure de démontrer que le délai net était justifié parce qu’il serait conforme à l’état antérieur du droit. Au contraire, les conclusions tirées par le juge de première instance en vertu du cadre établi dans </w:t>
      </w:r>
      <w:r w:rsidR="00760AD9" w:rsidRPr="005C33AA">
        <w:rPr>
          <w:i/>
          <w:lang w:val="fr-CA"/>
        </w:rPr>
        <w:t>Morin</w:t>
      </w:r>
      <w:r w:rsidR="00760AD9" w:rsidRPr="005C33AA">
        <w:rPr>
          <w:lang w:val="fr-CA"/>
        </w:rPr>
        <w:t xml:space="preserve"> militent plutôt en faveur de l’arrêt des procédures. Dans les cas où la mise en balance des facteurs requis</w:t>
      </w:r>
      <w:r w:rsidR="00DF3947" w:rsidRPr="005C33AA">
        <w:rPr>
          <w:lang w:val="fr-CA"/>
        </w:rPr>
        <w:t>e</w:t>
      </w:r>
      <w:r w:rsidR="00760AD9" w:rsidRPr="005C33AA">
        <w:rPr>
          <w:lang w:val="fr-CA"/>
        </w:rPr>
        <w:t xml:space="preserve"> </w:t>
      </w:r>
      <w:r w:rsidR="00DB7F36" w:rsidRPr="005C33AA">
        <w:rPr>
          <w:lang w:val="fr-CA"/>
        </w:rPr>
        <w:t>par ce cadre</w:t>
      </w:r>
      <w:r w:rsidR="00760AD9" w:rsidRPr="005C33AA">
        <w:rPr>
          <w:lang w:val="fr-CA"/>
        </w:rPr>
        <w:t xml:space="preserve"> favorise le prononcé d’un arrêt des procédures, le ministère public ne réussira que rarement, voire jamais, à justifier le délai en invoquant la mesure transitoire exceptionnelle prévue par le cadre énoncé dans </w:t>
      </w:r>
      <w:r w:rsidR="00760AD9" w:rsidRPr="005C33AA">
        <w:rPr>
          <w:i/>
          <w:lang w:val="fr-CA"/>
        </w:rPr>
        <w:t>Jordan</w:t>
      </w:r>
      <w:r w:rsidR="00DB7F36" w:rsidRPr="005C33AA">
        <w:rPr>
          <w:lang w:val="fr-CA"/>
        </w:rPr>
        <w:t>.</w:t>
      </w:r>
    </w:p>
    <w:p w:rsidR="004D7D95" w:rsidRPr="005C33AA" w:rsidRDefault="004D7D95" w:rsidP="00D42258">
      <w:pPr>
        <w:pStyle w:val="SCCNormalDoubleSpacing"/>
        <w:widowControl w:val="0"/>
        <w:spacing w:after="720" w:line="240" w:lineRule="auto"/>
        <w:rPr>
          <w:b/>
          <w:lang w:val="fr-CA"/>
        </w:rPr>
      </w:pPr>
      <w:r w:rsidRPr="005C33AA">
        <w:rPr>
          <w:b/>
          <w:lang w:val="fr-CA"/>
        </w:rPr>
        <w:t>Jurisprudence</w:t>
      </w:r>
    </w:p>
    <w:p w:rsidR="000A091F" w:rsidRPr="005C33AA" w:rsidRDefault="004D7D95" w:rsidP="00D42258">
      <w:pPr>
        <w:pStyle w:val="SCCNormalDoubleSpacing"/>
        <w:widowControl w:val="0"/>
        <w:spacing w:after="480"/>
        <w:rPr>
          <w:lang w:val="fr-CA"/>
        </w:rPr>
      </w:pPr>
      <w:r w:rsidRPr="005C33AA">
        <w:rPr>
          <w:lang w:val="fr-CA"/>
        </w:rPr>
        <w:lastRenderedPageBreak/>
        <w:tab/>
      </w:r>
      <w:r w:rsidR="002D36A5" w:rsidRPr="005C33AA">
        <w:rPr>
          <w:b/>
          <w:lang w:val="fr-CA"/>
        </w:rPr>
        <w:t>Arrêt appliqué</w:t>
      </w:r>
      <w:r w:rsidR="00D60C0F">
        <w:rPr>
          <w:b/>
          <w:lang w:val="fr-CA"/>
        </w:rPr>
        <w:t> :</w:t>
      </w:r>
      <w:r w:rsidR="002D36A5" w:rsidRPr="005C33AA">
        <w:rPr>
          <w:lang w:val="fr-CA"/>
        </w:rPr>
        <w:t xml:space="preserve"> </w:t>
      </w:r>
      <w:r w:rsidR="002D36A5" w:rsidRPr="005C33AA">
        <w:rPr>
          <w:i/>
          <w:lang w:val="fr-CA"/>
        </w:rPr>
        <w:t>R. c. Jordan</w:t>
      </w:r>
      <w:r w:rsidR="002D36A5" w:rsidRPr="005C33AA">
        <w:rPr>
          <w:lang w:val="fr-CA"/>
        </w:rPr>
        <w:t xml:space="preserve">, 2016 CSC 27, [2016] 1 R.C.S. 631; </w:t>
      </w:r>
      <w:r w:rsidR="002D36A5" w:rsidRPr="005C33AA">
        <w:rPr>
          <w:b/>
          <w:lang w:val="fr-CA"/>
        </w:rPr>
        <w:t>a</w:t>
      </w:r>
      <w:r w:rsidRPr="005C33AA">
        <w:rPr>
          <w:b/>
          <w:lang w:val="fr-CA"/>
        </w:rPr>
        <w:t>rrêts mentionnés</w:t>
      </w:r>
      <w:r w:rsidR="00D60C0F">
        <w:rPr>
          <w:b/>
          <w:lang w:val="fr-CA"/>
        </w:rPr>
        <w:t> :</w:t>
      </w:r>
      <w:r w:rsidRPr="005C33AA">
        <w:rPr>
          <w:lang w:val="fr-CA"/>
        </w:rPr>
        <w:t xml:space="preserve"> </w:t>
      </w:r>
      <w:r w:rsidR="00075821" w:rsidRPr="005C33AA">
        <w:rPr>
          <w:i/>
          <w:lang w:val="fr-CA"/>
        </w:rPr>
        <w:t>R. c. Morin</w:t>
      </w:r>
      <w:r w:rsidR="00075821" w:rsidRPr="005C33AA">
        <w:rPr>
          <w:lang w:val="fr-CA"/>
        </w:rPr>
        <w:t xml:space="preserve">, [1992] 1 R.C.S. 771; </w:t>
      </w:r>
      <w:r w:rsidR="00FB0045" w:rsidRPr="005C33AA">
        <w:rPr>
          <w:i/>
          <w:lang w:val="fr-CA"/>
        </w:rPr>
        <w:t>Canada (Procureur général) c. Bedford</w:t>
      </w:r>
      <w:r w:rsidR="00FB0045" w:rsidRPr="005C33AA">
        <w:rPr>
          <w:lang w:val="fr-CA"/>
        </w:rPr>
        <w:t xml:space="preserve">, 2013 CSC 72, [2013] 3 R.C.S. 1101; </w:t>
      </w:r>
      <w:r w:rsidR="00B10A2E" w:rsidRPr="005C33AA">
        <w:rPr>
          <w:i/>
          <w:lang w:val="fr-CA"/>
        </w:rPr>
        <w:t>Carter c. Canada (Procureur général)</w:t>
      </w:r>
      <w:r w:rsidR="00B10A2E" w:rsidRPr="005C33AA">
        <w:rPr>
          <w:lang w:val="fr-CA"/>
        </w:rPr>
        <w:t xml:space="preserve">, 2015 CSC 5, [2015] 1 R.C.S. 331; </w:t>
      </w:r>
      <w:r w:rsidR="00075821" w:rsidRPr="005C33AA">
        <w:rPr>
          <w:i/>
          <w:lang w:val="fr-CA"/>
        </w:rPr>
        <w:t>R. c. McNeil</w:t>
      </w:r>
      <w:r w:rsidR="00075821" w:rsidRPr="005C33AA">
        <w:rPr>
          <w:lang w:val="fr-CA"/>
        </w:rPr>
        <w:t>, 2009 CSC 3, [2009] 1 R.C.S. 66;</w:t>
      </w:r>
      <w:r w:rsidR="00034059" w:rsidRPr="005C33AA">
        <w:rPr>
          <w:lang w:val="fr-CA"/>
        </w:rPr>
        <w:t xml:space="preserve"> </w:t>
      </w:r>
      <w:r w:rsidR="00034059" w:rsidRPr="005C33AA">
        <w:rPr>
          <w:i/>
          <w:lang w:val="fr-CA"/>
        </w:rPr>
        <w:t>R. c. Dixon</w:t>
      </w:r>
      <w:r w:rsidR="002D36A5" w:rsidRPr="005C33AA">
        <w:rPr>
          <w:lang w:val="fr-CA"/>
        </w:rPr>
        <w:t>, [199</w:t>
      </w:r>
      <w:r w:rsidR="00034059" w:rsidRPr="005C33AA">
        <w:rPr>
          <w:lang w:val="fr-CA"/>
        </w:rPr>
        <w:t>8] 1 R.C.S. 244;</w:t>
      </w:r>
      <w:r w:rsidR="000A091F" w:rsidRPr="005C33AA">
        <w:rPr>
          <w:lang w:val="fr-CA"/>
        </w:rPr>
        <w:t xml:space="preserve"> </w:t>
      </w:r>
      <w:r w:rsidR="003A7CC0" w:rsidRPr="005C33AA">
        <w:rPr>
          <w:i/>
          <w:lang w:val="fr-CA"/>
        </w:rPr>
        <w:t>R. c</w:t>
      </w:r>
      <w:r w:rsidR="000A091F" w:rsidRPr="005C33AA">
        <w:rPr>
          <w:i/>
          <w:lang w:val="fr-CA"/>
        </w:rPr>
        <w:t>. Kutynec</w:t>
      </w:r>
      <w:r w:rsidR="000A091F" w:rsidRPr="005C33AA">
        <w:rPr>
          <w:lang w:val="fr-CA"/>
        </w:rPr>
        <w:t xml:space="preserve"> (1992), 7 O.R. (3d) 277; </w:t>
      </w:r>
      <w:r w:rsidR="003A7CC0" w:rsidRPr="005C33AA">
        <w:rPr>
          <w:i/>
          <w:lang w:val="fr-CA"/>
        </w:rPr>
        <w:t>R. c</w:t>
      </w:r>
      <w:r w:rsidR="000A091F" w:rsidRPr="005C33AA">
        <w:rPr>
          <w:i/>
          <w:lang w:val="fr-CA"/>
        </w:rPr>
        <w:t>. Vukelich</w:t>
      </w:r>
      <w:r w:rsidR="000A091F" w:rsidRPr="005C33AA">
        <w:rPr>
          <w:lang w:val="fr-CA"/>
        </w:rPr>
        <w:t xml:space="preserve"> (1996), 108 C.C.C. (3d) 193</w:t>
      </w:r>
      <w:r w:rsidR="002D36A5" w:rsidRPr="005C33AA">
        <w:rPr>
          <w:lang w:val="fr-CA"/>
        </w:rPr>
        <w:t xml:space="preserve">; </w:t>
      </w:r>
      <w:r w:rsidR="002D36A5" w:rsidRPr="005C33AA">
        <w:rPr>
          <w:i/>
          <w:lang w:val="fr-CA"/>
        </w:rPr>
        <w:t>R. c. Williamson</w:t>
      </w:r>
      <w:r w:rsidR="002D36A5" w:rsidRPr="005C33AA">
        <w:rPr>
          <w:lang w:val="fr-CA"/>
        </w:rPr>
        <w:t>, 2016 CSC 28, [2016] 1 R.C.S. 741</w:t>
      </w:r>
      <w:r w:rsidR="000A091F" w:rsidRPr="005C33AA">
        <w:rPr>
          <w:lang w:val="fr-CA"/>
        </w:rPr>
        <w:t>.</w:t>
      </w:r>
    </w:p>
    <w:p w:rsidR="004D7D95" w:rsidRPr="005C33AA" w:rsidRDefault="004D7D95" w:rsidP="00D42258">
      <w:pPr>
        <w:pStyle w:val="SCCNormalDoubleSpacing"/>
        <w:widowControl w:val="0"/>
        <w:spacing w:after="720" w:line="240" w:lineRule="auto"/>
        <w:rPr>
          <w:b/>
          <w:lang w:val="fr-CA"/>
        </w:rPr>
      </w:pPr>
      <w:r w:rsidRPr="005C33AA">
        <w:rPr>
          <w:b/>
          <w:lang w:val="fr-CA"/>
        </w:rPr>
        <w:t>Lois et règlements cités</w:t>
      </w:r>
    </w:p>
    <w:p w:rsidR="004D7D95" w:rsidRPr="005C33AA" w:rsidRDefault="00E979E4" w:rsidP="00D42258">
      <w:pPr>
        <w:pStyle w:val="SCCNormalDoubleSpacing"/>
        <w:widowControl w:val="0"/>
        <w:spacing w:after="720" w:line="240" w:lineRule="auto"/>
        <w:ind w:left="540" w:hanging="540"/>
        <w:rPr>
          <w:lang w:val="fr-CA"/>
        </w:rPr>
      </w:pPr>
      <w:r w:rsidRPr="005C33AA">
        <w:rPr>
          <w:i/>
          <w:lang w:val="fr-CA"/>
        </w:rPr>
        <w:t>Charte canadienne des droits et libertés</w:t>
      </w:r>
      <w:r w:rsidRPr="005C33AA">
        <w:rPr>
          <w:lang w:val="fr-CA"/>
        </w:rPr>
        <w:t xml:space="preserve">, </w:t>
      </w:r>
      <w:r w:rsidR="00D60C0F">
        <w:rPr>
          <w:lang w:val="fr-CA"/>
        </w:rPr>
        <w:t>art. </w:t>
      </w:r>
      <w:r w:rsidR="002D36A5" w:rsidRPr="005C33AA">
        <w:rPr>
          <w:lang w:val="fr-CA"/>
        </w:rPr>
        <w:t xml:space="preserve">7, </w:t>
      </w:r>
      <w:r w:rsidRPr="005C33AA">
        <w:rPr>
          <w:lang w:val="fr-CA"/>
        </w:rPr>
        <w:t>11</w:t>
      </w:r>
      <w:r w:rsidRPr="005C33AA">
        <w:rPr>
          <w:i/>
          <w:lang w:val="fr-CA"/>
        </w:rPr>
        <w:t>b</w:t>
      </w:r>
      <w:r w:rsidRPr="005C33AA">
        <w:rPr>
          <w:lang w:val="fr-CA"/>
        </w:rPr>
        <w:t>)</w:t>
      </w:r>
      <w:r w:rsidR="002D36A5" w:rsidRPr="005C33AA">
        <w:rPr>
          <w:lang w:val="fr-CA"/>
        </w:rPr>
        <w:t>.</w:t>
      </w:r>
    </w:p>
    <w:p w:rsidR="004D7D95" w:rsidRPr="005C33AA" w:rsidRDefault="004D7D95" w:rsidP="00D42258">
      <w:pPr>
        <w:pStyle w:val="SCCNormalDoubleSpacing"/>
        <w:widowControl w:val="0"/>
        <w:spacing w:after="480"/>
        <w:rPr>
          <w:lang w:val="fr-CA"/>
        </w:rPr>
      </w:pPr>
      <w:r w:rsidRPr="005C33AA">
        <w:rPr>
          <w:lang w:val="fr-CA"/>
        </w:rPr>
        <w:tab/>
        <w:t xml:space="preserve">POURVOI </w:t>
      </w:r>
      <w:r w:rsidR="00F65F9A" w:rsidRPr="005C33AA">
        <w:rPr>
          <w:lang w:val="fr-CA"/>
        </w:rPr>
        <w:t>contre un arrêt de la Cour d’appel de Terre</w:t>
      </w:r>
      <w:r w:rsidR="00D60C0F">
        <w:rPr>
          <w:lang w:val="fr-CA"/>
        </w:rPr>
        <w:noBreakHyphen/>
      </w:r>
      <w:r w:rsidR="00F65F9A" w:rsidRPr="005C33AA">
        <w:rPr>
          <w:lang w:val="fr-CA"/>
        </w:rPr>
        <w:t>Neuve</w:t>
      </w:r>
      <w:r w:rsidR="00D60C0F">
        <w:rPr>
          <w:lang w:val="fr-CA"/>
        </w:rPr>
        <w:noBreakHyphen/>
      </w:r>
      <w:r w:rsidR="00F65F9A" w:rsidRPr="005C33AA">
        <w:rPr>
          <w:lang w:val="fr-CA"/>
        </w:rPr>
        <w:t>et</w:t>
      </w:r>
      <w:r w:rsidR="00D60C0F">
        <w:rPr>
          <w:lang w:val="fr-CA"/>
        </w:rPr>
        <w:noBreakHyphen/>
      </w:r>
      <w:r w:rsidR="00F65F9A" w:rsidRPr="005C33AA">
        <w:rPr>
          <w:lang w:val="fr-CA"/>
        </w:rPr>
        <w:t>Labrador (les juges Welsh, White et Hoegg),</w:t>
      </w:r>
      <w:r w:rsidR="001B352D" w:rsidRPr="005C33AA">
        <w:rPr>
          <w:lang w:val="fr-CA"/>
        </w:rPr>
        <w:t xml:space="preserve"> 2016 NLCA 57, 365 C.R.R. (2d) 111, [2016] N.J. </w:t>
      </w:r>
      <w:r w:rsidR="00D60C0F">
        <w:rPr>
          <w:lang w:val="fr-CA"/>
        </w:rPr>
        <w:t>No. </w:t>
      </w:r>
      <w:r w:rsidR="001B352D" w:rsidRPr="005C33AA">
        <w:rPr>
          <w:lang w:val="fr-CA"/>
        </w:rPr>
        <w:t xml:space="preserve">357 (QL), 2016 CarswellNfld 405 (WL Can.), </w:t>
      </w:r>
      <w:r w:rsidR="001D38C1" w:rsidRPr="005C33AA">
        <w:rPr>
          <w:lang w:val="fr-CA"/>
        </w:rPr>
        <w:t xml:space="preserve">qui a </w:t>
      </w:r>
      <w:r w:rsidR="002D36A5" w:rsidRPr="005C33AA">
        <w:rPr>
          <w:lang w:val="fr-CA"/>
        </w:rPr>
        <w:t>annulé l’arrêt des procédures ordonné par le</w:t>
      </w:r>
      <w:r w:rsidR="001D38C1" w:rsidRPr="005C33AA">
        <w:rPr>
          <w:lang w:val="fr-CA"/>
        </w:rPr>
        <w:t xml:space="preserve"> juge Burrage</w:t>
      </w:r>
      <w:r w:rsidR="00F74BC3" w:rsidRPr="005C33AA">
        <w:rPr>
          <w:lang w:val="fr-CA"/>
        </w:rPr>
        <w:t>, 2014 NLTD(G) 161, 359 Nfld</w:t>
      </w:r>
      <w:r w:rsidR="00A0429B" w:rsidRPr="005C33AA">
        <w:rPr>
          <w:lang w:val="fr-CA"/>
        </w:rPr>
        <w:t xml:space="preserve">. &amp; P.E.I.R. 123, </w:t>
      </w:r>
      <w:r w:rsidR="00F74BC3" w:rsidRPr="005C33AA">
        <w:rPr>
          <w:lang w:val="fr-CA"/>
        </w:rPr>
        <w:t>1</w:t>
      </w:r>
      <w:r w:rsidR="00A0429B" w:rsidRPr="005C33AA">
        <w:rPr>
          <w:lang w:val="fr-CA"/>
        </w:rPr>
        <w:t xml:space="preserve">117 A.P.R. 123, [2014] N.J. </w:t>
      </w:r>
      <w:r w:rsidR="00D60C0F">
        <w:rPr>
          <w:lang w:val="fr-CA"/>
        </w:rPr>
        <w:t>No. </w:t>
      </w:r>
      <w:r w:rsidR="00A0429B" w:rsidRPr="005C33AA">
        <w:rPr>
          <w:lang w:val="fr-CA"/>
        </w:rPr>
        <w:t>395 (QL), 2014 CarswellNfld 399 (WL Can.)</w:t>
      </w:r>
      <w:r w:rsidR="008B46C9" w:rsidRPr="005C33AA">
        <w:rPr>
          <w:lang w:val="fr-CA"/>
        </w:rPr>
        <w:t xml:space="preserve">, et </w:t>
      </w:r>
      <w:r w:rsidR="00F9736F" w:rsidRPr="005C33AA">
        <w:rPr>
          <w:lang w:val="fr-CA"/>
        </w:rPr>
        <w:t>renvoyé l’affaire pour qu’elle soit jugée</w:t>
      </w:r>
      <w:r w:rsidR="00F55620" w:rsidRPr="005C33AA">
        <w:rPr>
          <w:lang w:val="fr-CA"/>
        </w:rPr>
        <w:t xml:space="preserve">. </w:t>
      </w:r>
      <w:r w:rsidR="002D36A5" w:rsidRPr="005C33AA">
        <w:rPr>
          <w:lang w:val="fr-CA"/>
        </w:rPr>
        <w:t>Pourvoi accueilli.</w:t>
      </w:r>
    </w:p>
    <w:p w:rsidR="000A37E9" w:rsidRPr="005C33AA" w:rsidRDefault="00A157E9" w:rsidP="00D42258">
      <w:pPr>
        <w:pStyle w:val="SCCNormalDoubleSpacing"/>
        <w:widowControl w:val="0"/>
        <w:spacing w:after="480"/>
        <w:rPr>
          <w:lang w:val="fr-CA"/>
        </w:rPr>
      </w:pPr>
      <w:r w:rsidRPr="005C33AA">
        <w:rPr>
          <w:rStyle w:val="SCCCounselNameChar"/>
          <w:lang w:val="fr-CA"/>
        </w:rPr>
        <w:tab/>
        <w:t>Michael Crystal</w:t>
      </w:r>
      <w:r w:rsidRPr="005C33AA">
        <w:rPr>
          <w:rStyle w:val="SCCCounselSeparatorChar"/>
          <w:lang w:val="fr-CA"/>
        </w:rPr>
        <w:t xml:space="preserve"> et </w:t>
      </w:r>
      <w:r w:rsidRPr="005C33AA">
        <w:rPr>
          <w:rStyle w:val="SCCCounselNameChar"/>
          <w:lang w:val="fr-CA"/>
        </w:rPr>
        <w:t>Frank Addario</w:t>
      </w:r>
      <w:r w:rsidRPr="005C33AA">
        <w:rPr>
          <w:rStyle w:val="SCCCounselPartyRoleChar"/>
          <w:lang w:val="fr-CA"/>
        </w:rPr>
        <w:t xml:space="preserve">, pour </w:t>
      </w:r>
      <w:r w:rsidR="008B46C9" w:rsidRPr="005C33AA">
        <w:rPr>
          <w:rStyle w:val="SCCCounselPartyRoleChar"/>
          <w:lang w:val="fr-CA"/>
        </w:rPr>
        <w:t>l’</w:t>
      </w:r>
      <w:r w:rsidRPr="005C33AA">
        <w:rPr>
          <w:rStyle w:val="SCCCounselPartyRoleChar"/>
          <w:lang w:val="fr-CA"/>
        </w:rPr>
        <w:t>appelant</w:t>
      </w:r>
      <w:r w:rsidR="000F1FAD" w:rsidRPr="005C33AA">
        <w:rPr>
          <w:rStyle w:val="SCCCounselPartyRoleChar"/>
          <w:lang w:val="fr-CA"/>
        </w:rPr>
        <w:t>.</w:t>
      </w:r>
    </w:p>
    <w:p w:rsidR="000A37E9" w:rsidRPr="005C33AA" w:rsidRDefault="00A157E9" w:rsidP="00D42258">
      <w:pPr>
        <w:pStyle w:val="SCCNormalDoubleSpacing"/>
        <w:widowControl w:val="0"/>
        <w:spacing w:after="480"/>
        <w:rPr>
          <w:lang w:val="fr-CA"/>
        </w:rPr>
      </w:pPr>
      <w:r w:rsidRPr="005C33AA">
        <w:rPr>
          <w:rStyle w:val="SCCCounselNameChar"/>
          <w:lang w:val="fr-CA"/>
        </w:rPr>
        <w:tab/>
        <w:t>Croft Michaelson</w:t>
      </w:r>
      <w:r w:rsidRPr="005C33AA">
        <w:rPr>
          <w:rStyle w:val="SCCCounselNameChar"/>
          <w:i w:val="0"/>
          <w:lang w:val="fr-CA"/>
        </w:rPr>
        <w:t>,</w:t>
      </w:r>
      <w:r w:rsidRPr="005C33AA">
        <w:rPr>
          <w:rStyle w:val="SCCCounselNameChar"/>
          <w:lang w:val="fr-CA"/>
        </w:rPr>
        <w:t xml:space="preserve"> </w:t>
      </w:r>
      <w:r w:rsidR="00B52A50" w:rsidRPr="005C33AA">
        <w:rPr>
          <w:rStyle w:val="SCCCounselNameChar"/>
          <w:lang w:val="fr-CA"/>
        </w:rPr>
        <w:t>c.r.</w:t>
      </w:r>
      <w:r w:rsidR="00B52A50" w:rsidRPr="005C33AA">
        <w:rPr>
          <w:rStyle w:val="SCCCounselNameChar"/>
          <w:i w:val="0"/>
          <w:lang w:val="fr-CA"/>
        </w:rPr>
        <w:t>,</w:t>
      </w:r>
      <w:r w:rsidRPr="005C33AA">
        <w:rPr>
          <w:rStyle w:val="SCCCounselSeparatorChar"/>
          <w:i/>
          <w:lang w:val="fr-CA"/>
        </w:rPr>
        <w:t xml:space="preserve"> </w:t>
      </w:r>
      <w:r w:rsidRPr="005C33AA">
        <w:rPr>
          <w:rStyle w:val="SCCCounselSeparatorChar"/>
          <w:lang w:val="fr-CA"/>
        </w:rPr>
        <w:t xml:space="preserve">et </w:t>
      </w:r>
      <w:r w:rsidRPr="005C33AA">
        <w:rPr>
          <w:rStyle w:val="SCCCounselNameChar"/>
          <w:lang w:val="fr-CA"/>
        </w:rPr>
        <w:t>Vanita Goela</w:t>
      </w:r>
      <w:r w:rsidR="00B52A50" w:rsidRPr="005C33AA">
        <w:rPr>
          <w:rStyle w:val="SCCCounselPartyRoleChar"/>
          <w:lang w:val="fr-CA"/>
        </w:rPr>
        <w:t>, pour l’intimée</w:t>
      </w:r>
      <w:r w:rsidRPr="005C33AA">
        <w:rPr>
          <w:rStyle w:val="SCCCounselPartyRoleChar"/>
          <w:lang w:val="fr-CA"/>
        </w:rPr>
        <w:t>.</w:t>
      </w:r>
    </w:p>
    <w:p w:rsidR="000A37E9" w:rsidRPr="005C33AA" w:rsidRDefault="00A157E9" w:rsidP="00D42258">
      <w:pPr>
        <w:pStyle w:val="SCCNormalDoubleSpacing"/>
        <w:widowControl w:val="0"/>
        <w:spacing w:after="480"/>
        <w:rPr>
          <w:lang w:val="fr-CA"/>
        </w:rPr>
      </w:pPr>
      <w:r w:rsidRPr="005C33AA">
        <w:rPr>
          <w:rStyle w:val="SCCCounselNameChar"/>
          <w:lang w:val="fr-CA"/>
        </w:rPr>
        <w:tab/>
        <w:t>Tracy Kozlowski</w:t>
      </w:r>
      <w:r w:rsidR="00B52A50" w:rsidRPr="005C33AA">
        <w:rPr>
          <w:rStyle w:val="SCCCounselPartyRoleChar"/>
          <w:lang w:val="fr-CA"/>
        </w:rPr>
        <w:t>, pour l’intervenant le procureur général de l’</w:t>
      </w:r>
      <w:r w:rsidRPr="005C33AA">
        <w:rPr>
          <w:rStyle w:val="SCCCounselPartyRoleChar"/>
          <w:lang w:val="fr-CA"/>
        </w:rPr>
        <w:t>Ontario.</w:t>
      </w:r>
    </w:p>
    <w:p w:rsidR="00576D82" w:rsidRPr="005C33AA" w:rsidRDefault="00576D82" w:rsidP="00D42258">
      <w:pPr>
        <w:pStyle w:val="SCCNormalDoubleSpacing"/>
        <w:widowControl w:val="0"/>
        <w:spacing w:after="480"/>
        <w:rPr>
          <w:rStyle w:val="SCCCounselPartyRoleChar"/>
          <w:lang w:val="fr-CA"/>
        </w:rPr>
      </w:pPr>
      <w:r w:rsidRPr="005C33AA">
        <w:rPr>
          <w:rStyle w:val="SCCCounselNameChar"/>
          <w:lang w:val="fr-CA"/>
        </w:rPr>
        <w:lastRenderedPageBreak/>
        <w:tab/>
        <w:t>Stéphane Rochette</w:t>
      </w:r>
      <w:r w:rsidRPr="005C33AA">
        <w:rPr>
          <w:rStyle w:val="SCCCounselNameChar"/>
          <w:i w:val="0"/>
          <w:lang w:val="fr-CA"/>
        </w:rPr>
        <w:t xml:space="preserve"> et</w:t>
      </w:r>
      <w:r w:rsidRPr="005C33AA">
        <w:rPr>
          <w:rStyle w:val="SCCCounselNameChar"/>
          <w:lang w:val="fr-CA"/>
        </w:rPr>
        <w:t xml:space="preserve"> </w:t>
      </w:r>
      <w:r w:rsidR="00A418EC" w:rsidRPr="005C33AA">
        <w:rPr>
          <w:rStyle w:val="SCCCounselNameChar"/>
          <w:lang w:val="fr-CA"/>
        </w:rPr>
        <w:t>A</w:t>
      </w:r>
      <w:r w:rsidR="0015418A">
        <w:rPr>
          <w:rStyle w:val="SCCCounselNameChar"/>
          <w:lang w:val="fr-CA"/>
        </w:rPr>
        <w:t>b</w:t>
      </w:r>
      <w:r w:rsidR="00A418EC" w:rsidRPr="005C33AA">
        <w:rPr>
          <w:rStyle w:val="SCCCounselNameChar"/>
          <w:lang w:val="fr-CA"/>
        </w:rPr>
        <w:t>d</w:t>
      </w:r>
      <w:r w:rsidRPr="005C33AA">
        <w:rPr>
          <w:rStyle w:val="SCCCounselNameChar"/>
          <w:lang w:val="fr-CA"/>
        </w:rPr>
        <w:t>ou Thiaw</w:t>
      </w:r>
      <w:r w:rsidRPr="005C33AA">
        <w:rPr>
          <w:rStyle w:val="SCCCounselPartyRoleChar"/>
          <w:lang w:val="fr-CA"/>
        </w:rPr>
        <w:t>, pour l’intervenante la procureure générale du Québec.</w:t>
      </w:r>
    </w:p>
    <w:p w:rsidR="00572E5F" w:rsidRPr="005C33AA" w:rsidRDefault="00424FAA" w:rsidP="00D42258">
      <w:pPr>
        <w:pStyle w:val="SCCNormalDoubleSpacing"/>
        <w:widowControl w:val="0"/>
        <w:spacing w:after="480"/>
        <w:rPr>
          <w:lang w:val="fr-CA"/>
        </w:rPr>
      </w:pPr>
      <w:r w:rsidRPr="005C33AA">
        <w:rPr>
          <w:rStyle w:val="SCCCounselNameChar"/>
          <w:lang w:val="fr-CA"/>
        </w:rPr>
        <w:tab/>
        <w:t>Ami</w:t>
      </w:r>
      <w:r w:rsidR="00572E5F" w:rsidRPr="005C33AA">
        <w:rPr>
          <w:rStyle w:val="SCCCounselNameChar"/>
          <w:lang w:val="fr-CA"/>
        </w:rPr>
        <w:t xml:space="preserve"> Kotler</w:t>
      </w:r>
      <w:r w:rsidR="0072358A" w:rsidRPr="005C33AA">
        <w:rPr>
          <w:rStyle w:val="SCCCounselPartyRoleChar"/>
          <w:lang w:val="fr-CA"/>
        </w:rPr>
        <w:t>, pour l’intervenant le p</w:t>
      </w:r>
      <w:r w:rsidR="00572E5F" w:rsidRPr="005C33AA">
        <w:rPr>
          <w:rStyle w:val="SCCCounselPartyRoleChar"/>
          <w:lang w:val="fr-CA"/>
        </w:rPr>
        <w:t>rocureur général du Manitoba.</w:t>
      </w:r>
    </w:p>
    <w:p w:rsidR="0072358A" w:rsidRPr="005C33AA" w:rsidRDefault="0072358A" w:rsidP="00D42258">
      <w:pPr>
        <w:pStyle w:val="SCCNormalDoubleSpacing"/>
        <w:widowControl w:val="0"/>
        <w:spacing w:after="480"/>
        <w:rPr>
          <w:lang w:val="fr-CA"/>
        </w:rPr>
      </w:pPr>
      <w:r w:rsidRPr="005C33AA">
        <w:rPr>
          <w:rStyle w:val="SCCCounselNameChar"/>
          <w:lang w:val="fr-CA"/>
        </w:rPr>
        <w:tab/>
        <w:t>Trevor Shaw</w:t>
      </w:r>
      <w:r w:rsidR="00A418EC" w:rsidRPr="005C33AA">
        <w:rPr>
          <w:rStyle w:val="SCCCounselPartyRoleChar"/>
          <w:lang w:val="fr-CA"/>
        </w:rPr>
        <w:t>, pour l’intervenant le</w:t>
      </w:r>
      <w:r w:rsidRPr="005C33AA">
        <w:rPr>
          <w:rStyle w:val="SCCCounselPartyRoleChar"/>
          <w:lang w:val="fr-CA"/>
        </w:rPr>
        <w:t xml:space="preserve"> procureur général de la Colombie</w:t>
      </w:r>
      <w:r w:rsidR="00D60C0F">
        <w:rPr>
          <w:rStyle w:val="SCCCounselPartyRoleChar"/>
          <w:lang w:val="fr-CA"/>
        </w:rPr>
        <w:noBreakHyphen/>
      </w:r>
      <w:r w:rsidRPr="005C33AA">
        <w:rPr>
          <w:rStyle w:val="SCCCounselPartyRoleChar"/>
          <w:lang w:val="fr-CA"/>
        </w:rPr>
        <w:t>Britannique.</w:t>
      </w:r>
    </w:p>
    <w:p w:rsidR="0072358A" w:rsidRPr="005C33AA" w:rsidRDefault="0072358A" w:rsidP="00D42258">
      <w:pPr>
        <w:pStyle w:val="SCCNormalDoubleSpacing"/>
        <w:widowControl w:val="0"/>
        <w:spacing w:after="480"/>
        <w:rPr>
          <w:lang w:val="fr-CA"/>
        </w:rPr>
      </w:pPr>
      <w:r w:rsidRPr="005C33AA">
        <w:rPr>
          <w:rStyle w:val="SCCCounselNameChar"/>
          <w:lang w:val="fr-CA"/>
        </w:rPr>
        <w:tab/>
        <w:t>David A. Labrenz</w:t>
      </w:r>
      <w:r w:rsidRPr="005C33AA">
        <w:rPr>
          <w:rStyle w:val="SCCCounselNameChar"/>
          <w:i w:val="0"/>
          <w:lang w:val="fr-CA"/>
        </w:rPr>
        <w:t>,</w:t>
      </w:r>
      <w:r w:rsidRPr="005C33AA">
        <w:rPr>
          <w:rStyle w:val="SCCCounselNameChar"/>
          <w:lang w:val="fr-CA"/>
        </w:rPr>
        <w:t xml:space="preserve"> c.r.</w:t>
      </w:r>
      <w:r w:rsidRPr="005C33AA">
        <w:rPr>
          <w:rStyle w:val="SCCCounselPartyRoleChar"/>
          <w:lang w:val="fr-CA"/>
        </w:rPr>
        <w:t>, pour l’intervenant le procureur général de l’Alberta.</w:t>
      </w:r>
    </w:p>
    <w:p w:rsidR="000A37E9" w:rsidRPr="005C33AA" w:rsidRDefault="00A157E9" w:rsidP="00D42258">
      <w:pPr>
        <w:pStyle w:val="SCCNormalDoubleSpacing"/>
        <w:widowControl w:val="0"/>
        <w:spacing w:after="480"/>
        <w:rPr>
          <w:lang w:val="fr-CA"/>
        </w:rPr>
      </w:pPr>
      <w:r w:rsidRPr="005C33AA">
        <w:rPr>
          <w:rStyle w:val="SCCCounselNameChar"/>
          <w:lang w:val="fr-CA"/>
        </w:rPr>
        <w:tab/>
        <w:t>Nicolas Abran</w:t>
      </w:r>
      <w:r w:rsidRPr="005C33AA">
        <w:rPr>
          <w:rStyle w:val="SCCCounselSeparatorChar"/>
          <w:lang w:val="fr-CA"/>
        </w:rPr>
        <w:t xml:space="preserve"> et </w:t>
      </w:r>
      <w:r w:rsidRPr="005C33AA">
        <w:rPr>
          <w:rStyle w:val="SCCCounselNameChar"/>
          <w:lang w:val="fr-CA"/>
        </w:rPr>
        <w:t>Daniel Royer</w:t>
      </w:r>
      <w:r w:rsidR="00AB2328" w:rsidRPr="005C33AA">
        <w:rPr>
          <w:rStyle w:val="SCCCounselPartyRoleChar"/>
          <w:lang w:val="fr-CA"/>
        </w:rPr>
        <w:t>, pour l’intervenant le d</w:t>
      </w:r>
      <w:r w:rsidRPr="005C33AA">
        <w:rPr>
          <w:rStyle w:val="SCCCounselPartyRoleChar"/>
          <w:lang w:val="fr-CA"/>
        </w:rPr>
        <w:t>irecteur des poursuites criminelles et pénales.</w:t>
      </w:r>
    </w:p>
    <w:p w:rsidR="00F74BC3" w:rsidRDefault="00A157E9" w:rsidP="00D42258">
      <w:pPr>
        <w:pStyle w:val="SCCNormalDoubleSpacing"/>
        <w:widowControl w:val="0"/>
        <w:spacing w:after="480"/>
        <w:rPr>
          <w:rStyle w:val="SCCCounselPartyRoleChar"/>
          <w:lang w:val="fr-CA"/>
        </w:rPr>
      </w:pPr>
      <w:r w:rsidRPr="005C33AA">
        <w:rPr>
          <w:rStyle w:val="SCCCounselNameChar"/>
          <w:lang w:val="fr-CA"/>
        </w:rPr>
        <w:tab/>
        <w:t>Megan Savard</w:t>
      </w:r>
      <w:r w:rsidR="00AB2328" w:rsidRPr="005C33AA">
        <w:rPr>
          <w:rStyle w:val="SCCCounselPartyRoleChar"/>
          <w:lang w:val="fr-CA"/>
        </w:rPr>
        <w:t>, pour l’intervenante Criminal Lawyers’</w:t>
      </w:r>
      <w:r w:rsidRPr="005C33AA">
        <w:rPr>
          <w:rStyle w:val="SCCCounselPartyRoleChar"/>
          <w:lang w:val="fr-CA"/>
        </w:rPr>
        <w:t xml:space="preserve"> Association of </w:t>
      </w:r>
      <w:r w:rsidRPr="005C33AA">
        <w:rPr>
          <w:lang w:val="fr-CA"/>
        </w:rPr>
        <w:t>Ontario</w:t>
      </w:r>
      <w:r w:rsidRPr="005C33AA">
        <w:rPr>
          <w:rStyle w:val="SCCCounselPartyRoleChar"/>
          <w:lang w:val="fr-CA"/>
        </w:rPr>
        <w:t>.</w:t>
      </w:r>
    </w:p>
    <w:p w:rsidR="001020F9" w:rsidRDefault="001020F9" w:rsidP="00D42258">
      <w:pPr>
        <w:widowControl w:val="0"/>
        <w:ind w:firstLine="720"/>
        <w:rPr>
          <w:lang w:val="fr-CA"/>
        </w:rPr>
      </w:pPr>
      <w:r w:rsidRPr="006F5BBC">
        <w:rPr>
          <w:lang w:val="fr-CA"/>
        </w:rPr>
        <w:t>V</w:t>
      </w:r>
      <w:r>
        <w:rPr>
          <w:lang w:val="fr-CA"/>
        </w:rPr>
        <w:t>ersion française du jugement</w:t>
      </w:r>
      <w:r w:rsidRPr="006F5BBC">
        <w:rPr>
          <w:lang w:val="fr-CA"/>
        </w:rPr>
        <w:t xml:space="preserve"> rendu par</w:t>
      </w:r>
    </w:p>
    <w:p w:rsidR="001020F9" w:rsidRPr="002F3904" w:rsidRDefault="001020F9" w:rsidP="00D42258">
      <w:pPr>
        <w:widowControl w:val="0"/>
        <w:rPr>
          <w:szCs w:val="24"/>
          <w:lang w:val="fr-CA"/>
        </w:rPr>
      </w:pPr>
    </w:p>
    <w:p w:rsidR="001020F9" w:rsidRPr="00726732" w:rsidRDefault="001020F9" w:rsidP="00D42258">
      <w:pPr>
        <w:pStyle w:val="JudgeJuge"/>
        <w:widowControl w:val="0"/>
        <w:tabs>
          <w:tab w:val="clear" w:pos="1166"/>
          <w:tab w:val="left" w:pos="720"/>
        </w:tabs>
        <w:spacing w:before="480"/>
        <w:rPr>
          <w:lang w:val="fr-CA"/>
        </w:rPr>
      </w:pPr>
      <w:r w:rsidRPr="00726732">
        <w:rPr>
          <w:lang w:val="fr-CA"/>
        </w:rPr>
        <w:tab/>
        <w:t xml:space="preserve">La Cour — </w:t>
      </w:r>
    </w:p>
    <w:p w:rsidR="001020F9" w:rsidRPr="00726732" w:rsidRDefault="001020F9" w:rsidP="00D42258">
      <w:pPr>
        <w:pStyle w:val="Title1LevelTitre1Niveau-AltL"/>
        <w:widowControl w:val="0"/>
        <w:rPr>
          <w:rFonts w:cs="Times New Roman"/>
          <w:lang w:val="fr-CA"/>
        </w:rPr>
      </w:pPr>
      <w:r w:rsidRPr="00726732">
        <w:rPr>
          <w:rFonts w:cs="Times New Roman"/>
          <w:lang w:val="fr-CA"/>
        </w:rPr>
        <w:t>Introduction</w:t>
      </w:r>
    </w:p>
    <w:p w:rsidR="001020F9" w:rsidRPr="00726732" w:rsidRDefault="001020F9" w:rsidP="00D42258">
      <w:pPr>
        <w:pStyle w:val="ParaNoNdepar-AltN"/>
        <w:widowControl w:val="0"/>
        <w:rPr>
          <w:rFonts w:cs="Times New Roman"/>
          <w:lang w:val="fr-CA"/>
        </w:rPr>
      </w:pPr>
      <w:r w:rsidRPr="00726732">
        <w:rPr>
          <w:rFonts w:cs="Times New Roman"/>
          <w:lang w:val="fr-CA"/>
        </w:rPr>
        <w:t>Dans l</w:t>
      </w:r>
      <w:r>
        <w:rPr>
          <w:rFonts w:cs="Times New Roman"/>
          <w:lang w:val="fr-CA"/>
        </w:rPr>
        <w:t>’</w:t>
      </w:r>
      <w:r w:rsidRPr="00726732">
        <w:rPr>
          <w:rFonts w:cs="Times New Roman"/>
          <w:lang w:val="fr-CA"/>
        </w:rPr>
        <w:t xml:space="preserve">arrêt </w:t>
      </w:r>
      <w:r w:rsidRPr="00726732">
        <w:rPr>
          <w:rFonts w:cs="Times New Roman"/>
          <w:i/>
          <w:lang w:val="fr-CA"/>
        </w:rPr>
        <w:t>R. c. Jordan</w:t>
      </w:r>
      <w:r w:rsidRPr="00726732">
        <w:rPr>
          <w:rFonts w:cs="Times New Roman"/>
          <w:lang w:val="fr-CA"/>
        </w:rPr>
        <w:t>, 2016 CSC 27, [2016] 1 R.C.S. 631, la Cour a constaté l</w:t>
      </w:r>
      <w:r>
        <w:rPr>
          <w:rFonts w:cs="Times New Roman"/>
          <w:lang w:val="fr-CA"/>
        </w:rPr>
        <w:t>’</w:t>
      </w:r>
      <w:r w:rsidRPr="00726732">
        <w:rPr>
          <w:rFonts w:cs="Times New Roman"/>
          <w:lang w:val="fr-CA"/>
        </w:rPr>
        <w:t>existence d</w:t>
      </w:r>
      <w:r>
        <w:rPr>
          <w:rFonts w:cs="Times New Roman"/>
          <w:lang w:val="fr-CA"/>
        </w:rPr>
        <w:t>’</w:t>
      </w:r>
      <w:r w:rsidRPr="00726732">
        <w:rPr>
          <w:rFonts w:cs="Times New Roman"/>
          <w:lang w:val="fr-CA"/>
        </w:rPr>
        <w:t>une culture de complaisance à l</w:t>
      </w:r>
      <w:r>
        <w:rPr>
          <w:rFonts w:cs="Times New Roman"/>
          <w:lang w:val="fr-CA"/>
        </w:rPr>
        <w:t>’</w:t>
      </w:r>
      <w:r w:rsidRPr="00726732">
        <w:rPr>
          <w:rFonts w:cs="Times New Roman"/>
          <w:lang w:val="fr-CA"/>
        </w:rPr>
        <w:t xml:space="preserve">égard des délais dans le système </w:t>
      </w:r>
      <w:r w:rsidRPr="00726732">
        <w:rPr>
          <w:rFonts w:cs="Times New Roman"/>
          <w:lang w:val="fr-CA"/>
        </w:rPr>
        <w:lastRenderedPageBreak/>
        <w:t>de justice criminelle. Les difficultés sur les plans théorique et pratique qui affligeaient le cadre d</w:t>
      </w:r>
      <w:r>
        <w:rPr>
          <w:rFonts w:cs="Times New Roman"/>
          <w:lang w:val="fr-CA"/>
        </w:rPr>
        <w:t>’</w:t>
      </w:r>
      <w:r w:rsidRPr="00726732">
        <w:rPr>
          <w:rFonts w:cs="Times New Roman"/>
          <w:lang w:val="fr-CA"/>
        </w:rPr>
        <w:t>analyse alors applicable au droit d</w:t>
      </w:r>
      <w:r>
        <w:rPr>
          <w:rFonts w:cs="Times New Roman"/>
          <w:lang w:val="fr-CA"/>
        </w:rPr>
        <w:t>’</w:t>
      </w:r>
      <w:r w:rsidRPr="00726732">
        <w:rPr>
          <w:rFonts w:cs="Times New Roman"/>
          <w:lang w:val="fr-CA"/>
        </w:rPr>
        <w:t>être jugé dans un délai raisonnable garanti aux inculpés par l</w:t>
      </w:r>
      <w:r>
        <w:rPr>
          <w:rFonts w:cs="Times New Roman"/>
          <w:lang w:val="fr-CA"/>
        </w:rPr>
        <w:t>’</w:t>
      </w:r>
      <w:r w:rsidRPr="00726732">
        <w:rPr>
          <w:rFonts w:cs="Times New Roman"/>
          <w:lang w:val="fr-CA"/>
        </w:rPr>
        <w:t>al. 11</w:t>
      </w:r>
      <w:r w:rsidRPr="00726732">
        <w:rPr>
          <w:rFonts w:cs="Times New Roman"/>
          <w:i/>
          <w:lang w:val="fr-CA"/>
        </w:rPr>
        <w:t>b</w:t>
      </w:r>
      <w:r w:rsidRPr="00726732">
        <w:rPr>
          <w:rFonts w:cs="Times New Roman"/>
          <w:lang w:val="fr-CA"/>
        </w:rPr>
        <w:t xml:space="preserve">) de la </w:t>
      </w:r>
      <w:r w:rsidRPr="00726732">
        <w:rPr>
          <w:rFonts w:cs="Times New Roman"/>
          <w:i/>
          <w:lang w:val="fr-CA"/>
        </w:rPr>
        <w:t>Charte canadienne des droits et libertés</w:t>
      </w:r>
      <w:r w:rsidRPr="00726732">
        <w:rPr>
          <w:rFonts w:cs="Times New Roman"/>
          <w:lang w:val="fr-CA"/>
        </w:rPr>
        <w:t xml:space="preserve"> ont contribué à cette culture. Ce pourvoi illustre une fois de plus pourquoi un changement est nécessaire. Entre le moment où l</w:t>
      </w:r>
      <w:r>
        <w:rPr>
          <w:rFonts w:cs="Times New Roman"/>
          <w:lang w:val="fr-CA"/>
        </w:rPr>
        <w:t>’</w:t>
      </w:r>
      <w:r w:rsidRPr="00726732">
        <w:rPr>
          <w:rFonts w:cs="Times New Roman"/>
          <w:lang w:val="fr-CA"/>
        </w:rPr>
        <w:t>appelant James Cody a été accusé d</w:t>
      </w:r>
      <w:r>
        <w:rPr>
          <w:rFonts w:cs="Times New Roman"/>
          <w:lang w:val="fr-CA"/>
        </w:rPr>
        <w:t>’</w:t>
      </w:r>
      <w:r w:rsidRPr="00726732">
        <w:rPr>
          <w:rFonts w:cs="Times New Roman"/>
          <w:lang w:val="fr-CA"/>
        </w:rPr>
        <w:t xml:space="preserve">infractions liées aux drogues et aux armes et la date à laquelle son </w:t>
      </w:r>
      <w:r w:rsidRPr="00726732">
        <w:rPr>
          <w:rFonts w:cs="Times New Roman"/>
          <w:i/>
          <w:lang w:val="fr-CA"/>
        </w:rPr>
        <w:t>procès de cinq jours</w:t>
      </w:r>
      <w:r w:rsidRPr="00726732">
        <w:rPr>
          <w:rFonts w:cs="Times New Roman"/>
          <w:lang w:val="fr-CA"/>
        </w:rPr>
        <w:t xml:space="preserve"> devait commencer (date antérieure à l</w:t>
      </w:r>
      <w:r>
        <w:rPr>
          <w:rFonts w:cs="Times New Roman"/>
          <w:lang w:val="fr-CA"/>
        </w:rPr>
        <w:t>’</w:t>
      </w:r>
      <w:r w:rsidRPr="00726732">
        <w:rPr>
          <w:rFonts w:cs="Times New Roman"/>
          <w:lang w:val="fr-CA"/>
        </w:rPr>
        <w:t xml:space="preserve">arrêt </w:t>
      </w:r>
      <w:r w:rsidRPr="00726732">
        <w:rPr>
          <w:rFonts w:cs="Times New Roman"/>
          <w:i/>
          <w:lang w:val="fr-CA"/>
        </w:rPr>
        <w:t>Jordan</w:t>
      </w:r>
      <w:r w:rsidRPr="00726732">
        <w:rPr>
          <w:rFonts w:cs="Times New Roman"/>
          <w:lang w:val="fr-CA"/>
        </w:rPr>
        <w:t xml:space="preserve"> de notre Cour), </w:t>
      </w:r>
      <w:r w:rsidRPr="00726732">
        <w:rPr>
          <w:rFonts w:cs="Times New Roman"/>
          <w:i/>
          <w:lang w:val="fr-CA"/>
        </w:rPr>
        <w:t>cinq années</w:t>
      </w:r>
      <w:r w:rsidRPr="00726732">
        <w:rPr>
          <w:rFonts w:cs="Times New Roman"/>
          <w:lang w:val="fr-CA"/>
        </w:rPr>
        <w:t xml:space="preserve"> complètes se sont écoulées. Comme nous l</w:t>
      </w:r>
      <w:r>
        <w:rPr>
          <w:rFonts w:cs="Times New Roman"/>
          <w:lang w:val="fr-CA"/>
        </w:rPr>
        <w:t>’</w:t>
      </w:r>
      <w:r w:rsidRPr="00726732">
        <w:rPr>
          <w:rFonts w:cs="Times New Roman"/>
          <w:lang w:val="fr-CA"/>
        </w:rPr>
        <w:t xml:space="preserve">expliquerons plus loin, tant le ministère public que la défense et le système ont contribué à ce délai. Cela nous amène à réitérer ce que notre Cour a précisé dans </w:t>
      </w:r>
      <w:r w:rsidRPr="00726732">
        <w:rPr>
          <w:rFonts w:cs="Times New Roman"/>
          <w:i/>
          <w:lang w:val="fr-CA"/>
        </w:rPr>
        <w:t>Jordan</w:t>
      </w:r>
      <w:r w:rsidRPr="00726732">
        <w:rPr>
          <w:rFonts w:cs="Times New Roman"/>
          <w:lang w:val="fr-CA"/>
        </w:rPr>
        <w:t>, à savoir que chaque acteur au sein du système judiciaire a la responsabilité de s</w:t>
      </w:r>
      <w:r>
        <w:rPr>
          <w:rFonts w:cs="Times New Roman"/>
          <w:lang w:val="fr-CA"/>
        </w:rPr>
        <w:t>’</w:t>
      </w:r>
      <w:r w:rsidRPr="00726732">
        <w:rPr>
          <w:rFonts w:cs="Times New Roman"/>
          <w:lang w:val="fr-CA"/>
        </w:rPr>
        <w:t>assurer que les procédures criminelles se déroulent de manière compatible avec le droit de l</w:t>
      </w:r>
      <w:r>
        <w:rPr>
          <w:rFonts w:cs="Times New Roman"/>
          <w:lang w:val="fr-CA"/>
        </w:rPr>
        <w:t>’</w:t>
      </w:r>
      <w:r w:rsidRPr="00726732">
        <w:rPr>
          <w:rFonts w:cs="Times New Roman"/>
          <w:lang w:val="fr-CA"/>
        </w:rPr>
        <w:t>inculpé d</w:t>
      </w:r>
      <w:r>
        <w:rPr>
          <w:rFonts w:cs="Times New Roman"/>
          <w:lang w:val="fr-CA"/>
        </w:rPr>
        <w:t>’</w:t>
      </w:r>
      <w:r w:rsidRPr="00726732">
        <w:rPr>
          <w:rFonts w:cs="Times New Roman"/>
          <w:lang w:val="fr-CA"/>
        </w:rPr>
        <w:t>être jugé dans un délai raisonnable.</w:t>
      </w:r>
    </w:p>
    <w:p w:rsidR="001020F9" w:rsidRPr="00726732" w:rsidRDefault="001020F9" w:rsidP="00D42258">
      <w:pPr>
        <w:pStyle w:val="ParaNoNdepar-AltN"/>
        <w:widowControl w:val="0"/>
        <w:rPr>
          <w:rFonts w:cs="Times New Roman"/>
          <w:lang w:val="fr-CA"/>
        </w:rPr>
      </w:pPr>
      <w:r w:rsidRPr="00726732">
        <w:rPr>
          <w:rFonts w:cs="Times New Roman"/>
          <w:lang w:val="fr-CA"/>
        </w:rPr>
        <w:t>Appliquant l</w:t>
      </w:r>
      <w:r>
        <w:rPr>
          <w:rFonts w:cs="Times New Roman"/>
          <w:lang w:val="fr-CA"/>
        </w:rPr>
        <w:t>’</w:t>
      </w:r>
      <w:r w:rsidRPr="00726732">
        <w:rPr>
          <w:rFonts w:cs="Times New Roman"/>
          <w:lang w:val="fr-CA"/>
        </w:rPr>
        <w:t>ancien cadre d</w:t>
      </w:r>
      <w:r>
        <w:rPr>
          <w:rFonts w:cs="Times New Roman"/>
          <w:lang w:val="fr-CA"/>
        </w:rPr>
        <w:t>’</w:t>
      </w:r>
      <w:r w:rsidRPr="00726732">
        <w:rPr>
          <w:rFonts w:cs="Times New Roman"/>
          <w:lang w:val="fr-CA"/>
        </w:rPr>
        <w:t xml:space="preserve">analyse établi dans </w:t>
      </w:r>
      <w:r w:rsidRPr="00726732" w:rsidDel="0018295B">
        <w:rPr>
          <w:rFonts w:cs="Times New Roman"/>
          <w:i/>
          <w:lang w:val="fr-CA"/>
        </w:rPr>
        <w:t xml:space="preserve">R. </w:t>
      </w:r>
      <w:r w:rsidRPr="00726732">
        <w:rPr>
          <w:rFonts w:cs="Times New Roman"/>
          <w:i/>
          <w:lang w:val="fr-CA"/>
        </w:rPr>
        <w:t>c</w:t>
      </w:r>
      <w:r w:rsidRPr="00726732" w:rsidDel="0018295B">
        <w:rPr>
          <w:rFonts w:cs="Times New Roman"/>
          <w:i/>
          <w:lang w:val="fr-CA"/>
        </w:rPr>
        <w:t>. Morin</w:t>
      </w:r>
      <w:r w:rsidRPr="00726732" w:rsidDel="0018295B">
        <w:rPr>
          <w:rFonts w:cs="Times New Roman"/>
          <w:lang w:val="fr-CA"/>
        </w:rPr>
        <w:t xml:space="preserve">, [1992] 1 </w:t>
      </w:r>
      <w:r w:rsidRPr="00726732">
        <w:rPr>
          <w:rFonts w:cs="Times New Roman"/>
          <w:lang w:val="fr-CA"/>
        </w:rPr>
        <w:t>R.C.S.</w:t>
      </w:r>
      <w:r w:rsidRPr="00726732" w:rsidDel="0018295B">
        <w:rPr>
          <w:rFonts w:cs="Times New Roman"/>
          <w:lang w:val="fr-CA"/>
        </w:rPr>
        <w:t xml:space="preserve"> 7</w:t>
      </w:r>
      <w:r w:rsidRPr="00726732">
        <w:rPr>
          <w:rFonts w:cs="Times New Roman"/>
          <w:lang w:val="fr-CA"/>
        </w:rPr>
        <w:t>7</w:t>
      </w:r>
      <w:r w:rsidRPr="00726732" w:rsidDel="0018295B">
        <w:rPr>
          <w:rFonts w:cs="Times New Roman"/>
          <w:lang w:val="fr-CA"/>
        </w:rPr>
        <w:t>1</w:t>
      </w:r>
      <w:r w:rsidRPr="00726732">
        <w:rPr>
          <w:rFonts w:cs="Times New Roman"/>
          <w:lang w:val="fr-CA"/>
        </w:rPr>
        <w:t>, le juge de première instance a conclu à la violation du droit que l</w:t>
      </w:r>
      <w:r>
        <w:rPr>
          <w:rFonts w:cs="Times New Roman"/>
          <w:lang w:val="fr-CA"/>
        </w:rPr>
        <w:t>’</w:t>
      </w:r>
      <w:r w:rsidRPr="00726732">
        <w:rPr>
          <w:rFonts w:cs="Times New Roman"/>
          <w:lang w:val="fr-CA"/>
        </w:rPr>
        <w:t>al. 11</w:t>
      </w:r>
      <w:r w:rsidRPr="00726732">
        <w:rPr>
          <w:rFonts w:cs="Times New Roman"/>
          <w:i/>
          <w:lang w:val="fr-CA"/>
        </w:rPr>
        <w:t>b</w:t>
      </w:r>
      <w:r w:rsidRPr="00726732">
        <w:rPr>
          <w:rFonts w:cs="Times New Roman"/>
          <w:lang w:val="fr-CA"/>
        </w:rPr>
        <w:t xml:space="preserve">) de la </w:t>
      </w:r>
      <w:r w:rsidRPr="00726732">
        <w:rPr>
          <w:rFonts w:cs="Times New Roman"/>
          <w:i/>
          <w:lang w:val="fr-CA"/>
        </w:rPr>
        <w:t>Charte</w:t>
      </w:r>
      <w:r w:rsidRPr="00726732">
        <w:rPr>
          <w:rFonts w:cs="Times New Roman"/>
          <w:lang w:val="fr-CA"/>
        </w:rPr>
        <w:t xml:space="preserve"> garantit à M. Cody, et il a ordonné l</w:t>
      </w:r>
      <w:r>
        <w:rPr>
          <w:rFonts w:cs="Times New Roman"/>
          <w:lang w:val="fr-CA"/>
        </w:rPr>
        <w:t>’</w:t>
      </w:r>
      <w:r w:rsidRPr="00726732">
        <w:rPr>
          <w:rFonts w:cs="Times New Roman"/>
          <w:lang w:val="fr-CA"/>
        </w:rPr>
        <w:t>arrêt des procédures. Les juges majoritaires de la Cour d</w:t>
      </w:r>
      <w:r>
        <w:rPr>
          <w:rFonts w:cs="Times New Roman"/>
          <w:lang w:val="fr-CA"/>
        </w:rPr>
        <w:t>’</w:t>
      </w:r>
      <w:r w:rsidRPr="00726732">
        <w:rPr>
          <w:rFonts w:cs="Times New Roman"/>
          <w:lang w:val="fr-CA"/>
        </w:rPr>
        <w:t>appel de Terre</w:t>
      </w:r>
      <w:r w:rsidRPr="00726732">
        <w:rPr>
          <w:rFonts w:cs="Times New Roman"/>
          <w:lang w:val="fr-CA"/>
        </w:rPr>
        <w:noBreakHyphen/>
        <w:t>Neuve</w:t>
      </w:r>
      <w:r w:rsidRPr="00726732">
        <w:rPr>
          <w:rFonts w:cs="Times New Roman"/>
          <w:lang w:val="fr-CA"/>
        </w:rPr>
        <w:noBreakHyphen/>
        <w:t>et</w:t>
      </w:r>
      <w:r w:rsidRPr="00726732">
        <w:rPr>
          <w:rFonts w:cs="Times New Roman"/>
          <w:lang w:val="fr-CA"/>
        </w:rPr>
        <w:noBreakHyphen/>
        <w:t>Labrador ont infirmé cette décision et ont renvoyé l</w:t>
      </w:r>
      <w:r>
        <w:rPr>
          <w:rFonts w:cs="Times New Roman"/>
          <w:lang w:val="fr-CA"/>
        </w:rPr>
        <w:t>’</w:t>
      </w:r>
      <w:r w:rsidRPr="00726732">
        <w:rPr>
          <w:rFonts w:cs="Times New Roman"/>
          <w:lang w:val="fr-CA"/>
        </w:rPr>
        <w:t>affaire pour qu</w:t>
      </w:r>
      <w:r>
        <w:rPr>
          <w:rFonts w:cs="Times New Roman"/>
          <w:lang w:val="fr-CA"/>
        </w:rPr>
        <w:t>’</w:t>
      </w:r>
      <w:r w:rsidRPr="00726732">
        <w:rPr>
          <w:rFonts w:cs="Times New Roman"/>
          <w:lang w:val="fr-CA"/>
        </w:rPr>
        <w:t xml:space="preserve">elle soit jugée. M. Cody se pourvoit maintenant de plein droit devant notre Cour. </w:t>
      </w:r>
    </w:p>
    <w:p w:rsidR="001020F9" w:rsidRPr="00726732" w:rsidRDefault="001020F9" w:rsidP="00D42258">
      <w:pPr>
        <w:pStyle w:val="ParaNoNdepar-AltN"/>
        <w:widowControl w:val="0"/>
        <w:rPr>
          <w:rFonts w:cs="Times New Roman"/>
          <w:lang w:val="fr-CA"/>
        </w:rPr>
      </w:pPr>
      <w:r w:rsidRPr="00726732">
        <w:rPr>
          <w:rFonts w:cs="Times New Roman"/>
          <w:lang w:val="fr-CA"/>
        </w:rPr>
        <w:t>Un certain nombre des procureurs généraux provinciaux qui sont intervenus ont demandé à la Cour de modifier le cadre d</w:t>
      </w:r>
      <w:r>
        <w:rPr>
          <w:rFonts w:cs="Times New Roman"/>
          <w:lang w:val="fr-CA"/>
        </w:rPr>
        <w:t>’</w:t>
      </w:r>
      <w:r w:rsidRPr="00726732">
        <w:rPr>
          <w:rFonts w:cs="Times New Roman"/>
          <w:lang w:val="fr-CA"/>
        </w:rPr>
        <w:t xml:space="preserve">analyse établi dans </w:t>
      </w:r>
      <w:r w:rsidRPr="00726732">
        <w:rPr>
          <w:rFonts w:cs="Times New Roman"/>
          <w:i/>
          <w:lang w:val="fr-CA"/>
        </w:rPr>
        <w:t xml:space="preserve">Jordan </w:t>
      </w:r>
      <w:r w:rsidRPr="00726732">
        <w:rPr>
          <w:rFonts w:cs="Times New Roman"/>
          <w:lang w:val="fr-CA"/>
        </w:rPr>
        <w:t xml:space="preserve">afin de permettre une plus grande souplesse dans la déduction et la justification des </w:t>
      </w:r>
      <w:r w:rsidRPr="00726732">
        <w:rPr>
          <w:rFonts w:cs="Times New Roman"/>
          <w:lang w:val="fr-CA"/>
        </w:rPr>
        <w:lastRenderedPageBreak/>
        <w:t>délais. Mais l</w:t>
      </w:r>
      <w:r>
        <w:rPr>
          <w:rFonts w:cs="Times New Roman"/>
          <w:lang w:val="fr-CA"/>
        </w:rPr>
        <w:t>’</w:t>
      </w:r>
      <w:r w:rsidRPr="00726732">
        <w:rPr>
          <w:rFonts w:cs="Times New Roman"/>
          <w:lang w:val="fr-CA"/>
        </w:rPr>
        <w:t xml:space="preserve">arrêt </w:t>
      </w:r>
      <w:r w:rsidRPr="00726732">
        <w:rPr>
          <w:rFonts w:cs="Times New Roman"/>
          <w:i/>
          <w:lang w:val="fr-FR"/>
        </w:rPr>
        <w:t>Jordan</w:t>
      </w:r>
      <w:r w:rsidRPr="00726732">
        <w:rPr>
          <w:rFonts w:cs="Times New Roman"/>
          <w:lang w:val="fr-FR"/>
        </w:rPr>
        <w:t xml:space="preserve"> a été rendu il y a moins d</w:t>
      </w:r>
      <w:r>
        <w:rPr>
          <w:rFonts w:cs="Times New Roman"/>
          <w:lang w:val="fr-FR"/>
        </w:rPr>
        <w:t>’</w:t>
      </w:r>
      <w:r w:rsidRPr="00726732">
        <w:rPr>
          <w:rFonts w:cs="Times New Roman"/>
          <w:lang w:val="fr-FR"/>
        </w:rPr>
        <w:t>un an. À l</w:t>
      </w:r>
      <w:r>
        <w:rPr>
          <w:rFonts w:cs="Times New Roman"/>
          <w:lang w:val="fr-FR"/>
        </w:rPr>
        <w:t>’</w:t>
      </w:r>
      <w:r w:rsidRPr="00726732">
        <w:rPr>
          <w:rFonts w:cs="Times New Roman"/>
          <w:lang w:val="fr-FR"/>
        </w:rPr>
        <w:t>instar de tout autre précédent de notre Cour, cet arrêt doit être suivi et il ne saurait être infirmé ou écarté à la légère (</w:t>
      </w:r>
      <w:r w:rsidRPr="00726732">
        <w:rPr>
          <w:rFonts w:cs="Times New Roman"/>
          <w:i/>
          <w:lang w:val="fr-FR"/>
        </w:rPr>
        <w:t>Canada (Procureur général) c. Bedford</w:t>
      </w:r>
      <w:r w:rsidRPr="00726732">
        <w:rPr>
          <w:rFonts w:cs="Times New Roman"/>
          <w:lang w:val="fr-FR"/>
        </w:rPr>
        <w:t xml:space="preserve">, 2013 CSC 72, [2013] 3 R.C.S. 1101, par. 38; </w:t>
      </w:r>
      <w:r w:rsidRPr="00726732">
        <w:rPr>
          <w:rFonts w:cs="Times New Roman"/>
          <w:i/>
          <w:lang w:val="fr-FR"/>
        </w:rPr>
        <w:t>Carter c. Canada (Procureur général)</w:t>
      </w:r>
      <w:r w:rsidRPr="00726732">
        <w:rPr>
          <w:rFonts w:cs="Times New Roman"/>
          <w:lang w:val="fr-FR"/>
        </w:rPr>
        <w:t>, 2015 CSC 5, [2015] 1 R.C.S. 331, par. 44). C</w:t>
      </w:r>
      <w:r>
        <w:rPr>
          <w:rFonts w:cs="Times New Roman"/>
          <w:lang w:val="fr-FR"/>
        </w:rPr>
        <w:t>’</w:t>
      </w:r>
      <w:r w:rsidRPr="00726732">
        <w:rPr>
          <w:rFonts w:cs="Times New Roman"/>
          <w:lang w:val="fr-FR"/>
        </w:rPr>
        <w:t>est l</w:t>
      </w:r>
      <w:r w:rsidRPr="00726732">
        <w:rPr>
          <w:rFonts w:cs="Times New Roman"/>
          <w:lang w:val="fr-CA"/>
        </w:rPr>
        <w:t xml:space="preserve">e cadre énoncé dans </w:t>
      </w:r>
      <w:r w:rsidRPr="00726732">
        <w:rPr>
          <w:rFonts w:cs="Times New Roman"/>
          <w:i/>
          <w:lang w:val="fr-CA"/>
        </w:rPr>
        <w:t>Jordan</w:t>
      </w:r>
      <w:r w:rsidRPr="00726732">
        <w:rPr>
          <w:rFonts w:cs="Times New Roman"/>
          <w:lang w:val="fr-CA"/>
        </w:rPr>
        <w:t xml:space="preserve"> qui régit dorénavant l</w:t>
      </w:r>
      <w:r>
        <w:rPr>
          <w:rFonts w:cs="Times New Roman"/>
          <w:lang w:val="fr-CA"/>
        </w:rPr>
        <w:t>’</w:t>
      </w:r>
      <w:r w:rsidRPr="00726732">
        <w:rPr>
          <w:rFonts w:cs="Times New Roman"/>
          <w:lang w:val="fr-CA"/>
        </w:rPr>
        <w:t>analyse requise pour l</w:t>
      </w:r>
      <w:r>
        <w:rPr>
          <w:rFonts w:cs="Times New Roman"/>
          <w:lang w:val="fr-CA"/>
        </w:rPr>
        <w:t>’</w:t>
      </w:r>
      <w:r w:rsidRPr="00726732">
        <w:rPr>
          <w:rFonts w:cs="Times New Roman"/>
          <w:lang w:val="fr-CA"/>
        </w:rPr>
        <w:t>application de l</w:t>
      </w:r>
      <w:r>
        <w:rPr>
          <w:rFonts w:cs="Times New Roman"/>
          <w:lang w:val="fr-CA"/>
        </w:rPr>
        <w:t>’</w:t>
      </w:r>
      <w:r w:rsidRPr="00726732">
        <w:rPr>
          <w:rFonts w:cs="Times New Roman"/>
          <w:lang w:val="fr-CA"/>
        </w:rPr>
        <w:t>al. 11</w:t>
      </w:r>
      <w:r w:rsidRPr="00726732">
        <w:rPr>
          <w:rFonts w:cs="Times New Roman"/>
          <w:i/>
          <w:lang w:val="fr-CA"/>
        </w:rPr>
        <w:t>b</w:t>
      </w:r>
      <w:r w:rsidRPr="00726732">
        <w:rPr>
          <w:rFonts w:cs="Times New Roman"/>
          <w:lang w:val="fr-CA"/>
        </w:rPr>
        <w:t>) et, correctement appliqué, ce cadre accorde déjà suffisamment de souplesse, en plus de prévoir la période de transition requise pour que le système de justice criminelle puisse s</w:t>
      </w:r>
      <w:r>
        <w:rPr>
          <w:rFonts w:cs="Times New Roman"/>
          <w:lang w:val="fr-CA"/>
        </w:rPr>
        <w:t>’</w:t>
      </w:r>
      <w:r w:rsidRPr="00726732">
        <w:rPr>
          <w:rFonts w:cs="Times New Roman"/>
          <w:lang w:val="fr-CA"/>
        </w:rPr>
        <w:t xml:space="preserve">adapter. </w:t>
      </w:r>
    </w:p>
    <w:p w:rsidR="001020F9" w:rsidRPr="00726732" w:rsidRDefault="001020F9" w:rsidP="00D42258">
      <w:pPr>
        <w:pStyle w:val="ParaNoNdepar-AltN"/>
        <w:widowControl w:val="0"/>
        <w:rPr>
          <w:rFonts w:cs="Times New Roman"/>
          <w:lang w:val="fr-CA"/>
        </w:rPr>
      </w:pPr>
      <w:r w:rsidRPr="00726732">
        <w:rPr>
          <w:rFonts w:cs="Times New Roman"/>
          <w:lang w:val="fr-CA"/>
        </w:rPr>
        <w:t>Après avoir appliqué ce cadre d</w:t>
      </w:r>
      <w:r>
        <w:rPr>
          <w:rFonts w:cs="Times New Roman"/>
          <w:lang w:val="fr-CA"/>
        </w:rPr>
        <w:t>’</w:t>
      </w:r>
      <w:r w:rsidRPr="00726732">
        <w:rPr>
          <w:rFonts w:cs="Times New Roman"/>
          <w:lang w:val="fr-CA"/>
        </w:rPr>
        <w:t>analyse, nous concluons qu</w:t>
      </w:r>
      <w:r>
        <w:rPr>
          <w:rFonts w:cs="Times New Roman"/>
          <w:lang w:val="fr-CA"/>
        </w:rPr>
        <w:t>’</w:t>
      </w:r>
      <w:r w:rsidRPr="00726732">
        <w:rPr>
          <w:rFonts w:cs="Times New Roman"/>
          <w:lang w:val="fr-CA"/>
        </w:rPr>
        <w:t>en l</w:t>
      </w:r>
      <w:r>
        <w:rPr>
          <w:rFonts w:cs="Times New Roman"/>
          <w:lang w:val="fr-CA"/>
        </w:rPr>
        <w:t>’</w:t>
      </w:r>
      <w:r w:rsidRPr="00726732">
        <w:rPr>
          <w:rFonts w:cs="Times New Roman"/>
          <w:lang w:val="fr-CA"/>
        </w:rPr>
        <w:t>espèce le délai était déraisonnable. La Cour d</w:t>
      </w:r>
      <w:r>
        <w:rPr>
          <w:rFonts w:cs="Times New Roman"/>
          <w:lang w:val="fr-CA"/>
        </w:rPr>
        <w:t>’</w:t>
      </w:r>
      <w:r w:rsidRPr="00726732">
        <w:rPr>
          <w:rFonts w:cs="Times New Roman"/>
          <w:lang w:val="fr-CA"/>
        </w:rPr>
        <w:t>appel a mal appliqué l</w:t>
      </w:r>
      <w:r>
        <w:rPr>
          <w:rFonts w:cs="Times New Roman"/>
          <w:lang w:val="fr-CA"/>
        </w:rPr>
        <w:t>’</w:t>
      </w:r>
      <w:r w:rsidRPr="00726732">
        <w:rPr>
          <w:rFonts w:cs="Times New Roman"/>
          <w:lang w:val="fr-CA"/>
        </w:rPr>
        <w:t xml:space="preserve">arrêt </w:t>
      </w:r>
      <w:r w:rsidRPr="00726732">
        <w:rPr>
          <w:rFonts w:cs="Times New Roman"/>
          <w:i/>
          <w:lang w:val="fr-CA"/>
        </w:rPr>
        <w:t>Jordan</w:t>
      </w:r>
      <w:r w:rsidRPr="00726732">
        <w:rPr>
          <w:rFonts w:cs="Times New Roman"/>
          <w:lang w:val="fr-CA"/>
        </w:rPr>
        <w:t>. En conséquence, nous sommes d</w:t>
      </w:r>
      <w:r>
        <w:rPr>
          <w:rFonts w:cs="Times New Roman"/>
          <w:lang w:val="fr-CA"/>
        </w:rPr>
        <w:t>’</w:t>
      </w:r>
      <w:r w:rsidRPr="00726732">
        <w:rPr>
          <w:rFonts w:cs="Times New Roman"/>
          <w:lang w:val="fr-CA"/>
        </w:rPr>
        <w:t>avis d</w:t>
      </w:r>
      <w:r>
        <w:rPr>
          <w:rFonts w:cs="Times New Roman"/>
          <w:lang w:val="fr-CA"/>
        </w:rPr>
        <w:t>’</w:t>
      </w:r>
      <w:r w:rsidRPr="00726732">
        <w:rPr>
          <w:rFonts w:cs="Times New Roman"/>
          <w:lang w:val="fr-CA"/>
        </w:rPr>
        <w:t>accueillir le pourvoi et de rétablir l</w:t>
      </w:r>
      <w:r>
        <w:rPr>
          <w:rFonts w:cs="Times New Roman"/>
          <w:lang w:val="fr-CA"/>
        </w:rPr>
        <w:t>’</w:t>
      </w:r>
      <w:r w:rsidRPr="00726732">
        <w:rPr>
          <w:rFonts w:cs="Times New Roman"/>
          <w:lang w:val="fr-CA"/>
        </w:rPr>
        <w:t>ordonnance du juge de première instance prononçant l</w:t>
      </w:r>
      <w:r>
        <w:rPr>
          <w:rFonts w:cs="Times New Roman"/>
          <w:lang w:val="fr-CA"/>
        </w:rPr>
        <w:t>’</w:t>
      </w:r>
      <w:r w:rsidRPr="00726732">
        <w:rPr>
          <w:rFonts w:cs="Times New Roman"/>
          <w:lang w:val="fr-CA"/>
        </w:rPr>
        <w:t>arrêt des procédures engagées contre M. Cody.</w:t>
      </w:r>
    </w:p>
    <w:p w:rsidR="001020F9" w:rsidRPr="00726732" w:rsidRDefault="001020F9" w:rsidP="00D42258">
      <w:pPr>
        <w:pStyle w:val="Title1LevelTitre1Niveau-AltL"/>
        <w:widowControl w:val="0"/>
        <w:rPr>
          <w:rFonts w:cs="Times New Roman"/>
          <w:lang w:val="fr-CA"/>
        </w:rPr>
      </w:pPr>
      <w:r w:rsidRPr="00726732">
        <w:rPr>
          <w:rFonts w:cs="Times New Roman"/>
          <w:lang w:val="fr-CA"/>
        </w:rPr>
        <w:t>Faits</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Le 12 janvier 2010, M. Cody a été arrêté dans le cadre de l</w:t>
      </w:r>
      <w:r>
        <w:rPr>
          <w:rFonts w:cs="Times New Roman"/>
          <w:lang w:val="fr-CA"/>
        </w:rPr>
        <w:t>’</w:t>
      </w:r>
      <w:r w:rsidRPr="00726732">
        <w:rPr>
          <w:rFonts w:cs="Times New Roman"/>
          <w:lang w:val="fr-CA"/>
        </w:rPr>
        <w:t>[</w:t>
      </w:r>
      <w:r w:rsidRPr="00726732">
        <w:rPr>
          <w:rFonts w:cs="Times New Roman"/>
          <w:smallCaps/>
          <w:lang w:val="fr-CA"/>
        </w:rPr>
        <w:t>traduction</w:t>
      </w:r>
      <w:r w:rsidRPr="00726732">
        <w:rPr>
          <w:rFonts w:cs="Times New Roman"/>
          <w:lang w:val="fr-CA"/>
        </w:rPr>
        <w:t>] « Opération Razorback », une enquête en matière de trafic de drogue. Même si M. Cody n</w:t>
      </w:r>
      <w:r>
        <w:rPr>
          <w:rFonts w:cs="Times New Roman"/>
          <w:lang w:val="fr-CA"/>
        </w:rPr>
        <w:t>’</w:t>
      </w:r>
      <w:r w:rsidRPr="00726732">
        <w:rPr>
          <w:rFonts w:cs="Times New Roman"/>
          <w:lang w:val="fr-CA"/>
        </w:rPr>
        <w:t>était pas un suspect dans cette enquête, il se trouvait avec l</w:t>
      </w:r>
      <w:r>
        <w:rPr>
          <w:rFonts w:cs="Times New Roman"/>
          <w:lang w:val="fr-CA"/>
        </w:rPr>
        <w:t>’</w:t>
      </w:r>
      <w:r w:rsidRPr="00726732">
        <w:rPr>
          <w:rFonts w:cs="Times New Roman"/>
          <w:lang w:val="fr-CA"/>
        </w:rPr>
        <w:t>une des principales cibles de cette enquête lorsque cette personne a été arrêtée, et il a lui aussi été arrêté. La fouille du véhicule de M. Cody a permis d</w:t>
      </w:r>
      <w:r>
        <w:rPr>
          <w:rFonts w:cs="Times New Roman"/>
          <w:lang w:val="fr-CA"/>
        </w:rPr>
        <w:t>’</w:t>
      </w:r>
      <w:r w:rsidRPr="00726732">
        <w:rPr>
          <w:rFonts w:cs="Times New Roman"/>
          <w:lang w:val="fr-CA"/>
        </w:rPr>
        <w:t>y découvrir un demi</w:t>
      </w:r>
      <w:r w:rsidRPr="00726732">
        <w:rPr>
          <w:rFonts w:cs="Times New Roman"/>
          <w:lang w:val="fr-CA"/>
        </w:rPr>
        <w:noBreakHyphen/>
        <w:t>kilogramme de marijuana, un kilogramme de cocaïne et un pistolet à impulsion électrique.</w:t>
      </w:r>
    </w:p>
    <w:p w:rsidR="001020F9" w:rsidRPr="00726732" w:rsidRDefault="001020F9" w:rsidP="00D42258">
      <w:pPr>
        <w:pStyle w:val="ParaNoNdepar-AltN"/>
        <w:widowControl w:val="0"/>
        <w:rPr>
          <w:rFonts w:cs="Times New Roman"/>
          <w:lang w:val="fr-CA"/>
        </w:rPr>
      </w:pPr>
      <w:r w:rsidRPr="00726732">
        <w:rPr>
          <w:rFonts w:cs="Times New Roman"/>
          <w:lang w:val="fr-CA"/>
        </w:rPr>
        <w:lastRenderedPageBreak/>
        <w:t>Monsieur Cody a été inculpé de deux chefs de possession en vue de trafic, d</w:t>
      </w:r>
      <w:r>
        <w:rPr>
          <w:rFonts w:cs="Times New Roman"/>
          <w:lang w:val="fr-CA"/>
        </w:rPr>
        <w:t>’</w:t>
      </w:r>
      <w:r w:rsidRPr="00726732">
        <w:rPr>
          <w:rFonts w:cs="Times New Roman"/>
          <w:lang w:val="fr-CA"/>
        </w:rPr>
        <w:t>un chef de possession d</w:t>
      </w:r>
      <w:r>
        <w:rPr>
          <w:rFonts w:cs="Times New Roman"/>
          <w:lang w:val="fr-CA"/>
        </w:rPr>
        <w:t>’</w:t>
      </w:r>
      <w:r w:rsidRPr="00726732">
        <w:rPr>
          <w:rFonts w:cs="Times New Roman"/>
          <w:lang w:val="fr-CA"/>
        </w:rPr>
        <w:t>une arme prohibée et d</w:t>
      </w:r>
      <w:r>
        <w:rPr>
          <w:rFonts w:cs="Times New Roman"/>
          <w:lang w:val="fr-CA"/>
        </w:rPr>
        <w:t>’</w:t>
      </w:r>
      <w:r w:rsidRPr="00726732">
        <w:rPr>
          <w:rFonts w:cs="Times New Roman"/>
          <w:lang w:val="fr-CA"/>
        </w:rPr>
        <w:t>un chef de possession d</w:t>
      </w:r>
      <w:r>
        <w:rPr>
          <w:rFonts w:cs="Times New Roman"/>
          <w:lang w:val="fr-CA"/>
        </w:rPr>
        <w:t>’</w:t>
      </w:r>
      <w:r w:rsidRPr="00726732">
        <w:rPr>
          <w:rFonts w:cs="Times New Roman"/>
          <w:lang w:val="fr-CA"/>
        </w:rPr>
        <w:t>une arme alors que cela lui était interdit. Il a été libéré sous caution le lendemain.</w:t>
      </w:r>
      <w:r w:rsidRPr="00726732" w:rsidDel="00D30926">
        <w:rPr>
          <w:rFonts w:cs="Times New Roman"/>
          <w:lang w:val="fr-CA"/>
        </w:rPr>
        <w:t xml:space="preserve"> </w:t>
      </w:r>
      <w:r w:rsidRPr="00726732">
        <w:rPr>
          <w:rFonts w:cs="Times New Roman"/>
          <w:lang w:val="fr-CA"/>
        </w:rPr>
        <w:t>Quelques autres personnes ont également été accusées par suite de l</w:t>
      </w:r>
      <w:r>
        <w:rPr>
          <w:rFonts w:cs="Times New Roman"/>
          <w:lang w:val="fr-CA"/>
        </w:rPr>
        <w:t>’</w:t>
      </w:r>
      <w:r w:rsidRPr="00726732">
        <w:rPr>
          <w:rFonts w:cs="Times New Roman"/>
          <w:lang w:val="fr-CA"/>
        </w:rPr>
        <w:t xml:space="preserve">enquête. </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Cinq mois après l</w:t>
      </w:r>
      <w:r>
        <w:rPr>
          <w:rFonts w:cs="Times New Roman"/>
          <w:lang w:val="fr-CA"/>
        </w:rPr>
        <w:t>’</w:t>
      </w:r>
      <w:r w:rsidRPr="00726732">
        <w:rPr>
          <w:rFonts w:cs="Times New Roman"/>
          <w:lang w:val="fr-CA"/>
        </w:rPr>
        <w:t>arrestation de M. Cody, soit le 30 juin 2010, le ministère public a fait savoir qu</w:t>
      </w:r>
      <w:r>
        <w:rPr>
          <w:rFonts w:cs="Times New Roman"/>
          <w:lang w:val="fr-CA"/>
        </w:rPr>
        <w:t>’</w:t>
      </w:r>
      <w:r w:rsidRPr="00726732">
        <w:rPr>
          <w:rFonts w:cs="Times New Roman"/>
          <w:lang w:val="fr-CA"/>
        </w:rPr>
        <w:t>il était prêt à communiquer sa preuve. En raison de l</w:t>
      </w:r>
      <w:r>
        <w:rPr>
          <w:rFonts w:cs="Times New Roman"/>
          <w:lang w:val="fr-CA"/>
        </w:rPr>
        <w:t>’</w:t>
      </w:r>
      <w:r w:rsidRPr="00726732">
        <w:rPr>
          <w:rFonts w:cs="Times New Roman"/>
          <w:lang w:val="fr-CA"/>
        </w:rPr>
        <w:t>enquête connexe plus large, la preuve qui devait être communiquée était volumineuse, soit plus de 20 000 pages figurant sur deux CD. Cependant, le ministère public a d</w:t>
      </w:r>
      <w:r>
        <w:rPr>
          <w:rFonts w:cs="Times New Roman"/>
          <w:lang w:val="fr-CA"/>
        </w:rPr>
        <w:t>’</w:t>
      </w:r>
      <w:r w:rsidRPr="00726732">
        <w:rPr>
          <w:rFonts w:cs="Times New Roman"/>
          <w:lang w:val="fr-CA"/>
        </w:rPr>
        <w:t>abord demandé à l</w:t>
      </w:r>
      <w:r>
        <w:rPr>
          <w:rFonts w:cs="Times New Roman"/>
          <w:lang w:val="fr-CA"/>
        </w:rPr>
        <w:t>’</w:t>
      </w:r>
      <w:r w:rsidRPr="00726732">
        <w:rPr>
          <w:rFonts w:cs="Times New Roman"/>
          <w:lang w:val="fr-CA"/>
        </w:rPr>
        <w:t>avocat de M. Cody de signer un engagement qui aurait interdit la reproduction électronique des CD. L</w:t>
      </w:r>
      <w:r>
        <w:rPr>
          <w:rFonts w:cs="Times New Roman"/>
          <w:lang w:val="fr-CA"/>
        </w:rPr>
        <w:t>’</w:t>
      </w:r>
      <w:r w:rsidRPr="00726732">
        <w:rPr>
          <w:rFonts w:cs="Times New Roman"/>
          <w:lang w:val="fr-CA"/>
        </w:rPr>
        <w:t>avocat de M. Cody a refusé, comme l</w:t>
      </w:r>
      <w:r>
        <w:rPr>
          <w:rFonts w:cs="Times New Roman"/>
          <w:lang w:val="fr-CA"/>
        </w:rPr>
        <w:t>’</w:t>
      </w:r>
      <w:r w:rsidRPr="00726732">
        <w:rPr>
          <w:rFonts w:cs="Times New Roman"/>
          <w:lang w:val="fr-CA"/>
        </w:rPr>
        <w:t>ont fait les avocats d</w:t>
      </w:r>
      <w:r>
        <w:rPr>
          <w:rFonts w:cs="Times New Roman"/>
          <w:lang w:val="fr-CA"/>
        </w:rPr>
        <w:t>’</w:t>
      </w:r>
      <w:r w:rsidRPr="00726732">
        <w:rPr>
          <w:rFonts w:cs="Times New Roman"/>
          <w:lang w:val="fr-CA"/>
        </w:rPr>
        <w:t>autres accusés.</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Trois mois et trois visites au tribunal plus tard, les parties se trouvaient toujours dans une impasse. Les avocats de la défense ont demandé la communication forcée de la preuve. La question a été renvoyée en gestion d</w:t>
      </w:r>
      <w:r>
        <w:rPr>
          <w:rFonts w:cs="Times New Roman"/>
          <w:lang w:val="fr-CA"/>
        </w:rPr>
        <w:t>’</w:t>
      </w:r>
      <w:r w:rsidRPr="00726732">
        <w:rPr>
          <w:rFonts w:cs="Times New Roman"/>
          <w:lang w:val="fr-CA"/>
        </w:rPr>
        <w:t>instance, au terme de laquelle a été inscrite, le 30 septembre 2010, une ordonnance sur consentement intimant à M. Cody de signer son propre engagement afin de pouvoir obtenir une copie des CD. Neuf mois après l</w:t>
      </w:r>
      <w:r>
        <w:rPr>
          <w:rFonts w:cs="Times New Roman"/>
          <w:lang w:val="fr-CA"/>
        </w:rPr>
        <w:t>’</w:t>
      </w:r>
      <w:r w:rsidRPr="00726732">
        <w:rPr>
          <w:rFonts w:cs="Times New Roman"/>
          <w:lang w:val="fr-CA"/>
        </w:rPr>
        <w:t xml:space="preserve">arrestation de ce dernier, la preuve a été communiquée à son avocat, le 18 octobre 2010. </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Le 29 novembre 2010, M. Cody a changé d</w:t>
      </w:r>
      <w:r>
        <w:rPr>
          <w:rFonts w:cs="Times New Roman"/>
          <w:lang w:val="fr-CA"/>
        </w:rPr>
        <w:t>’</w:t>
      </w:r>
      <w:r w:rsidRPr="00726732">
        <w:rPr>
          <w:rFonts w:cs="Times New Roman"/>
          <w:lang w:val="fr-CA"/>
        </w:rPr>
        <w:t>avocat, ce qui a retardé d</w:t>
      </w:r>
      <w:r>
        <w:rPr>
          <w:rFonts w:cs="Times New Roman"/>
          <w:lang w:val="fr-CA"/>
        </w:rPr>
        <w:t>’</w:t>
      </w:r>
      <w:r w:rsidRPr="00726732">
        <w:rPr>
          <w:rFonts w:cs="Times New Roman"/>
          <w:lang w:val="fr-CA"/>
        </w:rPr>
        <w:t>un mois — du 11 mars 2011 au 7 avril 2011 — la tenue de son enquête préliminaire. Il a ensuite renoncé à invoquer un délai d</w:t>
      </w:r>
      <w:r>
        <w:rPr>
          <w:rFonts w:cs="Times New Roman"/>
          <w:lang w:val="fr-CA"/>
        </w:rPr>
        <w:t>’</w:t>
      </w:r>
      <w:r w:rsidRPr="00726732">
        <w:rPr>
          <w:rFonts w:cs="Times New Roman"/>
          <w:lang w:val="fr-CA"/>
        </w:rPr>
        <w:t>un an allant jusqu</w:t>
      </w:r>
      <w:r>
        <w:rPr>
          <w:rFonts w:cs="Times New Roman"/>
          <w:lang w:val="fr-CA"/>
        </w:rPr>
        <w:t>’</w:t>
      </w:r>
      <w:r w:rsidRPr="00726732">
        <w:rPr>
          <w:rFonts w:cs="Times New Roman"/>
          <w:lang w:val="fr-CA"/>
        </w:rPr>
        <w:t xml:space="preserve">au 2 avril 2012. </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lastRenderedPageBreak/>
        <w:t>Le 1</w:t>
      </w:r>
      <w:r w:rsidRPr="00726732">
        <w:rPr>
          <w:rFonts w:cs="Times New Roman"/>
          <w:vertAlign w:val="superscript"/>
          <w:lang w:val="fr-CA"/>
        </w:rPr>
        <w:t>er</w:t>
      </w:r>
      <w:r w:rsidRPr="00726732">
        <w:rPr>
          <w:rFonts w:cs="Times New Roman"/>
          <w:lang w:val="fr-CA"/>
        </w:rPr>
        <w:t> mai 2012, le début du procès de M. Cody — qui devait durer cinq jours — a été fixé au 5 novembre 2012. Cette période a par la suite été réservée plutôt pour l</w:t>
      </w:r>
      <w:r>
        <w:rPr>
          <w:rFonts w:cs="Times New Roman"/>
          <w:lang w:val="fr-CA"/>
        </w:rPr>
        <w:t>’</w:t>
      </w:r>
      <w:r w:rsidRPr="00726732">
        <w:rPr>
          <w:rFonts w:cs="Times New Roman"/>
          <w:lang w:val="fr-CA"/>
        </w:rPr>
        <w:t>audition d</w:t>
      </w:r>
      <w:r>
        <w:rPr>
          <w:rFonts w:cs="Times New Roman"/>
          <w:lang w:val="fr-CA"/>
        </w:rPr>
        <w:t>’</w:t>
      </w:r>
      <w:r w:rsidRPr="00726732">
        <w:rPr>
          <w:rFonts w:cs="Times New Roman"/>
          <w:lang w:val="fr-CA"/>
        </w:rPr>
        <w:t>une demande sollicitant l</w:t>
      </w:r>
      <w:r>
        <w:rPr>
          <w:rFonts w:cs="Times New Roman"/>
          <w:lang w:val="fr-CA"/>
        </w:rPr>
        <w:t>’</w:t>
      </w:r>
      <w:r w:rsidRPr="00726732">
        <w:rPr>
          <w:rFonts w:cs="Times New Roman"/>
          <w:lang w:val="fr-CA"/>
        </w:rPr>
        <w:t xml:space="preserve">exclusion, en vertu de la </w:t>
      </w:r>
      <w:r w:rsidRPr="00726732">
        <w:rPr>
          <w:rFonts w:cs="Times New Roman"/>
          <w:i/>
          <w:lang w:val="fr-CA"/>
        </w:rPr>
        <w:t>Charte</w:t>
      </w:r>
      <w:r w:rsidRPr="00726732">
        <w:rPr>
          <w:rFonts w:cs="Times New Roman"/>
          <w:lang w:val="fr-CA"/>
        </w:rPr>
        <w:t>, des éléments de preuve découverts dans le véhicule</w:t>
      </w:r>
      <w:r w:rsidR="00B97BED">
        <w:rPr>
          <w:rFonts w:cs="Times New Roman"/>
          <w:lang w:val="fr-CA"/>
        </w:rPr>
        <w:t xml:space="preserve"> de</w:t>
      </w:r>
      <w:r w:rsidRPr="00726732">
        <w:rPr>
          <w:rFonts w:cs="Times New Roman"/>
          <w:lang w:val="fr-CA"/>
        </w:rPr>
        <w:t xml:space="preserve"> M. Cody au moment de son arrestation.</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Le 3 septembre 2012, le deuxième avocat de M. Cody a été nommé juge de la Cour provinciale. En conséquence, les dates prévues pour l</w:t>
      </w:r>
      <w:r>
        <w:rPr>
          <w:rFonts w:cs="Times New Roman"/>
          <w:lang w:val="fr-CA"/>
        </w:rPr>
        <w:t>’</w:t>
      </w:r>
      <w:r w:rsidRPr="00726732">
        <w:rPr>
          <w:rFonts w:cs="Times New Roman"/>
          <w:lang w:val="fr-CA"/>
        </w:rPr>
        <w:t xml:space="preserve">audition de la demande fondée sur la </w:t>
      </w:r>
      <w:r w:rsidRPr="00726732">
        <w:rPr>
          <w:rFonts w:cs="Times New Roman"/>
          <w:i/>
          <w:lang w:val="fr-CA"/>
        </w:rPr>
        <w:t>Charte</w:t>
      </w:r>
      <w:r w:rsidRPr="00726732">
        <w:rPr>
          <w:rFonts w:cs="Times New Roman"/>
          <w:lang w:val="fr-CA"/>
        </w:rPr>
        <w:t xml:space="preserve"> ont été annulées et, après trois visites au tribunal, l</w:t>
      </w:r>
      <w:r>
        <w:rPr>
          <w:rFonts w:cs="Times New Roman"/>
          <w:lang w:val="fr-CA"/>
        </w:rPr>
        <w:t>’</w:t>
      </w:r>
      <w:r w:rsidRPr="00726732">
        <w:rPr>
          <w:rFonts w:cs="Times New Roman"/>
          <w:lang w:val="fr-CA"/>
        </w:rPr>
        <w:t>audition de cette demande a été fixée au 6 mai 2013. En raison d</w:t>
      </w:r>
      <w:r>
        <w:rPr>
          <w:rFonts w:cs="Times New Roman"/>
          <w:lang w:val="fr-CA"/>
        </w:rPr>
        <w:t>’</w:t>
      </w:r>
      <w:r w:rsidRPr="00726732">
        <w:rPr>
          <w:rFonts w:cs="Times New Roman"/>
          <w:lang w:val="fr-CA"/>
        </w:rPr>
        <w:t>une erreur dans l</w:t>
      </w:r>
      <w:r>
        <w:rPr>
          <w:rFonts w:cs="Times New Roman"/>
          <w:lang w:val="fr-CA"/>
        </w:rPr>
        <w:t>’</w:t>
      </w:r>
      <w:r w:rsidRPr="00726732">
        <w:rPr>
          <w:rFonts w:cs="Times New Roman"/>
          <w:lang w:val="fr-CA"/>
        </w:rPr>
        <w:t xml:space="preserve">établissement du calendrier, la défense a renoncé à invoquer environ un mois de ce délai. </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 xml:space="preserve">Le vendredi précédant la date où devait être entendue la demande fondée sur la </w:t>
      </w:r>
      <w:r w:rsidRPr="00726732">
        <w:rPr>
          <w:rFonts w:cs="Times New Roman"/>
          <w:i/>
          <w:lang w:val="fr-CA"/>
        </w:rPr>
        <w:t>Charte</w:t>
      </w:r>
      <w:r w:rsidRPr="00726732">
        <w:rPr>
          <w:rFonts w:cs="Times New Roman"/>
          <w:lang w:val="fr-CA"/>
        </w:rPr>
        <w:t>, le ministère public a informé l</w:t>
      </w:r>
      <w:r>
        <w:rPr>
          <w:rFonts w:cs="Times New Roman"/>
          <w:lang w:val="fr-CA"/>
        </w:rPr>
        <w:t>’</w:t>
      </w:r>
      <w:r w:rsidRPr="00726732">
        <w:rPr>
          <w:rFonts w:cs="Times New Roman"/>
          <w:lang w:val="fr-CA"/>
        </w:rPr>
        <w:t>avocate représentant maintenant M. Cody que des allégations d</w:t>
      </w:r>
      <w:r>
        <w:rPr>
          <w:rFonts w:cs="Times New Roman"/>
          <w:lang w:val="fr-CA"/>
        </w:rPr>
        <w:t>’</w:t>
      </w:r>
      <w:r w:rsidRPr="00726732">
        <w:rPr>
          <w:rFonts w:cs="Times New Roman"/>
          <w:lang w:val="fr-CA"/>
        </w:rPr>
        <w:t>inconduite avaient été formulées contre l</w:t>
      </w:r>
      <w:r>
        <w:rPr>
          <w:rFonts w:cs="Times New Roman"/>
          <w:lang w:val="fr-CA"/>
        </w:rPr>
        <w:t>’</w:t>
      </w:r>
      <w:r w:rsidRPr="00726732">
        <w:rPr>
          <w:rFonts w:cs="Times New Roman"/>
          <w:lang w:val="fr-CA"/>
        </w:rPr>
        <w:t>un des policiers ayant participé à l</w:t>
      </w:r>
      <w:r>
        <w:rPr>
          <w:rFonts w:cs="Times New Roman"/>
          <w:lang w:val="fr-CA"/>
        </w:rPr>
        <w:t>’</w:t>
      </w:r>
      <w:r w:rsidRPr="00726732">
        <w:rPr>
          <w:rFonts w:cs="Times New Roman"/>
          <w:lang w:val="fr-CA"/>
        </w:rPr>
        <w:t>Opération Razorback. En prévision de la communication, sur la base de l</w:t>
      </w:r>
      <w:r>
        <w:rPr>
          <w:rFonts w:cs="Times New Roman"/>
          <w:lang w:val="fr-CA"/>
        </w:rPr>
        <w:t>’</w:t>
      </w:r>
      <w:r w:rsidRPr="00726732">
        <w:rPr>
          <w:rFonts w:cs="Times New Roman"/>
          <w:lang w:val="fr-CA"/>
        </w:rPr>
        <w:t xml:space="preserve">arrêt </w:t>
      </w:r>
      <w:r w:rsidRPr="00726732">
        <w:rPr>
          <w:rFonts w:cs="Times New Roman"/>
          <w:i/>
          <w:lang w:val="fr-CA"/>
        </w:rPr>
        <w:t>R. c. McNeil</w:t>
      </w:r>
      <w:r w:rsidRPr="00726732">
        <w:rPr>
          <w:rFonts w:cs="Times New Roman"/>
          <w:lang w:val="fr-CA"/>
        </w:rPr>
        <w:t>, 2009 CSC 3, [2009] 1 R.C.S. 66, de la preuve concernant les allégations, l</w:t>
      </w:r>
      <w:r>
        <w:rPr>
          <w:rFonts w:cs="Times New Roman"/>
          <w:lang w:val="fr-CA"/>
        </w:rPr>
        <w:t>’</w:t>
      </w:r>
      <w:r w:rsidRPr="00726732">
        <w:rPr>
          <w:rFonts w:cs="Times New Roman"/>
          <w:lang w:val="fr-CA"/>
        </w:rPr>
        <w:t xml:space="preserve">audition de la demande fondée sur la </w:t>
      </w:r>
      <w:r w:rsidRPr="00726732">
        <w:rPr>
          <w:rFonts w:cs="Times New Roman"/>
          <w:i/>
          <w:lang w:val="fr-CA"/>
        </w:rPr>
        <w:t xml:space="preserve">Charte </w:t>
      </w:r>
      <w:r w:rsidRPr="00726732">
        <w:rPr>
          <w:rFonts w:cs="Times New Roman"/>
          <w:lang w:val="fr-CA"/>
        </w:rPr>
        <w:t>a été reportée. La preuve en question a été communiquée à la fin de juin 2013 et les parties étaient alors disposées à procéder à la fin du mois en question, mais le tribunal n</w:t>
      </w:r>
      <w:r>
        <w:rPr>
          <w:rFonts w:cs="Times New Roman"/>
          <w:lang w:val="fr-CA"/>
        </w:rPr>
        <w:t>’</w:t>
      </w:r>
      <w:r w:rsidRPr="00726732">
        <w:rPr>
          <w:rFonts w:cs="Times New Roman"/>
          <w:lang w:val="fr-CA"/>
        </w:rPr>
        <w:t>était pas en mesure de tenir une audience pendant l</w:t>
      </w:r>
      <w:r>
        <w:rPr>
          <w:rFonts w:cs="Times New Roman"/>
          <w:lang w:val="fr-CA"/>
        </w:rPr>
        <w:t>’</w:t>
      </w:r>
      <w:r w:rsidRPr="00726732">
        <w:rPr>
          <w:rFonts w:cs="Times New Roman"/>
          <w:lang w:val="fr-CA"/>
        </w:rPr>
        <w:t>été. Comme l</w:t>
      </w:r>
      <w:r>
        <w:rPr>
          <w:rFonts w:cs="Times New Roman"/>
          <w:lang w:val="fr-CA"/>
        </w:rPr>
        <w:t>’</w:t>
      </w:r>
      <w:r w:rsidRPr="00726732">
        <w:rPr>
          <w:rFonts w:cs="Times New Roman"/>
          <w:lang w:val="fr-CA"/>
        </w:rPr>
        <w:t>avocate de la défense n</w:t>
      </w:r>
      <w:r>
        <w:rPr>
          <w:rFonts w:cs="Times New Roman"/>
          <w:lang w:val="fr-CA"/>
        </w:rPr>
        <w:t>’</w:t>
      </w:r>
      <w:r w:rsidRPr="00726732">
        <w:rPr>
          <w:rFonts w:cs="Times New Roman"/>
          <w:lang w:val="fr-CA"/>
        </w:rPr>
        <w:t>était pas disponible en septembre 2013, l</w:t>
      </w:r>
      <w:r>
        <w:rPr>
          <w:rFonts w:cs="Times New Roman"/>
          <w:lang w:val="fr-CA"/>
        </w:rPr>
        <w:t>’</w:t>
      </w:r>
      <w:r w:rsidRPr="00726732">
        <w:rPr>
          <w:rFonts w:cs="Times New Roman"/>
          <w:lang w:val="fr-CA"/>
        </w:rPr>
        <w:t xml:space="preserve">audience a finalement eu lieu en octobre 2013. Les motifs écrits de </w:t>
      </w:r>
      <w:r w:rsidRPr="00726732">
        <w:rPr>
          <w:rFonts w:cs="Times New Roman"/>
          <w:lang w:val="fr-CA"/>
        </w:rPr>
        <w:lastRenderedPageBreak/>
        <w:t xml:space="preserve">la décision rejetant la demande fondée sur la </w:t>
      </w:r>
      <w:r w:rsidRPr="00726732">
        <w:rPr>
          <w:rFonts w:cs="Times New Roman"/>
          <w:i/>
          <w:lang w:val="fr-CA"/>
        </w:rPr>
        <w:t xml:space="preserve">Charte </w:t>
      </w:r>
      <w:r w:rsidRPr="00726732">
        <w:rPr>
          <w:rFonts w:cs="Times New Roman"/>
          <w:lang w:val="fr-CA"/>
        </w:rPr>
        <w:t>ont été déposés le 20 décembre 2013.</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En janvier 2014, le ministère public a avisé l</w:t>
      </w:r>
      <w:r>
        <w:rPr>
          <w:rFonts w:cs="Times New Roman"/>
          <w:lang w:val="fr-CA"/>
        </w:rPr>
        <w:t>’</w:t>
      </w:r>
      <w:r w:rsidRPr="00726732">
        <w:rPr>
          <w:rFonts w:cs="Times New Roman"/>
          <w:lang w:val="fr-CA"/>
        </w:rPr>
        <w:t>avocate de M. Cody de l</w:t>
      </w:r>
      <w:r>
        <w:rPr>
          <w:rFonts w:cs="Times New Roman"/>
          <w:lang w:val="fr-CA"/>
        </w:rPr>
        <w:t>’</w:t>
      </w:r>
      <w:r w:rsidRPr="00726732">
        <w:rPr>
          <w:rFonts w:cs="Times New Roman"/>
          <w:lang w:val="fr-CA"/>
        </w:rPr>
        <w:t>existence d</w:t>
      </w:r>
      <w:r>
        <w:rPr>
          <w:rFonts w:cs="Times New Roman"/>
          <w:lang w:val="fr-CA"/>
        </w:rPr>
        <w:t>’</w:t>
      </w:r>
      <w:r w:rsidRPr="00726732">
        <w:rPr>
          <w:rFonts w:cs="Times New Roman"/>
          <w:lang w:val="fr-CA"/>
        </w:rPr>
        <w:t>une erreur dans l</w:t>
      </w:r>
      <w:r>
        <w:rPr>
          <w:rFonts w:cs="Times New Roman"/>
          <w:lang w:val="fr-CA"/>
        </w:rPr>
        <w:t>’</w:t>
      </w:r>
      <w:r w:rsidRPr="00726732">
        <w:rPr>
          <w:rFonts w:cs="Times New Roman"/>
          <w:lang w:val="fr-CA"/>
        </w:rPr>
        <w:t xml:space="preserve">exposé conjoint des faits utilisé dans le cadre de la demande présentée en vertu de la </w:t>
      </w:r>
      <w:r w:rsidRPr="00726732">
        <w:rPr>
          <w:rFonts w:cs="Times New Roman"/>
          <w:i/>
          <w:lang w:val="fr-CA"/>
        </w:rPr>
        <w:t>Charte</w:t>
      </w:r>
      <w:r w:rsidRPr="00726732">
        <w:rPr>
          <w:rFonts w:cs="Times New Roman"/>
          <w:lang w:val="fr-CA"/>
        </w:rPr>
        <w:t xml:space="preserve"> en vue d</w:t>
      </w:r>
      <w:r>
        <w:rPr>
          <w:rFonts w:cs="Times New Roman"/>
          <w:lang w:val="fr-CA"/>
        </w:rPr>
        <w:t>’</w:t>
      </w:r>
      <w:r w:rsidRPr="00726732">
        <w:rPr>
          <w:rFonts w:cs="Times New Roman"/>
          <w:lang w:val="fr-CA"/>
        </w:rPr>
        <w:t>obtenir l</w:t>
      </w:r>
      <w:r>
        <w:rPr>
          <w:rFonts w:cs="Times New Roman"/>
          <w:lang w:val="fr-CA"/>
        </w:rPr>
        <w:t>’</w:t>
      </w:r>
      <w:r w:rsidRPr="00726732">
        <w:rPr>
          <w:rFonts w:cs="Times New Roman"/>
          <w:lang w:val="fr-CA"/>
        </w:rPr>
        <w:t>exclusion des éléments de preuve. L</w:t>
      </w:r>
      <w:r>
        <w:rPr>
          <w:rFonts w:cs="Times New Roman"/>
          <w:lang w:val="fr-CA"/>
        </w:rPr>
        <w:t>’</w:t>
      </w:r>
      <w:r w:rsidRPr="00726732">
        <w:rPr>
          <w:rFonts w:cs="Times New Roman"/>
          <w:lang w:val="fr-CA"/>
        </w:rPr>
        <w:t>avocate de M. Cody a déposé une demande sollicitant l</w:t>
      </w:r>
      <w:r>
        <w:rPr>
          <w:rFonts w:cs="Times New Roman"/>
          <w:lang w:val="fr-CA"/>
        </w:rPr>
        <w:t>’</w:t>
      </w:r>
      <w:r w:rsidRPr="00726732">
        <w:rPr>
          <w:rFonts w:cs="Times New Roman"/>
          <w:lang w:val="fr-CA"/>
        </w:rPr>
        <w:t>arrêt des procédures ou l</w:t>
      </w:r>
      <w:r>
        <w:rPr>
          <w:rFonts w:cs="Times New Roman"/>
          <w:lang w:val="fr-CA"/>
        </w:rPr>
        <w:t>’</w:t>
      </w:r>
      <w:r w:rsidRPr="00726732">
        <w:rPr>
          <w:rFonts w:cs="Times New Roman"/>
          <w:lang w:val="fr-CA"/>
        </w:rPr>
        <w:t>annulation du procès, au motif que les droits garantis à M. Cody par l</w:t>
      </w:r>
      <w:r>
        <w:rPr>
          <w:rFonts w:cs="Times New Roman"/>
          <w:lang w:val="fr-CA"/>
        </w:rPr>
        <w:t>’</w:t>
      </w:r>
      <w:r w:rsidRPr="00726732">
        <w:rPr>
          <w:rFonts w:cs="Times New Roman"/>
          <w:lang w:val="fr-CA"/>
        </w:rPr>
        <w:t xml:space="preserve">art. 7 de la </w:t>
      </w:r>
      <w:r w:rsidRPr="00726732">
        <w:rPr>
          <w:rFonts w:cs="Times New Roman"/>
          <w:i/>
          <w:lang w:val="fr-CA"/>
        </w:rPr>
        <w:t xml:space="preserve">Charte </w:t>
      </w:r>
      <w:r w:rsidRPr="00726732">
        <w:rPr>
          <w:rFonts w:cs="Times New Roman"/>
          <w:lang w:val="fr-CA"/>
        </w:rPr>
        <w:t>auraient été violés en raison de l</w:t>
      </w:r>
      <w:r>
        <w:rPr>
          <w:rFonts w:cs="Times New Roman"/>
          <w:lang w:val="fr-CA"/>
        </w:rPr>
        <w:t>’</w:t>
      </w:r>
      <w:r w:rsidRPr="00726732">
        <w:rPr>
          <w:rFonts w:cs="Times New Roman"/>
          <w:lang w:val="fr-CA"/>
        </w:rPr>
        <w:t>erreur que comportait l</w:t>
      </w:r>
      <w:r>
        <w:rPr>
          <w:rFonts w:cs="Times New Roman"/>
          <w:lang w:val="fr-CA"/>
        </w:rPr>
        <w:t>’</w:t>
      </w:r>
      <w:r w:rsidRPr="00726732">
        <w:rPr>
          <w:rFonts w:cs="Times New Roman"/>
          <w:lang w:val="fr-CA"/>
        </w:rPr>
        <w:t>exposé conjoint des faits. À la fin du mois d</w:t>
      </w:r>
      <w:r>
        <w:rPr>
          <w:rFonts w:cs="Times New Roman"/>
          <w:lang w:val="fr-CA"/>
        </w:rPr>
        <w:t>’</w:t>
      </w:r>
      <w:r w:rsidRPr="00726732">
        <w:rPr>
          <w:rFonts w:cs="Times New Roman"/>
          <w:lang w:val="fr-CA"/>
        </w:rPr>
        <w:t>avril 2014, cette demande a été rejetée, l</w:t>
      </w:r>
      <w:r>
        <w:rPr>
          <w:rFonts w:cs="Times New Roman"/>
          <w:lang w:val="fr-CA"/>
        </w:rPr>
        <w:t>’</w:t>
      </w:r>
      <w:r w:rsidRPr="00726732">
        <w:rPr>
          <w:rFonts w:cs="Times New Roman"/>
          <w:lang w:val="fr-CA"/>
        </w:rPr>
        <w:t xml:space="preserve">erreur a été supprimée des motifs du juge de première instance accompagnant la décision initiale sur la demande fondée sur la </w:t>
      </w:r>
      <w:r w:rsidRPr="00726732">
        <w:rPr>
          <w:rFonts w:cs="Times New Roman"/>
          <w:i/>
          <w:lang w:val="fr-CA"/>
        </w:rPr>
        <w:t>Chart</w:t>
      </w:r>
      <w:r w:rsidRPr="001C00B8">
        <w:rPr>
          <w:rFonts w:cs="Times New Roman"/>
          <w:i/>
          <w:lang w:val="fr-CA"/>
        </w:rPr>
        <w:t>e</w:t>
      </w:r>
      <w:r w:rsidRPr="00726732">
        <w:rPr>
          <w:rFonts w:cs="Times New Roman"/>
          <w:lang w:val="fr-CA"/>
        </w:rPr>
        <w:t>, et le voir</w:t>
      </w:r>
      <w:r w:rsidRPr="00726732">
        <w:rPr>
          <w:rFonts w:cs="Times New Roman"/>
          <w:lang w:val="fr-CA"/>
        </w:rPr>
        <w:noBreakHyphen/>
        <w:t>dire a été rouvert pour permettre à M. Cody de contre</w:t>
      </w:r>
      <w:r w:rsidRPr="00726732">
        <w:rPr>
          <w:rFonts w:cs="Times New Roman"/>
          <w:lang w:val="fr-CA"/>
        </w:rPr>
        <w:noBreakHyphen/>
        <w:t>interroger le policier dont les notes avaient été utilisées pour rédiger l</w:t>
      </w:r>
      <w:r>
        <w:rPr>
          <w:rFonts w:cs="Times New Roman"/>
          <w:lang w:val="fr-CA"/>
        </w:rPr>
        <w:t>’</w:t>
      </w:r>
      <w:r w:rsidRPr="00726732">
        <w:rPr>
          <w:rFonts w:cs="Times New Roman"/>
          <w:lang w:val="fr-CA"/>
        </w:rPr>
        <w:t>exposé. L</w:t>
      </w:r>
      <w:r>
        <w:rPr>
          <w:rFonts w:cs="Times New Roman"/>
          <w:lang w:val="fr-CA"/>
        </w:rPr>
        <w:t>’</w:t>
      </w:r>
      <w:r w:rsidRPr="00726732">
        <w:rPr>
          <w:rFonts w:cs="Times New Roman"/>
          <w:lang w:val="fr-CA"/>
        </w:rPr>
        <w:t>avocate de M. Cody a alors indiqué qu</w:t>
      </w:r>
      <w:r>
        <w:rPr>
          <w:rFonts w:cs="Times New Roman"/>
          <w:lang w:val="fr-CA"/>
        </w:rPr>
        <w:t>’</w:t>
      </w:r>
      <w:r w:rsidRPr="00726732">
        <w:rPr>
          <w:rFonts w:cs="Times New Roman"/>
          <w:lang w:val="fr-CA"/>
        </w:rPr>
        <w:t>il était possible qu</w:t>
      </w:r>
      <w:r>
        <w:rPr>
          <w:rFonts w:cs="Times New Roman"/>
          <w:lang w:val="fr-CA"/>
        </w:rPr>
        <w:t>’</w:t>
      </w:r>
      <w:r w:rsidRPr="00726732">
        <w:rPr>
          <w:rFonts w:cs="Times New Roman"/>
          <w:lang w:val="fr-CA"/>
        </w:rPr>
        <w:t>elle présente, sur la base de l</w:t>
      </w:r>
      <w:r>
        <w:rPr>
          <w:rFonts w:cs="Times New Roman"/>
          <w:lang w:val="fr-CA"/>
        </w:rPr>
        <w:t>’</w:t>
      </w:r>
      <w:r w:rsidRPr="00726732">
        <w:rPr>
          <w:rFonts w:cs="Times New Roman"/>
          <w:lang w:val="fr-CA"/>
        </w:rPr>
        <w:t>al. 11</w:t>
      </w:r>
      <w:r w:rsidRPr="00726732">
        <w:rPr>
          <w:rFonts w:cs="Times New Roman"/>
          <w:i/>
          <w:lang w:val="fr-CA"/>
        </w:rPr>
        <w:t>b</w:t>
      </w:r>
      <w:r w:rsidRPr="00726732">
        <w:rPr>
          <w:rFonts w:cs="Times New Roman"/>
          <w:lang w:val="fr-CA"/>
        </w:rPr>
        <w:t xml:space="preserve">) de la </w:t>
      </w:r>
      <w:r w:rsidRPr="00726732">
        <w:rPr>
          <w:rFonts w:cs="Times New Roman"/>
          <w:i/>
          <w:lang w:val="fr-CA"/>
        </w:rPr>
        <w:t>Charte</w:t>
      </w:r>
      <w:r w:rsidRPr="00726732">
        <w:rPr>
          <w:rFonts w:cs="Times New Roman"/>
          <w:lang w:val="fr-CA"/>
        </w:rPr>
        <w:t>, une demande invoquant une atteinte au droit de M. Cody d</w:t>
      </w:r>
      <w:r>
        <w:rPr>
          <w:rFonts w:cs="Times New Roman"/>
          <w:lang w:val="fr-CA"/>
        </w:rPr>
        <w:t>’</w:t>
      </w:r>
      <w:r w:rsidRPr="00726732">
        <w:rPr>
          <w:rFonts w:cs="Times New Roman"/>
          <w:lang w:val="fr-CA"/>
        </w:rPr>
        <w:t>être jugé dans un délai raisonnable. Le 26 juin 2014, le tribunal a confirmé sa décision initiale rejetant la demande d</w:t>
      </w:r>
      <w:r>
        <w:rPr>
          <w:rFonts w:cs="Times New Roman"/>
          <w:lang w:val="fr-CA"/>
        </w:rPr>
        <w:t>’</w:t>
      </w:r>
      <w:r w:rsidRPr="00726732">
        <w:rPr>
          <w:rFonts w:cs="Times New Roman"/>
          <w:lang w:val="fr-CA"/>
        </w:rPr>
        <w:t>exclusion de la preuve qu</w:t>
      </w:r>
      <w:r>
        <w:rPr>
          <w:rFonts w:cs="Times New Roman"/>
          <w:lang w:val="fr-CA"/>
        </w:rPr>
        <w:t>’</w:t>
      </w:r>
      <w:r w:rsidRPr="00726732">
        <w:rPr>
          <w:rFonts w:cs="Times New Roman"/>
          <w:lang w:val="fr-CA"/>
        </w:rPr>
        <w:t xml:space="preserve">avait présentée M. Cody en vertu de la </w:t>
      </w:r>
      <w:r w:rsidRPr="00726732">
        <w:rPr>
          <w:rFonts w:cs="Times New Roman"/>
          <w:i/>
          <w:lang w:val="fr-CA"/>
        </w:rPr>
        <w:t>Charte</w:t>
      </w:r>
      <w:r w:rsidRPr="00726732">
        <w:rPr>
          <w:rFonts w:cs="Times New Roman"/>
          <w:lang w:val="fr-CA"/>
        </w:rPr>
        <w:t xml:space="preserve">. </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Par la suite, invoquant l</w:t>
      </w:r>
      <w:r>
        <w:rPr>
          <w:rFonts w:cs="Times New Roman"/>
          <w:lang w:val="fr-CA"/>
        </w:rPr>
        <w:t>’</w:t>
      </w:r>
      <w:r w:rsidRPr="00726732">
        <w:rPr>
          <w:rFonts w:cs="Times New Roman"/>
          <w:lang w:val="fr-CA"/>
        </w:rPr>
        <w:t>existence d</w:t>
      </w:r>
      <w:r>
        <w:rPr>
          <w:rFonts w:cs="Times New Roman"/>
          <w:lang w:val="fr-CA"/>
        </w:rPr>
        <w:t>’</w:t>
      </w:r>
      <w:r w:rsidRPr="00726732">
        <w:rPr>
          <w:rFonts w:cs="Times New Roman"/>
          <w:lang w:val="fr-CA"/>
        </w:rPr>
        <w:t>une crainte raisonnable de partialité, l</w:t>
      </w:r>
      <w:r>
        <w:rPr>
          <w:rFonts w:cs="Times New Roman"/>
          <w:lang w:val="fr-CA"/>
        </w:rPr>
        <w:t>’</w:t>
      </w:r>
      <w:r w:rsidRPr="00726732">
        <w:rPr>
          <w:rFonts w:cs="Times New Roman"/>
          <w:lang w:val="fr-CA"/>
        </w:rPr>
        <w:t>avocate de M. Cody a déposé une demande de récusation. Cette demande a été rejetée le 10 septembre 2014. Suivant les dates qui avaient été fixées, le procès devait commencer le 26 janvier 2015, mais la demande de M. Cody fondée sur l</w:t>
      </w:r>
      <w:r>
        <w:rPr>
          <w:rFonts w:cs="Times New Roman"/>
          <w:lang w:val="fr-CA"/>
        </w:rPr>
        <w:t>’</w:t>
      </w:r>
      <w:r w:rsidRPr="00726732">
        <w:rPr>
          <w:rFonts w:cs="Times New Roman"/>
          <w:lang w:val="fr-CA"/>
        </w:rPr>
        <w:t>al. 11</w:t>
      </w:r>
      <w:r w:rsidRPr="00726732">
        <w:rPr>
          <w:rFonts w:cs="Times New Roman"/>
          <w:i/>
          <w:lang w:val="fr-CA"/>
        </w:rPr>
        <w:t>b</w:t>
      </w:r>
      <w:r w:rsidRPr="00726732">
        <w:rPr>
          <w:rFonts w:cs="Times New Roman"/>
          <w:lang w:val="fr-CA"/>
        </w:rPr>
        <w:t xml:space="preserve">) de </w:t>
      </w:r>
      <w:r w:rsidRPr="00726732">
        <w:rPr>
          <w:rFonts w:cs="Times New Roman"/>
          <w:lang w:val="fr-CA"/>
        </w:rPr>
        <w:lastRenderedPageBreak/>
        <w:t xml:space="preserve">la </w:t>
      </w:r>
      <w:r w:rsidRPr="00726732">
        <w:rPr>
          <w:rFonts w:cs="Times New Roman"/>
          <w:i/>
          <w:lang w:val="fr-CA"/>
        </w:rPr>
        <w:t>Charte</w:t>
      </w:r>
      <w:r w:rsidRPr="00726732">
        <w:rPr>
          <w:rFonts w:cs="Times New Roman"/>
          <w:lang w:val="fr-CA"/>
        </w:rPr>
        <w:t xml:space="preserve"> a été entendue à la fin de novembre 2014 et accueillie le 19 décembre 2014.</w:t>
      </w:r>
    </w:p>
    <w:p w:rsidR="001020F9" w:rsidRPr="00726732" w:rsidRDefault="001020F9" w:rsidP="00D42258">
      <w:pPr>
        <w:pStyle w:val="Title1LevelTitre1Niveau-AltL"/>
        <w:widowControl w:val="0"/>
        <w:rPr>
          <w:rFonts w:cs="Times New Roman"/>
          <w:lang w:val="fr-CA"/>
        </w:rPr>
      </w:pPr>
      <w:r w:rsidRPr="00726732">
        <w:rPr>
          <w:rFonts w:cs="Times New Roman"/>
          <w:lang w:val="fr-CA"/>
        </w:rPr>
        <w:t>Décisions des juridictions inférieures</w:t>
      </w:r>
    </w:p>
    <w:p w:rsidR="001020F9" w:rsidRPr="00726732" w:rsidRDefault="001020F9" w:rsidP="00D42258">
      <w:pPr>
        <w:pStyle w:val="Title2LevelTitre2Niveau"/>
        <w:widowControl w:val="0"/>
        <w:rPr>
          <w:rFonts w:cs="Times New Roman"/>
          <w:lang w:val="fr-CA"/>
        </w:rPr>
      </w:pPr>
      <w:r w:rsidRPr="00726732">
        <w:rPr>
          <w:rFonts w:cs="Times New Roman"/>
          <w:lang w:val="fr-CA"/>
        </w:rPr>
        <w:t>Cour suprême de Terre</w:t>
      </w:r>
      <w:r w:rsidRPr="00726732">
        <w:rPr>
          <w:rFonts w:cs="Times New Roman"/>
          <w:lang w:val="fr-CA"/>
        </w:rPr>
        <w:noBreakHyphen/>
        <w:t>Neuve</w:t>
      </w:r>
      <w:r w:rsidRPr="00726732">
        <w:rPr>
          <w:rFonts w:cs="Times New Roman"/>
          <w:lang w:val="fr-CA"/>
        </w:rPr>
        <w:noBreakHyphen/>
        <w:t>et</w:t>
      </w:r>
      <w:r w:rsidRPr="00726732">
        <w:rPr>
          <w:rFonts w:cs="Times New Roman"/>
          <w:lang w:val="fr-CA"/>
        </w:rPr>
        <w:noBreakHyphen/>
        <w:t>Labrador — Division de première instance (le juge Burrage), 2014 NLTD(G) 161, 359 Nfld. &amp; P.E.I.R. 123</w:t>
      </w:r>
    </w:p>
    <w:p w:rsidR="001020F9" w:rsidRPr="00726732" w:rsidRDefault="001020F9" w:rsidP="00D42258">
      <w:pPr>
        <w:pStyle w:val="ParaNoNdepar-AltN"/>
        <w:widowControl w:val="0"/>
        <w:rPr>
          <w:rFonts w:cs="Times New Roman"/>
          <w:lang w:val="fr-CA"/>
        </w:rPr>
      </w:pPr>
      <w:r w:rsidRPr="00726732">
        <w:rPr>
          <w:rFonts w:cs="Times New Roman"/>
          <w:lang w:val="fr-CA"/>
        </w:rPr>
        <w:t>Parce que le juge de première instance a rendu sa décision avant que notre Cour ne dépose ses motifs dans l</w:t>
      </w:r>
      <w:r>
        <w:rPr>
          <w:rFonts w:cs="Times New Roman"/>
          <w:lang w:val="fr-CA"/>
        </w:rPr>
        <w:t>’</w:t>
      </w:r>
      <w:r w:rsidRPr="00726732">
        <w:rPr>
          <w:rFonts w:cs="Times New Roman"/>
          <w:lang w:val="fr-CA"/>
        </w:rPr>
        <w:t xml:space="preserve">affaire </w:t>
      </w:r>
      <w:r w:rsidRPr="00726732">
        <w:rPr>
          <w:rFonts w:cs="Times New Roman"/>
          <w:i/>
          <w:lang w:val="fr-CA"/>
        </w:rPr>
        <w:t>Jordan</w:t>
      </w:r>
      <w:r w:rsidRPr="00726732">
        <w:rPr>
          <w:rFonts w:cs="Times New Roman"/>
          <w:lang w:val="fr-CA"/>
        </w:rPr>
        <w:t>, il a appliqué l</w:t>
      </w:r>
      <w:r>
        <w:rPr>
          <w:rFonts w:cs="Times New Roman"/>
          <w:lang w:val="fr-CA"/>
        </w:rPr>
        <w:t>’</w:t>
      </w:r>
      <w:r w:rsidRPr="00726732">
        <w:rPr>
          <w:rFonts w:cs="Times New Roman"/>
          <w:lang w:val="fr-CA"/>
        </w:rPr>
        <w:t>ancien cadre d</w:t>
      </w:r>
      <w:r>
        <w:rPr>
          <w:rFonts w:cs="Times New Roman"/>
          <w:lang w:val="fr-CA"/>
        </w:rPr>
        <w:t>’</w:t>
      </w:r>
      <w:r w:rsidRPr="00726732">
        <w:rPr>
          <w:rFonts w:cs="Times New Roman"/>
          <w:lang w:val="fr-CA"/>
        </w:rPr>
        <w:t>analyse énoncé dans l</w:t>
      </w:r>
      <w:r>
        <w:rPr>
          <w:rFonts w:cs="Times New Roman"/>
          <w:lang w:val="fr-CA"/>
        </w:rPr>
        <w:t>’</w:t>
      </w:r>
      <w:r w:rsidRPr="00726732">
        <w:rPr>
          <w:rFonts w:cs="Times New Roman"/>
          <w:lang w:val="fr-CA"/>
        </w:rPr>
        <w:t xml:space="preserve">arrêt </w:t>
      </w:r>
      <w:r w:rsidRPr="00726732">
        <w:rPr>
          <w:rFonts w:cs="Times New Roman"/>
          <w:i/>
          <w:lang w:val="fr-CA"/>
        </w:rPr>
        <w:t>Morin</w:t>
      </w:r>
      <w:r w:rsidRPr="00726732">
        <w:rPr>
          <w:rFonts w:cs="Times New Roman"/>
          <w:lang w:val="fr-CA"/>
        </w:rPr>
        <w:t>. Il a fait remarquer que le délai total qui s</w:t>
      </w:r>
      <w:r>
        <w:rPr>
          <w:rFonts w:cs="Times New Roman"/>
          <w:lang w:val="fr-CA"/>
        </w:rPr>
        <w:t>’</w:t>
      </w:r>
      <w:r w:rsidRPr="00726732">
        <w:rPr>
          <w:rFonts w:cs="Times New Roman"/>
          <w:lang w:val="fr-CA"/>
        </w:rPr>
        <w:t>était écoulé entre le dépôt des accusations contre M. Cody et la date fixée pour le procès de ce dernier était d</w:t>
      </w:r>
      <w:r>
        <w:rPr>
          <w:rFonts w:cs="Times New Roman"/>
          <w:lang w:val="fr-CA"/>
        </w:rPr>
        <w:t>’</w:t>
      </w:r>
      <w:r w:rsidRPr="00726732">
        <w:rPr>
          <w:rFonts w:cs="Times New Roman"/>
          <w:lang w:val="fr-CA"/>
        </w:rPr>
        <w:t>environ 60,5 mois. Il a attribué approximativement 13 mois à la renonciation de la défense à invoquer une portion du délai, ainsi que 17,5 mois aux délais inhérents au dossier et 6 mois aux actions de M. Cody. Il restait donc un délai total d</w:t>
      </w:r>
      <w:r>
        <w:rPr>
          <w:rFonts w:cs="Times New Roman"/>
          <w:lang w:val="fr-CA"/>
        </w:rPr>
        <w:t>’</w:t>
      </w:r>
      <w:r w:rsidRPr="00726732">
        <w:rPr>
          <w:rFonts w:cs="Times New Roman"/>
          <w:lang w:val="fr-CA"/>
        </w:rPr>
        <w:t>environ 19 mois imputable aux actions du ministère public et aux délais institutionnels. Ce délai était supérieur au délai de 16 à 18 mois que prévoyaient les lignes directrices de l</w:t>
      </w:r>
      <w:r>
        <w:rPr>
          <w:rFonts w:cs="Times New Roman"/>
          <w:lang w:val="fr-CA"/>
        </w:rPr>
        <w:t>’</w:t>
      </w:r>
      <w:r w:rsidRPr="00726732">
        <w:rPr>
          <w:rFonts w:cs="Times New Roman"/>
          <w:lang w:val="fr-CA"/>
        </w:rPr>
        <w:t xml:space="preserve">arrêt </w:t>
      </w:r>
      <w:r w:rsidRPr="00726732">
        <w:rPr>
          <w:rFonts w:cs="Times New Roman"/>
          <w:i/>
          <w:lang w:val="fr-CA"/>
        </w:rPr>
        <w:t>Morin</w:t>
      </w:r>
      <w:r w:rsidRPr="00726732">
        <w:rPr>
          <w:rFonts w:cs="Times New Roman"/>
          <w:lang w:val="fr-CA"/>
        </w:rPr>
        <w:t xml:space="preserve"> pour un procès en cour supérieure</w:t>
      </w:r>
      <w:r w:rsidRPr="004465C1">
        <w:rPr>
          <w:rStyle w:val="Hyperlink"/>
          <w:vertAlign w:val="superscript"/>
        </w:rPr>
        <w:footnoteReference w:id="1"/>
      </w:r>
      <w:r w:rsidRPr="00726732">
        <w:rPr>
          <w:rFonts w:cs="Times New Roman"/>
          <w:lang w:val="fr-CA"/>
        </w:rPr>
        <w:t xml:space="preserve">. </w:t>
      </w:r>
    </w:p>
    <w:p w:rsidR="001020F9" w:rsidRPr="00726732" w:rsidRDefault="001020F9" w:rsidP="00D42258">
      <w:pPr>
        <w:pStyle w:val="ParaNoNdepar-AltN"/>
        <w:widowControl w:val="0"/>
        <w:rPr>
          <w:rFonts w:cs="Times New Roman"/>
          <w:lang w:val="fr-CA"/>
        </w:rPr>
      </w:pPr>
      <w:r w:rsidRPr="00726732">
        <w:rPr>
          <w:rFonts w:cs="Times New Roman"/>
          <w:lang w:val="fr-CA"/>
        </w:rPr>
        <w:t>Pour ce qui est de la question du préjudice, le juge de première instance a conclu que M. Cody avait subi [</w:t>
      </w:r>
      <w:r w:rsidRPr="00726732">
        <w:rPr>
          <w:rFonts w:cs="Times New Roman"/>
          <w:smallCaps/>
          <w:lang w:val="fr-CA"/>
        </w:rPr>
        <w:t>traduction</w:t>
      </w:r>
      <w:r w:rsidRPr="00726732">
        <w:rPr>
          <w:rFonts w:cs="Times New Roman"/>
          <w:lang w:val="fr-CA"/>
        </w:rPr>
        <w:t>] « effectivement un préjudice réel et substantiel » (par. 191). Plus précisément, le juge a indiqué que M. Cody était assujetti à des conditions de mise en liberté sous caution qui restreignaient sa liberté, que celui</w:t>
      </w:r>
      <w:r w:rsidRPr="00726732">
        <w:rPr>
          <w:rFonts w:cs="Times New Roman"/>
          <w:lang w:val="fr-CA"/>
        </w:rPr>
        <w:noBreakHyphen/>
        <w:t xml:space="preserve">ci </w:t>
      </w:r>
      <w:r w:rsidRPr="00726732">
        <w:rPr>
          <w:rFonts w:cs="Times New Roman"/>
          <w:lang w:val="fr-CA"/>
        </w:rPr>
        <w:lastRenderedPageBreak/>
        <w:t>souffrait de détresse psychologique et d</w:t>
      </w:r>
      <w:r>
        <w:rPr>
          <w:rFonts w:cs="Times New Roman"/>
          <w:lang w:val="fr-CA"/>
        </w:rPr>
        <w:t>’</w:t>
      </w:r>
      <w:r w:rsidRPr="00726732">
        <w:rPr>
          <w:rFonts w:cs="Times New Roman"/>
          <w:lang w:val="fr-CA"/>
        </w:rPr>
        <w:t>anxiété et qu</w:t>
      </w:r>
      <w:r>
        <w:rPr>
          <w:rFonts w:cs="Times New Roman"/>
          <w:lang w:val="fr-CA"/>
        </w:rPr>
        <w:t>’</w:t>
      </w:r>
      <w:r w:rsidRPr="00726732">
        <w:rPr>
          <w:rFonts w:cs="Times New Roman"/>
          <w:lang w:val="fr-CA"/>
        </w:rPr>
        <w:t>il avait perdu son emploi en raison des restrictions imposées à sa capacité de voyager. Le juge de première instance a également inféré que le passage du temps pourrait entraîner une atteinte au droit de M. Cody à un procès équitable. De plus, il a estimé que rien dans la conduite de M. Cody ne tendait à indiquer que ce dernier retardait délibérément l</w:t>
      </w:r>
      <w:r>
        <w:rPr>
          <w:rFonts w:cs="Times New Roman"/>
          <w:lang w:val="fr-CA"/>
        </w:rPr>
        <w:t>’</w:t>
      </w:r>
      <w:r w:rsidRPr="00726732">
        <w:rPr>
          <w:rFonts w:cs="Times New Roman"/>
          <w:lang w:val="fr-CA"/>
        </w:rPr>
        <w:t>instance. Soulignant l</w:t>
      </w:r>
      <w:r>
        <w:rPr>
          <w:rFonts w:cs="Times New Roman"/>
          <w:lang w:val="fr-CA"/>
        </w:rPr>
        <w:t>’</w:t>
      </w:r>
      <w:r w:rsidRPr="00726732">
        <w:rPr>
          <w:rFonts w:cs="Times New Roman"/>
          <w:lang w:val="fr-CA"/>
        </w:rPr>
        <w:t>importance d</w:t>
      </w:r>
      <w:r>
        <w:rPr>
          <w:rFonts w:cs="Times New Roman"/>
          <w:lang w:val="fr-CA"/>
        </w:rPr>
        <w:t>’</w:t>
      </w:r>
      <w:r w:rsidRPr="00726732">
        <w:rPr>
          <w:rFonts w:cs="Times New Roman"/>
          <w:lang w:val="fr-CA"/>
        </w:rPr>
        <w:t>une appréciation globale, le juge de première instance a conclu que le préjudice subi par M. Cody en raison du délai écoulé l</w:t>
      </w:r>
      <w:r>
        <w:rPr>
          <w:rFonts w:cs="Times New Roman"/>
          <w:lang w:val="fr-CA"/>
        </w:rPr>
        <w:t>’</w:t>
      </w:r>
      <w:r w:rsidRPr="00726732">
        <w:rPr>
          <w:rFonts w:cs="Times New Roman"/>
          <w:lang w:val="fr-CA"/>
        </w:rPr>
        <w:t>emportait sur l</w:t>
      </w:r>
      <w:r>
        <w:rPr>
          <w:rFonts w:cs="Times New Roman"/>
          <w:lang w:val="fr-CA"/>
        </w:rPr>
        <w:t>’</w:t>
      </w:r>
      <w:r w:rsidRPr="00726732">
        <w:rPr>
          <w:rFonts w:cs="Times New Roman"/>
          <w:lang w:val="fr-CA"/>
        </w:rPr>
        <w:t>intérêt de la société à la tenue d</w:t>
      </w:r>
      <w:r>
        <w:rPr>
          <w:rFonts w:cs="Times New Roman"/>
          <w:lang w:val="fr-CA"/>
        </w:rPr>
        <w:t>’</w:t>
      </w:r>
      <w:r w:rsidRPr="00726732">
        <w:rPr>
          <w:rFonts w:cs="Times New Roman"/>
          <w:lang w:val="fr-CA"/>
        </w:rPr>
        <w:t>un procès au fond. En conséquence, il a statué qu</w:t>
      </w:r>
      <w:r>
        <w:rPr>
          <w:rFonts w:cs="Times New Roman"/>
          <w:lang w:val="fr-CA"/>
        </w:rPr>
        <w:t>’</w:t>
      </w:r>
      <w:r w:rsidRPr="00726732">
        <w:rPr>
          <w:rFonts w:cs="Times New Roman"/>
          <w:lang w:val="fr-CA"/>
        </w:rPr>
        <w:t>il y avait eu violation du droit garanti à M. Cody par l</w:t>
      </w:r>
      <w:r>
        <w:rPr>
          <w:rFonts w:cs="Times New Roman"/>
          <w:lang w:val="fr-CA"/>
        </w:rPr>
        <w:t>’</w:t>
      </w:r>
      <w:r w:rsidRPr="00726732">
        <w:rPr>
          <w:rFonts w:cs="Times New Roman"/>
          <w:lang w:val="fr-CA"/>
        </w:rPr>
        <w:t>al. 11</w:t>
      </w:r>
      <w:r w:rsidRPr="00726732">
        <w:rPr>
          <w:rFonts w:cs="Times New Roman"/>
          <w:i/>
          <w:lang w:val="fr-CA"/>
        </w:rPr>
        <w:t>b</w:t>
      </w:r>
      <w:r w:rsidRPr="00726732">
        <w:rPr>
          <w:rFonts w:cs="Times New Roman"/>
          <w:lang w:val="fr-CA"/>
        </w:rPr>
        <w:t>) et il a ordonné l</w:t>
      </w:r>
      <w:r>
        <w:rPr>
          <w:rFonts w:cs="Times New Roman"/>
          <w:lang w:val="fr-CA"/>
        </w:rPr>
        <w:t>’</w:t>
      </w:r>
      <w:r w:rsidRPr="00726732">
        <w:rPr>
          <w:rFonts w:cs="Times New Roman"/>
          <w:lang w:val="fr-CA"/>
        </w:rPr>
        <w:t xml:space="preserve">arrêt des procédures. </w:t>
      </w:r>
    </w:p>
    <w:p w:rsidR="001020F9" w:rsidRPr="00726732" w:rsidRDefault="001020F9" w:rsidP="00D42258">
      <w:pPr>
        <w:pStyle w:val="Title2LevelTitre2Niveau"/>
        <w:widowControl w:val="0"/>
        <w:rPr>
          <w:rFonts w:cs="Times New Roman"/>
          <w:lang w:val="fr-CA"/>
        </w:rPr>
      </w:pPr>
      <w:r w:rsidRPr="00726732">
        <w:rPr>
          <w:rFonts w:cs="Times New Roman"/>
          <w:lang w:val="fr-CA"/>
        </w:rPr>
        <w:t>Cour suprême de Terre</w:t>
      </w:r>
      <w:r w:rsidRPr="00726732">
        <w:rPr>
          <w:rFonts w:cs="Times New Roman"/>
          <w:lang w:val="fr-CA"/>
        </w:rPr>
        <w:noBreakHyphen/>
        <w:t>Neuve</w:t>
      </w:r>
      <w:r w:rsidRPr="00726732">
        <w:rPr>
          <w:rFonts w:cs="Times New Roman"/>
          <w:lang w:val="fr-CA"/>
        </w:rPr>
        <w:noBreakHyphen/>
        <w:t>et</w:t>
      </w:r>
      <w:r w:rsidRPr="00726732">
        <w:rPr>
          <w:rFonts w:cs="Times New Roman"/>
          <w:lang w:val="fr-CA"/>
        </w:rPr>
        <w:noBreakHyphen/>
        <w:t>Labrador — Cour d</w:t>
      </w:r>
      <w:r>
        <w:rPr>
          <w:rFonts w:cs="Times New Roman"/>
          <w:lang w:val="fr-CA"/>
        </w:rPr>
        <w:t>’</w:t>
      </w:r>
      <w:r w:rsidRPr="00726732">
        <w:rPr>
          <w:rFonts w:cs="Times New Roman"/>
          <w:lang w:val="fr-CA"/>
        </w:rPr>
        <w:t>appel (les juges Welsh, White (dissident) et Hoegg), 2016 NLCA 57, 365 C.R.R. (2d) 111</w:t>
      </w:r>
    </w:p>
    <w:p w:rsidR="001020F9" w:rsidRPr="00726732" w:rsidRDefault="001020F9" w:rsidP="00D42258">
      <w:pPr>
        <w:pStyle w:val="ParaNoNdepar-AltN"/>
        <w:widowControl w:val="0"/>
        <w:rPr>
          <w:rFonts w:cs="Times New Roman"/>
          <w:lang w:val="fr-CA"/>
        </w:rPr>
      </w:pPr>
      <w:r w:rsidRPr="00726732">
        <w:rPr>
          <w:rFonts w:cs="Times New Roman"/>
          <w:lang w:val="fr-CA"/>
        </w:rPr>
        <w:t>Pendant que la Cour d</w:t>
      </w:r>
      <w:r>
        <w:rPr>
          <w:rFonts w:cs="Times New Roman"/>
          <w:lang w:val="fr-CA"/>
        </w:rPr>
        <w:t>’</w:t>
      </w:r>
      <w:r w:rsidRPr="00726732">
        <w:rPr>
          <w:rFonts w:cs="Times New Roman"/>
          <w:lang w:val="fr-CA"/>
        </w:rPr>
        <w:t>appel délibérait sur l</w:t>
      </w:r>
      <w:r>
        <w:rPr>
          <w:rFonts w:cs="Times New Roman"/>
          <w:lang w:val="fr-CA"/>
        </w:rPr>
        <w:t>’</w:t>
      </w:r>
      <w:r w:rsidRPr="00726732">
        <w:rPr>
          <w:rFonts w:cs="Times New Roman"/>
          <w:lang w:val="fr-CA"/>
        </w:rPr>
        <w:t>appel du ministère public visant l</w:t>
      </w:r>
      <w:r>
        <w:rPr>
          <w:rFonts w:cs="Times New Roman"/>
          <w:lang w:val="fr-CA"/>
        </w:rPr>
        <w:t>’</w:t>
      </w:r>
      <w:r w:rsidRPr="00726732">
        <w:rPr>
          <w:rFonts w:cs="Times New Roman"/>
          <w:lang w:val="fr-CA"/>
        </w:rPr>
        <w:t>ordonnance d</w:t>
      </w:r>
      <w:r>
        <w:rPr>
          <w:rFonts w:cs="Times New Roman"/>
          <w:lang w:val="fr-CA"/>
        </w:rPr>
        <w:t>’</w:t>
      </w:r>
      <w:r w:rsidRPr="00726732">
        <w:rPr>
          <w:rFonts w:cs="Times New Roman"/>
          <w:lang w:val="fr-CA"/>
        </w:rPr>
        <w:t xml:space="preserve">arrêt des procédures prononcée par le juge du procès, notre Cour a rendu sa décision dans </w:t>
      </w:r>
      <w:r w:rsidRPr="00726732">
        <w:rPr>
          <w:rFonts w:cs="Times New Roman"/>
          <w:i/>
          <w:lang w:val="fr-CA"/>
        </w:rPr>
        <w:t>Jordan</w:t>
      </w:r>
      <w:r w:rsidRPr="00726732">
        <w:rPr>
          <w:rFonts w:cs="Times New Roman"/>
          <w:lang w:val="fr-CA"/>
        </w:rPr>
        <w:t>. M. Cody et le ministère public ont par la suite déposé auprès de la Cour d</w:t>
      </w:r>
      <w:r>
        <w:rPr>
          <w:rFonts w:cs="Times New Roman"/>
          <w:lang w:val="fr-CA"/>
        </w:rPr>
        <w:t>’</w:t>
      </w:r>
      <w:r w:rsidRPr="00726732">
        <w:rPr>
          <w:rFonts w:cs="Times New Roman"/>
          <w:lang w:val="fr-CA"/>
        </w:rPr>
        <w:t xml:space="preserve">appel des observations écrites sur la portée de cet arrêt. </w:t>
      </w:r>
    </w:p>
    <w:p w:rsidR="001020F9" w:rsidRPr="00726732" w:rsidRDefault="001020F9" w:rsidP="00D42258">
      <w:pPr>
        <w:pStyle w:val="ParaNoNdepar-AltN"/>
        <w:widowControl w:val="0"/>
        <w:rPr>
          <w:rFonts w:cs="Times New Roman"/>
          <w:lang w:val="fr-CA"/>
        </w:rPr>
      </w:pPr>
      <w:r w:rsidRPr="00726732">
        <w:rPr>
          <w:rFonts w:cs="Times New Roman"/>
          <w:lang w:val="fr-CA"/>
        </w:rPr>
        <w:t>Les juges majoritaires ont accueilli l</w:t>
      </w:r>
      <w:r>
        <w:rPr>
          <w:rFonts w:cs="Times New Roman"/>
          <w:lang w:val="fr-CA"/>
        </w:rPr>
        <w:t>’</w:t>
      </w:r>
      <w:r w:rsidRPr="00726732">
        <w:rPr>
          <w:rFonts w:cs="Times New Roman"/>
          <w:lang w:val="fr-CA"/>
        </w:rPr>
        <w:t>appel. Appliquant le cadre d</w:t>
      </w:r>
      <w:r>
        <w:rPr>
          <w:rFonts w:cs="Times New Roman"/>
          <w:lang w:val="fr-CA"/>
        </w:rPr>
        <w:t>’</w:t>
      </w:r>
      <w:r w:rsidRPr="00726732">
        <w:rPr>
          <w:rFonts w:cs="Times New Roman"/>
          <w:lang w:val="fr-CA"/>
        </w:rPr>
        <w:t xml:space="preserve">analyse établi dans </w:t>
      </w:r>
      <w:r w:rsidRPr="00726732">
        <w:rPr>
          <w:rFonts w:cs="Times New Roman"/>
          <w:i/>
          <w:lang w:val="fr-CA"/>
        </w:rPr>
        <w:t>Jordan</w:t>
      </w:r>
      <w:r w:rsidRPr="00726732">
        <w:rPr>
          <w:rFonts w:cs="Times New Roman"/>
          <w:lang w:val="fr-CA"/>
        </w:rPr>
        <w:t>, ils ont relevé un certain nombre de circonstances exceptionnelles concernant principalement la communication de la preuve, la situation imprévue liée à l</w:t>
      </w:r>
      <w:r>
        <w:rPr>
          <w:rFonts w:cs="Times New Roman"/>
          <w:lang w:val="fr-CA"/>
        </w:rPr>
        <w:t>’</w:t>
      </w:r>
      <w:r w:rsidRPr="00726732">
        <w:rPr>
          <w:rFonts w:cs="Times New Roman"/>
          <w:lang w:val="fr-CA"/>
        </w:rPr>
        <w:t xml:space="preserve">arrêt </w:t>
      </w:r>
      <w:r w:rsidRPr="00726732">
        <w:rPr>
          <w:rFonts w:cs="Times New Roman"/>
          <w:i/>
          <w:lang w:val="fr-CA"/>
        </w:rPr>
        <w:t xml:space="preserve">McNeil </w:t>
      </w:r>
      <w:r w:rsidRPr="00726732">
        <w:rPr>
          <w:rFonts w:cs="Times New Roman"/>
          <w:lang w:val="fr-CA"/>
        </w:rPr>
        <w:t>et l</w:t>
      </w:r>
      <w:r>
        <w:rPr>
          <w:rFonts w:cs="Times New Roman"/>
          <w:lang w:val="fr-CA"/>
        </w:rPr>
        <w:t>’</w:t>
      </w:r>
      <w:r w:rsidRPr="00726732">
        <w:rPr>
          <w:rFonts w:cs="Times New Roman"/>
          <w:lang w:val="fr-CA"/>
        </w:rPr>
        <w:t>erreur figurant dans l</w:t>
      </w:r>
      <w:r>
        <w:rPr>
          <w:rFonts w:cs="Times New Roman"/>
          <w:lang w:val="fr-CA"/>
        </w:rPr>
        <w:t>’</w:t>
      </w:r>
      <w:r w:rsidRPr="00726732">
        <w:rPr>
          <w:rFonts w:cs="Times New Roman"/>
          <w:lang w:val="fr-CA"/>
        </w:rPr>
        <w:t>exposé conjoint des faits. Après avoir tenu compte de ces déductions, ils ont calculé que le délai net s</w:t>
      </w:r>
      <w:r>
        <w:rPr>
          <w:rFonts w:cs="Times New Roman"/>
          <w:lang w:val="fr-CA"/>
        </w:rPr>
        <w:t>’</w:t>
      </w:r>
      <w:r w:rsidRPr="00726732">
        <w:rPr>
          <w:rFonts w:cs="Times New Roman"/>
          <w:lang w:val="fr-CA"/>
        </w:rPr>
        <w:t xml:space="preserve">établissait à environ 16 mois, </w:t>
      </w:r>
      <w:r w:rsidRPr="00726732">
        <w:rPr>
          <w:rFonts w:cs="Times New Roman"/>
          <w:lang w:val="fr-CA"/>
        </w:rPr>
        <w:lastRenderedPageBreak/>
        <w:t>délai bien inférieur au plafond présumé. Ils ont en conséquence annulé l</w:t>
      </w:r>
      <w:r>
        <w:rPr>
          <w:rFonts w:cs="Times New Roman"/>
          <w:lang w:val="fr-CA"/>
        </w:rPr>
        <w:t>’</w:t>
      </w:r>
      <w:r w:rsidRPr="00726732">
        <w:rPr>
          <w:rFonts w:cs="Times New Roman"/>
          <w:lang w:val="fr-CA"/>
        </w:rPr>
        <w:t>arrêt des procédures et renvoyé l</w:t>
      </w:r>
      <w:r>
        <w:rPr>
          <w:rFonts w:cs="Times New Roman"/>
          <w:lang w:val="fr-CA"/>
        </w:rPr>
        <w:t>’</w:t>
      </w:r>
      <w:r w:rsidRPr="00726732">
        <w:rPr>
          <w:rFonts w:cs="Times New Roman"/>
          <w:lang w:val="fr-CA"/>
        </w:rPr>
        <w:t>affaire pour qu</w:t>
      </w:r>
      <w:r>
        <w:rPr>
          <w:rFonts w:cs="Times New Roman"/>
          <w:lang w:val="fr-CA"/>
        </w:rPr>
        <w:t>’</w:t>
      </w:r>
      <w:r w:rsidRPr="00726732">
        <w:rPr>
          <w:rFonts w:cs="Times New Roman"/>
          <w:lang w:val="fr-CA"/>
        </w:rPr>
        <w:t xml:space="preserve">elle soit jugée. </w:t>
      </w:r>
    </w:p>
    <w:p w:rsidR="001020F9" w:rsidRPr="00726732" w:rsidRDefault="001020F9" w:rsidP="00D42258">
      <w:pPr>
        <w:pStyle w:val="ParaNoNdepar-AltN"/>
        <w:widowControl w:val="0"/>
        <w:rPr>
          <w:rFonts w:cs="Times New Roman"/>
          <w:lang w:val="fr-CA"/>
        </w:rPr>
      </w:pPr>
      <w:r w:rsidRPr="00726732">
        <w:rPr>
          <w:rFonts w:cs="Times New Roman"/>
          <w:lang w:val="fr-CA"/>
        </w:rPr>
        <w:t>Le juge dissident aurait pour sa part confirmé l</w:t>
      </w:r>
      <w:r>
        <w:rPr>
          <w:rFonts w:cs="Times New Roman"/>
          <w:lang w:val="fr-CA"/>
        </w:rPr>
        <w:t>’</w:t>
      </w:r>
      <w:r w:rsidRPr="00726732">
        <w:rPr>
          <w:rFonts w:cs="Times New Roman"/>
          <w:lang w:val="fr-CA"/>
        </w:rPr>
        <w:t>arrêt des procédures. Considérant l</w:t>
      </w:r>
      <w:r>
        <w:rPr>
          <w:rFonts w:cs="Times New Roman"/>
          <w:lang w:val="fr-CA"/>
        </w:rPr>
        <w:t>’</w:t>
      </w:r>
      <w:r w:rsidRPr="00726732">
        <w:rPr>
          <w:rFonts w:cs="Times New Roman"/>
          <w:lang w:val="fr-CA"/>
        </w:rPr>
        <w:t>affaire dans son ensemble, il a souligné que le délai de cinq ans qui s</w:t>
      </w:r>
      <w:r>
        <w:rPr>
          <w:rFonts w:cs="Times New Roman"/>
          <w:lang w:val="fr-CA"/>
        </w:rPr>
        <w:t>’</w:t>
      </w:r>
      <w:r w:rsidRPr="00726732">
        <w:rPr>
          <w:rFonts w:cs="Times New Roman"/>
          <w:lang w:val="fr-CA"/>
        </w:rPr>
        <w:t>est écoulé avant qu</w:t>
      </w:r>
      <w:r>
        <w:rPr>
          <w:rFonts w:cs="Times New Roman"/>
          <w:lang w:val="fr-CA"/>
        </w:rPr>
        <w:t>’</w:t>
      </w:r>
      <w:r w:rsidRPr="00726732">
        <w:rPr>
          <w:rFonts w:cs="Times New Roman"/>
          <w:lang w:val="fr-CA"/>
        </w:rPr>
        <w:t>un procès de cinq jours ne soit mis au rôle contrevenait à la promesse formulée à l</w:t>
      </w:r>
      <w:r>
        <w:rPr>
          <w:rFonts w:cs="Times New Roman"/>
          <w:lang w:val="fr-CA"/>
        </w:rPr>
        <w:t>’</w:t>
      </w:r>
      <w:r w:rsidRPr="00726732">
        <w:rPr>
          <w:rFonts w:cs="Times New Roman"/>
          <w:lang w:val="fr-CA"/>
        </w:rPr>
        <w:t>al. 11</w:t>
      </w:r>
      <w:r w:rsidRPr="00726732">
        <w:rPr>
          <w:rFonts w:cs="Times New Roman"/>
          <w:i/>
          <w:lang w:val="fr-CA"/>
        </w:rPr>
        <w:t>b</w:t>
      </w:r>
      <w:r w:rsidRPr="00726732">
        <w:rPr>
          <w:rFonts w:cs="Times New Roman"/>
          <w:lang w:val="fr-CA"/>
        </w:rPr>
        <w:t>) concernant la tenue des procès dans un délai raisonnable. Il a exprimé son désaccord avec les juges majoritaires sur l</w:t>
      </w:r>
      <w:r>
        <w:rPr>
          <w:rFonts w:cs="Times New Roman"/>
          <w:lang w:val="fr-CA"/>
        </w:rPr>
        <w:t>’</w:t>
      </w:r>
      <w:r w:rsidRPr="00726732">
        <w:rPr>
          <w:rFonts w:cs="Times New Roman"/>
          <w:lang w:val="fr-CA"/>
        </w:rPr>
        <w:t>attribution de plusieurs portions du délai à des circonstances exceptionnelles, et il a conclu que la mesure transitoire exceptionnelle n</w:t>
      </w:r>
      <w:r>
        <w:rPr>
          <w:rFonts w:cs="Times New Roman"/>
          <w:lang w:val="fr-CA"/>
        </w:rPr>
        <w:t>’</w:t>
      </w:r>
      <w:r w:rsidRPr="00726732">
        <w:rPr>
          <w:rFonts w:cs="Times New Roman"/>
          <w:lang w:val="fr-CA"/>
        </w:rPr>
        <w:t>est pas censée être appliquée pour justifier un délai qui aurait été déraisonnable suivant le cadre d</w:t>
      </w:r>
      <w:r>
        <w:rPr>
          <w:rFonts w:cs="Times New Roman"/>
          <w:lang w:val="fr-CA"/>
        </w:rPr>
        <w:t>’</w:t>
      </w:r>
      <w:r w:rsidRPr="00726732">
        <w:rPr>
          <w:rFonts w:cs="Times New Roman"/>
          <w:lang w:val="fr-CA"/>
        </w:rPr>
        <w:t xml:space="preserve">analyse énoncé dans </w:t>
      </w:r>
      <w:r w:rsidRPr="00726732">
        <w:rPr>
          <w:rFonts w:cs="Times New Roman"/>
          <w:i/>
          <w:lang w:val="fr-CA"/>
        </w:rPr>
        <w:t>Morin</w:t>
      </w:r>
      <w:r w:rsidRPr="00726732">
        <w:rPr>
          <w:rFonts w:cs="Times New Roman"/>
          <w:lang w:val="fr-CA"/>
        </w:rPr>
        <w:t>. Finalement, après avoir pris en compte les délais imputables à la défense et les circonstances exceptionnelles, il est arrivé à un délai de plus de 39 mois, délai qui dépassait considérablement le plafond présumé et commandait l</w:t>
      </w:r>
      <w:r>
        <w:rPr>
          <w:rFonts w:cs="Times New Roman"/>
          <w:lang w:val="fr-CA"/>
        </w:rPr>
        <w:t>’</w:t>
      </w:r>
      <w:r w:rsidRPr="00726732">
        <w:rPr>
          <w:rFonts w:cs="Times New Roman"/>
          <w:lang w:val="fr-CA"/>
        </w:rPr>
        <w:t>arrêt des procédures.</w:t>
      </w:r>
    </w:p>
    <w:p w:rsidR="001020F9" w:rsidRPr="00726732" w:rsidRDefault="001020F9" w:rsidP="00D42258">
      <w:pPr>
        <w:pStyle w:val="Title1LevelTitre1Niveau-AltL"/>
        <w:widowControl w:val="0"/>
        <w:rPr>
          <w:rFonts w:cs="Times New Roman"/>
          <w:lang w:val="fr-CA"/>
        </w:rPr>
      </w:pPr>
      <w:r w:rsidRPr="00726732">
        <w:rPr>
          <w:rFonts w:cs="Times New Roman"/>
          <w:lang w:val="fr-CA"/>
        </w:rPr>
        <w:t>Analyse</w:t>
      </w:r>
    </w:p>
    <w:p w:rsidR="001020F9" w:rsidRPr="00726732" w:rsidRDefault="001020F9" w:rsidP="00D42258">
      <w:pPr>
        <w:pStyle w:val="Title2LevelTitre2Niveau"/>
        <w:widowControl w:val="0"/>
        <w:rPr>
          <w:rFonts w:cs="Times New Roman"/>
          <w:lang w:val="fr-CA"/>
        </w:rPr>
      </w:pPr>
      <w:r w:rsidRPr="00726732">
        <w:rPr>
          <w:rFonts w:cs="Times New Roman"/>
          <w:lang w:val="fr-CA"/>
        </w:rPr>
        <w:t>Le cadre d</w:t>
      </w:r>
      <w:r>
        <w:rPr>
          <w:rFonts w:cs="Times New Roman"/>
          <w:lang w:val="fr-CA"/>
        </w:rPr>
        <w:t>’</w:t>
      </w:r>
      <w:r w:rsidRPr="00726732">
        <w:rPr>
          <w:rFonts w:cs="Times New Roman"/>
          <w:lang w:val="fr-CA"/>
        </w:rPr>
        <w:t>analyse établi dans Jordan</w:t>
      </w:r>
    </w:p>
    <w:p w:rsidR="001020F9" w:rsidRPr="00726732" w:rsidRDefault="001020F9" w:rsidP="00D42258">
      <w:pPr>
        <w:pStyle w:val="ParaNoNdepar-AltN"/>
        <w:widowControl w:val="0"/>
        <w:rPr>
          <w:rFonts w:cs="Times New Roman"/>
          <w:lang w:val="fr-CA"/>
        </w:rPr>
      </w:pPr>
      <w:r w:rsidRPr="00726732">
        <w:rPr>
          <w:rFonts w:cs="Times New Roman"/>
          <w:lang w:val="fr-CA"/>
        </w:rPr>
        <w:t>Le nouveau cadre d</w:t>
      </w:r>
      <w:r>
        <w:rPr>
          <w:rFonts w:cs="Times New Roman"/>
          <w:lang w:val="fr-CA"/>
        </w:rPr>
        <w:t>’</w:t>
      </w:r>
      <w:r w:rsidRPr="00726732">
        <w:rPr>
          <w:rFonts w:cs="Times New Roman"/>
          <w:lang w:val="fr-CA"/>
        </w:rPr>
        <w:t>analyse établi dans l</w:t>
      </w:r>
      <w:r>
        <w:rPr>
          <w:rFonts w:cs="Times New Roman"/>
          <w:lang w:val="fr-CA"/>
        </w:rPr>
        <w:t>’</w:t>
      </w:r>
      <w:r w:rsidRPr="00726732">
        <w:rPr>
          <w:rFonts w:cs="Times New Roman"/>
          <w:lang w:val="fr-CA"/>
        </w:rPr>
        <w:t xml:space="preserve">arrêt </w:t>
      </w:r>
      <w:r w:rsidRPr="00726732">
        <w:rPr>
          <w:rFonts w:cs="Times New Roman"/>
          <w:i/>
          <w:lang w:val="fr-CA"/>
        </w:rPr>
        <w:t>Jordan</w:t>
      </w:r>
      <w:r w:rsidRPr="00726732">
        <w:rPr>
          <w:rFonts w:cs="Times New Roman"/>
          <w:lang w:val="fr-CA"/>
        </w:rPr>
        <w:t xml:space="preserve"> pour déterminer s</w:t>
      </w:r>
      <w:r>
        <w:rPr>
          <w:rFonts w:cs="Times New Roman"/>
          <w:lang w:val="fr-CA"/>
        </w:rPr>
        <w:t>’</w:t>
      </w:r>
      <w:r w:rsidRPr="00726732">
        <w:rPr>
          <w:rFonts w:cs="Times New Roman"/>
          <w:lang w:val="fr-CA"/>
        </w:rPr>
        <w:t>il y a eu atteinte au droit de l</w:t>
      </w:r>
      <w:r>
        <w:rPr>
          <w:rFonts w:cs="Times New Roman"/>
          <w:lang w:val="fr-CA"/>
        </w:rPr>
        <w:t>’</w:t>
      </w:r>
      <w:r w:rsidRPr="00726732">
        <w:rPr>
          <w:rFonts w:cs="Times New Roman"/>
          <w:lang w:val="fr-CA"/>
        </w:rPr>
        <w:t>inculpé d</w:t>
      </w:r>
      <w:r>
        <w:rPr>
          <w:rFonts w:cs="Times New Roman"/>
          <w:lang w:val="fr-CA"/>
        </w:rPr>
        <w:t>’</w:t>
      </w:r>
      <w:r w:rsidRPr="00726732">
        <w:rPr>
          <w:rFonts w:cs="Times New Roman"/>
          <w:lang w:val="fr-CA"/>
        </w:rPr>
        <w:t>être jugé dans un délai raisonnable repose sur deux plafonds présumés : 18 mois pour les affaires instruites devant une cour provinciale et 30 mois pour celles instruites devant une cour supérieure (</w:t>
      </w:r>
      <w:r w:rsidRPr="00726732">
        <w:rPr>
          <w:rFonts w:cs="Times New Roman"/>
          <w:i/>
          <w:lang w:val="fr-CA"/>
        </w:rPr>
        <w:t>Jordan</w:t>
      </w:r>
      <w:r w:rsidRPr="00726732">
        <w:rPr>
          <w:rFonts w:cs="Times New Roman"/>
          <w:lang w:val="fr-CA"/>
        </w:rPr>
        <w:t xml:space="preserve">, par. 46). </w:t>
      </w:r>
    </w:p>
    <w:p w:rsidR="001020F9" w:rsidRPr="00726732" w:rsidRDefault="001020F9" w:rsidP="00D42258">
      <w:pPr>
        <w:pStyle w:val="ParaNoNdepar-AltN"/>
        <w:widowControl w:val="0"/>
        <w:rPr>
          <w:rFonts w:cs="Times New Roman"/>
          <w:lang w:val="fr-CA"/>
        </w:rPr>
      </w:pPr>
      <w:r w:rsidRPr="00726732">
        <w:rPr>
          <w:rFonts w:cs="Times New Roman"/>
          <w:lang w:val="fr-CA"/>
        </w:rPr>
        <w:lastRenderedPageBreak/>
        <w:t>La première étape de l</w:t>
      </w:r>
      <w:r>
        <w:rPr>
          <w:rFonts w:cs="Times New Roman"/>
          <w:lang w:val="fr-CA"/>
        </w:rPr>
        <w:t>’</w:t>
      </w:r>
      <w:r w:rsidRPr="00726732">
        <w:rPr>
          <w:rFonts w:cs="Times New Roman"/>
          <w:lang w:val="fr-CA"/>
        </w:rPr>
        <w:t>analyse prévue par ce cadre commence par le « calcul du délai total entre le dépôt des accusations et la conclusion réelle ou anticipée du procès » (</w:t>
      </w:r>
      <w:r w:rsidRPr="00726732">
        <w:rPr>
          <w:rFonts w:cs="Times New Roman"/>
          <w:i/>
          <w:lang w:val="fr-CA"/>
        </w:rPr>
        <w:t>Jordan</w:t>
      </w:r>
      <w:r w:rsidRPr="00726732">
        <w:rPr>
          <w:rFonts w:cs="Times New Roman"/>
          <w:lang w:val="fr-CA"/>
        </w:rPr>
        <w:t>,</w:t>
      </w:r>
      <w:r w:rsidRPr="00726732">
        <w:rPr>
          <w:rFonts w:cs="Times New Roman"/>
          <w:i/>
          <w:lang w:val="fr-CA"/>
        </w:rPr>
        <w:t xml:space="preserve"> </w:t>
      </w:r>
      <w:r w:rsidRPr="00726732">
        <w:rPr>
          <w:rFonts w:cs="Times New Roman"/>
          <w:lang w:val="fr-CA"/>
        </w:rPr>
        <w:t>par. 60). En l</w:t>
      </w:r>
      <w:r>
        <w:rPr>
          <w:rFonts w:cs="Times New Roman"/>
          <w:lang w:val="fr-CA"/>
        </w:rPr>
        <w:t>’</w:t>
      </w:r>
      <w:r w:rsidRPr="00726732">
        <w:rPr>
          <w:rFonts w:cs="Times New Roman"/>
          <w:lang w:val="fr-CA"/>
        </w:rPr>
        <w:t>espèce, une dénonciation a été déposée contre M. Cody le 12 janvier 2010, et, selon les dates qui avaient été fixées pour la tenue de son procès, celui-ci devait se terminer le 30 janvier 2015. Il en découle donc un délai total d</w:t>
      </w:r>
      <w:r>
        <w:rPr>
          <w:rFonts w:cs="Times New Roman"/>
          <w:lang w:val="fr-CA"/>
        </w:rPr>
        <w:t>’</w:t>
      </w:r>
      <w:r w:rsidRPr="00726732">
        <w:rPr>
          <w:rFonts w:cs="Times New Roman"/>
          <w:lang w:val="fr-CA"/>
        </w:rPr>
        <w:t>environ 60,5 mois.</w:t>
      </w:r>
    </w:p>
    <w:p w:rsidR="001020F9" w:rsidRPr="00726732" w:rsidRDefault="001020F9" w:rsidP="00D42258">
      <w:pPr>
        <w:pStyle w:val="ParaNoNdepar-AltN"/>
        <w:widowControl w:val="0"/>
        <w:rPr>
          <w:rFonts w:cs="Times New Roman"/>
          <w:lang w:val="fr-CA"/>
        </w:rPr>
      </w:pPr>
      <w:r w:rsidRPr="00726732">
        <w:rPr>
          <w:rFonts w:cs="Times New Roman"/>
          <w:lang w:val="fr-CA"/>
        </w:rPr>
        <w:t>Une fois le délai total calculé, « il faut en soustraire le délai imputable à la défense » (</w:t>
      </w:r>
      <w:r w:rsidRPr="00726732">
        <w:rPr>
          <w:rFonts w:cs="Times New Roman"/>
          <w:i/>
          <w:lang w:val="fr-CA"/>
        </w:rPr>
        <w:t>Jordan</w:t>
      </w:r>
      <w:r w:rsidRPr="00726732">
        <w:rPr>
          <w:rFonts w:cs="Times New Roman"/>
          <w:lang w:val="fr-CA"/>
        </w:rPr>
        <w:t>, par. 60). Le résultat de ce calcul — ou délai net — doit ensuite être comparé au plafond présumé qui s</w:t>
      </w:r>
      <w:r>
        <w:rPr>
          <w:rFonts w:cs="Times New Roman"/>
          <w:lang w:val="fr-CA"/>
        </w:rPr>
        <w:t>’</w:t>
      </w:r>
      <w:r w:rsidRPr="00726732">
        <w:rPr>
          <w:rFonts w:cs="Times New Roman"/>
          <w:lang w:val="fr-CA"/>
        </w:rPr>
        <w:t>applique. La suite de l</w:t>
      </w:r>
      <w:r>
        <w:rPr>
          <w:rFonts w:cs="Times New Roman"/>
          <w:lang w:val="fr-CA"/>
        </w:rPr>
        <w:t>’</w:t>
      </w:r>
      <w:r w:rsidRPr="00726732">
        <w:rPr>
          <w:rFonts w:cs="Times New Roman"/>
          <w:lang w:val="fr-CA"/>
        </w:rPr>
        <w:t>analyse « dépend de la question de savoir si le reste du délai — c</w:t>
      </w:r>
      <w:r>
        <w:rPr>
          <w:rFonts w:cs="Times New Roman"/>
          <w:lang w:val="fr-CA"/>
        </w:rPr>
        <w:t>’</w:t>
      </w:r>
      <w:r w:rsidRPr="00726732">
        <w:rPr>
          <w:rFonts w:cs="Times New Roman"/>
          <w:lang w:val="fr-CA"/>
        </w:rPr>
        <w:t>est</w:t>
      </w:r>
      <w:r w:rsidRPr="00726732">
        <w:rPr>
          <w:rFonts w:cs="Times New Roman"/>
          <w:lang w:val="fr-CA"/>
        </w:rPr>
        <w:noBreakHyphen/>
        <w:t>à</w:t>
      </w:r>
      <w:r w:rsidRPr="00726732">
        <w:rPr>
          <w:rFonts w:cs="Times New Roman"/>
          <w:lang w:val="fr-CA"/>
        </w:rPr>
        <w:noBreakHyphen/>
        <w:t>dire le délai qui n</w:t>
      </w:r>
      <w:r>
        <w:rPr>
          <w:rFonts w:cs="Times New Roman"/>
          <w:lang w:val="fr-CA"/>
        </w:rPr>
        <w:t>’</w:t>
      </w:r>
      <w:r w:rsidRPr="00726732">
        <w:rPr>
          <w:rFonts w:cs="Times New Roman"/>
          <w:lang w:val="fr-CA"/>
        </w:rPr>
        <w:t xml:space="preserve">a pas été causé par la défense — se situe </w:t>
      </w:r>
      <w:r w:rsidRPr="00726732">
        <w:rPr>
          <w:rFonts w:cs="Times New Roman"/>
          <w:i/>
          <w:lang w:val="fr-CA"/>
        </w:rPr>
        <w:t>au</w:t>
      </w:r>
      <w:r w:rsidRPr="00726732">
        <w:rPr>
          <w:rFonts w:cs="Times New Roman"/>
          <w:i/>
          <w:lang w:val="fr-CA"/>
        </w:rPr>
        <w:noBreakHyphen/>
        <w:t>delà</w:t>
      </w:r>
      <w:r w:rsidRPr="00726732">
        <w:rPr>
          <w:rFonts w:cs="Times New Roman"/>
          <w:lang w:val="fr-CA"/>
        </w:rPr>
        <w:t xml:space="preserve"> de ou </w:t>
      </w:r>
      <w:r w:rsidRPr="00726732">
        <w:rPr>
          <w:rFonts w:cs="Times New Roman"/>
          <w:i/>
          <w:lang w:val="fr-CA"/>
        </w:rPr>
        <w:t>en deçà</w:t>
      </w:r>
      <w:r w:rsidRPr="00726732">
        <w:rPr>
          <w:rFonts w:cs="Times New Roman"/>
          <w:lang w:val="fr-CA"/>
        </w:rPr>
        <w:t xml:space="preserve"> du plafond présumé » (</w:t>
      </w:r>
      <w:r w:rsidRPr="00726732">
        <w:rPr>
          <w:rFonts w:cs="Times New Roman"/>
          <w:i/>
          <w:lang w:val="fr-CA"/>
        </w:rPr>
        <w:t>Jordan</w:t>
      </w:r>
      <w:r w:rsidRPr="00726732">
        <w:rPr>
          <w:rFonts w:cs="Times New Roman"/>
          <w:lang w:val="fr-CA"/>
        </w:rPr>
        <w:t>, par. 67 (e</w:t>
      </w:r>
      <w:r w:rsidR="001C00B8">
        <w:rPr>
          <w:rFonts w:cs="Times New Roman"/>
          <w:lang w:val="fr-CA"/>
        </w:rPr>
        <w:t>n italique</w:t>
      </w:r>
      <w:r w:rsidRPr="00726732">
        <w:rPr>
          <w:rFonts w:cs="Times New Roman"/>
          <w:lang w:val="fr-CA"/>
        </w:rPr>
        <w:t xml:space="preserve"> dans l</w:t>
      </w:r>
      <w:r>
        <w:rPr>
          <w:rFonts w:cs="Times New Roman"/>
          <w:lang w:val="fr-CA"/>
        </w:rPr>
        <w:t>’</w:t>
      </w:r>
      <w:r w:rsidRPr="00726732">
        <w:rPr>
          <w:rFonts w:cs="Times New Roman"/>
          <w:lang w:val="fr-CA"/>
        </w:rPr>
        <w:t xml:space="preserve">original)). </w:t>
      </w:r>
    </w:p>
    <w:p w:rsidR="001020F9" w:rsidRPr="00726732" w:rsidRDefault="001020F9" w:rsidP="00D42258">
      <w:pPr>
        <w:pStyle w:val="ParaNoNdepar-AltN"/>
        <w:widowControl w:val="0"/>
        <w:rPr>
          <w:rFonts w:cs="Times New Roman"/>
          <w:lang w:val="fr-CA"/>
        </w:rPr>
      </w:pPr>
      <w:r w:rsidRPr="00726732">
        <w:rPr>
          <w:rFonts w:cs="Times New Roman"/>
          <w:lang w:val="fr-CA"/>
        </w:rPr>
        <w:t>Si le déla</w:t>
      </w:r>
      <w:r w:rsidR="001C00B8">
        <w:rPr>
          <w:rFonts w:cs="Times New Roman"/>
          <w:lang w:val="fr-CA"/>
        </w:rPr>
        <w:t>i net est inférieur au plafond,</w:t>
      </w:r>
    </w:p>
    <w:p w:rsidR="001020F9" w:rsidRPr="00726732" w:rsidRDefault="001020F9" w:rsidP="00D42258">
      <w:pPr>
        <w:pStyle w:val="Citation-AltC"/>
        <w:widowControl w:val="0"/>
        <w:tabs>
          <w:tab w:val="left" w:pos="1440"/>
        </w:tabs>
        <w:spacing w:after="240"/>
        <w:ind w:hanging="1166"/>
        <w:contextualSpacing w:val="0"/>
        <w:rPr>
          <w:lang w:val="fr-CA"/>
        </w:rPr>
      </w:pPr>
      <w:r w:rsidRPr="00726732">
        <w:rPr>
          <w:lang w:val="fr-CA"/>
        </w:rPr>
        <w:tab/>
        <w:t>il incombe à la défense de démontrer le caractère déraisonnable du délai. Pour ce faire, elle doit prouver (1) qu</w:t>
      </w:r>
      <w:r>
        <w:rPr>
          <w:lang w:val="fr-CA"/>
        </w:rPr>
        <w:t>’</w:t>
      </w:r>
      <w:r w:rsidRPr="00726732">
        <w:rPr>
          <w:lang w:val="fr-CA"/>
        </w:rPr>
        <w:t>elle a pris des mesures utiles qui font la preuve d</w:t>
      </w:r>
      <w:r>
        <w:rPr>
          <w:lang w:val="fr-CA"/>
        </w:rPr>
        <w:t>’</w:t>
      </w:r>
      <w:r w:rsidRPr="00726732">
        <w:rPr>
          <w:lang w:val="fr-CA"/>
        </w:rPr>
        <w:t>un effort soutenu pour accélérer l</w:t>
      </w:r>
      <w:r>
        <w:rPr>
          <w:lang w:val="fr-CA"/>
        </w:rPr>
        <w:t>’</w:t>
      </w:r>
      <w:r w:rsidRPr="00726732">
        <w:rPr>
          <w:lang w:val="fr-CA"/>
        </w:rPr>
        <w:t xml:space="preserve">instance, </w:t>
      </w:r>
      <w:r w:rsidRPr="00726732">
        <w:rPr>
          <w:i/>
          <w:lang w:val="fr-CA"/>
        </w:rPr>
        <w:t>et</w:t>
      </w:r>
      <w:r w:rsidRPr="00726732">
        <w:rPr>
          <w:lang w:val="fr-CA"/>
        </w:rPr>
        <w:t xml:space="preserve"> (2) que le procès a été nettement plus long qu</w:t>
      </w:r>
      <w:r>
        <w:rPr>
          <w:lang w:val="fr-CA"/>
        </w:rPr>
        <w:t>’</w:t>
      </w:r>
      <w:r w:rsidRPr="00726732">
        <w:rPr>
          <w:lang w:val="fr-CA"/>
        </w:rPr>
        <w:t>il aurait dû raisonnablement l</w:t>
      </w:r>
      <w:r>
        <w:rPr>
          <w:lang w:val="fr-CA"/>
        </w:rPr>
        <w:t>’</w:t>
      </w:r>
      <w:r w:rsidR="001C00B8">
        <w:rPr>
          <w:lang w:val="fr-CA"/>
        </w:rPr>
        <w:t>être. [En italique</w:t>
      </w:r>
      <w:r w:rsidRPr="00726732">
        <w:rPr>
          <w:lang w:val="fr-CA"/>
        </w:rPr>
        <w:t xml:space="preserve"> dans l</w:t>
      </w:r>
      <w:r>
        <w:rPr>
          <w:lang w:val="fr-CA"/>
        </w:rPr>
        <w:t>’</w:t>
      </w:r>
      <w:r w:rsidRPr="00726732">
        <w:rPr>
          <w:lang w:val="fr-CA"/>
        </w:rPr>
        <w:t>original.]</w:t>
      </w:r>
    </w:p>
    <w:p w:rsidR="001020F9" w:rsidRPr="00726732" w:rsidRDefault="001020F9" w:rsidP="00D42258">
      <w:pPr>
        <w:pStyle w:val="Citation-AltC"/>
        <w:widowControl w:val="0"/>
        <w:tabs>
          <w:tab w:val="left" w:pos="1440"/>
        </w:tabs>
        <w:spacing w:after="480" w:line="480" w:lineRule="auto"/>
        <w:ind w:hanging="1166"/>
        <w:contextualSpacing w:val="0"/>
        <w:rPr>
          <w:lang w:val="fr-CA"/>
        </w:rPr>
      </w:pPr>
      <w:r w:rsidRPr="00726732">
        <w:rPr>
          <w:lang w:val="fr-CA"/>
        </w:rPr>
        <w:t>(</w:t>
      </w:r>
      <w:r w:rsidRPr="00726732">
        <w:rPr>
          <w:i/>
          <w:lang w:val="fr-CA"/>
        </w:rPr>
        <w:t>Jordan</w:t>
      </w:r>
      <w:r w:rsidRPr="00726732">
        <w:rPr>
          <w:lang w:val="fr-CA"/>
        </w:rPr>
        <w:t>, par. 48)</w:t>
      </w:r>
    </w:p>
    <w:p w:rsidR="001020F9" w:rsidRPr="00726732" w:rsidRDefault="001020F9" w:rsidP="00D42258">
      <w:pPr>
        <w:pStyle w:val="ParaNoNdepar-AltN"/>
        <w:widowControl w:val="0"/>
        <w:rPr>
          <w:rFonts w:cs="Times New Roman"/>
          <w:lang w:val="fr-CA"/>
        </w:rPr>
      </w:pPr>
      <w:r w:rsidRPr="00726732">
        <w:rPr>
          <w:rFonts w:cs="Times New Roman"/>
          <w:lang w:val="fr-CA"/>
        </w:rPr>
        <w:t>Si l</w:t>
      </w:r>
      <w:r w:rsidR="001C00B8">
        <w:rPr>
          <w:rFonts w:cs="Times New Roman"/>
          <w:lang w:val="fr-CA"/>
        </w:rPr>
        <w:t>e délai net dépasse le plafond,</w:t>
      </w:r>
    </w:p>
    <w:p w:rsidR="001020F9" w:rsidRPr="00726732" w:rsidRDefault="001020F9" w:rsidP="00D42258">
      <w:pPr>
        <w:pStyle w:val="Citation-AltC"/>
        <w:widowControl w:val="0"/>
        <w:tabs>
          <w:tab w:val="left" w:pos="1440"/>
        </w:tabs>
        <w:spacing w:after="240"/>
        <w:ind w:hanging="1166"/>
        <w:contextualSpacing w:val="0"/>
        <w:rPr>
          <w:lang w:val="fr-CA"/>
        </w:rPr>
      </w:pPr>
      <w:r w:rsidRPr="00726732">
        <w:rPr>
          <w:lang w:val="fr-CA"/>
        </w:rPr>
        <w:tab/>
        <w:t xml:space="preserve">il est présumé déraisonnable. Pour réfuter cette présomption, le ministère </w:t>
      </w:r>
      <w:r w:rsidRPr="00726732">
        <w:rPr>
          <w:lang w:val="fr-CA"/>
        </w:rPr>
        <w:lastRenderedPageBreak/>
        <w:t>public doit établir la présence de circonstances exceptionnelles. S</w:t>
      </w:r>
      <w:r>
        <w:rPr>
          <w:lang w:val="fr-CA"/>
        </w:rPr>
        <w:t>’</w:t>
      </w:r>
      <w:r w:rsidRPr="00726732">
        <w:rPr>
          <w:lang w:val="fr-CA"/>
        </w:rPr>
        <w:t>il ne peut le faire, le délai est déraisonnable et un arrêt des procédures doit suivre.</w:t>
      </w:r>
    </w:p>
    <w:p w:rsidR="001020F9" w:rsidRPr="00726732" w:rsidRDefault="001020F9" w:rsidP="00D42258">
      <w:pPr>
        <w:pStyle w:val="Citation-AltC"/>
        <w:widowControl w:val="0"/>
        <w:tabs>
          <w:tab w:val="left" w:pos="1440"/>
        </w:tabs>
        <w:ind w:left="1168" w:hanging="1168"/>
        <w:contextualSpacing w:val="0"/>
        <w:rPr>
          <w:lang w:val="fr-CA"/>
        </w:rPr>
      </w:pPr>
      <w:r w:rsidRPr="00726732">
        <w:rPr>
          <w:lang w:val="fr-CA"/>
        </w:rPr>
        <w:t>(</w:t>
      </w:r>
      <w:r w:rsidRPr="00726732">
        <w:rPr>
          <w:i/>
          <w:lang w:val="fr-CA"/>
        </w:rPr>
        <w:t>Jordan</w:t>
      </w:r>
      <w:r w:rsidRPr="00726732">
        <w:rPr>
          <w:lang w:val="fr-CA"/>
        </w:rPr>
        <w:t>, par. 47)</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Lorsque le dépôt des accusations est antérieur à l</w:t>
      </w:r>
      <w:r>
        <w:rPr>
          <w:rFonts w:cs="Times New Roman"/>
          <w:lang w:val="fr-CA"/>
        </w:rPr>
        <w:t>’</w:t>
      </w:r>
      <w:r w:rsidRPr="00726732">
        <w:rPr>
          <w:rFonts w:cs="Times New Roman"/>
          <w:lang w:val="fr-CA"/>
        </w:rPr>
        <w:t xml:space="preserve">arrêt </w:t>
      </w:r>
      <w:r w:rsidRPr="00726732">
        <w:rPr>
          <w:rFonts w:cs="Times New Roman"/>
          <w:i/>
          <w:lang w:val="fr-CA"/>
        </w:rPr>
        <w:t>Jordan</w:t>
      </w:r>
      <w:r w:rsidRPr="00726732">
        <w:rPr>
          <w:rFonts w:cs="Times New Roman"/>
          <w:lang w:val="fr-CA"/>
        </w:rPr>
        <w:t>, et que le délai est toujours présumé déraisonnable après que le délai imputable à la défense a été déduit et que les circonstances exceptionnelles ont été examinées et prises en compte, il demeure néanmoins possible au ministère public de démontrer que le délai peut être justifié par application de la mesure transitoire exceptionnelle (</w:t>
      </w:r>
      <w:r w:rsidRPr="00726732">
        <w:rPr>
          <w:rFonts w:cs="Times New Roman"/>
          <w:i/>
          <w:lang w:val="fr-CA"/>
        </w:rPr>
        <w:t>Jordan</w:t>
      </w:r>
      <w:r w:rsidRPr="00726732">
        <w:rPr>
          <w:rFonts w:cs="Times New Roman"/>
          <w:lang w:val="fr-CA"/>
        </w:rPr>
        <w:t>, par. 95</w:t>
      </w:r>
      <w:r w:rsidR="00B00C2A">
        <w:rPr>
          <w:rFonts w:cs="Times New Roman"/>
          <w:lang w:val="fr-CA"/>
        </w:rPr>
        <w:t>-</w:t>
      </w:r>
      <w:r w:rsidRPr="00726732">
        <w:rPr>
          <w:rFonts w:cs="Times New Roman"/>
          <w:lang w:val="fr-CA"/>
        </w:rPr>
        <w:t xml:space="preserve">96). </w:t>
      </w:r>
    </w:p>
    <w:p w:rsidR="001020F9" w:rsidRPr="00726732" w:rsidRDefault="001020F9" w:rsidP="00D42258">
      <w:pPr>
        <w:pStyle w:val="Title2LevelTitre2Niveau"/>
        <w:widowControl w:val="0"/>
        <w:rPr>
          <w:rFonts w:cs="Times New Roman"/>
          <w:lang w:val="fr-CA"/>
        </w:rPr>
      </w:pPr>
      <w:r w:rsidRPr="00726732">
        <w:rPr>
          <w:rFonts w:cs="Times New Roman"/>
          <w:lang w:val="fr-CA"/>
        </w:rPr>
        <w:t>Délai imputable à la défense</w:t>
      </w:r>
    </w:p>
    <w:p w:rsidR="001020F9" w:rsidRPr="00726732" w:rsidRDefault="001020F9" w:rsidP="00D42258">
      <w:pPr>
        <w:pStyle w:val="ParaNoNdepar-AltN"/>
        <w:widowControl w:val="0"/>
        <w:rPr>
          <w:rFonts w:cs="Times New Roman"/>
          <w:lang w:val="fr-CA"/>
        </w:rPr>
      </w:pPr>
      <w:r w:rsidRPr="00726732">
        <w:rPr>
          <w:rFonts w:cs="Times New Roman"/>
          <w:lang w:val="fr-CA"/>
        </w:rPr>
        <w:t>Le délai imputable à la défense comporte deux volets : (1) « le délai que la défense renonce à invoquer » et (2) « le délai qui résulte uniquement de la conduite de cette dernière » (</w:t>
      </w:r>
      <w:r w:rsidRPr="00726732">
        <w:rPr>
          <w:rFonts w:cs="Times New Roman"/>
          <w:i/>
          <w:lang w:val="fr-CA"/>
        </w:rPr>
        <w:t>Jordan</w:t>
      </w:r>
      <w:r w:rsidRPr="00726732">
        <w:rPr>
          <w:rFonts w:cs="Times New Roman"/>
          <w:lang w:val="fr-CA"/>
        </w:rPr>
        <w:t xml:space="preserve">, par. 61 et 63). </w:t>
      </w:r>
    </w:p>
    <w:p w:rsidR="001020F9" w:rsidRPr="00726732" w:rsidRDefault="001020F9" w:rsidP="00D42258">
      <w:pPr>
        <w:pStyle w:val="Title4LevelTitre4Niveau"/>
        <w:widowControl w:val="0"/>
        <w:ind w:left="1152" w:hanging="576"/>
        <w:rPr>
          <w:rFonts w:cs="Times New Roman"/>
          <w:i w:val="0"/>
          <w:u w:val="single"/>
          <w:lang w:val="fr-CA"/>
        </w:rPr>
      </w:pPr>
      <w:r w:rsidRPr="00726732">
        <w:rPr>
          <w:rFonts w:cs="Times New Roman"/>
          <w:i w:val="0"/>
          <w:lang w:val="fr-CA"/>
        </w:rPr>
        <w:t>(1)</w:t>
      </w:r>
      <w:r w:rsidRPr="00726732">
        <w:rPr>
          <w:rFonts w:cs="Times New Roman"/>
          <w:i w:val="0"/>
          <w:lang w:val="fr-CA"/>
        </w:rPr>
        <w:tab/>
      </w:r>
      <w:r w:rsidRPr="00726732">
        <w:rPr>
          <w:rFonts w:cs="Times New Roman"/>
          <w:i w:val="0"/>
          <w:u w:val="single"/>
          <w:lang w:val="fr-CA"/>
        </w:rPr>
        <w:t>Renonciation</w:t>
      </w:r>
    </w:p>
    <w:p w:rsidR="001020F9" w:rsidRPr="00726732" w:rsidRDefault="001020F9" w:rsidP="00D42258">
      <w:pPr>
        <w:pStyle w:val="ParaNoNdepar-AltN"/>
        <w:widowControl w:val="0"/>
        <w:rPr>
          <w:rFonts w:cs="Times New Roman"/>
          <w:lang w:val="fr-CA"/>
        </w:rPr>
      </w:pPr>
      <w:r w:rsidRPr="00726732">
        <w:rPr>
          <w:rFonts w:cs="Times New Roman"/>
          <w:lang w:val="fr-CA"/>
        </w:rPr>
        <w:t>La renonciation de la défense à invoquer une portion du délai peut être explicite ou implicite, mais elle doit être éclairée, claire et sans équivoque (</w:t>
      </w:r>
      <w:r w:rsidRPr="00726732">
        <w:rPr>
          <w:rFonts w:cs="Times New Roman"/>
          <w:i/>
          <w:lang w:val="fr-CA"/>
        </w:rPr>
        <w:t>Jordan</w:t>
      </w:r>
      <w:r w:rsidRPr="00726732">
        <w:rPr>
          <w:rFonts w:cs="Times New Roman"/>
          <w:lang w:val="fr-CA"/>
        </w:rPr>
        <w:t>, par. 61). Il n</w:t>
      </w:r>
      <w:r>
        <w:rPr>
          <w:rFonts w:cs="Times New Roman"/>
          <w:lang w:val="fr-CA"/>
        </w:rPr>
        <w:t>’</w:t>
      </w:r>
      <w:r w:rsidRPr="00726732">
        <w:rPr>
          <w:rFonts w:cs="Times New Roman"/>
          <w:lang w:val="fr-CA"/>
        </w:rPr>
        <w:t>est pas contesté en l</w:t>
      </w:r>
      <w:r>
        <w:rPr>
          <w:rFonts w:cs="Times New Roman"/>
          <w:lang w:val="fr-CA"/>
        </w:rPr>
        <w:t>’</w:t>
      </w:r>
      <w:r w:rsidRPr="00726732">
        <w:rPr>
          <w:rFonts w:cs="Times New Roman"/>
          <w:lang w:val="fr-CA"/>
        </w:rPr>
        <w:t xml:space="preserve">espèce que M. Cody a expressément renoncé à invoquer une période de 13 mois de délai. La prise en compte de cette renonciation réduit le délai net à environ 47,5 mois. </w:t>
      </w:r>
    </w:p>
    <w:p w:rsidR="001020F9" w:rsidRPr="00726732" w:rsidRDefault="001020F9" w:rsidP="00D42258">
      <w:pPr>
        <w:pStyle w:val="Title4LevelTitre4Niveau"/>
        <w:widowControl w:val="0"/>
        <w:ind w:left="1152" w:hanging="576"/>
        <w:rPr>
          <w:rFonts w:cs="Times New Roman"/>
          <w:i w:val="0"/>
          <w:lang w:val="fr-CA"/>
        </w:rPr>
      </w:pPr>
      <w:r w:rsidRPr="00726732">
        <w:rPr>
          <w:rFonts w:cs="Times New Roman"/>
          <w:i w:val="0"/>
          <w:lang w:val="fr-CA"/>
        </w:rPr>
        <w:t>(2)</w:t>
      </w:r>
      <w:r w:rsidRPr="00726732">
        <w:rPr>
          <w:rFonts w:cs="Times New Roman"/>
          <w:i w:val="0"/>
          <w:lang w:val="fr-CA"/>
        </w:rPr>
        <w:tab/>
      </w:r>
      <w:r w:rsidRPr="00726732">
        <w:rPr>
          <w:rFonts w:cs="Times New Roman"/>
          <w:i w:val="0"/>
          <w:u w:val="single"/>
          <w:lang w:val="fr-CA"/>
        </w:rPr>
        <w:t>Délai causé par la conduite de la défense</w:t>
      </w:r>
    </w:p>
    <w:p w:rsidR="001020F9" w:rsidRPr="00726732" w:rsidRDefault="001020F9" w:rsidP="00D42258">
      <w:pPr>
        <w:pStyle w:val="Title5LevelTitre5Niveau"/>
        <w:widowControl w:val="0"/>
        <w:numPr>
          <w:ilvl w:val="0"/>
          <w:numId w:val="0"/>
        </w:numPr>
        <w:ind w:left="1170" w:hanging="594"/>
        <w:rPr>
          <w:rFonts w:cs="Times New Roman"/>
          <w:lang w:val="fr-CA"/>
        </w:rPr>
      </w:pPr>
      <w:r w:rsidRPr="00726732">
        <w:rPr>
          <w:rFonts w:cs="Times New Roman"/>
          <w:u w:val="none"/>
          <w:lang w:val="fr-CA"/>
        </w:rPr>
        <w:lastRenderedPageBreak/>
        <w:t>a)</w:t>
      </w:r>
      <w:r w:rsidRPr="00726732">
        <w:rPr>
          <w:rFonts w:cs="Times New Roman"/>
          <w:u w:val="none"/>
          <w:lang w:val="fr-CA"/>
        </w:rPr>
        <w:tab/>
      </w:r>
      <w:r w:rsidRPr="00726732">
        <w:rPr>
          <w:rFonts w:cs="Times New Roman"/>
          <w:i/>
          <w:u w:val="none"/>
          <w:lang w:val="fr-CA"/>
        </w:rPr>
        <w:t>Déduction du délai</w:t>
      </w:r>
    </w:p>
    <w:p w:rsidR="001020F9" w:rsidRPr="00726732" w:rsidRDefault="001020F9" w:rsidP="00D42258">
      <w:pPr>
        <w:pStyle w:val="ParaNoNdepar-AltN"/>
        <w:widowControl w:val="0"/>
        <w:rPr>
          <w:rFonts w:cs="Times New Roman"/>
          <w:lang w:val="fr-CA"/>
        </w:rPr>
      </w:pPr>
      <w:r w:rsidRPr="00726732">
        <w:rPr>
          <w:rFonts w:cs="Times New Roman"/>
          <w:lang w:val="fr-CA"/>
        </w:rPr>
        <w:t>En termes généraux, le deuxième volet a trait à la conduite de la défense et vise à empêcher qu</w:t>
      </w:r>
      <w:r>
        <w:rPr>
          <w:rFonts w:cs="Times New Roman"/>
          <w:lang w:val="fr-CA"/>
        </w:rPr>
        <w:t>’</w:t>
      </w:r>
      <w:r w:rsidRPr="00726732">
        <w:rPr>
          <w:rFonts w:cs="Times New Roman"/>
          <w:lang w:val="fr-CA"/>
        </w:rPr>
        <w:t>elle ne puisse tirer avantage de « sa propre action ou de sa propre inaction lorsque celle</w:t>
      </w:r>
      <w:r w:rsidRPr="00726732">
        <w:rPr>
          <w:rFonts w:eastAsia="MS Mincho" w:cs="Times New Roman"/>
          <w:lang w:val="fr-CA"/>
        </w:rPr>
        <w:noBreakHyphen/>
      </w:r>
      <w:r w:rsidRPr="00726732">
        <w:rPr>
          <w:rFonts w:cs="Times New Roman"/>
          <w:lang w:val="fr-CA"/>
        </w:rPr>
        <w:t>ci a pour effet de causer un délai » (</w:t>
      </w:r>
      <w:r w:rsidRPr="00726732">
        <w:rPr>
          <w:rFonts w:cs="Times New Roman"/>
          <w:i/>
          <w:lang w:val="fr-CA"/>
        </w:rPr>
        <w:t>Jordan</w:t>
      </w:r>
      <w:r w:rsidRPr="00726732">
        <w:rPr>
          <w:rFonts w:cs="Times New Roman"/>
          <w:lang w:val="fr-CA"/>
        </w:rPr>
        <w:t xml:space="preserve">, </w:t>
      </w:r>
      <w:r>
        <w:rPr>
          <w:rFonts w:cs="Times New Roman"/>
          <w:lang w:val="fr-CA"/>
        </w:rPr>
        <w:t>par. </w:t>
      </w:r>
      <w:r w:rsidRPr="00726732">
        <w:rPr>
          <w:rFonts w:cs="Times New Roman"/>
          <w:lang w:val="fr-CA"/>
        </w:rPr>
        <w:t>113). Ce volet s</w:t>
      </w:r>
      <w:r>
        <w:rPr>
          <w:rFonts w:cs="Times New Roman"/>
          <w:lang w:val="fr-CA"/>
        </w:rPr>
        <w:t>’</w:t>
      </w:r>
      <w:r w:rsidRPr="00726732">
        <w:rPr>
          <w:rFonts w:cs="Times New Roman"/>
          <w:lang w:val="fr-CA"/>
        </w:rPr>
        <w:t>applique à toute situation où le délai est causé « uniquement ou directement » par la conduite de la défense (</w:t>
      </w:r>
      <w:r w:rsidRPr="00726732">
        <w:rPr>
          <w:rFonts w:cs="Times New Roman"/>
          <w:i/>
          <w:lang w:val="fr-CA"/>
        </w:rPr>
        <w:t>Jordan</w:t>
      </w:r>
      <w:r w:rsidRPr="00726732">
        <w:rPr>
          <w:rFonts w:cs="Times New Roman"/>
          <w:lang w:val="fr-CA"/>
        </w:rPr>
        <w:t xml:space="preserve">, par. 66). </w:t>
      </w:r>
    </w:p>
    <w:p w:rsidR="001020F9" w:rsidRPr="00726732" w:rsidRDefault="001020F9" w:rsidP="00D42258">
      <w:pPr>
        <w:pStyle w:val="ParaNoNdepar-AltN"/>
        <w:widowControl w:val="0"/>
        <w:rPr>
          <w:rFonts w:cs="Times New Roman"/>
          <w:lang w:val="fr-CA"/>
        </w:rPr>
      </w:pPr>
      <w:r w:rsidRPr="00726732">
        <w:rPr>
          <w:rFonts w:cs="Times New Roman"/>
          <w:lang w:val="fr-CA"/>
        </w:rPr>
        <w:t>Cependant, ce ne sont pas tous les délais causés par la conduite de la défense qui doivent être déduits en application de ce deuxième volet. Lorsqu</w:t>
      </w:r>
      <w:r>
        <w:rPr>
          <w:rFonts w:cs="Times New Roman"/>
          <w:lang w:val="fr-CA"/>
        </w:rPr>
        <w:t>’</w:t>
      </w:r>
      <w:r w:rsidRPr="00726732">
        <w:rPr>
          <w:rFonts w:cs="Times New Roman"/>
          <w:lang w:val="fr-CA"/>
        </w:rPr>
        <w:t>elle a fixé les plafonds présumés, la Cour a reconnu que le droit de l</w:t>
      </w:r>
      <w:r>
        <w:rPr>
          <w:rFonts w:cs="Times New Roman"/>
          <w:lang w:val="fr-CA"/>
        </w:rPr>
        <w:t>’</w:t>
      </w:r>
      <w:r w:rsidRPr="00726732">
        <w:rPr>
          <w:rFonts w:cs="Times New Roman"/>
          <w:lang w:val="fr-CA"/>
        </w:rPr>
        <w:t>accusé de présenter une défense pleine et entière exige que la défense se voie allouer du temps pour préparer et présenter sa preuve. À cette fin, les plafonds présumés de 30 mois et de 18 mois tiennent « déjà [. . .] compte des exigences procédurales » liées à la préparation et à la présentation par l</w:t>
      </w:r>
      <w:r>
        <w:rPr>
          <w:rFonts w:cs="Times New Roman"/>
          <w:lang w:val="fr-CA"/>
        </w:rPr>
        <w:t>’</w:t>
      </w:r>
      <w:r w:rsidRPr="00726732">
        <w:rPr>
          <w:rFonts w:cs="Times New Roman"/>
          <w:lang w:val="fr-CA"/>
        </w:rPr>
        <w:t>accusé de sa cause (</w:t>
      </w:r>
      <w:r w:rsidRPr="00726732">
        <w:rPr>
          <w:rFonts w:cs="Times New Roman"/>
          <w:i/>
          <w:lang w:val="fr-CA"/>
        </w:rPr>
        <w:t>Jordan</w:t>
      </w:r>
      <w:r w:rsidRPr="00726732">
        <w:rPr>
          <w:rFonts w:cs="Times New Roman"/>
          <w:lang w:val="fr-CA"/>
        </w:rPr>
        <w:t>, par. 65; voir aussi les par. 53 et 83). Pour cette raison, « le temps nécessaire pour traiter les mesures prises légitimement par la défense afin de répondre aux accusations portées contre elle est exclu du délai qui lui est imputable » et ne devrait pas être déduit (</w:t>
      </w:r>
      <w:r w:rsidRPr="00726732">
        <w:rPr>
          <w:rFonts w:cs="Times New Roman"/>
          <w:i/>
          <w:lang w:val="fr-CA"/>
        </w:rPr>
        <w:t>Jordan</w:t>
      </w:r>
      <w:r w:rsidRPr="00726732">
        <w:rPr>
          <w:rFonts w:cs="Times New Roman"/>
          <w:lang w:val="fr-CA"/>
        </w:rPr>
        <w:t xml:space="preserve">, par. 65). </w:t>
      </w:r>
    </w:p>
    <w:p w:rsidR="001020F9" w:rsidRPr="00726732" w:rsidRDefault="001020F9" w:rsidP="00D42258">
      <w:pPr>
        <w:pStyle w:val="ParaNoNdepar-AltN"/>
        <w:widowControl w:val="0"/>
        <w:rPr>
          <w:rFonts w:cs="Times New Roman"/>
          <w:lang w:val="fr-CA"/>
        </w:rPr>
      </w:pPr>
      <w:r w:rsidRPr="00726732">
        <w:rPr>
          <w:rFonts w:cs="Times New Roman"/>
          <w:lang w:val="fr-CA"/>
        </w:rPr>
        <w:t xml:space="preserve">Le seul délai imputable à la défense qui peut être déduit en vertu de ce volet est donc un délai qui : </w:t>
      </w:r>
      <w:r w:rsidR="001C00B8">
        <w:rPr>
          <w:rFonts w:cs="Times New Roman"/>
          <w:lang w:val="fr-CA"/>
        </w:rPr>
        <w:t>(</w:t>
      </w:r>
      <w:r w:rsidRPr="00726732">
        <w:rPr>
          <w:rFonts w:cs="Times New Roman"/>
          <w:lang w:val="fr-CA"/>
        </w:rPr>
        <w:t>1) est causé uniquement ou directement par l</w:t>
      </w:r>
      <w:r>
        <w:rPr>
          <w:rFonts w:cs="Times New Roman"/>
          <w:lang w:val="fr-CA"/>
        </w:rPr>
        <w:t>’</w:t>
      </w:r>
      <w:r w:rsidRPr="00726732">
        <w:rPr>
          <w:rFonts w:cs="Times New Roman"/>
          <w:lang w:val="fr-CA"/>
        </w:rPr>
        <w:t xml:space="preserve">accusé; et </w:t>
      </w:r>
      <w:r w:rsidR="001C00B8">
        <w:rPr>
          <w:rFonts w:cs="Times New Roman"/>
          <w:lang w:val="fr-CA"/>
        </w:rPr>
        <w:t>(</w:t>
      </w:r>
      <w:r w:rsidRPr="00726732">
        <w:rPr>
          <w:rFonts w:cs="Times New Roman"/>
          <w:lang w:val="fr-CA"/>
        </w:rPr>
        <w:t>2) découle d</w:t>
      </w:r>
      <w:r>
        <w:rPr>
          <w:rFonts w:cs="Times New Roman"/>
          <w:lang w:val="fr-CA"/>
        </w:rPr>
        <w:t>’</w:t>
      </w:r>
      <w:r w:rsidRPr="00726732">
        <w:rPr>
          <w:rFonts w:cs="Times New Roman"/>
          <w:lang w:val="fr-CA"/>
        </w:rPr>
        <w:t>une mesure prise illégitimement par la défense dans la mesure où elle ne vise pas à répondre aux accusations. Comme nous l</w:t>
      </w:r>
      <w:r>
        <w:rPr>
          <w:rFonts w:cs="Times New Roman"/>
          <w:lang w:val="fr-CA"/>
        </w:rPr>
        <w:t>’</w:t>
      </w:r>
      <w:r w:rsidRPr="00726732">
        <w:rPr>
          <w:rFonts w:cs="Times New Roman"/>
          <w:lang w:val="fr-CA"/>
        </w:rPr>
        <w:t xml:space="preserve">avons indiqué dans </w:t>
      </w:r>
      <w:r w:rsidRPr="00726732">
        <w:rPr>
          <w:rFonts w:cs="Times New Roman"/>
          <w:i/>
          <w:lang w:val="fr-CA"/>
        </w:rPr>
        <w:t>Jordan</w:t>
      </w:r>
      <w:r w:rsidRPr="00726732">
        <w:rPr>
          <w:rFonts w:cs="Times New Roman"/>
          <w:lang w:val="fr-CA"/>
        </w:rPr>
        <w:t>, l</w:t>
      </w:r>
      <w:r>
        <w:rPr>
          <w:rFonts w:cs="Times New Roman"/>
          <w:lang w:val="fr-CA"/>
        </w:rPr>
        <w:t>’</w:t>
      </w:r>
      <w:r w:rsidRPr="00726732">
        <w:rPr>
          <w:rFonts w:cs="Times New Roman"/>
          <w:lang w:val="fr-CA"/>
        </w:rPr>
        <w:t>exemple le plus simple d</w:t>
      </w:r>
      <w:r>
        <w:rPr>
          <w:rFonts w:cs="Times New Roman"/>
          <w:lang w:val="fr-CA"/>
        </w:rPr>
        <w:t>’</w:t>
      </w:r>
      <w:r w:rsidRPr="00726732">
        <w:rPr>
          <w:rFonts w:cs="Times New Roman"/>
          <w:lang w:val="fr-CA"/>
        </w:rPr>
        <w:t xml:space="preserve">un tel délai est le « recours délibéré de la défense à des </w:t>
      </w:r>
      <w:r w:rsidRPr="00726732">
        <w:rPr>
          <w:rFonts w:cs="Times New Roman"/>
          <w:lang w:val="fr-CA"/>
        </w:rPr>
        <w:lastRenderedPageBreak/>
        <w:t>tactiques dilatoires, notamment à des demandes frivoles » (</w:t>
      </w:r>
      <w:r w:rsidRPr="00726732">
        <w:rPr>
          <w:rFonts w:cs="Times New Roman"/>
          <w:i/>
          <w:lang w:val="fr-CA"/>
        </w:rPr>
        <w:t>Jordan</w:t>
      </w:r>
      <w:r w:rsidRPr="00726732">
        <w:rPr>
          <w:rFonts w:cs="Times New Roman"/>
          <w:lang w:val="fr-CA"/>
        </w:rPr>
        <w:t>, par. 63). De même, lorsque le tribunal et le ministère public sont prêts à procéder, mais que la défense ne l</w:t>
      </w:r>
      <w:r>
        <w:rPr>
          <w:rFonts w:cs="Times New Roman"/>
          <w:lang w:val="fr-CA"/>
        </w:rPr>
        <w:t>’</w:t>
      </w:r>
      <w:r w:rsidRPr="00726732">
        <w:rPr>
          <w:rFonts w:cs="Times New Roman"/>
          <w:lang w:val="fr-CA"/>
        </w:rPr>
        <w:t>est pas, le délai qui en résulte devrait également être déduit (</w:t>
      </w:r>
      <w:r w:rsidRPr="00726732">
        <w:rPr>
          <w:rFonts w:cs="Times New Roman"/>
          <w:i/>
          <w:lang w:val="fr-CA"/>
        </w:rPr>
        <w:t>Jordan</w:t>
      </w:r>
      <w:r w:rsidRPr="00726732">
        <w:rPr>
          <w:rFonts w:cs="Times New Roman"/>
          <w:lang w:val="fr-CA"/>
        </w:rPr>
        <w:t>, par. 64). Toutefois, ces quelques situations se voulaient uniquement des exemples — et rien d</w:t>
      </w:r>
      <w:r>
        <w:rPr>
          <w:rFonts w:cs="Times New Roman"/>
          <w:lang w:val="fr-CA"/>
        </w:rPr>
        <w:t>’</w:t>
      </w:r>
      <w:r w:rsidRPr="00726732">
        <w:rPr>
          <w:rFonts w:cs="Times New Roman"/>
          <w:lang w:val="fr-CA"/>
        </w:rPr>
        <w:t>autre. Ces exemples n</w:t>
      </w:r>
      <w:r>
        <w:rPr>
          <w:rFonts w:cs="Times New Roman"/>
          <w:lang w:val="fr-CA"/>
        </w:rPr>
        <w:t>’</w:t>
      </w:r>
      <w:r w:rsidRPr="00726732">
        <w:rPr>
          <w:rFonts w:cs="Times New Roman"/>
          <w:lang w:val="fr-CA"/>
        </w:rPr>
        <w:t xml:space="preserve">étaient pas présentés dans </w:t>
      </w:r>
      <w:r w:rsidRPr="00726732">
        <w:rPr>
          <w:rFonts w:cs="Times New Roman"/>
          <w:i/>
          <w:lang w:val="fr-CA"/>
        </w:rPr>
        <w:t>Jordan</w:t>
      </w:r>
      <w:r w:rsidRPr="00726732">
        <w:rPr>
          <w:rFonts w:cs="Times New Roman"/>
          <w:lang w:val="fr-CA"/>
        </w:rPr>
        <w:t xml:space="preserve"> — et ne devraient pas non plus être considérés maintenant — comme ayant pour effet d</w:t>
      </w:r>
      <w:r>
        <w:rPr>
          <w:rFonts w:cs="Times New Roman"/>
          <w:lang w:val="fr-CA"/>
        </w:rPr>
        <w:t>’</w:t>
      </w:r>
      <w:r w:rsidRPr="00726732">
        <w:rPr>
          <w:rFonts w:cs="Times New Roman"/>
          <w:lang w:val="fr-CA"/>
        </w:rPr>
        <w:t>énoncer de façon exhaustive les délais imputables à la défense susceptibles d</w:t>
      </w:r>
      <w:r>
        <w:rPr>
          <w:rFonts w:cs="Times New Roman"/>
          <w:lang w:val="fr-CA"/>
        </w:rPr>
        <w:t>’</w:t>
      </w:r>
      <w:r w:rsidRPr="00726732">
        <w:rPr>
          <w:rFonts w:cs="Times New Roman"/>
          <w:lang w:val="fr-CA"/>
        </w:rPr>
        <w:t>être déduits. Encore une fois, comme il a été clairement indiqué dans l</w:t>
      </w:r>
      <w:r>
        <w:rPr>
          <w:rFonts w:cs="Times New Roman"/>
          <w:lang w:val="fr-CA"/>
        </w:rPr>
        <w:t>’</w:t>
      </w:r>
      <w:r w:rsidRPr="00726732">
        <w:rPr>
          <w:rFonts w:cs="Times New Roman"/>
          <w:lang w:val="fr-CA"/>
        </w:rPr>
        <w:t xml:space="preserve">arrêt </w:t>
      </w:r>
      <w:r w:rsidRPr="00726732">
        <w:rPr>
          <w:rFonts w:cs="Times New Roman"/>
          <w:i/>
          <w:lang w:val="fr-CA"/>
        </w:rPr>
        <w:t>Jordan</w:t>
      </w:r>
      <w:r w:rsidRPr="00726732">
        <w:rPr>
          <w:rFonts w:cs="Times New Roman"/>
          <w:lang w:val="fr-CA"/>
        </w:rPr>
        <w:t>, il demeure loisible au juge du procès de « conclure que d</w:t>
      </w:r>
      <w:r>
        <w:rPr>
          <w:rFonts w:cs="Times New Roman"/>
          <w:lang w:val="fr-CA"/>
        </w:rPr>
        <w:t>’</w:t>
      </w:r>
      <w:r w:rsidRPr="00726732">
        <w:rPr>
          <w:rFonts w:cs="Times New Roman"/>
          <w:lang w:val="fr-CA"/>
        </w:rPr>
        <w:t xml:space="preserve">autres mesures ou actes de la défense ont causé le délai » justifiant une déduction (par. 64). </w:t>
      </w:r>
    </w:p>
    <w:p w:rsidR="001020F9" w:rsidRPr="00726732" w:rsidRDefault="001020F9" w:rsidP="00D42258">
      <w:pPr>
        <w:pStyle w:val="ParaNoNdepar-AltN"/>
        <w:widowControl w:val="0"/>
        <w:rPr>
          <w:rFonts w:cs="Times New Roman"/>
          <w:lang w:val="fr-CA"/>
        </w:rPr>
      </w:pPr>
      <w:r w:rsidRPr="00726732">
        <w:rPr>
          <w:rFonts w:cs="Times New Roman"/>
          <w:lang w:val="fr-CA"/>
        </w:rPr>
        <w:t>La détermination de la légitimité de la conduite de la défense ne participe « aucunement d</w:t>
      </w:r>
      <w:r>
        <w:rPr>
          <w:rFonts w:cs="Times New Roman"/>
          <w:lang w:val="fr-CA"/>
        </w:rPr>
        <w:t>’</w:t>
      </w:r>
      <w:r w:rsidRPr="00726732">
        <w:rPr>
          <w:rFonts w:cs="Times New Roman"/>
          <w:lang w:val="fr-CA"/>
        </w:rPr>
        <w:t>une science exacte » et elle constitue une question que « les juges de première instance sont particulièrement bien placés pour juger » (</w:t>
      </w:r>
      <w:r w:rsidRPr="00726732">
        <w:rPr>
          <w:rFonts w:cs="Times New Roman"/>
          <w:i/>
          <w:lang w:val="fr-CA"/>
        </w:rPr>
        <w:t>Jordan</w:t>
      </w:r>
      <w:r w:rsidRPr="00726732">
        <w:rPr>
          <w:rFonts w:cs="Times New Roman"/>
          <w:lang w:val="fr-CA"/>
        </w:rPr>
        <w:t>, par. 65). Il s</w:t>
      </w:r>
      <w:r>
        <w:rPr>
          <w:rFonts w:cs="Times New Roman"/>
          <w:lang w:val="fr-CA"/>
        </w:rPr>
        <w:t>’</w:t>
      </w:r>
      <w:r w:rsidRPr="00726732">
        <w:rPr>
          <w:rFonts w:cs="Times New Roman"/>
          <w:lang w:val="fr-CA"/>
        </w:rPr>
        <w:t>agit d</w:t>
      </w:r>
      <w:r>
        <w:rPr>
          <w:rFonts w:cs="Times New Roman"/>
          <w:lang w:val="fr-CA"/>
        </w:rPr>
        <w:t>’</w:t>
      </w:r>
      <w:r w:rsidRPr="00726732">
        <w:rPr>
          <w:rFonts w:cs="Times New Roman"/>
          <w:lang w:val="fr-CA"/>
        </w:rPr>
        <w:t>une décision présentant un caractère discrétionnaire élevé, à l</w:t>
      </w:r>
      <w:r>
        <w:rPr>
          <w:rFonts w:cs="Times New Roman"/>
          <w:lang w:val="fr-CA"/>
        </w:rPr>
        <w:t>’</w:t>
      </w:r>
      <w:r w:rsidRPr="00726732">
        <w:rPr>
          <w:rFonts w:cs="Times New Roman"/>
          <w:lang w:val="fr-CA"/>
        </w:rPr>
        <w:t>égard de laquelle les tribunaux d</w:t>
      </w:r>
      <w:r>
        <w:rPr>
          <w:rFonts w:cs="Times New Roman"/>
          <w:lang w:val="fr-CA"/>
        </w:rPr>
        <w:t>’</w:t>
      </w:r>
      <w:r w:rsidRPr="00726732">
        <w:rPr>
          <w:rFonts w:cs="Times New Roman"/>
          <w:lang w:val="fr-CA"/>
        </w:rPr>
        <w:t>appel doivent faire montre d</w:t>
      </w:r>
      <w:r>
        <w:rPr>
          <w:rFonts w:cs="Times New Roman"/>
          <w:lang w:val="fr-CA"/>
        </w:rPr>
        <w:t>’</w:t>
      </w:r>
      <w:r w:rsidRPr="00726732">
        <w:rPr>
          <w:rFonts w:cs="Times New Roman"/>
          <w:lang w:val="fr-CA"/>
        </w:rPr>
        <w:t>un degré de déférence similairement élevé. Bien que les juges de première instance doivent se garder de remettre en question les mesures prises par la défense en vue de répondre aux accusations, ils ne doivent pas hésiter à conclure à l</w:t>
      </w:r>
      <w:r>
        <w:rPr>
          <w:rFonts w:cs="Times New Roman"/>
          <w:lang w:val="fr-CA"/>
        </w:rPr>
        <w:t>’</w:t>
      </w:r>
      <w:r w:rsidRPr="00726732">
        <w:rPr>
          <w:rFonts w:cs="Times New Roman"/>
          <w:lang w:val="fr-CA"/>
        </w:rPr>
        <w:t>illégitimité d</w:t>
      </w:r>
      <w:r>
        <w:rPr>
          <w:rFonts w:cs="Times New Roman"/>
          <w:lang w:val="fr-CA"/>
        </w:rPr>
        <w:t>’</w:t>
      </w:r>
      <w:r w:rsidRPr="00726732">
        <w:rPr>
          <w:rFonts w:cs="Times New Roman"/>
          <w:lang w:val="fr-CA"/>
        </w:rPr>
        <w:t>une mesure de la défense lorsqu</w:t>
      </w:r>
      <w:r>
        <w:rPr>
          <w:rFonts w:cs="Times New Roman"/>
          <w:lang w:val="fr-CA"/>
        </w:rPr>
        <w:t>’</w:t>
      </w:r>
      <w:r w:rsidRPr="00726732">
        <w:rPr>
          <w:rFonts w:cs="Times New Roman"/>
          <w:lang w:val="fr-CA"/>
        </w:rPr>
        <w:t xml:space="preserve">il y a lieu de le faire. </w:t>
      </w:r>
    </w:p>
    <w:p w:rsidR="001020F9" w:rsidRPr="00726732" w:rsidRDefault="001020F9" w:rsidP="00D42258">
      <w:pPr>
        <w:pStyle w:val="ParaNoNdepar-AltN"/>
        <w:widowControl w:val="0"/>
        <w:rPr>
          <w:rFonts w:cs="Times New Roman"/>
          <w:lang w:val="fr-CA"/>
        </w:rPr>
      </w:pPr>
      <w:r w:rsidRPr="00726732">
        <w:rPr>
          <w:rFonts w:cs="Times New Roman"/>
          <w:lang w:val="fr-CA"/>
        </w:rPr>
        <w:t>La notion de conduite de la défense vise autant le fond que la procédure —</w:t>
      </w:r>
      <w:r w:rsidRPr="00726732" w:rsidDel="00FE2B91">
        <w:rPr>
          <w:rFonts w:cs="Times New Roman"/>
          <w:lang w:val="fr-CA"/>
        </w:rPr>
        <w:t xml:space="preserve"> </w:t>
      </w:r>
      <w:r w:rsidRPr="00726732">
        <w:rPr>
          <w:rFonts w:cs="Times New Roman"/>
          <w:lang w:val="fr-CA"/>
        </w:rPr>
        <w:t>la décision de prendre une mesure</w:t>
      </w:r>
      <w:r w:rsidRPr="00726732" w:rsidDel="00FE2B91">
        <w:rPr>
          <w:rFonts w:cs="Times New Roman"/>
          <w:lang w:val="fr-CA"/>
        </w:rPr>
        <w:t xml:space="preserve">, </w:t>
      </w:r>
      <w:r w:rsidRPr="00726732">
        <w:rPr>
          <w:rFonts w:cs="Times New Roman"/>
          <w:i/>
          <w:lang w:val="fr-CA"/>
        </w:rPr>
        <w:t>ainsi que la manière dont celle</w:t>
      </w:r>
      <w:r w:rsidRPr="00726732">
        <w:rPr>
          <w:rFonts w:cs="Times New Roman"/>
          <w:i/>
          <w:lang w:val="fr-CA"/>
        </w:rPr>
        <w:noBreakHyphen/>
        <w:t>ci est exécutée</w:t>
      </w:r>
      <w:r w:rsidRPr="00726732" w:rsidDel="00FE2B91">
        <w:rPr>
          <w:rFonts w:cs="Times New Roman"/>
          <w:lang w:val="fr-CA"/>
        </w:rPr>
        <w:t xml:space="preserve">, </w:t>
      </w:r>
      <w:r w:rsidRPr="00726732">
        <w:rPr>
          <w:rFonts w:cs="Times New Roman"/>
          <w:lang w:val="fr-CA"/>
        </w:rPr>
        <w:t xml:space="preserve">sont </w:t>
      </w:r>
      <w:r w:rsidRPr="00726732">
        <w:rPr>
          <w:rFonts w:cs="Times New Roman"/>
          <w:lang w:val="fr-CA"/>
        </w:rPr>
        <w:lastRenderedPageBreak/>
        <w:t>toutes deux susceptibles d</w:t>
      </w:r>
      <w:r>
        <w:rPr>
          <w:rFonts w:cs="Times New Roman"/>
          <w:lang w:val="fr-CA"/>
        </w:rPr>
        <w:t>’</w:t>
      </w:r>
      <w:r w:rsidRPr="00726732">
        <w:rPr>
          <w:rFonts w:cs="Times New Roman"/>
          <w:lang w:val="fr-CA"/>
        </w:rPr>
        <w:t>examen</w:t>
      </w:r>
      <w:r w:rsidRPr="00726732" w:rsidDel="00FE2B91">
        <w:rPr>
          <w:rFonts w:cs="Times New Roman"/>
          <w:lang w:val="fr-CA"/>
        </w:rPr>
        <w:t xml:space="preserve">. </w:t>
      </w:r>
      <w:r w:rsidRPr="00726732">
        <w:rPr>
          <w:rFonts w:cs="Times New Roman"/>
          <w:lang w:val="fr-CA"/>
        </w:rPr>
        <w:t>Pour déterminer si une action de la défense a été prise légitimement en vue de répondre aux accusations, les circonstances entourant l</w:t>
      </w:r>
      <w:r>
        <w:rPr>
          <w:rFonts w:cs="Times New Roman"/>
          <w:lang w:val="fr-CA"/>
        </w:rPr>
        <w:t>’</w:t>
      </w:r>
      <w:r w:rsidRPr="00726732">
        <w:rPr>
          <w:rFonts w:cs="Times New Roman"/>
          <w:lang w:val="fr-CA"/>
        </w:rPr>
        <w:t xml:space="preserve">action ou la conduite peuvent donc être prises en considération. Le nombre total des demandes présentées par la défense, leur solidité, leur importance, la proximité des plafonds établis dans </w:t>
      </w:r>
      <w:r w:rsidRPr="00726732">
        <w:rPr>
          <w:rFonts w:cs="Times New Roman"/>
          <w:i/>
          <w:lang w:val="fr-CA"/>
        </w:rPr>
        <w:t>Jordan</w:t>
      </w:r>
      <w:r w:rsidRPr="00726732">
        <w:rPr>
          <w:rFonts w:cs="Times New Roman"/>
          <w:lang w:val="fr-CA"/>
        </w:rPr>
        <w:t xml:space="preserve">, le respect de toutes les exigences en matière de préavis ou de dépôt et la présentation de ces demandes dans les délais impartis constituent autant de considérations pertinentes qui peuvent être prises en compte. </w:t>
      </w:r>
      <w:r w:rsidRPr="00726732" w:rsidDel="00FE2B91">
        <w:rPr>
          <w:rFonts w:cs="Times New Roman"/>
          <w:lang w:val="fr-CA"/>
        </w:rPr>
        <w:t>I</w:t>
      </w:r>
      <w:r w:rsidRPr="00726732">
        <w:rPr>
          <w:rFonts w:cs="Times New Roman"/>
          <w:lang w:val="fr-CA"/>
        </w:rPr>
        <w:t>ndépendamment de son bien</w:t>
      </w:r>
      <w:r w:rsidRPr="00726732">
        <w:rPr>
          <w:rFonts w:cs="Times New Roman"/>
          <w:lang w:val="fr-CA"/>
        </w:rPr>
        <w:noBreakHyphen/>
        <w:t>fondé</w:t>
      </w:r>
      <w:r w:rsidRPr="00726732" w:rsidDel="00FE2B91">
        <w:rPr>
          <w:rFonts w:cs="Times New Roman"/>
          <w:lang w:val="fr-CA"/>
        </w:rPr>
        <w:t>,</w:t>
      </w:r>
      <w:r w:rsidRPr="00726732">
        <w:rPr>
          <w:rFonts w:cs="Times New Roman"/>
          <w:lang w:val="fr-CA"/>
        </w:rPr>
        <w:t xml:space="preserve"> une action de la défense peut être considérée illégitime dans le contexte d</w:t>
      </w:r>
      <w:r>
        <w:rPr>
          <w:rFonts w:cs="Times New Roman"/>
          <w:lang w:val="fr-CA"/>
        </w:rPr>
        <w:t>’</w:t>
      </w:r>
      <w:r w:rsidRPr="00726732">
        <w:rPr>
          <w:rFonts w:cs="Times New Roman"/>
          <w:lang w:val="fr-CA"/>
        </w:rPr>
        <w:t>une demande fondée sur l</w:t>
      </w:r>
      <w:r>
        <w:rPr>
          <w:rFonts w:cs="Times New Roman"/>
          <w:lang w:val="fr-CA"/>
        </w:rPr>
        <w:t>’</w:t>
      </w:r>
      <w:r w:rsidRPr="00726732">
        <w:rPr>
          <w:rFonts w:cs="Times New Roman"/>
          <w:lang w:val="fr-CA"/>
        </w:rPr>
        <w:t>al. 11</w:t>
      </w:r>
      <w:r w:rsidRPr="00726732">
        <w:rPr>
          <w:rFonts w:cs="Times New Roman"/>
          <w:i/>
          <w:lang w:val="fr-CA"/>
        </w:rPr>
        <w:t>b</w:t>
      </w:r>
      <w:r w:rsidRPr="00726732">
        <w:rPr>
          <w:rFonts w:cs="Times New Roman"/>
          <w:lang w:val="fr-CA"/>
        </w:rPr>
        <w:t>) si elle vise à retarder l</w:t>
      </w:r>
      <w:r>
        <w:rPr>
          <w:rFonts w:cs="Times New Roman"/>
          <w:lang w:val="fr-CA"/>
        </w:rPr>
        <w:t>’</w:t>
      </w:r>
      <w:r w:rsidRPr="00726732">
        <w:rPr>
          <w:rFonts w:cs="Times New Roman"/>
          <w:lang w:val="fr-CA"/>
        </w:rPr>
        <w:t>instance ou encore si elle témoigne d</w:t>
      </w:r>
      <w:r>
        <w:rPr>
          <w:rFonts w:cs="Times New Roman"/>
          <w:lang w:val="fr-CA"/>
        </w:rPr>
        <w:t>’</w:t>
      </w:r>
      <w:r w:rsidRPr="00726732">
        <w:rPr>
          <w:rFonts w:cs="Times New Roman"/>
          <w:lang w:val="fr-CA"/>
        </w:rPr>
        <w:t>une inefficacité ou indifférence marquées à l</w:t>
      </w:r>
      <w:r>
        <w:rPr>
          <w:rFonts w:cs="Times New Roman"/>
          <w:lang w:val="fr-CA"/>
        </w:rPr>
        <w:t>’</w:t>
      </w:r>
      <w:r w:rsidRPr="00726732">
        <w:rPr>
          <w:rFonts w:cs="Times New Roman"/>
          <w:lang w:val="fr-CA"/>
        </w:rPr>
        <w:t>égard des délais</w:t>
      </w:r>
      <w:r w:rsidRPr="00726732" w:rsidDel="00FE2B91">
        <w:rPr>
          <w:rFonts w:cs="Times New Roman"/>
          <w:lang w:val="fr-CA"/>
        </w:rPr>
        <w:t xml:space="preserve">. </w:t>
      </w:r>
    </w:p>
    <w:p w:rsidR="001020F9" w:rsidRPr="00726732" w:rsidRDefault="001020F9" w:rsidP="00D42258">
      <w:pPr>
        <w:pStyle w:val="ParaNoNdepar-AltN"/>
        <w:widowControl w:val="0"/>
        <w:rPr>
          <w:rFonts w:cs="Times New Roman"/>
          <w:lang w:val="fr-CA"/>
        </w:rPr>
      </w:pPr>
      <w:r w:rsidRPr="00726732">
        <w:rPr>
          <w:rFonts w:cs="Times New Roman"/>
          <w:lang w:val="fr-CA"/>
        </w:rPr>
        <w:t>L</w:t>
      </w:r>
      <w:r>
        <w:rPr>
          <w:rFonts w:cs="Times New Roman"/>
          <w:lang w:val="fr-CA"/>
        </w:rPr>
        <w:t>’</w:t>
      </w:r>
      <w:r w:rsidRPr="00726732">
        <w:rPr>
          <w:rFonts w:cs="Times New Roman"/>
          <w:lang w:val="fr-CA"/>
        </w:rPr>
        <w:t>inaction peut elle aussi constituer une conduite illégitime de la part de la défense (</w:t>
      </w:r>
      <w:r w:rsidRPr="00726732">
        <w:rPr>
          <w:rFonts w:cs="Times New Roman"/>
          <w:i/>
          <w:lang w:val="fr-CA"/>
        </w:rPr>
        <w:t>Jordan</w:t>
      </w:r>
      <w:r w:rsidRPr="00726732">
        <w:rPr>
          <w:rFonts w:cs="Times New Roman"/>
          <w:lang w:val="fr-CA"/>
        </w:rPr>
        <w:t>, par. 113 et 121). L</w:t>
      </w:r>
      <w:r>
        <w:rPr>
          <w:rFonts w:cs="Times New Roman"/>
          <w:lang w:val="fr-CA"/>
        </w:rPr>
        <w:t>’</w:t>
      </w:r>
      <w:r w:rsidRPr="00726732">
        <w:rPr>
          <w:rFonts w:cs="Times New Roman"/>
          <w:lang w:val="fr-CA"/>
        </w:rPr>
        <w:t>illégitimité peut s</w:t>
      </w:r>
      <w:r>
        <w:rPr>
          <w:rFonts w:cs="Times New Roman"/>
          <w:lang w:val="fr-CA"/>
        </w:rPr>
        <w:t>’</w:t>
      </w:r>
      <w:r w:rsidRPr="00726732">
        <w:rPr>
          <w:rFonts w:cs="Times New Roman"/>
          <w:lang w:val="fr-CA"/>
        </w:rPr>
        <w:t>étendre tant aux omissions qu</w:t>
      </w:r>
      <w:r>
        <w:rPr>
          <w:rFonts w:cs="Times New Roman"/>
          <w:lang w:val="fr-CA"/>
        </w:rPr>
        <w:t>’</w:t>
      </w:r>
      <w:r w:rsidRPr="00726732">
        <w:rPr>
          <w:rFonts w:cs="Times New Roman"/>
          <w:lang w:val="fr-CA"/>
        </w:rPr>
        <w:t xml:space="preserve">aux actions (voir, par exemple, dans un autre contexte, </w:t>
      </w:r>
      <w:r w:rsidRPr="00726732" w:rsidDel="00FE2B91">
        <w:rPr>
          <w:rFonts w:cs="Times New Roman"/>
          <w:i/>
          <w:lang w:val="fr-CA"/>
        </w:rPr>
        <w:t xml:space="preserve">R. </w:t>
      </w:r>
      <w:r w:rsidRPr="00726732">
        <w:rPr>
          <w:rFonts w:cs="Times New Roman"/>
          <w:i/>
          <w:lang w:val="fr-CA"/>
        </w:rPr>
        <w:t>c</w:t>
      </w:r>
      <w:r w:rsidRPr="00726732" w:rsidDel="00FE2B91">
        <w:rPr>
          <w:rFonts w:cs="Times New Roman"/>
          <w:i/>
          <w:lang w:val="fr-CA"/>
        </w:rPr>
        <w:t>. Dixon</w:t>
      </w:r>
      <w:r w:rsidRPr="00726732" w:rsidDel="00FE2B91">
        <w:rPr>
          <w:rFonts w:cs="Times New Roman"/>
          <w:lang w:val="fr-CA"/>
        </w:rPr>
        <w:t xml:space="preserve">, [1998] 1 </w:t>
      </w:r>
      <w:r w:rsidRPr="00726732">
        <w:rPr>
          <w:rFonts w:cs="Times New Roman"/>
          <w:lang w:val="fr-CA"/>
        </w:rPr>
        <w:t>R.C.S.</w:t>
      </w:r>
      <w:r w:rsidRPr="00726732" w:rsidDel="00FE2B91">
        <w:rPr>
          <w:rFonts w:cs="Times New Roman"/>
          <w:lang w:val="fr-CA"/>
        </w:rPr>
        <w:t xml:space="preserve"> 244, </w:t>
      </w:r>
      <w:r w:rsidRPr="00726732">
        <w:rPr>
          <w:rFonts w:cs="Times New Roman"/>
          <w:lang w:val="fr-CA"/>
        </w:rPr>
        <w:t>par. </w:t>
      </w:r>
      <w:r w:rsidRPr="00726732" w:rsidDel="00FE2B91">
        <w:rPr>
          <w:rFonts w:cs="Times New Roman"/>
          <w:lang w:val="fr-CA"/>
        </w:rPr>
        <w:t>37).</w:t>
      </w:r>
      <w:r w:rsidRPr="00726732">
        <w:rPr>
          <w:rFonts w:cs="Times New Roman"/>
          <w:lang w:val="fr-CA"/>
        </w:rPr>
        <w:t xml:space="preserve"> Les accusés doivent garder à l</w:t>
      </w:r>
      <w:r>
        <w:rPr>
          <w:rFonts w:cs="Times New Roman"/>
          <w:lang w:val="fr-CA"/>
        </w:rPr>
        <w:t>’</w:t>
      </w:r>
      <w:r w:rsidRPr="00726732">
        <w:rPr>
          <w:rFonts w:cs="Times New Roman"/>
          <w:lang w:val="fr-CA"/>
        </w:rPr>
        <w:t>esprit que le « droit d</w:t>
      </w:r>
      <w:r>
        <w:rPr>
          <w:rFonts w:cs="Times New Roman"/>
          <w:lang w:val="fr-CA"/>
        </w:rPr>
        <w:t>’</w:t>
      </w:r>
      <w:r w:rsidRPr="00726732">
        <w:rPr>
          <w:rFonts w:cs="Times New Roman"/>
          <w:lang w:val="fr-CA"/>
        </w:rPr>
        <w:t>être jugé dans un délai raisonnable »</w:t>
      </w:r>
      <w:r>
        <w:rPr>
          <w:rFonts w:cs="Times New Roman"/>
          <w:lang w:val="fr-CA"/>
        </w:rPr>
        <w:t xml:space="preserve"> garanti par l’al. 11</w:t>
      </w:r>
      <w:r w:rsidRPr="00E824CC">
        <w:rPr>
          <w:rFonts w:cs="Times New Roman"/>
          <w:i/>
          <w:lang w:val="fr-CA"/>
        </w:rPr>
        <w:t>b</w:t>
      </w:r>
      <w:r>
        <w:rPr>
          <w:rFonts w:cs="Times New Roman"/>
          <w:lang w:val="fr-CA"/>
        </w:rPr>
        <w:t>)</w:t>
      </w:r>
      <w:r w:rsidRPr="00726732">
        <w:rPr>
          <w:rFonts w:cs="Times New Roman"/>
          <w:lang w:val="fr-CA"/>
        </w:rPr>
        <w:t xml:space="preserve"> a pour corollaire la responsabilité d</w:t>
      </w:r>
      <w:r>
        <w:rPr>
          <w:rFonts w:cs="Times New Roman"/>
          <w:lang w:val="fr-CA"/>
        </w:rPr>
        <w:t>’</w:t>
      </w:r>
      <w:r w:rsidRPr="00726732">
        <w:rPr>
          <w:rFonts w:cs="Times New Roman"/>
          <w:lang w:val="fr-CA"/>
        </w:rPr>
        <w:t>éviter de causer un délai déraisonnable. L</w:t>
      </w:r>
      <w:r>
        <w:rPr>
          <w:rFonts w:cs="Times New Roman"/>
          <w:lang w:val="fr-CA"/>
        </w:rPr>
        <w:t>’</w:t>
      </w:r>
      <w:r w:rsidRPr="00726732">
        <w:rPr>
          <w:rFonts w:cs="Times New Roman"/>
          <w:lang w:val="fr-CA"/>
        </w:rPr>
        <w:t>avocat de la défense est donc censé « faire valoir activement les droits de son client à un procès tenu dans un délai raisonnable, collaborer avec l</w:t>
      </w:r>
      <w:r>
        <w:rPr>
          <w:rFonts w:cs="Times New Roman"/>
          <w:lang w:val="fr-CA"/>
        </w:rPr>
        <w:t>’</w:t>
      </w:r>
      <w:r w:rsidRPr="00726732">
        <w:rPr>
          <w:rFonts w:cs="Times New Roman"/>
          <w:lang w:val="fr-CA"/>
        </w:rPr>
        <w:t>avocat du ministère public lorsque cela sera indiqué et [. . .] utiliser de façon efficace le temps du tribunal » (</w:t>
      </w:r>
      <w:r w:rsidRPr="00726732">
        <w:rPr>
          <w:rFonts w:cs="Times New Roman"/>
          <w:i/>
          <w:lang w:val="fr-CA"/>
        </w:rPr>
        <w:t>Jordan</w:t>
      </w:r>
      <w:r w:rsidRPr="00726732">
        <w:rPr>
          <w:rFonts w:cs="Times New Roman"/>
          <w:lang w:val="fr-CA"/>
        </w:rPr>
        <w:t xml:space="preserve">, par. 138). </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 xml:space="preserve">Il ne faudrait pas voir dans cette interprétation de la notion de conduite </w:t>
      </w:r>
      <w:r w:rsidRPr="00726732">
        <w:rPr>
          <w:rFonts w:cs="Times New Roman"/>
          <w:lang w:val="fr-CA"/>
        </w:rPr>
        <w:lastRenderedPageBreak/>
        <w:t>illégitime de la défense un amoindrissement du droit de l</w:t>
      </w:r>
      <w:r>
        <w:rPr>
          <w:rFonts w:cs="Times New Roman"/>
          <w:lang w:val="fr-CA"/>
        </w:rPr>
        <w:t>’</w:t>
      </w:r>
      <w:r w:rsidRPr="00726732">
        <w:rPr>
          <w:rFonts w:cs="Times New Roman"/>
          <w:lang w:val="fr-CA"/>
        </w:rPr>
        <w:t>accusé à une défense pleine et entière. Les avocats de la défense peuvent encore faire valoir tous les moyens de fond et de procédure à leur disposition pour défendre leurs clients. Ce qu</w:t>
      </w:r>
      <w:r>
        <w:rPr>
          <w:rFonts w:cs="Times New Roman"/>
          <w:lang w:val="fr-CA"/>
        </w:rPr>
        <w:t>’</w:t>
      </w:r>
      <w:r w:rsidRPr="00726732">
        <w:rPr>
          <w:rFonts w:cs="Times New Roman"/>
          <w:lang w:val="fr-CA"/>
        </w:rPr>
        <w:t>ils ne sont pas autorisés à faire, c</w:t>
      </w:r>
      <w:r>
        <w:rPr>
          <w:rFonts w:cs="Times New Roman"/>
          <w:lang w:val="fr-CA"/>
        </w:rPr>
        <w:t>’</w:t>
      </w:r>
      <w:r w:rsidRPr="00726732">
        <w:rPr>
          <w:rFonts w:cs="Times New Roman"/>
          <w:lang w:val="fr-CA"/>
        </w:rPr>
        <w:t xml:space="preserve">est adopter une conduite illégitime et faire ensuite compter le délai en résultant dans le calcul visant à déterminer si le plafond fixé dans </w:t>
      </w:r>
      <w:r w:rsidRPr="00726732">
        <w:rPr>
          <w:rFonts w:cs="Times New Roman"/>
          <w:i/>
          <w:lang w:val="fr-CA"/>
        </w:rPr>
        <w:t>Jordan</w:t>
      </w:r>
      <w:r w:rsidRPr="00726732">
        <w:rPr>
          <w:rFonts w:cs="Times New Roman"/>
          <w:lang w:val="fr-CA"/>
        </w:rPr>
        <w:t xml:space="preserve"> est atteint. À cet égard, bien que nous soyons conscients de la tension potentielle entre le droit à une défense pleine et entière et le droit d</w:t>
      </w:r>
      <w:r>
        <w:rPr>
          <w:rFonts w:cs="Times New Roman"/>
          <w:lang w:val="fr-CA"/>
        </w:rPr>
        <w:t>’</w:t>
      </w:r>
      <w:r w:rsidRPr="00726732">
        <w:rPr>
          <w:rFonts w:cs="Times New Roman"/>
          <w:lang w:val="fr-CA"/>
        </w:rPr>
        <w:t>être jugé dans un délai raisonnable — ainsi que de la nécessité d</w:t>
      </w:r>
      <w:r>
        <w:rPr>
          <w:rFonts w:cs="Times New Roman"/>
          <w:lang w:val="fr-CA"/>
        </w:rPr>
        <w:t>’</w:t>
      </w:r>
      <w:r w:rsidRPr="00726732">
        <w:rPr>
          <w:rFonts w:cs="Times New Roman"/>
          <w:lang w:val="fr-CA"/>
        </w:rPr>
        <w:t>établir un juste équilibre entre ces deux droits —, nous estimons qu</w:t>
      </w:r>
      <w:r>
        <w:rPr>
          <w:rFonts w:cs="Times New Roman"/>
          <w:lang w:val="fr-CA"/>
        </w:rPr>
        <w:t>’</w:t>
      </w:r>
      <w:r w:rsidRPr="00726732">
        <w:rPr>
          <w:rFonts w:cs="Times New Roman"/>
          <w:lang w:val="fr-CA"/>
        </w:rPr>
        <w:t>aucun de ces droits n</w:t>
      </w:r>
      <w:r>
        <w:rPr>
          <w:rFonts w:cs="Times New Roman"/>
          <w:lang w:val="fr-CA"/>
        </w:rPr>
        <w:t>’</w:t>
      </w:r>
      <w:r w:rsidRPr="00726732">
        <w:rPr>
          <w:rFonts w:cs="Times New Roman"/>
          <w:lang w:val="fr-CA"/>
        </w:rPr>
        <w:t>est amoindri par la déduction d</w:t>
      </w:r>
      <w:r>
        <w:rPr>
          <w:rFonts w:cs="Times New Roman"/>
          <w:lang w:val="fr-CA"/>
        </w:rPr>
        <w:t>’</w:t>
      </w:r>
      <w:r w:rsidRPr="00726732">
        <w:rPr>
          <w:rFonts w:cs="Times New Roman"/>
          <w:lang w:val="fr-CA"/>
        </w:rPr>
        <w:t xml:space="preserve">un délai causé par une conduite illégitime de la défense. </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Nous tenons à souligner que, dans le contexte qui nous intéresse, l</w:t>
      </w:r>
      <w:r>
        <w:rPr>
          <w:rFonts w:cs="Times New Roman"/>
          <w:lang w:val="fr-CA"/>
        </w:rPr>
        <w:t>’</w:t>
      </w:r>
      <w:r w:rsidRPr="00726732">
        <w:rPr>
          <w:rFonts w:cs="Times New Roman"/>
          <w:lang w:val="fr-CA"/>
        </w:rPr>
        <w:t>illégitimité d</w:t>
      </w:r>
      <w:r>
        <w:rPr>
          <w:rFonts w:cs="Times New Roman"/>
          <w:lang w:val="fr-CA"/>
        </w:rPr>
        <w:t>’</w:t>
      </w:r>
      <w:r w:rsidRPr="00726732">
        <w:rPr>
          <w:rFonts w:cs="Times New Roman"/>
          <w:lang w:val="fr-CA"/>
        </w:rPr>
        <w:t>une conduite n</w:t>
      </w:r>
      <w:r>
        <w:rPr>
          <w:rFonts w:cs="Times New Roman"/>
          <w:lang w:val="fr-CA"/>
        </w:rPr>
        <w:t>’</w:t>
      </w:r>
      <w:r w:rsidRPr="00726732">
        <w:rPr>
          <w:rFonts w:cs="Times New Roman"/>
          <w:lang w:val="fr-CA"/>
        </w:rPr>
        <w:t>équivaut pas nécessairement à une faute professionnelle ou éthique de la part de l</w:t>
      </w:r>
      <w:r>
        <w:rPr>
          <w:rFonts w:cs="Times New Roman"/>
          <w:lang w:val="fr-CA"/>
        </w:rPr>
        <w:t>’</w:t>
      </w:r>
      <w:r w:rsidRPr="00726732">
        <w:rPr>
          <w:rFonts w:cs="Times New Roman"/>
          <w:lang w:val="fr-CA"/>
        </w:rPr>
        <w:t>avocat de la défense. En effet, il n</w:t>
      </w:r>
      <w:r>
        <w:rPr>
          <w:rFonts w:cs="Times New Roman"/>
          <w:lang w:val="fr-CA"/>
        </w:rPr>
        <w:t>’</w:t>
      </w:r>
      <w:r w:rsidRPr="00726732">
        <w:rPr>
          <w:rFonts w:cs="Times New Roman"/>
          <w:lang w:val="fr-CA"/>
        </w:rPr>
        <w:t xml:space="preserve">est pas nécessaire que la conduite illégitime de la défense qui a été constatée constitue une faute professionnelle. La légitimité tire plutôt son sens du changement de culture exigé dans </w:t>
      </w:r>
      <w:r w:rsidRPr="00726732">
        <w:rPr>
          <w:rFonts w:cs="Times New Roman"/>
          <w:i/>
          <w:lang w:val="fr-CA"/>
        </w:rPr>
        <w:t>Jordan</w:t>
      </w:r>
      <w:r w:rsidRPr="00726732">
        <w:rPr>
          <w:rFonts w:cs="Times New Roman"/>
          <w:lang w:val="fr-CA"/>
        </w:rPr>
        <w:t xml:space="preserve">. </w:t>
      </w:r>
      <w:r w:rsidRPr="00726732">
        <w:rPr>
          <w:rFonts w:cs="Times New Roman"/>
          <w:i/>
          <w:lang w:val="fr-CA"/>
        </w:rPr>
        <w:t>Toutes</w:t>
      </w:r>
      <w:r w:rsidRPr="00726732">
        <w:rPr>
          <w:rFonts w:cs="Times New Roman"/>
          <w:lang w:val="fr-CA"/>
        </w:rPr>
        <w:t xml:space="preserve"> les personnes associées au système judiciaire — y compris les avocats de la défense — doivent désormais accepter que de nombreuses pratiques qui étaient auparavant courantes ou simplement tolérées ne sont plus compatibles avec le droit garanti par l</w:t>
      </w:r>
      <w:r>
        <w:rPr>
          <w:rFonts w:cs="Times New Roman"/>
          <w:lang w:val="fr-CA"/>
        </w:rPr>
        <w:t>’</w:t>
      </w:r>
      <w:r w:rsidRPr="00726732">
        <w:rPr>
          <w:rFonts w:cs="Times New Roman"/>
          <w:lang w:val="fr-CA"/>
        </w:rPr>
        <w:t>al. 11</w:t>
      </w:r>
      <w:r w:rsidRPr="00726732">
        <w:rPr>
          <w:rFonts w:cs="Times New Roman"/>
          <w:i/>
          <w:lang w:val="fr-CA"/>
        </w:rPr>
        <w:t>b</w:t>
      </w:r>
      <w:r w:rsidRPr="00726732">
        <w:rPr>
          <w:rFonts w:cs="Times New Roman"/>
          <w:lang w:val="fr-CA"/>
        </w:rPr>
        <w:t xml:space="preserve">) de la </w:t>
      </w:r>
      <w:r w:rsidRPr="00726732">
        <w:rPr>
          <w:rFonts w:cs="Times New Roman"/>
          <w:i/>
          <w:lang w:val="fr-CA"/>
        </w:rPr>
        <w:t>Charte</w:t>
      </w:r>
      <w:r w:rsidRPr="00726732">
        <w:rPr>
          <w:rFonts w:cs="Times New Roman"/>
          <w:lang w:val="fr-CA"/>
        </w:rPr>
        <w:t>.</w:t>
      </w:r>
    </w:p>
    <w:p w:rsidR="001020F9" w:rsidRPr="00726732" w:rsidRDefault="001020F9" w:rsidP="00D42258">
      <w:pPr>
        <w:pStyle w:val="Title5LevelTitre5Niveau"/>
        <w:widowControl w:val="0"/>
        <w:numPr>
          <w:ilvl w:val="0"/>
          <w:numId w:val="0"/>
        </w:numPr>
        <w:ind w:firstLine="720"/>
        <w:rPr>
          <w:rFonts w:cs="Times New Roman"/>
          <w:lang w:val="fr-CA"/>
        </w:rPr>
      </w:pPr>
      <w:r w:rsidRPr="00726732">
        <w:rPr>
          <w:rFonts w:cs="Times New Roman"/>
          <w:u w:val="none"/>
          <w:lang w:val="fr-CA"/>
        </w:rPr>
        <w:t>b)</w:t>
      </w:r>
      <w:r w:rsidRPr="00726732">
        <w:rPr>
          <w:rFonts w:cs="Times New Roman"/>
          <w:u w:val="none"/>
          <w:lang w:val="fr-CA"/>
        </w:rPr>
        <w:tab/>
      </w:r>
      <w:r w:rsidRPr="00726732">
        <w:rPr>
          <w:rFonts w:cs="Times New Roman"/>
          <w:i/>
          <w:u w:val="none"/>
          <w:lang w:val="fr-CA"/>
        </w:rPr>
        <w:t>Prévenir le délai</w:t>
      </w:r>
    </w:p>
    <w:p w:rsidR="001020F9" w:rsidRPr="00726732" w:rsidRDefault="001020F9" w:rsidP="00D42258">
      <w:pPr>
        <w:pStyle w:val="ParaNoNdepar-AltN"/>
        <w:widowControl w:val="0"/>
        <w:rPr>
          <w:rFonts w:cs="Times New Roman"/>
          <w:lang w:val="fr-CA"/>
        </w:rPr>
      </w:pPr>
      <w:r w:rsidRPr="00726732">
        <w:rPr>
          <w:rFonts w:cs="Times New Roman"/>
          <w:lang w:val="fr-CA"/>
        </w:rPr>
        <w:t xml:space="preserve">Pour opérer un véritable changement, on ne peut se limiter à une </w:t>
      </w:r>
      <w:r w:rsidRPr="00726732">
        <w:rPr>
          <w:rFonts w:cs="Times New Roman"/>
          <w:lang w:val="fr-CA"/>
        </w:rPr>
        <w:lastRenderedPageBreak/>
        <w:t>comptabilisation rétrospective du délai. Il ne suffit pas de « ramasser les pots cassés une fois que le délai s</w:t>
      </w:r>
      <w:r>
        <w:rPr>
          <w:rFonts w:cs="Times New Roman"/>
          <w:lang w:val="fr-CA"/>
        </w:rPr>
        <w:t>’</w:t>
      </w:r>
      <w:r w:rsidRPr="00726732">
        <w:rPr>
          <w:rFonts w:cs="Times New Roman"/>
          <w:lang w:val="fr-CA"/>
        </w:rPr>
        <w:t>est produit » (</w:t>
      </w:r>
      <w:r w:rsidRPr="00726732">
        <w:rPr>
          <w:rFonts w:cs="Times New Roman"/>
          <w:i/>
          <w:lang w:val="fr-CA"/>
        </w:rPr>
        <w:t>Jordan</w:t>
      </w:r>
      <w:r w:rsidRPr="00726732">
        <w:rPr>
          <w:rFonts w:cs="Times New Roman"/>
          <w:lang w:val="fr-CA"/>
        </w:rPr>
        <w:t>, par. 35).</w:t>
      </w:r>
      <w:r w:rsidRPr="00726732">
        <w:rPr>
          <w:rFonts w:cs="Times New Roman"/>
          <w:i/>
          <w:lang w:val="fr-CA"/>
        </w:rPr>
        <w:t xml:space="preserve"> </w:t>
      </w:r>
      <w:r w:rsidRPr="00726732">
        <w:rPr>
          <w:rFonts w:cs="Times New Roman"/>
          <w:lang w:val="fr-CA"/>
        </w:rPr>
        <w:t>Il faut plutôt adopter une approche proactive qui permet de prévenir les délais inutiles en s</w:t>
      </w:r>
      <w:r>
        <w:rPr>
          <w:rFonts w:cs="Times New Roman"/>
          <w:lang w:val="fr-CA"/>
        </w:rPr>
        <w:t>’</w:t>
      </w:r>
      <w:r w:rsidRPr="00726732">
        <w:rPr>
          <w:rFonts w:cs="Times New Roman"/>
          <w:lang w:val="fr-CA"/>
        </w:rPr>
        <w:t>attaquant à leurs causes profondes. Il s</w:t>
      </w:r>
      <w:r>
        <w:rPr>
          <w:rFonts w:cs="Times New Roman"/>
          <w:lang w:val="fr-CA"/>
        </w:rPr>
        <w:t>’</w:t>
      </w:r>
      <w:r w:rsidRPr="00726732">
        <w:rPr>
          <w:rFonts w:cs="Times New Roman"/>
          <w:lang w:val="fr-CA"/>
        </w:rPr>
        <w:t>agit d</w:t>
      </w:r>
      <w:r>
        <w:rPr>
          <w:rFonts w:cs="Times New Roman"/>
          <w:lang w:val="fr-CA"/>
        </w:rPr>
        <w:t>’</w:t>
      </w:r>
      <w:r w:rsidRPr="00726732">
        <w:rPr>
          <w:rFonts w:cs="Times New Roman"/>
          <w:lang w:val="fr-CA"/>
        </w:rPr>
        <w:t>une responsabilité qui incombe à toutes les personnes associées au système de justice criminelle (</w:t>
      </w:r>
      <w:r w:rsidRPr="00726732">
        <w:rPr>
          <w:rFonts w:cs="Times New Roman"/>
          <w:i/>
          <w:lang w:val="fr-CA"/>
        </w:rPr>
        <w:t>Jordan</w:t>
      </w:r>
      <w:r w:rsidRPr="00726732">
        <w:rPr>
          <w:rFonts w:cs="Times New Roman"/>
          <w:lang w:val="fr-CA"/>
        </w:rPr>
        <w:t xml:space="preserve">, par. 137). </w:t>
      </w:r>
    </w:p>
    <w:p w:rsidR="001020F9" w:rsidRPr="00726732" w:rsidRDefault="001020F9" w:rsidP="00D42258">
      <w:pPr>
        <w:pStyle w:val="ParaNoNdepar-AltN"/>
        <w:widowControl w:val="0"/>
        <w:rPr>
          <w:rFonts w:cs="Times New Roman"/>
          <w:lang w:val="fr-CA"/>
        </w:rPr>
      </w:pPr>
      <w:r w:rsidRPr="00726732">
        <w:rPr>
          <w:rFonts w:cs="Times New Roman"/>
          <w:lang w:val="fr-CA"/>
        </w:rPr>
        <w:t>Il convient de rappeler le rôle important que jouent les juges de première instance en vue de réduire les délais inutiles et de « changer la culture en salle d</w:t>
      </w:r>
      <w:r>
        <w:rPr>
          <w:rFonts w:cs="Times New Roman"/>
          <w:lang w:val="fr-CA"/>
        </w:rPr>
        <w:t>’</w:t>
      </w:r>
      <w:r w:rsidRPr="00726732">
        <w:rPr>
          <w:rFonts w:cs="Times New Roman"/>
          <w:lang w:val="fr-CA"/>
        </w:rPr>
        <w:t>audience » (</w:t>
      </w:r>
      <w:r w:rsidRPr="00726732">
        <w:rPr>
          <w:rFonts w:cs="Times New Roman"/>
          <w:i/>
          <w:lang w:val="fr-CA"/>
        </w:rPr>
        <w:t>Jordan</w:t>
      </w:r>
      <w:r w:rsidRPr="00726732">
        <w:rPr>
          <w:rFonts w:cs="Times New Roman"/>
          <w:lang w:val="fr-CA"/>
        </w:rPr>
        <w:t>, par. 114). Comme l</w:t>
      </w:r>
      <w:r>
        <w:rPr>
          <w:rFonts w:cs="Times New Roman"/>
          <w:lang w:val="fr-CA"/>
        </w:rPr>
        <w:t>’</w:t>
      </w:r>
      <w:r w:rsidRPr="00726732">
        <w:rPr>
          <w:rFonts w:cs="Times New Roman"/>
          <w:lang w:val="fr-CA"/>
        </w:rPr>
        <w:t xml:space="preserve">a fait observer notre Cour dans </w:t>
      </w:r>
      <w:r w:rsidRPr="00726732">
        <w:rPr>
          <w:rFonts w:cs="Times New Roman"/>
          <w:i/>
          <w:lang w:val="fr-CA"/>
        </w:rPr>
        <w:t>Jordan</w:t>
      </w:r>
      <w:r w:rsidRPr="00726732">
        <w:rPr>
          <w:rFonts w:cs="Times New Roman"/>
          <w:lang w:val="fr-CA"/>
        </w:rPr>
        <w:t>, pour que s</w:t>
      </w:r>
      <w:r>
        <w:rPr>
          <w:rFonts w:cs="Times New Roman"/>
          <w:lang w:val="fr-CA"/>
        </w:rPr>
        <w:t>’</w:t>
      </w:r>
      <w:r w:rsidRPr="00726732">
        <w:rPr>
          <w:rFonts w:cs="Times New Roman"/>
          <w:lang w:val="fr-CA"/>
        </w:rPr>
        <w:t>opère un véritable changement, le rôle des tribunaux consiste entre autre</w:t>
      </w:r>
      <w:r w:rsidR="001C00B8">
        <w:rPr>
          <w:rFonts w:cs="Times New Roman"/>
          <w:lang w:val="fr-CA"/>
        </w:rPr>
        <w:t>s</w:t>
      </w:r>
      <w:r w:rsidRPr="00726732">
        <w:rPr>
          <w:rFonts w:cs="Times New Roman"/>
          <w:lang w:val="fr-CA"/>
        </w:rPr>
        <w:t xml:space="preserve"> chose</w:t>
      </w:r>
      <w:r w:rsidR="001C00B8">
        <w:rPr>
          <w:rFonts w:cs="Times New Roman"/>
          <w:lang w:val="fr-CA"/>
        </w:rPr>
        <w:t>s à</w:t>
      </w:r>
    </w:p>
    <w:p w:rsidR="001020F9" w:rsidRPr="00726732" w:rsidRDefault="001020F9" w:rsidP="00D42258">
      <w:pPr>
        <w:pStyle w:val="Citation-AltC"/>
        <w:widowControl w:val="0"/>
        <w:ind w:hanging="1166"/>
        <w:contextualSpacing w:val="0"/>
        <w:rPr>
          <w:lang w:val="fr-CA"/>
        </w:rPr>
      </w:pPr>
      <w:r w:rsidRPr="00726732">
        <w:rPr>
          <w:lang w:val="fr-CA"/>
        </w:rPr>
        <w:tab/>
        <w:t>mettre en œuvre des procédures plus efficaces, notamment des pratiques d</w:t>
      </w:r>
      <w:r>
        <w:rPr>
          <w:lang w:val="fr-CA"/>
        </w:rPr>
        <w:t>’</w:t>
      </w:r>
      <w:r w:rsidRPr="00726732">
        <w:rPr>
          <w:lang w:val="fr-CA"/>
        </w:rPr>
        <w:t>établissement de calendriers pour les procès. Les tribunaux de première instance souhaiteront peut</w:t>
      </w:r>
      <w:r w:rsidRPr="00726732">
        <w:rPr>
          <w:lang w:val="fr-CA"/>
        </w:rPr>
        <w:noBreakHyphen/>
        <w:t>être revoir leurs régimes de gestion des instances pour s</w:t>
      </w:r>
      <w:r>
        <w:rPr>
          <w:lang w:val="fr-CA"/>
        </w:rPr>
        <w:t>’</w:t>
      </w:r>
      <w:r w:rsidRPr="00726732">
        <w:rPr>
          <w:lang w:val="fr-CA"/>
        </w:rPr>
        <w:t>assurer que ceux</w:t>
      </w:r>
      <w:r w:rsidRPr="00726732">
        <w:rPr>
          <w:lang w:val="fr-CA"/>
        </w:rPr>
        <w:noBreakHyphen/>
        <w:t>ci fournissent aux parties les outils nécessaires pour collaborer et mener les dossiers de façon efficace. Les juges devront en outre faire des efforts raisonnables pour diriger et gérer le déroulement des procès. Les tribunaux d</w:t>
      </w:r>
      <w:r>
        <w:rPr>
          <w:lang w:val="fr-CA"/>
        </w:rPr>
        <w:t>’</w:t>
      </w:r>
      <w:r w:rsidRPr="00726732">
        <w:rPr>
          <w:lang w:val="fr-CA"/>
        </w:rPr>
        <w:t>appel devront appuyer ces efforts en faisant preuve de déférence à l</w:t>
      </w:r>
      <w:r>
        <w:rPr>
          <w:lang w:val="fr-CA"/>
        </w:rPr>
        <w:t>’</w:t>
      </w:r>
      <w:r w:rsidRPr="00726732">
        <w:rPr>
          <w:lang w:val="fr-CA"/>
        </w:rPr>
        <w:t>égard des choix des cours de première instance en matière de gestion des instances. Enfin, tous les tribunaux, y compris la Cour, devront tenir compte de l</w:t>
      </w:r>
      <w:r>
        <w:rPr>
          <w:lang w:val="fr-CA"/>
        </w:rPr>
        <w:t>’</w:t>
      </w:r>
      <w:r w:rsidRPr="00726732">
        <w:rPr>
          <w:lang w:val="fr-CA"/>
        </w:rPr>
        <w:t>impact de leurs décisions sur le déroulement des procès. [par. 139]</w:t>
      </w:r>
    </w:p>
    <w:p w:rsidR="001020F9" w:rsidRPr="00726732" w:rsidRDefault="001020F9" w:rsidP="00D42258">
      <w:pPr>
        <w:pStyle w:val="ContinueParaSuitedupar-AltP"/>
        <w:widowControl w:val="0"/>
        <w:rPr>
          <w:rFonts w:eastAsiaTheme="minorEastAsia" w:cs="Times New Roman"/>
          <w:lang w:val="fr-CA"/>
        </w:rPr>
      </w:pPr>
      <w:r w:rsidRPr="00726732">
        <w:rPr>
          <w:rFonts w:cs="Times New Roman"/>
          <w:lang w:val="fr-CA"/>
        </w:rPr>
        <w:t>Dans l</w:t>
      </w:r>
      <w:r>
        <w:rPr>
          <w:rFonts w:cs="Times New Roman"/>
          <w:lang w:val="fr-CA"/>
        </w:rPr>
        <w:t>’</w:t>
      </w:r>
      <w:r w:rsidRPr="00726732">
        <w:rPr>
          <w:rFonts w:cs="Times New Roman"/>
          <w:lang w:val="fr-CA"/>
        </w:rPr>
        <w:t>établissement de son calendrier d</w:t>
      </w:r>
      <w:r>
        <w:rPr>
          <w:rFonts w:cs="Times New Roman"/>
          <w:lang w:val="fr-CA"/>
        </w:rPr>
        <w:t>’</w:t>
      </w:r>
      <w:r w:rsidRPr="00726732">
        <w:rPr>
          <w:rFonts w:cs="Times New Roman"/>
          <w:lang w:val="fr-CA"/>
        </w:rPr>
        <w:t>audiences, par exemple, un tribunal peut refuser une demande d</w:t>
      </w:r>
      <w:r>
        <w:rPr>
          <w:rFonts w:cs="Times New Roman"/>
          <w:lang w:val="fr-CA"/>
        </w:rPr>
        <w:t>’</w:t>
      </w:r>
      <w:r w:rsidRPr="00726732">
        <w:rPr>
          <w:rFonts w:cs="Times New Roman"/>
          <w:lang w:val="fr-CA"/>
        </w:rPr>
        <w:t>ajournement pour le motif qu</w:t>
      </w:r>
      <w:r>
        <w:rPr>
          <w:rFonts w:cs="Times New Roman"/>
          <w:lang w:val="fr-CA"/>
        </w:rPr>
        <w:t>’</w:t>
      </w:r>
      <w:r w:rsidRPr="00726732">
        <w:rPr>
          <w:rFonts w:cs="Times New Roman"/>
          <w:lang w:val="fr-CA"/>
        </w:rPr>
        <w:t xml:space="preserve">il en résulterait un délai intolérablement long, et ce, même si cette période pourrait par ailleurs être déduite en tant que délai imputable à la défense. </w:t>
      </w:r>
    </w:p>
    <w:p w:rsidR="001020F9" w:rsidRPr="00726732" w:rsidRDefault="001020F9" w:rsidP="00D42258">
      <w:pPr>
        <w:pStyle w:val="ParaNoNdepar-AltN"/>
        <w:widowControl w:val="0"/>
        <w:rPr>
          <w:rFonts w:cs="Times New Roman"/>
          <w:lang w:val="fr-CA"/>
        </w:rPr>
      </w:pPr>
      <w:r w:rsidRPr="00726732">
        <w:rPr>
          <w:rFonts w:cs="Times New Roman"/>
          <w:lang w:val="fr-CA"/>
        </w:rPr>
        <w:lastRenderedPageBreak/>
        <w:t>En outre, les juges de première instance devraient utiliser leurs pouvoirs de gestion des instances pour réduire les délais au minimum. Par exemple, avant de permettre qu</w:t>
      </w:r>
      <w:r>
        <w:rPr>
          <w:rFonts w:cs="Times New Roman"/>
          <w:lang w:val="fr-CA"/>
        </w:rPr>
        <w:t>’</w:t>
      </w:r>
      <w:r w:rsidRPr="00726732">
        <w:rPr>
          <w:rFonts w:cs="Times New Roman"/>
          <w:lang w:val="fr-CA"/>
        </w:rPr>
        <w:t>une demande soit entendue, le juge de première instance devrait se demander si elle présente des chances raisonnables de succès. À cette fin, il peut notamment demander à l</w:t>
      </w:r>
      <w:r>
        <w:rPr>
          <w:rFonts w:cs="Times New Roman"/>
          <w:lang w:val="fr-CA"/>
        </w:rPr>
        <w:t>’</w:t>
      </w:r>
      <w:r w:rsidRPr="00726732">
        <w:rPr>
          <w:rFonts w:cs="Times New Roman"/>
          <w:lang w:val="fr-CA"/>
        </w:rPr>
        <w:t>avocat de la défense de résumer la preuve qu</w:t>
      </w:r>
      <w:r>
        <w:rPr>
          <w:rFonts w:cs="Times New Roman"/>
          <w:lang w:val="fr-CA"/>
        </w:rPr>
        <w:t>’</w:t>
      </w:r>
      <w:r w:rsidRPr="00726732">
        <w:rPr>
          <w:rFonts w:cs="Times New Roman"/>
          <w:lang w:val="fr-CA"/>
        </w:rPr>
        <w:t>il prévoit présenter lors du voir dire, puis rejeter celle</w:t>
      </w:r>
      <w:r w:rsidRPr="00726732">
        <w:rPr>
          <w:rFonts w:cs="Times New Roman"/>
          <w:lang w:val="fr-CA"/>
        </w:rPr>
        <w:noBreakHyphen/>
        <w:t>ci sommairement si ce résumé ne révèle aucun motif qui indiquerait que la demande a des chances d</w:t>
      </w:r>
      <w:r>
        <w:rPr>
          <w:rFonts w:cs="Times New Roman"/>
          <w:lang w:val="fr-CA"/>
        </w:rPr>
        <w:t>’</w:t>
      </w:r>
      <w:r w:rsidRPr="00726732">
        <w:rPr>
          <w:rFonts w:cs="Times New Roman"/>
          <w:lang w:val="fr-CA"/>
        </w:rPr>
        <w:t>être accueillie (</w:t>
      </w:r>
      <w:r w:rsidRPr="00726732">
        <w:rPr>
          <w:rFonts w:cs="Times New Roman"/>
          <w:i/>
          <w:lang w:val="fr-CA"/>
        </w:rPr>
        <w:t>R. c. Kutynec</w:t>
      </w:r>
      <w:r w:rsidRPr="00726732">
        <w:rPr>
          <w:rFonts w:cs="Times New Roman"/>
          <w:lang w:val="fr-CA"/>
        </w:rPr>
        <w:t xml:space="preserve"> (1992), 7 O.R. (3d) 277 (C.A.), p. 287</w:t>
      </w:r>
      <w:r w:rsidRPr="00726732">
        <w:rPr>
          <w:rFonts w:cs="Times New Roman"/>
          <w:lang w:val="fr-CA"/>
        </w:rPr>
        <w:noBreakHyphen/>
        <w:t xml:space="preserve">289; </w:t>
      </w:r>
      <w:r w:rsidRPr="00726732">
        <w:rPr>
          <w:rFonts w:cs="Times New Roman"/>
          <w:i/>
          <w:lang w:val="fr-CA"/>
        </w:rPr>
        <w:t>R. c. Vukelich</w:t>
      </w:r>
      <w:r w:rsidRPr="00726732">
        <w:rPr>
          <w:rFonts w:cs="Times New Roman"/>
          <w:lang w:val="fr-CA"/>
        </w:rPr>
        <w:t xml:space="preserve"> (1996), 108 C.C.C. (3d) 193 (C.A.</w:t>
      </w:r>
      <w:r w:rsidR="00B00C2A">
        <w:rPr>
          <w:rFonts w:cs="Times New Roman"/>
          <w:lang w:val="fr-CA"/>
        </w:rPr>
        <w:t xml:space="preserve"> </w:t>
      </w:r>
      <w:r w:rsidR="000021ED">
        <w:rPr>
          <w:rFonts w:cs="Times New Roman"/>
          <w:lang w:val="fr-CA"/>
        </w:rPr>
        <w:t>C.-</w:t>
      </w:r>
      <w:r w:rsidRPr="00726732">
        <w:rPr>
          <w:rFonts w:cs="Times New Roman"/>
          <w:lang w:val="fr-CA"/>
        </w:rPr>
        <w:t>B.)). De plus, même s</w:t>
      </w:r>
      <w:r>
        <w:rPr>
          <w:rFonts w:cs="Times New Roman"/>
          <w:lang w:val="fr-CA"/>
        </w:rPr>
        <w:t>’</w:t>
      </w:r>
      <w:r w:rsidRPr="00726732">
        <w:rPr>
          <w:rFonts w:cs="Times New Roman"/>
          <w:lang w:val="fr-CA"/>
        </w:rPr>
        <w:t>il permet que la demande soit entendue, le juge de première instance continue d</w:t>
      </w:r>
      <w:r>
        <w:rPr>
          <w:rFonts w:cs="Times New Roman"/>
          <w:lang w:val="fr-CA"/>
        </w:rPr>
        <w:t>’</w:t>
      </w:r>
      <w:r w:rsidRPr="00726732">
        <w:rPr>
          <w:rFonts w:cs="Times New Roman"/>
          <w:lang w:val="fr-CA"/>
        </w:rPr>
        <w:t>exercer sa fonction de filtrage : les juges de première instance ne devraient pas hésiter à rejeter sommairement des « demandes dès qu</w:t>
      </w:r>
      <w:r>
        <w:rPr>
          <w:rFonts w:cs="Times New Roman"/>
          <w:lang w:val="fr-CA"/>
        </w:rPr>
        <w:t>’</w:t>
      </w:r>
      <w:r w:rsidRPr="00726732">
        <w:rPr>
          <w:rFonts w:cs="Times New Roman"/>
          <w:lang w:val="fr-CA"/>
        </w:rPr>
        <w:t>il apparaît évident qu</w:t>
      </w:r>
      <w:r>
        <w:rPr>
          <w:rFonts w:cs="Times New Roman"/>
          <w:lang w:val="fr-CA"/>
        </w:rPr>
        <w:t>’</w:t>
      </w:r>
      <w:r w:rsidRPr="00726732">
        <w:rPr>
          <w:rFonts w:cs="Times New Roman"/>
          <w:lang w:val="fr-CA"/>
        </w:rPr>
        <w:t>elles sont frivoles » (</w:t>
      </w:r>
      <w:r w:rsidRPr="00726732">
        <w:rPr>
          <w:rFonts w:cs="Times New Roman"/>
          <w:i/>
          <w:lang w:val="fr-CA"/>
        </w:rPr>
        <w:t>Jordan</w:t>
      </w:r>
      <w:r w:rsidRPr="00726732">
        <w:rPr>
          <w:rFonts w:cs="Times New Roman"/>
          <w:lang w:val="fr-CA"/>
        </w:rPr>
        <w:t>, par. 63). Cette fonction de filtrage s</w:t>
      </w:r>
      <w:r>
        <w:rPr>
          <w:rFonts w:cs="Times New Roman"/>
          <w:lang w:val="fr-CA"/>
        </w:rPr>
        <w:t>’</w:t>
      </w:r>
      <w:r w:rsidRPr="00726732">
        <w:rPr>
          <w:rFonts w:cs="Times New Roman"/>
          <w:lang w:val="fr-CA"/>
        </w:rPr>
        <w:t>applique également aux demandes présentées par le ministère public. En guise de pratique exemplaire, tous les avocats — autant les avocats du ministère public que les avocats de la défense — devraient, dans les cas indiqués, demander aux juges de première instance d</w:t>
      </w:r>
      <w:r>
        <w:rPr>
          <w:rFonts w:cs="Times New Roman"/>
          <w:lang w:val="fr-CA"/>
        </w:rPr>
        <w:t>’</w:t>
      </w:r>
      <w:r w:rsidRPr="00726732">
        <w:rPr>
          <w:rFonts w:cs="Times New Roman"/>
          <w:lang w:val="fr-CA"/>
        </w:rPr>
        <w:t>exercer ce pouvoir discrétionnaire.</w:t>
      </w:r>
    </w:p>
    <w:p w:rsidR="001020F9" w:rsidRPr="00726732" w:rsidRDefault="001020F9" w:rsidP="00D42258">
      <w:pPr>
        <w:pStyle w:val="ParaNoNdepar-AltN"/>
        <w:widowControl w:val="0"/>
        <w:rPr>
          <w:rFonts w:cs="Times New Roman"/>
          <w:lang w:val="fr-CA"/>
        </w:rPr>
      </w:pPr>
      <w:r w:rsidRPr="00726732">
        <w:rPr>
          <w:rFonts w:cs="Times New Roman"/>
          <w:lang w:val="fr-CA"/>
        </w:rPr>
        <w:t>Les juges de première instance devraient eux aussi proposer activement des moyens d</w:t>
      </w:r>
      <w:r>
        <w:rPr>
          <w:rFonts w:cs="Times New Roman"/>
          <w:lang w:val="fr-CA"/>
        </w:rPr>
        <w:t>’</w:t>
      </w:r>
      <w:r w:rsidRPr="00726732">
        <w:rPr>
          <w:rFonts w:cs="Times New Roman"/>
          <w:lang w:val="fr-CA"/>
        </w:rPr>
        <w:t xml:space="preserve">instruire plus efficacement les demandes et requêtes légitimes, par exemple en procédant sur dossier seulement. Cette responsabilité incombe également aux avocats. </w:t>
      </w:r>
    </w:p>
    <w:p w:rsidR="001020F9" w:rsidRPr="00726732" w:rsidRDefault="001020F9" w:rsidP="00D42258">
      <w:pPr>
        <w:pStyle w:val="Title5LevelTitre5Niveau"/>
        <w:widowControl w:val="0"/>
        <w:numPr>
          <w:ilvl w:val="1"/>
          <w:numId w:val="17"/>
        </w:numPr>
        <w:rPr>
          <w:rFonts w:cs="Times New Roman"/>
          <w:i/>
          <w:u w:val="none"/>
          <w:lang w:val="fr-CA"/>
        </w:rPr>
      </w:pPr>
      <w:r w:rsidRPr="00726732">
        <w:rPr>
          <w:rFonts w:cs="Times New Roman"/>
          <w:i/>
          <w:u w:val="none"/>
          <w:lang w:val="fr-CA"/>
        </w:rPr>
        <w:t>Application</w:t>
      </w:r>
    </w:p>
    <w:p w:rsidR="001020F9" w:rsidRPr="00726732" w:rsidRDefault="001020F9" w:rsidP="00D42258">
      <w:pPr>
        <w:pStyle w:val="ParaNoNdepar-AltN"/>
        <w:widowControl w:val="0"/>
        <w:rPr>
          <w:rFonts w:cs="Times New Roman"/>
          <w:lang w:val="fr-CA"/>
        </w:rPr>
      </w:pPr>
      <w:r w:rsidRPr="00726732">
        <w:rPr>
          <w:rFonts w:cs="Times New Roman"/>
          <w:lang w:val="fr-CA"/>
        </w:rPr>
        <w:lastRenderedPageBreak/>
        <w:t>En l</w:t>
      </w:r>
      <w:r>
        <w:rPr>
          <w:rFonts w:cs="Times New Roman"/>
          <w:lang w:val="fr-CA"/>
        </w:rPr>
        <w:t>’</w:t>
      </w:r>
      <w:r w:rsidRPr="00726732">
        <w:rPr>
          <w:rFonts w:cs="Times New Roman"/>
          <w:lang w:val="fr-CA"/>
        </w:rPr>
        <w:t>espèce, nous sommes d</w:t>
      </w:r>
      <w:r>
        <w:rPr>
          <w:rFonts w:cs="Times New Roman"/>
          <w:lang w:val="fr-CA"/>
        </w:rPr>
        <w:t>’</w:t>
      </w:r>
      <w:r w:rsidRPr="00726732">
        <w:rPr>
          <w:rFonts w:cs="Times New Roman"/>
          <w:lang w:val="fr-CA"/>
        </w:rPr>
        <w:t>avis de déduire deux périodes au titre des délais imputables à la défense. Pour ce qui est de la première période, le fait que le délai résultant du premier changement d</w:t>
      </w:r>
      <w:r>
        <w:rPr>
          <w:rFonts w:cs="Times New Roman"/>
          <w:lang w:val="fr-CA"/>
        </w:rPr>
        <w:t>’</w:t>
      </w:r>
      <w:r w:rsidRPr="00726732">
        <w:rPr>
          <w:rFonts w:cs="Times New Roman"/>
          <w:lang w:val="fr-CA"/>
        </w:rPr>
        <w:t>avocat de M. Cody devait être soustrait comme délai imputable à la défense n</w:t>
      </w:r>
      <w:r>
        <w:rPr>
          <w:rFonts w:cs="Times New Roman"/>
          <w:lang w:val="fr-CA"/>
        </w:rPr>
        <w:t>’</w:t>
      </w:r>
      <w:r w:rsidRPr="00726732">
        <w:rPr>
          <w:rFonts w:cs="Times New Roman"/>
          <w:lang w:val="fr-CA"/>
        </w:rPr>
        <w:t xml:space="preserve">a à aucun moment été contesté au cours des procédures. </w:t>
      </w:r>
    </w:p>
    <w:p w:rsidR="001020F9" w:rsidRPr="00726732" w:rsidRDefault="001020F9" w:rsidP="00D42258">
      <w:pPr>
        <w:pStyle w:val="ParaNoNdepar-AltN"/>
        <w:widowControl w:val="0"/>
        <w:rPr>
          <w:rFonts w:cs="Times New Roman"/>
          <w:lang w:val="fr-CA"/>
        </w:rPr>
      </w:pPr>
      <w:r w:rsidRPr="00726732">
        <w:rPr>
          <w:rFonts w:cs="Times New Roman"/>
          <w:lang w:val="fr-CA"/>
        </w:rPr>
        <w:t>Pour ce qui est de la seconde période, celle</w:t>
      </w:r>
      <w:r w:rsidRPr="00726732">
        <w:rPr>
          <w:rFonts w:cs="Times New Roman"/>
          <w:lang w:val="fr-CA"/>
        </w:rPr>
        <w:noBreakHyphen/>
        <w:t>ci découle de la demande de récusation qu</w:t>
      </w:r>
      <w:r>
        <w:rPr>
          <w:rFonts w:cs="Times New Roman"/>
          <w:lang w:val="fr-CA"/>
        </w:rPr>
        <w:t>’</w:t>
      </w:r>
      <w:r w:rsidRPr="00726732">
        <w:rPr>
          <w:rFonts w:cs="Times New Roman"/>
          <w:lang w:val="fr-CA"/>
        </w:rPr>
        <w:t>a présentée M. Cody en invoquant une crainte raisonnable de partialité. Le juge de première instance a conclu que cette demande n</w:t>
      </w:r>
      <w:r>
        <w:rPr>
          <w:rFonts w:cs="Times New Roman"/>
          <w:lang w:val="fr-CA"/>
        </w:rPr>
        <w:t>’</w:t>
      </w:r>
      <w:r w:rsidRPr="00726732">
        <w:rPr>
          <w:rFonts w:cs="Times New Roman"/>
          <w:lang w:val="fr-CA"/>
        </w:rPr>
        <w:t>étayait d</w:t>
      </w:r>
      <w:r>
        <w:rPr>
          <w:rFonts w:cs="Times New Roman"/>
          <w:lang w:val="fr-CA"/>
        </w:rPr>
        <w:t>’</w:t>
      </w:r>
      <w:r w:rsidRPr="00726732">
        <w:rPr>
          <w:rFonts w:cs="Times New Roman"/>
          <w:lang w:val="fr-CA"/>
        </w:rPr>
        <w:t>aucune façon le droit de M. Cody à une défense pleine et entière, et il a réparti également entre le ministère public et la défense les 2,5 mois qui en ont résulté. En appel, la Cour d</w:t>
      </w:r>
      <w:r>
        <w:rPr>
          <w:rFonts w:cs="Times New Roman"/>
          <w:lang w:val="fr-CA"/>
        </w:rPr>
        <w:t>’</w:t>
      </w:r>
      <w:r w:rsidRPr="00726732">
        <w:rPr>
          <w:rFonts w:cs="Times New Roman"/>
          <w:lang w:val="fr-CA"/>
        </w:rPr>
        <w:t>appel a conclu à l</w:t>
      </w:r>
      <w:r>
        <w:rPr>
          <w:rFonts w:cs="Times New Roman"/>
          <w:lang w:val="fr-CA"/>
        </w:rPr>
        <w:t>’</w:t>
      </w:r>
      <w:r w:rsidRPr="00726732">
        <w:rPr>
          <w:rFonts w:cs="Times New Roman"/>
          <w:lang w:val="fr-CA"/>
        </w:rPr>
        <w:t xml:space="preserve">unanimité que la demande de récusation était dénuée de fondement, frivole ou illégitime. </w:t>
      </w:r>
    </w:p>
    <w:p w:rsidR="001020F9" w:rsidRPr="00726732" w:rsidRDefault="001020F9" w:rsidP="00D42258">
      <w:pPr>
        <w:pStyle w:val="ParaNoNdepar-AltN"/>
        <w:widowControl w:val="0"/>
        <w:rPr>
          <w:rFonts w:cs="Times New Roman"/>
          <w:lang w:val="fr-CA"/>
        </w:rPr>
      </w:pPr>
      <w:r w:rsidRPr="00726732">
        <w:rPr>
          <w:rFonts w:cs="Times New Roman"/>
          <w:lang w:val="fr-CA"/>
        </w:rPr>
        <w:t>Au vu du dossier, ces qualificatifs sont justifiés et nous y souscrivons. La demande de récusation constitue un exemple évident de conduite frivole et illégitime de la part de la défense qui entraîne directement un délai. En effet, il s</w:t>
      </w:r>
      <w:r>
        <w:rPr>
          <w:rFonts w:cs="Times New Roman"/>
          <w:lang w:val="fr-CA"/>
        </w:rPr>
        <w:t>’</w:t>
      </w:r>
      <w:r w:rsidRPr="00726732">
        <w:rPr>
          <w:rFonts w:cs="Times New Roman"/>
          <w:lang w:val="fr-CA"/>
        </w:rPr>
        <w:t xml:space="preserve">agit du genre de demandes qui, désormais, devraient être rejetées sommairement. </w:t>
      </w:r>
    </w:p>
    <w:p w:rsidR="001020F9" w:rsidRPr="00726732" w:rsidRDefault="001020F9" w:rsidP="00D42258">
      <w:pPr>
        <w:pStyle w:val="ParaNoNdepar-AltN"/>
        <w:widowControl w:val="0"/>
        <w:rPr>
          <w:rFonts w:cs="Times New Roman"/>
          <w:lang w:val="fr-CA"/>
        </w:rPr>
      </w:pPr>
      <w:r w:rsidRPr="00726732">
        <w:rPr>
          <w:rFonts w:cs="Times New Roman"/>
          <w:lang w:val="fr-CA"/>
        </w:rPr>
        <w:t>Une fois ces deux périodes déduites, le délai net s</w:t>
      </w:r>
      <w:r>
        <w:rPr>
          <w:rFonts w:cs="Times New Roman"/>
          <w:lang w:val="fr-CA"/>
        </w:rPr>
        <w:t>’</w:t>
      </w:r>
      <w:r w:rsidRPr="00726732">
        <w:rPr>
          <w:rFonts w:cs="Times New Roman"/>
          <w:lang w:val="fr-CA"/>
        </w:rPr>
        <w:t>établit à environ 44 mois. Mis à part ces deux périodes, le juge de première instance a conclu que [</w:t>
      </w:r>
      <w:r w:rsidRPr="00726732">
        <w:rPr>
          <w:rFonts w:cs="Times New Roman"/>
          <w:smallCaps/>
          <w:lang w:val="fr-CA"/>
        </w:rPr>
        <w:t>traduction</w:t>
      </w:r>
      <w:r w:rsidRPr="00726732">
        <w:rPr>
          <w:rFonts w:cs="Times New Roman"/>
          <w:lang w:val="fr-CA"/>
        </w:rPr>
        <w:t>] « rien dans la conduite de M. Cody ne tend à indiquer que ce dernier retard[ait] délibérément le déroulement des procédures afin d</w:t>
      </w:r>
      <w:r>
        <w:rPr>
          <w:rFonts w:cs="Times New Roman"/>
          <w:lang w:val="fr-CA"/>
        </w:rPr>
        <w:t>’</w:t>
      </w:r>
      <w:r w:rsidRPr="00726732">
        <w:rPr>
          <w:rFonts w:cs="Times New Roman"/>
          <w:lang w:val="fr-CA"/>
        </w:rPr>
        <w:t>éviter d</w:t>
      </w:r>
      <w:r>
        <w:rPr>
          <w:rFonts w:cs="Times New Roman"/>
          <w:lang w:val="fr-CA"/>
        </w:rPr>
        <w:t>’</w:t>
      </w:r>
      <w:r w:rsidRPr="00726732">
        <w:rPr>
          <w:rFonts w:cs="Times New Roman"/>
          <w:lang w:val="fr-CA"/>
        </w:rPr>
        <w:t>être jugé promptement » (par. 175). Cette conclusion commande la déférence et nous sommes d</w:t>
      </w:r>
      <w:r>
        <w:rPr>
          <w:rFonts w:cs="Times New Roman"/>
          <w:lang w:val="fr-CA"/>
        </w:rPr>
        <w:t>’</w:t>
      </w:r>
      <w:r w:rsidRPr="00726732">
        <w:rPr>
          <w:rFonts w:cs="Times New Roman"/>
          <w:lang w:val="fr-CA"/>
        </w:rPr>
        <w:t xml:space="preserve">avis de ne pas la modifier. </w:t>
      </w:r>
    </w:p>
    <w:p w:rsidR="001020F9" w:rsidRPr="00726732" w:rsidRDefault="001020F9" w:rsidP="00D42258">
      <w:pPr>
        <w:pStyle w:val="Title2LevelTitre2Niveau"/>
        <w:widowControl w:val="0"/>
        <w:tabs>
          <w:tab w:val="clear" w:pos="576"/>
          <w:tab w:val="num" w:pos="432"/>
        </w:tabs>
        <w:ind w:left="432" w:hanging="432"/>
        <w:jc w:val="left"/>
        <w:outlineLvl w:val="0"/>
        <w:rPr>
          <w:rFonts w:cs="Times New Roman"/>
          <w:lang w:val="fr-CA"/>
        </w:rPr>
      </w:pPr>
      <w:r w:rsidRPr="00726732">
        <w:rPr>
          <w:rFonts w:cs="Times New Roman"/>
          <w:lang w:val="fr-CA"/>
        </w:rPr>
        <w:lastRenderedPageBreak/>
        <w:t>Circonstances exceptionnelles</w:t>
      </w:r>
    </w:p>
    <w:p w:rsidR="001020F9" w:rsidRPr="00726732" w:rsidRDefault="001020F9" w:rsidP="00D42258">
      <w:pPr>
        <w:pStyle w:val="ParaNoNdepar-AltN"/>
        <w:widowControl w:val="0"/>
        <w:rPr>
          <w:rFonts w:cs="Times New Roman"/>
          <w:lang w:val="fr-CA"/>
        </w:rPr>
      </w:pPr>
      <w:r w:rsidRPr="00726732">
        <w:rPr>
          <w:rFonts w:cs="Times New Roman"/>
          <w:lang w:val="fr-CA"/>
        </w:rPr>
        <w:t>Comme le délai net d</w:t>
      </w:r>
      <w:r>
        <w:rPr>
          <w:rFonts w:cs="Times New Roman"/>
          <w:lang w:val="fr-CA"/>
        </w:rPr>
        <w:t>’</w:t>
      </w:r>
      <w:r w:rsidRPr="00726732">
        <w:rPr>
          <w:rFonts w:cs="Times New Roman"/>
          <w:lang w:val="fr-CA"/>
        </w:rPr>
        <w:t>environ 44 mois dépasse le plafond de 30 mois, le délai est présumé déraisonnable et il incombe au ministère public de démontrer l</w:t>
      </w:r>
      <w:r>
        <w:rPr>
          <w:rFonts w:cs="Times New Roman"/>
          <w:lang w:val="fr-CA"/>
        </w:rPr>
        <w:t>’</w:t>
      </w:r>
      <w:r w:rsidRPr="00726732">
        <w:rPr>
          <w:rFonts w:cs="Times New Roman"/>
          <w:lang w:val="fr-CA"/>
        </w:rPr>
        <w:t>existence de circonstances exceptionnelles (</w:t>
      </w:r>
      <w:r w:rsidRPr="00726732">
        <w:rPr>
          <w:rFonts w:cs="Times New Roman"/>
          <w:i/>
          <w:lang w:val="fr-CA"/>
        </w:rPr>
        <w:t>Jordan</w:t>
      </w:r>
      <w:r w:rsidRPr="00726732">
        <w:rPr>
          <w:rFonts w:cs="Times New Roman"/>
          <w:lang w:val="fr-CA"/>
        </w:rPr>
        <w:t xml:space="preserve">, par. 68). </w:t>
      </w:r>
    </w:p>
    <w:p w:rsidR="001020F9" w:rsidRPr="00726732" w:rsidRDefault="001020F9" w:rsidP="00D42258">
      <w:pPr>
        <w:pStyle w:val="ParaNoNdepar-AltN"/>
        <w:widowControl w:val="0"/>
        <w:rPr>
          <w:rStyle w:val="ParaNoNdepar-AltNChar"/>
          <w:rFonts w:cs="Times New Roman"/>
          <w:lang w:val="fr-CA"/>
        </w:rPr>
      </w:pPr>
      <w:r w:rsidRPr="00726732">
        <w:rPr>
          <w:rStyle w:val="ParaNoNdepar-AltNChar"/>
          <w:rFonts w:cs="Times New Roman"/>
          <w:lang w:val="fr-CA"/>
        </w:rPr>
        <w:t xml:space="preserve">Les circonstances exceptionnelles envisagées ont été définies ainsi dans </w:t>
      </w:r>
      <w:r w:rsidRPr="00726732">
        <w:rPr>
          <w:rStyle w:val="ParaNoNdepar-AltNChar"/>
          <w:rFonts w:cs="Times New Roman"/>
          <w:i/>
          <w:lang w:val="fr-CA"/>
        </w:rPr>
        <w:t>Jordan</w:t>
      </w:r>
      <w:r w:rsidRPr="00726732">
        <w:rPr>
          <w:rStyle w:val="ParaNoNdepar-AltNChar"/>
          <w:rFonts w:cs="Times New Roman"/>
          <w:lang w:val="fr-CA"/>
        </w:rPr>
        <w:t xml:space="preserve"> : </w:t>
      </w:r>
    </w:p>
    <w:p w:rsidR="001020F9" w:rsidRPr="00726732" w:rsidRDefault="001020F9" w:rsidP="00D42258">
      <w:pPr>
        <w:pStyle w:val="Citation-AltC"/>
        <w:widowControl w:val="0"/>
        <w:tabs>
          <w:tab w:val="left" w:pos="1440"/>
        </w:tabs>
        <w:ind w:hanging="1166"/>
        <w:contextualSpacing w:val="0"/>
        <w:rPr>
          <w:lang w:val="fr-CA"/>
        </w:rPr>
      </w:pPr>
      <w:r w:rsidRPr="00726732">
        <w:rPr>
          <w:lang w:val="fr-CA"/>
        </w:rPr>
        <w:tab/>
      </w:r>
      <w:r w:rsidRPr="00726732">
        <w:rPr>
          <w:lang w:val="fr-CA"/>
        </w:rPr>
        <w:tab/>
        <w:t>Des circonstances exceptionnelles sont des circonstances indépendantes de la volonté du ministère public, c</w:t>
      </w:r>
      <w:r>
        <w:rPr>
          <w:lang w:val="fr-CA"/>
        </w:rPr>
        <w:t>’</w:t>
      </w:r>
      <w:r w:rsidRPr="00726732">
        <w:rPr>
          <w:lang w:val="fr-CA"/>
        </w:rPr>
        <w:t>est</w:t>
      </w:r>
      <w:r w:rsidRPr="00726732">
        <w:rPr>
          <w:lang w:val="fr-CA"/>
        </w:rPr>
        <w:noBreakHyphen/>
        <w:t>à</w:t>
      </w:r>
      <w:r w:rsidRPr="00726732">
        <w:rPr>
          <w:lang w:val="fr-CA"/>
        </w:rPr>
        <w:noBreakHyphen/>
        <w:t>dire (1) qu</w:t>
      </w:r>
      <w:r>
        <w:rPr>
          <w:lang w:val="fr-CA"/>
        </w:rPr>
        <w:t>’</w:t>
      </w:r>
      <w:r w:rsidRPr="00726732">
        <w:rPr>
          <w:lang w:val="fr-CA"/>
        </w:rPr>
        <w:t>elles sont raisonnablement imprévues ou raisonnablement évitables, et (2) que l</w:t>
      </w:r>
      <w:r>
        <w:rPr>
          <w:lang w:val="fr-CA"/>
        </w:rPr>
        <w:t>’</w:t>
      </w:r>
      <w:r w:rsidRPr="00726732">
        <w:rPr>
          <w:lang w:val="fr-CA"/>
        </w:rPr>
        <w:t>avocat du ministère public ne peut raisonnablement remédier aux délais lorsqu</w:t>
      </w:r>
      <w:r>
        <w:rPr>
          <w:lang w:val="fr-CA"/>
        </w:rPr>
        <w:t>’</w:t>
      </w:r>
      <w:r w:rsidRPr="00726732">
        <w:rPr>
          <w:lang w:val="fr-CA"/>
        </w:rPr>
        <w:t>ils surviennent. [Italiques omis; par. 69.]</w:t>
      </w:r>
    </w:p>
    <w:p w:rsidR="001020F9" w:rsidRPr="00726732" w:rsidRDefault="001020F9" w:rsidP="00D42258">
      <w:pPr>
        <w:pStyle w:val="ParaNoNdepar-AltN"/>
        <w:widowControl w:val="0"/>
        <w:rPr>
          <w:rFonts w:cs="Times New Roman"/>
          <w:lang w:val="fr-CA"/>
        </w:rPr>
      </w:pPr>
      <w:r w:rsidRPr="00726732">
        <w:rPr>
          <w:rFonts w:cs="Times New Roman"/>
          <w:lang w:val="fr-CA"/>
        </w:rPr>
        <w:t>Les circonstances exceptionnelles se divisent généralement en deux catégories : les événements distincts et les affaires particulièrement complexes (</w:t>
      </w:r>
      <w:r w:rsidRPr="00726732">
        <w:rPr>
          <w:rFonts w:cs="Times New Roman"/>
          <w:i/>
          <w:lang w:val="fr-CA"/>
        </w:rPr>
        <w:t>Jordan</w:t>
      </w:r>
      <w:r w:rsidRPr="00726732">
        <w:rPr>
          <w:rFonts w:cs="Times New Roman"/>
          <w:lang w:val="fr-CA"/>
        </w:rPr>
        <w:t>, par. 71). En outre, il est possible de tenir compte de considérations d</w:t>
      </w:r>
      <w:r>
        <w:rPr>
          <w:rFonts w:cs="Times New Roman"/>
          <w:lang w:val="fr-CA"/>
        </w:rPr>
        <w:t>’</w:t>
      </w:r>
      <w:r w:rsidRPr="00726732">
        <w:rPr>
          <w:rFonts w:cs="Times New Roman"/>
          <w:lang w:val="fr-CA"/>
        </w:rPr>
        <w:t>ordre transitoire comme troisième forme de circonstances exceptionnelles dans les cas où, comme celui qui nous occupe, l</w:t>
      </w:r>
      <w:r>
        <w:rPr>
          <w:rFonts w:cs="Times New Roman"/>
          <w:lang w:val="fr-CA"/>
        </w:rPr>
        <w:t>’</w:t>
      </w:r>
      <w:r w:rsidRPr="00726732">
        <w:rPr>
          <w:rFonts w:cs="Times New Roman"/>
          <w:lang w:val="fr-CA"/>
        </w:rPr>
        <w:t>instance était déjà en cours lorsque l</w:t>
      </w:r>
      <w:r>
        <w:rPr>
          <w:rFonts w:cs="Times New Roman"/>
          <w:lang w:val="fr-CA"/>
        </w:rPr>
        <w:t>’</w:t>
      </w:r>
      <w:r w:rsidRPr="00726732">
        <w:rPr>
          <w:rFonts w:cs="Times New Roman"/>
          <w:lang w:val="fr-CA"/>
        </w:rPr>
        <w:t xml:space="preserve">affaire </w:t>
      </w:r>
      <w:r w:rsidRPr="00726732">
        <w:rPr>
          <w:rFonts w:cs="Times New Roman"/>
          <w:i/>
          <w:lang w:val="fr-CA"/>
        </w:rPr>
        <w:t xml:space="preserve">Jordan </w:t>
      </w:r>
      <w:r w:rsidRPr="00726732">
        <w:rPr>
          <w:rFonts w:cs="Times New Roman"/>
          <w:lang w:val="fr-CA"/>
        </w:rPr>
        <w:t>a été tranchée (</w:t>
      </w:r>
      <w:r w:rsidRPr="00726732">
        <w:rPr>
          <w:rFonts w:cs="Times New Roman"/>
          <w:i/>
          <w:lang w:val="fr-CA"/>
        </w:rPr>
        <w:t>Jordan</w:t>
      </w:r>
      <w:r w:rsidRPr="00726732">
        <w:rPr>
          <w:rFonts w:cs="Times New Roman"/>
          <w:lang w:val="fr-CA"/>
        </w:rPr>
        <w:t>, par. 94</w:t>
      </w:r>
      <w:r w:rsidRPr="00726732">
        <w:rPr>
          <w:rFonts w:cs="Times New Roman"/>
          <w:lang w:val="fr-CA"/>
        </w:rPr>
        <w:noBreakHyphen/>
        <w:t xml:space="preserve">98). </w:t>
      </w:r>
    </w:p>
    <w:p w:rsidR="001020F9" w:rsidRPr="00726732" w:rsidRDefault="001020F9" w:rsidP="00D42258">
      <w:pPr>
        <w:pStyle w:val="ParaNoNdepar-AltN"/>
        <w:widowControl w:val="0"/>
        <w:rPr>
          <w:rFonts w:cs="Times New Roman"/>
          <w:lang w:val="fr-CA"/>
        </w:rPr>
      </w:pPr>
      <w:r w:rsidRPr="00726732">
        <w:rPr>
          <w:rFonts w:cs="Times New Roman"/>
          <w:lang w:val="fr-CA"/>
        </w:rPr>
        <w:t>En l</w:t>
      </w:r>
      <w:r>
        <w:rPr>
          <w:rFonts w:cs="Times New Roman"/>
          <w:lang w:val="fr-CA"/>
        </w:rPr>
        <w:t>’</w:t>
      </w:r>
      <w:r w:rsidRPr="00726732">
        <w:rPr>
          <w:rFonts w:cs="Times New Roman"/>
          <w:lang w:val="fr-CA"/>
        </w:rPr>
        <w:t>espèce, le ministère public invoque chacune des formes de circonstances exceptionnelles au soutien de sa prétention que le délai est inférieur au plafond présumé. Subsidiairement, il plaide que si le délai excède ce plafond, il est néanmoins justifié au motif qu</w:t>
      </w:r>
      <w:r>
        <w:rPr>
          <w:rFonts w:cs="Times New Roman"/>
          <w:lang w:val="fr-CA"/>
        </w:rPr>
        <w:t>’</w:t>
      </w:r>
      <w:r w:rsidRPr="00726732">
        <w:rPr>
          <w:rFonts w:cs="Times New Roman"/>
          <w:lang w:val="fr-CA"/>
        </w:rPr>
        <w:t>il est raisonnable.</w:t>
      </w:r>
    </w:p>
    <w:p w:rsidR="001020F9" w:rsidRPr="00726732" w:rsidRDefault="001020F9" w:rsidP="00D42258">
      <w:pPr>
        <w:pStyle w:val="Title3LevelTitre3Niveau"/>
        <w:widowControl w:val="0"/>
        <w:tabs>
          <w:tab w:val="clear" w:pos="1152"/>
          <w:tab w:val="num" w:pos="864"/>
        </w:tabs>
        <w:ind w:left="864" w:hanging="432"/>
        <w:jc w:val="left"/>
        <w:outlineLvl w:val="0"/>
        <w:rPr>
          <w:rFonts w:cs="Times New Roman"/>
          <w:lang w:val="fr-CA"/>
        </w:rPr>
      </w:pPr>
      <w:r w:rsidRPr="00726732">
        <w:rPr>
          <w:rFonts w:cs="Times New Roman"/>
          <w:lang w:val="fr-CA"/>
        </w:rPr>
        <w:lastRenderedPageBreak/>
        <w:t>Événements distincts</w:t>
      </w:r>
    </w:p>
    <w:p w:rsidR="001020F9" w:rsidRPr="00726732" w:rsidRDefault="001020F9" w:rsidP="00D42258">
      <w:pPr>
        <w:pStyle w:val="ParaNoNdepar-AltN"/>
        <w:widowControl w:val="0"/>
        <w:rPr>
          <w:rStyle w:val="ParaNoNdepar-AltNChar"/>
          <w:rFonts w:cs="Times New Roman"/>
          <w:lang w:val="fr-CA"/>
        </w:rPr>
      </w:pPr>
      <w:r w:rsidRPr="00726732">
        <w:rPr>
          <w:rStyle w:val="ParaNoNdepar-AltNChar"/>
          <w:rFonts w:cs="Times New Roman"/>
          <w:lang w:val="fr-CA"/>
        </w:rPr>
        <w:t>L</w:t>
      </w:r>
      <w:r>
        <w:rPr>
          <w:rStyle w:val="ParaNoNdepar-AltNChar"/>
          <w:rFonts w:cs="Times New Roman"/>
          <w:lang w:val="fr-CA"/>
        </w:rPr>
        <w:t>’</w:t>
      </w:r>
      <w:r w:rsidRPr="00726732">
        <w:rPr>
          <w:rStyle w:val="ParaNoNdepar-AltNChar"/>
          <w:rFonts w:cs="Times New Roman"/>
          <w:lang w:val="fr-CA"/>
        </w:rPr>
        <w:t>analyse des circonstances exceptionnelles débute par l</w:t>
      </w:r>
      <w:r>
        <w:rPr>
          <w:rStyle w:val="ParaNoNdepar-AltNChar"/>
          <w:rFonts w:cs="Times New Roman"/>
          <w:lang w:val="fr-CA"/>
        </w:rPr>
        <w:t>’</w:t>
      </w:r>
      <w:r w:rsidRPr="00726732">
        <w:rPr>
          <w:rStyle w:val="ParaNoNdepar-AltNChar"/>
          <w:rFonts w:cs="Times New Roman"/>
          <w:lang w:val="fr-CA"/>
        </w:rPr>
        <w:t>examen des événements distincts. À l</w:t>
      </w:r>
      <w:r>
        <w:rPr>
          <w:rStyle w:val="ParaNoNdepar-AltNChar"/>
          <w:rFonts w:cs="Times New Roman"/>
          <w:lang w:val="fr-CA"/>
        </w:rPr>
        <w:t>’</w:t>
      </w:r>
      <w:r w:rsidRPr="00726732">
        <w:rPr>
          <w:rStyle w:val="ParaNoNdepar-AltNChar"/>
          <w:rFonts w:cs="Times New Roman"/>
          <w:lang w:val="fr-CA"/>
        </w:rPr>
        <w:t>instar du délai imputable à la défense, les événements distincts donnent lieu à la déduction quantitative de certaines périodes. Le délai causé par des circonstances ou événements exceptionnels distincts qui sont raisonnablement imprévisibles ou inévitables est déduit dans la mesure où il ne pouvait raisonnablement être réduit par le ministère public et le système judiciaire (</w:t>
      </w:r>
      <w:r w:rsidRPr="00726732">
        <w:rPr>
          <w:rStyle w:val="ParaNoNdepar-AltNChar"/>
          <w:rFonts w:cs="Times New Roman"/>
          <w:i/>
          <w:lang w:val="fr-CA"/>
        </w:rPr>
        <w:t>Jordan</w:t>
      </w:r>
      <w:r w:rsidRPr="00726732">
        <w:rPr>
          <w:rStyle w:val="ParaNoNdepar-AltNChar"/>
          <w:rFonts w:cs="Times New Roman"/>
          <w:lang w:val="fr-CA"/>
        </w:rPr>
        <w:t>, par. 73 et 75).</w:t>
      </w:r>
    </w:p>
    <w:p w:rsidR="001020F9" w:rsidRPr="00726732" w:rsidRDefault="001020F9" w:rsidP="00D42258">
      <w:pPr>
        <w:pStyle w:val="ParaNoNdepar-AltN"/>
        <w:widowControl w:val="0"/>
        <w:rPr>
          <w:rStyle w:val="ParaNoNdepar-AltNChar"/>
          <w:rFonts w:cs="Times New Roman"/>
          <w:lang w:val="fr-CA"/>
        </w:rPr>
      </w:pPr>
      <w:r w:rsidRPr="00726732">
        <w:rPr>
          <w:rStyle w:val="ParaNoNdepar-AltNChar"/>
          <w:rFonts w:cs="Times New Roman"/>
          <w:lang w:val="fr-CA"/>
        </w:rPr>
        <w:t>Monsieur Cody concède que la nomination de son ancien avocat à la magistrature constitue un événement distinct inévitable et que la période de 4,5 mois qui en a résulté devrait être déduite, ce qui laisse un délai net d</w:t>
      </w:r>
      <w:r>
        <w:rPr>
          <w:rStyle w:val="ParaNoNdepar-AltNChar"/>
          <w:rFonts w:cs="Times New Roman"/>
          <w:lang w:val="fr-CA"/>
        </w:rPr>
        <w:t>’</w:t>
      </w:r>
      <w:r w:rsidRPr="00726732">
        <w:rPr>
          <w:rStyle w:val="ParaNoNdepar-AltNChar"/>
          <w:rFonts w:cs="Times New Roman"/>
          <w:lang w:val="fr-CA"/>
        </w:rPr>
        <w:t xml:space="preserve">environ 39,5 mois. </w:t>
      </w:r>
    </w:p>
    <w:p w:rsidR="001020F9" w:rsidRPr="00726732" w:rsidRDefault="001020F9" w:rsidP="00D42258">
      <w:pPr>
        <w:pStyle w:val="ParaNoNdepar-AltN"/>
        <w:widowControl w:val="0"/>
        <w:rPr>
          <w:rFonts w:cs="Times New Roman"/>
          <w:lang w:val="fr-CA"/>
        </w:rPr>
      </w:pPr>
      <w:r w:rsidRPr="00726732">
        <w:rPr>
          <w:rStyle w:val="ParaNoNdepar-AltNChar"/>
          <w:rFonts w:cs="Times New Roman"/>
          <w:lang w:val="fr-CA"/>
        </w:rPr>
        <w:t>Outre ce qui précède, il y a en l</w:t>
      </w:r>
      <w:r>
        <w:rPr>
          <w:rStyle w:val="ParaNoNdepar-AltNChar"/>
          <w:rFonts w:cs="Times New Roman"/>
          <w:lang w:val="fr-CA"/>
        </w:rPr>
        <w:t>’</w:t>
      </w:r>
      <w:r w:rsidRPr="00726732">
        <w:rPr>
          <w:rStyle w:val="ParaNoNdepar-AltNChar"/>
          <w:rFonts w:cs="Times New Roman"/>
          <w:lang w:val="fr-CA"/>
        </w:rPr>
        <w:t>espèce trois périodes qui, de l</w:t>
      </w:r>
      <w:r>
        <w:rPr>
          <w:rStyle w:val="ParaNoNdepar-AltNChar"/>
          <w:rFonts w:cs="Times New Roman"/>
          <w:lang w:val="fr-CA"/>
        </w:rPr>
        <w:t>’</w:t>
      </w:r>
      <w:r w:rsidRPr="00726732">
        <w:rPr>
          <w:rStyle w:val="ParaNoNdepar-AltNChar"/>
          <w:rFonts w:cs="Times New Roman"/>
          <w:lang w:val="fr-CA"/>
        </w:rPr>
        <w:t xml:space="preserve">avis du ministère public, relèvent de la catégorie de circonstances exceptionnelles que constituent les événements distincts. </w:t>
      </w:r>
    </w:p>
    <w:p w:rsidR="001020F9" w:rsidRPr="00726732" w:rsidRDefault="001020F9" w:rsidP="00D42258">
      <w:pPr>
        <w:pStyle w:val="Title4LevelTitre4Niveau"/>
        <w:widowControl w:val="0"/>
        <w:numPr>
          <w:ilvl w:val="3"/>
          <w:numId w:val="8"/>
        </w:numPr>
        <w:rPr>
          <w:rFonts w:cs="Times New Roman"/>
          <w:lang w:val="fr-CA"/>
        </w:rPr>
      </w:pPr>
      <w:r w:rsidRPr="00726732">
        <w:rPr>
          <w:rFonts w:cs="Times New Roman"/>
          <w:lang w:val="fr-CA"/>
        </w:rPr>
        <w:t>Le différend concernant l</w:t>
      </w:r>
      <w:r>
        <w:rPr>
          <w:rFonts w:cs="Times New Roman"/>
          <w:lang w:val="fr-CA"/>
        </w:rPr>
        <w:t>’</w:t>
      </w:r>
      <w:r w:rsidRPr="00726732">
        <w:rPr>
          <w:rFonts w:cs="Times New Roman"/>
          <w:lang w:val="fr-CA"/>
        </w:rPr>
        <w:t>engagement (8 juillet au 18 octobre 2010)</w:t>
      </w:r>
    </w:p>
    <w:p w:rsidR="001020F9" w:rsidRPr="00726732" w:rsidRDefault="001020F9" w:rsidP="00D42258">
      <w:pPr>
        <w:pStyle w:val="ParaNoNdepar-AltN"/>
        <w:widowControl w:val="0"/>
        <w:rPr>
          <w:rFonts w:cs="Times New Roman"/>
          <w:lang w:val="fr-CA"/>
        </w:rPr>
      </w:pPr>
      <w:r w:rsidRPr="00726732">
        <w:rPr>
          <w:rFonts w:cs="Times New Roman"/>
          <w:lang w:val="fr-CA"/>
        </w:rPr>
        <w:t>Selon le ministère public, le différend concernant le refus de l</w:t>
      </w:r>
      <w:r>
        <w:rPr>
          <w:rFonts w:cs="Times New Roman"/>
          <w:lang w:val="fr-CA"/>
        </w:rPr>
        <w:t>’</w:t>
      </w:r>
      <w:r w:rsidRPr="00726732">
        <w:rPr>
          <w:rFonts w:cs="Times New Roman"/>
          <w:lang w:val="fr-CA"/>
        </w:rPr>
        <w:t>avocat de la défense de signer un engagement relatif à la communication de la preuve constituait un événement distinct. Le ministère public affirme que le fait d</w:t>
      </w:r>
      <w:r>
        <w:rPr>
          <w:rFonts w:cs="Times New Roman"/>
          <w:lang w:val="fr-CA"/>
        </w:rPr>
        <w:t>’</w:t>
      </w:r>
      <w:r w:rsidRPr="00726732">
        <w:rPr>
          <w:rFonts w:cs="Times New Roman"/>
          <w:lang w:val="fr-CA"/>
        </w:rPr>
        <w:t>exiger des engagements en la matière est une pratique courante depuis des décennies et que le refus de l</w:t>
      </w:r>
      <w:r>
        <w:rPr>
          <w:rFonts w:cs="Times New Roman"/>
          <w:lang w:val="fr-CA"/>
        </w:rPr>
        <w:t>’</w:t>
      </w:r>
      <w:r w:rsidRPr="00726732">
        <w:rPr>
          <w:rFonts w:cs="Times New Roman"/>
          <w:lang w:val="fr-CA"/>
        </w:rPr>
        <w:t>avocat de signer un tel engagement était imprévisible.</w:t>
      </w:r>
    </w:p>
    <w:p w:rsidR="001020F9" w:rsidRPr="00726732" w:rsidRDefault="001020F9" w:rsidP="00D42258">
      <w:pPr>
        <w:pStyle w:val="ParaNoNdepar-AltN"/>
        <w:widowControl w:val="0"/>
        <w:rPr>
          <w:rFonts w:cs="Times New Roman"/>
          <w:lang w:val="fr-FR"/>
        </w:rPr>
      </w:pPr>
      <w:r w:rsidRPr="00726732">
        <w:rPr>
          <w:rFonts w:cs="Times New Roman"/>
          <w:lang w:val="fr-CA"/>
        </w:rPr>
        <w:lastRenderedPageBreak/>
        <w:t>Même si cet événement avait été raisonnablement imprévisible, il incombait au ministère public d</w:t>
      </w:r>
      <w:r>
        <w:rPr>
          <w:rFonts w:cs="Times New Roman"/>
          <w:lang w:val="fr-CA"/>
        </w:rPr>
        <w:t>’</w:t>
      </w:r>
      <w:r w:rsidRPr="00726732">
        <w:rPr>
          <w:rFonts w:cs="Times New Roman"/>
          <w:lang w:val="fr-CA"/>
        </w:rPr>
        <w:t>agir sur</w:t>
      </w:r>
      <w:r w:rsidRPr="00726732">
        <w:rPr>
          <w:rFonts w:cs="Times New Roman"/>
          <w:lang w:val="fr-CA"/>
        </w:rPr>
        <w:noBreakHyphen/>
        <w:t>le</w:t>
      </w:r>
      <w:r w:rsidRPr="00726732">
        <w:rPr>
          <w:rFonts w:cs="Times New Roman"/>
          <w:lang w:val="fr-CA"/>
        </w:rPr>
        <w:noBreakHyphen/>
        <w:t>champ pour régler le différend concernant l</w:t>
      </w:r>
      <w:r>
        <w:rPr>
          <w:rFonts w:cs="Times New Roman"/>
          <w:lang w:val="fr-CA"/>
        </w:rPr>
        <w:t>’</w:t>
      </w:r>
      <w:r w:rsidRPr="00726732">
        <w:rPr>
          <w:rFonts w:cs="Times New Roman"/>
          <w:lang w:val="fr-CA"/>
        </w:rPr>
        <w:t>engagement. Toutefois, il aura plutôt fallu trois déplacements additionnels devant les tribunaux, le dépôt d</w:t>
      </w:r>
      <w:r>
        <w:rPr>
          <w:rFonts w:cs="Times New Roman"/>
          <w:lang w:val="fr-CA"/>
        </w:rPr>
        <w:t>’</w:t>
      </w:r>
      <w:r w:rsidRPr="00726732">
        <w:rPr>
          <w:rFonts w:cs="Times New Roman"/>
          <w:lang w:val="fr-CA"/>
        </w:rPr>
        <w:t>une série de demandes en cour supérieure et une période de 3,5 mois pour résoudre ce différend. Nous faisons nôtre la conclusion du juge de première instance selon laquelle [</w:t>
      </w:r>
      <w:r w:rsidRPr="00726732">
        <w:rPr>
          <w:rFonts w:cs="Times New Roman"/>
          <w:smallCaps/>
          <w:lang w:val="fr-CA"/>
        </w:rPr>
        <w:t>traduction</w:t>
      </w:r>
      <w:r w:rsidRPr="00726732">
        <w:rPr>
          <w:rFonts w:cs="Times New Roman"/>
          <w:lang w:val="fr-CA"/>
        </w:rPr>
        <w:t>] « c</w:t>
      </w:r>
      <w:r>
        <w:rPr>
          <w:rFonts w:cs="Times New Roman"/>
          <w:lang w:val="fr-CA"/>
        </w:rPr>
        <w:t>’</w:t>
      </w:r>
      <w:r w:rsidRPr="00726732">
        <w:rPr>
          <w:rFonts w:cs="Times New Roman"/>
          <w:lang w:val="fr-CA"/>
        </w:rPr>
        <w:t>est le refus du ministère public de communiquer la preuve qui a prolongé le délai au</w:t>
      </w:r>
      <w:r w:rsidRPr="00726732">
        <w:rPr>
          <w:rFonts w:cs="Times New Roman"/>
          <w:lang w:val="fr-CA"/>
        </w:rPr>
        <w:noBreakHyphen/>
        <w:t>delà de ce qui pourrait autrement être considéré comme raisonnable » (par. 187). Comme le ministère public n</w:t>
      </w:r>
      <w:r>
        <w:rPr>
          <w:rFonts w:cs="Times New Roman"/>
          <w:lang w:val="fr-CA"/>
        </w:rPr>
        <w:t>’</w:t>
      </w:r>
      <w:r w:rsidRPr="00726732">
        <w:rPr>
          <w:rFonts w:cs="Times New Roman"/>
          <w:lang w:val="fr-CA"/>
        </w:rPr>
        <w:t>est pas en mesure de satisfaire au deuxième volet de la définition des circonstances exceptionnelles, c</w:t>
      </w:r>
      <w:r w:rsidRPr="00726732">
        <w:rPr>
          <w:rFonts w:cs="Times New Roman"/>
          <w:lang w:val="fr-FR"/>
        </w:rPr>
        <w:t xml:space="preserve">ette période ne peut en conséquence être déduite. </w:t>
      </w:r>
    </w:p>
    <w:p w:rsidR="001020F9" w:rsidRPr="00726732" w:rsidRDefault="001020F9" w:rsidP="00D42258">
      <w:pPr>
        <w:pStyle w:val="Title4LevelTitre4Niveau"/>
        <w:widowControl w:val="0"/>
        <w:numPr>
          <w:ilvl w:val="3"/>
          <w:numId w:val="8"/>
        </w:numPr>
        <w:rPr>
          <w:rFonts w:cs="Times New Roman"/>
          <w:lang w:val="fr-CA"/>
        </w:rPr>
      </w:pPr>
      <w:r w:rsidRPr="00726732">
        <w:rPr>
          <w:rFonts w:cs="Times New Roman"/>
          <w:lang w:val="fr-CA"/>
        </w:rPr>
        <w:t>Communication de la preuve suivant l</w:t>
      </w:r>
      <w:r>
        <w:rPr>
          <w:rFonts w:cs="Times New Roman"/>
          <w:lang w:val="fr-CA"/>
        </w:rPr>
        <w:t>’</w:t>
      </w:r>
      <w:r w:rsidRPr="00726732">
        <w:rPr>
          <w:rFonts w:cs="Times New Roman"/>
          <w:lang w:val="fr-CA"/>
        </w:rPr>
        <w:t>arrêt McNeil (6 mai au 8 octobre 2013)</w:t>
      </w:r>
    </w:p>
    <w:p w:rsidR="001020F9" w:rsidRPr="004465C1" w:rsidRDefault="001020F9" w:rsidP="00D42258">
      <w:pPr>
        <w:pStyle w:val="ParaNoNdepar-AltN"/>
        <w:widowControl w:val="0"/>
        <w:rPr>
          <w:rStyle w:val="Italic"/>
          <w:rFonts w:cs="Times New Roman"/>
          <w:i w:val="0"/>
          <w:lang w:val="fr-CA"/>
        </w:rPr>
      </w:pPr>
      <w:r w:rsidRPr="004465C1">
        <w:rPr>
          <w:rStyle w:val="Italic"/>
          <w:rFonts w:cs="Times New Roman"/>
          <w:i w:val="0"/>
          <w:lang w:val="fr-CA"/>
        </w:rPr>
        <w:t xml:space="preserve">La période litigieuse suivante est le délai de cinq mois découlant de la situation liée à la communication de la preuve suivant l’arrêt </w:t>
      </w:r>
      <w:r w:rsidRPr="007C1004">
        <w:rPr>
          <w:rStyle w:val="Italic"/>
          <w:rFonts w:cs="Times New Roman"/>
          <w:lang w:val="fr-CA"/>
        </w:rPr>
        <w:t>McNeil</w:t>
      </w:r>
      <w:r w:rsidRPr="004465C1">
        <w:rPr>
          <w:rStyle w:val="Italic"/>
          <w:rFonts w:cs="Times New Roman"/>
          <w:i w:val="0"/>
          <w:lang w:val="fr-CA"/>
        </w:rPr>
        <w:t xml:space="preserve"> qui a surgi le 3 mai 2013, la veille de la date prévue pour l’audition de la demande présentée par la défense en vertu de la </w:t>
      </w:r>
      <w:r w:rsidRPr="007C1004">
        <w:rPr>
          <w:rStyle w:val="Italic"/>
          <w:rFonts w:cs="Times New Roman"/>
          <w:lang w:val="fr-CA"/>
        </w:rPr>
        <w:t>Charte</w:t>
      </w:r>
      <w:r w:rsidRPr="004465C1">
        <w:rPr>
          <w:rStyle w:val="Italic"/>
          <w:rFonts w:cs="Times New Roman"/>
          <w:i w:val="0"/>
          <w:lang w:val="fr-CA"/>
        </w:rPr>
        <w:t xml:space="preserve"> en vue d’obtenir l’exclusion de la preuve. </w:t>
      </w:r>
    </w:p>
    <w:p w:rsidR="001020F9" w:rsidRPr="004465C1" w:rsidRDefault="001020F9" w:rsidP="00D42258">
      <w:pPr>
        <w:pStyle w:val="ParaNoNdepar-AltN"/>
        <w:widowControl w:val="0"/>
        <w:rPr>
          <w:rStyle w:val="Italic"/>
          <w:rFonts w:cs="Times New Roman"/>
          <w:i w:val="0"/>
          <w:lang w:val="fr-CA"/>
        </w:rPr>
      </w:pPr>
      <w:r w:rsidRPr="004465C1">
        <w:rPr>
          <w:rStyle w:val="Italic"/>
          <w:rFonts w:cs="Times New Roman"/>
          <w:i w:val="0"/>
          <w:lang w:val="fr-CA"/>
        </w:rPr>
        <w:t xml:space="preserve">Nous convenons avec le ministère public que cette soudaine obligation liée à la communication de la preuve a constitué un événement distinct et nous déduirions une partie du délai qui en a découlé. Cet événement était raisonnablement inévitable et imprévisible, et le ministère public a agi de manière responsable en communiquant promptement la preuve, en assurant le suivi alors que l’affaire suivait son cours et en </w:t>
      </w:r>
      <w:r w:rsidRPr="004465C1">
        <w:rPr>
          <w:rStyle w:val="Italic"/>
          <w:rFonts w:cs="Times New Roman"/>
          <w:i w:val="0"/>
          <w:lang w:val="fr-CA"/>
        </w:rPr>
        <w:lastRenderedPageBreak/>
        <w:t>demandant les prochaines dates disponibles les plus rapprochées possible. Le ministère public aurait peut</w:t>
      </w:r>
      <w:r w:rsidRPr="004465C1">
        <w:rPr>
          <w:rStyle w:val="Italic"/>
          <w:rFonts w:cs="Times New Roman"/>
          <w:i w:val="0"/>
          <w:lang w:val="fr-CA"/>
        </w:rPr>
        <w:noBreakHyphen/>
        <w:t xml:space="preserve">être pu prendre des mesures additionnelles, par exemple renoncer entièrement à utiliser la preuve émanant de l’agent ou soumettre cette preuve au moyen d’un énoncé conjoint des faits. Toutefois, le critère applicable est la raisonnabilité : pour satisfaire à l’obligation de diligence raisonnable, le ministère public n’a pas à épuiser toutes les solutions imaginables en vue de remédier à l’événement en question. </w:t>
      </w:r>
    </w:p>
    <w:p w:rsidR="001020F9" w:rsidRPr="004465C1" w:rsidRDefault="001020F9" w:rsidP="00D42258">
      <w:pPr>
        <w:pStyle w:val="ParaNoNdepar-AltN"/>
        <w:widowControl w:val="0"/>
        <w:rPr>
          <w:rStyle w:val="Italic"/>
          <w:rFonts w:cs="Times New Roman"/>
          <w:i w:val="0"/>
          <w:lang w:val="fr-CA"/>
        </w:rPr>
      </w:pPr>
      <w:r w:rsidRPr="004465C1">
        <w:rPr>
          <w:rStyle w:val="Italic"/>
          <w:rFonts w:cs="Times New Roman"/>
          <w:i w:val="0"/>
          <w:lang w:val="fr-CA"/>
        </w:rPr>
        <w:t>Cela dit, nous ne déduirions pas toute la période de cinq mois à l’égard de cet événement. Une période de deux mois, c’est-à-dire précisément le temps qu’il a fallu au ministère public et à la défense pour être prêts à procéder (vers la fin de juin 2013)</w:t>
      </w:r>
      <w:r w:rsidR="007C1004">
        <w:rPr>
          <w:rStyle w:val="Italic"/>
          <w:rFonts w:cs="Times New Roman"/>
          <w:i w:val="0"/>
          <w:lang w:val="fr-CA"/>
        </w:rPr>
        <w:t>,</w:t>
      </w:r>
      <w:r w:rsidRPr="004465C1">
        <w:rPr>
          <w:rStyle w:val="Italic"/>
          <w:rFonts w:cs="Times New Roman"/>
          <w:i w:val="0"/>
          <w:lang w:val="fr-CA"/>
        </w:rPr>
        <w:t xml:space="preserve"> devrait être déduite. Toutefois, le tribunal n’étant pas en mesure de les entendre avant septembre, un délai additionnel de deux mois a donc résulté de limites systémiques de l’appareil judiciaire, et non de l’événement distinct en question</w:t>
      </w:r>
      <w:r w:rsidR="007C1004">
        <w:rPr>
          <w:rStyle w:val="Italic"/>
          <w:rFonts w:cs="Times New Roman"/>
          <w:i w:val="0"/>
          <w:lang w:val="fr-CA"/>
        </w:rPr>
        <w:t xml:space="preserve"> </w:t>
      </w:r>
      <w:r w:rsidR="007C1004" w:rsidRPr="004465C1">
        <w:rPr>
          <w:rStyle w:val="Italic"/>
          <w:rFonts w:cs="Times New Roman"/>
          <w:i w:val="0"/>
          <w:lang w:val="fr-CA"/>
        </w:rPr>
        <w:t>(</w:t>
      </w:r>
      <w:r w:rsidR="007C1004" w:rsidRPr="007C1004">
        <w:rPr>
          <w:rStyle w:val="Italic"/>
          <w:rFonts w:cs="Times New Roman"/>
          <w:lang w:val="fr-CA"/>
        </w:rPr>
        <w:t>Jordan</w:t>
      </w:r>
      <w:r w:rsidR="007C1004" w:rsidRPr="004465C1">
        <w:rPr>
          <w:rStyle w:val="Italic"/>
          <w:rFonts w:cs="Times New Roman"/>
          <w:i w:val="0"/>
          <w:lang w:val="fr-CA"/>
        </w:rPr>
        <w:t>, par. 81)</w:t>
      </w:r>
      <w:r w:rsidRPr="004465C1">
        <w:rPr>
          <w:rStyle w:val="Italic"/>
          <w:rFonts w:cs="Times New Roman"/>
          <w:i w:val="0"/>
          <w:lang w:val="fr-CA"/>
        </w:rPr>
        <w:t xml:space="preserve">, et ces deux autres mois ne devraient en conséquence pas être déduits. Ensuite, étant donné que l’avocate de la défense n’était pas disponible en septembre, l’affaire a été repoussée en octobre 2013. Comme ce délai d’un mois a été causé par l’indisponibilité de l’avocate de la défense (Jordan, par. 64), et non par le temps de préparation nécessaire pour répondre aux accusations (Jordan, par. 65), il doit être déduit. </w:t>
      </w:r>
    </w:p>
    <w:p w:rsidR="001020F9" w:rsidRPr="004465C1" w:rsidRDefault="001020F9" w:rsidP="00D42258">
      <w:pPr>
        <w:pStyle w:val="ParaNoNdepar-AltN"/>
        <w:widowControl w:val="0"/>
        <w:rPr>
          <w:rStyle w:val="Italic"/>
          <w:rFonts w:cs="Times New Roman"/>
          <w:i w:val="0"/>
          <w:lang w:val="fr-CA"/>
        </w:rPr>
      </w:pPr>
      <w:r w:rsidRPr="004465C1">
        <w:rPr>
          <w:rStyle w:val="Italic"/>
          <w:rFonts w:cs="Times New Roman"/>
          <w:i w:val="0"/>
          <w:lang w:val="fr-CA"/>
        </w:rPr>
        <w:t xml:space="preserve">Après avoir considéré chacune de ces périodes, nous sommes d’avis de déduire trois mois pour l’événement distinct lié à l’arrêt </w:t>
      </w:r>
      <w:r w:rsidRPr="00640247">
        <w:rPr>
          <w:rStyle w:val="Italic"/>
          <w:rFonts w:cs="Times New Roman"/>
          <w:lang w:val="fr-CA"/>
        </w:rPr>
        <w:t>McNeil</w:t>
      </w:r>
      <w:r w:rsidRPr="004465C1">
        <w:rPr>
          <w:rStyle w:val="Italic"/>
          <w:rFonts w:cs="Times New Roman"/>
          <w:i w:val="0"/>
          <w:lang w:val="fr-CA"/>
        </w:rPr>
        <w:t>, ce qui a pour effet de réduire le délai net à environ 36,5 mois.</w:t>
      </w:r>
    </w:p>
    <w:p w:rsidR="001020F9" w:rsidRPr="00726732" w:rsidRDefault="001020F9" w:rsidP="00D42258">
      <w:pPr>
        <w:pStyle w:val="Title4LevelTitre4Niveau"/>
        <w:widowControl w:val="0"/>
        <w:numPr>
          <w:ilvl w:val="3"/>
          <w:numId w:val="8"/>
        </w:numPr>
        <w:rPr>
          <w:rFonts w:cs="Times New Roman"/>
          <w:lang w:val="fr-CA"/>
        </w:rPr>
      </w:pPr>
      <w:r w:rsidRPr="00726732">
        <w:rPr>
          <w:rFonts w:cs="Times New Roman"/>
          <w:lang w:val="fr-CA"/>
        </w:rPr>
        <w:lastRenderedPageBreak/>
        <w:t>L</w:t>
      </w:r>
      <w:r>
        <w:rPr>
          <w:rFonts w:cs="Times New Roman"/>
          <w:lang w:val="fr-CA"/>
        </w:rPr>
        <w:t>’</w:t>
      </w:r>
      <w:r w:rsidRPr="00726732">
        <w:rPr>
          <w:rFonts w:cs="Times New Roman"/>
          <w:lang w:val="fr-CA"/>
        </w:rPr>
        <w:t>erreur figurant dans l</w:t>
      </w:r>
      <w:r>
        <w:rPr>
          <w:rFonts w:cs="Times New Roman"/>
          <w:lang w:val="fr-CA"/>
        </w:rPr>
        <w:t>’</w:t>
      </w:r>
      <w:r w:rsidRPr="00726732">
        <w:rPr>
          <w:rFonts w:cs="Times New Roman"/>
          <w:lang w:val="fr-CA"/>
        </w:rPr>
        <w:t>énoncé conjoint des faits (30 janvier au 10 septembre 2014)</w:t>
      </w:r>
    </w:p>
    <w:p w:rsidR="001020F9" w:rsidRPr="00726732" w:rsidRDefault="001020F9" w:rsidP="00D42258">
      <w:pPr>
        <w:pStyle w:val="ParaNoNdepar-AltN"/>
        <w:widowControl w:val="0"/>
        <w:rPr>
          <w:rStyle w:val="ParaNoNdepar-AltNChar"/>
          <w:rFonts w:cs="Times New Roman"/>
          <w:lang w:val="fr-CA"/>
        </w:rPr>
      </w:pPr>
      <w:r w:rsidRPr="00726732">
        <w:rPr>
          <w:rStyle w:val="ParaNoNdepar-AltNChar"/>
          <w:rFonts w:cs="Times New Roman"/>
          <w:lang w:val="fr-CA"/>
        </w:rPr>
        <w:t>La dernière période que l</w:t>
      </w:r>
      <w:r>
        <w:rPr>
          <w:rStyle w:val="ParaNoNdepar-AltNChar"/>
          <w:rFonts w:cs="Times New Roman"/>
          <w:lang w:val="fr-CA"/>
        </w:rPr>
        <w:t>’</w:t>
      </w:r>
      <w:r w:rsidRPr="00726732">
        <w:rPr>
          <w:rStyle w:val="ParaNoNdepar-AltNChar"/>
          <w:rFonts w:cs="Times New Roman"/>
          <w:lang w:val="fr-CA"/>
        </w:rPr>
        <w:t>on nous demande de considérer comme un événement distinct est le délai découlant de l</w:t>
      </w:r>
      <w:r>
        <w:rPr>
          <w:rStyle w:val="ParaNoNdepar-AltNChar"/>
          <w:rFonts w:cs="Times New Roman"/>
          <w:lang w:val="fr-CA"/>
        </w:rPr>
        <w:t>’</w:t>
      </w:r>
      <w:r w:rsidRPr="00726732">
        <w:rPr>
          <w:rStyle w:val="ParaNoNdepar-AltNChar"/>
          <w:rFonts w:cs="Times New Roman"/>
          <w:lang w:val="fr-CA"/>
        </w:rPr>
        <w:t>erreur figurant dans l</w:t>
      </w:r>
      <w:r>
        <w:rPr>
          <w:rStyle w:val="ParaNoNdepar-AltNChar"/>
          <w:rFonts w:cs="Times New Roman"/>
          <w:lang w:val="fr-CA"/>
        </w:rPr>
        <w:t>’</w:t>
      </w:r>
      <w:r w:rsidRPr="00726732">
        <w:rPr>
          <w:rStyle w:val="ParaNoNdepar-AltNChar"/>
          <w:rFonts w:cs="Times New Roman"/>
          <w:lang w:val="fr-CA"/>
        </w:rPr>
        <w:t>énoncé conjoint des faits. Nous avons déjà déduit les 2,5 mois consacrés à la demande de récusation qui a découlé de cette erreur en tant que délai imputable à la défense. Le ministère public soutient que les cinq mois qui restent devraient être déduits en tant que circonstance ou événement exceptionnel distinct.</w:t>
      </w:r>
    </w:p>
    <w:p w:rsidR="001020F9" w:rsidRPr="00726732" w:rsidRDefault="001020F9" w:rsidP="00D42258">
      <w:pPr>
        <w:pStyle w:val="ParaNoNdepar-AltN"/>
        <w:widowControl w:val="0"/>
        <w:rPr>
          <w:rStyle w:val="ParaNoNdepar-AltNChar"/>
          <w:rFonts w:cs="Times New Roman"/>
          <w:lang w:val="fr-CA"/>
        </w:rPr>
      </w:pPr>
      <w:r w:rsidRPr="00726732">
        <w:rPr>
          <w:rStyle w:val="ParaNoNdepar-AltNChar"/>
          <w:rFonts w:cs="Times New Roman"/>
          <w:lang w:val="fr-CA"/>
        </w:rPr>
        <w:t>En principe, un oubli involontaire peut fort bien constituer un événement distinct. Le premier volet de la définition des circonstances exceptionnelles requiert uniquement que l</w:t>
      </w:r>
      <w:r>
        <w:rPr>
          <w:rStyle w:val="ParaNoNdepar-AltNChar"/>
          <w:rFonts w:cs="Times New Roman"/>
          <w:lang w:val="fr-CA"/>
        </w:rPr>
        <w:t>’</w:t>
      </w:r>
      <w:r w:rsidRPr="00726732">
        <w:rPr>
          <w:rStyle w:val="ParaNoNdepar-AltNChar"/>
          <w:rFonts w:cs="Times New Roman"/>
          <w:lang w:val="fr-CA"/>
        </w:rPr>
        <w:t xml:space="preserve">événement en cause ait été </w:t>
      </w:r>
      <w:r w:rsidRPr="00726732">
        <w:rPr>
          <w:rStyle w:val="ParaNoNdepar-AltNChar"/>
          <w:rFonts w:cs="Times New Roman"/>
          <w:i/>
          <w:lang w:val="fr-CA"/>
        </w:rPr>
        <w:t>raisonnablement</w:t>
      </w:r>
      <w:r w:rsidRPr="00726732">
        <w:rPr>
          <w:rStyle w:val="ParaNoNdepar-AltNChar"/>
          <w:rFonts w:cs="Times New Roman"/>
          <w:lang w:val="fr-CA"/>
        </w:rPr>
        <w:t xml:space="preserve"> imprévisible ou </w:t>
      </w:r>
      <w:r w:rsidRPr="00726732">
        <w:rPr>
          <w:rStyle w:val="ParaNoNdepar-AltNChar"/>
          <w:rFonts w:cs="Times New Roman"/>
          <w:i/>
          <w:lang w:val="fr-CA"/>
        </w:rPr>
        <w:t xml:space="preserve">raisonnablement </w:t>
      </w:r>
      <w:r w:rsidRPr="00726732">
        <w:rPr>
          <w:rStyle w:val="ParaNoNdepar-AltNChar"/>
          <w:rFonts w:cs="Times New Roman"/>
          <w:lang w:val="fr-CA"/>
        </w:rPr>
        <w:t>inévitable. Il n</w:t>
      </w:r>
      <w:r>
        <w:rPr>
          <w:rStyle w:val="ParaNoNdepar-AltNChar"/>
          <w:rFonts w:cs="Times New Roman"/>
          <w:lang w:val="fr-CA"/>
        </w:rPr>
        <w:t>’</w:t>
      </w:r>
      <w:r w:rsidRPr="00726732">
        <w:rPr>
          <w:rStyle w:val="ParaNoNdepar-AltNChar"/>
          <w:rFonts w:cs="Times New Roman"/>
          <w:lang w:val="fr-CA"/>
        </w:rPr>
        <w:t>impose pas au ministère public le respect d</w:t>
      </w:r>
      <w:r>
        <w:rPr>
          <w:rStyle w:val="ParaNoNdepar-AltNChar"/>
          <w:rFonts w:cs="Times New Roman"/>
          <w:lang w:val="fr-CA"/>
        </w:rPr>
        <w:t>’</w:t>
      </w:r>
      <w:r w:rsidRPr="00726732">
        <w:rPr>
          <w:rStyle w:val="ParaNoNdepar-AltNChar"/>
          <w:rFonts w:cs="Times New Roman"/>
          <w:lang w:val="fr-CA"/>
        </w:rPr>
        <w:t>une norme de perfection. Comme l</w:t>
      </w:r>
      <w:r>
        <w:rPr>
          <w:rStyle w:val="ParaNoNdepar-AltNChar"/>
          <w:rFonts w:cs="Times New Roman"/>
          <w:lang w:val="fr-CA"/>
        </w:rPr>
        <w:t>’</w:t>
      </w:r>
      <w:r w:rsidRPr="00726732">
        <w:rPr>
          <w:rStyle w:val="ParaNoNdepar-AltNChar"/>
          <w:rFonts w:cs="Times New Roman"/>
          <w:lang w:val="fr-CA"/>
        </w:rPr>
        <w:t xml:space="preserve">a fait remarquer notre Cour dans </w:t>
      </w:r>
      <w:r w:rsidRPr="00726732">
        <w:rPr>
          <w:rStyle w:val="ParaNoNdepar-AltNChar"/>
          <w:rFonts w:cs="Times New Roman"/>
          <w:i/>
          <w:lang w:val="fr-CA"/>
        </w:rPr>
        <w:t>Jordan</w:t>
      </w:r>
      <w:r w:rsidRPr="00726732">
        <w:rPr>
          <w:rStyle w:val="ParaNoNdepar-AltNChar"/>
          <w:rFonts w:cs="Times New Roman"/>
          <w:lang w:val="fr-CA"/>
        </w:rPr>
        <w:t>, « [l]es procès ne constituent pas des machines bien huilées » (par. 73). Des erreurs surviennent. D</w:t>
      </w:r>
      <w:r>
        <w:rPr>
          <w:rStyle w:val="ParaNoNdepar-AltNChar"/>
          <w:rFonts w:cs="Times New Roman"/>
          <w:lang w:val="fr-CA"/>
        </w:rPr>
        <w:t>’</w:t>
      </w:r>
      <w:r w:rsidRPr="00726732">
        <w:rPr>
          <w:rStyle w:val="ParaNoNdepar-AltNChar"/>
          <w:rFonts w:cs="Times New Roman"/>
          <w:lang w:val="fr-CA"/>
        </w:rPr>
        <w:t>ailleurs, les erreurs sont une réalité inévitable dans un système de justice criminelle dirigé par des êtres humains, et ces erreurs peuvent entraîner des délais exceptionnels et raisonnablement inévitables qui devraient être déduits dans l</w:t>
      </w:r>
      <w:r>
        <w:rPr>
          <w:rStyle w:val="ParaNoNdepar-AltNChar"/>
          <w:rFonts w:cs="Times New Roman"/>
          <w:lang w:val="fr-CA"/>
        </w:rPr>
        <w:t>’</w:t>
      </w:r>
      <w:r w:rsidRPr="00726732">
        <w:rPr>
          <w:rStyle w:val="ParaNoNdepar-AltNChar"/>
          <w:rFonts w:cs="Times New Roman"/>
          <w:lang w:val="fr-CA"/>
        </w:rPr>
        <w:t>analyse requise pour l</w:t>
      </w:r>
      <w:r>
        <w:rPr>
          <w:rStyle w:val="ParaNoNdepar-AltNChar"/>
          <w:rFonts w:cs="Times New Roman"/>
          <w:lang w:val="fr-CA"/>
        </w:rPr>
        <w:t>’</w:t>
      </w:r>
      <w:r w:rsidRPr="00726732">
        <w:rPr>
          <w:rStyle w:val="ParaNoNdepar-AltNChar"/>
          <w:rFonts w:cs="Times New Roman"/>
          <w:lang w:val="fr-CA"/>
        </w:rPr>
        <w:t>application de l</w:t>
      </w:r>
      <w:r>
        <w:rPr>
          <w:rStyle w:val="ParaNoNdepar-AltNChar"/>
          <w:rFonts w:cs="Times New Roman"/>
          <w:lang w:val="fr-CA"/>
        </w:rPr>
        <w:t>’</w:t>
      </w:r>
      <w:r w:rsidRPr="00726732">
        <w:rPr>
          <w:rStyle w:val="ParaNoNdepar-AltNChar"/>
          <w:rFonts w:cs="Times New Roman"/>
          <w:lang w:val="fr-CA"/>
        </w:rPr>
        <w:t>al. 11</w:t>
      </w:r>
      <w:r w:rsidRPr="00726732">
        <w:rPr>
          <w:rStyle w:val="ParaNoNdepar-AltNChar"/>
          <w:rFonts w:cs="Times New Roman"/>
          <w:i/>
          <w:lang w:val="fr-CA"/>
        </w:rPr>
        <w:t>b</w:t>
      </w:r>
      <w:r w:rsidRPr="00726732">
        <w:rPr>
          <w:rStyle w:val="ParaNoNdepar-AltNChar"/>
          <w:rFonts w:cs="Times New Roman"/>
          <w:lang w:val="fr-CA"/>
        </w:rPr>
        <w:t xml:space="preserve">). </w:t>
      </w:r>
    </w:p>
    <w:p w:rsidR="001020F9" w:rsidRPr="00726732" w:rsidRDefault="001020F9" w:rsidP="00D42258">
      <w:pPr>
        <w:pStyle w:val="ParaNoNdepar-AltN"/>
        <w:widowControl w:val="0"/>
        <w:rPr>
          <w:rStyle w:val="ParaNoNdepar-AltNChar"/>
          <w:rFonts w:cs="Times New Roman"/>
          <w:lang w:val="fr-FR"/>
        </w:rPr>
      </w:pPr>
      <w:r w:rsidRPr="00726732">
        <w:rPr>
          <w:rStyle w:val="ParaNoNdepar-AltNChar"/>
          <w:rFonts w:cs="Times New Roman"/>
          <w:lang w:val="fr-CA"/>
        </w:rPr>
        <w:t>La question à laquelle il faut répondre dans le cadre du deuxième volet de la définition des circonstances exceptionnelles consiste à se demander si le ministère public a pris des mesures raisonnables pour remédier à l</w:t>
      </w:r>
      <w:r>
        <w:rPr>
          <w:rStyle w:val="ParaNoNdepar-AltNChar"/>
          <w:rFonts w:cs="Times New Roman"/>
          <w:lang w:val="fr-CA"/>
        </w:rPr>
        <w:t>’</w:t>
      </w:r>
      <w:r w:rsidRPr="00726732">
        <w:rPr>
          <w:rStyle w:val="ParaNoNdepar-AltNChar"/>
          <w:rFonts w:cs="Times New Roman"/>
          <w:lang w:val="fr-CA"/>
        </w:rPr>
        <w:t xml:space="preserve">erreur et réduire les délais au </w:t>
      </w:r>
      <w:r w:rsidRPr="00726732">
        <w:rPr>
          <w:rStyle w:val="ParaNoNdepar-AltNChar"/>
          <w:rFonts w:cs="Times New Roman"/>
          <w:lang w:val="fr-CA"/>
        </w:rPr>
        <w:lastRenderedPageBreak/>
        <w:t>minimum. Le ministère public « n</w:t>
      </w:r>
      <w:r>
        <w:rPr>
          <w:rStyle w:val="ParaNoNdepar-AltNChar"/>
          <w:rFonts w:cs="Times New Roman"/>
          <w:lang w:val="fr-CA"/>
        </w:rPr>
        <w:t>’</w:t>
      </w:r>
      <w:r w:rsidRPr="00726732">
        <w:rPr>
          <w:rStyle w:val="ParaNoNdepar-AltNChar"/>
          <w:rFonts w:cs="Times New Roman"/>
          <w:lang w:val="fr-CA"/>
        </w:rPr>
        <w:t>est pas tenu de démontrer que les mesures qu</w:t>
      </w:r>
      <w:r>
        <w:rPr>
          <w:rStyle w:val="ParaNoNdepar-AltNChar"/>
          <w:rFonts w:cs="Times New Roman"/>
          <w:lang w:val="fr-CA"/>
        </w:rPr>
        <w:t>’</w:t>
      </w:r>
      <w:r w:rsidRPr="00726732">
        <w:rPr>
          <w:rStyle w:val="ParaNoNdepar-AltNChar"/>
          <w:rFonts w:cs="Times New Roman"/>
          <w:lang w:val="fr-CA"/>
        </w:rPr>
        <w:t>il a prises ont été couronnées de succès — il doit plutôt uniquement établir qu</w:t>
      </w:r>
      <w:r>
        <w:rPr>
          <w:rStyle w:val="ParaNoNdepar-AltNChar"/>
          <w:rFonts w:cs="Times New Roman"/>
          <w:lang w:val="fr-CA"/>
        </w:rPr>
        <w:t>’</w:t>
      </w:r>
      <w:r w:rsidRPr="00726732">
        <w:rPr>
          <w:rStyle w:val="ParaNoNdepar-AltNChar"/>
          <w:rFonts w:cs="Times New Roman"/>
          <w:lang w:val="fr-CA"/>
        </w:rPr>
        <w:t>il a pris des mesures raisonnables pour éviter le délai » (</w:t>
      </w:r>
      <w:r w:rsidRPr="00726732">
        <w:rPr>
          <w:rStyle w:val="ParaNoNdepar-AltNChar"/>
          <w:rFonts w:cs="Times New Roman"/>
          <w:i/>
          <w:lang w:val="fr-CA"/>
        </w:rPr>
        <w:t>Jordan</w:t>
      </w:r>
      <w:r w:rsidRPr="00726732">
        <w:rPr>
          <w:rStyle w:val="ParaNoNdepar-AltNChar"/>
          <w:rFonts w:cs="Times New Roman"/>
          <w:lang w:val="fr-CA"/>
        </w:rPr>
        <w:t>, par. 70). En l</w:t>
      </w:r>
      <w:r>
        <w:rPr>
          <w:rStyle w:val="ParaNoNdepar-AltNChar"/>
          <w:rFonts w:cs="Times New Roman"/>
          <w:lang w:val="fr-CA"/>
        </w:rPr>
        <w:t>’</w:t>
      </w:r>
      <w:r w:rsidRPr="00726732">
        <w:rPr>
          <w:rStyle w:val="ParaNoNdepar-AltNChar"/>
          <w:rFonts w:cs="Times New Roman"/>
          <w:lang w:val="fr-CA"/>
        </w:rPr>
        <w:t>espèce, après avoir découvert l</w:t>
      </w:r>
      <w:r>
        <w:rPr>
          <w:rStyle w:val="ParaNoNdepar-AltNChar"/>
          <w:rFonts w:cs="Times New Roman"/>
          <w:lang w:val="fr-CA"/>
        </w:rPr>
        <w:t>’</w:t>
      </w:r>
      <w:r w:rsidRPr="00726732">
        <w:rPr>
          <w:rStyle w:val="ParaNoNdepar-AltNChar"/>
          <w:rFonts w:cs="Times New Roman"/>
          <w:lang w:val="fr-CA"/>
        </w:rPr>
        <w:t>erreur, le ministère public en a avisé promptement l</w:t>
      </w:r>
      <w:r>
        <w:rPr>
          <w:rStyle w:val="ParaNoNdepar-AltNChar"/>
          <w:rFonts w:cs="Times New Roman"/>
          <w:lang w:val="fr-CA"/>
        </w:rPr>
        <w:t>’</w:t>
      </w:r>
      <w:r w:rsidRPr="00726732">
        <w:rPr>
          <w:rStyle w:val="ParaNoNdepar-AltNChar"/>
          <w:rFonts w:cs="Times New Roman"/>
          <w:lang w:val="fr-CA"/>
        </w:rPr>
        <w:t>avocate de la défense ainsi que le tribunal, et il a soutenu que l</w:t>
      </w:r>
      <w:r>
        <w:rPr>
          <w:rStyle w:val="ParaNoNdepar-AltNChar"/>
          <w:rFonts w:cs="Times New Roman"/>
          <w:lang w:val="fr-CA"/>
        </w:rPr>
        <w:t>’</w:t>
      </w:r>
      <w:r w:rsidRPr="00726732">
        <w:rPr>
          <w:rStyle w:val="ParaNoNdepar-AltNChar"/>
          <w:rFonts w:cs="Times New Roman"/>
          <w:lang w:val="fr-CA"/>
        </w:rPr>
        <w:t>erreur était sans importance. Le tout a néanmoins entraîné un délai de 7,5 mois</w:t>
      </w:r>
      <w:r w:rsidRPr="00726732">
        <w:rPr>
          <w:rStyle w:val="ParaNoNdepar-AltNChar"/>
          <w:rFonts w:cs="Times New Roman"/>
          <w:lang w:val="fr-FR"/>
        </w:rPr>
        <w:t xml:space="preserve">. </w:t>
      </w:r>
    </w:p>
    <w:p w:rsidR="001020F9" w:rsidRPr="00726732" w:rsidRDefault="001020F9" w:rsidP="00D42258">
      <w:pPr>
        <w:pStyle w:val="ParaNoNdepar-AltN"/>
        <w:widowControl w:val="0"/>
        <w:rPr>
          <w:rStyle w:val="ParaNoNdepar-AltNChar"/>
          <w:rFonts w:cs="Times New Roman"/>
          <w:lang w:val="fr-CA"/>
        </w:rPr>
      </w:pPr>
      <w:r w:rsidRPr="00726732">
        <w:rPr>
          <w:rFonts w:cs="Times New Roman"/>
          <w:lang w:val="fr-CA"/>
        </w:rPr>
        <w:t>Les événements susmentionnés illustrent les failles de la culture dans laquelle évoluaient les parties avant l</w:t>
      </w:r>
      <w:r>
        <w:rPr>
          <w:rFonts w:cs="Times New Roman"/>
          <w:lang w:val="fr-CA"/>
        </w:rPr>
        <w:t>’</w:t>
      </w:r>
      <w:r w:rsidRPr="00726732">
        <w:rPr>
          <w:rFonts w:cs="Times New Roman"/>
          <w:lang w:val="fr-CA"/>
        </w:rPr>
        <w:t xml:space="preserve">arrêt </w:t>
      </w:r>
      <w:r w:rsidRPr="00726732">
        <w:rPr>
          <w:rFonts w:cs="Times New Roman"/>
          <w:i/>
          <w:lang w:val="fr-CA"/>
        </w:rPr>
        <w:t>Jordan</w:t>
      </w:r>
      <w:r w:rsidRPr="00726732">
        <w:rPr>
          <w:rFonts w:cs="Times New Roman"/>
          <w:lang w:val="fr-CA"/>
        </w:rPr>
        <w:t>. Nous croyons qu</w:t>
      </w:r>
      <w:r>
        <w:rPr>
          <w:rFonts w:cs="Times New Roman"/>
          <w:lang w:val="fr-CA"/>
        </w:rPr>
        <w:t>’</w:t>
      </w:r>
      <w:r w:rsidRPr="00726732">
        <w:rPr>
          <w:rFonts w:cs="Times New Roman"/>
          <w:lang w:val="fr-CA"/>
        </w:rPr>
        <w:t>une question de cette nature peut, et doit, être résolue dans les meilleurs délais, peut</w:t>
      </w:r>
      <w:r w:rsidRPr="00726732">
        <w:rPr>
          <w:rFonts w:cs="Times New Roman"/>
          <w:lang w:val="fr-CA"/>
        </w:rPr>
        <w:noBreakHyphen/>
        <w:t>être même en une seule journée. Par exemple, la source de l</w:t>
      </w:r>
      <w:r>
        <w:rPr>
          <w:rFonts w:cs="Times New Roman"/>
          <w:lang w:val="fr-CA"/>
        </w:rPr>
        <w:t>’</w:t>
      </w:r>
      <w:r w:rsidRPr="00726732">
        <w:rPr>
          <w:rFonts w:cs="Times New Roman"/>
          <w:lang w:val="fr-CA"/>
        </w:rPr>
        <w:t>erreur pourrait être déterminée et examinée afin de confirmer qu</w:t>
      </w:r>
      <w:r>
        <w:rPr>
          <w:rFonts w:cs="Times New Roman"/>
          <w:lang w:val="fr-CA"/>
        </w:rPr>
        <w:t>’</w:t>
      </w:r>
      <w:r w:rsidRPr="00726732">
        <w:rPr>
          <w:rFonts w:cs="Times New Roman"/>
          <w:lang w:val="fr-CA"/>
        </w:rPr>
        <w:t>il s</w:t>
      </w:r>
      <w:r>
        <w:rPr>
          <w:rFonts w:cs="Times New Roman"/>
          <w:lang w:val="fr-CA"/>
        </w:rPr>
        <w:t>’</w:t>
      </w:r>
      <w:r w:rsidRPr="00726732">
        <w:rPr>
          <w:rFonts w:cs="Times New Roman"/>
          <w:lang w:val="fr-CA"/>
        </w:rPr>
        <w:t>agit d</w:t>
      </w:r>
      <w:r>
        <w:rPr>
          <w:rFonts w:cs="Times New Roman"/>
          <w:lang w:val="fr-CA"/>
        </w:rPr>
        <w:t>’</w:t>
      </w:r>
      <w:r w:rsidRPr="00726732">
        <w:rPr>
          <w:rFonts w:cs="Times New Roman"/>
          <w:lang w:val="fr-CA"/>
        </w:rPr>
        <w:t>une erreur anodine, commise par inadvertance. La procédure de rejet sommaire pourrait ensuite être appliquée pour écarter toute demande ultérieure dénuée de fondement. Pour que les choses s</w:t>
      </w:r>
      <w:r>
        <w:rPr>
          <w:rFonts w:cs="Times New Roman"/>
          <w:lang w:val="fr-CA"/>
        </w:rPr>
        <w:t>’</w:t>
      </w:r>
      <w:r w:rsidRPr="00726732">
        <w:rPr>
          <w:rFonts w:cs="Times New Roman"/>
          <w:lang w:val="fr-CA"/>
        </w:rPr>
        <w:t>améliorent, les parties et les tribunaux doivent faire montre de vigilance afin d</w:t>
      </w:r>
      <w:r>
        <w:rPr>
          <w:rFonts w:cs="Times New Roman"/>
          <w:lang w:val="fr-CA"/>
        </w:rPr>
        <w:t>’</w:t>
      </w:r>
      <w:r w:rsidRPr="00726732">
        <w:rPr>
          <w:rFonts w:cs="Times New Roman"/>
          <w:lang w:val="fr-CA"/>
        </w:rPr>
        <w:t>éviter que le procès ne déraille en raison de distractions distinctes et relativement mineures de cette nature, distractions qui continueront inévitablement de se produire.</w:t>
      </w:r>
    </w:p>
    <w:p w:rsidR="001020F9" w:rsidRPr="00726732" w:rsidRDefault="001020F9" w:rsidP="00D42258">
      <w:pPr>
        <w:pStyle w:val="ParaNoNdepar-AltN"/>
        <w:widowControl w:val="0"/>
        <w:rPr>
          <w:rStyle w:val="ParaNoNdepar-AltNChar"/>
          <w:rFonts w:cs="Times New Roman"/>
          <w:lang w:val="fr-CA"/>
        </w:rPr>
      </w:pPr>
      <w:r w:rsidRPr="00726732">
        <w:rPr>
          <w:rStyle w:val="ParaNoNdepar-AltNChar"/>
          <w:rFonts w:cs="Times New Roman"/>
          <w:lang w:val="fr-CA"/>
        </w:rPr>
        <w:t>À la lumière du dossier qui nous a été soumis, il nous est impossible de conclure que les critères définissant les circonstances exceptionnelles sont réunis en l</w:t>
      </w:r>
      <w:r>
        <w:rPr>
          <w:rStyle w:val="ParaNoNdepar-AltNChar"/>
          <w:rFonts w:cs="Times New Roman"/>
          <w:lang w:val="fr-CA"/>
        </w:rPr>
        <w:t>’</w:t>
      </w:r>
      <w:r w:rsidRPr="00726732">
        <w:rPr>
          <w:rStyle w:val="ParaNoNdepar-AltNChar"/>
          <w:rFonts w:cs="Times New Roman"/>
          <w:lang w:val="fr-CA"/>
        </w:rPr>
        <w:t>espèce. Comme le juge de première instance ne s</w:t>
      </w:r>
      <w:r>
        <w:rPr>
          <w:rStyle w:val="ParaNoNdepar-AltNChar"/>
          <w:rFonts w:cs="Times New Roman"/>
          <w:lang w:val="fr-CA"/>
        </w:rPr>
        <w:t>’</w:t>
      </w:r>
      <w:r w:rsidRPr="00726732">
        <w:rPr>
          <w:rStyle w:val="ParaNoNdepar-AltNChar"/>
          <w:rFonts w:cs="Times New Roman"/>
          <w:lang w:val="fr-CA"/>
        </w:rPr>
        <w:t>est pas penché sur la question de savoir si l</w:t>
      </w:r>
      <w:r>
        <w:rPr>
          <w:rStyle w:val="ParaNoNdepar-AltNChar"/>
          <w:rFonts w:cs="Times New Roman"/>
          <w:lang w:val="fr-CA"/>
        </w:rPr>
        <w:t>’</w:t>
      </w:r>
      <w:r w:rsidRPr="00726732">
        <w:rPr>
          <w:rStyle w:val="ParaNoNdepar-AltNChar"/>
          <w:rFonts w:cs="Times New Roman"/>
          <w:lang w:val="fr-CA"/>
        </w:rPr>
        <w:t>erreur était raisonnablement inévitable, ses conclusions ne sont pas utiles relativement à cette question. De toute façon, le fait de déduire l</w:t>
      </w:r>
      <w:r>
        <w:rPr>
          <w:rStyle w:val="ParaNoNdepar-AltNChar"/>
          <w:rFonts w:cs="Times New Roman"/>
          <w:lang w:val="fr-CA"/>
        </w:rPr>
        <w:t>’</w:t>
      </w:r>
      <w:r w:rsidRPr="00726732">
        <w:rPr>
          <w:rStyle w:val="ParaNoNdepar-AltNChar"/>
          <w:rFonts w:cs="Times New Roman"/>
          <w:lang w:val="fr-CA"/>
        </w:rPr>
        <w:t xml:space="preserve">ensemble de cette </w:t>
      </w:r>
      <w:r w:rsidRPr="00726732">
        <w:rPr>
          <w:rStyle w:val="ParaNoNdepar-AltNChar"/>
          <w:rFonts w:cs="Times New Roman"/>
          <w:lang w:val="fr-CA"/>
        </w:rPr>
        <w:lastRenderedPageBreak/>
        <w:t xml:space="preserve">période ne réduirait pas le délai sous le plafond applicable. </w:t>
      </w:r>
    </w:p>
    <w:p w:rsidR="001020F9" w:rsidRPr="00726732" w:rsidRDefault="001020F9" w:rsidP="00D42258">
      <w:pPr>
        <w:pStyle w:val="Title4LevelTitre4Niveau"/>
        <w:widowControl w:val="0"/>
        <w:numPr>
          <w:ilvl w:val="3"/>
          <w:numId w:val="8"/>
        </w:numPr>
        <w:rPr>
          <w:rFonts w:cs="Times New Roman"/>
          <w:lang w:val="fr-CA"/>
        </w:rPr>
      </w:pPr>
      <w:r w:rsidRPr="00726732">
        <w:rPr>
          <w:rFonts w:cs="Times New Roman"/>
          <w:lang w:val="fr-CA"/>
        </w:rPr>
        <w:t>Conclusion</w:t>
      </w:r>
    </w:p>
    <w:p w:rsidR="001020F9" w:rsidRPr="00726732" w:rsidRDefault="001020F9" w:rsidP="00D42258">
      <w:pPr>
        <w:pStyle w:val="ParaNoNdepar-AltN"/>
        <w:widowControl w:val="0"/>
        <w:rPr>
          <w:rStyle w:val="ParaNoNdepar-AltNChar"/>
          <w:rFonts w:cs="Times New Roman"/>
          <w:lang w:val="fr-CA"/>
        </w:rPr>
      </w:pPr>
      <w:r w:rsidRPr="00726732">
        <w:rPr>
          <w:rFonts w:cs="Times New Roman"/>
          <w:lang w:val="fr-CA"/>
        </w:rPr>
        <w:t>En résumé, une fois qu</w:t>
      </w:r>
      <w:r>
        <w:rPr>
          <w:rFonts w:cs="Times New Roman"/>
          <w:lang w:val="fr-CA"/>
        </w:rPr>
        <w:t>’</w:t>
      </w:r>
      <w:r w:rsidRPr="00726732">
        <w:rPr>
          <w:rFonts w:cs="Times New Roman"/>
          <w:lang w:val="fr-CA"/>
        </w:rPr>
        <w:t>il a été tenu compte des événements distincts, le délai net d</w:t>
      </w:r>
      <w:r>
        <w:rPr>
          <w:rFonts w:cs="Times New Roman"/>
          <w:lang w:val="fr-CA"/>
        </w:rPr>
        <w:t>’</w:t>
      </w:r>
      <w:r w:rsidRPr="00726732">
        <w:rPr>
          <w:rFonts w:cs="Times New Roman"/>
          <w:lang w:val="fr-CA"/>
        </w:rPr>
        <w:t>environ 36,5 mois constaté en l</w:t>
      </w:r>
      <w:r>
        <w:rPr>
          <w:rFonts w:cs="Times New Roman"/>
          <w:lang w:val="fr-CA"/>
        </w:rPr>
        <w:t>’</w:t>
      </w:r>
      <w:r w:rsidRPr="00726732">
        <w:rPr>
          <w:rFonts w:cs="Times New Roman"/>
          <w:lang w:val="fr-CA"/>
        </w:rPr>
        <w:t>espèce demeure supérieur au plafond et il est toujours présumé déraisonnable. En conséquence, nous allons maintenant nous demander si la durée de l</w:t>
      </w:r>
      <w:r>
        <w:rPr>
          <w:rFonts w:cs="Times New Roman"/>
          <w:lang w:val="fr-CA"/>
        </w:rPr>
        <w:t>’</w:t>
      </w:r>
      <w:r w:rsidRPr="00726732">
        <w:rPr>
          <w:rFonts w:cs="Times New Roman"/>
          <w:lang w:val="fr-CA"/>
        </w:rPr>
        <w:t>affaire était justifiée eu égard à sa complexité ou à des considérations d</w:t>
      </w:r>
      <w:r>
        <w:rPr>
          <w:rFonts w:cs="Times New Roman"/>
          <w:lang w:val="fr-CA"/>
        </w:rPr>
        <w:t>’</w:t>
      </w:r>
      <w:r w:rsidRPr="00726732">
        <w:rPr>
          <w:rFonts w:cs="Times New Roman"/>
          <w:lang w:val="fr-CA"/>
        </w:rPr>
        <w:t xml:space="preserve">ordre transitoire. </w:t>
      </w:r>
    </w:p>
    <w:p w:rsidR="001020F9" w:rsidRPr="00726732" w:rsidRDefault="001020F9" w:rsidP="00D42258">
      <w:pPr>
        <w:pStyle w:val="Title3LevelTitre3Niveau"/>
        <w:widowControl w:val="0"/>
        <w:rPr>
          <w:rFonts w:cs="Times New Roman"/>
          <w:lang w:val="fr-CA"/>
        </w:rPr>
      </w:pPr>
      <w:r w:rsidRPr="00726732">
        <w:rPr>
          <w:rFonts w:cs="Times New Roman"/>
          <w:lang w:val="fr-CA"/>
        </w:rPr>
        <w:t>Affaires particulièrement complexes</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 xml:space="preserve">La seconde catégorie de circonstances exceptionnelles concerne les affaires particulièrement complexes. Les plafonds présumés qui ont été fixés dans </w:t>
      </w:r>
      <w:r w:rsidRPr="00726732">
        <w:rPr>
          <w:rFonts w:cs="Times New Roman"/>
          <w:i/>
          <w:lang w:val="fr-CA"/>
        </w:rPr>
        <w:t>Jordan</w:t>
      </w:r>
      <w:r w:rsidRPr="00726732">
        <w:rPr>
          <w:rFonts w:cs="Times New Roman"/>
          <w:lang w:val="fr-CA"/>
        </w:rPr>
        <w:t xml:space="preserve"> tiennent déjà compte de la « complexité accrue des affaires criminelles depuis </w:t>
      </w:r>
      <w:r w:rsidRPr="00726732">
        <w:rPr>
          <w:rFonts w:cs="Times New Roman"/>
          <w:i/>
          <w:lang w:val="fr-CA"/>
        </w:rPr>
        <w:t>Morin </w:t>
      </w:r>
      <w:r w:rsidRPr="00726732">
        <w:rPr>
          <w:rFonts w:cs="Times New Roman"/>
          <w:lang w:val="fr-CA"/>
        </w:rPr>
        <w:t>», notamment l</w:t>
      </w:r>
      <w:r>
        <w:rPr>
          <w:rFonts w:cs="Times New Roman"/>
          <w:lang w:val="fr-CA"/>
        </w:rPr>
        <w:t>’</w:t>
      </w:r>
      <w:r w:rsidRPr="00726732">
        <w:rPr>
          <w:rFonts w:cs="Times New Roman"/>
          <w:lang w:val="fr-CA"/>
        </w:rPr>
        <w:t>émergence de « nouvelles infractions, procédures, obligations imposées au ministère public et à la police ainsi que de nouveaux tests juridiques » (</w:t>
      </w:r>
      <w:r w:rsidRPr="00726732">
        <w:rPr>
          <w:rFonts w:cs="Times New Roman"/>
          <w:i/>
          <w:lang w:val="fr-CA"/>
        </w:rPr>
        <w:t>Jordan</w:t>
      </w:r>
      <w:r w:rsidRPr="00726732">
        <w:rPr>
          <w:rFonts w:cs="Times New Roman"/>
          <w:lang w:val="fr-CA"/>
        </w:rPr>
        <w:t>,</w:t>
      </w:r>
      <w:r w:rsidRPr="00726732">
        <w:rPr>
          <w:rFonts w:cs="Times New Roman"/>
          <w:i/>
          <w:lang w:val="fr-CA"/>
        </w:rPr>
        <w:t xml:space="preserve"> </w:t>
      </w:r>
      <w:r w:rsidRPr="00726732">
        <w:rPr>
          <w:rFonts w:cs="Times New Roman"/>
          <w:lang w:val="fr-CA"/>
        </w:rPr>
        <w:t xml:space="preserve">par. 42 et 53). Cela dit, il peut arriver que, dans des affaires particulièrement complexes, les délais excèdent les plafonds présumés mais soient néanmoins justifiés. </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Contrairement aux délais imputables à la défense et aux événements distincts, la question de la complexité d</w:t>
      </w:r>
      <w:r>
        <w:rPr>
          <w:rFonts w:cs="Times New Roman"/>
          <w:lang w:val="fr-CA"/>
        </w:rPr>
        <w:t>’</w:t>
      </w:r>
      <w:r w:rsidRPr="00726732">
        <w:rPr>
          <w:rFonts w:cs="Times New Roman"/>
          <w:lang w:val="fr-CA"/>
        </w:rPr>
        <w:t>une affaire requiert une appréciation qualitative plutôt que quantitative. La complexité ne constitue une circonstance exceptionnelle que dans les cas où l</w:t>
      </w:r>
      <w:r>
        <w:rPr>
          <w:rFonts w:cs="Times New Roman"/>
          <w:lang w:val="fr-CA"/>
        </w:rPr>
        <w:t>’</w:t>
      </w:r>
      <w:r w:rsidRPr="00726732">
        <w:rPr>
          <w:rFonts w:cs="Times New Roman"/>
          <w:lang w:val="fr-CA"/>
        </w:rPr>
        <w:t xml:space="preserve">affaire dans son ensemble est particulièrement complexe. Elle ne peut </w:t>
      </w:r>
      <w:r w:rsidRPr="00726732">
        <w:rPr>
          <w:rFonts w:cs="Times New Roman"/>
          <w:lang w:val="fr-CA"/>
        </w:rPr>
        <w:lastRenderedPageBreak/>
        <w:t>être utilisée pour déduire des portions précises du délai. Au contraire, une fois effectuées toutes les déductions d</w:t>
      </w:r>
      <w:r>
        <w:rPr>
          <w:rFonts w:cs="Times New Roman"/>
          <w:lang w:val="fr-CA"/>
        </w:rPr>
        <w:t>’</w:t>
      </w:r>
      <w:r w:rsidRPr="00726732">
        <w:rPr>
          <w:rFonts w:cs="Times New Roman"/>
          <w:lang w:val="fr-CA"/>
        </w:rPr>
        <w:t>ordre quantitatif applicables, si le délai net continue d</w:t>
      </w:r>
      <w:r>
        <w:rPr>
          <w:rFonts w:cs="Times New Roman"/>
          <w:lang w:val="fr-CA"/>
        </w:rPr>
        <w:t>’</w:t>
      </w:r>
      <w:r w:rsidRPr="00726732">
        <w:rPr>
          <w:rFonts w:cs="Times New Roman"/>
          <w:lang w:val="fr-CA"/>
        </w:rPr>
        <w:t>excéder le plafond présumé, il est alors possible d</w:t>
      </w:r>
      <w:r>
        <w:rPr>
          <w:rFonts w:cs="Times New Roman"/>
          <w:lang w:val="fr-CA"/>
        </w:rPr>
        <w:t>’</w:t>
      </w:r>
      <w:r w:rsidRPr="00726732">
        <w:rPr>
          <w:rFonts w:cs="Times New Roman"/>
          <w:lang w:val="fr-CA"/>
        </w:rPr>
        <w:t>invoquer la complexité de l</w:t>
      </w:r>
      <w:r>
        <w:rPr>
          <w:rFonts w:cs="Times New Roman"/>
          <w:lang w:val="fr-CA"/>
        </w:rPr>
        <w:t>’</w:t>
      </w:r>
      <w:r w:rsidRPr="00726732">
        <w:rPr>
          <w:rFonts w:cs="Times New Roman"/>
          <w:lang w:val="fr-CA"/>
        </w:rPr>
        <w:t>affaire dans son ensemble pour justifier sa durée et réfuter la présomption que le délai était déraisonnable (</w:t>
      </w:r>
      <w:r w:rsidRPr="00726732">
        <w:rPr>
          <w:rFonts w:cs="Times New Roman"/>
          <w:i/>
          <w:lang w:val="fr-CA"/>
        </w:rPr>
        <w:t>Jordan</w:t>
      </w:r>
      <w:r w:rsidRPr="00726732">
        <w:rPr>
          <w:rFonts w:cs="Times New Roman"/>
          <w:lang w:val="fr-CA"/>
        </w:rPr>
        <w:t>, par. 80)</w:t>
      </w:r>
      <w:r w:rsidRPr="004465C1">
        <w:rPr>
          <w:rStyle w:val="Hyperlink"/>
          <w:vertAlign w:val="superscript"/>
        </w:rPr>
        <w:footnoteReference w:id="2"/>
      </w:r>
      <w:r w:rsidRPr="00726732">
        <w:rPr>
          <w:rFonts w:cs="Times New Roman"/>
          <w:lang w:val="fr-CA"/>
        </w:rPr>
        <w:t>. Constitue une affaire particulièrement complexe une affaire qui, « eu égard à la nature de la preuve ou des questions soulevées, exig[e]</w:t>
      </w:r>
      <w:r w:rsidRPr="00726732" w:rsidDel="00D32B0B">
        <w:rPr>
          <w:rFonts w:cs="Times New Roman"/>
          <w:lang w:val="fr-CA"/>
        </w:rPr>
        <w:t xml:space="preserve"> </w:t>
      </w:r>
      <w:r w:rsidRPr="00726732">
        <w:rPr>
          <w:rFonts w:cs="Times New Roman"/>
          <w:lang w:val="fr-CA"/>
        </w:rPr>
        <w:t>un procès ou une période de préparation d</w:t>
      </w:r>
      <w:r>
        <w:rPr>
          <w:rFonts w:cs="Times New Roman"/>
          <w:lang w:val="fr-CA"/>
        </w:rPr>
        <w:t>’</w:t>
      </w:r>
      <w:r w:rsidRPr="00726732">
        <w:rPr>
          <w:rFonts w:cs="Times New Roman"/>
          <w:lang w:val="fr-CA"/>
        </w:rPr>
        <w:t>une durée exceptionnelle » (</w:t>
      </w:r>
      <w:r w:rsidRPr="00726732">
        <w:rPr>
          <w:rFonts w:cs="Times New Roman"/>
          <w:i/>
          <w:lang w:val="fr-CA"/>
        </w:rPr>
        <w:t>Jordan</w:t>
      </w:r>
      <w:r w:rsidRPr="00726732">
        <w:rPr>
          <w:rFonts w:cs="Times New Roman"/>
          <w:lang w:val="fr-CA"/>
        </w:rPr>
        <w:t>, par. 77 (italiques omis))</w:t>
      </w:r>
      <w:r w:rsidRPr="00726732" w:rsidDel="00D32B0B">
        <w:rPr>
          <w:rFonts w:cs="Times New Roman"/>
          <w:lang w:val="fr-CA"/>
        </w:rPr>
        <w:t xml:space="preserve">. </w:t>
      </w:r>
      <w:r w:rsidRPr="00726732">
        <w:rPr>
          <w:rFonts w:cs="Times New Roman"/>
          <w:lang w:val="fr-CA"/>
        </w:rPr>
        <w:t>Le juge de première instance qui est appelé à décider si la complexité d</w:t>
      </w:r>
      <w:r>
        <w:rPr>
          <w:rFonts w:cs="Times New Roman"/>
          <w:lang w:val="fr-CA"/>
        </w:rPr>
        <w:t>’</w:t>
      </w:r>
      <w:r w:rsidRPr="00726732">
        <w:rPr>
          <w:rFonts w:cs="Times New Roman"/>
          <w:lang w:val="fr-CA"/>
        </w:rPr>
        <w:t>une affaire suffit pour justifier sa durée doit se demander si le délai net est raisonnable compte tenu de la complexité globale de cette affaire. Une telle décision relève entièrement de l</w:t>
      </w:r>
      <w:r>
        <w:rPr>
          <w:rFonts w:cs="Times New Roman"/>
          <w:lang w:val="fr-CA"/>
        </w:rPr>
        <w:t>’</w:t>
      </w:r>
      <w:r w:rsidRPr="00726732">
        <w:rPr>
          <w:rFonts w:cs="Times New Roman"/>
          <w:lang w:val="fr-CA"/>
        </w:rPr>
        <w:t>expertise des juges de première instance (</w:t>
      </w:r>
      <w:r w:rsidRPr="00726732">
        <w:rPr>
          <w:rFonts w:cs="Times New Roman"/>
          <w:i/>
          <w:lang w:val="fr-CA"/>
        </w:rPr>
        <w:t>Jordan</w:t>
      </w:r>
      <w:r w:rsidRPr="00726732">
        <w:rPr>
          <w:rFonts w:cs="Times New Roman"/>
          <w:lang w:val="fr-CA"/>
        </w:rPr>
        <w:t>, par. 79).</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Dans la présente affaire, le ministère public fait valoir qu</w:t>
      </w:r>
      <w:r>
        <w:rPr>
          <w:rFonts w:cs="Times New Roman"/>
          <w:lang w:val="fr-CA"/>
        </w:rPr>
        <w:t>’</w:t>
      </w:r>
      <w:r w:rsidRPr="00726732">
        <w:rPr>
          <w:rFonts w:cs="Times New Roman"/>
          <w:lang w:val="fr-CA"/>
        </w:rPr>
        <w:t>une période de quatre mois devrait être déduite en tant que circonstance exceptionnelle vu la complexité de l</w:t>
      </w:r>
      <w:r>
        <w:rPr>
          <w:rFonts w:cs="Times New Roman"/>
          <w:lang w:val="fr-CA"/>
        </w:rPr>
        <w:t>’</w:t>
      </w:r>
      <w:r w:rsidRPr="00726732">
        <w:rPr>
          <w:rFonts w:cs="Times New Roman"/>
          <w:lang w:val="fr-CA"/>
        </w:rPr>
        <w:t>affaire, complexité que démontre la preuve volumineuse qui a été communiquée. En Cour d</w:t>
      </w:r>
      <w:r>
        <w:rPr>
          <w:rFonts w:cs="Times New Roman"/>
          <w:lang w:val="fr-CA"/>
        </w:rPr>
        <w:t>’</w:t>
      </w:r>
      <w:r w:rsidRPr="00726732">
        <w:rPr>
          <w:rFonts w:cs="Times New Roman"/>
          <w:lang w:val="fr-CA"/>
        </w:rPr>
        <w:t>appel, les juges de la majorité ont retenu cet argument. Cependant, cette conclusion est incompatible avec une appréciation qualitative de la complexité de l</w:t>
      </w:r>
      <w:r>
        <w:rPr>
          <w:rFonts w:cs="Times New Roman"/>
          <w:lang w:val="fr-CA"/>
        </w:rPr>
        <w:t>’</w:t>
      </w:r>
      <w:r w:rsidRPr="00726732">
        <w:rPr>
          <w:rFonts w:cs="Times New Roman"/>
          <w:lang w:val="fr-CA"/>
        </w:rPr>
        <w:t>affaire. Le délai qui a été causé par une seule étape isolée présentant des aspects complexes n</w:t>
      </w:r>
      <w:r>
        <w:rPr>
          <w:rFonts w:cs="Times New Roman"/>
          <w:lang w:val="fr-CA"/>
        </w:rPr>
        <w:t>’</w:t>
      </w:r>
      <w:r w:rsidRPr="00726732">
        <w:rPr>
          <w:rFonts w:cs="Times New Roman"/>
          <w:lang w:val="fr-CA"/>
        </w:rPr>
        <w:t>aurait pas dû être déduit. Bien qu</w:t>
      </w:r>
      <w:r>
        <w:rPr>
          <w:rFonts w:cs="Times New Roman"/>
          <w:lang w:val="fr-CA"/>
        </w:rPr>
        <w:t>’</w:t>
      </w:r>
      <w:r w:rsidRPr="00726732">
        <w:rPr>
          <w:rFonts w:cs="Times New Roman"/>
          <w:lang w:val="fr-CA"/>
        </w:rPr>
        <w:t>une preuve volumineuse à communiquer constitue un aspect caractéristique des affaires particulièrement complexes, la présence d</w:t>
      </w:r>
      <w:r>
        <w:rPr>
          <w:rFonts w:cs="Times New Roman"/>
          <w:lang w:val="fr-CA"/>
        </w:rPr>
        <w:t>’</w:t>
      </w:r>
      <w:r w:rsidRPr="00726732">
        <w:rPr>
          <w:rFonts w:cs="Times New Roman"/>
          <w:lang w:val="fr-CA"/>
        </w:rPr>
        <w:t>une telle preuve ne démontre pas automatiquement qu</w:t>
      </w:r>
      <w:r>
        <w:rPr>
          <w:rFonts w:cs="Times New Roman"/>
          <w:lang w:val="fr-CA"/>
        </w:rPr>
        <w:t>’</w:t>
      </w:r>
      <w:r w:rsidRPr="00726732">
        <w:rPr>
          <w:rFonts w:cs="Times New Roman"/>
          <w:lang w:val="fr-CA"/>
        </w:rPr>
        <w:t xml:space="preserve">une </w:t>
      </w:r>
      <w:r w:rsidRPr="00726732">
        <w:rPr>
          <w:rFonts w:cs="Times New Roman"/>
          <w:lang w:val="fr-CA"/>
        </w:rPr>
        <w:lastRenderedPageBreak/>
        <w:t>affaire est complexe</w:t>
      </w:r>
      <w:r w:rsidRPr="004465C1">
        <w:rPr>
          <w:rStyle w:val="Hyperlink"/>
          <w:vertAlign w:val="superscript"/>
        </w:rPr>
        <w:footnoteReference w:id="3"/>
      </w:r>
      <w:r w:rsidRPr="00726732">
        <w:rPr>
          <w:rFonts w:cs="Times New Roman"/>
          <w:lang w:val="fr-CA"/>
        </w:rPr>
        <w:t xml:space="preserve">. La question consiste plutôt à déterminer si </w:t>
      </w:r>
      <w:r w:rsidRPr="00726732">
        <w:rPr>
          <w:rFonts w:cs="Times New Roman"/>
          <w:i/>
          <w:lang w:val="fr-CA"/>
        </w:rPr>
        <w:t>l</w:t>
      </w:r>
      <w:r>
        <w:rPr>
          <w:rFonts w:cs="Times New Roman"/>
          <w:i/>
          <w:lang w:val="fr-CA"/>
        </w:rPr>
        <w:t>’</w:t>
      </w:r>
      <w:r w:rsidRPr="00726732">
        <w:rPr>
          <w:rFonts w:cs="Times New Roman"/>
          <w:i/>
          <w:lang w:val="fr-CA"/>
        </w:rPr>
        <w:t xml:space="preserve">affaire </w:t>
      </w:r>
      <w:r w:rsidRPr="00726732">
        <w:rPr>
          <w:rFonts w:cs="Times New Roman"/>
          <w:lang w:val="fr-CA"/>
        </w:rPr>
        <w:t>est suffisamment complexe, « si bien que le délai est justifié » (</w:t>
      </w:r>
      <w:r w:rsidRPr="00726732">
        <w:rPr>
          <w:rFonts w:cs="Times New Roman"/>
          <w:i/>
          <w:lang w:val="fr-CA"/>
        </w:rPr>
        <w:t>Jordan</w:t>
      </w:r>
      <w:r w:rsidRPr="00726732">
        <w:rPr>
          <w:rFonts w:cs="Times New Roman"/>
          <w:lang w:val="fr-CA"/>
        </w:rPr>
        <w:t>, par. 77). En l</w:t>
      </w:r>
      <w:r>
        <w:rPr>
          <w:rFonts w:cs="Times New Roman"/>
          <w:lang w:val="fr-CA"/>
        </w:rPr>
        <w:t>’</w:t>
      </w:r>
      <w:r w:rsidRPr="00726732">
        <w:rPr>
          <w:rFonts w:cs="Times New Roman"/>
          <w:lang w:val="fr-CA"/>
        </w:rPr>
        <w:t>espèce, une preuve considérable a effectivement été communiquée, mais le reste de l</w:t>
      </w:r>
      <w:r>
        <w:rPr>
          <w:rFonts w:cs="Times New Roman"/>
          <w:lang w:val="fr-CA"/>
        </w:rPr>
        <w:t>’</w:t>
      </w:r>
      <w:r w:rsidRPr="00726732">
        <w:rPr>
          <w:rFonts w:cs="Times New Roman"/>
          <w:lang w:val="fr-CA"/>
        </w:rPr>
        <w:t xml:space="preserve">instance semble avoir été relativement simple. À notre avis, même en tenant compte de la preuve volumineuse qui a été communiquée, la présente affaire ne saurait être qualifiée de particulièrement complexe. </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Néanmoins, comme les accusations qui ont été portées en l</w:t>
      </w:r>
      <w:r>
        <w:rPr>
          <w:rFonts w:cs="Times New Roman"/>
          <w:lang w:val="fr-CA"/>
        </w:rPr>
        <w:t>’</w:t>
      </w:r>
      <w:r w:rsidRPr="00726732">
        <w:rPr>
          <w:rFonts w:cs="Times New Roman"/>
          <w:lang w:val="fr-CA"/>
        </w:rPr>
        <w:t>espèce l</w:t>
      </w:r>
      <w:r>
        <w:rPr>
          <w:rFonts w:cs="Times New Roman"/>
          <w:lang w:val="fr-CA"/>
        </w:rPr>
        <w:t>’</w:t>
      </w:r>
      <w:r w:rsidRPr="00726732">
        <w:rPr>
          <w:rFonts w:cs="Times New Roman"/>
          <w:lang w:val="fr-CA"/>
        </w:rPr>
        <w:t>ont été avant la décision de notre Cour dans l</w:t>
      </w:r>
      <w:r>
        <w:rPr>
          <w:rFonts w:cs="Times New Roman"/>
          <w:lang w:val="fr-CA"/>
        </w:rPr>
        <w:t>’</w:t>
      </w:r>
      <w:r w:rsidRPr="00726732">
        <w:rPr>
          <w:rFonts w:cs="Times New Roman"/>
          <w:lang w:val="fr-CA"/>
        </w:rPr>
        <w:t xml:space="preserve">affaire </w:t>
      </w:r>
      <w:r w:rsidRPr="00726732">
        <w:rPr>
          <w:rFonts w:cs="Times New Roman"/>
          <w:i/>
          <w:lang w:val="fr-CA"/>
        </w:rPr>
        <w:t>Jordan</w:t>
      </w:r>
      <w:r w:rsidRPr="00726732">
        <w:rPr>
          <w:rFonts w:cs="Times New Roman"/>
          <w:lang w:val="fr-CA"/>
        </w:rPr>
        <w:t>, il reste à se demander si le délai peut être justifié par l</w:t>
      </w:r>
      <w:r>
        <w:rPr>
          <w:rFonts w:cs="Times New Roman"/>
          <w:lang w:val="fr-CA"/>
        </w:rPr>
        <w:t>’</w:t>
      </w:r>
      <w:r w:rsidRPr="00726732">
        <w:rPr>
          <w:rFonts w:cs="Times New Roman"/>
          <w:lang w:val="fr-CA"/>
        </w:rPr>
        <w:t>application de la mesure transitoire exceptionnelle.</w:t>
      </w:r>
    </w:p>
    <w:p w:rsidR="001020F9" w:rsidRPr="00726732" w:rsidRDefault="001020F9" w:rsidP="00D42258">
      <w:pPr>
        <w:pStyle w:val="Title2LevelTitre2Niveau"/>
        <w:widowControl w:val="0"/>
        <w:rPr>
          <w:rFonts w:cs="Times New Roman"/>
          <w:lang w:val="fr-CA"/>
        </w:rPr>
      </w:pPr>
      <w:r w:rsidRPr="00726732">
        <w:rPr>
          <w:rFonts w:cs="Times New Roman"/>
          <w:lang w:val="fr-CA"/>
        </w:rPr>
        <w:t>La mesure transitoire exceptionnelle</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Le nouveau cadre d</w:t>
      </w:r>
      <w:r>
        <w:rPr>
          <w:rFonts w:cs="Times New Roman"/>
          <w:lang w:val="fr-CA"/>
        </w:rPr>
        <w:t>’</w:t>
      </w:r>
      <w:r w:rsidRPr="00726732">
        <w:rPr>
          <w:rFonts w:cs="Times New Roman"/>
          <w:lang w:val="fr-CA"/>
        </w:rPr>
        <w:t xml:space="preserve">analyse établi dans </w:t>
      </w:r>
      <w:r w:rsidRPr="00726732">
        <w:rPr>
          <w:rFonts w:cs="Times New Roman"/>
          <w:i/>
          <w:lang w:val="fr-CA"/>
        </w:rPr>
        <w:t>Jordan</w:t>
      </w:r>
      <w:r w:rsidRPr="00726732">
        <w:rPr>
          <w:rFonts w:cs="Times New Roman"/>
          <w:lang w:val="fr-CA"/>
        </w:rPr>
        <w:t xml:space="preserve"> s</w:t>
      </w:r>
      <w:r>
        <w:rPr>
          <w:rFonts w:cs="Times New Roman"/>
          <w:lang w:val="fr-CA"/>
        </w:rPr>
        <w:t>’</w:t>
      </w:r>
      <w:r w:rsidRPr="00726732">
        <w:rPr>
          <w:rFonts w:cs="Times New Roman"/>
          <w:lang w:val="fr-CA"/>
        </w:rPr>
        <w:t>applique aux affaires déjà en cours (</w:t>
      </w:r>
      <w:r w:rsidRPr="00726732">
        <w:rPr>
          <w:rFonts w:cs="Times New Roman"/>
          <w:i/>
          <w:lang w:val="fr-CA"/>
        </w:rPr>
        <w:t>Jordan</w:t>
      </w:r>
      <w:r w:rsidRPr="00726732">
        <w:rPr>
          <w:rFonts w:cs="Times New Roman"/>
          <w:lang w:val="fr-CA"/>
        </w:rPr>
        <w:t>, par. 95). Cependant, un délai présumé déraisonnable peut dans certains cas être justifié en invoquant la mesure transitoire exceptionnelle, lorsque les accusations ont été déposées avant le prononcé de l</w:t>
      </w:r>
      <w:r>
        <w:rPr>
          <w:rFonts w:cs="Times New Roman"/>
          <w:lang w:val="fr-CA"/>
        </w:rPr>
        <w:t>’</w:t>
      </w:r>
      <w:r w:rsidRPr="00726732">
        <w:rPr>
          <w:rFonts w:cs="Times New Roman"/>
          <w:lang w:val="fr-CA"/>
        </w:rPr>
        <w:t xml:space="preserve">arrêt </w:t>
      </w:r>
      <w:r w:rsidRPr="00726732">
        <w:rPr>
          <w:rFonts w:cs="Times New Roman"/>
          <w:i/>
          <w:lang w:val="fr-CA"/>
        </w:rPr>
        <w:t xml:space="preserve">Jordan </w:t>
      </w:r>
      <w:r w:rsidRPr="00726732">
        <w:rPr>
          <w:rFonts w:cs="Times New Roman"/>
          <w:lang w:val="fr-CA"/>
        </w:rPr>
        <w:t>(</w:t>
      </w:r>
      <w:r w:rsidRPr="00726732">
        <w:rPr>
          <w:rFonts w:cs="Times New Roman"/>
          <w:i/>
          <w:lang w:val="fr-CA"/>
        </w:rPr>
        <w:t>Jordan</w:t>
      </w:r>
      <w:r w:rsidRPr="00726732">
        <w:rPr>
          <w:rFonts w:cs="Times New Roman"/>
          <w:lang w:val="fr-CA"/>
        </w:rPr>
        <w:t>, par. 96). Il devrait s</w:t>
      </w:r>
      <w:r>
        <w:rPr>
          <w:rFonts w:cs="Times New Roman"/>
          <w:lang w:val="fr-CA"/>
        </w:rPr>
        <w:t>’</w:t>
      </w:r>
      <w:r w:rsidRPr="00726732">
        <w:rPr>
          <w:rFonts w:cs="Times New Roman"/>
          <w:lang w:val="fr-CA"/>
        </w:rPr>
        <w:t>agir de la dernière étape de l</w:t>
      </w:r>
      <w:r>
        <w:rPr>
          <w:rFonts w:cs="Times New Roman"/>
          <w:lang w:val="fr-CA"/>
        </w:rPr>
        <w:t>’</w:t>
      </w:r>
      <w:r w:rsidRPr="00726732">
        <w:rPr>
          <w:rFonts w:cs="Times New Roman"/>
          <w:lang w:val="fr-CA"/>
        </w:rPr>
        <w:t>analyse et on ne devrait y recourir que dans les cas où, comme en l</w:t>
      </w:r>
      <w:r>
        <w:rPr>
          <w:rFonts w:cs="Times New Roman"/>
          <w:lang w:val="fr-CA"/>
        </w:rPr>
        <w:t>’</w:t>
      </w:r>
      <w:r w:rsidRPr="00726732">
        <w:rPr>
          <w:rFonts w:cs="Times New Roman"/>
          <w:lang w:val="fr-CA"/>
        </w:rPr>
        <w:t xml:space="preserve">espèce, la déduction de périodes liées à des événements distincts ne réduit pas le délai sous le plafond présumé, et où un délai supérieur au plafond ne </w:t>
      </w:r>
      <w:r w:rsidRPr="00726732">
        <w:rPr>
          <w:rFonts w:cs="Times New Roman"/>
          <w:lang w:val="fr-CA"/>
        </w:rPr>
        <w:lastRenderedPageBreak/>
        <w:t>peut être justifié sur la base de la complexité de l</w:t>
      </w:r>
      <w:r>
        <w:rPr>
          <w:rFonts w:cs="Times New Roman"/>
          <w:lang w:val="fr-CA"/>
        </w:rPr>
        <w:t>’</w:t>
      </w:r>
      <w:r w:rsidRPr="00726732">
        <w:rPr>
          <w:rFonts w:cs="Times New Roman"/>
          <w:lang w:val="fr-CA"/>
        </w:rPr>
        <w:t xml:space="preserve">affaire. </w:t>
      </w:r>
    </w:p>
    <w:p w:rsidR="001020F9" w:rsidRPr="00726732" w:rsidRDefault="001020F9" w:rsidP="00D42258">
      <w:pPr>
        <w:pStyle w:val="ParaNoNdepar-AltN"/>
        <w:widowControl w:val="0"/>
        <w:rPr>
          <w:rFonts w:cs="Times New Roman"/>
          <w:lang w:val="fr-CA"/>
        </w:rPr>
      </w:pPr>
      <w:r w:rsidRPr="00726732">
        <w:rPr>
          <w:rFonts w:cs="Times New Roman"/>
          <w:lang w:val="fr-CA"/>
        </w:rPr>
        <w:t>Tout comme le critère de la complexité de l</w:t>
      </w:r>
      <w:r>
        <w:rPr>
          <w:rFonts w:cs="Times New Roman"/>
          <w:lang w:val="fr-CA"/>
        </w:rPr>
        <w:t>’</w:t>
      </w:r>
      <w:r w:rsidRPr="00726732">
        <w:rPr>
          <w:rFonts w:cs="Times New Roman"/>
          <w:lang w:val="fr-CA"/>
        </w:rPr>
        <w:t>affaire, l</w:t>
      </w:r>
      <w:r>
        <w:rPr>
          <w:rFonts w:cs="Times New Roman"/>
          <w:lang w:val="fr-CA"/>
        </w:rPr>
        <w:t>’</w:t>
      </w:r>
      <w:r w:rsidRPr="00726732">
        <w:rPr>
          <w:rFonts w:cs="Times New Roman"/>
          <w:lang w:val="fr-CA"/>
        </w:rPr>
        <w:t>application de la mesure transitoire exceptionnelle implique une appréciation qualitative, qui tient compte du « fait que la conduite des parties ne peut être jugée rigoureusement en fonction d</w:t>
      </w:r>
      <w:r>
        <w:rPr>
          <w:rFonts w:cs="Times New Roman"/>
          <w:lang w:val="fr-CA"/>
        </w:rPr>
        <w:t>’</w:t>
      </w:r>
      <w:r w:rsidRPr="00726732">
        <w:rPr>
          <w:rFonts w:cs="Times New Roman"/>
          <w:lang w:val="fr-CA"/>
        </w:rPr>
        <w:t>une norme dont elles n</w:t>
      </w:r>
      <w:r>
        <w:rPr>
          <w:rFonts w:cs="Times New Roman"/>
          <w:lang w:val="fr-CA"/>
        </w:rPr>
        <w:t>’</w:t>
      </w:r>
      <w:r w:rsidRPr="00726732">
        <w:rPr>
          <w:rFonts w:cs="Times New Roman"/>
          <w:lang w:val="fr-CA"/>
        </w:rPr>
        <w:t>avaient pas connaissance » et qu</w:t>
      </w:r>
      <w:r>
        <w:rPr>
          <w:rFonts w:cs="Times New Roman"/>
          <w:lang w:val="fr-CA"/>
        </w:rPr>
        <w:t>’</w:t>
      </w:r>
      <w:r w:rsidRPr="00726732">
        <w:rPr>
          <w:rFonts w:cs="Times New Roman"/>
          <w:lang w:val="fr-CA"/>
        </w:rPr>
        <w:t>il « faut du temps pour implanter des changements » (</w:t>
      </w:r>
      <w:r w:rsidRPr="00726732">
        <w:rPr>
          <w:rFonts w:cs="Times New Roman"/>
          <w:i/>
          <w:lang w:val="fr-CA"/>
        </w:rPr>
        <w:t>Jordan</w:t>
      </w:r>
      <w:r w:rsidRPr="00726732">
        <w:rPr>
          <w:rFonts w:cs="Times New Roman"/>
          <w:lang w:val="fr-CA"/>
        </w:rPr>
        <w:t>, par. 96</w:t>
      </w:r>
      <w:r w:rsidR="00B00C2A">
        <w:rPr>
          <w:rFonts w:cs="Times New Roman"/>
          <w:lang w:val="fr-CA"/>
        </w:rPr>
        <w:t>-</w:t>
      </w:r>
      <w:r w:rsidRPr="00726732">
        <w:rPr>
          <w:rFonts w:cs="Times New Roman"/>
          <w:lang w:val="fr-CA"/>
        </w:rPr>
        <w:t>97). Le ministère public ne peut invoquer la mesure transitoire exceptionnelle que s</w:t>
      </w:r>
      <w:r>
        <w:rPr>
          <w:rFonts w:cs="Times New Roman"/>
          <w:lang w:val="fr-CA"/>
        </w:rPr>
        <w:t>’</w:t>
      </w:r>
      <w:r w:rsidRPr="00726732">
        <w:rPr>
          <w:rFonts w:cs="Times New Roman"/>
          <w:lang w:val="fr-CA"/>
        </w:rPr>
        <w:t>il est capable d</w:t>
      </w:r>
      <w:r>
        <w:rPr>
          <w:rFonts w:cs="Times New Roman"/>
          <w:lang w:val="fr-CA"/>
        </w:rPr>
        <w:t>’</w:t>
      </w:r>
      <w:r w:rsidRPr="00726732">
        <w:rPr>
          <w:rFonts w:cs="Times New Roman"/>
          <w:lang w:val="fr-CA"/>
        </w:rPr>
        <w:t>établir que « le temps qui s</w:t>
      </w:r>
      <w:r>
        <w:rPr>
          <w:rFonts w:cs="Times New Roman"/>
          <w:lang w:val="fr-CA"/>
        </w:rPr>
        <w:t>’</w:t>
      </w:r>
      <w:r w:rsidRPr="00726732">
        <w:rPr>
          <w:rFonts w:cs="Times New Roman"/>
          <w:lang w:val="fr-CA"/>
        </w:rPr>
        <w:t>est écoulé est justifié du fait que les parties se sont raisonnablement conformées au droit tel qu</w:t>
      </w:r>
      <w:r>
        <w:rPr>
          <w:rFonts w:cs="Times New Roman"/>
          <w:lang w:val="fr-CA"/>
        </w:rPr>
        <w:t>’</w:t>
      </w:r>
      <w:r w:rsidRPr="00726732">
        <w:rPr>
          <w:rFonts w:cs="Times New Roman"/>
          <w:lang w:val="fr-CA"/>
        </w:rPr>
        <w:t>il existait au préalable » (</w:t>
      </w:r>
      <w:r w:rsidRPr="00726732">
        <w:rPr>
          <w:rFonts w:cs="Times New Roman"/>
          <w:i/>
          <w:lang w:val="fr-CA"/>
        </w:rPr>
        <w:t>Jordan</w:t>
      </w:r>
      <w:r w:rsidRPr="00726732">
        <w:rPr>
          <w:rFonts w:cs="Times New Roman"/>
          <w:lang w:val="fr-CA"/>
        </w:rPr>
        <w:t>,</w:t>
      </w:r>
      <w:r w:rsidRPr="00726732">
        <w:rPr>
          <w:rFonts w:cs="Times New Roman"/>
          <w:i/>
          <w:lang w:val="fr-CA"/>
        </w:rPr>
        <w:t xml:space="preserve"> </w:t>
      </w:r>
      <w:r w:rsidRPr="00726732">
        <w:rPr>
          <w:rFonts w:cs="Times New Roman"/>
          <w:lang w:val="fr-CA"/>
        </w:rPr>
        <w:t>par. 96). Autrement dit, il est permis au ministère public de démontrer qu</w:t>
      </w:r>
      <w:r>
        <w:rPr>
          <w:rFonts w:cs="Times New Roman"/>
          <w:lang w:val="fr-CA"/>
        </w:rPr>
        <w:t>’</w:t>
      </w:r>
      <w:r w:rsidRPr="00726732">
        <w:rPr>
          <w:rFonts w:cs="Times New Roman"/>
          <w:lang w:val="fr-CA"/>
        </w:rPr>
        <w:t xml:space="preserve">on ne peut lui reprocher de ne pas avoir pris de mesures additionnelles, étant donné que le délai lui apparaissait raisonnable eu égard à sa compréhension du droit avant </w:t>
      </w:r>
      <w:r w:rsidRPr="00726732">
        <w:rPr>
          <w:rFonts w:cs="Times New Roman"/>
          <w:i/>
          <w:lang w:val="fr-CA"/>
        </w:rPr>
        <w:t>Jordan</w:t>
      </w:r>
      <w:r w:rsidRPr="00726732">
        <w:rPr>
          <w:rFonts w:cs="Times New Roman"/>
          <w:lang w:val="fr-CA"/>
        </w:rPr>
        <w:t xml:space="preserve"> et à la manière dont ce délai et d</w:t>
      </w:r>
      <w:r>
        <w:rPr>
          <w:rFonts w:cs="Times New Roman"/>
          <w:lang w:val="fr-CA"/>
        </w:rPr>
        <w:t>’</w:t>
      </w:r>
      <w:r w:rsidRPr="00726732">
        <w:rPr>
          <w:rFonts w:cs="Times New Roman"/>
          <w:lang w:val="fr-CA"/>
        </w:rPr>
        <w:t>autres facteurs tels la gravité de l</w:t>
      </w:r>
      <w:r>
        <w:rPr>
          <w:rFonts w:cs="Times New Roman"/>
          <w:lang w:val="fr-CA"/>
        </w:rPr>
        <w:t>’</w:t>
      </w:r>
      <w:r w:rsidRPr="00726732">
        <w:rPr>
          <w:rFonts w:cs="Times New Roman"/>
          <w:lang w:val="fr-CA"/>
        </w:rPr>
        <w:t>infraction et le préjudice étaient évalués suivant l</w:t>
      </w:r>
      <w:r>
        <w:rPr>
          <w:rFonts w:cs="Times New Roman"/>
          <w:lang w:val="fr-CA"/>
        </w:rPr>
        <w:t>’</w:t>
      </w:r>
      <w:r w:rsidRPr="00726732">
        <w:rPr>
          <w:rFonts w:cs="Times New Roman"/>
          <w:lang w:val="fr-CA"/>
        </w:rPr>
        <w:t xml:space="preserve">arrêt </w:t>
      </w:r>
      <w:r w:rsidRPr="00726732">
        <w:rPr>
          <w:rFonts w:cs="Times New Roman"/>
          <w:i/>
          <w:lang w:val="fr-CA"/>
        </w:rPr>
        <w:t>Morin</w:t>
      </w:r>
      <w:r w:rsidRPr="00726732">
        <w:rPr>
          <w:rFonts w:cs="Times New Roman"/>
          <w:lang w:val="fr-CA"/>
        </w:rPr>
        <w:t>.</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Il importe de préciser que le ministère public et la défense sont présumés s</w:t>
      </w:r>
      <w:r>
        <w:rPr>
          <w:rFonts w:cs="Times New Roman"/>
          <w:lang w:val="fr-CA"/>
        </w:rPr>
        <w:t>’</w:t>
      </w:r>
      <w:r w:rsidRPr="00726732">
        <w:rPr>
          <w:rFonts w:cs="Times New Roman"/>
          <w:lang w:val="fr-CA"/>
        </w:rPr>
        <w:t>être fiés sur le droit antérieur à l</w:t>
      </w:r>
      <w:r>
        <w:rPr>
          <w:rFonts w:cs="Times New Roman"/>
          <w:lang w:val="fr-CA"/>
        </w:rPr>
        <w:t>’</w:t>
      </w:r>
      <w:r w:rsidRPr="00726732">
        <w:rPr>
          <w:rFonts w:cs="Times New Roman"/>
          <w:lang w:val="fr-CA"/>
        </w:rPr>
        <w:t xml:space="preserve">arrêt </w:t>
      </w:r>
      <w:r w:rsidRPr="00726732">
        <w:rPr>
          <w:rFonts w:cs="Times New Roman"/>
          <w:i/>
          <w:lang w:val="fr-CA"/>
        </w:rPr>
        <w:t>Jordan</w:t>
      </w:r>
      <w:r w:rsidRPr="00726732">
        <w:rPr>
          <w:rFonts w:cs="Times New Roman"/>
          <w:lang w:val="fr-CA"/>
        </w:rPr>
        <w:t>. À cet égard, la nature exceptionnelle de la « mesure transitoire exceptionnelle » ne repose pas sur le fait qu</w:t>
      </w:r>
      <w:r>
        <w:rPr>
          <w:rFonts w:cs="Times New Roman"/>
          <w:lang w:val="fr-CA"/>
        </w:rPr>
        <w:t>’</w:t>
      </w:r>
      <w:r w:rsidRPr="00726732">
        <w:rPr>
          <w:rFonts w:cs="Times New Roman"/>
          <w:lang w:val="fr-CA"/>
        </w:rPr>
        <w:t>elle s</w:t>
      </w:r>
      <w:r>
        <w:rPr>
          <w:rFonts w:cs="Times New Roman"/>
          <w:lang w:val="fr-CA"/>
        </w:rPr>
        <w:t>’</w:t>
      </w:r>
      <w:r w:rsidRPr="00726732">
        <w:rPr>
          <w:rFonts w:cs="Times New Roman"/>
          <w:lang w:val="fr-CA"/>
        </w:rPr>
        <w:t>applique rarement, mais plutôt sur le fait qu</w:t>
      </w:r>
      <w:r>
        <w:rPr>
          <w:rFonts w:cs="Times New Roman"/>
          <w:lang w:val="fr-CA"/>
        </w:rPr>
        <w:t>’</w:t>
      </w:r>
      <w:r w:rsidRPr="00726732">
        <w:rPr>
          <w:rFonts w:cs="Times New Roman"/>
          <w:lang w:val="fr-CA"/>
        </w:rPr>
        <w:t>elle s</w:t>
      </w:r>
      <w:r>
        <w:rPr>
          <w:rFonts w:cs="Times New Roman"/>
          <w:lang w:val="fr-CA"/>
        </w:rPr>
        <w:t>’</w:t>
      </w:r>
      <w:r w:rsidRPr="00726732">
        <w:rPr>
          <w:rFonts w:cs="Times New Roman"/>
          <w:lang w:val="fr-CA"/>
        </w:rPr>
        <w:t>applique temporairement pour justifier des délais qui excèdent le plafond parce que les parties se sont raisonnablement conformées au droit tel qu</w:t>
      </w:r>
      <w:r>
        <w:rPr>
          <w:rFonts w:cs="Times New Roman"/>
          <w:lang w:val="fr-CA"/>
        </w:rPr>
        <w:t>’</w:t>
      </w:r>
      <w:r w:rsidRPr="00726732">
        <w:rPr>
          <w:rFonts w:cs="Times New Roman"/>
          <w:lang w:val="fr-CA"/>
        </w:rPr>
        <w:t>il existait auparavant (</w:t>
      </w:r>
      <w:r w:rsidRPr="00726732">
        <w:rPr>
          <w:rFonts w:cs="Times New Roman"/>
          <w:i/>
          <w:lang w:val="fr-CA"/>
        </w:rPr>
        <w:t>Jordan</w:t>
      </w:r>
      <w:r w:rsidRPr="00726732">
        <w:rPr>
          <w:rFonts w:cs="Times New Roman"/>
          <w:lang w:val="fr-CA"/>
        </w:rPr>
        <w:t xml:space="preserve">, par. 96). En effet, la mesure transitoire exceptionnelle doit être considérée dans les affaires qui étaient en cours avant </w:t>
      </w:r>
      <w:r w:rsidRPr="00726732">
        <w:rPr>
          <w:rFonts w:cs="Times New Roman"/>
          <w:i/>
          <w:lang w:val="fr-CA"/>
        </w:rPr>
        <w:t>Jordan</w:t>
      </w:r>
      <w:r w:rsidRPr="00726732">
        <w:rPr>
          <w:rFonts w:cs="Times New Roman"/>
          <w:lang w:val="fr-CA"/>
        </w:rPr>
        <w:t xml:space="preserve">. </w:t>
      </w:r>
      <w:r w:rsidRPr="00726732">
        <w:rPr>
          <w:rFonts w:cs="Times New Roman"/>
          <w:lang w:val="fr-CA"/>
        </w:rPr>
        <w:lastRenderedPageBreak/>
        <w:t>L</w:t>
      </w:r>
      <w:r>
        <w:rPr>
          <w:rFonts w:cs="Times New Roman"/>
          <w:lang w:val="fr-CA"/>
        </w:rPr>
        <w:t>’</w:t>
      </w:r>
      <w:r w:rsidRPr="00726732">
        <w:rPr>
          <w:rFonts w:cs="Times New Roman"/>
          <w:lang w:val="fr-CA"/>
        </w:rPr>
        <w:t>examen de la question de savoir si un délai excédant le plafond présumé est justifié pour cette raison doit être réalisé contextuellement et en tenant compte comme il se doit de « la manière dont l</w:t>
      </w:r>
      <w:r>
        <w:rPr>
          <w:rFonts w:cs="Times New Roman"/>
          <w:lang w:val="fr-CA"/>
        </w:rPr>
        <w:t>’</w:t>
      </w:r>
      <w:r w:rsidRPr="00726732">
        <w:rPr>
          <w:rFonts w:cs="Times New Roman"/>
          <w:lang w:val="fr-CA"/>
        </w:rPr>
        <w:t>ancien cadre a été appliqué » (</w:t>
      </w:r>
      <w:r w:rsidRPr="00726732">
        <w:rPr>
          <w:rFonts w:cs="Times New Roman"/>
          <w:i/>
          <w:lang w:val="fr-CA"/>
        </w:rPr>
        <w:t>Jordan</w:t>
      </w:r>
      <w:r w:rsidRPr="00726732">
        <w:rPr>
          <w:rFonts w:cs="Times New Roman"/>
          <w:lang w:val="fr-CA"/>
        </w:rPr>
        <w:t>, par. 96 et 98). Suivant le cadre qui avait été établi dans l</w:t>
      </w:r>
      <w:r>
        <w:rPr>
          <w:rFonts w:cs="Times New Roman"/>
          <w:lang w:val="fr-CA"/>
        </w:rPr>
        <w:t>’</w:t>
      </w:r>
      <w:r w:rsidRPr="00726732">
        <w:rPr>
          <w:rFonts w:cs="Times New Roman"/>
          <w:lang w:val="fr-CA"/>
        </w:rPr>
        <w:t xml:space="preserve">arrêt </w:t>
      </w:r>
      <w:r w:rsidRPr="00726732">
        <w:rPr>
          <w:rFonts w:cs="Times New Roman"/>
          <w:i/>
          <w:lang w:val="fr-CA"/>
        </w:rPr>
        <w:t>Morin</w:t>
      </w:r>
      <w:r w:rsidRPr="00726732">
        <w:rPr>
          <w:rFonts w:cs="Times New Roman"/>
          <w:lang w:val="fr-CA"/>
        </w:rPr>
        <w:t>, le préjudice subi et la gravité de l</w:t>
      </w:r>
      <w:r>
        <w:rPr>
          <w:rFonts w:cs="Times New Roman"/>
          <w:lang w:val="fr-CA"/>
        </w:rPr>
        <w:t>’</w:t>
      </w:r>
      <w:r w:rsidRPr="00726732">
        <w:rPr>
          <w:rFonts w:cs="Times New Roman"/>
          <w:lang w:val="fr-CA"/>
        </w:rPr>
        <w:t>infraction « ont souvent joué un rôle décisif dans la décision quant au caractère raisonnable du délai » (</w:t>
      </w:r>
      <w:r w:rsidRPr="00726732">
        <w:rPr>
          <w:rFonts w:cs="Times New Roman"/>
          <w:i/>
          <w:lang w:val="fr-CA"/>
        </w:rPr>
        <w:t>Jordan</w:t>
      </w:r>
      <w:r w:rsidRPr="00726732">
        <w:rPr>
          <w:rFonts w:cs="Times New Roman"/>
          <w:lang w:val="fr-CA"/>
        </w:rPr>
        <w:t>, par. 96). En outre, certaines juridictions sont aux prises avec des délais institutionnels considérables et connus, facteur qui était également considéré dans le cadre prévu par l</w:t>
      </w:r>
      <w:r>
        <w:rPr>
          <w:rFonts w:cs="Times New Roman"/>
          <w:lang w:val="fr-CA"/>
        </w:rPr>
        <w:t>’</w:t>
      </w:r>
      <w:r w:rsidRPr="00726732">
        <w:rPr>
          <w:rFonts w:cs="Times New Roman"/>
          <w:lang w:val="fr-CA"/>
        </w:rPr>
        <w:t xml:space="preserve">arrêt </w:t>
      </w:r>
      <w:r w:rsidRPr="00726732">
        <w:rPr>
          <w:rFonts w:cs="Times New Roman"/>
          <w:i/>
          <w:lang w:val="fr-CA"/>
        </w:rPr>
        <w:t>Morin</w:t>
      </w:r>
      <w:r w:rsidRPr="00726732">
        <w:rPr>
          <w:rFonts w:cs="Times New Roman"/>
          <w:lang w:val="fr-CA"/>
        </w:rPr>
        <w:t xml:space="preserve"> (</w:t>
      </w:r>
      <w:r w:rsidRPr="00726732">
        <w:rPr>
          <w:rFonts w:cs="Times New Roman"/>
          <w:i/>
          <w:lang w:val="fr-CA"/>
        </w:rPr>
        <w:t>Jordan</w:t>
      </w:r>
      <w:r w:rsidRPr="00726732">
        <w:rPr>
          <w:rFonts w:cs="Times New Roman"/>
          <w:lang w:val="fr-CA"/>
        </w:rPr>
        <w:t xml:space="preserve">, par. 97; </w:t>
      </w:r>
      <w:r w:rsidRPr="00726732">
        <w:rPr>
          <w:rFonts w:cs="Times New Roman"/>
          <w:i/>
          <w:lang w:val="fr-CA"/>
        </w:rPr>
        <w:t>Morin</w:t>
      </w:r>
      <w:r w:rsidR="00B00C2A">
        <w:rPr>
          <w:rFonts w:cs="Times New Roman"/>
          <w:lang w:val="fr-CA"/>
        </w:rPr>
        <w:t>, p. 799-</w:t>
      </w:r>
      <w:r w:rsidRPr="00726732">
        <w:rPr>
          <w:rFonts w:cs="Times New Roman"/>
          <w:lang w:val="fr-CA"/>
        </w:rPr>
        <w:t>800). Pour les causes en cours d</w:t>
      </w:r>
      <w:r>
        <w:rPr>
          <w:rFonts w:cs="Times New Roman"/>
          <w:lang w:val="fr-CA"/>
        </w:rPr>
        <w:t>’</w:t>
      </w:r>
      <w:r w:rsidRPr="00726732">
        <w:rPr>
          <w:rFonts w:cs="Times New Roman"/>
          <w:lang w:val="fr-CA"/>
        </w:rPr>
        <w:t>instance, ces considérations peuvent aider à déterminer si, dans un cas donné, un délai supérieur au plafond peut être justifié et qualifié de raisonnable (</w:t>
      </w:r>
      <w:r w:rsidRPr="00726732">
        <w:rPr>
          <w:rFonts w:cs="Times New Roman"/>
          <w:i/>
          <w:lang w:val="fr-CA"/>
        </w:rPr>
        <w:t>Jordan</w:t>
      </w:r>
      <w:r w:rsidRPr="00726732">
        <w:rPr>
          <w:rFonts w:cs="Times New Roman"/>
          <w:lang w:val="fr-CA"/>
        </w:rPr>
        <w:t xml:space="preserve">, par. 96). </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 xml:space="preserve">Il est important de clarifier un aspect de ces considérations. La décision de notre Cour dans </w:t>
      </w:r>
      <w:r w:rsidRPr="00726732">
        <w:rPr>
          <w:rFonts w:cs="Times New Roman"/>
          <w:i/>
          <w:lang w:val="fr-CA"/>
        </w:rPr>
        <w:t>R. c.</w:t>
      </w:r>
      <w:r w:rsidRPr="00726732">
        <w:rPr>
          <w:rFonts w:cs="Times New Roman"/>
          <w:lang w:val="fr-CA"/>
        </w:rPr>
        <w:t xml:space="preserve"> </w:t>
      </w:r>
      <w:r w:rsidRPr="00726732">
        <w:rPr>
          <w:rFonts w:cs="Times New Roman"/>
          <w:i/>
          <w:lang w:val="fr-CA"/>
        </w:rPr>
        <w:t>Williamson</w:t>
      </w:r>
      <w:r w:rsidRPr="00726732">
        <w:rPr>
          <w:rFonts w:cs="Times New Roman"/>
          <w:lang w:val="fr-CA"/>
        </w:rPr>
        <w:t>, 2016 CSC 28, [2016] 1 R.C.S. 741, ne doit pas être considérée comme ayant pour effet d</w:t>
      </w:r>
      <w:r>
        <w:rPr>
          <w:rFonts w:cs="Times New Roman"/>
          <w:lang w:val="fr-CA"/>
        </w:rPr>
        <w:t>’</w:t>
      </w:r>
      <w:r w:rsidRPr="00726732">
        <w:rPr>
          <w:rFonts w:cs="Times New Roman"/>
          <w:lang w:val="fr-CA"/>
        </w:rPr>
        <w:t>écarter le rôle important que jouent la gravité de l</w:t>
      </w:r>
      <w:r>
        <w:rPr>
          <w:rFonts w:cs="Times New Roman"/>
          <w:lang w:val="fr-CA"/>
        </w:rPr>
        <w:t>’</w:t>
      </w:r>
      <w:r w:rsidRPr="00726732">
        <w:rPr>
          <w:rFonts w:cs="Times New Roman"/>
          <w:lang w:val="fr-CA"/>
        </w:rPr>
        <w:t>infraction et le préjudice subi dans l</w:t>
      </w:r>
      <w:r>
        <w:rPr>
          <w:rFonts w:cs="Times New Roman"/>
          <w:lang w:val="fr-CA"/>
        </w:rPr>
        <w:t>’</w:t>
      </w:r>
      <w:r w:rsidRPr="00726732">
        <w:rPr>
          <w:rFonts w:cs="Times New Roman"/>
          <w:lang w:val="fr-CA"/>
        </w:rPr>
        <w:t xml:space="preserve">application de la mesure transitoire exceptionnelle. Les faits en cause dans </w:t>
      </w:r>
      <w:r w:rsidRPr="00726732">
        <w:rPr>
          <w:rFonts w:cs="Times New Roman"/>
          <w:i/>
          <w:lang w:val="fr-CA"/>
        </w:rPr>
        <w:t>Williamson</w:t>
      </w:r>
      <w:r w:rsidRPr="00726732">
        <w:rPr>
          <w:rFonts w:cs="Times New Roman"/>
          <w:lang w:val="fr-CA"/>
        </w:rPr>
        <w:t xml:space="preserve"> étaient inusités, en ce qu</w:t>
      </w:r>
      <w:r>
        <w:rPr>
          <w:rFonts w:cs="Times New Roman"/>
          <w:lang w:val="fr-CA"/>
        </w:rPr>
        <w:t>’</w:t>
      </w:r>
      <w:r w:rsidRPr="00726732">
        <w:rPr>
          <w:rFonts w:cs="Times New Roman"/>
          <w:lang w:val="fr-CA"/>
        </w:rPr>
        <w:t>il s</w:t>
      </w:r>
      <w:r>
        <w:rPr>
          <w:rFonts w:cs="Times New Roman"/>
          <w:lang w:val="fr-CA"/>
        </w:rPr>
        <w:t>’</w:t>
      </w:r>
      <w:r w:rsidRPr="00726732">
        <w:rPr>
          <w:rFonts w:cs="Times New Roman"/>
          <w:lang w:val="fr-CA"/>
        </w:rPr>
        <w:t>agissait d</w:t>
      </w:r>
      <w:r>
        <w:rPr>
          <w:rFonts w:cs="Times New Roman"/>
          <w:lang w:val="fr-CA"/>
        </w:rPr>
        <w:t>’</w:t>
      </w:r>
      <w:r w:rsidRPr="00726732">
        <w:rPr>
          <w:rFonts w:cs="Times New Roman"/>
          <w:lang w:val="fr-CA"/>
        </w:rPr>
        <w:t>une affaire simple, où les efforts répétés de l</w:t>
      </w:r>
      <w:r>
        <w:rPr>
          <w:rFonts w:cs="Times New Roman"/>
          <w:lang w:val="fr-CA"/>
        </w:rPr>
        <w:t>’</w:t>
      </w:r>
      <w:r w:rsidRPr="00726732">
        <w:rPr>
          <w:rFonts w:cs="Times New Roman"/>
          <w:lang w:val="fr-CA"/>
        </w:rPr>
        <w:t>accusé pour accélérer l</w:t>
      </w:r>
      <w:r>
        <w:rPr>
          <w:rFonts w:cs="Times New Roman"/>
          <w:lang w:val="fr-CA"/>
        </w:rPr>
        <w:t>’</w:t>
      </w:r>
      <w:r w:rsidRPr="00726732">
        <w:rPr>
          <w:rFonts w:cs="Times New Roman"/>
          <w:lang w:val="fr-CA"/>
        </w:rPr>
        <w:t>instance contrastaient avec l</w:t>
      </w:r>
      <w:r>
        <w:rPr>
          <w:rFonts w:cs="Times New Roman"/>
          <w:lang w:val="fr-CA"/>
        </w:rPr>
        <w:t>’</w:t>
      </w:r>
      <w:r w:rsidRPr="00726732">
        <w:rPr>
          <w:rFonts w:cs="Times New Roman"/>
          <w:lang w:val="fr-CA"/>
        </w:rPr>
        <w:t>indifférence manifestée par le ministère public (par. 26</w:t>
      </w:r>
      <w:r w:rsidRPr="00726732">
        <w:rPr>
          <w:rFonts w:cs="Times New Roman"/>
          <w:lang w:val="fr-CA"/>
        </w:rPr>
        <w:noBreakHyphen/>
        <w:t>29). En conséquence, malgré la gravité de l</w:t>
      </w:r>
      <w:r>
        <w:rPr>
          <w:rFonts w:cs="Times New Roman"/>
          <w:lang w:val="fr-CA"/>
        </w:rPr>
        <w:t>’</w:t>
      </w:r>
      <w:r w:rsidRPr="00726732">
        <w:rPr>
          <w:rFonts w:cs="Times New Roman"/>
          <w:lang w:val="fr-CA"/>
        </w:rPr>
        <w:t>infraction et l</w:t>
      </w:r>
      <w:r>
        <w:rPr>
          <w:rFonts w:cs="Times New Roman"/>
          <w:lang w:val="fr-CA"/>
        </w:rPr>
        <w:t>’</w:t>
      </w:r>
      <w:r w:rsidRPr="00726732">
        <w:rPr>
          <w:rFonts w:cs="Times New Roman"/>
          <w:lang w:val="fr-CA"/>
        </w:rPr>
        <w:t>absence de préjudice, le délai supérieur au plafond ne pouvait être justifié en appliquant la mesure transitoire exceptionnelle. Cette situation illustre bien le fait que le degré général de diligence dont ont fait preuve les parties peut aussi s</w:t>
      </w:r>
      <w:r>
        <w:rPr>
          <w:rFonts w:cs="Times New Roman"/>
          <w:lang w:val="fr-CA"/>
        </w:rPr>
        <w:t>’</w:t>
      </w:r>
      <w:r w:rsidRPr="00726732">
        <w:rPr>
          <w:rFonts w:cs="Times New Roman"/>
          <w:lang w:val="fr-CA"/>
        </w:rPr>
        <w:t>avérer une considération d</w:t>
      </w:r>
      <w:r>
        <w:rPr>
          <w:rFonts w:cs="Times New Roman"/>
          <w:lang w:val="fr-CA"/>
        </w:rPr>
        <w:t>’</w:t>
      </w:r>
      <w:r w:rsidRPr="00726732">
        <w:rPr>
          <w:rFonts w:cs="Times New Roman"/>
          <w:lang w:val="fr-CA"/>
        </w:rPr>
        <w:t xml:space="preserve">ordre transitoire </w:t>
      </w:r>
      <w:r w:rsidRPr="00726732">
        <w:rPr>
          <w:rFonts w:cs="Times New Roman"/>
          <w:lang w:val="fr-CA"/>
        </w:rPr>
        <w:lastRenderedPageBreak/>
        <w:t>importante. Mais, en définitive, cela signifie que tous ces facteurs doivent être pris en considération selon ce qui convient dans les circonstances.</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Lorsqu</w:t>
      </w:r>
      <w:r>
        <w:rPr>
          <w:rFonts w:cs="Times New Roman"/>
          <w:lang w:val="fr-CA"/>
        </w:rPr>
        <w:t>’</w:t>
      </w:r>
      <w:r w:rsidRPr="00726732">
        <w:rPr>
          <w:rFonts w:cs="Times New Roman"/>
          <w:lang w:val="fr-CA"/>
        </w:rPr>
        <w:t>ils se penchent sur l</w:t>
      </w:r>
      <w:r>
        <w:rPr>
          <w:rFonts w:cs="Times New Roman"/>
          <w:lang w:val="fr-CA"/>
        </w:rPr>
        <w:t>’</w:t>
      </w:r>
      <w:r w:rsidRPr="00726732">
        <w:rPr>
          <w:rFonts w:cs="Times New Roman"/>
          <w:lang w:val="fr-CA"/>
        </w:rPr>
        <w:t>application de la mesure transitoire exceptionnelle, les juges de première instance doivent garder à l</w:t>
      </w:r>
      <w:r>
        <w:rPr>
          <w:rFonts w:cs="Times New Roman"/>
          <w:lang w:val="fr-CA"/>
        </w:rPr>
        <w:t>’</w:t>
      </w:r>
      <w:r w:rsidRPr="00726732">
        <w:rPr>
          <w:rFonts w:cs="Times New Roman"/>
          <w:lang w:val="fr-CA"/>
        </w:rPr>
        <w:t>esprit les portions de l</w:t>
      </w:r>
      <w:r>
        <w:rPr>
          <w:rFonts w:cs="Times New Roman"/>
          <w:lang w:val="fr-CA"/>
        </w:rPr>
        <w:t>’</w:t>
      </w:r>
      <w:r w:rsidRPr="00726732">
        <w:rPr>
          <w:rFonts w:cs="Times New Roman"/>
          <w:lang w:val="fr-CA"/>
        </w:rPr>
        <w:t>instance qui se sont déroulées, selon le cas, avant ou après l</w:t>
      </w:r>
      <w:r>
        <w:rPr>
          <w:rFonts w:cs="Times New Roman"/>
          <w:lang w:val="fr-CA"/>
        </w:rPr>
        <w:t>’</w:t>
      </w:r>
      <w:r w:rsidRPr="00726732">
        <w:rPr>
          <w:rFonts w:cs="Times New Roman"/>
          <w:lang w:val="fr-CA"/>
        </w:rPr>
        <w:t xml:space="preserve">arrêt </w:t>
      </w:r>
      <w:r w:rsidRPr="00726732">
        <w:rPr>
          <w:rFonts w:cs="Times New Roman"/>
          <w:i/>
          <w:lang w:val="fr-CA"/>
        </w:rPr>
        <w:t>Jordan</w:t>
      </w:r>
      <w:r w:rsidRPr="00726732">
        <w:rPr>
          <w:rFonts w:cs="Times New Roman"/>
          <w:lang w:val="fr-CA"/>
        </w:rPr>
        <w:t>. Pour ce qui est des aspects de l</w:t>
      </w:r>
      <w:r>
        <w:rPr>
          <w:rFonts w:cs="Times New Roman"/>
          <w:lang w:val="fr-CA"/>
        </w:rPr>
        <w:t>’</w:t>
      </w:r>
      <w:r w:rsidRPr="00726732">
        <w:rPr>
          <w:rFonts w:cs="Times New Roman"/>
          <w:lang w:val="fr-CA"/>
        </w:rPr>
        <w:t xml:space="preserve">affaire survenus avant </w:t>
      </w:r>
      <w:r w:rsidRPr="00726732">
        <w:rPr>
          <w:rFonts w:cs="Times New Roman"/>
          <w:i/>
          <w:lang w:val="fr-CA"/>
        </w:rPr>
        <w:t>Jordan</w:t>
      </w:r>
      <w:r w:rsidRPr="00726732">
        <w:rPr>
          <w:rFonts w:cs="Times New Roman"/>
          <w:lang w:val="fr-CA"/>
        </w:rPr>
        <w:t>, il importe de s</w:t>
      </w:r>
      <w:r>
        <w:rPr>
          <w:rFonts w:cs="Times New Roman"/>
          <w:lang w:val="fr-CA"/>
        </w:rPr>
        <w:t>’</w:t>
      </w:r>
      <w:r w:rsidRPr="00726732">
        <w:rPr>
          <w:rFonts w:cs="Times New Roman"/>
          <w:lang w:val="fr-CA"/>
        </w:rPr>
        <w:t>attacher aux facteurs qui étaient pertinents pour l</w:t>
      </w:r>
      <w:r>
        <w:rPr>
          <w:rFonts w:cs="Times New Roman"/>
          <w:lang w:val="fr-CA"/>
        </w:rPr>
        <w:t>’</w:t>
      </w:r>
      <w:r w:rsidRPr="00726732">
        <w:rPr>
          <w:rFonts w:cs="Times New Roman"/>
          <w:lang w:val="fr-CA"/>
        </w:rPr>
        <w:t xml:space="preserve">application du cadre établi dans </w:t>
      </w:r>
      <w:r w:rsidRPr="00726732">
        <w:rPr>
          <w:rFonts w:cs="Times New Roman"/>
          <w:i/>
          <w:lang w:val="fr-CA"/>
        </w:rPr>
        <w:t>Morin</w:t>
      </w:r>
      <w:r w:rsidRPr="00726732">
        <w:rPr>
          <w:rFonts w:cs="Times New Roman"/>
          <w:lang w:val="fr-CA"/>
        </w:rPr>
        <w:t>, y compris la gravité de l</w:t>
      </w:r>
      <w:r>
        <w:rPr>
          <w:rFonts w:cs="Times New Roman"/>
          <w:lang w:val="fr-CA"/>
        </w:rPr>
        <w:t>’</w:t>
      </w:r>
      <w:r w:rsidRPr="00726732">
        <w:rPr>
          <w:rFonts w:cs="Times New Roman"/>
          <w:lang w:val="fr-CA"/>
        </w:rPr>
        <w:t>infraction et le préjudice subi. Pour la partie du délai qui s</w:t>
      </w:r>
      <w:r>
        <w:rPr>
          <w:rFonts w:cs="Times New Roman"/>
          <w:lang w:val="fr-CA"/>
        </w:rPr>
        <w:t>’</w:t>
      </w:r>
      <w:r w:rsidRPr="00726732">
        <w:rPr>
          <w:rFonts w:cs="Times New Roman"/>
          <w:lang w:val="fr-CA"/>
        </w:rPr>
        <w:t xml:space="preserve">écoule après le prononcé de </w:t>
      </w:r>
      <w:r w:rsidRPr="00726732">
        <w:rPr>
          <w:rFonts w:cs="Times New Roman"/>
          <w:i/>
          <w:lang w:val="fr-CA"/>
        </w:rPr>
        <w:t>Jordan</w:t>
      </w:r>
      <w:r w:rsidRPr="00726732">
        <w:rPr>
          <w:rFonts w:cs="Times New Roman"/>
          <w:lang w:val="fr-CA"/>
        </w:rPr>
        <w:t>, il faut plutôt s</w:t>
      </w:r>
      <w:r>
        <w:rPr>
          <w:rFonts w:cs="Times New Roman"/>
          <w:lang w:val="fr-CA"/>
        </w:rPr>
        <w:t>’</w:t>
      </w:r>
      <w:r w:rsidRPr="00726732">
        <w:rPr>
          <w:rFonts w:cs="Times New Roman"/>
          <w:lang w:val="fr-CA"/>
        </w:rPr>
        <w:t>attacher à la question de savoir si les parties et les tribunaux ont disposé de suffisamment de temps pour s</w:t>
      </w:r>
      <w:r>
        <w:rPr>
          <w:rFonts w:cs="Times New Roman"/>
          <w:lang w:val="fr-CA"/>
        </w:rPr>
        <w:t>’</w:t>
      </w:r>
      <w:r w:rsidRPr="00726732">
        <w:rPr>
          <w:rFonts w:cs="Times New Roman"/>
          <w:lang w:val="fr-CA"/>
        </w:rPr>
        <w:t>adapter (</w:t>
      </w:r>
      <w:r w:rsidRPr="00726732">
        <w:rPr>
          <w:rFonts w:cs="Times New Roman"/>
          <w:i/>
          <w:lang w:val="fr-CA"/>
        </w:rPr>
        <w:t>Jordan</w:t>
      </w:r>
      <w:r w:rsidRPr="00726732">
        <w:rPr>
          <w:rFonts w:cs="Times New Roman"/>
          <w:lang w:val="fr-CA"/>
        </w:rPr>
        <w:t>,</w:t>
      </w:r>
      <w:r w:rsidRPr="00726732">
        <w:rPr>
          <w:rFonts w:cs="Times New Roman"/>
          <w:i/>
          <w:lang w:val="fr-CA"/>
        </w:rPr>
        <w:t xml:space="preserve"> </w:t>
      </w:r>
      <w:r w:rsidRPr="00726732">
        <w:rPr>
          <w:rFonts w:cs="Times New Roman"/>
          <w:lang w:val="fr-CA"/>
        </w:rPr>
        <w:t xml:space="preserve">para. 96). </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En l</w:t>
      </w:r>
      <w:r>
        <w:rPr>
          <w:rFonts w:cs="Times New Roman"/>
          <w:lang w:val="fr-CA"/>
        </w:rPr>
        <w:t>’</w:t>
      </w:r>
      <w:r w:rsidRPr="00726732">
        <w:rPr>
          <w:rFonts w:cs="Times New Roman"/>
          <w:lang w:val="fr-CA"/>
        </w:rPr>
        <w:t>espèce, l</w:t>
      </w:r>
      <w:r>
        <w:rPr>
          <w:rFonts w:cs="Times New Roman"/>
          <w:lang w:val="fr-CA"/>
        </w:rPr>
        <w:t>’</w:t>
      </w:r>
      <w:r w:rsidRPr="00726732">
        <w:rPr>
          <w:rFonts w:cs="Times New Roman"/>
          <w:lang w:val="fr-CA"/>
        </w:rPr>
        <w:t>ensemble des procédures préalables au procès sont antérieures à l</w:t>
      </w:r>
      <w:r>
        <w:rPr>
          <w:rFonts w:cs="Times New Roman"/>
          <w:lang w:val="fr-CA"/>
        </w:rPr>
        <w:t>’</w:t>
      </w:r>
      <w:r w:rsidRPr="00726732">
        <w:rPr>
          <w:rFonts w:cs="Times New Roman"/>
          <w:lang w:val="fr-CA"/>
        </w:rPr>
        <w:t xml:space="preserve">arrêt </w:t>
      </w:r>
      <w:r w:rsidRPr="00726732">
        <w:rPr>
          <w:rFonts w:cs="Times New Roman"/>
          <w:i/>
          <w:lang w:val="fr-CA"/>
        </w:rPr>
        <w:t>Jordan</w:t>
      </w:r>
      <w:r w:rsidRPr="00726732">
        <w:rPr>
          <w:rFonts w:cs="Times New Roman"/>
          <w:lang w:val="fr-CA"/>
        </w:rPr>
        <w:t>. Le ministère public doit donc établir que le délai net de 36,5 mois était justifié, étant donné qu</w:t>
      </w:r>
      <w:r>
        <w:rPr>
          <w:rFonts w:cs="Times New Roman"/>
          <w:lang w:val="fr-CA"/>
        </w:rPr>
        <w:t>’</w:t>
      </w:r>
      <w:r w:rsidRPr="00726732">
        <w:rPr>
          <w:rFonts w:cs="Times New Roman"/>
          <w:lang w:val="fr-CA"/>
        </w:rPr>
        <w:t>il s</w:t>
      </w:r>
      <w:r>
        <w:rPr>
          <w:rFonts w:cs="Times New Roman"/>
          <w:lang w:val="fr-CA"/>
        </w:rPr>
        <w:t>’</w:t>
      </w:r>
      <w:r w:rsidRPr="00726732">
        <w:rPr>
          <w:rFonts w:cs="Times New Roman"/>
          <w:lang w:val="fr-CA"/>
        </w:rPr>
        <w:t>est conformé à l</w:t>
      </w:r>
      <w:r>
        <w:rPr>
          <w:rFonts w:cs="Times New Roman"/>
          <w:lang w:val="fr-CA"/>
        </w:rPr>
        <w:t>’</w:t>
      </w:r>
      <w:r w:rsidRPr="00726732">
        <w:rPr>
          <w:rFonts w:cs="Times New Roman"/>
          <w:lang w:val="fr-CA"/>
        </w:rPr>
        <w:t>état du droit antérieur, c</w:t>
      </w:r>
      <w:r>
        <w:rPr>
          <w:rFonts w:cs="Times New Roman"/>
          <w:lang w:val="fr-CA"/>
        </w:rPr>
        <w:t>’</w:t>
      </w:r>
      <w:r w:rsidRPr="00726732">
        <w:rPr>
          <w:rFonts w:cs="Times New Roman"/>
          <w:lang w:val="fr-CA"/>
        </w:rPr>
        <w:t>est</w:t>
      </w:r>
      <w:r w:rsidRPr="00726732">
        <w:rPr>
          <w:rFonts w:cs="Times New Roman"/>
          <w:lang w:val="fr-CA"/>
        </w:rPr>
        <w:noBreakHyphen/>
        <w:t>à</w:t>
      </w:r>
      <w:r w:rsidRPr="00726732">
        <w:rPr>
          <w:rFonts w:cs="Times New Roman"/>
          <w:lang w:val="fr-CA"/>
        </w:rPr>
        <w:noBreakHyphen/>
        <w:t>dire le droit applicable suivant l</w:t>
      </w:r>
      <w:r>
        <w:rPr>
          <w:rFonts w:cs="Times New Roman"/>
          <w:lang w:val="fr-CA"/>
        </w:rPr>
        <w:t>’</w:t>
      </w:r>
      <w:r w:rsidRPr="00726732">
        <w:rPr>
          <w:rFonts w:cs="Times New Roman"/>
          <w:lang w:val="fr-CA"/>
        </w:rPr>
        <w:t xml:space="preserve">arrêt </w:t>
      </w:r>
      <w:r w:rsidRPr="00726732">
        <w:rPr>
          <w:rFonts w:cs="Times New Roman"/>
          <w:i/>
          <w:lang w:val="fr-CA"/>
        </w:rPr>
        <w:t>Morin</w:t>
      </w:r>
      <w:r w:rsidRPr="00726732">
        <w:rPr>
          <w:rFonts w:cs="Times New Roman"/>
          <w:lang w:val="fr-CA"/>
        </w:rPr>
        <w:t xml:space="preserve">. </w:t>
      </w:r>
    </w:p>
    <w:p w:rsidR="001020F9" w:rsidRPr="00726732" w:rsidRDefault="001020F9" w:rsidP="00D42258">
      <w:pPr>
        <w:pStyle w:val="ParaNoNdepar-AltN"/>
        <w:widowControl w:val="0"/>
        <w:tabs>
          <w:tab w:val="clear" w:pos="1152"/>
          <w:tab w:val="left" w:pos="1166"/>
        </w:tabs>
        <w:rPr>
          <w:rFonts w:cs="Times New Roman"/>
          <w:lang w:val="fr-CA"/>
        </w:rPr>
      </w:pPr>
      <w:r w:rsidRPr="00726732">
        <w:rPr>
          <w:rFonts w:cs="Times New Roman"/>
          <w:lang w:val="fr-CA"/>
        </w:rPr>
        <w:t>Les accusations en cause dans la présente affaire étaient graves. Toutefois, nous sommes d</w:t>
      </w:r>
      <w:r>
        <w:rPr>
          <w:rFonts w:cs="Times New Roman"/>
          <w:lang w:val="fr-CA"/>
        </w:rPr>
        <w:t>’</w:t>
      </w:r>
      <w:r w:rsidRPr="00726732">
        <w:rPr>
          <w:rFonts w:cs="Times New Roman"/>
          <w:lang w:val="fr-CA"/>
        </w:rPr>
        <w:t>avis que ce facteur ne saurait être retenu compte tenu de la conclusion du juge du procès selon laquelle il y a eu [</w:t>
      </w:r>
      <w:r w:rsidRPr="00726732">
        <w:rPr>
          <w:rFonts w:cs="Times New Roman"/>
          <w:smallCaps/>
          <w:lang w:val="fr-CA"/>
        </w:rPr>
        <w:t>traduction</w:t>
      </w:r>
      <w:r w:rsidRPr="00726732">
        <w:rPr>
          <w:rFonts w:cs="Times New Roman"/>
          <w:lang w:val="fr-CA"/>
        </w:rPr>
        <w:t>] « effectivement un préjudice réel et substantiel » (par. 191). Le juge a en outre expressément conclu que la conduite de M. Cody n</w:t>
      </w:r>
      <w:r>
        <w:rPr>
          <w:rFonts w:cs="Times New Roman"/>
          <w:lang w:val="fr-CA"/>
        </w:rPr>
        <w:t>’</w:t>
      </w:r>
      <w:r w:rsidRPr="00726732">
        <w:rPr>
          <w:rFonts w:cs="Times New Roman"/>
          <w:lang w:val="fr-CA"/>
        </w:rPr>
        <w:t xml:space="preserve">était pas « incompatible avec le désir que le procès se tienne dans les meilleurs délais » (par. 175). </w:t>
      </w:r>
    </w:p>
    <w:p w:rsidR="001020F9" w:rsidRPr="00726732" w:rsidRDefault="001020F9" w:rsidP="00D42258">
      <w:pPr>
        <w:pStyle w:val="ParaNoNdepar-AltN"/>
        <w:widowControl w:val="0"/>
        <w:rPr>
          <w:rFonts w:cs="Times New Roman"/>
          <w:lang w:val="fr-CA"/>
        </w:rPr>
      </w:pPr>
      <w:r w:rsidRPr="00726732">
        <w:rPr>
          <w:rFonts w:cs="Times New Roman"/>
          <w:lang w:val="fr-CA"/>
        </w:rPr>
        <w:lastRenderedPageBreak/>
        <w:t>Vu ces conclusions, le ministère public n</w:t>
      </w:r>
      <w:r>
        <w:rPr>
          <w:rFonts w:cs="Times New Roman"/>
          <w:lang w:val="fr-CA"/>
        </w:rPr>
        <w:t>’</w:t>
      </w:r>
      <w:r w:rsidRPr="00726732">
        <w:rPr>
          <w:rFonts w:cs="Times New Roman"/>
          <w:lang w:val="fr-CA"/>
        </w:rPr>
        <w:t>est pas en mesure de démontrer que le délai net de 36,5 mois constaté en l</w:t>
      </w:r>
      <w:r>
        <w:rPr>
          <w:rFonts w:cs="Times New Roman"/>
          <w:lang w:val="fr-CA"/>
        </w:rPr>
        <w:t>’</w:t>
      </w:r>
      <w:r w:rsidRPr="00726732">
        <w:rPr>
          <w:rFonts w:cs="Times New Roman"/>
          <w:lang w:val="fr-CA"/>
        </w:rPr>
        <w:t>espèce était justifié parce qu</w:t>
      </w:r>
      <w:r>
        <w:rPr>
          <w:rFonts w:cs="Times New Roman"/>
          <w:lang w:val="fr-CA"/>
        </w:rPr>
        <w:t>’</w:t>
      </w:r>
      <w:r w:rsidRPr="00726732">
        <w:rPr>
          <w:rFonts w:cs="Times New Roman"/>
          <w:lang w:val="fr-CA"/>
        </w:rPr>
        <w:t>il serait conforme à l</w:t>
      </w:r>
      <w:r>
        <w:rPr>
          <w:rFonts w:cs="Times New Roman"/>
          <w:lang w:val="fr-CA"/>
        </w:rPr>
        <w:t>’</w:t>
      </w:r>
      <w:r w:rsidRPr="00726732">
        <w:rPr>
          <w:rFonts w:cs="Times New Roman"/>
          <w:lang w:val="fr-CA"/>
        </w:rPr>
        <w:t>état antérieur du droit. Au contraire, les conclusions tirées par le juge de première instance en vertu des anciennes règles militent plutôt en faveur de l</w:t>
      </w:r>
      <w:r>
        <w:rPr>
          <w:rFonts w:cs="Times New Roman"/>
          <w:lang w:val="fr-CA"/>
        </w:rPr>
        <w:t>’</w:t>
      </w:r>
      <w:r w:rsidRPr="00726732">
        <w:rPr>
          <w:rFonts w:cs="Times New Roman"/>
          <w:lang w:val="fr-CA"/>
        </w:rPr>
        <w:t>arrêt des procédures. Dans les cas où la mise en balance des facteurs requis par l</w:t>
      </w:r>
      <w:r>
        <w:rPr>
          <w:rFonts w:cs="Times New Roman"/>
          <w:lang w:val="fr-CA"/>
        </w:rPr>
        <w:t>’</w:t>
      </w:r>
      <w:r w:rsidRPr="00726732">
        <w:rPr>
          <w:rFonts w:cs="Times New Roman"/>
          <w:lang w:val="fr-CA"/>
        </w:rPr>
        <w:t xml:space="preserve">analyse établie dans </w:t>
      </w:r>
      <w:r w:rsidRPr="00726732">
        <w:rPr>
          <w:rFonts w:cs="Times New Roman"/>
          <w:i/>
          <w:lang w:val="fr-CA"/>
        </w:rPr>
        <w:t>Morin</w:t>
      </w:r>
      <w:r w:rsidRPr="00726732">
        <w:rPr>
          <w:rFonts w:cs="Times New Roman"/>
          <w:lang w:val="fr-CA"/>
        </w:rPr>
        <w:t>, par exemple la gravité de l</w:t>
      </w:r>
      <w:r>
        <w:rPr>
          <w:rFonts w:cs="Times New Roman"/>
          <w:lang w:val="fr-CA"/>
        </w:rPr>
        <w:t>’</w:t>
      </w:r>
      <w:r w:rsidRPr="00726732">
        <w:rPr>
          <w:rFonts w:cs="Times New Roman"/>
          <w:lang w:val="fr-CA"/>
        </w:rPr>
        <w:t>infraction et le préjudice subi, favorise le prononcé d</w:t>
      </w:r>
      <w:r>
        <w:rPr>
          <w:rFonts w:cs="Times New Roman"/>
          <w:lang w:val="fr-CA"/>
        </w:rPr>
        <w:t>’</w:t>
      </w:r>
      <w:r w:rsidRPr="00726732">
        <w:rPr>
          <w:rFonts w:cs="Times New Roman"/>
          <w:lang w:val="fr-CA"/>
        </w:rPr>
        <w:t xml:space="preserve">un arrêt des procédures, nous estimons que le ministère public ne réussira que rarement, voire jamais, à justifier le délai en invoquant la mesure transitoire exceptionnelle prévue par le cadre énoncé dans </w:t>
      </w:r>
      <w:r w:rsidRPr="00726732">
        <w:rPr>
          <w:rFonts w:cs="Times New Roman"/>
          <w:i/>
          <w:lang w:val="fr-CA"/>
        </w:rPr>
        <w:t>Jordan</w:t>
      </w:r>
      <w:r w:rsidRPr="00726732">
        <w:rPr>
          <w:rFonts w:cs="Times New Roman"/>
          <w:lang w:val="fr-CA"/>
        </w:rPr>
        <w:t>. En conséquence, nous concluons que le délai était déraisonnable en l</w:t>
      </w:r>
      <w:r>
        <w:rPr>
          <w:rFonts w:cs="Times New Roman"/>
          <w:lang w:val="fr-CA"/>
        </w:rPr>
        <w:t>’</w:t>
      </w:r>
      <w:r w:rsidRPr="00726732">
        <w:rPr>
          <w:rFonts w:cs="Times New Roman"/>
          <w:lang w:val="fr-CA"/>
        </w:rPr>
        <w:t xml:space="preserve">espèce. </w:t>
      </w:r>
    </w:p>
    <w:p w:rsidR="001020F9" w:rsidRPr="00726732" w:rsidRDefault="001020F9" w:rsidP="00D42258">
      <w:pPr>
        <w:pStyle w:val="Title1LevelTitre1Niveau-AltL"/>
        <w:widowControl w:val="0"/>
        <w:rPr>
          <w:rFonts w:cs="Times New Roman"/>
          <w:lang w:val="fr-CA"/>
        </w:rPr>
      </w:pPr>
      <w:r w:rsidRPr="00726732">
        <w:rPr>
          <w:rFonts w:cs="Times New Roman"/>
          <w:lang w:val="fr-CA"/>
        </w:rPr>
        <w:t>Conclusion</w:t>
      </w:r>
    </w:p>
    <w:p w:rsidR="001020F9" w:rsidRPr="00726732" w:rsidRDefault="001020F9" w:rsidP="00D42258">
      <w:pPr>
        <w:pStyle w:val="ParaNoNdepar-AltN"/>
        <w:widowControl w:val="0"/>
        <w:rPr>
          <w:rFonts w:cs="Times New Roman"/>
          <w:lang w:val="fr-CA"/>
        </w:rPr>
      </w:pPr>
      <w:r w:rsidRPr="00726732">
        <w:rPr>
          <w:rFonts w:cs="Times New Roman"/>
          <w:lang w:val="fr-CA"/>
        </w:rPr>
        <w:t>Nous sommes d</w:t>
      </w:r>
      <w:r>
        <w:rPr>
          <w:rFonts w:cs="Times New Roman"/>
          <w:lang w:val="fr-CA"/>
        </w:rPr>
        <w:t>’</w:t>
      </w:r>
      <w:r w:rsidRPr="00726732">
        <w:rPr>
          <w:rFonts w:cs="Times New Roman"/>
          <w:lang w:val="fr-CA"/>
        </w:rPr>
        <w:t>avis d</w:t>
      </w:r>
      <w:r>
        <w:rPr>
          <w:rFonts w:cs="Times New Roman"/>
          <w:lang w:val="fr-CA"/>
        </w:rPr>
        <w:t>’</w:t>
      </w:r>
      <w:r w:rsidRPr="00726732">
        <w:rPr>
          <w:rFonts w:cs="Times New Roman"/>
          <w:lang w:val="fr-CA"/>
        </w:rPr>
        <w:t>accueillir le pourvoi et de rétablir l</w:t>
      </w:r>
      <w:r>
        <w:rPr>
          <w:rFonts w:cs="Times New Roman"/>
          <w:lang w:val="fr-CA"/>
        </w:rPr>
        <w:t>’</w:t>
      </w:r>
      <w:r w:rsidRPr="00726732">
        <w:rPr>
          <w:rFonts w:cs="Times New Roman"/>
          <w:lang w:val="fr-CA"/>
        </w:rPr>
        <w:t>ordonnance d</w:t>
      </w:r>
      <w:r>
        <w:rPr>
          <w:rFonts w:cs="Times New Roman"/>
          <w:lang w:val="fr-CA"/>
        </w:rPr>
        <w:t>’</w:t>
      </w:r>
      <w:r w:rsidRPr="00726732">
        <w:rPr>
          <w:rFonts w:cs="Times New Roman"/>
          <w:lang w:val="fr-CA"/>
        </w:rPr>
        <w:t>arrêt des procédures rendue par le juge de première instance.</w:t>
      </w:r>
    </w:p>
    <w:p w:rsidR="004D7D95" w:rsidRPr="005C33AA" w:rsidRDefault="004D7D95" w:rsidP="00D42258">
      <w:pPr>
        <w:pStyle w:val="SCCNormalDoubleSpacing"/>
        <w:widowControl w:val="0"/>
        <w:spacing w:after="480"/>
        <w:rPr>
          <w:i/>
          <w:lang w:val="fr-CA"/>
        </w:rPr>
      </w:pPr>
      <w:r w:rsidRPr="005C33AA">
        <w:rPr>
          <w:lang w:val="fr-CA"/>
        </w:rPr>
        <w:tab/>
      </w:r>
      <w:r w:rsidR="00903E1D" w:rsidRPr="005C33AA">
        <w:rPr>
          <w:i/>
          <w:lang w:val="fr-CA"/>
        </w:rPr>
        <w:t>Pourvoi</w:t>
      </w:r>
      <w:r w:rsidR="00F74BC3" w:rsidRPr="005C33AA">
        <w:rPr>
          <w:i/>
          <w:lang w:val="fr-CA"/>
        </w:rPr>
        <w:t xml:space="preserve"> accueilli.</w:t>
      </w:r>
    </w:p>
    <w:p w:rsidR="00903E1D" w:rsidRPr="005C33AA" w:rsidRDefault="00A157E9" w:rsidP="00D42258">
      <w:pPr>
        <w:pStyle w:val="SCCLawFirm"/>
        <w:widowControl w:val="0"/>
        <w:spacing w:after="480"/>
        <w:rPr>
          <w:lang w:val="fr-CA"/>
        </w:rPr>
      </w:pPr>
      <w:r w:rsidRPr="005C33AA">
        <w:rPr>
          <w:lang w:val="fr-CA"/>
        </w:rPr>
        <w:tab/>
        <w:t>Procureur</w:t>
      </w:r>
      <w:r w:rsidR="00903E1D" w:rsidRPr="005C33AA">
        <w:rPr>
          <w:lang w:val="fr-CA"/>
        </w:rPr>
        <w:t>s de l’appelant</w:t>
      </w:r>
      <w:r w:rsidR="00D60C0F">
        <w:rPr>
          <w:lang w:val="fr-CA"/>
        </w:rPr>
        <w:t> :</w:t>
      </w:r>
      <w:r w:rsidR="00FD0A5E" w:rsidRPr="005C33AA">
        <w:rPr>
          <w:lang w:val="fr-CA"/>
        </w:rPr>
        <w:t> </w:t>
      </w:r>
      <w:r w:rsidR="00903E1D" w:rsidRPr="005C33AA">
        <w:rPr>
          <w:lang w:val="fr-CA"/>
        </w:rPr>
        <w:t>Spiteri &amp; Ursulak, Ottawa; Addario Law Group, Toronto.</w:t>
      </w:r>
    </w:p>
    <w:p w:rsidR="000A37E9" w:rsidRPr="005C33AA" w:rsidRDefault="00903E1D" w:rsidP="00D42258">
      <w:pPr>
        <w:pStyle w:val="SCCLawFirm"/>
        <w:widowControl w:val="0"/>
        <w:spacing w:after="480"/>
        <w:rPr>
          <w:lang w:val="fr-CA"/>
        </w:rPr>
      </w:pPr>
      <w:r w:rsidRPr="005C33AA">
        <w:rPr>
          <w:lang w:val="fr-CA"/>
        </w:rPr>
        <w:tab/>
        <w:t>Procureur de l’intimée</w:t>
      </w:r>
      <w:r w:rsidR="00D60C0F">
        <w:rPr>
          <w:lang w:val="fr-CA"/>
        </w:rPr>
        <w:t> :</w:t>
      </w:r>
      <w:r w:rsidR="00FD0A5E" w:rsidRPr="005C33AA">
        <w:rPr>
          <w:lang w:val="fr-CA"/>
        </w:rPr>
        <w:t> </w:t>
      </w:r>
      <w:r w:rsidRPr="005C33AA">
        <w:rPr>
          <w:lang w:val="fr-CA"/>
        </w:rPr>
        <w:t>Service des poursuites pénales du</w:t>
      </w:r>
      <w:r w:rsidR="00A157E9" w:rsidRPr="005C33AA">
        <w:rPr>
          <w:lang w:val="fr-CA"/>
        </w:rPr>
        <w:t xml:space="preserve"> Canada, Toronto.</w:t>
      </w:r>
    </w:p>
    <w:p w:rsidR="000A37E9" w:rsidRPr="005C33AA" w:rsidRDefault="00A157E9" w:rsidP="00D42258">
      <w:pPr>
        <w:pStyle w:val="SCCLawFirm"/>
        <w:widowControl w:val="0"/>
        <w:spacing w:after="480"/>
        <w:rPr>
          <w:lang w:val="fr-CA"/>
        </w:rPr>
      </w:pPr>
      <w:r w:rsidRPr="005C33AA">
        <w:rPr>
          <w:lang w:val="fr-CA"/>
        </w:rPr>
        <w:lastRenderedPageBreak/>
        <w:tab/>
        <w:t>Procureur</w:t>
      </w:r>
      <w:r w:rsidR="00B52A50" w:rsidRPr="005C33AA">
        <w:rPr>
          <w:lang w:val="fr-CA"/>
        </w:rPr>
        <w:t xml:space="preserve"> de l’intervenant le procureur général de l’</w:t>
      </w:r>
      <w:r w:rsidRPr="005C33AA">
        <w:rPr>
          <w:lang w:val="fr-CA"/>
        </w:rPr>
        <w:t>Ontario</w:t>
      </w:r>
      <w:r w:rsidR="00D60C0F">
        <w:rPr>
          <w:lang w:val="fr-CA"/>
        </w:rPr>
        <w:t> :</w:t>
      </w:r>
      <w:r w:rsidR="00FD0A5E" w:rsidRPr="005C33AA">
        <w:rPr>
          <w:lang w:val="fr-CA"/>
        </w:rPr>
        <w:t> </w:t>
      </w:r>
      <w:r w:rsidR="00B52A50" w:rsidRPr="005C33AA">
        <w:rPr>
          <w:lang w:val="fr-CA"/>
        </w:rPr>
        <w:t>Procureur général de l’Ontario</w:t>
      </w:r>
      <w:r w:rsidRPr="005C33AA">
        <w:rPr>
          <w:lang w:val="fr-CA"/>
        </w:rPr>
        <w:t>, Toronto.</w:t>
      </w:r>
    </w:p>
    <w:p w:rsidR="00576D82" w:rsidRPr="005C33AA" w:rsidRDefault="00576D82" w:rsidP="00D42258">
      <w:pPr>
        <w:pStyle w:val="SCCLawFirm"/>
        <w:widowControl w:val="0"/>
        <w:spacing w:after="480"/>
        <w:rPr>
          <w:lang w:val="fr-CA"/>
        </w:rPr>
      </w:pPr>
      <w:r w:rsidRPr="005C33AA">
        <w:rPr>
          <w:lang w:val="fr-CA"/>
        </w:rPr>
        <w:tab/>
        <w:t>Procureur de l’intervenante la procureure générale du Québec</w:t>
      </w:r>
      <w:r w:rsidR="00D60C0F">
        <w:rPr>
          <w:lang w:val="fr-CA"/>
        </w:rPr>
        <w:t> :</w:t>
      </w:r>
      <w:r w:rsidR="00FD0A5E" w:rsidRPr="005C33AA">
        <w:rPr>
          <w:lang w:val="fr-CA"/>
        </w:rPr>
        <w:t> </w:t>
      </w:r>
      <w:r w:rsidRPr="005C33AA">
        <w:rPr>
          <w:lang w:val="fr-CA"/>
        </w:rPr>
        <w:t>Procureure générale du Québec, Québec.</w:t>
      </w:r>
    </w:p>
    <w:p w:rsidR="0072358A" w:rsidRPr="005C33AA" w:rsidRDefault="0072358A" w:rsidP="00D42258">
      <w:pPr>
        <w:pStyle w:val="SCCLawFirm"/>
        <w:widowControl w:val="0"/>
        <w:spacing w:after="480"/>
        <w:rPr>
          <w:lang w:val="fr-CA"/>
        </w:rPr>
      </w:pPr>
      <w:r w:rsidRPr="005C33AA">
        <w:rPr>
          <w:lang w:val="fr-CA"/>
        </w:rPr>
        <w:tab/>
        <w:t>Procureur de l’intervenant le procureur général du Manitoba</w:t>
      </w:r>
      <w:r w:rsidR="00D60C0F">
        <w:rPr>
          <w:lang w:val="fr-CA"/>
        </w:rPr>
        <w:t> :</w:t>
      </w:r>
      <w:r w:rsidR="00FD0A5E" w:rsidRPr="005C33AA">
        <w:rPr>
          <w:lang w:val="fr-CA"/>
        </w:rPr>
        <w:t> </w:t>
      </w:r>
      <w:r w:rsidRPr="005C33AA">
        <w:rPr>
          <w:lang w:val="fr-CA"/>
        </w:rPr>
        <w:t>Procureur général du Manitoba, Winnipeg.</w:t>
      </w:r>
    </w:p>
    <w:p w:rsidR="0072358A" w:rsidRPr="005C33AA" w:rsidRDefault="0072358A" w:rsidP="00D42258">
      <w:pPr>
        <w:pStyle w:val="SCCLawFirm"/>
        <w:widowControl w:val="0"/>
        <w:spacing w:after="480"/>
        <w:rPr>
          <w:lang w:val="fr-CA"/>
        </w:rPr>
      </w:pPr>
      <w:r w:rsidRPr="005C33AA">
        <w:rPr>
          <w:lang w:val="fr-CA"/>
        </w:rPr>
        <w:tab/>
        <w:t>Procureur de l’intervenant le procureur général de la Colombie</w:t>
      </w:r>
      <w:r w:rsidR="00D60C0F">
        <w:rPr>
          <w:lang w:val="fr-CA"/>
        </w:rPr>
        <w:noBreakHyphen/>
      </w:r>
      <w:r w:rsidRPr="005C33AA">
        <w:rPr>
          <w:lang w:val="fr-CA"/>
        </w:rPr>
        <w:t>Britannique</w:t>
      </w:r>
      <w:r w:rsidR="00D60C0F">
        <w:rPr>
          <w:lang w:val="fr-CA"/>
        </w:rPr>
        <w:t> :</w:t>
      </w:r>
      <w:r w:rsidR="00FD0A5E" w:rsidRPr="005C33AA">
        <w:rPr>
          <w:lang w:val="fr-CA"/>
        </w:rPr>
        <w:t> </w:t>
      </w:r>
      <w:r w:rsidRPr="005C33AA">
        <w:rPr>
          <w:lang w:val="fr-CA"/>
        </w:rPr>
        <w:t>Procureur général de la Colombie</w:t>
      </w:r>
      <w:r w:rsidR="00D60C0F">
        <w:rPr>
          <w:lang w:val="fr-CA"/>
        </w:rPr>
        <w:noBreakHyphen/>
      </w:r>
      <w:r w:rsidRPr="005C33AA">
        <w:rPr>
          <w:lang w:val="fr-CA"/>
        </w:rPr>
        <w:t>Britannique, Vancouver.</w:t>
      </w:r>
    </w:p>
    <w:p w:rsidR="000A37E9" w:rsidRPr="005C33AA" w:rsidRDefault="00A157E9" w:rsidP="00D42258">
      <w:pPr>
        <w:pStyle w:val="SCCLawFirm"/>
        <w:widowControl w:val="0"/>
        <w:spacing w:after="480"/>
        <w:rPr>
          <w:lang w:val="fr-CA"/>
        </w:rPr>
      </w:pPr>
      <w:r w:rsidRPr="005C33AA">
        <w:rPr>
          <w:lang w:val="fr-CA"/>
        </w:rPr>
        <w:tab/>
        <w:t>Procureur</w:t>
      </w:r>
      <w:r w:rsidR="001A3E78" w:rsidRPr="005C33AA">
        <w:rPr>
          <w:lang w:val="fr-CA"/>
        </w:rPr>
        <w:t xml:space="preserve"> de l’intervenant le p</w:t>
      </w:r>
      <w:r w:rsidRPr="005C33AA">
        <w:rPr>
          <w:lang w:val="fr-CA"/>
        </w:rPr>
        <w:t xml:space="preserve">rocureur général </w:t>
      </w:r>
      <w:r w:rsidR="001A3E78" w:rsidRPr="005C33AA">
        <w:rPr>
          <w:lang w:val="fr-CA"/>
        </w:rPr>
        <w:t>de l’</w:t>
      </w:r>
      <w:r w:rsidRPr="005C33AA">
        <w:rPr>
          <w:lang w:val="fr-CA"/>
        </w:rPr>
        <w:t>Alberta</w:t>
      </w:r>
      <w:r w:rsidR="00D60C0F">
        <w:rPr>
          <w:lang w:val="fr-CA"/>
        </w:rPr>
        <w:t> :</w:t>
      </w:r>
      <w:r w:rsidR="00FD0A5E" w:rsidRPr="005C33AA">
        <w:rPr>
          <w:lang w:val="fr-CA"/>
        </w:rPr>
        <w:t> </w:t>
      </w:r>
      <w:r w:rsidR="0008567E" w:rsidRPr="005C33AA">
        <w:rPr>
          <w:lang w:val="fr-CA"/>
        </w:rPr>
        <w:t>Procureur général de l’Alberta</w:t>
      </w:r>
      <w:r w:rsidRPr="005C33AA">
        <w:rPr>
          <w:lang w:val="fr-CA"/>
        </w:rPr>
        <w:t>, Calgary.</w:t>
      </w:r>
    </w:p>
    <w:p w:rsidR="000A37E9" w:rsidRPr="005C33AA" w:rsidRDefault="0008567E" w:rsidP="00D42258">
      <w:pPr>
        <w:pStyle w:val="SCCLawFirm"/>
        <w:widowControl w:val="0"/>
        <w:spacing w:after="480"/>
        <w:rPr>
          <w:lang w:val="fr-CA"/>
        </w:rPr>
      </w:pPr>
      <w:r w:rsidRPr="005C33AA">
        <w:rPr>
          <w:lang w:val="fr-CA"/>
        </w:rPr>
        <w:tab/>
        <w:t>Procureur de l’intervenant le d</w:t>
      </w:r>
      <w:r w:rsidR="00A157E9" w:rsidRPr="005C33AA">
        <w:rPr>
          <w:lang w:val="fr-CA"/>
        </w:rPr>
        <w:t>irecteur des poursuites criminelles et pénales</w:t>
      </w:r>
      <w:r w:rsidR="00D60C0F">
        <w:rPr>
          <w:lang w:val="fr-CA"/>
        </w:rPr>
        <w:t> :</w:t>
      </w:r>
      <w:r w:rsidR="00FD0A5E" w:rsidRPr="005C33AA">
        <w:rPr>
          <w:lang w:val="fr-CA"/>
        </w:rPr>
        <w:t> </w:t>
      </w:r>
      <w:r w:rsidR="00A157E9" w:rsidRPr="005C33AA">
        <w:rPr>
          <w:lang w:val="fr-CA"/>
        </w:rPr>
        <w:t>Directeur des poursuites criminelles et pénales, Québec.</w:t>
      </w:r>
    </w:p>
    <w:p w:rsidR="000A37E9" w:rsidRPr="005C33AA" w:rsidRDefault="00A157E9" w:rsidP="00D42258">
      <w:pPr>
        <w:pStyle w:val="SCCLawFirm"/>
        <w:widowControl w:val="0"/>
        <w:rPr>
          <w:lang w:val="fr-CA"/>
        </w:rPr>
      </w:pPr>
      <w:r w:rsidRPr="005C33AA">
        <w:rPr>
          <w:lang w:val="fr-CA"/>
        </w:rPr>
        <w:tab/>
      </w:r>
      <w:r w:rsidR="00AB2328" w:rsidRPr="005C33AA">
        <w:rPr>
          <w:lang w:val="fr-CA"/>
        </w:rPr>
        <w:t>Procureur</w:t>
      </w:r>
      <w:r w:rsidR="00FE3382" w:rsidRPr="005C33AA">
        <w:rPr>
          <w:lang w:val="fr-CA"/>
        </w:rPr>
        <w:t>s</w:t>
      </w:r>
      <w:r w:rsidR="00AB2328" w:rsidRPr="005C33AA">
        <w:rPr>
          <w:lang w:val="fr-CA"/>
        </w:rPr>
        <w:t xml:space="preserve"> de l’intervenante</w:t>
      </w:r>
      <w:r w:rsidRPr="005C33AA">
        <w:rPr>
          <w:lang w:val="fr-CA"/>
        </w:rPr>
        <w:t xml:space="preserve"> Criminal Lawye</w:t>
      </w:r>
      <w:r w:rsidR="00AB2328" w:rsidRPr="005C33AA">
        <w:rPr>
          <w:lang w:val="fr-CA"/>
        </w:rPr>
        <w:t>rs’</w:t>
      </w:r>
      <w:r w:rsidRPr="005C33AA">
        <w:rPr>
          <w:lang w:val="fr-CA"/>
        </w:rPr>
        <w:t xml:space="preserve"> Association of Ontario</w:t>
      </w:r>
      <w:r w:rsidR="00D60C0F">
        <w:rPr>
          <w:lang w:val="fr-CA"/>
        </w:rPr>
        <w:t> :</w:t>
      </w:r>
      <w:r w:rsidR="00FD0A5E" w:rsidRPr="005C33AA">
        <w:rPr>
          <w:lang w:val="fr-CA"/>
        </w:rPr>
        <w:t> </w:t>
      </w:r>
      <w:r w:rsidRPr="005C33AA">
        <w:rPr>
          <w:lang w:val="fr-CA"/>
        </w:rPr>
        <w:t>Addario Law Group, Toronto.</w:t>
      </w:r>
    </w:p>
    <w:sectPr w:rsidR="000A37E9" w:rsidRPr="005C33AA" w:rsidSect="00D60C0F">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FB" w:rsidRDefault="00F408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FB" w:rsidRDefault="00F408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FB" w:rsidRDefault="00F408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1020F9" w:rsidRPr="00FD14BD" w:rsidRDefault="001020F9" w:rsidP="001020F9">
      <w:pPr>
        <w:pStyle w:val="FootnoteText"/>
        <w:rPr>
          <w:lang w:val="fr-CA"/>
        </w:rPr>
      </w:pPr>
      <w:r w:rsidRPr="00FD14BD">
        <w:rPr>
          <w:rStyle w:val="FootnoteReference"/>
          <w:rFonts w:eastAsiaTheme="majorEastAsia"/>
          <w:lang w:val="fr-CA"/>
        </w:rPr>
        <w:footnoteRef/>
      </w:r>
      <w:r w:rsidRPr="00FD14BD">
        <w:rPr>
          <w:lang w:val="fr-CA"/>
        </w:rPr>
        <w:t xml:space="preserve"> </w:t>
      </w:r>
      <w:r w:rsidR="001C00B8">
        <w:rPr>
          <w:lang w:val="fr-CA"/>
        </w:rPr>
        <w:tab/>
      </w:r>
      <w:r w:rsidRPr="00E65ED8">
        <w:rPr>
          <w:lang w:val="fr-CA"/>
        </w:rPr>
        <w:t>Bien que le rôle qu</w:t>
      </w:r>
      <w:r>
        <w:rPr>
          <w:lang w:val="fr-CA"/>
        </w:rPr>
        <w:t>’</w:t>
      </w:r>
      <w:r w:rsidRPr="00E65ED8">
        <w:rPr>
          <w:lang w:val="fr-CA"/>
        </w:rPr>
        <w:t>a joué la conclusion suivante dans son analyse ne soit pas clair, le juge de première instance a considéré séparément, sous la rubrique [</w:t>
      </w:r>
      <w:r w:rsidRPr="00E65ED8">
        <w:rPr>
          <w:smallCaps/>
          <w:lang w:val="fr-CA"/>
        </w:rPr>
        <w:t>traduction</w:t>
      </w:r>
      <w:r w:rsidRPr="00E65ED8">
        <w:rPr>
          <w:lang w:val="fr-CA"/>
        </w:rPr>
        <w:t>] « autre » délai, un délai d</w:t>
      </w:r>
      <w:r>
        <w:rPr>
          <w:lang w:val="fr-CA"/>
        </w:rPr>
        <w:t>’</w:t>
      </w:r>
      <w:r w:rsidRPr="00E65ED8">
        <w:rPr>
          <w:lang w:val="fr-CA"/>
        </w:rPr>
        <w:t>environ 4,5 mois résultant de la nomination de l</w:t>
      </w:r>
      <w:r>
        <w:rPr>
          <w:lang w:val="fr-CA"/>
        </w:rPr>
        <w:t>’</w:t>
      </w:r>
      <w:r w:rsidRPr="00E65ED8">
        <w:rPr>
          <w:lang w:val="fr-CA"/>
        </w:rPr>
        <w:t>ancien avocat de M. Cody comme juge.</w:t>
      </w:r>
    </w:p>
  </w:footnote>
  <w:footnote w:id="2">
    <w:p w:rsidR="001020F9" w:rsidRPr="00536152" w:rsidRDefault="001020F9" w:rsidP="001020F9">
      <w:pPr>
        <w:pStyle w:val="FootnoteText"/>
        <w:rPr>
          <w:lang w:val="fr-CA"/>
        </w:rPr>
      </w:pPr>
      <w:r w:rsidRPr="00FD14BD">
        <w:rPr>
          <w:rStyle w:val="FootnoteReference"/>
          <w:lang w:val="fr-CA"/>
        </w:rPr>
        <w:footnoteRef/>
      </w:r>
      <w:r w:rsidRPr="00536152">
        <w:rPr>
          <w:lang w:val="fr-CA"/>
        </w:rPr>
        <w:t xml:space="preserve"> </w:t>
      </w:r>
      <w:r w:rsidR="00B00C2A">
        <w:rPr>
          <w:lang w:val="fr-CA"/>
        </w:rPr>
        <w:tab/>
      </w:r>
      <w:r>
        <w:rPr>
          <w:lang w:val="fr-CA"/>
        </w:rPr>
        <w:t>Il convient toutefois de préciser qu’u</w:t>
      </w:r>
      <w:r w:rsidRPr="00536152">
        <w:rPr>
          <w:lang w:val="fr-CA"/>
        </w:rPr>
        <w:t>ne p</w:t>
      </w:r>
      <w:r>
        <w:rPr>
          <w:lang w:val="fr-CA"/>
        </w:rPr>
        <w:t>ériode qui a déjà</w:t>
      </w:r>
      <w:r w:rsidRPr="00536152">
        <w:rPr>
          <w:lang w:val="fr-CA"/>
        </w:rPr>
        <w:t xml:space="preserve"> été déduite </w:t>
      </w:r>
      <w:r>
        <w:rPr>
          <w:lang w:val="fr-CA"/>
        </w:rPr>
        <w:t xml:space="preserve">en tant que délai </w:t>
      </w:r>
      <w:r w:rsidRPr="00536152">
        <w:rPr>
          <w:lang w:val="fr-CA"/>
        </w:rPr>
        <w:t>imputable à la défense ou événement distinct</w:t>
      </w:r>
      <w:r>
        <w:rPr>
          <w:lang w:val="fr-CA"/>
        </w:rPr>
        <w:t xml:space="preserve"> ne doit pas être prise en considération dans l’appréciation de la complexité de l’affaire et ainsi être comptée deux fois</w:t>
      </w:r>
      <w:r w:rsidRPr="00536152">
        <w:rPr>
          <w:lang w:val="fr-CA"/>
        </w:rPr>
        <w:t>.</w:t>
      </w:r>
    </w:p>
  </w:footnote>
  <w:footnote w:id="3">
    <w:p w:rsidR="001020F9" w:rsidRPr="00536152" w:rsidRDefault="001020F9" w:rsidP="001020F9">
      <w:pPr>
        <w:pStyle w:val="FootnoteText"/>
        <w:rPr>
          <w:lang w:val="fr-CA"/>
        </w:rPr>
      </w:pPr>
      <w:r w:rsidRPr="00FD14BD">
        <w:rPr>
          <w:rStyle w:val="FootnoteReference"/>
          <w:lang w:val="fr-CA"/>
        </w:rPr>
        <w:footnoteRef/>
      </w:r>
      <w:r w:rsidRPr="00536152">
        <w:rPr>
          <w:lang w:val="fr-CA"/>
        </w:rPr>
        <w:t xml:space="preserve"> </w:t>
      </w:r>
      <w:r w:rsidR="00B00C2A">
        <w:rPr>
          <w:lang w:val="fr-CA"/>
        </w:rPr>
        <w:tab/>
      </w:r>
      <w:r>
        <w:rPr>
          <w:lang w:val="fr-CA"/>
        </w:rPr>
        <w:t xml:space="preserve">Cela n’écarte pas la possibilité que des circonstances ou événements exceptionnels distincts liés à la communication de la preuve puissent constituer un « événement distinct » suivant le cadre établi dans </w:t>
      </w:r>
      <w:r w:rsidRPr="00A27D3D">
        <w:rPr>
          <w:i/>
          <w:lang w:val="fr-CA"/>
        </w:rPr>
        <w:t>Jordan</w:t>
      </w:r>
      <w:r>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FB" w:rsidRDefault="00F40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EBA" w:rsidRPr="005D1EBA" w:rsidRDefault="005D1EBA" w:rsidP="005D1E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BC9" w:rsidRDefault="009E5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8CA0930"/>
    <w:multiLevelType w:val="hybridMultilevel"/>
    <w:tmpl w:val="11D68060"/>
    <w:lvl w:ilvl="0" w:tplc="1DF4970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E08CA"/>
    <w:multiLevelType w:val="hybridMultilevel"/>
    <w:tmpl w:val="03D444EA"/>
    <w:lvl w:ilvl="0" w:tplc="5F8E2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D2BE8"/>
    <w:multiLevelType w:val="hybridMultilevel"/>
    <w:tmpl w:val="C6EA7FE0"/>
    <w:lvl w:ilvl="0" w:tplc="9A461FD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03130A"/>
    <w:multiLevelType w:val="multilevel"/>
    <w:tmpl w:val="BD1EB502"/>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B9CC5258"/>
    <w:lvl w:ilvl="0">
      <w:start w:val="1"/>
      <w:numFmt w:val="decimal"/>
      <w:pStyle w:val="ParaNoNdepar-AltN"/>
      <w:lvlText w:val="[%1]"/>
      <w:lvlJc w:val="left"/>
      <w:pPr>
        <w:tabs>
          <w:tab w:val="num" w:pos="1152"/>
        </w:tabs>
        <w:ind w:left="0" w:firstLine="0"/>
      </w:pPr>
      <w:rPr>
        <w:rFonts w:ascii="Times New Roman" w:hAnsi="Times New Roman" w:hint="default"/>
        <w:color w:val="auto"/>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4C37D5C"/>
    <w:multiLevelType w:val="hybridMultilevel"/>
    <w:tmpl w:val="DE808586"/>
    <w:lvl w:ilvl="0" w:tplc="04090019">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0" w15:restartNumberingAfterBreak="0">
    <w:nsid w:val="5B2F5C81"/>
    <w:multiLevelType w:val="hybridMultilevel"/>
    <w:tmpl w:val="FFB6AE0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8"/>
  </w:num>
  <w:num w:numId="3">
    <w:abstractNumId w:val="11"/>
  </w:num>
  <w:num w:numId="4">
    <w:abstractNumId w:val="1"/>
  </w:num>
  <w:num w:numId="5">
    <w:abstractNumId w:val="0"/>
  </w:num>
  <w:num w:numId="6">
    <w:abstractNumId w:val="6"/>
  </w:num>
  <w:num w:numId="7">
    <w:abstractNumId w:val="7"/>
  </w:num>
  <w:num w:numId="8">
    <w:abstractNumId w:val="5"/>
  </w:num>
  <w:num w:numId="9">
    <w:abstractNumId w:val="5"/>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0"/>
  </w:num>
  <w:num w:numId="11">
    <w:abstractNumId w:val="9"/>
  </w:num>
  <w:num w:numId="12">
    <w:abstractNumId w:val="2"/>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8"/>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1ED"/>
    <w:rsid w:val="00023FC7"/>
    <w:rsid w:val="00025198"/>
    <w:rsid w:val="00034059"/>
    <w:rsid w:val="000578A3"/>
    <w:rsid w:val="000648CC"/>
    <w:rsid w:val="00075821"/>
    <w:rsid w:val="0008567E"/>
    <w:rsid w:val="000A091F"/>
    <w:rsid w:val="000A37E9"/>
    <w:rsid w:val="000A5460"/>
    <w:rsid w:val="000B176E"/>
    <w:rsid w:val="000C59B8"/>
    <w:rsid w:val="000C6AF0"/>
    <w:rsid w:val="000D0A77"/>
    <w:rsid w:val="000E31D2"/>
    <w:rsid w:val="000F1FAD"/>
    <w:rsid w:val="000F7993"/>
    <w:rsid w:val="001020F9"/>
    <w:rsid w:val="00104F33"/>
    <w:rsid w:val="00111DE2"/>
    <w:rsid w:val="00116B38"/>
    <w:rsid w:val="00135406"/>
    <w:rsid w:val="00135972"/>
    <w:rsid w:val="001426A9"/>
    <w:rsid w:val="0015418A"/>
    <w:rsid w:val="00154D7C"/>
    <w:rsid w:val="001570B0"/>
    <w:rsid w:val="0015752C"/>
    <w:rsid w:val="00157737"/>
    <w:rsid w:val="0016222A"/>
    <w:rsid w:val="00165277"/>
    <w:rsid w:val="00170592"/>
    <w:rsid w:val="001720F7"/>
    <w:rsid w:val="00195D83"/>
    <w:rsid w:val="001A00C1"/>
    <w:rsid w:val="001A3E78"/>
    <w:rsid w:val="001A54ED"/>
    <w:rsid w:val="001B33E0"/>
    <w:rsid w:val="001B352D"/>
    <w:rsid w:val="001B4573"/>
    <w:rsid w:val="001C00B8"/>
    <w:rsid w:val="001C779F"/>
    <w:rsid w:val="001D2AC1"/>
    <w:rsid w:val="001D38C1"/>
    <w:rsid w:val="001D4E88"/>
    <w:rsid w:val="001E7307"/>
    <w:rsid w:val="00220FC2"/>
    <w:rsid w:val="002222F4"/>
    <w:rsid w:val="00224FC0"/>
    <w:rsid w:val="00225EA4"/>
    <w:rsid w:val="00226EAF"/>
    <w:rsid w:val="00231F3A"/>
    <w:rsid w:val="002406EE"/>
    <w:rsid w:val="00243EC8"/>
    <w:rsid w:val="00270D93"/>
    <w:rsid w:val="002745CC"/>
    <w:rsid w:val="002A1912"/>
    <w:rsid w:val="002B6FBE"/>
    <w:rsid w:val="002B7924"/>
    <w:rsid w:val="002C10A6"/>
    <w:rsid w:val="002C6719"/>
    <w:rsid w:val="002D25EA"/>
    <w:rsid w:val="002D28C3"/>
    <w:rsid w:val="002D36A5"/>
    <w:rsid w:val="002D39A4"/>
    <w:rsid w:val="002E6705"/>
    <w:rsid w:val="0030329A"/>
    <w:rsid w:val="0031086F"/>
    <w:rsid w:val="0031414C"/>
    <w:rsid w:val="00314E01"/>
    <w:rsid w:val="0032089D"/>
    <w:rsid w:val="00322E3F"/>
    <w:rsid w:val="003310DE"/>
    <w:rsid w:val="003323B0"/>
    <w:rsid w:val="003326C9"/>
    <w:rsid w:val="00340A49"/>
    <w:rsid w:val="00343DE5"/>
    <w:rsid w:val="0035169A"/>
    <w:rsid w:val="0035259D"/>
    <w:rsid w:val="003602E9"/>
    <w:rsid w:val="00364B18"/>
    <w:rsid w:val="003A125D"/>
    <w:rsid w:val="003A4C70"/>
    <w:rsid w:val="003A7CC0"/>
    <w:rsid w:val="003B215F"/>
    <w:rsid w:val="003C799C"/>
    <w:rsid w:val="003D0399"/>
    <w:rsid w:val="003D3256"/>
    <w:rsid w:val="003E1C71"/>
    <w:rsid w:val="003F327B"/>
    <w:rsid w:val="00405C2E"/>
    <w:rsid w:val="00406166"/>
    <w:rsid w:val="0040704B"/>
    <w:rsid w:val="00410A55"/>
    <w:rsid w:val="00411300"/>
    <w:rsid w:val="00411D3E"/>
    <w:rsid w:val="00413F17"/>
    <w:rsid w:val="00415417"/>
    <w:rsid w:val="00424FAA"/>
    <w:rsid w:val="00426659"/>
    <w:rsid w:val="004465C1"/>
    <w:rsid w:val="00450352"/>
    <w:rsid w:val="00450FA0"/>
    <w:rsid w:val="00454BDB"/>
    <w:rsid w:val="00465132"/>
    <w:rsid w:val="00480C90"/>
    <w:rsid w:val="0048396F"/>
    <w:rsid w:val="00493C18"/>
    <w:rsid w:val="004A600C"/>
    <w:rsid w:val="004A6118"/>
    <w:rsid w:val="004C478D"/>
    <w:rsid w:val="004D7D95"/>
    <w:rsid w:val="004E2C26"/>
    <w:rsid w:val="005125A8"/>
    <w:rsid w:val="00514018"/>
    <w:rsid w:val="00517549"/>
    <w:rsid w:val="00520ABC"/>
    <w:rsid w:val="00521AE8"/>
    <w:rsid w:val="005231EA"/>
    <w:rsid w:val="00527180"/>
    <w:rsid w:val="00527889"/>
    <w:rsid w:val="00553B65"/>
    <w:rsid w:val="00555291"/>
    <w:rsid w:val="00555AD0"/>
    <w:rsid w:val="00566AD1"/>
    <w:rsid w:val="00572E5F"/>
    <w:rsid w:val="00576D82"/>
    <w:rsid w:val="00583EDE"/>
    <w:rsid w:val="005A6079"/>
    <w:rsid w:val="005C33AA"/>
    <w:rsid w:val="005D1EBA"/>
    <w:rsid w:val="005E4698"/>
    <w:rsid w:val="00603924"/>
    <w:rsid w:val="00610539"/>
    <w:rsid w:val="00613969"/>
    <w:rsid w:val="00625C35"/>
    <w:rsid w:val="00640247"/>
    <w:rsid w:val="00641CBA"/>
    <w:rsid w:val="00647E49"/>
    <w:rsid w:val="00656313"/>
    <w:rsid w:val="006565F4"/>
    <w:rsid w:val="00684EEA"/>
    <w:rsid w:val="006965BA"/>
    <w:rsid w:val="0069689B"/>
    <w:rsid w:val="006B5FF5"/>
    <w:rsid w:val="006F30AF"/>
    <w:rsid w:val="00701759"/>
    <w:rsid w:val="00705C15"/>
    <w:rsid w:val="007110F6"/>
    <w:rsid w:val="007208D1"/>
    <w:rsid w:val="0072358A"/>
    <w:rsid w:val="00744518"/>
    <w:rsid w:val="00747288"/>
    <w:rsid w:val="00747DD3"/>
    <w:rsid w:val="007549C8"/>
    <w:rsid w:val="00760AD9"/>
    <w:rsid w:val="00766D14"/>
    <w:rsid w:val="00767A0F"/>
    <w:rsid w:val="00791272"/>
    <w:rsid w:val="007A05F6"/>
    <w:rsid w:val="007B6F4A"/>
    <w:rsid w:val="007C1004"/>
    <w:rsid w:val="007E1C47"/>
    <w:rsid w:val="007E337A"/>
    <w:rsid w:val="007E5C70"/>
    <w:rsid w:val="007F2FF5"/>
    <w:rsid w:val="007F329C"/>
    <w:rsid w:val="007F3F08"/>
    <w:rsid w:val="00802DB2"/>
    <w:rsid w:val="00804CC6"/>
    <w:rsid w:val="00817190"/>
    <w:rsid w:val="008260E2"/>
    <w:rsid w:val="008322BD"/>
    <w:rsid w:val="00834F73"/>
    <w:rsid w:val="00864C8A"/>
    <w:rsid w:val="00864CF8"/>
    <w:rsid w:val="00874914"/>
    <w:rsid w:val="00891422"/>
    <w:rsid w:val="00891CAD"/>
    <w:rsid w:val="00892E1A"/>
    <w:rsid w:val="00894297"/>
    <w:rsid w:val="008B46C9"/>
    <w:rsid w:val="008B660A"/>
    <w:rsid w:val="008C01DA"/>
    <w:rsid w:val="008C0DA7"/>
    <w:rsid w:val="008F2674"/>
    <w:rsid w:val="008F78E9"/>
    <w:rsid w:val="00903E1D"/>
    <w:rsid w:val="009179F9"/>
    <w:rsid w:val="00917C7A"/>
    <w:rsid w:val="00933E5E"/>
    <w:rsid w:val="00935218"/>
    <w:rsid w:val="00937C52"/>
    <w:rsid w:val="009403F3"/>
    <w:rsid w:val="009555B7"/>
    <w:rsid w:val="009567AA"/>
    <w:rsid w:val="009602C9"/>
    <w:rsid w:val="00963938"/>
    <w:rsid w:val="00967374"/>
    <w:rsid w:val="009A343A"/>
    <w:rsid w:val="009B2F23"/>
    <w:rsid w:val="009B57B3"/>
    <w:rsid w:val="009D2920"/>
    <w:rsid w:val="009D5AEB"/>
    <w:rsid w:val="009E5BC9"/>
    <w:rsid w:val="009F0E33"/>
    <w:rsid w:val="00A0429B"/>
    <w:rsid w:val="00A149DF"/>
    <w:rsid w:val="00A157E9"/>
    <w:rsid w:val="00A1755C"/>
    <w:rsid w:val="00A21B90"/>
    <w:rsid w:val="00A22AAC"/>
    <w:rsid w:val="00A31D98"/>
    <w:rsid w:val="00A41805"/>
    <w:rsid w:val="00A418EC"/>
    <w:rsid w:val="00A45B48"/>
    <w:rsid w:val="00A51882"/>
    <w:rsid w:val="00A52AFB"/>
    <w:rsid w:val="00A548CB"/>
    <w:rsid w:val="00A5521C"/>
    <w:rsid w:val="00A643E7"/>
    <w:rsid w:val="00A73C38"/>
    <w:rsid w:val="00A82907"/>
    <w:rsid w:val="00A91CBD"/>
    <w:rsid w:val="00A921A7"/>
    <w:rsid w:val="00AB2328"/>
    <w:rsid w:val="00AB670D"/>
    <w:rsid w:val="00AE31A3"/>
    <w:rsid w:val="00AF03C5"/>
    <w:rsid w:val="00B000D8"/>
    <w:rsid w:val="00B00C2A"/>
    <w:rsid w:val="00B00F75"/>
    <w:rsid w:val="00B10A2E"/>
    <w:rsid w:val="00B143D7"/>
    <w:rsid w:val="00B145B6"/>
    <w:rsid w:val="00B279EB"/>
    <w:rsid w:val="00B50C81"/>
    <w:rsid w:val="00B52A50"/>
    <w:rsid w:val="00B54B2D"/>
    <w:rsid w:val="00B557F8"/>
    <w:rsid w:val="00B815FC"/>
    <w:rsid w:val="00B93FBC"/>
    <w:rsid w:val="00B97BED"/>
    <w:rsid w:val="00BA7DA0"/>
    <w:rsid w:val="00BB2EE4"/>
    <w:rsid w:val="00BB4C92"/>
    <w:rsid w:val="00BC2108"/>
    <w:rsid w:val="00BC69B9"/>
    <w:rsid w:val="00BD0E9E"/>
    <w:rsid w:val="00BD1BEC"/>
    <w:rsid w:val="00BD32FF"/>
    <w:rsid w:val="00BF6FE9"/>
    <w:rsid w:val="00C02092"/>
    <w:rsid w:val="00C02E06"/>
    <w:rsid w:val="00C24D91"/>
    <w:rsid w:val="00C26DB2"/>
    <w:rsid w:val="00C313DE"/>
    <w:rsid w:val="00C53F14"/>
    <w:rsid w:val="00C600CF"/>
    <w:rsid w:val="00C6084F"/>
    <w:rsid w:val="00C62A66"/>
    <w:rsid w:val="00C66359"/>
    <w:rsid w:val="00C71458"/>
    <w:rsid w:val="00C77613"/>
    <w:rsid w:val="00C828E7"/>
    <w:rsid w:val="00C86719"/>
    <w:rsid w:val="00C921DD"/>
    <w:rsid w:val="00C959F8"/>
    <w:rsid w:val="00CA6391"/>
    <w:rsid w:val="00CA7E71"/>
    <w:rsid w:val="00CB7E1E"/>
    <w:rsid w:val="00CE036E"/>
    <w:rsid w:val="00CE3171"/>
    <w:rsid w:val="00CF1601"/>
    <w:rsid w:val="00D0172F"/>
    <w:rsid w:val="00D01E33"/>
    <w:rsid w:val="00D068A7"/>
    <w:rsid w:val="00D17476"/>
    <w:rsid w:val="00D17B0E"/>
    <w:rsid w:val="00D32086"/>
    <w:rsid w:val="00D37A3F"/>
    <w:rsid w:val="00D42258"/>
    <w:rsid w:val="00D4431D"/>
    <w:rsid w:val="00D4667A"/>
    <w:rsid w:val="00D60C0F"/>
    <w:rsid w:val="00D63A1C"/>
    <w:rsid w:val="00D7516F"/>
    <w:rsid w:val="00D8478B"/>
    <w:rsid w:val="00D85375"/>
    <w:rsid w:val="00D95F8E"/>
    <w:rsid w:val="00DA0590"/>
    <w:rsid w:val="00DB7F36"/>
    <w:rsid w:val="00DC1739"/>
    <w:rsid w:val="00DC1788"/>
    <w:rsid w:val="00DE319C"/>
    <w:rsid w:val="00DF0CA8"/>
    <w:rsid w:val="00DF2B48"/>
    <w:rsid w:val="00DF3947"/>
    <w:rsid w:val="00DF49A7"/>
    <w:rsid w:val="00E07EE2"/>
    <w:rsid w:val="00E07FD1"/>
    <w:rsid w:val="00E14E0C"/>
    <w:rsid w:val="00E24573"/>
    <w:rsid w:val="00E25E1E"/>
    <w:rsid w:val="00E27EE7"/>
    <w:rsid w:val="00E35404"/>
    <w:rsid w:val="00E45109"/>
    <w:rsid w:val="00E47B7A"/>
    <w:rsid w:val="00E56A44"/>
    <w:rsid w:val="00E60269"/>
    <w:rsid w:val="00E65F74"/>
    <w:rsid w:val="00E92E1E"/>
    <w:rsid w:val="00E97830"/>
    <w:rsid w:val="00E979E4"/>
    <w:rsid w:val="00EC5B64"/>
    <w:rsid w:val="00EE0830"/>
    <w:rsid w:val="00EE6CB8"/>
    <w:rsid w:val="00EF0683"/>
    <w:rsid w:val="00F0070C"/>
    <w:rsid w:val="00F00EB7"/>
    <w:rsid w:val="00F36AB6"/>
    <w:rsid w:val="00F37A09"/>
    <w:rsid w:val="00F408FB"/>
    <w:rsid w:val="00F409CE"/>
    <w:rsid w:val="00F4379D"/>
    <w:rsid w:val="00F50D2D"/>
    <w:rsid w:val="00F55620"/>
    <w:rsid w:val="00F56C8B"/>
    <w:rsid w:val="00F62639"/>
    <w:rsid w:val="00F65F9A"/>
    <w:rsid w:val="00F66810"/>
    <w:rsid w:val="00F74BC3"/>
    <w:rsid w:val="00F84DF4"/>
    <w:rsid w:val="00F85C97"/>
    <w:rsid w:val="00F9736F"/>
    <w:rsid w:val="00FB0045"/>
    <w:rsid w:val="00FB1585"/>
    <w:rsid w:val="00FB37D2"/>
    <w:rsid w:val="00FC4EFB"/>
    <w:rsid w:val="00FD068D"/>
    <w:rsid w:val="00FD0A5E"/>
    <w:rsid w:val="00FD3851"/>
    <w:rsid w:val="00FD4F28"/>
    <w:rsid w:val="00FE3382"/>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5C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Citation-AltC">
    <w:name w:val="Citation - Alt C"/>
    <w:uiPriority w:val="2"/>
    <w:qFormat/>
    <w:rsid w:val="001A54ED"/>
    <w:pPr>
      <w:spacing w:after="720"/>
      <w:ind w:left="1166"/>
      <w:contextualSpacing/>
      <w:jc w:val="both"/>
    </w:pPr>
    <w:rPr>
      <w:sz w:val="24"/>
      <w:szCs w:val="24"/>
    </w:rPr>
  </w:style>
  <w:style w:type="paragraph" w:customStyle="1" w:styleId="ParaNoNdepar-AltN">
    <w:name w:val="Para. No. / Nº de par. - Alt N"/>
    <w:link w:val="ParaNoNdepar-AltNChar"/>
    <w:qFormat/>
    <w:rsid w:val="001A54ED"/>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1A54ED"/>
    <w:rPr>
      <w:rFonts w:eastAsiaTheme="minorEastAsia" w:cstheme="minorBidi"/>
      <w:sz w:val="24"/>
      <w:szCs w:val="22"/>
      <w:lang w:eastAsia="en-US"/>
    </w:rPr>
  </w:style>
  <w:style w:type="character" w:customStyle="1" w:styleId="Italic">
    <w:name w:val="Italic"/>
    <w:basedOn w:val="DefaultParagraphFont"/>
    <w:uiPriority w:val="1"/>
    <w:rsid w:val="00760AD9"/>
    <w:rPr>
      <w:i/>
    </w:rPr>
  </w:style>
  <w:style w:type="paragraph" w:customStyle="1" w:styleId="SCCLsocOtherPartyRoleSeparator">
    <w:name w:val="SCC.Lsoc.OtherPartyRoleSeparator"/>
    <w:basedOn w:val="Normal"/>
    <w:next w:val="Normal"/>
    <w:link w:val="SCCLsocOtherPartyRoleSeparatorChar"/>
    <w:rsid w:val="001020F9"/>
    <w:pPr>
      <w:spacing w:after="480"/>
    </w:pPr>
    <w:rPr>
      <w:rFonts w:eastAsiaTheme="minorHAnsi" w:cstheme="minorBidi"/>
      <w:szCs w:val="22"/>
      <w:lang w:eastAsia="en-US"/>
    </w:rPr>
  </w:style>
  <w:style w:type="paragraph" w:customStyle="1" w:styleId="SCCCoram">
    <w:name w:val="SCC.Coram"/>
    <w:basedOn w:val="Normal"/>
    <w:next w:val="Normal"/>
    <w:link w:val="SCCCoramChar"/>
    <w:rsid w:val="001020F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1020F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1020F9"/>
    <w:rPr>
      <w:rFonts w:eastAsiaTheme="minorHAnsi" w:cstheme="minorBidi"/>
      <w:sz w:val="24"/>
      <w:szCs w:val="22"/>
      <w:lang w:eastAsia="en-US"/>
    </w:rPr>
  </w:style>
  <w:style w:type="character" w:customStyle="1" w:styleId="SCCBanSummaryChar">
    <w:name w:val="SCC.BanSummary Char"/>
    <w:basedOn w:val="DefaultParagraphFont"/>
    <w:link w:val="SCCBanSummary"/>
    <w:rsid w:val="001020F9"/>
    <w:rPr>
      <w:b/>
      <w:sz w:val="24"/>
    </w:rPr>
  </w:style>
  <w:style w:type="table" w:styleId="TableGrid">
    <w:name w:val="Table Grid"/>
    <w:basedOn w:val="TableNormal"/>
    <w:uiPriority w:val="59"/>
    <w:rsid w:val="001020F9"/>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1020F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1020F9"/>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1020F9"/>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020F9"/>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1020F9"/>
    <w:pPr>
      <w:numPr>
        <w:ilvl w:val="2"/>
      </w:numPr>
      <w:outlineLvl w:val="2"/>
    </w:pPr>
  </w:style>
  <w:style w:type="paragraph" w:customStyle="1" w:styleId="Title4LevelTitre4Niveau">
    <w:name w:val="Title 4 Level / Titre 4 Niveau"/>
    <w:basedOn w:val="Title3LevelTitre3Niveau"/>
    <w:next w:val="ParaNoNdepar-AltN"/>
    <w:uiPriority w:val="4"/>
    <w:qFormat/>
    <w:rsid w:val="001020F9"/>
    <w:pPr>
      <w:numPr>
        <w:ilvl w:val="0"/>
        <w:numId w:val="0"/>
      </w:numPr>
      <w:outlineLvl w:val="3"/>
    </w:pPr>
    <w:rPr>
      <w:i/>
      <w:u w:val="none"/>
    </w:rPr>
  </w:style>
  <w:style w:type="paragraph" w:customStyle="1" w:styleId="Title5LevelTitre5Niveau">
    <w:name w:val="Title 5 Level / Titre 5 Niveau"/>
    <w:basedOn w:val="Title1LevelTitre1Niveau-AltL"/>
    <w:next w:val="ParaNoNdepar-AltN"/>
    <w:uiPriority w:val="4"/>
    <w:qFormat/>
    <w:rsid w:val="001020F9"/>
    <w:pPr>
      <w:numPr>
        <w:ilvl w:val="4"/>
      </w:numPr>
      <w:outlineLvl w:val="4"/>
    </w:pPr>
  </w:style>
  <w:style w:type="paragraph" w:styleId="TOC1">
    <w:name w:val="toc 1"/>
    <w:basedOn w:val="Normal"/>
    <w:next w:val="Normal"/>
    <w:autoRedefine/>
    <w:uiPriority w:val="39"/>
    <w:unhideWhenUsed/>
    <w:rsid w:val="001020F9"/>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1020F9"/>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1020F9"/>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1020F9"/>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1020F9"/>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1020F9"/>
    <w:pPr>
      <w:tabs>
        <w:tab w:val="left" w:pos="2160"/>
        <w:tab w:val="right" w:leader="dot" w:pos="8270"/>
      </w:tabs>
      <w:spacing w:after="100"/>
      <w:ind w:left="1800"/>
    </w:pPr>
    <w:rPr>
      <w:noProof/>
    </w:rPr>
  </w:style>
  <w:style w:type="table" w:customStyle="1" w:styleId="TableGrid1">
    <w:name w:val="Table Grid1"/>
    <w:basedOn w:val="TableNormal"/>
    <w:uiPriority w:val="59"/>
    <w:rsid w:val="001020F9"/>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1020F9"/>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020F9"/>
    <w:pPr>
      <w:numPr>
        <w:ilvl w:val="5"/>
      </w:numPr>
      <w:outlineLvl w:val="5"/>
    </w:pPr>
    <w:rPr>
      <w:i/>
      <w:u w:val="none"/>
    </w:rPr>
  </w:style>
  <w:style w:type="paragraph" w:styleId="FootnoteText">
    <w:name w:val="footnote text"/>
    <w:basedOn w:val="Normal"/>
    <w:link w:val="FootnoteTextChar"/>
    <w:uiPriority w:val="99"/>
    <w:unhideWhenUsed/>
    <w:rsid w:val="001020F9"/>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020F9"/>
  </w:style>
  <w:style w:type="character" w:styleId="FootnoteReference">
    <w:name w:val="footnote reference"/>
    <w:basedOn w:val="DefaultParagraphFont"/>
    <w:uiPriority w:val="99"/>
    <w:semiHidden/>
    <w:unhideWhenUsed/>
    <w:rsid w:val="001020F9"/>
    <w:rPr>
      <w:vertAlign w:val="superscript"/>
    </w:rPr>
  </w:style>
  <w:style w:type="character" w:styleId="CommentReference">
    <w:name w:val="annotation reference"/>
    <w:basedOn w:val="DefaultParagraphFont"/>
    <w:uiPriority w:val="99"/>
    <w:semiHidden/>
    <w:unhideWhenUsed/>
    <w:rsid w:val="001020F9"/>
    <w:rPr>
      <w:sz w:val="16"/>
      <w:szCs w:val="16"/>
    </w:rPr>
  </w:style>
  <w:style w:type="paragraph" w:styleId="CommentText">
    <w:name w:val="annotation text"/>
    <w:basedOn w:val="Normal"/>
    <w:link w:val="CommentTextChar"/>
    <w:uiPriority w:val="99"/>
    <w:unhideWhenUsed/>
    <w:rsid w:val="001020F9"/>
    <w:rPr>
      <w:sz w:val="20"/>
    </w:rPr>
  </w:style>
  <w:style w:type="character" w:customStyle="1" w:styleId="CommentTextChar">
    <w:name w:val="Comment Text Char"/>
    <w:basedOn w:val="DefaultParagraphFont"/>
    <w:link w:val="CommentText"/>
    <w:uiPriority w:val="99"/>
    <w:rsid w:val="001020F9"/>
  </w:style>
  <w:style w:type="paragraph" w:styleId="CommentSubject">
    <w:name w:val="annotation subject"/>
    <w:basedOn w:val="CommentText"/>
    <w:next w:val="CommentText"/>
    <w:link w:val="CommentSubjectChar"/>
    <w:uiPriority w:val="99"/>
    <w:semiHidden/>
    <w:unhideWhenUsed/>
    <w:rsid w:val="001020F9"/>
    <w:rPr>
      <w:b/>
      <w:bCs/>
    </w:rPr>
  </w:style>
  <w:style w:type="character" w:customStyle="1" w:styleId="CommentSubjectChar">
    <w:name w:val="Comment Subject Char"/>
    <w:basedOn w:val="CommentTextChar"/>
    <w:link w:val="CommentSubject"/>
    <w:uiPriority w:val="99"/>
    <w:semiHidden/>
    <w:rsid w:val="001020F9"/>
    <w:rPr>
      <w:b/>
      <w:bCs/>
    </w:rPr>
  </w:style>
  <w:style w:type="paragraph" w:styleId="Revision">
    <w:name w:val="Revision"/>
    <w:hidden/>
    <w:uiPriority w:val="99"/>
    <w:semiHidden/>
    <w:rsid w:val="001020F9"/>
    <w:rPr>
      <w:sz w:val="24"/>
      <w:szCs w:val="24"/>
    </w:rPr>
  </w:style>
  <w:style w:type="character" w:styleId="HTMLDefinition">
    <w:name w:val="HTML Definition"/>
    <w:basedOn w:val="DefaultParagraphFont"/>
    <w:uiPriority w:val="99"/>
    <w:semiHidden/>
    <w:unhideWhenUsed/>
    <w:rsid w:val="001020F9"/>
    <w:rPr>
      <w:i/>
      <w:iCs/>
    </w:rPr>
  </w:style>
  <w:style w:type="character" w:customStyle="1" w:styleId="definedtermlink">
    <w:name w:val="definedtermlink"/>
    <w:basedOn w:val="DefaultParagraphFont"/>
    <w:rsid w:val="001020F9"/>
    <w:rPr>
      <w:i/>
      <w:iCs/>
    </w:rPr>
  </w:style>
  <w:style w:type="table" w:customStyle="1" w:styleId="TableGrid2">
    <w:name w:val="Table Grid2"/>
    <w:basedOn w:val="TableNormal"/>
    <w:next w:val="TableGrid"/>
    <w:uiPriority w:val="59"/>
    <w:rsid w:val="001020F9"/>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465C1"/>
    <w:rPr>
      <w:color w:val="0000FF" w:themeColor="hyperlink"/>
      <w:u w:val="single"/>
    </w:rPr>
  </w:style>
  <w:style w:type="character" w:customStyle="1" w:styleId="SCCLsocPartyRoleChar">
    <w:name w:val="SCC.Lsoc.PartyRole Char"/>
    <w:basedOn w:val="DefaultParagraphFont"/>
    <w:rsid w:val="00450FA0"/>
    <w:rPr>
      <w:lang w:val="fr-CA"/>
    </w:rPr>
  </w:style>
  <w:style w:type="paragraph" w:customStyle="1" w:styleId="SCCLsocPrefix">
    <w:name w:val="SCC.Lsoc.Prefix"/>
    <w:basedOn w:val="Normal"/>
    <w:next w:val="Normal"/>
    <w:link w:val="SCCLsocPrefixChar"/>
    <w:rsid w:val="00450FA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50FA0"/>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2C520-F657-44A7-AAFE-1D8C5DE2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9635</Words>
  <Characters>49763</Characters>
  <Application>Microsoft Office Word</Application>
  <DocSecurity>0</DocSecurity>
  <Lines>414</Lines>
  <Paragraphs>118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2017-06-19T18:52:00Z</dcterms:created>
  <dcterms:modified xsi:type="dcterms:W3CDTF">2018-01-18T16:30:00Z</dcterms:modified>
</cp:coreProperties>
</file>