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05D2" w:rsidRDefault="00D505D2" w:rsidP="00D505D2">
      <w:pPr>
        <w:pStyle w:val="Header"/>
      </w:pPr>
      <w:r>
        <w:ptab w:relativeTo="margin" w:alignment="center" w:leader="none"/>
      </w:r>
      <w:r w:rsidRPr="00F72014">
        <w:t xml:space="preserve"> </w:t>
      </w:r>
      <w:r>
        <w:object w:dxaOrig="1365" w:dyaOrig="1440">
          <v:shape id="_x0000_i1027" type="#_x0000_t75" style="width:61.2pt;height:64.9pt" o:ole="">
            <v:imagedata r:id="rId8" o:title=""/>
          </v:shape>
          <o:OLEObject Type="Embed" ProgID="Presentations.Drawing.13" ShapeID="_x0000_i1027" DrawAspect="Content" ObjectID="_1580041166" r:id="rId9"/>
        </w:object>
      </w:r>
      <w:r>
        <w:t xml:space="preserve"> </w:t>
      </w:r>
      <w:r>
        <w:ptab w:relativeTo="margin" w:alignment="right" w:leader="none"/>
      </w:r>
    </w:p>
    <w:p w:rsidR="00D505D2" w:rsidRDefault="00D505D2" w:rsidP="00D505D2">
      <w:pPr>
        <w:pStyle w:val="Header"/>
      </w:pPr>
    </w:p>
    <w:p w:rsidR="00D505D2" w:rsidRPr="001E12E2" w:rsidRDefault="00D505D2" w:rsidP="00D505D2">
      <w:pPr>
        <w:jc w:val="center"/>
        <w:rPr>
          <w:b/>
        </w:rPr>
      </w:pPr>
      <w:r w:rsidRPr="001E12E2">
        <w:rPr>
          <w:b/>
        </w:rPr>
        <w:t>COUR SUPRÊME DU CANADA</w:t>
      </w:r>
    </w:p>
    <w:p w:rsidR="00D505D2" w:rsidRDefault="00D505D2" w:rsidP="00D505D2"/>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ayout w:type="fixed"/>
        <w:tblCellMar>
          <w:top w:w="58" w:type="dxa"/>
          <w:left w:w="58" w:type="dxa"/>
          <w:bottom w:w="58" w:type="dxa"/>
          <w:right w:w="58" w:type="dxa"/>
        </w:tblCellMar>
        <w:tblLook w:val="04A0" w:firstRow="1" w:lastRow="0" w:firstColumn="1" w:lastColumn="0" w:noHBand="0" w:noVBand="1"/>
      </w:tblPr>
      <w:tblGrid>
        <w:gridCol w:w="5580"/>
        <w:gridCol w:w="3996"/>
      </w:tblGrid>
      <w:tr w:rsidR="00D505D2" w:rsidRPr="001E12E2" w:rsidTr="009C57C1">
        <w:trPr>
          <w:cantSplit/>
        </w:trPr>
        <w:tc>
          <w:tcPr>
            <w:tcW w:w="5580" w:type="dxa"/>
            <w:shd w:val="clear" w:color="auto" w:fill="FFFFFF" w:themeFill="background1"/>
          </w:tcPr>
          <w:p w:rsidR="00D505D2" w:rsidRPr="00D505D2" w:rsidRDefault="00D505D2" w:rsidP="00D505D2">
            <w:pPr>
              <w:rPr>
                <w:lang w:val="fr-CA"/>
              </w:rPr>
            </w:pPr>
            <w:r w:rsidRPr="00D505D2">
              <w:rPr>
                <w:b/>
                <w:smallCaps/>
                <w:lang w:val="fr-CA"/>
              </w:rPr>
              <w:t>Référence :</w:t>
            </w:r>
            <w:r w:rsidRPr="00D505D2">
              <w:rPr>
                <w:lang w:val="fr-CA"/>
              </w:rPr>
              <w:t xml:space="preserve"> Canada (Procureur général) </w:t>
            </w:r>
            <w:r w:rsidRPr="00D505D2">
              <w:rPr>
                <w:i/>
                <w:lang w:val="fr-CA"/>
              </w:rPr>
              <w:t>c.</w:t>
            </w:r>
            <w:r w:rsidRPr="00D505D2">
              <w:rPr>
                <w:lang w:val="fr-CA"/>
              </w:rPr>
              <w:t xml:space="preserve"> </w:t>
            </w:r>
            <w:proofErr w:type="spellStart"/>
            <w:r w:rsidRPr="00D505D2">
              <w:rPr>
                <w:lang w:val="fr-CA"/>
              </w:rPr>
              <w:t>Thouin</w:t>
            </w:r>
            <w:proofErr w:type="spellEnd"/>
            <w:r w:rsidRPr="00D505D2">
              <w:rPr>
                <w:lang w:val="fr-CA"/>
              </w:rPr>
              <w:t>, 2017 CSC 46</w:t>
            </w:r>
            <w:r>
              <w:rPr>
                <w:lang w:val="fr-CA"/>
              </w:rPr>
              <w:t xml:space="preserve">, </w:t>
            </w:r>
            <w:bookmarkStart w:id="0" w:name="_GoBack"/>
            <w:bookmarkEnd w:id="0"/>
            <w:r>
              <w:rPr>
                <w:lang w:val="fr-CA"/>
              </w:rPr>
              <w:t>[2017] 2 R.C.S. 184</w:t>
            </w:r>
          </w:p>
        </w:tc>
        <w:tc>
          <w:tcPr>
            <w:tcW w:w="3996" w:type="dxa"/>
            <w:shd w:val="clear" w:color="auto" w:fill="FFFFFF" w:themeFill="background1"/>
          </w:tcPr>
          <w:p w:rsidR="00D505D2" w:rsidRPr="00D505D2" w:rsidRDefault="00D505D2" w:rsidP="009C57C1">
            <w:pPr>
              <w:rPr>
                <w:lang w:val="fr-CA"/>
              </w:rPr>
            </w:pPr>
            <w:r w:rsidRPr="00D505D2">
              <w:rPr>
                <w:b/>
                <w:smallCaps/>
                <w:lang w:val="fr-CA"/>
              </w:rPr>
              <w:t>Appel entendu :</w:t>
            </w:r>
            <w:r w:rsidRPr="00D505D2">
              <w:rPr>
                <w:lang w:val="fr-CA"/>
              </w:rPr>
              <w:t xml:space="preserve"> 24 mai 2017</w:t>
            </w:r>
          </w:p>
          <w:p w:rsidR="00D505D2" w:rsidRPr="00D505D2" w:rsidRDefault="00D505D2" w:rsidP="009C57C1">
            <w:pPr>
              <w:rPr>
                <w:lang w:val="fr-CA"/>
              </w:rPr>
            </w:pPr>
            <w:r w:rsidRPr="00D505D2">
              <w:rPr>
                <w:b/>
                <w:smallCaps/>
                <w:lang w:val="fr-CA"/>
              </w:rPr>
              <w:t>Jugement rendu </w:t>
            </w:r>
            <w:r w:rsidRPr="00D505D2">
              <w:rPr>
                <w:lang w:val="fr-CA"/>
              </w:rPr>
              <w:t>: 28 septembre 2017</w:t>
            </w:r>
          </w:p>
          <w:p w:rsidR="00D505D2" w:rsidRPr="001E12E2" w:rsidRDefault="00D505D2" w:rsidP="009C57C1">
            <w:r w:rsidRPr="001E12E2">
              <w:rPr>
                <w:b/>
                <w:smallCaps/>
              </w:rPr>
              <w:t>Do</w:t>
            </w:r>
            <w:r>
              <w:rPr>
                <w:b/>
                <w:smallCaps/>
              </w:rPr>
              <w:t>ssier :</w:t>
            </w:r>
            <w:r w:rsidRPr="001E12E2">
              <w:t xml:space="preserve"> </w:t>
            </w:r>
            <w:r>
              <w:t>36869</w:t>
            </w:r>
          </w:p>
        </w:tc>
      </w:tr>
    </w:tbl>
    <w:p w:rsidR="00D505D2" w:rsidRPr="001E12E2" w:rsidRDefault="00D505D2" w:rsidP="00D505D2"/>
    <w:p w:rsidR="00D505D2" w:rsidRDefault="00D505D2" w:rsidP="00D505D2">
      <w:pPr>
        <w:pStyle w:val="SCCLsocPrefix"/>
      </w:pPr>
      <w:r>
        <w:t>Entre :</w:t>
      </w:r>
    </w:p>
    <w:p w:rsidR="00D505D2" w:rsidRPr="00E65C24" w:rsidRDefault="00D505D2" w:rsidP="00D505D2">
      <w:pPr>
        <w:pStyle w:val="SCCLsocParty"/>
        <w:jc w:val="center"/>
      </w:pPr>
      <w:proofErr w:type="spellStart"/>
      <w:r w:rsidRPr="00E65C24">
        <w:t>Procureur</w:t>
      </w:r>
      <w:proofErr w:type="spellEnd"/>
      <w:r w:rsidRPr="00E65C24">
        <w:t xml:space="preserve"> </w:t>
      </w:r>
      <w:proofErr w:type="spellStart"/>
      <w:r w:rsidRPr="00E65C24">
        <w:t>général</w:t>
      </w:r>
      <w:proofErr w:type="spellEnd"/>
      <w:r w:rsidRPr="00E65C24">
        <w:t xml:space="preserve"> du Canada</w:t>
      </w:r>
    </w:p>
    <w:p w:rsidR="00D505D2" w:rsidRDefault="00D505D2" w:rsidP="00D505D2">
      <w:pPr>
        <w:jc w:val="center"/>
      </w:pPr>
      <w:proofErr w:type="spellStart"/>
      <w:r w:rsidRPr="00E65C24">
        <w:t>Appelant</w:t>
      </w:r>
      <w:proofErr w:type="spellEnd"/>
    </w:p>
    <w:p w:rsidR="00D505D2" w:rsidRDefault="00D505D2" w:rsidP="00D505D2">
      <w:pPr>
        <w:pStyle w:val="SCCLsocVersus"/>
        <w:spacing w:after="0"/>
        <w:jc w:val="center"/>
      </w:pPr>
    </w:p>
    <w:p w:rsidR="00D505D2" w:rsidRPr="00D505D2" w:rsidRDefault="00D505D2" w:rsidP="00D505D2">
      <w:pPr>
        <w:pStyle w:val="SCCLsocVersus"/>
        <w:spacing w:after="0"/>
        <w:jc w:val="center"/>
        <w:rPr>
          <w:i w:val="0"/>
        </w:rPr>
      </w:pPr>
      <w:proofErr w:type="gramStart"/>
      <w:r w:rsidRPr="00D505D2">
        <w:rPr>
          <w:i w:val="0"/>
        </w:rPr>
        <w:t>et</w:t>
      </w:r>
      <w:proofErr w:type="gramEnd"/>
    </w:p>
    <w:p w:rsidR="00D505D2" w:rsidRPr="005853A4" w:rsidRDefault="00D505D2" w:rsidP="00D505D2">
      <w:pPr>
        <w:jc w:val="center"/>
      </w:pPr>
    </w:p>
    <w:p w:rsidR="00D505D2" w:rsidRPr="00D505D2" w:rsidRDefault="00D505D2" w:rsidP="00D505D2">
      <w:pPr>
        <w:pStyle w:val="SCCLsocParty"/>
        <w:jc w:val="center"/>
        <w:rPr>
          <w:lang w:val="fr-CA"/>
        </w:rPr>
      </w:pPr>
      <w:r w:rsidRPr="00D505D2">
        <w:rPr>
          <w:lang w:val="fr-CA"/>
        </w:rPr>
        <w:t xml:space="preserve">Daniel </w:t>
      </w:r>
      <w:proofErr w:type="spellStart"/>
      <w:r w:rsidRPr="00D505D2">
        <w:rPr>
          <w:lang w:val="fr-CA"/>
        </w:rPr>
        <w:t>Thouin</w:t>
      </w:r>
      <w:proofErr w:type="spellEnd"/>
      <w:r w:rsidRPr="00D505D2">
        <w:rPr>
          <w:lang w:val="fr-CA"/>
        </w:rPr>
        <w:t xml:space="preserve"> et Association pour la protection automobile</w:t>
      </w:r>
    </w:p>
    <w:p w:rsidR="00D505D2" w:rsidRPr="00D505D2" w:rsidRDefault="00D505D2" w:rsidP="00D505D2">
      <w:pPr>
        <w:jc w:val="center"/>
        <w:rPr>
          <w:lang w:val="fr-CA"/>
        </w:rPr>
      </w:pPr>
      <w:r w:rsidRPr="00D505D2">
        <w:rPr>
          <w:lang w:val="fr-CA"/>
        </w:rPr>
        <w:t>Intimés</w:t>
      </w:r>
    </w:p>
    <w:p w:rsidR="00D505D2" w:rsidRPr="00D505D2" w:rsidRDefault="00D505D2" w:rsidP="00D505D2">
      <w:pPr>
        <w:rPr>
          <w:lang w:val="fr-CA"/>
        </w:rPr>
      </w:pPr>
    </w:p>
    <w:p w:rsidR="00D505D2" w:rsidRPr="00D505D2" w:rsidRDefault="00D505D2" w:rsidP="00D505D2">
      <w:pPr>
        <w:pStyle w:val="SCCLsocSubfileSeparator"/>
        <w:rPr>
          <w:b/>
          <w:smallCaps/>
          <w:lang w:val="fr-CA"/>
        </w:rPr>
      </w:pPr>
      <w:r w:rsidRPr="00D505D2">
        <w:rPr>
          <w:b/>
          <w:smallCaps/>
          <w:lang w:val="fr-CA"/>
        </w:rPr>
        <w:t>Et entre :</w:t>
      </w:r>
    </w:p>
    <w:p w:rsidR="00D505D2" w:rsidRPr="00D505D2" w:rsidRDefault="00D505D2" w:rsidP="00D505D2">
      <w:pPr>
        <w:pStyle w:val="SCCLsocParty"/>
        <w:jc w:val="center"/>
        <w:rPr>
          <w:lang w:val="fr-CA"/>
        </w:rPr>
      </w:pPr>
      <w:proofErr w:type="spellStart"/>
      <w:r w:rsidRPr="00D505D2">
        <w:rPr>
          <w:lang w:val="fr-CA"/>
        </w:rPr>
        <w:t>Ultramar</w:t>
      </w:r>
      <w:proofErr w:type="spellEnd"/>
      <w:r w:rsidRPr="00D505D2">
        <w:rPr>
          <w:lang w:val="fr-CA"/>
        </w:rPr>
        <w:t xml:space="preserve"> </w:t>
      </w:r>
      <w:proofErr w:type="spellStart"/>
      <w:r w:rsidRPr="00D505D2">
        <w:rPr>
          <w:lang w:val="fr-CA"/>
        </w:rPr>
        <w:t>ltée</w:t>
      </w:r>
      <w:proofErr w:type="spellEnd"/>
      <w:r w:rsidRPr="00D505D2">
        <w:rPr>
          <w:lang w:val="fr-CA"/>
        </w:rPr>
        <w:t xml:space="preserve">, Groupe Pétrolier </w:t>
      </w:r>
      <w:proofErr w:type="spellStart"/>
      <w:r w:rsidRPr="00D505D2">
        <w:rPr>
          <w:lang w:val="fr-CA"/>
        </w:rPr>
        <w:t>Olco</w:t>
      </w:r>
      <w:proofErr w:type="spellEnd"/>
      <w:r w:rsidRPr="00D505D2">
        <w:rPr>
          <w:lang w:val="fr-CA"/>
        </w:rPr>
        <w:t xml:space="preserve"> ULC, Les Pétroles Irving </w:t>
      </w:r>
      <w:proofErr w:type="spellStart"/>
      <w:r w:rsidRPr="00D505D2">
        <w:rPr>
          <w:lang w:val="fr-CA"/>
        </w:rPr>
        <w:t>inc.</w:t>
      </w:r>
      <w:proofErr w:type="spellEnd"/>
      <w:r w:rsidRPr="00D505D2">
        <w:rPr>
          <w:lang w:val="fr-CA"/>
        </w:rPr>
        <w:t xml:space="preserve">, Alimentation Couche-Tard </w:t>
      </w:r>
      <w:proofErr w:type="spellStart"/>
      <w:r w:rsidRPr="00D505D2">
        <w:rPr>
          <w:lang w:val="fr-CA"/>
        </w:rPr>
        <w:t>inc.</w:t>
      </w:r>
      <w:proofErr w:type="spellEnd"/>
      <w:r w:rsidRPr="00D505D2">
        <w:rPr>
          <w:lang w:val="fr-CA"/>
        </w:rPr>
        <w:t xml:space="preserve">, </w:t>
      </w:r>
      <w:proofErr w:type="spellStart"/>
      <w:r w:rsidRPr="00D505D2">
        <w:rPr>
          <w:lang w:val="fr-CA"/>
        </w:rPr>
        <w:t>Dépan</w:t>
      </w:r>
      <w:proofErr w:type="spellEnd"/>
      <w:r w:rsidRPr="00D505D2">
        <w:rPr>
          <w:lang w:val="fr-CA"/>
        </w:rPr>
        <w:t xml:space="preserve">-Escompte Couche-Tard </w:t>
      </w:r>
      <w:proofErr w:type="spellStart"/>
      <w:r w:rsidRPr="00D505D2">
        <w:rPr>
          <w:lang w:val="fr-CA"/>
        </w:rPr>
        <w:t>inc.</w:t>
      </w:r>
      <w:proofErr w:type="spellEnd"/>
      <w:r w:rsidRPr="00D505D2">
        <w:rPr>
          <w:lang w:val="fr-CA"/>
        </w:rPr>
        <w:t xml:space="preserve">, Couche-Tard </w:t>
      </w:r>
      <w:proofErr w:type="spellStart"/>
      <w:r w:rsidRPr="00D505D2">
        <w:rPr>
          <w:lang w:val="fr-CA"/>
        </w:rPr>
        <w:t>inc.</w:t>
      </w:r>
      <w:proofErr w:type="spellEnd"/>
      <w:r w:rsidRPr="00D505D2">
        <w:rPr>
          <w:lang w:val="fr-CA"/>
        </w:rPr>
        <w:t xml:space="preserve">, Les Pétroles Global </w:t>
      </w:r>
      <w:proofErr w:type="spellStart"/>
      <w:r w:rsidRPr="00D505D2">
        <w:rPr>
          <w:lang w:val="fr-CA"/>
        </w:rPr>
        <w:t>inc.</w:t>
      </w:r>
      <w:proofErr w:type="spellEnd"/>
      <w:r w:rsidRPr="00D505D2">
        <w:rPr>
          <w:lang w:val="fr-CA"/>
        </w:rPr>
        <w:t xml:space="preserve">, Les Pétroles Global (Québec) </w:t>
      </w:r>
      <w:proofErr w:type="spellStart"/>
      <w:r w:rsidRPr="00D505D2">
        <w:rPr>
          <w:lang w:val="fr-CA"/>
        </w:rPr>
        <w:t>inc.</w:t>
      </w:r>
      <w:proofErr w:type="spellEnd"/>
      <w:r w:rsidRPr="00D505D2">
        <w:rPr>
          <w:lang w:val="fr-CA"/>
        </w:rPr>
        <w:t xml:space="preserve">, Philippe Gosselin &amp; Associés </w:t>
      </w:r>
      <w:proofErr w:type="spellStart"/>
      <w:r w:rsidRPr="00D505D2">
        <w:rPr>
          <w:lang w:val="fr-CA"/>
        </w:rPr>
        <w:t>ltée</w:t>
      </w:r>
      <w:proofErr w:type="spellEnd"/>
      <w:r w:rsidRPr="00D505D2">
        <w:rPr>
          <w:lang w:val="fr-CA"/>
        </w:rPr>
        <w:t>, Céline Bonin et Claude Bédard</w:t>
      </w:r>
    </w:p>
    <w:p w:rsidR="00D505D2" w:rsidRPr="00D505D2" w:rsidRDefault="00D505D2" w:rsidP="00D505D2">
      <w:pPr>
        <w:jc w:val="center"/>
        <w:rPr>
          <w:lang w:val="fr-CA"/>
        </w:rPr>
      </w:pPr>
      <w:r w:rsidRPr="00D505D2">
        <w:rPr>
          <w:lang w:val="fr-CA"/>
        </w:rPr>
        <w:t>Appelants</w:t>
      </w:r>
    </w:p>
    <w:p w:rsidR="00D505D2" w:rsidRPr="00D505D2" w:rsidRDefault="00D505D2" w:rsidP="00D505D2">
      <w:pPr>
        <w:jc w:val="center"/>
        <w:rPr>
          <w:lang w:val="fr-CA"/>
        </w:rPr>
      </w:pPr>
    </w:p>
    <w:p w:rsidR="00D505D2" w:rsidRDefault="00D505D2" w:rsidP="00D505D2">
      <w:pPr>
        <w:pStyle w:val="SCCLsocVersus"/>
        <w:spacing w:after="0"/>
        <w:jc w:val="center"/>
        <w:rPr>
          <w:i w:val="0"/>
          <w:lang w:val="fr-CA"/>
        </w:rPr>
      </w:pPr>
      <w:proofErr w:type="gramStart"/>
      <w:r>
        <w:rPr>
          <w:i w:val="0"/>
          <w:lang w:val="fr-CA"/>
        </w:rPr>
        <w:t>et</w:t>
      </w:r>
      <w:proofErr w:type="gramEnd"/>
    </w:p>
    <w:p w:rsidR="00D505D2" w:rsidRPr="00D505D2" w:rsidRDefault="00D505D2" w:rsidP="00D505D2">
      <w:pPr>
        <w:rPr>
          <w:lang w:val="fr-CA"/>
        </w:rPr>
      </w:pPr>
    </w:p>
    <w:p w:rsidR="00D505D2" w:rsidRPr="00D505D2" w:rsidRDefault="00D505D2" w:rsidP="00D505D2">
      <w:pPr>
        <w:pStyle w:val="SCCLsocParty"/>
        <w:jc w:val="center"/>
        <w:rPr>
          <w:lang w:val="fr-CA"/>
        </w:rPr>
      </w:pPr>
      <w:r w:rsidRPr="00D505D2">
        <w:rPr>
          <w:lang w:val="fr-CA"/>
        </w:rPr>
        <w:t xml:space="preserve">Daniel </w:t>
      </w:r>
      <w:proofErr w:type="spellStart"/>
      <w:r w:rsidRPr="00D505D2">
        <w:rPr>
          <w:lang w:val="fr-CA"/>
        </w:rPr>
        <w:t>Thouin</w:t>
      </w:r>
      <w:proofErr w:type="spellEnd"/>
      <w:r w:rsidRPr="00D505D2">
        <w:rPr>
          <w:lang w:val="fr-CA"/>
        </w:rPr>
        <w:t xml:space="preserve"> et Association pour la protection automobile</w:t>
      </w:r>
    </w:p>
    <w:p w:rsidR="00D505D2" w:rsidRPr="00D505D2" w:rsidRDefault="00D505D2" w:rsidP="00D505D2">
      <w:pPr>
        <w:jc w:val="center"/>
        <w:rPr>
          <w:lang w:val="fr-CA"/>
        </w:rPr>
      </w:pPr>
      <w:r w:rsidRPr="00D505D2">
        <w:rPr>
          <w:lang w:val="fr-CA"/>
        </w:rPr>
        <w:t>Intimés</w:t>
      </w:r>
    </w:p>
    <w:p w:rsidR="00D505D2" w:rsidRPr="00D505D2" w:rsidRDefault="00D505D2" w:rsidP="00D505D2">
      <w:pPr>
        <w:jc w:val="center"/>
        <w:rPr>
          <w:lang w:val="fr-CA"/>
        </w:rPr>
      </w:pPr>
    </w:p>
    <w:p w:rsidR="00D505D2" w:rsidRPr="00D505D2" w:rsidRDefault="00D505D2" w:rsidP="00D505D2">
      <w:pPr>
        <w:pStyle w:val="SCCLsocOtherPartySeparator"/>
        <w:spacing w:after="0"/>
        <w:jc w:val="center"/>
        <w:rPr>
          <w:lang w:val="fr-CA"/>
        </w:rPr>
      </w:pPr>
      <w:r w:rsidRPr="00D505D2">
        <w:rPr>
          <w:lang w:val="fr-CA"/>
        </w:rPr>
        <w:t>- et -</w:t>
      </w:r>
    </w:p>
    <w:p w:rsidR="00D505D2" w:rsidRPr="00D505D2" w:rsidRDefault="00D505D2" w:rsidP="00D505D2">
      <w:pPr>
        <w:pStyle w:val="SCCLsocParty"/>
        <w:jc w:val="center"/>
        <w:rPr>
          <w:lang w:val="fr-CA"/>
        </w:rPr>
      </w:pPr>
      <w:r w:rsidRPr="00D505D2">
        <w:rPr>
          <w:lang w:val="fr-CA"/>
        </w:rPr>
        <w:t>Procureure générale du Québec</w:t>
      </w:r>
    </w:p>
    <w:p w:rsidR="00D505D2" w:rsidRPr="00D505D2" w:rsidRDefault="00D505D2" w:rsidP="00D505D2">
      <w:pPr>
        <w:jc w:val="center"/>
        <w:rPr>
          <w:lang w:val="fr-CA"/>
        </w:rPr>
      </w:pPr>
      <w:r w:rsidRPr="00D505D2">
        <w:rPr>
          <w:lang w:val="fr-CA"/>
        </w:rPr>
        <w:t>Intervenante</w:t>
      </w:r>
    </w:p>
    <w:p w:rsidR="00D505D2" w:rsidRPr="00D505D2" w:rsidRDefault="00D505D2" w:rsidP="00D505D2">
      <w:pPr>
        <w:jc w:val="center"/>
        <w:rPr>
          <w:lang w:val="fr-CA"/>
        </w:rPr>
      </w:pPr>
    </w:p>
    <w:p w:rsidR="00D505D2" w:rsidRPr="00D505D2" w:rsidRDefault="00D505D2" w:rsidP="00D505D2">
      <w:pPr>
        <w:rPr>
          <w:lang w:val="fr-CA"/>
        </w:rPr>
      </w:pPr>
    </w:p>
    <w:p w:rsidR="00D505D2" w:rsidRPr="00D505D2" w:rsidRDefault="00D505D2" w:rsidP="00D505D2">
      <w:pPr>
        <w:rPr>
          <w:lang w:val="fr-CA"/>
        </w:rPr>
      </w:pPr>
      <w:r w:rsidRPr="00D505D2">
        <w:rPr>
          <w:b/>
          <w:smallCaps/>
          <w:lang w:val="fr-CA"/>
        </w:rPr>
        <w:t>Coram :</w:t>
      </w:r>
      <w:r w:rsidRPr="00D505D2">
        <w:rPr>
          <w:lang w:val="fr-CA"/>
        </w:rPr>
        <w:t xml:space="preserve"> La juge en chef </w:t>
      </w:r>
      <w:proofErr w:type="spellStart"/>
      <w:r w:rsidRPr="00D505D2">
        <w:rPr>
          <w:lang w:val="fr-CA"/>
        </w:rPr>
        <w:t>McLachlin</w:t>
      </w:r>
      <w:proofErr w:type="spellEnd"/>
      <w:r w:rsidRPr="00D505D2">
        <w:rPr>
          <w:lang w:val="fr-CA"/>
        </w:rPr>
        <w:t xml:space="preserve"> et les juges Abella, </w:t>
      </w:r>
      <w:proofErr w:type="spellStart"/>
      <w:r w:rsidRPr="00D505D2">
        <w:rPr>
          <w:lang w:val="fr-CA"/>
        </w:rPr>
        <w:t>Moldaver</w:t>
      </w:r>
      <w:proofErr w:type="spellEnd"/>
      <w:r w:rsidRPr="00D505D2">
        <w:rPr>
          <w:lang w:val="fr-CA"/>
        </w:rPr>
        <w:t>, Wagner, Gascon, Brown et Rowe</w:t>
      </w:r>
    </w:p>
    <w:p w:rsidR="00D505D2" w:rsidRPr="00D505D2" w:rsidRDefault="00D505D2" w:rsidP="00D505D2">
      <w:pPr>
        <w:rPr>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D505D2" w:rsidRPr="00D505D2" w:rsidTr="009C57C1">
        <w:trPr>
          <w:cantSplit/>
        </w:trPr>
        <w:tc>
          <w:tcPr>
            <w:tcW w:w="3618" w:type="dxa"/>
          </w:tcPr>
          <w:p w:rsidR="00D505D2" w:rsidRPr="00D505D2" w:rsidRDefault="00D505D2" w:rsidP="009C57C1">
            <w:pPr>
              <w:rPr>
                <w:b/>
                <w:smallCaps/>
                <w:lang w:val="fr-CA"/>
              </w:rPr>
            </w:pPr>
            <w:r w:rsidRPr="00D505D2">
              <w:rPr>
                <w:b/>
                <w:smallCaps/>
                <w:lang w:val="fr-CA"/>
              </w:rPr>
              <w:lastRenderedPageBreak/>
              <w:t>Motifs de jugement conjoints :</w:t>
            </w:r>
          </w:p>
          <w:p w:rsidR="00D505D2" w:rsidRPr="00D505D2" w:rsidRDefault="00D505D2" w:rsidP="009C57C1">
            <w:pPr>
              <w:rPr>
                <w:lang w:val="fr-CA"/>
              </w:rPr>
            </w:pPr>
            <w:r w:rsidRPr="00D505D2">
              <w:rPr>
                <w:lang w:val="fr-CA"/>
              </w:rPr>
              <w:t>(par. 1 à 44)</w:t>
            </w:r>
          </w:p>
        </w:tc>
        <w:tc>
          <w:tcPr>
            <w:tcW w:w="5958" w:type="dxa"/>
          </w:tcPr>
          <w:p w:rsidR="00D505D2" w:rsidRPr="00D505D2" w:rsidRDefault="00D505D2" w:rsidP="009C57C1">
            <w:pPr>
              <w:rPr>
                <w:lang w:val="fr-CA"/>
              </w:rPr>
            </w:pPr>
            <w:r w:rsidRPr="00D505D2">
              <w:rPr>
                <w:lang w:val="fr-CA"/>
              </w:rPr>
              <w:t xml:space="preserve">Les juges Gascon et Brown (avec l’accord de la juge en chef </w:t>
            </w:r>
            <w:proofErr w:type="spellStart"/>
            <w:r w:rsidRPr="00D505D2">
              <w:rPr>
                <w:lang w:val="fr-CA"/>
              </w:rPr>
              <w:t>McLachlin</w:t>
            </w:r>
            <w:proofErr w:type="spellEnd"/>
            <w:r w:rsidRPr="00D505D2">
              <w:rPr>
                <w:lang w:val="fr-CA"/>
              </w:rPr>
              <w:t xml:space="preserve"> et des juges Abella, </w:t>
            </w:r>
            <w:proofErr w:type="spellStart"/>
            <w:r w:rsidRPr="00D505D2">
              <w:rPr>
                <w:lang w:val="fr-CA"/>
              </w:rPr>
              <w:t>Moldaver</w:t>
            </w:r>
            <w:proofErr w:type="spellEnd"/>
            <w:r w:rsidRPr="00D505D2">
              <w:rPr>
                <w:lang w:val="fr-CA"/>
              </w:rPr>
              <w:t>, Wagner et Rowe)</w:t>
            </w:r>
          </w:p>
        </w:tc>
      </w:tr>
    </w:tbl>
    <w:p w:rsidR="00D505D2" w:rsidRPr="00D505D2" w:rsidRDefault="00D505D2" w:rsidP="00D505D2">
      <w:pPr>
        <w:rPr>
          <w:lang w:val="fr-CA"/>
        </w:rPr>
      </w:pPr>
    </w:p>
    <w:p w:rsidR="00D505D2" w:rsidRPr="00D505D2" w:rsidRDefault="00D505D2" w:rsidP="00D505D2">
      <w:pPr>
        <w:rPr>
          <w:lang w:val="fr-CA"/>
        </w:rPr>
      </w:pPr>
    </w:p>
    <w:p w:rsidR="00D505D2" w:rsidRPr="00D505D2" w:rsidRDefault="00D505D2" w:rsidP="00D505D2">
      <w:pPr>
        <w:rPr>
          <w:lang w:val="fr-CA"/>
        </w:rPr>
      </w:pPr>
      <w:r>
        <w:rPr>
          <w:noProof/>
          <w:lang w:val="en-US"/>
        </w:rPr>
        <mc:AlternateContent>
          <mc:Choice Requires="wps">
            <w:drawing>
              <wp:anchor distT="0" distB="0" distL="114300" distR="114300" simplePos="0" relativeHeight="251659264" behindDoc="0" locked="0" layoutInCell="1" allowOverlap="1" wp14:anchorId="70EA0818" wp14:editId="5D4576A8">
                <wp:simplePos x="0" y="0"/>
                <wp:positionH relativeFrom="column">
                  <wp:posOffset>1609725</wp:posOffset>
                </wp:positionH>
                <wp:positionV relativeFrom="paragraph">
                  <wp:posOffset>184150</wp:posOffset>
                </wp:positionV>
                <wp:extent cx="2505075" cy="0"/>
                <wp:effectExtent l="9525"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BC071C1" id="_x0000_t32" coordsize="21600,21600" o:spt="32" o:oned="t" path="m,l21600,21600e" filled="f">
                <v:path arrowok="t" fillok="f" o:connecttype="none"/>
                <o:lock v:ext="edit" shapetype="t"/>
              </v:shapetype>
              <v:shape id="AutoShape 2"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g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"/>
            </w:pict>
          </mc:Fallback>
        </mc:AlternateContent>
      </w:r>
    </w:p>
    <w:p w:rsidR="00D505D2" w:rsidRDefault="00D505D2" w:rsidP="00342640">
      <w:pPr>
        <w:spacing w:after="720"/>
        <w:jc w:val="both"/>
        <w:rPr>
          <w:rStyle w:val="SCCAppellantForRunningHeadChar"/>
          <w:smallCaps w:val="0"/>
          <w:lang w:val="fr-CA"/>
        </w:rPr>
      </w:pPr>
    </w:p>
    <w:p w:rsidR="004D7D95" w:rsidRPr="00486732" w:rsidRDefault="00486732" w:rsidP="00342640">
      <w:pPr>
        <w:spacing w:after="720"/>
        <w:jc w:val="both"/>
        <w:rPr>
          <w:smallCaps/>
          <w:lang w:val="fr-CA"/>
        </w:rPr>
      </w:pPr>
      <w:r>
        <w:rPr>
          <w:rStyle w:val="SCCAppellantForRunningHeadChar"/>
          <w:smallCaps w:val="0"/>
          <w:lang w:val="fr-CA"/>
        </w:rPr>
        <w:t>C</w:t>
      </w:r>
      <w:r w:rsidR="00617D14" w:rsidRPr="00486732">
        <w:rPr>
          <w:rStyle w:val="SCCAppellantForRunningHeadChar"/>
          <w:smallCaps w:val="0"/>
          <w:lang w:val="fr-CA"/>
        </w:rPr>
        <w:t>a</w:t>
      </w:r>
      <w:r w:rsidR="004D7D95" w:rsidRPr="00486732">
        <w:rPr>
          <w:rStyle w:val="SCCAppellantForRunningHeadChar"/>
          <w:smallCaps w:val="0"/>
          <w:lang w:val="fr-CA"/>
        </w:rPr>
        <w:t xml:space="preserve">nada </w:t>
      </w:r>
      <w:r w:rsidR="00617D14" w:rsidRPr="00486732">
        <w:rPr>
          <w:rStyle w:val="SCCAppellantForRunningHeadChar"/>
          <w:smallCaps w:val="0"/>
          <w:lang w:val="fr-CA"/>
        </w:rPr>
        <w:t>(</w:t>
      </w:r>
      <w:r>
        <w:rPr>
          <w:rStyle w:val="SCCAppellantForRunningHeadChar"/>
          <w:smallCaps w:val="0"/>
          <w:lang w:val="fr-CA"/>
        </w:rPr>
        <w:t>Procureur général</w:t>
      </w:r>
      <w:r w:rsidR="00617D14" w:rsidRPr="00486732">
        <w:rPr>
          <w:rStyle w:val="SCCAppellantForRunningHeadChar"/>
          <w:smallCaps w:val="0"/>
          <w:lang w:val="fr-CA"/>
        </w:rPr>
        <w:t>)</w:t>
      </w:r>
      <w:r w:rsidR="004D7D95" w:rsidRPr="00486732">
        <w:rPr>
          <w:smallCaps/>
          <w:lang w:val="fr-CA"/>
        </w:rPr>
        <w:t xml:space="preserve"> </w:t>
      </w:r>
      <w:r w:rsidR="004D7D95" w:rsidRPr="00486732">
        <w:rPr>
          <w:i/>
          <w:lang w:val="fr-CA"/>
        </w:rPr>
        <w:t>c.</w:t>
      </w:r>
      <w:r w:rsidR="00617D14" w:rsidRPr="00486732">
        <w:rPr>
          <w:smallCaps/>
          <w:lang w:val="fr-CA"/>
        </w:rPr>
        <w:t xml:space="preserve"> </w:t>
      </w:r>
      <w:proofErr w:type="spellStart"/>
      <w:r>
        <w:rPr>
          <w:rStyle w:val="SCCRespondentForRunningHeadChar"/>
          <w:smallCaps w:val="0"/>
          <w:lang w:val="fr-CA"/>
        </w:rPr>
        <w:t>T</w:t>
      </w:r>
      <w:r w:rsidR="00617D14" w:rsidRPr="00486732">
        <w:rPr>
          <w:rStyle w:val="SCCRespondentForRunningHeadChar"/>
          <w:smallCaps w:val="0"/>
          <w:lang w:val="fr-CA"/>
        </w:rPr>
        <w:t>h</w:t>
      </w:r>
      <w:r w:rsidR="004D7D95" w:rsidRPr="00486732">
        <w:rPr>
          <w:rStyle w:val="SCCRespondentForRunningHeadChar"/>
          <w:smallCaps w:val="0"/>
          <w:lang w:val="fr-CA"/>
        </w:rPr>
        <w:t>ouin</w:t>
      </w:r>
      <w:proofErr w:type="spellEnd"/>
      <w:r>
        <w:rPr>
          <w:rStyle w:val="SCCRespondentForRunningHeadChar"/>
          <w:smallCaps w:val="0"/>
          <w:lang w:val="fr-CA"/>
        </w:rPr>
        <w:t xml:space="preserve">, </w:t>
      </w:r>
      <w:r w:rsidRPr="00D734D2">
        <w:rPr>
          <w:lang w:val="fr-CA"/>
        </w:rPr>
        <w:t>2017 CSC 46</w:t>
      </w:r>
      <w:r>
        <w:rPr>
          <w:lang w:val="fr-CA"/>
        </w:rPr>
        <w:t>, [2017] 2 R.C.S. 184</w:t>
      </w:r>
    </w:p>
    <w:p w:rsidR="002A0459" w:rsidRPr="00D734D2" w:rsidRDefault="00A57DAB">
      <w:pPr>
        <w:pStyle w:val="SCCLsocLastPartyInRole"/>
        <w:rPr>
          <w:lang w:val="fr-CA"/>
        </w:rPr>
      </w:pPr>
      <w:r w:rsidRPr="00D734D2">
        <w:rPr>
          <w:lang w:val="fr-CA"/>
        </w:rPr>
        <w:t>Procureur général du Canada</w:t>
      </w:r>
      <w:r w:rsidRPr="00D734D2">
        <w:rPr>
          <w:rStyle w:val="SCCLsocPartyRole"/>
          <w:lang w:val="fr-CA"/>
        </w:rPr>
        <w:tab/>
        <w:t>Appelant</w:t>
      </w:r>
    </w:p>
    <w:p w:rsidR="002A0459" w:rsidRPr="00D734D2" w:rsidRDefault="00A57DAB">
      <w:pPr>
        <w:pStyle w:val="SCCLsocVersus"/>
        <w:rPr>
          <w:lang w:val="fr-CA"/>
        </w:rPr>
      </w:pPr>
      <w:proofErr w:type="gramStart"/>
      <w:r w:rsidRPr="00D734D2">
        <w:rPr>
          <w:lang w:val="fr-CA"/>
        </w:rPr>
        <w:t>c</w:t>
      </w:r>
      <w:proofErr w:type="gramEnd"/>
      <w:r w:rsidRPr="00D734D2">
        <w:rPr>
          <w:lang w:val="fr-CA"/>
        </w:rPr>
        <w:t>.</w:t>
      </w:r>
    </w:p>
    <w:p w:rsidR="002A0459" w:rsidRPr="00D734D2" w:rsidRDefault="00C97DCB">
      <w:pPr>
        <w:pStyle w:val="SCCLsocParty"/>
        <w:rPr>
          <w:lang w:val="fr-CA"/>
        </w:rPr>
      </w:pPr>
      <w:r w:rsidRPr="00D734D2">
        <w:rPr>
          <w:lang w:val="fr-CA"/>
        </w:rPr>
        <w:t xml:space="preserve">Daniel </w:t>
      </w:r>
      <w:proofErr w:type="spellStart"/>
      <w:r w:rsidRPr="00D734D2">
        <w:rPr>
          <w:lang w:val="fr-CA"/>
        </w:rPr>
        <w:t>Thouin</w:t>
      </w:r>
      <w:proofErr w:type="spellEnd"/>
      <w:r w:rsidRPr="00D734D2">
        <w:rPr>
          <w:lang w:val="fr-CA"/>
        </w:rPr>
        <w:t xml:space="preserve"> et</w:t>
      </w:r>
    </w:p>
    <w:p w:rsidR="002A0459" w:rsidRPr="00D734D2" w:rsidRDefault="00A57DAB">
      <w:pPr>
        <w:pStyle w:val="SCCLsocLastPartyInRole"/>
        <w:rPr>
          <w:lang w:val="fr-CA"/>
        </w:rPr>
      </w:pPr>
      <w:r w:rsidRPr="00D734D2">
        <w:rPr>
          <w:lang w:val="fr-CA"/>
        </w:rPr>
        <w:t>Association pour la protection automobile</w:t>
      </w:r>
      <w:r w:rsidRPr="00D734D2">
        <w:rPr>
          <w:rStyle w:val="SCCLsocPartyRole"/>
          <w:lang w:val="fr-CA"/>
        </w:rPr>
        <w:tab/>
        <w:t>Intimés</w:t>
      </w:r>
    </w:p>
    <w:p w:rsidR="002A0459" w:rsidRPr="00D734D2" w:rsidRDefault="0065746B">
      <w:pPr>
        <w:pStyle w:val="SCCLsocSubfileSeparator"/>
        <w:rPr>
          <w:lang w:val="fr-CA"/>
        </w:rPr>
      </w:pPr>
      <w:r w:rsidRPr="00D734D2">
        <w:rPr>
          <w:lang w:val="fr-CA"/>
        </w:rPr>
        <w:noBreakHyphen/>
      </w:r>
      <w:r w:rsidR="00A57DAB" w:rsidRPr="00D734D2">
        <w:rPr>
          <w:lang w:val="fr-CA"/>
        </w:rPr>
        <w:t xml:space="preserve"> </w:t>
      </w:r>
      <w:proofErr w:type="gramStart"/>
      <w:r w:rsidR="00A57DAB" w:rsidRPr="00D734D2">
        <w:rPr>
          <w:lang w:val="fr-CA"/>
        </w:rPr>
        <w:t>et</w:t>
      </w:r>
      <w:proofErr w:type="gramEnd"/>
      <w:r w:rsidR="00A57DAB" w:rsidRPr="00D734D2">
        <w:rPr>
          <w:lang w:val="fr-CA"/>
        </w:rPr>
        <w:t xml:space="preserve"> </w:t>
      </w:r>
      <w:r w:rsidRPr="00D734D2">
        <w:rPr>
          <w:lang w:val="fr-CA"/>
        </w:rPr>
        <w:noBreakHyphen/>
      </w:r>
    </w:p>
    <w:p w:rsidR="00C97DCB" w:rsidRPr="00D734D2" w:rsidRDefault="00A57DAB">
      <w:pPr>
        <w:pStyle w:val="SCCLsocParty"/>
        <w:rPr>
          <w:lang w:val="fr-CA"/>
        </w:rPr>
      </w:pPr>
      <w:proofErr w:type="spellStart"/>
      <w:r w:rsidRPr="00D734D2">
        <w:rPr>
          <w:lang w:val="fr-CA"/>
        </w:rPr>
        <w:t>Ultramar</w:t>
      </w:r>
      <w:proofErr w:type="spellEnd"/>
      <w:r w:rsidRPr="00D734D2">
        <w:rPr>
          <w:lang w:val="fr-CA"/>
        </w:rPr>
        <w:t xml:space="preserve"> </w:t>
      </w:r>
      <w:proofErr w:type="spellStart"/>
      <w:r w:rsidR="00EC1BBF" w:rsidRPr="00D734D2">
        <w:rPr>
          <w:lang w:val="fr-CA"/>
        </w:rPr>
        <w:t>l</w:t>
      </w:r>
      <w:r w:rsidRPr="00D734D2">
        <w:rPr>
          <w:lang w:val="fr-CA"/>
        </w:rPr>
        <w:t>tée</w:t>
      </w:r>
      <w:proofErr w:type="spellEnd"/>
      <w:r w:rsidRPr="00D734D2">
        <w:rPr>
          <w:lang w:val="fr-CA"/>
        </w:rPr>
        <w:t>,</w:t>
      </w:r>
      <w:r w:rsidR="00C97DCB" w:rsidRPr="00D734D2">
        <w:rPr>
          <w:lang w:val="fr-CA"/>
        </w:rPr>
        <w:t xml:space="preserve"> </w:t>
      </w:r>
      <w:r w:rsidRPr="00D734D2">
        <w:rPr>
          <w:lang w:val="fr-CA"/>
        </w:rPr>
        <w:t xml:space="preserve">Groupe Pétrolier </w:t>
      </w:r>
      <w:proofErr w:type="spellStart"/>
      <w:r w:rsidRPr="00D734D2">
        <w:rPr>
          <w:lang w:val="fr-CA"/>
        </w:rPr>
        <w:t>Olco</w:t>
      </w:r>
      <w:proofErr w:type="spellEnd"/>
      <w:r w:rsidRPr="00D734D2">
        <w:rPr>
          <w:lang w:val="fr-CA"/>
        </w:rPr>
        <w:t xml:space="preserve"> </w:t>
      </w:r>
      <w:r w:rsidR="00624ADC" w:rsidRPr="00D734D2">
        <w:rPr>
          <w:lang w:val="fr-CA"/>
        </w:rPr>
        <w:t>ULC</w:t>
      </w:r>
      <w:r w:rsidRPr="00D734D2">
        <w:rPr>
          <w:lang w:val="fr-CA"/>
        </w:rPr>
        <w:t>,</w:t>
      </w:r>
      <w:r w:rsidR="00C97DCB" w:rsidRPr="00D734D2">
        <w:rPr>
          <w:lang w:val="fr-CA"/>
        </w:rPr>
        <w:t xml:space="preserve"> </w:t>
      </w:r>
    </w:p>
    <w:p w:rsidR="00C97DCB" w:rsidRPr="00D734D2" w:rsidRDefault="00EC1BBF">
      <w:pPr>
        <w:pStyle w:val="SCCLsocParty"/>
        <w:rPr>
          <w:lang w:val="fr-CA"/>
        </w:rPr>
      </w:pPr>
      <w:r w:rsidRPr="00D734D2">
        <w:rPr>
          <w:lang w:val="fr-CA"/>
        </w:rPr>
        <w:t xml:space="preserve">Les </w:t>
      </w:r>
      <w:r w:rsidR="00A57DAB" w:rsidRPr="00D734D2">
        <w:rPr>
          <w:lang w:val="fr-CA"/>
        </w:rPr>
        <w:t xml:space="preserve">Pétroles Irving </w:t>
      </w:r>
      <w:proofErr w:type="spellStart"/>
      <w:r w:rsidR="00A57DAB" w:rsidRPr="00D734D2">
        <w:rPr>
          <w:lang w:val="fr-CA"/>
        </w:rPr>
        <w:t>inc.</w:t>
      </w:r>
      <w:proofErr w:type="spellEnd"/>
      <w:r w:rsidR="00A57DAB" w:rsidRPr="00D734D2">
        <w:rPr>
          <w:lang w:val="fr-CA"/>
        </w:rPr>
        <w:t>,</w:t>
      </w:r>
      <w:r w:rsidR="00C97DCB" w:rsidRPr="00D734D2">
        <w:rPr>
          <w:lang w:val="fr-CA"/>
        </w:rPr>
        <w:t xml:space="preserve"> </w:t>
      </w:r>
      <w:r w:rsidR="00A57DAB" w:rsidRPr="00D734D2">
        <w:rPr>
          <w:lang w:val="fr-CA"/>
        </w:rPr>
        <w:t>Alimentation Couche</w:t>
      </w:r>
      <w:r w:rsidR="0065746B" w:rsidRPr="00D734D2">
        <w:rPr>
          <w:lang w:val="fr-CA"/>
        </w:rPr>
        <w:noBreakHyphen/>
      </w:r>
      <w:r w:rsidR="00A57DAB" w:rsidRPr="00D734D2">
        <w:rPr>
          <w:lang w:val="fr-CA"/>
        </w:rPr>
        <w:t xml:space="preserve">Tard </w:t>
      </w:r>
      <w:proofErr w:type="spellStart"/>
      <w:r w:rsidR="00A57DAB" w:rsidRPr="00D734D2">
        <w:rPr>
          <w:lang w:val="fr-CA"/>
        </w:rPr>
        <w:t>inc</w:t>
      </w:r>
      <w:proofErr w:type="gramStart"/>
      <w:r w:rsidR="00A57DAB" w:rsidRPr="00D734D2">
        <w:rPr>
          <w:lang w:val="fr-CA"/>
        </w:rPr>
        <w:t>.</w:t>
      </w:r>
      <w:proofErr w:type="spellEnd"/>
      <w:r w:rsidR="00A57DAB" w:rsidRPr="00D734D2">
        <w:rPr>
          <w:lang w:val="fr-CA"/>
        </w:rPr>
        <w:t>,</w:t>
      </w:r>
      <w:proofErr w:type="gramEnd"/>
      <w:r w:rsidR="00A57DAB" w:rsidRPr="00D734D2">
        <w:rPr>
          <w:lang w:val="fr-CA"/>
        </w:rPr>
        <w:t xml:space="preserve"> </w:t>
      </w:r>
    </w:p>
    <w:p w:rsidR="002A0459" w:rsidRPr="00D734D2" w:rsidRDefault="00A57DAB">
      <w:pPr>
        <w:pStyle w:val="SCCLsocParty"/>
        <w:rPr>
          <w:lang w:val="fr-CA"/>
        </w:rPr>
      </w:pPr>
      <w:proofErr w:type="spellStart"/>
      <w:r w:rsidRPr="00D734D2">
        <w:rPr>
          <w:lang w:val="fr-CA"/>
        </w:rPr>
        <w:t>Dépan</w:t>
      </w:r>
      <w:proofErr w:type="spellEnd"/>
      <w:r w:rsidR="0065746B" w:rsidRPr="00D734D2">
        <w:rPr>
          <w:lang w:val="fr-CA"/>
        </w:rPr>
        <w:noBreakHyphen/>
      </w:r>
      <w:r w:rsidRPr="00D734D2">
        <w:rPr>
          <w:lang w:val="fr-CA"/>
        </w:rPr>
        <w:t>Escompte Couche</w:t>
      </w:r>
      <w:r w:rsidR="0065746B" w:rsidRPr="00D734D2">
        <w:rPr>
          <w:lang w:val="fr-CA"/>
        </w:rPr>
        <w:noBreakHyphen/>
      </w:r>
      <w:r w:rsidRPr="00D734D2">
        <w:rPr>
          <w:lang w:val="fr-CA"/>
        </w:rPr>
        <w:t xml:space="preserve">Tard </w:t>
      </w:r>
      <w:proofErr w:type="spellStart"/>
      <w:r w:rsidRPr="00D734D2">
        <w:rPr>
          <w:lang w:val="fr-CA"/>
        </w:rPr>
        <w:t>inc.</w:t>
      </w:r>
      <w:proofErr w:type="spellEnd"/>
      <w:r w:rsidR="00EC1BBF" w:rsidRPr="00D734D2">
        <w:rPr>
          <w:lang w:val="fr-CA"/>
        </w:rPr>
        <w:t>,</w:t>
      </w:r>
      <w:r w:rsidRPr="00D734D2">
        <w:rPr>
          <w:lang w:val="fr-CA"/>
        </w:rPr>
        <w:t xml:space="preserve"> Couche</w:t>
      </w:r>
      <w:r w:rsidR="0065746B" w:rsidRPr="00D734D2">
        <w:rPr>
          <w:lang w:val="fr-CA"/>
        </w:rPr>
        <w:noBreakHyphen/>
      </w:r>
      <w:r w:rsidRPr="00D734D2">
        <w:rPr>
          <w:lang w:val="fr-CA"/>
        </w:rPr>
        <w:t xml:space="preserve">Tard </w:t>
      </w:r>
      <w:proofErr w:type="spellStart"/>
      <w:r w:rsidRPr="00D734D2">
        <w:rPr>
          <w:lang w:val="fr-CA"/>
        </w:rPr>
        <w:t>inc.</w:t>
      </w:r>
      <w:proofErr w:type="spellEnd"/>
      <w:r w:rsidRPr="00D734D2">
        <w:rPr>
          <w:lang w:val="fr-CA"/>
        </w:rPr>
        <w:t>,</w:t>
      </w:r>
    </w:p>
    <w:p w:rsidR="002A0459" w:rsidRPr="00D734D2" w:rsidRDefault="00EC1BBF">
      <w:pPr>
        <w:pStyle w:val="SCCLsocParty"/>
        <w:rPr>
          <w:lang w:val="fr-CA"/>
        </w:rPr>
      </w:pPr>
      <w:r w:rsidRPr="00D734D2">
        <w:rPr>
          <w:lang w:val="fr-CA"/>
        </w:rPr>
        <w:t xml:space="preserve">Les </w:t>
      </w:r>
      <w:r w:rsidR="00A57DAB" w:rsidRPr="00D734D2">
        <w:rPr>
          <w:lang w:val="fr-CA"/>
        </w:rPr>
        <w:t xml:space="preserve">Pétroles Global </w:t>
      </w:r>
      <w:proofErr w:type="spellStart"/>
      <w:r w:rsidR="00A57DAB" w:rsidRPr="00D734D2">
        <w:rPr>
          <w:lang w:val="fr-CA"/>
        </w:rPr>
        <w:t>inc.</w:t>
      </w:r>
      <w:proofErr w:type="spellEnd"/>
      <w:r w:rsidRPr="00D734D2">
        <w:rPr>
          <w:lang w:val="fr-CA"/>
        </w:rPr>
        <w:t>,</w:t>
      </w:r>
      <w:r w:rsidR="00A57DAB" w:rsidRPr="00D734D2">
        <w:rPr>
          <w:lang w:val="fr-CA"/>
        </w:rPr>
        <w:t xml:space="preserve"> </w:t>
      </w:r>
      <w:r w:rsidRPr="00D734D2">
        <w:rPr>
          <w:lang w:val="fr-CA"/>
        </w:rPr>
        <w:t xml:space="preserve">Les </w:t>
      </w:r>
      <w:r w:rsidR="00A57DAB" w:rsidRPr="00D734D2">
        <w:rPr>
          <w:lang w:val="fr-CA"/>
        </w:rPr>
        <w:t xml:space="preserve">Pétroles Global (Québec) </w:t>
      </w:r>
      <w:proofErr w:type="spellStart"/>
      <w:r w:rsidR="00A57DAB" w:rsidRPr="00D734D2">
        <w:rPr>
          <w:lang w:val="fr-CA"/>
        </w:rPr>
        <w:t>inc</w:t>
      </w:r>
      <w:proofErr w:type="gramStart"/>
      <w:r w:rsidR="00A57DAB" w:rsidRPr="00D734D2">
        <w:rPr>
          <w:lang w:val="fr-CA"/>
        </w:rPr>
        <w:t>.</w:t>
      </w:r>
      <w:proofErr w:type="spellEnd"/>
      <w:r w:rsidR="00A57DAB" w:rsidRPr="00D734D2">
        <w:rPr>
          <w:lang w:val="fr-CA"/>
        </w:rPr>
        <w:t>,</w:t>
      </w:r>
      <w:proofErr w:type="gramEnd"/>
    </w:p>
    <w:p w:rsidR="002A0459" w:rsidRPr="00D734D2" w:rsidRDefault="00A57DAB">
      <w:pPr>
        <w:pStyle w:val="SCCLsocParty"/>
        <w:rPr>
          <w:lang w:val="fr-CA"/>
        </w:rPr>
      </w:pPr>
      <w:r w:rsidRPr="00D734D2">
        <w:rPr>
          <w:lang w:val="fr-CA"/>
        </w:rPr>
        <w:t xml:space="preserve">Philippe Gosselin &amp; Associés </w:t>
      </w:r>
      <w:proofErr w:type="spellStart"/>
      <w:r w:rsidRPr="00D734D2">
        <w:rPr>
          <w:lang w:val="fr-CA"/>
        </w:rPr>
        <w:t>ltée</w:t>
      </w:r>
      <w:proofErr w:type="spellEnd"/>
      <w:r w:rsidRPr="00D734D2">
        <w:rPr>
          <w:lang w:val="fr-CA"/>
        </w:rPr>
        <w:t>,</w:t>
      </w:r>
    </w:p>
    <w:p w:rsidR="002A0459" w:rsidRPr="00D734D2" w:rsidRDefault="00C97DCB" w:rsidP="00C97DCB">
      <w:pPr>
        <w:pStyle w:val="SCCLsocLastPartyInRole"/>
        <w:rPr>
          <w:lang w:val="fr-CA"/>
        </w:rPr>
      </w:pPr>
      <w:r w:rsidRPr="00D734D2">
        <w:rPr>
          <w:lang w:val="fr-CA"/>
        </w:rPr>
        <w:t xml:space="preserve">Céline Bonin et </w:t>
      </w:r>
      <w:r w:rsidR="00A57DAB" w:rsidRPr="00D734D2">
        <w:rPr>
          <w:lang w:val="fr-CA"/>
        </w:rPr>
        <w:t>Claude Bédard</w:t>
      </w:r>
      <w:r w:rsidR="00A57DAB" w:rsidRPr="00D734D2">
        <w:rPr>
          <w:rStyle w:val="SCCLsocPartyRole"/>
          <w:lang w:val="fr-CA"/>
        </w:rPr>
        <w:tab/>
        <w:t>Appelants</w:t>
      </w:r>
    </w:p>
    <w:p w:rsidR="002A0459" w:rsidRPr="00D734D2" w:rsidRDefault="00A57DAB">
      <w:pPr>
        <w:pStyle w:val="SCCLsocVersus"/>
        <w:rPr>
          <w:lang w:val="fr-CA"/>
        </w:rPr>
      </w:pPr>
      <w:proofErr w:type="gramStart"/>
      <w:r w:rsidRPr="00D734D2">
        <w:rPr>
          <w:lang w:val="fr-CA"/>
        </w:rPr>
        <w:t>c</w:t>
      </w:r>
      <w:proofErr w:type="gramEnd"/>
      <w:r w:rsidRPr="00D734D2">
        <w:rPr>
          <w:lang w:val="fr-CA"/>
        </w:rPr>
        <w:t>.</w:t>
      </w:r>
    </w:p>
    <w:p w:rsidR="002A0459" w:rsidRPr="00D734D2" w:rsidRDefault="00C97DCB">
      <w:pPr>
        <w:pStyle w:val="SCCLsocParty"/>
        <w:rPr>
          <w:lang w:val="fr-CA"/>
        </w:rPr>
      </w:pPr>
      <w:r w:rsidRPr="00D734D2">
        <w:rPr>
          <w:lang w:val="fr-CA"/>
        </w:rPr>
        <w:t xml:space="preserve">Daniel </w:t>
      </w:r>
      <w:proofErr w:type="spellStart"/>
      <w:r w:rsidRPr="00D734D2">
        <w:rPr>
          <w:lang w:val="fr-CA"/>
        </w:rPr>
        <w:t>Thouin</w:t>
      </w:r>
      <w:proofErr w:type="spellEnd"/>
      <w:r w:rsidRPr="00D734D2">
        <w:rPr>
          <w:lang w:val="fr-CA"/>
        </w:rPr>
        <w:t xml:space="preserve"> et</w:t>
      </w:r>
    </w:p>
    <w:p w:rsidR="002A0459" w:rsidRPr="00D734D2" w:rsidRDefault="00A57DAB">
      <w:pPr>
        <w:pStyle w:val="SCCLsocLastPartyInRole"/>
        <w:rPr>
          <w:lang w:val="fr-CA"/>
        </w:rPr>
      </w:pPr>
      <w:r w:rsidRPr="00D734D2">
        <w:rPr>
          <w:lang w:val="fr-CA"/>
        </w:rPr>
        <w:t>Association pour la protection automobile</w:t>
      </w:r>
      <w:r w:rsidRPr="00D734D2">
        <w:rPr>
          <w:rStyle w:val="SCCLsocPartyRole"/>
          <w:lang w:val="fr-CA"/>
        </w:rPr>
        <w:tab/>
        <w:t>Intimés</w:t>
      </w:r>
    </w:p>
    <w:p w:rsidR="002A0459" w:rsidRPr="00D734D2" w:rsidRDefault="00A57DAB">
      <w:pPr>
        <w:pStyle w:val="SCCLsocOtherPartySeparator"/>
        <w:rPr>
          <w:lang w:val="fr-CA"/>
        </w:rPr>
      </w:pPr>
      <w:proofErr w:type="gramStart"/>
      <w:r w:rsidRPr="00D734D2">
        <w:rPr>
          <w:lang w:val="fr-CA"/>
        </w:rPr>
        <w:lastRenderedPageBreak/>
        <w:t>et</w:t>
      </w:r>
      <w:proofErr w:type="gramEnd"/>
    </w:p>
    <w:p w:rsidR="002A0459" w:rsidRPr="00D734D2" w:rsidRDefault="00A57DAB">
      <w:pPr>
        <w:pStyle w:val="SCCLsocLastPartyInRole"/>
        <w:rPr>
          <w:lang w:val="fr-CA"/>
        </w:rPr>
      </w:pPr>
      <w:r w:rsidRPr="00D734D2">
        <w:rPr>
          <w:lang w:val="fr-CA"/>
        </w:rPr>
        <w:t>Procureure générale du Québec</w:t>
      </w:r>
      <w:r w:rsidRPr="00D734D2">
        <w:rPr>
          <w:rStyle w:val="SCCLsocPartyRole"/>
          <w:lang w:val="fr-CA"/>
        </w:rPr>
        <w:tab/>
        <w:t>Intervenante</w:t>
      </w:r>
    </w:p>
    <w:p w:rsidR="004D7D95" w:rsidRPr="00D734D2" w:rsidRDefault="004D7D95" w:rsidP="00342640">
      <w:pPr>
        <w:spacing w:after="720"/>
        <w:jc w:val="both"/>
        <w:rPr>
          <w:b/>
          <w:lang w:val="fr-CA"/>
        </w:rPr>
      </w:pPr>
      <w:r w:rsidRPr="00D734D2">
        <w:rPr>
          <w:b/>
          <w:lang w:val="fr-CA"/>
        </w:rPr>
        <w:t>Répertorié</w:t>
      </w:r>
      <w:r w:rsidR="0065746B" w:rsidRPr="00D734D2">
        <w:rPr>
          <w:b/>
          <w:lang w:val="fr-CA"/>
        </w:rPr>
        <w:t> :</w:t>
      </w:r>
      <w:r w:rsidRPr="00D734D2">
        <w:rPr>
          <w:b/>
          <w:lang w:val="fr-CA"/>
        </w:rPr>
        <w:t> </w:t>
      </w:r>
      <w:r w:rsidRPr="00D734D2">
        <w:rPr>
          <w:rStyle w:val="SCCAppellantForIndexChar"/>
          <w:lang w:val="fr-CA"/>
        </w:rPr>
        <w:t xml:space="preserve">Canada </w:t>
      </w:r>
      <w:r w:rsidR="00617D14" w:rsidRPr="00D734D2">
        <w:rPr>
          <w:rStyle w:val="SCCAppellantForIndexChar"/>
          <w:lang w:val="fr-CA"/>
        </w:rPr>
        <w:t>(Procureur général)</w:t>
      </w:r>
      <w:r w:rsidRPr="00D734D2">
        <w:rPr>
          <w:b/>
          <w:lang w:val="fr-CA"/>
        </w:rPr>
        <w:t xml:space="preserve"> </w:t>
      </w:r>
      <w:r w:rsidRPr="00D734D2">
        <w:rPr>
          <w:b/>
          <w:i/>
          <w:lang w:val="fr-CA"/>
        </w:rPr>
        <w:t>c.</w:t>
      </w:r>
      <w:r w:rsidRPr="00D734D2">
        <w:rPr>
          <w:b/>
          <w:lang w:val="fr-CA"/>
        </w:rPr>
        <w:t xml:space="preserve"> </w:t>
      </w:r>
      <w:proofErr w:type="spellStart"/>
      <w:r w:rsidRPr="00D734D2">
        <w:rPr>
          <w:rStyle w:val="SCCRespondentForIndexChar"/>
          <w:lang w:val="fr-CA"/>
        </w:rPr>
        <w:t>Thouin</w:t>
      </w:r>
      <w:proofErr w:type="spellEnd"/>
    </w:p>
    <w:p w:rsidR="004D7D95" w:rsidRPr="00D734D2" w:rsidRDefault="00D17B0E" w:rsidP="00342640">
      <w:pPr>
        <w:pStyle w:val="SCCSystemYear"/>
        <w:spacing w:after="720"/>
        <w:jc w:val="both"/>
        <w:rPr>
          <w:lang w:val="fr-CA"/>
        </w:rPr>
      </w:pPr>
      <w:r w:rsidRPr="00D734D2">
        <w:rPr>
          <w:lang w:val="fr-CA"/>
        </w:rPr>
        <w:t>2017</w:t>
      </w:r>
      <w:r w:rsidR="004D7D95" w:rsidRPr="00D734D2">
        <w:rPr>
          <w:lang w:val="fr-CA"/>
        </w:rPr>
        <w:t xml:space="preserve"> CSC </w:t>
      </w:r>
      <w:r w:rsidR="00727B69" w:rsidRPr="00D734D2">
        <w:rPr>
          <w:lang w:val="fr-CA"/>
        </w:rPr>
        <w:t>46</w:t>
      </w:r>
    </w:p>
    <w:p w:rsidR="004D7D95" w:rsidRPr="00D734D2" w:rsidRDefault="004D7D95" w:rsidP="00342640">
      <w:pPr>
        <w:spacing w:after="720"/>
        <w:jc w:val="both"/>
        <w:rPr>
          <w:lang w:val="fr-CA"/>
        </w:rPr>
      </w:pPr>
      <w:r w:rsidRPr="00D734D2">
        <w:rPr>
          <w:lang w:val="fr-CA"/>
        </w:rPr>
        <w:t>N</w:t>
      </w:r>
      <w:r w:rsidRPr="00D734D2">
        <w:rPr>
          <w:vertAlign w:val="superscript"/>
          <w:lang w:val="fr-CA"/>
        </w:rPr>
        <w:t>o</w:t>
      </w:r>
      <w:r w:rsidRPr="00D734D2">
        <w:rPr>
          <w:lang w:val="fr-CA"/>
        </w:rPr>
        <w:t xml:space="preserve"> du greffe</w:t>
      </w:r>
      <w:r w:rsidR="0065746B" w:rsidRPr="00D734D2">
        <w:rPr>
          <w:lang w:val="fr-CA"/>
        </w:rPr>
        <w:t> :</w:t>
      </w:r>
      <w:r w:rsidRPr="00D734D2">
        <w:rPr>
          <w:lang w:val="fr-CA"/>
        </w:rPr>
        <w:t> 36869.</w:t>
      </w:r>
    </w:p>
    <w:p w:rsidR="004D7D95" w:rsidRPr="00D734D2" w:rsidRDefault="00342640" w:rsidP="00342640">
      <w:pPr>
        <w:spacing w:after="720"/>
        <w:jc w:val="both"/>
        <w:rPr>
          <w:lang w:val="fr-CA"/>
        </w:rPr>
      </w:pPr>
      <w:r w:rsidRPr="00D734D2">
        <w:rPr>
          <w:lang w:val="fr-CA"/>
        </w:rPr>
        <w:t>2017</w:t>
      </w:r>
      <w:r w:rsidR="0065746B" w:rsidRPr="00D734D2">
        <w:rPr>
          <w:lang w:val="fr-CA"/>
        </w:rPr>
        <w:t> :</w:t>
      </w:r>
      <w:r w:rsidRPr="00D734D2">
        <w:rPr>
          <w:lang w:val="fr-CA"/>
        </w:rPr>
        <w:t> 24 </w:t>
      </w:r>
      <w:r w:rsidR="00D17B0E" w:rsidRPr="00D734D2">
        <w:rPr>
          <w:lang w:val="fr-CA"/>
        </w:rPr>
        <w:t>mai</w:t>
      </w:r>
      <w:r w:rsidR="00A50D7A" w:rsidRPr="00D734D2">
        <w:rPr>
          <w:lang w:val="fr-CA"/>
        </w:rPr>
        <w:t>; 2017</w:t>
      </w:r>
      <w:r w:rsidR="0065746B" w:rsidRPr="00D734D2">
        <w:rPr>
          <w:lang w:val="fr-CA"/>
        </w:rPr>
        <w:t> :</w:t>
      </w:r>
      <w:r w:rsidR="000A7050">
        <w:rPr>
          <w:lang w:val="fr-CA"/>
        </w:rPr>
        <w:t> 28 </w:t>
      </w:r>
      <w:r w:rsidR="00A50D7A" w:rsidRPr="00D734D2">
        <w:rPr>
          <w:lang w:val="fr-CA"/>
        </w:rPr>
        <w:t>septembre</w:t>
      </w:r>
      <w:r w:rsidR="004D7D95" w:rsidRPr="00D734D2">
        <w:rPr>
          <w:lang w:val="fr-CA"/>
        </w:rPr>
        <w:t>.</w:t>
      </w:r>
    </w:p>
    <w:p w:rsidR="004D7D95" w:rsidRPr="00D734D2" w:rsidRDefault="004D7D95" w:rsidP="00342640">
      <w:pPr>
        <w:spacing w:after="720"/>
        <w:jc w:val="both"/>
        <w:rPr>
          <w:lang w:val="fr-CA"/>
        </w:rPr>
      </w:pPr>
      <w:r w:rsidRPr="00D734D2">
        <w:rPr>
          <w:lang w:val="fr-CA"/>
        </w:rPr>
        <w:t>Présents</w:t>
      </w:r>
      <w:r w:rsidR="0065746B" w:rsidRPr="00D734D2">
        <w:rPr>
          <w:lang w:val="fr-CA"/>
        </w:rPr>
        <w:t> :</w:t>
      </w:r>
      <w:r w:rsidRPr="00D734D2">
        <w:rPr>
          <w:lang w:val="fr-CA"/>
        </w:rPr>
        <w:t xml:space="preserve"> La juge en chef </w:t>
      </w:r>
      <w:proofErr w:type="spellStart"/>
      <w:r w:rsidRPr="00D734D2">
        <w:rPr>
          <w:lang w:val="fr-CA"/>
        </w:rPr>
        <w:t>McLachlin</w:t>
      </w:r>
      <w:proofErr w:type="spellEnd"/>
      <w:r w:rsidRPr="00D734D2">
        <w:rPr>
          <w:lang w:val="fr-CA"/>
        </w:rPr>
        <w:t xml:space="preserve"> et les juges Abella, </w:t>
      </w:r>
      <w:proofErr w:type="spellStart"/>
      <w:r w:rsidRPr="00D734D2">
        <w:rPr>
          <w:lang w:val="fr-CA"/>
        </w:rPr>
        <w:t>Moldaver</w:t>
      </w:r>
      <w:proofErr w:type="spellEnd"/>
      <w:r w:rsidRPr="00D734D2">
        <w:rPr>
          <w:lang w:val="fr-CA"/>
        </w:rPr>
        <w:t>, Wagner, Gascon, Brown et Rowe.</w:t>
      </w:r>
    </w:p>
    <w:p w:rsidR="004D7D95" w:rsidRPr="00D734D2" w:rsidRDefault="004D7D95" w:rsidP="00342640">
      <w:pPr>
        <w:spacing w:after="720"/>
        <w:jc w:val="both"/>
        <w:rPr>
          <w:smallCaps/>
          <w:lang w:val="fr-CA"/>
        </w:rPr>
      </w:pPr>
      <w:r w:rsidRPr="00D734D2">
        <w:rPr>
          <w:smallCaps/>
          <w:lang w:val="fr-CA"/>
        </w:rPr>
        <w:t>en appel de la cour d</w:t>
      </w:r>
      <w:r w:rsidR="001C4EF2" w:rsidRPr="00D734D2">
        <w:rPr>
          <w:smallCaps/>
          <w:lang w:val="fr-CA"/>
        </w:rPr>
        <w:t>’</w:t>
      </w:r>
      <w:r w:rsidRPr="00D734D2">
        <w:rPr>
          <w:smallCaps/>
          <w:lang w:val="fr-CA"/>
        </w:rPr>
        <w:t xml:space="preserve">appel du </w:t>
      </w:r>
      <w:proofErr w:type="spellStart"/>
      <w:r w:rsidRPr="00D734D2">
        <w:rPr>
          <w:smallCaps/>
          <w:lang w:val="fr-CA"/>
        </w:rPr>
        <w:t>québec</w:t>
      </w:r>
      <w:proofErr w:type="spellEnd"/>
      <w:r w:rsidRPr="00D734D2">
        <w:rPr>
          <w:smallCaps/>
          <w:lang w:val="fr-CA"/>
        </w:rPr>
        <w:t xml:space="preserve"> </w:t>
      </w:r>
    </w:p>
    <w:p w:rsidR="00452BCE" w:rsidRPr="00D734D2" w:rsidRDefault="004D7D95" w:rsidP="002C4D60">
      <w:pPr>
        <w:pStyle w:val="SCCNormalDoubleSpacing"/>
        <w:spacing w:before="480" w:after="480"/>
        <w:rPr>
          <w:i/>
          <w:iCs/>
          <w:lang w:val="fr-BE"/>
        </w:rPr>
      </w:pPr>
      <w:r w:rsidRPr="00D734D2">
        <w:rPr>
          <w:lang w:val="fr-CA"/>
        </w:rPr>
        <w:tab/>
      </w:r>
      <w:r w:rsidR="002C4D60" w:rsidRPr="00D734D2">
        <w:rPr>
          <w:i/>
          <w:iCs/>
          <w:lang w:val="fr-FR"/>
        </w:rPr>
        <w:t>Procédure civile — Preuve — Immunité — Recours collectif contre des pétrolières et détaillants ayant fait l’objet d’une enquête menée par le Bureau de la concurrence — Requête sollicitant l’autorisation d’interroger l’enquêteur</w:t>
      </w:r>
      <w:r w:rsidR="0065746B" w:rsidRPr="00D734D2">
        <w:rPr>
          <w:i/>
          <w:iCs/>
          <w:lang w:val="fr-FR"/>
        </w:rPr>
        <w:noBreakHyphen/>
      </w:r>
      <w:r w:rsidR="002C4D60" w:rsidRPr="00D734D2">
        <w:rPr>
          <w:i/>
          <w:iCs/>
          <w:lang w:val="fr-FR"/>
        </w:rPr>
        <w:t>chef du Bureau de la concurrence ainsi qu’une ordonnance enjoignant au procureur général du Canada de communiquer des éléments de preuve obtenus dans le cadre de l’enquête — Objection fondée</w:t>
      </w:r>
      <w:r w:rsidR="00452BCE" w:rsidRPr="00D734D2">
        <w:rPr>
          <w:i/>
          <w:iCs/>
          <w:lang w:val="fr-FR"/>
        </w:rPr>
        <w:t xml:space="preserve"> sur l’immunité de l’État — </w:t>
      </w:r>
      <w:r w:rsidR="002C4D60" w:rsidRPr="00D734D2">
        <w:rPr>
          <w:i/>
          <w:iCs/>
          <w:lang w:val="fr-FR"/>
        </w:rPr>
        <w:t>L’enquêteur</w:t>
      </w:r>
      <w:r w:rsidR="0065746B" w:rsidRPr="00D734D2">
        <w:rPr>
          <w:i/>
          <w:iCs/>
          <w:lang w:val="fr-FR"/>
        </w:rPr>
        <w:noBreakHyphen/>
      </w:r>
      <w:r w:rsidR="002C4D60" w:rsidRPr="00D734D2">
        <w:rPr>
          <w:i/>
          <w:iCs/>
          <w:lang w:val="fr-FR"/>
        </w:rPr>
        <w:t>chef peut</w:t>
      </w:r>
      <w:r w:rsidR="0065746B" w:rsidRPr="00D734D2">
        <w:rPr>
          <w:i/>
          <w:iCs/>
          <w:lang w:val="fr-FR"/>
        </w:rPr>
        <w:noBreakHyphen/>
      </w:r>
      <w:r w:rsidR="002C4D60" w:rsidRPr="00D734D2">
        <w:rPr>
          <w:i/>
          <w:iCs/>
          <w:lang w:val="fr-FR"/>
        </w:rPr>
        <w:t xml:space="preserve">il être contraint à un </w:t>
      </w:r>
      <w:proofErr w:type="spellStart"/>
      <w:r w:rsidR="002C4D60" w:rsidRPr="00D734D2">
        <w:rPr>
          <w:i/>
          <w:iCs/>
          <w:lang w:val="fr-FR"/>
        </w:rPr>
        <w:t>interroga</w:t>
      </w:r>
      <w:r w:rsidR="002C4D60" w:rsidRPr="00D734D2">
        <w:rPr>
          <w:i/>
          <w:iCs/>
          <w:lang w:val="fr-CA"/>
        </w:rPr>
        <w:t>toire</w:t>
      </w:r>
      <w:proofErr w:type="spellEnd"/>
      <w:r w:rsidR="002C4D60" w:rsidRPr="00D734D2">
        <w:rPr>
          <w:i/>
          <w:iCs/>
          <w:lang w:val="fr-CA"/>
        </w:rPr>
        <w:t xml:space="preserve"> préalable en vertu des règles de procédure civile québécoises lorsque ni l’État ni l’enquêteur</w:t>
      </w:r>
      <w:r w:rsidR="0065746B" w:rsidRPr="00D734D2">
        <w:rPr>
          <w:i/>
          <w:iCs/>
          <w:lang w:val="fr-CA"/>
        </w:rPr>
        <w:noBreakHyphen/>
      </w:r>
      <w:r w:rsidR="002C4D60" w:rsidRPr="00D734D2">
        <w:rPr>
          <w:i/>
          <w:iCs/>
          <w:lang w:val="fr-CA"/>
        </w:rPr>
        <w:t xml:space="preserve">chef ne sont parties au litige concerné? </w:t>
      </w:r>
      <w:r w:rsidR="002C4D60" w:rsidRPr="00D734D2">
        <w:rPr>
          <w:i/>
          <w:iCs/>
          <w:lang w:val="fr-FR"/>
        </w:rPr>
        <w:t xml:space="preserve">— </w:t>
      </w:r>
      <w:r w:rsidR="002C4D60" w:rsidRPr="00D734D2">
        <w:rPr>
          <w:i/>
          <w:iCs/>
          <w:lang w:val="fr-BE"/>
        </w:rPr>
        <w:t xml:space="preserve">Loi sur la </w:t>
      </w:r>
      <w:r w:rsidR="002C4D60" w:rsidRPr="00D734D2">
        <w:rPr>
          <w:i/>
          <w:iCs/>
          <w:lang w:val="fr-BE"/>
        </w:rPr>
        <w:lastRenderedPageBreak/>
        <w:t>responsabilité civile de l’État et le contentieux administratif, L.R.C. 1985, c.</w:t>
      </w:r>
      <w:r w:rsidR="00BB504E" w:rsidRPr="00D734D2">
        <w:rPr>
          <w:i/>
          <w:iCs/>
          <w:lang w:val="fr-BE"/>
        </w:rPr>
        <w:t> </w:t>
      </w:r>
      <w:r w:rsidR="002C4D60" w:rsidRPr="00D734D2">
        <w:rPr>
          <w:i/>
          <w:iCs/>
          <w:lang w:val="fr-BE"/>
        </w:rPr>
        <w:t>C</w:t>
      </w:r>
      <w:r w:rsidR="0065746B" w:rsidRPr="00D734D2">
        <w:rPr>
          <w:i/>
          <w:iCs/>
          <w:lang w:val="fr-BE"/>
        </w:rPr>
        <w:noBreakHyphen/>
      </w:r>
      <w:r w:rsidR="002C4D60" w:rsidRPr="00D734D2">
        <w:rPr>
          <w:i/>
          <w:iCs/>
          <w:lang w:val="fr-BE"/>
        </w:rPr>
        <w:t xml:space="preserve">50, </w:t>
      </w:r>
      <w:r w:rsidR="0065746B" w:rsidRPr="00D734D2">
        <w:rPr>
          <w:i/>
          <w:iCs/>
          <w:lang w:val="fr-BE"/>
        </w:rPr>
        <w:t>art. </w:t>
      </w:r>
      <w:r w:rsidR="002C4D60" w:rsidRPr="00D734D2">
        <w:rPr>
          <w:i/>
          <w:iCs/>
          <w:lang w:val="fr-BE"/>
        </w:rPr>
        <w:t xml:space="preserve">27 </w:t>
      </w:r>
      <w:r w:rsidR="002C4D60" w:rsidRPr="00D734D2">
        <w:rPr>
          <w:i/>
          <w:iCs/>
          <w:lang w:val="fr-FR"/>
        </w:rPr>
        <w:t xml:space="preserve">— Loi d’interprétation, </w:t>
      </w:r>
      <w:r w:rsidR="00BB504E" w:rsidRPr="00D734D2">
        <w:rPr>
          <w:i/>
          <w:iCs/>
          <w:lang w:val="fr-BE"/>
        </w:rPr>
        <w:t>L.R.C. 1985, c. </w:t>
      </w:r>
      <w:r w:rsidR="00EE2A44">
        <w:rPr>
          <w:i/>
          <w:iCs/>
          <w:lang w:val="fr-BE"/>
        </w:rPr>
        <w:t>I-21</w:t>
      </w:r>
      <w:r w:rsidR="002C4D60" w:rsidRPr="00D734D2">
        <w:rPr>
          <w:i/>
          <w:iCs/>
          <w:lang w:val="fr-BE"/>
        </w:rPr>
        <w:t xml:space="preserve">, </w:t>
      </w:r>
      <w:r w:rsidR="0065746B" w:rsidRPr="00D734D2">
        <w:rPr>
          <w:i/>
          <w:iCs/>
          <w:lang w:val="fr-BE"/>
        </w:rPr>
        <w:t>art. </w:t>
      </w:r>
      <w:r w:rsidR="002C4D60" w:rsidRPr="00D734D2">
        <w:rPr>
          <w:i/>
          <w:iCs/>
          <w:lang w:val="fr-BE"/>
        </w:rPr>
        <w:t>17.</w:t>
      </w:r>
    </w:p>
    <w:p w:rsidR="002C4D60" w:rsidRPr="00D734D2" w:rsidRDefault="00452BCE" w:rsidP="002C4D60">
      <w:pPr>
        <w:pStyle w:val="SCCNormalDoubleSpacing"/>
        <w:spacing w:before="480" w:after="480"/>
        <w:rPr>
          <w:i/>
          <w:iCs/>
          <w:sz w:val="20"/>
          <w:lang w:val="fr-FR"/>
        </w:rPr>
      </w:pPr>
      <w:r w:rsidRPr="00D734D2">
        <w:rPr>
          <w:lang w:val="fr-CA"/>
        </w:rPr>
        <w:tab/>
      </w:r>
      <w:r w:rsidR="002C4D60" w:rsidRPr="00D734D2">
        <w:rPr>
          <w:i/>
          <w:iCs/>
          <w:lang w:val="fr-FR"/>
        </w:rPr>
        <w:t>Droit de la Couronne</w:t>
      </w:r>
      <w:r w:rsidR="00BB504E" w:rsidRPr="00D734D2">
        <w:rPr>
          <w:i/>
          <w:iCs/>
          <w:lang w:val="fr-FR"/>
        </w:rPr>
        <w:t xml:space="preserve"> </w:t>
      </w:r>
      <w:r w:rsidR="002C4D60" w:rsidRPr="00D734D2">
        <w:rPr>
          <w:i/>
          <w:iCs/>
          <w:lang w:val="fr-FR"/>
        </w:rPr>
        <w:t>— Prérogatives — Immunité — Procédure civile —</w:t>
      </w:r>
      <w:r w:rsidRPr="00D734D2">
        <w:rPr>
          <w:i/>
          <w:iCs/>
          <w:lang w:val="fr-FR"/>
        </w:rPr>
        <w:t xml:space="preserve"> </w:t>
      </w:r>
      <w:r w:rsidR="002C4D60" w:rsidRPr="00D734D2">
        <w:rPr>
          <w:i/>
          <w:iCs/>
          <w:lang w:val="fr-FR"/>
        </w:rPr>
        <w:t>Assujettissement à un interrogatoire préalable —</w:t>
      </w:r>
      <w:r w:rsidRPr="00D734D2">
        <w:rPr>
          <w:i/>
          <w:iCs/>
          <w:lang w:val="fr-FR"/>
        </w:rPr>
        <w:t xml:space="preserve"> </w:t>
      </w:r>
      <w:r w:rsidR="002C4D60" w:rsidRPr="00D734D2">
        <w:rPr>
          <w:i/>
          <w:iCs/>
          <w:lang w:val="fr-FR"/>
        </w:rPr>
        <w:t xml:space="preserve">L’immunité de l’État en matière d’interrogatoire préalable reconnue par la </w:t>
      </w:r>
      <w:proofErr w:type="spellStart"/>
      <w:r w:rsidR="002C4D60" w:rsidRPr="00D734D2">
        <w:rPr>
          <w:i/>
          <w:iCs/>
          <w:lang w:val="fr-FR"/>
        </w:rPr>
        <w:t>common</w:t>
      </w:r>
      <w:proofErr w:type="spellEnd"/>
      <w:r w:rsidR="002C4D60" w:rsidRPr="00D734D2">
        <w:rPr>
          <w:i/>
          <w:iCs/>
          <w:lang w:val="fr-FR"/>
        </w:rPr>
        <w:t xml:space="preserve"> </w:t>
      </w:r>
      <w:proofErr w:type="spellStart"/>
      <w:r w:rsidR="002C4D60" w:rsidRPr="00D734D2">
        <w:rPr>
          <w:i/>
          <w:iCs/>
          <w:lang w:val="fr-FR"/>
        </w:rPr>
        <w:t>law</w:t>
      </w:r>
      <w:proofErr w:type="spellEnd"/>
      <w:r w:rsidR="002C4D60" w:rsidRPr="00D734D2">
        <w:rPr>
          <w:i/>
          <w:iCs/>
          <w:lang w:val="fr-FR"/>
        </w:rPr>
        <w:t xml:space="preserve"> a</w:t>
      </w:r>
      <w:r w:rsidR="0065746B" w:rsidRPr="00D734D2">
        <w:rPr>
          <w:i/>
          <w:iCs/>
          <w:lang w:val="fr-FR"/>
        </w:rPr>
        <w:noBreakHyphen/>
      </w:r>
      <w:r w:rsidR="002C4D60" w:rsidRPr="00D734D2">
        <w:rPr>
          <w:i/>
          <w:iCs/>
          <w:lang w:val="fr-FR"/>
        </w:rPr>
        <w:t>t</w:t>
      </w:r>
      <w:r w:rsidR="0065746B" w:rsidRPr="00D734D2">
        <w:rPr>
          <w:i/>
          <w:iCs/>
          <w:lang w:val="fr-FR"/>
        </w:rPr>
        <w:noBreakHyphen/>
      </w:r>
      <w:r w:rsidR="002C4D60" w:rsidRPr="00D734D2">
        <w:rPr>
          <w:i/>
          <w:iCs/>
          <w:lang w:val="fr-FR"/>
        </w:rPr>
        <w:t>elle été écartée par le législateur fédéral et, le cas échéant, dans quelle mesure? —</w:t>
      </w:r>
      <w:r w:rsidR="002C4D60" w:rsidRPr="00D734D2">
        <w:rPr>
          <w:i/>
          <w:iCs/>
          <w:lang w:val="fr-BE"/>
        </w:rPr>
        <w:t xml:space="preserve"> Loi sur la responsabilité civile de l’État et le contentieux</w:t>
      </w:r>
      <w:r w:rsidR="00BB504E" w:rsidRPr="00D734D2">
        <w:rPr>
          <w:i/>
          <w:iCs/>
          <w:lang w:val="fr-BE"/>
        </w:rPr>
        <w:t xml:space="preserve"> administratif, L.R.C. 1985, c. </w:t>
      </w:r>
      <w:r w:rsidR="002C4D60" w:rsidRPr="00D734D2">
        <w:rPr>
          <w:i/>
          <w:iCs/>
          <w:lang w:val="fr-BE"/>
        </w:rPr>
        <w:t>C</w:t>
      </w:r>
      <w:r w:rsidR="0065746B" w:rsidRPr="00D734D2">
        <w:rPr>
          <w:i/>
          <w:iCs/>
          <w:lang w:val="fr-BE"/>
        </w:rPr>
        <w:noBreakHyphen/>
      </w:r>
      <w:r w:rsidR="002C4D60" w:rsidRPr="00D734D2">
        <w:rPr>
          <w:i/>
          <w:iCs/>
          <w:lang w:val="fr-BE"/>
        </w:rPr>
        <w:t xml:space="preserve">50, </w:t>
      </w:r>
      <w:r w:rsidR="0065746B" w:rsidRPr="00D734D2">
        <w:rPr>
          <w:i/>
          <w:iCs/>
          <w:lang w:val="fr-BE"/>
        </w:rPr>
        <w:t>art. </w:t>
      </w:r>
      <w:r w:rsidR="002C4D60" w:rsidRPr="00D734D2">
        <w:rPr>
          <w:i/>
          <w:iCs/>
          <w:lang w:val="fr-BE"/>
        </w:rPr>
        <w:t xml:space="preserve">27 </w:t>
      </w:r>
      <w:r w:rsidR="002C4D60" w:rsidRPr="00D734D2">
        <w:rPr>
          <w:i/>
          <w:iCs/>
          <w:lang w:val="fr-FR"/>
        </w:rPr>
        <w:t xml:space="preserve">— Loi d’interprétation, </w:t>
      </w:r>
      <w:r w:rsidR="00BB504E" w:rsidRPr="00D734D2">
        <w:rPr>
          <w:i/>
          <w:iCs/>
          <w:lang w:val="fr-BE"/>
        </w:rPr>
        <w:t>L.R.C. 1985, c. </w:t>
      </w:r>
      <w:r w:rsidR="00EE2A44">
        <w:rPr>
          <w:i/>
          <w:iCs/>
          <w:lang w:val="fr-BE"/>
        </w:rPr>
        <w:t>I-21</w:t>
      </w:r>
      <w:r w:rsidR="002C4D60" w:rsidRPr="00D734D2">
        <w:rPr>
          <w:i/>
          <w:iCs/>
          <w:lang w:val="fr-BE"/>
        </w:rPr>
        <w:t xml:space="preserve">, </w:t>
      </w:r>
      <w:r w:rsidR="0065746B" w:rsidRPr="00D734D2">
        <w:rPr>
          <w:i/>
          <w:iCs/>
          <w:lang w:val="fr-BE"/>
        </w:rPr>
        <w:t>art. </w:t>
      </w:r>
      <w:r w:rsidR="002C4D60" w:rsidRPr="00D734D2">
        <w:rPr>
          <w:i/>
          <w:iCs/>
          <w:lang w:val="fr-BE"/>
        </w:rPr>
        <w:t>17.</w:t>
      </w:r>
    </w:p>
    <w:p w:rsidR="002C4D60" w:rsidRPr="00D734D2" w:rsidRDefault="00452BCE" w:rsidP="002C4D60">
      <w:pPr>
        <w:pStyle w:val="SCCNormalDoubleSpacing"/>
        <w:spacing w:before="480" w:after="480"/>
        <w:rPr>
          <w:lang w:val="fr-FR"/>
        </w:rPr>
      </w:pPr>
      <w:r w:rsidRPr="00D734D2">
        <w:rPr>
          <w:lang w:val="fr-CA"/>
        </w:rPr>
        <w:tab/>
      </w:r>
      <w:r w:rsidR="002C4D60" w:rsidRPr="00D734D2">
        <w:rPr>
          <w:lang w:val="fr-FR"/>
        </w:rPr>
        <w:t>Les intimés ont entrepris un recours collectif contre les pétrolières et détaillants appelants par suite d’allégations de complot en vue de fixer les prix de l’essence à la pompe dans certaines régions du Québec, ces allégations ayant précédemment fait l’objet d’une enquête menée par le Bureau de la concurrence du Canada.</w:t>
      </w:r>
      <w:r w:rsidR="00BB504E" w:rsidRPr="00D734D2">
        <w:rPr>
          <w:lang w:val="fr-FR"/>
        </w:rPr>
        <w:t xml:space="preserve"> </w:t>
      </w:r>
      <w:r w:rsidR="002C4D60" w:rsidRPr="00D734D2">
        <w:rPr>
          <w:lang w:val="fr-FR"/>
        </w:rPr>
        <w:t xml:space="preserve">Dans le cadre de leur recours collectif, les intimés ont sollicité </w:t>
      </w:r>
      <w:r w:rsidR="002C4D60" w:rsidRPr="00D734D2">
        <w:rPr>
          <w:szCs w:val="24"/>
          <w:lang w:val="fr-FR"/>
        </w:rPr>
        <w:t>l’autorisation d</w:t>
      </w:r>
      <w:r w:rsidR="002C4D60" w:rsidRPr="00D734D2">
        <w:rPr>
          <w:lang w:val="fr-FR"/>
        </w:rPr>
        <w:t xml:space="preserve">’interroger </w:t>
      </w:r>
      <w:r w:rsidR="002C4D60" w:rsidRPr="00D734D2">
        <w:rPr>
          <w:lang w:val="fr-BE"/>
        </w:rPr>
        <w:t>l’enquêteur</w:t>
      </w:r>
      <w:r w:rsidR="0065746B" w:rsidRPr="00D734D2">
        <w:rPr>
          <w:lang w:val="fr-BE"/>
        </w:rPr>
        <w:noBreakHyphen/>
      </w:r>
      <w:r w:rsidR="002C4D60" w:rsidRPr="00D734D2">
        <w:rPr>
          <w:lang w:val="fr-BE"/>
        </w:rPr>
        <w:t>chef du Bureau de la concurrence</w:t>
      </w:r>
      <w:r w:rsidR="002C4D60" w:rsidRPr="00D734D2">
        <w:rPr>
          <w:szCs w:val="24"/>
          <w:lang w:val="fr-FR"/>
        </w:rPr>
        <w:t xml:space="preserve">, ainsi qu’une ordonnance enjoignant au procureur </w:t>
      </w:r>
      <w:r w:rsidR="002C4D60" w:rsidRPr="00D734D2">
        <w:rPr>
          <w:szCs w:val="24"/>
          <w:lang w:val="fr-BE"/>
        </w:rPr>
        <w:t xml:space="preserve">général du Canada, en sa qualité de représentant légal du Bureau de la concurrence, de leur faire part de toutes les communications interceptées et de tous les documents que renferme le dossier </w:t>
      </w:r>
      <w:r w:rsidR="002C4D60" w:rsidRPr="00D734D2">
        <w:rPr>
          <w:lang w:val="fr-BE"/>
        </w:rPr>
        <w:t>d’enquête.</w:t>
      </w:r>
      <w:r w:rsidR="00BB504E" w:rsidRPr="00D734D2">
        <w:rPr>
          <w:lang w:val="fr-FR"/>
        </w:rPr>
        <w:t xml:space="preserve"> </w:t>
      </w:r>
      <w:r w:rsidR="002C4D60" w:rsidRPr="00D734D2">
        <w:rPr>
          <w:lang w:val="fr-FR"/>
        </w:rPr>
        <w:t>Les appelants s’y opposent en invoquant</w:t>
      </w:r>
      <w:r w:rsidR="002C4D60" w:rsidRPr="00D734D2">
        <w:rPr>
          <w:lang w:val="fr-BE"/>
        </w:rPr>
        <w:t xml:space="preserve"> l’immunité de </w:t>
      </w:r>
      <w:proofErr w:type="spellStart"/>
      <w:r w:rsidR="002C4D60" w:rsidRPr="00D734D2">
        <w:rPr>
          <w:lang w:val="fr-BE"/>
        </w:rPr>
        <w:t>common</w:t>
      </w:r>
      <w:proofErr w:type="spellEnd"/>
      <w:r w:rsidR="002C4D60" w:rsidRPr="00D734D2">
        <w:rPr>
          <w:lang w:val="fr-BE"/>
        </w:rPr>
        <w:t xml:space="preserve"> </w:t>
      </w:r>
      <w:proofErr w:type="spellStart"/>
      <w:r w:rsidR="002C4D60" w:rsidRPr="00D734D2">
        <w:rPr>
          <w:lang w:val="fr-BE"/>
        </w:rPr>
        <w:t>law</w:t>
      </w:r>
      <w:proofErr w:type="spellEnd"/>
      <w:r w:rsidR="002C4D60" w:rsidRPr="00D734D2">
        <w:rPr>
          <w:lang w:val="fr-BE"/>
        </w:rPr>
        <w:t xml:space="preserve"> en matière d’interrogatoire préalable</w:t>
      </w:r>
      <w:r w:rsidR="002C4D60" w:rsidRPr="00D734D2">
        <w:rPr>
          <w:lang w:val="fr-FR"/>
        </w:rPr>
        <w:t xml:space="preserve"> au motif que </w:t>
      </w:r>
      <w:r w:rsidR="002C4D60" w:rsidRPr="00D734D2">
        <w:rPr>
          <w:lang w:val="fr-BE"/>
        </w:rPr>
        <w:t>ni l’État ni l’enquêteur</w:t>
      </w:r>
      <w:r w:rsidR="0065746B" w:rsidRPr="00D734D2">
        <w:rPr>
          <w:lang w:val="fr-BE"/>
        </w:rPr>
        <w:noBreakHyphen/>
      </w:r>
      <w:r w:rsidR="002C4D60" w:rsidRPr="00D734D2">
        <w:rPr>
          <w:lang w:val="fr-BE"/>
        </w:rPr>
        <w:t>chef ne sont parties au recours collectif.</w:t>
      </w:r>
    </w:p>
    <w:p w:rsidR="002C4D60" w:rsidRPr="00D734D2" w:rsidRDefault="00BB504E" w:rsidP="00BB504E">
      <w:pPr>
        <w:pStyle w:val="SCCNormalDoubleSpacing"/>
        <w:spacing w:before="480" w:after="480"/>
        <w:rPr>
          <w:lang w:val="fr-BE"/>
        </w:rPr>
      </w:pPr>
      <w:r w:rsidRPr="00D734D2">
        <w:rPr>
          <w:lang w:val="fr-CA"/>
        </w:rPr>
        <w:tab/>
      </w:r>
      <w:r w:rsidR="002C4D60" w:rsidRPr="00D734D2">
        <w:rPr>
          <w:lang w:val="fr-FR"/>
        </w:rPr>
        <w:t xml:space="preserve">La </w:t>
      </w:r>
      <w:r w:rsidR="002C4D60" w:rsidRPr="00D734D2">
        <w:rPr>
          <w:lang w:val="fr-BE"/>
        </w:rPr>
        <w:t>Cour</w:t>
      </w:r>
      <w:r w:rsidR="002C4D60" w:rsidRPr="00D734D2">
        <w:rPr>
          <w:lang w:val="fr-FR"/>
        </w:rPr>
        <w:t xml:space="preserve"> supérieure accueille la requête des intimés et </w:t>
      </w:r>
      <w:r w:rsidR="002C4D60" w:rsidRPr="00D734D2">
        <w:rPr>
          <w:lang w:val="fr-BE"/>
        </w:rPr>
        <w:t>permet l’assignation de l’enquêteur</w:t>
      </w:r>
      <w:r w:rsidR="0065746B" w:rsidRPr="00D734D2">
        <w:rPr>
          <w:lang w:val="fr-BE"/>
        </w:rPr>
        <w:noBreakHyphen/>
      </w:r>
      <w:r w:rsidR="002C4D60" w:rsidRPr="00D734D2">
        <w:rPr>
          <w:lang w:val="fr-BE"/>
        </w:rPr>
        <w:t xml:space="preserve">chef pour un interrogatoire préalable à la seule fin d’obtenir des </w:t>
      </w:r>
      <w:r w:rsidR="002C4D60" w:rsidRPr="00D734D2">
        <w:rPr>
          <w:lang w:val="fr-BE"/>
        </w:rPr>
        <w:lastRenderedPageBreak/>
        <w:t>précisions concernant les éléments d’information dont ce dernier dispose sur les territoires visés par le recours collectif.</w:t>
      </w:r>
      <w:r w:rsidR="00452BCE" w:rsidRPr="00D734D2">
        <w:rPr>
          <w:lang w:val="fr-BE"/>
        </w:rPr>
        <w:t xml:space="preserve"> </w:t>
      </w:r>
      <w:r w:rsidR="002C4D60" w:rsidRPr="00D734D2">
        <w:rPr>
          <w:lang w:val="fr-BE"/>
        </w:rPr>
        <w:t>Elle ordonne aussi, le cas échéant, la communication des enregistrements et documents pertinents se rapportant au litige visé.</w:t>
      </w:r>
      <w:r w:rsidR="0065746B" w:rsidRPr="00D734D2">
        <w:rPr>
          <w:lang w:val="fr-BE"/>
        </w:rPr>
        <w:t xml:space="preserve"> </w:t>
      </w:r>
      <w:r w:rsidR="002C4D60" w:rsidRPr="00D734D2">
        <w:rPr>
          <w:lang w:val="fr-BE"/>
        </w:rPr>
        <w:t>La Cour d’appel rejette l’appel et conclut qu’il n’est pas possible d’invoquer une immunité de l’État en l’espèce compte tenu de l’</w:t>
      </w:r>
      <w:r w:rsidR="0065746B" w:rsidRPr="00D734D2">
        <w:rPr>
          <w:lang w:val="fr-BE"/>
        </w:rPr>
        <w:t>art. </w:t>
      </w:r>
      <w:r w:rsidR="002C4D60" w:rsidRPr="00D734D2">
        <w:rPr>
          <w:lang w:val="fr-BE"/>
        </w:rPr>
        <w:t>27 de</w:t>
      </w:r>
      <w:r w:rsidR="008645F8" w:rsidRPr="00D734D2">
        <w:rPr>
          <w:lang w:val="fr-BE"/>
        </w:rPr>
        <w:t xml:space="preserve"> la</w:t>
      </w:r>
      <w:r w:rsidR="002C4D60" w:rsidRPr="00D734D2">
        <w:rPr>
          <w:lang w:val="fr-BE"/>
        </w:rPr>
        <w:t xml:space="preserve"> </w:t>
      </w:r>
      <w:r w:rsidR="002C4D60" w:rsidRPr="00D734D2">
        <w:rPr>
          <w:i/>
          <w:lang w:val="fr-BE"/>
        </w:rPr>
        <w:t>Loi sur la responsabilité civile de l’État et le contentieux administratif</w:t>
      </w:r>
      <w:r w:rsidR="002C4D60" w:rsidRPr="00D734D2">
        <w:rPr>
          <w:lang w:val="fr-BE"/>
        </w:rPr>
        <w:t xml:space="preserve"> (« LRCE »)</w:t>
      </w:r>
      <w:r w:rsidR="00C07406">
        <w:rPr>
          <w:lang w:val="fr-BE"/>
        </w:rPr>
        <w:t>,</w:t>
      </w:r>
      <w:r w:rsidR="002C4D60" w:rsidRPr="00D734D2">
        <w:rPr>
          <w:lang w:val="fr-BE"/>
        </w:rPr>
        <w:t xml:space="preserve"> qui prévoit que « les instances suivent les règles de pratique et de procédure du tribunal saisi ».</w:t>
      </w:r>
      <w:r w:rsidR="0065746B" w:rsidRPr="00D734D2">
        <w:rPr>
          <w:lang w:val="fr-CA"/>
        </w:rPr>
        <w:t xml:space="preserve"> </w:t>
      </w:r>
      <w:r w:rsidR="002C4D60" w:rsidRPr="00D734D2">
        <w:rPr>
          <w:lang w:val="fr-BE"/>
        </w:rPr>
        <w:t>Selon la Cour d’appel, cette disposition énonce une règle générale applicable dans tout litige susceptible d’intéresser l’État, à titre de partie ou autrement.</w:t>
      </w:r>
    </w:p>
    <w:p w:rsidR="002C4D60" w:rsidRPr="00D734D2" w:rsidRDefault="002C4D60" w:rsidP="002C4D60">
      <w:pPr>
        <w:pStyle w:val="SCCNormalDoubleSpacing"/>
        <w:spacing w:before="480" w:after="480"/>
        <w:rPr>
          <w:lang w:val="fr-CA"/>
        </w:rPr>
      </w:pPr>
      <w:r w:rsidRPr="00D734D2">
        <w:rPr>
          <w:lang w:val="fr-CA"/>
        </w:rPr>
        <w:tab/>
      </w:r>
      <w:r w:rsidRPr="00D734D2">
        <w:rPr>
          <w:i/>
          <w:lang w:val="fr-CA"/>
        </w:rPr>
        <w:t>Arrêt</w:t>
      </w:r>
      <w:r w:rsidR="0065746B" w:rsidRPr="00D734D2">
        <w:rPr>
          <w:lang w:val="fr-CA"/>
        </w:rPr>
        <w:t> :</w:t>
      </w:r>
      <w:r w:rsidRPr="00D734D2">
        <w:rPr>
          <w:lang w:val="fr-CA"/>
        </w:rPr>
        <w:t xml:space="preserve"> Le pourvoi est accueilli.</w:t>
      </w:r>
    </w:p>
    <w:p w:rsidR="002C4D60" w:rsidRPr="00D734D2" w:rsidRDefault="002C4D60" w:rsidP="002C4D60">
      <w:pPr>
        <w:pStyle w:val="SCCNormalDoubleSpacing"/>
        <w:spacing w:before="480" w:after="480"/>
        <w:rPr>
          <w:szCs w:val="24"/>
          <w:lang w:val="fr-BE"/>
        </w:rPr>
      </w:pPr>
      <w:r w:rsidRPr="00D734D2">
        <w:rPr>
          <w:lang w:val="fr-CA"/>
        </w:rPr>
        <w:tab/>
      </w:r>
      <w:r w:rsidRPr="00D734D2">
        <w:rPr>
          <w:szCs w:val="24"/>
          <w:lang w:val="fr-BE"/>
        </w:rPr>
        <w:t>L’immunité de l’État</w:t>
      </w:r>
      <w:r w:rsidRPr="00D734D2">
        <w:rPr>
          <w:lang w:val="fr-CA"/>
        </w:rPr>
        <w:t xml:space="preserve">, qui émane de la </w:t>
      </w:r>
      <w:proofErr w:type="spellStart"/>
      <w:r w:rsidRPr="00D734D2">
        <w:rPr>
          <w:lang w:val="fr-CA"/>
        </w:rPr>
        <w:t>common</w:t>
      </w:r>
      <w:proofErr w:type="spellEnd"/>
      <w:r w:rsidRPr="00D734D2">
        <w:rPr>
          <w:lang w:val="fr-CA"/>
        </w:rPr>
        <w:t xml:space="preserve"> </w:t>
      </w:r>
      <w:proofErr w:type="spellStart"/>
      <w:r w:rsidRPr="00D734D2">
        <w:rPr>
          <w:lang w:val="fr-CA"/>
        </w:rPr>
        <w:t>law</w:t>
      </w:r>
      <w:proofErr w:type="spellEnd"/>
      <w:r w:rsidRPr="00D734D2">
        <w:rPr>
          <w:lang w:val="fr-CA"/>
        </w:rPr>
        <w:t xml:space="preserve">, </w:t>
      </w:r>
      <w:r w:rsidRPr="00D734D2">
        <w:rPr>
          <w:szCs w:val="24"/>
          <w:lang w:val="fr-BE"/>
        </w:rPr>
        <w:t>ne peut être mise de côté que par le biais d’une expression claire et non équivoque du législateur.</w:t>
      </w:r>
      <w:r w:rsidR="0065746B" w:rsidRPr="00D734D2">
        <w:rPr>
          <w:szCs w:val="24"/>
          <w:lang w:val="fr-BE"/>
        </w:rPr>
        <w:t xml:space="preserve"> </w:t>
      </w:r>
      <w:r w:rsidRPr="00D734D2">
        <w:rPr>
          <w:lang w:val="fr-CA"/>
        </w:rPr>
        <w:t>L</w:t>
      </w:r>
      <w:r w:rsidRPr="00D734D2">
        <w:rPr>
          <w:szCs w:val="24"/>
          <w:lang w:val="fr-BE"/>
        </w:rPr>
        <w:t xml:space="preserve">e législateur, tant au palier fédéral qu’au palier provincial, a graduellement réduit cette immunité afin de rapprocher la situation juridique de l’État et de ses préposés de celle des autres justiciables canadiens, </w:t>
      </w:r>
      <w:r w:rsidRPr="00D734D2">
        <w:rPr>
          <w:lang w:val="fr-CA"/>
        </w:rPr>
        <w:t>notamment</w:t>
      </w:r>
      <w:r w:rsidRPr="00D734D2">
        <w:rPr>
          <w:szCs w:val="24"/>
          <w:lang w:val="fr-BE"/>
        </w:rPr>
        <w:t xml:space="preserve"> en matière de responsabilité civile.</w:t>
      </w:r>
      <w:r w:rsidR="0065746B" w:rsidRPr="00D734D2">
        <w:rPr>
          <w:szCs w:val="24"/>
          <w:lang w:val="fr-BE"/>
        </w:rPr>
        <w:t xml:space="preserve"> </w:t>
      </w:r>
      <w:r w:rsidR="00452BCE" w:rsidRPr="00D734D2">
        <w:rPr>
          <w:lang w:val="fr-CA"/>
        </w:rPr>
        <w:t>Il</w:t>
      </w:r>
      <w:r w:rsidR="00452BCE" w:rsidRPr="00D734D2">
        <w:rPr>
          <w:szCs w:val="24"/>
          <w:lang w:val="fr-BE"/>
        </w:rPr>
        <w:t xml:space="preserve"> </w:t>
      </w:r>
      <w:r w:rsidRPr="00D734D2">
        <w:rPr>
          <w:szCs w:val="24"/>
          <w:lang w:val="fr-BE"/>
        </w:rPr>
        <w:t>revient aux tribunaux de donner un sens aux textes législatifs qui tempèrent la portée de cette immunité et d’en cerner l’étendue, le cas échéant.</w:t>
      </w:r>
    </w:p>
    <w:p w:rsidR="002C4D60" w:rsidRPr="00D734D2" w:rsidRDefault="002C4D60" w:rsidP="002C4D60">
      <w:pPr>
        <w:pStyle w:val="SCCNormalDoubleSpacing"/>
        <w:spacing w:before="480" w:after="480"/>
        <w:rPr>
          <w:szCs w:val="24"/>
          <w:lang w:val="fr-BE"/>
        </w:rPr>
      </w:pPr>
      <w:r w:rsidRPr="00D734D2">
        <w:rPr>
          <w:lang w:val="fr-CA"/>
        </w:rPr>
        <w:tab/>
        <w:t>L’article</w:t>
      </w:r>
      <w:r w:rsidR="0065746B" w:rsidRPr="00D734D2">
        <w:rPr>
          <w:lang w:val="fr-BE"/>
        </w:rPr>
        <w:t> </w:t>
      </w:r>
      <w:r w:rsidRPr="00D734D2">
        <w:rPr>
          <w:lang w:val="fr-BE"/>
        </w:rPr>
        <w:t xml:space="preserve">17 de la </w:t>
      </w:r>
      <w:r w:rsidRPr="00D734D2">
        <w:rPr>
          <w:i/>
          <w:lang w:val="fr-BE"/>
        </w:rPr>
        <w:t>Loi d’interprétation</w:t>
      </w:r>
      <w:r w:rsidRPr="00D734D2">
        <w:rPr>
          <w:lang w:val="fr-BE"/>
        </w:rPr>
        <w:t xml:space="preserve"> sert de point de départ dans chaque cas où une immunité pourrait exister en faveur de l’État </w:t>
      </w:r>
      <w:r w:rsidRPr="00D734D2">
        <w:rPr>
          <w:lang w:val="fr-CA"/>
        </w:rPr>
        <w:t>en confirmant que</w:t>
      </w:r>
      <w:r w:rsidR="007A7D35">
        <w:rPr>
          <w:lang w:val="fr-CA"/>
        </w:rPr>
        <w:t>,</w:t>
      </w:r>
      <w:r w:rsidRPr="00D734D2">
        <w:rPr>
          <w:lang w:val="fr-CA"/>
        </w:rPr>
        <w:t xml:space="preserve"> </w:t>
      </w:r>
      <w:r w:rsidRPr="00D734D2">
        <w:rPr>
          <w:lang w:val="fr-BE"/>
        </w:rPr>
        <w:t>sans dérogation claire à l’immunité, l’État en jouit toujours.</w:t>
      </w:r>
      <w:r w:rsidR="0065746B" w:rsidRPr="00D734D2">
        <w:rPr>
          <w:lang w:val="fr-BE"/>
        </w:rPr>
        <w:t xml:space="preserve"> </w:t>
      </w:r>
      <w:r w:rsidR="00452BCE" w:rsidRPr="00D734D2">
        <w:rPr>
          <w:lang w:val="fr-BE"/>
        </w:rPr>
        <w:t>Il</w:t>
      </w:r>
      <w:r w:rsidRPr="00D734D2">
        <w:rPr>
          <w:szCs w:val="24"/>
          <w:lang w:val="fr-BE"/>
        </w:rPr>
        <w:t xml:space="preserve"> faut donc déterminer si, en </w:t>
      </w:r>
      <w:r w:rsidRPr="00D734D2">
        <w:rPr>
          <w:szCs w:val="24"/>
          <w:lang w:val="fr-BE"/>
        </w:rPr>
        <w:lastRenderedPageBreak/>
        <w:t xml:space="preserve">l’espèce, l’immunité de l’État en matière d’interrogatoire préalable reconnue par la </w:t>
      </w:r>
      <w:proofErr w:type="spellStart"/>
      <w:r w:rsidRPr="00D734D2">
        <w:rPr>
          <w:szCs w:val="24"/>
          <w:lang w:val="fr-BE"/>
        </w:rPr>
        <w:t>common</w:t>
      </w:r>
      <w:proofErr w:type="spellEnd"/>
      <w:r w:rsidRPr="00D734D2">
        <w:rPr>
          <w:szCs w:val="24"/>
          <w:lang w:val="fr-BE"/>
        </w:rPr>
        <w:t xml:space="preserve"> </w:t>
      </w:r>
      <w:proofErr w:type="spellStart"/>
      <w:r w:rsidRPr="00D734D2">
        <w:rPr>
          <w:szCs w:val="24"/>
          <w:lang w:val="fr-BE"/>
        </w:rPr>
        <w:t>law</w:t>
      </w:r>
      <w:proofErr w:type="spellEnd"/>
      <w:r w:rsidRPr="00D734D2">
        <w:rPr>
          <w:szCs w:val="24"/>
          <w:lang w:val="fr-BE"/>
        </w:rPr>
        <w:t xml:space="preserve"> a été écartée par le législateur, et le cas échéant, dans quelle mesure.</w:t>
      </w:r>
    </w:p>
    <w:p w:rsidR="002C4D60" w:rsidRPr="00D734D2" w:rsidRDefault="002C4D60" w:rsidP="002C4D60">
      <w:pPr>
        <w:pStyle w:val="SCCNormalDoubleSpacing"/>
        <w:spacing w:before="480" w:after="480"/>
        <w:rPr>
          <w:szCs w:val="24"/>
          <w:lang w:val="fr-BE"/>
        </w:rPr>
      </w:pPr>
      <w:r w:rsidRPr="00D734D2">
        <w:rPr>
          <w:lang w:val="fr-CA"/>
        </w:rPr>
        <w:tab/>
        <w:t>L’article</w:t>
      </w:r>
      <w:r w:rsidR="0065746B" w:rsidRPr="00D734D2">
        <w:rPr>
          <w:lang w:val="fr-BE"/>
        </w:rPr>
        <w:t> </w:t>
      </w:r>
      <w:r w:rsidRPr="00D734D2">
        <w:rPr>
          <w:szCs w:val="24"/>
          <w:lang w:val="fr-BE"/>
        </w:rPr>
        <w:t>27 de la LRCE soumet</w:t>
      </w:r>
      <w:r w:rsidR="00452BCE" w:rsidRPr="00D734D2">
        <w:rPr>
          <w:szCs w:val="24"/>
          <w:lang w:val="fr-BE"/>
        </w:rPr>
        <w:t xml:space="preserve"> </w:t>
      </w:r>
      <w:r w:rsidRPr="00D734D2">
        <w:rPr>
          <w:szCs w:val="24"/>
          <w:lang w:val="fr-BE"/>
        </w:rPr>
        <w:t>l’État aux « règles de pratique et de procédure du tribunal » de l’instance à laquelle l’État est partie. Cette disposition a pour effet d’écarter, dans ces cas, son immunité et de l’assujettir aux règles de la procédure civile, dont celles de l’interrogatoire préalable</w:t>
      </w:r>
      <w:r w:rsidRPr="00D734D2">
        <w:rPr>
          <w:lang w:val="fr-BE" w:eastAsia="fr-CA"/>
        </w:rPr>
        <w:t>.</w:t>
      </w:r>
      <w:r w:rsidRPr="00D734D2">
        <w:rPr>
          <w:szCs w:val="24"/>
          <w:lang w:val="fr-BE"/>
        </w:rPr>
        <w:t xml:space="preserve"> Le législateur a fait un choix clair lorsqu’il a introduit l’</w:t>
      </w:r>
      <w:r w:rsidR="0065746B" w:rsidRPr="00D734D2">
        <w:rPr>
          <w:szCs w:val="24"/>
          <w:lang w:val="fr-BE"/>
        </w:rPr>
        <w:t>art. </w:t>
      </w:r>
      <w:r w:rsidRPr="00D734D2">
        <w:rPr>
          <w:szCs w:val="24"/>
          <w:lang w:val="fr-BE"/>
        </w:rPr>
        <w:t>27 à la LRCE, soumettant ainsi l’État à de telles règles lorsqu’il est partie à un litige.</w:t>
      </w:r>
      <w:r w:rsidR="0065746B" w:rsidRPr="00D734D2">
        <w:rPr>
          <w:szCs w:val="24"/>
          <w:lang w:val="fr-BE"/>
        </w:rPr>
        <w:t xml:space="preserve"> </w:t>
      </w:r>
      <w:r w:rsidR="000A7050">
        <w:rPr>
          <w:szCs w:val="24"/>
          <w:lang w:val="fr-BE"/>
        </w:rPr>
        <w:t>Cependant</w:t>
      </w:r>
      <w:r w:rsidRPr="00D734D2">
        <w:rPr>
          <w:lang w:val="fr-CA"/>
        </w:rPr>
        <w:t>, l’</w:t>
      </w:r>
      <w:r w:rsidR="0065746B" w:rsidRPr="00D734D2">
        <w:rPr>
          <w:lang w:val="fr-CA"/>
        </w:rPr>
        <w:t>art. </w:t>
      </w:r>
      <w:r w:rsidRPr="00D734D2">
        <w:rPr>
          <w:szCs w:val="24"/>
          <w:lang w:val="fr-BE"/>
        </w:rPr>
        <w:t>27 ne dénote pas une intention claire et non équivoque du législateur de déroger à l’immunité de l’État relative à son assujettissement à un interrogatoire préalable lorsqu’il n’est pas partie au litige.</w:t>
      </w:r>
    </w:p>
    <w:p w:rsidR="002C4D60" w:rsidRPr="00D734D2" w:rsidRDefault="002C4D60" w:rsidP="002C4D60">
      <w:pPr>
        <w:pStyle w:val="SCCNormalDoubleSpacing"/>
        <w:spacing w:before="480" w:after="480"/>
        <w:rPr>
          <w:lang w:val="fr-CA"/>
        </w:rPr>
      </w:pPr>
      <w:r w:rsidRPr="00D734D2">
        <w:rPr>
          <w:lang w:val="fr-CA"/>
        </w:rPr>
        <w:tab/>
      </w:r>
      <w:r w:rsidRPr="00D734D2">
        <w:rPr>
          <w:szCs w:val="24"/>
          <w:lang w:val="fr-BE"/>
        </w:rPr>
        <w:t xml:space="preserve">À la lumière </w:t>
      </w:r>
      <w:r w:rsidRPr="00D734D2">
        <w:rPr>
          <w:lang w:val="fr-CA"/>
        </w:rPr>
        <w:t>du libellé de l’</w:t>
      </w:r>
      <w:r w:rsidR="0065746B" w:rsidRPr="00D734D2">
        <w:rPr>
          <w:lang w:val="fr-CA"/>
        </w:rPr>
        <w:t>art. </w:t>
      </w:r>
      <w:r w:rsidRPr="00D734D2">
        <w:rPr>
          <w:lang w:val="fr-CA"/>
        </w:rPr>
        <w:t xml:space="preserve">27 et </w:t>
      </w:r>
      <w:r w:rsidRPr="00D734D2">
        <w:rPr>
          <w:szCs w:val="24"/>
          <w:lang w:val="fr-BE"/>
        </w:rPr>
        <w:t>de l’ensemble des articles de la LRCE, de même que de son historique législatif</w:t>
      </w:r>
      <w:r w:rsidRPr="00D734D2">
        <w:rPr>
          <w:lang w:val="fr-CA"/>
        </w:rPr>
        <w:t xml:space="preserve">, </w:t>
      </w:r>
      <w:r w:rsidRPr="00D734D2">
        <w:rPr>
          <w:szCs w:val="24"/>
          <w:lang w:val="fr-BE"/>
        </w:rPr>
        <w:t>il est clair que l’</w:t>
      </w:r>
      <w:r w:rsidR="0065746B" w:rsidRPr="00D734D2">
        <w:rPr>
          <w:szCs w:val="24"/>
          <w:lang w:val="fr-BE"/>
        </w:rPr>
        <w:t>art. </w:t>
      </w:r>
      <w:r w:rsidRPr="00D734D2">
        <w:rPr>
          <w:szCs w:val="24"/>
          <w:lang w:val="fr-BE"/>
        </w:rPr>
        <w:t>27 ne s’applique que lorsque l’État est partie au litige.</w:t>
      </w:r>
      <w:r w:rsidR="0065746B" w:rsidRPr="00D734D2">
        <w:rPr>
          <w:szCs w:val="24"/>
          <w:lang w:val="fr-BE"/>
        </w:rPr>
        <w:t xml:space="preserve"> </w:t>
      </w:r>
      <w:r w:rsidRPr="00D734D2">
        <w:rPr>
          <w:lang w:val="fr-CA"/>
        </w:rPr>
        <w:t>L’expression « les instances » de l’</w:t>
      </w:r>
      <w:r w:rsidR="0065746B" w:rsidRPr="00D734D2">
        <w:rPr>
          <w:lang w:val="fr-CA"/>
        </w:rPr>
        <w:t>art. </w:t>
      </w:r>
      <w:r w:rsidRPr="00D734D2">
        <w:rPr>
          <w:lang w:val="fr-CA"/>
        </w:rPr>
        <w:t>27 renvoie nécessairement aux dispositions de la même sous</w:t>
      </w:r>
      <w:r w:rsidR="0065746B" w:rsidRPr="00D734D2">
        <w:rPr>
          <w:lang w:val="fr-CA"/>
        </w:rPr>
        <w:noBreakHyphen/>
      </w:r>
      <w:r w:rsidRPr="00D734D2">
        <w:rPr>
          <w:lang w:val="fr-CA"/>
        </w:rPr>
        <w:t>section de la LRCE portant sur les « </w:t>
      </w:r>
      <w:r w:rsidR="004154C8">
        <w:rPr>
          <w:lang w:val="fr-CA"/>
        </w:rPr>
        <w:t>poursuites visant l’État », les « poursuites exercées contre lui » et les « </w:t>
      </w:r>
      <w:r w:rsidRPr="00D734D2">
        <w:rPr>
          <w:lang w:val="fr-CA"/>
        </w:rPr>
        <w:t>procès</w:t>
      </w:r>
      <w:r w:rsidR="0065746B" w:rsidRPr="00D734D2">
        <w:rPr>
          <w:lang w:val="fr-CA"/>
        </w:rPr>
        <w:t xml:space="preserve"> </w:t>
      </w:r>
      <w:r w:rsidRPr="00D734D2">
        <w:rPr>
          <w:lang w:val="fr-CA"/>
        </w:rPr>
        <w:t>instruits contre l’État</w:t>
      </w:r>
      <w:r w:rsidR="00BB504E" w:rsidRPr="00D734D2">
        <w:rPr>
          <w:lang w:val="fr-CA"/>
        </w:rPr>
        <w:t> </w:t>
      </w:r>
      <w:r w:rsidR="004154C8">
        <w:rPr>
          <w:lang w:val="fr-CA"/>
        </w:rPr>
        <w:t>»</w:t>
      </w:r>
      <w:r w:rsidRPr="00D734D2">
        <w:rPr>
          <w:lang w:val="fr-CA"/>
        </w:rPr>
        <w:t>.</w:t>
      </w:r>
      <w:r w:rsidR="0065746B" w:rsidRPr="00D734D2">
        <w:rPr>
          <w:lang w:val="fr-CA"/>
        </w:rPr>
        <w:t xml:space="preserve"> </w:t>
      </w:r>
      <w:r w:rsidRPr="00D734D2">
        <w:rPr>
          <w:lang w:val="fr-BE"/>
        </w:rPr>
        <w:t>Cette loi a évolué afin d’assujettir l’État à l’obligation de se soumettre à un interrogatoire préalable quand il est partie au litige, sans plus.</w:t>
      </w:r>
      <w:r w:rsidR="0065746B" w:rsidRPr="00D734D2">
        <w:rPr>
          <w:lang w:val="fr-BE"/>
        </w:rPr>
        <w:t xml:space="preserve"> </w:t>
      </w:r>
      <w:r w:rsidRPr="00D734D2">
        <w:rPr>
          <w:szCs w:val="24"/>
          <w:lang w:val="fr-BE"/>
        </w:rPr>
        <w:t xml:space="preserve">En l’absence d’une intention claire et non équivoque du législateur, il n’appartient pas aux tribunaux d’écarter une règle reconnue de la </w:t>
      </w:r>
      <w:proofErr w:type="spellStart"/>
      <w:r w:rsidRPr="00D734D2">
        <w:rPr>
          <w:szCs w:val="24"/>
          <w:lang w:val="fr-BE"/>
        </w:rPr>
        <w:t>common</w:t>
      </w:r>
      <w:proofErr w:type="spellEnd"/>
      <w:r w:rsidRPr="00D734D2">
        <w:rPr>
          <w:szCs w:val="24"/>
          <w:lang w:val="fr-BE"/>
        </w:rPr>
        <w:t xml:space="preserve"> </w:t>
      </w:r>
      <w:proofErr w:type="spellStart"/>
      <w:r w:rsidRPr="00D734D2">
        <w:rPr>
          <w:szCs w:val="24"/>
          <w:lang w:val="fr-BE"/>
        </w:rPr>
        <w:t>law</w:t>
      </w:r>
      <w:proofErr w:type="spellEnd"/>
      <w:r w:rsidRPr="00D734D2">
        <w:rPr>
          <w:szCs w:val="24"/>
          <w:lang w:val="fr-BE"/>
        </w:rPr>
        <w:t xml:space="preserve"> en la matière.</w:t>
      </w:r>
      <w:r w:rsidR="0065746B" w:rsidRPr="00D734D2">
        <w:rPr>
          <w:szCs w:val="24"/>
          <w:lang w:val="fr-BE"/>
        </w:rPr>
        <w:t xml:space="preserve"> </w:t>
      </w:r>
      <w:r w:rsidRPr="00D734D2">
        <w:rPr>
          <w:lang w:val="fr-CA"/>
        </w:rPr>
        <w:t xml:space="preserve">Comme, en l’espèce, </w:t>
      </w:r>
      <w:r w:rsidRPr="00D734D2">
        <w:rPr>
          <w:lang w:val="fr-BE"/>
        </w:rPr>
        <w:t>ni l’État ni l’enquêteur</w:t>
      </w:r>
      <w:r w:rsidR="0065746B" w:rsidRPr="00D734D2">
        <w:rPr>
          <w:lang w:val="fr-BE"/>
        </w:rPr>
        <w:noBreakHyphen/>
      </w:r>
      <w:r w:rsidRPr="00D734D2">
        <w:rPr>
          <w:lang w:val="fr-BE"/>
        </w:rPr>
        <w:t>chef ne sont parties au litige concerné, ce dernier</w:t>
      </w:r>
      <w:r w:rsidRPr="00D734D2">
        <w:rPr>
          <w:lang w:val="fr-CA"/>
        </w:rPr>
        <w:t xml:space="preserve"> </w:t>
      </w:r>
      <w:r w:rsidRPr="00D734D2">
        <w:rPr>
          <w:lang w:val="fr-BE"/>
        </w:rPr>
        <w:t xml:space="preserve">peut </w:t>
      </w:r>
      <w:r w:rsidRPr="00D734D2">
        <w:rPr>
          <w:lang w:val="fr-BE"/>
        </w:rPr>
        <w:lastRenderedPageBreak/>
        <w:t>invoquer l’immunité de l’État en matière d’interrogatoire préalable et ainsi refuser d’être assujetti à l’interrogatoire préalable recherché.</w:t>
      </w:r>
    </w:p>
    <w:p w:rsidR="004D7D95" w:rsidRPr="00D734D2" w:rsidRDefault="004D7D95" w:rsidP="002C4D60">
      <w:pPr>
        <w:pStyle w:val="SCCNormalDoubleSpacing"/>
        <w:spacing w:before="480" w:after="480"/>
        <w:rPr>
          <w:b/>
          <w:lang w:val="fr-CA"/>
        </w:rPr>
      </w:pPr>
      <w:r w:rsidRPr="00D734D2">
        <w:rPr>
          <w:b/>
          <w:lang w:val="fr-CA"/>
        </w:rPr>
        <w:t>Jurisprudence</w:t>
      </w:r>
    </w:p>
    <w:p w:rsidR="004D7D95" w:rsidRPr="00D734D2" w:rsidRDefault="009D5E6A" w:rsidP="00342640">
      <w:pPr>
        <w:pStyle w:val="SCCNormalDoubleSpacing"/>
        <w:spacing w:before="480" w:after="480"/>
        <w:rPr>
          <w:b/>
          <w:lang w:val="fr-CA"/>
        </w:rPr>
      </w:pPr>
      <w:r w:rsidRPr="00D734D2">
        <w:rPr>
          <w:lang w:val="fr-CA"/>
        </w:rPr>
        <w:tab/>
      </w:r>
      <w:r w:rsidR="00DA2C14">
        <w:rPr>
          <w:b/>
          <w:lang w:val="fr-CA"/>
        </w:rPr>
        <w:t>Arrêt rejeté</w:t>
      </w:r>
      <w:r w:rsidR="0065746B" w:rsidRPr="00D734D2">
        <w:rPr>
          <w:b/>
          <w:lang w:val="fr-CA"/>
        </w:rPr>
        <w:t> :</w:t>
      </w:r>
      <w:r w:rsidR="00DA2C14" w:rsidRPr="00DA2C14">
        <w:rPr>
          <w:i/>
          <w:iCs/>
          <w:lang w:val="fr-CA"/>
        </w:rPr>
        <w:t xml:space="preserve"> </w:t>
      </w:r>
      <w:proofErr w:type="spellStart"/>
      <w:r w:rsidR="00DA2C14" w:rsidRPr="00D734D2">
        <w:rPr>
          <w:i/>
          <w:iCs/>
          <w:lang w:val="fr-CA"/>
        </w:rPr>
        <w:t>Temelini</w:t>
      </w:r>
      <w:proofErr w:type="spellEnd"/>
      <w:r w:rsidR="00DA2C14" w:rsidRPr="00D734D2">
        <w:rPr>
          <w:i/>
          <w:iCs/>
          <w:lang w:val="fr-CA"/>
        </w:rPr>
        <w:t xml:space="preserve"> c. Ontario Provincial Police (</w:t>
      </w:r>
      <w:proofErr w:type="spellStart"/>
      <w:r w:rsidR="00DA2C14" w:rsidRPr="00D734D2">
        <w:rPr>
          <w:i/>
          <w:iCs/>
          <w:lang w:val="fr-CA"/>
        </w:rPr>
        <w:t>Commissioner</w:t>
      </w:r>
      <w:proofErr w:type="spellEnd"/>
      <w:r w:rsidR="00DA2C14" w:rsidRPr="00D734D2">
        <w:rPr>
          <w:i/>
          <w:iCs/>
          <w:lang w:val="fr-CA"/>
        </w:rPr>
        <w:t xml:space="preserve">) </w:t>
      </w:r>
      <w:r w:rsidR="00DA2C14" w:rsidRPr="00D734D2">
        <w:rPr>
          <w:iCs/>
          <w:lang w:val="fr-CA"/>
        </w:rPr>
        <w:t>(1999), 44 O.R. (3d) 609</w:t>
      </w:r>
      <w:r w:rsidR="00DA2C14">
        <w:rPr>
          <w:iCs/>
          <w:lang w:val="fr-CA"/>
        </w:rPr>
        <w:t>;</w:t>
      </w:r>
      <w:r w:rsidR="00727B69" w:rsidRPr="00D734D2">
        <w:rPr>
          <w:lang w:val="fr-CA"/>
        </w:rPr>
        <w:t xml:space="preserve"> </w:t>
      </w:r>
      <w:r w:rsidR="00DA2C14" w:rsidRPr="00DA2C14">
        <w:rPr>
          <w:b/>
          <w:lang w:val="fr-CA"/>
        </w:rPr>
        <w:t>arrêt examiné :</w:t>
      </w:r>
      <w:r w:rsidR="00DA2C14">
        <w:rPr>
          <w:lang w:val="fr-CA"/>
        </w:rPr>
        <w:t xml:space="preserve"> </w:t>
      </w:r>
      <w:r w:rsidR="00727B69" w:rsidRPr="00D734D2">
        <w:rPr>
          <w:i/>
          <w:iCs/>
          <w:szCs w:val="24"/>
          <w:lang w:val="fr-CA"/>
        </w:rPr>
        <w:t>Pétrolière Impériale</w:t>
      </w:r>
      <w:r w:rsidR="00727B69" w:rsidRPr="00D734D2">
        <w:rPr>
          <w:szCs w:val="24"/>
          <w:lang w:val="fr-CA"/>
        </w:rPr>
        <w:t xml:space="preserve"> </w:t>
      </w:r>
      <w:r w:rsidR="00727B69" w:rsidRPr="00D734D2">
        <w:rPr>
          <w:i/>
          <w:szCs w:val="24"/>
          <w:lang w:val="fr-CA"/>
        </w:rPr>
        <w:t>c.</w:t>
      </w:r>
      <w:r w:rsidR="00727B69" w:rsidRPr="00D734D2">
        <w:rPr>
          <w:szCs w:val="24"/>
          <w:lang w:val="fr-CA"/>
        </w:rPr>
        <w:t xml:space="preserve"> </w:t>
      </w:r>
      <w:r w:rsidR="00727B69" w:rsidRPr="00D734D2">
        <w:rPr>
          <w:i/>
          <w:iCs/>
          <w:szCs w:val="24"/>
          <w:lang w:val="fr-CA"/>
        </w:rPr>
        <w:t>Jacques</w:t>
      </w:r>
      <w:r w:rsidR="00727B69" w:rsidRPr="00D734D2">
        <w:rPr>
          <w:iCs/>
          <w:szCs w:val="24"/>
          <w:lang w:val="fr-CA"/>
        </w:rPr>
        <w:t>,</w:t>
      </w:r>
      <w:r w:rsidR="00727B69" w:rsidRPr="00D734D2">
        <w:rPr>
          <w:i/>
          <w:iCs/>
          <w:szCs w:val="24"/>
          <w:lang w:val="fr-CA"/>
        </w:rPr>
        <w:t xml:space="preserve"> </w:t>
      </w:r>
      <w:r w:rsidR="00727B69" w:rsidRPr="00D734D2">
        <w:rPr>
          <w:iCs/>
          <w:szCs w:val="24"/>
          <w:lang w:val="fr-CA"/>
        </w:rPr>
        <w:t xml:space="preserve">2014 CSC 66, [2014] 3 R.C.S. 287; </w:t>
      </w:r>
      <w:r w:rsidR="00727B69" w:rsidRPr="00D734D2">
        <w:rPr>
          <w:b/>
          <w:lang w:val="fr-CA"/>
        </w:rPr>
        <w:t>a</w:t>
      </w:r>
      <w:r w:rsidR="00A62E70" w:rsidRPr="00D734D2">
        <w:rPr>
          <w:b/>
          <w:lang w:val="fr-CA"/>
        </w:rPr>
        <w:t>rrêts mentionnés</w:t>
      </w:r>
      <w:r w:rsidR="0065746B" w:rsidRPr="00D734D2">
        <w:rPr>
          <w:b/>
          <w:lang w:val="fr-CA"/>
        </w:rPr>
        <w:t> :</w:t>
      </w:r>
      <w:r w:rsidR="00A50247" w:rsidRPr="00D734D2">
        <w:rPr>
          <w:lang w:val="fr-CA"/>
        </w:rPr>
        <w:t xml:space="preserve"> </w:t>
      </w:r>
      <w:r w:rsidR="005A5598" w:rsidRPr="00D734D2">
        <w:rPr>
          <w:i/>
          <w:lang w:val="fr-CA"/>
        </w:rPr>
        <w:t xml:space="preserve">Canada </w:t>
      </w:r>
      <w:proofErr w:type="spellStart"/>
      <w:r w:rsidR="005A5598" w:rsidRPr="00D734D2">
        <w:rPr>
          <w:i/>
          <w:lang w:val="fr-CA"/>
        </w:rPr>
        <w:t>Deposit</w:t>
      </w:r>
      <w:proofErr w:type="spellEnd"/>
      <w:r w:rsidR="005A5598" w:rsidRPr="00D734D2">
        <w:rPr>
          <w:i/>
          <w:lang w:val="fr-CA"/>
        </w:rPr>
        <w:t xml:space="preserve"> </w:t>
      </w:r>
      <w:proofErr w:type="spellStart"/>
      <w:r w:rsidR="005A5598" w:rsidRPr="00D734D2">
        <w:rPr>
          <w:i/>
          <w:lang w:val="fr-CA"/>
        </w:rPr>
        <w:t>Insurance</w:t>
      </w:r>
      <w:proofErr w:type="spellEnd"/>
      <w:r w:rsidR="005A5598" w:rsidRPr="00D734D2">
        <w:rPr>
          <w:i/>
          <w:lang w:val="fr-CA"/>
        </w:rPr>
        <w:t xml:space="preserve"> Cor</w:t>
      </w:r>
      <w:r w:rsidR="0065746B" w:rsidRPr="00D734D2">
        <w:rPr>
          <w:i/>
          <w:lang w:val="fr-CA"/>
        </w:rPr>
        <w:t xml:space="preserve">p. </w:t>
      </w:r>
      <w:r w:rsidR="005A5598" w:rsidRPr="00D734D2">
        <w:rPr>
          <w:i/>
          <w:lang w:val="fr-CA"/>
        </w:rPr>
        <w:t>c. Code</w:t>
      </w:r>
      <w:r w:rsidR="008E582F" w:rsidRPr="00D734D2">
        <w:rPr>
          <w:i/>
          <w:lang w:val="fr-CA"/>
        </w:rPr>
        <w:t xml:space="preserve"> </w:t>
      </w:r>
      <w:r w:rsidR="008E582F" w:rsidRPr="00D734D2">
        <w:rPr>
          <w:lang w:val="fr-CA"/>
        </w:rPr>
        <w:t>(1988)</w:t>
      </w:r>
      <w:r w:rsidR="005A5598" w:rsidRPr="00D734D2">
        <w:rPr>
          <w:lang w:val="fr-CA"/>
        </w:rPr>
        <w:t xml:space="preserve">, </w:t>
      </w:r>
      <w:r w:rsidR="005A5598" w:rsidRPr="00D734D2">
        <w:rPr>
          <w:rStyle w:val="nowrap"/>
          <w:lang w:val="fr-CA"/>
        </w:rPr>
        <w:t xml:space="preserve">49 D.L.R. (4th) 57; </w:t>
      </w:r>
      <w:proofErr w:type="spellStart"/>
      <w:r w:rsidR="005A5598" w:rsidRPr="00D734D2">
        <w:rPr>
          <w:i/>
          <w:szCs w:val="24"/>
          <w:lang w:val="fr-CA"/>
        </w:rPr>
        <w:t>Lizotte</w:t>
      </w:r>
      <w:proofErr w:type="spellEnd"/>
      <w:r w:rsidR="005A5598" w:rsidRPr="00D734D2">
        <w:rPr>
          <w:i/>
          <w:szCs w:val="24"/>
          <w:lang w:val="fr-CA"/>
        </w:rPr>
        <w:t xml:space="preserve"> </w:t>
      </w:r>
      <w:r w:rsidR="00B37DEB" w:rsidRPr="00D734D2">
        <w:rPr>
          <w:bCs/>
          <w:i/>
          <w:szCs w:val="24"/>
          <w:lang w:val="fr-FR"/>
        </w:rPr>
        <w:t>c. Aviva, C</w:t>
      </w:r>
      <w:r w:rsidR="005A5598" w:rsidRPr="00D734D2">
        <w:rPr>
          <w:bCs/>
          <w:i/>
          <w:szCs w:val="24"/>
          <w:lang w:val="fr-FR"/>
        </w:rPr>
        <w:t>ie d’assurance du Canada</w:t>
      </w:r>
      <w:r w:rsidR="005A5598" w:rsidRPr="00D734D2">
        <w:rPr>
          <w:bCs/>
          <w:szCs w:val="24"/>
          <w:lang w:val="fr-FR"/>
        </w:rPr>
        <w:t>, 2016 CSC 52</w:t>
      </w:r>
      <w:r w:rsidR="007A00BB" w:rsidRPr="00D734D2">
        <w:rPr>
          <w:bCs/>
          <w:szCs w:val="24"/>
          <w:lang w:val="fr-FR"/>
        </w:rPr>
        <w:t>, [2016] 2 R.C.S. 521</w:t>
      </w:r>
      <w:r w:rsidR="005A5598" w:rsidRPr="00D734D2">
        <w:rPr>
          <w:bCs/>
          <w:szCs w:val="24"/>
          <w:lang w:val="fr-FR"/>
        </w:rPr>
        <w:t xml:space="preserve">; </w:t>
      </w:r>
      <w:r w:rsidR="005A5598" w:rsidRPr="00D734D2">
        <w:rPr>
          <w:i/>
          <w:iCs/>
          <w:szCs w:val="24"/>
          <w:lang w:val="fr-FR"/>
        </w:rPr>
        <w:t>Parry Sound (district), Conseil d’administration des services sociaux c. S.E.E.F.P.O., section locale 324</w:t>
      </w:r>
      <w:r w:rsidR="005A5598" w:rsidRPr="00D734D2">
        <w:rPr>
          <w:szCs w:val="24"/>
          <w:lang w:val="fr-FR"/>
        </w:rPr>
        <w:t xml:space="preserve">, 2003 CSC 42, [2003] 2 R.C.S. 157; </w:t>
      </w:r>
      <w:proofErr w:type="spellStart"/>
      <w:r w:rsidR="005A5598" w:rsidRPr="00D734D2">
        <w:rPr>
          <w:i/>
          <w:iCs/>
          <w:szCs w:val="24"/>
          <w:lang w:val="fr-FR"/>
        </w:rPr>
        <w:t>Slaight</w:t>
      </w:r>
      <w:proofErr w:type="spellEnd"/>
      <w:r w:rsidR="005A5598" w:rsidRPr="00D734D2">
        <w:rPr>
          <w:i/>
          <w:iCs/>
          <w:szCs w:val="24"/>
          <w:lang w:val="fr-FR"/>
        </w:rPr>
        <w:t xml:space="preserve"> Communications Inc. c. Davidson</w:t>
      </w:r>
      <w:r w:rsidR="005A5598" w:rsidRPr="00D734D2">
        <w:rPr>
          <w:szCs w:val="24"/>
          <w:lang w:val="fr-FR"/>
        </w:rPr>
        <w:t xml:space="preserve">, [1989] 1 R.C.S. 1038; </w:t>
      </w:r>
      <w:r w:rsidR="005A5598" w:rsidRPr="00D734D2">
        <w:rPr>
          <w:i/>
          <w:szCs w:val="24"/>
          <w:lang w:val="fr-CA"/>
        </w:rPr>
        <w:t xml:space="preserve">Friends of the </w:t>
      </w:r>
      <w:proofErr w:type="spellStart"/>
      <w:r w:rsidR="005A5598" w:rsidRPr="00D734D2">
        <w:rPr>
          <w:i/>
          <w:szCs w:val="24"/>
          <w:lang w:val="fr-CA"/>
        </w:rPr>
        <w:t>Oldman</w:t>
      </w:r>
      <w:proofErr w:type="spellEnd"/>
      <w:r w:rsidR="005A5598" w:rsidRPr="00D734D2">
        <w:rPr>
          <w:i/>
          <w:szCs w:val="24"/>
          <w:lang w:val="fr-CA"/>
        </w:rPr>
        <w:t xml:space="preserve"> River Society c. Canada</w:t>
      </w:r>
      <w:r w:rsidR="005A5598" w:rsidRPr="00D734D2">
        <w:rPr>
          <w:szCs w:val="24"/>
          <w:lang w:val="fr-CA"/>
        </w:rPr>
        <w:t xml:space="preserve"> </w:t>
      </w:r>
      <w:r w:rsidR="005A5598" w:rsidRPr="00D734D2">
        <w:rPr>
          <w:i/>
          <w:szCs w:val="24"/>
          <w:lang w:val="fr-CA"/>
        </w:rPr>
        <w:t>(Ministre des Transports)</w:t>
      </w:r>
      <w:r w:rsidR="005A5598" w:rsidRPr="00D734D2">
        <w:rPr>
          <w:szCs w:val="24"/>
          <w:lang w:val="fr-CA"/>
        </w:rPr>
        <w:t>, [1992] 1 R.C.S.</w:t>
      </w:r>
      <w:r w:rsidR="00E3260A" w:rsidRPr="00D734D2">
        <w:rPr>
          <w:szCs w:val="24"/>
          <w:lang w:val="fr-CA"/>
        </w:rPr>
        <w:t xml:space="preserve"> 3</w:t>
      </w:r>
      <w:r w:rsidR="005A5598" w:rsidRPr="00D734D2">
        <w:rPr>
          <w:szCs w:val="24"/>
          <w:lang w:val="fr-CA"/>
        </w:rPr>
        <w:t>;</w:t>
      </w:r>
      <w:r w:rsidR="00E3260A" w:rsidRPr="00D734D2">
        <w:rPr>
          <w:szCs w:val="24"/>
          <w:lang w:val="fr-CA"/>
        </w:rPr>
        <w:t xml:space="preserve"> </w:t>
      </w:r>
      <w:r w:rsidR="005A5598" w:rsidRPr="00D734D2">
        <w:rPr>
          <w:i/>
          <w:lang w:val="fr-FR"/>
        </w:rPr>
        <w:t>Al</w:t>
      </w:r>
      <w:r w:rsidR="00814611" w:rsidRPr="00D734D2">
        <w:rPr>
          <w:i/>
          <w:lang w:val="fr-FR"/>
        </w:rPr>
        <w:t xml:space="preserve">berta </w:t>
      </w:r>
      <w:proofErr w:type="spellStart"/>
      <w:r w:rsidR="00814611" w:rsidRPr="00D734D2">
        <w:rPr>
          <w:i/>
          <w:lang w:val="fr-FR"/>
        </w:rPr>
        <w:t>Government</w:t>
      </w:r>
      <w:proofErr w:type="spellEnd"/>
      <w:r w:rsidR="00814611" w:rsidRPr="00D734D2">
        <w:rPr>
          <w:i/>
          <w:lang w:val="fr-FR"/>
        </w:rPr>
        <w:t xml:space="preserve"> </w:t>
      </w:r>
      <w:proofErr w:type="spellStart"/>
      <w:r w:rsidR="00814611" w:rsidRPr="00D734D2">
        <w:rPr>
          <w:i/>
          <w:lang w:val="fr-FR"/>
        </w:rPr>
        <w:t>Telephones</w:t>
      </w:r>
      <w:proofErr w:type="spellEnd"/>
      <w:r w:rsidR="00814611" w:rsidRPr="00D734D2">
        <w:rPr>
          <w:i/>
          <w:lang w:val="fr-FR"/>
        </w:rPr>
        <w:t xml:space="preserve"> c. </w:t>
      </w:r>
      <w:r w:rsidR="005A5598" w:rsidRPr="00D734D2">
        <w:rPr>
          <w:i/>
          <w:lang w:val="fr-FR"/>
        </w:rPr>
        <w:t xml:space="preserve">Canada </w:t>
      </w:r>
      <w:r w:rsidR="00814611" w:rsidRPr="00D734D2">
        <w:rPr>
          <w:i/>
          <w:lang w:val="fr-FR"/>
        </w:rPr>
        <w:t>(</w:t>
      </w:r>
      <w:r w:rsidR="005A5598" w:rsidRPr="00D734D2">
        <w:rPr>
          <w:i/>
          <w:lang w:val="fr-FR"/>
        </w:rPr>
        <w:t>Conseil de la radiodiffusion et des télécommunications canadiennes</w:t>
      </w:r>
      <w:r w:rsidR="00814611" w:rsidRPr="00D734D2">
        <w:rPr>
          <w:i/>
          <w:lang w:val="fr-FR"/>
        </w:rPr>
        <w:t>)</w:t>
      </w:r>
      <w:r w:rsidR="005A5598" w:rsidRPr="00D734D2">
        <w:rPr>
          <w:lang w:val="fr-FR"/>
        </w:rPr>
        <w:t xml:space="preserve">, [1989] 2 R.C.S. 225; </w:t>
      </w:r>
      <w:proofErr w:type="spellStart"/>
      <w:r w:rsidR="005A5598" w:rsidRPr="00D734D2">
        <w:rPr>
          <w:i/>
          <w:iCs/>
          <w:lang w:val="fr-CA"/>
        </w:rPr>
        <w:t>Rizzo</w:t>
      </w:r>
      <w:proofErr w:type="spellEnd"/>
      <w:r w:rsidR="005A5598" w:rsidRPr="00D734D2">
        <w:rPr>
          <w:i/>
          <w:iCs/>
          <w:lang w:val="fr-CA"/>
        </w:rPr>
        <w:t xml:space="preserve"> &amp; </w:t>
      </w:r>
      <w:proofErr w:type="spellStart"/>
      <w:r w:rsidR="005A5598" w:rsidRPr="00D734D2">
        <w:rPr>
          <w:i/>
          <w:iCs/>
          <w:lang w:val="fr-CA"/>
        </w:rPr>
        <w:t>Rizzo</w:t>
      </w:r>
      <w:proofErr w:type="spellEnd"/>
      <w:r w:rsidR="005A5598" w:rsidRPr="00D734D2">
        <w:rPr>
          <w:i/>
          <w:iCs/>
          <w:lang w:val="fr-CA"/>
        </w:rPr>
        <w:t xml:space="preserve"> </w:t>
      </w:r>
      <w:proofErr w:type="spellStart"/>
      <w:r w:rsidR="005A5598" w:rsidRPr="00D734D2">
        <w:rPr>
          <w:i/>
          <w:iCs/>
          <w:lang w:val="fr-CA"/>
        </w:rPr>
        <w:t>Shoes</w:t>
      </w:r>
      <w:proofErr w:type="spellEnd"/>
      <w:r w:rsidR="005A5598" w:rsidRPr="00D734D2">
        <w:rPr>
          <w:i/>
          <w:iCs/>
          <w:lang w:val="fr-CA"/>
        </w:rPr>
        <w:t xml:space="preserve"> Ltd. (</w:t>
      </w:r>
      <w:proofErr w:type="spellStart"/>
      <w:r w:rsidR="005A5598" w:rsidRPr="00D734D2">
        <w:rPr>
          <w:i/>
          <w:iCs/>
          <w:lang w:val="fr-CA"/>
        </w:rPr>
        <w:t>Re</w:t>
      </w:r>
      <w:proofErr w:type="spellEnd"/>
      <w:r w:rsidR="005A5598" w:rsidRPr="00D734D2">
        <w:rPr>
          <w:i/>
          <w:iCs/>
          <w:lang w:val="fr-CA"/>
        </w:rPr>
        <w:t>)</w:t>
      </w:r>
      <w:r w:rsidR="005A5598" w:rsidRPr="00D734D2">
        <w:rPr>
          <w:iCs/>
          <w:lang w:val="fr-CA"/>
        </w:rPr>
        <w:t>, [1998] 1 R.C.S. 27</w:t>
      </w:r>
      <w:r w:rsidR="00AD3299" w:rsidRPr="00D734D2">
        <w:rPr>
          <w:iCs/>
          <w:lang w:val="fr-CA"/>
        </w:rPr>
        <w:t>.</w:t>
      </w:r>
    </w:p>
    <w:p w:rsidR="004D7D95" w:rsidRPr="00D734D2" w:rsidRDefault="004D7D95" w:rsidP="00342640">
      <w:pPr>
        <w:pStyle w:val="SCCNormalDoubleSpacing"/>
        <w:spacing w:after="720" w:line="240" w:lineRule="auto"/>
        <w:rPr>
          <w:b/>
          <w:lang w:val="fr-CA"/>
        </w:rPr>
      </w:pPr>
      <w:r w:rsidRPr="00D734D2">
        <w:rPr>
          <w:b/>
          <w:lang w:val="fr-CA"/>
        </w:rPr>
        <w:t>Lois et règlements cités</w:t>
      </w:r>
    </w:p>
    <w:p w:rsidR="00E924B8" w:rsidRPr="00D734D2" w:rsidRDefault="00E924B8" w:rsidP="00545790">
      <w:pPr>
        <w:pStyle w:val="SCCNormalDoubleSpacing"/>
        <w:spacing w:after="240" w:line="240" w:lineRule="auto"/>
        <w:ind w:left="540" w:hanging="540"/>
        <w:rPr>
          <w:lang w:val="fr-CA"/>
        </w:rPr>
      </w:pPr>
      <w:r w:rsidRPr="00D734D2">
        <w:rPr>
          <w:i/>
          <w:szCs w:val="24"/>
          <w:lang w:val="fr-CA"/>
        </w:rPr>
        <w:t>Code de procédure civile</w:t>
      </w:r>
      <w:r w:rsidRPr="00D734D2">
        <w:rPr>
          <w:szCs w:val="24"/>
          <w:lang w:val="fr-CA"/>
        </w:rPr>
        <w:t>,</w:t>
      </w:r>
      <w:r w:rsidR="00545790" w:rsidRPr="00D734D2">
        <w:rPr>
          <w:szCs w:val="24"/>
          <w:lang w:val="fr-CA"/>
        </w:rPr>
        <w:t xml:space="preserve"> RLRQ, c. </w:t>
      </w:r>
      <w:r w:rsidRPr="00D734D2">
        <w:rPr>
          <w:szCs w:val="24"/>
          <w:lang w:val="fr-CA"/>
        </w:rPr>
        <w:t>C</w:t>
      </w:r>
      <w:r w:rsidR="0065746B" w:rsidRPr="00D734D2">
        <w:rPr>
          <w:szCs w:val="24"/>
          <w:lang w:val="fr-CA"/>
        </w:rPr>
        <w:noBreakHyphen/>
      </w:r>
      <w:r w:rsidRPr="00D734D2">
        <w:rPr>
          <w:szCs w:val="24"/>
          <w:lang w:val="fr-CA"/>
        </w:rPr>
        <w:t xml:space="preserve">25, </w:t>
      </w:r>
      <w:r w:rsidR="0065746B" w:rsidRPr="00D734D2">
        <w:rPr>
          <w:szCs w:val="24"/>
          <w:lang w:val="fr-CA"/>
        </w:rPr>
        <w:t>art. </w:t>
      </w:r>
      <w:r w:rsidRPr="00D734D2">
        <w:rPr>
          <w:szCs w:val="24"/>
          <w:lang w:val="fr-CA"/>
        </w:rPr>
        <w:t>398</w:t>
      </w:r>
      <w:r w:rsidR="00E52DD8" w:rsidRPr="00D734D2">
        <w:rPr>
          <w:szCs w:val="24"/>
          <w:lang w:val="fr-CA"/>
        </w:rPr>
        <w:t xml:space="preserve"> </w:t>
      </w:r>
      <w:r w:rsidR="0065746B" w:rsidRPr="00D734D2">
        <w:rPr>
          <w:szCs w:val="24"/>
          <w:lang w:val="fr-CA"/>
        </w:rPr>
        <w:t>al. </w:t>
      </w:r>
      <w:r w:rsidR="00B37DEB" w:rsidRPr="00D734D2">
        <w:rPr>
          <w:szCs w:val="24"/>
          <w:lang w:val="fr-CA"/>
        </w:rPr>
        <w:t>1</w:t>
      </w:r>
      <w:r w:rsidRPr="00D734D2">
        <w:rPr>
          <w:szCs w:val="24"/>
          <w:lang w:val="fr-CA"/>
        </w:rPr>
        <w:t>(3), 402.</w:t>
      </w:r>
    </w:p>
    <w:p w:rsidR="007019A2" w:rsidRPr="00D734D2" w:rsidRDefault="007019A2" w:rsidP="00545790">
      <w:pPr>
        <w:pStyle w:val="SCCNormalDoubleSpacing"/>
        <w:spacing w:after="240" w:line="240" w:lineRule="auto"/>
        <w:ind w:left="540" w:hanging="540"/>
      </w:pPr>
      <w:r w:rsidRPr="00D734D2">
        <w:rPr>
          <w:i/>
          <w:iCs/>
          <w:lang w:val="en-GB"/>
        </w:rPr>
        <w:t>Crown Proceedings Act, 1947</w:t>
      </w:r>
      <w:r w:rsidRPr="00D734D2">
        <w:rPr>
          <w:lang w:val="en-GB"/>
        </w:rPr>
        <w:t xml:space="preserve"> (R.</w:t>
      </w:r>
      <w:r w:rsidR="0065746B" w:rsidRPr="00D734D2">
        <w:rPr>
          <w:lang w:val="en-GB"/>
        </w:rPr>
        <w:noBreakHyphen/>
      </w:r>
      <w:r w:rsidRPr="00D734D2">
        <w:rPr>
          <w:lang w:val="en-GB"/>
        </w:rPr>
        <w:t>U.), 10 &amp; 11 Geo. 6, c.</w:t>
      </w:r>
      <w:r w:rsidR="00545790" w:rsidRPr="00D734D2">
        <w:rPr>
          <w:lang w:val="en-GB"/>
        </w:rPr>
        <w:t> </w:t>
      </w:r>
      <w:r w:rsidRPr="00D734D2">
        <w:rPr>
          <w:lang w:val="en-GB"/>
        </w:rPr>
        <w:t>44.</w:t>
      </w:r>
    </w:p>
    <w:p w:rsidR="002808F0" w:rsidRPr="00D734D2" w:rsidRDefault="0055308A" w:rsidP="00545790">
      <w:pPr>
        <w:pStyle w:val="SCCNormalDoubleSpacing"/>
        <w:spacing w:after="240" w:line="240" w:lineRule="auto"/>
        <w:ind w:left="540" w:hanging="540"/>
        <w:rPr>
          <w:szCs w:val="24"/>
          <w:lang w:val="fr-CA"/>
        </w:rPr>
      </w:pPr>
      <w:r w:rsidRPr="00D734D2">
        <w:rPr>
          <w:i/>
          <w:szCs w:val="24"/>
          <w:lang w:val="fr-CA"/>
        </w:rPr>
        <w:t>Loi d’interprétation</w:t>
      </w:r>
      <w:r w:rsidRPr="00D734D2">
        <w:rPr>
          <w:szCs w:val="24"/>
          <w:lang w:val="fr-CA"/>
        </w:rPr>
        <w:t>, L.R.C. 1985, c.</w:t>
      </w:r>
      <w:r w:rsidR="00545790" w:rsidRPr="00D734D2">
        <w:rPr>
          <w:szCs w:val="24"/>
          <w:lang w:val="fr-CA"/>
        </w:rPr>
        <w:t> </w:t>
      </w:r>
      <w:r w:rsidRPr="00D734D2">
        <w:rPr>
          <w:szCs w:val="24"/>
          <w:lang w:val="fr-CA"/>
        </w:rPr>
        <w:t>I</w:t>
      </w:r>
      <w:r w:rsidR="0065746B" w:rsidRPr="00D734D2">
        <w:rPr>
          <w:szCs w:val="24"/>
          <w:lang w:val="fr-CA"/>
        </w:rPr>
        <w:noBreakHyphen/>
      </w:r>
      <w:r w:rsidRPr="00D734D2">
        <w:rPr>
          <w:szCs w:val="24"/>
          <w:lang w:val="fr-CA"/>
        </w:rPr>
        <w:t xml:space="preserve">21, </w:t>
      </w:r>
      <w:r w:rsidR="0065746B" w:rsidRPr="00D734D2">
        <w:rPr>
          <w:szCs w:val="24"/>
          <w:lang w:val="fr-CA"/>
        </w:rPr>
        <w:t>art. </w:t>
      </w:r>
      <w:r w:rsidRPr="00D734D2">
        <w:rPr>
          <w:szCs w:val="24"/>
          <w:lang w:val="fr-CA"/>
        </w:rPr>
        <w:t>17.</w:t>
      </w:r>
    </w:p>
    <w:p w:rsidR="00965A56" w:rsidRPr="00D734D2" w:rsidRDefault="00965A56" w:rsidP="00545790">
      <w:pPr>
        <w:pStyle w:val="SCCNormalDoubleSpacing"/>
        <w:spacing w:after="240" w:line="240" w:lineRule="auto"/>
        <w:ind w:left="540" w:hanging="540"/>
        <w:rPr>
          <w:szCs w:val="24"/>
          <w:lang w:val="fr-CA"/>
        </w:rPr>
      </w:pPr>
      <w:r w:rsidRPr="00D734D2">
        <w:rPr>
          <w:i/>
          <w:szCs w:val="24"/>
          <w:lang w:val="fr-CA"/>
        </w:rPr>
        <w:t>Loi d’interprétation</w:t>
      </w:r>
      <w:r w:rsidR="00545790" w:rsidRPr="00D734D2">
        <w:rPr>
          <w:szCs w:val="24"/>
          <w:lang w:val="fr-CA"/>
        </w:rPr>
        <w:t>, S.R.C. 1970, c. </w:t>
      </w:r>
      <w:r w:rsidRPr="00D734D2">
        <w:rPr>
          <w:szCs w:val="24"/>
          <w:lang w:val="fr-CA"/>
        </w:rPr>
        <w:t>I</w:t>
      </w:r>
      <w:r w:rsidR="0065746B" w:rsidRPr="00D734D2">
        <w:rPr>
          <w:szCs w:val="24"/>
          <w:lang w:val="fr-CA"/>
        </w:rPr>
        <w:noBreakHyphen/>
      </w:r>
      <w:r w:rsidRPr="00D734D2">
        <w:rPr>
          <w:szCs w:val="24"/>
          <w:lang w:val="fr-CA"/>
        </w:rPr>
        <w:t xml:space="preserve">23, </w:t>
      </w:r>
      <w:r w:rsidR="0065746B" w:rsidRPr="00D734D2">
        <w:rPr>
          <w:szCs w:val="24"/>
          <w:lang w:val="fr-CA"/>
        </w:rPr>
        <w:t>art. </w:t>
      </w:r>
      <w:r w:rsidRPr="00D734D2">
        <w:rPr>
          <w:szCs w:val="24"/>
          <w:lang w:val="fr-CA"/>
        </w:rPr>
        <w:t>16.</w:t>
      </w:r>
    </w:p>
    <w:p w:rsidR="004D7D95" w:rsidRPr="00D734D2" w:rsidRDefault="005A5598" w:rsidP="00545790">
      <w:pPr>
        <w:pStyle w:val="SCCNormalDoubleSpacing"/>
        <w:spacing w:after="240" w:line="240" w:lineRule="auto"/>
        <w:ind w:left="540" w:hanging="540"/>
        <w:rPr>
          <w:szCs w:val="24"/>
          <w:lang w:val="fr-CA"/>
        </w:rPr>
      </w:pPr>
      <w:r w:rsidRPr="00D734D2">
        <w:rPr>
          <w:i/>
          <w:szCs w:val="24"/>
          <w:lang w:val="fr-CA"/>
        </w:rPr>
        <w:t>Loi sur la responsabilité civile de l’État et le contentieux administratif</w:t>
      </w:r>
      <w:r w:rsidR="0055308A" w:rsidRPr="00D734D2">
        <w:rPr>
          <w:szCs w:val="24"/>
          <w:lang w:val="fr-CA"/>
        </w:rPr>
        <w:t xml:space="preserve">, L.R.C. </w:t>
      </w:r>
      <w:r w:rsidR="00545790" w:rsidRPr="00D734D2">
        <w:rPr>
          <w:szCs w:val="24"/>
          <w:lang w:val="fr-CA"/>
        </w:rPr>
        <w:t>1985, c. </w:t>
      </w:r>
      <w:r w:rsidR="00156A49">
        <w:rPr>
          <w:szCs w:val="24"/>
          <w:lang w:val="fr-CA"/>
        </w:rPr>
        <w:t>C-</w:t>
      </w:r>
      <w:r w:rsidRPr="00D734D2">
        <w:rPr>
          <w:szCs w:val="24"/>
          <w:lang w:val="fr-CA"/>
        </w:rPr>
        <w:t>50</w:t>
      </w:r>
      <w:r w:rsidR="0055308A" w:rsidRPr="00D734D2">
        <w:rPr>
          <w:szCs w:val="24"/>
          <w:lang w:val="fr-CA"/>
        </w:rPr>
        <w:t xml:space="preserve">, </w:t>
      </w:r>
      <w:r w:rsidR="0065746B" w:rsidRPr="00D734D2">
        <w:rPr>
          <w:szCs w:val="24"/>
          <w:lang w:val="fr-CA"/>
        </w:rPr>
        <w:t>partie </w:t>
      </w:r>
      <w:r w:rsidR="00033412" w:rsidRPr="00D734D2">
        <w:rPr>
          <w:szCs w:val="24"/>
          <w:lang w:val="fr-CA"/>
        </w:rPr>
        <w:t xml:space="preserve">II, </w:t>
      </w:r>
      <w:r w:rsidR="0065746B" w:rsidRPr="00D734D2">
        <w:rPr>
          <w:szCs w:val="24"/>
          <w:lang w:val="fr-CA"/>
        </w:rPr>
        <w:t>art. </w:t>
      </w:r>
      <w:r w:rsidR="00F838DE" w:rsidRPr="00D734D2">
        <w:rPr>
          <w:szCs w:val="24"/>
          <w:lang w:val="fr-CA"/>
        </w:rPr>
        <w:t>23, 24, 25, 26,</w:t>
      </w:r>
      <w:r w:rsidR="003F1A8D" w:rsidRPr="00D734D2">
        <w:rPr>
          <w:szCs w:val="24"/>
          <w:lang w:val="fr-CA"/>
        </w:rPr>
        <w:t xml:space="preserve"> 27, 34. </w:t>
      </w:r>
    </w:p>
    <w:p w:rsidR="00D9035C" w:rsidRPr="00D734D2" w:rsidRDefault="00D9035C" w:rsidP="00545790">
      <w:pPr>
        <w:pStyle w:val="SCCNormalDoubleSpacing"/>
        <w:spacing w:after="240" w:line="240" w:lineRule="auto"/>
        <w:ind w:left="540" w:hanging="540"/>
        <w:rPr>
          <w:szCs w:val="24"/>
          <w:lang w:val="fr-CA"/>
        </w:rPr>
      </w:pPr>
      <w:r w:rsidRPr="00D734D2">
        <w:rPr>
          <w:i/>
          <w:szCs w:val="24"/>
          <w:lang w:val="fr-CA"/>
        </w:rPr>
        <w:t>Loi sur la responsabilité de la Couronne</w:t>
      </w:r>
      <w:r w:rsidRPr="00D734D2">
        <w:rPr>
          <w:szCs w:val="24"/>
          <w:lang w:val="fr-CA"/>
        </w:rPr>
        <w:t>, S.C. 1952</w:t>
      </w:r>
      <w:r w:rsidR="0065746B" w:rsidRPr="00D734D2">
        <w:rPr>
          <w:szCs w:val="24"/>
          <w:lang w:val="fr-CA"/>
        </w:rPr>
        <w:noBreakHyphen/>
      </w:r>
      <w:r w:rsidRPr="00D734D2">
        <w:rPr>
          <w:szCs w:val="24"/>
          <w:lang w:val="fr-CA"/>
        </w:rPr>
        <w:t>53, c.</w:t>
      </w:r>
      <w:r w:rsidR="00545790" w:rsidRPr="00D734D2">
        <w:rPr>
          <w:szCs w:val="24"/>
          <w:lang w:val="fr-CA"/>
        </w:rPr>
        <w:t> </w:t>
      </w:r>
      <w:r w:rsidRPr="00D734D2">
        <w:rPr>
          <w:szCs w:val="24"/>
          <w:lang w:val="fr-CA"/>
        </w:rPr>
        <w:t>30.</w:t>
      </w:r>
    </w:p>
    <w:p w:rsidR="00285846" w:rsidRPr="00D734D2" w:rsidRDefault="00285846" w:rsidP="00545790">
      <w:pPr>
        <w:pStyle w:val="SCCNormalDoubleSpacing"/>
        <w:spacing w:after="240" w:line="240" w:lineRule="auto"/>
        <w:ind w:left="540" w:hanging="540"/>
        <w:rPr>
          <w:szCs w:val="24"/>
          <w:lang w:val="fr-CA"/>
        </w:rPr>
      </w:pPr>
      <w:r w:rsidRPr="00D734D2">
        <w:rPr>
          <w:i/>
          <w:szCs w:val="24"/>
          <w:lang w:val="fr-CA"/>
        </w:rPr>
        <w:lastRenderedPageBreak/>
        <w:t>Loi sur la responsabilité de la Couronne</w:t>
      </w:r>
      <w:r w:rsidRPr="00D734D2">
        <w:rPr>
          <w:szCs w:val="24"/>
          <w:lang w:val="fr-CA"/>
        </w:rPr>
        <w:t>, S.R.C. 1970, c.</w:t>
      </w:r>
      <w:r w:rsidR="00545790" w:rsidRPr="00D734D2">
        <w:rPr>
          <w:szCs w:val="24"/>
          <w:lang w:val="fr-CA"/>
        </w:rPr>
        <w:t> </w:t>
      </w:r>
      <w:r w:rsidRPr="00D734D2">
        <w:rPr>
          <w:szCs w:val="24"/>
          <w:lang w:val="fr-CA"/>
        </w:rPr>
        <w:t>C</w:t>
      </w:r>
      <w:r w:rsidR="0065746B" w:rsidRPr="00D734D2">
        <w:rPr>
          <w:szCs w:val="24"/>
          <w:lang w:val="fr-CA"/>
        </w:rPr>
        <w:noBreakHyphen/>
      </w:r>
      <w:r w:rsidRPr="00D734D2">
        <w:rPr>
          <w:szCs w:val="24"/>
          <w:lang w:val="fr-CA"/>
        </w:rPr>
        <w:t xml:space="preserve">38, </w:t>
      </w:r>
      <w:r w:rsidR="0065746B" w:rsidRPr="00D734D2">
        <w:rPr>
          <w:szCs w:val="24"/>
          <w:lang w:val="fr-CA"/>
        </w:rPr>
        <w:t>art. </w:t>
      </w:r>
      <w:r w:rsidRPr="00D734D2">
        <w:rPr>
          <w:szCs w:val="24"/>
          <w:lang w:val="fr-CA"/>
        </w:rPr>
        <w:t>14.</w:t>
      </w:r>
    </w:p>
    <w:p w:rsidR="00EA5CA8" w:rsidRPr="00D734D2" w:rsidRDefault="004871CB" w:rsidP="00545790">
      <w:pPr>
        <w:pStyle w:val="SCCNormalDoubleSpacing"/>
        <w:spacing w:after="240" w:line="240" w:lineRule="auto"/>
        <w:ind w:left="540" w:hanging="540"/>
        <w:rPr>
          <w:lang w:val="fr-CA"/>
        </w:rPr>
      </w:pPr>
      <w:r w:rsidRPr="00D734D2">
        <w:rPr>
          <w:i/>
          <w:lang w:val="fr-CA"/>
        </w:rPr>
        <w:t>Loi sur les Cours fédérales</w:t>
      </w:r>
      <w:r w:rsidRPr="00D734D2">
        <w:rPr>
          <w:lang w:val="fr-CA"/>
        </w:rPr>
        <w:t xml:space="preserve">, </w:t>
      </w:r>
      <w:r w:rsidR="00545790" w:rsidRPr="00D734D2">
        <w:rPr>
          <w:lang w:val="fr-CA"/>
        </w:rPr>
        <w:t>L.R.C. 1985, c. </w:t>
      </w:r>
      <w:r w:rsidRPr="00D734D2">
        <w:rPr>
          <w:lang w:val="fr-CA"/>
        </w:rPr>
        <w:t>F</w:t>
      </w:r>
      <w:r w:rsidR="0065746B" w:rsidRPr="00D734D2">
        <w:rPr>
          <w:lang w:val="fr-CA"/>
        </w:rPr>
        <w:noBreakHyphen/>
      </w:r>
      <w:r w:rsidRPr="00D734D2">
        <w:rPr>
          <w:lang w:val="fr-CA"/>
        </w:rPr>
        <w:t>7.</w:t>
      </w:r>
    </w:p>
    <w:p w:rsidR="00EA5CA8" w:rsidRPr="00D734D2" w:rsidRDefault="00EA5CA8" w:rsidP="00545790">
      <w:pPr>
        <w:pStyle w:val="SCCNormalDoubleSpacing"/>
        <w:spacing w:after="720" w:line="240" w:lineRule="auto"/>
        <w:ind w:left="547" w:hanging="547"/>
        <w:rPr>
          <w:szCs w:val="24"/>
          <w:lang w:val="fr-CA"/>
        </w:rPr>
      </w:pPr>
      <w:r w:rsidRPr="00D734D2">
        <w:rPr>
          <w:i/>
          <w:szCs w:val="24"/>
          <w:lang w:val="fr-CA"/>
        </w:rPr>
        <w:t>Règlement sur la responsabilité civile de l’État et le contentieux administratif (tribunaux provinciaux)</w:t>
      </w:r>
      <w:r w:rsidRPr="00D734D2">
        <w:rPr>
          <w:szCs w:val="24"/>
          <w:lang w:val="fr-CA"/>
        </w:rPr>
        <w:t>, DORS/91</w:t>
      </w:r>
      <w:r w:rsidR="0065746B" w:rsidRPr="00D734D2">
        <w:rPr>
          <w:szCs w:val="24"/>
          <w:lang w:val="fr-CA"/>
        </w:rPr>
        <w:noBreakHyphen/>
      </w:r>
      <w:r w:rsidRPr="00D734D2">
        <w:rPr>
          <w:szCs w:val="24"/>
          <w:lang w:val="fr-CA"/>
        </w:rPr>
        <w:t xml:space="preserve">604, </w:t>
      </w:r>
      <w:r w:rsidR="0065746B" w:rsidRPr="00D734D2">
        <w:rPr>
          <w:szCs w:val="24"/>
          <w:lang w:val="fr-CA"/>
        </w:rPr>
        <w:t>art. </w:t>
      </w:r>
      <w:r w:rsidRPr="00D734D2">
        <w:rPr>
          <w:szCs w:val="24"/>
          <w:lang w:val="fr-CA"/>
        </w:rPr>
        <w:t xml:space="preserve">7, 8. </w:t>
      </w:r>
    </w:p>
    <w:p w:rsidR="004D7D95" w:rsidRPr="00D734D2" w:rsidRDefault="004D7D95" w:rsidP="0065746B">
      <w:pPr>
        <w:pStyle w:val="SCCNormalDoubleSpacing"/>
        <w:keepNext/>
        <w:spacing w:after="720" w:line="240" w:lineRule="auto"/>
        <w:rPr>
          <w:b/>
          <w:lang w:val="fr-CA"/>
        </w:rPr>
      </w:pPr>
      <w:r w:rsidRPr="00D734D2">
        <w:rPr>
          <w:b/>
          <w:lang w:val="fr-CA"/>
        </w:rPr>
        <w:t>Doctrine et autres documents cités</w:t>
      </w:r>
    </w:p>
    <w:p w:rsidR="000E69CE" w:rsidRDefault="000E69CE" w:rsidP="0069559A">
      <w:pPr>
        <w:pStyle w:val="SCCNormalDoubleSpacing"/>
        <w:spacing w:after="240" w:line="240" w:lineRule="auto"/>
        <w:ind w:left="547" w:hanging="547"/>
        <w:rPr>
          <w:lang w:val="fr-FR"/>
        </w:rPr>
      </w:pPr>
      <w:r w:rsidRPr="00D734D2">
        <w:rPr>
          <w:lang w:val="fr-FR"/>
        </w:rPr>
        <w:t xml:space="preserve">Brun, Henri, Guy Tremblay et Eugénie Brouillet. </w:t>
      </w:r>
      <w:r w:rsidRPr="00D734D2">
        <w:rPr>
          <w:i/>
          <w:iCs/>
          <w:lang w:val="fr-FR"/>
        </w:rPr>
        <w:t>Droit constitutionnel</w:t>
      </w:r>
      <w:r w:rsidRPr="00D734D2">
        <w:rPr>
          <w:lang w:val="fr-FR"/>
        </w:rPr>
        <w:t>, 6</w:t>
      </w:r>
      <w:r w:rsidRPr="00D734D2">
        <w:rPr>
          <w:vertAlign w:val="superscript"/>
          <w:lang w:val="fr-FR"/>
        </w:rPr>
        <w:t>e</w:t>
      </w:r>
      <w:r w:rsidR="0065746B" w:rsidRPr="00D734D2">
        <w:rPr>
          <w:lang w:val="fr-FR"/>
        </w:rPr>
        <w:t> </w:t>
      </w:r>
      <w:r w:rsidRPr="00D734D2">
        <w:rPr>
          <w:lang w:val="fr-FR"/>
        </w:rPr>
        <w:t xml:space="preserve">éd., </w:t>
      </w:r>
      <w:proofErr w:type="spellStart"/>
      <w:r w:rsidRPr="00D734D2">
        <w:rPr>
          <w:lang w:val="fr-FR"/>
        </w:rPr>
        <w:t>Cowansville</w:t>
      </w:r>
      <w:proofErr w:type="spellEnd"/>
      <w:r w:rsidRPr="00D734D2">
        <w:rPr>
          <w:lang w:val="fr-FR"/>
        </w:rPr>
        <w:t xml:space="preserve"> (</w:t>
      </w:r>
      <w:proofErr w:type="spellStart"/>
      <w:r w:rsidRPr="00D734D2">
        <w:rPr>
          <w:lang w:val="fr-FR"/>
        </w:rPr>
        <w:t>Qc</w:t>
      </w:r>
      <w:proofErr w:type="spellEnd"/>
      <w:r w:rsidRPr="00D734D2">
        <w:rPr>
          <w:lang w:val="fr-FR"/>
        </w:rPr>
        <w:t>), Yvon Blais, 2014.</w:t>
      </w:r>
    </w:p>
    <w:p w:rsidR="00EB737D" w:rsidRDefault="00EB737D" w:rsidP="0069559A">
      <w:pPr>
        <w:pStyle w:val="SCCNormalDoubleSpacing"/>
        <w:spacing w:after="240" w:line="240" w:lineRule="auto"/>
        <w:ind w:left="547" w:hanging="547"/>
        <w:rPr>
          <w:lang w:val="fr-CA"/>
        </w:rPr>
      </w:pPr>
      <w:r w:rsidRPr="00EB737D">
        <w:rPr>
          <w:lang w:val="fr-CA"/>
        </w:rPr>
        <w:t xml:space="preserve">Canada. Chambre des communes. </w:t>
      </w:r>
      <w:r w:rsidRPr="00EB737D">
        <w:rPr>
          <w:i/>
          <w:lang w:val="fr-CA"/>
        </w:rPr>
        <w:t>Débats de la Chambre des communes</w:t>
      </w:r>
      <w:r>
        <w:rPr>
          <w:lang w:val="fr-CA"/>
        </w:rPr>
        <w:t>, vol. IV</w:t>
      </w:r>
      <w:r w:rsidRPr="00EB737D">
        <w:rPr>
          <w:lang w:val="fr-CA"/>
        </w:rPr>
        <w:t xml:space="preserve">, </w:t>
      </w:r>
      <w:r>
        <w:rPr>
          <w:lang w:val="fr-CA"/>
        </w:rPr>
        <w:t>2</w:t>
      </w:r>
      <w:r w:rsidRPr="007A7D35">
        <w:rPr>
          <w:vertAlign w:val="superscript"/>
          <w:lang w:val="fr-CA"/>
        </w:rPr>
        <w:t>e</w:t>
      </w:r>
      <w:r>
        <w:rPr>
          <w:lang w:val="fr-CA"/>
        </w:rPr>
        <w:t xml:space="preserve"> </w:t>
      </w:r>
      <w:proofErr w:type="spellStart"/>
      <w:proofErr w:type="gramStart"/>
      <w:r>
        <w:rPr>
          <w:lang w:val="fr-CA"/>
        </w:rPr>
        <w:t>sess</w:t>
      </w:r>
      <w:proofErr w:type="spellEnd"/>
      <w:r>
        <w:rPr>
          <w:lang w:val="fr-CA"/>
        </w:rPr>
        <w:t>.,</w:t>
      </w:r>
      <w:proofErr w:type="gramEnd"/>
      <w:r>
        <w:rPr>
          <w:lang w:val="fr-CA"/>
        </w:rPr>
        <w:t xml:space="preserve"> 34</w:t>
      </w:r>
      <w:r w:rsidRPr="007A7D35">
        <w:rPr>
          <w:vertAlign w:val="superscript"/>
          <w:lang w:val="fr-CA"/>
        </w:rPr>
        <w:t xml:space="preserve">e </w:t>
      </w:r>
      <w:proofErr w:type="spellStart"/>
      <w:r w:rsidRPr="00EB737D">
        <w:rPr>
          <w:lang w:val="fr-CA"/>
        </w:rPr>
        <w:t>lég</w:t>
      </w:r>
      <w:proofErr w:type="spellEnd"/>
      <w:r w:rsidRPr="00EB737D">
        <w:rPr>
          <w:lang w:val="fr-CA"/>
        </w:rPr>
        <w:t xml:space="preserve">., </w:t>
      </w:r>
      <w:r>
        <w:rPr>
          <w:lang w:val="fr-CA"/>
        </w:rPr>
        <w:t>1</w:t>
      </w:r>
      <w:r w:rsidRPr="00EB737D">
        <w:rPr>
          <w:vertAlign w:val="superscript"/>
          <w:lang w:val="fr-CA"/>
        </w:rPr>
        <w:t>er</w:t>
      </w:r>
      <w:r>
        <w:rPr>
          <w:lang w:val="fr-CA"/>
        </w:rPr>
        <w:t xml:space="preserve"> novembre 1989</w:t>
      </w:r>
      <w:r w:rsidRPr="00EB737D">
        <w:rPr>
          <w:lang w:val="fr-CA"/>
        </w:rPr>
        <w:t xml:space="preserve">, p. </w:t>
      </w:r>
      <w:r>
        <w:rPr>
          <w:lang w:val="fr-CA"/>
        </w:rPr>
        <w:t>5415.</w:t>
      </w:r>
    </w:p>
    <w:p w:rsidR="001C5358" w:rsidRPr="00D734D2" w:rsidRDefault="001C5358" w:rsidP="0069559A">
      <w:pPr>
        <w:pStyle w:val="SCCNormalDoubleSpacing"/>
        <w:spacing w:after="240" w:line="240" w:lineRule="auto"/>
        <w:ind w:left="547" w:hanging="547"/>
        <w:rPr>
          <w:bCs/>
        </w:rPr>
      </w:pPr>
      <w:r w:rsidRPr="00D734D2">
        <w:rPr>
          <w:bCs/>
          <w:lang w:val="fr-FR"/>
        </w:rPr>
        <w:t>Côté, Pierre</w:t>
      </w:r>
      <w:r w:rsidR="0065746B" w:rsidRPr="00D734D2">
        <w:rPr>
          <w:bCs/>
          <w:lang w:val="fr-FR"/>
        </w:rPr>
        <w:noBreakHyphen/>
      </w:r>
      <w:r w:rsidRPr="00D734D2">
        <w:rPr>
          <w:bCs/>
          <w:lang w:val="fr-FR"/>
        </w:rPr>
        <w:t xml:space="preserve">André, avec la collaboration de Stéphane </w:t>
      </w:r>
      <w:proofErr w:type="spellStart"/>
      <w:r w:rsidRPr="00D734D2">
        <w:rPr>
          <w:bCs/>
          <w:lang w:val="fr-FR"/>
        </w:rPr>
        <w:t>Beaulac</w:t>
      </w:r>
      <w:proofErr w:type="spellEnd"/>
      <w:r w:rsidRPr="00D734D2">
        <w:rPr>
          <w:bCs/>
          <w:lang w:val="fr-FR"/>
        </w:rPr>
        <w:t xml:space="preserve"> et Mathieu </w:t>
      </w:r>
      <w:proofErr w:type="spellStart"/>
      <w:r w:rsidRPr="00D734D2">
        <w:rPr>
          <w:bCs/>
          <w:lang w:val="fr-FR"/>
        </w:rPr>
        <w:t>Devinat</w:t>
      </w:r>
      <w:proofErr w:type="spellEnd"/>
      <w:r w:rsidRPr="00D734D2">
        <w:rPr>
          <w:bCs/>
          <w:lang w:val="fr-FR"/>
        </w:rPr>
        <w:t xml:space="preserve">. </w:t>
      </w:r>
      <w:proofErr w:type="spellStart"/>
      <w:r w:rsidRPr="00EE2A44">
        <w:rPr>
          <w:bCs/>
          <w:i/>
          <w:iCs/>
          <w:lang w:val="en-US"/>
        </w:rPr>
        <w:t>Interprétation</w:t>
      </w:r>
      <w:proofErr w:type="spellEnd"/>
      <w:r w:rsidRPr="00EE2A44">
        <w:rPr>
          <w:bCs/>
          <w:i/>
          <w:iCs/>
          <w:lang w:val="en-US"/>
        </w:rPr>
        <w:t xml:space="preserve"> des </w:t>
      </w:r>
      <w:proofErr w:type="spellStart"/>
      <w:r w:rsidRPr="00EE2A44">
        <w:rPr>
          <w:bCs/>
          <w:i/>
          <w:iCs/>
          <w:lang w:val="en-US"/>
        </w:rPr>
        <w:t>lois</w:t>
      </w:r>
      <w:proofErr w:type="spellEnd"/>
      <w:r w:rsidRPr="00EE2A44">
        <w:rPr>
          <w:bCs/>
          <w:lang w:val="en-US"/>
        </w:rPr>
        <w:t>, 4</w:t>
      </w:r>
      <w:r w:rsidRPr="00EE2A44">
        <w:rPr>
          <w:bCs/>
          <w:vertAlign w:val="superscript"/>
          <w:lang w:val="en-US"/>
        </w:rPr>
        <w:t>e</w:t>
      </w:r>
      <w:r w:rsidR="0065746B" w:rsidRPr="00EE2A44">
        <w:rPr>
          <w:bCs/>
          <w:lang w:val="en-US"/>
        </w:rPr>
        <w:t> </w:t>
      </w:r>
      <w:proofErr w:type="spellStart"/>
      <w:proofErr w:type="gramStart"/>
      <w:r w:rsidRPr="00EE2A44">
        <w:rPr>
          <w:bCs/>
          <w:lang w:val="en-US"/>
        </w:rPr>
        <w:t>éd</w:t>
      </w:r>
      <w:proofErr w:type="spellEnd"/>
      <w:r w:rsidRPr="00EE2A44">
        <w:rPr>
          <w:bCs/>
          <w:lang w:val="en-US"/>
        </w:rPr>
        <w:t>.,</w:t>
      </w:r>
      <w:proofErr w:type="gramEnd"/>
      <w:r w:rsidRPr="00EE2A44">
        <w:rPr>
          <w:bCs/>
          <w:lang w:val="en-US"/>
        </w:rPr>
        <w:t xml:space="preserve"> </w:t>
      </w:r>
      <w:proofErr w:type="spellStart"/>
      <w:r w:rsidRPr="00EE2A44">
        <w:rPr>
          <w:bCs/>
          <w:lang w:val="en-US"/>
        </w:rPr>
        <w:t>Montr</w:t>
      </w:r>
      <w:r w:rsidRPr="00D734D2">
        <w:rPr>
          <w:bCs/>
        </w:rPr>
        <w:t>éal</w:t>
      </w:r>
      <w:proofErr w:type="spellEnd"/>
      <w:r w:rsidRPr="00D734D2">
        <w:rPr>
          <w:bCs/>
        </w:rPr>
        <w:t xml:space="preserve">, </w:t>
      </w:r>
      <w:proofErr w:type="spellStart"/>
      <w:r w:rsidRPr="00D734D2">
        <w:rPr>
          <w:bCs/>
        </w:rPr>
        <w:t>Thémis</w:t>
      </w:r>
      <w:proofErr w:type="spellEnd"/>
      <w:r w:rsidRPr="00D734D2">
        <w:rPr>
          <w:bCs/>
        </w:rPr>
        <w:t>, 2009.</w:t>
      </w:r>
    </w:p>
    <w:p w:rsidR="00701BE5" w:rsidRPr="00D734D2" w:rsidRDefault="0065746B" w:rsidP="0069559A">
      <w:pPr>
        <w:pStyle w:val="SCCNormalDoubleSpacing"/>
        <w:spacing w:after="240" w:line="240" w:lineRule="auto"/>
        <w:ind w:left="547" w:hanging="547"/>
        <w:rPr>
          <w:bCs/>
        </w:rPr>
      </w:pPr>
      <w:proofErr w:type="spellStart"/>
      <w:r w:rsidRPr="00D734D2">
        <w:t>Driedger</w:t>
      </w:r>
      <w:proofErr w:type="spellEnd"/>
      <w:r w:rsidRPr="00D734D2">
        <w:t>, Elmer </w:t>
      </w:r>
      <w:r w:rsidR="00701BE5" w:rsidRPr="00D734D2">
        <w:t xml:space="preserve">A. </w:t>
      </w:r>
      <w:r w:rsidR="00701BE5" w:rsidRPr="00D734D2">
        <w:rPr>
          <w:i/>
          <w:iCs/>
        </w:rPr>
        <w:t>Construction of Statutes</w:t>
      </w:r>
      <w:r w:rsidR="00701BE5" w:rsidRPr="00D734D2">
        <w:t>, 2nd ed., Toronto, Butterworths, 1983.</w:t>
      </w:r>
    </w:p>
    <w:p w:rsidR="00355431" w:rsidRPr="00D734D2" w:rsidRDefault="0065746B" w:rsidP="0069559A">
      <w:pPr>
        <w:pStyle w:val="SCCNormalDoubleSpacing"/>
        <w:spacing w:after="240" w:line="240" w:lineRule="auto"/>
        <w:ind w:left="547" w:hanging="547"/>
        <w:rPr>
          <w:szCs w:val="24"/>
        </w:rPr>
      </w:pPr>
      <w:r w:rsidRPr="00D734D2">
        <w:rPr>
          <w:szCs w:val="24"/>
        </w:rPr>
        <w:t>Hogg, Peter W., Patrick J. Monahan and Wade </w:t>
      </w:r>
      <w:r w:rsidR="00355431" w:rsidRPr="00D734D2">
        <w:rPr>
          <w:szCs w:val="24"/>
        </w:rPr>
        <w:t xml:space="preserve">K. Wright. </w:t>
      </w:r>
      <w:r w:rsidR="00355431" w:rsidRPr="00D734D2">
        <w:rPr>
          <w:i/>
          <w:iCs/>
          <w:szCs w:val="24"/>
        </w:rPr>
        <w:t>Liability of the Crown</w:t>
      </w:r>
      <w:r w:rsidRPr="00D734D2">
        <w:rPr>
          <w:szCs w:val="24"/>
        </w:rPr>
        <w:t>, 4th </w:t>
      </w:r>
      <w:r w:rsidR="00355431" w:rsidRPr="00D734D2">
        <w:rPr>
          <w:szCs w:val="24"/>
        </w:rPr>
        <w:t>ed., Toronto, Carswell, 2011.</w:t>
      </w:r>
    </w:p>
    <w:p w:rsidR="00085FD1" w:rsidRPr="00D734D2" w:rsidRDefault="001B3744" w:rsidP="0069559A">
      <w:pPr>
        <w:pStyle w:val="SCCNormalDoubleSpacing"/>
        <w:spacing w:after="240" w:line="240" w:lineRule="auto"/>
        <w:ind w:left="547" w:hanging="547"/>
      </w:pPr>
      <w:proofErr w:type="spellStart"/>
      <w:r w:rsidRPr="00D734D2">
        <w:t>Horsman</w:t>
      </w:r>
      <w:proofErr w:type="spellEnd"/>
      <w:r w:rsidRPr="00D734D2">
        <w:t>, Karen</w:t>
      </w:r>
      <w:r w:rsidR="008E7449" w:rsidRPr="00D734D2">
        <w:t>, and Gareth Morley, eds</w:t>
      </w:r>
      <w:r w:rsidR="00CE4D13" w:rsidRPr="00D734D2">
        <w:t>.</w:t>
      </w:r>
      <w:r w:rsidR="00AD3299" w:rsidRPr="00D734D2">
        <w:t xml:space="preserve"> </w:t>
      </w:r>
      <w:r w:rsidR="006A01F4" w:rsidRPr="00D734D2">
        <w:rPr>
          <w:i/>
          <w:iCs/>
        </w:rPr>
        <w:t xml:space="preserve">Government </w:t>
      </w:r>
      <w:proofErr w:type="gramStart"/>
      <w:r w:rsidR="006A01F4" w:rsidRPr="00D734D2">
        <w:rPr>
          <w:i/>
          <w:iCs/>
        </w:rPr>
        <w:t>Liability</w:t>
      </w:r>
      <w:r w:rsidR="0065746B" w:rsidRPr="00D734D2">
        <w:rPr>
          <w:i/>
          <w:iCs/>
        </w:rPr>
        <w:t> :</w:t>
      </w:r>
      <w:proofErr w:type="gramEnd"/>
      <w:r w:rsidR="006A01F4" w:rsidRPr="00D734D2">
        <w:rPr>
          <w:i/>
          <w:iCs/>
        </w:rPr>
        <w:t xml:space="preserve"> Law and Practice</w:t>
      </w:r>
      <w:r w:rsidR="008E7449" w:rsidRPr="00D734D2">
        <w:t>,</w:t>
      </w:r>
      <w:r w:rsidR="00CE4D13" w:rsidRPr="00D734D2">
        <w:t xml:space="preserve"> </w:t>
      </w:r>
      <w:r w:rsidR="00085FD1" w:rsidRPr="00D734D2">
        <w:t>Aurora (Ont</w:t>
      </w:r>
      <w:r w:rsidR="00A62E70" w:rsidRPr="00D734D2">
        <w:t>.</w:t>
      </w:r>
      <w:r w:rsidR="00085FD1" w:rsidRPr="00D734D2">
        <w:t>),</w:t>
      </w:r>
      <w:r w:rsidR="006A01F4" w:rsidRPr="00D734D2">
        <w:t xml:space="preserve"> Cartwright Law Group, </w:t>
      </w:r>
      <w:r w:rsidR="00085FD1" w:rsidRPr="00D734D2">
        <w:t>2007 (loose</w:t>
      </w:r>
      <w:r w:rsidR="0065746B" w:rsidRPr="00D734D2">
        <w:noBreakHyphen/>
      </w:r>
      <w:r w:rsidR="00085FD1" w:rsidRPr="00D734D2">
        <w:t>leaf updated May 2017, release</w:t>
      </w:r>
      <w:r w:rsidR="0065746B" w:rsidRPr="00D734D2">
        <w:t> </w:t>
      </w:r>
      <w:r w:rsidR="00085FD1" w:rsidRPr="00D734D2">
        <w:t>25).</w:t>
      </w:r>
    </w:p>
    <w:p w:rsidR="009825CE" w:rsidRPr="00D734D2" w:rsidRDefault="009825CE" w:rsidP="0069559A">
      <w:pPr>
        <w:pStyle w:val="SCCNormalDoubleSpacing"/>
        <w:spacing w:after="240" w:line="240" w:lineRule="auto"/>
        <w:ind w:left="547" w:hanging="547"/>
        <w:rPr>
          <w:lang w:val="fr-CA"/>
        </w:rPr>
      </w:pPr>
      <w:r w:rsidRPr="00D734D2">
        <w:rPr>
          <w:lang w:val="fr-CA"/>
        </w:rPr>
        <w:t>Pépin, Gilles</w:t>
      </w:r>
      <w:r w:rsidR="00A50D7A" w:rsidRPr="00D734D2">
        <w:rPr>
          <w:lang w:val="fr-CA"/>
        </w:rPr>
        <w:t>,</w:t>
      </w:r>
      <w:r w:rsidRPr="00D734D2">
        <w:rPr>
          <w:lang w:val="fr-CA"/>
        </w:rPr>
        <w:t xml:space="preserve"> et Yves Ouellette. </w:t>
      </w:r>
      <w:r w:rsidRPr="00D734D2">
        <w:rPr>
          <w:i/>
          <w:lang w:val="fr-CA"/>
        </w:rPr>
        <w:t>Principes de contentieux administratif</w:t>
      </w:r>
      <w:r w:rsidRPr="00D734D2">
        <w:rPr>
          <w:lang w:val="fr-CA"/>
        </w:rPr>
        <w:t>, 2</w:t>
      </w:r>
      <w:r w:rsidRPr="00D734D2">
        <w:rPr>
          <w:vertAlign w:val="superscript"/>
          <w:lang w:val="fr-CA"/>
        </w:rPr>
        <w:t>e</w:t>
      </w:r>
      <w:r w:rsidR="0065746B" w:rsidRPr="00D734D2">
        <w:rPr>
          <w:lang w:val="fr-CA"/>
        </w:rPr>
        <w:t> </w:t>
      </w:r>
      <w:r w:rsidRPr="00D734D2">
        <w:rPr>
          <w:lang w:val="fr-CA"/>
        </w:rPr>
        <w:t xml:space="preserve">éd., </w:t>
      </w:r>
      <w:proofErr w:type="spellStart"/>
      <w:r w:rsidRPr="00D734D2">
        <w:rPr>
          <w:lang w:val="fr-CA"/>
        </w:rPr>
        <w:t>Cowansville</w:t>
      </w:r>
      <w:proofErr w:type="spellEnd"/>
      <w:r w:rsidRPr="00D734D2">
        <w:rPr>
          <w:lang w:val="fr-CA"/>
        </w:rPr>
        <w:t xml:space="preserve"> (</w:t>
      </w:r>
      <w:proofErr w:type="spellStart"/>
      <w:r w:rsidRPr="00D734D2">
        <w:rPr>
          <w:lang w:val="fr-CA"/>
        </w:rPr>
        <w:t>Qc</w:t>
      </w:r>
      <w:proofErr w:type="spellEnd"/>
      <w:r w:rsidRPr="00D734D2">
        <w:rPr>
          <w:lang w:val="fr-CA"/>
        </w:rPr>
        <w:t>)</w:t>
      </w:r>
      <w:r w:rsidR="006E3B97" w:rsidRPr="00D734D2">
        <w:rPr>
          <w:lang w:val="fr-CA"/>
        </w:rPr>
        <w:t>, Yvon</w:t>
      </w:r>
      <w:r w:rsidRPr="00D734D2">
        <w:rPr>
          <w:lang w:val="fr-CA"/>
        </w:rPr>
        <w:t xml:space="preserve"> Blais, 1982.</w:t>
      </w:r>
    </w:p>
    <w:p w:rsidR="001C5358" w:rsidRPr="00D734D2" w:rsidRDefault="001C5358" w:rsidP="0069559A">
      <w:pPr>
        <w:pStyle w:val="SCCNormalDoubleSpacing"/>
        <w:spacing w:after="720" w:line="240" w:lineRule="auto"/>
        <w:ind w:left="547" w:hanging="547"/>
        <w:rPr>
          <w:szCs w:val="24"/>
        </w:rPr>
      </w:pPr>
      <w:r w:rsidRPr="00D734D2">
        <w:rPr>
          <w:szCs w:val="24"/>
        </w:rPr>
        <w:t xml:space="preserve">Sullivan, Ruth. </w:t>
      </w:r>
      <w:r w:rsidRPr="00D734D2">
        <w:rPr>
          <w:i/>
          <w:iCs/>
          <w:szCs w:val="24"/>
        </w:rPr>
        <w:t>Sullivan on the Construction of Statutes</w:t>
      </w:r>
      <w:r w:rsidRPr="00D734D2">
        <w:rPr>
          <w:szCs w:val="24"/>
        </w:rPr>
        <w:t>, 6th</w:t>
      </w:r>
      <w:r w:rsidR="0065746B" w:rsidRPr="00D734D2">
        <w:rPr>
          <w:szCs w:val="24"/>
        </w:rPr>
        <w:t> </w:t>
      </w:r>
      <w:r w:rsidRPr="00D734D2">
        <w:rPr>
          <w:szCs w:val="24"/>
        </w:rPr>
        <w:t>ed., Markham (Ont.), LexisNexis, 2014.</w:t>
      </w:r>
    </w:p>
    <w:p w:rsidR="004D7D95" w:rsidRPr="00D734D2" w:rsidRDefault="004D7D95" w:rsidP="0069559A">
      <w:pPr>
        <w:pStyle w:val="SCCNormalDoubleSpacing"/>
        <w:spacing w:before="480" w:after="480"/>
        <w:rPr>
          <w:lang w:val="fr-CA"/>
        </w:rPr>
      </w:pPr>
      <w:r w:rsidRPr="00D734D2">
        <w:tab/>
      </w:r>
      <w:r w:rsidRPr="00D734D2">
        <w:rPr>
          <w:lang w:val="fr-CA"/>
        </w:rPr>
        <w:t>POURVOI contre un arrêt de la Cour d</w:t>
      </w:r>
      <w:r w:rsidR="001C4EF2" w:rsidRPr="00D734D2">
        <w:rPr>
          <w:lang w:val="fr-CA"/>
        </w:rPr>
        <w:t>’</w:t>
      </w:r>
      <w:r w:rsidRPr="00D734D2">
        <w:rPr>
          <w:lang w:val="fr-CA"/>
        </w:rPr>
        <w:t xml:space="preserve">appel du Québec </w:t>
      </w:r>
      <w:r w:rsidR="008F728B" w:rsidRPr="00D734D2">
        <w:rPr>
          <w:lang w:val="fr-CA"/>
        </w:rPr>
        <w:t>(le</w:t>
      </w:r>
      <w:r w:rsidR="004867F4">
        <w:rPr>
          <w:lang w:val="fr-CA"/>
        </w:rPr>
        <w:t>s</w:t>
      </w:r>
      <w:r w:rsidR="008F728B" w:rsidRPr="00D734D2">
        <w:rPr>
          <w:lang w:val="fr-CA"/>
        </w:rPr>
        <w:t xml:space="preserve"> juge</w:t>
      </w:r>
      <w:r w:rsidR="004867F4">
        <w:rPr>
          <w:lang w:val="fr-CA"/>
        </w:rPr>
        <w:t>s</w:t>
      </w:r>
      <w:r w:rsidR="008F728B" w:rsidRPr="00D734D2">
        <w:rPr>
          <w:lang w:val="fr-CA"/>
        </w:rPr>
        <w:t xml:space="preserve"> </w:t>
      </w:r>
      <w:proofErr w:type="spellStart"/>
      <w:r w:rsidR="004867F4">
        <w:rPr>
          <w:lang w:val="fr-CA"/>
        </w:rPr>
        <w:t>Émond</w:t>
      </w:r>
      <w:proofErr w:type="spellEnd"/>
      <w:r w:rsidR="004867F4">
        <w:rPr>
          <w:lang w:val="fr-CA"/>
        </w:rPr>
        <w:t xml:space="preserve">, </w:t>
      </w:r>
      <w:r w:rsidR="008F728B" w:rsidRPr="00D734D2">
        <w:rPr>
          <w:lang w:val="fr-CA"/>
        </w:rPr>
        <w:t>Mainville et Parent), 2015 QCCA 2159, [2015] AZ</w:t>
      </w:r>
      <w:r w:rsidR="0065746B" w:rsidRPr="00D734D2">
        <w:rPr>
          <w:lang w:val="fr-CA"/>
        </w:rPr>
        <w:noBreakHyphen/>
      </w:r>
      <w:r w:rsidR="008F728B" w:rsidRPr="00D734D2">
        <w:rPr>
          <w:lang w:val="fr-CA"/>
        </w:rPr>
        <w:t>51241727, [2015] J.Q. n</w:t>
      </w:r>
      <w:r w:rsidR="008F728B" w:rsidRPr="00D734D2">
        <w:rPr>
          <w:vertAlign w:val="superscript"/>
          <w:lang w:val="fr-CA"/>
        </w:rPr>
        <w:t>o</w:t>
      </w:r>
      <w:r w:rsidR="0069559A" w:rsidRPr="00D734D2">
        <w:rPr>
          <w:lang w:val="fr-CA"/>
        </w:rPr>
        <w:t> </w:t>
      </w:r>
      <w:r w:rsidR="008F728B" w:rsidRPr="00D734D2">
        <w:rPr>
          <w:lang w:val="fr-CA"/>
        </w:rPr>
        <w:t xml:space="preserve">14822 (QL), 2015 </w:t>
      </w:r>
      <w:proofErr w:type="spellStart"/>
      <w:r w:rsidR="008F728B" w:rsidRPr="00D734D2">
        <w:rPr>
          <w:lang w:val="fr-CA"/>
        </w:rPr>
        <w:t>CarswellQue</w:t>
      </w:r>
      <w:proofErr w:type="spellEnd"/>
      <w:r w:rsidR="008F728B" w:rsidRPr="00D734D2">
        <w:rPr>
          <w:lang w:val="fr-CA"/>
        </w:rPr>
        <w:t xml:space="preserve"> 12468 </w:t>
      </w:r>
      <w:r w:rsidR="00AE40E1" w:rsidRPr="00D734D2">
        <w:rPr>
          <w:lang w:val="fr-CA"/>
        </w:rPr>
        <w:t>(WL Can.), qui a confirmé une décision du juge Godbout, 2015 QCCS 1432, [2015] AZ</w:t>
      </w:r>
      <w:r w:rsidR="0065746B" w:rsidRPr="00D734D2">
        <w:rPr>
          <w:lang w:val="fr-CA"/>
        </w:rPr>
        <w:noBreakHyphen/>
      </w:r>
      <w:r w:rsidR="00AE40E1" w:rsidRPr="00D734D2">
        <w:rPr>
          <w:lang w:val="fr-CA"/>
        </w:rPr>
        <w:t>51166343, [2015] J.Q. n</w:t>
      </w:r>
      <w:r w:rsidR="00AE40E1" w:rsidRPr="00D734D2">
        <w:rPr>
          <w:vertAlign w:val="superscript"/>
          <w:lang w:val="fr-CA"/>
        </w:rPr>
        <w:t>o</w:t>
      </w:r>
      <w:r w:rsidR="0069559A" w:rsidRPr="00D734D2">
        <w:rPr>
          <w:lang w:val="fr-CA"/>
        </w:rPr>
        <w:t> </w:t>
      </w:r>
      <w:r w:rsidR="00AE40E1" w:rsidRPr="00D734D2">
        <w:rPr>
          <w:lang w:val="fr-CA"/>
        </w:rPr>
        <w:t xml:space="preserve">2923 (QL), 2015 </w:t>
      </w:r>
      <w:proofErr w:type="spellStart"/>
      <w:r w:rsidR="00AE40E1" w:rsidRPr="00D734D2">
        <w:rPr>
          <w:lang w:val="fr-CA"/>
        </w:rPr>
        <w:t>Carswe</w:t>
      </w:r>
      <w:r w:rsidR="00A50D7A" w:rsidRPr="00D734D2">
        <w:rPr>
          <w:lang w:val="fr-CA"/>
        </w:rPr>
        <w:t>llQue</w:t>
      </w:r>
      <w:proofErr w:type="spellEnd"/>
      <w:r w:rsidR="00A50D7A" w:rsidRPr="00D734D2">
        <w:rPr>
          <w:lang w:val="fr-CA"/>
        </w:rPr>
        <w:t xml:space="preserve"> 3026 (WL Can.). Pourvoi accueilli</w:t>
      </w:r>
      <w:r w:rsidR="00AE40E1" w:rsidRPr="00D734D2">
        <w:rPr>
          <w:lang w:val="fr-CA"/>
        </w:rPr>
        <w:t xml:space="preserve">. </w:t>
      </w:r>
    </w:p>
    <w:p w:rsidR="002A0459" w:rsidRPr="00D734D2" w:rsidRDefault="00A57DAB" w:rsidP="0069559A">
      <w:pPr>
        <w:pStyle w:val="SCCNormalDoubleSpacing"/>
        <w:spacing w:before="480" w:after="480"/>
        <w:rPr>
          <w:lang w:val="fr-CA"/>
        </w:rPr>
      </w:pPr>
      <w:r w:rsidRPr="00D734D2">
        <w:rPr>
          <w:rStyle w:val="SCCCounselNameChar"/>
          <w:lang w:val="fr-CA"/>
        </w:rPr>
        <w:lastRenderedPageBreak/>
        <w:tab/>
        <w:t xml:space="preserve">Bernard </w:t>
      </w:r>
      <w:proofErr w:type="spellStart"/>
      <w:r w:rsidRPr="00D734D2">
        <w:rPr>
          <w:rStyle w:val="SCCCounselNameChar"/>
          <w:lang w:val="fr-CA"/>
        </w:rPr>
        <w:t>Letarte</w:t>
      </w:r>
      <w:proofErr w:type="spellEnd"/>
      <w:r w:rsidRPr="00D734D2">
        <w:rPr>
          <w:rStyle w:val="SCCCounselSeparatorChar"/>
          <w:lang w:val="fr-CA"/>
        </w:rPr>
        <w:t xml:space="preserve"> et </w:t>
      </w:r>
      <w:r w:rsidR="00A06733" w:rsidRPr="00D734D2">
        <w:rPr>
          <w:rStyle w:val="SCCCounselSeparatorChar"/>
          <w:i/>
          <w:lang w:val="fr-CA"/>
        </w:rPr>
        <w:t xml:space="preserve">Pierre </w:t>
      </w:r>
      <w:proofErr w:type="spellStart"/>
      <w:r w:rsidR="00A06733" w:rsidRPr="00D734D2">
        <w:rPr>
          <w:rStyle w:val="SCCCounselSeparatorChar"/>
          <w:i/>
          <w:lang w:val="fr-CA"/>
        </w:rPr>
        <w:t>Salois</w:t>
      </w:r>
      <w:proofErr w:type="spellEnd"/>
      <w:r w:rsidRPr="00D734D2">
        <w:rPr>
          <w:rStyle w:val="SCCCounselPartyRoleChar"/>
          <w:lang w:val="fr-CA"/>
        </w:rPr>
        <w:t>, pour l</w:t>
      </w:r>
      <w:r w:rsidR="001C4EF2" w:rsidRPr="00D734D2">
        <w:rPr>
          <w:rStyle w:val="SCCCounselPartyRoleChar"/>
          <w:lang w:val="fr-CA"/>
        </w:rPr>
        <w:t>’</w:t>
      </w:r>
      <w:r w:rsidRPr="00D734D2">
        <w:rPr>
          <w:rStyle w:val="SCCCounselPartyRoleChar"/>
          <w:lang w:val="fr-CA"/>
        </w:rPr>
        <w:t>appelant</w:t>
      </w:r>
      <w:r w:rsidR="00E17974" w:rsidRPr="00D734D2">
        <w:rPr>
          <w:rStyle w:val="SCCCounselPartyRoleChar"/>
          <w:lang w:val="fr-CA"/>
        </w:rPr>
        <w:t xml:space="preserve"> l</w:t>
      </w:r>
      <w:r w:rsidR="008848F3" w:rsidRPr="00D734D2">
        <w:rPr>
          <w:rStyle w:val="SCCCounselPartyRoleChar"/>
          <w:lang w:val="fr-CA"/>
        </w:rPr>
        <w:t>e</w:t>
      </w:r>
      <w:r w:rsidR="00E17974" w:rsidRPr="00D734D2">
        <w:rPr>
          <w:rStyle w:val="SCCCounselPartyRoleChar"/>
          <w:lang w:val="fr-CA"/>
        </w:rPr>
        <w:t xml:space="preserve"> p</w:t>
      </w:r>
      <w:r w:rsidR="0010312B" w:rsidRPr="00D734D2">
        <w:rPr>
          <w:rStyle w:val="SCCCounselPartyRoleChar"/>
          <w:lang w:val="fr-CA"/>
        </w:rPr>
        <w:t>rocureur général du Canada</w:t>
      </w:r>
      <w:r w:rsidRPr="00D734D2">
        <w:rPr>
          <w:rStyle w:val="SCCCounselPartyRoleChar"/>
          <w:lang w:val="fr-CA"/>
        </w:rPr>
        <w:t>.</w:t>
      </w:r>
    </w:p>
    <w:p w:rsidR="002A0459" w:rsidRPr="00D734D2" w:rsidRDefault="00A57DAB" w:rsidP="0069559A">
      <w:pPr>
        <w:pStyle w:val="SCCNormalDoubleSpacing"/>
        <w:spacing w:before="480" w:after="480"/>
        <w:rPr>
          <w:rStyle w:val="SCCCounselPartyRoleChar"/>
          <w:lang w:val="fr-CA"/>
        </w:rPr>
      </w:pPr>
      <w:r w:rsidRPr="00D734D2">
        <w:rPr>
          <w:rStyle w:val="SCCCounselNameChar"/>
          <w:lang w:val="fr-CA"/>
        </w:rPr>
        <w:tab/>
        <w:t xml:space="preserve">Louis </w:t>
      </w:r>
      <w:r w:rsidR="0065746B" w:rsidRPr="00D734D2">
        <w:rPr>
          <w:rStyle w:val="SCCCounselNameChar"/>
          <w:lang w:val="fr-CA"/>
        </w:rPr>
        <w:t>P. </w:t>
      </w:r>
      <w:r w:rsidRPr="00D734D2">
        <w:rPr>
          <w:rStyle w:val="SCCCounselNameChar"/>
          <w:lang w:val="fr-CA"/>
        </w:rPr>
        <w:t>Bélanger</w:t>
      </w:r>
      <w:r w:rsidRPr="00D734D2">
        <w:rPr>
          <w:rStyle w:val="SCCCounselPartyRoleChar"/>
          <w:lang w:val="fr-CA"/>
        </w:rPr>
        <w:t>,</w:t>
      </w:r>
      <w:r w:rsidR="0010312B" w:rsidRPr="00D734D2">
        <w:rPr>
          <w:rStyle w:val="SCCCounselPartyRoleChar"/>
          <w:lang w:val="fr-CA"/>
        </w:rPr>
        <w:t xml:space="preserve"> </w:t>
      </w:r>
      <w:r w:rsidR="0010312B" w:rsidRPr="00D734D2">
        <w:rPr>
          <w:rStyle w:val="SCCCounselPartyRoleChar"/>
          <w:i/>
          <w:lang w:val="fr-CA"/>
        </w:rPr>
        <w:t>Sidney Elbaz</w:t>
      </w:r>
      <w:r w:rsidR="0010312B" w:rsidRPr="00D734D2">
        <w:rPr>
          <w:rStyle w:val="SCCCounselPartyRoleChar"/>
          <w:lang w:val="fr-CA"/>
        </w:rPr>
        <w:t>,</w:t>
      </w:r>
      <w:r w:rsidR="0010312B" w:rsidRPr="00D734D2">
        <w:rPr>
          <w:rStyle w:val="SCCCounselPartyRoleChar"/>
          <w:i/>
          <w:lang w:val="fr-CA"/>
        </w:rPr>
        <w:t xml:space="preserve"> Sylvain Lussier</w:t>
      </w:r>
      <w:r w:rsidR="0010312B" w:rsidRPr="00D734D2">
        <w:rPr>
          <w:rStyle w:val="SCCCounselPartyRoleChar"/>
          <w:lang w:val="fr-CA"/>
        </w:rPr>
        <w:t xml:space="preserve">, </w:t>
      </w:r>
      <w:r w:rsidR="0010312B" w:rsidRPr="00D734D2">
        <w:rPr>
          <w:rStyle w:val="SCCCounselPartyRoleChar"/>
          <w:i/>
          <w:lang w:val="fr-CA"/>
        </w:rPr>
        <w:t>Frédéric Plamondon</w:t>
      </w:r>
      <w:r w:rsidR="0010312B" w:rsidRPr="00D734D2">
        <w:rPr>
          <w:rStyle w:val="SCCCounselPartyRoleChar"/>
          <w:lang w:val="fr-CA"/>
        </w:rPr>
        <w:t>,</w:t>
      </w:r>
      <w:r w:rsidR="0010312B" w:rsidRPr="00D734D2">
        <w:rPr>
          <w:rStyle w:val="SCCCounselPartyRoleChar"/>
          <w:i/>
          <w:lang w:val="fr-CA"/>
        </w:rPr>
        <w:t xml:space="preserve"> Louis</w:t>
      </w:r>
      <w:r w:rsidR="0065746B" w:rsidRPr="00D734D2">
        <w:rPr>
          <w:rStyle w:val="SCCCounselPartyRoleChar"/>
          <w:i/>
          <w:lang w:val="fr-CA"/>
        </w:rPr>
        <w:noBreakHyphen/>
      </w:r>
      <w:r w:rsidR="0010312B" w:rsidRPr="00D734D2">
        <w:rPr>
          <w:rStyle w:val="SCCCounselPartyRoleChar"/>
          <w:i/>
          <w:lang w:val="fr-CA"/>
        </w:rPr>
        <w:t>Martin O’Neill</w:t>
      </w:r>
      <w:r w:rsidR="0010312B" w:rsidRPr="00D734D2">
        <w:rPr>
          <w:rStyle w:val="SCCCounselPartyRoleChar"/>
          <w:lang w:val="fr-CA"/>
        </w:rPr>
        <w:t xml:space="preserve">, </w:t>
      </w:r>
      <w:r w:rsidR="0010312B" w:rsidRPr="00D734D2">
        <w:rPr>
          <w:rStyle w:val="SCCCounselPartyRoleChar"/>
          <w:i/>
          <w:lang w:val="fr-CA"/>
        </w:rPr>
        <w:t>Pierre</w:t>
      </w:r>
      <w:r w:rsidR="0065746B" w:rsidRPr="00D734D2">
        <w:rPr>
          <w:rStyle w:val="SCCCounselPartyRoleChar"/>
          <w:i/>
          <w:lang w:val="fr-CA"/>
        </w:rPr>
        <w:noBreakHyphen/>
      </w:r>
      <w:r w:rsidR="0010312B" w:rsidRPr="00D734D2">
        <w:rPr>
          <w:rStyle w:val="SCCCounselPartyRoleChar"/>
          <w:i/>
          <w:lang w:val="fr-CA"/>
        </w:rPr>
        <w:t>Luc Cloutier</w:t>
      </w:r>
      <w:r w:rsidR="0010312B" w:rsidRPr="00D734D2">
        <w:rPr>
          <w:rStyle w:val="SCCCounselPartyRoleChar"/>
          <w:lang w:val="fr-CA"/>
        </w:rPr>
        <w:t xml:space="preserve">, </w:t>
      </w:r>
      <w:r w:rsidR="0010312B" w:rsidRPr="00D734D2">
        <w:rPr>
          <w:rStyle w:val="SCCCounselPartyRoleChar"/>
          <w:i/>
          <w:lang w:val="fr-CA"/>
        </w:rPr>
        <w:t>Sébastien C. Caron</w:t>
      </w:r>
      <w:r w:rsidR="0010312B" w:rsidRPr="00D734D2">
        <w:rPr>
          <w:rStyle w:val="SCCCounselPartyRoleChar"/>
          <w:lang w:val="fr-CA"/>
        </w:rPr>
        <w:t xml:space="preserve">, </w:t>
      </w:r>
      <w:r w:rsidR="0010312B" w:rsidRPr="00D734D2">
        <w:rPr>
          <w:rStyle w:val="SCCCounselPartyRoleChar"/>
          <w:i/>
          <w:lang w:val="fr-CA"/>
        </w:rPr>
        <w:t xml:space="preserve">Michel C. Chabot </w:t>
      </w:r>
      <w:r w:rsidR="0010312B" w:rsidRPr="00D734D2">
        <w:rPr>
          <w:rStyle w:val="SCCCounselPartyRoleChar"/>
          <w:lang w:val="fr-CA"/>
        </w:rPr>
        <w:t xml:space="preserve">et </w:t>
      </w:r>
      <w:r w:rsidR="0010312B" w:rsidRPr="00D734D2">
        <w:rPr>
          <w:rStyle w:val="SCCCounselPartyRoleChar"/>
          <w:i/>
          <w:lang w:val="fr-CA"/>
        </w:rPr>
        <w:t>Guillaume Lavoie</w:t>
      </w:r>
      <w:r w:rsidR="0010312B" w:rsidRPr="00D734D2">
        <w:rPr>
          <w:rStyle w:val="SCCCounselPartyRoleChar"/>
          <w:lang w:val="fr-CA"/>
        </w:rPr>
        <w:t xml:space="preserve">, </w:t>
      </w:r>
      <w:r w:rsidRPr="00D734D2">
        <w:rPr>
          <w:rStyle w:val="SCCCounselPartyRoleChar"/>
          <w:lang w:val="fr-CA"/>
        </w:rPr>
        <w:t>pour l</w:t>
      </w:r>
      <w:r w:rsidR="0010312B" w:rsidRPr="00D734D2">
        <w:rPr>
          <w:rStyle w:val="SCCCounselPartyRoleChar"/>
          <w:lang w:val="fr-CA"/>
        </w:rPr>
        <w:t xml:space="preserve">es </w:t>
      </w:r>
      <w:r w:rsidRPr="00D734D2">
        <w:rPr>
          <w:rStyle w:val="SCCCounselPartyRoleChar"/>
          <w:lang w:val="fr-CA"/>
        </w:rPr>
        <w:t>appelant</w:t>
      </w:r>
      <w:r w:rsidR="0010312B" w:rsidRPr="00D734D2">
        <w:rPr>
          <w:rStyle w:val="SCCCounselPartyRoleChar"/>
          <w:lang w:val="fr-CA"/>
        </w:rPr>
        <w:t>s</w:t>
      </w:r>
      <w:r w:rsidR="00D40D0A" w:rsidRPr="00D734D2">
        <w:rPr>
          <w:rStyle w:val="SCCCounselPartyRoleChar"/>
          <w:lang w:val="fr-CA"/>
        </w:rPr>
        <w:t xml:space="preserve"> </w:t>
      </w:r>
      <w:proofErr w:type="spellStart"/>
      <w:r w:rsidR="00D40D0A" w:rsidRPr="00D734D2">
        <w:rPr>
          <w:rStyle w:val="SCCCounselPartyRoleChar"/>
          <w:lang w:val="fr-CA"/>
        </w:rPr>
        <w:t>Ultramar</w:t>
      </w:r>
      <w:proofErr w:type="spellEnd"/>
      <w:r w:rsidR="00D40D0A" w:rsidRPr="00D734D2">
        <w:rPr>
          <w:rStyle w:val="SCCCounselPartyRoleChar"/>
          <w:lang w:val="fr-CA"/>
        </w:rPr>
        <w:t xml:space="preserve"> </w:t>
      </w:r>
      <w:proofErr w:type="spellStart"/>
      <w:r w:rsidR="00D40D0A" w:rsidRPr="00D734D2">
        <w:rPr>
          <w:rStyle w:val="SCCCounselPartyRoleChar"/>
          <w:lang w:val="fr-CA"/>
        </w:rPr>
        <w:t>ltée</w:t>
      </w:r>
      <w:proofErr w:type="spellEnd"/>
      <w:r w:rsidR="00D40D0A" w:rsidRPr="00D734D2">
        <w:rPr>
          <w:rStyle w:val="SCCCounselPartyRoleChar"/>
          <w:lang w:val="fr-CA"/>
        </w:rPr>
        <w:t xml:space="preserve">, le Groupe Pétrolier </w:t>
      </w:r>
      <w:proofErr w:type="spellStart"/>
      <w:r w:rsidR="00D40D0A" w:rsidRPr="00D734D2">
        <w:rPr>
          <w:rStyle w:val="SCCCounselPartyRoleChar"/>
          <w:lang w:val="fr-CA"/>
        </w:rPr>
        <w:t>Olco</w:t>
      </w:r>
      <w:proofErr w:type="spellEnd"/>
      <w:r w:rsidR="00D40D0A" w:rsidRPr="00D734D2">
        <w:rPr>
          <w:rStyle w:val="SCCCounselPartyRoleChar"/>
          <w:lang w:val="fr-CA"/>
        </w:rPr>
        <w:t xml:space="preserve"> </w:t>
      </w:r>
      <w:r w:rsidR="00624ADC" w:rsidRPr="00D734D2">
        <w:rPr>
          <w:rStyle w:val="SCCCounselPartyRoleChar"/>
          <w:lang w:val="fr-CA"/>
        </w:rPr>
        <w:t>ULC</w:t>
      </w:r>
      <w:r w:rsidR="00D40D0A" w:rsidRPr="00D734D2">
        <w:rPr>
          <w:rStyle w:val="SCCCounselPartyRoleChar"/>
          <w:lang w:val="fr-CA"/>
        </w:rPr>
        <w:t xml:space="preserve">, Les Pétroles Irving </w:t>
      </w:r>
      <w:proofErr w:type="spellStart"/>
      <w:r w:rsidR="00D40D0A" w:rsidRPr="00D734D2">
        <w:rPr>
          <w:rStyle w:val="SCCCounselPartyRoleChar"/>
          <w:lang w:val="fr-CA"/>
        </w:rPr>
        <w:t>inc.</w:t>
      </w:r>
      <w:proofErr w:type="spellEnd"/>
      <w:r w:rsidR="00D40D0A" w:rsidRPr="00D734D2">
        <w:rPr>
          <w:rStyle w:val="SCCCounselPartyRoleChar"/>
          <w:lang w:val="fr-CA"/>
        </w:rPr>
        <w:t>, Alimentation Couche</w:t>
      </w:r>
      <w:r w:rsidR="0065746B" w:rsidRPr="00D734D2">
        <w:rPr>
          <w:rStyle w:val="SCCCounselPartyRoleChar"/>
          <w:lang w:val="fr-CA"/>
        </w:rPr>
        <w:noBreakHyphen/>
      </w:r>
      <w:r w:rsidR="00D40D0A" w:rsidRPr="00D734D2">
        <w:rPr>
          <w:rStyle w:val="SCCCounselPartyRoleChar"/>
          <w:lang w:val="fr-CA"/>
        </w:rPr>
        <w:t xml:space="preserve">Tard </w:t>
      </w:r>
      <w:proofErr w:type="spellStart"/>
      <w:r w:rsidR="00D40D0A" w:rsidRPr="00D734D2">
        <w:rPr>
          <w:rStyle w:val="SCCCounselPartyRoleChar"/>
          <w:lang w:val="fr-CA"/>
        </w:rPr>
        <w:t>inc.</w:t>
      </w:r>
      <w:proofErr w:type="spellEnd"/>
      <w:r w:rsidR="00D40D0A" w:rsidRPr="00D734D2">
        <w:rPr>
          <w:rStyle w:val="SCCCounselPartyRoleChar"/>
          <w:lang w:val="fr-CA"/>
        </w:rPr>
        <w:t xml:space="preserve">, </w:t>
      </w:r>
      <w:proofErr w:type="spellStart"/>
      <w:r w:rsidR="00D40D0A" w:rsidRPr="00D734D2">
        <w:rPr>
          <w:rStyle w:val="SCCCounselPartyRoleChar"/>
          <w:lang w:val="fr-CA"/>
        </w:rPr>
        <w:t>Dépan</w:t>
      </w:r>
      <w:proofErr w:type="spellEnd"/>
      <w:r w:rsidR="0065746B" w:rsidRPr="00D734D2">
        <w:rPr>
          <w:rStyle w:val="SCCCounselPartyRoleChar"/>
          <w:lang w:val="fr-CA"/>
        </w:rPr>
        <w:noBreakHyphen/>
      </w:r>
      <w:r w:rsidR="00D40D0A" w:rsidRPr="00D734D2">
        <w:rPr>
          <w:rStyle w:val="SCCCounselPartyRoleChar"/>
          <w:lang w:val="fr-CA"/>
        </w:rPr>
        <w:t>Escompte Couche</w:t>
      </w:r>
      <w:r w:rsidR="0065746B" w:rsidRPr="00D734D2">
        <w:rPr>
          <w:rStyle w:val="SCCCounselPartyRoleChar"/>
          <w:lang w:val="fr-CA"/>
        </w:rPr>
        <w:noBreakHyphen/>
      </w:r>
      <w:r w:rsidR="00D40D0A" w:rsidRPr="00D734D2">
        <w:rPr>
          <w:rStyle w:val="SCCCounselPartyRoleChar"/>
          <w:lang w:val="fr-CA"/>
        </w:rPr>
        <w:t xml:space="preserve">Tard </w:t>
      </w:r>
      <w:proofErr w:type="spellStart"/>
      <w:r w:rsidR="00D40D0A" w:rsidRPr="00D734D2">
        <w:rPr>
          <w:rStyle w:val="SCCCounselPartyRoleChar"/>
          <w:lang w:val="fr-CA"/>
        </w:rPr>
        <w:t>inc.</w:t>
      </w:r>
      <w:proofErr w:type="spellEnd"/>
      <w:r w:rsidR="00D40D0A" w:rsidRPr="00D734D2">
        <w:rPr>
          <w:rStyle w:val="SCCCounselPartyRoleChar"/>
          <w:lang w:val="fr-CA"/>
        </w:rPr>
        <w:t>, Couche</w:t>
      </w:r>
      <w:r w:rsidR="0065746B" w:rsidRPr="00D734D2">
        <w:rPr>
          <w:rStyle w:val="SCCCounselPartyRoleChar"/>
          <w:lang w:val="fr-CA"/>
        </w:rPr>
        <w:noBreakHyphen/>
      </w:r>
      <w:r w:rsidR="00D40D0A" w:rsidRPr="00D734D2">
        <w:rPr>
          <w:rStyle w:val="SCCCounselPartyRoleChar"/>
          <w:lang w:val="fr-CA"/>
        </w:rPr>
        <w:t xml:space="preserve">Tard </w:t>
      </w:r>
      <w:proofErr w:type="spellStart"/>
      <w:r w:rsidR="00D40D0A" w:rsidRPr="00D734D2">
        <w:rPr>
          <w:rStyle w:val="SCCCounselPartyRoleChar"/>
          <w:lang w:val="fr-CA"/>
        </w:rPr>
        <w:t>inc.</w:t>
      </w:r>
      <w:proofErr w:type="spellEnd"/>
      <w:r w:rsidR="00D40D0A" w:rsidRPr="00D734D2">
        <w:rPr>
          <w:rStyle w:val="SCCCounselPartyRoleChar"/>
          <w:lang w:val="fr-CA"/>
        </w:rPr>
        <w:t xml:space="preserve">, Les Pétroles Global </w:t>
      </w:r>
      <w:proofErr w:type="spellStart"/>
      <w:r w:rsidR="00D40D0A" w:rsidRPr="00D734D2">
        <w:rPr>
          <w:rStyle w:val="SCCCounselPartyRoleChar"/>
          <w:lang w:val="fr-CA"/>
        </w:rPr>
        <w:t>inc.</w:t>
      </w:r>
      <w:proofErr w:type="spellEnd"/>
      <w:r w:rsidR="00D40D0A" w:rsidRPr="00D734D2">
        <w:rPr>
          <w:rStyle w:val="SCCCounselPartyRoleChar"/>
          <w:lang w:val="fr-CA"/>
        </w:rPr>
        <w:t xml:space="preserve">, Les Pétroles Global (Québec) </w:t>
      </w:r>
      <w:proofErr w:type="spellStart"/>
      <w:r w:rsidR="00D40D0A" w:rsidRPr="00D734D2">
        <w:rPr>
          <w:rStyle w:val="SCCCounselPartyRoleChar"/>
          <w:lang w:val="fr-CA"/>
        </w:rPr>
        <w:t>inc.</w:t>
      </w:r>
      <w:proofErr w:type="spellEnd"/>
      <w:r w:rsidR="00D40D0A" w:rsidRPr="00D734D2">
        <w:rPr>
          <w:rStyle w:val="SCCCounselPartyRoleChar"/>
          <w:lang w:val="fr-CA"/>
        </w:rPr>
        <w:t xml:space="preserve">, Philippe Gosselin &amp; Associés </w:t>
      </w:r>
      <w:proofErr w:type="spellStart"/>
      <w:r w:rsidR="00D40D0A" w:rsidRPr="00D734D2">
        <w:rPr>
          <w:rStyle w:val="SCCCounselPartyRoleChar"/>
          <w:lang w:val="fr-CA"/>
        </w:rPr>
        <w:t>ltée</w:t>
      </w:r>
      <w:proofErr w:type="spellEnd"/>
      <w:r w:rsidR="00D40D0A" w:rsidRPr="00D734D2">
        <w:rPr>
          <w:rStyle w:val="SCCCounselPartyRoleChar"/>
          <w:lang w:val="fr-CA"/>
        </w:rPr>
        <w:t xml:space="preserve"> et Claude Bédard</w:t>
      </w:r>
      <w:r w:rsidRPr="00D734D2">
        <w:rPr>
          <w:rStyle w:val="SCCCounselPartyRoleChar"/>
          <w:lang w:val="fr-CA"/>
        </w:rPr>
        <w:t>.</w:t>
      </w:r>
    </w:p>
    <w:p w:rsidR="00D40D0A" w:rsidRPr="00D734D2" w:rsidRDefault="00D40D0A" w:rsidP="0069559A">
      <w:pPr>
        <w:pStyle w:val="SCCNormalDoubleSpacing"/>
        <w:spacing w:before="480" w:after="480"/>
        <w:rPr>
          <w:rStyle w:val="SCCCounselPartyRoleChar"/>
          <w:lang w:val="fr-CA"/>
        </w:rPr>
      </w:pPr>
      <w:r w:rsidRPr="00D734D2">
        <w:rPr>
          <w:rStyle w:val="SCCCounselPartyRoleChar"/>
          <w:lang w:val="fr-CA"/>
        </w:rPr>
        <w:tab/>
        <w:t xml:space="preserve">Argumentation écrite seulement par </w:t>
      </w:r>
      <w:r w:rsidRPr="00D734D2">
        <w:rPr>
          <w:rStyle w:val="SCCCounselPartyRoleChar"/>
          <w:i/>
          <w:lang w:val="fr-CA"/>
        </w:rPr>
        <w:t>Louis Belleau</w:t>
      </w:r>
      <w:r w:rsidRPr="00D734D2">
        <w:rPr>
          <w:rStyle w:val="SCCCounselPartyRoleChar"/>
          <w:lang w:val="fr-CA"/>
        </w:rPr>
        <w:t xml:space="preserve"> et </w:t>
      </w:r>
      <w:r w:rsidRPr="00D734D2">
        <w:rPr>
          <w:rStyle w:val="SCCCounselPartyRoleChar"/>
          <w:i/>
          <w:lang w:val="fr-CA"/>
        </w:rPr>
        <w:t xml:space="preserve">Luc </w:t>
      </w:r>
      <w:proofErr w:type="spellStart"/>
      <w:r w:rsidRPr="00D734D2">
        <w:rPr>
          <w:rStyle w:val="SCCCounselPartyRoleChar"/>
          <w:i/>
          <w:lang w:val="fr-CA"/>
        </w:rPr>
        <w:t>Jobin</w:t>
      </w:r>
      <w:proofErr w:type="spellEnd"/>
      <w:r w:rsidRPr="00D734D2">
        <w:rPr>
          <w:rStyle w:val="SCCCounselPartyRoleChar"/>
          <w:lang w:val="fr-CA"/>
        </w:rPr>
        <w:t>, pour l’appelante Céline Bonin.</w:t>
      </w:r>
    </w:p>
    <w:p w:rsidR="002A0459" w:rsidRPr="00D734D2" w:rsidRDefault="00A57DAB" w:rsidP="0069559A">
      <w:pPr>
        <w:pStyle w:val="SCCNormalDoubleSpacing"/>
        <w:spacing w:before="480" w:after="480"/>
        <w:rPr>
          <w:lang w:val="fr-CA"/>
        </w:rPr>
      </w:pPr>
      <w:r w:rsidRPr="00D734D2">
        <w:rPr>
          <w:rStyle w:val="SCCCounselNameChar"/>
          <w:lang w:val="fr-CA"/>
        </w:rPr>
        <w:tab/>
      </w:r>
      <w:r w:rsidR="00A06733" w:rsidRPr="00D734D2">
        <w:rPr>
          <w:rStyle w:val="SCCCounselNameChar"/>
          <w:lang w:val="fr-CA"/>
        </w:rPr>
        <w:t>Guy Paquette</w:t>
      </w:r>
      <w:r w:rsidR="00A06733" w:rsidRPr="00D734D2">
        <w:rPr>
          <w:rStyle w:val="SCCCounselNameChar"/>
          <w:i w:val="0"/>
          <w:lang w:val="fr-CA"/>
        </w:rPr>
        <w:t xml:space="preserve">, </w:t>
      </w:r>
      <w:r w:rsidRPr="00D734D2">
        <w:rPr>
          <w:rStyle w:val="SCCCounselNameChar"/>
          <w:lang w:val="fr-CA"/>
        </w:rPr>
        <w:t xml:space="preserve">Claudia </w:t>
      </w:r>
      <w:proofErr w:type="spellStart"/>
      <w:r w:rsidRPr="00D734D2">
        <w:rPr>
          <w:rStyle w:val="SCCCounselNameChar"/>
          <w:lang w:val="fr-CA"/>
        </w:rPr>
        <w:t>Lalancette</w:t>
      </w:r>
      <w:proofErr w:type="spellEnd"/>
      <w:r w:rsidR="00A06733" w:rsidRPr="00D734D2">
        <w:rPr>
          <w:rStyle w:val="SCCCounselNameChar"/>
          <w:i w:val="0"/>
          <w:lang w:val="fr-CA"/>
        </w:rPr>
        <w:t xml:space="preserve">, </w:t>
      </w:r>
      <w:r w:rsidR="00A06733" w:rsidRPr="00D734D2">
        <w:rPr>
          <w:rStyle w:val="SCCCounselNameChar"/>
          <w:lang w:val="fr-CA"/>
        </w:rPr>
        <w:t xml:space="preserve">Pierre </w:t>
      </w:r>
      <w:proofErr w:type="spellStart"/>
      <w:r w:rsidR="00A06733" w:rsidRPr="00D734D2">
        <w:rPr>
          <w:rStyle w:val="SCCCounselNameChar"/>
          <w:lang w:val="fr-CA"/>
        </w:rPr>
        <w:t>LaTraverse</w:t>
      </w:r>
      <w:proofErr w:type="spellEnd"/>
      <w:r w:rsidRPr="00D734D2">
        <w:rPr>
          <w:rStyle w:val="SCCCounselSeparatorChar"/>
          <w:lang w:val="fr-CA"/>
        </w:rPr>
        <w:t xml:space="preserve"> et </w:t>
      </w:r>
      <w:r w:rsidR="00A06733" w:rsidRPr="00D734D2">
        <w:rPr>
          <w:rStyle w:val="SCCCounselSeparatorChar"/>
          <w:i/>
          <w:lang w:val="fr-CA"/>
        </w:rPr>
        <w:t xml:space="preserve">Jasmine </w:t>
      </w:r>
      <w:proofErr w:type="spellStart"/>
      <w:r w:rsidR="00A06733" w:rsidRPr="00D734D2">
        <w:rPr>
          <w:rStyle w:val="SCCCounselSeparatorChar"/>
          <w:i/>
          <w:lang w:val="fr-CA"/>
        </w:rPr>
        <w:t>Jolin</w:t>
      </w:r>
      <w:proofErr w:type="spellEnd"/>
      <w:r w:rsidRPr="00D734D2">
        <w:rPr>
          <w:rStyle w:val="SCCCounselPartyRoleChar"/>
          <w:lang w:val="fr-CA"/>
        </w:rPr>
        <w:t>, pour l</w:t>
      </w:r>
      <w:r w:rsidR="00A06733" w:rsidRPr="00D734D2">
        <w:rPr>
          <w:rStyle w:val="SCCCounselPartyRoleChar"/>
          <w:lang w:val="fr-CA"/>
        </w:rPr>
        <w:t>es int</w:t>
      </w:r>
      <w:r w:rsidRPr="00D734D2">
        <w:rPr>
          <w:rStyle w:val="SCCCounselPartyRoleChar"/>
          <w:lang w:val="fr-CA"/>
        </w:rPr>
        <w:t>imé</w:t>
      </w:r>
      <w:r w:rsidR="00A06733" w:rsidRPr="00D734D2">
        <w:rPr>
          <w:rStyle w:val="SCCCounselPartyRoleChar"/>
          <w:lang w:val="fr-CA"/>
        </w:rPr>
        <w:t>s</w:t>
      </w:r>
      <w:r w:rsidRPr="00D734D2">
        <w:rPr>
          <w:rStyle w:val="SCCCounselPartyRoleChar"/>
          <w:lang w:val="fr-CA"/>
        </w:rPr>
        <w:t>.</w:t>
      </w:r>
    </w:p>
    <w:p w:rsidR="002A0459" w:rsidRDefault="00A57DAB" w:rsidP="0069559A">
      <w:pPr>
        <w:pStyle w:val="SCCNormalDoubleSpacing"/>
        <w:spacing w:before="480" w:after="480"/>
        <w:rPr>
          <w:rStyle w:val="SCCCounselPartyRoleChar"/>
          <w:lang w:val="fr-CA"/>
        </w:rPr>
      </w:pPr>
      <w:r w:rsidRPr="00D734D2">
        <w:rPr>
          <w:rStyle w:val="SCCCounselNameChar"/>
          <w:lang w:val="fr-CA"/>
        </w:rPr>
        <w:tab/>
        <w:t>Stéphane Rochette</w:t>
      </w:r>
      <w:r w:rsidRPr="00D734D2">
        <w:rPr>
          <w:rStyle w:val="SCCCounselPartyRoleChar"/>
          <w:lang w:val="fr-CA"/>
        </w:rPr>
        <w:t>, pour l</w:t>
      </w:r>
      <w:r w:rsidR="001C4EF2" w:rsidRPr="00D734D2">
        <w:rPr>
          <w:rStyle w:val="SCCCounselPartyRoleChar"/>
          <w:lang w:val="fr-CA"/>
        </w:rPr>
        <w:t>’</w:t>
      </w:r>
      <w:r w:rsidRPr="00D734D2">
        <w:rPr>
          <w:rStyle w:val="SCCCounselPartyRoleChar"/>
          <w:lang w:val="fr-CA"/>
        </w:rPr>
        <w:t>intervenante.</w:t>
      </w:r>
    </w:p>
    <w:p w:rsidR="00017C6D" w:rsidRDefault="00EC720F" w:rsidP="00EC720F">
      <w:pPr>
        <w:pStyle w:val="SCCNormalDoubleSpacing"/>
        <w:spacing w:before="480" w:after="480"/>
        <w:rPr>
          <w:lang w:val="fr-CA"/>
        </w:rPr>
      </w:pPr>
      <w:r>
        <w:rPr>
          <w:lang w:val="fr-CA"/>
        </w:rPr>
        <w:tab/>
      </w:r>
      <w:r w:rsidR="00017C6D" w:rsidRPr="00017C6D">
        <w:rPr>
          <w:lang w:val="fr-CA"/>
        </w:rPr>
        <w:t>Le jugement de la Cour a été rendu par</w:t>
      </w:r>
    </w:p>
    <w:p w:rsidR="00017C6D" w:rsidRPr="005342BD" w:rsidRDefault="00EC720F" w:rsidP="00EC720F">
      <w:pPr>
        <w:pStyle w:val="SCCNormalDoubleSpacing"/>
        <w:spacing w:before="480" w:after="480"/>
        <w:rPr>
          <w:smallCaps/>
          <w:lang w:val="fr-CA"/>
        </w:rPr>
      </w:pPr>
      <w:r>
        <w:rPr>
          <w:smallCaps/>
          <w:lang w:val="fr-CA"/>
        </w:rPr>
        <w:tab/>
      </w:r>
      <w:r w:rsidR="00017C6D" w:rsidRPr="005342BD">
        <w:rPr>
          <w:smallCaps/>
          <w:lang w:val="fr-CA"/>
        </w:rPr>
        <w:t xml:space="preserve">Les juges Gascon et Brown — </w:t>
      </w:r>
    </w:p>
    <w:p w:rsidR="00017C6D" w:rsidRPr="002256EE" w:rsidRDefault="00017C6D" w:rsidP="00017C6D">
      <w:pPr>
        <w:pStyle w:val="Title1LevelTitre1Niveau-AltL"/>
        <w:rPr>
          <w:rFonts w:cs="Times New Roman"/>
          <w:szCs w:val="24"/>
          <w:lang w:val="fr-CA"/>
        </w:rPr>
      </w:pPr>
      <w:r w:rsidRPr="002256EE">
        <w:rPr>
          <w:rFonts w:cs="Times New Roman"/>
          <w:szCs w:val="24"/>
          <w:lang w:val="fr-CA"/>
        </w:rPr>
        <w:t xml:space="preserve">Introduction </w:t>
      </w:r>
    </w:p>
    <w:p w:rsidR="00017C6D" w:rsidRPr="002256EE" w:rsidRDefault="00017C6D" w:rsidP="00017C6D">
      <w:pPr>
        <w:pStyle w:val="ParaNoNdepar-AltN"/>
        <w:tabs>
          <w:tab w:val="clear" w:pos="1152"/>
          <w:tab w:val="left" w:pos="1166"/>
        </w:tabs>
        <w:rPr>
          <w:rFonts w:cs="Times New Roman"/>
          <w:szCs w:val="24"/>
          <w:lang w:val="fr-BE"/>
        </w:rPr>
      </w:pPr>
      <w:r w:rsidRPr="002256EE">
        <w:rPr>
          <w:rFonts w:cs="Times New Roman"/>
          <w:szCs w:val="24"/>
          <w:lang w:val="fr-BE"/>
        </w:rPr>
        <w:lastRenderedPageBreak/>
        <w:t xml:space="preserve">L’immunité de l’État est bien ancrée dans notre droit. La Cour a reconnu que cette immunité, qui émane de la </w:t>
      </w:r>
      <w:proofErr w:type="spellStart"/>
      <w:r w:rsidRPr="002256EE">
        <w:rPr>
          <w:rFonts w:cs="Times New Roman"/>
          <w:szCs w:val="24"/>
          <w:lang w:val="fr-BE"/>
        </w:rPr>
        <w:t>common</w:t>
      </w:r>
      <w:proofErr w:type="spellEnd"/>
      <w:r w:rsidRPr="002256EE">
        <w:rPr>
          <w:rFonts w:cs="Times New Roman"/>
          <w:szCs w:val="24"/>
          <w:lang w:val="fr-BE"/>
        </w:rPr>
        <w:t xml:space="preserve"> </w:t>
      </w:r>
      <w:proofErr w:type="spellStart"/>
      <w:r w:rsidRPr="002256EE">
        <w:rPr>
          <w:rFonts w:cs="Times New Roman"/>
          <w:szCs w:val="24"/>
          <w:lang w:val="fr-BE"/>
        </w:rPr>
        <w:t>law</w:t>
      </w:r>
      <w:proofErr w:type="spellEnd"/>
      <w:r w:rsidRPr="002256EE">
        <w:rPr>
          <w:rFonts w:cs="Times New Roman"/>
          <w:szCs w:val="24"/>
          <w:lang w:val="fr-BE"/>
        </w:rPr>
        <w:t>, ne peut être mise de côté que par le biais d’une expression claire et non équivoque du législateur. Au fil des ans, le législateur, tant au palier fédéral qu’au palier provincial, a graduellement réduit cette immunité afin de rapprocher la situation juridique de l’État et de ses préposés de celle des autres justiciables canadiens. C’est le cas entre autres en matière de responsabilité civile. Au bout du compte, il revient aux tribunaux de donner un sens aux textes législatifs qui tempèrent la portée de cette immunité et d’en cerner l’étendue, le cas échéant.</w:t>
      </w:r>
    </w:p>
    <w:p w:rsidR="00017C6D" w:rsidRPr="002256EE" w:rsidRDefault="00017C6D" w:rsidP="00017C6D">
      <w:pPr>
        <w:pStyle w:val="ParaNoNdepar-AltN"/>
        <w:tabs>
          <w:tab w:val="clear" w:pos="1152"/>
          <w:tab w:val="left" w:pos="1166"/>
        </w:tabs>
        <w:rPr>
          <w:rFonts w:cs="Times New Roman"/>
          <w:lang w:val="fr-BE"/>
        </w:rPr>
      </w:pPr>
      <w:r w:rsidRPr="002256EE">
        <w:rPr>
          <w:rFonts w:cs="Times New Roman"/>
          <w:szCs w:val="24"/>
          <w:lang w:val="fr-CA"/>
        </w:rPr>
        <w:t xml:space="preserve">La question qui se pose dans le présent pourvoi est celle de savoir si, </w:t>
      </w:r>
      <w:r w:rsidRPr="002256EE">
        <w:rPr>
          <w:rFonts w:cs="Times New Roman"/>
          <w:szCs w:val="24"/>
          <w:lang w:val="fr-BE"/>
        </w:rPr>
        <w:t xml:space="preserve">aux termes de la </w:t>
      </w:r>
      <w:r w:rsidRPr="002256EE">
        <w:rPr>
          <w:rFonts w:cs="Times New Roman"/>
          <w:i/>
          <w:szCs w:val="24"/>
          <w:lang w:val="fr-BE"/>
        </w:rPr>
        <w:t>Loi sur la responsabilité civile de l’État et le contentieux administratif</w:t>
      </w:r>
      <w:r w:rsidR="00EC720F">
        <w:rPr>
          <w:rFonts w:cs="Times New Roman"/>
          <w:szCs w:val="24"/>
          <w:lang w:val="fr-BE"/>
        </w:rPr>
        <w:t>, L.R.C. 1985, c. C</w:t>
      </w:r>
      <w:r w:rsidRPr="002256EE">
        <w:rPr>
          <w:rFonts w:cs="Times New Roman"/>
          <w:szCs w:val="24"/>
          <w:lang w:val="fr-BE"/>
        </w:rPr>
        <w:t>-50 (« LRCE »)</w:t>
      </w:r>
      <w:r w:rsidRPr="002256EE">
        <w:rPr>
          <w:rFonts w:cs="Times New Roman"/>
          <w:szCs w:val="24"/>
          <w:lang w:val="fr-CA"/>
        </w:rPr>
        <w:t>, l’État fédéral (« État ») est assujetti à l’obligation de participer à un interrogatoire préalable dans un litige auquel il n’est pas partie</w:t>
      </w:r>
      <w:r w:rsidRPr="002256EE">
        <w:rPr>
          <w:rFonts w:cs="Times New Roman"/>
          <w:i/>
          <w:szCs w:val="24"/>
          <w:lang w:val="fr-CA"/>
        </w:rPr>
        <w:t>.</w:t>
      </w:r>
      <w:r w:rsidRPr="002256EE">
        <w:rPr>
          <w:rFonts w:cs="Times New Roman"/>
          <w:szCs w:val="24"/>
          <w:lang w:val="fr-CA"/>
        </w:rPr>
        <w:t xml:space="preserve"> </w:t>
      </w:r>
      <w:r w:rsidRPr="002256EE">
        <w:rPr>
          <w:rFonts w:cs="Times New Roman"/>
          <w:lang w:val="fr-BE"/>
        </w:rPr>
        <w:t>Plus précisément, nous devons déterminer si l’enquêteur-chef du Bureau de la concurrence du gouvernement fédéral (« enquêteur-chef ») peut être contraint à un interrogatoire préalable en vertu des règles de procédure civile qui prévalent au Québec dans une situation où ni l’État ni l’enquêteur-chef ne sont parties au litige concerné. Dans l’affirmative, nous devons subséquemment déterminer si, en ordonnant l’interrogatoire préalable de l’enquêteur-chef, la Cour supérieure et la Cour d’appel ont erré au regard des principes qui régissent la procédure civile au Québec, dont celui de la proportionnalité.</w:t>
      </w:r>
    </w:p>
    <w:p w:rsidR="00017C6D" w:rsidRPr="002256EE" w:rsidRDefault="00017C6D" w:rsidP="00017C6D">
      <w:pPr>
        <w:pStyle w:val="ParaNoNdepar-AltN"/>
        <w:tabs>
          <w:tab w:val="clear" w:pos="1152"/>
          <w:tab w:val="left" w:pos="1166"/>
        </w:tabs>
        <w:rPr>
          <w:rFonts w:cs="Times New Roman"/>
          <w:lang w:val="fr-BE"/>
        </w:rPr>
      </w:pPr>
      <w:r w:rsidRPr="002256EE">
        <w:rPr>
          <w:rFonts w:cs="Times New Roman"/>
          <w:lang w:val="fr-BE"/>
        </w:rPr>
        <w:lastRenderedPageBreak/>
        <w:t xml:space="preserve">Pour les raisons qui suivent, nous sommes d’avis que les cours inférieures ont erré dans leur interprétation de la LRCE. Les règles provinciales en matière d’interrogatoire préalable ne s’appliquent pas à l’État lorsqu’il n’est pas une partie au litige. Par conséquent, l’enquêteur-chef peut invoquer l’immunité de l’État en matière d’interrogatoire préalable et ainsi refuser d’être assujetti à l’interrogatoire préalable recherché ici.  </w:t>
      </w:r>
    </w:p>
    <w:p w:rsidR="00017C6D" w:rsidRPr="002256EE" w:rsidRDefault="00017C6D" w:rsidP="00017C6D">
      <w:pPr>
        <w:pStyle w:val="Title1LevelTitre1Niveau-AltL"/>
        <w:rPr>
          <w:rFonts w:cs="Times New Roman"/>
          <w:lang w:val="fr-CA"/>
        </w:rPr>
      </w:pPr>
      <w:r w:rsidRPr="002256EE">
        <w:rPr>
          <w:rFonts w:cs="Times New Roman"/>
          <w:lang w:val="fr-CA"/>
        </w:rPr>
        <w:t xml:space="preserve">Cadre factuel </w:t>
      </w:r>
    </w:p>
    <w:p w:rsidR="00017C6D" w:rsidRPr="002256EE" w:rsidRDefault="00017C6D" w:rsidP="00017C6D">
      <w:pPr>
        <w:pStyle w:val="ParaNoNdepar-AltN"/>
        <w:tabs>
          <w:tab w:val="clear" w:pos="1152"/>
          <w:tab w:val="left" w:pos="1166"/>
        </w:tabs>
        <w:rPr>
          <w:rFonts w:cs="Times New Roman"/>
          <w:szCs w:val="24"/>
          <w:lang w:val="fr-BE"/>
        </w:rPr>
      </w:pPr>
      <w:r w:rsidRPr="002256EE">
        <w:rPr>
          <w:rFonts w:cs="Times New Roman"/>
          <w:szCs w:val="24"/>
          <w:lang w:val="fr-BE"/>
        </w:rPr>
        <w:t xml:space="preserve">L’intimé Daniel </w:t>
      </w:r>
      <w:proofErr w:type="spellStart"/>
      <w:r w:rsidRPr="002256EE">
        <w:rPr>
          <w:rFonts w:cs="Times New Roman"/>
          <w:szCs w:val="24"/>
          <w:lang w:val="fr-BE"/>
        </w:rPr>
        <w:t>Thouin</w:t>
      </w:r>
      <w:proofErr w:type="spellEnd"/>
      <w:r w:rsidRPr="002256EE">
        <w:rPr>
          <w:rFonts w:cs="Times New Roman"/>
          <w:szCs w:val="24"/>
          <w:lang w:val="fr-BE"/>
        </w:rPr>
        <w:t xml:space="preserve"> est le membre désigné du recours collectif entrepris par l’intimée l’Association pour la protection automobile (« intimés ») contre les pétrolières et détaillants appelants. Le groupe au nom duquel il agit comprend diverses personnes qui auraient acheté de l’essence sur le territoire de 14 villes ou régions du Québec et qui auraient été victimes d’un complot de ces pétrolières et détaillants visant à en fixer le prix. Ce dossier procède en parallèle avec un autre recours collectif similaire visant d’autres villes ou régions, celui de MM. Simon Jacques et Marcel Lafontaine et l’Association pour la protection automobile. </w:t>
      </w:r>
    </w:p>
    <w:p w:rsidR="00017C6D" w:rsidRPr="002256EE" w:rsidRDefault="00017C6D" w:rsidP="00017C6D">
      <w:pPr>
        <w:pStyle w:val="ParaNoNdepar-AltN"/>
        <w:tabs>
          <w:tab w:val="clear" w:pos="1152"/>
          <w:tab w:val="left" w:pos="1166"/>
        </w:tabs>
        <w:rPr>
          <w:rFonts w:cs="Times New Roman"/>
          <w:szCs w:val="24"/>
          <w:lang w:val="fr-CA"/>
        </w:rPr>
      </w:pPr>
      <w:r w:rsidRPr="002256EE">
        <w:rPr>
          <w:rFonts w:cs="Times New Roman"/>
          <w:szCs w:val="24"/>
          <w:lang w:val="fr-FR"/>
        </w:rPr>
        <w:t>Dans les deux recours, les représentants demandent l’autorisation d’interroger l’enquêteur-chef, ainsi qu’une ordonnance enjoignant au procureur général du Canada (« PGC »), en sa qualité de représentant légal du Bureau de la concurrence, de leur faire part de toutes les communications interceptées et de tous les documents que renferme le dossier constitué par le Bureau dans le cadre de son enquête « Octane ». Cette enquête a été initiée par suite d’allégations de complot visant</w:t>
      </w:r>
      <w:r w:rsidRPr="002256EE">
        <w:rPr>
          <w:rFonts w:cs="Times New Roman"/>
          <w:szCs w:val="24"/>
          <w:lang w:val="fr-BE"/>
        </w:rPr>
        <w:t xml:space="preserve"> des pétrolières et </w:t>
      </w:r>
      <w:r w:rsidRPr="002256EE">
        <w:rPr>
          <w:rFonts w:cs="Times New Roman"/>
          <w:szCs w:val="24"/>
          <w:lang w:val="fr-BE"/>
        </w:rPr>
        <w:lastRenderedPageBreak/>
        <w:t>des détaillants, dont les appelants, pour fixer les prix de l’essence. A</w:t>
      </w:r>
      <w:r w:rsidRPr="002256EE">
        <w:rPr>
          <w:rFonts w:cs="Times New Roman"/>
          <w:szCs w:val="24"/>
          <w:lang w:val="fr-FR"/>
        </w:rPr>
        <w:t>u cours des 10 années qu’a duré l</w:t>
      </w:r>
      <w:r w:rsidRPr="002256EE">
        <w:rPr>
          <w:rFonts w:cs="Times New Roman"/>
          <w:szCs w:val="24"/>
          <w:lang w:val="fr-CA"/>
        </w:rPr>
        <w:t>’</w:t>
      </w:r>
      <w:r w:rsidRPr="002256EE">
        <w:rPr>
          <w:rFonts w:cs="Times New Roman"/>
          <w:szCs w:val="24"/>
          <w:lang w:val="fr-FR"/>
        </w:rPr>
        <w:t>enquête « Octane »</w:t>
      </w:r>
      <w:r w:rsidR="007A7D35">
        <w:rPr>
          <w:rFonts w:cs="Times New Roman"/>
          <w:szCs w:val="24"/>
          <w:lang w:val="fr-FR"/>
        </w:rPr>
        <w:t>,</w:t>
      </w:r>
      <w:r w:rsidRPr="002256EE">
        <w:rPr>
          <w:rFonts w:cs="Times New Roman"/>
          <w:szCs w:val="24"/>
          <w:lang w:val="fr-FR"/>
        </w:rPr>
        <w:t xml:space="preserve"> entreprise en 2004, le Bureau a enregistré plus de 220 000 communications privées. </w:t>
      </w:r>
    </w:p>
    <w:p w:rsidR="00017C6D" w:rsidRPr="002256EE" w:rsidRDefault="00017C6D" w:rsidP="00017C6D">
      <w:pPr>
        <w:pStyle w:val="Title1LevelTitre1Niveau-AltL"/>
        <w:rPr>
          <w:rFonts w:cs="Times New Roman"/>
          <w:lang w:val="fr-CA"/>
        </w:rPr>
      </w:pPr>
      <w:r w:rsidRPr="002256EE">
        <w:rPr>
          <w:rFonts w:cs="Times New Roman"/>
          <w:lang w:val="fr-CA"/>
        </w:rPr>
        <w:t>Décisions des instances inférieures</w:t>
      </w:r>
    </w:p>
    <w:p w:rsidR="00017C6D" w:rsidRPr="002256EE" w:rsidRDefault="00017C6D" w:rsidP="00017C6D">
      <w:pPr>
        <w:pStyle w:val="Title2LevelTitre2Niveau"/>
        <w:rPr>
          <w:rFonts w:cs="Times New Roman"/>
          <w:lang w:val="fr-CA"/>
        </w:rPr>
      </w:pPr>
      <w:r w:rsidRPr="002256EE">
        <w:rPr>
          <w:rFonts w:cs="Times New Roman"/>
          <w:lang w:val="fr-CA"/>
        </w:rPr>
        <w:t>Jugement de la Cour supérieure — 2015 QCCS 1432</w:t>
      </w:r>
    </w:p>
    <w:p w:rsidR="00017C6D" w:rsidRPr="002256EE" w:rsidRDefault="00017C6D" w:rsidP="00017C6D">
      <w:pPr>
        <w:pStyle w:val="ParaNoNdepar-AltN"/>
        <w:tabs>
          <w:tab w:val="clear" w:pos="1152"/>
          <w:tab w:val="left" w:pos="1166"/>
        </w:tabs>
        <w:rPr>
          <w:rFonts w:cs="Times New Roman"/>
          <w:szCs w:val="24"/>
          <w:lang w:val="fr-BE"/>
        </w:rPr>
      </w:pPr>
      <w:r w:rsidRPr="002256EE">
        <w:rPr>
          <w:rFonts w:cs="Times New Roman"/>
          <w:szCs w:val="24"/>
          <w:lang w:val="fr-BE"/>
        </w:rPr>
        <w:t>Le juge Godbout, saisi de la requête, permet l’assignation de l’enquêteur-chef pour un</w:t>
      </w:r>
      <w:r w:rsidRPr="002256EE">
        <w:rPr>
          <w:rFonts w:cs="Times New Roman"/>
          <w:lang w:val="fr-BE"/>
        </w:rPr>
        <w:t xml:space="preserve"> interrogatoire préalable à la seule fin d’obtenir des précisions sur les éléments d’information dont ce dernier dispose au sujet des territoires visés par le recours collectif et ordonne aussi, le cas échéant, la communication des enregistrements et documents pertinents se rapportant au litige visé</w:t>
      </w:r>
      <w:r w:rsidRPr="002256EE">
        <w:rPr>
          <w:rFonts w:cs="Times New Roman"/>
          <w:szCs w:val="24"/>
          <w:lang w:val="fr-BE"/>
        </w:rPr>
        <w:t>.</w:t>
      </w:r>
    </w:p>
    <w:p w:rsidR="00017C6D" w:rsidRPr="002256EE" w:rsidRDefault="00017C6D" w:rsidP="00017C6D">
      <w:pPr>
        <w:pStyle w:val="ParaNoNdepar-AltN"/>
        <w:tabs>
          <w:tab w:val="clear" w:pos="1152"/>
          <w:tab w:val="left" w:pos="1166"/>
          <w:tab w:val="num" w:pos="1422"/>
        </w:tabs>
        <w:rPr>
          <w:rFonts w:cs="Times New Roman"/>
          <w:szCs w:val="24"/>
          <w:lang w:val="fr-BE"/>
        </w:rPr>
      </w:pPr>
      <w:r w:rsidRPr="002256EE">
        <w:rPr>
          <w:rFonts w:cs="Times New Roman"/>
          <w:szCs w:val="24"/>
          <w:lang w:val="fr-CA"/>
        </w:rPr>
        <w:t xml:space="preserve">Le juge Godbout autorise l’assignation de l’enquêteur-chef malgré l’argument du PGC voulant que l’État bénéficie d’une immunité en vertu de la LRCE puisqu’il n’est pas partie au litige. </w:t>
      </w:r>
      <w:r w:rsidRPr="002256EE">
        <w:rPr>
          <w:rFonts w:cs="Times New Roman"/>
          <w:szCs w:val="24"/>
          <w:lang w:val="fr-BE"/>
        </w:rPr>
        <w:t xml:space="preserve">Le juge trace un parallèle entre la requête dont il est saisi dans le dossier de M. </w:t>
      </w:r>
      <w:proofErr w:type="spellStart"/>
      <w:r w:rsidRPr="002256EE">
        <w:rPr>
          <w:rFonts w:cs="Times New Roman"/>
          <w:szCs w:val="24"/>
          <w:lang w:val="fr-BE"/>
        </w:rPr>
        <w:t>Thouin</w:t>
      </w:r>
      <w:proofErr w:type="spellEnd"/>
      <w:r w:rsidRPr="002256EE">
        <w:rPr>
          <w:rFonts w:cs="Times New Roman"/>
          <w:szCs w:val="24"/>
          <w:lang w:val="fr-BE"/>
        </w:rPr>
        <w:t xml:space="preserve"> et celle dont il a été question devant notre Cour dans l’arrêt </w:t>
      </w:r>
      <w:r w:rsidRPr="002256EE">
        <w:rPr>
          <w:rFonts w:cs="Times New Roman"/>
          <w:i/>
          <w:iCs/>
          <w:szCs w:val="24"/>
          <w:lang w:val="fr-BE"/>
        </w:rPr>
        <w:t>Pétrolière Impériale</w:t>
      </w:r>
      <w:r w:rsidRPr="002256EE">
        <w:rPr>
          <w:rFonts w:cs="Times New Roman"/>
          <w:szCs w:val="24"/>
          <w:lang w:val="fr-BE"/>
        </w:rPr>
        <w:t xml:space="preserve"> </w:t>
      </w:r>
      <w:r w:rsidRPr="002256EE">
        <w:rPr>
          <w:rFonts w:cs="Times New Roman"/>
          <w:i/>
          <w:szCs w:val="24"/>
          <w:lang w:val="fr-BE"/>
        </w:rPr>
        <w:t>c.</w:t>
      </w:r>
      <w:r w:rsidRPr="002256EE">
        <w:rPr>
          <w:rFonts w:cs="Times New Roman"/>
          <w:szCs w:val="24"/>
          <w:lang w:val="fr-BE"/>
        </w:rPr>
        <w:t xml:space="preserve"> </w:t>
      </w:r>
      <w:r w:rsidRPr="002256EE">
        <w:rPr>
          <w:rFonts w:cs="Times New Roman"/>
          <w:i/>
          <w:iCs/>
          <w:szCs w:val="24"/>
          <w:lang w:val="fr-BE"/>
        </w:rPr>
        <w:t>Jacques</w:t>
      </w:r>
      <w:r w:rsidRPr="002256EE">
        <w:rPr>
          <w:rFonts w:cs="Times New Roman"/>
          <w:iCs/>
          <w:szCs w:val="24"/>
          <w:lang w:val="fr-BE"/>
        </w:rPr>
        <w:t>,</w:t>
      </w:r>
      <w:r w:rsidRPr="002256EE">
        <w:rPr>
          <w:rFonts w:cs="Times New Roman"/>
          <w:i/>
          <w:iCs/>
          <w:szCs w:val="24"/>
          <w:lang w:val="fr-BE"/>
        </w:rPr>
        <w:t xml:space="preserve"> </w:t>
      </w:r>
      <w:r w:rsidRPr="002256EE">
        <w:rPr>
          <w:rFonts w:cs="Times New Roman"/>
          <w:iCs/>
          <w:szCs w:val="24"/>
          <w:lang w:val="fr-BE"/>
        </w:rPr>
        <w:t>2014 CSC 66, [2014] 3 R.C.S. 287</w:t>
      </w:r>
      <w:r w:rsidRPr="002256EE">
        <w:rPr>
          <w:rFonts w:cs="Times New Roman"/>
          <w:szCs w:val="24"/>
          <w:lang w:val="fr-CA"/>
        </w:rPr>
        <w:t>.</w:t>
      </w:r>
      <w:r w:rsidRPr="002256EE">
        <w:rPr>
          <w:rFonts w:cs="Times New Roman"/>
          <w:szCs w:val="24"/>
          <w:lang w:val="fr-BE"/>
        </w:rPr>
        <w:t xml:space="preserve"> Il se dit d’avis que, dans cet arrêt, notre Cour confirme qu’un juge peut ordonner à l’État de faire part aux demandeurs l’ensemble des communications interceptées au cours de l’enquête « Octane », et ce en vertu de l’art. 402 du </w:t>
      </w:r>
      <w:r w:rsidRPr="002256EE">
        <w:rPr>
          <w:rFonts w:cs="Times New Roman"/>
          <w:i/>
          <w:szCs w:val="24"/>
          <w:lang w:val="fr-BE"/>
        </w:rPr>
        <w:t>Code de procédure civile</w:t>
      </w:r>
      <w:r w:rsidRPr="002256EE">
        <w:rPr>
          <w:rFonts w:cs="Times New Roman"/>
          <w:szCs w:val="24"/>
          <w:lang w:val="fr-BE"/>
        </w:rPr>
        <w:t>, RLRQ, c. C-25</w:t>
      </w:r>
      <w:r w:rsidRPr="002256EE">
        <w:rPr>
          <w:rFonts w:cs="Times New Roman"/>
          <w:i/>
          <w:szCs w:val="24"/>
          <w:lang w:val="fr-BE"/>
        </w:rPr>
        <w:t xml:space="preserve"> </w:t>
      </w:r>
      <w:r w:rsidRPr="002256EE">
        <w:rPr>
          <w:rFonts w:cs="Times New Roman"/>
          <w:szCs w:val="24"/>
          <w:lang w:val="fr-BE"/>
        </w:rPr>
        <w:t>(« </w:t>
      </w:r>
      <w:proofErr w:type="spellStart"/>
      <w:r w:rsidRPr="002256EE">
        <w:rPr>
          <w:rFonts w:cs="Times New Roman"/>
          <w:szCs w:val="24"/>
          <w:lang w:val="fr-BE"/>
        </w:rPr>
        <w:t>C.p.c</w:t>
      </w:r>
      <w:proofErr w:type="spellEnd"/>
      <w:r w:rsidRPr="002256EE">
        <w:rPr>
          <w:rFonts w:cs="Times New Roman"/>
          <w:szCs w:val="24"/>
          <w:lang w:val="fr-BE"/>
        </w:rPr>
        <w:t xml:space="preserve">. »), alors en vigueur. Il retient que, tout comme sous l’art. 402 du </w:t>
      </w:r>
      <w:proofErr w:type="spellStart"/>
      <w:r w:rsidRPr="002256EE">
        <w:rPr>
          <w:rFonts w:cs="Times New Roman"/>
          <w:szCs w:val="24"/>
          <w:lang w:val="fr-BE"/>
        </w:rPr>
        <w:t>C.p.c</w:t>
      </w:r>
      <w:proofErr w:type="spellEnd"/>
      <w:r w:rsidRPr="002256EE">
        <w:rPr>
          <w:rFonts w:cs="Times New Roman"/>
          <w:szCs w:val="24"/>
          <w:lang w:val="fr-BE"/>
        </w:rPr>
        <w:t>.</w:t>
      </w:r>
      <w:r w:rsidR="007A7D35">
        <w:rPr>
          <w:rFonts w:cs="Times New Roman"/>
          <w:szCs w:val="24"/>
          <w:lang w:val="fr-BE"/>
        </w:rPr>
        <w:t>,</w:t>
      </w:r>
      <w:r w:rsidRPr="002256EE">
        <w:rPr>
          <w:rFonts w:cs="Times New Roman"/>
          <w:szCs w:val="24"/>
          <w:lang w:val="fr-BE"/>
        </w:rPr>
        <w:t xml:space="preserve"> qui était en jeu dans l’arrêt </w:t>
      </w:r>
      <w:r w:rsidRPr="002256EE">
        <w:rPr>
          <w:rFonts w:cs="Times New Roman"/>
          <w:i/>
          <w:szCs w:val="24"/>
          <w:lang w:val="fr-BE"/>
        </w:rPr>
        <w:t>Jacques</w:t>
      </w:r>
      <w:r w:rsidRPr="002256EE">
        <w:rPr>
          <w:rFonts w:cs="Times New Roman"/>
          <w:szCs w:val="24"/>
          <w:lang w:val="fr-BE"/>
        </w:rPr>
        <w:t xml:space="preserve">, l’immunité est écartée sous l’art. </w:t>
      </w:r>
      <w:r w:rsidRPr="002256EE">
        <w:rPr>
          <w:rFonts w:cs="Times New Roman"/>
          <w:szCs w:val="24"/>
          <w:lang w:val="fr-BE"/>
        </w:rPr>
        <w:lastRenderedPageBreak/>
        <w:t xml:space="preserve">398 al. 1(3) du </w:t>
      </w:r>
      <w:proofErr w:type="spellStart"/>
      <w:r w:rsidRPr="002256EE">
        <w:rPr>
          <w:rFonts w:cs="Times New Roman"/>
          <w:szCs w:val="24"/>
          <w:lang w:val="fr-BE"/>
        </w:rPr>
        <w:t>C.p.c</w:t>
      </w:r>
      <w:proofErr w:type="spellEnd"/>
      <w:r w:rsidRPr="002256EE">
        <w:rPr>
          <w:rFonts w:cs="Times New Roman"/>
          <w:szCs w:val="24"/>
          <w:lang w:val="fr-BE"/>
        </w:rPr>
        <w:t>.</w:t>
      </w:r>
      <w:r w:rsidR="007A7D35">
        <w:rPr>
          <w:rFonts w:cs="Times New Roman"/>
          <w:szCs w:val="24"/>
          <w:lang w:val="fr-BE"/>
        </w:rPr>
        <w:t>,</w:t>
      </w:r>
      <w:r w:rsidRPr="002256EE">
        <w:rPr>
          <w:rFonts w:cs="Times New Roman"/>
          <w:szCs w:val="24"/>
          <w:lang w:val="fr-BE"/>
        </w:rPr>
        <w:t xml:space="preserve"> qui porte sur l’interrogatoire préalable, puisque ces deux articles se retrouvent au même chapitre du </w:t>
      </w:r>
      <w:proofErr w:type="spellStart"/>
      <w:r w:rsidRPr="002256EE">
        <w:rPr>
          <w:rFonts w:cs="Times New Roman"/>
          <w:szCs w:val="24"/>
          <w:lang w:val="fr-BE"/>
        </w:rPr>
        <w:t>C.p.c</w:t>
      </w:r>
      <w:proofErr w:type="spellEnd"/>
      <w:r w:rsidRPr="002256EE">
        <w:rPr>
          <w:rFonts w:cs="Times New Roman"/>
          <w:szCs w:val="24"/>
          <w:lang w:val="fr-BE"/>
        </w:rPr>
        <w:t>. intitulé « Des procédures spéciales d’administration de la preuve » (par. 19-20 (</w:t>
      </w:r>
      <w:proofErr w:type="spellStart"/>
      <w:r w:rsidRPr="002256EE">
        <w:rPr>
          <w:rFonts w:cs="Times New Roman"/>
          <w:szCs w:val="24"/>
          <w:lang w:val="fr-BE"/>
        </w:rPr>
        <w:t>CanLII</w:t>
      </w:r>
      <w:proofErr w:type="spellEnd"/>
      <w:r w:rsidRPr="002256EE">
        <w:rPr>
          <w:rFonts w:cs="Times New Roman"/>
          <w:szCs w:val="24"/>
          <w:lang w:val="fr-BE"/>
        </w:rPr>
        <w:t xml:space="preserve">)). </w:t>
      </w:r>
    </w:p>
    <w:p w:rsidR="00017C6D" w:rsidRPr="002256EE" w:rsidRDefault="00017C6D" w:rsidP="00017C6D">
      <w:pPr>
        <w:pStyle w:val="Title2LevelTitre2Niveau"/>
        <w:numPr>
          <w:ilvl w:val="1"/>
          <w:numId w:val="28"/>
        </w:numPr>
        <w:rPr>
          <w:rFonts w:cs="Times New Roman"/>
          <w:szCs w:val="24"/>
          <w:lang w:val="fr-BE"/>
        </w:rPr>
      </w:pPr>
      <w:r w:rsidRPr="002256EE">
        <w:rPr>
          <w:rFonts w:cs="Times New Roman"/>
          <w:lang w:val="fr-CA"/>
        </w:rPr>
        <w:t>Arrêt de la Cour d’appel — 2015 QCCA 2159</w:t>
      </w:r>
    </w:p>
    <w:p w:rsidR="00017C6D" w:rsidRPr="002256EE" w:rsidRDefault="00017C6D" w:rsidP="00017C6D">
      <w:pPr>
        <w:pStyle w:val="ParaNoNdepar-AltN"/>
        <w:rPr>
          <w:rFonts w:cs="Times New Roman"/>
          <w:lang w:val="fr-CA"/>
        </w:rPr>
      </w:pPr>
      <w:r w:rsidRPr="002256EE">
        <w:rPr>
          <w:rFonts w:cs="Times New Roman"/>
          <w:lang w:val="fr-CA"/>
        </w:rPr>
        <w:t xml:space="preserve">La Cour d’appel, sous la plume du juge </w:t>
      </w:r>
      <w:proofErr w:type="spellStart"/>
      <w:r w:rsidRPr="002256EE">
        <w:rPr>
          <w:rFonts w:cs="Times New Roman"/>
          <w:lang w:val="fr-CA"/>
        </w:rPr>
        <w:t>Émond</w:t>
      </w:r>
      <w:proofErr w:type="spellEnd"/>
      <w:r w:rsidRPr="002256EE">
        <w:rPr>
          <w:rFonts w:cs="Times New Roman"/>
          <w:lang w:val="fr-CA"/>
        </w:rPr>
        <w:t xml:space="preserve">, est pour sa part d’avis que, dans </w:t>
      </w:r>
      <w:r w:rsidRPr="002256EE">
        <w:rPr>
          <w:rFonts w:cs="Times New Roman"/>
          <w:i/>
          <w:lang w:val="fr-CA"/>
        </w:rPr>
        <w:t>Jacques</w:t>
      </w:r>
      <w:r w:rsidRPr="002256EE">
        <w:rPr>
          <w:rFonts w:cs="Times New Roman"/>
          <w:lang w:val="fr-CA"/>
        </w:rPr>
        <w:t xml:space="preserve">, notre Cour ne s’est pas prononcée sur l’immunité de l’État en vertu de la LRCE; cette question demeure donc non résolue. Cela étant, la Cour d’appel procède à sa propre interprétation de cette loi afin de déterminer si celle-ci écarte expressément l’immunité de l’État codifiée à l’art. 17 de la </w:t>
      </w:r>
      <w:r w:rsidRPr="002256EE">
        <w:rPr>
          <w:rFonts w:cs="Times New Roman"/>
          <w:i/>
          <w:lang w:val="fr-CA"/>
        </w:rPr>
        <w:t>Loi d’interprétation</w:t>
      </w:r>
      <w:r w:rsidRPr="002256EE">
        <w:rPr>
          <w:rFonts w:cs="Times New Roman"/>
          <w:lang w:val="fr-CA"/>
        </w:rPr>
        <w:t xml:space="preserve">, L.R.C. 1985, c. I-21, permettant ainsi de l’assujettir aux règles de l’interrogatoire préalable prévues au </w:t>
      </w:r>
      <w:proofErr w:type="spellStart"/>
      <w:r w:rsidRPr="002256EE">
        <w:rPr>
          <w:rFonts w:cs="Times New Roman"/>
          <w:lang w:val="fr-CA"/>
        </w:rPr>
        <w:t>C.p.c</w:t>
      </w:r>
      <w:proofErr w:type="spellEnd"/>
      <w:r w:rsidRPr="002256EE">
        <w:rPr>
          <w:rFonts w:cs="Times New Roman"/>
          <w:lang w:val="fr-CA"/>
        </w:rPr>
        <w:t xml:space="preserve">. même lorsqu’il n’est pas partie au litige. </w:t>
      </w:r>
    </w:p>
    <w:p w:rsidR="00017C6D" w:rsidRPr="002256EE" w:rsidRDefault="00017C6D" w:rsidP="00017C6D">
      <w:pPr>
        <w:pStyle w:val="ParaNoNdepar-AltN"/>
        <w:tabs>
          <w:tab w:val="clear" w:pos="1152"/>
          <w:tab w:val="left" w:pos="1166"/>
          <w:tab w:val="num" w:pos="1422"/>
        </w:tabs>
        <w:rPr>
          <w:rFonts w:cs="Times New Roman"/>
          <w:lang w:val="fr-CA"/>
        </w:rPr>
      </w:pPr>
      <w:r w:rsidRPr="002256EE">
        <w:rPr>
          <w:rFonts w:cs="Times New Roman"/>
          <w:lang w:val="fr-BE"/>
        </w:rPr>
        <w:t xml:space="preserve">La Cour d’appel ne retient pas l’interprétation proposée par le </w:t>
      </w:r>
      <w:r w:rsidRPr="002256EE">
        <w:rPr>
          <w:rFonts w:cs="Times New Roman"/>
          <w:szCs w:val="24"/>
          <w:lang w:val="fr-BE"/>
        </w:rPr>
        <w:t>PGC</w:t>
      </w:r>
      <w:r w:rsidRPr="002256EE">
        <w:rPr>
          <w:rFonts w:cs="Times New Roman"/>
          <w:szCs w:val="24"/>
          <w:lang w:val="fr-CA"/>
        </w:rPr>
        <w:t xml:space="preserve"> </w:t>
      </w:r>
      <w:r w:rsidRPr="002256EE">
        <w:rPr>
          <w:rFonts w:cs="Times New Roman"/>
          <w:lang w:val="fr-CA"/>
        </w:rPr>
        <w:t>voulant que l’ensemble des dispositions de la partie II de la LRCE, y compris l’art. 27 qui prévoit que « les instances suivent les règles de pratique et de procédure du tribunal saisi », ne s’applique qu’aux litiges où l’État est poursuivi. Elle s’appuie en partie sur la règle d’uniformité d’expression (</w:t>
      </w:r>
      <w:proofErr w:type="spellStart"/>
      <w:r w:rsidRPr="002256EE">
        <w:rPr>
          <w:rFonts w:cs="Times New Roman"/>
          <w:i/>
          <w:lang w:val="fr-CA"/>
        </w:rPr>
        <w:t>expressio</w:t>
      </w:r>
      <w:proofErr w:type="spellEnd"/>
      <w:r w:rsidRPr="002256EE">
        <w:rPr>
          <w:rFonts w:cs="Times New Roman"/>
          <w:i/>
          <w:lang w:val="fr-CA"/>
        </w:rPr>
        <w:t xml:space="preserve"> </w:t>
      </w:r>
      <w:proofErr w:type="spellStart"/>
      <w:r w:rsidRPr="002256EE">
        <w:rPr>
          <w:rFonts w:cs="Times New Roman"/>
          <w:i/>
          <w:lang w:val="fr-CA"/>
        </w:rPr>
        <w:t>unius</w:t>
      </w:r>
      <w:proofErr w:type="spellEnd"/>
      <w:r w:rsidRPr="002256EE">
        <w:rPr>
          <w:rFonts w:cs="Times New Roman"/>
          <w:i/>
          <w:lang w:val="fr-CA"/>
        </w:rPr>
        <w:t xml:space="preserve"> est </w:t>
      </w:r>
      <w:proofErr w:type="spellStart"/>
      <w:r w:rsidRPr="002256EE">
        <w:rPr>
          <w:rFonts w:cs="Times New Roman"/>
          <w:i/>
          <w:lang w:val="fr-CA"/>
        </w:rPr>
        <w:t>exclusio</w:t>
      </w:r>
      <w:proofErr w:type="spellEnd"/>
      <w:r w:rsidRPr="002256EE">
        <w:rPr>
          <w:rFonts w:cs="Times New Roman"/>
          <w:i/>
          <w:lang w:val="fr-CA"/>
        </w:rPr>
        <w:t xml:space="preserve"> </w:t>
      </w:r>
      <w:proofErr w:type="spellStart"/>
      <w:r w:rsidRPr="002256EE">
        <w:rPr>
          <w:rFonts w:cs="Times New Roman"/>
          <w:i/>
          <w:lang w:val="fr-CA"/>
        </w:rPr>
        <w:t>alterius</w:t>
      </w:r>
      <w:proofErr w:type="spellEnd"/>
      <w:r w:rsidRPr="002256EE">
        <w:rPr>
          <w:rFonts w:cs="Times New Roman"/>
          <w:lang w:val="fr-CA"/>
        </w:rPr>
        <w:t>) pour conclure que l’absence de termes clairs limitant</w:t>
      </w:r>
      <w:r w:rsidRPr="002256EE">
        <w:rPr>
          <w:rFonts w:cs="Times New Roman"/>
          <w:lang w:val="fr-BE"/>
        </w:rPr>
        <w:t xml:space="preserve"> expressément </w:t>
      </w:r>
      <w:r w:rsidRPr="002256EE">
        <w:rPr>
          <w:rFonts w:cs="Times New Roman"/>
          <w:lang w:val="fr-CA"/>
        </w:rPr>
        <w:t xml:space="preserve">l’application de l’art. 27 aux seuls litiges où l’État est poursuivi milite en faveur de l’absence d’une immunité de l’État et de la possibilité de l’assujettir à un interrogatoire préalable en l’espèce. La cour est d’avis que </w:t>
      </w:r>
      <w:r w:rsidRPr="002256EE">
        <w:rPr>
          <w:rFonts w:cs="Times New Roman"/>
          <w:shd w:val="clear" w:color="auto" w:fill="FFFFFF"/>
          <w:lang w:val="fr-CA"/>
        </w:rPr>
        <w:t xml:space="preserve">l’art. 27 énonce une règle générale applicable dans </w:t>
      </w:r>
      <w:r w:rsidRPr="002256EE">
        <w:rPr>
          <w:rFonts w:cs="Times New Roman"/>
          <w:i/>
          <w:shd w:val="clear" w:color="auto" w:fill="FFFFFF"/>
          <w:lang w:val="fr-CA"/>
        </w:rPr>
        <w:t>tout</w:t>
      </w:r>
      <w:r w:rsidRPr="002256EE">
        <w:rPr>
          <w:rFonts w:cs="Times New Roman"/>
          <w:shd w:val="clear" w:color="auto" w:fill="FFFFFF"/>
          <w:lang w:val="fr-CA"/>
        </w:rPr>
        <w:t xml:space="preserve"> litige susceptible d’intéresser l’État, à titre de partie ou autrement. </w:t>
      </w:r>
      <w:r w:rsidRPr="002256EE">
        <w:rPr>
          <w:rFonts w:cs="Times New Roman"/>
          <w:lang w:val="fr-CA"/>
        </w:rPr>
        <w:t xml:space="preserve">Si le législateur avait voulu que la </w:t>
      </w:r>
      <w:r w:rsidRPr="002256EE">
        <w:rPr>
          <w:rFonts w:cs="Times New Roman"/>
          <w:lang w:val="fr-CA"/>
        </w:rPr>
        <w:lastRenderedPageBreak/>
        <w:t>règle</w:t>
      </w:r>
      <w:r w:rsidRPr="002256EE">
        <w:rPr>
          <w:rFonts w:cs="Times New Roman"/>
          <w:shd w:val="clear" w:color="auto" w:fill="FFFFFF"/>
          <w:lang w:val="fr-CA"/>
        </w:rPr>
        <w:t xml:space="preserve"> </w:t>
      </w:r>
      <w:r w:rsidRPr="002256EE">
        <w:rPr>
          <w:rFonts w:cs="Times New Roman"/>
          <w:lang w:val="fr-CA"/>
        </w:rPr>
        <w:t>énoncée à l’art. 27 ne s’applique qu’aux litiges où l’État est une partie ou est poursuivi, il</w:t>
      </w:r>
      <w:r w:rsidRPr="002256EE">
        <w:rPr>
          <w:rFonts w:cs="Times New Roman"/>
          <w:shd w:val="clear" w:color="auto" w:fill="FFFFFF"/>
          <w:lang w:val="fr-CA"/>
        </w:rPr>
        <w:t xml:space="preserve"> </w:t>
      </w:r>
      <w:r w:rsidRPr="002256EE">
        <w:rPr>
          <w:rFonts w:cs="Times New Roman"/>
          <w:lang w:val="fr-CA"/>
        </w:rPr>
        <w:t xml:space="preserve">l’aurait précisé, comme il le fait ailleurs dans la LRCE. </w:t>
      </w:r>
    </w:p>
    <w:p w:rsidR="00017C6D" w:rsidRPr="002256EE" w:rsidRDefault="00017C6D" w:rsidP="00017C6D">
      <w:pPr>
        <w:pStyle w:val="ParaNoNdepar-AltN"/>
        <w:tabs>
          <w:tab w:val="clear" w:pos="1152"/>
          <w:tab w:val="left" w:pos="1166"/>
          <w:tab w:val="num" w:pos="1422"/>
        </w:tabs>
        <w:rPr>
          <w:rFonts w:cs="Times New Roman"/>
          <w:szCs w:val="24"/>
          <w:lang w:val="fr-CA"/>
        </w:rPr>
      </w:pPr>
      <w:r w:rsidRPr="002256EE">
        <w:rPr>
          <w:rFonts w:cs="Times New Roman"/>
          <w:szCs w:val="24"/>
          <w:lang w:val="fr-CA"/>
        </w:rPr>
        <w:t xml:space="preserve">La Cour </w:t>
      </w:r>
      <w:proofErr w:type="gramStart"/>
      <w:r w:rsidRPr="002256EE">
        <w:rPr>
          <w:rFonts w:cs="Times New Roman"/>
          <w:szCs w:val="24"/>
          <w:lang w:val="fr-CA"/>
        </w:rPr>
        <w:t>d’appel conclut</w:t>
      </w:r>
      <w:proofErr w:type="gramEnd"/>
      <w:r w:rsidRPr="002256EE">
        <w:rPr>
          <w:rFonts w:cs="Times New Roman"/>
          <w:szCs w:val="24"/>
          <w:lang w:val="fr-CA"/>
        </w:rPr>
        <w:t xml:space="preserve"> que l’art. 27 de la LRCE écarte donc l’immunité de l’État et que l’enquêteur-chef peut être interrogé au préalable conformément au </w:t>
      </w:r>
      <w:proofErr w:type="spellStart"/>
      <w:r w:rsidRPr="002256EE">
        <w:rPr>
          <w:rFonts w:cs="Times New Roman"/>
          <w:szCs w:val="24"/>
          <w:lang w:val="fr-CA"/>
        </w:rPr>
        <w:t>C.p.c</w:t>
      </w:r>
      <w:proofErr w:type="spellEnd"/>
      <w:r w:rsidRPr="002256EE">
        <w:rPr>
          <w:rFonts w:cs="Times New Roman"/>
          <w:szCs w:val="24"/>
          <w:lang w:val="fr-CA"/>
        </w:rPr>
        <w:t>. même si l’État n’est pas partie au litige. La cour est aussi d’avis que le juge de première instance a adéquatement soupesé la question de la proportionnalité de l’interrogatoire préalable. Considérant le degré de déférence qui s’impose envers une décision de gestion d’instance</w:t>
      </w:r>
      <w:r w:rsidRPr="002256EE">
        <w:rPr>
          <w:rFonts w:cs="Times New Roman"/>
          <w:szCs w:val="24"/>
          <w:lang w:val="fr-BE"/>
        </w:rPr>
        <w:t xml:space="preserve">, elle estime qu’il n’y a pas lieu d’intervenir en appel. </w:t>
      </w:r>
    </w:p>
    <w:p w:rsidR="00017C6D" w:rsidRPr="002256EE" w:rsidRDefault="00017C6D" w:rsidP="00017C6D">
      <w:pPr>
        <w:pStyle w:val="Title1LevelTitre1Niveau-AltL"/>
        <w:numPr>
          <w:ilvl w:val="0"/>
          <w:numId w:val="28"/>
        </w:numPr>
        <w:rPr>
          <w:rFonts w:cs="Times New Roman"/>
        </w:rPr>
      </w:pPr>
      <w:r w:rsidRPr="002256EE">
        <w:rPr>
          <w:rFonts w:cs="Times New Roman"/>
        </w:rPr>
        <w:t xml:space="preserve">Questions </w:t>
      </w:r>
      <w:proofErr w:type="spellStart"/>
      <w:r w:rsidRPr="002256EE">
        <w:rPr>
          <w:rFonts w:cs="Times New Roman"/>
        </w:rPr>
        <w:t>en</w:t>
      </w:r>
      <w:proofErr w:type="spellEnd"/>
      <w:r w:rsidRPr="002256EE">
        <w:rPr>
          <w:rFonts w:cs="Times New Roman"/>
        </w:rPr>
        <w:t xml:space="preserve"> </w:t>
      </w:r>
      <w:proofErr w:type="spellStart"/>
      <w:r w:rsidRPr="002256EE">
        <w:rPr>
          <w:rFonts w:cs="Times New Roman"/>
        </w:rPr>
        <w:t>litige</w:t>
      </w:r>
      <w:proofErr w:type="spellEnd"/>
    </w:p>
    <w:p w:rsidR="00017C6D" w:rsidRPr="002256EE" w:rsidRDefault="00017C6D" w:rsidP="00017C6D">
      <w:pPr>
        <w:pStyle w:val="ParaNoNdepar-AltN"/>
        <w:rPr>
          <w:rFonts w:cs="Times New Roman"/>
          <w:lang w:val="fr-BE"/>
        </w:rPr>
      </w:pPr>
      <w:r w:rsidRPr="002256EE">
        <w:rPr>
          <w:rFonts w:cs="Times New Roman"/>
          <w:lang w:val="fr-BE"/>
        </w:rPr>
        <w:t xml:space="preserve">Le PGC et les autres appelants, des pétrolières et des détaillants, soutiennent que la Cour d’appel a erré en concluant que l’art. 27 de la LRCE permet d’assujettir l’État aux règles de procédure civile québécoises de telle sorte que l’enquêteur-chef puisse être interrogé au préalable sans que l’État ne soit partie au litige. La question centrale que soulève ce pourvoi est de savoir si le législateur a écarté de façon claire et non équivoque l’immunité de l’État dans un tel cas. Si nous répondons à cette question par l’affirmative, les appelants soutiennent par ailleurs que l’interrogatoire a été erronément autorisé, en contravention des principes du </w:t>
      </w:r>
      <w:proofErr w:type="spellStart"/>
      <w:r w:rsidRPr="002256EE">
        <w:rPr>
          <w:rFonts w:cs="Times New Roman"/>
          <w:lang w:val="fr-BE"/>
        </w:rPr>
        <w:t>C.p.c</w:t>
      </w:r>
      <w:proofErr w:type="spellEnd"/>
      <w:r w:rsidRPr="002256EE">
        <w:rPr>
          <w:rFonts w:cs="Times New Roman"/>
          <w:lang w:val="fr-BE"/>
        </w:rPr>
        <w:t xml:space="preserve">. qui régissent la communication de la preuve, dont celui de la proportionnalité. </w:t>
      </w:r>
    </w:p>
    <w:p w:rsidR="00017C6D" w:rsidRPr="002256EE" w:rsidRDefault="00017C6D" w:rsidP="00017C6D">
      <w:pPr>
        <w:pStyle w:val="Title1LevelTitre1Niveau-AltL"/>
        <w:rPr>
          <w:rFonts w:cs="Times New Roman"/>
          <w:lang w:val="fr-CA"/>
        </w:rPr>
      </w:pPr>
      <w:r w:rsidRPr="002256EE">
        <w:rPr>
          <w:rFonts w:cs="Times New Roman"/>
          <w:lang w:val="fr-CA"/>
        </w:rPr>
        <w:t xml:space="preserve">Dispositions législatives pertinentes </w:t>
      </w:r>
    </w:p>
    <w:p w:rsidR="00017C6D" w:rsidRPr="002256EE" w:rsidRDefault="00017C6D" w:rsidP="00017C6D">
      <w:pPr>
        <w:pStyle w:val="ParaNoNdepar-AltN"/>
        <w:tabs>
          <w:tab w:val="clear" w:pos="1152"/>
          <w:tab w:val="left" w:pos="1166"/>
        </w:tabs>
        <w:rPr>
          <w:rFonts w:cs="Times New Roman"/>
          <w:szCs w:val="24"/>
          <w:lang w:val="fr-CA"/>
        </w:rPr>
      </w:pPr>
      <w:r w:rsidRPr="002256EE">
        <w:rPr>
          <w:rFonts w:cs="Times New Roman"/>
          <w:szCs w:val="24"/>
          <w:lang w:val="fr-CA"/>
        </w:rPr>
        <w:lastRenderedPageBreak/>
        <w:t xml:space="preserve">L’immunité de l’État est reconnue à l’art. 17 de la </w:t>
      </w:r>
      <w:r w:rsidRPr="002256EE">
        <w:rPr>
          <w:rFonts w:cs="Times New Roman"/>
          <w:i/>
          <w:szCs w:val="24"/>
          <w:lang w:val="fr-CA"/>
        </w:rPr>
        <w:t>Loi d’interprétation</w:t>
      </w:r>
      <w:r w:rsidRPr="002256EE">
        <w:rPr>
          <w:rFonts w:cs="Times New Roman"/>
          <w:szCs w:val="24"/>
          <w:lang w:val="fr-CA"/>
        </w:rPr>
        <w:t xml:space="preserve">, qui est libellé comme suit : </w:t>
      </w:r>
    </w:p>
    <w:p w:rsidR="00017C6D" w:rsidRPr="002256EE" w:rsidRDefault="00017C6D" w:rsidP="00017C6D">
      <w:pPr>
        <w:pStyle w:val="Citation-AltC"/>
        <w:rPr>
          <w:lang w:val="fr-CA"/>
        </w:rPr>
      </w:pPr>
      <w:r w:rsidRPr="002256EE">
        <w:rPr>
          <w:b/>
          <w:lang w:val="fr-CA"/>
        </w:rPr>
        <w:t>17</w:t>
      </w:r>
      <w:r w:rsidRPr="002256EE">
        <w:rPr>
          <w:lang w:val="fr-CA"/>
        </w:rPr>
        <w:t xml:space="preserve"> Sauf indication contraire y figurant, nul texte ne lie Sa Majesté ni n’a d’effet sur ses droits et prérogatives.</w:t>
      </w:r>
    </w:p>
    <w:p w:rsidR="00017C6D" w:rsidRPr="002256EE" w:rsidRDefault="00017C6D" w:rsidP="00017C6D">
      <w:pPr>
        <w:pStyle w:val="ParaNoNdepar-AltN"/>
        <w:tabs>
          <w:tab w:val="clear" w:pos="1152"/>
          <w:tab w:val="left" w:pos="1166"/>
        </w:tabs>
        <w:rPr>
          <w:rFonts w:cs="Times New Roman"/>
          <w:szCs w:val="24"/>
          <w:lang w:val="fr-BE"/>
        </w:rPr>
      </w:pPr>
      <w:r w:rsidRPr="002256EE">
        <w:rPr>
          <w:rFonts w:cs="Times New Roman"/>
          <w:szCs w:val="24"/>
          <w:lang w:val="fr-BE"/>
        </w:rPr>
        <w:t>Les intimés y opposent l’art. 27 de la LRCE. Selon eux, cette disposition permet d’assujettir l’État aux règles de pratique et de procédure des tribunaux du Québec en l’espèce, même s’il n’est pas partie au litige. C’est également l’interprétation qu’a adoptée la Cour d’appel. L’article 27 de la LRCE édicte ce qui suit :</w:t>
      </w:r>
    </w:p>
    <w:p w:rsidR="00017C6D" w:rsidRPr="002256EE" w:rsidRDefault="00017C6D" w:rsidP="00017C6D">
      <w:pPr>
        <w:pStyle w:val="Citation-AltC"/>
        <w:rPr>
          <w:lang w:val="fr-CA"/>
        </w:rPr>
      </w:pPr>
      <w:r w:rsidRPr="002256EE">
        <w:rPr>
          <w:b/>
          <w:lang w:val="fr-CA" w:eastAsia="fr-CA"/>
        </w:rPr>
        <w:t>27</w:t>
      </w:r>
      <w:r w:rsidRPr="002256EE">
        <w:rPr>
          <w:lang w:val="fr-CA" w:eastAsia="fr-CA"/>
        </w:rPr>
        <w:t> Sauf disposition contraire de la présente loi ou de ses règlements, les instances suivent les règles de pratique et de procédure du tribunal saisi.</w:t>
      </w:r>
    </w:p>
    <w:p w:rsidR="00017C6D" w:rsidRPr="002256EE" w:rsidRDefault="00017C6D" w:rsidP="00017C6D">
      <w:pPr>
        <w:pStyle w:val="ParaNoNdepar-AltN"/>
        <w:tabs>
          <w:tab w:val="clear" w:pos="1152"/>
          <w:tab w:val="left" w:pos="1166"/>
        </w:tabs>
        <w:rPr>
          <w:rFonts w:cs="Times New Roman"/>
          <w:szCs w:val="24"/>
          <w:lang w:val="fr-BE"/>
        </w:rPr>
      </w:pPr>
      <w:r w:rsidRPr="002256EE">
        <w:rPr>
          <w:rFonts w:cs="Times New Roman"/>
          <w:szCs w:val="24"/>
          <w:lang w:val="fr-BE"/>
        </w:rPr>
        <w:t xml:space="preserve">L’article 34 de la LRCE est aussi pertinent au débat. Il permet au gouverneur en conseil de rédiger des règlements relatifs à la procédure applicable aux poursuites intéressant l’État : </w:t>
      </w:r>
    </w:p>
    <w:p w:rsidR="00017C6D" w:rsidRPr="002256EE" w:rsidRDefault="00017C6D" w:rsidP="00017C6D">
      <w:pPr>
        <w:pStyle w:val="Citation-AltC"/>
        <w:ind w:left="1530" w:hanging="364"/>
        <w:rPr>
          <w:lang w:val="fr-CA"/>
        </w:rPr>
      </w:pPr>
      <w:r w:rsidRPr="002256EE">
        <w:rPr>
          <w:b/>
          <w:lang w:val="fr-CA" w:eastAsia="fr-CA"/>
        </w:rPr>
        <w:t>34</w:t>
      </w:r>
      <w:r w:rsidRPr="002256EE">
        <w:rPr>
          <w:lang w:val="fr-CA" w:eastAsia="fr-CA"/>
        </w:rPr>
        <w:tab/>
      </w:r>
      <w:r w:rsidRPr="002256EE">
        <w:rPr>
          <w:lang w:val="fr-CA"/>
        </w:rPr>
        <w:t>Le gouverneur en conseil peut, par règlement :</w:t>
      </w:r>
    </w:p>
    <w:p w:rsidR="00017C6D" w:rsidRPr="002256EE" w:rsidRDefault="00017C6D" w:rsidP="00017C6D">
      <w:pPr>
        <w:pStyle w:val="Citation-AltC"/>
        <w:rPr>
          <w:lang w:val="fr-CA"/>
        </w:rPr>
      </w:pPr>
    </w:p>
    <w:p w:rsidR="00017C6D" w:rsidRPr="002256EE" w:rsidRDefault="00017C6D" w:rsidP="00EC720F">
      <w:pPr>
        <w:pStyle w:val="Citation-AltC"/>
        <w:tabs>
          <w:tab w:val="left" w:pos="1890"/>
        </w:tabs>
        <w:ind w:left="1530"/>
        <w:rPr>
          <w:lang w:val="fr-CA" w:eastAsia="fr-CA"/>
        </w:rPr>
      </w:pPr>
      <w:r w:rsidRPr="002256EE">
        <w:rPr>
          <w:b/>
          <w:lang w:val="fr-CA" w:eastAsia="fr-CA"/>
        </w:rPr>
        <w:t>a)</w:t>
      </w:r>
      <w:r w:rsidR="00EC720F">
        <w:rPr>
          <w:lang w:val="fr-CA" w:eastAsia="fr-CA"/>
        </w:rPr>
        <w:tab/>
      </w:r>
      <w:r w:rsidRPr="002256EE">
        <w:rPr>
          <w:lang w:val="fr-CA" w:eastAsia="fr-CA"/>
        </w:rPr>
        <w:t>prescrire des règles de pratique et de procédure applicables lors des poursuites intéressant l’État, à titre de partie ou autrement, ainsi que fixer les tarifs d’honoraires et les dépens;</w:t>
      </w:r>
    </w:p>
    <w:p w:rsidR="00017C6D" w:rsidRPr="002256EE" w:rsidRDefault="00017C6D" w:rsidP="00017C6D">
      <w:pPr>
        <w:pStyle w:val="Citation-AltC"/>
        <w:ind w:left="2070" w:hanging="450"/>
        <w:rPr>
          <w:lang w:val="fr-CA" w:eastAsia="fr-CA"/>
        </w:rPr>
      </w:pPr>
    </w:p>
    <w:p w:rsidR="00017C6D" w:rsidRPr="002256EE" w:rsidRDefault="00017C6D" w:rsidP="00EC720F">
      <w:pPr>
        <w:pStyle w:val="Citation-AltC"/>
        <w:tabs>
          <w:tab w:val="left" w:pos="1890"/>
        </w:tabs>
        <w:ind w:left="1530"/>
        <w:rPr>
          <w:lang w:val="fr-CA" w:eastAsia="fr-CA"/>
        </w:rPr>
      </w:pPr>
      <w:r w:rsidRPr="002256EE">
        <w:rPr>
          <w:b/>
          <w:lang w:val="fr-CA" w:eastAsia="fr-CA"/>
        </w:rPr>
        <w:t>b)</w:t>
      </w:r>
      <w:r w:rsidRPr="002256EE">
        <w:rPr>
          <w:lang w:val="fr-CA" w:eastAsia="fr-CA"/>
        </w:rPr>
        <w:tab/>
        <w:t>établir des modèles ou formulaires relatifs à ces poursuites;</w:t>
      </w:r>
    </w:p>
    <w:p w:rsidR="00017C6D" w:rsidRPr="002256EE" w:rsidRDefault="00017C6D" w:rsidP="00EC720F">
      <w:pPr>
        <w:pStyle w:val="Citation-AltC"/>
        <w:tabs>
          <w:tab w:val="left" w:pos="1890"/>
        </w:tabs>
        <w:ind w:left="1530"/>
        <w:rPr>
          <w:lang w:val="fr-CA" w:eastAsia="fr-CA"/>
        </w:rPr>
      </w:pPr>
    </w:p>
    <w:p w:rsidR="00017C6D" w:rsidRPr="002256EE" w:rsidRDefault="00017C6D" w:rsidP="00EC720F">
      <w:pPr>
        <w:pStyle w:val="Citation-AltC"/>
        <w:tabs>
          <w:tab w:val="left" w:pos="1890"/>
        </w:tabs>
        <w:ind w:left="1530"/>
        <w:rPr>
          <w:lang w:val="fr-CA" w:eastAsia="fr-CA"/>
        </w:rPr>
      </w:pPr>
      <w:r w:rsidRPr="002256EE">
        <w:rPr>
          <w:b/>
          <w:lang w:val="fr-CA" w:eastAsia="fr-CA"/>
        </w:rPr>
        <w:t>c)</w:t>
      </w:r>
      <w:r w:rsidRPr="002256EE">
        <w:rPr>
          <w:b/>
          <w:lang w:val="fr-CA" w:eastAsia="fr-CA"/>
        </w:rPr>
        <w:tab/>
      </w:r>
      <w:r w:rsidRPr="002256EE">
        <w:rPr>
          <w:lang w:val="fr-CA" w:eastAsia="fr-CA"/>
        </w:rPr>
        <w:t>régir la délivrance des certificats de jugements rendus contre l’État;</w:t>
      </w:r>
    </w:p>
    <w:p w:rsidR="00017C6D" w:rsidRPr="002256EE" w:rsidRDefault="00017C6D" w:rsidP="00017C6D">
      <w:pPr>
        <w:pStyle w:val="Citation-AltC"/>
        <w:ind w:left="2070" w:hanging="450"/>
        <w:rPr>
          <w:lang w:val="fr-CA" w:eastAsia="fr-CA"/>
        </w:rPr>
      </w:pPr>
    </w:p>
    <w:p w:rsidR="00017C6D" w:rsidRPr="002256EE" w:rsidRDefault="00017C6D" w:rsidP="00EC720F">
      <w:pPr>
        <w:pStyle w:val="Citation-AltC"/>
        <w:tabs>
          <w:tab w:val="left" w:pos="1890"/>
        </w:tabs>
        <w:ind w:left="1530"/>
        <w:rPr>
          <w:lang w:val="fr-CA" w:eastAsia="fr-CA"/>
        </w:rPr>
      </w:pPr>
      <w:r w:rsidRPr="002256EE">
        <w:rPr>
          <w:b/>
          <w:lang w:val="fr-CA" w:eastAsia="fr-CA"/>
        </w:rPr>
        <w:lastRenderedPageBreak/>
        <w:t>d)</w:t>
      </w:r>
      <w:r w:rsidRPr="002256EE">
        <w:rPr>
          <w:b/>
          <w:lang w:val="fr-CA" w:eastAsia="fr-CA"/>
        </w:rPr>
        <w:tab/>
      </w:r>
      <w:r w:rsidRPr="002256EE">
        <w:rPr>
          <w:lang w:val="fr-CA" w:eastAsia="fr-CA"/>
        </w:rPr>
        <w:t>appliquer aux poursuites intéressant l’État, à titre de partie ou autrement, toute règle de preuve applicable entre particuliers;</w:t>
      </w:r>
    </w:p>
    <w:p w:rsidR="00017C6D" w:rsidRPr="002256EE" w:rsidRDefault="00017C6D" w:rsidP="00017C6D">
      <w:pPr>
        <w:pStyle w:val="Citation-AltC"/>
        <w:ind w:left="2070" w:hanging="450"/>
        <w:rPr>
          <w:lang w:val="fr-CA" w:eastAsia="fr-CA"/>
        </w:rPr>
      </w:pPr>
    </w:p>
    <w:p w:rsidR="00017C6D" w:rsidRPr="002256EE" w:rsidRDefault="00017C6D" w:rsidP="00EC720F">
      <w:pPr>
        <w:pStyle w:val="Citation-AltC"/>
        <w:tabs>
          <w:tab w:val="left" w:pos="1890"/>
        </w:tabs>
        <w:ind w:left="1530"/>
        <w:rPr>
          <w:lang w:val="fr-CA"/>
        </w:rPr>
      </w:pPr>
      <w:r w:rsidRPr="002256EE">
        <w:rPr>
          <w:b/>
          <w:lang w:val="fr-CA" w:eastAsia="fr-CA"/>
        </w:rPr>
        <w:t>e)</w:t>
      </w:r>
      <w:r w:rsidRPr="002256EE">
        <w:rPr>
          <w:lang w:val="fr-CA" w:eastAsia="fr-CA"/>
        </w:rPr>
        <w:tab/>
        <w:t>d’une façon générale, prendre toute mesure nécessaire relativement aux poursuites intéressant l’État, à titre de partie ou autrement.</w:t>
      </w:r>
    </w:p>
    <w:p w:rsidR="00017C6D" w:rsidRPr="002256EE" w:rsidRDefault="00017C6D" w:rsidP="00017C6D">
      <w:pPr>
        <w:pStyle w:val="ParaNoNdepar-AltN"/>
        <w:tabs>
          <w:tab w:val="clear" w:pos="1152"/>
          <w:tab w:val="left" w:pos="1166"/>
        </w:tabs>
        <w:rPr>
          <w:rFonts w:cs="Times New Roman"/>
          <w:szCs w:val="24"/>
          <w:lang w:val="fr-CA"/>
        </w:rPr>
      </w:pPr>
      <w:r w:rsidRPr="002256EE">
        <w:rPr>
          <w:rFonts w:cs="Times New Roman"/>
          <w:szCs w:val="24"/>
          <w:lang w:val="fr-CA"/>
        </w:rPr>
        <w:t xml:space="preserve">L’article 7 du </w:t>
      </w:r>
      <w:r w:rsidRPr="002256EE">
        <w:rPr>
          <w:rFonts w:cs="Times New Roman"/>
          <w:i/>
          <w:szCs w:val="24"/>
          <w:lang w:val="fr-CA"/>
        </w:rPr>
        <w:t>Règlement sur la responsabilité civile de l’État et le contentieux administratif (tribunaux provinciaux)</w:t>
      </w:r>
      <w:r w:rsidRPr="002256EE">
        <w:rPr>
          <w:rFonts w:cs="Times New Roman"/>
          <w:szCs w:val="24"/>
          <w:lang w:val="fr-CA"/>
        </w:rPr>
        <w:t>, DORS/91-604 (« Règlement »), a aussi été invoqué par les parties au pourvoi :</w:t>
      </w:r>
    </w:p>
    <w:p w:rsidR="00017C6D" w:rsidRPr="002256EE" w:rsidRDefault="00017C6D" w:rsidP="00017C6D">
      <w:pPr>
        <w:pStyle w:val="Citation-AltC"/>
        <w:rPr>
          <w:lang w:val="fr-CA"/>
        </w:rPr>
      </w:pPr>
      <w:r w:rsidRPr="002256EE">
        <w:rPr>
          <w:b/>
          <w:lang w:val="fr-CA" w:eastAsia="fr-CA"/>
        </w:rPr>
        <w:t>7</w:t>
      </w:r>
      <w:r w:rsidRPr="002256EE">
        <w:rPr>
          <w:lang w:val="fr-CA" w:eastAsia="fr-CA"/>
        </w:rPr>
        <w:t xml:space="preserve"> Sous réserve des articles 37 à 39 de la </w:t>
      </w:r>
      <w:r w:rsidRPr="002256EE">
        <w:rPr>
          <w:i/>
          <w:lang w:val="fr-CA" w:eastAsia="fr-CA"/>
        </w:rPr>
        <w:t>Loi sur la preuve au Canada</w:t>
      </w:r>
      <w:r w:rsidRPr="002256EE">
        <w:rPr>
          <w:lang w:val="fr-CA" w:eastAsia="fr-CA"/>
        </w:rPr>
        <w:t>, lorsque les règles provinciales prévoient, pour une action entre une personne morale (autre qu’un organisme mandataire de l’État) et une autre personne, qu’un dirigeant ou un préposé de la personne morale peut être interrogé au préalable, un fonctionnaire ou un préposé de l’État ou de l’organisme mandataire de l’État, selon le cas, que le sous-procureur général ou le tribunal, par ordonnance, désigne à cette fin peut être interrogé au préalable dans le cadre d’une action, sous réserve des mêmes conditions et avec le même effet que s’il s’agissait de l’interrogatoire au préalable d’un dirigeant ou d’un préposé d’une personne morale.</w:t>
      </w:r>
    </w:p>
    <w:p w:rsidR="00017C6D" w:rsidRPr="002256EE" w:rsidRDefault="00017C6D" w:rsidP="00017C6D">
      <w:pPr>
        <w:pStyle w:val="Title1LevelTitre1Niveau-AltL"/>
        <w:rPr>
          <w:rFonts w:cs="Times New Roman"/>
          <w:szCs w:val="24"/>
          <w:lang w:val="fr-CA"/>
        </w:rPr>
      </w:pPr>
      <w:r w:rsidRPr="002256EE">
        <w:rPr>
          <w:rFonts w:cs="Times New Roman"/>
          <w:szCs w:val="24"/>
          <w:lang w:val="fr-CA"/>
        </w:rPr>
        <w:t>Analyse</w:t>
      </w:r>
    </w:p>
    <w:p w:rsidR="00017C6D" w:rsidRPr="002256EE" w:rsidRDefault="00017C6D" w:rsidP="00017C6D">
      <w:pPr>
        <w:pStyle w:val="Title2LevelTitre2Niveau"/>
        <w:rPr>
          <w:rFonts w:cs="Times New Roman"/>
          <w:szCs w:val="24"/>
          <w:lang w:val="fr-CA"/>
        </w:rPr>
      </w:pPr>
      <w:r w:rsidRPr="002256EE">
        <w:rPr>
          <w:rFonts w:cs="Times New Roman"/>
          <w:szCs w:val="24"/>
          <w:lang w:val="fr-CA"/>
        </w:rPr>
        <w:t>L’immunité de l’État</w:t>
      </w:r>
    </w:p>
    <w:p w:rsidR="00017C6D" w:rsidRPr="002256EE" w:rsidRDefault="00017C6D" w:rsidP="00017C6D">
      <w:pPr>
        <w:pStyle w:val="ParaNoNdepar-AltN"/>
        <w:tabs>
          <w:tab w:val="clear" w:pos="1152"/>
          <w:tab w:val="left" w:pos="1166"/>
        </w:tabs>
        <w:rPr>
          <w:rFonts w:cs="Times New Roman"/>
          <w:szCs w:val="24"/>
          <w:lang w:val="fr-BE"/>
        </w:rPr>
      </w:pPr>
      <w:r w:rsidRPr="002256EE">
        <w:rPr>
          <w:rFonts w:cs="Times New Roman"/>
          <w:lang w:val="fr-CA"/>
        </w:rPr>
        <w:t xml:space="preserve">L’immunité de l’État a évolué au fil du temps dans la législation et la jurisprudence anglaises et canadiennes. En </w:t>
      </w:r>
      <w:proofErr w:type="spellStart"/>
      <w:r w:rsidRPr="002256EE">
        <w:rPr>
          <w:rFonts w:cs="Times New Roman"/>
          <w:lang w:val="fr-CA"/>
        </w:rPr>
        <w:t>common</w:t>
      </w:r>
      <w:proofErr w:type="spellEnd"/>
      <w:r w:rsidRPr="002256EE">
        <w:rPr>
          <w:rFonts w:cs="Times New Roman"/>
          <w:lang w:val="fr-CA"/>
        </w:rPr>
        <w:t xml:space="preserve"> </w:t>
      </w:r>
      <w:proofErr w:type="spellStart"/>
      <w:r w:rsidRPr="002256EE">
        <w:rPr>
          <w:rFonts w:cs="Times New Roman"/>
          <w:lang w:val="fr-CA"/>
        </w:rPr>
        <w:t>law</w:t>
      </w:r>
      <w:proofErr w:type="spellEnd"/>
      <w:r w:rsidRPr="002256EE">
        <w:rPr>
          <w:rFonts w:cs="Times New Roman"/>
          <w:lang w:val="fr-CA"/>
        </w:rPr>
        <w:t xml:space="preserve">, l’État pouvait jadis être poursuivi en responsabilité contractuelle ou dans le cadre d’une réclamation portant sur un droit de propriété (K. </w:t>
      </w:r>
      <w:proofErr w:type="spellStart"/>
      <w:r w:rsidRPr="002256EE">
        <w:rPr>
          <w:rFonts w:cs="Times New Roman"/>
          <w:lang w:val="fr-CA"/>
        </w:rPr>
        <w:t>Horsman</w:t>
      </w:r>
      <w:proofErr w:type="spellEnd"/>
      <w:r w:rsidRPr="002256EE">
        <w:rPr>
          <w:rFonts w:cs="Times New Roman"/>
          <w:lang w:val="fr-CA"/>
        </w:rPr>
        <w:t xml:space="preserve"> et G. Morley, </w:t>
      </w:r>
      <w:proofErr w:type="spellStart"/>
      <w:proofErr w:type="gramStart"/>
      <w:r w:rsidRPr="002256EE">
        <w:rPr>
          <w:rFonts w:cs="Times New Roman"/>
          <w:lang w:val="fr-CA"/>
        </w:rPr>
        <w:t>dir</w:t>
      </w:r>
      <w:proofErr w:type="spellEnd"/>
      <w:r w:rsidRPr="002256EE">
        <w:rPr>
          <w:rFonts w:cs="Times New Roman"/>
          <w:lang w:val="fr-CA"/>
        </w:rPr>
        <w:t>.,</w:t>
      </w:r>
      <w:proofErr w:type="gramEnd"/>
      <w:r w:rsidRPr="002256EE">
        <w:rPr>
          <w:rFonts w:cs="Times New Roman"/>
          <w:lang w:val="fr-CA"/>
        </w:rPr>
        <w:t xml:space="preserve"> </w:t>
      </w:r>
      <w:proofErr w:type="spellStart"/>
      <w:r w:rsidRPr="002256EE">
        <w:rPr>
          <w:rFonts w:cs="Times New Roman"/>
          <w:i/>
          <w:lang w:val="fr-CA"/>
        </w:rPr>
        <w:t>Government</w:t>
      </w:r>
      <w:proofErr w:type="spellEnd"/>
      <w:r w:rsidRPr="002256EE">
        <w:rPr>
          <w:rFonts w:cs="Times New Roman"/>
          <w:i/>
          <w:lang w:val="fr-CA"/>
        </w:rPr>
        <w:t xml:space="preserve"> </w:t>
      </w:r>
      <w:proofErr w:type="spellStart"/>
      <w:r w:rsidRPr="002256EE">
        <w:rPr>
          <w:rFonts w:cs="Times New Roman"/>
          <w:i/>
          <w:lang w:val="fr-CA"/>
        </w:rPr>
        <w:t>Liability</w:t>
      </w:r>
      <w:proofErr w:type="spellEnd"/>
      <w:r w:rsidRPr="002256EE">
        <w:rPr>
          <w:rFonts w:cs="Times New Roman"/>
          <w:i/>
          <w:lang w:val="fr-CA"/>
        </w:rPr>
        <w:t xml:space="preserve"> : Law and Practice </w:t>
      </w:r>
      <w:r w:rsidRPr="002256EE">
        <w:rPr>
          <w:rFonts w:cs="Times New Roman"/>
          <w:lang w:val="fr-CA"/>
        </w:rPr>
        <w:t>(feuilles mobiles), p. 1-40). Cependant, [</w:t>
      </w:r>
      <w:r w:rsidRPr="002256EE">
        <w:rPr>
          <w:rFonts w:cs="Times New Roman"/>
          <w:smallCaps/>
          <w:lang w:val="fr-CA"/>
        </w:rPr>
        <w:t>traduction</w:t>
      </w:r>
      <w:r w:rsidRPr="002256EE">
        <w:rPr>
          <w:rFonts w:cs="Times New Roman"/>
          <w:lang w:val="fr-CA"/>
        </w:rPr>
        <w:t>] « plusieurs prérogatives rendaient la poursuite au civil très onéreuse » (</w:t>
      </w:r>
      <w:r w:rsidRPr="002256EE">
        <w:rPr>
          <w:rFonts w:cs="Times New Roman"/>
          <w:i/>
          <w:lang w:val="fr-CA"/>
        </w:rPr>
        <w:t>ibid.</w:t>
      </w:r>
      <w:r w:rsidRPr="002256EE">
        <w:rPr>
          <w:rFonts w:cs="Times New Roman"/>
          <w:lang w:val="fr-CA"/>
        </w:rPr>
        <w:t xml:space="preserve">). En effet, l’État était </w:t>
      </w:r>
      <w:r w:rsidRPr="002256EE">
        <w:rPr>
          <w:rFonts w:cs="Times New Roman"/>
          <w:lang w:val="fr-CA"/>
        </w:rPr>
        <w:lastRenderedPageBreak/>
        <w:t xml:space="preserve">autrefois soustrait à plusieurs obligations qui s’imposaient au justiciable ordinaire, </w:t>
      </w:r>
      <w:r w:rsidRPr="002256EE">
        <w:rPr>
          <w:rFonts w:cs="Times New Roman"/>
          <w:lang w:val="fr-BE"/>
        </w:rPr>
        <w:t>dont, par exemple, l’assujettissement à un interrogatoire préalable ou la communication préalable de documents (</w:t>
      </w:r>
      <w:r w:rsidRPr="002256EE">
        <w:rPr>
          <w:rFonts w:cs="Times New Roman"/>
          <w:i/>
          <w:lang w:val="fr-BE"/>
        </w:rPr>
        <w:t>ibid.</w:t>
      </w:r>
      <w:r w:rsidRPr="002256EE">
        <w:rPr>
          <w:rFonts w:cs="Times New Roman"/>
          <w:lang w:val="fr-BE"/>
        </w:rPr>
        <w:t>).</w:t>
      </w:r>
    </w:p>
    <w:p w:rsidR="00017C6D" w:rsidRPr="002256EE" w:rsidRDefault="00017C6D" w:rsidP="00017C6D">
      <w:pPr>
        <w:pStyle w:val="ParaNoNdepar-AltN"/>
        <w:tabs>
          <w:tab w:val="clear" w:pos="1152"/>
          <w:tab w:val="left" w:pos="1166"/>
        </w:tabs>
        <w:rPr>
          <w:rFonts w:cs="Times New Roman"/>
          <w:szCs w:val="24"/>
          <w:lang w:val="fr-BE"/>
        </w:rPr>
      </w:pPr>
      <w:r w:rsidRPr="002256EE">
        <w:rPr>
          <w:rFonts w:cs="Times New Roman"/>
          <w:szCs w:val="24"/>
          <w:lang w:val="fr-BE"/>
        </w:rPr>
        <w:t xml:space="preserve">Ainsi, historiquement, en raison de son immunité, l’État échappait à l’obligation de se soumettre à un interrogatoire préalable lorsqu’il était partie au litige. C’était le cas même s’il pouvait l’exiger de la partie adverse et même s’il agissait en demande (Morley, p. 1-40; voir aussi P. W. </w:t>
      </w:r>
      <w:proofErr w:type="spellStart"/>
      <w:r w:rsidRPr="002256EE">
        <w:rPr>
          <w:rFonts w:cs="Times New Roman"/>
          <w:szCs w:val="24"/>
          <w:lang w:val="fr-BE"/>
        </w:rPr>
        <w:t>Hogg</w:t>
      </w:r>
      <w:proofErr w:type="spellEnd"/>
      <w:r w:rsidRPr="002256EE">
        <w:rPr>
          <w:rFonts w:cs="Times New Roman"/>
          <w:szCs w:val="24"/>
          <w:lang w:val="fr-BE"/>
        </w:rPr>
        <w:t xml:space="preserve">, P. J. Monahan et W. K. Wright, </w:t>
      </w:r>
      <w:proofErr w:type="spellStart"/>
      <w:r w:rsidRPr="002256EE">
        <w:rPr>
          <w:rFonts w:cs="Times New Roman"/>
          <w:i/>
          <w:szCs w:val="24"/>
          <w:lang w:val="fr-BE"/>
        </w:rPr>
        <w:t>Liability</w:t>
      </w:r>
      <w:proofErr w:type="spellEnd"/>
      <w:r w:rsidRPr="002256EE">
        <w:rPr>
          <w:rFonts w:cs="Times New Roman"/>
          <w:i/>
          <w:szCs w:val="24"/>
          <w:lang w:val="fr-BE"/>
        </w:rPr>
        <w:t xml:space="preserve"> of the Crown </w:t>
      </w:r>
      <w:r w:rsidRPr="002256EE">
        <w:rPr>
          <w:rFonts w:cs="Times New Roman"/>
          <w:szCs w:val="24"/>
          <w:lang w:val="fr-BE"/>
        </w:rPr>
        <w:t>(4</w:t>
      </w:r>
      <w:r w:rsidRPr="002256EE">
        <w:rPr>
          <w:rFonts w:cs="Times New Roman"/>
          <w:szCs w:val="24"/>
          <w:vertAlign w:val="superscript"/>
          <w:lang w:val="fr-BE"/>
        </w:rPr>
        <w:t>e</w:t>
      </w:r>
      <w:r w:rsidRPr="002256EE">
        <w:rPr>
          <w:rFonts w:cs="Times New Roman"/>
          <w:szCs w:val="24"/>
          <w:lang w:val="fr-BE"/>
        </w:rPr>
        <w:t xml:space="preserve"> éd. 2011), p. 90). La jurisprudence canadienne antérieure aux dispositions législatives portant sur la responsabilité civile de l’État reconnaissait cette immunité particulière. À cet égard, dans </w:t>
      </w:r>
      <w:r w:rsidRPr="002256EE">
        <w:rPr>
          <w:rFonts w:cs="Times New Roman"/>
          <w:i/>
          <w:lang w:val="fr-BE"/>
        </w:rPr>
        <w:t xml:space="preserve">Canada </w:t>
      </w:r>
      <w:proofErr w:type="spellStart"/>
      <w:r w:rsidRPr="002256EE">
        <w:rPr>
          <w:rFonts w:cs="Times New Roman"/>
          <w:i/>
          <w:lang w:val="fr-BE"/>
        </w:rPr>
        <w:t>Deposit</w:t>
      </w:r>
      <w:proofErr w:type="spellEnd"/>
      <w:r w:rsidRPr="002256EE">
        <w:rPr>
          <w:rFonts w:cs="Times New Roman"/>
          <w:i/>
          <w:lang w:val="fr-BE"/>
        </w:rPr>
        <w:t xml:space="preserve"> </w:t>
      </w:r>
      <w:proofErr w:type="spellStart"/>
      <w:r w:rsidRPr="002256EE">
        <w:rPr>
          <w:rFonts w:cs="Times New Roman"/>
          <w:i/>
          <w:lang w:val="fr-BE"/>
        </w:rPr>
        <w:t>Insurance</w:t>
      </w:r>
      <w:proofErr w:type="spellEnd"/>
      <w:r w:rsidRPr="002256EE">
        <w:rPr>
          <w:rFonts w:cs="Times New Roman"/>
          <w:i/>
          <w:lang w:val="fr-BE"/>
        </w:rPr>
        <w:t xml:space="preserve"> Corp. c. Code </w:t>
      </w:r>
      <w:r w:rsidRPr="002256EE">
        <w:rPr>
          <w:rFonts w:cs="Times New Roman"/>
          <w:lang w:val="fr-BE"/>
        </w:rPr>
        <w:t xml:space="preserve">(1988), </w:t>
      </w:r>
      <w:r w:rsidRPr="002256EE">
        <w:rPr>
          <w:rStyle w:val="nowrap"/>
          <w:rFonts w:cs="Times New Roman"/>
          <w:lang w:val="fr-BE"/>
        </w:rPr>
        <w:t>49 D.L.R. (4th) 57, la Cour d’appel de l’Alberta explique cette immunité de la façon suivante :</w:t>
      </w:r>
    </w:p>
    <w:p w:rsidR="00017C6D" w:rsidRPr="002256EE" w:rsidRDefault="00017C6D" w:rsidP="00017C6D">
      <w:pPr>
        <w:pStyle w:val="Citation-AltC"/>
        <w:rPr>
          <w:lang w:val="fr-CA"/>
        </w:rPr>
      </w:pPr>
      <w:r w:rsidRPr="002256EE">
        <w:rPr>
          <w:lang w:val="fr-CA"/>
        </w:rPr>
        <w:t>[</w:t>
      </w:r>
      <w:r w:rsidRPr="002256EE">
        <w:rPr>
          <w:smallCaps/>
          <w:lang w:val="fr-CA"/>
        </w:rPr>
        <w:t>traduction</w:t>
      </w:r>
      <w:r w:rsidRPr="002256EE">
        <w:rPr>
          <w:lang w:val="fr-CA"/>
        </w:rPr>
        <w:t>] À mon sens, la règle voulant que l’État et ses préposés ne puissent être contraints à la communication préalable n’est pas le fruit de l’affirmation d’une prérogative de l’État, mais résulte plutôt d’un accident de l’histoire. Quoi qu’il en soit, je suis tenu par la jurisprudence d’exiger une disposition habilitante qui, interprétée strictement, permet de contraindre un préposé ou un dirigeant de l’État à communiquer des éléments au préalable. [p. 61]</w:t>
      </w:r>
    </w:p>
    <w:p w:rsidR="00017C6D" w:rsidRPr="002256EE" w:rsidRDefault="00017C6D" w:rsidP="00017C6D">
      <w:pPr>
        <w:pStyle w:val="ParaNoNdepar-AltN"/>
        <w:rPr>
          <w:rFonts w:cs="Times New Roman"/>
          <w:szCs w:val="24"/>
          <w:lang w:val="fr-CA"/>
        </w:rPr>
      </w:pPr>
      <w:r w:rsidRPr="002256EE">
        <w:rPr>
          <w:rFonts w:cs="Times New Roman"/>
          <w:lang w:val="fr-CA"/>
        </w:rPr>
        <w:t xml:space="preserve">Si, grâce à cette immunité, l’État n’était alors pas assujetti aux interrogatoires préalables lorsqu’il </w:t>
      </w:r>
      <w:r w:rsidRPr="002256EE">
        <w:rPr>
          <w:rFonts w:cs="Times New Roman"/>
          <w:i/>
          <w:lang w:val="fr-CA"/>
        </w:rPr>
        <w:t>était</w:t>
      </w:r>
      <w:r w:rsidRPr="002256EE">
        <w:rPr>
          <w:rFonts w:cs="Times New Roman"/>
          <w:lang w:val="fr-CA"/>
        </w:rPr>
        <w:t xml:space="preserve"> une partie au litige, il va de soi que, selon la </w:t>
      </w:r>
      <w:proofErr w:type="spellStart"/>
      <w:r w:rsidRPr="002256EE">
        <w:rPr>
          <w:rFonts w:cs="Times New Roman"/>
          <w:lang w:val="fr-CA"/>
        </w:rPr>
        <w:t>common</w:t>
      </w:r>
      <w:proofErr w:type="spellEnd"/>
      <w:r w:rsidRPr="002256EE">
        <w:rPr>
          <w:rFonts w:cs="Times New Roman"/>
          <w:lang w:val="fr-CA"/>
        </w:rPr>
        <w:t xml:space="preserve"> </w:t>
      </w:r>
      <w:proofErr w:type="spellStart"/>
      <w:r w:rsidRPr="002256EE">
        <w:rPr>
          <w:rFonts w:cs="Times New Roman"/>
          <w:lang w:val="fr-CA"/>
        </w:rPr>
        <w:t>law</w:t>
      </w:r>
      <w:proofErr w:type="spellEnd"/>
      <w:r w:rsidRPr="002256EE">
        <w:rPr>
          <w:rFonts w:cs="Times New Roman"/>
          <w:lang w:val="fr-CA"/>
        </w:rPr>
        <w:t xml:space="preserve">, il n’y était certainement pas assujetti lorsqu’il </w:t>
      </w:r>
      <w:r w:rsidRPr="002256EE">
        <w:rPr>
          <w:rFonts w:cs="Times New Roman"/>
          <w:i/>
          <w:lang w:val="fr-CA"/>
        </w:rPr>
        <w:t>n’était pas</w:t>
      </w:r>
      <w:r w:rsidRPr="002256EE">
        <w:rPr>
          <w:rFonts w:cs="Times New Roman"/>
          <w:lang w:val="fr-CA"/>
        </w:rPr>
        <w:t xml:space="preserve"> une partie au litige. </w:t>
      </w:r>
    </w:p>
    <w:p w:rsidR="00017C6D" w:rsidRPr="002256EE" w:rsidRDefault="00017C6D" w:rsidP="00017C6D">
      <w:pPr>
        <w:pStyle w:val="ParaNoNdepar-AltN"/>
        <w:tabs>
          <w:tab w:val="clear" w:pos="1152"/>
          <w:tab w:val="left" w:pos="1166"/>
          <w:tab w:val="num" w:pos="1422"/>
        </w:tabs>
        <w:rPr>
          <w:rFonts w:cs="Times New Roman"/>
          <w:szCs w:val="24"/>
          <w:lang w:val="fr-BE"/>
        </w:rPr>
      </w:pPr>
      <w:r w:rsidRPr="002256EE">
        <w:rPr>
          <w:rFonts w:cs="Times New Roman"/>
          <w:szCs w:val="24"/>
          <w:lang w:val="fr-BE"/>
        </w:rPr>
        <w:lastRenderedPageBreak/>
        <w:t xml:space="preserve">Cela dit, il existe une présomption voulant que la </w:t>
      </w:r>
      <w:proofErr w:type="spellStart"/>
      <w:r w:rsidRPr="002256EE">
        <w:rPr>
          <w:rFonts w:cs="Times New Roman"/>
          <w:szCs w:val="24"/>
          <w:lang w:val="fr-BE"/>
        </w:rPr>
        <w:t>common</w:t>
      </w:r>
      <w:proofErr w:type="spellEnd"/>
      <w:r w:rsidRPr="002256EE">
        <w:rPr>
          <w:rFonts w:cs="Times New Roman"/>
          <w:szCs w:val="24"/>
          <w:lang w:val="fr-BE"/>
        </w:rPr>
        <w:t xml:space="preserve"> </w:t>
      </w:r>
      <w:proofErr w:type="spellStart"/>
      <w:r w:rsidRPr="002256EE">
        <w:rPr>
          <w:rFonts w:cs="Times New Roman"/>
          <w:szCs w:val="24"/>
          <w:lang w:val="fr-BE"/>
        </w:rPr>
        <w:t>law</w:t>
      </w:r>
      <w:proofErr w:type="spellEnd"/>
      <w:r w:rsidRPr="002256EE">
        <w:rPr>
          <w:rFonts w:cs="Times New Roman"/>
          <w:szCs w:val="24"/>
          <w:lang w:val="fr-BE"/>
        </w:rPr>
        <w:t xml:space="preserve"> demeure inchangée en l’absence d’une expression de volonté claire et non équivoque du législateur. Dans </w:t>
      </w:r>
      <w:proofErr w:type="spellStart"/>
      <w:r w:rsidRPr="002256EE">
        <w:rPr>
          <w:rFonts w:cs="Times New Roman"/>
          <w:i/>
          <w:szCs w:val="24"/>
          <w:lang w:val="fr-BE"/>
        </w:rPr>
        <w:t>Lizotte</w:t>
      </w:r>
      <w:proofErr w:type="spellEnd"/>
      <w:r w:rsidRPr="002256EE">
        <w:rPr>
          <w:rFonts w:cs="Times New Roman"/>
          <w:i/>
          <w:szCs w:val="24"/>
          <w:lang w:val="fr-BE"/>
        </w:rPr>
        <w:t xml:space="preserve"> </w:t>
      </w:r>
      <w:r w:rsidRPr="002256EE">
        <w:rPr>
          <w:rFonts w:cs="Times New Roman"/>
          <w:bCs/>
          <w:i/>
          <w:szCs w:val="24"/>
          <w:lang w:val="fr-BE"/>
        </w:rPr>
        <w:t>c. Aviva, Cie d’assurance du Canada</w:t>
      </w:r>
      <w:r w:rsidRPr="002256EE">
        <w:rPr>
          <w:rFonts w:cs="Times New Roman"/>
          <w:bCs/>
          <w:szCs w:val="24"/>
          <w:lang w:val="fr-BE"/>
        </w:rPr>
        <w:t>, 2016 CSC 52, [2016] 2 R.C.S. 521, notre Cour résume la jurisprudence sur ce point</w:t>
      </w:r>
      <w:r w:rsidRPr="002256EE">
        <w:rPr>
          <w:rFonts w:cs="Times New Roman"/>
          <w:lang w:val="fr-BE"/>
        </w:rPr>
        <w:t xml:space="preserve"> et rappelle « </w:t>
      </w:r>
      <w:r w:rsidRPr="002256EE">
        <w:rPr>
          <w:rFonts w:cs="Times New Roman"/>
          <w:szCs w:val="24"/>
          <w:lang w:val="fr-BE"/>
        </w:rPr>
        <w:t xml:space="preserve">que l’on </w:t>
      </w:r>
      <w:proofErr w:type="spellStart"/>
      <w:r w:rsidRPr="002256EE">
        <w:rPr>
          <w:rFonts w:cs="Times New Roman"/>
          <w:szCs w:val="24"/>
          <w:lang w:val="fr-BE"/>
        </w:rPr>
        <w:t>doi</w:t>
      </w:r>
      <w:proofErr w:type="spellEnd"/>
      <w:r w:rsidRPr="002256EE">
        <w:rPr>
          <w:rFonts w:cs="Times New Roman"/>
          <w:szCs w:val="24"/>
          <w:lang w:val="fr-BE"/>
        </w:rPr>
        <w:t xml:space="preserve">[t] présumer qu’un législateur n’a pas l’intention de modifier les règles de </w:t>
      </w:r>
      <w:proofErr w:type="spellStart"/>
      <w:r w:rsidRPr="002256EE">
        <w:rPr>
          <w:rFonts w:cs="Times New Roman"/>
          <w:szCs w:val="24"/>
          <w:lang w:val="fr-BE"/>
        </w:rPr>
        <w:t>common</w:t>
      </w:r>
      <w:proofErr w:type="spellEnd"/>
      <w:r w:rsidRPr="002256EE">
        <w:rPr>
          <w:rFonts w:cs="Times New Roman"/>
          <w:szCs w:val="24"/>
          <w:lang w:val="fr-BE"/>
        </w:rPr>
        <w:t xml:space="preserve"> </w:t>
      </w:r>
      <w:proofErr w:type="spellStart"/>
      <w:r w:rsidRPr="002256EE">
        <w:rPr>
          <w:rFonts w:cs="Times New Roman"/>
          <w:szCs w:val="24"/>
          <w:lang w:val="fr-BE"/>
        </w:rPr>
        <w:t>law</w:t>
      </w:r>
      <w:proofErr w:type="spellEnd"/>
      <w:r w:rsidRPr="002256EE">
        <w:rPr>
          <w:rFonts w:cs="Times New Roman"/>
          <w:szCs w:val="24"/>
          <w:lang w:val="fr-BE"/>
        </w:rPr>
        <w:t xml:space="preserve"> existantes à moins d’une disposition claire à cet effet » (par. 56; voir aussi </w:t>
      </w:r>
      <w:r w:rsidRPr="002256EE">
        <w:rPr>
          <w:rFonts w:cs="Times New Roman"/>
          <w:i/>
          <w:iCs/>
          <w:szCs w:val="24"/>
          <w:lang w:val="fr-BE"/>
        </w:rPr>
        <w:t>Parry Sound (district), Conseil d’administration des services sociaux c. S.E.E.F.P.O., section locale 324</w:t>
      </w:r>
      <w:r w:rsidRPr="002256EE">
        <w:rPr>
          <w:rFonts w:cs="Times New Roman"/>
          <w:szCs w:val="24"/>
          <w:lang w:val="fr-BE"/>
        </w:rPr>
        <w:t xml:space="preserve">, 2003 CSC 42, [2003] 2 R.C.S. 157, par. 39; </w:t>
      </w:r>
      <w:proofErr w:type="spellStart"/>
      <w:r w:rsidRPr="002256EE">
        <w:rPr>
          <w:rFonts w:cs="Times New Roman"/>
          <w:i/>
          <w:iCs/>
          <w:szCs w:val="24"/>
          <w:lang w:val="fr-BE"/>
        </w:rPr>
        <w:t>Slaight</w:t>
      </w:r>
      <w:proofErr w:type="spellEnd"/>
      <w:r w:rsidRPr="002256EE">
        <w:rPr>
          <w:rFonts w:cs="Times New Roman"/>
          <w:i/>
          <w:iCs/>
          <w:szCs w:val="24"/>
          <w:lang w:val="fr-BE"/>
        </w:rPr>
        <w:t xml:space="preserve"> Communications Inc. c. Davidson</w:t>
      </w:r>
      <w:r w:rsidRPr="002256EE">
        <w:rPr>
          <w:rFonts w:cs="Times New Roman"/>
          <w:szCs w:val="24"/>
          <w:lang w:val="fr-BE"/>
        </w:rPr>
        <w:t xml:space="preserve">, [1989] 1 R.C.S. 1038, p. 1077;  </w:t>
      </w:r>
      <w:r w:rsidR="002A253D">
        <w:rPr>
          <w:rFonts w:cs="Times New Roman"/>
          <w:szCs w:val="24"/>
          <w:lang w:val="fr-BE"/>
        </w:rPr>
        <w:t xml:space="preserve">et </w:t>
      </w:r>
      <w:r w:rsidRPr="002256EE">
        <w:rPr>
          <w:rFonts w:cs="Times New Roman"/>
          <w:szCs w:val="24"/>
          <w:lang w:val="fr-BE"/>
        </w:rPr>
        <w:t xml:space="preserve">R. Sullivan, </w:t>
      </w:r>
      <w:r w:rsidRPr="002256EE">
        <w:rPr>
          <w:rFonts w:cs="Times New Roman"/>
          <w:i/>
          <w:iCs/>
          <w:szCs w:val="24"/>
          <w:lang w:val="fr-BE"/>
        </w:rPr>
        <w:t>Sullivan</w:t>
      </w:r>
      <w:r w:rsidRPr="002256EE">
        <w:rPr>
          <w:rFonts w:cs="Times New Roman"/>
          <w:szCs w:val="24"/>
          <w:lang w:val="fr-BE"/>
        </w:rPr>
        <w:t xml:space="preserve"> </w:t>
      </w:r>
      <w:r w:rsidRPr="002256EE">
        <w:rPr>
          <w:rFonts w:cs="Times New Roman"/>
          <w:i/>
          <w:iCs/>
          <w:szCs w:val="24"/>
          <w:lang w:val="fr-BE"/>
        </w:rPr>
        <w:t xml:space="preserve">on the Construction of </w:t>
      </w:r>
      <w:proofErr w:type="spellStart"/>
      <w:r w:rsidRPr="002256EE">
        <w:rPr>
          <w:rFonts w:cs="Times New Roman"/>
          <w:i/>
          <w:iCs/>
          <w:szCs w:val="24"/>
          <w:lang w:val="fr-BE"/>
        </w:rPr>
        <w:t>Statutes</w:t>
      </w:r>
      <w:proofErr w:type="spellEnd"/>
      <w:r w:rsidRPr="002256EE">
        <w:rPr>
          <w:rFonts w:cs="Times New Roman"/>
          <w:szCs w:val="24"/>
          <w:lang w:val="fr-BE"/>
        </w:rPr>
        <w:t xml:space="preserve"> (6</w:t>
      </w:r>
      <w:r w:rsidRPr="002256EE">
        <w:rPr>
          <w:rFonts w:cs="Times New Roman"/>
          <w:szCs w:val="24"/>
          <w:vertAlign w:val="superscript"/>
          <w:lang w:val="fr-BE"/>
        </w:rPr>
        <w:t>e</w:t>
      </w:r>
      <w:r w:rsidRPr="002256EE">
        <w:rPr>
          <w:rFonts w:cs="Times New Roman"/>
          <w:szCs w:val="24"/>
          <w:lang w:val="fr-BE"/>
        </w:rPr>
        <w:t xml:space="preserve"> éd. 2014), p. 504-505).</w:t>
      </w:r>
    </w:p>
    <w:p w:rsidR="00017C6D" w:rsidRPr="002256EE" w:rsidRDefault="00017C6D" w:rsidP="00017C6D">
      <w:pPr>
        <w:pStyle w:val="ParaNoNdepar-AltN"/>
        <w:tabs>
          <w:tab w:val="clear" w:pos="1152"/>
          <w:tab w:val="left" w:pos="1166"/>
        </w:tabs>
        <w:rPr>
          <w:rFonts w:cs="Times New Roman"/>
          <w:lang w:val="fr-BE"/>
        </w:rPr>
      </w:pPr>
      <w:r w:rsidRPr="002256EE">
        <w:rPr>
          <w:rFonts w:cs="Times New Roman"/>
          <w:lang w:val="fr-BE"/>
        </w:rPr>
        <w:t xml:space="preserve">À ce chapitre, l’art. 17 de la </w:t>
      </w:r>
      <w:r w:rsidRPr="002256EE">
        <w:rPr>
          <w:rFonts w:cs="Times New Roman"/>
          <w:i/>
          <w:lang w:val="fr-BE"/>
        </w:rPr>
        <w:t>Loi d’interprétation</w:t>
      </w:r>
      <w:r w:rsidRPr="002256EE">
        <w:rPr>
          <w:rFonts w:cs="Times New Roman"/>
          <w:lang w:val="fr-BE"/>
        </w:rPr>
        <w:t xml:space="preserve"> sert aujourd’hui de point de départ dans chaque cas où une immunité pourrait exister en faveur de l’État. Il édicte ceci :</w:t>
      </w:r>
      <w:r w:rsidRPr="002256EE">
        <w:rPr>
          <w:rFonts w:cs="Times New Roman"/>
          <w:lang w:val="fr-BE" w:eastAsia="fr-CA"/>
        </w:rPr>
        <w:t xml:space="preserve"> « Sauf indication contraire y figurant, nul texte ne lie Sa Majesté ni n’a d’effet sur ses droits et prérogatives</w:t>
      </w:r>
      <w:r w:rsidR="002A253D">
        <w:rPr>
          <w:rFonts w:cs="Times New Roman"/>
          <w:lang w:val="fr-BE" w:eastAsia="fr-CA"/>
        </w:rPr>
        <w:t>.</w:t>
      </w:r>
      <w:r w:rsidRPr="002256EE">
        <w:rPr>
          <w:rFonts w:cs="Times New Roman"/>
          <w:lang w:val="fr-BE" w:eastAsia="fr-CA"/>
        </w:rPr>
        <w:t> »</w:t>
      </w:r>
      <w:r w:rsidRPr="002256EE">
        <w:rPr>
          <w:rFonts w:cs="Times New Roman"/>
          <w:lang w:val="fr-BE"/>
        </w:rPr>
        <w:t xml:space="preserve"> Bref, sans dérogation claire à l’immunité, l’État en jouit toujours. </w:t>
      </w:r>
      <w:r w:rsidRPr="002256EE">
        <w:rPr>
          <w:rFonts w:cs="Times New Roman"/>
          <w:szCs w:val="24"/>
          <w:lang w:val="fr-BE"/>
        </w:rPr>
        <w:t xml:space="preserve">Dans </w:t>
      </w:r>
      <w:r w:rsidRPr="002256EE">
        <w:rPr>
          <w:rFonts w:cs="Times New Roman"/>
          <w:i/>
          <w:szCs w:val="24"/>
          <w:lang w:val="fr-BE"/>
        </w:rPr>
        <w:t xml:space="preserve">Friends of the </w:t>
      </w:r>
      <w:proofErr w:type="spellStart"/>
      <w:r w:rsidRPr="002256EE">
        <w:rPr>
          <w:rFonts w:cs="Times New Roman"/>
          <w:i/>
          <w:szCs w:val="24"/>
          <w:lang w:val="fr-BE"/>
        </w:rPr>
        <w:t>Oldman</w:t>
      </w:r>
      <w:proofErr w:type="spellEnd"/>
      <w:r w:rsidRPr="002256EE">
        <w:rPr>
          <w:rFonts w:cs="Times New Roman"/>
          <w:i/>
          <w:szCs w:val="24"/>
          <w:lang w:val="fr-BE"/>
        </w:rPr>
        <w:t xml:space="preserve"> River Society c. Canada</w:t>
      </w:r>
      <w:r w:rsidRPr="002256EE">
        <w:rPr>
          <w:rFonts w:cs="Times New Roman"/>
          <w:szCs w:val="24"/>
          <w:lang w:val="fr-BE"/>
        </w:rPr>
        <w:t xml:space="preserve"> </w:t>
      </w:r>
      <w:r w:rsidRPr="002256EE">
        <w:rPr>
          <w:rFonts w:cs="Times New Roman"/>
          <w:i/>
          <w:szCs w:val="24"/>
          <w:lang w:val="fr-BE"/>
        </w:rPr>
        <w:t>(Ministre des Transports)</w:t>
      </w:r>
      <w:r w:rsidRPr="002256EE">
        <w:rPr>
          <w:rFonts w:cs="Times New Roman"/>
          <w:szCs w:val="24"/>
          <w:lang w:val="fr-BE"/>
        </w:rPr>
        <w:t xml:space="preserve">, [1992] 1 R.C.S. 3, la Cour reconnaît que le point de départ de l’analyse en matière d’immunité est bel et bien cet art. 17 et, qu’en conséquence, lorsqu’une loi ne prévoit pas expressément qu’elle s’applique à l’État, « il reste [. . .] à déterminer si la Couronne est liée par déduction nécessaire » (p. 50). </w:t>
      </w:r>
    </w:p>
    <w:p w:rsidR="00017C6D" w:rsidRPr="002256EE" w:rsidRDefault="00017C6D" w:rsidP="00017C6D">
      <w:pPr>
        <w:pStyle w:val="ParaNoNdepar-AltN"/>
        <w:tabs>
          <w:tab w:val="clear" w:pos="1152"/>
          <w:tab w:val="left" w:pos="1166"/>
        </w:tabs>
        <w:rPr>
          <w:rFonts w:cs="Times New Roman"/>
          <w:lang w:val="fr-BE"/>
        </w:rPr>
      </w:pPr>
      <w:r w:rsidRPr="002256EE">
        <w:rPr>
          <w:rFonts w:cs="Times New Roman"/>
          <w:szCs w:val="24"/>
          <w:lang w:val="fr-BE"/>
        </w:rPr>
        <w:t>Une expression similaire à l’expression « [s]</w:t>
      </w:r>
      <w:proofErr w:type="spellStart"/>
      <w:r w:rsidRPr="002256EE">
        <w:rPr>
          <w:rFonts w:cs="Times New Roman"/>
          <w:szCs w:val="24"/>
          <w:lang w:val="fr-BE"/>
        </w:rPr>
        <w:t>auf</w:t>
      </w:r>
      <w:proofErr w:type="spellEnd"/>
      <w:r w:rsidRPr="002256EE">
        <w:rPr>
          <w:rFonts w:cs="Times New Roman"/>
          <w:szCs w:val="24"/>
          <w:lang w:val="fr-BE"/>
        </w:rPr>
        <w:t xml:space="preserve"> indication contraire » de l’art. 17 se retrouvait anciennement à l’art. 16 de la </w:t>
      </w:r>
      <w:r w:rsidRPr="002256EE">
        <w:rPr>
          <w:rFonts w:cs="Times New Roman"/>
          <w:i/>
          <w:szCs w:val="24"/>
          <w:lang w:val="fr-BE"/>
        </w:rPr>
        <w:t>Loi d’interprétation</w:t>
      </w:r>
      <w:r w:rsidRPr="002256EE">
        <w:rPr>
          <w:rFonts w:cs="Times New Roman"/>
          <w:szCs w:val="24"/>
          <w:lang w:val="fr-BE"/>
        </w:rPr>
        <w:t xml:space="preserve">, S.R.C. 1970, </w:t>
      </w:r>
      <w:r w:rsidRPr="002256EE">
        <w:rPr>
          <w:rFonts w:cs="Times New Roman"/>
          <w:szCs w:val="24"/>
          <w:lang w:val="fr-BE"/>
        </w:rPr>
        <w:lastRenderedPageBreak/>
        <w:t xml:space="preserve">c. I-23. Ce dernier prévoyait que « sauf dans la mesure y mentionnée ou prévue », nul texte de loi ne pouvait lier l’État. Dans </w:t>
      </w:r>
      <w:proofErr w:type="spellStart"/>
      <w:r w:rsidRPr="002256EE">
        <w:rPr>
          <w:rFonts w:cs="Times New Roman"/>
          <w:i/>
          <w:szCs w:val="24"/>
          <w:lang w:val="fr-BE"/>
        </w:rPr>
        <w:t>Oldman</w:t>
      </w:r>
      <w:proofErr w:type="spellEnd"/>
      <w:r w:rsidRPr="002256EE">
        <w:rPr>
          <w:rFonts w:cs="Times New Roman"/>
          <w:i/>
          <w:szCs w:val="24"/>
          <w:lang w:val="fr-BE"/>
        </w:rPr>
        <w:t xml:space="preserve"> River</w:t>
      </w:r>
      <w:r w:rsidRPr="002256EE">
        <w:rPr>
          <w:rFonts w:cs="Times New Roman"/>
          <w:szCs w:val="24"/>
          <w:lang w:val="fr-BE"/>
        </w:rPr>
        <w:t xml:space="preserve"> et </w:t>
      </w:r>
      <w:r w:rsidRPr="002256EE">
        <w:rPr>
          <w:rFonts w:cs="Times New Roman"/>
          <w:i/>
          <w:lang w:val="fr-BE"/>
        </w:rPr>
        <w:t xml:space="preserve">Alberta </w:t>
      </w:r>
      <w:proofErr w:type="spellStart"/>
      <w:r w:rsidRPr="002256EE">
        <w:rPr>
          <w:rFonts w:cs="Times New Roman"/>
          <w:i/>
          <w:lang w:val="fr-BE"/>
        </w:rPr>
        <w:t>Government</w:t>
      </w:r>
      <w:proofErr w:type="spellEnd"/>
      <w:r w:rsidRPr="002256EE">
        <w:rPr>
          <w:rFonts w:cs="Times New Roman"/>
          <w:i/>
          <w:lang w:val="fr-BE"/>
        </w:rPr>
        <w:t xml:space="preserve"> </w:t>
      </w:r>
      <w:proofErr w:type="spellStart"/>
      <w:r w:rsidRPr="002256EE">
        <w:rPr>
          <w:rFonts w:cs="Times New Roman"/>
          <w:i/>
          <w:lang w:val="fr-BE"/>
        </w:rPr>
        <w:t>Telephones</w:t>
      </w:r>
      <w:proofErr w:type="spellEnd"/>
      <w:r w:rsidRPr="002256EE">
        <w:rPr>
          <w:rFonts w:cs="Times New Roman"/>
          <w:i/>
          <w:lang w:val="fr-BE"/>
        </w:rPr>
        <w:t xml:space="preserve"> c. Canada (Conseil de la radiodiffusion et des télécommunications canadiennes)</w:t>
      </w:r>
      <w:r w:rsidRPr="002256EE">
        <w:rPr>
          <w:rFonts w:cs="Times New Roman"/>
          <w:lang w:val="fr-BE"/>
        </w:rPr>
        <w:t>, [1989] 2 R.C.S. 225, notre Cour a interprété cette expression et</w:t>
      </w:r>
      <w:r w:rsidRPr="002256EE">
        <w:rPr>
          <w:rFonts w:cs="Times New Roman"/>
          <w:szCs w:val="24"/>
          <w:lang w:val="fr-BE"/>
        </w:rPr>
        <w:t xml:space="preserve"> a conclu qu’afin de déroger à l’immunité de l’État, le législateur doit utiliser des termes exprès à moins qu’il ne puisse être déduit que la loi serait privée de tout effet si l’État n’était pas lié (voir aussi H. Brun, G. Tremblay et E. Brouillet, </w:t>
      </w:r>
      <w:r w:rsidRPr="002256EE">
        <w:rPr>
          <w:rFonts w:cs="Times New Roman"/>
          <w:i/>
          <w:szCs w:val="24"/>
          <w:lang w:val="fr-BE"/>
        </w:rPr>
        <w:t>Droit constitutionnel</w:t>
      </w:r>
      <w:r w:rsidRPr="002256EE">
        <w:rPr>
          <w:rFonts w:cs="Times New Roman"/>
          <w:szCs w:val="24"/>
          <w:lang w:val="fr-BE"/>
        </w:rPr>
        <w:t xml:space="preserve"> (6</w:t>
      </w:r>
      <w:r w:rsidRPr="002256EE">
        <w:rPr>
          <w:rFonts w:cs="Times New Roman"/>
          <w:szCs w:val="24"/>
          <w:vertAlign w:val="superscript"/>
          <w:lang w:val="fr-BE"/>
        </w:rPr>
        <w:t>e</w:t>
      </w:r>
      <w:r w:rsidR="00361399">
        <w:rPr>
          <w:rFonts w:cs="Times New Roman"/>
          <w:szCs w:val="24"/>
          <w:lang w:val="fr-BE"/>
        </w:rPr>
        <w:t xml:space="preserve"> éd. 2014), par. IX.</w:t>
      </w:r>
      <w:r w:rsidRPr="002256EE">
        <w:rPr>
          <w:rFonts w:cs="Times New Roman"/>
          <w:szCs w:val="24"/>
          <w:lang w:val="fr-BE"/>
        </w:rPr>
        <w:t>90).</w:t>
      </w:r>
    </w:p>
    <w:p w:rsidR="00017C6D" w:rsidRPr="002256EE" w:rsidRDefault="00017C6D" w:rsidP="00017C6D">
      <w:pPr>
        <w:pStyle w:val="ParaNoNdepar-AltN"/>
        <w:tabs>
          <w:tab w:val="clear" w:pos="1152"/>
          <w:tab w:val="left" w:pos="1166"/>
        </w:tabs>
        <w:rPr>
          <w:rFonts w:cs="Times New Roman"/>
          <w:lang w:val="fr-BE"/>
        </w:rPr>
      </w:pPr>
      <w:r w:rsidRPr="002256EE">
        <w:rPr>
          <w:rFonts w:cs="Times New Roman"/>
          <w:szCs w:val="24"/>
          <w:lang w:val="fr-BE"/>
        </w:rPr>
        <w:t xml:space="preserve">Sur la foi de ces enseignements, il faut donc déterminer si, en l’espèce, l’immunité de l’État en matière d’interrogatoire préalable reconnue par la </w:t>
      </w:r>
      <w:proofErr w:type="spellStart"/>
      <w:r w:rsidRPr="002256EE">
        <w:rPr>
          <w:rFonts w:cs="Times New Roman"/>
          <w:szCs w:val="24"/>
          <w:lang w:val="fr-BE"/>
        </w:rPr>
        <w:t>common</w:t>
      </w:r>
      <w:proofErr w:type="spellEnd"/>
      <w:r w:rsidRPr="002256EE">
        <w:rPr>
          <w:rFonts w:cs="Times New Roman"/>
          <w:szCs w:val="24"/>
          <w:lang w:val="fr-BE"/>
        </w:rPr>
        <w:t xml:space="preserve"> </w:t>
      </w:r>
      <w:proofErr w:type="spellStart"/>
      <w:r w:rsidRPr="002256EE">
        <w:rPr>
          <w:rFonts w:cs="Times New Roman"/>
          <w:szCs w:val="24"/>
          <w:lang w:val="fr-BE"/>
        </w:rPr>
        <w:t>law</w:t>
      </w:r>
      <w:proofErr w:type="spellEnd"/>
      <w:r w:rsidRPr="002256EE">
        <w:rPr>
          <w:rFonts w:cs="Times New Roman"/>
          <w:szCs w:val="24"/>
          <w:lang w:val="fr-BE"/>
        </w:rPr>
        <w:t xml:space="preserve"> a été écartée par le législateur, et le cas échéant, dans quelle mesure.</w:t>
      </w:r>
    </w:p>
    <w:p w:rsidR="00017C6D" w:rsidRPr="002256EE" w:rsidRDefault="00017C6D" w:rsidP="00017C6D">
      <w:pPr>
        <w:pStyle w:val="Title2LevelTitre2Niveau"/>
        <w:numPr>
          <w:ilvl w:val="1"/>
          <w:numId w:val="14"/>
        </w:numPr>
        <w:rPr>
          <w:rFonts w:cs="Times New Roman"/>
          <w:lang w:val="fr-CA"/>
        </w:rPr>
      </w:pPr>
      <w:r w:rsidRPr="002256EE">
        <w:rPr>
          <w:rFonts w:cs="Times New Roman"/>
          <w:lang w:val="fr-CA"/>
        </w:rPr>
        <w:t>Les limites à l’immunité de l’État en matière d’interrogatoire préalable</w:t>
      </w:r>
    </w:p>
    <w:p w:rsidR="00017C6D" w:rsidRPr="002256EE" w:rsidRDefault="00017C6D" w:rsidP="00017C6D">
      <w:pPr>
        <w:pStyle w:val="ParaNoNdepar-AltN"/>
        <w:tabs>
          <w:tab w:val="clear" w:pos="1152"/>
          <w:tab w:val="left" w:pos="1166"/>
        </w:tabs>
        <w:rPr>
          <w:rFonts w:cs="Times New Roman"/>
          <w:lang w:val="fr-BE"/>
        </w:rPr>
      </w:pPr>
      <w:r w:rsidRPr="002256EE">
        <w:rPr>
          <w:rFonts w:cs="Times New Roman"/>
          <w:lang w:val="fr-BE"/>
        </w:rPr>
        <w:t xml:space="preserve">C’est autour de 1950 que le législateur fédéral commence à limiter l’étendue de l’immunité de l’État que reconnaît la </w:t>
      </w:r>
      <w:proofErr w:type="spellStart"/>
      <w:r w:rsidRPr="002256EE">
        <w:rPr>
          <w:rFonts w:cs="Times New Roman"/>
          <w:lang w:val="fr-BE"/>
        </w:rPr>
        <w:t>common</w:t>
      </w:r>
      <w:proofErr w:type="spellEnd"/>
      <w:r w:rsidRPr="002256EE">
        <w:rPr>
          <w:rFonts w:cs="Times New Roman"/>
          <w:lang w:val="fr-BE"/>
        </w:rPr>
        <w:t xml:space="preserve"> </w:t>
      </w:r>
      <w:proofErr w:type="spellStart"/>
      <w:r w:rsidRPr="002256EE">
        <w:rPr>
          <w:rFonts w:cs="Times New Roman"/>
          <w:lang w:val="fr-BE"/>
        </w:rPr>
        <w:t>law</w:t>
      </w:r>
      <w:proofErr w:type="spellEnd"/>
      <w:r w:rsidRPr="002256EE">
        <w:rPr>
          <w:rFonts w:cs="Times New Roman"/>
          <w:lang w:val="fr-BE"/>
        </w:rPr>
        <w:t xml:space="preserve">, en s’inspirant du </w:t>
      </w:r>
      <w:r w:rsidRPr="002256EE">
        <w:rPr>
          <w:rFonts w:cs="Times New Roman"/>
          <w:i/>
          <w:lang w:val="fr-BE"/>
        </w:rPr>
        <w:t xml:space="preserve">Crown </w:t>
      </w:r>
      <w:proofErr w:type="spellStart"/>
      <w:r w:rsidRPr="002256EE">
        <w:rPr>
          <w:rFonts w:cs="Times New Roman"/>
          <w:i/>
          <w:lang w:val="fr-BE"/>
        </w:rPr>
        <w:t>Proceedings</w:t>
      </w:r>
      <w:proofErr w:type="spellEnd"/>
      <w:r w:rsidRPr="002256EE">
        <w:rPr>
          <w:rFonts w:cs="Times New Roman"/>
          <w:i/>
          <w:lang w:val="fr-BE"/>
        </w:rPr>
        <w:t xml:space="preserve"> </w:t>
      </w:r>
      <w:proofErr w:type="spellStart"/>
      <w:r w:rsidRPr="002256EE">
        <w:rPr>
          <w:rFonts w:cs="Times New Roman"/>
          <w:i/>
          <w:lang w:val="fr-BE"/>
        </w:rPr>
        <w:t>Act</w:t>
      </w:r>
      <w:proofErr w:type="spellEnd"/>
      <w:r w:rsidRPr="002256EE">
        <w:rPr>
          <w:rFonts w:cs="Times New Roman"/>
          <w:i/>
          <w:lang w:val="fr-BE"/>
        </w:rPr>
        <w:t>, 1947</w:t>
      </w:r>
      <w:r w:rsidRPr="002256EE">
        <w:rPr>
          <w:rFonts w:cs="Times New Roman"/>
          <w:lang w:val="fr-BE"/>
        </w:rPr>
        <w:t xml:space="preserve"> (R.-U</w:t>
      </w:r>
      <w:r w:rsidR="00361399">
        <w:rPr>
          <w:rFonts w:cs="Times New Roman"/>
          <w:lang w:val="fr-BE"/>
        </w:rPr>
        <w:t>.</w:t>
      </w:r>
      <w:r w:rsidRPr="002256EE">
        <w:rPr>
          <w:rFonts w:cs="Times New Roman"/>
          <w:lang w:val="fr-BE"/>
        </w:rPr>
        <w:t xml:space="preserve">), 10 &amp; 11 </w:t>
      </w:r>
      <w:proofErr w:type="spellStart"/>
      <w:r w:rsidRPr="002256EE">
        <w:rPr>
          <w:rFonts w:cs="Times New Roman"/>
          <w:lang w:val="fr-BE"/>
        </w:rPr>
        <w:t>Geo</w:t>
      </w:r>
      <w:proofErr w:type="spellEnd"/>
      <w:r w:rsidRPr="002256EE">
        <w:rPr>
          <w:rFonts w:cs="Times New Roman"/>
          <w:lang w:val="fr-BE"/>
        </w:rPr>
        <w:t xml:space="preserve">. 6, c. 44, édicté au Royaume-Uni. En 1953, il adopte ainsi la </w:t>
      </w:r>
      <w:r w:rsidRPr="002256EE">
        <w:rPr>
          <w:rFonts w:cs="Times New Roman"/>
          <w:i/>
          <w:lang w:val="fr-BE"/>
        </w:rPr>
        <w:t>Loi sur la responsabilité de la Couronne</w:t>
      </w:r>
      <w:r w:rsidRPr="002256EE">
        <w:rPr>
          <w:rFonts w:cs="Times New Roman"/>
          <w:lang w:val="fr-BE"/>
        </w:rPr>
        <w:t xml:space="preserve">, S.C. 1952-53, c. 30 (Morley, p. 1-41; </w:t>
      </w:r>
      <w:proofErr w:type="spellStart"/>
      <w:r w:rsidRPr="002256EE">
        <w:rPr>
          <w:rFonts w:cs="Times New Roman"/>
          <w:lang w:val="fr-BE"/>
        </w:rPr>
        <w:t>Hogg</w:t>
      </w:r>
      <w:proofErr w:type="spellEnd"/>
      <w:r w:rsidRPr="002256EE">
        <w:rPr>
          <w:rFonts w:cs="Times New Roman"/>
          <w:lang w:val="fr-BE"/>
        </w:rPr>
        <w:t xml:space="preserve">, Monahan et Wright, p. 9), qui a pour effet d’élargir la responsabilité de l’État et ainsi rapprocher sa situation juridique de celle du justiciable ordinaire. Cette </w:t>
      </w:r>
      <w:r w:rsidRPr="002256EE">
        <w:rPr>
          <w:rFonts w:cs="Times New Roman"/>
          <w:i/>
          <w:lang w:val="fr-BE"/>
        </w:rPr>
        <w:t>Loi sur la responsabilité de la Couronne</w:t>
      </w:r>
      <w:r w:rsidRPr="002256EE">
        <w:rPr>
          <w:rFonts w:cs="Times New Roman"/>
          <w:lang w:val="fr-BE"/>
        </w:rPr>
        <w:t xml:space="preserve"> est l’ancêtre de la LRCE qui est au cœur de ce pourvoi. Aujourd’hui, en matière de procédure civile, l’immunité de l’État demeure au fédéral, mais uniquement dans les limites prévues à la LRCE et à la</w:t>
      </w:r>
      <w:r w:rsidRPr="002256EE">
        <w:rPr>
          <w:rFonts w:cs="Times New Roman"/>
          <w:i/>
          <w:lang w:val="fr-BE"/>
        </w:rPr>
        <w:t xml:space="preserve"> </w:t>
      </w:r>
      <w:r w:rsidRPr="002256EE">
        <w:rPr>
          <w:rFonts w:cs="Times New Roman"/>
          <w:i/>
          <w:lang w:val="fr-BE"/>
        </w:rPr>
        <w:lastRenderedPageBreak/>
        <w:t>Loi sur les Cours fédérales</w:t>
      </w:r>
      <w:r w:rsidRPr="002256EE">
        <w:rPr>
          <w:rFonts w:cs="Times New Roman"/>
          <w:lang w:val="fr-BE"/>
        </w:rPr>
        <w:t xml:space="preserve">, L.R.C. 1985, c. F-7, dont le législateur reste libre de modifier la portée (Brun, </w:t>
      </w:r>
      <w:r w:rsidR="00361399">
        <w:rPr>
          <w:rFonts w:cs="Times New Roman"/>
          <w:lang w:val="fr-BE"/>
        </w:rPr>
        <w:t xml:space="preserve">Tremblay et Brouillet, par. IX.72 </w:t>
      </w:r>
      <w:r w:rsidR="007A7D35">
        <w:rPr>
          <w:rFonts w:cs="Times New Roman"/>
          <w:lang w:val="fr-BE"/>
        </w:rPr>
        <w:t>et</w:t>
      </w:r>
      <w:r w:rsidR="00361399">
        <w:rPr>
          <w:rFonts w:cs="Times New Roman"/>
          <w:lang w:val="fr-BE"/>
        </w:rPr>
        <w:t xml:space="preserve"> IX.</w:t>
      </w:r>
      <w:r w:rsidRPr="002256EE">
        <w:rPr>
          <w:rFonts w:cs="Times New Roman"/>
          <w:lang w:val="fr-BE"/>
        </w:rPr>
        <w:t xml:space="preserve">73). Il s’ensuit que </w:t>
      </w:r>
      <w:r w:rsidRPr="002256EE">
        <w:rPr>
          <w:rFonts w:cs="Times New Roman"/>
          <w:szCs w:val="24"/>
          <w:lang w:val="fr-BE"/>
        </w:rPr>
        <w:t>l’État ne se retrouve pas dans une position juridique identique à celle du justiciable ordinaire puisqu’aux termes de la législation actuelle, il conserve toujours certains privilèges et immunités résiduels.</w:t>
      </w:r>
    </w:p>
    <w:p w:rsidR="00017C6D" w:rsidRPr="002256EE" w:rsidRDefault="00017C6D" w:rsidP="00017C6D">
      <w:pPr>
        <w:pStyle w:val="ParaNoNdepar-AltN"/>
        <w:tabs>
          <w:tab w:val="clear" w:pos="1152"/>
          <w:tab w:val="left" w:pos="1166"/>
        </w:tabs>
        <w:rPr>
          <w:rFonts w:cs="Times New Roman"/>
          <w:lang w:val="fr-BE"/>
        </w:rPr>
      </w:pPr>
      <w:r w:rsidRPr="002256EE">
        <w:rPr>
          <w:rFonts w:cs="Times New Roman"/>
          <w:szCs w:val="24"/>
          <w:lang w:val="fr-BE"/>
        </w:rPr>
        <w:t xml:space="preserve">Dans cette perspective, </w:t>
      </w:r>
      <w:proofErr w:type="gramStart"/>
      <w:r w:rsidRPr="002256EE">
        <w:rPr>
          <w:rFonts w:cs="Times New Roman"/>
          <w:szCs w:val="24"/>
          <w:lang w:val="fr-BE"/>
        </w:rPr>
        <w:t>l</w:t>
      </w:r>
      <w:r w:rsidRPr="002256EE">
        <w:rPr>
          <w:rFonts w:cs="Times New Roman"/>
          <w:lang w:val="fr-BE"/>
        </w:rPr>
        <w:t>’on constate</w:t>
      </w:r>
      <w:proofErr w:type="gramEnd"/>
      <w:r w:rsidRPr="002256EE">
        <w:rPr>
          <w:rFonts w:cs="Times New Roman"/>
          <w:lang w:val="fr-BE"/>
        </w:rPr>
        <w:t xml:space="preserve"> que </w:t>
      </w:r>
      <w:r w:rsidRPr="002256EE">
        <w:rPr>
          <w:rFonts w:cs="Times New Roman"/>
          <w:szCs w:val="24"/>
          <w:lang w:val="fr-BE"/>
        </w:rPr>
        <w:t>l’art. 27 de la LRCE soumet désormais l’État aux « règles de pratique et de procédure du tribunal » de l’instance à laquelle l’État est partie. Cette disposition a pour effet d’écarter, dans ces cas, son immunité et de l’assujettir aux règles de la procédure civile, dont celles de l’interrogatoire préalable</w:t>
      </w:r>
      <w:r w:rsidRPr="002256EE">
        <w:rPr>
          <w:rFonts w:cs="Times New Roman"/>
          <w:lang w:val="fr-BE" w:eastAsia="fr-CA"/>
        </w:rPr>
        <w:t>.</w:t>
      </w:r>
      <w:r w:rsidRPr="002256EE">
        <w:rPr>
          <w:rFonts w:cs="Times New Roman"/>
          <w:szCs w:val="24"/>
          <w:lang w:val="fr-BE"/>
        </w:rPr>
        <w:t xml:space="preserve"> Le législateur a fait un choix clair lorsqu’il a introduit l’art. 27 à la LRCE, soumettant ainsi l’État à de telles règles lorsqu’il est partie à un litige. </w:t>
      </w:r>
    </w:p>
    <w:p w:rsidR="00017C6D" w:rsidRPr="002256EE" w:rsidRDefault="00017C6D" w:rsidP="00017C6D">
      <w:pPr>
        <w:pStyle w:val="ParaNoNdepar-AltN"/>
        <w:tabs>
          <w:tab w:val="clear" w:pos="1152"/>
          <w:tab w:val="left" w:pos="1166"/>
          <w:tab w:val="num" w:pos="1422"/>
        </w:tabs>
        <w:rPr>
          <w:rFonts w:cs="Times New Roman"/>
          <w:szCs w:val="24"/>
          <w:lang w:val="fr-BE"/>
        </w:rPr>
      </w:pPr>
      <w:r w:rsidRPr="002256EE">
        <w:rPr>
          <w:rFonts w:cs="Times New Roman"/>
          <w:szCs w:val="24"/>
          <w:lang w:val="fr-BE"/>
        </w:rPr>
        <w:t xml:space="preserve">Les </w:t>
      </w:r>
      <w:proofErr w:type="gramStart"/>
      <w:r w:rsidRPr="002256EE">
        <w:rPr>
          <w:rFonts w:cs="Times New Roman"/>
          <w:szCs w:val="24"/>
          <w:lang w:val="fr-BE"/>
        </w:rPr>
        <w:t>intimés prétendent</w:t>
      </w:r>
      <w:proofErr w:type="gramEnd"/>
      <w:r w:rsidRPr="002256EE">
        <w:rPr>
          <w:rFonts w:cs="Times New Roman"/>
          <w:szCs w:val="24"/>
          <w:lang w:val="fr-BE"/>
        </w:rPr>
        <w:t xml:space="preserve"> que l’art. 27 de la LRCE écarte l’immunité de l’État relative à l’application des règles de procédure provinciales même lorsque l’État n’est pas partie au litige. À l’instar du PGC et des autres appelants, nous sommes en désaccord avec les prétentions des intimés. L’article 27 de la LRCE ne dénote pas une intention claire et non équivoque du législateur de déroger à l’immunité de l’État relative à son assujettissement à un interrogatoire préalable lorsqu’il n’est pas partie au litige. Notre raisonnement s’appuie sur les principes reconnus d’interprétation statutaire.  </w:t>
      </w:r>
    </w:p>
    <w:p w:rsidR="00017C6D" w:rsidRPr="002256EE" w:rsidRDefault="00017C6D" w:rsidP="00017C6D">
      <w:pPr>
        <w:pStyle w:val="Title2LevelTitre2Niveau"/>
        <w:numPr>
          <w:ilvl w:val="1"/>
          <w:numId w:val="14"/>
        </w:numPr>
        <w:rPr>
          <w:rFonts w:cs="Times New Roman"/>
          <w:lang w:val="fr-BE"/>
        </w:rPr>
      </w:pPr>
      <w:r w:rsidRPr="002256EE">
        <w:rPr>
          <w:rFonts w:cs="Times New Roman"/>
          <w:lang w:val="fr-BE"/>
        </w:rPr>
        <w:t>L’interprétation de la LRCE</w:t>
      </w:r>
    </w:p>
    <w:p w:rsidR="00017C6D" w:rsidRPr="002256EE" w:rsidRDefault="00017C6D" w:rsidP="00017C6D">
      <w:pPr>
        <w:pStyle w:val="ParaNoNdepar-AltN"/>
        <w:tabs>
          <w:tab w:val="clear" w:pos="1152"/>
          <w:tab w:val="left" w:pos="1166"/>
        </w:tabs>
        <w:rPr>
          <w:rFonts w:cs="Times New Roman"/>
          <w:szCs w:val="24"/>
          <w:lang w:val="fr-BE"/>
        </w:rPr>
      </w:pPr>
      <w:r w:rsidRPr="002256EE">
        <w:rPr>
          <w:rFonts w:cs="Times New Roman"/>
          <w:lang w:val="fr-BE"/>
        </w:rPr>
        <w:lastRenderedPageBreak/>
        <w:t xml:space="preserve">La Cour a rappelé dans l’arrêt </w:t>
      </w:r>
      <w:proofErr w:type="spellStart"/>
      <w:r w:rsidRPr="002256EE">
        <w:rPr>
          <w:rFonts w:cs="Times New Roman"/>
          <w:i/>
          <w:iCs/>
          <w:lang w:val="fr-BE"/>
        </w:rPr>
        <w:t>Rizzo</w:t>
      </w:r>
      <w:proofErr w:type="spellEnd"/>
      <w:r w:rsidRPr="002256EE">
        <w:rPr>
          <w:rFonts w:cs="Times New Roman"/>
          <w:i/>
          <w:iCs/>
          <w:lang w:val="fr-BE"/>
        </w:rPr>
        <w:t xml:space="preserve"> &amp; </w:t>
      </w:r>
      <w:proofErr w:type="spellStart"/>
      <w:r w:rsidRPr="002256EE">
        <w:rPr>
          <w:rFonts w:cs="Times New Roman"/>
          <w:i/>
          <w:iCs/>
          <w:lang w:val="fr-BE"/>
        </w:rPr>
        <w:t>Rizzo</w:t>
      </w:r>
      <w:proofErr w:type="spellEnd"/>
      <w:r w:rsidRPr="002256EE">
        <w:rPr>
          <w:rFonts w:cs="Times New Roman"/>
          <w:i/>
          <w:iCs/>
          <w:lang w:val="fr-BE"/>
        </w:rPr>
        <w:t xml:space="preserve"> </w:t>
      </w:r>
      <w:proofErr w:type="spellStart"/>
      <w:r w:rsidRPr="002256EE">
        <w:rPr>
          <w:rFonts w:cs="Times New Roman"/>
          <w:i/>
          <w:iCs/>
          <w:lang w:val="fr-BE"/>
        </w:rPr>
        <w:t>Shoes</w:t>
      </w:r>
      <w:proofErr w:type="spellEnd"/>
      <w:r w:rsidRPr="002256EE">
        <w:rPr>
          <w:rFonts w:cs="Times New Roman"/>
          <w:i/>
          <w:iCs/>
          <w:lang w:val="fr-BE"/>
        </w:rPr>
        <w:t xml:space="preserve"> Ltd. (</w:t>
      </w:r>
      <w:proofErr w:type="spellStart"/>
      <w:r w:rsidRPr="002256EE">
        <w:rPr>
          <w:rFonts w:cs="Times New Roman"/>
          <w:i/>
          <w:iCs/>
          <w:lang w:val="fr-BE"/>
        </w:rPr>
        <w:t>Re</w:t>
      </w:r>
      <w:proofErr w:type="spellEnd"/>
      <w:r w:rsidRPr="002256EE">
        <w:rPr>
          <w:rFonts w:cs="Times New Roman"/>
          <w:i/>
          <w:iCs/>
          <w:lang w:val="fr-BE"/>
        </w:rPr>
        <w:t>)</w:t>
      </w:r>
      <w:r w:rsidRPr="002256EE">
        <w:rPr>
          <w:rFonts w:cs="Times New Roman"/>
          <w:iCs/>
          <w:lang w:val="fr-BE"/>
        </w:rPr>
        <w:t>, [1998] 1 R.C.S. 27, qu’[</w:t>
      </w:r>
      <w:r w:rsidRPr="002256EE">
        <w:rPr>
          <w:rFonts w:cs="Times New Roman"/>
          <w:iCs/>
          <w:smallCaps/>
          <w:lang w:val="fr-BE"/>
        </w:rPr>
        <w:t>traduction</w:t>
      </w:r>
      <w:r w:rsidRPr="002256EE">
        <w:rPr>
          <w:rFonts w:cs="Times New Roman"/>
          <w:iCs/>
          <w:lang w:val="fr-BE"/>
        </w:rPr>
        <w:t>] «</w:t>
      </w:r>
      <w:r w:rsidRPr="002256EE">
        <w:rPr>
          <w:rFonts w:cs="Times New Roman"/>
          <w:i/>
          <w:iCs/>
          <w:lang w:val="fr-BE"/>
        </w:rPr>
        <w:t> </w:t>
      </w:r>
      <w:r w:rsidRPr="002256EE">
        <w:rPr>
          <w:rFonts w:cs="Times New Roman"/>
          <w:lang w:val="fr-BE"/>
        </w:rPr>
        <w:t xml:space="preserve">il n’y a qu’un seul principe ou solution : il faut lire les termes d’une loi dans leur contexte global en suivant le sens ordinaire et grammatical qui s’harmonise avec l’[économie] de la loi, l’objet de la loi et l’intention du législateur » (par. 21, citant E. A. </w:t>
      </w:r>
      <w:proofErr w:type="spellStart"/>
      <w:r w:rsidRPr="002256EE">
        <w:rPr>
          <w:rFonts w:cs="Times New Roman"/>
          <w:lang w:val="fr-BE"/>
        </w:rPr>
        <w:t>Driedger</w:t>
      </w:r>
      <w:proofErr w:type="spellEnd"/>
      <w:r w:rsidRPr="002256EE">
        <w:rPr>
          <w:rFonts w:cs="Times New Roman"/>
          <w:lang w:val="fr-BE"/>
        </w:rPr>
        <w:t xml:space="preserve">, </w:t>
      </w:r>
      <w:r w:rsidRPr="002256EE">
        <w:rPr>
          <w:rFonts w:cs="Times New Roman"/>
          <w:i/>
          <w:lang w:val="fr-BE"/>
        </w:rPr>
        <w:t xml:space="preserve">Construction of </w:t>
      </w:r>
      <w:proofErr w:type="spellStart"/>
      <w:r w:rsidRPr="002256EE">
        <w:rPr>
          <w:rFonts w:cs="Times New Roman"/>
          <w:i/>
          <w:lang w:val="fr-BE"/>
        </w:rPr>
        <w:t>Statutes</w:t>
      </w:r>
      <w:proofErr w:type="spellEnd"/>
      <w:r w:rsidRPr="002256EE">
        <w:rPr>
          <w:rFonts w:cs="Times New Roman"/>
          <w:lang w:val="fr-BE"/>
        </w:rPr>
        <w:t xml:space="preserve"> (2</w:t>
      </w:r>
      <w:r w:rsidRPr="002256EE">
        <w:rPr>
          <w:rFonts w:cs="Times New Roman"/>
          <w:vertAlign w:val="superscript"/>
          <w:lang w:val="fr-BE"/>
        </w:rPr>
        <w:t xml:space="preserve">e </w:t>
      </w:r>
      <w:r w:rsidRPr="002256EE">
        <w:rPr>
          <w:rFonts w:cs="Times New Roman"/>
          <w:lang w:val="fr-BE"/>
        </w:rPr>
        <w:t xml:space="preserve">éd. 1983), p. 87; </w:t>
      </w:r>
      <w:r w:rsidRPr="002256EE">
        <w:rPr>
          <w:rFonts w:cs="Times New Roman"/>
          <w:lang w:val="fr-CA"/>
        </w:rPr>
        <w:t>voir aussi Sullivan, p. 14</w:t>
      </w:r>
      <w:r w:rsidRPr="002256EE">
        <w:rPr>
          <w:rFonts w:cs="Times New Roman"/>
          <w:sz w:val="20"/>
          <w:szCs w:val="20"/>
          <w:lang w:val="fr-CA"/>
        </w:rPr>
        <w:t>)</w:t>
      </w:r>
      <w:r w:rsidRPr="002256EE">
        <w:rPr>
          <w:rFonts w:cs="Times New Roman"/>
          <w:lang w:val="fr-CA"/>
        </w:rPr>
        <w:t xml:space="preserve">. </w:t>
      </w:r>
      <w:r w:rsidRPr="002256EE">
        <w:rPr>
          <w:rFonts w:cs="Times New Roman"/>
          <w:lang w:val="fr-BE"/>
        </w:rPr>
        <w:t>Cette</w:t>
      </w:r>
      <w:r w:rsidRPr="002256EE">
        <w:rPr>
          <w:rFonts w:cs="Times New Roman"/>
          <w:szCs w:val="24"/>
          <w:lang w:val="fr-BE"/>
        </w:rPr>
        <w:t xml:space="preserve"> méthode d’interprétation moderne milite ici en faveur de la position des appelants. </w:t>
      </w:r>
    </w:p>
    <w:p w:rsidR="00017C6D" w:rsidRPr="002256EE" w:rsidRDefault="00017C6D" w:rsidP="00017C6D">
      <w:pPr>
        <w:pStyle w:val="Title3LevelTitre3Niveau"/>
        <w:numPr>
          <w:ilvl w:val="2"/>
          <w:numId w:val="28"/>
        </w:numPr>
        <w:rPr>
          <w:rFonts w:cs="Times New Roman"/>
          <w:lang w:val="fr-CA"/>
        </w:rPr>
      </w:pPr>
      <w:r w:rsidRPr="002256EE">
        <w:rPr>
          <w:rFonts w:cs="Times New Roman"/>
          <w:lang w:val="fr-CA"/>
        </w:rPr>
        <w:t>Le libellé de l’art. 27 de la LRCE</w:t>
      </w:r>
    </w:p>
    <w:p w:rsidR="00017C6D" w:rsidRPr="002256EE" w:rsidRDefault="00017C6D" w:rsidP="00017C6D">
      <w:pPr>
        <w:pStyle w:val="ParaNoNdepar-AltN"/>
        <w:tabs>
          <w:tab w:val="clear" w:pos="1152"/>
          <w:tab w:val="left" w:pos="1166"/>
        </w:tabs>
        <w:rPr>
          <w:rFonts w:cs="Times New Roman"/>
          <w:szCs w:val="24"/>
          <w:lang w:val="fr-BE"/>
        </w:rPr>
      </w:pPr>
      <w:r w:rsidRPr="002256EE">
        <w:rPr>
          <w:rFonts w:cs="Times New Roman"/>
          <w:szCs w:val="24"/>
          <w:lang w:val="fr-BE"/>
        </w:rPr>
        <w:t>Les termes employés à l’art. 27 de la LRCE sont clairs en ce qui concerne la possibilité d’assujettir l’État à un interrogatoire préalable lorsqu’il est partie au litige. Cependant, cette disposition est loin d’être non équivoque en ce qui concerne cette même possibilité lorsque l’État n’est pas partie au litige. Les intimés concèdent d’ailleurs ce point lors de l’audience devant la Cour (transcription, p. 125). Or, seule une formulation claire assujettissant l’État aux règles de procédure du tribunal saisi lorsqu’il est un tiers au litige aurait pu permettre d’ordonner l’interrogatoire préalable de l’enquêteur-chef dans le présent dossier. L’article 27 prévoit simplement que « </w:t>
      </w:r>
      <w:r w:rsidRPr="002256EE">
        <w:rPr>
          <w:rFonts w:cs="Times New Roman"/>
          <w:lang w:val="fr-BE" w:eastAsia="fr-CA"/>
        </w:rPr>
        <w:t xml:space="preserve">les </w:t>
      </w:r>
      <w:r w:rsidRPr="002256EE">
        <w:rPr>
          <w:rFonts w:cs="Times New Roman"/>
          <w:u w:val="single"/>
          <w:lang w:val="fr-BE" w:eastAsia="fr-CA"/>
        </w:rPr>
        <w:t>instances</w:t>
      </w:r>
      <w:r w:rsidRPr="002256EE">
        <w:rPr>
          <w:rFonts w:cs="Times New Roman"/>
          <w:lang w:val="fr-BE" w:eastAsia="fr-CA"/>
        </w:rPr>
        <w:t xml:space="preserve"> suivent les règles de pratique et de procédure du tribunal saisi ». </w:t>
      </w:r>
      <w:r w:rsidRPr="002256EE">
        <w:rPr>
          <w:rFonts w:cs="Times New Roman"/>
          <w:szCs w:val="24"/>
          <w:lang w:val="fr-BE"/>
        </w:rPr>
        <w:t>De prime abord, cette disposition ne s’applique pas lorsque l’État n’est pas une partie. Le libellé de cette disposition ne fait pas état d’une intention limpide et explicite de lier l’État dans toutes les instances l’intéressant. Cela ressort avec acuité lorsque l’on interprète les termes de cette disposition dans le contexte global de la LRCE.</w:t>
      </w:r>
    </w:p>
    <w:p w:rsidR="00017C6D" w:rsidRPr="002256EE" w:rsidRDefault="00017C6D" w:rsidP="00017C6D">
      <w:pPr>
        <w:pStyle w:val="Title3LevelTitre3Niveau"/>
        <w:numPr>
          <w:ilvl w:val="2"/>
          <w:numId w:val="28"/>
        </w:numPr>
        <w:rPr>
          <w:rFonts w:cs="Times New Roman"/>
          <w:lang w:val="fr-CA"/>
        </w:rPr>
      </w:pPr>
      <w:r w:rsidRPr="002256EE">
        <w:rPr>
          <w:rFonts w:cs="Times New Roman"/>
          <w:lang w:val="fr-CA"/>
        </w:rPr>
        <w:lastRenderedPageBreak/>
        <w:t>Le contexte et la structure de la LRCE et du Règlement</w:t>
      </w:r>
    </w:p>
    <w:p w:rsidR="00017C6D" w:rsidRPr="002256EE" w:rsidRDefault="00017C6D" w:rsidP="00017C6D">
      <w:pPr>
        <w:pStyle w:val="ParaNoNdepar-AltN"/>
        <w:tabs>
          <w:tab w:val="clear" w:pos="1152"/>
          <w:tab w:val="left" w:pos="1166"/>
        </w:tabs>
        <w:rPr>
          <w:rFonts w:cs="Times New Roman"/>
          <w:lang w:val="fr-BE"/>
        </w:rPr>
      </w:pPr>
      <w:r w:rsidRPr="002256EE">
        <w:rPr>
          <w:rFonts w:cs="Times New Roman"/>
          <w:szCs w:val="24"/>
          <w:lang w:val="fr-BE"/>
        </w:rPr>
        <w:t xml:space="preserve">En effet, à la lumière de l’ensemble des articles de la LRCE, il est clair que l’art. 27 ne s’applique que lorsque l’État est partie au litige. La section de la loi dans laquelle cette disposition figure ainsi que la structure de la LRCE dans son entièreté militent en faveur de cette conclusion, et ce dans les deux langues officielles. </w:t>
      </w:r>
    </w:p>
    <w:p w:rsidR="00017C6D" w:rsidRPr="002256EE" w:rsidRDefault="00017C6D" w:rsidP="00017C6D">
      <w:pPr>
        <w:pStyle w:val="ParaNoNdepar-AltN"/>
        <w:tabs>
          <w:tab w:val="clear" w:pos="1152"/>
          <w:tab w:val="left" w:pos="1166"/>
          <w:tab w:val="num" w:pos="1422"/>
        </w:tabs>
        <w:rPr>
          <w:rFonts w:cs="Times New Roman"/>
          <w:szCs w:val="24"/>
          <w:lang w:val="fr-BE"/>
        </w:rPr>
      </w:pPr>
      <w:r w:rsidRPr="002256EE">
        <w:rPr>
          <w:rFonts w:cs="Times New Roman"/>
          <w:szCs w:val="24"/>
          <w:lang w:val="fr-BE"/>
        </w:rPr>
        <w:t>L’article 27 se retrouve dans une section de la loi intitulée « Partie II</w:t>
      </w:r>
      <w:r w:rsidR="007A7D35">
        <w:rPr>
          <w:rFonts w:cs="Times New Roman"/>
          <w:szCs w:val="24"/>
          <w:lang w:val="fr-BE"/>
        </w:rPr>
        <w:t xml:space="preserve"> </w:t>
      </w:r>
      <w:r w:rsidRPr="002256EE">
        <w:rPr>
          <w:rFonts w:cs="Times New Roman"/>
          <w:szCs w:val="24"/>
          <w:lang w:val="fr-BE"/>
        </w:rPr>
        <w:t xml:space="preserve">: Contentieux administratif », et plus précisément dans une sous-section intitulée « Procédure ». Cette partie II, qui régit les instances en matière de contentieux administratif, établit les règles applicables étape par étape, traitant tour à tour des questions de compétence, de procédure, de dépens, d’exécution des jugements, d’intérêts, d’offres de paiement et de prescription. La doctrine enseigne que l’expression </w:t>
      </w:r>
      <w:r w:rsidRPr="002256EE">
        <w:rPr>
          <w:rFonts w:cs="Times New Roman"/>
          <w:lang w:val="fr-CA"/>
        </w:rPr>
        <w:t xml:space="preserve">« contentieux administratif » désigne une instance à laquelle l’État est partie (G. Pépin et Y. Ouellette, </w:t>
      </w:r>
      <w:r w:rsidRPr="002256EE">
        <w:rPr>
          <w:rFonts w:cs="Times New Roman"/>
          <w:i/>
          <w:lang w:val="fr-CA"/>
        </w:rPr>
        <w:t>Principes de contentieux administratif</w:t>
      </w:r>
      <w:r w:rsidRPr="002256EE">
        <w:rPr>
          <w:rFonts w:cs="Times New Roman"/>
          <w:lang w:val="fr-CA"/>
        </w:rPr>
        <w:t xml:space="preserve"> (2</w:t>
      </w:r>
      <w:r w:rsidRPr="002256EE">
        <w:rPr>
          <w:rFonts w:cs="Times New Roman"/>
          <w:vertAlign w:val="superscript"/>
          <w:lang w:val="fr-CA"/>
        </w:rPr>
        <w:t>e</w:t>
      </w:r>
      <w:r w:rsidRPr="002256EE">
        <w:rPr>
          <w:rFonts w:cs="Times New Roman"/>
          <w:lang w:val="fr-CA"/>
        </w:rPr>
        <w:t xml:space="preserve"> éd. 1982), p. 1).</w:t>
      </w:r>
      <w:r w:rsidRPr="002256EE">
        <w:rPr>
          <w:rFonts w:cs="Times New Roman"/>
          <w:szCs w:val="24"/>
          <w:lang w:val="fr-BE"/>
        </w:rPr>
        <w:t xml:space="preserve">  </w:t>
      </w:r>
    </w:p>
    <w:p w:rsidR="00017C6D" w:rsidRPr="002256EE" w:rsidRDefault="00017C6D" w:rsidP="00017C6D">
      <w:pPr>
        <w:pStyle w:val="ParaNoNdepar-AltN"/>
        <w:tabs>
          <w:tab w:val="clear" w:pos="1152"/>
          <w:tab w:val="left" w:pos="1166"/>
          <w:tab w:val="num" w:pos="1422"/>
        </w:tabs>
        <w:rPr>
          <w:rFonts w:cs="Times New Roman"/>
          <w:szCs w:val="24"/>
          <w:lang w:val="fr-BE"/>
        </w:rPr>
      </w:pPr>
      <w:r w:rsidRPr="002256EE">
        <w:rPr>
          <w:rFonts w:cs="Times New Roman"/>
          <w:szCs w:val="24"/>
          <w:lang w:val="fr-BE"/>
        </w:rPr>
        <w:t xml:space="preserve">L’objet de la sous-section intitulée « Procédure » est tout aussi clair : établir les règles concernant non seulement l’introduction d’une instance contre l’État (art. 23), mais aussi les moyens de défense (art. 24) et la procédure applicable au cours de ces instances (art. 25 et 26). L’article 27 boucle la boucle sur les instances introduites contre l’État en identifiant les règles de pratique et de procédure qui s’appliqueront alors. Les articles 23 à 27, qui composent cette sous-section, établissent donc les règles relatives aux contentieux administratifs qui intéressent l’État à titre de partie. L’article </w:t>
      </w:r>
      <w:r w:rsidRPr="002256EE">
        <w:rPr>
          <w:rFonts w:cs="Times New Roman"/>
          <w:szCs w:val="24"/>
          <w:lang w:val="fr-BE"/>
        </w:rPr>
        <w:lastRenderedPageBreak/>
        <w:t>27 est le dernier de cette sous-section et il ne fait que préciser les règles applicables dans de tels contentieux. À la lecture des autres dispositions de cette sous-section, il est évident que l’art. 27 ne peut s’appliquer que lorsque l’État est une partie. Ce serait dénaturer l’art. 27 que d’omettre de l’examiner au regard de ces autres dispositions consacrées aux « poursuites visant l’État »</w:t>
      </w:r>
      <w:r w:rsidRPr="002256EE">
        <w:rPr>
          <w:rFonts w:cs="Times New Roman"/>
          <w:i/>
          <w:szCs w:val="24"/>
          <w:lang w:val="fr-BE"/>
        </w:rPr>
        <w:t xml:space="preserve"> </w:t>
      </w:r>
      <w:r w:rsidRPr="002256EE">
        <w:rPr>
          <w:rFonts w:cs="Times New Roman"/>
          <w:szCs w:val="24"/>
          <w:lang w:val="fr-BE"/>
        </w:rPr>
        <w:t>(</w:t>
      </w:r>
      <w:r w:rsidR="00180172">
        <w:rPr>
          <w:rFonts w:cs="Times New Roman"/>
          <w:szCs w:val="24"/>
          <w:lang w:val="fr-BE"/>
        </w:rPr>
        <w:t>« </w:t>
      </w:r>
      <w:proofErr w:type="spellStart"/>
      <w:r w:rsidRPr="002256EE">
        <w:rPr>
          <w:rFonts w:cs="Times New Roman"/>
          <w:i/>
          <w:szCs w:val="24"/>
          <w:lang w:val="fr-BE"/>
        </w:rPr>
        <w:t>proceedings</w:t>
      </w:r>
      <w:proofErr w:type="spellEnd"/>
      <w:r w:rsidRPr="002256EE">
        <w:rPr>
          <w:rFonts w:cs="Times New Roman"/>
          <w:i/>
          <w:szCs w:val="24"/>
          <w:lang w:val="fr-BE"/>
        </w:rPr>
        <w:t xml:space="preserve"> </w:t>
      </w:r>
      <w:proofErr w:type="spellStart"/>
      <w:r w:rsidRPr="002256EE">
        <w:rPr>
          <w:rFonts w:cs="Times New Roman"/>
          <w:i/>
          <w:szCs w:val="24"/>
          <w:lang w:val="fr-BE"/>
        </w:rPr>
        <w:t>against</w:t>
      </w:r>
      <w:proofErr w:type="spellEnd"/>
      <w:r w:rsidRPr="002256EE">
        <w:rPr>
          <w:rFonts w:cs="Times New Roman"/>
          <w:i/>
          <w:szCs w:val="24"/>
          <w:lang w:val="fr-BE"/>
        </w:rPr>
        <w:t xml:space="preserve"> the Crown</w:t>
      </w:r>
      <w:r w:rsidR="00180172">
        <w:rPr>
          <w:rFonts w:cs="Times New Roman"/>
          <w:i/>
          <w:szCs w:val="24"/>
          <w:lang w:val="fr-BE"/>
        </w:rPr>
        <w:t> </w:t>
      </w:r>
      <w:r w:rsidR="00180172" w:rsidRPr="009A0A66">
        <w:rPr>
          <w:rFonts w:cs="Times New Roman"/>
          <w:szCs w:val="24"/>
          <w:lang w:val="fr-BE"/>
        </w:rPr>
        <w:t>»</w:t>
      </w:r>
      <w:r w:rsidRPr="002256EE">
        <w:rPr>
          <w:rFonts w:cs="Times New Roman"/>
          <w:szCs w:val="24"/>
          <w:lang w:val="fr-BE"/>
        </w:rPr>
        <w:t>).</w:t>
      </w:r>
    </w:p>
    <w:p w:rsidR="00017C6D" w:rsidRPr="002256EE" w:rsidRDefault="00017C6D" w:rsidP="00017C6D">
      <w:pPr>
        <w:pStyle w:val="ParaNoNdepar-AltN"/>
        <w:tabs>
          <w:tab w:val="clear" w:pos="1152"/>
          <w:tab w:val="left" w:pos="1166"/>
          <w:tab w:val="num" w:pos="1422"/>
        </w:tabs>
        <w:rPr>
          <w:rFonts w:cs="Times New Roman"/>
          <w:szCs w:val="24"/>
          <w:lang w:val="fr-BE"/>
        </w:rPr>
      </w:pPr>
      <w:r w:rsidRPr="002256EE">
        <w:rPr>
          <w:rFonts w:cs="Times New Roman"/>
          <w:szCs w:val="24"/>
          <w:lang w:val="fr-BE"/>
        </w:rPr>
        <w:t>En français, l’expression « les instances » de l’art. 27 renvoie donc nécessairement, selon nous, aux dispositions de la même sous-section portant sur les « poursuites exercées contre lui » (art. 24 et 25) et les « procès instruits contre l’État » (art. 26). C’est aussi clairement le cas dans la version anglaise de la LRCE, où les expressions « </w:t>
      </w:r>
      <w:r w:rsidRPr="002256EE">
        <w:rPr>
          <w:rFonts w:cs="Times New Roman"/>
          <w:i/>
          <w:szCs w:val="24"/>
          <w:lang w:val="fr-BE"/>
        </w:rPr>
        <w:t xml:space="preserve">in </w:t>
      </w:r>
      <w:proofErr w:type="spellStart"/>
      <w:r w:rsidRPr="002256EE">
        <w:rPr>
          <w:rFonts w:cs="Times New Roman"/>
          <w:i/>
          <w:szCs w:val="24"/>
          <w:lang w:val="fr-BE"/>
        </w:rPr>
        <w:t>which</w:t>
      </w:r>
      <w:proofErr w:type="spellEnd"/>
      <w:r w:rsidRPr="002256EE">
        <w:rPr>
          <w:rFonts w:cs="Times New Roman"/>
          <w:i/>
          <w:szCs w:val="24"/>
          <w:lang w:val="fr-BE"/>
        </w:rPr>
        <w:t xml:space="preserve"> </w:t>
      </w:r>
      <w:proofErr w:type="spellStart"/>
      <w:r w:rsidRPr="002256EE">
        <w:rPr>
          <w:rFonts w:cs="Times New Roman"/>
          <w:i/>
          <w:szCs w:val="24"/>
          <w:lang w:val="fr-BE"/>
        </w:rPr>
        <w:t>proceedings</w:t>
      </w:r>
      <w:proofErr w:type="spellEnd"/>
      <w:r w:rsidRPr="002256EE">
        <w:rPr>
          <w:rFonts w:cs="Times New Roman"/>
          <w:i/>
          <w:szCs w:val="24"/>
          <w:lang w:val="fr-BE"/>
        </w:rPr>
        <w:t xml:space="preserve"> are </w:t>
      </w:r>
      <w:proofErr w:type="spellStart"/>
      <w:r w:rsidRPr="002256EE">
        <w:rPr>
          <w:rFonts w:cs="Times New Roman"/>
          <w:i/>
          <w:szCs w:val="24"/>
          <w:lang w:val="fr-BE"/>
        </w:rPr>
        <w:t>taken</w:t>
      </w:r>
      <w:proofErr w:type="spellEnd"/>
      <w:r w:rsidRPr="002256EE">
        <w:rPr>
          <w:rFonts w:cs="Times New Roman"/>
          <w:i/>
          <w:szCs w:val="24"/>
          <w:lang w:val="fr-BE"/>
        </w:rPr>
        <w:t> </w:t>
      </w:r>
      <w:r w:rsidRPr="002256EE">
        <w:rPr>
          <w:rFonts w:cs="Times New Roman"/>
          <w:szCs w:val="24"/>
          <w:lang w:val="fr-BE"/>
        </w:rPr>
        <w:t>» et « </w:t>
      </w:r>
      <w:proofErr w:type="spellStart"/>
      <w:r w:rsidRPr="002256EE">
        <w:rPr>
          <w:rFonts w:cs="Times New Roman"/>
          <w:i/>
          <w:szCs w:val="24"/>
          <w:lang w:val="fr-BE"/>
        </w:rPr>
        <w:t>those</w:t>
      </w:r>
      <w:proofErr w:type="spellEnd"/>
      <w:r w:rsidRPr="002256EE">
        <w:rPr>
          <w:rFonts w:cs="Times New Roman"/>
          <w:i/>
          <w:szCs w:val="24"/>
          <w:lang w:val="fr-BE"/>
        </w:rPr>
        <w:t xml:space="preserve"> </w:t>
      </w:r>
      <w:proofErr w:type="spellStart"/>
      <w:r w:rsidRPr="002256EE">
        <w:rPr>
          <w:rFonts w:cs="Times New Roman"/>
          <w:i/>
          <w:szCs w:val="24"/>
          <w:lang w:val="fr-BE"/>
        </w:rPr>
        <w:t>proceedings</w:t>
      </w:r>
      <w:proofErr w:type="spellEnd"/>
      <w:r w:rsidRPr="002256EE">
        <w:rPr>
          <w:rFonts w:cs="Times New Roman"/>
          <w:szCs w:val="24"/>
          <w:lang w:val="fr-BE"/>
        </w:rPr>
        <w:t> » de l’art. 27 doivent nécessairement référer aux « </w:t>
      </w:r>
      <w:proofErr w:type="spellStart"/>
      <w:r w:rsidRPr="002256EE">
        <w:rPr>
          <w:rFonts w:cs="Times New Roman"/>
          <w:i/>
          <w:szCs w:val="24"/>
          <w:lang w:val="fr-BE"/>
        </w:rPr>
        <w:t>proceedings</w:t>
      </w:r>
      <w:proofErr w:type="spellEnd"/>
      <w:r w:rsidRPr="002256EE">
        <w:rPr>
          <w:rFonts w:cs="Times New Roman"/>
          <w:i/>
          <w:szCs w:val="24"/>
          <w:lang w:val="fr-BE"/>
        </w:rPr>
        <w:t xml:space="preserve"> </w:t>
      </w:r>
      <w:proofErr w:type="spellStart"/>
      <w:r w:rsidRPr="002256EE">
        <w:rPr>
          <w:rFonts w:cs="Times New Roman"/>
          <w:i/>
          <w:szCs w:val="24"/>
          <w:lang w:val="fr-BE"/>
        </w:rPr>
        <w:t>against</w:t>
      </w:r>
      <w:proofErr w:type="spellEnd"/>
      <w:r w:rsidRPr="002256EE">
        <w:rPr>
          <w:rFonts w:cs="Times New Roman"/>
          <w:i/>
          <w:szCs w:val="24"/>
          <w:lang w:val="fr-BE"/>
        </w:rPr>
        <w:t xml:space="preserve"> the Crown</w:t>
      </w:r>
      <w:r w:rsidRPr="002256EE">
        <w:rPr>
          <w:rFonts w:cs="Times New Roman"/>
          <w:szCs w:val="24"/>
          <w:lang w:val="fr-BE"/>
        </w:rPr>
        <w:t> » (art. 23, 24, 25 et 26).</w:t>
      </w:r>
    </w:p>
    <w:p w:rsidR="00017C6D" w:rsidRPr="002256EE" w:rsidRDefault="00017C6D" w:rsidP="00017C6D">
      <w:pPr>
        <w:pStyle w:val="ParaNoNdepar-AltN"/>
        <w:rPr>
          <w:rFonts w:cs="Times New Roman"/>
          <w:lang w:val="fr-CA"/>
        </w:rPr>
      </w:pPr>
      <w:r w:rsidRPr="002256EE">
        <w:rPr>
          <w:rFonts w:cs="Times New Roman"/>
          <w:szCs w:val="24"/>
          <w:lang w:val="fr-CA"/>
        </w:rPr>
        <w:t xml:space="preserve">Enfin, l’art. 34, dans la sous-section intitulée « Règlements », </w:t>
      </w:r>
      <w:r w:rsidRPr="002256EE">
        <w:rPr>
          <w:rFonts w:cs="Times New Roman"/>
          <w:lang w:val="fr-CA"/>
        </w:rPr>
        <w:t>prévoit uniquement un mécanisme par lequel il est possible de déroger à l’immunité de l’État. Il ne permet pas à lui seul de soutenir que l’art. 27 s’applique lorsque l’État n’est pas partie au litige. Encore faut-il avoir prévu une dérogation expresse à l’immunité. Les termes « à titre de partie ou autrement » prévus à l’art. 34 auraient pu être utilisés à l’art. 27 afin d’écarter l’immunité de l’État lorsqu’il est partie au litige ou lorsqu’il est impliqué « autrement</w:t>
      </w:r>
      <w:r w:rsidRPr="002256EE">
        <w:rPr>
          <w:rFonts w:cs="Times New Roman"/>
          <w:i/>
          <w:lang w:val="fr-CA"/>
        </w:rPr>
        <w:t> </w:t>
      </w:r>
      <w:r w:rsidRPr="002256EE">
        <w:rPr>
          <w:rFonts w:cs="Times New Roman"/>
          <w:lang w:val="fr-CA"/>
        </w:rPr>
        <w:t>»</w:t>
      </w:r>
      <w:r w:rsidRPr="002256EE">
        <w:rPr>
          <w:rFonts w:cs="Times New Roman"/>
          <w:i/>
          <w:lang w:val="fr-CA"/>
        </w:rPr>
        <w:t>.</w:t>
      </w:r>
      <w:r w:rsidRPr="002256EE">
        <w:rPr>
          <w:rFonts w:cs="Times New Roman"/>
          <w:lang w:val="fr-CA"/>
        </w:rPr>
        <w:t xml:space="preserve"> Or, ce n’est pas le cas.</w:t>
      </w:r>
    </w:p>
    <w:p w:rsidR="00017C6D" w:rsidRPr="00BB5474" w:rsidRDefault="00017C6D" w:rsidP="00017C6D">
      <w:pPr>
        <w:pStyle w:val="ParaNoNdepar-AltN"/>
        <w:rPr>
          <w:rFonts w:cs="Times New Roman"/>
          <w:lang w:val="fr-CA"/>
        </w:rPr>
      </w:pPr>
      <w:r w:rsidRPr="002256EE">
        <w:rPr>
          <w:rFonts w:cs="Times New Roman"/>
          <w:lang w:val="fr-CA"/>
        </w:rPr>
        <w:t xml:space="preserve">Par ailleurs, malgré l’adoption du Règlement qu’invoquent les parties et dont les dispositions pertinentes sont reproduites précédemment, nous convenons avec </w:t>
      </w:r>
      <w:r w:rsidRPr="002256EE">
        <w:rPr>
          <w:rFonts w:cs="Times New Roman"/>
          <w:lang w:val="fr-CA"/>
        </w:rPr>
        <w:lastRenderedPageBreak/>
        <w:t xml:space="preserve">les appelants que l’art. 7 de ce règlement ne peut trouver application que lorsque l’État est partie au litige. </w:t>
      </w:r>
      <w:r w:rsidRPr="00BB5474">
        <w:rPr>
          <w:rFonts w:cs="Times New Roman"/>
          <w:lang w:val="fr-CA"/>
        </w:rPr>
        <w:t xml:space="preserve">En effet, cet article ne fait qu’assimiler l’État à une personne morale et s’applique « lorsque les règles provinciales prévoient, pour une </w:t>
      </w:r>
      <w:r w:rsidRPr="002256EE">
        <w:rPr>
          <w:rFonts w:cs="Times New Roman"/>
          <w:lang w:val="fr-FR"/>
        </w:rPr>
        <w:t xml:space="preserve">action </w:t>
      </w:r>
      <w:r w:rsidRPr="002256EE">
        <w:rPr>
          <w:rFonts w:cs="Times New Roman"/>
          <w:u w:val="single"/>
          <w:lang w:val="fr-FR"/>
        </w:rPr>
        <w:t>entre</w:t>
      </w:r>
      <w:r w:rsidRPr="002256EE">
        <w:rPr>
          <w:rFonts w:cs="Times New Roman"/>
          <w:lang w:val="fr-FR"/>
        </w:rPr>
        <w:t xml:space="preserve"> une personne morale (autre qu’un organisme mandataire de l’État) et une autre personne, </w:t>
      </w:r>
      <w:r w:rsidRPr="00BB5474">
        <w:rPr>
          <w:rFonts w:cs="Times New Roman"/>
          <w:lang w:val="fr-CA" w:eastAsia="fr-CA"/>
        </w:rPr>
        <w:t xml:space="preserve">qu’un dirigeant ou un préposé </w:t>
      </w:r>
      <w:r w:rsidRPr="00BB5474">
        <w:rPr>
          <w:rFonts w:cs="Times New Roman"/>
          <w:u w:val="single"/>
          <w:lang w:val="fr-CA" w:eastAsia="fr-CA"/>
        </w:rPr>
        <w:t>de la personne morale</w:t>
      </w:r>
      <w:r w:rsidRPr="00BB5474">
        <w:rPr>
          <w:rFonts w:cs="Times New Roman"/>
          <w:lang w:val="fr-CA" w:eastAsia="fr-CA"/>
        </w:rPr>
        <w:t xml:space="preserve"> peut être interrogé au préalable </w:t>
      </w:r>
      <w:r w:rsidRPr="002256EE">
        <w:rPr>
          <w:rFonts w:cs="Times New Roman"/>
          <w:lang w:val="fr-FR"/>
        </w:rPr>
        <w:t xml:space="preserve">». À la face même de son libellé, il ne s’agit pas d’une règle de pratique applicable lors de poursuites intéressant l’État autrement qu’à titre de partie. </w:t>
      </w:r>
      <w:r w:rsidRPr="00BB5474">
        <w:rPr>
          <w:rFonts w:cs="Times New Roman"/>
          <w:lang w:val="fr-CA"/>
        </w:rPr>
        <w:t>Cette disposition ne permet pas de tirer une conclusion différente de celle à laquelle nous mènent les principes d’interpréta</w:t>
      </w:r>
      <w:r w:rsidR="007A7D35">
        <w:rPr>
          <w:rFonts w:cs="Times New Roman"/>
          <w:lang w:val="fr-CA"/>
        </w:rPr>
        <w:t xml:space="preserve">tion de l’art. 27 de la LRCE. </w:t>
      </w:r>
      <w:r w:rsidRPr="00BB5474">
        <w:rPr>
          <w:rFonts w:cs="Times New Roman"/>
          <w:lang w:val="fr-CA"/>
        </w:rPr>
        <w:t xml:space="preserve"> </w:t>
      </w:r>
    </w:p>
    <w:p w:rsidR="00017C6D" w:rsidRPr="002256EE" w:rsidRDefault="00017C6D" w:rsidP="00017C6D">
      <w:pPr>
        <w:pStyle w:val="Title3LevelTitre3Niveau"/>
        <w:numPr>
          <w:ilvl w:val="2"/>
          <w:numId w:val="28"/>
        </w:numPr>
        <w:rPr>
          <w:rFonts w:cs="Times New Roman"/>
          <w:lang w:val="fr-CA"/>
        </w:rPr>
      </w:pPr>
      <w:proofErr w:type="spellStart"/>
      <w:r w:rsidRPr="002256EE">
        <w:rPr>
          <w:rFonts w:cs="Times New Roman"/>
        </w:rPr>
        <w:t>L’historique</w:t>
      </w:r>
      <w:proofErr w:type="spellEnd"/>
      <w:r w:rsidRPr="002256EE">
        <w:rPr>
          <w:rFonts w:cs="Times New Roman"/>
        </w:rPr>
        <w:t xml:space="preserve"> </w:t>
      </w:r>
      <w:proofErr w:type="spellStart"/>
      <w:r w:rsidRPr="002256EE">
        <w:rPr>
          <w:rFonts w:cs="Times New Roman"/>
        </w:rPr>
        <w:t>législatif</w:t>
      </w:r>
      <w:proofErr w:type="spellEnd"/>
    </w:p>
    <w:p w:rsidR="00017C6D" w:rsidRPr="002256EE" w:rsidRDefault="00017C6D" w:rsidP="00017C6D">
      <w:pPr>
        <w:pStyle w:val="ParaNoNdepar-AltN"/>
        <w:tabs>
          <w:tab w:val="clear" w:pos="1152"/>
          <w:tab w:val="left" w:pos="1166"/>
        </w:tabs>
        <w:rPr>
          <w:rFonts w:cs="Times New Roman"/>
          <w:szCs w:val="24"/>
          <w:lang w:val="fr-BE"/>
        </w:rPr>
      </w:pPr>
      <w:r w:rsidRPr="002256EE">
        <w:rPr>
          <w:rFonts w:cs="Times New Roman"/>
          <w:szCs w:val="24"/>
          <w:lang w:val="fr-BE"/>
        </w:rPr>
        <w:t>L’historique législatif ainsi que les travaux préparatoires étayent aussi la thèse du PGC et des autres appelants dans le présent pourvoi. L’historique législatif de la LRCE est important en l’espèce puisque la question devant nous porte sur l’immunité de l’État et on ne peut y déroger qu’au moyen d’un texte clair. Les travaux préparatoires sont eux aussi importants pour bien cerner l’intention du législateur lors de la modification de la disposition visée en l’espèce</w:t>
      </w:r>
      <w:r w:rsidRPr="002256EE">
        <w:rPr>
          <w:rFonts w:cs="Times New Roman"/>
          <w:lang w:val="fr-BE"/>
        </w:rPr>
        <w:t xml:space="preserve"> (</w:t>
      </w:r>
      <w:r w:rsidRPr="002256EE">
        <w:rPr>
          <w:rFonts w:cs="Times New Roman"/>
          <w:bCs/>
          <w:lang w:val="fr-BE"/>
        </w:rPr>
        <w:t xml:space="preserve">P.-A. Côté, avec la collaboration de S. </w:t>
      </w:r>
      <w:proofErr w:type="spellStart"/>
      <w:r w:rsidRPr="002256EE">
        <w:rPr>
          <w:rFonts w:cs="Times New Roman"/>
          <w:bCs/>
          <w:lang w:val="fr-BE"/>
        </w:rPr>
        <w:t>Beaulac</w:t>
      </w:r>
      <w:proofErr w:type="spellEnd"/>
      <w:r w:rsidRPr="002256EE">
        <w:rPr>
          <w:rFonts w:cs="Times New Roman"/>
          <w:bCs/>
          <w:lang w:val="fr-BE"/>
        </w:rPr>
        <w:t xml:space="preserve"> et M. </w:t>
      </w:r>
      <w:proofErr w:type="spellStart"/>
      <w:r w:rsidRPr="002256EE">
        <w:rPr>
          <w:rFonts w:cs="Times New Roman"/>
          <w:bCs/>
          <w:lang w:val="fr-BE"/>
        </w:rPr>
        <w:t>Devinat</w:t>
      </w:r>
      <w:proofErr w:type="spellEnd"/>
      <w:r w:rsidRPr="002256EE">
        <w:rPr>
          <w:rFonts w:cs="Times New Roman"/>
          <w:bCs/>
          <w:lang w:val="fr-BE"/>
        </w:rPr>
        <w:t xml:space="preserve">, </w:t>
      </w:r>
      <w:r w:rsidRPr="002256EE">
        <w:rPr>
          <w:rFonts w:cs="Times New Roman"/>
          <w:bCs/>
          <w:i/>
          <w:lang w:val="fr-BE"/>
        </w:rPr>
        <w:t>Interprétation des lois</w:t>
      </w:r>
      <w:r w:rsidRPr="002256EE">
        <w:rPr>
          <w:rFonts w:cs="Times New Roman"/>
          <w:bCs/>
          <w:lang w:val="fr-BE"/>
        </w:rPr>
        <w:t xml:space="preserve"> (4</w:t>
      </w:r>
      <w:r w:rsidRPr="002256EE">
        <w:rPr>
          <w:rFonts w:cs="Times New Roman"/>
          <w:bCs/>
          <w:vertAlign w:val="superscript"/>
          <w:lang w:val="fr-BE"/>
        </w:rPr>
        <w:t>e</w:t>
      </w:r>
      <w:r w:rsidRPr="002256EE">
        <w:rPr>
          <w:rFonts w:cs="Times New Roman"/>
          <w:bCs/>
          <w:lang w:val="fr-BE"/>
        </w:rPr>
        <w:t xml:space="preserve"> éd. 2009), par. 1576-1595</w:t>
      </w:r>
      <w:r w:rsidR="00FF452D">
        <w:rPr>
          <w:rFonts w:cs="Times New Roman"/>
          <w:bCs/>
          <w:lang w:val="fr-BE"/>
        </w:rPr>
        <w:t>,</w:t>
      </w:r>
      <w:r w:rsidRPr="002256EE">
        <w:rPr>
          <w:rFonts w:cs="Times New Roman"/>
          <w:i/>
          <w:iCs/>
          <w:lang w:val="fr-BE"/>
        </w:rPr>
        <w:t xml:space="preserve"> </w:t>
      </w:r>
      <w:r w:rsidRPr="002256EE">
        <w:rPr>
          <w:rFonts w:cs="Times New Roman"/>
          <w:iCs/>
          <w:lang w:val="fr-BE"/>
        </w:rPr>
        <w:t>et</w:t>
      </w:r>
      <w:r w:rsidRPr="002256EE">
        <w:rPr>
          <w:rFonts w:cs="Times New Roman"/>
          <w:i/>
          <w:iCs/>
          <w:lang w:val="fr-BE"/>
        </w:rPr>
        <w:t xml:space="preserve"> </w:t>
      </w:r>
      <w:proofErr w:type="spellStart"/>
      <w:r w:rsidRPr="002256EE">
        <w:rPr>
          <w:rFonts w:cs="Times New Roman"/>
          <w:i/>
          <w:iCs/>
          <w:lang w:val="fr-BE"/>
        </w:rPr>
        <w:t>Rizzo</w:t>
      </w:r>
      <w:proofErr w:type="spellEnd"/>
      <w:r w:rsidRPr="002256EE">
        <w:rPr>
          <w:rFonts w:cs="Times New Roman"/>
          <w:i/>
          <w:iCs/>
          <w:lang w:val="fr-BE"/>
        </w:rPr>
        <w:t xml:space="preserve"> &amp; </w:t>
      </w:r>
      <w:proofErr w:type="spellStart"/>
      <w:r w:rsidRPr="002256EE">
        <w:rPr>
          <w:rFonts w:cs="Times New Roman"/>
          <w:i/>
          <w:iCs/>
          <w:lang w:val="fr-BE"/>
        </w:rPr>
        <w:t>Rizzo</w:t>
      </w:r>
      <w:proofErr w:type="spellEnd"/>
      <w:r w:rsidRPr="002256EE">
        <w:rPr>
          <w:rFonts w:cs="Times New Roman"/>
          <w:i/>
          <w:iCs/>
          <w:lang w:val="fr-BE"/>
        </w:rPr>
        <w:t xml:space="preserve"> </w:t>
      </w:r>
      <w:proofErr w:type="spellStart"/>
      <w:r w:rsidRPr="002256EE">
        <w:rPr>
          <w:rFonts w:cs="Times New Roman"/>
          <w:i/>
          <w:iCs/>
          <w:lang w:val="fr-BE"/>
        </w:rPr>
        <w:t>Shoes</w:t>
      </w:r>
      <w:proofErr w:type="spellEnd"/>
      <w:r w:rsidRPr="002256EE">
        <w:rPr>
          <w:rFonts w:cs="Times New Roman"/>
          <w:i/>
          <w:iCs/>
          <w:lang w:val="fr-BE"/>
        </w:rPr>
        <w:t xml:space="preserve"> Ltd. (</w:t>
      </w:r>
      <w:proofErr w:type="spellStart"/>
      <w:r w:rsidRPr="002256EE">
        <w:rPr>
          <w:rFonts w:cs="Times New Roman"/>
          <w:i/>
          <w:iCs/>
          <w:lang w:val="fr-BE"/>
        </w:rPr>
        <w:t>Re</w:t>
      </w:r>
      <w:proofErr w:type="spellEnd"/>
      <w:r w:rsidRPr="002256EE">
        <w:rPr>
          <w:rFonts w:cs="Times New Roman"/>
          <w:i/>
          <w:iCs/>
          <w:lang w:val="fr-BE"/>
        </w:rPr>
        <w:t>)</w:t>
      </w:r>
      <w:r w:rsidRPr="002256EE">
        <w:rPr>
          <w:rFonts w:cs="Times New Roman"/>
          <w:iCs/>
          <w:lang w:val="fr-BE"/>
        </w:rPr>
        <w:t>,</w:t>
      </w:r>
      <w:r w:rsidRPr="002256EE">
        <w:rPr>
          <w:rFonts w:cs="Times New Roman"/>
          <w:i/>
          <w:iCs/>
          <w:lang w:val="fr-BE"/>
        </w:rPr>
        <w:t xml:space="preserve"> </w:t>
      </w:r>
      <w:r w:rsidRPr="002256EE">
        <w:rPr>
          <w:rFonts w:cs="Times New Roman"/>
          <w:iCs/>
          <w:lang w:val="fr-BE"/>
        </w:rPr>
        <w:t>par</w:t>
      </w:r>
      <w:r w:rsidRPr="002256EE">
        <w:rPr>
          <w:rFonts w:cs="Times New Roman"/>
          <w:lang w:val="fr-BE"/>
        </w:rPr>
        <w:t xml:space="preserve">. 35). </w:t>
      </w:r>
    </w:p>
    <w:p w:rsidR="00017C6D" w:rsidRPr="002256EE" w:rsidRDefault="00017C6D" w:rsidP="00017C6D">
      <w:pPr>
        <w:pStyle w:val="ParaNoNdepar-AltN"/>
        <w:tabs>
          <w:tab w:val="clear" w:pos="1152"/>
          <w:tab w:val="left" w:pos="1166"/>
        </w:tabs>
        <w:rPr>
          <w:rFonts w:cs="Times New Roman"/>
          <w:szCs w:val="24"/>
          <w:lang w:val="fr-BE"/>
        </w:rPr>
      </w:pPr>
      <w:r w:rsidRPr="002256EE">
        <w:rPr>
          <w:rFonts w:cs="Times New Roman"/>
          <w:szCs w:val="24"/>
          <w:lang w:val="fr-BE"/>
        </w:rPr>
        <w:t xml:space="preserve">L’historique législatif révèle que l’art. 14 de la </w:t>
      </w:r>
      <w:r w:rsidRPr="002256EE">
        <w:rPr>
          <w:rFonts w:cs="Times New Roman"/>
          <w:i/>
          <w:szCs w:val="24"/>
          <w:lang w:val="fr-BE"/>
        </w:rPr>
        <w:t>Loi sur la responsabilité de la Couronne</w:t>
      </w:r>
      <w:r w:rsidRPr="002256EE">
        <w:rPr>
          <w:rFonts w:cs="Times New Roman"/>
          <w:szCs w:val="24"/>
          <w:lang w:val="fr-BE"/>
        </w:rPr>
        <w:t xml:space="preserve">, S.R.C. 1970, c. C-38, est l’ancêtre de l’actuel art. 27 de la LRCE. À ce </w:t>
      </w:r>
      <w:r w:rsidRPr="002256EE">
        <w:rPr>
          <w:rFonts w:cs="Times New Roman"/>
          <w:szCs w:val="24"/>
          <w:lang w:val="fr-BE"/>
        </w:rPr>
        <w:lastRenderedPageBreak/>
        <w:t xml:space="preserve">chapitre, les extraits des travaux préparatoires ayant mené à la refonte de la LRCE s’avèrent fort utiles. On y retrouve entre autres ceci :  </w:t>
      </w:r>
    </w:p>
    <w:p w:rsidR="00017C6D" w:rsidRPr="002256EE" w:rsidRDefault="00017C6D" w:rsidP="003E03C8">
      <w:pPr>
        <w:pStyle w:val="Citation-AltC"/>
        <w:spacing w:before="240" w:after="240"/>
        <w:rPr>
          <w:lang w:val="fr-BE"/>
        </w:rPr>
      </w:pPr>
      <w:r w:rsidRPr="002256EE">
        <w:rPr>
          <w:spacing w:val="-2"/>
          <w:lang w:val="fr-BE"/>
        </w:rPr>
        <w:t>Le</w:t>
      </w:r>
      <w:r w:rsidRPr="002256EE">
        <w:rPr>
          <w:spacing w:val="44"/>
          <w:lang w:val="fr-BE"/>
        </w:rPr>
        <w:t xml:space="preserve"> </w:t>
      </w:r>
      <w:r w:rsidRPr="002256EE">
        <w:rPr>
          <w:lang w:val="fr-BE"/>
        </w:rPr>
        <w:t>Parlement</w:t>
      </w:r>
      <w:r w:rsidRPr="002256EE">
        <w:rPr>
          <w:spacing w:val="42"/>
          <w:lang w:val="fr-BE"/>
        </w:rPr>
        <w:t xml:space="preserve"> </w:t>
      </w:r>
      <w:r w:rsidRPr="002256EE">
        <w:rPr>
          <w:lang w:val="fr-BE"/>
        </w:rPr>
        <w:t>profita</w:t>
      </w:r>
      <w:r w:rsidRPr="002256EE">
        <w:rPr>
          <w:spacing w:val="42"/>
          <w:lang w:val="fr-BE"/>
        </w:rPr>
        <w:t xml:space="preserve"> </w:t>
      </w:r>
      <w:r w:rsidRPr="002256EE">
        <w:rPr>
          <w:lang w:val="fr-BE"/>
        </w:rPr>
        <w:t>de</w:t>
      </w:r>
      <w:r w:rsidRPr="002256EE">
        <w:rPr>
          <w:spacing w:val="44"/>
          <w:lang w:val="fr-BE"/>
        </w:rPr>
        <w:t xml:space="preserve"> </w:t>
      </w:r>
      <w:r w:rsidRPr="002256EE">
        <w:rPr>
          <w:lang w:val="fr-BE"/>
        </w:rPr>
        <w:t>la</w:t>
      </w:r>
      <w:r w:rsidRPr="002256EE">
        <w:rPr>
          <w:spacing w:val="42"/>
          <w:lang w:val="fr-BE"/>
        </w:rPr>
        <w:t xml:space="preserve"> </w:t>
      </w:r>
      <w:r w:rsidRPr="002256EE">
        <w:rPr>
          <w:lang w:val="fr-BE"/>
        </w:rPr>
        <w:t>réforme</w:t>
      </w:r>
      <w:r w:rsidRPr="002256EE">
        <w:rPr>
          <w:spacing w:val="42"/>
          <w:lang w:val="fr-BE"/>
        </w:rPr>
        <w:t xml:space="preserve"> </w:t>
      </w:r>
      <w:r w:rsidRPr="002256EE">
        <w:rPr>
          <w:lang w:val="fr-BE"/>
        </w:rPr>
        <w:t>pour</w:t>
      </w:r>
      <w:r w:rsidRPr="002256EE">
        <w:rPr>
          <w:spacing w:val="42"/>
          <w:lang w:val="fr-BE"/>
        </w:rPr>
        <w:t xml:space="preserve"> </w:t>
      </w:r>
      <w:r w:rsidRPr="002256EE">
        <w:rPr>
          <w:lang w:val="fr-BE"/>
        </w:rPr>
        <w:t>préciser</w:t>
      </w:r>
      <w:r w:rsidRPr="002256EE">
        <w:rPr>
          <w:spacing w:val="42"/>
          <w:lang w:val="fr-BE"/>
        </w:rPr>
        <w:t xml:space="preserve"> </w:t>
      </w:r>
      <w:r w:rsidRPr="002256EE">
        <w:rPr>
          <w:lang w:val="fr-BE"/>
        </w:rPr>
        <w:t>quelles</w:t>
      </w:r>
      <w:r w:rsidRPr="002256EE">
        <w:rPr>
          <w:spacing w:val="45"/>
          <w:lang w:val="fr-BE"/>
        </w:rPr>
        <w:t xml:space="preserve"> </w:t>
      </w:r>
      <w:r w:rsidRPr="002256EE">
        <w:rPr>
          <w:lang w:val="fr-BE"/>
        </w:rPr>
        <w:t>règles</w:t>
      </w:r>
      <w:r w:rsidRPr="002256EE">
        <w:rPr>
          <w:spacing w:val="42"/>
          <w:lang w:val="fr-BE"/>
        </w:rPr>
        <w:t xml:space="preserve"> </w:t>
      </w:r>
      <w:r w:rsidRPr="002256EE">
        <w:rPr>
          <w:spacing w:val="1"/>
          <w:lang w:val="fr-BE"/>
        </w:rPr>
        <w:t>de</w:t>
      </w:r>
      <w:r w:rsidRPr="002256EE">
        <w:rPr>
          <w:spacing w:val="42"/>
          <w:lang w:val="fr-BE"/>
        </w:rPr>
        <w:t xml:space="preserve"> </w:t>
      </w:r>
      <w:r w:rsidRPr="002256EE">
        <w:rPr>
          <w:lang w:val="fr-BE"/>
        </w:rPr>
        <w:t>procédure</w:t>
      </w:r>
      <w:r w:rsidRPr="002256EE">
        <w:rPr>
          <w:spacing w:val="43"/>
          <w:lang w:val="fr-BE"/>
        </w:rPr>
        <w:t xml:space="preserve"> </w:t>
      </w:r>
      <w:r w:rsidRPr="002256EE">
        <w:rPr>
          <w:lang w:val="fr-BE"/>
        </w:rPr>
        <w:t>seraient</w:t>
      </w:r>
      <w:r w:rsidRPr="002256EE">
        <w:rPr>
          <w:spacing w:val="75"/>
          <w:lang w:val="fr-BE"/>
        </w:rPr>
        <w:t xml:space="preserve"> </w:t>
      </w:r>
      <w:r w:rsidRPr="002256EE">
        <w:rPr>
          <w:lang w:val="fr-BE"/>
        </w:rPr>
        <w:t>applicables</w:t>
      </w:r>
      <w:r w:rsidRPr="002256EE">
        <w:rPr>
          <w:spacing w:val="25"/>
          <w:lang w:val="fr-BE"/>
        </w:rPr>
        <w:t xml:space="preserve"> </w:t>
      </w:r>
      <w:r w:rsidRPr="002256EE">
        <w:rPr>
          <w:lang w:val="fr-BE"/>
        </w:rPr>
        <w:t>aux</w:t>
      </w:r>
      <w:r w:rsidRPr="002256EE">
        <w:rPr>
          <w:spacing w:val="28"/>
          <w:lang w:val="fr-BE"/>
        </w:rPr>
        <w:t xml:space="preserve"> </w:t>
      </w:r>
      <w:r w:rsidRPr="002256EE">
        <w:rPr>
          <w:lang w:val="fr-BE"/>
        </w:rPr>
        <w:t>litiges</w:t>
      </w:r>
      <w:r w:rsidRPr="002256EE">
        <w:rPr>
          <w:spacing w:val="26"/>
          <w:lang w:val="fr-BE"/>
        </w:rPr>
        <w:t xml:space="preserve"> </w:t>
      </w:r>
      <w:r w:rsidRPr="002256EE">
        <w:rPr>
          <w:lang w:val="fr-BE"/>
        </w:rPr>
        <w:t>impliquant</w:t>
      </w:r>
      <w:r w:rsidRPr="002256EE">
        <w:rPr>
          <w:spacing w:val="26"/>
          <w:lang w:val="fr-BE"/>
        </w:rPr>
        <w:t xml:space="preserve"> </w:t>
      </w:r>
      <w:r w:rsidRPr="002256EE">
        <w:rPr>
          <w:lang w:val="fr-BE"/>
        </w:rPr>
        <w:t>la</w:t>
      </w:r>
      <w:r w:rsidRPr="002256EE">
        <w:rPr>
          <w:spacing w:val="25"/>
          <w:lang w:val="fr-BE"/>
        </w:rPr>
        <w:t xml:space="preserve"> </w:t>
      </w:r>
      <w:r w:rsidRPr="002256EE">
        <w:rPr>
          <w:lang w:val="fr-BE"/>
        </w:rPr>
        <w:t>Couronne</w:t>
      </w:r>
      <w:r w:rsidRPr="002256EE">
        <w:rPr>
          <w:spacing w:val="27"/>
          <w:lang w:val="fr-BE"/>
        </w:rPr>
        <w:t xml:space="preserve"> </w:t>
      </w:r>
      <w:r w:rsidRPr="002256EE">
        <w:rPr>
          <w:lang w:val="fr-BE"/>
        </w:rPr>
        <w:t>devant</w:t>
      </w:r>
      <w:r w:rsidRPr="002256EE">
        <w:rPr>
          <w:spacing w:val="31"/>
          <w:lang w:val="fr-BE"/>
        </w:rPr>
        <w:t xml:space="preserve"> </w:t>
      </w:r>
      <w:r w:rsidRPr="002256EE">
        <w:rPr>
          <w:lang w:val="fr-BE"/>
        </w:rPr>
        <w:t>ces</w:t>
      </w:r>
      <w:r w:rsidRPr="002256EE">
        <w:rPr>
          <w:spacing w:val="26"/>
          <w:lang w:val="fr-BE"/>
        </w:rPr>
        <w:t xml:space="preserve"> </w:t>
      </w:r>
      <w:r w:rsidRPr="002256EE">
        <w:rPr>
          <w:lang w:val="fr-BE"/>
        </w:rPr>
        <w:t>tribunaux</w:t>
      </w:r>
      <w:r w:rsidRPr="002256EE">
        <w:rPr>
          <w:spacing w:val="28"/>
          <w:lang w:val="fr-BE"/>
        </w:rPr>
        <w:t xml:space="preserve"> </w:t>
      </w:r>
      <w:r w:rsidRPr="002256EE">
        <w:rPr>
          <w:lang w:val="fr-BE"/>
        </w:rPr>
        <w:t>provinciaux.</w:t>
      </w:r>
      <w:r w:rsidRPr="002256EE">
        <w:rPr>
          <w:spacing w:val="26"/>
          <w:lang w:val="fr-BE"/>
        </w:rPr>
        <w:t xml:space="preserve"> </w:t>
      </w:r>
      <w:r w:rsidRPr="002256EE">
        <w:rPr>
          <w:lang w:val="fr-BE"/>
        </w:rPr>
        <w:t>À</w:t>
      </w:r>
      <w:r w:rsidRPr="002256EE">
        <w:rPr>
          <w:spacing w:val="25"/>
          <w:lang w:val="fr-BE"/>
        </w:rPr>
        <w:t xml:space="preserve"> </w:t>
      </w:r>
      <w:r w:rsidRPr="002256EE">
        <w:rPr>
          <w:lang w:val="fr-BE"/>
        </w:rPr>
        <w:t>cet</w:t>
      </w:r>
      <w:r w:rsidRPr="002256EE">
        <w:rPr>
          <w:spacing w:val="93"/>
          <w:lang w:val="fr-BE"/>
        </w:rPr>
        <w:t xml:space="preserve"> </w:t>
      </w:r>
      <w:r w:rsidRPr="002256EE">
        <w:rPr>
          <w:lang w:val="fr-BE"/>
        </w:rPr>
        <w:t>égard,</w:t>
      </w:r>
      <w:r w:rsidRPr="002256EE">
        <w:rPr>
          <w:spacing w:val="20"/>
          <w:lang w:val="fr-BE"/>
        </w:rPr>
        <w:t xml:space="preserve"> </w:t>
      </w:r>
      <w:r w:rsidRPr="002256EE">
        <w:rPr>
          <w:lang w:val="fr-BE"/>
        </w:rPr>
        <w:t>le</w:t>
      </w:r>
      <w:r w:rsidRPr="002256EE">
        <w:rPr>
          <w:spacing w:val="20"/>
          <w:lang w:val="fr-BE"/>
        </w:rPr>
        <w:t xml:space="preserve"> </w:t>
      </w:r>
      <w:r w:rsidRPr="002256EE">
        <w:rPr>
          <w:lang w:val="fr-BE"/>
        </w:rPr>
        <w:t>ministre</w:t>
      </w:r>
      <w:r w:rsidRPr="002256EE">
        <w:rPr>
          <w:spacing w:val="19"/>
          <w:lang w:val="fr-BE"/>
        </w:rPr>
        <w:t xml:space="preserve"> </w:t>
      </w:r>
      <w:r w:rsidRPr="002256EE">
        <w:rPr>
          <w:lang w:val="fr-BE"/>
        </w:rPr>
        <w:t>de</w:t>
      </w:r>
      <w:r w:rsidRPr="002256EE">
        <w:rPr>
          <w:spacing w:val="20"/>
          <w:lang w:val="fr-BE"/>
        </w:rPr>
        <w:t xml:space="preserve"> </w:t>
      </w:r>
      <w:r w:rsidRPr="002256EE">
        <w:rPr>
          <w:lang w:val="fr-BE"/>
        </w:rPr>
        <w:t>la</w:t>
      </w:r>
      <w:r w:rsidRPr="002256EE">
        <w:rPr>
          <w:spacing w:val="20"/>
          <w:lang w:val="fr-BE"/>
        </w:rPr>
        <w:t xml:space="preserve"> </w:t>
      </w:r>
      <w:r w:rsidRPr="002256EE">
        <w:rPr>
          <w:lang w:val="fr-BE"/>
        </w:rPr>
        <w:t>Justice</w:t>
      </w:r>
      <w:r w:rsidRPr="002256EE">
        <w:rPr>
          <w:spacing w:val="20"/>
          <w:lang w:val="fr-BE"/>
        </w:rPr>
        <w:t xml:space="preserve"> </w:t>
      </w:r>
      <w:r w:rsidRPr="002256EE">
        <w:rPr>
          <w:lang w:val="fr-BE"/>
        </w:rPr>
        <w:t>Doug</w:t>
      </w:r>
      <w:r w:rsidRPr="002256EE">
        <w:rPr>
          <w:spacing w:val="23"/>
          <w:lang w:val="fr-BE"/>
        </w:rPr>
        <w:t xml:space="preserve"> </w:t>
      </w:r>
      <w:r w:rsidRPr="002256EE">
        <w:rPr>
          <w:lang w:val="fr-BE"/>
        </w:rPr>
        <w:t>Lewis</w:t>
      </w:r>
      <w:r w:rsidRPr="002256EE">
        <w:rPr>
          <w:spacing w:val="21"/>
          <w:lang w:val="fr-BE"/>
        </w:rPr>
        <w:t xml:space="preserve"> </w:t>
      </w:r>
      <w:r w:rsidRPr="002256EE">
        <w:rPr>
          <w:lang w:val="fr-BE"/>
        </w:rPr>
        <w:t>déclarait</w:t>
      </w:r>
      <w:r w:rsidRPr="002256EE">
        <w:rPr>
          <w:spacing w:val="26"/>
          <w:lang w:val="fr-BE"/>
        </w:rPr>
        <w:t xml:space="preserve"> </w:t>
      </w:r>
      <w:r w:rsidRPr="002256EE">
        <w:rPr>
          <w:lang w:val="fr-BE"/>
        </w:rPr>
        <w:t>ce</w:t>
      </w:r>
      <w:r w:rsidRPr="002256EE">
        <w:rPr>
          <w:spacing w:val="20"/>
          <w:lang w:val="fr-BE"/>
        </w:rPr>
        <w:t xml:space="preserve"> </w:t>
      </w:r>
      <w:r w:rsidRPr="002256EE">
        <w:rPr>
          <w:lang w:val="fr-BE"/>
        </w:rPr>
        <w:t>qui</w:t>
      </w:r>
      <w:r w:rsidRPr="002256EE">
        <w:rPr>
          <w:spacing w:val="21"/>
          <w:lang w:val="fr-BE"/>
        </w:rPr>
        <w:t xml:space="preserve"> </w:t>
      </w:r>
      <w:r w:rsidRPr="002256EE">
        <w:rPr>
          <w:lang w:val="fr-BE"/>
        </w:rPr>
        <w:t>suit</w:t>
      </w:r>
      <w:r w:rsidRPr="002256EE">
        <w:rPr>
          <w:spacing w:val="23"/>
          <w:lang w:val="fr-BE"/>
        </w:rPr>
        <w:t xml:space="preserve"> </w:t>
      </w:r>
      <w:r w:rsidRPr="002256EE">
        <w:rPr>
          <w:lang w:val="fr-BE"/>
        </w:rPr>
        <w:t>devant</w:t>
      </w:r>
      <w:r w:rsidRPr="002256EE">
        <w:rPr>
          <w:spacing w:val="21"/>
          <w:lang w:val="fr-BE"/>
        </w:rPr>
        <w:t xml:space="preserve"> </w:t>
      </w:r>
      <w:r w:rsidRPr="002256EE">
        <w:rPr>
          <w:lang w:val="fr-BE"/>
        </w:rPr>
        <w:t>la</w:t>
      </w:r>
      <w:r w:rsidRPr="002256EE">
        <w:rPr>
          <w:spacing w:val="23"/>
          <w:lang w:val="fr-BE"/>
        </w:rPr>
        <w:t xml:space="preserve"> </w:t>
      </w:r>
      <w:r w:rsidRPr="002256EE">
        <w:rPr>
          <w:lang w:val="fr-BE"/>
        </w:rPr>
        <w:t>Chambre</w:t>
      </w:r>
      <w:r w:rsidRPr="002256EE">
        <w:rPr>
          <w:spacing w:val="20"/>
          <w:lang w:val="fr-BE"/>
        </w:rPr>
        <w:t xml:space="preserve"> </w:t>
      </w:r>
      <w:r w:rsidRPr="002256EE">
        <w:rPr>
          <w:lang w:val="fr-BE"/>
        </w:rPr>
        <w:t>des</w:t>
      </w:r>
      <w:r w:rsidRPr="002256EE">
        <w:rPr>
          <w:spacing w:val="55"/>
          <w:lang w:val="fr-BE"/>
        </w:rPr>
        <w:t xml:space="preserve"> </w:t>
      </w:r>
      <w:r w:rsidRPr="002256EE">
        <w:rPr>
          <w:lang w:val="fr-BE"/>
        </w:rPr>
        <w:t>communes :</w:t>
      </w:r>
    </w:p>
    <w:p w:rsidR="00017C6D" w:rsidRPr="002256EE" w:rsidRDefault="00017C6D" w:rsidP="003E03C8">
      <w:pPr>
        <w:pStyle w:val="BodyText"/>
        <w:spacing w:before="240" w:after="240"/>
        <w:ind w:left="1538"/>
        <w:jc w:val="center"/>
        <w:rPr>
          <w:lang w:val="fr-CA"/>
        </w:rPr>
      </w:pPr>
      <w:r w:rsidRPr="002256EE">
        <w:rPr>
          <w:rFonts w:cs="Times New Roman"/>
          <w:lang w:val="fr-CA"/>
        </w:rPr>
        <w:t>. . .</w:t>
      </w:r>
    </w:p>
    <w:p w:rsidR="00017C6D" w:rsidRPr="002256EE" w:rsidRDefault="00017C6D" w:rsidP="003E03C8">
      <w:pPr>
        <w:pStyle w:val="BodyText"/>
        <w:spacing w:before="240" w:after="240"/>
        <w:ind w:left="1538"/>
        <w:jc w:val="both"/>
        <w:rPr>
          <w:rFonts w:cs="Times New Roman"/>
          <w:u w:color="000000"/>
          <w:lang w:val="fr-BE"/>
        </w:rPr>
      </w:pPr>
      <w:r w:rsidRPr="002256EE">
        <w:rPr>
          <w:rFonts w:cs="Times New Roman"/>
          <w:spacing w:val="-1"/>
          <w:lang w:val="fr-BE"/>
        </w:rPr>
        <w:t>Sixièmement,</w:t>
      </w:r>
      <w:r w:rsidRPr="002256EE">
        <w:rPr>
          <w:rFonts w:cs="Times New Roman"/>
          <w:spacing w:val="11"/>
          <w:lang w:val="fr-BE"/>
        </w:rPr>
        <w:t xml:space="preserve"> </w:t>
      </w:r>
      <w:r w:rsidRPr="002256EE">
        <w:rPr>
          <w:rFonts w:cs="Times New Roman"/>
          <w:lang w:val="fr-BE"/>
        </w:rPr>
        <w:t>suite</w:t>
      </w:r>
      <w:r w:rsidRPr="002256EE">
        <w:rPr>
          <w:rFonts w:cs="Times New Roman"/>
          <w:spacing w:val="10"/>
          <w:lang w:val="fr-BE"/>
        </w:rPr>
        <w:t xml:space="preserve"> </w:t>
      </w:r>
      <w:r w:rsidRPr="002256EE">
        <w:rPr>
          <w:rFonts w:cs="Times New Roman"/>
          <w:spacing w:val="-1"/>
          <w:lang w:val="fr-BE"/>
        </w:rPr>
        <w:t>au</w:t>
      </w:r>
      <w:r w:rsidRPr="002256EE">
        <w:rPr>
          <w:rFonts w:cs="Times New Roman"/>
          <w:spacing w:val="11"/>
          <w:lang w:val="fr-BE"/>
        </w:rPr>
        <w:t xml:space="preserve"> </w:t>
      </w:r>
      <w:r w:rsidRPr="002256EE">
        <w:rPr>
          <w:rFonts w:cs="Times New Roman"/>
          <w:lang w:val="fr-BE"/>
        </w:rPr>
        <w:t>rôle</w:t>
      </w:r>
      <w:r w:rsidRPr="002256EE">
        <w:rPr>
          <w:rFonts w:cs="Times New Roman"/>
          <w:spacing w:val="10"/>
          <w:lang w:val="fr-BE"/>
        </w:rPr>
        <w:t xml:space="preserve"> </w:t>
      </w:r>
      <w:r w:rsidRPr="002256EE">
        <w:rPr>
          <w:rFonts w:cs="Times New Roman"/>
          <w:spacing w:val="-1"/>
          <w:lang w:val="fr-BE"/>
        </w:rPr>
        <w:t>accru</w:t>
      </w:r>
      <w:r w:rsidRPr="002256EE">
        <w:rPr>
          <w:rFonts w:cs="Times New Roman"/>
          <w:spacing w:val="11"/>
          <w:lang w:val="fr-BE"/>
        </w:rPr>
        <w:t xml:space="preserve"> </w:t>
      </w:r>
      <w:r w:rsidRPr="002256EE">
        <w:rPr>
          <w:rFonts w:cs="Times New Roman"/>
          <w:spacing w:val="-1"/>
          <w:lang w:val="fr-BE"/>
        </w:rPr>
        <w:t>des</w:t>
      </w:r>
      <w:r w:rsidRPr="002256EE">
        <w:rPr>
          <w:rFonts w:cs="Times New Roman"/>
          <w:spacing w:val="12"/>
          <w:lang w:val="fr-BE"/>
        </w:rPr>
        <w:t xml:space="preserve"> </w:t>
      </w:r>
      <w:r w:rsidRPr="002256EE">
        <w:rPr>
          <w:rFonts w:cs="Times New Roman"/>
          <w:lang w:val="fr-BE"/>
        </w:rPr>
        <w:t>cours</w:t>
      </w:r>
      <w:r w:rsidRPr="002256EE">
        <w:rPr>
          <w:rFonts w:cs="Times New Roman"/>
          <w:spacing w:val="11"/>
          <w:lang w:val="fr-BE"/>
        </w:rPr>
        <w:t xml:space="preserve"> </w:t>
      </w:r>
      <w:r w:rsidRPr="002256EE">
        <w:rPr>
          <w:rFonts w:cs="Times New Roman"/>
          <w:spacing w:val="-1"/>
          <w:lang w:val="fr-BE"/>
        </w:rPr>
        <w:t>provinciales</w:t>
      </w:r>
      <w:r w:rsidRPr="002256EE">
        <w:rPr>
          <w:rFonts w:cs="Times New Roman"/>
          <w:spacing w:val="12"/>
          <w:lang w:val="fr-BE"/>
        </w:rPr>
        <w:t xml:space="preserve"> </w:t>
      </w:r>
      <w:r w:rsidRPr="002256EE">
        <w:rPr>
          <w:rFonts w:cs="Times New Roman"/>
          <w:spacing w:val="-1"/>
          <w:lang w:val="fr-BE"/>
        </w:rPr>
        <w:t>en</w:t>
      </w:r>
      <w:r w:rsidRPr="002256EE">
        <w:rPr>
          <w:rFonts w:cs="Times New Roman"/>
          <w:spacing w:val="11"/>
          <w:lang w:val="fr-BE"/>
        </w:rPr>
        <w:t xml:space="preserve"> </w:t>
      </w:r>
      <w:r w:rsidRPr="002256EE">
        <w:rPr>
          <w:rFonts w:cs="Times New Roman"/>
          <w:lang w:val="fr-BE"/>
        </w:rPr>
        <w:t>matière</w:t>
      </w:r>
      <w:r w:rsidRPr="002256EE">
        <w:rPr>
          <w:rFonts w:cs="Times New Roman"/>
          <w:spacing w:val="10"/>
          <w:lang w:val="fr-BE"/>
        </w:rPr>
        <w:t xml:space="preserve"> </w:t>
      </w:r>
      <w:r w:rsidRPr="002256EE">
        <w:rPr>
          <w:rFonts w:cs="Times New Roman"/>
          <w:lang w:val="fr-BE"/>
        </w:rPr>
        <w:t>de</w:t>
      </w:r>
      <w:r w:rsidRPr="002256EE">
        <w:rPr>
          <w:rFonts w:cs="Times New Roman"/>
          <w:spacing w:val="63"/>
          <w:lang w:val="fr-BE"/>
        </w:rPr>
        <w:t xml:space="preserve"> </w:t>
      </w:r>
      <w:r w:rsidRPr="002256EE">
        <w:rPr>
          <w:rFonts w:cs="Times New Roman"/>
          <w:spacing w:val="-1"/>
          <w:lang w:val="fr-BE"/>
        </w:rPr>
        <w:t>procédure</w:t>
      </w:r>
      <w:r w:rsidRPr="002256EE">
        <w:rPr>
          <w:rFonts w:cs="Times New Roman"/>
          <w:spacing w:val="51"/>
          <w:lang w:val="fr-BE"/>
        </w:rPr>
        <w:t xml:space="preserve"> </w:t>
      </w:r>
      <w:r w:rsidRPr="002256EE">
        <w:rPr>
          <w:rFonts w:cs="Times New Roman"/>
          <w:spacing w:val="-1"/>
          <w:lang w:val="fr-BE"/>
        </w:rPr>
        <w:t>intéressant</w:t>
      </w:r>
      <w:r w:rsidRPr="002256EE">
        <w:rPr>
          <w:rFonts w:cs="Times New Roman"/>
          <w:spacing w:val="52"/>
          <w:lang w:val="fr-BE"/>
        </w:rPr>
        <w:t xml:space="preserve"> </w:t>
      </w:r>
      <w:r w:rsidRPr="002256EE">
        <w:rPr>
          <w:rFonts w:cs="Times New Roman"/>
          <w:lang w:val="fr-BE"/>
        </w:rPr>
        <w:t>la</w:t>
      </w:r>
      <w:r w:rsidRPr="002256EE">
        <w:rPr>
          <w:rFonts w:cs="Times New Roman"/>
          <w:spacing w:val="54"/>
          <w:lang w:val="fr-BE"/>
        </w:rPr>
        <w:t xml:space="preserve"> </w:t>
      </w:r>
      <w:r w:rsidRPr="002256EE">
        <w:rPr>
          <w:rFonts w:cs="Times New Roman"/>
          <w:spacing w:val="-1"/>
          <w:lang w:val="fr-BE"/>
        </w:rPr>
        <w:t>Couronne,</w:t>
      </w:r>
      <w:r w:rsidRPr="002256EE">
        <w:rPr>
          <w:rFonts w:cs="Times New Roman"/>
          <w:spacing w:val="52"/>
          <w:lang w:val="fr-BE"/>
        </w:rPr>
        <w:t xml:space="preserve"> </w:t>
      </w:r>
      <w:r w:rsidRPr="002256EE">
        <w:rPr>
          <w:rFonts w:cs="Times New Roman"/>
          <w:lang w:val="fr-BE"/>
        </w:rPr>
        <w:t>il</w:t>
      </w:r>
      <w:r w:rsidRPr="002256EE">
        <w:rPr>
          <w:rFonts w:cs="Times New Roman"/>
          <w:spacing w:val="53"/>
          <w:lang w:val="fr-BE"/>
        </w:rPr>
        <w:t xml:space="preserve"> </w:t>
      </w:r>
      <w:r w:rsidRPr="002256EE">
        <w:rPr>
          <w:rFonts w:cs="Times New Roman"/>
          <w:spacing w:val="-1"/>
          <w:lang w:val="fr-BE"/>
        </w:rPr>
        <w:t>devient</w:t>
      </w:r>
      <w:r w:rsidRPr="002256EE">
        <w:rPr>
          <w:rFonts w:cs="Times New Roman"/>
          <w:spacing w:val="50"/>
          <w:lang w:val="fr-BE"/>
        </w:rPr>
        <w:t xml:space="preserve"> </w:t>
      </w:r>
      <w:r w:rsidRPr="002256EE">
        <w:rPr>
          <w:rFonts w:cs="Times New Roman"/>
          <w:spacing w:val="-1"/>
          <w:lang w:val="fr-BE"/>
        </w:rPr>
        <w:t>nécessaire</w:t>
      </w:r>
      <w:r w:rsidRPr="002256EE">
        <w:rPr>
          <w:rFonts w:cs="Times New Roman"/>
          <w:spacing w:val="51"/>
          <w:lang w:val="fr-BE"/>
        </w:rPr>
        <w:t xml:space="preserve"> </w:t>
      </w:r>
      <w:r w:rsidRPr="002256EE">
        <w:rPr>
          <w:rFonts w:cs="Times New Roman"/>
          <w:spacing w:val="-1"/>
          <w:lang w:val="fr-BE"/>
        </w:rPr>
        <w:t>qu’une</w:t>
      </w:r>
      <w:r w:rsidRPr="002256EE">
        <w:rPr>
          <w:rFonts w:cs="Times New Roman"/>
          <w:spacing w:val="51"/>
          <w:lang w:val="fr-BE"/>
        </w:rPr>
        <w:t xml:space="preserve"> </w:t>
      </w:r>
      <w:r w:rsidRPr="002256EE">
        <w:rPr>
          <w:rFonts w:cs="Times New Roman"/>
          <w:lang w:val="fr-BE"/>
        </w:rPr>
        <w:t>loi</w:t>
      </w:r>
      <w:r w:rsidRPr="002256EE">
        <w:rPr>
          <w:rFonts w:cs="Times New Roman"/>
          <w:spacing w:val="77"/>
          <w:lang w:val="fr-BE"/>
        </w:rPr>
        <w:t xml:space="preserve"> </w:t>
      </w:r>
      <w:r w:rsidRPr="002256EE">
        <w:rPr>
          <w:rFonts w:cs="Times New Roman"/>
          <w:spacing w:val="-1"/>
          <w:lang w:val="fr-BE"/>
        </w:rPr>
        <w:t>énonce</w:t>
      </w:r>
      <w:r w:rsidRPr="002256EE">
        <w:rPr>
          <w:rFonts w:cs="Times New Roman"/>
          <w:spacing w:val="10"/>
          <w:lang w:val="fr-BE"/>
        </w:rPr>
        <w:t xml:space="preserve"> </w:t>
      </w:r>
      <w:r w:rsidRPr="002256EE">
        <w:rPr>
          <w:rFonts w:cs="Times New Roman"/>
          <w:lang w:val="fr-BE"/>
        </w:rPr>
        <w:t>les</w:t>
      </w:r>
      <w:r w:rsidRPr="002256EE">
        <w:rPr>
          <w:rFonts w:cs="Times New Roman"/>
          <w:spacing w:val="12"/>
          <w:lang w:val="fr-BE"/>
        </w:rPr>
        <w:t xml:space="preserve"> </w:t>
      </w:r>
      <w:r w:rsidRPr="002256EE">
        <w:rPr>
          <w:rFonts w:cs="Times New Roman"/>
          <w:spacing w:val="-1"/>
          <w:lang w:val="fr-BE"/>
        </w:rPr>
        <w:t>règles</w:t>
      </w:r>
      <w:r w:rsidRPr="002256EE">
        <w:rPr>
          <w:rFonts w:cs="Times New Roman"/>
          <w:spacing w:val="12"/>
          <w:lang w:val="fr-BE"/>
        </w:rPr>
        <w:t xml:space="preserve"> </w:t>
      </w:r>
      <w:r w:rsidRPr="002256EE">
        <w:rPr>
          <w:rFonts w:cs="Times New Roman"/>
          <w:spacing w:val="-1"/>
          <w:lang w:val="fr-BE"/>
        </w:rPr>
        <w:t>générales</w:t>
      </w:r>
      <w:r w:rsidRPr="002256EE">
        <w:rPr>
          <w:rFonts w:cs="Times New Roman"/>
          <w:spacing w:val="12"/>
          <w:lang w:val="fr-BE"/>
        </w:rPr>
        <w:t xml:space="preserve"> </w:t>
      </w:r>
      <w:r w:rsidRPr="002256EE">
        <w:rPr>
          <w:rFonts w:cs="Times New Roman"/>
          <w:lang w:val="fr-BE"/>
        </w:rPr>
        <w:t>de</w:t>
      </w:r>
      <w:r w:rsidRPr="002256EE">
        <w:rPr>
          <w:rFonts w:cs="Times New Roman"/>
          <w:spacing w:val="10"/>
          <w:lang w:val="fr-BE"/>
        </w:rPr>
        <w:t xml:space="preserve"> </w:t>
      </w:r>
      <w:r w:rsidRPr="002256EE">
        <w:rPr>
          <w:rFonts w:cs="Times New Roman"/>
          <w:spacing w:val="-1"/>
          <w:lang w:val="fr-BE"/>
        </w:rPr>
        <w:t>preuve</w:t>
      </w:r>
      <w:r w:rsidRPr="002256EE">
        <w:rPr>
          <w:rFonts w:cs="Times New Roman"/>
          <w:spacing w:val="10"/>
          <w:lang w:val="fr-BE"/>
        </w:rPr>
        <w:t xml:space="preserve"> </w:t>
      </w:r>
      <w:r w:rsidRPr="002256EE">
        <w:rPr>
          <w:rFonts w:cs="Times New Roman"/>
          <w:spacing w:val="-1"/>
          <w:lang w:val="fr-BE"/>
        </w:rPr>
        <w:t>et</w:t>
      </w:r>
      <w:r w:rsidRPr="002256EE">
        <w:rPr>
          <w:rFonts w:cs="Times New Roman"/>
          <w:spacing w:val="12"/>
          <w:lang w:val="fr-BE"/>
        </w:rPr>
        <w:t xml:space="preserve"> </w:t>
      </w:r>
      <w:r w:rsidRPr="002256EE">
        <w:rPr>
          <w:rFonts w:cs="Times New Roman"/>
          <w:lang w:val="fr-BE"/>
        </w:rPr>
        <w:t>de</w:t>
      </w:r>
      <w:r w:rsidRPr="002256EE">
        <w:rPr>
          <w:rFonts w:cs="Times New Roman"/>
          <w:spacing w:val="10"/>
          <w:lang w:val="fr-BE"/>
        </w:rPr>
        <w:t xml:space="preserve"> </w:t>
      </w:r>
      <w:r w:rsidRPr="002256EE">
        <w:rPr>
          <w:rFonts w:cs="Times New Roman"/>
          <w:lang w:val="fr-BE"/>
        </w:rPr>
        <w:t>procédure</w:t>
      </w:r>
      <w:r w:rsidRPr="002256EE">
        <w:rPr>
          <w:rFonts w:cs="Times New Roman"/>
          <w:spacing w:val="10"/>
          <w:lang w:val="fr-BE"/>
        </w:rPr>
        <w:t xml:space="preserve"> </w:t>
      </w:r>
      <w:r w:rsidRPr="002256EE">
        <w:rPr>
          <w:rFonts w:cs="Times New Roman"/>
          <w:spacing w:val="-1"/>
          <w:lang w:val="fr-BE"/>
        </w:rPr>
        <w:t>applicables</w:t>
      </w:r>
      <w:r w:rsidRPr="002256EE">
        <w:rPr>
          <w:rFonts w:cs="Times New Roman"/>
          <w:spacing w:val="16"/>
          <w:lang w:val="fr-BE"/>
        </w:rPr>
        <w:t xml:space="preserve"> </w:t>
      </w:r>
      <w:r w:rsidRPr="002256EE">
        <w:rPr>
          <w:rFonts w:cs="Times New Roman"/>
          <w:spacing w:val="-1"/>
          <w:u w:val="single" w:color="000000"/>
          <w:lang w:val="fr-BE"/>
        </w:rPr>
        <w:t>aux</w:t>
      </w:r>
      <w:r w:rsidRPr="002256EE">
        <w:rPr>
          <w:rFonts w:cs="Times New Roman"/>
          <w:spacing w:val="65"/>
          <w:lang w:val="fr-BE"/>
        </w:rPr>
        <w:t xml:space="preserve"> </w:t>
      </w:r>
      <w:r w:rsidRPr="002256EE">
        <w:rPr>
          <w:rFonts w:cs="Times New Roman"/>
          <w:spacing w:val="-1"/>
          <w:u w:val="single" w:color="000000"/>
          <w:lang w:val="fr-BE"/>
        </w:rPr>
        <w:t>instances</w:t>
      </w:r>
      <w:r w:rsidRPr="002256EE">
        <w:rPr>
          <w:rFonts w:cs="Times New Roman"/>
          <w:u w:val="single" w:color="000000"/>
          <w:lang w:val="fr-BE"/>
        </w:rPr>
        <w:t xml:space="preserve"> </w:t>
      </w:r>
      <w:r w:rsidRPr="002256EE">
        <w:rPr>
          <w:rFonts w:cs="Times New Roman"/>
          <w:spacing w:val="-1"/>
          <w:u w:val="single" w:color="000000"/>
          <w:lang w:val="fr-BE"/>
        </w:rPr>
        <w:t>auxquelles</w:t>
      </w:r>
      <w:r w:rsidRPr="002256EE">
        <w:rPr>
          <w:rFonts w:cs="Times New Roman"/>
          <w:u w:val="single" w:color="000000"/>
          <w:lang w:val="fr-BE"/>
        </w:rPr>
        <w:t xml:space="preserve"> la Couronne</w:t>
      </w:r>
      <w:r w:rsidRPr="002256EE">
        <w:rPr>
          <w:rFonts w:cs="Times New Roman"/>
          <w:spacing w:val="-2"/>
          <w:u w:val="single" w:color="000000"/>
          <w:lang w:val="fr-BE"/>
        </w:rPr>
        <w:t xml:space="preserve"> </w:t>
      </w:r>
      <w:r w:rsidRPr="002256EE">
        <w:rPr>
          <w:rFonts w:cs="Times New Roman"/>
          <w:spacing w:val="-1"/>
          <w:u w:val="single" w:color="000000"/>
          <w:lang w:val="fr-BE"/>
        </w:rPr>
        <w:t>est</w:t>
      </w:r>
      <w:r w:rsidRPr="002256EE">
        <w:rPr>
          <w:rFonts w:cs="Times New Roman"/>
          <w:u w:val="single" w:color="000000"/>
          <w:lang w:val="fr-BE"/>
        </w:rPr>
        <w:t xml:space="preserve"> partie</w:t>
      </w:r>
      <w:r w:rsidRPr="002256EE">
        <w:rPr>
          <w:rFonts w:cs="Times New Roman"/>
          <w:u w:color="000000"/>
          <w:lang w:val="fr-BE"/>
        </w:rPr>
        <w:t>. [Soulign</w:t>
      </w:r>
      <w:r w:rsidR="00A568C4">
        <w:rPr>
          <w:rFonts w:cs="Times New Roman"/>
          <w:u w:color="000000"/>
          <w:lang w:val="fr-BE"/>
        </w:rPr>
        <w:t>é</w:t>
      </w:r>
      <w:r w:rsidRPr="002256EE">
        <w:rPr>
          <w:rFonts w:cs="Times New Roman"/>
          <w:u w:color="000000"/>
          <w:lang w:val="fr-BE"/>
        </w:rPr>
        <w:t xml:space="preserve"> dans l’original.]</w:t>
      </w:r>
    </w:p>
    <w:p w:rsidR="00017C6D" w:rsidRPr="002256EE" w:rsidRDefault="00017C6D" w:rsidP="00C07406">
      <w:pPr>
        <w:pStyle w:val="BodyText"/>
        <w:spacing w:after="480" w:line="480" w:lineRule="auto"/>
        <w:ind w:left="0"/>
        <w:jc w:val="both"/>
        <w:rPr>
          <w:rFonts w:cs="Times New Roman"/>
          <w:lang w:val="fr-BE"/>
        </w:rPr>
      </w:pPr>
      <w:r w:rsidRPr="002256EE">
        <w:rPr>
          <w:rFonts w:cs="Times New Roman"/>
          <w:lang w:val="fr-BE"/>
        </w:rPr>
        <w:t>(</w:t>
      </w:r>
      <w:r w:rsidR="007A7D35">
        <w:rPr>
          <w:rFonts w:cs="Times New Roman"/>
          <w:lang w:val="fr-BE"/>
        </w:rPr>
        <w:t xml:space="preserve">Voir </w:t>
      </w:r>
      <w:proofErr w:type="spellStart"/>
      <w:proofErr w:type="gramStart"/>
      <w:r w:rsidRPr="002256EE">
        <w:rPr>
          <w:rFonts w:cs="Times New Roman"/>
          <w:lang w:val="fr-BE"/>
        </w:rPr>
        <w:t>m.a</w:t>
      </w:r>
      <w:proofErr w:type="spellEnd"/>
      <w:r w:rsidRPr="002256EE">
        <w:rPr>
          <w:rFonts w:cs="Times New Roman"/>
          <w:lang w:val="fr-BE"/>
        </w:rPr>
        <w:t>.,</w:t>
      </w:r>
      <w:proofErr w:type="gramEnd"/>
      <w:r w:rsidRPr="002256EE">
        <w:rPr>
          <w:rFonts w:cs="Times New Roman"/>
          <w:lang w:val="fr-BE"/>
        </w:rPr>
        <w:t xml:space="preserve"> par. 50, citant </w:t>
      </w:r>
      <w:r w:rsidRPr="002256EE">
        <w:rPr>
          <w:rFonts w:cs="Times New Roman"/>
          <w:i/>
          <w:lang w:val="fr-BE"/>
        </w:rPr>
        <w:t>Débats de la Chambre des communes</w:t>
      </w:r>
      <w:r w:rsidRPr="002256EE">
        <w:rPr>
          <w:rFonts w:cs="Times New Roman"/>
          <w:lang w:val="fr-BE"/>
        </w:rPr>
        <w:t>, vol. IV, 2</w:t>
      </w:r>
      <w:r w:rsidRPr="002256EE">
        <w:rPr>
          <w:rFonts w:cs="Times New Roman"/>
          <w:vertAlign w:val="superscript"/>
          <w:lang w:val="fr-BE"/>
        </w:rPr>
        <w:t>e</w:t>
      </w:r>
      <w:r w:rsidRPr="002256EE">
        <w:rPr>
          <w:rFonts w:cs="Times New Roman"/>
          <w:lang w:val="fr-BE"/>
        </w:rPr>
        <w:t xml:space="preserve"> </w:t>
      </w:r>
      <w:proofErr w:type="spellStart"/>
      <w:proofErr w:type="gramStart"/>
      <w:r w:rsidRPr="002256EE">
        <w:rPr>
          <w:rFonts w:cs="Times New Roman"/>
          <w:lang w:val="fr-BE"/>
        </w:rPr>
        <w:t>sess</w:t>
      </w:r>
      <w:proofErr w:type="spellEnd"/>
      <w:r w:rsidRPr="002256EE">
        <w:rPr>
          <w:rFonts w:cs="Times New Roman"/>
          <w:lang w:val="fr-BE"/>
        </w:rPr>
        <w:t>.,</w:t>
      </w:r>
      <w:proofErr w:type="gramEnd"/>
      <w:r w:rsidRPr="002256EE">
        <w:rPr>
          <w:rFonts w:cs="Times New Roman"/>
          <w:lang w:val="fr-BE"/>
        </w:rPr>
        <w:t xml:space="preserve"> 34</w:t>
      </w:r>
      <w:r w:rsidRPr="002256EE">
        <w:rPr>
          <w:rFonts w:cs="Times New Roman"/>
          <w:vertAlign w:val="superscript"/>
          <w:lang w:val="fr-BE"/>
        </w:rPr>
        <w:t>e</w:t>
      </w:r>
      <w:r w:rsidRPr="002256EE">
        <w:rPr>
          <w:rFonts w:cs="Times New Roman"/>
          <w:lang w:val="fr-BE"/>
        </w:rPr>
        <w:t xml:space="preserve"> </w:t>
      </w:r>
      <w:proofErr w:type="spellStart"/>
      <w:r w:rsidRPr="002256EE">
        <w:rPr>
          <w:rFonts w:cs="Times New Roman"/>
          <w:lang w:val="fr-BE"/>
        </w:rPr>
        <w:t>lég</w:t>
      </w:r>
      <w:proofErr w:type="spellEnd"/>
      <w:r w:rsidRPr="002256EE">
        <w:rPr>
          <w:rFonts w:cs="Times New Roman"/>
          <w:lang w:val="fr-BE"/>
        </w:rPr>
        <w:t>., 1</w:t>
      </w:r>
      <w:r w:rsidRPr="002256EE">
        <w:rPr>
          <w:rFonts w:cs="Times New Roman"/>
          <w:vertAlign w:val="superscript"/>
          <w:lang w:val="fr-BE"/>
        </w:rPr>
        <w:t>er</w:t>
      </w:r>
      <w:r w:rsidRPr="002256EE">
        <w:rPr>
          <w:rFonts w:cs="Times New Roman"/>
          <w:lang w:val="fr-BE"/>
        </w:rPr>
        <w:t xml:space="preserve"> novembre 1989, p. 5415.)</w:t>
      </w:r>
    </w:p>
    <w:p w:rsidR="00017C6D" w:rsidRPr="002256EE" w:rsidRDefault="00017C6D" w:rsidP="00017C6D">
      <w:pPr>
        <w:pStyle w:val="ParaNoNdepar-AltN"/>
        <w:tabs>
          <w:tab w:val="clear" w:pos="1152"/>
          <w:tab w:val="left" w:pos="1166"/>
          <w:tab w:val="num" w:pos="1422"/>
        </w:tabs>
        <w:rPr>
          <w:rFonts w:cs="Times New Roman"/>
          <w:szCs w:val="24"/>
          <w:lang w:val="fr-CA"/>
        </w:rPr>
      </w:pPr>
      <w:r w:rsidRPr="002256EE">
        <w:rPr>
          <w:rFonts w:cs="Times New Roman"/>
          <w:lang w:val="fr-BE"/>
        </w:rPr>
        <w:t xml:space="preserve">Ces propos confirment l’intention qui se dégage de la LRCE. Cette loi a évolué afin d’assujettir l’État à l’obligation de se soumettre à un interrogatoire préalable quand il </w:t>
      </w:r>
      <w:r w:rsidRPr="002256EE">
        <w:rPr>
          <w:rFonts w:cs="Times New Roman"/>
          <w:i/>
          <w:lang w:val="fr-BE"/>
        </w:rPr>
        <w:t>est partie</w:t>
      </w:r>
      <w:r w:rsidRPr="002256EE">
        <w:rPr>
          <w:rFonts w:cs="Times New Roman"/>
          <w:lang w:val="fr-BE"/>
        </w:rPr>
        <w:t xml:space="preserve"> au litige, sans plus.</w:t>
      </w:r>
    </w:p>
    <w:p w:rsidR="00017C6D" w:rsidRPr="002256EE" w:rsidRDefault="00017C6D" w:rsidP="00017C6D">
      <w:pPr>
        <w:pStyle w:val="ParaNoNdepar-AltN"/>
        <w:tabs>
          <w:tab w:val="clear" w:pos="1152"/>
          <w:tab w:val="left" w:pos="1166"/>
          <w:tab w:val="num" w:pos="1422"/>
        </w:tabs>
        <w:rPr>
          <w:rFonts w:cs="Times New Roman"/>
          <w:szCs w:val="24"/>
          <w:lang w:val="fr-CA"/>
        </w:rPr>
      </w:pPr>
      <w:r w:rsidRPr="002256EE">
        <w:rPr>
          <w:rFonts w:cs="Times New Roman"/>
          <w:lang w:val="fr-CA"/>
        </w:rPr>
        <w:t xml:space="preserve">Aussi, tant </w:t>
      </w:r>
      <w:r w:rsidRPr="002256EE">
        <w:rPr>
          <w:rFonts w:cs="Times New Roman"/>
          <w:lang w:val="fr-BE"/>
        </w:rPr>
        <w:t xml:space="preserve">le fait que le législateur n’ait pas prévu un assujettissement clair à l’interrogatoire préalable dans le cas où l’État </w:t>
      </w:r>
      <w:r w:rsidRPr="002256EE">
        <w:rPr>
          <w:rFonts w:cs="Times New Roman"/>
          <w:i/>
          <w:lang w:val="fr-BE"/>
        </w:rPr>
        <w:t>n’est pas</w:t>
      </w:r>
      <w:r w:rsidRPr="002256EE">
        <w:rPr>
          <w:rFonts w:cs="Times New Roman"/>
          <w:lang w:val="fr-BE"/>
        </w:rPr>
        <w:t xml:space="preserve"> partie au litige que l’historique législatif et les travaux préparatoires relatifs à l’art. 27 de la LRCE militent en faveur de la reconnaissance d’une immunité résiduelle dans ce cas.</w:t>
      </w:r>
      <w:r w:rsidRPr="002256EE">
        <w:rPr>
          <w:rFonts w:cs="Times New Roman"/>
          <w:lang w:val="fr-FR"/>
        </w:rPr>
        <w:t xml:space="preserve"> </w:t>
      </w:r>
    </w:p>
    <w:p w:rsidR="00017C6D" w:rsidRPr="002256EE" w:rsidRDefault="00017C6D" w:rsidP="00017C6D">
      <w:pPr>
        <w:pStyle w:val="ParaNoNdepar-AltN"/>
        <w:rPr>
          <w:rFonts w:cs="Times New Roman"/>
          <w:lang w:val="fr-CA"/>
        </w:rPr>
      </w:pPr>
      <w:r w:rsidRPr="002256EE">
        <w:rPr>
          <w:rFonts w:cs="Times New Roman"/>
          <w:lang w:val="fr-CA"/>
        </w:rPr>
        <w:t xml:space="preserve">Il convient de souligner que les auteurs </w:t>
      </w:r>
      <w:proofErr w:type="spellStart"/>
      <w:r w:rsidRPr="002256EE">
        <w:rPr>
          <w:rFonts w:cs="Times New Roman"/>
          <w:lang w:val="fr-CA"/>
        </w:rPr>
        <w:t>Hogg</w:t>
      </w:r>
      <w:proofErr w:type="spellEnd"/>
      <w:r w:rsidRPr="002256EE">
        <w:rPr>
          <w:rFonts w:cs="Times New Roman"/>
          <w:lang w:val="fr-CA"/>
        </w:rPr>
        <w:t xml:space="preserve">, Monahan et Wright partagent ce point de vue. Ils sont d’avis que l’immunité de l’État en matière d’interrogatoire préalable existe toujours lorsque l’État n’est pas partie au litige :  </w:t>
      </w:r>
    </w:p>
    <w:p w:rsidR="00017C6D" w:rsidRPr="002256EE" w:rsidRDefault="00017C6D" w:rsidP="00017C6D">
      <w:pPr>
        <w:pStyle w:val="Citation-AltC"/>
        <w:rPr>
          <w:lang w:val="fr-CA"/>
        </w:rPr>
      </w:pPr>
      <w:r w:rsidRPr="002256EE">
        <w:rPr>
          <w:rFonts w:eastAsiaTheme="minorEastAsia"/>
          <w:lang w:val="fr-CA"/>
        </w:rPr>
        <w:lastRenderedPageBreak/>
        <w:tab/>
      </w:r>
      <w:r w:rsidRPr="002256EE">
        <w:rPr>
          <w:lang w:val="fr-CA"/>
        </w:rPr>
        <w:t>[</w:t>
      </w:r>
      <w:r w:rsidRPr="002256EE">
        <w:rPr>
          <w:smallCaps/>
          <w:lang w:val="fr-CA"/>
        </w:rPr>
        <w:t>traduction</w:t>
      </w:r>
      <w:r w:rsidRPr="002256EE">
        <w:rPr>
          <w:lang w:val="fr-CA"/>
        </w:rPr>
        <w:t>] Au Canada, l</w:t>
      </w:r>
      <w:r w:rsidR="000E38FD">
        <w:rPr>
          <w:lang w:val="fr-CA"/>
        </w:rPr>
        <w:t xml:space="preserve">a loi britannique a inspiré </w:t>
      </w:r>
      <w:proofErr w:type="gramStart"/>
      <w:r w:rsidR="000E38FD">
        <w:rPr>
          <w:lang w:val="fr-CA"/>
        </w:rPr>
        <w:t xml:space="preserve">la </w:t>
      </w:r>
      <w:r w:rsidRPr="002256EE">
        <w:rPr>
          <w:i/>
          <w:lang w:val="fr-CA"/>
        </w:rPr>
        <w:t>Uniform</w:t>
      </w:r>
      <w:proofErr w:type="gramEnd"/>
      <w:r w:rsidRPr="002256EE">
        <w:rPr>
          <w:i/>
          <w:lang w:val="fr-CA"/>
        </w:rPr>
        <w:t xml:space="preserve"> Model </w:t>
      </w:r>
      <w:proofErr w:type="spellStart"/>
      <w:r w:rsidRPr="002256EE">
        <w:rPr>
          <w:i/>
          <w:lang w:val="fr-CA"/>
        </w:rPr>
        <w:t>Act</w:t>
      </w:r>
      <w:proofErr w:type="spellEnd"/>
      <w:r w:rsidRPr="002256EE">
        <w:rPr>
          <w:lang w:val="fr-CA"/>
        </w:rPr>
        <w:t xml:space="preserve"> de 1950, laquelle a à son tour inspiré les lois provinciales sur les instances intéressant l’État. Chaque province contraint désormais l’État à la communication préalable. Le législateur fédéral leur a emboîté le pas.</w:t>
      </w:r>
    </w:p>
    <w:p w:rsidR="00017C6D" w:rsidRPr="002256EE" w:rsidRDefault="00017C6D" w:rsidP="00017C6D">
      <w:pPr>
        <w:pStyle w:val="Citation-AltC"/>
        <w:rPr>
          <w:lang w:val="fr-CA"/>
        </w:rPr>
      </w:pPr>
    </w:p>
    <w:p w:rsidR="00017C6D" w:rsidRPr="002256EE" w:rsidRDefault="00017C6D" w:rsidP="00017C6D">
      <w:pPr>
        <w:pStyle w:val="Citation-AltC"/>
        <w:jc w:val="center"/>
        <w:rPr>
          <w:lang w:val="fr-CA"/>
        </w:rPr>
      </w:pPr>
      <w:r w:rsidRPr="002256EE">
        <w:rPr>
          <w:lang w:val="fr-CA"/>
        </w:rPr>
        <w:t>. . .</w:t>
      </w:r>
    </w:p>
    <w:p w:rsidR="00017C6D" w:rsidRPr="002256EE" w:rsidRDefault="00017C6D" w:rsidP="00017C6D">
      <w:pPr>
        <w:pStyle w:val="Citation-AltC"/>
        <w:jc w:val="center"/>
        <w:rPr>
          <w:lang w:val="fr-CA"/>
        </w:rPr>
      </w:pPr>
    </w:p>
    <w:p w:rsidR="00017C6D" w:rsidRPr="002256EE" w:rsidRDefault="00017C6D" w:rsidP="00017C6D">
      <w:pPr>
        <w:pStyle w:val="Citation-AltC"/>
      </w:pPr>
      <w:r w:rsidRPr="002256EE">
        <w:rPr>
          <w:lang w:val="fr-CA"/>
        </w:rPr>
        <w:tab/>
        <w:t xml:space="preserve">Ces mesures législatives n’ont pas totalement écarté l’immunité de l’État en matière de communication préalable. [. . .] Le Royaume-Uni, la Nouvelle-Zélande, la plupart des législateurs australiens, le législateur fédéral canadien et la Colombie-Britannique prévoient que l’État peut être soumis à la communication préalable dès lors qu’il est « partie » au litige. Or, même dans ces ressorts, l’État échappe à la communication préalable s’il n’est pas constitué partie. </w:t>
      </w:r>
      <w:r w:rsidRPr="002256EE">
        <w:t xml:space="preserve">[Notes </w:t>
      </w:r>
      <w:proofErr w:type="spellStart"/>
      <w:r w:rsidRPr="002256EE">
        <w:t>en</w:t>
      </w:r>
      <w:proofErr w:type="spellEnd"/>
      <w:r w:rsidRPr="002256EE">
        <w:t xml:space="preserve"> bas de page </w:t>
      </w:r>
      <w:proofErr w:type="spellStart"/>
      <w:r w:rsidRPr="002256EE">
        <w:t>omises</w:t>
      </w:r>
      <w:proofErr w:type="spellEnd"/>
      <w:r w:rsidRPr="002256EE">
        <w:t>; p. 91-92.]</w:t>
      </w:r>
    </w:p>
    <w:p w:rsidR="00017C6D" w:rsidRPr="002256EE" w:rsidRDefault="00017C6D" w:rsidP="00017C6D">
      <w:pPr>
        <w:pStyle w:val="Title3LevelTitre3Niveau"/>
        <w:numPr>
          <w:ilvl w:val="2"/>
          <w:numId w:val="28"/>
        </w:numPr>
        <w:rPr>
          <w:rFonts w:cs="Times New Roman"/>
          <w:lang w:val="fr-CA"/>
        </w:rPr>
      </w:pPr>
      <w:r w:rsidRPr="002256EE">
        <w:rPr>
          <w:rFonts w:cs="Times New Roman"/>
          <w:lang w:val="fr-CA"/>
        </w:rPr>
        <w:t>La jurisprudence des cours d’appel</w:t>
      </w:r>
    </w:p>
    <w:p w:rsidR="00017C6D" w:rsidRPr="002256EE" w:rsidRDefault="00017C6D" w:rsidP="00017C6D">
      <w:pPr>
        <w:pStyle w:val="ParaNoNdepar-AltN"/>
        <w:rPr>
          <w:rFonts w:cs="Times New Roman"/>
          <w:lang w:val="fr-BE"/>
        </w:rPr>
      </w:pPr>
      <w:r w:rsidRPr="002256EE">
        <w:rPr>
          <w:rFonts w:cs="Times New Roman"/>
          <w:lang w:val="fr-BE"/>
        </w:rPr>
        <w:t xml:space="preserve">Nous notons qu’en l’espèce, la Cour d’appel s’est appuyée sur l’arrêt </w:t>
      </w:r>
      <w:proofErr w:type="spellStart"/>
      <w:r w:rsidRPr="002256EE">
        <w:rPr>
          <w:rFonts w:cs="Times New Roman"/>
          <w:i/>
          <w:lang w:val="fr-BE"/>
        </w:rPr>
        <w:t>Temelini</w:t>
      </w:r>
      <w:proofErr w:type="spellEnd"/>
      <w:r w:rsidRPr="002256EE">
        <w:rPr>
          <w:rFonts w:cs="Times New Roman"/>
          <w:i/>
          <w:lang w:val="fr-BE"/>
        </w:rPr>
        <w:t xml:space="preserve"> c. Ontario Provincial Police (</w:t>
      </w:r>
      <w:proofErr w:type="spellStart"/>
      <w:r w:rsidRPr="002256EE">
        <w:rPr>
          <w:rFonts w:cs="Times New Roman"/>
          <w:i/>
          <w:lang w:val="fr-BE"/>
        </w:rPr>
        <w:t>Commissioner</w:t>
      </w:r>
      <w:proofErr w:type="spellEnd"/>
      <w:r w:rsidRPr="002256EE">
        <w:rPr>
          <w:rFonts w:cs="Times New Roman"/>
          <w:i/>
          <w:lang w:val="fr-BE"/>
        </w:rPr>
        <w:t xml:space="preserve">) </w:t>
      </w:r>
      <w:r w:rsidRPr="002256EE">
        <w:rPr>
          <w:rFonts w:cs="Times New Roman"/>
          <w:lang w:val="fr-BE"/>
        </w:rPr>
        <w:t>(1999), 44 O.R. (3d) 609, pour conclure que l’art. 27 de la LRCE écarte l’immunité de l’État et que la règle qu’on y énonce est applicable dans tout litige susceptible d’intéresser l’État, à titre de partie ou autrement (décision de la C.A., par. 56-57 (</w:t>
      </w:r>
      <w:proofErr w:type="spellStart"/>
      <w:r w:rsidRPr="002256EE">
        <w:rPr>
          <w:rFonts w:cs="Times New Roman"/>
          <w:lang w:val="fr-BE"/>
        </w:rPr>
        <w:t>CanLII</w:t>
      </w:r>
      <w:proofErr w:type="spellEnd"/>
      <w:r w:rsidRPr="002256EE">
        <w:rPr>
          <w:rFonts w:cs="Times New Roman"/>
          <w:lang w:val="fr-BE"/>
        </w:rPr>
        <w:t>)). Elle a examiné les autres décisions qui reprennent les propos de la Cour d’appel de l’Ontario dans cette affaire avant d’appliquer son raisonnement au présent dossier.</w:t>
      </w:r>
      <w:r w:rsidRPr="002256EE">
        <w:rPr>
          <w:rFonts w:cs="Times New Roman"/>
          <w:lang w:val="fr-CA"/>
        </w:rPr>
        <w:t xml:space="preserve"> Avec égards, l’interprétation de la Cour d’appel de l’Ontario dans </w:t>
      </w:r>
      <w:proofErr w:type="spellStart"/>
      <w:r w:rsidRPr="002256EE">
        <w:rPr>
          <w:rFonts w:cs="Times New Roman"/>
          <w:i/>
          <w:lang w:val="fr-CA"/>
        </w:rPr>
        <w:t>Temelini</w:t>
      </w:r>
      <w:proofErr w:type="spellEnd"/>
      <w:r w:rsidRPr="002256EE">
        <w:rPr>
          <w:rFonts w:cs="Times New Roman"/>
          <w:lang w:val="fr-CA"/>
        </w:rPr>
        <w:t xml:space="preserve"> est à notre avis erronée. </w:t>
      </w:r>
      <w:r w:rsidRPr="002256EE">
        <w:rPr>
          <w:rFonts w:cs="Times New Roman"/>
          <w:lang w:val="fr-BE"/>
        </w:rPr>
        <w:t xml:space="preserve">Peu importe la tendance moderne qui cherche à réduire l’immunité de l’État (décision de la C.A., par. 54), l’interprétation de la LRCE ne mène pas à la conclusion que le législateur a écarté l’immunité de l’État lorsqu’il n’est pas partie au litige. Les arrêts rendus en l’espèce et dans </w:t>
      </w:r>
      <w:proofErr w:type="spellStart"/>
      <w:r w:rsidRPr="002256EE">
        <w:rPr>
          <w:rFonts w:cs="Times New Roman"/>
          <w:i/>
          <w:lang w:val="fr-BE"/>
        </w:rPr>
        <w:t>Temelini</w:t>
      </w:r>
      <w:proofErr w:type="spellEnd"/>
      <w:r w:rsidRPr="002256EE">
        <w:rPr>
          <w:rFonts w:cs="Times New Roman"/>
          <w:lang w:val="fr-BE"/>
        </w:rPr>
        <w:t xml:space="preserve"> s’appuient sur la présomption d’uniformité d’expression (décision de la C.A., par. 53 et 56). Selon notre interprétation de la LRCE, cette présomption </w:t>
      </w:r>
      <w:r w:rsidRPr="002256EE">
        <w:rPr>
          <w:rFonts w:cs="Times New Roman"/>
          <w:lang w:val="fr-BE"/>
        </w:rPr>
        <w:lastRenderedPageBreak/>
        <w:t xml:space="preserve">d’uniformité d’expression ne saurait à elle seule suggérer que le législateur ait modifié la </w:t>
      </w:r>
      <w:proofErr w:type="spellStart"/>
      <w:r w:rsidRPr="002256EE">
        <w:rPr>
          <w:rFonts w:cs="Times New Roman"/>
          <w:lang w:val="fr-BE"/>
        </w:rPr>
        <w:t>common</w:t>
      </w:r>
      <w:proofErr w:type="spellEnd"/>
      <w:r w:rsidRPr="002256EE">
        <w:rPr>
          <w:rFonts w:cs="Times New Roman"/>
          <w:lang w:val="fr-BE"/>
        </w:rPr>
        <w:t xml:space="preserve"> </w:t>
      </w:r>
      <w:proofErr w:type="spellStart"/>
      <w:r w:rsidRPr="002256EE">
        <w:rPr>
          <w:rFonts w:cs="Times New Roman"/>
          <w:lang w:val="fr-BE"/>
        </w:rPr>
        <w:t>law</w:t>
      </w:r>
      <w:proofErr w:type="spellEnd"/>
      <w:r w:rsidRPr="002256EE">
        <w:rPr>
          <w:rFonts w:cs="Times New Roman"/>
          <w:lang w:val="fr-BE"/>
        </w:rPr>
        <w:t>, sans s’accompagner de l’expression claire de sa volonté en ce sens.</w:t>
      </w:r>
    </w:p>
    <w:p w:rsidR="00017C6D" w:rsidRPr="002256EE" w:rsidRDefault="00017C6D" w:rsidP="00017C6D">
      <w:pPr>
        <w:pStyle w:val="ParaNoNdepar-AltN"/>
        <w:rPr>
          <w:rFonts w:cs="Times New Roman"/>
          <w:lang w:val="fr-CA"/>
        </w:rPr>
      </w:pPr>
      <w:r w:rsidRPr="002256EE">
        <w:rPr>
          <w:rFonts w:cs="Times New Roman"/>
          <w:lang w:val="fr-CA"/>
        </w:rPr>
        <w:t xml:space="preserve">Nous en concluons que l’État jouit toujours de l’immunité de </w:t>
      </w:r>
      <w:proofErr w:type="spellStart"/>
      <w:r w:rsidRPr="002256EE">
        <w:rPr>
          <w:rFonts w:cs="Times New Roman"/>
          <w:lang w:val="fr-CA"/>
        </w:rPr>
        <w:t>common</w:t>
      </w:r>
      <w:proofErr w:type="spellEnd"/>
      <w:r w:rsidRPr="002256EE">
        <w:rPr>
          <w:rFonts w:cs="Times New Roman"/>
          <w:lang w:val="fr-CA"/>
        </w:rPr>
        <w:t xml:space="preserve"> </w:t>
      </w:r>
      <w:proofErr w:type="spellStart"/>
      <w:r w:rsidRPr="002256EE">
        <w:rPr>
          <w:rFonts w:cs="Times New Roman"/>
          <w:lang w:val="fr-CA"/>
        </w:rPr>
        <w:t>law</w:t>
      </w:r>
      <w:proofErr w:type="spellEnd"/>
      <w:r w:rsidRPr="002256EE">
        <w:rPr>
          <w:rFonts w:cs="Times New Roman"/>
          <w:lang w:val="fr-CA"/>
        </w:rPr>
        <w:t xml:space="preserve"> relative aux interrogatoires préalables lorsqu’il n’est pas partie au litige.</w:t>
      </w:r>
    </w:p>
    <w:p w:rsidR="00017C6D" w:rsidRPr="002256EE" w:rsidRDefault="00017C6D" w:rsidP="00017C6D">
      <w:pPr>
        <w:pStyle w:val="Title2LevelTitre2Niveau"/>
        <w:numPr>
          <w:ilvl w:val="1"/>
          <w:numId w:val="14"/>
        </w:numPr>
        <w:rPr>
          <w:rFonts w:cs="Times New Roman"/>
          <w:lang w:val="fr-BE"/>
        </w:rPr>
      </w:pPr>
      <w:r w:rsidRPr="002256EE">
        <w:rPr>
          <w:rFonts w:cs="Times New Roman"/>
          <w:lang w:val="fr-BE"/>
        </w:rPr>
        <w:t>L’arrêt Jacques ne tranche pas la question en l’espèce</w:t>
      </w:r>
    </w:p>
    <w:p w:rsidR="00017C6D" w:rsidRPr="002256EE" w:rsidRDefault="00017C6D" w:rsidP="00017C6D">
      <w:pPr>
        <w:pStyle w:val="ParaNoNdepar-AltN"/>
        <w:tabs>
          <w:tab w:val="clear" w:pos="1152"/>
          <w:tab w:val="left" w:pos="1166"/>
        </w:tabs>
        <w:rPr>
          <w:rFonts w:cs="Times New Roman"/>
          <w:szCs w:val="24"/>
          <w:lang w:val="fr-BE"/>
        </w:rPr>
      </w:pPr>
      <w:r w:rsidRPr="002256EE">
        <w:rPr>
          <w:rFonts w:cs="Times New Roman"/>
          <w:szCs w:val="24"/>
          <w:lang w:val="fr-BE"/>
        </w:rPr>
        <w:t xml:space="preserve">En terminant, nous précisons que la Cour d’appel a eu raison de conclure que, dans l’arrêt </w:t>
      </w:r>
      <w:r w:rsidRPr="002256EE">
        <w:rPr>
          <w:rFonts w:cs="Times New Roman"/>
          <w:i/>
          <w:szCs w:val="24"/>
          <w:lang w:val="fr-BE"/>
        </w:rPr>
        <w:t>Jacques</w:t>
      </w:r>
      <w:r w:rsidRPr="002256EE">
        <w:rPr>
          <w:rFonts w:cs="Times New Roman"/>
          <w:szCs w:val="24"/>
          <w:lang w:val="fr-BE"/>
        </w:rPr>
        <w:t xml:space="preserve">, notre Cour n’a pas tranché la question de l’immunité de l’État en vertu de la LRCE que soulève le présent dossier (décision de la C.A., par. 17). L’arrêt </w:t>
      </w:r>
      <w:r w:rsidRPr="002256EE">
        <w:rPr>
          <w:rFonts w:cs="Times New Roman"/>
          <w:i/>
          <w:szCs w:val="24"/>
          <w:lang w:val="fr-BE"/>
        </w:rPr>
        <w:t xml:space="preserve">Jacques </w:t>
      </w:r>
      <w:r w:rsidRPr="002256EE">
        <w:rPr>
          <w:rFonts w:cs="Times New Roman"/>
          <w:szCs w:val="24"/>
          <w:lang w:val="fr-BE"/>
        </w:rPr>
        <w:t xml:space="preserve">tranche plutôt la question de savoir si une partie à un recours civil peut demander que lui soient communiqués des enregistrements de conversations privées interceptées par l’État dans le cadre d’une enquête pénale. La Cour y examine </w:t>
      </w:r>
      <w:proofErr w:type="gramStart"/>
      <w:r w:rsidRPr="002256EE">
        <w:rPr>
          <w:rFonts w:cs="Times New Roman"/>
          <w:szCs w:val="24"/>
          <w:lang w:val="fr-BE"/>
        </w:rPr>
        <w:t>les art</w:t>
      </w:r>
      <w:proofErr w:type="gramEnd"/>
      <w:r w:rsidRPr="002256EE">
        <w:rPr>
          <w:rFonts w:cs="Times New Roman"/>
          <w:szCs w:val="24"/>
          <w:lang w:val="fr-BE"/>
        </w:rPr>
        <w:t xml:space="preserve">. 29 et 36 de la </w:t>
      </w:r>
      <w:r w:rsidRPr="002256EE">
        <w:rPr>
          <w:rFonts w:cs="Times New Roman"/>
          <w:i/>
          <w:szCs w:val="24"/>
          <w:lang w:val="fr-BE"/>
        </w:rPr>
        <w:t>Loi sur la concurrence</w:t>
      </w:r>
      <w:r w:rsidRPr="002256EE">
        <w:rPr>
          <w:rFonts w:cs="Times New Roman"/>
          <w:szCs w:val="24"/>
          <w:lang w:val="fr-BE"/>
        </w:rPr>
        <w:t xml:space="preserve">, L.R.C. 1985, c. C-34, ainsi que l’art. 193 du </w:t>
      </w:r>
      <w:r w:rsidRPr="002256EE">
        <w:rPr>
          <w:rFonts w:cs="Times New Roman"/>
          <w:i/>
          <w:szCs w:val="24"/>
          <w:lang w:val="fr-BE"/>
        </w:rPr>
        <w:t>Code criminel</w:t>
      </w:r>
      <w:r w:rsidRPr="002256EE">
        <w:rPr>
          <w:rFonts w:cs="Times New Roman"/>
          <w:szCs w:val="24"/>
          <w:lang w:val="fr-BE"/>
        </w:rPr>
        <w:t xml:space="preserve">, L.R.C. 1985, c. C-46, et statue que ces articles n’empêchent pas la communication des enregistrements. Elle ne se prononce pas sur l’immunité de l’État en vertu de la LRCE. </w:t>
      </w:r>
    </w:p>
    <w:p w:rsidR="00017C6D" w:rsidRPr="002256EE" w:rsidRDefault="00017C6D" w:rsidP="00017C6D">
      <w:pPr>
        <w:pStyle w:val="ParaNoNdepar-AltN"/>
        <w:rPr>
          <w:rFonts w:cs="Times New Roman"/>
          <w:lang w:val="fr-BE"/>
        </w:rPr>
      </w:pPr>
      <w:r w:rsidRPr="002256EE">
        <w:rPr>
          <w:rFonts w:cs="Times New Roman"/>
          <w:lang w:val="fr-BE"/>
        </w:rPr>
        <w:t xml:space="preserve">Néanmoins, nous rappelons que l’arrêt </w:t>
      </w:r>
      <w:r w:rsidRPr="002256EE">
        <w:rPr>
          <w:rFonts w:cs="Times New Roman"/>
          <w:i/>
          <w:lang w:val="fr-BE"/>
        </w:rPr>
        <w:t>Jacques</w:t>
      </w:r>
      <w:r w:rsidRPr="002256EE">
        <w:rPr>
          <w:rFonts w:cs="Times New Roman"/>
          <w:lang w:val="fr-BE"/>
        </w:rPr>
        <w:t xml:space="preserve"> confirme que sur d’autres aspects de la procédure civile, l’immunité est écartée même là où l’État n’est pas partie au litige. Comme en convient le PGC en l’espèce, c’est le cas en matière de communication de documents </w:t>
      </w:r>
      <w:r w:rsidRPr="002256EE">
        <w:rPr>
          <w:rFonts w:cs="Times New Roman"/>
          <w:lang w:val="fr-CA"/>
        </w:rPr>
        <w:t>puisque l’art. 8 du Règlement soumet l’État, comme s’il était un justiciable ordinaire, aux dema</w:t>
      </w:r>
      <w:r w:rsidR="007A7D35">
        <w:rPr>
          <w:rFonts w:cs="Times New Roman"/>
          <w:lang w:val="fr-CA"/>
        </w:rPr>
        <w:t>ndes de communication préalable</w:t>
      </w:r>
      <w:r w:rsidRPr="002256EE">
        <w:rPr>
          <w:rFonts w:cs="Times New Roman"/>
          <w:lang w:val="fr-CA"/>
        </w:rPr>
        <w:t xml:space="preserve"> telles que </w:t>
      </w:r>
      <w:r w:rsidRPr="002256EE">
        <w:rPr>
          <w:rFonts w:cs="Times New Roman"/>
          <w:lang w:val="fr-CA"/>
        </w:rPr>
        <w:lastRenderedPageBreak/>
        <w:t xml:space="preserve">celles prévues à l’art. 402 du </w:t>
      </w:r>
      <w:proofErr w:type="spellStart"/>
      <w:r w:rsidRPr="002256EE">
        <w:rPr>
          <w:rFonts w:cs="Times New Roman"/>
          <w:lang w:val="fr-CA"/>
        </w:rPr>
        <w:t>C.p.c</w:t>
      </w:r>
      <w:proofErr w:type="spellEnd"/>
      <w:r w:rsidRPr="002256EE">
        <w:rPr>
          <w:rFonts w:cs="Times New Roman"/>
          <w:lang w:val="fr-CA"/>
        </w:rPr>
        <w:t xml:space="preserve">. : c’est une telle demande </w:t>
      </w:r>
      <w:r w:rsidRPr="002256EE">
        <w:rPr>
          <w:rFonts w:cs="Times New Roman"/>
          <w:lang w:val="fr-BE"/>
        </w:rPr>
        <w:t xml:space="preserve">qui était au cœur du pourvoi dans l’arrêt </w:t>
      </w:r>
      <w:r w:rsidRPr="002256EE">
        <w:rPr>
          <w:rFonts w:cs="Times New Roman"/>
          <w:i/>
          <w:lang w:val="fr-BE"/>
        </w:rPr>
        <w:t xml:space="preserve">Jacques. </w:t>
      </w:r>
      <w:r w:rsidRPr="002256EE">
        <w:rPr>
          <w:rFonts w:cs="Times New Roman"/>
          <w:lang w:val="fr-CA"/>
        </w:rPr>
        <w:t>Comme en convient aussi le PGC devant nous, l’immunité est aussi écartée lorsque l’État est assigné pour témoigner au procès; tant la jurisprudence</w:t>
      </w:r>
      <w:r w:rsidRPr="002256EE">
        <w:rPr>
          <w:rFonts w:cs="Times New Roman"/>
          <w:i/>
          <w:lang w:val="fr-BE"/>
        </w:rPr>
        <w:t xml:space="preserve"> </w:t>
      </w:r>
      <w:r w:rsidRPr="002256EE">
        <w:rPr>
          <w:rFonts w:cs="Times New Roman"/>
          <w:lang w:val="fr-BE"/>
        </w:rPr>
        <w:t>(</w:t>
      </w:r>
      <w:r w:rsidRPr="002256EE">
        <w:rPr>
          <w:rFonts w:cs="Times New Roman"/>
          <w:i/>
          <w:lang w:val="fr-BE"/>
        </w:rPr>
        <w:t xml:space="preserve">Canada </w:t>
      </w:r>
      <w:proofErr w:type="spellStart"/>
      <w:r w:rsidRPr="002256EE">
        <w:rPr>
          <w:rFonts w:cs="Times New Roman"/>
          <w:i/>
          <w:lang w:val="fr-BE"/>
        </w:rPr>
        <w:t>Deposit</w:t>
      </w:r>
      <w:proofErr w:type="spellEnd"/>
      <w:r w:rsidRPr="002256EE">
        <w:rPr>
          <w:rFonts w:cs="Times New Roman"/>
          <w:i/>
          <w:lang w:val="fr-BE"/>
        </w:rPr>
        <w:t xml:space="preserve"> </w:t>
      </w:r>
      <w:proofErr w:type="spellStart"/>
      <w:r w:rsidRPr="002256EE">
        <w:rPr>
          <w:rFonts w:cs="Times New Roman"/>
          <w:i/>
          <w:lang w:val="fr-BE"/>
        </w:rPr>
        <w:t>Insurance</w:t>
      </w:r>
      <w:proofErr w:type="spellEnd"/>
      <w:r w:rsidRPr="002256EE">
        <w:rPr>
          <w:rFonts w:cs="Times New Roman"/>
          <w:i/>
          <w:lang w:val="fr-BE"/>
        </w:rPr>
        <w:t xml:space="preserve"> Corp.</w:t>
      </w:r>
      <w:r w:rsidRPr="002256EE">
        <w:rPr>
          <w:rFonts w:cs="Times New Roman"/>
          <w:lang w:val="fr-BE"/>
        </w:rPr>
        <w:t>) que la doctrine (</w:t>
      </w:r>
      <w:proofErr w:type="spellStart"/>
      <w:r w:rsidRPr="002256EE">
        <w:rPr>
          <w:rFonts w:cs="Times New Roman"/>
          <w:lang w:val="fr-BE"/>
        </w:rPr>
        <w:t>Hogg</w:t>
      </w:r>
      <w:proofErr w:type="spellEnd"/>
      <w:r w:rsidRPr="002256EE">
        <w:rPr>
          <w:rFonts w:cs="Times New Roman"/>
          <w:lang w:val="fr-BE"/>
        </w:rPr>
        <w:t>, Monahan et Wright, p. 92) le reconnaissent. Bien sûr, l’assujettissement de l’État aux règles de procédure civile provinciales dans chacune de ces situations n’échappe pas aux réserves que posent entre autres la règle de la proportionnalité et l’interdiction de procéder à des recherches à l’aveuglette. Toutefois, puisque la démarche des intimés dans le présent dossier ne concerne ni l’une ni l’autre de ces situations, il n’y a pas lieu de se prononcer sur cet autre aspect du débat qui oppose les parties en l’occurrence.</w:t>
      </w:r>
    </w:p>
    <w:p w:rsidR="00017C6D" w:rsidRPr="002256EE" w:rsidRDefault="00017C6D" w:rsidP="00017C6D">
      <w:pPr>
        <w:pStyle w:val="Title1LevelTitre1Niveau-AltL"/>
        <w:rPr>
          <w:rFonts w:cs="Times New Roman"/>
          <w:szCs w:val="24"/>
          <w:lang w:val="fr-BE"/>
        </w:rPr>
      </w:pPr>
      <w:r w:rsidRPr="002256EE">
        <w:rPr>
          <w:rFonts w:cs="Times New Roman"/>
          <w:szCs w:val="24"/>
          <w:lang w:val="fr-BE"/>
        </w:rPr>
        <w:t>Conclusion</w:t>
      </w:r>
    </w:p>
    <w:p w:rsidR="00017C6D" w:rsidRPr="002256EE" w:rsidRDefault="00017C6D" w:rsidP="00017C6D">
      <w:pPr>
        <w:pStyle w:val="ParaNoNdepar-AltN"/>
        <w:tabs>
          <w:tab w:val="clear" w:pos="1152"/>
          <w:tab w:val="left" w:pos="1166"/>
        </w:tabs>
        <w:rPr>
          <w:rFonts w:cs="Times New Roman"/>
          <w:szCs w:val="24"/>
          <w:lang w:val="fr-BE"/>
        </w:rPr>
      </w:pPr>
      <w:r w:rsidRPr="002256EE">
        <w:rPr>
          <w:rFonts w:cs="Times New Roman"/>
          <w:szCs w:val="24"/>
          <w:lang w:val="fr-BE"/>
        </w:rPr>
        <w:t>L’article 27</w:t>
      </w:r>
      <w:r w:rsidR="002A73B6">
        <w:rPr>
          <w:rFonts w:cs="Times New Roman"/>
          <w:szCs w:val="24"/>
          <w:lang w:val="fr-BE"/>
        </w:rPr>
        <w:t xml:space="preserve"> de la</w:t>
      </w:r>
      <w:r w:rsidRPr="002256EE">
        <w:rPr>
          <w:rFonts w:cs="Times New Roman"/>
          <w:szCs w:val="24"/>
          <w:lang w:val="fr-BE"/>
        </w:rPr>
        <w:t xml:space="preserve"> LRCE ne constitue pas une dérogation claire et non équivoque à l’immunité que la </w:t>
      </w:r>
      <w:proofErr w:type="spellStart"/>
      <w:r w:rsidRPr="002256EE">
        <w:rPr>
          <w:rFonts w:cs="Times New Roman"/>
          <w:szCs w:val="24"/>
          <w:lang w:val="fr-BE"/>
        </w:rPr>
        <w:t>common</w:t>
      </w:r>
      <w:proofErr w:type="spellEnd"/>
      <w:r w:rsidRPr="002256EE">
        <w:rPr>
          <w:rFonts w:cs="Times New Roman"/>
          <w:szCs w:val="24"/>
          <w:lang w:val="fr-BE"/>
        </w:rPr>
        <w:t xml:space="preserve"> </w:t>
      </w:r>
      <w:proofErr w:type="spellStart"/>
      <w:r w:rsidRPr="002256EE">
        <w:rPr>
          <w:rFonts w:cs="Times New Roman"/>
          <w:szCs w:val="24"/>
          <w:lang w:val="fr-BE"/>
        </w:rPr>
        <w:t>law</w:t>
      </w:r>
      <w:proofErr w:type="spellEnd"/>
      <w:r w:rsidRPr="002256EE">
        <w:rPr>
          <w:rFonts w:cs="Times New Roman"/>
          <w:szCs w:val="24"/>
          <w:lang w:val="fr-BE"/>
        </w:rPr>
        <w:t xml:space="preserve"> reconnaît à l’État en matière d’interrogatoire préalable dans les litiges auxquels celui-ci n’est pas partie. En conséquence, en raison de cette immunité, l’État ne pouvait être assujetti ici à un interrogatoire préalable en vertu des règles de procédures civiles qui prévalent au Québec. En l’absence d’une intention claire et non équivoque du législateur, il n’appartient pas aux tribunaux d’écarter une règle reconnue de la </w:t>
      </w:r>
      <w:proofErr w:type="spellStart"/>
      <w:r w:rsidRPr="002256EE">
        <w:rPr>
          <w:rFonts w:cs="Times New Roman"/>
          <w:szCs w:val="24"/>
          <w:lang w:val="fr-BE"/>
        </w:rPr>
        <w:t>common</w:t>
      </w:r>
      <w:proofErr w:type="spellEnd"/>
      <w:r w:rsidRPr="002256EE">
        <w:rPr>
          <w:rFonts w:cs="Times New Roman"/>
          <w:szCs w:val="24"/>
          <w:lang w:val="fr-BE"/>
        </w:rPr>
        <w:t xml:space="preserve"> </w:t>
      </w:r>
      <w:proofErr w:type="spellStart"/>
      <w:r w:rsidRPr="002256EE">
        <w:rPr>
          <w:rFonts w:cs="Times New Roman"/>
          <w:szCs w:val="24"/>
          <w:lang w:val="fr-BE"/>
        </w:rPr>
        <w:t>law</w:t>
      </w:r>
      <w:proofErr w:type="spellEnd"/>
      <w:r w:rsidRPr="002256EE">
        <w:rPr>
          <w:rFonts w:cs="Times New Roman"/>
          <w:szCs w:val="24"/>
          <w:lang w:val="fr-BE"/>
        </w:rPr>
        <w:t xml:space="preserve"> en la matière. L’enquêteur-chef peut invoquer l’immunité de l’État en matière d’interrogatoire préalable et ainsi refuser d’être assujetti à l’interrogatoire préalable recherché en l’espèce. </w:t>
      </w:r>
    </w:p>
    <w:p w:rsidR="00017C6D" w:rsidRPr="002256EE" w:rsidRDefault="00017C6D" w:rsidP="00017C6D">
      <w:pPr>
        <w:pStyle w:val="ParaNoNdepar-AltN"/>
        <w:tabs>
          <w:tab w:val="clear" w:pos="1152"/>
          <w:tab w:val="left" w:pos="1166"/>
        </w:tabs>
        <w:rPr>
          <w:rFonts w:cs="Times New Roman"/>
          <w:szCs w:val="24"/>
          <w:lang w:val="fr-BE"/>
        </w:rPr>
      </w:pPr>
      <w:r w:rsidRPr="002256EE">
        <w:rPr>
          <w:rFonts w:cs="Times New Roman"/>
          <w:szCs w:val="24"/>
          <w:lang w:val="fr-BE"/>
        </w:rPr>
        <w:lastRenderedPageBreak/>
        <w:t>Nous sommes donc d’avis d’accueillir l’appel, d’infirmer les décisions des cours inférieures et de rejeter la requête des intimés visant à interroger au préalable l’enquêteur-chef, avec dépens en faveur des appelants dans toutes les cours.</w:t>
      </w:r>
    </w:p>
    <w:p w:rsidR="004D7D95" w:rsidRPr="00D734D2" w:rsidRDefault="004D7D95" w:rsidP="0069559A">
      <w:pPr>
        <w:pStyle w:val="SCCNormalDoubleSpacing"/>
        <w:spacing w:before="480" w:after="480"/>
        <w:rPr>
          <w:lang w:val="fr-CA"/>
        </w:rPr>
      </w:pPr>
      <w:r w:rsidRPr="00D734D2">
        <w:rPr>
          <w:lang w:val="fr-CA"/>
        </w:rPr>
        <w:tab/>
      </w:r>
      <w:r w:rsidR="00AF32E0" w:rsidRPr="00D734D2">
        <w:rPr>
          <w:i/>
          <w:lang w:val="fr-CA"/>
        </w:rPr>
        <w:t>Pourvoi accueilli avec dépens dans toutes les cours</w:t>
      </w:r>
      <w:r w:rsidR="00A06733" w:rsidRPr="00D734D2">
        <w:rPr>
          <w:i/>
          <w:lang w:val="fr-CA"/>
        </w:rPr>
        <w:t>.</w:t>
      </w:r>
    </w:p>
    <w:p w:rsidR="002A0459" w:rsidRPr="00D734D2" w:rsidRDefault="00A57DAB" w:rsidP="0069559A">
      <w:pPr>
        <w:pStyle w:val="SCCLawFirm"/>
        <w:spacing w:before="480" w:after="480"/>
        <w:rPr>
          <w:lang w:val="fr-CA"/>
        </w:rPr>
      </w:pPr>
      <w:r w:rsidRPr="00D734D2">
        <w:rPr>
          <w:lang w:val="fr-CA"/>
        </w:rPr>
        <w:tab/>
        <w:t>Procureur de l</w:t>
      </w:r>
      <w:r w:rsidR="001C4EF2" w:rsidRPr="00D734D2">
        <w:rPr>
          <w:lang w:val="fr-CA"/>
        </w:rPr>
        <w:t>’</w:t>
      </w:r>
      <w:r w:rsidRPr="00D734D2">
        <w:rPr>
          <w:lang w:val="fr-CA"/>
        </w:rPr>
        <w:t>appelant</w:t>
      </w:r>
      <w:r w:rsidR="00D32C61" w:rsidRPr="00D734D2">
        <w:rPr>
          <w:lang w:val="fr-CA"/>
        </w:rPr>
        <w:t xml:space="preserve"> </w:t>
      </w:r>
      <w:r w:rsidR="00F83ABF" w:rsidRPr="00D734D2">
        <w:rPr>
          <w:lang w:val="fr-CA"/>
        </w:rPr>
        <w:t>l</w:t>
      </w:r>
      <w:r w:rsidR="008848F3" w:rsidRPr="00D734D2">
        <w:rPr>
          <w:lang w:val="fr-CA"/>
        </w:rPr>
        <w:t>e</w:t>
      </w:r>
      <w:r w:rsidR="00D32C61" w:rsidRPr="00D734D2">
        <w:rPr>
          <w:lang w:val="fr-CA"/>
        </w:rPr>
        <w:t xml:space="preserve"> procureur général du Canada</w:t>
      </w:r>
      <w:r w:rsidR="0065746B" w:rsidRPr="00D734D2">
        <w:rPr>
          <w:lang w:val="fr-CA"/>
        </w:rPr>
        <w:t> :</w:t>
      </w:r>
      <w:r w:rsidR="0069559A" w:rsidRPr="00D734D2">
        <w:rPr>
          <w:lang w:val="fr-CA"/>
        </w:rPr>
        <w:t> </w:t>
      </w:r>
      <w:r w:rsidRPr="00D734D2">
        <w:rPr>
          <w:lang w:val="fr-CA"/>
        </w:rPr>
        <w:t>Procureur général du Canada, Ottawa.</w:t>
      </w:r>
    </w:p>
    <w:p w:rsidR="002A0459" w:rsidRPr="00D734D2" w:rsidRDefault="00A57DAB" w:rsidP="0069559A">
      <w:pPr>
        <w:pStyle w:val="SCCLawFirm"/>
        <w:spacing w:before="480" w:after="480"/>
        <w:rPr>
          <w:lang w:val="fr-CA"/>
        </w:rPr>
      </w:pPr>
      <w:r w:rsidRPr="00D734D2">
        <w:rPr>
          <w:lang w:val="fr-CA"/>
        </w:rPr>
        <w:tab/>
        <w:t>Procureur</w:t>
      </w:r>
      <w:r w:rsidR="00D32C61" w:rsidRPr="00D734D2">
        <w:rPr>
          <w:lang w:val="fr-CA"/>
        </w:rPr>
        <w:t>s</w:t>
      </w:r>
      <w:r w:rsidRPr="00D734D2">
        <w:rPr>
          <w:lang w:val="fr-CA"/>
        </w:rPr>
        <w:t xml:space="preserve"> de</w:t>
      </w:r>
      <w:r w:rsidR="00D32C61" w:rsidRPr="00D734D2">
        <w:rPr>
          <w:lang w:val="fr-CA"/>
        </w:rPr>
        <w:t>s</w:t>
      </w:r>
      <w:r w:rsidRPr="00D734D2">
        <w:rPr>
          <w:lang w:val="fr-CA"/>
        </w:rPr>
        <w:t xml:space="preserve"> appelant</w:t>
      </w:r>
      <w:r w:rsidR="00D32C61" w:rsidRPr="00D734D2">
        <w:rPr>
          <w:lang w:val="fr-CA"/>
        </w:rPr>
        <w:t xml:space="preserve">s </w:t>
      </w:r>
      <w:proofErr w:type="spellStart"/>
      <w:r w:rsidR="00D32C61" w:rsidRPr="00D734D2">
        <w:rPr>
          <w:rStyle w:val="SCCCounselPartyRoleChar"/>
          <w:lang w:val="fr-CA"/>
        </w:rPr>
        <w:t>Ultramar</w:t>
      </w:r>
      <w:proofErr w:type="spellEnd"/>
      <w:r w:rsidR="00D32C61" w:rsidRPr="00D734D2">
        <w:rPr>
          <w:rStyle w:val="SCCCounselPartyRoleChar"/>
          <w:lang w:val="fr-CA"/>
        </w:rPr>
        <w:t xml:space="preserve"> </w:t>
      </w:r>
      <w:proofErr w:type="spellStart"/>
      <w:r w:rsidR="00D32C61" w:rsidRPr="00D734D2">
        <w:rPr>
          <w:rStyle w:val="SCCCounselPartyRoleChar"/>
          <w:lang w:val="fr-CA"/>
        </w:rPr>
        <w:t>ltée</w:t>
      </w:r>
      <w:proofErr w:type="spellEnd"/>
      <w:r w:rsidR="00D32C61" w:rsidRPr="00D734D2">
        <w:rPr>
          <w:rStyle w:val="SCCCounselPartyRoleChar"/>
          <w:lang w:val="fr-CA"/>
        </w:rPr>
        <w:t xml:space="preserve">, </w:t>
      </w:r>
      <w:r w:rsidR="00AF7E26" w:rsidRPr="00D734D2">
        <w:rPr>
          <w:rStyle w:val="SCCCounselPartyRoleChar"/>
          <w:lang w:val="fr-CA"/>
        </w:rPr>
        <w:t>l</w:t>
      </w:r>
      <w:r w:rsidR="00D32C61" w:rsidRPr="00D734D2">
        <w:rPr>
          <w:rStyle w:val="SCCCounselPartyRoleChar"/>
          <w:lang w:val="fr-CA"/>
        </w:rPr>
        <w:t xml:space="preserve">e Groupe Pétrolier </w:t>
      </w:r>
      <w:proofErr w:type="spellStart"/>
      <w:r w:rsidR="00D32C61" w:rsidRPr="00D734D2">
        <w:rPr>
          <w:rStyle w:val="SCCCounselPartyRoleChar"/>
          <w:lang w:val="fr-CA"/>
        </w:rPr>
        <w:t>Olco</w:t>
      </w:r>
      <w:proofErr w:type="spellEnd"/>
      <w:r w:rsidR="00D32C61" w:rsidRPr="00D734D2">
        <w:rPr>
          <w:rStyle w:val="SCCCounselPartyRoleChar"/>
          <w:lang w:val="fr-CA"/>
        </w:rPr>
        <w:t xml:space="preserve"> </w:t>
      </w:r>
      <w:r w:rsidR="005F29FC" w:rsidRPr="00D734D2">
        <w:rPr>
          <w:rStyle w:val="SCCCounselPartyRoleChar"/>
          <w:lang w:val="fr-CA"/>
        </w:rPr>
        <w:t>ULC</w:t>
      </w:r>
      <w:r w:rsidR="00D32C61" w:rsidRPr="00D734D2">
        <w:rPr>
          <w:rStyle w:val="SCCCounselPartyRoleChar"/>
          <w:lang w:val="fr-CA"/>
        </w:rPr>
        <w:t xml:space="preserve">, Les Pétroles Irving </w:t>
      </w:r>
      <w:proofErr w:type="spellStart"/>
      <w:r w:rsidR="00D32C61" w:rsidRPr="00D734D2">
        <w:rPr>
          <w:rStyle w:val="SCCCounselPartyRoleChar"/>
          <w:lang w:val="fr-CA"/>
        </w:rPr>
        <w:t>inc.</w:t>
      </w:r>
      <w:proofErr w:type="spellEnd"/>
      <w:r w:rsidR="00D32C61" w:rsidRPr="00D734D2">
        <w:rPr>
          <w:rStyle w:val="SCCCounselPartyRoleChar"/>
          <w:lang w:val="fr-CA"/>
        </w:rPr>
        <w:t>, Alimentation Couche</w:t>
      </w:r>
      <w:r w:rsidR="0065746B" w:rsidRPr="00D734D2">
        <w:rPr>
          <w:rStyle w:val="SCCCounselPartyRoleChar"/>
          <w:lang w:val="fr-CA"/>
        </w:rPr>
        <w:noBreakHyphen/>
      </w:r>
      <w:r w:rsidR="00D32C61" w:rsidRPr="00D734D2">
        <w:rPr>
          <w:rStyle w:val="SCCCounselPartyRoleChar"/>
          <w:lang w:val="fr-CA"/>
        </w:rPr>
        <w:t xml:space="preserve">Tard </w:t>
      </w:r>
      <w:proofErr w:type="spellStart"/>
      <w:r w:rsidR="00D32C61" w:rsidRPr="00D734D2">
        <w:rPr>
          <w:rStyle w:val="SCCCounselPartyRoleChar"/>
          <w:lang w:val="fr-CA"/>
        </w:rPr>
        <w:t>inc.</w:t>
      </w:r>
      <w:proofErr w:type="spellEnd"/>
      <w:r w:rsidR="00D32C61" w:rsidRPr="00D734D2">
        <w:rPr>
          <w:rStyle w:val="SCCCounselPartyRoleChar"/>
          <w:lang w:val="fr-CA"/>
        </w:rPr>
        <w:t xml:space="preserve">, </w:t>
      </w:r>
      <w:proofErr w:type="spellStart"/>
      <w:r w:rsidR="00D32C61" w:rsidRPr="00D734D2">
        <w:rPr>
          <w:rStyle w:val="SCCCounselPartyRoleChar"/>
          <w:lang w:val="fr-CA"/>
        </w:rPr>
        <w:t>Dépan</w:t>
      </w:r>
      <w:proofErr w:type="spellEnd"/>
      <w:r w:rsidR="0065746B" w:rsidRPr="00D734D2">
        <w:rPr>
          <w:rStyle w:val="SCCCounselPartyRoleChar"/>
          <w:lang w:val="fr-CA"/>
        </w:rPr>
        <w:noBreakHyphen/>
      </w:r>
      <w:r w:rsidR="00D32C61" w:rsidRPr="00D734D2">
        <w:rPr>
          <w:rStyle w:val="SCCCounselPartyRoleChar"/>
          <w:lang w:val="fr-CA"/>
        </w:rPr>
        <w:t>Escompte Couche</w:t>
      </w:r>
      <w:r w:rsidR="0065746B" w:rsidRPr="00D734D2">
        <w:rPr>
          <w:rStyle w:val="SCCCounselPartyRoleChar"/>
          <w:lang w:val="fr-CA"/>
        </w:rPr>
        <w:noBreakHyphen/>
      </w:r>
      <w:r w:rsidR="00D32C61" w:rsidRPr="00D734D2">
        <w:rPr>
          <w:rStyle w:val="SCCCounselPartyRoleChar"/>
          <w:lang w:val="fr-CA"/>
        </w:rPr>
        <w:t xml:space="preserve">Tard </w:t>
      </w:r>
      <w:proofErr w:type="spellStart"/>
      <w:r w:rsidR="00D32C61" w:rsidRPr="00D734D2">
        <w:rPr>
          <w:rStyle w:val="SCCCounselPartyRoleChar"/>
          <w:lang w:val="fr-CA"/>
        </w:rPr>
        <w:t>inc.</w:t>
      </w:r>
      <w:proofErr w:type="spellEnd"/>
      <w:r w:rsidR="00D32C61" w:rsidRPr="00D734D2">
        <w:rPr>
          <w:rStyle w:val="SCCCounselPartyRoleChar"/>
          <w:lang w:val="fr-CA"/>
        </w:rPr>
        <w:t>, Couche</w:t>
      </w:r>
      <w:r w:rsidR="0065746B" w:rsidRPr="00D734D2">
        <w:rPr>
          <w:rStyle w:val="SCCCounselPartyRoleChar"/>
          <w:lang w:val="fr-CA"/>
        </w:rPr>
        <w:noBreakHyphen/>
      </w:r>
      <w:r w:rsidR="00D32C61" w:rsidRPr="00D734D2">
        <w:rPr>
          <w:rStyle w:val="SCCCounselPartyRoleChar"/>
          <w:lang w:val="fr-CA"/>
        </w:rPr>
        <w:t xml:space="preserve">Tard </w:t>
      </w:r>
      <w:proofErr w:type="spellStart"/>
      <w:r w:rsidR="00D32C61" w:rsidRPr="00D734D2">
        <w:rPr>
          <w:rStyle w:val="SCCCounselPartyRoleChar"/>
          <w:lang w:val="fr-CA"/>
        </w:rPr>
        <w:t>inc.</w:t>
      </w:r>
      <w:proofErr w:type="spellEnd"/>
      <w:r w:rsidR="00D32C61" w:rsidRPr="00D734D2">
        <w:rPr>
          <w:rStyle w:val="SCCCounselPartyRoleChar"/>
          <w:lang w:val="fr-CA"/>
        </w:rPr>
        <w:t xml:space="preserve">, Les Pétroles Global </w:t>
      </w:r>
      <w:proofErr w:type="spellStart"/>
      <w:r w:rsidR="00D32C61" w:rsidRPr="00D734D2">
        <w:rPr>
          <w:rStyle w:val="SCCCounselPartyRoleChar"/>
          <w:lang w:val="fr-CA"/>
        </w:rPr>
        <w:t>inc.</w:t>
      </w:r>
      <w:proofErr w:type="spellEnd"/>
      <w:r w:rsidR="00D32C61" w:rsidRPr="00D734D2">
        <w:rPr>
          <w:rStyle w:val="SCCCounselPartyRoleChar"/>
          <w:lang w:val="fr-CA"/>
        </w:rPr>
        <w:t xml:space="preserve">, Les Pétroles Global (Québec) </w:t>
      </w:r>
      <w:proofErr w:type="spellStart"/>
      <w:r w:rsidR="00D32C61" w:rsidRPr="00D734D2">
        <w:rPr>
          <w:rStyle w:val="SCCCounselPartyRoleChar"/>
          <w:lang w:val="fr-CA"/>
        </w:rPr>
        <w:t>inc.</w:t>
      </w:r>
      <w:proofErr w:type="spellEnd"/>
      <w:r w:rsidR="00D32C61" w:rsidRPr="00D734D2">
        <w:rPr>
          <w:rStyle w:val="SCCCounselPartyRoleChar"/>
          <w:lang w:val="fr-CA"/>
        </w:rPr>
        <w:t xml:space="preserve">, Philippe Gosselin &amp; Associés </w:t>
      </w:r>
      <w:proofErr w:type="spellStart"/>
      <w:r w:rsidR="00D32C61" w:rsidRPr="00D734D2">
        <w:rPr>
          <w:rStyle w:val="SCCCounselPartyRoleChar"/>
          <w:lang w:val="fr-CA"/>
        </w:rPr>
        <w:t>ltée</w:t>
      </w:r>
      <w:proofErr w:type="spellEnd"/>
      <w:r w:rsidR="00D32C61" w:rsidRPr="00D734D2">
        <w:rPr>
          <w:rStyle w:val="SCCCounselPartyRoleChar"/>
          <w:lang w:val="fr-CA"/>
        </w:rPr>
        <w:t>, Céline Bonin et Claude Bédard</w:t>
      </w:r>
      <w:r w:rsidR="0065746B" w:rsidRPr="00D734D2">
        <w:rPr>
          <w:lang w:val="fr-CA"/>
        </w:rPr>
        <w:t> :</w:t>
      </w:r>
      <w:r w:rsidR="0069559A" w:rsidRPr="00D734D2">
        <w:rPr>
          <w:lang w:val="fr-CA"/>
        </w:rPr>
        <w:t> </w:t>
      </w:r>
      <w:proofErr w:type="spellStart"/>
      <w:r w:rsidRPr="00D734D2">
        <w:rPr>
          <w:lang w:val="fr-CA"/>
        </w:rPr>
        <w:t>Stikeman</w:t>
      </w:r>
      <w:proofErr w:type="spellEnd"/>
      <w:r w:rsidRPr="00D734D2">
        <w:rPr>
          <w:lang w:val="fr-CA"/>
        </w:rPr>
        <w:t xml:space="preserve"> Elliott</w:t>
      </w:r>
      <w:r w:rsidR="00342640" w:rsidRPr="00D734D2">
        <w:rPr>
          <w:lang w:val="fr-CA"/>
        </w:rPr>
        <w:t>, Montréal</w:t>
      </w:r>
      <w:r w:rsidR="00D32C61" w:rsidRPr="00D734D2">
        <w:rPr>
          <w:lang w:val="fr-CA"/>
        </w:rPr>
        <w:t xml:space="preserve">; </w:t>
      </w:r>
      <w:proofErr w:type="spellStart"/>
      <w:r w:rsidR="00D32C61" w:rsidRPr="00D734D2">
        <w:rPr>
          <w:lang w:val="fr-CA"/>
        </w:rPr>
        <w:t>McMillan</w:t>
      </w:r>
      <w:proofErr w:type="spellEnd"/>
      <w:r w:rsidR="00D32C61" w:rsidRPr="00D734D2">
        <w:rPr>
          <w:lang w:val="fr-CA"/>
        </w:rPr>
        <w:t xml:space="preserve">, Montréal; Osler, </w:t>
      </w:r>
      <w:proofErr w:type="spellStart"/>
      <w:r w:rsidR="00D32C61" w:rsidRPr="00D734D2">
        <w:rPr>
          <w:lang w:val="fr-CA"/>
        </w:rPr>
        <w:t>Hoskin</w:t>
      </w:r>
      <w:proofErr w:type="spellEnd"/>
      <w:r w:rsidR="00D32C61" w:rsidRPr="00D734D2">
        <w:rPr>
          <w:lang w:val="fr-CA"/>
        </w:rPr>
        <w:t xml:space="preserve"> &amp; Harcourt, Montréal</w:t>
      </w:r>
      <w:r w:rsidR="00422CD9" w:rsidRPr="00D734D2">
        <w:rPr>
          <w:lang w:val="fr-CA"/>
        </w:rPr>
        <w:t>;</w:t>
      </w:r>
      <w:r w:rsidR="00D32C61" w:rsidRPr="00D734D2">
        <w:rPr>
          <w:lang w:val="fr-CA"/>
        </w:rPr>
        <w:t xml:space="preserve"> </w:t>
      </w:r>
      <w:r w:rsidR="00576ECE" w:rsidRPr="00D734D2">
        <w:rPr>
          <w:lang w:val="fr-CA"/>
        </w:rPr>
        <w:t xml:space="preserve">Davies Ward Phillips &amp; </w:t>
      </w:r>
      <w:proofErr w:type="spellStart"/>
      <w:r w:rsidR="00576ECE" w:rsidRPr="00D734D2">
        <w:rPr>
          <w:lang w:val="fr-CA"/>
        </w:rPr>
        <w:t>Vineberg</w:t>
      </w:r>
      <w:proofErr w:type="spellEnd"/>
      <w:r w:rsidR="00576ECE" w:rsidRPr="00D734D2">
        <w:rPr>
          <w:lang w:val="fr-CA"/>
        </w:rPr>
        <w:t xml:space="preserve">, Montréal; LCM Avocats </w:t>
      </w:r>
      <w:proofErr w:type="spellStart"/>
      <w:r w:rsidR="00576ECE" w:rsidRPr="00D734D2">
        <w:rPr>
          <w:lang w:val="fr-CA"/>
        </w:rPr>
        <w:t>inc.</w:t>
      </w:r>
      <w:proofErr w:type="spellEnd"/>
      <w:r w:rsidR="00576ECE" w:rsidRPr="00D734D2">
        <w:rPr>
          <w:lang w:val="fr-CA"/>
        </w:rPr>
        <w:t>, Montréal</w:t>
      </w:r>
      <w:r w:rsidR="006572A6" w:rsidRPr="00D734D2">
        <w:rPr>
          <w:lang w:val="fr-CA"/>
        </w:rPr>
        <w:t xml:space="preserve">; Gravel Bernier Vaillancourt, Québec; </w:t>
      </w:r>
      <w:r w:rsidRPr="00D734D2">
        <w:rPr>
          <w:lang w:val="fr-CA"/>
        </w:rPr>
        <w:t xml:space="preserve">Tremblay Bois </w:t>
      </w:r>
      <w:proofErr w:type="spellStart"/>
      <w:r w:rsidRPr="00D734D2">
        <w:rPr>
          <w:lang w:val="fr-CA"/>
        </w:rPr>
        <w:t>Mignault</w:t>
      </w:r>
      <w:proofErr w:type="spellEnd"/>
      <w:r w:rsidRPr="00D734D2">
        <w:rPr>
          <w:lang w:val="fr-CA"/>
        </w:rPr>
        <w:t xml:space="preserve"> Lemay, Sainte</w:t>
      </w:r>
      <w:r w:rsidR="0065746B" w:rsidRPr="00D734D2">
        <w:rPr>
          <w:lang w:val="fr-CA"/>
        </w:rPr>
        <w:noBreakHyphen/>
      </w:r>
      <w:r w:rsidRPr="00D734D2">
        <w:rPr>
          <w:lang w:val="fr-CA"/>
        </w:rPr>
        <w:t>Foy</w:t>
      </w:r>
      <w:r w:rsidR="00E8046C" w:rsidRPr="00D734D2">
        <w:rPr>
          <w:lang w:val="fr-CA"/>
        </w:rPr>
        <w:t>, Québec</w:t>
      </w:r>
      <w:r w:rsidRPr="00D734D2">
        <w:rPr>
          <w:lang w:val="fr-CA"/>
        </w:rPr>
        <w:t>.</w:t>
      </w:r>
    </w:p>
    <w:p w:rsidR="002A0459" w:rsidRPr="00D734D2" w:rsidRDefault="00A57DAB" w:rsidP="0069559A">
      <w:pPr>
        <w:pStyle w:val="SCCLawFirm"/>
        <w:spacing w:before="480" w:after="480"/>
        <w:rPr>
          <w:lang w:val="fr-CA"/>
        </w:rPr>
      </w:pPr>
      <w:r w:rsidRPr="00D734D2">
        <w:rPr>
          <w:lang w:val="fr-CA"/>
        </w:rPr>
        <w:tab/>
        <w:t>Procureur</w:t>
      </w:r>
      <w:r w:rsidR="00D32C61" w:rsidRPr="00D734D2">
        <w:rPr>
          <w:lang w:val="fr-CA"/>
        </w:rPr>
        <w:t>s</w:t>
      </w:r>
      <w:r w:rsidRPr="00D734D2">
        <w:rPr>
          <w:lang w:val="fr-CA"/>
        </w:rPr>
        <w:t xml:space="preserve"> de</w:t>
      </w:r>
      <w:r w:rsidR="00D32C61" w:rsidRPr="00D734D2">
        <w:rPr>
          <w:lang w:val="fr-CA"/>
        </w:rPr>
        <w:t>s</w:t>
      </w:r>
      <w:r w:rsidRPr="00D734D2">
        <w:rPr>
          <w:lang w:val="fr-CA"/>
        </w:rPr>
        <w:t xml:space="preserve"> intimé</w:t>
      </w:r>
      <w:r w:rsidR="00D32C61" w:rsidRPr="00D734D2">
        <w:rPr>
          <w:lang w:val="fr-CA"/>
        </w:rPr>
        <w:t>s</w:t>
      </w:r>
      <w:r w:rsidR="0065746B" w:rsidRPr="00D734D2">
        <w:rPr>
          <w:lang w:val="fr-CA"/>
        </w:rPr>
        <w:t> :</w:t>
      </w:r>
      <w:r w:rsidR="0069559A" w:rsidRPr="00D734D2">
        <w:rPr>
          <w:lang w:val="fr-CA"/>
        </w:rPr>
        <w:t> </w:t>
      </w:r>
      <w:r w:rsidRPr="00D734D2">
        <w:rPr>
          <w:lang w:val="fr-CA"/>
        </w:rPr>
        <w:t>Bernier Beaudry</w:t>
      </w:r>
      <w:r w:rsidR="006572A6" w:rsidRPr="00D734D2">
        <w:rPr>
          <w:lang w:val="fr-CA"/>
        </w:rPr>
        <w:t xml:space="preserve"> </w:t>
      </w:r>
      <w:proofErr w:type="spellStart"/>
      <w:r w:rsidR="006572A6" w:rsidRPr="00D734D2">
        <w:rPr>
          <w:lang w:val="fr-CA"/>
        </w:rPr>
        <w:t>inc.</w:t>
      </w:r>
      <w:proofErr w:type="spellEnd"/>
      <w:r w:rsidRPr="00D734D2">
        <w:rPr>
          <w:lang w:val="fr-CA"/>
        </w:rPr>
        <w:t>, Québec</w:t>
      </w:r>
      <w:r w:rsidR="006572A6" w:rsidRPr="00D734D2">
        <w:rPr>
          <w:lang w:val="fr-CA"/>
        </w:rPr>
        <w:t xml:space="preserve">; </w:t>
      </w:r>
      <w:r w:rsidRPr="00D734D2">
        <w:rPr>
          <w:lang w:val="fr-CA"/>
        </w:rPr>
        <w:t xml:space="preserve">Paquette </w:t>
      </w:r>
      <w:proofErr w:type="spellStart"/>
      <w:r w:rsidRPr="00D734D2">
        <w:rPr>
          <w:lang w:val="fr-CA"/>
        </w:rPr>
        <w:t>Gadler</w:t>
      </w:r>
      <w:proofErr w:type="spellEnd"/>
      <w:r w:rsidRPr="00D734D2">
        <w:rPr>
          <w:lang w:val="fr-CA"/>
        </w:rPr>
        <w:t xml:space="preserve"> </w:t>
      </w:r>
      <w:proofErr w:type="spellStart"/>
      <w:r w:rsidR="006572A6" w:rsidRPr="00D734D2">
        <w:rPr>
          <w:lang w:val="fr-CA"/>
        </w:rPr>
        <w:t>i</w:t>
      </w:r>
      <w:r w:rsidRPr="00D734D2">
        <w:rPr>
          <w:lang w:val="fr-CA"/>
        </w:rPr>
        <w:t>nc.</w:t>
      </w:r>
      <w:proofErr w:type="spellEnd"/>
      <w:r w:rsidRPr="00D734D2">
        <w:rPr>
          <w:lang w:val="fr-CA"/>
        </w:rPr>
        <w:t>, Montréal</w:t>
      </w:r>
      <w:r w:rsidR="006572A6" w:rsidRPr="00D734D2">
        <w:rPr>
          <w:lang w:val="fr-CA"/>
        </w:rPr>
        <w:t xml:space="preserve">; </w:t>
      </w:r>
      <w:proofErr w:type="spellStart"/>
      <w:r w:rsidR="006572A6" w:rsidRPr="00D734D2">
        <w:rPr>
          <w:lang w:val="fr-CA"/>
        </w:rPr>
        <w:t>LaTraverse</w:t>
      </w:r>
      <w:proofErr w:type="spellEnd"/>
      <w:r w:rsidR="006572A6" w:rsidRPr="00D734D2">
        <w:rPr>
          <w:lang w:val="fr-CA"/>
        </w:rPr>
        <w:t xml:space="preserve"> </w:t>
      </w:r>
      <w:r w:rsidR="00E17974" w:rsidRPr="00D734D2">
        <w:rPr>
          <w:lang w:val="fr-CA"/>
        </w:rPr>
        <w:t>Avocat</w:t>
      </w:r>
      <w:r w:rsidR="00624ADC" w:rsidRPr="00D734D2">
        <w:rPr>
          <w:lang w:val="fr-CA"/>
        </w:rPr>
        <w:t>s</w:t>
      </w:r>
      <w:r w:rsidR="00E17974" w:rsidRPr="00D734D2">
        <w:rPr>
          <w:lang w:val="fr-CA"/>
        </w:rPr>
        <w:t xml:space="preserve"> </w:t>
      </w:r>
      <w:proofErr w:type="spellStart"/>
      <w:r w:rsidR="006572A6" w:rsidRPr="00D734D2">
        <w:rPr>
          <w:lang w:val="fr-CA"/>
        </w:rPr>
        <w:t>inc.</w:t>
      </w:r>
      <w:proofErr w:type="spellEnd"/>
      <w:r w:rsidR="006572A6" w:rsidRPr="00D734D2">
        <w:rPr>
          <w:lang w:val="fr-CA"/>
        </w:rPr>
        <w:t>, Montréal</w:t>
      </w:r>
      <w:r w:rsidRPr="00D734D2">
        <w:rPr>
          <w:lang w:val="fr-CA"/>
        </w:rPr>
        <w:t>.</w:t>
      </w:r>
    </w:p>
    <w:p w:rsidR="009B57B3" w:rsidRPr="00D734D2" w:rsidRDefault="00A57DAB" w:rsidP="00F410EC">
      <w:pPr>
        <w:pStyle w:val="SCCLawFirm"/>
        <w:rPr>
          <w:lang w:val="fr-CA"/>
        </w:rPr>
      </w:pPr>
      <w:r w:rsidRPr="00D734D2">
        <w:rPr>
          <w:lang w:val="fr-CA"/>
        </w:rPr>
        <w:tab/>
        <w:t>Procureur</w:t>
      </w:r>
      <w:r w:rsidR="00D32C61" w:rsidRPr="00D734D2">
        <w:rPr>
          <w:lang w:val="fr-CA"/>
        </w:rPr>
        <w:t>e</w:t>
      </w:r>
      <w:r w:rsidRPr="00D734D2">
        <w:rPr>
          <w:lang w:val="fr-CA"/>
        </w:rPr>
        <w:t xml:space="preserve"> de l</w:t>
      </w:r>
      <w:r w:rsidR="001C4EF2" w:rsidRPr="00D734D2">
        <w:rPr>
          <w:lang w:val="fr-CA"/>
        </w:rPr>
        <w:t>’</w:t>
      </w:r>
      <w:r w:rsidRPr="00D734D2">
        <w:rPr>
          <w:lang w:val="fr-CA"/>
        </w:rPr>
        <w:t>intervenante</w:t>
      </w:r>
      <w:r w:rsidR="0065746B" w:rsidRPr="00D734D2">
        <w:rPr>
          <w:lang w:val="fr-CA"/>
        </w:rPr>
        <w:t> :</w:t>
      </w:r>
      <w:r w:rsidR="0069559A" w:rsidRPr="00D734D2">
        <w:rPr>
          <w:lang w:val="fr-CA"/>
        </w:rPr>
        <w:t> </w:t>
      </w:r>
      <w:r w:rsidRPr="00D734D2">
        <w:rPr>
          <w:lang w:val="fr-CA"/>
        </w:rPr>
        <w:t>Procureur</w:t>
      </w:r>
      <w:r w:rsidR="00D32C61" w:rsidRPr="00D734D2">
        <w:rPr>
          <w:lang w:val="fr-CA"/>
        </w:rPr>
        <w:t>e</w:t>
      </w:r>
      <w:r w:rsidRPr="00D734D2">
        <w:rPr>
          <w:lang w:val="fr-CA"/>
        </w:rPr>
        <w:t xml:space="preserve"> général</w:t>
      </w:r>
      <w:r w:rsidR="00F83ABF" w:rsidRPr="00D734D2">
        <w:rPr>
          <w:lang w:val="fr-CA"/>
        </w:rPr>
        <w:t>e</w:t>
      </w:r>
      <w:r w:rsidRPr="00D734D2">
        <w:rPr>
          <w:lang w:val="fr-CA"/>
        </w:rPr>
        <w:t xml:space="preserve"> du Québec, Québec.</w:t>
      </w:r>
    </w:p>
    <w:sectPr w:rsidR="009B57B3" w:rsidRPr="00D734D2" w:rsidSect="000648CC">
      <w:headerReference w:type="even" r:id="rId10"/>
      <w:headerReference w:type="default" r:id="rId11"/>
      <w:footerReference w:type="even" r:id="rId12"/>
      <w:footerReference w:type="default" r:id="rId13"/>
      <w:headerReference w:type="first" r:id="rId14"/>
      <w:footerReference w:type="first" r:id="rId15"/>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7B0E" w:rsidRDefault="00D17B0E">
      <w:r>
        <w:separator/>
      </w:r>
    </w:p>
  </w:endnote>
  <w:endnote w:type="continuationSeparator" w:id="0">
    <w:p w:rsidR="00D17B0E" w:rsidRDefault="00D17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3A3" w:rsidRDefault="007543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3A3" w:rsidRDefault="007543A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3A3" w:rsidRDefault="007543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7B0E" w:rsidRDefault="00D17B0E">
      <w:r>
        <w:separator/>
      </w:r>
    </w:p>
  </w:footnote>
  <w:footnote w:type="continuationSeparator" w:id="0">
    <w:p w:rsidR="00D17B0E" w:rsidRDefault="00D17B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3A3" w:rsidRDefault="007543A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352" w:rsidRPr="00450352" w:rsidRDefault="00450352" w:rsidP="004503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3A3" w:rsidRDefault="007543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abstractNum w:abstractNumId="0" w15:restartNumberingAfterBreak="0">
    <w:nsid w:val="FFFFFF7C"/>
    <w:multiLevelType w:val="singleLevel"/>
    <w:tmpl w:val="D2A6B61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1BA7D4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BC4DB6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2A69C1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A24844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DB0336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B2A59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9667D7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A326A7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442DA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43A269BE"/>
    <w:multiLevelType w:val="hybridMultilevel"/>
    <w:tmpl w:val="424E113C"/>
    <w:lvl w:ilvl="0" w:tplc="846E0020">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4603130A"/>
    <w:multiLevelType w:val="multilevel"/>
    <w:tmpl w:val="57642F48"/>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14" w15:restartNumberingAfterBreak="0">
    <w:nsid w:val="4AC64FE2"/>
    <w:multiLevelType w:val="hybridMultilevel"/>
    <w:tmpl w:val="0B76EEBC"/>
    <w:lvl w:ilvl="0" w:tplc="434646E8">
      <w:start w:val="1"/>
      <w:numFmt w:val="decimal"/>
      <w:lvlText w:val="[%1]"/>
      <w:lvlJc w:val="left"/>
      <w:pPr>
        <w:ind w:left="36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16"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54283EE8"/>
    <w:multiLevelType w:val="multilevel"/>
    <w:tmpl w:val="EF4CD914"/>
    <w:lvl w:ilvl="0">
      <w:start w:val="1"/>
      <w:numFmt w:val="decimal"/>
      <w:pStyle w:val="ParaNoNdepar-AltN"/>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8F57406"/>
    <w:multiLevelType w:val="multilevel"/>
    <w:tmpl w:val="DB280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DB700C2"/>
    <w:multiLevelType w:val="multilevel"/>
    <w:tmpl w:val="867A5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0"/>
  </w:num>
  <w:num w:numId="2">
    <w:abstractNumId w:val="11"/>
  </w:num>
  <w:num w:numId="3">
    <w:abstractNumId w:val="10"/>
  </w:num>
  <w:num w:numId="4">
    <w:abstractNumId w:val="15"/>
  </w:num>
  <w:num w:numId="5">
    <w:abstractNumId w:val="16"/>
  </w:num>
  <w:num w:numId="6">
    <w:abstractNumId w:val="17"/>
  </w:num>
  <w:num w:numId="7">
    <w:abstractNumId w:val="13"/>
  </w:num>
  <w:num w:numId="8">
    <w:abstractNumId w:val="13"/>
    <w:lvlOverride w:ilvl="0">
      <w:lvl w:ilvl="0">
        <w:start w:val="1"/>
        <w:numFmt w:val="upperRoman"/>
        <w:pStyle w:val="Title1LevelTitre1Niveau-AltL"/>
        <w:lvlText w:val="%1."/>
        <w:lvlJc w:val="left"/>
        <w:pPr>
          <w:tabs>
            <w:tab w:val="num" w:pos="576"/>
          </w:tabs>
          <w:ind w:left="576" w:hanging="576"/>
        </w:pPr>
        <w:rPr>
          <w:rFonts w:hint="default"/>
          <w:color w:val="FF0000"/>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9">
    <w:abstractNumId w:val="18"/>
  </w:num>
  <w:num w:numId="10">
    <w:abstractNumId w:val="19"/>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15">
    <w:abstractNumId w:val="17"/>
    <w:lvlOverride w:ilvl="0">
      <w:startOverride w:val="1"/>
    </w:lvlOverride>
    <w:lvlOverride w:ilvl="1">
      <w:startOverride w:val="1"/>
    </w:lvlOverride>
    <w:lvlOverride w:ilvl="2">
      <w:startOverride w:val="1"/>
    </w:lvlOverride>
    <w:lvlOverride w:ilvl="3">
      <w:startOverride w:val="3"/>
    </w:lvlOverride>
  </w:num>
  <w:num w:numId="16">
    <w:abstractNumId w:val="14"/>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2"/>
  </w:num>
  <w:num w:numId="28">
    <w:abstractNumId w:val="13"/>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29">
    <w:abstractNumId w:val="13"/>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30">
    <w:abstractNumId w:val="17"/>
    <w:lvlOverride w:ilvl="0">
      <w:startOverride w:val="35"/>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bordersDoNotSurroundHeader/>
  <w:bordersDoNotSurroundFooter/>
  <w:proofState w:spelling="clean" w:grammar="clean"/>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17C6D"/>
    <w:rsid w:val="00023FC7"/>
    <w:rsid w:val="00025198"/>
    <w:rsid w:val="00033412"/>
    <w:rsid w:val="000578A3"/>
    <w:rsid w:val="000648CC"/>
    <w:rsid w:val="00085FD1"/>
    <w:rsid w:val="000A7050"/>
    <w:rsid w:val="000C05C4"/>
    <w:rsid w:val="000C59B8"/>
    <w:rsid w:val="000C6AF0"/>
    <w:rsid w:val="000D0A77"/>
    <w:rsid w:val="000E38FD"/>
    <w:rsid w:val="000E69CE"/>
    <w:rsid w:val="000F7993"/>
    <w:rsid w:val="0010312B"/>
    <w:rsid w:val="00104F33"/>
    <w:rsid w:val="00111DE2"/>
    <w:rsid w:val="00116B38"/>
    <w:rsid w:val="00135406"/>
    <w:rsid w:val="00135972"/>
    <w:rsid w:val="001426A9"/>
    <w:rsid w:val="00154D7C"/>
    <w:rsid w:val="00156A49"/>
    <w:rsid w:val="001570B0"/>
    <w:rsid w:val="0015752C"/>
    <w:rsid w:val="00157737"/>
    <w:rsid w:val="00157AAF"/>
    <w:rsid w:val="00165277"/>
    <w:rsid w:val="00170592"/>
    <w:rsid w:val="001720F7"/>
    <w:rsid w:val="00180172"/>
    <w:rsid w:val="00195D83"/>
    <w:rsid w:val="001A00C1"/>
    <w:rsid w:val="001B33E0"/>
    <w:rsid w:val="001B3744"/>
    <w:rsid w:val="001B4573"/>
    <w:rsid w:val="001C0BEB"/>
    <w:rsid w:val="001C4EF2"/>
    <w:rsid w:val="001C5358"/>
    <w:rsid w:val="001C779F"/>
    <w:rsid w:val="001D2AC1"/>
    <w:rsid w:val="001D4E88"/>
    <w:rsid w:val="00220FC2"/>
    <w:rsid w:val="002218C3"/>
    <w:rsid w:val="002222F4"/>
    <w:rsid w:val="00224FC0"/>
    <w:rsid w:val="00225EA4"/>
    <w:rsid w:val="00226EAF"/>
    <w:rsid w:val="00231F3A"/>
    <w:rsid w:val="002406EE"/>
    <w:rsid w:val="00243EC8"/>
    <w:rsid w:val="00270D93"/>
    <w:rsid w:val="002745CC"/>
    <w:rsid w:val="002808F0"/>
    <w:rsid w:val="00285846"/>
    <w:rsid w:val="002A0459"/>
    <w:rsid w:val="002A253D"/>
    <w:rsid w:val="002A73B6"/>
    <w:rsid w:val="002B6FBE"/>
    <w:rsid w:val="002B71D0"/>
    <w:rsid w:val="002B7924"/>
    <w:rsid w:val="002C10A6"/>
    <w:rsid w:val="002C4D60"/>
    <w:rsid w:val="002D28C3"/>
    <w:rsid w:val="002D39A4"/>
    <w:rsid w:val="002E6705"/>
    <w:rsid w:val="0030329A"/>
    <w:rsid w:val="0031086F"/>
    <w:rsid w:val="0031414C"/>
    <w:rsid w:val="00314E01"/>
    <w:rsid w:val="0032089D"/>
    <w:rsid w:val="00320F2D"/>
    <w:rsid w:val="003310DE"/>
    <w:rsid w:val="003323B0"/>
    <w:rsid w:val="00340A49"/>
    <w:rsid w:val="00342640"/>
    <w:rsid w:val="0035169A"/>
    <w:rsid w:val="0035259D"/>
    <w:rsid w:val="00355431"/>
    <w:rsid w:val="00361399"/>
    <w:rsid w:val="00364B18"/>
    <w:rsid w:val="003A125D"/>
    <w:rsid w:val="003A4C70"/>
    <w:rsid w:val="003B215F"/>
    <w:rsid w:val="003C799C"/>
    <w:rsid w:val="003D0399"/>
    <w:rsid w:val="003D4161"/>
    <w:rsid w:val="003E03C8"/>
    <w:rsid w:val="003E1C71"/>
    <w:rsid w:val="003F0E88"/>
    <w:rsid w:val="003F1A8D"/>
    <w:rsid w:val="003F327B"/>
    <w:rsid w:val="00406166"/>
    <w:rsid w:val="0040704B"/>
    <w:rsid w:val="00410A55"/>
    <w:rsid w:val="00411300"/>
    <w:rsid w:val="00413F17"/>
    <w:rsid w:val="00415417"/>
    <w:rsid w:val="004154C8"/>
    <w:rsid w:val="00422CD9"/>
    <w:rsid w:val="00426659"/>
    <w:rsid w:val="00450352"/>
    <w:rsid w:val="004503A5"/>
    <w:rsid w:val="00452BCE"/>
    <w:rsid w:val="00454BDB"/>
    <w:rsid w:val="00465132"/>
    <w:rsid w:val="00470E82"/>
    <w:rsid w:val="00480C90"/>
    <w:rsid w:val="0048396F"/>
    <w:rsid w:val="00486732"/>
    <w:rsid w:val="004867F4"/>
    <w:rsid w:val="004871CB"/>
    <w:rsid w:val="00493C18"/>
    <w:rsid w:val="004A600C"/>
    <w:rsid w:val="004A6118"/>
    <w:rsid w:val="004C478D"/>
    <w:rsid w:val="004D1FCF"/>
    <w:rsid w:val="004D7D95"/>
    <w:rsid w:val="004E2C26"/>
    <w:rsid w:val="00511441"/>
    <w:rsid w:val="005125A8"/>
    <w:rsid w:val="00517549"/>
    <w:rsid w:val="00520ABC"/>
    <w:rsid w:val="00521AE8"/>
    <w:rsid w:val="00527180"/>
    <w:rsid w:val="005342BD"/>
    <w:rsid w:val="00545790"/>
    <w:rsid w:val="0055308A"/>
    <w:rsid w:val="00555291"/>
    <w:rsid w:val="00566AD1"/>
    <w:rsid w:val="00576ECE"/>
    <w:rsid w:val="00583EDE"/>
    <w:rsid w:val="005A5598"/>
    <w:rsid w:val="005A6079"/>
    <w:rsid w:val="005E24C2"/>
    <w:rsid w:val="005E4698"/>
    <w:rsid w:val="005F29FC"/>
    <w:rsid w:val="00603924"/>
    <w:rsid w:val="00604859"/>
    <w:rsid w:val="00610539"/>
    <w:rsid w:val="00613969"/>
    <w:rsid w:val="00617D14"/>
    <w:rsid w:val="00624ADC"/>
    <w:rsid w:val="00625C35"/>
    <w:rsid w:val="00647E49"/>
    <w:rsid w:val="00656313"/>
    <w:rsid w:val="006565F4"/>
    <w:rsid w:val="00656DD0"/>
    <w:rsid w:val="006572A6"/>
    <w:rsid w:val="0065746B"/>
    <w:rsid w:val="00684EEA"/>
    <w:rsid w:val="0069559A"/>
    <w:rsid w:val="0069689B"/>
    <w:rsid w:val="006A01F4"/>
    <w:rsid w:val="006B5FF5"/>
    <w:rsid w:val="006C368F"/>
    <w:rsid w:val="006D4656"/>
    <w:rsid w:val="006E3B97"/>
    <w:rsid w:val="006F30AF"/>
    <w:rsid w:val="00701759"/>
    <w:rsid w:val="007019A2"/>
    <w:rsid w:val="00701BE5"/>
    <w:rsid w:val="00705C15"/>
    <w:rsid w:val="007110F6"/>
    <w:rsid w:val="007208D1"/>
    <w:rsid w:val="00727B69"/>
    <w:rsid w:val="0074308E"/>
    <w:rsid w:val="00744518"/>
    <w:rsid w:val="00747288"/>
    <w:rsid w:val="00747DD3"/>
    <w:rsid w:val="007543A3"/>
    <w:rsid w:val="007549C8"/>
    <w:rsid w:val="00766D14"/>
    <w:rsid w:val="0076738D"/>
    <w:rsid w:val="00767A0F"/>
    <w:rsid w:val="00791272"/>
    <w:rsid w:val="007A00BB"/>
    <w:rsid w:val="007A05F6"/>
    <w:rsid w:val="007A7D35"/>
    <w:rsid w:val="007B6F4A"/>
    <w:rsid w:val="007E1C47"/>
    <w:rsid w:val="007E337A"/>
    <w:rsid w:val="007E5C70"/>
    <w:rsid w:val="007F2FF5"/>
    <w:rsid w:val="007F3F08"/>
    <w:rsid w:val="00804CC6"/>
    <w:rsid w:val="00806D04"/>
    <w:rsid w:val="00814611"/>
    <w:rsid w:val="00816B19"/>
    <w:rsid w:val="00817190"/>
    <w:rsid w:val="008260E2"/>
    <w:rsid w:val="008322BD"/>
    <w:rsid w:val="00833D44"/>
    <w:rsid w:val="00834F73"/>
    <w:rsid w:val="00840A93"/>
    <w:rsid w:val="008645F8"/>
    <w:rsid w:val="00864C8A"/>
    <w:rsid w:val="00864CF8"/>
    <w:rsid w:val="00874914"/>
    <w:rsid w:val="008848F3"/>
    <w:rsid w:val="0088646B"/>
    <w:rsid w:val="00891422"/>
    <w:rsid w:val="00892E1A"/>
    <w:rsid w:val="008A61EA"/>
    <w:rsid w:val="008B660A"/>
    <w:rsid w:val="008C0004"/>
    <w:rsid w:val="008C01DA"/>
    <w:rsid w:val="008E582F"/>
    <w:rsid w:val="008E7449"/>
    <w:rsid w:val="008F2674"/>
    <w:rsid w:val="008F728B"/>
    <w:rsid w:val="008F78E9"/>
    <w:rsid w:val="00900A8B"/>
    <w:rsid w:val="009179F9"/>
    <w:rsid w:val="00917C7A"/>
    <w:rsid w:val="00933E5E"/>
    <w:rsid w:val="00935218"/>
    <w:rsid w:val="00937C52"/>
    <w:rsid w:val="009403F3"/>
    <w:rsid w:val="009555B7"/>
    <w:rsid w:val="009567AA"/>
    <w:rsid w:val="009602C9"/>
    <w:rsid w:val="00965A56"/>
    <w:rsid w:val="00967374"/>
    <w:rsid w:val="009825CE"/>
    <w:rsid w:val="009A0A66"/>
    <w:rsid w:val="009A343A"/>
    <w:rsid w:val="009B2F23"/>
    <w:rsid w:val="009B375A"/>
    <w:rsid w:val="009B57B3"/>
    <w:rsid w:val="009D2920"/>
    <w:rsid w:val="009D5AEB"/>
    <w:rsid w:val="009D5E6A"/>
    <w:rsid w:val="009F0E33"/>
    <w:rsid w:val="00A06733"/>
    <w:rsid w:val="00A149DF"/>
    <w:rsid w:val="00A1755C"/>
    <w:rsid w:val="00A21B90"/>
    <w:rsid w:val="00A22AAC"/>
    <w:rsid w:val="00A3135D"/>
    <w:rsid w:val="00A41805"/>
    <w:rsid w:val="00A50247"/>
    <w:rsid w:val="00A50D7A"/>
    <w:rsid w:val="00A51882"/>
    <w:rsid w:val="00A52AFB"/>
    <w:rsid w:val="00A548CB"/>
    <w:rsid w:val="00A5521C"/>
    <w:rsid w:val="00A568C4"/>
    <w:rsid w:val="00A57DAB"/>
    <w:rsid w:val="00A62E70"/>
    <w:rsid w:val="00A643E7"/>
    <w:rsid w:val="00A73C38"/>
    <w:rsid w:val="00A774B0"/>
    <w:rsid w:val="00A921A7"/>
    <w:rsid w:val="00A93EB4"/>
    <w:rsid w:val="00AB4A4E"/>
    <w:rsid w:val="00AB670D"/>
    <w:rsid w:val="00AD3299"/>
    <w:rsid w:val="00AE40E1"/>
    <w:rsid w:val="00AF03C5"/>
    <w:rsid w:val="00AF32E0"/>
    <w:rsid w:val="00AF7E26"/>
    <w:rsid w:val="00B000D8"/>
    <w:rsid w:val="00B00F75"/>
    <w:rsid w:val="00B145B6"/>
    <w:rsid w:val="00B27866"/>
    <w:rsid w:val="00B279EB"/>
    <w:rsid w:val="00B37DEB"/>
    <w:rsid w:val="00B50C81"/>
    <w:rsid w:val="00B557F8"/>
    <w:rsid w:val="00B7278C"/>
    <w:rsid w:val="00B815FC"/>
    <w:rsid w:val="00B8468B"/>
    <w:rsid w:val="00B93FBC"/>
    <w:rsid w:val="00BA7DA0"/>
    <w:rsid w:val="00BB204C"/>
    <w:rsid w:val="00BB2EE4"/>
    <w:rsid w:val="00BB4C92"/>
    <w:rsid w:val="00BB504E"/>
    <w:rsid w:val="00BC2108"/>
    <w:rsid w:val="00BD0E9E"/>
    <w:rsid w:val="00BD1BEC"/>
    <w:rsid w:val="00BD32FF"/>
    <w:rsid w:val="00BE6E1E"/>
    <w:rsid w:val="00BF6FE9"/>
    <w:rsid w:val="00C02092"/>
    <w:rsid w:val="00C07406"/>
    <w:rsid w:val="00C24D91"/>
    <w:rsid w:val="00C26DB2"/>
    <w:rsid w:val="00C53F14"/>
    <w:rsid w:val="00C600CF"/>
    <w:rsid w:val="00C6084F"/>
    <w:rsid w:val="00C62A66"/>
    <w:rsid w:val="00C66359"/>
    <w:rsid w:val="00C71458"/>
    <w:rsid w:val="00C75B79"/>
    <w:rsid w:val="00C77613"/>
    <w:rsid w:val="00C828E7"/>
    <w:rsid w:val="00C86719"/>
    <w:rsid w:val="00C921DD"/>
    <w:rsid w:val="00C9444F"/>
    <w:rsid w:val="00C97DCB"/>
    <w:rsid w:val="00CA6391"/>
    <w:rsid w:val="00CE036E"/>
    <w:rsid w:val="00CE3171"/>
    <w:rsid w:val="00CE4D13"/>
    <w:rsid w:val="00CF1601"/>
    <w:rsid w:val="00D0172F"/>
    <w:rsid w:val="00D01E33"/>
    <w:rsid w:val="00D068A7"/>
    <w:rsid w:val="00D17476"/>
    <w:rsid w:val="00D17B0E"/>
    <w:rsid w:val="00D32086"/>
    <w:rsid w:val="00D32C61"/>
    <w:rsid w:val="00D37A3F"/>
    <w:rsid w:val="00D40D0A"/>
    <w:rsid w:val="00D4431D"/>
    <w:rsid w:val="00D4667A"/>
    <w:rsid w:val="00D505D2"/>
    <w:rsid w:val="00D6258C"/>
    <w:rsid w:val="00D63A1C"/>
    <w:rsid w:val="00D65314"/>
    <w:rsid w:val="00D734D2"/>
    <w:rsid w:val="00D7516F"/>
    <w:rsid w:val="00D9035C"/>
    <w:rsid w:val="00D95F8E"/>
    <w:rsid w:val="00DA0590"/>
    <w:rsid w:val="00DA2C14"/>
    <w:rsid w:val="00DB2B25"/>
    <w:rsid w:val="00DC1739"/>
    <w:rsid w:val="00DC1788"/>
    <w:rsid w:val="00DE319C"/>
    <w:rsid w:val="00DE3CEF"/>
    <w:rsid w:val="00DF0CA8"/>
    <w:rsid w:val="00DF2B48"/>
    <w:rsid w:val="00DF49A7"/>
    <w:rsid w:val="00E07EE2"/>
    <w:rsid w:val="00E07FD1"/>
    <w:rsid w:val="00E17974"/>
    <w:rsid w:val="00E24573"/>
    <w:rsid w:val="00E25E1E"/>
    <w:rsid w:val="00E27EE7"/>
    <w:rsid w:val="00E3260A"/>
    <w:rsid w:val="00E35404"/>
    <w:rsid w:val="00E36EDD"/>
    <w:rsid w:val="00E445DB"/>
    <w:rsid w:val="00E45109"/>
    <w:rsid w:val="00E47B7A"/>
    <w:rsid w:val="00E52DD8"/>
    <w:rsid w:val="00E56A44"/>
    <w:rsid w:val="00E60269"/>
    <w:rsid w:val="00E8046C"/>
    <w:rsid w:val="00E924B8"/>
    <w:rsid w:val="00E97830"/>
    <w:rsid w:val="00EA5CA8"/>
    <w:rsid w:val="00EB737D"/>
    <w:rsid w:val="00EC1BBF"/>
    <w:rsid w:val="00EC720F"/>
    <w:rsid w:val="00ED1F11"/>
    <w:rsid w:val="00EE0830"/>
    <w:rsid w:val="00EE2A44"/>
    <w:rsid w:val="00EE6CB8"/>
    <w:rsid w:val="00EF0683"/>
    <w:rsid w:val="00F0070C"/>
    <w:rsid w:val="00F00EB7"/>
    <w:rsid w:val="00F1292A"/>
    <w:rsid w:val="00F36AB6"/>
    <w:rsid w:val="00F37A09"/>
    <w:rsid w:val="00F409CE"/>
    <w:rsid w:val="00F410EC"/>
    <w:rsid w:val="00F4379D"/>
    <w:rsid w:val="00F50D2D"/>
    <w:rsid w:val="00F56C8B"/>
    <w:rsid w:val="00F62639"/>
    <w:rsid w:val="00F66810"/>
    <w:rsid w:val="00F838DE"/>
    <w:rsid w:val="00F83ABF"/>
    <w:rsid w:val="00F84DF4"/>
    <w:rsid w:val="00F85C97"/>
    <w:rsid w:val="00F86201"/>
    <w:rsid w:val="00FB37D2"/>
    <w:rsid w:val="00FC4EFB"/>
    <w:rsid w:val="00FD068D"/>
    <w:rsid w:val="00FD4F28"/>
    <w:rsid w:val="00FE6784"/>
    <w:rsid w:val="00FE7A8B"/>
    <w:rsid w:val="00FF132D"/>
    <w:rsid w:val="00FF452D"/>
    <w:rsid w:val="00FF59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17C6D"/>
    <w:pPr>
      <w:keepNext/>
      <w:keepLines/>
      <w:spacing w:before="200"/>
      <w:outlineLvl w:val="2"/>
    </w:pPr>
    <w:rPr>
      <w:rFonts w:asciiTheme="majorHAnsi" w:eastAsiaTheme="majorEastAsia" w:hAnsiTheme="majorHAnsi" w:cstheme="majorBidi"/>
      <w:b/>
      <w:bCs/>
      <w:color w:val="4F81BD" w:themeColor="accent1"/>
      <w:szCs w:val="22"/>
      <w:lang w:val="en-US" w:eastAsia="en-US" w:bidi="en-US"/>
    </w:rPr>
  </w:style>
  <w:style w:type="paragraph" w:styleId="Heading4">
    <w:name w:val="heading 4"/>
    <w:basedOn w:val="Normal"/>
    <w:next w:val="Normal"/>
    <w:link w:val="Heading4Char"/>
    <w:uiPriority w:val="9"/>
    <w:semiHidden/>
    <w:unhideWhenUsed/>
    <w:qFormat/>
    <w:rsid w:val="00017C6D"/>
    <w:pPr>
      <w:keepNext/>
      <w:keepLines/>
      <w:spacing w:before="200"/>
      <w:outlineLvl w:val="3"/>
    </w:pPr>
    <w:rPr>
      <w:rFonts w:asciiTheme="majorHAnsi" w:eastAsiaTheme="majorEastAsia" w:hAnsiTheme="majorHAnsi" w:cstheme="majorBidi"/>
      <w:b/>
      <w:bCs/>
      <w:i/>
      <w:iCs/>
      <w:color w:val="4F81BD" w:themeColor="accent1"/>
      <w:szCs w:val="22"/>
      <w:lang w:val="en-US" w:eastAsia="en-US" w:bidi="en-US"/>
    </w:rPr>
  </w:style>
  <w:style w:type="paragraph" w:styleId="Heading5">
    <w:name w:val="heading 5"/>
    <w:basedOn w:val="Normal"/>
    <w:next w:val="Normal"/>
    <w:link w:val="Heading5Char"/>
    <w:uiPriority w:val="9"/>
    <w:semiHidden/>
    <w:unhideWhenUsed/>
    <w:qFormat/>
    <w:rsid w:val="00017C6D"/>
    <w:pPr>
      <w:keepNext/>
      <w:keepLines/>
      <w:spacing w:before="200"/>
      <w:outlineLvl w:val="4"/>
    </w:pPr>
    <w:rPr>
      <w:rFonts w:asciiTheme="majorHAnsi" w:eastAsiaTheme="majorEastAsia" w:hAnsiTheme="majorHAnsi" w:cstheme="majorBidi"/>
      <w:color w:val="243F60" w:themeColor="accent1" w:themeShade="7F"/>
      <w:szCs w:val="22"/>
      <w:lang w:val="en-US" w:eastAsia="en-US" w:bidi="en-US"/>
    </w:rPr>
  </w:style>
  <w:style w:type="paragraph" w:styleId="Heading6">
    <w:name w:val="heading 6"/>
    <w:basedOn w:val="Normal"/>
    <w:next w:val="Normal"/>
    <w:link w:val="Heading6Char"/>
    <w:uiPriority w:val="9"/>
    <w:semiHidden/>
    <w:unhideWhenUsed/>
    <w:qFormat/>
    <w:rsid w:val="00017C6D"/>
    <w:pPr>
      <w:keepNext/>
      <w:keepLines/>
      <w:spacing w:before="200"/>
      <w:outlineLvl w:val="5"/>
    </w:pPr>
    <w:rPr>
      <w:rFonts w:asciiTheme="majorHAnsi" w:eastAsiaTheme="majorEastAsia" w:hAnsiTheme="majorHAnsi" w:cstheme="majorBidi"/>
      <w:i/>
      <w:iCs/>
      <w:color w:val="243F60" w:themeColor="accent1" w:themeShade="7F"/>
      <w:szCs w:val="22"/>
      <w:lang w:val="en-US" w:eastAsia="en-US" w:bidi="en-US"/>
    </w:rPr>
  </w:style>
  <w:style w:type="paragraph" w:styleId="Heading7">
    <w:name w:val="heading 7"/>
    <w:basedOn w:val="Normal"/>
    <w:next w:val="Normal"/>
    <w:link w:val="Heading7Char"/>
    <w:uiPriority w:val="9"/>
    <w:semiHidden/>
    <w:unhideWhenUsed/>
    <w:qFormat/>
    <w:rsid w:val="00017C6D"/>
    <w:pPr>
      <w:keepNext/>
      <w:keepLines/>
      <w:spacing w:before="200"/>
      <w:outlineLvl w:val="6"/>
    </w:pPr>
    <w:rPr>
      <w:rFonts w:asciiTheme="majorHAnsi" w:eastAsiaTheme="majorEastAsia" w:hAnsiTheme="majorHAnsi" w:cstheme="majorBidi"/>
      <w:i/>
      <w:iCs/>
      <w:color w:val="404040" w:themeColor="text1" w:themeTint="BF"/>
      <w:szCs w:val="22"/>
      <w:lang w:val="en-US" w:eastAsia="en-US" w:bidi="en-US"/>
    </w:rPr>
  </w:style>
  <w:style w:type="paragraph" w:styleId="Heading8">
    <w:name w:val="heading 8"/>
    <w:basedOn w:val="Normal"/>
    <w:next w:val="Normal"/>
    <w:link w:val="Heading8Char"/>
    <w:uiPriority w:val="9"/>
    <w:semiHidden/>
    <w:unhideWhenUsed/>
    <w:qFormat/>
    <w:rsid w:val="00017C6D"/>
    <w:pPr>
      <w:keepNext/>
      <w:keepLines/>
      <w:spacing w:before="200"/>
      <w:outlineLvl w:val="7"/>
    </w:pPr>
    <w:rPr>
      <w:rFonts w:asciiTheme="majorHAnsi" w:eastAsiaTheme="majorEastAsia" w:hAnsiTheme="majorHAnsi" w:cstheme="majorBidi"/>
      <w:color w:val="4F81BD" w:themeColor="accent1"/>
      <w:sz w:val="20"/>
      <w:lang w:val="en-US" w:eastAsia="en-US" w:bidi="en-US"/>
    </w:rPr>
  </w:style>
  <w:style w:type="paragraph" w:styleId="Heading9">
    <w:name w:val="heading 9"/>
    <w:basedOn w:val="Normal"/>
    <w:next w:val="Normal"/>
    <w:link w:val="Heading9Char"/>
    <w:uiPriority w:val="9"/>
    <w:semiHidden/>
    <w:unhideWhenUsed/>
    <w:qFormat/>
    <w:rsid w:val="00017C6D"/>
    <w:pPr>
      <w:keepNext/>
      <w:keepLines/>
      <w:spacing w:before="200"/>
      <w:outlineLvl w:val="8"/>
    </w:pPr>
    <w:rPr>
      <w:rFonts w:asciiTheme="majorHAnsi" w:eastAsiaTheme="majorEastAsia" w:hAnsiTheme="majorHAnsi" w:cstheme="majorBidi"/>
      <w:i/>
      <w:iCs/>
      <w:color w:val="404040" w:themeColor="text1" w:themeTint="BF"/>
      <w:sz w:val="20"/>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FE7A8B"/>
    <w:pPr>
      <w:tabs>
        <w:tab w:val="right" w:pos="8222"/>
      </w:tabs>
      <w:spacing w:after="720"/>
    </w:pPr>
    <w:rPr>
      <w:b/>
    </w:rPr>
  </w:style>
  <w:style w:type="character" w:customStyle="1" w:styleId="SCCLsocLastPartyInRoleChar">
    <w:name w:val="SCC.Lsoc.LastPartyInRole Char"/>
    <w:basedOn w:val="SCCLsocPartyChar"/>
    <w:link w:val="SCCLsocLastPartyInRole"/>
    <w:rsid w:val="00FE7A8B"/>
    <w:rPr>
      <w:b/>
      <w:sz w:val="24"/>
    </w:rPr>
  </w:style>
  <w:style w:type="character" w:customStyle="1" w:styleId="nowrap">
    <w:name w:val="nowrap"/>
    <w:basedOn w:val="DefaultParagraphFont"/>
    <w:rsid w:val="005A5598"/>
  </w:style>
  <w:style w:type="paragraph" w:customStyle="1" w:styleId="sccnormaldoublespacing1">
    <w:name w:val="sccnormaldoublespacing1"/>
    <w:basedOn w:val="Normal"/>
    <w:rsid w:val="002C4D60"/>
    <w:pPr>
      <w:spacing w:line="480" w:lineRule="auto"/>
      <w:jc w:val="both"/>
    </w:pPr>
    <w:rPr>
      <w:szCs w:val="24"/>
      <w:lang w:val="fr-CA" w:eastAsia="fr-CA"/>
    </w:rPr>
  </w:style>
  <w:style w:type="character" w:customStyle="1" w:styleId="Heading3Char">
    <w:name w:val="Heading 3 Char"/>
    <w:basedOn w:val="DefaultParagraphFont"/>
    <w:link w:val="Heading3"/>
    <w:uiPriority w:val="9"/>
    <w:semiHidden/>
    <w:rsid w:val="00017C6D"/>
    <w:rPr>
      <w:rFonts w:asciiTheme="majorHAnsi" w:eastAsiaTheme="majorEastAsia" w:hAnsiTheme="majorHAnsi" w:cstheme="majorBidi"/>
      <w:b/>
      <w:bCs/>
      <w:color w:val="4F81BD" w:themeColor="accent1"/>
      <w:sz w:val="24"/>
      <w:szCs w:val="22"/>
      <w:lang w:val="en-US" w:eastAsia="en-US" w:bidi="en-US"/>
    </w:rPr>
  </w:style>
  <w:style w:type="character" w:customStyle="1" w:styleId="Heading4Char">
    <w:name w:val="Heading 4 Char"/>
    <w:basedOn w:val="DefaultParagraphFont"/>
    <w:link w:val="Heading4"/>
    <w:uiPriority w:val="9"/>
    <w:semiHidden/>
    <w:rsid w:val="00017C6D"/>
    <w:rPr>
      <w:rFonts w:asciiTheme="majorHAnsi" w:eastAsiaTheme="majorEastAsia" w:hAnsiTheme="majorHAnsi" w:cstheme="majorBidi"/>
      <w:b/>
      <w:bCs/>
      <w:i/>
      <w:iCs/>
      <w:color w:val="4F81BD" w:themeColor="accent1"/>
      <w:sz w:val="24"/>
      <w:szCs w:val="22"/>
      <w:lang w:val="en-US" w:eastAsia="en-US" w:bidi="en-US"/>
    </w:rPr>
  </w:style>
  <w:style w:type="character" w:customStyle="1" w:styleId="Heading5Char">
    <w:name w:val="Heading 5 Char"/>
    <w:basedOn w:val="DefaultParagraphFont"/>
    <w:link w:val="Heading5"/>
    <w:uiPriority w:val="9"/>
    <w:semiHidden/>
    <w:rsid w:val="00017C6D"/>
    <w:rPr>
      <w:rFonts w:asciiTheme="majorHAnsi" w:eastAsiaTheme="majorEastAsia" w:hAnsiTheme="majorHAnsi" w:cstheme="majorBidi"/>
      <w:color w:val="243F60" w:themeColor="accent1" w:themeShade="7F"/>
      <w:sz w:val="24"/>
      <w:szCs w:val="22"/>
      <w:lang w:val="en-US" w:eastAsia="en-US" w:bidi="en-US"/>
    </w:rPr>
  </w:style>
  <w:style w:type="character" w:customStyle="1" w:styleId="Heading6Char">
    <w:name w:val="Heading 6 Char"/>
    <w:basedOn w:val="DefaultParagraphFont"/>
    <w:link w:val="Heading6"/>
    <w:uiPriority w:val="9"/>
    <w:semiHidden/>
    <w:rsid w:val="00017C6D"/>
    <w:rPr>
      <w:rFonts w:asciiTheme="majorHAnsi" w:eastAsiaTheme="majorEastAsia" w:hAnsiTheme="majorHAnsi" w:cstheme="majorBidi"/>
      <w:i/>
      <w:iCs/>
      <w:color w:val="243F60" w:themeColor="accent1" w:themeShade="7F"/>
      <w:sz w:val="24"/>
      <w:szCs w:val="22"/>
      <w:lang w:val="en-US" w:eastAsia="en-US" w:bidi="en-US"/>
    </w:rPr>
  </w:style>
  <w:style w:type="character" w:customStyle="1" w:styleId="Heading7Char">
    <w:name w:val="Heading 7 Char"/>
    <w:basedOn w:val="DefaultParagraphFont"/>
    <w:link w:val="Heading7"/>
    <w:uiPriority w:val="9"/>
    <w:semiHidden/>
    <w:rsid w:val="00017C6D"/>
    <w:rPr>
      <w:rFonts w:asciiTheme="majorHAnsi" w:eastAsiaTheme="majorEastAsia" w:hAnsiTheme="majorHAnsi" w:cstheme="majorBidi"/>
      <w:i/>
      <w:iCs/>
      <w:color w:val="404040" w:themeColor="text1" w:themeTint="BF"/>
      <w:sz w:val="24"/>
      <w:szCs w:val="22"/>
      <w:lang w:val="en-US" w:eastAsia="en-US" w:bidi="en-US"/>
    </w:rPr>
  </w:style>
  <w:style w:type="character" w:customStyle="1" w:styleId="Heading8Char">
    <w:name w:val="Heading 8 Char"/>
    <w:basedOn w:val="DefaultParagraphFont"/>
    <w:link w:val="Heading8"/>
    <w:uiPriority w:val="9"/>
    <w:semiHidden/>
    <w:rsid w:val="00017C6D"/>
    <w:rPr>
      <w:rFonts w:asciiTheme="majorHAnsi" w:eastAsiaTheme="majorEastAsia" w:hAnsiTheme="majorHAnsi" w:cstheme="majorBidi"/>
      <w:color w:val="4F81BD" w:themeColor="accent1"/>
      <w:lang w:val="en-US" w:eastAsia="en-US" w:bidi="en-US"/>
    </w:rPr>
  </w:style>
  <w:style w:type="character" w:customStyle="1" w:styleId="Heading9Char">
    <w:name w:val="Heading 9 Char"/>
    <w:basedOn w:val="DefaultParagraphFont"/>
    <w:link w:val="Heading9"/>
    <w:uiPriority w:val="9"/>
    <w:semiHidden/>
    <w:rsid w:val="00017C6D"/>
    <w:rPr>
      <w:rFonts w:asciiTheme="majorHAnsi" w:eastAsiaTheme="majorEastAsia" w:hAnsiTheme="majorHAnsi" w:cstheme="majorBidi"/>
      <w:i/>
      <w:iCs/>
      <w:color w:val="404040" w:themeColor="text1" w:themeTint="BF"/>
      <w:lang w:val="en-US" w:eastAsia="en-US" w:bidi="en-US"/>
    </w:rPr>
  </w:style>
  <w:style w:type="paragraph" w:styleId="NoSpacing">
    <w:name w:val="No Spacing"/>
    <w:uiPriority w:val="1"/>
    <w:rsid w:val="00017C6D"/>
    <w:rPr>
      <w:rFonts w:eastAsiaTheme="minorHAnsi" w:cstheme="minorBidi"/>
      <w:sz w:val="24"/>
      <w:szCs w:val="22"/>
      <w:lang w:val="en-US" w:eastAsia="en-US" w:bidi="en-US"/>
    </w:rPr>
  </w:style>
  <w:style w:type="paragraph" w:customStyle="1" w:styleId="SCCLsocOtherPartyRoleSeparator">
    <w:name w:val="SCC.Lsoc.OtherPartyRoleSeparator"/>
    <w:basedOn w:val="Normal"/>
    <w:next w:val="Normal"/>
    <w:link w:val="SCCLsocOtherPartyRoleSeparatorChar"/>
    <w:rsid w:val="00017C6D"/>
    <w:pPr>
      <w:spacing w:after="480"/>
    </w:pPr>
    <w:rPr>
      <w:rFonts w:eastAsiaTheme="minorHAnsi" w:cstheme="minorBidi"/>
      <w:szCs w:val="22"/>
      <w:lang w:val="en-US" w:eastAsia="en-US" w:bidi="en-US"/>
    </w:rPr>
  </w:style>
  <w:style w:type="paragraph" w:customStyle="1" w:styleId="SCCCoram">
    <w:name w:val="SCC.Coram"/>
    <w:basedOn w:val="Normal"/>
    <w:next w:val="Normal"/>
    <w:link w:val="SCCCoramChar"/>
    <w:rsid w:val="00017C6D"/>
    <w:pPr>
      <w:pBdr>
        <w:bottom w:val="single" w:sz="4" w:space="1" w:color="auto"/>
      </w:pBdr>
    </w:pPr>
    <w:rPr>
      <w:rFonts w:eastAsiaTheme="minorHAnsi" w:cstheme="minorBidi"/>
      <w:szCs w:val="22"/>
      <w:lang w:val="en-US" w:eastAsia="en-US" w:bidi="en-US"/>
    </w:rPr>
  </w:style>
  <w:style w:type="character" w:customStyle="1" w:styleId="SCCCoramChar">
    <w:name w:val="SCC.Coram Char"/>
    <w:basedOn w:val="DefaultParagraphFont"/>
    <w:link w:val="SCCCoram"/>
    <w:rsid w:val="00017C6D"/>
    <w:rPr>
      <w:rFonts w:eastAsiaTheme="minorHAnsi" w:cstheme="minorBidi"/>
      <w:sz w:val="24"/>
      <w:szCs w:val="22"/>
      <w:lang w:val="en-US" w:eastAsia="en-US" w:bidi="en-US"/>
    </w:rPr>
  </w:style>
  <w:style w:type="character" w:customStyle="1" w:styleId="SCCLsocOtherPartyRoleSeparatorChar">
    <w:name w:val="SCC.Lsoc.OtherPartyRoleSeparator Char"/>
    <w:basedOn w:val="DefaultParagraphFont"/>
    <w:link w:val="SCCLsocOtherPartyRoleSeparator"/>
    <w:rsid w:val="00017C6D"/>
    <w:rPr>
      <w:rFonts w:eastAsiaTheme="minorHAnsi" w:cstheme="minorBidi"/>
      <w:sz w:val="24"/>
      <w:szCs w:val="22"/>
      <w:lang w:val="en-US" w:eastAsia="en-US" w:bidi="en-US"/>
    </w:rPr>
  </w:style>
  <w:style w:type="character" w:customStyle="1" w:styleId="SCCBanSummaryChar">
    <w:name w:val="SCC.BanSummary Char"/>
    <w:basedOn w:val="DefaultParagraphFont"/>
    <w:link w:val="SCCBanSummary"/>
    <w:rsid w:val="00017C6D"/>
    <w:rPr>
      <w:b/>
      <w:sz w:val="24"/>
    </w:rPr>
  </w:style>
  <w:style w:type="table" w:styleId="TableGrid">
    <w:name w:val="Table Grid"/>
    <w:basedOn w:val="TableNormal"/>
    <w:uiPriority w:val="59"/>
    <w:rsid w:val="00017C6D"/>
    <w:rPr>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017C6D"/>
    <w:pPr>
      <w:spacing w:after="720"/>
      <w:ind w:left="1166"/>
      <w:contextualSpacing/>
      <w:jc w:val="both"/>
    </w:pPr>
    <w:rPr>
      <w:sz w:val="24"/>
    </w:rPr>
  </w:style>
  <w:style w:type="paragraph" w:customStyle="1" w:styleId="ContinueParaSuitedupar-AltP">
    <w:name w:val="Continue Para. / Suite du par. - Alt P"/>
    <w:next w:val="ParaNoNdepar-AltN"/>
    <w:uiPriority w:val="1"/>
    <w:qFormat/>
    <w:rsid w:val="00017C6D"/>
    <w:pPr>
      <w:spacing w:before="480" w:after="480" w:line="480" w:lineRule="auto"/>
      <w:jc w:val="both"/>
    </w:pPr>
    <w:rPr>
      <w:rFonts w:eastAsiaTheme="minorHAnsi" w:cstheme="minorBidi"/>
      <w:sz w:val="24"/>
      <w:szCs w:val="22"/>
      <w:lang w:eastAsia="en-US"/>
    </w:rPr>
  </w:style>
  <w:style w:type="paragraph" w:customStyle="1" w:styleId="JudgeJuge">
    <w:name w:val="Judge / Juge"/>
    <w:link w:val="JudgeJugeChar"/>
    <w:uiPriority w:val="3"/>
    <w:rsid w:val="00017C6D"/>
    <w:pPr>
      <w:tabs>
        <w:tab w:val="left" w:pos="1260"/>
      </w:tabs>
      <w:spacing w:after="480" w:line="480" w:lineRule="auto"/>
    </w:pPr>
    <w:rPr>
      <w:smallCaps/>
      <w:sz w:val="24"/>
    </w:rPr>
  </w:style>
  <w:style w:type="paragraph" w:customStyle="1" w:styleId="ParaNoNdepar-AltN">
    <w:name w:val="Para. No. / Nº de par. - Alt N"/>
    <w:qFormat/>
    <w:rsid w:val="00017C6D"/>
    <w:pPr>
      <w:numPr>
        <w:numId w:val="6"/>
      </w:numPr>
      <w:spacing w:before="480" w:after="480" w:line="480" w:lineRule="auto"/>
      <w:jc w:val="both"/>
    </w:pPr>
    <w:rPr>
      <w:rFonts w:eastAsiaTheme="minorEastAsia" w:cstheme="minorBidi"/>
      <w:sz w:val="24"/>
      <w:szCs w:val="22"/>
      <w:lang w:eastAsia="en-US"/>
    </w:rPr>
  </w:style>
  <w:style w:type="paragraph" w:customStyle="1" w:styleId="Title1LevelTitre1Niveau-AltL">
    <w:name w:val="Title 1 Level / Titre 1 Niveau - Alt L"/>
    <w:next w:val="ParaNoNdepar-AltN"/>
    <w:uiPriority w:val="4"/>
    <w:qFormat/>
    <w:rsid w:val="00017C6D"/>
    <w:pPr>
      <w:numPr>
        <w:numId w:val="7"/>
      </w:numPr>
      <w:spacing w:before="480" w:after="720"/>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017C6D"/>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017C6D"/>
    <w:pPr>
      <w:numPr>
        <w:ilvl w:val="2"/>
      </w:numPr>
      <w:outlineLvl w:val="2"/>
    </w:pPr>
  </w:style>
  <w:style w:type="paragraph" w:customStyle="1" w:styleId="Title4LevelTitre4Niveau">
    <w:name w:val="Title 4 Level / Titre 4 Niveau"/>
    <w:basedOn w:val="Title3LevelTitre3Niveau"/>
    <w:next w:val="ParaNoNdepar-AltN"/>
    <w:uiPriority w:val="4"/>
    <w:qFormat/>
    <w:rsid w:val="00017C6D"/>
    <w:pPr>
      <w:numPr>
        <w:ilvl w:val="3"/>
      </w:numPr>
      <w:tabs>
        <w:tab w:val="num" w:pos="900"/>
      </w:tabs>
      <w:outlineLvl w:val="3"/>
    </w:pPr>
    <w:rPr>
      <w:i/>
      <w:u w:val="none"/>
    </w:rPr>
  </w:style>
  <w:style w:type="paragraph" w:customStyle="1" w:styleId="Title5LevelTitre5Niveau">
    <w:name w:val="Title 5 Level / Titre 5 Niveau"/>
    <w:basedOn w:val="Title1LevelTitre1Niveau-AltL"/>
    <w:next w:val="ParaNoNdepar-AltN"/>
    <w:uiPriority w:val="4"/>
    <w:qFormat/>
    <w:rsid w:val="00017C6D"/>
    <w:pPr>
      <w:numPr>
        <w:ilvl w:val="4"/>
      </w:numPr>
      <w:tabs>
        <w:tab w:val="clear" w:pos="1728"/>
        <w:tab w:val="num" w:pos="1440"/>
      </w:tabs>
      <w:outlineLvl w:val="4"/>
    </w:pPr>
  </w:style>
  <w:style w:type="paragraph" w:customStyle="1" w:styleId="TitleTitre-AltT">
    <w:name w:val="Title / Titre - Alt T"/>
    <w:next w:val="ParaNoNdepar-AltN"/>
    <w:uiPriority w:val="3"/>
    <w:qFormat/>
    <w:rsid w:val="00017C6D"/>
    <w:pPr>
      <w:tabs>
        <w:tab w:val="left" w:pos="360"/>
      </w:tabs>
      <w:spacing w:before="480" w:after="720"/>
      <w:ind w:left="360" w:hanging="360"/>
      <w:jc w:val="both"/>
      <w:outlineLvl w:val="0"/>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017C6D"/>
    <w:pPr>
      <w:numPr>
        <w:ilvl w:val="5"/>
      </w:numPr>
      <w:jc w:val="both"/>
      <w:outlineLvl w:val="5"/>
    </w:pPr>
    <w:rPr>
      <w:i/>
      <w:u w:val="none"/>
    </w:rPr>
  </w:style>
  <w:style w:type="paragraph" w:styleId="FootnoteText">
    <w:name w:val="footnote text"/>
    <w:basedOn w:val="Normal"/>
    <w:link w:val="FootnoteTextChar"/>
    <w:uiPriority w:val="99"/>
    <w:unhideWhenUsed/>
    <w:rsid w:val="00017C6D"/>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017C6D"/>
  </w:style>
  <w:style w:type="character" w:styleId="FootnoteReference">
    <w:name w:val="footnote reference"/>
    <w:basedOn w:val="DefaultParagraphFont"/>
    <w:uiPriority w:val="99"/>
    <w:unhideWhenUsed/>
    <w:rsid w:val="00017C6D"/>
    <w:rPr>
      <w:vertAlign w:val="superscript"/>
    </w:rPr>
  </w:style>
  <w:style w:type="paragraph" w:styleId="TOC1">
    <w:name w:val="toc 1"/>
    <w:basedOn w:val="Normal"/>
    <w:next w:val="Normal"/>
    <w:autoRedefine/>
    <w:uiPriority w:val="39"/>
    <w:unhideWhenUsed/>
    <w:rsid w:val="00017C6D"/>
    <w:pPr>
      <w:tabs>
        <w:tab w:val="left" w:pos="360"/>
        <w:tab w:val="right" w:leader="dot" w:pos="8270"/>
      </w:tabs>
      <w:spacing w:before="120" w:after="120"/>
    </w:pPr>
    <w:rPr>
      <w:rFonts w:eastAsiaTheme="minorHAnsi" w:cstheme="minorBidi"/>
      <w:noProof/>
      <w:szCs w:val="22"/>
      <w:u w:val="single"/>
      <w:lang w:eastAsia="en-US" w:bidi="en-US"/>
    </w:rPr>
  </w:style>
  <w:style w:type="paragraph" w:styleId="TOC2">
    <w:name w:val="toc 2"/>
    <w:basedOn w:val="Normal"/>
    <w:next w:val="Normal"/>
    <w:autoRedefine/>
    <w:uiPriority w:val="39"/>
    <w:unhideWhenUsed/>
    <w:rsid w:val="00017C6D"/>
    <w:pPr>
      <w:tabs>
        <w:tab w:val="left" w:pos="720"/>
        <w:tab w:val="right" w:leader="dot" w:pos="8270"/>
      </w:tabs>
      <w:spacing w:before="120" w:after="120"/>
      <w:ind w:left="432" w:hanging="432"/>
    </w:pPr>
    <w:rPr>
      <w:rFonts w:eastAsiaTheme="minorHAnsi" w:cstheme="minorBidi"/>
      <w:i/>
      <w:szCs w:val="24"/>
      <w:lang w:eastAsia="en-US" w:bidi="en-US"/>
    </w:rPr>
  </w:style>
  <w:style w:type="paragraph" w:styleId="TOC3">
    <w:name w:val="toc 3"/>
    <w:basedOn w:val="Normal"/>
    <w:next w:val="Normal"/>
    <w:autoRedefine/>
    <w:uiPriority w:val="39"/>
    <w:unhideWhenUsed/>
    <w:rsid w:val="00017C6D"/>
    <w:pPr>
      <w:tabs>
        <w:tab w:val="left" w:pos="1080"/>
        <w:tab w:val="right" w:leader="dot" w:pos="8270"/>
      </w:tabs>
      <w:spacing w:before="120" w:after="120"/>
      <w:ind w:left="864" w:hanging="432"/>
    </w:pPr>
    <w:rPr>
      <w:rFonts w:eastAsiaTheme="minorHAnsi" w:cstheme="minorBidi"/>
      <w:noProof/>
      <w:szCs w:val="22"/>
      <w:u w:val="single"/>
      <w:lang w:eastAsia="en-US" w:bidi="en-US"/>
    </w:rPr>
  </w:style>
  <w:style w:type="paragraph" w:styleId="TOC4">
    <w:name w:val="toc 4"/>
    <w:basedOn w:val="Normal"/>
    <w:next w:val="Normal"/>
    <w:autoRedefine/>
    <w:uiPriority w:val="39"/>
    <w:unhideWhenUsed/>
    <w:rsid w:val="00017C6D"/>
    <w:pPr>
      <w:tabs>
        <w:tab w:val="left" w:pos="900"/>
        <w:tab w:val="right" w:leader="dot" w:pos="8270"/>
      </w:tabs>
      <w:spacing w:before="120" w:after="120"/>
      <w:ind w:left="900" w:hanging="450"/>
    </w:pPr>
    <w:rPr>
      <w:rFonts w:eastAsiaTheme="minorEastAsia" w:cstheme="minorBidi"/>
      <w:i/>
      <w:noProof/>
      <w:szCs w:val="22"/>
      <w:lang w:eastAsia="en-US" w:bidi="en-US"/>
    </w:rPr>
  </w:style>
  <w:style w:type="paragraph" w:styleId="TOC5">
    <w:name w:val="toc 5"/>
    <w:basedOn w:val="Normal"/>
    <w:next w:val="Normal"/>
    <w:autoRedefine/>
    <w:uiPriority w:val="39"/>
    <w:unhideWhenUsed/>
    <w:rsid w:val="00017C6D"/>
    <w:pPr>
      <w:tabs>
        <w:tab w:val="left" w:pos="1440"/>
        <w:tab w:val="right" w:leader="dot" w:pos="8270"/>
      </w:tabs>
      <w:spacing w:before="120" w:after="120"/>
      <w:ind w:left="1454" w:hanging="547"/>
    </w:pPr>
    <w:rPr>
      <w:rFonts w:eastAsiaTheme="minorHAnsi" w:cstheme="minorBidi"/>
      <w:noProof/>
      <w:szCs w:val="22"/>
      <w:u w:val="single"/>
      <w:lang w:eastAsia="en-US" w:bidi="en-US"/>
    </w:rPr>
  </w:style>
  <w:style w:type="paragraph" w:styleId="TOC6">
    <w:name w:val="toc 6"/>
    <w:basedOn w:val="Normal"/>
    <w:next w:val="Normal"/>
    <w:autoRedefine/>
    <w:uiPriority w:val="39"/>
    <w:unhideWhenUsed/>
    <w:rsid w:val="00017C6D"/>
    <w:pPr>
      <w:tabs>
        <w:tab w:val="left" w:pos="2160"/>
        <w:tab w:val="right" w:leader="dot" w:pos="8270"/>
      </w:tabs>
      <w:spacing w:after="100"/>
      <w:ind w:left="1800"/>
    </w:pPr>
    <w:rPr>
      <w:rFonts w:eastAsiaTheme="minorHAnsi" w:cstheme="minorBidi"/>
      <w:noProof/>
      <w:szCs w:val="22"/>
      <w:lang w:eastAsia="en-US" w:bidi="en-US"/>
    </w:rPr>
  </w:style>
  <w:style w:type="table" w:customStyle="1" w:styleId="TableGrid1">
    <w:name w:val="Table Grid1"/>
    <w:basedOn w:val="TableNormal"/>
    <w:uiPriority w:val="59"/>
    <w:rsid w:val="00017C6D"/>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JudgeJugeChar">
    <w:name w:val="Judge / Juge Char"/>
    <w:basedOn w:val="DefaultParagraphFont"/>
    <w:link w:val="JudgeJuge"/>
    <w:uiPriority w:val="3"/>
    <w:rsid w:val="00017C6D"/>
    <w:rPr>
      <w:smallCaps/>
      <w:sz w:val="24"/>
    </w:rPr>
  </w:style>
  <w:style w:type="character" w:styleId="Hyperlink">
    <w:name w:val="Hyperlink"/>
    <w:basedOn w:val="DefaultParagraphFont"/>
    <w:uiPriority w:val="99"/>
    <w:unhideWhenUsed/>
    <w:rsid w:val="00017C6D"/>
    <w:rPr>
      <w:color w:val="0000FF" w:themeColor="hyperlink"/>
      <w:u w:val="single"/>
    </w:rPr>
  </w:style>
  <w:style w:type="paragraph" w:styleId="BodyText">
    <w:name w:val="Body Text"/>
    <w:basedOn w:val="Normal"/>
    <w:link w:val="BodyTextChar"/>
    <w:uiPriority w:val="1"/>
    <w:qFormat/>
    <w:rsid w:val="00017C6D"/>
    <w:pPr>
      <w:widowControl w:val="0"/>
      <w:ind w:left="828"/>
    </w:pPr>
    <w:rPr>
      <w:rFonts w:eastAsiaTheme="minorHAnsi" w:cstheme="minorBidi"/>
      <w:szCs w:val="24"/>
      <w:lang w:val="en-US" w:eastAsia="en-US" w:bidi="en-US"/>
    </w:rPr>
  </w:style>
  <w:style w:type="character" w:customStyle="1" w:styleId="BodyTextChar">
    <w:name w:val="Body Text Char"/>
    <w:basedOn w:val="DefaultParagraphFont"/>
    <w:link w:val="BodyText"/>
    <w:uiPriority w:val="1"/>
    <w:rsid w:val="00017C6D"/>
    <w:rPr>
      <w:rFonts w:eastAsiaTheme="minorHAnsi" w:cstheme="minorBidi"/>
      <w:sz w:val="24"/>
      <w:szCs w:val="24"/>
      <w:lang w:val="en-US" w:eastAsia="en-US" w:bidi="en-US"/>
    </w:rPr>
  </w:style>
  <w:style w:type="character" w:customStyle="1" w:styleId="solext0">
    <w:name w:val="solext0"/>
    <w:basedOn w:val="DefaultParagraphFont"/>
    <w:rsid w:val="00017C6D"/>
  </w:style>
  <w:style w:type="character" w:customStyle="1" w:styleId="lawlabel1">
    <w:name w:val="lawlabel1"/>
    <w:basedOn w:val="DefaultParagraphFont"/>
    <w:rsid w:val="00017C6D"/>
    <w:rPr>
      <w:b/>
      <w:bCs/>
      <w:color w:val="000000"/>
    </w:rPr>
  </w:style>
  <w:style w:type="character" w:customStyle="1" w:styleId="canliisection">
    <w:name w:val="canlii_section"/>
    <w:basedOn w:val="DefaultParagraphFont"/>
    <w:rsid w:val="00017C6D"/>
  </w:style>
  <w:style w:type="paragraph" w:customStyle="1" w:styleId="section1">
    <w:name w:val="section1"/>
    <w:basedOn w:val="Normal"/>
    <w:rsid w:val="00017C6D"/>
    <w:pPr>
      <w:spacing w:before="168" w:after="120"/>
    </w:pPr>
    <w:rPr>
      <w:rFonts w:eastAsiaTheme="minorHAnsi" w:cstheme="minorBidi"/>
      <w:szCs w:val="24"/>
      <w:lang w:val="en-US" w:eastAsia="en-US" w:bidi="en-US"/>
    </w:rPr>
  </w:style>
  <w:style w:type="paragraph" w:customStyle="1" w:styleId="paragraph1">
    <w:name w:val="paragraph1"/>
    <w:basedOn w:val="Normal"/>
    <w:rsid w:val="00017C6D"/>
    <w:pPr>
      <w:spacing w:before="168" w:after="120"/>
      <w:ind w:left="360"/>
    </w:pPr>
    <w:rPr>
      <w:rFonts w:eastAsiaTheme="minorHAnsi" w:cstheme="minorBidi"/>
      <w:szCs w:val="24"/>
      <w:lang w:val="en-US" w:eastAsia="en-US" w:bidi="en-US"/>
    </w:rPr>
  </w:style>
  <w:style w:type="character" w:styleId="CommentReference">
    <w:name w:val="annotation reference"/>
    <w:basedOn w:val="DefaultParagraphFont"/>
    <w:uiPriority w:val="99"/>
    <w:semiHidden/>
    <w:unhideWhenUsed/>
    <w:rsid w:val="00017C6D"/>
    <w:rPr>
      <w:sz w:val="16"/>
      <w:szCs w:val="16"/>
    </w:rPr>
  </w:style>
  <w:style w:type="paragraph" w:styleId="CommentText">
    <w:name w:val="annotation text"/>
    <w:basedOn w:val="Normal"/>
    <w:link w:val="CommentTextChar"/>
    <w:uiPriority w:val="99"/>
    <w:semiHidden/>
    <w:unhideWhenUsed/>
    <w:rsid w:val="00017C6D"/>
    <w:rPr>
      <w:rFonts w:eastAsiaTheme="minorHAnsi" w:cstheme="minorBidi"/>
      <w:sz w:val="20"/>
      <w:szCs w:val="22"/>
      <w:lang w:val="en-US" w:eastAsia="en-US" w:bidi="en-US"/>
    </w:rPr>
  </w:style>
  <w:style w:type="character" w:customStyle="1" w:styleId="CommentTextChar">
    <w:name w:val="Comment Text Char"/>
    <w:basedOn w:val="DefaultParagraphFont"/>
    <w:link w:val="CommentText"/>
    <w:uiPriority w:val="99"/>
    <w:semiHidden/>
    <w:rsid w:val="00017C6D"/>
    <w:rPr>
      <w:rFonts w:eastAsiaTheme="minorHAnsi" w:cstheme="minorBidi"/>
      <w:szCs w:val="22"/>
      <w:lang w:val="en-US" w:eastAsia="en-US" w:bidi="en-US"/>
    </w:rPr>
  </w:style>
  <w:style w:type="paragraph" w:styleId="CommentSubject">
    <w:name w:val="annotation subject"/>
    <w:basedOn w:val="CommentText"/>
    <w:next w:val="CommentText"/>
    <w:link w:val="CommentSubjectChar"/>
    <w:uiPriority w:val="99"/>
    <w:semiHidden/>
    <w:unhideWhenUsed/>
    <w:rsid w:val="00017C6D"/>
    <w:rPr>
      <w:b/>
      <w:bCs/>
    </w:rPr>
  </w:style>
  <w:style w:type="character" w:customStyle="1" w:styleId="CommentSubjectChar">
    <w:name w:val="Comment Subject Char"/>
    <w:basedOn w:val="CommentTextChar"/>
    <w:link w:val="CommentSubject"/>
    <w:uiPriority w:val="99"/>
    <w:semiHidden/>
    <w:rsid w:val="00017C6D"/>
    <w:rPr>
      <w:rFonts w:eastAsiaTheme="minorHAnsi" w:cstheme="minorBidi"/>
      <w:b/>
      <w:bCs/>
      <w:szCs w:val="22"/>
      <w:lang w:val="en-US" w:eastAsia="en-US" w:bidi="en-US"/>
    </w:rPr>
  </w:style>
  <w:style w:type="paragraph" w:styleId="TOCHeading">
    <w:name w:val="TOC Heading"/>
    <w:basedOn w:val="Heading1"/>
    <w:next w:val="Normal"/>
    <w:uiPriority w:val="39"/>
    <w:semiHidden/>
    <w:unhideWhenUsed/>
    <w:qFormat/>
    <w:rsid w:val="00017C6D"/>
    <w:pPr>
      <w:spacing w:before="480" w:after="0"/>
      <w:ind w:left="0" w:firstLine="0"/>
      <w:outlineLvl w:val="9"/>
    </w:pPr>
    <w:rPr>
      <w:lang w:val="en-US" w:eastAsia="en-US" w:bidi="en-US"/>
    </w:rPr>
  </w:style>
  <w:style w:type="paragraph" w:styleId="Caption">
    <w:name w:val="caption"/>
    <w:basedOn w:val="Normal"/>
    <w:next w:val="Normal"/>
    <w:uiPriority w:val="35"/>
    <w:semiHidden/>
    <w:unhideWhenUsed/>
    <w:qFormat/>
    <w:rsid w:val="00017C6D"/>
    <w:rPr>
      <w:rFonts w:eastAsiaTheme="minorHAnsi" w:cstheme="minorBidi"/>
      <w:b/>
      <w:bCs/>
      <w:color w:val="4F81BD" w:themeColor="accent1"/>
      <w:sz w:val="18"/>
      <w:szCs w:val="18"/>
      <w:lang w:val="en-US" w:eastAsia="en-US" w:bidi="en-US"/>
    </w:rPr>
  </w:style>
  <w:style w:type="paragraph" w:styleId="Title">
    <w:name w:val="Title"/>
    <w:basedOn w:val="Normal"/>
    <w:next w:val="Normal"/>
    <w:link w:val="TitleChar"/>
    <w:uiPriority w:val="10"/>
    <w:rsid w:val="00017C6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en-US" w:bidi="en-US"/>
    </w:rPr>
  </w:style>
  <w:style w:type="character" w:customStyle="1" w:styleId="TitleChar">
    <w:name w:val="Title Char"/>
    <w:basedOn w:val="DefaultParagraphFont"/>
    <w:link w:val="Title"/>
    <w:uiPriority w:val="10"/>
    <w:rsid w:val="00017C6D"/>
    <w:rPr>
      <w:rFonts w:asciiTheme="majorHAnsi" w:eastAsiaTheme="majorEastAsia" w:hAnsiTheme="majorHAnsi" w:cstheme="majorBidi"/>
      <w:color w:val="17365D" w:themeColor="text2" w:themeShade="BF"/>
      <w:spacing w:val="5"/>
      <w:kern w:val="28"/>
      <w:sz w:val="52"/>
      <w:szCs w:val="52"/>
      <w:lang w:val="en-US" w:eastAsia="en-US" w:bidi="en-US"/>
    </w:rPr>
  </w:style>
  <w:style w:type="paragraph" w:styleId="Subtitle">
    <w:name w:val="Subtitle"/>
    <w:basedOn w:val="Normal"/>
    <w:next w:val="Normal"/>
    <w:link w:val="SubtitleChar"/>
    <w:uiPriority w:val="11"/>
    <w:rsid w:val="00017C6D"/>
    <w:pPr>
      <w:numPr>
        <w:ilvl w:val="1"/>
      </w:numPr>
    </w:pPr>
    <w:rPr>
      <w:rFonts w:asciiTheme="majorHAnsi" w:eastAsiaTheme="majorEastAsia" w:hAnsiTheme="majorHAnsi" w:cstheme="majorBidi"/>
      <w:i/>
      <w:iCs/>
      <w:color w:val="4F81BD" w:themeColor="accent1"/>
      <w:spacing w:val="15"/>
      <w:szCs w:val="24"/>
      <w:lang w:val="en-US" w:eastAsia="en-US" w:bidi="en-US"/>
    </w:rPr>
  </w:style>
  <w:style w:type="character" w:customStyle="1" w:styleId="SubtitleChar">
    <w:name w:val="Subtitle Char"/>
    <w:basedOn w:val="DefaultParagraphFont"/>
    <w:link w:val="Subtitle"/>
    <w:uiPriority w:val="11"/>
    <w:rsid w:val="00017C6D"/>
    <w:rPr>
      <w:rFonts w:asciiTheme="majorHAnsi" w:eastAsiaTheme="majorEastAsia" w:hAnsiTheme="majorHAnsi" w:cstheme="majorBidi"/>
      <w:i/>
      <w:iCs/>
      <w:color w:val="4F81BD" w:themeColor="accent1"/>
      <w:spacing w:val="15"/>
      <w:sz w:val="24"/>
      <w:szCs w:val="24"/>
      <w:lang w:val="en-US" w:eastAsia="en-US" w:bidi="en-US"/>
    </w:rPr>
  </w:style>
  <w:style w:type="character" w:styleId="Emphasis">
    <w:name w:val="Emphasis"/>
    <w:basedOn w:val="DefaultParagraphFont"/>
    <w:uiPriority w:val="20"/>
    <w:rsid w:val="00017C6D"/>
    <w:rPr>
      <w:i/>
      <w:iCs/>
    </w:rPr>
  </w:style>
  <w:style w:type="paragraph" w:styleId="ListParagraph">
    <w:name w:val="List Paragraph"/>
    <w:basedOn w:val="Normal"/>
    <w:uiPriority w:val="34"/>
    <w:rsid w:val="00017C6D"/>
    <w:pPr>
      <w:ind w:left="720"/>
      <w:contextualSpacing/>
    </w:pPr>
    <w:rPr>
      <w:rFonts w:eastAsiaTheme="minorHAnsi" w:cstheme="minorBidi"/>
      <w:szCs w:val="22"/>
      <w:lang w:val="en-US" w:eastAsia="en-US" w:bidi="en-US"/>
    </w:rPr>
  </w:style>
  <w:style w:type="paragraph" w:styleId="IntenseQuote">
    <w:name w:val="Intense Quote"/>
    <w:basedOn w:val="Normal"/>
    <w:next w:val="Normal"/>
    <w:link w:val="IntenseQuoteChar"/>
    <w:uiPriority w:val="30"/>
    <w:rsid w:val="00017C6D"/>
    <w:pPr>
      <w:pBdr>
        <w:bottom w:val="single" w:sz="4" w:space="4" w:color="4F81BD" w:themeColor="accent1"/>
      </w:pBdr>
      <w:spacing w:before="200" w:after="280"/>
      <w:ind w:left="936" w:right="936"/>
    </w:pPr>
    <w:rPr>
      <w:rFonts w:eastAsiaTheme="minorHAnsi" w:cstheme="minorBidi"/>
      <w:b/>
      <w:bCs/>
      <w:i/>
      <w:iCs/>
      <w:color w:val="4F81BD" w:themeColor="accent1"/>
      <w:szCs w:val="22"/>
      <w:lang w:val="en-US" w:eastAsia="en-US" w:bidi="en-US"/>
    </w:rPr>
  </w:style>
  <w:style w:type="character" w:customStyle="1" w:styleId="IntenseQuoteChar">
    <w:name w:val="Intense Quote Char"/>
    <w:basedOn w:val="DefaultParagraphFont"/>
    <w:link w:val="IntenseQuote"/>
    <w:uiPriority w:val="30"/>
    <w:rsid w:val="00017C6D"/>
    <w:rPr>
      <w:rFonts w:eastAsiaTheme="minorHAnsi" w:cstheme="minorBidi"/>
      <w:b/>
      <w:bCs/>
      <w:i/>
      <w:iCs/>
      <w:color w:val="4F81BD" w:themeColor="accent1"/>
      <w:sz w:val="24"/>
      <w:szCs w:val="22"/>
      <w:lang w:val="en-US" w:eastAsia="en-US" w:bidi="en-US"/>
    </w:rPr>
  </w:style>
  <w:style w:type="character" w:styleId="SubtleEmphasis">
    <w:name w:val="Subtle Emphasis"/>
    <w:basedOn w:val="DefaultParagraphFont"/>
    <w:uiPriority w:val="19"/>
    <w:rsid w:val="00017C6D"/>
    <w:rPr>
      <w:i/>
      <w:iCs/>
      <w:color w:val="808080" w:themeColor="text1" w:themeTint="7F"/>
    </w:rPr>
  </w:style>
  <w:style w:type="character" w:styleId="IntenseEmphasis">
    <w:name w:val="Intense Emphasis"/>
    <w:basedOn w:val="DefaultParagraphFont"/>
    <w:uiPriority w:val="21"/>
    <w:rsid w:val="00017C6D"/>
    <w:rPr>
      <w:b/>
      <w:bCs/>
      <w:i/>
      <w:iCs/>
      <w:color w:val="4F81BD" w:themeColor="accent1"/>
    </w:rPr>
  </w:style>
  <w:style w:type="character" w:styleId="SubtleReference">
    <w:name w:val="Subtle Reference"/>
    <w:basedOn w:val="DefaultParagraphFont"/>
    <w:uiPriority w:val="31"/>
    <w:rsid w:val="00017C6D"/>
    <w:rPr>
      <w:smallCaps/>
      <w:color w:val="C0504D" w:themeColor="accent2"/>
      <w:u w:val="single"/>
    </w:rPr>
  </w:style>
  <w:style w:type="character" w:styleId="IntenseReference">
    <w:name w:val="Intense Reference"/>
    <w:basedOn w:val="DefaultParagraphFont"/>
    <w:uiPriority w:val="32"/>
    <w:rsid w:val="00017C6D"/>
    <w:rPr>
      <w:b/>
      <w:bCs/>
      <w:smallCaps/>
      <w:color w:val="C0504D" w:themeColor="accent2"/>
      <w:spacing w:val="5"/>
      <w:u w:val="single"/>
    </w:rPr>
  </w:style>
  <w:style w:type="character" w:styleId="BookTitle">
    <w:name w:val="Book Title"/>
    <w:basedOn w:val="DefaultParagraphFont"/>
    <w:uiPriority w:val="33"/>
    <w:rsid w:val="00017C6D"/>
    <w:rPr>
      <w:b/>
      <w:bCs/>
      <w:smallCaps/>
      <w:spacing w:val="5"/>
    </w:rPr>
  </w:style>
  <w:style w:type="paragraph" w:styleId="Revision">
    <w:name w:val="Revision"/>
    <w:hidden/>
    <w:uiPriority w:val="99"/>
    <w:semiHidden/>
    <w:rsid w:val="00017C6D"/>
    <w:rPr>
      <w:rFonts w:eastAsiaTheme="minorHAnsi" w:cstheme="minorBidi"/>
      <w:sz w:val="24"/>
      <w:szCs w:val="22"/>
      <w:lang w:val="en-US" w:eastAsia="en-US" w:bidi="en-US"/>
    </w:rPr>
  </w:style>
  <w:style w:type="table" w:customStyle="1" w:styleId="TableGrid2">
    <w:name w:val="Table Grid2"/>
    <w:basedOn w:val="TableNormal"/>
    <w:next w:val="TableGrid"/>
    <w:uiPriority w:val="59"/>
    <w:rsid w:val="00017C6D"/>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PartyRoleChar">
    <w:name w:val="SCC.Lsoc.PartyRole Char"/>
    <w:basedOn w:val="DefaultParagraphFont"/>
    <w:rsid w:val="00D505D2"/>
    <w:rPr>
      <w:lang w:val="fr-CA"/>
    </w:rPr>
  </w:style>
  <w:style w:type="paragraph" w:customStyle="1" w:styleId="SCCLsocPrefix">
    <w:name w:val="SCC.Lsoc.Prefix"/>
    <w:basedOn w:val="Normal"/>
    <w:next w:val="Normal"/>
    <w:link w:val="SCCLsocPrefixChar"/>
    <w:rsid w:val="00D505D2"/>
    <w:rPr>
      <w:rFonts w:eastAsiaTheme="minorHAnsi" w:cstheme="minorBidi"/>
      <w:b/>
      <w:smallCaps/>
      <w:szCs w:val="24"/>
      <w:lang w:val="fr-CA" w:eastAsia="en-US"/>
    </w:rPr>
  </w:style>
  <w:style w:type="character" w:customStyle="1" w:styleId="SCCLsocPrefixChar">
    <w:name w:val="SCC.Lsoc.Prefix Char"/>
    <w:basedOn w:val="DefaultParagraphFont"/>
    <w:link w:val="SCCLsocPrefix"/>
    <w:rsid w:val="00D505D2"/>
    <w:rPr>
      <w:rFonts w:eastAsiaTheme="minorHAnsi" w:cstheme="minorBidi"/>
      <w:b/>
      <w:smallCaps/>
      <w:sz w:val="24"/>
      <w:szCs w:val="24"/>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3961022">
      <w:bodyDiv w:val="1"/>
      <w:marLeft w:val="0"/>
      <w:marRight w:val="0"/>
      <w:marTop w:val="0"/>
      <w:marBottom w:val="0"/>
      <w:divBdr>
        <w:top w:val="none" w:sz="0" w:space="0" w:color="auto"/>
        <w:left w:val="none" w:sz="0" w:space="0" w:color="auto"/>
        <w:bottom w:val="none" w:sz="0" w:space="0" w:color="auto"/>
        <w:right w:val="none" w:sz="0" w:space="0" w:color="auto"/>
      </w:divBdr>
      <w:divsChild>
        <w:div w:id="1638683498">
          <w:marLeft w:val="0"/>
          <w:marRight w:val="0"/>
          <w:marTop w:val="0"/>
          <w:marBottom w:val="600"/>
          <w:divBdr>
            <w:top w:val="none" w:sz="0" w:space="0" w:color="auto"/>
            <w:left w:val="none" w:sz="0" w:space="0" w:color="auto"/>
            <w:bottom w:val="none" w:sz="0" w:space="0" w:color="auto"/>
            <w:right w:val="none" w:sz="0" w:space="0" w:color="auto"/>
          </w:divBdr>
          <w:divsChild>
            <w:div w:id="35089174">
              <w:marLeft w:val="72"/>
              <w:marRight w:val="72"/>
              <w:marTop w:val="0"/>
              <w:marBottom w:val="0"/>
              <w:divBdr>
                <w:top w:val="none" w:sz="0" w:space="0" w:color="auto"/>
                <w:left w:val="none" w:sz="0" w:space="0" w:color="auto"/>
                <w:bottom w:val="none" w:sz="0" w:space="0" w:color="auto"/>
                <w:right w:val="none" w:sz="0" w:space="0" w:color="auto"/>
              </w:divBdr>
              <w:divsChild>
                <w:div w:id="167414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525194">
      <w:bodyDiv w:val="1"/>
      <w:marLeft w:val="0"/>
      <w:marRight w:val="0"/>
      <w:marTop w:val="0"/>
      <w:marBottom w:val="0"/>
      <w:divBdr>
        <w:top w:val="none" w:sz="0" w:space="0" w:color="auto"/>
        <w:left w:val="none" w:sz="0" w:space="0" w:color="auto"/>
        <w:bottom w:val="none" w:sz="0" w:space="0" w:color="auto"/>
        <w:right w:val="none" w:sz="0" w:space="0" w:color="auto"/>
      </w:divBdr>
      <w:divsChild>
        <w:div w:id="1348292119">
          <w:marLeft w:val="0"/>
          <w:marRight w:val="0"/>
          <w:marTop w:val="0"/>
          <w:marBottom w:val="600"/>
          <w:divBdr>
            <w:top w:val="none" w:sz="0" w:space="0" w:color="auto"/>
            <w:left w:val="none" w:sz="0" w:space="0" w:color="auto"/>
            <w:bottom w:val="none" w:sz="0" w:space="0" w:color="auto"/>
            <w:right w:val="none" w:sz="0" w:space="0" w:color="auto"/>
          </w:divBdr>
          <w:divsChild>
            <w:div w:id="709457320">
              <w:marLeft w:val="72"/>
              <w:marRight w:val="72"/>
              <w:marTop w:val="0"/>
              <w:marBottom w:val="0"/>
              <w:divBdr>
                <w:top w:val="none" w:sz="0" w:space="0" w:color="auto"/>
                <w:left w:val="none" w:sz="0" w:space="0" w:color="auto"/>
                <w:bottom w:val="none" w:sz="0" w:space="0" w:color="auto"/>
                <w:right w:val="none" w:sz="0" w:space="0" w:color="auto"/>
              </w:divBdr>
              <w:divsChild>
                <w:div w:id="195841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CA382D-C180-4C6B-BB6E-E09A7D797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6869</Words>
  <Characters>36415</Characters>
  <Application>Microsoft Office Word</Application>
  <DocSecurity>0</DocSecurity>
  <Lines>303</Lines>
  <Paragraphs>86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43198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2017-09-29T14:08:00Z</dcterms:created>
  <dcterms:modified xsi:type="dcterms:W3CDTF">2018-02-13T20:33:00Z</dcterms:modified>
</cp:coreProperties>
</file>