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45" w:rsidRDefault="00707445" w:rsidP="0070744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8" o:title=""/>
          </v:shape>
          <o:OLEObject Type="Embed" ProgID="Presentations.Drawing.13" ShapeID="_x0000_i1025" DrawAspect="Content" ObjectID="_1580113036" r:id="rId9"/>
        </w:object>
      </w:r>
      <w:r>
        <w:t xml:space="preserve"> </w:t>
      </w:r>
      <w:r>
        <w:ptab w:relativeTo="margin" w:alignment="right" w:leader="none"/>
      </w:r>
    </w:p>
    <w:p w:rsidR="00707445" w:rsidRDefault="00707445" w:rsidP="00707445">
      <w:pPr>
        <w:pStyle w:val="Header"/>
      </w:pPr>
    </w:p>
    <w:p w:rsidR="00707445" w:rsidRPr="001E12E2" w:rsidRDefault="00707445" w:rsidP="00707445">
      <w:pPr>
        <w:jc w:val="center"/>
        <w:rPr>
          <w:b/>
        </w:rPr>
      </w:pPr>
      <w:r w:rsidRPr="001E12E2">
        <w:rPr>
          <w:b/>
        </w:rPr>
        <w:t>COUR SUPRÊME DU CANADA</w:t>
      </w:r>
    </w:p>
    <w:p w:rsidR="00707445" w:rsidRDefault="00707445" w:rsidP="00707445"/>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4050"/>
      </w:tblGrid>
      <w:tr w:rsidR="00707445" w:rsidRPr="001E12E2" w:rsidTr="007315FE">
        <w:trPr>
          <w:cantSplit/>
        </w:trPr>
        <w:tc>
          <w:tcPr>
            <w:tcW w:w="5760" w:type="dxa"/>
          </w:tcPr>
          <w:p w:rsidR="00707445" w:rsidRPr="00707445" w:rsidRDefault="00707445" w:rsidP="007315FE">
            <w:pPr>
              <w:rPr>
                <w:lang w:val="fr-CA"/>
              </w:rPr>
            </w:pPr>
            <w:r w:rsidRPr="00707445">
              <w:rPr>
                <w:b/>
                <w:smallCaps/>
                <w:lang w:val="fr-CA"/>
              </w:rPr>
              <w:t>Référence :</w:t>
            </w:r>
            <w:r w:rsidRPr="00707445">
              <w:rPr>
                <w:lang w:val="fr-CA"/>
              </w:rPr>
              <w:t xml:space="preserve"> </w:t>
            </w:r>
            <w:r w:rsidRPr="00707445">
              <w:rPr>
                <w:rStyle w:val="SCCAppellantForIndexChar"/>
                <w:rFonts w:eastAsiaTheme="minorHAnsi"/>
                <w:b w:val="0"/>
                <w:lang w:val="fr-CA"/>
              </w:rPr>
              <w:t>Association des juristes de justice</w:t>
            </w:r>
            <w:r w:rsidRPr="00707445">
              <w:rPr>
                <w:lang w:val="fr-CA"/>
              </w:rPr>
              <w:t xml:space="preserve"> </w:t>
            </w:r>
            <w:r w:rsidRPr="00707445">
              <w:rPr>
                <w:i/>
                <w:lang w:val="fr-CA"/>
              </w:rPr>
              <w:t>c.</w:t>
            </w:r>
            <w:r w:rsidRPr="00707445">
              <w:rPr>
                <w:lang w:val="fr-CA"/>
              </w:rPr>
              <w:t xml:space="preserve"> Canada (</w:t>
            </w:r>
            <w:r w:rsidRPr="00707445">
              <w:rPr>
                <w:rStyle w:val="SCCRespondentForIndexChar"/>
                <w:rFonts w:eastAsiaTheme="minorHAnsi"/>
                <w:b w:val="0"/>
                <w:lang w:val="fr-CA"/>
              </w:rPr>
              <w:t>Procureur général), 2017 CSC 55</w:t>
            </w:r>
            <w:r>
              <w:rPr>
                <w:lang w:val="fr-CA"/>
              </w:rPr>
              <w:t>, [2017] 2 R.C.S. 456</w:t>
            </w:r>
          </w:p>
        </w:tc>
        <w:tc>
          <w:tcPr>
            <w:tcW w:w="4050" w:type="dxa"/>
          </w:tcPr>
          <w:p w:rsidR="00707445" w:rsidRPr="00707445" w:rsidRDefault="00707445" w:rsidP="007315FE">
            <w:pPr>
              <w:rPr>
                <w:b/>
                <w:smallCaps/>
                <w:lang w:val="fr-CA"/>
              </w:rPr>
            </w:pPr>
            <w:r w:rsidRPr="00707445">
              <w:rPr>
                <w:b/>
                <w:smallCaps/>
                <w:lang w:val="fr-CA"/>
              </w:rPr>
              <w:t xml:space="preserve">Appel entendu : </w:t>
            </w:r>
            <w:r w:rsidRPr="00707445">
              <w:rPr>
                <w:lang w:val="fr-CA"/>
              </w:rPr>
              <w:t>19 avril 2017</w:t>
            </w:r>
          </w:p>
          <w:p w:rsidR="00707445" w:rsidRPr="00707445" w:rsidRDefault="00707445" w:rsidP="007315FE">
            <w:pPr>
              <w:rPr>
                <w:lang w:val="fr-CA"/>
              </w:rPr>
            </w:pPr>
            <w:r w:rsidRPr="00707445">
              <w:rPr>
                <w:b/>
                <w:smallCaps/>
                <w:lang w:val="fr-CA"/>
              </w:rPr>
              <w:t>Jugement rendu :</w:t>
            </w:r>
            <w:r w:rsidRPr="00707445">
              <w:rPr>
                <w:lang w:val="fr-CA"/>
              </w:rPr>
              <w:t xml:space="preserve"> 3 novembre 2017</w:t>
            </w:r>
          </w:p>
          <w:p w:rsidR="00707445" w:rsidRPr="001E12E2" w:rsidRDefault="00707445" w:rsidP="007315FE">
            <w:r w:rsidRPr="001E12E2">
              <w:rPr>
                <w:b/>
                <w:smallCaps/>
              </w:rPr>
              <w:t>Do</w:t>
            </w:r>
            <w:r>
              <w:rPr>
                <w:b/>
                <w:smallCaps/>
              </w:rPr>
              <w:t>ssier :</w:t>
            </w:r>
            <w:r w:rsidRPr="001E12E2">
              <w:t xml:space="preserve"> </w:t>
            </w:r>
            <w:r>
              <w:t>37014</w:t>
            </w:r>
          </w:p>
        </w:tc>
      </w:tr>
    </w:tbl>
    <w:p w:rsidR="00707445" w:rsidRPr="001E12E2" w:rsidRDefault="00707445" w:rsidP="00707445"/>
    <w:p w:rsidR="00707445" w:rsidRDefault="00707445" w:rsidP="00707445">
      <w:pPr>
        <w:pStyle w:val="SCCLsocPrefix"/>
      </w:pPr>
      <w:r>
        <w:t>Entre :</w:t>
      </w:r>
    </w:p>
    <w:p w:rsidR="00707445" w:rsidRDefault="00707445" w:rsidP="00707445">
      <w:pPr>
        <w:pStyle w:val="SCCLsocParty"/>
        <w:jc w:val="center"/>
      </w:pPr>
      <w:r>
        <w:t xml:space="preserve">Association des </w:t>
      </w:r>
      <w:proofErr w:type="spellStart"/>
      <w:r>
        <w:t>juristes</w:t>
      </w:r>
      <w:proofErr w:type="spellEnd"/>
      <w:r>
        <w:t xml:space="preserve"> de justice</w:t>
      </w:r>
    </w:p>
    <w:p w:rsidR="00707445" w:rsidRDefault="00707445" w:rsidP="00707445">
      <w:pPr>
        <w:jc w:val="center"/>
      </w:pPr>
      <w:proofErr w:type="spellStart"/>
      <w:r>
        <w:t>Appelante</w:t>
      </w:r>
      <w:proofErr w:type="spellEnd"/>
    </w:p>
    <w:p w:rsidR="00707445" w:rsidRDefault="00707445" w:rsidP="00707445">
      <w:pPr>
        <w:pStyle w:val="SCCLsocVersus"/>
        <w:spacing w:after="0"/>
        <w:jc w:val="center"/>
      </w:pPr>
      <w:bookmarkStart w:id="0" w:name="_GoBack"/>
      <w:bookmarkEnd w:id="0"/>
    </w:p>
    <w:p w:rsidR="00707445" w:rsidRPr="00707445" w:rsidRDefault="00707445" w:rsidP="00707445">
      <w:pPr>
        <w:pStyle w:val="SCCLsocVersus"/>
        <w:spacing w:after="0"/>
        <w:jc w:val="center"/>
        <w:rPr>
          <w:i w:val="0"/>
        </w:rPr>
      </w:pPr>
      <w:proofErr w:type="gramStart"/>
      <w:r w:rsidRPr="00707445">
        <w:rPr>
          <w:i w:val="0"/>
        </w:rPr>
        <w:t>et</w:t>
      </w:r>
      <w:proofErr w:type="gramEnd"/>
    </w:p>
    <w:p w:rsidR="00707445" w:rsidRPr="00950FBA" w:rsidRDefault="00707445" w:rsidP="00707445">
      <w:pPr>
        <w:jc w:val="center"/>
      </w:pPr>
    </w:p>
    <w:p w:rsidR="00707445" w:rsidRPr="00707445" w:rsidRDefault="00707445" w:rsidP="00707445">
      <w:pPr>
        <w:pStyle w:val="SCCLsocParty"/>
        <w:jc w:val="center"/>
        <w:rPr>
          <w:lang w:val="fr-CA"/>
        </w:rPr>
      </w:pPr>
      <w:r w:rsidRPr="00707445">
        <w:rPr>
          <w:lang w:val="fr-CA"/>
        </w:rPr>
        <w:t>Procureur général du Canada</w:t>
      </w:r>
    </w:p>
    <w:p w:rsidR="00707445" w:rsidRPr="00707445" w:rsidRDefault="00707445" w:rsidP="00707445">
      <w:pPr>
        <w:jc w:val="center"/>
        <w:rPr>
          <w:lang w:val="fr-CA"/>
        </w:rPr>
      </w:pPr>
      <w:r w:rsidRPr="00707445">
        <w:rPr>
          <w:lang w:val="fr-CA"/>
        </w:rPr>
        <w:t>Intimé</w:t>
      </w:r>
    </w:p>
    <w:p w:rsidR="00707445" w:rsidRPr="00707445" w:rsidRDefault="00707445" w:rsidP="00707445">
      <w:pPr>
        <w:jc w:val="center"/>
        <w:rPr>
          <w:lang w:val="fr-CA"/>
        </w:rPr>
      </w:pPr>
    </w:p>
    <w:p w:rsidR="00707445" w:rsidRPr="00707445" w:rsidRDefault="00707445" w:rsidP="00707445">
      <w:pPr>
        <w:rPr>
          <w:lang w:val="fr-CA"/>
        </w:rPr>
      </w:pPr>
    </w:p>
    <w:p w:rsidR="00707445" w:rsidRPr="00707445" w:rsidRDefault="00707445" w:rsidP="00707445">
      <w:pPr>
        <w:jc w:val="center"/>
        <w:rPr>
          <w:b/>
          <w:smallCaps/>
          <w:lang w:val="fr-CA"/>
        </w:rPr>
      </w:pPr>
      <w:r w:rsidRPr="00707445">
        <w:rPr>
          <w:b/>
          <w:smallCaps/>
          <w:lang w:val="fr-CA"/>
        </w:rPr>
        <w:t xml:space="preserve">Traduction française officielle : </w:t>
      </w:r>
      <w:r w:rsidRPr="00707445">
        <w:rPr>
          <w:lang w:val="fr-CA"/>
        </w:rPr>
        <w:t xml:space="preserve">Motifs de la juge </w:t>
      </w:r>
      <w:proofErr w:type="spellStart"/>
      <w:r w:rsidRPr="00707445">
        <w:rPr>
          <w:lang w:val="fr-CA"/>
        </w:rPr>
        <w:t>Karakatsanis</w:t>
      </w:r>
      <w:proofErr w:type="spellEnd"/>
    </w:p>
    <w:p w:rsidR="00707445" w:rsidRPr="00707445" w:rsidRDefault="00707445" w:rsidP="00707445">
      <w:pPr>
        <w:rPr>
          <w:lang w:val="fr-CA"/>
        </w:rPr>
      </w:pPr>
    </w:p>
    <w:p w:rsidR="00707445" w:rsidRPr="00707445" w:rsidRDefault="00707445" w:rsidP="00707445">
      <w:pPr>
        <w:rPr>
          <w:lang w:val="fr-CA"/>
        </w:rPr>
      </w:pPr>
      <w:r w:rsidRPr="00707445">
        <w:rPr>
          <w:b/>
          <w:smallCaps/>
          <w:lang w:val="fr-CA"/>
        </w:rPr>
        <w:t>Coram :</w:t>
      </w:r>
      <w:r w:rsidRPr="00707445">
        <w:rPr>
          <w:lang w:val="fr-CA"/>
        </w:rPr>
        <w:t xml:space="preserve"> La juge en chef </w:t>
      </w:r>
      <w:proofErr w:type="spellStart"/>
      <w:r w:rsidRPr="00707445">
        <w:rPr>
          <w:lang w:val="fr-CA"/>
        </w:rPr>
        <w:t>McLachlin</w:t>
      </w:r>
      <w:proofErr w:type="spellEnd"/>
      <w:r w:rsidRPr="00707445">
        <w:rPr>
          <w:lang w:val="fr-CA"/>
        </w:rPr>
        <w:t xml:space="preserve"> et les juges Abella, </w:t>
      </w:r>
      <w:proofErr w:type="spellStart"/>
      <w:r w:rsidRPr="00707445">
        <w:rPr>
          <w:lang w:val="fr-CA"/>
        </w:rPr>
        <w:t>Moldaver</w:t>
      </w:r>
      <w:proofErr w:type="spellEnd"/>
      <w:r w:rsidRPr="00707445">
        <w:rPr>
          <w:lang w:val="fr-CA"/>
        </w:rPr>
        <w:t xml:space="preserve">, </w:t>
      </w:r>
      <w:proofErr w:type="spellStart"/>
      <w:r w:rsidRPr="00707445">
        <w:rPr>
          <w:lang w:val="fr-CA"/>
        </w:rPr>
        <w:t>Karakatsanis</w:t>
      </w:r>
      <w:proofErr w:type="spellEnd"/>
      <w:r w:rsidRPr="00707445">
        <w:rPr>
          <w:lang w:val="fr-CA"/>
        </w:rPr>
        <w:t>, Wagner, Gascon, Côté, Brown et Rowe</w:t>
      </w:r>
    </w:p>
    <w:p w:rsidR="00707445" w:rsidRPr="00707445" w:rsidRDefault="00707445" w:rsidP="0070744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07445" w:rsidRPr="00707445" w:rsidTr="007315FE">
        <w:trPr>
          <w:cantSplit/>
        </w:trPr>
        <w:tc>
          <w:tcPr>
            <w:tcW w:w="3618" w:type="dxa"/>
          </w:tcPr>
          <w:p w:rsidR="00707445" w:rsidRPr="00707445" w:rsidRDefault="00707445" w:rsidP="007315FE">
            <w:pPr>
              <w:rPr>
                <w:b/>
                <w:smallCaps/>
                <w:lang w:val="fr-CA"/>
              </w:rPr>
            </w:pPr>
            <w:r w:rsidRPr="00707445">
              <w:rPr>
                <w:b/>
                <w:smallCaps/>
                <w:lang w:val="fr-CA"/>
              </w:rPr>
              <w:t>Motifs de jugement :</w:t>
            </w:r>
          </w:p>
          <w:p w:rsidR="00707445" w:rsidRPr="00707445" w:rsidRDefault="00707445" w:rsidP="007315FE">
            <w:pPr>
              <w:rPr>
                <w:lang w:val="fr-CA"/>
              </w:rPr>
            </w:pPr>
            <w:r w:rsidRPr="00707445">
              <w:rPr>
                <w:lang w:val="fr-CA"/>
              </w:rPr>
              <w:t>(par. 1 à 53)</w:t>
            </w:r>
          </w:p>
        </w:tc>
        <w:tc>
          <w:tcPr>
            <w:tcW w:w="5958" w:type="dxa"/>
          </w:tcPr>
          <w:p w:rsidR="00707445" w:rsidRPr="00707445" w:rsidRDefault="00707445" w:rsidP="007315FE">
            <w:pPr>
              <w:rPr>
                <w:lang w:val="fr-CA"/>
              </w:rPr>
            </w:pPr>
            <w:r w:rsidRPr="00707445">
              <w:rPr>
                <w:lang w:val="fr-CA"/>
              </w:rPr>
              <w:t xml:space="preserve">La juge </w:t>
            </w:r>
            <w:proofErr w:type="spellStart"/>
            <w:r w:rsidRPr="00707445">
              <w:rPr>
                <w:lang w:val="fr-CA"/>
              </w:rPr>
              <w:t>Karakatsanis</w:t>
            </w:r>
            <w:proofErr w:type="spellEnd"/>
            <w:r w:rsidRPr="00707445">
              <w:rPr>
                <w:lang w:val="fr-CA"/>
              </w:rPr>
              <w:t xml:space="preserve"> (avec l’accord de la juge en chef </w:t>
            </w:r>
            <w:proofErr w:type="spellStart"/>
            <w:r w:rsidRPr="00707445">
              <w:rPr>
                <w:lang w:val="fr-CA"/>
              </w:rPr>
              <w:t>McLachlin</w:t>
            </w:r>
            <w:proofErr w:type="spellEnd"/>
            <w:r w:rsidRPr="00707445">
              <w:rPr>
                <w:lang w:val="fr-CA"/>
              </w:rPr>
              <w:t xml:space="preserve"> et des juges Abella, Wagner, Gascon, Brown et Rowe)</w:t>
            </w:r>
          </w:p>
        </w:tc>
      </w:tr>
    </w:tbl>
    <w:p w:rsidR="00707445" w:rsidRPr="00707445" w:rsidRDefault="00707445" w:rsidP="0070744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07445" w:rsidRPr="00707445" w:rsidTr="007315FE">
        <w:trPr>
          <w:cantSplit/>
        </w:trPr>
        <w:tc>
          <w:tcPr>
            <w:tcW w:w="3618" w:type="dxa"/>
          </w:tcPr>
          <w:p w:rsidR="00707445" w:rsidRPr="00707445" w:rsidRDefault="00707445" w:rsidP="007315FE">
            <w:pPr>
              <w:rPr>
                <w:b/>
                <w:smallCaps/>
                <w:lang w:val="fr-CA"/>
              </w:rPr>
            </w:pPr>
            <w:r w:rsidRPr="00707445">
              <w:rPr>
                <w:b/>
                <w:smallCaps/>
                <w:lang w:val="fr-CA"/>
              </w:rPr>
              <w:t>Motifs dissidents en partie :</w:t>
            </w:r>
          </w:p>
          <w:p w:rsidR="00707445" w:rsidRPr="00707445" w:rsidRDefault="00707445" w:rsidP="007315FE">
            <w:pPr>
              <w:rPr>
                <w:lang w:val="fr-CA"/>
              </w:rPr>
            </w:pPr>
            <w:r w:rsidRPr="00707445">
              <w:rPr>
                <w:lang w:val="fr-CA"/>
              </w:rPr>
              <w:t>(par. 54 à 82)</w:t>
            </w:r>
          </w:p>
        </w:tc>
        <w:tc>
          <w:tcPr>
            <w:tcW w:w="5958" w:type="dxa"/>
          </w:tcPr>
          <w:p w:rsidR="00707445" w:rsidRPr="00707445" w:rsidRDefault="00707445" w:rsidP="007315FE">
            <w:pPr>
              <w:rPr>
                <w:lang w:val="fr-CA"/>
              </w:rPr>
            </w:pPr>
            <w:r w:rsidRPr="00707445">
              <w:rPr>
                <w:lang w:val="fr-CA"/>
              </w:rPr>
              <w:t xml:space="preserve">La juge Côté (avec l’accord du juge </w:t>
            </w:r>
            <w:proofErr w:type="spellStart"/>
            <w:r w:rsidRPr="00707445">
              <w:rPr>
                <w:lang w:val="fr-CA"/>
              </w:rPr>
              <w:t>Moldaver</w:t>
            </w:r>
            <w:proofErr w:type="spellEnd"/>
            <w:r w:rsidRPr="00707445">
              <w:rPr>
                <w:lang w:val="fr-CA"/>
              </w:rPr>
              <w:t>)</w:t>
            </w:r>
          </w:p>
        </w:tc>
      </w:tr>
    </w:tbl>
    <w:p w:rsidR="00707445" w:rsidRPr="00707445" w:rsidRDefault="00707445" w:rsidP="00707445">
      <w:pPr>
        <w:rPr>
          <w:lang w:val="fr-CA"/>
        </w:rPr>
      </w:pPr>
    </w:p>
    <w:p w:rsidR="00707445" w:rsidRPr="00707445" w:rsidRDefault="00707445" w:rsidP="00707445">
      <w:pPr>
        <w:rPr>
          <w:lang w:val="fr-CA"/>
        </w:rPr>
      </w:pPr>
    </w:p>
    <w:p w:rsidR="00707445" w:rsidRPr="00707445" w:rsidRDefault="00707445" w:rsidP="00707445">
      <w:pPr>
        <w:rPr>
          <w:lang w:val="fr-CA"/>
        </w:rPr>
      </w:pPr>
      <w:r>
        <w:rPr>
          <w:noProof/>
          <w:lang w:val="en-US"/>
        </w:rPr>
        <mc:AlternateContent>
          <mc:Choice Requires="wps">
            <w:drawing>
              <wp:anchor distT="0" distB="0" distL="114300" distR="114300" simplePos="0" relativeHeight="251659264" behindDoc="0" locked="0" layoutInCell="1" allowOverlap="1" wp14:anchorId="4197F676" wp14:editId="7DD6EF6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7811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07445" w:rsidRDefault="00707445" w:rsidP="002B57A4">
      <w:pPr>
        <w:widowControl w:val="0"/>
        <w:spacing w:after="720"/>
        <w:jc w:val="both"/>
        <w:rPr>
          <w:rStyle w:val="SCCAppellantForRunningHeadChar"/>
          <w:smallCaps w:val="0"/>
          <w:lang w:val="fr-CA"/>
        </w:rPr>
      </w:pPr>
    </w:p>
    <w:p w:rsidR="004D7D95" w:rsidRPr="00FF0EAC" w:rsidRDefault="00EA4758" w:rsidP="002B57A4">
      <w:pPr>
        <w:widowControl w:val="0"/>
        <w:spacing w:after="720"/>
        <w:jc w:val="both"/>
        <w:rPr>
          <w:lang w:val="fr-CA"/>
        </w:rPr>
      </w:pPr>
      <w:r>
        <w:rPr>
          <w:rStyle w:val="SCCAppellantForRunningHeadChar"/>
          <w:smallCaps w:val="0"/>
          <w:lang w:val="fr-CA"/>
        </w:rPr>
        <w:t>A</w:t>
      </w:r>
      <w:r w:rsidR="00E4790B" w:rsidRPr="00EA4758">
        <w:rPr>
          <w:rStyle w:val="SCCAppellantForRunningHeadChar"/>
          <w:smallCaps w:val="0"/>
          <w:lang w:val="fr-CA"/>
        </w:rPr>
        <w:t>ssoc</w:t>
      </w:r>
      <w:r w:rsidRPr="00EA4758">
        <w:rPr>
          <w:rStyle w:val="SCCAppellantForRunningHeadChar"/>
          <w:smallCaps w:val="0"/>
          <w:lang w:val="fr-CA"/>
        </w:rPr>
        <w:t>iation</w:t>
      </w:r>
      <w:r w:rsidR="004D7D95" w:rsidRPr="00EA4758">
        <w:rPr>
          <w:rStyle w:val="SCCAppellantForRunningHeadChar"/>
          <w:smallCaps w:val="0"/>
          <w:lang w:val="fr-CA"/>
        </w:rPr>
        <w:t xml:space="preserve"> </w:t>
      </w:r>
      <w:r w:rsidR="00E4790B" w:rsidRPr="00EA4758">
        <w:rPr>
          <w:rStyle w:val="SCCAppellantForRunningHeadChar"/>
          <w:smallCaps w:val="0"/>
          <w:lang w:val="fr-CA"/>
        </w:rPr>
        <w:t xml:space="preserve">des </w:t>
      </w:r>
      <w:r w:rsidR="004D7D95" w:rsidRPr="00EA4758">
        <w:rPr>
          <w:rStyle w:val="SCCAppellantForRunningHeadChar"/>
          <w:smallCaps w:val="0"/>
          <w:lang w:val="fr-CA"/>
        </w:rPr>
        <w:t>juristes d</w:t>
      </w:r>
      <w:r w:rsidR="00C63880" w:rsidRPr="00EA4758">
        <w:rPr>
          <w:rStyle w:val="SCCAppellantForRunningHeadChar"/>
          <w:smallCaps w:val="0"/>
          <w:lang w:val="fr-CA"/>
        </w:rPr>
        <w:t>e justice</w:t>
      </w:r>
      <w:r w:rsidR="004D7D95" w:rsidRPr="00EA4758">
        <w:rPr>
          <w:smallCaps/>
          <w:lang w:val="fr-CA"/>
        </w:rPr>
        <w:t xml:space="preserve"> </w:t>
      </w:r>
      <w:r w:rsidR="004D7D95" w:rsidRPr="00EA4758">
        <w:rPr>
          <w:i/>
          <w:lang w:val="fr-CA"/>
        </w:rPr>
        <w:t>c.</w:t>
      </w:r>
      <w:r w:rsidR="004D7D95" w:rsidRPr="00EA4758">
        <w:rPr>
          <w:smallCaps/>
          <w:lang w:val="fr-CA"/>
        </w:rPr>
        <w:t xml:space="preserve"> </w:t>
      </w:r>
      <w:r>
        <w:rPr>
          <w:rStyle w:val="SCCRespondentForRunningHeadChar"/>
          <w:smallCaps w:val="0"/>
          <w:lang w:val="fr-CA"/>
        </w:rPr>
        <w:t>C</w:t>
      </w:r>
      <w:r w:rsidR="004D7D95" w:rsidRPr="00EA4758">
        <w:rPr>
          <w:rStyle w:val="SCCRespondentForRunningHeadChar"/>
          <w:smallCaps w:val="0"/>
          <w:lang w:val="fr-CA"/>
        </w:rPr>
        <w:t>anada</w:t>
      </w:r>
      <w:r w:rsidR="00C63880" w:rsidRPr="00EA4758">
        <w:rPr>
          <w:rStyle w:val="SCCRespondentForRunningHeadChar"/>
          <w:smallCaps w:val="0"/>
          <w:lang w:val="fr-CA"/>
        </w:rPr>
        <w:t xml:space="preserve"> (</w:t>
      </w:r>
      <w:r>
        <w:rPr>
          <w:rStyle w:val="SCCRespondentForRunningHeadChar"/>
          <w:smallCaps w:val="0"/>
          <w:lang w:val="fr-CA"/>
        </w:rPr>
        <w:t>P</w:t>
      </w:r>
      <w:r w:rsidRPr="00EA4758">
        <w:rPr>
          <w:rStyle w:val="SCCRespondentForRunningHeadChar"/>
          <w:smallCaps w:val="0"/>
          <w:lang w:val="fr-CA"/>
        </w:rPr>
        <w:t xml:space="preserve">rocureur </w:t>
      </w:r>
      <w:r w:rsidR="00E4790B" w:rsidRPr="00EA4758">
        <w:rPr>
          <w:rStyle w:val="SCCRespondentForRunningHeadChar"/>
          <w:smallCaps w:val="0"/>
          <w:lang w:val="fr-CA"/>
        </w:rPr>
        <w:t>g</w:t>
      </w:r>
      <w:r w:rsidRPr="00EA4758">
        <w:rPr>
          <w:rStyle w:val="SCCRespondentForRunningHeadChar"/>
          <w:smallCaps w:val="0"/>
          <w:lang w:val="fr-CA"/>
        </w:rPr>
        <w:t>énéral</w:t>
      </w:r>
      <w:r w:rsidR="00C63880" w:rsidRPr="00EA4758">
        <w:rPr>
          <w:rStyle w:val="SCCRespondentForRunningHeadChar"/>
          <w:smallCaps w:val="0"/>
          <w:lang w:val="fr-CA"/>
        </w:rPr>
        <w:t>)</w:t>
      </w:r>
      <w:r>
        <w:rPr>
          <w:rStyle w:val="SCCRespondentForRunningHeadChar"/>
          <w:lang w:val="fr-CA"/>
        </w:rPr>
        <w:t xml:space="preserve">, </w:t>
      </w:r>
      <w:r w:rsidRPr="00FF0EAC">
        <w:rPr>
          <w:lang w:val="fr-CA"/>
        </w:rPr>
        <w:t>2017 CSC </w:t>
      </w:r>
      <w:r>
        <w:rPr>
          <w:lang w:val="fr-CA"/>
        </w:rPr>
        <w:t>55, [2017] 2 R.C.S. 456</w:t>
      </w:r>
      <w:r w:rsidR="00C63880" w:rsidRPr="00FF0EAC">
        <w:rPr>
          <w:lang w:val="fr-CA"/>
        </w:rPr>
        <w:t xml:space="preserve"> </w:t>
      </w:r>
    </w:p>
    <w:p w:rsidR="003A07A2" w:rsidRPr="00FF0EAC" w:rsidRDefault="00794DDC" w:rsidP="002B57A4">
      <w:pPr>
        <w:pStyle w:val="SCCLsocLastPartyInRole"/>
        <w:widowControl w:val="0"/>
        <w:rPr>
          <w:lang w:val="fr-CA"/>
        </w:rPr>
      </w:pPr>
      <w:r w:rsidRPr="00FF0EAC">
        <w:rPr>
          <w:lang w:val="fr-CA"/>
        </w:rPr>
        <w:t>Association des juristes de justice</w:t>
      </w:r>
      <w:r w:rsidRPr="00FF0EAC">
        <w:rPr>
          <w:rStyle w:val="SCCLsocPartyRole"/>
          <w:lang w:val="fr-CA"/>
        </w:rPr>
        <w:tab/>
        <w:t>Appelant</w:t>
      </w:r>
      <w:r w:rsidR="00C63880" w:rsidRPr="00FF0EAC">
        <w:rPr>
          <w:rStyle w:val="SCCLsocPartyRole"/>
          <w:lang w:val="fr-CA"/>
        </w:rPr>
        <w:t>e</w:t>
      </w:r>
    </w:p>
    <w:p w:rsidR="003A07A2" w:rsidRPr="00FF0EAC" w:rsidRDefault="00794DDC" w:rsidP="002B57A4">
      <w:pPr>
        <w:pStyle w:val="SCCLsocVersus"/>
        <w:widowControl w:val="0"/>
        <w:rPr>
          <w:lang w:val="fr-CA"/>
        </w:rPr>
      </w:pPr>
      <w:proofErr w:type="gramStart"/>
      <w:r w:rsidRPr="00FF0EAC">
        <w:rPr>
          <w:lang w:val="fr-CA"/>
        </w:rPr>
        <w:lastRenderedPageBreak/>
        <w:t>c</w:t>
      </w:r>
      <w:proofErr w:type="gramEnd"/>
      <w:r w:rsidRPr="00FF0EAC">
        <w:rPr>
          <w:lang w:val="fr-CA"/>
        </w:rPr>
        <w:t>.</w:t>
      </w:r>
    </w:p>
    <w:p w:rsidR="003A07A2" w:rsidRPr="00FF0EAC" w:rsidRDefault="00794DDC" w:rsidP="002B57A4">
      <w:pPr>
        <w:pStyle w:val="SCCLsocLastPartyInRole"/>
        <w:widowControl w:val="0"/>
        <w:rPr>
          <w:lang w:val="fr-CA"/>
        </w:rPr>
      </w:pPr>
      <w:r w:rsidRPr="00FF0EAC">
        <w:rPr>
          <w:lang w:val="fr-CA"/>
        </w:rPr>
        <w:t>Procureur général du Canada</w:t>
      </w:r>
      <w:r w:rsidRPr="00FF0EAC">
        <w:rPr>
          <w:rStyle w:val="SCCLsocPartyRole"/>
          <w:lang w:val="fr-CA"/>
        </w:rPr>
        <w:tab/>
        <w:t>Intimé</w:t>
      </w:r>
    </w:p>
    <w:p w:rsidR="004D7D95" w:rsidRPr="00FF0EAC" w:rsidRDefault="00C63880" w:rsidP="002B57A4">
      <w:pPr>
        <w:widowControl w:val="0"/>
        <w:spacing w:after="720"/>
        <w:jc w:val="both"/>
        <w:rPr>
          <w:b/>
          <w:lang w:val="fr-CA"/>
        </w:rPr>
      </w:pPr>
      <w:r w:rsidRPr="00FF0EAC">
        <w:rPr>
          <w:b/>
          <w:lang w:val="fr-CA"/>
        </w:rPr>
        <w:t>Répertorié</w:t>
      </w:r>
      <w:r w:rsidR="00005C15">
        <w:rPr>
          <w:b/>
          <w:lang w:val="fr-CA"/>
        </w:rPr>
        <w:t> :</w:t>
      </w:r>
      <w:r w:rsidRPr="00FF0EAC">
        <w:rPr>
          <w:b/>
          <w:lang w:val="fr-CA"/>
        </w:rPr>
        <w:t> </w:t>
      </w:r>
      <w:r w:rsidRPr="00FF0EAC">
        <w:rPr>
          <w:rStyle w:val="SCCAppellantForIndexChar"/>
          <w:lang w:val="fr-CA"/>
        </w:rPr>
        <w:t>Association des juristes de justice</w:t>
      </w:r>
      <w:r w:rsidR="004D7D95" w:rsidRPr="00FF0EAC">
        <w:rPr>
          <w:b/>
          <w:lang w:val="fr-CA"/>
        </w:rPr>
        <w:t xml:space="preserve"> </w:t>
      </w:r>
      <w:r w:rsidR="004D7D95" w:rsidRPr="00FF0EAC">
        <w:rPr>
          <w:b/>
          <w:i/>
          <w:lang w:val="fr-CA"/>
        </w:rPr>
        <w:t>c.</w:t>
      </w:r>
      <w:r w:rsidR="004D7D95" w:rsidRPr="00FF0EAC">
        <w:rPr>
          <w:b/>
          <w:lang w:val="fr-CA"/>
        </w:rPr>
        <w:t xml:space="preserve"> </w:t>
      </w:r>
      <w:r w:rsidRPr="00FF0EAC">
        <w:rPr>
          <w:b/>
          <w:lang w:val="fr-CA"/>
        </w:rPr>
        <w:t>Canada (</w:t>
      </w:r>
      <w:r w:rsidR="004D7D95" w:rsidRPr="00FF0EAC">
        <w:rPr>
          <w:rStyle w:val="SCCRespondentForIndexChar"/>
          <w:lang w:val="fr-CA"/>
        </w:rPr>
        <w:t>Procureur général</w:t>
      </w:r>
      <w:r w:rsidRPr="00FF0EAC">
        <w:rPr>
          <w:rStyle w:val="SCCRespondentForIndexChar"/>
          <w:lang w:val="fr-CA"/>
        </w:rPr>
        <w:t>)</w:t>
      </w:r>
    </w:p>
    <w:p w:rsidR="004D7D95" w:rsidRPr="00FF0EAC" w:rsidRDefault="00D17B0E" w:rsidP="002B57A4">
      <w:pPr>
        <w:pStyle w:val="SCCSystemYear"/>
        <w:widowControl w:val="0"/>
        <w:spacing w:after="720"/>
        <w:jc w:val="both"/>
        <w:rPr>
          <w:lang w:val="fr-CA"/>
        </w:rPr>
      </w:pPr>
      <w:r w:rsidRPr="00FF0EAC">
        <w:rPr>
          <w:lang w:val="fr-CA"/>
        </w:rPr>
        <w:t>2017</w:t>
      </w:r>
      <w:r w:rsidR="004D7D95" w:rsidRPr="00FF0EAC">
        <w:rPr>
          <w:lang w:val="fr-CA"/>
        </w:rPr>
        <w:t xml:space="preserve"> CSC </w:t>
      </w:r>
      <w:r w:rsidR="007E4A37">
        <w:rPr>
          <w:lang w:val="fr-CA"/>
        </w:rPr>
        <w:t>55</w:t>
      </w:r>
    </w:p>
    <w:p w:rsidR="004D7D95" w:rsidRPr="00FF0EAC" w:rsidRDefault="004D7D95" w:rsidP="002B57A4">
      <w:pPr>
        <w:widowControl w:val="0"/>
        <w:spacing w:after="720"/>
        <w:jc w:val="both"/>
        <w:rPr>
          <w:lang w:val="fr-CA"/>
        </w:rPr>
      </w:pPr>
      <w:r w:rsidRPr="00FF0EAC">
        <w:rPr>
          <w:lang w:val="fr-CA"/>
        </w:rPr>
        <w:t>N</w:t>
      </w:r>
      <w:r w:rsidRPr="00FF0EAC">
        <w:rPr>
          <w:vertAlign w:val="superscript"/>
          <w:lang w:val="fr-CA"/>
        </w:rPr>
        <w:t>o</w:t>
      </w:r>
      <w:r w:rsidRPr="00FF0EAC">
        <w:rPr>
          <w:lang w:val="fr-CA"/>
        </w:rPr>
        <w:t xml:space="preserve"> du greffe</w:t>
      </w:r>
      <w:r w:rsidR="00005C15">
        <w:rPr>
          <w:lang w:val="fr-CA"/>
        </w:rPr>
        <w:t> :</w:t>
      </w:r>
      <w:r w:rsidRPr="00FF0EAC">
        <w:rPr>
          <w:lang w:val="fr-CA"/>
        </w:rPr>
        <w:t> 37014.</w:t>
      </w:r>
    </w:p>
    <w:p w:rsidR="004D7D95" w:rsidRPr="00FF0EAC" w:rsidRDefault="00D17B0E" w:rsidP="002B57A4">
      <w:pPr>
        <w:widowControl w:val="0"/>
        <w:spacing w:after="720"/>
        <w:jc w:val="both"/>
        <w:rPr>
          <w:lang w:val="fr-CA"/>
        </w:rPr>
      </w:pPr>
      <w:r w:rsidRPr="00FF0EAC">
        <w:rPr>
          <w:lang w:val="fr-CA"/>
        </w:rPr>
        <w:t>2017</w:t>
      </w:r>
      <w:r w:rsidR="00005C15">
        <w:rPr>
          <w:lang w:val="fr-CA"/>
        </w:rPr>
        <w:t> :</w:t>
      </w:r>
      <w:r w:rsidR="00CE2F71" w:rsidRPr="00FF0EAC">
        <w:rPr>
          <w:lang w:val="fr-CA"/>
        </w:rPr>
        <w:t> </w:t>
      </w:r>
      <w:r w:rsidRPr="00FF0EAC">
        <w:rPr>
          <w:lang w:val="fr-CA"/>
        </w:rPr>
        <w:t>19</w:t>
      </w:r>
      <w:r w:rsidR="00CE2F71" w:rsidRPr="00FF0EAC">
        <w:rPr>
          <w:lang w:val="fr-CA"/>
        </w:rPr>
        <w:t> </w:t>
      </w:r>
      <w:r w:rsidRPr="00FF0EAC">
        <w:rPr>
          <w:lang w:val="fr-CA"/>
        </w:rPr>
        <w:t>avril</w:t>
      </w:r>
      <w:r w:rsidR="004D7D95" w:rsidRPr="00FF0EAC">
        <w:rPr>
          <w:lang w:val="fr-CA"/>
        </w:rPr>
        <w:t xml:space="preserve">; </w:t>
      </w:r>
      <w:r w:rsidR="00CE2F71" w:rsidRPr="00FF0EAC">
        <w:rPr>
          <w:lang w:val="fr-CA"/>
        </w:rPr>
        <w:t>2017</w:t>
      </w:r>
      <w:r w:rsidR="00005C15">
        <w:rPr>
          <w:lang w:val="fr-CA"/>
        </w:rPr>
        <w:t> :</w:t>
      </w:r>
      <w:r w:rsidR="00CE2F71" w:rsidRPr="00FF0EAC">
        <w:rPr>
          <w:lang w:val="fr-CA"/>
        </w:rPr>
        <w:t> </w:t>
      </w:r>
      <w:r w:rsidR="00F0248D" w:rsidRPr="00FF0EAC">
        <w:rPr>
          <w:lang w:val="fr-CA"/>
        </w:rPr>
        <w:t>3</w:t>
      </w:r>
      <w:r w:rsidR="00CE2F71" w:rsidRPr="00FF0EAC">
        <w:rPr>
          <w:lang w:val="fr-CA"/>
        </w:rPr>
        <w:t> </w:t>
      </w:r>
      <w:r w:rsidR="00F0248D" w:rsidRPr="00FF0EAC">
        <w:rPr>
          <w:lang w:val="fr-CA"/>
        </w:rPr>
        <w:t>novembre.</w:t>
      </w:r>
    </w:p>
    <w:p w:rsidR="004D7D95" w:rsidRPr="00FF0EAC" w:rsidRDefault="004D7D95" w:rsidP="002B57A4">
      <w:pPr>
        <w:widowControl w:val="0"/>
        <w:spacing w:after="720"/>
        <w:jc w:val="both"/>
        <w:rPr>
          <w:lang w:val="fr-CA"/>
        </w:rPr>
      </w:pPr>
      <w:r w:rsidRPr="00FF0EAC">
        <w:rPr>
          <w:lang w:val="fr-CA"/>
        </w:rPr>
        <w:t>Présents</w:t>
      </w:r>
      <w:r w:rsidR="00005C15">
        <w:rPr>
          <w:lang w:val="fr-CA"/>
        </w:rPr>
        <w:t> :</w:t>
      </w:r>
      <w:r w:rsidRPr="00FF0EAC">
        <w:rPr>
          <w:lang w:val="fr-CA"/>
        </w:rPr>
        <w:t> La juge en chef McLachlin et les juges Abella, Moldaver, Karakatsanis, Wagner, Gascon, Côté, Brown et Rowe.</w:t>
      </w:r>
    </w:p>
    <w:p w:rsidR="004D7D95" w:rsidRPr="00FF0EAC" w:rsidRDefault="004D7D95" w:rsidP="002B57A4">
      <w:pPr>
        <w:pStyle w:val="SCCLowerCourtNameLowercase"/>
        <w:widowControl w:val="0"/>
        <w:spacing w:after="720" w:line="240" w:lineRule="auto"/>
        <w:rPr>
          <w:lang w:val="fr-CA"/>
        </w:rPr>
      </w:pPr>
      <w:r w:rsidRPr="00FF0EAC">
        <w:rPr>
          <w:lang w:val="fr-CA"/>
        </w:rPr>
        <w:t>en appel de la cour d</w:t>
      </w:r>
      <w:r w:rsidR="00005C15">
        <w:rPr>
          <w:lang w:val="fr-CA"/>
        </w:rPr>
        <w:t>’</w:t>
      </w:r>
      <w:r w:rsidRPr="00FF0EAC">
        <w:rPr>
          <w:lang w:val="fr-CA"/>
        </w:rPr>
        <w:t>appel fédérale</w:t>
      </w:r>
    </w:p>
    <w:p w:rsidR="00B15F55" w:rsidRPr="00FF0EAC" w:rsidRDefault="004D7D95" w:rsidP="002B57A4">
      <w:pPr>
        <w:pStyle w:val="SCCNormalDoubleSpacing"/>
        <w:widowControl w:val="0"/>
        <w:spacing w:after="480"/>
        <w:rPr>
          <w:rStyle w:val="QuoteChar"/>
          <w:color w:val="auto"/>
          <w:lang w:val="fr-CA"/>
        </w:rPr>
      </w:pPr>
      <w:r w:rsidRPr="00FF0EAC">
        <w:rPr>
          <w:lang w:val="fr-CA"/>
        </w:rPr>
        <w:tab/>
      </w:r>
      <w:r w:rsidR="00B15F55" w:rsidRPr="00FF0EAC">
        <w:rPr>
          <w:rStyle w:val="QuoteChar"/>
          <w:color w:val="auto"/>
          <w:lang w:val="fr-CA"/>
        </w:rPr>
        <w:t>Relations du travail — Arbitrage — Griefs — Conventions collectives — Droits résiduels de la direction — Horaire de travail — Démarche axée sur la mise en balance des intérêts — Imposition unilatérale, par l</w:t>
      </w:r>
      <w:r w:rsidR="00005C15">
        <w:rPr>
          <w:rStyle w:val="QuoteChar"/>
          <w:color w:val="auto"/>
          <w:lang w:val="fr-CA"/>
        </w:rPr>
        <w:t>’</w:t>
      </w:r>
      <w:r w:rsidR="00B15F55" w:rsidRPr="00FF0EAC">
        <w:rPr>
          <w:rStyle w:val="QuoteChar"/>
          <w:color w:val="auto"/>
          <w:lang w:val="fr-CA"/>
        </w:rPr>
        <w:t>employeur, d</w:t>
      </w:r>
      <w:r w:rsidR="00005C15">
        <w:rPr>
          <w:rStyle w:val="QuoteChar"/>
          <w:color w:val="auto"/>
          <w:lang w:val="fr-CA"/>
        </w:rPr>
        <w:t>’</w:t>
      </w:r>
      <w:r w:rsidR="00B15F55" w:rsidRPr="00FF0EAC">
        <w:rPr>
          <w:rStyle w:val="QuoteChar"/>
          <w:color w:val="auto"/>
          <w:lang w:val="fr-CA"/>
        </w:rPr>
        <w:t xml:space="preserve">une directive obligeant les juristes à effectuer des </w:t>
      </w:r>
      <w:r w:rsidR="00B15F55" w:rsidRPr="00FF0EAC">
        <w:rPr>
          <w:i/>
          <w:lang w:val="fr-CA"/>
        </w:rPr>
        <w:t>quarts de garde après les heures normales de travail afin de pouvoir intervenir dans des affaires urgentes en matière d</w:t>
      </w:r>
      <w:r w:rsidR="00005C15">
        <w:rPr>
          <w:i/>
          <w:lang w:val="fr-CA"/>
        </w:rPr>
        <w:t>’</w:t>
      </w:r>
      <w:r w:rsidR="00B15F55" w:rsidRPr="00FF0EAC">
        <w:rPr>
          <w:i/>
          <w:lang w:val="fr-CA"/>
        </w:rPr>
        <w:t>immigration</w:t>
      </w:r>
      <w:r w:rsidR="00B15F55" w:rsidRPr="00FF0EAC">
        <w:rPr>
          <w:rStyle w:val="QuoteChar"/>
          <w:color w:val="auto"/>
          <w:lang w:val="fr-CA"/>
        </w:rPr>
        <w:t xml:space="preserve"> — Juristes n</w:t>
      </w:r>
      <w:r w:rsidR="00005C15">
        <w:rPr>
          <w:rStyle w:val="QuoteChar"/>
          <w:color w:val="auto"/>
          <w:lang w:val="fr-CA"/>
        </w:rPr>
        <w:t>’</w:t>
      </w:r>
      <w:r w:rsidR="00B15F55" w:rsidRPr="00FF0EAC">
        <w:rPr>
          <w:rStyle w:val="QuoteChar"/>
          <w:color w:val="auto"/>
          <w:lang w:val="fr-CA"/>
        </w:rPr>
        <w:t>étant plus rémunérés pour toute la période de garde, mais uniquement pour les heures effectivement travaillées sur des demandes urgentes — La directive en matière de quarts de garde obligatoires constitue</w:t>
      </w:r>
      <w:r w:rsidR="00005C15">
        <w:rPr>
          <w:rStyle w:val="QuoteChar"/>
          <w:color w:val="auto"/>
          <w:lang w:val="fr-CA"/>
        </w:rPr>
        <w:noBreakHyphen/>
      </w:r>
      <w:r w:rsidR="00B15F55" w:rsidRPr="00FF0EAC">
        <w:rPr>
          <w:rStyle w:val="QuoteChar"/>
          <w:color w:val="auto"/>
          <w:lang w:val="fr-CA"/>
        </w:rPr>
        <w:t>t</w:t>
      </w:r>
      <w:r w:rsidR="00005C15">
        <w:rPr>
          <w:rStyle w:val="QuoteChar"/>
          <w:color w:val="auto"/>
          <w:lang w:val="fr-CA"/>
        </w:rPr>
        <w:noBreakHyphen/>
      </w:r>
      <w:r w:rsidR="00B15F55" w:rsidRPr="00FF0EAC">
        <w:rPr>
          <w:rStyle w:val="QuoteChar"/>
          <w:color w:val="auto"/>
          <w:lang w:val="fr-CA"/>
        </w:rPr>
        <w:t xml:space="preserve">elle un exercice raisonnable et </w:t>
      </w:r>
      <w:r w:rsidR="00B15F55" w:rsidRPr="00FF0EAC">
        <w:rPr>
          <w:rStyle w:val="QuoteChar"/>
          <w:color w:val="auto"/>
          <w:lang w:val="fr-CA"/>
        </w:rPr>
        <w:lastRenderedPageBreak/>
        <w:t>équitable des droits de la direction de l</w:t>
      </w:r>
      <w:r w:rsidR="00005C15">
        <w:rPr>
          <w:rStyle w:val="QuoteChar"/>
          <w:color w:val="auto"/>
          <w:lang w:val="fr-CA"/>
        </w:rPr>
        <w:t>’</w:t>
      </w:r>
      <w:r w:rsidR="00B15F55" w:rsidRPr="00FF0EAC">
        <w:rPr>
          <w:rStyle w:val="QuoteChar"/>
          <w:color w:val="auto"/>
          <w:lang w:val="fr-CA"/>
        </w:rPr>
        <w:t xml:space="preserve">employeur prévus dans la </w:t>
      </w:r>
      <w:r w:rsidR="00B15F55" w:rsidRPr="002F0798">
        <w:rPr>
          <w:i/>
          <w:iCs/>
          <w:lang w:val="fr-CA"/>
        </w:rPr>
        <w:t>convention</w:t>
      </w:r>
      <w:r w:rsidR="00B15F55" w:rsidRPr="00FF0EAC">
        <w:rPr>
          <w:rStyle w:val="QuoteChar"/>
          <w:color w:val="auto"/>
          <w:lang w:val="fr-CA"/>
        </w:rPr>
        <w:t xml:space="preserve"> collective? — L</w:t>
      </w:r>
      <w:r w:rsidR="00005C15">
        <w:rPr>
          <w:rStyle w:val="QuoteChar"/>
          <w:color w:val="auto"/>
          <w:lang w:val="fr-CA"/>
        </w:rPr>
        <w:t>’</w:t>
      </w:r>
      <w:r w:rsidR="00B15F55" w:rsidRPr="00FF0EAC">
        <w:rPr>
          <w:rStyle w:val="QuoteChar"/>
          <w:color w:val="auto"/>
          <w:lang w:val="fr-CA"/>
        </w:rPr>
        <w:t>appréciation par l</w:t>
      </w:r>
      <w:r w:rsidR="00005C15">
        <w:rPr>
          <w:rStyle w:val="QuoteChar"/>
          <w:color w:val="auto"/>
          <w:lang w:val="fr-CA"/>
        </w:rPr>
        <w:t>’</w:t>
      </w:r>
      <w:r w:rsidR="00B15F55" w:rsidRPr="00FF0EAC">
        <w:rPr>
          <w:rStyle w:val="QuoteChar"/>
          <w:color w:val="auto"/>
          <w:lang w:val="fr-CA"/>
        </w:rPr>
        <w:t>arbitre</w:t>
      </w:r>
      <w:r w:rsidR="003E5776" w:rsidRPr="00FF0EAC">
        <w:rPr>
          <w:rStyle w:val="QuoteChar"/>
          <w:color w:val="auto"/>
          <w:lang w:val="fr-CA"/>
        </w:rPr>
        <w:t xml:space="preserve"> de grief</w:t>
      </w:r>
      <w:r w:rsidR="00B15F55" w:rsidRPr="00FF0EAC">
        <w:rPr>
          <w:rStyle w:val="QuoteChar"/>
          <w:color w:val="auto"/>
          <w:lang w:val="fr-CA"/>
        </w:rPr>
        <w:t xml:space="preserve"> des </w:t>
      </w:r>
      <w:r w:rsidR="00B15F55" w:rsidRPr="00FF0EAC">
        <w:rPr>
          <w:i/>
          <w:lang w:val="fr-CA"/>
        </w:rPr>
        <w:t>divers intérêts en jeu et sa mise balance finale de ceux</w:t>
      </w:r>
      <w:r w:rsidR="00005C15">
        <w:rPr>
          <w:i/>
          <w:lang w:val="fr-CA"/>
        </w:rPr>
        <w:noBreakHyphen/>
      </w:r>
      <w:r w:rsidR="00B15F55" w:rsidRPr="00FF0EAC">
        <w:rPr>
          <w:i/>
          <w:lang w:val="fr-CA"/>
        </w:rPr>
        <w:t>ci étaient</w:t>
      </w:r>
      <w:r w:rsidR="00005C15">
        <w:rPr>
          <w:i/>
          <w:lang w:val="fr-CA"/>
        </w:rPr>
        <w:noBreakHyphen/>
      </w:r>
      <w:r w:rsidR="00B15F55" w:rsidRPr="00FF0EAC">
        <w:rPr>
          <w:i/>
          <w:lang w:val="fr-CA"/>
        </w:rPr>
        <w:t>elles raisonnables?</w:t>
      </w:r>
    </w:p>
    <w:p w:rsidR="00B15F55" w:rsidRPr="00FF0EAC" w:rsidRDefault="00B15F55" w:rsidP="002B57A4">
      <w:pPr>
        <w:pStyle w:val="SCCNormalDoubleSpacing"/>
        <w:widowControl w:val="0"/>
        <w:spacing w:after="480"/>
        <w:rPr>
          <w:rStyle w:val="QuoteChar"/>
          <w:color w:val="auto"/>
          <w:lang w:val="fr-CA"/>
        </w:rPr>
      </w:pPr>
      <w:r w:rsidRPr="00FF0EAC">
        <w:rPr>
          <w:rStyle w:val="QuoteChar"/>
          <w:color w:val="auto"/>
          <w:lang w:val="fr-CA"/>
        </w:rPr>
        <w:tab/>
        <w:t>Droit constitutionnel — Charte des droit</w:t>
      </w:r>
      <w:r w:rsidR="00215C74">
        <w:rPr>
          <w:rStyle w:val="QuoteChar"/>
          <w:color w:val="auto"/>
          <w:lang w:val="fr-CA"/>
        </w:rPr>
        <w:t>s</w:t>
      </w:r>
      <w:r w:rsidRPr="00FF0EAC">
        <w:rPr>
          <w:rStyle w:val="QuoteChar"/>
          <w:color w:val="auto"/>
          <w:lang w:val="fr-CA"/>
        </w:rPr>
        <w:t xml:space="preserve"> — Droit à la liberté — Portée du droit — Protection de la vie privée — Convention collective interdisant à l</w:t>
      </w:r>
      <w:r w:rsidR="00005C15">
        <w:rPr>
          <w:rStyle w:val="QuoteChar"/>
          <w:color w:val="auto"/>
          <w:lang w:val="fr-CA"/>
        </w:rPr>
        <w:t>’</w:t>
      </w:r>
      <w:r w:rsidRPr="00FF0EAC">
        <w:rPr>
          <w:rStyle w:val="QuoteChar"/>
          <w:color w:val="auto"/>
          <w:lang w:val="fr-CA"/>
        </w:rPr>
        <w:t xml:space="preserve">employeur </w:t>
      </w:r>
      <w:r w:rsidRPr="00FF0EAC">
        <w:rPr>
          <w:i/>
          <w:lang w:val="fr-CA"/>
        </w:rPr>
        <w:t>d</w:t>
      </w:r>
      <w:r w:rsidR="00005C15">
        <w:rPr>
          <w:i/>
          <w:lang w:val="fr-CA"/>
        </w:rPr>
        <w:t>’</w:t>
      </w:r>
      <w:r w:rsidRPr="00FF0EAC">
        <w:rPr>
          <w:i/>
          <w:lang w:val="fr-CA"/>
        </w:rPr>
        <w:t>imposer une politique en milieu de travail qui aurait pour effet de restreindre les droits constitutionnels des juristes</w:t>
      </w:r>
      <w:r w:rsidRPr="00FF0EAC">
        <w:rPr>
          <w:rStyle w:val="QuoteChar"/>
          <w:color w:val="auto"/>
          <w:lang w:val="fr-CA"/>
        </w:rPr>
        <w:t xml:space="preserve"> — Imposition unilatérale, par l</w:t>
      </w:r>
      <w:r w:rsidR="00005C15">
        <w:rPr>
          <w:rStyle w:val="QuoteChar"/>
          <w:color w:val="auto"/>
          <w:lang w:val="fr-CA"/>
        </w:rPr>
        <w:t>’</w:t>
      </w:r>
      <w:r w:rsidRPr="00FF0EAC">
        <w:rPr>
          <w:rStyle w:val="QuoteChar"/>
          <w:color w:val="auto"/>
          <w:lang w:val="fr-CA"/>
        </w:rPr>
        <w:t>employeur, d</w:t>
      </w:r>
      <w:r w:rsidR="00005C15">
        <w:rPr>
          <w:rStyle w:val="QuoteChar"/>
          <w:color w:val="auto"/>
          <w:lang w:val="fr-CA"/>
        </w:rPr>
        <w:t>’</w:t>
      </w:r>
      <w:r w:rsidRPr="00FF0EAC">
        <w:rPr>
          <w:rStyle w:val="QuoteChar"/>
          <w:color w:val="auto"/>
          <w:lang w:val="fr-CA"/>
        </w:rPr>
        <w:t xml:space="preserve">une directive obligeant les juristes à effectuer des </w:t>
      </w:r>
      <w:r w:rsidRPr="00FF0EAC">
        <w:rPr>
          <w:i/>
          <w:lang w:val="fr-CA"/>
        </w:rPr>
        <w:t>quarts de garde après les heures normales de travail afin de pouvoir intervenir dans des affaires urgentes en matière d</w:t>
      </w:r>
      <w:r w:rsidR="00005C15">
        <w:rPr>
          <w:i/>
          <w:lang w:val="fr-CA"/>
        </w:rPr>
        <w:t>’</w:t>
      </w:r>
      <w:r w:rsidRPr="00FF0EAC">
        <w:rPr>
          <w:i/>
          <w:lang w:val="fr-CA"/>
        </w:rPr>
        <w:t>immigration</w:t>
      </w:r>
      <w:r w:rsidRPr="00FF0EAC">
        <w:rPr>
          <w:rStyle w:val="QuoteChar"/>
          <w:color w:val="auto"/>
          <w:lang w:val="fr-CA"/>
        </w:rPr>
        <w:t xml:space="preserve"> — Juristes n</w:t>
      </w:r>
      <w:r w:rsidR="00005C15">
        <w:rPr>
          <w:rStyle w:val="QuoteChar"/>
          <w:color w:val="auto"/>
          <w:lang w:val="fr-CA"/>
        </w:rPr>
        <w:t>’</w:t>
      </w:r>
      <w:r w:rsidRPr="00FF0EAC">
        <w:rPr>
          <w:rStyle w:val="QuoteChar"/>
          <w:color w:val="auto"/>
          <w:lang w:val="fr-CA"/>
        </w:rPr>
        <w:t>étant plus rémunérés pour toute la période de garde, mais uniquement pour les heures effectivement travaillées sur des demandes urgentes</w:t>
      </w:r>
      <w:r w:rsidRPr="00FF0EAC">
        <w:rPr>
          <w:i/>
          <w:lang w:val="fr-CA"/>
        </w:rPr>
        <w:t xml:space="preserve"> </w:t>
      </w:r>
      <w:r w:rsidRPr="00FF0EAC">
        <w:rPr>
          <w:rStyle w:val="QuoteChar"/>
          <w:color w:val="auto"/>
          <w:lang w:val="fr-CA"/>
        </w:rPr>
        <w:t>— La directive sur les quarts de garde obligatoires de l</w:t>
      </w:r>
      <w:r w:rsidR="00005C15">
        <w:rPr>
          <w:rStyle w:val="QuoteChar"/>
          <w:color w:val="auto"/>
          <w:lang w:val="fr-CA"/>
        </w:rPr>
        <w:t>’</w:t>
      </w:r>
      <w:r w:rsidRPr="00FF0EAC">
        <w:rPr>
          <w:rStyle w:val="QuoteChar"/>
          <w:color w:val="auto"/>
          <w:lang w:val="fr-CA"/>
        </w:rPr>
        <w:t>employeur porte</w:t>
      </w:r>
      <w:r w:rsidR="00005C15">
        <w:rPr>
          <w:rStyle w:val="QuoteChar"/>
          <w:color w:val="auto"/>
          <w:lang w:val="fr-CA"/>
        </w:rPr>
        <w:noBreakHyphen/>
      </w:r>
      <w:r w:rsidRPr="00FF0EAC">
        <w:rPr>
          <w:rStyle w:val="QuoteChar"/>
          <w:color w:val="auto"/>
          <w:lang w:val="fr-CA"/>
        </w:rPr>
        <w:t>t</w:t>
      </w:r>
      <w:r w:rsidR="00005C15">
        <w:rPr>
          <w:rStyle w:val="QuoteChar"/>
          <w:color w:val="auto"/>
          <w:lang w:val="fr-CA"/>
        </w:rPr>
        <w:noBreakHyphen/>
      </w:r>
      <w:r w:rsidRPr="00FF0EAC">
        <w:rPr>
          <w:rStyle w:val="QuoteChar"/>
          <w:color w:val="auto"/>
          <w:lang w:val="fr-CA"/>
        </w:rPr>
        <w:t>elle atteinte au droit à la liberté garanti par l</w:t>
      </w:r>
      <w:r w:rsidR="00005C15">
        <w:rPr>
          <w:rStyle w:val="QuoteChar"/>
          <w:color w:val="auto"/>
          <w:lang w:val="fr-CA"/>
        </w:rPr>
        <w:t>’art. </w:t>
      </w:r>
      <w:r w:rsidRPr="00FF0EAC">
        <w:rPr>
          <w:rStyle w:val="QuoteChar"/>
          <w:color w:val="auto"/>
          <w:lang w:val="fr-CA"/>
        </w:rPr>
        <w:t>7 de la Charte canadienne des droits et libertés?</w:t>
      </w:r>
    </w:p>
    <w:p w:rsidR="00B15F55" w:rsidRPr="00FF0EAC" w:rsidRDefault="00B15F55" w:rsidP="002B57A4">
      <w:pPr>
        <w:pStyle w:val="SCCNormalDoubleSpacing"/>
        <w:widowControl w:val="0"/>
        <w:spacing w:after="480"/>
        <w:rPr>
          <w:lang w:val="fr-CA"/>
        </w:rPr>
      </w:pPr>
      <w:r w:rsidRPr="00FF0EAC">
        <w:rPr>
          <w:i/>
          <w:iCs/>
          <w:lang w:val="fr-CA"/>
        </w:rPr>
        <w:tab/>
      </w:r>
      <w:r w:rsidRPr="00FF0EAC">
        <w:rPr>
          <w:lang w:val="fr-CA"/>
        </w:rPr>
        <w:t>Au début des années 1990, l</w:t>
      </w:r>
      <w:r w:rsidR="00005C15">
        <w:rPr>
          <w:lang w:val="fr-CA"/>
        </w:rPr>
        <w:t>’</w:t>
      </w:r>
      <w:r w:rsidRPr="00FF0EAC">
        <w:rPr>
          <w:lang w:val="fr-CA"/>
        </w:rPr>
        <w:t>employeur a mis sur pied un système de quarts de garde permettant d</w:t>
      </w:r>
      <w:r w:rsidR="00005C15">
        <w:rPr>
          <w:lang w:val="fr-CA"/>
        </w:rPr>
        <w:t>’</w:t>
      </w:r>
      <w:r w:rsidRPr="00FF0EAC">
        <w:rPr>
          <w:lang w:val="fr-CA"/>
        </w:rPr>
        <w:t>intervenir dans des affaires urgentes en matière d</w:t>
      </w:r>
      <w:r w:rsidR="00005C15">
        <w:rPr>
          <w:lang w:val="fr-CA"/>
        </w:rPr>
        <w:t>’</w:t>
      </w:r>
      <w:r w:rsidRPr="00FF0EAC">
        <w:rPr>
          <w:lang w:val="fr-CA"/>
        </w:rPr>
        <w:t xml:space="preserve">immigration </w:t>
      </w:r>
      <w:r w:rsidRPr="00005C15">
        <w:rPr>
          <w:rStyle w:val="QuoteChar"/>
          <w:i w:val="0"/>
          <w:color w:val="auto"/>
          <w:lang w:val="fr-CA"/>
        </w:rPr>
        <w:t>en</w:t>
      </w:r>
      <w:r w:rsidRPr="00FF0EAC">
        <w:rPr>
          <w:lang w:val="fr-CA"/>
        </w:rPr>
        <w:t xml:space="preserve"> dehors des heures normales de travail, système suivant lequel un juriste de la Direction du droit de l</w:t>
      </w:r>
      <w:r w:rsidR="00005C15">
        <w:rPr>
          <w:lang w:val="fr-CA"/>
        </w:rPr>
        <w:t>’</w:t>
      </w:r>
      <w:r w:rsidRPr="00FF0EAC">
        <w:rPr>
          <w:lang w:val="fr-CA"/>
        </w:rPr>
        <w:t>immigration du Bureau régional du Québec du ministère de la Justice Canada serait disponible les soirs et les fins de semaine pour traiter à court préavis toute demande de sursis urgente susceptible de se présenter. Jusqu</w:t>
      </w:r>
      <w:r w:rsidR="00005C15">
        <w:rPr>
          <w:lang w:val="fr-CA"/>
        </w:rPr>
        <w:t>’</w:t>
      </w:r>
      <w:r w:rsidRPr="00FF0EAC">
        <w:rPr>
          <w:lang w:val="fr-CA"/>
        </w:rPr>
        <w:t xml:space="preserve">en 2010, le système fonctionnait sur une base volontaire. Les juristes qui se portaient volontaires </w:t>
      </w:r>
      <w:r w:rsidRPr="00FF0EAC">
        <w:rPr>
          <w:lang w:val="fr-CA"/>
        </w:rPr>
        <w:lastRenderedPageBreak/>
        <w:t>pour assurer les quarts de garde étaient rémunérés en congés payés et recevaient la même indemnité qu</w:t>
      </w:r>
      <w:r w:rsidR="00005C15">
        <w:rPr>
          <w:lang w:val="fr-CA"/>
        </w:rPr>
        <w:t>’</w:t>
      </w:r>
      <w:r w:rsidRPr="00FF0EAC">
        <w:rPr>
          <w:lang w:val="fr-CA"/>
        </w:rPr>
        <w:t xml:space="preserve">ils soient appelés ou non au travail. </w:t>
      </w:r>
      <w:r w:rsidR="00005C15">
        <w:rPr>
          <w:lang w:val="fr-CA"/>
        </w:rPr>
        <w:t xml:space="preserve">En mars </w:t>
      </w:r>
      <w:r w:rsidRPr="00FF0EAC">
        <w:rPr>
          <w:lang w:val="fr-CA"/>
        </w:rPr>
        <w:t>2010, les juristes ont été informés qu</w:t>
      </w:r>
      <w:r w:rsidR="00005C15">
        <w:rPr>
          <w:lang w:val="fr-CA"/>
        </w:rPr>
        <w:t>’</w:t>
      </w:r>
      <w:r w:rsidRPr="00FF0EAC">
        <w:rPr>
          <w:lang w:val="fr-CA"/>
        </w:rPr>
        <w:t>ils ne seraient plus payés pour les périodes de garde. Désormais, ils ne seraient rémunérés — sous forme de primes d</w:t>
      </w:r>
      <w:r w:rsidR="00005C15">
        <w:rPr>
          <w:lang w:val="fr-CA"/>
        </w:rPr>
        <w:t>’</w:t>
      </w:r>
      <w:r w:rsidRPr="00FF0EAC">
        <w:rPr>
          <w:lang w:val="fr-CA"/>
        </w:rPr>
        <w:t>heures supplémentaires ou de congés payés, selon leur niveau d</w:t>
      </w:r>
      <w:r w:rsidR="00005C15">
        <w:rPr>
          <w:lang w:val="fr-CA"/>
        </w:rPr>
        <w:t>’</w:t>
      </w:r>
      <w:r w:rsidRPr="00FF0EAC">
        <w:rPr>
          <w:lang w:val="fr-CA"/>
        </w:rPr>
        <w:t>ancienneté — que pour les heures travaillées s</w:t>
      </w:r>
      <w:r w:rsidR="00005C15">
        <w:rPr>
          <w:lang w:val="fr-CA"/>
        </w:rPr>
        <w:t>’</w:t>
      </w:r>
      <w:r w:rsidRPr="00FF0EAC">
        <w:rPr>
          <w:lang w:val="fr-CA"/>
        </w:rPr>
        <w:t>ils recevaient une demande urgente. Avec ce changement de politique, il n</w:t>
      </w:r>
      <w:r w:rsidR="00005C15">
        <w:rPr>
          <w:lang w:val="fr-CA"/>
        </w:rPr>
        <w:t>’</w:t>
      </w:r>
      <w:r w:rsidRPr="00FF0EAC">
        <w:rPr>
          <w:lang w:val="fr-CA"/>
        </w:rPr>
        <w:t>y avait plus assez de volontaires pour assurer le service pendant les périodes de garde. En réponse, l</w:t>
      </w:r>
      <w:r w:rsidR="00005C15">
        <w:rPr>
          <w:lang w:val="fr-CA"/>
        </w:rPr>
        <w:t>’</w:t>
      </w:r>
      <w:r w:rsidRPr="00FF0EAC">
        <w:rPr>
          <w:lang w:val="fr-CA"/>
        </w:rPr>
        <w:t>employeur a communiqué une directive rendant obligatoires les quarts de garde après les heures normales de travail. L</w:t>
      </w:r>
      <w:r w:rsidR="00005C15">
        <w:rPr>
          <w:lang w:val="fr-CA"/>
        </w:rPr>
        <w:t>’</w:t>
      </w:r>
      <w:r w:rsidRPr="00FF0EAC">
        <w:rPr>
          <w:lang w:val="fr-CA"/>
        </w:rPr>
        <w:t>Association des juristes de justice a alors déposé un grief au nom des juristes travaillant à la Direction du droit de l</w:t>
      </w:r>
      <w:r w:rsidR="00005C15">
        <w:rPr>
          <w:lang w:val="fr-CA"/>
        </w:rPr>
        <w:t>’</w:t>
      </w:r>
      <w:r w:rsidRPr="00FF0EAC">
        <w:rPr>
          <w:lang w:val="fr-CA"/>
        </w:rPr>
        <w:t xml:space="preserve">immigration. </w:t>
      </w:r>
    </w:p>
    <w:p w:rsidR="00B15F55" w:rsidRPr="00FF0EAC" w:rsidRDefault="00B15F55" w:rsidP="002B57A4">
      <w:pPr>
        <w:pStyle w:val="SCCNormalDoubleSpacing"/>
        <w:widowControl w:val="0"/>
        <w:spacing w:after="480"/>
        <w:rPr>
          <w:lang w:val="fr-CA"/>
        </w:rPr>
      </w:pPr>
      <w:r w:rsidRPr="00FF0EAC">
        <w:rPr>
          <w:lang w:val="fr-CA"/>
        </w:rPr>
        <w:tab/>
        <w:t>La convention collective en cause est muette sur l</w:t>
      </w:r>
      <w:r w:rsidR="00005C15">
        <w:rPr>
          <w:lang w:val="fr-CA"/>
        </w:rPr>
        <w:t>’</w:t>
      </w:r>
      <w:r w:rsidRPr="00FF0EAC">
        <w:rPr>
          <w:lang w:val="fr-CA"/>
        </w:rPr>
        <w:t>obligation de disponibilité, mais elle précise que l</w:t>
      </w:r>
      <w:r w:rsidR="00005C15">
        <w:rPr>
          <w:lang w:val="fr-CA"/>
        </w:rPr>
        <w:t>’</w:t>
      </w:r>
      <w:r w:rsidRPr="00FF0EAC">
        <w:rPr>
          <w:lang w:val="fr-CA"/>
        </w:rPr>
        <w:t>employeur conserve tous les droits et pouvoirs de la direction qui n</w:t>
      </w:r>
      <w:r w:rsidR="00005C15">
        <w:rPr>
          <w:lang w:val="fr-CA"/>
        </w:rPr>
        <w:t>’</w:t>
      </w:r>
      <w:r w:rsidRPr="00FF0EAC">
        <w:rPr>
          <w:lang w:val="fr-CA"/>
        </w:rPr>
        <w:t xml:space="preserve">ont pas été modifiés </w:t>
      </w:r>
      <w:proofErr w:type="gramStart"/>
      <w:r w:rsidRPr="00FF0EAC">
        <w:rPr>
          <w:lang w:val="fr-CA"/>
        </w:rPr>
        <w:t>ou</w:t>
      </w:r>
      <w:proofErr w:type="gramEnd"/>
      <w:r w:rsidRPr="00FF0EAC">
        <w:rPr>
          <w:lang w:val="fr-CA"/>
        </w:rPr>
        <w:t xml:space="preserve"> limités par la convention collective. L</w:t>
      </w:r>
      <w:r w:rsidR="00005C15">
        <w:rPr>
          <w:lang w:val="fr-CA"/>
        </w:rPr>
        <w:t>’</w:t>
      </w:r>
      <w:r w:rsidRPr="00FF0EAC">
        <w:rPr>
          <w:lang w:val="fr-CA"/>
        </w:rPr>
        <w:t>arbitre en droit du travail a conclu que la directive ne constituait pas un exercice raisonnable ou équitable des droits de la direction et qu</w:t>
      </w:r>
      <w:r w:rsidR="00005C15">
        <w:rPr>
          <w:lang w:val="fr-CA"/>
        </w:rPr>
        <w:t>’</w:t>
      </w:r>
      <w:r w:rsidRPr="00FF0EAC">
        <w:rPr>
          <w:lang w:val="fr-CA"/>
        </w:rPr>
        <w:t>elle portait atteinte au droit à la liberté que l</w:t>
      </w:r>
      <w:r w:rsidR="00005C15">
        <w:rPr>
          <w:lang w:val="fr-CA"/>
        </w:rPr>
        <w:t>’art. </w:t>
      </w:r>
      <w:r w:rsidRPr="00FF0EAC">
        <w:rPr>
          <w:lang w:val="fr-CA"/>
        </w:rPr>
        <w:t xml:space="preserve">7 de la </w:t>
      </w:r>
      <w:r w:rsidRPr="00FF0EAC">
        <w:rPr>
          <w:i/>
          <w:lang w:val="fr-CA"/>
        </w:rPr>
        <w:t xml:space="preserve">Charte </w:t>
      </w:r>
      <w:r w:rsidRPr="00FF0EAC">
        <w:rPr>
          <w:lang w:val="fr-CA"/>
        </w:rPr>
        <w:t>garantit aux juristes. Il a ordonné à l</w:t>
      </w:r>
      <w:r w:rsidR="00005C15">
        <w:rPr>
          <w:lang w:val="fr-CA"/>
        </w:rPr>
        <w:t>’</w:t>
      </w:r>
      <w:r w:rsidRPr="00FF0EAC">
        <w:rPr>
          <w:lang w:val="fr-CA"/>
        </w:rPr>
        <w:t>employeur de cesser immédiatement de l</w:t>
      </w:r>
      <w:r w:rsidR="00005C15">
        <w:rPr>
          <w:lang w:val="fr-CA"/>
        </w:rPr>
        <w:t>’</w:t>
      </w:r>
      <w:r w:rsidRPr="00FF0EAC">
        <w:rPr>
          <w:lang w:val="fr-CA"/>
        </w:rPr>
        <w:t>appliquer. La Cour d</w:t>
      </w:r>
      <w:r w:rsidR="00005C15">
        <w:rPr>
          <w:lang w:val="fr-CA"/>
        </w:rPr>
        <w:t>’</w:t>
      </w:r>
      <w:r w:rsidRPr="00FF0EAC">
        <w:rPr>
          <w:lang w:val="fr-CA"/>
        </w:rPr>
        <w:t xml:space="preserve">appel fédérale a accueilli la demande de contrôle judiciaire présentée par </w:t>
      </w:r>
      <w:r w:rsidR="00215C74">
        <w:rPr>
          <w:lang w:val="fr-CA"/>
        </w:rPr>
        <w:t>le gouvernement</w:t>
      </w:r>
      <w:r w:rsidRPr="00FF0EAC">
        <w:rPr>
          <w:lang w:val="fr-CA"/>
        </w:rPr>
        <w:t xml:space="preserve"> et a annulé la décision de l</w:t>
      </w:r>
      <w:r w:rsidR="00005C15">
        <w:rPr>
          <w:lang w:val="fr-CA"/>
        </w:rPr>
        <w:t>’</w:t>
      </w:r>
      <w:r w:rsidRPr="00FF0EAC">
        <w:rPr>
          <w:lang w:val="fr-CA"/>
        </w:rPr>
        <w:t>arbitre.</w:t>
      </w:r>
    </w:p>
    <w:p w:rsidR="00B15F55" w:rsidRPr="00FF0EAC" w:rsidRDefault="00B15F55" w:rsidP="002B57A4">
      <w:pPr>
        <w:pStyle w:val="SCCNormalDoubleSpacing"/>
        <w:widowControl w:val="0"/>
        <w:spacing w:after="480"/>
        <w:rPr>
          <w:lang w:val="fr-CA"/>
        </w:rPr>
      </w:pPr>
      <w:r w:rsidRPr="00FF0EAC">
        <w:rPr>
          <w:lang w:val="fr-CA"/>
        </w:rPr>
        <w:tab/>
      </w:r>
      <w:r w:rsidRPr="00FF0EAC">
        <w:rPr>
          <w:rStyle w:val="QuoteChar"/>
          <w:color w:val="auto"/>
          <w:lang w:val="fr-CA"/>
        </w:rPr>
        <w:t>Arrêt</w:t>
      </w:r>
      <w:r w:rsidRPr="00FF0EAC">
        <w:rPr>
          <w:rStyle w:val="QuoteChar"/>
          <w:i w:val="0"/>
          <w:color w:val="auto"/>
          <w:lang w:val="fr-CA"/>
        </w:rPr>
        <w:t xml:space="preserve"> </w:t>
      </w:r>
      <w:r w:rsidRPr="00FF0EAC">
        <w:rPr>
          <w:lang w:val="fr-CA"/>
        </w:rPr>
        <w:t>(les juge</w:t>
      </w:r>
      <w:r w:rsidR="00631992" w:rsidRPr="00FF0EAC">
        <w:rPr>
          <w:lang w:val="fr-CA"/>
        </w:rPr>
        <w:t>s</w:t>
      </w:r>
      <w:r w:rsidRPr="00FF0EAC">
        <w:rPr>
          <w:lang w:val="fr-CA"/>
        </w:rPr>
        <w:t xml:space="preserve"> Moldaver et Côté sont dissidents en partie)</w:t>
      </w:r>
      <w:r w:rsidR="00005C15">
        <w:rPr>
          <w:lang w:val="fr-CA"/>
        </w:rPr>
        <w:t> :</w:t>
      </w:r>
      <w:r w:rsidRPr="00FF0EAC">
        <w:rPr>
          <w:lang w:val="fr-CA"/>
        </w:rPr>
        <w:t xml:space="preserve"> Le pourvoi est accueilli en partie. La décision de l</w:t>
      </w:r>
      <w:r w:rsidR="00005C15">
        <w:rPr>
          <w:lang w:val="fr-CA"/>
        </w:rPr>
        <w:t>’</w:t>
      </w:r>
      <w:r w:rsidRPr="00FF0EAC">
        <w:rPr>
          <w:lang w:val="fr-CA"/>
        </w:rPr>
        <w:t>arbitre selon laquelle la directive contrevenait à la convention collective est raisonnable et son ordonnance enjoignant à l</w:t>
      </w:r>
      <w:r w:rsidR="00005C15">
        <w:rPr>
          <w:lang w:val="fr-CA"/>
        </w:rPr>
        <w:t>’</w:t>
      </w:r>
      <w:r w:rsidRPr="00FF0EAC">
        <w:rPr>
          <w:lang w:val="fr-CA"/>
        </w:rPr>
        <w:t xml:space="preserve">employeur de </w:t>
      </w:r>
      <w:r w:rsidRPr="00FF0EAC">
        <w:rPr>
          <w:lang w:val="fr-CA"/>
        </w:rPr>
        <w:lastRenderedPageBreak/>
        <w:t>cesser d</w:t>
      </w:r>
      <w:r w:rsidR="00005C15">
        <w:rPr>
          <w:lang w:val="fr-CA"/>
        </w:rPr>
        <w:t>’</w:t>
      </w:r>
      <w:r w:rsidRPr="00FF0EAC">
        <w:rPr>
          <w:lang w:val="fr-CA"/>
        </w:rPr>
        <w:t>appliquer la directive est rétablie.</w:t>
      </w:r>
    </w:p>
    <w:p w:rsidR="00B15F55" w:rsidRPr="00FF0EAC" w:rsidRDefault="00B15F55" w:rsidP="002B57A4">
      <w:pPr>
        <w:pStyle w:val="SCCNormalDoubleSpacing"/>
        <w:widowControl w:val="0"/>
        <w:spacing w:after="480"/>
        <w:rPr>
          <w:lang w:val="fr-CA"/>
        </w:rPr>
      </w:pPr>
      <w:r w:rsidRPr="00FF0EAC">
        <w:rPr>
          <w:lang w:val="fr-CA"/>
        </w:rPr>
        <w:tab/>
      </w:r>
      <w:r w:rsidRPr="00FF0EAC">
        <w:rPr>
          <w:i/>
          <w:iCs/>
          <w:lang w:val="fr-CA"/>
        </w:rPr>
        <w:t>La</w:t>
      </w:r>
      <w:r w:rsidRPr="00FF0EAC">
        <w:rPr>
          <w:lang w:val="fr-CA"/>
        </w:rPr>
        <w:t xml:space="preserve"> juge en chef McLachlin et les juges Abella, </w:t>
      </w:r>
      <w:r w:rsidRPr="00927E8D">
        <w:rPr>
          <w:lang w:val="fr-CA"/>
        </w:rPr>
        <w:t>Karakatsanis</w:t>
      </w:r>
      <w:r w:rsidRPr="00FF0EAC">
        <w:rPr>
          <w:lang w:val="fr-CA"/>
        </w:rPr>
        <w:t xml:space="preserve">, </w:t>
      </w:r>
      <w:r w:rsidR="00631992" w:rsidRPr="00FF0EAC">
        <w:rPr>
          <w:lang w:val="fr-CA"/>
        </w:rPr>
        <w:t xml:space="preserve">Wagner, </w:t>
      </w:r>
      <w:r w:rsidRPr="00FF0EAC">
        <w:rPr>
          <w:lang w:val="fr-CA"/>
        </w:rPr>
        <w:t>Gascon</w:t>
      </w:r>
      <w:r w:rsidR="00631992" w:rsidRPr="00FF0EAC">
        <w:rPr>
          <w:lang w:val="fr-CA"/>
        </w:rPr>
        <w:t>, Brown</w:t>
      </w:r>
      <w:r w:rsidRPr="00FF0EAC">
        <w:rPr>
          <w:lang w:val="fr-CA"/>
        </w:rPr>
        <w:t xml:space="preserve"> et Rowe</w:t>
      </w:r>
      <w:r w:rsidR="00005C15">
        <w:rPr>
          <w:lang w:val="fr-CA"/>
        </w:rPr>
        <w:t> :</w:t>
      </w:r>
      <w:r w:rsidRPr="00FF0EAC">
        <w:rPr>
          <w:lang w:val="fr-CA"/>
        </w:rPr>
        <w:t xml:space="preserve"> La question en litige en l</w:t>
      </w:r>
      <w:r w:rsidR="00005C15">
        <w:rPr>
          <w:lang w:val="fr-CA"/>
        </w:rPr>
        <w:t>’</w:t>
      </w:r>
      <w:r w:rsidRPr="00FF0EAC">
        <w:rPr>
          <w:lang w:val="fr-CA"/>
        </w:rPr>
        <w:t>espèce concerne l</w:t>
      </w:r>
      <w:r w:rsidR="00005C15">
        <w:rPr>
          <w:lang w:val="fr-CA"/>
        </w:rPr>
        <w:t>’</w:t>
      </w:r>
      <w:r w:rsidRPr="00FF0EAC">
        <w:rPr>
          <w:lang w:val="fr-CA"/>
        </w:rPr>
        <w:t>interprétation d</w:t>
      </w:r>
      <w:r w:rsidR="00005C15">
        <w:rPr>
          <w:lang w:val="fr-CA"/>
        </w:rPr>
        <w:t>’</w:t>
      </w:r>
      <w:r w:rsidRPr="00FF0EAC">
        <w:rPr>
          <w:lang w:val="fr-CA"/>
        </w:rPr>
        <w:t>une clause de convention collective portant sur les droits de la direction, ce qui est manifestement une matière à l</w:t>
      </w:r>
      <w:r w:rsidR="00005C15">
        <w:rPr>
          <w:lang w:val="fr-CA"/>
        </w:rPr>
        <w:t>’</w:t>
      </w:r>
      <w:r w:rsidRPr="00FF0EAC">
        <w:rPr>
          <w:lang w:val="fr-CA"/>
        </w:rPr>
        <w:t>égard de laquelle les arbitres en droit du travail ont droit à la déférence. La convention collective limite le droit résiduel de la direction d</w:t>
      </w:r>
      <w:r w:rsidR="00005C15">
        <w:rPr>
          <w:lang w:val="fr-CA"/>
        </w:rPr>
        <w:t>’</w:t>
      </w:r>
      <w:r w:rsidRPr="00FF0EAC">
        <w:rPr>
          <w:lang w:val="fr-CA"/>
        </w:rPr>
        <w:t>imposer unilatéralement des règles en milieu de travail, car elle prévoit que l</w:t>
      </w:r>
      <w:r w:rsidR="00005C15">
        <w:rPr>
          <w:lang w:val="fr-CA"/>
        </w:rPr>
        <w:t>’</w:t>
      </w:r>
      <w:r w:rsidRPr="00FF0EAC">
        <w:rPr>
          <w:lang w:val="fr-CA"/>
        </w:rPr>
        <w:t>employeur doit « agi[r] raisonnablement, équitablement et de bonne foi » dans l</w:t>
      </w:r>
      <w:r w:rsidR="00005C15">
        <w:rPr>
          <w:lang w:val="fr-CA"/>
        </w:rPr>
        <w:t>’</w:t>
      </w:r>
      <w:r w:rsidRPr="00FF0EAC">
        <w:rPr>
          <w:lang w:val="fr-CA"/>
        </w:rPr>
        <w:t>administration de la convention collective. La démarche applicable pour déterminer si une politique ayant une incidence sur les employés constitue un exercice raisonnable des droits de la direction est l</w:t>
      </w:r>
      <w:r w:rsidR="00005C15">
        <w:rPr>
          <w:lang w:val="fr-CA"/>
        </w:rPr>
        <w:t>’</w:t>
      </w:r>
      <w:r w:rsidRPr="00FF0EAC">
        <w:rPr>
          <w:lang w:val="fr-CA"/>
        </w:rPr>
        <w:t>évaluation axée sur la « mise en balance des intérêts ». Cette démarche exige des arbitres en droit du travail qu</w:t>
      </w:r>
      <w:r w:rsidR="00005C15">
        <w:rPr>
          <w:lang w:val="fr-CA"/>
        </w:rPr>
        <w:t>’</w:t>
      </w:r>
      <w:r w:rsidRPr="00FF0EAC">
        <w:rPr>
          <w:lang w:val="fr-CA"/>
        </w:rPr>
        <w:t xml:space="preserve">ils mettent à profit leur expertise dans </w:t>
      </w:r>
      <w:r w:rsidR="00BA39C9">
        <w:rPr>
          <w:lang w:val="fr-CA"/>
        </w:rPr>
        <w:t>l</w:t>
      </w:r>
      <w:r w:rsidRPr="00FF0EAC">
        <w:rPr>
          <w:lang w:val="fr-CA"/>
        </w:rPr>
        <w:t>e domaine</w:t>
      </w:r>
      <w:r w:rsidR="00BA39C9">
        <w:rPr>
          <w:lang w:val="fr-CA"/>
        </w:rPr>
        <w:t xml:space="preserve"> des relations de travail</w:t>
      </w:r>
      <w:r w:rsidRPr="00FF0EAC">
        <w:rPr>
          <w:lang w:val="fr-CA"/>
        </w:rPr>
        <w:t>, qu</w:t>
      </w:r>
      <w:r w:rsidR="00005C15">
        <w:rPr>
          <w:lang w:val="fr-CA"/>
        </w:rPr>
        <w:t>’</w:t>
      </w:r>
      <w:r w:rsidRPr="00FF0EAC">
        <w:rPr>
          <w:lang w:val="fr-CA"/>
        </w:rPr>
        <w:t>ils tiennent compte de toutes les circonstances et qu</w:t>
      </w:r>
      <w:r w:rsidR="00005C15">
        <w:rPr>
          <w:lang w:val="fr-CA"/>
        </w:rPr>
        <w:t>’</w:t>
      </w:r>
      <w:r w:rsidRPr="00FF0EAC">
        <w:rPr>
          <w:lang w:val="fr-CA"/>
        </w:rPr>
        <w:t>ils décident si la politique de l</w:t>
      </w:r>
      <w:r w:rsidR="00005C15">
        <w:rPr>
          <w:lang w:val="fr-CA"/>
        </w:rPr>
        <w:t>’</w:t>
      </w:r>
      <w:r w:rsidRPr="00FF0EAC">
        <w:rPr>
          <w:lang w:val="fr-CA"/>
        </w:rPr>
        <w:t>employeur établit un équilibre raisonnable entre les intérêts de la direction et ceux des employés. La question de savoir si l</w:t>
      </w:r>
      <w:r w:rsidR="00005C15">
        <w:rPr>
          <w:lang w:val="fr-CA"/>
        </w:rPr>
        <w:t>’</w:t>
      </w:r>
      <w:r w:rsidRPr="00FF0EAC">
        <w:rPr>
          <w:lang w:val="fr-CA"/>
        </w:rPr>
        <w:t>imposition unilatérale d</w:t>
      </w:r>
      <w:r w:rsidR="00005C15">
        <w:rPr>
          <w:lang w:val="fr-CA"/>
        </w:rPr>
        <w:t>’</w:t>
      </w:r>
      <w:r w:rsidRPr="00FF0EAC">
        <w:rPr>
          <w:lang w:val="fr-CA"/>
        </w:rPr>
        <w:t xml:space="preserve">une période de garde est raisonnable et équitable dépendra des circonstances et des dispositions de la convention collective en cause. Cette conclusion est largement tributaire des faits. </w:t>
      </w:r>
    </w:p>
    <w:p w:rsidR="00B15F55" w:rsidRPr="00FF0EAC" w:rsidRDefault="00B15F55" w:rsidP="002B57A4">
      <w:pPr>
        <w:pStyle w:val="SCCNormalDoubleSpacing"/>
        <w:widowControl w:val="0"/>
        <w:spacing w:after="480"/>
        <w:rPr>
          <w:lang w:val="fr-CA"/>
        </w:rPr>
      </w:pPr>
      <w:r w:rsidRPr="00FF0EAC">
        <w:rPr>
          <w:lang w:val="fr-CA"/>
        </w:rPr>
        <w:tab/>
        <w:t>L</w:t>
      </w:r>
      <w:r w:rsidR="00005C15">
        <w:rPr>
          <w:lang w:val="fr-CA"/>
        </w:rPr>
        <w:t>’</w:t>
      </w:r>
      <w:r w:rsidRPr="00FF0EAC">
        <w:rPr>
          <w:lang w:val="fr-CA"/>
        </w:rPr>
        <w:t>arbitre a appliqué le cadre d</w:t>
      </w:r>
      <w:r w:rsidR="00005C15">
        <w:rPr>
          <w:lang w:val="fr-CA"/>
        </w:rPr>
        <w:t>’</w:t>
      </w:r>
      <w:r w:rsidRPr="00FF0EAC">
        <w:rPr>
          <w:lang w:val="fr-CA"/>
        </w:rPr>
        <w:t>analyse approprié pour évaluer l</w:t>
      </w:r>
      <w:r w:rsidR="00005C15">
        <w:rPr>
          <w:lang w:val="fr-CA"/>
        </w:rPr>
        <w:t>’</w:t>
      </w:r>
      <w:r w:rsidRPr="00FF0EAC">
        <w:rPr>
          <w:lang w:val="fr-CA"/>
        </w:rPr>
        <w:t>exercice des droits de la direction, et les circonstances entourant la directive de l</w:t>
      </w:r>
      <w:r w:rsidR="00005C15">
        <w:rPr>
          <w:lang w:val="fr-CA"/>
        </w:rPr>
        <w:t>’</w:t>
      </w:r>
      <w:r w:rsidRPr="00FF0EAC">
        <w:rPr>
          <w:lang w:val="fr-CA"/>
        </w:rPr>
        <w:t>employeur appuyaient sa conclusion suivant laquelle cette mesure n</w:t>
      </w:r>
      <w:r w:rsidR="00005C15">
        <w:rPr>
          <w:lang w:val="fr-CA"/>
        </w:rPr>
        <w:t>’</w:t>
      </w:r>
      <w:r w:rsidRPr="00FF0EAC">
        <w:rPr>
          <w:lang w:val="fr-CA"/>
        </w:rPr>
        <w:t xml:space="preserve">était ni raisonnable ni </w:t>
      </w:r>
      <w:r w:rsidRPr="00FF0EAC">
        <w:rPr>
          <w:lang w:val="fr-CA"/>
        </w:rPr>
        <w:lastRenderedPageBreak/>
        <w:t>équitable. La convention collective récemment finalisée ne renfermait aucune clause de disponibilité, l</w:t>
      </w:r>
      <w:r w:rsidR="00005C15">
        <w:rPr>
          <w:lang w:val="fr-CA"/>
        </w:rPr>
        <w:t>’</w:t>
      </w:r>
      <w:r w:rsidRPr="00FF0EAC">
        <w:rPr>
          <w:lang w:val="fr-CA"/>
        </w:rPr>
        <w:t>obligation n</w:t>
      </w:r>
      <w:r w:rsidR="00005C15">
        <w:rPr>
          <w:lang w:val="fr-CA"/>
        </w:rPr>
        <w:t>’</w:t>
      </w:r>
      <w:r w:rsidRPr="00FF0EAC">
        <w:rPr>
          <w:lang w:val="fr-CA"/>
        </w:rPr>
        <w:t>avait pas été mentionnée dans les contrats d</w:t>
      </w:r>
      <w:r w:rsidR="00005C15">
        <w:rPr>
          <w:lang w:val="fr-CA"/>
        </w:rPr>
        <w:t>’</w:t>
      </w:r>
      <w:r w:rsidRPr="00FF0EAC">
        <w:rPr>
          <w:lang w:val="fr-CA"/>
        </w:rPr>
        <w:t>emploi ou dans les descriptions de tâches des juristes, et de telles politiques n</w:t>
      </w:r>
      <w:r w:rsidR="00005C15">
        <w:rPr>
          <w:lang w:val="fr-CA"/>
        </w:rPr>
        <w:t>’</w:t>
      </w:r>
      <w:r w:rsidRPr="00FF0EAC">
        <w:rPr>
          <w:lang w:val="fr-CA"/>
        </w:rPr>
        <w:t>étaient pas la norme dans le secteur. Le fait que la directive ait un effet sur la vie des juristes en dehors des heures de travail constitue un facteur important dans l</w:t>
      </w:r>
      <w:r w:rsidR="00005C15">
        <w:rPr>
          <w:lang w:val="fr-CA"/>
        </w:rPr>
        <w:t>’</w:t>
      </w:r>
      <w:r w:rsidRPr="00FF0EAC">
        <w:rPr>
          <w:lang w:val="fr-CA"/>
        </w:rPr>
        <w:t>appréciation de son incidence sur les employés. De plus, une politique ou une directive qui supprime unilatéralement la rémunération accordée en contrepartie d</w:t>
      </w:r>
      <w:r w:rsidR="00005C15">
        <w:rPr>
          <w:lang w:val="fr-CA"/>
        </w:rPr>
        <w:t>’</w:t>
      </w:r>
      <w:r w:rsidRPr="00FF0EAC">
        <w:rPr>
          <w:lang w:val="fr-CA"/>
        </w:rPr>
        <w:t>une obligation de disponibilité crée une iniquité apparente lorsqu</w:t>
      </w:r>
      <w:r w:rsidR="00005C15">
        <w:rPr>
          <w:lang w:val="fr-CA"/>
        </w:rPr>
        <w:t>’</w:t>
      </w:r>
      <w:r w:rsidRPr="00FF0EAC">
        <w:rPr>
          <w:lang w:val="fr-CA"/>
        </w:rPr>
        <w:t>une telle rémunération constituait une pratique de longue date. Bien que l</w:t>
      </w:r>
      <w:r w:rsidR="00005C15">
        <w:rPr>
          <w:lang w:val="fr-CA"/>
        </w:rPr>
        <w:t>’</w:t>
      </w:r>
      <w:r w:rsidRPr="00FF0EAC">
        <w:rPr>
          <w:lang w:val="fr-CA"/>
        </w:rPr>
        <w:t>employeur ne soit pas tenu de prouver qu</w:t>
      </w:r>
      <w:r w:rsidR="00005C15">
        <w:rPr>
          <w:lang w:val="fr-CA"/>
        </w:rPr>
        <w:t>’</w:t>
      </w:r>
      <w:r w:rsidRPr="00FF0EAC">
        <w:rPr>
          <w:lang w:val="fr-CA"/>
        </w:rPr>
        <w:t>il n</w:t>
      </w:r>
      <w:r w:rsidR="00005C15">
        <w:rPr>
          <w:lang w:val="fr-CA"/>
        </w:rPr>
        <w:t>’</w:t>
      </w:r>
      <w:r w:rsidRPr="00FF0EAC">
        <w:rPr>
          <w:lang w:val="fr-CA"/>
        </w:rPr>
        <w:t>y avait pas d</w:t>
      </w:r>
      <w:r w:rsidR="00005C15">
        <w:rPr>
          <w:lang w:val="fr-CA"/>
        </w:rPr>
        <w:t>’</w:t>
      </w:r>
      <w:r w:rsidRPr="00FF0EAC">
        <w:rPr>
          <w:lang w:val="fr-CA"/>
        </w:rPr>
        <w:t>autres solutions, l</w:t>
      </w:r>
      <w:r w:rsidR="00005C15">
        <w:rPr>
          <w:lang w:val="fr-CA"/>
        </w:rPr>
        <w:t>’</w:t>
      </w:r>
      <w:r w:rsidRPr="00FF0EAC">
        <w:rPr>
          <w:lang w:val="fr-CA"/>
        </w:rPr>
        <w:t>existence de moyens réalistes, mais moins attentatoires, pour répondre aux besoins organisationnels peut constituer une considération pertinente dans l</w:t>
      </w:r>
      <w:r w:rsidR="00005C15">
        <w:rPr>
          <w:lang w:val="fr-CA"/>
        </w:rPr>
        <w:t>’</w:t>
      </w:r>
      <w:r w:rsidRPr="00FF0EAC">
        <w:rPr>
          <w:lang w:val="fr-CA"/>
        </w:rPr>
        <w:t>appréciation axée sur la mise en balance des intérêts. Il était loisible à l</w:t>
      </w:r>
      <w:r w:rsidR="00005C15">
        <w:rPr>
          <w:lang w:val="fr-CA"/>
        </w:rPr>
        <w:t>’</w:t>
      </w:r>
      <w:r w:rsidRPr="00FF0EAC">
        <w:rPr>
          <w:lang w:val="fr-CA"/>
        </w:rPr>
        <w:t>arbitre de noter l</w:t>
      </w:r>
      <w:r w:rsidR="00005C15">
        <w:rPr>
          <w:lang w:val="fr-CA"/>
        </w:rPr>
        <w:t>’</w:t>
      </w:r>
      <w:r w:rsidRPr="00FF0EAC">
        <w:rPr>
          <w:lang w:val="fr-CA"/>
        </w:rPr>
        <w:t>absence d</w:t>
      </w:r>
      <w:r w:rsidR="00005C15">
        <w:rPr>
          <w:lang w:val="fr-CA"/>
        </w:rPr>
        <w:t>’</w:t>
      </w:r>
      <w:r w:rsidRPr="00FF0EAC">
        <w:rPr>
          <w:lang w:val="fr-CA"/>
        </w:rPr>
        <w:t>une telle preuve. De plus, rien n</w:t>
      </w:r>
      <w:r w:rsidR="00005C15">
        <w:rPr>
          <w:lang w:val="fr-CA"/>
        </w:rPr>
        <w:t>’</w:t>
      </w:r>
      <w:r w:rsidRPr="00FF0EAC">
        <w:rPr>
          <w:lang w:val="fr-CA"/>
        </w:rPr>
        <w:t>indique que celui</w:t>
      </w:r>
      <w:r w:rsidR="00005C15">
        <w:rPr>
          <w:lang w:val="fr-CA"/>
        </w:rPr>
        <w:noBreakHyphen/>
      </w:r>
      <w:r w:rsidRPr="00FF0EAC">
        <w:rPr>
          <w:lang w:val="fr-CA"/>
        </w:rPr>
        <w:t>ci a mal compris les effets observables de la directive sur les juristes, effets énoncés dans l</w:t>
      </w:r>
      <w:r w:rsidR="00005C15">
        <w:rPr>
          <w:lang w:val="fr-CA"/>
        </w:rPr>
        <w:t>’</w:t>
      </w:r>
      <w:r w:rsidRPr="00FF0EAC">
        <w:rPr>
          <w:lang w:val="fr-CA"/>
        </w:rPr>
        <w:t>exposé conjoint des faits. La Cour d</w:t>
      </w:r>
      <w:r w:rsidR="00005C15">
        <w:rPr>
          <w:lang w:val="fr-CA"/>
        </w:rPr>
        <w:t>’</w:t>
      </w:r>
      <w:r w:rsidRPr="00FF0EAC">
        <w:rPr>
          <w:lang w:val="fr-CA"/>
        </w:rPr>
        <w:t>appel fédérale a donc commis une erreur en substituant sa propre mise en balance des intérêts en cause à celle de l</w:t>
      </w:r>
      <w:r w:rsidR="00005C15">
        <w:rPr>
          <w:lang w:val="fr-CA"/>
        </w:rPr>
        <w:t>’</w:t>
      </w:r>
      <w:r w:rsidRPr="00FF0EAC">
        <w:rPr>
          <w:lang w:val="fr-CA"/>
        </w:rPr>
        <w:t>arbitre.</w:t>
      </w:r>
    </w:p>
    <w:p w:rsidR="00B15F55" w:rsidRPr="00FF0EAC" w:rsidRDefault="00B15F55" w:rsidP="002B57A4">
      <w:pPr>
        <w:pStyle w:val="SCCNormalDoubleSpacing"/>
        <w:widowControl w:val="0"/>
        <w:spacing w:after="480"/>
        <w:rPr>
          <w:lang w:val="fr-CA"/>
        </w:rPr>
      </w:pPr>
      <w:r w:rsidRPr="00FF0EAC">
        <w:rPr>
          <w:lang w:val="fr-CA"/>
        </w:rPr>
        <w:tab/>
        <w:t>La directive ne porte pas atteinte au droit à la liberté que l</w:t>
      </w:r>
      <w:r w:rsidR="00005C15">
        <w:rPr>
          <w:lang w:val="fr-CA"/>
        </w:rPr>
        <w:t>’art. </w:t>
      </w:r>
      <w:r w:rsidRPr="00FF0EAC">
        <w:rPr>
          <w:lang w:val="fr-CA"/>
        </w:rPr>
        <w:t xml:space="preserve">7 de la </w:t>
      </w:r>
      <w:r w:rsidRPr="00FF0EAC">
        <w:rPr>
          <w:i/>
          <w:lang w:val="fr-CA"/>
        </w:rPr>
        <w:t xml:space="preserve">Charte </w:t>
      </w:r>
      <w:r w:rsidRPr="00FF0EAC">
        <w:rPr>
          <w:lang w:val="fr-CA"/>
        </w:rPr>
        <w:t>garantit aux juristes. Elle oblige ceux</w:t>
      </w:r>
      <w:r w:rsidR="00005C15">
        <w:rPr>
          <w:lang w:val="fr-CA"/>
        </w:rPr>
        <w:noBreakHyphen/>
      </w:r>
      <w:r w:rsidRPr="00FF0EAC">
        <w:rPr>
          <w:lang w:val="fr-CA"/>
        </w:rPr>
        <w:t>ci, comme condition d</w:t>
      </w:r>
      <w:r w:rsidR="00005C15">
        <w:rPr>
          <w:lang w:val="fr-CA"/>
        </w:rPr>
        <w:t>’</w:t>
      </w:r>
      <w:r w:rsidRPr="00FF0EAC">
        <w:rPr>
          <w:lang w:val="fr-CA"/>
        </w:rPr>
        <w:t>emploi, à être potentiellement moins disponibles pour leurs familles ou à renoncer à certaines activités personnelles, et ce, deux à trois semaines par année tout au plus. Cette incursion dans la vie privée des juristes en dehors du travail n</w:t>
      </w:r>
      <w:r w:rsidR="00005C15">
        <w:rPr>
          <w:lang w:val="fr-CA"/>
        </w:rPr>
        <w:t>’</w:t>
      </w:r>
      <w:r w:rsidRPr="00FF0EAC">
        <w:rPr>
          <w:lang w:val="fr-CA"/>
        </w:rPr>
        <w:t>implique pas le type de choix personnels fondamentaux que garantit l</w:t>
      </w:r>
      <w:r w:rsidR="00005C15">
        <w:rPr>
          <w:lang w:val="fr-CA"/>
        </w:rPr>
        <w:t>’art. </w:t>
      </w:r>
      <w:r w:rsidRPr="00FF0EAC">
        <w:rPr>
          <w:lang w:val="fr-CA"/>
        </w:rPr>
        <w:t xml:space="preserve">7. </w:t>
      </w:r>
    </w:p>
    <w:p w:rsidR="00EF7660" w:rsidRPr="00FF0EAC" w:rsidRDefault="004D7D95" w:rsidP="002B57A4">
      <w:pPr>
        <w:pStyle w:val="SCCNormalDoubleSpacing"/>
        <w:widowControl w:val="0"/>
        <w:spacing w:before="480" w:after="480"/>
        <w:rPr>
          <w:lang w:val="fr-CA"/>
        </w:rPr>
      </w:pPr>
      <w:r w:rsidRPr="00FF0EAC">
        <w:rPr>
          <w:lang w:val="fr-CA"/>
        </w:rPr>
        <w:lastRenderedPageBreak/>
        <w:tab/>
      </w:r>
      <w:r w:rsidR="00EF7660" w:rsidRPr="00FF0EAC">
        <w:rPr>
          <w:i/>
          <w:iCs/>
          <w:lang w:val="fr-FR"/>
        </w:rPr>
        <w:t>Les</w:t>
      </w:r>
      <w:r w:rsidR="00EF7660" w:rsidRPr="00FF0EAC">
        <w:rPr>
          <w:lang w:val="fr-FR"/>
        </w:rPr>
        <w:t xml:space="preserve"> juges Moldaver et </w:t>
      </w:r>
      <w:r w:rsidR="00EF7660" w:rsidRPr="00927E8D">
        <w:rPr>
          <w:bCs/>
          <w:lang w:val="fr-FR"/>
        </w:rPr>
        <w:t>Côté</w:t>
      </w:r>
      <w:r w:rsidR="00EF7660" w:rsidRPr="00FF0EAC">
        <w:rPr>
          <w:lang w:val="fr-FR"/>
        </w:rPr>
        <w:t xml:space="preserve"> (dissidents en partie)</w:t>
      </w:r>
      <w:r w:rsidR="00005C15">
        <w:rPr>
          <w:lang w:val="fr-FR"/>
        </w:rPr>
        <w:t> :</w:t>
      </w:r>
      <w:r w:rsidR="00EF7660" w:rsidRPr="00FF0EAC">
        <w:rPr>
          <w:lang w:val="fr-CA"/>
        </w:rPr>
        <w:t xml:space="preserve"> </w:t>
      </w:r>
      <w:r w:rsidR="00EF7660" w:rsidRPr="00FF0EAC">
        <w:rPr>
          <w:szCs w:val="24"/>
          <w:lang w:val="fr-CA"/>
        </w:rPr>
        <w:t>L</w:t>
      </w:r>
      <w:r w:rsidR="00005C15">
        <w:rPr>
          <w:szCs w:val="24"/>
          <w:lang w:val="fr-CA"/>
        </w:rPr>
        <w:t>’</w:t>
      </w:r>
      <w:r w:rsidR="00EF7660" w:rsidRPr="00FF0EAC">
        <w:rPr>
          <w:szCs w:val="24"/>
          <w:lang w:val="fr-CA"/>
        </w:rPr>
        <w:t xml:space="preserve">arbitre a erré en concluant que la directive </w:t>
      </w:r>
      <w:r w:rsidR="00C20BC4" w:rsidRPr="00FF0EAC">
        <w:rPr>
          <w:szCs w:val="24"/>
          <w:lang w:val="fr-CA"/>
        </w:rPr>
        <w:t>sur la garde obligatoire</w:t>
      </w:r>
      <w:r w:rsidR="00EF7660" w:rsidRPr="00FF0EAC">
        <w:rPr>
          <w:szCs w:val="24"/>
          <w:lang w:val="fr-CA"/>
        </w:rPr>
        <w:t xml:space="preserve"> constituait un exercice déraisonnable et inéquitable du droit de gestion de l</w:t>
      </w:r>
      <w:r w:rsidR="00005C15">
        <w:rPr>
          <w:szCs w:val="24"/>
          <w:lang w:val="fr-CA"/>
        </w:rPr>
        <w:t>’</w:t>
      </w:r>
      <w:r w:rsidR="00EF7660" w:rsidRPr="00FF0EAC">
        <w:rPr>
          <w:szCs w:val="24"/>
          <w:lang w:val="fr-CA"/>
        </w:rPr>
        <w:t xml:space="preserve">employeur et </w:t>
      </w:r>
      <w:r w:rsidR="00EF7660" w:rsidRPr="00FF0EAC">
        <w:rPr>
          <w:lang w:val="fr-CA"/>
        </w:rPr>
        <w:t>contrevenait au droit à la liberté des juristes garanti par l</w:t>
      </w:r>
      <w:r w:rsidR="00005C15">
        <w:rPr>
          <w:lang w:val="fr-CA"/>
        </w:rPr>
        <w:t>’art. </w:t>
      </w:r>
      <w:r w:rsidR="00EF7660" w:rsidRPr="00FF0EAC">
        <w:rPr>
          <w:lang w:val="fr-CA"/>
        </w:rPr>
        <w:t xml:space="preserve">7 de la </w:t>
      </w:r>
      <w:r w:rsidR="00EF7660" w:rsidRPr="00FF0EAC">
        <w:rPr>
          <w:i/>
          <w:lang w:val="fr-CA"/>
        </w:rPr>
        <w:t>Charte.</w:t>
      </w:r>
      <w:r w:rsidR="00EF7660" w:rsidRPr="00FF0EAC">
        <w:rPr>
          <w:lang w:val="fr-CA"/>
        </w:rPr>
        <w:t xml:space="preserve"> </w:t>
      </w:r>
      <w:r w:rsidR="00EF7660" w:rsidRPr="00FF0EAC">
        <w:rPr>
          <w:szCs w:val="24"/>
          <w:lang w:val="fr-CA"/>
        </w:rPr>
        <w:t xml:space="preserve"> </w:t>
      </w:r>
    </w:p>
    <w:p w:rsidR="00EF7660" w:rsidRPr="00FF0EAC" w:rsidRDefault="00C20BC4" w:rsidP="002B57A4">
      <w:pPr>
        <w:pStyle w:val="SCCNormalDoubleSpacing"/>
        <w:widowControl w:val="0"/>
        <w:spacing w:before="480" w:after="480"/>
        <w:rPr>
          <w:lang w:val="fr-CA"/>
        </w:rPr>
      </w:pPr>
      <w:r w:rsidRPr="00FF0EAC">
        <w:rPr>
          <w:lang w:val="fr-CA"/>
        </w:rPr>
        <w:tab/>
      </w:r>
      <w:r w:rsidR="00EF7660" w:rsidRPr="00FF0EAC">
        <w:rPr>
          <w:lang w:val="fr-CA"/>
        </w:rPr>
        <w:t>Le raisonnement de l</w:t>
      </w:r>
      <w:r w:rsidR="00005C15">
        <w:rPr>
          <w:lang w:val="fr-CA"/>
        </w:rPr>
        <w:t>’</w:t>
      </w:r>
      <w:r w:rsidR="00EF7660" w:rsidRPr="00FF0EAC">
        <w:rPr>
          <w:lang w:val="fr-CA"/>
        </w:rPr>
        <w:t>arbitre a manifestement été</w:t>
      </w:r>
      <w:r w:rsidRPr="00FF0EAC">
        <w:rPr>
          <w:lang w:val="fr-CA"/>
        </w:rPr>
        <w:t xml:space="preserve"> influencé par ses conclusions erronées</w:t>
      </w:r>
      <w:r w:rsidR="00EF7660" w:rsidRPr="00FF0EAC">
        <w:rPr>
          <w:lang w:val="fr-CA"/>
        </w:rPr>
        <w:t xml:space="preserve"> concernant l</w:t>
      </w:r>
      <w:r w:rsidR="00005C15">
        <w:rPr>
          <w:lang w:val="fr-CA"/>
        </w:rPr>
        <w:t>’art. </w:t>
      </w:r>
      <w:r w:rsidR="00EF7660" w:rsidRPr="00FF0EAC">
        <w:rPr>
          <w:lang w:val="fr-CA"/>
        </w:rPr>
        <w:t xml:space="preserve">7 de la </w:t>
      </w:r>
      <w:r w:rsidR="00EF7660" w:rsidRPr="00FF0EAC">
        <w:rPr>
          <w:i/>
          <w:lang w:val="fr-CA"/>
        </w:rPr>
        <w:t>Charte</w:t>
      </w:r>
      <w:r w:rsidR="00EF7660" w:rsidRPr="00FF0EAC">
        <w:rPr>
          <w:lang w:val="fr-CA"/>
        </w:rPr>
        <w:t xml:space="preserve"> parce qu</w:t>
      </w:r>
      <w:r w:rsidR="00005C15">
        <w:rPr>
          <w:lang w:val="fr-CA"/>
        </w:rPr>
        <w:t>’</w:t>
      </w:r>
      <w:r w:rsidR="00EF7660" w:rsidRPr="00FF0EAC">
        <w:rPr>
          <w:lang w:val="fr-CA"/>
        </w:rPr>
        <w:t>il a examiné la question de savoir si la directive constitue un exercice raisonnable et équitable des pouvoirs de gestion de l</w:t>
      </w:r>
      <w:r w:rsidR="00005C15">
        <w:rPr>
          <w:lang w:val="fr-CA"/>
        </w:rPr>
        <w:t>’</w:t>
      </w:r>
      <w:r w:rsidR="00EF7660" w:rsidRPr="00FF0EAC">
        <w:rPr>
          <w:lang w:val="fr-CA"/>
        </w:rPr>
        <w:t>employeur à travers le prisme de ces conclusions. Par exemple, en concluant que la directive ne lui apparaît tout simplement ni raisonnable, ni équitable, l</w:t>
      </w:r>
      <w:r w:rsidR="00005C15">
        <w:rPr>
          <w:lang w:val="fr-CA"/>
        </w:rPr>
        <w:t>’</w:t>
      </w:r>
      <w:r w:rsidR="00EF7660" w:rsidRPr="00FF0EAC">
        <w:rPr>
          <w:lang w:val="fr-CA"/>
        </w:rPr>
        <w:t>arbitre note, entre autres, qu</w:t>
      </w:r>
      <w:r w:rsidR="00005C15">
        <w:rPr>
          <w:lang w:val="fr-CA"/>
        </w:rPr>
        <w:t>’</w:t>
      </w:r>
      <w:r w:rsidR="00EF7660" w:rsidRPr="00FF0EAC">
        <w:rPr>
          <w:lang w:val="fr-CA"/>
        </w:rPr>
        <w:t>il serait plutôt équitable que les juristes soient indemnisés pour les moments où l</w:t>
      </w:r>
      <w:r w:rsidR="00005C15">
        <w:rPr>
          <w:lang w:val="fr-CA"/>
        </w:rPr>
        <w:t>’</w:t>
      </w:r>
      <w:r w:rsidR="00EF7660" w:rsidRPr="00FF0EAC">
        <w:rPr>
          <w:lang w:val="fr-CA"/>
        </w:rPr>
        <w:t>employeur continue d</w:t>
      </w:r>
      <w:r w:rsidR="00005C15">
        <w:rPr>
          <w:lang w:val="fr-CA"/>
        </w:rPr>
        <w:t>’</w:t>
      </w:r>
      <w:r w:rsidR="00EF7660" w:rsidRPr="00FF0EAC">
        <w:rPr>
          <w:lang w:val="fr-CA"/>
        </w:rPr>
        <w:t>exercer un cert</w:t>
      </w:r>
      <w:r w:rsidRPr="00FF0EAC">
        <w:rPr>
          <w:lang w:val="fr-CA"/>
        </w:rPr>
        <w:t>ain contrôle sur leur vie. L</w:t>
      </w:r>
      <w:r w:rsidR="00EF7660" w:rsidRPr="00FF0EAC">
        <w:rPr>
          <w:lang w:val="fr-CA"/>
        </w:rPr>
        <w:t>es conclusions de l</w:t>
      </w:r>
      <w:r w:rsidR="00005C15">
        <w:rPr>
          <w:lang w:val="fr-CA"/>
        </w:rPr>
        <w:t>’</w:t>
      </w:r>
      <w:r w:rsidR="00EF7660" w:rsidRPr="00FF0EAC">
        <w:rPr>
          <w:lang w:val="fr-CA"/>
        </w:rPr>
        <w:t xml:space="preserve">arbitre concernant la violation </w:t>
      </w:r>
      <w:r w:rsidRPr="00FF0EAC">
        <w:rPr>
          <w:lang w:val="fr-CA"/>
        </w:rPr>
        <w:t xml:space="preserve">de la convention collective </w:t>
      </w:r>
      <w:r w:rsidR="00EF7660" w:rsidRPr="00FF0EAC">
        <w:rPr>
          <w:lang w:val="fr-CA"/>
        </w:rPr>
        <w:t>quant à l</w:t>
      </w:r>
      <w:r w:rsidR="00005C15">
        <w:rPr>
          <w:lang w:val="fr-CA"/>
        </w:rPr>
        <w:t>’</w:t>
      </w:r>
      <w:r w:rsidR="00EF7660" w:rsidRPr="00FF0EAC">
        <w:rPr>
          <w:lang w:val="fr-CA"/>
        </w:rPr>
        <w:t>exercice du pouvoir de gestion et quant à la protection des droits constitut</w:t>
      </w:r>
      <w:r w:rsidRPr="00FF0EAC">
        <w:rPr>
          <w:lang w:val="fr-CA"/>
        </w:rPr>
        <w:t>ionnels des juristes reposent donc</w:t>
      </w:r>
      <w:r w:rsidR="00EF7660" w:rsidRPr="00FF0EAC">
        <w:rPr>
          <w:lang w:val="fr-CA"/>
        </w:rPr>
        <w:t xml:space="preserve"> sur la même caractérisation de l</w:t>
      </w:r>
      <w:r w:rsidR="00005C15">
        <w:rPr>
          <w:lang w:val="fr-CA"/>
        </w:rPr>
        <w:t>’</w:t>
      </w:r>
      <w:r w:rsidR="00EF7660" w:rsidRPr="00FF0EAC">
        <w:rPr>
          <w:lang w:val="fr-CA"/>
        </w:rPr>
        <w:t>effet de la directive sur la vie des avocats</w:t>
      </w:r>
      <w:r w:rsidRPr="00FF0EAC">
        <w:rPr>
          <w:lang w:val="fr-CA"/>
        </w:rPr>
        <w:t xml:space="preserve">. </w:t>
      </w:r>
      <w:r w:rsidR="00EF7660" w:rsidRPr="00FF0EAC">
        <w:rPr>
          <w:lang w:val="fr-CA"/>
        </w:rPr>
        <w:t>Or, cette caractérisation semble erronée dans la mesure où elle ignore des éléments clés de l</w:t>
      </w:r>
      <w:r w:rsidR="00005C15">
        <w:rPr>
          <w:lang w:val="fr-CA"/>
        </w:rPr>
        <w:t>’</w:t>
      </w:r>
      <w:r w:rsidR="00EF7660" w:rsidRPr="00FF0EAC">
        <w:rPr>
          <w:lang w:val="fr-CA"/>
        </w:rPr>
        <w:t xml:space="preserve">énoncé conjoint des faits. </w:t>
      </w:r>
    </w:p>
    <w:p w:rsidR="00FF0EAC" w:rsidRPr="00FF0EAC" w:rsidRDefault="00EF7660" w:rsidP="002B57A4">
      <w:pPr>
        <w:pStyle w:val="SCCNormalDoubleSpacing"/>
        <w:widowControl w:val="0"/>
        <w:spacing w:before="480" w:after="480"/>
        <w:rPr>
          <w:lang w:val="fr-CA"/>
        </w:rPr>
      </w:pPr>
      <w:r w:rsidRPr="00FF0EAC">
        <w:rPr>
          <w:lang w:val="fr-CA"/>
        </w:rPr>
        <w:tab/>
        <w:t>Puisque le grief doit être renvoyé à un autre arbitre,</w:t>
      </w:r>
      <w:r w:rsidR="00C20BC4" w:rsidRPr="00FF0EAC">
        <w:rPr>
          <w:lang w:val="fr-CA"/>
        </w:rPr>
        <w:t xml:space="preserve"> il n</w:t>
      </w:r>
      <w:r w:rsidR="00005C15">
        <w:rPr>
          <w:lang w:val="fr-CA"/>
        </w:rPr>
        <w:t>’</w:t>
      </w:r>
      <w:r w:rsidR="00C20BC4" w:rsidRPr="00FF0EAC">
        <w:rPr>
          <w:lang w:val="fr-CA"/>
        </w:rPr>
        <w:t>y a pas lieu de trancher</w:t>
      </w:r>
      <w:r w:rsidRPr="00FF0EAC">
        <w:rPr>
          <w:lang w:val="fr-CA"/>
        </w:rPr>
        <w:t xml:space="preserve"> de façon définitive le caractère raisonnable et équitable de la directive. Il y a lieu de souligner toutefois que les conclusions de l</w:t>
      </w:r>
      <w:r w:rsidR="00005C15">
        <w:rPr>
          <w:lang w:val="fr-CA"/>
        </w:rPr>
        <w:t>’</w:t>
      </w:r>
      <w:r w:rsidRPr="00FF0EAC">
        <w:rPr>
          <w:lang w:val="fr-CA"/>
        </w:rPr>
        <w:t>arbitre en l</w:t>
      </w:r>
      <w:r w:rsidR="00005C15">
        <w:rPr>
          <w:lang w:val="fr-CA"/>
        </w:rPr>
        <w:t>’</w:t>
      </w:r>
      <w:r w:rsidRPr="00FF0EAC">
        <w:rPr>
          <w:lang w:val="fr-CA"/>
        </w:rPr>
        <w:t>espèce ne semblent se justifier ni au regard des faits,</w:t>
      </w:r>
      <w:r w:rsidRPr="00FF0EAC">
        <w:rPr>
          <w:b/>
          <w:lang w:val="fr-CA"/>
        </w:rPr>
        <w:t xml:space="preserve"> </w:t>
      </w:r>
      <w:r w:rsidRPr="00FF0EAC">
        <w:rPr>
          <w:lang w:val="fr-CA"/>
        </w:rPr>
        <w:t>ni au regard du droit. Quant aux faits, sa conclusion voulant que l</w:t>
      </w:r>
      <w:r w:rsidR="00005C15">
        <w:rPr>
          <w:lang w:val="fr-CA"/>
        </w:rPr>
        <w:t>’</w:t>
      </w:r>
      <w:r w:rsidRPr="00FF0EAC">
        <w:rPr>
          <w:lang w:val="fr-CA"/>
        </w:rPr>
        <w:t xml:space="preserve">employeur ait un certain contrôle sur le besoin organisationnel à la base </w:t>
      </w:r>
      <w:r w:rsidRPr="00FF0EAC">
        <w:rPr>
          <w:lang w:val="fr-CA"/>
        </w:rPr>
        <w:lastRenderedPageBreak/>
        <w:t>de l</w:t>
      </w:r>
      <w:r w:rsidR="00005C15">
        <w:rPr>
          <w:lang w:val="fr-CA"/>
        </w:rPr>
        <w:t>’</w:t>
      </w:r>
      <w:r w:rsidRPr="00FF0EAC">
        <w:rPr>
          <w:lang w:val="fr-CA"/>
        </w:rPr>
        <w:t>imposition unilatérale d</w:t>
      </w:r>
      <w:r w:rsidR="00005C15">
        <w:rPr>
          <w:lang w:val="fr-CA"/>
        </w:rPr>
        <w:t>’</w:t>
      </w:r>
      <w:r w:rsidRPr="00FF0EAC">
        <w:rPr>
          <w:lang w:val="fr-CA"/>
        </w:rPr>
        <w:t>une période de garde va à l</w:t>
      </w:r>
      <w:r w:rsidR="00005C15">
        <w:rPr>
          <w:lang w:val="fr-CA"/>
        </w:rPr>
        <w:t>’</w:t>
      </w:r>
      <w:r w:rsidRPr="00FF0EAC">
        <w:rPr>
          <w:lang w:val="fr-CA"/>
        </w:rPr>
        <w:t>encontre de la preuve commune soumise par les parties à l</w:t>
      </w:r>
      <w:r w:rsidR="00005C15">
        <w:rPr>
          <w:lang w:val="fr-CA"/>
        </w:rPr>
        <w:t>’</w:t>
      </w:r>
      <w:r w:rsidRPr="00FF0EAC">
        <w:rPr>
          <w:lang w:val="fr-CA"/>
        </w:rPr>
        <w:t>effet qu</w:t>
      </w:r>
      <w:r w:rsidR="00005C15">
        <w:rPr>
          <w:lang w:val="fr-CA"/>
        </w:rPr>
        <w:t>’</w:t>
      </w:r>
      <w:r w:rsidRPr="00FF0EAC">
        <w:rPr>
          <w:lang w:val="fr-CA"/>
        </w:rPr>
        <w:t xml:space="preserve">une demande de sursis peut survenir de façon imprévisible et doit être </w:t>
      </w:r>
      <w:r w:rsidR="00C20BC4" w:rsidRPr="00FF0EAC">
        <w:rPr>
          <w:lang w:val="fr-CA"/>
        </w:rPr>
        <w:t>traitée de façon urgente. Ainsi,</w:t>
      </w:r>
      <w:r w:rsidRPr="00FF0EAC">
        <w:rPr>
          <w:lang w:val="fr-CA"/>
        </w:rPr>
        <w:t xml:space="preserve"> pour cette raison et dans la mesure où ses motifs passent sous silence des éléments factuels essentiels, l</w:t>
      </w:r>
      <w:r w:rsidR="00C20BC4" w:rsidRPr="00FF0EAC">
        <w:rPr>
          <w:lang w:val="fr-CA"/>
        </w:rPr>
        <w:t>a décision de l</w:t>
      </w:r>
      <w:r w:rsidR="00005C15">
        <w:rPr>
          <w:lang w:val="fr-CA"/>
        </w:rPr>
        <w:t>’</w:t>
      </w:r>
      <w:r w:rsidR="00C20BC4" w:rsidRPr="00FF0EAC">
        <w:rPr>
          <w:lang w:val="fr-CA"/>
        </w:rPr>
        <w:t>arbitre</w:t>
      </w:r>
      <w:r w:rsidRPr="00FF0EAC">
        <w:rPr>
          <w:lang w:val="fr-CA"/>
        </w:rPr>
        <w:t xml:space="preserve"> n</w:t>
      </w:r>
      <w:r w:rsidR="00005C15">
        <w:rPr>
          <w:lang w:val="fr-CA"/>
        </w:rPr>
        <w:t>’</w:t>
      </w:r>
      <w:r w:rsidRPr="00FF0EAC">
        <w:rPr>
          <w:lang w:val="fr-CA"/>
        </w:rPr>
        <w:t xml:space="preserve">appartient pas aux issues possibles acceptables pouvant se justifier au regard des faits. </w:t>
      </w:r>
    </w:p>
    <w:p w:rsidR="004D7D95" w:rsidRPr="00FF0EAC" w:rsidRDefault="00EF7660" w:rsidP="002B57A4">
      <w:pPr>
        <w:pStyle w:val="SCCNormalDoubleSpacing"/>
        <w:widowControl w:val="0"/>
        <w:spacing w:before="480" w:after="480"/>
        <w:rPr>
          <w:lang w:val="fr-CA"/>
        </w:rPr>
      </w:pPr>
      <w:r w:rsidRPr="00FF0EAC">
        <w:rPr>
          <w:lang w:val="fr-CA"/>
        </w:rPr>
        <w:tab/>
        <w:t>La décision de l</w:t>
      </w:r>
      <w:r w:rsidR="00005C15">
        <w:rPr>
          <w:lang w:val="fr-CA"/>
        </w:rPr>
        <w:t>’</w:t>
      </w:r>
      <w:r w:rsidRPr="00FF0EAC">
        <w:rPr>
          <w:lang w:val="fr-CA"/>
        </w:rPr>
        <w:t>arbitre ne semble pas non plus justifiée au regard du droit.</w:t>
      </w:r>
      <w:r w:rsidR="00C20BC4" w:rsidRPr="00FF0EAC">
        <w:rPr>
          <w:lang w:val="fr-CA"/>
        </w:rPr>
        <w:t xml:space="preserve"> </w:t>
      </w:r>
      <w:r w:rsidRPr="00FF0EAC">
        <w:rPr>
          <w:lang w:val="fr-CA"/>
        </w:rPr>
        <w:t>L</w:t>
      </w:r>
      <w:r w:rsidR="00005C15">
        <w:rPr>
          <w:lang w:val="fr-CA"/>
        </w:rPr>
        <w:t>’</w:t>
      </w:r>
      <w:r w:rsidRPr="00FF0EAC">
        <w:rPr>
          <w:lang w:val="fr-CA"/>
        </w:rPr>
        <w:t>analyse du caractère raisonnable et équitable d</w:t>
      </w:r>
      <w:r w:rsidR="00005C15">
        <w:rPr>
          <w:lang w:val="fr-CA"/>
        </w:rPr>
        <w:t>’</w:t>
      </w:r>
      <w:r w:rsidRPr="00FF0EAC">
        <w:rPr>
          <w:lang w:val="fr-CA"/>
        </w:rPr>
        <w:t>une directive imposée unilatéralement repose sur une démarche axée sur la mise en balance des intérêts, et non sur la question de savoir si l</w:t>
      </w:r>
      <w:r w:rsidR="00005C15">
        <w:rPr>
          <w:lang w:val="fr-CA"/>
        </w:rPr>
        <w:t>’</w:t>
      </w:r>
      <w:r w:rsidRPr="00FF0EAC">
        <w:rPr>
          <w:lang w:val="fr-CA"/>
        </w:rPr>
        <w:t>employeur a retenu le moyen le moins attentatoire de répondre à ses exigences opérationnelles. En analysant si l</w:t>
      </w:r>
      <w:r w:rsidR="00005C15">
        <w:rPr>
          <w:lang w:val="fr-CA"/>
        </w:rPr>
        <w:t>’</w:t>
      </w:r>
      <w:r w:rsidRPr="00FF0EAC">
        <w:rPr>
          <w:lang w:val="fr-CA"/>
        </w:rPr>
        <w:t>employeur avait agi raisonnablement, équitablement et de bonne foi en adoptant la directive, l</w:t>
      </w:r>
      <w:r w:rsidR="00005C15">
        <w:rPr>
          <w:lang w:val="fr-CA"/>
        </w:rPr>
        <w:t>’</w:t>
      </w:r>
      <w:r w:rsidRPr="00FF0EAC">
        <w:rPr>
          <w:lang w:val="fr-CA"/>
        </w:rPr>
        <w:t>arbitre a noté qu</w:t>
      </w:r>
      <w:r w:rsidR="00005C15">
        <w:rPr>
          <w:lang w:val="fr-CA"/>
        </w:rPr>
        <w:t>’</w:t>
      </w:r>
      <w:r w:rsidRPr="00FF0EAC">
        <w:rPr>
          <w:lang w:val="fr-CA"/>
        </w:rPr>
        <w:t>on ne lui avait présenté aucune preuve établissant que la période de garde est le seul moyen dont dispose l</w:t>
      </w:r>
      <w:r w:rsidR="00005C15">
        <w:rPr>
          <w:lang w:val="fr-CA"/>
        </w:rPr>
        <w:t>’</w:t>
      </w:r>
      <w:r w:rsidRPr="00FF0EAC">
        <w:rPr>
          <w:lang w:val="fr-CA"/>
        </w:rPr>
        <w:t>employeur pour répondre aux urgences les soirs de semain</w:t>
      </w:r>
      <w:r w:rsidR="00C20BC4" w:rsidRPr="00FF0EAC">
        <w:rPr>
          <w:lang w:val="fr-CA"/>
        </w:rPr>
        <w:t xml:space="preserve">e et les fins de semaine. </w:t>
      </w:r>
      <w:r w:rsidRPr="00FF0EAC">
        <w:rPr>
          <w:lang w:val="fr-CA"/>
        </w:rPr>
        <w:t>Or, ce n</w:t>
      </w:r>
      <w:r w:rsidR="00005C15">
        <w:rPr>
          <w:lang w:val="fr-CA"/>
        </w:rPr>
        <w:t>’</w:t>
      </w:r>
      <w:r w:rsidRPr="00FF0EAC">
        <w:rPr>
          <w:lang w:val="fr-CA"/>
        </w:rPr>
        <w:t>est pas le critère juridique applicable en l</w:t>
      </w:r>
      <w:r w:rsidR="00005C15">
        <w:rPr>
          <w:lang w:val="fr-CA"/>
        </w:rPr>
        <w:t>’</w:t>
      </w:r>
      <w:r w:rsidRPr="00FF0EAC">
        <w:rPr>
          <w:lang w:val="fr-CA"/>
        </w:rPr>
        <w:t xml:space="preserve">espèce. </w:t>
      </w:r>
      <w:r w:rsidR="00C20BC4" w:rsidRPr="00FF0EAC">
        <w:rPr>
          <w:lang w:val="fr-CA"/>
        </w:rPr>
        <w:t>R</w:t>
      </w:r>
      <w:r w:rsidRPr="00FF0EAC">
        <w:rPr>
          <w:lang w:val="fr-CA"/>
        </w:rPr>
        <w:t>equérir de l</w:t>
      </w:r>
      <w:r w:rsidR="00005C15">
        <w:rPr>
          <w:lang w:val="fr-CA"/>
        </w:rPr>
        <w:t>’</w:t>
      </w:r>
      <w:r w:rsidRPr="00FF0EAC">
        <w:rPr>
          <w:lang w:val="fr-CA"/>
        </w:rPr>
        <w:t>employeur qu</w:t>
      </w:r>
      <w:r w:rsidR="00005C15">
        <w:rPr>
          <w:lang w:val="fr-CA"/>
        </w:rPr>
        <w:t>’</w:t>
      </w:r>
      <w:r w:rsidRPr="00FF0EAC">
        <w:rPr>
          <w:lang w:val="fr-CA"/>
        </w:rPr>
        <w:t>il prouve l</w:t>
      </w:r>
      <w:r w:rsidR="00005C15">
        <w:rPr>
          <w:lang w:val="fr-CA"/>
        </w:rPr>
        <w:t>’</w:t>
      </w:r>
      <w:r w:rsidRPr="00FF0EAC">
        <w:rPr>
          <w:lang w:val="fr-CA"/>
        </w:rPr>
        <w:t>absence d</w:t>
      </w:r>
      <w:r w:rsidR="00005C15">
        <w:rPr>
          <w:lang w:val="fr-CA"/>
        </w:rPr>
        <w:t>’</w:t>
      </w:r>
      <w:r w:rsidRPr="00FF0EAC">
        <w:rPr>
          <w:lang w:val="fr-CA"/>
        </w:rPr>
        <w:t>autres solut</w:t>
      </w:r>
      <w:r w:rsidR="00DE2E21">
        <w:rPr>
          <w:lang w:val="fr-CA"/>
        </w:rPr>
        <w:t>ions pour régler son problème</w:t>
      </w:r>
      <w:r w:rsidR="00C20BC4" w:rsidRPr="00FF0EAC">
        <w:rPr>
          <w:lang w:val="fr-CA"/>
        </w:rPr>
        <w:t xml:space="preserve"> lui</w:t>
      </w:r>
      <w:r w:rsidRPr="00FF0EAC">
        <w:rPr>
          <w:lang w:val="fr-CA"/>
        </w:rPr>
        <w:t xml:space="preserve"> impose le fardeau beaucoup trop onéreux de prouver un fait négatif. En conséquence, dans la mesure où la décision de l</w:t>
      </w:r>
      <w:r w:rsidR="00005C15">
        <w:rPr>
          <w:lang w:val="fr-CA"/>
        </w:rPr>
        <w:t>’</w:t>
      </w:r>
      <w:r w:rsidRPr="00FF0EAC">
        <w:rPr>
          <w:lang w:val="fr-CA"/>
        </w:rPr>
        <w:t>arbitre se fonde sur un critère autre que celui applicable en droit et qui a pour effet d</w:t>
      </w:r>
      <w:r w:rsidR="00005C15">
        <w:rPr>
          <w:lang w:val="fr-CA"/>
        </w:rPr>
        <w:t>’</w:t>
      </w:r>
      <w:r w:rsidRPr="00FF0EAC">
        <w:rPr>
          <w:lang w:val="fr-CA"/>
        </w:rPr>
        <w:t>imposer à l</w:t>
      </w:r>
      <w:r w:rsidR="00005C15">
        <w:rPr>
          <w:lang w:val="fr-CA"/>
        </w:rPr>
        <w:t>’</w:t>
      </w:r>
      <w:r w:rsidRPr="00FF0EAC">
        <w:rPr>
          <w:lang w:val="fr-CA"/>
        </w:rPr>
        <w:t>employeur un fardeau excessif, elle ne fait pas partie des issues possibles acceptables pouvant se justifier au regard du droit.</w:t>
      </w:r>
    </w:p>
    <w:p w:rsidR="004D7D95" w:rsidRPr="00FF0EAC" w:rsidRDefault="004D7D95" w:rsidP="002B57A4">
      <w:pPr>
        <w:pStyle w:val="SCCNormalDoubleSpacing"/>
        <w:widowControl w:val="0"/>
        <w:spacing w:after="720" w:line="240" w:lineRule="auto"/>
        <w:rPr>
          <w:b/>
          <w:lang w:val="fr-CA"/>
        </w:rPr>
      </w:pPr>
      <w:r w:rsidRPr="00FF0EAC">
        <w:rPr>
          <w:b/>
          <w:lang w:val="fr-CA"/>
        </w:rPr>
        <w:t>Jurisprudence</w:t>
      </w:r>
    </w:p>
    <w:p w:rsidR="004D7D95" w:rsidRPr="00FF0EAC" w:rsidRDefault="00E477B2" w:rsidP="002B57A4">
      <w:pPr>
        <w:pStyle w:val="SCCNormalDoubleSpacing"/>
        <w:widowControl w:val="0"/>
        <w:spacing w:after="720" w:line="240" w:lineRule="auto"/>
        <w:rPr>
          <w:lang w:val="fr-CA"/>
        </w:rPr>
      </w:pPr>
      <w:r w:rsidRPr="00FF0EAC">
        <w:rPr>
          <w:lang w:val="fr-CA"/>
        </w:rPr>
        <w:lastRenderedPageBreak/>
        <w:t>Citée par la juge Karakatsanis</w:t>
      </w:r>
    </w:p>
    <w:p w:rsidR="00FF7D17" w:rsidRPr="00FF0EAC" w:rsidRDefault="004D7D95" w:rsidP="002B57A4">
      <w:pPr>
        <w:pStyle w:val="SCCNormalDoubleSpacing"/>
        <w:widowControl w:val="0"/>
        <w:spacing w:before="480" w:after="480"/>
        <w:rPr>
          <w:lang w:val="fr-CA"/>
        </w:rPr>
      </w:pPr>
      <w:r w:rsidRPr="00FF0EAC">
        <w:rPr>
          <w:lang w:val="fr-CA"/>
        </w:rPr>
        <w:tab/>
      </w:r>
      <w:r w:rsidR="007227B8" w:rsidRPr="00FF0EAC">
        <w:rPr>
          <w:b/>
          <w:lang w:val="fr-CA"/>
        </w:rPr>
        <w:t>Arrêt appliqué</w:t>
      </w:r>
      <w:r w:rsidR="00005C15">
        <w:rPr>
          <w:b/>
          <w:lang w:val="fr-CA"/>
        </w:rPr>
        <w:t> :</w:t>
      </w:r>
      <w:r w:rsidR="007227B8" w:rsidRPr="00FF0EAC">
        <w:rPr>
          <w:lang w:val="fr-CA"/>
        </w:rPr>
        <w:t xml:space="preserve"> </w:t>
      </w:r>
      <w:r w:rsidR="007227B8" w:rsidRPr="00FF0EAC">
        <w:rPr>
          <w:i/>
          <w:lang w:val="fr-CA"/>
        </w:rPr>
        <w:t>Syndicat canadien des communications, de l</w:t>
      </w:r>
      <w:r w:rsidR="00005C15">
        <w:rPr>
          <w:i/>
          <w:lang w:val="fr-CA"/>
        </w:rPr>
        <w:t>’</w:t>
      </w:r>
      <w:r w:rsidR="007227B8" w:rsidRPr="00FF0EAC">
        <w:rPr>
          <w:i/>
          <w:lang w:val="fr-CA"/>
        </w:rPr>
        <w:t>énergie et du papier, section locale 30 c. Pâtes &amp; Papier Irving, Ltée</w:t>
      </w:r>
      <w:r w:rsidR="007227B8" w:rsidRPr="00FF0EAC">
        <w:rPr>
          <w:lang w:val="fr-CA"/>
        </w:rPr>
        <w:t xml:space="preserve">, 2013 CSC 34, [2013] 2 R.C.S. 458; </w:t>
      </w:r>
      <w:r w:rsidR="00DE2E21">
        <w:rPr>
          <w:b/>
          <w:lang w:val="fr-CA"/>
        </w:rPr>
        <w:t>arrêt non suivi</w:t>
      </w:r>
      <w:r w:rsidR="00005C15">
        <w:rPr>
          <w:b/>
          <w:lang w:val="fr-CA"/>
        </w:rPr>
        <w:t> :</w:t>
      </w:r>
      <w:r w:rsidR="007227B8" w:rsidRPr="00FF0EAC">
        <w:rPr>
          <w:lang w:val="fr-CA"/>
        </w:rPr>
        <w:t xml:space="preserve"> </w:t>
      </w:r>
      <w:r w:rsidR="007227B8" w:rsidRPr="00FF0EAC">
        <w:rPr>
          <w:i/>
          <w:lang w:val="fr-CA"/>
        </w:rPr>
        <w:t xml:space="preserve">United Nurses of Alberta c. Alberta </w:t>
      </w:r>
      <w:proofErr w:type="spellStart"/>
      <w:r w:rsidR="007227B8" w:rsidRPr="00FF0EAC">
        <w:rPr>
          <w:i/>
          <w:lang w:val="fr-CA"/>
        </w:rPr>
        <w:t>Health</w:t>
      </w:r>
      <w:proofErr w:type="spellEnd"/>
      <w:r w:rsidR="007227B8" w:rsidRPr="00FF0EAC">
        <w:rPr>
          <w:i/>
          <w:lang w:val="fr-CA"/>
        </w:rPr>
        <w:t xml:space="preserve"> Services</w:t>
      </w:r>
      <w:r w:rsidR="007227B8" w:rsidRPr="00FF0EAC">
        <w:rPr>
          <w:lang w:val="fr-CA"/>
        </w:rPr>
        <w:t xml:space="preserve">, 2014 </w:t>
      </w:r>
      <w:proofErr w:type="spellStart"/>
      <w:r w:rsidR="007227B8" w:rsidRPr="00FF0EAC">
        <w:rPr>
          <w:lang w:val="fr-CA"/>
        </w:rPr>
        <w:t>CanLII</w:t>
      </w:r>
      <w:proofErr w:type="spellEnd"/>
      <w:r w:rsidR="007227B8" w:rsidRPr="00FF0EAC">
        <w:rPr>
          <w:lang w:val="fr-CA"/>
        </w:rPr>
        <w:t xml:space="preserve"> 50285; </w:t>
      </w:r>
      <w:r w:rsidR="007227B8" w:rsidRPr="00FF0EAC">
        <w:rPr>
          <w:b/>
          <w:lang w:val="fr-CA"/>
        </w:rPr>
        <w:t>a</w:t>
      </w:r>
      <w:r w:rsidRPr="00FF0EAC">
        <w:rPr>
          <w:b/>
          <w:lang w:val="fr-CA"/>
        </w:rPr>
        <w:t>rrêts mentionnés</w:t>
      </w:r>
      <w:r w:rsidR="00005C15">
        <w:rPr>
          <w:b/>
          <w:lang w:val="fr-CA"/>
        </w:rPr>
        <w:t> :</w:t>
      </w:r>
      <w:r w:rsidRPr="00FF0EAC">
        <w:rPr>
          <w:lang w:val="fr-CA"/>
        </w:rPr>
        <w:t xml:space="preserve"> </w:t>
      </w:r>
      <w:r w:rsidR="00EC67F0" w:rsidRPr="00FF0EAC">
        <w:rPr>
          <w:i/>
          <w:lang w:val="fr-CA"/>
        </w:rPr>
        <w:t>Commission scolaire de Laval c. Syndicat de l</w:t>
      </w:r>
      <w:r w:rsidR="00005C15">
        <w:rPr>
          <w:i/>
          <w:lang w:val="fr-CA"/>
        </w:rPr>
        <w:t>’</w:t>
      </w:r>
      <w:r w:rsidR="00EC67F0" w:rsidRPr="00FF0EAC">
        <w:rPr>
          <w:i/>
          <w:lang w:val="fr-CA"/>
        </w:rPr>
        <w:t>enseignement de la région de Laval</w:t>
      </w:r>
      <w:r w:rsidR="00EC67F0" w:rsidRPr="00FF0EAC">
        <w:rPr>
          <w:lang w:val="fr-CA"/>
        </w:rPr>
        <w:t xml:space="preserve">, 2016 CSC 8, [2016] 1 R.C.S. 29; </w:t>
      </w:r>
      <w:proofErr w:type="spellStart"/>
      <w:r w:rsidR="00CF6AEE" w:rsidRPr="00FF0EAC">
        <w:rPr>
          <w:i/>
          <w:iCs/>
          <w:lang w:val="fr-CA"/>
        </w:rPr>
        <w:t>Re</w:t>
      </w:r>
      <w:proofErr w:type="spellEnd"/>
      <w:r w:rsidR="00CF6AEE" w:rsidRPr="00FF0EAC">
        <w:rPr>
          <w:i/>
          <w:iCs/>
          <w:lang w:val="fr-CA"/>
        </w:rPr>
        <w:t xml:space="preserve"> </w:t>
      </w:r>
      <w:proofErr w:type="spellStart"/>
      <w:r w:rsidR="00CF6AEE" w:rsidRPr="00FF0EAC">
        <w:rPr>
          <w:i/>
          <w:iCs/>
          <w:lang w:val="fr-CA"/>
        </w:rPr>
        <w:t>Lumber</w:t>
      </w:r>
      <w:proofErr w:type="spellEnd"/>
      <w:r w:rsidR="00CF6AEE" w:rsidRPr="00FF0EAC">
        <w:rPr>
          <w:i/>
          <w:iCs/>
          <w:lang w:val="fr-CA"/>
        </w:rPr>
        <w:t xml:space="preserve"> &amp; </w:t>
      </w:r>
      <w:proofErr w:type="spellStart"/>
      <w:r w:rsidR="00CF6AEE" w:rsidRPr="00FF0EAC">
        <w:rPr>
          <w:i/>
          <w:iCs/>
          <w:lang w:val="fr-CA"/>
        </w:rPr>
        <w:t>Sawmill</w:t>
      </w:r>
      <w:proofErr w:type="spellEnd"/>
      <w:r w:rsidR="00CF6AEE" w:rsidRPr="00FF0EAC">
        <w:rPr>
          <w:i/>
          <w:iCs/>
          <w:lang w:val="fr-CA"/>
        </w:rPr>
        <w:t xml:space="preserve"> </w:t>
      </w:r>
      <w:proofErr w:type="spellStart"/>
      <w:r w:rsidR="00CF6AEE" w:rsidRPr="00FF0EAC">
        <w:rPr>
          <w:i/>
          <w:iCs/>
          <w:lang w:val="fr-CA"/>
        </w:rPr>
        <w:t>Workers</w:t>
      </w:r>
      <w:proofErr w:type="spellEnd"/>
      <w:r w:rsidR="00005C15">
        <w:rPr>
          <w:i/>
          <w:iCs/>
          <w:lang w:val="fr-CA"/>
        </w:rPr>
        <w:t>’</w:t>
      </w:r>
      <w:r w:rsidR="00CF6AEE" w:rsidRPr="00FF0EAC">
        <w:rPr>
          <w:i/>
          <w:iCs/>
          <w:lang w:val="fr-CA"/>
        </w:rPr>
        <w:t xml:space="preserve"> Union, Local 2537, and KVP Co. </w:t>
      </w:r>
      <w:r w:rsidR="00CF6AEE" w:rsidRPr="00FF0EAC">
        <w:rPr>
          <w:rStyle w:val="reflex3-block"/>
          <w:lang w:val="fr-CA"/>
        </w:rPr>
        <w:t xml:space="preserve">(1965), </w:t>
      </w:r>
      <w:r w:rsidR="00CF6AEE" w:rsidRPr="00FF0EAC">
        <w:rPr>
          <w:rStyle w:val="reflex3-alt"/>
          <w:lang w:val="fr-CA"/>
        </w:rPr>
        <w:t xml:space="preserve">16 L.A.C. 73; </w:t>
      </w:r>
      <w:proofErr w:type="spellStart"/>
      <w:r w:rsidR="00D57DB7" w:rsidRPr="00FF0EAC">
        <w:rPr>
          <w:i/>
          <w:lang w:val="fr-CA"/>
        </w:rPr>
        <w:t>Dunsmuir</w:t>
      </w:r>
      <w:proofErr w:type="spellEnd"/>
      <w:r w:rsidR="00D57DB7" w:rsidRPr="00FF0EAC">
        <w:rPr>
          <w:i/>
          <w:lang w:val="fr-CA"/>
        </w:rPr>
        <w:t xml:space="preserve"> c. Nouveau</w:t>
      </w:r>
      <w:r w:rsidR="00005C15">
        <w:rPr>
          <w:i/>
          <w:lang w:val="fr-CA"/>
        </w:rPr>
        <w:noBreakHyphen/>
      </w:r>
      <w:r w:rsidR="00D57DB7" w:rsidRPr="00FF0EAC">
        <w:rPr>
          <w:i/>
          <w:lang w:val="fr-CA"/>
        </w:rPr>
        <w:t>Brunswick</w:t>
      </w:r>
      <w:r w:rsidR="00D57DB7" w:rsidRPr="00FF0EAC">
        <w:rPr>
          <w:lang w:val="fr-CA"/>
        </w:rPr>
        <w:t xml:space="preserve">, 2008 CSC 9, [2008] 1 R.C.S. 190; </w:t>
      </w:r>
      <w:r w:rsidR="000865FB" w:rsidRPr="00FF0EAC">
        <w:rPr>
          <w:i/>
          <w:lang w:val="fr-CA"/>
        </w:rPr>
        <w:t xml:space="preserve">Maple </w:t>
      </w:r>
      <w:proofErr w:type="spellStart"/>
      <w:r w:rsidR="000865FB" w:rsidRPr="00FF0EAC">
        <w:rPr>
          <w:i/>
          <w:lang w:val="fr-CA"/>
        </w:rPr>
        <w:t>Leaf</w:t>
      </w:r>
      <w:proofErr w:type="spellEnd"/>
      <w:r w:rsidR="000865FB" w:rsidRPr="00FF0EAC">
        <w:rPr>
          <w:i/>
          <w:lang w:val="fr-CA"/>
        </w:rPr>
        <w:t xml:space="preserve"> Mills Inc. and U.F.C.W., Loc. 401, </w:t>
      </w:r>
      <w:proofErr w:type="spellStart"/>
      <w:r w:rsidR="000865FB" w:rsidRPr="00FF0EAC">
        <w:rPr>
          <w:i/>
          <w:lang w:val="fr-CA"/>
        </w:rPr>
        <w:t>Re</w:t>
      </w:r>
      <w:proofErr w:type="spellEnd"/>
      <w:r w:rsidR="000865FB" w:rsidRPr="00FF0EAC">
        <w:rPr>
          <w:i/>
          <w:lang w:val="fr-CA"/>
        </w:rPr>
        <w:t xml:space="preserve"> </w:t>
      </w:r>
      <w:r w:rsidR="000865FB" w:rsidRPr="00FF0EAC">
        <w:rPr>
          <w:lang w:val="fr-CA"/>
        </w:rPr>
        <w:t xml:space="preserve">(1995), 50 L.A.C. (4th) 246; </w:t>
      </w:r>
      <w:r w:rsidR="000865FB" w:rsidRPr="00FF0EAC">
        <w:rPr>
          <w:i/>
          <w:lang w:val="fr-CA"/>
        </w:rPr>
        <w:t xml:space="preserve">Shell Canada Ltd. c. Communications </w:t>
      </w:r>
      <w:proofErr w:type="spellStart"/>
      <w:r w:rsidR="000865FB" w:rsidRPr="00FF0EAC">
        <w:rPr>
          <w:i/>
          <w:lang w:val="fr-CA"/>
        </w:rPr>
        <w:t>Energy</w:t>
      </w:r>
      <w:proofErr w:type="spellEnd"/>
      <w:r w:rsidR="000865FB" w:rsidRPr="00FF0EAC">
        <w:rPr>
          <w:i/>
          <w:lang w:val="fr-CA"/>
        </w:rPr>
        <w:t xml:space="preserve"> and </w:t>
      </w:r>
      <w:proofErr w:type="spellStart"/>
      <w:r w:rsidR="000865FB" w:rsidRPr="00FF0EAC">
        <w:rPr>
          <w:i/>
          <w:lang w:val="fr-CA"/>
        </w:rPr>
        <w:t>Paperworkers</w:t>
      </w:r>
      <w:proofErr w:type="spellEnd"/>
      <w:r w:rsidR="000865FB" w:rsidRPr="00FF0EAC">
        <w:rPr>
          <w:i/>
          <w:lang w:val="fr-CA"/>
        </w:rPr>
        <w:t xml:space="preserve"> Union of Canada, Local 835</w:t>
      </w:r>
      <w:r w:rsidR="000865FB" w:rsidRPr="00FF0EAC">
        <w:rPr>
          <w:lang w:val="fr-CA"/>
        </w:rPr>
        <w:t xml:space="preserve">, [2001] A.G.A.A. </w:t>
      </w:r>
      <w:r w:rsidR="00005C15">
        <w:rPr>
          <w:lang w:val="fr-CA"/>
        </w:rPr>
        <w:t>No. </w:t>
      </w:r>
      <w:r w:rsidR="000865FB" w:rsidRPr="00FF0EAC">
        <w:rPr>
          <w:lang w:val="fr-CA"/>
        </w:rPr>
        <w:t>51</w:t>
      </w:r>
      <w:r w:rsidR="00DE2E21">
        <w:rPr>
          <w:lang w:val="fr-CA"/>
        </w:rPr>
        <w:t xml:space="preserve"> (QL)</w:t>
      </w:r>
      <w:r w:rsidR="00E1110C" w:rsidRPr="00FF0EAC">
        <w:rPr>
          <w:lang w:val="fr-CA"/>
        </w:rPr>
        <w:t xml:space="preserve">; </w:t>
      </w:r>
      <w:r w:rsidR="00E1110C" w:rsidRPr="00FF0EAC">
        <w:rPr>
          <w:i/>
          <w:lang w:val="fr-CA"/>
        </w:rPr>
        <w:t>Newfoundland and Labrador Nurses</w:t>
      </w:r>
      <w:r w:rsidR="00005C15">
        <w:rPr>
          <w:i/>
          <w:lang w:val="fr-CA"/>
        </w:rPr>
        <w:t>’</w:t>
      </w:r>
      <w:r w:rsidR="00E1110C" w:rsidRPr="00FF0EAC">
        <w:rPr>
          <w:i/>
          <w:lang w:val="fr-CA"/>
        </w:rPr>
        <w:t xml:space="preserve"> Union c. Terre</w:t>
      </w:r>
      <w:r w:rsidR="00005C15">
        <w:rPr>
          <w:i/>
          <w:lang w:val="fr-CA"/>
        </w:rPr>
        <w:noBreakHyphen/>
      </w:r>
      <w:r w:rsidR="00E1110C" w:rsidRPr="00FF0EAC">
        <w:rPr>
          <w:i/>
          <w:lang w:val="fr-CA"/>
        </w:rPr>
        <w:t>Neuve</w:t>
      </w:r>
      <w:r w:rsidR="00005C15">
        <w:rPr>
          <w:i/>
          <w:lang w:val="fr-CA"/>
        </w:rPr>
        <w:noBreakHyphen/>
      </w:r>
      <w:r w:rsidR="00E1110C" w:rsidRPr="00FF0EAC">
        <w:rPr>
          <w:i/>
          <w:lang w:val="fr-CA"/>
        </w:rPr>
        <w:t>et</w:t>
      </w:r>
      <w:r w:rsidR="00005C15">
        <w:rPr>
          <w:i/>
          <w:lang w:val="fr-CA"/>
        </w:rPr>
        <w:noBreakHyphen/>
      </w:r>
      <w:r w:rsidR="00E1110C" w:rsidRPr="00FF0EAC">
        <w:rPr>
          <w:i/>
          <w:lang w:val="fr-CA"/>
        </w:rPr>
        <w:t>Labrador (Conseil du Trésor)</w:t>
      </w:r>
      <w:r w:rsidR="0070166C" w:rsidRPr="00FF0EAC">
        <w:rPr>
          <w:lang w:val="fr-CA"/>
        </w:rPr>
        <w:t>, 2011 CSC 62,</w:t>
      </w:r>
      <w:r w:rsidR="00E1110C" w:rsidRPr="00FF0EAC">
        <w:rPr>
          <w:lang w:val="fr-CA"/>
        </w:rPr>
        <w:t xml:space="preserve"> [2011] 3 R.C.S. 708; </w:t>
      </w:r>
      <w:r w:rsidR="00AF7B2E" w:rsidRPr="00FF0EAC">
        <w:rPr>
          <w:i/>
          <w:iCs/>
          <w:lang w:val="fr-CA"/>
        </w:rPr>
        <w:t>Gosselin c. Québec (Procureur général)</w:t>
      </w:r>
      <w:r w:rsidR="00AF7B2E" w:rsidRPr="00FF0EAC">
        <w:rPr>
          <w:lang w:val="fr-CA"/>
        </w:rPr>
        <w:t xml:space="preserve">, 2002 CSC 84, [2002] 4 R.C.S. 429; </w:t>
      </w:r>
      <w:proofErr w:type="spellStart"/>
      <w:r w:rsidR="00AF7B2E" w:rsidRPr="00FF0EAC">
        <w:rPr>
          <w:i/>
          <w:iCs/>
          <w:lang w:val="fr-CA"/>
        </w:rPr>
        <w:t>Chaoulli</w:t>
      </w:r>
      <w:proofErr w:type="spellEnd"/>
      <w:r w:rsidR="00AF7B2E" w:rsidRPr="00FF0EAC">
        <w:rPr>
          <w:i/>
          <w:iCs/>
          <w:lang w:val="fr-CA"/>
        </w:rPr>
        <w:t xml:space="preserve"> c. Québec (Procureur général)</w:t>
      </w:r>
      <w:r w:rsidR="00AF7B2E" w:rsidRPr="00FF0EAC">
        <w:rPr>
          <w:lang w:val="fr-CA"/>
        </w:rPr>
        <w:t xml:space="preserve">, 2005 CSC 35, [2005] 1 R.C.S. 791; </w:t>
      </w:r>
      <w:r w:rsidR="00F61CD2" w:rsidRPr="00FF0EAC">
        <w:rPr>
          <w:i/>
          <w:iCs/>
          <w:lang w:val="fr-CA"/>
        </w:rPr>
        <w:t xml:space="preserve">R. c. </w:t>
      </w:r>
      <w:proofErr w:type="spellStart"/>
      <w:r w:rsidR="00F61CD2" w:rsidRPr="00FF0EAC">
        <w:rPr>
          <w:i/>
          <w:iCs/>
          <w:lang w:val="fr-CA"/>
        </w:rPr>
        <w:t>Malmo</w:t>
      </w:r>
      <w:r w:rsidR="00005C15">
        <w:rPr>
          <w:i/>
          <w:iCs/>
          <w:lang w:val="fr-CA"/>
        </w:rPr>
        <w:noBreakHyphen/>
      </w:r>
      <w:r w:rsidR="00F61CD2" w:rsidRPr="00FF0EAC">
        <w:rPr>
          <w:i/>
          <w:iCs/>
          <w:lang w:val="fr-CA"/>
        </w:rPr>
        <w:t>Levine</w:t>
      </w:r>
      <w:proofErr w:type="spellEnd"/>
      <w:r w:rsidR="00F61CD2" w:rsidRPr="00FF0EAC">
        <w:rPr>
          <w:lang w:val="fr-CA"/>
        </w:rPr>
        <w:t xml:space="preserve">, 2003 CSC 74, [2003] 3 R.C.S. 571; </w:t>
      </w:r>
      <w:r w:rsidR="00F61CD2" w:rsidRPr="00FF0EAC">
        <w:rPr>
          <w:i/>
          <w:iCs/>
          <w:lang w:val="fr-CA"/>
        </w:rPr>
        <w:t>Godbout c. Long</w:t>
      </w:r>
      <w:r w:rsidR="00CE5A6F">
        <w:rPr>
          <w:i/>
          <w:iCs/>
          <w:lang w:val="fr-CA"/>
        </w:rPr>
        <w:t>u</w:t>
      </w:r>
      <w:r w:rsidR="00F61CD2" w:rsidRPr="00FF0EAC">
        <w:rPr>
          <w:i/>
          <w:iCs/>
          <w:lang w:val="fr-CA"/>
        </w:rPr>
        <w:t>euil (Ville)</w:t>
      </w:r>
      <w:r w:rsidR="00F61CD2" w:rsidRPr="00FF0EAC">
        <w:rPr>
          <w:lang w:val="fr-CA"/>
        </w:rPr>
        <w:t>, [1997] 3 R.C.S. 844;</w:t>
      </w:r>
      <w:r w:rsidR="00FF7D17" w:rsidRPr="00FF0EAC">
        <w:rPr>
          <w:i/>
          <w:lang w:val="fr-CA"/>
        </w:rPr>
        <w:t xml:space="preserve"> </w:t>
      </w:r>
      <w:proofErr w:type="spellStart"/>
      <w:r w:rsidR="00FF7D17" w:rsidRPr="00FF0EAC">
        <w:rPr>
          <w:i/>
          <w:lang w:val="fr-CA"/>
        </w:rPr>
        <w:t>Blencoe</w:t>
      </w:r>
      <w:proofErr w:type="spellEnd"/>
      <w:r w:rsidR="00FF7D17" w:rsidRPr="00FF0EAC">
        <w:rPr>
          <w:i/>
          <w:lang w:val="fr-CA"/>
        </w:rPr>
        <w:t xml:space="preserve"> c. Colombie</w:t>
      </w:r>
      <w:r w:rsidR="00005C15">
        <w:rPr>
          <w:i/>
          <w:lang w:val="fr-CA"/>
        </w:rPr>
        <w:noBreakHyphen/>
      </w:r>
      <w:r w:rsidR="00CE5A6F">
        <w:rPr>
          <w:i/>
          <w:lang w:val="fr-CA"/>
        </w:rPr>
        <w:t>B</w:t>
      </w:r>
      <w:r w:rsidR="00FF7D17" w:rsidRPr="00FF0EAC">
        <w:rPr>
          <w:i/>
          <w:lang w:val="fr-CA"/>
        </w:rPr>
        <w:t>ritannique (</w:t>
      </w:r>
      <w:proofErr w:type="spellStart"/>
      <w:r w:rsidR="00FF7D17" w:rsidRPr="00FF0EAC">
        <w:rPr>
          <w:i/>
          <w:lang w:val="fr-CA"/>
        </w:rPr>
        <w:t>Human</w:t>
      </w:r>
      <w:proofErr w:type="spellEnd"/>
      <w:r w:rsidR="00FF7D17" w:rsidRPr="00FF0EAC">
        <w:rPr>
          <w:i/>
          <w:lang w:val="fr-CA"/>
        </w:rPr>
        <w:t xml:space="preserve"> </w:t>
      </w:r>
      <w:proofErr w:type="spellStart"/>
      <w:r w:rsidR="00FF7D17" w:rsidRPr="00FF0EAC">
        <w:rPr>
          <w:i/>
          <w:lang w:val="fr-CA"/>
        </w:rPr>
        <w:t>Rights</w:t>
      </w:r>
      <w:proofErr w:type="spellEnd"/>
      <w:r w:rsidR="00FF7D17" w:rsidRPr="00FF0EAC">
        <w:rPr>
          <w:i/>
          <w:lang w:val="fr-CA"/>
        </w:rPr>
        <w:t xml:space="preserve"> Commission)</w:t>
      </w:r>
      <w:r w:rsidR="00FF7D17" w:rsidRPr="00FF0EAC">
        <w:rPr>
          <w:lang w:val="fr-CA"/>
        </w:rPr>
        <w:t>, 2000 CSC 44, [2000] 2 R.C.S. 307.</w:t>
      </w:r>
    </w:p>
    <w:p w:rsidR="00E477B2" w:rsidRPr="00FF0EAC" w:rsidRDefault="00E477B2" w:rsidP="002B57A4">
      <w:pPr>
        <w:pStyle w:val="SCCNormalDoubleSpacing"/>
        <w:widowControl w:val="0"/>
        <w:spacing w:after="720" w:line="240" w:lineRule="auto"/>
        <w:rPr>
          <w:lang w:val="fr-CA"/>
        </w:rPr>
      </w:pPr>
      <w:r w:rsidRPr="00FF0EAC">
        <w:rPr>
          <w:lang w:val="fr-CA"/>
        </w:rPr>
        <w:t>Citée par la juge Côté</w:t>
      </w:r>
      <w:r w:rsidR="00B75531" w:rsidRPr="00FF0EAC">
        <w:rPr>
          <w:lang w:val="fr-CA"/>
        </w:rPr>
        <w:t xml:space="preserve"> (dissidente</w:t>
      </w:r>
      <w:r w:rsidR="00F737D3" w:rsidRPr="00FF0EAC">
        <w:rPr>
          <w:lang w:val="fr-CA"/>
        </w:rPr>
        <w:t xml:space="preserve"> en partie</w:t>
      </w:r>
      <w:r w:rsidR="00B75531" w:rsidRPr="00FF0EAC">
        <w:rPr>
          <w:lang w:val="fr-CA"/>
        </w:rPr>
        <w:t>)</w:t>
      </w:r>
    </w:p>
    <w:p w:rsidR="0093700C" w:rsidRPr="00FF0EAC" w:rsidRDefault="00B83532" w:rsidP="002B57A4">
      <w:pPr>
        <w:pStyle w:val="SCCNormalDoubleSpacing"/>
        <w:widowControl w:val="0"/>
        <w:spacing w:before="480" w:after="480"/>
        <w:rPr>
          <w:lang w:val="fr-CA"/>
        </w:rPr>
      </w:pPr>
      <w:r w:rsidRPr="00FF0EAC">
        <w:rPr>
          <w:lang w:val="fr-CA"/>
        </w:rPr>
        <w:tab/>
      </w:r>
      <w:proofErr w:type="spellStart"/>
      <w:r w:rsidRPr="00FF0EAC">
        <w:rPr>
          <w:i/>
          <w:lang w:val="fr-CA"/>
        </w:rPr>
        <w:t>Dunsmuir</w:t>
      </w:r>
      <w:proofErr w:type="spellEnd"/>
      <w:r w:rsidRPr="00FF0EAC">
        <w:rPr>
          <w:i/>
          <w:lang w:val="fr-CA"/>
        </w:rPr>
        <w:t xml:space="preserve"> c. Nouveau</w:t>
      </w:r>
      <w:r w:rsidR="00005C15">
        <w:rPr>
          <w:i/>
          <w:lang w:val="fr-CA"/>
        </w:rPr>
        <w:noBreakHyphen/>
      </w:r>
      <w:r w:rsidRPr="00FF0EAC">
        <w:rPr>
          <w:i/>
          <w:lang w:val="fr-CA"/>
        </w:rPr>
        <w:t>Brunswick</w:t>
      </w:r>
      <w:r w:rsidRPr="00FF0EAC">
        <w:rPr>
          <w:lang w:val="fr-CA"/>
        </w:rPr>
        <w:t xml:space="preserve">, 2008 CSC 9, [2008] 1 R.C.S. 190; </w:t>
      </w:r>
      <w:r w:rsidR="0093700C" w:rsidRPr="00FF0EAC">
        <w:rPr>
          <w:i/>
          <w:lang w:val="fr-CA"/>
        </w:rPr>
        <w:t>Syndicat canadien des communications, de l</w:t>
      </w:r>
      <w:r w:rsidR="00005C15">
        <w:rPr>
          <w:i/>
          <w:lang w:val="fr-CA"/>
        </w:rPr>
        <w:t>’</w:t>
      </w:r>
      <w:r w:rsidR="0093700C" w:rsidRPr="00FF0EAC">
        <w:rPr>
          <w:i/>
          <w:lang w:val="fr-CA"/>
        </w:rPr>
        <w:t>énergie et du papier, section locale 30 c. Pâtes &amp; Papier Irving, Ltée</w:t>
      </w:r>
      <w:r w:rsidR="0093700C" w:rsidRPr="00FF0EAC">
        <w:rPr>
          <w:lang w:val="fr-CA"/>
        </w:rPr>
        <w:t xml:space="preserve">, 2013 CSC 34, [2013] 2 R.C.S. 458; </w:t>
      </w:r>
      <w:r w:rsidR="000376BA" w:rsidRPr="00FF0EAC">
        <w:rPr>
          <w:i/>
          <w:lang w:val="fr-CA"/>
        </w:rPr>
        <w:t xml:space="preserve">Voice Construction </w:t>
      </w:r>
      <w:r w:rsidR="000376BA" w:rsidRPr="00FF0EAC">
        <w:rPr>
          <w:i/>
          <w:lang w:val="fr-CA"/>
        </w:rPr>
        <w:lastRenderedPageBreak/>
        <w:t xml:space="preserve">Ltd. c. Construction &amp; General </w:t>
      </w:r>
      <w:proofErr w:type="spellStart"/>
      <w:r w:rsidR="000376BA" w:rsidRPr="00FF0EAC">
        <w:rPr>
          <w:i/>
          <w:lang w:val="fr-CA"/>
        </w:rPr>
        <w:t>Workers</w:t>
      </w:r>
      <w:proofErr w:type="spellEnd"/>
      <w:r w:rsidR="00005C15">
        <w:rPr>
          <w:i/>
          <w:lang w:val="fr-CA"/>
        </w:rPr>
        <w:t>’</w:t>
      </w:r>
      <w:r w:rsidR="000376BA" w:rsidRPr="00FF0EAC">
        <w:rPr>
          <w:i/>
          <w:lang w:val="fr-CA"/>
        </w:rPr>
        <w:t xml:space="preserve"> Union, Local 92</w:t>
      </w:r>
      <w:r w:rsidR="000376BA" w:rsidRPr="00FF0EAC">
        <w:rPr>
          <w:lang w:val="fr-CA"/>
        </w:rPr>
        <w:t xml:space="preserve">, 2004 CSC 23, [2004] 1 R.C.S. 609; </w:t>
      </w:r>
      <w:r w:rsidR="00316CF8" w:rsidRPr="00FF0EAC">
        <w:rPr>
          <w:i/>
          <w:lang w:val="fr-CA"/>
        </w:rPr>
        <w:t>RJR</w:t>
      </w:r>
      <w:r w:rsidR="00005C15">
        <w:rPr>
          <w:i/>
          <w:lang w:val="fr-CA"/>
        </w:rPr>
        <w:noBreakHyphen/>
      </w:r>
      <w:proofErr w:type="spellStart"/>
      <w:r w:rsidR="00316CF8" w:rsidRPr="00FF0EAC">
        <w:rPr>
          <w:i/>
          <w:lang w:val="fr-CA"/>
        </w:rPr>
        <w:t>MacDonald</w:t>
      </w:r>
      <w:proofErr w:type="spellEnd"/>
      <w:r w:rsidR="00316CF8" w:rsidRPr="00FF0EAC">
        <w:rPr>
          <w:i/>
          <w:lang w:val="fr-CA"/>
        </w:rPr>
        <w:t xml:space="preserve"> Inc. c. Canada (Procureur général)</w:t>
      </w:r>
      <w:r w:rsidR="00316CF8" w:rsidRPr="00FF0EAC">
        <w:rPr>
          <w:lang w:val="fr-CA"/>
        </w:rPr>
        <w:t>, [1995] 3 R.C.S. 199;</w:t>
      </w:r>
      <w:r w:rsidR="00316CF8" w:rsidRPr="00FF0EAC">
        <w:rPr>
          <w:i/>
          <w:lang w:val="fr-CA"/>
        </w:rPr>
        <w:t xml:space="preserve"> </w:t>
      </w:r>
      <w:proofErr w:type="spellStart"/>
      <w:r w:rsidR="00316CF8" w:rsidRPr="00FF0EAC">
        <w:rPr>
          <w:i/>
          <w:lang w:val="fr-CA"/>
        </w:rPr>
        <w:t>Health</w:t>
      </w:r>
      <w:proofErr w:type="spellEnd"/>
      <w:r w:rsidR="00316CF8" w:rsidRPr="00FF0EAC">
        <w:rPr>
          <w:i/>
          <w:lang w:val="fr-CA"/>
        </w:rPr>
        <w:t xml:space="preserve"> Services and Support </w:t>
      </w:r>
      <w:r w:rsidR="00CE2F71" w:rsidRPr="00FF0EAC">
        <w:rPr>
          <w:lang w:val="fr-CA"/>
        </w:rPr>
        <w:t>—</w:t>
      </w:r>
      <w:r w:rsidR="00CE2F71" w:rsidRPr="00FF0EAC">
        <w:rPr>
          <w:i/>
          <w:lang w:val="fr-CA"/>
        </w:rPr>
        <w:t xml:space="preserve"> </w:t>
      </w:r>
      <w:proofErr w:type="spellStart"/>
      <w:r w:rsidR="00316CF8" w:rsidRPr="00FF0EAC">
        <w:rPr>
          <w:i/>
          <w:lang w:val="fr-CA"/>
        </w:rPr>
        <w:t>Facilities</w:t>
      </w:r>
      <w:proofErr w:type="spellEnd"/>
      <w:r w:rsidR="00316CF8" w:rsidRPr="00FF0EAC">
        <w:rPr>
          <w:i/>
          <w:lang w:val="fr-CA"/>
        </w:rPr>
        <w:t xml:space="preserve"> </w:t>
      </w:r>
      <w:proofErr w:type="spellStart"/>
      <w:r w:rsidR="00316CF8" w:rsidRPr="00FF0EAC">
        <w:rPr>
          <w:i/>
          <w:lang w:val="fr-CA"/>
        </w:rPr>
        <w:t>Subsector</w:t>
      </w:r>
      <w:proofErr w:type="spellEnd"/>
      <w:r w:rsidR="00316CF8" w:rsidRPr="00FF0EAC">
        <w:rPr>
          <w:i/>
          <w:lang w:val="fr-CA"/>
        </w:rPr>
        <w:t xml:space="preserve"> </w:t>
      </w:r>
      <w:proofErr w:type="spellStart"/>
      <w:r w:rsidR="00316CF8" w:rsidRPr="00FF0EAC">
        <w:rPr>
          <w:i/>
          <w:lang w:val="fr-CA"/>
        </w:rPr>
        <w:t>Bargaining</w:t>
      </w:r>
      <w:proofErr w:type="spellEnd"/>
      <w:r w:rsidR="00316CF8" w:rsidRPr="00FF0EAC">
        <w:rPr>
          <w:i/>
          <w:lang w:val="fr-CA"/>
        </w:rPr>
        <w:t xml:space="preserve"> </w:t>
      </w:r>
      <w:proofErr w:type="spellStart"/>
      <w:r w:rsidR="00316CF8" w:rsidRPr="00FF0EAC">
        <w:rPr>
          <w:i/>
          <w:lang w:val="fr-CA"/>
        </w:rPr>
        <w:t>Assn</w:t>
      </w:r>
      <w:proofErr w:type="spellEnd"/>
      <w:r w:rsidR="00316CF8" w:rsidRPr="00FF0EAC">
        <w:rPr>
          <w:i/>
          <w:lang w:val="fr-CA"/>
        </w:rPr>
        <w:t>. c. Colombie</w:t>
      </w:r>
      <w:r w:rsidR="00005C15">
        <w:rPr>
          <w:i/>
          <w:lang w:val="fr-CA"/>
        </w:rPr>
        <w:noBreakHyphen/>
      </w:r>
      <w:r w:rsidR="00316CF8" w:rsidRPr="00FF0EAC">
        <w:rPr>
          <w:i/>
          <w:lang w:val="fr-CA"/>
        </w:rPr>
        <w:t>Britannique</w:t>
      </w:r>
      <w:r w:rsidR="00316CF8" w:rsidRPr="00FF0EAC">
        <w:rPr>
          <w:lang w:val="fr-CA"/>
        </w:rPr>
        <w:t>, 2</w:t>
      </w:r>
      <w:r w:rsidR="00927E20" w:rsidRPr="00FF0EAC">
        <w:rPr>
          <w:lang w:val="fr-CA"/>
        </w:rPr>
        <w:t>007 CSC 27, [2007] 2 R.C.S. 391.</w:t>
      </w:r>
    </w:p>
    <w:p w:rsidR="004D7D95" w:rsidRPr="00FF0EAC" w:rsidRDefault="004D7D95" w:rsidP="002B57A4">
      <w:pPr>
        <w:pStyle w:val="SCCNormalDoubleSpacing"/>
        <w:widowControl w:val="0"/>
        <w:spacing w:after="720" w:line="240" w:lineRule="auto"/>
        <w:rPr>
          <w:b/>
          <w:lang w:val="fr-CA"/>
        </w:rPr>
      </w:pPr>
      <w:r w:rsidRPr="00FF0EAC">
        <w:rPr>
          <w:b/>
          <w:lang w:val="fr-CA"/>
        </w:rPr>
        <w:t>Lois et règlements cités</w:t>
      </w:r>
    </w:p>
    <w:p w:rsidR="004D7D95" w:rsidRPr="00FF0EAC" w:rsidRDefault="00684646" w:rsidP="002B57A4">
      <w:pPr>
        <w:pStyle w:val="SCCNormalDoubleSpacing"/>
        <w:widowControl w:val="0"/>
        <w:spacing w:after="240" w:line="240" w:lineRule="auto"/>
        <w:ind w:left="547" w:hanging="547"/>
        <w:rPr>
          <w:lang w:val="fr-CA"/>
        </w:rPr>
      </w:pPr>
      <w:r w:rsidRPr="00FF0EAC">
        <w:rPr>
          <w:i/>
          <w:lang w:val="fr-CA"/>
        </w:rPr>
        <w:t>Charte canadienne des droits et libertés</w:t>
      </w:r>
      <w:r w:rsidRPr="00FF0EAC">
        <w:rPr>
          <w:lang w:val="fr-CA"/>
        </w:rPr>
        <w:t xml:space="preserve">, </w:t>
      </w:r>
      <w:r w:rsidR="00005C15">
        <w:rPr>
          <w:lang w:val="fr-CA"/>
        </w:rPr>
        <w:t>art. </w:t>
      </w:r>
      <w:r w:rsidR="000D1F54" w:rsidRPr="00FF0EAC">
        <w:rPr>
          <w:lang w:val="fr-CA"/>
        </w:rPr>
        <w:t xml:space="preserve">1, </w:t>
      </w:r>
      <w:r w:rsidRPr="00FF0EAC">
        <w:rPr>
          <w:lang w:val="fr-CA"/>
        </w:rPr>
        <w:t xml:space="preserve">7. </w:t>
      </w:r>
    </w:p>
    <w:p w:rsidR="00684646" w:rsidRPr="00FF0EAC" w:rsidRDefault="00684646" w:rsidP="002B57A4">
      <w:pPr>
        <w:pStyle w:val="SCCNormalDoubleSpacing"/>
        <w:widowControl w:val="0"/>
        <w:spacing w:after="240" w:line="240" w:lineRule="auto"/>
        <w:ind w:left="547" w:hanging="547"/>
        <w:rPr>
          <w:lang w:val="fr-CA"/>
        </w:rPr>
      </w:pPr>
      <w:r w:rsidRPr="00FF0EAC">
        <w:rPr>
          <w:i/>
          <w:lang w:val="fr-CA"/>
        </w:rPr>
        <w:t>Loi canadienne sur les droits de la personne</w:t>
      </w:r>
      <w:r w:rsidR="00CE2F71" w:rsidRPr="00FF0EAC">
        <w:rPr>
          <w:lang w:val="fr-CA"/>
        </w:rPr>
        <w:t>, L.R.C. 1985, c. </w:t>
      </w:r>
      <w:r w:rsidRPr="00FF0EAC">
        <w:rPr>
          <w:lang w:val="fr-CA"/>
        </w:rPr>
        <w:t>H</w:t>
      </w:r>
      <w:r w:rsidR="00005C15">
        <w:rPr>
          <w:lang w:val="fr-CA"/>
        </w:rPr>
        <w:noBreakHyphen/>
      </w:r>
      <w:r w:rsidRPr="00FF0EAC">
        <w:rPr>
          <w:lang w:val="fr-CA"/>
        </w:rPr>
        <w:t xml:space="preserve">6. </w:t>
      </w:r>
    </w:p>
    <w:p w:rsidR="004D2038" w:rsidRPr="00FF0EAC" w:rsidRDefault="004D2038" w:rsidP="002B57A4">
      <w:pPr>
        <w:pStyle w:val="SCCNormalDoubleSpacing"/>
        <w:widowControl w:val="0"/>
        <w:spacing w:after="720" w:line="240" w:lineRule="auto"/>
        <w:ind w:left="547" w:hanging="547"/>
        <w:rPr>
          <w:lang w:val="fr-CA"/>
        </w:rPr>
      </w:pPr>
      <w:r w:rsidRPr="00FF0EAC">
        <w:rPr>
          <w:i/>
          <w:lang w:val="fr-CA"/>
        </w:rPr>
        <w:t>Loi sur la gestion des finances publiques</w:t>
      </w:r>
      <w:r w:rsidR="00CE2F71" w:rsidRPr="00FF0EAC">
        <w:rPr>
          <w:lang w:val="fr-CA"/>
        </w:rPr>
        <w:t>, L.R.C. 1985, c. </w:t>
      </w:r>
      <w:r w:rsidRPr="00FF0EAC">
        <w:rPr>
          <w:lang w:val="fr-CA"/>
        </w:rPr>
        <w:t>F</w:t>
      </w:r>
      <w:r w:rsidR="00005C15">
        <w:rPr>
          <w:lang w:val="fr-CA"/>
        </w:rPr>
        <w:noBreakHyphen/>
      </w:r>
      <w:r w:rsidRPr="00FF0EAC">
        <w:rPr>
          <w:lang w:val="fr-CA"/>
        </w:rPr>
        <w:t xml:space="preserve">11, </w:t>
      </w:r>
      <w:r w:rsidR="00005C15">
        <w:rPr>
          <w:lang w:val="fr-CA"/>
        </w:rPr>
        <w:t>art. </w:t>
      </w:r>
      <w:r w:rsidRPr="00FF0EAC">
        <w:rPr>
          <w:lang w:val="fr-CA"/>
        </w:rPr>
        <w:t>7, 11.1.</w:t>
      </w:r>
    </w:p>
    <w:p w:rsidR="004D7D95" w:rsidRPr="00927E8D" w:rsidRDefault="004D7D95" w:rsidP="002B57A4">
      <w:pPr>
        <w:pStyle w:val="SCCNormalDoubleSpacing"/>
        <w:widowControl w:val="0"/>
        <w:spacing w:after="720" w:line="240" w:lineRule="auto"/>
        <w:rPr>
          <w:b/>
          <w:lang w:val="en-US"/>
        </w:rPr>
      </w:pPr>
      <w:r w:rsidRPr="00927E8D">
        <w:rPr>
          <w:b/>
          <w:lang w:val="en-US"/>
        </w:rPr>
        <w:t xml:space="preserve">Doctrine </w:t>
      </w:r>
      <w:proofErr w:type="gramStart"/>
      <w:r w:rsidRPr="00927E8D">
        <w:rPr>
          <w:b/>
          <w:lang w:val="en-US"/>
        </w:rPr>
        <w:t>et</w:t>
      </w:r>
      <w:proofErr w:type="gramEnd"/>
      <w:r w:rsidRPr="00927E8D">
        <w:rPr>
          <w:b/>
          <w:lang w:val="en-US"/>
        </w:rPr>
        <w:t xml:space="preserve"> </w:t>
      </w:r>
      <w:proofErr w:type="spellStart"/>
      <w:r w:rsidRPr="00927E8D">
        <w:rPr>
          <w:b/>
          <w:lang w:val="en-US"/>
        </w:rPr>
        <w:t>autres</w:t>
      </w:r>
      <w:proofErr w:type="spellEnd"/>
      <w:r w:rsidRPr="00927E8D">
        <w:rPr>
          <w:b/>
          <w:lang w:val="en-US"/>
        </w:rPr>
        <w:t xml:space="preserve"> documents </w:t>
      </w:r>
      <w:proofErr w:type="spellStart"/>
      <w:r w:rsidRPr="00927E8D">
        <w:rPr>
          <w:b/>
          <w:lang w:val="en-US"/>
        </w:rPr>
        <w:t>cités</w:t>
      </w:r>
      <w:proofErr w:type="spellEnd"/>
    </w:p>
    <w:p w:rsidR="006C3239" w:rsidRPr="00FF0EAC" w:rsidRDefault="00CE5A6F" w:rsidP="002B57A4">
      <w:pPr>
        <w:pStyle w:val="SCCNormalDoubleSpacing"/>
        <w:widowControl w:val="0"/>
        <w:spacing w:after="240" w:line="240" w:lineRule="auto"/>
        <w:ind w:left="547" w:hanging="547"/>
      </w:pPr>
      <w:r w:rsidRPr="00CE5A6F">
        <w:rPr>
          <w:lang w:val="en-US"/>
        </w:rPr>
        <w:t>Brown, Donald</w:t>
      </w:r>
      <w:r w:rsidR="00CE2F71" w:rsidRPr="00CE5A6F">
        <w:rPr>
          <w:lang w:val="en-US"/>
        </w:rPr>
        <w:t> </w:t>
      </w:r>
      <w:r w:rsidR="006C3239" w:rsidRPr="00FF0EAC">
        <w:t>J.</w:t>
      </w:r>
      <w:r w:rsidR="00CE2F71" w:rsidRPr="00FF0EAC">
        <w:t> M., and David M. </w:t>
      </w:r>
      <w:r w:rsidR="006C3239" w:rsidRPr="00FF0EAC">
        <w:t>Beatty, w</w:t>
      </w:r>
      <w:r w:rsidR="00CE2F71" w:rsidRPr="00FF0EAC">
        <w:t>ith the assistance of Christine </w:t>
      </w:r>
      <w:r w:rsidR="006C3239" w:rsidRPr="00FF0EAC">
        <w:t xml:space="preserve">E. Deacon. </w:t>
      </w:r>
      <w:r w:rsidR="006C3239" w:rsidRPr="00FF0EAC">
        <w:rPr>
          <w:i/>
          <w:lang w:val="en-US"/>
        </w:rPr>
        <w:t>Canadian</w:t>
      </w:r>
      <w:r w:rsidR="006C3239" w:rsidRPr="00FF0EAC">
        <w:rPr>
          <w:i/>
        </w:rPr>
        <w:t xml:space="preserve"> Labour Arbitration</w:t>
      </w:r>
      <w:r w:rsidR="008E3794" w:rsidRPr="00FF0EAC">
        <w:t>,</w:t>
      </w:r>
      <w:r w:rsidR="006C3239" w:rsidRPr="00FF0EAC">
        <w:t xml:space="preserve"> </w:t>
      </w:r>
      <w:r w:rsidR="00005C15">
        <w:t>vol. </w:t>
      </w:r>
      <w:r w:rsidR="006C3239" w:rsidRPr="00FF0EAC">
        <w:t xml:space="preserve">1, </w:t>
      </w:r>
      <w:r w:rsidR="008E3794" w:rsidRPr="00FF0EAC">
        <w:t xml:space="preserve">4th ed., </w:t>
      </w:r>
      <w:r w:rsidR="006C3239" w:rsidRPr="00FF0EAC">
        <w:t>Toronto, Canada Law Book, 2017 (loose</w:t>
      </w:r>
      <w:r w:rsidR="00005C15">
        <w:noBreakHyphen/>
      </w:r>
      <w:r w:rsidR="006C3239" w:rsidRPr="00FF0EAC">
        <w:t xml:space="preserve">leaf updated June 2017, release 58). </w:t>
      </w:r>
    </w:p>
    <w:p w:rsidR="00525623" w:rsidRPr="00FF0EAC" w:rsidRDefault="00525623" w:rsidP="002B57A4">
      <w:pPr>
        <w:pStyle w:val="SCCNormalDoubleSpacing"/>
        <w:widowControl w:val="0"/>
        <w:spacing w:after="720" w:line="240" w:lineRule="auto"/>
        <w:ind w:left="547" w:hanging="547"/>
        <w:rPr>
          <w:lang w:val="en-US"/>
        </w:rPr>
      </w:pPr>
      <w:proofErr w:type="spellStart"/>
      <w:r w:rsidRPr="00FF0EAC">
        <w:t>Charney</w:t>
      </w:r>
      <w:proofErr w:type="spellEnd"/>
      <w:r w:rsidRPr="00FF0EAC">
        <w:t>, Richard</w:t>
      </w:r>
      <w:r w:rsidR="00CE2F71" w:rsidRPr="00FF0EAC">
        <w:t> </w:t>
      </w:r>
      <w:r w:rsidRPr="00FF0EAC">
        <w:t>J.</w:t>
      </w:r>
      <w:r w:rsidR="00CE5A6F">
        <w:t>,</w:t>
      </w:r>
      <w:r w:rsidRPr="00FF0EAC">
        <w:t xml:space="preserve"> </w:t>
      </w:r>
      <w:r w:rsidR="00CE2F71" w:rsidRPr="00FF0EAC">
        <w:t>and Thomas </w:t>
      </w:r>
      <w:r w:rsidRPr="00FF0EAC">
        <w:t>E.</w:t>
      </w:r>
      <w:r w:rsidR="008A5C8F" w:rsidRPr="00FF0EAC">
        <w:t xml:space="preserve"> </w:t>
      </w:r>
      <w:r w:rsidRPr="00FF0EAC">
        <w:t xml:space="preserve">F. Brady. </w:t>
      </w:r>
      <w:r w:rsidRPr="00FF0EAC">
        <w:rPr>
          <w:i/>
        </w:rPr>
        <w:t>Judicial Review in Labour Law</w:t>
      </w:r>
      <w:r w:rsidR="00906DC2">
        <w:t>,</w:t>
      </w:r>
      <w:r w:rsidRPr="00FF0EAC">
        <w:t xml:space="preserve"> </w:t>
      </w:r>
      <w:r w:rsidR="00CE5A6F">
        <w:rPr>
          <w:lang w:val="en-US"/>
        </w:rPr>
        <w:t>Aurora</w:t>
      </w:r>
      <w:r w:rsidRPr="00FF0EAC">
        <w:rPr>
          <w:lang w:val="en-US"/>
        </w:rPr>
        <w:t xml:space="preserve"> (Ont.), Canada Law Book, 1997 (loose</w:t>
      </w:r>
      <w:r w:rsidR="00005C15">
        <w:rPr>
          <w:lang w:val="en-US"/>
        </w:rPr>
        <w:noBreakHyphen/>
      </w:r>
      <w:r w:rsidRPr="00FF0EAC">
        <w:rPr>
          <w:lang w:val="en-US"/>
        </w:rPr>
        <w:t>leaf updated April 2017, release 28).</w:t>
      </w:r>
    </w:p>
    <w:p w:rsidR="004D7D95" w:rsidRPr="00FF0EAC" w:rsidRDefault="00C63880" w:rsidP="002B57A4">
      <w:pPr>
        <w:pStyle w:val="SCCNormalDoubleSpacing"/>
        <w:widowControl w:val="0"/>
        <w:spacing w:before="480" w:after="480"/>
        <w:rPr>
          <w:lang w:val="fr-CA"/>
        </w:rPr>
      </w:pPr>
      <w:r w:rsidRPr="00FF0EAC">
        <w:rPr>
          <w:lang w:val="en-US"/>
        </w:rPr>
        <w:tab/>
      </w:r>
      <w:r w:rsidR="004D7D95" w:rsidRPr="00FF0EAC">
        <w:rPr>
          <w:lang w:val="fr-CA"/>
        </w:rPr>
        <w:t>POURVOI contre un arrêt de la Cour d</w:t>
      </w:r>
      <w:r w:rsidR="00005C15">
        <w:rPr>
          <w:lang w:val="fr-CA"/>
        </w:rPr>
        <w:t>’</w:t>
      </w:r>
      <w:r w:rsidR="004D7D95" w:rsidRPr="00FF0EAC">
        <w:rPr>
          <w:lang w:val="fr-CA"/>
        </w:rPr>
        <w:t>appel fédérale</w:t>
      </w:r>
      <w:r w:rsidRPr="00FF0EAC">
        <w:rPr>
          <w:lang w:val="fr-CA"/>
        </w:rPr>
        <w:t xml:space="preserve"> (les juges T</w:t>
      </w:r>
      <w:r w:rsidR="00906B37" w:rsidRPr="00FF0EAC">
        <w:rPr>
          <w:lang w:val="fr-CA"/>
        </w:rPr>
        <w:t>rudel, Boivin et d</w:t>
      </w:r>
      <w:r w:rsidRPr="00FF0EAC">
        <w:rPr>
          <w:lang w:val="fr-CA"/>
        </w:rPr>
        <w:t>e</w:t>
      </w:r>
      <w:r w:rsidR="00906B37" w:rsidRPr="00FF0EAC">
        <w:rPr>
          <w:lang w:val="fr-CA"/>
        </w:rPr>
        <w:t xml:space="preserve"> Montigny</w:t>
      </w:r>
      <w:r w:rsidRPr="00FF0EAC">
        <w:rPr>
          <w:lang w:val="fr-CA"/>
        </w:rPr>
        <w:t xml:space="preserve">), 2016 CAF 92, </w:t>
      </w:r>
      <w:r w:rsidR="000A2ECD" w:rsidRPr="00FF0EAC">
        <w:rPr>
          <w:lang w:val="fr-CA"/>
        </w:rPr>
        <w:t xml:space="preserve">[2016] 4 R.C.F. 349, </w:t>
      </w:r>
      <w:r w:rsidRPr="00FF0EAC">
        <w:rPr>
          <w:lang w:val="fr-CA"/>
        </w:rPr>
        <w:t>488 N.R. 198, [2016] A.C.F. n</w:t>
      </w:r>
      <w:r w:rsidRPr="00FF0EAC">
        <w:rPr>
          <w:vertAlign w:val="superscript"/>
          <w:lang w:val="fr-CA"/>
        </w:rPr>
        <w:t>o</w:t>
      </w:r>
      <w:r w:rsidRPr="00FF0EAC">
        <w:rPr>
          <w:lang w:val="fr-CA"/>
        </w:rPr>
        <w:t xml:space="preserve"> 304 (QL), 2016 </w:t>
      </w:r>
      <w:proofErr w:type="spellStart"/>
      <w:r w:rsidRPr="00FF0EAC">
        <w:rPr>
          <w:lang w:val="fr-CA"/>
        </w:rPr>
        <w:t>CarswellNat</w:t>
      </w:r>
      <w:proofErr w:type="spellEnd"/>
      <w:r w:rsidR="00CE20FC" w:rsidRPr="00FF0EAC">
        <w:rPr>
          <w:lang w:val="fr-CA"/>
        </w:rPr>
        <w:t xml:space="preserve"> 6508 (WL</w:t>
      </w:r>
      <w:r w:rsidRPr="00FF0EAC">
        <w:rPr>
          <w:lang w:val="fr-CA"/>
        </w:rPr>
        <w:t xml:space="preserve"> Can</w:t>
      </w:r>
      <w:r w:rsidR="00CE20FC" w:rsidRPr="00FF0EAC">
        <w:rPr>
          <w:lang w:val="fr-CA"/>
        </w:rPr>
        <w:t>.</w:t>
      </w:r>
      <w:r w:rsidRPr="00FF0EAC">
        <w:rPr>
          <w:lang w:val="fr-CA"/>
        </w:rPr>
        <w:t>)</w:t>
      </w:r>
      <w:r w:rsidR="00CE20FC" w:rsidRPr="00FF0EAC">
        <w:rPr>
          <w:lang w:val="fr-CA"/>
        </w:rPr>
        <w:t>, [2016] AZ</w:t>
      </w:r>
      <w:r w:rsidR="00005C15">
        <w:rPr>
          <w:lang w:val="fr-CA"/>
        </w:rPr>
        <w:noBreakHyphen/>
      </w:r>
      <w:r w:rsidR="00CE20FC" w:rsidRPr="00FF0EAC">
        <w:rPr>
          <w:lang w:val="fr-CA"/>
        </w:rPr>
        <w:t xml:space="preserve">51267589, </w:t>
      </w:r>
      <w:r w:rsidR="00D77BF3" w:rsidRPr="00FF0EAC">
        <w:rPr>
          <w:lang w:val="fr-CA"/>
        </w:rPr>
        <w:t>qui a accueilli</w:t>
      </w:r>
      <w:r w:rsidR="00F72468" w:rsidRPr="00FF0EAC">
        <w:rPr>
          <w:lang w:val="fr-CA"/>
        </w:rPr>
        <w:t xml:space="preserve"> </w:t>
      </w:r>
      <w:r w:rsidR="006F244A">
        <w:rPr>
          <w:lang w:val="fr-CA"/>
        </w:rPr>
        <w:t>une</w:t>
      </w:r>
      <w:r w:rsidR="00F72468" w:rsidRPr="00FF0EAC">
        <w:rPr>
          <w:lang w:val="fr-CA"/>
        </w:rPr>
        <w:t xml:space="preserve"> demande de contrôle judiciaire et </w:t>
      </w:r>
      <w:r w:rsidR="00193624" w:rsidRPr="00FF0EAC">
        <w:rPr>
          <w:lang w:val="fr-CA"/>
        </w:rPr>
        <w:t xml:space="preserve">annulé </w:t>
      </w:r>
      <w:r w:rsidR="00D77BF3" w:rsidRPr="00FF0EAC">
        <w:rPr>
          <w:lang w:val="fr-CA"/>
        </w:rPr>
        <w:t>une décision</w:t>
      </w:r>
      <w:r w:rsidR="007426CA" w:rsidRPr="00FF0EAC">
        <w:rPr>
          <w:lang w:val="fr-CA"/>
        </w:rPr>
        <w:t xml:space="preserve"> d</w:t>
      </w:r>
      <w:r w:rsidR="00005C15">
        <w:rPr>
          <w:lang w:val="fr-CA"/>
        </w:rPr>
        <w:t>’</w:t>
      </w:r>
      <w:r w:rsidR="007426CA" w:rsidRPr="00FF0EAC">
        <w:rPr>
          <w:lang w:val="fr-CA"/>
        </w:rPr>
        <w:t xml:space="preserve">un </w:t>
      </w:r>
      <w:r w:rsidR="008D2DCF" w:rsidRPr="00FF0EAC">
        <w:rPr>
          <w:lang w:val="fr-CA"/>
        </w:rPr>
        <w:t>arbitre</w:t>
      </w:r>
      <w:r w:rsidR="00804F9C" w:rsidRPr="00FF0EAC">
        <w:rPr>
          <w:lang w:val="fr-CA"/>
        </w:rPr>
        <w:t xml:space="preserve"> </w:t>
      </w:r>
      <w:r w:rsidR="00FE38FE" w:rsidRPr="00FF0EAC">
        <w:rPr>
          <w:lang w:val="fr-CA"/>
        </w:rPr>
        <w:t xml:space="preserve">de grief </w:t>
      </w:r>
      <w:r w:rsidR="00D77BF3" w:rsidRPr="00FF0EAC">
        <w:rPr>
          <w:lang w:val="fr-CA"/>
        </w:rPr>
        <w:t>de la</w:t>
      </w:r>
      <w:r w:rsidR="0071378F" w:rsidRPr="00FF0EAC">
        <w:rPr>
          <w:lang w:val="fr-CA"/>
        </w:rPr>
        <w:t xml:space="preserve"> Commission des relations de travail et de l</w:t>
      </w:r>
      <w:r w:rsidR="00005C15">
        <w:rPr>
          <w:lang w:val="fr-CA"/>
        </w:rPr>
        <w:t>’</w:t>
      </w:r>
      <w:r w:rsidR="00804F9C" w:rsidRPr="00FF0EAC">
        <w:rPr>
          <w:lang w:val="fr-CA"/>
        </w:rPr>
        <w:t xml:space="preserve">emploi </w:t>
      </w:r>
      <w:r w:rsidR="006E02BF" w:rsidRPr="00FF0EAC">
        <w:rPr>
          <w:lang w:val="fr-CA"/>
        </w:rPr>
        <w:t>dans la fonction publique</w:t>
      </w:r>
      <w:r w:rsidR="0071378F" w:rsidRPr="00FF0EAC">
        <w:rPr>
          <w:lang w:val="fr-CA"/>
        </w:rPr>
        <w:t>, 2015 CRTEFP 31,</w:t>
      </w:r>
      <w:r w:rsidR="00786FA9" w:rsidRPr="00FF0EAC">
        <w:rPr>
          <w:lang w:val="fr-CA"/>
        </w:rPr>
        <w:t xml:space="preserve"> 2015 LNCRTEFP 31 (QL), 2015 </w:t>
      </w:r>
      <w:proofErr w:type="spellStart"/>
      <w:r w:rsidR="00786FA9" w:rsidRPr="00FF0EAC">
        <w:rPr>
          <w:lang w:val="fr-CA"/>
        </w:rPr>
        <w:t>CarswellNat</w:t>
      </w:r>
      <w:proofErr w:type="spellEnd"/>
      <w:r w:rsidR="00786FA9" w:rsidRPr="00FF0EAC">
        <w:rPr>
          <w:lang w:val="fr-CA"/>
        </w:rPr>
        <w:t xml:space="preserve"> </w:t>
      </w:r>
      <w:r w:rsidR="00A32CF5" w:rsidRPr="00FF0EAC">
        <w:rPr>
          <w:lang w:val="fr-CA"/>
        </w:rPr>
        <w:t>1180</w:t>
      </w:r>
      <w:r w:rsidR="00786FA9" w:rsidRPr="00FF0EAC">
        <w:rPr>
          <w:lang w:val="fr-CA"/>
        </w:rPr>
        <w:t xml:space="preserve"> (WL Can.). Pourvoi </w:t>
      </w:r>
      <w:r w:rsidR="00D77BF3" w:rsidRPr="00FF0EAC">
        <w:rPr>
          <w:lang w:val="fr-CA"/>
        </w:rPr>
        <w:t>accueilli en partie, les juge</w:t>
      </w:r>
      <w:r w:rsidR="008D2DCF" w:rsidRPr="00FF0EAC">
        <w:rPr>
          <w:lang w:val="fr-CA"/>
        </w:rPr>
        <w:t>s</w:t>
      </w:r>
      <w:r w:rsidR="00D77BF3" w:rsidRPr="00FF0EAC">
        <w:rPr>
          <w:lang w:val="fr-CA"/>
        </w:rPr>
        <w:t xml:space="preserve"> Moldaver et Côté sont dissidents</w:t>
      </w:r>
      <w:r w:rsidR="00260D10" w:rsidRPr="00FF0EAC">
        <w:rPr>
          <w:lang w:val="fr-CA"/>
        </w:rPr>
        <w:t xml:space="preserve"> en partie</w:t>
      </w:r>
      <w:r w:rsidR="00D77BF3" w:rsidRPr="00FF0EAC">
        <w:rPr>
          <w:lang w:val="fr-CA"/>
        </w:rPr>
        <w:t>.</w:t>
      </w:r>
    </w:p>
    <w:p w:rsidR="003A07A2" w:rsidRPr="00FF0EAC" w:rsidRDefault="00794DDC" w:rsidP="002B57A4">
      <w:pPr>
        <w:pStyle w:val="SCCNormalDoubleSpacing"/>
        <w:widowControl w:val="0"/>
        <w:spacing w:before="480" w:after="480"/>
        <w:rPr>
          <w:lang w:val="fr-CA"/>
        </w:rPr>
      </w:pPr>
      <w:r w:rsidRPr="00FF0EAC">
        <w:rPr>
          <w:rStyle w:val="SCCCounselNameChar"/>
          <w:lang w:val="fr-CA"/>
        </w:rPr>
        <w:lastRenderedPageBreak/>
        <w:tab/>
        <w:t xml:space="preserve">Bernard </w:t>
      </w:r>
      <w:proofErr w:type="spellStart"/>
      <w:r w:rsidRPr="00FF0EAC">
        <w:rPr>
          <w:rStyle w:val="SCCCounselNameChar"/>
          <w:lang w:val="fr-CA"/>
        </w:rPr>
        <w:t>Philion</w:t>
      </w:r>
      <w:proofErr w:type="spellEnd"/>
      <w:r w:rsidRPr="00FF0EAC">
        <w:rPr>
          <w:rStyle w:val="SCCCounselSeparatorChar"/>
          <w:lang w:val="fr-CA"/>
        </w:rPr>
        <w:t xml:space="preserve">, </w:t>
      </w:r>
      <w:r w:rsidR="007037BF" w:rsidRPr="00FF0EAC">
        <w:rPr>
          <w:rStyle w:val="SCCCounselNameChar"/>
          <w:lang w:val="fr-CA"/>
        </w:rPr>
        <w:t xml:space="preserve">Nicolas Charron </w:t>
      </w:r>
      <w:r w:rsidR="007037BF" w:rsidRPr="00FF0EAC">
        <w:rPr>
          <w:rStyle w:val="SCCCounselNameChar"/>
          <w:i w:val="0"/>
          <w:lang w:val="fr-CA"/>
        </w:rPr>
        <w:t xml:space="preserve">et </w:t>
      </w:r>
      <w:r w:rsidRPr="00FF0EAC">
        <w:rPr>
          <w:rStyle w:val="SCCCounselNameChar"/>
          <w:lang w:val="fr-CA"/>
        </w:rPr>
        <w:t xml:space="preserve">Daniel </w:t>
      </w:r>
      <w:proofErr w:type="spellStart"/>
      <w:r w:rsidRPr="00FF0EAC">
        <w:rPr>
          <w:rStyle w:val="SCCCounselNameChar"/>
          <w:lang w:val="fr-CA"/>
        </w:rPr>
        <w:t>Boudreault</w:t>
      </w:r>
      <w:proofErr w:type="spellEnd"/>
      <w:r w:rsidR="007037BF" w:rsidRPr="00FF0EAC">
        <w:rPr>
          <w:rStyle w:val="SCCCounselSeparatorChar"/>
          <w:lang w:val="fr-CA"/>
        </w:rPr>
        <w:t xml:space="preserve">, </w:t>
      </w:r>
      <w:r w:rsidRPr="00FF0EAC">
        <w:rPr>
          <w:rStyle w:val="SCCCounselPartyRoleChar"/>
          <w:lang w:val="fr-CA"/>
        </w:rPr>
        <w:t xml:space="preserve">pour </w:t>
      </w:r>
      <w:r w:rsidR="00AB76D2" w:rsidRPr="00FF0EAC">
        <w:rPr>
          <w:lang w:val="fr-CA"/>
        </w:rPr>
        <w:t>l</w:t>
      </w:r>
      <w:r w:rsidR="00005C15">
        <w:rPr>
          <w:lang w:val="fr-CA"/>
        </w:rPr>
        <w:t>’</w:t>
      </w:r>
      <w:r w:rsidR="00AB76D2" w:rsidRPr="00FF0EAC">
        <w:rPr>
          <w:lang w:val="fr-CA"/>
        </w:rPr>
        <w:t>appelant</w:t>
      </w:r>
      <w:r w:rsidRPr="00FF0EAC">
        <w:rPr>
          <w:lang w:val="fr-CA"/>
        </w:rPr>
        <w:t>e</w:t>
      </w:r>
      <w:r w:rsidRPr="00FF0EAC">
        <w:rPr>
          <w:rStyle w:val="SCCCounselPartyRoleChar"/>
          <w:lang w:val="fr-CA"/>
        </w:rPr>
        <w:t>.</w:t>
      </w:r>
    </w:p>
    <w:p w:rsidR="003A07A2" w:rsidRDefault="00794DDC" w:rsidP="002B57A4">
      <w:pPr>
        <w:pStyle w:val="SCCNormalDoubleSpacing"/>
        <w:widowControl w:val="0"/>
        <w:spacing w:before="480" w:after="480"/>
        <w:rPr>
          <w:rStyle w:val="SCCCounselPartyRoleChar"/>
          <w:lang w:val="fr-CA"/>
        </w:rPr>
      </w:pPr>
      <w:r w:rsidRPr="00FF0EAC">
        <w:rPr>
          <w:rStyle w:val="SCCCounselNameChar"/>
          <w:lang w:val="fr-CA"/>
        </w:rPr>
        <w:tab/>
        <w:t xml:space="preserve">Alain </w:t>
      </w:r>
      <w:proofErr w:type="spellStart"/>
      <w:r w:rsidRPr="00FF0EAC">
        <w:rPr>
          <w:rStyle w:val="SCCCounselNameChar"/>
          <w:lang w:val="fr-CA"/>
        </w:rPr>
        <w:t>Préfontaine</w:t>
      </w:r>
      <w:proofErr w:type="spellEnd"/>
      <w:r w:rsidRPr="00FF0EAC">
        <w:rPr>
          <w:rStyle w:val="SCCCounselSeparatorChar"/>
          <w:lang w:val="fr-CA"/>
        </w:rPr>
        <w:t xml:space="preserve"> et </w:t>
      </w:r>
      <w:r w:rsidRPr="00FF0EAC">
        <w:rPr>
          <w:rStyle w:val="SCCCounselNameChar"/>
          <w:lang w:val="fr-CA"/>
        </w:rPr>
        <w:t>Catherine</w:t>
      </w:r>
      <w:r w:rsidR="00CE2F71" w:rsidRPr="00FF0EAC">
        <w:rPr>
          <w:rStyle w:val="SCCCounselNameChar"/>
          <w:lang w:val="fr-CA"/>
        </w:rPr>
        <w:t> </w:t>
      </w:r>
      <w:r w:rsidRPr="00FF0EAC">
        <w:rPr>
          <w:rStyle w:val="SCCCounselNameChar"/>
          <w:lang w:val="fr-CA"/>
        </w:rPr>
        <w:t>A. Lawrence</w:t>
      </w:r>
      <w:r w:rsidRPr="00FF0EAC">
        <w:rPr>
          <w:rStyle w:val="SCCCounselPartyRoleChar"/>
          <w:lang w:val="fr-CA"/>
        </w:rPr>
        <w:t xml:space="preserve">, pour </w:t>
      </w:r>
      <w:r w:rsidRPr="00FF0EAC">
        <w:rPr>
          <w:lang w:val="fr-CA"/>
        </w:rPr>
        <w:t>l</w:t>
      </w:r>
      <w:r w:rsidR="00005C15">
        <w:rPr>
          <w:lang w:val="fr-CA"/>
        </w:rPr>
        <w:t>’</w:t>
      </w:r>
      <w:r w:rsidRPr="00FF0EAC">
        <w:rPr>
          <w:lang w:val="fr-CA"/>
        </w:rPr>
        <w:t>intimé</w:t>
      </w:r>
      <w:r w:rsidRPr="00FF0EAC">
        <w:rPr>
          <w:rStyle w:val="SCCCounselPartyRoleChar"/>
          <w:lang w:val="fr-CA"/>
        </w:rPr>
        <w:t>.</w:t>
      </w:r>
    </w:p>
    <w:p w:rsidR="001B28CD" w:rsidRDefault="00054D8C" w:rsidP="002B57A4">
      <w:pPr>
        <w:pStyle w:val="SCCNormalDoubleSpacing"/>
        <w:widowControl w:val="0"/>
        <w:spacing w:before="480" w:after="480"/>
        <w:rPr>
          <w:lang w:val="fr-CA"/>
        </w:rPr>
      </w:pPr>
      <w:r>
        <w:rPr>
          <w:lang w:val="fr-CA"/>
        </w:rPr>
        <w:tab/>
      </w:r>
      <w:r w:rsidR="001B28CD" w:rsidRPr="00FF5197">
        <w:rPr>
          <w:lang w:val="fr-CA"/>
        </w:rPr>
        <w:t xml:space="preserve">Version française </w:t>
      </w:r>
      <w:r w:rsidR="001B28CD">
        <w:rPr>
          <w:lang w:val="fr-CA"/>
        </w:rPr>
        <w:t>du jugement de la juge en chef McLachlin et des</w:t>
      </w:r>
      <w:r w:rsidR="001B28CD" w:rsidRPr="00EA53E1">
        <w:rPr>
          <w:lang w:val="fr-CA"/>
        </w:rPr>
        <w:t xml:space="preserve"> juges Abella, Karakatsanis, </w:t>
      </w:r>
      <w:r w:rsidR="001B28CD">
        <w:rPr>
          <w:lang w:val="fr-CA"/>
        </w:rPr>
        <w:t>Wagner, Gascon, Brown et Rowe</w:t>
      </w:r>
      <w:r w:rsidR="001B28CD" w:rsidRPr="00EA53E1">
        <w:rPr>
          <w:lang w:val="fr-CA"/>
        </w:rPr>
        <w:t xml:space="preserve"> rendu par </w:t>
      </w:r>
    </w:p>
    <w:p w:rsidR="001B28CD" w:rsidRPr="00B536B2" w:rsidRDefault="001B28CD" w:rsidP="002B57A4">
      <w:pPr>
        <w:pStyle w:val="JudgeJuge"/>
        <w:widowControl w:val="0"/>
        <w:spacing w:before="480"/>
        <w:rPr>
          <w:lang w:val="fr-CA"/>
        </w:rPr>
      </w:pPr>
      <w:r w:rsidRPr="00B536B2">
        <w:rPr>
          <w:lang w:val="fr-CA"/>
        </w:rPr>
        <w:tab/>
        <w:t xml:space="preserve">La juge Karakatsanis — </w:t>
      </w:r>
    </w:p>
    <w:p w:rsidR="001B28CD" w:rsidRPr="00B536B2" w:rsidRDefault="001B28CD" w:rsidP="002B57A4">
      <w:pPr>
        <w:pStyle w:val="Title1LevelTitre1Niveau-AltL"/>
        <w:widowControl w:val="0"/>
        <w:rPr>
          <w:rFonts w:cs="Times New Roman"/>
          <w:lang w:val="fr-CA"/>
        </w:rPr>
      </w:pPr>
      <w:r w:rsidRPr="00B536B2">
        <w:rPr>
          <w:rFonts w:cs="Times New Roman"/>
          <w:lang w:val="fr-CA"/>
        </w:rPr>
        <w:t>Aperçu</w:t>
      </w:r>
    </w:p>
    <w:p w:rsidR="001B28CD" w:rsidRPr="00B536B2" w:rsidRDefault="001B28CD" w:rsidP="002B57A4">
      <w:pPr>
        <w:pStyle w:val="ParaNoNdepar-AltN"/>
        <w:widowControl w:val="0"/>
        <w:rPr>
          <w:rFonts w:cs="Times New Roman"/>
          <w:lang w:val="fr-CA"/>
        </w:rPr>
      </w:pPr>
      <w:r w:rsidRPr="00B536B2">
        <w:rPr>
          <w:rFonts w:cs="Times New Roman"/>
          <w:lang w:val="fr-CA"/>
        </w:rPr>
        <w:t>Le présent pourvoi porte sur le contrôle judiciaire d</w:t>
      </w:r>
      <w:r>
        <w:rPr>
          <w:rFonts w:cs="Times New Roman"/>
          <w:lang w:val="fr-CA"/>
        </w:rPr>
        <w:t>’</w:t>
      </w:r>
      <w:r w:rsidRPr="00B536B2">
        <w:rPr>
          <w:rFonts w:cs="Times New Roman"/>
          <w:lang w:val="fr-CA"/>
        </w:rPr>
        <w:t>une décision arbitrale relative à une directive d</w:t>
      </w:r>
      <w:r>
        <w:rPr>
          <w:rFonts w:cs="Times New Roman"/>
          <w:lang w:val="fr-CA"/>
        </w:rPr>
        <w:t>’</w:t>
      </w:r>
      <w:r w:rsidRPr="00B536B2">
        <w:rPr>
          <w:rFonts w:cs="Times New Roman"/>
          <w:lang w:val="fr-CA"/>
        </w:rPr>
        <w:t>un employeur du gouvernement fédéral en matière de quarts de garde obligatoires. L</w:t>
      </w:r>
      <w:r>
        <w:rPr>
          <w:rFonts w:cs="Times New Roman"/>
          <w:lang w:val="fr-CA"/>
        </w:rPr>
        <w:t>’</w:t>
      </w:r>
      <w:r w:rsidRPr="00B536B2">
        <w:rPr>
          <w:rFonts w:cs="Times New Roman"/>
          <w:lang w:val="fr-CA"/>
        </w:rPr>
        <w:t>Association des juristes de justice (AJJ) a déposé un grief au nom des juristes travaillant à la Direction du droit de l</w:t>
      </w:r>
      <w:r>
        <w:rPr>
          <w:rFonts w:cs="Times New Roman"/>
          <w:lang w:val="fr-CA"/>
        </w:rPr>
        <w:t>’</w:t>
      </w:r>
      <w:r w:rsidRPr="00B536B2">
        <w:rPr>
          <w:rFonts w:cs="Times New Roman"/>
          <w:lang w:val="fr-CA"/>
        </w:rPr>
        <w:t>immigration du Bureau régional du Québec du ministère de la Justice Canada. Le grief a été déposé après que l</w:t>
      </w:r>
      <w:r>
        <w:rPr>
          <w:rFonts w:cs="Times New Roman"/>
          <w:lang w:val="fr-CA"/>
        </w:rPr>
        <w:t>’employeur</w:t>
      </w:r>
      <w:r w:rsidRPr="00B536B2">
        <w:rPr>
          <w:rFonts w:cs="Times New Roman"/>
          <w:lang w:val="fr-CA"/>
        </w:rPr>
        <w:t xml:space="preserve">, le </w:t>
      </w:r>
      <w:r>
        <w:rPr>
          <w:rFonts w:cs="Times New Roman"/>
          <w:lang w:val="fr-CA"/>
        </w:rPr>
        <w:t>ministère de la Justice</w:t>
      </w:r>
      <w:r w:rsidRPr="00B536B2">
        <w:rPr>
          <w:rFonts w:cs="Times New Roman"/>
          <w:lang w:val="fr-CA"/>
        </w:rPr>
        <w:t xml:space="preserve">, eut communiqué une directive imposant aux juristes </w:t>
      </w:r>
      <w:r>
        <w:rPr>
          <w:rFonts w:cs="Times New Roman"/>
          <w:lang w:val="fr-CA"/>
        </w:rPr>
        <w:t xml:space="preserve">de cette direction </w:t>
      </w:r>
      <w:r w:rsidRPr="00B536B2">
        <w:rPr>
          <w:rFonts w:cs="Times New Roman"/>
          <w:lang w:val="fr-CA"/>
        </w:rPr>
        <w:t>des quarts de garde après les heures normales de travail.</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arbitre de grief a convenu avec l</w:t>
      </w:r>
      <w:r>
        <w:rPr>
          <w:rFonts w:cs="Times New Roman"/>
          <w:lang w:val="fr-CA"/>
        </w:rPr>
        <w:t>’</w:t>
      </w:r>
      <w:r w:rsidRPr="00B536B2">
        <w:rPr>
          <w:rFonts w:cs="Times New Roman"/>
          <w:lang w:val="fr-CA"/>
        </w:rPr>
        <w:t>AJJ que la directive ne constituait pas un exercice raisonnable ou équitable des droits de la direction et qu</w:t>
      </w:r>
      <w:r>
        <w:rPr>
          <w:rFonts w:cs="Times New Roman"/>
          <w:lang w:val="fr-CA"/>
        </w:rPr>
        <w:t>’</w:t>
      </w:r>
      <w:r w:rsidRPr="00B536B2">
        <w:rPr>
          <w:rFonts w:cs="Times New Roman"/>
          <w:lang w:val="fr-CA"/>
        </w:rPr>
        <w:t>elle violait les droits constitutionnels des juristes. La Cour d</w:t>
      </w:r>
      <w:r>
        <w:rPr>
          <w:rFonts w:cs="Times New Roman"/>
          <w:lang w:val="fr-CA"/>
        </w:rPr>
        <w:t>’</w:t>
      </w:r>
      <w:r w:rsidRPr="00B536B2">
        <w:rPr>
          <w:rFonts w:cs="Times New Roman"/>
          <w:lang w:val="fr-CA"/>
        </w:rPr>
        <w:t xml:space="preserve">appel fédérale a annulé la décision et a ordonné à un autre arbitre de conclure que la directive représentait un exercice équitable et raisonnable des droits de la direction. </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Je suis d</w:t>
      </w:r>
      <w:r>
        <w:rPr>
          <w:rFonts w:cs="Times New Roman"/>
          <w:lang w:val="fr-CA"/>
        </w:rPr>
        <w:t>’</w:t>
      </w:r>
      <w:r w:rsidRPr="00B536B2">
        <w:rPr>
          <w:rFonts w:cs="Times New Roman"/>
          <w:lang w:val="fr-CA"/>
        </w:rPr>
        <w:t>avis d</w:t>
      </w:r>
      <w:r>
        <w:rPr>
          <w:rFonts w:cs="Times New Roman"/>
          <w:lang w:val="fr-CA"/>
        </w:rPr>
        <w:t>’</w:t>
      </w:r>
      <w:r w:rsidRPr="00B536B2">
        <w:rPr>
          <w:rFonts w:cs="Times New Roman"/>
          <w:lang w:val="fr-CA"/>
        </w:rPr>
        <w:t>accueillir le pourvoi en partie. À mon sens, la décision de l</w:t>
      </w:r>
      <w:r>
        <w:rPr>
          <w:rFonts w:cs="Times New Roman"/>
          <w:lang w:val="fr-CA"/>
        </w:rPr>
        <w:t>’</w:t>
      </w:r>
      <w:r w:rsidRPr="00B536B2">
        <w:rPr>
          <w:rFonts w:cs="Times New Roman"/>
          <w:lang w:val="fr-CA"/>
        </w:rPr>
        <w:t>arbitre selon laquelle la directive ne constituait pas un exercice approprié des droits de la direction prévus dans la convention collective était raisonnable. Toutefois, je conviens avec la Cour d</w:t>
      </w:r>
      <w:r>
        <w:rPr>
          <w:rFonts w:cs="Times New Roman"/>
          <w:lang w:val="fr-CA"/>
        </w:rPr>
        <w:t>’</w:t>
      </w:r>
      <w:r w:rsidRPr="00B536B2">
        <w:rPr>
          <w:rFonts w:cs="Times New Roman"/>
          <w:lang w:val="fr-CA"/>
        </w:rPr>
        <w:t>appel fédérale que la directive ne mettait pas en jeu le droit à la liberté protégé par l</w:t>
      </w:r>
      <w:r>
        <w:rPr>
          <w:rFonts w:cs="Times New Roman"/>
          <w:lang w:val="fr-CA"/>
        </w:rPr>
        <w:t>’art. </w:t>
      </w:r>
      <w:r w:rsidRPr="00B536B2">
        <w:rPr>
          <w:rFonts w:cs="Times New Roman"/>
          <w:lang w:val="fr-CA"/>
        </w:rPr>
        <w:t xml:space="preserve">7 de la </w:t>
      </w:r>
      <w:r w:rsidRPr="00B536B2">
        <w:rPr>
          <w:rFonts w:cs="Times New Roman"/>
          <w:i/>
          <w:lang w:val="fr-CA"/>
        </w:rPr>
        <w:t>Charte canadienne des droits et libertés</w:t>
      </w:r>
      <w:r w:rsidRPr="00B536B2">
        <w:rPr>
          <w:rFonts w:cs="Times New Roman"/>
          <w:lang w:val="fr-CA"/>
        </w:rPr>
        <w:t>.</w:t>
      </w:r>
    </w:p>
    <w:p w:rsidR="001B28CD" w:rsidRPr="00B536B2" w:rsidRDefault="001B28CD" w:rsidP="002B57A4">
      <w:pPr>
        <w:pStyle w:val="Title1LevelTitre1Niveau-AltL"/>
        <w:widowControl w:val="0"/>
        <w:rPr>
          <w:rFonts w:cs="Times New Roman"/>
          <w:lang w:val="fr-CA"/>
        </w:rPr>
      </w:pPr>
      <w:r w:rsidRPr="00B536B2">
        <w:rPr>
          <w:rFonts w:cs="Times New Roman"/>
          <w:lang w:val="fr-CA"/>
        </w:rPr>
        <w:t>Contexte</w:t>
      </w:r>
    </w:p>
    <w:p w:rsidR="001B28CD" w:rsidRPr="00B536B2" w:rsidRDefault="001B28CD" w:rsidP="002B57A4">
      <w:pPr>
        <w:pStyle w:val="Title2LevelTitre2Niveau"/>
        <w:widowControl w:val="0"/>
        <w:rPr>
          <w:rFonts w:cs="Times New Roman"/>
          <w:lang w:val="fr-CA"/>
        </w:rPr>
      </w:pPr>
      <w:r w:rsidRPr="00B536B2">
        <w:rPr>
          <w:rFonts w:cs="Times New Roman"/>
          <w:lang w:val="fr-CA"/>
        </w:rPr>
        <w:t>Le système de garde</w:t>
      </w:r>
    </w:p>
    <w:p w:rsidR="001B28CD" w:rsidRPr="00B536B2" w:rsidRDefault="001B28CD" w:rsidP="002B57A4">
      <w:pPr>
        <w:pStyle w:val="ParaNoNdepar-AltN"/>
        <w:widowControl w:val="0"/>
        <w:rPr>
          <w:rFonts w:cs="Times New Roman"/>
          <w:lang w:val="fr-CA"/>
        </w:rPr>
      </w:pPr>
      <w:r w:rsidRPr="00B536B2">
        <w:rPr>
          <w:rFonts w:cs="Times New Roman"/>
          <w:lang w:val="fr-CA"/>
        </w:rPr>
        <w:t>Le procureur général du Canada doit parfois intervenir dans des affaires urgentes en matière d</w:t>
      </w:r>
      <w:r>
        <w:rPr>
          <w:rFonts w:cs="Times New Roman"/>
          <w:lang w:val="fr-CA"/>
        </w:rPr>
        <w:t>’</w:t>
      </w:r>
      <w:r w:rsidRPr="00B536B2">
        <w:rPr>
          <w:rFonts w:cs="Times New Roman"/>
          <w:lang w:val="fr-CA"/>
        </w:rPr>
        <w:t>immigration en dehors des heures normales de travail. Pour répondre à ce besoin, l</w:t>
      </w:r>
      <w:r>
        <w:rPr>
          <w:rFonts w:cs="Times New Roman"/>
          <w:lang w:val="fr-CA"/>
        </w:rPr>
        <w:t>’employeur</w:t>
      </w:r>
      <w:r w:rsidRPr="00B536B2">
        <w:rPr>
          <w:rFonts w:cs="Times New Roman"/>
          <w:lang w:val="fr-CA"/>
        </w:rPr>
        <w:t xml:space="preserve"> a mis sur pied un système de quarts de garde suivant lequel un juriste du gouvernement spécialisé en droit de l</w:t>
      </w:r>
      <w:r>
        <w:rPr>
          <w:rFonts w:cs="Times New Roman"/>
          <w:lang w:val="fr-CA"/>
        </w:rPr>
        <w:t>’</w:t>
      </w:r>
      <w:r w:rsidRPr="00B536B2">
        <w:rPr>
          <w:rFonts w:cs="Times New Roman"/>
          <w:lang w:val="fr-CA"/>
        </w:rPr>
        <w:t>immigration au Bureau régional du Québec serait disponible les soirs et les fins de semaine pour traiter à court préavis toute demande de sursis urgente susceptible de se présenter. Depuis sa création au début des années 1990 et jusqu</w:t>
      </w:r>
      <w:r>
        <w:rPr>
          <w:rFonts w:cs="Times New Roman"/>
          <w:lang w:val="fr-CA"/>
        </w:rPr>
        <w:t>’</w:t>
      </w:r>
      <w:r w:rsidRPr="00B536B2">
        <w:rPr>
          <w:rFonts w:cs="Times New Roman"/>
          <w:lang w:val="fr-CA"/>
        </w:rPr>
        <w:t>en 2010, le système fonctionnait sur une base volontaire. Les juristes qui se portaient volontaires pour assurer les quarts de garde étaient rémunérés à raison de 2,5 jours de congé payés pour une semaine de quarts de soir et de fin de semaine, avec une indemnité additionnelle pour les jours fériés. Ils recevaient la même indemnité, qu</w:t>
      </w:r>
      <w:r>
        <w:rPr>
          <w:rFonts w:cs="Times New Roman"/>
          <w:lang w:val="fr-CA"/>
        </w:rPr>
        <w:t>’</w:t>
      </w:r>
      <w:r w:rsidRPr="00B536B2">
        <w:rPr>
          <w:rFonts w:cs="Times New Roman"/>
          <w:lang w:val="fr-CA"/>
        </w:rPr>
        <w:t xml:space="preserve">ils soient appelés ou non au travail. </w:t>
      </w:r>
    </w:p>
    <w:p w:rsidR="001B28CD" w:rsidRPr="00B536B2" w:rsidRDefault="001B28CD" w:rsidP="002B57A4">
      <w:pPr>
        <w:pStyle w:val="ParaNoNdepar-AltN"/>
        <w:widowControl w:val="0"/>
        <w:rPr>
          <w:rFonts w:cs="Times New Roman"/>
          <w:lang w:val="fr-CA"/>
        </w:rPr>
      </w:pPr>
      <w:r w:rsidRPr="00B536B2">
        <w:rPr>
          <w:rFonts w:cs="Times New Roman"/>
          <w:lang w:val="fr-CA"/>
        </w:rPr>
        <w:t>Lorsque la convention collective entre l</w:t>
      </w:r>
      <w:r>
        <w:rPr>
          <w:rFonts w:cs="Times New Roman"/>
          <w:lang w:val="fr-CA"/>
        </w:rPr>
        <w:t>’</w:t>
      </w:r>
      <w:r w:rsidRPr="00B536B2">
        <w:rPr>
          <w:rFonts w:cs="Times New Roman"/>
          <w:lang w:val="fr-CA"/>
        </w:rPr>
        <w:t>AJJ et l</w:t>
      </w:r>
      <w:r>
        <w:rPr>
          <w:rFonts w:cs="Times New Roman"/>
          <w:lang w:val="fr-CA"/>
        </w:rPr>
        <w:t>’employeur</w:t>
      </w:r>
      <w:r w:rsidRPr="00B536B2">
        <w:rPr>
          <w:rFonts w:cs="Times New Roman"/>
          <w:lang w:val="fr-CA"/>
        </w:rPr>
        <w:t xml:space="preserve"> a été mise au point de manière définitive à l</w:t>
      </w:r>
      <w:r>
        <w:rPr>
          <w:rFonts w:cs="Times New Roman"/>
          <w:lang w:val="fr-CA"/>
        </w:rPr>
        <w:t>’</w:t>
      </w:r>
      <w:r w:rsidRPr="00B536B2">
        <w:rPr>
          <w:rFonts w:cs="Times New Roman"/>
          <w:lang w:val="fr-CA"/>
        </w:rPr>
        <w:t xml:space="preserve">automne 2009, de nombreux juristes ont obtenu le droit </w:t>
      </w:r>
      <w:r w:rsidRPr="00B536B2">
        <w:rPr>
          <w:rFonts w:cs="Times New Roman"/>
          <w:lang w:val="fr-CA"/>
        </w:rPr>
        <w:lastRenderedPageBreak/>
        <w:t>au paiement des heures supplémentaires, bien que les juristes de rang plus élevé aient continué de n</w:t>
      </w:r>
      <w:r>
        <w:rPr>
          <w:rFonts w:cs="Times New Roman"/>
          <w:lang w:val="fr-CA"/>
        </w:rPr>
        <w:t>’</w:t>
      </w:r>
      <w:r w:rsidRPr="00B536B2">
        <w:rPr>
          <w:rFonts w:cs="Times New Roman"/>
          <w:lang w:val="fr-CA"/>
        </w:rPr>
        <w:t>avoir droit qu</w:t>
      </w:r>
      <w:r>
        <w:rPr>
          <w:rFonts w:cs="Times New Roman"/>
          <w:lang w:val="fr-CA"/>
        </w:rPr>
        <w:t>’</w:t>
      </w:r>
      <w:r w:rsidRPr="00B536B2">
        <w:rPr>
          <w:rFonts w:cs="Times New Roman"/>
          <w:lang w:val="fr-CA"/>
        </w:rPr>
        <w:t>à des congés payés. En mars 2010, le directeur de la Direction du droit de l</w:t>
      </w:r>
      <w:r>
        <w:rPr>
          <w:rFonts w:cs="Times New Roman"/>
          <w:lang w:val="fr-CA"/>
        </w:rPr>
        <w:t>’</w:t>
      </w:r>
      <w:r w:rsidRPr="00B536B2">
        <w:rPr>
          <w:rFonts w:cs="Times New Roman"/>
          <w:lang w:val="fr-CA"/>
        </w:rPr>
        <w:t>immigration du Bureau régional du Québec a informé les juristes qu</w:t>
      </w:r>
      <w:r>
        <w:rPr>
          <w:rFonts w:cs="Times New Roman"/>
          <w:lang w:val="fr-CA"/>
        </w:rPr>
        <w:t>’</w:t>
      </w:r>
      <w:r w:rsidRPr="00B536B2">
        <w:rPr>
          <w:rFonts w:cs="Times New Roman"/>
          <w:lang w:val="fr-CA"/>
        </w:rPr>
        <w:t>ils ne seraient plus payés pour les périodes de garde. Désormais, ils ne seraient rémunérés que pour les heures travaillées s</w:t>
      </w:r>
      <w:r>
        <w:rPr>
          <w:rFonts w:cs="Times New Roman"/>
          <w:lang w:val="fr-CA"/>
        </w:rPr>
        <w:t>’</w:t>
      </w:r>
      <w:r w:rsidRPr="00B536B2">
        <w:rPr>
          <w:rFonts w:cs="Times New Roman"/>
          <w:lang w:val="fr-CA"/>
        </w:rPr>
        <w:t>ils recevaient une demande urgente. La directive prévoyait que les juristes seraient rémunérés pour les heures travaillées sous forme de primes d</w:t>
      </w:r>
      <w:r>
        <w:rPr>
          <w:rFonts w:cs="Times New Roman"/>
          <w:lang w:val="fr-CA"/>
        </w:rPr>
        <w:t>’</w:t>
      </w:r>
      <w:r w:rsidRPr="00B536B2">
        <w:rPr>
          <w:rFonts w:cs="Times New Roman"/>
          <w:lang w:val="fr-CA"/>
        </w:rPr>
        <w:t>heures supplémentaires ou de congés payés, selon leur niveau d</w:t>
      </w:r>
      <w:r>
        <w:rPr>
          <w:rFonts w:cs="Times New Roman"/>
          <w:lang w:val="fr-CA"/>
        </w:rPr>
        <w:t>’</w:t>
      </w:r>
      <w:r w:rsidRPr="00B536B2">
        <w:rPr>
          <w:rFonts w:cs="Times New Roman"/>
          <w:lang w:val="fr-CA"/>
        </w:rPr>
        <w:t>ancienneté.</w:t>
      </w:r>
    </w:p>
    <w:p w:rsidR="001B28CD" w:rsidRPr="00B536B2" w:rsidRDefault="001B28CD" w:rsidP="002B57A4">
      <w:pPr>
        <w:pStyle w:val="ParaNoNdepar-AltN"/>
        <w:widowControl w:val="0"/>
        <w:rPr>
          <w:rFonts w:cs="Times New Roman"/>
          <w:lang w:val="fr-CA"/>
        </w:rPr>
      </w:pPr>
      <w:r w:rsidRPr="00B536B2">
        <w:rPr>
          <w:rFonts w:cs="Times New Roman"/>
          <w:lang w:val="fr-CA"/>
        </w:rPr>
        <w:t>Avec ce changement de politique, il n</w:t>
      </w:r>
      <w:r>
        <w:rPr>
          <w:rFonts w:cs="Times New Roman"/>
          <w:lang w:val="fr-CA"/>
        </w:rPr>
        <w:t>’</w:t>
      </w:r>
      <w:r w:rsidRPr="00B536B2">
        <w:rPr>
          <w:rFonts w:cs="Times New Roman"/>
          <w:lang w:val="fr-CA"/>
        </w:rPr>
        <w:t>y avait plus assez de volontaires pour assurer le service pendant les périodes de garde. En réponse, la direction a rendu les quarts de garde obligatoires. Tous les juristes en titre du bureau devaient effectuer des quarts de garde les soirs et les fins de semaine à raison d</w:t>
      </w:r>
      <w:r>
        <w:rPr>
          <w:rFonts w:cs="Times New Roman"/>
          <w:lang w:val="fr-CA"/>
        </w:rPr>
        <w:t>’</w:t>
      </w:r>
      <w:r w:rsidRPr="00B536B2">
        <w:rPr>
          <w:rFonts w:cs="Times New Roman"/>
          <w:lang w:val="fr-CA"/>
        </w:rPr>
        <w:t xml:space="preserve">une à trois semaines par année. </w:t>
      </w:r>
    </w:p>
    <w:p w:rsidR="001B28CD" w:rsidRPr="00B536B2" w:rsidRDefault="001B28CD" w:rsidP="002B57A4">
      <w:pPr>
        <w:pStyle w:val="ParaNoNdepar-AltN"/>
        <w:widowControl w:val="0"/>
        <w:rPr>
          <w:rFonts w:cs="Times New Roman"/>
          <w:lang w:val="fr-CA"/>
        </w:rPr>
      </w:pPr>
      <w:r w:rsidRPr="00B536B2">
        <w:rPr>
          <w:rFonts w:cs="Times New Roman"/>
          <w:lang w:val="fr-CA"/>
        </w:rPr>
        <w:t>La période de garde</w:t>
      </w:r>
      <w:r>
        <w:rPr>
          <w:rFonts w:cs="Times New Roman"/>
          <w:lang w:val="fr-CA"/>
        </w:rPr>
        <w:t xml:space="preserve"> est de 17 h à 21 h les jours de semaine et de 9 </w:t>
      </w:r>
      <w:r w:rsidRPr="00B536B2">
        <w:rPr>
          <w:rFonts w:cs="Times New Roman"/>
          <w:lang w:val="fr-CA"/>
        </w:rPr>
        <w:t>h à 21 h les fins de semaine. Lorsqu</w:t>
      </w:r>
      <w:r>
        <w:rPr>
          <w:rFonts w:cs="Times New Roman"/>
          <w:lang w:val="fr-CA"/>
        </w:rPr>
        <w:t>’</w:t>
      </w:r>
      <w:r w:rsidRPr="00B536B2">
        <w:rPr>
          <w:rFonts w:cs="Times New Roman"/>
          <w:lang w:val="fr-CA"/>
        </w:rPr>
        <w:t>ils sont de garde, les juristes doivent être prêts à préparer et à plaider d</w:t>
      </w:r>
      <w:r>
        <w:rPr>
          <w:rFonts w:cs="Times New Roman"/>
          <w:lang w:val="fr-CA"/>
        </w:rPr>
        <w:t>’</w:t>
      </w:r>
      <w:r w:rsidRPr="00B536B2">
        <w:rPr>
          <w:rFonts w:cs="Times New Roman"/>
          <w:lang w:val="fr-CA"/>
        </w:rPr>
        <w:t>éventuelles demandes de sursis à court préavis. Ils doivent porter un téléavertisseur et un téléphone cellulaire fournis par l</w:t>
      </w:r>
      <w:r>
        <w:rPr>
          <w:rFonts w:cs="Times New Roman"/>
          <w:lang w:val="fr-CA"/>
        </w:rPr>
        <w:t>’</w:t>
      </w:r>
      <w:r w:rsidRPr="00B536B2">
        <w:rPr>
          <w:rFonts w:cs="Times New Roman"/>
          <w:lang w:val="fr-CA"/>
        </w:rPr>
        <w:t>employeur et être en mesure de se rendre à leur bureau dans un délai d</w:t>
      </w:r>
      <w:r>
        <w:rPr>
          <w:rFonts w:cs="Times New Roman"/>
          <w:lang w:val="fr-CA"/>
        </w:rPr>
        <w:t>’</w:t>
      </w:r>
      <w:r w:rsidRPr="00B536B2">
        <w:rPr>
          <w:rFonts w:cs="Times New Roman"/>
          <w:lang w:val="fr-CA"/>
        </w:rPr>
        <w:t>environ une heure si on les appelle. Les parties s</w:t>
      </w:r>
      <w:r>
        <w:rPr>
          <w:rFonts w:cs="Times New Roman"/>
          <w:lang w:val="fr-CA"/>
        </w:rPr>
        <w:t>’</w:t>
      </w:r>
      <w:r w:rsidRPr="00B536B2">
        <w:rPr>
          <w:rFonts w:cs="Times New Roman"/>
          <w:lang w:val="fr-CA"/>
        </w:rPr>
        <w:t>entendent pour dire que l</w:t>
      </w:r>
      <w:r>
        <w:rPr>
          <w:rFonts w:cs="Times New Roman"/>
          <w:lang w:val="fr-CA"/>
        </w:rPr>
        <w:t>’employeur</w:t>
      </w:r>
      <w:r w:rsidRPr="00B536B2">
        <w:rPr>
          <w:rFonts w:cs="Times New Roman"/>
          <w:lang w:val="fr-CA"/>
        </w:rPr>
        <w:t xml:space="preserve"> a pris en considération toutes les mesures d</w:t>
      </w:r>
      <w:r>
        <w:rPr>
          <w:rFonts w:cs="Times New Roman"/>
          <w:lang w:val="fr-CA"/>
        </w:rPr>
        <w:t>’</w:t>
      </w:r>
      <w:r w:rsidRPr="00B536B2">
        <w:rPr>
          <w:rFonts w:cs="Times New Roman"/>
          <w:lang w:val="fr-CA"/>
        </w:rPr>
        <w:t xml:space="preserve">adaptation nécessaires en application de la </w:t>
      </w:r>
      <w:r w:rsidRPr="00B536B2">
        <w:rPr>
          <w:rFonts w:cs="Times New Roman"/>
          <w:i/>
          <w:lang w:val="fr-CA"/>
        </w:rPr>
        <w:t>Loi canadienne sur les droits de la personne</w:t>
      </w:r>
      <w:r w:rsidRPr="00B536B2">
        <w:rPr>
          <w:rFonts w:cs="Times New Roman"/>
          <w:lang w:val="fr-CA"/>
        </w:rPr>
        <w:t>, L.R.C. 1985, c. H</w:t>
      </w:r>
      <w:r>
        <w:rPr>
          <w:rFonts w:cs="Times New Roman"/>
          <w:lang w:val="fr-CA"/>
        </w:rPr>
        <w:noBreakHyphen/>
      </w:r>
      <w:r w:rsidRPr="00B536B2">
        <w:rPr>
          <w:rFonts w:cs="Times New Roman"/>
          <w:lang w:val="fr-CA"/>
        </w:rPr>
        <w:t>6, lorsqu</w:t>
      </w:r>
      <w:r>
        <w:rPr>
          <w:rFonts w:cs="Times New Roman"/>
          <w:lang w:val="fr-CA"/>
        </w:rPr>
        <w:t>’</w:t>
      </w:r>
      <w:r w:rsidRPr="00B536B2">
        <w:rPr>
          <w:rFonts w:cs="Times New Roman"/>
          <w:lang w:val="fr-CA"/>
        </w:rPr>
        <w:t>il a établi le tableau de garde.</w:t>
      </w:r>
      <w:r w:rsidRPr="00B536B2">
        <w:rPr>
          <w:rFonts w:cs="Times New Roman"/>
          <w:i/>
          <w:lang w:val="fr-CA"/>
        </w:rPr>
        <w:t xml:space="preserve"> </w:t>
      </w:r>
      <w:r w:rsidRPr="00B536B2">
        <w:rPr>
          <w:rFonts w:cs="Times New Roman"/>
          <w:lang w:val="fr-CA"/>
        </w:rPr>
        <w:t>Les juristes visés par celui</w:t>
      </w:r>
      <w:r>
        <w:rPr>
          <w:rFonts w:cs="Times New Roman"/>
          <w:lang w:val="fr-CA"/>
        </w:rPr>
        <w:noBreakHyphen/>
      </w:r>
      <w:r w:rsidRPr="00B536B2">
        <w:rPr>
          <w:rFonts w:cs="Times New Roman"/>
          <w:lang w:val="fr-CA"/>
        </w:rPr>
        <w:t>ci peuvent également s</w:t>
      </w:r>
      <w:r>
        <w:rPr>
          <w:rFonts w:cs="Times New Roman"/>
          <w:lang w:val="fr-CA"/>
        </w:rPr>
        <w:t>’</w:t>
      </w:r>
      <w:r w:rsidRPr="00B536B2">
        <w:rPr>
          <w:rFonts w:cs="Times New Roman"/>
          <w:lang w:val="fr-CA"/>
        </w:rPr>
        <w:t xml:space="preserve">échanger leurs quarts de garde. </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La preuve présentée à l</w:t>
      </w:r>
      <w:r>
        <w:rPr>
          <w:rFonts w:cs="Times New Roman"/>
          <w:lang w:val="fr-CA"/>
        </w:rPr>
        <w:t>’</w:t>
      </w:r>
      <w:r w:rsidRPr="00B536B2">
        <w:rPr>
          <w:rFonts w:cs="Times New Roman"/>
          <w:lang w:val="fr-CA"/>
        </w:rPr>
        <w:t>arbitre indiquait qu</w:t>
      </w:r>
      <w:r>
        <w:rPr>
          <w:rFonts w:cs="Times New Roman"/>
          <w:lang w:val="fr-CA"/>
        </w:rPr>
        <w:t>’</w:t>
      </w:r>
      <w:r w:rsidRPr="00B536B2">
        <w:rPr>
          <w:rFonts w:cs="Times New Roman"/>
          <w:lang w:val="fr-CA"/>
        </w:rPr>
        <w:t>en 2010, la Direction du droit de l</w:t>
      </w:r>
      <w:r>
        <w:rPr>
          <w:rFonts w:cs="Times New Roman"/>
          <w:lang w:val="fr-CA"/>
        </w:rPr>
        <w:t>’</w:t>
      </w:r>
      <w:r w:rsidRPr="00B536B2">
        <w:rPr>
          <w:rFonts w:cs="Times New Roman"/>
          <w:lang w:val="fr-CA"/>
        </w:rPr>
        <w:t>immigration avait dû répondre à environ 120 demandes de sursis, dont six présentées la fin de semaine. On ne savait pas exactement combien de demandes de sursis urgentes avaient dû être traitées les soirs de semaine.</w:t>
      </w:r>
    </w:p>
    <w:p w:rsidR="001B28CD" w:rsidRPr="00B536B2" w:rsidRDefault="001B28CD" w:rsidP="002B57A4">
      <w:pPr>
        <w:pStyle w:val="Title2LevelTitre2Niveau"/>
        <w:widowControl w:val="0"/>
        <w:rPr>
          <w:rFonts w:cs="Times New Roman"/>
          <w:lang w:val="fr-CA"/>
        </w:rPr>
      </w:pPr>
      <w:r w:rsidRPr="00B536B2">
        <w:rPr>
          <w:rFonts w:cs="Times New Roman"/>
          <w:lang w:val="fr-CA"/>
        </w:rPr>
        <w:t>La convention collective</w:t>
      </w:r>
    </w:p>
    <w:p w:rsidR="001B28CD" w:rsidRPr="00B536B2" w:rsidRDefault="001B28CD" w:rsidP="002B57A4">
      <w:pPr>
        <w:pStyle w:val="ParaNoNdepar-AltN"/>
        <w:widowControl w:val="0"/>
        <w:rPr>
          <w:rFonts w:cs="Times New Roman"/>
          <w:lang w:val="fr-CA"/>
        </w:rPr>
      </w:pPr>
      <w:r w:rsidRPr="00B536B2">
        <w:rPr>
          <w:rFonts w:cs="Times New Roman"/>
          <w:lang w:val="fr-CA"/>
        </w:rPr>
        <w:t>La convention collective en cause est muette sur l</w:t>
      </w:r>
      <w:r>
        <w:rPr>
          <w:rFonts w:cs="Times New Roman"/>
          <w:lang w:val="fr-CA"/>
        </w:rPr>
        <w:t>’</w:t>
      </w:r>
      <w:r w:rsidRPr="00B536B2">
        <w:rPr>
          <w:rFonts w:cs="Times New Roman"/>
          <w:lang w:val="fr-CA"/>
        </w:rPr>
        <w:t>obligation de disponibilité. Cela dit, plusieurs de ses dispositions concernent la faculté du gouvernement d</w:t>
      </w:r>
      <w:r>
        <w:rPr>
          <w:rFonts w:cs="Times New Roman"/>
          <w:lang w:val="fr-CA"/>
        </w:rPr>
        <w:t>’</w:t>
      </w:r>
      <w:r w:rsidRPr="00B536B2">
        <w:rPr>
          <w:rFonts w:cs="Times New Roman"/>
          <w:lang w:val="fr-CA"/>
        </w:rPr>
        <w:t>imposer des politiqu</w:t>
      </w:r>
      <w:r w:rsidR="00CE5A6F">
        <w:rPr>
          <w:rFonts w:cs="Times New Roman"/>
          <w:lang w:val="fr-CA"/>
        </w:rPr>
        <w:t>es en milieu de travail. Le par</w:t>
      </w:r>
      <w:r w:rsidR="00E3019B">
        <w:rPr>
          <w:rFonts w:cs="Times New Roman"/>
          <w:lang w:val="fr-CA"/>
        </w:rPr>
        <w:t>agraphe</w:t>
      </w:r>
      <w:r w:rsidR="00CE5A6F" w:rsidRPr="00B536B2">
        <w:rPr>
          <w:rFonts w:cs="Times New Roman"/>
          <w:lang w:val="fr-CA"/>
        </w:rPr>
        <w:t> </w:t>
      </w:r>
      <w:r w:rsidRPr="00B536B2">
        <w:rPr>
          <w:rFonts w:cs="Times New Roman"/>
          <w:lang w:val="fr-CA"/>
        </w:rPr>
        <w:t>5.01 précise que l</w:t>
      </w:r>
      <w:r>
        <w:rPr>
          <w:rFonts w:cs="Times New Roman"/>
          <w:lang w:val="fr-CA"/>
        </w:rPr>
        <w:t>’</w:t>
      </w:r>
      <w:r w:rsidRPr="00B536B2">
        <w:rPr>
          <w:rFonts w:cs="Times New Roman"/>
          <w:lang w:val="fr-CA"/>
        </w:rPr>
        <w:t>employeur conserve tous les droits et pouvoirs de la direction qui n</w:t>
      </w:r>
      <w:r>
        <w:rPr>
          <w:rFonts w:cs="Times New Roman"/>
          <w:lang w:val="fr-CA"/>
        </w:rPr>
        <w:t>’</w:t>
      </w:r>
      <w:r w:rsidRPr="00B536B2">
        <w:rPr>
          <w:rFonts w:cs="Times New Roman"/>
          <w:lang w:val="fr-CA"/>
        </w:rPr>
        <w:t xml:space="preserve">ont pas été modifiés </w:t>
      </w:r>
      <w:proofErr w:type="gramStart"/>
      <w:r w:rsidRPr="00B536B2">
        <w:rPr>
          <w:rFonts w:cs="Times New Roman"/>
          <w:lang w:val="fr-CA"/>
        </w:rPr>
        <w:t>ou</w:t>
      </w:r>
      <w:proofErr w:type="gramEnd"/>
      <w:r w:rsidRPr="00B536B2">
        <w:rPr>
          <w:rFonts w:cs="Times New Roman"/>
          <w:lang w:val="fr-CA"/>
        </w:rPr>
        <w:t xml:space="preserve"> limités par la convention collective</w:t>
      </w:r>
      <w:r>
        <w:rPr>
          <w:rFonts w:cs="Times New Roman"/>
          <w:lang w:val="fr-CA"/>
        </w:rPr>
        <w:t> :</w:t>
      </w:r>
    </w:p>
    <w:p w:rsidR="001B28CD" w:rsidRPr="00B536B2" w:rsidRDefault="001B28CD" w:rsidP="002B57A4">
      <w:pPr>
        <w:pStyle w:val="Citation-AltC"/>
        <w:widowControl w:val="0"/>
        <w:ind w:hanging="1166"/>
        <w:rPr>
          <w:lang w:val="fr-CA"/>
        </w:rPr>
      </w:pPr>
      <w:r w:rsidRPr="00B536B2">
        <w:rPr>
          <w:lang w:val="fr-CA"/>
        </w:rPr>
        <w:tab/>
      </w:r>
      <w:r w:rsidRPr="00B536B2">
        <w:rPr>
          <w:lang w:val="fr-CA"/>
        </w:rPr>
        <w:tab/>
        <w:t>L</w:t>
      </w:r>
      <w:r>
        <w:rPr>
          <w:lang w:val="fr-CA"/>
        </w:rPr>
        <w:t>’</w:t>
      </w:r>
      <w:r w:rsidRPr="00B536B2">
        <w:rPr>
          <w:lang w:val="fr-CA"/>
        </w:rPr>
        <w:t>Association reconnaît que l</w:t>
      </w:r>
      <w:r>
        <w:rPr>
          <w:lang w:val="fr-CA"/>
        </w:rPr>
        <w:t>’</w:t>
      </w:r>
      <w:r w:rsidRPr="00B536B2">
        <w:rPr>
          <w:lang w:val="fr-CA"/>
        </w:rPr>
        <w:t>Employeur retient toutes les fonctions, les droits, les pouvoirs et l</w:t>
      </w:r>
      <w:r>
        <w:rPr>
          <w:lang w:val="fr-CA"/>
        </w:rPr>
        <w:t>’</w:t>
      </w:r>
      <w:r w:rsidRPr="00B536B2">
        <w:rPr>
          <w:lang w:val="fr-CA"/>
        </w:rPr>
        <w:t>autorité que ce dernier n</w:t>
      </w:r>
      <w:r>
        <w:rPr>
          <w:lang w:val="fr-CA"/>
        </w:rPr>
        <w:t>’</w:t>
      </w:r>
      <w:r w:rsidRPr="00B536B2">
        <w:rPr>
          <w:lang w:val="fr-CA"/>
        </w:rPr>
        <w:t>a pas, d</w:t>
      </w:r>
      <w:r>
        <w:rPr>
          <w:lang w:val="fr-CA"/>
        </w:rPr>
        <w:t>’</w:t>
      </w:r>
      <w:r w:rsidRPr="00B536B2">
        <w:rPr>
          <w:lang w:val="fr-CA"/>
        </w:rPr>
        <w:t>une façon précise, fait diminuer, déléguer ou modifier par la présente convention.</w:t>
      </w:r>
    </w:p>
    <w:p w:rsidR="001B28CD" w:rsidRPr="00B536B2" w:rsidRDefault="001B28CD" w:rsidP="002B57A4">
      <w:pPr>
        <w:pStyle w:val="ParaNoNdepar-AltN"/>
        <w:widowControl w:val="0"/>
        <w:rPr>
          <w:rFonts w:cs="Times New Roman"/>
          <w:lang w:val="fr-CA"/>
        </w:rPr>
      </w:pPr>
      <w:r w:rsidRPr="00B536B2">
        <w:rPr>
          <w:rFonts w:cs="Times New Roman"/>
          <w:lang w:val="fr-CA"/>
        </w:rPr>
        <w:t xml:space="preserve">Toutefois, les droits de la direction ne sont pas absolus. Suivant le </w:t>
      </w:r>
      <w:r>
        <w:rPr>
          <w:rFonts w:cs="Times New Roman"/>
          <w:lang w:val="fr-CA"/>
        </w:rPr>
        <w:t>par. </w:t>
      </w:r>
      <w:r w:rsidRPr="00B536B2">
        <w:rPr>
          <w:rFonts w:cs="Times New Roman"/>
          <w:lang w:val="fr-CA"/>
        </w:rPr>
        <w:t>5.02 de la convention collective, l</w:t>
      </w:r>
      <w:r>
        <w:rPr>
          <w:rFonts w:cs="Times New Roman"/>
          <w:lang w:val="fr-CA"/>
        </w:rPr>
        <w:t>’</w:t>
      </w:r>
      <w:r w:rsidRPr="00B536B2">
        <w:rPr>
          <w:rFonts w:cs="Times New Roman"/>
          <w:lang w:val="fr-CA"/>
        </w:rPr>
        <w:t>employeur doit « agi[r] raisonnablement, équitablement et de bonne foi dans l</w:t>
      </w:r>
      <w:r>
        <w:rPr>
          <w:rFonts w:cs="Times New Roman"/>
          <w:lang w:val="fr-CA"/>
        </w:rPr>
        <w:t>’</w:t>
      </w:r>
      <w:r w:rsidRPr="00B536B2">
        <w:rPr>
          <w:rFonts w:cs="Times New Roman"/>
          <w:lang w:val="fr-CA"/>
        </w:rPr>
        <w:t xml:space="preserve">administration de la présente convention collective ». </w:t>
      </w:r>
    </w:p>
    <w:p w:rsidR="001B28CD" w:rsidRPr="00B536B2" w:rsidRDefault="001B28CD" w:rsidP="002B57A4">
      <w:pPr>
        <w:pStyle w:val="ParaNoNdepar-AltN"/>
        <w:widowControl w:val="0"/>
        <w:rPr>
          <w:rFonts w:cs="Times New Roman"/>
          <w:lang w:val="fr-CA"/>
        </w:rPr>
      </w:pPr>
      <w:r w:rsidRPr="00B536B2">
        <w:rPr>
          <w:rFonts w:cs="Times New Roman"/>
          <w:lang w:val="fr-CA"/>
        </w:rPr>
        <w:t xml:space="preserve">De plus, le </w:t>
      </w:r>
      <w:r>
        <w:rPr>
          <w:rFonts w:cs="Times New Roman"/>
          <w:lang w:val="fr-CA"/>
        </w:rPr>
        <w:t>par. </w:t>
      </w:r>
      <w:r w:rsidRPr="00B536B2">
        <w:rPr>
          <w:rFonts w:cs="Times New Roman"/>
          <w:lang w:val="fr-CA"/>
        </w:rPr>
        <w:t>6.01 interdit au gouvernement d</w:t>
      </w:r>
      <w:r>
        <w:rPr>
          <w:rFonts w:cs="Times New Roman"/>
          <w:lang w:val="fr-CA"/>
        </w:rPr>
        <w:t>’</w:t>
      </w:r>
      <w:r w:rsidRPr="00B536B2">
        <w:rPr>
          <w:rFonts w:cs="Times New Roman"/>
          <w:lang w:val="fr-CA"/>
        </w:rPr>
        <w:t>imposer une politique en milieu de travail qui aurait pour effet de restreindre les droits constitutionnels des juristes ou d</w:t>
      </w:r>
      <w:r>
        <w:rPr>
          <w:rFonts w:cs="Times New Roman"/>
          <w:lang w:val="fr-CA"/>
        </w:rPr>
        <w:t>’</w:t>
      </w:r>
      <w:r w:rsidRPr="00B536B2">
        <w:rPr>
          <w:rFonts w:cs="Times New Roman"/>
          <w:lang w:val="fr-CA"/>
        </w:rPr>
        <w:t>autres droits que leur confère une loi fédérale</w:t>
      </w:r>
      <w:r>
        <w:rPr>
          <w:rFonts w:cs="Times New Roman"/>
          <w:lang w:val="fr-CA"/>
        </w:rPr>
        <w:t> :</w:t>
      </w:r>
    </w:p>
    <w:p w:rsidR="001B28CD" w:rsidRPr="00B536B2" w:rsidRDefault="001B28CD" w:rsidP="002B57A4">
      <w:pPr>
        <w:pStyle w:val="Citation-AltC"/>
        <w:widowControl w:val="0"/>
        <w:ind w:hanging="1166"/>
        <w:rPr>
          <w:lang w:val="fr-CA"/>
        </w:rPr>
      </w:pPr>
      <w:r w:rsidRPr="00B536B2">
        <w:rPr>
          <w:lang w:val="fr-CA"/>
        </w:rPr>
        <w:lastRenderedPageBreak/>
        <w:tab/>
      </w:r>
      <w:r w:rsidRPr="00B536B2">
        <w:rPr>
          <w:lang w:val="fr-CA"/>
        </w:rPr>
        <w:tab/>
        <w:t>Rien dans la présente convention ne peut être interprété comme une diminution ou une restriction des droits constitutionnels ou de tous autres droits d</w:t>
      </w:r>
      <w:r>
        <w:rPr>
          <w:lang w:val="fr-CA"/>
        </w:rPr>
        <w:t>’</w:t>
      </w:r>
      <w:r w:rsidRPr="00B536B2">
        <w:rPr>
          <w:lang w:val="fr-CA"/>
        </w:rPr>
        <w:t>un juriste qui sont accordés explicitement par une loi du Parlement du Canada.</w:t>
      </w:r>
    </w:p>
    <w:p w:rsidR="001B28CD" w:rsidRPr="00B536B2" w:rsidRDefault="001B28CD" w:rsidP="002B57A4">
      <w:pPr>
        <w:pStyle w:val="Title1LevelTitre1Niveau-AltL"/>
        <w:widowControl w:val="0"/>
        <w:rPr>
          <w:rFonts w:cs="Times New Roman"/>
          <w:lang w:val="fr-CA"/>
        </w:rPr>
      </w:pPr>
      <w:r w:rsidRPr="00B536B2">
        <w:rPr>
          <w:rFonts w:cs="Times New Roman"/>
          <w:lang w:val="fr-CA"/>
        </w:rPr>
        <w:t>Décisions des juridictions inférieures</w:t>
      </w:r>
    </w:p>
    <w:p w:rsidR="001B28CD" w:rsidRPr="00B536B2" w:rsidRDefault="001B28CD" w:rsidP="002B57A4">
      <w:pPr>
        <w:pStyle w:val="Title2LevelTitre2Niveau"/>
        <w:widowControl w:val="0"/>
        <w:rPr>
          <w:rFonts w:cs="Times New Roman"/>
          <w:lang w:val="fr-CA"/>
        </w:rPr>
      </w:pPr>
      <w:r w:rsidRPr="00B536B2">
        <w:rPr>
          <w:rFonts w:cs="Times New Roman"/>
          <w:lang w:val="fr-CA"/>
        </w:rPr>
        <w:t>La décision arbitrale, 2015 CRTEFP 31</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AJJ a déposé un grief contestant la directive sur les quarts de garde obligatoires. L</w:t>
      </w:r>
      <w:r>
        <w:rPr>
          <w:rFonts w:cs="Times New Roman"/>
          <w:lang w:val="fr-CA"/>
        </w:rPr>
        <w:t>’</w:t>
      </w:r>
      <w:r w:rsidRPr="00B536B2">
        <w:rPr>
          <w:rFonts w:cs="Times New Roman"/>
          <w:lang w:val="fr-CA"/>
        </w:rPr>
        <w:t>arbitre a conclu que cette mesure n</w:t>
      </w:r>
      <w:r>
        <w:rPr>
          <w:rFonts w:cs="Times New Roman"/>
          <w:lang w:val="fr-CA"/>
        </w:rPr>
        <w:t>’</w:t>
      </w:r>
      <w:r w:rsidRPr="00B536B2">
        <w:rPr>
          <w:rFonts w:cs="Times New Roman"/>
          <w:lang w:val="fr-CA"/>
        </w:rPr>
        <w:t>était ni raisonnable ni équitable et qu</w:t>
      </w:r>
      <w:r>
        <w:rPr>
          <w:rFonts w:cs="Times New Roman"/>
          <w:lang w:val="fr-CA"/>
        </w:rPr>
        <w:t>’</w:t>
      </w:r>
      <w:r w:rsidRPr="00B536B2">
        <w:rPr>
          <w:rFonts w:cs="Times New Roman"/>
          <w:lang w:val="fr-CA"/>
        </w:rPr>
        <w:t xml:space="preserve">elle était donc contraire au </w:t>
      </w:r>
      <w:r>
        <w:rPr>
          <w:rFonts w:cs="Times New Roman"/>
          <w:lang w:val="fr-CA"/>
        </w:rPr>
        <w:t>par. </w:t>
      </w:r>
      <w:r w:rsidRPr="00B536B2">
        <w:rPr>
          <w:rFonts w:cs="Times New Roman"/>
          <w:lang w:val="fr-CA"/>
        </w:rPr>
        <w:t>5.02 de la convention collective. Il a souligné que les conventions collectives régissant les fonctionnaires fédéraux renferment fréquemment des clauses de disponibilité. Dans de telles conventions, les employés acceptent généralement de se rendre disponibles en dehors des heures normales de travail moyennant rémunération. De l</w:t>
      </w:r>
      <w:r>
        <w:rPr>
          <w:rFonts w:cs="Times New Roman"/>
          <w:lang w:val="fr-CA"/>
        </w:rPr>
        <w:t>’</w:t>
      </w:r>
      <w:r w:rsidRPr="00B536B2">
        <w:rPr>
          <w:rFonts w:cs="Times New Roman"/>
          <w:lang w:val="fr-CA"/>
        </w:rPr>
        <w:t>avis de l</w:t>
      </w:r>
      <w:r>
        <w:rPr>
          <w:rFonts w:cs="Times New Roman"/>
          <w:lang w:val="fr-CA"/>
        </w:rPr>
        <w:t>’</w:t>
      </w:r>
      <w:r w:rsidRPr="00B536B2">
        <w:rPr>
          <w:rFonts w:cs="Times New Roman"/>
          <w:lang w:val="fr-CA"/>
        </w:rPr>
        <w:t>arbitre, l</w:t>
      </w:r>
      <w:r>
        <w:rPr>
          <w:rFonts w:cs="Times New Roman"/>
          <w:lang w:val="fr-CA"/>
        </w:rPr>
        <w:t>’</w:t>
      </w:r>
      <w:r w:rsidRPr="00B536B2">
        <w:rPr>
          <w:rFonts w:cs="Times New Roman"/>
          <w:lang w:val="fr-CA"/>
        </w:rPr>
        <w:t>absence d</w:t>
      </w:r>
      <w:r>
        <w:rPr>
          <w:rFonts w:cs="Times New Roman"/>
          <w:lang w:val="fr-CA"/>
        </w:rPr>
        <w:t>’</w:t>
      </w:r>
      <w:r w:rsidRPr="00B536B2">
        <w:rPr>
          <w:rFonts w:cs="Times New Roman"/>
          <w:lang w:val="fr-CA"/>
        </w:rPr>
        <w:t>une telle clause ne donnait pas à l</w:t>
      </w:r>
      <w:r>
        <w:rPr>
          <w:rFonts w:cs="Times New Roman"/>
          <w:lang w:val="fr-CA"/>
        </w:rPr>
        <w:t>’</w:t>
      </w:r>
      <w:r w:rsidRPr="00B536B2">
        <w:rPr>
          <w:rFonts w:cs="Times New Roman"/>
          <w:lang w:val="fr-CA"/>
        </w:rPr>
        <w:t>employeur carte blanche pour imposer des périodes de garde non rémunérées. L</w:t>
      </w:r>
      <w:r>
        <w:rPr>
          <w:rFonts w:cs="Times New Roman"/>
          <w:lang w:val="fr-CA"/>
        </w:rPr>
        <w:t>’</w:t>
      </w:r>
      <w:r w:rsidRPr="00B536B2">
        <w:rPr>
          <w:rFonts w:cs="Times New Roman"/>
          <w:lang w:val="fr-CA"/>
        </w:rPr>
        <w:t>arbitre a reconnu le besoin légitime pour le ministère de la Justice de disposer de juristes pour répondre à des urgences en dehors des heures normales de travail, mais il s</w:t>
      </w:r>
      <w:r>
        <w:rPr>
          <w:rFonts w:cs="Times New Roman"/>
          <w:lang w:val="fr-CA"/>
        </w:rPr>
        <w:t>’</w:t>
      </w:r>
      <w:r w:rsidRPr="00B536B2">
        <w:rPr>
          <w:rFonts w:cs="Times New Roman"/>
          <w:lang w:val="fr-CA"/>
        </w:rPr>
        <w:t>est demandé si des quarts de garde étaient essentiels pour satisfaire à ce besoin, puisqu</w:t>
      </w:r>
      <w:r>
        <w:rPr>
          <w:rFonts w:cs="Times New Roman"/>
          <w:lang w:val="fr-CA"/>
        </w:rPr>
        <w:t>’</w:t>
      </w:r>
      <w:r w:rsidRPr="00B536B2">
        <w:rPr>
          <w:rFonts w:cs="Times New Roman"/>
          <w:lang w:val="fr-CA"/>
        </w:rPr>
        <w:t>ils n</w:t>
      </w:r>
      <w:r>
        <w:rPr>
          <w:rFonts w:cs="Times New Roman"/>
          <w:lang w:val="fr-CA"/>
        </w:rPr>
        <w:t>’</w:t>
      </w:r>
      <w:r w:rsidRPr="00B536B2">
        <w:rPr>
          <w:rFonts w:cs="Times New Roman"/>
          <w:lang w:val="fr-CA"/>
        </w:rPr>
        <w:t>étaient pas mentionnés dans le contrat d</w:t>
      </w:r>
      <w:r>
        <w:rPr>
          <w:rFonts w:cs="Times New Roman"/>
          <w:lang w:val="fr-CA"/>
        </w:rPr>
        <w:t>’</w:t>
      </w:r>
      <w:r w:rsidRPr="00B536B2">
        <w:rPr>
          <w:rFonts w:cs="Times New Roman"/>
          <w:lang w:val="fr-CA"/>
        </w:rPr>
        <w:t>emploi ou dans la description de tâches.</w:t>
      </w:r>
    </w:p>
    <w:p w:rsidR="001B28CD" w:rsidRPr="00B536B2" w:rsidRDefault="001B28CD" w:rsidP="002B57A4">
      <w:pPr>
        <w:pStyle w:val="ParaNoNdepar-AltN"/>
        <w:widowControl w:val="0"/>
        <w:rPr>
          <w:rFonts w:cs="Times New Roman"/>
          <w:lang w:val="fr-CA"/>
        </w:rPr>
      </w:pPr>
      <w:r w:rsidRPr="00B536B2">
        <w:rPr>
          <w:rFonts w:cs="Times New Roman"/>
          <w:lang w:val="fr-CA"/>
        </w:rPr>
        <w:t>En outre, l</w:t>
      </w:r>
      <w:r>
        <w:rPr>
          <w:rFonts w:cs="Times New Roman"/>
          <w:lang w:val="fr-CA"/>
        </w:rPr>
        <w:t>’</w:t>
      </w:r>
      <w:r w:rsidRPr="00B536B2">
        <w:rPr>
          <w:rFonts w:cs="Times New Roman"/>
          <w:lang w:val="fr-CA"/>
        </w:rPr>
        <w:t>arbitre a conclu que la directive portait atteinte aux droits constitutionnels des juristes. En particulier, il a estimé que l</w:t>
      </w:r>
      <w:r>
        <w:rPr>
          <w:rFonts w:cs="Times New Roman"/>
          <w:lang w:val="fr-CA"/>
        </w:rPr>
        <w:t>’</w:t>
      </w:r>
      <w:r w:rsidRPr="00B536B2">
        <w:rPr>
          <w:rFonts w:cs="Times New Roman"/>
          <w:lang w:val="fr-CA"/>
        </w:rPr>
        <w:t xml:space="preserve">obligation de disponibilité </w:t>
      </w:r>
      <w:r w:rsidRPr="00B536B2">
        <w:rPr>
          <w:rFonts w:cs="Times New Roman"/>
          <w:lang w:val="fr-CA"/>
        </w:rPr>
        <w:lastRenderedPageBreak/>
        <w:t>mettait en cause le droit à la liberté que l</w:t>
      </w:r>
      <w:r>
        <w:rPr>
          <w:rFonts w:cs="Times New Roman"/>
          <w:lang w:val="fr-CA"/>
        </w:rPr>
        <w:t>’art. </w:t>
      </w:r>
      <w:r w:rsidRPr="00B536B2">
        <w:rPr>
          <w:rFonts w:cs="Times New Roman"/>
          <w:lang w:val="fr-CA"/>
        </w:rPr>
        <w:t xml:space="preserve">7 de la </w:t>
      </w:r>
      <w:r w:rsidRPr="00B536B2">
        <w:rPr>
          <w:rFonts w:cs="Times New Roman"/>
          <w:i/>
          <w:lang w:val="fr-CA"/>
        </w:rPr>
        <w:t xml:space="preserve">Charte </w:t>
      </w:r>
      <w:r w:rsidRPr="00B536B2">
        <w:rPr>
          <w:rFonts w:cs="Times New Roman"/>
          <w:lang w:val="fr-CA"/>
        </w:rPr>
        <w:t>garantit aux juristes et que l</w:t>
      </w:r>
      <w:r>
        <w:rPr>
          <w:rFonts w:cs="Times New Roman"/>
          <w:lang w:val="fr-CA"/>
        </w:rPr>
        <w:t>’</w:t>
      </w:r>
      <w:r w:rsidRPr="00B536B2">
        <w:rPr>
          <w:rFonts w:cs="Times New Roman"/>
          <w:lang w:val="fr-CA"/>
        </w:rPr>
        <w:t>atteinte n</w:t>
      </w:r>
      <w:r>
        <w:rPr>
          <w:rFonts w:cs="Times New Roman"/>
          <w:lang w:val="fr-CA"/>
        </w:rPr>
        <w:t>’</w:t>
      </w:r>
      <w:r w:rsidRPr="00B536B2">
        <w:rPr>
          <w:rFonts w:cs="Times New Roman"/>
          <w:lang w:val="fr-CA"/>
        </w:rPr>
        <w:t>était pas conforme aux principes de justice fondamentale. En conséquence, l</w:t>
      </w:r>
      <w:r>
        <w:rPr>
          <w:rFonts w:cs="Times New Roman"/>
          <w:lang w:val="fr-CA"/>
        </w:rPr>
        <w:t>’</w:t>
      </w:r>
      <w:r w:rsidRPr="00B536B2">
        <w:rPr>
          <w:rFonts w:cs="Times New Roman"/>
          <w:lang w:val="fr-CA"/>
        </w:rPr>
        <w:t xml:space="preserve">arbitre a jugé que la directive contrevenait aussi au </w:t>
      </w:r>
      <w:r>
        <w:rPr>
          <w:rFonts w:cs="Times New Roman"/>
          <w:lang w:val="fr-CA"/>
        </w:rPr>
        <w:t>par. </w:t>
      </w:r>
      <w:r w:rsidRPr="00B536B2">
        <w:rPr>
          <w:rFonts w:cs="Times New Roman"/>
          <w:lang w:val="fr-CA"/>
        </w:rPr>
        <w:t>6.01 de la convention collective et il a ordonné à l</w:t>
      </w:r>
      <w:r>
        <w:rPr>
          <w:rFonts w:cs="Times New Roman"/>
          <w:lang w:val="fr-CA"/>
        </w:rPr>
        <w:t>’employeur</w:t>
      </w:r>
      <w:r w:rsidRPr="00B536B2">
        <w:rPr>
          <w:rFonts w:cs="Times New Roman"/>
          <w:lang w:val="fr-CA"/>
        </w:rPr>
        <w:t xml:space="preserve"> de cesser immédiatement de l</w:t>
      </w:r>
      <w:r>
        <w:rPr>
          <w:rFonts w:cs="Times New Roman"/>
          <w:lang w:val="fr-CA"/>
        </w:rPr>
        <w:t>’</w:t>
      </w:r>
      <w:r w:rsidRPr="00B536B2">
        <w:rPr>
          <w:rFonts w:cs="Times New Roman"/>
          <w:lang w:val="fr-CA"/>
        </w:rPr>
        <w:t>appliquer.</w:t>
      </w:r>
    </w:p>
    <w:p w:rsidR="001B28CD" w:rsidRPr="00B536B2" w:rsidRDefault="001B28CD" w:rsidP="002B57A4">
      <w:pPr>
        <w:pStyle w:val="Title2LevelTitre2Niveau"/>
        <w:widowControl w:val="0"/>
        <w:rPr>
          <w:rFonts w:cs="Times New Roman"/>
          <w:lang w:val="fr-CA"/>
        </w:rPr>
      </w:pPr>
      <w:r w:rsidRPr="00B536B2">
        <w:rPr>
          <w:rFonts w:cs="Times New Roman"/>
          <w:lang w:val="fr-CA"/>
        </w:rPr>
        <w:t>Contrôle judiciaire, 2016 CAF 92, [2016] 4 R.C.F.</w:t>
      </w:r>
      <w:r w:rsidR="00906DC2">
        <w:rPr>
          <w:rFonts w:cs="Times New Roman"/>
          <w:lang w:val="fr-CA"/>
        </w:rPr>
        <w:t xml:space="preserve"> </w:t>
      </w:r>
      <w:r w:rsidRPr="00B536B2">
        <w:rPr>
          <w:rFonts w:cs="Times New Roman"/>
          <w:lang w:val="fr-CA"/>
        </w:rPr>
        <w:t xml:space="preserve">349 </w:t>
      </w:r>
    </w:p>
    <w:p w:rsidR="001B28CD" w:rsidRPr="00B536B2" w:rsidRDefault="001B28CD" w:rsidP="002B57A4">
      <w:pPr>
        <w:pStyle w:val="ParaNoNdepar-AltN"/>
        <w:widowControl w:val="0"/>
        <w:rPr>
          <w:rFonts w:cs="Times New Roman"/>
          <w:lang w:val="fr-CA"/>
        </w:rPr>
      </w:pPr>
      <w:r w:rsidRPr="00B536B2">
        <w:rPr>
          <w:rFonts w:cs="Times New Roman"/>
          <w:lang w:val="fr-CA"/>
        </w:rPr>
        <w:t>La Cour d</w:t>
      </w:r>
      <w:r>
        <w:rPr>
          <w:rFonts w:cs="Times New Roman"/>
          <w:lang w:val="fr-CA"/>
        </w:rPr>
        <w:t>’</w:t>
      </w:r>
      <w:r w:rsidRPr="00B536B2">
        <w:rPr>
          <w:rFonts w:cs="Times New Roman"/>
          <w:lang w:val="fr-CA"/>
        </w:rPr>
        <w:t>appel fédérale, par la voix du juge de Montigny (avec l</w:t>
      </w:r>
      <w:r>
        <w:rPr>
          <w:rFonts w:cs="Times New Roman"/>
          <w:lang w:val="fr-CA"/>
        </w:rPr>
        <w:t>’</w:t>
      </w:r>
      <w:r w:rsidRPr="00B536B2">
        <w:rPr>
          <w:rFonts w:cs="Times New Roman"/>
          <w:lang w:val="fr-CA"/>
        </w:rPr>
        <w:t>accord des juges Trudel et Boivin), a accueilli la demande de contrôle judiciaire présentée par le gouvernement. Elle a annulé la décision de l</w:t>
      </w:r>
      <w:r>
        <w:rPr>
          <w:rFonts w:cs="Times New Roman"/>
          <w:lang w:val="fr-CA"/>
        </w:rPr>
        <w:t>’</w:t>
      </w:r>
      <w:r w:rsidRPr="00B536B2">
        <w:rPr>
          <w:rFonts w:cs="Times New Roman"/>
          <w:lang w:val="fr-CA"/>
        </w:rPr>
        <w:t>arbitre selon laquelle la directive n</w:t>
      </w:r>
      <w:r>
        <w:rPr>
          <w:rFonts w:cs="Times New Roman"/>
          <w:lang w:val="fr-CA"/>
        </w:rPr>
        <w:t>’</w:t>
      </w:r>
      <w:r w:rsidRPr="00B536B2">
        <w:rPr>
          <w:rFonts w:cs="Times New Roman"/>
          <w:lang w:val="fr-CA"/>
        </w:rPr>
        <w:t xml:space="preserve">était pas conforme au </w:t>
      </w:r>
      <w:r>
        <w:rPr>
          <w:rFonts w:cs="Times New Roman"/>
          <w:lang w:val="fr-CA"/>
        </w:rPr>
        <w:t>par. </w:t>
      </w:r>
      <w:r w:rsidRPr="00B536B2">
        <w:rPr>
          <w:rFonts w:cs="Times New Roman"/>
          <w:lang w:val="fr-CA"/>
        </w:rPr>
        <w:t>5.02 de la convention collective. Elle a estimé que l</w:t>
      </w:r>
      <w:r>
        <w:rPr>
          <w:rFonts w:cs="Times New Roman"/>
          <w:lang w:val="fr-CA"/>
        </w:rPr>
        <w:t>’</w:t>
      </w:r>
      <w:r w:rsidRPr="00B536B2">
        <w:rPr>
          <w:rFonts w:cs="Times New Roman"/>
          <w:lang w:val="fr-CA"/>
        </w:rPr>
        <w:t>arbitre avait imposé à l</w:t>
      </w:r>
      <w:r>
        <w:rPr>
          <w:rFonts w:cs="Times New Roman"/>
          <w:lang w:val="fr-CA"/>
        </w:rPr>
        <w:t>’</w:t>
      </w:r>
      <w:r w:rsidRPr="00B536B2">
        <w:rPr>
          <w:rFonts w:cs="Times New Roman"/>
          <w:lang w:val="fr-CA"/>
        </w:rPr>
        <w:t>employeur le fardeau déraisonnable de justifier la nécessité de la directive sur la garde et qu</w:t>
      </w:r>
      <w:r>
        <w:rPr>
          <w:rFonts w:cs="Times New Roman"/>
          <w:lang w:val="fr-CA"/>
        </w:rPr>
        <w:t>’</w:t>
      </w:r>
      <w:r w:rsidRPr="00B536B2">
        <w:rPr>
          <w:rFonts w:cs="Times New Roman"/>
          <w:lang w:val="fr-CA"/>
        </w:rPr>
        <w:t>il avait fait fi de la preuve démontrant qu</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y avait pas suffisamment de volontaires après que les juristes eurent été informés qu</w:t>
      </w:r>
      <w:r>
        <w:rPr>
          <w:rFonts w:cs="Times New Roman"/>
          <w:lang w:val="fr-CA"/>
        </w:rPr>
        <w:t>’</w:t>
      </w:r>
      <w:r w:rsidRPr="00B536B2">
        <w:rPr>
          <w:rFonts w:cs="Times New Roman"/>
          <w:lang w:val="fr-CA"/>
        </w:rPr>
        <w:t>ils ne seraient plus rémunérés pour les périodes de garde.</w:t>
      </w:r>
    </w:p>
    <w:p w:rsidR="001B28CD" w:rsidRPr="00B536B2" w:rsidRDefault="001B28CD" w:rsidP="002B57A4">
      <w:pPr>
        <w:pStyle w:val="ParaNoNdepar-AltN"/>
        <w:widowControl w:val="0"/>
        <w:rPr>
          <w:rFonts w:cs="Times New Roman"/>
          <w:lang w:val="fr-CA"/>
        </w:rPr>
      </w:pPr>
      <w:r w:rsidRPr="00B536B2">
        <w:rPr>
          <w:rFonts w:cs="Times New Roman"/>
          <w:lang w:val="fr-CA"/>
        </w:rPr>
        <w:t>De l</w:t>
      </w:r>
      <w:r>
        <w:rPr>
          <w:rFonts w:cs="Times New Roman"/>
          <w:lang w:val="fr-CA"/>
        </w:rPr>
        <w:t>’</w:t>
      </w:r>
      <w:r w:rsidRPr="00B536B2">
        <w:rPr>
          <w:rFonts w:cs="Times New Roman"/>
          <w:lang w:val="fr-CA"/>
        </w:rPr>
        <w:t>avis de la Cour d</w:t>
      </w:r>
      <w:r>
        <w:rPr>
          <w:rFonts w:cs="Times New Roman"/>
          <w:lang w:val="fr-CA"/>
        </w:rPr>
        <w:t>’</w:t>
      </w:r>
      <w:r w:rsidRPr="00B536B2">
        <w:rPr>
          <w:rFonts w:cs="Times New Roman"/>
          <w:lang w:val="fr-CA"/>
        </w:rPr>
        <w:t>appel fédérale, l</w:t>
      </w:r>
      <w:r>
        <w:rPr>
          <w:rFonts w:cs="Times New Roman"/>
          <w:lang w:val="fr-CA"/>
        </w:rPr>
        <w:t>’</w:t>
      </w:r>
      <w:r w:rsidRPr="00B536B2">
        <w:rPr>
          <w:rFonts w:cs="Times New Roman"/>
          <w:lang w:val="fr-CA"/>
        </w:rPr>
        <w:t>arbitre a également commis une erreur dans son analyse de l</w:t>
      </w:r>
      <w:r>
        <w:rPr>
          <w:rFonts w:cs="Times New Roman"/>
          <w:lang w:val="fr-CA"/>
        </w:rPr>
        <w:t>’art. </w:t>
      </w:r>
      <w:r w:rsidRPr="00B536B2">
        <w:rPr>
          <w:rFonts w:cs="Times New Roman"/>
          <w:lang w:val="fr-CA"/>
        </w:rPr>
        <w:t xml:space="preserve">7 de la </w:t>
      </w:r>
      <w:r w:rsidRPr="00B536B2">
        <w:rPr>
          <w:rFonts w:cs="Times New Roman"/>
          <w:i/>
          <w:lang w:val="fr-CA"/>
        </w:rPr>
        <w:t xml:space="preserve">Charte </w:t>
      </w:r>
      <w:r w:rsidRPr="00B536B2">
        <w:rPr>
          <w:rFonts w:cs="Times New Roman"/>
          <w:lang w:val="fr-CA"/>
        </w:rPr>
        <w:t xml:space="preserve">et du </w:t>
      </w:r>
      <w:r>
        <w:rPr>
          <w:rFonts w:cs="Times New Roman"/>
          <w:lang w:val="fr-CA"/>
        </w:rPr>
        <w:t>par. </w:t>
      </w:r>
      <w:r w:rsidRPr="00B536B2">
        <w:rPr>
          <w:rFonts w:cs="Times New Roman"/>
          <w:lang w:val="fr-CA"/>
        </w:rPr>
        <w:t>6.01 de la convention collective. La cour a estimé que celui</w:t>
      </w:r>
      <w:r>
        <w:rPr>
          <w:rFonts w:cs="Times New Roman"/>
          <w:lang w:val="fr-CA"/>
        </w:rPr>
        <w:noBreakHyphen/>
      </w:r>
      <w:r w:rsidRPr="00B536B2">
        <w:rPr>
          <w:rFonts w:cs="Times New Roman"/>
          <w:lang w:val="fr-CA"/>
        </w:rPr>
        <w:t>ci avait déraisonnablement accru la portée du droit à la liberté au</w:t>
      </w:r>
      <w:r>
        <w:rPr>
          <w:rFonts w:cs="Times New Roman"/>
          <w:lang w:val="fr-CA"/>
        </w:rPr>
        <w:noBreakHyphen/>
      </w:r>
      <w:r w:rsidRPr="00B536B2">
        <w:rPr>
          <w:rFonts w:cs="Times New Roman"/>
          <w:lang w:val="fr-CA"/>
        </w:rPr>
        <w:t xml:space="preserve">delà de ce qui a été établi par la jurisprudence de notre Cour. </w:t>
      </w:r>
    </w:p>
    <w:p w:rsidR="001B28CD" w:rsidRPr="00B536B2" w:rsidRDefault="001B28CD" w:rsidP="002B57A4">
      <w:pPr>
        <w:pStyle w:val="ParaNoNdepar-AltN"/>
        <w:widowControl w:val="0"/>
        <w:rPr>
          <w:rFonts w:cs="Times New Roman"/>
          <w:lang w:val="fr-CA"/>
        </w:rPr>
      </w:pPr>
      <w:r w:rsidRPr="00B536B2">
        <w:rPr>
          <w:rFonts w:cs="Times New Roman"/>
          <w:lang w:val="fr-CA"/>
        </w:rPr>
        <w:t>Bien qu</w:t>
      </w:r>
      <w:r>
        <w:rPr>
          <w:rFonts w:cs="Times New Roman"/>
          <w:lang w:val="fr-CA"/>
        </w:rPr>
        <w:t>’</w:t>
      </w:r>
      <w:r w:rsidRPr="00B536B2">
        <w:rPr>
          <w:rFonts w:cs="Times New Roman"/>
          <w:lang w:val="fr-CA"/>
        </w:rPr>
        <w:t>elle ait renvoyé le grief à la Commission des relations de travail et de l</w:t>
      </w:r>
      <w:r>
        <w:rPr>
          <w:rFonts w:cs="Times New Roman"/>
          <w:lang w:val="fr-CA"/>
        </w:rPr>
        <w:t>’</w:t>
      </w:r>
      <w:r w:rsidRPr="00B536B2">
        <w:rPr>
          <w:rFonts w:cs="Times New Roman"/>
          <w:lang w:val="fr-CA"/>
        </w:rPr>
        <w:t>emploi dans la fonction publique, la Cour d</w:t>
      </w:r>
      <w:r>
        <w:rPr>
          <w:rFonts w:cs="Times New Roman"/>
          <w:lang w:val="fr-CA"/>
        </w:rPr>
        <w:t>’</w:t>
      </w:r>
      <w:r w:rsidRPr="00B536B2">
        <w:rPr>
          <w:rFonts w:cs="Times New Roman"/>
          <w:lang w:val="fr-CA"/>
        </w:rPr>
        <w:t xml:space="preserve">appel fédérale a également ordonné au nouvel arbitre de reconnaître que la directive contestée représentait un exercice </w:t>
      </w:r>
      <w:r w:rsidRPr="00B536B2">
        <w:rPr>
          <w:rFonts w:cs="Times New Roman"/>
          <w:lang w:val="fr-CA"/>
        </w:rPr>
        <w:lastRenderedPageBreak/>
        <w:t xml:space="preserve">raisonnable et équitable des droits résiduels de la direction énoncés au </w:t>
      </w:r>
      <w:r>
        <w:rPr>
          <w:rFonts w:cs="Times New Roman"/>
          <w:lang w:val="fr-CA"/>
        </w:rPr>
        <w:t>par. </w:t>
      </w:r>
      <w:r w:rsidRPr="00B536B2">
        <w:rPr>
          <w:rFonts w:cs="Times New Roman"/>
          <w:lang w:val="fr-CA"/>
        </w:rPr>
        <w:t>5.02 et qu</w:t>
      </w:r>
      <w:r>
        <w:rPr>
          <w:rFonts w:cs="Times New Roman"/>
          <w:lang w:val="fr-CA"/>
        </w:rPr>
        <w:t>’</w:t>
      </w:r>
      <w:r w:rsidRPr="00B536B2">
        <w:rPr>
          <w:rFonts w:cs="Times New Roman"/>
          <w:lang w:val="fr-CA"/>
        </w:rPr>
        <w:t>elle ne portait pas atteinte aux droits que l</w:t>
      </w:r>
      <w:r>
        <w:rPr>
          <w:rFonts w:cs="Times New Roman"/>
          <w:lang w:val="fr-CA"/>
        </w:rPr>
        <w:t>’art. </w:t>
      </w:r>
      <w:r w:rsidRPr="00B536B2">
        <w:rPr>
          <w:rFonts w:cs="Times New Roman"/>
          <w:lang w:val="fr-CA"/>
        </w:rPr>
        <w:t xml:space="preserve">7 de la </w:t>
      </w:r>
      <w:r w:rsidRPr="00B536B2">
        <w:rPr>
          <w:rFonts w:cs="Times New Roman"/>
          <w:i/>
          <w:lang w:val="fr-CA"/>
        </w:rPr>
        <w:t xml:space="preserve">Charte </w:t>
      </w:r>
      <w:r w:rsidRPr="00B536B2">
        <w:rPr>
          <w:rFonts w:cs="Times New Roman"/>
          <w:lang w:val="fr-CA"/>
        </w:rPr>
        <w:t>garantit aux juristes.</w:t>
      </w:r>
    </w:p>
    <w:p w:rsidR="001B28CD" w:rsidRPr="00B536B2" w:rsidRDefault="001B28CD" w:rsidP="002B57A4">
      <w:pPr>
        <w:pStyle w:val="Title1LevelTitre1Niveau-AltL"/>
        <w:widowControl w:val="0"/>
        <w:rPr>
          <w:rFonts w:cs="Times New Roman"/>
          <w:lang w:val="fr-CA"/>
        </w:rPr>
      </w:pPr>
      <w:r w:rsidRPr="00B536B2">
        <w:rPr>
          <w:rFonts w:cs="Times New Roman"/>
          <w:lang w:val="fr-CA"/>
        </w:rPr>
        <w:t>Analyse</w:t>
      </w:r>
    </w:p>
    <w:p w:rsidR="001B28CD" w:rsidRPr="00B536B2" w:rsidRDefault="001B28CD" w:rsidP="002B57A4">
      <w:pPr>
        <w:pStyle w:val="Title2LevelTitre2Niveau"/>
        <w:widowControl w:val="0"/>
        <w:rPr>
          <w:rFonts w:cs="Times New Roman"/>
          <w:lang w:val="fr-CA"/>
        </w:rPr>
      </w:pPr>
      <w:r w:rsidRPr="00B536B2">
        <w:rPr>
          <w:rFonts w:cs="Times New Roman"/>
          <w:lang w:val="fr-CA"/>
        </w:rPr>
        <w:t>La directive porte</w:t>
      </w:r>
      <w:r>
        <w:rPr>
          <w:rFonts w:cs="Times New Roman"/>
          <w:lang w:val="fr-CA"/>
        </w:rPr>
        <w:noBreakHyphen/>
      </w:r>
      <w:r w:rsidRPr="00B536B2">
        <w:rPr>
          <w:rFonts w:cs="Times New Roman"/>
          <w:lang w:val="fr-CA"/>
        </w:rPr>
        <w:t>t</w:t>
      </w:r>
      <w:r>
        <w:rPr>
          <w:rFonts w:cs="Times New Roman"/>
          <w:lang w:val="fr-CA"/>
        </w:rPr>
        <w:noBreakHyphen/>
      </w:r>
      <w:r w:rsidRPr="00B536B2">
        <w:rPr>
          <w:rFonts w:cs="Times New Roman"/>
          <w:lang w:val="fr-CA"/>
        </w:rPr>
        <w:t xml:space="preserve">elle atteinte au </w:t>
      </w:r>
      <w:r>
        <w:rPr>
          <w:rFonts w:cs="Times New Roman"/>
          <w:lang w:val="fr-CA"/>
        </w:rPr>
        <w:t>par. </w:t>
      </w:r>
      <w:r w:rsidRPr="00B536B2">
        <w:rPr>
          <w:rFonts w:cs="Times New Roman"/>
          <w:lang w:val="fr-CA"/>
        </w:rPr>
        <w:t>5.02 de la convention collective?</w:t>
      </w:r>
    </w:p>
    <w:p w:rsidR="001B28CD" w:rsidRPr="00B536B2" w:rsidRDefault="001B28CD" w:rsidP="002B57A4">
      <w:pPr>
        <w:pStyle w:val="Title3LevelTitre3Niveau"/>
        <w:widowControl w:val="0"/>
        <w:rPr>
          <w:rFonts w:cs="Times New Roman"/>
          <w:lang w:val="fr-CA"/>
        </w:rPr>
      </w:pPr>
      <w:r w:rsidRPr="00B536B2">
        <w:rPr>
          <w:rFonts w:cs="Times New Roman"/>
          <w:lang w:val="fr-CA"/>
        </w:rPr>
        <w:t>Droits résiduels de la direction</w:t>
      </w:r>
    </w:p>
    <w:p w:rsidR="001B28CD" w:rsidRPr="00B536B2" w:rsidRDefault="001B28CD" w:rsidP="002B57A4">
      <w:pPr>
        <w:pStyle w:val="ParaNoNdepar-AltN"/>
        <w:widowControl w:val="0"/>
        <w:rPr>
          <w:rFonts w:cs="Times New Roman"/>
          <w:lang w:val="fr-CA"/>
        </w:rPr>
      </w:pPr>
      <w:r w:rsidRPr="00B536B2">
        <w:rPr>
          <w:rFonts w:cs="Times New Roman"/>
          <w:lang w:val="fr-CA"/>
        </w:rPr>
        <w:t>Le contrôle judiciaire des décisions rendues par les arbitres de grief est assujetti à la norme de la décision raisonnable (</w:t>
      </w:r>
      <w:r w:rsidRPr="00B536B2">
        <w:rPr>
          <w:rFonts w:cs="Times New Roman"/>
          <w:i/>
          <w:lang w:val="fr-CA"/>
        </w:rPr>
        <w:t>Commission scolaire de Laval c. Syndicat de l</w:t>
      </w:r>
      <w:r>
        <w:rPr>
          <w:rFonts w:cs="Times New Roman"/>
          <w:i/>
          <w:lang w:val="fr-CA"/>
        </w:rPr>
        <w:t>’</w:t>
      </w:r>
      <w:r w:rsidRPr="00B536B2">
        <w:rPr>
          <w:rFonts w:cs="Times New Roman"/>
          <w:i/>
          <w:lang w:val="fr-CA"/>
        </w:rPr>
        <w:t>enseignement de la région de Laval</w:t>
      </w:r>
      <w:r w:rsidRPr="00B536B2">
        <w:rPr>
          <w:rFonts w:cs="Times New Roman"/>
          <w:lang w:val="fr-CA"/>
        </w:rPr>
        <w:t xml:space="preserve">, 2016 CSC 8, [2016] 1 R.C.S. 29, </w:t>
      </w:r>
      <w:r>
        <w:rPr>
          <w:rFonts w:cs="Times New Roman"/>
          <w:lang w:val="fr-CA"/>
        </w:rPr>
        <w:t>par. </w:t>
      </w:r>
      <w:r w:rsidRPr="00B536B2">
        <w:rPr>
          <w:rFonts w:cs="Times New Roman"/>
          <w:lang w:val="fr-CA"/>
        </w:rPr>
        <w:t>32</w:t>
      </w:r>
      <w:r>
        <w:rPr>
          <w:rFonts w:cs="Times New Roman"/>
          <w:lang w:val="fr-CA"/>
        </w:rPr>
        <w:noBreakHyphen/>
      </w:r>
      <w:r w:rsidRPr="00B536B2">
        <w:rPr>
          <w:rFonts w:cs="Times New Roman"/>
          <w:lang w:val="fr-CA"/>
        </w:rPr>
        <w:t>33). La question en litige en l</w:t>
      </w:r>
      <w:r>
        <w:rPr>
          <w:rFonts w:cs="Times New Roman"/>
          <w:lang w:val="fr-CA"/>
        </w:rPr>
        <w:t>’</w:t>
      </w:r>
      <w:r w:rsidRPr="00B536B2">
        <w:rPr>
          <w:rFonts w:cs="Times New Roman"/>
          <w:lang w:val="fr-CA"/>
        </w:rPr>
        <w:t>espèce concerne l</w:t>
      </w:r>
      <w:r>
        <w:rPr>
          <w:rFonts w:cs="Times New Roman"/>
          <w:lang w:val="fr-CA"/>
        </w:rPr>
        <w:t>’</w:t>
      </w:r>
      <w:r w:rsidRPr="00B536B2">
        <w:rPr>
          <w:rFonts w:cs="Times New Roman"/>
          <w:lang w:val="fr-CA"/>
        </w:rPr>
        <w:t>interprétation d</w:t>
      </w:r>
      <w:r>
        <w:rPr>
          <w:rFonts w:cs="Times New Roman"/>
          <w:lang w:val="fr-CA"/>
        </w:rPr>
        <w:t>’</w:t>
      </w:r>
      <w:r w:rsidRPr="00B536B2">
        <w:rPr>
          <w:rFonts w:cs="Times New Roman"/>
          <w:lang w:val="fr-CA"/>
        </w:rPr>
        <w:t>une clause de convention collective portant sur les droits de la direction, ce qui est manifestement une matière à l</w:t>
      </w:r>
      <w:r>
        <w:rPr>
          <w:rFonts w:cs="Times New Roman"/>
          <w:lang w:val="fr-CA"/>
        </w:rPr>
        <w:t>’</w:t>
      </w:r>
      <w:r w:rsidRPr="00B536B2">
        <w:rPr>
          <w:rFonts w:cs="Times New Roman"/>
          <w:lang w:val="fr-CA"/>
        </w:rPr>
        <w:t>égard de laquelle les arbitres en droit du travail ont droit à la déférence (</w:t>
      </w:r>
      <w:r w:rsidRPr="00B536B2">
        <w:rPr>
          <w:rFonts w:cs="Times New Roman"/>
          <w:i/>
          <w:lang w:val="fr-CA"/>
        </w:rPr>
        <w:t>Syndicat canadien des communications, de l</w:t>
      </w:r>
      <w:r>
        <w:rPr>
          <w:rFonts w:cs="Times New Roman"/>
          <w:i/>
          <w:lang w:val="fr-CA"/>
        </w:rPr>
        <w:t>’</w:t>
      </w:r>
      <w:r w:rsidRPr="00B536B2">
        <w:rPr>
          <w:rFonts w:cs="Times New Roman"/>
          <w:i/>
          <w:lang w:val="fr-CA"/>
        </w:rPr>
        <w:t>énergie et du papier, section locale 30 </w:t>
      </w:r>
      <w:r w:rsidRPr="00B536B2">
        <w:rPr>
          <w:rFonts w:cs="Times New Roman"/>
          <w:i/>
          <w:iCs/>
          <w:lang w:val="fr-CA"/>
        </w:rPr>
        <w:t>c.</w:t>
      </w:r>
      <w:r w:rsidRPr="00B536B2">
        <w:rPr>
          <w:rFonts w:cs="Times New Roman"/>
          <w:i/>
          <w:lang w:val="fr-CA"/>
        </w:rPr>
        <w:t> Pâtes &amp; Papier Irving, Ltée</w:t>
      </w:r>
      <w:r w:rsidRPr="00B536B2">
        <w:rPr>
          <w:rFonts w:cs="Times New Roman"/>
          <w:lang w:val="fr-CA"/>
        </w:rPr>
        <w:t xml:space="preserve">, 2013 CSC 34, [2013] 2 R.C.S. 458, </w:t>
      </w:r>
      <w:r>
        <w:rPr>
          <w:rFonts w:cs="Times New Roman"/>
          <w:lang w:val="fr-CA"/>
        </w:rPr>
        <w:t>par. </w:t>
      </w:r>
      <w:r w:rsidRPr="00B536B2">
        <w:rPr>
          <w:rFonts w:cs="Times New Roman"/>
          <w:lang w:val="fr-CA"/>
        </w:rPr>
        <w:t>7).</w:t>
      </w:r>
    </w:p>
    <w:p w:rsidR="001B28CD" w:rsidRPr="00B536B2" w:rsidRDefault="001B28CD" w:rsidP="002B57A4">
      <w:pPr>
        <w:pStyle w:val="ParaNoNdepar-AltN"/>
        <w:widowControl w:val="0"/>
        <w:rPr>
          <w:rFonts w:cs="Times New Roman"/>
          <w:lang w:val="fr-CA"/>
        </w:rPr>
      </w:pPr>
      <w:r w:rsidRPr="00B536B2">
        <w:rPr>
          <w:rFonts w:cs="Times New Roman"/>
          <w:lang w:val="fr-CA"/>
        </w:rPr>
        <w:t>Dans les milieux de travail syndiqués, les arbitres en droit du travail reconnaissent le droit résiduel de la direction d</w:t>
      </w:r>
      <w:r>
        <w:rPr>
          <w:rFonts w:cs="Times New Roman"/>
          <w:lang w:val="fr-CA"/>
        </w:rPr>
        <w:t>’</w:t>
      </w:r>
      <w:r w:rsidRPr="00B536B2">
        <w:rPr>
          <w:rFonts w:cs="Times New Roman"/>
          <w:lang w:val="fr-CA"/>
        </w:rPr>
        <w:t>imposer unilatéralement des politiques et des règles en milieu de travail qui n</w:t>
      </w:r>
      <w:r>
        <w:rPr>
          <w:rFonts w:cs="Times New Roman"/>
          <w:lang w:val="fr-CA"/>
        </w:rPr>
        <w:t>’</w:t>
      </w:r>
      <w:r w:rsidRPr="00B536B2">
        <w:rPr>
          <w:rFonts w:cs="Times New Roman"/>
          <w:lang w:val="fr-CA"/>
        </w:rPr>
        <w:t xml:space="preserve">entrent pas en conflit avec les dispositions de la convention collective (D. J. M. Brown et D. M. Beatty, avec le concours de C. E. Deacon, </w:t>
      </w:r>
      <w:r w:rsidRPr="00B536B2">
        <w:rPr>
          <w:rFonts w:cs="Times New Roman"/>
          <w:i/>
          <w:lang w:val="fr-CA"/>
        </w:rPr>
        <w:t>Canadian Labour Arbitration</w:t>
      </w:r>
      <w:r w:rsidRPr="00B536B2">
        <w:rPr>
          <w:rFonts w:cs="Times New Roman"/>
          <w:lang w:val="fr-CA"/>
        </w:rPr>
        <w:t xml:space="preserve"> (4</w:t>
      </w:r>
      <w:r w:rsidRPr="00B536B2">
        <w:rPr>
          <w:rFonts w:cs="Times New Roman"/>
          <w:vertAlign w:val="superscript"/>
          <w:lang w:val="fr-CA"/>
        </w:rPr>
        <w:t>e</w:t>
      </w:r>
      <w:r w:rsidRPr="00B536B2">
        <w:rPr>
          <w:rFonts w:cs="Times New Roman"/>
          <w:lang w:val="fr-CA"/>
        </w:rPr>
        <w:t> éd. (feuilles mobiles)</w:t>
      </w:r>
      <w:r w:rsidR="00CE5A6F">
        <w:rPr>
          <w:rFonts w:cs="Times New Roman"/>
          <w:lang w:val="fr-CA"/>
        </w:rPr>
        <w:t>)</w:t>
      </w:r>
      <w:r w:rsidRPr="00B536B2">
        <w:rPr>
          <w:rFonts w:cs="Times New Roman"/>
          <w:lang w:val="fr-CA"/>
        </w:rPr>
        <w:t xml:space="preserve">, </w:t>
      </w:r>
      <w:r>
        <w:rPr>
          <w:rFonts w:cs="Times New Roman"/>
          <w:lang w:val="fr-CA"/>
        </w:rPr>
        <w:t>vol. </w:t>
      </w:r>
      <w:r w:rsidRPr="00B536B2">
        <w:rPr>
          <w:rFonts w:cs="Times New Roman"/>
          <w:lang w:val="fr-CA"/>
        </w:rPr>
        <w:t xml:space="preserve">1, sujet 4:1520). Souvent, ce pouvoir résiduel est expressément reconnu dans une clause </w:t>
      </w:r>
      <w:r w:rsidRPr="00B536B2">
        <w:rPr>
          <w:rFonts w:cs="Times New Roman"/>
          <w:lang w:val="fr-CA"/>
        </w:rPr>
        <w:lastRenderedPageBreak/>
        <w:t>dite des droits de la direction. Le paragraphe 5.01 de la convention collective constitue une telle clause, puisqu</w:t>
      </w:r>
      <w:r>
        <w:rPr>
          <w:rFonts w:cs="Times New Roman"/>
          <w:lang w:val="fr-CA"/>
        </w:rPr>
        <w:t>’</w:t>
      </w:r>
      <w:r w:rsidRPr="00B536B2">
        <w:rPr>
          <w:rFonts w:cs="Times New Roman"/>
          <w:lang w:val="fr-CA"/>
        </w:rPr>
        <w:t>il réserve à l</w:t>
      </w:r>
      <w:r>
        <w:rPr>
          <w:rFonts w:cs="Times New Roman"/>
          <w:lang w:val="fr-CA"/>
        </w:rPr>
        <w:t>’</w:t>
      </w:r>
      <w:r w:rsidRPr="00B536B2">
        <w:rPr>
          <w:rFonts w:cs="Times New Roman"/>
          <w:lang w:val="fr-CA"/>
        </w:rPr>
        <w:t>employeur le droit d</w:t>
      </w:r>
      <w:r>
        <w:rPr>
          <w:rFonts w:cs="Times New Roman"/>
          <w:lang w:val="fr-CA"/>
        </w:rPr>
        <w:t>’</w:t>
      </w:r>
      <w:r w:rsidRPr="00B536B2">
        <w:rPr>
          <w:rFonts w:cs="Times New Roman"/>
          <w:lang w:val="fr-CA"/>
        </w:rPr>
        <w:t>exercer tous les pouvoirs de la direction que celui</w:t>
      </w:r>
      <w:r>
        <w:rPr>
          <w:rFonts w:cs="Times New Roman"/>
          <w:lang w:val="fr-CA"/>
        </w:rPr>
        <w:noBreakHyphen/>
      </w:r>
      <w:r w:rsidRPr="00B536B2">
        <w:rPr>
          <w:rFonts w:cs="Times New Roman"/>
          <w:lang w:val="fr-CA"/>
        </w:rPr>
        <w:t>ci n</w:t>
      </w:r>
      <w:r>
        <w:rPr>
          <w:rFonts w:cs="Times New Roman"/>
          <w:lang w:val="fr-CA"/>
        </w:rPr>
        <w:t>’</w:t>
      </w:r>
      <w:r w:rsidRPr="00B536B2">
        <w:rPr>
          <w:rFonts w:cs="Times New Roman"/>
          <w:lang w:val="fr-CA"/>
        </w:rPr>
        <w:t>a pas</w:t>
      </w:r>
      <w:r w:rsidR="00906DC2">
        <w:rPr>
          <w:rFonts w:cs="Times New Roman"/>
          <w:lang w:val="fr-CA"/>
        </w:rPr>
        <w:t>,</w:t>
      </w:r>
      <w:r w:rsidRPr="00B536B2">
        <w:rPr>
          <w:rFonts w:cs="Times New Roman"/>
          <w:lang w:val="fr-CA"/>
        </w:rPr>
        <w:t xml:space="preserve"> « d</w:t>
      </w:r>
      <w:r>
        <w:rPr>
          <w:rFonts w:cs="Times New Roman"/>
          <w:lang w:val="fr-CA"/>
        </w:rPr>
        <w:t>’</w:t>
      </w:r>
      <w:r w:rsidRPr="00B536B2">
        <w:rPr>
          <w:rFonts w:cs="Times New Roman"/>
          <w:lang w:val="fr-CA"/>
        </w:rPr>
        <w:t>une façon précise, fait diminuer, déléguer ou modifier » par la convention collective.</w:t>
      </w:r>
    </w:p>
    <w:p w:rsidR="001B28CD" w:rsidRPr="00B536B2" w:rsidRDefault="001B28CD" w:rsidP="002B57A4">
      <w:pPr>
        <w:pStyle w:val="ParaNoNdepar-AltN"/>
        <w:widowControl w:val="0"/>
        <w:rPr>
          <w:rFonts w:cs="Times New Roman"/>
          <w:lang w:val="fr-CA"/>
        </w:rPr>
      </w:pPr>
      <w:r w:rsidRPr="00B536B2">
        <w:rPr>
          <w:rFonts w:cs="Times New Roman"/>
          <w:lang w:val="fr-CA"/>
        </w:rPr>
        <w:t xml:space="preserve">En ce qui concerne les employeurs du gouvernement fédéral, bon nombre de ces droits résiduels de la direction sont prévus par la loi. En vertu </w:t>
      </w:r>
      <w:proofErr w:type="gramStart"/>
      <w:r w:rsidRPr="00B536B2">
        <w:rPr>
          <w:rFonts w:cs="Times New Roman"/>
          <w:lang w:val="fr-CA"/>
        </w:rPr>
        <w:t xml:space="preserve">des </w:t>
      </w:r>
      <w:r>
        <w:rPr>
          <w:rFonts w:cs="Times New Roman"/>
          <w:lang w:val="fr-CA"/>
        </w:rPr>
        <w:t>art</w:t>
      </w:r>
      <w:proofErr w:type="gramEnd"/>
      <w:r>
        <w:rPr>
          <w:rFonts w:cs="Times New Roman"/>
          <w:lang w:val="fr-CA"/>
        </w:rPr>
        <w:t>. </w:t>
      </w:r>
      <w:r w:rsidRPr="00B536B2">
        <w:rPr>
          <w:rFonts w:cs="Times New Roman"/>
          <w:lang w:val="fr-CA"/>
        </w:rPr>
        <w:t xml:space="preserve">7 et 11.1 de la </w:t>
      </w:r>
      <w:r w:rsidRPr="00B536B2">
        <w:rPr>
          <w:rFonts w:cs="Times New Roman"/>
          <w:i/>
          <w:lang w:val="fr-CA"/>
        </w:rPr>
        <w:t>Loi sur la gestion des finances publiques</w:t>
      </w:r>
      <w:r w:rsidRPr="00B536B2">
        <w:rPr>
          <w:rFonts w:cs="Times New Roman"/>
          <w:lang w:val="fr-CA"/>
        </w:rPr>
        <w:t>, L.R.C. 1985, c. F</w:t>
      </w:r>
      <w:r>
        <w:rPr>
          <w:rFonts w:cs="Times New Roman"/>
          <w:lang w:val="fr-CA"/>
        </w:rPr>
        <w:noBreakHyphen/>
      </w:r>
      <w:r w:rsidRPr="00B536B2">
        <w:rPr>
          <w:rFonts w:cs="Times New Roman"/>
          <w:lang w:val="fr-CA"/>
        </w:rPr>
        <w:t>11, le Conseil du Trésor est autorisé à exercer un certain nombre de pouvoirs différents dans le cadre de ses attributions en matière de gestion des ressources humaines. Il peut notamment</w:t>
      </w:r>
      <w:r>
        <w:rPr>
          <w:rFonts w:cs="Times New Roman"/>
          <w:lang w:val="fr-CA"/>
        </w:rPr>
        <w:t> :</w:t>
      </w:r>
      <w:r w:rsidRPr="00B536B2">
        <w:rPr>
          <w:rFonts w:cs="Times New Roman"/>
          <w:lang w:val="fr-CA"/>
        </w:rPr>
        <w:t xml:space="preserve"> assurer la répartition des effectifs et leur bonne utilisation (</w:t>
      </w:r>
      <w:r>
        <w:rPr>
          <w:rFonts w:cs="Times New Roman"/>
          <w:lang w:val="fr-CA"/>
        </w:rPr>
        <w:t>al. </w:t>
      </w:r>
      <w:r w:rsidRPr="00B536B2">
        <w:rPr>
          <w:rFonts w:cs="Times New Roman"/>
          <w:lang w:val="fr-CA"/>
        </w:rPr>
        <w:t>11.1(1</w:t>
      </w:r>
      <w:proofErr w:type="gramStart"/>
      <w:r w:rsidRPr="00B536B2">
        <w:rPr>
          <w:rFonts w:cs="Times New Roman"/>
          <w:lang w:val="fr-CA"/>
        </w:rPr>
        <w:t>)a</w:t>
      </w:r>
      <w:proofErr w:type="gramEnd"/>
      <w:r w:rsidRPr="00B536B2">
        <w:rPr>
          <w:rFonts w:cs="Times New Roman"/>
          <w:lang w:val="fr-CA"/>
        </w:rPr>
        <w:t>)); déterminer et réglementer les traitements des employés, leurs horaires et leurs congés, ainsi que les questions connexes (</w:t>
      </w:r>
      <w:r>
        <w:rPr>
          <w:rFonts w:cs="Times New Roman"/>
          <w:lang w:val="fr-CA"/>
        </w:rPr>
        <w:t>al. </w:t>
      </w:r>
      <w:r w:rsidRPr="00B536B2">
        <w:rPr>
          <w:rFonts w:cs="Times New Roman"/>
          <w:lang w:val="fr-CA"/>
        </w:rPr>
        <w:t>11.1(1)c)); régir toute autre question lorsque cela est nécessaire à la bonne gestion des ressources humaines (</w:t>
      </w:r>
      <w:r>
        <w:rPr>
          <w:rFonts w:cs="Times New Roman"/>
          <w:lang w:val="fr-CA"/>
        </w:rPr>
        <w:t>al. </w:t>
      </w:r>
      <w:r w:rsidRPr="00B536B2">
        <w:rPr>
          <w:rFonts w:cs="Times New Roman"/>
          <w:lang w:val="fr-CA"/>
        </w:rPr>
        <w:t>11.1(1)j)).</w:t>
      </w:r>
    </w:p>
    <w:p w:rsidR="001B28CD" w:rsidRPr="00B536B2" w:rsidRDefault="001B28CD" w:rsidP="002B57A4">
      <w:pPr>
        <w:pStyle w:val="ParaNoNdepar-AltN"/>
        <w:widowControl w:val="0"/>
        <w:rPr>
          <w:rStyle w:val="reflex3-alt"/>
          <w:rFonts w:cs="Times New Roman"/>
          <w:lang w:val="fr-CA"/>
        </w:rPr>
      </w:pPr>
      <w:r w:rsidRPr="00B536B2">
        <w:rPr>
          <w:rFonts w:cs="Times New Roman"/>
          <w:lang w:val="fr-CA"/>
        </w:rPr>
        <w:t>Cela dit, le droit résiduel de la direction d</w:t>
      </w:r>
      <w:r>
        <w:rPr>
          <w:rFonts w:cs="Times New Roman"/>
          <w:lang w:val="fr-CA"/>
        </w:rPr>
        <w:t>’</w:t>
      </w:r>
      <w:r w:rsidRPr="00B536B2">
        <w:rPr>
          <w:rFonts w:cs="Times New Roman"/>
          <w:lang w:val="fr-CA"/>
        </w:rPr>
        <w:t>imposer unilatéralement des règles en milieu de travail n</w:t>
      </w:r>
      <w:r>
        <w:rPr>
          <w:rFonts w:cs="Times New Roman"/>
          <w:lang w:val="fr-CA"/>
        </w:rPr>
        <w:t>’</w:t>
      </w:r>
      <w:r w:rsidRPr="00B536B2">
        <w:rPr>
          <w:rFonts w:cs="Times New Roman"/>
          <w:lang w:val="fr-CA"/>
        </w:rPr>
        <w:t xml:space="preserve">est pas illimité. Les droits de la direction doivent être exercés raisonnablement et conformément à la convention collective (Brown et Beatty, sujet 4:1520; </w:t>
      </w:r>
      <w:proofErr w:type="spellStart"/>
      <w:r w:rsidRPr="00B536B2">
        <w:rPr>
          <w:rFonts w:cs="Times New Roman"/>
          <w:i/>
          <w:iCs/>
          <w:lang w:val="fr-CA"/>
        </w:rPr>
        <w:t>Re</w:t>
      </w:r>
      <w:proofErr w:type="spellEnd"/>
      <w:r w:rsidRPr="00B536B2">
        <w:rPr>
          <w:rFonts w:cs="Times New Roman"/>
          <w:i/>
          <w:iCs/>
          <w:lang w:val="fr-CA"/>
        </w:rPr>
        <w:t xml:space="preserve"> </w:t>
      </w:r>
      <w:proofErr w:type="spellStart"/>
      <w:r w:rsidRPr="00B536B2">
        <w:rPr>
          <w:rFonts w:cs="Times New Roman"/>
          <w:i/>
          <w:iCs/>
          <w:lang w:val="fr-CA"/>
        </w:rPr>
        <w:t>Lumber</w:t>
      </w:r>
      <w:proofErr w:type="spellEnd"/>
      <w:r w:rsidRPr="00B536B2">
        <w:rPr>
          <w:rFonts w:cs="Times New Roman"/>
          <w:i/>
          <w:iCs/>
          <w:lang w:val="fr-CA"/>
        </w:rPr>
        <w:t xml:space="preserve"> &amp; </w:t>
      </w:r>
      <w:proofErr w:type="spellStart"/>
      <w:r w:rsidRPr="00B536B2">
        <w:rPr>
          <w:rFonts w:cs="Times New Roman"/>
          <w:i/>
          <w:iCs/>
          <w:lang w:val="fr-CA"/>
        </w:rPr>
        <w:t>Sawmill</w:t>
      </w:r>
      <w:proofErr w:type="spellEnd"/>
      <w:r w:rsidRPr="00B536B2">
        <w:rPr>
          <w:rFonts w:cs="Times New Roman"/>
          <w:i/>
          <w:iCs/>
          <w:lang w:val="fr-CA"/>
        </w:rPr>
        <w:t xml:space="preserve"> </w:t>
      </w:r>
      <w:proofErr w:type="spellStart"/>
      <w:r w:rsidRPr="00B536B2">
        <w:rPr>
          <w:rFonts w:cs="Times New Roman"/>
          <w:i/>
          <w:iCs/>
          <w:lang w:val="fr-CA"/>
        </w:rPr>
        <w:t>Workers</w:t>
      </w:r>
      <w:proofErr w:type="spellEnd"/>
      <w:r>
        <w:rPr>
          <w:rFonts w:cs="Times New Roman"/>
          <w:i/>
          <w:iCs/>
          <w:lang w:val="fr-CA"/>
        </w:rPr>
        <w:t>’</w:t>
      </w:r>
      <w:r w:rsidRPr="00B536B2">
        <w:rPr>
          <w:rFonts w:cs="Times New Roman"/>
          <w:i/>
          <w:iCs/>
          <w:lang w:val="fr-CA"/>
        </w:rPr>
        <w:t xml:space="preserve"> Union, Local 2537, and KVP Co. </w:t>
      </w:r>
      <w:r w:rsidRPr="00B536B2">
        <w:rPr>
          <w:rStyle w:val="reflex3-block"/>
          <w:rFonts w:cs="Times New Roman"/>
          <w:lang w:val="fr-CA"/>
        </w:rPr>
        <w:t xml:space="preserve">(1965), </w:t>
      </w:r>
      <w:r w:rsidRPr="00B536B2">
        <w:rPr>
          <w:rStyle w:val="reflex3-alt"/>
          <w:rFonts w:cs="Times New Roman"/>
          <w:lang w:val="fr-CA"/>
        </w:rPr>
        <w:t xml:space="preserve">16 L.A.C. 73 (Ont.); </w:t>
      </w:r>
      <w:r w:rsidRPr="00B536B2">
        <w:rPr>
          <w:rStyle w:val="reflex3-alt"/>
          <w:rFonts w:cs="Times New Roman"/>
          <w:i/>
          <w:lang w:val="fr-CA"/>
        </w:rPr>
        <w:t>Irving</w:t>
      </w:r>
      <w:r w:rsidRPr="00B536B2">
        <w:rPr>
          <w:rStyle w:val="reflex3-alt"/>
          <w:rFonts w:cs="Times New Roman"/>
          <w:lang w:val="fr-CA"/>
        </w:rPr>
        <w:t>,</w:t>
      </w:r>
      <w:r w:rsidRPr="00B536B2">
        <w:rPr>
          <w:rStyle w:val="reflex3-alt"/>
          <w:rFonts w:cs="Times New Roman"/>
          <w:i/>
          <w:lang w:val="fr-CA"/>
        </w:rPr>
        <w:t xml:space="preserve"> </w:t>
      </w:r>
      <w:r>
        <w:rPr>
          <w:rStyle w:val="reflex3-alt"/>
          <w:rFonts w:cs="Times New Roman"/>
          <w:lang w:val="fr-CA"/>
        </w:rPr>
        <w:t>par. </w:t>
      </w:r>
      <w:r w:rsidRPr="00B536B2">
        <w:rPr>
          <w:rStyle w:val="reflex3-alt"/>
          <w:rFonts w:cs="Times New Roman"/>
          <w:lang w:val="fr-CA"/>
        </w:rPr>
        <w:t>24).</w:t>
      </w:r>
    </w:p>
    <w:p w:rsidR="001B28CD" w:rsidRPr="00B536B2" w:rsidRDefault="00CE5A6F" w:rsidP="002B57A4">
      <w:pPr>
        <w:pStyle w:val="ParaNoNdepar-AltN"/>
        <w:widowControl w:val="0"/>
        <w:rPr>
          <w:rFonts w:cs="Times New Roman"/>
          <w:lang w:val="fr-CA"/>
        </w:rPr>
      </w:pPr>
      <w:r>
        <w:rPr>
          <w:rFonts w:cs="Times New Roman"/>
          <w:lang w:val="fr-CA"/>
        </w:rPr>
        <w:t>Le par</w:t>
      </w:r>
      <w:r w:rsidR="00906DC2">
        <w:rPr>
          <w:rFonts w:cs="Times New Roman"/>
          <w:lang w:val="fr-CA"/>
        </w:rPr>
        <w:t>agraphe</w:t>
      </w:r>
      <w:r w:rsidR="001B28CD" w:rsidRPr="00B536B2">
        <w:rPr>
          <w:rFonts w:cs="Times New Roman"/>
          <w:lang w:val="fr-CA"/>
        </w:rPr>
        <w:t> 5.02 de la convention collective limite lui aussi la faculté de la direction d</w:t>
      </w:r>
      <w:r w:rsidR="001B28CD">
        <w:rPr>
          <w:rFonts w:cs="Times New Roman"/>
          <w:lang w:val="fr-CA"/>
        </w:rPr>
        <w:t>’</w:t>
      </w:r>
      <w:r w:rsidR="001B28CD" w:rsidRPr="00B536B2">
        <w:rPr>
          <w:rFonts w:cs="Times New Roman"/>
          <w:lang w:val="fr-CA"/>
        </w:rPr>
        <w:t>exercer ces droits, car il prévoit que l</w:t>
      </w:r>
      <w:r w:rsidR="001B28CD">
        <w:rPr>
          <w:rFonts w:cs="Times New Roman"/>
          <w:lang w:val="fr-CA"/>
        </w:rPr>
        <w:t>’</w:t>
      </w:r>
      <w:r w:rsidR="001B28CD" w:rsidRPr="00B536B2">
        <w:rPr>
          <w:rFonts w:cs="Times New Roman"/>
          <w:lang w:val="fr-CA"/>
        </w:rPr>
        <w:t>employeur doit « agi[r] raisonnablement, équitablement et de bonne foi » dans l</w:t>
      </w:r>
      <w:r w:rsidR="001B28CD">
        <w:rPr>
          <w:rFonts w:cs="Times New Roman"/>
          <w:lang w:val="fr-CA"/>
        </w:rPr>
        <w:t>’</w:t>
      </w:r>
      <w:r w:rsidR="001B28CD" w:rsidRPr="00B536B2">
        <w:rPr>
          <w:rFonts w:cs="Times New Roman"/>
          <w:lang w:val="fr-CA"/>
        </w:rPr>
        <w:t xml:space="preserve">administration de la </w:t>
      </w:r>
      <w:r w:rsidR="001B28CD" w:rsidRPr="00B536B2">
        <w:rPr>
          <w:rFonts w:cs="Times New Roman"/>
          <w:lang w:val="fr-CA"/>
        </w:rPr>
        <w:lastRenderedPageBreak/>
        <w:t>convention collective. Toute politique unilatéralement imposée en milieu de travail doit respecter ces limites.</w:t>
      </w:r>
    </w:p>
    <w:p w:rsidR="001B28CD" w:rsidRPr="00B536B2" w:rsidRDefault="001B28CD" w:rsidP="002B57A4">
      <w:pPr>
        <w:pStyle w:val="ParaNoNdepar-AltN"/>
        <w:widowControl w:val="0"/>
        <w:rPr>
          <w:rFonts w:cs="Times New Roman"/>
          <w:lang w:val="fr-CA"/>
        </w:rPr>
      </w:pPr>
      <w:r w:rsidRPr="00B536B2">
        <w:rPr>
          <w:rFonts w:cs="Times New Roman"/>
          <w:lang w:val="fr-CA"/>
        </w:rPr>
        <w:t>La question soulevée devant l</w:t>
      </w:r>
      <w:r>
        <w:rPr>
          <w:rFonts w:cs="Times New Roman"/>
          <w:lang w:val="fr-CA"/>
        </w:rPr>
        <w:t>’</w:t>
      </w:r>
      <w:r w:rsidRPr="00B536B2">
        <w:rPr>
          <w:rFonts w:cs="Times New Roman"/>
          <w:lang w:val="fr-CA"/>
        </w:rPr>
        <w:t>arbitre était de savoir si la directive sur la garde représentait un exercice raisonnable et équitable des droits de la direction. La bonne foi de l</w:t>
      </w:r>
      <w:r>
        <w:rPr>
          <w:rFonts w:cs="Times New Roman"/>
          <w:lang w:val="fr-CA"/>
        </w:rPr>
        <w:t>’</w:t>
      </w:r>
      <w:r w:rsidRPr="00B536B2">
        <w:rPr>
          <w:rFonts w:cs="Times New Roman"/>
          <w:lang w:val="fr-CA"/>
        </w:rPr>
        <w:t>employeur n</w:t>
      </w:r>
      <w:r>
        <w:rPr>
          <w:rFonts w:cs="Times New Roman"/>
          <w:lang w:val="fr-CA"/>
        </w:rPr>
        <w:t>’</w:t>
      </w:r>
      <w:r w:rsidRPr="00B536B2">
        <w:rPr>
          <w:rFonts w:cs="Times New Roman"/>
          <w:lang w:val="fr-CA"/>
        </w:rPr>
        <w:t>est pas en cause.</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intimé a fait valoir devant notre Cour que, pour répondre à cette question, l</w:t>
      </w:r>
      <w:r>
        <w:rPr>
          <w:rFonts w:cs="Times New Roman"/>
          <w:lang w:val="fr-CA"/>
        </w:rPr>
        <w:t>’</w:t>
      </w:r>
      <w:r w:rsidRPr="00B536B2">
        <w:rPr>
          <w:rFonts w:cs="Times New Roman"/>
          <w:lang w:val="fr-CA"/>
        </w:rPr>
        <w:t>arbitre devait décider si la directive sur les quarts de garde obligatoires de l</w:t>
      </w:r>
      <w:r>
        <w:rPr>
          <w:rFonts w:cs="Times New Roman"/>
          <w:lang w:val="fr-CA"/>
        </w:rPr>
        <w:t>’</w:t>
      </w:r>
      <w:r w:rsidRPr="00B536B2">
        <w:rPr>
          <w:rFonts w:cs="Times New Roman"/>
          <w:lang w:val="fr-CA"/>
        </w:rPr>
        <w:t>employeur se situait dans l</w:t>
      </w:r>
      <w:r>
        <w:rPr>
          <w:rFonts w:cs="Times New Roman"/>
          <w:lang w:val="fr-CA"/>
        </w:rPr>
        <w:t>’</w:t>
      </w:r>
      <w:r w:rsidRPr="00B536B2">
        <w:rPr>
          <w:rFonts w:cs="Times New Roman"/>
          <w:lang w:val="fr-CA"/>
        </w:rPr>
        <w:t>éventail des solutions possibles raisonnables ayant un lien défendable avec les besoins opérationnels de l</w:t>
      </w:r>
      <w:r>
        <w:rPr>
          <w:rFonts w:cs="Times New Roman"/>
          <w:lang w:val="fr-CA"/>
        </w:rPr>
        <w:t>’</w:t>
      </w:r>
      <w:r w:rsidRPr="00B536B2">
        <w:rPr>
          <w:rFonts w:cs="Times New Roman"/>
          <w:lang w:val="fr-CA"/>
        </w:rPr>
        <w:t xml:space="preserve">employeur. </w:t>
      </w:r>
    </w:p>
    <w:p w:rsidR="001B28CD" w:rsidRPr="00B536B2" w:rsidRDefault="001B28CD" w:rsidP="002B57A4">
      <w:pPr>
        <w:pStyle w:val="ParaNoNdepar-AltN"/>
        <w:widowControl w:val="0"/>
        <w:rPr>
          <w:rFonts w:cs="Times New Roman"/>
          <w:lang w:val="fr-CA"/>
        </w:rPr>
      </w:pPr>
      <w:r w:rsidRPr="00B536B2">
        <w:rPr>
          <w:rFonts w:cs="Times New Roman"/>
          <w:lang w:val="fr-CA"/>
        </w:rPr>
        <w:t>J</w:t>
      </w:r>
      <w:r>
        <w:rPr>
          <w:rFonts w:cs="Times New Roman"/>
          <w:lang w:val="fr-CA"/>
        </w:rPr>
        <w:t>’</w:t>
      </w:r>
      <w:r w:rsidRPr="00B536B2">
        <w:rPr>
          <w:rFonts w:cs="Times New Roman"/>
          <w:lang w:val="fr-CA"/>
        </w:rPr>
        <w:t>estime qu</w:t>
      </w:r>
      <w:r>
        <w:rPr>
          <w:rFonts w:cs="Times New Roman"/>
          <w:lang w:val="fr-CA"/>
        </w:rPr>
        <w:t>’</w:t>
      </w:r>
      <w:r w:rsidRPr="00B536B2">
        <w:rPr>
          <w:rFonts w:cs="Times New Roman"/>
          <w:lang w:val="fr-CA"/>
        </w:rPr>
        <w:t>il ne s</w:t>
      </w:r>
      <w:r>
        <w:rPr>
          <w:rFonts w:cs="Times New Roman"/>
          <w:lang w:val="fr-CA"/>
        </w:rPr>
        <w:t>’</w:t>
      </w:r>
      <w:r w:rsidRPr="00B536B2">
        <w:rPr>
          <w:rFonts w:cs="Times New Roman"/>
          <w:lang w:val="fr-CA"/>
        </w:rPr>
        <w:t>agit pas là d</w:t>
      </w:r>
      <w:r>
        <w:rPr>
          <w:rFonts w:cs="Times New Roman"/>
          <w:lang w:val="fr-CA"/>
        </w:rPr>
        <w:t>’</w:t>
      </w:r>
      <w:r w:rsidRPr="00B536B2">
        <w:rPr>
          <w:rFonts w:cs="Times New Roman"/>
          <w:lang w:val="fr-CA"/>
        </w:rPr>
        <w:t>une formulation utile de la tâche de l</w:t>
      </w:r>
      <w:r>
        <w:rPr>
          <w:rFonts w:cs="Times New Roman"/>
          <w:lang w:val="fr-CA"/>
        </w:rPr>
        <w:t>’</w:t>
      </w:r>
      <w:r w:rsidRPr="00B536B2">
        <w:rPr>
          <w:rFonts w:cs="Times New Roman"/>
          <w:lang w:val="fr-CA"/>
        </w:rPr>
        <w:t>arbitre. La démarche bien établie pour déterminer si une politique ayant une incidence sur les employés constitue un exercice raisonnable des droits de la direction est l</w:t>
      </w:r>
      <w:r>
        <w:rPr>
          <w:rFonts w:cs="Times New Roman"/>
          <w:lang w:val="fr-CA"/>
        </w:rPr>
        <w:t>’</w:t>
      </w:r>
      <w:r w:rsidRPr="00B536B2">
        <w:rPr>
          <w:rFonts w:cs="Times New Roman"/>
          <w:lang w:val="fr-CA"/>
        </w:rPr>
        <w:t xml:space="preserve">évaluation axée sur la « mise en balance des intérêts » prévue dans la décision arbitrale de principe </w:t>
      </w:r>
      <w:r w:rsidRPr="00B536B2">
        <w:rPr>
          <w:rFonts w:cs="Times New Roman"/>
          <w:i/>
          <w:lang w:val="fr-CA"/>
        </w:rPr>
        <w:t>KVP</w:t>
      </w:r>
      <w:r w:rsidRPr="00B536B2">
        <w:rPr>
          <w:rFonts w:cs="Times New Roman"/>
          <w:lang w:val="fr-CA"/>
        </w:rPr>
        <w:t>, que notre Cour a récemment approuvée dans l</w:t>
      </w:r>
      <w:r>
        <w:rPr>
          <w:rFonts w:cs="Times New Roman"/>
          <w:lang w:val="fr-CA"/>
        </w:rPr>
        <w:t>’</w:t>
      </w:r>
      <w:r w:rsidRPr="00B536B2">
        <w:rPr>
          <w:rFonts w:cs="Times New Roman"/>
          <w:lang w:val="fr-CA"/>
        </w:rPr>
        <w:t xml:space="preserve">arrêt </w:t>
      </w:r>
      <w:r w:rsidRPr="00B536B2">
        <w:rPr>
          <w:rFonts w:cs="Times New Roman"/>
          <w:i/>
          <w:lang w:val="fr-CA"/>
        </w:rPr>
        <w:t>Irving</w:t>
      </w:r>
      <w:r w:rsidRPr="00B536B2">
        <w:rPr>
          <w:rFonts w:cs="Times New Roman"/>
          <w:lang w:val="fr-CA"/>
        </w:rPr>
        <w:t xml:space="preserve"> (au </w:t>
      </w:r>
      <w:r>
        <w:rPr>
          <w:rFonts w:cs="Times New Roman"/>
          <w:lang w:val="fr-CA"/>
        </w:rPr>
        <w:t>par. </w:t>
      </w:r>
      <w:r w:rsidRPr="00B536B2">
        <w:rPr>
          <w:rFonts w:cs="Times New Roman"/>
          <w:lang w:val="fr-CA"/>
        </w:rPr>
        <w:t>27, citant l</w:t>
      </w:r>
      <w:r>
        <w:rPr>
          <w:rFonts w:cs="Times New Roman"/>
          <w:lang w:val="fr-CA"/>
        </w:rPr>
        <w:t>’</w:t>
      </w:r>
      <w:r w:rsidRPr="00B536B2">
        <w:rPr>
          <w:rFonts w:cs="Times New Roman"/>
          <w:lang w:val="fr-CA"/>
        </w:rPr>
        <w:t xml:space="preserve">Alberta </w:t>
      </w:r>
      <w:proofErr w:type="spellStart"/>
      <w:r w:rsidRPr="00B536B2">
        <w:rPr>
          <w:rFonts w:cs="Times New Roman"/>
          <w:lang w:val="fr-CA"/>
        </w:rPr>
        <w:t>Federation</w:t>
      </w:r>
      <w:proofErr w:type="spellEnd"/>
      <w:r w:rsidRPr="00B536B2">
        <w:rPr>
          <w:rFonts w:cs="Times New Roman"/>
          <w:lang w:val="fr-CA"/>
        </w:rPr>
        <w:t xml:space="preserve"> of Labour, intervenante)</w:t>
      </w:r>
      <w:r>
        <w:rPr>
          <w:rFonts w:cs="Times New Roman"/>
          <w:lang w:val="fr-CA"/>
        </w:rPr>
        <w:t> :</w:t>
      </w:r>
    </w:p>
    <w:p w:rsidR="001B28CD" w:rsidRPr="00B536B2" w:rsidRDefault="001B28CD" w:rsidP="002B57A4">
      <w:pPr>
        <w:pStyle w:val="Citation-AltC"/>
        <w:widowControl w:val="0"/>
        <w:ind w:hanging="1166"/>
        <w:rPr>
          <w:lang w:val="fr-CA"/>
        </w:rPr>
      </w:pPr>
      <w:r w:rsidRPr="00B536B2">
        <w:rPr>
          <w:lang w:val="fr-CA"/>
        </w:rPr>
        <w:tab/>
        <w:t>[</w:t>
      </w:r>
      <w:r w:rsidRPr="00B536B2">
        <w:rPr>
          <w:smallCaps/>
          <w:lang w:val="fr-CA"/>
        </w:rPr>
        <w:t>traduction</w:t>
      </w:r>
      <w:r w:rsidRPr="00B536B2">
        <w:rPr>
          <w:lang w:val="fr-CA"/>
        </w:rPr>
        <w:t>] Pour évaluer le caractère raisonnable, les arbitres en droit du travail sont appelés à mettre à profit leur expertise dans ce domaine, à tenir compte de toutes les circonstances et à décider si la politique de l</w:t>
      </w:r>
      <w:r>
        <w:rPr>
          <w:lang w:val="fr-CA"/>
        </w:rPr>
        <w:t>’</w:t>
      </w:r>
      <w:r w:rsidRPr="00B536B2">
        <w:rPr>
          <w:lang w:val="fr-CA"/>
        </w:rPr>
        <w:t>employeur établit un équilibre raisonnable</w:t>
      </w:r>
      <w:r>
        <w:rPr>
          <w:lang w:val="fr-CA"/>
        </w:rPr>
        <w:t xml:space="preserve">. </w:t>
      </w:r>
      <w:r w:rsidRPr="00B536B2">
        <w:rPr>
          <w:lang w:val="fr-CA"/>
        </w:rPr>
        <w:t>Pour ce faire, ils peuvent tenir compte notamment de la nature des intérêts de l</w:t>
      </w:r>
      <w:r>
        <w:rPr>
          <w:lang w:val="fr-CA"/>
        </w:rPr>
        <w:t>’</w:t>
      </w:r>
      <w:r w:rsidRPr="00B536B2">
        <w:rPr>
          <w:lang w:val="fr-CA"/>
        </w:rPr>
        <w:t>employeur, de l</w:t>
      </w:r>
      <w:r>
        <w:rPr>
          <w:lang w:val="fr-CA"/>
        </w:rPr>
        <w:t>’</w:t>
      </w:r>
      <w:r w:rsidRPr="00B536B2">
        <w:rPr>
          <w:lang w:val="fr-CA"/>
        </w:rPr>
        <w:t>existence de tout autre moyen moins attentatoire de répondre aux préoccupations de l</w:t>
      </w:r>
      <w:r>
        <w:rPr>
          <w:lang w:val="fr-CA"/>
        </w:rPr>
        <w:t>’</w:t>
      </w:r>
      <w:r w:rsidRPr="00B536B2">
        <w:rPr>
          <w:lang w:val="fr-CA"/>
        </w:rPr>
        <w:t>employeur ainsi que de l</w:t>
      </w:r>
      <w:r>
        <w:rPr>
          <w:lang w:val="fr-CA"/>
        </w:rPr>
        <w:t>’</w:t>
      </w:r>
      <w:r w:rsidRPr="00B536B2">
        <w:rPr>
          <w:lang w:val="fr-CA"/>
        </w:rPr>
        <w:t>incidence de la politique sur les employés.</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Bien que l</w:t>
      </w:r>
      <w:r>
        <w:rPr>
          <w:rFonts w:cs="Times New Roman"/>
          <w:lang w:val="fr-CA"/>
        </w:rPr>
        <w:t>’</w:t>
      </w:r>
      <w:r w:rsidRPr="00B536B2">
        <w:rPr>
          <w:rFonts w:cs="Times New Roman"/>
          <w:lang w:val="fr-CA"/>
        </w:rPr>
        <w:t>arbitre n</w:t>
      </w:r>
      <w:r>
        <w:rPr>
          <w:rFonts w:cs="Times New Roman"/>
          <w:lang w:val="fr-CA"/>
        </w:rPr>
        <w:t>’</w:t>
      </w:r>
      <w:r w:rsidRPr="00B536B2">
        <w:rPr>
          <w:rFonts w:cs="Times New Roman"/>
          <w:lang w:val="fr-CA"/>
        </w:rPr>
        <w:t>ait pas mentionné explicitement l</w:t>
      </w:r>
      <w:r>
        <w:rPr>
          <w:rFonts w:cs="Times New Roman"/>
          <w:lang w:val="fr-CA"/>
        </w:rPr>
        <w:t>’</w:t>
      </w:r>
      <w:r w:rsidRPr="00B536B2">
        <w:rPr>
          <w:rFonts w:cs="Times New Roman"/>
          <w:lang w:val="fr-CA"/>
        </w:rPr>
        <w:t xml:space="preserve">arrêt </w:t>
      </w:r>
      <w:r w:rsidRPr="00B536B2">
        <w:rPr>
          <w:rFonts w:cs="Times New Roman"/>
          <w:i/>
          <w:lang w:val="fr-CA"/>
        </w:rPr>
        <w:t xml:space="preserve">Irving </w:t>
      </w:r>
      <w:r w:rsidRPr="00B536B2">
        <w:rPr>
          <w:rFonts w:cs="Times New Roman"/>
          <w:lang w:val="fr-CA"/>
        </w:rPr>
        <w:t xml:space="preserve">ou la décision </w:t>
      </w:r>
      <w:r w:rsidRPr="00B536B2">
        <w:rPr>
          <w:rFonts w:cs="Times New Roman"/>
          <w:i/>
          <w:lang w:val="fr-CA"/>
        </w:rPr>
        <w:t xml:space="preserve">KVP </w:t>
      </w:r>
      <w:r w:rsidRPr="00B536B2">
        <w:rPr>
          <w:rFonts w:cs="Times New Roman"/>
          <w:lang w:val="fr-CA"/>
        </w:rPr>
        <w:t>dans sa décision en l</w:t>
      </w:r>
      <w:r>
        <w:rPr>
          <w:rFonts w:cs="Times New Roman"/>
          <w:lang w:val="fr-CA"/>
        </w:rPr>
        <w:t>’</w:t>
      </w:r>
      <w:r w:rsidRPr="00B536B2">
        <w:rPr>
          <w:rFonts w:cs="Times New Roman"/>
          <w:lang w:val="fr-CA"/>
        </w:rPr>
        <w:t>espèce, il a appliqué cette démarche axée sur la mise en balance des intérêts. Il s</w:t>
      </w:r>
      <w:r>
        <w:rPr>
          <w:rFonts w:cs="Times New Roman"/>
          <w:lang w:val="fr-CA"/>
        </w:rPr>
        <w:t>’</w:t>
      </w:r>
      <w:r w:rsidRPr="00B536B2">
        <w:rPr>
          <w:rFonts w:cs="Times New Roman"/>
          <w:lang w:val="fr-CA"/>
        </w:rPr>
        <w:t>estimait tenu d</w:t>
      </w:r>
      <w:r>
        <w:rPr>
          <w:rFonts w:cs="Times New Roman"/>
          <w:lang w:val="fr-CA"/>
        </w:rPr>
        <w:t>’</w:t>
      </w:r>
      <w:r w:rsidRPr="00B536B2">
        <w:rPr>
          <w:rFonts w:cs="Times New Roman"/>
          <w:lang w:val="fr-CA"/>
        </w:rPr>
        <w:t>apprécier, d</w:t>
      </w:r>
      <w:r>
        <w:rPr>
          <w:rFonts w:cs="Times New Roman"/>
          <w:lang w:val="fr-CA"/>
        </w:rPr>
        <w:t>’</w:t>
      </w:r>
      <w:r w:rsidRPr="00B536B2">
        <w:rPr>
          <w:rFonts w:cs="Times New Roman"/>
          <w:lang w:val="fr-CA"/>
        </w:rPr>
        <w:t>une part, le cadre de travail des juristes, tel que le définit la convention collective, et l</w:t>
      </w:r>
      <w:r>
        <w:rPr>
          <w:rFonts w:cs="Times New Roman"/>
          <w:lang w:val="fr-CA"/>
        </w:rPr>
        <w:t>’</w:t>
      </w:r>
      <w:r w:rsidRPr="00B536B2">
        <w:rPr>
          <w:rFonts w:cs="Times New Roman"/>
          <w:lang w:val="fr-CA"/>
        </w:rPr>
        <w:t>effet de la directive sur leur vie personnelle et, d</w:t>
      </w:r>
      <w:r>
        <w:rPr>
          <w:rFonts w:cs="Times New Roman"/>
          <w:lang w:val="fr-CA"/>
        </w:rPr>
        <w:t>’</w:t>
      </w:r>
      <w:r w:rsidRPr="00B536B2">
        <w:rPr>
          <w:rFonts w:cs="Times New Roman"/>
          <w:lang w:val="fr-CA"/>
        </w:rPr>
        <w:t>autre part, l</w:t>
      </w:r>
      <w:r>
        <w:rPr>
          <w:rFonts w:cs="Times New Roman"/>
          <w:lang w:val="fr-CA"/>
        </w:rPr>
        <w:t>’</w:t>
      </w:r>
      <w:r w:rsidRPr="00B536B2">
        <w:rPr>
          <w:rFonts w:cs="Times New Roman"/>
          <w:lang w:val="fr-CA"/>
        </w:rPr>
        <w:t>objectif recherché par l</w:t>
      </w:r>
      <w:r>
        <w:rPr>
          <w:rFonts w:cs="Times New Roman"/>
          <w:lang w:val="fr-CA"/>
        </w:rPr>
        <w:t>’</w:t>
      </w:r>
      <w:r w:rsidRPr="00B536B2">
        <w:rPr>
          <w:rFonts w:cs="Times New Roman"/>
          <w:lang w:val="fr-CA"/>
        </w:rPr>
        <w:t>employeur et le moyen choisi par celui</w:t>
      </w:r>
      <w:r>
        <w:rPr>
          <w:rFonts w:cs="Times New Roman"/>
          <w:lang w:val="fr-CA"/>
        </w:rPr>
        <w:noBreakHyphen/>
      </w:r>
      <w:r w:rsidRPr="00B536B2">
        <w:rPr>
          <w:rFonts w:cs="Times New Roman"/>
          <w:lang w:val="fr-CA"/>
        </w:rPr>
        <w:t>ci pour l</w:t>
      </w:r>
      <w:r>
        <w:rPr>
          <w:rFonts w:cs="Times New Roman"/>
          <w:lang w:val="fr-CA"/>
        </w:rPr>
        <w:t>’</w:t>
      </w:r>
      <w:r w:rsidRPr="00B536B2">
        <w:rPr>
          <w:rFonts w:cs="Times New Roman"/>
          <w:lang w:val="fr-CA"/>
        </w:rPr>
        <w:t>atteindre.</w:t>
      </w:r>
    </w:p>
    <w:p w:rsidR="001B28CD" w:rsidRPr="00B536B2" w:rsidRDefault="001B28CD" w:rsidP="002B57A4">
      <w:pPr>
        <w:pStyle w:val="ParaNoNdepar-AltN"/>
        <w:widowControl w:val="0"/>
        <w:rPr>
          <w:rFonts w:cs="Times New Roman"/>
          <w:lang w:val="fr-CA"/>
        </w:rPr>
      </w:pPr>
      <w:r w:rsidRPr="00B536B2">
        <w:rPr>
          <w:rFonts w:cs="Times New Roman"/>
          <w:lang w:val="fr-CA"/>
        </w:rPr>
        <w:t>En revanche, l</w:t>
      </w:r>
      <w:r>
        <w:rPr>
          <w:rFonts w:cs="Times New Roman"/>
          <w:lang w:val="fr-CA"/>
        </w:rPr>
        <w:t>’</w:t>
      </w:r>
      <w:r w:rsidRPr="00B536B2">
        <w:rPr>
          <w:rFonts w:cs="Times New Roman"/>
          <w:lang w:val="fr-CA"/>
        </w:rPr>
        <w:t xml:space="preserve">intimé invoque une seule décision arbitrale, </w:t>
      </w:r>
      <w:r w:rsidRPr="00B536B2">
        <w:rPr>
          <w:rFonts w:cs="Times New Roman"/>
          <w:i/>
          <w:lang w:val="fr-CA"/>
        </w:rPr>
        <w:t xml:space="preserve">United Nurses of Alberta c. Alberta </w:t>
      </w:r>
      <w:proofErr w:type="spellStart"/>
      <w:r w:rsidRPr="00B536B2">
        <w:rPr>
          <w:rFonts w:cs="Times New Roman"/>
          <w:i/>
          <w:lang w:val="fr-CA"/>
        </w:rPr>
        <w:t>Health</w:t>
      </w:r>
      <w:proofErr w:type="spellEnd"/>
      <w:r w:rsidRPr="00B536B2">
        <w:rPr>
          <w:rFonts w:cs="Times New Roman"/>
          <w:i/>
          <w:lang w:val="fr-CA"/>
        </w:rPr>
        <w:t xml:space="preserve"> Services</w:t>
      </w:r>
      <w:r w:rsidRPr="00B536B2">
        <w:rPr>
          <w:rFonts w:cs="Times New Roman"/>
          <w:lang w:val="fr-CA"/>
        </w:rPr>
        <w:t xml:space="preserve">, 2014 </w:t>
      </w:r>
      <w:proofErr w:type="spellStart"/>
      <w:r w:rsidRPr="00B536B2">
        <w:rPr>
          <w:rFonts w:cs="Times New Roman"/>
          <w:lang w:val="fr-CA"/>
        </w:rPr>
        <w:t>CanLII</w:t>
      </w:r>
      <w:proofErr w:type="spellEnd"/>
      <w:r w:rsidRPr="00B536B2">
        <w:rPr>
          <w:rFonts w:cs="Times New Roman"/>
          <w:lang w:val="fr-CA"/>
        </w:rPr>
        <w:t> 50285</w:t>
      </w:r>
      <w:r w:rsidR="00CE5A6F">
        <w:rPr>
          <w:rFonts w:cs="Times New Roman"/>
          <w:lang w:val="fr-CA"/>
        </w:rPr>
        <w:t xml:space="preserve"> </w:t>
      </w:r>
      <w:r w:rsidR="00CE5A6F" w:rsidRPr="00B536B2">
        <w:rPr>
          <w:rFonts w:cs="Times New Roman"/>
          <w:lang w:val="fr-CA"/>
        </w:rPr>
        <w:t>(</w:t>
      </w:r>
      <w:proofErr w:type="spellStart"/>
      <w:r w:rsidR="00CE5A6F" w:rsidRPr="00B536B2">
        <w:rPr>
          <w:rFonts w:cs="Times New Roman"/>
          <w:lang w:val="fr-CA"/>
        </w:rPr>
        <w:t>Alb</w:t>
      </w:r>
      <w:proofErr w:type="spellEnd"/>
      <w:r w:rsidR="00CE5A6F" w:rsidRPr="00B536B2">
        <w:rPr>
          <w:rFonts w:cs="Times New Roman"/>
          <w:lang w:val="fr-CA"/>
        </w:rPr>
        <w:t>.)</w:t>
      </w:r>
      <w:r w:rsidR="00CE5A6F">
        <w:rPr>
          <w:rFonts w:cs="Times New Roman"/>
          <w:lang w:val="fr-CA"/>
        </w:rPr>
        <w:t>,</w:t>
      </w:r>
      <w:r w:rsidRPr="00B536B2">
        <w:rPr>
          <w:rFonts w:cs="Times New Roman"/>
          <w:lang w:val="fr-CA"/>
        </w:rPr>
        <w:t xml:space="preserve"> </w:t>
      </w:r>
      <w:r>
        <w:rPr>
          <w:rFonts w:cs="Times New Roman"/>
          <w:lang w:val="fr-CA"/>
        </w:rPr>
        <w:t>p. </w:t>
      </w:r>
      <w:r w:rsidRPr="00B536B2">
        <w:rPr>
          <w:rFonts w:cs="Times New Roman"/>
          <w:lang w:val="fr-CA"/>
        </w:rPr>
        <w:t>12, au soutien de la démarche qu</w:t>
      </w:r>
      <w:r>
        <w:rPr>
          <w:rFonts w:cs="Times New Roman"/>
          <w:lang w:val="fr-CA"/>
        </w:rPr>
        <w:t>’</w:t>
      </w:r>
      <w:r w:rsidRPr="00B536B2">
        <w:rPr>
          <w:rFonts w:cs="Times New Roman"/>
          <w:lang w:val="fr-CA"/>
        </w:rPr>
        <w:t>il propose. Dans cette décision, l</w:t>
      </w:r>
      <w:r>
        <w:rPr>
          <w:rFonts w:cs="Times New Roman"/>
          <w:lang w:val="fr-CA"/>
        </w:rPr>
        <w:t>’</w:t>
      </w:r>
      <w:r w:rsidRPr="00B536B2">
        <w:rPr>
          <w:rFonts w:cs="Times New Roman"/>
          <w:lang w:val="fr-CA"/>
        </w:rPr>
        <w:t>arbitre en droit du travail a statué que, dans la mesure où la politique de gestion [</w:t>
      </w:r>
      <w:r w:rsidRPr="00B536B2">
        <w:rPr>
          <w:rFonts w:cs="Times New Roman"/>
          <w:smallCaps/>
          <w:lang w:val="fr-CA"/>
        </w:rPr>
        <w:t>traduction</w:t>
      </w:r>
      <w:r w:rsidRPr="00B536B2">
        <w:rPr>
          <w:rFonts w:cs="Times New Roman"/>
          <w:lang w:val="fr-CA"/>
        </w:rPr>
        <w:t>] « se situe dans l</w:t>
      </w:r>
      <w:r>
        <w:rPr>
          <w:rFonts w:cs="Times New Roman"/>
          <w:lang w:val="fr-CA"/>
        </w:rPr>
        <w:t>’</w:t>
      </w:r>
      <w:r w:rsidRPr="00B536B2">
        <w:rPr>
          <w:rFonts w:cs="Times New Roman"/>
          <w:lang w:val="fr-CA"/>
        </w:rPr>
        <w:t>éventail des solutions possibles et qu</w:t>
      </w:r>
      <w:r>
        <w:rPr>
          <w:rFonts w:cs="Times New Roman"/>
          <w:lang w:val="fr-CA"/>
        </w:rPr>
        <w:t>’</w:t>
      </w:r>
      <w:r w:rsidRPr="00B536B2">
        <w:rPr>
          <w:rFonts w:cs="Times New Roman"/>
          <w:lang w:val="fr-CA"/>
        </w:rPr>
        <w:t>elle a un lien défendable avec les objectifs opérationnels, il n</w:t>
      </w:r>
      <w:r>
        <w:rPr>
          <w:rFonts w:cs="Times New Roman"/>
          <w:lang w:val="fr-CA"/>
        </w:rPr>
        <w:t>’</w:t>
      </w:r>
      <w:r w:rsidRPr="00B536B2">
        <w:rPr>
          <w:rFonts w:cs="Times New Roman"/>
          <w:lang w:val="fr-CA"/>
        </w:rPr>
        <w:t>est pas loisible à l</w:t>
      </w:r>
      <w:r>
        <w:rPr>
          <w:rFonts w:cs="Times New Roman"/>
          <w:lang w:val="fr-CA"/>
        </w:rPr>
        <w:t>’</w:t>
      </w:r>
      <w:r w:rsidRPr="00B536B2">
        <w:rPr>
          <w:rFonts w:cs="Times New Roman"/>
          <w:lang w:val="fr-CA"/>
        </w:rPr>
        <w:t>arbitre de substituer son point de vue à la solution effectivement retenue par la direction » (</w:t>
      </w:r>
      <w:r w:rsidR="00906DC2">
        <w:rPr>
          <w:rFonts w:cs="Times New Roman"/>
          <w:lang w:val="fr-CA"/>
        </w:rPr>
        <w:t>p. 13</w:t>
      </w:r>
      <w:r w:rsidRPr="00B536B2">
        <w:rPr>
          <w:rFonts w:cs="Times New Roman"/>
          <w:lang w:val="fr-CA"/>
        </w:rPr>
        <w:t>). À l</w:t>
      </w:r>
      <w:r>
        <w:rPr>
          <w:rFonts w:cs="Times New Roman"/>
          <w:lang w:val="fr-CA"/>
        </w:rPr>
        <w:t>’</w:t>
      </w:r>
      <w:r w:rsidRPr="00B536B2">
        <w:rPr>
          <w:rFonts w:cs="Times New Roman"/>
          <w:lang w:val="fr-CA"/>
        </w:rPr>
        <w:t>audience tenue devant notre Cour, l</w:t>
      </w:r>
      <w:r>
        <w:rPr>
          <w:rFonts w:cs="Times New Roman"/>
          <w:lang w:val="fr-CA"/>
        </w:rPr>
        <w:t>’</w:t>
      </w:r>
      <w:r w:rsidRPr="00B536B2">
        <w:rPr>
          <w:rFonts w:cs="Times New Roman"/>
          <w:lang w:val="fr-CA"/>
        </w:rPr>
        <w:t>avocat de l</w:t>
      </w:r>
      <w:r>
        <w:rPr>
          <w:rFonts w:cs="Times New Roman"/>
          <w:lang w:val="fr-CA"/>
        </w:rPr>
        <w:t>’</w:t>
      </w:r>
      <w:r w:rsidRPr="00B536B2">
        <w:rPr>
          <w:rFonts w:cs="Times New Roman"/>
          <w:lang w:val="fr-CA"/>
        </w:rPr>
        <w:t>intimé a reconnu n</w:t>
      </w:r>
      <w:r>
        <w:rPr>
          <w:rFonts w:cs="Times New Roman"/>
          <w:lang w:val="fr-CA"/>
        </w:rPr>
        <w:t>’</w:t>
      </w:r>
      <w:r w:rsidRPr="00B536B2">
        <w:rPr>
          <w:rFonts w:cs="Times New Roman"/>
          <w:lang w:val="fr-CA"/>
        </w:rPr>
        <w:t>avoir connaissance d</w:t>
      </w:r>
      <w:r>
        <w:rPr>
          <w:rFonts w:cs="Times New Roman"/>
          <w:lang w:val="fr-CA"/>
        </w:rPr>
        <w:t>’</w:t>
      </w:r>
      <w:r w:rsidRPr="00B536B2">
        <w:rPr>
          <w:rFonts w:cs="Times New Roman"/>
          <w:lang w:val="fr-CA"/>
        </w:rPr>
        <w:t>aucune autre décision arbitrale ayant suivi ce précédent.</w:t>
      </w:r>
    </w:p>
    <w:p w:rsidR="001B28CD" w:rsidRPr="00B536B2" w:rsidRDefault="001B28CD" w:rsidP="002B57A4">
      <w:pPr>
        <w:pStyle w:val="ParaNoNdepar-AltN"/>
        <w:widowControl w:val="0"/>
        <w:rPr>
          <w:rFonts w:cs="Times New Roman"/>
          <w:lang w:val="fr-CA"/>
        </w:rPr>
      </w:pPr>
      <w:r w:rsidRPr="00B536B2">
        <w:rPr>
          <w:rFonts w:cs="Times New Roman"/>
          <w:lang w:val="fr-CA"/>
        </w:rPr>
        <w:t xml:space="preserve">À mon avis, la démarche proposée dans </w:t>
      </w:r>
      <w:r w:rsidRPr="00B536B2">
        <w:rPr>
          <w:rFonts w:cs="Times New Roman"/>
          <w:i/>
          <w:lang w:val="fr-CA"/>
        </w:rPr>
        <w:t xml:space="preserve">United Nurses of Alberta </w:t>
      </w:r>
      <w:r w:rsidRPr="00B536B2">
        <w:rPr>
          <w:rFonts w:cs="Times New Roman"/>
          <w:lang w:val="fr-CA"/>
        </w:rPr>
        <w:t>pose problème, car elle introduit l</w:t>
      </w:r>
      <w:r>
        <w:rPr>
          <w:rFonts w:cs="Times New Roman"/>
          <w:lang w:val="fr-CA"/>
        </w:rPr>
        <w:t>’</w:t>
      </w:r>
      <w:r w:rsidRPr="00B536B2">
        <w:rPr>
          <w:rFonts w:cs="Times New Roman"/>
          <w:lang w:val="fr-CA"/>
        </w:rPr>
        <w:t>appréciation du caractère raisonnable — qui relève du contrôle judiciaire — dans la tâche incombant à l</w:t>
      </w:r>
      <w:r>
        <w:rPr>
          <w:rFonts w:cs="Times New Roman"/>
          <w:lang w:val="fr-CA"/>
        </w:rPr>
        <w:t>’</w:t>
      </w:r>
      <w:r w:rsidRPr="00B536B2">
        <w:rPr>
          <w:rFonts w:cs="Times New Roman"/>
          <w:lang w:val="fr-CA"/>
        </w:rPr>
        <w:t>arbitre en droit du travail d</w:t>
      </w:r>
      <w:r>
        <w:rPr>
          <w:rFonts w:cs="Times New Roman"/>
          <w:lang w:val="fr-CA"/>
        </w:rPr>
        <w:t>’</w:t>
      </w:r>
      <w:r w:rsidRPr="00B536B2">
        <w:rPr>
          <w:rFonts w:cs="Times New Roman"/>
          <w:lang w:val="fr-CA"/>
        </w:rPr>
        <w:t>évaluer l</w:t>
      </w:r>
      <w:r>
        <w:rPr>
          <w:rFonts w:cs="Times New Roman"/>
          <w:lang w:val="fr-CA"/>
        </w:rPr>
        <w:t>’</w:t>
      </w:r>
      <w:r w:rsidRPr="00B536B2">
        <w:rPr>
          <w:rFonts w:cs="Times New Roman"/>
          <w:lang w:val="fr-CA"/>
        </w:rPr>
        <w:t>exercice des droits de la direction. Cette démarche confond les rôles distincts que les arbitres et les tribunaux de révision jouent dans le contexte des griefs en droit du travail. Elle va également à l</w:t>
      </w:r>
      <w:r>
        <w:rPr>
          <w:rFonts w:cs="Times New Roman"/>
          <w:lang w:val="fr-CA"/>
        </w:rPr>
        <w:t>’</w:t>
      </w:r>
      <w:r w:rsidRPr="00B536B2">
        <w:rPr>
          <w:rFonts w:cs="Times New Roman"/>
          <w:lang w:val="fr-CA"/>
        </w:rPr>
        <w:t>encontre de l</w:t>
      </w:r>
      <w:r>
        <w:rPr>
          <w:rFonts w:cs="Times New Roman"/>
          <w:lang w:val="fr-CA"/>
        </w:rPr>
        <w:t>’</w:t>
      </w:r>
      <w:r w:rsidRPr="00B536B2">
        <w:rPr>
          <w:rFonts w:cs="Times New Roman"/>
          <w:lang w:val="fr-CA"/>
        </w:rPr>
        <w:t>approbation récente par notre Cour, dans l</w:t>
      </w:r>
      <w:r>
        <w:rPr>
          <w:rFonts w:cs="Times New Roman"/>
          <w:lang w:val="fr-CA"/>
        </w:rPr>
        <w:t>’</w:t>
      </w:r>
      <w:r w:rsidRPr="00B536B2">
        <w:rPr>
          <w:rFonts w:cs="Times New Roman"/>
          <w:lang w:val="fr-CA"/>
        </w:rPr>
        <w:t xml:space="preserve">arrêt </w:t>
      </w:r>
      <w:r w:rsidRPr="00B536B2">
        <w:rPr>
          <w:rFonts w:cs="Times New Roman"/>
          <w:i/>
          <w:lang w:val="fr-CA"/>
        </w:rPr>
        <w:lastRenderedPageBreak/>
        <w:t>Irving</w:t>
      </w:r>
      <w:r w:rsidRPr="00B536B2">
        <w:rPr>
          <w:rFonts w:cs="Times New Roman"/>
          <w:lang w:val="fr-CA"/>
        </w:rPr>
        <w:t xml:space="preserve">, du critère énoncé dans </w:t>
      </w:r>
      <w:r w:rsidRPr="00B536B2">
        <w:rPr>
          <w:rFonts w:cs="Times New Roman"/>
          <w:i/>
          <w:lang w:val="fr-CA"/>
        </w:rPr>
        <w:t>KV</w:t>
      </w:r>
      <w:r>
        <w:rPr>
          <w:rFonts w:cs="Times New Roman"/>
          <w:i/>
          <w:lang w:val="fr-CA"/>
        </w:rPr>
        <w:t>P. </w:t>
      </w:r>
      <w:r w:rsidRPr="00B536B2">
        <w:rPr>
          <w:rFonts w:cs="Times New Roman"/>
          <w:lang w:val="fr-CA"/>
        </w:rPr>
        <w:t>En outre, les déclarations de l</w:t>
      </w:r>
      <w:r>
        <w:rPr>
          <w:rFonts w:cs="Times New Roman"/>
          <w:lang w:val="fr-CA"/>
        </w:rPr>
        <w:t>’</w:t>
      </w:r>
      <w:r w:rsidRPr="00B536B2">
        <w:rPr>
          <w:rFonts w:cs="Times New Roman"/>
          <w:lang w:val="fr-CA"/>
        </w:rPr>
        <w:t>arbitre dans l</w:t>
      </w:r>
      <w:r>
        <w:rPr>
          <w:rFonts w:cs="Times New Roman"/>
          <w:lang w:val="fr-CA"/>
        </w:rPr>
        <w:t>’</w:t>
      </w:r>
      <w:r w:rsidRPr="00B536B2">
        <w:rPr>
          <w:rFonts w:cs="Times New Roman"/>
          <w:lang w:val="fr-CA"/>
        </w:rPr>
        <w:t xml:space="preserve">affaire </w:t>
      </w:r>
      <w:r w:rsidRPr="00B536B2">
        <w:rPr>
          <w:rFonts w:cs="Times New Roman"/>
          <w:i/>
          <w:lang w:val="fr-CA"/>
        </w:rPr>
        <w:t>United Nurses of Alberta</w:t>
      </w:r>
      <w:r w:rsidRPr="00B536B2">
        <w:rPr>
          <w:rFonts w:cs="Times New Roman"/>
          <w:lang w:val="fr-CA"/>
        </w:rPr>
        <w:t xml:space="preserve"> semblent viser uniquement à trancher la question de savoir si un certain exercice des droits de la direction était raisonnable. En l</w:t>
      </w:r>
      <w:r>
        <w:rPr>
          <w:rFonts w:cs="Times New Roman"/>
          <w:lang w:val="fr-CA"/>
        </w:rPr>
        <w:t>’</w:t>
      </w:r>
      <w:r w:rsidRPr="00B536B2">
        <w:rPr>
          <w:rFonts w:cs="Times New Roman"/>
          <w:lang w:val="fr-CA"/>
        </w:rPr>
        <w:t xml:space="preserve">espèce, le texte du </w:t>
      </w:r>
      <w:r>
        <w:rPr>
          <w:rFonts w:cs="Times New Roman"/>
          <w:lang w:val="fr-CA"/>
        </w:rPr>
        <w:t>par. </w:t>
      </w:r>
      <w:r w:rsidRPr="00B536B2">
        <w:rPr>
          <w:rFonts w:cs="Times New Roman"/>
          <w:lang w:val="fr-CA"/>
        </w:rPr>
        <w:t>5.02 de la convention collective obligeait aussi l</w:t>
      </w:r>
      <w:r>
        <w:rPr>
          <w:rFonts w:cs="Times New Roman"/>
          <w:lang w:val="fr-CA"/>
        </w:rPr>
        <w:t>’</w:t>
      </w:r>
      <w:r w:rsidRPr="00B536B2">
        <w:rPr>
          <w:rFonts w:cs="Times New Roman"/>
          <w:lang w:val="fr-CA"/>
        </w:rPr>
        <w:t>arbitre à décider si la directive constituait un exercice équitable et de bonne foi des droits de la direction</w:t>
      </w:r>
      <w:r>
        <w:rPr>
          <w:rFonts w:cs="Times New Roman"/>
          <w:lang w:val="fr-CA"/>
        </w:rPr>
        <w:t xml:space="preserve">. </w:t>
      </w:r>
    </w:p>
    <w:p w:rsidR="001B28CD" w:rsidRPr="00B536B2" w:rsidRDefault="001B28CD" w:rsidP="002B57A4">
      <w:pPr>
        <w:pStyle w:val="ParaNoNdepar-AltN"/>
        <w:widowControl w:val="0"/>
        <w:rPr>
          <w:rFonts w:cs="Times New Roman"/>
          <w:lang w:val="fr-CA"/>
        </w:rPr>
      </w:pPr>
      <w:r w:rsidRPr="00B536B2">
        <w:rPr>
          <w:rFonts w:cs="Times New Roman"/>
          <w:lang w:val="fr-CA"/>
        </w:rPr>
        <w:t>En conséquence, je suis convaincue qu</w:t>
      </w:r>
      <w:r>
        <w:rPr>
          <w:rFonts w:cs="Times New Roman"/>
          <w:lang w:val="fr-CA"/>
        </w:rPr>
        <w:t>’</w:t>
      </w:r>
      <w:r w:rsidRPr="00B536B2">
        <w:rPr>
          <w:rFonts w:cs="Times New Roman"/>
          <w:lang w:val="fr-CA"/>
        </w:rPr>
        <w:t>en suivant la démarche bien établie axée sur la mise en balance des intérêts, l</w:t>
      </w:r>
      <w:r>
        <w:rPr>
          <w:rFonts w:cs="Times New Roman"/>
          <w:lang w:val="fr-CA"/>
        </w:rPr>
        <w:t>’</w:t>
      </w:r>
      <w:r w:rsidRPr="00B536B2">
        <w:rPr>
          <w:rFonts w:cs="Times New Roman"/>
          <w:lang w:val="fr-CA"/>
        </w:rPr>
        <w:t>arbitre a appliqué le cadre d</w:t>
      </w:r>
      <w:r>
        <w:rPr>
          <w:rFonts w:cs="Times New Roman"/>
          <w:lang w:val="fr-CA"/>
        </w:rPr>
        <w:t>’</w:t>
      </w:r>
      <w:r w:rsidRPr="00B536B2">
        <w:rPr>
          <w:rFonts w:cs="Times New Roman"/>
          <w:lang w:val="fr-CA"/>
        </w:rPr>
        <w:t>analyse approprié pour évaluer l</w:t>
      </w:r>
      <w:r>
        <w:rPr>
          <w:rFonts w:cs="Times New Roman"/>
          <w:lang w:val="fr-CA"/>
        </w:rPr>
        <w:t>’</w:t>
      </w:r>
      <w:r w:rsidRPr="00B536B2">
        <w:rPr>
          <w:rFonts w:cs="Times New Roman"/>
          <w:lang w:val="fr-CA"/>
        </w:rPr>
        <w:t>exercice des droits de la direction au regard de la convention collective en l</w:t>
      </w:r>
      <w:r>
        <w:rPr>
          <w:rFonts w:cs="Times New Roman"/>
          <w:lang w:val="fr-CA"/>
        </w:rPr>
        <w:t>’</w:t>
      </w:r>
      <w:r w:rsidRPr="00B536B2">
        <w:rPr>
          <w:rFonts w:cs="Times New Roman"/>
          <w:lang w:val="fr-CA"/>
        </w:rPr>
        <w:t>espèce.</w:t>
      </w:r>
    </w:p>
    <w:p w:rsidR="001B28CD" w:rsidRPr="00B536B2" w:rsidRDefault="001B28CD" w:rsidP="002B57A4">
      <w:pPr>
        <w:pStyle w:val="Title3LevelTitre3Niveau"/>
        <w:widowControl w:val="0"/>
        <w:rPr>
          <w:rFonts w:cs="Times New Roman"/>
          <w:lang w:val="fr-CA"/>
        </w:rPr>
      </w:pPr>
      <w:r w:rsidRPr="00B536B2">
        <w:rPr>
          <w:rFonts w:cs="Times New Roman"/>
          <w:lang w:val="fr-CA"/>
        </w:rPr>
        <w:t>Application</w:t>
      </w:r>
    </w:p>
    <w:p w:rsidR="001B28CD" w:rsidRPr="00B536B2" w:rsidRDefault="001B28CD" w:rsidP="002B57A4">
      <w:pPr>
        <w:pStyle w:val="ParaNoNdepar-AltN"/>
        <w:widowControl w:val="0"/>
        <w:rPr>
          <w:rFonts w:cs="Times New Roman"/>
          <w:lang w:val="fr-CA"/>
        </w:rPr>
      </w:pPr>
      <w:r w:rsidRPr="00B536B2">
        <w:rPr>
          <w:rFonts w:cs="Times New Roman"/>
          <w:lang w:val="fr-CA"/>
        </w:rPr>
        <w:t>La Cour d</w:t>
      </w:r>
      <w:r>
        <w:rPr>
          <w:rFonts w:cs="Times New Roman"/>
          <w:lang w:val="fr-CA"/>
        </w:rPr>
        <w:t>’</w:t>
      </w:r>
      <w:r w:rsidRPr="00B536B2">
        <w:rPr>
          <w:rFonts w:cs="Times New Roman"/>
          <w:lang w:val="fr-CA"/>
        </w:rPr>
        <w:t>appel fédérale a conclu que la décision de l</w:t>
      </w:r>
      <w:r>
        <w:rPr>
          <w:rFonts w:cs="Times New Roman"/>
          <w:lang w:val="fr-CA"/>
        </w:rPr>
        <w:t>’</w:t>
      </w:r>
      <w:r w:rsidRPr="00B536B2">
        <w:rPr>
          <w:rFonts w:cs="Times New Roman"/>
          <w:lang w:val="fr-CA"/>
        </w:rPr>
        <w:t>arbitre était déraisonnable, estimant qu</w:t>
      </w:r>
      <w:r>
        <w:rPr>
          <w:rFonts w:cs="Times New Roman"/>
          <w:lang w:val="fr-CA"/>
        </w:rPr>
        <w:t>’</w:t>
      </w:r>
      <w:r w:rsidRPr="00B536B2">
        <w:rPr>
          <w:rFonts w:cs="Times New Roman"/>
          <w:lang w:val="fr-CA"/>
        </w:rPr>
        <w:t>un certain nombre de justifications données par celui</w:t>
      </w:r>
      <w:r>
        <w:rPr>
          <w:rFonts w:cs="Times New Roman"/>
          <w:lang w:val="fr-CA"/>
        </w:rPr>
        <w:noBreakHyphen/>
      </w:r>
      <w:r w:rsidRPr="00B536B2">
        <w:rPr>
          <w:rFonts w:cs="Times New Roman"/>
          <w:lang w:val="fr-CA"/>
        </w:rPr>
        <w:t>ci étaient intenables. L</w:t>
      </w:r>
      <w:r>
        <w:rPr>
          <w:rFonts w:cs="Times New Roman"/>
          <w:lang w:val="fr-CA"/>
        </w:rPr>
        <w:t>’</w:t>
      </w:r>
      <w:r w:rsidRPr="00B536B2">
        <w:rPr>
          <w:rFonts w:cs="Times New Roman"/>
          <w:lang w:val="fr-CA"/>
        </w:rPr>
        <w:t>intimé reprend ce raisonnement. Il soutient que les exigences de la directive — porter un téléavertisseur et rester à une distance d</w:t>
      </w:r>
      <w:r>
        <w:rPr>
          <w:rFonts w:cs="Times New Roman"/>
          <w:lang w:val="fr-CA"/>
        </w:rPr>
        <w:t>’</w:t>
      </w:r>
      <w:r w:rsidRPr="00B536B2">
        <w:rPr>
          <w:rFonts w:cs="Times New Roman"/>
          <w:lang w:val="fr-CA"/>
        </w:rPr>
        <w:t xml:space="preserve">au plus une heure du bureau pendant la période de garde — entraînaient une atteinte minimale et avaient un lien rationnel avec </w:t>
      </w:r>
      <w:r>
        <w:rPr>
          <w:rFonts w:cs="Times New Roman"/>
          <w:lang w:val="fr-CA"/>
        </w:rPr>
        <w:t>l</w:t>
      </w:r>
      <w:r w:rsidRPr="00B536B2">
        <w:rPr>
          <w:rFonts w:cs="Times New Roman"/>
          <w:lang w:val="fr-CA"/>
        </w:rPr>
        <w:t>es responsabilités</w:t>
      </w:r>
      <w:r>
        <w:rPr>
          <w:rFonts w:cs="Times New Roman"/>
          <w:lang w:val="fr-CA"/>
        </w:rPr>
        <w:t xml:space="preserve"> de </w:t>
      </w:r>
      <w:r w:rsidRPr="00B536B2">
        <w:rPr>
          <w:rFonts w:cs="Times New Roman"/>
          <w:lang w:val="fr-CA"/>
        </w:rPr>
        <w:t>l</w:t>
      </w:r>
      <w:r>
        <w:rPr>
          <w:rFonts w:cs="Times New Roman"/>
          <w:lang w:val="fr-CA"/>
        </w:rPr>
        <w:t>’employeur</w:t>
      </w:r>
      <w:r w:rsidRPr="00B536B2">
        <w:rPr>
          <w:rFonts w:cs="Times New Roman"/>
          <w:lang w:val="fr-CA"/>
        </w:rPr>
        <w:t>. En conséquence, à son avis, l</w:t>
      </w:r>
      <w:r>
        <w:rPr>
          <w:rFonts w:cs="Times New Roman"/>
          <w:lang w:val="fr-CA"/>
        </w:rPr>
        <w:t>’</w:t>
      </w:r>
      <w:r w:rsidRPr="00B536B2">
        <w:rPr>
          <w:rFonts w:cs="Times New Roman"/>
          <w:lang w:val="fr-CA"/>
        </w:rPr>
        <w:t>arbitre aurait dû conclure que la directive était raisonnable.</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appelante soutient que la Cour d</w:t>
      </w:r>
      <w:r>
        <w:rPr>
          <w:rFonts w:cs="Times New Roman"/>
          <w:lang w:val="fr-CA"/>
        </w:rPr>
        <w:t>’</w:t>
      </w:r>
      <w:r w:rsidRPr="00B536B2">
        <w:rPr>
          <w:rFonts w:cs="Times New Roman"/>
          <w:lang w:val="fr-CA"/>
        </w:rPr>
        <w:t>appel fédérale a commis une erreur en substituant sa propre appréciation à celle de l</w:t>
      </w:r>
      <w:r>
        <w:rPr>
          <w:rFonts w:cs="Times New Roman"/>
          <w:lang w:val="fr-CA"/>
        </w:rPr>
        <w:t>’</w:t>
      </w:r>
      <w:r w:rsidRPr="00B536B2">
        <w:rPr>
          <w:rFonts w:cs="Times New Roman"/>
          <w:lang w:val="fr-CA"/>
        </w:rPr>
        <w:t>arbitre sur ce qui constituait un exercice raisonnable des droits de la direction. Elle fait valoir que la conclusion de l</w:t>
      </w:r>
      <w:r>
        <w:rPr>
          <w:rFonts w:cs="Times New Roman"/>
          <w:lang w:val="fr-CA"/>
        </w:rPr>
        <w:t>’</w:t>
      </w:r>
      <w:r w:rsidRPr="00B536B2">
        <w:rPr>
          <w:rFonts w:cs="Times New Roman"/>
          <w:lang w:val="fr-CA"/>
        </w:rPr>
        <w:t xml:space="preserve">arbitre était </w:t>
      </w:r>
      <w:r w:rsidRPr="00B536B2">
        <w:rPr>
          <w:rFonts w:cs="Times New Roman"/>
          <w:lang w:val="fr-CA"/>
        </w:rPr>
        <w:lastRenderedPageBreak/>
        <w:t>une issue raisonnable pouvant se justifier au regard des faits et du droit, et que ses motifs étaient justifiables, transparents et intelligibles.</w:t>
      </w:r>
    </w:p>
    <w:p w:rsidR="001B28CD" w:rsidRPr="00B536B2" w:rsidRDefault="001B28CD" w:rsidP="002B57A4">
      <w:pPr>
        <w:pStyle w:val="ParaNoNdepar-AltN"/>
        <w:widowControl w:val="0"/>
        <w:rPr>
          <w:rFonts w:cs="Times New Roman"/>
          <w:lang w:val="fr-CA"/>
        </w:rPr>
      </w:pPr>
      <w:r w:rsidRPr="00B536B2">
        <w:rPr>
          <w:rFonts w:cs="Times New Roman"/>
          <w:lang w:val="fr-CA"/>
        </w:rPr>
        <w:t>Pour les motifs qui suivent, je suis d</w:t>
      </w:r>
      <w:r>
        <w:rPr>
          <w:rFonts w:cs="Times New Roman"/>
          <w:lang w:val="fr-CA"/>
        </w:rPr>
        <w:t>’</w:t>
      </w:r>
      <w:r w:rsidRPr="00B536B2">
        <w:rPr>
          <w:rFonts w:cs="Times New Roman"/>
          <w:lang w:val="fr-CA"/>
        </w:rPr>
        <w:t>accord avec l</w:t>
      </w:r>
      <w:r>
        <w:rPr>
          <w:rFonts w:cs="Times New Roman"/>
          <w:lang w:val="fr-CA"/>
        </w:rPr>
        <w:t>’</w:t>
      </w:r>
      <w:r w:rsidRPr="00B536B2">
        <w:rPr>
          <w:rFonts w:cs="Times New Roman"/>
          <w:lang w:val="fr-CA"/>
        </w:rPr>
        <w:t>appelante pour dire que la décision de l</w:t>
      </w:r>
      <w:r>
        <w:rPr>
          <w:rFonts w:cs="Times New Roman"/>
          <w:lang w:val="fr-CA"/>
        </w:rPr>
        <w:t>’</w:t>
      </w:r>
      <w:r w:rsidRPr="00B536B2">
        <w:rPr>
          <w:rFonts w:cs="Times New Roman"/>
          <w:lang w:val="fr-CA"/>
        </w:rPr>
        <w:t>arbitre sur l</w:t>
      </w:r>
      <w:r>
        <w:rPr>
          <w:rFonts w:cs="Times New Roman"/>
          <w:lang w:val="fr-CA"/>
        </w:rPr>
        <w:t>’</w:t>
      </w:r>
      <w:r w:rsidRPr="00B536B2">
        <w:rPr>
          <w:rFonts w:cs="Times New Roman"/>
          <w:lang w:val="fr-CA"/>
        </w:rPr>
        <w:t xml:space="preserve">interprétation du </w:t>
      </w:r>
      <w:r>
        <w:rPr>
          <w:rFonts w:cs="Times New Roman"/>
          <w:lang w:val="fr-CA"/>
        </w:rPr>
        <w:t>par. </w:t>
      </w:r>
      <w:r w:rsidRPr="00B536B2">
        <w:rPr>
          <w:rFonts w:cs="Times New Roman"/>
          <w:lang w:val="fr-CA"/>
        </w:rPr>
        <w:t>5.02 de la convention collective était raisonnable. Lisant la décision de l</w:t>
      </w:r>
      <w:r>
        <w:rPr>
          <w:rFonts w:cs="Times New Roman"/>
          <w:lang w:val="fr-CA"/>
        </w:rPr>
        <w:t>’</w:t>
      </w:r>
      <w:r w:rsidRPr="00B536B2">
        <w:rPr>
          <w:rFonts w:cs="Times New Roman"/>
          <w:lang w:val="fr-CA"/>
        </w:rPr>
        <w:t>arbitre avec le degré de déférence qui s</w:t>
      </w:r>
      <w:r>
        <w:rPr>
          <w:rFonts w:cs="Times New Roman"/>
          <w:lang w:val="fr-CA"/>
        </w:rPr>
        <w:t>’</w:t>
      </w:r>
      <w:r w:rsidRPr="00B536B2">
        <w:rPr>
          <w:rFonts w:cs="Times New Roman"/>
          <w:lang w:val="fr-CA"/>
        </w:rPr>
        <w:t>impose lors du contrôle judiciaire, je conclus que son appréciation des divers intérêts en jeu et sa mise</w:t>
      </w:r>
      <w:r w:rsidR="00955EDA">
        <w:rPr>
          <w:rFonts w:cs="Times New Roman"/>
          <w:lang w:val="fr-CA"/>
        </w:rPr>
        <w:t xml:space="preserve"> en</w:t>
      </w:r>
      <w:r w:rsidRPr="00B536B2">
        <w:rPr>
          <w:rFonts w:cs="Times New Roman"/>
          <w:lang w:val="fr-CA"/>
        </w:rPr>
        <w:t xml:space="preserve"> balance finale de ceux</w:t>
      </w:r>
      <w:r>
        <w:rPr>
          <w:rFonts w:cs="Times New Roman"/>
          <w:lang w:val="fr-CA"/>
        </w:rPr>
        <w:noBreakHyphen/>
      </w:r>
      <w:r w:rsidRPr="00B536B2">
        <w:rPr>
          <w:rFonts w:cs="Times New Roman"/>
          <w:lang w:val="fr-CA"/>
        </w:rPr>
        <w:t xml:space="preserve">ci étaient raisonnables. </w:t>
      </w:r>
    </w:p>
    <w:p w:rsidR="001B28CD" w:rsidRPr="00B536B2" w:rsidRDefault="001B28CD" w:rsidP="00552013">
      <w:pPr>
        <w:pStyle w:val="Title4LevelTitre4Niveau"/>
        <w:rPr>
          <w:lang w:val="fr-CA"/>
        </w:rPr>
      </w:pPr>
      <w:r w:rsidRPr="00B536B2">
        <w:rPr>
          <w:lang w:val="fr-CA"/>
        </w:rPr>
        <w:t>L</w:t>
      </w:r>
      <w:r>
        <w:rPr>
          <w:lang w:val="fr-CA"/>
        </w:rPr>
        <w:t>’</w:t>
      </w:r>
      <w:r w:rsidRPr="00B536B2">
        <w:rPr>
          <w:lang w:val="fr-CA"/>
        </w:rPr>
        <w:t>issue était raisonnable</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arbitre devait s</w:t>
      </w:r>
      <w:r>
        <w:rPr>
          <w:rFonts w:cs="Times New Roman"/>
          <w:lang w:val="fr-CA"/>
        </w:rPr>
        <w:t>’</w:t>
      </w:r>
      <w:r w:rsidRPr="00B536B2">
        <w:rPr>
          <w:rFonts w:cs="Times New Roman"/>
          <w:lang w:val="fr-CA"/>
        </w:rPr>
        <w:t>appuyer sur son expertise en matière de relations de travail et se demander si, dans ce contexte particulier, l</w:t>
      </w:r>
      <w:r>
        <w:rPr>
          <w:rFonts w:cs="Times New Roman"/>
          <w:lang w:val="fr-CA"/>
        </w:rPr>
        <w:t>’</w:t>
      </w:r>
      <w:r w:rsidRPr="00B536B2">
        <w:rPr>
          <w:rFonts w:cs="Times New Roman"/>
          <w:lang w:val="fr-CA"/>
        </w:rPr>
        <w:t>équilibre établi par la directive était raisonnable (</w:t>
      </w:r>
      <w:r w:rsidRPr="00B536B2">
        <w:rPr>
          <w:rFonts w:cs="Times New Roman"/>
          <w:i/>
          <w:lang w:val="fr-CA"/>
        </w:rPr>
        <w:t>Irving</w:t>
      </w:r>
      <w:r w:rsidRPr="00B536B2">
        <w:rPr>
          <w:rFonts w:cs="Times New Roman"/>
          <w:lang w:val="fr-CA"/>
        </w:rPr>
        <w:t xml:space="preserve">, </w:t>
      </w:r>
      <w:r>
        <w:rPr>
          <w:rFonts w:cs="Times New Roman"/>
          <w:lang w:val="fr-CA"/>
        </w:rPr>
        <w:t>par. </w:t>
      </w:r>
      <w:r w:rsidRPr="00B536B2">
        <w:rPr>
          <w:rFonts w:cs="Times New Roman"/>
          <w:lang w:val="fr-CA"/>
        </w:rPr>
        <w:t xml:space="preserve">27). En outre, le </w:t>
      </w:r>
      <w:r>
        <w:rPr>
          <w:rFonts w:cs="Times New Roman"/>
          <w:lang w:val="fr-CA"/>
        </w:rPr>
        <w:t>par. </w:t>
      </w:r>
      <w:r w:rsidRPr="00B536B2">
        <w:rPr>
          <w:rFonts w:cs="Times New Roman"/>
          <w:lang w:val="fr-CA"/>
        </w:rPr>
        <w:t>5.02 l</w:t>
      </w:r>
      <w:r>
        <w:rPr>
          <w:rFonts w:cs="Times New Roman"/>
          <w:lang w:val="fr-CA"/>
        </w:rPr>
        <w:t>’</w:t>
      </w:r>
      <w:r w:rsidRPr="00B536B2">
        <w:rPr>
          <w:rFonts w:cs="Times New Roman"/>
          <w:lang w:val="fr-CA"/>
        </w:rPr>
        <w:t>obligeait à trancher la question de savoir si l</w:t>
      </w:r>
      <w:r>
        <w:rPr>
          <w:rFonts w:cs="Times New Roman"/>
          <w:lang w:val="fr-CA"/>
        </w:rPr>
        <w:t>’</w:t>
      </w:r>
      <w:r w:rsidRPr="00B536B2">
        <w:rPr>
          <w:rFonts w:cs="Times New Roman"/>
          <w:lang w:val="fr-CA"/>
        </w:rPr>
        <w:t>exercice des droits de la direction était équitable. Dans les deux cas, l</w:t>
      </w:r>
      <w:r>
        <w:rPr>
          <w:rFonts w:cs="Times New Roman"/>
          <w:lang w:val="fr-CA"/>
        </w:rPr>
        <w:t>’</w:t>
      </w:r>
      <w:r w:rsidRPr="00B536B2">
        <w:rPr>
          <w:rFonts w:cs="Times New Roman"/>
          <w:lang w:val="fr-CA"/>
        </w:rPr>
        <w:t>arbitre a conclu par la négative.</w:t>
      </w:r>
      <w:r w:rsidRPr="00B536B2" w:rsidDel="00A435C7">
        <w:rPr>
          <w:rFonts w:cs="Times New Roman"/>
          <w:lang w:val="fr-CA"/>
        </w:rPr>
        <w:t xml:space="preserve"> </w:t>
      </w:r>
    </w:p>
    <w:p w:rsidR="001B28CD" w:rsidRPr="00B536B2" w:rsidRDefault="001B28CD" w:rsidP="002B57A4">
      <w:pPr>
        <w:pStyle w:val="ParaNoNdepar-AltN"/>
        <w:widowControl w:val="0"/>
        <w:rPr>
          <w:rFonts w:cs="Times New Roman"/>
          <w:lang w:val="fr-CA"/>
        </w:rPr>
      </w:pPr>
      <w:r w:rsidRPr="00B536B2">
        <w:rPr>
          <w:rFonts w:cs="Times New Roman"/>
          <w:lang w:val="fr-CA"/>
        </w:rPr>
        <w:t>La conclusion de l</w:t>
      </w:r>
      <w:r>
        <w:rPr>
          <w:rFonts w:cs="Times New Roman"/>
          <w:lang w:val="fr-CA"/>
        </w:rPr>
        <w:t>’</w:t>
      </w:r>
      <w:r w:rsidRPr="00B536B2">
        <w:rPr>
          <w:rFonts w:cs="Times New Roman"/>
          <w:lang w:val="fr-CA"/>
        </w:rPr>
        <w:t>arbitre à cet égard appartient aux issues possibles acceptables (</w:t>
      </w:r>
      <w:proofErr w:type="spellStart"/>
      <w:r w:rsidRPr="00B536B2">
        <w:rPr>
          <w:rFonts w:cs="Times New Roman"/>
          <w:i/>
          <w:lang w:val="fr-CA"/>
        </w:rPr>
        <w:t>Dunsmuir</w:t>
      </w:r>
      <w:proofErr w:type="spellEnd"/>
      <w:r w:rsidRPr="00B536B2">
        <w:rPr>
          <w:rFonts w:cs="Times New Roman"/>
          <w:i/>
          <w:lang w:val="fr-CA"/>
        </w:rPr>
        <w:t xml:space="preserve"> c. Nouveau</w:t>
      </w:r>
      <w:r>
        <w:rPr>
          <w:rFonts w:cs="Times New Roman"/>
          <w:i/>
          <w:lang w:val="fr-CA"/>
        </w:rPr>
        <w:noBreakHyphen/>
      </w:r>
      <w:r w:rsidRPr="00B536B2">
        <w:rPr>
          <w:rFonts w:cs="Times New Roman"/>
          <w:i/>
          <w:lang w:val="fr-CA"/>
        </w:rPr>
        <w:t>Brunswick</w:t>
      </w:r>
      <w:r w:rsidRPr="00B536B2">
        <w:rPr>
          <w:rFonts w:cs="Times New Roman"/>
          <w:lang w:val="fr-CA"/>
        </w:rPr>
        <w:t xml:space="preserve">, 2008 CSC 9, [2008] 1 R.C.S. 190, </w:t>
      </w:r>
      <w:r>
        <w:rPr>
          <w:rFonts w:cs="Times New Roman"/>
          <w:lang w:val="fr-CA"/>
        </w:rPr>
        <w:t>par. </w:t>
      </w:r>
      <w:r w:rsidRPr="00B536B2">
        <w:rPr>
          <w:rFonts w:cs="Times New Roman"/>
          <w:lang w:val="fr-CA"/>
        </w:rPr>
        <w:t>47). Elle est étayée par un certain nombre de facteurs, sur lesquels l</w:t>
      </w:r>
      <w:r>
        <w:rPr>
          <w:rFonts w:cs="Times New Roman"/>
          <w:lang w:val="fr-CA"/>
        </w:rPr>
        <w:t>’</w:t>
      </w:r>
      <w:r w:rsidRPr="00B536B2">
        <w:rPr>
          <w:rFonts w:cs="Times New Roman"/>
          <w:lang w:val="fr-CA"/>
        </w:rPr>
        <w:t>arbitre s</w:t>
      </w:r>
      <w:r>
        <w:rPr>
          <w:rFonts w:cs="Times New Roman"/>
          <w:lang w:val="fr-CA"/>
        </w:rPr>
        <w:t>’</w:t>
      </w:r>
      <w:r w:rsidRPr="00B536B2">
        <w:rPr>
          <w:rFonts w:cs="Times New Roman"/>
          <w:lang w:val="fr-CA"/>
        </w:rPr>
        <w:t>est fondé à bon droit.</w:t>
      </w:r>
    </w:p>
    <w:p w:rsidR="001B28CD" w:rsidRPr="00B536B2" w:rsidRDefault="001B28CD" w:rsidP="002B57A4">
      <w:pPr>
        <w:pStyle w:val="ParaNoNdepar-AltN"/>
        <w:widowControl w:val="0"/>
        <w:rPr>
          <w:rFonts w:cs="Times New Roman"/>
          <w:lang w:val="fr-CA"/>
        </w:rPr>
      </w:pPr>
      <w:r w:rsidRPr="00B536B2">
        <w:rPr>
          <w:rFonts w:cs="Times New Roman"/>
          <w:lang w:val="fr-CA"/>
        </w:rPr>
        <w:t>Premièrement, l</w:t>
      </w:r>
      <w:r>
        <w:rPr>
          <w:rFonts w:cs="Times New Roman"/>
          <w:lang w:val="fr-CA"/>
        </w:rPr>
        <w:t>’</w:t>
      </w:r>
      <w:r w:rsidRPr="00B536B2">
        <w:rPr>
          <w:rFonts w:cs="Times New Roman"/>
          <w:lang w:val="fr-CA"/>
        </w:rPr>
        <w:t>arbitre a dûment tenu compte du contexte dans lequel s</w:t>
      </w:r>
      <w:r>
        <w:rPr>
          <w:rFonts w:cs="Times New Roman"/>
          <w:lang w:val="fr-CA"/>
        </w:rPr>
        <w:t>’</w:t>
      </w:r>
      <w:r w:rsidRPr="00B536B2">
        <w:rPr>
          <w:rFonts w:cs="Times New Roman"/>
          <w:lang w:val="fr-CA"/>
        </w:rPr>
        <w:t xml:space="preserve">inscrivait la convention collective. Il a souligné que des clauses de disponibilité sont </w:t>
      </w:r>
      <w:r w:rsidRPr="00B536B2">
        <w:rPr>
          <w:rFonts w:cs="Times New Roman"/>
          <w:lang w:val="fr-CA"/>
        </w:rPr>
        <w:lastRenderedPageBreak/>
        <w:t>généralement négociées dans les conventions collectives intéressant les fonctionnaires fédéraux, où les employés acceptent de se rendre disponibles en échange d</w:t>
      </w:r>
      <w:r>
        <w:rPr>
          <w:rFonts w:cs="Times New Roman"/>
          <w:lang w:val="fr-CA"/>
        </w:rPr>
        <w:t>’</w:t>
      </w:r>
      <w:r w:rsidRPr="00B536B2">
        <w:rPr>
          <w:rFonts w:cs="Times New Roman"/>
          <w:lang w:val="fr-CA"/>
        </w:rPr>
        <w:t>une certaine forme de rémunération. De plus, comme l</w:t>
      </w:r>
      <w:r>
        <w:rPr>
          <w:rFonts w:cs="Times New Roman"/>
          <w:lang w:val="fr-CA"/>
        </w:rPr>
        <w:t>’</w:t>
      </w:r>
      <w:r w:rsidRPr="00B536B2">
        <w:rPr>
          <w:rFonts w:cs="Times New Roman"/>
          <w:lang w:val="fr-CA"/>
        </w:rPr>
        <w:t>a noté l</w:t>
      </w:r>
      <w:r>
        <w:rPr>
          <w:rFonts w:cs="Times New Roman"/>
          <w:lang w:val="fr-CA"/>
        </w:rPr>
        <w:t>’</w:t>
      </w:r>
      <w:r w:rsidRPr="00B536B2">
        <w:rPr>
          <w:rFonts w:cs="Times New Roman"/>
          <w:lang w:val="fr-CA"/>
        </w:rPr>
        <w:t>arbitre, les descriptions de tâches et les contrats d</w:t>
      </w:r>
      <w:r>
        <w:rPr>
          <w:rFonts w:cs="Times New Roman"/>
          <w:lang w:val="fr-CA"/>
        </w:rPr>
        <w:t>’</w:t>
      </w:r>
      <w:r w:rsidRPr="00B536B2">
        <w:rPr>
          <w:rFonts w:cs="Times New Roman"/>
          <w:lang w:val="fr-CA"/>
        </w:rPr>
        <w:t>emploi fournis par les parties ne mentionnaient pas d</w:t>
      </w:r>
      <w:r>
        <w:rPr>
          <w:rFonts w:cs="Times New Roman"/>
          <w:lang w:val="fr-CA"/>
        </w:rPr>
        <w:t>’</w:t>
      </w:r>
      <w:r w:rsidRPr="00B536B2">
        <w:rPr>
          <w:rFonts w:cs="Times New Roman"/>
          <w:lang w:val="fr-CA"/>
        </w:rPr>
        <w:t>obligations de disponibilité. Dans ce contexte, il n</w:t>
      </w:r>
      <w:r>
        <w:rPr>
          <w:rFonts w:cs="Times New Roman"/>
          <w:lang w:val="fr-CA"/>
        </w:rPr>
        <w:t>’</w:t>
      </w:r>
      <w:r w:rsidRPr="00B536B2">
        <w:rPr>
          <w:rFonts w:cs="Times New Roman"/>
          <w:lang w:val="fr-CA"/>
        </w:rPr>
        <w:t>était pas déraisonnable que l</w:t>
      </w:r>
      <w:r>
        <w:rPr>
          <w:rFonts w:cs="Times New Roman"/>
          <w:lang w:val="fr-CA"/>
        </w:rPr>
        <w:t>’</w:t>
      </w:r>
      <w:r w:rsidRPr="00B536B2">
        <w:rPr>
          <w:rFonts w:cs="Times New Roman"/>
          <w:lang w:val="fr-CA"/>
        </w:rPr>
        <w:t xml:space="preserve">arbitre se demande si des quarts de garde obligatoires étaient essentiels. </w:t>
      </w:r>
    </w:p>
    <w:p w:rsidR="001B28CD" w:rsidRPr="00B536B2" w:rsidRDefault="001B28CD" w:rsidP="002B57A4">
      <w:pPr>
        <w:pStyle w:val="ParaNoNdepar-AltN"/>
        <w:widowControl w:val="0"/>
        <w:rPr>
          <w:rFonts w:cs="Times New Roman"/>
          <w:lang w:val="fr-CA"/>
        </w:rPr>
      </w:pPr>
      <w:r w:rsidRPr="00B536B2">
        <w:rPr>
          <w:rFonts w:cs="Times New Roman"/>
          <w:lang w:val="fr-CA"/>
        </w:rPr>
        <w:t>Deuxièmement, l</w:t>
      </w:r>
      <w:r>
        <w:rPr>
          <w:rFonts w:cs="Times New Roman"/>
          <w:lang w:val="fr-CA"/>
        </w:rPr>
        <w:t>’</w:t>
      </w:r>
      <w:r w:rsidRPr="00B536B2">
        <w:rPr>
          <w:rFonts w:cs="Times New Roman"/>
          <w:lang w:val="fr-CA"/>
        </w:rPr>
        <w:t>arbitre a souligné la distinction entre les politiques qui ont une incidence sur les employés pendant les heures normales de travail et celles qui prolongent unilatéralement la période pendant laquelle les employés sont sous le contrôle de l</w:t>
      </w:r>
      <w:r>
        <w:rPr>
          <w:rFonts w:cs="Times New Roman"/>
          <w:lang w:val="fr-CA"/>
        </w:rPr>
        <w:t>’</w:t>
      </w:r>
      <w:r w:rsidRPr="00B536B2">
        <w:rPr>
          <w:rFonts w:cs="Times New Roman"/>
          <w:lang w:val="fr-CA"/>
        </w:rPr>
        <w:t>employeur. Même si la convention reconnaissait que les juristes allaient peut</w:t>
      </w:r>
      <w:r>
        <w:rPr>
          <w:rFonts w:cs="Times New Roman"/>
          <w:lang w:val="fr-CA"/>
        </w:rPr>
        <w:noBreakHyphen/>
      </w:r>
      <w:r w:rsidRPr="00B536B2">
        <w:rPr>
          <w:rFonts w:cs="Times New Roman"/>
          <w:lang w:val="fr-CA"/>
        </w:rPr>
        <w:t>être devoir faire des heures supplémentaires (pour lesquelles ils seraient rémunérés), la directive avait une incidence sur la manière dont ceux</w:t>
      </w:r>
      <w:r>
        <w:rPr>
          <w:rFonts w:cs="Times New Roman"/>
          <w:lang w:val="fr-CA"/>
        </w:rPr>
        <w:noBreakHyphen/>
      </w:r>
      <w:r w:rsidRPr="00B536B2">
        <w:rPr>
          <w:rFonts w:cs="Times New Roman"/>
          <w:lang w:val="fr-CA"/>
        </w:rPr>
        <w:t>ci vivaient leur vie en dehors du travail d</w:t>
      </w:r>
      <w:r>
        <w:rPr>
          <w:rFonts w:cs="Times New Roman"/>
          <w:lang w:val="fr-CA"/>
        </w:rPr>
        <w:t>’</w:t>
      </w:r>
      <w:r w:rsidRPr="00B536B2">
        <w:rPr>
          <w:rFonts w:cs="Times New Roman"/>
          <w:lang w:val="fr-CA"/>
        </w:rPr>
        <w:t>une façon qui n</w:t>
      </w:r>
      <w:r>
        <w:rPr>
          <w:rFonts w:cs="Times New Roman"/>
          <w:lang w:val="fr-CA"/>
        </w:rPr>
        <w:t>’</w:t>
      </w:r>
      <w:r w:rsidRPr="00B536B2">
        <w:rPr>
          <w:rFonts w:cs="Times New Roman"/>
          <w:lang w:val="fr-CA"/>
        </w:rPr>
        <w:t>était prévue ni dans la convention collective ni dans leur contrat d</w:t>
      </w:r>
      <w:r>
        <w:rPr>
          <w:rFonts w:cs="Times New Roman"/>
          <w:lang w:val="fr-CA"/>
        </w:rPr>
        <w:t>’</w:t>
      </w:r>
      <w:r w:rsidRPr="00B536B2">
        <w:rPr>
          <w:rFonts w:cs="Times New Roman"/>
          <w:lang w:val="fr-CA"/>
        </w:rPr>
        <w:t>emploi. L</w:t>
      </w:r>
      <w:r>
        <w:rPr>
          <w:rFonts w:cs="Times New Roman"/>
          <w:lang w:val="fr-CA"/>
        </w:rPr>
        <w:t>’</w:t>
      </w:r>
      <w:r w:rsidRPr="00B536B2">
        <w:rPr>
          <w:rFonts w:cs="Times New Roman"/>
          <w:lang w:val="fr-CA"/>
        </w:rPr>
        <w:t>arbitre a conclu que cela était inéquitable, affirmant qu</w:t>
      </w:r>
      <w:r>
        <w:rPr>
          <w:rFonts w:cs="Times New Roman"/>
          <w:lang w:val="fr-CA"/>
        </w:rPr>
        <w:t>’</w:t>
      </w:r>
      <w:r w:rsidRPr="00B536B2">
        <w:rPr>
          <w:rFonts w:cs="Times New Roman"/>
          <w:lang w:val="fr-CA"/>
        </w:rPr>
        <w:t>« [i]l serait plutôt équitable qu</w:t>
      </w:r>
      <w:r w:rsidR="00552013">
        <w:rPr>
          <w:rFonts w:cs="Times New Roman"/>
          <w:lang w:val="fr-CA"/>
        </w:rPr>
        <w:t>’ils</w:t>
      </w:r>
      <w:r w:rsidRPr="00B536B2">
        <w:rPr>
          <w:rFonts w:cs="Times New Roman"/>
          <w:lang w:val="fr-CA"/>
        </w:rPr>
        <w:t xml:space="preserve"> </w:t>
      </w:r>
      <w:r w:rsidR="00552013">
        <w:rPr>
          <w:rFonts w:cs="Times New Roman"/>
          <w:lang w:val="fr-CA"/>
        </w:rPr>
        <w:t>[</w:t>
      </w:r>
      <w:r w:rsidRPr="00B536B2">
        <w:rPr>
          <w:rFonts w:cs="Times New Roman"/>
          <w:lang w:val="fr-CA"/>
        </w:rPr>
        <w:t>les juristes] soient indemnisés pour les moments où l</w:t>
      </w:r>
      <w:r>
        <w:rPr>
          <w:rFonts w:cs="Times New Roman"/>
          <w:lang w:val="fr-CA"/>
        </w:rPr>
        <w:t>’</w:t>
      </w:r>
      <w:r w:rsidRPr="00B536B2">
        <w:rPr>
          <w:rFonts w:cs="Times New Roman"/>
          <w:lang w:val="fr-CA"/>
        </w:rPr>
        <w:t>employeur continue d</w:t>
      </w:r>
      <w:r>
        <w:rPr>
          <w:rFonts w:cs="Times New Roman"/>
          <w:lang w:val="fr-CA"/>
        </w:rPr>
        <w:t>’</w:t>
      </w:r>
      <w:r w:rsidRPr="00B536B2">
        <w:rPr>
          <w:rFonts w:cs="Times New Roman"/>
          <w:lang w:val="fr-CA"/>
        </w:rPr>
        <w:t>exercer un certain contrôle sur leur vie » (</w:t>
      </w:r>
      <w:r>
        <w:rPr>
          <w:rFonts w:cs="Times New Roman"/>
          <w:lang w:val="fr-CA"/>
        </w:rPr>
        <w:t>par. </w:t>
      </w:r>
      <w:r w:rsidRPr="00B536B2">
        <w:rPr>
          <w:rFonts w:cs="Times New Roman"/>
          <w:lang w:val="fr-CA"/>
        </w:rPr>
        <w:t>45</w:t>
      </w:r>
      <w:r w:rsidR="00955EDA">
        <w:rPr>
          <w:rFonts w:cs="Times New Roman"/>
          <w:lang w:val="fr-CA"/>
        </w:rPr>
        <w:t xml:space="preserve"> (</w:t>
      </w:r>
      <w:proofErr w:type="spellStart"/>
      <w:r w:rsidR="00955EDA">
        <w:rPr>
          <w:rFonts w:cs="Times New Roman"/>
          <w:lang w:val="fr-CA"/>
        </w:rPr>
        <w:t>CanLII</w:t>
      </w:r>
      <w:proofErr w:type="spellEnd"/>
      <w:r w:rsidR="00955EDA">
        <w:rPr>
          <w:rFonts w:cs="Times New Roman"/>
          <w:lang w:val="fr-CA"/>
        </w:rPr>
        <w:t>)</w:t>
      </w:r>
      <w:r w:rsidRPr="00B536B2">
        <w:rPr>
          <w:rFonts w:cs="Times New Roman"/>
          <w:lang w:val="fr-CA"/>
        </w:rPr>
        <w:t>).</w:t>
      </w:r>
    </w:p>
    <w:p w:rsidR="001B28CD" w:rsidRPr="00B536B2" w:rsidRDefault="001B28CD" w:rsidP="002B57A4">
      <w:pPr>
        <w:pStyle w:val="ParaNoNdepar-AltN"/>
        <w:widowControl w:val="0"/>
        <w:rPr>
          <w:rFonts w:cs="Times New Roman"/>
          <w:lang w:val="fr-CA"/>
        </w:rPr>
      </w:pPr>
      <w:r w:rsidRPr="00B536B2">
        <w:rPr>
          <w:rFonts w:cs="Times New Roman"/>
          <w:lang w:val="fr-CA"/>
        </w:rPr>
        <w:t>La conclusion de l</w:t>
      </w:r>
      <w:r>
        <w:rPr>
          <w:rFonts w:cs="Times New Roman"/>
          <w:lang w:val="fr-CA"/>
        </w:rPr>
        <w:t>’</w:t>
      </w:r>
      <w:r w:rsidRPr="00B536B2">
        <w:rPr>
          <w:rFonts w:cs="Times New Roman"/>
          <w:lang w:val="fr-CA"/>
        </w:rPr>
        <w:t>arbitre selon laquelle la directive constituait un exercice inéquitable des droits de la direction est étayée par les circonstances entourant le changement de politique. Les juristes avaient énoncé la nature donnant</w:t>
      </w:r>
      <w:r>
        <w:rPr>
          <w:rFonts w:cs="Times New Roman"/>
          <w:lang w:val="fr-CA"/>
        </w:rPr>
        <w:noBreakHyphen/>
      </w:r>
      <w:r w:rsidRPr="00B536B2">
        <w:rPr>
          <w:rFonts w:cs="Times New Roman"/>
          <w:lang w:val="fr-CA"/>
        </w:rPr>
        <w:t>donnant de leur relation avec leur employeur dans la convention collective. Cette dernière prévoyait que les juristes consentaient à travailler un certain nombre d</w:t>
      </w:r>
      <w:r>
        <w:rPr>
          <w:rFonts w:cs="Times New Roman"/>
          <w:lang w:val="fr-CA"/>
        </w:rPr>
        <w:t>’</w:t>
      </w:r>
      <w:r w:rsidRPr="00B536B2">
        <w:rPr>
          <w:rFonts w:cs="Times New Roman"/>
          <w:lang w:val="fr-CA"/>
        </w:rPr>
        <w:t xml:space="preserve">heures moyennant une </w:t>
      </w:r>
      <w:r w:rsidRPr="00B536B2">
        <w:rPr>
          <w:rFonts w:cs="Times New Roman"/>
          <w:lang w:val="fr-CA"/>
        </w:rPr>
        <w:lastRenderedPageBreak/>
        <w:t>rémunération déterminée. Elle reconnaissait que ceux</w:t>
      </w:r>
      <w:r>
        <w:rPr>
          <w:rFonts w:cs="Times New Roman"/>
          <w:lang w:val="fr-CA"/>
        </w:rPr>
        <w:noBreakHyphen/>
      </w:r>
      <w:r w:rsidRPr="00B536B2">
        <w:rPr>
          <w:rFonts w:cs="Times New Roman"/>
          <w:lang w:val="fr-CA"/>
        </w:rPr>
        <w:t>ci allaient peut</w:t>
      </w:r>
      <w:r>
        <w:rPr>
          <w:rFonts w:cs="Times New Roman"/>
          <w:lang w:val="fr-CA"/>
        </w:rPr>
        <w:noBreakHyphen/>
      </w:r>
      <w:r w:rsidRPr="00B536B2">
        <w:rPr>
          <w:rFonts w:cs="Times New Roman"/>
          <w:lang w:val="fr-CA"/>
        </w:rPr>
        <w:t>être devoir faire des heures supplémentaires pour honorer leurs obligations professionnelles et faire en sorte que le procureur général s</w:t>
      </w:r>
      <w:r>
        <w:rPr>
          <w:rFonts w:cs="Times New Roman"/>
          <w:lang w:val="fr-CA"/>
        </w:rPr>
        <w:t>’</w:t>
      </w:r>
      <w:r w:rsidRPr="00B536B2">
        <w:rPr>
          <w:rFonts w:cs="Times New Roman"/>
          <w:lang w:val="fr-CA"/>
        </w:rPr>
        <w:t>acquitte de ses responsabilités. Pourtant, peu de temps après que les dispositions pertinentes eurent été finalisées, l</w:t>
      </w:r>
      <w:r>
        <w:rPr>
          <w:rFonts w:cs="Times New Roman"/>
          <w:lang w:val="fr-CA"/>
        </w:rPr>
        <w:t>’employeur</w:t>
      </w:r>
      <w:r w:rsidRPr="00B536B2">
        <w:rPr>
          <w:rFonts w:cs="Times New Roman"/>
          <w:lang w:val="fr-CA"/>
        </w:rPr>
        <w:t xml:space="preserve"> a unilatéralement accru la période pendant laquelle les juristes devraient demeurer sous </w:t>
      </w:r>
      <w:r>
        <w:rPr>
          <w:rFonts w:cs="Times New Roman"/>
          <w:lang w:val="fr-CA"/>
        </w:rPr>
        <w:t xml:space="preserve">son </w:t>
      </w:r>
      <w:r w:rsidRPr="00B536B2">
        <w:rPr>
          <w:rFonts w:cs="Times New Roman"/>
          <w:lang w:val="fr-CA"/>
        </w:rPr>
        <w:t>contrôle, et ce, sans rémunération additionnelle. Bien que l</w:t>
      </w:r>
      <w:r>
        <w:rPr>
          <w:rFonts w:cs="Times New Roman"/>
          <w:lang w:val="fr-CA"/>
        </w:rPr>
        <w:t>’</w:t>
      </w:r>
      <w:r w:rsidRPr="00B536B2">
        <w:rPr>
          <w:rFonts w:cs="Times New Roman"/>
          <w:lang w:val="fr-CA"/>
        </w:rPr>
        <w:t>obligation de disponibilité ne soit pas un travail exigeant ou pénible, il s</w:t>
      </w:r>
      <w:r>
        <w:rPr>
          <w:rFonts w:cs="Times New Roman"/>
          <w:lang w:val="fr-CA"/>
        </w:rPr>
        <w:t>’</w:t>
      </w:r>
      <w:r w:rsidRPr="00B536B2">
        <w:rPr>
          <w:rFonts w:cs="Times New Roman"/>
          <w:lang w:val="fr-CA"/>
        </w:rPr>
        <w:t>agit d</w:t>
      </w:r>
      <w:r>
        <w:rPr>
          <w:rFonts w:cs="Times New Roman"/>
          <w:lang w:val="fr-CA"/>
        </w:rPr>
        <w:t>’</w:t>
      </w:r>
      <w:r w:rsidRPr="00B536B2">
        <w:rPr>
          <w:rFonts w:cs="Times New Roman"/>
          <w:lang w:val="fr-CA"/>
        </w:rPr>
        <w:t>une période pendant laquelle l</w:t>
      </w:r>
      <w:r>
        <w:rPr>
          <w:rFonts w:cs="Times New Roman"/>
          <w:lang w:val="fr-CA"/>
        </w:rPr>
        <w:t>’employeur</w:t>
      </w:r>
      <w:r w:rsidRPr="00B536B2">
        <w:rPr>
          <w:rFonts w:cs="Times New Roman"/>
          <w:lang w:val="fr-CA"/>
        </w:rPr>
        <w:t xml:space="preserve"> exerce un certain degré de contrôle sur les mouvements et les activités des juristes. Cet exercice du contrôle profite à l</w:t>
      </w:r>
      <w:r>
        <w:rPr>
          <w:rFonts w:cs="Times New Roman"/>
          <w:lang w:val="fr-CA"/>
        </w:rPr>
        <w:t>’employeur</w:t>
      </w:r>
      <w:r w:rsidRPr="00B536B2">
        <w:rPr>
          <w:rFonts w:cs="Times New Roman"/>
          <w:lang w:val="fr-CA"/>
        </w:rPr>
        <w:t>, qui, autrement, aurait peut</w:t>
      </w:r>
      <w:r>
        <w:rPr>
          <w:rFonts w:cs="Times New Roman"/>
          <w:lang w:val="fr-CA"/>
        </w:rPr>
        <w:noBreakHyphen/>
      </w:r>
      <w:r w:rsidRPr="00B536B2">
        <w:rPr>
          <w:rFonts w:cs="Times New Roman"/>
          <w:lang w:val="fr-CA"/>
        </w:rPr>
        <w:t xml:space="preserve">être à </w:t>
      </w:r>
      <w:r>
        <w:rPr>
          <w:rFonts w:cs="Times New Roman"/>
          <w:lang w:val="fr-CA"/>
        </w:rPr>
        <w:t>engag</w:t>
      </w:r>
      <w:r w:rsidRPr="00B536B2">
        <w:rPr>
          <w:rFonts w:cs="Times New Roman"/>
          <w:lang w:val="fr-CA"/>
        </w:rPr>
        <w:t xml:space="preserve">er des juristes pour travailler des quarts de soir et de fin de semaine afin de pouvoir répondre en temps opportun aux demandes urgentes. </w:t>
      </w:r>
    </w:p>
    <w:p w:rsidR="001B28CD" w:rsidRPr="00B536B2" w:rsidRDefault="001B28CD" w:rsidP="002B57A4">
      <w:pPr>
        <w:pStyle w:val="ParaNoNdepar-AltN"/>
        <w:widowControl w:val="0"/>
        <w:tabs>
          <w:tab w:val="left" w:pos="2520"/>
        </w:tabs>
        <w:rPr>
          <w:rFonts w:cs="Times New Roman"/>
          <w:lang w:val="fr-CA"/>
        </w:rPr>
      </w:pPr>
      <w:r w:rsidRPr="00B536B2">
        <w:rPr>
          <w:rFonts w:cs="Times New Roman"/>
          <w:lang w:val="fr-CA"/>
        </w:rPr>
        <w:t>De plus, cette conclusion est largement tributaire des faits. Comme l</w:t>
      </w:r>
      <w:r>
        <w:rPr>
          <w:rFonts w:cs="Times New Roman"/>
          <w:lang w:val="fr-CA"/>
        </w:rPr>
        <w:t>’</w:t>
      </w:r>
      <w:r w:rsidRPr="00B536B2">
        <w:rPr>
          <w:rFonts w:cs="Times New Roman"/>
          <w:lang w:val="fr-CA"/>
        </w:rPr>
        <w:t>a reconnu la Cour d</w:t>
      </w:r>
      <w:r>
        <w:rPr>
          <w:rFonts w:cs="Times New Roman"/>
          <w:lang w:val="fr-CA"/>
        </w:rPr>
        <w:t>’</w:t>
      </w:r>
      <w:r w:rsidRPr="00B536B2">
        <w:rPr>
          <w:rFonts w:cs="Times New Roman"/>
          <w:lang w:val="fr-CA"/>
        </w:rPr>
        <w:t>appel fédérale, aucun consensus clair ne se dégage de la jurisprudence arbitrale sur la question de savoir si l</w:t>
      </w:r>
      <w:r>
        <w:rPr>
          <w:rFonts w:cs="Times New Roman"/>
          <w:lang w:val="fr-CA"/>
        </w:rPr>
        <w:t>’</w:t>
      </w:r>
      <w:r w:rsidRPr="00B536B2">
        <w:rPr>
          <w:rFonts w:cs="Times New Roman"/>
          <w:lang w:val="fr-CA"/>
        </w:rPr>
        <w:t>imposition d</w:t>
      </w:r>
      <w:r>
        <w:rPr>
          <w:rFonts w:cs="Times New Roman"/>
          <w:lang w:val="fr-CA"/>
        </w:rPr>
        <w:t>’</w:t>
      </w:r>
      <w:r w:rsidRPr="00B536B2">
        <w:rPr>
          <w:rFonts w:cs="Times New Roman"/>
          <w:lang w:val="fr-CA"/>
        </w:rPr>
        <w:t xml:space="preserve">une obligation de disponibilité non rémunérée constitue un exercice unilatéral équitable et raisonnable des droits de la direction. Les décisions produites par les parties indiquent plutôt que la réponse à cette question dépend du contexte, et notamment des dispositions de la convention collective pertinente. Par exemple, dans </w:t>
      </w:r>
      <w:r w:rsidRPr="00B536B2">
        <w:rPr>
          <w:rFonts w:cs="Times New Roman"/>
          <w:i/>
          <w:lang w:val="fr-CA"/>
        </w:rPr>
        <w:t>United Nurses of Alberta</w:t>
      </w:r>
      <w:r w:rsidRPr="00B536B2">
        <w:rPr>
          <w:rFonts w:cs="Times New Roman"/>
          <w:lang w:val="fr-CA"/>
        </w:rPr>
        <w:t>, l</w:t>
      </w:r>
      <w:r>
        <w:rPr>
          <w:rFonts w:cs="Times New Roman"/>
          <w:lang w:val="fr-CA"/>
        </w:rPr>
        <w:t>’</w:t>
      </w:r>
      <w:r w:rsidRPr="00B536B2">
        <w:rPr>
          <w:rFonts w:cs="Times New Roman"/>
          <w:lang w:val="fr-CA"/>
        </w:rPr>
        <w:t>arbitre a conclu qu</w:t>
      </w:r>
      <w:r>
        <w:rPr>
          <w:rFonts w:cs="Times New Roman"/>
          <w:lang w:val="fr-CA"/>
        </w:rPr>
        <w:t>’</w:t>
      </w:r>
      <w:r w:rsidRPr="00B536B2">
        <w:rPr>
          <w:rFonts w:cs="Times New Roman"/>
          <w:lang w:val="fr-CA"/>
        </w:rPr>
        <w:t>il ne faisait [</w:t>
      </w:r>
      <w:r w:rsidRPr="00B536B2">
        <w:rPr>
          <w:rFonts w:cs="Times New Roman"/>
          <w:smallCaps/>
          <w:lang w:val="fr-CA"/>
        </w:rPr>
        <w:t>traduction</w:t>
      </w:r>
      <w:r w:rsidRPr="00B536B2">
        <w:rPr>
          <w:rFonts w:cs="Times New Roman"/>
          <w:lang w:val="fr-CA"/>
        </w:rPr>
        <w:t>] « aucun doute » que les périodes de garde étaient du « travail », même s</w:t>
      </w:r>
      <w:r>
        <w:rPr>
          <w:rFonts w:cs="Times New Roman"/>
          <w:lang w:val="fr-CA"/>
        </w:rPr>
        <w:t>’</w:t>
      </w:r>
      <w:r w:rsidRPr="00B536B2">
        <w:rPr>
          <w:rFonts w:cs="Times New Roman"/>
          <w:lang w:val="fr-CA"/>
        </w:rPr>
        <w:t>il ne s</w:t>
      </w:r>
      <w:r>
        <w:rPr>
          <w:rFonts w:cs="Times New Roman"/>
          <w:lang w:val="fr-CA"/>
        </w:rPr>
        <w:t>’</w:t>
      </w:r>
      <w:r w:rsidRPr="00B536B2">
        <w:rPr>
          <w:rFonts w:cs="Times New Roman"/>
          <w:lang w:val="fr-CA"/>
        </w:rPr>
        <w:t>agissait pas d</w:t>
      </w:r>
      <w:r>
        <w:rPr>
          <w:rFonts w:cs="Times New Roman"/>
          <w:lang w:val="fr-CA"/>
        </w:rPr>
        <w:t>’</w:t>
      </w:r>
      <w:r w:rsidRPr="00B536B2">
        <w:rPr>
          <w:rFonts w:cs="Times New Roman"/>
          <w:lang w:val="fr-CA"/>
        </w:rPr>
        <w:t>heures supplémentaires au sens de la convention collective pertinente (</w:t>
      </w:r>
      <w:r>
        <w:rPr>
          <w:rFonts w:cs="Times New Roman"/>
          <w:lang w:val="fr-CA"/>
        </w:rPr>
        <w:t>p. </w:t>
      </w:r>
      <w:r w:rsidRPr="00B536B2">
        <w:rPr>
          <w:rFonts w:cs="Times New Roman"/>
          <w:lang w:val="fr-CA"/>
        </w:rPr>
        <w:t xml:space="preserve">15). Dans </w:t>
      </w:r>
      <w:r w:rsidRPr="00B536B2">
        <w:rPr>
          <w:rFonts w:cs="Times New Roman"/>
          <w:i/>
          <w:lang w:val="fr-CA"/>
        </w:rPr>
        <w:t xml:space="preserve">Maple </w:t>
      </w:r>
      <w:proofErr w:type="spellStart"/>
      <w:r w:rsidRPr="00B536B2">
        <w:rPr>
          <w:rFonts w:cs="Times New Roman"/>
          <w:i/>
          <w:lang w:val="fr-CA"/>
        </w:rPr>
        <w:t>Leaf</w:t>
      </w:r>
      <w:proofErr w:type="spellEnd"/>
      <w:r w:rsidRPr="00B536B2">
        <w:rPr>
          <w:rFonts w:cs="Times New Roman"/>
          <w:i/>
          <w:lang w:val="fr-CA"/>
        </w:rPr>
        <w:t xml:space="preserve"> Mills Inc. and U.F.C.W., Loc. 401, </w:t>
      </w:r>
      <w:proofErr w:type="spellStart"/>
      <w:r w:rsidRPr="00B536B2">
        <w:rPr>
          <w:rFonts w:cs="Times New Roman"/>
          <w:i/>
          <w:lang w:val="fr-CA"/>
        </w:rPr>
        <w:t>Re</w:t>
      </w:r>
      <w:proofErr w:type="spellEnd"/>
      <w:r w:rsidRPr="00B536B2">
        <w:rPr>
          <w:rFonts w:cs="Times New Roman"/>
          <w:lang w:val="fr-CA"/>
        </w:rPr>
        <w:t xml:space="preserve"> (1995), 50 L.A.C. (4th) 246 (</w:t>
      </w:r>
      <w:proofErr w:type="spellStart"/>
      <w:r w:rsidRPr="00B536B2">
        <w:rPr>
          <w:rFonts w:cs="Times New Roman"/>
          <w:lang w:val="fr-CA"/>
        </w:rPr>
        <w:t>Alb</w:t>
      </w:r>
      <w:proofErr w:type="spellEnd"/>
      <w:r w:rsidRPr="00B536B2">
        <w:rPr>
          <w:rFonts w:cs="Times New Roman"/>
          <w:lang w:val="fr-CA"/>
        </w:rPr>
        <w:t xml:space="preserve">.), </w:t>
      </w:r>
      <w:r>
        <w:rPr>
          <w:rFonts w:cs="Times New Roman"/>
          <w:lang w:val="fr-CA"/>
        </w:rPr>
        <w:t>p. </w:t>
      </w:r>
      <w:r w:rsidRPr="00B536B2">
        <w:rPr>
          <w:rFonts w:cs="Times New Roman"/>
          <w:lang w:val="fr-CA"/>
        </w:rPr>
        <w:t>254, l</w:t>
      </w:r>
      <w:r>
        <w:rPr>
          <w:rFonts w:cs="Times New Roman"/>
          <w:lang w:val="fr-CA"/>
        </w:rPr>
        <w:t>’</w:t>
      </w:r>
      <w:r w:rsidRPr="00B536B2">
        <w:rPr>
          <w:rFonts w:cs="Times New Roman"/>
          <w:lang w:val="fr-CA"/>
        </w:rPr>
        <w:t xml:space="preserve">arbitre a conclu que les </w:t>
      </w:r>
      <w:r w:rsidRPr="00B536B2">
        <w:rPr>
          <w:rFonts w:cs="Times New Roman"/>
          <w:lang w:val="fr-CA"/>
        </w:rPr>
        <w:lastRenderedPageBreak/>
        <w:t>périodes de garde non rémunérées ne constituaient pas du [</w:t>
      </w:r>
      <w:r w:rsidRPr="00B536B2">
        <w:rPr>
          <w:rFonts w:cs="Times New Roman"/>
          <w:smallCaps/>
          <w:lang w:val="fr-CA"/>
        </w:rPr>
        <w:t>traduction</w:t>
      </w:r>
      <w:r w:rsidRPr="00B536B2">
        <w:rPr>
          <w:rFonts w:cs="Times New Roman"/>
          <w:lang w:val="fr-CA"/>
        </w:rPr>
        <w:t>] « temps de travail » au sens de la convention collective pertinente. Dans une autre décision arbitrale, un arbitre a conclu qu</w:t>
      </w:r>
      <w:r>
        <w:rPr>
          <w:rFonts w:cs="Times New Roman"/>
          <w:lang w:val="fr-CA"/>
        </w:rPr>
        <w:t>’</w:t>
      </w:r>
      <w:r w:rsidRPr="00B536B2">
        <w:rPr>
          <w:rFonts w:cs="Times New Roman"/>
          <w:lang w:val="fr-CA"/>
        </w:rPr>
        <w:t>une directive imposée par la direction qui obligeait les employés à faire des quarts de garde et à se trouver à une heure de leur lieu de travail constituait un exercice raisonnable des droits de la direction, mais, dans cette affaire, la convention collective renfermait une disposition sur la disponibilité (</w:t>
      </w:r>
      <w:r w:rsidRPr="00B536B2">
        <w:rPr>
          <w:rFonts w:cs="Times New Roman"/>
          <w:i/>
          <w:lang w:val="fr-CA"/>
        </w:rPr>
        <w:t xml:space="preserve">Shell Canada Ltd. c. Communications </w:t>
      </w:r>
      <w:proofErr w:type="spellStart"/>
      <w:r w:rsidRPr="00B536B2">
        <w:rPr>
          <w:rFonts w:cs="Times New Roman"/>
          <w:i/>
          <w:lang w:val="fr-CA"/>
        </w:rPr>
        <w:t>Energy</w:t>
      </w:r>
      <w:proofErr w:type="spellEnd"/>
      <w:r w:rsidRPr="00B536B2">
        <w:rPr>
          <w:rFonts w:cs="Times New Roman"/>
          <w:i/>
          <w:lang w:val="fr-CA"/>
        </w:rPr>
        <w:t xml:space="preserve"> and </w:t>
      </w:r>
      <w:proofErr w:type="spellStart"/>
      <w:r w:rsidRPr="00B536B2">
        <w:rPr>
          <w:rFonts w:cs="Times New Roman"/>
          <w:i/>
          <w:lang w:val="fr-CA"/>
        </w:rPr>
        <w:t>Paperworkers</w:t>
      </w:r>
      <w:proofErr w:type="spellEnd"/>
      <w:r w:rsidRPr="00B536B2">
        <w:rPr>
          <w:rFonts w:cs="Times New Roman"/>
          <w:i/>
          <w:lang w:val="fr-CA"/>
        </w:rPr>
        <w:t xml:space="preserve"> Union of Canada, Local 835</w:t>
      </w:r>
      <w:r w:rsidRPr="00B536B2">
        <w:rPr>
          <w:rFonts w:cs="Times New Roman"/>
          <w:lang w:val="fr-CA"/>
        </w:rPr>
        <w:t xml:space="preserve">, [2001] A.G.A.A. </w:t>
      </w:r>
      <w:r>
        <w:rPr>
          <w:rFonts w:cs="Times New Roman"/>
          <w:lang w:val="fr-CA"/>
        </w:rPr>
        <w:t>No. </w:t>
      </w:r>
      <w:r w:rsidR="00273AEE">
        <w:rPr>
          <w:rFonts w:cs="Times New Roman"/>
          <w:lang w:val="fr-CA"/>
        </w:rPr>
        <w:t>51 (QL)</w:t>
      </w:r>
      <w:r w:rsidRPr="00B536B2">
        <w:rPr>
          <w:rFonts w:cs="Times New Roman"/>
          <w:lang w:val="fr-CA"/>
        </w:rPr>
        <w:t>). Il ressort de ces décisions que la question de savoir si l</w:t>
      </w:r>
      <w:r>
        <w:rPr>
          <w:rFonts w:cs="Times New Roman"/>
          <w:lang w:val="fr-CA"/>
        </w:rPr>
        <w:t>’</w:t>
      </w:r>
      <w:r w:rsidRPr="00B536B2">
        <w:rPr>
          <w:rFonts w:cs="Times New Roman"/>
          <w:lang w:val="fr-CA"/>
        </w:rPr>
        <w:t>imposition unilatérale d</w:t>
      </w:r>
      <w:r>
        <w:rPr>
          <w:rFonts w:cs="Times New Roman"/>
          <w:lang w:val="fr-CA"/>
        </w:rPr>
        <w:t>’</w:t>
      </w:r>
      <w:r w:rsidRPr="00B536B2">
        <w:rPr>
          <w:rFonts w:cs="Times New Roman"/>
          <w:lang w:val="fr-CA"/>
        </w:rPr>
        <w:t xml:space="preserve">une période de garde est raisonnable et équitable dépendra des circonstances et des dispositions de la convention collective en cause. </w:t>
      </w:r>
    </w:p>
    <w:p w:rsidR="001B28CD" w:rsidRPr="00B536B2" w:rsidRDefault="001B28CD" w:rsidP="002B57A4">
      <w:pPr>
        <w:pStyle w:val="ParaNoNdepar-AltN"/>
        <w:widowControl w:val="0"/>
        <w:rPr>
          <w:rFonts w:cs="Times New Roman"/>
          <w:lang w:val="fr-CA"/>
        </w:rPr>
      </w:pPr>
      <w:r w:rsidRPr="00B536B2">
        <w:rPr>
          <w:rFonts w:cs="Times New Roman"/>
          <w:lang w:val="fr-CA"/>
        </w:rPr>
        <w:t>En somme, les circonstances entourant la directive appuyaient la conclusion de l</w:t>
      </w:r>
      <w:r>
        <w:rPr>
          <w:rFonts w:cs="Times New Roman"/>
          <w:lang w:val="fr-CA"/>
        </w:rPr>
        <w:t>’</w:t>
      </w:r>
      <w:r w:rsidRPr="00B536B2">
        <w:rPr>
          <w:rFonts w:cs="Times New Roman"/>
          <w:lang w:val="fr-CA"/>
        </w:rPr>
        <w:t>arbitre suivant laquelle cette mesure n</w:t>
      </w:r>
      <w:r>
        <w:rPr>
          <w:rFonts w:cs="Times New Roman"/>
          <w:lang w:val="fr-CA"/>
        </w:rPr>
        <w:t>’</w:t>
      </w:r>
      <w:r w:rsidRPr="00B536B2">
        <w:rPr>
          <w:rFonts w:cs="Times New Roman"/>
          <w:lang w:val="fr-CA"/>
        </w:rPr>
        <w:t>était ni raisonnable ni équitable. La convention collective récemment finalisée ne renfermait aucune clause de disponibilité, l</w:t>
      </w:r>
      <w:r>
        <w:rPr>
          <w:rFonts w:cs="Times New Roman"/>
          <w:lang w:val="fr-CA"/>
        </w:rPr>
        <w:t>’</w:t>
      </w:r>
      <w:r w:rsidRPr="00B536B2">
        <w:rPr>
          <w:rFonts w:cs="Times New Roman"/>
          <w:lang w:val="fr-CA"/>
        </w:rPr>
        <w:t>obligation n</w:t>
      </w:r>
      <w:r>
        <w:rPr>
          <w:rFonts w:cs="Times New Roman"/>
          <w:lang w:val="fr-CA"/>
        </w:rPr>
        <w:t>’</w:t>
      </w:r>
      <w:r w:rsidRPr="00B536B2">
        <w:rPr>
          <w:rFonts w:cs="Times New Roman"/>
          <w:lang w:val="fr-CA"/>
        </w:rPr>
        <w:t>avait pas été mentionnée dans les contrats d</w:t>
      </w:r>
      <w:r>
        <w:rPr>
          <w:rFonts w:cs="Times New Roman"/>
          <w:lang w:val="fr-CA"/>
        </w:rPr>
        <w:t>’</w:t>
      </w:r>
      <w:r w:rsidRPr="00B536B2">
        <w:rPr>
          <w:rFonts w:cs="Times New Roman"/>
          <w:lang w:val="fr-CA"/>
        </w:rPr>
        <w:t>emploi ou dans les descriptions de tâches des juristes, et de telles politiques n</w:t>
      </w:r>
      <w:r>
        <w:rPr>
          <w:rFonts w:cs="Times New Roman"/>
          <w:lang w:val="fr-CA"/>
        </w:rPr>
        <w:t>’</w:t>
      </w:r>
      <w:r w:rsidRPr="00B536B2">
        <w:rPr>
          <w:rFonts w:cs="Times New Roman"/>
          <w:lang w:val="fr-CA"/>
        </w:rPr>
        <w:t>étaient pas la norme dans le secteur. Je conviens avec l</w:t>
      </w:r>
      <w:r>
        <w:rPr>
          <w:rFonts w:cs="Times New Roman"/>
          <w:lang w:val="fr-CA"/>
        </w:rPr>
        <w:t>’</w:t>
      </w:r>
      <w:r w:rsidRPr="00B536B2">
        <w:rPr>
          <w:rFonts w:cs="Times New Roman"/>
          <w:lang w:val="fr-CA"/>
        </w:rPr>
        <w:t>arbitre que le fait que la directive ait un effet sur la vie des juristes en dehors des heures de travail constitue un facteur important dans l</w:t>
      </w:r>
      <w:r>
        <w:rPr>
          <w:rFonts w:cs="Times New Roman"/>
          <w:lang w:val="fr-CA"/>
        </w:rPr>
        <w:t>’</w:t>
      </w:r>
      <w:r w:rsidRPr="00B536B2">
        <w:rPr>
          <w:rFonts w:cs="Times New Roman"/>
          <w:lang w:val="fr-CA"/>
        </w:rPr>
        <w:t>appréciation de son incidence sur les employés. De plus, comme l</w:t>
      </w:r>
      <w:r>
        <w:rPr>
          <w:rFonts w:cs="Times New Roman"/>
          <w:lang w:val="fr-CA"/>
        </w:rPr>
        <w:t>’</w:t>
      </w:r>
      <w:r w:rsidRPr="00B536B2">
        <w:rPr>
          <w:rFonts w:cs="Times New Roman"/>
          <w:lang w:val="fr-CA"/>
        </w:rPr>
        <w:t>a souligné celui</w:t>
      </w:r>
      <w:r>
        <w:rPr>
          <w:rFonts w:cs="Times New Roman"/>
          <w:lang w:val="fr-CA"/>
        </w:rPr>
        <w:noBreakHyphen/>
      </w:r>
      <w:r w:rsidRPr="00B536B2">
        <w:rPr>
          <w:rFonts w:cs="Times New Roman"/>
          <w:lang w:val="fr-CA"/>
        </w:rPr>
        <w:t>ci, une politique ou une directive qui supprime unilatéralement la rémunération accordée en contrepartie d</w:t>
      </w:r>
      <w:r>
        <w:rPr>
          <w:rFonts w:cs="Times New Roman"/>
          <w:lang w:val="fr-CA"/>
        </w:rPr>
        <w:t>’</w:t>
      </w:r>
      <w:r w:rsidRPr="00B536B2">
        <w:rPr>
          <w:rFonts w:cs="Times New Roman"/>
          <w:lang w:val="fr-CA"/>
        </w:rPr>
        <w:t>une obligation de disponibilité crée une iniquité apparente lorsqu</w:t>
      </w:r>
      <w:r>
        <w:rPr>
          <w:rFonts w:cs="Times New Roman"/>
          <w:lang w:val="fr-CA"/>
        </w:rPr>
        <w:t>’</w:t>
      </w:r>
      <w:r w:rsidRPr="00B536B2">
        <w:rPr>
          <w:rFonts w:cs="Times New Roman"/>
          <w:lang w:val="fr-CA"/>
        </w:rPr>
        <w:t>une telle rémunération constituait une pratique de longue date. À mon avis, la conclusion de l</w:t>
      </w:r>
      <w:r>
        <w:rPr>
          <w:rFonts w:cs="Times New Roman"/>
          <w:lang w:val="fr-CA"/>
        </w:rPr>
        <w:t>’</w:t>
      </w:r>
      <w:r w:rsidRPr="00B536B2">
        <w:rPr>
          <w:rFonts w:cs="Times New Roman"/>
          <w:lang w:val="fr-CA"/>
        </w:rPr>
        <w:t>arbitre selon laquelle la directive sur la garde n</w:t>
      </w:r>
      <w:r>
        <w:rPr>
          <w:rFonts w:cs="Times New Roman"/>
          <w:lang w:val="fr-CA"/>
        </w:rPr>
        <w:t>’</w:t>
      </w:r>
      <w:r w:rsidRPr="00B536B2">
        <w:rPr>
          <w:rFonts w:cs="Times New Roman"/>
          <w:lang w:val="fr-CA"/>
        </w:rPr>
        <w:t xml:space="preserve">était pas conforme au </w:t>
      </w:r>
      <w:r>
        <w:rPr>
          <w:rFonts w:cs="Times New Roman"/>
          <w:lang w:val="fr-CA"/>
        </w:rPr>
        <w:t>par. </w:t>
      </w:r>
      <w:r w:rsidRPr="00B536B2">
        <w:rPr>
          <w:rFonts w:cs="Times New Roman"/>
          <w:lang w:val="fr-CA"/>
        </w:rPr>
        <w:t xml:space="preserve">5.02 de </w:t>
      </w:r>
      <w:r w:rsidRPr="00B536B2">
        <w:rPr>
          <w:rFonts w:cs="Times New Roman"/>
          <w:lang w:val="fr-CA"/>
        </w:rPr>
        <w:lastRenderedPageBreak/>
        <w:t>la convention collective appartenait aux issues raisonnables.</w:t>
      </w:r>
    </w:p>
    <w:p w:rsidR="001B28CD" w:rsidRPr="00B536B2" w:rsidRDefault="001B28CD" w:rsidP="002B57A4">
      <w:pPr>
        <w:pStyle w:val="Title4LevelTitre4Niveau"/>
        <w:widowControl w:val="0"/>
        <w:rPr>
          <w:rFonts w:cs="Times New Roman"/>
          <w:lang w:val="fr-CA"/>
        </w:rPr>
      </w:pPr>
      <w:r w:rsidRPr="00B536B2">
        <w:rPr>
          <w:rFonts w:cs="Times New Roman"/>
          <w:lang w:val="fr-CA"/>
        </w:rPr>
        <w:t>Les motifs de l</w:t>
      </w:r>
      <w:r>
        <w:rPr>
          <w:rFonts w:cs="Times New Roman"/>
          <w:lang w:val="fr-CA"/>
        </w:rPr>
        <w:t>’</w:t>
      </w:r>
      <w:r w:rsidRPr="00B536B2">
        <w:rPr>
          <w:rFonts w:cs="Times New Roman"/>
          <w:lang w:val="fr-CA"/>
        </w:rPr>
        <w:t>arbitre</w:t>
      </w:r>
    </w:p>
    <w:p w:rsidR="001B28CD" w:rsidRPr="00B536B2" w:rsidRDefault="001B28CD" w:rsidP="002B57A4">
      <w:pPr>
        <w:pStyle w:val="ParaNoNdepar-AltN"/>
        <w:widowControl w:val="0"/>
        <w:rPr>
          <w:rFonts w:cs="Times New Roman"/>
          <w:lang w:val="fr-CA"/>
        </w:rPr>
      </w:pPr>
      <w:r w:rsidRPr="00B536B2">
        <w:rPr>
          <w:rFonts w:cs="Times New Roman"/>
          <w:lang w:val="fr-CA"/>
        </w:rPr>
        <w:t>Cela dit, la contestation par l</w:t>
      </w:r>
      <w:r>
        <w:rPr>
          <w:rFonts w:cs="Times New Roman"/>
          <w:lang w:val="fr-CA"/>
        </w:rPr>
        <w:t>’</w:t>
      </w:r>
      <w:r w:rsidRPr="00B536B2">
        <w:rPr>
          <w:rFonts w:cs="Times New Roman"/>
          <w:lang w:val="fr-CA"/>
        </w:rPr>
        <w:t>intimé du caractère raisonnable de la décision de l</w:t>
      </w:r>
      <w:r>
        <w:rPr>
          <w:rFonts w:cs="Times New Roman"/>
          <w:lang w:val="fr-CA"/>
        </w:rPr>
        <w:t>’</w:t>
      </w:r>
      <w:r w:rsidRPr="00B536B2">
        <w:rPr>
          <w:rFonts w:cs="Times New Roman"/>
          <w:lang w:val="fr-CA"/>
        </w:rPr>
        <w:t>arbitre porte sur un certain nombre de déclarations qu</w:t>
      </w:r>
      <w:r>
        <w:rPr>
          <w:rFonts w:cs="Times New Roman"/>
          <w:lang w:val="fr-CA"/>
        </w:rPr>
        <w:t>’</w:t>
      </w:r>
      <w:r w:rsidRPr="00B536B2">
        <w:rPr>
          <w:rFonts w:cs="Times New Roman"/>
          <w:lang w:val="fr-CA"/>
        </w:rPr>
        <w:t>il a faites dans ses motifs. En particulier, l</w:t>
      </w:r>
      <w:r>
        <w:rPr>
          <w:rFonts w:cs="Times New Roman"/>
          <w:lang w:val="fr-CA"/>
        </w:rPr>
        <w:t>’</w:t>
      </w:r>
      <w:r w:rsidRPr="00B536B2">
        <w:rPr>
          <w:rFonts w:cs="Times New Roman"/>
          <w:lang w:val="fr-CA"/>
        </w:rPr>
        <w:t>intimé fait valoir que l</w:t>
      </w:r>
      <w:r>
        <w:rPr>
          <w:rFonts w:cs="Times New Roman"/>
          <w:lang w:val="fr-CA"/>
        </w:rPr>
        <w:t>’</w:t>
      </w:r>
      <w:r w:rsidRPr="00B536B2">
        <w:rPr>
          <w:rFonts w:cs="Times New Roman"/>
          <w:lang w:val="fr-CA"/>
        </w:rPr>
        <w:t>arbitre a mal qualifié la nature de la relation du procureur général avec d</w:t>
      </w:r>
      <w:r>
        <w:rPr>
          <w:rFonts w:cs="Times New Roman"/>
          <w:lang w:val="fr-CA"/>
        </w:rPr>
        <w:t>’</w:t>
      </w:r>
      <w:r w:rsidRPr="00B536B2">
        <w:rPr>
          <w:rFonts w:cs="Times New Roman"/>
          <w:lang w:val="fr-CA"/>
        </w:rPr>
        <w:t>autres ministères gouvernementaux</w:t>
      </w:r>
      <w:r>
        <w:rPr>
          <w:rFonts w:cs="Times New Roman"/>
          <w:lang w:val="fr-CA"/>
        </w:rPr>
        <w:t> :</w:t>
      </w:r>
      <w:r w:rsidRPr="00B536B2">
        <w:rPr>
          <w:rFonts w:cs="Times New Roman"/>
          <w:lang w:val="fr-CA"/>
        </w:rPr>
        <w:t xml:space="preserve"> le fait que l</w:t>
      </w:r>
      <w:r>
        <w:rPr>
          <w:rFonts w:cs="Times New Roman"/>
          <w:lang w:val="fr-CA"/>
        </w:rPr>
        <w:t>’</w:t>
      </w:r>
      <w:r w:rsidRPr="00B536B2">
        <w:rPr>
          <w:rFonts w:cs="Times New Roman"/>
          <w:lang w:val="fr-CA"/>
        </w:rPr>
        <w:t>arbitre ait parlé « d</w:t>
      </w:r>
      <w:r>
        <w:rPr>
          <w:rFonts w:cs="Times New Roman"/>
          <w:lang w:val="fr-CA"/>
        </w:rPr>
        <w:t>’</w:t>
      </w:r>
      <w:r w:rsidRPr="00B536B2">
        <w:rPr>
          <w:rFonts w:cs="Times New Roman"/>
          <w:lang w:val="fr-CA"/>
        </w:rPr>
        <w:t xml:space="preserve">offrir et de vendre » des services professionnels </w:t>
      </w:r>
      <w:proofErr w:type="gramStart"/>
      <w:r w:rsidRPr="00B536B2">
        <w:rPr>
          <w:rFonts w:cs="Times New Roman"/>
          <w:lang w:val="fr-CA"/>
        </w:rPr>
        <w:t>montre</w:t>
      </w:r>
      <w:proofErr w:type="gramEnd"/>
      <w:r w:rsidRPr="00B536B2">
        <w:rPr>
          <w:rFonts w:cs="Times New Roman"/>
          <w:lang w:val="fr-CA"/>
        </w:rPr>
        <w:t xml:space="preserve"> que celui</w:t>
      </w:r>
      <w:r>
        <w:rPr>
          <w:rFonts w:cs="Times New Roman"/>
          <w:lang w:val="fr-CA"/>
        </w:rPr>
        <w:noBreakHyphen/>
      </w:r>
      <w:r w:rsidRPr="00B536B2">
        <w:rPr>
          <w:rFonts w:cs="Times New Roman"/>
          <w:lang w:val="fr-CA"/>
        </w:rPr>
        <w:t>ci a mal compris le contexte et le rôle particulier que jouent le procureur général et les juristes du gouvernement dans l</w:t>
      </w:r>
      <w:r>
        <w:rPr>
          <w:rFonts w:cs="Times New Roman"/>
          <w:lang w:val="fr-CA"/>
        </w:rPr>
        <w:t>’</w:t>
      </w:r>
      <w:r w:rsidRPr="00B536B2">
        <w:rPr>
          <w:rFonts w:cs="Times New Roman"/>
          <w:lang w:val="fr-CA"/>
        </w:rPr>
        <w:t>administration de la justice. L</w:t>
      </w:r>
      <w:r>
        <w:rPr>
          <w:rFonts w:cs="Times New Roman"/>
          <w:lang w:val="fr-CA"/>
        </w:rPr>
        <w:t>’</w:t>
      </w:r>
      <w:r w:rsidRPr="00B536B2">
        <w:rPr>
          <w:rFonts w:cs="Times New Roman"/>
          <w:lang w:val="fr-CA"/>
        </w:rPr>
        <w:t xml:space="preserve">intimé soutient en outre que </w:t>
      </w:r>
      <w:r>
        <w:rPr>
          <w:rFonts w:cs="Times New Roman"/>
          <w:lang w:val="fr-CA"/>
        </w:rPr>
        <w:t xml:space="preserve">l’arbitre </w:t>
      </w:r>
      <w:r w:rsidRPr="00B536B2">
        <w:rPr>
          <w:rFonts w:cs="Times New Roman"/>
          <w:lang w:val="fr-CA"/>
        </w:rPr>
        <w:t xml:space="preserve">a déraisonnablement imposé </w:t>
      </w:r>
      <w:r>
        <w:rPr>
          <w:rFonts w:cs="Times New Roman"/>
          <w:lang w:val="fr-CA"/>
        </w:rPr>
        <w:t xml:space="preserve">à </w:t>
      </w:r>
      <w:r w:rsidRPr="00B536B2">
        <w:rPr>
          <w:rFonts w:cs="Times New Roman"/>
          <w:lang w:val="fr-CA"/>
        </w:rPr>
        <w:t>l</w:t>
      </w:r>
      <w:r>
        <w:rPr>
          <w:rFonts w:cs="Times New Roman"/>
          <w:lang w:val="fr-CA"/>
        </w:rPr>
        <w:t>’employeur</w:t>
      </w:r>
      <w:r w:rsidRPr="00B536B2">
        <w:rPr>
          <w:rFonts w:cs="Times New Roman"/>
          <w:lang w:val="fr-CA"/>
        </w:rPr>
        <w:t xml:space="preserve"> le fardeau de justifier qu</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y avait aucune autre solution que l</w:t>
      </w:r>
      <w:r>
        <w:rPr>
          <w:rFonts w:cs="Times New Roman"/>
          <w:lang w:val="fr-CA"/>
        </w:rPr>
        <w:t>’</w:t>
      </w:r>
      <w:r w:rsidRPr="00B536B2">
        <w:rPr>
          <w:rFonts w:cs="Times New Roman"/>
          <w:lang w:val="fr-CA"/>
        </w:rPr>
        <w:t>imposition de la directive. Enfin, l</w:t>
      </w:r>
      <w:r>
        <w:rPr>
          <w:rFonts w:cs="Times New Roman"/>
          <w:lang w:val="fr-CA"/>
        </w:rPr>
        <w:t>’</w:t>
      </w:r>
      <w:r w:rsidRPr="00B536B2">
        <w:rPr>
          <w:rFonts w:cs="Times New Roman"/>
          <w:lang w:val="fr-CA"/>
        </w:rPr>
        <w:t>intimé prétend que l</w:t>
      </w:r>
      <w:r>
        <w:rPr>
          <w:rFonts w:cs="Times New Roman"/>
          <w:lang w:val="fr-CA"/>
        </w:rPr>
        <w:t>’</w:t>
      </w:r>
      <w:r w:rsidRPr="00B536B2">
        <w:rPr>
          <w:rFonts w:cs="Times New Roman"/>
          <w:lang w:val="fr-CA"/>
        </w:rPr>
        <w:t>arbitre a mal compris et exagéré l</w:t>
      </w:r>
      <w:r>
        <w:rPr>
          <w:rFonts w:cs="Times New Roman"/>
          <w:lang w:val="fr-CA"/>
        </w:rPr>
        <w:t>’</w:t>
      </w:r>
      <w:r w:rsidRPr="00B536B2">
        <w:rPr>
          <w:rFonts w:cs="Times New Roman"/>
          <w:lang w:val="fr-CA"/>
        </w:rPr>
        <w:t>incidence de la directive sur les juristes.</w:t>
      </w:r>
    </w:p>
    <w:p w:rsidR="001B28CD" w:rsidRPr="00B536B2" w:rsidRDefault="001B28CD" w:rsidP="002B57A4">
      <w:pPr>
        <w:pStyle w:val="ParaNoNdepar-AltN"/>
        <w:widowControl w:val="0"/>
        <w:rPr>
          <w:rFonts w:cs="Times New Roman"/>
          <w:lang w:val="fr-CA"/>
        </w:rPr>
      </w:pPr>
      <w:r w:rsidRPr="00B536B2">
        <w:rPr>
          <w:rFonts w:cs="Times New Roman"/>
          <w:lang w:val="fr-CA"/>
        </w:rPr>
        <w:t>Bon nombre de ces préoccupations se dissipent lorsqu</w:t>
      </w:r>
      <w:r>
        <w:rPr>
          <w:rFonts w:cs="Times New Roman"/>
          <w:lang w:val="fr-CA"/>
        </w:rPr>
        <w:t>’</w:t>
      </w:r>
      <w:r w:rsidRPr="00B536B2">
        <w:rPr>
          <w:rFonts w:cs="Times New Roman"/>
          <w:lang w:val="fr-CA"/>
        </w:rPr>
        <w:t>on lit les motifs de l</w:t>
      </w:r>
      <w:r>
        <w:rPr>
          <w:rFonts w:cs="Times New Roman"/>
          <w:lang w:val="fr-CA"/>
        </w:rPr>
        <w:t>’</w:t>
      </w:r>
      <w:r w:rsidRPr="00B536B2">
        <w:rPr>
          <w:rFonts w:cs="Times New Roman"/>
          <w:lang w:val="fr-CA"/>
        </w:rPr>
        <w:t>arbitre avec la déférence qui s</w:t>
      </w:r>
      <w:r>
        <w:rPr>
          <w:rFonts w:cs="Times New Roman"/>
          <w:lang w:val="fr-CA"/>
        </w:rPr>
        <w:t>’</w:t>
      </w:r>
      <w:r w:rsidRPr="00B536B2">
        <w:rPr>
          <w:rFonts w:cs="Times New Roman"/>
          <w:lang w:val="fr-CA"/>
        </w:rPr>
        <w:t>impose. Les tribunaux siégeant en révision doivent examiner les motifs de l</w:t>
      </w:r>
      <w:r>
        <w:rPr>
          <w:rFonts w:cs="Times New Roman"/>
          <w:lang w:val="fr-CA"/>
        </w:rPr>
        <w:t>’</w:t>
      </w:r>
      <w:r w:rsidRPr="00B536B2">
        <w:rPr>
          <w:rFonts w:cs="Times New Roman"/>
          <w:lang w:val="fr-CA"/>
        </w:rPr>
        <w:t>arbitre à la lumière du résultat dans le cadre d</w:t>
      </w:r>
      <w:r>
        <w:rPr>
          <w:rFonts w:cs="Times New Roman"/>
          <w:lang w:val="fr-CA"/>
        </w:rPr>
        <w:t>’</w:t>
      </w:r>
      <w:r w:rsidRPr="00B536B2">
        <w:rPr>
          <w:rFonts w:cs="Times New Roman"/>
          <w:lang w:val="fr-CA"/>
        </w:rPr>
        <w:t>un exercice global (</w:t>
      </w:r>
      <w:r w:rsidRPr="00B536B2">
        <w:rPr>
          <w:rFonts w:cs="Times New Roman"/>
          <w:i/>
          <w:lang w:val="fr-CA"/>
        </w:rPr>
        <w:t>Newfoundland and Labrador Nurses</w:t>
      </w:r>
      <w:r>
        <w:rPr>
          <w:rFonts w:cs="Times New Roman"/>
          <w:i/>
          <w:lang w:val="fr-CA"/>
        </w:rPr>
        <w:t>’</w:t>
      </w:r>
      <w:r w:rsidRPr="00B536B2">
        <w:rPr>
          <w:rFonts w:cs="Times New Roman"/>
          <w:i/>
          <w:lang w:val="fr-CA"/>
        </w:rPr>
        <w:t xml:space="preserve"> Union c. Terre</w:t>
      </w:r>
      <w:r>
        <w:rPr>
          <w:rFonts w:cs="Times New Roman"/>
          <w:i/>
          <w:lang w:val="fr-CA"/>
        </w:rPr>
        <w:noBreakHyphen/>
      </w:r>
      <w:r w:rsidRPr="00B536B2">
        <w:rPr>
          <w:rFonts w:cs="Times New Roman"/>
          <w:i/>
          <w:lang w:val="fr-CA"/>
        </w:rPr>
        <w:t>Neuve</w:t>
      </w:r>
      <w:r>
        <w:rPr>
          <w:rFonts w:cs="Times New Roman"/>
          <w:i/>
          <w:lang w:val="fr-CA"/>
        </w:rPr>
        <w:noBreakHyphen/>
      </w:r>
      <w:r w:rsidRPr="00B536B2">
        <w:rPr>
          <w:rFonts w:cs="Times New Roman"/>
          <w:i/>
          <w:lang w:val="fr-CA"/>
        </w:rPr>
        <w:t>et</w:t>
      </w:r>
      <w:r>
        <w:rPr>
          <w:rFonts w:cs="Times New Roman"/>
          <w:i/>
          <w:lang w:val="fr-CA"/>
        </w:rPr>
        <w:noBreakHyphen/>
      </w:r>
      <w:r w:rsidRPr="00B536B2">
        <w:rPr>
          <w:rFonts w:cs="Times New Roman"/>
          <w:i/>
          <w:lang w:val="fr-CA"/>
        </w:rPr>
        <w:t>Labrador (Conseil du Trésor)</w:t>
      </w:r>
      <w:r w:rsidRPr="00B536B2">
        <w:rPr>
          <w:rFonts w:cs="Times New Roman"/>
          <w:lang w:val="fr-CA"/>
        </w:rPr>
        <w:t xml:space="preserve">, 2011 CSC 62, [2011] 3 R.C.S. 708, </w:t>
      </w:r>
      <w:r>
        <w:rPr>
          <w:rFonts w:cs="Times New Roman"/>
          <w:lang w:val="fr-CA"/>
        </w:rPr>
        <w:t>par. </w:t>
      </w:r>
      <w:r w:rsidRPr="00B536B2">
        <w:rPr>
          <w:rFonts w:cs="Times New Roman"/>
          <w:lang w:val="fr-CA"/>
        </w:rPr>
        <w:t>14). Eu égard à cette norme, la conclusion de l</w:t>
      </w:r>
      <w:r>
        <w:rPr>
          <w:rFonts w:cs="Times New Roman"/>
          <w:lang w:val="fr-CA"/>
        </w:rPr>
        <w:t>’</w:t>
      </w:r>
      <w:r w:rsidRPr="00B536B2">
        <w:rPr>
          <w:rFonts w:cs="Times New Roman"/>
          <w:lang w:val="fr-CA"/>
        </w:rPr>
        <w:t>arbitre en l</w:t>
      </w:r>
      <w:r>
        <w:rPr>
          <w:rFonts w:cs="Times New Roman"/>
          <w:lang w:val="fr-CA"/>
        </w:rPr>
        <w:t>’</w:t>
      </w:r>
      <w:r w:rsidRPr="00B536B2">
        <w:rPr>
          <w:rFonts w:cs="Times New Roman"/>
          <w:lang w:val="fr-CA"/>
        </w:rPr>
        <w:t>espèce appartenait aux issues pouvant se justifier et les motifs qu</w:t>
      </w:r>
      <w:r>
        <w:rPr>
          <w:rFonts w:cs="Times New Roman"/>
          <w:lang w:val="fr-CA"/>
        </w:rPr>
        <w:t>’</w:t>
      </w:r>
      <w:r w:rsidRPr="00B536B2">
        <w:rPr>
          <w:rFonts w:cs="Times New Roman"/>
          <w:lang w:val="fr-CA"/>
        </w:rPr>
        <w:t>il a donnés à l</w:t>
      </w:r>
      <w:r>
        <w:rPr>
          <w:rFonts w:cs="Times New Roman"/>
          <w:lang w:val="fr-CA"/>
        </w:rPr>
        <w:t>’</w:t>
      </w:r>
      <w:r w:rsidRPr="00B536B2">
        <w:rPr>
          <w:rFonts w:cs="Times New Roman"/>
          <w:lang w:val="fr-CA"/>
        </w:rPr>
        <w:t>appui de celle</w:t>
      </w:r>
      <w:r>
        <w:rPr>
          <w:rFonts w:cs="Times New Roman"/>
          <w:lang w:val="fr-CA"/>
        </w:rPr>
        <w:noBreakHyphen/>
      </w:r>
      <w:r w:rsidRPr="00B536B2">
        <w:rPr>
          <w:rFonts w:cs="Times New Roman"/>
          <w:lang w:val="fr-CA"/>
        </w:rPr>
        <w:t>ci présentaient les indices requis de justification, d</w:t>
      </w:r>
      <w:r>
        <w:rPr>
          <w:rFonts w:cs="Times New Roman"/>
          <w:lang w:val="fr-CA"/>
        </w:rPr>
        <w:t>’</w:t>
      </w:r>
      <w:r w:rsidRPr="00B536B2">
        <w:rPr>
          <w:rFonts w:cs="Times New Roman"/>
          <w:lang w:val="fr-CA"/>
        </w:rPr>
        <w:t>intelligibilité et de transparence (</w:t>
      </w:r>
      <w:proofErr w:type="spellStart"/>
      <w:r w:rsidRPr="00B536B2">
        <w:rPr>
          <w:rFonts w:cs="Times New Roman"/>
          <w:i/>
          <w:lang w:val="fr-CA"/>
        </w:rPr>
        <w:t>Dunsmuir</w:t>
      </w:r>
      <w:proofErr w:type="spellEnd"/>
      <w:r w:rsidRPr="00B536B2">
        <w:rPr>
          <w:rFonts w:cs="Times New Roman"/>
          <w:lang w:val="fr-CA"/>
        </w:rPr>
        <w:t xml:space="preserve">, </w:t>
      </w:r>
      <w:r>
        <w:rPr>
          <w:rFonts w:cs="Times New Roman"/>
          <w:lang w:val="fr-CA"/>
        </w:rPr>
        <w:t>par. </w:t>
      </w:r>
      <w:r w:rsidRPr="00B536B2">
        <w:rPr>
          <w:rFonts w:cs="Times New Roman"/>
          <w:lang w:val="fr-CA"/>
        </w:rPr>
        <w:t xml:space="preserve">47). </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L</w:t>
      </w:r>
      <w:r>
        <w:rPr>
          <w:rFonts w:cs="Times New Roman"/>
          <w:lang w:val="fr-CA"/>
        </w:rPr>
        <w:t>’</w:t>
      </w:r>
      <w:r w:rsidRPr="00B536B2">
        <w:rPr>
          <w:rFonts w:cs="Times New Roman"/>
          <w:lang w:val="fr-CA"/>
        </w:rPr>
        <w:t xml:space="preserve">intimé conteste plus particulièrement le </w:t>
      </w:r>
      <w:r>
        <w:rPr>
          <w:rFonts w:cs="Times New Roman"/>
          <w:lang w:val="fr-CA"/>
        </w:rPr>
        <w:t>par. </w:t>
      </w:r>
      <w:r w:rsidRPr="00B536B2">
        <w:rPr>
          <w:rFonts w:cs="Times New Roman"/>
          <w:lang w:val="fr-CA"/>
        </w:rPr>
        <w:t>47 des motifs de l</w:t>
      </w:r>
      <w:r>
        <w:rPr>
          <w:rFonts w:cs="Times New Roman"/>
          <w:lang w:val="fr-CA"/>
        </w:rPr>
        <w:t>’</w:t>
      </w:r>
      <w:r w:rsidRPr="00B536B2">
        <w:rPr>
          <w:rFonts w:cs="Times New Roman"/>
          <w:lang w:val="fr-CA"/>
        </w:rPr>
        <w:t>arbitre, où ce dernier s</w:t>
      </w:r>
      <w:r>
        <w:rPr>
          <w:rFonts w:cs="Times New Roman"/>
          <w:lang w:val="fr-CA"/>
        </w:rPr>
        <w:t>’</w:t>
      </w:r>
      <w:r w:rsidRPr="00B536B2">
        <w:rPr>
          <w:rFonts w:cs="Times New Roman"/>
          <w:lang w:val="fr-CA"/>
        </w:rPr>
        <w:t>est demandé si l</w:t>
      </w:r>
      <w:r>
        <w:rPr>
          <w:rFonts w:cs="Times New Roman"/>
          <w:lang w:val="fr-CA"/>
        </w:rPr>
        <w:t>’employeur</w:t>
      </w:r>
      <w:r w:rsidRPr="00B536B2">
        <w:rPr>
          <w:rFonts w:cs="Times New Roman"/>
          <w:lang w:val="fr-CA"/>
        </w:rPr>
        <w:t xml:space="preserve"> avait forcément besoin d</w:t>
      </w:r>
      <w:r>
        <w:rPr>
          <w:rFonts w:cs="Times New Roman"/>
          <w:lang w:val="fr-CA"/>
        </w:rPr>
        <w:t>’</w:t>
      </w:r>
      <w:r w:rsidRPr="00B536B2">
        <w:rPr>
          <w:rFonts w:cs="Times New Roman"/>
          <w:lang w:val="fr-CA"/>
        </w:rPr>
        <w:t>imposer l</w:t>
      </w:r>
      <w:r>
        <w:rPr>
          <w:rFonts w:cs="Times New Roman"/>
          <w:lang w:val="fr-CA"/>
        </w:rPr>
        <w:t>’</w:t>
      </w:r>
      <w:r w:rsidRPr="00B536B2">
        <w:rPr>
          <w:rFonts w:cs="Times New Roman"/>
          <w:lang w:val="fr-CA"/>
        </w:rPr>
        <w:t>obligation de disponibilité et où il a affirmé que le besoin avait « plutôt [été] déclenché par le choix de l</w:t>
      </w:r>
      <w:r>
        <w:rPr>
          <w:rFonts w:cs="Times New Roman"/>
          <w:lang w:val="fr-CA"/>
        </w:rPr>
        <w:t>’</w:t>
      </w:r>
      <w:r w:rsidRPr="00B536B2">
        <w:rPr>
          <w:rFonts w:cs="Times New Roman"/>
          <w:lang w:val="fr-CA"/>
        </w:rPr>
        <w:t>employeur d</w:t>
      </w:r>
      <w:r>
        <w:rPr>
          <w:rFonts w:cs="Times New Roman"/>
          <w:lang w:val="fr-CA"/>
        </w:rPr>
        <w:t>’</w:t>
      </w:r>
      <w:r w:rsidRPr="00B536B2">
        <w:rPr>
          <w:rFonts w:cs="Times New Roman"/>
          <w:lang w:val="fr-CA"/>
        </w:rPr>
        <w:t>offrir et de vendre les services professionnels de ses employés en dehors de leurs heures normales de travail ». De même, la Cour d</w:t>
      </w:r>
      <w:r>
        <w:rPr>
          <w:rFonts w:cs="Times New Roman"/>
          <w:lang w:val="fr-CA"/>
        </w:rPr>
        <w:t>’</w:t>
      </w:r>
      <w:r w:rsidRPr="00B536B2">
        <w:rPr>
          <w:rFonts w:cs="Times New Roman"/>
          <w:lang w:val="fr-CA"/>
        </w:rPr>
        <w:t>appel fédérale a souligné que l</w:t>
      </w:r>
      <w:r>
        <w:rPr>
          <w:rFonts w:cs="Times New Roman"/>
          <w:lang w:val="fr-CA"/>
        </w:rPr>
        <w:t>’</w:t>
      </w:r>
      <w:r w:rsidRPr="00B536B2">
        <w:rPr>
          <w:rFonts w:cs="Times New Roman"/>
          <w:lang w:val="fr-CA"/>
        </w:rPr>
        <w:t>arbitre, dans sa décision, n</w:t>
      </w:r>
      <w:r>
        <w:rPr>
          <w:rFonts w:cs="Times New Roman"/>
          <w:lang w:val="fr-CA"/>
        </w:rPr>
        <w:t>’</w:t>
      </w:r>
      <w:r w:rsidRPr="00B536B2">
        <w:rPr>
          <w:rFonts w:cs="Times New Roman"/>
          <w:lang w:val="fr-CA"/>
        </w:rPr>
        <w:t>avait pas tenu compte du fait que les demandes de sursis en matière d</w:t>
      </w:r>
      <w:r>
        <w:rPr>
          <w:rFonts w:cs="Times New Roman"/>
          <w:lang w:val="fr-CA"/>
        </w:rPr>
        <w:t>’</w:t>
      </w:r>
      <w:r w:rsidRPr="00B536B2">
        <w:rPr>
          <w:rFonts w:cs="Times New Roman"/>
          <w:lang w:val="fr-CA"/>
        </w:rPr>
        <w:t>immigration obligeaient le procureur général à intervenir immédiatement, comme les parties en avaient convenu dans l</w:t>
      </w:r>
      <w:r>
        <w:rPr>
          <w:rFonts w:cs="Times New Roman"/>
          <w:lang w:val="fr-CA"/>
        </w:rPr>
        <w:t>’</w:t>
      </w:r>
      <w:r w:rsidRPr="00B536B2">
        <w:rPr>
          <w:rFonts w:cs="Times New Roman"/>
          <w:lang w:val="fr-CA"/>
        </w:rPr>
        <w:t xml:space="preserve">exposé conjoint des faits. </w:t>
      </w:r>
    </w:p>
    <w:p w:rsidR="001B28CD" w:rsidRPr="00B536B2" w:rsidRDefault="001B28CD" w:rsidP="002B57A4">
      <w:pPr>
        <w:pStyle w:val="ParaNoNdepar-AltN"/>
        <w:widowControl w:val="0"/>
        <w:rPr>
          <w:rFonts w:cs="Times New Roman"/>
          <w:lang w:val="fr-CA"/>
        </w:rPr>
      </w:pPr>
      <w:r w:rsidRPr="00B536B2">
        <w:rPr>
          <w:rFonts w:cs="Times New Roman"/>
          <w:lang w:val="fr-CA"/>
        </w:rPr>
        <w:t>Bien que les motifs de l</w:t>
      </w:r>
      <w:r>
        <w:rPr>
          <w:rFonts w:cs="Times New Roman"/>
          <w:lang w:val="fr-CA"/>
        </w:rPr>
        <w:t>’</w:t>
      </w:r>
      <w:r w:rsidRPr="00B536B2">
        <w:rPr>
          <w:rFonts w:cs="Times New Roman"/>
          <w:lang w:val="fr-CA"/>
        </w:rPr>
        <w:t>arbitre sur ce point aient pu être plus clairs, je ne peux admettre qu</w:t>
      </w:r>
      <w:r>
        <w:rPr>
          <w:rFonts w:cs="Times New Roman"/>
          <w:lang w:val="fr-CA"/>
        </w:rPr>
        <w:t>’</w:t>
      </w:r>
      <w:r w:rsidRPr="00B536B2">
        <w:rPr>
          <w:rFonts w:cs="Times New Roman"/>
          <w:lang w:val="fr-CA"/>
        </w:rPr>
        <w:t>il a mal compris la nature du besoin ou de l</w:t>
      </w:r>
      <w:r>
        <w:rPr>
          <w:rFonts w:cs="Times New Roman"/>
          <w:lang w:val="fr-CA"/>
        </w:rPr>
        <w:t>’</w:t>
      </w:r>
      <w:r w:rsidRPr="00B536B2">
        <w:rPr>
          <w:rFonts w:cs="Times New Roman"/>
          <w:lang w:val="fr-CA"/>
        </w:rPr>
        <w:t>objectif du gouvernement. Au même paragraphe, l</w:t>
      </w:r>
      <w:r>
        <w:rPr>
          <w:rFonts w:cs="Times New Roman"/>
          <w:lang w:val="fr-CA"/>
        </w:rPr>
        <w:t>’</w:t>
      </w:r>
      <w:r w:rsidRPr="00B536B2">
        <w:rPr>
          <w:rFonts w:cs="Times New Roman"/>
          <w:lang w:val="fr-CA"/>
        </w:rPr>
        <w:t>arbitre a expressément reconnu que « le besoin organisationnel est déclenché par une urgence sur laquelle l</w:t>
      </w:r>
      <w:r>
        <w:rPr>
          <w:rFonts w:cs="Times New Roman"/>
          <w:lang w:val="fr-CA"/>
        </w:rPr>
        <w:t>’</w:t>
      </w:r>
      <w:r w:rsidRPr="00B536B2">
        <w:rPr>
          <w:rFonts w:cs="Times New Roman"/>
          <w:lang w:val="fr-CA"/>
        </w:rPr>
        <w:t>employeur n</w:t>
      </w:r>
      <w:r>
        <w:rPr>
          <w:rFonts w:cs="Times New Roman"/>
          <w:lang w:val="fr-CA"/>
        </w:rPr>
        <w:t>’</w:t>
      </w:r>
      <w:r w:rsidRPr="00B536B2">
        <w:rPr>
          <w:rFonts w:cs="Times New Roman"/>
          <w:lang w:val="fr-CA"/>
        </w:rPr>
        <w:t>a aucun contrôle » (</w:t>
      </w:r>
      <w:r>
        <w:rPr>
          <w:rFonts w:cs="Times New Roman"/>
          <w:lang w:val="fr-CA"/>
        </w:rPr>
        <w:t>par. </w:t>
      </w:r>
      <w:r w:rsidRPr="00B536B2">
        <w:rPr>
          <w:rFonts w:cs="Times New Roman"/>
          <w:lang w:val="fr-CA"/>
        </w:rPr>
        <w:t>47). Pourtant, l</w:t>
      </w:r>
      <w:r>
        <w:rPr>
          <w:rFonts w:cs="Times New Roman"/>
          <w:lang w:val="fr-CA"/>
        </w:rPr>
        <w:t>’</w:t>
      </w:r>
      <w:r w:rsidRPr="00B536B2">
        <w:rPr>
          <w:rFonts w:cs="Times New Roman"/>
          <w:lang w:val="fr-CA"/>
        </w:rPr>
        <w:t>arbitre a également reconnu que l</w:t>
      </w:r>
      <w:r>
        <w:rPr>
          <w:rFonts w:cs="Times New Roman"/>
          <w:lang w:val="fr-CA"/>
        </w:rPr>
        <w:t>’employeur</w:t>
      </w:r>
      <w:r w:rsidRPr="00B536B2">
        <w:rPr>
          <w:rFonts w:cs="Times New Roman"/>
          <w:lang w:val="fr-CA"/>
        </w:rPr>
        <w:t xml:space="preserve"> avait un certain degré de contrôle quant à la manière de composer avec cette réalité. </w:t>
      </w:r>
      <w:r>
        <w:rPr>
          <w:rFonts w:cs="Times New Roman"/>
          <w:lang w:val="fr-CA"/>
        </w:rPr>
        <w:t>L’employeur</w:t>
      </w:r>
      <w:r w:rsidRPr="00B536B2">
        <w:rPr>
          <w:rFonts w:cs="Times New Roman"/>
          <w:lang w:val="fr-CA"/>
        </w:rPr>
        <w:t xml:space="preserve"> a décidé de répondre à ce besoin organisationnel en recourant à une obligation de disponibilité, non rémunérée, plutôt qu</w:t>
      </w:r>
      <w:r>
        <w:rPr>
          <w:rFonts w:cs="Times New Roman"/>
          <w:lang w:val="fr-CA"/>
        </w:rPr>
        <w:t>’</w:t>
      </w:r>
      <w:r w:rsidRPr="00B536B2">
        <w:rPr>
          <w:rFonts w:cs="Times New Roman"/>
          <w:lang w:val="fr-CA"/>
        </w:rPr>
        <w:t>à d</w:t>
      </w:r>
      <w:r>
        <w:rPr>
          <w:rFonts w:cs="Times New Roman"/>
          <w:lang w:val="fr-CA"/>
        </w:rPr>
        <w:t>’</w:t>
      </w:r>
      <w:r w:rsidRPr="00B536B2">
        <w:rPr>
          <w:rFonts w:cs="Times New Roman"/>
          <w:lang w:val="fr-CA"/>
        </w:rPr>
        <w:t>autres solutions possibles (par exemple des horaires variables de travail ou une rémunération pour les périodes de garde). Considéré dans son ensemble, ce passage ne permet pas de dire que l</w:t>
      </w:r>
      <w:r>
        <w:rPr>
          <w:rFonts w:cs="Times New Roman"/>
          <w:lang w:val="fr-CA"/>
        </w:rPr>
        <w:t>’</w:t>
      </w:r>
      <w:r w:rsidRPr="00B536B2">
        <w:rPr>
          <w:rFonts w:cs="Times New Roman"/>
          <w:lang w:val="fr-CA"/>
        </w:rPr>
        <w:t xml:space="preserve">arbitre a mal compris le rôle important du procureur général en sa qualité de premier </w:t>
      </w:r>
      <w:proofErr w:type="gramStart"/>
      <w:r w:rsidRPr="00B536B2">
        <w:rPr>
          <w:rFonts w:cs="Times New Roman"/>
          <w:lang w:val="fr-CA"/>
        </w:rPr>
        <w:t>conseiller</w:t>
      </w:r>
      <w:proofErr w:type="gramEnd"/>
      <w:r w:rsidRPr="00B536B2">
        <w:rPr>
          <w:rFonts w:cs="Times New Roman"/>
          <w:lang w:val="fr-CA"/>
        </w:rPr>
        <w:t xml:space="preserve"> juridique de l</w:t>
      </w:r>
      <w:r>
        <w:rPr>
          <w:rFonts w:cs="Times New Roman"/>
          <w:lang w:val="fr-CA"/>
        </w:rPr>
        <w:t>’</w:t>
      </w:r>
      <w:r w:rsidRPr="00B536B2">
        <w:rPr>
          <w:rFonts w:cs="Times New Roman"/>
          <w:lang w:val="fr-CA"/>
        </w:rPr>
        <w:t>État.</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Un autre aspect de la décision de l</w:t>
      </w:r>
      <w:r>
        <w:rPr>
          <w:rFonts w:cs="Times New Roman"/>
          <w:lang w:val="fr-CA"/>
        </w:rPr>
        <w:t>’</w:t>
      </w:r>
      <w:r w:rsidRPr="00B536B2">
        <w:rPr>
          <w:rFonts w:cs="Times New Roman"/>
          <w:lang w:val="fr-CA"/>
        </w:rPr>
        <w:t>arbitre que critique l</w:t>
      </w:r>
      <w:r>
        <w:rPr>
          <w:rFonts w:cs="Times New Roman"/>
          <w:lang w:val="fr-CA"/>
        </w:rPr>
        <w:t>’</w:t>
      </w:r>
      <w:r w:rsidRPr="00B536B2">
        <w:rPr>
          <w:rFonts w:cs="Times New Roman"/>
          <w:lang w:val="fr-CA"/>
        </w:rPr>
        <w:t>intimé est la déclaration qu</w:t>
      </w:r>
      <w:r>
        <w:rPr>
          <w:rFonts w:cs="Times New Roman"/>
          <w:lang w:val="fr-CA"/>
        </w:rPr>
        <w:t>’</w:t>
      </w:r>
      <w:r w:rsidRPr="00B536B2">
        <w:rPr>
          <w:rFonts w:cs="Times New Roman"/>
          <w:lang w:val="fr-CA"/>
        </w:rPr>
        <w:t xml:space="preserve">il a faite au </w:t>
      </w:r>
      <w:r>
        <w:rPr>
          <w:rFonts w:cs="Times New Roman"/>
          <w:lang w:val="fr-CA"/>
        </w:rPr>
        <w:t>par. </w:t>
      </w:r>
      <w:r w:rsidRPr="00B536B2">
        <w:rPr>
          <w:rFonts w:cs="Times New Roman"/>
          <w:lang w:val="fr-CA"/>
        </w:rPr>
        <w:t>49 de ses motifs selon laquelle on ne lui avait présenté aucune preuve établissant que la directive sur la garde était le seul moyen dont disposait l</w:t>
      </w:r>
      <w:r>
        <w:rPr>
          <w:rFonts w:cs="Times New Roman"/>
          <w:lang w:val="fr-CA"/>
        </w:rPr>
        <w:t>’employeur</w:t>
      </w:r>
      <w:r w:rsidRPr="00B536B2">
        <w:rPr>
          <w:rFonts w:cs="Times New Roman"/>
          <w:lang w:val="fr-CA"/>
        </w:rPr>
        <w:t xml:space="preserve"> pour s</w:t>
      </w:r>
      <w:r>
        <w:rPr>
          <w:rFonts w:cs="Times New Roman"/>
          <w:lang w:val="fr-CA"/>
        </w:rPr>
        <w:t>’</w:t>
      </w:r>
      <w:r w:rsidRPr="00B536B2">
        <w:rPr>
          <w:rFonts w:cs="Times New Roman"/>
          <w:lang w:val="fr-CA"/>
        </w:rPr>
        <w:t>occuper des urgences en dehors des heures normales de travail. De l</w:t>
      </w:r>
      <w:r>
        <w:rPr>
          <w:rFonts w:cs="Times New Roman"/>
          <w:lang w:val="fr-CA"/>
        </w:rPr>
        <w:t>’</w:t>
      </w:r>
      <w:r w:rsidRPr="00B536B2">
        <w:rPr>
          <w:rFonts w:cs="Times New Roman"/>
          <w:lang w:val="fr-CA"/>
        </w:rPr>
        <w:t>avis de la Cour d</w:t>
      </w:r>
      <w:r>
        <w:rPr>
          <w:rFonts w:cs="Times New Roman"/>
          <w:lang w:val="fr-CA"/>
        </w:rPr>
        <w:t>’</w:t>
      </w:r>
      <w:r w:rsidRPr="00B536B2">
        <w:rPr>
          <w:rFonts w:cs="Times New Roman"/>
          <w:lang w:val="fr-CA"/>
        </w:rPr>
        <w:t>appel fédérale, le raisonnement de l</w:t>
      </w:r>
      <w:r>
        <w:rPr>
          <w:rFonts w:cs="Times New Roman"/>
          <w:lang w:val="fr-CA"/>
        </w:rPr>
        <w:t>’</w:t>
      </w:r>
      <w:r w:rsidRPr="00B536B2">
        <w:rPr>
          <w:rFonts w:cs="Times New Roman"/>
          <w:lang w:val="fr-CA"/>
        </w:rPr>
        <w:t>arbitre sur cette question indiquait qu</w:t>
      </w:r>
      <w:r>
        <w:rPr>
          <w:rFonts w:cs="Times New Roman"/>
          <w:lang w:val="fr-CA"/>
        </w:rPr>
        <w:t>’</w:t>
      </w:r>
      <w:r w:rsidRPr="00B536B2">
        <w:rPr>
          <w:rFonts w:cs="Times New Roman"/>
          <w:lang w:val="fr-CA"/>
        </w:rPr>
        <w:t>il avait imposé au gouvernement le fardeau excessif de justifier le caractère raisonnable de la directive.</w:t>
      </w:r>
    </w:p>
    <w:p w:rsidR="001B28CD" w:rsidRPr="00B536B2" w:rsidRDefault="001B28CD" w:rsidP="002B57A4">
      <w:pPr>
        <w:pStyle w:val="ParaNoNdepar-AltN"/>
        <w:widowControl w:val="0"/>
        <w:rPr>
          <w:rFonts w:cs="Times New Roman"/>
          <w:lang w:val="fr-CA"/>
        </w:rPr>
      </w:pPr>
      <w:r w:rsidRPr="00B536B2">
        <w:rPr>
          <w:rFonts w:cs="Times New Roman"/>
          <w:lang w:val="fr-CA"/>
        </w:rPr>
        <w:t>Bien que je reconnaisse qu</w:t>
      </w:r>
      <w:r>
        <w:rPr>
          <w:rFonts w:cs="Times New Roman"/>
          <w:lang w:val="fr-CA"/>
        </w:rPr>
        <w:t xml:space="preserve">’un </w:t>
      </w:r>
      <w:r w:rsidRPr="00B536B2">
        <w:rPr>
          <w:rFonts w:cs="Times New Roman"/>
          <w:lang w:val="fr-CA"/>
        </w:rPr>
        <w:t>employeur n</w:t>
      </w:r>
      <w:r>
        <w:rPr>
          <w:rFonts w:cs="Times New Roman"/>
          <w:lang w:val="fr-CA"/>
        </w:rPr>
        <w:t>’</w:t>
      </w:r>
      <w:r w:rsidRPr="00B536B2">
        <w:rPr>
          <w:rFonts w:cs="Times New Roman"/>
          <w:lang w:val="fr-CA"/>
        </w:rPr>
        <w:t>est pas tenu de prouver qu</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y avait pas d</w:t>
      </w:r>
      <w:r>
        <w:rPr>
          <w:rFonts w:cs="Times New Roman"/>
          <w:lang w:val="fr-CA"/>
        </w:rPr>
        <w:t>’</w:t>
      </w:r>
      <w:r w:rsidRPr="00B536B2">
        <w:rPr>
          <w:rFonts w:cs="Times New Roman"/>
          <w:lang w:val="fr-CA"/>
        </w:rPr>
        <w:t>autres solutions, l</w:t>
      </w:r>
      <w:r>
        <w:rPr>
          <w:rFonts w:cs="Times New Roman"/>
          <w:lang w:val="fr-CA"/>
        </w:rPr>
        <w:t>’</w:t>
      </w:r>
      <w:r w:rsidRPr="00B536B2">
        <w:rPr>
          <w:rFonts w:cs="Times New Roman"/>
          <w:lang w:val="fr-CA"/>
        </w:rPr>
        <w:t>existence de moyens réalistes, mais moins attentatoires, pour répondre aux besoins organisationnels peut constituer une considération pertinente dans l</w:t>
      </w:r>
      <w:r>
        <w:rPr>
          <w:rFonts w:cs="Times New Roman"/>
          <w:lang w:val="fr-CA"/>
        </w:rPr>
        <w:t>’</w:t>
      </w:r>
      <w:r w:rsidRPr="00B536B2">
        <w:rPr>
          <w:rFonts w:cs="Times New Roman"/>
          <w:lang w:val="fr-CA"/>
        </w:rPr>
        <w:t>appréciation axée sur la mise en balance des intérêts, conjointement avec la nature des intérêts de l</w:t>
      </w:r>
      <w:r>
        <w:rPr>
          <w:rFonts w:cs="Times New Roman"/>
          <w:lang w:val="fr-CA"/>
        </w:rPr>
        <w:t>’</w:t>
      </w:r>
      <w:r w:rsidRPr="00B536B2">
        <w:rPr>
          <w:rFonts w:cs="Times New Roman"/>
          <w:lang w:val="fr-CA"/>
        </w:rPr>
        <w:t>employeur et l</w:t>
      </w:r>
      <w:r>
        <w:rPr>
          <w:rFonts w:cs="Times New Roman"/>
          <w:lang w:val="fr-CA"/>
        </w:rPr>
        <w:t>’</w:t>
      </w:r>
      <w:r w:rsidRPr="00B536B2">
        <w:rPr>
          <w:rFonts w:cs="Times New Roman"/>
          <w:lang w:val="fr-CA"/>
        </w:rPr>
        <w:t>incidence de la politique sur les employés (</w:t>
      </w:r>
      <w:r w:rsidRPr="00B536B2">
        <w:rPr>
          <w:rFonts w:cs="Times New Roman"/>
          <w:i/>
          <w:lang w:val="fr-CA"/>
        </w:rPr>
        <w:t>Irving</w:t>
      </w:r>
      <w:r w:rsidRPr="00B536B2">
        <w:rPr>
          <w:rFonts w:cs="Times New Roman"/>
          <w:lang w:val="fr-CA"/>
        </w:rPr>
        <w:t xml:space="preserve">, </w:t>
      </w:r>
      <w:r>
        <w:rPr>
          <w:rFonts w:cs="Times New Roman"/>
          <w:lang w:val="fr-CA"/>
        </w:rPr>
        <w:t>par. </w:t>
      </w:r>
      <w:r w:rsidRPr="00B536B2">
        <w:rPr>
          <w:rFonts w:cs="Times New Roman"/>
          <w:lang w:val="fr-CA"/>
        </w:rPr>
        <w:t>27). Une preuve établissant qu</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y avait pas d</w:t>
      </w:r>
      <w:r>
        <w:rPr>
          <w:rFonts w:cs="Times New Roman"/>
          <w:lang w:val="fr-CA"/>
        </w:rPr>
        <w:t>’</w:t>
      </w:r>
      <w:r w:rsidRPr="00B536B2">
        <w:rPr>
          <w:rFonts w:cs="Times New Roman"/>
          <w:lang w:val="fr-CA"/>
        </w:rPr>
        <w:t>autres solutions aurait appuyé la thèse de l</w:t>
      </w:r>
      <w:r>
        <w:rPr>
          <w:rFonts w:cs="Times New Roman"/>
          <w:lang w:val="fr-CA"/>
        </w:rPr>
        <w:t>’</w:t>
      </w:r>
      <w:r w:rsidRPr="00B536B2">
        <w:rPr>
          <w:rFonts w:cs="Times New Roman"/>
          <w:lang w:val="fr-CA"/>
        </w:rPr>
        <w:t>intimé selon laquelle la directive était une réponse nécessaire. Il était donc loisible à l</w:t>
      </w:r>
      <w:r>
        <w:rPr>
          <w:rFonts w:cs="Times New Roman"/>
          <w:lang w:val="fr-CA"/>
        </w:rPr>
        <w:t>’</w:t>
      </w:r>
      <w:r w:rsidRPr="00B536B2">
        <w:rPr>
          <w:rFonts w:cs="Times New Roman"/>
          <w:lang w:val="fr-CA"/>
        </w:rPr>
        <w:t>arbitre de noter l</w:t>
      </w:r>
      <w:r>
        <w:rPr>
          <w:rFonts w:cs="Times New Roman"/>
          <w:lang w:val="fr-CA"/>
        </w:rPr>
        <w:t>’</w:t>
      </w:r>
      <w:r w:rsidRPr="00B536B2">
        <w:rPr>
          <w:rFonts w:cs="Times New Roman"/>
          <w:lang w:val="fr-CA"/>
        </w:rPr>
        <w:t>absence d</w:t>
      </w:r>
      <w:r>
        <w:rPr>
          <w:rFonts w:cs="Times New Roman"/>
          <w:lang w:val="fr-CA"/>
        </w:rPr>
        <w:t>’</w:t>
      </w:r>
      <w:r w:rsidRPr="00B536B2">
        <w:rPr>
          <w:rFonts w:cs="Times New Roman"/>
          <w:lang w:val="fr-CA"/>
        </w:rPr>
        <w:t>une telle preuve. Ce faisant, il n</w:t>
      </w:r>
      <w:r>
        <w:rPr>
          <w:rFonts w:cs="Times New Roman"/>
          <w:lang w:val="fr-CA"/>
        </w:rPr>
        <w:t>’</w:t>
      </w:r>
      <w:r w:rsidRPr="00B536B2">
        <w:rPr>
          <w:rFonts w:cs="Times New Roman"/>
          <w:lang w:val="fr-CA"/>
        </w:rPr>
        <w:t>imposait pas à l</w:t>
      </w:r>
      <w:r>
        <w:rPr>
          <w:rFonts w:cs="Times New Roman"/>
          <w:lang w:val="fr-CA"/>
        </w:rPr>
        <w:t>’employeur</w:t>
      </w:r>
      <w:r w:rsidRPr="00B536B2">
        <w:rPr>
          <w:rFonts w:cs="Times New Roman"/>
          <w:lang w:val="fr-CA"/>
        </w:rPr>
        <w:t xml:space="preserve"> le fardeau excessif de justifier la directive, mais il relevait plutôt l</w:t>
      </w:r>
      <w:r>
        <w:rPr>
          <w:rFonts w:cs="Times New Roman"/>
          <w:lang w:val="fr-CA"/>
        </w:rPr>
        <w:t>’</w:t>
      </w:r>
      <w:r w:rsidRPr="00B536B2">
        <w:rPr>
          <w:rFonts w:cs="Times New Roman"/>
          <w:lang w:val="fr-CA"/>
        </w:rPr>
        <w:t>absence d</w:t>
      </w:r>
      <w:r>
        <w:rPr>
          <w:rFonts w:cs="Times New Roman"/>
          <w:lang w:val="fr-CA"/>
        </w:rPr>
        <w:t>’</w:t>
      </w:r>
      <w:r w:rsidRPr="00B536B2">
        <w:rPr>
          <w:rFonts w:cs="Times New Roman"/>
          <w:lang w:val="fr-CA"/>
        </w:rPr>
        <w:t>un facteur qui aurait joué en faveur de l</w:t>
      </w:r>
      <w:r>
        <w:rPr>
          <w:rFonts w:cs="Times New Roman"/>
          <w:lang w:val="fr-CA"/>
        </w:rPr>
        <w:t>’employeur</w:t>
      </w:r>
      <w:r w:rsidRPr="00B536B2">
        <w:rPr>
          <w:rFonts w:cs="Times New Roman"/>
          <w:lang w:val="fr-CA"/>
        </w:rPr>
        <w:t xml:space="preserve"> s</w:t>
      </w:r>
      <w:r>
        <w:rPr>
          <w:rFonts w:cs="Times New Roman"/>
          <w:lang w:val="fr-CA"/>
        </w:rPr>
        <w:t>’</w:t>
      </w:r>
      <w:r w:rsidRPr="00B536B2">
        <w:rPr>
          <w:rFonts w:cs="Times New Roman"/>
          <w:lang w:val="fr-CA"/>
        </w:rPr>
        <w:t xml:space="preserve">il avait été présent. </w:t>
      </w:r>
    </w:p>
    <w:p w:rsidR="001B28CD" w:rsidRPr="00B536B2" w:rsidRDefault="001B28CD" w:rsidP="002B57A4">
      <w:pPr>
        <w:pStyle w:val="ParaNoNdepar-AltN"/>
        <w:widowControl w:val="0"/>
        <w:rPr>
          <w:rFonts w:cs="Times New Roman"/>
          <w:lang w:val="fr-CA"/>
        </w:rPr>
      </w:pPr>
      <w:r w:rsidRPr="00B536B2">
        <w:rPr>
          <w:rFonts w:cs="Times New Roman"/>
          <w:lang w:val="fr-CA"/>
        </w:rPr>
        <w:t>Enfin, l</w:t>
      </w:r>
      <w:r>
        <w:rPr>
          <w:rFonts w:cs="Times New Roman"/>
          <w:lang w:val="fr-CA"/>
        </w:rPr>
        <w:t>’</w:t>
      </w:r>
      <w:r w:rsidRPr="00B536B2">
        <w:rPr>
          <w:rFonts w:cs="Times New Roman"/>
          <w:lang w:val="fr-CA"/>
        </w:rPr>
        <w:t>intimé soutient que l</w:t>
      </w:r>
      <w:r>
        <w:rPr>
          <w:rFonts w:cs="Times New Roman"/>
          <w:lang w:val="fr-CA"/>
        </w:rPr>
        <w:t>’</w:t>
      </w:r>
      <w:r w:rsidRPr="00B536B2">
        <w:rPr>
          <w:rFonts w:cs="Times New Roman"/>
          <w:lang w:val="fr-CA"/>
        </w:rPr>
        <w:t>arbitre a mal interprété l</w:t>
      </w:r>
      <w:r>
        <w:rPr>
          <w:rFonts w:cs="Times New Roman"/>
          <w:lang w:val="fr-CA"/>
        </w:rPr>
        <w:t>’</w:t>
      </w:r>
      <w:r w:rsidRPr="00B536B2">
        <w:rPr>
          <w:rFonts w:cs="Times New Roman"/>
          <w:lang w:val="fr-CA"/>
        </w:rPr>
        <w:t>incidence de la directive sur les juristes. De son analyse de la question de savoir si la directive violait le droit à la liberté que l</w:t>
      </w:r>
      <w:r>
        <w:rPr>
          <w:rFonts w:cs="Times New Roman"/>
          <w:lang w:val="fr-CA"/>
        </w:rPr>
        <w:t>’art. </w:t>
      </w:r>
      <w:r w:rsidRPr="00B536B2">
        <w:rPr>
          <w:rFonts w:cs="Times New Roman"/>
          <w:lang w:val="fr-CA"/>
        </w:rPr>
        <w:t xml:space="preserve">7 de la </w:t>
      </w:r>
      <w:r w:rsidRPr="00B536B2">
        <w:rPr>
          <w:rFonts w:cs="Times New Roman"/>
          <w:i/>
          <w:lang w:val="fr-CA"/>
        </w:rPr>
        <w:t>Charte</w:t>
      </w:r>
      <w:r w:rsidRPr="00B536B2">
        <w:rPr>
          <w:rFonts w:cs="Times New Roman"/>
          <w:lang w:val="fr-CA"/>
        </w:rPr>
        <w:t xml:space="preserve"> garantit aux juristes, il ressort clairement </w:t>
      </w:r>
      <w:r w:rsidRPr="00B536B2">
        <w:rPr>
          <w:rFonts w:cs="Times New Roman"/>
          <w:lang w:val="fr-CA"/>
        </w:rPr>
        <w:lastRenderedPageBreak/>
        <w:t>que l</w:t>
      </w:r>
      <w:r>
        <w:rPr>
          <w:rFonts w:cs="Times New Roman"/>
          <w:lang w:val="fr-CA"/>
        </w:rPr>
        <w:t>’</w:t>
      </w:r>
      <w:r w:rsidRPr="00B536B2">
        <w:rPr>
          <w:rFonts w:cs="Times New Roman"/>
          <w:lang w:val="fr-CA"/>
        </w:rPr>
        <w:t>arbitre a considéré que son incidence sur la vie des juristes en dehors du travail était importante. Comme je l</w:t>
      </w:r>
      <w:r>
        <w:rPr>
          <w:rFonts w:cs="Times New Roman"/>
          <w:lang w:val="fr-CA"/>
        </w:rPr>
        <w:t>’</w:t>
      </w:r>
      <w:r w:rsidRPr="00B536B2">
        <w:rPr>
          <w:rFonts w:cs="Times New Roman"/>
          <w:lang w:val="fr-CA"/>
        </w:rPr>
        <w:t>explique plus loin, je suis d</w:t>
      </w:r>
      <w:r>
        <w:rPr>
          <w:rFonts w:cs="Times New Roman"/>
          <w:lang w:val="fr-CA"/>
        </w:rPr>
        <w:t>’</w:t>
      </w:r>
      <w:r w:rsidRPr="00B536B2">
        <w:rPr>
          <w:rFonts w:cs="Times New Roman"/>
          <w:lang w:val="fr-CA"/>
        </w:rPr>
        <w:t>accord avec l</w:t>
      </w:r>
      <w:r>
        <w:rPr>
          <w:rFonts w:cs="Times New Roman"/>
          <w:lang w:val="fr-CA"/>
        </w:rPr>
        <w:t>’</w:t>
      </w:r>
      <w:r w:rsidRPr="00B536B2">
        <w:rPr>
          <w:rFonts w:cs="Times New Roman"/>
          <w:lang w:val="fr-CA"/>
        </w:rPr>
        <w:t>intimé pour dire que l</w:t>
      </w:r>
      <w:r>
        <w:rPr>
          <w:rFonts w:cs="Times New Roman"/>
          <w:lang w:val="fr-CA"/>
        </w:rPr>
        <w:t>’</w:t>
      </w:r>
      <w:r w:rsidRPr="00B536B2">
        <w:rPr>
          <w:rFonts w:cs="Times New Roman"/>
          <w:lang w:val="fr-CA"/>
        </w:rPr>
        <w:t>arbitre a commis une erreur dans sa qualification juridique de l</w:t>
      </w:r>
      <w:r>
        <w:rPr>
          <w:rFonts w:cs="Times New Roman"/>
          <w:lang w:val="fr-CA"/>
        </w:rPr>
        <w:t>’</w:t>
      </w:r>
      <w:r w:rsidRPr="00B536B2">
        <w:rPr>
          <w:rFonts w:cs="Times New Roman"/>
          <w:lang w:val="fr-CA"/>
        </w:rPr>
        <w:t>incidence de la directive sur les juristes dans son analyse fondée sur l</w:t>
      </w:r>
      <w:r>
        <w:rPr>
          <w:rFonts w:cs="Times New Roman"/>
          <w:lang w:val="fr-CA"/>
        </w:rPr>
        <w:t>’art. </w:t>
      </w:r>
      <w:r w:rsidRPr="00B536B2">
        <w:rPr>
          <w:rFonts w:cs="Times New Roman"/>
          <w:lang w:val="fr-CA"/>
        </w:rPr>
        <w:t xml:space="preserve">7 de la </w:t>
      </w:r>
      <w:r w:rsidRPr="00B536B2">
        <w:rPr>
          <w:rFonts w:cs="Times New Roman"/>
          <w:i/>
          <w:lang w:val="fr-CA"/>
        </w:rPr>
        <w:t>Charte</w:t>
      </w:r>
      <w:r w:rsidRPr="00B536B2">
        <w:rPr>
          <w:rFonts w:cs="Times New Roman"/>
          <w:lang w:val="fr-CA"/>
        </w:rPr>
        <w:t>. Toutefois, à mon avis, à supposer même que l</w:t>
      </w:r>
      <w:r>
        <w:rPr>
          <w:rFonts w:cs="Times New Roman"/>
          <w:lang w:val="fr-CA"/>
        </w:rPr>
        <w:t>’</w:t>
      </w:r>
      <w:r w:rsidRPr="00B536B2">
        <w:rPr>
          <w:rFonts w:cs="Times New Roman"/>
          <w:lang w:val="fr-CA"/>
        </w:rPr>
        <w:t>arbitre ait également accordé trop de poids à l</w:t>
      </w:r>
      <w:r>
        <w:rPr>
          <w:rFonts w:cs="Times New Roman"/>
          <w:lang w:val="fr-CA"/>
        </w:rPr>
        <w:t>’</w:t>
      </w:r>
      <w:r w:rsidRPr="00B536B2">
        <w:rPr>
          <w:rFonts w:cs="Times New Roman"/>
          <w:lang w:val="fr-CA"/>
        </w:rPr>
        <w:t>incidence de la directive dans son appréciation du caractère raisonnable de celle</w:t>
      </w:r>
      <w:r>
        <w:rPr>
          <w:rFonts w:cs="Times New Roman"/>
          <w:lang w:val="fr-CA"/>
        </w:rPr>
        <w:noBreakHyphen/>
      </w:r>
      <w:r w:rsidRPr="00B536B2">
        <w:rPr>
          <w:rFonts w:cs="Times New Roman"/>
          <w:lang w:val="fr-CA"/>
        </w:rPr>
        <w:t>ci suivant l</w:t>
      </w:r>
      <w:r>
        <w:rPr>
          <w:rFonts w:cs="Times New Roman"/>
          <w:lang w:val="fr-CA"/>
        </w:rPr>
        <w:t>’</w:t>
      </w:r>
      <w:r w:rsidRPr="00B536B2">
        <w:rPr>
          <w:rFonts w:cs="Times New Roman"/>
          <w:lang w:val="fr-CA"/>
        </w:rPr>
        <w:t>analyse axée sur la mise en balance des intérêts, l</w:t>
      </w:r>
      <w:r>
        <w:rPr>
          <w:rFonts w:cs="Times New Roman"/>
          <w:lang w:val="fr-CA"/>
        </w:rPr>
        <w:t>’</w:t>
      </w:r>
      <w:r w:rsidRPr="00B536B2">
        <w:rPr>
          <w:rFonts w:cs="Times New Roman"/>
          <w:lang w:val="fr-CA"/>
        </w:rPr>
        <w:t>intervention judiciaire sur ce point n</w:t>
      </w:r>
      <w:r>
        <w:rPr>
          <w:rFonts w:cs="Times New Roman"/>
          <w:lang w:val="fr-CA"/>
        </w:rPr>
        <w:t>’</w:t>
      </w:r>
      <w:r w:rsidRPr="00B536B2">
        <w:rPr>
          <w:rFonts w:cs="Times New Roman"/>
          <w:lang w:val="fr-CA"/>
        </w:rPr>
        <w:t>est pas justifiée. Rien n</w:t>
      </w:r>
      <w:r>
        <w:rPr>
          <w:rFonts w:cs="Times New Roman"/>
          <w:lang w:val="fr-CA"/>
        </w:rPr>
        <w:t>’</w:t>
      </w:r>
      <w:r w:rsidRPr="00B536B2">
        <w:rPr>
          <w:rFonts w:cs="Times New Roman"/>
          <w:lang w:val="fr-CA"/>
        </w:rPr>
        <w:t>indique que l</w:t>
      </w:r>
      <w:r>
        <w:rPr>
          <w:rFonts w:cs="Times New Roman"/>
          <w:lang w:val="fr-CA"/>
        </w:rPr>
        <w:t>’</w:t>
      </w:r>
      <w:r w:rsidRPr="00B536B2">
        <w:rPr>
          <w:rFonts w:cs="Times New Roman"/>
          <w:lang w:val="fr-CA"/>
        </w:rPr>
        <w:t>arbitre a mal compris les effets observables de la directive sur les juristes, dont font état les parties dans l</w:t>
      </w:r>
      <w:r>
        <w:rPr>
          <w:rFonts w:cs="Times New Roman"/>
          <w:lang w:val="fr-CA"/>
        </w:rPr>
        <w:t>’</w:t>
      </w:r>
      <w:r w:rsidRPr="00B536B2">
        <w:rPr>
          <w:rFonts w:cs="Times New Roman"/>
          <w:lang w:val="fr-CA"/>
        </w:rPr>
        <w:t>exposé conjoint des faits. En outre, la conclusion de l</w:t>
      </w:r>
      <w:r>
        <w:rPr>
          <w:rFonts w:cs="Times New Roman"/>
          <w:lang w:val="fr-CA"/>
        </w:rPr>
        <w:t>’</w:t>
      </w:r>
      <w:r w:rsidRPr="00B536B2">
        <w:rPr>
          <w:rFonts w:cs="Times New Roman"/>
          <w:lang w:val="fr-CA"/>
        </w:rPr>
        <w:t>arbitre suivant laquelle la directive n</w:t>
      </w:r>
      <w:r>
        <w:rPr>
          <w:rFonts w:cs="Times New Roman"/>
          <w:lang w:val="fr-CA"/>
        </w:rPr>
        <w:t>’</w:t>
      </w:r>
      <w:r w:rsidRPr="00B536B2">
        <w:rPr>
          <w:rFonts w:cs="Times New Roman"/>
          <w:lang w:val="fr-CA"/>
        </w:rPr>
        <w:t>était ni raisonnable ni équitable ne reposait pas sur sa compréhension de ces effets. Ses motifs portaient plutôt principalement sur le contexte et la nature générale de la directive. En particulier, l</w:t>
      </w:r>
      <w:r>
        <w:rPr>
          <w:rFonts w:cs="Times New Roman"/>
          <w:lang w:val="fr-CA"/>
        </w:rPr>
        <w:t>’</w:t>
      </w:r>
      <w:r w:rsidRPr="00B536B2">
        <w:rPr>
          <w:rFonts w:cs="Times New Roman"/>
          <w:lang w:val="fr-CA"/>
        </w:rPr>
        <w:t>arbitre a mis en évidence l</w:t>
      </w:r>
      <w:r>
        <w:rPr>
          <w:rFonts w:cs="Times New Roman"/>
          <w:lang w:val="fr-CA"/>
        </w:rPr>
        <w:t>’</w:t>
      </w:r>
      <w:r w:rsidRPr="00B536B2">
        <w:rPr>
          <w:rFonts w:cs="Times New Roman"/>
          <w:lang w:val="fr-CA"/>
        </w:rPr>
        <w:t>absence de clause de disponibilité dans la convention collective ou dans les contrats d</w:t>
      </w:r>
      <w:r>
        <w:rPr>
          <w:rFonts w:cs="Times New Roman"/>
          <w:lang w:val="fr-CA"/>
        </w:rPr>
        <w:t>’</w:t>
      </w:r>
      <w:r w:rsidRPr="00B536B2">
        <w:rPr>
          <w:rFonts w:cs="Times New Roman"/>
          <w:lang w:val="fr-CA"/>
        </w:rPr>
        <w:t>emploi, la nature exceptionnelle de la directive dans le secteur et le fait que celle</w:t>
      </w:r>
      <w:r>
        <w:rPr>
          <w:rFonts w:cs="Times New Roman"/>
          <w:lang w:val="fr-CA"/>
        </w:rPr>
        <w:noBreakHyphen/>
      </w:r>
      <w:r w:rsidRPr="00B536B2">
        <w:rPr>
          <w:rFonts w:cs="Times New Roman"/>
          <w:lang w:val="fr-CA"/>
        </w:rPr>
        <w:t>ci avait modifié une pratique de longue date consistant à rémunérer les juristes pour les périodes de garde. Ces considérations à elles seules étaient suffisantes pour appuyer sa conclusion.</w:t>
      </w:r>
    </w:p>
    <w:p w:rsidR="001B28CD" w:rsidRPr="00B536B2" w:rsidRDefault="001B28CD" w:rsidP="002B57A4">
      <w:pPr>
        <w:pStyle w:val="ParaNoNdepar-AltN"/>
        <w:widowControl w:val="0"/>
        <w:rPr>
          <w:rFonts w:cs="Times New Roman"/>
          <w:lang w:val="fr-CA"/>
        </w:rPr>
      </w:pPr>
      <w:r w:rsidRPr="00B536B2">
        <w:rPr>
          <w:rFonts w:cs="Times New Roman"/>
          <w:lang w:val="fr-CA"/>
        </w:rPr>
        <w:t>À mon avis, il est clair que l</w:t>
      </w:r>
      <w:r>
        <w:rPr>
          <w:rFonts w:cs="Times New Roman"/>
          <w:lang w:val="fr-CA"/>
        </w:rPr>
        <w:t>’</w:t>
      </w:r>
      <w:r w:rsidRPr="00B536B2">
        <w:rPr>
          <w:rFonts w:cs="Times New Roman"/>
          <w:lang w:val="fr-CA"/>
        </w:rPr>
        <w:t xml:space="preserve">arbitre en serait venu à la même décision en ce qui concerne le </w:t>
      </w:r>
      <w:r>
        <w:rPr>
          <w:rFonts w:cs="Times New Roman"/>
          <w:lang w:val="fr-CA"/>
        </w:rPr>
        <w:t>par. </w:t>
      </w:r>
      <w:r w:rsidRPr="00B536B2">
        <w:rPr>
          <w:rFonts w:cs="Times New Roman"/>
          <w:lang w:val="fr-CA"/>
        </w:rPr>
        <w:t>5.02 même s</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avait pas commis d</w:t>
      </w:r>
      <w:r>
        <w:rPr>
          <w:rFonts w:cs="Times New Roman"/>
          <w:lang w:val="fr-CA"/>
        </w:rPr>
        <w:t>’</w:t>
      </w:r>
      <w:r w:rsidRPr="00B536B2">
        <w:rPr>
          <w:rFonts w:cs="Times New Roman"/>
          <w:lang w:val="fr-CA"/>
        </w:rPr>
        <w:t>erreur dans son analyse de la conformité de la directive à l</w:t>
      </w:r>
      <w:r>
        <w:rPr>
          <w:rFonts w:cs="Times New Roman"/>
          <w:lang w:val="fr-CA"/>
        </w:rPr>
        <w:t>’art. </w:t>
      </w:r>
      <w:r w:rsidRPr="00B536B2">
        <w:rPr>
          <w:rFonts w:cs="Times New Roman"/>
          <w:lang w:val="fr-CA"/>
        </w:rPr>
        <w:t xml:space="preserve">7 de la </w:t>
      </w:r>
      <w:r w:rsidRPr="00B536B2">
        <w:rPr>
          <w:rFonts w:cs="Times New Roman"/>
          <w:i/>
          <w:lang w:val="fr-CA"/>
        </w:rPr>
        <w:t>Charte</w:t>
      </w:r>
      <w:r w:rsidRPr="00B536B2">
        <w:rPr>
          <w:rFonts w:cs="Times New Roman"/>
          <w:lang w:val="fr-CA"/>
        </w:rPr>
        <w:t>. Les deux cadres d</w:t>
      </w:r>
      <w:r>
        <w:rPr>
          <w:rFonts w:cs="Times New Roman"/>
          <w:lang w:val="fr-CA"/>
        </w:rPr>
        <w:t>’</w:t>
      </w:r>
      <w:r w:rsidRPr="00B536B2">
        <w:rPr>
          <w:rFonts w:cs="Times New Roman"/>
          <w:lang w:val="fr-CA"/>
        </w:rPr>
        <w:t>analyse ne se recoupaient pas; il n</w:t>
      </w:r>
      <w:r>
        <w:rPr>
          <w:rFonts w:cs="Times New Roman"/>
          <w:lang w:val="fr-CA"/>
        </w:rPr>
        <w:t>’</w:t>
      </w:r>
      <w:r w:rsidRPr="00B536B2">
        <w:rPr>
          <w:rFonts w:cs="Times New Roman"/>
          <w:lang w:val="fr-CA"/>
        </w:rPr>
        <w:t>a pas non plus transposé quelque conclusion que ce soit d</w:t>
      </w:r>
      <w:r>
        <w:rPr>
          <w:rFonts w:cs="Times New Roman"/>
          <w:lang w:val="fr-CA"/>
        </w:rPr>
        <w:t>’</w:t>
      </w:r>
      <w:r w:rsidRPr="00B536B2">
        <w:rPr>
          <w:rFonts w:cs="Times New Roman"/>
          <w:lang w:val="fr-CA"/>
        </w:rPr>
        <w:t>un cadre à l</w:t>
      </w:r>
      <w:r>
        <w:rPr>
          <w:rFonts w:cs="Times New Roman"/>
          <w:lang w:val="fr-CA"/>
        </w:rPr>
        <w:t>’</w:t>
      </w:r>
      <w:r w:rsidRPr="00B536B2">
        <w:rPr>
          <w:rFonts w:cs="Times New Roman"/>
          <w:lang w:val="fr-CA"/>
        </w:rPr>
        <w:t>autre. Sa conclusion indépendante selon laquelle la directive n</w:t>
      </w:r>
      <w:r>
        <w:rPr>
          <w:rFonts w:cs="Times New Roman"/>
          <w:lang w:val="fr-CA"/>
        </w:rPr>
        <w:t>’</w:t>
      </w:r>
      <w:r w:rsidRPr="00B536B2">
        <w:rPr>
          <w:rFonts w:cs="Times New Roman"/>
          <w:lang w:val="fr-CA"/>
        </w:rPr>
        <w:t xml:space="preserve">était ni raisonnable </w:t>
      </w:r>
      <w:r w:rsidRPr="00B536B2">
        <w:rPr>
          <w:rFonts w:cs="Times New Roman"/>
          <w:lang w:val="fr-CA"/>
        </w:rPr>
        <w:lastRenderedPageBreak/>
        <w:t>ni équitable appartenait aux issues raisonnables, et je suis d</w:t>
      </w:r>
      <w:r>
        <w:rPr>
          <w:rFonts w:cs="Times New Roman"/>
          <w:lang w:val="fr-CA"/>
        </w:rPr>
        <w:t>’</w:t>
      </w:r>
      <w:r w:rsidRPr="00B536B2">
        <w:rPr>
          <w:rFonts w:cs="Times New Roman"/>
          <w:lang w:val="fr-CA"/>
        </w:rPr>
        <w:t>accord avec l</w:t>
      </w:r>
      <w:r>
        <w:rPr>
          <w:rFonts w:cs="Times New Roman"/>
          <w:lang w:val="fr-CA"/>
        </w:rPr>
        <w:t>’</w:t>
      </w:r>
      <w:r w:rsidRPr="00B536B2">
        <w:rPr>
          <w:rFonts w:cs="Times New Roman"/>
          <w:lang w:val="fr-CA"/>
        </w:rPr>
        <w:t>appelante pour dire qu</w:t>
      </w:r>
      <w:r>
        <w:rPr>
          <w:rFonts w:cs="Times New Roman"/>
          <w:lang w:val="fr-CA"/>
        </w:rPr>
        <w:t>’</w:t>
      </w:r>
      <w:r w:rsidRPr="00B536B2">
        <w:rPr>
          <w:rFonts w:cs="Times New Roman"/>
          <w:lang w:val="fr-CA"/>
        </w:rPr>
        <w:t>il n</w:t>
      </w:r>
      <w:r>
        <w:rPr>
          <w:rFonts w:cs="Times New Roman"/>
          <w:lang w:val="fr-CA"/>
        </w:rPr>
        <w:t>’</w:t>
      </w:r>
      <w:r w:rsidRPr="00B536B2">
        <w:rPr>
          <w:rFonts w:cs="Times New Roman"/>
          <w:lang w:val="fr-CA"/>
        </w:rPr>
        <w:t>y a pas lieu de la modifier.</w:t>
      </w:r>
    </w:p>
    <w:p w:rsidR="001B28CD" w:rsidRPr="00B536B2" w:rsidRDefault="001B28CD" w:rsidP="002B57A4">
      <w:pPr>
        <w:pStyle w:val="Title4LevelTitre4Niveau"/>
        <w:widowControl w:val="0"/>
        <w:rPr>
          <w:rFonts w:cs="Times New Roman"/>
          <w:lang w:val="fr-CA"/>
        </w:rPr>
      </w:pPr>
      <w:r w:rsidRPr="00B536B2">
        <w:rPr>
          <w:rFonts w:cs="Times New Roman"/>
          <w:lang w:val="fr-CA"/>
        </w:rPr>
        <w:t>La mise en balance générale</w:t>
      </w:r>
    </w:p>
    <w:p w:rsidR="001B28CD" w:rsidRPr="00B536B2" w:rsidRDefault="001B28CD" w:rsidP="002B57A4">
      <w:pPr>
        <w:pStyle w:val="ParaNoNdepar-AltN"/>
        <w:widowControl w:val="0"/>
        <w:rPr>
          <w:rFonts w:cs="Times New Roman"/>
          <w:lang w:val="fr-CA"/>
        </w:rPr>
      </w:pPr>
      <w:r w:rsidRPr="00B536B2">
        <w:rPr>
          <w:rFonts w:cs="Times New Roman"/>
          <w:lang w:val="fr-CA"/>
        </w:rPr>
        <w:t>J</w:t>
      </w:r>
      <w:r>
        <w:rPr>
          <w:rFonts w:cs="Times New Roman"/>
          <w:lang w:val="fr-CA"/>
        </w:rPr>
        <w:t>’</w:t>
      </w:r>
      <w:r w:rsidRPr="00B536B2">
        <w:rPr>
          <w:rFonts w:cs="Times New Roman"/>
          <w:lang w:val="fr-CA"/>
        </w:rPr>
        <w:t>ajoute que je conviens aussi avec l</w:t>
      </w:r>
      <w:r>
        <w:rPr>
          <w:rFonts w:cs="Times New Roman"/>
          <w:lang w:val="fr-CA"/>
        </w:rPr>
        <w:t>’</w:t>
      </w:r>
      <w:r w:rsidRPr="00B536B2">
        <w:rPr>
          <w:rFonts w:cs="Times New Roman"/>
          <w:lang w:val="fr-CA"/>
        </w:rPr>
        <w:t>appelante que la Cour d</w:t>
      </w:r>
      <w:r>
        <w:rPr>
          <w:rFonts w:cs="Times New Roman"/>
          <w:lang w:val="fr-CA"/>
        </w:rPr>
        <w:t>’</w:t>
      </w:r>
      <w:r w:rsidRPr="00B536B2">
        <w:rPr>
          <w:rFonts w:cs="Times New Roman"/>
          <w:lang w:val="fr-CA"/>
        </w:rPr>
        <w:t>appel fédérale a commis une erreur en substituant sa propre mise en balance des intérêts en cause à celle de l</w:t>
      </w:r>
      <w:r>
        <w:rPr>
          <w:rFonts w:cs="Times New Roman"/>
          <w:lang w:val="fr-CA"/>
        </w:rPr>
        <w:t>’</w:t>
      </w:r>
      <w:r w:rsidRPr="00B536B2">
        <w:rPr>
          <w:rFonts w:cs="Times New Roman"/>
          <w:lang w:val="fr-CA"/>
        </w:rPr>
        <w:t>arbitre. Cette cour a annulé la décision de l</w:t>
      </w:r>
      <w:r>
        <w:rPr>
          <w:rFonts w:cs="Times New Roman"/>
          <w:lang w:val="fr-CA"/>
        </w:rPr>
        <w:t>’</w:t>
      </w:r>
      <w:r w:rsidRPr="00B536B2">
        <w:rPr>
          <w:rFonts w:cs="Times New Roman"/>
          <w:lang w:val="fr-CA"/>
        </w:rPr>
        <w:t>arbitre et a ordonné au prochain arbitre de conclure que la directive constituait un exercice équitable et raisonnable des droits résiduels de direction de l</w:t>
      </w:r>
      <w:r>
        <w:rPr>
          <w:rFonts w:cs="Times New Roman"/>
          <w:lang w:val="fr-CA"/>
        </w:rPr>
        <w:t>’</w:t>
      </w:r>
      <w:r w:rsidRPr="00B536B2">
        <w:rPr>
          <w:rFonts w:cs="Times New Roman"/>
          <w:lang w:val="fr-CA"/>
        </w:rPr>
        <w:t>employeur (</w:t>
      </w:r>
      <w:r>
        <w:rPr>
          <w:rFonts w:cs="Times New Roman"/>
          <w:lang w:val="fr-CA"/>
        </w:rPr>
        <w:t>par. </w:t>
      </w:r>
      <w:r w:rsidRPr="00B536B2">
        <w:rPr>
          <w:rFonts w:cs="Times New Roman"/>
          <w:lang w:val="fr-CA"/>
        </w:rPr>
        <w:t>49). Toutefois, le pouvoir d</w:t>
      </w:r>
      <w:r>
        <w:rPr>
          <w:rFonts w:cs="Times New Roman"/>
          <w:lang w:val="fr-CA"/>
        </w:rPr>
        <w:t>’</w:t>
      </w:r>
      <w:r w:rsidRPr="00B536B2">
        <w:rPr>
          <w:rFonts w:cs="Times New Roman"/>
          <w:lang w:val="fr-CA"/>
        </w:rPr>
        <w:t>un tribunal de substituer sa propre conclusion sur l</w:t>
      </w:r>
      <w:r>
        <w:rPr>
          <w:rFonts w:cs="Times New Roman"/>
          <w:lang w:val="fr-CA"/>
        </w:rPr>
        <w:t>’</w:t>
      </w:r>
      <w:r w:rsidRPr="00B536B2">
        <w:rPr>
          <w:rFonts w:cs="Times New Roman"/>
          <w:lang w:val="fr-CA"/>
        </w:rPr>
        <w:t>issue d</w:t>
      </w:r>
      <w:r>
        <w:rPr>
          <w:rFonts w:cs="Times New Roman"/>
          <w:lang w:val="fr-CA"/>
        </w:rPr>
        <w:t>’</w:t>
      </w:r>
      <w:r w:rsidRPr="00B536B2">
        <w:rPr>
          <w:rFonts w:cs="Times New Roman"/>
          <w:lang w:val="fr-CA"/>
        </w:rPr>
        <w:t>un grief est limité (R. J. </w:t>
      </w:r>
      <w:proofErr w:type="spellStart"/>
      <w:r w:rsidRPr="00B536B2">
        <w:rPr>
          <w:rFonts w:cs="Times New Roman"/>
          <w:lang w:val="fr-CA"/>
        </w:rPr>
        <w:t>Charney</w:t>
      </w:r>
      <w:proofErr w:type="spellEnd"/>
      <w:r w:rsidRPr="00B536B2">
        <w:rPr>
          <w:rFonts w:cs="Times New Roman"/>
          <w:lang w:val="fr-CA"/>
        </w:rPr>
        <w:t xml:space="preserve"> et T. E. F. Brady, </w:t>
      </w:r>
      <w:proofErr w:type="spellStart"/>
      <w:r w:rsidRPr="00B536B2">
        <w:rPr>
          <w:rFonts w:cs="Times New Roman"/>
          <w:i/>
          <w:lang w:val="fr-CA"/>
        </w:rPr>
        <w:t>Judicial</w:t>
      </w:r>
      <w:proofErr w:type="spellEnd"/>
      <w:r w:rsidRPr="00B536B2">
        <w:rPr>
          <w:rFonts w:cs="Times New Roman"/>
          <w:i/>
          <w:lang w:val="fr-CA"/>
        </w:rPr>
        <w:t xml:space="preserve"> </w:t>
      </w:r>
      <w:proofErr w:type="spellStart"/>
      <w:r w:rsidRPr="00B536B2">
        <w:rPr>
          <w:rFonts w:cs="Times New Roman"/>
          <w:i/>
          <w:lang w:val="fr-CA"/>
        </w:rPr>
        <w:t>Review</w:t>
      </w:r>
      <w:proofErr w:type="spellEnd"/>
      <w:r w:rsidRPr="00B536B2">
        <w:rPr>
          <w:rFonts w:cs="Times New Roman"/>
          <w:i/>
          <w:lang w:val="fr-CA"/>
        </w:rPr>
        <w:t xml:space="preserve"> in Labour Law</w:t>
      </w:r>
      <w:r w:rsidRPr="00B536B2">
        <w:rPr>
          <w:rFonts w:cs="Times New Roman"/>
          <w:lang w:val="fr-CA"/>
        </w:rPr>
        <w:t xml:space="preserve"> (feuilles mobiles), </w:t>
      </w:r>
      <w:r>
        <w:rPr>
          <w:rFonts w:cs="Times New Roman"/>
          <w:lang w:val="fr-CA"/>
        </w:rPr>
        <w:t>par. </w:t>
      </w:r>
      <w:r w:rsidRPr="00B536B2">
        <w:rPr>
          <w:rFonts w:cs="Times New Roman"/>
          <w:lang w:val="fr-CA"/>
        </w:rPr>
        <w:t>17.40). En statuant sur l</w:t>
      </w:r>
      <w:r>
        <w:rPr>
          <w:rFonts w:cs="Times New Roman"/>
          <w:lang w:val="fr-CA"/>
        </w:rPr>
        <w:t>’</w:t>
      </w:r>
      <w:r w:rsidRPr="00B536B2">
        <w:rPr>
          <w:rFonts w:cs="Times New Roman"/>
          <w:lang w:val="fr-CA"/>
        </w:rPr>
        <w:t>interprétation appropriée à donner à des clauses de conventions collectives, les arbitres ne font pas d</w:t>
      </w:r>
      <w:r>
        <w:rPr>
          <w:rFonts w:cs="Times New Roman"/>
          <w:lang w:val="fr-CA"/>
        </w:rPr>
        <w:t>’</w:t>
      </w:r>
      <w:r w:rsidRPr="00B536B2">
        <w:rPr>
          <w:rFonts w:cs="Times New Roman"/>
          <w:lang w:val="fr-CA"/>
        </w:rPr>
        <w:t>appréciations dans l</w:t>
      </w:r>
      <w:r>
        <w:rPr>
          <w:rFonts w:cs="Times New Roman"/>
          <w:lang w:val="fr-CA"/>
        </w:rPr>
        <w:t>’</w:t>
      </w:r>
      <w:r w:rsidRPr="00B536B2">
        <w:rPr>
          <w:rFonts w:cs="Times New Roman"/>
          <w:lang w:val="fr-CA"/>
        </w:rPr>
        <w:t>abstrait. Ils tiennent compte plutôt du contexte et de l</w:t>
      </w:r>
      <w:r>
        <w:rPr>
          <w:rFonts w:cs="Times New Roman"/>
          <w:lang w:val="fr-CA"/>
        </w:rPr>
        <w:t>’</w:t>
      </w:r>
      <w:r w:rsidRPr="00B536B2">
        <w:rPr>
          <w:rFonts w:cs="Times New Roman"/>
          <w:lang w:val="fr-CA"/>
        </w:rPr>
        <w:t>historique des relations du travail dans le secteur (Brown et Beatty, sujet 4:2300). C</w:t>
      </w:r>
      <w:r>
        <w:rPr>
          <w:rFonts w:cs="Times New Roman"/>
          <w:lang w:val="fr-CA"/>
        </w:rPr>
        <w:t>’</w:t>
      </w:r>
      <w:r w:rsidRPr="00B536B2">
        <w:rPr>
          <w:rFonts w:cs="Times New Roman"/>
          <w:lang w:val="fr-CA"/>
        </w:rPr>
        <w:t>est notamment le cas en ce qui concerne les questions relatives aux droits de la direction (</w:t>
      </w:r>
      <w:r w:rsidRPr="00B536B2">
        <w:rPr>
          <w:rFonts w:cs="Times New Roman"/>
          <w:i/>
          <w:lang w:val="fr-CA"/>
        </w:rPr>
        <w:t>ibid</w:t>
      </w:r>
      <w:r w:rsidR="003F5A75">
        <w:rPr>
          <w:rFonts w:cs="Times New Roman"/>
          <w:i/>
          <w:lang w:val="fr-CA"/>
        </w:rPr>
        <w:t>.</w:t>
      </w:r>
      <w:r w:rsidRPr="00B536B2">
        <w:rPr>
          <w:rFonts w:cs="Times New Roman"/>
          <w:lang w:val="fr-CA"/>
        </w:rPr>
        <w:t>, sujet 4:2310). L</w:t>
      </w:r>
      <w:r>
        <w:rPr>
          <w:rFonts w:cs="Times New Roman"/>
          <w:lang w:val="fr-CA"/>
        </w:rPr>
        <w:t>’</w:t>
      </w:r>
      <w:r w:rsidRPr="00B536B2">
        <w:rPr>
          <w:rFonts w:cs="Times New Roman"/>
          <w:lang w:val="fr-CA"/>
        </w:rPr>
        <w:t>expertise que mettent à profit les arbitres en droit du travail dans cette analyse est une autre raison pour laquelle leur rôle devrait être respecté. Il ne s</w:t>
      </w:r>
      <w:r>
        <w:rPr>
          <w:rFonts w:cs="Times New Roman"/>
          <w:lang w:val="fr-CA"/>
        </w:rPr>
        <w:t>’</w:t>
      </w:r>
      <w:r w:rsidRPr="00B536B2">
        <w:rPr>
          <w:rFonts w:cs="Times New Roman"/>
          <w:lang w:val="fr-CA"/>
        </w:rPr>
        <w:t>agissait pas en l</w:t>
      </w:r>
      <w:r>
        <w:rPr>
          <w:rFonts w:cs="Times New Roman"/>
          <w:lang w:val="fr-CA"/>
        </w:rPr>
        <w:t>’</w:t>
      </w:r>
      <w:r w:rsidRPr="00B536B2">
        <w:rPr>
          <w:rFonts w:cs="Times New Roman"/>
          <w:lang w:val="fr-CA"/>
        </w:rPr>
        <w:t>espèce d</w:t>
      </w:r>
      <w:r>
        <w:rPr>
          <w:rFonts w:cs="Times New Roman"/>
          <w:lang w:val="fr-CA"/>
        </w:rPr>
        <w:t>’</w:t>
      </w:r>
      <w:r w:rsidRPr="00B536B2">
        <w:rPr>
          <w:rFonts w:cs="Times New Roman"/>
          <w:lang w:val="fr-CA"/>
        </w:rPr>
        <w:t>une situation où il n</w:t>
      </w:r>
      <w:r>
        <w:rPr>
          <w:rFonts w:cs="Times New Roman"/>
          <w:lang w:val="fr-CA"/>
        </w:rPr>
        <w:t>’</w:t>
      </w:r>
      <w:r w:rsidRPr="00B536B2">
        <w:rPr>
          <w:rFonts w:cs="Times New Roman"/>
          <w:lang w:val="fr-CA"/>
        </w:rPr>
        <w:t>y avait manifestement qu</w:t>
      </w:r>
      <w:r>
        <w:rPr>
          <w:rFonts w:cs="Times New Roman"/>
          <w:lang w:val="fr-CA"/>
        </w:rPr>
        <w:t>’</w:t>
      </w:r>
      <w:r w:rsidRPr="00B536B2">
        <w:rPr>
          <w:rFonts w:cs="Times New Roman"/>
          <w:lang w:val="fr-CA"/>
        </w:rPr>
        <w:t>un seul résultat raisonnable, justifiant une décision judiciaire en ce sens (</w:t>
      </w:r>
      <w:proofErr w:type="spellStart"/>
      <w:r w:rsidRPr="00B536B2">
        <w:rPr>
          <w:rFonts w:cs="Times New Roman"/>
          <w:lang w:val="fr-CA"/>
        </w:rPr>
        <w:t>Charney</w:t>
      </w:r>
      <w:proofErr w:type="spellEnd"/>
      <w:r w:rsidRPr="00B536B2">
        <w:rPr>
          <w:rFonts w:cs="Times New Roman"/>
          <w:lang w:val="fr-CA"/>
        </w:rPr>
        <w:t xml:space="preserve"> et Brady, </w:t>
      </w:r>
      <w:r>
        <w:rPr>
          <w:rFonts w:cs="Times New Roman"/>
          <w:lang w:val="fr-CA"/>
        </w:rPr>
        <w:t>par. </w:t>
      </w:r>
      <w:r w:rsidRPr="00B536B2">
        <w:rPr>
          <w:rFonts w:cs="Times New Roman"/>
          <w:lang w:val="fr-CA"/>
        </w:rPr>
        <w:t>17.61).</w:t>
      </w:r>
      <w:r w:rsidRPr="00B536B2" w:rsidDel="00D16E48">
        <w:rPr>
          <w:rFonts w:cs="Times New Roman"/>
          <w:lang w:val="fr-CA"/>
        </w:rPr>
        <w:t xml:space="preserve"> </w:t>
      </w:r>
    </w:p>
    <w:p w:rsidR="001B28CD" w:rsidRPr="00B536B2" w:rsidRDefault="001B28CD" w:rsidP="002B57A4">
      <w:pPr>
        <w:pStyle w:val="Title2LevelTitre2Niveau"/>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article 7 de la Charte</w:t>
      </w:r>
    </w:p>
    <w:p w:rsidR="001B28CD" w:rsidRPr="00B536B2" w:rsidRDefault="001B28CD" w:rsidP="002B57A4">
      <w:pPr>
        <w:pStyle w:val="ParaNoNdepar-AltN"/>
        <w:widowControl w:val="0"/>
        <w:rPr>
          <w:rFonts w:cs="Times New Roman"/>
          <w:lang w:val="fr-CA"/>
        </w:rPr>
      </w:pPr>
      <w:r w:rsidRPr="00B536B2">
        <w:rPr>
          <w:rFonts w:cs="Times New Roman"/>
          <w:lang w:val="fr-CA"/>
        </w:rPr>
        <w:lastRenderedPageBreak/>
        <w:t>L</w:t>
      </w:r>
      <w:r>
        <w:rPr>
          <w:rFonts w:cs="Times New Roman"/>
          <w:lang w:val="fr-CA"/>
        </w:rPr>
        <w:t>’</w:t>
      </w:r>
      <w:r w:rsidRPr="00B536B2">
        <w:rPr>
          <w:rFonts w:cs="Times New Roman"/>
          <w:lang w:val="fr-CA"/>
        </w:rPr>
        <w:t>appelante fait aussi valoir que la directive porte atteinte, d</w:t>
      </w:r>
      <w:r>
        <w:rPr>
          <w:rFonts w:cs="Times New Roman"/>
          <w:lang w:val="fr-CA"/>
        </w:rPr>
        <w:t>’</w:t>
      </w:r>
      <w:r w:rsidRPr="00B536B2">
        <w:rPr>
          <w:rFonts w:cs="Times New Roman"/>
          <w:lang w:val="fr-CA"/>
        </w:rPr>
        <w:t>une manière non conforme aux principes de justice fondamentale, au droit à la liberté que l</w:t>
      </w:r>
      <w:r>
        <w:rPr>
          <w:rFonts w:cs="Times New Roman"/>
          <w:lang w:val="fr-CA"/>
        </w:rPr>
        <w:t>’art. </w:t>
      </w:r>
      <w:r w:rsidRPr="00B536B2">
        <w:rPr>
          <w:rFonts w:cs="Times New Roman"/>
          <w:lang w:val="fr-CA"/>
        </w:rPr>
        <w:t xml:space="preserve">7 de la </w:t>
      </w:r>
      <w:r w:rsidRPr="00B536B2">
        <w:rPr>
          <w:rFonts w:cs="Times New Roman"/>
          <w:i/>
          <w:lang w:val="fr-CA"/>
        </w:rPr>
        <w:t xml:space="preserve">Charte </w:t>
      </w:r>
      <w:r w:rsidRPr="00B536B2">
        <w:rPr>
          <w:rFonts w:cs="Times New Roman"/>
          <w:lang w:val="fr-CA"/>
        </w:rPr>
        <w:t>garantit aux juristes. Elle soutient que celle</w:t>
      </w:r>
      <w:r>
        <w:rPr>
          <w:rFonts w:cs="Times New Roman"/>
          <w:lang w:val="fr-CA"/>
        </w:rPr>
        <w:noBreakHyphen/>
      </w:r>
      <w:r w:rsidRPr="00B536B2">
        <w:rPr>
          <w:rFonts w:cs="Times New Roman"/>
          <w:lang w:val="fr-CA"/>
        </w:rPr>
        <w:t xml:space="preserve">ci limite les choix que les juristes peuvent faire quant à la manière dont ils mènent leur vie privée et met donc en jeu leur droit à la liberté. Elle prétend donc que la directive contrevenait aussi au </w:t>
      </w:r>
      <w:r>
        <w:rPr>
          <w:rFonts w:cs="Times New Roman"/>
          <w:lang w:val="fr-CA"/>
        </w:rPr>
        <w:t>par. </w:t>
      </w:r>
      <w:r w:rsidRPr="00B536B2">
        <w:rPr>
          <w:rFonts w:cs="Times New Roman"/>
          <w:lang w:val="fr-CA"/>
        </w:rPr>
        <w:t>6.01 de la convention collective, qui interdisait les interprétations de la convention qui auraient pour effet de restreindre les droits constitutionnels des juristes. L</w:t>
      </w:r>
      <w:r>
        <w:rPr>
          <w:rFonts w:cs="Times New Roman"/>
          <w:lang w:val="fr-CA"/>
        </w:rPr>
        <w:t>’</w:t>
      </w:r>
      <w:r w:rsidRPr="00B536B2">
        <w:rPr>
          <w:rFonts w:cs="Times New Roman"/>
          <w:lang w:val="fr-CA"/>
        </w:rPr>
        <w:t>arbitre a retenu ces arguments. Il n</w:t>
      </w:r>
      <w:r>
        <w:rPr>
          <w:rFonts w:cs="Times New Roman"/>
          <w:lang w:val="fr-CA"/>
        </w:rPr>
        <w:t>’</w:t>
      </w:r>
      <w:r w:rsidRPr="00B536B2">
        <w:rPr>
          <w:rFonts w:cs="Times New Roman"/>
          <w:lang w:val="fr-CA"/>
        </w:rPr>
        <w:t>avait évidemment pas à se prononcer sur cette question étant donné sa conclusion selon laquelle la directive ne constituait pas un exercice raisonnable ou équitable des droits de direction de l</w:t>
      </w:r>
      <w:r>
        <w:rPr>
          <w:rFonts w:cs="Times New Roman"/>
          <w:lang w:val="fr-CA"/>
        </w:rPr>
        <w:t>’</w:t>
      </w:r>
      <w:r w:rsidRPr="00B536B2">
        <w:rPr>
          <w:rFonts w:cs="Times New Roman"/>
          <w:lang w:val="fr-CA"/>
        </w:rPr>
        <w:t>employeur.</w:t>
      </w:r>
    </w:p>
    <w:p w:rsidR="001B28CD" w:rsidRPr="00B536B2" w:rsidRDefault="001B28CD" w:rsidP="002B57A4">
      <w:pPr>
        <w:pStyle w:val="ParaNoNdepar-AltN"/>
        <w:widowControl w:val="0"/>
        <w:rPr>
          <w:rFonts w:cs="Times New Roman"/>
          <w:lang w:val="fr-CA"/>
        </w:rPr>
      </w:pPr>
      <w:r w:rsidRPr="00B536B2">
        <w:rPr>
          <w:rFonts w:cs="Times New Roman"/>
          <w:lang w:val="fr-CA"/>
        </w:rPr>
        <w:t>La Cour n</w:t>
      </w:r>
      <w:r>
        <w:rPr>
          <w:rFonts w:cs="Times New Roman"/>
          <w:lang w:val="fr-CA"/>
        </w:rPr>
        <w:t>’</w:t>
      </w:r>
      <w:r w:rsidRPr="00B536B2">
        <w:rPr>
          <w:rFonts w:cs="Times New Roman"/>
          <w:lang w:val="fr-CA"/>
        </w:rPr>
        <w:t>a pas encore établi dans quelle mesure l</w:t>
      </w:r>
      <w:r>
        <w:rPr>
          <w:rFonts w:cs="Times New Roman"/>
          <w:lang w:val="fr-CA"/>
        </w:rPr>
        <w:t>’art. </w:t>
      </w:r>
      <w:r w:rsidRPr="00B536B2">
        <w:rPr>
          <w:rFonts w:cs="Times New Roman"/>
          <w:lang w:val="fr-CA"/>
        </w:rPr>
        <w:t xml:space="preserve">7 de la </w:t>
      </w:r>
      <w:r w:rsidRPr="00B536B2">
        <w:rPr>
          <w:rFonts w:cs="Times New Roman"/>
          <w:i/>
          <w:iCs/>
          <w:lang w:val="fr-CA"/>
        </w:rPr>
        <w:t xml:space="preserve">Charte </w:t>
      </w:r>
      <w:r w:rsidRPr="00B536B2">
        <w:rPr>
          <w:rFonts w:cs="Times New Roman"/>
          <w:lang w:val="fr-CA"/>
        </w:rPr>
        <w:t>s</w:t>
      </w:r>
      <w:r>
        <w:rPr>
          <w:rFonts w:cs="Times New Roman"/>
          <w:lang w:val="fr-CA"/>
        </w:rPr>
        <w:t>’</w:t>
      </w:r>
      <w:r w:rsidRPr="00B536B2">
        <w:rPr>
          <w:rFonts w:cs="Times New Roman"/>
          <w:lang w:val="fr-CA"/>
        </w:rPr>
        <w:t>applique en dehors du contexte de l</w:t>
      </w:r>
      <w:r>
        <w:rPr>
          <w:rFonts w:cs="Times New Roman"/>
          <w:lang w:val="fr-CA"/>
        </w:rPr>
        <w:t>’</w:t>
      </w:r>
      <w:r w:rsidRPr="00B536B2">
        <w:rPr>
          <w:rFonts w:cs="Times New Roman"/>
          <w:lang w:val="fr-CA"/>
        </w:rPr>
        <w:t xml:space="preserve">administration de la justice; voir, </w:t>
      </w:r>
      <w:r>
        <w:rPr>
          <w:rFonts w:cs="Times New Roman"/>
          <w:lang w:val="fr-CA"/>
        </w:rPr>
        <w:t>p. </w:t>
      </w:r>
      <w:r w:rsidRPr="00B536B2">
        <w:rPr>
          <w:rFonts w:cs="Times New Roman"/>
          <w:lang w:val="fr-CA"/>
        </w:rPr>
        <w:t xml:space="preserve">ex., </w:t>
      </w:r>
      <w:r w:rsidRPr="00B536B2">
        <w:rPr>
          <w:rFonts w:cs="Times New Roman"/>
          <w:i/>
          <w:iCs/>
          <w:lang w:val="fr-CA"/>
        </w:rPr>
        <w:t>Gosselin c. Québec (Procureur général)</w:t>
      </w:r>
      <w:r w:rsidRPr="00B536B2">
        <w:rPr>
          <w:rFonts w:cs="Times New Roman"/>
          <w:lang w:val="fr-CA"/>
        </w:rPr>
        <w:t xml:space="preserve">, 2002 CSC 84, [2002] 4 R.C.S. 429, </w:t>
      </w:r>
      <w:r>
        <w:rPr>
          <w:rFonts w:cs="Times New Roman"/>
          <w:lang w:val="fr-CA"/>
        </w:rPr>
        <w:t>par. </w:t>
      </w:r>
      <w:r w:rsidRPr="00B536B2">
        <w:rPr>
          <w:rFonts w:cs="Times New Roman"/>
          <w:lang w:val="fr-CA"/>
        </w:rPr>
        <w:t>77</w:t>
      </w:r>
      <w:r>
        <w:rPr>
          <w:rFonts w:cs="Times New Roman"/>
          <w:lang w:val="fr-CA"/>
        </w:rPr>
        <w:noBreakHyphen/>
      </w:r>
      <w:r w:rsidRPr="00B536B2">
        <w:rPr>
          <w:rFonts w:cs="Times New Roman"/>
          <w:lang w:val="fr-CA"/>
        </w:rPr>
        <w:t xml:space="preserve">79; </w:t>
      </w:r>
      <w:proofErr w:type="spellStart"/>
      <w:r w:rsidRPr="00B536B2">
        <w:rPr>
          <w:rFonts w:cs="Times New Roman"/>
          <w:i/>
          <w:iCs/>
          <w:lang w:val="fr-CA"/>
        </w:rPr>
        <w:t>Chaoulli</w:t>
      </w:r>
      <w:proofErr w:type="spellEnd"/>
      <w:r w:rsidRPr="00B536B2">
        <w:rPr>
          <w:rFonts w:cs="Times New Roman"/>
          <w:i/>
          <w:iCs/>
          <w:lang w:val="fr-CA"/>
        </w:rPr>
        <w:t xml:space="preserve"> c. Québec (Procureur général)</w:t>
      </w:r>
      <w:r w:rsidRPr="00B536B2">
        <w:rPr>
          <w:rFonts w:cs="Times New Roman"/>
          <w:lang w:val="fr-CA"/>
        </w:rPr>
        <w:t xml:space="preserve">, 2005 CSC 35, [2005] 1 R.C.S. 791, </w:t>
      </w:r>
      <w:r>
        <w:rPr>
          <w:rFonts w:cs="Times New Roman"/>
          <w:lang w:val="fr-CA"/>
        </w:rPr>
        <w:t>par. </w:t>
      </w:r>
      <w:r w:rsidRPr="00B536B2">
        <w:rPr>
          <w:rFonts w:cs="Times New Roman"/>
          <w:lang w:val="fr-CA"/>
        </w:rPr>
        <w:t>196</w:t>
      </w:r>
      <w:r>
        <w:rPr>
          <w:rFonts w:cs="Times New Roman"/>
          <w:lang w:val="fr-CA"/>
        </w:rPr>
        <w:noBreakHyphen/>
      </w:r>
      <w:r w:rsidRPr="00B536B2">
        <w:rPr>
          <w:rFonts w:cs="Times New Roman"/>
          <w:lang w:val="fr-CA"/>
        </w:rPr>
        <w:t>199. Mais, même en supposant que l</w:t>
      </w:r>
      <w:r>
        <w:rPr>
          <w:rFonts w:cs="Times New Roman"/>
          <w:lang w:val="fr-CA"/>
        </w:rPr>
        <w:t>’art. </w:t>
      </w:r>
      <w:r w:rsidRPr="00B536B2">
        <w:rPr>
          <w:rFonts w:cs="Times New Roman"/>
          <w:lang w:val="fr-CA"/>
        </w:rPr>
        <w:t>7 s</w:t>
      </w:r>
      <w:r>
        <w:rPr>
          <w:rFonts w:cs="Times New Roman"/>
          <w:lang w:val="fr-CA"/>
        </w:rPr>
        <w:t>’</w:t>
      </w:r>
      <w:r w:rsidRPr="00B536B2">
        <w:rPr>
          <w:rFonts w:cs="Times New Roman"/>
          <w:lang w:val="fr-CA"/>
        </w:rPr>
        <w:t>applique à la relation en cause en l</w:t>
      </w:r>
      <w:r>
        <w:rPr>
          <w:rFonts w:cs="Times New Roman"/>
          <w:lang w:val="fr-CA"/>
        </w:rPr>
        <w:t>’</w:t>
      </w:r>
      <w:r w:rsidRPr="00B536B2">
        <w:rPr>
          <w:rFonts w:cs="Times New Roman"/>
          <w:lang w:val="fr-CA"/>
        </w:rPr>
        <w:t>espèce, je conviens avec la Cour d</w:t>
      </w:r>
      <w:r>
        <w:rPr>
          <w:rFonts w:cs="Times New Roman"/>
          <w:lang w:val="fr-CA"/>
        </w:rPr>
        <w:t>’</w:t>
      </w:r>
      <w:r w:rsidRPr="00B536B2">
        <w:rPr>
          <w:rFonts w:cs="Times New Roman"/>
          <w:lang w:val="fr-CA"/>
        </w:rPr>
        <w:t>appel fédérale que l</w:t>
      </w:r>
      <w:r>
        <w:rPr>
          <w:rFonts w:cs="Times New Roman"/>
          <w:lang w:val="fr-CA"/>
        </w:rPr>
        <w:t>’</w:t>
      </w:r>
      <w:r w:rsidRPr="00B536B2">
        <w:rPr>
          <w:rFonts w:cs="Times New Roman"/>
          <w:lang w:val="fr-CA"/>
        </w:rPr>
        <w:t>arbitre a, de toute évidence, surestimé la portée du droit à la liberté protégé par l</w:t>
      </w:r>
      <w:r>
        <w:rPr>
          <w:rFonts w:cs="Times New Roman"/>
          <w:lang w:val="fr-CA"/>
        </w:rPr>
        <w:t>’art. </w:t>
      </w:r>
      <w:r w:rsidRPr="00B536B2">
        <w:rPr>
          <w:rFonts w:cs="Times New Roman"/>
          <w:lang w:val="fr-CA"/>
        </w:rPr>
        <w:t>7. Cette disposition protège une sphère d</w:t>
      </w:r>
      <w:r>
        <w:rPr>
          <w:rFonts w:cs="Times New Roman"/>
          <w:lang w:val="fr-CA"/>
        </w:rPr>
        <w:t>’</w:t>
      </w:r>
      <w:r w:rsidRPr="00B536B2">
        <w:rPr>
          <w:rFonts w:cs="Times New Roman"/>
          <w:lang w:val="fr-CA"/>
        </w:rPr>
        <w:t>autonomie personnelle où se prennent des « décisions intrinsèquement privées » (</w:t>
      </w:r>
      <w:r w:rsidRPr="00B536B2">
        <w:rPr>
          <w:rFonts w:cs="Times New Roman"/>
          <w:i/>
          <w:lang w:val="fr-CA"/>
        </w:rPr>
        <w:t xml:space="preserve">R. c. </w:t>
      </w:r>
      <w:proofErr w:type="spellStart"/>
      <w:r w:rsidRPr="00B536B2">
        <w:rPr>
          <w:rFonts w:cs="Times New Roman"/>
          <w:i/>
          <w:lang w:val="fr-CA"/>
        </w:rPr>
        <w:t>Malmo</w:t>
      </w:r>
      <w:r>
        <w:rPr>
          <w:rFonts w:cs="Times New Roman"/>
          <w:i/>
          <w:lang w:val="fr-CA"/>
        </w:rPr>
        <w:noBreakHyphen/>
      </w:r>
      <w:r w:rsidRPr="00B536B2">
        <w:rPr>
          <w:rFonts w:cs="Times New Roman"/>
          <w:i/>
          <w:lang w:val="fr-CA"/>
        </w:rPr>
        <w:t>Levine</w:t>
      </w:r>
      <w:proofErr w:type="spellEnd"/>
      <w:r w:rsidRPr="00B536B2">
        <w:rPr>
          <w:rFonts w:cs="Times New Roman"/>
          <w:lang w:val="fr-CA"/>
        </w:rPr>
        <w:t xml:space="preserve">, 2003 CSC 74, [2003] 3 R.C.S. 571, </w:t>
      </w:r>
      <w:r>
        <w:rPr>
          <w:rFonts w:cs="Times New Roman"/>
          <w:lang w:val="fr-CA"/>
        </w:rPr>
        <w:t>par. </w:t>
      </w:r>
      <w:r w:rsidRPr="00B536B2">
        <w:rPr>
          <w:rFonts w:cs="Times New Roman"/>
          <w:lang w:val="fr-CA"/>
        </w:rPr>
        <w:t xml:space="preserve">85, citant </w:t>
      </w:r>
      <w:r w:rsidRPr="00B536B2">
        <w:rPr>
          <w:rFonts w:cs="Times New Roman"/>
          <w:i/>
          <w:lang w:val="fr-CA"/>
        </w:rPr>
        <w:t>Godbout c. Longueuil (Ville)</w:t>
      </w:r>
      <w:r w:rsidRPr="00B536B2">
        <w:rPr>
          <w:rFonts w:cs="Times New Roman"/>
          <w:lang w:val="fr-CA"/>
        </w:rPr>
        <w:t xml:space="preserve">, [1997] 3 R.C.S. 844, </w:t>
      </w:r>
      <w:r>
        <w:rPr>
          <w:rFonts w:cs="Times New Roman"/>
          <w:lang w:val="fr-CA"/>
        </w:rPr>
        <w:t>par. </w:t>
      </w:r>
      <w:r w:rsidRPr="00B536B2">
        <w:rPr>
          <w:rFonts w:cs="Times New Roman"/>
          <w:lang w:val="fr-CA"/>
        </w:rPr>
        <w:t>66). Toutefois, ces décisions ne sont protégées que si elles « impliquent [. . .] des choix fondamentaux participant de l</w:t>
      </w:r>
      <w:r>
        <w:rPr>
          <w:rFonts w:cs="Times New Roman"/>
          <w:lang w:val="fr-CA"/>
        </w:rPr>
        <w:t>’</w:t>
      </w:r>
      <w:r w:rsidRPr="00B536B2">
        <w:rPr>
          <w:rFonts w:cs="Times New Roman"/>
          <w:lang w:val="fr-CA"/>
        </w:rPr>
        <w:t>essence même de ce que signifie la jouissance de la dignité et de l</w:t>
      </w:r>
      <w:r>
        <w:rPr>
          <w:rFonts w:cs="Times New Roman"/>
          <w:lang w:val="fr-CA"/>
        </w:rPr>
        <w:t>’</w:t>
      </w:r>
      <w:r w:rsidRPr="00B536B2">
        <w:rPr>
          <w:rFonts w:cs="Times New Roman"/>
          <w:lang w:val="fr-CA"/>
        </w:rPr>
        <w:t xml:space="preserve">indépendance </w:t>
      </w:r>
      <w:r w:rsidRPr="00B536B2">
        <w:rPr>
          <w:rFonts w:cs="Times New Roman"/>
          <w:lang w:val="fr-CA"/>
        </w:rPr>
        <w:lastRenderedPageBreak/>
        <w:t>individuelles » (</w:t>
      </w:r>
      <w:r w:rsidRPr="00B536B2">
        <w:rPr>
          <w:rFonts w:cs="Times New Roman"/>
          <w:i/>
          <w:lang w:val="fr-CA"/>
        </w:rPr>
        <w:t>ibid.</w:t>
      </w:r>
      <w:r w:rsidRPr="00B536B2">
        <w:rPr>
          <w:rFonts w:cs="Times New Roman"/>
          <w:lang w:val="fr-CA"/>
        </w:rPr>
        <w:t>).</w:t>
      </w:r>
    </w:p>
    <w:p w:rsidR="001B28CD" w:rsidRPr="00B536B2" w:rsidRDefault="001B28CD" w:rsidP="002B57A4">
      <w:pPr>
        <w:pStyle w:val="ParaNoNdepar-AltN"/>
        <w:widowControl w:val="0"/>
        <w:rPr>
          <w:rFonts w:cs="Times New Roman"/>
          <w:lang w:val="fr-CA"/>
        </w:rPr>
      </w:pPr>
      <w:r w:rsidRPr="00B536B2">
        <w:rPr>
          <w:rFonts w:cs="Times New Roman"/>
          <w:lang w:val="fr-CA"/>
        </w:rPr>
        <w:t>L</w:t>
      </w:r>
      <w:r>
        <w:rPr>
          <w:rFonts w:cs="Times New Roman"/>
          <w:lang w:val="fr-CA"/>
        </w:rPr>
        <w:t>’</w:t>
      </w:r>
      <w:r w:rsidRPr="00B536B2">
        <w:rPr>
          <w:rFonts w:cs="Times New Roman"/>
          <w:lang w:val="fr-CA"/>
        </w:rPr>
        <w:t>incursion de la directive dans la vie privée des juristes en dehors du travail n</w:t>
      </w:r>
      <w:r>
        <w:rPr>
          <w:rFonts w:cs="Times New Roman"/>
          <w:lang w:val="fr-CA"/>
        </w:rPr>
        <w:t>’</w:t>
      </w:r>
      <w:r w:rsidRPr="00B536B2">
        <w:rPr>
          <w:rFonts w:cs="Times New Roman"/>
          <w:lang w:val="fr-CA"/>
        </w:rPr>
        <w:t>implique pas le type de choix personnels fondamentaux que garantit l</w:t>
      </w:r>
      <w:r>
        <w:rPr>
          <w:rFonts w:cs="Times New Roman"/>
          <w:lang w:val="fr-CA"/>
        </w:rPr>
        <w:t>’art. </w:t>
      </w:r>
      <w:r w:rsidRPr="00B536B2">
        <w:rPr>
          <w:rFonts w:cs="Times New Roman"/>
          <w:lang w:val="fr-CA"/>
        </w:rPr>
        <w:t xml:space="preserve">7. Il ressort clairement des arrêts </w:t>
      </w:r>
      <w:proofErr w:type="spellStart"/>
      <w:r w:rsidRPr="00B536B2">
        <w:rPr>
          <w:rFonts w:cs="Times New Roman"/>
          <w:i/>
          <w:lang w:val="fr-CA"/>
        </w:rPr>
        <w:t>Malmo</w:t>
      </w:r>
      <w:r>
        <w:rPr>
          <w:rFonts w:cs="Times New Roman"/>
          <w:i/>
          <w:lang w:val="fr-CA"/>
        </w:rPr>
        <w:noBreakHyphen/>
      </w:r>
      <w:r w:rsidRPr="00B536B2">
        <w:rPr>
          <w:rFonts w:cs="Times New Roman"/>
          <w:i/>
          <w:lang w:val="fr-CA"/>
        </w:rPr>
        <w:t>Levine</w:t>
      </w:r>
      <w:proofErr w:type="spellEnd"/>
      <w:r w:rsidRPr="00B536B2">
        <w:rPr>
          <w:rFonts w:cs="Times New Roman"/>
          <w:i/>
          <w:lang w:val="fr-CA"/>
        </w:rPr>
        <w:t xml:space="preserve"> </w:t>
      </w:r>
      <w:r w:rsidRPr="00B536B2">
        <w:rPr>
          <w:rFonts w:cs="Times New Roman"/>
          <w:lang w:val="fr-CA"/>
        </w:rPr>
        <w:t xml:space="preserve">et </w:t>
      </w:r>
      <w:r w:rsidRPr="00B536B2">
        <w:rPr>
          <w:rFonts w:cs="Times New Roman"/>
          <w:i/>
          <w:lang w:val="fr-CA"/>
        </w:rPr>
        <w:t>Godbout</w:t>
      </w:r>
      <w:r w:rsidRPr="00B536B2">
        <w:rPr>
          <w:rFonts w:cs="Times New Roman"/>
          <w:lang w:val="fr-CA"/>
        </w:rPr>
        <w:t xml:space="preserve"> que l</w:t>
      </w:r>
      <w:r>
        <w:rPr>
          <w:rFonts w:cs="Times New Roman"/>
          <w:lang w:val="fr-CA"/>
        </w:rPr>
        <w:t>’art. </w:t>
      </w:r>
      <w:r w:rsidRPr="00B536B2">
        <w:rPr>
          <w:rFonts w:cs="Times New Roman"/>
          <w:lang w:val="fr-CA"/>
        </w:rPr>
        <w:t>7 ne protège pas toutes les activités qu</w:t>
      </w:r>
      <w:r>
        <w:rPr>
          <w:rFonts w:cs="Times New Roman"/>
          <w:lang w:val="fr-CA"/>
        </w:rPr>
        <w:t>’</w:t>
      </w:r>
      <w:r w:rsidRPr="00B536B2">
        <w:rPr>
          <w:rFonts w:cs="Times New Roman"/>
          <w:lang w:val="fr-CA"/>
        </w:rPr>
        <w:t>une personne définit comme essentielles à son mode de vie. À titre d</w:t>
      </w:r>
      <w:r>
        <w:rPr>
          <w:rFonts w:cs="Times New Roman"/>
          <w:lang w:val="fr-CA"/>
        </w:rPr>
        <w:t>’</w:t>
      </w:r>
      <w:r w:rsidRPr="00B536B2">
        <w:rPr>
          <w:rFonts w:cs="Times New Roman"/>
          <w:lang w:val="fr-CA"/>
        </w:rPr>
        <w:t>exemples, l</w:t>
      </w:r>
      <w:r>
        <w:rPr>
          <w:rFonts w:cs="Times New Roman"/>
          <w:lang w:val="fr-CA"/>
        </w:rPr>
        <w:t>’</w:t>
      </w:r>
      <w:r w:rsidRPr="00B536B2">
        <w:rPr>
          <w:rFonts w:cs="Times New Roman"/>
          <w:lang w:val="fr-CA"/>
        </w:rPr>
        <w:t xml:space="preserve">arrêt </w:t>
      </w:r>
      <w:proofErr w:type="spellStart"/>
      <w:r w:rsidRPr="00B536B2">
        <w:rPr>
          <w:rFonts w:cs="Times New Roman"/>
          <w:i/>
          <w:lang w:val="fr-CA"/>
        </w:rPr>
        <w:t>Malmo</w:t>
      </w:r>
      <w:r>
        <w:rPr>
          <w:rFonts w:cs="Times New Roman"/>
          <w:i/>
          <w:lang w:val="fr-CA"/>
        </w:rPr>
        <w:noBreakHyphen/>
      </w:r>
      <w:r w:rsidRPr="00B536B2">
        <w:rPr>
          <w:rFonts w:cs="Times New Roman"/>
          <w:i/>
          <w:lang w:val="fr-CA"/>
        </w:rPr>
        <w:t>Levine</w:t>
      </w:r>
      <w:proofErr w:type="spellEnd"/>
      <w:r w:rsidRPr="00B536B2">
        <w:rPr>
          <w:rFonts w:cs="Times New Roman"/>
          <w:i/>
          <w:lang w:val="fr-CA"/>
        </w:rPr>
        <w:t xml:space="preserve"> </w:t>
      </w:r>
      <w:r w:rsidRPr="00B536B2">
        <w:rPr>
          <w:rFonts w:cs="Times New Roman"/>
          <w:lang w:val="fr-CA"/>
        </w:rPr>
        <w:t>mentionne qu</w:t>
      </w:r>
      <w:r>
        <w:rPr>
          <w:rFonts w:cs="Times New Roman"/>
          <w:lang w:val="fr-CA"/>
        </w:rPr>
        <w:t>’</w:t>
      </w:r>
      <w:r w:rsidRPr="00B536B2">
        <w:rPr>
          <w:rFonts w:cs="Times New Roman"/>
          <w:lang w:val="fr-CA"/>
        </w:rPr>
        <w:t>un goût pour les aliments gras, une obsession pour le golf et le fait de s</w:t>
      </w:r>
      <w:r>
        <w:rPr>
          <w:rFonts w:cs="Times New Roman"/>
          <w:lang w:val="fr-CA"/>
        </w:rPr>
        <w:t>’</w:t>
      </w:r>
      <w:r w:rsidRPr="00B536B2">
        <w:rPr>
          <w:rFonts w:cs="Times New Roman"/>
          <w:lang w:val="fr-CA"/>
        </w:rPr>
        <w:t>adonner compulsivement aux jeux de hasard ne font pas l</w:t>
      </w:r>
      <w:r>
        <w:rPr>
          <w:rFonts w:cs="Times New Roman"/>
          <w:lang w:val="fr-CA"/>
        </w:rPr>
        <w:t>’</w:t>
      </w:r>
      <w:r w:rsidRPr="00B536B2">
        <w:rPr>
          <w:rFonts w:cs="Times New Roman"/>
          <w:lang w:val="fr-CA"/>
        </w:rPr>
        <w:t>objet d</w:t>
      </w:r>
      <w:r>
        <w:rPr>
          <w:rFonts w:cs="Times New Roman"/>
          <w:lang w:val="fr-CA"/>
        </w:rPr>
        <w:t>’</w:t>
      </w:r>
      <w:r w:rsidRPr="00B536B2">
        <w:rPr>
          <w:rFonts w:cs="Times New Roman"/>
          <w:lang w:val="fr-CA"/>
        </w:rPr>
        <w:t>une protection constitutionnelle (</w:t>
      </w:r>
      <w:r>
        <w:rPr>
          <w:rFonts w:cs="Times New Roman"/>
          <w:lang w:val="fr-CA"/>
        </w:rPr>
        <w:t>par. </w:t>
      </w:r>
      <w:r w:rsidRPr="00B536B2">
        <w:rPr>
          <w:rFonts w:cs="Times New Roman"/>
          <w:lang w:val="fr-CA"/>
        </w:rPr>
        <w:t>86). Par analogie, la faculté des juristes — deux à trois semaines par année — d</w:t>
      </w:r>
      <w:r>
        <w:rPr>
          <w:rFonts w:cs="Times New Roman"/>
          <w:lang w:val="fr-CA"/>
        </w:rPr>
        <w:t>’</w:t>
      </w:r>
      <w:r w:rsidRPr="00B536B2">
        <w:rPr>
          <w:rFonts w:cs="Times New Roman"/>
          <w:lang w:val="fr-CA"/>
        </w:rPr>
        <w:t>assister à des opéras ou à des cours de piano, ou de s</w:t>
      </w:r>
      <w:r>
        <w:rPr>
          <w:rFonts w:cs="Times New Roman"/>
          <w:lang w:val="fr-CA"/>
        </w:rPr>
        <w:t>’</w:t>
      </w:r>
      <w:r w:rsidRPr="00B536B2">
        <w:rPr>
          <w:rFonts w:cs="Times New Roman"/>
          <w:lang w:val="fr-CA"/>
        </w:rPr>
        <w:t>entraîner pour un triathlon, sans avoir à garder un téléavertisseur près d</w:t>
      </w:r>
      <w:r>
        <w:rPr>
          <w:rFonts w:cs="Times New Roman"/>
          <w:lang w:val="fr-CA"/>
        </w:rPr>
        <w:t>’</w:t>
      </w:r>
      <w:r w:rsidRPr="00B536B2">
        <w:rPr>
          <w:rFonts w:cs="Times New Roman"/>
          <w:lang w:val="fr-CA"/>
        </w:rPr>
        <w:t>eux, n</w:t>
      </w:r>
      <w:r>
        <w:rPr>
          <w:rFonts w:cs="Times New Roman"/>
          <w:lang w:val="fr-CA"/>
        </w:rPr>
        <w:t>’</w:t>
      </w:r>
      <w:r w:rsidRPr="00B536B2">
        <w:rPr>
          <w:rFonts w:cs="Times New Roman"/>
          <w:lang w:val="fr-CA"/>
        </w:rPr>
        <w:t>est pas protégée par l</w:t>
      </w:r>
      <w:r>
        <w:rPr>
          <w:rFonts w:cs="Times New Roman"/>
          <w:lang w:val="fr-CA"/>
        </w:rPr>
        <w:t>’art. </w:t>
      </w:r>
      <w:r w:rsidRPr="00B536B2">
        <w:rPr>
          <w:rFonts w:cs="Times New Roman"/>
          <w:lang w:val="fr-CA"/>
        </w:rPr>
        <w:t xml:space="preserve">7. </w:t>
      </w:r>
    </w:p>
    <w:p w:rsidR="001B28CD" w:rsidRPr="00B536B2" w:rsidRDefault="001B28CD" w:rsidP="002B57A4">
      <w:pPr>
        <w:pStyle w:val="ParaNoNdepar-AltN"/>
        <w:widowControl w:val="0"/>
        <w:rPr>
          <w:rFonts w:cs="Times New Roman"/>
          <w:lang w:val="fr-CA"/>
        </w:rPr>
      </w:pPr>
      <w:r w:rsidRPr="00B536B2">
        <w:rPr>
          <w:rFonts w:cs="Times New Roman"/>
          <w:lang w:val="fr-CA"/>
        </w:rPr>
        <w:t>La directive a également une incidence sur la capacité des juristes de passer du temps avec leurs enfants et leur famille. Lorsqu</w:t>
      </w:r>
      <w:r>
        <w:rPr>
          <w:rFonts w:cs="Times New Roman"/>
          <w:lang w:val="fr-CA"/>
        </w:rPr>
        <w:t>’</w:t>
      </w:r>
      <w:r w:rsidRPr="00B536B2">
        <w:rPr>
          <w:rFonts w:cs="Times New Roman"/>
          <w:lang w:val="fr-CA"/>
        </w:rPr>
        <w:t>ils sont de garde, certains juristes sont incapables de rendre visite à leur famille ou de prodiguer à leurs enfants le niveau d</w:t>
      </w:r>
      <w:r>
        <w:rPr>
          <w:rFonts w:cs="Times New Roman"/>
          <w:lang w:val="fr-CA"/>
        </w:rPr>
        <w:t>’</w:t>
      </w:r>
      <w:r w:rsidRPr="00B536B2">
        <w:rPr>
          <w:rFonts w:cs="Times New Roman"/>
          <w:lang w:val="fr-CA"/>
        </w:rPr>
        <w:t>attention qu</w:t>
      </w:r>
      <w:r>
        <w:rPr>
          <w:rFonts w:cs="Times New Roman"/>
          <w:lang w:val="fr-CA"/>
        </w:rPr>
        <w:t>’</w:t>
      </w:r>
      <w:r w:rsidRPr="00B536B2">
        <w:rPr>
          <w:rFonts w:cs="Times New Roman"/>
          <w:lang w:val="fr-CA"/>
        </w:rPr>
        <w:t>ils souhaiteraient pouvoir leur offrir, parce qu</w:t>
      </w:r>
      <w:r>
        <w:rPr>
          <w:rFonts w:cs="Times New Roman"/>
          <w:lang w:val="fr-CA"/>
        </w:rPr>
        <w:t>’</w:t>
      </w:r>
      <w:r w:rsidRPr="00B536B2">
        <w:rPr>
          <w:rFonts w:cs="Times New Roman"/>
          <w:lang w:val="fr-CA"/>
        </w:rPr>
        <w:t>ils ne doivent pas s</w:t>
      </w:r>
      <w:r>
        <w:rPr>
          <w:rFonts w:cs="Times New Roman"/>
          <w:lang w:val="fr-CA"/>
        </w:rPr>
        <w:t>’</w:t>
      </w:r>
      <w:r w:rsidRPr="00B536B2">
        <w:rPr>
          <w:rFonts w:cs="Times New Roman"/>
          <w:lang w:val="fr-CA"/>
        </w:rPr>
        <w:t>éloigner à plus d</w:t>
      </w:r>
      <w:r>
        <w:rPr>
          <w:rFonts w:cs="Times New Roman"/>
          <w:lang w:val="fr-CA"/>
        </w:rPr>
        <w:t>’</w:t>
      </w:r>
      <w:r w:rsidRPr="00B536B2">
        <w:rPr>
          <w:rFonts w:cs="Times New Roman"/>
          <w:lang w:val="fr-CA"/>
        </w:rPr>
        <w:t>une heure du bureau. Mais, encore une fois, ces conséquences n</w:t>
      </w:r>
      <w:r>
        <w:rPr>
          <w:rFonts w:cs="Times New Roman"/>
          <w:lang w:val="fr-CA"/>
        </w:rPr>
        <w:t>’</w:t>
      </w:r>
      <w:r w:rsidRPr="00B536B2">
        <w:rPr>
          <w:rFonts w:cs="Times New Roman"/>
          <w:lang w:val="fr-CA"/>
        </w:rPr>
        <w:t>ont pas d</w:t>
      </w:r>
      <w:r>
        <w:rPr>
          <w:rFonts w:cs="Times New Roman"/>
          <w:lang w:val="fr-CA"/>
        </w:rPr>
        <w:t>’</w:t>
      </w:r>
      <w:r w:rsidRPr="00B536B2">
        <w:rPr>
          <w:rFonts w:cs="Times New Roman"/>
          <w:lang w:val="fr-CA"/>
        </w:rPr>
        <w:t>effet sur la capacité des juristes de faire des choix personnels fondamentaux (</w:t>
      </w:r>
      <w:proofErr w:type="spellStart"/>
      <w:r w:rsidRPr="00B536B2">
        <w:rPr>
          <w:rFonts w:cs="Times New Roman"/>
          <w:i/>
          <w:lang w:val="fr-CA"/>
        </w:rPr>
        <w:t>Blencoe</w:t>
      </w:r>
      <w:proofErr w:type="spellEnd"/>
      <w:r w:rsidRPr="00B536B2">
        <w:rPr>
          <w:rFonts w:cs="Times New Roman"/>
          <w:i/>
          <w:lang w:val="fr-CA"/>
        </w:rPr>
        <w:t xml:space="preserve"> c. Colombie</w:t>
      </w:r>
      <w:r>
        <w:rPr>
          <w:rFonts w:cs="Times New Roman"/>
          <w:i/>
          <w:lang w:val="fr-CA"/>
        </w:rPr>
        <w:noBreakHyphen/>
      </w:r>
      <w:r w:rsidRPr="00B536B2">
        <w:rPr>
          <w:rFonts w:cs="Times New Roman"/>
          <w:i/>
          <w:lang w:val="fr-CA"/>
        </w:rPr>
        <w:t>Britannique (</w:t>
      </w:r>
      <w:proofErr w:type="spellStart"/>
      <w:r w:rsidRPr="00B536B2">
        <w:rPr>
          <w:rFonts w:cs="Times New Roman"/>
          <w:i/>
          <w:lang w:val="fr-CA"/>
        </w:rPr>
        <w:t>Human</w:t>
      </w:r>
      <w:proofErr w:type="spellEnd"/>
      <w:r w:rsidRPr="00B536B2">
        <w:rPr>
          <w:rFonts w:cs="Times New Roman"/>
          <w:i/>
          <w:lang w:val="fr-CA"/>
        </w:rPr>
        <w:t xml:space="preserve"> </w:t>
      </w:r>
      <w:proofErr w:type="spellStart"/>
      <w:r w:rsidRPr="00B536B2">
        <w:rPr>
          <w:rFonts w:cs="Times New Roman"/>
          <w:i/>
          <w:lang w:val="fr-CA"/>
        </w:rPr>
        <w:t>Rights</w:t>
      </w:r>
      <w:proofErr w:type="spellEnd"/>
      <w:r w:rsidRPr="00B536B2">
        <w:rPr>
          <w:rFonts w:cs="Times New Roman"/>
          <w:i/>
          <w:lang w:val="fr-CA"/>
        </w:rPr>
        <w:t xml:space="preserve"> Commission)</w:t>
      </w:r>
      <w:r w:rsidRPr="00B536B2">
        <w:rPr>
          <w:rFonts w:cs="Times New Roman"/>
          <w:lang w:val="fr-CA"/>
        </w:rPr>
        <w:t xml:space="preserve">, 2000 CSC 44, [2000] 2 R.C.S. 307, </w:t>
      </w:r>
      <w:r>
        <w:rPr>
          <w:rFonts w:cs="Times New Roman"/>
          <w:lang w:val="fr-CA"/>
        </w:rPr>
        <w:t>par. </w:t>
      </w:r>
      <w:r w:rsidRPr="00B536B2">
        <w:rPr>
          <w:rFonts w:cs="Times New Roman"/>
          <w:lang w:val="fr-CA"/>
        </w:rPr>
        <w:t>49;</w:t>
      </w:r>
      <w:r w:rsidRPr="00B536B2">
        <w:rPr>
          <w:rFonts w:cs="Times New Roman"/>
          <w:i/>
          <w:lang w:val="fr-CA"/>
        </w:rPr>
        <w:t xml:space="preserve"> </w:t>
      </w:r>
      <w:proofErr w:type="spellStart"/>
      <w:r w:rsidRPr="00B536B2">
        <w:rPr>
          <w:rFonts w:cs="Times New Roman"/>
          <w:i/>
          <w:lang w:val="fr-CA"/>
        </w:rPr>
        <w:t>Malmo</w:t>
      </w:r>
      <w:r>
        <w:rPr>
          <w:rFonts w:cs="Times New Roman"/>
          <w:i/>
          <w:lang w:val="fr-CA"/>
        </w:rPr>
        <w:noBreakHyphen/>
      </w:r>
      <w:r w:rsidRPr="00B536B2">
        <w:rPr>
          <w:rFonts w:cs="Times New Roman"/>
          <w:i/>
          <w:lang w:val="fr-CA"/>
        </w:rPr>
        <w:t>Levine</w:t>
      </w:r>
      <w:proofErr w:type="spellEnd"/>
      <w:r w:rsidRPr="00B536B2">
        <w:rPr>
          <w:rFonts w:cs="Times New Roman"/>
          <w:lang w:val="fr-CA"/>
        </w:rPr>
        <w:t xml:space="preserve">, </w:t>
      </w:r>
      <w:r>
        <w:rPr>
          <w:rFonts w:cs="Times New Roman"/>
          <w:lang w:val="fr-CA"/>
        </w:rPr>
        <w:t>par. </w:t>
      </w:r>
      <w:r w:rsidRPr="00B536B2">
        <w:rPr>
          <w:rFonts w:cs="Times New Roman"/>
          <w:lang w:val="fr-CA"/>
        </w:rPr>
        <w:t>85). La directive les oblige plutôt, comme condition d</w:t>
      </w:r>
      <w:r>
        <w:rPr>
          <w:rFonts w:cs="Times New Roman"/>
          <w:lang w:val="fr-CA"/>
        </w:rPr>
        <w:t>’</w:t>
      </w:r>
      <w:r w:rsidRPr="00B536B2">
        <w:rPr>
          <w:rFonts w:cs="Times New Roman"/>
          <w:lang w:val="fr-CA"/>
        </w:rPr>
        <w:t>emploi, à être potentiellement moins disponibles pour leurs familles, et ce, deux à trois semaines par année tout au plus. Cela n</w:t>
      </w:r>
      <w:r>
        <w:rPr>
          <w:rFonts w:cs="Times New Roman"/>
          <w:lang w:val="fr-CA"/>
        </w:rPr>
        <w:t>’</w:t>
      </w:r>
      <w:r w:rsidRPr="00B536B2">
        <w:rPr>
          <w:rFonts w:cs="Times New Roman"/>
          <w:lang w:val="fr-CA"/>
        </w:rPr>
        <w:t xml:space="preserve">entre pas dans le champ </w:t>
      </w:r>
      <w:r w:rsidRPr="00B536B2">
        <w:rPr>
          <w:rFonts w:cs="Times New Roman"/>
          <w:lang w:val="fr-CA"/>
        </w:rPr>
        <w:lastRenderedPageBreak/>
        <w:t>d</w:t>
      </w:r>
      <w:r>
        <w:rPr>
          <w:rFonts w:cs="Times New Roman"/>
          <w:lang w:val="fr-CA"/>
        </w:rPr>
        <w:t>’</w:t>
      </w:r>
      <w:r w:rsidRPr="00B536B2">
        <w:rPr>
          <w:rFonts w:cs="Times New Roman"/>
          <w:lang w:val="fr-CA"/>
        </w:rPr>
        <w:t>application de l</w:t>
      </w:r>
      <w:r>
        <w:rPr>
          <w:rFonts w:cs="Times New Roman"/>
          <w:lang w:val="fr-CA"/>
        </w:rPr>
        <w:t>’art. </w:t>
      </w:r>
      <w:r w:rsidRPr="00B536B2">
        <w:rPr>
          <w:rFonts w:cs="Times New Roman"/>
          <w:lang w:val="fr-CA"/>
        </w:rPr>
        <w:t>7.</w:t>
      </w:r>
    </w:p>
    <w:p w:rsidR="001B28CD" w:rsidRPr="00B536B2" w:rsidRDefault="001B28CD" w:rsidP="002B57A4">
      <w:pPr>
        <w:pStyle w:val="ParaNoNdepar-AltN"/>
        <w:widowControl w:val="0"/>
        <w:rPr>
          <w:rFonts w:cs="Times New Roman"/>
          <w:lang w:val="fr-CA"/>
        </w:rPr>
      </w:pPr>
      <w:r w:rsidRPr="00B536B2">
        <w:rPr>
          <w:rFonts w:cs="Times New Roman"/>
          <w:lang w:val="fr-CA"/>
        </w:rPr>
        <w:t>En conséquence, il est manifeste que la directive ne met pas en jeu le droit à la liberté que l</w:t>
      </w:r>
      <w:r>
        <w:rPr>
          <w:rFonts w:cs="Times New Roman"/>
          <w:lang w:val="fr-CA"/>
        </w:rPr>
        <w:t>’art. </w:t>
      </w:r>
      <w:r w:rsidRPr="00B536B2">
        <w:rPr>
          <w:rFonts w:cs="Times New Roman"/>
          <w:lang w:val="fr-CA"/>
        </w:rPr>
        <w:t>7 garantit aux juristes et, partant, qu</w:t>
      </w:r>
      <w:r>
        <w:rPr>
          <w:rFonts w:cs="Times New Roman"/>
          <w:lang w:val="fr-CA"/>
        </w:rPr>
        <w:t>’</w:t>
      </w:r>
      <w:r w:rsidRPr="00B536B2">
        <w:rPr>
          <w:rFonts w:cs="Times New Roman"/>
          <w:lang w:val="fr-CA"/>
        </w:rPr>
        <w:t>elle ne met pas en jeu leurs droits constitutionnels.</w:t>
      </w:r>
    </w:p>
    <w:p w:rsidR="001B28CD" w:rsidRPr="00B536B2" w:rsidRDefault="001B28CD" w:rsidP="002B57A4">
      <w:pPr>
        <w:pStyle w:val="Title1LevelTitre1Niveau-AltL"/>
        <w:widowControl w:val="0"/>
        <w:rPr>
          <w:rFonts w:cs="Times New Roman"/>
          <w:lang w:val="fr-CA"/>
        </w:rPr>
      </w:pPr>
      <w:r w:rsidRPr="00B536B2">
        <w:rPr>
          <w:rFonts w:cs="Times New Roman"/>
          <w:lang w:val="fr-CA"/>
        </w:rPr>
        <w:t>Conclusion</w:t>
      </w:r>
    </w:p>
    <w:p w:rsidR="001B28CD" w:rsidRPr="00B536B2" w:rsidRDefault="001B28CD" w:rsidP="002B57A4">
      <w:pPr>
        <w:pStyle w:val="ParaNoNdepar-AltN"/>
        <w:widowControl w:val="0"/>
        <w:rPr>
          <w:rFonts w:cs="Times New Roman"/>
          <w:lang w:val="fr-CA"/>
        </w:rPr>
      </w:pPr>
      <w:r w:rsidRPr="00B536B2">
        <w:rPr>
          <w:rFonts w:cs="Times New Roman"/>
          <w:lang w:val="fr-CA"/>
        </w:rPr>
        <w:t>Je suis d</w:t>
      </w:r>
      <w:r>
        <w:rPr>
          <w:rFonts w:cs="Times New Roman"/>
          <w:lang w:val="fr-CA"/>
        </w:rPr>
        <w:t>’</w:t>
      </w:r>
      <w:r w:rsidRPr="00B536B2">
        <w:rPr>
          <w:rFonts w:cs="Times New Roman"/>
          <w:lang w:val="fr-CA"/>
        </w:rPr>
        <w:t>avis d</w:t>
      </w:r>
      <w:r>
        <w:rPr>
          <w:rFonts w:cs="Times New Roman"/>
          <w:lang w:val="fr-CA"/>
        </w:rPr>
        <w:t>’</w:t>
      </w:r>
      <w:r w:rsidRPr="00B536B2">
        <w:rPr>
          <w:rFonts w:cs="Times New Roman"/>
          <w:lang w:val="fr-CA"/>
        </w:rPr>
        <w:t>accueillir le pourvoi en partie avec dépens en faveur de l</w:t>
      </w:r>
      <w:r>
        <w:rPr>
          <w:rFonts w:cs="Times New Roman"/>
          <w:lang w:val="fr-CA"/>
        </w:rPr>
        <w:t>’</w:t>
      </w:r>
      <w:r w:rsidRPr="00B536B2">
        <w:rPr>
          <w:rFonts w:cs="Times New Roman"/>
          <w:lang w:val="fr-CA"/>
        </w:rPr>
        <w:t>appelante. Comme il est clair que la directive ne mettait pas en cause les droits que l</w:t>
      </w:r>
      <w:r>
        <w:rPr>
          <w:rFonts w:cs="Times New Roman"/>
          <w:lang w:val="fr-CA"/>
        </w:rPr>
        <w:t>’art. </w:t>
      </w:r>
      <w:r w:rsidRPr="00B536B2">
        <w:rPr>
          <w:rFonts w:cs="Times New Roman"/>
          <w:lang w:val="fr-CA"/>
        </w:rPr>
        <w:t xml:space="preserve">7 de la </w:t>
      </w:r>
      <w:r w:rsidRPr="00B536B2">
        <w:rPr>
          <w:rFonts w:cs="Times New Roman"/>
          <w:i/>
          <w:lang w:val="fr-CA"/>
        </w:rPr>
        <w:t xml:space="preserve">Charte </w:t>
      </w:r>
      <w:r w:rsidRPr="00B536B2">
        <w:rPr>
          <w:rFonts w:cs="Times New Roman"/>
          <w:lang w:val="fr-CA"/>
        </w:rPr>
        <w:t>garantit aux juristes, je ne modifierais pas la conclusion de la Cour d</w:t>
      </w:r>
      <w:r>
        <w:rPr>
          <w:rFonts w:cs="Times New Roman"/>
          <w:lang w:val="fr-CA"/>
        </w:rPr>
        <w:t>’</w:t>
      </w:r>
      <w:r w:rsidRPr="00B536B2">
        <w:rPr>
          <w:rFonts w:cs="Times New Roman"/>
          <w:lang w:val="fr-CA"/>
        </w:rPr>
        <w:t>appel fédérale sur cette question. Toutefois, la déclaration de l</w:t>
      </w:r>
      <w:r>
        <w:rPr>
          <w:rFonts w:cs="Times New Roman"/>
          <w:lang w:val="fr-CA"/>
        </w:rPr>
        <w:t>’</w:t>
      </w:r>
      <w:r w:rsidRPr="00B536B2">
        <w:rPr>
          <w:rFonts w:cs="Times New Roman"/>
          <w:lang w:val="fr-CA"/>
        </w:rPr>
        <w:t>arbitre selon laquelle la directive n</w:t>
      </w:r>
      <w:r>
        <w:rPr>
          <w:rFonts w:cs="Times New Roman"/>
          <w:lang w:val="fr-CA"/>
        </w:rPr>
        <w:t>’</w:t>
      </w:r>
      <w:r w:rsidRPr="00B536B2">
        <w:rPr>
          <w:rFonts w:cs="Times New Roman"/>
          <w:lang w:val="fr-CA"/>
        </w:rPr>
        <w:t xml:space="preserve">était pas conforme au </w:t>
      </w:r>
      <w:r>
        <w:rPr>
          <w:rFonts w:cs="Times New Roman"/>
          <w:lang w:val="fr-CA"/>
        </w:rPr>
        <w:t>par. </w:t>
      </w:r>
      <w:r w:rsidRPr="00B536B2">
        <w:rPr>
          <w:rFonts w:cs="Times New Roman"/>
          <w:lang w:val="fr-CA"/>
        </w:rPr>
        <w:t xml:space="preserve">5.02 de la convention collective était raisonnable. Je rétablirais donc sa décision selon laquelle la directive sur les quarts de garde obligatoires contrevenait au </w:t>
      </w:r>
      <w:r>
        <w:rPr>
          <w:rFonts w:cs="Times New Roman"/>
          <w:lang w:val="fr-CA"/>
        </w:rPr>
        <w:t>par. </w:t>
      </w:r>
      <w:r w:rsidRPr="00B536B2">
        <w:rPr>
          <w:rFonts w:cs="Times New Roman"/>
          <w:lang w:val="fr-CA"/>
        </w:rPr>
        <w:t>5.02 de la convention collective applicable, et son ordonnance enjoignant à l</w:t>
      </w:r>
      <w:r>
        <w:rPr>
          <w:rFonts w:cs="Times New Roman"/>
          <w:lang w:val="fr-CA"/>
        </w:rPr>
        <w:t>’employeur</w:t>
      </w:r>
      <w:r w:rsidRPr="00B536B2">
        <w:rPr>
          <w:rFonts w:cs="Times New Roman"/>
          <w:lang w:val="fr-CA"/>
        </w:rPr>
        <w:t xml:space="preserve"> de cesser d</w:t>
      </w:r>
      <w:r>
        <w:rPr>
          <w:rFonts w:cs="Times New Roman"/>
          <w:lang w:val="fr-CA"/>
        </w:rPr>
        <w:t>’</w:t>
      </w:r>
      <w:r w:rsidRPr="00B536B2">
        <w:rPr>
          <w:rFonts w:cs="Times New Roman"/>
          <w:lang w:val="fr-CA"/>
        </w:rPr>
        <w:t>appliquer la directive.</w:t>
      </w:r>
    </w:p>
    <w:p w:rsidR="001B28CD" w:rsidRDefault="001B28CD" w:rsidP="002B57A4">
      <w:pPr>
        <w:pStyle w:val="SCCNormalDoubleSpacing"/>
        <w:widowControl w:val="0"/>
        <w:spacing w:before="480" w:after="480"/>
        <w:rPr>
          <w:rStyle w:val="SCCCounselPartyRoleChar"/>
          <w:lang w:val="fr-CA"/>
        </w:rPr>
      </w:pPr>
    </w:p>
    <w:p w:rsidR="001B28CD" w:rsidRDefault="00054D8C" w:rsidP="002B57A4">
      <w:pPr>
        <w:pStyle w:val="ParaNoNdepar-AltN"/>
        <w:widowControl w:val="0"/>
        <w:numPr>
          <w:ilvl w:val="0"/>
          <w:numId w:val="0"/>
        </w:numPr>
        <w:tabs>
          <w:tab w:val="left" w:pos="1166"/>
        </w:tabs>
        <w:rPr>
          <w:lang w:val="fr-CA"/>
        </w:rPr>
      </w:pPr>
      <w:r>
        <w:rPr>
          <w:lang w:val="fr-CA"/>
        </w:rPr>
        <w:tab/>
      </w:r>
      <w:r w:rsidR="001B28CD" w:rsidRPr="00BE3231">
        <w:rPr>
          <w:lang w:val="fr-CA"/>
        </w:rPr>
        <w:t>Le</w:t>
      </w:r>
      <w:r w:rsidR="001B28CD">
        <w:rPr>
          <w:lang w:val="fr-CA"/>
        </w:rPr>
        <w:t>s</w:t>
      </w:r>
      <w:r w:rsidR="001B28CD" w:rsidRPr="00BE3231">
        <w:rPr>
          <w:lang w:val="fr-CA"/>
        </w:rPr>
        <w:t xml:space="preserve"> </w:t>
      </w:r>
      <w:r w:rsidR="001B28CD">
        <w:rPr>
          <w:lang w:val="fr-CA"/>
        </w:rPr>
        <w:t xml:space="preserve">motifs des juges </w:t>
      </w:r>
      <w:r w:rsidR="001B28CD" w:rsidRPr="0000345F">
        <w:rPr>
          <w:lang w:val="fr-CA"/>
        </w:rPr>
        <w:t xml:space="preserve">Moldaver et Côté </w:t>
      </w:r>
      <w:r w:rsidR="001B28CD">
        <w:rPr>
          <w:lang w:val="fr-CA"/>
        </w:rPr>
        <w:t>ont</w:t>
      </w:r>
      <w:r w:rsidR="001B28CD" w:rsidRPr="00BE3231">
        <w:rPr>
          <w:lang w:val="fr-CA"/>
        </w:rPr>
        <w:t xml:space="preserve"> été rendu</w:t>
      </w:r>
      <w:r w:rsidR="001B28CD">
        <w:rPr>
          <w:lang w:val="fr-CA"/>
        </w:rPr>
        <w:t>s</w:t>
      </w:r>
      <w:r w:rsidR="001B28CD" w:rsidRPr="00BE3231">
        <w:rPr>
          <w:lang w:val="fr-CA"/>
        </w:rPr>
        <w:t xml:space="preserve"> par</w:t>
      </w:r>
      <w:r w:rsidR="001B28CD" w:rsidRPr="0084562D">
        <w:rPr>
          <w:lang w:val="fr-CA"/>
        </w:rPr>
        <w:t xml:space="preserve"> </w:t>
      </w:r>
    </w:p>
    <w:p w:rsidR="001B28CD" w:rsidRPr="001B28CD" w:rsidRDefault="00054D8C" w:rsidP="002B57A4">
      <w:pPr>
        <w:pStyle w:val="ParaNoNdepar-AltN"/>
        <w:widowControl w:val="0"/>
        <w:rPr>
          <w:lang w:val="fr-CA"/>
        </w:rPr>
      </w:pPr>
      <w:r>
        <w:rPr>
          <w:smallCaps/>
          <w:lang w:val="fr-CA"/>
        </w:rPr>
        <w:t xml:space="preserve">La juge Côté </w:t>
      </w:r>
      <w:r w:rsidR="00927E8D" w:rsidRPr="00927E8D">
        <w:rPr>
          <w:lang w:val="fr-CA"/>
        </w:rPr>
        <w:t>(dissidente en partie)</w:t>
      </w:r>
      <w:r w:rsidR="00927E8D">
        <w:rPr>
          <w:smallCaps/>
          <w:lang w:val="fr-CA"/>
        </w:rPr>
        <w:t xml:space="preserve"> </w:t>
      </w:r>
      <w:r w:rsidRPr="00054D8C">
        <w:rPr>
          <w:smallCaps/>
          <w:lang w:val="fr-CA"/>
        </w:rPr>
        <w:t>—</w:t>
      </w:r>
      <w:r>
        <w:rPr>
          <w:smallCaps/>
          <w:lang w:val="fr-CA"/>
        </w:rPr>
        <w:t xml:space="preserve"> </w:t>
      </w:r>
      <w:r w:rsidR="001B28CD" w:rsidRPr="001B28CD">
        <w:rPr>
          <w:lang w:val="fr-CA"/>
        </w:rPr>
        <w:t>Je suis d’accord avec la conclusion de ma collègue la juge Karakatsanis selon laquelle la directive</w:t>
      </w:r>
      <w:r w:rsidR="001B28CD" w:rsidRPr="001B28CD">
        <w:rPr>
          <w:shd w:val="clear" w:color="auto" w:fill="FFFFFF"/>
          <w:lang w:val="fr-CA"/>
        </w:rPr>
        <w:t xml:space="preserve"> sur la garde obligatoire de la Direction du droit de l’immigration du Bureau régional du Québec du ministère </w:t>
      </w:r>
      <w:r w:rsidR="001B28CD" w:rsidRPr="001B28CD">
        <w:rPr>
          <w:shd w:val="clear" w:color="auto" w:fill="FFFFFF"/>
          <w:lang w:val="fr-CA"/>
        </w:rPr>
        <w:lastRenderedPageBreak/>
        <w:t>de la Justice imposant aux juristes l’obligation — en moyenne une à trois fois par année — d’être disponibles à tour de rôle les soirs et les fins de semaine sans indemnisation</w:t>
      </w:r>
      <w:r w:rsidR="001B28CD" w:rsidRPr="001B28CD">
        <w:rPr>
          <w:lang w:val="fr-CA"/>
        </w:rPr>
        <w:t xml:space="preserve"> ne contrevient pas au droit à la liberté des juristes, garanti par l’art. 7 de la </w:t>
      </w:r>
      <w:r w:rsidR="001B28CD" w:rsidRPr="001B28CD">
        <w:rPr>
          <w:i/>
          <w:lang w:val="fr-CA"/>
        </w:rPr>
        <w:t>Charte canadienne des droits et libertés</w:t>
      </w:r>
      <w:r w:rsidR="001B28CD" w:rsidRPr="001B28CD">
        <w:rPr>
          <w:lang w:val="fr-CA"/>
        </w:rPr>
        <w:t xml:space="preserve"> et incorporé à leur convention collective par le biais du par. 6.01.</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Cela dit, je ne partage pas son avis quant au bien-fondé de la conclusion de l’arbitre selon laquelle la directive résultait d’un exercice déraisonnable et inéquitable du pouvoir de gestion de l’employeur. (I) D’abord, je suis d’avis que l’analyse erronée de l’arbitre concernant la question de la violation du droit à la liberté protégé par l’art. 7 de la </w:t>
      </w:r>
      <w:r w:rsidRPr="001B28CD">
        <w:rPr>
          <w:rFonts w:cs="Times New Roman"/>
          <w:i/>
          <w:lang w:val="fr-CA"/>
        </w:rPr>
        <w:t>Charte</w:t>
      </w:r>
      <w:r w:rsidRPr="001B28CD">
        <w:rPr>
          <w:rFonts w:cs="Times New Roman"/>
          <w:lang w:val="fr-CA"/>
        </w:rPr>
        <w:t xml:space="preserve"> teinte l’ensemble de ses motifs. (II) Ensuite, lorsqu’on analyse son raisonnement de plus près, on constate que les conclusions de l’arbitre ne se justifient ni au regard des faits,</w:t>
      </w:r>
      <w:r w:rsidRPr="001B28CD">
        <w:rPr>
          <w:rFonts w:cs="Times New Roman"/>
          <w:b/>
          <w:lang w:val="fr-CA"/>
        </w:rPr>
        <w:t xml:space="preserve"> </w:t>
      </w:r>
      <w:r w:rsidRPr="001B28CD">
        <w:rPr>
          <w:rFonts w:cs="Times New Roman"/>
          <w:lang w:val="fr-CA"/>
        </w:rPr>
        <w:t>ni au regard du droit.</w:t>
      </w:r>
    </w:p>
    <w:p w:rsidR="001B28CD" w:rsidRPr="00602DE6" w:rsidRDefault="001B28CD" w:rsidP="002B57A4">
      <w:pPr>
        <w:pStyle w:val="Title1LevelTitre1Niveau-AltL"/>
        <w:widowControl w:val="0"/>
        <w:numPr>
          <w:ilvl w:val="0"/>
          <w:numId w:val="12"/>
        </w:numPr>
        <w:rPr>
          <w:rFonts w:cs="Times New Roman"/>
          <w:lang w:val="fr-CA"/>
        </w:rPr>
      </w:pPr>
      <w:r w:rsidRPr="00602DE6">
        <w:rPr>
          <w:rFonts w:cs="Times New Roman"/>
          <w:lang w:val="fr-CA"/>
        </w:rPr>
        <w:t>L’analyse erronée de l’arbitre concernant le droit à la liberté teinte le reste de son analyse</w:t>
      </w:r>
    </w:p>
    <w:p w:rsidR="001B28CD" w:rsidRPr="001B28CD" w:rsidRDefault="001B28CD" w:rsidP="002B57A4">
      <w:pPr>
        <w:pStyle w:val="ParaNoNdepar-AltN"/>
        <w:widowControl w:val="0"/>
        <w:rPr>
          <w:rFonts w:cs="Times New Roman"/>
          <w:lang w:val="fr-CA"/>
        </w:rPr>
      </w:pPr>
      <w:r w:rsidRPr="001B28CD">
        <w:rPr>
          <w:rFonts w:cs="Times New Roman"/>
          <w:szCs w:val="24"/>
          <w:lang w:val="fr-CA"/>
        </w:rPr>
        <w:t xml:space="preserve">Selon ma collègue, </w:t>
      </w:r>
      <w:r w:rsidRPr="001B28CD">
        <w:rPr>
          <w:rFonts w:cs="Times New Roman"/>
          <w:lang w:val="fr-CA"/>
        </w:rPr>
        <w:t xml:space="preserve">« il est clair que l’arbitre en serait venu à la même décision en ce qui concerne le par. 5.02 même s’il n’avait pas commis d’erreur dans son analyse de la conformité de la directive à l’art. 7 de la </w:t>
      </w:r>
      <w:r w:rsidRPr="001B28CD">
        <w:rPr>
          <w:rFonts w:cs="Times New Roman"/>
          <w:i/>
          <w:lang w:val="fr-CA"/>
        </w:rPr>
        <w:t>Charte </w:t>
      </w:r>
      <w:r w:rsidRPr="001B28CD">
        <w:rPr>
          <w:rFonts w:cs="Times New Roman"/>
          <w:lang w:val="fr-CA"/>
        </w:rPr>
        <w:t>» (par. 46).</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La position de ma collègue me semble contradictoire. Lorsqu’elle procède au contrôle de la décision de l’arbitre concernant le caractère raisonnable et équitable de la directive, ma collègue se dit en accord « avec l’arbitre que le fait que la directive </w:t>
      </w:r>
      <w:r w:rsidRPr="001B28CD">
        <w:rPr>
          <w:rFonts w:cs="Times New Roman"/>
          <w:lang w:val="fr-CA"/>
        </w:rPr>
        <w:lastRenderedPageBreak/>
        <w:t xml:space="preserve">ait un effet sur la vie des juristes en dehors des heures de travail </w:t>
      </w:r>
      <w:r w:rsidRPr="001B28CD">
        <w:rPr>
          <w:rFonts w:cs="Times New Roman"/>
          <w:u w:val="single"/>
          <w:lang w:val="fr-CA"/>
        </w:rPr>
        <w:t>constitue un facteur important</w:t>
      </w:r>
      <w:r w:rsidRPr="001B28CD">
        <w:rPr>
          <w:rFonts w:cs="Times New Roman"/>
          <w:lang w:val="fr-CA"/>
        </w:rPr>
        <w:t xml:space="preserve"> » (par. 38 (je souligne)). Par contre, lorsqu’elle procède au contrôle de la décision de l’arbitre concernant la violation de l’art. 7 de la </w:t>
      </w:r>
      <w:r w:rsidRPr="001B28CD">
        <w:rPr>
          <w:rFonts w:cs="Times New Roman"/>
          <w:i/>
          <w:lang w:val="fr-CA"/>
        </w:rPr>
        <w:t>Charte</w:t>
      </w:r>
      <w:r w:rsidRPr="001B28CD">
        <w:rPr>
          <w:rFonts w:cs="Times New Roman"/>
          <w:lang w:val="fr-CA"/>
        </w:rPr>
        <w:t xml:space="preserve">, ma collègue est d’avis que « [l]’incursion de la directive dans la vie privée des juristes en dehors du travail n’implique pas le type de choix personnels fondamentaux que garantit l’art. 7 » (par. 50). </w:t>
      </w:r>
    </w:p>
    <w:p w:rsidR="001B28CD" w:rsidRPr="001B28CD" w:rsidRDefault="001B28CD" w:rsidP="002B57A4">
      <w:pPr>
        <w:pStyle w:val="ParaNoNdepar-AltN"/>
        <w:widowControl w:val="0"/>
        <w:rPr>
          <w:rFonts w:cs="Times New Roman"/>
          <w:lang w:val="fr-CA"/>
        </w:rPr>
      </w:pPr>
      <w:r w:rsidRPr="001B28CD">
        <w:rPr>
          <w:rFonts w:cs="Times New Roman"/>
          <w:szCs w:val="24"/>
          <w:lang w:val="fr-CA"/>
        </w:rPr>
        <w:t>Je ne peux souscrire au raisonnement de ma collègue.</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À mon avis, l’erreur de la part de l’arbitre vicie toute sa décision, car elle teinte le reste de son analyse. En effet, pour moi, le raisonnement de l’arbitre a manifestement été influencé par ses conclusions concernant l’art. 7 de la </w:t>
      </w:r>
      <w:r w:rsidRPr="001B28CD">
        <w:rPr>
          <w:rFonts w:cs="Times New Roman"/>
          <w:i/>
          <w:lang w:val="fr-CA"/>
        </w:rPr>
        <w:t>Charte</w:t>
      </w:r>
      <w:r w:rsidRPr="001B28CD">
        <w:rPr>
          <w:rFonts w:cs="Times New Roman"/>
          <w:lang w:val="fr-CA"/>
        </w:rPr>
        <w:t xml:space="preserve"> parce qu’il a examiné la question de savoir si la directive constitue un exercice raisonnable et équitable des pouvoirs de gestion de l’employeur à travers le prisme de ces conclusions.</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Par exemple, en concluant que la directive ne lui « apparait tout simplement ni raisonnable, ni équitable », l’arbitre note, entre autres, qu’« [i]l serait plutôt équitable </w:t>
      </w:r>
      <w:r w:rsidR="003F5A75">
        <w:rPr>
          <w:rFonts w:cs="Times New Roman"/>
          <w:lang w:val="fr-CA"/>
        </w:rPr>
        <w:t>qu’ils [</w:t>
      </w:r>
      <w:r w:rsidRPr="001B28CD">
        <w:rPr>
          <w:rFonts w:cs="Times New Roman"/>
          <w:lang w:val="fr-CA"/>
        </w:rPr>
        <w:t xml:space="preserve">les juristes] soient indemnisés </w:t>
      </w:r>
      <w:r w:rsidRPr="001B28CD">
        <w:rPr>
          <w:rFonts w:cs="Times New Roman"/>
          <w:u w:val="single"/>
          <w:lang w:val="fr-CA"/>
        </w:rPr>
        <w:t>pour les moments où l’employeur continue d’exercer un certain contrôle sur leur vie</w:t>
      </w:r>
      <w:r w:rsidRPr="001B28CD">
        <w:rPr>
          <w:rFonts w:cs="Times New Roman"/>
          <w:lang w:val="fr-CA"/>
        </w:rPr>
        <w:t> » (2015 CRTEFP 31, par. 45 (</w:t>
      </w:r>
      <w:proofErr w:type="spellStart"/>
      <w:r w:rsidRPr="001B28CD">
        <w:rPr>
          <w:rFonts w:cs="Times New Roman"/>
          <w:lang w:val="fr-CA"/>
        </w:rPr>
        <w:t>CanLII</w:t>
      </w:r>
      <w:proofErr w:type="spellEnd"/>
      <w:r w:rsidRPr="001B28CD">
        <w:rPr>
          <w:rFonts w:cs="Times New Roman"/>
          <w:lang w:val="fr-CA"/>
        </w:rPr>
        <w:t>) (je souligne)).</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En outre, les conclusions de l’arbitre concernant la violation des par. 5.02 et 6.01 de la convention collective reposent sur la même caractérisation de l’effet de la </w:t>
      </w:r>
      <w:r w:rsidRPr="001B28CD">
        <w:rPr>
          <w:rFonts w:cs="Times New Roman"/>
          <w:lang w:val="fr-CA"/>
        </w:rPr>
        <w:lastRenderedPageBreak/>
        <w:t>directive sur la vie des avocats. Or, comme j’en traite dans la prochaine section, cette caractérisation me semble erronée dans la mesure où elle ignore des éléments clés de l’énoncé conjoint des faits. Puisqu’il en est ainsi, je vois mal comment on peut dire que l’arbitre en serait nécessairement arrivé à la même conclusion concernant le caractère raisonnable de la directive, indépendamment de son analyse de la violation du droit à la liberté des avocats. L’arbitre a erré en concluant ainsi et je rejetterais l’appel sur ce point.</w:t>
      </w:r>
    </w:p>
    <w:p w:rsidR="001B28CD" w:rsidRPr="001B28CD" w:rsidRDefault="001B28CD" w:rsidP="002B57A4">
      <w:pPr>
        <w:pStyle w:val="ParaNoNdepar-AltN"/>
        <w:widowControl w:val="0"/>
        <w:rPr>
          <w:rFonts w:cs="Times New Roman"/>
          <w:lang w:val="fr-CA"/>
        </w:rPr>
      </w:pPr>
      <w:r w:rsidRPr="001B28CD">
        <w:rPr>
          <w:rFonts w:cs="Times New Roman"/>
          <w:lang w:val="fr-CA"/>
        </w:rPr>
        <w:t>Cela dit, et sans me prononcer de façon définitive sur le caractère raisonnable et équitable de la directive car je suis d’avis qu’il faille renvoyer le grief à un autre arbitre sur cette question, il me semble que les conclusions de l’arbitre ne se justifient ni au regard des faits,</w:t>
      </w:r>
      <w:r w:rsidRPr="001B28CD">
        <w:rPr>
          <w:rFonts w:cs="Times New Roman"/>
          <w:b/>
          <w:lang w:val="fr-CA"/>
        </w:rPr>
        <w:t xml:space="preserve"> </w:t>
      </w:r>
      <w:r w:rsidRPr="001B28CD">
        <w:rPr>
          <w:rFonts w:cs="Times New Roman"/>
          <w:lang w:val="fr-CA"/>
        </w:rPr>
        <w:t>ni au regard du droit. L’interprétation donnée en l’espèce à la directive de l’employeur et à l’art. 5 de la convention collective ne m’apparaît donc pas raisonnable.</w:t>
      </w:r>
    </w:p>
    <w:p w:rsidR="001B28CD" w:rsidRPr="00130490" w:rsidRDefault="001B28CD" w:rsidP="002B57A4">
      <w:pPr>
        <w:pStyle w:val="Title1LevelTitre1Niveau-AltL"/>
        <w:widowControl w:val="0"/>
        <w:numPr>
          <w:ilvl w:val="0"/>
          <w:numId w:val="8"/>
        </w:numPr>
        <w:rPr>
          <w:rFonts w:cs="Times New Roman"/>
          <w:lang w:val="fr-CA"/>
        </w:rPr>
      </w:pPr>
      <w:r w:rsidRPr="00130490">
        <w:rPr>
          <w:rFonts w:cs="Times New Roman"/>
          <w:lang w:val="fr-CA"/>
        </w:rPr>
        <w:t>L’arbitre a erré en concluant que la directive constituait un exercice déraisonnable et inéquitable du droit de gestion de l’employeur</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Notre Cour rappelait dans l’affaire </w:t>
      </w:r>
      <w:proofErr w:type="spellStart"/>
      <w:r w:rsidRPr="001B28CD">
        <w:rPr>
          <w:rFonts w:cs="Times New Roman"/>
          <w:i/>
          <w:lang w:val="fr-CA"/>
        </w:rPr>
        <w:t>Dunsmuir</w:t>
      </w:r>
      <w:proofErr w:type="spellEnd"/>
      <w:r w:rsidRPr="001B28CD">
        <w:rPr>
          <w:rFonts w:cs="Times New Roman"/>
          <w:i/>
          <w:lang w:val="fr-CA"/>
        </w:rPr>
        <w:t xml:space="preserve"> c. Nouveau-Brunswick</w:t>
      </w:r>
      <w:r w:rsidRPr="001B28CD">
        <w:rPr>
          <w:rFonts w:cs="Times New Roman"/>
          <w:lang w:val="fr-CA"/>
        </w:rPr>
        <w:t xml:space="preserve">, 2008 CSC 9, [2008] 1 R.C.S. 190, par. 68, qu’elle « a maintes fois reconnu l’expertise relative de l’arbitre dans l’interprétation d’une convention collective et préconisé le respect de sa décision à cet égard ». Ainsi, « [o]n ne peut plus sérieusement contester, tout particulièrement depuis l’arrêt </w:t>
      </w:r>
      <w:proofErr w:type="spellStart"/>
      <w:r w:rsidRPr="001B28CD">
        <w:rPr>
          <w:rFonts w:cs="Times New Roman"/>
          <w:i/>
          <w:lang w:val="fr-CA"/>
        </w:rPr>
        <w:t>Dunsmuir</w:t>
      </w:r>
      <w:proofErr w:type="spellEnd"/>
      <w:r w:rsidRPr="001B28CD">
        <w:rPr>
          <w:rFonts w:cs="Times New Roman"/>
          <w:lang w:val="fr-CA"/>
        </w:rPr>
        <w:t xml:space="preserve"> [. . .], que la norme de contrôle de la décision d’un arbitre en droit du travail est celle de la décision raisonnable » (</w:t>
      </w:r>
      <w:r w:rsidRPr="001B28CD">
        <w:rPr>
          <w:rFonts w:cs="Times New Roman"/>
          <w:i/>
          <w:lang w:val="fr-CA"/>
        </w:rPr>
        <w:t xml:space="preserve">Syndicat </w:t>
      </w:r>
      <w:r w:rsidRPr="001B28CD">
        <w:rPr>
          <w:rFonts w:cs="Times New Roman"/>
          <w:i/>
          <w:lang w:val="fr-CA"/>
        </w:rPr>
        <w:lastRenderedPageBreak/>
        <w:t>canadien des communications, de l’énergie et du papier, section locale 30 c. Pâtes &amp; Papier Irving, Ltée</w:t>
      </w:r>
      <w:r w:rsidRPr="001B28CD">
        <w:rPr>
          <w:rFonts w:cs="Times New Roman"/>
          <w:lang w:val="fr-CA"/>
        </w:rPr>
        <w:t>, 2013 CSC 34, [2013] 2 R.C.S. 458, par. 7). Il ne fait donc aucun doute que c’est la norme de contrôle de la décision raisonnable qui s’applique à la sentence de l’arbitre quant à la question de savoir si la directive constitue un exercice raisonnable du droit de gestion de l’employeur.</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Suivant la norme de contrôle de la décision raisonnable, une cour de révision se demande si le processus décisionnel a été transparent et intelligible. Elle se demande également si la décision est justifiable, c’est-à-dire si elle appartient « aux issues possibles acceptables pouvant se justifier au regard </w:t>
      </w:r>
      <w:r w:rsidRPr="001B28CD">
        <w:rPr>
          <w:rFonts w:cs="Times New Roman"/>
          <w:u w:val="single"/>
          <w:lang w:val="fr-CA"/>
        </w:rPr>
        <w:t>des faits</w:t>
      </w:r>
      <w:r w:rsidRPr="001B28CD">
        <w:rPr>
          <w:rFonts w:cs="Times New Roman"/>
          <w:lang w:val="fr-CA"/>
        </w:rPr>
        <w:t xml:space="preserve"> et </w:t>
      </w:r>
      <w:r w:rsidRPr="001B28CD">
        <w:rPr>
          <w:rFonts w:cs="Times New Roman"/>
          <w:u w:val="single"/>
          <w:lang w:val="fr-CA"/>
        </w:rPr>
        <w:t>du droit</w:t>
      </w:r>
      <w:r w:rsidRPr="001B28CD">
        <w:rPr>
          <w:rFonts w:cs="Times New Roman"/>
          <w:lang w:val="fr-CA"/>
        </w:rPr>
        <w:t> » (</w:t>
      </w:r>
      <w:proofErr w:type="spellStart"/>
      <w:r w:rsidRPr="001B28CD">
        <w:rPr>
          <w:rFonts w:cs="Times New Roman"/>
          <w:i/>
          <w:lang w:val="fr-CA"/>
        </w:rPr>
        <w:t>Dunsmuir</w:t>
      </w:r>
      <w:proofErr w:type="spellEnd"/>
      <w:r w:rsidRPr="001B28CD">
        <w:rPr>
          <w:rFonts w:cs="Times New Roman"/>
          <w:lang w:val="fr-CA"/>
        </w:rPr>
        <w:t xml:space="preserve">, par. 47 (je souligne)). La déférence requise par la norme de la </w:t>
      </w:r>
      <w:proofErr w:type="spellStart"/>
      <w:r w:rsidRPr="001B28CD">
        <w:rPr>
          <w:rFonts w:cs="Times New Roman"/>
          <w:lang w:val="fr-CA"/>
        </w:rPr>
        <w:t>raisonnabilité</w:t>
      </w:r>
      <w:proofErr w:type="spellEnd"/>
      <w:r w:rsidRPr="001B28CD">
        <w:rPr>
          <w:rFonts w:cs="Times New Roman"/>
          <w:lang w:val="fr-CA"/>
        </w:rPr>
        <w:t xml:space="preserve"> exige de la cour de révision qu’elle tienne « dûment compte des conclusions du décideur » (</w:t>
      </w:r>
      <w:proofErr w:type="spellStart"/>
      <w:r w:rsidRPr="001B28CD">
        <w:rPr>
          <w:rFonts w:cs="Times New Roman"/>
          <w:i/>
          <w:lang w:val="fr-CA"/>
        </w:rPr>
        <w:t>Dunsmuir</w:t>
      </w:r>
      <w:proofErr w:type="spellEnd"/>
      <w:r w:rsidRPr="001B28CD">
        <w:rPr>
          <w:rFonts w:cs="Times New Roman"/>
          <w:lang w:val="fr-CA"/>
        </w:rPr>
        <w:t>, par. 49). Cela ne signifie toutefois pas que la décision de l’arbitre est immunisée contre toute révision judiciaire; elle doit demeurer « raisonnable ».</w:t>
      </w:r>
    </w:p>
    <w:p w:rsidR="001B28CD" w:rsidRPr="00130490" w:rsidRDefault="001B28CD" w:rsidP="002B57A4">
      <w:pPr>
        <w:pStyle w:val="Title2LevelTitre2Niveau"/>
        <w:widowControl w:val="0"/>
        <w:numPr>
          <w:ilvl w:val="1"/>
          <w:numId w:val="8"/>
        </w:numPr>
        <w:rPr>
          <w:rFonts w:cs="Times New Roman"/>
          <w:lang w:val="fr-CA"/>
        </w:rPr>
      </w:pPr>
      <w:bookmarkStart w:id="1" w:name="_Toc479788324"/>
      <w:r w:rsidRPr="00130490">
        <w:rPr>
          <w:rFonts w:cs="Times New Roman"/>
          <w:lang w:val="fr-CA"/>
        </w:rPr>
        <w:t>La décision de l’arbitre ne semble pas justifiée au regard des faits</w:t>
      </w:r>
      <w:bookmarkEnd w:id="1"/>
    </w:p>
    <w:p w:rsidR="001B28CD" w:rsidRPr="001B28CD" w:rsidRDefault="001B28CD" w:rsidP="002B57A4">
      <w:pPr>
        <w:pStyle w:val="ParaNoNdepar-AltN"/>
        <w:widowControl w:val="0"/>
        <w:rPr>
          <w:rFonts w:cs="Times New Roman"/>
          <w:lang w:val="fr-CA"/>
        </w:rPr>
      </w:pPr>
      <w:r w:rsidRPr="001B28CD">
        <w:rPr>
          <w:rFonts w:cs="Times New Roman"/>
          <w:lang w:val="fr-CA"/>
        </w:rPr>
        <w:t xml:space="preserve">Je note d’abord les propos suivants de l’arbitre, au par. 47 de ses motifs : </w:t>
      </w:r>
    </w:p>
    <w:p w:rsidR="001B28CD" w:rsidRPr="00130490" w:rsidRDefault="001B28CD" w:rsidP="002B57A4">
      <w:pPr>
        <w:pStyle w:val="Citation-AltC"/>
        <w:widowControl w:val="0"/>
        <w:ind w:firstLine="274"/>
      </w:pPr>
      <w:r w:rsidRPr="001B28CD">
        <w:rPr>
          <w:lang w:val="fr-CA"/>
        </w:rPr>
        <w:t xml:space="preserve">Je conviens qu’une urgence qui survient en dehors des heures normales de travail puisse représenter un besoin organisationnel légitime qui engendrera l’exercice par l’employeur de son droit de direction et, par conséquent, du travail en heures supplémentaires à l’égard des employés. Dans ce cas, le besoin organisationnel est déclenché par une urgence sur laquelle l’employeur n’a aucun contrôle. </w:t>
      </w:r>
      <w:r w:rsidRPr="001B28CD">
        <w:rPr>
          <w:u w:val="single"/>
          <w:lang w:val="fr-CA"/>
        </w:rPr>
        <w:t xml:space="preserve">Mais la même analogie peut-elle être faite quant à l’imposition unilatérale d’une période de garde? Dans ce </w:t>
      </w:r>
      <w:r w:rsidRPr="001B28CD">
        <w:rPr>
          <w:u w:val="single"/>
          <w:lang w:val="fr-CA"/>
        </w:rPr>
        <w:lastRenderedPageBreak/>
        <w:t>cas, le besoin organisationnel est plutôt déclenché par le choix de l’employeur d’offrir et de vendre les services professionnels de ses employés en dehors de leurs heures normales de travail, ce sur quoi l’employeur a un certain contrôle.</w:t>
      </w:r>
      <w:r w:rsidRPr="001B28CD">
        <w:rPr>
          <w:lang w:val="fr-CA"/>
        </w:rPr>
        <w:t xml:space="preserve"> </w:t>
      </w:r>
      <w:r w:rsidRPr="00130490">
        <w:t xml:space="preserve">[Je </w:t>
      </w:r>
      <w:proofErr w:type="spellStart"/>
      <w:r w:rsidRPr="00130490">
        <w:t>souligne</w:t>
      </w:r>
      <w:proofErr w:type="spellEnd"/>
      <w:r w:rsidRPr="00130490">
        <w:t>.]</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L’arbitre de grief avait pourtant devant lui l’énoncé conjoint des faits suivant, qu’il reproduit d’ailleurs au par. 7 de ses motifs : </w:t>
      </w:r>
    </w:p>
    <w:p w:rsidR="003F5A75" w:rsidRPr="003F5A75" w:rsidRDefault="003F5A75" w:rsidP="003F5A75">
      <w:pPr>
        <w:pStyle w:val="Citation-AltC"/>
        <w:widowControl w:val="0"/>
        <w:jc w:val="center"/>
        <w:rPr>
          <w:lang w:val="fr-CA"/>
        </w:rPr>
      </w:pPr>
      <w:r w:rsidRPr="003F5A75">
        <w:rPr>
          <w:lang w:val="fr-CA"/>
        </w:rPr>
        <w:t>. . .</w:t>
      </w:r>
    </w:p>
    <w:p w:rsidR="003F5A75" w:rsidRPr="003F5A75" w:rsidRDefault="003F5A75" w:rsidP="003F5A75">
      <w:pPr>
        <w:pStyle w:val="Citation-AltC"/>
        <w:widowControl w:val="0"/>
        <w:rPr>
          <w:lang w:val="fr-CA"/>
        </w:rPr>
      </w:pPr>
    </w:p>
    <w:p w:rsidR="001B28CD" w:rsidRPr="001B28CD" w:rsidRDefault="001B28CD" w:rsidP="002B57A4">
      <w:pPr>
        <w:pStyle w:val="Citation-AltC"/>
        <w:widowControl w:val="0"/>
        <w:rPr>
          <w:lang w:val="fr-CA"/>
        </w:rPr>
      </w:pPr>
      <w:r w:rsidRPr="001B28CD">
        <w:rPr>
          <w:lang w:val="fr-CA"/>
        </w:rPr>
        <w:t xml:space="preserve">8. Ces demandes [de sursis] peuvent être présentées en dehors des heures ouvrables et </w:t>
      </w:r>
      <w:r w:rsidRPr="001B28CD">
        <w:rPr>
          <w:u w:val="single"/>
          <w:lang w:val="fr-CA"/>
        </w:rPr>
        <w:t>doivent être traitées rapidement</w:t>
      </w:r>
      <w:r w:rsidRPr="001B28CD">
        <w:rPr>
          <w:lang w:val="fr-CA"/>
        </w:rPr>
        <w:t xml:space="preserve">. Il n’est pas inhabituel que les demandes de sursis soient présentées en fin d’après-midi et que le travail continue tard en soirée. Les demandes déposées pendant la fin de semaine sont moins fréquentes (environ 6 fois par année à l’époque), </w:t>
      </w:r>
      <w:r w:rsidRPr="001B28CD">
        <w:rPr>
          <w:u w:val="single"/>
          <w:lang w:val="fr-CA"/>
        </w:rPr>
        <w:t>mais tout aussi imprévisibles</w:t>
      </w:r>
      <w:r w:rsidRPr="00955EDA">
        <w:rPr>
          <w:lang w:val="fr-CA"/>
        </w:rPr>
        <w:t>.</w:t>
      </w:r>
      <w:r w:rsidRPr="001B28CD">
        <w:rPr>
          <w:lang w:val="fr-CA"/>
        </w:rPr>
        <w:t xml:space="preserve"> </w:t>
      </w:r>
    </w:p>
    <w:p w:rsidR="001B28CD" w:rsidRPr="001B28CD" w:rsidRDefault="001B28CD" w:rsidP="002B57A4">
      <w:pPr>
        <w:pStyle w:val="Citation-AltC"/>
        <w:widowControl w:val="0"/>
        <w:ind w:left="0"/>
        <w:rPr>
          <w:lang w:val="fr-CA"/>
        </w:rPr>
      </w:pPr>
    </w:p>
    <w:p w:rsidR="001B28CD" w:rsidRPr="001B28CD" w:rsidRDefault="001B28CD" w:rsidP="002B57A4">
      <w:pPr>
        <w:pStyle w:val="Citation-AltC"/>
        <w:widowControl w:val="0"/>
        <w:rPr>
          <w:lang w:val="fr-CA"/>
        </w:rPr>
      </w:pPr>
      <w:r w:rsidRPr="001B28CD">
        <w:rPr>
          <w:lang w:val="fr-CA"/>
        </w:rPr>
        <w:t xml:space="preserve">9. L’Employeur requiert que le/la juriste qui répond à une demande de sursis soit disponible selon le rôle établi par la Cour fédérale et selon l’horaire du juge nommé pour entendre la demande. </w:t>
      </w:r>
      <w:r w:rsidRPr="001B28CD">
        <w:rPr>
          <w:u w:val="single"/>
          <w:lang w:val="fr-CA"/>
        </w:rPr>
        <w:t>Le greffier de la Cour fédérale téléphone au numéro d’urgence de la direction</w:t>
      </w:r>
      <w:r w:rsidRPr="001B28CD">
        <w:rPr>
          <w:lang w:val="fr-CA"/>
        </w:rPr>
        <w:t xml:space="preserve"> de l’immigration en prévision de l’audition de la cause. Des arguments écrits peuvent être rédigés et déposés, </w:t>
      </w:r>
      <w:r w:rsidRPr="001B28CD">
        <w:rPr>
          <w:u w:val="single"/>
          <w:lang w:val="fr-CA"/>
        </w:rPr>
        <w:t>selon le degré d’urgence</w:t>
      </w:r>
      <w:r w:rsidRPr="001B28CD">
        <w:rPr>
          <w:lang w:val="fr-CA"/>
        </w:rPr>
        <w:t xml:space="preserve">, suivis d’une audience ou d’une téléconférence avec le juge de la Cour fédérale qui entend les parties sur </w:t>
      </w:r>
      <w:r w:rsidR="00955EDA">
        <w:rPr>
          <w:lang w:val="fr-CA"/>
        </w:rPr>
        <w:t>le bien-fondé de la demande.</w:t>
      </w:r>
    </w:p>
    <w:p w:rsidR="001B28CD" w:rsidRPr="001B28CD" w:rsidRDefault="001B28CD" w:rsidP="002B57A4">
      <w:pPr>
        <w:pStyle w:val="Citation-AltC"/>
        <w:widowControl w:val="0"/>
        <w:rPr>
          <w:lang w:val="fr-CA"/>
        </w:rPr>
      </w:pPr>
    </w:p>
    <w:p w:rsidR="001B28CD" w:rsidRPr="001B28CD" w:rsidRDefault="001B28CD" w:rsidP="002B57A4">
      <w:pPr>
        <w:pStyle w:val="Citation-AltC"/>
        <w:widowControl w:val="0"/>
        <w:jc w:val="center"/>
        <w:rPr>
          <w:lang w:val="fr-CA"/>
        </w:rPr>
      </w:pPr>
      <w:r w:rsidRPr="001B28CD">
        <w:rPr>
          <w:lang w:val="fr-CA"/>
        </w:rPr>
        <w:t>. . .</w:t>
      </w:r>
    </w:p>
    <w:p w:rsidR="001B28CD" w:rsidRPr="001B28CD" w:rsidRDefault="001B28CD" w:rsidP="002B57A4">
      <w:pPr>
        <w:pStyle w:val="Citation-AltC"/>
        <w:widowControl w:val="0"/>
        <w:rPr>
          <w:lang w:val="fr-CA"/>
        </w:rPr>
      </w:pPr>
    </w:p>
    <w:p w:rsidR="001B28CD" w:rsidRPr="00130490" w:rsidRDefault="001B28CD" w:rsidP="002B57A4">
      <w:pPr>
        <w:pStyle w:val="Citation-AltC"/>
        <w:widowControl w:val="0"/>
      </w:pPr>
      <w:r w:rsidRPr="001B28CD">
        <w:rPr>
          <w:lang w:val="fr-CA"/>
        </w:rPr>
        <w:t xml:space="preserve">12. </w:t>
      </w:r>
      <w:r w:rsidRPr="001B28CD">
        <w:rPr>
          <w:u w:val="single"/>
          <w:lang w:val="fr-CA"/>
        </w:rPr>
        <w:t>De par leur nature, les urgences de fin de semaine surviennent de façon irrégulière.</w:t>
      </w:r>
      <w:r w:rsidRPr="001B28CD">
        <w:rPr>
          <w:lang w:val="fr-CA"/>
        </w:rPr>
        <w:t xml:space="preserve"> Plusieurs peuvent survenir de suite ou il peut se passer plusieurs semaines avant qu’il en survienne une autre. </w:t>
      </w:r>
      <w:r w:rsidRPr="00130490">
        <w:t xml:space="preserve">[Je </w:t>
      </w:r>
      <w:proofErr w:type="spellStart"/>
      <w:r w:rsidRPr="00130490">
        <w:t>souligne</w:t>
      </w:r>
      <w:proofErr w:type="spellEnd"/>
      <w:r w:rsidRPr="00130490">
        <w:t>.]</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Je partage donc entièrement l’avis de la Cour d’appel fédérale sous la plume du juge de Montigny selon lequel la conclusion de l’arbitre voulant que l’employeur ait un certain contrôle sur le besoin organisationnel à la base de l’imposition unilatérale d’une période de garde « va à l’encontre de la preuve commune </w:t>
      </w:r>
      <w:r w:rsidRPr="001B28CD">
        <w:rPr>
          <w:rFonts w:cs="Times New Roman"/>
          <w:lang w:val="fr-CA"/>
        </w:rPr>
        <w:lastRenderedPageBreak/>
        <w:t>soumise par les parties, à l’effet qu’une demande de sursis peut survenir de façon imprévisible et doit être traitée de façon urgente » (2016 CAF 92, [2016] 4 R.C.F. 349, par. 31).</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De plus, l’énoncé conjoint des faits repris par l’arbitre de grief dans ses motifs, mentionne également ce qui suit : </w:t>
      </w:r>
    </w:p>
    <w:p w:rsidR="001B28CD" w:rsidRPr="001B28CD" w:rsidRDefault="001B28CD" w:rsidP="002B57A4">
      <w:pPr>
        <w:pStyle w:val="Citation-AltC"/>
        <w:widowControl w:val="0"/>
        <w:rPr>
          <w:lang w:val="fr-CA"/>
        </w:rPr>
      </w:pPr>
      <w:r w:rsidRPr="001B28CD">
        <w:rPr>
          <w:lang w:val="fr-CA"/>
        </w:rPr>
        <w:t xml:space="preserve">19. En l’absence de volontaires, par courriel en date du 13 avril 2010, l’Employeur a imposé à tous les juristes (dont notamment celles identifiées ci-dessous) qu’ils soient disponibles à tour de rôle, </w:t>
      </w:r>
      <w:r w:rsidRPr="001B28CD">
        <w:rPr>
          <w:u w:val="single"/>
          <w:lang w:val="fr-CA"/>
        </w:rPr>
        <w:t>en moyenne 1 à 3 fois par année</w:t>
      </w:r>
      <w:r w:rsidR="00955EDA">
        <w:rPr>
          <w:lang w:val="fr-CA"/>
        </w:rPr>
        <w:t>, pour la garde.</w:t>
      </w:r>
    </w:p>
    <w:p w:rsidR="001B28CD" w:rsidRPr="001B28CD" w:rsidRDefault="001B28CD" w:rsidP="002B57A4">
      <w:pPr>
        <w:pStyle w:val="Citation-AltC"/>
        <w:widowControl w:val="0"/>
        <w:rPr>
          <w:lang w:val="fr-CA"/>
        </w:rPr>
      </w:pPr>
    </w:p>
    <w:p w:rsidR="001B28CD" w:rsidRPr="00130490" w:rsidRDefault="001B28CD" w:rsidP="002B57A4">
      <w:pPr>
        <w:pStyle w:val="Citation-AltC"/>
        <w:widowControl w:val="0"/>
      </w:pPr>
      <w:r w:rsidRPr="001B28CD">
        <w:rPr>
          <w:lang w:val="fr-CA"/>
        </w:rPr>
        <w:t>20. L’Employeur a préparé un tableau de garde pour la période du 1</w:t>
      </w:r>
      <w:r w:rsidRPr="001B28CD">
        <w:rPr>
          <w:vertAlign w:val="superscript"/>
          <w:lang w:val="fr-CA"/>
        </w:rPr>
        <w:t>er</w:t>
      </w:r>
      <w:r w:rsidRPr="001B28CD">
        <w:rPr>
          <w:lang w:val="fr-CA"/>
        </w:rPr>
        <w:t> avril 2010 au 31 mars 2011. À cette fin, l’Employeur a demandé les disponibilités des juristes pour toute la période visée par la liste. L’Employeur a établi, par la suite, la liste en fonction des disponibilités et situation des juristes (ex. : situation nécessitant une mesure d’adaptation en vertu de la [</w:t>
      </w:r>
      <w:r w:rsidRPr="001B28CD">
        <w:rPr>
          <w:i/>
          <w:lang w:val="fr-CA"/>
        </w:rPr>
        <w:t>Loi canadienne sur les droits de la personne</w:t>
      </w:r>
      <w:r w:rsidRPr="001B28CD">
        <w:rPr>
          <w:lang w:val="fr-CA"/>
        </w:rPr>
        <w:t xml:space="preserve">, L.R.C. 1985, c. H-6]). </w:t>
      </w:r>
      <w:r w:rsidRPr="001B28CD">
        <w:rPr>
          <w:u w:val="single"/>
          <w:lang w:val="fr-CA"/>
        </w:rPr>
        <w:t>De plus, l’Employeur a permis aux juristes de s’accommoder entre eux pour se faire remplacer.</w:t>
      </w:r>
      <w:r w:rsidRPr="001B28CD">
        <w:rPr>
          <w:lang w:val="fr-CA"/>
        </w:rPr>
        <w:t xml:space="preserve"> </w:t>
      </w:r>
      <w:r w:rsidRPr="00130490">
        <w:t xml:space="preserve">[Je </w:t>
      </w:r>
      <w:proofErr w:type="spellStart"/>
      <w:r w:rsidRPr="00130490">
        <w:t>souligne</w:t>
      </w:r>
      <w:proofErr w:type="spellEnd"/>
      <w:r w:rsidRPr="00130490">
        <w:t>.]</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L’arbitre ne semble pas avoir considéré ces faits dans son analyse. J’abonde dans le même sens que le juge de Montigny lorsque celui-ci conclut que, « [d]e toute évidence, il s’agissait là [de] facteur[s] important[s] pour évaluer la </w:t>
      </w:r>
      <w:proofErr w:type="spellStart"/>
      <w:r w:rsidRPr="001B28CD">
        <w:rPr>
          <w:rFonts w:cs="Times New Roman"/>
          <w:lang w:val="fr-CA"/>
        </w:rPr>
        <w:t>raisonnabilité</w:t>
      </w:r>
      <w:proofErr w:type="spellEnd"/>
      <w:r w:rsidRPr="001B28CD">
        <w:rPr>
          <w:rFonts w:cs="Times New Roman"/>
          <w:lang w:val="fr-CA"/>
        </w:rPr>
        <w:t xml:space="preserve"> de la directive, dont l’arbitre ne tient aucunement compte dans son analyse » (par. 32).</w:t>
      </w:r>
    </w:p>
    <w:p w:rsidR="001B28CD" w:rsidRPr="001B28CD" w:rsidRDefault="001B28CD" w:rsidP="002B57A4">
      <w:pPr>
        <w:pStyle w:val="ParaNoNdepar-AltN"/>
        <w:widowControl w:val="0"/>
        <w:rPr>
          <w:rFonts w:cs="Times New Roman"/>
          <w:lang w:val="fr-CA"/>
        </w:rPr>
      </w:pPr>
      <w:r w:rsidRPr="001B28CD">
        <w:rPr>
          <w:rFonts w:cs="Times New Roman"/>
          <w:lang w:val="fr-CA"/>
        </w:rPr>
        <w:t>À mon avis, dans la mesure où les conclusions de l’arbitre vont à l’encontre de la preuve commune soumise par les parties et que ses motifs passent sous silence des éléments factuels essentiels, sa décision n’appartient pas « aux issues possibles acceptables pouvant se justifier au regard des faits » (</w:t>
      </w:r>
      <w:proofErr w:type="spellStart"/>
      <w:r w:rsidRPr="001B28CD">
        <w:rPr>
          <w:rFonts w:cs="Times New Roman"/>
          <w:i/>
          <w:lang w:val="fr-CA"/>
        </w:rPr>
        <w:t>Dunsmuir</w:t>
      </w:r>
      <w:proofErr w:type="spellEnd"/>
      <w:r w:rsidRPr="001B28CD">
        <w:rPr>
          <w:rFonts w:cs="Times New Roman"/>
          <w:lang w:val="fr-CA"/>
        </w:rPr>
        <w:t>, par. 47).</w:t>
      </w:r>
    </w:p>
    <w:p w:rsidR="001B28CD" w:rsidRPr="00130490" w:rsidRDefault="001B28CD" w:rsidP="002B57A4">
      <w:pPr>
        <w:pStyle w:val="Title2LevelTitre2Niveau"/>
        <w:widowControl w:val="0"/>
        <w:numPr>
          <w:ilvl w:val="1"/>
          <w:numId w:val="8"/>
        </w:numPr>
        <w:rPr>
          <w:rFonts w:cs="Times New Roman"/>
          <w:lang w:val="fr-CA"/>
        </w:rPr>
      </w:pPr>
      <w:bookmarkStart w:id="2" w:name="_Toc479788325"/>
      <w:r w:rsidRPr="00130490">
        <w:rPr>
          <w:rFonts w:cs="Times New Roman"/>
          <w:lang w:val="fr-CA"/>
        </w:rPr>
        <w:lastRenderedPageBreak/>
        <w:t>La décision de l’arbitre ne semble pas justifiée au regard du droit</w:t>
      </w:r>
      <w:bookmarkEnd w:id="2"/>
    </w:p>
    <w:p w:rsidR="001B28CD" w:rsidRPr="001B28CD" w:rsidRDefault="001B28CD" w:rsidP="002B57A4">
      <w:pPr>
        <w:pStyle w:val="ParaNoNdepar-AltN"/>
        <w:widowControl w:val="0"/>
        <w:rPr>
          <w:rFonts w:cs="Times New Roman"/>
          <w:lang w:val="fr-CA"/>
        </w:rPr>
      </w:pPr>
      <w:r w:rsidRPr="001B28CD">
        <w:rPr>
          <w:rFonts w:cs="Times New Roman"/>
          <w:lang w:val="fr-CA"/>
        </w:rPr>
        <w:t>En vertu du par. 5.01 de la convention collective, l’employeur « retient toutes les fonctions, les droits, les pouvoirs et l’autorité que ce dernier n’a pas, d’une façon précise, fait diminuer, déléguer ou modifier par la présente convention ». Ces droits résiduels comprennent, pour le Conseil du Trésor, des droits en matière de « gestion des ressources humaines de l’administration publique fédérale, notamment la détermination des conditions d’emploi » (</w:t>
      </w:r>
      <w:r w:rsidRPr="001B28CD">
        <w:rPr>
          <w:rFonts w:cs="Times New Roman"/>
          <w:i/>
          <w:lang w:val="fr-CA"/>
        </w:rPr>
        <w:t>Loi sur la gestion des finances publiques</w:t>
      </w:r>
      <w:r w:rsidRPr="001B28CD">
        <w:rPr>
          <w:rFonts w:cs="Times New Roman"/>
          <w:lang w:val="fr-CA"/>
        </w:rPr>
        <w:t>, L.R.C. 1985, c. F-11, al. 7(1</w:t>
      </w:r>
      <w:proofErr w:type="gramStart"/>
      <w:r w:rsidRPr="001B28CD">
        <w:rPr>
          <w:rFonts w:cs="Times New Roman"/>
          <w:lang w:val="fr-CA"/>
        </w:rPr>
        <w:t>)e</w:t>
      </w:r>
      <w:proofErr w:type="gramEnd"/>
      <w:r w:rsidRPr="001B28CD">
        <w:rPr>
          <w:rFonts w:cs="Times New Roman"/>
          <w:lang w:val="fr-CA"/>
        </w:rPr>
        <w:t xml:space="preserve">)). L’exercice de ces droits en matière de gestion des ressources humaines est encadré par l’art. 11.1 de la </w:t>
      </w:r>
      <w:r w:rsidRPr="001B28CD">
        <w:rPr>
          <w:rFonts w:cs="Times New Roman"/>
          <w:i/>
          <w:lang w:val="fr-CA"/>
        </w:rPr>
        <w:t>Loi sur la gestion des finances publiques</w:t>
      </w:r>
      <w:r w:rsidRPr="001B28CD">
        <w:rPr>
          <w:rFonts w:cs="Times New Roman"/>
          <w:lang w:val="fr-CA"/>
        </w:rPr>
        <w:t xml:space="preserve">. </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Dans l’affaire </w:t>
      </w:r>
      <w:r w:rsidRPr="001B28CD">
        <w:rPr>
          <w:rFonts w:cs="Times New Roman"/>
          <w:i/>
          <w:lang w:val="fr-CA"/>
        </w:rPr>
        <w:t xml:space="preserve">Voice Construction Ltd. c. Construction &amp; General </w:t>
      </w:r>
      <w:proofErr w:type="spellStart"/>
      <w:r w:rsidRPr="001B28CD">
        <w:rPr>
          <w:rFonts w:cs="Times New Roman"/>
          <w:i/>
          <w:lang w:val="fr-CA"/>
        </w:rPr>
        <w:t>Workers</w:t>
      </w:r>
      <w:proofErr w:type="spellEnd"/>
      <w:r w:rsidRPr="001B28CD">
        <w:rPr>
          <w:rFonts w:cs="Times New Roman"/>
          <w:i/>
          <w:lang w:val="fr-CA"/>
        </w:rPr>
        <w:t>’ Union, Local 92</w:t>
      </w:r>
      <w:r w:rsidRPr="001B28CD">
        <w:rPr>
          <w:rFonts w:cs="Times New Roman"/>
          <w:lang w:val="fr-CA"/>
        </w:rPr>
        <w:t>, 2004 CSC 23, [2004] 1 R.C.S. 609, par. 32, notre Cour rappelait que « [g]</w:t>
      </w:r>
      <w:proofErr w:type="spellStart"/>
      <w:r w:rsidRPr="001B28CD">
        <w:rPr>
          <w:rFonts w:cs="Times New Roman"/>
          <w:lang w:val="fr-CA"/>
        </w:rPr>
        <w:t>énéralement</w:t>
      </w:r>
      <w:proofErr w:type="spellEnd"/>
      <w:r w:rsidRPr="001B28CD">
        <w:rPr>
          <w:rFonts w:cs="Times New Roman"/>
          <w:lang w:val="fr-CA"/>
        </w:rPr>
        <w:t>, la direction dispose d’un droit résiduel de gérer son entreprise selon ce qu’elle juge indiqué » et que « [c]e droit est subordonné aux conditions expresses de la convention collective applicable ou aux dispositions à l’effet contraire des lois sur les droits de la personne et des autres lois relatives à l’emploi ».</w:t>
      </w:r>
    </w:p>
    <w:p w:rsidR="001B28CD" w:rsidRPr="001B28CD" w:rsidRDefault="001B28CD" w:rsidP="002B57A4">
      <w:pPr>
        <w:pStyle w:val="ParaNoNdepar-AltN"/>
        <w:widowControl w:val="0"/>
        <w:rPr>
          <w:rFonts w:cs="Times New Roman"/>
          <w:lang w:val="fr-CA"/>
        </w:rPr>
      </w:pPr>
      <w:r w:rsidRPr="001B28CD">
        <w:rPr>
          <w:rFonts w:cs="Times New Roman"/>
          <w:lang w:val="fr-CA"/>
        </w:rPr>
        <w:t>Ainsi, en l’espèce, les droits résiduels de l’employeur sont subordonnés au par. 5.02 de la convention collective, lequel requiert que l’employeur « </w:t>
      </w:r>
      <w:proofErr w:type="gramStart"/>
      <w:r w:rsidRPr="001B28CD">
        <w:rPr>
          <w:rFonts w:cs="Times New Roman"/>
          <w:lang w:val="fr-CA"/>
        </w:rPr>
        <w:t>agi[</w:t>
      </w:r>
      <w:proofErr w:type="spellStart"/>
      <w:proofErr w:type="gramEnd"/>
      <w:r w:rsidRPr="001B28CD">
        <w:rPr>
          <w:rFonts w:cs="Times New Roman"/>
          <w:lang w:val="fr-CA"/>
        </w:rPr>
        <w:t>sse</w:t>
      </w:r>
      <w:proofErr w:type="spellEnd"/>
      <w:r w:rsidRPr="001B28CD">
        <w:rPr>
          <w:rFonts w:cs="Times New Roman"/>
          <w:lang w:val="fr-CA"/>
        </w:rPr>
        <w:t xml:space="preserve">] raisonnablement, équitablement et de bonne foi dans l’administration de la présente convention collective ». Ce paragraphe codifie des principes déjà reconnus dans la jurisprudence, notamment le fait qu’« [e]n milieu de travail syndiqué, l’employeur qui </w:t>
      </w:r>
      <w:r w:rsidRPr="001B28CD">
        <w:rPr>
          <w:rFonts w:cs="Times New Roman"/>
          <w:lang w:val="fr-CA"/>
        </w:rPr>
        <w:lastRenderedPageBreak/>
        <w:t>impose unilatéralement des règles et des politiques ne peut pas [</w:t>
      </w:r>
      <w:r w:rsidRPr="001B28CD">
        <w:rPr>
          <w:rFonts w:cs="Times New Roman"/>
          <w:smallCaps/>
          <w:lang w:val="fr-CA"/>
        </w:rPr>
        <w:t>traduction</w:t>
      </w:r>
      <w:r w:rsidRPr="001B28CD">
        <w:rPr>
          <w:rFonts w:cs="Times New Roman"/>
          <w:lang w:val="fr-CA"/>
        </w:rPr>
        <w:t>] “adopter des règles déraisonnables pour ensuite punir les employés qui les violent” » (</w:t>
      </w:r>
      <w:r w:rsidRPr="001B28CD">
        <w:rPr>
          <w:rFonts w:cs="Times New Roman"/>
          <w:i/>
          <w:lang w:val="fr-CA"/>
        </w:rPr>
        <w:t>Irving</w:t>
      </w:r>
      <w:r w:rsidRPr="001B28CD">
        <w:rPr>
          <w:rFonts w:cs="Times New Roman"/>
          <w:lang w:val="fr-CA"/>
        </w:rPr>
        <w:t>, par. 22).</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En analysant si l’employeur avait agi raisonnablement, équitablement et de bonne foi en adoptant la directive, l’arbitre a noté qu’on ne lui avait « présenté aucune preuve établissant que la période de garde </w:t>
      </w:r>
      <w:r w:rsidRPr="001B28CD">
        <w:rPr>
          <w:rFonts w:cs="Times New Roman"/>
          <w:u w:val="single"/>
          <w:lang w:val="fr-CA"/>
        </w:rPr>
        <w:t>est le seul moyen</w:t>
      </w:r>
      <w:r w:rsidRPr="001B28CD">
        <w:rPr>
          <w:rFonts w:cs="Times New Roman"/>
          <w:lang w:val="fr-CA"/>
        </w:rPr>
        <w:t xml:space="preserve"> dont dispose l’employeur pour répondre aux urgences de ses ministèr</w:t>
      </w:r>
      <w:r w:rsidR="003F5A75">
        <w:rPr>
          <w:rFonts w:cs="Times New Roman"/>
          <w:lang w:val="fr-CA"/>
        </w:rPr>
        <w:t>es clients les soirs de semaine</w:t>
      </w:r>
      <w:r w:rsidRPr="001B28CD">
        <w:rPr>
          <w:rFonts w:cs="Times New Roman"/>
          <w:lang w:val="fr-CA"/>
        </w:rPr>
        <w:t xml:space="preserve"> et les fins de semaine » (par. 49 (je souligne)).</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Or, ce n’est pas le critère juridique applicable en l’espèce. D’ailleurs, ce n’est même pas le critère applicable pour la justification d’une violation d’un droit protégé par la </w:t>
      </w:r>
      <w:r w:rsidRPr="001B28CD">
        <w:rPr>
          <w:rFonts w:cs="Times New Roman"/>
          <w:i/>
          <w:lang w:val="fr-CA"/>
        </w:rPr>
        <w:t>Charte</w:t>
      </w:r>
      <w:r w:rsidRPr="001B28CD">
        <w:rPr>
          <w:rFonts w:cs="Times New Roman"/>
          <w:lang w:val="fr-CA"/>
        </w:rPr>
        <w:t xml:space="preserve"> en application de son article premier. En effet, à l’étape portant sur l’atteinte minimale sous l’article premier de la </w:t>
      </w:r>
      <w:r w:rsidRPr="001B28CD">
        <w:rPr>
          <w:rFonts w:cs="Times New Roman"/>
          <w:i/>
          <w:lang w:val="fr-CA"/>
        </w:rPr>
        <w:t>Charte</w:t>
      </w:r>
      <w:r w:rsidRPr="001B28CD">
        <w:rPr>
          <w:rFonts w:cs="Times New Roman"/>
          <w:lang w:val="fr-CA"/>
        </w:rPr>
        <w:t>, « [s]i la loi se situe à l’intérieur d’une gamme de mesures raisonnables, les tribunaux ne concluront pas qu’elle a une portée trop générale simplement parce qu’ils peuvent envisager une solution de rechange qui pourrait être mieux adaptée à l’objectif et à la violation » (</w:t>
      </w:r>
      <w:r w:rsidRPr="001B28CD">
        <w:rPr>
          <w:rFonts w:cs="Times New Roman"/>
          <w:i/>
          <w:lang w:val="fr-CA"/>
        </w:rPr>
        <w:t>RJR-</w:t>
      </w:r>
      <w:proofErr w:type="spellStart"/>
      <w:r w:rsidRPr="001B28CD">
        <w:rPr>
          <w:rFonts w:cs="Times New Roman"/>
          <w:i/>
          <w:lang w:val="fr-CA"/>
        </w:rPr>
        <w:t>MacDonald</w:t>
      </w:r>
      <w:proofErr w:type="spellEnd"/>
      <w:r w:rsidRPr="001B28CD">
        <w:rPr>
          <w:rFonts w:cs="Times New Roman"/>
          <w:i/>
          <w:lang w:val="fr-CA"/>
        </w:rPr>
        <w:t xml:space="preserve"> Inc. c. Canada (Procureur général)</w:t>
      </w:r>
      <w:r w:rsidRPr="001B28CD">
        <w:rPr>
          <w:rFonts w:cs="Times New Roman"/>
          <w:lang w:val="fr-CA"/>
        </w:rPr>
        <w:t xml:space="preserve">, [1995] 3 R.C.S. 199, par. 160; voir aussi </w:t>
      </w:r>
      <w:proofErr w:type="spellStart"/>
      <w:r w:rsidRPr="001B28CD">
        <w:rPr>
          <w:rFonts w:cs="Times New Roman"/>
          <w:i/>
          <w:lang w:val="fr-CA"/>
        </w:rPr>
        <w:t>Health</w:t>
      </w:r>
      <w:proofErr w:type="spellEnd"/>
      <w:r w:rsidRPr="001B28CD">
        <w:rPr>
          <w:rFonts w:cs="Times New Roman"/>
          <w:i/>
          <w:lang w:val="fr-CA"/>
        </w:rPr>
        <w:t xml:space="preserve"> Services and Support — </w:t>
      </w:r>
      <w:proofErr w:type="spellStart"/>
      <w:r w:rsidRPr="001B28CD">
        <w:rPr>
          <w:rFonts w:cs="Times New Roman"/>
          <w:i/>
          <w:lang w:val="fr-CA"/>
        </w:rPr>
        <w:t>Facilities</w:t>
      </w:r>
      <w:proofErr w:type="spellEnd"/>
      <w:r w:rsidRPr="001B28CD">
        <w:rPr>
          <w:rFonts w:cs="Times New Roman"/>
          <w:i/>
          <w:lang w:val="fr-CA"/>
        </w:rPr>
        <w:t xml:space="preserve"> </w:t>
      </w:r>
      <w:proofErr w:type="spellStart"/>
      <w:r w:rsidRPr="001B28CD">
        <w:rPr>
          <w:rFonts w:cs="Times New Roman"/>
          <w:i/>
          <w:lang w:val="fr-CA"/>
        </w:rPr>
        <w:t>Subsector</w:t>
      </w:r>
      <w:proofErr w:type="spellEnd"/>
      <w:r w:rsidRPr="001B28CD">
        <w:rPr>
          <w:rFonts w:cs="Times New Roman"/>
          <w:i/>
          <w:lang w:val="fr-CA"/>
        </w:rPr>
        <w:t xml:space="preserve"> </w:t>
      </w:r>
      <w:proofErr w:type="spellStart"/>
      <w:r w:rsidRPr="001B28CD">
        <w:rPr>
          <w:rFonts w:cs="Times New Roman"/>
          <w:i/>
          <w:lang w:val="fr-CA"/>
        </w:rPr>
        <w:t>Bargaining</w:t>
      </w:r>
      <w:proofErr w:type="spellEnd"/>
      <w:r w:rsidRPr="001B28CD">
        <w:rPr>
          <w:rFonts w:cs="Times New Roman"/>
          <w:i/>
          <w:lang w:val="fr-CA"/>
        </w:rPr>
        <w:t xml:space="preserve"> </w:t>
      </w:r>
      <w:proofErr w:type="spellStart"/>
      <w:r w:rsidRPr="001B28CD">
        <w:rPr>
          <w:rFonts w:cs="Times New Roman"/>
          <w:i/>
          <w:lang w:val="fr-CA"/>
        </w:rPr>
        <w:t>Assn</w:t>
      </w:r>
      <w:proofErr w:type="spellEnd"/>
      <w:r w:rsidRPr="001B28CD">
        <w:rPr>
          <w:rFonts w:cs="Times New Roman"/>
          <w:i/>
          <w:lang w:val="fr-CA"/>
        </w:rPr>
        <w:t>. c. Colombie-Britannique</w:t>
      </w:r>
      <w:r w:rsidRPr="001B28CD">
        <w:rPr>
          <w:rFonts w:cs="Times New Roman"/>
          <w:lang w:val="fr-CA"/>
        </w:rPr>
        <w:t>, 2007 CSC 27, [2007] 2 R.C.S. 391, par. 150). Il serait surprenant que l’on impose aux employeurs un fardeau que la Constitution n’impose même pas au gouvernement.</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Dans l’affaire </w:t>
      </w:r>
      <w:r w:rsidRPr="001B28CD">
        <w:rPr>
          <w:rFonts w:cs="Times New Roman"/>
          <w:i/>
          <w:lang w:val="fr-CA"/>
        </w:rPr>
        <w:t>Irving</w:t>
      </w:r>
      <w:r w:rsidRPr="001B28CD">
        <w:rPr>
          <w:rFonts w:cs="Times New Roman"/>
          <w:lang w:val="fr-CA"/>
        </w:rPr>
        <w:t>,</w:t>
      </w:r>
      <w:r w:rsidRPr="001B28CD">
        <w:rPr>
          <w:rFonts w:cs="Times New Roman"/>
          <w:i/>
          <w:lang w:val="fr-CA"/>
        </w:rPr>
        <w:t xml:space="preserve"> </w:t>
      </w:r>
      <w:r w:rsidRPr="001B28CD">
        <w:rPr>
          <w:rFonts w:cs="Times New Roman"/>
          <w:lang w:val="fr-CA"/>
        </w:rPr>
        <w:t xml:space="preserve">par. 4, 24 et 27, notre Cour décrivait la démarche que </w:t>
      </w:r>
      <w:r w:rsidRPr="001B28CD">
        <w:rPr>
          <w:rFonts w:cs="Times New Roman"/>
          <w:lang w:val="fr-CA"/>
        </w:rPr>
        <w:lastRenderedPageBreak/>
        <w:t xml:space="preserve">l’arbitre aurait dû suivre pour évaluer l’exercice unilatéral des droits de la direction : </w:t>
      </w:r>
    </w:p>
    <w:p w:rsidR="001B28CD" w:rsidRPr="001B28CD" w:rsidRDefault="001B28CD" w:rsidP="002B57A4">
      <w:pPr>
        <w:pStyle w:val="Citation-AltC"/>
        <w:widowControl w:val="0"/>
        <w:rPr>
          <w:lang w:val="fr-CA"/>
        </w:rPr>
      </w:pPr>
      <w:r w:rsidRPr="001B28CD">
        <w:rPr>
          <w:lang w:val="fr-CA"/>
        </w:rPr>
        <w:tab/>
        <w:t xml:space="preserve">Il existe une importante jurisprudence arbitrale quant à l’exercice unilatéral des droits de la direction dans le contexte de la sécurité et il en a résulté </w:t>
      </w:r>
      <w:r w:rsidRPr="001B28CD">
        <w:rPr>
          <w:u w:val="single"/>
          <w:lang w:val="fr-CA"/>
        </w:rPr>
        <w:t>une démarche axée sur la proportionnalité commandant une « mise en balance des intérêts » soigneusement pondérée</w:t>
      </w:r>
      <w:r w:rsidRPr="001B28CD">
        <w:rPr>
          <w:lang w:val="fr-CA"/>
        </w:rPr>
        <w:t>. Suivant cette démarche, et compte tenu du principe propre à la négociation collective selon lequel l’employé n’est passible d’une sanction disciplinaire que pour un motif raisonnable, l’employeur ne peut imposer une règle emportant des sanctions disciplinaires que si la nécessité d’adopter une telle règle l’emporte sur l’incidence négative de cette dernière sur les droits à la vie privée des employés. La dangerosité d’un lieu de travail est manifestement pertinente. Cet élément ne met toutefois pas fin à l’analyse; il enclenche plutôt la démarche axée sur la proportionnalité.</w:t>
      </w:r>
    </w:p>
    <w:p w:rsidR="001B28CD" w:rsidRPr="001B28CD" w:rsidRDefault="001B28CD" w:rsidP="002B57A4">
      <w:pPr>
        <w:pStyle w:val="Citation-AltC"/>
        <w:widowControl w:val="0"/>
        <w:rPr>
          <w:lang w:val="fr-CA"/>
        </w:rPr>
      </w:pPr>
    </w:p>
    <w:p w:rsidR="001B28CD" w:rsidRPr="001B28CD" w:rsidRDefault="001B28CD" w:rsidP="002B57A4">
      <w:pPr>
        <w:pStyle w:val="Citation-AltC"/>
        <w:widowControl w:val="0"/>
        <w:jc w:val="center"/>
        <w:rPr>
          <w:lang w:val="fr-CA"/>
        </w:rPr>
      </w:pPr>
      <w:r w:rsidRPr="001B28CD">
        <w:rPr>
          <w:lang w:val="fr-CA"/>
        </w:rPr>
        <w:t>. . .</w:t>
      </w:r>
    </w:p>
    <w:p w:rsidR="001B28CD" w:rsidRPr="001B28CD" w:rsidRDefault="001B28CD" w:rsidP="002B57A4">
      <w:pPr>
        <w:pStyle w:val="Citation-AltC"/>
        <w:widowControl w:val="0"/>
        <w:rPr>
          <w:lang w:val="fr-CA"/>
        </w:rPr>
      </w:pPr>
    </w:p>
    <w:p w:rsidR="001B28CD" w:rsidRPr="001B28CD" w:rsidRDefault="001B28CD" w:rsidP="002B57A4">
      <w:pPr>
        <w:pStyle w:val="Citation-AltC"/>
        <w:widowControl w:val="0"/>
        <w:rPr>
          <w:lang w:val="fr-CA"/>
        </w:rPr>
      </w:pPr>
      <w:r w:rsidRPr="001B28CD">
        <w:rPr>
          <w:lang w:val="fr-CA"/>
        </w:rPr>
        <w:tab/>
        <w:t xml:space="preserve">L’étendue du pouvoir de la direction d’imposer unilatéralement des règles au titre de la convention collective est expliquée de manière convaincante dans l’affaire </w:t>
      </w:r>
      <w:proofErr w:type="spellStart"/>
      <w:r w:rsidRPr="001B28CD">
        <w:rPr>
          <w:i/>
          <w:lang w:val="fr-CA"/>
        </w:rPr>
        <w:t>Re</w:t>
      </w:r>
      <w:proofErr w:type="spellEnd"/>
      <w:r w:rsidRPr="001B28CD">
        <w:rPr>
          <w:i/>
          <w:lang w:val="fr-CA"/>
        </w:rPr>
        <w:t xml:space="preserve"> </w:t>
      </w:r>
      <w:proofErr w:type="spellStart"/>
      <w:r w:rsidRPr="001B28CD">
        <w:rPr>
          <w:i/>
          <w:lang w:val="fr-CA"/>
        </w:rPr>
        <w:t>Lumber</w:t>
      </w:r>
      <w:proofErr w:type="spellEnd"/>
      <w:r w:rsidRPr="001B28CD">
        <w:rPr>
          <w:i/>
          <w:lang w:val="fr-CA"/>
        </w:rPr>
        <w:t xml:space="preserve"> &amp; </w:t>
      </w:r>
      <w:proofErr w:type="spellStart"/>
      <w:r w:rsidRPr="001B28CD">
        <w:rPr>
          <w:i/>
          <w:lang w:val="fr-CA"/>
        </w:rPr>
        <w:t>Sawmill</w:t>
      </w:r>
      <w:proofErr w:type="spellEnd"/>
      <w:r w:rsidRPr="001B28CD">
        <w:rPr>
          <w:i/>
          <w:lang w:val="fr-CA"/>
        </w:rPr>
        <w:t xml:space="preserve"> </w:t>
      </w:r>
      <w:proofErr w:type="spellStart"/>
      <w:r w:rsidRPr="001B28CD">
        <w:rPr>
          <w:i/>
          <w:lang w:val="fr-CA"/>
        </w:rPr>
        <w:t>Workers</w:t>
      </w:r>
      <w:proofErr w:type="spellEnd"/>
      <w:r w:rsidRPr="001B28CD">
        <w:rPr>
          <w:i/>
          <w:lang w:val="fr-CA"/>
        </w:rPr>
        <w:t>’ Union, Local 2537, and KVP Co.</w:t>
      </w:r>
      <w:r w:rsidR="003F5A75">
        <w:rPr>
          <w:lang w:val="fr-CA"/>
        </w:rPr>
        <w:t xml:space="preserve"> (1965), 16 L.A.C. 73 . . .</w:t>
      </w:r>
      <w:r w:rsidRPr="001B28CD">
        <w:rPr>
          <w:lang w:val="fr-CA"/>
        </w:rPr>
        <w:t xml:space="preserve"> L’élément central du « critère énoncé dans </w:t>
      </w:r>
      <w:r w:rsidRPr="001B28CD">
        <w:rPr>
          <w:i/>
          <w:lang w:val="fr-CA"/>
        </w:rPr>
        <w:t>KVP</w:t>
      </w:r>
      <w:r w:rsidRPr="001B28CD">
        <w:rPr>
          <w:lang w:val="fr-CA"/>
        </w:rPr>
        <w:t xml:space="preserve"> », que les arbitres appliquent traditionnellement, veut que </w:t>
      </w:r>
      <w:r w:rsidRPr="001B28CD">
        <w:rPr>
          <w:u w:val="single"/>
          <w:lang w:val="fr-CA"/>
        </w:rPr>
        <w:t>la règle ou la politique imposée unilatéralement par l’employeur, à laquelle le syndicat n’a pas donné son aval par la suite, soit conforme à la convention collective et raisonnable</w:t>
      </w:r>
      <w:r w:rsidRPr="00955EDA">
        <w:rPr>
          <w:lang w:val="fr-CA"/>
        </w:rPr>
        <w:t> </w:t>
      </w:r>
      <w:r w:rsidRPr="001B28CD">
        <w:rPr>
          <w:lang w:val="fr-CA"/>
        </w:rPr>
        <w:t>. . .</w:t>
      </w:r>
    </w:p>
    <w:p w:rsidR="001B28CD" w:rsidRPr="001B28CD" w:rsidRDefault="001B28CD" w:rsidP="002B57A4">
      <w:pPr>
        <w:pStyle w:val="Citation-AltC"/>
        <w:widowControl w:val="0"/>
        <w:rPr>
          <w:lang w:val="fr-CA"/>
        </w:rPr>
      </w:pPr>
    </w:p>
    <w:p w:rsidR="001B28CD" w:rsidRPr="001B28CD" w:rsidRDefault="001B28CD" w:rsidP="002B57A4">
      <w:pPr>
        <w:pStyle w:val="Citation-AltC"/>
        <w:widowControl w:val="0"/>
        <w:jc w:val="center"/>
        <w:rPr>
          <w:lang w:val="fr-CA"/>
        </w:rPr>
      </w:pPr>
      <w:r w:rsidRPr="001B28CD">
        <w:rPr>
          <w:lang w:val="fr-CA"/>
        </w:rPr>
        <w:t>. . .</w:t>
      </w:r>
    </w:p>
    <w:p w:rsidR="001B28CD" w:rsidRPr="001B28CD" w:rsidRDefault="001B28CD" w:rsidP="002B57A4">
      <w:pPr>
        <w:pStyle w:val="Citation-AltC"/>
        <w:widowControl w:val="0"/>
        <w:rPr>
          <w:lang w:val="fr-CA"/>
        </w:rPr>
      </w:pPr>
    </w:p>
    <w:p w:rsidR="001B28CD" w:rsidRPr="001B28CD" w:rsidRDefault="001B28CD" w:rsidP="002B57A4">
      <w:pPr>
        <w:pStyle w:val="Citation-AltC"/>
        <w:widowControl w:val="0"/>
        <w:rPr>
          <w:lang w:val="fr-CA"/>
        </w:rPr>
      </w:pPr>
      <w:r w:rsidRPr="001B28CD">
        <w:rPr>
          <w:lang w:val="fr-CA"/>
        </w:rPr>
        <w:tab/>
        <w:t xml:space="preserve">Pour évaluer le caractère raisonnable [. . .] d’une règle ou d’une politique imposée unilatéralement par l’employeur et ayant une incidence sur la vie privée de l’employé, les arbitres ont adopté une démarche axée sur la « mise en balance des intérêts ». Comme le fait remarquer l’Alberta </w:t>
      </w:r>
      <w:proofErr w:type="spellStart"/>
      <w:r w:rsidRPr="001B28CD">
        <w:rPr>
          <w:lang w:val="fr-CA"/>
        </w:rPr>
        <w:t>Federation</w:t>
      </w:r>
      <w:proofErr w:type="spellEnd"/>
      <w:r w:rsidRPr="001B28CD">
        <w:rPr>
          <w:lang w:val="fr-CA"/>
        </w:rPr>
        <w:t xml:space="preserve"> of Labour, intervenante en l’espèce :</w:t>
      </w:r>
    </w:p>
    <w:p w:rsidR="001B28CD" w:rsidRPr="001B28CD" w:rsidRDefault="001B28CD" w:rsidP="002B57A4">
      <w:pPr>
        <w:pStyle w:val="Citation-AltC"/>
        <w:widowControl w:val="0"/>
        <w:rPr>
          <w:lang w:val="fr-CA"/>
        </w:rPr>
      </w:pPr>
    </w:p>
    <w:p w:rsidR="001B28CD" w:rsidRPr="00130490" w:rsidRDefault="001B28CD" w:rsidP="002B57A4">
      <w:pPr>
        <w:pStyle w:val="Citation-AltC"/>
        <w:widowControl w:val="0"/>
        <w:ind w:left="1714"/>
      </w:pPr>
      <w:r w:rsidRPr="001B28CD">
        <w:rPr>
          <w:lang w:val="fr-CA"/>
        </w:rPr>
        <w:t>[</w:t>
      </w:r>
      <w:r w:rsidRPr="001B28CD">
        <w:rPr>
          <w:smallCaps/>
          <w:lang w:val="fr-CA"/>
        </w:rPr>
        <w:t>traduction</w:t>
      </w:r>
      <w:r w:rsidRPr="001B28CD">
        <w:rPr>
          <w:lang w:val="fr-CA"/>
        </w:rPr>
        <w:t xml:space="preserve">] Pour évaluer le caractère raisonnable, les arbitres en droit du travail sont appelés à mettre à profit leur expertise dans ce domaine, à tenir compte de toutes les circonstances et à décider si la politique de l’employeur établit un équilibre raisonnable. Pour ce faire, ils peuvent tenir compte notamment de la nature des intérêts de l’employeur, de l’existence de tout autre moyen moins attentatoire de répondre aux préoccupations de l’employeur ainsi que de l’incidence de la politique sur les employés. </w:t>
      </w:r>
      <w:r w:rsidRPr="00130490">
        <w:t xml:space="preserve">[Je </w:t>
      </w:r>
      <w:proofErr w:type="spellStart"/>
      <w:r w:rsidRPr="00130490">
        <w:t>souligne</w:t>
      </w:r>
      <w:proofErr w:type="spellEnd"/>
      <w:r w:rsidRPr="00130490">
        <w:t>.]</w:t>
      </w:r>
    </w:p>
    <w:p w:rsidR="001B28CD" w:rsidRPr="001B28CD" w:rsidRDefault="001B28CD" w:rsidP="002B57A4">
      <w:pPr>
        <w:pStyle w:val="ParaNoNdepar-AltN"/>
        <w:widowControl w:val="0"/>
        <w:rPr>
          <w:rFonts w:cs="Times New Roman"/>
          <w:lang w:val="fr-CA"/>
        </w:rPr>
      </w:pPr>
      <w:r w:rsidRPr="001B28CD">
        <w:rPr>
          <w:rFonts w:cs="Times New Roman"/>
          <w:lang w:val="fr-CA"/>
        </w:rPr>
        <w:lastRenderedPageBreak/>
        <w:t>L’analyse du caractère raisonnable et équitable d’une directive imposée unilatéralement repose donc sur une démarche axée sur la mise en balance des intérêts, et non sur la question de savoir si l’employeur a retenu le moyen le moins attentatoire de répondre à ses exigences opérationnelles. À mon avis, en l’espèce, l’arbitre n’a pas suivi une telle démarche axée sur la mise en balance des intérêts. Il devait évaluer le caractère raisonnable de la directive; ce n’est pas ce qu’il a fait.</w:t>
      </w:r>
    </w:p>
    <w:p w:rsidR="001B28CD" w:rsidRPr="001B28CD" w:rsidRDefault="001B28CD" w:rsidP="002B57A4">
      <w:pPr>
        <w:pStyle w:val="ParaNoNdepar-AltN"/>
        <w:widowControl w:val="0"/>
        <w:rPr>
          <w:rFonts w:cs="Times New Roman"/>
          <w:lang w:val="fr-CA"/>
        </w:rPr>
      </w:pPr>
      <w:r w:rsidRPr="001B28CD">
        <w:rPr>
          <w:rFonts w:cs="Times New Roman"/>
          <w:lang w:val="fr-CA"/>
        </w:rPr>
        <w:t>Je suis donc également d’accord avec les propos suivants du juge de Montigny (par. 33) :</w:t>
      </w:r>
    </w:p>
    <w:p w:rsidR="001B28CD" w:rsidRPr="001B28CD" w:rsidRDefault="001B28CD" w:rsidP="002B57A4">
      <w:pPr>
        <w:pStyle w:val="Citation-AltC"/>
        <w:widowControl w:val="0"/>
        <w:rPr>
          <w:lang w:val="fr-CA"/>
        </w:rPr>
      </w:pPr>
      <w:r w:rsidRPr="001B28CD">
        <w:rPr>
          <w:lang w:val="fr-CA"/>
        </w:rPr>
        <w:tab/>
        <w:t>Enfin, l’arbitre impose à l’employeur un fardeau excessif lorsqu’il note au paragraphe 49 de ses motifs qu’aucune preuve n’établissait que la période de garde est le seul moyen dont dispose l’employeur pour répondre aux urgences. L’employeur n’est pas tenu de démontrer que sa décision est le seul moyen ou le meilleur moyen de régler le problème; son obligation consiste plutôt à démontrer que la solution retenue est raisonnable dans les circonstances. Lorsqu’un arbitre est appelé à interpréter le paragraphe 5.02 de la convention collective, son rôle n’est pas de déterminer si l’employeur a pris la meilleure décision possible; il doit plutôt se demander si l’employeur a agi de façon raisonnable, équitable et de bonne foi. Bien que l’arbitre puisse tenir compte des autres moyens dont l’employeur aurait pu se prévaloir pour atteindre son objectif, il doit quand même lui laisser une certaine marge de manœuvre et intervenir seulement lorsqu’un autre moyen beaucoup moins intrusif et tout aussi efficace, par exemple, rend la décision de l’employeur déraisonnable.</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D’ailleurs, et ceci dit en tout respect, la position de ma collègue est ambiguë sur ce point. Bien qu’elle dise ne pas requérir de l’employeur qu’il prouve l’absence d’autres solutions pour régler son problème, elle juge qu’une « preuve établissant qu’il n’y avait pas d’autres solutions aurait appuyé la thèse de l’intimé selon laquelle la directive était une réponse nécessaire » et qu’il « était donc loisible à </w:t>
      </w:r>
      <w:r w:rsidRPr="001B28CD">
        <w:rPr>
          <w:rFonts w:cs="Times New Roman"/>
          <w:lang w:val="fr-CA"/>
        </w:rPr>
        <w:lastRenderedPageBreak/>
        <w:t>l’arbitre de noter l’absence d’une telle preuve » (par. 44). À mon avis, ce raisonnement fait exactement ce qu’il prétend ne pas faire : il impose à l’employeur le fardeau beaucoup trop onéreux de prouver un fait négatif.</w:t>
      </w:r>
    </w:p>
    <w:p w:rsidR="001B28CD" w:rsidRPr="001B28CD" w:rsidRDefault="001B28CD" w:rsidP="002B57A4">
      <w:pPr>
        <w:pStyle w:val="ParaNoNdepar-AltN"/>
        <w:widowControl w:val="0"/>
        <w:rPr>
          <w:rFonts w:cs="Times New Roman"/>
          <w:lang w:val="fr-CA"/>
        </w:rPr>
      </w:pPr>
      <w:r w:rsidRPr="001B28CD">
        <w:rPr>
          <w:rFonts w:cs="Times New Roman"/>
          <w:lang w:val="fr-CA"/>
        </w:rPr>
        <w:t>À mon avis, dans la mesure où la décision de l’arbitre se fonde sur un critère autre que celui applicable en droit et qui a pour effet d’imposer à l’employeur un fardeau excessif, elle ne fait pas partie des « issues possibles acceptables pouvant se justifier au regard [. . .] du droit » (</w:t>
      </w:r>
      <w:proofErr w:type="spellStart"/>
      <w:r w:rsidRPr="001B28CD">
        <w:rPr>
          <w:rFonts w:cs="Times New Roman"/>
          <w:i/>
          <w:lang w:val="fr-CA"/>
        </w:rPr>
        <w:t>Dunsmuir</w:t>
      </w:r>
      <w:proofErr w:type="spellEnd"/>
      <w:r w:rsidRPr="001B28CD">
        <w:rPr>
          <w:rFonts w:cs="Times New Roman"/>
          <w:lang w:val="fr-CA"/>
        </w:rPr>
        <w:t>, par. 47).</w:t>
      </w:r>
    </w:p>
    <w:p w:rsidR="001B28CD" w:rsidRPr="00130490" w:rsidRDefault="001B28CD" w:rsidP="002B57A4">
      <w:pPr>
        <w:pStyle w:val="Title1LevelTitre1Niveau-AltL"/>
        <w:widowControl w:val="0"/>
        <w:numPr>
          <w:ilvl w:val="0"/>
          <w:numId w:val="8"/>
        </w:numPr>
        <w:rPr>
          <w:rFonts w:cs="Times New Roman"/>
        </w:rPr>
      </w:pPr>
      <w:r w:rsidRPr="00130490">
        <w:rPr>
          <w:rFonts w:cs="Times New Roman"/>
        </w:rPr>
        <w:t>Conclusion</w:t>
      </w:r>
    </w:p>
    <w:p w:rsidR="001B28CD" w:rsidRPr="001B28CD" w:rsidRDefault="001B28CD" w:rsidP="002B57A4">
      <w:pPr>
        <w:pStyle w:val="ParaNoNdepar-AltN"/>
        <w:widowControl w:val="0"/>
        <w:rPr>
          <w:rFonts w:cs="Times New Roman"/>
          <w:lang w:val="fr-CA"/>
        </w:rPr>
      </w:pPr>
      <w:r w:rsidRPr="001B28CD">
        <w:rPr>
          <w:rFonts w:cs="Times New Roman"/>
          <w:lang w:val="fr-CA"/>
        </w:rPr>
        <w:t xml:space="preserve">Pour les motifs qui précèdent, j’accueillerais en partie l’appel. </w:t>
      </w:r>
    </w:p>
    <w:p w:rsidR="001B28CD" w:rsidRPr="001B28CD" w:rsidRDefault="001B28CD" w:rsidP="002B57A4">
      <w:pPr>
        <w:pStyle w:val="ParaNoNdepar-AltN"/>
        <w:widowControl w:val="0"/>
        <w:rPr>
          <w:rFonts w:cs="Times New Roman"/>
          <w:lang w:val="fr-CA"/>
        </w:rPr>
      </w:pPr>
      <w:r w:rsidRPr="001B28CD">
        <w:rPr>
          <w:rFonts w:cs="Times New Roman"/>
          <w:lang w:val="fr-CA"/>
        </w:rPr>
        <w:t>Je renverrais le grief à un autre arbitre pour</w:t>
      </w:r>
      <w:r w:rsidR="003F5A75">
        <w:rPr>
          <w:rFonts w:cs="Times New Roman"/>
          <w:lang w:val="fr-FR"/>
        </w:rPr>
        <w:t xml:space="preserve"> qu’il décide de l’affaire</w:t>
      </w:r>
      <w:r w:rsidRPr="00130490">
        <w:rPr>
          <w:rFonts w:cs="Times New Roman"/>
          <w:lang w:val="fr-FR"/>
        </w:rPr>
        <w:t xml:space="preserve"> </w:t>
      </w:r>
      <w:r w:rsidRPr="001B28CD">
        <w:rPr>
          <w:rFonts w:cs="Times New Roman"/>
          <w:lang w:val="fr-CA"/>
        </w:rPr>
        <w:t>en tenant pour acquis</w:t>
      </w:r>
      <w:r w:rsidRPr="00130490">
        <w:rPr>
          <w:rFonts w:cs="Times New Roman"/>
          <w:lang w:val="fr-FR"/>
        </w:rPr>
        <w:t xml:space="preserve"> que la directive attaquée</w:t>
      </w:r>
      <w:r>
        <w:rPr>
          <w:rFonts w:cs="Times New Roman"/>
          <w:lang w:val="fr-FR"/>
        </w:rPr>
        <w:t xml:space="preserve"> ne porte pas atteinte à l’art. </w:t>
      </w:r>
      <w:r w:rsidRPr="00130490">
        <w:rPr>
          <w:rFonts w:cs="Times New Roman"/>
          <w:lang w:val="fr-FR"/>
        </w:rPr>
        <w:t xml:space="preserve">7 de la </w:t>
      </w:r>
      <w:r w:rsidRPr="00130490">
        <w:rPr>
          <w:rFonts w:cs="Times New Roman"/>
          <w:i/>
          <w:lang w:val="fr-FR"/>
        </w:rPr>
        <w:t>Charte</w:t>
      </w:r>
      <w:r w:rsidRPr="00130490">
        <w:rPr>
          <w:rFonts w:cs="Times New Roman"/>
          <w:lang w:val="fr-FR"/>
        </w:rPr>
        <w:t xml:space="preserve"> et, par conséquent, ne viole pas le par.</w:t>
      </w:r>
      <w:r>
        <w:rPr>
          <w:rFonts w:cs="Times New Roman"/>
          <w:lang w:val="fr-FR"/>
        </w:rPr>
        <w:t> </w:t>
      </w:r>
      <w:r w:rsidRPr="00130490">
        <w:rPr>
          <w:rFonts w:cs="Times New Roman"/>
          <w:lang w:val="fr-FR"/>
        </w:rPr>
        <w:t>6.01 de la convention collective.</w:t>
      </w:r>
      <w:r w:rsidRPr="001B28CD">
        <w:rPr>
          <w:rFonts w:cs="Times New Roman"/>
          <w:lang w:val="fr-CA"/>
        </w:rPr>
        <w:t xml:space="preserve"> </w:t>
      </w:r>
      <w:r w:rsidRPr="00130490">
        <w:rPr>
          <w:rFonts w:cs="Times New Roman"/>
          <w:lang w:val="fr-FR"/>
        </w:rPr>
        <w:t xml:space="preserve">Cela dit, contrairement à la Cour d’appel fédérale, je laisserais le nouvel arbitre procéder à la </w:t>
      </w:r>
      <w:r w:rsidRPr="001B28CD">
        <w:rPr>
          <w:rFonts w:cs="Times New Roman"/>
          <w:lang w:val="fr-CA"/>
        </w:rPr>
        <w:t>mise en balance des intérêts</w:t>
      </w:r>
      <w:r w:rsidRPr="00130490">
        <w:rPr>
          <w:rFonts w:cs="Times New Roman"/>
          <w:lang w:val="fr-FR"/>
        </w:rPr>
        <w:t xml:space="preserve"> et arriver à ses propres conclusions concernant la question de savoir si l’employeur a agi raisonnablement, équitablement et de bonne foi en adoptant la directive </w:t>
      </w:r>
      <w:r w:rsidRPr="001B28CD">
        <w:rPr>
          <w:rFonts w:cs="Times New Roman"/>
          <w:shd w:val="clear" w:color="auto" w:fill="FFFFFF"/>
          <w:lang w:val="fr-CA"/>
        </w:rPr>
        <w:t>conformément au par. 5.02 de la convention</w:t>
      </w:r>
      <w:r w:rsidRPr="00130490">
        <w:rPr>
          <w:rFonts w:cs="Times New Roman"/>
          <w:lang w:val="fr-FR"/>
        </w:rPr>
        <w:t xml:space="preserve"> collective.</w:t>
      </w:r>
    </w:p>
    <w:p w:rsidR="004D7D95" w:rsidRPr="00FF0EAC" w:rsidRDefault="00CF4E17" w:rsidP="002B57A4">
      <w:pPr>
        <w:pStyle w:val="SCCNormalDoubleSpacing"/>
        <w:widowControl w:val="0"/>
        <w:spacing w:before="480" w:after="480"/>
        <w:rPr>
          <w:i/>
          <w:lang w:val="fr-CA"/>
        </w:rPr>
      </w:pPr>
      <w:r w:rsidRPr="00FF0EAC">
        <w:rPr>
          <w:lang w:val="fr-CA"/>
        </w:rPr>
        <w:tab/>
      </w:r>
      <w:r w:rsidR="00CA5369" w:rsidRPr="00FF0EAC">
        <w:rPr>
          <w:i/>
          <w:lang w:val="fr-CA"/>
        </w:rPr>
        <w:t xml:space="preserve">Pourvoi </w:t>
      </w:r>
      <w:r w:rsidR="00D77BF3" w:rsidRPr="00FF0EAC">
        <w:rPr>
          <w:i/>
          <w:lang w:val="fr-CA"/>
        </w:rPr>
        <w:t>accueilli en partie avec dépens en faveur de l</w:t>
      </w:r>
      <w:r w:rsidR="00005C15">
        <w:rPr>
          <w:i/>
          <w:lang w:val="fr-CA"/>
        </w:rPr>
        <w:t>’</w:t>
      </w:r>
      <w:r w:rsidR="00D77BF3" w:rsidRPr="00FF0EAC">
        <w:rPr>
          <w:i/>
          <w:lang w:val="fr-CA"/>
        </w:rPr>
        <w:t xml:space="preserve">appelante, les juges </w:t>
      </w:r>
      <w:r w:rsidR="00D77BF3" w:rsidRPr="00FF0EAC">
        <w:rPr>
          <w:smallCaps/>
          <w:lang w:val="fr-CA"/>
        </w:rPr>
        <w:t>M</w:t>
      </w:r>
      <w:r w:rsidR="00376E87" w:rsidRPr="00FF0EAC">
        <w:rPr>
          <w:smallCaps/>
          <w:lang w:val="fr-CA"/>
        </w:rPr>
        <w:t>oldaver</w:t>
      </w:r>
      <w:r w:rsidR="00D77BF3" w:rsidRPr="00FF0EAC">
        <w:rPr>
          <w:i/>
          <w:lang w:val="fr-CA"/>
        </w:rPr>
        <w:t xml:space="preserve"> et </w:t>
      </w:r>
      <w:r w:rsidR="00D77BF3" w:rsidRPr="00FF0EAC">
        <w:rPr>
          <w:smallCaps/>
          <w:lang w:val="fr-CA"/>
        </w:rPr>
        <w:t>C</w:t>
      </w:r>
      <w:r w:rsidR="00376E87" w:rsidRPr="00FF0EAC">
        <w:rPr>
          <w:smallCaps/>
          <w:lang w:val="fr-CA"/>
        </w:rPr>
        <w:t>ôté</w:t>
      </w:r>
      <w:r w:rsidR="00D77BF3" w:rsidRPr="00FF0EAC">
        <w:rPr>
          <w:i/>
          <w:lang w:val="fr-CA"/>
        </w:rPr>
        <w:t xml:space="preserve"> sont dissidents</w:t>
      </w:r>
      <w:r w:rsidR="00260D10" w:rsidRPr="00FF0EAC">
        <w:rPr>
          <w:i/>
          <w:lang w:val="fr-CA"/>
        </w:rPr>
        <w:t xml:space="preserve"> en partie</w:t>
      </w:r>
      <w:r w:rsidRPr="00FF0EAC">
        <w:rPr>
          <w:i/>
          <w:lang w:val="fr-CA"/>
        </w:rPr>
        <w:t>.</w:t>
      </w:r>
    </w:p>
    <w:p w:rsidR="003A07A2" w:rsidRPr="00FF0EAC" w:rsidRDefault="00794DDC" w:rsidP="002B57A4">
      <w:pPr>
        <w:pStyle w:val="SCCLawFirm"/>
        <w:widowControl w:val="0"/>
        <w:spacing w:before="480" w:after="480"/>
        <w:rPr>
          <w:lang w:val="fr-CA"/>
        </w:rPr>
      </w:pPr>
      <w:r w:rsidRPr="00FF0EAC">
        <w:rPr>
          <w:lang w:val="fr-CA"/>
        </w:rPr>
        <w:lastRenderedPageBreak/>
        <w:tab/>
        <w:t>Procureurs de l</w:t>
      </w:r>
      <w:r w:rsidR="00005C15">
        <w:rPr>
          <w:lang w:val="fr-CA"/>
        </w:rPr>
        <w:t>’</w:t>
      </w:r>
      <w:r w:rsidRPr="00FF0EAC">
        <w:rPr>
          <w:lang w:val="fr-CA"/>
        </w:rPr>
        <w:t>appelante</w:t>
      </w:r>
      <w:r w:rsidR="00005C15">
        <w:rPr>
          <w:lang w:val="fr-CA"/>
        </w:rPr>
        <w:t> :</w:t>
      </w:r>
      <w:r w:rsidR="00CE2F71" w:rsidRPr="00FF0EAC">
        <w:rPr>
          <w:lang w:val="fr-CA"/>
        </w:rPr>
        <w:t> </w:t>
      </w:r>
      <w:proofErr w:type="spellStart"/>
      <w:r w:rsidRPr="00FF0EAC">
        <w:rPr>
          <w:lang w:val="fr-CA"/>
        </w:rPr>
        <w:t>Philion</w:t>
      </w:r>
      <w:proofErr w:type="spellEnd"/>
      <w:r w:rsidRPr="00FF0EAC">
        <w:rPr>
          <w:lang w:val="fr-CA"/>
        </w:rPr>
        <w:t xml:space="preserve"> Leblanc Beaudry, Montréal.</w:t>
      </w:r>
    </w:p>
    <w:p w:rsidR="003A07A2" w:rsidRPr="00FF0EAC" w:rsidRDefault="00794DDC" w:rsidP="002B57A4">
      <w:pPr>
        <w:pStyle w:val="SCCLawFirm"/>
        <w:widowControl w:val="0"/>
        <w:rPr>
          <w:lang w:val="fr-CA"/>
        </w:rPr>
      </w:pPr>
      <w:r w:rsidRPr="00FF0EAC">
        <w:rPr>
          <w:lang w:val="fr-CA"/>
        </w:rPr>
        <w:tab/>
      </w:r>
      <w:r w:rsidR="00CF4E17" w:rsidRPr="00FF0EAC">
        <w:rPr>
          <w:lang w:val="fr-CA"/>
        </w:rPr>
        <w:t>Procureur</w:t>
      </w:r>
      <w:r w:rsidR="007037BF" w:rsidRPr="00FF0EAC">
        <w:rPr>
          <w:lang w:val="fr-CA"/>
        </w:rPr>
        <w:t xml:space="preserve"> de l</w:t>
      </w:r>
      <w:r w:rsidR="00005C15">
        <w:rPr>
          <w:lang w:val="fr-CA"/>
        </w:rPr>
        <w:t>’</w:t>
      </w:r>
      <w:r w:rsidRPr="00FF0EAC">
        <w:rPr>
          <w:lang w:val="fr-CA"/>
        </w:rPr>
        <w:t>intimé</w:t>
      </w:r>
      <w:r w:rsidR="00005C15">
        <w:rPr>
          <w:lang w:val="fr-CA"/>
        </w:rPr>
        <w:t> :</w:t>
      </w:r>
      <w:r w:rsidR="00CE2F71" w:rsidRPr="00FF0EAC">
        <w:rPr>
          <w:lang w:val="fr-CA"/>
        </w:rPr>
        <w:t> </w:t>
      </w:r>
      <w:r w:rsidR="007037BF" w:rsidRPr="00FF0EAC">
        <w:rPr>
          <w:lang w:val="fr-CA"/>
        </w:rPr>
        <w:t>Procureur général du Canada</w:t>
      </w:r>
      <w:r w:rsidRPr="00FF0EAC">
        <w:rPr>
          <w:lang w:val="fr-CA"/>
        </w:rPr>
        <w:t>, Ottawa.</w:t>
      </w:r>
    </w:p>
    <w:sectPr w:rsidR="003A07A2" w:rsidRPr="00FF0EA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8C" w:rsidRDefault="00054D8C">
      <w:r>
        <w:separator/>
      </w:r>
    </w:p>
  </w:endnote>
  <w:endnote w:type="continuationSeparator" w:id="0">
    <w:p w:rsidR="00054D8C" w:rsidRDefault="0005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Default="0005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Default="00054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Default="0005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8C" w:rsidRDefault="00054D8C">
      <w:r>
        <w:separator/>
      </w:r>
    </w:p>
  </w:footnote>
  <w:footnote w:type="continuationSeparator" w:id="0">
    <w:p w:rsidR="00054D8C" w:rsidRDefault="0005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Default="0005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Pr="00450352" w:rsidRDefault="00054D8C"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C" w:rsidRDefault="00054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B6DD4"/>
    <w:multiLevelType w:val="hybridMultilevel"/>
    <w:tmpl w:val="7D825D40"/>
    <w:lvl w:ilvl="0" w:tplc="7CF2E5FC">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714563"/>
    <w:multiLevelType w:val="hybridMultilevel"/>
    <w:tmpl w:val="8108B9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4312885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5E7282"/>
    <w:multiLevelType w:val="hybridMultilevel"/>
    <w:tmpl w:val="24880002"/>
    <w:lvl w:ilvl="0" w:tplc="295882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3"/>
  </w:num>
  <w:num w:numId="11">
    <w:abstractNumId w:val="9"/>
  </w:num>
  <w:num w:numId="12">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C15"/>
    <w:rsid w:val="00023FC7"/>
    <w:rsid w:val="00025198"/>
    <w:rsid w:val="000376BA"/>
    <w:rsid w:val="00054D8C"/>
    <w:rsid w:val="000578A3"/>
    <w:rsid w:val="000648CC"/>
    <w:rsid w:val="000816CC"/>
    <w:rsid w:val="000865FB"/>
    <w:rsid w:val="000A2ECD"/>
    <w:rsid w:val="000C2DC7"/>
    <w:rsid w:val="000C59B8"/>
    <w:rsid w:val="000C6AF0"/>
    <w:rsid w:val="000D0A77"/>
    <w:rsid w:val="000D1F54"/>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3624"/>
    <w:rsid w:val="00195D83"/>
    <w:rsid w:val="001A00C1"/>
    <w:rsid w:val="001B28CD"/>
    <w:rsid w:val="001B33E0"/>
    <w:rsid w:val="001B4573"/>
    <w:rsid w:val="001C779F"/>
    <w:rsid w:val="001D2AC1"/>
    <w:rsid w:val="001D4E88"/>
    <w:rsid w:val="00215C74"/>
    <w:rsid w:val="00220FC2"/>
    <w:rsid w:val="002222F4"/>
    <w:rsid w:val="00224FC0"/>
    <w:rsid w:val="00225EA4"/>
    <w:rsid w:val="00226EAF"/>
    <w:rsid w:val="00231F3A"/>
    <w:rsid w:val="002406EE"/>
    <w:rsid w:val="00243EC8"/>
    <w:rsid w:val="00260D10"/>
    <w:rsid w:val="00270D93"/>
    <w:rsid w:val="00273AEE"/>
    <w:rsid w:val="00273F2F"/>
    <w:rsid w:val="002745CC"/>
    <w:rsid w:val="002B57A4"/>
    <w:rsid w:val="002B6FBE"/>
    <w:rsid w:val="002B7924"/>
    <w:rsid w:val="002C0986"/>
    <w:rsid w:val="002C10A6"/>
    <w:rsid w:val="002D28C3"/>
    <w:rsid w:val="002D39A4"/>
    <w:rsid w:val="002E6705"/>
    <w:rsid w:val="002F0798"/>
    <w:rsid w:val="0030329A"/>
    <w:rsid w:val="0031086F"/>
    <w:rsid w:val="0031414C"/>
    <w:rsid w:val="00314E01"/>
    <w:rsid w:val="00316CF8"/>
    <w:rsid w:val="0032089D"/>
    <w:rsid w:val="003310DE"/>
    <w:rsid w:val="003323B0"/>
    <w:rsid w:val="00340A49"/>
    <w:rsid w:val="0035169A"/>
    <w:rsid w:val="0035259D"/>
    <w:rsid w:val="00364B18"/>
    <w:rsid w:val="00376E87"/>
    <w:rsid w:val="003A07A2"/>
    <w:rsid w:val="003A125D"/>
    <w:rsid w:val="003A4C70"/>
    <w:rsid w:val="003B215F"/>
    <w:rsid w:val="003C799C"/>
    <w:rsid w:val="003D0399"/>
    <w:rsid w:val="003E1C71"/>
    <w:rsid w:val="003E5776"/>
    <w:rsid w:val="003F327B"/>
    <w:rsid w:val="003F5A75"/>
    <w:rsid w:val="00406166"/>
    <w:rsid w:val="0040704B"/>
    <w:rsid w:val="00410A55"/>
    <w:rsid w:val="00411300"/>
    <w:rsid w:val="00413F17"/>
    <w:rsid w:val="00415417"/>
    <w:rsid w:val="00426659"/>
    <w:rsid w:val="0043419C"/>
    <w:rsid w:val="00450352"/>
    <w:rsid w:val="0045255F"/>
    <w:rsid w:val="00454BDB"/>
    <w:rsid w:val="00465132"/>
    <w:rsid w:val="00480C90"/>
    <w:rsid w:val="0048396F"/>
    <w:rsid w:val="00493C18"/>
    <w:rsid w:val="004A600C"/>
    <w:rsid w:val="004A6118"/>
    <w:rsid w:val="004C478D"/>
    <w:rsid w:val="004D2038"/>
    <w:rsid w:val="004D7D95"/>
    <w:rsid w:val="004E2C26"/>
    <w:rsid w:val="005125A8"/>
    <w:rsid w:val="00517549"/>
    <w:rsid w:val="00520ABC"/>
    <w:rsid w:val="00521AE8"/>
    <w:rsid w:val="00525623"/>
    <w:rsid w:val="00527180"/>
    <w:rsid w:val="00552013"/>
    <w:rsid w:val="00555291"/>
    <w:rsid w:val="00566AD1"/>
    <w:rsid w:val="00583EDE"/>
    <w:rsid w:val="005A6079"/>
    <w:rsid w:val="005E4698"/>
    <w:rsid w:val="00602DE6"/>
    <w:rsid w:val="00603924"/>
    <w:rsid w:val="00610539"/>
    <w:rsid w:val="00613969"/>
    <w:rsid w:val="00625C35"/>
    <w:rsid w:val="00631992"/>
    <w:rsid w:val="00647E49"/>
    <w:rsid w:val="00656313"/>
    <w:rsid w:val="006565F4"/>
    <w:rsid w:val="006735CF"/>
    <w:rsid w:val="00684646"/>
    <w:rsid w:val="00684EEA"/>
    <w:rsid w:val="0069689B"/>
    <w:rsid w:val="006B5FF5"/>
    <w:rsid w:val="006C3239"/>
    <w:rsid w:val="006E02BF"/>
    <w:rsid w:val="006F244A"/>
    <w:rsid w:val="006F30AF"/>
    <w:rsid w:val="0070166C"/>
    <w:rsid w:val="00701759"/>
    <w:rsid w:val="007037BF"/>
    <w:rsid w:val="00705C15"/>
    <w:rsid w:val="00707445"/>
    <w:rsid w:val="007110F6"/>
    <w:rsid w:val="0071378F"/>
    <w:rsid w:val="007208D1"/>
    <w:rsid w:val="007227B8"/>
    <w:rsid w:val="007426CA"/>
    <w:rsid w:val="00744518"/>
    <w:rsid w:val="00747288"/>
    <w:rsid w:val="00747DD3"/>
    <w:rsid w:val="007549C8"/>
    <w:rsid w:val="00766D14"/>
    <w:rsid w:val="00767A0F"/>
    <w:rsid w:val="00775F9F"/>
    <w:rsid w:val="00786FA9"/>
    <w:rsid w:val="00791272"/>
    <w:rsid w:val="00794DDC"/>
    <w:rsid w:val="007A05F6"/>
    <w:rsid w:val="007B6F4A"/>
    <w:rsid w:val="007E1C47"/>
    <w:rsid w:val="007E337A"/>
    <w:rsid w:val="007E4A37"/>
    <w:rsid w:val="007E5C70"/>
    <w:rsid w:val="007F2FF5"/>
    <w:rsid w:val="007F3F08"/>
    <w:rsid w:val="00804CC6"/>
    <w:rsid w:val="00804F9C"/>
    <w:rsid w:val="00817190"/>
    <w:rsid w:val="008260E2"/>
    <w:rsid w:val="008322BD"/>
    <w:rsid w:val="00834F73"/>
    <w:rsid w:val="00864C8A"/>
    <w:rsid w:val="00864CF8"/>
    <w:rsid w:val="00874914"/>
    <w:rsid w:val="008834F7"/>
    <w:rsid w:val="00891422"/>
    <w:rsid w:val="00892E1A"/>
    <w:rsid w:val="008A5C8F"/>
    <w:rsid w:val="008B660A"/>
    <w:rsid w:val="008C01DA"/>
    <w:rsid w:val="008D2DCF"/>
    <w:rsid w:val="008E3794"/>
    <w:rsid w:val="008F2674"/>
    <w:rsid w:val="008F78E9"/>
    <w:rsid w:val="00906B37"/>
    <w:rsid w:val="00906DC2"/>
    <w:rsid w:val="00914EB6"/>
    <w:rsid w:val="00915A6C"/>
    <w:rsid w:val="009179F9"/>
    <w:rsid w:val="00917C7A"/>
    <w:rsid w:val="00927E20"/>
    <w:rsid w:val="00927E8D"/>
    <w:rsid w:val="00933E5E"/>
    <w:rsid w:val="00935218"/>
    <w:rsid w:val="0093700C"/>
    <w:rsid w:val="00937C52"/>
    <w:rsid w:val="009403F3"/>
    <w:rsid w:val="009555B7"/>
    <w:rsid w:val="00955EDA"/>
    <w:rsid w:val="009567AA"/>
    <w:rsid w:val="009602C9"/>
    <w:rsid w:val="00962B2C"/>
    <w:rsid w:val="00962CEE"/>
    <w:rsid w:val="00967374"/>
    <w:rsid w:val="009A343A"/>
    <w:rsid w:val="009B2F23"/>
    <w:rsid w:val="009B57B3"/>
    <w:rsid w:val="009C3E92"/>
    <w:rsid w:val="009D2920"/>
    <w:rsid w:val="009D5AEB"/>
    <w:rsid w:val="009E711F"/>
    <w:rsid w:val="009F0E33"/>
    <w:rsid w:val="00A149DF"/>
    <w:rsid w:val="00A1755C"/>
    <w:rsid w:val="00A21B90"/>
    <w:rsid w:val="00A22AAC"/>
    <w:rsid w:val="00A32CF5"/>
    <w:rsid w:val="00A41805"/>
    <w:rsid w:val="00A51882"/>
    <w:rsid w:val="00A52AFB"/>
    <w:rsid w:val="00A548CB"/>
    <w:rsid w:val="00A5521C"/>
    <w:rsid w:val="00A643E7"/>
    <w:rsid w:val="00A73C38"/>
    <w:rsid w:val="00A921A7"/>
    <w:rsid w:val="00AB670D"/>
    <w:rsid w:val="00AB76D2"/>
    <w:rsid w:val="00AF03C5"/>
    <w:rsid w:val="00AF7B2E"/>
    <w:rsid w:val="00B000D8"/>
    <w:rsid w:val="00B00F75"/>
    <w:rsid w:val="00B145B6"/>
    <w:rsid w:val="00B15F55"/>
    <w:rsid w:val="00B279EB"/>
    <w:rsid w:val="00B50C81"/>
    <w:rsid w:val="00B557F8"/>
    <w:rsid w:val="00B75531"/>
    <w:rsid w:val="00B815FC"/>
    <w:rsid w:val="00B83532"/>
    <w:rsid w:val="00B93FBC"/>
    <w:rsid w:val="00BA381A"/>
    <w:rsid w:val="00BA39C9"/>
    <w:rsid w:val="00BA7DA0"/>
    <w:rsid w:val="00BB2EE4"/>
    <w:rsid w:val="00BB4C92"/>
    <w:rsid w:val="00BC2108"/>
    <w:rsid w:val="00BD0E9E"/>
    <w:rsid w:val="00BD1BEC"/>
    <w:rsid w:val="00BD32FF"/>
    <w:rsid w:val="00BF6FE9"/>
    <w:rsid w:val="00C02092"/>
    <w:rsid w:val="00C03350"/>
    <w:rsid w:val="00C20BC4"/>
    <w:rsid w:val="00C24D91"/>
    <w:rsid w:val="00C26DB2"/>
    <w:rsid w:val="00C43FCE"/>
    <w:rsid w:val="00C53F14"/>
    <w:rsid w:val="00C600CF"/>
    <w:rsid w:val="00C6084F"/>
    <w:rsid w:val="00C62A66"/>
    <w:rsid w:val="00C63880"/>
    <w:rsid w:val="00C66359"/>
    <w:rsid w:val="00C71458"/>
    <w:rsid w:val="00C77613"/>
    <w:rsid w:val="00C828E7"/>
    <w:rsid w:val="00C86719"/>
    <w:rsid w:val="00C921DD"/>
    <w:rsid w:val="00CA5369"/>
    <w:rsid w:val="00CA6391"/>
    <w:rsid w:val="00CE036E"/>
    <w:rsid w:val="00CE20FC"/>
    <w:rsid w:val="00CE2F71"/>
    <w:rsid w:val="00CE3171"/>
    <w:rsid w:val="00CE5A6F"/>
    <w:rsid w:val="00CF1601"/>
    <w:rsid w:val="00CF4E17"/>
    <w:rsid w:val="00CF6AEE"/>
    <w:rsid w:val="00D0172F"/>
    <w:rsid w:val="00D01E33"/>
    <w:rsid w:val="00D06719"/>
    <w:rsid w:val="00D068A7"/>
    <w:rsid w:val="00D17476"/>
    <w:rsid w:val="00D17B0E"/>
    <w:rsid w:val="00D32086"/>
    <w:rsid w:val="00D3462F"/>
    <w:rsid w:val="00D37A3F"/>
    <w:rsid w:val="00D4431D"/>
    <w:rsid w:val="00D4667A"/>
    <w:rsid w:val="00D57DB7"/>
    <w:rsid w:val="00D63A1C"/>
    <w:rsid w:val="00D7516F"/>
    <w:rsid w:val="00D77BF3"/>
    <w:rsid w:val="00D95F8E"/>
    <w:rsid w:val="00DA0590"/>
    <w:rsid w:val="00DB0AD1"/>
    <w:rsid w:val="00DC1739"/>
    <w:rsid w:val="00DC1788"/>
    <w:rsid w:val="00DE2E21"/>
    <w:rsid w:val="00DE319C"/>
    <w:rsid w:val="00DF0CA8"/>
    <w:rsid w:val="00DF2B48"/>
    <w:rsid w:val="00DF49A7"/>
    <w:rsid w:val="00E0564A"/>
    <w:rsid w:val="00E07EE2"/>
    <w:rsid w:val="00E07FD1"/>
    <w:rsid w:val="00E1110C"/>
    <w:rsid w:val="00E24573"/>
    <w:rsid w:val="00E25E1E"/>
    <w:rsid w:val="00E27EE7"/>
    <w:rsid w:val="00E3019B"/>
    <w:rsid w:val="00E35404"/>
    <w:rsid w:val="00E45109"/>
    <w:rsid w:val="00E477B2"/>
    <w:rsid w:val="00E4790B"/>
    <w:rsid w:val="00E47B7A"/>
    <w:rsid w:val="00E56A44"/>
    <w:rsid w:val="00E60269"/>
    <w:rsid w:val="00E97830"/>
    <w:rsid w:val="00EA4758"/>
    <w:rsid w:val="00EC67F0"/>
    <w:rsid w:val="00EC7648"/>
    <w:rsid w:val="00EE0830"/>
    <w:rsid w:val="00EE6CB8"/>
    <w:rsid w:val="00EF0683"/>
    <w:rsid w:val="00EF7660"/>
    <w:rsid w:val="00F0070C"/>
    <w:rsid w:val="00F00EB7"/>
    <w:rsid w:val="00F0248D"/>
    <w:rsid w:val="00F206BE"/>
    <w:rsid w:val="00F36AB6"/>
    <w:rsid w:val="00F37A09"/>
    <w:rsid w:val="00F409CE"/>
    <w:rsid w:val="00F4379D"/>
    <w:rsid w:val="00F50D2D"/>
    <w:rsid w:val="00F56C8B"/>
    <w:rsid w:val="00F61CD2"/>
    <w:rsid w:val="00F62639"/>
    <w:rsid w:val="00F66810"/>
    <w:rsid w:val="00F72468"/>
    <w:rsid w:val="00F737D3"/>
    <w:rsid w:val="00F84DF4"/>
    <w:rsid w:val="00F85C97"/>
    <w:rsid w:val="00FB37D2"/>
    <w:rsid w:val="00FC4EFB"/>
    <w:rsid w:val="00FD068D"/>
    <w:rsid w:val="00FD4F28"/>
    <w:rsid w:val="00FE38FE"/>
    <w:rsid w:val="00FE6784"/>
    <w:rsid w:val="00FE7A8B"/>
    <w:rsid w:val="00FF0EAC"/>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block">
    <w:name w:val="reflex3-block"/>
    <w:basedOn w:val="DefaultParagraphFont"/>
    <w:rsid w:val="00CF6AEE"/>
  </w:style>
  <w:style w:type="character" w:customStyle="1" w:styleId="reflex3-alt">
    <w:name w:val="reflex3-alt"/>
    <w:basedOn w:val="DefaultParagraphFont"/>
    <w:rsid w:val="00CF6AEE"/>
  </w:style>
  <w:style w:type="paragraph" w:customStyle="1" w:styleId="ParaNoNdepar-AltN">
    <w:name w:val="Para. No. / Nº de par. - Alt N"/>
    <w:link w:val="ParaNoNdepar-AltNChar"/>
    <w:qFormat/>
    <w:rsid w:val="00B15F5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B28CD"/>
    <w:pPr>
      <w:spacing w:after="480"/>
    </w:pPr>
    <w:rPr>
      <w:rFonts w:eastAsiaTheme="minorHAnsi" w:cstheme="minorBidi"/>
      <w:szCs w:val="22"/>
      <w:lang w:eastAsia="en-US"/>
    </w:rPr>
  </w:style>
  <w:style w:type="paragraph" w:customStyle="1" w:styleId="SCCCoram">
    <w:name w:val="SCC.Coram"/>
    <w:basedOn w:val="Normal"/>
    <w:next w:val="Normal"/>
    <w:link w:val="SCCCoramChar"/>
    <w:rsid w:val="001B28C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B28C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B28CD"/>
    <w:rPr>
      <w:rFonts w:eastAsiaTheme="minorHAnsi" w:cstheme="minorBidi"/>
      <w:sz w:val="24"/>
      <w:szCs w:val="22"/>
      <w:lang w:eastAsia="en-US"/>
    </w:rPr>
  </w:style>
  <w:style w:type="character" w:customStyle="1" w:styleId="SCCBanSummaryChar">
    <w:name w:val="SCC.BanSummary Char"/>
    <w:basedOn w:val="DefaultParagraphFont"/>
    <w:link w:val="SCCBanSummary"/>
    <w:rsid w:val="001B28CD"/>
    <w:rPr>
      <w:b/>
      <w:sz w:val="24"/>
    </w:rPr>
  </w:style>
  <w:style w:type="table" w:styleId="TableGrid">
    <w:name w:val="Table Grid"/>
    <w:basedOn w:val="TableNormal"/>
    <w:uiPriority w:val="59"/>
    <w:rsid w:val="001B28C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B28C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B28C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B28C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B28C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B28C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B28CD"/>
    <w:pPr>
      <w:numPr>
        <w:ilvl w:val="2"/>
      </w:numPr>
      <w:outlineLvl w:val="2"/>
    </w:pPr>
  </w:style>
  <w:style w:type="paragraph" w:customStyle="1" w:styleId="Title4LevelTitre4Niveau">
    <w:name w:val="Title 4 Level / Titre 4 Niveau"/>
    <w:basedOn w:val="Title3LevelTitre3Niveau"/>
    <w:next w:val="ParaNoNdepar-AltN"/>
    <w:uiPriority w:val="4"/>
    <w:qFormat/>
    <w:rsid w:val="001B28C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B28CD"/>
    <w:pPr>
      <w:numPr>
        <w:ilvl w:val="4"/>
      </w:numPr>
      <w:outlineLvl w:val="4"/>
    </w:pPr>
  </w:style>
  <w:style w:type="paragraph" w:styleId="TOC1">
    <w:name w:val="toc 1"/>
    <w:basedOn w:val="Normal"/>
    <w:next w:val="Normal"/>
    <w:autoRedefine/>
    <w:uiPriority w:val="39"/>
    <w:unhideWhenUsed/>
    <w:rsid w:val="001B28C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B28C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B28C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B28C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B28C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B28CD"/>
    <w:pPr>
      <w:tabs>
        <w:tab w:val="left" w:pos="2160"/>
        <w:tab w:val="right" w:leader="dot" w:pos="8270"/>
      </w:tabs>
      <w:spacing w:after="100"/>
      <w:ind w:left="1800"/>
    </w:pPr>
    <w:rPr>
      <w:noProof/>
    </w:rPr>
  </w:style>
  <w:style w:type="table" w:customStyle="1" w:styleId="TableGrid1">
    <w:name w:val="Table Grid1"/>
    <w:basedOn w:val="TableNormal"/>
    <w:uiPriority w:val="59"/>
    <w:rsid w:val="001B28C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B28C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B28CD"/>
    <w:pPr>
      <w:numPr>
        <w:ilvl w:val="5"/>
      </w:numPr>
      <w:outlineLvl w:val="5"/>
    </w:pPr>
    <w:rPr>
      <w:i/>
      <w:u w:val="none"/>
    </w:rPr>
  </w:style>
  <w:style w:type="paragraph" w:styleId="FootnoteText">
    <w:name w:val="footnote text"/>
    <w:basedOn w:val="Normal"/>
    <w:link w:val="FootnoteTextChar"/>
    <w:uiPriority w:val="99"/>
    <w:unhideWhenUsed/>
    <w:rsid w:val="001B28C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B28CD"/>
  </w:style>
  <w:style w:type="character" w:styleId="FootnoteReference">
    <w:name w:val="footnote reference"/>
    <w:basedOn w:val="DefaultParagraphFont"/>
    <w:uiPriority w:val="99"/>
    <w:semiHidden/>
    <w:unhideWhenUsed/>
    <w:rsid w:val="001B28CD"/>
    <w:rPr>
      <w:vertAlign w:val="superscript"/>
    </w:rPr>
  </w:style>
  <w:style w:type="paragraph" w:styleId="ListParagraph">
    <w:name w:val="List Paragraph"/>
    <w:basedOn w:val="Normal"/>
    <w:uiPriority w:val="34"/>
    <w:qFormat/>
    <w:rsid w:val="001B28CD"/>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1B28CD"/>
    <w:rPr>
      <w:sz w:val="16"/>
      <w:szCs w:val="16"/>
    </w:rPr>
  </w:style>
  <w:style w:type="paragraph" w:styleId="CommentText">
    <w:name w:val="annotation text"/>
    <w:basedOn w:val="Normal"/>
    <w:link w:val="CommentTextChar"/>
    <w:uiPriority w:val="99"/>
    <w:unhideWhenUsed/>
    <w:rsid w:val="001B28CD"/>
    <w:pPr>
      <w:spacing w:after="200"/>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1B28CD"/>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1B28CD"/>
    <w:pPr>
      <w:spacing w:after="0"/>
    </w:pPr>
    <w:rPr>
      <w:rFonts w:eastAsia="Times New Roman" w:cs="Times New Roman"/>
      <w:b/>
      <w:bCs/>
      <w:lang w:eastAsia="en-CA"/>
    </w:rPr>
  </w:style>
  <w:style w:type="character" w:customStyle="1" w:styleId="CommentSubjectChar">
    <w:name w:val="Comment Subject Char"/>
    <w:basedOn w:val="CommentTextChar"/>
    <w:link w:val="CommentSubject"/>
    <w:uiPriority w:val="99"/>
    <w:semiHidden/>
    <w:rsid w:val="001B28CD"/>
    <w:rPr>
      <w:rFonts w:eastAsiaTheme="minorHAnsi" w:cstheme="minorBidi"/>
      <w:b/>
      <w:bCs/>
      <w:lang w:eastAsia="en-US"/>
    </w:rPr>
  </w:style>
  <w:style w:type="paragraph" w:styleId="Revision">
    <w:name w:val="Revision"/>
    <w:hidden/>
    <w:uiPriority w:val="99"/>
    <w:semiHidden/>
    <w:rsid w:val="001B28CD"/>
    <w:rPr>
      <w:sz w:val="24"/>
      <w:szCs w:val="24"/>
    </w:rPr>
  </w:style>
  <w:style w:type="character" w:customStyle="1" w:styleId="ParaNoNdepar-AltNChar">
    <w:name w:val="Para. No. / Nº de par. - Alt N Char"/>
    <w:basedOn w:val="DefaultParagraphFont"/>
    <w:link w:val="ParaNoNdepar-AltN"/>
    <w:rsid w:val="001B28CD"/>
    <w:rPr>
      <w:rFonts w:eastAsiaTheme="minorEastAsia" w:cstheme="minorBidi"/>
      <w:sz w:val="24"/>
      <w:szCs w:val="22"/>
      <w:lang w:eastAsia="en-US"/>
    </w:rPr>
  </w:style>
  <w:style w:type="table" w:customStyle="1" w:styleId="TableGrid2">
    <w:name w:val="Table Grid2"/>
    <w:basedOn w:val="TableNormal"/>
    <w:next w:val="TableGrid"/>
    <w:uiPriority w:val="59"/>
    <w:rsid w:val="001B28C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07445"/>
    <w:rPr>
      <w:lang w:val="fr-CA"/>
    </w:rPr>
  </w:style>
  <w:style w:type="paragraph" w:customStyle="1" w:styleId="SCCLsocPrefix">
    <w:name w:val="SCC.Lsoc.Prefix"/>
    <w:basedOn w:val="Normal"/>
    <w:next w:val="Normal"/>
    <w:link w:val="SCCLsocPrefixChar"/>
    <w:rsid w:val="0070744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07445"/>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3A8C-6894-444A-9CE9-E2DC454E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11384</Words>
  <Characters>59878</Characters>
  <Application>Microsoft Office Word</Application>
  <DocSecurity>0</DocSecurity>
  <Lines>498</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2017-11-16T15:40:00Z</dcterms:created>
  <dcterms:modified xsi:type="dcterms:W3CDTF">2018-02-14T16:31:00Z</dcterms:modified>
</cp:coreProperties>
</file>