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EF" w:rsidRDefault="00663DEF" w:rsidP="00663DE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5.35pt" o:ole="">
            <v:imagedata r:id="rId7" o:title=""/>
          </v:shape>
          <o:OLEObject Type="Embed" ProgID="Presentations.Drawing.13" ShapeID="_x0000_i1025" DrawAspect="Content" ObjectID="_1581164501" r:id="rId8"/>
        </w:object>
      </w:r>
      <w:r>
        <w:t xml:space="preserve"> </w:t>
      </w:r>
      <w:r>
        <w:ptab w:relativeTo="margin" w:alignment="right" w:leader="none"/>
      </w:r>
    </w:p>
    <w:p w:rsidR="00663DEF" w:rsidRDefault="00663DEF" w:rsidP="00663DEF">
      <w:pPr>
        <w:pStyle w:val="Header"/>
      </w:pPr>
    </w:p>
    <w:p w:rsidR="00663DEF" w:rsidRPr="001E12E2" w:rsidRDefault="00663DEF" w:rsidP="00663DEF">
      <w:pPr>
        <w:jc w:val="center"/>
        <w:rPr>
          <w:b/>
        </w:rPr>
      </w:pPr>
      <w:r w:rsidRPr="001E12E2">
        <w:rPr>
          <w:b/>
        </w:rPr>
        <w:t>COUR SUPRÊME DU CANADA</w:t>
      </w:r>
    </w:p>
    <w:p w:rsidR="00663DEF" w:rsidRDefault="00663DEF" w:rsidP="00663DE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663DEF" w:rsidRPr="001E12E2" w:rsidTr="001F6FDE">
        <w:trPr>
          <w:cantSplit/>
        </w:trPr>
        <w:tc>
          <w:tcPr>
            <w:tcW w:w="5580" w:type="dxa"/>
          </w:tcPr>
          <w:p w:rsidR="00663DEF" w:rsidRPr="001E12E2" w:rsidRDefault="00663DEF" w:rsidP="00663DEF">
            <w:r>
              <w:rPr>
                <w:b/>
                <w:smallCaps/>
              </w:rPr>
              <w:t>Référence :</w:t>
            </w:r>
            <w:r w:rsidRPr="001E12E2">
              <w:t xml:space="preserve"> </w:t>
            </w:r>
            <w:r w:rsidRPr="003B3EF8">
              <w:t xml:space="preserve">Cowper-Smith </w:t>
            </w:r>
            <w:r w:rsidRPr="003B3EF8">
              <w:rPr>
                <w:i/>
              </w:rPr>
              <w:t>c.</w:t>
            </w:r>
            <w:r w:rsidRPr="003B3EF8">
              <w:t xml:space="preserve"> Morgan</w:t>
            </w:r>
            <w:r>
              <w:t>, 2017 CSC 61</w:t>
            </w:r>
            <w:r>
              <w:t xml:space="preserve">, </w:t>
            </w:r>
            <w:r>
              <w:rPr>
                <w:lang w:val="en-US"/>
              </w:rPr>
              <w:t>[2017] 2 R.C.S. 754</w:t>
            </w:r>
            <w:r>
              <w:t xml:space="preserve"> </w:t>
            </w:r>
          </w:p>
        </w:tc>
        <w:tc>
          <w:tcPr>
            <w:tcW w:w="3996" w:type="dxa"/>
          </w:tcPr>
          <w:p w:rsidR="00663DEF" w:rsidRPr="00663DEF" w:rsidRDefault="00663DEF" w:rsidP="001F6FDE">
            <w:pPr>
              <w:rPr>
                <w:lang w:val="fr-CA"/>
              </w:rPr>
            </w:pPr>
            <w:r w:rsidRPr="00663DEF">
              <w:rPr>
                <w:b/>
                <w:smallCaps/>
                <w:lang w:val="fr-CA"/>
              </w:rPr>
              <w:t>Appel entendu :</w:t>
            </w:r>
            <w:r w:rsidRPr="00663DEF">
              <w:rPr>
                <w:lang w:val="fr-CA"/>
              </w:rPr>
              <w:t xml:space="preserve"> 26 mai 2017</w:t>
            </w:r>
          </w:p>
          <w:p w:rsidR="00663DEF" w:rsidRPr="00663DEF" w:rsidRDefault="00663DEF" w:rsidP="001F6FDE">
            <w:pPr>
              <w:rPr>
                <w:lang w:val="fr-CA"/>
              </w:rPr>
            </w:pPr>
            <w:r w:rsidRPr="00663DEF">
              <w:rPr>
                <w:b/>
                <w:smallCaps/>
                <w:lang w:val="fr-CA"/>
              </w:rPr>
              <w:t>Jugement rendu :</w:t>
            </w:r>
            <w:r w:rsidRPr="00663DEF">
              <w:rPr>
                <w:lang w:val="fr-CA"/>
              </w:rPr>
              <w:t xml:space="preserve"> 14 décembre 2017</w:t>
            </w:r>
          </w:p>
          <w:p w:rsidR="00663DEF" w:rsidRPr="001E12E2" w:rsidRDefault="00663DEF" w:rsidP="001F6FDE">
            <w:r w:rsidRPr="001E12E2">
              <w:rPr>
                <w:b/>
                <w:smallCaps/>
              </w:rPr>
              <w:t>Do</w:t>
            </w:r>
            <w:r>
              <w:rPr>
                <w:b/>
                <w:smallCaps/>
              </w:rPr>
              <w:t>ssier :</w:t>
            </w:r>
            <w:r w:rsidRPr="001E12E2">
              <w:t xml:space="preserve"> </w:t>
            </w:r>
            <w:r>
              <w:t>37120</w:t>
            </w:r>
          </w:p>
        </w:tc>
      </w:tr>
    </w:tbl>
    <w:p w:rsidR="00663DEF" w:rsidRDefault="00663DEF" w:rsidP="00663DEF">
      <w:pPr>
        <w:pStyle w:val="SCCLsocPrefix"/>
      </w:pPr>
      <w:r>
        <w:t>Entre :</w:t>
      </w:r>
    </w:p>
    <w:p w:rsidR="00663DEF" w:rsidRDefault="00663DEF" w:rsidP="00B05C01">
      <w:pPr>
        <w:pStyle w:val="SCCLsocParty"/>
        <w:jc w:val="center"/>
      </w:pPr>
      <w:r>
        <w:t>Max Wayne Cowper-Smith</w:t>
      </w:r>
    </w:p>
    <w:p w:rsidR="00663DEF" w:rsidRDefault="00663DEF" w:rsidP="00B05C01">
      <w:pPr>
        <w:jc w:val="center"/>
      </w:pPr>
      <w:proofErr w:type="spellStart"/>
      <w:r>
        <w:t>Appelant</w:t>
      </w:r>
      <w:proofErr w:type="spellEnd"/>
    </w:p>
    <w:p w:rsidR="00663DEF" w:rsidRPr="00483CC1" w:rsidRDefault="00663DEF" w:rsidP="00B05C01">
      <w:pPr>
        <w:jc w:val="center"/>
      </w:pPr>
    </w:p>
    <w:p w:rsidR="00663DEF" w:rsidRPr="00B05C01" w:rsidRDefault="00663DEF" w:rsidP="00B05C01">
      <w:pPr>
        <w:pStyle w:val="SCCLsocVersus"/>
        <w:spacing w:after="0"/>
        <w:jc w:val="center"/>
        <w:rPr>
          <w:i w:val="0"/>
        </w:rPr>
      </w:pPr>
      <w:proofErr w:type="gramStart"/>
      <w:r w:rsidRPr="00B05C01">
        <w:rPr>
          <w:i w:val="0"/>
        </w:rPr>
        <w:t>et</w:t>
      </w:r>
      <w:proofErr w:type="gramEnd"/>
    </w:p>
    <w:p w:rsidR="00663DEF" w:rsidRPr="00483CC1" w:rsidRDefault="00663DEF" w:rsidP="00B05C01">
      <w:pPr>
        <w:jc w:val="center"/>
      </w:pPr>
    </w:p>
    <w:p w:rsidR="00663DEF" w:rsidRPr="00663DEF" w:rsidRDefault="00663DEF" w:rsidP="00B05C01">
      <w:pPr>
        <w:pStyle w:val="SCCLsocParty"/>
        <w:jc w:val="center"/>
        <w:rPr>
          <w:lang w:val="fr-CA"/>
        </w:rPr>
      </w:pPr>
      <w:r w:rsidRPr="00663DEF">
        <w:rPr>
          <w:lang w:val="fr-CA"/>
        </w:rPr>
        <w:t>Gloria Lynn Morgan et Gloria Lynn Morgan en qualité d’exécutrice testamenta</w:t>
      </w:r>
      <w:bookmarkStart w:id="0" w:name="_GoBack"/>
      <w:bookmarkEnd w:id="0"/>
      <w:r w:rsidRPr="00663DEF">
        <w:rPr>
          <w:lang w:val="fr-CA"/>
        </w:rPr>
        <w:t>ire d’Elizabeth Flora Cowper-Smith, décédée</w:t>
      </w:r>
    </w:p>
    <w:p w:rsidR="00663DEF" w:rsidRPr="00663DEF" w:rsidRDefault="00663DEF" w:rsidP="00B05C01">
      <w:pPr>
        <w:jc w:val="center"/>
        <w:rPr>
          <w:lang w:val="fr-CA"/>
        </w:rPr>
      </w:pPr>
      <w:r w:rsidRPr="00663DEF">
        <w:rPr>
          <w:lang w:val="fr-CA"/>
        </w:rPr>
        <w:t>Intimée</w:t>
      </w:r>
    </w:p>
    <w:p w:rsidR="00663DEF" w:rsidRPr="00663DEF" w:rsidRDefault="00663DEF" w:rsidP="00B05C01">
      <w:pPr>
        <w:jc w:val="center"/>
        <w:rPr>
          <w:lang w:val="fr-CA"/>
        </w:rPr>
      </w:pPr>
    </w:p>
    <w:p w:rsidR="00663DEF" w:rsidRPr="00663DEF" w:rsidRDefault="00663DEF" w:rsidP="00663DEF">
      <w:pPr>
        <w:rPr>
          <w:lang w:val="fr-CA"/>
        </w:rPr>
      </w:pPr>
    </w:p>
    <w:p w:rsidR="00663DEF" w:rsidRPr="00663DEF" w:rsidRDefault="00663DEF" w:rsidP="00663DEF">
      <w:pPr>
        <w:jc w:val="center"/>
        <w:rPr>
          <w:b/>
          <w:smallCaps/>
          <w:lang w:val="fr-CA"/>
        </w:rPr>
      </w:pPr>
      <w:r w:rsidRPr="00663DEF">
        <w:rPr>
          <w:b/>
          <w:smallCaps/>
          <w:lang w:val="fr-CA"/>
        </w:rPr>
        <w:t>Traduction française officielle</w:t>
      </w:r>
    </w:p>
    <w:p w:rsidR="00663DEF" w:rsidRPr="00663DEF" w:rsidRDefault="00663DEF" w:rsidP="00663DEF">
      <w:pPr>
        <w:rPr>
          <w:lang w:val="fr-CA"/>
        </w:rPr>
      </w:pPr>
    </w:p>
    <w:p w:rsidR="00663DEF" w:rsidRPr="00663DEF" w:rsidRDefault="00663DEF" w:rsidP="00663DEF">
      <w:pPr>
        <w:rPr>
          <w:lang w:val="fr-CA"/>
        </w:rPr>
      </w:pPr>
      <w:r w:rsidRPr="00663DEF">
        <w:rPr>
          <w:b/>
          <w:smallCaps/>
          <w:lang w:val="fr-CA"/>
        </w:rPr>
        <w:t>Coram :</w:t>
      </w:r>
      <w:r w:rsidRPr="00663DEF">
        <w:rPr>
          <w:lang w:val="fr-CA"/>
        </w:rPr>
        <w:t xml:space="preserve"> La juge en chef </w:t>
      </w:r>
      <w:proofErr w:type="spellStart"/>
      <w:r w:rsidRPr="00663DEF">
        <w:rPr>
          <w:lang w:val="fr-CA"/>
        </w:rPr>
        <w:t>McLachlin</w:t>
      </w:r>
      <w:proofErr w:type="spellEnd"/>
      <w:r w:rsidRPr="00663DEF">
        <w:rPr>
          <w:lang w:val="fr-CA"/>
        </w:rPr>
        <w:t xml:space="preserve"> et les juges Abella, </w:t>
      </w:r>
      <w:proofErr w:type="spellStart"/>
      <w:r w:rsidRPr="00663DEF">
        <w:rPr>
          <w:lang w:val="fr-CA"/>
        </w:rPr>
        <w:t>Moldaver</w:t>
      </w:r>
      <w:proofErr w:type="spellEnd"/>
      <w:r w:rsidRPr="00663DEF">
        <w:rPr>
          <w:lang w:val="fr-CA"/>
        </w:rPr>
        <w:t xml:space="preserve">, </w:t>
      </w:r>
      <w:proofErr w:type="spellStart"/>
      <w:r w:rsidRPr="00663DEF">
        <w:rPr>
          <w:lang w:val="fr-CA"/>
        </w:rPr>
        <w:t>Karakatsanis</w:t>
      </w:r>
      <w:proofErr w:type="spellEnd"/>
      <w:r w:rsidRPr="00663DEF">
        <w:rPr>
          <w:lang w:val="fr-CA"/>
        </w:rPr>
        <w:t>, Wagner, Gascon, Côté, Brown et Rowe</w:t>
      </w:r>
    </w:p>
    <w:p w:rsidR="00663DEF" w:rsidRPr="00663DEF" w:rsidRDefault="00663DEF" w:rsidP="00663DE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63DEF" w:rsidRPr="00663DEF" w:rsidTr="001F6FDE">
        <w:trPr>
          <w:cantSplit/>
        </w:trPr>
        <w:tc>
          <w:tcPr>
            <w:tcW w:w="3618" w:type="dxa"/>
          </w:tcPr>
          <w:p w:rsidR="00663DEF" w:rsidRPr="00663DEF" w:rsidRDefault="00663DEF" w:rsidP="001F6FDE">
            <w:pPr>
              <w:rPr>
                <w:b/>
                <w:smallCaps/>
                <w:lang w:val="fr-CA"/>
              </w:rPr>
            </w:pPr>
            <w:r w:rsidRPr="00663DEF">
              <w:rPr>
                <w:b/>
                <w:smallCaps/>
                <w:lang w:val="fr-CA"/>
              </w:rPr>
              <w:t>Motifs de jugement :</w:t>
            </w:r>
          </w:p>
          <w:p w:rsidR="00663DEF" w:rsidRPr="00663DEF" w:rsidRDefault="00663DEF" w:rsidP="001F6FDE">
            <w:pPr>
              <w:rPr>
                <w:lang w:val="fr-CA"/>
              </w:rPr>
            </w:pPr>
            <w:r w:rsidRPr="00663DEF">
              <w:rPr>
                <w:lang w:val="fr-CA"/>
              </w:rPr>
              <w:t>(par. 1 à 60)</w:t>
            </w:r>
          </w:p>
        </w:tc>
        <w:tc>
          <w:tcPr>
            <w:tcW w:w="5958" w:type="dxa"/>
          </w:tcPr>
          <w:p w:rsidR="00663DEF" w:rsidRPr="00663DEF" w:rsidRDefault="00663DEF" w:rsidP="001F6FDE">
            <w:pPr>
              <w:rPr>
                <w:lang w:val="fr-CA"/>
              </w:rPr>
            </w:pPr>
            <w:r w:rsidRPr="00663DEF">
              <w:rPr>
                <w:lang w:val="fr-CA"/>
              </w:rPr>
              <w:t xml:space="preserve">La juge en chef </w:t>
            </w:r>
            <w:proofErr w:type="spellStart"/>
            <w:r w:rsidRPr="00663DEF">
              <w:rPr>
                <w:lang w:val="fr-CA"/>
              </w:rPr>
              <w:t>McLachlin</w:t>
            </w:r>
            <w:proofErr w:type="spellEnd"/>
            <w:r w:rsidRPr="00663DEF">
              <w:rPr>
                <w:lang w:val="fr-CA"/>
              </w:rPr>
              <w:t xml:space="preserve"> (avec l’accord des juges Abella, </w:t>
            </w:r>
            <w:proofErr w:type="spellStart"/>
            <w:r w:rsidRPr="00663DEF">
              <w:rPr>
                <w:lang w:val="fr-CA"/>
              </w:rPr>
              <w:t>Moldaver</w:t>
            </w:r>
            <w:proofErr w:type="spellEnd"/>
            <w:r w:rsidRPr="00663DEF">
              <w:rPr>
                <w:lang w:val="fr-CA"/>
              </w:rPr>
              <w:t xml:space="preserve">, </w:t>
            </w:r>
            <w:proofErr w:type="spellStart"/>
            <w:r w:rsidRPr="00663DEF">
              <w:rPr>
                <w:lang w:val="fr-CA"/>
              </w:rPr>
              <w:t>Karakatsanis</w:t>
            </w:r>
            <w:proofErr w:type="spellEnd"/>
            <w:r w:rsidRPr="00663DEF">
              <w:rPr>
                <w:lang w:val="fr-CA"/>
              </w:rPr>
              <w:t>, Wagner, Gascon et Rowe)</w:t>
            </w:r>
          </w:p>
        </w:tc>
      </w:tr>
    </w:tbl>
    <w:p w:rsidR="00663DEF" w:rsidRPr="00663DEF" w:rsidRDefault="00663DEF" w:rsidP="00663DE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63DEF" w:rsidRPr="001E12E2" w:rsidTr="001F6FDE">
        <w:trPr>
          <w:cantSplit/>
        </w:trPr>
        <w:tc>
          <w:tcPr>
            <w:tcW w:w="3618" w:type="dxa"/>
          </w:tcPr>
          <w:p w:rsidR="00663DEF" w:rsidRPr="00663DEF" w:rsidRDefault="00663DEF" w:rsidP="001F6FDE">
            <w:pPr>
              <w:rPr>
                <w:b/>
                <w:smallCaps/>
                <w:lang w:val="fr-CA"/>
              </w:rPr>
            </w:pPr>
            <w:r w:rsidRPr="00663DEF">
              <w:rPr>
                <w:b/>
                <w:smallCaps/>
                <w:lang w:val="fr-CA"/>
              </w:rPr>
              <w:t>Motifs concordants en partie :</w:t>
            </w:r>
          </w:p>
          <w:p w:rsidR="00663DEF" w:rsidRPr="00663DEF" w:rsidRDefault="00663DEF" w:rsidP="001F6FDE">
            <w:pPr>
              <w:rPr>
                <w:lang w:val="fr-CA"/>
              </w:rPr>
            </w:pPr>
            <w:r w:rsidRPr="00663DEF">
              <w:rPr>
                <w:lang w:val="fr-CA"/>
              </w:rPr>
              <w:t>(par. 61 à 72)</w:t>
            </w:r>
          </w:p>
        </w:tc>
        <w:tc>
          <w:tcPr>
            <w:tcW w:w="5958" w:type="dxa"/>
          </w:tcPr>
          <w:p w:rsidR="00663DEF" w:rsidRPr="001E12E2" w:rsidRDefault="00663DEF" w:rsidP="001F6FDE">
            <w:r>
              <w:t xml:space="preserve">Le </w:t>
            </w:r>
            <w:proofErr w:type="spellStart"/>
            <w:r>
              <w:t>juge</w:t>
            </w:r>
            <w:proofErr w:type="spellEnd"/>
            <w:r>
              <w:t xml:space="preserve"> Brown</w:t>
            </w:r>
          </w:p>
        </w:tc>
      </w:tr>
    </w:tbl>
    <w:p w:rsidR="00663DEF" w:rsidRDefault="00663DEF" w:rsidP="00663D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63DEF" w:rsidRPr="001E12E2" w:rsidTr="001F6FDE">
        <w:trPr>
          <w:cantSplit/>
        </w:trPr>
        <w:tc>
          <w:tcPr>
            <w:tcW w:w="3618" w:type="dxa"/>
          </w:tcPr>
          <w:p w:rsidR="00663DEF" w:rsidRPr="00663DEF" w:rsidRDefault="00663DEF" w:rsidP="001F6FDE">
            <w:pPr>
              <w:rPr>
                <w:b/>
                <w:smallCaps/>
                <w:lang w:val="fr-CA"/>
              </w:rPr>
            </w:pPr>
            <w:r w:rsidRPr="00663DEF">
              <w:rPr>
                <w:b/>
                <w:smallCaps/>
                <w:lang w:val="fr-CA"/>
              </w:rPr>
              <w:t>Motifs concordants en partie :</w:t>
            </w:r>
          </w:p>
          <w:p w:rsidR="00663DEF" w:rsidRPr="00663DEF" w:rsidRDefault="00663DEF" w:rsidP="001F6FDE">
            <w:pPr>
              <w:rPr>
                <w:lang w:val="fr-CA"/>
              </w:rPr>
            </w:pPr>
            <w:r w:rsidRPr="00663DEF">
              <w:rPr>
                <w:lang w:val="fr-CA"/>
              </w:rPr>
              <w:t>(par. 73 à 83)</w:t>
            </w:r>
          </w:p>
        </w:tc>
        <w:tc>
          <w:tcPr>
            <w:tcW w:w="5958" w:type="dxa"/>
          </w:tcPr>
          <w:p w:rsidR="00663DEF" w:rsidRPr="001E12E2" w:rsidRDefault="00663DEF" w:rsidP="001F6FDE">
            <w:r>
              <w:t xml:space="preserve">La </w:t>
            </w:r>
            <w:proofErr w:type="spellStart"/>
            <w:r>
              <w:t>juge</w:t>
            </w:r>
            <w:proofErr w:type="spellEnd"/>
            <w:r>
              <w:t xml:space="preserve"> </w:t>
            </w:r>
            <w:proofErr w:type="spellStart"/>
            <w:r>
              <w:t>Côté</w:t>
            </w:r>
            <w:proofErr w:type="spellEnd"/>
          </w:p>
        </w:tc>
      </w:tr>
    </w:tbl>
    <w:p w:rsidR="00663DEF" w:rsidRDefault="00663DEF" w:rsidP="00663DEF"/>
    <w:p w:rsidR="00663DEF" w:rsidRPr="00663DEF" w:rsidRDefault="00663DEF" w:rsidP="00663DEF">
      <w:pPr>
        <w:rPr>
          <w:lang w:val="fr-CA"/>
        </w:rPr>
      </w:pPr>
    </w:p>
    <w:p w:rsidR="00663DEF" w:rsidRPr="00663DEF" w:rsidRDefault="00663DEF" w:rsidP="00663DEF">
      <w:pPr>
        <w:rPr>
          <w:lang w:val="fr-CA"/>
        </w:rPr>
      </w:pPr>
      <w:r>
        <w:rPr>
          <w:noProof/>
          <w:lang w:val="en-US"/>
        </w:rPr>
        <mc:AlternateContent>
          <mc:Choice Requires="wps">
            <w:drawing>
              <wp:anchor distT="0" distB="0" distL="114300" distR="114300" simplePos="0" relativeHeight="251659264" behindDoc="0" locked="0" layoutInCell="1" allowOverlap="1" wp14:anchorId="3D2A7283" wp14:editId="2077DFB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60FC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63DEF" w:rsidRPr="00663DEF" w:rsidRDefault="00663DEF" w:rsidP="00DA52B6">
      <w:pPr>
        <w:spacing w:after="720" w:line="480" w:lineRule="auto"/>
        <w:jc w:val="both"/>
        <w:rPr>
          <w:rStyle w:val="SCCAppellantForRunningHeadChar"/>
          <w:smallCaps w:val="0"/>
          <w:lang w:val="fr-CA"/>
        </w:rPr>
      </w:pPr>
    </w:p>
    <w:p w:rsidR="004D7D95" w:rsidRPr="00BF43A6" w:rsidRDefault="006D3812" w:rsidP="00DA52B6">
      <w:pPr>
        <w:spacing w:after="720" w:line="480" w:lineRule="auto"/>
        <w:jc w:val="both"/>
        <w:rPr>
          <w:lang w:val="en-US"/>
        </w:rPr>
      </w:pPr>
      <w:r>
        <w:rPr>
          <w:rStyle w:val="SCCAppellantForRunningHeadChar"/>
          <w:smallCaps w:val="0"/>
          <w:lang w:val="en-US"/>
        </w:rPr>
        <w:lastRenderedPageBreak/>
        <w:t>C</w:t>
      </w:r>
      <w:r w:rsidR="001A0CBA" w:rsidRPr="006D3812">
        <w:rPr>
          <w:rStyle w:val="SCCAppellantForRunningHeadChar"/>
          <w:smallCaps w:val="0"/>
          <w:lang w:val="en-US"/>
        </w:rPr>
        <w:t>owper</w:t>
      </w:r>
      <w:r w:rsidR="00657141" w:rsidRPr="006D3812">
        <w:rPr>
          <w:rStyle w:val="SCCAppellantForRunningHeadChar"/>
          <w:smallCaps w:val="0"/>
          <w:lang w:val="en-US"/>
        </w:rPr>
        <w:noBreakHyphen/>
      </w:r>
      <w:r>
        <w:rPr>
          <w:rStyle w:val="SCCAppellantForRunningHeadChar"/>
          <w:smallCaps w:val="0"/>
          <w:lang w:val="en-US"/>
        </w:rPr>
        <w:t>S</w:t>
      </w:r>
      <w:r w:rsidR="004D7D95" w:rsidRPr="006D3812">
        <w:rPr>
          <w:rStyle w:val="SCCAppellantForRunningHeadChar"/>
          <w:smallCaps w:val="0"/>
          <w:lang w:val="en-US"/>
        </w:rPr>
        <w:t>mith</w:t>
      </w:r>
      <w:r w:rsidR="004D7D95" w:rsidRPr="00BF43A6">
        <w:rPr>
          <w:lang w:val="en-US"/>
        </w:rPr>
        <w:t xml:space="preserve"> </w:t>
      </w:r>
      <w:r w:rsidR="004D7D95" w:rsidRPr="00BF43A6">
        <w:rPr>
          <w:i/>
          <w:lang w:val="en-US"/>
        </w:rPr>
        <w:t>c.</w:t>
      </w:r>
      <w:r w:rsidR="004D7D95" w:rsidRPr="00BF43A6">
        <w:rPr>
          <w:lang w:val="en-US"/>
        </w:rPr>
        <w:t xml:space="preserve"> </w:t>
      </w:r>
      <w:r>
        <w:rPr>
          <w:rStyle w:val="SCCRespondentForRunningHeadChar"/>
          <w:smallCaps w:val="0"/>
          <w:lang w:val="en-US"/>
        </w:rPr>
        <w:t>M</w:t>
      </w:r>
      <w:r w:rsidR="001A0CBA" w:rsidRPr="006D3812">
        <w:rPr>
          <w:rStyle w:val="SCCRespondentForRunningHeadChar"/>
          <w:smallCaps w:val="0"/>
          <w:lang w:val="en-US"/>
        </w:rPr>
        <w:t>organ</w:t>
      </w:r>
      <w:r>
        <w:rPr>
          <w:rStyle w:val="SCCRespondentForRunningHeadChar"/>
          <w:smallCaps w:val="0"/>
          <w:lang w:val="en-US"/>
        </w:rPr>
        <w:t xml:space="preserve">, </w:t>
      </w:r>
      <w:r w:rsidRPr="00BF43A6">
        <w:rPr>
          <w:lang w:val="en-US"/>
        </w:rPr>
        <w:t>2017 CSC 61</w:t>
      </w:r>
      <w:r>
        <w:rPr>
          <w:lang w:val="en-US"/>
        </w:rPr>
        <w:t>, [2017] 2 R.C.S. 754</w:t>
      </w:r>
    </w:p>
    <w:p w:rsidR="00631C00" w:rsidRPr="00BF43A6" w:rsidRDefault="006C3EDA">
      <w:pPr>
        <w:pStyle w:val="SCCLsocLastPartyInRole"/>
        <w:rPr>
          <w:lang w:val="en-US"/>
        </w:rPr>
      </w:pPr>
      <w:r w:rsidRPr="00BF43A6">
        <w:rPr>
          <w:lang w:val="en-US"/>
        </w:rPr>
        <w:t>Max Wayne Cowper</w:t>
      </w:r>
      <w:r w:rsidR="00657141" w:rsidRPr="00BF43A6">
        <w:rPr>
          <w:lang w:val="en-US"/>
        </w:rPr>
        <w:noBreakHyphen/>
      </w:r>
      <w:r w:rsidRPr="00BF43A6">
        <w:rPr>
          <w:lang w:val="en-US"/>
        </w:rPr>
        <w:t>Smith</w:t>
      </w:r>
      <w:r w:rsidR="008F0A29" w:rsidRPr="00BF43A6">
        <w:rPr>
          <w:rStyle w:val="SCCLsocPartyRole"/>
          <w:lang w:val="en-US"/>
        </w:rPr>
        <w:tab/>
      </w:r>
      <w:proofErr w:type="spellStart"/>
      <w:r w:rsidR="008F0A29" w:rsidRPr="00BF43A6">
        <w:rPr>
          <w:rStyle w:val="SCCLsocPartyRole"/>
          <w:lang w:val="en-US"/>
        </w:rPr>
        <w:t>Appelant</w:t>
      </w:r>
      <w:proofErr w:type="spellEnd"/>
    </w:p>
    <w:p w:rsidR="00631C00" w:rsidRPr="00FB1170" w:rsidRDefault="006C3EDA">
      <w:pPr>
        <w:pStyle w:val="SCCLsocVersus"/>
        <w:rPr>
          <w:lang w:val="fr-CA"/>
        </w:rPr>
      </w:pPr>
      <w:proofErr w:type="gramStart"/>
      <w:r w:rsidRPr="00FB1170">
        <w:rPr>
          <w:lang w:val="fr-CA"/>
        </w:rPr>
        <w:t>c</w:t>
      </w:r>
      <w:proofErr w:type="gramEnd"/>
      <w:r w:rsidRPr="00FB1170">
        <w:rPr>
          <w:lang w:val="fr-CA"/>
        </w:rPr>
        <w:t>.</w:t>
      </w:r>
    </w:p>
    <w:p w:rsidR="00631C00" w:rsidRPr="00FB1170" w:rsidRDefault="006C3EDA" w:rsidP="00716D65">
      <w:pPr>
        <w:pStyle w:val="SCCLsocLastPartyInRole"/>
        <w:rPr>
          <w:lang w:val="fr-CA"/>
        </w:rPr>
      </w:pPr>
      <w:r w:rsidRPr="00FB1170">
        <w:rPr>
          <w:lang w:val="fr-CA"/>
        </w:rPr>
        <w:t xml:space="preserve">Gloria Lynn Morgan et Gloria Lynn Morgan </w:t>
      </w:r>
      <w:r w:rsidR="00DA54A4" w:rsidRPr="00FB1170">
        <w:rPr>
          <w:lang w:val="fr-CA"/>
        </w:rPr>
        <w:t>en qualité d’exécutrice testamentaire</w:t>
      </w:r>
      <w:r w:rsidRPr="00FB1170">
        <w:rPr>
          <w:lang w:val="fr-CA"/>
        </w:rPr>
        <w:t xml:space="preserve"> </w:t>
      </w:r>
      <w:r w:rsidR="00DA54A4" w:rsidRPr="00FB1170">
        <w:rPr>
          <w:lang w:val="fr-CA"/>
        </w:rPr>
        <w:t>d’</w:t>
      </w:r>
      <w:r w:rsidRPr="00FB1170">
        <w:rPr>
          <w:lang w:val="fr-CA"/>
        </w:rPr>
        <w:t>Elizabeth Flora Cowper</w:t>
      </w:r>
      <w:r w:rsidR="00657141" w:rsidRPr="00FB1170">
        <w:rPr>
          <w:lang w:val="fr-CA"/>
        </w:rPr>
        <w:noBreakHyphen/>
      </w:r>
      <w:r w:rsidRPr="00FB1170">
        <w:rPr>
          <w:lang w:val="fr-CA"/>
        </w:rPr>
        <w:t>Smith, décédée</w:t>
      </w:r>
      <w:r w:rsidR="008F0A29" w:rsidRPr="00FB1170">
        <w:rPr>
          <w:rStyle w:val="SCCLsocPartyRole"/>
          <w:lang w:val="fr-CA"/>
        </w:rPr>
        <w:tab/>
      </w:r>
      <w:r w:rsidR="008F0A29" w:rsidRPr="00EC0B2C">
        <w:rPr>
          <w:rStyle w:val="SCCLsocPartyRole"/>
          <w:lang w:val="fr-CA"/>
        </w:rPr>
        <w:t>Intimé</w:t>
      </w:r>
      <w:r w:rsidR="007F7739" w:rsidRPr="00EC0B2C">
        <w:rPr>
          <w:rStyle w:val="SCCLsocPartyRole"/>
          <w:lang w:val="fr-CA"/>
        </w:rPr>
        <w:t>e</w:t>
      </w:r>
    </w:p>
    <w:p w:rsidR="004D7D95" w:rsidRPr="00BF43A6" w:rsidRDefault="008F0A29" w:rsidP="00DA52B6">
      <w:pPr>
        <w:spacing w:after="720"/>
        <w:jc w:val="both"/>
        <w:rPr>
          <w:b/>
          <w:lang w:val="en-US"/>
        </w:rPr>
      </w:pPr>
      <w:proofErr w:type="spellStart"/>
      <w:proofErr w:type="gramStart"/>
      <w:r w:rsidRPr="00BF43A6">
        <w:rPr>
          <w:b/>
          <w:lang w:val="en-US"/>
        </w:rPr>
        <w:t>Répertorié</w:t>
      </w:r>
      <w:proofErr w:type="spellEnd"/>
      <w:r w:rsidR="00657141" w:rsidRPr="00BF43A6">
        <w:rPr>
          <w:b/>
          <w:lang w:val="en-US"/>
        </w:rPr>
        <w:t> :</w:t>
      </w:r>
      <w:proofErr w:type="gramEnd"/>
      <w:r w:rsidRPr="00BF43A6">
        <w:rPr>
          <w:b/>
          <w:lang w:val="en-US"/>
        </w:rPr>
        <w:t> </w:t>
      </w:r>
      <w:r w:rsidR="004D7D95" w:rsidRPr="00BF43A6">
        <w:rPr>
          <w:rStyle w:val="SCCAppellantForIndexChar"/>
          <w:lang w:val="en-US"/>
        </w:rPr>
        <w:t>Cowper</w:t>
      </w:r>
      <w:r w:rsidR="00657141" w:rsidRPr="00BF43A6">
        <w:rPr>
          <w:rStyle w:val="SCCAppellantForIndexChar"/>
          <w:lang w:val="en-US"/>
        </w:rPr>
        <w:noBreakHyphen/>
      </w:r>
      <w:r w:rsidR="004D7D95" w:rsidRPr="00BF43A6">
        <w:rPr>
          <w:rStyle w:val="SCCAppellantForIndexChar"/>
          <w:lang w:val="en-US"/>
        </w:rPr>
        <w:t>Smith</w:t>
      </w:r>
      <w:r w:rsidR="004D7D95" w:rsidRPr="00BF43A6">
        <w:rPr>
          <w:b/>
          <w:lang w:val="en-US"/>
        </w:rPr>
        <w:t xml:space="preserve"> </w:t>
      </w:r>
      <w:r w:rsidR="004D7D95" w:rsidRPr="00BF43A6">
        <w:rPr>
          <w:b/>
          <w:i/>
          <w:lang w:val="en-US"/>
        </w:rPr>
        <w:t>c.</w:t>
      </w:r>
      <w:r w:rsidR="004D7D95" w:rsidRPr="00BF43A6">
        <w:rPr>
          <w:b/>
          <w:lang w:val="en-US"/>
        </w:rPr>
        <w:t xml:space="preserve"> </w:t>
      </w:r>
      <w:r w:rsidRPr="00BF43A6">
        <w:rPr>
          <w:rStyle w:val="SCCRespondentForIndexChar"/>
          <w:lang w:val="en-US"/>
        </w:rPr>
        <w:t>Morgan</w:t>
      </w:r>
    </w:p>
    <w:p w:rsidR="004D7D95" w:rsidRPr="00BF43A6" w:rsidRDefault="00D17B0E" w:rsidP="00DA52B6">
      <w:pPr>
        <w:pStyle w:val="SCCSystemYear"/>
        <w:spacing w:after="720"/>
        <w:jc w:val="both"/>
        <w:rPr>
          <w:lang w:val="en-US"/>
        </w:rPr>
      </w:pPr>
      <w:r w:rsidRPr="00BF43A6">
        <w:rPr>
          <w:lang w:val="en-US"/>
        </w:rPr>
        <w:t>2017</w:t>
      </w:r>
      <w:r w:rsidR="004D7D95" w:rsidRPr="00BF43A6">
        <w:rPr>
          <w:lang w:val="en-US"/>
        </w:rPr>
        <w:t xml:space="preserve"> CSC </w:t>
      </w:r>
      <w:r w:rsidR="00C44F8F" w:rsidRPr="00BF43A6">
        <w:rPr>
          <w:lang w:val="en-US"/>
        </w:rPr>
        <w:t>61</w:t>
      </w:r>
    </w:p>
    <w:p w:rsidR="004D7D95" w:rsidRPr="00FB1170" w:rsidRDefault="004D7D95" w:rsidP="00DA52B6">
      <w:pPr>
        <w:spacing w:after="720"/>
        <w:jc w:val="both"/>
        <w:rPr>
          <w:lang w:val="fr-CA"/>
        </w:rPr>
      </w:pPr>
      <w:r w:rsidRPr="00FB1170">
        <w:rPr>
          <w:lang w:val="fr-CA"/>
        </w:rPr>
        <w:t>N</w:t>
      </w:r>
      <w:r w:rsidRPr="00FB1170">
        <w:rPr>
          <w:vertAlign w:val="superscript"/>
          <w:lang w:val="fr-CA"/>
        </w:rPr>
        <w:t>o</w:t>
      </w:r>
      <w:r w:rsidRPr="00FB1170">
        <w:rPr>
          <w:lang w:val="fr-CA"/>
        </w:rPr>
        <w:t xml:space="preserve"> du greffe</w:t>
      </w:r>
      <w:r w:rsidR="00657141" w:rsidRPr="00FB1170">
        <w:rPr>
          <w:lang w:val="fr-CA"/>
        </w:rPr>
        <w:t> :</w:t>
      </w:r>
      <w:r w:rsidRPr="00FB1170">
        <w:rPr>
          <w:lang w:val="fr-CA"/>
        </w:rPr>
        <w:t> 37120.</w:t>
      </w:r>
    </w:p>
    <w:p w:rsidR="004D7D95" w:rsidRPr="00FB1170" w:rsidRDefault="008F0A29" w:rsidP="00DA52B6">
      <w:pPr>
        <w:spacing w:after="720"/>
        <w:jc w:val="both"/>
        <w:rPr>
          <w:lang w:val="fr-CA"/>
        </w:rPr>
      </w:pPr>
      <w:r w:rsidRPr="00FB1170">
        <w:rPr>
          <w:lang w:val="fr-CA"/>
        </w:rPr>
        <w:t>2017</w:t>
      </w:r>
      <w:r w:rsidR="00657141" w:rsidRPr="00FB1170">
        <w:rPr>
          <w:lang w:val="fr-CA"/>
        </w:rPr>
        <w:t> :</w:t>
      </w:r>
      <w:r w:rsidR="00D17B0E" w:rsidRPr="00FB1170">
        <w:rPr>
          <w:lang w:val="fr-CA"/>
        </w:rPr>
        <w:t xml:space="preserve"> 26 mai</w:t>
      </w:r>
      <w:r w:rsidR="004D7D95" w:rsidRPr="00FB1170">
        <w:rPr>
          <w:lang w:val="fr-CA"/>
        </w:rPr>
        <w:t xml:space="preserve">; </w:t>
      </w:r>
      <w:r w:rsidR="007A343E" w:rsidRPr="00FB1170">
        <w:rPr>
          <w:lang w:val="fr-CA"/>
        </w:rPr>
        <w:t>2017</w:t>
      </w:r>
      <w:r w:rsidR="00657141" w:rsidRPr="00FB1170">
        <w:rPr>
          <w:lang w:val="fr-CA"/>
        </w:rPr>
        <w:t> :</w:t>
      </w:r>
      <w:r w:rsidR="00BF43A6">
        <w:rPr>
          <w:lang w:val="fr-CA"/>
        </w:rPr>
        <w:t> </w:t>
      </w:r>
      <w:r w:rsidR="007A343E" w:rsidRPr="00FB1170">
        <w:rPr>
          <w:lang w:val="fr-CA"/>
        </w:rPr>
        <w:t>14 décembre</w:t>
      </w:r>
      <w:r w:rsidR="004D7D95" w:rsidRPr="00FB1170">
        <w:rPr>
          <w:lang w:val="fr-CA"/>
        </w:rPr>
        <w:t>.</w:t>
      </w:r>
    </w:p>
    <w:p w:rsidR="004D7D95" w:rsidRPr="00FB1170" w:rsidRDefault="004D7D95" w:rsidP="00DA52B6">
      <w:pPr>
        <w:spacing w:after="720"/>
        <w:jc w:val="both"/>
        <w:rPr>
          <w:lang w:val="fr-CA"/>
        </w:rPr>
      </w:pPr>
      <w:r w:rsidRPr="00FB1170">
        <w:rPr>
          <w:lang w:val="fr-CA"/>
        </w:rPr>
        <w:t>Présents</w:t>
      </w:r>
      <w:r w:rsidR="00657141" w:rsidRPr="00FB1170">
        <w:rPr>
          <w:lang w:val="fr-CA"/>
        </w:rPr>
        <w:t> :</w:t>
      </w:r>
      <w:r w:rsidRPr="00FB1170">
        <w:rPr>
          <w:lang w:val="fr-CA"/>
        </w:rPr>
        <w:t> La juge en chef McLachlin et les juges Abella, Moldaver, Karakatsanis, Wagner, Gascon, Côté, Brown et Rowe.</w:t>
      </w:r>
    </w:p>
    <w:p w:rsidR="004D7D95" w:rsidRPr="00FB1170" w:rsidRDefault="004D7D95" w:rsidP="00DA52B6">
      <w:pPr>
        <w:spacing w:after="720"/>
        <w:jc w:val="both"/>
        <w:rPr>
          <w:smallCaps/>
          <w:lang w:val="fr-CA"/>
        </w:rPr>
      </w:pPr>
      <w:r w:rsidRPr="00FB1170">
        <w:rPr>
          <w:smallCaps/>
          <w:lang w:val="fr-CA"/>
        </w:rPr>
        <w:t>en appel de la cour d</w:t>
      </w:r>
      <w:r w:rsidR="001A0CBA" w:rsidRPr="00FB1170">
        <w:rPr>
          <w:smallCaps/>
          <w:lang w:val="fr-CA"/>
        </w:rPr>
        <w:t>’</w:t>
      </w:r>
      <w:r w:rsidRPr="00FB1170">
        <w:rPr>
          <w:smallCaps/>
          <w:lang w:val="fr-CA"/>
        </w:rPr>
        <w:t>appel de la</w:t>
      </w:r>
      <w:r w:rsidR="008F0A29" w:rsidRPr="00FB1170">
        <w:rPr>
          <w:smallCaps/>
          <w:lang w:val="fr-CA"/>
        </w:rPr>
        <w:t xml:space="preserve"> </w:t>
      </w:r>
      <w:proofErr w:type="spellStart"/>
      <w:r w:rsidR="008F0A29" w:rsidRPr="00FB1170">
        <w:rPr>
          <w:smallCaps/>
          <w:lang w:val="fr-CA"/>
        </w:rPr>
        <w:t>colombie</w:t>
      </w:r>
      <w:r w:rsidR="00657141" w:rsidRPr="00FB1170">
        <w:rPr>
          <w:smallCaps/>
          <w:lang w:val="fr-CA"/>
        </w:rPr>
        <w:noBreakHyphen/>
      </w:r>
      <w:r w:rsidR="008F0A29" w:rsidRPr="00FB1170">
        <w:rPr>
          <w:smallCaps/>
          <w:lang w:val="fr-CA"/>
        </w:rPr>
        <w:t>britannique</w:t>
      </w:r>
      <w:proofErr w:type="spellEnd"/>
    </w:p>
    <w:p w:rsidR="00671A4E" w:rsidRPr="00FB1170" w:rsidRDefault="00991C5B" w:rsidP="00991C5B">
      <w:pPr>
        <w:pStyle w:val="SCCNormalDoubleSpacing"/>
        <w:spacing w:before="480" w:after="480"/>
        <w:rPr>
          <w:lang w:val="fr-CA"/>
        </w:rPr>
      </w:pPr>
      <w:r>
        <w:rPr>
          <w:i/>
          <w:lang w:val="fr-CA"/>
        </w:rPr>
        <w:tab/>
      </w:r>
      <w:r w:rsidR="00671A4E" w:rsidRPr="00FB1170">
        <w:rPr>
          <w:i/>
          <w:lang w:val="fr-CA"/>
        </w:rPr>
        <w:t xml:space="preserve">Successions — Testaments — Biens — </w:t>
      </w:r>
      <w:proofErr w:type="spellStart"/>
      <w:r w:rsidR="00671A4E" w:rsidRPr="00FB1170">
        <w:rPr>
          <w:i/>
          <w:lang w:val="fr-CA"/>
        </w:rPr>
        <w:t>Equity</w:t>
      </w:r>
      <w:proofErr w:type="spellEnd"/>
      <w:r w:rsidR="00671A4E" w:rsidRPr="00FB1170">
        <w:rPr>
          <w:i/>
          <w:lang w:val="fr-CA"/>
        </w:rPr>
        <w:t xml:space="preserve"> — </w:t>
      </w:r>
      <w:proofErr w:type="spellStart"/>
      <w:r w:rsidR="00671A4E" w:rsidRPr="00FB1170">
        <w:rPr>
          <w:i/>
          <w:lang w:val="fr-CA"/>
        </w:rPr>
        <w:t>Préclusion</w:t>
      </w:r>
      <w:proofErr w:type="spellEnd"/>
      <w:r w:rsidR="00671A4E" w:rsidRPr="00FB1170">
        <w:rPr>
          <w:i/>
          <w:lang w:val="fr-CA"/>
        </w:rPr>
        <w:t xml:space="preserve"> </w:t>
      </w:r>
      <w:proofErr w:type="spellStart"/>
      <w:r w:rsidR="00671A4E" w:rsidRPr="00FB1170">
        <w:rPr>
          <w:i/>
          <w:lang w:val="fr-CA"/>
        </w:rPr>
        <w:t>propriétale</w:t>
      </w:r>
      <w:proofErr w:type="spellEnd"/>
      <w:r w:rsidR="00671A4E" w:rsidRPr="00FB1170">
        <w:rPr>
          <w:i/>
          <w:lang w:val="fr-CA"/>
        </w:rPr>
        <w:t xml:space="preserve"> — Recours — Demandeur se fiant, à son préjudice, à des promesses faites par une </w:t>
      </w:r>
      <w:proofErr w:type="spellStart"/>
      <w:r w:rsidR="00671A4E" w:rsidRPr="00FB1170">
        <w:rPr>
          <w:i/>
          <w:lang w:val="fr-CA"/>
        </w:rPr>
        <w:t>cobénéficiair</w:t>
      </w:r>
      <w:r w:rsidR="00816721">
        <w:rPr>
          <w:i/>
          <w:lang w:val="fr-CA"/>
        </w:rPr>
        <w:t>e</w:t>
      </w:r>
      <w:proofErr w:type="spellEnd"/>
      <w:r w:rsidR="00816721">
        <w:rPr>
          <w:i/>
          <w:lang w:val="fr-CA"/>
        </w:rPr>
        <w:t xml:space="preserve"> de la succession de leur mère</w:t>
      </w:r>
      <w:r w:rsidR="00671A4E" w:rsidRPr="00FB1170">
        <w:rPr>
          <w:i/>
          <w:lang w:val="fr-CA"/>
        </w:rPr>
        <w:t xml:space="preserve"> de lui transférer son intérêt de </w:t>
      </w:r>
      <w:proofErr w:type="spellStart"/>
      <w:r w:rsidR="00671A4E" w:rsidRPr="00FB1170">
        <w:rPr>
          <w:i/>
          <w:lang w:val="fr-CA"/>
        </w:rPr>
        <w:t>cobénéficiaire</w:t>
      </w:r>
      <w:proofErr w:type="spellEnd"/>
      <w:r w:rsidR="00671A4E" w:rsidRPr="00FB1170">
        <w:rPr>
          <w:i/>
          <w:lang w:val="fr-CA"/>
        </w:rPr>
        <w:t xml:space="preserve"> dans un bien — La juge de pre</w:t>
      </w:r>
      <w:r w:rsidR="0007537A">
        <w:rPr>
          <w:i/>
          <w:lang w:val="fr-CA"/>
        </w:rPr>
        <w:t>mière instance a</w:t>
      </w:r>
      <w:r w:rsidR="0007537A">
        <w:rPr>
          <w:i/>
          <w:lang w:val="fr-CA"/>
        </w:rPr>
        <w:noBreakHyphen/>
        <w:t>t</w:t>
      </w:r>
      <w:r w:rsidR="0007537A">
        <w:rPr>
          <w:i/>
          <w:lang w:val="fr-CA"/>
        </w:rPr>
        <w:noBreakHyphen/>
        <w:t>elle conclu à</w:t>
      </w:r>
      <w:r w:rsidR="00671A4E" w:rsidRPr="00FB1170">
        <w:rPr>
          <w:i/>
          <w:lang w:val="fr-CA"/>
        </w:rPr>
        <w:t xml:space="preserve"> tort que </w:t>
      </w:r>
      <w:r w:rsidR="00671A4E" w:rsidRPr="00FB1170">
        <w:rPr>
          <w:i/>
          <w:lang w:val="fr-CA"/>
        </w:rPr>
        <w:lastRenderedPageBreak/>
        <w:t xml:space="preserve">la préclusion propriétale permettait de faire respecter la promesse de la </w:t>
      </w:r>
      <w:proofErr w:type="spellStart"/>
      <w:r w:rsidR="00671A4E" w:rsidRPr="00FB1170">
        <w:rPr>
          <w:i/>
          <w:lang w:val="fr-CA"/>
        </w:rPr>
        <w:t>promettante</w:t>
      </w:r>
      <w:proofErr w:type="spellEnd"/>
      <w:r w:rsidR="00671A4E" w:rsidRPr="00FB1170">
        <w:rPr>
          <w:i/>
          <w:lang w:val="fr-CA"/>
        </w:rPr>
        <w:t>? — La preuve étaye</w:t>
      </w:r>
      <w:r w:rsidR="00671A4E" w:rsidRPr="00FB1170">
        <w:rPr>
          <w:i/>
          <w:lang w:val="fr-CA"/>
        </w:rPr>
        <w:noBreakHyphen/>
        <w:t>t</w:t>
      </w:r>
      <w:r w:rsidR="00671A4E" w:rsidRPr="00FB1170">
        <w:rPr>
          <w:i/>
          <w:lang w:val="fr-CA"/>
        </w:rPr>
        <w:noBreakHyphen/>
        <w:t xml:space="preserve">elle la conclusion de la juge de première instance selon laquelle les éléments de la préclusion propriétale sont réunis? — La demande en </w:t>
      </w:r>
      <w:proofErr w:type="spellStart"/>
      <w:r w:rsidR="00671A4E" w:rsidRPr="00FB1170">
        <w:rPr>
          <w:i/>
          <w:lang w:val="fr-CA"/>
        </w:rPr>
        <w:t>equity</w:t>
      </w:r>
      <w:proofErr w:type="spellEnd"/>
      <w:r w:rsidR="00671A4E" w:rsidRPr="00FB1170">
        <w:rPr>
          <w:i/>
          <w:lang w:val="fr-CA"/>
        </w:rPr>
        <w:t xml:space="preserve"> du demandeur </w:t>
      </w:r>
      <w:proofErr w:type="spellStart"/>
      <w:r w:rsidR="00671A4E" w:rsidRPr="00FB1170">
        <w:rPr>
          <w:i/>
          <w:lang w:val="fr-CA"/>
        </w:rPr>
        <w:t>doit</w:t>
      </w:r>
      <w:r w:rsidR="00671A4E" w:rsidRPr="00FB1170">
        <w:rPr>
          <w:i/>
          <w:lang w:val="fr-CA"/>
        </w:rPr>
        <w:noBreakHyphen/>
        <w:t>elle</w:t>
      </w:r>
      <w:proofErr w:type="spellEnd"/>
      <w:r w:rsidR="00671A4E" w:rsidRPr="00FB1170">
        <w:rPr>
          <w:i/>
          <w:lang w:val="fr-CA"/>
        </w:rPr>
        <w:t xml:space="preserve"> </w:t>
      </w:r>
      <w:proofErr w:type="gramStart"/>
      <w:r w:rsidR="00671A4E" w:rsidRPr="00FB1170">
        <w:rPr>
          <w:i/>
          <w:lang w:val="fr-CA"/>
        </w:rPr>
        <w:t>échouer</w:t>
      </w:r>
      <w:proofErr w:type="gramEnd"/>
      <w:r w:rsidR="00671A4E" w:rsidRPr="00FB1170">
        <w:rPr>
          <w:i/>
          <w:lang w:val="fr-CA"/>
        </w:rPr>
        <w:t xml:space="preserve"> parce que la </w:t>
      </w:r>
      <w:proofErr w:type="spellStart"/>
      <w:r w:rsidR="00671A4E" w:rsidRPr="00FB1170">
        <w:rPr>
          <w:i/>
          <w:lang w:val="fr-CA"/>
        </w:rPr>
        <w:t>promettante</w:t>
      </w:r>
      <w:proofErr w:type="spellEnd"/>
      <w:r w:rsidR="00671A4E" w:rsidRPr="00FB1170">
        <w:rPr>
          <w:i/>
          <w:lang w:val="fr-CA"/>
        </w:rPr>
        <w:t xml:space="preserve"> ne détenait aucun intérêt dans le bien au moment de la promesse? — Quelle réparation convient</w:t>
      </w:r>
      <w:r w:rsidR="00671A4E" w:rsidRPr="00FB1170">
        <w:rPr>
          <w:i/>
          <w:lang w:val="fr-CA"/>
        </w:rPr>
        <w:noBreakHyphen/>
        <w:t>il d’accorder?</w:t>
      </w:r>
    </w:p>
    <w:p w:rsidR="00671A4E" w:rsidRPr="00FB1170" w:rsidRDefault="00991C5B" w:rsidP="00991C5B">
      <w:pPr>
        <w:pStyle w:val="SCCNormalDoubleSpacing"/>
        <w:spacing w:before="480" w:after="480"/>
        <w:rPr>
          <w:lang w:val="fr-CA"/>
        </w:rPr>
      </w:pPr>
      <w:r>
        <w:rPr>
          <w:lang w:val="fr-CA"/>
        </w:rPr>
        <w:tab/>
      </w:r>
      <w:r w:rsidR="00671A4E" w:rsidRPr="00FB1170">
        <w:rPr>
          <w:lang w:val="fr-CA"/>
        </w:rPr>
        <w:t>Dès 1992, E et A ont indiqué clairement qu’après leur décès, leur propriété serait partagée également entre leurs trois enfants</w:t>
      </w:r>
      <w:r w:rsidR="00C8312A">
        <w:rPr>
          <w:lang w:val="fr-CA"/>
        </w:rPr>
        <w:t>,</w:t>
      </w:r>
      <w:r w:rsidR="00671A4E" w:rsidRPr="00FB1170">
        <w:rPr>
          <w:lang w:val="fr-CA"/>
        </w:rPr>
        <w:t xml:space="preserve"> G, M et N. Cependant, après le décès d’A, la planification successorale d’E a changé du tout au tout : cette dernière a transféré le titre de la maison familiale à Victoria et tous ses placements en propriété conjointe avec G, indiquant dans une déclaration de fiducie que G aurait un droit absolu sur ces biens à son décès. Malgré le fait que la déclaration de fiducie et la stipulation relative à la propriété conjointe des biens, si elles </w:t>
      </w:r>
      <w:r w:rsidR="0007537A">
        <w:rPr>
          <w:lang w:val="fr-CA"/>
        </w:rPr>
        <w:t>étaient</w:t>
      </w:r>
      <w:r w:rsidR="00671A4E" w:rsidRPr="00FB1170">
        <w:rPr>
          <w:lang w:val="fr-CA"/>
        </w:rPr>
        <w:t xml:space="preserve"> valides, f</w:t>
      </w:r>
      <w:r w:rsidR="0007537A">
        <w:rPr>
          <w:lang w:val="fr-CA"/>
        </w:rPr>
        <w:t>aisaient</w:t>
      </w:r>
      <w:r w:rsidR="00671A4E" w:rsidRPr="00FB1170">
        <w:rPr>
          <w:lang w:val="fr-CA"/>
        </w:rPr>
        <w:t xml:space="preserve"> en sorte que la succession </w:t>
      </w:r>
      <w:r w:rsidR="0007537A">
        <w:rPr>
          <w:lang w:val="fr-CA"/>
        </w:rPr>
        <w:t>ét</w:t>
      </w:r>
      <w:r w:rsidR="00671A4E" w:rsidRPr="00FB1170">
        <w:rPr>
          <w:lang w:val="fr-CA"/>
        </w:rPr>
        <w:t>ait pour ainsi dire dépourvue de tout bien, E a aussi signé un nouveau testament dans lequel elle a nommé G exécutrice testamentaire et prévu que sa succession serait partagée également entre les trois enfants.</w:t>
      </w:r>
    </w:p>
    <w:p w:rsidR="00671A4E" w:rsidRPr="00FB1170" w:rsidRDefault="00991C5B" w:rsidP="00991C5B">
      <w:pPr>
        <w:pStyle w:val="SCCNormalDoubleSpacing"/>
        <w:spacing w:before="480" w:after="480"/>
        <w:rPr>
          <w:lang w:val="fr-CA"/>
        </w:rPr>
      </w:pPr>
      <w:r>
        <w:rPr>
          <w:lang w:val="fr-CA"/>
        </w:rPr>
        <w:tab/>
      </w:r>
      <w:r w:rsidR="00671A4E" w:rsidRPr="00FB1170">
        <w:rPr>
          <w:lang w:val="fr-CA"/>
        </w:rPr>
        <w:t>En 2005, lorsque E n’a pas plus été capable de vivre seule, M a accepté de revenir vivre à Victoria pour s’occuper d’elle, renonçant à son revenu d’emploi, à la location d’une petite maison, aux contacts qu’il avait avec ses enfants et à sa vie sociale, mais il l’a fait uniquement après que G eut accepté qu’il pourrait vivre dans la maison familiale de façon permanente et acquérir un jour l’intérêt de celle</w:t>
      </w:r>
      <w:r w:rsidR="00671A4E" w:rsidRPr="00FB1170">
        <w:rPr>
          <w:lang w:val="fr-CA"/>
        </w:rPr>
        <w:noBreakHyphen/>
        <w:t xml:space="preserve">ci sur le tiers de la propriété. Après le décès d’E, la déclaration de fiducie a été mise au jour et, en 2011, </w:t>
      </w:r>
      <w:r w:rsidR="00671A4E" w:rsidRPr="00FB1170">
        <w:rPr>
          <w:lang w:val="fr-CA"/>
        </w:rPr>
        <w:lastRenderedPageBreak/>
        <w:t xml:space="preserve">G a annoncé qu’elle avait l’intention de vendre la maison familiale, dans laquelle M vivait toujours. M et N ont sollicité une ordonnance annulant la déclaration de fiducie pour cause d’influence indue de G sur E, et déclarant que G détenait la propriété et les placements en fiducie au bénéfice de la succession d’E et que ces biens devaient être partagés également entre les trois enfants conformément au testament le plus récent d’E. Invoquant la préclusion propriétale, ils ont également fait valoir que M était en droit d’acheter l’intérêt de G sur le tiers de la propriété. Les frères ont eu gain de cause en première instance, où la juge a conclu que G n’avait pas réfuté les présomptions d’influence indue et de fiducie </w:t>
      </w:r>
      <w:proofErr w:type="spellStart"/>
      <w:r w:rsidR="00671A4E" w:rsidRPr="00FB1170">
        <w:rPr>
          <w:lang w:val="fr-CA"/>
        </w:rPr>
        <w:t>résultoire</w:t>
      </w:r>
      <w:proofErr w:type="spellEnd"/>
      <w:r w:rsidR="00671A4E" w:rsidRPr="00FB1170">
        <w:rPr>
          <w:lang w:val="fr-CA"/>
        </w:rPr>
        <w:t xml:space="preserve">, et déclaré que la propriété appartenait à la succession d’E. La Cour d’appel a confirmé à l’unanimité les conclusions de la juge de première instance concernant l’influence indue et la fiducie </w:t>
      </w:r>
      <w:proofErr w:type="spellStart"/>
      <w:r w:rsidR="00671A4E" w:rsidRPr="00FB1170">
        <w:rPr>
          <w:lang w:val="fr-CA"/>
        </w:rPr>
        <w:t>résultoire</w:t>
      </w:r>
      <w:proofErr w:type="spellEnd"/>
      <w:r w:rsidR="00671A4E" w:rsidRPr="00FB1170">
        <w:rPr>
          <w:lang w:val="fr-CA"/>
        </w:rPr>
        <w:t>, mais elle était divisée sur la question de la préclusion propriétale. Les juges majoritaires ont conclu que, comme G ne détenait aucun intérêt dans la propriété au moment où elle avait donné des assurances à M, il ne pouvait y avoir de préclusion propriétale. M se pourvoit sur la question de la préclusion propriétale.</w:t>
      </w:r>
    </w:p>
    <w:p w:rsidR="00671A4E" w:rsidRPr="00FB1170" w:rsidRDefault="00991C5B" w:rsidP="00991C5B">
      <w:pPr>
        <w:pStyle w:val="SCCNormalDoubleSpacing"/>
        <w:spacing w:before="480" w:after="480"/>
        <w:rPr>
          <w:lang w:val="fr-CA"/>
        </w:rPr>
      </w:pPr>
      <w:r>
        <w:rPr>
          <w:rStyle w:val="QuoteChar"/>
          <w:lang w:val="fr-CA"/>
        </w:rPr>
        <w:tab/>
      </w:r>
      <w:r w:rsidR="00671A4E" w:rsidRPr="00FB1170">
        <w:rPr>
          <w:rStyle w:val="QuoteChar"/>
          <w:lang w:val="fr-CA"/>
        </w:rPr>
        <w:t>Arrêt</w:t>
      </w:r>
      <w:r w:rsidR="00671A4E" w:rsidRPr="00FB1170">
        <w:rPr>
          <w:lang w:val="fr-CA"/>
        </w:rPr>
        <w:t> :</w:t>
      </w:r>
      <w:r>
        <w:rPr>
          <w:lang w:val="fr-CA"/>
        </w:rPr>
        <w:t xml:space="preserve"> </w:t>
      </w:r>
      <w:r w:rsidR="00671A4E" w:rsidRPr="00FB1170">
        <w:rPr>
          <w:lang w:val="fr-CA"/>
        </w:rPr>
        <w:t>Le pourvoi est accueilli.</w:t>
      </w:r>
    </w:p>
    <w:p w:rsidR="00671A4E" w:rsidRPr="00FB1170" w:rsidRDefault="00991C5B" w:rsidP="00991C5B">
      <w:pPr>
        <w:pStyle w:val="SCCNormalDoubleSpacing"/>
        <w:spacing w:before="480" w:after="480"/>
        <w:rPr>
          <w:lang w:val="fr-CA"/>
        </w:rPr>
      </w:pPr>
      <w:r>
        <w:rPr>
          <w:i/>
          <w:lang w:val="fr-CA"/>
        </w:rPr>
        <w:tab/>
      </w:r>
      <w:r w:rsidR="00671A4E" w:rsidRPr="00FB1170">
        <w:rPr>
          <w:i/>
          <w:lang w:val="fr-CA"/>
        </w:rPr>
        <w:t>La</w:t>
      </w:r>
      <w:r w:rsidR="00671A4E" w:rsidRPr="00FB1170">
        <w:rPr>
          <w:lang w:val="fr-CA"/>
        </w:rPr>
        <w:t xml:space="preserve"> juge en chef </w:t>
      </w:r>
      <w:r w:rsidR="00671A4E" w:rsidRPr="009B5F8D">
        <w:rPr>
          <w:lang w:val="fr-CA"/>
        </w:rPr>
        <w:t>McLachlin</w:t>
      </w:r>
      <w:r w:rsidR="00671A4E" w:rsidRPr="00FB1170">
        <w:rPr>
          <w:b/>
          <w:lang w:val="fr-CA"/>
        </w:rPr>
        <w:t xml:space="preserve"> </w:t>
      </w:r>
      <w:r w:rsidR="00671A4E" w:rsidRPr="00FB1170">
        <w:rPr>
          <w:lang w:val="fr-CA"/>
        </w:rPr>
        <w:t>et les juge</w:t>
      </w:r>
      <w:r w:rsidR="0007537A">
        <w:rPr>
          <w:lang w:val="fr-CA"/>
        </w:rPr>
        <w:t>s</w:t>
      </w:r>
      <w:r w:rsidR="00671A4E" w:rsidRPr="00FB1170">
        <w:rPr>
          <w:lang w:val="fr-CA"/>
        </w:rPr>
        <w:t xml:space="preserve"> Abella, Moldaver, Karakatsanis, Wagner, Gascon et Rowe : La juge de première instance n’a pas conclu à tort que la préclusion propriétale permettait de faire respecter la promesse de G. Vu que l’existence d’un intérêt dans le bien en cause au moment où une personne se fie à la déclaration qui lui est faite ou à l’assurance qui lui est donnée n’est pas nécessaire pour </w:t>
      </w:r>
      <w:r w:rsidR="00671A4E" w:rsidRPr="00FB1170">
        <w:rPr>
          <w:lang w:val="fr-CA"/>
        </w:rPr>
        <w:lastRenderedPageBreak/>
        <w:t>que la préclusion propriétale puisse être invoquée, ce n’est pas parce qu</w:t>
      </w:r>
      <w:r w:rsidR="00C8312A">
        <w:rPr>
          <w:lang w:val="fr-CA"/>
        </w:rPr>
        <w:t>e G n’avait pas d’intérêt dans l</w:t>
      </w:r>
      <w:r w:rsidR="00671A4E" w:rsidRPr="00FB1170">
        <w:rPr>
          <w:lang w:val="fr-CA"/>
        </w:rPr>
        <w:t xml:space="preserve">e bien au moment où M s’est </w:t>
      </w:r>
      <w:proofErr w:type="spellStart"/>
      <w:r w:rsidR="00671A4E" w:rsidRPr="00FB1170">
        <w:rPr>
          <w:lang w:val="fr-CA"/>
        </w:rPr>
        <w:t>fié</w:t>
      </w:r>
      <w:proofErr w:type="spellEnd"/>
      <w:r w:rsidR="00671A4E" w:rsidRPr="00FB1170">
        <w:rPr>
          <w:lang w:val="fr-CA"/>
        </w:rPr>
        <w:t xml:space="preserve"> à la promesse qu’elle lui avait faite que G n’est pas tenue de respecter sa promesse.</w:t>
      </w:r>
    </w:p>
    <w:p w:rsidR="00671A4E" w:rsidRPr="00FB1170" w:rsidRDefault="00991C5B" w:rsidP="00991C5B">
      <w:pPr>
        <w:pStyle w:val="SCCNormalDoubleSpacing"/>
        <w:spacing w:before="480" w:after="480"/>
        <w:rPr>
          <w:lang w:val="fr-CA"/>
        </w:rPr>
      </w:pPr>
      <w:r>
        <w:rPr>
          <w:lang w:val="fr-CA"/>
        </w:rPr>
        <w:tab/>
      </w:r>
      <w:r w:rsidR="00671A4E" w:rsidRPr="00FB1170">
        <w:rPr>
          <w:lang w:val="fr-CA"/>
        </w:rPr>
        <w:t xml:space="preserve">Pour établir la préclusion propriétale, il faut d’abord démontrer l’existence d’un droit en </w:t>
      </w:r>
      <w:proofErr w:type="spellStart"/>
      <w:r w:rsidR="00671A4E" w:rsidRPr="00FB1170">
        <w:rPr>
          <w:lang w:val="fr-CA"/>
        </w:rPr>
        <w:t>equity</w:t>
      </w:r>
      <w:proofErr w:type="spellEnd"/>
      <w:r w:rsidR="00671A4E" w:rsidRPr="00FB1170">
        <w:rPr>
          <w:lang w:val="fr-CA"/>
        </w:rPr>
        <w:t xml:space="preserve"> du type de ceux que protège la préclusion propriétale. Les circonstances suivantes donnent naissance à un tel droit : (1)</w:t>
      </w:r>
      <w:r w:rsidR="00BF43A6">
        <w:rPr>
          <w:lang w:val="fr-CA"/>
        </w:rPr>
        <w:t> </w:t>
      </w:r>
      <w:r w:rsidR="00671A4E" w:rsidRPr="00FB1170">
        <w:rPr>
          <w:lang w:val="fr-CA"/>
        </w:rPr>
        <w:t>une déclaration est faite au demandeur ou une assurance est donnée à celui</w:t>
      </w:r>
      <w:r w:rsidR="00671A4E" w:rsidRPr="00FB1170">
        <w:rPr>
          <w:lang w:val="fr-CA"/>
        </w:rPr>
        <w:noBreakHyphen/>
        <w:t>ci, sur le fondement de laquelle le demandeur s’attend à bénéficier d’un certain droi</w:t>
      </w:r>
      <w:r w:rsidR="00BF43A6">
        <w:rPr>
          <w:lang w:val="fr-CA"/>
        </w:rPr>
        <w:t>t ou avantage dans un bien; (2) </w:t>
      </w:r>
      <w:r w:rsidR="00671A4E" w:rsidRPr="00FB1170">
        <w:rPr>
          <w:lang w:val="fr-CA"/>
        </w:rPr>
        <w:t>le demandeur s’appuie sur cette attente en faisant quelque chose ou en s’abstenant de faire quelque chose, et cet acte de confiance est raisonnable eu égard à l’ensemble des circonstances; (3)</w:t>
      </w:r>
      <w:r w:rsidR="00BF43A6">
        <w:rPr>
          <w:lang w:val="fr-CA"/>
        </w:rPr>
        <w:t> </w:t>
      </w:r>
      <w:r w:rsidR="00671A4E" w:rsidRPr="00FB1170">
        <w:rPr>
          <w:lang w:val="fr-CA"/>
        </w:rPr>
        <w:t xml:space="preserve">le demandeur subit un préjudice en raison de son acte de confiance raisonnable, de sorte qu’il serait inéquitable ou injuste que la partie à l’origine de la déclaration ou de l’assurance revienne sur sa parole et insiste sur le respect de ses droits stricts. Lorsque la partie dont émane la déclaration ou l’assurance possède dans le bien un intérêt suffisant pour répondre à l’attente du demandeur, la préclusion propriétale grève cet intérêt et protège le droit en </w:t>
      </w:r>
      <w:proofErr w:type="spellStart"/>
      <w:r w:rsidR="00671A4E" w:rsidRPr="00FB1170">
        <w:rPr>
          <w:lang w:val="fr-CA"/>
        </w:rPr>
        <w:t>equity</w:t>
      </w:r>
      <w:proofErr w:type="spellEnd"/>
      <w:r w:rsidR="00671A4E" w:rsidRPr="00FB1170">
        <w:rPr>
          <w:lang w:val="fr-CA"/>
        </w:rPr>
        <w:t xml:space="preserve"> en cause en rendant obligatoire la déclaration ou l’assurance. Il n’est pas nécessaire que la partie à l’origine de l’attente possède un intérêt dans le bien au moment de l’acte de confiance du demandeur — lorsque la partie à l’origine de l’attente a un intérêt suffisant dans le bien ou en acquiert un, la préclusion propriétale grèvera cet intérêt et prot</w:t>
      </w:r>
      <w:r w:rsidR="00C8312A">
        <w:rPr>
          <w:lang w:val="fr-CA"/>
        </w:rPr>
        <w:t>é</w:t>
      </w:r>
      <w:r w:rsidR="00671A4E" w:rsidRPr="00FB1170">
        <w:rPr>
          <w:lang w:val="fr-CA"/>
        </w:rPr>
        <w:t xml:space="preserve">gera le droit en </w:t>
      </w:r>
      <w:proofErr w:type="spellStart"/>
      <w:r w:rsidR="00671A4E" w:rsidRPr="00FB1170">
        <w:rPr>
          <w:lang w:val="fr-CA"/>
        </w:rPr>
        <w:t>equity</w:t>
      </w:r>
      <w:proofErr w:type="spellEnd"/>
      <w:r w:rsidR="00671A4E" w:rsidRPr="00FB1170">
        <w:rPr>
          <w:lang w:val="fr-CA"/>
        </w:rPr>
        <w:t xml:space="preserve"> en cause. La question de savoir </w:t>
      </w:r>
      <w:r w:rsidR="00671A4E" w:rsidRPr="00FB1170">
        <w:rPr>
          <w:szCs w:val="24"/>
          <w:lang w:val="fr-CA"/>
        </w:rPr>
        <w:t>si l’acte de confiance du demandeur était raisonnable dans les circonstances est une question mixte de fait et de droit</w:t>
      </w:r>
      <w:r w:rsidR="00671A4E" w:rsidRPr="00FB1170">
        <w:rPr>
          <w:lang w:val="fr-CA"/>
        </w:rPr>
        <w:t xml:space="preserve">. </w:t>
      </w:r>
      <w:r w:rsidR="00671A4E" w:rsidRPr="00FB1170">
        <w:rPr>
          <w:szCs w:val="24"/>
          <w:lang w:val="fr-CA"/>
        </w:rPr>
        <w:t xml:space="preserve">La décision du juge de première </w:t>
      </w:r>
      <w:r w:rsidR="00671A4E" w:rsidRPr="00FB1170">
        <w:rPr>
          <w:szCs w:val="24"/>
          <w:lang w:val="fr-CA"/>
        </w:rPr>
        <w:lastRenderedPageBreak/>
        <w:t>instance à cet égard commande la déférence, sauf si elle est entachée d’une erreur manifeste et dominante</w:t>
      </w:r>
      <w:r w:rsidR="00671A4E" w:rsidRPr="00FB1170">
        <w:rPr>
          <w:lang w:val="fr-CA"/>
        </w:rPr>
        <w:t>.</w:t>
      </w:r>
    </w:p>
    <w:p w:rsidR="00671A4E" w:rsidRPr="00FB1170" w:rsidRDefault="00991C5B" w:rsidP="00991C5B">
      <w:pPr>
        <w:pStyle w:val="SCCNormalDoubleSpacing"/>
        <w:spacing w:before="480" w:after="480"/>
        <w:rPr>
          <w:lang w:val="fr-CA"/>
        </w:rPr>
      </w:pPr>
      <w:r>
        <w:rPr>
          <w:lang w:val="fr-CA"/>
        </w:rPr>
        <w:tab/>
      </w:r>
      <w:r w:rsidR="00671A4E" w:rsidRPr="00FB1170">
        <w:rPr>
          <w:lang w:val="fr-CA"/>
        </w:rPr>
        <w:t xml:space="preserve">Lorsque le demandeur a établi la préclusion propriétale, le tribunal </w:t>
      </w:r>
      <w:proofErr w:type="gramStart"/>
      <w:r w:rsidR="00671A4E" w:rsidRPr="00FB1170">
        <w:rPr>
          <w:lang w:val="fr-CA"/>
        </w:rPr>
        <w:t>dispose</w:t>
      </w:r>
      <w:proofErr w:type="gramEnd"/>
      <w:r w:rsidR="00671A4E" w:rsidRPr="00FB1170">
        <w:rPr>
          <w:lang w:val="fr-CA"/>
        </w:rPr>
        <w:t xml:space="preserve"> d’un large pouvoir discrétionnaire pour concevoir une réparation adaptée aux circonstances, et le tribunal d’appel ne devrait intervenir que si la décision du juge de première instance révèle une erreur de principe ou est nettement erronée. Cependant, le demandeur qui démontre qu’il est nécessaire d’appliquer la préclusion propriétale n’a droit qu’à la réparation minimale nécessaire pour donner effet au droit en </w:t>
      </w:r>
      <w:proofErr w:type="spellStart"/>
      <w:r w:rsidR="00671A4E" w:rsidRPr="00FB1170">
        <w:rPr>
          <w:lang w:val="fr-CA"/>
        </w:rPr>
        <w:t>equity</w:t>
      </w:r>
      <w:proofErr w:type="spellEnd"/>
      <w:r w:rsidR="00671A4E" w:rsidRPr="00FB1170">
        <w:rPr>
          <w:lang w:val="fr-CA"/>
        </w:rPr>
        <w:t xml:space="preserve"> en sa faveur et ne peut obtenir plus que ce à quoi il s’attendait. De plus, il doit y avoir proportionnalité entre la réparation et le préjudice. Les tribunaux d’</w:t>
      </w:r>
      <w:proofErr w:type="spellStart"/>
      <w:r w:rsidR="00671A4E" w:rsidRPr="00FB1170">
        <w:rPr>
          <w:lang w:val="fr-CA"/>
        </w:rPr>
        <w:t>equity</w:t>
      </w:r>
      <w:proofErr w:type="spellEnd"/>
      <w:r w:rsidR="00671A4E" w:rsidRPr="00FB1170">
        <w:rPr>
          <w:lang w:val="fr-CA"/>
        </w:rPr>
        <w:t xml:space="preserve"> doivent établir un équilibre entre la reconnaissance des attentes subjectives du demandeur et la réparation de ce préjudice.</w:t>
      </w:r>
    </w:p>
    <w:p w:rsidR="00671A4E" w:rsidRPr="00FB1170" w:rsidRDefault="00991C5B" w:rsidP="00991C5B">
      <w:pPr>
        <w:pStyle w:val="SCCNormalDoubleSpacing"/>
        <w:spacing w:before="480" w:after="480"/>
        <w:rPr>
          <w:lang w:val="fr-CA"/>
        </w:rPr>
      </w:pPr>
      <w:r>
        <w:rPr>
          <w:lang w:val="fr-CA"/>
        </w:rPr>
        <w:tab/>
      </w:r>
      <w:r w:rsidR="00671A4E" w:rsidRPr="00FB1170">
        <w:rPr>
          <w:lang w:val="fr-CA"/>
        </w:rPr>
        <w:t xml:space="preserve">En l’espèce, </w:t>
      </w:r>
      <w:r w:rsidR="00671A4E" w:rsidRPr="00FB1170">
        <w:rPr>
          <w:szCs w:val="24"/>
          <w:lang w:val="fr-CA"/>
        </w:rPr>
        <w:t>il ressort des conclusions de la juge de première instance que M et G avaient tous deux clairement compris depuis plus d’une décennie que la succession d’E, y compris la maison familiale, serait partagée également entre ses trois enfants à son décès</w:t>
      </w:r>
      <w:r w:rsidR="00671A4E" w:rsidRPr="00FB1170">
        <w:rPr>
          <w:lang w:val="fr-CA"/>
        </w:rPr>
        <w:t xml:space="preserve">. Il était donc suffisamment certain que G hériterait d’un intérêt sur le tiers de la propriété pour que l’assurance qu’elle avait donnée soit sérieusement considérée par M comme une assurance à laquelle il pouvait se fier. Il n’y a aucune raison d’infirmer la conclusion de la juge de première instance selon laquelle l’acte de confiance de M était raisonnable. Un droit en </w:t>
      </w:r>
      <w:proofErr w:type="spellStart"/>
      <w:r w:rsidR="00671A4E" w:rsidRPr="00FB1170">
        <w:rPr>
          <w:lang w:val="fr-CA"/>
        </w:rPr>
        <w:t>equity</w:t>
      </w:r>
      <w:proofErr w:type="spellEnd"/>
      <w:r w:rsidR="00671A4E" w:rsidRPr="00FB1170">
        <w:rPr>
          <w:lang w:val="fr-CA"/>
        </w:rPr>
        <w:t xml:space="preserve"> a pris naissance en faveur de M lorsque ce dernier s’est fondé raisonnablement, à son préjudice, sur le fait qu’il </w:t>
      </w:r>
      <w:r w:rsidR="00671A4E" w:rsidRPr="00FB1170">
        <w:rPr>
          <w:lang w:val="fr-CA"/>
        </w:rPr>
        <w:lastRenderedPageBreak/>
        <w:t xml:space="preserve">s’attendait à pouvoir acquérir l’intérêt de G sur le tiers de la maison familiale. La préclusion propriétale ne pouvait pas protéger ce droit au moment où il a pris naissance, parce que G ne détenait alors aucun intérêt dans la propriété. Toutefois, elle grèvera l’intérêt de G aussitôt que G l’aura obtenu de la succession. G, en sa qualité d’exécutrice testamentaire, peut se voir ordonner de transférer un intérêt sur le tiers de la propriété à chacun des bénéficiaires de la succession de manière à ce que la promesse qu’elle a faite à M puisse être respectée. Un partage en nature de la propriété n’est pas contraire à l’intention d’E et la Cour </w:t>
      </w:r>
      <w:proofErr w:type="gramStart"/>
      <w:r w:rsidR="00671A4E" w:rsidRPr="00FB1170">
        <w:rPr>
          <w:lang w:val="fr-CA"/>
        </w:rPr>
        <w:t>a</w:t>
      </w:r>
      <w:proofErr w:type="gramEnd"/>
      <w:r w:rsidR="00671A4E" w:rsidRPr="00FB1170">
        <w:rPr>
          <w:lang w:val="fr-CA"/>
        </w:rPr>
        <w:t xml:space="preserve"> le pouvoir d’ordonner à G d’exercer son pouvoir discrétionnaire d’exécutrice testamentaire d’une certaine façon. Pour ce qui est de la réparation à accorder, le minimum requis pour donner effet au droit en </w:t>
      </w:r>
      <w:proofErr w:type="spellStart"/>
      <w:r w:rsidR="00671A4E" w:rsidRPr="00FB1170">
        <w:rPr>
          <w:lang w:val="fr-CA"/>
        </w:rPr>
        <w:t>equity</w:t>
      </w:r>
      <w:proofErr w:type="spellEnd"/>
      <w:r w:rsidR="00671A4E" w:rsidRPr="00FB1170">
        <w:rPr>
          <w:lang w:val="fr-CA"/>
        </w:rPr>
        <w:t xml:space="preserve"> de M consiste à rendre une ordonnance lui permettant d’acheter l’intérêt de G dans la maison familiale à sa juste valeur marchande établie à la date approximative à laquelle il se serait raisonnablement attendu à pouvoir l’acquérir au départ.</w:t>
      </w:r>
    </w:p>
    <w:p w:rsidR="00671A4E" w:rsidRPr="00FB1170" w:rsidRDefault="00991C5B" w:rsidP="00991C5B">
      <w:pPr>
        <w:pStyle w:val="SCCNormalDoubleSpacing"/>
        <w:spacing w:before="480" w:after="480"/>
        <w:rPr>
          <w:lang w:val="fr-CA"/>
        </w:rPr>
      </w:pPr>
      <w:r>
        <w:rPr>
          <w:i/>
          <w:lang w:val="fr-CA"/>
        </w:rPr>
        <w:tab/>
      </w:r>
      <w:r w:rsidR="00671A4E" w:rsidRPr="00FB1170">
        <w:rPr>
          <w:i/>
          <w:lang w:val="fr-CA"/>
        </w:rPr>
        <w:t>Le</w:t>
      </w:r>
      <w:r w:rsidR="00671A4E" w:rsidRPr="00FB1170">
        <w:rPr>
          <w:lang w:val="fr-CA"/>
        </w:rPr>
        <w:t xml:space="preserve"> juge</w:t>
      </w:r>
      <w:r w:rsidR="00671A4E" w:rsidRPr="009B5F8D">
        <w:rPr>
          <w:lang w:val="fr-CA"/>
        </w:rPr>
        <w:t xml:space="preserve"> </w:t>
      </w:r>
      <w:r w:rsidRPr="009B5F8D">
        <w:rPr>
          <w:lang w:val="fr-CA"/>
        </w:rPr>
        <w:t>Brown</w:t>
      </w:r>
      <w:r>
        <w:rPr>
          <w:b/>
          <w:lang w:val="fr-CA"/>
        </w:rPr>
        <w:t> </w:t>
      </w:r>
      <w:r w:rsidR="00671A4E" w:rsidRPr="00FB1170">
        <w:rPr>
          <w:lang w:val="fr-CA"/>
        </w:rPr>
        <w:t xml:space="preserve">: Il y a accord </w:t>
      </w:r>
      <w:r w:rsidR="0007537A">
        <w:rPr>
          <w:lang w:val="fr-CA"/>
        </w:rPr>
        <w:t xml:space="preserve">avec les juges majoritaires </w:t>
      </w:r>
      <w:r w:rsidR="00671A4E" w:rsidRPr="00FB1170">
        <w:rPr>
          <w:lang w:val="fr-CA"/>
        </w:rPr>
        <w:t xml:space="preserve">sur le fait que la juge de première instance n’a pas commis d’erreur en faisant droit à la demande fondée sur la préclusion propriétale, mais désaccord sur la réparation qu’il convient d’accorder. Un droit en </w:t>
      </w:r>
      <w:proofErr w:type="spellStart"/>
      <w:r w:rsidR="00671A4E" w:rsidRPr="00FB1170">
        <w:rPr>
          <w:lang w:val="fr-CA"/>
        </w:rPr>
        <w:t>equity</w:t>
      </w:r>
      <w:proofErr w:type="spellEnd"/>
      <w:r w:rsidR="00671A4E" w:rsidRPr="00FB1170">
        <w:rPr>
          <w:lang w:val="fr-CA"/>
        </w:rPr>
        <w:t xml:space="preserve"> suffisant pour justifier une demande fondée sur la préclusion propriétale peut prendre naissance lorsque le promettant n’est pas en fait titulaire du droit ou de l’avantage promis au moment où il fait la promesse, mais ce droit ne naît que si, et au moment où, le promettant obtient le droit ou l’avantage qui a été promis au demandeur, et non au moment de l’acte de confiance préjudiciable. Lorsque l’acquisition par le promettant du droit ou de l’avantage promis dépend de la réalisation </w:t>
      </w:r>
      <w:r w:rsidR="00671A4E" w:rsidRPr="00FB1170">
        <w:rPr>
          <w:lang w:val="fr-CA"/>
        </w:rPr>
        <w:lastRenderedPageBreak/>
        <w:t xml:space="preserve">d’une éventualité, aucun droit en </w:t>
      </w:r>
      <w:proofErr w:type="spellStart"/>
      <w:r w:rsidR="00671A4E" w:rsidRPr="00FB1170">
        <w:rPr>
          <w:lang w:val="fr-CA"/>
        </w:rPr>
        <w:t>equity</w:t>
      </w:r>
      <w:proofErr w:type="spellEnd"/>
      <w:r w:rsidR="00671A4E" w:rsidRPr="00FB1170">
        <w:rPr>
          <w:lang w:val="fr-CA"/>
        </w:rPr>
        <w:t xml:space="preserve"> — dont une atteinte est susceptible d’être réparée au moyen de la préclusion propriétale — ne peut prendre naissance tant que l’éventualité ne s’est pas réalisée. Si le promettant n’est pas titulaire du droit ou de l’avantage promis au moment de la promesse, un droit virtuel en </w:t>
      </w:r>
      <w:proofErr w:type="spellStart"/>
      <w:r w:rsidR="00671A4E" w:rsidRPr="00FB1170">
        <w:rPr>
          <w:lang w:val="fr-CA"/>
        </w:rPr>
        <w:t>equity</w:t>
      </w:r>
      <w:proofErr w:type="spellEnd"/>
      <w:r w:rsidR="00671A4E" w:rsidRPr="00FB1170">
        <w:rPr>
          <w:lang w:val="fr-CA"/>
        </w:rPr>
        <w:t xml:space="preserve"> prend naissance en faveur du demandeur au moment de l’acte de confiance préjudiciable du demandeur à l’égard de celle</w:t>
      </w:r>
      <w:r w:rsidR="00671A4E" w:rsidRPr="00FB1170">
        <w:rPr>
          <w:lang w:val="fr-CA"/>
        </w:rPr>
        <w:noBreakHyphen/>
        <w:t xml:space="preserve">ci; toutefois, avant que l’on puisse établir l’existence d’un droit en </w:t>
      </w:r>
      <w:proofErr w:type="spellStart"/>
      <w:r w:rsidR="00671A4E" w:rsidRPr="00FB1170">
        <w:rPr>
          <w:lang w:val="fr-CA"/>
        </w:rPr>
        <w:t>equity</w:t>
      </w:r>
      <w:proofErr w:type="spellEnd"/>
      <w:r w:rsidR="00671A4E" w:rsidRPr="00FB1170">
        <w:rPr>
          <w:lang w:val="fr-CA"/>
        </w:rPr>
        <w:t xml:space="preserve"> susceptible de conférer un droit </w:t>
      </w:r>
      <w:proofErr w:type="spellStart"/>
      <w:r w:rsidR="00671A4E" w:rsidRPr="00FB1170">
        <w:rPr>
          <w:lang w:val="fr-CA"/>
        </w:rPr>
        <w:t>propriétal</w:t>
      </w:r>
      <w:proofErr w:type="spellEnd"/>
      <w:r w:rsidR="00671A4E" w:rsidRPr="00FB1170">
        <w:rPr>
          <w:lang w:val="fr-CA"/>
        </w:rPr>
        <w:t xml:space="preserve">, le promettant doit acquérir le droit ou l’avantage promis, car il ne peut accorder ce qu’il n’a pas. Pour constituer un droit en </w:t>
      </w:r>
      <w:proofErr w:type="spellStart"/>
      <w:r w:rsidR="00671A4E" w:rsidRPr="00FB1170">
        <w:rPr>
          <w:lang w:val="fr-CA"/>
        </w:rPr>
        <w:t>equity</w:t>
      </w:r>
      <w:proofErr w:type="spellEnd"/>
      <w:r w:rsidR="00671A4E" w:rsidRPr="00FB1170">
        <w:rPr>
          <w:lang w:val="fr-CA"/>
        </w:rPr>
        <w:t xml:space="preserve"> justifiant l’application de la préclusion propriétale, le droit en </w:t>
      </w:r>
      <w:proofErr w:type="spellStart"/>
      <w:r w:rsidR="00671A4E" w:rsidRPr="00FB1170">
        <w:rPr>
          <w:lang w:val="fr-CA"/>
        </w:rPr>
        <w:t>equity</w:t>
      </w:r>
      <w:proofErr w:type="spellEnd"/>
      <w:r w:rsidR="00671A4E" w:rsidRPr="00FB1170">
        <w:rPr>
          <w:lang w:val="fr-CA"/>
        </w:rPr>
        <w:t xml:space="preserve"> en cause doit être de nature propriétale, parce qu’il doit être susceptible de contraindre un promettant à renoncer à un droit </w:t>
      </w:r>
      <w:proofErr w:type="spellStart"/>
      <w:r w:rsidR="00671A4E" w:rsidRPr="00FB1170">
        <w:rPr>
          <w:lang w:val="fr-CA"/>
        </w:rPr>
        <w:t>propriétal</w:t>
      </w:r>
      <w:proofErr w:type="spellEnd"/>
      <w:r w:rsidR="00671A4E" w:rsidRPr="00FB1170">
        <w:rPr>
          <w:lang w:val="fr-CA"/>
        </w:rPr>
        <w:t xml:space="preserve"> dont il est effectivement titulaire.</w:t>
      </w:r>
    </w:p>
    <w:p w:rsidR="00671A4E" w:rsidRPr="00FB1170" w:rsidRDefault="00991C5B" w:rsidP="00991C5B">
      <w:pPr>
        <w:pStyle w:val="SCCNormalDoubleSpacing"/>
        <w:spacing w:before="480" w:after="480"/>
        <w:rPr>
          <w:lang w:val="fr-CA"/>
        </w:rPr>
      </w:pPr>
      <w:r>
        <w:rPr>
          <w:lang w:val="fr-CA"/>
        </w:rPr>
        <w:tab/>
      </w:r>
      <w:r w:rsidR="00671A4E" w:rsidRPr="00FB1170">
        <w:rPr>
          <w:lang w:val="fr-CA"/>
        </w:rPr>
        <w:t xml:space="preserve">En l’espèce, le droit en </w:t>
      </w:r>
      <w:proofErr w:type="spellStart"/>
      <w:r w:rsidR="00671A4E" w:rsidRPr="00FB1170">
        <w:rPr>
          <w:lang w:val="fr-CA"/>
        </w:rPr>
        <w:t>equity</w:t>
      </w:r>
      <w:proofErr w:type="spellEnd"/>
      <w:r w:rsidR="00671A4E" w:rsidRPr="00FB1170">
        <w:rPr>
          <w:lang w:val="fr-CA"/>
        </w:rPr>
        <w:t xml:space="preserve"> nécessaire ne prendra naissance qu’à partir du moment où G sera titulaire du droit ou de l’avantage qu’elle a promis à M, c’est</w:t>
      </w:r>
      <w:r w:rsidR="00671A4E" w:rsidRPr="00FB1170">
        <w:rPr>
          <w:lang w:val="fr-CA"/>
        </w:rPr>
        <w:noBreakHyphen/>
        <w:t>à</w:t>
      </w:r>
      <w:r w:rsidR="00671A4E" w:rsidRPr="00FB1170">
        <w:rPr>
          <w:lang w:val="fr-CA"/>
        </w:rPr>
        <w:noBreakHyphen/>
        <w:t xml:space="preserve">dire le moment où la Cour lui ordonnera de partager la propriété en intérêts égaux d’un tiers qu’elle remettra aux bénéficiaires de la succession d’E. En conséquence, le minimum nécessaire pour donner effet au droit en </w:t>
      </w:r>
      <w:proofErr w:type="spellStart"/>
      <w:r w:rsidR="00671A4E" w:rsidRPr="00FB1170">
        <w:rPr>
          <w:lang w:val="fr-CA"/>
        </w:rPr>
        <w:t>equity</w:t>
      </w:r>
      <w:proofErr w:type="spellEnd"/>
      <w:r w:rsidR="00671A4E" w:rsidRPr="00FB1170">
        <w:rPr>
          <w:lang w:val="fr-CA"/>
        </w:rPr>
        <w:t xml:space="preserve">, dès qu’il prendra naissance, est de permettre à M d’acheter la part d’un tiers de G dans la propriété à la date de l’ordonnance de la Cour. </w:t>
      </w:r>
    </w:p>
    <w:p w:rsidR="00671A4E" w:rsidRPr="00FB1170" w:rsidRDefault="00671A4E" w:rsidP="00991C5B">
      <w:pPr>
        <w:pStyle w:val="SCCNormalDoubleSpacing"/>
        <w:spacing w:before="480" w:after="480"/>
        <w:rPr>
          <w:lang w:val="fr-CA"/>
        </w:rPr>
      </w:pPr>
      <w:r w:rsidRPr="00FB1170">
        <w:rPr>
          <w:lang w:val="fr-CA"/>
        </w:rPr>
        <w:tab/>
      </w:r>
      <w:r w:rsidRPr="00FB1170">
        <w:rPr>
          <w:i/>
          <w:lang w:val="fr-CA"/>
        </w:rPr>
        <w:t xml:space="preserve">La </w:t>
      </w:r>
      <w:r w:rsidRPr="00FB1170">
        <w:rPr>
          <w:lang w:val="fr-CA"/>
        </w:rPr>
        <w:t>juge</w:t>
      </w:r>
      <w:r w:rsidRPr="00FB1170">
        <w:rPr>
          <w:i/>
          <w:lang w:val="fr-CA"/>
        </w:rPr>
        <w:t xml:space="preserve"> </w:t>
      </w:r>
      <w:r w:rsidRPr="009B5F8D">
        <w:rPr>
          <w:lang w:val="fr-CA"/>
        </w:rPr>
        <w:t>Côté</w:t>
      </w:r>
      <w:r w:rsidRPr="00FB1170">
        <w:rPr>
          <w:lang w:val="fr-CA"/>
        </w:rPr>
        <w:t xml:space="preserve"> : Il y a accord </w:t>
      </w:r>
      <w:r w:rsidR="0007537A">
        <w:rPr>
          <w:lang w:val="fr-CA"/>
        </w:rPr>
        <w:t xml:space="preserve">avec les juges majoritaires </w:t>
      </w:r>
      <w:r w:rsidRPr="00FB1170">
        <w:rPr>
          <w:lang w:val="fr-CA"/>
        </w:rPr>
        <w:t xml:space="preserve">sur le fait qu’il est possible d’invoquer la préclusion propriétale même si le promettant ne détenait aucun intérêt </w:t>
      </w:r>
      <w:proofErr w:type="spellStart"/>
      <w:r w:rsidRPr="00FB1170">
        <w:rPr>
          <w:lang w:val="fr-CA"/>
        </w:rPr>
        <w:t>propriétal</w:t>
      </w:r>
      <w:proofErr w:type="spellEnd"/>
      <w:r w:rsidRPr="00FB1170">
        <w:rPr>
          <w:lang w:val="fr-CA"/>
        </w:rPr>
        <w:t xml:space="preserve"> dans le bien en cause au moment de la promesse, et que la décision </w:t>
      </w:r>
      <w:r w:rsidRPr="00FB1170">
        <w:rPr>
          <w:lang w:val="fr-CA"/>
        </w:rPr>
        <w:lastRenderedPageBreak/>
        <w:t xml:space="preserve">par le destinataire de la promesse de s’y fier n’est pas déraisonnable en droit simplement parce que le promettant n’est pas propriétaire du bien au moment où le destinataire de la promesse agit à son préjudice en s’y fiant. </w:t>
      </w:r>
      <w:r w:rsidR="00504C12">
        <w:rPr>
          <w:lang w:val="fr-CA"/>
        </w:rPr>
        <w:t>Néanmoins</w:t>
      </w:r>
      <w:r w:rsidRPr="00FB1170">
        <w:rPr>
          <w:lang w:val="fr-CA"/>
        </w:rPr>
        <w:t>, un tribunal ne peut ordonner à un exécuteur testamentaire de procéder à la distribution de la succession sans tenir compte de l’intention expresse du testateur, et ce, à</w:t>
      </w:r>
      <w:r w:rsidR="00504C12">
        <w:rPr>
          <w:lang w:val="fr-CA"/>
        </w:rPr>
        <w:t xml:space="preserve"> la seule fin de permettre à un</w:t>
      </w:r>
      <w:r w:rsidRPr="00FB1170">
        <w:rPr>
          <w:lang w:val="fr-CA"/>
        </w:rPr>
        <w:t xml:space="preserve"> bénéficiaire de tenir la promesse qu’</w:t>
      </w:r>
      <w:r w:rsidR="00504C12">
        <w:rPr>
          <w:lang w:val="fr-CA"/>
        </w:rPr>
        <w:t>il</w:t>
      </w:r>
      <w:r w:rsidRPr="00FB1170">
        <w:rPr>
          <w:lang w:val="fr-CA"/>
        </w:rPr>
        <w:t xml:space="preserve"> a faite à un tiers. Ce princi</w:t>
      </w:r>
      <w:r w:rsidR="00504C12">
        <w:rPr>
          <w:lang w:val="fr-CA"/>
        </w:rPr>
        <w:t>pe s’applique même lorsque ce</w:t>
      </w:r>
      <w:r w:rsidRPr="00FB1170">
        <w:rPr>
          <w:lang w:val="fr-CA"/>
        </w:rPr>
        <w:t xml:space="preserve"> bénéficiaire agit également comme exécut</w:t>
      </w:r>
      <w:r w:rsidR="00504C12">
        <w:rPr>
          <w:lang w:val="fr-CA"/>
        </w:rPr>
        <w:t>eur</w:t>
      </w:r>
      <w:r w:rsidRPr="00FB1170">
        <w:rPr>
          <w:lang w:val="fr-CA"/>
        </w:rPr>
        <w:t xml:space="preserve"> testamentaire.</w:t>
      </w:r>
    </w:p>
    <w:p w:rsidR="00671A4E" w:rsidRPr="00FB1170" w:rsidRDefault="00671A4E" w:rsidP="00991C5B">
      <w:pPr>
        <w:pStyle w:val="SCCNormalDoubleSpacing"/>
        <w:spacing w:before="480" w:after="480"/>
        <w:rPr>
          <w:lang w:val="fr-CA"/>
        </w:rPr>
      </w:pPr>
      <w:r w:rsidRPr="00FB1170">
        <w:rPr>
          <w:lang w:val="fr-CA"/>
        </w:rPr>
        <w:tab/>
        <w:t>En l’espèce, la Cour n’a pas compétence pour ordonner à G d’exercer son pouvoir discrétionnaire d’exécutrice testamentaire d’une façon particulière. Le testament d’E accordait expressément et sans équivoque à G un pouvoir discrétionnaire dans l’administration de sa succession, lui confiant le soin de décider du sort de la propriété en cause, notamment de déterminer s’il convenait ou non de la vendre. En enjoignant à G de transférer aux bénéficiaires de la succession leur part dans la propriété, la Cour se trouve à substituer son propre jugement à celui de G et à décider de la façon dont le bien devrait être administré, créant dans les faits un legs spécifique qu’E a elle</w:t>
      </w:r>
      <w:r w:rsidRPr="00FB1170">
        <w:rPr>
          <w:lang w:val="fr-CA"/>
        </w:rPr>
        <w:noBreakHyphen/>
        <w:t xml:space="preserve">même choisi de ne pas faire. Si les devoirs de G en tant qu’exécutrice testamentaire sont réellement en conflit avec ses intérêts en tant que bénéficiaire, de sorte qu’il y a manquement à son devoir fiduciaire, la réparation appropriée ne consiste pas à ordonner un partage en nature, mais plutôt à remplacer G en tant qu’exécutrice testamentaire. Toutefois, s’il est ordonné à </w:t>
      </w:r>
      <w:r w:rsidR="0007537A">
        <w:rPr>
          <w:lang w:val="fr-CA"/>
        </w:rPr>
        <w:t>G</w:t>
      </w:r>
      <w:r w:rsidRPr="00FB1170">
        <w:rPr>
          <w:lang w:val="fr-CA"/>
        </w:rPr>
        <w:t xml:space="preserve"> de partager la propriété en nature et </w:t>
      </w:r>
      <w:r w:rsidRPr="00FB1170">
        <w:rPr>
          <w:lang w:val="fr-CA"/>
        </w:rPr>
        <w:lastRenderedPageBreak/>
        <w:t>qu’elle est obligée de vendre sa part à M, le prix de la vente devrait être établi en fonction de la valeur de la propriété à la date de l’ordonnance de la Cour.</w:t>
      </w:r>
    </w:p>
    <w:p w:rsidR="004D7D95" w:rsidRPr="00FB1170" w:rsidRDefault="004D7D95" w:rsidP="00657141">
      <w:pPr>
        <w:pStyle w:val="SCCNormalDoubleSpacing"/>
        <w:spacing w:before="480" w:after="480"/>
        <w:rPr>
          <w:b/>
          <w:lang w:val="fr-CA"/>
        </w:rPr>
      </w:pPr>
      <w:r w:rsidRPr="00FB1170">
        <w:rPr>
          <w:b/>
          <w:lang w:val="fr-CA"/>
        </w:rPr>
        <w:t>Jurisprudence</w:t>
      </w:r>
    </w:p>
    <w:p w:rsidR="00710824" w:rsidRPr="00FB1170" w:rsidRDefault="00710824" w:rsidP="00657141">
      <w:pPr>
        <w:pStyle w:val="SCCNormalDoubleSpacing"/>
        <w:spacing w:before="480" w:after="480"/>
        <w:rPr>
          <w:lang w:val="fr-CA"/>
        </w:rPr>
      </w:pPr>
      <w:r w:rsidRPr="00FB1170">
        <w:rPr>
          <w:lang w:val="fr-CA"/>
        </w:rPr>
        <w:t>Citée par la juge en chef McLachlin</w:t>
      </w:r>
    </w:p>
    <w:p w:rsidR="004D7D95" w:rsidRPr="00BF43A6" w:rsidRDefault="004D7D95" w:rsidP="00657141">
      <w:pPr>
        <w:pStyle w:val="SCCNormalDoubleSpacing"/>
        <w:spacing w:before="480" w:after="480"/>
      </w:pPr>
      <w:r w:rsidRPr="00FB1170">
        <w:rPr>
          <w:lang w:val="fr-CA"/>
        </w:rPr>
        <w:tab/>
      </w:r>
      <w:proofErr w:type="spellStart"/>
      <w:r w:rsidR="00E656EC" w:rsidRPr="00BF43A6">
        <w:rPr>
          <w:b/>
          <w:lang w:val="en-US"/>
        </w:rPr>
        <w:t>Arrêt</w:t>
      </w:r>
      <w:proofErr w:type="spellEnd"/>
      <w:r w:rsidRPr="00BF43A6">
        <w:rPr>
          <w:b/>
          <w:lang w:val="en-US"/>
        </w:rPr>
        <w:t xml:space="preserve"> </w:t>
      </w:r>
      <w:proofErr w:type="spellStart"/>
      <w:r w:rsidR="00991C5B" w:rsidRPr="00BF43A6">
        <w:rPr>
          <w:b/>
          <w:lang w:val="en-US"/>
        </w:rPr>
        <w:t>e</w:t>
      </w:r>
      <w:r w:rsidR="00E656EC" w:rsidRPr="00BF43A6">
        <w:rPr>
          <w:b/>
          <w:lang w:val="en-US"/>
        </w:rPr>
        <w:t>xaminé</w:t>
      </w:r>
      <w:proofErr w:type="spellEnd"/>
      <w:r w:rsidR="00657141" w:rsidRPr="00BF43A6">
        <w:rPr>
          <w:b/>
          <w:lang w:val="en-US"/>
        </w:rPr>
        <w:t> :</w:t>
      </w:r>
      <w:r w:rsidRPr="00BF43A6">
        <w:rPr>
          <w:lang w:val="en-US"/>
        </w:rPr>
        <w:t xml:space="preserve"> </w:t>
      </w:r>
      <w:proofErr w:type="spellStart"/>
      <w:r w:rsidR="009E5033" w:rsidRPr="00BF43A6">
        <w:rPr>
          <w:i/>
          <w:lang w:val="en-US"/>
        </w:rPr>
        <w:t>Thorner</w:t>
      </w:r>
      <w:proofErr w:type="spellEnd"/>
      <w:r w:rsidR="009E5033" w:rsidRPr="00BF43A6">
        <w:rPr>
          <w:i/>
          <w:lang w:val="en-US"/>
        </w:rPr>
        <w:t xml:space="preserve"> c. Major</w:t>
      </w:r>
      <w:r w:rsidR="009E5033" w:rsidRPr="00BF43A6">
        <w:rPr>
          <w:lang w:val="en-US"/>
        </w:rPr>
        <w:t xml:space="preserve">, [2009] UKHL 18, [2009] 1 W.L.R. 776; </w:t>
      </w:r>
      <w:proofErr w:type="spellStart"/>
      <w:r w:rsidR="00E656EC" w:rsidRPr="00BF43A6">
        <w:rPr>
          <w:b/>
          <w:lang w:val="en-US"/>
        </w:rPr>
        <w:t>arrêts</w:t>
      </w:r>
      <w:proofErr w:type="spellEnd"/>
      <w:r w:rsidR="00E656EC" w:rsidRPr="00BF43A6">
        <w:rPr>
          <w:b/>
          <w:lang w:val="en-US"/>
        </w:rPr>
        <w:t xml:space="preserve"> </w:t>
      </w:r>
      <w:proofErr w:type="spellStart"/>
      <w:r w:rsidR="00E656EC" w:rsidRPr="00BF43A6">
        <w:rPr>
          <w:b/>
          <w:lang w:val="en-US"/>
        </w:rPr>
        <w:t>mentionnés</w:t>
      </w:r>
      <w:proofErr w:type="spellEnd"/>
      <w:r w:rsidR="00E656EC" w:rsidRPr="00BF43A6">
        <w:rPr>
          <w:b/>
          <w:lang w:val="en-US"/>
        </w:rPr>
        <w:t> :</w:t>
      </w:r>
      <w:r w:rsidR="00E656EC" w:rsidRPr="00BF43A6">
        <w:rPr>
          <w:lang w:val="en-US"/>
        </w:rPr>
        <w:t xml:space="preserve"> </w:t>
      </w:r>
      <w:proofErr w:type="spellStart"/>
      <w:r w:rsidR="00E656EC" w:rsidRPr="004E26EF">
        <w:rPr>
          <w:i/>
        </w:rPr>
        <w:t>Sabey</w:t>
      </w:r>
      <w:proofErr w:type="spellEnd"/>
      <w:r w:rsidR="00E656EC" w:rsidRPr="004E26EF">
        <w:rPr>
          <w:i/>
        </w:rPr>
        <w:t xml:space="preserve"> c. von </w:t>
      </w:r>
      <w:proofErr w:type="spellStart"/>
      <w:r w:rsidR="00E656EC" w:rsidRPr="004E26EF">
        <w:rPr>
          <w:i/>
        </w:rPr>
        <w:t>Hopffgarten</w:t>
      </w:r>
      <w:proofErr w:type="spellEnd"/>
      <w:r w:rsidR="00E656EC" w:rsidRPr="004E26EF">
        <w:rPr>
          <w:i/>
        </w:rPr>
        <w:t xml:space="preserve"> Estate</w:t>
      </w:r>
      <w:r w:rsidR="00E656EC" w:rsidRPr="004E26EF">
        <w:t xml:space="preserve">, 2014 BCCA 360, 378 D.L.R. (4th) 64; </w:t>
      </w:r>
      <w:r w:rsidR="00E656EC" w:rsidRPr="004E26EF">
        <w:rPr>
          <w:i/>
        </w:rPr>
        <w:t>Clarke c. Johnson</w:t>
      </w:r>
      <w:r w:rsidR="00E656EC" w:rsidRPr="004E26EF">
        <w:t xml:space="preserve">, 2014 ONCA 237, 371 D.L.R. (4th) 618; </w:t>
      </w:r>
      <w:r w:rsidR="00E656EC" w:rsidRPr="004E26EF">
        <w:rPr>
          <w:i/>
        </w:rPr>
        <w:t xml:space="preserve">Idle-O Apartments Inc. c. </w:t>
      </w:r>
      <w:proofErr w:type="spellStart"/>
      <w:r w:rsidR="00E656EC" w:rsidRPr="004E26EF">
        <w:rPr>
          <w:i/>
        </w:rPr>
        <w:t>Charlyn</w:t>
      </w:r>
      <w:proofErr w:type="spellEnd"/>
      <w:r w:rsidR="00E656EC" w:rsidRPr="004E26EF">
        <w:rPr>
          <w:i/>
        </w:rPr>
        <w:t xml:space="preserve"> Investments Ltd.</w:t>
      </w:r>
      <w:r w:rsidR="00E656EC" w:rsidRPr="004E26EF">
        <w:t xml:space="preserve">, 2014 BCCA 451, [2015] 2 W.W.R. 243; </w:t>
      </w:r>
      <w:proofErr w:type="spellStart"/>
      <w:r w:rsidR="00E656EC" w:rsidRPr="004E26EF">
        <w:rPr>
          <w:i/>
        </w:rPr>
        <w:t>Scholz</w:t>
      </w:r>
      <w:proofErr w:type="spellEnd"/>
      <w:r w:rsidR="00E656EC" w:rsidRPr="004E26EF">
        <w:rPr>
          <w:i/>
        </w:rPr>
        <w:t xml:space="preserve"> c. </w:t>
      </w:r>
      <w:proofErr w:type="spellStart"/>
      <w:r w:rsidR="00E656EC" w:rsidRPr="004E26EF">
        <w:rPr>
          <w:i/>
        </w:rPr>
        <w:t>Scholz</w:t>
      </w:r>
      <w:proofErr w:type="spellEnd"/>
      <w:r w:rsidR="00E656EC" w:rsidRPr="004E26EF">
        <w:t xml:space="preserve">, 2013 BCCA 309, 340 B.C.A.C. 151; </w:t>
      </w:r>
      <w:r w:rsidR="00E656EC" w:rsidRPr="004E26EF">
        <w:rPr>
          <w:i/>
        </w:rPr>
        <w:t>Wolff c. Canada (Attorney General)</w:t>
      </w:r>
      <w:r w:rsidR="00E656EC" w:rsidRPr="004E26EF">
        <w:t xml:space="preserve">, 2017 BCCA 30, 95 B.C.L.R. (5th) 15; </w:t>
      </w:r>
      <w:r w:rsidR="00E656EC" w:rsidRPr="004E26EF">
        <w:rPr>
          <w:i/>
        </w:rPr>
        <w:t>Taylors Fashions Ltd. c. Liverpool Victoria Trustees Co.</w:t>
      </w:r>
      <w:r w:rsidR="00E656EC" w:rsidRPr="004E26EF">
        <w:t xml:space="preserve">, [1981] 1 All E.R. 897; </w:t>
      </w:r>
      <w:r w:rsidR="00E656EC" w:rsidRPr="004E26EF">
        <w:rPr>
          <w:i/>
        </w:rPr>
        <w:t>Amalgamated Investment &amp; Property Co. (In Liquidation) c. Texas Commerce International Bank Ltd.</w:t>
      </w:r>
      <w:r w:rsidR="00E656EC" w:rsidRPr="004E26EF">
        <w:t xml:space="preserve">, [1982] 1 Q.B. 84; </w:t>
      </w:r>
      <w:r w:rsidR="00E656EC" w:rsidRPr="004E26EF">
        <w:rPr>
          <w:i/>
        </w:rPr>
        <w:t>Ryan c. Moore</w:t>
      </w:r>
      <w:r w:rsidR="00E656EC" w:rsidRPr="004E26EF">
        <w:t xml:space="preserve">, 2005 CSC 38, [2005] 2 R.C.S. 53; </w:t>
      </w:r>
      <w:proofErr w:type="spellStart"/>
      <w:r w:rsidR="00E656EC" w:rsidRPr="004E26EF">
        <w:rPr>
          <w:i/>
        </w:rPr>
        <w:t>Crabb</w:t>
      </w:r>
      <w:proofErr w:type="spellEnd"/>
      <w:r w:rsidR="00E656EC" w:rsidRPr="004E26EF">
        <w:rPr>
          <w:i/>
        </w:rPr>
        <w:t xml:space="preserve"> c. </w:t>
      </w:r>
      <w:proofErr w:type="spellStart"/>
      <w:r w:rsidR="00E656EC" w:rsidRPr="004E26EF">
        <w:rPr>
          <w:i/>
        </w:rPr>
        <w:t>Arun</w:t>
      </w:r>
      <w:proofErr w:type="spellEnd"/>
      <w:r w:rsidR="00E656EC" w:rsidRPr="004E26EF">
        <w:rPr>
          <w:i/>
        </w:rPr>
        <w:t xml:space="preserve"> District Council</w:t>
      </w:r>
      <w:r w:rsidR="00E656EC" w:rsidRPr="004E26EF">
        <w:t xml:space="preserve">, [1975] 3 All E.R. 865; </w:t>
      </w:r>
      <w:r w:rsidR="00E656EC" w:rsidRPr="004E26EF">
        <w:rPr>
          <w:i/>
        </w:rPr>
        <w:t>Willmott c. Barber</w:t>
      </w:r>
      <w:r w:rsidR="00E656EC" w:rsidRPr="004E26EF">
        <w:t xml:space="preserve"> (1880), 15 Ch. D. 96; </w:t>
      </w:r>
      <w:r w:rsidR="00E656EC" w:rsidRPr="004E26EF">
        <w:rPr>
          <w:i/>
        </w:rPr>
        <w:t xml:space="preserve">Canadian Superior Oil Ltd. c. </w:t>
      </w:r>
      <w:proofErr w:type="spellStart"/>
      <w:r w:rsidR="00E656EC" w:rsidRPr="004E26EF">
        <w:rPr>
          <w:i/>
        </w:rPr>
        <w:t>Paddon</w:t>
      </w:r>
      <w:proofErr w:type="spellEnd"/>
      <w:r w:rsidR="00E656EC" w:rsidRPr="004E26EF">
        <w:rPr>
          <w:i/>
        </w:rPr>
        <w:t>-Hughes Development Co.</w:t>
      </w:r>
      <w:r w:rsidR="00E656EC" w:rsidRPr="004E26EF">
        <w:t xml:space="preserve">, [1970] R.C.S. 932; </w:t>
      </w:r>
      <w:proofErr w:type="spellStart"/>
      <w:r w:rsidR="00E656EC" w:rsidRPr="004E26EF">
        <w:rPr>
          <w:i/>
        </w:rPr>
        <w:t>Sohio</w:t>
      </w:r>
      <w:proofErr w:type="spellEnd"/>
      <w:r w:rsidR="00E656EC" w:rsidRPr="004E26EF">
        <w:rPr>
          <w:i/>
        </w:rPr>
        <w:t xml:space="preserve"> Petroleum Co. c. Weyburn Security Co.</w:t>
      </w:r>
      <w:r w:rsidR="00E656EC" w:rsidRPr="004E26EF">
        <w:t xml:space="preserve">, [1971] R.C.S. 81; </w:t>
      </w:r>
      <w:r w:rsidR="00E656EC" w:rsidRPr="004E26EF">
        <w:rPr>
          <w:i/>
        </w:rPr>
        <w:t>Sykes c. Rosebery Parklands Development Society</w:t>
      </w:r>
      <w:r w:rsidR="00E656EC" w:rsidRPr="004E26EF">
        <w:t xml:space="preserve">, 2011 BCCA 15, 330 D.L.R. (4th) 84; </w:t>
      </w:r>
      <w:r w:rsidR="00E656EC" w:rsidRPr="004E26EF">
        <w:rPr>
          <w:i/>
        </w:rPr>
        <w:t>Erickson c. Jones</w:t>
      </w:r>
      <w:r w:rsidR="00E656EC" w:rsidRPr="004E26EF">
        <w:t xml:space="preserve">, 2008 BCCA 379, 299 D.L.R. (4th) 465; </w:t>
      </w:r>
      <w:proofErr w:type="spellStart"/>
      <w:r w:rsidR="00E656EC" w:rsidRPr="004E26EF">
        <w:rPr>
          <w:i/>
        </w:rPr>
        <w:t>Delane</w:t>
      </w:r>
      <w:proofErr w:type="spellEnd"/>
      <w:r w:rsidR="00E656EC" w:rsidRPr="004E26EF">
        <w:rPr>
          <w:i/>
        </w:rPr>
        <w:t xml:space="preserve"> Industry Co. c. PCI Properties Corp.</w:t>
      </w:r>
      <w:r w:rsidR="00E656EC" w:rsidRPr="004E26EF">
        <w:t xml:space="preserve">, 2014 BCCA 285, 359 B.C.A.C. 61; </w:t>
      </w:r>
      <w:proofErr w:type="spellStart"/>
      <w:r w:rsidR="00E656EC" w:rsidRPr="004E26EF">
        <w:rPr>
          <w:i/>
        </w:rPr>
        <w:t>Burgsteden</w:t>
      </w:r>
      <w:proofErr w:type="spellEnd"/>
      <w:r w:rsidR="00E656EC" w:rsidRPr="004E26EF">
        <w:rPr>
          <w:i/>
        </w:rPr>
        <w:t xml:space="preserve"> c. Long</w:t>
      </w:r>
      <w:r w:rsidR="00E656EC" w:rsidRPr="004E26EF">
        <w:t xml:space="preserve">, 2014 SKCA 115, 378 D.L.R. (4th) 562; </w:t>
      </w:r>
      <w:proofErr w:type="spellStart"/>
      <w:r w:rsidR="00E656EC" w:rsidRPr="004E26EF">
        <w:rPr>
          <w:i/>
        </w:rPr>
        <w:t>Eberts</w:t>
      </w:r>
      <w:proofErr w:type="spellEnd"/>
      <w:r w:rsidR="00E656EC" w:rsidRPr="004E26EF">
        <w:rPr>
          <w:i/>
        </w:rPr>
        <w:t xml:space="preserve"> c. Carleton Condominium Corp. No. 396 </w:t>
      </w:r>
      <w:r w:rsidR="00E656EC" w:rsidRPr="004E26EF">
        <w:t xml:space="preserve">(2000), 136 O.A.C. 317; </w:t>
      </w:r>
      <w:proofErr w:type="spellStart"/>
      <w:r w:rsidR="00E656EC" w:rsidRPr="004E26EF">
        <w:rPr>
          <w:i/>
        </w:rPr>
        <w:t>Bellton</w:t>
      </w:r>
      <w:proofErr w:type="spellEnd"/>
      <w:r w:rsidR="00E656EC" w:rsidRPr="004E26EF">
        <w:rPr>
          <w:i/>
        </w:rPr>
        <w:t xml:space="preserve"> Farms Ltd. c. Campbell</w:t>
      </w:r>
      <w:r w:rsidR="00E656EC" w:rsidRPr="004E26EF">
        <w:t xml:space="preserve">, 2016 NSCA 1, 394 D.L.R. (4th) 262; </w:t>
      </w:r>
      <w:proofErr w:type="spellStart"/>
      <w:r w:rsidR="00E656EC" w:rsidRPr="004E26EF">
        <w:rPr>
          <w:i/>
        </w:rPr>
        <w:t>Wettstein</w:t>
      </w:r>
      <w:proofErr w:type="spellEnd"/>
      <w:r w:rsidR="00E656EC" w:rsidRPr="004E26EF">
        <w:rPr>
          <w:i/>
        </w:rPr>
        <w:t xml:space="preserve"> c. </w:t>
      </w:r>
      <w:proofErr w:type="spellStart"/>
      <w:r w:rsidR="00E656EC" w:rsidRPr="004E26EF">
        <w:rPr>
          <w:i/>
        </w:rPr>
        <w:t>Wettstein</w:t>
      </w:r>
      <w:proofErr w:type="spellEnd"/>
      <w:r w:rsidR="00E656EC" w:rsidRPr="004E26EF">
        <w:t xml:space="preserve">, 1992 </w:t>
      </w:r>
      <w:proofErr w:type="spellStart"/>
      <w:r w:rsidR="00E656EC" w:rsidRPr="004E26EF">
        <w:lastRenderedPageBreak/>
        <w:t>CarswellBC</w:t>
      </w:r>
      <w:proofErr w:type="spellEnd"/>
      <w:r w:rsidR="00E656EC" w:rsidRPr="004E26EF">
        <w:t xml:space="preserve"> 1421 (WL Can.); </w:t>
      </w:r>
      <w:proofErr w:type="spellStart"/>
      <w:r w:rsidR="00E656EC" w:rsidRPr="004E26EF">
        <w:rPr>
          <w:i/>
        </w:rPr>
        <w:t>Waltons</w:t>
      </w:r>
      <w:proofErr w:type="spellEnd"/>
      <w:r w:rsidR="00E656EC" w:rsidRPr="004E26EF">
        <w:rPr>
          <w:i/>
        </w:rPr>
        <w:t xml:space="preserve"> Stores (Interstate) Ltd. c. Maher</w:t>
      </w:r>
      <w:r w:rsidR="00E656EC" w:rsidRPr="004E26EF">
        <w:t xml:space="preserve"> (1988), 76 A.L.R. 513; </w:t>
      </w:r>
      <w:r w:rsidR="00E656EC" w:rsidRPr="004E26EF">
        <w:rPr>
          <w:i/>
        </w:rPr>
        <w:t>Walton c. Walton</w:t>
      </w:r>
      <w:r w:rsidR="00E656EC" w:rsidRPr="004E26EF">
        <w:t xml:space="preserve">, E.W.C.A., 14 </w:t>
      </w:r>
      <w:proofErr w:type="spellStart"/>
      <w:r w:rsidR="00E656EC" w:rsidRPr="004E26EF">
        <w:t>avril</w:t>
      </w:r>
      <w:proofErr w:type="spellEnd"/>
      <w:r w:rsidR="00E656EC" w:rsidRPr="004E26EF">
        <w:t xml:space="preserve"> 1994; </w:t>
      </w:r>
      <w:r w:rsidR="00E656EC" w:rsidRPr="004E26EF">
        <w:rPr>
          <w:i/>
        </w:rPr>
        <w:t>Gillett c. Holt</w:t>
      </w:r>
      <w:r w:rsidR="00E656EC" w:rsidRPr="004E26EF">
        <w:t xml:space="preserve">, [2001] Ch. 210; </w:t>
      </w:r>
      <w:proofErr w:type="spellStart"/>
      <w:r w:rsidR="00E656EC" w:rsidRPr="006E61CE">
        <w:rPr>
          <w:i/>
        </w:rPr>
        <w:t>Cobbe</w:t>
      </w:r>
      <w:proofErr w:type="spellEnd"/>
      <w:r w:rsidR="00E656EC" w:rsidRPr="006E61CE">
        <w:rPr>
          <w:i/>
        </w:rPr>
        <w:t xml:space="preserve"> c. Yeoman’s Row Management Ltd.</w:t>
      </w:r>
      <w:r w:rsidR="00E656EC" w:rsidRPr="006E61CE">
        <w:t>, [2008] UKHL 55, [2008] 1 W.L.R. 1752;</w:t>
      </w:r>
      <w:r w:rsidR="00E656EC" w:rsidRPr="00263D79">
        <w:t xml:space="preserve"> </w:t>
      </w:r>
      <w:proofErr w:type="spellStart"/>
      <w:r w:rsidR="00E656EC" w:rsidRPr="004E26EF">
        <w:rPr>
          <w:i/>
        </w:rPr>
        <w:t>Housen</w:t>
      </w:r>
      <w:proofErr w:type="spellEnd"/>
      <w:r w:rsidR="00E656EC" w:rsidRPr="004E26EF">
        <w:rPr>
          <w:i/>
        </w:rPr>
        <w:t xml:space="preserve"> c. </w:t>
      </w:r>
      <w:proofErr w:type="spellStart"/>
      <w:r w:rsidR="00E656EC" w:rsidRPr="004E26EF">
        <w:rPr>
          <w:i/>
        </w:rPr>
        <w:t>Nikolaisen</w:t>
      </w:r>
      <w:proofErr w:type="spellEnd"/>
      <w:r w:rsidR="00E656EC" w:rsidRPr="004E26EF">
        <w:t xml:space="preserve">, 2002 CSC 33, [2002] 2 R.C.S. 235; </w:t>
      </w:r>
      <w:r w:rsidR="00E656EC" w:rsidRPr="004E26EF">
        <w:rPr>
          <w:i/>
        </w:rPr>
        <w:t>Re Basham (deceased)</w:t>
      </w:r>
      <w:r w:rsidR="00E656EC" w:rsidRPr="004E26EF">
        <w:t xml:space="preserve">, [1987] 1 All E.R. 405; </w:t>
      </w:r>
      <w:r w:rsidR="00E656EC" w:rsidRPr="004E26EF">
        <w:rPr>
          <w:i/>
        </w:rPr>
        <w:t xml:space="preserve">Watson c. </w:t>
      </w:r>
      <w:proofErr w:type="spellStart"/>
      <w:r w:rsidR="00E656EC" w:rsidRPr="004E26EF">
        <w:rPr>
          <w:i/>
        </w:rPr>
        <w:t>Goldsbrough</w:t>
      </w:r>
      <w:proofErr w:type="spellEnd"/>
      <w:r w:rsidR="00E656EC" w:rsidRPr="004E26EF">
        <w:t xml:space="preserve">, [1986] 1 E.G.L.R. 265; </w:t>
      </w:r>
      <w:r w:rsidR="00E656EC" w:rsidRPr="0052694C">
        <w:rPr>
          <w:i/>
        </w:rPr>
        <w:t>Re Harris</w:t>
      </w:r>
      <w:r w:rsidR="00E656EC" w:rsidRPr="0052694C">
        <w:t xml:space="preserve"> (1915), 22 D.L.R. 381; </w:t>
      </w:r>
      <w:r w:rsidR="00E656EC" w:rsidRPr="0052694C">
        <w:rPr>
          <w:i/>
        </w:rPr>
        <w:t>Gunn Estate, Re</w:t>
      </w:r>
      <w:r w:rsidR="00E656EC" w:rsidRPr="0052694C">
        <w:t>, 2010 PECA 13, 200 Nfld. &amp; P.E.I.R. 197</w:t>
      </w:r>
      <w:r w:rsidR="00E656EC">
        <w:t xml:space="preserve">; </w:t>
      </w:r>
      <w:proofErr w:type="spellStart"/>
      <w:r w:rsidR="00E656EC" w:rsidRPr="00E342B8">
        <w:rPr>
          <w:i/>
        </w:rPr>
        <w:t>Staub</w:t>
      </w:r>
      <w:proofErr w:type="spellEnd"/>
      <w:r w:rsidR="00E656EC" w:rsidRPr="00E342B8">
        <w:rPr>
          <w:i/>
        </w:rPr>
        <w:t xml:space="preserve"> c. </w:t>
      </w:r>
      <w:proofErr w:type="spellStart"/>
      <w:r w:rsidR="00E656EC" w:rsidRPr="00E342B8">
        <w:rPr>
          <w:i/>
        </w:rPr>
        <w:t>Staub</w:t>
      </w:r>
      <w:proofErr w:type="spellEnd"/>
      <w:r w:rsidR="00E656EC" w:rsidRPr="00E342B8">
        <w:rPr>
          <w:i/>
        </w:rPr>
        <w:t xml:space="preserve"> Estate</w:t>
      </w:r>
      <w:r w:rsidR="00E656EC" w:rsidRPr="00E342B8">
        <w:t>, 2003 ABCA 122, 226 D.L.R. (4th) 327</w:t>
      </w:r>
      <w:r w:rsidR="00E656EC">
        <w:t xml:space="preserve">; </w:t>
      </w:r>
      <w:r w:rsidR="00E656EC" w:rsidRPr="004E26EF">
        <w:rPr>
          <w:i/>
        </w:rPr>
        <w:t>Griffiths c. Williams</w:t>
      </w:r>
      <w:r w:rsidR="00E656EC" w:rsidRPr="004E26EF">
        <w:t xml:space="preserve">, [1978] 2 E.G.L.R. 121; </w:t>
      </w:r>
      <w:r w:rsidR="00E656EC" w:rsidRPr="004E26EF">
        <w:rPr>
          <w:i/>
        </w:rPr>
        <w:t xml:space="preserve">de </w:t>
      </w:r>
      <w:proofErr w:type="spellStart"/>
      <w:r w:rsidR="00E656EC" w:rsidRPr="004E26EF">
        <w:rPr>
          <w:i/>
        </w:rPr>
        <w:t>Montigny</w:t>
      </w:r>
      <w:proofErr w:type="spellEnd"/>
      <w:r w:rsidR="00E656EC" w:rsidRPr="004E26EF">
        <w:rPr>
          <w:i/>
        </w:rPr>
        <w:t xml:space="preserve"> c. Brossard (Succession)</w:t>
      </w:r>
      <w:r w:rsidR="00E656EC" w:rsidRPr="004E26EF">
        <w:t xml:space="preserve">, 2010 CSC 51, [2010] 3 R.C.S. 64; </w:t>
      </w:r>
      <w:r w:rsidR="00E656EC" w:rsidRPr="004E26EF">
        <w:rPr>
          <w:i/>
        </w:rPr>
        <w:t>Jennings c. Rice</w:t>
      </w:r>
      <w:r w:rsidR="00E656EC" w:rsidRPr="004E26EF">
        <w:t>, [2002] EWCA Civ</w:t>
      </w:r>
      <w:r w:rsidR="00E656EC">
        <w:t>.</w:t>
      </w:r>
      <w:r w:rsidR="00E656EC" w:rsidRPr="004E26EF">
        <w:t xml:space="preserve"> 159, [2003] 1 P. &amp; C.R. 100; </w:t>
      </w:r>
      <w:r w:rsidR="00E656EC" w:rsidRPr="004E26EF">
        <w:rPr>
          <w:i/>
        </w:rPr>
        <w:t xml:space="preserve">Commonwealth of Australia c. </w:t>
      </w:r>
      <w:proofErr w:type="spellStart"/>
      <w:r w:rsidR="00E656EC" w:rsidRPr="004E26EF">
        <w:rPr>
          <w:i/>
        </w:rPr>
        <w:t>Verwayen</w:t>
      </w:r>
      <w:proofErr w:type="spellEnd"/>
      <w:r w:rsidR="00E656EC" w:rsidRPr="004E26EF">
        <w:t xml:space="preserve"> (1990), 170 C.L.R. 394; </w:t>
      </w:r>
      <w:proofErr w:type="spellStart"/>
      <w:r w:rsidR="00E656EC" w:rsidRPr="004E26EF">
        <w:rPr>
          <w:i/>
        </w:rPr>
        <w:t>Sledmore</w:t>
      </w:r>
      <w:proofErr w:type="spellEnd"/>
      <w:r w:rsidR="00E656EC" w:rsidRPr="004E26EF">
        <w:rPr>
          <w:i/>
        </w:rPr>
        <w:t xml:space="preserve"> c. Dalby</w:t>
      </w:r>
      <w:r w:rsidR="00E656EC" w:rsidRPr="004E26EF">
        <w:t xml:space="preserve"> (1996), 72 P. &amp; C.R. 196; </w:t>
      </w:r>
      <w:r w:rsidR="00E656EC" w:rsidRPr="004E26EF">
        <w:rPr>
          <w:i/>
        </w:rPr>
        <w:t>Pilcher c. Shoemaker</w:t>
      </w:r>
      <w:r w:rsidR="00E656EC" w:rsidRPr="004E26EF">
        <w:t xml:space="preserve"> (1997), 13 R.P.R. (3d) 42; </w:t>
      </w:r>
      <w:r w:rsidR="00E656EC" w:rsidRPr="004E26EF">
        <w:rPr>
          <w:i/>
        </w:rPr>
        <w:t>Ellis c. Eddy Holding Ltd.</w:t>
      </w:r>
      <w:r w:rsidR="00E656EC" w:rsidRPr="004E26EF">
        <w:t xml:space="preserve"> </w:t>
      </w:r>
      <w:r w:rsidR="00E656EC" w:rsidRPr="00BF43A6">
        <w:t>(1996), 7 R.P.R. (3d) 70.</w:t>
      </w:r>
    </w:p>
    <w:p w:rsidR="00710824" w:rsidRPr="00BF43A6" w:rsidRDefault="00710824" w:rsidP="00657141">
      <w:pPr>
        <w:pStyle w:val="SCCNormalDoubleSpacing"/>
        <w:spacing w:before="480" w:after="480"/>
      </w:pPr>
      <w:proofErr w:type="spellStart"/>
      <w:r w:rsidRPr="00BF43A6">
        <w:t>Citée</w:t>
      </w:r>
      <w:proofErr w:type="spellEnd"/>
      <w:r w:rsidRPr="00BF43A6">
        <w:t xml:space="preserve"> par le </w:t>
      </w:r>
      <w:proofErr w:type="spellStart"/>
      <w:r w:rsidRPr="00BF43A6">
        <w:t>juge</w:t>
      </w:r>
      <w:proofErr w:type="spellEnd"/>
      <w:r w:rsidRPr="00BF43A6">
        <w:t xml:space="preserve"> Brown</w:t>
      </w:r>
    </w:p>
    <w:p w:rsidR="00710824" w:rsidRPr="00BF43A6" w:rsidRDefault="00710824" w:rsidP="00657141">
      <w:pPr>
        <w:pStyle w:val="SCCNormalDoubleSpacing"/>
        <w:spacing w:before="480" w:after="480"/>
      </w:pPr>
      <w:r w:rsidRPr="00BF43A6">
        <w:rPr>
          <w:b/>
        </w:rPr>
        <w:tab/>
      </w:r>
      <w:proofErr w:type="spellStart"/>
      <w:r w:rsidR="00E656EC" w:rsidRPr="00BF43A6">
        <w:rPr>
          <w:b/>
        </w:rPr>
        <w:t>Arrêt</w:t>
      </w:r>
      <w:proofErr w:type="spellEnd"/>
      <w:r w:rsidR="00E656EC" w:rsidRPr="00BF43A6">
        <w:rPr>
          <w:b/>
        </w:rPr>
        <w:t xml:space="preserve"> </w:t>
      </w:r>
      <w:proofErr w:type="spellStart"/>
      <w:r w:rsidR="00E656EC" w:rsidRPr="00BF43A6">
        <w:rPr>
          <w:b/>
        </w:rPr>
        <w:t>examiné</w:t>
      </w:r>
      <w:proofErr w:type="spellEnd"/>
      <w:r w:rsidR="00E656EC" w:rsidRPr="00BF43A6">
        <w:rPr>
          <w:b/>
        </w:rPr>
        <w:t> :</w:t>
      </w:r>
      <w:r w:rsidR="00E656EC" w:rsidRPr="00BF43A6">
        <w:t xml:space="preserve"> </w:t>
      </w:r>
      <w:r w:rsidR="00E656EC" w:rsidRPr="00BF43A6">
        <w:rPr>
          <w:i/>
        </w:rPr>
        <w:t>Southern Pacific Mortgages Ltd. c. Scott</w:t>
      </w:r>
      <w:r w:rsidR="00E656EC" w:rsidRPr="00BF43A6">
        <w:t xml:space="preserve">, [2014] UKSC 52, [2015] A.C. 385; </w:t>
      </w:r>
      <w:proofErr w:type="spellStart"/>
      <w:r w:rsidR="00E656EC" w:rsidRPr="00BF43A6">
        <w:rPr>
          <w:b/>
        </w:rPr>
        <w:t>arrêts</w:t>
      </w:r>
      <w:proofErr w:type="spellEnd"/>
      <w:r w:rsidR="00E656EC" w:rsidRPr="00BF43A6">
        <w:rPr>
          <w:b/>
        </w:rPr>
        <w:t xml:space="preserve"> </w:t>
      </w:r>
      <w:proofErr w:type="spellStart"/>
      <w:r w:rsidR="00E656EC" w:rsidRPr="00BF43A6">
        <w:rPr>
          <w:b/>
        </w:rPr>
        <w:t>mentionnés</w:t>
      </w:r>
      <w:proofErr w:type="spellEnd"/>
      <w:r w:rsidR="00E656EC" w:rsidRPr="00BF43A6">
        <w:rPr>
          <w:b/>
        </w:rPr>
        <w:t> :</w:t>
      </w:r>
      <w:r w:rsidR="00E656EC" w:rsidRPr="00BF43A6">
        <w:t xml:space="preserve"> </w:t>
      </w:r>
      <w:r w:rsidR="00675584" w:rsidRPr="00BF43A6">
        <w:rPr>
          <w:i/>
        </w:rPr>
        <w:t>Idle</w:t>
      </w:r>
      <w:r w:rsidR="00657141" w:rsidRPr="00BF43A6">
        <w:rPr>
          <w:i/>
        </w:rPr>
        <w:noBreakHyphen/>
      </w:r>
      <w:r w:rsidR="00675584" w:rsidRPr="00BF43A6">
        <w:rPr>
          <w:i/>
        </w:rPr>
        <w:t xml:space="preserve">O Apartments Inc. c. </w:t>
      </w:r>
      <w:proofErr w:type="spellStart"/>
      <w:r w:rsidR="00675584" w:rsidRPr="00BF43A6">
        <w:rPr>
          <w:i/>
        </w:rPr>
        <w:t>Charlyn</w:t>
      </w:r>
      <w:proofErr w:type="spellEnd"/>
      <w:r w:rsidR="00675584" w:rsidRPr="00BF43A6">
        <w:rPr>
          <w:i/>
        </w:rPr>
        <w:t xml:space="preserve"> Investments Ltd.</w:t>
      </w:r>
      <w:r w:rsidR="00675584" w:rsidRPr="00BF43A6">
        <w:t>, 2014 BCCA 451, [2015] 2 W.W.R. 243</w:t>
      </w:r>
      <w:r w:rsidRPr="00BF43A6">
        <w:t xml:space="preserve">; </w:t>
      </w:r>
      <w:proofErr w:type="spellStart"/>
      <w:r w:rsidR="00622552" w:rsidRPr="00BF43A6">
        <w:rPr>
          <w:i/>
        </w:rPr>
        <w:t>Sabey</w:t>
      </w:r>
      <w:proofErr w:type="spellEnd"/>
      <w:r w:rsidR="00622552" w:rsidRPr="00BF43A6">
        <w:rPr>
          <w:i/>
        </w:rPr>
        <w:t xml:space="preserve"> c. von </w:t>
      </w:r>
      <w:proofErr w:type="spellStart"/>
      <w:r w:rsidR="00622552" w:rsidRPr="00BF43A6">
        <w:rPr>
          <w:i/>
        </w:rPr>
        <w:t>Hopffgarten</w:t>
      </w:r>
      <w:proofErr w:type="spellEnd"/>
      <w:r w:rsidR="00622552" w:rsidRPr="00BF43A6">
        <w:rPr>
          <w:i/>
        </w:rPr>
        <w:t xml:space="preserve"> Estate</w:t>
      </w:r>
      <w:r w:rsidR="00622552" w:rsidRPr="00BF43A6">
        <w:t xml:space="preserve">, 2014 BCCA 360, 378 D.L.R. (4th) 64; </w:t>
      </w:r>
      <w:proofErr w:type="spellStart"/>
      <w:r w:rsidR="00EC3DB8" w:rsidRPr="00BF43A6">
        <w:rPr>
          <w:i/>
        </w:rPr>
        <w:t>Crabb</w:t>
      </w:r>
      <w:proofErr w:type="spellEnd"/>
      <w:r w:rsidR="00EC3DB8" w:rsidRPr="00BF43A6">
        <w:rPr>
          <w:i/>
        </w:rPr>
        <w:t xml:space="preserve"> c. </w:t>
      </w:r>
      <w:proofErr w:type="spellStart"/>
      <w:r w:rsidR="00EC3DB8" w:rsidRPr="00BF43A6">
        <w:rPr>
          <w:i/>
        </w:rPr>
        <w:t>Arun</w:t>
      </w:r>
      <w:proofErr w:type="spellEnd"/>
      <w:r w:rsidR="00EC3DB8" w:rsidRPr="00BF43A6">
        <w:rPr>
          <w:i/>
        </w:rPr>
        <w:t xml:space="preserve"> District Council</w:t>
      </w:r>
      <w:r w:rsidR="00EC3DB8" w:rsidRPr="00BF43A6">
        <w:t xml:space="preserve">, [1976] 1 </w:t>
      </w:r>
      <w:r w:rsidR="00657141" w:rsidRPr="00BF43A6">
        <w:t>Ch. </w:t>
      </w:r>
      <w:r w:rsidR="00EC3DB8" w:rsidRPr="00BF43A6">
        <w:t>179</w:t>
      </w:r>
      <w:r w:rsidRPr="00BF43A6">
        <w:t xml:space="preserve">; </w:t>
      </w:r>
      <w:r w:rsidR="00EC3DB8" w:rsidRPr="00BF43A6">
        <w:rPr>
          <w:i/>
        </w:rPr>
        <w:t>Clarke c. Johnson</w:t>
      </w:r>
      <w:r w:rsidR="00EC3DB8" w:rsidRPr="00BF43A6">
        <w:t>, 2014 ONCA 237, 371 D.L.R. (4th) 618</w:t>
      </w:r>
      <w:r w:rsidRPr="00BF43A6">
        <w:t xml:space="preserve">; </w:t>
      </w:r>
      <w:r w:rsidR="000822E7" w:rsidRPr="00BF43A6">
        <w:rPr>
          <w:i/>
        </w:rPr>
        <w:t xml:space="preserve">Tiny (Township) c. </w:t>
      </w:r>
      <w:proofErr w:type="spellStart"/>
      <w:r w:rsidR="000822E7" w:rsidRPr="00BF43A6">
        <w:rPr>
          <w:i/>
        </w:rPr>
        <w:t>Battaglia</w:t>
      </w:r>
      <w:proofErr w:type="spellEnd"/>
      <w:r w:rsidR="000822E7" w:rsidRPr="00BF43A6">
        <w:t>, 2013 ONCA 274, 305 O.A.C. 372</w:t>
      </w:r>
      <w:r w:rsidRPr="00BF43A6">
        <w:t xml:space="preserve">; </w:t>
      </w:r>
      <w:proofErr w:type="spellStart"/>
      <w:r w:rsidR="00737F23" w:rsidRPr="00BF43A6">
        <w:rPr>
          <w:i/>
        </w:rPr>
        <w:t>Schwark</w:t>
      </w:r>
      <w:proofErr w:type="spellEnd"/>
      <w:r w:rsidR="00737F23" w:rsidRPr="00BF43A6">
        <w:rPr>
          <w:i/>
        </w:rPr>
        <w:t xml:space="preserve"> Estate c. Cutting</w:t>
      </w:r>
      <w:r w:rsidR="00737F23" w:rsidRPr="00BF43A6">
        <w:t>, 2010 ONCA 61, 316 D.L.R. (4th) 105</w:t>
      </w:r>
      <w:r w:rsidRPr="00BF43A6">
        <w:t xml:space="preserve">; </w:t>
      </w:r>
      <w:proofErr w:type="spellStart"/>
      <w:r w:rsidR="00737F23" w:rsidRPr="00BF43A6">
        <w:rPr>
          <w:i/>
        </w:rPr>
        <w:t>Thorner</w:t>
      </w:r>
      <w:proofErr w:type="spellEnd"/>
      <w:r w:rsidR="00737F23" w:rsidRPr="00BF43A6">
        <w:rPr>
          <w:i/>
        </w:rPr>
        <w:t xml:space="preserve"> c. Major</w:t>
      </w:r>
      <w:r w:rsidR="00737F23" w:rsidRPr="00BF43A6">
        <w:t>, [2009] UKHL 18, [2009] 1 W.L.R. 776</w:t>
      </w:r>
      <w:r w:rsidRPr="00BF43A6">
        <w:t xml:space="preserve">; </w:t>
      </w:r>
      <w:r w:rsidR="00737F23" w:rsidRPr="00BF43A6">
        <w:rPr>
          <w:i/>
        </w:rPr>
        <w:t xml:space="preserve">Abbey National Building Society c. </w:t>
      </w:r>
      <w:proofErr w:type="spellStart"/>
      <w:r w:rsidR="00737F23" w:rsidRPr="00BF43A6">
        <w:rPr>
          <w:i/>
        </w:rPr>
        <w:t>Cann</w:t>
      </w:r>
      <w:proofErr w:type="spellEnd"/>
      <w:r w:rsidR="00737F23" w:rsidRPr="00BF43A6">
        <w:t>, [1991] 1 A.C. 56</w:t>
      </w:r>
      <w:r w:rsidRPr="00BF43A6">
        <w:t xml:space="preserve">; </w:t>
      </w:r>
      <w:r w:rsidR="009770C4" w:rsidRPr="00BF43A6">
        <w:rPr>
          <w:i/>
        </w:rPr>
        <w:t xml:space="preserve">Yeoman’s Row </w:t>
      </w:r>
      <w:r w:rsidR="009770C4" w:rsidRPr="00BF43A6">
        <w:rPr>
          <w:i/>
        </w:rPr>
        <w:lastRenderedPageBreak/>
        <w:t xml:space="preserve">Management Ltd. c. </w:t>
      </w:r>
      <w:proofErr w:type="spellStart"/>
      <w:r w:rsidR="009770C4" w:rsidRPr="00BF43A6">
        <w:rPr>
          <w:i/>
        </w:rPr>
        <w:t>Cobbe</w:t>
      </w:r>
      <w:proofErr w:type="spellEnd"/>
      <w:r w:rsidR="009770C4" w:rsidRPr="00BF43A6">
        <w:t>, [2008] UKHL 55, [2008] 4 All E.R. 713</w:t>
      </w:r>
      <w:r w:rsidRPr="00BF43A6">
        <w:t xml:space="preserve">; </w:t>
      </w:r>
      <w:r w:rsidR="00557642" w:rsidRPr="00BF43A6">
        <w:rPr>
          <w:i/>
        </w:rPr>
        <w:t>Taylors Fashions Ltd. c. Liverpool Victoria Trustees Co.</w:t>
      </w:r>
      <w:r w:rsidRPr="00BF43A6">
        <w:t xml:space="preserve">, </w:t>
      </w:r>
      <w:r w:rsidR="00557642" w:rsidRPr="00BF43A6">
        <w:t>[1982] 1 Q.B. 133</w:t>
      </w:r>
      <w:r w:rsidRPr="00BF43A6">
        <w:t xml:space="preserve">; </w:t>
      </w:r>
      <w:r w:rsidR="00E82AB7" w:rsidRPr="00BF43A6">
        <w:rPr>
          <w:i/>
        </w:rPr>
        <w:t xml:space="preserve">Watson c. </w:t>
      </w:r>
      <w:proofErr w:type="spellStart"/>
      <w:r w:rsidR="00E82AB7" w:rsidRPr="00BF43A6">
        <w:rPr>
          <w:i/>
        </w:rPr>
        <w:t>Goldsbrough</w:t>
      </w:r>
      <w:proofErr w:type="spellEnd"/>
      <w:r w:rsidR="00E82AB7" w:rsidRPr="00BF43A6">
        <w:t>, [1986] 1 E.G.L.R. 265</w:t>
      </w:r>
      <w:r w:rsidR="00262452" w:rsidRPr="00BF43A6">
        <w:t xml:space="preserve">; </w:t>
      </w:r>
      <w:r w:rsidR="00262452" w:rsidRPr="00BF43A6">
        <w:rPr>
          <w:i/>
        </w:rPr>
        <w:t>Jennings c. Rice</w:t>
      </w:r>
      <w:r w:rsidR="00262452" w:rsidRPr="00BF43A6">
        <w:t>, [2002] EWCA Civ</w:t>
      </w:r>
      <w:r w:rsidR="00B01925" w:rsidRPr="00BF43A6">
        <w:t>.</w:t>
      </w:r>
      <w:r w:rsidR="00262452" w:rsidRPr="00BF43A6">
        <w:t xml:space="preserve"> 159, [2003] 1 </w:t>
      </w:r>
      <w:r w:rsidR="00657141" w:rsidRPr="00BF43A6">
        <w:t>P. </w:t>
      </w:r>
      <w:r w:rsidR="00262452" w:rsidRPr="00BF43A6">
        <w:t>&amp; C.R. 100</w:t>
      </w:r>
      <w:r w:rsidRPr="00BF43A6">
        <w:t>.</w:t>
      </w:r>
    </w:p>
    <w:p w:rsidR="00446537" w:rsidRPr="00FB1170" w:rsidRDefault="00446537" w:rsidP="00446537">
      <w:pPr>
        <w:pStyle w:val="SCCNormalDoubleSpacing"/>
        <w:spacing w:before="480" w:after="480"/>
        <w:rPr>
          <w:lang w:val="fr-CA"/>
        </w:rPr>
      </w:pPr>
      <w:r w:rsidRPr="00FB1170">
        <w:rPr>
          <w:lang w:val="fr-CA"/>
        </w:rPr>
        <w:t>Citée par la juge Côté</w:t>
      </w:r>
    </w:p>
    <w:p w:rsidR="00446537" w:rsidRPr="00BF43A6" w:rsidRDefault="00446537" w:rsidP="00446537">
      <w:pPr>
        <w:pStyle w:val="SCCNormalDoubleSpacing"/>
        <w:spacing w:before="480" w:after="480"/>
        <w:rPr>
          <w:lang w:val="en-US"/>
        </w:rPr>
      </w:pPr>
      <w:r w:rsidRPr="00FB1170">
        <w:rPr>
          <w:lang w:val="fr-CA"/>
        </w:rPr>
        <w:tab/>
      </w:r>
      <w:r w:rsidR="00483A3E" w:rsidRPr="00483A3E">
        <w:rPr>
          <w:b/>
          <w:lang w:val="fr-CA"/>
        </w:rPr>
        <w:t>Arrêts mentionnés :</w:t>
      </w:r>
      <w:r w:rsidR="00483A3E">
        <w:rPr>
          <w:lang w:val="fr-CA"/>
        </w:rPr>
        <w:t xml:space="preserve"> </w:t>
      </w:r>
      <w:proofErr w:type="spellStart"/>
      <w:r w:rsidRPr="00FB1170">
        <w:rPr>
          <w:i/>
          <w:lang w:val="fr-CA"/>
        </w:rPr>
        <w:t>Browne</w:t>
      </w:r>
      <w:proofErr w:type="spellEnd"/>
      <w:r w:rsidRPr="00FB1170">
        <w:rPr>
          <w:i/>
          <w:lang w:val="fr-CA"/>
        </w:rPr>
        <w:t xml:space="preserve"> c. Moody</w:t>
      </w:r>
      <w:r w:rsidRPr="00FB1170">
        <w:rPr>
          <w:lang w:val="fr-CA"/>
        </w:rPr>
        <w:t xml:space="preserve">, [1936] 4 D.L.R. 1; </w:t>
      </w:r>
      <w:r w:rsidRPr="00FB1170">
        <w:rPr>
          <w:i/>
          <w:lang w:val="fr-CA"/>
        </w:rPr>
        <w:t>National Trust Co. c. Fleury</w:t>
      </w:r>
      <w:r w:rsidRPr="00FB1170">
        <w:rPr>
          <w:lang w:val="fr-CA"/>
        </w:rPr>
        <w:t xml:space="preserve">, [1965] R.C.S. 817; </w:t>
      </w:r>
      <w:proofErr w:type="spellStart"/>
      <w:r w:rsidRPr="00FB1170">
        <w:rPr>
          <w:i/>
          <w:lang w:val="fr-CA"/>
        </w:rPr>
        <w:t>Tataryn</w:t>
      </w:r>
      <w:proofErr w:type="spellEnd"/>
      <w:r w:rsidRPr="00FB1170">
        <w:rPr>
          <w:i/>
          <w:lang w:val="fr-CA"/>
        </w:rPr>
        <w:t xml:space="preserve"> c. Succession </w:t>
      </w:r>
      <w:proofErr w:type="spellStart"/>
      <w:r w:rsidRPr="00FB1170">
        <w:rPr>
          <w:i/>
          <w:lang w:val="fr-CA"/>
        </w:rPr>
        <w:t>Tataryn</w:t>
      </w:r>
      <w:proofErr w:type="spellEnd"/>
      <w:r w:rsidRPr="00FB1170">
        <w:rPr>
          <w:lang w:val="fr-CA"/>
        </w:rPr>
        <w:t xml:space="preserve">, [1994] 2 R.C.S. 807; </w:t>
      </w:r>
      <w:proofErr w:type="spellStart"/>
      <w:r w:rsidRPr="00FB1170">
        <w:rPr>
          <w:i/>
          <w:lang w:val="fr-CA"/>
        </w:rPr>
        <w:t>Re</w:t>
      </w:r>
      <w:proofErr w:type="spellEnd"/>
      <w:r w:rsidRPr="00FB1170">
        <w:rPr>
          <w:i/>
          <w:lang w:val="fr-CA"/>
        </w:rPr>
        <w:t xml:space="preserve"> Burke</w:t>
      </w:r>
      <w:r w:rsidRPr="00FB1170">
        <w:rPr>
          <w:lang w:val="fr-CA"/>
        </w:rPr>
        <w:t xml:space="preserve"> (1959), 20 D.L.R. (2d) 396; </w:t>
      </w:r>
      <w:r w:rsidRPr="00FB1170">
        <w:rPr>
          <w:i/>
          <w:lang w:val="fr-CA"/>
        </w:rPr>
        <w:t xml:space="preserve">Gunn </w:t>
      </w:r>
      <w:proofErr w:type="spellStart"/>
      <w:r w:rsidRPr="00FB1170">
        <w:rPr>
          <w:i/>
          <w:lang w:val="fr-CA"/>
        </w:rPr>
        <w:t>Estate</w:t>
      </w:r>
      <w:proofErr w:type="spellEnd"/>
      <w:r w:rsidRPr="00FB1170">
        <w:rPr>
          <w:i/>
          <w:lang w:val="fr-CA"/>
        </w:rPr>
        <w:t xml:space="preserve">, </w:t>
      </w:r>
      <w:proofErr w:type="spellStart"/>
      <w:r w:rsidRPr="00FB1170">
        <w:rPr>
          <w:i/>
          <w:lang w:val="fr-CA"/>
        </w:rPr>
        <w:t>Re</w:t>
      </w:r>
      <w:proofErr w:type="spellEnd"/>
      <w:r w:rsidR="009B5F8D">
        <w:rPr>
          <w:lang w:val="fr-CA"/>
        </w:rPr>
        <w:t>, 2010 PECA 13, 200</w:t>
      </w:r>
      <w:r w:rsidRPr="00FB1170">
        <w:rPr>
          <w:lang w:val="fr-CA"/>
        </w:rPr>
        <w:t xml:space="preserve"> </w:t>
      </w:r>
      <w:proofErr w:type="spellStart"/>
      <w:r w:rsidRPr="00FB1170">
        <w:rPr>
          <w:lang w:val="fr-CA"/>
        </w:rPr>
        <w:t>Nfld</w:t>
      </w:r>
      <w:proofErr w:type="spellEnd"/>
      <w:r w:rsidRPr="00FB1170">
        <w:rPr>
          <w:lang w:val="fr-CA"/>
        </w:rPr>
        <w:t xml:space="preserve">. </w:t>
      </w:r>
      <w:r w:rsidRPr="00BF43A6">
        <w:rPr>
          <w:lang w:val="en-US"/>
        </w:rPr>
        <w:t xml:space="preserve">&amp; P.E.I.R. 197; </w:t>
      </w:r>
      <w:r w:rsidRPr="00BF43A6">
        <w:rPr>
          <w:i/>
          <w:lang w:val="en-US"/>
        </w:rPr>
        <w:t>Jackson Estate, Re</w:t>
      </w:r>
      <w:r w:rsidRPr="00BF43A6">
        <w:rPr>
          <w:lang w:val="en-US"/>
        </w:rPr>
        <w:t xml:space="preserve"> (2004), 192 O.A.C. 161; </w:t>
      </w:r>
      <w:r w:rsidRPr="00BF43A6">
        <w:rPr>
          <w:i/>
          <w:lang w:val="en-US"/>
        </w:rPr>
        <w:t>Re Smith</w:t>
      </w:r>
      <w:r w:rsidRPr="00BF43A6">
        <w:rPr>
          <w:lang w:val="en-US"/>
        </w:rPr>
        <w:t xml:space="preserve">, [1971] 1 O.R. 584; </w:t>
      </w:r>
      <w:r w:rsidRPr="00BF43A6">
        <w:rPr>
          <w:i/>
          <w:lang w:val="en-US"/>
        </w:rPr>
        <w:t>Cooper c. Fenwick</w:t>
      </w:r>
      <w:r w:rsidRPr="00BF43A6">
        <w:rPr>
          <w:lang w:val="en-US"/>
        </w:rPr>
        <w:t>, [1994] O.J. No. 2148 (QL).</w:t>
      </w:r>
    </w:p>
    <w:p w:rsidR="004D7D95" w:rsidRPr="0007537A" w:rsidRDefault="004D7D95" w:rsidP="00DA52B6">
      <w:pPr>
        <w:pStyle w:val="SCCNormalDoubleSpacing"/>
        <w:spacing w:after="720" w:line="240" w:lineRule="auto"/>
        <w:rPr>
          <w:b/>
          <w:lang w:val="en-US"/>
        </w:rPr>
      </w:pPr>
      <w:r w:rsidRPr="0007537A">
        <w:rPr>
          <w:b/>
          <w:lang w:val="en-US"/>
        </w:rPr>
        <w:t xml:space="preserve">Doctrine </w:t>
      </w:r>
      <w:proofErr w:type="gramStart"/>
      <w:r w:rsidRPr="0007537A">
        <w:rPr>
          <w:b/>
          <w:lang w:val="en-US"/>
        </w:rPr>
        <w:t>et</w:t>
      </w:r>
      <w:proofErr w:type="gramEnd"/>
      <w:r w:rsidRPr="0007537A">
        <w:rPr>
          <w:b/>
          <w:lang w:val="en-US"/>
        </w:rPr>
        <w:t xml:space="preserve"> </w:t>
      </w:r>
      <w:proofErr w:type="spellStart"/>
      <w:r w:rsidRPr="0007537A">
        <w:rPr>
          <w:b/>
          <w:lang w:val="en-US"/>
        </w:rPr>
        <w:t>autres</w:t>
      </w:r>
      <w:proofErr w:type="spellEnd"/>
      <w:r w:rsidRPr="0007537A">
        <w:rPr>
          <w:b/>
          <w:lang w:val="en-US"/>
        </w:rPr>
        <w:t xml:space="preserve"> documents </w:t>
      </w:r>
      <w:proofErr w:type="spellStart"/>
      <w:r w:rsidRPr="0007537A">
        <w:rPr>
          <w:b/>
          <w:lang w:val="en-US"/>
        </w:rPr>
        <w:t>cités</w:t>
      </w:r>
      <w:proofErr w:type="spellEnd"/>
    </w:p>
    <w:p w:rsidR="0041054C" w:rsidRPr="00BF43A6" w:rsidRDefault="0041054C" w:rsidP="00DA52B6">
      <w:pPr>
        <w:pStyle w:val="SCCNormalDoubleSpacing"/>
        <w:spacing w:after="240" w:line="240" w:lineRule="auto"/>
        <w:ind w:left="540" w:hanging="540"/>
        <w:rPr>
          <w:lang w:val="en-US"/>
        </w:rPr>
      </w:pPr>
      <w:r w:rsidRPr="00BF43A6">
        <w:rPr>
          <w:i/>
          <w:lang w:val="en-US"/>
        </w:rPr>
        <w:t xml:space="preserve">Anger &amp; </w:t>
      </w:r>
      <w:proofErr w:type="spellStart"/>
      <w:r w:rsidRPr="00BF43A6">
        <w:rPr>
          <w:i/>
          <w:lang w:val="en-US"/>
        </w:rPr>
        <w:t>Honsberger</w:t>
      </w:r>
      <w:proofErr w:type="spellEnd"/>
      <w:r w:rsidRPr="00BF43A6">
        <w:rPr>
          <w:i/>
          <w:lang w:val="en-US"/>
        </w:rPr>
        <w:t xml:space="preserve"> Law of Real Property</w:t>
      </w:r>
      <w:r w:rsidRPr="00BF43A6">
        <w:rPr>
          <w:lang w:val="en-US"/>
        </w:rPr>
        <w:t>, 3rd ed. by Anne Warner La Forest, Aurora (Ont.), Canada Law Book, 2006 (loose</w:t>
      </w:r>
      <w:r w:rsidR="00657141" w:rsidRPr="00BF43A6">
        <w:rPr>
          <w:lang w:val="en-US"/>
        </w:rPr>
        <w:noBreakHyphen/>
      </w:r>
      <w:r w:rsidRPr="00BF43A6">
        <w:rPr>
          <w:lang w:val="en-US"/>
        </w:rPr>
        <w:t>leaf updated December 2016, release 17).</w:t>
      </w:r>
    </w:p>
    <w:p w:rsidR="0041054C" w:rsidRPr="00BF43A6" w:rsidRDefault="0041054C" w:rsidP="00DA52B6">
      <w:pPr>
        <w:pStyle w:val="SCCNormalDoubleSpacing"/>
        <w:spacing w:after="240" w:line="240" w:lineRule="auto"/>
        <w:ind w:left="540" w:hanging="540"/>
        <w:rPr>
          <w:lang w:val="en-US"/>
        </w:rPr>
      </w:pPr>
      <w:r w:rsidRPr="00BF43A6">
        <w:rPr>
          <w:lang w:val="en-US"/>
        </w:rPr>
        <w:t xml:space="preserve">Bright, Susan, and Ben McFarlane. « Proprietary Estoppel and Property Rights » (2005), 64 </w:t>
      </w:r>
      <w:r w:rsidRPr="00BF43A6">
        <w:rPr>
          <w:i/>
          <w:lang w:val="en-US"/>
        </w:rPr>
        <w:t>Cambridge L.J.</w:t>
      </w:r>
      <w:r w:rsidRPr="00BF43A6">
        <w:rPr>
          <w:lang w:val="en-US"/>
        </w:rPr>
        <w:t xml:space="preserve"> 449.</w:t>
      </w:r>
    </w:p>
    <w:p w:rsidR="001B533C" w:rsidRPr="00BF43A6" w:rsidRDefault="001B533C" w:rsidP="00DA52B6">
      <w:pPr>
        <w:pStyle w:val="SCCNormalDoubleSpacing"/>
        <w:spacing w:after="240" w:line="240" w:lineRule="auto"/>
        <w:ind w:left="540" w:hanging="540"/>
        <w:rPr>
          <w:lang w:val="en-US"/>
        </w:rPr>
      </w:pPr>
      <w:r w:rsidRPr="00BF43A6">
        <w:rPr>
          <w:i/>
          <w:lang w:val="en-US"/>
        </w:rPr>
        <w:t>Feeney’s Canadian Law of Wills</w:t>
      </w:r>
      <w:r w:rsidRPr="00BF43A6">
        <w:rPr>
          <w:lang w:val="en-US"/>
        </w:rPr>
        <w:t>, 4th ed. by James MacKenzie, Toronto, Butterworths, 2000 (loose</w:t>
      </w:r>
      <w:r w:rsidR="00657141" w:rsidRPr="00BF43A6">
        <w:rPr>
          <w:lang w:val="en-US"/>
        </w:rPr>
        <w:noBreakHyphen/>
      </w:r>
      <w:r w:rsidRPr="00BF43A6">
        <w:rPr>
          <w:lang w:val="en-US"/>
        </w:rPr>
        <w:t>leaf updated September 2016, issue 64).</w:t>
      </w:r>
    </w:p>
    <w:p w:rsidR="0041054C" w:rsidRPr="00BF43A6" w:rsidRDefault="0041054C" w:rsidP="00DA52B6">
      <w:pPr>
        <w:pStyle w:val="SCCNormalDoubleSpacing"/>
        <w:spacing w:after="240" w:line="240" w:lineRule="auto"/>
        <w:ind w:left="540" w:hanging="540"/>
        <w:rPr>
          <w:lang w:val="en-US"/>
        </w:rPr>
      </w:pPr>
      <w:r w:rsidRPr="00BF43A6">
        <w:rPr>
          <w:lang w:val="en-US"/>
        </w:rPr>
        <w:t xml:space="preserve">Gardner, Simon. « The Remedial Discretion in Proprietary Estoppel — Again » (2006), 122 </w:t>
      </w:r>
      <w:r w:rsidRPr="00BF43A6">
        <w:rPr>
          <w:i/>
          <w:lang w:val="en-US"/>
        </w:rPr>
        <w:t>L.Q.R.</w:t>
      </w:r>
      <w:r w:rsidRPr="00BF43A6">
        <w:rPr>
          <w:lang w:val="en-US"/>
        </w:rPr>
        <w:t xml:space="preserve"> 492.</w:t>
      </w:r>
    </w:p>
    <w:p w:rsidR="0041054C" w:rsidRPr="00BF43A6" w:rsidRDefault="0012490E" w:rsidP="00DA52B6">
      <w:pPr>
        <w:pStyle w:val="SCCNormalDoubleSpacing"/>
        <w:spacing w:after="240" w:line="240" w:lineRule="auto"/>
        <w:ind w:left="540" w:hanging="540"/>
        <w:rPr>
          <w:lang w:val="en-US"/>
        </w:rPr>
      </w:pPr>
      <w:r w:rsidRPr="00BF43A6">
        <w:rPr>
          <w:lang w:val="en-US"/>
        </w:rPr>
        <w:t xml:space="preserve">Gray, Kevin, and Susan Francis Gray. </w:t>
      </w:r>
      <w:r w:rsidRPr="00BF43A6">
        <w:rPr>
          <w:i/>
          <w:lang w:val="en-US"/>
        </w:rPr>
        <w:t>Land Law</w:t>
      </w:r>
      <w:r w:rsidRPr="00BF43A6">
        <w:rPr>
          <w:lang w:val="en-US"/>
        </w:rPr>
        <w:t>, 5th ed., Oxfor</w:t>
      </w:r>
      <w:r w:rsidR="004E26EF" w:rsidRPr="00BF43A6">
        <w:rPr>
          <w:lang w:val="en-US"/>
        </w:rPr>
        <w:t>d, Oxford University Press, 2007</w:t>
      </w:r>
      <w:r w:rsidRPr="00BF43A6">
        <w:rPr>
          <w:lang w:val="en-US"/>
        </w:rPr>
        <w:t>.</w:t>
      </w:r>
    </w:p>
    <w:p w:rsidR="001B533C" w:rsidRPr="00BF43A6" w:rsidRDefault="0041054C" w:rsidP="00DA52B6">
      <w:pPr>
        <w:pStyle w:val="SCCNormalDoubleSpacing"/>
        <w:spacing w:after="240" w:line="240" w:lineRule="auto"/>
        <w:ind w:left="540" w:hanging="540"/>
        <w:rPr>
          <w:lang w:val="en-US"/>
        </w:rPr>
      </w:pPr>
      <w:r w:rsidRPr="00BF43A6">
        <w:rPr>
          <w:lang w:val="en-US"/>
        </w:rPr>
        <w:t xml:space="preserve">MacDougall, Bruce. </w:t>
      </w:r>
      <w:r w:rsidRPr="00BF43A6">
        <w:rPr>
          <w:i/>
          <w:lang w:val="en-US"/>
        </w:rPr>
        <w:t>Estoppel</w:t>
      </w:r>
      <w:r w:rsidRPr="00BF43A6">
        <w:rPr>
          <w:lang w:val="en-US"/>
        </w:rPr>
        <w:t>, Markham (Ont.), LexisNexis, 2012.</w:t>
      </w:r>
    </w:p>
    <w:p w:rsidR="0041054C" w:rsidRPr="00BF43A6" w:rsidRDefault="0041054C" w:rsidP="00DA52B6">
      <w:pPr>
        <w:pStyle w:val="SCCNormalDoubleSpacing"/>
        <w:spacing w:after="240" w:line="240" w:lineRule="auto"/>
        <w:ind w:left="540" w:hanging="540"/>
        <w:rPr>
          <w:lang w:val="en-US"/>
        </w:rPr>
      </w:pPr>
      <w:r w:rsidRPr="00BF43A6">
        <w:rPr>
          <w:lang w:val="en-US"/>
        </w:rPr>
        <w:lastRenderedPageBreak/>
        <w:t xml:space="preserve">McFarlane, Ben. </w:t>
      </w:r>
      <w:r w:rsidRPr="00BF43A6">
        <w:rPr>
          <w:i/>
          <w:lang w:val="en-US"/>
        </w:rPr>
        <w:t>The Law of Proprietary Estoppel</w:t>
      </w:r>
      <w:r w:rsidRPr="00BF43A6">
        <w:rPr>
          <w:lang w:val="en-US"/>
        </w:rPr>
        <w:t>, Oxford, Oxford University Press, 2014.</w:t>
      </w:r>
    </w:p>
    <w:p w:rsidR="0041054C" w:rsidRPr="00BF43A6" w:rsidRDefault="0041054C" w:rsidP="00DA52B6">
      <w:pPr>
        <w:pStyle w:val="SCCNormalDoubleSpacing"/>
        <w:spacing w:after="240" w:line="240" w:lineRule="auto"/>
        <w:ind w:left="540" w:hanging="540"/>
        <w:rPr>
          <w:lang w:val="en-US"/>
        </w:rPr>
      </w:pPr>
      <w:proofErr w:type="spellStart"/>
      <w:r w:rsidRPr="00BF43A6">
        <w:rPr>
          <w:lang w:val="en-US"/>
        </w:rPr>
        <w:t>Megarry</w:t>
      </w:r>
      <w:proofErr w:type="spellEnd"/>
      <w:r w:rsidRPr="00BF43A6">
        <w:rPr>
          <w:lang w:val="en-US"/>
        </w:rPr>
        <w:t xml:space="preserve">, Robert, and William Wade. </w:t>
      </w:r>
      <w:r w:rsidRPr="00BF43A6">
        <w:rPr>
          <w:i/>
          <w:lang w:val="en-US"/>
        </w:rPr>
        <w:t>The Law of Real Property</w:t>
      </w:r>
      <w:r w:rsidRPr="00BF43A6">
        <w:rPr>
          <w:lang w:val="en-US"/>
        </w:rPr>
        <w:t xml:space="preserve">, 8th ed. by Charles </w:t>
      </w:r>
      <w:proofErr w:type="spellStart"/>
      <w:r w:rsidRPr="00BF43A6">
        <w:rPr>
          <w:lang w:val="en-US"/>
        </w:rPr>
        <w:t>Harpum</w:t>
      </w:r>
      <w:proofErr w:type="spellEnd"/>
      <w:r w:rsidRPr="00BF43A6">
        <w:rPr>
          <w:lang w:val="en-US"/>
        </w:rPr>
        <w:t>, Stuart Bridge and Martin Dixon, London, Sweet &amp; Maxwell, 2012.</w:t>
      </w:r>
    </w:p>
    <w:p w:rsidR="0041054C" w:rsidRPr="00BF43A6" w:rsidRDefault="0041054C" w:rsidP="00DA52B6">
      <w:pPr>
        <w:pStyle w:val="SCCNormalDoubleSpacing"/>
        <w:spacing w:after="240" w:line="240" w:lineRule="auto"/>
        <w:ind w:left="540" w:hanging="540"/>
        <w:rPr>
          <w:lang w:val="en-US"/>
        </w:rPr>
      </w:pPr>
      <w:r w:rsidRPr="00BF43A6">
        <w:rPr>
          <w:lang w:val="en-US"/>
        </w:rPr>
        <w:t xml:space="preserve">Ship, Adam. « The Primacy of Expectancy in Estoppel </w:t>
      </w:r>
      <w:proofErr w:type="gramStart"/>
      <w:r w:rsidRPr="00BF43A6">
        <w:rPr>
          <w:lang w:val="en-US"/>
        </w:rPr>
        <w:t>Remedies</w:t>
      </w:r>
      <w:r w:rsidR="00657141" w:rsidRPr="00BF43A6">
        <w:rPr>
          <w:lang w:val="en-US"/>
        </w:rPr>
        <w:t> :</w:t>
      </w:r>
      <w:proofErr w:type="gramEnd"/>
      <w:r w:rsidRPr="00BF43A6">
        <w:rPr>
          <w:lang w:val="en-US"/>
        </w:rPr>
        <w:t xml:space="preserve"> An Historical and Empirical Analysis » (2008), 46 </w:t>
      </w:r>
      <w:r w:rsidRPr="00BF43A6">
        <w:rPr>
          <w:i/>
          <w:lang w:val="en-US"/>
        </w:rPr>
        <w:t>Alta. L. Rev.</w:t>
      </w:r>
      <w:r w:rsidRPr="00BF43A6">
        <w:rPr>
          <w:lang w:val="en-US"/>
        </w:rPr>
        <w:t xml:space="preserve"> 77.</w:t>
      </w:r>
    </w:p>
    <w:p w:rsidR="0041054C" w:rsidRPr="00BF43A6" w:rsidRDefault="0041054C" w:rsidP="00DA52B6">
      <w:pPr>
        <w:pStyle w:val="SCCNormalDoubleSpacing"/>
        <w:spacing w:after="240" w:line="240" w:lineRule="auto"/>
        <w:ind w:left="540" w:hanging="540"/>
        <w:rPr>
          <w:lang w:val="en-US"/>
        </w:rPr>
      </w:pPr>
      <w:r w:rsidRPr="00BF43A6">
        <w:rPr>
          <w:i/>
          <w:lang w:val="en-US"/>
        </w:rPr>
        <w:t>Snell’s Equity</w:t>
      </w:r>
      <w:r w:rsidRPr="00BF43A6">
        <w:rPr>
          <w:lang w:val="en-US"/>
        </w:rPr>
        <w:t>, 33rd ed. by John McGhee, London, Sweet &amp; Maxwell, 2015.</w:t>
      </w:r>
    </w:p>
    <w:p w:rsidR="00DF4721" w:rsidRPr="00BF43A6" w:rsidRDefault="00DF4721" w:rsidP="00DA52B6">
      <w:pPr>
        <w:pStyle w:val="SCCNormalDoubleSpacing"/>
        <w:spacing w:after="240" w:line="240" w:lineRule="auto"/>
        <w:ind w:left="540" w:hanging="540"/>
        <w:rPr>
          <w:lang w:val="en-US"/>
        </w:rPr>
      </w:pPr>
      <w:proofErr w:type="spellStart"/>
      <w:r w:rsidRPr="00BF43A6">
        <w:rPr>
          <w:i/>
          <w:lang w:val="en-US"/>
        </w:rPr>
        <w:t>Widdifield</w:t>
      </w:r>
      <w:proofErr w:type="spellEnd"/>
      <w:r w:rsidRPr="00BF43A6">
        <w:rPr>
          <w:i/>
          <w:lang w:val="en-US"/>
        </w:rPr>
        <w:t xml:space="preserve"> on Executors and Trustees</w:t>
      </w:r>
      <w:r w:rsidRPr="00BF43A6">
        <w:rPr>
          <w:lang w:val="en-US"/>
        </w:rPr>
        <w:t>, 6th ed. by Carmen S. Thériault, Scarborough (Ont.), Carswell, 2002 (loose</w:t>
      </w:r>
      <w:r w:rsidR="00657141" w:rsidRPr="00BF43A6">
        <w:rPr>
          <w:lang w:val="en-US"/>
        </w:rPr>
        <w:noBreakHyphen/>
      </w:r>
      <w:r w:rsidRPr="00BF43A6">
        <w:rPr>
          <w:lang w:val="en-US"/>
        </w:rPr>
        <w:t>leaf updated 2012, release 2).</w:t>
      </w:r>
    </w:p>
    <w:p w:rsidR="0041054C" w:rsidRPr="00BF43A6" w:rsidRDefault="0041054C" w:rsidP="00DA52B6">
      <w:pPr>
        <w:pStyle w:val="SCCNormalDoubleSpacing"/>
        <w:spacing w:after="720" w:line="240" w:lineRule="auto"/>
        <w:ind w:left="547" w:hanging="547"/>
        <w:rPr>
          <w:lang w:val="en-US"/>
        </w:rPr>
      </w:pPr>
      <w:r w:rsidRPr="00BF43A6">
        <w:rPr>
          <w:lang w:val="en-US"/>
        </w:rPr>
        <w:t xml:space="preserve">Wilken, Sean, and Karim </w:t>
      </w:r>
      <w:proofErr w:type="spellStart"/>
      <w:r w:rsidRPr="00BF43A6">
        <w:rPr>
          <w:lang w:val="en-US"/>
        </w:rPr>
        <w:t>Ghaly</w:t>
      </w:r>
      <w:proofErr w:type="spellEnd"/>
      <w:r w:rsidRPr="00BF43A6">
        <w:rPr>
          <w:lang w:val="en-US"/>
        </w:rPr>
        <w:t xml:space="preserve">. </w:t>
      </w:r>
      <w:r w:rsidRPr="00BF43A6">
        <w:rPr>
          <w:i/>
          <w:lang w:val="en-US"/>
        </w:rPr>
        <w:t>The Law of Waiver, Variation, and Estoppel</w:t>
      </w:r>
      <w:r w:rsidRPr="00BF43A6">
        <w:rPr>
          <w:lang w:val="en-US"/>
        </w:rPr>
        <w:t>, 3rd ed., New York, Oxford University Press, 2012.</w:t>
      </w:r>
    </w:p>
    <w:p w:rsidR="004D7D95" w:rsidRPr="00FB1170" w:rsidRDefault="004D7D95" w:rsidP="00DA52B6">
      <w:pPr>
        <w:pStyle w:val="SCCNormalDoubleSpacing"/>
        <w:spacing w:after="480"/>
        <w:rPr>
          <w:lang w:val="fr-CA"/>
        </w:rPr>
      </w:pPr>
      <w:r w:rsidRPr="00BF43A6">
        <w:rPr>
          <w:lang w:val="en-US"/>
        </w:rPr>
        <w:tab/>
        <w:t xml:space="preserve">POURVOI </w:t>
      </w:r>
      <w:proofErr w:type="spellStart"/>
      <w:r w:rsidRPr="00BF43A6">
        <w:rPr>
          <w:lang w:val="en-US"/>
        </w:rPr>
        <w:t>contre</w:t>
      </w:r>
      <w:proofErr w:type="spellEnd"/>
      <w:r w:rsidRPr="00BF43A6">
        <w:rPr>
          <w:lang w:val="en-US"/>
        </w:rPr>
        <w:t xml:space="preserve"> un </w:t>
      </w:r>
      <w:proofErr w:type="spellStart"/>
      <w:r w:rsidRPr="00BF43A6">
        <w:rPr>
          <w:lang w:val="en-US"/>
        </w:rPr>
        <w:t>arrêt</w:t>
      </w:r>
      <w:proofErr w:type="spellEnd"/>
      <w:r w:rsidRPr="00BF43A6">
        <w:rPr>
          <w:lang w:val="en-US"/>
        </w:rPr>
        <w:t xml:space="preserve"> de la Cour d</w:t>
      </w:r>
      <w:r w:rsidR="001A0CBA" w:rsidRPr="00BF43A6">
        <w:rPr>
          <w:lang w:val="en-US"/>
        </w:rPr>
        <w:t>’</w:t>
      </w:r>
      <w:r w:rsidRPr="00BF43A6">
        <w:rPr>
          <w:lang w:val="en-US"/>
        </w:rPr>
        <w:t>appel de la Colombie</w:t>
      </w:r>
      <w:r w:rsidR="00657141" w:rsidRPr="00BF43A6">
        <w:rPr>
          <w:lang w:val="en-US"/>
        </w:rPr>
        <w:noBreakHyphen/>
      </w:r>
      <w:r w:rsidRPr="00BF43A6">
        <w:rPr>
          <w:lang w:val="en-US"/>
        </w:rPr>
        <w:t xml:space="preserve">Britannique </w:t>
      </w:r>
      <w:r w:rsidR="00CB373B" w:rsidRPr="00BF43A6">
        <w:rPr>
          <w:lang w:val="en-US"/>
        </w:rPr>
        <w:t xml:space="preserve">(les juges Saunders, Smith et </w:t>
      </w:r>
      <w:proofErr w:type="spellStart"/>
      <w:r w:rsidR="00CB373B" w:rsidRPr="00BF43A6">
        <w:rPr>
          <w:lang w:val="en-US"/>
        </w:rPr>
        <w:t>Willcock</w:t>
      </w:r>
      <w:proofErr w:type="spellEnd"/>
      <w:r w:rsidR="00CB373B" w:rsidRPr="00BF43A6">
        <w:rPr>
          <w:lang w:val="en-US"/>
        </w:rPr>
        <w:t>), 2016 BCCA 200, 400 D.L.R. (4th) 579, 386 B.C.A.C. 287, 667 W.A.C. 287, [2016] 10 W.W.R. 497, 19 E.T.R. (4th) 225, 87 B.C.L.</w:t>
      </w:r>
      <w:r w:rsidR="00657141" w:rsidRPr="00BF43A6">
        <w:rPr>
          <w:lang w:val="en-US"/>
        </w:rPr>
        <w:t>R. (5th) 273, [2016] B.C.J. No. </w:t>
      </w:r>
      <w:r w:rsidR="00CB373B" w:rsidRPr="00BF43A6">
        <w:rPr>
          <w:lang w:val="en-US"/>
        </w:rPr>
        <w:t xml:space="preserve">927 (QL), 2016 </w:t>
      </w:r>
      <w:proofErr w:type="spellStart"/>
      <w:r w:rsidR="00CB373B" w:rsidRPr="00BF43A6">
        <w:rPr>
          <w:lang w:val="en-US"/>
        </w:rPr>
        <w:t>CarswellBC</w:t>
      </w:r>
      <w:proofErr w:type="spellEnd"/>
      <w:r w:rsidR="00CB373B" w:rsidRPr="00BF43A6">
        <w:rPr>
          <w:lang w:val="en-US"/>
        </w:rPr>
        <w:t xml:space="preserve"> 1238 (WL Can.), </w:t>
      </w:r>
      <w:r w:rsidR="007A343E" w:rsidRPr="00BF43A6">
        <w:rPr>
          <w:lang w:val="en-US"/>
        </w:rPr>
        <w:t xml:space="preserve">qui a </w:t>
      </w:r>
      <w:proofErr w:type="spellStart"/>
      <w:r w:rsidR="007A343E" w:rsidRPr="00BF43A6">
        <w:rPr>
          <w:lang w:val="en-US"/>
        </w:rPr>
        <w:t>infi</w:t>
      </w:r>
      <w:r w:rsidR="00CB373B" w:rsidRPr="00BF43A6">
        <w:rPr>
          <w:lang w:val="en-US"/>
        </w:rPr>
        <w:t>rmé</w:t>
      </w:r>
      <w:proofErr w:type="spellEnd"/>
      <w:r w:rsidR="00CB373B" w:rsidRPr="00BF43A6">
        <w:rPr>
          <w:lang w:val="en-US"/>
        </w:rPr>
        <w:t xml:space="preserve"> </w:t>
      </w:r>
      <w:proofErr w:type="spellStart"/>
      <w:r w:rsidR="00CB373B" w:rsidRPr="00BF43A6">
        <w:rPr>
          <w:lang w:val="en-US"/>
        </w:rPr>
        <w:t>en</w:t>
      </w:r>
      <w:proofErr w:type="spellEnd"/>
      <w:r w:rsidR="00CB373B" w:rsidRPr="00BF43A6">
        <w:rPr>
          <w:lang w:val="en-US"/>
        </w:rPr>
        <w:t xml:space="preserve"> </w:t>
      </w:r>
      <w:proofErr w:type="spellStart"/>
      <w:r w:rsidR="00CB373B" w:rsidRPr="00BF43A6">
        <w:rPr>
          <w:lang w:val="en-US"/>
        </w:rPr>
        <w:t>partie</w:t>
      </w:r>
      <w:proofErr w:type="spellEnd"/>
      <w:r w:rsidR="00CB373B" w:rsidRPr="00BF43A6">
        <w:rPr>
          <w:lang w:val="en-US"/>
        </w:rPr>
        <w:t xml:space="preserve"> </w:t>
      </w:r>
      <w:proofErr w:type="spellStart"/>
      <w:r w:rsidR="00CB373B" w:rsidRPr="00BF43A6">
        <w:rPr>
          <w:lang w:val="en-US"/>
        </w:rPr>
        <w:t>une</w:t>
      </w:r>
      <w:proofErr w:type="spellEnd"/>
      <w:r w:rsidR="00CB373B" w:rsidRPr="00BF43A6">
        <w:rPr>
          <w:lang w:val="en-US"/>
        </w:rPr>
        <w:t xml:space="preserve"> </w:t>
      </w:r>
      <w:proofErr w:type="spellStart"/>
      <w:r w:rsidR="00CB373B" w:rsidRPr="00BF43A6">
        <w:rPr>
          <w:lang w:val="en-US"/>
        </w:rPr>
        <w:t>décision</w:t>
      </w:r>
      <w:proofErr w:type="spellEnd"/>
      <w:r w:rsidR="00CB373B" w:rsidRPr="00BF43A6">
        <w:rPr>
          <w:lang w:val="en-US"/>
        </w:rPr>
        <w:t xml:space="preserve"> de la </w:t>
      </w:r>
      <w:proofErr w:type="spellStart"/>
      <w:r w:rsidR="00CB373B" w:rsidRPr="00BF43A6">
        <w:rPr>
          <w:lang w:val="en-US"/>
        </w:rPr>
        <w:t>juge</w:t>
      </w:r>
      <w:proofErr w:type="spellEnd"/>
      <w:r w:rsidR="00CB373B" w:rsidRPr="00BF43A6">
        <w:rPr>
          <w:lang w:val="en-US"/>
        </w:rPr>
        <w:t xml:space="preserve"> Brown, 2015 BCSC 1170, 10 E.T.R. (4th) 218, [2015] B.C.J. </w:t>
      </w:r>
      <w:r w:rsidR="00657141" w:rsidRPr="00BF43A6">
        <w:rPr>
          <w:lang w:val="en-US"/>
        </w:rPr>
        <w:t>No. </w:t>
      </w:r>
      <w:r w:rsidR="00CB373B" w:rsidRPr="00BF43A6">
        <w:rPr>
          <w:lang w:val="en-US"/>
        </w:rPr>
        <w:t xml:space="preserve">1428 (QL), 2015 </w:t>
      </w:r>
      <w:proofErr w:type="spellStart"/>
      <w:r w:rsidR="00CB373B" w:rsidRPr="00BF43A6">
        <w:rPr>
          <w:lang w:val="en-US"/>
        </w:rPr>
        <w:t>CarswellBC</w:t>
      </w:r>
      <w:proofErr w:type="spellEnd"/>
      <w:r w:rsidR="00CB373B" w:rsidRPr="00BF43A6">
        <w:rPr>
          <w:lang w:val="en-US"/>
        </w:rPr>
        <w:t xml:space="preserve"> 1871 (WL Can.). </w:t>
      </w:r>
      <w:r w:rsidR="00CB373B" w:rsidRPr="00FB1170">
        <w:rPr>
          <w:lang w:val="fr-CA"/>
        </w:rPr>
        <w:t xml:space="preserve">Pourvoi </w:t>
      </w:r>
      <w:r w:rsidR="00FB1170" w:rsidRPr="00FB1170">
        <w:rPr>
          <w:lang w:val="fr-CA"/>
        </w:rPr>
        <w:t>accueilli</w:t>
      </w:r>
      <w:r w:rsidR="00CB373B" w:rsidRPr="00FB1170">
        <w:rPr>
          <w:lang w:val="fr-CA"/>
        </w:rPr>
        <w:t>.</w:t>
      </w:r>
    </w:p>
    <w:p w:rsidR="00631C00" w:rsidRPr="00FB1170" w:rsidRDefault="006C3EDA" w:rsidP="00657141">
      <w:pPr>
        <w:pStyle w:val="SCCNormalDoubleSpacing"/>
        <w:spacing w:before="480" w:after="480"/>
        <w:rPr>
          <w:lang w:val="fr-CA"/>
        </w:rPr>
      </w:pPr>
      <w:r w:rsidRPr="00FB1170">
        <w:rPr>
          <w:rStyle w:val="SCCCounselNameChar"/>
          <w:lang w:val="fr-CA"/>
        </w:rPr>
        <w:tab/>
        <w:t>G.</w:t>
      </w:r>
      <w:r w:rsidR="00657141" w:rsidRPr="00FB1170">
        <w:rPr>
          <w:rStyle w:val="SCCCounselNameChar"/>
          <w:lang w:val="fr-CA"/>
        </w:rPr>
        <w:t> </w:t>
      </w:r>
      <w:r w:rsidRPr="00FB1170">
        <w:rPr>
          <w:rStyle w:val="SCCCounselNameChar"/>
          <w:lang w:val="fr-CA"/>
        </w:rPr>
        <w:t>Darren Williams</w:t>
      </w:r>
      <w:r w:rsidR="00315190" w:rsidRPr="00FB1170">
        <w:rPr>
          <w:rStyle w:val="SCCCounselNameChar"/>
          <w:i w:val="0"/>
          <w:lang w:val="fr-CA"/>
        </w:rPr>
        <w:t xml:space="preserve">, </w:t>
      </w:r>
      <w:r w:rsidRPr="00FB1170">
        <w:rPr>
          <w:rStyle w:val="SCCCounselNameChar"/>
          <w:lang w:val="fr-CA"/>
        </w:rPr>
        <w:t xml:space="preserve">Ellen </w:t>
      </w:r>
      <w:proofErr w:type="spellStart"/>
      <w:r w:rsidRPr="00FB1170">
        <w:rPr>
          <w:rStyle w:val="SCCCounselNameChar"/>
          <w:lang w:val="fr-CA"/>
        </w:rPr>
        <w:t>Vandergrift</w:t>
      </w:r>
      <w:proofErr w:type="spellEnd"/>
      <w:r w:rsidR="00315190" w:rsidRPr="00FB1170">
        <w:rPr>
          <w:rStyle w:val="SCCCounselNameChar"/>
          <w:lang w:val="fr-CA"/>
        </w:rPr>
        <w:t xml:space="preserve"> </w:t>
      </w:r>
      <w:r w:rsidR="00315190" w:rsidRPr="00FB1170">
        <w:rPr>
          <w:rStyle w:val="SCCCounselNameChar"/>
          <w:i w:val="0"/>
          <w:lang w:val="fr-CA"/>
        </w:rPr>
        <w:t xml:space="preserve">et </w:t>
      </w:r>
      <w:r w:rsidR="00315190" w:rsidRPr="00FB1170">
        <w:rPr>
          <w:rStyle w:val="SCCCounselNameChar"/>
          <w:lang w:val="fr-CA"/>
        </w:rPr>
        <w:t>Moira Dillon</w:t>
      </w:r>
      <w:r w:rsidRPr="00FB1170">
        <w:rPr>
          <w:rStyle w:val="SCCCounselPartyRoleChar"/>
          <w:lang w:val="fr-CA"/>
        </w:rPr>
        <w:t>, pour l</w:t>
      </w:r>
      <w:r w:rsidR="001A0CBA" w:rsidRPr="00FB1170">
        <w:rPr>
          <w:rStyle w:val="SCCCounselPartyRoleChar"/>
          <w:lang w:val="fr-CA"/>
        </w:rPr>
        <w:t>’</w:t>
      </w:r>
      <w:r w:rsidR="00315190" w:rsidRPr="00FB1170">
        <w:rPr>
          <w:rStyle w:val="SCCCounselPartyRoleChar"/>
          <w:lang w:val="fr-CA"/>
        </w:rPr>
        <w:t>appelant</w:t>
      </w:r>
      <w:r w:rsidRPr="00FB1170">
        <w:rPr>
          <w:rStyle w:val="SCCCounselPartyRoleChar"/>
          <w:lang w:val="fr-CA"/>
        </w:rPr>
        <w:t>.</w:t>
      </w:r>
    </w:p>
    <w:p w:rsidR="00631C00" w:rsidRDefault="006C3EDA" w:rsidP="00657141">
      <w:pPr>
        <w:pStyle w:val="SCCNormalDoubleSpacing"/>
        <w:spacing w:before="480" w:after="480"/>
        <w:rPr>
          <w:rStyle w:val="SCCCounselPartyRoleChar"/>
          <w:lang w:val="fr-CA"/>
        </w:rPr>
      </w:pPr>
      <w:r w:rsidRPr="00FB1170">
        <w:rPr>
          <w:rStyle w:val="SCCCounselNameChar"/>
          <w:lang w:val="fr-CA"/>
        </w:rPr>
        <w:tab/>
        <w:t>Claire</w:t>
      </w:r>
      <w:r w:rsidR="00657141" w:rsidRPr="00FB1170">
        <w:rPr>
          <w:rStyle w:val="SCCCounselNameChar"/>
          <w:lang w:val="fr-CA"/>
        </w:rPr>
        <w:t> </w:t>
      </w:r>
      <w:r w:rsidRPr="00FB1170">
        <w:rPr>
          <w:rStyle w:val="SCCCounselNameChar"/>
          <w:lang w:val="fr-CA"/>
        </w:rPr>
        <w:t>E. Hunter</w:t>
      </w:r>
      <w:r w:rsidR="00315190" w:rsidRPr="00FB1170">
        <w:rPr>
          <w:rStyle w:val="SCCCounselSeparatorChar"/>
          <w:lang w:val="fr-CA"/>
        </w:rPr>
        <w:t xml:space="preserve"> et</w:t>
      </w:r>
      <w:r w:rsidRPr="00FB1170">
        <w:rPr>
          <w:rStyle w:val="SCCCounselSeparatorChar"/>
          <w:lang w:val="fr-CA"/>
        </w:rPr>
        <w:t xml:space="preserve"> </w:t>
      </w:r>
      <w:r w:rsidRPr="00FB1170">
        <w:rPr>
          <w:rStyle w:val="SCCCounselNameChar"/>
          <w:lang w:val="fr-CA"/>
        </w:rPr>
        <w:t>Ryan J.</w:t>
      </w:r>
      <w:r w:rsidR="00315190" w:rsidRPr="00FB1170">
        <w:rPr>
          <w:rStyle w:val="SCCCounselNameChar"/>
          <w:lang w:val="fr-CA"/>
        </w:rPr>
        <w:t> </w:t>
      </w:r>
      <w:r w:rsidRPr="00FB1170">
        <w:rPr>
          <w:rStyle w:val="SCCCounselNameChar"/>
          <w:lang w:val="fr-CA"/>
        </w:rPr>
        <w:t xml:space="preserve">M. </w:t>
      </w:r>
      <w:proofErr w:type="spellStart"/>
      <w:r w:rsidRPr="00FB1170">
        <w:rPr>
          <w:rStyle w:val="SCCCounselNameChar"/>
          <w:lang w:val="fr-CA"/>
        </w:rPr>
        <w:t>Androsoff</w:t>
      </w:r>
      <w:proofErr w:type="spellEnd"/>
      <w:r w:rsidRPr="00FB1170">
        <w:rPr>
          <w:rStyle w:val="SCCCounselPartyRoleChar"/>
          <w:lang w:val="fr-CA"/>
        </w:rPr>
        <w:t xml:space="preserve">, </w:t>
      </w:r>
      <w:r w:rsidRPr="00EC0B2C">
        <w:rPr>
          <w:rStyle w:val="SCCCounselPartyRoleChar"/>
          <w:lang w:val="fr-CA"/>
        </w:rPr>
        <w:t>pour l</w:t>
      </w:r>
      <w:r w:rsidR="00C94353" w:rsidRPr="00EC0B2C">
        <w:rPr>
          <w:rStyle w:val="SCCCounselPartyRoleChar"/>
          <w:lang w:val="fr-CA"/>
        </w:rPr>
        <w:t>’intimée</w:t>
      </w:r>
      <w:r w:rsidRPr="00EC0B2C">
        <w:rPr>
          <w:rStyle w:val="SCCCounselPartyRoleChar"/>
          <w:lang w:val="fr-CA"/>
        </w:rPr>
        <w:t>.</w:t>
      </w:r>
    </w:p>
    <w:p w:rsidR="00987842" w:rsidRDefault="00562B58" w:rsidP="00562B58">
      <w:pPr>
        <w:pStyle w:val="SCCNormalDoubleSpacing"/>
        <w:spacing w:before="480" w:after="480"/>
        <w:rPr>
          <w:lang w:val="fr-CA"/>
        </w:rPr>
      </w:pPr>
      <w:r>
        <w:rPr>
          <w:lang w:val="fr-CA"/>
        </w:rPr>
        <w:tab/>
      </w:r>
      <w:r w:rsidR="00987842" w:rsidRPr="00E040AD">
        <w:rPr>
          <w:lang w:val="fr-CA"/>
        </w:rPr>
        <w:t xml:space="preserve">Version française </w:t>
      </w:r>
      <w:r w:rsidR="00987842">
        <w:rPr>
          <w:lang w:val="fr-CA"/>
        </w:rPr>
        <w:t>du jugement de la juge en chef McLachlin et des</w:t>
      </w:r>
      <w:r w:rsidR="00987842" w:rsidRPr="00EA53E1">
        <w:rPr>
          <w:lang w:val="fr-CA"/>
        </w:rPr>
        <w:t xml:space="preserve"> juges Abella, </w:t>
      </w:r>
      <w:r w:rsidR="00987842">
        <w:rPr>
          <w:lang w:val="fr-CA"/>
        </w:rPr>
        <w:t xml:space="preserve">Moldaver, </w:t>
      </w:r>
      <w:r w:rsidR="00987842" w:rsidRPr="00F14690">
        <w:rPr>
          <w:lang w:val="fr-CA"/>
        </w:rPr>
        <w:t>Karakatsanis,</w:t>
      </w:r>
      <w:r w:rsidR="00987842">
        <w:rPr>
          <w:lang w:val="fr-CA"/>
        </w:rPr>
        <w:t xml:space="preserve"> Wagner, Gascon et Rowe</w:t>
      </w:r>
      <w:r w:rsidR="00987842" w:rsidRPr="00EA53E1">
        <w:rPr>
          <w:lang w:val="fr-CA"/>
        </w:rPr>
        <w:t xml:space="preserve"> rendu par </w:t>
      </w:r>
    </w:p>
    <w:p w:rsidR="00987842" w:rsidRPr="009B2D0F" w:rsidRDefault="00562B58" w:rsidP="00562B58">
      <w:pPr>
        <w:pStyle w:val="ParaNoNdepar-AltN"/>
        <w:tabs>
          <w:tab w:val="clear" w:pos="1692"/>
          <w:tab w:val="num" w:pos="1152"/>
        </w:tabs>
        <w:ind w:left="0"/>
        <w:rPr>
          <w:lang w:val="fr-CA"/>
        </w:rPr>
      </w:pPr>
      <w:r>
        <w:rPr>
          <w:rFonts w:cs="Times New Roman"/>
          <w:smallCaps/>
          <w:lang w:val="fr-CA"/>
        </w:rPr>
        <w:lastRenderedPageBreak/>
        <w:t>La J</w:t>
      </w:r>
      <w:r w:rsidRPr="00562B58">
        <w:rPr>
          <w:rFonts w:cs="Times New Roman"/>
          <w:smallCaps/>
          <w:lang w:val="fr-CA"/>
        </w:rPr>
        <w:t>uge en chef</w:t>
      </w:r>
      <w:r w:rsidRPr="00562B58">
        <w:rPr>
          <w:rFonts w:cs="Times New Roman"/>
          <w:lang w:val="fr-CA"/>
        </w:rPr>
        <w:t xml:space="preserve"> — </w:t>
      </w:r>
      <w:r w:rsidR="00987842" w:rsidRPr="009B2D0F">
        <w:rPr>
          <w:lang w:val="fr-CA"/>
        </w:rPr>
        <w:t>L</w:t>
      </w:r>
      <w:r w:rsidR="00987842">
        <w:rPr>
          <w:lang w:val="fr-CA"/>
        </w:rPr>
        <w:t>’</w:t>
      </w:r>
      <w:proofErr w:type="spellStart"/>
      <w:r w:rsidR="00987842" w:rsidRPr="009B2D0F">
        <w:rPr>
          <w:lang w:val="fr-CA"/>
        </w:rPr>
        <w:t>equity</w:t>
      </w:r>
      <w:proofErr w:type="spellEnd"/>
      <w:r w:rsidR="00987842" w:rsidRPr="009B2D0F">
        <w:rPr>
          <w:lang w:val="fr-CA"/>
        </w:rPr>
        <w:t xml:space="preserve"> permet de faire respecter des promesses que la </w:t>
      </w:r>
      <w:proofErr w:type="spellStart"/>
      <w:r w:rsidR="00987842" w:rsidRPr="009B2D0F">
        <w:rPr>
          <w:lang w:val="fr-CA"/>
        </w:rPr>
        <w:t>common</w:t>
      </w:r>
      <w:proofErr w:type="spellEnd"/>
      <w:r w:rsidR="00987842" w:rsidRPr="009B2D0F">
        <w:rPr>
          <w:lang w:val="fr-CA"/>
        </w:rPr>
        <w:t xml:space="preserve"> </w:t>
      </w:r>
      <w:proofErr w:type="spellStart"/>
      <w:r w:rsidR="00987842" w:rsidRPr="009B2D0F">
        <w:rPr>
          <w:lang w:val="fr-CA"/>
        </w:rPr>
        <w:t>law</w:t>
      </w:r>
      <w:proofErr w:type="spellEnd"/>
      <w:r w:rsidR="00987842" w:rsidRPr="009B2D0F">
        <w:rPr>
          <w:lang w:val="fr-CA"/>
        </w:rPr>
        <w:t xml:space="preserve"> ne permet pas de faire respecter. Le présent pourvoi concerne pareille promesse, faisant partie d</w:t>
      </w:r>
      <w:r w:rsidR="00987842">
        <w:rPr>
          <w:lang w:val="fr-CA"/>
        </w:rPr>
        <w:t>’</w:t>
      </w:r>
      <w:r w:rsidR="00987842" w:rsidRPr="009B2D0F">
        <w:rPr>
          <w:lang w:val="fr-CA"/>
        </w:rPr>
        <w:t>un arrangement entre frère et sœur afin de prendre soin de leur mère vieillissante. La sœur a donné l</w:t>
      </w:r>
      <w:r w:rsidR="00987842">
        <w:rPr>
          <w:lang w:val="fr-CA"/>
        </w:rPr>
        <w:t>’</w:t>
      </w:r>
      <w:r w:rsidR="00987842" w:rsidRPr="009B2D0F">
        <w:rPr>
          <w:lang w:val="fr-CA"/>
        </w:rPr>
        <w:t>assurance à son frère que, s</w:t>
      </w:r>
      <w:r w:rsidR="00987842">
        <w:rPr>
          <w:lang w:val="fr-CA"/>
        </w:rPr>
        <w:t>’</w:t>
      </w:r>
      <w:r w:rsidR="00987842" w:rsidRPr="009B2D0F">
        <w:rPr>
          <w:lang w:val="fr-CA"/>
        </w:rPr>
        <w:t>il retournait vivre dans la maison familiale pour s</w:t>
      </w:r>
      <w:r w:rsidR="00987842">
        <w:rPr>
          <w:lang w:val="fr-CA"/>
        </w:rPr>
        <w:t>’</w:t>
      </w:r>
      <w:r w:rsidR="00987842" w:rsidRPr="009B2D0F">
        <w:rPr>
          <w:lang w:val="fr-CA"/>
        </w:rPr>
        <w:t>acquitter de cette tâche, elle lui vendrait sa part de la maison après la mort de leur mère. Il s</w:t>
      </w:r>
      <w:r w:rsidR="00987842">
        <w:rPr>
          <w:lang w:val="fr-CA"/>
        </w:rPr>
        <w:t>’</w:t>
      </w:r>
      <w:r w:rsidR="00987842" w:rsidRPr="009B2D0F">
        <w:rPr>
          <w:lang w:val="fr-CA"/>
        </w:rPr>
        <w:t>agit de déterminer si l</w:t>
      </w:r>
      <w:r w:rsidR="00987842">
        <w:rPr>
          <w:lang w:val="fr-CA"/>
        </w:rPr>
        <w:t>’</w:t>
      </w:r>
      <w:proofErr w:type="spellStart"/>
      <w:r w:rsidR="00987842" w:rsidRPr="009B2D0F">
        <w:rPr>
          <w:lang w:val="fr-CA"/>
        </w:rPr>
        <w:t>equity</w:t>
      </w:r>
      <w:proofErr w:type="spellEnd"/>
      <w:r w:rsidR="00987842" w:rsidRPr="009B2D0F">
        <w:rPr>
          <w:lang w:val="fr-CA"/>
        </w:rPr>
        <w:t xml:space="preserve"> — et, plus particulièrement, la doctrine de la préclusion propriétale — l</w:t>
      </w:r>
      <w:r w:rsidR="00987842">
        <w:rPr>
          <w:lang w:val="fr-CA"/>
        </w:rPr>
        <w:t>’</w:t>
      </w:r>
      <w:r w:rsidR="00987842" w:rsidRPr="009B2D0F">
        <w:rPr>
          <w:lang w:val="fr-CA"/>
        </w:rPr>
        <w:t>oblige maintenant à tenir parole.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La juge de première instance a conclu que tous les éléments de la préclusion propriétale avaient été établis</w:t>
      </w:r>
      <w:r>
        <w:rPr>
          <w:rFonts w:cs="Times New Roman"/>
          <w:lang w:val="fr-CA"/>
        </w:rPr>
        <w:t> :</w:t>
      </w:r>
      <w:r w:rsidRPr="009B2D0F">
        <w:rPr>
          <w:rFonts w:cs="Times New Roman"/>
          <w:lang w:val="fr-CA"/>
        </w:rPr>
        <w:t xml:space="preserve"> la sœur a promis à son frère qu</w:t>
      </w:r>
      <w:r>
        <w:rPr>
          <w:rFonts w:cs="Times New Roman"/>
          <w:lang w:val="fr-CA"/>
        </w:rPr>
        <w:t>’</w:t>
      </w:r>
      <w:r w:rsidRPr="009B2D0F">
        <w:rPr>
          <w:rFonts w:cs="Times New Roman"/>
          <w:lang w:val="fr-CA"/>
        </w:rPr>
        <w:t xml:space="preserve">il pourrait </w:t>
      </w:r>
      <w:r w:rsidRPr="0089467C">
        <w:rPr>
          <w:rFonts w:cs="Times New Roman"/>
          <w:lang w:val="fr-CA"/>
        </w:rPr>
        <w:t>acquérir l</w:t>
      </w:r>
      <w:r>
        <w:rPr>
          <w:rFonts w:cs="Times New Roman"/>
          <w:lang w:val="fr-CA"/>
        </w:rPr>
        <w:t>’</w:t>
      </w:r>
      <w:r w:rsidRPr="0089467C">
        <w:rPr>
          <w:rFonts w:cs="Times New Roman"/>
          <w:lang w:val="fr-CA"/>
        </w:rPr>
        <w:t>intérêt qu</w:t>
      </w:r>
      <w:r>
        <w:rPr>
          <w:rFonts w:cs="Times New Roman"/>
          <w:lang w:val="fr-CA"/>
        </w:rPr>
        <w:t>’</w:t>
      </w:r>
      <w:r w:rsidRPr="0089467C">
        <w:rPr>
          <w:rFonts w:cs="Times New Roman"/>
          <w:lang w:val="fr-CA"/>
        </w:rPr>
        <w:t>elle aurait un jour dans</w:t>
      </w:r>
      <w:r w:rsidRPr="009B2D0F">
        <w:rPr>
          <w:rFonts w:cs="Times New Roman"/>
          <w:lang w:val="fr-CA"/>
        </w:rPr>
        <w:t xml:space="preserve"> la propriété de leur mère; le frère s</w:t>
      </w:r>
      <w:r>
        <w:rPr>
          <w:rFonts w:cs="Times New Roman"/>
          <w:lang w:val="fr-CA"/>
        </w:rPr>
        <w:t>’</w:t>
      </w:r>
      <w:r w:rsidRPr="009B2D0F">
        <w:rPr>
          <w:rFonts w:cs="Times New Roman"/>
          <w:lang w:val="fr-CA"/>
        </w:rPr>
        <w:t>est raisonnablement fondé sur le fait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attendait à pouvoir le faire; comme cet acte de confiance s</w:t>
      </w:r>
      <w:r>
        <w:rPr>
          <w:rFonts w:cs="Times New Roman"/>
          <w:lang w:val="fr-CA"/>
        </w:rPr>
        <w:t>’</w:t>
      </w:r>
      <w:r w:rsidRPr="009B2D0F">
        <w:rPr>
          <w:rFonts w:cs="Times New Roman"/>
          <w:lang w:val="fr-CA"/>
        </w:rPr>
        <w:t xml:space="preserve">est révélé </w:t>
      </w:r>
      <w:r w:rsidRPr="001F2942">
        <w:rPr>
          <w:rFonts w:cs="Times New Roman"/>
          <w:lang w:val="fr-CA"/>
        </w:rPr>
        <w:t>préjudiciable</w:t>
      </w:r>
      <w:r w:rsidRPr="009B2D0F">
        <w:rPr>
          <w:rFonts w:cs="Times New Roman"/>
          <w:lang w:val="fr-CA"/>
        </w:rPr>
        <w:t xml:space="preserve"> pour le frère, il serait inéquitable et injuste dans les circonstances de permettre à la sœur de revenir sur sa promesse. La preuve étaye cette conclusion.</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Ce n</w:t>
      </w:r>
      <w:r>
        <w:rPr>
          <w:rFonts w:cs="Times New Roman"/>
          <w:lang w:val="fr-CA"/>
        </w:rPr>
        <w:t>’</w:t>
      </w:r>
      <w:r w:rsidRPr="009B2D0F">
        <w:rPr>
          <w:rFonts w:cs="Times New Roman"/>
          <w:lang w:val="fr-CA"/>
        </w:rPr>
        <w:t>est pas parce qu</w:t>
      </w:r>
      <w:r>
        <w:rPr>
          <w:rFonts w:cs="Times New Roman"/>
          <w:lang w:val="fr-CA"/>
        </w:rPr>
        <w:t>’</w:t>
      </w:r>
      <w:r w:rsidRPr="009B2D0F">
        <w:rPr>
          <w:rFonts w:cs="Times New Roman"/>
          <w:lang w:val="fr-CA"/>
        </w:rPr>
        <w:t>elle n</w:t>
      </w:r>
      <w:r>
        <w:rPr>
          <w:rFonts w:cs="Times New Roman"/>
          <w:lang w:val="fr-CA"/>
        </w:rPr>
        <w:t>’</w:t>
      </w:r>
      <w:r w:rsidRPr="009B2D0F">
        <w:rPr>
          <w:rFonts w:cs="Times New Roman"/>
          <w:lang w:val="fr-CA"/>
        </w:rPr>
        <w:t>avait pas d</w:t>
      </w:r>
      <w:r>
        <w:rPr>
          <w:rFonts w:cs="Times New Roman"/>
          <w:lang w:val="fr-CA"/>
        </w:rPr>
        <w:t>’</w:t>
      </w:r>
      <w:r w:rsidRPr="009B2D0F">
        <w:rPr>
          <w:rFonts w:cs="Times New Roman"/>
          <w:lang w:val="fr-CA"/>
        </w:rPr>
        <w:t>intérêt dans la propriété au moment où son frère s</w:t>
      </w:r>
      <w:r>
        <w:rPr>
          <w:rFonts w:cs="Times New Roman"/>
          <w:lang w:val="fr-CA"/>
        </w:rPr>
        <w:t>’</w:t>
      </w:r>
      <w:r w:rsidRPr="009B2D0F">
        <w:rPr>
          <w:rFonts w:cs="Times New Roman"/>
          <w:lang w:val="fr-CA"/>
        </w:rPr>
        <w:t xml:space="preserve">est </w:t>
      </w:r>
      <w:proofErr w:type="spellStart"/>
      <w:r w:rsidRPr="009B2D0F">
        <w:rPr>
          <w:rFonts w:cs="Times New Roman"/>
          <w:lang w:val="fr-CA"/>
        </w:rPr>
        <w:t>fié</w:t>
      </w:r>
      <w:proofErr w:type="spellEnd"/>
      <w:r w:rsidRPr="009B2D0F">
        <w:rPr>
          <w:rFonts w:cs="Times New Roman"/>
          <w:lang w:val="fr-CA"/>
        </w:rPr>
        <w:t xml:space="preserve"> à la promesse qu</w:t>
      </w:r>
      <w:r>
        <w:rPr>
          <w:rFonts w:cs="Times New Roman"/>
          <w:lang w:val="fr-CA"/>
        </w:rPr>
        <w:t>’</w:t>
      </w:r>
      <w:r w:rsidRPr="009B2D0F">
        <w:rPr>
          <w:rFonts w:cs="Times New Roman"/>
          <w:lang w:val="fr-CA"/>
        </w:rPr>
        <w:t>elle lui avait faite que la sœur n</w:t>
      </w:r>
      <w:r>
        <w:rPr>
          <w:rFonts w:cs="Times New Roman"/>
          <w:lang w:val="fr-CA"/>
        </w:rPr>
        <w:t>’</w:t>
      </w:r>
      <w:r w:rsidRPr="009B2D0F">
        <w:rPr>
          <w:rFonts w:cs="Times New Roman"/>
          <w:lang w:val="fr-CA"/>
        </w:rPr>
        <w:t>est pas tenue de respecter sa promesse; la préclusion propriétale grèvera l</w:t>
      </w:r>
      <w:r>
        <w:rPr>
          <w:rFonts w:cs="Times New Roman"/>
          <w:lang w:val="fr-CA"/>
        </w:rPr>
        <w:t>’</w:t>
      </w:r>
      <w:r w:rsidRPr="009B2D0F">
        <w:rPr>
          <w:rFonts w:cs="Times New Roman"/>
          <w:lang w:val="fr-CA"/>
        </w:rPr>
        <w:t>intérêt de la sœur dans la propriété aussitôt qu</w:t>
      </w:r>
      <w:r>
        <w:rPr>
          <w:rFonts w:cs="Times New Roman"/>
          <w:lang w:val="fr-CA"/>
        </w:rPr>
        <w:t>’</w:t>
      </w:r>
      <w:r w:rsidRPr="009B2D0F">
        <w:rPr>
          <w:rFonts w:cs="Times New Roman"/>
          <w:lang w:val="fr-CA"/>
        </w:rPr>
        <w:t>elle recevra celui</w:t>
      </w:r>
      <w:r>
        <w:rPr>
          <w:rFonts w:cs="Times New Roman"/>
          <w:lang w:val="fr-CA"/>
        </w:rPr>
        <w:noBreakHyphen/>
      </w:r>
      <w:r w:rsidRPr="009B2D0F">
        <w:rPr>
          <w:rFonts w:cs="Times New Roman"/>
          <w:lang w:val="fr-CA"/>
        </w:rPr>
        <w:t>ci de la succession de sa mère. Je suis d</w:t>
      </w:r>
      <w:r>
        <w:rPr>
          <w:rFonts w:cs="Times New Roman"/>
          <w:lang w:val="fr-CA"/>
        </w:rPr>
        <w:t>’</w:t>
      </w:r>
      <w:r w:rsidRPr="009B2D0F">
        <w:rPr>
          <w:rFonts w:cs="Times New Roman"/>
          <w:lang w:val="fr-CA"/>
        </w:rPr>
        <w:t>avis d</w:t>
      </w:r>
      <w:r>
        <w:rPr>
          <w:rFonts w:cs="Times New Roman"/>
          <w:lang w:val="fr-CA"/>
        </w:rPr>
        <w:t>’</w:t>
      </w:r>
      <w:r w:rsidRPr="009B2D0F">
        <w:rPr>
          <w:rFonts w:cs="Times New Roman"/>
          <w:lang w:val="fr-CA"/>
        </w:rPr>
        <w:t>accueillir le pourvoi.</w:t>
      </w:r>
    </w:p>
    <w:p w:rsidR="00987842" w:rsidRPr="009B2D0F" w:rsidRDefault="00987842" w:rsidP="00987842">
      <w:pPr>
        <w:pStyle w:val="Title1LevelTitre1Niveau-AltL"/>
        <w:rPr>
          <w:rFonts w:cs="Times New Roman"/>
          <w:lang w:val="fr-CA"/>
        </w:rPr>
      </w:pPr>
      <w:r w:rsidRPr="009B2D0F">
        <w:rPr>
          <w:rFonts w:cs="Times New Roman"/>
          <w:lang w:val="fr-CA"/>
        </w:rPr>
        <w:t>Faits et historique judiciaire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lastRenderedPageBreak/>
        <w:t>Les Cowper</w:t>
      </w:r>
      <w:r>
        <w:rPr>
          <w:rFonts w:cs="Times New Roman"/>
          <w:lang w:val="fr-CA"/>
        </w:rPr>
        <w:noBreakHyphen/>
      </w:r>
      <w:r w:rsidRPr="009B2D0F">
        <w:rPr>
          <w:rFonts w:cs="Times New Roman"/>
          <w:lang w:val="fr-CA"/>
        </w:rPr>
        <w:t>Smith de Victoria n</w:t>
      </w:r>
      <w:r>
        <w:rPr>
          <w:rFonts w:cs="Times New Roman"/>
          <w:lang w:val="fr-CA"/>
        </w:rPr>
        <w:t>’</w:t>
      </w:r>
      <w:r w:rsidRPr="009B2D0F">
        <w:rPr>
          <w:rFonts w:cs="Times New Roman"/>
          <w:lang w:val="fr-CA"/>
        </w:rPr>
        <w:t>ont pas toujours été en mauvais termes. Elizabeth et Arthur se sont mariés en 1945. Ensemble, ils ont élevé une fille, Gloria, et deux garçons, Max et Nathan. Gloria est devenue potière et elle s</w:t>
      </w:r>
      <w:r>
        <w:rPr>
          <w:rFonts w:cs="Times New Roman"/>
          <w:lang w:val="fr-CA"/>
        </w:rPr>
        <w:t>’</w:t>
      </w:r>
      <w:r w:rsidRPr="009B2D0F">
        <w:rPr>
          <w:rFonts w:cs="Times New Roman"/>
          <w:lang w:val="fr-CA"/>
        </w:rPr>
        <w:t>est établie avec son mari à Victoria. Max a pratiqué le droit en Angleterre. Pour sa part, Nathan a déménagé à Edmonton, où il a travaillé pour le gouvernement albertain auprès d</w:t>
      </w:r>
      <w:r>
        <w:rPr>
          <w:rFonts w:cs="Times New Roman"/>
          <w:lang w:val="fr-CA"/>
        </w:rPr>
        <w:t>’</w:t>
      </w:r>
      <w:r w:rsidRPr="009B2D0F">
        <w:rPr>
          <w:rFonts w:cs="Times New Roman"/>
          <w:lang w:val="fr-CA"/>
        </w:rPr>
        <w:t>enfants victimes de mauvais traitements.</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Peu avant qu</w:t>
      </w:r>
      <w:r>
        <w:rPr>
          <w:rFonts w:cs="Times New Roman"/>
          <w:lang w:val="fr-CA"/>
        </w:rPr>
        <w:t>’</w:t>
      </w:r>
      <w:r w:rsidRPr="009B2D0F">
        <w:rPr>
          <w:rFonts w:cs="Times New Roman"/>
          <w:lang w:val="fr-CA"/>
        </w:rPr>
        <w:t>il meure en 1992, Arthur a expliqué à ses fils qu</w:t>
      </w:r>
      <w:r>
        <w:rPr>
          <w:rFonts w:cs="Times New Roman"/>
          <w:lang w:val="fr-CA"/>
        </w:rPr>
        <w:t>’</w:t>
      </w:r>
      <w:r w:rsidRPr="009B2D0F">
        <w:rPr>
          <w:rFonts w:cs="Times New Roman"/>
          <w:lang w:val="fr-CA"/>
        </w:rPr>
        <w:t>Elizabeth et lui légueraient tous leurs biens à parts égales à leurs trois enfants. Ils voulaient éviter la discorde familiale. À cet égard, ils ont échoué.</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Gloria s</w:t>
      </w:r>
      <w:r>
        <w:rPr>
          <w:rFonts w:cs="Times New Roman"/>
          <w:lang w:val="fr-CA"/>
        </w:rPr>
        <w:t>’</w:t>
      </w:r>
      <w:r w:rsidRPr="009B2D0F">
        <w:rPr>
          <w:rFonts w:cs="Times New Roman"/>
          <w:lang w:val="fr-CA"/>
        </w:rPr>
        <w:t>est d</w:t>
      </w:r>
      <w:r>
        <w:rPr>
          <w:rFonts w:cs="Times New Roman"/>
          <w:lang w:val="fr-CA"/>
        </w:rPr>
        <w:t>’</w:t>
      </w:r>
      <w:r w:rsidRPr="009B2D0F">
        <w:rPr>
          <w:rFonts w:cs="Times New Roman"/>
          <w:lang w:val="fr-CA"/>
        </w:rPr>
        <w:t>abord brouillée avec Nathan, qui est revenu habiter la maison familiale en 2000 après la fin d</w:t>
      </w:r>
      <w:r>
        <w:rPr>
          <w:rFonts w:cs="Times New Roman"/>
          <w:lang w:val="fr-CA"/>
        </w:rPr>
        <w:t>’</w:t>
      </w:r>
      <w:r w:rsidRPr="009B2D0F">
        <w:rPr>
          <w:rFonts w:cs="Times New Roman"/>
          <w:lang w:val="fr-CA"/>
        </w:rPr>
        <w:t>une relation de longue durée et avoir quitté son emploi à Edmonton. Il s</w:t>
      </w:r>
      <w:r>
        <w:rPr>
          <w:rFonts w:cs="Times New Roman"/>
          <w:lang w:val="fr-CA"/>
        </w:rPr>
        <w:t>’</w:t>
      </w:r>
      <w:r w:rsidRPr="009B2D0F">
        <w:rPr>
          <w:rFonts w:cs="Times New Roman"/>
          <w:lang w:val="fr-CA"/>
        </w:rPr>
        <w:t>est effectivement occupé de la maison, ce dont Elizabeth semblait satisfaite. Toutefois, elle revenait perturbée de ses visites chez Gloria, habitée par la crainte que Nathan cherche à s</w:t>
      </w:r>
      <w:r>
        <w:rPr>
          <w:rFonts w:cs="Times New Roman"/>
          <w:lang w:val="fr-CA"/>
        </w:rPr>
        <w:t>’</w:t>
      </w:r>
      <w:r w:rsidRPr="009B2D0F">
        <w:rPr>
          <w:rFonts w:cs="Times New Roman"/>
          <w:lang w:val="fr-CA"/>
        </w:rPr>
        <w:t>approprier sa maison et préoccupée par ce qu</w:t>
      </w:r>
      <w:r>
        <w:rPr>
          <w:rFonts w:cs="Times New Roman"/>
          <w:lang w:val="fr-CA"/>
        </w:rPr>
        <w:t>’</w:t>
      </w:r>
      <w:r w:rsidRPr="009B2D0F">
        <w:rPr>
          <w:rFonts w:cs="Times New Roman"/>
          <w:lang w:val="fr-CA"/>
        </w:rPr>
        <w:t>elle disait être les plans de Nathan d</w:t>
      </w:r>
      <w:r>
        <w:rPr>
          <w:rFonts w:cs="Times New Roman"/>
          <w:lang w:val="fr-CA"/>
        </w:rPr>
        <w:t>’</w:t>
      </w:r>
      <w:r w:rsidRPr="009B2D0F">
        <w:rPr>
          <w:rFonts w:cs="Times New Roman"/>
          <w:lang w:val="fr-CA"/>
        </w:rPr>
        <w:t>y organiser des [</w:t>
      </w:r>
      <w:r w:rsidRPr="009B2D0F">
        <w:rPr>
          <w:rFonts w:cs="Times New Roman"/>
          <w:smallCaps/>
          <w:lang w:val="fr-CA"/>
        </w:rPr>
        <w:t>traduction</w:t>
      </w:r>
      <w:r w:rsidRPr="009B2D0F">
        <w:rPr>
          <w:rFonts w:cs="Times New Roman"/>
          <w:lang w:val="fr-CA"/>
        </w:rPr>
        <w:t>] « fêtes gaies ». Aux mois de février et d</w:t>
      </w:r>
      <w:r>
        <w:rPr>
          <w:rFonts w:cs="Times New Roman"/>
          <w:lang w:val="fr-CA"/>
        </w:rPr>
        <w:t>’</w:t>
      </w:r>
      <w:r w:rsidRPr="009B2D0F">
        <w:rPr>
          <w:rFonts w:cs="Times New Roman"/>
          <w:lang w:val="fr-CA"/>
        </w:rPr>
        <w:t>avril 2001, Nathan a reçu deux lettres rédigées à la main par Gloria. Dans la première, elle le sommait notamment de ne pas crier ou élever le ton dans la maison ni d</w:t>
      </w:r>
      <w:r>
        <w:rPr>
          <w:rFonts w:cs="Times New Roman"/>
          <w:lang w:val="fr-CA"/>
        </w:rPr>
        <w:t>’</w:t>
      </w:r>
      <w:r w:rsidRPr="009B2D0F">
        <w:rPr>
          <w:rFonts w:cs="Times New Roman"/>
          <w:lang w:val="fr-CA"/>
        </w:rPr>
        <w:t>y « recevoir des hommes gais ». Dans la seconde, elle lui annonçait qu</w:t>
      </w:r>
      <w:r>
        <w:rPr>
          <w:rFonts w:cs="Times New Roman"/>
          <w:lang w:val="fr-CA"/>
        </w:rPr>
        <w:t>’</w:t>
      </w:r>
      <w:r w:rsidRPr="009B2D0F">
        <w:rPr>
          <w:rFonts w:cs="Times New Roman"/>
          <w:lang w:val="fr-CA"/>
        </w:rPr>
        <w:t>il ne pouvait plus habiter chez leur mère et qu</w:t>
      </w:r>
      <w:r>
        <w:rPr>
          <w:rFonts w:cs="Times New Roman"/>
          <w:lang w:val="fr-CA"/>
        </w:rPr>
        <w:t>’</w:t>
      </w:r>
      <w:r w:rsidRPr="009B2D0F">
        <w:rPr>
          <w:rFonts w:cs="Times New Roman"/>
          <w:lang w:val="fr-CA"/>
        </w:rPr>
        <w:t>il devait déménager immédiatement. Lorsqu</w:t>
      </w:r>
      <w:r>
        <w:rPr>
          <w:rFonts w:cs="Times New Roman"/>
          <w:lang w:val="fr-CA"/>
        </w:rPr>
        <w:t>’</w:t>
      </w:r>
      <w:r w:rsidRPr="009B2D0F">
        <w:rPr>
          <w:rFonts w:cs="Times New Roman"/>
          <w:lang w:val="fr-CA"/>
        </w:rPr>
        <w:t>il est revenu d</w:t>
      </w:r>
      <w:r>
        <w:rPr>
          <w:rFonts w:cs="Times New Roman"/>
          <w:lang w:val="fr-CA"/>
        </w:rPr>
        <w:t>’</w:t>
      </w:r>
      <w:r w:rsidRPr="009B2D0F">
        <w:rPr>
          <w:rFonts w:cs="Times New Roman"/>
          <w:lang w:val="fr-CA"/>
        </w:rPr>
        <w:t>un voyage à l</w:t>
      </w:r>
      <w:r>
        <w:rPr>
          <w:rFonts w:cs="Times New Roman"/>
          <w:lang w:val="fr-CA"/>
        </w:rPr>
        <w:t>’</w:t>
      </w:r>
      <w:r w:rsidRPr="009B2D0F">
        <w:rPr>
          <w:rFonts w:cs="Times New Roman"/>
          <w:lang w:val="fr-CA"/>
        </w:rPr>
        <w:t>étranger en juin 2001, les serrures avaient été changées alors que ses effets personnels se trouvaient toujours à l</w:t>
      </w:r>
      <w:r>
        <w:rPr>
          <w:rFonts w:cs="Times New Roman"/>
          <w:lang w:val="fr-CA"/>
        </w:rPr>
        <w:t>’</w:t>
      </w:r>
      <w:r w:rsidRPr="009B2D0F">
        <w:rPr>
          <w:rFonts w:cs="Times New Roman"/>
          <w:lang w:val="fr-CA"/>
        </w:rPr>
        <w:t xml:space="preserve">intérieur. Il est entré </w:t>
      </w:r>
      <w:r w:rsidRPr="009B2D0F">
        <w:rPr>
          <w:rFonts w:cs="Times New Roman"/>
          <w:lang w:val="fr-CA"/>
        </w:rPr>
        <w:lastRenderedPageBreak/>
        <w:t>par effraction dans la maison. Gloria lui a fait quitter les lieux sous escorte policière. Il est finalement retourné habiter à Edmonton. Lorsqu</w:t>
      </w:r>
      <w:r>
        <w:rPr>
          <w:rFonts w:cs="Times New Roman"/>
          <w:lang w:val="fr-CA"/>
        </w:rPr>
        <w:t>’</w:t>
      </w:r>
      <w:r w:rsidRPr="009B2D0F">
        <w:rPr>
          <w:rFonts w:cs="Times New Roman"/>
          <w:lang w:val="fr-CA"/>
        </w:rPr>
        <w:t>en 2005, Elizabeth a demandé pardon à Nathan pour ce qui était arrivé, il lui a donné l</w:t>
      </w:r>
      <w:r>
        <w:rPr>
          <w:rFonts w:cs="Times New Roman"/>
          <w:lang w:val="fr-CA"/>
        </w:rPr>
        <w:t>’</w:t>
      </w:r>
      <w:r w:rsidRPr="009B2D0F">
        <w:rPr>
          <w:rFonts w:cs="Times New Roman"/>
          <w:lang w:val="fr-CA"/>
        </w:rPr>
        <w:t>assurance qu</w:t>
      </w:r>
      <w:r>
        <w:rPr>
          <w:rFonts w:cs="Times New Roman"/>
          <w:lang w:val="fr-CA"/>
        </w:rPr>
        <w:t>’</w:t>
      </w:r>
      <w:r w:rsidRPr="009B2D0F">
        <w:rPr>
          <w:rFonts w:cs="Times New Roman"/>
          <w:lang w:val="fr-CA"/>
        </w:rPr>
        <w:t>il ne lui en tenait pas rigueur; il savait que Gloria était à l</w:t>
      </w:r>
      <w:r>
        <w:rPr>
          <w:rFonts w:cs="Times New Roman"/>
          <w:lang w:val="fr-CA"/>
        </w:rPr>
        <w:t>’</w:t>
      </w:r>
      <w:r w:rsidRPr="009B2D0F">
        <w:rPr>
          <w:rFonts w:cs="Times New Roman"/>
          <w:lang w:val="fr-CA"/>
        </w:rPr>
        <w:t>origine de l</w:t>
      </w:r>
      <w:r>
        <w:rPr>
          <w:rFonts w:cs="Times New Roman"/>
          <w:lang w:val="fr-CA"/>
        </w:rPr>
        <w:t>’</w:t>
      </w:r>
      <w:r w:rsidRPr="009B2D0F">
        <w:rPr>
          <w:rFonts w:cs="Times New Roman"/>
          <w:lang w:val="fr-CA"/>
        </w:rPr>
        <w:t>épreuve qu</w:t>
      </w:r>
      <w:r>
        <w:rPr>
          <w:rFonts w:cs="Times New Roman"/>
          <w:lang w:val="fr-CA"/>
        </w:rPr>
        <w:t>’</w:t>
      </w:r>
      <w:r w:rsidRPr="009B2D0F">
        <w:rPr>
          <w:rFonts w:cs="Times New Roman"/>
          <w:lang w:val="fr-CA"/>
        </w:rPr>
        <w:t>il avait traversée.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Ce fut ensuite le tour de Max. Au cours des années qui ont suivi la mort de son père, il a été aux prises avec des difficultés financières et sa santé mentale s</w:t>
      </w:r>
      <w:r>
        <w:rPr>
          <w:rFonts w:cs="Times New Roman"/>
          <w:lang w:val="fr-CA"/>
        </w:rPr>
        <w:t>’</w:t>
      </w:r>
      <w:r w:rsidRPr="009B2D0F">
        <w:rPr>
          <w:rFonts w:cs="Times New Roman"/>
          <w:lang w:val="fr-CA"/>
        </w:rPr>
        <w:t>est détériorée. Il s</w:t>
      </w:r>
      <w:r>
        <w:rPr>
          <w:rFonts w:cs="Times New Roman"/>
          <w:lang w:val="fr-CA"/>
        </w:rPr>
        <w:t>’</w:t>
      </w:r>
      <w:r w:rsidRPr="009B2D0F">
        <w:rPr>
          <w:rFonts w:cs="Times New Roman"/>
          <w:lang w:val="fr-CA"/>
        </w:rPr>
        <w:t>est mis à consommer de l</w:t>
      </w:r>
      <w:r>
        <w:rPr>
          <w:rFonts w:cs="Times New Roman"/>
          <w:lang w:val="fr-CA"/>
        </w:rPr>
        <w:t>’</w:t>
      </w:r>
      <w:r w:rsidRPr="009B2D0F">
        <w:rPr>
          <w:rFonts w:cs="Times New Roman"/>
          <w:lang w:val="fr-CA"/>
        </w:rPr>
        <w:t>alcool et des drogues. Son couple s</w:t>
      </w:r>
      <w:r>
        <w:rPr>
          <w:rFonts w:cs="Times New Roman"/>
          <w:lang w:val="fr-CA"/>
        </w:rPr>
        <w:t>’</w:t>
      </w:r>
      <w:r w:rsidRPr="009B2D0F">
        <w:rPr>
          <w:rFonts w:cs="Times New Roman"/>
          <w:lang w:val="fr-CA"/>
        </w:rPr>
        <w:t>est brisé. Après 2000, les choses se sont améliorées. Son voyage à Victoria en 2003 a été un tel succès qu</w:t>
      </w:r>
      <w:r>
        <w:rPr>
          <w:rFonts w:cs="Times New Roman"/>
          <w:lang w:val="fr-CA"/>
        </w:rPr>
        <w:t>’</w:t>
      </w:r>
      <w:r w:rsidRPr="009B2D0F">
        <w:rPr>
          <w:rFonts w:cs="Times New Roman"/>
          <w:lang w:val="fr-CA"/>
        </w:rPr>
        <w:t>il y est revenu plus tard la même année ainsi qu</w:t>
      </w:r>
      <w:r>
        <w:rPr>
          <w:rFonts w:cs="Times New Roman"/>
          <w:lang w:val="fr-CA"/>
        </w:rPr>
        <w:t>’</w:t>
      </w:r>
      <w:r w:rsidRPr="009B2D0F">
        <w:rPr>
          <w:rFonts w:cs="Times New Roman"/>
          <w:lang w:val="fr-CA"/>
        </w:rPr>
        <w:t>en 2005. Il s</w:t>
      </w:r>
      <w:r>
        <w:rPr>
          <w:rFonts w:cs="Times New Roman"/>
          <w:lang w:val="fr-CA"/>
        </w:rPr>
        <w:t>’</w:t>
      </w:r>
      <w:r w:rsidRPr="009B2D0F">
        <w:rPr>
          <w:rFonts w:cs="Times New Roman"/>
          <w:lang w:val="fr-CA"/>
        </w:rPr>
        <w:t>entendait bien avec Gloria et, lorsque celle</w:t>
      </w:r>
      <w:r>
        <w:rPr>
          <w:rFonts w:cs="Times New Roman"/>
          <w:lang w:val="fr-CA"/>
        </w:rPr>
        <w:noBreakHyphen/>
      </w:r>
      <w:r w:rsidRPr="009B2D0F">
        <w:rPr>
          <w:rFonts w:cs="Times New Roman"/>
          <w:lang w:val="fr-CA"/>
        </w:rPr>
        <w:t>ci lui a clairement fait savoir qu</w:t>
      </w:r>
      <w:r>
        <w:rPr>
          <w:rFonts w:cs="Times New Roman"/>
          <w:lang w:val="fr-CA"/>
        </w:rPr>
        <w:t>’</w:t>
      </w:r>
      <w:r w:rsidRPr="009B2D0F">
        <w:rPr>
          <w:rFonts w:cs="Times New Roman"/>
          <w:lang w:val="fr-CA"/>
        </w:rPr>
        <w:t>Elizabeth ne pouvait plus vivre seule, ils ont commencé à analyser différentes façons de prendre soin d</w:t>
      </w:r>
      <w:r>
        <w:rPr>
          <w:rFonts w:cs="Times New Roman"/>
          <w:lang w:val="fr-CA"/>
        </w:rPr>
        <w:t>’</w:t>
      </w:r>
      <w:r w:rsidRPr="009B2D0F">
        <w:rPr>
          <w:rFonts w:cs="Times New Roman"/>
          <w:lang w:val="fr-CA"/>
        </w:rPr>
        <w:t>elle. Max a finalement accepté de renoncer à sa vie en Angleterre, de revenir vivre à Victoria, et de s</w:t>
      </w:r>
      <w:r>
        <w:rPr>
          <w:rFonts w:cs="Times New Roman"/>
          <w:lang w:val="fr-CA"/>
        </w:rPr>
        <w:t>’</w:t>
      </w:r>
      <w:r w:rsidRPr="009B2D0F">
        <w:rPr>
          <w:rFonts w:cs="Times New Roman"/>
          <w:lang w:val="fr-CA"/>
        </w:rPr>
        <w:t>occuper de sa mère ainsi que de la maison familiale. Il l</w:t>
      </w:r>
      <w:r>
        <w:rPr>
          <w:rFonts w:cs="Times New Roman"/>
          <w:lang w:val="fr-CA"/>
        </w:rPr>
        <w:t>’</w:t>
      </w:r>
      <w:r w:rsidRPr="009B2D0F">
        <w:rPr>
          <w:rFonts w:cs="Times New Roman"/>
          <w:lang w:val="fr-CA"/>
        </w:rPr>
        <w:t xml:space="preserve">a fait uniquement après que Gloria eut accepté que diverses dépenses lui </w:t>
      </w:r>
      <w:r w:rsidR="009B5F8D">
        <w:rPr>
          <w:rFonts w:cs="Times New Roman"/>
          <w:lang w:val="fr-CA"/>
        </w:rPr>
        <w:t>soient</w:t>
      </w:r>
      <w:r w:rsidRPr="009B2D0F">
        <w:rPr>
          <w:rFonts w:cs="Times New Roman"/>
          <w:lang w:val="fr-CA"/>
        </w:rPr>
        <w:t xml:space="preserve"> remboursées, qu</w:t>
      </w:r>
      <w:r>
        <w:rPr>
          <w:rFonts w:cs="Times New Roman"/>
          <w:lang w:val="fr-CA"/>
        </w:rPr>
        <w:t>’</w:t>
      </w:r>
      <w:r w:rsidR="009B5F8D">
        <w:rPr>
          <w:rFonts w:cs="Times New Roman"/>
          <w:lang w:val="fr-CA"/>
        </w:rPr>
        <w:t>il p</w:t>
      </w:r>
      <w:r w:rsidRPr="009B2D0F">
        <w:rPr>
          <w:rFonts w:cs="Times New Roman"/>
          <w:lang w:val="fr-CA"/>
        </w:rPr>
        <w:t>u</w:t>
      </w:r>
      <w:r w:rsidR="009B5F8D">
        <w:rPr>
          <w:rFonts w:cs="Times New Roman"/>
          <w:lang w:val="fr-CA"/>
        </w:rPr>
        <w:t xml:space="preserve">isse </w:t>
      </w:r>
      <w:r w:rsidRPr="009B2D0F">
        <w:rPr>
          <w:rFonts w:cs="Times New Roman"/>
          <w:lang w:val="fr-CA"/>
        </w:rPr>
        <w:t>utiliser la voiture de sa mère et, point crucial, qu</w:t>
      </w:r>
      <w:r>
        <w:rPr>
          <w:rFonts w:cs="Times New Roman"/>
          <w:lang w:val="fr-CA"/>
        </w:rPr>
        <w:t>’</w:t>
      </w:r>
      <w:r w:rsidRPr="009B2D0F">
        <w:rPr>
          <w:rFonts w:cs="Times New Roman"/>
          <w:lang w:val="fr-CA"/>
        </w:rPr>
        <w:t xml:space="preserve">il </w:t>
      </w:r>
      <w:r w:rsidR="009B5F8D">
        <w:rPr>
          <w:rFonts w:cs="Times New Roman"/>
          <w:lang w:val="fr-CA"/>
        </w:rPr>
        <w:t>puisse</w:t>
      </w:r>
      <w:r w:rsidRPr="009B2D0F">
        <w:rPr>
          <w:rFonts w:cs="Times New Roman"/>
          <w:lang w:val="fr-CA"/>
        </w:rPr>
        <w:t xml:space="preserve"> vivre dans la maison de façon permanente et acquérir un jour l</w:t>
      </w:r>
      <w:r>
        <w:rPr>
          <w:rFonts w:cs="Times New Roman"/>
          <w:lang w:val="fr-CA"/>
        </w:rPr>
        <w:t>’</w:t>
      </w:r>
      <w:r w:rsidRPr="009B2D0F">
        <w:rPr>
          <w:rFonts w:cs="Times New Roman"/>
          <w:lang w:val="fr-CA"/>
        </w:rPr>
        <w:t xml:space="preserve">intérêt </w:t>
      </w:r>
      <w:r w:rsidRPr="0089467C">
        <w:rPr>
          <w:rFonts w:cs="Times New Roman"/>
          <w:lang w:val="fr-CA"/>
        </w:rPr>
        <w:t>de Gloria sur le tie</w:t>
      </w:r>
      <w:r w:rsidRPr="009B2D0F">
        <w:rPr>
          <w:rFonts w:cs="Times New Roman"/>
          <w:lang w:val="fr-CA"/>
        </w:rPr>
        <w:t>rs de ce</w:t>
      </w:r>
      <w:r>
        <w:rPr>
          <w:rFonts w:cs="Times New Roman"/>
          <w:lang w:val="fr-CA"/>
        </w:rPr>
        <w:t>lle</w:t>
      </w:r>
      <w:r>
        <w:rPr>
          <w:rFonts w:cs="Times New Roman"/>
          <w:lang w:val="fr-CA"/>
        </w:rPr>
        <w:noBreakHyphen/>
      </w:r>
      <w:r w:rsidRPr="009B2D0F">
        <w:rPr>
          <w:rFonts w:cs="Times New Roman"/>
          <w:lang w:val="fr-CA"/>
        </w:rPr>
        <w:t>ci. L</w:t>
      </w:r>
      <w:r>
        <w:rPr>
          <w:rFonts w:cs="Times New Roman"/>
          <w:lang w:val="fr-CA"/>
        </w:rPr>
        <w:t>’</w:t>
      </w:r>
      <w:r w:rsidRPr="009B2D0F">
        <w:rPr>
          <w:rFonts w:cs="Times New Roman"/>
          <w:lang w:val="fr-CA"/>
        </w:rPr>
        <w:t>arrangement a fonctionné jusqu</w:t>
      </w:r>
      <w:r>
        <w:rPr>
          <w:rFonts w:cs="Times New Roman"/>
          <w:lang w:val="fr-CA"/>
        </w:rPr>
        <w:t>’</w:t>
      </w:r>
      <w:r w:rsidRPr="009B2D0F">
        <w:rPr>
          <w:rFonts w:cs="Times New Roman"/>
          <w:lang w:val="fr-CA"/>
        </w:rPr>
        <w:t>à ce qu</w:t>
      </w:r>
      <w:r>
        <w:rPr>
          <w:rFonts w:cs="Times New Roman"/>
          <w:lang w:val="fr-CA"/>
        </w:rPr>
        <w:t>’</w:t>
      </w:r>
      <w:r w:rsidRPr="009B2D0F">
        <w:rPr>
          <w:rFonts w:cs="Times New Roman"/>
          <w:lang w:val="fr-CA"/>
        </w:rPr>
        <w:t>en 2009, Gloria commence à revenir sur ses promesses. La relation entre le frère et la sœur s</w:t>
      </w:r>
      <w:r>
        <w:rPr>
          <w:rFonts w:cs="Times New Roman"/>
          <w:lang w:val="fr-CA"/>
        </w:rPr>
        <w:t>’</w:t>
      </w:r>
      <w:r w:rsidRPr="009B2D0F">
        <w:rPr>
          <w:rFonts w:cs="Times New Roman"/>
          <w:lang w:val="fr-CA"/>
        </w:rPr>
        <w:t>est dégradée, devenant d</w:t>
      </w:r>
      <w:r>
        <w:rPr>
          <w:rFonts w:cs="Times New Roman"/>
          <w:lang w:val="fr-CA"/>
        </w:rPr>
        <w:t>’</w:t>
      </w:r>
      <w:r w:rsidRPr="009B2D0F">
        <w:rPr>
          <w:rFonts w:cs="Times New Roman"/>
          <w:lang w:val="fr-CA"/>
        </w:rPr>
        <w:t>abord acrimonieuse pour ensuite aboutir à un litige.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En juin 2001 — à peu près à l</w:t>
      </w:r>
      <w:r>
        <w:rPr>
          <w:rFonts w:cs="Times New Roman"/>
          <w:lang w:val="fr-CA"/>
        </w:rPr>
        <w:t>’</w:t>
      </w:r>
      <w:r w:rsidRPr="009B2D0F">
        <w:rPr>
          <w:rFonts w:cs="Times New Roman"/>
          <w:lang w:val="fr-CA"/>
        </w:rPr>
        <w:t>époque où Gloria, accompagnée par des policiers, a affronté Nathan à la maison —, la planification successorale d</w:t>
      </w:r>
      <w:r>
        <w:rPr>
          <w:rFonts w:cs="Times New Roman"/>
          <w:lang w:val="fr-CA"/>
        </w:rPr>
        <w:t>’</w:t>
      </w:r>
      <w:r w:rsidRPr="009B2D0F">
        <w:rPr>
          <w:rFonts w:cs="Times New Roman"/>
          <w:lang w:val="fr-CA"/>
        </w:rPr>
        <w:t xml:space="preserve">Elizabeth a </w:t>
      </w:r>
      <w:r w:rsidRPr="009B2D0F">
        <w:rPr>
          <w:rFonts w:cs="Times New Roman"/>
          <w:lang w:val="fr-CA"/>
        </w:rPr>
        <w:lastRenderedPageBreak/>
        <w:t>changé du tout au tout. Cette dernière a transféré le titre de la propriété et tous ses placements en propriété conjointe avec Gloria. Une [</w:t>
      </w:r>
      <w:r w:rsidRPr="009B2D0F">
        <w:rPr>
          <w:rFonts w:cs="Times New Roman"/>
          <w:smallCaps/>
          <w:lang w:val="fr-CA"/>
        </w:rPr>
        <w:t>traduction</w:t>
      </w:r>
      <w:r w:rsidRPr="009B2D0F">
        <w:rPr>
          <w:rFonts w:cs="Times New Roman"/>
          <w:lang w:val="fr-CA"/>
        </w:rPr>
        <w:t>] « déclaration de fiducie » prévoyait que Gloria détiendrait ses intérêts dans la maison et dans les placements en tant que nue</w:t>
      </w:r>
      <w:r>
        <w:rPr>
          <w:rFonts w:cs="Times New Roman"/>
          <w:lang w:val="fr-CA"/>
        </w:rPr>
        <w:noBreakHyphen/>
      </w:r>
      <w:r w:rsidRPr="009B2D0F">
        <w:rPr>
          <w:rFonts w:cs="Times New Roman"/>
          <w:lang w:val="fr-CA"/>
        </w:rPr>
        <w:t>fiduciaire, qu</w:t>
      </w:r>
      <w:r>
        <w:rPr>
          <w:rFonts w:cs="Times New Roman"/>
          <w:lang w:val="fr-CA"/>
        </w:rPr>
        <w:t>’</w:t>
      </w:r>
      <w:r w:rsidRPr="009B2D0F">
        <w:rPr>
          <w:rFonts w:cs="Times New Roman"/>
          <w:lang w:val="fr-CA"/>
        </w:rPr>
        <w:t xml:space="preserve">Elizabeth serait la seule bénéficiaire, et que Gloria aurait « un droit absolu » sur la propriété et les placements au décès de sa mère. Elizabeth a aussi signé un nouveau testament dans lequel elle nommait Gloria exécutrice testamentaire et révoquait tous ses testaments antérieurs. En 2002, elle a révoqué ce testament en en signant un autre, son dernier. Elle a de nouveau nommé Gloria exécutrice testamentaire, mais cette fois elle a prévu que sa succession serait partagée également entre ses trois enfants. La déclaration de fiducie et la stipulation relative à la propriété conjointe de la maison et des placements — qui, si elles </w:t>
      </w:r>
      <w:r>
        <w:rPr>
          <w:rFonts w:cs="Times New Roman"/>
          <w:lang w:val="fr-CA"/>
        </w:rPr>
        <w:t xml:space="preserve">avaient été </w:t>
      </w:r>
      <w:r w:rsidRPr="009B2D0F">
        <w:rPr>
          <w:rFonts w:cs="Times New Roman"/>
          <w:lang w:val="fr-CA"/>
        </w:rPr>
        <w:t xml:space="preserve">valides, </w:t>
      </w:r>
      <w:r>
        <w:rPr>
          <w:rFonts w:cs="Times New Roman"/>
          <w:lang w:val="fr-CA"/>
        </w:rPr>
        <w:t>auraient</w:t>
      </w:r>
      <w:r w:rsidRPr="009B2D0F">
        <w:rPr>
          <w:rFonts w:cs="Times New Roman"/>
          <w:lang w:val="fr-CA"/>
        </w:rPr>
        <w:t xml:space="preserve"> </w:t>
      </w:r>
      <w:r>
        <w:rPr>
          <w:rFonts w:cs="Times New Roman"/>
          <w:lang w:val="fr-CA"/>
        </w:rPr>
        <w:t xml:space="preserve">fait </w:t>
      </w:r>
      <w:r w:rsidRPr="009B2D0F">
        <w:rPr>
          <w:rFonts w:cs="Times New Roman"/>
          <w:lang w:val="fr-CA"/>
        </w:rPr>
        <w:t>en sorte que la succession d</w:t>
      </w:r>
      <w:r>
        <w:rPr>
          <w:rFonts w:cs="Times New Roman"/>
          <w:lang w:val="fr-CA"/>
        </w:rPr>
        <w:t>’</w:t>
      </w:r>
      <w:r w:rsidRPr="009B2D0F">
        <w:rPr>
          <w:rFonts w:cs="Times New Roman"/>
          <w:lang w:val="fr-CA"/>
        </w:rPr>
        <w:t xml:space="preserve">Elizabeth </w:t>
      </w:r>
      <w:r>
        <w:rPr>
          <w:rFonts w:cs="Times New Roman"/>
          <w:lang w:val="fr-CA"/>
        </w:rPr>
        <w:t>au</w:t>
      </w:r>
      <w:r w:rsidRPr="009B2D0F">
        <w:rPr>
          <w:rFonts w:cs="Times New Roman"/>
          <w:lang w:val="fr-CA"/>
        </w:rPr>
        <w:t xml:space="preserve">rait pour ainsi dire </w:t>
      </w:r>
      <w:r>
        <w:rPr>
          <w:rFonts w:cs="Times New Roman"/>
          <w:lang w:val="fr-CA"/>
        </w:rPr>
        <w:t xml:space="preserve">été </w:t>
      </w:r>
      <w:r w:rsidRPr="009B2D0F">
        <w:rPr>
          <w:rFonts w:cs="Times New Roman"/>
          <w:lang w:val="fr-CA"/>
        </w:rPr>
        <w:t>dépourvue de tout bien malgré le dernier testament de celle</w:t>
      </w:r>
      <w:r>
        <w:rPr>
          <w:rFonts w:cs="Times New Roman"/>
          <w:lang w:val="fr-CA"/>
        </w:rPr>
        <w:noBreakHyphen/>
      </w:r>
      <w:r w:rsidRPr="009B2D0F">
        <w:rPr>
          <w:rFonts w:cs="Times New Roman"/>
          <w:lang w:val="fr-CA"/>
        </w:rPr>
        <w:t>ci — n</w:t>
      </w:r>
      <w:r>
        <w:rPr>
          <w:rFonts w:cs="Times New Roman"/>
          <w:lang w:val="fr-CA"/>
        </w:rPr>
        <w:t>’</w:t>
      </w:r>
      <w:r w:rsidRPr="009B2D0F">
        <w:rPr>
          <w:rFonts w:cs="Times New Roman"/>
          <w:lang w:val="fr-CA"/>
        </w:rPr>
        <w:t>ont jamais été modifiées.</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En 2005, Nathan a découvert que Gloria était copropriétaire de la maison. Gloria lui a assuré que l</w:t>
      </w:r>
      <w:r>
        <w:rPr>
          <w:rFonts w:cs="Times New Roman"/>
          <w:lang w:val="fr-CA"/>
        </w:rPr>
        <w:t>’</w:t>
      </w:r>
      <w:r w:rsidRPr="009B2D0F">
        <w:rPr>
          <w:rFonts w:cs="Times New Roman"/>
          <w:lang w:val="fr-CA"/>
        </w:rPr>
        <w:t>arrangement visait à simplifier l</w:t>
      </w:r>
      <w:r>
        <w:rPr>
          <w:rFonts w:cs="Times New Roman"/>
          <w:lang w:val="fr-CA"/>
        </w:rPr>
        <w:t>’</w:t>
      </w:r>
      <w:r w:rsidRPr="009B2D0F">
        <w:rPr>
          <w:rFonts w:cs="Times New Roman"/>
          <w:lang w:val="fr-CA"/>
        </w:rPr>
        <w:t>administration de la succession de leur mère et que son frère Max et lui recevraient quand même leur part d</w:t>
      </w:r>
      <w:r>
        <w:rPr>
          <w:rFonts w:cs="Times New Roman"/>
          <w:lang w:val="fr-CA"/>
        </w:rPr>
        <w:t>’</w:t>
      </w:r>
      <w:r w:rsidRPr="009B2D0F">
        <w:rPr>
          <w:rFonts w:cs="Times New Roman"/>
          <w:lang w:val="fr-CA"/>
        </w:rPr>
        <w:t>un tiers chacun. Elle a donné la même assurance à Max quatre ans plus tard, quand celui</w:t>
      </w:r>
      <w:r>
        <w:rPr>
          <w:rFonts w:cs="Times New Roman"/>
          <w:lang w:val="fr-CA"/>
        </w:rPr>
        <w:noBreakHyphen/>
      </w:r>
      <w:r w:rsidRPr="009B2D0F">
        <w:rPr>
          <w:rFonts w:cs="Times New Roman"/>
          <w:lang w:val="fr-CA"/>
        </w:rPr>
        <w:t xml:space="preserve">ci a appris que le nom de Gloria figurait sur le titre de propriété. </w:t>
      </w:r>
      <w:r>
        <w:rPr>
          <w:rFonts w:cs="Times New Roman"/>
          <w:lang w:val="fr-CA"/>
        </w:rPr>
        <w:t xml:space="preserve">Ce n’est qu’en avril </w:t>
      </w:r>
      <w:r w:rsidRPr="009B2D0F">
        <w:rPr>
          <w:rFonts w:cs="Times New Roman"/>
          <w:lang w:val="fr-CA"/>
        </w:rPr>
        <w:t>2011 que Gloria a modifié sa position, soit lorsque huit mois après le décès d</w:t>
      </w:r>
      <w:r>
        <w:rPr>
          <w:rFonts w:cs="Times New Roman"/>
          <w:lang w:val="fr-CA"/>
        </w:rPr>
        <w:t>’</w:t>
      </w:r>
      <w:r w:rsidRPr="009B2D0F">
        <w:rPr>
          <w:rFonts w:cs="Times New Roman"/>
          <w:lang w:val="fr-CA"/>
        </w:rPr>
        <w:t>Elizabeth, la déclaration de fiducie lui accordant un droit [</w:t>
      </w:r>
      <w:r w:rsidRPr="009B2D0F">
        <w:rPr>
          <w:rFonts w:cs="Times New Roman"/>
          <w:smallCaps/>
          <w:lang w:val="fr-CA"/>
        </w:rPr>
        <w:t>traduction</w:t>
      </w:r>
      <w:r w:rsidRPr="009B2D0F">
        <w:rPr>
          <w:rFonts w:cs="Times New Roman"/>
          <w:lang w:val="fr-CA"/>
        </w:rPr>
        <w:t xml:space="preserve">] « absolu » </w:t>
      </w:r>
      <w:r w:rsidRPr="009B2D0F">
        <w:rPr>
          <w:rFonts w:cs="Times New Roman"/>
          <w:lang w:val="fr-CA"/>
        </w:rPr>
        <w:lastRenderedPageBreak/>
        <w:t>dans les biens de celle</w:t>
      </w:r>
      <w:r>
        <w:rPr>
          <w:rFonts w:cs="Times New Roman"/>
          <w:lang w:val="fr-CA"/>
        </w:rPr>
        <w:noBreakHyphen/>
      </w:r>
      <w:r w:rsidRPr="009B2D0F">
        <w:rPr>
          <w:rFonts w:cs="Times New Roman"/>
          <w:lang w:val="fr-CA"/>
        </w:rPr>
        <w:t>ci a été mise au jour et qu</w:t>
      </w:r>
      <w:r>
        <w:rPr>
          <w:rFonts w:cs="Times New Roman"/>
          <w:lang w:val="fr-CA"/>
        </w:rPr>
        <w:t>’</w:t>
      </w:r>
      <w:r w:rsidRPr="009B2D0F">
        <w:rPr>
          <w:rFonts w:cs="Times New Roman"/>
          <w:lang w:val="fr-CA"/>
        </w:rPr>
        <w:t>elle a annoncé qu</w:t>
      </w:r>
      <w:r>
        <w:rPr>
          <w:rFonts w:cs="Times New Roman"/>
          <w:lang w:val="fr-CA"/>
        </w:rPr>
        <w:t>’</w:t>
      </w:r>
      <w:r w:rsidRPr="009B2D0F">
        <w:rPr>
          <w:rFonts w:cs="Times New Roman"/>
          <w:lang w:val="fr-CA"/>
        </w:rPr>
        <w:t>elle avait l</w:t>
      </w:r>
      <w:r>
        <w:rPr>
          <w:rFonts w:cs="Times New Roman"/>
          <w:lang w:val="fr-CA"/>
        </w:rPr>
        <w:t>’</w:t>
      </w:r>
      <w:r w:rsidRPr="009B2D0F">
        <w:rPr>
          <w:rFonts w:cs="Times New Roman"/>
          <w:lang w:val="fr-CA"/>
        </w:rPr>
        <w:t>intention de mettre en vente la maison, dans laquelle Max vivait toujours.</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La présente instance s</w:t>
      </w:r>
      <w:r>
        <w:rPr>
          <w:rFonts w:cs="Times New Roman"/>
          <w:lang w:val="fr-CA"/>
        </w:rPr>
        <w:t>’</w:t>
      </w:r>
      <w:r w:rsidRPr="009B2D0F">
        <w:rPr>
          <w:rFonts w:cs="Times New Roman"/>
          <w:lang w:val="fr-CA"/>
        </w:rPr>
        <w:t>en est suivie. Nathan et Max ont sollicité une ordonnance annulant la déclaration de fiducie de 2001 pour cause d</w:t>
      </w:r>
      <w:r>
        <w:rPr>
          <w:rFonts w:cs="Times New Roman"/>
          <w:lang w:val="fr-CA"/>
        </w:rPr>
        <w:t>’</w:t>
      </w:r>
      <w:r w:rsidRPr="009B2D0F">
        <w:rPr>
          <w:rFonts w:cs="Times New Roman"/>
          <w:lang w:val="fr-CA"/>
        </w:rPr>
        <w:t>influence indue de Gloria sur Elizabeth, et déclarant que Gloria détenait par conséquent la propriété et les placements en fiducie au bénéfice de la succession d</w:t>
      </w:r>
      <w:r>
        <w:rPr>
          <w:rFonts w:cs="Times New Roman"/>
          <w:lang w:val="fr-CA"/>
        </w:rPr>
        <w:t>’</w:t>
      </w:r>
      <w:r w:rsidRPr="009B2D0F">
        <w:rPr>
          <w:rFonts w:cs="Times New Roman"/>
          <w:lang w:val="fr-CA"/>
        </w:rPr>
        <w:t>Elizabeth et que ces biens devaient être partagés également entre les trois enfants conformément au testament daté de 2002. Invoquant la préclusion propriétale, ils ont également fait valoir que Max était en droit d</w:t>
      </w:r>
      <w:r>
        <w:rPr>
          <w:rFonts w:cs="Times New Roman"/>
          <w:lang w:val="fr-CA"/>
        </w:rPr>
        <w:t>’</w:t>
      </w:r>
      <w:r w:rsidRPr="009B2D0F">
        <w:rPr>
          <w:rFonts w:cs="Times New Roman"/>
          <w:lang w:val="fr-CA"/>
        </w:rPr>
        <w:t>acheter l</w:t>
      </w:r>
      <w:r>
        <w:rPr>
          <w:rFonts w:cs="Times New Roman"/>
          <w:lang w:val="fr-CA"/>
        </w:rPr>
        <w:t>’</w:t>
      </w:r>
      <w:r w:rsidRPr="009B2D0F">
        <w:rPr>
          <w:rFonts w:cs="Times New Roman"/>
          <w:lang w:val="fr-CA"/>
        </w:rPr>
        <w:t>intérêt de Gloria sur le tiers de la maison.</w:t>
      </w:r>
    </w:p>
    <w:p w:rsidR="00987842" w:rsidRPr="009B2D0F" w:rsidRDefault="00987842" w:rsidP="00987842">
      <w:pPr>
        <w:pStyle w:val="ParaNoNdepar-AltN"/>
        <w:tabs>
          <w:tab w:val="clear" w:pos="1692"/>
          <w:tab w:val="num" w:pos="1152"/>
        </w:tabs>
        <w:ind w:left="0"/>
        <w:rPr>
          <w:lang w:val="fr-CA"/>
        </w:rPr>
      </w:pPr>
      <w:r w:rsidRPr="009B2D0F">
        <w:rPr>
          <w:lang w:val="fr-CA"/>
        </w:rPr>
        <w:t>Les frères ont eu gain de cause en première instance (2015 BCSC 1170, 10 E.T.R. (4th) 218).</w:t>
      </w:r>
      <w:r w:rsidRPr="009B2D0F">
        <w:rPr>
          <w:rFonts w:cs="Times New Roman"/>
          <w:lang w:val="fr-CA"/>
        </w:rPr>
        <w:t xml:space="preserve"> La juge de première instance a conclu que Gloria n</w:t>
      </w:r>
      <w:r>
        <w:rPr>
          <w:rFonts w:cs="Times New Roman"/>
          <w:lang w:val="fr-CA"/>
        </w:rPr>
        <w:t>’</w:t>
      </w:r>
      <w:r w:rsidRPr="009B2D0F">
        <w:rPr>
          <w:rFonts w:cs="Times New Roman"/>
          <w:lang w:val="fr-CA"/>
        </w:rPr>
        <w:t>avait pas réfuté les présomptions d</w:t>
      </w:r>
      <w:r>
        <w:rPr>
          <w:rFonts w:cs="Times New Roman"/>
          <w:lang w:val="fr-CA"/>
        </w:rPr>
        <w:t>’</w:t>
      </w:r>
      <w:r w:rsidRPr="009B2D0F">
        <w:rPr>
          <w:rFonts w:cs="Times New Roman"/>
          <w:lang w:val="fr-CA"/>
        </w:rPr>
        <w:t xml:space="preserve">influence indue et de fiducie </w:t>
      </w:r>
      <w:proofErr w:type="spellStart"/>
      <w:r w:rsidRPr="009B2D0F">
        <w:rPr>
          <w:rFonts w:cs="Times New Roman"/>
          <w:lang w:val="fr-CA"/>
        </w:rPr>
        <w:t>résultoire</w:t>
      </w:r>
      <w:proofErr w:type="spellEnd"/>
      <w:r w:rsidRPr="009B2D0F">
        <w:rPr>
          <w:rFonts w:cs="Times New Roman"/>
          <w:lang w:val="fr-CA"/>
        </w:rPr>
        <w:t>, et elle a déclaré que la propriété appartenait à la succession d</w:t>
      </w:r>
      <w:r>
        <w:rPr>
          <w:rFonts w:cs="Times New Roman"/>
          <w:lang w:val="fr-CA"/>
        </w:rPr>
        <w:t>’</w:t>
      </w:r>
      <w:r w:rsidRPr="009B2D0F">
        <w:rPr>
          <w:rFonts w:cs="Times New Roman"/>
          <w:lang w:val="fr-CA"/>
        </w:rPr>
        <w:t>Elizabeth. Elle a également statué que les éléments de la préclusion propriétale avaient été établis.</w:t>
      </w:r>
      <w:r w:rsidRPr="009B2D0F">
        <w:rPr>
          <w:lang w:val="fr-CA"/>
        </w:rPr>
        <w:t xml:space="preserve"> Gloria a interjeté appel. La Cour d</w:t>
      </w:r>
      <w:r>
        <w:rPr>
          <w:lang w:val="fr-CA"/>
        </w:rPr>
        <w:t>’</w:t>
      </w:r>
      <w:r w:rsidRPr="009B2D0F">
        <w:rPr>
          <w:lang w:val="fr-CA"/>
        </w:rPr>
        <w:t>appel de la Colombie</w:t>
      </w:r>
      <w:r>
        <w:rPr>
          <w:lang w:val="fr-CA"/>
        </w:rPr>
        <w:noBreakHyphen/>
      </w:r>
      <w:r w:rsidRPr="009B2D0F">
        <w:rPr>
          <w:lang w:val="fr-CA"/>
        </w:rPr>
        <w:t>Britannique (2016 BCCA 200, 400 D.L.R. (4th) 579) a confirmé à l</w:t>
      </w:r>
      <w:r>
        <w:rPr>
          <w:lang w:val="fr-CA"/>
        </w:rPr>
        <w:t>’</w:t>
      </w:r>
      <w:r w:rsidRPr="009B2D0F">
        <w:rPr>
          <w:lang w:val="fr-CA"/>
        </w:rPr>
        <w:t>unanimité les conclusions de la juge de première instance concernant l</w:t>
      </w:r>
      <w:r>
        <w:rPr>
          <w:lang w:val="fr-CA"/>
        </w:rPr>
        <w:t>’</w:t>
      </w:r>
      <w:r w:rsidRPr="009B2D0F">
        <w:rPr>
          <w:lang w:val="fr-CA"/>
        </w:rPr>
        <w:t xml:space="preserve">influence indue et la fiducie </w:t>
      </w:r>
      <w:proofErr w:type="spellStart"/>
      <w:r w:rsidRPr="009B2D0F">
        <w:rPr>
          <w:lang w:val="fr-CA"/>
        </w:rPr>
        <w:t>résultoire</w:t>
      </w:r>
      <w:proofErr w:type="spellEnd"/>
      <w:r w:rsidRPr="009B2D0F">
        <w:rPr>
          <w:lang w:val="fr-CA"/>
        </w:rPr>
        <w:t>, mais elle était divisée sur la question de la préclusion propriétale. Les juges majoritaires ont conclu que, comme Gloria ne détenait aucun intérêt dans la propriété, il ne pouvait y avoir de préclusion propriétale. La juge Smith était dissidente; elle aurait rejeté l</w:t>
      </w:r>
      <w:r>
        <w:rPr>
          <w:lang w:val="fr-CA"/>
        </w:rPr>
        <w:t>’</w:t>
      </w:r>
      <w:r w:rsidRPr="009B2D0F">
        <w:rPr>
          <w:lang w:val="fr-CA"/>
        </w:rPr>
        <w:t>appel de Gloria dans son intégralité.</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lastRenderedPageBreak/>
        <w:t>Max se pourvoit devant notre Cour sur la question de la préclusion propriétale. Gloria n</w:t>
      </w:r>
      <w:r>
        <w:rPr>
          <w:rFonts w:cs="Times New Roman"/>
          <w:lang w:val="fr-CA"/>
        </w:rPr>
        <w:t>’</w:t>
      </w:r>
      <w:r w:rsidRPr="009B2D0F">
        <w:rPr>
          <w:rFonts w:cs="Times New Roman"/>
          <w:lang w:val="fr-CA"/>
        </w:rPr>
        <w:t>a pas interjeté d</w:t>
      </w:r>
      <w:r>
        <w:rPr>
          <w:rFonts w:cs="Times New Roman"/>
          <w:lang w:val="fr-CA"/>
        </w:rPr>
        <w:t>’</w:t>
      </w:r>
      <w:r w:rsidRPr="009B2D0F">
        <w:rPr>
          <w:rFonts w:cs="Times New Roman"/>
          <w:lang w:val="fr-CA"/>
        </w:rPr>
        <w:t>appel incident concernant l</w:t>
      </w:r>
      <w:r>
        <w:rPr>
          <w:rFonts w:cs="Times New Roman"/>
          <w:lang w:val="fr-CA"/>
        </w:rPr>
        <w:t>’</w:t>
      </w:r>
      <w:r w:rsidRPr="009B2D0F">
        <w:rPr>
          <w:rFonts w:cs="Times New Roman"/>
          <w:lang w:val="fr-CA"/>
        </w:rPr>
        <w:t xml:space="preserve">influence indue ou la fiducie </w:t>
      </w:r>
      <w:proofErr w:type="spellStart"/>
      <w:r w:rsidRPr="009B2D0F">
        <w:rPr>
          <w:rFonts w:cs="Times New Roman"/>
          <w:lang w:val="fr-CA"/>
        </w:rPr>
        <w:t>résultoire</w:t>
      </w:r>
      <w:proofErr w:type="spellEnd"/>
      <w:r w:rsidRPr="009B2D0F">
        <w:rPr>
          <w:rFonts w:cs="Times New Roman"/>
          <w:lang w:val="fr-CA"/>
        </w:rPr>
        <w:t>.</w:t>
      </w:r>
    </w:p>
    <w:p w:rsidR="00987842" w:rsidRPr="009B2D0F" w:rsidRDefault="00987842" w:rsidP="00987842">
      <w:pPr>
        <w:pStyle w:val="Title1LevelTitre1Niveau-AltL"/>
        <w:rPr>
          <w:rFonts w:cs="Times New Roman"/>
          <w:lang w:val="fr-CA"/>
        </w:rPr>
      </w:pPr>
      <w:r w:rsidRPr="009B2D0F">
        <w:rPr>
          <w:rFonts w:cs="Times New Roman"/>
          <w:lang w:val="fr-CA"/>
        </w:rPr>
        <w:t>Questions en litige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 xml:space="preserve">La principale question dont nous sommes saisis est celle de savoir si la juge de première instance a conclu à tort que la préclusion propriétale permettait de faire respecter la promesse de Gloria. Nous devons donc examiner les éléments de la préclusion propriétale et vérifier si la preuve étaye la conclusion de la juge de première instance selon laquelle ces éléments sont réunis. Plus particulièrement, il nous faut décider si la demande de Max doit échouer parce que Gloria ne détenait aucun intérêt dans la propriété.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Si la préclusion propriétale peut effectivement être établie, nous devons ensuite nous prononcer sur la question de la réparation à accorder.</w:t>
      </w:r>
    </w:p>
    <w:p w:rsidR="00987842" w:rsidRPr="009B2D0F" w:rsidRDefault="00987842" w:rsidP="00987842">
      <w:pPr>
        <w:pStyle w:val="Title1LevelTitre1Niveau-AltL"/>
        <w:rPr>
          <w:rFonts w:cs="Times New Roman"/>
          <w:lang w:val="fr-CA"/>
        </w:rPr>
      </w:pPr>
      <w:r w:rsidRPr="009B2D0F">
        <w:rPr>
          <w:rFonts w:cs="Times New Roman"/>
          <w:lang w:val="fr-CA"/>
        </w:rPr>
        <w:t>Analyse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 xml:space="preserve">Les circonstances suivantes donnent naissance à un droit en </w:t>
      </w:r>
      <w:proofErr w:type="spellStart"/>
      <w:r w:rsidRPr="009B2D0F">
        <w:rPr>
          <w:rFonts w:cs="Times New Roman"/>
          <w:lang w:val="fr-CA"/>
        </w:rPr>
        <w:t>equity</w:t>
      </w:r>
      <w:proofErr w:type="spellEnd"/>
      <w:r>
        <w:rPr>
          <w:rFonts w:cs="Times New Roman"/>
          <w:lang w:val="fr-CA"/>
        </w:rPr>
        <w:t> :</w:t>
      </w:r>
      <w:r w:rsidRPr="009B2D0F">
        <w:rPr>
          <w:rFonts w:cs="Times New Roman"/>
          <w:lang w:val="fr-CA"/>
        </w:rPr>
        <w:t xml:space="preserve"> (1)</w:t>
      </w:r>
      <w:r>
        <w:rPr>
          <w:rFonts w:cs="Times New Roman"/>
          <w:lang w:val="fr-CA"/>
        </w:rPr>
        <w:t> </w:t>
      </w:r>
      <w:r w:rsidRPr="009B2D0F">
        <w:rPr>
          <w:rFonts w:cs="Times New Roman"/>
          <w:lang w:val="fr-CA"/>
        </w:rPr>
        <w:t>une déclaration est faite au demandeur ou une assurance est donnée à celui</w:t>
      </w:r>
      <w:r>
        <w:rPr>
          <w:rFonts w:cs="Times New Roman"/>
          <w:lang w:val="fr-CA"/>
        </w:rPr>
        <w:noBreakHyphen/>
      </w:r>
      <w:r w:rsidRPr="009B2D0F">
        <w:rPr>
          <w:rFonts w:cs="Times New Roman"/>
          <w:lang w:val="fr-CA"/>
        </w:rPr>
        <w:t>ci, sur le fondement de laquelle le demandeur s</w:t>
      </w:r>
      <w:r>
        <w:rPr>
          <w:rFonts w:cs="Times New Roman"/>
          <w:lang w:val="fr-CA"/>
        </w:rPr>
        <w:t>’</w:t>
      </w:r>
      <w:r w:rsidRPr="009B2D0F">
        <w:rPr>
          <w:rFonts w:cs="Times New Roman"/>
          <w:lang w:val="fr-CA"/>
        </w:rPr>
        <w:t>attend à bénéficier d</w:t>
      </w:r>
      <w:r>
        <w:rPr>
          <w:rFonts w:cs="Times New Roman"/>
          <w:lang w:val="fr-CA"/>
        </w:rPr>
        <w:t>’</w:t>
      </w:r>
      <w:r w:rsidRPr="009B2D0F">
        <w:rPr>
          <w:rFonts w:cs="Times New Roman"/>
          <w:lang w:val="fr-CA"/>
        </w:rPr>
        <w:t>un certain droit ou avantage dans un bien; (2)</w:t>
      </w:r>
      <w:r>
        <w:rPr>
          <w:rFonts w:cs="Times New Roman"/>
          <w:lang w:val="fr-CA"/>
        </w:rPr>
        <w:t> </w:t>
      </w:r>
      <w:r w:rsidRPr="009B2D0F">
        <w:rPr>
          <w:rFonts w:cs="Times New Roman"/>
          <w:lang w:val="fr-CA"/>
        </w:rPr>
        <w:t>le demandeur s</w:t>
      </w:r>
      <w:r>
        <w:rPr>
          <w:rFonts w:cs="Times New Roman"/>
          <w:lang w:val="fr-CA"/>
        </w:rPr>
        <w:t>’</w:t>
      </w:r>
      <w:r w:rsidRPr="009B2D0F">
        <w:rPr>
          <w:rFonts w:cs="Times New Roman"/>
          <w:lang w:val="fr-CA"/>
        </w:rPr>
        <w:t>appuie sur cette attente en faisant quelque chose ou en s</w:t>
      </w:r>
      <w:r>
        <w:rPr>
          <w:rFonts w:cs="Times New Roman"/>
          <w:lang w:val="fr-CA"/>
        </w:rPr>
        <w:t>’</w:t>
      </w:r>
      <w:r w:rsidRPr="009B2D0F">
        <w:rPr>
          <w:rFonts w:cs="Times New Roman"/>
          <w:lang w:val="fr-CA"/>
        </w:rPr>
        <w:t xml:space="preserve">abstenant de faire quelque chose, et cet acte de confiance est raisonnable eu égard </w:t>
      </w:r>
      <w:r w:rsidRPr="009B2D0F">
        <w:rPr>
          <w:rFonts w:cs="Times New Roman"/>
          <w:lang w:val="fr-CA"/>
        </w:rPr>
        <w:lastRenderedPageBreak/>
        <w:t>à l</w:t>
      </w:r>
      <w:r>
        <w:rPr>
          <w:rFonts w:cs="Times New Roman"/>
          <w:lang w:val="fr-CA"/>
        </w:rPr>
        <w:t>’</w:t>
      </w:r>
      <w:r w:rsidRPr="009B2D0F">
        <w:rPr>
          <w:rFonts w:cs="Times New Roman"/>
          <w:lang w:val="fr-CA"/>
        </w:rPr>
        <w:t>ensemble des circonstances;</w:t>
      </w:r>
      <w:r>
        <w:rPr>
          <w:rFonts w:cs="Times New Roman"/>
          <w:lang w:val="fr-CA"/>
        </w:rPr>
        <w:t xml:space="preserve"> (3) </w:t>
      </w:r>
      <w:r w:rsidRPr="009B2D0F">
        <w:rPr>
          <w:rFonts w:cs="Times New Roman"/>
          <w:lang w:val="fr-CA"/>
        </w:rPr>
        <w:t xml:space="preserve">le demandeur subit </w:t>
      </w:r>
      <w:r w:rsidRPr="001F2942">
        <w:rPr>
          <w:rFonts w:cs="Times New Roman"/>
          <w:lang w:val="fr-CA"/>
        </w:rPr>
        <w:t>un préjudice</w:t>
      </w:r>
      <w:r w:rsidRPr="009B2D0F">
        <w:rPr>
          <w:rFonts w:cs="Times New Roman"/>
          <w:lang w:val="fr-CA"/>
        </w:rPr>
        <w:t xml:space="preserve"> en raison de </w:t>
      </w:r>
      <w:r>
        <w:rPr>
          <w:rFonts w:cs="Times New Roman"/>
          <w:lang w:val="fr-CA"/>
        </w:rPr>
        <w:t xml:space="preserve">son </w:t>
      </w:r>
      <w:r w:rsidRPr="009B2D0F">
        <w:rPr>
          <w:rFonts w:cs="Times New Roman"/>
          <w:lang w:val="fr-CA"/>
        </w:rPr>
        <w:t>acte de confiance raisonnable, de sorte qu</w:t>
      </w:r>
      <w:r>
        <w:rPr>
          <w:rFonts w:cs="Times New Roman"/>
          <w:lang w:val="fr-CA"/>
        </w:rPr>
        <w:t>’</w:t>
      </w:r>
      <w:r w:rsidRPr="009B2D0F">
        <w:rPr>
          <w:rFonts w:cs="Times New Roman"/>
          <w:lang w:val="fr-CA"/>
        </w:rPr>
        <w:t>il serait inéquitable ou injuste que la partie à l</w:t>
      </w:r>
      <w:r>
        <w:rPr>
          <w:rFonts w:cs="Times New Roman"/>
          <w:lang w:val="fr-CA"/>
        </w:rPr>
        <w:t>’</w:t>
      </w:r>
      <w:r w:rsidRPr="009B2D0F">
        <w:rPr>
          <w:rFonts w:cs="Times New Roman"/>
          <w:lang w:val="fr-CA"/>
        </w:rPr>
        <w:t>origine de la déclaration ou de l</w:t>
      </w:r>
      <w:r>
        <w:rPr>
          <w:rFonts w:cs="Times New Roman"/>
          <w:lang w:val="fr-CA"/>
        </w:rPr>
        <w:t>’</w:t>
      </w:r>
      <w:r w:rsidRPr="009B2D0F">
        <w:rPr>
          <w:rFonts w:cs="Times New Roman"/>
          <w:lang w:val="fr-CA"/>
        </w:rPr>
        <w:t xml:space="preserve">assurance revienne sur sa parole (voir </w:t>
      </w:r>
      <w:proofErr w:type="spellStart"/>
      <w:r w:rsidRPr="009B2D0F">
        <w:rPr>
          <w:rFonts w:cs="Times New Roman"/>
          <w:i/>
          <w:lang w:val="fr-CA"/>
        </w:rPr>
        <w:t>Thorner</w:t>
      </w:r>
      <w:proofErr w:type="spellEnd"/>
      <w:r w:rsidRPr="009B2D0F">
        <w:rPr>
          <w:rFonts w:cs="Times New Roman"/>
          <w:i/>
          <w:lang w:val="fr-CA"/>
        </w:rPr>
        <w:t xml:space="preserve"> c. Major</w:t>
      </w:r>
      <w:r w:rsidRPr="009B2D0F">
        <w:rPr>
          <w:rFonts w:cs="Times New Roman"/>
          <w:lang w:val="fr-CA"/>
        </w:rPr>
        <w:t xml:space="preserve">, [2009] UKHL 18, [2009] 1 W.L.R. 776, </w:t>
      </w:r>
      <w:r>
        <w:rPr>
          <w:rFonts w:cs="Times New Roman"/>
          <w:lang w:val="fr-CA"/>
        </w:rPr>
        <w:t>par. </w:t>
      </w:r>
      <w:r w:rsidRPr="009B2D0F">
        <w:rPr>
          <w:rFonts w:cs="Times New Roman"/>
          <w:lang w:val="fr-CA"/>
        </w:rPr>
        <w:t xml:space="preserve">29, lord Walker; voir aussi </w:t>
      </w:r>
      <w:proofErr w:type="spellStart"/>
      <w:r w:rsidRPr="009B2D0F">
        <w:rPr>
          <w:rFonts w:cs="Times New Roman"/>
          <w:i/>
          <w:lang w:val="fr-CA"/>
        </w:rPr>
        <w:t>Sabey</w:t>
      </w:r>
      <w:proofErr w:type="spellEnd"/>
      <w:r w:rsidRPr="009B2D0F">
        <w:rPr>
          <w:rFonts w:cs="Times New Roman"/>
          <w:i/>
          <w:lang w:val="fr-CA"/>
        </w:rPr>
        <w:t xml:space="preserve"> c</w:t>
      </w:r>
      <w:r w:rsidRPr="009B2D0F">
        <w:rPr>
          <w:rFonts w:cs="Times New Roman"/>
          <w:i/>
          <w:szCs w:val="24"/>
          <w:lang w:val="fr-CA"/>
        </w:rPr>
        <w:t xml:space="preserve">. </w:t>
      </w:r>
      <w:proofErr w:type="spellStart"/>
      <w:r w:rsidRPr="009B2D0F">
        <w:rPr>
          <w:rFonts w:cs="Times New Roman"/>
          <w:i/>
          <w:szCs w:val="24"/>
          <w:lang w:val="fr-CA"/>
        </w:rPr>
        <w:t>von</w:t>
      </w:r>
      <w:proofErr w:type="spellEnd"/>
      <w:r w:rsidRPr="009B2D0F">
        <w:rPr>
          <w:rFonts w:cs="Times New Roman"/>
          <w:i/>
          <w:szCs w:val="24"/>
          <w:lang w:val="fr-CA"/>
        </w:rPr>
        <w:t xml:space="preserve"> </w:t>
      </w:r>
      <w:proofErr w:type="spellStart"/>
      <w:r w:rsidRPr="009B2D0F">
        <w:rPr>
          <w:rFonts w:cs="Times New Roman"/>
          <w:i/>
          <w:szCs w:val="24"/>
          <w:lang w:val="fr-CA"/>
        </w:rPr>
        <w:t>Hopffgarten</w:t>
      </w:r>
      <w:proofErr w:type="spellEnd"/>
      <w:r w:rsidRPr="009B2D0F">
        <w:rPr>
          <w:rFonts w:cs="Times New Roman"/>
          <w:i/>
          <w:szCs w:val="24"/>
          <w:lang w:val="fr-CA"/>
        </w:rPr>
        <w:t xml:space="preserve"> </w:t>
      </w:r>
      <w:proofErr w:type="spellStart"/>
      <w:r w:rsidRPr="009B2D0F">
        <w:rPr>
          <w:rFonts w:cs="Times New Roman"/>
          <w:i/>
          <w:szCs w:val="24"/>
          <w:lang w:val="fr-CA"/>
        </w:rPr>
        <w:t>Estate</w:t>
      </w:r>
      <w:proofErr w:type="spellEnd"/>
      <w:r w:rsidRPr="009B2D0F">
        <w:rPr>
          <w:rFonts w:cs="Times New Roman"/>
          <w:szCs w:val="24"/>
          <w:lang w:val="fr-CA"/>
        </w:rPr>
        <w:t>, 2014 BCCA 360</w:t>
      </w:r>
      <w:r w:rsidRPr="009B2D0F">
        <w:rPr>
          <w:rFonts w:cs="Times New Roman"/>
          <w:lang w:val="fr-CA"/>
        </w:rPr>
        <w:t>, 378 D.L.R. (4th) 64,</w:t>
      </w:r>
      <w:r>
        <w:rPr>
          <w:rFonts w:cs="Times New Roman"/>
          <w:lang w:val="fr-CA"/>
        </w:rPr>
        <w:t xml:space="preserve"> par. </w:t>
      </w:r>
      <w:r w:rsidRPr="009B2D0F">
        <w:rPr>
          <w:rFonts w:cs="Times New Roman"/>
          <w:lang w:val="fr-CA"/>
        </w:rPr>
        <w:t xml:space="preserve">30; </w:t>
      </w:r>
      <w:r w:rsidRPr="009B2D0F">
        <w:rPr>
          <w:rFonts w:cs="Times New Roman"/>
          <w:i/>
          <w:szCs w:val="24"/>
          <w:lang w:val="fr-CA"/>
        </w:rPr>
        <w:t>Clarke c. Johnson</w:t>
      </w:r>
      <w:r w:rsidRPr="009B2D0F">
        <w:rPr>
          <w:rFonts w:cs="Times New Roman"/>
          <w:szCs w:val="24"/>
          <w:lang w:val="fr-CA"/>
        </w:rPr>
        <w:t xml:space="preserve">, 2014 ONCA 237, 371 D.L.R. (4th) 618, </w:t>
      </w:r>
      <w:r>
        <w:rPr>
          <w:rFonts w:cs="Times New Roman"/>
          <w:szCs w:val="24"/>
          <w:lang w:val="fr-CA"/>
        </w:rPr>
        <w:t>par. </w:t>
      </w:r>
      <w:r w:rsidRPr="009B2D0F">
        <w:rPr>
          <w:rFonts w:cs="Times New Roman"/>
          <w:szCs w:val="24"/>
          <w:lang w:val="fr-CA"/>
        </w:rPr>
        <w:t xml:space="preserve">52; </w:t>
      </w:r>
      <w:proofErr w:type="spellStart"/>
      <w:r w:rsidRPr="009B2D0F">
        <w:rPr>
          <w:rFonts w:cs="Times New Roman"/>
          <w:bCs/>
          <w:i/>
          <w:szCs w:val="24"/>
          <w:lang w:val="fr-CA"/>
        </w:rPr>
        <w:t>Idle</w:t>
      </w:r>
      <w:proofErr w:type="spellEnd"/>
      <w:r>
        <w:rPr>
          <w:rFonts w:cs="Times New Roman"/>
          <w:bCs/>
          <w:i/>
          <w:szCs w:val="24"/>
          <w:lang w:val="fr-CA"/>
        </w:rPr>
        <w:noBreakHyphen/>
      </w:r>
      <w:r w:rsidRPr="009B2D0F">
        <w:rPr>
          <w:rFonts w:cs="Times New Roman"/>
          <w:bCs/>
          <w:i/>
          <w:szCs w:val="24"/>
          <w:lang w:val="fr-CA"/>
        </w:rPr>
        <w:t xml:space="preserve">O </w:t>
      </w:r>
      <w:proofErr w:type="spellStart"/>
      <w:r w:rsidRPr="009B2D0F">
        <w:rPr>
          <w:rFonts w:cs="Times New Roman"/>
          <w:bCs/>
          <w:i/>
          <w:szCs w:val="24"/>
          <w:lang w:val="fr-CA"/>
        </w:rPr>
        <w:t>Apartments</w:t>
      </w:r>
      <w:proofErr w:type="spellEnd"/>
      <w:r w:rsidRPr="009B2D0F">
        <w:rPr>
          <w:rFonts w:cs="Times New Roman"/>
          <w:bCs/>
          <w:i/>
          <w:szCs w:val="24"/>
          <w:lang w:val="fr-CA"/>
        </w:rPr>
        <w:t xml:space="preserve"> Inc. c. </w:t>
      </w:r>
      <w:proofErr w:type="spellStart"/>
      <w:r w:rsidRPr="009B2D0F">
        <w:rPr>
          <w:rFonts w:cs="Times New Roman"/>
          <w:bCs/>
          <w:i/>
          <w:szCs w:val="24"/>
          <w:lang w:val="fr-CA"/>
        </w:rPr>
        <w:t>Charlyn</w:t>
      </w:r>
      <w:proofErr w:type="spellEnd"/>
      <w:r w:rsidRPr="009B2D0F">
        <w:rPr>
          <w:rFonts w:cs="Times New Roman"/>
          <w:bCs/>
          <w:i/>
          <w:szCs w:val="24"/>
          <w:lang w:val="fr-CA"/>
        </w:rPr>
        <w:t xml:space="preserve"> </w:t>
      </w:r>
      <w:proofErr w:type="spellStart"/>
      <w:r w:rsidRPr="009B2D0F">
        <w:rPr>
          <w:rFonts w:cs="Times New Roman"/>
          <w:bCs/>
          <w:i/>
          <w:szCs w:val="24"/>
          <w:lang w:val="fr-CA"/>
        </w:rPr>
        <w:t>Investments</w:t>
      </w:r>
      <w:proofErr w:type="spellEnd"/>
      <w:r w:rsidRPr="009B2D0F">
        <w:rPr>
          <w:rFonts w:cs="Times New Roman"/>
          <w:bCs/>
          <w:i/>
          <w:szCs w:val="24"/>
          <w:lang w:val="fr-CA"/>
        </w:rPr>
        <w:t xml:space="preserve"> Ltd.</w:t>
      </w:r>
      <w:r w:rsidRPr="009B2D0F">
        <w:rPr>
          <w:rFonts w:cs="Times New Roman"/>
          <w:bCs/>
          <w:szCs w:val="24"/>
          <w:lang w:val="fr-CA"/>
        </w:rPr>
        <w:t xml:space="preserve">, 2014 BCCA 451, [2015] 2 W.W.R. 243, </w:t>
      </w:r>
      <w:r>
        <w:rPr>
          <w:rFonts w:cs="Times New Roman"/>
          <w:szCs w:val="24"/>
          <w:lang w:val="fr-CA"/>
        </w:rPr>
        <w:t>par. </w:t>
      </w:r>
      <w:r w:rsidRPr="009B2D0F">
        <w:rPr>
          <w:rFonts w:cs="Times New Roman"/>
          <w:szCs w:val="24"/>
          <w:lang w:val="fr-CA"/>
        </w:rPr>
        <w:t xml:space="preserve">49; </w:t>
      </w:r>
      <w:proofErr w:type="spellStart"/>
      <w:r w:rsidRPr="009B2D0F">
        <w:rPr>
          <w:rFonts w:cs="Times New Roman"/>
          <w:i/>
          <w:szCs w:val="24"/>
          <w:lang w:val="fr-CA"/>
        </w:rPr>
        <w:t>Scholz</w:t>
      </w:r>
      <w:proofErr w:type="spellEnd"/>
      <w:r w:rsidRPr="009B2D0F">
        <w:rPr>
          <w:rFonts w:cs="Times New Roman"/>
          <w:i/>
          <w:szCs w:val="24"/>
          <w:lang w:val="fr-CA"/>
        </w:rPr>
        <w:t xml:space="preserve"> c. </w:t>
      </w:r>
      <w:proofErr w:type="spellStart"/>
      <w:r w:rsidRPr="009B2D0F">
        <w:rPr>
          <w:rFonts w:cs="Times New Roman"/>
          <w:i/>
          <w:szCs w:val="24"/>
          <w:lang w:val="fr-CA"/>
        </w:rPr>
        <w:t>Scholz</w:t>
      </w:r>
      <w:proofErr w:type="spellEnd"/>
      <w:r w:rsidRPr="009B2D0F">
        <w:rPr>
          <w:rFonts w:cs="Times New Roman"/>
          <w:szCs w:val="24"/>
          <w:lang w:val="fr-CA"/>
        </w:rPr>
        <w:t>, 2013 BCCA 309, 340 B.C.A.C. 151,</w:t>
      </w:r>
      <w:r w:rsidRPr="009B2D0F">
        <w:rPr>
          <w:rFonts w:cs="Times New Roman"/>
          <w:i/>
          <w:szCs w:val="24"/>
          <w:lang w:val="fr-CA"/>
        </w:rPr>
        <w:t xml:space="preserve"> </w:t>
      </w:r>
      <w:r>
        <w:rPr>
          <w:rFonts w:cs="Times New Roman"/>
          <w:szCs w:val="24"/>
          <w:lang w:val="fr-CA"/>
        </w:rPr>
        <w:t>par. </w:t>
      </w:r>
      <w:r w:rsidRPr="009B2D0F">
        <w:rPr>
          <w:rFonts w:cs="Times New Roman"/>
          <w:szCs w:val="24"/>
          <w:lang w:val="fr-CA"/>
        </w:rPr>
        <w:t>31). La déclaration ou l</w:t>
      </w:r>
      <w:r>
        <w:rPr>
          <w:rFonts w:cs="Times New Roman"/>
          <w:szCs w:val="24"/>
          <w:lang w:val="fr-CA"/>
        </w:rPr>
        <w:t>’</w:t>
      </w:r>
      <w:r w:rsidRPr="009B2D0F">
        <w:rPr>
          <w:rFonts w:cs="Times New Roman"/>
          <w:lang w:val="fr-CA"/>
        </w:rPr>
        <w:t xml:space="preserve">assurance peuvent être expresses ou implicites (voir </w:t>
      </w:r>
      <w:r w:rsidRPr="009B2D0F">
        <w:rPr>
          <w:rFonts w:cs="Times New Roman"/>
          <w:i/>
          <w:lang w:val="fr-CA"/>
        </w:rPr>
        <w:t>Wolff c. Canada (Attorney General)</w:t>
      </w:r>
      <w:r w:rsidRPr="009B2D0F">
        <w:rPr>
          <w:rFonts w:cs="Times New Roman"/>
          <w:lang w:val="fr-CA"/>
        </w:rPr>
        <w:t>, 2017 BCCA 30, 95 B.C.L.R</w:t>
      </w:r>
      <w:r w:rsidR="00AC3261">
        <w:rPr>
          <w:rFonts w:cs="Times New Roman"/>
          <w:lang w:val="fr-CA"/>
        </w:rPr>
        <w:t>.</w:t>
      </w:r>
      <w:r w:rsidRPr="009B2D0F">
        <w:rPr>
          <w:rFonts w:cs="Times New Roman"/>
          <w:lang w:val="fr-CA"/>
        </w:rPr>
        <w:t xml:space="preserve"> (5th) 15, </w:t>
      </w:r>
      <w:r>
        <w:rPr>
          <w:rFonts w:cs="Times New Roman"/>
          <w:lang w:val="fr-CA"/>
        </w:rPr>
        <w:t>par. </w:t>
      </w:r>
      <w:r w:rsidRPr="009B2D0F">
        <w:rPr>
          <w:rFonts w:cs="Times New Roman"/>
          <w:lang w:val="fr-CA"/>
        </w:rPr>
        <w:t xml:space="preserve">21; </w:t>
      </w:r>
      <w:proofErr w:type="spellStart"/>
      <w:r w:rsidRPr="009B2D0F">
        <w:rPr>
          <w:rFonts w:cs="Times New Roman"/>
          <w:i/>
          <w:lang w:val="fr-CA"/>
        </w:rPr>
        <w:t>Sabey</w:t>
      </w:r>
      <w:proofErr w:type="spellEnd"/>
      <w:r w:rsidRPr="009B2D0F">
        <w:rPr>
          <w:rFonts w:cs="Times New Roman"/>
          <w:lang w:val="fr-CA"/>
        </w:rPr>
        <w:t xml:space="preserve">, </w:t>
      </w:r>
      <w:r>
        <w:rPr>
          <w:rFonts w:cs="Times New Roman"/>
          <w:lang w:val="fr-CA"/>
        </w:rPr>
        <w:t>par. </w:t>
      </w:r>
      <w:r w:rsidRPr="009B2D0F">
        <w:rPr>
          <w:rFonts w:cs="Times New Roman"/>
          <w:lang w:val="fr-CA"/>
        </w:rPr>
        <w:t xml:space="preserve">33; B. </w:t>
      </w:r>
      <w:proofErr w:type="spellStart"/>
      <w:r w:rsidRPr="009B2D0F">
        <w:rPr>
          <w:rFonts w:cs="Times New Roman"/>
          <w:lang w:val="fr-CA"/>
        </w:rPr>
        <w:t>MacDougall</w:t>
      </w:r>
      <w:proofErr w:type="spellEnd"/>
      <w:r w:rsidRPr="009B2D0F">
        <w:rPr>
          <w:rFonts w:cs="Times New Roman"/>
          <w:lang w:val="fr-CA"/>
        </w:rPr>
        <w:t xml:space="preserve">, </w:t>
      </w:r>
      <w:r w:rsidRPr="009B2D0F">
        <w:rPr>
          <w:rFonts w:cs="Times New Roman"/>
          <w:i/>
          <w:lang w:val="fr-CA"/>
        </w:rPr>
        <w:t>Estoppel</w:t>
      </w:r>
      <w:r w:rsidRPr="009B2D0F">
        <w:rPr>
          <w:rFonts w:cs="Times New Roman"/>
          <w:lang w:val="fr-CA"/>
        </w:rPr>
        <w:t xml:space="preserve"> (2012), </w:t>
      </w:r>
      <w:r>
        <w:rPr>
          <w:rFonts w:cs="Times New Roman"/>
          <w:lang w:val="fr-CA"/>
        </w:rPr>
        <w:t>p. </w:t>
      </w:r>
      <w:r w:rsidRPr="009B2D0F">
        <w:rPr>
          <w:rFonts w:cs="Times New Roman"/>
          <w:lang w:val="fr-CA"/>
        </w:rPr>
        <w:t xml:space="preserve">446; </w:t>
      </w:r>
      <w:proofErr w:type="spellStart"/>
      <w:r w:rsidRPr="009B2D0F">
        <w:rPr>
          <w:rFonts w:cs="Times New Roman"/>
          <w:bCs/>
          <w:i/>
          <w:szCs w:val="24"/>
          <w:lang w:val="fr-CA"/>
        </w:rPr>
        <w:t>Snell</w:t>
      </w:r>
      <w:r>
        <w:rPr>
          <w:rFonts w:cs="Times New Roman"/>
          <w:bCs/>
          <w:i/>
          <w:szCs w:val="24"/>
          <w:lang w:val="fr-CA"/>
        </w:rPr>
        <w:t>’</w:t>
      </w:r>
      <w:r w:rsidRPr="009B2D0F">
        <w:rPr>
          <w:rFonts w:cs="Times New Roman"/>
          <w:bCs/>
          <w:i/>
          <w:szCs w:val="24"/>
          <w:lang w:val="fr-CA"/>
        </w:rPr>
        <w:t>s</w:t>
      </w:r>
      <w:proofErr w:type="spellEnd"/>
      <w:r w:rsidRPr="009B2D0F">
        <w:rPr>
          <w:rFonts w:cs="Times New Roman"/>
          <w:bCs/>
          <w:i/>
          <w:szCs w:val="24"/>
          <w:lang w:val="fr-CA"/>
        </w:rPr>
        <w:t xml:space="preserve"> </w:t>
      </w:r>
      <w:proofErr w:type="spellStart"/>
      <w:r w:rsidRPr="009B2D0F">
        <w:rPr>
          <w:rFonts w:cs="Times New Roman"/>
          <w:bCs/>
          <w:i/>
          <w:szCs w:val="24"/>
          <w:lang w:val="fr-CA"/>
        </w:rPr>
        <w:t>Equity</w:t>
      </w:r>
      <w:proofErr w:type="spellEnd"/>
      <w:r w:rsidRPr="009B2D0F">
        <w:rPr>
          <w:rFonts w:cs="Times New Roman"/>
          <w:bCs/>
          <w:szCs w:val="24"/>
          <w:lang w:val="fr-CA"/>
        </w:rPr>
        <w:t xml:space="preserve"> (33</w:t>
      </w:r>
      <w:r w:rsidRPr="009B2D0F">
        <w:rPr>
          <w:rFonts w:cs="Times New Roman"/>
          <w:bCs/>
          <w:szCs w:val="24"/>
          <w:vertAlign w:val="superscript"/>
          <w:lang w:val="fr-CA"/>
        </w:rPr>
        <w:t>e</w:t>
      </w:r>
      <w:r w:rsidRPr="009B2D0F">
        <w:rPr>
          <w:rFonts w:cs="Times New Roman"/>
          <w:bCs/>
          <w:szCs w:val="24"/>
          <w:lang w:val="fr-CA"/>
        </w:rPr>
        <w:t> éd. 2015)</w:t>
      </w:r>
      <w:r w:rsidRPr="009B2D0F">
        <w:rPr>
          <w:rFonts w:cs="Times New Roman"/>
          <w:lang w:val="fr-CA"/>
        </w:rPr>
        <w:t>, par J. </w:t>
      </w:r>
      <w:proofErr w:type="spellStart"/>
      <w:r w:rsidRPr="009B2D0F">
        <w:rPr>
          <w:rFonts w:cs="Times New Roman"/>
          <w:lang w:val="fr-CA"/>
        </w:rPr>
        <w:t>McGhee</w:t>
      </w:r>
      <w:proofErr w:type="spellEnd"/>
      <w:r w:rsidRPr="009B2D0F">
        <w:rPr>
          <w:rFonts w:cs="Times New Roman"/>
          <w:lang w:val="fr-CA"/>
        </w:rPr>
        <w:t xml:space="preserve">, </w:t>
      </w:r>
      <w:r>
        <w:rPr>
          <w:rFonts w:cs="Times New Roman"/>
          <w:lang w:val="fr-CA"/>
        </w:rPr>
        <w:t>p. </w:t>
      </w:r>
      <w:r w:rsidRPr="009B2D0F">
        <w:rPr>
          <w:rFonts w:cs="Times New Roman"/>
          <w:lang w:val="fr-CA"/>
        </w:rPr>
        <w:t xml:space="preserve">335). Un droit virtuel en </w:t>
      </w:r>
      <w:proofErr w:type="spellStart"/>
      <w:r w:rsidRPr="009B2D0F">
        <w:rPr>
          <w:rFonts w:cs="Times New Roman"/>
          <w:lang w:val="fr-CA"/>
        </w:rPr>
        <w:t>equity</w:t>
      </w:r>
      <w:proofErr w:type="spellEnd"/>
      <w:r w:rsidRPr="009B2D0F">
        <w:rPr>
          <w:rFonts w:cs="Times New Roman"/>
          <w:lang w:val="fr-CA"/>
        </w:rPr>
        <w:t xml:space="preserve"> prend naissance lorsqu</w:t>
      </w:r>
      <w:r>
        <w:rPr>
          <w:rFonts w:cs="Times New Roman"/>
          <w:lang w:val="fr-CA"/>
        </w:rPr>
        <w:t>’</w:t>
      </w:r>
      <w:r w:rsidRPr="009B2D0F">
        <w:rPr>
          <w:rFonts w:cs="Times New Roman"/>
          <w:lang w:val="fr-CA"/>
        </w:rPr>
        <w:t xml:space="preserve">il y a acte de </w:t>
      </w:r>
      <w:r w:rsidRPr="001F2942">
        <w:rPr>
          <w:rFonts w:cs="Times New Roman"/>
          <w:lang w:val="fr-CA"/>
        </w:rPr>
        <w:t>confiance préjudiciable</w:t>
      </w:r>
      <w:r w:rsidRPr="009B2D0F">
        <w:rPr>
          <w:rFonts w:cs="Times New Roman"/>
          <w:lang w:val="fr-CA"/>
        </w:rPr>
        <w:t xml:space="preserve"> à l</w:t>
      </w:r>
      <w:r>
        <w:rPr>
          <w:rFonts w:cs="Times New Roman"/>
          <w:lang w:val="fr-CA"/>
        </w:rPr>
        <w:t>’</w:t>
      </w:r>
      <w:r w:rsidRPr="009B2D0F">
        <w:rPr>
          <w:rFonts w:cs="Times New Roman"/>
          <w:lang w:val="fr-CA"/>
        </w:rPr>
        <w:t>égard d</w:t>
      </w:r>
      <w:r>
        <w:rPr>
          <w:rFonts w:cs="Times New Roman"/>
          <w:lang w:val="fr-CA"/>
        </w:rPr>
        <w:t>’</w:t>
      </w:r>
      <w:r w:rsidRPr="009B2D0F">
        <w:rPr>
          <w:rFonts w:cs="Times New Roman"/>
          <w:lang w:val="fr-CA"/>
        </w:rPr>
        <w:t>une déclaration ou d</w:t>
      </w:r>
      <w:r>
        <w:rPr>
          <w:rFonts w:cs="Times New Roman"/>
          <w:lang w:val="fr-CA"/>
        </w:rPr>
        <w:t>’</w:t>
      </w:r>
      <w:r w:rsidRPr="009B2D0F">
        <w:rPr>
          <w:rFonts w:cs="Times New Roman"/>
          <w:lang w:val="fr-CA"/>
        </w:rPr>
        <w:t>une assurance. Il n</w:t>
      </w:r>
      <w:r>
        <w:rPr>
          <w:rFonts w:cs="Times New Roman"/>
          <w:lang w:val="fr-CA"/>
        </w:rPr>
        <w:t>’</w:t>
      </w:r>
      <w:r w:rsidRPr="009B2D0F">
        <w:rPr>
          <w:rFonts w:cs="Times New Roman"/>
          <w:lang w:val="fr-CA"/>
        </w:rPr>
        <w:t>est pas nécessaire en l</w:t>
      </w:r>
      <w:r>
        <w:rPr>
          <w:rFonts w:cs="Times New Roman"/>
          <w:lang w:val="fr-CA"/>
        </w:rPr>
        <w:t>’</w:t>
      </w:r>
      <w:r w:rsidRPr="009B2D0F">
        <w:rPr>
          <w:rFonts w:cs="Times New Roman"/>
          <w:lang w:val="fr-CA"/>
        </w:rPr>
        <w:t xml:space="preserve">espèce de décider si ce droit en </w:t>
      </w:r>
      <w:proofErr w:type="spellStart"/>
      <w:r w:rsidRPr="009B2D0F">
        <w:rPr>
          <w:rFonts w:cs="Times New Roman"/>
          <w:lang w:val="fr-CA"/>
        </w:rPr>
        <w:t>equity</w:t>
      </w:r>
      <w:proofErr w:type="spellEnd"/>
      <w:r w:rsidRPr="009B2D0F">
        <w:rPr>
          <w:rFonts w:cs="Times New Roman"/>
          <w:lang w:val="fr-CA"/>
        </w:rPr>
        <w:t xml:space="preserve"> est de nature personnelle ou propriétale. Lorsque la partie dont émane la déclaration ou l</w:t>
      </w:r>
      <w:r>
        <w:rPr>
          <w:rFonts w:cs="Times New Roman"/>
          <w:lang w:val="fr-CA"/>
        </w:rPr>
        <w:t>’</w:t>
      </w:r>
      <w:r w:rsidRPr="009B2D0F">
        <w:rPr>
          <w:rFonts w:cs="Times New Roman"/>
          <w:lang w:val="fr-CA"/>
        </w:rPr>
        <w:t>assurance possède dans le bien un intérêt suffisant pour répondre à l</w:t>
      </w:r>
      <w:r>
        <w:rPr>
          <w:rFonts w:cs="Times New Roman"/>
          <w:lang w:val="fr-CA"/>
        </w:rPr>
        <w:t>’</w:t>
      </w:r>
      <w:r w:rsidRPr="009B2D0F">
        <w:rPr>
          <w:rFonts w:cs="Times New Roman"/>
          <w:lang w:val="fr-CA"/>
        </w:rPr>
        <w:t xml:space="preserve">attente du demandeur, la préclusion propriétale peut donner effet au droit en </w:t>
      </w:r>
      <w:proofErr w:type="spellStart"/>
      <w:r w:rsidRPr="009B2D0F">
        <w:rPr>
          <w:rFonts w:cs="Times New Roman"/>
          <w:lang w:val="fr-CA"/>
        </w:rPr>
        <w:t>equity</w:t>
      </w:r>
      <w:proofErr w:type="spellEnd"/>
      <w:r w:rsidRPr="009B2D0F">
        <w:rPr>
          <w:rFonts w:cs="Times New Roman"/>
          <w:lang w:val="fr-CA"/>
        </w:rPr>
        <w:t xml:space="preserve"> en rendant obligatoire la déclaration ou l</w:t>
      </w:r>
      <w:r>
        <w:rPr>
          <w:rFonts w:cs="Times New Roman"/>
          <w:lang w:val="fr-CA"/>
        </w:rPr>
        <w:t>’</w:t>
      </w:r>
      <w:r w:rsidRPr="009B2D0F">
        <w:rPr>
          <w:rFonts w:cs="Times New Roman"/>
          <w:lang w:val="fr-CA"/>
        </w:rPr>
        <w:t>assurance.</w:t>
      </w:r>
    </w:p>
    <w:p w:rsidR="00987842" w:rsidRPr="005747BB" w:rsidRDefault="00987842" w:rsidP="00987842">
      <w:pPr>
        <w:pStyle w:val="ParaNoNdepar-AltN"/>
        <w:tabs>
          <w:tab w:val="clear" w:pos="1692"/>
          <w:tab w:val="num" w:pos="1152"/>
        </w:tabs>
        <w:ind w:left="0"/>
        <w:rPr>
          <w:rFonts w:cs="Times New Roman"/>
          <w:bCs/>
          <w:szCs w:val="24"/>
          <w:lang w:val="en-US"/>
        </w:rPr>
      </w:pPr>
      <w:r w:rsidRPr="009B2D0F">
        <w:rPr>
          <w:rFonts w:cs="Times New Roman"/>
          <w:szCs w:val="24"/>
          <w:lang w:val="fr-CA"/>
        </w:rPr>
        <w:t xml:space="preserve">La préclusion propriétale protège le droit en </w:t>
      </w:r>
      <w:proofErr w:type="spellStart"/>
      <w:r w:rsidRPr="009B2D0F">
        <w:rPr>
          <w:rFonts w:cs="Times New Roman"/>
          <w:szCs w:val="24"/>
          <w:lang w:val="fr-CA"/>
        </w:rPr>
        <w:t>equity</w:t>
      </w:r>
      <w:proofErr w:type="spellEnd"/>
      <w:r w:rsidRPr="009B2D0F">
        <w:rPr>
          <w:rFonts w:cs="Times New Roman"/>
          <w:szCs w:val="24"/>
          <w:lang w:val="fr-CA"/>
        </w:rPr>
        <w:t>, qui, pour sa part, protège l</w:t>
      </w:r>
      <w:r>
        <w:rPr>
          <w:rFonts w:cs="Times New Roman"/>
          <w:szCs w:val="24"/>
          <w:lang w:val="fr-CA"/>
        </w:rPr>
        <w:t>’</w:t>
      </w:r>
      <w:r w:rsidRPr="009B2D0F">
        <w:rPr>
          <w:rFonts w:cs="Times New Roman"/>
          <w:szCs w:val="24"/>
          <w:lang w:val="fr-CA"/>
        </w:rPr>
        <w:t>acte de confiance raisonnable du demandeur (voir S. Bright et B. </w:t>
      </w:r>
      <w:proofErr w:type="spellStart"/>
      <w:r w:rsidRPr="009B2D0F">
        <w:rPr>
          <w:rFonts w:cs="Times New Roman"/>
          <w:szCs w:val="24"/>
          <w:lang w:val="fr-CA"/>
        </w:rPr>
        <w:t>McFarlane</w:t>
      </w:r>
      <w:proofErr w:type="spellEnd"/>
      <w:r w:rsidRPr="009B2D0F">
        <w:rPr>
          <w:rFonts w:cs="Times New Roman"/>
          <w:szCs w:val="24"/>
          <w:lang w:val="fr-CA"/>
        </w:rPr>
        <w:t>, « </w:t>
      </w:r>
      <w:proofErr w:type="spellStart"/>
      <w:r w:rsidRPr="009B2D0F">
        <w:rPr>
          <w:rFonts w:cs="Times New Roman"/>
          <w:szCs w:val="24"/>
          <w:lang w:val="fr-CA"/>
        </w:rPr>
        <w:t>Proprietary</w:t>
      </w:r>
      <w:proofErr w:type="spellEnd"/>
      <w:r w:rsidRPr="009B2D0F">
        <w:rPr>
          <w:rFonts w:cs="Times New Roman"/>
          <w:szCs w:val="24"/>
          <w:lang w:val="fr-CA"/>
        </w:rPr>
        <w:t xml:space="preserve"> Estoppel and </w:t>
      </w:r>
      <w:proofErr w:type="spellStart"/>
      <w:r w:rsidRPr="009B2D0F">
        <w:rPr>
          <w:rFonts w:cs="Times New Roman"/>
          <w:szCs w:val="24"/>
          <w:lang w:val="fr-CA"/>
        </w:rPr>
        <w:t>Property</w:t>
      </w:r>
      <w:proofErr w:type="spellEnd"/>
      <w:r w:rsidRPr="009B2D0F">
        <w:rPr>
          <w:rFonts w:cs="Times New Roman"/>
          <w:szCs w:val="24"/>
          <w:lang w:val="fr-CA"/>
        </w:rPr>
        <w:t xml:space="preserve"> </w:t>
      </w:r>
      <w:proofErr w:type="spellStart"/>
      <w:r w:rsidRPr="009B2D0F">
        <w:rPr>
          <w:rFonts w:cs="Times New Roman"/>
          <w:szCs w:val="24"/>
          <w:lang w:val="fr-CA"/>
        </w:rPr>
        <w:t>Rights</w:t>
      </w:r>
      <w:proofErr w:type="spellEnd"/>
      <w:r w:rsidRPr="009B2D0F">
        <w:rPr>
          <w:rFonts w:cs="Times New Roman"/>
          <w:szCs w:val="24"/>
          <w:lang w:val="fr-CA"/>
        </w:rPr>
        <w:t xml:space="preserve"> » (2005), 64 </w:t>
      </w:r>
      <w:r w:rsidRPr="009B2D0F">
        <w:rPr>
          <w:rFonts w:cs="Times New Roman"/>
          <w:i/>
          <w:szCs w:val="24"/>
          <w:lang w:val="fr-CA"/>
        </w:rPr>
        <w:t>Cambridge L.J.</w:t>
      </w:r>
      <w:r w:rsidRPr="009B2D0F">
        <w:rPr>
          <w:rFonts w:cs="Times New Roman"/>
          <w:szCs w:val="24"/>
          <w:lang w:val="fr-CA"/>
        </w:rPr>
        <w:t xml:space="preserve"> 449, </w:t>
      </w:r>
      <w:r>
        <w:rPr>
          <w:rFonts w:cs="Times New Roman"/>
          <w:szCs w:val="24"/>
          <w:lang w:val="fr-CA"/>
        </w:rPr>
        <w:t>p. </w:t>
      </w:r>
      <w:r w:rsidRPr="009B2D0F">
        <w:rPr>
          <w:rFonts w:cs="Times New Roman"/>
          <w:szCs w:val="24"/>
          <w:lang w:val="fr-CA"/>
        </w:rPr>
        <w:t>452).</w:t>
      </w:r>
      <w:r w:rsidRPr="009B2D0F">
        <w:rPr>
          <w:rFonts w:cs="Times New Roman"/>
          <w:lang w:val="fr-CA"/>
        </w:rPr>
        <w:t xml:space="preserve"> À l</w:t>
      </w:r>
      <w:r>
        <w:rPr>
          <w:rFonts w:cs="Times New Roman"/>
          <w:lang w:val="fr-CA"/>
        </w:rPr>
        <w:t>’</w:t>
      </w:r>
      <w:r w:rsidRPr="009B2D0F">
        <w:rPr>
          <w:rFonts w:cs="Times New Roman"/>
          <w:lang w:val="fr-CA"/>
        </w:rPr>
        <w:t>instar d</w:t>
      </w:r>
      <w:r>
        <w:rPr>
          <w:rFonts w:cs="Times New Roman"/>
          <w:lang w:val="fr-CA"/>
        </w:rPr>
        <w:t>’</w:t>
      </w:r>
      <w:r w:rsidRPr="009B2D0F">
        <w:rPr>
          <w:rFonts w:cs="Times New Roman"/>
          <w:lang w:val="fr-CA"/>
        </w:rPr>
        <w:t>autres types de préclusion, la préclusion propriétale prévient l</w:t>
      </w:r>
      <w:r>
        <w:rPr>
          <w:rFonts w:cs="Times New Roman"/>
          <w:lang w:val="fr-CA"/>
        </w:rPr>
        <w:t>’</w:t>
      </w:r>
      <w:r w:rsidRPr="009B2D0F">
        <w:rPr>
          <w:rFonts w:cs="Times New Roman"/>
          <w:lang w:val="fr-CA"/>
        </w:rPr>
        <w:t>iniquité ou l</w:t>
      </w:r>
      <w:r>
        <w:rPr>
          <w:rFonts w:cs="Times New Roman"/>
          <w:lang w:val="fr-CA"/>
        </w:rPr>
        <w:t>’</w:t>
      </w:r>
      <w:r w:rsidRPr="009B2D0F">
        <w:rPr>
          <w:rFonts w:cs="Times New Roman"/>
          <w:lang w:val="fr-CA"/>
        </w:rPr>
        <w:t>injustice dont serait victime l</w:t>
      </w:r>
      <w:r>
        <w:rPr>
          <w:rFonts w:cs="Times New Roman"/>
          <w:lang w:val="fr-CA"/>
        </w:rPr>
        <w:t>’</w:t>
      </w:r>
      <w:r w:rsidRPr="009B2D0F">
        <w:rPr>
          <w:rFonts w:cs="Times New Roman"/>
          <w:lang w:val="fr-CA"/>
        </w:rPr>
        <w:t>une des parties si l</w:t>
      </w:r>
      <w:r>
        <w:rPr>
          <w:rFonts w:cs="Times New Roman"/>
          <w:lang w:val="fr-CA"/>
        </w:rPr>
        <w:t>’</w:t>
      </w:r>
      <w:r w:rsidRPr="009B2D0F">
        <w:rPr>
          <w:rFonts w:cs="Times New Roman"/>
          <w:lang w:val="fr-CA"/>
        </w:rPr>
        <w:t xml:space="preserve">autre pouvait revenir sur sa parole </w:t>
      </w:r>
      <w:r w:rsidRPr="009B2D0F">
        <w:rPr>
          <w:rFonts w:cs="Times New Roman"/>
          <w:lang w:val="fr-CA"/>
        </w:rPr>
        <w:lastRenderedPageBreak/>
        <w:t xml:space="preserve">et insister sur le respect de ses droits stricts (voir </w:t>
      </w:r>
      <w:proofErr w:type="spellStart"/>
      <w:r w:rsidRPr="009B2D0F">
        <w:rPr>
          <w:rFonts w:cs="Times New Roman"/>
          <w:i/>
          <w:iCs/>
          <w:lang w:val="fr-CA"/>
        </w:rPr>
        <w:t>Taylors</w:t>
      </w:r>
      <w:proofErr w:type="spellEnd"/>
      <w:r w:rsidRPr="009B2D0F">
        <w:rPr>
          <w:rFonts w:cs="Times New Roman"/>
          <w:i/>
          <w:iCs/>
          <w:lang w:val="fr-CA"/>
        </w:rPr>
        <w:t xml:space="preserve"> </w:t>
      </w:r>
      <w:proofErr w:type="spellStart"/>
      <w:r w:rsidRPr="009B2D0F">
        <w:rPr>
          <w:rFonts w:cs="Times New Roman"/>
          <w:i/>
          <w:iCs/>
          <w:lang w:val="fr-CA"/>
        </w:rPr>
        <w:t>Fashions</w:t>
      </w:r>
      <w:proofErr w:type="spellEnd"/>
      <w:r w:rsidRPr="009B2D0F">
        <w:rPr>
          <w:rFonts w:cs="Times New Roman"/>
          <w:i/>
          <w:iCs/>
          <w:lang w:val="fr-CA"/>
        </w:rPr>
        <w:t xml:space="preserve"> Ltd. c. Liverpool Victoria Trustees Co.</w:t>
      </w:r>
      <w:r w:rsidRPr="009B2D0F">
        <w:rPr>
          <w:rFonts w:cs="Times New Roman"/>
          <w:lang w:val="fr-CA"/>
        </w:rPr>
        <w:t xml:space="preserve">, [1981] 1 All E.R. 897 (Ch.), </w:t>
      </w:r>
      <w:r>
        <w:rPr>
          <w:rFonts w:cs="Times New Roman"/>
          <w:lang w:val="fr-CA"/>
        </w:rPr>
        <w:t>p. </w:t>
      </w:r>
      <w:r w:rsidRPr="009B2D0F">
        <w:rPr>
          <w:rFonts w:cs="Times New Roman"/>
          <w:lang w:val="fr-CA"/>
        </w:rPr>
        <w:t>909, 915</w:t>
      </w:r>
      <w:r>
        <w:rPr>
          <w:rFonts w:cs="Times New Roman"/>
          <w:lang w:val="fr-CA"/>
        </w:rPr>
        <w:noBreakHyphen/>
      </w:r>
      <w:r w:rsidRPr="009B2D0F">
        <w:rPr>
          <w:rFonts w:cs="Times New Roman"/>
          <w:lang w:val="fr-CA"/>
        </w:rPr>
        <w:t>916 et 918). Comme l</w:t>
      </w:r>
      <w:r>
        <w:rPr>
          <w:rFonts w:cs="Times New Roman"/>
          <w:lang w:val="fr-CA"/>
        </w:rPr>
        <w:t>’</w:t>
      </w:r>
      <w:r w:rsidRPr="009B2D0F">
        <w:rPr>
          <w:rFonts w:cs="Times New Roman"/>
          <w:lang w:val="fr-CA"/>
        </w:rPr>
        <w:t xml:space="preserve">a dit lord </w:t>
      </w:r>
      <w:proofErr w:type="spellStart"/>
      <w:r w:rsidRPr="009B2D0F">
        <w:rPr>
          <w:rFonts w:cs="Times New Roman"/>
          <w:lang w:val="fr-CA"/>
        </w:rPr>
        <w:t>Denning</w:t>
      </w:r>
      <w:proofErr w:type="spellEnd"/>
      <w:r w:rsidRPr="009B2D0F">
        <w:rPr>
          <w:rFonts w:cs="Times New Roman"/>
          <w:lang w:val="fr-CA"/>
        </w:rPr>
        <w:t xml:space="preserve">, maître des rôles, dans </w:t>
      </w:r>
      <w:proofErr w:type="spellStart"/>
      <w:r w:rsidRPr="009B2D0F">
        <w:rPr>
          <w:rFonts w:cs="Times New Roman"/>
          <w:i/>
          <w:iCs/>
          <w:lang w:val="fr-CA"/>
        </w:rPr>
        <w:t>Amalgamated</w:t>
      </w:r>
      <w:proofErr w:type="spellEnd"/>
      <w:r w:rsidRPr="009B2D0F">
        <w:rPr>
          <w:rFonts w:cs="Times New Roman"/>
          <w:i/>
          <w:iCs/>
          <w:lang w:val="fr-CA"/>
        </w:rPr>
        <w:t xml:space="preserve"> Investment &amp; </w:t>
      </w:r>
      <w:proofErr w:type="spellStart"/>
      <w:r w:rsidRPr="009B2D0F">
        <w:rPr>
          <w:rFonts w:cs="Times New Roman"/>
          <w:i/>
          <w:iCs/>
          <w:lang w:val="fr-CA"/>
        </w:rPr>
        <w:t>Property</w:t>
      </w:r>
      <w:proofErr w:type="spellEnd"/>
      <w:r w:rsidRPr="009B2D0F">
        <w:rPr>
          <w:rFonts w:cs="Times New Roman"/>
          <w:i/>
          <w:iCs/>
          <w:lang w:val="fr-CA"/>
        </w:rPr>
        <w:t xml:space="preserve"> Co. </w:t>
      </w:r>
      <w:r w:rsidRPr="005747BB">
        <w:rPr>
          <w:rFonts w:cs="Times New Roman"/>
          <w:i/>
          <w:iCs/>
          <w:lang w:val="en-US"/>
        </w:rPr>
        <w:t>(In Liquidation) c. Texas Commerce International Bank Ltd.</w:t>
      </w:r>
      <w:r w:rsidRPr="005747BB">
        <w:rPr>
          <w:rFonts w:cs="Times New Roman"/>
          <w:lang w:val="en-US"/>
        </w:rPr>
        <w:t>, [1982] 1 Q.B. 84 (C.A.), p. 122 :</w:t>
      </w:r>
    </w:p>
    <w:p w:rsidR="00987842" w:rsidRPr="009B2D0F" w:rsidRDefault="00987842" w:rsidP="00987842">
      <w:pPr>
        <w:pStyle w:val="Citation-AltC"/>
        <w:ind w:hanging="1166"/>
        <w:contextualSpacing w:val="0"/>
        <w:rPr>
          <w:lang w:val="fr-CA"/>
        </w:rPr>
      </w:pPr>
      <w:r w:rsidRPr="005747BB">
        <w:rPr>
          <w:lang w:val="en-US"/>
        </w:rPr>
        <w:tab/>
      </w:r>
      <w:r w:rsidRPr="009B2D0F">
        <w:rPr>
          <w:lang w:val="fr-CA"/>
        </w:rPr>
        <w:t>[</w:t>
      </w:r>
      <w:r w:rsidRPr="009B2D0F">
        <w:rPr>
          <w:smallCaps/>
          <w:lang w:val="fr-CA"/>
        </w:rPr>
        <w:t>traduction</w:t>
      </w:r>
      <w:r w:rsidRPr="009B2D0F">
        <w:rPr>
          <w:lang w:val="fr-CA"/>
        </w:rPr>
        <w:t>] Lorsque les parties à une opération se fondent sur une présupposition sous</w:t>
      </w:r>
      <w:r>
        <w:rPr>
          <w:lang w:val="fr-CA"/>
        </w:rPr>
        <w:noBreakHyphen/>
      </w:r>
      <w:r w:rsidRPr="009B2D0F">
        <w:rPr>
          <w:lang w:val="fr-CA"/>
        </w:rPr>
        <w:t>jacente — de fait ou de droit — peu importe qu</w:t>
      </w:r>
      <w:r>
        <w:rPr>
          <w:lang w:val="fr-CA"/>
        </w:rPr>
        <w:t>’</w:t>
      </w:r>
      <w:r w:rsidRPr="009B2D0F">
        <w:rPr>
          <w:lang w:val="fr-CA"/>
        </w:rPr>
        <w:t>elle découle d</w:t>
      </w:r>
      <w:r>
        <w:rPr>
          <w:lang w:val="fr-CA"/>
        </w:rPr>
        <w:t>’</w:t>
      </w:r>
      <w:r w:rsidRPr="009B2D0F">
        <w:rPr>
          <w:lang w:val="fr-CA"/>
        </w:rPr>
        <w:t>une affirmation inexacte ou d</w:t>
      </w:r>
      <w:r>
        <w:rPr>
          <w:lang w:val="fr-CA"/>
        </w:rPr>
        <w:t>’</w:t>
      </w:r>
      <w:r w:rsidRPr="009B2D0F">
        <w:rPr>
          <w:lang w:val="fr-CA"/>
        </w:rPr>
        <w:t>une erreur — qui a guidé leurs rapports —, aucune d</w:t>
      </w:r>
      <w:r>
        <w:rPr>
          <w:lang w:val="fr-CA"/>
        </w:rPr>
        <w:t>’</w:t>
      </w:r>
      <w:r w:rsidRPr="009B2D0F">
        <w:rPr>
          <w:lang w:val="fr-CA"/>
        </w:rPr>
        <w:t>elles ne peut revenir sur cette présupposition lorsqu</w:t>
      </w:r>
      <w:r>
        <w:rPr>
          <w:lang w:val="fr-CA"/>
        </w:rPr>
        <w:t>’</w:t>
      </w:r>
      <w:r w:rsidRPr="009B2D0F">
        <w:rPr>
          <w:lang w:val="fr-CA"/>
        </w:rPr>
        <w:t>il serait inéquitable ou injuste de lui permettre de le faire. Si l</w:t>
      </w:r>
      <w:r>
        <w:rPr>
          <w:lang w:val="fr-CA"/>
        </w:rPr>
        <w:t>’</w:t>
      </w:r>
      <w:r w:rsidRPr="009B2D0F">
        <w:rPr>
          <w:lang w:val="fr-CA"/>
        </w:rPr>
        <w:t>une des parties souhaite revenir sur la présupposition, les tribunaux accorderont à l</w:t>
      </w:r>
      <w:r>
        <w:rPr>
          <w:lang w:val="fr-CA"/>
        </w:rPr>
        <w:t>’</w:t>
      </w:r>
      <w:r w:rsidRPr="009B2D0F">
        <w:rPr>
          <w:lang w:val="fr-CA"/>
        </w:rPr>
        <w:t>autre partie la réparation qui s</w:t>
      </w:r>
      <w:r>
        <w:rPr>
          <w:lang w:val="fr-CA"/>
        </w:rPr>
        <w:t>’</w:t>
      </w:r>
      <w:r w:rsidRPr="009B2D0F">
        <w:rPr>
          <w:lang w:val="fr-CA"/>
        </w:rPr>
        <w:t xml:space="preserve">impose en </w:t>
      </w:r>
      <w:proofErr w:type="spellStart"/>
      <w:r w:rsidRPr="009B2D0F">
        <w:rPr>
          <w:lang w:val="fr-CA"/>
        </w:rPr>
        <w:t>equity</w:t>
      </w:r>
      <w:proofErr w:type="spellEnd"/>
      <w:r w:rsidRPr="009B2D0F">
        <w:rPr>
          <w:lang w:val="fr-CA"/>
        </w:rPr>
        <w:t>.</w:t>
      </w:r>
    </w:p>
    <w:p w:rsidR="00987842" w:rsidRPr="009B2D0F" w:rsidRDefault="00987842" w:rsidP="00987842">
      <w:pPr>
        <w:pStyle w:val="ContinueParaSuitedupar-AltP"/>
        <w:rPr>
          <w:rFonts w:cs="Times New Roman"/>
          <w:lang w:val="fr-CA"/>
        </w:rPr>
      </w:pPr>
      <w:r w:rsidRPr="009B2D0F">
        <w:rPr>
          <w:rFonts w:cs="Times New Roman"/>
          <w:lang w:val="fr-CA"/>
        </w:rPr>
        <w:t xml:space="preserve">Voir également </w:t>
      </w:r>
      <w:r w:rsidRPr="009B2D0F">
        <w:rPr>
          <w:rFonts w:cs="Times New Roman"/>
          <w:i/>
          <w:lang w:val="fr-CA"/>
        </w:rPr>
        <w:t>Ryan c. Moore</w:t>
      </w:r>
      <w:r w:rsidRPr="009B2D0F">
        <w:rPr>
          <w:rFonts w:cs="Times New Roman"/>
          <w:lang w:val="fr-CA"/>
        </w:rPr>
        <w:t xml:space="preserve">, 2005 CSC 38, [2005] 2 R.C.S. 53, </w:t>
      </w:r>
      <w:r>
        <w:rPr>
          <w:rFonts w:cs="Times New Roman"/>
          <w:lang w:val="fr-CA"/>
        </w:rPr>
        <w:t>par. </w:t>
      </w:r>
      <w:r w:rsidRPr="009B2D0F">
        <w:rPr>
          <w:rFonts w:cs="Times New Roman"/>
          <w:lang w:val="fr-CA"/>
        </w:rPr>
        <w:t xml:space="preserve">51;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15</w:t>
      </w:r>
      <w:r>
        <w:rPr>
          <w:rFonts w:cs="Times New Roman"/>
          <w:lang w:val="fr-CA"/>
        </w:rPr>
        <w:noBreakHyphen/>
      </w:r>
      <w:r w:rsidRPr="009B2D0F">
        <w:rPr>
          <w:rFonts w:cs="Times New Roman"/>
          <w:lang w:val="fr-CA"/>
        </w:rPr>
        <w:t>16.</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Dans les cas où la protection de l</w:t>
      </w:r>
      <w:r>
        <w:rPr>
          <w:rFonts w:cs="Times New Roman"/>
          <w:lang w:val="fr-CA"/>
        </w:rPr>
        <w:t>’</w:t>
      </w:r>
      <w:proofErr w:type="spellStart"/>
      <w:r w:rsidRPr="009B2D0F">
        <w:rPr>
          <w:rFonts w:cs="Times New Roman"/>
          <w:lang w:val="fr-CA"/>
        </w:rPr>
        <w:t>equity</w:t>
      </w:r>
      <w:proofErr w:type="spellEnd"/>
      <w:r w:rsidRPr="009B2D0F">
        <w:rPr>
          <w:rFonts w:cs="Times New Roman"/>
          <w:lang w:val="fr-CA"/>
        </w:rPr>
        <w:t xml:space="preserve"> peut nécessiter la reconnaissance de [</w:t>
      </w:r>
      <w:r w:rsidRPr="009B2D0F">
        <w:rPr>
          <w:rFonts w:cs="Times New Roman"/>
          <w:smallCaps/>
          <w:lang w:val="fr-CA"/>
        </w:rPr>
        <w:t>traduction</w:t>
      </w:r>
      <w:r w:rsidRPr="009B2D0F">
        <w:rPr>
          <w:rFonts w:cs="Times New Roman"/>
          <w:lang w:val="fr-CA"/>
        </w:rPr>
        <w:t>] « nouveaux droits et intérêts [. . .] sur la terre ou à son égard » (</w:t>
      </w:r>
      <w:proofErr w:type="spellStart"/>
      <w:r w:rsidRPr="009B2D0F">
        <w:rPr>
          <w:rFonts w:cs="Times New Roman"/>
          <w:i/>
          <w:lang w:val="fr-CA"/>
        </w:rPr>
        <w:t>Crabb</w:t>
      </w:r>
      <w:proofErr w:type="spellEnd"/>
      <w:r w:rsidRPr="009B2D0F">
        <w:rPr>
          <w:rFonts w:cs="Times New Roman"/>
          <w:i/>
          <w:lang w:val="fr-CA"/>
        </w:rPr>
        <w:t xml:space="preserve"> c</w:t>
      </w:r>
      <w:r w:rsidRPr="009B2D0F">
        <w:rPr>
          <w:rFonts w:cs="Times New Roman"/>
          <w:i/>
          <w:iCs/>
          <w:lang w:val="fr-CA"/>
        </w:rPr>
        <w:t>. Arun District Council</w:t>
      </w:r>
      <w:r w:rsidRPr="009B2D0F">
        <w:rPr>
          <w:rFonts w:cs="Times New Roman"/>
          <w:lang w:val="fr-CA"/>
        </w:rPr>
        <w:t xml:space="preserve">, [1975] 3 All E.R. 865 (C.A.), </w:t>
      </w:r>
      <w:r>
        <w:rPr>
          <w:rFonts w:cs="Times New Roman"/>
          <w:lang w:val="fr-CA"/>
        </w:rPr>
        <w:t>p. </w:t>
      </w:r>
      <w:r w:rsidRPr="009B2D0F">
        <w:rPr>
          <w:rFonts w:cs="Times New Roman"/>
          <w:lang w:val="fr-CA"/>
        </w:rPr>
        <w:t xml:space="preserve">871, lord </w:t>
      </w:r>
      <w:proofErr w:type="spellStart"/>
      <w:r w:rsidRPr="009B2D0F">
        <w:rPr>
          <w:rFonts w:cs="Times New Roman"/>
          <w:lang w:val="fr-CA"/>
        </w:rPr>
        <w:t>Denning</w:t>
      </w:r>
      <w:proofErr w:type="spellEnd"/>
      <w:r w:rsidRPr="009B2D0F">
        <w:rPr>
          <w:rFonts w:cs="Times New Roman"/>
          <w:lang w:val="fr-CA"/>
        </w:rPr>
        <w:t xml:space="preserve">, maître des rôles), la préclusion propriétale peut faire une chose que ne sont pas susceptibles de faire les autres </w:t>
      </w:r>
      <w:proofErr w:type="spellStart"/>
      <w:r w:rsidRPr="009B2D0F">
        <w:rPr>
          <w:rFonts w:cs="Times New Roman"/>
          <w:lang w:val="fr-CA"/>
        </w:rPr>
        <w:t>préclusions</w:t>
      </w:r>
      <w:proofErr w:type="spellEnd"/>
      <w:r w:rsidRPr="009B2D0F">
        <w:rPr>
          <w:rFonts w:cs="Times New Roman"/>
          <w:lang w:val="fr-CA"/>
        </w:rPr>
        <w:t xml:space="preserve"> — elle peut fonder une cause d</w:t>
      </w:r>
      <w:r>
        <w:rPr>
          <w:rFonts w:cs="Times New Roman"/>
          <w:lang w:val="fr-CA"/>
        </w:rPr>
        <w:t>’</w:t>
      </w:r>
      <w:r w:rsidRPr="009B2D0F">
        <w:rPr>
          <w:rFonts w:cs="Times New Roman"/>
          <w:lang w:val="fr-CA"/>
        </w:rPr>
        <w:t xml:space="preserve">action (voir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 xml:space="preserve">424; </w:t>
      </w:r>
      <w:proofErr w:type="spellStart"/>
      <w:r w:rsidRPr="009B2D0F">
        <w:rPr>
          <w:rFonts w:cs="Times New Roman"/>
          <w:bCs/>
          <w:lang w:val="fr-CA"/>
        </w:rPr>
        <w:t>McGhee</w:t>
      </w:r>
      <w:proofErr w:type="spellEnd"/>
      <w:r w:rsidRPr="009B2D0F">
        <w:rPr>
          <w:rFonts w:cs="Times New Roman"/>
          <w:bCs/>
          <w:lang w:val="fr-CA"/>
        </w:rPr>
        <w:t xml:space="preserve">, </w:t>
      </w:r>
      <w:r>
        <w:rPr>
          <w:rFonts w:cs="Times New Roman"/>
          <w:bCs/>
          <w:lang w:val="fr-CA"/>
        </w:rPr>
        <w:t>p. </w:t>
      </w:r>
      <w:r w:rsidRPr="009B2D0F">
        <w:rPr>
          <w:rFonts w:cs="Times New Roman"/>
          <w:bCs/>
          <w:lang w:val="fr-CA"/>
        </w:rPr>
        <w:t>330</w:t>
      </w:r>
      <w:r>
        <w:rPr>
          <w:rFonts w:cs="Times New Roman"/>
          <w:bCs/>
          <w:lang w:val="fr-CA"/>
        </w:rPr>
        <w:noBreakHyphen/>
      </w:r>
      <w:r w:rsidRPr="009B2D0F">
        <w:rPr>
          <w:rFonts w:cs="Times New Roman"/>
          <w:bCs/>
          <w:lang w:val="fr-CA"/>
        </w:rPr>
        <w:t>333). Lorsque</w:t>
      </w:r>
      <w:r w:rsidRPr="009B2D0F">
        <w:rPr>
          <w:rFonts w:cs="Times New Roman"/>
          <w:lang w:val="fr-CA"/>
        </w:rPr>
        <w:t xml:space="preserve"> les éléments constitutifs de la préclusion propriétale sont présents, le tribunal doit décider s</w:t>
      </w:r>
      <w:r>
        <w:rPr>
          <w:rFonts w:cs="Times New Roman"/>
          <w:lang w:val="fr-CA"/>
        </w:rPr>
        <w:t>’</w:t>
      </w:r>
      <w:r w:rsidRPr="009B2D0F">
        <w:rPr>
          <w:rFonts w:cs="Times New Roman"/>
          <w:lang w:val="fr-CA"/>
        </w:rPr>
        <w:t xml:space="preserve">il convient de donner effet au droit en </w:t>
      </w:r>
      <w:proofErr w:type="spellStart"/>
      <w:r w:rsidRPr="009B2D0F">
        <w:rPr>
          <w:rFonts w:cs="Times New Roman"/>
          <w:lang w:val="fr-CA"/>
        </w:rPr>
        <w:t>equity</w:t>
      </w:r>
      <w:proofErr w:type="spellEnd"/>
      <w:r w:rsidRPr="009B2D0F">
        <w:rPr>
          <w:rFonts w:cs="Times New Roman"/>
          <w:lang w:val="fr-CA"/>
        </w:rPr>
        <w:t xml:space="preserve"> en cause en reconnaissant la modification ou la création de droits de propriété [</w:t>
      </w:r>
      <w:r w:rsidRPr="009B2D0F">
        <w:rPr>
          <w:rFonts w:cs="Times New Roman"/>
          <w:smallCaps/>
          <w:lang w:val="fr-CA"/>
        </w:rPr>
        <w:t>traduction</w:t>
      </w:r>
      <w:r w:rsidRPr="009B2D0F">
        <w:rPr>
          <w:rFonts w:cs="Times New Roman"/>
          <w:lang w:val="fr-CA"/>
        </w:rPr>
        <w:t>] « dans des situations où il n</w:t>
      </w:r>
      <w:r>
        <w:rPr>
          <w:rFonts w:cs="Times New Roman"/>
          <w:lang w:val="fr-CA"/>
        </w:rPr>
        <w:t>’</w:t>
      </w:r>
      <w:r w:rsidRPr="009B2D0F">
        <w:rPr>
          <w:rFonts w:cs="Times New Roman"/>
          <w:lang w:val="fr-CA"/>
        </w:rPr>
        <w:t>y a pas de contrepartie ou d</w:t>
      </w:r>
      <w:r>
        <w:rPr>
          <w:rFonts w:cs="Times New Roman"/>
          <w:lang w:val="fr-CA"/>
        </w:rPr>
        <w:t>’</w:t>
      </w:r>
      <w:r w:rsidRPr="009B2D0F">
        <w:rPr>
          <w:rFonts w:cs="Times New Roman"/>
          <w:lang w:val="fr-CA"/>
        </w:rPr>
        <w:t>écrit » (</w:t>
      </w:r>
      <w:r w:rsidRPr="009B2D0F">
        <w:rPr>
          <w:rFonts w:cs="Times New Roman"/>
          <w:i/>
          <w:iCs/>
          <w:lang w:val="fr-CA"/>
        </w:rPr>
        <w:t xml:space="preserve">Anger </w:t>
      </w:r>
      <w:r w:rsidRPr="009B2D0F">
        <w:rPr>
          <w:rFonts w:cs="Times New Roman"/>
          <w:i/>
          <w:iCs/>
          <w:lang w:val="fr-CA"/>
        </w:rPr>
        <w:lastRenderedPageBreak/>
        <w:t xml:space="preserve">&amp; </w:t>
      </w:r>
      <w:proofErr w:type="spellStart"/>
      <w:r w:rsidRPr="009B2D0F">
        <w:rPr>
          <w:rFonts w:cs="Times New Roman"/>
          <w:i/>
          <w:iCs/>
          <w:lang w:val="fr-CA"/>
        </w:rPr>
        <w:t>Honsberger</w:t>
      </w:r>
      <w:proofErr w:type="spellEnd"/>
      <w:r w:rsidRPr="009B2D0F">
        <w:rPr>
          <w:rFonts w:cs="Times New Roman"/>
          <w:i/>
          <w:lang w:val="fr-CA"/>
        </w:rPr>
        <w:t xml:space="preserve"> </w:t>
      </w:r>
      <w:r w:rsidRPr="009B2D0F">
        <w:rPr>
          <w:rFonts w:cs="Times New Roman"/>
          <w:i/>
          <w:iCs/>
          <w:lang w:val="fr-CA"/>
        </w:rPr>
        <w:t xml:space="preserve">Law of Real </w:t>
      </w:r>
      <w:proofErr w:type="spellStart"/>
      <w:r w:rsidRPr="009B2D0F">
        <w:rPr>
          <w:rFonts w:cs="Times New Roman"/>
          <w:i/>
          <w:iCs/>
          <w:lang w:val="fr-CA"/>
        </w:rPr>
        <w:t>Property</w:t>
      </w:r>
      <w:proofErr w:type="spellEnd"/>
      <w:r w:rsidRPr="009B2D0F">
        <w:rPr>
          <w:rFonts w:cs="Times New Roman"/>
          <w:lang w:val="fr-CA"/>
        </w:rPr>
        <w:t xml:space="preserve"> (</w:t>
      </w:r>
      <w:r w:rsidRPr="009B2D0F">
        <w:rPr>
          <w:rFonts w:cs="Times New Roman"/>
          <w:szCs w:val="24"/>
          <w:lang w:val="fr-CA"/>
        </w:rPr>
        <w:t>3</w:t>
      </w:r>
      <w:r w:rsidRPr="009B2D0F">
        <w:rPr>
          <w:rFonts w:cs="Times New Roman"/>
          <w:szCs w:val="24"/>
          <w:vertAlign w:val="superscript"/>
          <w:lang w:val="fr-CA"/>
        </w:rPr>
        <w:t>e </w:t>
      </w:r>
      <w:r w:rsidRPr="009B2D0F">
        <w:rPr>
          <w:rFonts w:cs="Times New Roman"/>
          <w:szCs w:val="24"/>
          <w:lang w:val="fr-CA"/>
        </w:rPr>
        <w:t>éd. (feuilles mobiles)), par</w:t>
      </w:r>
      <w:r w:rsidRPr="009B2D0F">
        <w:rPr>
          <w:rFonts w:cs="Times New Roman"/>
          <w:lang w:val="fr-CA"/>
        </w:rPr>
        <w:t xml:space="preserve"> A. W. La Forest, </w:t>
      </w:r>
      <w:r>
        <w:rPr>
          <w:rFonts w:cs="Times New Roman"/>
          <w:lang w:val="fr-CA"/>
        </w:rPr>
        <w:t>p. </w:t>
      </w:r>
      <w:r w:rsidRPr="009B2D0F">
        <w:rPr>
          <w:rFonts w:cs="Times New Roman"/>
          <w:lang w:val="fr-CA"/>
        </w:rPr>
        <w:t>28</w:t>
      </w:r>
      <w:r>
        <w:rPr>
          <w:rFonts w:cs="Times New Roman"/>
          <w:lang w:val="fr-CA"/>
        </w:rPr>
        <w:noBreakHyphen/>
      </w:r>
      <w:r w:rsidRPr="009B2D0F">
        <w:rPr>
          <w:rFonts w:cs="Times New Roman"/>
          <w:lang w:val="fr-CA"/>
        </w:rPr>
        <w:t>3).</w:t>
      </w:r>
    </w:p>
    <w:p w:rsidR="00987842" w:rsidRPr="009B2D0F" w:rsidRDefault="00987842" w:rsidP="00987842">
      <w:pPr>
        <w:pStyle w:val="ParaNoNdepar-AltN"/>
        <w:tabs>
          <w:tab w:val="clear" w:pos="1692"/>
          <w:tab w:val="num" w:pos="1152"/>
        </w:tabs>
        <w:ind w:left="0"/>
        <w:rPr>
          <w:rFonts w:cs="Times New Roman"/>
          <w:b/>
          <w:bCs/>
          <w:szCs w:val="24"/>
          <w:lang w:val="fr-CA"/>
        </w:rPr>
      </w:pPr>
      <w:r w:rsidRPr="009B2D0F">
        <w:rPr>
          <w:rFonts w:cs="Times New Roman"/>
          <w:lang w:val="fr-CA"/>
        </w:rPr>
        <w:t>Il s</w:t>
      </w:r>
      <w:r>
        <w:rPr>
          <w:rFonts w:cs="Times New Roman"/>
          <w:lang w:val="fr-CA"/>
        </w:rPr>
        <w:t>’</w:t>
      </w:r>
      <w:r w:rsidRPr="009B2D0F">
        <w:rPr>
          <w:rFonts w:cs="Times New Roman"/>
          <w:lang w:val="fr-CA"/>
        </w:rPr>
        <w:t xml:space="preserve">est avéré difficile de parvenir à un consensus sur les éléments de la </w:t>
      </w:r>
      <w:proofErr w:type="spellStart"/>
      <w:r w:rsidRPr="009B2D0F">
        <w:rPr>
          <w:rFonts w:cs="Times New Roman"/>
          <w:lang w:val="fr-CA"/>
        </w:rPr>
        <w:t>préclusion</w:t>
      </w:r>
      <w:proofErr w:type="spellEnd"/>
      <w:r w:rsidRPr="009B2D0F">
        <w:rPr>
          <w:rFonts w:cs="Times New Roman"/>
          <w:lang w:val="fr-CA"/>
        </w:rPr>
        <w:t xml:space="preserve"> </w:t>
      </w:r>
      <w:proofErr w:type="spellStart"/>
      <w:r w:rsidRPr="009B2D0F">
        <w:rPr>
          <w:rFonts w:cs="Times New Roman"/>
          <w:lang w:val="fr-CA"/>
        </w:rPr>
        <w:t>propriétale</w:t>
      </w:r>
      <w:proofErr w:type="spellEnd"/>
      <w:r w:rsidRPr="009B2D0F">
        <w:rPr>
          <w:rFonts w:cs="Times New Roman"/>
          <w:lang w:val="fr-CA"/>
        </w:rPr>
        <w:t xml:space="preserve"> (voir </w:t>
      </w:r>
      <w:proofErr w:type="spellStart"/>
      <w:r w:rsidRPr="009B2D0F">
        <w:rPr>
          <w:rFonts w:cs="Times New Roman"/>
          <w:i/>
          <w:lang w:val="fr-CA"/>
        </w:rPr>
        <w:t>Thorner</w:t>
      </w:r>
      <w:proofErr w:type="spellEnd"/>
      <w:r w:rsidRPr="009B2D0F">
        <w:rPr>
          <w:rFonts w:cs="Times New Roman"/>
          <w:lang w:val="fr-CA"/>
        </w:rPr>
        <w:t xml:space="preserve">, </w:t>
      </w:r>
      <w:r>
        <w:rPr>
          <w:rFonts w:cs="Times New Roman"/>
          <w:lang w:val="fr-CA"/>
        </w:rPr>
        <w:t>par. </w:t>
      </w:r>
      <w:r w:rsidRPr="009B2D0F">
        <w:rPr>
          <w:rFonts w:cs="Times New Roman"/>
          <w:lang w:val="fr-CA"/>
        </w:rPr>
        <w:t xml:space="preserve">29, lord Walker;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444</w:t>
      </w:r>
      <w:r>
        <w:rPr>
          <w:rFonts w:cs="Times New Roman"/>
          <w:lang w:val="fr-CA"/>
        </w:rPr>
        <w:noBreakHyphen/>
      </w:r>
      <w:r w:rsidRPr="009B2D0F">
        <w:rPr>
          <w:rFonts w:cs="Times New Roman"/>
          <w:lang w:val="fr-CA"/>
        </w:rPr>
        <w:t>447).</w:t>
      </w:r>
      <w:r w:rsidRPr="009B2D0F">
        <w:rPr>
          <w:rFonts w:cs="Times New Roman"/>
          <w:i/>
          <w:lang w:val="fr-CA"/>
        </w:rPr>
        <w:t xml:space="preserve"> </w:t>
      </w:r>
      <w:r w:rsidRPr="009B2D0F">
        <w:rPr>
          <w:rFonts w:cs="Times New Roman"/>
          <w:lang w:val="fr-CA"/>
        </w:rPr>
        <w:t xml:space="preserve">Au cours des dernières décennies, nous avons pu assister à un assouplissement des cinq critères, ou « éléments à prouver », énoncés par le juge Fry dans </w:t>
      </w:r>
      <w:proofErr w:type="spellStart"/>
      <w:r w:rsidRPr="009B2D0F">
        <w:rPr>
          <w:rFonts w:cs="Times New Roman"/>
          <w:i/>
          <w:lang w:val="fr-CA"/>
        </w:rPr>
        <w:t>Willmott</w:t>
      </w:r>
      <w:proofErr w:type="spellEnd"/>
      <w:r w:rsidRPr="009B2D0F">
        <w:rPr>
          <w:rFonts w:cs="Times New Roman"/>
          <w:i/>
          <w:lang w:val="fr-CA"/>
        </w:rPr>
        <w:t xml:space="preserve"> c. Barber</w:t>
      </w:r>
      <w:r w:rsidRPr="009B2D0F">
        <w:rPr>
          <w:rFonts w:cs="Times New Roman"/>
          <w:lang w:val="fr-CA"/>
        </w:rPr>
        <w:t xml:space="preserve"> (1880), 15 </w:t>
      </w:r>
      <w:r>
        <w:rPr>
          <w:rFonts w:cs="Times New Roman"/>
          <w:lang w:val="fr-CA"/>
        </w:rPr>
        <w:t>Ch. </w:t>
      </w:r>
      <w:r w:rsidRPr="009B2D0F">
        <w:rPr>
          <w:rFonts w:cs="Times New Roman"/>
          <w:lang w:val="fr-CA"/>
        </w:rPr>
        <w:t xml:space="preserve">D. 96, </w:t>
      </w:r>
      <w:r>
        <w:rPr>
          <w:rFonts w:cs="Times New Roman"/>
          <w:lang w:val="fr-CA"/>
        </w:rPr>
        <w:t>p. </w:t>
      </w:r>
      <w:r w:rsidRPr="009B2D0F">
        <w:rPr>
          <w:rFonts w:cs="Times New Roman"/>
          <w:lang w:val="fr-CA"/>
        </w:rPr>
        <w:t>105</w:t>
      </w:r>
      <w:r>
        <w:rPr>
          <w:rFonts w:cs="Times New Roman"/>
          <w:lang w:val="fr-CA"/>
        </w:rPr>
        <w:noBreakHyphen/>
      </w:r>
      <w:r w:rsidRPr="009B2D0F">
        <w:rPr>
          <w:rFonts w:cs="Times New Roman"/>
          <w:lang w:val="fr-CA"/>
        </w:rPr>
        <w:t xml:space="preserve">106 — et cités par notre Cour dans </w:t>
      </w:r>
      <w:r w:rsidRPr="009B2D0F">
        <w:rPr>
          <w:rFonts w:cs="Times New Roman"/>
          <w:bCs/>
          <w:i/>
          <w:lang w:val="fr-CA"/>
        </w:rPr>
        <w:t xml:space="preserve">Canadian Superior </w:t>
      </w:r>
      <w:proofErr w:type="spellStart"/>
      <w:r w:rsidRPr="009B2D0F">
        <w:rPr>
          <w:rFonts w:cs="Times New Roman"/>
          <w:bCs/>
          <w:i/>
          <w:lang w:val="fr-CA"/>
        </w:rPr>
        <w:t>Oil</w:t>
      </w:r>
      <w:proofErr w:type="spellEnd"/>
      <w:r w:rsidRPr="009B2D0F">
        <w:rPr>
          <w:rFonts w:cs="Times New Roman"/>
          <w:bCs/>
          <w:i/>
          <w:lang w:val="fr-CA"/>
        </w:rPr>
        <w:t xml:space="preserve"> Ltd. c. </w:t>
      </w:r>
      <w:proofErr w:type="spellStart"/>
      <w:r w:rsidRPr="009B2D0F">
        <w:rPr>
          <w:rFonts w:cs="Times New Roman"/>
          <w:bCs/>
          <w:i/>
          <w:lang w:val="fr-CA"/>
        </w:rPr>
        <w:t>Paddon</w:t>
      </w:r>
      <w:proofErr w:type="spellEnd"/>
      <w:r>
        <w:rPr>
          <w:rFonts w:cs="Times New Roman"/>
          <w:bCs/>
          <w:i/>
          <w:lang w:val="fr-CA"/>
        </w:rPr>
        <w:noBreakHyphen/>
      </w:r>
      <w:r w:rsidR="009B5F8D">
        <w:rPr>
          <w:rFonts w:cs="Times New Roman"/>
          <w:bCs/>
          <w:i/>
          <w:lang w:val="fr-CA"/>
        </w:rPr>
        <w:t>Hugh</w:t>
      </w:r>
      <w:r w:rsidRPr="009B2D0F">
        <w:rPr>
          <w:rFonts w:cs="Times New Roman"/>
          <w:bCs/>
          <w:i/>
          <w:lang w:val="fr-CA"/>
        </w:rPr>
        <w:t xml:space="preserve">es </w:t>
      </w:r>
      <w:proofErr w:type="spellStart"/>
      <w:r w:rsidRPr="009B2D0F">
        <w:rPr>
          <w:rFonts w:cs="Times New Roman"/>
          <w:bCs/>
          <w:i/>
          <w:lang w:val="fr-CA"/>
        </w:rPr>
        <w:t>Development</w:t>
      </w:r>
      <w:proofErr w:type="spellEnd"/>
      <w:r w:rsidRPr="009B2D0F">
        <w:rPr>
          <w:rFonts w:cs="Times New Roman"/>
          <w:bCs/>
          <w:i/>
          <w:lang w:val="fr-CA"/>
        </w:rPr>
        <w:t xml:space="preserve"> Co.</w:t>
      </w:r>
      <w:r w:rsidRPr="009B2D0F">
        <w:rPr>
          <w:rFonts w:cs="Times New Roman"/>
          <w:bCs/>
          <w:lang w:val="fr-CA"/>
        </w:rPr>
        <w:t xml:space="preserve">, [1970] R.C.S. 932, </w:t>
      </w:r>
      <w:r>
        <w:rPr>
          <w:rFonts w:cs="Times New Roman"/>
          <w:bCs/>
          <w:lang w:val="fr-CA"/>
        </w:rPr>
        <w:t>p. </w:t>
      </w:r>
      <w:r w:rsidRPr="009B2D0F">
        <w:rPr>
          <w:rFonts w:cs="Times New Roman"/>
          <w:bCs/>
          <w:lang w:val="fr-CA"/>
        </w:rPr>
        <w:t>938</w:t>
      </w:r>
      <w:r>
        <w:rPr>
          <w:rFonts w:cs="Times New Roman"/>
          <w:bCs/>
          <w:lang w:val="fr-CA"/>
        </w:rPr>
        <w:noBreakHyphen/>
      </w:r>
      <w:r w:rsidRPr="009B2D0F">
        <w:rPr>
          <w:rFonts w:cs="Times New Roman"/>
          <w:bCs/>
          <w:lang w:val="fr-CA"/>
        </w:rPr>
        <w:t>939, et</w:t>
      </w:r>
      <w:r w:rsidRPr="009B2D0F">
        <w:rPr>
          <w:rFonts w:cs="Times New Roman"/>
          <w:lang w:val="fr-CA"/>
        </w:rPr>
        <w:t xml:space="preserve"> </w:t>
      </w:r>
      <w:proofErr w:type="spellStart"/>
      <w:r w:rsidRPr="009B2D0F">
        <w:rPr>
          <w:rFonts w:cs="Times New Roman"/>
          <w:bCs/>
          <w:i/>
          <w:lang w:val="fr-CA"/>
        </w:rPr>
        <w:t>Sohio</w:t>
      </w:r>
      <w:proofErr w:type="spellEnd"/>
      <w:r w:rsidRPr="009B2D0F">
        <w:rPr>
          <w:rFonts w:cs="Times New Roman"/>
          <w:bCs/>
          <w:i/>
          <w:lang w:val="fr-CA"/>
        </w:rPr>
        <w:t xml:space="preserve"> Petroleum Co. c. Weyburn Security Co.</w:t>
      </w:r>
      <w:r w:rsidRPr="009B2D0F">
        <w:rPr>
          <w:rFonts w:cs="Times New Roman"/>
          <w:bCs/>
          <w:lang w:val="fr-CA"/>
        </w:rPr>
        <w:t xml:space="preserve">, [1971] R.C.S. 81, </w:t>
      </w:r>
      <w:r>
        <w:rPr>
          <w:rFonts w:cs="Times New Roman"/>
          <w:bCs/>
          <w:lang w:val="fr-CA"/>
        </w:rPr>
        <w:t>p. </w:t>
      </w:r>
      <w:r w:rsidRPr="009B2D0F">
        <w:rPr>
          <w:rFonts w:cs="Times New Roman"/>
          <w:bCs/>
          <w:lang w:val="fr-CA"/>
        </w:rPr>
        <w:t>85</w:t>
      </w:r>
      <w:r>
        <w:rPr>
          <w:rFonts w:cs="Times New Roman"/>
          <w:bCs/>
          <w:lang w:val="fr-CA"/>
        </w:rPr>
        <w:noBreakHyphen/>
      </w:r>
      <w:r w:rsidR="005747BB">
        <w:rPr>
          <w:rFonts w:cs="Times New Roman"/>
          <w:bCs/>
          <w:lang w:val="fr-CA"/>
        </w:rPr>
        <w:t>86</w:t>
      </w:r>
      <w:r w:rsidRPr="009B2D0F">
        <w:rPr>
          <w:rFonts w:cs="Times New Roman"/>
          <w:bCs/>
          <w:lang w:val="fr-CA"/>
        </w:rPr>
        <w:t xml:space="preserve"> —</w:t>
      </w:r>
      <w:r w:rsidRPr="009B2D0F">
        <w:rPr>
          <w:rFonts w:cs="Times New Roman"/>
          <w:lang w:val="fr-CA"/>
        </w:rPr>
        <w:t xml:space="preserve"> les juges s</w:t>
      </w:r>
      <w:r>
        <w:rPr>
          <w:rFonts w:cs="Times New Roman"/>
          <w:lang w:val="fr-CA"/>
        </w:rPr>
        <w:t>’</w:t>
      </w:r>
      <w:r w:rsidRPr="009B2D0F">
        <w:rPr>
          <w:rFonts w:cs="Times New Roman"/>
          <w:lang w:val="fr-CA"/>
        </w:rPr>
        <w:t>étant écartés d</w:t>
      </w:r>
      <w:r>
        <w:rPr>
          <w:rFonts w:cs="Times New Roman"/>
          <w:lang w:val="fr-CA"/>
        </w:rPr>
        <w:t>’</w:t>
      </w:r>
      <w:r w:rsidRPr="009B2D0F">
        <w:rPr>
          <w:rFonts w:cs="Times New Roman"/>
          <w:lang w:val="fr-CA"/>
        </w:rPr>
        <w:t>exigences strictes susceptibles de restreindre leur capacité de rendre justice dans les circonstances d</w:t>
      </w:r>
      <w:r>
        <w:rPr>
          <w:rFonts w:cs="Times New Roman"/>
          <w:lang w:val="fr-CA"/>
        </w:rPr>
        <w:t>’</w:t>
      </w:r>
      <w:r w:rsidRPr="009B2D0F">
        <w:rPr>
          <w:rFonts w:cs="Times New Roman"/>
          <w:lang w:val="fr-CA"/>
        </w:rPr>
        <w:t xml:space="preserve">une affaire donnée (voir </w:t>
      </w:r>
      <w:r w:rsidRPr="009B2D0F">
        <w:rPr>
          <w:rFonts w:cs="Times New Roman"/>
          <w:i/>
          <w:lang w:val="fr-CA"/>
        </w:rPr>
        <w:t>Clarke</w:t>
      </w:r>
      <w:r w:rsidRPr="009B2D0F">
        <w:rPr>
          <w:rFonts w:cs="Times New Roman"/>
          <w:lang w:val="fr-CA"/>
        </w:rPr>
        <w:t xml:space="preserve">, </w:t>
      </w:r>
      <w:r>
        <w:rPr>
          <w:rFonts w:cs="Times New Roman"/>
          <w:lang w:val="fr-CA"/>
        </w:rPr>
        <w:t>par. </w:t>
      </w:r>
      <w:r w:rsidRPr="009B2D0F">
        <w:rPr>
          <w:rFonts w:cs="Times New Roman"/>
          <w:lang w:val="fr-CA"/>
        </w:rPr>
        <w:t>41</w:t>
      </w:r>
      <w:r>
        <w:rPr>
          <w:rFonts w:cs="Times New Roman"/>
          <w:lang w:val="fr-CA"/>
        </w:rPr>
        <w:noBreakHyphen/>
      </w:r>
      <w:r w:rsidRPr="009B2D0F">
        <w:rPr>
          <w:rFonts w:cs="Times New Roman"/>
          <w:lang w:val="fr-CA"/>
        </w:rPr>
        <w:t>53;</w:t>
      </w:r>
      <w:r w:rsidRPr="009B2D0F">
        <w:rPr>
          <w:rFonts w:cs="Times New Roman"/>
          <w:i/>
          <w:lang w:val="fr-CA"/>
        </w:rPr>
        <w:t xml:space="preserve"> </w:t>
      </w:r>
      <w:proofErr w:type="spellStart"/>
      <w:r w:rsidRPr="009B2D0F">
        <w:rPr>
          <w:rFonts w:cs="Times New Roman"/>
          <w:bCs/>
          <w:i/>
          <w:szCs w:val="24"/>
          <w:lang w:val="fr-CA"/>
        </w:rPr>
        <w:t>Sykes</w:t>
      </w:r>
      <w:proofErr w:type="spellEnd"/>
      <w:r w:rsidRPr="009B2D0F">
        <w:rPr>
          <w:rFonts w:cs="Times New Roman"/>
          <w:bCs/>
          <w:i/>
          <w:szCs w:val="24"/>
          <w:lang w:val="fr-CA"/>
        </w:rPr>
        <w:t xml:space="preserve"> c. Rosebery </w:t>
      </w:r>
      <w:proofErr w:type="spellStart"/>
      <w:r w:rsidRPr="009B2D0F">
        <w:rPr>
          <w:rFonts w:cs="Times New Roman"/>
          <w:bCs/>
          <w:i/>
          <w:szCs w:val="24"/>
          <w:lang w:val="fr-CA"/>
        </w:rPr>
        <w:t>Parklands</w:t>
      </w:r>
      <w:proofErr w:type="spellEnd"/>
      <w:r w:rsidRPr="009B2D0F">
        <w:rPr>
          <w:rFonts w:cs="Times New Roman"/>
          <w:bCs/>
          <w:i/>
          <w:szCs w:val="24"/>
          <w:lang w:val="fr-CA"/>
        </w:rPr>
        <w:t xml:space="preserve"> </w:t>
      </w:r>
      <w:proofErr w:type="spellStart"/>
      <w:r w:rsidRPr="009B2D0F">
        <w:rPr>
          <w:rFonts w:cs="Times New Roman"/>
          <w:bCs/>
          <w:i/>
          <w:szCs w:val="24"/>
          <w:lang w:val="fr-CA"/>
        </w:rPr>
        <w:t>Development</w:t>
      </w:r>
      <w:proofErr w:type="spellEnd"/>
      <w:r w:rsidRPr="009B2D0F">
        <w:rPr>
          <w:rFonts w:cs="Times New Roman"/>
          <w:bCs/>
          <w:i/>
          <w:szCs w:val="24"/>
          <w:lang w:val="fr-CA"/>
        </w:rPr>
        <w:t xml:space="preserve"> Society</w:t>
      </w:r>
      <w:r w:rsidRPr="009B2D0F">
        <w:rPr>
          <w:rFonts w:cs="Times New Roman"/>
          <w:bCs/>
          <w:szCs w:val="24"/>
          <w:lang w:val="fr-CA"/>
        </w:rPr>
        <w:t xml:space="preserve">, 2011 BCCA 15, 330 D.L.R. (4th) 84, </w:t>
      </w:r>
      <w:r>
        <w:rPr>
          <w:rFonts w:cs="Times New Roman"/>
          <w:szCs w:val="24"/>
          <w:lang w:val="fr-CA"/>
        </w:rPr>
        <w:t>par. </w:t>
      </w:r>
      <w:r w:rsidRPr="009B2D0F">
        <w:rPr>
          <w:rFonts w:cs="Times New Roman"/>
          <w:szCs w:val="24"/>
          <w:lang w:val="fr-CA"/>
        </w:rPr>
        <w:t>44</w:t>
      </w:r>
      <w:r>
        <w:rPr>
          <w:rFonts w:cs="Times New Roman"/>
          <w:szCs w:val="24"/>
          <w:lang w:val="fr-CA"/>
        </w:rPr>
        <w:noBreakHyphen/>
      </w:r>
      <w:r w:rsidRPr="009B2D0F">
        <w:rPr>
          <w:rFonts w:cs="Times New Roman"/>
          <w:szCs w:val="24"/>
          <w:lang w:val="fr-CA"/>
        </w:rPr>
        <w:t xml:space="preserve">49; </w:t>
      </w:r>
      <w:r w:rsidRPr="009B2D0F">
        <w:rPr>
          <w:rFonts w:cs="Times New Roman"/>
          <w:i/>
          <w:szCs w:val="24"/>
          <w:lang w:val="fr-CA"/>
        </w:rPr>
        <w:t>Erickson c. Jones</w:t>
      </w:r>
      <w:r w:rsidRPr="009B2D0F">
        <w:rPr>
          <w:rFonts w:cs="Times New Roman"/>
          <w:szCs w:val="24"/>
          <w:lang w:val="fr-CA"/>
        </w:rPr>
        <w:t>, 2008 BCCA 379, 299 D.L.R. (4th) 465,</w:t>
      </w:r>
      <w:r w:rsidRPr="009B2D0F">
        <w:rPr>
          <w:rFonts w:cs="Times New Roman"/>
          <w:i/>
          <w:szCs w:val="24"/>
          <w:lang w:val="fr-CA"/>
        </w:rPr>
        <w:t xml:space="preserve"> </w:t>
      </w:r>
      <w:r>
        <w:rPr>
          <w:rFonts w:cs="Times New Roman"/>
          <w:szCs w:val="24"/>
          <w:lang w:val="fr-CA"/>
        </w:rPr>
        <w:t>par. </w:t>
      </w:r>
      <w:r w:rsidRPr="009B2D0F">
        <w:rPr>
          <w:rFonts w:cs="Times New Roman"/>
          <w:szCs w:val="24"/>
          <w:lang w:val="fr-CA"/>
        </w:rPr>
        <w:t>52</w:t>
      </w:r>
      <w:r>
        <w:rPr>
          <w:rFonts w:cs="Times New Roman"/>
          <w:szCs w:val="24"/>
          <w:lang w:val="fr-CA"/>
        </w:rPr>
        <w:noBreakHyphen/>
      </w:r>
      <w:r w:rsidRPr="009B2D0F">
        <w:rPr>
          <w:rFonts w:cs="Times New Roman"/>
          <w:szCs w:val="24"/>
          <w:lang w:val="fr-CA"/>
        </w:rPr>
        <w:t xml:space="preserve">57; </w:t>
      </w:r>
      <w:proofErr w:type="spellStart"/>
      <w:r w:rsidRPr="009B2D0F">
        <w:rPr>
          <w:rFonts w:cs="Times New Roman"/>
          <w:i/>
          <w:iCs/>
          <w:lang w:val="fr-CA"/>
        </w:rPr>
        <w:t>Crabb</w:t>
      </w:r>
      <w:proofErr w:type="spellEnd"/>
      <w:r w:rsidRPr="009B2D0F">
        <w:rPr>
          <w:rFonts w:cs="Times New Roman"/>
          <w:lang w:val="fr-CA"/>
        </w:rPr>
        <w:t xml:space="preserve">, </w:t>
      </w:r>
      <w:r>
        <w:rPr>
          <w:rFonts w:cs="Times New Roman"/>
          <w:lang w:val="fr-CA"/>
        </w:rPr>
        <w:t>p. </w:t>
      </w:r>
      <w:r w:rsidRPr="009B2D0F">
        <w:rPr>
          <w:rFonts w:cs="Times New Roman"/>
          <w:lang w:val="fr-CA"/>
        </w:rPr>
        <w:t>876</w:t>
      </w:r>
      <w:r>
        <w:rPr>
          <w:rFonts w:cs="Times New Roman"/>
          <w:lang w:val="fr-CA"/>
        </w:rPr>
        <w:noBreakHyphen/>
      </w:r>
      <w:r w:rsidRPr="009B2D0F">
        <w:rPr>
          <w:rFonts w:cs="Times New Roman"/>
          <w:lang w:val="fr-CA"/>
        </w:rPr>
        <w:t xml:space="preserve">877, le lord juge </w:t>
      </w:r>
      <w:proofErr w:type="spellStart"/>
      <w:r w:rsidRPr="009B2D0F">
        <w:rPr>
          <w:rFonts w:cs="Times New Roman"/>
          <w:lang w:val="fr-CA"/>
        </w:rPr>
        <w:t>Scarman</w:t>
      </w:r>
      <w:proofErr w:type="spellEnd"/>
      <w:r w:rsidRPr="009B2D0F">
        <w:rPr>
          <w:rFonts w:cs="Times New Roman"/>
          <w:lang w:val="fr-CA"/>
        </w:rPr>
        <w:t xml:space="preserve">; </w:t>
      </w:r>
      <w:proofErr w:type="spellStart"/>
      <w:r w:rsidRPr="009B2D0F">
        <w:rPr>
          <w:rFonts w:cs="Times New Roman"/>
          <w:i/>
          <w:iCs/>
          <w:lang w:val="fr-CA"/>
        </w:rPr>
        <w:t>Taylors</w:t>
      </w:r>
      <w:proofErr w:type="spellEnd"/>
      <w:r w:rsidRPr="009B2D0F">
        <w:rPr>
          <w:rFonts w:cs="Times New Roman"/>
          <w:i/>
          <w:iCs/>
          <w:lang w:val="fr-CA"/>
        </w:rPr>
        <w:t xml:space="preserve"> </w:t>
      </w:r>
      <w:proofErr w:type="spellStart"/>
      <w:r w:rsidRPr="009B2D0F">
        <w:rPr>
          <w:rFonts w:cs="Times New Roman"/>
          <w:i/>
          <w:iCs/>
          <w:lang w:val="fr-CA"/>
        </w:rPr>
        <w:t>Fashions</w:t>
      </w:r>
      <w:proofErr w:type="spellEnd"/>
      <w:r w:rsidRPr="009B2D0F">
        <w:rPr>
          <w:rFonts w:cs="Times New Roman"/>
          <w:lang w:val="fr-CA"/>
        </w:rPr>
        <w:t xml:space="preserve">, </w:t>
      </w:r>
      <w:r>
        <w:rPr>
          <w:rFonts w:cs="Times New Roman"/>
          <w:lang w:val="fr-CA"/>
        </w:rPr>
        <w:t>p. </w:t>
      </w:r>
      <w:r w:rsidRPr="009B2D0F">
        <w:rPr>
          <w:rFonts w:cs="Times New Roman"/>
          <w:lang w:val="fr-CA"/>
        </w:rPr>
        <w:t>915</w:t>
      </w:r>
      <w:r>
        <w:rPr>
          <w:rFonts w:cs="Times New Roman"/>
          <w:lang w:val="fr-CA"/>
        </w:rPr>
        <w:noBreakHyphen/>
      </w:r>
      <w:r w:rsidRPr="009B2D0F">
        <w:rPr>
          <w:rFonts w:cs="Times New Roman"/>
          <w:lang w:val="fr-CA"/>
        </w:rPr>
        <w:t>918).</w:t>
      </w:r>
    </w:p>
    <w:p w:rsidR="00987842" w:rsidRPr="009B2D0F" w:rsidRDefault="00987842" w:rsidP="00987842">
      <w:pPr>
        <w:pStyle w:val="ParaNoNdepar-AltN"/>
        <w:tabs>
          <w:tab w:val="clear" w:pos="1692"/>
          <w:tab w:val="num" w:pos="1152"/>
        </w:tabs>
        <w:ind w:left="0"/>
        <w:rPr>
          <w:rFonts w:cs="Times New Roman"/>
          <w:b/>
          <w:bCs/>
          <w:lang w:val="fr-CA"/>
        </w:rPr>
      </w:pPr>
      <w:r w:rsidRPr="009B2D0F">
        <w:rPr>
          <w:rFonts w:cs="Times New Roman"/>
          <w:lang w:val="fr-CA"/>
        </w:rPr>
        <w:t>Or, cet assouplissement ne doit pas se faire au détriment de la clarté et de la prévisibilité. Comme l</w:t>
      </w:r>
      <w:r>
        <w:rPr>
          <w:rFonts w:cs="Times New Roman"/>
          <w:lang w:val="fr-CA"/>
        </w:rPr>
        <w:t>’</w:t>
      </w:r>
      <w:r w:rsidRPr="009B2D0F">
        <w:rPr>
          <w:rFonts w:cs="Times New Roman"/>
          <w:lang w:val="fr-CA"/>
        </w:rPr>
        <w:t xml:space="preserve">a mentionné le professeur </w:t>
      </w:r>
      <w:proofErr w:type="spellStart"/>
      <w:r w:rsidRPr="009B2D0F">
        <w:rPr>
          <w:rFonts w:cs="Times New Roman"/>
          <w:lang w:val="fr-CA"/>
        </w:rPr>
        <w:t>MacDougall</w:t>
      </w:r>
      <w:proofErr w:type="spellEnd"/>
      <w:r>
        <w:rPr>
          <w:rFonts w:cs="Times New Roman"/>
          <w:lang w:val="fr-CA"/>
        </w:rPr>
        <w:t> :</w:t>
      </w:r>
    </w:p>
    <w:p w:rsidR="00987842" w:rsidRPr="009B2D0F" w:rsidRDefault="00987842" w:rsidP="00987842">
      <w:pPr>
        <w:pStyle w:val="Citation-AltC"/>
        <w:ind w:hanging="1166"/>
        <w:rPr>
          <w:lang w:val="fr-CA"/>
        </w:rPr>
      </w:pPr>
      <w:r>
        <w:rPr>
          <w:lang w:val="fr-CA"/>
        </w:rPr>
        <w:tab/>
      </w:r>
      <w:r w:rsidRPr="009B2D0F">
        <w:rPr>
          <w:lang w:val="fr-CA"/>
        </w:rPr>
        <w:t>[</w:t>
      </w:r>
      <w:r w:rsidRPr="009B2D0F">
        <w:rPr>
          <w:smallCaps/>
          <w:lang w:val="fr-CA"/>
        </w:rPr>
        <w:t>traduction</w:t>
      </w:r>
      <w:r w:rsidRPr="009B2D0F">
        <w:rPr>
          <w:lang w:val="fr-CA"/>
        </w:rPr>
        <w:t>] Bien que les cinq éléments à prouver doivent être remplacés comme critères régissant la préclusion, une formulation structurée qui permette d</w:t>
      </w:r>
      <w:r>
        <w:rPr>
          <w:lang w:val="fr-CA"/>
        </w:rPr>
        <w:t>’</w:t>
      </w:r>
      <w:r w:rsidRPr="009B2D0F">
        <w:rPr>
          <w:lang w:val="fr-CA"/>
        </w:rPr>
        <w:t>établir la nécessité d</w:t>
      </w:r>
      <w:r>
        <w:rPr>
          <w:lang w:val="fr-CA"/>
        </w:rPr>
        <w:t>’</w:t>
      </w:r>
      <w:r w:rsidRPr="009B2D0F">
        <w:rPr>
          <w:lang w:val="fr-CA"/>
        </w:rPr>
        <w:t>appliquer la préclusion propriétale sert l</w:t>
      </w:r>
      <w:r>
        <w:rPr>
          <w:lang w:val="fr-CA"/>
        </w:rPr>
        <w:t>’</w:t>
      </w:r>
      <w:r w:rsidRPr="009B2D0F">
        <w:rPr>
          <w:lang w:val="fr-CA"/>
        </w:rPr>
        <w:t>objectif consistant à offrir une méthode utile et raisonnablement claire pour prédire la préclusion. Remplacer une telle structure par un seul facteur du caractère « inéquitable » ou « inique » mène [. . .] [à] une doctrine trop indéterminée et floue qui ne fait qu</w:t>
      </w:r>
      <w:r>
        <w:rPr>
          <w:lang w:val="fr-CA"/>
        </w:rPr>
        <w:t>’</w:t>
      </w:r>
      <w:r w:rsidRPr="009B2D0F">
        <w:rPr>
          <w:lang w:val="fr-CA"/>
        </w:rPr>
        <w:t>encourager le recours aux tribunaux, compte tenu en particulier de la nature déjà très souple et indéterminée de l</w:t>
      </w:r>
      <w:r>
        <w:rPr>
          <w:lang w:val="fr-CA"/>
        </w:rPr>
        <w:t>’</w:t>
      </w:r>
      <w:r w:rsidRPr="009B2D0F">
        <w:rPr>
          <w:lang w:val="fr-CA"/>
        </w:rPr>
        <w:t>effet de la préclusion. [</w:t>
      </w:r>
      <w:r>
        <w:rPr>
          <w:lang w:val="fr-CA"/>
        </w:rPr>
        <w:t>p. </w:t>
      </w:r>
      <w:r w:rsidRPr="009B2D0F">
        <w:rPr>
          <w:lang w:val="fr-CA"/>
        </w:rPr>
        <w:t>447]</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lastRenderedPageBreak/>
        <w:t>Je suis d</w:t>
      </w:r>
      <w:r>
        <w:rPr>
          <w:rFonts w:cs="Times New Roman"/>
          <w:lang w:val="fr-CA"/>
        </w:rPr>
        <w:t>’</w:t>
      </w:r>
      <w:r w:rsidRPr="009B2D0F">
        <w:rPr>
          <w:rFonts w:cs="Times New Roman"/>
          <w:lang w:val="fr-CA"/>
        </w:rPr>
        <w:t xml:space="preserve">accord. Le caractère inéquitable ou le caractère injuste — parfois dit « inique », quoique dans un sens différent de celui dans lequel ce terme est utilisé en droit des contrats (voir </w:t>
      </w:r>
      <w:r w:rsidRPr="009B2D0F">
        <w:rPr>
          <w:rFonts w:cs="Times New Roman"/>
          <w:i/>
          <w:lang w:val="fr-CA"/>
        </w:rPr>
        <w:t>Ryan</w:t>
      </w:r>
      <w:r w:rsidRPr="009B2D0F">
        <w:rPr>
          <w:rFonts w:cs="Times New Roman"/>
          <w:lang w:val="fr-CA"/>
        </w:rPr>
        <w:t xml:space="preserve">, </w:t>
      </w:r>
      <w:r>
        <w:rPr>
          <w:rFonts w:cs="Times New Roman"/>
          <w:lang w:val="fr-CA"/>
        </w:rPr>
        <w:t>par. </w:t>
      </w:r>
      <w:r w:rsidRPr="009B2D0F">
        <w:rPr>
          <w:rFonts w:cs="Times New Roman"/>
          <w:lang w:val="fr-CA"/>
        </w:rPr>
        <w:t>74) — ne constituent pas des critères indépendants; c</w:t>
      </w:r>
      <w:r>
        <w:rPr>
          <w:rFonts w:cs="Times New Roman"/>
          <w:lang w:val="fr-CA"/>
        </w:rPr>
        <w:t>’</w:t>
      </w:r>
      <w:r w:rsidRPr="009B2D0F">
        <w:rPr>
          <w:rFonts w:cs="Times New Roman"/>
          <w:lang w:val="fr-CA"/>
        </w:rPr>
        <w:t xml:space="preserve">est ce que </w:t>
      </w:r>
      <w:r>
        <w:rPr>
          <w:rFonts w:cs="Times New Roman"/>
          <w:lang w:val="fr-CA"/>
        </w:rPr>
        <w:t xml:space="preserve">la </w:t>
      </w:r>
      <w:r w:rsidRPr="009B2D0F">
        <w:rPr>
          <w:rFonts w:cs="Times New Roman"/>
          <w:lang w:val="fr-CA"/>
        </w:rPr>
        <w:t>préclusion propriéta</w:t>
      </w:r>
      <w:r>
        <w:rPr>
          <w:rFonts w:cs="Times New Roman"/>
          <w:lang w:val="fr-CA"/>
        </w:rPr>
        <w:t>le vise à éviter en obligeant l</w:t>
      </w:r>
      <w:r w:rsidR="00F77ED8">
        <w:rPr>
          <w:rFonts w:cs="Times New Roman"/>
          <w:lang w:val="fr-CA"/>
        </w:rPr>
        <w:t>e</w:t>
      </w:r>
      <w:r w:rsidRPr="009B2D0F">
        <w:rPr>
          <w:rFonts w:cs="Times New Roman"/>
          <w:lang w:val="fr-CA"/>
        </w:rPr>
        <w:t xml:space="preserve"> titulaire de l</w:t>
      </w:r>
      <w:r>
        <w:rPr>
          <w:rFonts w:cs="Times New Roman"/>
          <w:lang w:val="fr-CA"/>
        </w:rPr>
        <w:t>’</w:t>
      </w:r>
      <w:r w:rsidRPr="009B2D0F">
        <w:rPr>
          <w:rFonts w:cs="Times New Roman"/>
          <w:lang w:val="fr-CA"/>
        </w:rPr>
        <w:t>intérêt à tenir parole.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Il est généralement entendu au Canada que la préclusion propriétale porte sur des intérêts fonciers (</w:t>
      </w:r>
      <w:proofErr w:type="spellStart"/>
      <w:r w:rsidRPr="009B2D0F">
        <w:rPr>
          <w:rFonts w:cs="Times New Roman"/>
          <w:bCs/>
          <w:i/>
          <w:lang w:val="fr-CA"/>
        </w:rPr>
        <w:t>Delane</w:t>
      </w:r>
      <w:proofErr w:type="spellEnd"/>
      <w:r w:rsidRPr="009B2D0F">
        <w:rPr>
          <w:rFonts w:cs="Times New Roman"/>
          <w:bCs/>
          <w:i/>
          <w:lang w:val="fr-CA"/>
        </w:rPr>
        <w:t xml:space="preserve"> </w:t>
      </w:r>
      <w:proofErr w:type="spellStart"/>
      <w:r w:rsidRPr="009B2D0F">
        <w:rPr>
          <w:rFonts w:cs="Times New Roman"/>
          <w:bCs/>
          <w:i/>
          <w:lang w:val="fr-CA"/>
        </w:rPr>
        <w:t>Industry</w:t>
      </w:r>
      <w:proofErr w:type="spellEnd"/>
      <w:r w:rsidRPr="009B2D0F">
        <w:rPr>
          <w:rFonts w:cs="Times New Roman"/>
          <w:bCs/>
          <w:i/>
          <w:lang w:val="fr-CA"/>
        </w:rPr>
        <w:t xml:space="preserve"> Co. c. PCI </w:t>
      </w:r>
      <w:proofErr w:type="spellStart"/>
      <w:r w:rsidRPr="009B2D0F">
        <w:rPr>
          <w:rFonts w:cs="Times New Roman"/>
          <w:bCs/>
          <w:i/>
          <w:lang w:val="fr-CA"/>
        </w:rPr>
        <w:t>Properties</w:t>
      </w:r>
      <w:proofErr w:type="spellEnd"/>
      <w:r w:rsidRPr="009B2D0F">
        <w:rPr>
          <w:rFonts w:cs="Times New Roman"/>
          <w:bCs/>
          <w:i/>
          <w:lang w:val="fr-CA"/>
        </w:rPr>
        <w:t xml:space="preserve"> Corp.</w:t>
      </w:r>
      <w:r w:rsidRPr="009B2D0F">
        <w:rPr>
          <w:rFonts w:cs="Times New Roman"/>
          <w:bCs/>
          <w:lang w:val="fr-CA"/>
        </w:rPr>
        <w:t xml:space="preserve">, 2014 BCCA 285, 359 B.C.A.C. 61, </w:t>
      </w:r>
      <w:r>
        <w:rPr>
          <w:rFonts w:cs="Times New Roman"/>
          <w:lang w:val="fr-CA"/>
        </w:rPr>
        <w:t>par. </w:t>
      </w:r>
      <w:r w:rsidRPr="009B2D0F">
        <w:rPr>
          <w:rFonts w:cs="Times New Roman"/>
          <w:lang w:val="fr-CA"/>
        </w:rPr>
        <w:t xml:space="preserve">49; </w:t>
      </w:r>
      <w:proofErr w:type="spellStart"/>
      <w:r w:rsidRPr="009B2D0F">
        <w:rPr>
          <w:rFonts w:cs="Times New Roman"/>
          <w:bCs/>
          <w:i/>
          <w:lang w:val="fr-CA"/>
        </w:rPr>
        <w:t>Burgsteden</w:t>
      </w:r>
      <w:proofErr w:type="spellEnd"/>
      <w:r w:rsidRPr="009B2D0F">
        <w:rPr>
          <w:rFonts w:cs="Times New Roman"/>
          <w:bCs/>
          <w:i/>
          <w:lang w:val="fr-CA"/>
        </w:rPr>
        <w:t xml:space="preserve"> c. Long</w:t>
      </w:r>
      <w:r w:rsidRPr="009B2D0F">
        <w:rPr>
          <w:rFonts w:cs="Times New Roman"/>
          <w:bCs/>
          <w:lang w:val="fr-CA"/>
        </w:rPr>
        <w:t xml:space="preserve">, 2014 SKCA 115, 378 D.L.R. (4th) 562, </w:t>
      </w:r>
      <w:r>
        <w:rPr>
          <w:rFonts w:cs="Times New Roman"/>
          <w:bCs/>
          <w:lang w:val="fr-CA"/>
        </w:rPr>
        <w:t>par. </w:t>
      </w:r>
      <w:r w:rsidRPr="009B2D0F">
        <w:rPr>
          <w:rFonts w:cs="Times New Roman"/>
          <w:bCs/>
          <w:lang w:val="fr-CA"/>
        </w:rPr>
        <w:t xml:space="preserve">25; </w:t>
      </w:r>
      <w:r w:rsidRPr="009B2D0F">
        <w:rPr>
          <w:rFonts w:cs="Times New Roman"/>
          <w:i/>
          <w:szCs w:val="24"/>
          <w:lang w:val="fr-CA"/>
        </w:rPr>
        <w:t>Clarke</w:t>
      </w:r>
      <w:r w:rsidRPr="009B2D0F">
        <w:rPr>
          <w:rFonts w:cs="Times New Roman"/>
          <w:bCs/>
          <w:lang w:val="fr-CA"/>
        </w:rPr>
        <w:t xml:space="preserve">, </w:t>
      </w:r>
      <w:r>
        <w:rPr>
          <w:rFonts w:cs="Times New Roman"/>
          <w:bCs/>
          <w:lang w:val="fr-CA"/>
        </w:rPr>
        <w:t>par. </w:t>
      </w:r>
      <w:r w:rsidRPr="009B2D0F">
        <w:rPr>
          <w:rFonts w:cs="Times New Roman"/>
          <w:bCs/>
          <w:lang w:val="fr-CA"/>
        </w:rPr>
        <w:t xml:space="preserve">52; </w:t>
      </w:r>
      <w:proofErr w:type="spellStart"/>
      <w:r w:rsidRPr="009B2D0F">
        <w:rPr>
          <w:rFonts w:cs="Times New Roman"/>
          <w:bCs/>
          <w:i/>
          <w:lang w:val="fr-CA"/>
        </w:rPr>
        <w:t>Eberts</w:t>
      </w:r>
      <w:proofErr w:type="spellEnd"/>
      <w:r w:rsidRPr="009B2D0F">
        <w:rPr>
          <w:rFonts w:cs="Times New Roman"/>
          <w:bCs/>
          <w:i/>
          <w:lang w:val="fr-CA"/>
        </w:rPr>
        <w:t xml:space="preserve"> c. Carleton Condominium Cor</w:t>
      </w:r>
      <w:r>
        <w:rPr>
          <w:rFonts w:cs="Times New Roman"/>
          <w:bCs/>
          <w:i/>
          <w:lang w:val="fr-CA"/>
        </w:rPr>
        <w:t>p. No. </w:t>
      </w:r>
      <w:r w:rsidRPr="009B2D0F">
        <w:rPr>
          <w:rFonts w:cs="Times New Roman"/>
          <w:bCs/>
          <w:i/>
          <w:lang w:val="fr-CA"/>
        </w:rPr>
        <w:t>396</w:t>
      </w:r>
      <w:r w:rsidRPr="009B2D0F">
        <w:rPr>
          <w:rFonts w:cs="Times New Roman"/>
          <w:bCs/>
          <w:lang w:val="fr-CA"/>
        </w:rPr>
        <w:t xml:space="preserve"> (2000), 136 O.A.C. 317, </w:t>
      </w:r>
      <w:r>
        <w:rPr>
          <w:rFonts w:cs="Times New Roman"/>
          <w:bCs/>
          <w:lang w:val="fr-CA"/>
        </w:rPr>
        <w:t>par. </w:t>
      </w:r>
      <w:r w:rsidRPr="009B2D0F">
        <w:rPr>
          <w:rFonts w:cs="Times New Roman"/>
          <w:bCs/>
          <w:lang w:val="fr-CA"/>
        </w:rPr>
        <w:t xml:space="preserve">23; </w:t>
      </w:r>
      <w:proofErr w:type="spellStart"/>
      <w:r w:rsidRPr="009B2D0F">
        <w:rPr>
          <w:rFonts w:cs="Times New Roman"/>
          <w:bCs/>
          <w:i/>
          <w:lang w:val="fr-CA"/>
        </w:rPr>
        <w:t>Bellton</w:t>
      </w:r>
      <w:proofErr w:type="spellEnd"/>
      <w:r w:rsidRPr="009B2D0F">
        <w:rPr>
          <w:rFonts w:cs="Times New Roman"/>
          <w:bCs/>
          <w:i/>
          <w:lang w:val="fr-CA"/>
        </w:rPr>
        <w:t xml:space="preserve"> </w:t>
      </w:r>
      <w:proofErr w:type="spellStart"/>
      <w:r w:rsidRPr="009B2D0F">
        <w:rPr>
          <w:rFonts w:cs="Times New Roman"/>
          <w:bCs/>
          <w:i/>
          <w:lang w:val="fr-CA"/>
        </w:rPr>
        <w:t>Farms</w:t>
      </w:r>
      <w:proofErr w:type="spellEnd"/>
      <w:r w:rsidRPr="009B2D0F">
        <w:rPr>
          <w:rFonts w:cs="Times New Roman"/>
          <w:bCs/>
          <w:i/>
          <w:lang w:val="fr-CA"/>
        </w:rPr>
        <w:t xml:space="preserve"> Ltd. c. Campbell</w:t>
      </w:r>
      <w:r w:rsidRPr="009B2D0F">
        <w:rPr>
          <w:rFonts w:cs="Times New Roman"/>
          <w:bCs/>
          <w:lang w:val="fr-CA"/>
        </w:rPr>
        <w:t>, 2016 NSCA 1, 394 D.L.R. (4</w:t>
      </w:r>
      <w:r w:rsidRPr="009B5F8D">
        <w:rPr>
          <w:rFonts w:cs="Times New Roman"/>
          <w:bCs/>
          <w:lang w:val="fr-CA"/>
        </w:rPr>
        <w:t>th</w:t>
      </w:r>
      <w:r w:rsidRPr="009B2D0F">
        <w:rPr>
          <w:rFonts w:cs="Times New Roman"/>
          <w:bCs/>
          <w:lang w:val="fr-CA"/>
        </w:rPr>
        <w:t xml:space="preserve">) 262, </w:t>
      </w:r>
      <w:r>
        <w:rPr>
          <w:rFonts w:cs="Times New Roman"/>
          <w:bCs/>
          <w:lang w:val="fr-CA"/>
        </w:rPr>
        <w:t>par. </w:t>
      </w:r>
      <w:r w:rsidRPr="009B2D0F">
        <w:rPr>
          <w:rFonts w:cs="Times New Roman"/>
          <w:bCs/>
          <w:lang w:val="fr-CA"/>
        </w:rPr>
        <w:t xml:space="preserve">46). Néanmoins, comme le professeur </w:t>
      </w:r>
      <w:proofErr w:type="spellStart"/>
      <w:r w:rsidRPr="009B2D0F">
        <w:rPr>
          <w:rFonts w:cs="Times New Roman"/>
          <w:bCs/>
          <w:lang w:val="fr-CA"/>
        </w:rPr>
        <w:t>MacDougall</w:t>
      </w:r>
      <w:proofErr w:type="spellEnd"/>
      <w:r w:rsidRPr="009B2D0F">
        <w:rPr>
          <w:rFonts w:cs="Times New Roman"/>
          <w:bCs/>
          <w:lang w:val="fr-CA"/>
        </w:rPr>
        <w:t xml:space="preserve"> l</w:t>
      </w:r>
      <w:r>
        <w:rPr>
          <w:rFonts w:cs="Times New Roman"/>
          <w:bCs/>
          <w:lang w:val="fr-CA"/>
        </w:rPr>
        <w:t>’</w:t>
      </w:r>
      <w:r w:rsidRPr="009B2D0F">
        <w:rPr>
          <w:rFonts w:cs="Times New Roman"/>
          <w:bCs/>
          <w:lang w:val="fr-CA"/>
        </w:rPr>
        <w:t>a fait remarquer, [</w:t>
      </w:r>
      <w:r w:rsidRPr="009B2D0F">
        <w:rPr>
          <w:rFonts w:cs="Times New Roman"/>
          <w:bCs/>
          <w:smallCaps/>
          <w:lang w:val="fr-CA"/>
        </w:rPr>
        <w:t>traduction</w:t>
      </w:r>
      <w:r w:rsidRPr="009B2D0F">
        <w:rPr>
          <w:rFonts w:cs="Times New Roman"/>
          <w:bCs/>
          <w:lang w:val="fr-CA"/>
        </w:rPr>
        <w:t>] « on pourrait soutenir que l</w:t>
      </w:r>
      <w:r>
        <w:rPr>
          <w:rFonts w:cs="Times New Roman"/>
          <w:bCs/>
          <w:lang w:val="fr-CA"/>
        </w:rPr>
        <w:t>’</w:t>
      </w:r>
      <w:r w:rsidRPr="009B2D0F">
        <w:rPr>
          <w:rFonts w:cs="Times New Roman"/>
          <w:bCs/>
          <w:lang w:val="fr-CA"/>
        </w:rPr>
        <w:t>imposition d</w:t>
      </w:r>
      <w:r>
        <w:rPr>
          <w:rFonts w:cs="Times New Roman"/>
          <w:bCs/>
          <w:lang w:val="fr-CA"/>
        </w:rPr>
        <w:t>’</w:t>
      </w:r>
      <w:r w:rsidRPr="009B2D0F">
        <w:rPr>
          <w:rFonts w:cs="Times New Roman"/>
          <w:bCs/>
          <w:lang w:val="fr-CA"/>
        </w:rPr>
        <w:t>une restriction à un bien</w:t>
      </w:r>
      <w:r>
        <w:rPr>
          <w:rFonts w:cs="Times New Roman"/>
          <w:bCs/>
          <w:lang w:val="fr-CA"/>
        </w:rPr>
        <w:noBreakHyphen/>
      </w:r>
      <w:r w:rsidRPr="009B2D0F">
        <w:rPr>
          <w:rFonts w:cs="Times New Roman"/>
          <w:bCs/>
          <w:lang w:val="fr-CA"/>
        </w:rPr>
        <w:t>fonds est arbitraire [. . .] Tout a commencé par un quelconque concours de circonstances où la préclusion propriétale [. . .] a été créée comme un moyen de contourner les exigences de forme qui limitaient principalement la création ou le transfert de droits fonciers » (</w:t>
      </w:r>
      <w:r>
        <w:rPr>
          <w:rFonts w:cs="Times New Roman"/>
          <w:bCs/>
          <w:lang w:val="fr-CA"/>
        </w:rPr>
        <w:t>p. </w:t>
      </w:r>
      <w:r w:rsidRPr="009B2D0F">
        <w:rPr>
          <w:rFonts w:cs="Times New Roman"/>
          <w:bCs/>
          <w:lang w:val="fr-CA"/>
        </w:rPr>
        <w:t xml:space="preserve">450; voir aussi </w:t>
      </w:r>
      <w:r w:rsidRPr="009B2D0F">
        <w:rPr>
          <w:rFonts w:cs="Times New Roman"/>
          <w:bCs/>
          <w:i/>
          <w:lang w:val="fr-CA"/>
        </w:rPr>
        <w:t>Wettstein c. Wettstein</w:t>
      </w:r>
      <w:r w:rsidRPr="009B2D0F">
        <w:rPr>
          <w:rFonts w:cs="Times New Roman"/>
          <w:bCs/>
          <w:lang w:val="fr-CA"/>
        </w:rPr>
        <w:t xml:space="preserve">, 1992 </w:t>
      </w:r>
      <w:proofErr w:type="spellStart"/>
      <w:r w:rsidRPr="009B2D0F">
        <w:rPr>
          <w:rFonts w:cs="Times New Roman"/>
          <w:bCs/>
          <w:lang w:val="fr-CA"/>
        </w:rPr>
        <w:t>CarswellBC</w:t>
      </w:r>
      <w:proofErr w:type="spellEnd"/>
      <w:r w:rsidRPr="009B2D0F">
        <w:rPr>
          <w:rFonts w:cs="Times New Roman"/>
          <w:bCs/>
          <w:lang w:val="fr-CA"/>
        </w:rPr>
        <w:t xml:space="preserve"> 1421 (WL</w:t>
      </w:r>
      <w:r w:rsidR="009B5F8D">
        <w:rPr>
          <w:rFonts w:cs="Times New Roman"/>
          <w:bCs/>
          <w:lang w:val="fr-CA"/>
        </w:rPr>
        <w:t xml:space="preserve"> </w:t>
      </w:r>
      <w:r w:rsidRPr="009B2D0F">
        <w:rPr>
          <w:rFonts w:cs="Times New Roman"/>
          <w:bCs/>
          <w:lang w:val="fr-CA"/>
        </w:rPr>
        <w:t>Can.) (C.S.),</w:t>
      </w:r>
      <w:r w:rsidRPr="009B2D0F">
        <w:rPr>
          <w:rFonts w:cs="Times New Roman"/>
          <w:bCs/>
          <w:i/>
          <w:lang w:val="fr-CA"/>
        </w:rPr>
        <w:t xml:space="preserve"> </w:t>
      </w:r>
      <w:r>
        <w:rPr>
          <w:rFonts w:cs="Times New Roman"/>
          <w:bCs/>
          <w:lang w:val="fr-CA"/>
        </w:rPr>
        <w:t>par. </w:t>
      </w:r>
      <w:r w:rsidRPr="009B2D0F">
        <w:rPr>
          <w:rFonts w:cs="Times New Roman"/>
          <w:bCs/>
          <w:lang w:val="fr-CA"/>
        </w:rPr>
        <w:t>56</w:t>
      </w:r>
      <w:r>
        <w:rPr>
          <w:rFonts w:cs="Times New Roman"/>
          <w:bCs/>
          <w:lang w:val="fr-CA"/>
        </w:rPr>
        <w:noBreakHyphen/>
      </w:r>
      <w:r w:rsidRPr="009B2D0F">
        <w:rPr>
          <w:rFonts w:cs="Times New Roman"/>
          <w:bCs/>
          <w:lang w:val="fr-CA"/>
        </w:rPr>
        <w:t>57).</w:t>
      </w:r>
      <w:r w:rsidRPr="009B2D0F">
        <w:rPr>
          <w:rFonts w:cs="Times New Roman"/>
          <w:lang w:val="fr-CA"/>
        </w:rPr>
        <w:t xml:space="preserve"> La Cour d</w:t>
      </w:r>
      <w:r>
        <w:rPr>
          <w:rFonts w:cs="Times New Roman"/>
          <w:lang w:val="fr-CA"/>
        </w:rPr>
        <w:t>’</w:t>
      </w:r>
      <w:r w:rsidRPr="009B2D0F">
        <w:rPr>
          <w:rFonts w:cs="Times New Roman"/>
          <w:lang w:val="fr-CA"/>
        </w:rPr>
        <w:t>appel de la Colombie</w:t>
      </w:r>
      <w:r>
        <w:rPr>
          <w:rFonts w:cs="Times New Roman"/>
          <w:lang w:val="fr-CA"/>
        </w:rPr>
        <w:noBreakHyphen/>
      </w:r>
      <w:r w:rsidRPr="009B2D0F">
        <w:rPr>
          <w:rFonts w:cs="Times New Roman"/>
          <w:lang w:val="fr-CA"/>
        </w:rPr>
        <w:t>Britannique a pris acte de la question de savoir si la préclusion propriétale [</w:t>
      </w:r>
      <w:r w:rsidRPr="009B2D0F">
        <w:rPr>
          <w:rFonts w:cs="Times New Roman"/>
          <w:smallCaps/>
          <w:lang w:val="fr-CA"/>
        </w:rPr>
        <w:t>traduction</w:t>
      </w:r>
      <w:r w:rsidRPr="009B2D0F">
        <w:rPr>
          <w:rFonts w:cs="Times New Roman"/>
          <w:lang w:val="fr-CA"/>
        </w:rPr>
        <w:t>] « s</w:t>
      </w:r>
      <w:r>
        <w:rPr>
          <w:rFonts w:cs="Times New Roman"/>
          <w:lang w:val="fr-CA"/>
        </w:rPr>
        <w:t>’</w:t>
      </w:r>
      <w:r w:rsidRPr="009B2D0F">
        <w:rPr>
          <w:rFonts w:cs="Times New Roman"/>
          <w:lang w:val="fr-CA"/>
        </w:rPr>
        <w:t>applique également à d</w:t>
      </w:r>
      <w:r>
        <w:rPr>
          <w:rFonts w:cs="Times New Roman"/>
          <w:lang w:val="fr-CA"/>
        </w:rPr>
        <w:t>’</w:t>
      </w:r>
      <w:r w:rsidRPr="009B2D0F">
        <w:rPr>
          <w:rFonts w:cs="Times New Roman"/>
          <w:lang w:val="fr-CA"/>
        </w:rPr>
        <w:t xml:space="preserve">autres droits </w:t>
      </w:r>
      <w:proofErr w:type="spellStart"/>
      <w:r w:rsidRPr="009B2D0F">
        <w:rPr>
          <w:rFonts w:cs="Times New Roman"/>
          <w:lang w:val="fr-CA"/>
        </w:rPr>
        <w:t>propriétaux</w:t>
      </w:r>
      <w:proofErr w:type="spellEnd"/>
      <w:r w:rsidRPr="009B2D0F">
        <w:rPr>
          <w:rFonts w:cs="Times New Roman"/>
          <w:lang w:val="fr-CA"/>
        </w:rPr>
        <w:t> », même si cela n</w:t>
      </w:r>
      <w:r>
        <w:rPr>
          <w:rFonts w:cs="Times New Roman"/>
          <w:lang w:val="fr-CA"/>
        </w:rPr>
        <w:t>’</w:t>
      </w:r>
      <w:r w:rsidRPr="009B2D0F">
        <w:rPr>
          <w:rFonts w:cs="Times New Roman"/>
          <w:lang w:val="fr-CA"/>
        </w:rPr>
        <w:t>était</w:t>
      </w:r>
      <w:r>
        <w:rPr>
          <w:rFonts w:cs="Times New Roman"/>
          <w:lang w:val="fr-CA"/>
        </w:rPr>
        <w:t xml:space="preserve"> pas</w:t>
      </w:r>
      <w:r w:rsidRPr="009B2D0F">
        <w:rPr>
          <w:rFonts w:cs="Times New Roman"/>
          <w:lang w:val="fr-CA"/>
        </w:rPr>
        <w:t xml:space="preserve"> en cause dans l</w:t>
      </w:r>
      <w:r>
        <w:rPr>
          <w:rFonts w:cs="Times New Roman"/>
          <w:lang w:val="fr-CA"/>
        </w:rPr>
        <w:t>’</w:t>
      </w:r>
      <w:r w:rsidRPr="009B2D0F">
        <w:rPr>
          <w:rFonts w:cs="Times New Roman"/>
          <w:lang w:val="fr-CA"/>
        </w:rPr>
        <w:t>affaire dont elle était saisie (</w:t>
      </w:r>
      <w:proofErr w:type="spellStart"/>
      <w:r w:rsidRPr="009B2D0F">
        <w:rPr>
          <w:rFonts w:cs="Times New Roman"/>
          <w:i/>
          <w:lang w:val="fr-CA"/>
        </w:rPr>
        <w:t>Sabey</w:t>
      </w:r>
      <w:proofErr w:type="spellEnd"/>
      <w:r w:rsidRPr="009B2D0F">
        <w:rPr>
          <w:rFonts w:cs="Times New Roman"/>
          <w:lang w:val="fr-CA"/>
        </w:rPr>
        <w:t xml:space="preserve">, </w:t>
      </w:r>
      <w:r>
        <w:rPr>
          <w:rFonts w:cs="Times New Roman"/>
          <w:lang w:val="fr-CA"/>
        </w:rPr>
        <w:t>par. </w:t>
      </w:r>
      <w:r w:rsidRPr="009B2D0F">
        <w:rPr>
          <w:rFonts w:cs="Times New Roman"/>
          <w:lang w:val="fr-CA"/>
        </w:rPr>
        <w:t>32). Les tribunaux anglais sont allés beaucoup plus loin en faisant droit à des demandes fondées sur la préclusion propriétale à l</w:t>
      </w:r>
      <w:r>
        <w:rPr>
          <w:rFonts w:cs="Times New Roman"/>
          <w:lang w:val="fr-CA"/>
        </w:rPr>
        <w:t>’</w:t>
      </w:r>
      <w:r w:rsidRPr="009B2D0F">
        <w:rPr>
          <w:rFonts w:cs="Times New Roman"/>
          <w:lang w:val="fr-CA"/>
        </w:rPr>
        <w:t xml:space="preserve">égard de </w:t>
      </w:r>
      <w:proofErr w:type="spellStart"/>
      <w:r w:rsidRPr="009B2D0F">
        <w:rPr>
          <w:rFonts w:cs="Times New Roman"/>
          <w:lang w:val="fr-CA"/>
        </w:rPr>
        <w:t>chatels</w:t>
      </w:r>
      <w:proofErr w:type="spellEnd"/>
      <w:r w:rsidRPr="009B2D0F">
        <w:rPr>
          <w:rFonts w:cs="Times New Roman"/>
          <w:lang w:val="fr-CA"/>
        </w:rPr>
        <w:t>, de polices d</w:t>
      </w:r>
      <w:r>
        <w:rPr>
          <w:rFonts w:cs="Times New Roman"/>
          <w:lang w:val="fr-CA"/>
        </w:rPr>
        <w:t>’</w:t>
      </w:r>
      <w:r w:rsidRPr="009B2D0F">
        <w:rPr>
          <w:rFonts w:cs="Times New Roman"/>
          <w:lang w:val="fr-CA"/>
        </w:rPr>
        <w:t>assurance, de droits de propriété intellectuelle, d</w:t>
      </w:r>
      <w:r>
        <w:rPr>
          <w:rFonts w:cs="Times New Roman"/>
          <w:lang w:val="fr-CA"/>
        </w:rPr>
        <w:t>’</w:t>
      </w:r>
      <w:r w:rsidRPr="009B2D0F">
        <w:rPr>
          <w:rFonts w:cs="Times New Roman"/>
          <w:lang w:val="fr-CA"/>
        </w:rPr>
        <w:t>éléments d</w:t>
      </w:r>
      <w:r>
        <w:rPr>
          <w:rFonts w:cs="Times New Roman"/>
          <w:lang w:val="fr-CA"/>
        </w:rPr>
        <w:t>’</w:t>
      </w:r>
      <w:r w:rsidRPr="009B2D0F">
        <w:rPr>
          <w:rFonts w:cs="Times New Roman"/>
          <w:lang w:val="fr-CA"/>
        </w:rPr>
        <w:t xml:space="preserve">actif commercial </w:t>
      </w:r>
      <w:r w:rsidRPr="009B2D0F">
        <w:rPr>
          <w:rFonts w:cs="Times New Roman"/>
          <w:lang w:val="fr-CA"/>
        </w:rPr>
        <w:lastRenderedPageBreak/>
        <w:t>et d</w:t>
      </w:r>
      <w:r>
        <w:rPr>
          <w:rFonts w:cs="Times New Roman"/>
          <w:lang w:val="fr-CA"/>
        </w:rPr>
        <w:t>’</w:t>
      </w:r>
      <w:r w:rsidRPr="009B2D0F">
        <w:rPr>
          <w:rFonts w:cs="Times New Roman"/>
          <w:lang w:val="fr-CA"/>
        </w:rPr>
        <w:t>autres types de biens (voir S. </w:t>
      </w:r>
      <w:proofErr w:type="spellStart"/>
      <w:r w:rsidRPr="009B2D0F">
        <w:rPr>
          <w:rFonts w:cs="Times New Roman"/>
          <w:lang w:val="fr-CA"/>
        </w:rPr>
        <w:t>Wilken</w:t>
      </w:r>
      <w:proofErr w:type="spellEnd"/>
      <w:r w:rsidRPr="009B2D0F">
        <w:rPr>
          <w:rFonts w:cs="Times New Roman"/>
          <w:lang w:val="fr-CA"/>
        </w:rPr>
        <w:t xml:space="preserve"> et K. </w:t>
      </w:r>
      <w:proofErr w:type="spellStart"/>
      <w:r w:rsidRPr="009B2D0F">
        <w:rPr>
          <w:rFonts w:cs="Times New Roman"/>
          <w:lang w:val="fr-CA"/>
        </w:rPr>
        <w:t>Ghaly</w:t>
      </w:r>
      <w:proofErr w:type="spellEnd"/>
      <w:r w:rsidRPr="009B2D0F">
        <w:rPr>
          <w:rFonts w:cs="Times New Roman"/>
          <w:lang w:val="fr-CA"/>
        </w:rPr>
        <w:t xml:space="preserve">, </w:t>
      </w:r>
      <w:r w:rsidRPr="009B2D0F">
        <w:rPr>
          <w:rFonts w:cs="Times New Roman"/>
          <w:i/>
          <w:lang w:val="fr-CA"/>
        </w:rPr>
        <w:t xml:space="preserve">The Law of </w:t>
      </w:r>
      <w:proofErr w:type="spellStart"/>
      <w:r w:rsidRPr="009B2D0F">
        <w:rPr>
          <w:rFonts w:cs="Times New Roman"/>
          <w:i/>
          <w:lang w:val="fr-CA"/>
        </w:rPr>
        <w:t>Waiver</w:t>
      </w:r>
      <w:proofErr w:type="spellEnd"/>
      <w:r w:rsidRPr="009B2D0F">
        <w:rPr>
          <w:rFonts w:cs="Times New Roman"/>
          <w:i/>
          <w:lang w:val="fr-CA"/>
        </w:rPr>
        <w:t>, Variation, and Estoppel</w:t>
      </w:r>
      <w:r w:rsidRPr="009B2D0F">
        <w:rPr>
          <w:rFonts w:cs="Times New Roman"/>
          <w:lang w:val="fr-CA"/>
        </w:rPr>
        <w:t xml:space="preserve"> (3</w:t>
      </w:r>
      <w:r w:rsidRPr="009B2D0F">
        <w:rPr>
          <w:rFonts w:cs="Times New Roman"/>
          <w:vertAlign w:val="superscript"/>
          <w:lang w:val="fr-CA"/>
        </w:rPr>
        <w:t>e</w:t>
      </w:r>
      <w:r w:rsidRPr="009B2D0F">
        <w:rPr>
          <w:rFonts w:cs="Times New Roman"/>
          <w:lang w:val="fr-CA"/>
        </w:rPr>
        <w:t xml:space="preserve"> éd. 2012), </w:t>
      </w:r>
      <w:r>
        <w:rPr>
          <w:rFonts w:cs="Times New Roman"/>
          <w:lang w:val="fr-CA"/>
        </w:rPr>
        <w:t>p. </w:t>
      </w:r>
      <w:r w:rsidRPr="009B2D0F">
        <w:rPr>
          <w:rFonts w:cs="Times New Roman"/>
          <w:lang w:val="fr-CA"/>
        </w:rPr>
        <w:t>263</w:t>
      </w:r>
      <w:r>
        <w:rPr>
          <w:rFonts w:cs="Times New Roman"/>
          <w:lang w:val="fr-CA"/>
        </w:rPr>
        <w:noBreakHyphen/>
      </w:r>
      <w:r w:rsidRPr="009B2D0F">
        <w:rPr>
          <w:rFonts w:cs="Times New Roman"/>
          <w:lang w:val="fr-CA"/>
        </w:rPr>
        <w:t xml:space="preserve">264;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452</w:t>
      </w:r>
      <w:r>
        <w:rPr>
          <w:rFonts w:cs="Times New Roman"/>
          <w:lang w:val="fr-CA"/>
        </w:rPr>
        <w:noBreakHyphen/>
      </w:r>
      <w:r w:rsidRPr="009B2D0F">
        <w:rPr>
          <w:rFonts w:cs="Times New Roman"/>
          <w:lang w:val="fr-CA"/>
        </w:rPr>
        <w:t xml:space="preserve">453; voir aussi </w:t>
      </w:r>
      <w:proofErr w:type="spellStart"/>
      <w:r w:rsidRPr="009B2D0F">
        <w:rPr>
          <w:rFonts w:cs="Times New Roman"/>
          <w:i/>
          <w:lang w:val="fr-CA"/>
        </w:rPr>
        <w:t>Thorner</w:t>
      </w:r>
      <w:proofErr w:type="spellEnd"/>
      <w:r w:rsidRPr="009B2D0F">
        <w:rPr>
          <w:rFonts w:cs="Times New Roman"/>
          <w:lang w:val="fr-CA"/>
        </w:rPr>
        <w:t xml:space="preserve">, </w:t>
      </w:r>
      <w:r>
        <w:rPr>
          <w:rFonts w:cs="Times New Roman"/>
          <w:lang w:val="fr-CA"/>
        </w:rPr>
        <w:t>par. </w:t>
      </w:r>
      <w:r w:rsidRPr="009B2D0F">
        <w:rPr>
          <w:rFonts w:cs="Times New Roman"/>
          <w:lang w:val="fr-CA"/>
        </w:rPr>
        <w:t xml:space="preserve">48 et 66, lord Walker, et </w:t>
      </w:r>
      <w:r>
        <w:rPr>
          <w:rFonts w:cs="Times New Roman"/>
          <w:lang w:val="fr-CA"/>
        </w:rPr>
        <w:t>par. </w:t>
      </w:r>
      <w:r w:rsidRPr="009B2D0F">
        <w:rPr>
          <w:rFonts w:cs="Times New Roman"/>
          <w:lang w:val="fr-CA"/>
        </w:rPr>
        <w:t xml:space="preserve">104, lord </w:t>
      </w:r>
      <w:proofErr w:type="spellStart"/>
      <w:r w:rsidRPr="009B2D0F">
        <w:rPr>
          <w:rFonts w:cs="Times New Roman"/>
          <w:lang w:val="fr-CA"/>
        </w:rPr>
        <w:t>Neuberger</w:t>
      </w:r>
      <w:proofErr w:type="spellEnd"/>
      <w:r w:rsidRPr="009B2D0F">
        <w:rPr>
          <w:rFonts w:cs="Times New Roman"/>
          <w:lang w:val="fr-CA"/>
        </w:rPr>
        <w:t>).</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Nous n</w:t>
      </w:r>
      <w:r>
        <w:rPr>
          <w:rFonts w:cs="Times New Roman"/>
          <w:lang w:val="fr-CA"/>
        </w:rPr>
        <w:t>’</w:t>
      </w:r>
      <w:r w:rsidRPr="009B2D0F">
        <w:rPr>
          <w:rFonts w:cs="Times New Roman"/>
          <w:lang w:val="fr-CA"/>
        </w:rPr>
        <w:t>avons pas à décider, en l</w:t>
      </w:r>
      <w:r>
        <w:rPr>
          <w:rFonts w:cs="Times New Roman"/>
          <w:lang w:val="fr-CA"/>
        </w:rPr>
        <w:t>’</w:t>
      </w:r>
      <w:r w:rsidRPr="009B2D0F">
        <w:rPr>
          <w:rFonts w:cs="Times New Roman"/>
          <w:lang w:val="fr-CA"/>
        </w:rPr>
        <w:t>espèce, si la préclusion propriétale peut grever un intérêt autre qu</w:t>
      </w:r>
      <w:r>
        <w:rPr>
          <w:rFonts w:cs="Times New Roman"/>
          <w:lang w:val="fr-CA"/>
        </w:rPr>
        <w:t>’</w:t>
      </w:r>
      <w:r w:rsidRPr="009B2D0F">
        <w:rPr>
          <w:rFonts w:cs="Times New Roman"/>
          <w:lang w:val="fr-CA"/>
        </w:rPr>
        <w:t>un intérêt foncier; Max s</w:t>
      </w:r>
      <w:r>
        <w:rPr>
          <w:rFonts w:cs="Times New Roman"/>
          <w:lang w:val="fr-CA"/>
        </w:rPr>
        <w:t>’</w:t>
      </w:r>
      <w:r w:rsidRPr="009B2D0F">
        <w:rPr>
          <w:rFonts w:cs="Times New Roman"/>
          <w:lang w:val="fr-CA"/>
        </w:rPr>
        <w:t>attendait à bénéficier d</w:t>
      </w:r>
      <w:r>
        <w:rPr>
          <w:rFonts w:cs="Times New Roman"/>
          <w:lang w:val="fr-CA"/>
        </w:rPr>
        <w:t>’</w:t>
      </w:r>
      <w:r w:rsidRPr="009B2D0F">
        <w:rPr>
          <w:rFonts w:cs="Times New Roman"/>
          <w:lang w:val="fr-CA"/>
        </w:rPr>
        <w:t>un droit dans la maison familiale, soit celui d</w:t>
      </w:r>
      <w:r>
        <w:rPr>
          <w:rFonts w:cs="Times New Roman"/>
          <w:lang w:val="fr-CA"/>
        </w:rPr>
        <w:t>’</w:t>
      </w:r>
      <w:r w:rsidRPr="009B2D0F">
        <w:rPr>
          <w:rFonts w:cs="Times New Roman"/>
          <w:lang w:val="fr-CA"/>
        </w:rPr>
        <w:t>acquérir l</w:t>
      </w:r>
      <w:r>
        <w:rPr>
          <w:rFonts w:cs="Times New Roman"/>
          <w:lang w:val="fr-CA"/>
        </w:rPr>
        <w:t>’</w:t>
      </w:r>
      <w:r w:rsidRPr="009B2D0F">
        <w:rPr>
          <w:rFonts w:cs="Times New Roman"/>
          <w:lang w:val="fr-CA"/>
        </w:rPr>
        <w:t>intérêt que Gloria aurait un jour dans celle</w:t>
      </w:r>
      <w:r>
        <w:rPr>
          <w:rFonts w:cs="Times New Roman"/>
          <w:lang w:val="fr-CA"/>
        </w:rPr>
        <w:noBreakHyphen/>
      </w:r>
      <w:r w:rsidRPr="009B2D0F">
        <w:rPr>
          <w:rFonts w:cs="Times New Roman"/>
          <w:lang w:val="fr-CA"/>
        </w:rPr>
        <w:t>ci. Nous n</w:t>
      </w:r>
      <w:r>
        <w:rPr>
          <w:rFonts w:cs="Times New Roman"/>
          <w:lang w:val="fr-CA"/>
        </w:rPr>
        <w:t>’</w:t>
      </w:r>
      <w:r w:rsidRPr="009B2D0F">
        <w:rPr>
          <w:rFonts w:cs="Times New Roman"/>
          <w:lang w:val="fr-CA"/>
        </w:rPr>
        <w:t>avons pas non plus à trancher la question de savoir si l</w:t>
      </w:r>
      <w:r>
        <w:rPr>
          <w:rFonts w:cs="Times New Roman"/>
          <w:lang w:val="fr-CA"/>
        </w:rPr>
        <w:t>’</w:t>
      </w:r>
      <w:proofErr w:type="spellStart"/>
      <w:r w:rsidRPr="009B2D0F">
        <w:rPr>
          <w:rFonts w:cs="Times New Roman"/>
          <w:lang w:val="fr-CA"/>
        </w:rPr>
        <w:t>equity</w:t>
      </w:r>
      <w:proofErr w:type="spellEnd"/>
      <w:r w:rsidRPr="009B2D0F">
        <w:rPr>
          <w:rFonts w:cs="Times New Roman"/>
          <w:lang w:val="fr-CA"/>
        </w:rPr>
        <w:t xml:space="preserve"> assure plus généralement le respect de promesses non contractuelles auxquelles des demandeurs </w:t>
      </w:r>
      <w:r w:rsidRPr="001F2942">
        <w:rPr>
          <w:rFonts w:cs="Times New Roman"/>
          <w:lang w:val="fr-CA"/>
        </w:rPr>
        <w:t xml:space="preserve">se sont fiés, à leur préjudice (voir, </w:t>
      </w:r>
      <w:r>
        <w:rPr>
          <w:rFonts w:cs="Times New Roman"/>
          <w:lang w:val="fr-CA"/>
        </w:rPr>
        <w:t>p. </w:t>
      </w:r>
      <w:r w:rsidRPr="001F2942">
        <w:rPr>
          <w:rFonts w:cs="Times New Roman"/>
          <w:lang w:val="fr-CA"/>
        </w:rPr>
        <w:t xml:space="preserve">ex., </w:t>
      </w:r>
      <w:proofErr w:type="spellStart"/>
      <w:r w:rsidRPr="001F2942">
        <w:rPr>
          <w:rFonts w:cs="Times New Roman"/>
          <w:i/>
          <w:lang w:val="fr-CA"/>
        </w:rPr>
        <w:t>Waltons</w:t>
      </w:r>
      <w:proofErr w:type="spellEnd"/>
      <w:r w:rsidRPr="001F2942">
        <w:rPr>
          <w:rFonts w:cs="Times New Roman"/>
          <w:i/>
          <w:lang w:val="fr-CA"/>
        </w:rPr>
        <w:t xml:space="preserve"> Stores (</w:t>
      </w:r>
      <w:proofErr w:type="spellStart"/>
      <w:r w:rsidRPr="001F2942">
        <w:rPr>
          <w:rFonts w:cs="Times New Roman"/>
          <w:i/>
          <w:lang w:val="fr-CA"/>
        </w:rPr>
        <w:t>Interstate</w:t>
      </w:r>
      <w:proofErr w:type="spellEnd"/>
      <w:r w:rsidRPr="001F2942">
        <w:rPr>
          <w:rFonts w:cs="Times New Roman"/>
          <w:i/>
          <w:lang w:val="fr-CA"/>
        </w:rPr>
        <w:t>) Ltd. c. Maher</w:t>
      </w:r>
      <w:r w:rsidRPr="001F2942">
        <w:rPr>
          <w:rFonts w:cs="Times New Roman"/>
          <w:lang w:val="fr-CA"/>
        </w:rPr>
        <w:t xml:space="preserve"> (1988), 76 A.L.R. 513 (H.C.), </w:t>
      </w:r>
      <w:r>
        <w:rPr>
          <w:rFonts w:cs="Times New Roman"/>
          <w:lang w:val="fr-CA"/>
        </w:rPr>
        <w:t>p. </w:t>
      </w:r>
      <w:r w:rsidRPr="001F2942">
        <w:rPr>
          <w:rFonts w:cs="Times New Roman"/>
          <w:lang w:val="fr-CA"/>
        </w:rPr>
        <w:t>524</w:t>
      </w:r>
      <w:r>
        <w:rPr>
          <w:rFonts w:cs="Times New Roman"/>
          <w:lang w:val="fr-CA"/>
        </w:rPr>
        <w:noBreakHyphen/>
      </w:r>
      <w:r w:rsidRPr="001F2942">
        <w:rPr>
          <w:rFonts w:cs="Times New Roman"/>
          <w:lang w:val="fr-CA"/>
        </w:rPr>
        <w:t xml:space="preserve">525, le juge en chef </w:t>
      </w:r>
      <w:proofErr w:type="spellStart"/>
      <w:r w:rsidRPr="001F2942">
        <w:rPr>
          <w:rFonts w:cs="Times New Roman"/>
          <w:lang w:val="fr-CA"/>
        </w:rPr>
        <w:t>Mason</w:t>
      </w:r>
      <w:proofErr w:type="spellEnd"/>
      <w:r>
        <w:rPr>
          <w:rFonts w:cs="Times New Roman"/>
          <w:lang w:val="fr-CA"/>
        </w:rPr>
        <w:t xml:space="preserve"> et le juge </w:t>
      </w:r>
      <w:r w:rsidRPr="001F2942">
        <w:rPr>
          <w:rFonts w:cs="Times New Roman"/>
          <w:lang w:val="fr-CA"/>
        </w:rPr>
        <w:t>Wilson). Comme je l</w:t>
      </w:r>
      <w:r>
        <w:rPr>
          <w:rFonts w:cs="Times New Roman"/>
          <w:lang w:val="fr-CA"/>
        </w:rPr>
        <w:t>’</w:t>
      </w:r>
      <w:r w:rsidRPr="001F2942">
        <w:rPr>
          <w:rFonts w:cs="Times New Roman"/>
          <w:lang w:val="fr-CA"/>
        </w:rPr>
        <w:t>expliquerai plus loin, la préclusion propriétale peut prévenir l</w:t>
      </w:r>
      <w:r>
        <w:rPr>
          <w:rFonts w:cs="Times New Roman"/>
          <w:lang w:val="fr-CA"/>
        </w:rPr>
        <w:t>’</w:t>
      </w:r>
      <w:r w:rsidRPr="001F2942">
        <w:rPr>
          <w:rFonts w:cs="Times New Roman"/>
          <w:lang w:val="fr-CA"/>
        </w:rPr>
        <w:t>iniquité d</w:t>
      </w:r>
      <w:r>
        <w:rPr>
          <w:rFonts w:cs="Times New Roman"/>
          <w:lang w:val="fr-CA"/>
        </w:rPr>
        <w:t>’</w:t>
      </w:r>
      <w:r w:rsidRPr="001F2942">
        <w:rPr>
          <w:rFonts w:cs="Times New Roman"/>
          <w:lang w:val="fr-CA"/>
        </w:rPr>
        <w:t>un préjudice</w:t>
      </w:r>
      <w:r w:rsidRPr="009B2D0F">
        <w:rPr>
          <w:rFonts w:cs="Times New Roman"/>
          <w:lang w:val="fr-CA"/>
        </w:rPr>
        <w:t xml:space="preserve"> non compensé lorsque le demandeur s</w:t>
      </w:r>
      <w:r>
        <w:rPr>
          <w:rFonts w:cs="Times New Roman"/>
          <w:lang w:val="fr-CA"/>
        </w:rPr>
        <w:t>’</w:t>
      </w:r>
      <w:r w:rsidRPr="009B2D0F">
        <w:rPr>
          <w:rFonts w:cs="Times New Roman"/>
          <w:lang w:val="fr-CA"/>
        </w:rPr>
        <w:t>est raisonnablement fondé sur le fait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attendait à bénéficier d</w:t>
      </w:r>
      <w:r>
        <w:rPr>
          <w:rFonts w:cs="Times New Roman"/>
          <w:lang w:val="fr-CA"/>
        </w:rPr>
        <w:t>’</w:t>
      </w:r>
      <w:r w:rsidRPr="009B2D0F">
        <w:rPr>
          <w:rFonts w:cs="Times New Roman"/>
          <w:lang w:val="fr-CA"/>
        </w:rPr>
        <w:t>un droit ou d</w:t>
      </w:r>
      <w:r>
        <w:rPr>
          <w:rFonts w:cs="Times New Roman"/>
          <w:lang w:val="fr-CA"/>
        </w:rPr>
        <w:t>’</w:t>
      </w:r>
      <w:r w:rsidRPr="009B2D0F">
        <w:rPr>
          <w:rFonts w:cs="Times New Roman"/>
          <w:lang w:val="fr-CA"/>
        </w:rPr>
        <w:t>un avantage dans un bien, même si la partie à l</w:t>
      </w:r>
      <w:r>
        <w:rPr>
          <w:rFonts w:cs="Times New Roman"/>
          <w:lang w:val="fr-CA"/>
        </w:rPr>
        <w:t>’</w:t>
      </w:r>
      <w:r w:rsidRPr="009B2D0F">
        <w:rPr>
          <w:rFonts w:cs="Times New Roman"/>
          <w:lang w:val="fr-CA"/>
        </w:rPr>
        <w:t>origine de cette attente ne possédait pas d</w:t>
      </w:r>
      <w:r>
        <w:rPr>
          <w:rFonts w:cs="Times New Roman"/>
          <w:lang w:val="fr-CA"/>
        </w:rPr>
        <w:t>’</w:t>
      </w:r>
      <w:r w:rsidRPr="009B2D0F">
        <w:rPr>
          <w:rFonts w:cs="Times New Roman"/>
          <w:lang w:val="fr-CA"/>
        </w:rPr>
        <w:t>intérêt dans ce bien au moment de l</w:t>
      </w:r>
      <w:r>
        <w:rPr>
          <w:rFonts w:cs="Times New Roman"/>
          <w:lang w:val="fr-CA"/>
        </w:rPr>
        <w:t>’</w:t>
      </w:r>
      <w:r w:rsidRPr="009B2D0F">
        <w:rPr>
          <w:rFonts w:cs="Times New Roman"/>
          <w:lang w:val="fr-CA"/>
        </w:rPr>
        <w:t>acte de confiance du demandeur.</w:t>
      </w:r>
    </w:p>
    <w:p w:rsidR="00987842" w:rsidRPr="009B2D0F" w:rsidRDefault="00987842" w:rsidP="00987842">
      <w:pPr>
        <w:pStyle w:val="Title2LevelTitre2Niveau"/>
        <w:rPr>
          <w:rFonts w:cs="Times New Roman"/>
          <w:lang w:val="fr-CA"/>
        </w:rPr>
      </w:pPr>
      <w:r w:rsidRPr="009B2D0F">
        <w:rPr>
          <w:rFonts w:cs="Times New Roman"/>
          <w:lang w:val="fr-CA"/>
        </w:rPr>
        <w:t>L</w:t>
      </w:r>
      <w:r>
        <w:rPr>
          <w:rFonts w:cs="Times New Roman"/>
          <w:lang w:val="fr-CA"/>
        </w:rPr>
        <w:t>’</w:t>
      </w:r>
      <w:r w:rsidRPr="009B2D0F">
        <w:rPr>
          <w:rFonts w:cs="Times New Roman"/>
          <w:lang w:val="fr-CA"/>
        </w:rPr>
        <w:t>acte de confiance de Max était</w:t>
      </w:r>
      <w:r>
        <w:rPr>
          <w:rFonts w:cs="Times New Roman"/>
          <w:lang w:val="fr-CA"/>
        </w:rPr>
        <w:noBreakHyphen/>
      </w:r>
      <w:r w:rsidRPr="009B2D0F">
        <w:rPr>
          <w:rFonts w:cs="Times New Roman"/>
          <w:lang w:val="fr-CA"/>
        </w:rPr>
        <w:t>il raisonnable?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Rappelons que, pour établir la préclusion propriétale, il faut d</w:t>
      </w:r>
      <w:r>
        <w:rPr>
          <w:rFonts w:cs="Times New Roman"/>
          <w:lang w:val="fr-CA"/>
        </w:rPr>
        <w:t>’</w:t>
      </w:r>
      <w:r w:rsidRPr="009B2D0F">
        <w:rPr>
          <w:rFonts w:cs="Times New Roman"/>
          <w:lang w:val="fr-CA"/>
        </w:rPr>
        <w:t>abord démontrer l</w:t>
      </w:r>
      <w:r>
        <w:rPr>
          <w:rFonts w:cs="Times New Roman"/>
          <w:lang w:val="fr-CA"/>
        </w:rPr>
        <w:t>’</w:t>
      </w:r>
      <w:r w:rsidRPr="009B2D0F">
        <w:rPr>
          <w:rFonts w:cs="Times New Roman"/>
          <w:lang w:val="fr-CA"/>
        </w:rPr>
        <w:t>existence d</w:t>
      </w:r>
      <w:r>
        <w:rPr>
          <w:rFonts w:cs="Times New Roman"/>
          <w:lang w:val="fr-CA"/>
        </w:rPr>
        <w:t>’</w:t>
      </w:r>
      <w:r w:rsidRPr="009B2D0F">
        <w:rPr>
          <w:rFonts w:cs="Times New Roman"/>
          <w:lang w:val="fr-CA"/>
        </w:rPr>
        <w:t xml:space="preserve">un droit en </w:t>
      </w:r>
      <w:proofErr w:type="spellStart"/>
      <w:r w:rsidRPr="009B2D0F">
        <w:rPr>
          <w:rFonts w:cs="Times New Roman"/>
          <w:lang w:val="fr-CA"/>
        </w:rPr>
        <w:t>equity</w:t>
      </w:r>
      <w:proofErr w:type="spellEnd"/>
      <w:r w:rsidRPr="009B2D0F">
        <w:rPr>
          <w:rFonts w:cs="Times New Roman"/>
          <w:lang w:val="fr-CA"/>
        </w:rPr>
        <w:t xml:space="preserve"> du type de ceux que protège la préclusion propriétale. Trois choses sont nécessaires</w:t>
      </w:r>
      <w:r>
        <w:rPr>
          <w:rFonts w:cs="Times New Roman"/>
          <w:lang w:val="fr-CA"/>
        </w:rPr>
        <w:t> :</w:t>
      </w:r>
      <w:r w:rsidRPr="009B2D0F">
        <w:rPr>
          <w:rFonts w:cs="Times New Roman"/>
          <w:lang w:val="fr-CA"/>
        </w:rPr>
        <w:t xml:space="preserve"> une déclaration ou une assurance sur le fondement de laquelle le demandeur s</w:t>
      </w:r>
      <w:r>
        <w:rPr>
          <w:rFonts w:cs="Times New Roman"/>
          <w:lang w:val="fr-CA"/>
        </w:rPr>
        <w:t>’</w:t>
      </w:r>
      <w:r w:rsidRPr="009B2D0F">
        <w:rPr>
          <w:rFonts w:cs="Times New Roman"/>
          <w:lang w:val="fr-CA"/>
        </w:rPr>
        <w:t>attend à bénéficier d</w:t>
      </w:r>
      <w:r>
        <w:rPr>
          <w:rFonts w:cs="Times New Roman"/>
          <w:lang w:val="fr-CA"/>
        </w:rPr>
        <w:t>’</w:t>
      </w:r>
      <w:r w:rsidRPr="009B2D0F">
        <w:rPr>
          <w:rFonts w:cs="Times New Roman"/>
          <w:lang w:val="fr-CA"/>
        </w:rPr>
        <w:t>un droit ou d</w:t>
      </w:r>
      <w:r>
        <w:rPr>
          <w:rFonts w:cs="Times New Roman"/>
          <w:lang w:val="fr-CA"/>
        </w:rPr>
        <w:t>’</w:t>
      </w:r>
      <w:r w:rsidRPr="009B2D0F">
        <w:rPr>
          <w:rFonts w:cs="Times New Roman"/>
          <w:lang w:val="fr-CA"/>
        </w:rPr>
        <w:t>un avantage dans un bien; un acte de confiance raisonnable à l</w:t>
      </w:r>
      <w:r>
        <w:rPr>
          <w:rFonts w:cs="Times New Roman"/>
          <w:lang w:val="fr-CA"/>
        </w:rPr>
        <w:t>’</w:t>
      </w:r>
      <w:r w:rsidRPr="009B2D0F">
        <w:rPr>
          <w:rFonts w:cs="Times New Roman"/>
          <w:lang w:val="fr-CA"/>
        </w:rPr>
        <w:t xml:space="preserve">égard de cette attente; un </w:t>
      </w:r>
      <w:r w:rsidRPr="001F2942">
        <w:rPr>
          <w:rFonts w:cs="Times New Roman"/>
          <w:lang w:val="fr-CA"/>
        </w:rPr>
        <w:t>préjudice</w:t>
      </w:r>
      <w:r w:rsidRPr="009B2D0F">
        <w:rPr>
          <w:rFonts w:cs="Times New Roman"/>
          <w:lang w:val="fr-CA"/>
        </w:rPr>
        <w:t xml:space="preserve"> </w:t>
      </w:r>
      <w:r w:rsidRPr="009B2D0F">
        <w:rPr>
          <w:rFonts w:cs="Times New Roman"/>
          <w:lang w:val="fr-CA"/>
        </w:rPr>
        <w:lastRenderedPageBreak/>
        <w:t>résultant de l</w:t>
      </w:r>
      <w:r>
        <w:rPr>
          <w:rFonts w:cs="Times New Roman"/>
          <w:lang w:val="fr-CA"/>
        </w:rPr>
        <w:t>’</w:t>
      </w:r>
      <w:r w:rsidRPr="009B2D0F">
        <w:rPr>
          <w:rFonts w:cs="Times New Roman"/>
          <w:lang w:val="fr-CA"/>
        </w:rPr>
        <w:t>acte de confiance. Lorsque le titulaire d</w:t>
      </w:r>
      <w:r>
        <w:rPr>
          <w:rFonts w:cs="Times New Roman"/>
          <w:lang w:val="fr-CA"/>
        </w:rPr>
        <w:t>’</w:t>
      </w:r>
      <w:r w:rsidRPr="009B2D0F">
        <w:rPr>
          <w:rFonts w:cs="Times New Roman"/>
          <w:lang w:val="fr-CA"/>
        </w:rPr>
        <w:t>un intérêt dans le bien dans lequel le demandeur s</w:t>
      </w:r>
      <w:r>
        <w:rPr>
          <w:rFonts w:cs="Times New Roman"/>
          <w:lang w:val="fr-CA"/>
        </w:rPr>
        <w:t>’</w:t>
      </w:r>
      <w:r w:rsidRPr="009B2D0F">
        <w:rPr>
          <w:rFonts w:cs="Times New Roman"/>
          <w:lang w:val="fr-CA"/>
        </w:rPr>
        <w:t>attend à bénéficier d</w:t>
      </w:r>
      <w:r>
        <w:rPr>
          <w:rFonts w:cs="Times New Roman"/>
          <w:lang w:val="fr-CA"/>
        </w:rPr>
        <w:t>’</w:t>
      </w:r>
      <w:r w:rsidRPr="009B2D0F">
        <w:rPr>
          <w:rFonts w:cs="Times New Roman"/>
          <w:lang w:val="fr-CA"/>
        </w:rPr>
        <w:t>un droit ou d</w:t>
      </w:r>
      <w:r>
        <w:rPr>
          <w:rFonts w:cs="Times New Roman"/>
          <w:lang w:val="fr-CA"/>
        </w:rPr>
        <w:t>’</w:t>
      </w:r>
      <w:r w:rsidRPr="009B2D0F">
        <w:rPr>
          <w:rFonts w:cs="Times New Roman"/>
          <w:lang w:val="fr-CA"/>
        </w:rPr>
        <w:t>un avantage est à l</w:t>
      </w:r>
      <w:r>
        <w:rPr>
          <w:rFonts w:cs="Times New Roman"/>
          <w:lang w:val="fr-CA"/>
        </w:rPr>
        <w:t>’</w:t>
      </w:r>
      <w:r w:rsidRPr="009B2D0F">
        <w:rPr>
          <w:rFonts w:cs="Times New Roman"/>
          <w:lang w:val="fr-CA"/>
        </w:rPr>
        <w:t>origine de la déclaration ou de l</w:t>
      </w:r>
      <w:r>
        <w:rPr>
          <w:rFonts w:cs="Times New Roman"/>
          <w:lang w:val="fr-CA"/>
        </w:rPr>
        <w:t>’</w:t>
      </w:r>
      <w:r w:rsidRPr="009B2D0F">
        <w:rPr>
          <w:rFonts w:cs="Times New Roman"/>
          <w:lang w:val="fr-CA"/>
        </w:rPr>
        <w:t xml:space="preserve">assurance, la préclusion propriétale peut alors donner effet au droit en </w:t>
      </w:r>
      <w:proofErr w:type="spellStart"/>
      <w:r w:rsidRPr="009B2D0F">
        <w:rPr>
          <w:rFonts w:cs="Times New Roman"/>
          <w:lang w:val="fr-CA"/>
        </w:rPr>
        <w:t>equity</w:t>
      </w:r>
      <w:proofErr w:type="spellEnd"/>
      <w:r w:rsidRPr="009B2D0F">
        <w:rPr>
          <w:rFonts w:cs="Times New Roman"/>
          <w:lang w:val="fr-CA"/>
        </w:rPr>
        <w:t xml:space="preserve"> établi par l</w:t>
      </w:r>
      <w:r>
        <w:rPr>
          <w:rFonts w:cs="Times New Roman"/>
          <w:lang w:val="fr-CA"/>
        </w:rPr>
        <w:t>’</w:t>
      </w:r>
      <w:r w:rsidRPr="009B2D0F">
        <w:rPr>
          <w:rFonts w:cs="Times New Roman"/>
          <w:lang w:val="fr-CA"/>
        </w:rPr>
        <w:t>acte de confiance raisonnable du demandeur.</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Il ne fait aucun doute que Gloria a donné à Max l</w:t>
      </w:r>
      <w:r>
        <w:rPr>
          <w:rFonts w:cs="Times New Roman"/>
          <w:lang w:val="fr-CA"/>
        </w:rPr>
        <w:t>’</w:t>
      </w:r>
      <w:r w:rsidRPr="009B2D0F">
        <w:rPr>
          <w:rFonts w:cs="Times New Roman"/>
          <w:lang w:val="fr-CA"/>
        </w:rPr>
        <w:t>assurance que, s</w:t>
      </w:r>
      <w:r>
        <w:rPr>
          <w:rFonts w:cs="Times New Roman"/>
          <w:lang w:val="fr-CA"/>
        </w:rPr>
        <w:t>’</w:t>
      </w:r>
      <w:r w:rsidRPr="009B2D0F">
        <w:rPr>
          <w:rFonts w:cs="Times New Roman"/>
          <w:lang w:val="fr-CA"/>
        </w:rPr>
        <w:t>il retournait vivre à Victoria pour prendre soin de leur mère, il pourrait acquérir l</w:t>
      </w:r>
      <w:r>
        <w:rPr>
          <w:rFonts w:cs="Times New Roman"/>
          <w:lang w:val="fr-CA"/>
        </w:rPr>
        <w:t>’</w:t>
      </w:r>
      <w:r w:rsidRPr="009B2D0F">
        <w:rPr>
          <w:rFonts w:cs="Times New Roman"/>
          <w:lang w:val="fr-CA"/>
        </w:rPr>
        <w:t>intérêt qu</w:t>
      </w:r>
      <w:r>
        <w:rPr>
          <w:rFonts w:cs="Times New Roman"/>
          <w:lang w:val="fr-CA"/>
        </w:rPr>
        <w:t>’</w:t>
      </w:r>
      <w:r w:rsidRPr="009B2D0F">
        <w:rPr>
          <w:rFonts w:cs="Times New Roman"/>
          <w:lang w:val="fr-CA"/>
        </w:rPr>
        <w:t>elle détiendrait un jour dans la maison. Il n</w:t>
      </w:r>
      <w:r>
        <w:rPr>
          <w:rFonts w:cs="Times New Roman"/>
          <w:lang w:val="fr-CA"/>
        </w:rPr>
        <w:t>’</w:t>
      </w:r>
      <w:r w:rsidRPr="009B2D0F">
        <w:rPr>
          <w:rFonts w:cs="Times New Roman"/>
          <w:lang w:val="fr-CA"/>
        </w:rPr>
        <w:t>est pas non plus contesté que, parce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 xml:space="preserve">est </w:t>
      </w:r>
      <w:proofErr w:type="spellStart"/>
      <w:r w:rsidRPr="009B2D0F">
        <w:rPr>
          <w:rFonts w:cs="Times New Roman"/>
          <w:lang w:val="fr-CA"/>
        </w:rPr>
        <w:t>fié</w:t>
      </w:r>
      <w:proofErr w:type="spellEnd"/>
      <w:r w:rsidRPr="009B2D0F">
        <w:rPr>
          <w:rFonts w:cs="Times New Roman"/>
          <w:lang w:val="fr-CA"/>
        </w:rPr>
        <w:t xml:space="preserve"> à cette assurance, Max a </w:t>
      </w:r>
      <w:r w:rsidRPr="001F2942">
        <w:rPr>
          <w:rFonts w:cs="Times New Roman"/>
          <w:lang w:val="fr-CA"/>
        </w:rPr>
        <w:t>subi un préjudice. La juge de première instance a conclu, et tous en conviennent maintenant, que [</w:t>
      </w:r>
      <w:r w:rsidRPr="001F2942">
        <w:rPr>
          <w:rFonts w:cs="Times New Roman"/>
          <w:smallCaps/>
          <w:lang w:val="fr-CA"/>
        </w:rPr>
        <w:t>traduction</w:t>
      </w:r>
      <w:r w:rsidRPr="001F2942">
        <w:rPr>
          <w:rFonts w:cs="Times New Roman"/>
          <w:lang w:val="fr-CA"/>
        </w:rPr>
        <w:t>] « Max a agi à son préjudice en quittant l</w:t>
      </w:r>
      <w:r>
        <w:rPr>
          <w:rFonts w:cs="Times New Roman"/>
          <w:lang w:val="fr-CA"/>
        </w:rPr>
        <w:t>’</w:t>
      </w:r>
      <w:r w:rsidRPr="001F2942">
        <w:rPr>
          <w:rFonts w:cs="Times New Roman"/>
          <w:lang w:val="fr-CA"/>
        </w:rPr>
        <w:t>Angl</w:t>
      </w:r>
      <w:r w:rsidRPr="009B2D0F">
        <w:rPr>
          <w:rFonts w:cs="Times New Roman"/>
          <w:lang w:val="fr-CA"/>
        </w:rPr>
        <w:t>eterre pour venir s</w:t>
      </w:r>
      <w:r>
        <w:rPr>
          <w:rFonts w:cs="Times New Roman"/>
          <w:lang w:val="fr-CA"/>
        </w:rPr>
        <w:t>’</w:t>
      </w:r>
      <w:r w:rsidRPr="009B2D0F">
        <w:rPr>
          <w:rFonts w:cs="Times New Roman"/>
          <w:lang w:val="fr-CA"/>
        </w:rPr>
        <w:t>installer à Victoria et en renonçant à un revenu d</w:t>
      </w:r>
      <w:r>
        <w:rPr>
          <w:rFonts w:cs="Times New Roman"/>
          <w:lang w:val="fr-CA"/>
        </w:rPr>
        <w:t>’</w:t>
      </w:r>
      <w:r w:rsidRPr="009B2D0F">
        <w:rPr>
          <w:rFonts w:cs="Times New Roman"/>
          <w:lang w:val="fr-CA"/>
        </w:rPr>
        <w:t>emploi, à la location à long terme d</w:t>
      </w:r>
      <w:r>
        <w:rPr>
          <w:rFonts w:cs="Times New Roman"/>
          <w:lang w:val="fr-CA"/>
        </w:rPr>
        <w:t>’</w:t>
      </w:r>
      <w:r w:rsidRPr="009B2D0F">
        <w:rPr>
          <w:rFonts w:cs="Times New Roman"/>
          <w:lang w:val="fr-CA"/>
        </w:rPr>
        <w:t>une petite maison, aux contacts qu</w:t>
      </w:r>
      <w:r>
        <w:rPr>
          <w:rFonts w:cs="Times New Roman"/>
          <w:lang w:val="fr-CA"/>
        </w:rPr>
        <w:t>’</w:t>
      </w:r>
      <w:r w:rsidRPr="009B2D0F">
        <w:rPr>
          <w:rFonts w:cs="Times New Roman"/>
          <w:lang w:val="fr-CA"/>
        </w:rPr>
        <w:t>il avait avec ses enfants et à sa vie sociale pour prendre soin de sa mère âgée qui souffrait de démence », et qu</w:t>
      </w:r>
      <w:r>
        <w:rPr>
          <w:rFonts w:cs="Times New Roman"/>
          <w:lang w:val="fr-CA"/>
        </w:rPr>
        <w:t>’</w:t>
      </w:r>
      <w:r w:rsidRPr="009B2D0F">
        <w:rPr>
          <w:rFonts w:cs="Times New Roman"/>
          <w:lang w:val="fr-CA"/>
        </w:rPr>
        <w:t>« [i]l l</w:t>
      </w:r>
      <w:r>
        <w:rPr>
          <w:rFonts w:cs="Times New Roman"/>
          <w:lang w:val="fr-CA"/>
        </w:rPr>
        <w:t>’</w:t>
      </w:r>
      <w:r w:rsidRPr="009B2D0F">
        <w:rPr>
          <w:rFonts w:cs="Times New Roman"/>
          <w:lang w:val="fr-CA"/>
        </w:rPr>
        <w:t>a fait en se fiant au fait que Gloria acceptait les conditions auxquelles il consentait à déménager » (</w:t>
      </w:r>
      <w:r>
        <w:rPr>
          <w:rFonts w:cs="Times New Roman"/>
          <w:lang w:val="fr-CA"/>
        </w:rPr>
        <w:t>par. </w:t>
      </w:r>
      <w:r w:rsidRPr="009B2D0F">
        <w:rPr>
          <w:rFonts w:cs="Times New Roman"/>
          <w:lang w:val="fr-CA"/>
        </w:rPr>
        <w:t>118).</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La question est de savoir si l</w:t>
      </w:r>
      <w:r>
        <w:rPr>
          <w:rFonts w:cs="Times New Roman"/>
          <w:lang w:val="fr-CA"/>
        </w:rPr>
        <w:t>’</w:t>
      </w:r>
      <w:r w:rsidRPr="009B2D0F">
        <w:rPr>
          <w:rFonts w:cs="Times New Roman"/>
          <w:lang w:val="fr-CA"/>
        </w:rPr>
        <w:t xml:space="preserve">acte de confiance de Max était raisonnable. Dans la négative, aucun droit en </w:t>
      </w:r>
      <w:proofErr w:type="spellStart"/>
      <w:r w:rsidRPr="009B2D0F">
        <w:rPr>
          <w:rFonts w:cs="Times New Roman"/>
          <w:lang w:val="fr-CA"/>
        </w:rPr>
        <w:t>equity</w:t>
      </w:r>
      <w:proofErr w:type="spellEnd"/>
      <w:r w:rsidRPr="009B2D0F">
        <w:rPr>
          <w:rFonts w:cs="Times New Roman"/>
          <w:lang w:val="fr-CA"/>
        </w:rPr>
        <w:t xml:space="preserve"> n</w:t>
      </w:r>
      <w:r>
        <w:rPr>
          <w:rFonts w:cs="Times New Roman"/>
          <w:lang w:val="fr-CA"/>
        </w:rPr>
        <w:t>’</w:t>
      </w:r>
      <w:r w:rsidRPr="009B2D0F">
        <w:rPr>
          <w:rFonts w:cs="Times New Roman"/>
          <w:lang w:val="fr-CA"/>
        </w:rPr>
        <w:t>a alors pris naissance en sa faveur. Gloria soutient — et les juges majoritaires de la Cour d</w:t>
      </w:r>
      <w:r>
        <w:rPr>
          <w:rFonts w:cs="Times New Roman"/>
          <w:lang w:val="fr-CA"/>
        </w:rPr>
        <w:t>’</w:t>
      </w:r>
      <w:r w:rsidRPr="009B2D0F">
        <w:rPr>
          <w:rFonts w:cs="Times New Roman"/>
          <w:lang w:val="fr-CA"/>
        </w:rPr>
        <w:t>appel ont retenu cet argument — que l</w:t>
      </w:r>
      <w:r>
        <w:rPr>
          <w:rFonts w:cs="Times New Roman"/>
          <w:lang w:val="fr-CA"/>
        </w:rPr>
        <w:t>’</w:t>
      </w:r>
      <w:r w:rsidRPr="009B2D0F">
        <w:rPr>
          <w:rFonts w:cs="Times New Roman"/>
          <w:lang w:val="fr-CA"/>
        </w:rPr>
        <w:t>acte de confiance de Max ne pouvait pas être raisonnable parce que Gloria ne détenait pas d</w:t>
      </w:r>
      <w:r>
        <w:rPr>
          <w:rFonts w:cs="Times New Roman"/>
          <w:lang w:val="fr-CA"/>
        </w:rPr>
        <w:t>’</w:t>
      </w:r>
      <w:r w:rsidRPr="009B2D0F">
        <w:rPr>
          <w:rFonts w:cs="Times New Roman"/>
          <w:lang w:val="fr-CA"/>
        </w:rPr>
        <w:t xml:space="preserve">intérêt dans la propriété. Le juge </w:t>
      </w:r>
      <w:proofErr w:type="spellStart"/>
      <w:r w:rsidRPr="009B2D0F">
        <w:rPr>
          <w:rFonts w:cs="Times New Roman"/>
          <w:lang w:val="fr-CA"/>
        </w:rPr>
        <w:t>Willcock</w:t>
      </w:r>
      <w:proofErr w:type="spellEnd"/>
      <w:r w:rsidRPr="009B2D0F">
        <w:rPr>
          <w:rFonts w:cs="Times New Roman"/>
          <w:lang w:val="fr-CA"/>
        </w:rPr>
        <w:t xml:space="preserve"> se pose la question suivante au </w:t>
      </w:r>
      <w:r>
        <w:rPr>
          <w:rFonts w:cs="Times New Roman"/>
          <w:lang w:val="fr-CA"/>
        </w:rPr>
        <w:t>par. </w:t>
      </w:r>
      <w:r w:rsidRPr="009B2D0F">
        <w:rPr>
          <w:rFonts w:cs="Times New Roman"/>
          <w:lang w:val="fr-CA"/>
        </w:rPr>
        <w:t>111 de ses motifs</w:t>
      </w:r>
      <w:r>
        <w:rPr>
          <w:rFonts w:cs="Times New Roman"/>
          <w:lang w:val="fr-CA"/>
        </w:rPr>
        <w:t> :</w:t>
      </w:r>
      <w:r w:rsidRPr="009B2D0F">
        <w:rPr>
          <w:rFonts w:cs="Times New Roman"/>
          <w:lang w:val="fr-CA"/>
        </w:rPr>
        <w:t xml:space="preserve"> [</w:t>
      </w:r>
      <w:r w:rsidRPr="009B2D0F">
        <w:rPr>
          <w:rFonts w:cs="Times New Roman"/>
          <w:smallCaps/>
          <w:lang w:val="fr-CA"/>
        </w:rPr>
        <w:t>traduction</w:t>
      </w:r>
      <w:r w:rsidRPr="009B2D0F">
        <w:rPr>
          <w:rFonts w:cs="Times New Roman"/>
          <w:lang w:val="fr-CA"/>
        </w:rPr>
        <w:t>] « Comment peut</w:t>
      </w:r>
      <w:r>
        <w:rPr>
          <w:rFonts w:cs="Times New Roman"/>
          <w:lang w:val="fr-CA"/>
        </w:rPr>
        <w:noBreakHyphen/>
      </w:r>
      <w:r w:rsidRPr="009B2D0F">
        <w:rPr>
          <w:rFonts w:cs="Times New Roman"/>
          <w:lang w:val="fr-CA"/>
        </w:rPr>
        <w:t xml:space="preserve">on se fier raisonnablement à </w:t>
      </w:r>
      <w:r w:rsidRPr="009B2D0F">
        <w:rPr>
          <w:rFonts w:cs="Times New Roman"/>
          <w:lang w:val="fr-CA"/>
        </w:rPr>
        <w:lastRenderedPageBreak/>
        <w:t>une promesse de céder un intérêt dans un bien faite par une personne qui ne possède pas un tel intérêt ou dont l</w:t>
      </w:r>
      <w:r>
        <w:rPr>
          <w:rFonts w:cs="Times New Roman"/>
          <w:lang w:val="fr-CA"/>
        </w:rPr>
        <w:t>’</w:t>
      </w:r>
      <w:r w:rsidRPr="009B2D0F">
        <w:rPr>
          <w:rFonts w:cs="Times New Roman"/>
          <w:lang w:val="fr-CA"/>
        </w:rPr>
        <w:t>intérêt est incertain?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Le caractère raisonnable dépend des circonstances. Comme l</w:t>
      </w:r>
      <w:r>
        <w:rPr>
          <w:rFonts w:cs="Times New Roman"/>
          <w:lang w:val="fr-CA"/>
        </w:rPr>
        <w:t>’</w:t>
      </w:r>
      <w:r w:rsidRPr="009B2D0F">
        <w:rPr>
          <w:rFonts w:cs="Times New Roman"/>
          <w:lang w:val="fr-CA"/>
        </w:rPr>
        <w:t>a dit lord Walker dans l</w:t>
      </w:r>
      <w:r>
        <w:rPr>
          <w:rFonts w:cs="Times New Roman"/>
          <w:lang w:val="fr-CA"/>
        </w:rPr>
        <w:t>’</w:t>
      </w:r>
      <w:r w:rsidRPr="009B2D0F">
        <w:rPr>
          <w:rFonts w:cs="Times New Roman"/>
          <w:lang w:val="fr-CA"/>
        </w:rPr>
        <w:t xml:space="preserve">arrêt </w:t>
      </w:r>
      <w:proofErr w:type="spellStart"/>
      <w:r w:rsidRPr="009B2D0F">
        <w:rPr>
          <w:rFonts w:cs="Times New Roman"/>
          <w:i/>
          <w:lang w:val="fr-CA"/>
        </w:rPr>
        <w:t>Thorner</w:t>
      </w:r>
      <w:proofErr w:type="spellEnd"/>
      <w:r w:rsidRPr="009B2D0F">
        <w:rPr>
          <w:rFonts w:cs="Times New Roman"/>
          <w:lang w:val="fr-CA"/>
        </w:rPr>
        <w:t>, [</w:t>
      </w:r>
      <w:r w:rsidRPr="009B2D0F">
        <w:rPr>
          <w:rFonts w:cs="Times New Roman"/>
          <w:smallCaps/>
          <w:lang w:val="fr-CA"/>
        </w:rPr>
        <w:t>traduction</w:t>
      </w:r>
      <w:r w:rsidRPr="009B2D0F">
        <w:rPr>
          <w:rFonts w:cs="Times New Roman"/>
          <w:lang w:val="fr-CA"/>
        </w:rPr>
        <w:t>] « pour établir une préclusion propriétale, il faut que l</w:t>
      </w:r>
      <w:r>
        <w:rPr>
          <w:rFonts w:cs="Times New Roman"/>
          <w:lang w:val="fr-CA"/>
        </w:rPr>
        <w:t>’</w:t>
      </w:r>
      <w:r w:rsidRPr="009B2D0F">
        <w:rPr>
          <w:rFonts w:cs="Times New Roman"/>
          <w:lang w:val="fr-CA"/>
        </w:rPr>
        <w:t>assurance donnée soit suffisamment claire », c</w:t>
      </w:r>
      <w:r>
        <w:rPr>
          <w:rFonts w:cs="Times New Roman"/>
          <w:lang w:val="fr-CA"/>
        </w:rPr>
        <w:t>’</w:t>
      </w:r>
      <w:r w:rsidRPr="009B2D0F">
        <w:rPr>
          <w:rFonts w:cs="Times New Roman"/>
          <w:lang w:val="fr-CA"/>
        </w:rPr>
        <w:t>est</w:t>
      </w:r>
      <w:r>
        <w:rPr>
          <w:rFonts w:cs="Times New Roman"/>
          <w:lang w:val="fr-CA"/>
        </w:rPr>
        <w:noBreakHyphen/>
      </w:r>
      <w:r w:rsidRPr="009B2D0F">
        <w:rPr>
          <w:rFonts w:cs="Times New Roman"/>
          <w:lang w:val="fr-CA"/>
        </w:rPr>
        <w:t>à</w:t>
      </w:r>
      <w:r>
        <w:rPr>
          <w:rFonts w:cs="Times New Roman"/>
          <w:lang w:val="fr-CA"/>
        </w:rPr>
        <w:noBreakHyphen/>
      </w:r>
      <w:r w:rsidRPr="009B2D0F">
        <w:rPr>
          <w:rFonts w:cs="Times New Roman"/>
          <w:lang w:val="fr-CA"/>
        </w:rPr>
        <w:t>dire que « [l]a promesse ne doit comporter aucune ambiguïté et doit donner l</w:t>
      </w:r>
      <w:r>
        <w:rPr>
          <w:rFonts w:cs="Times New Roman"/>
          <w:lang w:val="fr-CA"/>
        </w:rPr>
        <w:t>’</w:t>
      </w:r>
      <w:r w:rsidRPr="009B2D0F">
        <w:rPr>
          <w:rFonts w:cs="Times New Roman"/>
          <w:lang w:val="fr-CA"/>
        </w:rPr>
        <w:t>impression de devoir être prise au sérieux. Considérée dans son contexte, la promesse doit permettre raisonnablement de penser que la personne à qui elle a été faite s</w:t>
      </w:r>
      <w:r>
        <w:rPr>
          <w:rFonts w:cs="Times New Roman"/>
          <w:lang w:val="fr-CA"/>
        </w:rPr>
        <w:t>’</w:t>
      </w:r>
      <w:r w:rsidRPr="009B2D0F">
        <w:rPr>
          <w:rFonts w:cs="Times New Roman"/>
          <w:lang w:val="fr-CA"/>
        </w:rPr>
        <w:t>y fiera » (</w:t>
      </w:r>
      <w:r>
        <w:rPr>
          <w:rFonts w:cs="Times New Roman"/>
          <w:lang w:val="fr-CA"/>
        </w:rPr>
        <w:t>par. </w:t>
      </w:r>
      <w:r w:rsidRPr="009B2D0F">
        <w:rPr>
          <w:rFonts w:cs="Times New Roman"/>
          <w:lang w:val="fr-CA"/>
        </w:rPr>
        <w:t xml:space="preserve">56, citant </w:t>
      </w:r>
      <w:r w:rsidRPr="009B2D0F">
        <w:rPr>
          <w:rFonts w:cs="Times New Roman"/>
          <w:i/>
          <w:lang w:val="fr-CA"/>
        </w:rPr>
        <w:t>Walton c. Walton</w:t>
      </w:r>
      <w:r w:rsidRPr="009B2D0F">
        <w:rPr>
          <w:rFonts w:cs="Times New Roman"/>
          <w:lang w:val="fr-CA"/>
        </w:rPr>
        <w:t xml:space="preserve">, E.W.C.A., 14 avril 1994 (non publié), </w:t>
      </w:r>
      <w:r>
        <w:rPr>
          <w:rFonts w:cs="Times New Roman"/>
          <w:lang w:val="fr-CA"/>
        </w:rPr>
        <w:t>par. </w:t>
      </w:r>
      <w:r w:rsidRPr="009B2D0F">
        <w:rPr>
          <w:rFonts w:cs="Times New Roman"/>
          <w:lang w:val="fr-CA"/>
        </w:rPr>
        <w:t xml:space="preserve">16, le </w:t>
      </w:r>
      <w:r>
        <w:rPr>
          <w:rFonts w:cs="Times New Roman"/>
          <w:lang w:val="fr-CA"/>
        </w:rPr>
        <w:t xml:space="preserve">lord juge </w:t>
      </w:r>
      <w:r w:rsidRPr="009B2D0F">
        <w:rPr>
          <w:rFonts w:cs="Times New Roman"/>
          <w:lang w:val="fr-CA"/>
        </w:rPr>
        <w:t xml:space="preserve">Hoffmann; voir également </w:t>
      </w:r>
      <w:proofErr w:type="spellStart"/>
      <w:r w:rsidRPr="009B2D0F">
        <w:rPr>
          <w:rFonts w:cs="Times New Roman"/>
          <w:i/>
          <w:lang w:val="fr-CA"/>
        </w:rPr>
        <w:t>Gillett</w:t>
      </w:r>
      <w:proofErr w:type="spellEnd"/>
      <w:r w:rsidRPr="009B2D0F">
        <w:rPr>
          <w:rFonts w:cs="Times New Roman"/>
          <w:i/>
          <w:lang w:val="fr-CA"/>
        </w:rPr>
        <w:t xml:space="preserve"> c. Holt</w:t>
      </w:r>
      <w:r w:rsidRPr="009B2D0F">
        <w:rPr>
          <w:rFonts w:cs="Times New Roman"/>
          <w:lang w:val="fr-CA"/>
        </w:rPr>
        <w:t xml:space="preserve">, [2001] </w:t>
      </w:r>
      <w:r>
        <w:rPr>
          <w:rFonts w:cs="Times New Roman"/>
          <w:lang w:val="fr-CA"/>
        </w:rPr>
        <w:t>Ch. </w:t>
      </w:r>
      <w:r w:rsidRPr="009B2D0F">
        <w:rPr>
          <w:rFonts w:cs="Times New Roman"/>
          <w:lang w:val="fr-CA"/>
        </w:rPr>
        <w:t>210 (C.A</w:t>
      </w:r>
      <w:r w:rsidR="005747BB">
        <w:rPr>
          <w:rFonts w:cs="Times New Roman"/>
          <w:lang w:val="fr-CA"/>
        </w:rPr>
        <w:t>.</w:t>
      </w:r>
      <w:r w:rsidRPr="009B2D0F">
        <w:rPr>
          <w:rFonts w:cs="Times New Roman"/>
          <w:lang w:val="fr-CA"/>
        </w:rPr>
        <w:t xml:space="preserve">), </w:t>
      </w:r>
      <w:r>
        <w:rPr>
          <w:rFonts w:cs="Times New Roman"/>
          <w:lang w:val="fr-CA"/>
        </w:rPr>
        <w:t>p. </w:t>
      </w:r>
      <w:r w:rsidRPr="009B2D0F">
        <w:rPr>
          <w:rFonts w:cs="Times New Roman"/>
          <w:lang w:val="fr-CA"/>
        </w:rPr>
        <w:t xml:space="preserve">225; </w:t>
      </w:r>
      <w:proofErr w:type="spellStart"/>
      <w:r w:rsidRPr="009B2D0F">
        <w:rPr>
          <w:rFonts w:cs="Times New Roman"/>
          <w:i/>
          <w:lang w:val="fr-CA"/>
        </w:rPr>
        <w:t>Taylors</w:t>
      </w:r>
      <w:proofErr w:type="spellEnd"/>
      <w:r w:rsidRPr="009B2D0F">
        <w:rPr>
          <w:rFonts w:cs="Times New Roman"/>
          <w:i/>
          <w:lang w:val="fr-CA"/>
        </w:rPr>
        <w:t xml:space="preserve"> </w:t>
      </w:r>
      <w:proofErr w:type="spellStart"/>
      <w:r w:rsidRPr="009B2D0F">
        <w:rPr>
          <w:rFonts w:cs="Times New Roman"/>
          <w:i/>
          <w:lang w:val="fr-CA"/>
        </w:rPr>
        <w:t>Fashions</w:t>
      </w:r>
      <w:proofErr w:type="spellEnd"/>
      <w:r w:rsidRPr="009B2D0F">
        <w:rPr>
          <w:rFonts w:cs="Times New Roman"/>
          <w:lang w:val="fr-CA"/>
        </w:rPr>
        <w:t xml:space="preserve">, </w:t>
      </w:r>
      <w:r>
        <w:rPr>
          <w:rFonts w:cs="Times New Roman"/>
          <w:lang w:val="fr-CA"/>
        </w:rPr>
        <w:t>p. </w:t>
      </w:r>
      <w:r w:rsidRPr="009B2D0F">
        <w:rPr>
          <w:rFonts w:cs="Times New Roman"/>
          <w:lang w:val="fr-CA"/>
        </w:rPr>
        <w:t>915</w:t>
      </w:r>
      <w:r>
        <w:rPr>
          <w:rFonts w:cs="Times New Roman"/>
          <w:lang w:val="fr-CA"/>
        </w:rPr>
        <w:noBreakHyphen/>
      </w:r>
      <w:r w:rsidRPr="009B2D0F">
        <w:rPr>
          <w:rFonts w:cs="Times New Roman"/>
          <w:lang w:val="fr-CA"/>
        </w:rPr>
        <w:t xml:space="preserve">916; </w:t>
      </w:r>
      <w:proofErr w:type="spellStart"/>
      <w:r w:rsidRPr="009B2D0F">
        <w:rPr>
          <w:rFonts w:cs="Times New Roman"/>
          <w:lang w:val="fr-CA"/>
        </w:rPr>
        <w:t>McGhee</w:t>
      </w:r>
      <w:proofErr w:type="spellEnd"/>
      <w:r w:rsidRPr="009B2D0F">
        <w:rPr>
          <w:rFonts w:cs="Times New Roman"/>
          <w:lang w:val="fr-CA"/>
        </w:rPr>
        <w:t xml:space="preserve">, </w:t>
      </w:r>
      <w:r>
        <w:rPr>
          <w:rFonts w:cs="Times New Roman"/>
          <w:lang w:val="fr-CA"/>
        </w:rPr>
        <w:t>p. </w:t>
      </w:r>
      <w:r w:rsidRPr="009B2D0F">
        <w:rPr>
          <w:rFonts w:cs="Times New Roman"/>
          <w:lang w:val="fr-CA"/>
        </w:rPr>
        <w:t>338). Ce qui importe, c</w:t>
      </w:r>
      <w:r>
        <w:rPr>
          <w:rFonts w:cs="Times New Roman"/>
          <w:lang w:val="fr-CA"/>
        </w:rPr>
        <w:t>’</w:t>
      </w:r>
      <w:r w:rsidRPr="009B2D0F">
        <w:rPr>
          <w:rFonts w:cs="Times New Roman"/>
          <w:lang w:val="fr-CA"/>
        </w:rPr>
        <w:t>est ce que l</w:t>
      </w:r>
      <w:r>
        <w:rPr>
          <w:rFonts w:cs="Times New Roman"/>
          <w:lang w:val="fr-CA"/>
        </w:rPr>
        <w:t>’</w:t>
      </w:r>
      <w:r w:rsidRPr="009B2D0F">
        <w:rPr>
          <w:rFonts w:cs="Times New Roman"/>
          <w:lang w:val="fr-CA"/>
        </w:rPr>
        <w:t>une des parties a amené l</w:t>
      </w:r>
      <w:r>
        <w:rPr>
          <w:rFonts w:cs="Times New Roman"/>
          <w:lang w:val="fr-CA"/>
        </w:rPr>
        <w:t>’</w:t>
      </w:r>
      <w:r w:rsidRPr="009B2D0F">
        <w:rPr>
          <w:rFonts w:cs="Times New Roman"/>
          <w:lang w:val="fr-CA"/>
        </w:rPr>
        <w:t>autre à croire; comme l</w:t>
      </w:r>
      <w:r>
        <w:rPr>
          <w:rFonts w:cs="Times New Roman"/>
          <w:lang w:val="fr-CA"/>
        </w:rPr>
        <w:t>’</w:t>
      </w:r>
      <w:r w:rsidRPr="009B2D0F">
        <w:rPr>
          <w:rFonts w:cs="Times New Roman"/>
          <w:lang w:val="fr-CA"/>
        </w:rPr>
        <w:t>a dit lord Hoffmann dans l</w:t>
      </w:r>
      <w:r>
        <w:rPr>
          <w:rFonts w:cs="Times New Roman"/>
          <w:lang w:val="fr-CA"/>
        </w:rPr>
        <w:t>’</w:t>
      </w:r>
      <w:r w:rsidRPr="009B2D0F">
        <w:rPr>
          <w:rFonts w:cs="Times New Roman"/>
          <w:lang w:val="fr-CA"/>
        </w:rPr>
        <w:t xml:space="preserve">arrêt </w:t>
      </w:r>
      <w:proofErr w:type="spellStart"/>
      <w:r w:rsidRPr="009B2D0F">
        <w:rPr>
          <w:rFonts w:cs="Times New Roman"/>
          <w:i/>
          <w:lang w:val="fr-CA"/>
        </w:rPr>
        <w:t>Thorner</w:t>
      </w:r>
      <w:proofErr w:type="spellEnd"/>
      <w:r w:rsidRPr="009B2D0F">
        <w:rPr>
          <w:rFonts w:cs="Times New Roman"/>
          <w:lang w:val="fr-CA"/>
        </w:rPr>
        <w:t>, la question est de savoir si [</w:t>
      </w:r>
      <w:r w:rsidRPr="009B2D0F">
        <w:rPr>
          <w:rFonts w:cs="Times New Roman"/>
          <w:smallCaps/>
          <w:lang w:val="fr-CA"/>
        </w:rPr>
        <w:t>traduction</w:t>
      </w:r>
      <w:r w:rsidRPr="009B2D0F">
        <w:rPr>
          <w:rFonts w:cs="Times New Roman"/>
          <w:lang w:val="fr-CA"/>
        </w:rPr>
        <w:t>] « le sens du message [. . .] véhiculé aurait raisonnablement été interprété comme une assurance à prendre au sérieux et sur laquelle on pouvait se fonder » (</w:t>
      </w:r>
      <w:r>
        <w:rPr>
          <w:rFonts w:cs="Times New Roman"/>
          <w:lang w:val="fr-CA"/>
        </w:rPr>
        <w:t>par. </w:t>
      </w:r>
      <w:r w:rsidRPr="009B2D0F">
        <w:rPr>
          <w:rFonts w:cs="Times New Roman"/>
          <w:lang w:val="fr-CA"/>
        </w:rPr>
        <w:t xml:space="preserve">5; voir aussi </w:t>
      </w:r>
      <w:proofErr w:type="spellStart"/>
      <w:r w:rsidRPr="009B2D0F">
        <w:rPr>
          <w:rFonts w:cs="Times New Roman"/>
          <w:i/>
          <w:lang w:val="fr-CA"/>
        </w:rPr>
        <w:t>Crabb</w:t>
      </w:r>
      <w:proofErr w:type="spellEnd"/>
      <w:r w:rsidRPr="009B2D0F">
        <w:rPr>
          <w:rFonts w:cs="Times New Roman"/>
          <w:lang w:val="fr-CA"/>
        </w:rPr>
        <w:t>,</w:t>
      </w:r>
      <w:r w:rsidRPr="009B2D0F">
        <w:rPr>
          <w:rFonts w:cs="Times New Roman"/>
          <w:i/>
          <w:lang w:val="fr-CA"/>
        </w:rPr>
        <w:t xml:space="preserve"> </w:t>
      </w:r>
      <w:r>
        <w:rPr>
          <w:rFonts w:cs="Times New Roman"/>
          <w:lang w:val="fr-CA"/>
        </w:rPr>
        <w:t>p. </w:t>
      </w:r>
      <w:r w:rsidRPr="009B2D0F">
        <w:rPr>
          <w:rFonts w:cs="Times New Roman"/>
          <w:lang w:val="fr-CA"/>
        </w:rPr>
        <w:t>871, B. </w:t>
      </w:r>
      <w:proofErr w:type="spellStart"/>
      <w:r w:rsidRPr="009B2D0F">
        <w:rPr>
          <w:rFonts w:cs="Times New Roman"/>
          <w:szCs w:val="24"/>
          <w:lang w:val="fr-CA"/>
        </w:rPr>
        <w:t>McFarlane</w:t>
      </w:r>
      <w:proofErr w:type="spellEnd"/>
      <w:r w:rsidRPr="009B2D0F">
        <w:rPr>
          <w:rFonts w:cs="Times New Roman"/>
          <w:szCs w:val="24"/>
          <w:lang w:val="fr-CA"/>
        </w:rPr>
        <w:t xml:space="preserve">, </w:t>
      </w:r>
      <w:r w:rsidRPr="009B2D0F">
        <w:rPr>
          <w:rFonts w:cs="Times New Roman"/>
          <w:i/>
          <w:szCs w:val="24"/>
          <w:lang w:val="fr-CA"/>
        </w:rPr>
        <w:t xml:space="preserve">The Law of </w:t>
      </w:r>
      <w:proofErr w:type="spellStart"/>
      <w:r w:rsidRPr="009B2D0F">
        <w:rPr>
          <w:rFonts w:cs="Times New Roman"/>
          <w:i/>
          <w:szCs w:val="24"/>
          <w:lang w:val="fr-CA"/>
        </w:rPr>
        <w:t>Proprietary</w:t>
      </w:r>
      <w:proofErr w:type="spellEnd"/>
      <w:r w:rsidRPr="009B2D0F">
        <w:rPr>
          <w:rFonts w:cs="Times New Roman"/>
          <w:i/>
          <w:szCs w:val="24"/>
          <w:lang w:val="fr-CA"/>
        </w:rPr>
        <w:t xml:space="preserve"> Estoppel </w:t>
      </w:r>
      <w:r w:rsidRPr="009B2D0F">
        <w:rPr>
          <w:rFonts w:cs="Times New Roman"/>
          <w:szCs w:val="24"/>
          <w:lang w:val="fr-CA"/>
        </w:rPr>
        <w:t xml:space="preserve">(2014), </w:t>
      </w:r>
      <w:r>
        <w:rPr>
          <w:rFonts w:cs="Times New Roman"/>
          <w:szCs w:val="24"/>
          <w:lang w:val="fr-CA"/>
        </w:rPr>
        <w:t>p. </w:t>
      </w:r>
      <w:r w:rsidRPr="009B2D0F">
        <w:rPr>
          <w:rFonts w:cs="Times New Roman"/>
          <w:szCs w:val="24"/>
          <w:lang w:val="fr-CA"/>
        </w:rPr>
        <w:t>98).</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szCs w:val="24"/>
          <w:lang w:val="fr-CA"/>
        </w:rPr>
        <w:t>Dans l</w:t>
      </w:r>
      <w:r>
        <w:rPr>
          <w:rFonts w:cs="Times New Roman"/>
          <w:szCs w:val="24"/>
          <w:lang w:val="fr-CA"/>
        </w:rPr>
        <w:t>’</w:t>
      </w:r>
      <w:r w:rsidRPr="009B2D0F">
        <w:rPr>
          <w:rFonts w:cs="Times New Roman"/>
          <w:szCs w:val="24"/>
          <w:lang w:val="fr-CA"/>
        </w:rPr>
        <w:t xml:space="preserve">arrêt </w:t>
      </w:r>
      <w:proofErr w:type="spellStart"/>
      <w:r w:rsidRPr="009B2D0F">
        <w:rPr>
          <w:rFonts w:cs="Times New Roman"/>
          <w:i/>
          <w:szCs w:val="24"/>
          <w:lang w:val="fr-CA"/>
        </w:rPr>
        <w:t>Thorner</w:t>
      </w:r>
      <w:proofErr w:type="spellEnd"/>
      <w:r w:rsidRPr="009B2D0F">
        <w:rPr>
          <w:rFonts w:cs="Times New Roman"/>
          <w:szCs w:val="24"/>
          <w:lang w:val="fr-CA"/>
        </w:rPr>
        <w:t>, l</w:t>
      </w:r>
      <w:r>
        <w:rPr>
          <w:rFonts w:cs="Times New Roman"/>
          <w:szCs w:val="24"/>
          <w:lang w:val="fr-CA"/>
        </w:rPr>
        <w:t>’</w:t>
      </w:r>
      <w:r w:rsidRPr="009B2D0F">
        <w:rPr>
          <w:rFonts w:cs="Times New Roman"/>
          <w:szCs w:val="24"/>
          <w:lang w:val="fr-CA"/>
        </w:rPr>
        <w:t>une des parties avait amené l</w:t>
      </w:r>
      <w:r>
        <w:rPr>
          <w:rFonts w:cs="Times New Roman"/>
          <w:szCs w:val="24"/>
          <w:lang w:val="fr-CA"/>
        </w:rPr>
        <w:t>’</w:t>
      </w:r>
      <w:r w:rsidRPr="009B2D0F">
        <w:rPr>
          <w:rFonts w:cs="Times New Roman"/>
          <w:szCs w:val="24"/>
          <w:lang w:val="fr-CA"/>
        </w:rPr>
        <w:t>autre à croire qu</w:t>
      </w:r>
      <w:r>
        <w:rPr>
          <w:rFonts w:cs="Times New Roman"/>
          <w:szCs w:val="24"/>
          <w:lang w:val="fr-CA"/>
        </w:rPr>
        <w:t>’</w:t>
      </w:r>
      <w:r w:rsidR="005747BB">
        <w:rPr>
          <w:rFonts w:cs="Times New Roman"/>
          <w:szCs w:val="24"/>
          <w:lang w:val="fr-CA"/>
        </w:rPr>
        <w:t>elle</w:t>
      </w:r>
      <w:r w:rsidRPr="009B2D0F">
        <w:rPr>
          <w:rFonts w:cs="Times New Roman"/>
          <w:szCs w:val="24"/>
          <w:lang w:val="fr-CA"/>
        </w:rPr>
        <w:t xml:space="preserve"> hériterait d</w:t>
      </w:r>
      <w:r>
        <w:rPr>
          <w:rFonts w:cs="Times New Roman"/>
          <w:szCs w:val="24"/>
          <w:lang w:val="fr-CA"/>
        </w:rPr>
        <w:t>’</w:t>
      </w:r>
      <w:r w:rsidRPr="009B2D0F">
        <w:rPr>
          <w:rFonts w:cs="Times New Roman"/>
          <w:szCs w:val="24"/>
          <w:lang w:val="fr-CA"/>
        </w:rPr>
        <w:t>une ferme. Comme les parties savaient que [</w:t>
      </w:r>
      <w:r w:rsidRPr="009B2D0F">
        <w:rPr>
          <w:rFonts w:cs="Times New Roman"/>
          <w:smallCaps/>
          <w:szCs w:val="24"/>
          <w:lang w:val="fr-CA"/>
        </w:rPr>
        <w:t>traduction</w:t>
      </w:r>
      <w:r w:rsidRPr="009B2D0F">
        <w:rPr>
          <w:rFonts w:cs="Times New Roman"/>
          <w:szCs w:val="24"/>
          <w:lang w:val="fr-CA"/>
        </w:rPr>
        <w:t>] « l</w:t>
      </w:r>
      <w:r>
        <w:rPr>
          <w:rFonts w:cs="Times New Roman"/>
          <w:szCs w:val="24"/>
          <w:lang w:val="fr-CA"/>
        </w:rPr>
        <w:t>’</w:t>
      </w:r>
      <w:r w:rsidRPr="009B2D0F">
        <w:rPr>
          <w:rFonts w:cs="Times New Roman"/>
          <w:szCs w:val="24"/>
          <w:lang w:val="fr-CA"/>
        </w:rPr>
        <w:t xml:space="preserve">étendue de la ferme était susceptible de fluctuer (en fonction des possibilités de développement et des </w:t>
      </w:r>
      <w:proofErr w:type="spellStart"/>
      <w:r w:rsidRPr="009B2D0F">
        <w:rPr>
          <w:rFonts w:cs="Times New Roman"/>
          <w:szCs w:val="24"/>
          <w:lang w:val="fr-CA"/>
        </w:rPr>
        <w:t>tenances</w:t>
      </w:r>
      <w:proofErr w:type="spellEnd"/>
      <w:r w:rsidRPr="009B2D0F">
        <w:rPr>
          <w:rFonts w:cs="Times New Roman"/>
          <w:szCs w:val="24"/>
          <w:lang w:val="fr-CA"/>
        </w:rPr>
        <w:t xml:space="preserve"> accordées) », « [i]l ne fait aucun doute que leur perception commune était que l</w:t>
      </w:r>
      <w:r>
        <w:rPr>
          <w:rFonts w:cs="Times New Roman"/>
          <w:szCs w:val="24"/>
          <w:lang w:val="fr-CA"/>
        </w:rPr>
        <w:t>’</w:t>
      </w:r>
      <w:r w:rsidRPr="009B2D0F">
        <w:rPr>
          <w:rFonts w:cs="Times New Roman"/>
          <w:szCs w:val="24"/>
          <w:lang w:val="fr-CA"/>
        </w:rPr>
        <w:t xml:space="preserve">assurance donnée portait sur ce en quoi consisterait la ferme au décès [du titulaire </w:t>
      </w:r>
      <w:r w:rsidRPr="009B2D0F">
        <w:rPr>
          <w:rFonts w:cs="Times New Roman"/>
          <w:szCs w:val="24"/>
          <w:lang w:val="fr-CA"/>
        </w:rPr>
        <w:lastRenderedPageBreak/>
        <w:t>d</w:t>
      </w:r>
      <w:r>
        <w:rPr>
          <w:rFonts w:cs="Times New Roman"/>
          <w:szCs w:val="24"/>
          <w:lang w:val="fr-CA"/>
        </w:rPr>
        <w:t>’</w:t>
      </w:r>
      <w:r w:rsidRPr="009B2D0F">
        <w:rPr>
          <w:rFonts w:cs="Times New Roman"/>
          <w:szCs w:val="24"/>
          <w:lang w:val="fr-CA"/>
        </w:rPr>
        <w:t>intérêt] » (</w:t>
      </w:r>
      <w:r>
        <w:rPr>
          <w:rFonts w:cs="Times New Roman"/>
          <w:szCs w:val="24"/>
          <w:lang w:val="fr-CA"/>
        </w:rPr>
        <w:t>par. </w:t>
      </w:r>
      <w:r w:rsidRPr="009B2D0F">
        <w:rPr>
          <w:rFonts w:cs="Times New Roman"/>
          <w:szCs w:val="24"/>
          <w:lang w:val="fr-CA"/>
        </w:rPr>
        <w:t>62). Ce n</w:t>
      </w:r>
      <w:r>
        <w:rPr>
          <w:rFonts w:cs="Times New Roman"/>
          <w:szCs w:val="24"/>
          <w:lang w:val="fr-CA"/>
        </w:rPr>
        <w:t>’</w:t>
      </w:r>
      <w:r w:rsidRPr="009B2D0F">
        <w:rPr>
          <w:rFonts w:cs="Times New Roman"/>
          <w:szCs w:val="24"/>
          <w:lang w:val="fr-CA"/>
        </w:rPr>
        <w:t>était pas le type d</w:t>
      </w:r>
      <w:r>
        <w:rPr>
          <w:rFonts w:cs="Times New Roman"/>
          <w:szCs w:val="24"/>
          <w:lang w:val="fr-CA"/>
        </w:rPr>
        <w:t>’</w:t>
      </w:r>
      <w:r w:rsidRPr="009B2D0F">
        <w:rPr>
          <w:rFonts w:cs="Times New Roman"/>
          <w:szCs w:val="24"/>
          <w:lang w:val="fr-CA"/>
        </w:rPr>
        <w:t>incertitude qui rendait déraisonnable le fait de se fier à cette assurance, parce qu</w:t>
      </w:r>
      <w:r>
        <w:rPr>
          <w:rFonts w:cs="Times New Roman"/>
          <w:szCs w:val="24"/>
          <w:lang w:val="fr-CA"/>
        </w:rPr>
        <w:t>’</w:t>
      </w:r>
      <w:r w:rsidRPr="009B2D0F">
        <w:rPr>
          <w:rFonts w:cs="Times New Roman"/>
          <w:szCs w:val="24"/>
          <w:lang w:val="fr-CA"/>
        </w:rPr>
        <w:t>« il n</w:t>
      </w:r>
      <w:r>
        <w:rPr>
          <w:rFonts w:cs="Times New Roman"/>
          <w:szCs w:val="24"/>
          <w:lang w:val="fr-CA"/>
        </w:rPr>
        <w:t>’</w:t>
      </w:r>
      <w:r w:rsidRPr="009B2D0F">
        <w:rPr>
          <w:rFonts w:cs="Times New Roman"/>
          <w:szCs w:val="24"/>
          <w:lang w:val="fr-CA"/>
        </w:rPr>
        <w:t>est pas avantageux, compte tenu du caractère rétrospectif de l</w:t>
      </w:r>
      <w:r>
        <w:rPr>
          <w:rFonts w:cs="Times New Roman"/>
          <w:szCs w:val="24"/>
          <w:lang w:val="fr-CA"/>
        </w:rPr>
        <w:t>’</w:t>
      </w:r>
      <w:r w:rsidRPr="009B2D0F">
        <w:rPr>
          <w:rFonts w:cs="Times New Roman"/>
          <w:szCs w:val="24"/>
          <w:lang w:val="fr-CA"/>
        </w:rPr>
        <w:t>évaluation qu</w:t>
      </w:r>
      <w:r>
        <w:rPr>
          <w:rFonts w:cs="Times New Roman"/>
          <w:szCs w:val="24"/>
          <w:lang w:val="fr-CA"/>
        </w:rPr>
        <w:t>’</w:t>
      </w:r>
      <w:r w:rsidRPr="009B2D0F">
        <w:rPr>
          <w:rFonts w:cs="Times New Roman"/>
          <w:szCs w:val="24"/>
          <w:lang w:val="fr-CA"/>
        </w:rPr>
        <w:t>exige la doctrine de la préclusion propriétale, d</w:t>
      </w:r>
      <w:r>
        <w:rPr>
          <w:rFonts w:cs="Times New Roman"/>
          <w:szCs w:val="24"/>
          <w:lang w:val="fr-CA"/>
        </w:rPr>
        <w:t>’</w:t>
      </w:r>
      <w:r w:rsidRPr="009B2D0F">
        <w:rPr>
          <w:rFonts w:cs="Times New Roman"/>
          <w:szCs w:val="24"/>
          <w:lang w:val="fr-CA"/>
        </w:rPr>
        <w:t>émettre des hypothèses sur ce qui aurait pu arriver »</w:t>
      </w:r>
      <w:r>
        <w:rPr>
          <w:rFonts w:cs="Times New Roman"/>
          <w:szCs w:val="24"/>
          <w:lang w:val="fr-CA"/>
        </w:rPr>
        <w:t xml:space="preserve"> </w:t>
      </w:r>
      <w:r w:rsidRPr="009B2D0F">
        <w:rPr>
          <w:rFonts w:cs="Times New Roman"/>
          <w:szCs w:val="24"/>
          <w:lang w:val="fr-CA"/>
        </w:rPr>
        <w:t>(</w:t>
      </w:r>
      <w:r>
        <w:rPr>
          <w:rFonts w:cs="Times New Roman"/>
          <w:szCs w:val="24"/>
          <w:lang w:val="fr-CA"/>
        </w:rPr>
        <w:t>par. </w:t>
      </w:r>
      <w:r w:rsidRPr="009B2D0F">
        <w:rPr>
          <w:rFonts w:cs="Times New Roman"/>
          <w:szCs w:val="24"/>
          <w:lang w:val="fr-CA"/>
        </w:rPr>
        <w:t>65).</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szCs w:val="24"/>
          <w:lang w:val="fr-CA"/>
        </w:rPr>
        <w:t>Cette méthode d</w:t>
      </w:r>
      <w:r>
        <w:rPr>
          <w:rFonts w:cs="Times New Roman"/>
          <w:szCs w:val="24"/>
          <w:lang w:val="fr-CA"/>
        </w:rPr>
        <w:t>’</w:t>
      </w:r>
      <w:r w:rsidRPr="009B2D0F">
        <w:rPr>
          <w:rFonts w:cs="Times New Roman"/>
          <w:szCs w:val="24"/>
          <w:lang w:val="fr-CA"/>
        </w:rPr>
        <w:t>évaluation de la certitude — et par le fait même du caractère raisonnable de l</w:t>
      </w:r>
      <w:r>
        <w:rPr>
          <w:rFonts w:cs="Times New Roman"/>
          <w:szCs w:val="24"/>
          <w:lang w:val="fr-CA"/>
        </w:rPr>
        <w:t>’</w:t>
      </w:r>
      <w:r w:rsidRPr="009B2D0F">
        <w:rPr>
          <w:rFonts w:cs="Times New Roman"/>
          <w:szCs w:val="24"/>
          <w:lang w:val="fr-CA"/>
        </w:rPr>
        <w:t>acte de confiance — permet à l</w:t>
      </w:r>
      <w:r>
        <w:rPr>
          <w:rFonts w:cs="Times New Roman"/>
          <w:szCs w:val="24"/>
          <w:lang w:val="fr-CA"/>
        </w:rPr>
        <w:t>’</w:t>
      </w:r>
      <w:proofErr w:type="spellStart"/>
      <w:r w:rsidRPr="009B2D0F">
        <w:rPr>
          <w:rFonts w:cs="Times New Roman"/>
          <w:szCs w:val="24"/>
          <w:lang w:val="fr-CA"/>
        </w:rPr>
        <w:t>equity</w:t>
      </w:r>
      <w:proofErr w:type="spellEnd"/>
      <w:r w:rsidRPr="009B2D0F">
        <w:rPr>
          <w:rFonts w:cs="Times New Roman"/>
          <w:szCs w:val="24"/>
          <w:lang w:val="fr-CA"/>
        </w:rPr>
        <w:t xml:space="preserve"> [</w:t>
      </w:r>
      <w:r w:rsidRPr="009B2D0F">
        <w:rPr>
          <w:rFonts w:cs="Times New Roman"/>
          <w:smallCaps/>
          <w:szCs w:val="24"/>
          <w:lang w:val="fr-CA"/>
        </w:rPr>
        <w:t>traduction</w:t>
      </w:r>
      <w:r w:rsidRPr="009B2D0F">
        <w:rPr>
          <w:rFonts w:cs="Times New Roman"/>
          <w:szCs w:val="24"/>
          <w:lang w:val="fr-CA"/>
        </w:rPr>
        <w:t>] « d</w:t>
      </w:r>
      <w:r>
        <w:rPr>
          <w:rFonts w:cs="Times New Roman"/>
          <w:szCs w:val="24"/>
          <w:lang w:val="fr-CA"/>
        </w:rPr>
        <w:t>’</w:t>
      </w:r>
      <w:r w:rsidRPr="009B2D0F">
        <w:rPr>
          <w:rFonts w:cs="Times New Roman"/>
          <w:szCs w:val="24"/>
          <w:lang w:val="fr-CA"/>
        </w:rPr>
        <w:t>atténuer les rigueurs du droit strict » (</w:t>
      </w:r>
      <w:proofErr w:type="spellStart"/>
      <w:r w:rsidRPr="009B2D0F">
        <w:rPr>
          <w:rFonts w:cs="Times New Roman"/>
          <w:i/>
          <w:szCs w:val="24"/>
          <w:lang w:val="fr-CA"/>
        </w:rPr>
        <w:t>Crabb</w:t>
      </w:r>
      <w:proofErr w:type="spellEnd"/>
      <w:r w:rsidRPr="009B2D0F">
        <w:rPr>
          <w:rFonts w:cs="Times New Roman"/>
          <w:szCs w:val="24"/>
          <w:lang w:val="fr-CA"/>
        </w:rPr>
        <w:t>,</w:t>
      </w:r>
      <w:r w:rsidRPr="009B2D0F">
        <w:rPr>
          <w:rFonts w:cs="Times New Roman"/>
          <w:i/>
          <w:szCs w:val="24"/>
          <w:lang w:val="fr-CA"/>
        </w:rPr>
        <w:t xml:space="preserve"> </w:t>
      </w:r>
      <w:r>
        <w:rPr>
          <w:rFonts w:cs="Times New Roman"/>
          <w:szCs w:val="24"/>
          <w:lang w:val="fr-CA"/>
        </w:rPr>
        <w:t>p. </w:t>
      </w:r>
      <w:r w:rsidRPr="009B2D0F">
        <w:rPr>
          <w:rFonts w:cs="Times New Roman"/>
          <w:szCs w:val="24"/>
          <w:lang w:val="fr-CA"/>
        </w:rPr>
        <w:t xml:space="preserve">871; voir également </w:t>
      </w:r>
      <w:proofErr w:type="spellStart"/>
      <w:r w:rsidRPr="009B2D0F">
        <w:rPr>
          <w:rFonts w:cs="Times New Roman"/>
          <w:i/>
          <w:szCs w:val="24"/>
          <w:lang w:val="fr-CA"/>
        </w:rPr>
        <w:t>Thorner</w:t>
      </w:r>
      <w:proofErr w:type="spellEnd"/>
      <w:r w:rsidRPr="009B2D0F">
        <w:rPr>
          <w:rFonts w:cs="Times New Roman"/>
          <w:szCs w:val="24"/>
          <w:lang w:val="fr-CA"/>
        </w:rPr>
        <w:t xml:space="preserve">, </w:t>
      </w:r>
      <w:r>
        <w:rPr>
          <w:rFonts w:cs="Times New Roman"/>
          <w:szCs w:val="24"/>
          <w:lang w:val="fr-CA"/>
        </w:rPr>
        <w:t>par. </w:t>
      </w:r>
      <w:r w:rsidRPr="009B2D0F">
        <w:rPr>
          <w:rFonts w:cs="Times New Roman"/>
          <w:szCs w:val="24"/>
          <w:lang w:val="fr-CA"/>
        </w:rPr>
        <w:t xml:space="preserve">98, lord </w:t>
      </w:r>
      <w:proofErr w:type="spellStart"/>
      <w:r w:rsidRPr="009B2D0F">
        <w:rPr>
          <w:rFonts w:cs="Times New Roman"/>
          <w:szCs w:val="24"/>
          <w:lang w:val="fr-CA"/>
        </w:rPr>
        <w:t>Neuberger</w:t>
      </w:r>
      <w:proofErr w:type="spellEnd"/>
      <w:r w:rsidRPr="009B2D0F">
        <w:rPr>
          <w:rFonts w:cs="Times New Roman"/>
          <w:szCs w:val="24"/>
          <w:lang w:val="fr-CA"/>
        </w:rPr>
        <w:t>). Contrairement au contrat qui, [</w:t>
      </w:r>
      <w:r w:rsidRPr="009B2D0F">
        <w:rPr>
          <w:rFonts w:cs="Times New Roman"/>
          <w:smallCaps/>
          <w:szCs w:val="24"/>
          <w:lang w:val="fr-CA"/>
        </w:rPr>
        <w:t>traduction</w:t>
      </w:r>
      <w:r w:rsidRPr="009B2D0F">
        <w:rPr>
          <w:rFonts w:cs="Times New Roman"/>
          <w:szCs w:val="24"/>
          <w:lang w:val="fr-CA"/>
        </w:rPr>
        <w:t>] « sous réserve de la doctrine restreinte de l</w:t>
      </w:r>
      <w:r>
        <w:rPr>
          <w:rFonts w:cs="Times New Roman"/>
          <w:szCs w:val="24"/>
          <w:lang w:val="fr-CA"/>
        </w:rPr>
        <w:t>’</w:t>
      </w:r>
      <w:r w:rsidRPr="009B2D0F">
        <w:rPr>
          <w:rFonts w:cs="Times New Roman"/>
          <w:szCs w:val="24"/>
          <w:lang w:val="fr-CA"/>
        </w:rPr>
        <w:t>impossibilité d</w:t>
      </w:r>
      <w:r>
        <w:rPr>
          <w:rFonts w:cs="Times New Roman"/>
          <w:szCs w:val="24"/>
          <w:lang w:val="fr-CA"/>
        </w:rPr>
        <w:t>’</w:t>
      </w:r>
      <w:r w:rsidRPr="009B2D0F">
        <w:rPr>
          <w:rFonts w:cs="Times New Roman"/>
          <w:szCs w:val="24"/>
          <w:lang w:val="fr-CA"/>
        </w:rPr>
        <w:t>exécution, doit être exécuté quoi qu</w:t>
      </w:r>
      <w:r>
        <w:rPr>
          <w:rFonts w:cs="Times New Roman"/>
          <w:szCs w:val="24"/>
          <w:lang w:val="fr-CA"/>
        </w:rPr>
        <w:t>’</w:t>
      </w:r>
      <w:r w:rsidRPr="009B2D0F">
        <w:rPr>
          <w:rFonts w:cs="Times New Roman"/>
          <w:szCs w:val="24"/>
          <w:lang w:val="fr-CA"/>
        </w:rPr>
        <w:t>il arrive », l</w:t>
      </w:r>
      <w:r>
        <w:rPr>
          <w:rFonts w:cs="Times New Roman"/>
          <w:szCs w:val="24"/>
          <w:lang w:val="fr-CA"/>
        </w:rPr>
        <w:t>’</w:t>
      </w:r>
      <w:proofErr w:type="spellStart"/>
      <w:r w:rsidRPr="009B2D0F">
        <w:rPr>
          <w:rFonts w:cs="Times New Roman"/>
          <w:szCs w:val="24"/>
          <w:lang w:val="fr-CA"/>
        </w:rPr>
        <w:t>equity</w:t>
      </w:r>
      <w:proofErr w:type="spellEnd"/>
      <w:r w:rsidRPr="009B2D0F">
        <w:rPr>
          <w:rFonts w:cs="Times New Roman"/>
          <w:szCs w:val="24"/>
          <w:lang w:val="fr-CA"/>
        </w:rPr>
        <w:t xml:space="preserve"> « jette un regard rétrospectif à partir du moment où la promesse doit être exécutée, et appelle à se demander si, dans les circonstances de l</w:t>
      </w:r>
      <w:r>
        <w:rPr>
          <w:rFonts w:cs="Times New Roman"/>
          <w:szCs w:val="24"/>
          <w:lang w:val="fr-CA"/>
        </w:rPr>
        <w:t>’</w:t>
      </w:r>
      <w:r w:rsidRPr="009B2D0F">
        <w:rPr>
          <w:rFonts w:cs="Times New Roman"/>
          <w:szCs w:val="24"/>
          <w:lang w:val="fr-CA"/>
        </w:rPr>
        <w:t>espèce, il serait inique qu</w:t>
      </w:r>
      <w:r>
        <w:rPr>
          <w:rFonts w:cs="Times New Roman"/>
          <w:szCs w:val="24"/>
          <w:lang w:val="fr-CA"/>
        </w:rPr>
        <w:t>’</w:t>
      </w:r>
      <w:r w:rsidRPr="009B2D0F">
        <w:rPr>
          <w:rFonts w:cs="Times New Roman"/>
          <w:szCs w:val="24"/>
          <w:lang w:val="fr-CA"/>
        </w:rPr>
        <w:t>elle ne soit pas tenue » (</w:t>
      </w:r>
      <w:r w:rsidRPr="009B2D0F">
        <w:rPr>
          <w:rFonts w:cs="Times New Roman"/>
          <w:i/>
          <w:szCs w:val="24"/>
          <w:lang w:val="fr-CA"/>
        </w:rPr>
        <w:t>Walton</w:t>
      </w:r>
      <w:r w:rsidRPr="009B2D0F">
        <w:rPr>
          <w:rFonts w:cs="Times New Roman"/>
          <w:szCs w:val="24"/>
          <w:lang w:val="fr-CA"/>
        </w:rPr>
        <w:t xml:space="preserve">, </w:t>
      </w:r>
      <w:r>
        <w:rPr>
          <w:rFonts w:cs="Times New Roman"/>
          <w:szCs w:val="24"/>
          <w:lang w:val="fr-CA"/>
        </w:rPr>
        <w:t>par. </w:t>
      </w:r>
      <w:r w:rsidRPr="009B2D0F">
        <w:rPr>
          <w:rFonts w:cs="Times New Roman"/>
          <w:szCs w:val="24"/>
          <w:lang w:val="fr-CA"/>
        </w:rPr>
        <w:t>20</w:t>
      </w:r>
      <w:r>
        <w:rPr>
          <w:rFonts w:cs="Times New Roman"/>
          <w:szCs w:val="24"/>
          <w:lang w:val="fr-CA"/>
        </w:rPr>
        <w:noBreakHyphen/>
      </w:r>
      <w:r w:rsidRPr="009B2D0F">
        <w:rPr>
          <w:rFonts w:cs="Times New Roman"/>
          <w:szCs w:val="24"/>
          <w:lang w:val="fr-CA"/>
        </w:rPr>
        <w:t xml:space="preserve">21, cité dans </w:t>
      </w:r>
      <w:proofErr w:type="spellStart"/>
      <w:r w:rsidRPr="009B2D0F">
        <w:rPr>
          <w:rFonts w:cs="Times New Roman"/>
          <w:i/>
          <w:szCs w:val="24"/>
          <w:lang w:val="fr-CA"/>
        </w:rPr>
        <w:t>Thorner</w:t>
      </w:r>
      <w:proofErr w:type="spellEnd"/>
      <w:r w:rsidRPr="009B2D0F">
        <w:rPr>
          <w:rFonts w:cs="Times New Roman"/>
          <w:szCs w:val="24"/>
          <w:lang w:val="fr-CA"/>
        </w:rPr>
        <w:t xml:space="preserve">, </w:t>
      </w:r>
      <w:r>
        <w:rPr>
          <w:rFonts w:cs="Times New Roman"/>
          <w:szCs w:val="24"/>
          <w:lang w:val="fr-CA"/>
        </w:rPr>
        <w:t>par. </w:t>
      </w:r>
      <w:r w:rsidRPr="009B2D0F">
        <w:rPr>
          <w:rFonts w:cs="Times New Roman"/>
          <w:szCs w:val="24"/>
          <w:lang w:val="fr-CA"/>
        </w:rPr>
        <w:t>57).</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Dans une demande fondée sur la préclusion propriétale, où l</w:t>
      </w:r>
      <w:r>
        <w:rPr>
          <w:rFonts w:cs="Times New Roman"/>
          <w:lang w:val="fr-CA"/>
        </w:rPr>
        <w:t>’</w:t>
      </w:r>
      <w:r w:rsidRPr="009B2D0F">
        <w:rPr>
          <w:rFonts w:cs="Times New Roman"/>
          <w:lang w:val="fr-CA"/>
        </w:rPr>
        <w:t>on prétend qu</w:t>
      </w:r>
      <w:r>
        <w:rPr>
          <w:rFonts w:cs="Times New Roman"/>
          <w:lang w:val="fr-CA"/>
        </w:rPr>
        <w:t>’</w:t>
      </w:r>
      <w:r w:rsidRPr="009B2D0F">
        <w:rPr>
          <w:rFonts w:cs="Times New Roman"/>
          <w:lang w:val="fr-CA"/>
        </w:rPr>
        <w:t xml:space="preserve">un droit en </w:t>
      </w:r>
      <w:proofErr w:type="spellStart"/>
      <w:r w:rsidRPr="009B2D0F">
        <w:rPr>
          <w:rFonts w:cs="Times New Roman"/>
          <w:lang w:val="fr-CA"/>
        </w:rPr>
        <w:t>equity</w:t>
      </w:r>
      <w:proofErr w:type="spellEnd"/>
      <w:r w:rsidRPr="009B2D0F">
        <w:rPr>
          <w:rFonts w:cs="Times New Roman"/>
          <w:lang w:val="fr-CA"/>
        </w:rPr>
        <w:t xml:space="preserve"> a pris naissance lorsque le demandeur s</w:t>
      </w:r>
      <w:r>
        <w:rPr>
          <w:rFonts w:cs="Times New Roman"/>
          <w:lang w:val="fr-CA"/>
        </w:rPr>
        <w:t>’</w:t>
      </w:r>
      <w:r w:rsidRPr="009B2D0F">
        <w:rPr>
          <w:rFonts w:cs="Times New Roman"/>
          <w:lang w:val="fr-CA"/>
        </w:rPr>
        <w:t>est appuyé sur le fait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attendait à bénéficier d</w:t>
      </w:r>
      <w:r>
        <w:rPr>
          <w:rFonts w:cs="Times New Roman"/>
          <w:lang w:val="fr-CA"/>
        </w:rPr>
        <w:t>’</w:t>
      </w:r>
      <w:r w:rsidRPr="009B2D0F">
        <w:rPr>
          <w:rFonts w:cs="Times New Roman"/>
          <w:lang w:val="fr-CA"/>
        </w:rPr>
        <w:t>un certain droit ou avantage dans un bien, il se peut que l</w:t>
      </w:r>
      <w:r>
        <w:rPr>
          <w:rFonts w:cs="Times New Roman"/>
          <w:lang w:val="fr-CA"/>
        </w:rPr>
        <w:t>’</w:t>
      </w:r>
      <w:r w:rsidRPr="009B2D0F">
        <w:rPr>
          <w:rFonts w:cs="Times New Roman"/>
          <w:lang w:val="fr-CA"/>
        </w:rPr>
        <w:t>intérêt que la partie à l</w:t>
      </w:r>
      <w:r>
        <w:rPr>
          <w:rFonts w:cs="Times New Roman"/>
          <w:lang w:val="fr-CA"/>
        </w:rPr>
        <w:t>’</w:t>
      </w:r>
      <w:r w:rsidRPr="009B2D0F">
        <w:rPr>
          <w:rFonts w:cs="Times New Roman"/>
          <w:lang w:val="fr-CA"/>
        </w:rPr>
        <w:t>origine de l</w:t>
      </w:r>
      <w:r>
        <w:rPr>
          <w:rFonts w:cs="Times New Roman"/>
          <w:lang w:val="fr-CA"/>
        </w:rPr>
        <w:t>’</w:t>
      </w:r>
      <w:r w:rsidRPr="009B2D0F">
        <w:rPr>
          <w:rFonts w:cs="Times New Roman"/>
          <w:lang w:val="fr-CA"/>
        </w:rPr>
        <w:t>attente détenait dans le bien en cause ait été tellement hypothétique que l</w:t>
      </w:r>
      <w:r>
        <w:rPr>
          <w:rFonts w:cs="Times New Roman"/>
          <w:lang w:val="fr-CA"/>
        </w:rPr>
        <w:t>’</w:t>
      </w:r>
      <w:r w:rsidRPr="009B2D0F">
        <w:rPr>
          <w:rFonts w:cs="Times New Roman"/>
          <w:lang w:val="fr-CA"/>
        </w:rPr>
        <w:t xml:space="preserve">acte de confiance du demandeur ne pouvait être raisonnable (voir </w:t>
      </w:r>
      <w:proofErr w:type="spellStart"/>
      <w:r w:rsidRPr="009B2D0F">
        <w:rPr>
          <w:rFonts w:cs="Times New Roman"/>
          <w:i/>
          <w:lang w:val="fr-CA"/>
        </w:rPr>
        <w:t>Cobbe</w:t>
      </w:r>
      <w:proofErr w:type="spellEnd"/>
      <w:r w:rsidRPr="009B2D0F">
        <w:rPr>
          <w:rFonts w:cs="Times New Roman"/>
          <w:i/>
          <w:lang w:val="fr-CA"/>
        </w:rPr>
        <w:t xml:space="preserve"> c.</w:t>
      </w:r>
      <w:r w:rsidRPr="009B2D0F">
        <w:rPr>
          <w:rFonts w:cs="Times New Roman"/>
          <w:lang w:val="fr-CA"/>
        </w:rPr>
        <w:t xml:space="preserve"> </w:t>
      </w:r>
      <w:proofErr w:type="spellStart"/>
      <w:r w:rsidRPr="009B2D0F">
        <w:rPr>
          <w:rFonts w:cs="Times New Roman"/>
          <w:i/>
          <w:lang w:val="fr-CA"/>
        </w:rPr>
        <w:t>Yeoman</w:t>
      </w:r>
      <w:r>
        <w:rPr>
          <w:rFonts w:cs="Times New Roman"/>
          <w:i/>
          <w:lang w:val="fr-CA"/>
        </w:rPr>
        <w:t>’</w:t>
      </w:r>
      <w:r w:rsidRPr="009B2D0F">
        <w:rPr>
          <w:rFonts w:cs="Times New Roman"/>
          <w:i/>
          <w:lang w:val="fr-CA"/>
        </w:rPr>
        <w:t>s</w:t>
      </w:r>
      <w:proofErr w:type="spellEnd"/>
      <w:r w:rsidRPr="009B2D0F">
        <w:rPr>
          <w:rFonts w:cs="Times New Roman"/>
          <w:i/>
          <w:lang w:val="fr-CA"/>
        </w:rPr>
        <w:t xml:space="preserve"> </w:t>
      </w:r>
      <w:proofErr w:type="spellStart"/>
      <w:r w:rsidRPr="009B2D0F">
        <w:rPr>
          <w:rFonts w:cs="Times New Roman"/>
          <w:i/>
          <w:lang w:val="fr-CA"/>
        </w:rPr>
        <w:t>Row</w:t>
      </w:r>
      <w:proofErr w:type="spellEnd"/>
      <w:r w:rsidRPr="009B2D0F">
        <w:rPr>
          <w:rFonts w:cs="Times New Roman"/>
          <w:i/>
          <w:lang w:val="fr-CA"/>
        </w:rPr>
        <w:t xml:space="preserve"> Management Ltd.</w:t>
      </w:r>
      <w:r w:rsidRPr="009B2D0F">
        <w:rPr>
          <w:rFonts w:cs="Times New Roman"/>
          <w:lang w:val="fr-CA"/>
        </w:rPr>
        <w:t xml:space="preserve">, [2008] UKHL 55, [2008] 1 W.L.R. 1752, </w:t>
      </w:r>
      <w:r>
        <w:rPr>
          <w:rFonts w:cs="Times New Roman"/>
          <w:lang w:val="fr-CA"/>
        </w:rPr>
        <w:t>par. </w:t>
      </w:r>
      <w:r w:rsidRPr="009B2D0F">
        <w:rPr>
          <w:rFonts w:cs="Times New Roman"/>
          <w:lang w:val="fr-CA"/>
        </w:rPr>
        <w:t xml:space="preserve">20, lord Scott). </w:t>
      </w:r>
      <w:r w:rsidRPr="009B2D0F">
        <w:rPr>
          <w:rFonts w:cs="Times New Roman"/>
          <w:szCs w:val="24"/>
          <w:lang w:val="fr-CA"/>
        </w:rPr>
        <w:t>Or, la réponse à la question de savoir si tel est le cas dépendra du contexte, et non de restrictions théoriques préalables. La règle de démarcation très nette proposée par les juges majoritaires de la Cour d</w:t>
      </w:r>
      <w:r>
        <w:rPr>
          <w:rFonts w:cs="Times New Roman"/>
          <w:szCs w:val="24"/>
          <w:lang w:val="fr-CA"/>
        </w:rPr>
        <w:t>’</w:t>
      </w:r>
      <w:r w:rsidRPr="009B2D0F">
        <w:rPr>
          <w:rFonts w:cs="Times New Roman"/>
          <w:szCs w:val="24"/>
          <w:lang w:val="fr-CA"/>
        </w:rPr>
        <w:t xml:space="preserve">appel — à savoir </w:t>
      </w:r>
      <w:r w:rsidRPr="009B2D0F">
        <w:rPr>
          <w:rFonts w:cs="Times New Roman"/>
          <w:szCs w:val="24"/>
          <w:lang w:val="fr-CA"/>
        </w:rPr>
        <w:lastRenderedPageBreak/>
        <w:t>qu</w:t>
      </w:r>
      <w:r>
        <w:rPr>
          <w:rFonts w:cs="Times New Roman"/>
          <w:szCs w:val="24"/>
          <w:lang w:val="fr-CA"/>
        </w:rPr>
        <w:t>’</w:t>
      </w:r>
      <w:r w:rsidRPr="009B2D0F">
        <w:rPr>
          <w:rFonts w:cs="Times New Roman"/>
          <w:szCs w:val="24"/>
          <w:lang w:val="fr-CA"/>
        </w:rPr>
        <w:t xml:space="preserve">il ne peut </w:t>
      </w:r>
      <w:r w:rsidRPr="009B2D0F">
        <w:rPr>
          <w:rFonts w:cs="Times New Roman"/>
          <w:i/>
          <w:szCs w:val="24"/>
          <w:lang w:val="fr-CA"/>
        </w:rPr>
        <w:t>jamais</w:t>
      </w:r>
      <w:r w:rsidRPr="009B2D0F">
        <w:rPr>
          <w:rFonts w:cs="Times New Roman"/>
          <w:szCs w:val="24"/>
          <w:lang w:val="fr-CA"/>
        </w:rPr>
        <w:t xml:space="preserve"> être raisonnable de se fier à une promesse faite par une partie n</w:t>
      </w:r>
      <w:r>
        <w:rPr>
          <w:rFonts w:cs="Times New Roman"/>
          <w:szCs w:val="24"/>
          <w:lang w:val="fr-CA"/>
        </w:rPr>
        <w:t>’</w:t>
      </w:r>
      <w:r w:rsidRPr="009B2D0F">
        <w:rPr>
          <w:rFonts w:cs="Times New Roman"/>
          <w:szCs w:val="24"/>
          <w:lang w:val="fr-CA"/>
        </w:rPr>
        <w:t xml:space="preserve">ayant aucun intérêt actuel dans un bien — </w:t>
      </w:r>
      <w:r w:rsidRPr="009B2D0F">
        <w:rPr>
          <w:rFonts w:cs="Times New Roman"/>
          <w:lang w:val="fr-CA"/>
        </w:rPr>
        <w:t>est incompatible avec l</w:t>
      </w:r>
      <w:r>
        <w:rPr>
          <w:rFonts w:cs="Times New Roman"/>
          <w:lang w:val="fr-CA"/>
        </w:rPr>
        <w:t>’</w:t>
      </w:r>
      <w:r w:rsidRPr="009B2D0F">
        <w:rPr>
          <w:rFonts w:cs="Times New Roman"/>
          <w:lang w:val="fr-CA"/>
        </w:rPr>
        <w:t>objet de l</w:t>
      </w:r>
      <w:r>
        <w:rPr>
          <w:rFonts w:cs="Times New Roman"/>
          <w:lang w:val="fr-CA"/>
        </w:rPr>
        <w:t>’</w:t>
      </w:r>
      <w:proofErr w:type="spellStart"/>
      <w:r w:rsidRPr="009B2D0F">
        <w:rPr>
          <w:rFonts w:cs="Times New Roman"/>
          <w:lang w:val="fr-CA"/>
        </w:rPr>
        <w:t>equity</w:t>
      </w:r>
      <w:proofErr w:type="spellEnd"/>
      <w:r w:rsidRPr="009B2D0F">
        <w:rPr>
          <w:rFonts w:cs="Times New Roman"/>
          <w:lang w:val="fr-CA"/>
        </w:rPr>
        <w:t xml:space="preserve">, </w:t>
      </w:r>
      <w:r w:rsidRPr="009B2D0F">
        <w:rPr>
          <w:rFonts w:cs="Times New Roman"/>
          <w:szCs w:val="24"/>
          <w:lang w:val="fr-CA"/>
        </w:rPr>
        <w:t>lequel consiste à atténuer les effets draconiens du droit strict.</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szCs w:val="24"/>
          <w:lang w:val="fr-CA"/>
        </w:rPr>
        <w:t>La question de savoir si, dans une affaire donnée, l</w:t>
      </w:r>
      <w:r>
        <w:rPr>
          <w:rFonts w:cs="Times New Roman"/>
          <w:szCs w:val="24"/>
          <w:lang w:val="fr-CA"/>
        </w:rPr>
        <w:t>’</w:t>
      </w:r>
      <w:r w:rsidRPr="009B2D0F">
        <w:rPr>
          <w:rFonts w:cs="Times New Roman"/>
          <w:szCs w:val="24"/>
          <w:lang w:val="fr-CA"/>
        </w:rPr>
        <w:t>acte de confiance du demandeur était raisonnable dans les circonstances est une question mixte de fait et de droit. La décision du juge de première instance à cet égard commande la déférence, sauf si elle est entachée d</w:t>
      </w:r>
      <w:r>
        <w:rPr>
          <w:rFonts w:cs="Times New Roman"/>
          <w:szCs w:val="24"/>
          <w:lang w:val="fr-CA"/>
        </w:rPr>
        <w:t>’</w:t>
      </w:r>
      <w:r w:rsidRPr="009B2D0F">
        <w:rPr>
          <w:rFonts w:cs="Times New Roman"/>
          <w:szCs w:val="24"/>
          <w:lang w:val="fr-CA"/>
        </w:rPr>
        <w:t>une erreur manifeste et dominante (</w:t>
      </w:r>
      <w:r w:rsidR="00D45562">
        <w:rPr>
          <w:rFonts w:cs="Times New Roman"/>
          <w:szCs w:val="24"/>
          <w:lang w:val="fr-CA"/>
        </w:rPr>
        <w:t xml:space="preserve">voir </w:t>
      </w:r>
      <w:proofErr w:type="spellStart"/>
      <w:r w:rsidRPr="009B2D0F">
        <w:rPr>
          <w:rFonts w:cs="Times New Roman"/>
          <w:i/>
          <w:szCs w:val="24"/>
          <w:lang w:val="fr-CA"/>
        </w:rPr>
        <w:t>Housen</w:t>
      </w:r>
      <w:proofErr w:type="spellEnd"/>
      <w:r w:rsidRPr="009B2D0F">
        <w:rPr>
          <w:rFonts w:cs="Times New Roman"/>
          <w:i/>
          <w:szCs w:val="24"/>
          <w:lang w:val="fr-CA"/>
        </w:rPr>
        <w:t xml:space="preserve"> c. </w:t>
      </w:r>
      <w:proofErr w:type="spellStart"/>
      <w:r w:rsidRPr="009B2D0F">
        <w:rPr>
          <w:rFonts w:cs="Times New Roman"/>
          <w:i/>
          <w:szCs w:val="24"/>
          <w:lang w:val="fr-CA"/>
        </w:rPr>
        <w:t>Nikolaisen</w:t>
      </w:r>
      <w:proofErr w:type="spellEnd"/>
      <w:r w:rsidRPr="009B2D0F">
        <w:rPr>
          <w:rFonts w:cs="Times New Roman"/>
          <w:szCs w:val="24"/>
          <w:lang w:val="fr-CA"/>
        </w:rPr>
        <w:t xml:space="preserve">, 2002 CSC 33, [2002] 2 R.C.S. 235, </w:t>
      </w:r>
      <w:r>
        <w:rPr>
          <w:rFonts w:cs="Times New Roman"/>
          <w:szCs w:val="24"/>
          <w:lang w:val="fr-CA"/>
        </w:rPr>
        <w:t>par. </w:t>
      </w:r>
      <w:r w:rsidRPr="009B2D0F">
        <w:rPr>
          <w:rFonts w:cs="Times New Roman"/>
          <w:szCs w:val="24"/>
          <w:lang w:val="fr-CA"/>
        </w:rPr>
        <w:t>36).</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szCs w:val="24"/>
          <w:lang w:val="fr-CA"/>
        </w:rPr>
        <w:t>Dans la présente affaire, il ressort des conclusions de la juge de première instance que Max et Gloria avaient tous deux clairement compris depuis plus d</w:t>
      </w:r>
      <w:r>
        <w:rPr>
          <w:rFonts w:cs="Times New Roman"/>
          <w:szCs w:val="24"/>
          <w:lang w:val="fr-CA"/>
        </w:rPr>
        <w:t>’</w:t>
      </w:r>
      <w:r w:rsidRPr="009B2D0F">
        <w:rPr>
          <w:rFonts w:cs="Times New Roman"/>
          <w:szCs w:val="24"/>
          <w:lang w:val="fr-CA"/>
        </w:rPr>
        <w:t>une décennie que la succession de leur mère, y compris la maison dans laquelle celle</w:t>
      </w:r>
      <w:r>
        <w:rPr>
          <w:rFonts w:cs="Times New Roman"/>
          <w:szCs w:val="24"/>
          <w:lang w:val="fr-CA"/>
        </w:rPr>
        <w:noBreakHyphen/>
      </w:r>
      <w:r w:rsidRPr="009B2D0F">
        <w:rPr>
          <w:rFonts w:cs="Times New Roman"/>
          <w:szCs w:val="24"/>
          <w:lang w:val="fr-CA"/>
        </w:rPr>
        <w:t>ci vivait, serait partagée également entre ses trois enfants à son décès.</w:t>
      </w:r>
      <w:r w:rsidRPr="009B2D0F">
        <w:rPr>
          <w:rFonts w:cs="Times New Roman"/>
          <w:lang w:val="fr-CA"/>
        </w:rPr>
        <w:t xml:space="preserve"> Nathan, Max et l</w:t>
      </w:r>
      <w:r>
        <w:rPr>
          <w:rFonts w:cs="Times New Roman"/>
          <w:lang w:val="fr-CA"/>
        </w:rPr>
        <w:t>’</w:t>
      </w:r>
      <w:r w:rsidRPr="009B2D0F">
        <w:rPr>
          <w:rFonts w:cs="Times New Roman"/>
          <w:lang w:val="fr-CA"/>
        </w:rPr>
        <w:t>ex</w:t>
      </w:r>
      <w:r>
        <w:rPr>
          <w:rFonts w:cs="Times New Roman"/>
          <w:lang w:val="fr-CA"/>
        </w:rPr>
        <w:noBreakHyphen/>
      </w:r>
      <w:r w:rsidRPr="009B2D0F">
        <w:rPr>
          <w:rFonts w:cs="Times New Roman"/>
          <w:lang w:val="fr-CA"/>
        </w:rPr>
        <w:t>femme de Max ont tous trois témoigné avoir eu avec Elizabeth et Arthur, juste avant le décès de ce dernier en 1992, une conversation au cours de laquelle les deux parents avaient clairement dit que tous leurs avoirs seraient partagés également entre leurs trois enfants au décès d</w:t>
      </w:r>
      <w:r>
        <w:rPr>
          <w:rFonts w:cs="Times New Roman"/>
          <w:lang w:val="fr-CA"/>
        </w:rPr>
        <w:t>’</w:t>
      </w:r>
      <w:r w:rsidRPr="009B2D0F">
        <w:rPr>
          <w:rFonts w:cs="Times New Roman"/>
          <w:lang w:val="fr-CA"/>
        </w:rPr>
        <w:t>Elizabeth. Max a ajouté qu</w:t>
      </w:r>
      <w:r>
        <w:rPr>
          <w:rFonts w:cs="Times New Roman"/>
          <w:lang w:val="fr-CA"/>
        </w:rPr>
        <w:t>’</w:t>
      </w:r>
      <w:r w:rsidRPr="009B2D0F">
        <w:rPr>
          <w:rFonts w:cs="Times New Roman"/>
          <w:lang w:val="fr-CA"/>
        </w:rPr>
        <w:t>Elizabeth le lui avait confirmé en 2002. Gloria a concédé au procès qu</w:t>
      </w:r>
      <w:r>
        <w:rPr>
          <w:rFonts w:cs="Times New Roman"/>
          <w:lang w:val="fr-CA"/>
        </w:rPr>
        <w:t>’</w:t>
      </w:r>
      <w:r w:rsidRPr="009B2D0F">
        <w:rPr>
          <w:rFonts w:cs="Times New Roman"/>
          <w:lang w:val="fr-CA"/>
        </w:rPr>
        <w:t>au cours des années ayant précédé le décès de sa mère, elle avait fait des déclarations exprimant la même attente. Ce n</w:t>
      </w:r>
      <w:r>
        <w:rPr>
          <w:rFonts w:cs="Times New Roman"/>
          <w:lang w:val="fr-CA"/>
        </w:rPr>
        <w:t>’</w:t>
      </w:r>
      <w:r w:rsidRPr="009B2D0F">
        <w:rPr>
          <w:rFonts w:cs="Times New Roman"/>
          <w:lang w:val="fr-CA"/>
        </w:rPr>
        <w:t>est qu</w:t>
      </w:r>
      <w:r>
        <w:rPr>
          <w:rFonts w:cs="Times New Roman"/>
          <w:lang w:val="fr-CA"/>
        </w:rPr>
        <w:t>’</w:t>
      </w:r>
      <w:r w:rsidRPr="009B2D0F">
        <w:rPr>
          <w:rFonts w:cs="Times New Roman"/>
          <w:lang w:val="fr-CA"/>
        </w:rPr>
        <w:t>en avril 2011 qu</w:t>
      </w:r>
      <w:r>
        <w:rPr>
          <w:rFonts w:cs="Times New Roman"/>
          <w:lang w:val="fr-CA"/>
        </w:rPr>
        <w:t>’</w:t>
      </w:r>
      <w:r w:rsidRPr="009B2D0F">
        <w:rPr>
          <w:rFonts w:cs="Times New Roman"/>
          <w:lang w:val="fr-CA"/>
        </w:rPr>
        <w:t>elle s</w:t>
      </w:r>
      <w:r>
        <w:rPr>
          <w:rFonts w:cs="Times New Roman"/>
          <w:lang w:val="fr-CA"/>
        </w:rPr>
        <w:t>’</w:t>
      </w:r>
      <w:r w:rsidRPr="009B2D0F">
        <w:rPr>
          <w:rFonts w:cs="Times New Roman"/>
          <w:lang w:val="fr-CA"/>
        </w:rPr>
        <w:t>est écartée de cette position, et a affirmé qu</w:t>
      </w:r>
      <w:r>
        <w:rPr>
          <w:rFonts w:cs="Times New Roman"/>
          <w:lang w:val="fr-CA"/>
        </w:rPr>
        <w:t>’</w:t>
      </w:r>
      <w:r w:rsidRPr="009B2D0F">
        <w:rPr>
          <w:rFonts w:cs="Times New Roman"/>
          <w:lang w:val="fr-CA"/>
        </w:rPr>
        <w:t xml:space="preserve">elle avait droit à </w:t>
      </w:r>
      <w:r w:rsidRPr="009B2D0F">
        <w:rPr>
          <w:rFonts w:cs="Times New Roman"/>
          <w:i/>
          <w:lang w:val="fr-CA"/>
        </w:rPr>
        <w:t>l</w:t>
      </w:r>
      <w:r>
        <w:rPr>
          <w:rFonts w:cs="Times New Roman"/>
          <w:i/>
          <w:lang w:val="fr-CA"/>
        </w:rPr>
        <w:t>’</w:t>
      </w:r>
      <w:r w:rsidRPr="009B2D0F">
        <w:rPr>
          <w:rFonts w:cs="Times New Roman"/>
          <w:i/>
          <w:lang w:val="fr-CA"/>
        </w:rPr>
        <w:t>ensemble</w:t>
      </w:r>
      <w:r w:rsidRPr="009B2D0F">
        <w:rPr>
          <w:rFonts w:cs="Times New Roman"/>
          <w:lang w:val="fr-CA"/>
        </w:rPr>
        <w:t xml:space="preserve"> du patrimoine de sa mère, y compris la maison.</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lastRenderedPageBreak/>
        <w:t>Il était donc suffisamment certain que Gloria hériterait d</w:t>
      </w:r>
      <w:r>
        <w:rPr>
          <w:rFonts w:cs="Times New Roman"/>
          <w:lang w:val="fr-CA"/>
        </w:rPr>
        <w:t>’</w:t>
      </w:r>
      <w:r w:rsidRPr="009B2D0F">
        <w:rPr>
          <w:rFonts w:cs="Times New Roman"/>
          <w:lang w:val="fr-CA"/>
        </w:rPr>
        <w:t>un intérêt sur le tiers de la propriété pour que l</w:t>
      </w:r>
      <w:r>
        <w:rPr>
          <w:rFonts w:cs="Times New Roman"/>
          <w:lang w:val="fr-CA"/>
        </w:rPr>
        <w:t>’</w:t>
      </w:r>
      <w:r w:rsidRPr="009B2D0F">
        <w:rPr>
          <w:rFonts w:cs="Times New Roman"/>
          <w:lang w:val="fr-CA"/>
        </w:rPr>
        <w:t>assurance qu</w:t>
      </w:r>
      <w:r>
        <w:rPr>
          <w:rFonts w:cs="Times New Roman"/>
          <w:lang w:val="fr-CA"/>
        </w:rPr>
        <w:t>’</w:t>
      </w:r>
      <w:r w:rsidRPr="009B2D0F">
        <w:rPr>
          <w:rFonts w:cs="Times New Roman"/>
          <w:lang w:val="fr-CA"/>
        </w:rPr>
        <w:t>elle avait donnée soit sérieusement considérée par Max comme une assurance à laquelle il pouvait se fier. Max et Gloria ont négocié longtemps avant que Max ne renonce à sa vie en Angleterre pour retourner à Victoria. Gloria lui a promis sans équivoque qu</w:t>
      </w:r>
      <w:r>
        <w:rPr>
          <w:rFonts w:cs="Times New Roman"/>
          <w:lang w:val="fr-CA"/>
        </w:rPr>
        <w:t>’</w:t>
      </w:r>
      <w:r w:rsidRPr="009B2D0F">
        <w:rPr>
          <w:rFonts w:cs="Times New Roman"/>
          <w:lang w:val="fr-CA"/>
        </w:rPr>
        <w:t>il pourrait acquérir sa part de la propriété s</w:t>
      </w:r>
      <w:r>
        <w:rPr>
          <w:rFonts w:cs="Times New Roman"/>
          <w:lang w:val="fr-CA"/>
        </w:rPr>
        <w:t>’</w:t>
      </w:r>
      <w:r w:rsidRPr="009B2D0F">
        <w:rPr>
          <w:rFonts w:cs="Times New Roman"/>
          <w:lang w:val="fr-CA"/>
        </w:rPr>
        <w:t>il le faisait. Elle a pris cet engagement, entre autres, pour l</w:t>
      </w:r>
      <w:r>
        <w:rPr>
          <w:rFonts w:cs="Times New Roman"/>
          <w:lang w:val="fr-CA"/>
        </w:rPr>
        <w:t>’</w:t>
      </w:r>
      <w:r w:rsidRPr="009B2D0F">
        <w:rPr>
          <w:rFonts w:cs="Times New Roman"/>
          <w:lang w:val="fr-CA"/>
        </w:rPr>
        <w:t>inciter à retourner vivre dans la maison familiale. À cet égard, elle a réussi. Je ne vois aucune raison d</w:t>
      </w:r>
      <w:r>
        <w:rPr>
          <w:rFonts w:cs="Times New Roman"/>
          <w:lang w:val="fr-CA"/>
        </w:rPr>
        <w:t>’</w:t>
      </w:r>
      <w:r w:rsidRPr="009B2D0F">
        <w:rPr>
          <w:rFonts w:cs="Times New Roman"/>
          <w:lang w:val="fr-CA"/>
        </w:rPr>
        <w:t>infirmer la conclusion de la juge de première instance selon laquelle, dans les circonstances, l</w:t>
      </w:r>
      <w:r>
        <w:rPr>
          <w:rFonts w:cs="Times New Roman"/>
          <w:lang w:val="fr-CA"/>
        </w:rPr>
        <w:t>’</w:t>
      </w:r>
      <w:r w:rsidRPr="009B2D0F">
        <w:rPr>
          <w:rFonts w:cs="Times New Roman"/>
          <w:lang w:val="fr-CA"/>
        </w:rPr>
        <w:t>acte de confiance de Max était raisonnable.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Max s</w:t>
      </w:r>
      <w:r>
        <w:rPr>
          <w:rFonts w:cs="Times New Roman"/>
          <w:lang w:val="fr-CA"/>
        </w:rPr>
        <w:t>’</w:t>
      </w:r>
      <w:r w:rsidRPr="009B2D0F">
        <w:rPr>
          <w:rFonts w:cs="Times New Roman"/>
          <w:lang w:val="fr-CA"/>
        </w:rPr>
        <w:t>est raisonnablement appuyé sur le fait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attendait à pouvoir acquérir l</w:t>
      </w:r>
      <w:r>
        <w:rPr>
          <w:rFonts w:cs="Times New Roman"/>
          <w:lang w:val="fr-CA"/>
        </w:rPr>
        <w:t>’</w:t>
      </w:r>
      <w:r w:rsidRPr="009B2D0F">
        <w:rPr>
          <w:rFonts w:cs="Times New Roman"/>
          <w:lang w:val="fr-CA"/>
        </w:rPr>
        <w:t>intérêt de Gloria dans la propriété une fois que la succession de leur mère aurait été administrée de la manière habituelle. Gloria est à l</w:t>
      </w:r>
      <w:r>
        <w:rPr>
          <w:rFonts w:cs="Times New Roman"/>
          <w:lang w:val="fr-CA"/>
        </w:rPr>
        <w:t>’</w:t>
      </w:r>
      <w:r w:rsidRPr="009B2D0F">
        <w:rPr>
          <w:rFonts w:cs="Times New Roman"/>
          <w:lang w:val="fr-CA"/>
        </w:rPr>
        <w:t>origine de cette attente. Elle a fait cette promesse avant que Max ne quitte l</w:t>
      </w:r>
      <w:r>
        <w:rPr>
          <w:rFonts w:cs="Times New Roman"/>
          <w:lang w:val="fr-CA"/>
        </w:rPr>
        <w:t>’</w:t>
      </w:r>
      <w:r w:rsidRPr="009B2D0F">
        <w:rPr>
          <w:rFonts w:cs="Times New Roman"/>
          <w:lang w:val="fr-CA"/>
        </w:rPr>
        <w:t xml:space="preserve">Angleterre pour retourner à Victoria. Max a de ce fait subi un </w:t>
      </w:r>
      <w:r w:rsidRPr="001F2942">
        <w:rPr>
          <w:rFonts w:cs="Times New Roman"/>
          <w:lang w:val="fr-CA"/>
        </w:rPr>
        <w:t>préjudice</w:t>
      </w:r>
      <w:r w:rsidRPr="009B2D0F">
        <w:rPr>
          <w:rFonts w:cs="Times New Roman"/>
          <w:lang w:val="fr-CA"/>
        </w:rPr>
        <w:t>, de sorte qu</w:t>
      </w:r>
      <w:r>
        <w:rPr>
          <w:rFonts w:cs="Times New Roman"/>
          <w:lang w:val="fr-CA"/>
        </w:rPr>
        <w:t>’</w:t>
      </w:r>
      <w:r w:rsidRPr="009B2D0F">
        <w:rPr>
          <w:rFonts w:cs="Times New Roman"/>
          <w:lang w:val="fr-CA"/>
        </w:rPr>
        <w:t xml:space="preserve">il serait inéquitable ou injuste de permettre à Gloria de manquer à sa parole. Un droit en </w:t>
      </w:r>
      <w:proofErr w:type="spellStart"/>
      <w:r w:rsidRPr="009B2D0F">
        <w:rPr>
          <w:rFonts w:cs="Times New Roman"/>
          <w:lang w:val="fr-CA"/>
        </w:rPr>
        <w:t>equity</w:t>
      </w:r>
      <w:proofErr w:type="spellEnd"/>
      <w:r w:rsidRPr="009B2D0F">
        <w:rPr>
          <w:rFonts w:cs="Times New Roman"/>
          <w:lang w:val="fr-CA"/>
        </w:rPr>
        <w:t xml:space="preserve"> a donc pris naissance en faveur de Max. C</w:t>
      </w:r>
      <w:r>
        <w:rPr>
          <w:rFonts w:cs="Times New Roman"/>
          <w:lang w:val="fr-CA"/>
        </w:rPr>
        <w:t>’</w:t>
      </w:r>
      <w:r w:rsidRPr="009B2D0F">
        <w:rPr>
          <w:rFonts w:cs="Times New Roman"/>
          <w:lang w:val="fr-CA"/>
        </w:rPr>
        <w:t xml:space="preserve">est ce droit en </w:t>
      </w:r>
      <w:proofErr w:type="spellStart"/>
      <w:r w:rsidRPr="009B2D0F">
        <w:rPr>
          <w:rFonts w:cs="Times New Roman"/>
          <w:lang w:val="fr-CA"/>
        </w:rPr>
        <w:t>equity</w:t>
      </w:r>
      <w:proofErr w:type="spellEnd"/>
      <w:r w:rsidRPr="009B2D0F">
        <w:rPr>
          <w:rFonts w:cs="Times New Roman"/>
          <w:lang w:val="fr-CA"/>
        </w:rPr>
        <w:t xml:space="preserve"> que la </w:t>
      </w:r>
      <w:proofErr w:type="spellStart"/>
      <w:r w:rsidRPr="009B2D0F">
        <w:rPr>
          <w:rFonts w:cs="Times New Roman"/>
          <w:lang w:val="fr-CA"/>
        </w:rPr>
        <w:t>préclusion</w:t>
      </w:r>
      <w:proofErr w:type="spellEnd"/>
      <w:r w:rsidRPr="009B2D0F">
        <w:rPr>
          <w:rFonts w:cs="Times New Roman"/>
          <w:lang w:val="fr-CA"/>
        </w:rPr>
        <w:t xml:space="preserve"> propriétale protégera si les éléments d</w:t>
      </w:r>
      <w:r>
        <w:rPr>
          <w:rFonts w:cs="Times New Roman"/>
          <w:lang w:val="fr-CA"/>
        </w:rPr>
        <w:t>’</w:t>
      </w:r>
      <w:r w:rsidRPr="009B2D0F">
        <w:rPr>
          <w:rFonts w:cs="Times New Roman"/>
          <w:lang w:val="fr-CA"/>
        </w:rPr>
        <w:t>une telle préclusion sont établis.</w:t>
      </w:r>
    </w:p>
    <w:p w:rsidR="00987842" w:rsidRPr="009B2D0F" w:rsidRDefault="00987842" w:rsidP="00987842">
      <w:pPr>
        <w:pStyle w:val="Title2LevelTitre2Niveau"/>
        <w:rPr>
          <w:rFonts w:cs="Times New Roman"/>
          <w:lang w:val="fr-CA"/>
        </w:rPr>
      </w:pPr>
      <w:r w:rsidRPr="009B2D0F">
        <w:rPr>
          <w:rFonts w:cs="Times New Roman"/>
          <w:lang w:val="fr-CA"/>
        </w:rPr>
        <w:t>La préclusion propriétale protège</w:t>
      </w:r>
      <w:r>
        <w:rPr>
          <w:rFonts w:cs="Times New Roman"/>
          <w:lang w:val="fr-CA"/>
        </w:rPr>
        <w:noBreakHyphen/>
      </w:r>
      <w:r w:rsidRPr="009B2D0F">
        <w:rPr>
          <w:rFonts w:cs="Times New Roman"/>
          <w:lang w:val="fr-CA"/>
        </w:rPr>
        <w:t>t</w:t>
      </w:r>
      <w:r>
        <w:rPr>
          <w:rFonts w:cs="Times New Roman"/>
          <w:lang w:val="fr-CA"/>
        </w:rPr>
        <w:noBreakHyphen/>
      </w:r>
      <w:r w:rsidRPr="009B2D0F">
        <w:rPr>
          <w:rFonts w:cs="Times New Roman"/>
          <w:lang w:val="fr-CA"/>
        </w:rPr>
        <w:t xml:space="preserve">elle le droit en </w:t>
      </w:r>
      <w:proofErr w:type="spellStart"/>
      <w:r w:rsidRPr="009B2D0F">
        <w:rPr>
          <w:rFonts w:cs="Times New Roman"/>
          <w:lang w:val="fr-CA"/>
        </w:rPr>
        <w:t>equity</w:t>
      </w:r>
      <w:proofErr w:type="spellEnd"/>
      <w:r w:rsidRPr="009B2D0F">
        <w:rPr>
          <w:rFonts w:cs="Times New Roman"/>
          <w:lang w:val="fr-CA"/>
        </w:rPr>
        <w:t xml:space="preserve"> en cause?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Pour trancher la question de savoir si les éléments de la préclusion propriétale sont établis en l</w:t>
      </w:r>
      <w:r>
        <w:rPr>
          <w:rFonts w:cs="Times New Roman"/>
          <w:lang w:val="fr-CA"/>
        </w:rPr>
        <w:t>’</w:t>
      </w:r>
      <w:r w:rsidRPr="009B2D0F">
        <w:rPr>
          <w:rFonts w:cs="Times New Roman"/>
          <w:lang w:val="fr-CA"/>
        </w:rPr>
        <w:t>espèce, il faut se demander si, au moment de l</w:t>
      </w:r>
      <w:r>
        <w:rPr>
          <w:rFonts w:cs="Times New Roman"/>
          <w:lang w:val="fr-CA"/>
        </w:rPr>
        <w:t>’</w:t>
      </w:r>
      <w:r w:rsidRPr="009B2D0F">
        <w:rPr>
          <w:rFonts w:cs="Times New Roman"/>
          <w:lang w:val="fr-CA"/>
        </w:rPr>
        <w:t>acte de confiance du demandeur, la partie à l</w:t>
      </w:r>
      <w:r>
        <w:rPr>
          <w:rFonts w:cs="Times New Roman"/>
          <w:lang w:val="fr-CA"/>
        </w:rPr>
        <w:t>’</w:t>
      </w:r>
      <w:r w:rsidRPr="009B2D0F">
        <w:rPr>
          <w:rFonts w:cs="Times New Roman"/>
          <w:lang w:val="fr-CA"/>
        </w:rPr>
        <w:t>origine du fait que ce dernier s</w:t>
      </w:r>
      <w:r>
        <w:rPr>
          <w:rFonts w:cs="Times New Roman"/>
          <w:lang w:val="fr-CA"/>
        </w:rPr>
        <w:t>’</w:t>
      </w:r>
      <w:r w:rsidRPr="009B2D0F">
        <w:rPr>
          <w:rFonts w:cs="Times New Roman"/>
          <w:lang w:val="fr-CA"/>
        </w:rPr>
        <w:t xml:space="preserve">attendait à </w:t>
      </w:r>
      <w:r w:rsidRPr="009B2D0F">
        <w:rPr>
          <w:rFonts w:cs="Times New Roman"/>
          <w:lang w:val="fr-CA"/>
        </w:rPr>
        <w:lastRenderedPageBreak/>
        <w:t>bénéficier d</w:t>
      </w:r>
      <w:r>
        <w:rPr>
          <w:rFonts w:cs="Times New Roman"/>
          <w:lang w:val="fr-CA"/>
        </w:rPr>
        <w:t>’</w:t>
      </w:r>
      <w:r w:rsidRPr="009B2D0F">
        <w:rPr>
          <w:rFonts w:cs="Times New Roman"/>
          <w:lang w:val="fr-CA"/>
        </w:rPr>
        <w:t>un droit ou d</w:t>
      </w:r>
      <w:r>
        <w:rPr>
          <w:rFonts w:cs="Times New Roman"/>
          <w:lang w:val="fr-CA"/>
        </w:rPr>
        <w:t>’</w:t>
      </w:r>
      <w:r w:rsidRPr="009B2D0F">
        <w:rPr>
          <w:rFonts w:cs="Times New Roman"/>
          <w:lang w:val="fr-CA"/>
        </w:rPr>
        <w:t>un avantage dans la propriété devait avoir dans celle</w:t>
      </w:r>
      <w:r>
        <w:rPr>
          <w:rFonts w:cs="Times New Roman"/>
          <w:lang w:val="fr-CA"/>
        </w:rPr>
        <w:noBreakHyphen/>
      </w:r>
      <w:r w:rsidRPr="009B2D0F">
        <w:rPr>
          <w:rFonts w:cs="Times New Roman"/>
          <w:lang w:val="fr-CA"/>
        </w:rPr>
        <w:t>ci un intérêt suffisant pour répondre à l</w:t>
      </w:r>
      <w:r>
        <w:rPr>
          <w:rFonts w:cs="Times New Roman"/>
          <w:lang w:val="fr-CA"/>
        </w:rPr>
        <w:t>’</w:t>
      </w:r>
      <w:r w:rsidRPr="009B2D0F">
        <w:rPr>
          <w:rFonts w:cs="Times New Roman"/>
          <w:lang w:val="fr-CA"/>
        </w:rPr>
        <w:t>attente du demandeur. Les juges majoritaires de la Cour d</w:t>
      </w:r>
      <w:r>
        <w:rPr>
          <w:rFonts w:cs="Times New Roman"/>
          <w:lang w:val="fr-CA"/>
        </w:rPr>
        <w:t>’</w:t>
      </w:r>
      <w:r w:rsidRPr="009B2D0F">
        <w:rPr>
          <w:rFonts w:cs="Times New Roman"/>
          <w:lang w:val="fr-CA"/>
        </w:rPr>
        <w:t>appel ont conclu que, comme Gloria ne possédait pas un tel intérêt au moment de l</w:t>
      </w:r>
      <w:r>
        <w:rPr>
          <w:rFonts w:cs="Times New Roman"/>
          <w:lang w:val="fr-CA"/>
        </w:rPr>
        <w:t>’</w:t>
      </w:r>
      <w:r w:rsidRPr="009B2D0F">
        <w:rPr>
          <w:rFonts w:cs="Times New Roman"/>
          <w:lang w:val="fr-CA"/>
        </w:rPr>
        <w:t xml:space="preserve">acte de confiance de Max, la demande fondée sur la préclusion propriétale ne pouvait être accueillie. Le juge </w:t>
      </w:r>
      <w:proofErr w:type="spellStart"/>
      <w:r w:rsidRPr="009B2D0F">
        <w:rPr>
          <w:rFonts w:cs="Times New Roman"/>
          <w:lang w:val="fr-CA"/>
        </w:rPr>
        <w:t>Willcock</w:t>
      </w:r>
      <w:proofErr w:type="spellEnd"/>
      <w:r w:rsidRPr="009B2D0F">
        <w:rPr>
          <w:rFonts w:cs="Times New Roman"/>
          <w:lang w:val="fr-CA"/>
        </w:rPr>
        <w:t xml:space="preserve"> a écrit ce qui suit au </w:t>
      </w:r>
      <w:r>
        <w:rPr>
          <w:rFonts w:cs="Times New Roman"/>
          <w:lang w:val="fr-CA"/>
        </w:rPr>
        <w:t>par. </w:t>
      </w:r>
      <w:r w:rsidRPr="009B2D0F">
        <w:rPr>
          <w:rFonts w:cs="Times New Roman"/>
          <w:lang w:val="fr-CA"/>
        </w:rPr>
        <w:t>117</w:t>
      </w:r>
      <w:r>
        <w:rPr>
          <w:rFonts w:cs="Times New Roman"/>
          <w:lang w:val="fr-CA"/>
        </w:rPr>
        <w:t> :</w:t>
      </w:r>
    </w:p>
    <w:p w:rsidR="00987842" w:rsidRPr="009B2D0F" w:rsidRDefault="00987842" w:rsidP="00987842">
      <w:pPr>
        <w:pStyle w:val="Citation-AltC"/>
        <w:tabs>
          <w:tab w:val="left" w:pos="1440"/>
        </w:tabs>
        <w:ind w:hanging="1166"/>
        <w:contextualSpacing w:val="0"/>
        <w:rPr>
          <w:lang w:val="fr-CA"/>
        </w:rPr>
      </w:pPr>
      <w:r>
        <w:rPr>
          <w:lang w:val="fr-CA"/>
        </w:rPr>
        <w:tab/>
      </w:r>
      <w:r>
        <w:rPr>
          <w:lang w:val="fr-CA"/>
        </w:rPr>
        <w:tab/>
      </w:r>
      <w:r w:rsidRPr="009B2D0F">
        <w:rPr>
          <w:lang w:val="fr-CA"/>
        </w:rPr>
        <w:t>[</w:t>
      </w:r>
      <w:r w:rsidRPr="009B2D0F">
        <w:rPr>
          <w:smallCaps/>
          <w:lang w:val="fr-CA"/>
        </w:rPr>
        <w:t>traduction</w:t>
      </w:r>
      <w:r w:rsidR="009B5F8D">
        <w:rPr>
          <w:lang w:val="fr-CA"/>
        </w:rPr>
        <w:t>] . . . j</w:t>
      </w:r>
      <w:r w:rsidRPr="009B2D0F">
        <w:rPr>
          <w:lang w:val="fr-CA"/>
        </w:rPr>
        <w:t>e ne vois aucune raison de principe d</w:t>
      </w:r>
      <w:r>
        <w:rPr>
          <w:lang w:val="fr-CA"/>
        </w:rPr>
        <w:t>’</w:t>
      </w:r>
      <w:r w:rsidRPr="009B2D0F">
        <w:rPr>
          <w:lang w:val="fr-CA"/>
        </w:rPr>
        <w:t>élargir la cause d</w:t>
      </w:r>
      <w:r>
        <w:rPr>
          <w:lang w:val="fr-CA"/>
        </w:rPr>
        <w:t>’</w:t>
      </w:r>
      <w:r w:rsidRPr="009B2D0F">
        <w:rPr>
          <w:lang w:val="fr-CA"/>
        </w:rPr>
        <w:t>action afin de permettre à une personne d</w:t>
      </w:r>
      <w:r>
        <w:rPr>
          <w:lang w:val="fr-CA"/>
        </w:rPr>
        <w:t>’</w:t>
      </w:r>
      <w:r w:rsidRPr="009B2D0F">
        <w:rPr>
          <w:lang w:val="fr-CA"/>
        </w:rPr>
        <w:t>acquérir un intérêt dans un bien du fait qu</w:t>
      </w:r>
      <w:r>
        <w:rPr>
          <w:lang w:val="fr-CA"/>
        </w:rPr>
        <w:t>’</w:t>
      </w:r>
      <w:r w:rsidRPr="009B2D0F">
        <w:rPr>
          <w:lang w:val="fr-CA"/>
        </w:rPr>
        <w:t>elle s</w:t>
      </w:r>
      <w:r>
        <w:rPr>
          <w:lang w:val="fr-CA"/>
        </w:rPr>
        <w:t>’</w:t>
      </w:r>
      <w:r w:rsidRPr="009B2D0F">
        <w:rPr>
          <w:lang w:val="fr-CA"/>
        </w:rPr>
        <w:t>est fiée à une assurance — donnée par un non</w:t>
      </w:r>
      <w:r>
        <w:rPr>
          <w:lang w:val="fr-CA"/>
        </w:rPr>
        <w:noBreakHyphen/>
      </w:r>
      <w:r w:rsidRPr="009B2D0F">
        <w:rPr>
          <w:lang w:val="fr-CA"/>
        </w:rPr>
        <w:t>titulaire d</w:t>
      </w:r>
      <w:r>
        <w:rPr>
          <w:lang w:val="fr-CA"/>
        </w:rPr>
        <w:t>’</w:t>
      </w:r>
      <w:r w:rsidRPr="009B2D0F">
        <w:rPr>
          <w:lang w:val="fr-CA"/>
        </w:rPr>
        <w:t>intérêt — qui ne constitue pas véritablement une obligation contractuelle. Un tel élargissement poserait problème, défaisant entièrement les liens qui rattachent au bien la seule préclusion susceptible d</w:t>
      </w:r>
      <w:r>
        <w:rPr>
          <w:lang w:val="fr-CA"/>
        </w:rPr>
        <w:t>’</w:t>
      </w:r>
      <w:r w:rsidRPr="009B2D0F">
        <w:rPr>
          <w:lang w:val="fr-CA"/>
        </w:rPr>
        <w:t>être utilisée comme moyen d</w:t>
      </w:r>
      <w:r>
        <w:rPr>
          <w:lang w:val="fr-CA"/>
        </w:rPr>
        <w:t>’</w:t>
      </w:r>
      <w:r w:rsidRPr="009B2D0F">
        <w:rPr>
          <w:lang w:val="fr-CA"/>
        </w:rPr>
        <w:t>attaque.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Je ne suis pas d</w:t>
      </w:r>
      <w:r>
        <w:rPr>
          <w:rFonts w:cs="Times New Roman"/>
          <w:lang w:val="fr-CA"/>
        </w:rPr>
        <w:t>’</w:t>
      </w:r>
      <w:r w:rsidRPr="009B2D0F">
        <w:rPr>
          <w:rFonts w:cs="Times New Roman"/>
          <w:lang w:val="fr-CA"/>
        </w:rPr>
        <w:t>accord. Soit dit</w:t>
      </w:r>
      <w:r w:rsidR="00A656B0">
        <w:rPr>
          <w:rFonts w:cs="Times New Roman"/>
          <w:lang w:val="fr-CA"/>
        </w:rPr>
        <w:t xml:space="preserve"> en</w:t>
      </w:r>
      <w:r w:rsidRPr="009B2D0F">
        <w:rPr>
          <w:rFonts w:cs="Times New Roman"/>
          <w:lang w:val="fr-CA"/>
        </w:rPr>
        <w:t xml:space="preserve"> tout respect, la conclusion à laquelle sont parvenus les juges majoritaires de la Cour d</w:t>
      </w:r>
      <w:r>
        <w:rPr>
          <w:rFonts w:cs="Times New Roman"/>
          <w:lang w:val="fr-CA"/>
        </w:rPr>
        <w:t>’</w:t>
      </w:r>
      <w:r w:rsidRPr="009B2D0F">
        <w:rPr>
          <w:rFonts w:cs="Times New Roman"/>
          <w:lang w:val="fr-CA"/>
        </w:rPr>
        <w:t xml:space="preserve">appel confond la préclusion propriétale et le droit en </w:t>
      </w:r>
      <w:proofErr w:type="spellStart"/>
      <w:r w:rsidRPr="009B2D0F">
        <w:rPr>
          <w:rFonts w:cs="Times New Roman"/>
          <w:lang w:val="fr-CA"/>
        </w:rPr>
        <w:t>equity</w:t>
      </w:r>
      <w:proofErr w:type="spellEnd"/>
      <w:r w:rsidRPr="009B2D0F">
        <w:rPr>
          <w:rFonts w:cs="Times New Roman"/>
          <w:lang w:val="fr-CA"/>
        </w:rPr>
        <w:t xml:space="preserve"> auquel elle donne effet. Que Gloria n</w:t>
      </w:r>
      <w:r>
        <w:rPr>
          <w:rFonts w:cs="Times New Roman"/>
          <w:lang w:val="fr-CA"/>
        </w:rPr>
        <w:t>’</w:t>
      </w:r>
      <w:r w:rsidRPr="009B2D0F">
        <w:rPr>
          <w:rFonts w:cs="Times New Roman"/>
          <w:lang w:val="fr-CA"/>
        </w:rPr>
        <w:t>ait pas eu d</w:t>
      </w:r>
      <w:r>
        <w:rPr>
          <w:rFonts w:cs="Times New Roman"/>
          <w:lang w:val="fr-CA"/>
        </w:rPr>
        <w:t>’</w:t>
      </w:r>
      <w:r w:rsidRPr="009B2D0F">
        <w:rPr>
          <w:rFonts w:cs="Times New Roman"/>
          <w:lang w:val="fr-CA"/>
        </w:rPr>
        <w:t>intérêt dans la propriété de sa mère au moment de l</w:t>
      </w:r>
      <w:r>
        <w:rPr>
          <w:rFonts w:cs="Times New Roman"/>
          <w:lang w:val="fr-CA"/>
        </w:rPr>
        <w:t>’</w:t>
      </w:r>
      <w:r w:rsidRPr="009B2D0F">
        <w:rPr>
          <w:rFonts w:cs="Times New Roman"/>
          <w:lang w:val="fr-CA"/>
        </w:rPr>
        <w:t>acte de confiance de Max n</w:t>
      </w:r>
      <w:r>
        <w:rPr>
          <w:rFonts w:cs="Times New Roman"/>
          <w:lang w:val="fr-CA"/>
        </w:rPr>
        <w:t>’</w:t>
      </w:r>
      <w:r w:rsidRPr="009B2D0F">
        <w:rPr>
          <w:rFonts w:cs="Times New Roman"/>
          <w:lang w:val="fr-CA"/>
        </w:rPr>
        <w:t xml:space="preserve">est pas déterminant en soi (voir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 xml:space="preserve">456; voir aussi </w:t>
      </w:r>
      <w:proofErr w:type="spellStart"/>
      <w:r w:rsidRPr="009B2D0F">
        <w:rPr>
          <w:rFonts w:cs="Times New Roman"/>
          <w:i/>
          <w:lang w:val="fr-CA"/>
        </w:rPr>
        <w:t>Thorner</w:t>
      </w:r>
      <w:proofErr w:type="spellEnd"/>
      <w:r w:rsidRPr="009B2D0F">
        <w:rPr>
          <w:rFonts w:cs="Times New Roman"/>
          <w:lang w:val="fr-CA"/>
        </w:rPr>
        <w:t xml:space="preserve">, </w:t>
      </w:r>
      <w:r>
        <w:rPr>
          <w:rFonts w:cs="Times New Roman"/>
          <w:lang w:val="fr-CA"/>
        </w:rPr>
        <w:t>par. </w:t>
      </w:r>
      <w:r w:rsidRPr="009B2D0F">
        <w:rPr>
          <w:rFonts w:cs="Times New Roman"/>
          <w:lang w:val="fr-CA"/>
        </w:rPr>
        <w:t xml:space="preserve">61, lord Walker; </w:t>
      </w:r>
      <w:proofErr w:type="spellStart"/>
      <w:r w:rsidRPr="009B2D0F">
        <w:rPr>
          <w:rFonts w:cs="Times New Roman"/>
          <w:i/>
          <w:lang w:val="fr-CA"/>
        </w:rPr>
        <w:t>Re</w:t>
      </w:r>
      <w:proofErr w:type="spellEnd"/>
      <w:r w:rsidRPr="009B2D0F">
        <w:rPr>
          <w:rFonts w:cs="Times New Roman"/>
          <w:i/>
          <w:lang w:val="fr-CA"/>
        </w:rPr>
        <w:t xml:space="preserve"> </w:t>
      </w:r>
      <w:proofErr w:type="spellStart"/>
      <w:r w:rsidRPr="009B2D0F">
        <w:rPr>
          <w:rFonts w:cs="Times New Roman"/>
          <w:i/>
          <w:lang w:val="fr-CA"/>
        </w:rPr>
        <w:t>Basham</w:t>
      </w:r>
      <w:proofErr w:type="spellEnd"/>
      <w:r w:rsidRPr="009B2D0F">
        <w:rPr>
          <w:rFonts w:cs="Times New Roman"/>
          <w:i/>
          <w:lang w:val="fr-CA"/>
        </w:rPr>
        <w:t xml:space="preserve"> (</w:t>
      </w:r>
      <w:proofErr w:type="spellStart"/>
      <w:r w:rsidRPr="009B2D0F">
        <w:rPr>
          <w:rFonts w:cs="Times New Roman"/>
          <w:i/>
          <w:lang w:val="fr-CA"/>
        </w:rPr>
        <w:t>deceased</w:t>
      </w:r>
      <w:proofErr w:type="spellEnd"/>
      <w:r w:rsidRPr="009B2D0F">
        <w:rPr>
          <w:rFonts w:cs="Times New Roman"/>
          <w:i/>
          <w:lang w:val="fr-CA"/>
        </w:rPr>
        <w:t>)</w:t>
      </w:r>
      <w:r w:rsidRPr="009B2D0F">
        <w:rPr>
          <w:rFonts w:cs="Times New Roman"/>
          <w:lang w:val="fr-CA"/>
        </w:rPr>
        <w:t>, [1987] 1 All E.R. 405 (Ch.),</w:t>
      </w:r>
      <w:r w:rsidRPr="009B2D0F">
        <w:rPr>
          <w:rFonts w:cs="Times New Roman"/>
          <w:i/>
          <w:lang w:val="fr-CA"/>
        </w:rPr>
        <w:t xml:space="preserve"> </w:t>
      </w:r>
      <w:r>
        <w:rPr>
          <w:rFonts w:cs="Times New Roman"/>
          <w:lang w:val="fr-CA"/>
        </w:rPr>
        <w:t>p. </w:t>
      </w:r>
      <w:r w:rsidRPr="009B2D0F">
        <w:rPr>
          <w:rFonts w:cs="Times New Roman"/>
          <w:lang w:val="fr-CA"/>
        </w:rPr>
        <w:t xml:space="preserve">415). Un droit en </w:t>
      </w:r>
      <w:proofErr w:type="spellStart"/>
      <w:r w:rsidRPr="009B2D0F">
        <w:rPr>
          <w:rFonts w:cs="Times New Roman"/>
          <w:lang w:val="fr-CA"/>
        </w:rPr>
        <w:t>equity</w:t>
      </w:r>
      <w:proofErr w:type="spellEnd"/>
      <w:r w:rsidRPr="009B2D0F">
        <w:rPr>
          <w:rFonts w:cs="Times New Roman"/>
          <w:lang w:val="fr-CA"/>
        </w:rPr>
        <w:t xml:space="preserve"> prend naissance lorsque le demandeur se fonde raisonnablement, </w:t>
      </w:r>
      <w:r w:rsidRPr="001F2942">
        <w:rPr>
          <w:rFonts w:cs="Times New Roman"/>
          <w:lang w:val="fr-CA"/>
        </w:rPr>
        <w:t>à son préjudice</w:t>
      </w:r>
      <w:r w:rsidRPr="009B2D0F">
        <w:rPr>
          <w:rFonts w:cs="Times New Roman"/>
          <w:lang w:val="fr-CA"/>
        </w:rPr>
        <w:t>, sur le fait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attend à bénéficier d</w:t>
      </w:r>
      <w:r>
        <w:rPr>
          <w:rFonts w:cs="Times New Roman"/>
          <w:lang w:val="fr-CA"/>
        </w:rPr>
        <w:t>’</w:t>
      </w:r>
      <w:r w:rsidRPr="009B2D0F">
        <w:rPr>
          <w:rFonts w:cs="Times New Roman"/>
          <w:lang w:val="fr-CA"/>
        </w:rPr>
        <w:t>un droit ou d</w:t>
      </w:r>
      <w:r>
        <w:rPr>
          <w:rFonts w:cs="Times New Roman"/>
          <w:lang w:val="fr-CA"/>
        </w:rPr>
        <w:t>’</w:t>
      </w:r>
      <w:r w:rsidRPr="009B2D0F">
        <w:rPr>
          <w:rFonts w:cs="Times New Roman"/>
          <w:lang w:val="fr-CA"/>
        </w:rPr>
        <w:t>un avantage dans un bien, que la partie à l</w:t>
      </w:r>
      <w:r>
        <w:rPr>
          <w:rFonts w:cs="Times New Roman"/>
          <w:lang w:val="fr-CA"/>
        </w:rPr>
        <w:t>’</w:t>
      </w:r>
      <w:r w:rsidRPr="009B2D0F">
        <w:rPr>
          <w:rFonts w:cs="Times New Roman"/>
          <w:lang w:val="fr-CA"/>
        </w:rPr>
        <w:t>origine de cette attente possède ou non un intérêt dans ce bien au moment de l</w:t>
      </w:r>
      <w:r>
        <w:rPr>
          <w:rFonts w:cs="Times New Roman"/>
          <w:lang w:val="fr-CA"/>
        </w:rPr>
        <w:t>’</w:t>
      </w:r>
      <w:r w:rsidRPr="009B2D0F">
        <w:rPr>
          <w:rFonts w:cs="Times New Roman"/>
          <w:lang w:val="fr-CA"/>
        </w:rPr>
        <w:t>acte de confiance du demandeur. Il est possible que la préclusion propriétale ne protège pas ce droit immédiatement. Il pourrait s</w:t>
      </w:r>
      <w:r>
        <w:rPr>
          <w:rFonts w:cs="Times New Roman"/>
          <w:lang w:val="fr-CA"/>
        </w:rPr>
        <w:t>’</w:t>
      </w:r>
      <w:r w:rsidRPr="009B2D0F">
        <w:rPr>
          <w:rFonts w:cs="Times New Roman"/>
          <w:lang w:val="fr-CA"/>
        </w:rPr>
        <w:t>écouler une très longue période avant qu</w:t>
      </w:r>
      <w:r>
        <w:rPr>
          <w:rFonts w:cs="Times New Roman"/>
          <w:lang w:val="fr-CA"/>
        </w:rPr>
        <w:t>’</w:t>
      </w:r>
      <w:r w:rsidRPr="009B2D0F">
        <w:rPr>
          <w:rFonts w:cs="Times New Roman"/>
          <w:lang w:val="fr-CA"/>
        </w:rPr>
        <w:t>elle le protège. Si la partie à l</w:t>
      </w:r>
      <w:r>
        <w:rPr>
          <w:rFonts w:cs="Times New Roman"/>
          <w:lang w:val="fr-CA"/>
        </w:rPr>
        <w:t>’</w:t>
      </w:r>
      <w:r w:rsidRPr="009B2D0F">
        <w:rPr>
          <w:rFonts w:cs="Times New Roman"/>
          <w:lang w:val="fr-CA"/>
        </w:rPr>
        <w:t>origine de l</w:t>
      </w:r>
      <w:r>
        <w:rPr>
          <w:rFonts w:cs="Times New Roman"/>
          <w:lang w:val="fr-CA"/>
        </w:rPr>
        <w:t>’</w:t>
      </w:r>
      <w:r w:rsidRPr="009B2D0F">
        <w:rPr>
          <w:rFonts w:cs="Times New Roman"/>
          <w:lang w:val="fr-CA"/>
        </w:rPr>
        <w:t>attente n</w:t>
      </w:r>
      <w:r>
        <w:rPr>
          <w:rFonts w:cs="Times New Roman"/>
          <w:lang w:val="fr-CA"/>
        </w:rPr>
        <w:t>’</w:t>
      </w:r>
      <w:r w:rsidRPr="009B2D0F">
        <w:rPr>
          <w:rFonts w:cs="Times New Roman"/>
          <w:lang w:val="fr-CA"/>
        </w:rPr>
        <w:t>acquiert jamais d</w:t>
      </w:r>
      <w:r>
        <w:rPr>
          <w:rFonts w:cs="Times New Roman"/>
          <w:lang w:val="fr-CA"/>
        </w:rPr>
        <w:t>’</w:t>
      </w:r>
      <w:r w:rsidRPr="009B2D0F">
        <w:rPr>
          <w:rFonts w:cs="Times New Roman"/>
          <w:lang w:val="fr-CA"/>
        </w:rPr>
        <w:t xml:space="preserve">intérêt suffisant dans le </w:t>
      </w:r>
      <w:r w:rsidRPr="009B2D0F">
        <w:rPr>
          <w:rFonts w:cs="Times New Roman"/>
          <w:lang w:val="fr-CA"/>
        </w:rPr>
        <w:lastRenderedPageBreak/>
        <w:t>bien, il pourrait ne pas y avoir du tout de préclusion propriétale; lorsqu</w:t>
      </w:r>
      <w:r>
        <w:rPr>
          <w:rFonts w:cs="Times New Roman"/>
          <w:lang w:val="fr-CA"/>
        </w:rPr>
        <w:t>’</w:t>
      </w:r>
      <w:r w:rsidRPr="009B2D0F">
        <w:rPr>
          <w:rFonts w:cs="Times New Roman"/>
          <w:lang w:val="fr-CA"/>
        </w:rPr>
        <w:t xml:space="preserve">il y a préclusion propriétale, il y a nécessairement un droit en </w:t>
      </w:r>
      <w:proofErr w:type="spellStart"/>
      <w:r w:rsidRPr="009B2D0F">
        <w:rPr>
          <w:rFonts w:cs="Times New Roman"/>
          <w:lang w:val="fr-CA"/>
        </w:rPr>
        <w:t>equity</w:t>
      </w:r>
      <w:proofErr w:type="spellEnd"/>
      <w:r w:rsidRPr="009B2D0F">
        <w:rPr>
          <w:rFonts w:cs="Times New Roman"/>
          <w:lang w:val="fr-CA"/>
        </w:rPr>
        <w:t>, mais l</w:t>
      </w:r>
      <w:r>
        <w:rPr>
          <w:rFonts w:cs="Times New Roman"/>
          <w:lang w:val="fr-CA"/>
        </w:rPr>
        <w:t>’</w:t>
      </w:r>
      <w:r w:rsidRPr="009B2D0F">
        <w:rPr>
          <w:rFonts w:cs="Times New Roman"/>
          <w:lang w:val="fr-CA"/>
        </w:rPr>
        <w:t>inverse n</w:t>
      </w:r>
      <w:r>
        <w:rPr>
          <w:rFonts w:cs="Times New Roman"/>
          <w:lang w:val="fr-CA"/>
        </w:rPr>
        <w:t>’</w:t>
      </w:r>
      <w:r w:rsidRPr="009B2D0F">
        <w:rPr>
          <w:rFonts w:cs="Times New Roman"/>
          <w:lang w:val="fr-CA"/>
        </w:rPr>
        <w:t>est pas vrai. Cependant, lorsque la partie à l</w:t>
      </w:r>
      <w:r>
        <w:rPr>
          <w:rFonts w:cs="Times New Roman"/>
          <w:lang w:val="fr-CA"/>
        </w:rPr>
        <w:t>’</w:t>
      </w:r>
      <w:r w:rsidRPr="009B2D0F">
        <w:rPr>
          <w:rFonts w:cs="Times New Roman"/>
          <w:lang w:val="fr-CA"/>
        </w:rPr>
        <w:t>origine de l</w:t>
      </w:r>
      <w:r>
        <w:rPr>
          <w:rFonts w:cs="Times New Roman"/>
          <w:lang w:val="fr-CA"/>
        </w:rPr>
        <w:t>’</w:t>
      </w:r>
      <w:r w:rsidRPr="009B2D0F">
        <w:rPr>
          <w:rFonts w:cs="Times New Roman"/>
          <w:lang w:val="fr-CA"/>
        </w:rPr>
        <w:t xml:space="preserve">attente a un intérêt suffisant dans le bien ou en acquiert un, la préclusion propriétale grève cet intérêt et protège le droit en </w:t>
      </w:r>
      <w:proofErr w:type="spellStart"/>
      <w:r w:rsidRPr="009B2D0F">
        <w:rPr>
          <w:rFonts w:cs="Times New Roman"/>
          <w:lang w:val="fr-CA"/>
        </w:rPr>
        <w:t>equity</w:t>
      </w:r>
      <w:proofErr w:type="spellEnd"/>
      <w:r w:rsidRPr="009B2D0F">
        <w:rPr>
          <w:rFonts w:cs="Times New Roman"/>
          <w:lang w:val="fr-CA"/>
        </w:rPr>
        <w:t xml:space="preserve"> en cause (voir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 xml:space="preserve">458; </w:t>
      </w:r>
      <w:proofErr w:type="spellStart"/>
      <w:r w:rsidRPr="009B2D0F">
        <w:rPr>
          <w:rFonts w:cs="Times New Roman"/>
          <w:lang w:val="fr-CA"/>
        </w:rPr>
        <w:t>Wilken</w:t>
      </w:r>
      <w:proofErr w:type="spellEnd"/>
      <w:r w:rsidRPr="009B2D0F">
        <w:rPr>
          <w:rFonts w:cs="Times New Roman"/>
          <w:lang w:val="fr-CA"/>
        </w:rPr>
        <w:t xml:space="preserve"> et </w:t>
      </w:r>
      <w:proofErr w:type="spellStart"/>
      <w:r w:rsidRPr="009B2D0F">
        <w:rPr>
          <w:rFonts w:cs="Times New Roman"/>
          <w:lang w:val="fr-CA"/>
        </w:rPr>
        <w:t>Ghaly</w:t>
      </w:r>
      <w:proofErr w:type="spellEnd"/>
      <w:r w:rsidRPr="009B2D0F">
        <w:rPr>
          <w:rFonts w:cs="Times New Roman"/>
          <w:lang w:val="fr-CA"/>
        </w:rPr>
        <w:t xml:space="preserve">, </w:t>
      </w:r>
      <w:r>
        <w:rPr>
          <w:rFonts w:cs="Times New Roman"/>
          <w:lang w:val="fr-CA"/>
        </w:rPr>
        <w:t>p. </w:t>
      </w:r>
      <w:r w:rsidRPr="009B2D0F">
        <w:rPr>
          <w:rFonts w:cs="Times New Roman"/>
          <w:lang w:val="fr-CA"/>
        </w:rPr>
        <w:t>265</w:t>
      </w:r>
      <w:r>
        <w:rPr>
          <w:rFonts w:cs="Times New Roman"/>
          <w:lang w:val="fr-CA"/>
        </w:rPr>
        <w:noBreakHyphen/>
      </w:r>
      <w:r w:rsidRPr="009B2D0F">
        <w:rPr>
          <w:rFonts w:cs="Times New Roman"/>
          <w:lang w:val="fr-CA"/>
        </w:rPr>
        <w:t xml:space="preserve">266; voir aussi </w:t>
      </w:r>
      <w:r w:rsidRPr="009B2D0F">
        <w:rPr>
          <w:rFonts w:cs="Times New Roman"/>
          <w:i/>
          <w:lang w:val="fr-CA"/>
        </w:rPr>
        <w:t xml:space="preserve">Watson c. </w:t>
      </w:r>
      <w:proofErr w:type="spellStart"/>
      <w:r w:rsidRPr="009B2D0F">
        <w:rPr>
          <w:rFonts w:cs="Times New Roman"/>
          <w:i/>
          <w:lang w:val="fr-CA"/>
        </w:rPr>
        <w:t>Goldsbrough</w:t>
      </w:r>
      <w:proofErr w:type="spellEnd"/>
      <w:r w:rsidRPr="009B2D0F">
        <w:rPr>
          <w:rFonts w:cs="Times New Roman"/>
          <w:lang w:val="fr-CA"/>
        </w:rPr>
        <w:t xml:space="preserve">, [1986] 1 E.G.L.R. 265 (C.A.), </w:t>
      </w:r>
      <w:r>
        <w:rPr>
          <w:rFonts w:cs="Times New Roman"/>
          <w:lang w:val="fr-CA"/>
        </w:rPr>
        <w:t>p. </w:t>
      </w:r>
      <w:r w:rsidRPr="009B2D0F">
        <w:rPr>
          <w:rFonts w:cs="Times New Roman"/>
          <w:lang w:val="fr-CA"/>
        </w:rPr>
        <w:t>267). L</w:t>
      </w:r>
      <w:r>
        <w:rPr>
          <w:rFonts w:cs="Times New Roman"/>
          <w:lang w:val="fr-CA"/>
        </w:rPr>
        <w:t>’</w:t>
      </w:r>
      <w:r w:rsidRPr="009B2D0F">
        <w:rPr>
          <w:rFonts w:cs="Times New Roman"/>
          <w:lang w:val="fr-CA"/>
        </w:rPr>
        <w:t>existence d</w:t>
      </w:r>
      <w:r>
        <w:rPr>
          <w:rFonts w:cs="Times New Roman"/>
          <w:lang w:val="fr-CA"/>
        </w:rPr>
        <w:t>’</w:t>
      </w:r>
      <w:r w:rsidRPr="009B2D0F">
        <w:rPr>
          <w:rFonts w:cs="Times New Roman"/>
          <w:lang w:val="fr-CA"/>
        </w:rPr>
        <w:t>un intérêt dans le bien au moment où une personne se fie à la déclaration qui lui est faite ou à l</w:t>
      </w:r>
      <w:r>
        <w:rPr>
          <w:rFonts w:cs="Times New Roman"/>
          <w:lang w:val="fr-CA"/>
        </w:rPr>
        <w:t>’</w:t>
      </w:r>
      <w:r w:rsidRPr="009B2D0F">
        <w:rPr>
          <w:rFonts w:cs="Times New Roman"/>
          <w:lang w:val="fr-CA"/>
        </w:rPr>
        <w:t>assurance qui lui est donnée n</w:t>
      </w:r>
      <w:r>
        <w:rPr>
          <w:rFonts w:cs="Times New Roman"/>
          <w:lang w:val="fr-CA"/>
        </w:rPr>
        <w:t>’</w:t>
      </w:r>
      <w:r w:rsidRPr="009B2D0F">
        <w:rPr>
          <w:rFonts w:cs="Times New Roman"/>
          <w:lang w:val="fr-CA"/>
        </w:rPr>
        <w:t>est pas nécessaire pour que la préclusion propriétale puisse être invoquée.</w:t>
      </w:r>
    </w:p>
    <w:p w:rsidR="00987842" w:rsidRPr="009B2D0F" w:rsidRDefault="00987842" w:rsidP="00987842">
      <w:pPr>
        <w:pStyle w:val="ParaNoNdepar-AltN"/>
        <w:tabs>
          <w:tab w:val="clear" w:pos="1692"/>
          <w:tab w:val="num" w:pos="1152"/>
        </w:tabs>
        <w:ind w:left="0"/>
        <w:rPr>
          <w:rFonts w:cs="Times New Roman"/>
          <w:b/>
          <w:bCs/>
          <w:szCs w:val="24"/>
          <w:lang w:val="fr-CA"/>
        </w:rPr>
      </w:pPr>
      <w:r w:rsidRPr="009B2D0F">
        <w:rPr>
          <w:rFonts w:cs="Times New Roman"/>
          <w:lang w:val="fr-CA"/>
        </w:rPr>
        <w:t xml:space="preserve">Un droit en </w:t>
      </w:r>
      <w:proofErr w:type="spellStart"/>
      <w:r w:rsidRPr="009B2D0F">
        <w:rPr>
          <w:rFonts w:cs="Times New Roman"/>
          <w:lang w:val="fr-CA"/>
        </w:rPr>
        <w:t>equity</w:t>
      </w:r>
      <w:proofErr w:type="spellEnd"/>
      <w:r w:rsidRPr="009B2D0F">
        <w:rPr>
          <w:rFonts w:cs="Times New Roman"/>
          <w:lang w:val="fr-CA"/>
        </w:rPr>
        <w:t xml:space="preserve"> a pris naissance en faveur de Max lorsque ce dernier s</w:t>
      </w:r>
      <w:r>
        <w:rPr>
          <w:rFonts w:cs="Times New Roman"/>
          <w:lang w:val="fr-CA"/>
        </w:rPr>
        <w:t>’</w:t>
      </w:r>
      <w:r w:rsidRPr="009B2D0F">
        <w:rPr>
          <w:rFonts w:cs="Times New Roman"/>
          <w:lang w:val="fr-CA"/>
        </w:rPr>
        <w:t xml:space="preserve">est fondé </w:t>
      </w:r>
      <w:r>
        <w:rPr>
          <w:rFonts w:cs="Times New Roman"/>
          <w:lang w:val="fr-CA"/>
        </w:rPr>
        <w:t xml:space="preserve">raisonnablement, </w:t>
      </w:r>
      <w:r w:rsidRPr="009B2D0F">
        <w:rPr>
          <w:rFonts w:cs="Times New Roman"/>
          <w:lang w:val="fr-CA"/>
        </w:rPr>
        <w:t xml:space="preserve">à </w:t>
      </w:r>
      <w:r w:rsidRPr="001F2942">
        <w:rPr>
          <w:rFonts w:cs="Times New Roman"/>
          <w:lang w:val="fr-CA"/>
        </w:rPr>
        <w:t>son préjudice</w:t>
      </w:r>
      <w:r>
        <w:rPr>
          <w:rFonts w:cs="Times New Roman"/>
          <w:lang w:val="fr-CA"/>
        </w:rPr>
        <w:t>,</w:t>
      </w:r>
      <w:r w:rsidRPr="001F2942">
        <w:rPr>
          <w:rFonts w:cs="Times New Roman"/>
          <w:lang w:val="fr-CA"/>
        </w:rPr>
        <w:t xml:space="preserve"> </w:t>
      </w:r>
      <w:r w:rsidRPr="009B2D0F">
        <w:rPr>
          <w:rFonts w:cs="Times New Roman"/>
          <w:lang w:val="fr-CA"/>
        </w:rPr>
        <w:t>sur le fait qu</w:t>
      </w:r>
      <w:r>
        <w:rPr>
          <w:rFonts w:cs="Times New Roman"/>
          <w:lang w:val="fr-CA"/>
        </w:rPr>
        <w:t>’</w:t>
      </w:r>
      <w:r w:rsidRPr="009B2D0F">
        <w:rPr>
          <w:rFonts w:cs="Times New Roman"/>
          <w:lang w:val="fr-CA"/>
        </w:rPr>
        <w:t>il s</w:t>
      </w:r>
      <w:r>
        <w:rPr>
          <w:rFonts w:cs="Times New Roman"/>
          <w:lang w:val="fr-CA"/>
        </w:rPr>
        <w:t>’</w:t>
      </w:r>
      <w:r w:rsidRPr="009B2D0F">
        <w:rPr>
          <w:rFonts w:cs="Times New Roman"/>
          <w:lang w:val="fr-CA"/>
        </w:rPr>
        <w:t>attendait à pouvoir acquérir l</w:t>
      </w:r>
      <w:r>
        <w:rPr>
          <w:rFonts w:cs="Times New Roman"/>
          <w:lang w:val="fr-CA"/>
        </w:rPr>
        <w:t>’</w:t>
      </w:r>
      <w:r w:rsidRPr="009B2D0F">
        <w:rPr>
          <w:rFonts w:cs="Times New Roman"/>
          <w:lang w:val="fr-CA"/>
        </w:rPr>
        <w:t>intérêt de Gloria sur le tiers de la maison de leur mère. La préclusion propriétale ne pouvait pas protéger ce droit au moment où celui</w:t>
      </w:r>
      <w:r>
        <w:rPr>
          <w:rFonts w:cs="Times New Roman"/>
          <w:lang w:val="fr-CA"/>
        </w:rPr>
        <w:noBreakHyphen/>
      </w:r>
      <w:r w:rsidRPr="009B2D0F">
        <w:rPr>
          <w:rFonts w:cs="Times New Roman"/>
          <w:lang w:val="fr-CA"/>
        </w:rPr>
        <w:t>ci a pris naissance, parce que Gloria ne détenait alors aucun intérêt dans la propriété. Cela ne signifie pas pour autant que la préclusion propriétale ne peut pas grever la part de Gloria dans la maison lorsqu</w:t>
      </w:r>
      <w:r>
        <w:rPr>
          <w:rFonts w:cs="Times New Roman"/>
          <w:lang w:val="fr-CA"/>
        </w:rPr>
        <w:t>’</w:t>
      </w:r>
      <w:r w:rsidRPr="009B2D0F">
        <w:rPr>
          <w:rFonts w:cs="Times New Roman"/>
          <w:lang w:val="fr-CA"/>
        </w:rPr>
        <w:t>elle recevra celle</w:t>
      </w:r>
      <w:r>
        <w:rPr>
          <w:rFonts w:cs="Times New Roman"/>
          <w:lang w:val="fr-CA"/>
        </w:rPr>
        <w:noBreakHyphen/>
      </w:r>
      <w:r w:rsidRPr="009B2D0F">
        <w:rPr>
          <w:rFonts w:cs="Times New Roman"/>
          <w:lang w:val="fr-CA"/>
        </w:rPr>
        <w:t>ci. Je conclus qu</w:t>
      </w:r>
      <w:r>
        <w:rPr>
          <w:rFonts w:cs="Times New Roman"/>
          <w:lang w:val="fr-CA"/>
        </w:rPr>
        <w:t>’</w:t>
      </w:r>
      <w:r w:rsidRPr="009B2D0F">
        <w:rPr>
          <w:rFonts w:cs="Times New Roman"/>
          <w:lang w:val="fr-CA"/>
        </w:rPr>
        <w:t xml:space="preserve">elle peut avoir un tel effet.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Gloria n</w:t>
      </w:r>
      <w:r>
        <w:rPr>
          <w:rFonts w:cs="Times New Roman"/>
          <w:lang w:val="fr-CA"/>
        </w:rPr>
        <w:t>’</w:t>
      </w:r>
      <w:r w:rsidRPr="009B2D0F">
        <w:rPr>
          <w:rFonts w:cs="Times New Roman"/>
          <w:lang w:val="fr-CA"/>
        </w:rPr>
        <w:t>a pas encore d</w:t>
      </w:r>
      <w:r>
        <w:rPr>
          <w:rFonts w:cs="Times New Roman"/>
          <w:lang w:val="fr-CA"/>
        </w:rPr>
        <w:t>’</w:t>
      </w:r>
      <w:r w:rsidRPr="009B2D0F">
        <w:rPr>
          <w:rFonts w:cs="Times New Roman"/>
          <w:lang w:val="fr-CA"/>
        </w:rPr>
        <w:t>intérêt dans la propriété. Celle</w:t>
      </w:r>
      <w:r>
        <w:rPr>
          <w:rFonts w:cs="Times New Roman"/>
          <w:lang w:val="fr-CA"/>
        </w:rPr>
        <w:noBreakHyphen/>
      </w:r>
      <w:r w:rsidRPr="009B2D0F">
        <w:rPr>
          <w:rFonts w:cs="Times New Roman"/>
          <w:lang w:val="fr-CA"/>
        </w:rPr>
        <w:t>ci fait toujours entièrement partie du reliquat de la succession d</w:t>
      </w:r>
      <w:r>
        <w:rPr>
          <w:rFonts w:cs="Times New Roman"/>
          <w:lang w:val="fr-CA"/>
        </w:rPr>
        <w:t>’</w:t>
      </w:r>
      <w:r w:rsidRPr="009B2D0F">
        <w:rPr>
          <w:rFonts w:cs="Times New Roman"/>
          <w:lang w:val="fr-CA"/>
        </w:rPr>
        <w:t>Elizabeth. Le testament de cette dernière dispose que le reliquat doit être partagé en parts égales entre ses trois enfants et distribué à ceux</w:t>
      </w:r>
      <w:r>
        <w:rPr>
          <w:rFonts w:cs="Times New Roman"/>
          <w:lang w:val="fr-CA"/>
        </w:rPr>
        <w:noBreakHyphen/>
      </w:r>
      <w:r w:rsidRPr="009B2D0F">
        <w:rPr>
          <w:rFonts w:cs="Times New Roman"/>
          <w:lang w:val="fr-CA"/>
        </w:rPr>
        <w:t xml:space="preserve">ci. Gloria y est nommée exécutrice testamentaire, et </w:t>
      </w:r>
      <w:r>
        <w:rPr>
          <w:rFonts w:cs="Times New Roman"/>
          <w:lang w:val="fr-CA"/>
        </w:rPr>
        <w:t xml:space="preserve">elle est désignée en </w:t>
      </w:r>
      <w:r w:rsidRPr="009B2D0F">
        <w:rPr>
          <w:rFonts w:cs="Times New Roman"/>
          <w:lang w:val="fr-CA"/>
        </w:rPr>
        <w:t>cette qualité dans la présente instance. Gloria doit donc, à titre d</w:t>
      </w:r>
      <w:r>
        <w:rPr>
          <w:rFonts w:cs="Times New Roman"/>
          <w:lang w:val="fr-CA"/>
        </w:rPr>
        <w:t>’</w:t>
      </w:r>
      <w:r w:rsidRPr="009B2D0F">
        <w:rPr>
          <w:rFonts w:cs="Times New Roman"/>
          <w:lang w:val="fr-CA"/>
        </w:rPr>
        <w:t xml:space="preserve">exécutrice </w:t>
      </w:r>
      <w:r w:rsidRPr="009B2D0F">
        <w:rPr>
          <w:rFonts w:cs="Times New Roman"/>
          <w:lang w:val="fr-CA"/>
        </w:rPr>
        <w:lastRenderedPageBreak/>
        <w:t>testamentaire, transférer un intérêt sur le tiers de la propriété à chacun des bénéficiaires de la succession, y compris à elle</w:t>
      </w:r>
      <w:r>
        <w:rPr>
          <w:rFonts w:cs="Times New Roman"/>
          <w:lang w:val="fr-CA"/>
        </w:rPr>
        <w:noBreakHyphen/>
      </w:r>
      <w:r w:rsidRPr="009B2D0F">
        <w:rPr>
          <w:rFonts w:cs="Times New Roman"/>
          <w:lang w:val="fr-CA"/>
        </w:rPr>
        <w:t>même, pour que la préclusion propriétale puisse grever sa part et qu</w:t>
      </w:r>
      <w:r>
        <w:rPr>
          <w:rFonts w:cs="Times New Roman"/>
          <w:lang w:val="fr-CA"/>
        </w:rPr>
        <w:t>’</w:t>
      </w:r>
      <w:r w:rsidRPr="009B2D0F">
        <w:rPr>
          <w:rFonts w:cs="Times New Roman"/>
          <w:lang w:val="fr-CA"/>
        </w:rPr>
        <w:t xml:space="preserve">il puisse être donné effet au droit en </w:t>
      </w:r>
      <w:proofErr w:type="spellStart"/>
      <w:r w:rsidRPr="009B2D0F">
        <w:rPr>
          <w:rFonts w:cs="Times New Roman"/>
          <w:lang w:val="fr-CA"/>
        </w:rPr>
        <w:t>equity</w:t>
      </w:r>
      <w:proofErr w:type="spellEnd"/>
      <w:r w:rsidRPr="009B2D0F">
        <w:rPr>
          <w:rFonts w:cs="Times New Roman"/>
          <w:lang w:val="fr-CA"/>
        </w:rPr>
        <w:t xml:space="preserve"> de Max. Comme je l</w:t>
      </w:r>
      <w:r>
        <w:rPr>
          <w:rFonts w:cs="Times New Roman"/>
          <w:lang w:val="fr-CA"/>
        </w:rPr>
        <w:t>’</w:t>
      </w:r>
      <w:r w:rsidRPr="009B2D0F">
        <w:rPr>
          <w:rFonts w:cs="Times New Roman"/>
          <w:lang w:val="fr-CA"/>
        </w:rPr>
        <w:t>ai dit, la préclusion propriétale grèvera l</w:t>
      </w:r>
      <w:r>
        <w:rPr>
          <w:rFonts w:cs="Times New Roman"/>
          <w:lang w:val="fr-CA"/>
        </w:rPr>
        <w:t>’</w:t>
      </w:r>
      <w:r w:rsidRPr="009B2D0F">
        <w:rPr>
          <w:rFonts w:cs="Times New Roman"/>
          <w:lang w:val="fr-CA"/>
        </w:rPr>
        <w:t xml:space="preserve">intérêt de Gloria lorsque, et uniquement lorsque, cet intérêt sera suffisant pour permettre de donner effet au droit en </w:t>
      </w:r>
      <w:proofErr w:type="spellStart"/>
      <w:r w:rsidRPr="009B2D0F">
        <w:rPr>
          <w:rFonts w:cs="Times New Roman"/>
          <w:lang w:val="fr-CA"/>
        </w:rPr>
        <w:t>equity</w:t>
      </w:r>
      <w:proofErr w:type="spellEnd"/>
      <w:r w:rsidRPr="009B2D0F">
        <w:rPr>
          <w:rFonts w:cs="Times New Roman"/>
          <w:lang w:val="fr-CA"/>
        </w:rPr>
        <w:t xml:space="preserve"> en cause — c.</w:t>
      </w:r>
      <w:r>
        <w:rPr>
          <w:rFonts w:cs="Times New Roman"/>
          <w:lang w:val="fr-CA"/>
        </w:rPr>
        <w:noBreakHyphen/>
      </w:r>
      <w:r w:rsidRPr="009B2D0F">
        <w:rPr>
          <w:rFonts w:cs="Times New Roman"/>
          <w:lang w:val="fr-CA"/>
        </w:rPr>
        <w:t>à</w:t>
      </w:r>
      <w:r>
        <w:rPr>
          <w:rFonts w:cs="Times New Roman"/>
          <w:lang w:val="fr-CA"/>
        </w:rPr>
        <w:noBreakHyphen/>
      </w:r>
      <w:r w:rsidRPr="009B2D0F">
        <w:rPr>
          <w:rFonts w:cs="Times New Roman"/>
          <w:lang w:val="fr-CA"/>
        </w:rPr>
        <w:t>d. aussitôt que Gloria l</w:t>
      </w:r>
      <w:r>
        <w:rPr>
          <w:rFonts w:cs="Times New Roman"/>
          <w:lang w:val="fr-CA"/>
        </w:rPr>
        <w:t>’</w:t>
      </w:r>
      <w:r w:rsidRPr="009B2D0F">
        <w:rPr>
          <w:rFonts w:cs="Times New Roman"/>
          <w:lang w:val="fr-CA"/>
        </w:rPr>
        <w:t>aura obtenu de la succession.</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Gloria soutient, et la juge Côté souscrit à cet argument, qu</w:t>
      </w:r>
      <w:r>
        <w:rPr>
          <w:rFonts w:cs="Times New Roman"/>
          <w:lang w:val="fr-CA"/>
        </w:rPr>
        <w:t>’</w:t>
      </w:r>
      <w:r w:rsidRPr="009B2D0F">
        <w:rPr>
          <w:rFonts w:cs="Times New Roman"/>
          <w:lang w:val="fr-CA"/>
        </w:rPr>
        <w:t>en sa qualité d</w:t>
      </w:r>
      <w:r>
        <w:rPr>
          <w:rFonts w:cs="Times New Roman"/>
          <w:lang w:val="fr-CA"/>
        </w:rPr>
        <w:t>’</w:t>
      </w:r>
      <w:r w:rsidRPr="009B2D0F">
        <w:rPr>
          <w:rFonts w:cs="Times New Roman"/>
          <w:lang w:val="fr-CA"/>
        </w:rPr>
        <w:t>exécutrice testamentaire, elle ne saurait être tenue de transférer un intérêt sur le tiers de la propriété à chacun des bénéficiaires de la succession de manière à ce que la promesse qu</w:t>
      </w:r>
      <w:r>
        <w:rPr>
          <w:rFonts w:cs="Times New Roman"/>
          <w:lang w:val="fr-CA"/>
        </w:rPr>
        <w:t>’</w:t>
      </w:r>
      <w:r w:rsidRPr="009B2D0F">
        <w:rPr>
          <w:rFonts w:cs="Times New Roman"/>
          <w:lang w:val="fr-CA"/>
        </w:rPr>
        <w:t>elle a faite à Max puisse être respectée. Je ne suis pas d</w:t>
      </w:r>
      <w:r>
        <w:rPr>
          <w:rFonts w:cs="Times New Roman"/>
          <w:lang w:val="fr-CA"/>
        </w:rPr>
        <w:t>’</w:t>
      </w:r>
      <w:r w:rsidRPr="009B2D0F">
        <w:rPr>
          <w:rFonts w:cs="Times New Roman"/>
          <w:lang w:val="fr-CA"/>
        </w:rPr>
        <w:t xml:space="preserve">accord.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Un partage en nature de la propriété n</w:t>
      </w:r>
      <w:r>
        <w:rPr>
          <w:rFonts w:cs="Times New Roman"/>
          <w:lang w:val="fr-CA"/>
        </w:rPr>
        <w:t>’</w:t>
      </w:r>
      <w:r w:rsidRPr="009B2D0F">
        <w:rPr>
          <w:rFonts w:cs="Times New Roman"/>
          <w:lang w:val="fr-CA"/>
        </w:rPr>
        <w:t>est pas contraire à l</w:t>
      </w:r>
      <w:r>
        <w:rPr>
          <w:rFonts w:cs="Times New Roman"/>
          <w:lang w:val="fr-CA"/>
        </w:rPr>
        <w:t>’</w:t>
      </w:r>
      <w:r w:rsidRPr="009B2D0F">
        <w:rPr>
          <w:rFonts w:cs="Times New Roman"/>
          <w:lang w:val="fr-CA"/>
        </w:rPr>
        <w:t>intention d</w:t>
      </w:r>
      <w:r>
        <w:rPr>
          <w:rFonts w:cs="Times New Roman"/>
          <w:lang w:val="fr-CA"/>
        </w:rPr>
        <w:t>’</w:t>
      </w:r>
      <w:r w:rsidRPr="009B2D0F">
        <w:rPr>
          <w:rFonts w:cs="Times New Roman"/>
          <w:lang w:val="fr-CA"/>
        </w:rPr>
        <w:t>Elizabeth. Le testament d</w:t>
      </w:r>
      <w:r>
        <w:rPr>
          <w:rFonts w:cs="Times New Roman"/>
          <w:lang w:val="fr-CA"/>
        </w:rPr>
        <w:t>’</w:t>
      </w:r>
      <w:r w:rsidRPr="009B2D0F">
        <w:rPr>
          <w:rFonts w:cs="Times New Roman"/>
          <w:lang w:val="fr-CA"/>
        </w:rPr>
        <w:t>Elizabeth conférait à Gloria, en sa qualité d</w:t>
      </w:r>
      <w:r>
        <w:rPr>
          <w:rFonts w:cs="Times New Roman"/>
          <w:lang w:val="fr-CA"/>
        </w:rPr>
        <w:t>’</w:t>
      </w:r>
      <w:r w:rsidRPr="009B2D0F">
        <w:rPr>
          <w:rFonts w:cs="Times New Roman"/>
          <w:lang w:val="fr-CA"/>
        </w:rPr>
        <w:t>exécutrice testamentaire, le pouvoir discrétionnaire d</w:t>
      </w:r>
      <w:r>
        <w:rPr>
          <w:rFonts w:cs="Times New Roman"/>
          <w:lang w:val="fr-CA"/>
        </w:rPr>
        <w:t>’</w:t>
      </w:r>
      <w:r w:rsidRPr="009B2D0F">
        <w:rPr>
          <w:rFonts w:cs="Times New Roman"/>
          <w:lang w:val="fr-CA"/>
        </w:rPr>
        <w:t>effectuer un partage en nature de la succession; cette possibilité avait été envisagée par Elizabeth et est conforme à l</w:t>
      </w:r>
      <w:r>
        <w:rPr>
          <w:rFonts w:cs="Times New Roman"/>
          <w:lang w:val="fr-CA"/>
        </w:rPr>
        <w:t>’</w:t>
      </w:r>
      <w:r w:rsidRPr="009B2D0F">
        <w:rPr>
          <w:rFonts w:cs="Times New Roman"/>
          <w:lang w:val="fr-CA"/>
        </w:rPr>
        <w:t>intention exprimée dans son testament. Le fait d</w:t>
      </w:r>
      <w:r>
        <w:rPr>
          <w:rFonts w:cs="Times New Roman"/>
          <w:lang w:val="fr-CA"/>
        </w:rPr>
        <w:t>’</w:t>
      </w:r>
      <w:r w:rsidRPr="009B2D0F">
        <w:rPr>
          <w:rFonts w:cs="Times New Roman"/>
          <w:lang w:val="fr-CA"/>
        </w:rPr>
        <w:t>ordonner un partage en nature de la propriété ne s</w:t>
      </w:r>
      <w:r>
        <w:rPr>
          <w:rFonts w:cs="Times New Roman"/>
          <w:lang w:val="fr-CA"/>
        </w:rPr>
        <w:t>’</w:t>
      </w:r>
      <w:r w:rsidRPr="009B2D0F">
        <w:rPr>
          <w:rFonts w:cs="Times New Roman"/>
          <w:lang w:val="fr-CA"/>
        </w:rPr>
        <w:t>apparente donc pas à la création d</w:t>
      </w:r>
      <w:r>
        <w:rPr>
          <w:rFonts w:cs="Times New Roman"/>
          <w:lang w:val="fr-CA"/>
        </w:rPr>
        <w:t>’</w:t>
      </w:r>
      <w:r w:rsidRPr="009B2D0F">
        <w:rPr>
          <w:rFonts w:cs="Times New Roman"/>
          <w:lang w:val="fr-CA"/>
        </w:rPr>
        <w:t xml:space="preserve">un legs spécifique (voir les motifs de la juge Côté, </w:t>
      </w:r>
      <w:r>
        <w:rPr>
          <w:rFonts w:cs="Times New Roman"/>
          <w:lang w:val="fr-CA"/>
        </w:rPr>
        <w:t>par. 77</w:t>
      </w:r>
      <w:r w:rsidRPr="009B2D0F">
        <w:rPr>
          <w:rFonts w:cs="Times New Roman"/>
          <w:lang w:val="fr-CA"/>
        </w:rPr>
        <w:t>).</w:t>
      </w:r>
      <w:r>
        <w:rPr>
          <w:rFonts w:cs="Times New Roman"/>
          <w:lang w:val="fr-CA"/>
        </w:rPr>
        <w:t xml:space="preserve">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Lorsqu</w:t>
      </w:r>
      <w:r>
        <w:rPr>
          <w:rFonts w:cs="Times New Roman"/>
          <w:lang w:val="fr-CA"/>
        </w:rPr>
        <w:t>’</w:t>
      </w:r>
      <w:r w:rsidRPr="009B2D0F">
        <w:rPr>
          <w:rFonts w:cs="Times New Roman"/>
          <w:lang w:val="fr-CA"/>
        </w:rPr>
        <w:t>un testament prévoit que l</w:t>
      </w:r>
      <w:r>
        <w:rPr>
          <w:rFonts w:cs="Times New Roman"/>
          <w:lang w:val="fr-CA"/>
        </w:rPr>
        <w:t>’</w:t>
      </w:r>
      <w:r w:rsidRPr="009B2D0F">
        <w:rPr>
          <w:rFonts w:cs="Times New Roman"/>
          <w:lang w:val="fr-CA"/>
        </w:rPr>
        <w:t>exécuteur testamentaire dispose d</w:t>
      </w:r>
      <w:r>
        <w:rPr>
          <w:rFonts w:cs="Times New Roman"/>
          <w:lang w:val="fr-CA"/>
        </w:rPr>
        <w:t>’</w:t>
      </w:r>
      <w:r w:rsidRPr="009B2D0F">
        <w:rPr>
          <w:rFonts w:cs="Times New Roman"/>
          <w:lang w:val="fr-CA"/>
        </w:rPr>
        <w:t>un pouvoir discrétionnaire, celui</w:t>
      </w:r>
      <w:r>
        <w:rPr>
          <w:rFonts w:cs="Times New Roman"/>
          <w:lang w:val="fr-CA"/>
        </w:rPr>
        <w:noBreakHyphen/>
      </w:r>
      <w:r w:rsidRPr="009B2D0F">
        <w:rPr>
          <w:rFonts w:cs="Times New Roman"/>
          <w:lang w:val="fr-CA"/>
        </w:rPr>
        <w:t xml:space="preserve">ci peut, avec le consentement de tous les bénéficiaires, effectuer un partage en nature des biens réels (voir </w:t>
      </w:r>
      <w:proofErr w:type="spellStart"/>
      <w:r w:rsidRPr="009B2D0F">
        <w:rPr>
          <w:rFonts w:cs="Times New Roman"/>
          <w:i/>
          <w:lang w:val="fr-CA"/>
        </w:rPr>
        <w:t>Re</w:t>
      </w:r>
      <w:proofErr w:type="spellEnd"/>
      <w:r w:rsidRPr="009B2D0F">
        <w:rPr>
          <w:rFonts w:cs="Times New Roman"/>
          <w:i/>
          <w:lang w:val="fr-CA"/>
        </w:rPr>
        <w:t xml:space="preserve"> Harris</w:t>
      </w:r>
      <w:r w:rsidRPr="009B2D0F">
        <w:rPr>
          <w:rFonts w:cs="Times New Roman"/>
          <w:lang w:val="fr-CA"/>
        </w:rPr>
        <w:t xml:space="preserve"> (1915), 22 D.L.R. 381 (C.S. Ont.), </w:t>
      </w:r>
      <w:r>
        <w:rPr>
          <w:rFonts w:cs="Times New Roman"/>
          <w:lang w:val="fr-CA"/>
        </w:rPr>
        <w:t>p. </w:t>
      </w:r>
      <w:r w:rsidRPr="009B2D0F">
        <w:rPr>
          <w:rFonts w:cs="Times New Roman"/>
          <w:lang w:val="fr-CA"/>
        </w:rPr>
        <w:t xml:space="preserve">386; </w:t>
      </w:r>
      <w:r w:rsidRPr="009B2D0F">
        <w:rPr>
          <w:rFonts w:cs="Times New Roman"/>
          <w:i/>
          <w:lang w:val="fr-CA"/>
        </w:rPr>
        <w:t xml:space="preserve">Gunn </w:t>
      </w:r>
      <w:proofErr w:type="spellStart"/>
      <w:r w:rsidRPr="009B2D0F">
        <w:rPr>
          <w:rFonts w:cs="Times New Roman"/>
          <w:i/>
          <w:lang w:val="fr-CA"/>
        </w:rPr>
        <w:t>Estate</w:t>
      </w:r>
      <w:proofErr w:type="spellEnd"/>
      <w:r w:rsidRPr="009B2D0F">
        <w:rPr>
          <w:rFonts w:cs="Times New Roman"/>
          <w:i/>
          <w:lang w:val="fr-CA"/>
        </w:rPr>
        <w:t xml:space="preserve">, </w:t>
      </w:r>
      <w:proofErr w:type="spellStart"/>
      <w:r w:rsidRPr="009B2D0F">
        <w:rPr>
          <w:rFonts w:cs="Times New Roman"/>
          <w:i/>
          <w:lang w:val="fr-CA"/>
        </w:rPr>
        <w:t>Re</w:t>
      </w:r>
      <w:proofErr w:type="spellEnd"/>
      <w:r w:rsidRPr="009B2D0F">
        <w:rPr>
          <w:rFonts w:cs="Times New Roman"/>
          <w:lang w:val="fr-CA"/>
        </w:rPr>
        <w:t xml:space="preserve">, 2010 PECA 13, 200 </w:t>
      </w:r>
      <w:proofErr w:type="spellStart"/>
      <w:r w:rsidRPr="009B2D0F">
        <w:rPr>
          <w:rFonts w:cs="Times New Roman"/>
          <w:lang w:val="fr-CA"/>
        </w:rPr>
        <w:t>Nfld</w:t>
      </w:r>
      <w:proofErr w:type="spellEnd"/>
      <w:r w:rsidRPr="009B2D0F">
        <w:rPr>
          <w:rFonts w:cs="Times New Roman"/>
          <w:lang w:val="fr-CA"/>
        </w:rPr>
        <w:t xml:space="preserve">. &amp; P.E.I.R. 197, </w:t>
      </w:r>
      <w:r>
        <w:rPr>
          <w:rFonts w:cs="Times New Roman"/>
          <w:lang w:val="fr-CA"/>
        </w:rPr>
        <w:t>par. </w:t>
      </w:r>
      <w:r w:rsidRPr="009B2D0F">
        <w:rPr>
          <w:rFonts w:cs="Times New Roman"/>
          <w:lang w:val="fr-CA"/>
        </w:rPr>
        <w:t xml:space="preserve">42 </w:t>
      </w:r>
      <w:r w:rsidRPr="009B2D0F">
        <w:rPr>
          <w:rFonts w:cs="Times New Roman"/>
          <w:lang w:val="fr-CA"/>
        </w:rPr>
        <w:lastRenderedPageBreak/>
        <w:t>et 49). L</w:t>
      </w:r>
      <w:r>
        <w:rPr>
          <w:rFonts w:cs="Times New Roman"/>
          <w:lang w:val="fr-CA"/>
        </w:rPr>
        <w:t>’</w:t>
      </w:r>
      <w:r w:rsidRPr="009B2D0F">
        <w:rPr>
          <w:rFonts w:cs="Times New Roman"/>
          <w:lang w:val="fr-CA"/>
        </w:rPr>
        <w:t>opposition d</w:t>
      </w:r>
      <w:r>
        <w:rPr>
          <w:rFonts w:cs="Times New Roman"/>
          <w:lang w:val="fr-CA"/>
        </w:rPr>
        <w:t>’</w:t>
      </w:r>
      <w:r w:rsidRPr="009B2D0F">
        <w:rPr>
          <w:rFonts w:cs="Times New Roman"/>
          <w:lang w:val="fr-CA"/>
        </w:rPr>
        <w:t>un bénéficiaire à un tel partage ne devrait pas être vexatoire ou manifestement déraisonnable (</w:t>
      </w:r>
      <w:proofErr w:type="spellStart"/>
      <w:r w:rsidRPr="009B2D0F">
        <w:rPr>
          <w:rFonts w:cs="Times New Roman"/>
          <w:i/>
          <w:lang w:val="fr-CA"/>
        </w:rPr>
        <w:t>Re</w:t>
      </w:r>
      <w:proofErr w:type="spellEnd"/>
      <w:r w:rsidRPr="009B2D0F">
        <w:rPr>
          <w:rFonts w:cs="Times New Roman"/>
          <w:i/>
          <w:lang w:val="fr-CA"/>
        </w:rPr>
        <w:t xml:space="preserve"> Harris</w:t>
      </w:r>
      <w:r w:rsidRPr="009B2D0F">
        <w:rPr>
          <w:rFonts w:cs="Times New Roman"/>
          <w:lang w:val="fr-CA"/>
        </w:rPr>
        <w:t xml:space="preserve">, </w:t>
      </w:r>
      <w:r>
        <w:rPr>
          <w:rFonts w:cs="Times New Roman"/>
          <w:lang w:val="fr-CA"/>
        </w:rPr>
        <w:t>p. </w:t>
      </w:r>
      <w:r w:rsidRPr="009B2D0F">
        <w:rPr>
          <w:rFonts w:cs="Times New Roman"/>
          <w:lang w:val="fr-CA"/>
        </w:rPr>
        <w:t>386). En l</w:t>
      </w:r>
      <w:r>
        <w:rPr>
          <w:rFonts w:cs="Times New Roman"/>
          <w:lang w:val="fr-CA"/>
        </w:rPr>
        <w:t>’</w:t>
      </w:r>
      <w:r w:rsidRPr="009B2D0F">
        <w:rPr>
          <w:rFonts w:cs="Times New Roman"/>
          <w:lang w:val="fr-CA"/>
        </w:rPr>
        <w:t>espèce, Max souhaite clairement un partage en nature de la propriété, Nathan a indiqué qu</w:t>
      </w:r>
      <w:r>
        <w:rPr>
          <w:rFonts w:cs="Times New Roman"/>
          <w:lang w:val="fr-CA"/>
        </w:rPr>
        <w:t>’</w:t>
      </w:r>
      <w:r w:rsidRPr="009B2D0F">
        <w:rPr>
          <w:rFonts w:cs="Times New Roman"/>
          <w:lang w:val="fr-CA"/>
        </w:rPr>
        <w:t xml:space="preserve">il avait une entente avec Max concernant la propriété, et </w:t>
      </w:r>
      <w:r>
        <w:rPr>
          <w:rFonts w:cs="Times New Roman"/>
          <w:lang w:val="fr-CA"/>
        </w:rPr>
        <w:t>Gloria</w:t>
      </w:r>
      <w:r w:rsidRPr="009B2D0F">
        <w:rPr>
          <w:rFonts w:cs="Times New Roman"/>
          <w:lang w:val="fr-CA"/>
        </w:rPr>
        <w:t>, en sa qualité de bénéficiaire, n</w:t>
      </w:r>
      <w:r>
        <w:rPr>
          <w:rFonts w:cs="Times New Roman"/>
          <w:lang w:val="fr-CA"/>
        </w:rPr>
        <w:t>’</w:t>
      </w:r>
      <w:r w:rsidRPr="009B2D0F">
        <w:rPr>
          <w:rFonts w:cs="Times New Roman"/>
          <w:lang w:val="fr-CA"/>
        </w:rPr>
        <w:t>a pas soulevé d</w:t>
      </w:r>
      <w:r>
        <w:rPr>
          <w:rFonts w:cs="Times New Roman"/>
          <w:lang w:val="fr-CA"/>
        </w:rPr>
        <w:t>’</w:t>
      </w:r>
      <w:r w:rsidRPr="009B2D0F">
        <w:rPr>
          <w:rFonts w:cs="Times New Roman"/>
          <w:lang w:val="fr-CA"/>
        </w:rPr>
        <w:t>objection convaincante en ce qui concerne un tel partage. L</w:t>
      </w:r>
      <w:r>
        <w:rPr>
          <w:rFonts w:cs="Times New Roman"/>
          <w:lang w:val="fr-CA"/>
        </w:rPr>
        <w:t>’</w:t>
      </w:r>
      <w:r w:rsidRPr="009B2D0F">
        <w:rPr>
          <w:rFonts w:cs="Times New Roman"/>
          <w:lang w:val="fr-CA"/>
        </w:rPr>
        <w:t xml:space="preserve">opposition de Gloria à un partage en nature est fondée sur son désir de se soustraire à son obligation en </w:t>
      </w:r>
      <w:proofErr w:type="spellStart"/>
      <w:r w:rsidRPr="009B2D0F">
        <w:rPr>
          <w:rFonts w:cs="Times New Roman"/>
          <w:lang w:val="fr-CA"/>
        </w:rPr>
        <w:t>equity</w:t>
      </w:r>
      <w:proofErr w:type="spellEnd"/>
      <w:r w:rsidRPr="009B2D0F">
        <w:rPr>
          <w:rFonts w:cs="Times New Roman"/>
          <w:lang w:val="fr-CA"/>
        </w:rPr>
        <w:t xml:space="preserve"> et de contrarier son frère, ce qui est manifestement déraisonnable.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De plus, la Cour a le pouvoir d</w:t>
      </w:r>
      <w:r>
        <w:rPr>
          <w:rFonts w:cs="Times New Roman"/>
          <w:lang w:val="fr-CA"/>
        </w:rPr>
        <w:t>’</w:t>
      </w:r>
      <w:r w:rsidRPr="009B2D0F">
        <w:rPr>
          <w:rFonts w:cs="Times New Roman"/>
          <w:lang w:val="fr-CA"/>
        </w:rPr>
        <w:t>ordonner à Gloria d</w:t>
      </w:r>
      <w:r>
        <w:rPr>
          <w:rFonts w:cs="Times New Roman"/>
          <w:lang w:val="fr-CA"/>
        </w:rPr>
        <w:t>’</w:t>
      </w:r>
      <w:r w:rsidRPr="009B2D0F">
        <w:rPr>
          <w:rFonts w:cs="Times New Roman"/>
          <w:lang w:val="fr-CA"/>
        </w:rPr>
        <w:t>exercer son pouvoir discrétionnaire d</w:t>
      </w:r>
      <w:r>
        <w:rPr>
          <w:rFonts w:cs="Times New Roman"/>
          <w:lang w:val="fr-CA"/>
        </w:rPr>
        <w:t>’</w:t>
      </w:r>
      <w:r w:rsidRPr="009B2D0F">
        <w:rPr>
          <w:rFonts w:cs="Times New Roman"/>
          <w:lang w:val="fr-CA"/>
        </w:rPr>
        <w:t>exécutrice testamentaire d</w:t>
      </w:r>
      <w:r>
        <w:rPr>
          <w:rFonts w:cs="Times New Roman"/>
          <w:lang w:val="fr-CA"/>
        </w:rPr>
        <w:t>’</w:t>
      </w:r>
      <w:r w:rsidRPr="009B2D0F">
        <w:rPr>
          <w:rFonts w:cs="Times New Roman"/>
          <w:lang w:val="fr-CA"/>
        </w:rPr>
        <w:t>une certaine façon. En sa qualité d</w:t>
      </w:r>
      <w:r>
        <w:rPr>
          <w:rFonts w:cs="Times New Roman"/>
          <w:lang w:val="fr-CA"/>
        </w:rPr>
        <w:t>’</w:t>
      </w:r>
      <w:r w:rsidRPr="009B2D0F">
        <w:rPr>
          <w:rFonts w:cs="Times New Roman"/>
          <w:lang w:val="fr-CA"/>
        </w:rPr>
        <w:t>exécutrice testamentaire, Gloria agit à titre fiduciaire et a des obligations envers les bénéficiaires de la succession. Les tribunaux peuvent intervenir dans l</w:t>
      </w:r>
      <w:r>
        <w:rPr>
          <w:rFonts w:cs="Times New Roman"/>
          <w:lang w:val="fr-CA"/>
        </w:rPr>
        <w:t>’</w:t>
      </w:r>
      <w:r w:rsidRPr="009B2D0F">
        <w:rPr>
          <w:rFonts w:cs="Times New Roman"/>
          <w:lang w:val="fr-CA"/>
        </w:rPr>
        <w:t>exercice du pouvoir discrétionnaire d</w:t>
      </w:r>
      <w:r>
        <w:rPr>
          <w:rFonts w:cs="Times New Roman"/>
          <w:lang w:val="fr-CA"/>
        </w:rPr>
        <w:t>’</w:t>
      </w:r>
      <w:r w:rsidRPr="009B2D0F">
        <w:rPr>
          <w:rFonts w:cs="Times New Roman"/>
          <w:lang w:val="fr-CA"/>
        </w:rPr>
        <w:t>un exécuteur testamentaire lorsqu</w:t>
      </w:r>
      <w:r>
        <w:rPr>
          <w:rFonts w:cs="Times New Roman"/>
          <w:lang w:val="fr-CA"/>
        </w:rPr>
        <w:t>’</w:t>
      </w:r>
      <w:r w:rsidRPr="009B2D0F">
        <w:rPr>
          <w:rFonts w:cs="Times New Roman"/>
          <w:lang w:val="fr-CA"/>
        </w:rPr>
        <w:t xml:space="preserve">il y a manquement à ce devoir fiduciaire (voir </w:t>
      </w:r>
      <w:proofErr w:type="spellStart"/>
      <w:r w:rsidRPr="009B2D0F">
        <w:rPr>
          <w:rFonts w:cs="Times New Roman"/>
          <w:i/>
          <w:lang w:val="fr-CA"/>
        </w:rPr>
        <w:t>Widdifield</w:t>
      </w:r>
      <w:proofErr w:type="spellEnd"/>
      <w:r w:rsidRPr="009B2D0F">
        <w:rPr>
          <w:rFonts w:cs="Times New Roman"/>
          <w:i/>
          <w:lang w:val="fr-CA"/>
        </w:rPr>
        <w:t xml:space="preserve"> on </w:t>
      </w:r>
      <w:proofErr w:type="spellStart"/>
      <w:r w:rsidRPr="009B2D0F">
        <w:rPr>
          <w:rFonts w:cs="Times New Roman"/>
          <w:i/>
          <w:lang w:val="fr-CA"/>
        </w:rPr>
        <w:t>Executors</w:t>
      </w:r>
      <w:proofErr w:type="spellEnd"/>
      <w:r w:rsidRPr="009B2D0F">
        <w:rPr>
          <w:rFonts w:cs="Times New Roman"/>
          <w:i/>
          <w:lang w:val="fr-CA"/>
        </w:rPr>
        <w:t xml:space="preserve"> and Trustees </w:t>
      </w:r>
      <w:r w:rsidRPr="009B2D0F">
        <w:rPr>
          <w:rFonts w:cs="Times New Roman"/>
          <w:lang w:val="fr-CA"/>
        </w:rPr>
        <w:t>(6</w:t>
      </w:r>
      <w:r w:rsidRPr="009B2D0F">
        <w:rPr>
          <w:rFonts w:cs="Times New Roman"/>
          <w:vertAlign w:val="superscript"/>
          <w:lang w:val="fr-CA"/>
        </w:rPr>
        <w:t>e</w:t>
      </w:r>
      <w:r w:rsidRPr="009B2D0F">
        <w:rPr>
          <w:rFonts w:cs="Times New Roman"/>
          <w:lang w:val="fr-CA"/>
        </w:rPr>
        <w:t xml:space="preserve"> éd. (feuilles mobiles)), par C.</w:t>
      </w:r>
      <w:r>
        <w:rPr>
          <w:rFonts w:cs="Times New Roman"/>
          <w:lang w:val="fr-CA"/>
        </w:rPr>
        <w:t> </w:t>
      </w:r>
      <w:r w:rsidRPr="009B2D0F">
        <w:rPr>
          <w:rFonts w:cs="Times New Roman"/>
          <w:lang w:val="fr-CA"/>
        </w:rPr>
        <w:t>S.</w:t>
      </w:r>
      <w:r>
        <w:rPr>
          <w:rFonts w:cs="Times New Roman"/>
          <w:lang w:val="fr-CA"/>
        </w:rPr>
        <w:t> </w:t>
      </w:r>
      <w:r w:rsidRPr="009B2D0F">
        <w:rPr>
          <w:rFonts w:cs="Times New Roman"/>
          <w:lang w:val="fr-CA"/>
        </w:rPr>
        <w:t xml:space="preserve">Thériault, </w:t>
      </w:r>
      <w:r>
        <w:rPr>
          <w:rFonts w:cs="Times New Roman"/>
          <w:lang w:val="fr-CA"/>
        </w:rPr>
        <w:t>p. </w:t>
      </w:r>
      <w:r w:rsidRPr="009B2D0F">
        <w:rPr>
          <w:rFonts w:cs="Times New Roman"/>
          <w:lang w:val="fr-CA"/>
        </w:rPr>
        <w:t>8</w:t>
      </w:r>
      <w:r>
        <w:rPr>
          <w:rFonts w:cs="Times New Roman"/>
          <w:lang w:val="fr-CA"/>
        </w:rPr>
        <w:noBreakHyphen/>
      </w:r>
      <w:r w:rsidRPr="009B2D0F">
        <w:rPr>
          <w:rFonts w:cs="Times New Roman"/>
          <w:lang w:val="fr-CA"/>
        </w:rPr>
        <w:t>4). En l</w:t>
      </w:r>
      <w:r>
        <w:rPr>
          <w:rFonts w:cs="Times New Roman"/>
          <w:lang w:val="fr-CA"/>
        </w:rPr>
        <w:t>’</w:t>
      </w:r>
      <w:r w:rsidRPr="009B2D0F">
        <w:rPr>
          <w:rFonts w:cs="Times New Roman"/>
          <w:lang w:val="fr-CA"/>
        </w:rPr>
        <w:t>espèce, le conflit d</w:t>
      </w:r>
      <w:r>
        <w:rPr>
          <w:rFonts w:cs="Times New Roman"/>
          <w:lang w:val="fr-CA"/>
        </w:rPr>
        <w:t>’</w:t>
      </w:r>
      <w:r w:rsidRPr="009B2D0F">
        <w:rPr>
          <w:rFonts w:cs="Times New Roman"/>
          <w:lang w:val="fr-CA"/>
        </w:rPr>
        <w:t>intérêts de Gloria et sa mauvaise foi justifient d</w:t>
      </w:r>
      <w:r>
        <w:rPr>
          <w:rFonts w:cs="Times New Roman"/>
          <w:lang w:val="fr-CA"/>
        </w:rPr>
        <w:t>’</w:t>
      </w:r>
      <w:r w:rsidRPr="009B2D0F">
        <w:rPr>
          <w:rFonts w:cs="Times New Roman"/>
          <w:lang w:val="fr-CA"/>
        </w:rPr>
        <w:t>ordonner un partage en nature.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Les devoirs de Gloria en sa qualité d</w:t>
      </w:r>
      <w:r>
        <w:rPr>
          <w:rFonts w:cs="Times New Roman"/>
          <w:lang w:val="fr-CA"/>
        </w:rPr>
        <w:t>’</w:t>
      </w:r>
      <w:r w:rsidRPr="009B2D0F">
        <w:rPr>
          <w:rFonts w:cs="Times New Roman"/>
          <w:lang w:val="fr-CA"/>
        </w:rPr>
        <w:t xml:space="preserve">exécutrice testamentaire sont clairement incompatibles avec ses intérêts en sa qualité de bénéficiaire. En tant que bénéficiaire, Gloria peut être tenue de satisfaire à son obligation en </w:t>
      </w:r>
      <w:proofErr w:type="spellStart"/>
      <w:r w:rsidRPr="009B2D0F">
        <w:rPr>
          <w:rFonts w:cs="Times New Roman"/>
          <w:lang w:val="fr-CA"/>
        </w:rPr>
        <w:t>equity</w:t>
      </w:r>
      <w:proofErr w:type="spellEnd"/>
      <w:r w:rsidRPr="009B2D0F">
        <w:rPr>
          <w:rFonts w:cs="Times New Roman"/>
          <w:lang w:val="fr-CA"/>
        </w:rPr>
        <w:t xml:space="preserve"> envers Max seulement si les éléments de la préclusion propriétale sont réunis. À titre d</w:t>
      </w:r>
      <w:r>
        <w:rPr>
          <w:rFonts w:cs="Times New Roman"/>
          <w:lang w:val="fr-CA"/>
        </w:rPr>
        <w:t>’</w:t>
      </w:r>
      <w:r w:rsidRPr="009B2D0F">
        <w:rPr>
          <w:rFonts w:cs="Times New Roman"/>
          <w:lang w:val="fr-CA"/>
        </w:rPr>
        <w:t>exécutrice testamentaire, elle pourrait empêcher cela en décidant de ne pas effectuer un partage en nature de la propriété. Lorsqu</w:t>
      </w:r>
      <w:r>
        <w:rPr>
          <w:rFonts w:cs="Times New Roman"/>
          <w:lang w:val="fr-CA"/>
        </w:rPr>
        <w:t>’</w:t>
      </w:r>
      <w:r w:rsidRPr="009B2D0F">
        <w:rPr>
          <w:rFonts w:cs="Times New Roman"/>
          <w:lang w:val="fr-CA"/>
        </w:rPr>
        <w:t>un exécuteur testamentaire en conflit d</w:t>
      </w:r>
      <w:r>
        <w:rPr>
          <w:rFonts w:cs="Times New Roman"/>
          <w:lang w:val="fr-CA"/>
        </w:rPr>
        <w:t>’</w:t>
      </w:r>
      <w:r w:rsidRPr="009B2D0F">
        <w:rPr>
          <w:rFonts w:cs="Times New Roman"/>
          <w:lang w:val="fr-CA"/>
        </w:rPr>
        <w:t xml:space="preserve">intérêts exerce </w:t>
      </w:r>
      <w:r w:rsidRPr="009B2D0F">
        <w:rPr>
          <w:rFonts w:cs="Times New Roman"/>
          <w:lang w:val="fr-CA"/>
        </w:rPr>
        <w:lastRenderedPageBreak/>
        <w:t xml:space="preserve">son pouvoir discrétionnaire pour convertir un bien de la succession en argent sans raison impérieuse (et contre la volonté expresse des bénéficiaires), les tribunaux peuvent intervenir (voir </w:t>
      </w:r>
      <w:r w:rsidRPr="009B2D0F">
        <w:rPr>
          <w:rFonts w:cs="Times New Roman"/>
          <w:i/>
          <w:lang w:val="fr-CA"/>
        </w:rPr>
        <w:t xml:space="preserve">Staub c. Staub </w:t>
      </w:r>
      <w:proofErr w:type="spellStart"/>
      <w:r w:rsidRPr="009B2D0F">
        <w:rPr>
          <w:rFonts w:cs="Times New Roman"/>
          <w:i/>
          <w:lang w:val="fr-CA"/>
        </w:rPr>
        <w:t>Estate</w:t>
      </w:r>
      <w:proofErr w:type="spellEnd"/>
      <w:r w:rsidR="009B5F8D">
        <w:rPr>
          <w:rFonts w:cs="Times New Roman"/>
          <w:lang w:val="fr-CA"/>
        </w:rPr>
        <w:t>, 2003 ABCA 122, 2</w:t>
      </w:r>
      <w:r w:rsidRPr="009B2D0F">
        <w:rPr>
          <w:rFonts w:cs="Times New Roman"/>
          <w:lang w:val="fr-CA"/>
        </w:rPr>
        <w:t xml:space="preserve">26 D.L.R. (4th) 327, </w:t>
      </w:r>
      <w:r>
        <w:rPr>
          <w:rFonts w:cs="Times New Roman"/>
          <w:lang w:val="fr-CA"/>
        </w:rPr>
        <w:t>par. </w:t>
      </w:r>
      <w:r w:rsidRPr="009B2D0F">
        <w:rPr>
          <w:rFonts w:cs="Times New Roman"/>
          <w:lang w:val="fr-CA"/>
        </w:rPr>
        <w:t>14</w:t>
      </w:r>
      <w:r>
        <w:rPr>
          <w:rFonts w:cs="Times New Roman"/>
          <w:lang w:val="fr-CA"/>
        </w:rPr>
        <w:noBreakHyphen/>
      </w:r>
      <w:r w:rsidRPr="009B2D0F">
        <w:rPr>
          <w:rFonts w:cs="Times New Roman"/>
          <w:lang w:val="fr-CA"/>
        </w:rPr>
        <w:t>24). Gloria n</w:t>
      </w:r>
      <w:r>
        <w:rPr>
          <w:rFonts w:cs="Times New Roman"/>
          <w:lang w:val="fr-CA"/>
        </w:rPr>
        <w:t>’</w:t>
      </w:r>
      <w:r w:rsidRPr="009B2D0F">
        <w:rPr>
          <w:rFonts w:cs="Times New Roman"/>
          <w:lang w:val="fr-CA"/>
        </w:rPr>
        <w:t>a pas invoqué de raison impérieuse pour laquelle un partage en nature devrait être refusé, et elle n</w:t>
      </w:r>
      <w:r>
        <w:rPr>
          <w:rFonts w:cs="Times New Roman"/>
          <w:lang w:val="fr-CA"/>
        </w:rPr>
        <w:t>’</w:t>
      </w:r>
      <w:r w:rsidRPr="009B2D0F">
        <w:rPr>
          <w:rFonts w:cs="Times New Roman"/>
          <w:lang w:val="fr-CA"/>
        </w:rPr>
        <w:t>a pas non plus expliqué de quelle façon la vente de la propriété maximiserait la valeur de la succession. Le fait d</w:t>
      </w:r>
      <w:r>
        <w:rPr>
          <w:rFonts w:cs="Times New Roman"/>
          <w:lang w:val="fr-CA"/>
        </w:rPr>
        <w:t>’</w:t>
      </w:r>
      <w:r w:rsidRPr="009B2D0F">
        <w:rPr>
          <w:rFonts w:cs="Times New Roman"/>
          <w:lang w:val="fr-CA"/>
        </w:rPr>
        <w:t>ordonner un partage en nature en l</w:t>
      </w:r>
      <w:r>
        <w:rPr>
          <w:rFonts w:cs="Times New Roman"/>
          <w:lang w:val="fr-CA"/>
        </w:rPr>
        <w:t>’</w:t>
      </w:r>
      <w:r w:rsidRPr="009B2D0F">
        <w:rPr>
          <w:rFonts w:cs="Times New Roman"/>
          <w:lang w:val="fr-CA"/>
        </w:rPr>
        <w:t>espèce règle le problème du conflit d</w:t>
      </w:r>
      <w:r>
        <w:rPr>
          <w:rFonts w:cs="Times New Roman"/>
          <w:lang w:val="fr-CA"/>
        </w:rPr>
        <w:t>’</w:t>
      </w:r>
      <w:r w:rsidRPr="009B2D0F">
        <w:rPr>
          <w:rFonts w:cs="Times New Roman"/>
          <w:lang w:val="fr-CA"/>
        </w:rPr>
        <w:t>intérêts de Gloria en permettant d</w:t>
      </w:r>
      <w:r>
        <w:rPr>
          <w:rFonts w:cs="Times New Roman"/>
          <w:lang w:val="fr-CA"/>
        </w:rPr>
        <w:t>’</w:t>
      </w:r>
      <w:r w:rsidRPr="009B2D0F">
        <w:rPr>
          <w:rFonts w:cs="Times New Roman"/>
          <w:lang w:val="fr-CA"/>
        </w:rPr>
        <w:t>éviter les retards ou les dépenses qu</w:t>
      </w:r>
      <w:r>
        <w:rPr>
          <w:rFonts w:cs="Times New Roman"/>
          <w:lang w:val="fr-CA"/>
        </w:rPr>
        <w:t>’</w:t>
      </w:r>
      <w:r w:rsidRPr="009B2D0F">
        <w:rPr>
          <w:rFonts w:cs="Times New Roman"/>
          <w:lang w:val="fr-CA"/>
        </w:rPr>
        <w:t>occasionnerait son remplacement en tant qu</w:t>
      </w:r>
      <w:r>
        <w:rPr>
          <w:rFonts w:cs="Times New Roman"/>
          <w:lang w:val="fr-CA"/>
        </w:rPr>
        <w:t>’</w:t>
      </w:r>
      <w:r w:rsidRPr="009B2D0F">
        <w:rPr>
          <w:rFonts w:cs="Times New Roman"/>
          <w:lang w:val="fr-CA"/>
        </w:rPr>
        <w:t>exécutrice testamentaire.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De plus, la mauvaise foi de Gloria justifie d</w:t>
      </w:r>
      <w:r>
        <w:rPr>
          <w:rFonts w:cs="Times New Roman"/>
          <w:lang w:val="fr-CA"/>
        </w:rPr>
        <w:t>’</w:t>
      </w:r>
      <w:r w:rsidRPr="009B2D0F">
        <w:rPr>
          <w:rFonts w:cs="Times New Roman"/>
          <w:lang w:val="fr-CA"/>
        </w:rPr>
        <w:t>ordonner un tel partage. La juge de première instance a conclu que Gloria était [</w:t>
      </w:r>
      <w:r w:rsidRPr="009B2D0F">
        <w:rPr>
          <w:rFonts w:cs="Times New Roman"/>
          <w:smallCaps/>
          <w:lang w:val="fr-CA"/>
        </w:rPr>
        <w:t>traduction</w:t>
      </w:r>
      <w:r w:rsidRPr="009B2D0F">
        <w:rPr>
          <w:rFonts w:cs="Times New Roman"/>
          <w:lang w:val="fr-CA"/>
        </w:rPr>
        <w:t>] « aveuglée par son animosité envers ses frères » (</w:t>
      </w:r>
      <w:r>
        <w:rPr>
          <w:rFonts w:cs="Times New Roman"/>
          <w:lang w:val="fr-CA"/>
        </w:rPr>
        <w:t>par. </w:t>
      </w:r>
      <w:r w:rsidRPr="009B2D0F">
        <w:rPr>
          <w:rFonts w:cs="Times New Roman"/>
          <w:lang w:val="fr-CA"/>
        </w:rPr>
        <w:t>68). Gloria a induit ses frères en erreur en ce qui a trait au contenu de la succession et au partage prévu de celle</w:t>
      </w:r>
      <w:r>
        <w:rPr>
          <w:rFonts w:cs="Times New Roman"/>
          <w:lang w:val="fr-CA"/>
        </w:rPr>
        <w:noBreakHyphen/>
      </w:r>
      <w:r w:rsidRPr="009B2D0F">
        <w:rPr>
          <w:rFonts w:cs="Times New Roman"/>
          <w:lang w:val="fr-CA"/>
        </w:rPr>
        <w:t xml:space="preserve">ci, et le dossier révèle </w:t>
      </w:r>
      <w:r w:rsidR="00A656B0">
        <w:rPr>
          <w:rFonts w:cs="Times New Roman"/>
          <w:lang w:val="fr-CA"/>
        </w:rPr>
        <w:t>10</w:t>
      </w:r>
      <w:r w:rsidRPr="009B2D0F">
        <w:rPr>
          <w:rFonts w:cs="Times New Roman"/>
          <w:lang w:val="fr-CA"/>
        </w:rPr>
        <w:t xml:space="preserve"> années de querelle au sujet de la propriété. Ces éléments sont des preuves convaincantes que, si la Cour n</w:t>
      </w:r>
      <w:r>
        <w:rPr>
          <w:rFonts w:cs="Times New Roman"/>
          <w:lang w:val="fr-CA"/>
        </w:rPr>
        <w:t>’</w:t>
      </w:r>
      <w:r w:rsidRPr="009B2D0F">
        <w:rPr>
          <w:rFonts w:cs="Times New Roman"/>
          <w:lang w:val="fr-CA"/>
        </w:rPr>
        <w:t>intervient pas, Gloria continuera à exercer son pouvoir discrétionnaire de mauvaise foi; or, un partage en nature permet d</w:t>
      </w:r>
      <w:r>
        <w:rPr>
          <w:rFonts w:cs="Times New Roman"/>
          <w:lang w:val="fr-CA"/>
        </w:rPr>
        <w:t>’</w:t>
      </w:r>
      <w:r w:rsidRPr="009B2D0F">
        <w:rPr>
          <w:rFonts w:cs="Times New Roman"/>
          <w:lang w:val="fr-CA"/>
        </w:rPr>
        <w:t>éviter cela.</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Je suis donc d</w:t>
      </w:r>
      <w:r>
        <w:rPr>
          <w:rFonts w:cs="Times New Roman"/>
          <w:lang w:val="fr-CA"/>
        </w:rPr>
        <w:t>’</w:t>
      </w:r>
      <w:r w:rsidRPr="009B2D0F">
        <w:rPr>
          <w:rFonts w:cs="Times New Roman"/>
          <w:lang w:val="fr-CA"/>
        </w:rPr>
        <w:t>avis d</w:t>
      </w:r>
      <w:r>
        <w:rPr>
          <w:rFonts w:cs="Times New Roman"/>
          <w:lang w:val="fr-CA"/>
        </w:rPr>
        <w:t>’</w:t>
      </w:r>
      <w:r w:rsidRPr="009B2D0F">
        <w:rPr>
          <w:rFonts w:cs="Times New Roman"/>
          <w:lang w:val="fr-CA"/>
        </w:rPr>
        <w:t>ordonner à Gloria, en sa qualité d</w:t>
      </w:r>
      <w:r>
        <w:rPr>
          <w:rFonts w:cs="Times New Roman"/>
          <w:lang w:val="fr-CA"/>
        </w:rPr>
        <w:t>’</w:t>
      </w:r>
      <w:r w:rsidRPr="009B2D0F">
        <w:rPr>
          <w:rFonts w:cs="Times New Roman"/>
          <w:lang w:val="fr-CA"/>
        </w:rPr>
        <w:t>exécutrice testamentaire, de partager immédiatement la propriété en intérêts égaux d</w:t>
      </w:r>
      <w:r>
        <w:rPr>
          <w:rFonts w:cs="Times New Roman"/>
          <w:lang w:val="fr-CA"/>
        </w:rPr>
        <w:t>’</w:t>
      </w:r>
      <w:r w:rsidRPr="009B2D0F">
        <w:rPr>
          <w:rFonts w:cs="Times New Roman"/>
          <w:lang w:val="fr-CA"/>
        </w:rPr>
        <w:t>un tiers qu</w:t>
      </w:r>
      <w:r>
        <w:rPr>
          <w:rFonts w:cs="Times New Roman"/>
          <w:lang w:val="fr-CA"/>
        </w:rPr>
        <w:t>’</w:t>
      </w:r>
      <w:r w:rsidRPr="009B2D0F">
        <w:rPr>
          <w:rFonts w:cs="Times New Roman"/>
          <w:lang w:val="fr-CA"/>
        </w:rPr>
        <w:t>elle remettra à Max, à Nathan et à elle</w:t>
      </w:r>
      <w:r>
        <w:rPr>
          <w:rFonts w:cs="Times New Roman"/>
          <w:lang w:val="fr-CA"/>
        </w:rPr>
        <w:noBreakHyphen/>
      </w:r>
      <w:r w:rsidRPr="009B2D0F">
        <w:rPr>
          <w:rFonts w:cs="Times New Roman"/>
          <w:lang w:val="fr-CA"/>
        </w:rPr>
        <w:t>même à titre de bénéficiaires de la succession d</w:t>
      </w:r>
      <w:r>
        <w:rPr>
          <w:rFonts w:cs="Times New Roman"/>
          <w:lang w:val="fr-CA"/>
        </w:rPr>
        <w:t>’</w:t>
      </w:r>
      <w:r w:rsidRPr="009B2D0F">
        <w:rPr>
          <w:rFonts w:cs="Times New Roman"/>
          <w:lang w:val="fr-CA"/>
        </w:rPr>
        <w:t>Elizabeth. Aussitôt qu</w:t>
      </w:r>
      <w:r>
        <w:rPr>
          <w:rFonts w:cs="Times New Roman"/>
          <w:lang w:val="fr-CA"/>
        </w:rPr>
        <w:t>’</w:t>
      </w:r>
      <w:r w:rsidRPr="009B2D0F">
        <w:rPr>
          <w:rFonts w:cs="Times New Roman"/>
          <w:lang w:val="fr-CA"/>
        </w:rPr>
        <w:t>elle l</w:t>
      </w:r>
      <w:r>
        <w:rPr>
          <w:rFonts w:cs="Times New Roman"/>
          <w:lang w:val="fr-CA"/>
        </w:rPr>
        <w:t>’</w:t>
      </w:r>
      <w:r w:rsidRPr="009B2D0F">
        <w:rPr>
          <w:rFonts w:cs="Times New Roman"/>
          <w:lang w:val="fr-CA"/>
        </w:rPr>
        <w:t>aura fait, les éléments de la préclusion propriétale seront réunis</w:t>
      </w:r>
      <w:r>
        <w:rPr>
          <w:rFonts w:cs="Times New Roman"/>
          <w:lang w:val="fr-CA"/>
        </w:rPr>
        <w:t> :</w:t>
      </w:r>
    </w:p>
    <w:p w:rsidR="00987842" w:rsidRPr="009B2D0F" w:rsidRDefault="00987842" w:rsidP="009B5F8D">
      <w:pPr>
        <w:pStyle w:val="Citation-AltC"/>
        <w:numPr>
          <w:ilvl w:val="0"/>
          <w:numId w:val="16"/>
        </w:numPr>
        <w:spacing w:after="480" w:line="480" w:lineRule="auto"/>
        <w:ind w:left="360"/>
        <w:contextualSpacing w:val="0"/>
        <w:rPr>
          <w:lang w:val="fr-CA"/>
        </w:rPr>
      </w:pPr>
      <w:r w:rsidRPr="009B2D0F">
        <w:rPr>
          <w:lang w:val="fr-CA"/>
        </w:rPr>
        <w:lastRenderedPageBreak/>
        <w:t>Gloria — qui, par l</w:t>
      </w:r>
      <w:r>
        <w:rPr>
          <w:lang w:val="fr-CA"/>
        </w:rPr>
        <w:t>’</w:t>
      </w:r>
      <w:r w:rsidRPr="009B2D0F">
        <w:rPr>
          <w:lang w:val="fr-CA"/>
        </w:rPr>
        <w:t>effet de l</w:t>
      </w:r>
      <w:r>
        <w:rPr>
          <w:lang w:val="fr-CA"/>
        </w:rPr>
        <w:t>’</w:t>
      </w:r>
      <w:r w:rsidRPr="009B2D0F">
        <w:rPr>
          <w:lang w:val="fr-CA"/>
        </w:rPr>
        <w:t>ordonnance de notre Cour, détiendra un intérêt sur le tiers de la propriété — a fait une promesse à Max, sur le fondement de laquelle celui</w:t>
      </w:r>
      <w:r>
        <w:rPr>
          <w:lang w:val="fr-CA"/>
        </w:rPr>
        <w:noBreakHyphen/>
      </w:r>
      <w:r w:rsidRPr="009B2D0F">
        <w:rPr>
          <w:lang w:val="fr-CA"/>
        </w:rPr>
        <w:t>ci s</w:t>
      </w:r>
      <w:r>
        <w:rPr>
          <w:lang w:val="fr-CA"/>
        </w:rPr>
        <w:t>’</w:t>
      </w:r>
      <w:r w:rsidRPr="009B2D0F">
        <w:rPr>
          <w:lang w:val="fr-CA"/>
        </w:rPr>
        <w:t>attendait à bénéficier du droit d</w:t>
      </w:r>
      <w:r>
        <w:rPr>
          <w:lang w:val="fr-CA"/>
        </w:rPr>
        <w:t>’</w:t>
      </w:r>
      <w:r w:rsidRPr="009B2D0F">
        <w:rPr>
          <w:lang w:val="fr-CA"/>
        </w:rPr>
        <w:t>acquérir cet intérêt;</w:t>
      </w:r>
    </w:p>
    <w:p w:rsidR="00987842" w:rsidRPr="009B2D0F" w:rsidRDefault="00987842" w:rsidP="009B5F8D">
      <w:pPr>
        <w:pStyle w:val="Citation-AltC"/>
        <w:numPr>
          <w:ilvl w:val="0"/>
          <w:numId w:val="16"/>
        </w:numPr>
        <w:spacing w:after="480" w:line="480" w:lineRule="auto"/>
        <w:ind w:left="360"/>
        <w:contextualSpacing w:val="0"/>
        <w:rPr>
          <w:lang w:val="fr-CA"/>
        </w:rPr>
      </w:pPr>
      <w:r w:rsidRPr="009B2D0F">
        <w:rPr>
          <w:lang w:val="fr-CA"/>
        </w:rPr>
        <w:t xml:space="preserve">En se fondant raisonnablement sur cette attente, Max est revenu vivre à Victoria pour prendre soin de leur mère pendant les dernières années de sa vie; </w:t>
      </w:r>
    </w:p>
    <w:p w:rsidR="00987842" w:rsidRPr="009B2D0F" w:rsidRDefault="00987842" w:rsidP="009B5F8D">
      <w:pPr>
        <w:pStyle w:val="Citation-AltC"/>
        <w:numPr>
          <w:ilvl w:val="0"/>
          <w:numId w:val="16"/>
        </w:numPr>
        <w:spacing w:after="480" w:line="480" w:lineRule="auto"/>
        <w:ind w:left="360"/>
        <w:contextualSpacing w:val="0"/>
        <w:rPr>
          <w:lang w:val="fr-CA"/>
        </w:rPr>
      </w:pPr>
      <w:r w:rsidRPr="009B2D0F">
        <w:rPr>
          <w:lang w:val="fr-CA"/>
        </w:rPr>
        <w:t xml:space="preserve">Ce faisant, Max a subi un </w:t>
      </w:r>
      <w:r w:rsidRPr="001F2942">
        <w:rPr>
          <w:lang w:val="fr-CA"/>
        </w:rPr>
        <w:t>préjudice</w:t>
      </w:r>
      <w:r w:rsidRPr="009B2D0F">
        <w:rPr>
          <w:lang w:val="fr-CA"/>
        </w:rPr>
        <w:t>, de sorte qu</w:t>
      </w:r>
      <w:r>
        <w:rPr>
          <w:lang w:val="fr-CA"/>
        </w:rPr>
        <w:t>’</w:t>
      </w:r>
      <w:r w:rsidRPr="009B2D0F">
        <w:rPr>
          <w:lang w:val="fr-CA"/>
        </w:rPr>
        <w:t>il serait inéquitable ou injuste de permettre à Gloria de ne pas tenir sa promesse.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Je conclus donc que la juge de première instance n</w:t>
      </w:r>
      <w:r>
        <w:rPr>
          <w:rFonts w:cs="Times New Roman"/>
          <w:lang w:val="fr-CA"/>
        </w:rPr>
        <w:t>’</w:t>
      </w:r>
      <w:r w:rsidRPr="009B2D0F">
        <w:rPr>
          <w:rFonts w:cs="Times New Roman"/>
          <w:lang w:val="fr-CA"/>
        </w:rPr>
        <w:t>a pas commis d</w:t>
      </w:r>
      <w:r>
        <w:rPr>
          <w:rFonts w:cs="Times New Roman"/>
          <w:lang w:val="fr-CA"/>
        </w:rPr>
        <w:t>’</w:t>
      </w:r>
      <w:r w:rsidRPr="009B2D0F">
        <w:rPr>
          <w:rFonts w:cs="Times New Roman"/>
          <w:lang w:val="fr-CA"/>
        </w:rPr>
        <w:t>erreur en faisant droit à la demande de Max fondée sur la préclusion propriétale.</w:t>
      </w:r>
    </w:p>
    <w:p w:rsidR="00987842" w:rsidRPr="009B2D0F" w:rsidRDefault="00987842" w:rsidP="00987842">
      <w:pPr>
        <w:pStyle w:val="Title2LevelTitre2Niveau"/>
        <w:rPr>
          <w:rFonts w:cs="Times New Roman"/>
          <w:lang w:val="fr-CA"/>
        </w:rPr>
      </w:pPr>
      <w:r w:rsidRPr="009B2D0F">
        <w:rPr>
          <w:rFonts w:cs="Times New Roman"/>
          <w:lang w:val="fr-CA"/>
        </w:rPr>
        <w:t>Quelle réparation convient</w:t>
      </w:r>
      <w:r>
        <w:rPr>
          <w:rFonts w:cs="Times New Roman"/>
          <w:lang w:val="fr-CA"/>
        </w:rPr>
        <w:noBreakHyphen/>
      </w:r>
      <w:r w:rsidRPr="009B2D0F">
        <w:rPr>
          <w:rFonts w:cs="Times New Roman"/>
          <w:lang w:val="fr-CA"/>
        </w:rPr>
        <w:t>il d</w:t>
      </w:r>
      <w:r>
        <w:rPr>
          <w:rFonts w:cs="Times New Roman"/>
          <w:lang w:val="fr-CA"/>
        </w:rPr>
        <w:t>’</w:t>
      </w:r>
      <w:r w:rsidRPr="009B2D0F">
        <w:rPr>
          <w:rFonts w:cs="Times New Roman"/>
          <w:lang w:val="fr-CA"/>
        </w:rPr>
        <w:t>accorder?</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Lorsque le demandeur a établi la préclusion propriétale, le tribunal dispose d</w:t>
      </w:r>
      <w:r>
        <w:rPr>
          <w:rFonts w:cs="Times New Roman"/>
          <w:lang w:val="fr-CA"/>
        </w:rPr>
        <w:t>’</w:t>
      </w:r>
      <w:r w:rsidRPr="009B2D0F">
        <w:rPr>
          <w:rFonts w:cs="Times New Roman"/>
          <w:lang w:val="fr-CA"/>
        </w:rPr>
        <w:t xml:space="preserve">un large pouvoir discrétionnaire pour concevoir une réparation adaptée aux circonstances (voir </w:t>
      </w:r>
      <w:r w:rsidRPr="009B2D0F">
        <w:rPr>
          <w:rFonts w:cs="Times New Roman"/>
          <w:i/>
          <w:lang w:val="fr-CA"/>
        </w:rPr>
        <w:t>Griffiths c. Williams</w:t>
      </w:r>
      <w:r w:rsidRPr="009B2D0F">
        <w:rPr>
          <w:rFonts w:cs="Times New Roman"/>
          <w:lang w:val="fr-CA"/>
        </w:rPr>
        <w:t xml:space="preserve">, [1978] 2 E.G.L.R. 121 (C.A.), </w:t>
      </w:r>
      <w:r>
        <w:rPr>
          <w:rFonts w:cs="Times New Roman"/>
          <w:lang w:val="fr-CA"/>
        </w:rPr>
        <w:t>p. </w:t>
      </w:r>
      <w:r w:rsidRPr="009B2D0F">
        <w:rPr>
          <w:rFonts w:cs="Times New Roman"/>
          <w:lang w:val="fr-CA"/>
        </w:rPr>
        <w:t xml:space="preserve">122, le lord juge Goff;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498</w:t>
      </w:r>
      <w:r>
        <w:rPr>
          <w:rFonts w:cs="Times New Roman"/>
          <w:lang w:val="fr-CA"/>
        </w:rPr>
        <w:noBreakHyphen/>
      </w:r>
      <w:r w:rsidRPr="009B2D0F">
        <w:rPr>
          <w:rFonts w:cs="Times New Roman"/>
          <w:lang w:val="fr-CA"/>
        </w:rPr>
        <w:t>501). Comme il en va de l</w:t>
      </w:r>
      <w:r>
        <w:rPr>
          <w:rFonts w:cs="Times New Roman"/>
          <w:lang w:val="fr-CA"/>
        </w:rPr>
        <w:t>’</w:t>
      </w:r>
      <w:r w:rsidRPr="009B2D0F">
        <w:rPr>
          <w:rFonts w:cs="Times New Roman"/>
          <w:lang w:val="fr-CA"/>
        </w:rPr>
        <w:t>exercice de tout pouvoir discrétionnaire, le tribunal d</w:t>
      </w:r>
      <w:r>
        <w:rPr>
          <w:rFonts w:cs="Times New Roman"/>
          <w:lang w:val="fr-CA"/>
        </w:rPr>
        <w:t>’</w:t>
      </w:r>
      <w:r w:rsidRPr="009B2D0F">
        <w:rPr>
          <w:rFonts w:cs="Times New Roman"/>
          <w:lang w:val="fr-CA"/>
        </w:rPr>
        <w:t xml:space="preserve">appel ne devrait intervenir que si la décision du juge de première instance révèle une erreur de principe ou est nettement erronée (voir </w:t>
      </w:r>
      <w:r w:rsidRPr="009B2D0F">
        <w:rPr>
          <w:rFonts w:cs="Times New Roman"/>
          <w:i/>
          <w:iCs/>
          <w:lang w:val="fr-CA"/>
        </w:rPr>
        <w:t>de Montigny c. Brossard (Succession)</w:t>
      </w:r>
      <w:r w:rsidRPr="009B2D0F">
        <w:rPr>
          <w:rFonts w:cs="Times New Roman"/>
          <w:lang w:val="fr-CA"/>
        </w:rPr>
        <w:t xml:space="preserve">, 2010 CSC 51, [2010] 3 R.C.S. 64, </w:t>
      </w:r>
      <w:r>
        <w:rPr>
          <w:rFonts w:cs="Times New Roman"/>
          <w:lang w:val="fr-CA"/>
        </w:rPr>
        <w:t>par. </w:t>
      </w:r>
      <w:r w:rsidRPr="009B2D0F">
        <w:rPr>
          <w:rFonts w:cs="Times New Roman"/>
          <w:lang w:val="fr-CA"/>
        </w:rPr>
        <w:t xml:space="preserve">27, citant </w:t>
      </w:r>
      <w:proofErr w:type="spellStart"/>
      <w:r w:rsidRPr="009B2D0F">
        <w:rPr>
          <w:rFonts w:cs="Times New Roman"/>
          <w:i/>
          <w:iCs/>
          <w:lang w:val="fr-CA"/>
        </w:rPr>
        <w:t>Housen</w:t>
      </w:r>
      <w:proofErr w:type="spellEnd"/>
      <w:r w:rsidRPr="009B2D0F">
        <w:rPr>
          <w:rFonts w:cs="Times New Roman"/>
          <w:lang w:val="fr-CA"/>
        </w:rPr>
        <w:t xml:space="preserve">, </w:t>
      </w:r>
      <w:r>
        <w:rPr>
          <w:rFonts w:cs="Times New Roman"/>
          <w:lang w:val="fr-CA"/>
        </w:rPr>
        <w:t>par. </w:t>
      </w:r>
      <w:r w:rsidRPr="009B2D0F">
        <w:rPr>
          <w:rFonts w:cs="Times New Roman"/>
          <w:lang w:val="fr-CA"/>
        </w:rPr>
        <w:t>10 et 25).</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lastRenderedPageBreak/>
        <w:t>Néanmoins, [</w:t>
      </w:r>
      <w:r w:rsidRPr="009B2D0F">
        <w:rPr>
          <w:rFonts w:cs="Times New Roman"/>
          <w:smallCaps/>
          <w:lang w:val="fr-CA"/>
        </w:rPr>
        <w:t>traduction</w:t>
      </w:r>
      <w:r w:rsidRPr="009B2D0F">
        <w:rPr>
          <w:rFonts w:cs="Times New Roman"/>
          <w:lang w:val="fr-CA"/>
        </w:rPr>
        <w:t>] « le tribunal doit adopter une approche raisonnée et ne doit pas exercer un pouvoir discrétionnaire absolu qui soit fonction de la conception personnelle d</w:t>
      </w:r>
      <w:r>
        <w:rPr>
          <w:rFonts w:cs="Times New Roman"/>
          <w:lang w:val="fr-CA"/>
        </w:rPr>
        <w:t>’</w:t>
      </w:r>
      <w:r w:rsidRPr="009B2D0F">
        <w:rPr>
          <w:rFonts w:cs="Times New Roman"/>
          <w:lang w:val="fr-CA"/>
        </w:rPr>
        <w:t>un juge de ce qui est juste dans un cas donné » (</w:t>
      </w:r>
      <w:proofErr w:type="spellStart"/>
      <w:r w:rsidRPr="009B2D0F">
        <w:rPr>
          <w:rFonts w:cs="Times New Roman"/>
          <w:i/>
          <w:lang w:val="fr-CA"/>
        </w:rPr>
        <w:t>Jennings</w:t>
      </w:r>
      <w:proofErr w:type="spellEnd"/>
      <w:r w:rsidRPr="009B2D0F">
        <w:rPr>
          <w:rFonts w:cs="Times New Roman"/>
          <w:i/>
          <w:lang w:val="fr-CA"/>
        </w:rPr>
        <w:t xml:space="preserve"> c. </w:t>
      </w:r>
      <w:proofErr w:type="spellStart"/>
      <w:r w:rsidRPr="009B2D0F">
        <w:rPr>
          <w:rFonts w:cs="Times New Roman"/>
          <w:i/>
          <w:lang w:val="fr-CA"/>
        </w:rPr>
        <w:t>Rice</w:t>
      </w:r>
      <w:proofErr w:type="spellEnd"/>
      <w:r w:rsidRPr="009B2D0F">
        <w:rPr>
          <w:rFonts w:cs="Times New Roman"/>
          <w:lang w:val="fr-CA"/>
        </w:rPr>
        <w:t xml:space="preserve">, </w:t>
      </w:r>
      <w:r w:rsidRPr="009B2D0F">
        <w:rPr>
          <w:lang w:val="fr-CA"/>
        </w:rPr>
        <w:t xml:space="preserve">[2002] EWCA </w:t>
      </w:r>
      <w:proofErr w:type="spellStart"/>
      <w:r w:rsidRPr="009B2D0F">
        <w:rPr>
          <w:lang w:val="fr-CA"/>
        </w:rPr>
        <w:t>Civ</w:t>
      </w:r>
      <w:proofErr w:type="spellEnd"/>
      <w:r w:rsidRPr="009B2D0F">
        <w:rPr>
          <w:lang w:val="fr-CA"/>
        </w:rPr>
        <w:t xml:space="preserve">. 159, [2003] 1 </w:t>
      </w:r>
      <w:r>
        <w:rPr>
          <w:lang w:val="fr-CA"/>
        </w:rPr>
        <w:t>P. </w:t>
      </w:r>
      <w:r w:rsidRPr="009B2D0F">
        <w:rPr>
          <w:lang w:val="fr-CA"/>
        </w:rPr>
        <w:t xml:space="preserve">&amp; C.R. 100, </w:t>
      </w:r>
      <w:r>
        <w:rPr>
          <w:rFonts w:cs="Times New Roman"/>
          <w:lang w:val="fr-CA"/>
        </w:rPr>
        <w:t>par. </w:t>
      </w:r>
      <w:r w:rsidRPr="009B2D0F">
        <w:rPr>
          <w:rFonts w:cs="Times New Roman"/>
          <w:lang w:val="fr-CA"/>
        </w:rPr>
        <w:t>43, le lord juge Walker). Le demandeur qui démontre qu</w:t>
      </w:r>
      <w:r>
        <w:rPr>
          <w:rFonts w:cs="Times New Roman"/>
          <w:lang w:val="fr-CA"/>
        </w:rPr>
        <w:t>’</w:t>
      </w:r>
      <w:r w:rsidRPr="009B2D0F">
        <w:rPr>
          <w:rFonts w:cs="Times New Roman"/>
          <w:lang w:val="fr-CA"/>
        </w:rPr>
        <w:t>il est nécessaire d</w:t>
      </w:r>
      <w:r>
        <w:rPr>
          <w:rFonts w:cs="Times New Roman"/>
          <w:lang w:val="fr-CA"/>
        </w:rPr>
        <w:t>’</w:t>
      </w:r>
      <w:r w:rsidRPr="009B2D0F">
        <w:rPr>
          <w:rFonts w:cs="Times New Roman"/>
          <w:lang w:val="fr-CA"/>
        </w:rPr>
        <w:t>appliquer la préclusion propriétale n</w:t>
      </w:r>
      <w:r>
        <w:rPr>
          <w:rFonts w:cs="Times New Roman"/>
          <w:lang w:val="fr-CA"/>
        </w:rPr>
        <w:t>’</w:t>
      </w:r>
      <w:r w:rsidRPr="009B2D0F">
        <w:rPr>
          <w:rFonts w:cs="Times New Roman"/>
          <w:lang w:val="fr-CA"/>
        </w:rPr>
        <w:t>a droit qu</w:t>
      </w:r>
      <w:r>
        <w:rPr>
          <w:rFonts w:cs="Times New Roman"/>
          <w:lang w:val="fr-CA"/>
        </w:rPr>
        <w:t>’</w:t>
      </w:r>
      <w:r w:rsidRPr="009B2D0F">
        <w:rPr>
          <w:rFonts w:cs="Times New Roman"/>
          <w:lang w:val="fr-CA"/>
        </w:rPr>
        <w:t xml:space="preserve">à la réparation minimale nécessaire pour donner effet au droit en </w:t>
      </w:r>
      <w:proofErr w:type="spellStart"/>
      <w:r w:rsidRPr="009B2D0F">
        <w:rPr>
          <w:rFonts w:cs="Times New Roman"/>
          <w:lang w:val="fr-CA"/>
        </w:rPr>
        <w:t>equity</w:t>
      </w:r>
      <w:proofErr w:type="spellEnd"/>
      <w:r w:rsidRPr="009B2D0F">
        <w:rPr>
          <w:rFonts w:cs="Times New Roman"/>
          <w:lang w:val="fr-CA"/>
        </w:rPr>
        <w:t xml:space="preserve"> en sa faveur (</w:t>
      </w:r>
      <w:r w:rsidR="00A656B0">
        <w:rPr>
          <w:rFonts w:cs="Times New Roman"/>
          <w:lang w:val="fr-CA"/>
        </w:rPr>
        <w:t xml:space="preserve">voir </w:t>
      </w:r>
      <w:r w:rsidRPr="009B2D0F">
        <w:rPr>
          <w:rFonts w:cs="Times New Roman"/>
          <w:i/>
          <w:lang w:val="fr-CA"/>
        </w:rPr>
        <w:t>Clarke</w:t>
      </w:r>
      <w:r w:rsidRPr="009B2D0F">
        <w:rPr>
          <w:rFonts w:cs="Times New Roman"/>
          <w:lang w:val="fr-CA"/>
        </w:rPr>
        <w:t xml:space="preserve">, </w:t>
      </w:r>
      <w:r>
        <w:rPr>
          <w:rFonts w:cs="Times New Roman"/>
          <w:lang w:val="fr-CA"/>
        </w:rPr>
        <w:t>par. </w:t>
      </w:r>
      <w:r w:rsidRPr="009B2D0F">
        <w:rPr>
          <w:rFonts w:cs="Times New Roman"/>
          <w:lang w:val="fr-CA"/>
        </w:rPr>
        <w:t xml:space="preserve">81; </w:t>
      </w:r>
      <w:proofErr w:type="spellStart"/>
      <w:r w:rsidRPr="009B2D0F">
        <w:rPr>
          <w:rFonts w:cs="Times New Roman"/>
          <w:i/>
          <w:lang w:val="fr-CA"/>
        </w:rPr>
        <w:t>Sabey</w:t>
      </w:r>
      <w:proofErr w:type="spellEnd"/>
      <w:r w:rsidRPr="009B2D0F">
        <w:rPr>
          <w:rFonts w:cs="Times New Roman"/>
          <w:lang w:val="fr-CA"/>
        </w:rPr>
        <w:t>,</w:t>
      </w:r>
      <w:r w:rsidRPr="009B2D0F">
        <w:rPr>
          <w:rFonts w:cs="Times New Roman"/>
          <w:i/>
          <w:lang w:val="fr-CA"/>
        </w:rPr>
        <w:t xml:space="preserve"> </w:t>
      </w:r>
      <w:r>
        <w:rPr>
          <w:rFonts w:cs="Times New Roman"/>
          <w:lang w:val="fr-CA"/>
        </w:rPr>
        <w:t>par. </w:t>
      </w:r>
      <w:r w:rsidRPr="009B2D0F">
        <w:rPr>
          <w:rFonts w:cs="Times New Roman"/>
          <w:lang w:val="fr-CA"/>
        </w:rPr>
        <w:t xml:space="preserve">78; </w:t>
      </w:r>
      <w:proofErr w:type="spellStart"/>
      <w:r w:rsidRPr="009B2D0F">
        <w:rPr>
          <w:rFonts w:cs="Times New Roman"/>
          <w:i/>
          <w:lang w:val="fr-CA"/>
        </w:rPr>
        <w:t>Idle</w:t>
      </w:r>
      <w:proofErr w:type="spellEnd"/>
      <w:r>
        <w:rPr>
          <w:rFonts w:cs="Times New Roman"/>
          <w:i/>
          <w:lang w:val="fr-CA"/>
        </w:rPr>
        <w:noBreakHyphen/>
      </w:r>
      <w:r w:rsidRPr="009B2D0F">
        <w:rPr>
          <w:rFonts w:cs="Times New Roman"/>
          <w:i/>
          <w:lang w:val="fr-CA"/>
        </w:rPr>
        <w:t xml:space="preserve">O </w:t>
      </w:r>
      <w:proofErr w:type="spellStart"/>
      <w:r w:rsidRPr="009B2D0F">
        <w:rPr>
          <w:rFonts w:cs="Times New Roman"/>
          <w:i/>
          <w:lang w:val="fr-CA"/>
        </w:rPr>
        <w:t>Apartments</w:t>
      </w:r>
      <w:proofErr w:type="spellEnd"/>
      <w:r w:rsidRPr="009B2D0F">
        <w:rPr>
          <w:rFonts w:cs="Times New Roman"/>
          <w:lang w:val="fr-CA"/>
        </w:rPr>
        <w:t xml:space="preserve">, </w:t>
      </w:r>
      <w:r>
        <w:rPr>
          <w:rFonts w:cs="Times New Roman"/>
          <w:lang w:val="fr-CA"/>
        </w:rPr>
        <w:t>par. </w:t>
      </w:r>
      <w:r w:rsidRPr="009B2D0F">
        <w:rPr>
          <w:rFonts w:cs="Times New Roman"/>
          <w:lang w:val="fr-CA"/>
        </w:rPr>
        <w:t>73;</w:t>
      </w:r>
      <w:r w:rsidRPr="009B2D0F">
        <w:rPr>
          <w:rFonts w:cs="Times New Roman"/>
          <w:i/>
          <w:lang w:val="fr-CA"/>
        </w:rPr>
        <w:t xml:space="preserve"> </w:t>
      </w:r>
      <w:proofErr w:type="spellStart"/>
      <w:r w:rsidRPr="009B2D0F">
        <w:rPr>
          <w:rFonts w:cs="Times New Roman"/>
          <w:i/>
          <w:lang w:val="fr-CA"/>
        </w:rPr>
        <w:t>Sykes</w:t>
      </w:r>
      <w:proofErr w:type="spellEnd"/>
      <w:r w:rsidRPr="009B2D0F">
        <w:rPr>
          <w:rFonts w:cs="Times New Roman"/>
          <w:lang w:val="fr-CA"/>
        </w:rPr>
        <w:t xml:space="preserve">, </w:t>
      </w:r>
      <w:r>
        <w:rPr>
          <w:rFonts w:cs="Times New Roman"/>
          <w:lang w:val="fr-CA"/>
        </w:rPr>
        <w:t>par. </w:t>
      </w:r>
      <w:r w:rsidRPr="009B2D0F">
        <w:rPr>
          <w:rFonts w:cs="Times New Roman"/>
          <w:lang w:val="fr-CA"/>
        </w:rPr>
        <w:t>57</w:t>
      </w:r>
      <w:r>
        <w:rPr>
          <w:rFonts w:cs="Times New Roman"/>
          <w:lang w:val="fr-CA"/>
        </w:rPr>
        <w:noBreakHyphen/>
      </w:r>
      <w:r w:rsidRPr="009B2D0F">
        <w:rPr>
          <w:rFonts w:cs="Times New Roman"/>
          <w:lang w:val="fr-CA"/>
        </w:rPr>
        <w:t xml:space="preserve">58; </w:t>
      </w:r>
      <w:proofErr w:type="spellStart"/>
      <w:r w:rsidRPr="009B2D0F">
        <w:rPr>
          <w:rFonts w:cs="Times New Roman"/>
          <w:lang w:val="fr-CA"/>
        </w:rPr>
        <w:t>MacDougall</w:t>
      </w:r>
      <w:proofErr w:type="spellEnd"/>
      <w:r w:rsidRPr="009B2D0F">
        <w:rPr>
          <w:rFonts w:cs="Times New Roman"/>
          <w:lang w:val="fr-CA"/>
        </w:rPr>
        <w:t xml:space="preserve">, </w:t>
      </w:r>
      <w:r>
        <w:rPr>
          <w:rFonts w:cs="Times New Roman"/>
          <w:lang w:val="fr-CA"/>
        </w:rPr>
        <w:t>p. </w:t>
      </w:r>
      <w:r w:rsidRPr="009B2D0F">
        <w:rPr>
          <w:rFonts w:cs="Times New Roman"/>
          <w:lang w:val="fr-CA"/>
        </w:rPr>
        <w:t>498; R. </w:t>
      </w:r>
      <w:proofErr w:type="spellStart"/>
      <w:r w:rsidRPr="009B2D0F">
        <w:rPr>
          <w:rFonts w:cs="Times New Roman"/>
          <w:lang w:val="fr-CA"/>
        </w:rPr>
        <w:t>Megarry</w:t>
      </w:r>
      <w:proofErr w:type="spellEnd"/>
      <w:r w:rsidRPr="009B2D0F">
        <w:rPr>
          <w:rFonts w:cs="Times New Roman"/>
          <w:lang w:val="fr-CA"/>
        </w:rPr>
        <w:t xml:space="preserve"> et W. Wade, </w:t>
      </w:r>
      <w:r w:rsidRPr="009B2D0F">
        <w:rPr>
          <w:rFonts w:cs="Times New Roman"/>
          <w:i/>
          <w:lang w:val="fr-CA"/>
        </w:rPr>
        <w:t xml:space="preserve">The Law of Real </w:t>
      </w:r>
      <w:proofErr w:type="spellStart"/>
      <w:r w:rsidRPr="009B2D0F">
        <w:rPr>
          <w:rFonts w:cs="Times New Roman"/>
          <w:i/>
          <w:lang w:val="fr-CA"/>
        </w:rPr>
        <w:t>Property</w:t>
      </w:r>
      <w:proofErr w:type="spellEnd"/>
      <w:r w:rsidRPr="009B2D0F">
        <w:rPr>
          <w:rFonts w:cs="Times New Roman"/>
          <w:lang w:val="fr-CA"/>
        </w:rPr>
        <w:t xml:space="preserve"> (8</w:t>
      </w:r>
      <w:r w:rsidRPr="009B2D0F">
        <w:rPr>
          <w:rFonts w:cs="Times New Roman"/>
          <w:vertAlign w:val="superscript"/>
          <w:lang w:val="fr-CA"/>
        </w:rPr>
        <w:t>e</w:t>
      </w:r>
      <w:r w:rsidRPr="009B2D0F">
        <w:rPr>
          <w:rFonts w:cs="Times New Roman"/>
          <w:lang w:val="fr-CA"/>
        </w:rPr>
        <w:t> éd. 2012),</w:t>
      </w:r>
      <w:r w:rsidRPr="009B2D0F">
        <w:rPr>
          <w:rFonts w:cs="Times New Roman"/>
          <w:i/>
          <w:lang w:val="fr-CA"/>
        </w:rPr>
        <w:t xml:space="preserve"> </w:t>
      </w:r>
      <w:r w:rsidRPr="009B2D0F">
        <w:rPr>
          <w:rFonts w:cs="Times New Roman"/>
          <w:lang w:val="fr-CA"/>
        </w:rPr>
        <w:t>par C. </w:t>
      </w:r>
      <w:proofErr w:type="spellStart"/>
      <w:r w:rsidRPr="009B2D0F">
        <w:rPr>
          <w:rFonts w:cs="Times New Roman"/>
          <w:lang w:val="fr-CA"/>
        </w:rPr>
        <w:t>Harpum</w:t>
      </w:r>
      <w:proofErr w:type="spellEnd"/>
      <w:r w:rsidRPr="009B2D0F">
        <w:rPr>
          <w:rFonts w:cs="Times New Roman"/>
          <w:lang w:val="fr-CA"/>
        </w:rPr>
        <w:t xml:space="preserve">, S. Bridge et M. Dixon, </w:t>
      </w:r>
      <w:r>
        <w:rPr>
          <w:rFonts w:cs="Times New Roman"/>
          <w:lang w:val="fr-CA"/>
        </w:rPr>
        <w:t>p. </w:t>
      </w:r>
      <w:r w:rsidRPr="009B2D0F">
        <w:rPr>
          <w:rFonts w:cs="Times New Roman"/>
          <w:lang w:val="fr-CA"/>
        </w:rPr>
        <w:t>731). Puisque l</w:t>
      </w:r>
      <w:r>
        <w:rPr>
          <w:rFonts w:cs="Times New Roman"/>
          <w:lang w:val="fr-CA"/>
        </w:rPr>
        <w:t>’</w:t>
      </w:r>
      <w:proofErr w:type="spellStart"/>
      <w:r w:rsidRPr="009B2D0F">
        <w:rPr>
          <w:rFonts w:cs="Times New Roman"/>
          <w:lang w:val="fr-CA"/>
        </w:rPr>
        <w:t>equity</w:t>
      </w:r>
      <w:proofErr w:type="spellEnd"/>
      <w:r w:rsidRPr="009B2D0F">
        <w:rPr>
          <w:rFonts w:cs="Times New Roman"/>
          <w:lang w:val="fr-CA"/>
        </w:rPr>
        <w:t xml:space="preserve"> vise à corriger le </w:t>
      </w:r>
      <w:r w:rsidRPr="001F2942">
        <w:rPr>
          <w:rFonts w:cs="Times New Roman"/>
          <w:lang w:val="fr-CA"/>
        </w:rPr>
        <w:t>préjudice inéquitable ou injuste que subirait le demandeur si l</w:t>
      </w:r>
      <w:r>
        <w:rPr>
          <w:rFonts w:cs="Times New Roman"/>
          <w:lang w:val="fr-CA"/>
        </w:rPr>
        <w:t>’</w:t>
      </w:r>
      <w:r w:rsidRPr="001F2942">
        <w:rPr>
          <w:rFonts w:cs="Times New Roman"/>
          <w:lang w:val="fr-CA"/>
        </w:rPr>
        <w:t>on permettait au titulaire d</w:t>
      </w:r>
      <w:r>
        <w:rPr>
          <w:rFonts w:cs="Times New Roman"/>
          <w:lang w:val="fr-CA"/>
        </w:rPr>
        <w:t>’</w:t>
      </w:r>
      <w:r w:rsidRPr="001F2942">
        <w:rPr>
          <w:rFonts w:cs="Times New Roman"/>
          <w:lang w:val="fr-CA"/>
        </w:rPr>
        <w:t xml:space="preserve">intérêt de revenir sur une incitation, un encouragement ou un </w:t>
      </w:r>
      <w:r w:rsidRPr="001F2942">
        <w:rPr>
          <w:lang w:val="fr-CA"/>
        </w:rPr>
        <w:t>acquiescement de sa part</w:t>
      </w:r>
      <w:r w:rsidRPr="001F2942">
        <w:rPr>
          <w:rFonts w:cs="Times New Roman"/>
          <w:lang w:val="fr-CA"/>
        </w:rPr>
        <w:t>, [</w:t>
      </w:r>
      <w:r w:rsidRPr="001F2942">
        <w:rPr>
          <w:rFonts w:cs="Times New Roman"/>
          <w:smallCaps/>
          <w:lang w:val="fr-CA"/>
        </w:rPr>
        <w:t>traduction</w:t>
      </w:r>
      <w:r w:rsidRPr="001F2942">
        <w:rPr>
          <w:rFonts w:cs="Times New Roman"/>
          <w:lang w:val="fr-CA"/>
        </w:rPr>
        <w:t>] « il doit y avoir proportionnalité entre la réparation et le préjudice</w:t>
      </w:r>
      <w:r w:rsidRPr="009B2D0F">
        <w:rPr>
          <w:rFonts w:cs="Times New Roman"/>
          <w:lang w:val="fr-CA"/>
        </w:rPr>
        <w:t xml:space="preserve"> qu</w:t>
      </w:r>
      <w:r>
        <w:rPr>
          <w:rFonts w:cs="Times New Roman"/>
          <w:lang w:val="fr-CA"/>
        </w:rPr>
        <w:t>’</w:t>
      </w:r>
      <w:r w:rsidRPr="009B2D0F">
        <w:rPr>
          <w:rFonts w:cs="Times New Roman"/>
          <w:lang w:val="fr-CA"/>
        </w:rPr>
        <w:t>elle a pour objet d</w:t>
      </w:r>
      <w:r>
        <w:rPr>
          <w:rFonts w:cs="Times New Roman"/>
          <w:lang w:val="fr-CA"/>
        </w:rPr>
        <w:t>’</w:t>
      </w:r>
      <w:r w:rsidRPr="009B2D0F">
        <w:rPr>
          <w:rFonts w:cs="Times New Roman"/>
          <w:lang w:val="fr-CA"/>
        </w:rPr>
        <w:t>éviter » (</w:t>
      </w:r>
      <w:r w:rsidRPr="009B2D0F">
        <w:rPr>
          <w:rFonts w:cs="Times New Roman"/>
          <w:i/>
          <w:lang w:val="fr-CA"/>
        </w:rPr>
        <w:t xml:space="preserve">Commonwealth of </w:t>
      </w:r>
      <w:proofErr w:type="spellStart"/>
      <w:r w:rsidRPr="009B2D0F">
        <w:rPr>
          <w:rFonts w:cs="Times New Roman"/>
          <w:i/>
          <w:lang w:val="fr-CA"/>
        </w:rPr>
        <w:t>Australia</w:t>
      </w:r>
      <w:proofErr w:type="spellEnd"/>
      <w:r w:rsidRPr="009B2D0F">
        <w:rPr>
          <w:rFonts w:cs="Times New Roman"/>
          <w:i/>
          <w:lang w:val="fr-CA"/>
        </w:rPr>
        <w:t xml:space="preserve"> c. </w:t>
      </w:r>
      <w:proofErr w:type="spellStart"/>
      <w:r w:rsidRPr="009B2D0F">
        <w:rPr>
          <w:rFonts w:cs="Times New Roman"/>
          <w:i/>
          <w:lang w:val="fr-CA"/>
        </w:rPr>
        <w:t>Verwayen</w:t>
      </w:r>
      <w:proofErr w:type="spellEnd"/>
      <w:r w:rsidRPr="009B2D0F">
        <w:rPr>
          <w:rFonts w:cs="Times New Roman"/>
          <w:lang w:val="fr-CA"/>
        </w:rPr>
        <w:t xml:space="preserve"> (1990), 170 C.L.R. 394 (H.C.A.), </w:t>
      </w:r>
      <w:r>
        <w:rPr>
          <w:rFonts w:cs="Times New Roman"/>
          <w:lang w:val="fr-CA"/>
        </w:rPr>
        <w:t>p. </w:t>
      </w:r>
      <w:r w:rsidRPr="009B2D0F">
        <w:rPr>
          <w:rFonts w:cs="Times New Roman"/>
          <w:lang w:val="fr-CA"/>
        </w:rPr>
        <w:t xml:space="preserve">413, le juge en chef </w:t>
      </w:r>
      <w:proofErr w:type="spellStart"/>
      <w:r w:rsidRPr="009B2D0F">
        <w:rPr>
          <w:rFonts w:cs="Times New Roman"/>
          <w:lang w:val="fr-CA"/>
        </w:rPr>
        <w:t>Mason</w:t>
      </w:r>
      <w:proofErr w:type="spellEnd"/>
      <w:r w:rsidRPr="009B2D0F">
        <w:rPr>
          <w:rFonts w:cs="Times New Roman"/>
          <w:lang w:val="fr-CA"/>
        </w:rPr>
        <w:t>;</w:t>
      </w:r>
      <w:r w:rsidRPr="009B2D0F">
        <w:rPr>
          <w:rFonts w:cs="Times New Roman"/>
          <w:i/>
          <w:lang w:val="fr-CA"/>
        </w:rPr>
        <w:t xml:space="preserve"> </w:t>
      </w:r>
      <w:r w:rsidRPr="009B2D0F">
        <w:rPr>
          <w:rFonts w:cs="Times New Roman"/>
          <w:lang w:val="fr-CA"/>
        </w:rPr>
        <w:t xml:space="preserve">voir également </w:t>
      </w:r>
      <w:proofErr w:type="spellStart"/>
      <w:r w:rsidRPr="009B2D0F">
        <w:rPr>
          <w:rFonts w:cs="Times New Roman"/>
          <w:i/>
          <w:lang w:val="fr-CA"/>
        </w:rPr>
        <w:t>Sabey</w:t>
      </w:r>
      <w:proofErr w:type="spellEnd"/>
      <w:r w:rsidRPr="009B2D0F">
        <w:rPr>
          <w:rFonts w:cs="Times New Roman"/>
          <w:lang w:val="fr-CA"/>
        </w:rPr>
        <w:t xml:space="preserve">, </w:t>
      </w:r>
      <w:r>
        <w:rPr>
          <w:rFonts w:cs="Times New Roman"/>
          <w:lang w:val="fr-CA"/>
        </w:rPr>
        <w:t>par. </w:t>
      </w:r>
      <w:r w:rsidRPr="009B2D0F">
        <w:rPr>
          <w:rFonts w:cs="Times New Roman"/>
          <w:lang w:val="fr-CA"/>
        </w:rPr>
        <w:t>73</w:t>
      </w:r>
      <w:r>
        <w:rPr>
          <w:rFonts w:cs="Times New Roman"/>
          <w:lang w:val="fr-CA"/>
        </w:rPr>
        <w:noBreakHyphen/>
      </w:r>
      <w:r w:rsidRPr="009B2D0F">
        <w:rPr>
          <w:rFonts w:cs="Times New Roman"/>
          <w:lang w:val="fr-CA"/>
        </w:rPr>
        <w:t xml:space="preserve">75; </w:t>
      </w:r>
      <w:proofErr w:type="spellStart"/>
      <w:r w:rsidRPr="009B2D0F">
        <w:rPr>
          <w:rFonts w:cs="Times New Roman"/>
          <w:i/>
          <w:lang w:val="fr-CA"/>
        </w:rPr>
        <w:t>Idle</w:t>
      </w:r>
      <w:proofErr w:type="spellEnd"/>
      <w:r>
        <w:rPr>
          <w:rFonts w:cs="Times New Roman"/>
          <w:i/>
          <w:lang w:val="fr-CA"/>
        </w:rPr>
        <w:noBreakHyphen/>
      </w:r>
      <w:r w:rsidRPr="009B2D0F">
        <w:rPr>
          <w:rFonts w:cs="Times New Roman"/>
          <w:i/>
          <w:lang w:val="fr-CA"/>
        </w:rPr>
        <w:t xml:space="preserve">O </w:t>
      </w:r>
      <w:proofErr w:type="spellStart"/>
      <w:r w:rsidRPr="009B2D0F">
        <w:rPr>
          <w:rFonts w:cs="Times New Roman"/>
          <w:i/>
          <w:lang w:val="fr-CA"/>
        </w:rPr>
        <w:t>Apartments</w:t>
      </w:r>
      <w:proofErr w:type="spellEnd"/>
      <w:r w:rsidRPr="009B2D0F">
        <w:rPr>
          <w:rFonts w:cs="Times New Roman"/>
          <w:lang w:val="fr-CA"/>
        </w:rPr>
        <w:t>,</w:t>
      </w:r>
      <w:r w:rsidRPr="009B2D0F">
        <w:rPr>
          <w:rFonts w:cs="Times New Roman"/>
          <w:i/>
          <w:lang w:val="fr-CA"/>
        </w:rPr>
        <w:t xml:space="preserve"> </w:t>
      </w:r>
      <w:r>
        <w:rPr>
          <w:rFonts w:cs="Times New Roman"/>
          <w:lang w:val="fr-CA"/>
        </w:rPr>
        <w:t>par. </w:t>
      </w:r>
      <w:r w:rsidRPr="009B2D0F">
        <w:rPr>
          <w:rFonts w:cs="Times New Roman"/>
          <w:lang w:val="fr-CA"/>
        </w:rPr>
        <w:t xml:space="preserve">76; </w:t>
      </w:r>
      <w:proofErr w:type="spellStart"/>
      <w:r w:rsidRPr="009B2D0F">
        <w:rPr>
          <w:rFonts w:cs="Times New Roman"/>
          <w:i/>
          <w:lang w:val="fr-CA"/>
        </w:rPr>
        <w:t>Jennings</w:t>
      </w:r>
      <w:proofErr w:type="spellEnd"/>
      <w:r w:rsidRPr="009B2D0F">
        <w:rPr>
          <w:rFonts w:cs="Times New Roman"/>
          <w:lang w:val="fr-CA"/>
        </w:rPr>
        <w:t xml:space="preserve">, </w:t>
      </w:r>
      <w:r>
        <w:rPr>
          <w:rFonts w:cs="Times New Roman"/>
          <w:lang w:val="fr-CA"/>
        </w:rPr>
        <w:t>par. </w:t>
      </w:r>
      <w:r w:rsidRPr="009B2D0F">
        <w:rPr>
          <w:rFonts w:cs="Times New Roman"/>
          <w:lang w:val="fr-CA"/>
        </w:rPr>
        <w:t xml:space="preserve">36, le lord juge Aldous; </w:t>
      </w:r>
      <w:proofErr w:type="spellStart"/>
      <w:r w:rsidRPr="009B2D0F">
        <w:rPr>
          <w:rFonts w:cs="Times New Roman"/>
          <w:i/>
          <w:lang w:val="fr-CA"/>
        </w:rPr>
        <w:t>Sledmore</w:t>
      </w:r>
      <w:proofErr w:type="spellEnd"/>
      <w:r w:rsidRPr="009B2D0F">
        <w:rPr>
          <w:rFonts w:cs="Times New Roman"/>
          <w:i/>
          <w:lang w:val="fr-CA"/>
        </w:rPr>
        <w:t xml:space="preserve"> c. Dalby </w:t>
      </w:r>
      <w:r w:rsidRPr="009B2D0F">
        <w:rPr>
          <w:rFonts w:cs="Times New Roman"/>
          <w:lang w:val="fr-CA"/>
        </w:rPr>
        <w:t xml:space="preserve">(1996), 72 </w:t>
      </w:r>
      <w:r>
        <w:rPr>
          <w:rFonts w:cs="Times New Roman"/>
          <w:lang w:val="fr-CA"/>
        </w:rPr>
        <w:t>P. </w:t>
      </w:r>
      <w:r w:rsidRPr="009B2D0F">
        <w:rPr>
          <w:rFonts w:cs="Times New Roman"/>
          <w:lang w:val="fr-CA"/>
        </w:rPr>
        <w:t xml:space="preserve">&amp; C.R. 196 (C.A.), </w:t>
      </w:r>
      <w:r>
        <w:rPr>
          <w:rFonts w:cs="Times New Roman"/>
          <w:lang w:val="fr-CA"/>
        </w:rPr>
        <w:t>p. </w:t>
      </w:r>
      <w:r w:rsidRPr="009B2D0F">
        <w:rPr>
          <w:rFonts w:cs="Times New Roman"/>
          <w:lang w:val="fr-CA"/>
        </w:rPr>
        <w:t>208</w:t>
      </w:r>
      <w:r>
        <w:rPr>
          <w:rFonts w:cs="Times New Roman"/>
          <w:lang w:val="fr-CA"/>
        </w:rPr>
        <w:noBreakHyphen/>
      </w:r>
      <w:r w:rsidRPr="009B2D0F">
        <w:rPr>
          <w:rFonts w:cs="Times New Roman"/>
          <w:lang w:val="fr-CA"/>
        </w:rPr>
        <w:t xml:space="preserve">209, le lord juge </w:t>
      </w:r>
      <w:proofErr w:type="spellStart"/>
      <w:r w:rsidRPr="009B2D0F">
        <w:rPr>
          <w:rFonts w:cs="Times New Roman"/>
          <w:lang w:val="fr-CA"/>
        </w:rPr>
        <w:t>Hobhouse</w:t>
      </w:r>
      <w:proofErr w:type="spellEnd"/>
      <w:r w:rsidRPr="009B2D0F">
        <w:rPr>
          <w:rFonts w:cs="Times New Roman"/>
          <w:lang w:val="fr-CA"/>
        </w:rPr>
        <w:t xml:space="preserve">; S. Gardner, « The </w:t>
      </w:r>
      <w:proofErr w:type="spellStart"/>
      <w:r w:rsidRPr="009B2D0F">
        <w:rPr>
          <w:rFonts w:cs="Times New Roman"/>
          <w:lang w:val="fr-CA"/>
        </w:rPr>
        <w:t>Remedial</w:t>
      </w:r>
      <w:proofErr w:type="spellEnd"/>
      <w:r w:rsidRPr="009B2D0F">
        <w:rPr>
          <w:rFonts w:cs="Times New Roman"/>
          <w:lang w:val="fr-CA"/>
        </w:rPr>
        <w:t xml:space="preserve"> </w:t>
      </w:r>
      <w:proofErr w:type="spellStart"/>
      <w:r w:rsidRPr="009B2D0F">
        <w:rPr>
          <w:rFonts w:cs="Times New Roman"/>
          <w:lang w:val="fr-CA"/>
        </w:rPr>
        <w:t>Discretion</w:t>
      </w:r>
      <w:proofErr w:type="spellEnd"/>
      <w:r w:rsidRPr="009B2D0F">
        <w:rPr>
          <w:rFonts w:cs="Times New Roman"/>
          <w:lang w:val="fr-CA"/>
        </w:rPr>
        <w:t xml:space="preserve"> in </w:t>
      </w:r>
      <w:proofErr w:type="spellStart"/>
      <w:r w:rsidRPr="009B2D0F">
        <w:rPr>
          <w:rFonts w:cs="Times New Roman"/>
          <w:lang w:val="fr-CA"/>
        </w:rPr>
        <w:t>Proprietary</w:t>
      </w:r>
      <w:proofErr w:type="spellEnd"/>
      <w:r w:rsidRPr="009B2D0F">
        <w:rPr>
          <w:rFonts w:cs="Times New Roman"/>
          <w:lang w:val="fr-CA"/>
        </w:rPr>
        <w:t xml:space="preserve"> Estoppel — </w:t>
      </w:r>
      <w:proofErr w:type="spellStart"/>
      <w:r w:rsidRPr="009B2D0F">
        <w:rPr>
          <w:rFonts w:cs="Times New Roman"/>
          <w:lang w:val="fr-CA"/>
        </w:rPr>
        <w:t>Again</w:t>
      </w:r>
      <w:proofErr w:type="spellEnd"/>
      <w:r w:rsidRPr="009B2D0F">
        <w:rPr>
          <w:rFonts w:cs="Times New Roman"/>
          <w:lang w:val="fr-CA"/>
        </w:rPr>
        <w:t xml:space="preserve"> » (2006), 122 </w:t>
      </w:r>
      <w:r w:rsidRPr="009B2D0F">
        <w:rPr>
          <w:rFonts w:cs="Times New Roman"/>
          <w:i/>
          <w:lang w:val="fr-CA"/>
        </w:rPr>
        <w:t>L.Q.R.</w:t>
      </w:r>
      <w:r w:rsidRPr="009B2D0F">
        <w:rPr>
          <w:rFonts w:cs="Times New Roman"/>
          <w:lang w:val="fr-CA"/>
        </w:rPr>
        <w:t xml:space="preserve"> 492, </w:t>
      </w:r>
      <w:r>
        <w:rPr>
          <w:rFonts w:cs="Times New Roman"/>
          <w:lang w:val="fr-CA"/>
        </w:rPr>
        <w:t>p. </w:t>
      </w:r>
      <w:r w:rsidRPr="009B2D0F">
        <w:rPr>
          <w:rFonts w:cs="Times New Roman"/>
          <w:lang w:val="fr-CA"/>
        </w:rPr>
        <w:t>499</w:t>
      </w:r>
      <w:r>
        <w:rPr>
          <w:rFonts w:cs="Times New Roman"/>
          <w:lang w:val="fr-CA"/>
        </w:rPr>
        <w:noBreakHyphen/>
      </w:r>
      <w:r w:rsidRPr="009B2D0F">
        <w:rPr>
          <w:rFonts w:cs="Times New Roman"/>
          <w:lang w:val="fr-CA"/>
        </w:rPr>
        <w:t xml:space="preserve">503; Bright et </w:t>
      </w:r>
      <w:proofErr w:type="spellStart"/>
      <w:r w:rsidRPr="009B2D0F">
        <w:rPr>
          <w:rFonts w:cs="Times New Roman"/>
          <w:lang w:val="fr-CA"/>
        </w:rPr>
        <w:t>McFarlane</w:t>
      </w:r>
      <w:proofErr w:type="spellEnd"/>
      <w:r w:rsidRPr="009B2D0F">
        <w:rPr>
          <w:rFonts w:cs="Times New Roman"/>
          <w:lang w:val="fr-CA"/>
        </w:rPr>
        <w:t xml:space="preserve">, </w:t>
      </w:r>
      <w:r>
        <w:rPr>
          <w:rFonts w:cs="Times New Roman"/>
          <w:lang w:val="fr-CA"/>
        </w:rPr>
        <w:t>p. </w:t>
      </w:r>
      <w:r w:rsidRPr="009B2D0F">
        <w:rPr>
          <w:rFonts w:cs="Times New Roman"/>
          <w:lang w:val="fr-CA"/>
        </w:rPr>
        <w:t>453</w:t>
      </w:r>
      <w:r>
        <w:rPr>
          <w:rFonts w:cs="Times New Roman"/>
          <w:lang w:val="fr-CA"/>
        </w:rPr>
        <w:noBreakHyphen/>
      </w:r>
      <w:r w:rsidRPr="009B2D0F">
        <w:rPr>
          <w:rFonts w:cs="Times New Roman"/>
          <w:lang w:val="fr-CA"/>
        </w:rPr>
        <w:t>454).</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Cette approche reconnaît que, bien qu</w:t>
      </w:r>
      <w:r>
        <w:rPr>
          <w:rFonts w:cs="Times New Roman"/>
          <w:lang w:val="fr-CA"/>
        </w:rPr>
        <w:t>’</w:t>
      </w:r>
      <w:r w:rsidRPr="009B2D0F">
        <w:rPr>
          <w:rFonts w:cs="Times New Roman"/>
          <w:lang w:val="fr-CA"/>
        </w:rPr>
        <w:t xml:space="preserve">il y ait préclusion propriétale lorsque les attentes du demandeur sont déçues, le caractère raisonnable de ces attentes doit être évalué au regard notamment du </w:t>
      </w:r>
      <w:r w:rsidRPr="001F2942">
        <w:rPr>
          <w:rFonts w:cs="Times New Roman"/>
          <w:lang w:val="fr-CA"/>
        </w:rPr>
        <w:t>préjudice réellement subi par le demandeur (voir A. </w:t>
      </w:r>
      <w:proofErr w:type="spellStart"/>
      <w:r w:rsidRPr="001F2942">
        <w:rPr>
          <w:rFonts w:cs="Times New Roman"/>
          <w:lang w:val="fr-CA"/>
        </w:rPr>
        <w:t>Ship</w:t>
      </w:r>
      <w:proofErr w:type="spellEnd"/>
      <w:r w:rsidRPr="001F2942">
        <w:rPr>
          <w:rFonts w:cs="Times New Roman"/>
          <w:lang w:val="fr-CA"/>
        </w:rPr>
        <w:t xml:space="preserve">, « The </w:t>
      </w:r>
      <w:proofErr w:type="spellStart"/>
      <w:r w:rsidRPr="001F2942">
        <w:rPr>
          <w:rFonts w:cs="Times New Roman"/>
          <w:lang w:val="fr-CA"/>
        </w:rPr>
        <w:t>Primacy</w:t>
      </w:r>
      <w:proofErr w:type="spellEnd"/>
      <w:r w:rsidRPr="001F2942">
        <w:rPr>
          <w:rFonts w:cs="Times New Roman"/>
          <w:lang w:val="fr-CA"/>
        </w:rPr>
        <w:t xml:space="preserve"> of </w:t>
      </w:r>
      <w:proofErr w:type="spellStart"/>
      <w:r w:rsidRPr="001F2942">
        <w:rPr>
          <w:rFonts w:cs="Times New Roman"/>
          <w:lang w:val="fr-CA"/>
        </w:rPr>
        <w:t>Expectancy</w:t>
      </w:r>
      <w:proofErr w:type="spellEnd"/>
      <w:r w:rsidRPr="001F2942">
        <w:rPr>
          <w:rFonts w:cs="Times New Roman"/>
          <w:lang w:val="fr-CA"/>
        </w:rPr>
        <w:t xml:space="preserve"> in Estoppel </w:t>
      </w:r>
      <w:proofErr w:type="spellStart"/>
      <w:r w:rsidRPr="001F2942">
        <w:rPr>
          <w:rFonts w:cs="Times New Roman"/>
          <w:lang w:val="fr-CA"/>
        </w:rPr>
        <w:t>Remedies</w:t>
      </w:r>
      <w:proofErr w:type="spellEnd"/>
      <w:r w:rsidR="009B5F8D">
        <w:rPr>
          <w:rFonts w:cs="Times New Roman"/>
          <w:lang w:val="fr-CA"/>
        </w:rPr>
        <w:t xml:space="preserve"> </w:t>
      </w:r>
      <w:r w:rsidRPr="001F2942">
        <w:rPr>
          <w:rFonts w:cs="Times New Roman"/>
          <w:lang w:val="fr-CA"/>
        </w:rPr>
        <w:t xml:space="preserve">: An </w:t>
      </w:r>
      <w:proofErr w:type="spellStart"/>
      <w:r w:rsidRPr="001F2942">
        <w:rPr>
          <w:rFonts w:cs="Times New Roman"/>
          <w:lang w:val="fr-CA"/>
        </w:rPr>
        <w:t>Historical</w:t>
      </w:r>
      <w:proofErr w:type="spellEnd"/>
      <w:r w:rsidRPr="001F2942">
        <w:rPr>
          <w:rFonts w:cs="Times New Roman"/>
          <w:lang w:val="fr-CA"/>
        </w:rPr>
        <w:t xml:space="preserve"> and </w:t>
      </w:r>
      <w:proofErr w:type="spellStart"/>
      <w:r w:rsidRPr="001F2942">
        <w:rPr>
          <w:rFonts w:cs="Times New Roman"/>
          <w:lang w:val="fr-CA"/>
        </w:rPr>
        <w:lastRenderedPageBreak/>
        <w:t>Empirical</w:t>
      </w:r>
      <w:proofErr w:type="spellEnd"/>
      <w:r w:rsidRPr="001F2942">
        <w:rPr>
          <w:rFonts w:cs="Times New Roman"/>
          <w:lang w:val="fr-CA"/>
        </w:rPr>
        <w:t xml:space="preserve"> </w:t>
      </w:r>
      <w:proofErr w:type="spellStart"/>
      <w:r w:rsidRPr="001F2942">
        <w:rPr>
          <w:rFonts w:cs="Times New Roman"/>
          <w:lang w:val="fr-CA"/>
        </w:rPr>
        <w:t>Analysis</w:t>
      </w:r>
      <w:proofErr w:type="spellEnd"/>
      <w:r w:rsidRPr="001F2942">
        <w:rPr>
          <w:rFonts w:cs="Times New Roman"/>
          <w:lang w:val="fr-CA"/>
        </w:rPr>
        <w:t xml:space="preserve"> » (2008), 46 </w:t>
      </w:r>
      <w:r w:rsidRPr="001F2942">
        <w:rPr>
          <w:rFonts w:cs="Times New Roman"/>
          <w:i/>
          <w:lang w:val="fr-CA"/>
        </w:rPr>
        <w:t xml:space="preserve">Alta. L. </w:t>
      </w:r>
      <w:proofErr w:type="spellStart"/>
      <w:r w:rsidRPr="001F2942">
        <w:rPr>
          <w:rFonts w:cs="Times New Roman"/>
          <w:i/>
          <w:lang w:val="fr-CA"/>
        </w:rPr>
        <w:t>Rev</w:t>
      </w:r>
      <w:proofErr w:type="spellEnd"/>
      <w:r w:rsidRPr="001F2942">
        <w:rPr>
          <w:rFonts w:cs="Times New Roman"/>
          <w:i/>
          <w:lang w:val="fr-CA"/>
        </w:rPr>
        <w:t>.</w:t>
      </w:r>
      <w:r w:rsidRPr="001F2942">
        <w:rPr>
          <w:rFonts w:cs="Times New Roman"/>
          <w:lang w:val="fr-CA"/>
        </w:rPr>
        <w:t xml:space="preserve"> 77, </w:t>
      </w:r>
      <w:r>
        <w:rPr>
          <w:rFonts w:cs="Times New Roman"/>
          <w:lang w:val="fr-CA"/>
        </w:rPr>
        <w:t>p. </w:t>
      </w:r>
      <w:r w:rsidRPr="001F2942">
        <w:rPr>
          <w:rFonts w:cs="Times New Roman"/>
          <w:lang w:val="fr-CA"/>
        </w:rPr>
        <w:t>104</w:t>
      </w:r>
      <w:r>
        <w:rPr>
          <w:rFonts w:cs="Times New Roman"/>
          <w:lang w:val="fr-CA"/>
        </w:rPr>
        <w:noBreakHyphen/>
      </w:r>
      <w:r w:rsidRPr="001F2942">
        <w:rPr>
          <w:rFonts w:cs="Times New Roman"/>
          <w:lang w:val="fr-CA"/>
        </w:rPr>
        <w:t>105). Les tribunaux d</w:t>
      </w:r>
      <w:r>
        <w:rPr>
          <w:rFonts w:cs="Times New Roman"/>
          <w:lang w:val="fr-CA"/>
        </w:rPr>
        <w:t>’</w:t>
      </w:r>
      <w:proofErr w:type="spellStart"/>
      <w:r w:rsidRPr="001F2942">
        <w:rPr>
          <w:rFonts w:cs="Times New Roman"/>
          <w:lang w:val="fr-CA"/>
        </w:rPr>
        <w:t>equity</w:t>
      </w:r>
      <w:proofErr w:type="spellEnd"/>
      <w:r w:rsidRPr="001F2942">
        <w:rPr>
          <w:rFonts w:cs="Times New Roman"/>
          <w:lang w:val="fr-CA"/>
        </w:rPr>
        <w:t xml:space="preserve"> doivent donc établir un équilibre entre la reconnaissance des attentes subjectives du demandeur — lesquelles, eu égard au contexte global, peuvent ou non refléter une évaluation raisonnable du préjudice subi par celui</w:t>
      </w:r>
      <w:r>
        <w:rPr>
          <w:rFonts w:cs="Times New Roman"/>
          <w:lang w:val="fr-CA"/>
        </w:rPr>
        <w:noBreakHyphen/>
      </w:r>
      <w:r w:rsidRPr="001F2942">
        <w:rPr>
          <w:rFonts w:cs="Times New Roman"/>
          <w:lang w:val="fr-CA"/>
        </w:rPr>
        <w:t>ci — et la réparation de ce préjudice,</w:t>
      </w:r>
      <w:r w:rsidRPr="009B2D0F">
        <w:rPr>
          <w:rFonts w:cs="Times New Roman"/>
          <w:lang w:val="fr-CA"/>
        </w:rPr>
        <w:t xml:space="preserve"> qui peut être difficile, voire impossible à mesurer (voir </w:t>
      </w:r>
      <w:proofErr w:type="spellStart"/>
      <w:r w:rsidRPr="009B2D0F">
        <w:rPr>
          <w:rFonts w:cs="Times New Roman"/>
          <w:i/>
          <w:lang w:val="fr-CA"/>
        </w:rPr>
        <w:t>Sabey</w:t>
      </w:r>
      <w:proofErr w:type="spellEnd"/>
      <w:r w:rsidRPr="009B2D0F">
        <w:rPr>
          <w:rFonts w:cs="Times New Roman"/>
          <w:lang w:val="fr-CA"/>
        </w:rPr>
        <w:t xml:space="preserve">, </w:t>
      </w:r>
      <w:r>
        <w:rPr>
          <w:rFonts w:cs="Times New Roman"/>
          <w:lang w:val="fr-CA"/>
        </w:rPr>
        <w:t>par. </w:t>
      </w:r>
      <w:r w:rsidRPr="009B2D0F">
        <w:rPr>
          <w:rFonts w:cs="Times New Roman"/>
          <w:lang w:val="fr-CA"/>
        </w:rPr>
        <w:t>80</w:t>
      </w:r>
      <w:r>
        <w:rPr>
          <w:rFonts w:cs="Times New Roman"/>
          <w:lang w:val="fr-CA"/>
        </w:rPr>
        <w:noBreakHyphen/>
      </w:r>
      <w:r w:rsidRPr="009B2D0F">
        <w:rPr>
          <w:rFonts w:cs="Times New Roman"/>
          <w:lang w:val="fr-CA"/>
        </w:rPr>
        <w:t xml:space="preserve">82; </w:t>
      </w:r>
      <w:proofErr w:type="spellStart"/>
      <w:r w:rsidRPr="009B2D0F">
        <w:rPr>
          <w:rFonts w:cs="Times New Roman"/>
          <w:i/>
          <w:lang w:val="fr-CA"/>
        </w:rPr>
        <w:t>Jennings</w:t>
      </w:r>
      <w:proofErr w:type="spellEnd"/>
      <w:r w:rsidRPr="009B2D0F">
        <w:rPr>
          <w:rFonts w:cs="Times New Roman"/>
          <w:lang w:val="fr-CA"/>
        </w:rPr>
        <w:t xml:space="preserve">, </w:t>
      </w:r>
      <w:r>
        <w:rPr>
          <w:rFonts w:cs="Times New Roman"/>
          <w:lang w:val="fr-CA"/>
        </w:rPr>
        <w:t>par. </w:t>
      </w:r>
      <w:r w:rsidRPr="009B2D0F">
        <w:rPr>
          <w:rFonts w:cs="Times New Roman"/>
          <w:lang w:val="fr-CA"/>
        </w:rPr>
        <w:t>50</w:t>
      </w:r>
      <w:r>
        <w:rPr>
          <w:rFonts w:cs="Times New Roman"/>
          <w:lang w:val="fr-CA"/>
        </w:rPr>
        <w:noBreakHyphen/>
      </w:r>
      <w:r w:rsidRPr="009B2D0F">
        <w:rPr>
          <w:rFonts w:cs="Times New Roman"/>
          <w:lang w:val="fr-CA"/>
        </w:rPr>
        <w:t>51, le lord juge Walker). Le demandeur ne peut cependant, en aucun cas, obtenir plus que ce à quoi il s</w:t>
      </w:r>
      <w:r>
        <w:rPr>
          <w:rFonts w:cs="Times New Roman"/>
          <w:lang w:val="fr-CA"/>
        </w:rPr>
        <w:t>’</w:t>
      </w:r>
      <w:r w:rsidRPr="009B2D0F">
        <w:rPr>
          <w:rFonts w:cs="Times New Roman"/>
          <w:lang w:val="fr-CA"/>
        </w:rPr>
        <w:t xml:space="preserve">attendait (voir </w:t>
      </w:r>
      <w:proofErr w:type="spellStart"/>
      <w:r w:rsidRPr="009B2D0F">
        <w:rPr>
          <w:rFonts w:cs="Times New Roman"/>
          <w:i/>
          <w:lang w:val="fr-CA"/>
        </w:rPr>
        <w:t>Pilcher</w:t>
      </w:r>
      <w:proofErr w:type="spellEnd"/>
      <w:r w:rsidRPr="009B2D0F">
        <w:rPr>
          <w:rFonts w:cs="Times New Roman"/>
          <w:i/>
          <w:lang w:val="fr-CA"/>
        </w:rPr>
        <w:t xml:space="preserve"> c. </w:t>
      </w:r>
      <w:proofErr w:type="spellStart"/>
      <w:r w:rsidRPr="009B2D0F">
        <w:rPr>
          <w:rFonts w:cs="Times New Roman"/>
          <w:i/>
          <w:lang w:val="fr-CA"/>
        </w:rPr>
        <w:t>Shoemaker</w:t>
      </w:r>
      <w:proofErr w:type="spellEnd"/>
      <w:r w:rsidRPr="009B2D0F">
        <w:rPr>
          <w:rFonts w:cs="Times New Roman"/>
          <w:lang w:val="fr-CA"/>
        </w:rPr>
        <w:t xml:space="preserve"> (1997), 13 R.P.R. (3d) 42 (C.S. C.</w:t>
      </w:r>
      <w:r>
        <w:rPr>
          <w:rFonts w:cs="Times New Roman"/>
          <w:lang w:val="fr-CA"/>
        </w:rPr>
        <w:noBreakHyphen/>
      </w:r>
      <w:r w:rsidRPr="009B2D0F">
        <w:rPr>
          <w:rFonts w:cs="Times New Roman"/>
          <w:lang w:val="fr-CA"/>
        </w:rPr>
        <w:t xml:space="preserve">B.), </w:t>
      </w:r>
      <w:r>
        <w:rPr>
          <w:rFonts w:cs="Times New Roman"/>
          <w:lang w:val="fr-CA"/>
        </w:rPr>
        <w:t>par. </w:t>
      </w:r>
      <w:r w:rsidRPr="009B2D0F">
        <w:rPr>
          <w:rFonts w:cs="Times New Roman"/>
          <w:lang w:val="fr-CA"/>
        </w:rPr>
        <w:t xml:space="preserve">21; </w:t>
      </w:r>
      <w:r w:rsidRPr="009B2D0F">
        <w:rPr>
          <w:rFonts w:cs="Times New Roman"/>
          <w:i/>
          <w:lang w:val="fr-CA"/>
        </w:rPr>
        <w:t>Ellis c. Eddy Holding Ltd.</w:t>
      </w:r>
      <w:r w:rsidRPr="009B2D0F">
        <w:rPr>
          <w:rFonts w:cs="Times New Roman"/>
          <w:lang w:val="fr-CA"/>
        </w:rPr>
        <w:t xml:space="preserve"> (1996), 7 R.P.R. (3d) 70 (C.S. C.</w:t>
      </w:r>
      <w:r>
        <w:rPr>
          <w:rFonts w:cs="Times New Roman"/>
          <w:lang w:val="fr-CA"/>
        </w:rPr>
        <w:noBreakHyphen/>
      </w:r>
      <w:r w:rsidRPr="009B2D0F">
        <w:rPr>
          <w:rFonts w:cs="Times New Roman"/>
          <w:lang w:val="fr-CA"/>
        </w:rPr>
        <w:t xml:space="preserve">B.), </w:t>
      </w:r>
      <w:r>
        <w:rPr>
          <w:rFonts w:cs="Times New Roman"/>
          <w:lang w:val="fr-CA"/>
        </w:rPr>
        <w:t>par. </w:t>
      </w:r>
      <w:r w:rsidRPr="009B2D0F">
        <w:rPr>
          <w:rFonts w:cs="Times New Roman"/>
          <w:lang w:val="fr-CA"/>
        </w:rPr>
        <w:t xml:space="preserve">26; Bright et </w:t>
      </w:r>
      <w:proofErr w:type="spellStart"/>
      <w:r w:rsidRPr="009B2D0F">
        <w:rPr>
          <w:rFonts w:cs="Times New Roman"/>
          <w:lang w:val="fr-CA"/>
        </w:rPr>
        <w:t>McFarlane</w:t>
      </w:r>
      <w:proofErr w:type="spellEnd"/>
      <w:r w:rsidRPr="009B2D0F">
        <w:rPr>
          <w:rFonts w:cs="Times New Roman"/>
          <w:lang w:val="fr-CA"/>
        </w:rPr>
        <w:t xml:space="preserve">, </w:t>
      </w:r>
      <w:r>
        <w:rPr>
          <w:rFonts w:cs="Times New Roman"/>
          <w:lang w:val="fr-CA"/>
        </w:rPr>
        <w:t>p. </w:t>
      </w:r>
      <w:r w:rsidRPr="009B2D0F">
        <w:rPr>
          <w:rFonts w:cs="Times New Roman"/>
          <w:lang w:val="fr-CA"/>
        </w:rPr>
        <w:t>456</w:t>
      </w:r>
      <w:r>
        <w:rPr>
          <w:rFonts w:cs="Times New Roman"/>
          <w:lang w:val="fr-CA"/>
        </w:rPr>
        <w:noBreakHyphen/>
      </w:r>
      <w:r w:rsidRPr="009B2D0F">
        <w:rPr>
          <w:rFonts w:cs="Times New Roman"/>
          <w:lang w:val="fr-CA"/>
        </w:rPr>
        <w:t>457).</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En l</w:t>
      </w:r>
      <w:r>
        <w:rPr>
          <w:rFonts w:cs="Times New Roman"/>
          <w:lang w:val="fr-CA"/>
        </w:rPr>
        <w:t>’</w:t>
      </w:r>
      <w:r w:rsidRPr="009B2D0F">
        <w:rPr>
          <w:rFonts w:cs="Times New Roman"/>
          <w:lang w:val="fr-CA"/>
        </w:rPr>
        <w:t xml:space="preserve">espèce, </w:t>
      </w:r>
      <w:r w:rsidRPr="001F2942">
        <w:rPr>
          <w:rFonts w:cs="Times New Roman"/>
          <w:lang w:val="fr-CA"/>
        </w:rPr>
        <w:t>le préjudice s</w:t>
      </w:r>
      <w:r w:rsidRPr="009B2D0F">
        <w:rPr>
          <w:rFonts w:cs="Times New Roman"/>
          <w:lang w:val="fr-CA"/>
        </w:rPr>
        <w:t>ubi par Max réside dans le fait qu</w:t>
      </w:r>
      <w:r>
        <w:rPr>
          <w:rFonts w:cs="Times New Roman"/>
          <w:lang w:val="fr-CA"/>
        </w:rPr>
        <w:t>’</w:t>
      </w:r>
      <w:r w:rsidRPr="009B2D0F">
        <w:rPr>
          <w:rFonts w:cs="Times New Roman"/>
          <w:lang w:val="fr-CA"/>
        </w:rPr>
        <w:t>il est retourné à Victoria pour vivre avec sa mère vieillissante et en prendre soin. Max s</w:t>
      </w:r>
      <w:r>
        <w:rPr>
          <w:rFonts w:cs="Times New Roman"/>
          <w:lang w:val="fr-CA"/>
        </w:rPr>
        <w:t>’</w:t>
      </w:r>
      <w:r w:rsidRPr="009B2D0F">
        <w:rPr>
          <w:rFonts w:cs="Times New Roman"/>
          <w:lang w:val="fr-CA"/>
        </w:rPr>
        <w:t>attendait entre autres à pouvoir acquérir la part de Gloria dans la maison de leur mère après le décès de celle</w:t>
      </w:r>
      <w:r>
        <w:rPr>
          <w:rFonts w:cs="Times New Roman"/>
          <w:lang w:val="fr-CA"/>
        </w:rPr>
        <w:noBreakHyphen/>
      </w:r>
      <w:r w:rsidRPr="009B2D0F">
        <w:rPr>
          <w:rFonts w:cs="Times New Roman"/>
          <w:lang w:val="fr-CA"/>
        </w:rPr>
        <w:t xml:space="preserve">ci et une fois que sa succession aurait été administrée. Comme il avait respecté sa part du marché, il a sollicité une ordonnance enjoignant à Gloria de respecter la sienne en lui </w:t>
      </w:r>
      <w:r w:rsidRPr="0089467C">
        <w:rPr>
          <w:rFonts w:cs="Times New Roman"/>
          <w:lang w:val="fr-CA"/>
        </w:rPr>
        <w:t>vendant son intérêt sur l</w:t>
      </w:r>
      <w:r w:rsidRPr="009B2D0F">
        <w:rPr>
          <w:rFonts w:cs="Times New Roman"/>
          <w:lang w:val="fr-CA"/>
        </w:rPr>
        <w:t>e tiers de la propriété. La juge de première instance a conclu que c</w:t>
      </w:r>
      <w:r>
        <w:rPr>
          <w:rFonts w:cs="Times New Roman"/>
          <w:lang w:val="fr-CA"/>
        </w:rPr>
        <w:t>’</w:t>
      </w:r>
      <w:r w:rsidRPr="009B2D0F">
        <w:rPr>
          <w:rFonts w:cs="Times New Roman"/>
          <w:lang w:val="fr-CA"/>
        </w:rPr>
        <w:t xml:space="preserve">était là le minimum requis pour donner effet au droit en </w:t>
      </w:r>
      <w:proofErr w:type="spellStart"/>
      <w:r w:rsidRPr="009B2D0F">
        <w:rPr>
          <w:rFonts w:cs="Times New Roman"/>
          <w:lang w:val="fr-CA"/>
        </w:rPr>
        <w:t>equity</w:t>
      </w:r>
      <w:proofErr w:type="spellEnd"/>
      <w:r w:rsidRPr="009B2D0F">
        <w:rPr>
          <w:rFonts w:cs="Times New Roman"/>
          <w:lang w:val="fr-CA"/>
        </w:rPr>
        <w:t xml:space="preserve"> en cause.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 xml:space="preserve">Obliger Gloria à vendre à Max son intérêt dans la maison est le minimum nécessaire pour donner effet au droit en </w:t>
      </w:r>
      <w:proofErr w:type="spellStart"/>
      <w:r w:rsidRPr="009B2D0F">
        <w:rPr>
          <w:rFonts w:cs="Times New Roman"/>
          <w:lang w:val="fr-CA"/>
        </w:rPr>
        <w:t>equity</w:t>
      </w:r>
      <w:proofErr w:type="spellEnd"/>
      <w:r w:rsidRPr="009B2D0F">
        <w:rPr>
          <w:rFonts w:cs="Times New Roman"/>
          <w:lang w:val="fr-CA"/>
        </w:rPr>
        <w:t xml:space="preserve"> de Max. La question est de savoir à quel prix elle doit le faire.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Max soutient qu</w:t>
      </w:r>
      <w:r>
        <w:rPr>
          <w:rFonts w:cs="Times New Roman"/>
          <w:lang w:val="fr-CA"/>
        </w:rPr>
        <w:t>’</w:t>
      </w:r>
      <w:r w:rsidRPr="009B2D0F">
        <w:rPr>
          <w:rFonts w:cs="Times New Roman"/>
          <w:lang w:val="fr-CA"/>
        </w:rPr>
        <w:t>il devrait pouvoir acheter la part de Gloria pour la somme de 223 333,33</w:t>
      </w:r>
      <w:r>
        <w:rPr>
          <w:rFonts w:cs="Times New Roman"/>
          <w:lang w:val="fr-CA"/>
        </w:rPr>
        <w:t> $</w:t>
      </w:r>
      <w:r w:rsidRPr="009B2D0F">
        <w:rPr>
          <w:rFonts w:cs="Times New Roman"/>
          <w:lang w:val="fr-CA"/>
        </w:rPr>
        <w:t>, laquelle tient compte de la valeur d</w:t>
      </w:r>
      <w:r>
        <w:rPr>
          <w:rFonts w:cs="Times New Roman"/>
          <w:lang w:val="fr-CA"/>
        </w:rPr>
        <w:t>’</w:t>
      </w:r>
      <w:r w:rsidRPr="009B2D0F">
        <w:rPr>
          <w:rFonts w:cs="Times New Roman"/>
          <w:lang w:val="fr-CA"/>
        </w:rPr>
        <w:t xml:space="preserve">expertise de la propriété établie </w:t>
      </w:r>
      <w:r w:rsidRPr="009B2D0F">
        <w:rPr>
          <w:rFonts w:cs="Times New Roman"/>
          <w:lang w:val="fr-CA"/>
        </w:rPr>
        <w:lastRenderedPageBreak/>
        <w:t>en 2011 à 670 000</w:t>
      </w:r>
      <w:r>
        <w:rPr>
          <w:rFonts w:cs="Times New Roman"/>
          <w:lang w:val="fr-CA"/>
        </w:rPr>
        <w:t> $</w:t>
      </w:r>
      <w:r w:rsidRPr="009B2D0F">
        <w:rPr>
          <w:rFonts w:cs="Times New Roman"/>
          <w:lang w:val="fr-CA"/>
        </w:rPr>
        <w:t xml:space="preserve">. Gloria fait valoir que, si on lui ordonne de vendre son intérêt à Max, elle devrait pouvoir le faire à sa juste valeur marchande actuelle, laquelle, les parties en conviennent, est plus </w:t>
      </w:r>
      <w:proofErr w:type="gramStart"/>
      <w:r w:rsidRPr="009B2D0F">
        <w:rPr>
          <w:rFonts w:cs="Times New Roman"/>
          <w:lang w:val="fr-CA"/>
        </w:rPr>
        <w:t>élevée</w:t>
      </w:r>
      <w:proofErr w:type="gramEnd"/>
      <w:r w:rsidRPr="009B2D0F">
        <w:rPr>
          <w:rFonts w:cs="Times New Roman"/>
          <w:lang w:val="fr-CA"/>
        </w:rPr>
        <w:t xml:space="preserve"> qu</w:t>
      </w:r>
      <w:r>
        <w:rPr>
          <w:rFonts w:cs="Times New Roman"/>
          <w:lang w:val="fr-CA"/>
        </w:rPr>
        <w:t>’</w:t>
      </w:r>
      <w:r w:rsidRPr="009B2D0F">
        <w:rPr>
          <w:rFonts w:cs="Times New Roman"/>
          <w:lang w:val="fr-CA"/>
        </w:rPr>
        <w:t>en 2011.</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Je suis d</w:t>
      </w:r>
      <w:r>
        <w:rPr>
          <w:rFonts w:cs="Times New Roman"/>
          <w:lang w:val="fr-CA"/>
        </w:rPr>
        <w:t>’</w:t>
      </w:r>
      <w:r w:rsidRPr="009B2D0F">
        <w:rPr>
          <w:rFonts w:cs="Times New Roman"/>
          <w:lang w:val="fr-CA"/>
        </w:rPr>
        <w:t xml:space="preserve">accord avec Max. Aussitôt que Gloria recevra de la succession de sa mère un intérêt dans la propriété, tous les éléments de la préclusion propriétale seront réunis. Toutefois, le droit en </w:t>
      </w:r>
      <w:proofErr w:type="spellStart"/>
      <w:r w:rsidRPr="009B2D0F">
        <w:rPr>
          <w:rFonts w:cs="Times New Roman"/>
          <w:lang w:val="fr-CA"/>
        </w:rPr>
        <w:t>equity</w:t>
      </w:r>
      <w:proofErr w:type="spellEnd"/>
      <w:r w:rsidRPr="009B2D0F">
        <w:rPr>
          <w:rFonts w:cs="Times New Roman"/>
          <w:lang w:val="fr-CA"/>
        </w:rPr>
        <w:t xml:space="preserve"> en cause aura pris naissance bien avant — c</w:t>
      </w:r>
      <w:r>
        <w:rPr>
          <w:rFonts w:cs="Times New Roman"/>
          <w:lang w:val="fr-CA"/>
        </w:rPr>
        <w:t>’</w:t>
      </w:r>
      <w:r w:rsidRPr="009B2D0F">
        <w:rPr>
          <w:rFonts w:cs="Times New Roman"/>
          <w:lang w:val="fr-CA"/>
        </w:rPr>
        <w:t>est</w:t>
      </w:r>
      <w:r>
        <w:rPr>
          <w:rFonts w:cs="Times New Roman"/>
          <w:lang w:val="fr-CA"/>
        </w:rPr>
        <w:noBreakHyphen/>
      </w:r>
      <w:r w:rsidRPr="009B2D0F">
        <w:rPr>
          <w:rFonts w:cs="Times New Roman"/>
          <w:lang w:val="fr-CA"/>
        </w:rPr>
        <w:t>à</w:t>
      </w:r>
      <w:r>
        <w:rPr>
          <w:rFonts w:cs="Times New Roman"/>
          <w:lang w:val="fr-CA"/>
        </w:rPr>
        <w:noBreakHyphen/>
      </w:r>
      <w:r w:rsidRPr="009B2D0F">
        <w:rPr>
          <w:rFonts w:cs="Times New Roman"/>
          <w:lang w:val="fr-CA"/>
        </w:rPr>
        <w:t>dire au moment de l</w:t>
      </w:r>
      <w:r>
        <w:rPr>
          <w:rFonts w:cs="Times New Roman"/>
          <w:lang w:val="fr-CA"/>
        </w:rPr>
        <w:t>’</w:t>
      </w:r>
      <w:r w:rsidRPr="009B2D0F">
        <w:rPr>
          <w:rFonts w:cs="Times New Roman"/>
          <w:lang w:val="fr-CA"/>
        </w:rPr>
        <w:t xml:space="preserve">acte de confiance de Max. Le droit en </w:t>
      </w:r>
      <w:proofErr w:type="spellStart"/>
      <w:r w:rsidRPr="009B2D0F">
        <w:rPr>
          <w:rFonts w:cs="Times New Roman"/>
          <w:lang w:val="fr-CA"/>
        </w:rPr>
        <w:t>equity</w:t>
      </w:r>
      <w:proofErr w:type="spellEnd"/>
      <w:r w:rsidRPr="009B2D0F">
        <w:rPr>
          <w:rFonts w:cs="Times New Roman"/>
          <w:lang w:val="fr-CA"/>
        </w:rPr>
        <w:t xml:space="preserve"> de Max vise à prévenir l</w:t>
      </w:r>
      <w:r>
        <w:rPr>
          <w:rFonts w:cs="Times New Roman"/>
          <w:lang w:val="fr-CA"/>
        </w:rPr>
        <w:t>’</w:t>
      </w:r>
      <w:r w:rsidRPr="009B2D0F">
        <w:rPr>
          <w:rFonts w:cs="Times New Roman"/>
          <w:lang w:val="fr-CA"/>
        </w:rPr>
        <w:t>iniquité et l</w:t>
      </w:r>
      <w:r>
        <w:rPr>
          <w:rFonts w:cs="Times New Roman"/>
          <w:lang w:val="fr-CA"/>
        </w:rPr>
        <w:t>’</w:t>
      </w:r>
      <w:r w:rsidRPr="009B2D0F">
        <w:rPr>
          <w:rFonts w:cs="Times New Roman"/>
          <w:lang w:val="fr-CA"/>
        </w:rPr>
        <w:t>injustice qu</w:t>
      </w:r>
      <w:r>
        <w:rPr>
          <w:rFonts w:cs="Times New Roman"/>
          <w:lang w:val="fr-CA"/>
        </w:rPr>
        <w:t>’</w:t>
      </w:r>
      <w:r w:rsidRPr="009B2D0F">
        <w:rPr>
          <w:rFonts w:cs="Times New Roman"/>
          <w:lang w:val="fr-CA"/>
        </w:rPr>
        <w:t xml:space="preserve">il y aurait si Gloria était autorisée à manquer à sa parole et à ne pas lui vendre son intérêt, malgré le </w:t>
      </w:r>
      <w:r w:rsidRPr="001F2942">
        <w:rPr>
          <w:rFonts w:cs="Times New Roman"/>
          <w:lang w:val="fr-CA"/>
        </w:rPr>
        <w:t>préjudice qu</w:t>
      </w:r>
      <w:r>
        <w:rPr>
          <w:rFonts w:cs="Times New Roman"/>
          <w:lang w:val="fr-CA"/>
        </w:rPr>
        <w:t>’</w:t>
      </w:r>
      <w:r w:rsidRPr="001F2942">
        <w:rPr>
          <w:rFonts w:cs="Times New Roman"/>
          <w:lang w:val="fr-CA"/>
        </w:rPr>
        <w:t>il a subi en quittant l</w:t>
      </w:r>
      <w:r>
        <w:rPr>
          <w:rFonts w:cs="Times New Roman"/>
          <w:lang w:val="fr-CA"/>
        </w:rPr>
        <w:t>’</w:t>
      </w:r>
      <w:r w:rsidRPr="001F2942">
        <w:rPr>
          <w:rFonts w:cs="Times New Roman"/>
          <w:lang w:val="fr-CA"/>
        </w:rPr>
        <w:t>Angleterre pour retourner à Victoria. Max a estimé que ce préjudice valait</w:t>
      </w:r>
      <w:r w:rsidRPr="009B2D0F">
        <w:rPr>
          <w:rFonts w:cs="Times New Roman"/>
          <w:lang w:val="fr-CA"/>
        </w:rPr>
        <w:t xml:space="preserve"> les concessions qu</w:t>
      </w:r>
      <w:r>
        <w:rPr>
          <w:rFonts w:cs="Times New Roman"/>
          <w:lang w:val="fr-CA"/>
        </w:rPr>
        <w:t>’</w:t>
      </w:r>
      <w:r w:rsidRPr="009B2D0F">
        <w:rPr>
          <w:rFonts w:cs="Times New Roman"/>
          <w:lang w:val="fr-CA"/>
        </w:rPr>
        <w:t>il a obtenues de Gloria. L</w:t>
      </w:r>
      <w:r>
        <w:rPr>
          <w:rFonts w:cs="Times New Roman"/>
          <w:lang w:val="fr-CA"/>
        </w:rPr>
        <w:t>’</w:t>
      </w:r>
      <w:r w:rsidRPr="009B2D0F">
        <w:rPr>
          <w:rFonts w:cs="Times New Roman"/>
          <w:lang w:val="fr-CA"/>
        </w:rPr>
        <w:t>une d</w:t>
      </w:r>
      <w:r>
        <w:rPr>
          <w:rFonts w:cs="Times New Roman"/>
          <w:lang w:val="fr-CA"/>
        </w:rPr>
        <w:t>’</w:t>
      </w:r>
      <w:r w:rsidRPr="009B2D0F">
        <w:rPr>
          <w:rFonts w:cs="Times New Roman"/>
          <w:lang w:val="fr-CA"/>
        </w:rPr>
        <w:t>elles était qu</w:t>
      </w:r>
      <w:r>
        <w:rPr>
          <w:rFonts w:cs="Times New Roman"/>
          <w:lang w:val="fr-CA"/>
        </w:rPr>
        <w:t>’</w:t>
      </w:r>
      <w:r w:rsidRPr="009B2D0F">
        <w:rPr>
          <w:rFonts w:cs="Times New Roman"/>
          <w:lang w:val="fr-CA"/>
        </w:rPr>
        <w:t>il pourrait acquérir l</w:t>
      </w:r>
      <w:r>
        <w:rPr>
          <w:rFonts w:cs="Times New Roman"/>
          <w:lang w:val="fr-CA"/>
        </w:rPr>
        <w:t>’</w:t>
      </w:r>
      <w:r w:rsidRPr="009B2D0F">
        <w:rPr>
          <w:rFonts w:cs="Times New Roman"/>
          <w:lang w:val="fr-CA"/>
        </w:rPr>
        <w:t>intérêt de Gloria dans la propriété en contrepartie d</w:t>
      </w:r>
      <w:r>
        <w:rPr>
          <w:rFonts w:cs="Times New Roman"/>
          <w:lang w:val="fr-CA"/>
        </w:rPr>
        <w:t>’</w:t>
      </w:r>
      <w:r w:rsidRPr="009B2D0F">
        <w:rPr>
          <w:rFonts w:cs="Times New Roman"/>
          <w:lang w:val="fr-CA"/>
        </w:rPr>
        <w:t>une somme équivalant au tiers de sa juste valeur marchande totale, une fois que la succession aurait été administrée.</w:t>
      </w:r>
    </w:p>
    <w:p w:rsidR="00987842" w:rsidRPr="009B2D0F" w:rsidRDefault="00987842" w:rsidP="00987842">
      <w:pPr>
        <w:pStyle w:val="ParaNoNdepar-AltN"/>
        <w:tabs>
          <w:tab w:val="clear" w:pos="1692"/>
          <w:tab w:val="num" w:pos="1152"/>
        </w:tabs>
        <w:ind w:left="0"/>
        <w:rPr>
          <w:lang w:val="fr-CA"/>
        </w:rPr>
      </w:pPr>
      <w:r w:rsidRPr="009B2D0F">
        <w:rPr>
          <w:lang w:val="fr-CA"/>
        </w:rPr>
        <w:t>Ni Max ni Gloria ne pouvaient raisonnablement prévoir qu</w:t>
      </w:r>
      <w:r>
        <w:rPr>
          <w:lang w:val="fr-CA"/>
        </w:rPr>
        <w:t>’</w:t>
      </w:r>
      <w:r w:rsidRPr="009B2D0F">
        <w:rPr>
          <w:lang w:val="fr-CA"/>
        </w:rPr>
        <w:t>il faudrait près d</w:t>
      </w:r>
      <w:r>
        <w:rPr>
          <w:lang w:val="fr-CA"/>
        </w:rPr>
        <w:t>’</w:t>
      </w:r>
      <w:r w:rsidRPr="009B2D0F">
        <w:rPr>
          <w:lang w:val="fr-CA"/>
        </w:rPr>
        <w:t>une décennie avant que Max puisse acquérir l</w:t>
      </w:r>
      <w:r>
        <w:rPr>
          <w:lang w:val="fr-CA"/>
        </w:rPr>
        <w:t>’</w:t>
      </w:r>
      <w:r w:rsidRPr="009B2D0F">
        <w:rPr>
          <w:lang w:val="fr-CA"/>
        </w:rPr>
        <w:t>intérêt de Gloria dans la propriété. On peut supposer sans risque de se tromper que, si Gloria n</w:t>
      </w:r>
      <w:r>
        <w:rPr>
          <w:lang w:val="fr-CA"/>
        </w:rPr>
        <w:t>’</w:t>
      </w:r>
      <w:r w:rsidRPr="009B2D0F">
        <w:rPr>
          <w:lang w:val="fr-CA"/>
        </w:rPr>
        <w:t xml:space="preserve">avait pas tenté de se soustraire à sa promesse, il aurait été donné effet au droit en </w:t>
      </w:r>
      <w:proofErr w:type="spellStart"/>
      <w:r w:rsidRPr="009B2D0F">
        <w:rPr>
          <w:lang w:val="fr-CA"/>
        </w:rPr>
        <w:t>equity</w:t>
      </w:r>
      <w:proofErr w:type="spellEnd"/>
      <w:r w:rsidRPr="009B2D0F">
        <w:rPr>
          <w:lang w:val="fr-CA"/>
        </w:rPr>
        <w:t xml:space="preserve"> de Max et la part de Gloria dans la maison aurait été vendue à celui</w:t>
      </w:r>
      <w:r>
        <w:rPr>
          <w:lang w:val="fr-CA"/>
        </w:rPr>
        <w:noBreakHyphen/>
        <w:t xml:space="preserve">ci peu après le 2 février </w:t>
      </w:r>
      <w:r w:rsidRPr="009B2D0F">
        <w:rPr>
          <w:lang w:val="fr-CA"/>
        </w:rPr>
        <w:t>2011, date à laquelle, dans le cadre de l</w:t>
      </w:r>
      <w:r>
        <w:rPr>
          <w:lang w:val="fr-CA"/>
        </w:rPr>
        <w:t>’</w:t>
      </w:r>
      <w:r w:rsidRPr="009B2D0F">
        <w:rPr>
          <w:lang w:val="fr-CA"/>
        </w:rPr>
        <w:t>administration de la succession de leur mère, la propriété a effectivement été évaluée à 670 000</w:t>
      </w:r>
      <w:r>
        <w:rPr>
          <w:lang w:val="fr-CA"/>
        </w:rPr>
        <w:t> $</w:t>
      </w:r>
      <w:r w:rsidRPr="009B2D0F">
        <w:rPr>
          <w:lang w:val="fr-CA"/>
        </w:rPr>
        <w:t>. Au lieu de vendre son intérêt dans la maison à Max à ce moment</w:t>
      </w:r>
      <w:r>
        <w:rPr>
          <w:lang w:val="fr-CA"/>
        </w:rPr>
        <w:noBreakHyphen/>
      </w:r>
      <w:r w:rsidRPr="009B2D0F">
        <w:rPr>
          <w:lang w:val="fr-CA"/>
        </w:rPr>
        <w:t>là — c</w:t>
      </w:r>
      <w:r>
        <w:rPr>
          <w:lang w:val="fr-CA"/>
        </w:rPr>
        <w:t>’</w:t>
      </w:r>
      <w:r w:rsidRPr="009B2D0F">
        <w:rPr>
          <w:lang w:val="fr-CA"/>
        </w:rPr>
        <w:t>est</w:t>
      </w:r>
      <w:r>
        <w:rPr>
          <w:lang w:val="fr-CA"/>
        </w:rPr>
        <w:noBreakHyphen/>
      </w:r>
      <w:r w:rsidRPr="009B2D0F">
        <w:rPr>
          <w:lang w:val="fr-CA"/>
        </w:rPr>
        <w:t>à</w:t>
      </w:r>
      <w:r>
        <w:rPr>
          <w:lang w:val="fr-CA"/>
        </w:rPr>
        <w:noBreakHyphen/>
      </w:r>
      <w:r w:rsidRPr="009B2D0F">
        <w:rPr>
          <w:lang w:val="fr-CA"/>
        </w:rPr>
        <w:t>dire à peu près au moment qu</w:t>
      </w:r>
      <w:r>
        <w:rPr>
          <w:lang w:val="fr-CA"/>
        </w:rPr>
        <w:t>’</w:t>
      </w:r>
      <w:r w:rsidRPr="009B2D0F">
        <w:rPr>
          <w:lang w:val="fr-CA"/>
        </w:rPr>
        <w:t xml:space="preserve">ils avaient au départ </w:t>
      </w:r>
      <w:r w:rsidRPr="009B2D0F">
        <w:rPr>
          <w:lang w:val="fr-CA"/>
        </w:rPr>
        <w:lastRenderedPageBreak/>
        <w:t>envisagé qu</w:t>
      </w:r>
      <w:r>
        <w:rPr>
          <w:lang w:val="fr-CA"/>
        </w:rPr>
        <w:t>’</w:t>
      </w:r>
      <w:r w:rsidRPr="009B2D0F">
        <w:rPr>
          <w:lang w:val="fr-CA"/>
        </w:rPr>
        <w:t>elle le ferait — Gloria a indiqué qu</w:t>
      </w:r>
      <w:r>
        <w:rPr>
          <w:lang w:val="fr-CA"/>
        </w:rPr>
        <w:t>’</w:t>
      </w:r>
      <w:r w:rsidRPr="009B2D0F">
        <w:rPr>
          <w:lang w:val="fr-CA"/>
        </w:rPr>
        <w:t>elle n</w:t>
      </w:r>
      <w:r>
        <w:rPr>
          <w:lang w:val="fr-CA"/>
        </w:rPr>
        <w:t>’</w:t>
      </w:r>
      <w:r w:rsidRPr="009B2D0F">
        <w:rPr>
          <w:lang w:val="fr-CA"/>
        </w:rPr>
        <w:t>était tenue à aucune obligation en ce sens, d</w:t>
      </w:r>
      <w:r>
        <w:rPr>
          <w:lang w:val="fr-CA"/>
        </w:rPr>
        <w:t>’</w:t>
      </w:r>
      <w:r w:rsidRPr="009B2D0F">
        <w:rPr>
          <w:lang w:val="fr-CA"/>
        </w:rPr>
        <w:t>où le présent litige. Depuis ce temps, Max a bénéficié de l</w:t>
      </w:r>
      <w:r>
        <w:rPr>
          <w:lang w:val="fr-CA"/>
        </w:rPr>
        <w:t>’</w:t>
      </w:r>
      <w:r w:rsidRPr="009B2D0F">
        <w:rPr>
          <w:lang w:val="fr-CA"/>
        </w:rPr>
        <w:t>argent qu</w:t>
      </w:r>
      <w:r>
        <w:rPr>
          <w:lang w:val="fr-CA"/>
        </w:rPr>
        <w:t>’</w:t>
      </w:r>
      <w:r w:rsidRPr="009B2D0F">
        <w:rPr>
          <w:lang w:val="fr-CA"/>
        </w:rPr>
        <w:t>il aurait versé à Gloria en 2011 pour acquérir sa part de la maison, la succession d</w:t>
      </w:r>
      <w:r>
        <w:rPr>
          <w:lang w:val="fr-CA"/>
        </w:rPr>
        <w:t>’</w:t>
      </w:r>
      <w:r w:rsidRPr="009B2D0F">
        <w:rPr>
          <w:lang w:val="fr-CA"/>
        </w:rPr>
        <w:t>Elizabeth a engagé des dépenses pour l</w:t>
      </w:r>
      <w:r>
        <w:rPr>
          <w:lang w:val="fr-CA"/>
        </w:rPr>
        <w:t>’</w:t>
      </w:r>
      <w:r w:rsidRPr="009B2D0F">
        <w:rPr>
          <w:lang w:val="fr-CA"/>
        </w:rPr>
        <w:t>entretien de la propriété et celle</w:t>
      </w:r>
      <w:r>
        <w:rPr>
          <w:lang w:val="fr-CA"/>
        </w:rPr>
        <w:noBreakHyphen/>
      </w:r>
      <w:r w:rsidRPr="009B2D0F">
        <w:rPr>
          <w:lang w:val="fr-CA"/>
        </w:rPr>
        <w:t>ci, les parties en conviennent, a pris de la valeur.</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Le 2 février 2011 est une approximation raisonnable du moment auquel Max s</w:t>
      </w:r>
      <w:r>
        <w:rPr>
          <w:rFonts w:cs="Times New Roman"/>
          <w:lang w:val="fr-CA"/>
        </w:rPr>
        <w:t>’</w:t>
      </w:r>
      <w:r w:rsidRPr="009B2D0F">
        <w:rPr>
          <w:rFonts w:cs="Times New Roman"/>
          <w:lang w:val="fr-CA"/>
        </w:rPr>
        <w:t xml:space="preserve">attendait à pouvoir </w:t>
      </w:r>
      <w:r w:rsidRPr="0089467C">
        <w:rPr>
          <w:rFonts w:cs="Times New Roman"/>
          <w:lang w:val="fr-CA"/>
        </w:rPr>
        <w:t>acquérir l</w:t>
      </w:r>
      <w:r>
        <w:rPr>
          <w:rFonts w:cs="Times New Roman"/>
          <w:lang w:val="fr-CA"/>
        </w:rPr>
        <w:t>’</w:t>
      </w:r>
      <w:r w:rsidRPr="0089467C">
        <w:rPr>
          <w:rFonts w:cs="Times New Roman"/>
          <w:lang w:val="fr-CA"/>
        </w:rPr>
        <w:t>intérêt de Gloria su</w:t>
      </w:r>
      <w:r w:rsidRPr="009B2D0F">
        <w:rPr>
          <w:rFonts w:cs="Times New Roman"/>
          <w:lang w:val="fr-CA"/>
        </w:rPr>
        <w:t>r le tiers de la propriété. Cette attente reflète le droit précis que Gloria avait promis à Max en échange de son retour à Victoria pour prendre soin de leur mère. Dans ces circonstances, l</w:t>
      </w:r>
      <w:r>
        <w:rPr>
          <w:rFonts w:cs="Times New Roman"/>
          <w:lang w:val="fr-CA"/>
        </w:rPr>
        <w:t>’</w:t>
      </w:r>
      <w:r w:rsidRPr="009B2D0F">
        <w:rPr>
          <w:rFonts w:cs="Times New Roman"/>
          <w:lang w:val="fr-CA"/>
        </w:rPr>
        <w:t>attente du demandeur doit guider le tribunal dans l</w:t>
      </w:r>
      <w:r>
        <w:rPr>
          <w:rFonts w:cs="Times New Roman"/>
          <w:lang w:val="fr-CA"/>
        </w:rPr>
        <w:t>’</w:t>
      </w:r>
      <w:r w:rsidRPr="009B2D0F">
        <w:rPr>
          <w:rFonts w:cs="Times New Roman"/>
          <w:lang w:val="fr-CA"/>
        </w:rPr>
        <w:t>exercice de son pouvoir discrétionnaire en matière de réparation. Il en est ainsi parce que, comme le lord juge Walker l</w:t>
      </w:r>
      <w:r>
        <w:rPr>
          <w:rFonts w:cs="Times New Roman"/>
          <w:lang w:val="fr-CA"/>
        </w:rPr>
        <w:t>’</w:t>
      </w:r>
      <w:r w:rsidRPr="009B2D0F">
        <w:rPr>
          <w:rFonts w:cs="Times New Roman"/>
          <w:lang w:val="fr-CA"/>
        </w:rPr>
        <w:t>a dit dans l</w:t>
      </w:r>
      <w:r>
        <w:rPr>
          <w:rFonts w:cs="Times New Roman"/>
          <w:lang w:val="fr-CA"/>
        </w:rPr>
        <w:t>’</w:t>
      </w:r>
      <w:r w:rsidRPr="009B2D0F">
        <w:rPr>
          <w:rFonts w:cs="Times New Roman"/>
          <w:lang w:val="fr-CA"/>
        </w:rPr>
        <w:t xml:space="preserve">arrêt </w:t>
      </w:r>
      <w:proofErr w:type="spellStart"/>
      <w:r w:rsidRPr="009B2D0F">
        <w:rPr>
          <w:rFonts w:cs="Times New Roman"/>
          <w:i/>
          <w:lang w:val="fr-CA"/>
        </w:rPr>
        <w:t>Jennings</w:t>
      </w:r>
      <w:proofErr w:type="spellEnd"/>
      <w:r w:rsidRPr="009B2D0F">
        <w:rPr>
          <w:rFonts w:cs="Times New Roman"/>
          <w:lang w:val="fr-CA"/>
        </w:rPr>
        <w:t xml:space="preserve">, </w:t>
      </w:r>
      <w:r>
        <w:rPr>
          <w:rFonts w:cs="Times New Roman"/>
          <w:lang w:val="fr-CA"/>
        </w:rPr>
        <w:t>par. </w:t>
      </w:r>
      <w:r w:rsidRPr="009B2D0F">
        <w:rPr>
          <w:rFonts w:cs="Times New Roman"/>
          <w:lang w:val="fr-CA"/>
        </w:rPr>
        <w:t>45</w:t>
      </w:r>
      <w:r>
        <w:rPr>
          <w:rFonts w:cs="Times New Roman"/>
          <w:lang w:val="fr-CA"/>
        </w:rPr>
        <w:t> :</w:t>
      </w:r>
    </w:p>
    <w:p w:rsidR="00987842" w:rsidRPr="009B2D0F" w:rsidRDefault="00987842" w:rsidP="00987842">
      <w:pPr>
        <w:pStyle w:val="Citation-AltC"/>
        <w:ind w:hanging="1166"/>
        <w:contextualSpacing w:val="0"/>
        <w:rPr>
          <w:lang w:val="fr-CA"/>
        </w:rPr>
      </w:pPr>
      <w:r>
        <w:rPr>
          <w:lang w:val="fr-CA"/>
        </w:rPr>
        <w:tab/>
      </w:r>
      <w:r w:rsidRPr="009B2D0F">
        <w:rPr>
          <w:lang w:val="fr-CA"/>
        </w:rPr>
        <w:t>[</w:t>
      </w:r>
      <w:r w:rsidRPr="009B2D0F">
        <w:rPr>
          <w:smallCaps/>
          <w:lang w:val="fr-CA"/>
        </w:rPr>
        <w:t>traduction</w:t>
      </w:r>
      <w:r w:rsidRPr="009B2D0F">
        <w:rPr>
          <w:lang w:val="fr-CA"/>
        </w:rPr>
        <w:t>] . . . l</w:t>
      </w:r>
      <w:r>
        <w:rPr>
          <w:lang w:val="fr-CA"/>
        </w:rPr>
        <w:t>’</w:t>
      </w:r>
      <w:r w:rsidRPr="009B2D0F">
        <w:rPr>
          <w:lang w:val="fr-CA"/>
        </w:rPr>
        <w:t>élément consensuel de ce qui s</w:t>
      </w:r>
      <w:r>
        <w:rPr>
          <w:lang w:val="fr-CA"/>
        </w:rPr>
        <w:t>’</w:t>
      </w:r>
      <w:r w:rsidRPr="009B2D0F">
        <w:rPr>
          <w:lang w:val="fr-CA"/>
        </w:rPr>
        <w:t>est produit indique que le demandeur et le bienfaiteur ont probablement considéré que l</w:t>
      </w:r>
      <w:r>
        <w:rPr>
          <w:lang w:val="fr-CA"/>
        </w:rPr>
        <w:t>’</w:t>
      </w:r>
      <w:r w:rsidRPr="009B2D0F">
        <w:rPr>
          <w:lang w:val="fr-CA"/>
        </w:rPr>
        <w:t xml:space="preserve">avantage attendu et le </w:t>
      </w:r>
      <w:r w:rsidRPr="001F2942">
        <w:rPr>
          <w:lang w:val="fr-CA"/>
        </w:rPr>
        <w:t>préjudice</w:t>
      </w:r>
      <w:r w:rsidRPr="009B2D0F">
        <w:rPr>
          <w:lang w:val="fr-CA"/>
        </w:rPr>
        <w:t xml:space="preserve"> accepté étaient (de façon générale et imprécise) équivalents, ou, en tout état de cause, qu</w:t>
      </w:r>
      <w:r>
        <w:rPr>
          <w:lang w:val="fr-CA"/>
        </w:rPr>
        <w:t>’</w:t>
      </w:r>
      <w:r w:rsidRPr="009B2D0F">
        <w:rPr>
          <w:lang w:val="fr-CA"/>
        </w:rPr>
        <w:t>ils n</w:t>
      </w:r>
      <w:r>
        <w:rPr>
          <w:lang w:val="fr-CA"/>
        </w:rPr>
        <w:t>’</w:t>
      </w:r>
      <w:r w:rsidRPr="009B2D0F">
        <w:rPr>
          <w:lang w:val="fr-CA"/>
        </w:rPr>
        <w:t>étaient pas manifestement disproportionnés.</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Reconnaître l</w:t>
      </w:r>
      <w:r>
        <w:rPr>
          <w:rFonts w:cs="Times New Roman"/>
          <w:lang w:val="fr-CA"/>
        </w:rPr>
        <w:t>’</w:t>
      </w:r>
      <w:r w:rsidRPr="009B2D0F">
        <w:rPr>
          <w:rFonts w:cs="Times New Roman"/>
          <w:lang w:val="fr-CA"/>
        </w:rPr>
        <w:t xml:space="preserve">attente de Max permettra de donner effet au droit en </w:t>
      </w:r>
      <w:proofErr w:type="spellStart"/>
      <w:r w:rsidRPr="009B2D0F">
        <w:rPr>
          <w:rFonts w:cs="Times New Roman"/>
          <w:lang w:val="fr-CA"/>
        </w:rPr>
        <w:t>equity</w:t>
      </w:r>
      <w:proofErr w:type="spellEnd"/>
      <w:r w:rsidRPr="009B2D0F">
        <w:rPr>
          <w:rFonts w:cs="Times New Roman"/>
          <w:lang w:val="fr-CA"/>
        </w:rPr>
        <w:t xml:space="preserve"> que détient celui</w:t>
      </w:r>
      <w:r>
        <w:rPr>
          <w:rFonts w:cs="Times New Roman"/>
          <w:lang w:val="fr-CA"/>
        </w:rPr>
        <w:noBreakHyphen/>
      </w:r>
      <w:r w:rsidRPr="009B2D0F">
        <w:rPr>
          <w:rFonts w:cs="Times New Roman"/>
          <w:lang w:val="fr-CA"/>
        </w:rPr>
        <w:t>ci, et qui a pris naissance au moment de l</w:t>
      </w:r>
      <w:r>
        <w:rPr>
          <w:rFonts w:cs="Times New Roman"/>
          <w:lang w:val="fr-CA"/>
        </w:rPr>
        <w:t>’</w:t>
      </w:r>
      <w:r w:rsidRPr="009B2D0F">
        <w:rPr>
          <w:rFonts w:cs="Times New Roman"/>
          <w:lang w:val="fr-CA"/>
        </w:rPr>
        <w:t xml:space="preserve">acte de confiance, en prévenant </w:t>
      </w:r>
      <w:r w:rsidRPr="001F2942">
        <w:rPr>
          <w:rFonts w:cs="Times New Roman"/>
          <w:lang w:val="fr-CA"/>
        </w:rPr>
        <w:t xml:space="preserve">le préjudice inéquitable et injuste que Max subirait si Gloria pouvait manquer à sa promesse (voir Gardner, </w:t>
      </w:r>
      <w:r>
        <w:rPr>
          <w:rFonts w:cs="Times New Roman"/>
          <w:lang w:val="fr-CA"/>
        </w:rPr>
        <w:t>p. </w:t>
      </w:r>
      <w:r w:rsidRPr="001F2942">
        <w:rPr>
          <w:rFonts w:cs="Times New Roman"/>
          <w:lang w:val="fr-CA"/>
        </w:rPr>
        <w:t xml:space="preserve">497; Bright et </w:t>
      </w:r>
      <w:proofErr w:type="spellStart"/>
      <w:r w:rsidRPr="001F2942">
        <w:rPr>
          <w:rFonts w:cs="Times New Roman"/>
          <w:lang w:val="fr-CA"/>
        </w:rPr>
        <w:t>McFarlane</w:t>
      </w:r>
      <w:proofErr w:type="spellEnd"/>
      <w:r w:rsidRPr="001F2942">
        <w:rPr>
          <w:rFonts w:cs="Times New Roman"/>
          <w:lang w:val="fr-CA"/>
        </w:rPr>
        <w:t xml:space="preserve">, </w:t>
      </w:r>
      <w:r>
        <w:rPr>
          <w:rFonts w:cs="Times New Roman"/>
          <w:lang w:val="fr-CA"/>
        </w:rPr>
        <w:t>p. </w:t>
      </w:r>
      <w:r w:rsidRPr="001F2942">
        <w:rPr>
          <w:rFonts w:cs="Times New Roman"/>
          <w:lang w:val="fr-CA"/>
        </w:rPr>
        <w:t>458). L</w:t>
      </w:r>
      <w:r>
        <w:rPr>
          <w:rFonts w:cs="Times New Roman"/>
          <w:lang w:val="fr-CA"/>
        </w:rPr>
        <w:t>’</w:t>
      </w:r>
      <w:r w:rsidRPr="001F2942">
        <w:rPr>
          <w:rFonts w:cs="Times New Roman"/>
          <w:lang w:val="fr-CA"/>
        </w:rPr>
        <w:t>attente de Max — c.</w:t>
      </w:r>
      <w:r>
        <w:rPr>
          <w:rFonts w:cs="Times New Roman"/>
          <w:lang w:val="fr-CA"/>
        </w:rPr>
        <w:noBreakHyphen/>
      </w:r>
      <w:r w:rsidRPr="001F2942">
        <w:rPr>
          <w:rFonts w:cs="Times New Roman"/>
          <w:lang w:val="fr-CA"/>
        </w:rPr>
        <w:t>à</w:t>
      </w:r>
      <w:r>
        <w:rPr>
          <w:rFonts w:cs="Times New Roman"/>
          <w:lang w:val="fr-CA"/>
        </w:rPr>
        <w:noBreakHyphen/>
      </w:r>
      <w:r w:rsidRPr="001F2942">
        <w:rPr>
          <w:rFonts w:cs="Times New Roman"/>
          <w:lang w:val="fr-CA"/>
        </w:rPr>
        <w:t>d. l</w:t>
      </w:r>
      <w:r>
        <w:rPr>
          <w:rFonts w:cs="Times New Roman"/>
          <w:lang w:val="fr-CA"/>
        </w:rPr>
        <w:t>’</w:t>
      </w:r>
      <w:r w:rsidRPr="001F2942">
        <w:rPr>
          <w:rFonts w:cs="Times New Roman"/>
          <w:lang w:val="fr-CA"/>
        </w:rPr>
        <w:t>avantage dont lui et Gloria ont convenu qu</w:t>
      </w:r>
      <w:r>
        <w:rPr>
          <w:rFonts w:cs="Times New Roman"/>
          <w:lang w:val="fr-CA"/>
        </w:rPr>
        <w:t>’</w:t>
      </w:r>
      <w:r w:rsidRPr="001F2942">
        <w:rPr>
          <w:rFonts w:cs="Times New Roman"/>
          <w:lang w:val="fr-CA"/>
        </w:rPr>
        <w:t>il compenserait le préjudice qu</w:t>
      </w:r>
      <w:r>
        <w:rPr>
          <w:rFonts w:cs="Times New Roman"/>
          <w:lang w:val="fr-CA"/>
        </w:rPr>
        <w:t>’</w:t>
      </w:r>
      <w:r w:rsidRPr="009B2D0F">
        <w:rPr>
          <w:rFonts w:cs="Times New Roman"/>
          <w:lang w:val="fr-CA"/>
        </w:rPr>
        <w:t>il subirait en retournant à Victoria — était qu</w:t>
      </w:r>
      <w:r>
        <w:rPr>
          <w:rFonts w:cs="Times New Roman"/>
          <w:lang w:val="fr-CA"/>
        </w:rPr>
        <w:t>’</w:t>
      </w:r>
      <w:r w:rsidRPr="009B2D0F">
        <w:rPr>
          <w:rFonts w:cs="Times New Roman"/>
          <w:lang w:val="fr-CA"/>
        </w:rPr>
        <w:t>il pourrait acquérir l</w:t>
      </w:r>
      <w:r>
        <w:rPr>
          <w:rFonts w:cs="Times New Roman"/>
          <w:lang w:val="fr-CA"/>
        </w:rPr>
        <w:t>’</w:t>
      </w:r>
      <w:r w:rsidRPr="009B2D0F">
        <w:rPr>
          <w:rFonts w:cs="Times New Roman"/>
          <w:lang w:val="fr-CA"/>
        </w:rPr>
        <w:t xml:space="preserve">intérêt de Gloria dans </w:t>
      </w:r>
      <w:r w:rsidRPr="009B2D0F">
        <w:rPr>
          <w:rFonts w:cs="Times New Roman"/>
          <w:lang w:val="fr-CA"/>
        </w:rPr>
        <w:lastRenderedPageBreak/>
        <w:t>la propriété une fois que la succession de leur mère aurait été administrée, ce qui, ils ne pouvaient s</w:t>
      </w:r>
      <w:r>
        <w:rPr>
          <w:rFonts w:cs="Times New Roman"/>
          <w:lang w:val="fr-CA"/>
        </w:rPr>
        <w:t>’</w:t>
      </w:r>
      <w:r w:rsidRPr="009B2D0F">
        <w:rPr>
          <w:rFonts w:cs="Times New Roman"/>
          <w:lang w:val="fr-CA"/>
        </w:rPr>
        <w:t xml:space="preserve">y attendre, prendrait des années. Le minimum requis pour donner effet au droit en </w:t>
      </w:r>
      <w:proofErr w:type="spellStart"/>
      <w:r w:rsidRPr="009B2D0F">
        <w:rPr>
          <w:rFonts w:cs="Times New Roman"/>
          <w:lang w:val="fr-CA"/>
        </w:rPr>
        <w:t>equity</w:t>
      </w:r>
      <w:proofErr w:type="spellEnd"/>
      <w:r w:rsidRPr="009B2D0F">
        <w:rPr>
          <w:rFonts w:cs="Times New Roman"/>
          <w:lang w:val="fr-CA"/>
        </w:rPr>
        <w:t xml:space="preserve"> de Max consiste donc à rendre une ordonnance lui permettant d</w:t>
      </w:r>
      <w:r>
        <w:rPr>
          <w:rFonts w:cs="Times New Roman"/>
          <w:lang w:val="fr-CA"/>
        </w:rPr>
        <w:t>’</w:t>
      </w:r>
      <w:r w:rsidRPr="009B2D0F">
        <w:rPr>
          <w:rFonts w:cs="Times New Roman"/>
          <w:lang w:val="fr-CA"/>
        </w:rPr>
        <w:t>acheter l</w:t>
      </w:r>
      <w:r>
        <w:rPr>
          <w:rFonts w:cs="Times New Roman"/>
          <w:lang w:val="fr-CA"/>
        </w:rPr>
        <w:t>’</w:t>
      </w:r>
      <w:r w:rsidRPr="009B2D0F">
        <w:rPr>
          <w:rFonts w:cs="Times New Roman"/>
          <w:lang w:val="fr-CA"/>
        </w:rPr>
        <w:t>intérêt de Gloria à sa juste valeur marchande établie à la date approximative à laquelle il se serait raisonnablement attendu à pouvoir l</w:t>
      </w:r>
      <w:r>
        <w:rPr>
          <w:rFonts w:cs="Times New Roman"/>
          <w:lang w:val="fr-CA"/>
        </w:rPr>
        <w:t>’</w:t>
      </w:r>
      <w:r w:rsidRPr="009B2D0F">
        <w:rPr>
          <w:rFonts w:cs="Times New Roman"/>
          <w:lang w:val="fr-CA"/>
        </w:rPr>
        <w:t>acquérir au départ, à savoir à un certain moment au début de l</w:t>
      </w:r>
      <w:r>
        <w:rPr>
          <w:rFonts w:cs="Times New Roman"/>
          <w:lang w:val="fr-CA"/>
        </w:rPr>
        <w:t>’</w:t>
      </w:r>
      <w:r w:rsidRPr="009B2D0F">
        <w:rPr>
          <w:rFonts w:cs="Times New Roman"/>
          <w:lang w:val="fr-CA"/>
        </w:rPr>
        <w:t>année 2011.</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 xml:space="preserve">Conclure autrement serait faire abstraction de la différence entre le droit en </w:t>
      </w:r>
      <w:proofErr w:type="spellStart"/>
      <w:r w:rsidRPr="009B2D0F">
        <w:rPr>
          <w:rFonts w:cs="Times New Roman"/>
          <w:lang w:val="fr-CA"/>
        </w:rPr>
        <w:t>equity</w:t>
      </w:r>
      <w:proofErr w:type="spellEnd"/>
      <w:r w:rsidRPr="009B2D0F">
        <w:rPr>
          <w:rFonts w:cs="Times New Roman"/>
          <w:lang w:val="fr-CA"/>
        </w:rPr>
        <w:t xml:space="preserve"> et la </w:t>
      </w:r>
      <w:proofErr w:type="spellStart"/>
      <w:r w:rsidRPr="009B2D0F">
        <w:rPr>
          <w:rFonts w:cs="Times New Roman"/>
          <w:lang w:val="fr-CA"/>
        </w:rPr>
        <w:t>préclusion</w:t>
      </w:r>
      <w:proofErr w:type="spellEnd"/>
      <w:r w:rsidRPr="009B2D0F">
        <w:rPr>
          <w:rFonts w:cs="Times New Roman"/>
          <w:lang w:val="fr-CA"/>
        </w:rPr>
        <w:t xml:space="preserve">. Le fait que la préclusion ne pouvait pas être invoquée au moment où le droit en </w:t>
      </w:r>
      <w:proofErr w:type="spellStart"/>
      <w:r w:rsidRPr="009B2D0F">
        <w:rPr>
          <w:rFonts w:cs="Times New Roman"/>
          <w:lang w:val="fr-CA"/>
        </w:rPr>
        <w:t>equity</w:t>
      </w:r>
      <w:proofErr w:type="spellEnd"/>
      <w:r w:rsidRPr="009B2D0F">
        <w:rPr>
          <w:rFonts w:cs="Times New Roman"/>
          <w:lang w:val="fr-CA"/>
        </w:rPr>
        <w:t xml:space="preserve"> a pris naissance n</w:t>
      </w:r>
      <w:r>
        <w:rPr>
          <w:rFonts w:cs="Times New Roman"/>
          <w:lang w:val="fr-CA"/>
        </w:rPr>
        <w:t>’</w:t>
      </w:r>
      <w:r w:rsidRPr="009B2D0F">
        <w:rPr>
          <w:rFonts w:cs="Times New Roman"/>
          <w:lang w:val="fr-CA"/>
        </w:rPr>
        <w:t xml:space="preserve">a aucune importance. Il faut envisager de façon large les attentes de Max. Contrairement à ce que soutient le juge Brown, le minimum nécessaire pour donner effet au droit en </w:t>
      </w:r>
      <w:proofErr w:type="spellStart"/>
      <w:r w:rsidRPr="009B2D0F">
        <w:rPr>
          <w:rFonts w:cs="Times New Roman"/>
          <w:lang w:val="fr-CA"/>
        </w:rPr>
        <w:t>equity</w:t>
      </w:r>
      <w:proofErr w:type="spellEnd"/>
      <w:r w:rsidRPr="009B2D0F">
        <w:rPr>
          <w:rFonts w:cs="Times New Roman"/>
          <w:lang w:val="fr-CA"/>
        </w:rPr>
        <w:t xml:space="preserve"> et le pouvoir discrétionnaire dont dispose le tribunal dans la détermination de la réparation à accorder ne sont pas circonscrits par le moment où le droit en </w:t>
      </w:r>
      <w:proofErr w:type="spellStart"/>
      <w:r w:rsidRPr="009B2D0F">
        <w:rPr>
          <w:rFonts w:cs="Times New Roman"/>
          <w:lang w:val="fr-CA"/>
        </w:rPr>
        <w:t>equity</w:t>
      </w:r>
      <w:proofErr w:type="spellEnd"/>
      <w:r w:rsidRPr="009B2D0F">
        <w:rPr>
          <w:rFonts w:cs="Times New Roman"/>
          <w:lang w:val="fr-CA"/>
        </w:rPr>
        <w:t xml:space="preserve"> est devenu un droit de nature propriétale ou le moment où la cause d</w:t>
      </w:r>
      <w:r>
        <w:rPr>
          <w:rFonts w:cs="Times New Roman"/>
          <w:lang w:val="fr-CA"/>
        </w:rPr>
        <w:t>’</w:t>
      </w:r>
      <w:r w:rsidRPr="009B2D0F">
        <w:rPr>
          <w:rFonts w:cs="Times New Roman"/>
          <w:lang w:val="fr-CA"/>
        </w:rPr>
        <w:t>action a pris naissance</w:t>
      </w:r>
      <w:r>
        <w:rPr>
          <w:rFonts w:cs="Times New Roman"/>
          <w:lang w:val="fr-CA"/>
        </w:rPr>
        <w:t> :</w:t>
      </w:r>
      <w:r w:rsidRPr="009B2D0F">
        <w:rPr>
          <w:rFonts w:cs="Times New Roman"/>
          <w:lang w:val="fr-CA"/>
        </w:rPr>
        <w:t xml:space="preserve"> [</w:t>
      </w:r>
      <w:r w:rsidRPr="009B2D0F">
        <w:rPr>
          <w:rFonts w:cs="Times New Roman"/>
          <w:smallCaps/>
          <w:lang w:val="fr-CA"/>
        </w:rPr>
        <w:t>traduction</w:t>
      </w:r>
      <w:r w:rsidRPr="009B2D0F">
        <w:rPr>
          <w:rFonts w:cs="Times New Roman"/>
          <w:lang w:val="fr-CA"/>
        </w:rPr>
        <w:t xml:space="preserve">] « La valeur de ce droit en </w:t>
      </w:r>
      <w:proofErr w:type="spellStart"/>
      <w:r w:rsidRPr="009B2D0F">
        <w:rPr>
          <w:rFonts w:cs="Times New Roman"/>
          <w:lang w:val="fr-CA"/>
        </w:rPr>
        <w:t>equity</w:t>
      </w:r>
      <w:proofErr w:type="spellEnd"/>
      <w:r w:rsidRPr="009B2D0F">
        <w:rPr>
          <w:rFonts w:cs="Times New Roman"/>
          <w:lang w:val="fr-CA"/>
        </w:rPr>
        <w:t xml:space="preserve"> dépendra de toutes les circonstances, y compris l</w:t>
      </w:r>
      <w:r>
        <w:rPr>
          <w:rFonts w:cs="Times New Roman"/>
          <w:lang w:val="fr-CA"/>
        </w:rPr>
        <w:t>’</w:t>
      </w:r>
      <w:r w:rsidRPr="009B2D0F">
        <w:rPr>
          <w:rFonts w:cs="Times New Roman"/>
          <w:lang w:val="fr-CA"/>
        </w:rPr>
        <w:t xml:space="preserve">attente et le </w:t>
      </w:r>
      <w:r w:rsidRPr="001F2942">
        <w:rPr>
          <w:rFonts w:cs="Times New Roman"/>
          <w:lang w:val="fr-CA"/>
        </w:rPr>
        <w:t>préjudice. Le rôle du tribunal consiste à rendre justice. L</w:t>
      </w:r>
      <w:r>
        <w:rPr>
          <w:rFonts w:cs="Times New Roman"/>
          <w:lang w:val="fr-CA"/>
        </w:rPr>
        <w:t>’</w:t>
      </w:r>
      <w:r w:rsidRPr="001F2942">
        <w:rPr>
          <w:rFonts w:cs="Times New Roman"/>
          <w:lang w:val="fr-CA"/>
        </w:rPr>
        <w:t>exigence la plus importante est qu</w:t>
      </w:r>
      <w:r>
        <w:rPr>
          <w:rFonts w:cs="Times New Roman"/>
          <w:lang w:val="fr-CA"/>
        </w:rPr>
        <w:t>’</w:t>
      </w:r>
      <w:r w:rsidRPr="001F2942">
        <w:rPr>
          <w:rFonts w:cs="Times New Roman"/>
          <w:lang w:val="fr-CA"/>
        </w:rPr>
        <w:t>il doit y avoir proportionnalité entre l</w:t>
      </w:r>
      <w:r>
        <w:rPr>
          <w:rFonts w:cs="Times New Roman"/>
          <w:lang w:val="fr-CA"/>
        </w:rPr>
        <w:t>’</w:t>
      </w:r>
      <w:r w:rsidRPr="001F2942">
        <w:rPr>
          <w:rFonts w:cs="Times New Roman"/>
          <w:lang w:val="fr-CA"/>
        </w:rPr>
        <w:t>attente et le préjudice » (</w:t>
      </w:r>
      <w:proofErr w:type="spellStart"/>
      <w:r w:rsidRPr="001F2942">
        <w:rPr>
          <w:rFonts w:cs="Times New Roman"/>
          <w:i/>
          <w:lang w:val="fr-CA"/>
        </w:rPr>
        <w:t>Jenn</w:t>
      </w:r>
      <w:r w:rsidRPr="009B2D0F">
        <w:rPr>
          <w:rFonts w:cs="Times New Roman"/>
          <w:i/>
          <w:lang w:val="fr-CA"/>
        </w:rPr>
        <w:t>ings</w:t>
      </w:r>
      <w:proofErr w:type="spellEnd"/>
      <w:r w:rsidRPr="009B2D0F">
        <w:rPr>
          <w:rFonts w:cs="Times New Roman"/>
          <w:lang w:val="fr-CA"/>
        </w:rPr>
        <w:t xml:space="preserve">, </w:t>
      </w:r>
      <w:r>
        <w:rPr>
          <w:rFonts w:cs="Times New Roman"/>
          <w:lang w:val="fr-CA"/>
        </w:rPr>
        <w:t>par. </w:t>
      </w:r>
      <w:r w:rsidRPr="009B2D0F">
        <w:rPr>
          <w:rFonts w:cs="Times New Roman"/>
          <w:lang w:val="fr-CA"/>
        </w:rPr>
        <w:t xml:space="preserve">36, le lord juge Aldous). Ce que le minimum nécessaire pour donner effet au droit en </w:t>
      </w:r>
      <w:proofErr w:type="spellStart"/>
      <w:r w:rsidRPr="009B2D0F">
        <w:rPr>
          <w:rFonts w:cs="Times New Roman"/>
          <w:lang w:val="fr-CA"/>
        </w:rPr>
        <w:t>equity</w:t>
      </w:r>
      <w:proofErr w:type="spellEnd"/>
      <w:r w:rsidRPr="009B2D0F">
        <w:rPr>
          <w:rFonts w:cs="Times New Roman"/>
          <w:lang w:val="fr-CA"/>
        </w:rPr>
        <w:t xml:space="preserve"> exige — notamment en ce qui a trait à la somme pour laquelle Gloria doit vendre sa part à Max — est déterminé par ce qu</w:t>
      </w:r>
      <w:r>
        <w:rPr>
          <w:rFonts w:cs="Times New Roman"/>
          <w:lang w:val="fr-CA"/>
        </w:rPr>
        <w:t>’</w:t>
      </w:r>
      <w:r w:rsidRPr="009B2D0F">
        <w:rPr>
          <w:rFonts w:cs="Times New Roman"/>
          <w:lang w:val="fr-CA"/>
        </w:rPr>
        <w:t>il protège.</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lastRenderedPageBreak/>
        <w:t>Or, comme l</w:t>
      </w:r>
      <w:r>
        <w:rPr>
          <w:rFonts w:cs="Times New Roman"/>
          <w:lang w:val="fr-CA"/>
        </w:rPr>
        <w:t>’</w:t>
      </w:r>
      <w:r w:rsidRPr="009B2D0F">
        <w:rPr>
          <w:rFonts w:cs="Times New Roman"/>
          <w:lang w:val="fr-CA"/>
        </w:rPr>
        <w:t xml:space="preserve">a reconnu la juge de première instance, donner effet au droit en </w:t>
      </w:r>
      <w:proofErr w:type="spellStart"/>
      <w:r w:rsidRPr="009B2D0F">
        <w:rPr>
          <w:rFonts w:cs="Times New Roman"/>
          <w:lang w:val="fr-CA"/>
        </w:rPr>
        <w:t>equity</w:t>
      </w:r>
      <w:proofErr w:type="spellEnd"/>
      <w:r w:rsidRPr="009B2D0F">
        <w:rPr>
          <w:rFonts w:cs="Times New Roman"/>
          <w:lang w:val="fr-CA"/>
        </w:rPr>
        <w:t xml:space="preserve"> en cause ne signifie pas que Gloria doive subir une perte. Si les choses s</w:t>
      </w:r>
      <w:r>
        <w:rPr>
          <w:rFonts w:cs="Times New Roman"/>
          <w:lang w:val="fr-CA"/>
        </w:rPr>
        <w:t>’</w:t>
      </w:r>
      <w:r w:rsidRPr="009B2D0F">
        <w:rPr>
          <w:rFonts w:cs="Times New Roman"/>
          <w:lang w:val="fr-CA"/>
        </w:rPr>
        <w:t>étaient passées comme Max s</w:t>
      </w:r>
      <w:r>
        <w:rPr>
          <w:rFonts w:cs="Times New Roman"/>
          <w:lang w:val="fr-CA"/>
        </w:rPr>
        <w:t>’</w:t>
      </w:r>
      <w:r w:rsidRPr="009B2D0F">
        <w:rPr>
          <w:rFonts w:cs="Times New Roman"/>
          <w:lang w:val="fr-CA"/>
        </w:rPr>
        <w:t>attendait raisonnablement à ce qu</w:t>
      </w:r>
      <w:r>
        <w:rPr>
          <w:rFonts w:cs="Times New Roman"/>
          <w:lang w:val="fr-CA"/>
        </w:rPr>
        <w:t>’</w:t>
      </w:r>
      <w:r w:rsidRPr="009B2D0F">
        <w:rPr>
          <w:rFonts w:cs="Times New Roman"/>
          <w:lang w:val="fr-CA"/>
        </w:rPr>
        <w:t>elles se passent, Gloria aurait renoncé à son intérêt dans la propriété au début de l</w:t>
      </w:r>
      <w:r>
        <w:rPr>
          <w:rFonts w:cs="Times New Roman"/>
          <w:lang w:val="fr-CA"/>
        </w:rPr>
        <w:t>’</w:t>
      </w:r>
      <w:r w:rsidRPr="009B2D0F">
        <w:rPr>
          <w:rFonts w:cs="Times New Roman"/>
          <w:lang w:val="fr-CA"/>
        </w:rPr>
        <w:t>année 2011 en échange d</w:t>
      </w:r>
      <w:r>
        <w:rPr>
          <w:rFonts w:cs="Times New Roman"/>
          <w:lang w:val="fr-CA"/>
        </w:rPr>
        <w:t>’</w:t>
      </w:r>
      <w:r w:rsidRPr="009B2D0F">
        <w:rPr>
          <w:rFonts w:cs="Times New Roman"/>
          <w:lang w:val="fr-CA"/>
        </w:rPr>
        <w:t>une somme équivalant à sa juste valeur marchande. Elle aurait bénéficié de ces fonds pendant les années qui ont suivi, et la succession de sa mère n</w:t>
      </w:r>
      <w:r>
        <w:rPr>
          <w:rFonts w:cs="Times New Roman"/>
          <w:lang w:val="fr-CA"/>
        </w:rPr>
        <w:t>’</w:t>
      </w:r>
      <w:r w:rsidRPr="009B2D0F">
        <w:rPr>
          <w:rFonts w:cs="Times New Roman"/>
          <w:lang w:val="fr-CA"/>
        </w:rPr>
        <w:t>aurait pas eu à supporter le coût de l</w:t>
      </w:r>
      <w:r>
        <w:rPr>
          <w:rFonts w:cs="Times New Roman"/>
          <w:lang w:val="fr-CA"/>
        </w:rPr>
        <w:t>’</w:t>
      </w:r>
      <w:r w:rsidRPr="009B2D0F">
        <w:rPr>
          <w:rFonts w:cs="Times New Roman"/>
          <w:lang w:val="fr-CA"/>
        </w:rPr>
        <w:t xml:space="preserve">entretien de la propriété, de sorte que le reliquat devant être partagé également entre Gloria et ses frères aurait été plus important. </w:t>
      </w:r>
    </w:p>
    <w:p w:rsidR="00987842" w:rsidRPr="009B2D0F" w:rsidRDefault="00987842" w:rsidP="00987842">
      <w:pPr>
        <w:pStyle w:val="ParaNoNdepar-AltN"/>
        <w:tabs>
          <w:tab w:val="clear" w:pos="1692"/>
          <w:tab w:val="num" w:pos="1152"/>
        </w:tabs>
        <w:ind w:left="0"/>
        <w:rPr>
          <w:rFonts w:cs="Times New Roman"/>
          <w:lang w:val="fr-CA"/>
        </w:rPr>
      </w:pPr>
      <w:r w:rsidRPr="009B2D0F">
        <w:rPr>
          <w:rFonts w:cs="Times New Roman"/>
          <w:lang w:val="fr-CA"/>
        </w:rPr>
        <w:t>Max aura donc le droit d</w:t>
      </w:r>
      <w:r>
        <w:rPr>
          <w:rFonts w:cs="Times New Roman"/>
          <w:lang w:val="fr-CA"/>
        </w:rPr>
        <w:t>’</w:t>
      </w:r>
      <w:r w:rsidRPr="009B2D0F">
        <w:rPr>
          <w:rFonts w:cs="Times New Roman"/>
          <w:lang w:val="fr-CA"/>
        </w:rPr>
        <w:t xml:space="preserve">acheter </w:t>
      </w:r>
      <w:r w:rsidRPr="009B2D0F">
        <w:rPr>
          <w:lang w:val="fr-CA"/>
        </w:rPr>
        <w:t>l</w:t>
      </w:r>
      <w:r>
        <w:rPr>
          <w:lang w:val="fr-CA"/>
        </w:rPr>
        <w:t>’</w:t>
      </w:r>
      <w:r w:rsidRPr="009B2D0F">
        <w:rPr>
          <w:lang w:val="fr-CA"/>
        </w:rPr>
        <w:t>intérêt de Gloria dans la propriété pour la somme de 223 333,33</w:t>
      </w:r>
      <w:r>
        <w:rPr>
          <w:lang w:val="fr-CA"/>
        </w:rPr>
        <w:t> $</w:t>
      </w:r>
      <w:r w:rsidRPr="009B2D0F">
        <w:rPr>
          <w:lang w:val="fr-CA"/>
        </w:rPr>
        <w:t xml:space="preserve"> — plus un montant représentant l</w:t>
      </w:r>
      <w:r>
        <w:rPr>
          <w:lang w:val="fr-CA"/>
        </w:rPr>
        <w:t>’</w:t>
      </w:r>
      <w:r w:rsidRPr="009B2D0F">
        <w:rPr>
          <w:lang w:val="fr-CA"/>
        </w:rPr>
        <w:t>intérêt après jugement qui serait exigible en vertu d</w:t>
      </w:r>
      <w:r>
        <w:rPr>
          <w:lang w:val="fr-CA"/>
        </w:rPr>
        <w:t>’</w:t>
      </w:r>
      <w:r w:rsidRPr="009B2D0F">
        <w:rPr>
          <w:lang w:val="fr-CA"/>
        </w:rPr>
        <w:t>un jugement au même montant rendu le 2 février</w:t>
      </w:r>
      <w:r>
        <w:rPr>
          <w:lang w:val="fr-CA"/>
        </w:rPr>
        <w:t xml:space="preserve"> </w:t>
      </w:r>
      <w:r w:rsidRPr="009B2D0F">
        <w:rPr>
          <w:lang w:val="fr-CA"/>
        </w:rPr>
        <w:t xml:space="preserve">2011 — une fois que </w:t>
      </w:r>
      <w:r w:rsidRPr="009B2D0F">
        <w:rPr>
          <w:rFonts w:cs="Times New Roman"/>
          <w:lang w:val="fr-CA"/>
        </w:rPr>
        <w:t>Gloria aura reçu cet intérêt de la succession d</w:t>
      </w:r>
      <w:r>
        <w:rPr>
          <w:rFonts w:cs="Times New Roman"/>
          <w:lang w:val="fr-CA"/>
        </w:rPr>
        <w:t>’</w:t>
      </w:r>
      <w:r w:rsidRPr="009B2D0F">
        <w:rPr>
          <w:rFonts w:cs="Times New Roman"/>
          <w:lang w:val="fr-CA"/>
        </w:rPr>
        <w:t xml:space="preserve">Elizabeth. </w:t>
      </w:r>
      <w:r w:rsidRPr="009B2D0F">
        <w:rPr>
          <w:lang w:val="fr-CA"/>
        </w:rPr>
        <w:t>Après avoir acquis l</w:t>
      </w:r>
      <w:r>
        <w:rPr>
          <w:lang w:val="fr-CA"/>
        </w:rPr>
        <w:t>’</w:t>
      </w:r>
      <w:r w:rsidRPr="009B2D0F">
        <w:rPr>
          <w:lang w:val="fr-CA"/>
        </w:rPr>
        <w:t>intérêt de Gloria dans la propriété, Max devra remettre à la succession le montant des dépenses engagées par celle</w:t>
      </w:r>
      <w:r>
        <w:rPr>
          <w:lang w:val="fr-CA"/>
        </w:rPr>
        <w:noBreakHyphen/>
      </w:r>
      <w:r w:rsidRPr="009B2D0F">
        <w:rPr>
          <w:lang w:val="fr-CA"/>
        </w:rPr>
        <w:t>ci pour l</w:t>
      </w:r>
      <w:r>
        <w:rPr>
          <w:lang w:val="fr-CA"/>
        </w:rPr>
        <w:t>’</w:t>
      </w:r>
      <w:r w:rsidRPr="009B2D0F">
        <w:rPr>
          <w:lang w:val="fr-CA"/>
        </w:rPr>
        <w:t>entretien de la propriété à compter du 2 février</w:t>
      </w:r>
      <w:r>
        <w:rPr>
          <w:lang w:val="fr-CA"/>
        </w:rPr>
        <w:t xml:space="preserve"> </w:t>
      </w:r>
      <w:r w:rsidRPr="009B2D0F">
        <w:rPr>
          <w:lang w:val="fr-CA"/>
        </w:rPr>
        <w:t>2011.</w:t>
      </w:r>
    </w:p>
    <w:p w:rsidR="00987842" w:rsidRPr="009B2D0F" w:rsidRDefault="00987842" w:rsidP="00987842">
      <w:pPr>
        <w:pStyle w:val="ParaNoNdepar-AltN"/>
        <w:tabs>
          <w:tab w:val="clear" w:pos="1692"/>
          <w:tab w:val="num" w:pos="1152"/>
        </w:tabs>
        <w:ind w:left="0"/>
        <w:rPr>
          <w:lang w:val="fr-CA"/>
        </w:rPr>
      </w:pPr>
      <w:r w:rsidRPr="009B2D0F">
        <w:rPr>
          <w:lang w:val="fr-CA"/>
        </w:rPr>
        <w:t>Aucun argument n</w:t>
      </w:r>
      <w:r>
        <w:rPr>
          <w:lang w:val="fr-CA"/>
        </w:rPr>
        <w:t>’</w:t>
      </w:r>
      <w:r w:rsidRPr="009B2D0F">
        <w:rPr>
          <w:lang w:val="fr-CA"/>
        </w:rPr>
        <w:t>a été soulevé relativement à l</w:t>
      </w:r>
      <w:r>
        <w:rPr>
          <w:lang w:val="fr-CA"/>
        </w:rPr>
        <w:t>’</w:t>
      </w:r>
      <w:r w:rsidRPr="009B2D0F">
        <w:rPr>
          <w:lang w:val="fr-CA"/>
        </w:rPr>
        <w:t>existence de revendications de tiers contre la succession, qui pourraient avoir priorité sur les demandes des bénéficiaires. De plus, dans la mesure où les bénéficiaires sont prêts à payer les dettes de la succession, l</w:t>
      </w:r>
      <w:r>
        <w:rPr>
          <w:lang w:val="fr-CA"/>
        </w:rPr>
        <w:t>’</w:t>
      </w:r>
      <w:r w:rsidRPr="009B2D0F">
        <w:rPr>
          <w:lang w:val="fr-CA"/>
        </w:rPr>
        <w:t>existence de telles dettes n</w:t>
      </w:r>
      <w:r>
        <w:rPr>
          <w:lang w:val="fr-CA"/>
        </w:rPr>
        <w:t>’</w:t>
      </w:r>
      <w:r w:rsidRPr="009B2D0F">
        <w:rPr>
          <w:lang w:val="fr-CA"/>
        </w:rPr>
        <w:t xml:space="preserve">empêche pas un partage en nature de la propriété (voir </w:t>
      </w:r>
      <w:r w:rsidRPr="009B2D0F">
        <w:rPr>
          <w:i/>
          <w:lang w:val="fr-CA"/>
        </w:rPr>
        <w:t>Staub</w:t>
      </w:r>
      <w:r w:rsidRPr="009B2D0F">
        <w:rPr>
          <w:lang w:val="fr-CA"/>
        </w:rPr>
        <w:t xml:space="preserve">, </w:t>
      </w:r>
      <w:r>
        <w:rPr>
          <w:lang w:val="fr-CA"/>
        </w:rPr>
        <w:t>par. </w:t>
      </w:r>
      <w:r w:rsidRPr="009B2D0F">
        <w:rPr>
          <w:lang w:val="fr-CA"/>
        </w:rPr>
        <w:t xml:space="preserve">23). Néanmoins, la présente ordonnance sera assujettie à toute revendication de tiers contre la succession à laquelle les autres </w:t>
      </w:r>
      <w:r w:rsidRPr="009B2D0F">
        <w:rPr>
          <w:lang w:val="fr-CA"/>
        </w:rPr>
        <w:lastRenderedPageBreak/>
        <w:t>éléments d</w:t>
      </w:r>
      <w:r>
        <w:rPr>
          <w:lang w:val="fr-CA"/>
        </w:rPr>
        <w:t>’</w:t>
      </w:r>
      <w:r w:rsidRPr="009B2D0F">
        <w:rPr>
          <w:lang w:val="fr-CA"/>
        </w:rPr>
        <w:t xml:space="preserve">actif de la succession (comme les </w:t>
      </w:r>
      <w:r>
        <w:rPr>
          <w:lang w:val="fr-CA"/>
        </w:rPr>
        <w:t>placements</w:t>
      </w:r>
      <w:r w:rsidRPr="009B2D0F">
        <w:rPr>
          <w:lang w:val="fr-CA"/>
        </w:rPr>
        <w:t xml:space="preserve"> d</w:t>
      </w:r>
      <w:r>
        <w:rPr>
          <w:lang w:val="fr-CA"/>
        </w:rPr>
        <w:t>’</w:t>
      </w:r>
      <w:r w:rsidRPr="009B2D0F">
        <w:rPr>
          <w:lang w:val="fr-CA"/>
        </w:rPr>
        <w:t>Elizabeth) ne permettent pas de satisfaire.</w:t>
      </w:r>
    </w:p>
    <w:p w:rsidR="00987842" w:rsidRPr="009B2D0F" w:rsidRDefault="00987842" w:rsidP="00987842">
      <w:pPr>
        <w:pStyle w:val="ParaNoNdepar-AltN"/>
        <w:tabs>
          <w:tab w:val="clear" w:pos="1692"/>
          <w:tab w:val="num" w:pos="1152"/>
        </w:tabs>
        <w:ind w:left="0"/>
        <w:rPr>
          <w:lang w:val="fr-CA"/>
        </w:rPr>
      </w:pPr>
      <w:r w:rsidRPr="009B2D0F">
        <w:rPr>
          <w:lang w:val="fr-CA"/>
        </w:rPr>
        <w:t>Je suis d</w:t>
      </w:r>
      <w:r>
        <w:rPr>
          <w:lang w:val="fr-CA"/>
        </w:rPr>
        <w:t>’</w:t>
      </w:r>
      <w:r w:rsidRPr="009B2D0F">
        <w:rPr>
          <w:lang w:val="fr-CA"/>
        </w:rPr>
        <w:t>avis d</w:t>
      </w:r>
      <w:r>
        <w:rPr>
          <w:lang w:val="fr-CA"/>
        </w:rPr>
        <w:t>’</w:t>
      </w:r>
      <w:r w:rsidRPr="009B2D0F">
        <w:rPr>
          <w:lang w:val="fr-CA"/>
        </w:rPr>
        <w:t>accueillir le pourvoi et de modifier en conséquence l</w:t>
      </w:r>
      <w:r>
        <w:rPr>
          <w:lang w:val="fr-CA"/>
        </w:rPr>
        <w:t>’</w:t>
      </w:r>
      <w:r w:rsidRPr="009B2D0F">
        <w:rPr>
          <w:lang w:val="fr-CA"/>
        </w:rPr>
        <w:t>ordonnance de la juge de première instance, avec dépens en faveur de Max devant toutes les cours.</w:t>
      </w:r>
    </w:p>
    <w:p w:rsidR="00987842" w:rsidRDefault="00987842" w:rsidP="00562B58">
      <w:pPr>
        <w:pStyle w:val="ParaNoNdepar-AltN"/>
        <w:numPr>
          <w:ilvl w:val="0"/>
          <w:numId w:val="0"/>
        </w:numPr>
        <w:ind w:firstLine="720"/>
        <w:rPr>
          <w:lang w:val="fr-CA"/>
        </w:rPr>
      </w:pPr>
      <w:r>
        <w:rPr>
          <w:lang w:val="fr-CA"/>
        </w:rPr>
        <w:t xml:space="preserve">Version française des motifs rendus par </w:t>
      </w:r>
    </w:p>
    <w:p w:rsidR="00987842" w:rsidRDefault="00562B58" w:rsidP="00987842">
      <w:pPr>
        <w:pStyle w:val="JudgeJuge"/>
        <w:spacing w:before="480"/>
        <w:rPr>
          <w:lang w:val="fr-CA"/>
        </w:rPr>
      </w:pPr>
      <w:r>
        <w:rPr>
          <w:lang w:val="fr-CA"/>
        </w:rPr>
        <w:tab/>
      </w:r>
      <w:r w:rsidR="00987842">
        <w:rPr>
          <w:lang w:val="fr-CA"/>
        </w:rPr>
        <w:t xml:space="preserve">Le juge Brown — </w:t>
      </w:r>
    </w:p>
    <w:p w:rsidR="00987842" w:rsidRDefault="00987842" w:rsidP="00987842">
      <w:pPr>
        <w:pStyle w:val="Title1LevelTitre1Niveau-AltL"/>
        <w:numPr>
          <w:ilvl w:val="0"/>
          <w:numId w:val="19"/>
        </w:numPr>
        <w:rPr>
          <w:rFonts w:cs="Times New Roman"/>
          <w:lang w:val="fr-CA"/>
        </w:rPr>
      </w:pPr>
      <w:r>
        <w:rPr>
          <w:rFonts w:cs="Times New Roman"/>
          <w:lang w:val="fr-CA"/>
        </w:rPr>
        <w:t>Introduction</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Bien que je souscrive à la conclusion de la Juge en chef selon laquelle la juge de première instance n’a pas commis d’erreur en faisant droit à la demande de Max Cowper</w:t>
      </w:r>
      <w:r>
        <w:rPr>
          <w:rFonts w:cs="Times New Roman"/>
          <w:lang w:val="fr-CA"/>
        </w:rPr>
        <w:noBreakHyphen/>
        <w:t xml:space="preserve">Smith fondée sur la préclusion propriétale, je ne partage pas son avis sur la réparation qu’il convient d’accorder. </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En résumé, dans les affaires de préclusion propriétale, la réparation appropriée est « </w:t>
      </w:r>
      <w:r>
        <w:rPr>
          <w:rFonts w:eastAsia="Times New Roman" w:cs="Times New Roman"/>
          <w:szCs w:val="24"/>
          <w:lang w:val="fr-CA" w:eastAsia="en-CA"/>
        </w:rPr>
        <w:t xml:space="preserve"> </w:t>
      </w:r>
      <w:r>
        <w:rPr>
          <w:rFonts w:cs="Times New Roman"/>
          <w:lang w:val="fr-CA"/>
        </w:rPr>
        <w:t xml:space="preserve">le minimum nécessaire pour donner effet au droit en </w:t>
      </w:r>
      <w:proofErr w:type="spellStart"/>
      <w:r>
        <w:rPr>
          <w:rFonts w:cs="Times New Roman"/>
          <w:lang w:val="fr-CA"/>
        </w:rPr>
        <w:t>equity</w:t>
      </w:r>
      <w:proofErr w:type="spellEnd"/>
      <w:r>
        <w:rPr>
          <w:rFonts w:cs="Times New Roman"/>
          <w:lang w:val="fr-CA"/>
        </w:rPr>
        <w:t> » (motifs de la Juge en chef, par. 50 et 55</w:t>
      </w:r>
      <w:r>
        <w:rPr>
          <w:rFonts w:cs="Times New Roman"/>
          <w:lang w:val="fr-CA"/>
        </w:rPr>
        <w:noBreakHyphen/>
        <w:t xml:space="preserve">56). Lorsqu’un promettant n’est pas titulaire du droit ou de l’avantage promis à l’égard du bien visé au moment où il fait sa promesse, le droit en </w:t>
      </w:r>
      <w:proofErr w:type="spellStart"/>
      <w:r>
        <w:rPr>
          <w:rFonts w:cs="Times New Roman"/>
          <w:lang w:val="fr-CA"/>
        </w:rPr>
        <w:t>equity</w:t>
      </w:r>
      <w:proofErr w:type="spellEnd"/>
      <w:r>
        <w:rPr>
          <w:rFonts w:cs="Times New Roman"/>
          <w:lang w:val="fr-CA"/>
        </w:rPr>
        <w:t xml:space="preserve"> auquel la </w:t>
      </w:r>
      <w:proofErr w:type="spellStart"/>
      <w:r>
        <w:rPr>
          <w:rFonts w:cs="Times New Roman"/>
          <w:lang w:val="fr-CA"/>
        </w:rPr>
        <w:t>préclusion</w:t>
      </w:r>
      <w:proofErr w:type="spellEnd"/>
      <w:r>
        <w:rPr>
          <w:rFonts w:cs="Times New Roman"/>
          <w:lang w:val="fr-CA"/>
        </w:rPr>
        <w:t xml:space="preserve"> propriétale permet de donner effet ne prend naissance que si, et au moment où, le promettant acquiert ce droit ou cet avantage. En </w:t>
      </w:r>
      <w:r>
        <w:rPr>
          <w:rFonts w:cs="Times New Roman"/>
          <w:lang w:val="fr-CA"/>
        </w:rPr>
        <w:lastRenderedPageBreak/>
        <w:t xml:space="preserve">l’espèce, Gloria Morgan n’acquerra le bien promis qu’à la date de l’ordonnance de la Cour. Le minimum nécessaire pour donner effet au droit en </w:t>
      </w:r>
      <w:proofErr w:type="spellStart"/>
      <w:r>
        <w:rPr>
          <w:rFonts w:cs="Times New Roman"/>
          <w:lang w:val="fr-CA"/>
        </w:rPr>
        <w:t>equity</w:t>
      </w:r>
      <w:proofErr w:type="spellEnd"/>
      <w:r>
        <w:rPr>
          <w:rFonts w:cs="Times New Roman"/>
          <w:lang w:val="fr-CA"/>
        </w:rPr>
        <w:t xml:space="preserve"> ne peut donc pas être une ordonnance permettant à Max d’acheter le bien à une date antérieure à la naissance du droit en </w:t>
      </w:r>
      <w:proofErr w:type="spellStart"/>
      <w:r>
        <w:rPr>
          <w:rFonts w:cs="Times New Roman"/>
          <w:lang w:val="fr-CA"/>
        </w:rPr>
        <w:t>equity</w:t>
      </w:r>
      <w:proofErr w:type="spellEnd"/>
      <w:r>
        <w:rPr>
          <w:rFonts w:cs="Times New Roman"/>
          <w:lang w:val="fr-CA"/>
        </w:rPr>
        <w:t xml:space="preserve"> lui</w:t>
      </w:r>
      <w:r>
        <w:rPr>
          <w:rFonts w:cs="Times New Roman"/>
          <w:lang w:val="fr-CA"/>
        </w:rPr>
        <w:noBreakHyphen/>
        <w:t>même.</w:t>
      </w:r>
    </w:p>
    <w:p w:rsidR="00987842" w:rsidRDefault="00987842" w:rsidP="00987842">
      <w:pPr>
        <w:pStyle w:val="Title1LevelTitre1Niveau-AltL"/>
        <w:numPr>
          <w:ilvl w:val="0"/>
          <w:numId w:val="19"/>
        </w:numPr>
        <w:rPr>
          <w:rFonts w:cs="Times New Roman"/>
          <w:lang w:val="fr-CA"/>
        </w:rPr>
      </w:pPr>
      <w:r>
        <w:rPr>
          <w:rFonts w:cs="Times New Roman"/>
          <w:lang w:val="fr-CA"/>
        </w:rPr>
        <w:t>Analyse</w:t>
      </w:r>
    </w:p>
    <w:p w:rsidR="00987842" w:rsidRDefault="00987842" w:rsidP="00602699">
      <w:pPr>
        <w:pStyle w:val="Title4LevelTitre4Niveau"/>
        <w:numPr>
          <w:ilvl w:val="0"/>
          <w:numId w:val="0"/>
        </w:numPr>
        <w:tabs>
          <w:tab w:val="left" w:pos="720"/>
        </w:tabs>
        <w:rPr>
          <w:rFonts w:cs="Times New Roman"/>
          <w:lang w:val="fr-CA"/>
        </w:rPr>
      </w:pPr>
      <w:r>
        <w:rPr>
          <w:rFonts w:cs="Times New Roman"/>
          <w:lang w:val="fr-CA"/>
        </w:rPr>
        <w:t xml:space="preserve">Le critère de la préclusion propriétale exige l’existence d’un droit </w:t>
      </w:r>
      <w:proofErr w:type="spellStart"/>
      <w:r>
        <w:rPr>
          <w:rFonts w:cs="Times New Roman"/>
          <w:lang w:val="fr-CA"/>
        </w:rPr>
        <w:t>propriétal</w:t>
      </w:r>
      <w:proofErr w:type="spellEnd"/>
      <w:r>
        <w:rPr>
          <w:rFonts w:cs="Times New Roman"/>
          <w:lang w:val="fr-CA"/>
        </w:rPr>
        <w:t xml:space="preserve"> qui ne peut prendre naissance tant que le promettant n’est pas titulaire du droit ou de l’avantage promis </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Comme l’explique la Juge en chef, le tribunal saisi d’une demande fondée sur la préclusion propriétale doit trancher trois questions : </w:t>
      </w:r>
    </w:p>
    <w:p w:rsidR="00987842" w:rsidRDefault="00987842" w:rsidP="009B5F8D">
      <w:pPr>
        <w:pStyle w:val="Citation-AltC"/>
        <w:numPr>
          <w:ilvl w:val="3"/>
          <w:numId w:val="18"/>
        </w:numPr>
        <w:spacing w:after="240"/>
        <w:ind w:left="540" w:hanging="540"/>
        <w:rPr>
          <w:lang w:val="fr-CA"/>
        </w:rPr>
      </w:pPr>
      <w:r>
        <w:rPr>
          <w:lang w:val="fr-CA"/>
        </w:rPr>
        <w:t xml:space="preserve">Un droit en </w:t>
      </w:r>
      <w:proofErr w:type="spellStart"/>
      <w:r>
        <w:rPr>
          <w:lang w:val="fr-CA"/>
        </w:rPr>
        <w:t>equity</w:t>
      </w:r>
      <w:proofErr w:type="spellEnd"/>
      <w:r>
        <w:rPr>
          <w:lang w:val="fr-CA"/>
        </w:rPr>
        <w:t xml:space="preserve"> </w:t>
      </w:r>
      <w:proofErr w:type="spellStart"/>
      <w:r>
        <w:rPr>
          <w:lang w:val="fr-CA"/>
        </w:rPr>
        <w:t>a</w:t>
      </w:r>
      <w:r>
        <w:rPr>
          <w:lang w:val="fr-CA"/>
        </w:rPr>
        <w:noBreakHyphen/>
        <w:t>t</w:t>
      </w:r>
      <w:r>
        <w:rPr>
          <w:lang w:val="fr-CA"/>
        </w:rPr>
        <w:noBreakHyphen/>
        <w:t>il</w:t>
      </w:r>
      <w:proofErr w:type="spellEnd"/>
      <w:r>
        <w:rPr>
          <w:lang w:val="fr-CA"/>
        </w:rPr>
        <w:t xml:space="preserve"> été établi?</w:t>
      </w:r>
    </w:p>
    <w:p w:rsidR="0082083C" w:rsidRDefault="0082083C" w:rsidP="0082083C">
      <w:pPr>
        <w:pStyle w:val="Citation-AltC"/>
        <w:spacing w:after="240"/>
        <w:ind w:left="540"/>
        <w:rPr>
          <w:lang w:val="fr-CA"/>
        </w:rPr>
      </w:pPr>
    </w:p>
    <w:p w:rsidR="009B5F8D" w:rsidRDefault="009B5F8D" w:rsidP="009B5F8D">
      <w:pPr>
        <w:pStyle w:val="Citation-AltC"/>
        <w:spacing w:after="240"/>
        <w:ind w:left="0"/>
        <w:rPr>
          <w:lang w:val="fr-CA"/>
        </w:rPr>
      </w:pPr>
    </w:p>
    <w:p w:rsidR="009B5F8D" w:rsidRDefault="00987842" w:rsidP="009B5F8D">
      <w:pPr>
        <w:pStyle w:val="Citation-AltC"/>
        <w:numPr>
          <w:ilvl w:val="3"/>
          <w:numId w:val="18"/>
        </w:numPr>
        <w:spacing w:after="240"/>
        <w:ind w:left="540" w:hanging="540"/>
        <w:rPr>
          <w:lang w:val="fr-CA"/>
        </w:rPr>
      </w:pPr>
      <w:r>
        <w:rPr>
          <w:lang w:val="fr-CA"/>
        </w:rPr>
        <w:t xml:space="preserve">Si un droit en </w:t>
      </w:r>
      <w:proofErr w:type="spellStart"/>
      <w:r>
        <w:rPr>
          <w:lang w:val="fr-CA"/>
        </w:rPr>
        <w:t>equity</w:t>
      </w:r>
      <w:proofErr w:type="spellEnd"/>
      <w:r>
        <w:rPr>
          <w:lang w:val="fr-CA"/>
        </w:rPr>
        <w:t xml:space="preserve"> est établi, quelle en est l’étendue? </w:t>
      </w:r>
    </w:p>
    <w:p w:rsidR="0082083C" w:rsidRPr="009B5F8D" w:rsidRDefault="0082083C" w:rsidP="0082083C">
      <w:pPr>
        <w:pStyle w:val="Citation-AltC"/>
        <w:spacing w:after="240"/>
        <w:ind w:left="540"/>
        <w:rPr>
          <w:lang w:val="fr-CA"/>
        </w:rPr>
      </w:pPr>
    </w:p>
    <w:p w:rsidR="009B5F8D" w:rsidRDefault="009B5F8D" w:rsidP="009B5F8D">
      <w:pPr>
        <w:pStyle w:val="Citation-AltC"/>
        <w:spacing w:after="240"/>
        <w:ind w:left="0"/>
        <w:rPr>
          <w:lang w:val="fr-CA"/>
        </w:rPr>
      </w:pPr>
    </w:p>
    <w:p w:rsidR="00987842" w:rsidRDefault="00987842" w:rsidP="009B5F8D">
      <w:pPr>
        <w:pStyle w:val="Citation-AltC"/>
        <w:numPr>
          <w:ilvl w:val="3"/>
          <w:numId w:val="18"/>
        </w:numPr>
        <w:spacing w:after="240"/>
        <w:ind w:left="540" w:hanging="540"/>
        <w:rPr>
          <w:lang w:val="fr-CA"/>
        </w:rPr>
      </w:pPr>
      <w:r>
        <w:rPr>
          <w:lang w:val="fr-CA"/>
        </w:rPr>
        <w:t xml:space="preserve">Quelle est la réparation appropriée pour donner effet au droit en </w:t>
      </w:r>
      <w:proofErr w:type="spellStart"/>
      <w:r>
        <w:rPr>
          <w:lang w:val="fr-CA"/>
        </w:rPr>
        <w:t>equity</w:t>
      </w:r>
      <w:proofErr w:type="spellEnd"/>
      <w:r>
        <w:rPr>
          <w:lang w:val="fr-CA"/>
        </w:rPr>
        <w:t>?</w:t>
      </w:r>
    </w:p>
    <w:p w:rsidR="00987842" w:rsidRDefault="00987842" w:rsidP="00987842">
      <w:pPr>
        <w:pStyle w:val="ContinueParaSuitedupar-AltP"/>
        <w:rPr>
          <w:rFonts w:cs="Times New Roman"/>
          <w:lang w:val="en-US"/>
        </w:rPr>
      </w:pPr>
      <w:r>
        <w:rPr>
          <w:rFonts w:cs="Times New Roman"/>
          <w:lang w:val="en-US"/>
        </w:rPr>
        <w:t>(</w:t>
      </w:r>
      <w:r>
        <w:rPr>
          <w:rFonts w:cs="Times New Roman"/>
          <w:i/>
          <w:lang w:val="en-US"/>
        </w:rPr>
        <w:t>Idle</w:t>
      </w:r>
      <w:r>
        <w:rPr>
          <w:rFonts w:cs="Times New Roman"/>
          <w:i/>
          <w:lang w:val="en-US"/>
        </w:rPr>
        <w:noBreakHyphen/>
        <w:t xml:space="preserve">O Apartments Inc. c. </w:t>
      </w:r>
      <w:proofErr w:type="spellStart"/>
      <w:r>
        <w:rPr>
          <w:rFonts w:cs="Times New Roman"/>
          <w:i/>
          <w:lang w:val="en-US"/>
        </w:rPr>
        <w:t>Charlyn</w:t>
      </w:r>
      <w:proofErr w:type="spellEnd"/>
      <w:r>
        <w:rPr>
          <w:rFonts w:cs="Times New Roman"/>
          <w:i/>
          <w:lang w:val="en-US"/>
        </w:rPr>
        <w:t xml:space="preserve"> Investments Ltd.</w:t>
      </w:r>
      <w:r>
        <w:rPr>
          <w:rFonts w:cs="Times New Roman"/>
          <w:lang w:val="en-US"/>
        </w:rPr>
        <w:t xml:space="preserve">, 2014 BCCA 451, [2015] 2 W.W.R. 243, par. 49; </w:t>
      </w:r>
      <w:proofErr w:type="spellStart"/>
      <w:r>
        <w:rPr>
          <w:rFonts w:cs="Times New Roman"/>
          <w:i/>
          <w:lang w:val="en-US"/>
        </w:rPr>
        <w:t>Sabey</w:t>
      </w:r>
      <w:proofErr w:type="spellEnd"/>
      <w:r>
        <w:rPr>
          <w:rFonts w:cs="Times New Roman"/>
          <w:i/>
          <w:lang w:val="en-US"/>
        </w:rPr>
        <w:t xml:space="preserve"> c. von </w:t>
      </w:r>
      <w:proofErr w:type="spellStart"/>
      <w:r>
        <w:rPr>
          <w:rFonts w:cs="Times New Roman"/>
          <w:i/>
          <w:lang w:val="en-US"/>
        </w:rPr>
        <w:t>Hopffgarten</w:t>
      </w:r>
      <w:proofErr w:type="spellEnd"/>
      <w:r>
        <w:rPr>
          <w:rFonts w:cs="Times New Roman"/>
          <w:i/>
          <w:lang w:val="en-US"/>
        </w:rPr>
        <w:t xml:space="preserve"> Estate</w:t>
      </w:r>
      <w:r>
        <w:rPr>
          <w:rFonts w:cs="Times New Roman"/>
          <w:lang w:val="en-US"/>
        </w:rPr>
        <w:t xml:space="preserve">, 2014 BCCA 360, 378 D.L.R. (4th) 64, par. 25, </w:t>
      </w:r>
      <w:proofErr w:type="spellStart"/>
      <w:r>
        <w:rPr>
          <w:rFonts w:cs="Times New Roman"/>
          <w:lang w:val="en-US"/>
        </w:rPr>
        <w:t>citant</w:t>
      </w:r>
      <w:proofErr w:type="spellEnd"/>
      <w:r>
        <w:rPr>
          <w:rFonts w:cs="Times New Roman"/>
          <w:lang w:val="en-US"/>
        </w:rPr>
        <w:t xml:space="preserve"> </w:t>
      </w:r>
      <w:proofErr w:type="spellStart"/>
      <w:r>
        <w:rPr>
          <w:rFonts w:cs="Times New Roman"/>
          <w:i/>
          <w:lang w:val="en-US"/>
        </w:rPr>
        <w:t>Crabb</w:t>
      </w:r>
      <w:proofErr w:type="spellEnd"/>
      <w:r>
        <w:rPr>
          <w:rFonts w:cs="Times New Roman"/>
          <w:i/>
          <w:lang w:val="en-US"/>
        </w:rPr>
        <w:t xml:space="preserve"> c. </w:t>
      </w:r>
      <w:proofErr w:type="spellStart"/>
      <w:r>
        <w:rPr>
          <w:rFonts w:cs="Times New Roman"/>
          <w:i/>
          <w:lang w:val="en-US"/>
        </w:rPr>
        <w:t>Arun</w:t>
      </w:r>
      <w:proofErr w:type="spellEnd"/>
      <w:r>
        <w:rPr>
          <w:rFonts w:cs="Times New Roman"/>
          <w:i/>
          <w:lang w:val="en-US"/>
        </w:rPr>
        <w:t xml:space="preserve"> District Council</w:t>
      </w:r>
      <w:r>
        <w:rPr>
          <w:rFonts w:cs="Times New Roman"/>
          <w:lang w:val="en-US"/>
        </w:rPr>
        <w:t>, [1976] 1 Ch. 179 (C.A.), p. 192</w:t>
      </w:r>
      <w:r>
        <w:rPr>
          <w:rFonts w:cs="Times New Roman"/>
          <w:lang w:val="en-US"/>
        </w:rPr>
        <w:noBreakHyphen/>
        <w:t xml:space="preserve">193.) </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Pour ce qui est de </w:t>
      </w:r>
      <w:r w:rsidR="009B5F8D">
        <w:rPr>
          <w:rFonts w:cs="Times New Roman"/>
          <w:lang w:val="fr-CA"/>
        </w:rPr>
        <w:t>la première question à trancher</w:t>
      </w:r>
      <w:r>
        <w:rPr>
          <w:rFonts w:cs="Times New Roman"/>
          <w:lang w:val="fr-CA"/>
        </w:rPr>
        <w:t xml:space="preserve"> — celle de savoir si un droit en </w:t>
      </w:r>
      <w:proofErr w:type="spellStart"/>
      <w:r>
        <w:rPr>
          <w:rFonts w:cs="Times New Roman"/>
          <w:lang w:val="fr-CA"/>
        </w:rPr>
        <w:t>equity</w:t>
      </w:r>
      <w:proofErr w:type="spellEnd"/>
      <w:r>
        <w:rPr>
          <w:rFonts w:cs="Times New Roman"/>
          <w:lang w:val="fr-CA"/>
        </w:rPr>
        <w:t xml:space="preserve"> a été établi — je suis d’accord avec la Juge en chef pour dire que, suivant </w:t>
      </w:r>
      <w:r>
        <w:rPr>
          <w:rFonts w:cs="Times New Roman"/>
          <w:lang w:val="fr-CA"/>
        </w:rPr>
        <w:lastRenderedPageBreak/>
        <w:t xml:space="preserve">la doctrine de la préclusion propriétale, les circonstances suivantes donnent naissance à un droit en </w:t>
      </w:r>
      <w:proofErr w:type="spellStart"/>
      <w:r>
        <w:rPr>
          <w:rFonts w:cs="Times New Roman"/>
          <w:lang w:val="fr-CA"/>
        </w:rPr>
        <w:t>equity</w:t>
      </w:r>
      <w:proofErr w:type="spellEnd"/>
      <w:r>
        <w:rPr>
          <w:rFonts w:cs="Times New Roman"/>
          <w:lang w:val="fr-CA"/>
        </w:rPr>
        <w:t xml:space="preserve"> : </w:t>
      </w:r>
    </w:p>
    <w:p w:rsidR="00987842" w:rsidRPr="009B5F8D" w:rsidRDefault="00F50EC6" w:rsidP="00F50EC6">
      <w:pPr>
        <w:pStyle w:val="ContinueParaSuitedupar-AltP"/>
        <w:tabs>
          <w:tab w:val="left" w:pos="1080"/>
        </w:tabs>
        <w:spacing w:line="240" w:lineRule="auto"/>
        <w:ind w:left="720"/>
        <w:rPr>
          <w:rFonts w:cs="Times New Roman"/>
          <w:lang w:val="fr-CA"/>
        </w:rPr>
      </w:pPr>
      <w:r>
        <w:rPr>
          <w:rFonts w:cs="Times New Roman"/>
          <w:lang w:val="fr-CA"/>
        </w:rPr>
        <w:tab/>
        <w:t>. . . (1) u</w:t>
      </w:r>
      <w:r w:rsidR="00987842" w:rsidRPr="009B5F8D">
        <w:rPr>
          <w:rFonts w:cs="Times New Roman"/>
          <w:lang w:val="fr-CA"/>
        </w:rPr>
        <w:t>ne déclaration est faite au demandeur ou une assurance est donnée à celui</w:t>
      </w:r>
      <w:r w:rsidR="00987842" w:rsidRPr="009B5F8D">
        <w:rPr>
          <w:rFonts w:cs="Times New Roman"/>
          <w:lang w:val="fr-CA"/>
        </w:rPr>
        <w:noBreakHyphen/>
        <w:t xml:space="preserve">ci, sur le fondement de laquelle le demandeur s’attend à bénéficier d’un certain </w:t>
      </w:r>
      <w:r w:rsidR="00987842" w:rsidRPr="0082083C">
        <w:rPr>
          <w:rFonts w:cs="Times New Roman"/>
          <w:i/>
          <w:lang w:val="fr-CA"/>
        </w:rPr>
        <w:t>droit ou avantage</w:t>
      </w:r>
      <w:r w:rsidR="00987842" w:rsidRPr="009B5F8D">
        <w:rPr>
          <w:rFonts w:cs="Times New Roman"/>
          <w:lang w:val="fr-CA"/>
        </w:rPr>
        <w:t xml:space="preserve"> dans un bien; </w:t>
      </w:r>
      <w:r>
        <w:rPr>
          <w:rFonts w:cs="Times New Roman"/>
          <w:lang w:val="fr-CA"/>
        </w:rPr>
        <w:t xml:space="preserve">(2) </w:t>
      </w:r>
      <w:r w:rsidR="00987842" w:rsidRPr="009B5F8D">
        <w:rPr>
          <w:rFonts w:cs="Times New Roman"/>
          <w:lang w:val="fr-CA"/>
        </w:rPr>
        <w:t xml:space="preserve">le demandeur s’appuie sur cette attente en faisant quelque chose ou en s’abstenant de faire quelque chose, et cet acte de confiance est raisonnable eu égard à l’ensemble des circonstances; </w:t>
      </w:r>
      <w:r>
        <w:rPr>
          <w:rFonts w:cs="Times New Roman"/>
          <w:lang w:val="fr-CA"/>
        </w:rPr>
        <w:t xml:space="preserve">(3) </w:t>
      </w:r>
      <w:r w:rsidR="00987842" w:rsidRPr="009B5F8D">
        <w:rPr>
          <w:rFonts w:cs="Times New Roman"/>
          <w:lang w:val="fr-CA"/>
        </w:rPr>
        <w:t>le demandeur subit un préjudice en raison de son acte de confiance raisonnable, de sorte qu’il serait inéquitable ou injuste que la partie à l’origine de la déclaration ou de l’assurance revienne sur sa parole</w:t>
      </w:r>
      <w:r>
        <w:rPr>
          <w:rFonts w:cs="Times New Roman"/>
          <w:lang w:val="fr-CA"/>
        </w:rPr>
        <w:t xml:space="preserve"> </w:t>
      </w:r>
      <w:r w:rsidR="00987842" w:rsidRPr="009B5F8D">
        <w:rPr>
          <w:rFonts w:cs="Times New Roman"/>
          <w:lang w:val="fr-CA"/>
        </w:rPr>
        <w:t>.</w:t>
      </w:r>
      <w:r>
        <w:rPr>
          <w:rFonts w:cs="Times New Roman"/>
          <w:lang w:val="fr-CA"/>
        </w:rPr>
        <w:t xml:space="preserve"> . .</w:t>
      </w:r>
      <w:r w:rsidR="00987842" w:rsidRPr="009B5F8D">
        <w:rPr>
          <w:rFonts w:cs="Times New Roman"/>
          <w:lang w:val="fr-CA"/>
        </w:rPr>
        <w:t xml:space="preserve"> [Je souligne.]</w:t>
      </w:r>
    </w:p>
    <w:p w:rsidR="00987842" w:rsidRDefault="00987842" w:rsidP="00987842">
      <w:pPr>
        <w:pStyle w:val="ContinueParaSuitedupar-AltP"/>
        <w:rPr>
          <w:rFonts w:cs="Times New Roman"/>
          <w:lang w:val="fr-CA"/>
        </w:rPr>
      </w:pPr>
      <w:r>
        <w:rPr>
          <w:rFonts w:cs="Times New Roman"/>
          <w:lang w:val="fr-CA"/>
        </w:rPr>
        <w:t xml:space="preserve">(Motifs de la Juge en chef, par. 15; </w:t>
      </w:r>
      <w:proofErr w:type="spellStart"/>
      <w:r>
        <w:rPr>
          <w:rFonts w:cs="Times New Roman"/>
          <w:i/>
          <w:lang w:val="fr-CA"/>
        </w:rPr>
        <w:t>Idle</w:t>
      </w:r>
      <w:proofErr w:type="spellEnd"/>
      <w:r>
        <w:rPr>
          <w:rFonts w:cs="Times New Roman"/>
          <w:i/>
          <w:lang w:val="fr-CA"/>
        </w:rPr>
        <w:noBreakHyphen/>
        <w:t>O</w:t>
      </w:r>
      <w:r>
        <w:rPr>
          <w:rFonts w:cs="Times New Roman"/>
          <w:lang w:val="fr-CA"/>
        </w:rPr>
        <w:t xml:space="preserve">, par. 49; </w:t>
      </w:r>
      <w:proofErr w:type="spellStart"/>
      <w:r>
        <w:rPr>
          <w:rFonts w:cs="Times New Roman"/>
          <w:i/>
          <w:lang w:val="fr-CA"/>
        </w:rPr>
        <w:t>Sabey</w:t>
      </w:r>
      <w:proofErr w:type="spellEnd"/>
      <w:r>
        <w:rPr>
          <w:rFonts w:cs="Times New Roman"/>
          <w:lang w:val="fr-CA"/>
        </w:rPr>
        <w:t xml:space="preserve">, par. 27; </w:t>
      </w:r>
      <w:r>
        <w:rPr>
          <w:rFonts w:cs="Times New Roman"/>
          <w:i/>
          <w:lang w:val="fr-CA"/>
        </w:rPr>
        <w:t>Clarke</w:t>
      </w:r>
      <w:r w:rsidR="00F50EC6">
        <w:rPr>
          <w:rFonts w:cs="Times New Roman"/>
          <w:i/>
          <w:lang w:val="fr-CA"/>
        </w:rPr>
        <w:t xml:space="preserve"> c. Johnson</w:t>
      </w:r>
      <w:r>
        <w:rPr>
          <w:rFonts w:cs="Times New Roman"/>
          <w:lang w:val="fr-CA"/>
        </w:rPr>
        <w:t>,</w:t>
      </w:r>
      <w:r w:rsidR="00F50EC6">
        <w:rPr>
          <w:rFonts w:cs="Times New Roman"/>
          <w:lang w:val="fr-CA"/>
        </w:rPr>
        <w:t xml:space="preserve"> 2014 ONCA 237, 371 D.L.R. (4th) 618,</w:t>
      </w:r>
      <w:r>
        <w:rPr>
          <w:rFonts w:cs="Times New Roman"/>
          <w:i/>
          <w:lang w:val="fr-CA"/>
        </w:rPr>
        <w:t xml:space="preserve"> </w:t>
      </w:r>
      <w:r>
        <w:rPr>
          <w:rFonts w:cs="Times New Roman"/>
          <w:lang w:val="fr-CA"/>
        </w:rPr>
        <w:t xml:space="preserve">par. 48 et 52; </w:t>
      </w:r>
      <w:proofErr w:type="spellStart"/>
      <w:r>
        <w:rPr>
          <w:rFonts w:cs="Times New Roman"/>
          <w:i/>
          <w:lang w:val="fr-CA"/>
        </w:rPr>
        <w:t>Tiny</w:t>
      </w:r>
      <w:proofErr w:type="spellEnd"/>
      <w:r>
        <w:rPr>
          <w:rFonts w:cs="Times New Roman"/>
          <w:i/>
          <w:lang w:val="fr-CA"/>
        </w:rPr>
        <w:t xml:space="preserve"> (Township) c. Battaglia</w:t>
      </w:r>
      <w:r>
        <w:rPr>
          <w:rFonts w:cs="Times New Roman"/>
          <w:lang w:val="fr-CA"/>
        </w:rPr>
        <w:t xml:space="preserve">, 2013 ONCA 274, 305 O.A.C. 372, par. 131; </w:t>
      </w:r>
      <w:proofErr w:type="spellStart"/>
      <w:r>
        <w:rPr>
          <w:rFonts w:cs="Times New Roman"/>
          <w:i/>
          <w:lang w:val="fr-CA"/>
        </w:rPr>
        <w:t>Schwark</w:t>
      </w:r>
      <w:proofErr w:type="spellEnd"/>
      <w:r>
        <w:rPr>
          <w:rFonts w:cs="Times New Roman"/>
          <w:i/>
          <w:lang w:val="fr-CA"/>
        </w:rPr>
        <w:t xml:space="preserve"> </w:t>
      </w:r>
      <w:proofErr w:type="spellStart"/>
      <w:r>
        <w:rPr>
          <w:rFonts w:cs="Times New Roman"/>
          <w:i/>
          <w:lang w:val="fr-CA"/>
        </w:rPr>
        <w:t>Estate</w:t>
      </w:r>
      <w:proofErr w:type="spellEnd"/>
      <w:r>
        <w:rPr>
          <w:rFonts w:cs="Times New Roman"/>
          <w:i/>
          <w:lang w:val="fr-CA"/>
        </w:rPr>
        <w:t xml:space="preserve"> c. </w:t>
      </w:r>
      <w:proofErr w:type="spellStart"/>
      <w:r>
        <w:rPr>
          <w:rFonts w:cs="Times New Roman"/>
          <w:i/>
          <w:lang w:val="fr-CA"/>
        </w:rPr>
        <w:t>Cutting</w:t>
      </w:r>
      <w:proofErr w:type="spellEnd"/>
      <w:r>
        <w:rPr>
          <w:rFonts w:cs="Times New Roman"/>
          <w:lang w:val="fr-CA"/>
        </w:rPr>
        <w:t xml:space="preserve">, 2010 ONCA 61, 316 D.L.R. (4th) 105, par. 16 et 34) </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Généralement, le promettant qui fait la « déclaration » ou qui donne l’« assurance » doit être </w:t>
      </w:r>
      <w:r w:rsidR="0082083C">
        <w:rPr>
          <w:rFonts w:cs="Times New Roman"/>
          <w:lang w:val="fr-CA"/>
        </w:rPr>
        <w:t>titulaire du « droit » ou de l’</w:t>
      </w:r>
      <w:r>
        <w:rPr>
          <w:rFonts w:cs="Times New Roman"/>
          <w:lang w:val="fr-CA"/>
        </w:rPr>
        <w:t>« avantage » promis au moment où il fait la promesse (</w:t>
      </w:r>
      <w:proofErr w:type="spellStart"/>
      <w:r>
        <w:rPr>
          <w:rFonts w:cs="Times New Roman"/>
          <w:i/>
          <w:lang w:val="fr-CA"/>
        </w:rPr>
        <w:t>Idle</w:t>
      </w:r>
      <w:proofErr w:type="spellEnd"/>
      <w:r>
        <w:rPr>
          <w:rFonts w:cs="Times New Roman"/>
          <w:i/>
          <w:lang w:val="fr-CA"/>
        </w:rPr>
        <w:noBreakHyphen/>
        <w:t>O</w:t>
      </w:r>
      <w:r>
        <w:rPr>
          <w:rFonts w:cs="Times New Roman"/>
          <w:lang w:val="fr-CA"/>
        </w:rPr>
        <w:t>,</w:t>
      </w:r>
      <w:r>
        <w:rPr>
          <w:rFonts w:cs="Times New Roman"/>
          <w:i/>
          <w:lang w:val="fr-CA"/>
        </w:rPr>
        <w:t xml:space="preserve"> </w:t>
      </w:r>
      <w:r>
        <w:rPr>
          <w:rFonts w:cs="Times New Roman"/>
          <w:lang w:val="fr-CA"/>
        </w:rPr>
        <w:t xml:space="preserve">par. 49; </w:t>
      </w:r>
      <w:proofErr w:type="spellStart"/>
      <w:r>
        <w:rPr>
          <w:rFonts w:cs="Times New Roman"/>
          <w:i/>
          <w:lang w:val="fr-CA"/>
        </w:rPr>
        <w:t>Sabey</w:t>
      </w:r>
      <w:proofErr w:type="spellEnd"/>
      <w:r>
        <w:rPr>
          <w:rFonts w:cs="Times New Roman"/>
          <w:lang w:val="fr-CA"/>
        </w:rPr>
        <w:t>,</w:t>
      </w:r>
      <w:r>
        <w:rPr>
          <w:rFonts w:cs="Times New Roman"/>
          <w:i/>
          <w:lang w:val="fr-CA"/>
        </w:rPr>
        <w:t xml:space="preserve"> </w:t>
      </w:r>
      <w:r>
        <w:rPr>
          <w:rFonts w:cs="Times New Roman"/>
          <w:lang w:val="fr-CA"/>
        </w:rPr>
        <w:t xml:space="preserve">par. 30; </w:t>
      </w:r>
      <w:r>
        <w:rPr>
          <w:rFonts w:cs="Times New Roman"/>
          <w:i/>
          <w:lang w:val="fr-CA"/>
        </w:rPr>
        <w:t>Clarke</w:t>
      </w:r>
      <w:r>
        <w:rPr>
          <w:rFonts w:cs="Times New Roman"/>
          <w:lang w:val="fr-CA"/>
        </w:rPr>
        <w:t xml:space="preserve">, par. 26; </w:t>
      </w:r>
      <w:proofErr w:type="spellStart"/>
      <w:r>
        <w:rPr>
          <w:rFonts w:cs="Times New Roman"/>
          <w:i/>
          <w:lang w:val="fr-CA"/>
        </w:rPr>
        <w:t>Tiny</w:t>
      </w:r>
      <w:proofErr w:type="spellEnd"/>
      <w:r>
        <w:rPr>
          <w:rFonts w:cs="Times New Roman"/>
          <w:lang w:val="fr-CA"/>
        </w:rPr>
        <w:t xml:space="preserve">, par. 131; </w:t>
      </w:r>
      <w:proofErr w:type="spellStart"/>
      <w:r>
        <w:rPr>
          <w:rFonts w:cs="Times New Roman"/>
          <w:i/>
          <w:lang w:val="fr-CA"/>
        </w:rPr>
        <w:t>Schwark</w:t>
      </w:r>
      <w:proofErr w:type="spellEnd"/>
      <w:r>
        <w:rPr>
          <w:rFonts w:cs="Times New Roman"/>
          <w:lang w:val="fr-CA"/>
        </w:rPr>
        <w:t xml:space="preserve">, par. 16; mais voir </w:t>
      </w:r>
      <w:proofErr w:type="spellStart"/>
      <w:r>
        <w:rPr>
          <w:rFonts w:cs="Times New Roman"/>
          <w:i/>
          <w:lang w:val="fr-CA"/>
        </w:rPr>
        <w:t>Thorner</w:t>
      </w:r>
      <w:proofErr w:type="spellEnd"/>
      <w:r>
        <w:rPr>
          <w:rFonts w:cs="Times New Roman"/>
          <w:i/>
          <w:lang w:val="fr-CA"/>
        </w:rPr>
        <w:t xml:space="preserve"> c. Major</w:t>
      </w:r>
      <w:r>
        <w:rPr>
          <w:rFonts w:cs="Times New Roman"/>
          <w:lang w:val="fr-CA"/>
        </w:rPr>
        <w:t xml:space="preserve">, [2009] UKHL 18, [2009] 1 W.L.R. 776, par. 61). La question soumise en l’espèce est donc de savoir si un droit en </w:t>
      </w:r>
      <w:proofErr w:type="spellStart"/>
      <w:r>
        <w:rPr>
          <w:rFonts w:cs="Times New Roman"/>
          <w:lang w:val="fr-CA"/>
        </w:rPr>
        <w:t>equity</w:t>
      </w:r>
      <w:proofErr w:type="spellEnd"/>
      <w:r>
        <w:rPr>
          <w:rFonts w:cs="Times New Roman"/>
          <w:lang w:val="fr-CA"/>
        </w:rPr>
        <w:t xml:space="preserve"> suffisant pour justifier une demande fondée sur la préclusion propriétale </w:t>
      </w:r>
      <w:r>
        <w:rPr>
          <w:rFonts w:cs="Times New Roman"/>
          <w:i/>
          <w:lang w:val="fr-CA"/>
        </w:rPr>
        <w:t>peut</w:t>
      </w:r>
      <w:r>
        <w:rPr>
          <w:rFonts w:cs="Times New Roman"/>
          <w:lang w:val="fr-CA"/>
        </w:rPr>
        <w:t xml:space="preserve"> quand même prendre naissance lorsque le promettant n’est </w:t>
      </w:r>
      <w:r>
        <w:rPr>
          <w:rFonts w:cs="Times New Roman"/>
          <w:i/>
          <w:lang w:val="fr-CA"/>
        </w:rPr>
        <w:t>pas</w:t>
      </w:r>
      <w:r>
        <w:rPr>
          <w:rFonts w:cs="Times New Roman"/>
          <w:lang w:val="fr-CA"/>
        </w:rPr>
        <w:t xml:space="preserve"> en fait titulaire de ce droit ou de cet avantage au moment où il fait la promesse. Bien que je convienne avec la Juge en chef qu’un tel droit peut naître, le principal point sur lequel je suis en désaccord avec elle concerne le moment où celui</w:t>
      </w:r>
      <w:r>
        <w:rPr>
          <w:rFonts w:cs="Times New Roman"/>
          <w:lang w:val="fr-CA"/>
        </w:rPr>
        <w:noBreakHyphen/>
        <w:t xml:space="preserve">ci prend naissance. Alors que la Juge en chef est d’avis qu’il prend naissance au moment de l’acte de confiance préjudiciable, j’estime </w:t>
      </w:r>
      <w:r>
        <w:rPr>
          <w:rFonts w:cs="Times New Roman"/>
          <w:lang w:val="fr-CA"/>
        </w:rPr>
        <w:lastRenderedPageBreak/>
        <w:t xml:space="preserve">pour ma part qu’il ne naît que si, et au moment où, le promettant obtient le droit ou l’avantage qui a été promis au demandeur. Lorsque, comme en l’espèce, l’acquisition du droit ou de l’avantage promis dépend de la réalisation d’une éventualité, aucun droit en </w:t>
      </w:r>
      <w:proofErr w:type="spellStart"/>
      <w:r>
        <w:rPr>
          <w:rFonts w:cs="Times New Roman"/>
          <w:lang w:val="fr-CA"/>
        </w:rPr>
        <w:t>equity</w:t>
      </w:r>
      <w:proofErr w:type="spellEnd"/>
      <w:r>
        <w:rPr>
          <w:rFonts w:cs="Times New Roman"/>
          <w:lang w:val="fr-CA"/>
        </w:rPr>
        <w:t xml:space="preserve"> — dont une atteinte est susceptible d’être réparée au moyen de la préclusion propriétale — ne peut prendre naissance tant que l’éventualité ne s’est pas réalisée.</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La Juge en chef affirme que, lorsqu’une déclaration est faite ou une assurance est donnée relativement à un droit ou à un avantage dont le promettant n’est pas titulaire au moment de la promesse, un droit virtuel en </w:t>
      </w:r>
      <w:proofErr w:type="spellStart"/>
      <w:r>
        <w:rPr>
          <w:rFonts w:cs="Times New Roman"/>
          <w:lang w:val="fr-CA"/>
        </w:rPr>
        <w:t>equity</w:t>
      </w:r>
      <w:proofErr w:type="spellEnd"/>
      <w:r>
        <w:rPr>
          <w:rFonts w:cs="Times New Roman"/>
          <w:lang w:val="fr-CA"/>
        </w:rPr>
        <w:t xml:space="preserve"> prend néanmoins naissance en faveur du demandeur au moment de l’acte de confiance préjudiciable du demandeur à l’égard de cette déclaration ou assurance. Cela ne fait aucun doute. Les tribunaux au Royaume</w:t>
      </w:r>
      <w:r>
        <w:rPr>
          <w:rFonts w:cs="Times New Roman"/>
          <w:lang w:val="fr-CA"/>
        </w:rPr>
        <w:noBreakHyphen/>
        <w:t xml:space="preserve">Uni, par exemple, ont reconnu que, dans de tels cas, un droit en </w:t>
      </w:r>
      <w:proofErr w:type="spellStart"/>
      <w:r>
        <w:rPr>
          <w:rFonts w:cs="Times New Roman"/>
          <w:lang w:val="fr-CA"/>
        </w:rPr>
        <w:t>equity</w:t>
      </w:r>
      <w:proofErr w:type="spellEnd"/>
      <w:r>
        <w:rPr>
          <w:rFonts w:cs="Times New Roman"/>
          <w:lang w:val="fr-CA"/>
        </w:rPr>
        <w:t xml:space="preserve"> pouvait prendre naissance en faveur du demandeur avant que le promettant ne soit titulaire du droit ou de l’avantage promis (</w:t>
      </w:r>
      <w:r>
        <w:rPr>
          <w:rFonts w:cs="Times New Roman"/>
          <w:i/>
          <w:lang w:val="fr-CA"/>
        </w:rPr>
        <w:t xml:space="preserve">Abbey National Building Society c. </w:t>
      </w:r>
      <w:proofErr w:type="spellStart"/>
      <w:r>
        <w:rPr>
          <w:rFonts w:cs="Times New Roman"/>
          <w:i/>
          <w:lang w:val="fr-CA"/>
        </w:rPr>
        <w:t>Cann</w:t>
      </w:r>
      <w:proofErr w:type="spellEnd"/>
      <w:r>
        <w:rPr>
          <w:rFonts w:cs="Times New Roman"/>
          <w:lang w:val="fr-CA"/>
        </w:rPr>
        <w:t xml:space="preserve">, [1991] 1 A.C. 56 (H.L.), p. 95 et 102; </w:t>
      </w:r>
      <w:proofErr w:type="spellStart"/>
      <w:r>
        <w:rPr>
          <w:rFonts w:cs="Times New Roman"/>
          <w:i/>
          <w:lang w:val="fr-CA"/>
        </w:rPr>
        <w:t>Southern</w:t>
      </w:r>
      <w:proofErr w:type="spellEnd"/>
      <w:r>
        <w:rPr>
          <w:rFonts w:cs="Times New Roman"/>
          <w:i/>
          <w:lang w:val="fr-CA"/>
        </w:rPr>
        <w:t xml:space="preserve"> Pacific </w:t>
      </w:r>
      <w:proofErr w:type="spellStart"/>
      <w:r>
        <w:rPr>
          <w:rFonts w:cs="Times New Roman"/>
          <w:i/>
          <w:lang w:val="fr-CA"/>
        </w:rPr>
        <w:t>Mortgages</w:t>
      </w:r>
      <w:proofErr w:type="spellEnd"/>
      <w:r>
        <w:rPr>
          <w:rFonts w:cs="Times New Roman"/>
          <w:i/>
          <w:lang w:val="fr-CA"/>
        </w:rPr>
        <w:t xml:space="preserve"> Ltd. c. Scott</w:t>
      </w:r>
      <w:r>
        <w:rPr>
          <w:rFonts w:cs="Times New Roman"/>
          <w:lang w:val="fr-CA"/>
        </w:rPr>
        <w:t xml:space="preserve">, [2014] UKSC 52, [2015] A.C. 385, par. 79). Cependant, un tel droit en </w:t>
      </w:r>
      <w:proofErr w:type="spellStart"/>
      <w:r>
        <w:rPr>
          <w:rFonts w:cs="Times New Roman"/>
          <w:lang w:val="fr-CA"/>
        </w:rPr>
        <w:t>equity</w:t>
      </w:r>
      <w:proofErr w:type="spellEnd"/>
      <w:r>
        <w:rPr>
          <w:rFonts w:cs="Times New Roman"/>
          <w:lang w:val="fr-CA"/>
        </w:rPr>
        <w:t xml:space="preserve"> ne peut conférer de droit </w:t>
      </w:r>
      <w:proofErr w:type="spellStart"/>
      <w:r>
        <w:rPr>
          <w:rFonts w:cs="Times New Roman"/>
          <w:i/>
          <w:lang w:val="fr-CA"/>
        </w:rPr>
        <w:t>propriétal</w:t>
      </w:r>
      <w:proofErr w:type="spellEnd"/>
      <w:r>
        <w:rPr>
          <w:rFonts w:cs="Times New Roman"/>
          <w:lang w:val="fr-CA"/>
        </w:rPr>
        <w:t xml:space="preserve"> dans le bien promis; il accorde plutôt un simple droit </w:t>
      </w:r>
      <w:r>
        <w:rPr>
          <w:rFonts w:cs="Times New Roman"/>
          <w:i/>
          <w:lang w:val="fr-CA"/>
        </w:rPr>
        <w:t>personnel</w:t>
      </w:r>
      <w:r>
        <w:rPr>
          <w:rFonts w:cs="Times New Roman"/>
          <w:lang w:val="fr-CA"/>
        </w:rPr>
        <w:t xml:space="preserve"> contre le promettant (</w:t>
      </w:r>
      <w:r>
        <w:rPr>
          <w:rFonts w:cs="Times New Roman"/>
          <w:i/>
          <w:lang w:val="fr-CA"/>
        </w:rPr>
        <w:t>Abbey</w:t>
      </w:r>
      <w:r>
        <w:rPr>
          <w:rFonts w:cs="Times New Roman"/>
          <w:lang w:val="fr-CA"/>
        </w:rPr>
        <w:t xml:space="preserve">, p. 89 et 95; </w:t>
      </w:r>
      <w:r>
        <w:rPr>
          <w:rFonts w:cs="Times New Roman"/>
          <w:i/>
          <w:lang w:val="fr-CA"/>
        </w:rPr>
        <w:t>Scott</w:t>
      </w:r>
      <w:r>
        <w:rPr>
          <w:rFonts w:cs="Times New Roman"/>
          <w:lang w:val="fr-CA"/>
        </w:rPr>
        <w:t>,</w:t>
      </w:r>
      <w:r>
        <w:rPr>
          <w:rFonts w:cs="Times New Roman"/>
          <w:i/>
          <w:lang w:val="fr-CA"/>
        </w:rPr>
        <w:t xml:space="preserve"> </w:t>
      </w:r>
      <w:r>
        <w:rPr>
          <w:rFonts w:cs="Times New Roman"/>
          <w:lang w:val="fr-CA"/>
        </w:rPr>
        <w:t>par. 104 et 111; S. </w:t>
      </w:r>
      <w:proofErr w:type="spellStart"/>
      <w:r>
        <w:rPr>
          <w:rFonts w:cs="Times New Roman"/>
          <w:lang w:val="fr-CA"/>
        </w:rPr>
        <w:t>Wilken</w:t>
      </w:r>
      <w:proofErr w:type="spellEnd"/>
      <w:r>
        <w:rPr>
          <w:rFonts w:cs="Times New Roman"/>
          <w:lang w:val="fr-CA"/>
        </w:rPr>
        <w:t xml:space="preserve"> et K. </w:t>
      </w:r>
      <w:proofErr w:type="spellStart"/>
      <w:r>
        <w:rPr>
          <w:rFonts w:cs="Times New Roman"/>
          <w:lang w:val="fr-CA"/>
        </w:rPr>
        <w:t>Ghaly</w:t>
      </w:r>
      <w:proofErr w:type="spellEnd"/>
      <w:r>
        <w:rPr>
          <w:rFonts w:cs="Times New Roman"/>
          <w:lang w:val="fr-CA"/>
        </w:rPr>
        <w:t xml:space="preserve">, </w:t>
      </w:r>
      <w:r>
        <w:rPr>
          <w:rFonts w:cs="Times New Roman"/>
          <w:i/>
          <w:lang w:val="fr-CA"/>
        </w:rPr>
        <w:t xml:space="preserve">The Law of </w:t>
      </w:r>
      <w:proofErr w:type="spellStart"/>
      <w:r>
        <w:rPr>
          <w:rFonts w:cs="Times New Roman"/>
          <w:i/>
          <w:lang w:val="fr-CA"/>
        </w:rPr>
        <w:t>Waiver</w:t>
      </w:r>
      <w:proofErr w:type="spellEnd"/>
      <w:r>
        <w:rPr>
          <w:rFonts w:cs="Times New Roman"/>
          <w:i/>
          <w:lang w:val="fr-CA"/>
        </w:rPr>
        <w:t>, Variation, and Estoppel</w:t>
      </w:r>
      <w:r>
        <w:rPr>
          <w:rFonts w:cs="Times New Roman"/>
          <w:lang w:val="fr-CA"/>
        </w:rPr>
        <w:t xml:space="preserve"> (3</w:t>
      </w:r>
      <w:r>
        <w:rPr>
          <w:rFonts w:cs="Times New Roman"/>
          <w:vertAlign w:val="superscript"/>
          <w:lang w:val="fr-CA"/>
        </w:rPr>
        <w:t>e</w:t>
      </w:r>
      <w:r>
        <w:rPr>
          <w:rFonts w:cs="Times New Roman"/>
          <w:lang w:val="fr-CA"/>
        </w:rPr>
        <w:t xml:space="preserve"> éd. 2012), §11.130). Avant que l’on puisse établir l’existence d’un droit en </w:t>
      </w:r>
      <w:proofErr w:type="spellStart"/>
      <w:r>
        <w:rPr>
          <w:rFonts w:cs="Times New Roman"/>
          <w:lang w:val="fr-CA"/>
        </w:rPr>
        <w:t>equity</w:t>
      </w:r>
      <w:proofErr w:type="spellEnd"/>
      <w:r>
        <w:rPr>
          <w:rFonts w:cs="Times New Roman"/>
          <w:lang w:val="fr-CA"/>
        </w:rPr>
        <w:t xml:space="preserve"> susceptible de conférer un droit </w:t>
      </w:r>
      <w:proofErr w:type="spellStart"/>
      <w:r>
        <w:rPr>
          <w:rFonts w:cs="Times New Roman"/>
          <w:lang w:val="fr-CA"/>
        </w:rPr>
        <w:t>propriétal</w:t>
      </w:r>
      <w:proofErr w:type="spellEnd"/>
      <w:r>
        <w:rPr>
          <w:rFonts w:cs="Times New Roman"/>
          <w:lang w:val="fr-CA"/>
        </w:rPr>
        <w:t>, le promettant doit acquérir le droit ou l’avantage promis, [</w:t>
      </w:r>
      <w:r>
        <w:rPr>
          <w:rFonts w:cs="Times New Roman"/>
          <w:smallCaps/>
          <w:lang w:val="fr-CA"/>
        </w:rPr>
        <w:t>traduction</w:t>
      </w:r>
      <w:r>
        <w:rPr>
          <w:rFonts w:cs="Times New Roman"/>
          <w:lang w:val="fr-CA"/>
        </w:rPr>
        <w:t>] « [p]</w:t>
      </w:r>
      <w:proofErr w:type="spellStart"/>
      <w:r>
        <w:rPr>
          <w:rFonts w:cs="Times New Roman"/>
          <w:lang w:val="fr-CA"/>
        </w:rPr>
        <w:t>uisque</w:t>
      </w:r>
      <w:proofErr w:type="spellEnd"/>
      <w:r>
        <w:rPr>
          <w:rFonts w:cs="Times New Roman"/>
          <w:lang w:val="fr-CA"/>
        </w:rPr>
        <w:t xml:space="preserve"> nul ne peut accorder ce qu’il n’a pas » (</w:t>
      </w:r>
      <w:r>
        <w:rPr>
          <w:rFonts w:cs="Times New Roman"/>
          <w:i/>
          <w:lang w:val="fr-CA"/>
        </w:rPr>
        <w:t>Abbey</w:t>
      </w:r>
      <w:r>
        <w:rPr>
          <w:rFonts w:cs="Times New Roman"/>
          <w:lang w:val="fr-CA"/>
        </w:rPr>
        <w:t>,</w:t>
      </w:r>
      <w:r>
        <w:rPr>
          <w:rFonts w:cs="Times New Roman"/>
          <w:i/>
          <w:lang w:val="fr-CA"/>
        </w:rPr>
        <w:t xml:space="preserve"> </w:t>
      </w:r>
      <w:r>
        <w:rPr>
          <w:rFonts w:cs="Times New Roman"/>
          <w:lang w:val="fr-CA"/>
        </w:rPr>
        <w:t xml:space="preserve">p. 102). Comme l’a expliqué lord Collins (sur ce point) au nom des juges unanimes de la Cour suprême du </w:t>
      </w:r>
      <w:r>
        <w:rPr>
          <w:rFonts w:cs="Times New Roman"/>
          <w:lang w:val="fr-CA"/>
        </w:rPr>
        <w:lastRenderedPageBreak/>
        <w:t>Royaume</w:t>
      </w:r>
      <w:r>
        <w:rPr>
          <w:rFonts w:cs="Times New Roman"/>
          <w:lang w:val="fr-CA"/>
        </w:rPr>
        <w:noBreakHyphen/>
        <w:t xml:space="preserve">Uni dans l’arrêt </w:t>
      </w:r>
      <w:r>
        <w:rPr>
          <w:rFonts w:cs="Times New Roman"/>
          <w:i/>
          <w:lang w:val="fr-CA"/>
        </w:rPr>
        <w:t>Scott</w:t>
      </w:r>
      <w:r>
        <w:rPr>
          <w:rFonts w:cs="Times New Roman"/>
          <w:lang w:val="fr-CA"/>
        </w:rPr>
        <w:t>, par. 79, [</w:t>
      </w:r>
      <w:r>
        <w:rPr>
          <w:rFonts w:cs="Times New Roman"/>
          <w:smallCaps/>
          <w:lang w:val="fr-CA"/>
        </w:rPr>
        <w:t>traduction</w:t>
      </w:r>
      <w:r>
        <w:rPr>
          <w:rFonts w:cs="Times New Roman"/>
          <w:lang w:val="fr-CA"/>
        </w:rPr>
        <w:t>] « les [demandeurs] n’ont acquis rien de plus que des droits personnels contre les [</w:t>
      </w:r>
      <w:proofErr w:type="spellStart"/>
      <w:r>
        <w:rPr>
          <w:rFonts w:cs="Times New Roman"/>
          <w:lang w:val="fr-CA"/>
        </w:rPr>
        <w:t>promettants</w:t>
      </w:r>
      <w:proofErr w:type="spellEnd"/>
      <w:r>
        <w:rPr>
          <w:rFonts w:cs="Times New Roman"/>
          <w:lang w:val="fr-CA"/>
        </w:rPr>
        <w:t>] lorsqu’ils ont consenti à vendre leurs propriétés sur le fondement des promesses des [</w:t>
      </w:r>
      <w:proofErr w:type="spellStart"/>
      <w:r>
        <w:rPr>
          <w:rFonts w:cs="Times New Roman"/>
          <w:lang w:val="fr-CA"/>
        </w:rPr>
        <w:t>promettants</w:t>
      </w:r>
      <w:proofErr w:type="spellEnd"/>
      <w:r>
        <w:rPr>
          <w:rFonts w:cs="Times New Roman"/>
          <w:lang w:val="fr-CA"/>
        </w:rPr>
        <w:t xml:space="preserve">] selon lesquelles ils auraient le droit de demeurer occupants. </w:t>
      </w:r>
      <w:r>
        <w:rPr>
          <w:rFonts w:cs="Times New Roman"/>
          <w:u w:val="single"/>
          <w:lang w:val="fr-CA"/>
        </w:rPr>
        <w:t xml:space="preserve">Ces droits ne deviendraient </w:t>
      </w:r>
      <w:proofErr w:type="spellStart"/>
      <w:r>
        <w:rPr>
          <w:rFonts w:cs="Times New Roman"/>
          <w:u w:val="single"/>
          <w:lang w:val="fr-CA"/>
        </w:rPr>
        <w:t>propriétaux</w:t>
      </w:r>
      <w:proofErr w:type="spellEnd"/>
      <w:r>
        <w:rPr>
          <w:rFonts w:cs="Times New Roman"/>
          <w:u w:val="single"/>
          <w:lang w:val="fr-CA"/>
        </w:rPr>
        <w:t xml:space="preserve"> et susceptibles d’avoir priorité sur une hypothèque que lorsqu’ils seraient soutenus par l’acquisition, par les [</w:t>
      </w:r>
      <w:proofErr w:type="spellStart"/>
      <w:r>
        <w:rPr>
          <w:rFonts w:cs="Times New Roman"/>
          <w:u w:val="single"/>
          <w:lang w:val="fr-CA"/>
        </w:rPr>
        <w:t>promettants</w:t>
      </w:r>
      <w:proofErr w:type="spellEnd"/>
      <w:r>
        <w:rPr>
          <w:rFonts w:cs="Times New Roman"/>
          <w:u w:val="single"/>
          <w:lang w:val="fr-CA"/>
        </w:rPr>
        <w:t>], du domaine juridique à la clôture de la transaction</w:t>
      </w:r>
      <w:r>
        <w:rPr>
          <w:rFonts w:cs="Times New Roman"/>
          <w:lang w:val="fr-CA"/>
        </w:rPr>
        <w:t> » (je souligne).</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La Juge en chef conclut qu’il n’est pas nécessaire en l’espèce de décider si le droit virtuel en </w:t>
      </w:r>
      <w:proofErr w:type="spellStart"/>
      <w:r>
        <w:rPr>
          <w:rFonts w:cs="Times New Roman"/>
          <w:lang w:val="fr-CA"/>
        </w:rPr>
        <w:t>equity</w:t>
      </w:r>
      <w:proofErr w:type="spellEnd"/>
      <w:r>
        <w:rPr>
          <w:rFonts w:cs="Times New Roman"/>
          <w:lang w:val="fr-CA"/>
        </w:rPr>
        <w:t xml:space="preserve"> sur lequel repose le recours fondé sur la préclusion propriétale est de nature personnelle ou propriétale (par. 15). Soit dit en tout respect, je ne suis pas d’accord. Selon moi, pour constituer un droit en </w:t>
      </w:r>
      <w:proofErr w:type="spellStart"/>
      <w:r>
        <w:rPr>
          <w:rFonts w:cs="Times New Roman"/>
          <w:lang w:val="fr-CA"/>
        </w:rPr>
        <w:t>equity</w:t>
      </w:r>
      <w:proofErr w:type="spellEnd"/>
      <w:r>
        <w:rPr>
          <w:rFonts w:cs="Times New Roman"/>
          <w:lang w:val="fr-CA"/>
        </w:rPr>
        <w:t xml:space="preserve"> justifiant l’application de la préclusion propriétale, le droit en </w:t>
      </w:r>
      <w:proofErr w:type="spellStart"/>
      <w:r>
        <w:rPr>
          <w:rFonts w:cs="Times New Roman"/>
          <w:lang w:val="fr-CA"/>
        </w:rPr>
        <w:t>equity</w:t>
      </w:r>
      <w:proofErr w:type="spellEnd"/>
      <w:r>
        <w:rPr>
          <w:rFonts w:cs="Times New Roman"/>
          <w:lang w:val="fr-CA"/>
        </w:rPr>
        <w:t xml:space="preserve"> en cause doit être de nature propriétale, parce qu’il doit être susceptible de contraindre un promettant à renoncer à un droit </w:t>
      </w:r>
      <w:proofErr w:type="spellStart"/>
      <w:r>
        <w:rPr>
          <w:rFonts w:cs="Times New Roman"/>
          <w:lang w:val="fr-CA"/>
        </w:rPr>
        <w:t>propriétal</w:t>
      </w:r>
      <w:proofErr w:type="spellEnd"/>
      <w:r>
        <w:rPr>
          <w:rFonts w:cs="Times New Roman"/>
          <w:lang w:val="fr-CA"/>
        </w:rPr>
        <w:t xml:space="preserve"> dont il est effectivement titulaire. Bien que cette exigence ne soit pas explicitement énoncée dans les trois conditions nécessaires pour prouver l’existence d’un droit en </w:t>
      </w:r>
      <w:proofErr w:type="spellStart"/>
      <w:r>
        <w:rPr>
          <w:rFonts w:cs="Times New Roman"/>
          <w:lang w:val="fr-CA"/>
        </w:rPr>
        <w:t>equity</w:t>
      </w:r>
      <w:proofErr w:type="spellEnd"/>
      <w:r>
        <w:rPr>
          <w:rFonts w:cs="Times New Roman"/>
          <w:lang w:val="fr-CA"/>
        </w:rPr>
        <w:t xml:space="preserve"> suivant le critère de la préclusion propriétale, elle ressort de la question plus large à laquelle ces conditions permettent de répondre. Plus précisément, ces trois conditions ont été décrites comme faisant partie d’un examen plus large visant à déterminer s’il serait [</w:t>
      </w:r>
      <w:r>
        <w:rPr>
          <w:rFonts w:cs="Times New Roman"/>
          <w:smallCaps/>
          <w:lang w:val="fr-CA"/>
        </w:rPr>
        <w:t>traduction</w:t>
      </w:r>
      <w:r>
        <w:rPr>
          <w:rFonts w:cs="Times New Roman"/>
          <w:lang w:val="fr-CA"/>
        </w:rPr>
        <w:t>] « inique » de permettre au promettant de manquer à la promesse qu’il a faite au demandeur (</w:t>
      </w:r>
      <w:proofErr w:type="spellStart"/>
      <w:r>
        <w:rPr>
          <w:rFonts w:cs="Times New Roman"/>
          <w:i/>
          <w:lang w:val="fr-CA"/>
        </w:rPr>
        <w:t>Crabb</w:t>
      </w:r>
      <w:proofErr w:type="spellEnd"/>
      <w:r>
        <w:rPr>
          <w:rFonts w:cs="Times New Roman"/>
          <w:lang w:val="fr-CA"/>
        </w:rPr>
        <w:t xml:space="preserve">, p. 195; </w:t>
      </w:r>
      <w:proofErr w:type="spellStart"/>
      <w:r>
        <w:rPr>
          <w:rFonts w:cs="Times New Roman"/>
          <w:i/>
          <w:lang w:val="fr-CA"/>
        </w:rPr>
        <w:t>Sabey</w:t>
      </w:r>
      <w:proofErr w:type="spellEnd"/>
      <w:r>
        <w:rPr>
          <w:rFonts w:cs="Times New Roman"/>
          <w:lang w:val="fr-CA"/>
        </w:rPr>
        <w:t xml:space="preserve">, par. 27; </w:t>
      </w:r>
      <w:proofErr w:type="spellStart"/>
      <w:r>
        <w:rPr>
          <w:rFonts w:cs="Times New Roman"/>
          <w:i/>
          <w:lang w:val="fr-CA"/>
        </w:rPr>
        <w:t>Idle</w:t>
      </w:r>
      <w:proofErr w:type="spellEnd"/>
      <w:r>
        <w:rPr>
          <w:rFonts w:cs="Times New Roman"/>
          <w:i/>
          <w:lang w:val="fr-CA"/>
        </w:rPr>
        <w:noBreakHyphen/>
        <w:t>O</w:t>
      </w:r>
      <w:r>
        <w:rPr>
          <w:rFonts w:cs="Times New Roman"/>
          <w:lang w:val="fr-CA"/>
        </w:rPr>
        <w:t>,</w:t>
      </w:r>
      <w:r>
        <w:rPr>
          <w:rFonts w:cs="Times New Roman"/>
          <w:i/>
          <w:lang w:val="fr-CA"/>
        </w:rPr>
        <w:t xml:space="preserve"> </w:t>
      </w:r>
      <w:r>
        <w:rPr>
          <w:rFonts w:cs="Times New Roman"/>
          <w:lang w:val="fr-CA"/>
        </w:rPr>
        <w:t xml:space="preserve">par. 61). La notion d’iniquité n’est pas un élément distinct du critère servant à établir l’existence d’un droit en </w:t>
      </w:r>
      <w:proofErr w:type="spellStart"/>
      <w:r>
        <w:rPr>
          <w:rFonts w:cs="Times New Roman"/>
          <w:lang w:val="fr-CA"/>
        </w:rPr>
        <w:t>equity</w:t>
      </w:r>
      <w:proofErr w:type="spellEnd"/>
      <w:r>
        <w:rPr>
          <w:rFonts w:cs="Times New Roman"/>
          <w:lang w:val="fr-CA"/>
        </w:rPr>
        <w:t xml:space="preserve"> suffisant pour justifier l’application de la préclusion </w:t>
      </w:r>
      <w:r>
        <w:rPr>
          <w:rFonts w:cs="Times New Roman"/>
          <w:lang w:val="fr-CA"/>
        </w:rPr>
        <w:lastRenderedPageBreak/>
        <w:t>propriétale, mais elle tient plutôt lieu de mécanisme permettant d’[</w:t>
      </w:r>
      <w:r>
        <w:rPr>
          <w:rFonts w:cs="Times New Roman"/>
          <w:smallCaps/>
          <w:lang w:val="fr-CA"/>
        </w:rPr>
        <w:t>traduction</w:t>
      </w:r>
      <w:r>
        <w:rPr>
          <w:rFonts w:cs="Times New Roman"/>
          <w:lang w:val="fr-CA"/>
        </w:rPr>
        <w:t>] « </w:t>
      </w:r>
      <w:proofErr w:type="spellStart"/>
      <w:r>
        <w:rPr>
          <w:rFonts w:cs="Times New Roman"/>
          <w:lang w:val="fr-CA"/>
        </w:rPr>
        <w:t>unifi</w:t>
      </w:r>
      <w:proofErr w:type="spellEnd"/>
      <w:r>
        <w:rPr>
          <w:rFonts w:cs="Times New Roman"/>
          <w:lang w:val="fr-CA"/>
        </w:rPr>
        <w:t xml:space="preserve">[er] et </w:t>
      </w:r>
      <w:proofErr w:type="spellStart"/>
      <w:r>
        <w:rPr>
          <w:rFonts w:cs="Times New Roman"/>
          <w:lang w:val="fr-CA"/>
        </w:rPr>
        <w:t>confirm</w:t>
      </w:r>
      <w:proofErr w:type="spellEnd"/>
      <w:r>
        <w:rPr>
          <w:rFonts w:cs="Times New Roman"/>
          <w:lang w:val="fr-CA"/>
        </w:rPr>
        <w:t>[er] » les trois conditions (</w:t>
      </w:r>
      <w:proofErr w:type="spellStart"/>
      <w:r>
        <w:rPr>
          <w:rFonts w:cs="Times New Roman"/>
          <w:i/>
          <w:lang w:val="fr-CA"/>
        </w:rPr>
        <w:t>Yeoman’s</w:t>
      </w:r>
      <w:proofErr w:type="spellEnd"/>
      <w:r>
        <w:rPr>
          <w:rFonts w:cs="Times New Roman"/>
          <w:i/>
          <w:lang w:val="fr-CA"/>
        </w:rPr>
        <w:t xml:space="preserve"> </w:t>
      </w:r>
      <w:proofErr w:type="spellStart"/>
      <w:r>
        <w:rPr>
          <w:rFonts w:cs="Times New Roman"/>
          <w:i/>
          <w:lang w:val="fr-CA"/>
        </w:rPr>
        <w:t>Row</w:t>
      </w:r>
      <w:proofErr w:type="spellEnd"/>
      <w:r>
        <w:rPr>
          <w:rFonts w:cs="Times New Roman"/>
          <w:i/>
          <w:lang w:val="fr-CA"/>
        </w:rPr>
        <w:t xml:space="preserve"> Management Ltd</w:t>
      </w:r>
      <w:r w:rsidR="00E46B70">
        <w:rPr>
          <w:rFonts w:cs="Times New Roman"/>
          <w:i/>
          <w:lang w:val="fr-CA"/>
        </w:rPr>
        <w:t>.</w:t>
      </w:r>
      <w:r>
        <w:rPr>
          <w:rFonts w:cs="Times New Roman"/>
          <w:i/>
          <w:lang w:val="fr-CA"/>
        </w:rPr>
        <w:t xml:space="preserve"> c. </w:t>
      </w:r>
      <w:proofErr w:type="spellStart"/>
      <w:r>
        <w:rPr>
          <w:rFonts w:cs="Times New Roman"/>
          <w:i/>
          <w:lang w:val="fr-CA"/>
        </w:rPr>
        <w:t>Cobbe</w:t>
      </w:r>
      <w:proofErr w:type="spellEnd"/>
      <w:r>
        <w:rPr>
          <w:rFonts w:cs="Times New Roman"/>
          <w:lang w:val="fr-CA"/>
        </w:rPr>
        <w:t>, [2008] UKHL 55, [2008] 4 All E.R. 713, par. 92). En ce sens, les trois conditions visent à répondre à la question de savoir [</w:t>
      </w:r>
      <w:r>
        <w:rPr>
          <w:rFonts w:cs="Times New Roman"/>
          <w:smallCaps/>
          <w:lang w:val="fr-CA"/>
        </w:rPr>
        <w:t>traduction</w:t>
      </w:r>
      <w:r>
        <w:rPr>
          <w:rFonts w:cs="Times New Roman"/>
          <w:lang w:val="fr-CA"/>
        </w:rPr>
        <w:t xml:space="preserve">] « si, eu égard aux faits de l’espèce, la situation est devenue telle qu’il serait </w:t>
      </w:r>
      <w:r>
        <w:rPr>
          <w:rFonts w:cs="Times New Roman"/>
          <w:u w:val="single"/>
          <w:lang w:val="fr-CA"/>
        </w:rPr>
        <w:t>malhonnête ou inique que le demandeur, ou la personne titulaire du droit que l’on cherche à faire respecter, continue de tenter de faire respecter celui</w:t>
      </w:r>
      <w:r>
        <w:rPr>
          <w:rFonts w:cs="Times New Roman"/>
          <w:u w:val="single"/>
          <w:lang w:val="fr-CA"/>
        </w:rPr>
        <w:noBreakHyphen/>
        <w:t>ci</w:t>
      </w:r>
      <w:r>
        <w:rPr>
          <w:rFonts w:cs="Times New Roman"/>
          <w:lang w:val="fr-CA"/>
        </w:rPr>
        <w:t> » (</w:t>
      </w:r>
      <w:proofErr w:type="spellStart"/>
      <w:r>
        <w:rPr>
          <w:rFonts w:cs="Times New Roman"/>
          <w:i/>
          <w:lang w:val="fr-CA"/>
        </w:rPr>
        <w:t>Taylors</w:t>
      </w:r>
      <w:proofErr w:type="spellEnd"/>
      <w:r>
        <w:rPr>
          <w:rFonts w:cs="Times New Roman"/>
          <w:i/>
          <w:lang w:val="fr-CA"/>
        </w:rPr>
        <w:t xml:space="preserve"> </w:t>
      </w:r>
      <w:proofErr w:type="spellStart"/>
      <w:r>
        <w:rPr>
          <w:rFonts w:cs="Times New Roman"/>
          <w:i/>
          <w:lang w:val="fr-CA"/>
        </w:rPr>
        <w:t>Fashion</w:t>
      </w:r>
      <w:r w:rsidR="00F50EC6">
        <w:rPr>
          <w:rFonts w:cs="Times New Roman"/>
          <w:i/>
          <w:lang w:val="fr-CA"/>
        </w:rPr>
        <w:t>s</w:t>
      </w:r>
      <w:proofErr w:type="spellEnd"/>
      <w:r>
        <w:rPr>
          <w:rFonts w:cs="Times New Roman"/>
          <w:i/>
          <w:lang w:val="fr-CA"/>
        </w:rPr>
        <w:t xml:space="preserve"> Ltd. c. Liverpool Victoria Trustees Co.</w:t>
      </w:r>
      <w:r>
        <w:rPr>
          <w:rFonts w:cs="Times New Roman"/>
          <w:lang w:val="fr-CA"/>
        </w:rPr>
        <w:t xml:space="preserve">, [1982] 1 Q.B. 133 (Ch.), p. 154 (je souligne); voir aussi </w:t>
      </w:r>
      <w:proofErr w:type="spellStart"/>
      <w:r>
        <w:rPr>
          <w:rFonts w:cs="Times New Roman"/>
          <w:i/>
          <w:lang w:val="fr-CA"/>
        </w:rPr>
        <w:t>Crabb</w:t>
      </w:r>
      <w:proofErr w:type="spellEnd"/>
      <w:r>
        <w:rPr>
          <w:rFonts w:cs="Times New Roman"/>
          <w:lang w:val="fr-CA"/>
        </w:rPr>
        <w:t>, p. 195). Autrement dit, [</w:t>
      </w:r>
      <w:r>
        <w:rPr>
          <w:rFonts w:cs="Times New Roman"/>
          <w:smallCaps/>
          <w:lang w:val="fr-CA"/>
        </w:rPr>
        <w:t>traduction</w:t>
      </w:r>
      <w:r>
        <w:rPr>
          <w:rFonts w:cs="Times New Roman"/>
          <w:lang w:val="fr-CA"/>
        </w:rPr>
        <w:t xml:space="preserve">] « [l]e droit en </w:t>
      </w:r>
      <w:proofErr w:type="spellStart"/>
      <w:r>
        <w:rPr>
          <w:rFonts w:cs="Times New Roman"/>
          <w:lang w:val="fr-CA"/>
        </w:rPr>
        <w:t>equity</w:t>
      </w:r>
      <w:proofErr w:type="spellEnd"/>
      <w:r>
        <w:rPr>
          <w:rFonts w:cs="Times New Roman"/>
          <w:lang w:val="fr-CA"/>
        </w:rPr>
        <w:t xml:space="preserve"> qui sous</w:t>
      </w:r>
      <w:r>
        <w:rPr>
          <w:rFonts w:cs="Times New Roman"/>
          <w:lang w:val="fr-CA"/>
        </w:rPr>
        <w:noBreakHyphen/>
        <w:t xml:space="preserve">tend la préclusion prend naissance sous forme “virtuelle” dès </w:t>
      </w:r>
      <w:proofErr w:type="gramStart"/>
      <w:r>
        <w:rPr>
          <w:rFonts w:cs="Times New Roman"/>
          <w:lang w:val="fr-CA"/>
        </w:rPr>
        <w:t>que .</w:t>
      </w:r>
      <w:proofErr w:type="gramEnd"/>
      <w:r>
        <w:rPr>
          <w:rFonts w:cs="Times New Roman"/>
          <w:lang w:val="fr-CA"/>
        </w:rPr>
        <w:t xml:space="preserve"> . . le propriétaire foncier fait iniquement valoir </w:t>
      </w:r>
      <w:r>
        <w:rPr>
          <w:rFonts w:cs="Times New Roman"/>
          <w:u w:val="single"/>
          <w:lang w:val="fr-CA"/>
        </w:rPr>
        <w:t>ses droits</w:t>
      </w:r>
      <w:r>
        <w:rPr>
          <w:rFonts w:cs="Times New Roman"/>
          <w:lang w:val="fr-CA"/>
        </w:rPr>
        <w:t xml:space="preserve"> de façon préjudiciable aux exigences légitimes de l’auteur de la demande fondée sur la préclusion » (K. Gray et S. F. Gray, </w:t>
      </w:r>
      <w:r>
        <w:rPr>
          <w:rFonts w:cs="Times New Roman"/>
          <w:i/>
          <w:lang w:val="fr-CA"/>
        </w:rPr>
        <w:t>Land Law</w:t>
      </w:r>
      <w:r>
        <w:rPr>
          <w:rFonts w:cs="Times New Roman"/>
          <w:lang w:val="fr-CA"/>
        </w:rPr>
        <w:t xml:space="preserve"> (5</w:t>
      </w:r>
      <w:r>
        <w:rPr>
          <w:rFonts w:cs="Times New Roman"/>
          <w:vertAlign w:val="superscript"/>
          <w:lang w:val="fr-CA"/>
        </w:rPr>
        <w:t>e</w:t>
      </w:r>
      <w:r>
        <w:rPr>
          <w:rFonts w:cs="Times New Roman"/>
          <w:lang w:val="fr-CA"/>
        </w:rPr>
        <w:t> éd. 2007), §10.22 (je souligne)).</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Dans le cas où le promettant n’est pas encore titulaire de l’avantage ou de l’intérêt ayant été promis au demandeur, le critère de l’iniquité décrit ci</w:t>
      </w:r>
      <w:r>
        <w:rPr>
          <w:rFonts w:cs="Times New Roman"/>
          <w:lang w:val="fr-CA"/>
        </w:rPr>
        <w:noBreakHyphen/>
        <w:t xml:space="preserve">dessus ne peut être respecté. En effet, dans une telle situation, le droit personnel en </w:t>
      </w:r>
      <w:proofErr w:type="spellStart"/>
      <w:r>
        <w:rPr>
          <w:rFonts w:cs="Times New Roman"/>
          <w:lang w:val="fr-CA"/>
        </w:rPr>
        <w:t>equity</w:t>
      </w:r>
      <w:proofErr w:type="spellEnd"/>
      <w:r>
        <w:rPr>
          <w:rFonts w:cs="Times New Roman"/>
          <w:lang w:val="fr-CA"/>
        </w:rPr>
        <w:t xml:space="preserve"> qui résulte de l’acte de confiance préjudiciable du demandeur prend naissance précisément parce que le promettant n’est pas encore </w:t>
      </w:r>
      <w:r w:rsidR="00E46B70">
        <w:rPr>
          <w:rFonts w:cs="Times New Roman"/>
          <w:lang w:val="fr-CA"/>
        </w:rPr>
        <w:t>titulaire du « droit » ou de l’</w:t>
      </w:r>
      <w:r>
        <w:rPr>
          <w:rFonts w:cs="Times New Roman"/>
          <w:lang w:val="fr-CA"/>
        </w:rPr>
        <w:t xml:space="preserve">« avantage » qu’il a promis. À ce stade, il serait impossible de conclure qu’il est inique que le promettant  « continue de tenter de faire respecter » le droit dont il dispose à l’égard du droit ou de l’avantage promis, puisque le promettant n’a pas encore obtenu ce droit ou cet avantage. </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lastRenderedPageBreak/>
        <w:t xml:space="preserve">À mon humble avis, l’imprécision dans la caractérisation du type d’intérêt en </w:t>
      </w:r>
      <w:proofErr w:type="spellStart"/>
      <w:r>
        <w:rPr>
          <w:rFonts w:cs="Times New Roman"/>
          <w:lang w:val="fr-CA"/>
        </w:rPr>
        <w:t>equity</w:t>
      </w:r>
      <w:proofErr w:type="spellEnd"/>
      <w:r>
        <w:rPr>
          <w:rFonts w:cs="Times New Roman"/>
          <w:lang w:val="fr-CA"/>
        </w:rPr>
        <w:t xml:space="preserve"> en cause dans ces affaires risque d’introduire une incertitude juridique dans les affaires où des demandes en </w:t>
      </w:r>
      <w:proofErr w:type="spellStart"/>
      <w:r>
        <w:rPr>
          <w:rFonts w:cs="Times New Roman"/>
          <w:lang w:val="fr-CA"/>
        </w:rPr>
        <w:t>equity</w:t>
      </w:r>
      <w:proofErr w:type="spellEnd"/>
      <w:r>
        <w:rPr>
          <w:rFonts w:cs="Times New Roman"/>
          <w:lang w:val="fr-CA"/>
        </w:rPr>
        <w:t xml:space="preserve"> concurrentes sont présentées relativement au même bien. Plus particulièrement, l’idée qu’un simple droit personnel en </w:t>
      </w:r>
      <w:proofErr w:type="spellStart"/>
      <w:r>
        <w:rPr>
          <w:rFonts w:cs="Times New Roman"/>
          <w:lang w:val="fr-CA"/>
        </w:rPr>
        <w:t>equity</w:t>
      </w:r>
      <w:proofErr w:type="spellEnd"/>
      <w:r>
        <w:rPr>
          <w:rFonts w:cs="Times New Roman"/>
          <w:lang w:val="fr-CA"/>
        </w:rPr>
        <w:t xml:space="preserve"> puisse être suffisant pour qu’il y ait préclusion propriétale est difficilement conciliable avec les principes régissant la priorité d’intérêts fonciers en </w:t>
      </w:r>
      <w:proofErr w:type="spellStart"/>
      <w:r>
        <w:rPr>
          <w:rFonts w:cs="Times New Roman"/>
          <w:lang w:val="fr-CA"/>
        </w:rPr>
        <w:t>equity</w:t>
      </w:r>
      <w:proofErr w:type="spellEnd"/>
      <w:r>
        <w:rPr>
          <w:rFonts w:cs="Times New Roman"/>
          <w:lang w:val="fr-CA"/>
        </w:rPr>
        <w:t xml:space="preserve"> (</w:t>
      </w:r>
      <w:proofErr w:type="spellStart"/>
      <w:r>
        <w:rPr>
          <w:rFonts w:cs="Times New Roman"/>
          <w:i/>
          <w:lang w:val="fr-CA"/>
        </w:rPr>
        <w:t>Snell’s</w:t>
      </w:r>
      <w:proofErr w:type="spellEnd"/>
      <w:r>
        <w:rPr>
          <w:rFonts w:cs="Times New Roman"/>
          <w:i/>
          <w:lang w:val="fr-CA"/>
        </w:rPr>
        <w:t xml:space="preserve"> </w:t>
      </w:r>
      <w:proofErr w:type="spellStart"/>
      <w:r>
        <w:rPr>
          <w:rFonts w:cs="Times New Roman"/>
          <w:i/>
          <w:lang w:val="fr-CA"/>
        </w:rPr>
        <w:t>Equity</w:t>
      </w:r>
      <w:proofErr w:type="spellEnd"/>
      <w:r>
        <w:rPr>
          <w:rFonts w:cs="Times New Roman"/>
          <w:lang w:val="fr-CA"/>
        </w:rPr>
        <w:t xml:space="preserve"> (33</w:t>
      </w:r>
      <w:r>
        <w:rPr>
          <w:rFonts w:cs="Times New Roman"/>
          <w:vertAlign w:val="superscript"/>
          <w:lang w:val="fr-CA"/>
        </w:rPr>
        <w:t>e</w:t>
      </w:r>
      <w:r>
        <w:rPr>
          <w:rFonts w:cs="Times New Roman"/>
          <w:lang w:val="fr-CA"/>
        </w:rPr>
        <w:t> éd. 2015), par J. </w:t>
      </w:r>
      <w:proofErr w:type="spellStart"/>
      <w:r>
        <w:rPr>
          <w:rFonts w:cs="Times New Roman"/>
          <w:lang w:val="fr-CA"/>
        </w:rPr>
        <w:t>McGhee</w:t>
      </w:r>
      <w:proofErr w:type="spellEnd"/>
      <w:r>
        <w:rPr>
          <w:rFonts w:cs="Times New Roman"/>
          <w:lang w:val="fr-CA"/>
        </w:rPr>
        <w:t>, par. 4</w:t>
      </w:r>
      <w:r>
        <w:rPr>
          <w:rFonts w:cs="Times New Roman"/>
          <w:lang w:val="fr-CA"/>
        </w:rPr>
        <w:noBreakHyphen/>
        <w:t>047). Au Royaume</w:t>
      </w:r>
      <w:r>
        <w:rPr>
          <w:rFonts w:cs="Times New Roman"/>
          <w:lang w:val="fr-CA"/>
        </w:rPr>
        <w:noBreakHyphen/>
        <w:t xml:space="preserve">Uni, la Chambre des lords et, par la suite, la Cour suprême ont chacune reconnu que lorsqu’une promesse donne naissance à un simple droit personnel en </w:t>
      </w:r>
      <w:proofErr w:type="spellStart"/>
      <w:r>
        <w:rPr>
          <w:rFonts w:cs="Times New Roman"/>
          <w:lang w:val="fr-CA"/>
        </w:rPr>
        <w:t>equity</w:t>
      </w:r>
      <w:proofErr w:type="spellEnd"/>
      <w:r>
        <w:rPr>
          <w:rFonts w:cs="Times New Roman"/>
          <w:lang w:val="fr-CA"/>
        </w:rPr>
        <w:t xml:space="preserve"> en faveur du demandeur (parce que le promettant n’est pas titulaire du droit ou de l’avantage promis au moment où il fait sa promesse), l’acquisition subséquente, par le promettant, du droit ou de l’avantage en question ne permet pas au demandeur de faire valoir un droit en </w:t>
      </w:r>
      <w:proofErr w:type="spellStart"/>
      <w:r>
        <w:rPr>
          <w:rFonts w:cs="Times New Roman"/>
          <w:lang w:val="fr-CA"/>
        </w:rPr>
        <w:t>equity</w:t>
      </w:r>
      <w:proofErr w:type="spellEnd"/>
      <w:r>
        <w:rPr>
          <w:rFonts w:cs="Times New Roman"/>
          <w:lang w:val="fr-CA"/>
        </w:rPr>
        <w:t xml:space="preserve"> ayant priorité sur le droit </w:t>
      </w:r>
      <w:proofErr w:type="spellStart"/>
      <w:r>
        <w:rPr>
          <w:rFonts w:cs="Times New Roman"/>
          <w:lang w:val="fr-CA"/>
        </w:rPr>
        <w:t>propriétal</w:t>
      </w:r>
      <w:proofErr w:type="spellEnd"/>
      <w:r>
        <w:rPr>
          <w:rFonts w:cs="Times New Roman"/>
          <w:lang w:val="fr-CA"/>
        </w:rPr>
        <w:t xml:space="preserve"> d’un tiers qui a été établi entre</w:t>
      </w:r>
      <w:r>
        <w:rPr>
          <w:rFonts w:cs="Times New Roman"/>
          <w:lang w:val="fr-CA"/>
        </w:rPr>
        <w:noBreakHyphen/>
        <w:t>temps — c’est</w:t>
      </w:r>
      <w:r>
        <w:rPr>
          <w:rFonts w:cs="Times New Roman"/>
          <w:lang w:val="fr-CA"/>
        </w:rPr>
        <w:noBreakHyphen/>
        <w:t>à</w:t>
      </w:r>
      <w:r>
        <w:rPr>
          <w:rFonts w:cs="Times New Roman"/>
          <w:lang w:val="fr-CA"/>
        </w:rPr>
        <w:noBreakHyphen/>
        <w:t xml:space="preserve">dire après la naissance du droit personnel en </w:t>
      </w:r>
      <w:proofErr w:type="spellStart"/>
      <w:r>
        <w:rPr>
          <w:rFonts w:cs="Times New Roman"/>
          <w:lang w:val="fr-CA"/>
        </w:rPr>
        <w:t>equity</w:t>
      </w:r>
      <w:proofErr w:type="spellEnd"/>
      <w:r>
        <w:rPr>
          <w:rFonts w:cs="Times New Roman"/>
          <w:lang w:val="fr-CA"/>
        </w:rPr>
        <w:t xml:space="preserve"> du demandeur contre le promettant, mais avant que le promettant n’acquière ce droit ou cet avantage. Examiné sous cet angle, l’affirmation de lord Collins </w:t>
      </w:r>
      <w:r w:rsidR="00E46B70">
        <w:rPr>
          <w:rFonts w:cs="Times New Roman"/>
          <w:lang w:val="fr-CA"/>
        </w:rPr>
        <w:t xml:space="preserve">au par. 79 </w:t>
      </w:r>
      <w:r>
        <w:rPr>
          <w:rFonts w:cs="Times New Roman"/>
          <w:lang w:val="fr-CA"/>
        </w:rPr>
        <w:t>d</w:t>
      </w:r>
      <w:r w:rsidR="00E46B70">
        <w:rPr>
          <w:rFonts w:cs="Times New Roman"/>
          <w:lang w:val="fr-CA"/>
        </w:rPr>
        <w:t>e</w:t>
      </w:r>
      <w:r>
        <w:rPr>
          <w:rFonts w:cs="Times New Roman"/>
          <w:lang w:val="fr-CA"/>
        </w:rPr>
        <w:t xml:space="preserve"> l’arrêt </w:t>
      </w:r>
      <w:r>
        <w:rPr>
          <w:rFonts w:cs="Times New Roman"/>
          <w:i/>
          <w:lang w:val="fr-CA"/>
        </w:rPr>
        <w:t>Scott</w:t>
      </w:r>
      <w:r>
        <w:rPr>
          <w:rFonts w:cs="Times New Roman"/>
          <w:lang w:val="fr-CA"/>
        </w:rPr>
        <w:t>,</w:t>
      </w:r>
      <w:r>
        <w:rPr>
          <w:rFonts w:cs="Times New Roman"/>
          <w:i/>
          <w:lang w:val="fr-CA"/>
        </w:rPr>
        <w:t xml:space="preserve"> </w:t>
      </w:r>
      <w:r>
        <w:rPr>
          <w:rFonts w:cs="Times New Roman"/>
          <w:lang w:val="fr-CA"/>
        </w:rPr>
        <w:t xml:space="preserve">précité, selon laquelle de simples droits personnels « ne deviendraient </w:t>
      </w:r>
      <w:proofErr w:type="spellStart"/>
      <w:r>
        <w:rPr>
          <w:rFonts w:cs="Times New Roman"/>
          <w:lang w:val="fr-CA"/>
        </w:rPr>
        <w:t>propriétaux</w:t>
      </w:r>
      <w:proofErr w:type="spellEnd"/>
      <w:r>
        <w:rPr>
          <w:rFonts w:cs="Times New Roman"/>
          <w:lang w:val="fr-CA"/>
        </w:rPr>
        <w:t xml:space="preserve"> et susceptibles d’avoir priorité sur une hypothèque que lorsqu’ils seraient soutenus par l’acquisition par [le promettant] du [droit ou avantage promis] » ne revient pas à dire que des droits personnels en </w:t>
      </w:r>
      <w:proofErr w:type="spellStart"/>
      <w:r>
        <w:rPr>
          <w:rFonts w:cs="Times New Roman"/>
          <w:lang w:val="fr-CA"/>
        </w:rPr>
        <w:t>equity</w:t>
      </w:r>
      <w:proofErr w:type="spellEnd"/>
      <w:r>
        <w:rPr>
          <w:rFonts w:cs="Times New Roman"/>
          <w:lang w:val="fr-CA"/>
        </w:rPr>
        <w:t xml:space="preserve"> pourraient être rétroactivement transformés en droits </w:t>
      </w:r>
      <w:proofErr w:type="spellStart"/>
      <w:r>
        <w:rPr>
          <w:rFonts w:cs="Times New Roman"/>
          <w:lang w:val="fr-CA"/>
        </w:rPr>
        <w:t>propriétaux</w:t>
      </w:r>
      <w:proofErr w:type="spellEnd"/>
      <w:r>
        <w:rPr>
          <w:rFonts w:cs="Times New Roman"/>
          <w:lang w:val="fr-CA"/>
        </w:rPr>
        <w:t xml:space="preserve">. Lord Collins voulait plutôt dire que l’établissement du droit en </w:t>
      </w:r>
      <w:proofErr w:type="spellStart"/>
      <w:r>
        <w:rPr>
          <w:rFonts w:cs="Times New Roman"/>
          <w:lang w:val="fr-CA"/>
        </w:rPr>
        <w:t>equity</w:t>
      </w:r>
      <w:proofErr w:type="spellEnd"/>
      <w:r>
        <w:rPr>
          <w:rFonts w:cs="Times New Roman"/>
          <w:lang w:val="fr-CA"/>
        </w:rPr>
        <w:t xml:space="preserve"> qui sous</w:t>
      </w:r>
      <w:r>
        <w:rPr>
          <w:rFonts w:cs="Times New Roman"/>
          <w:lang w:val="fr-CA"/>
        </w:rPr>
        <w:noBreakHyphen/>
        <w:t xml:space="preserve">tend le droit personnel du demandeur avant l’établissement du droit </w:t>
      </w:r>
      <w:proofErr w:type="spellStart"/>
      <w:r>
        <w:rPr>
          <w:rFonts w:cs="Times New Roman"/>
          <w:lang w:val="fr-CA"/>
        </w:rPr>
        <w:t>propriétal</w:t>
      </w:r>
      <w:proofErr w:type="spellEnd"/>
      <w:r>
        <w:rPr>
          <w:rFonts w:cs="Times New Roman"/>
          <w:lang w:val="fr-CA"/>
        </w:rPr>
        <w:t xml:space="preserve"> du tiers est insuffisant pour élever le droit personnel du demandeur de manière à écarter la priorité dont jouit le droit </w:t>
      </w:r>
      <w:proofErr w:type="spellStart"/>
      <w:r>
        <w:rPr>
          <w:rFonts w:cs="Times New Roman"/>
          <w:lang w:val="fr-CA"/>
        </w:rPr>
        <w:lastRenderedPageBreak/>
        <w:t>propriétal</w:t>
      </w:r>
      <w:proofErr w:type="spellEnd"/>
      <w:r>
        <w:rPr>
          <w:rFonts w:cs="Times New Roman"/>
          <w:lang w:val="fr-CA"/>
        </w:rPr>
        <w:t xml:space="preserve"> du tiers (</w:t>
      </w:r>
      <w:r>
        <w:rPr>
          <w:rFonts w:cs="Times New Roman"/>
          <w:i/>
          <w:lang w:val="fr-CA"/>
        </w:rPr>
        <w:t>Scott</w:t>
      </w:r>
      <w:r>
        <w:rPr>
          <w:rFonts w:cs="Times New Roman"/>
          <w:lang w:val="fr-CA"/>
        </w:rPr>
        <w:t>,</w:t>
      </w:r>
      <w:r>
        <w:rPr>
          <w:rFonts w:cs="Times New Roman"/>
          <w:i/>
          <w:lang w:val="fr-CA"/>
        </w:rPr>
        <w:t xml:space="preserve"> </w:t>
      </w:r>
      <w:r>
        <w:rPr>
          <w:rFonts w:cs="Times New Roman"/>
          <w:lang w:val="fr-CA"/>
        </w:rPr>
        <w:t xml:space="preserve">par. 71; </w:t>
      </w:r>
      <w:r>
        <w:rPr>
          <w:rFonts w:cs="Times New Roman"/>
          <w:i/>
          <w:lang w:val="fr-CA"/>
        </w:rPr>
        <w:t>Abbey</w:t>
      </w:r>
      <w:r>
        <w:rPr>
          <w:rFonts w:cs="Times New Roman"/>
          <w:lang w:val="fr-CA"/>
        </w:rPr>
        <w:t xml:space="preserve">, p. 89 et 95; voir aussi </w:t>
      </w:r>
      <w:r>
        <w:rPr>
          <w:rFonts w:cs="Times New Roman"/>
          <w:i/>
          <w:lang w:val="fr-CA"/>
        </w:rPr>
        <w:t xml:space="preserve">Watson c. </w:t>
      </w:r>
      <w:proofErr w:type="spellStart"/>
      <w:r>
        <w:rPr>
          <w:rFonts w:cs="Times New Roman"/>
          <w:i/>
          <w:lang w:val="fr-CA"/>
        </w:rPr>
        <w:t>Goldsbrough</w:t>
      </w:r>
      <w:proofErr w:type="spellEnd"/>
      <w:r>
        <w:rPr>
          <w:rFonts w:cs="Times New Roman"/>
          <w:lang w:val="fr-CA"/>
        </w:rPr>
        <w:t xml:space="preserve">, [1986] 1 E.G.L.R. 265 (C.A.)). Toutefois, si, comme tendent nécessairement à l’indiquer les motifs de la Juge en chef, l’établissement d’un simple droit personnel en </w:t>
      </w:r>
      <w:proofErr w:type="spellStart"/>
      <w:r>
        <w:rPr>
          <w:rFonts w:cs="Times New Roman"/>
          <w:lang w:val="fr-CA"/>
        </w:rPr>
        <w:t>equity</w:t>
      </w:r>
      <w:proofErr w:type="spellEnd"/>
      <w:r>
        <w:rPr>
          <w:rFonts w:cs="Times New Roman"/>
          <w:lang w:val="fr-CA"/>
        </w:rPr>
        <w:t xml:space="preserve"> permettait de satisfaire à l’exigence du critère de la préclusion propriétale relative à l’existence d’un « droit en </w:t>
      </w:r>
      <w:proofErr w:type="spellStart"/>
      <w:r>
        <w:rPr>
          <w:rFonts w:cs="Times New Roman"/>
          <w:lang w:val="fr-CA"/>
        </w:rPr>
        <w:t>equity</w:t>
      </w:r>
      <w:proofErr w:type="spellEnd"/>
      <w:r>
        <w:rPr>
          <w:rFonts w:cs="Times New Roman"/>
          <w:lang w:val="fr-CA"/>
        </w:rPr>
        <w:t xml:space="preserve"> », la priorité pourrait être accordée à un intérêt qui ne justifie pas une demande en </w:t>
      </w:r>
      <w:proofErr w:type="spellStart"/>
      <w:r>
        <w:rPr>
          <w:rFonts w:cs="Times New Roman"/>
          <w:lang w:val="fr-CA"/>
        </w:rPr>
        <w:t>equity</w:t>
      </w:r>
      <w:proofErr w:type="spellEnd"/>
      <w:r>
        <w:rPr>
          <w:rFonts w:cs="Times New Roman"/>
          <w:lang w:val="fr-CA"/>
        </w:rPr>
        <w:t xml:space="preserve"> relative à un bien</w:t>
      </w:r>
      <w:r>
        <w:rPr>
          <w:rFonts w:cs="Times New Roman"/>
          <w:lang w:val="fr-CA"/>
        </w:rPr>
        <w:noBreakHyphen/>
        <w:t xml:space="preserve">fonds, au préjudice d’un intérêt qui justifie une telle demande.  </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J’ajouterais ceci. S’il est clair que, dans les affaires intéressant des demandes concurrentes de nature propriétale, l’établissement préalable d’un droit personnel ne saurait être pris en compte lorsqu’il s’agit de statuer sur la priorité de ces demandes, il est d’autant plus curieux que l’établissement d’un tel droit par le demandeur doive se voir reconnaître la moindre pertinence dans les cas où, comme en l’espèce, il </w:t>
      </w:r>
      <w:r w:rsidRPr="006B0E83">
        <w:rPr>
          <w:rFonts w:cs="Times New Roman"/>
          <w:i/>
          <w:lang w:val="fr-CA"/>
        </w:rPr>
        <w:t>n</w:t>
      </w:r>
      <w:r w:rsidRPr="00A001DC">
        <w:rPr>
          <w:rFonts w:cs="Times New Roman"/>
          <w:lang w:val="fr-CA"/>
        </w:rPr>
        <w:t>’</w:t>
      </w:r>
      <w:r>
        <w:rPr>
          <w:rFonts w:cs="Times New Roman"/>
          <w:lang w:val="fr-CA"/>
        </w:rPr>
        <w:t xml:space="preserve">y a </w:t>
      </w:r>
      <w:r>
        <w:rPr>
          <w:rFonts w:cs="Times New Roman"/>
          <w:i/>
          <w:lang w:val="fr-CA"/>
        </w:rPr>
        <w:t>pas</w:t>
      </w:r>
      <w:r>
        <w:rPr>
          <w:rFonts w:cs="Times New Roman"/>
          <w:lang w:val="fr-CA"/>
        </w:rPr>
        <w:t xml:space="preserve"> de demande concurrente de nature </w:t>
      </w:r>
      <w:proofErr w:type="spellStart"/>
      <w:r>
        <w:rPr>
          <w:rFonts w:cs="Times New Roman"/>
          <w:lang w:val="fr-CA"/>
        </w:rPr>
        <w:t>propriétale</w:t>
      </w:r>
      <w:proofErr w:type="spellEnd"/>
      <w:r>
        <w:rPr>
          <w:rFonts w:cs="Times New Roman"/>
          <w:lang w:val="fr-CA"/>
        </w:rPr>
        <w:t xml:space="preserve"> en </w:t>
      </w:r>
      <w:proofErr w:type="spellStart"/>
      <w:r>
        <w:rPr>
          <w:rFonts w:cs="Times New Roman"/>
          <w:lang w:val="fr-CA"/>
        </w:rPr>
        <w:t>equity</w:t>
      </w:r>
      <w:proofErr w:type="spellEnd"/>
      <w:r>
        <w:rPr>
          <w:rFonts w:cs="Times New Roman"/>
          <w:lang w:val="fr-CA"/>
        </w:rPr>
        <w:t xml:space="preserve">. Autrement dit, </w:t>
      </w:r>
      <w:r>
        <w:rPr>
          <w:rFonts w:cs="Times New Roman"/>
          <w:i/>
          <w:lang w:val="fr-CA"/>
        </w:rPr>
        <w:t>le seul</w:t>
      </w:r>
      <w:r>
        <w:rPr>
          <w:rFonts w:cs="Times New Roman"/>
          <w:lang w:val="fr-CA"/>
        </w:rPr>
        <w:t xml:space="preserve"> droit en </w:t>
      </w:r>
      <w:proofErr w:type="spellStart"/>
      <w:r>
        <w:rPr>
          <w:rFonts w:cs="Times New Roman"/>
          <w:lang w:val="fr-CA"/>
        </w:rPr>
        <w:t>equity</w:t>
      </w:r>
      <w:proofErr w:type="spellEnd"/>
      <w:r>
        <w:rPr>
          <w:rFonts w:cs="Times New Roman"/>
          <w:lang w:val="fr-CA"/>
        </w:rPr>
        <w:t xml:space="preserve"> sous</w:t>
      </w:r>
      <w:r>
        <w:rPr>
          <w:rFonts w:cs="Times New Roman"/>
          <w:lang w:val="fr-CA"/>
        </w:rPr>
        <w:noBreakHyphen/>
        <w:t xml:space="preserve">jacent qui doive être pris en compte pour décider si le critère de la préclusion propriétale est respecté est un droit susceptible de conférer un droit </w:t>
      </w:r>
      <w:proofErr w:type="spellStart"/>
      <w:r>
        <w:rPr>
          <w:rFonts w:cs="Times New Roman"/>
          <w:lang w:val="fr-CA"/>
        </w:rPr>
        <w:t>propriétal</w:t>
      </w:r>
      <w:proofErr w:type="spellEnd"/>
      <w:r>
        <w:rPr>
          <w:rFonts w:cs="Times New Roman"/>
          <w:lang w:val="fr-CA"/>
        </w:rPr>
        <w:t>.</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 xml:space="preserve">Il en résulte que je suis en désaccord avec la proposition selon laquelle, en l’espèce, le droit en </w:t>
      </w:r>
      <w:proofErr w:type="spellStart"/>
      <w:r>
        <w:rPr>
          <w:rFonts w:cs="Times New Roman"/>
          <w:lang w:val="fr-CA"/>
        </w:rPr>
        <w:t>equity</w:t>
      </w:r>
      <w:proofErr w:type="spellEnd"/>
      <w:r>
        <w:rPr>
          <w:rFonts w:cs="Times New Roman"/>
          <w:lang w:val="fr-CA"/>
        </w:rPr>
        <w:t xml:space="preserve"> nécessaire a été établi au moment de l’acte de confiance préjudiciable de Max. À mon avis, ce droit ne prendra naissance qu’à partir du moment où Gloria sera titulaire du droit ou de l’avantage qu’elle a promis à Max — c’est</w:t>
      </w:r>
      <w:r>
        <w:rPr>
          <w:rFonts w:cs="Times New Roman"/>
          <w:lang w:val="fr-CA"/>
        </w:rPr>
        <w:noBreakHyphen/>
        <w:t>à</w:t>
      </w:r>
      <w:r>
        <w:rPr>
          <w:rFonts w:cs="Times New Roman"/>
          <w:lang w:val="fr-CA"/>
        </w:rPr>
        <w:noBreakHyphen/>
        <w:t xml:space="preserve">dire le moment où notre Cour lui ordonnera, en sa qualité d’exécutrice testamentaire, « de </w:t>
      </w:r>
      <w:r>
        <w:rPr>
          <w:rFonts w:cs="Times New Roman"/>
          <w:lang w:val="fr-CA"/>
        </w:rPr>
        <w:lastRenderedPageBreak/>
        <w:t>partager immédiatement la propriété en intérêts égaux d’un tiers qu’elle remettra à Max, à Nathan [Cowper</w:t>
      </w:r>
      <w:r>
        <w:rPr>
          <w:rFonts w:cs="Times New Roman"/>
          <w:lang w:val="fr-CA"/>
        </w:rPr>
        <w:noBreakHyphen/>
        <w:t>Smith] et à elle</w:t>
      </w:r>
      <w:r>
        <w:rPr>
          <w:rFonts w:cs="Times New Roman"/>
          <w:lang w:val="fr-CA"/>
        </w:rPr>
        <w:noBreakHyphen/>
        <w:t xml:space="preserve">même à titre de bénéficiaires de la succession d’Elizabeth » (motifs de la Juge en chef, par. 44). Bien que je sois d’accord avec la Juge en chef pour dire que le rôle du tribunal dans la détermination de la réparation qui « convient » pour « donner effet au droit en </w:t>
      </w:r>
      <w:proofErr w:type="spellStart"/>
      <w:r>
        <w:rPr>
          <w:rFonts w:cs="Times New Roman"/>
          <w:lang w:val="fr-CA"/>
        </w:rPr>
        <w:t>equity</w:t>
      </w:r>
      <w:proofErr w:type="spellEnd"/>
      <w:r>
        <w:rPr>
          <w:rFonts w:cs="Times New Roman"/>
          <w:lang w:val="fr-CA"/>
        </w:rPr>
        <w:t xml:space="preserve"> » (par. 17) selon le critère de la </w:t>
      </w:r>
      <w:proofErr w:type="spellStart"/>
      <w:r>
        <w:rPr>
          <w:rFonts w:cs="Times New Roman"/>
          <w:lang w:val="fr-CA"/>
        </w:rPr>
        <w:t>préclusion</w:t>
      </w:r>
      <w:proofErr w:type="spellEnd"/>
      <w:r>
        <w:rPr>
          <w:rFonts w:cs="Times New Roman"/>
          <w:lang w:val="fr-CA"/>
        </w:rPr>
        <w:t xml:space="preserve"> </w:t>
      </w:r>
      <w:proofErr w:type="spellStart"/>
      <w:r>
        <w:rPr>
          <w:rFonts w:cs="Times New Roman"/>
          <w:lang w:val="fr-CA"/>
        </w:rPr>
        <w:t>propriétale</w:t>
      </w:r>
      <w:proofErr w:type="spellEnd"/>
      <w:r>
        <w:rPr>
          <w:rFonts w:cs="Times New Roman"/>
          <w:lang w:val="fr-CA"/>
        </w:rPr>
        <w:t xml:space="preserve"> consiste à</w:t>
      </w:r>
      <w:r w:rsidR="008F184E">
        <w:rPr>
          <w:rFonts w:cs="Times New Roman"/>
          <w:lang w:val="fr-CA"/>
        </w:rPr>
        <w:t xml:space="preserve"> [</w:t>
      </w:r>
      <w:r w:rsidR="008F184E" w:rsidRPr="008F184E">
        <w:rPr>
          <w:rFonts w:cs="Times New Roman"/>
          <w:smallCaps/>
          <w:lang w:val="fr-CA"/>
        </w:rPr>
        <w:t>traduction</w:t>
      </w:r>
      <w:r w:rsidR="008F184E">
        <w:rPr>
          <w:rFonts w:cs="Times New Roman"/>
          <w:lang w:val="fr-CA"/>
        </w:rPr>
        <w:t>]</w:t>
      </w:r>
      <w:r>
        <w:rPr>
          <w:rFonts w:cs="Times New Roman"/>
          <w:lang w:val="fr-CA"/>
        </w:rPr>
        <w:t xml:space="preserve"> « rendre justice » (par. 56, citant </w:t>
      </w:r>
      <w:proofErr w:type="spellStart"/>
      <w:r>
        <w:rPr>
          <w:rFonts w:cs="Times New Roman"/>
          <w:i/>
          <w:lang w:val="fr-CA"/>
        </w:rPr>
        <w:t>Jennings</w:t>
      </w:r>
      <w:proofErr w:type="spellEnd"/>
      <w:r>
        <w:rPr>
          <w:rFonts w:cs="Times New Roman"/>
          <w:i/>
          <w:lang w:val="fr-CA"/>
        </w:rPr>
        <w:t xml:space="preserve"> c. </w:t>
      </w:r>
      <w:proofErr w:type="spellStart"/>
      <w:r>
        <w:rPr>
          <w:rFonts w:cs="Times New Roman"/>
          <w:i/>
          <w:lang w:val="fr-CA"/>
        </w:rPr>
        <w:t>Rice</w:t>
      </w:r>
      <w:proofErr w:type="spellEnd"/>
      <w:r>
        <w:rPr>
          <w:rFonts w:cs="Times New Roman"/>
          <w:lang w:val="fr-CA"/>
        </w:rPr>
        <w:t xml:space="preserve">, [2002] EWCA </w:t>
      </w:r>
      <w:proofErr w:type="spellStart"/>
      <w:r w:rsidR="00F50EC6">
        <w:rPr>
          <w:rFonts w:cs="Times New Roman"/>
          <w:lang w:val="fr-CA"/>
        </w:rPr>
        <w:t>Civ</w:t>
      </w:r>
      <w:proofErr w:type="spellEnd"/>
      <w:r w:rsidR="00F50EC6">
        <w:rPr>
          <w:rFonts w:cs="Times New Roman"/>
          <w:lang w:val="fr-CA"/>
        </w:rPr>
        <w:t>. 159, [2003] 1 P. &amp; C.R. 100</w:t>
      </w:r>
      <w:r>
        <w:rPr>
          <w:rFonts w:cs="Times New Roman"/>
          <w:lang w:val="fr-CA"/>
        </w:rPr>
        <w:t xml:space="preserve">, par. 36), le fait de « rendre justice » — même en </w:t>
      </w:r>
      <w:proofErr w:type="spellStart"/>
      <w:r>
        <w:rPr>
          <w:rFonts w:cs="Times New Roman"/>
          <w:lang w:val="fr-CA"/>
        </w:rPr>
        <w:t>equity</w:t>
      </w:r>
      <w:proofErr w:type="spellEnd"/>
      <w:r>
        <w:rPr>
          <w:rFonts w:cs="Times New Roman"/>
          <w:lang w:val="fr-CA"/>
        </w:rPr>
        <w:t xml:space="preserve"> — ne permet pas à un tribunal de prendre en considération un simple droit personnel en </w:t>
      </w:r>
      <w:proofErr w:type="spellStart"/>
      <w:r>
        <w:rPr>
          <w:rFonts w:cs="Times New Roman"/>
          <w:lang w:val="fr-CA"/>
        </w:rPr>
        <w:t>equity</w:t>
      </w:r>
      <w:proofErr w:type="spellEnd"/>
      <w:r>
        <w:rPr>
          <w:rFonts w:cs="Times New Roman"/>
          <w:lang w:val="fr-CA"/>
        </w:rPr>
        <w:t xml:space="preserve">. En conséquence, le minimum nécessaire pour donner effet au droit en </w:t>
      </w:r>
      <w:proofErr w:type="spellStart"/>
      <w:r>
        <w:rPr>
          <w:rFonts w:cs="Times New Roman"/>
          <w:lang w:val="fr-CA"/>
        </w:rPr>
        <w:t>equity</w:t>
      </w:r>
      <w:proofErr w:type="spellEnd"/>
      <w:r>
        <w:rPr>
          <w:rFonts w:cs="Times New Roman"/>
          <w:lang w:val="fr-CA"/>
        </w:rPr>
        <w:t>, dès qu’il prendra naissance, est de permettre à Max d’acheter la part d’un tiers de Gloria dans la propriété à la date de l’ordonnance de la Cour.</w:t>
      </w:r>
    </w:p>
    <w:p w:rsidR="00987842" w:rsidRDefault="00987842" w:rsidP="00987842">
      <w:pPr>
        <w:pStyle w:val="Title1LevelTitre1Niveau-AltL"/>
        <w:numPr>
          <w:ilvl w:val="0"/>
          <w:numId w:val="19"/>
        </w:numPr>
        <w:rPr>
          <w:rFonts w:cs="Times New Roman"/>
          <w:lang w:val="fr-CA"/>
        </w:rPr>
      </w:pPr>
      <w:r>
        <w:rPr>
          <w:rFonts w:cs="Times New Roman"/>
          <w:lang w:val="fr-CA"/>
        </w:rPr>
        <w:t>Conclusion</w:t>
      </w:r>
    </w:p>
    <w:p w:rsidR="00987842" w:rsidRDefault="00987842" w:rsidP="00987842">
      <w:pPr>
        <w:pStyle w:val="ParaNoNdepar-AltN"/>
        <w:numPr>
          <w:ilvl w:val="0"/>
          <w:numId w:val="18"/>
        </w:numPr>
        <w:tabs>
          <w:tab w:val="clear" w:pos="1692"/>
          <w:tab w:val="num" w:pos="1152"/>
        </w:tabs>
        <w:ind w:left="0"/>
        <w:rPr>
          <w:rFonts w:cs="Times New Roman"/>
          <w:lang w:val="fr-CA"/>
        </w:rPr>
      </w:pPr>
      <w:r>
        <w:rPr>
          <w:rFonts w:cs="Times New Roman"/>
          <w:lang w:val="fr-CA"/>
        </w:rPr>
        <w:t>J’accueillerais le pourvoi et je modifierais l’ordonnance de la juge de première instance comme le propose la Juge en chef; je permettrais toutefois à Max d’acheter l’intérêt que détient Gloria sur le tiers de la propriété à sa juste valeur marchande à la date de l’ordonnance de la Cour.</w:t>
      </w:r>
    </w:p>
    <w:p w:rsidR="00987842" w:rsidRDefault="00987842" w:rsidP="00562B58">
      <w:pPr>
        <w:ind w:left="1170"/>
        <w:rPr>
          <w:lang w:val="fr-CA"/>
        </w:rPr>
      </w:pPr>
      <w:r>
        <w:rPr>
          <w:lang w:val="fr-CA"/>
        </w:rPr>
        <w:t xml:space="preserve">Version française des motifs rendus par </w:t>
      </w:r>
    </w:p>
    <w:p w:rsidR="00987842" w:rsidRDefault="00987842" w:rsidP="00987842">
      <w:pPr>
        <w:rPr>
          <w:lang w:val="fr-CA"/>
        </w:rPr>
      </w:pPr>
    </w:p>
    <w:p w:rsidR="00987842" w:rsidRPr="005767A4" w:rsidRDefault="00562B58" w:rsidP="00562B58">
      <w:pPr>
        <w:pStyle w:val="ParaNoNdepar-AltN"/>
        <w:tabs>
          <w:tab w:val="clear" w:pos="1692"/>
          <w:tab w:val="num" w:pos="1152"/>
        </w:tabs>
        <w:ind w:left="0"/>
        <w:rPr>
          <w:lang w:val="fr-CA"/>
        </w:rPr>
      </w:pPr>
      <w:r w:rsidRPr="00562B58">
        <w:rPr>
          <w:smallCaps/>
          <w:lang w:val="fr-CA"/>
        </w:rPr>
        <w:t>La juge Côté</w:t>
      </w:r>
      <w:r w:rsidRPr="005767A4">
        <w:rPr>
          <w:lang w:val="fr-CA"/>
        </w:rPr>
        <w:t xml:space="preserve"> </w:t>
      </w:r>
      <w:r w:rsidRPr="00562B58">
        <w:rPr>
          <w:rFonts w:cs="Times New Roman"/>
          <w:lang w:val="fr-CA"/>
        </w:rPr>
        <w:t>—</w:t>
      </w:r>
      <w:r>
        <w:rPr>
          <w:rFonts w:cs="Times New Roman"/>
          <w:lang w:val="fr-CA"/>
        </w:rPr>
        <w:t xml:space="preserve"> </w:t>
      </w:r>
      <w:r w:rsidR="00987842" w:rsidRPr="005767A4">
        <w:rPr>
          <w:lang w:val="fr-CA"/>
        </w:rPr>
        <w:t xml:space="preserve">Je souscris à l’opinion de la Juge en chef selon laquelle il est possible d’invoquer la préclusion propriétale même si le promettant ne détenait </w:t>
      </w:r>
      <w:r w:rsidR="00987842" w:rsidRPr="005767A4">
        <w:rPr>
          <w:lang w:val="fr-CA"/>
        </w:rPr>
        <w:lastRenderedPageBreak/>
        <w:t xml:space="preserve">aucun intérêt </w:t>
      </w:r>
      <w:proofErr w:type="spellStart"/>
      <w:r w:rsidR="00987842" w:rsidRPr="005767A4">
        <w:rPr>
          <w:lang w:val="fr-CA"/>
        </w:rPr>
        <w:t>propriétal</w:t>
      </w:r>
      <w:proofErr w:type="spellEnd"/>
      <w:r w:rsidR="00987842" w:rsidRPr="005767A4">
        <w:rPr>
          <w:lang w:val="fr-CA"/>
        </w:rPr>
        <w:t xml:space="preserve"> dans le bien en cause au moment de la promesse. Je conviens également que la décision par le destinataire de la promesse de s’y fier n’est pas déraisonnable en droit simplement parce que le promettant n’est pas propriétaire du bien au moment où le destinataire de la promesse agit à son préjudice en s’y fiant. </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Toutefois, je diverge d’opinion avec la Juge en chef et le juge Brown quant à l’étendue du pouvoir de réparation dont dispose la Cour en l’espèce. À mon avis, un tribunal ne peut ordonner à un exécuteur testamentaire de procéder à la distribution de la succession sans tenir compte de l’intention expresse du testateur, et ce, à la seule fin de permettre à un bénéficiaire de tenir la promesse qu’il a faite à un tiers. Ce principe s’applique même lorsque, comme en l’espèce, ce bénéficiaire — la défenderesse dans une action fondée sur la préclusion propriétale — agit également comme exécuteur testamentaire.</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Le testament d’Elizabeth accordait expressément et sans équivoque à l’exécutrice testamentaire, Gloria, un pouvoir discrétionnaire dans l’administration de la succession. Elizabeth a indiqué que Gloria [</w:t>
      </w:r>
      <w:r w:rsidRPr="005767A4">
        <w:rPr>
          <w:rFonts w:cs="Times New Roman"/>
          <w:smallCaps/>
          <w:lang w:val="fr-CA"/>
        </w:rPr>
        <w:t>traduction</w:t>
      </w:r>
      <w:r w:rsidRPr="005767A4">
        <w:rPr>
          <w:rFonts w:cs="Times New Roman"/>
          <w:lang w:val="fr-CA"/>
        </w:rPr>
        <w:t>] « peut réaliser l’actif de [l]a succession [. . .], et décider de quelle manière, à quel moment et à quelles conditions [elle] le fera », ou encore qu’elle « peut conserver tout ou partie de [l]a succession dans la forme où elle se trouve [au] décès [d’Elizabeth] » (</w:t>
      </w:r>
      <w:proofErr w:type="spellStart"/>
      <w:proofErr w:type="gramStart"/>
      <w:r w:rsidRPr="005767A4">
        <w:rPr>
          <w:rFonts w:cs="Times New Roman"/>
          <w:lang w:val="fr-CA"/>
        </w:rPr>
        <w:t>d.a</w:t>
      </w:r>
      <w:proofErr w:type="spellEnd"/>
      <w:r w:rsidRPr="005767A4">
        <w:rPr>
          <w:rFonts w:cs="Times New Roman"/>
          <w:lang w:val="fr-CA"/>
        </w:rPr>
        <w:t>.,</w:t>
      </w:r>
      <w:proofErr w:type="gramEnd"/>
      <w:r w:rsidRPr="005767A4">
        <w:rPr>
          <w:rFonts w:cs="Times New Roman"/>
          <w:lang w:val="fr-CA"/>
        </w:rPr>
        <w:t xml:space="preserve"> p. 101). Autrement dit, Elizabeth n’a pas légué spécifiquement la propriété en cause dans le présent pourvoi. Elle a confié à Gloria le soin de décider du sort de celle</w:t>
      </w:r>
      <w:r w:rsidRPr="005767A4">
        <w:rPr>
          <w:rFonts w:cs="Times New Roman"/>
          <w:lang w:val="fr-CA"/>
        </w:rPr>
        <w:noBreakHyphen/>
        <w:t>ci, notamment de déterminer s’il convenait ou non de la vendre.</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lastRenderedPageBreak/>
        <w:t>[</w:t>
      </w:r>
      <w:r w:rsidRPr="005767A4">
        <w:rPr>
          <w:rFonts w:cs="Times New Roman"/>
          <w:smallCaps/>
          <w:lang w:val="fr-CA"/>
        </w:rPr>
        <w:t>traduction</w:t>
      </w:r>
      <w:r w:rsidRPr="005767A4">
        <w:rPr>
          <w:rFonts w:cs="Times New Roman"/>
          <w:lang w:val="fr-CA"/>
        </w:rPr>
        <w:t>] « [L]a règle d’or en matière d’interprétation des testaments consiste à donner effet à l’intention du testateur telle qu’elle ressort des termes qu’il a employés » (</w:t>
      </w:r>
      <w:proofErr w:type="spellStart"/>
      <w:r w:rsidRPr="005767A4">
        <w:rPr>
          <w:rFonts w:cs="Times New Roman"/>
          <w:i/>
          <w:lang w:val="fr-CA"/>
        </w:rPr>
        <w:t>Browne</w:t>
      </w:r>
      <w:proofErr w:type="spellEnd"/>
      <w:r w:rsidRPr="005767A4">
        <w:rPr>
          <w:rFonts w:cs="Times New Roman"/>
          <w:i/>
          <w:lang w:val="fr-CA"/>
        </w:rPr>
        <w:t xml:space="preserve"> c. Moody</w:t>
      </w:r>
      <w:r w:rsidRPr="005767A4">
        <w:rPr>
          <w:rFonts w:cs="Times New Roman"/>
          <w:lang w:val="fr-CA"/>
        </w:rPr>
        <w:t>, [1936] 4 D.L.R. 1 (C.P.), p. 4</w:t>
      </w:r>
      <w:r w:rsidRPr="005767A4">
        <w:rPr>
          <w:rFonts w:cs="Times New Roman"/>
          <w:lang w:val="fr-CA"/>
        </w:rPr>
        <w:noBreakHyphen/>
        <w:t xml:space="preserve">5; voir aussi </w:t>
      </w:r>
      <w:r w:rsidRPr="005767A4">
        <w:rPr>
          <w:rFonts w:cs="Times New Roman"/>
          <w:i/>
          <w:lang w:val="fr-CA"/>
        </w:rPr>
        <w:t>National Trust Co. c. Fleury</w:t>
      </w:r>
      <w:r w:rsidRPr="005767A4">
        <w:rPr>
          <w:rFonts w:cs="Times New Roman"/>
          <w:lang w:val="fr-CA"/>
        </w:rPr>
        <w:t>, [1965] R.C.S. 817, p. 828</w:t>
      </w:r>
      <w:r w:rsidRPr="005767A4">
        <w:rPr>
          <w:rFonts w:cs="Times New Roman"/>
          <w:lang w:val="fr-CA"/>
        </w:rPr>
        <w:noBreakHyphen/>
        <w:t xml:space="preserve">829; </w:t>
      </w:r>
      <w:proofErr w:type="spellStart"/>
      <w:r w:rsidRPr="005767A4">
        <w:rPr>
          <w:rFonts w:cs="Times New Roman"/>
          <w:i/>
          <w:lang w:val="fr-CA"/>
        </w:rPr>
        <w:t>Feeney’s</w:t>
      </w:r>
      <w:proofErr w:type="spellEnd"/>
      <w:r w:rsidRPr="005767A4">
        <w:rPr>
          <w:rFonts w:cs="Times New Roman"/>
          <w:i/>
          <w:lang w:val="fr-CA"/>
        </w:rPr>
        <w:t xml:space="preserve"> Canadian Law of Wills </w:t>
      </w:r>
      <w:r w:rsidRPr="005767A4">
        <w:rPr>
          <w:rFonts w:cs="Times New Roman"/>
          <w:lang w:val="fr-CA"/>
        </w:rPr>
        <w:t>(4</w:t>
      </w:r>
      <w:r w:rsidRPr="005767A4">
        <w:rPr>
          <w:rFonts w:cs="Times New Roman"/>
          <w:vertAlign w:val="superscript"/>
          <w:lang w:val="fr-CA"/>
        </w:rPr>
        <w:t>e</w:t>
      </w:r>
      <w:r w:rsidRPr="005767A4">
        <w:rPr>
          <w:rFonts w:cs="Times New Roman"/>
          <w:lang w:val="fr-CA"/>
        </w:rPr>
        <w:t> éd. (feuilles mobiles)</w:t>
      </w:r>
      <w:r w:rsidR="008F184E">
        <w:rPr>
          <w:rFonts w:cs="Times New Roman"/>
          <w:lang w:val="fr-CA"/>
        </w:rPr>
        <w:t>), par J. </w:t>
      </w:r>
      <w:proofErr w:type="spellStart"/>
      <w:r w:rsidR="008F184E">
        <w:rPr>
          <w:rFonts w:cs="Times New Roman"/>
          <w:lang w:val="fr-CA"/>
        </w:rPr>
        <w:t>MacKenzie</w:t>
      </w:r>
      <w:proofErr w:type="spellEnd"/>
      <w:r w:rsidR="008F184E">
        <w:rPr>
          <w:rFonts w:cs="Times New Roman"/>
          <w:lang w:val="fr-CA"/>
        </w:rPr>
        <w:t>, §</w:t>
      </w:r>
      <w:r w:rsidRPr="005767A4">
        <w:rPr>
          <w:rFonts w:cs="Times New Roman"/>
          <w:lang w:val="fr-CA"/>
        </w:rPr>
        <w:t>10.1). L’importance de l’autonomie testamentaire est fermement ancrée dans notre droit. Comme l’a déjà dit la juge McLachlin (maintenant Juge en chef), le testament « est l’exercice par le testateur de la liberté de disposer de ses biens et il ne doit pas être modifié à la légère » (</w:t>
      </w:r>
      <w:proofErr w:type="spellStart"/>
      <w:r w:rsidRPr="005767A4">
        <w:rPr>
          <w:rFonts w:cs="Times New Roman"/>
          <w:i/>
          <w:lang w:val="fr-CA"/>
        </w:rPr>
        <w:t>Tataryn</w:t>
      </w:r>
      <w:proofErr w:type="spellEnd"/>
      <w:r w:rsidRPr="005767A4">
        <w:rPr>
          <w:rFonts w:cs="Times New Roman"/>
          <w:i/>
          <w:lang w:val="fr-CA"/>
        </w:rPr>
        <w:t xml:space="preserve"> c. Succession </w:t>
      </w:r>
      <w:proofErr w:type="spellStart"/>
      <w:r w:rsidRPr="005767A4">
        <w:rPr>
          <w:rFonts w:cs="Times New Roman"/>
          <w:i/>
          <w:lang w:val="fr-CA"/>
        </w:rPr>
        <w:t>Tataryn</w:t>
      </w:r>
      <w:proofErr w:type="spellEnd"/>
      <w:r w:rsidRPr="005767A4">
        <w:rPr>
          <w:rFonts w:cs="Times New Roman"/>
          <w:lang w:val="fr-CA"/>
        </w:rPr>
        <w:t>, [1994] 2 R.C.S. 807, p. 824</w:t>
      </w:r>
      <w:r w:rsidR="00F50EC6">
        <w:rPr>
          <w:rFonts w:cs="Times New Roman"/>
          <w:lang w:val="fr-CA"/>
        </w:rPr>
        <w:t>)</w:t>
      </w:r>
      <w:r w:rsidRPr="005767A4">
        <w:rPr>
          <w:rFonts w:cs="Times New Roman"/>
          <w:lang w:val="fr-CA"/>
        </w:rPr>
        <w:t xml:space="preserve"> (voir aussi </w:t>
      </w:r>
      <w:proofErr w:type="spellStart"/>
      <w:r w:rsidRPr="005767A4">
        <w:rPr>
          <w:rFonts w:cs="Times New Roman"/>
          <w:i/>
          <w:lang w:val="fr-CA"/>
        </w:rPr>
        <w:t>Re</w:t>
      </w:r>
      <w:proofErr w:type="spellEnd"/>
      <w:r w:rsidRPr="005767A4">
        <w:rPr>
          <w:rFonts w:cs="Times New Roman"/>
          <w:i/>
          <w:lang w:val="fr-CA"/>
        </w:rPr>
        <w:t xml:space="preserve"> Burke</w:t>
      </w:r>
      <w:r w:rsidRPr="005767A4">
        <w:rPr>
          <w:rFonts w:cs="Times New Roman"/>
          <w:lang w:val="fr-CA"/>
        </w:rPr>
        <w:t xml:space="preserve"> (1959), 20 D.L.R. (2d) 396 (C.A. Ont.), à la p. 398 : [</w:t>
      </w:r>
      <w:r w:rsidRPr="005767A4">
        <w:rPr>
          <w:rFonts w:cs="Times New Roman"/>
          <w:smallCaps/>
          <w:lang w:val="fr-CA"/>
        </w:rPr>
        <w:t>traduction</w:t>
      </w:r>
      <w:r w:rsidRPr="005767A4">
        <w:rPr>
          <w:rFonts w:cs="Times New Roman"/>
          <w:lang w:val="fr-CA"/>
        </w:rPr>
        <w:t>] « . . . le tribunal doit s’efforcer de donner effet à [l’intention du testateur], à moins qu’une règle ou un pr</w:t>
      </w:r>
      <w:r w:rsidR="00F50EC6">
        <w:rPr>
          <w:rFonts w:cs="Times New Roman"/>
          <w:lang w:val="fr-CA"/>
        </w:rPr>
        <w:t>incipe de droit ne l’en empêche</w:t>
      </w:r>
      <w:r w:rsidRPr="005767A4">
        <w:rPr>
          <w:rFonts w:cs="Times New Roman"/>
          <w:lang w:val="fr-CA"/>
        </w:rPr>
        <w:t> »)</w:t>
      </w:r>
      <w:r w:rsidR="00F50EC6">
        <w:rPr>
          <w:rFonts w:cs="Times New Roman"/>
          <w:lang w:val="fr-CA"/>
        </w:rPr>
        <w:t>.</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En accordant la réparation qu’elle accorde dans le présent pourvoi — une ordonnance enjoignant à Gloria de transférer aux bénéficiaires de la succession leur part dans la propriété — la Cour se trouve à substituer son propre jugement à celui de Gloria et à décider de la façon dont le bien devrait être administré. La Cour crée dans les faits un legs spécifique qu’Elizabeth a elle</w:t>
      </w:r>
      <w:r w:rsidRPr="005767A4">
        <w:rPr>
          <w:rFonts w:cs="Times New Roman"/>
          <w:lang w:val="fr-CA"/>
        </w:rPr>
        <w:noBreakHyphen/>
        <w:t xml:space="preserve">même choisi de ne pas faire. Le fait qu’Elizabeth ait envisagé la possibilité d’un partage en nature ne rend pas un partage ordonné judiciairement conforme à ses volontés. L’intention pertinente en l’espèce est qu’Elizabeth voulait que ce soit Gloria — et non les tribunaux — qui </w:t>
      </w:r>
      <w:proofErr w:type="gramStart"/>
      <w:r w:rsidRPr="005767A4">
        <w:rPr>
          <w:rFonts w:cs="Times New Roman"/>
          <w:lang w:val="fr-CA"/>
        </w:rPr>
        <w:t>décide</w:t>
      </w:r>
      <w:proofErr w:type="gramEnd"/>
      <w:r w:rsidRPr="005767A4">
        <w:rPr>
          <w:rFonts w:cs="Times New Roman"/>
          <w:lang w:val="fr-CA"/>
        </w:rPr>
        <w:t xml:space="preserve"> de la façon dont sa succession devrait être gérée. Avec égards, je suis d’avis que l’</w:t>
      </w:r>
      <w:proofErr w:type="spellStart"/>
      <w:r w:rsidRPr="005767A4">
        <w:rPr>
          <w:rFonts w:cs="Times New Roman"/>
          <w:lang w:val="fr-CA"/>
        </w:rPr>
        <w:t>equity</w:t>
      </w:r>
      <w:proofErr w:type="spellEnd"/>
      <w:r w:rsidRPr="005767A4">
        <w:rPr>
          <w:rFonts w:cs="Times New Roman"/>
          <w:lang w:val="fr-CA"/>
        </w:rPr>
        <w:t xml:space="preserve"> ne permet aucunement de faire abstraction de cette intention — d’autant plus que Max serait libre </w:t>
      </w:r>
      <w:r w:rsidRPr="005767A4">
        <w:rPr>
          <w:rFonts w:cs="Times New Roman"/>
          <w:lang w:val="fr-CA"/>
        </w:rPr>
        <w:lastRenderedPageBreak/>
        <w:t xml:space="preserve">d’acheter la propriété (en utilisant, entre autres, sa part du produit de la vente) si Gloria décidait de la vendre aux enchères.  </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Il appert qu’en l’espèce, Gloria est à la fois bénéficiaire et exécutrice testamentaire. Mais, si elle avait démissionné comme exécutrice testamentaire, ou si quelqu’un d’autre avait été nommé en premier lieu, la Cour aurait</w:t>
      </w:r>
      <w:r w:rsidRPr="005767A4">
        <w:rPr>
          <w:rFonts w:cs="Times New Roman"/>
          <w:lang w:val="fr-CA"/>
        </w:rPr>
        <w:noBreakHyphen/>
        <w:t>elle eu le pouvoir d’ordonner à l’exécuteur testamentaire de partager le bien d’une façon particulière? À mon avis, la situation qui nous occupe n’est pas différente de ces scénarios. La distinction entre Gloria en sa qualité d’exécutrice testamentaire et Gloria en sa qualité de bénéficiaire ne saurait être écartée à la légère au nom de l’</w:t>
      </w:r>
      <w:proofErr w:type="spellStart"/>
      <w:r w:rsidRPr="005767A4">
        <w:rPr>
          <w:rFonts w:cs="Times New Roman"/>
          <w:lang w:val="fr-CA"/>
        </w:rPr>
        <w:t>equity</w:t>
      </w:r>
      <w:proofErr w:type="spellEnd"/>
      <w:r w:rsidRPr="005767A4">
        <w:rPr>
          <w:rFonts w:cs="Times New Roman"/>
          <w:lang w:val="fr-CA"/>
        </w:rPr>
        <w:t>, surtout si cela a pour effet de faire abstraction de l’intention expresse de la testatrice.</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La réponse de la Juge en chef est que, « [l]</w:t>
      </w:r>
      <w:proofErr w:type="spellStart"/>
      <w:r w:rsidRPr="005767A4">
        <w:rPr>
          <w:rFonts w:cs="Times New Roman"/>
          <w:lang w:val="fr-CA"/>
        </w:rPr>
        <w:t>orsqu’un</w:t>
      </w:r>
      <w:proofErr w:type="spellEnd"/>
      <w:r w:rsidRPr="005767A4">
        <w:rPr>
          <w:rFonts w:cs="Times New Roman"/>
          <w:lang w:val="fr-CA"/>
        </w:rPr>
        <w:t xml:space="preserve"> testament prévoit que l’exécuteur testamentaire dispose d’un pouvoir discrétionnaire, celui</w:t>
      </w:r>
      <w:r w:rsidRPr="005767A4">
        <w:rPr>
          <w:rFonts w:cs="Times New Roman"/>
          <w:lang w:val="fr-CA"/>
        </w:rPr>
        <w:noBreakHyphen/>
        <w:t xml:space="preserve">ci peut, avec le consentement de tous les bénéficiaires, effectuer un partage en nature des biens réels », et que Gloria refuse de façon déraisonnable de donner son consentement (par. 40). Il ne fait aucun doute dans le présent pourvoi que Gloria </w:t>
      </w:r>
      <w:proofErr w:type="gramStart"/>
      <w:r w:rsidRPr="005767A4">
        <w:rPr>
          <w:rFonts w:cs="Times New Roman"/>
          <w:lang w:val="fr-CA"/>
        </w:rPr>
        <w:t>a</w:t>
      </w:r>
      <w:proofErr w:type="gramEnd"/>
      <w:r w:rsidRPr="005767A4">
        <w:rPr>
          <w:rFonts w:cs="Times New Roman"/>
          <w:lang w:val="fr-CA"/>
        </w:rPr>
        <w:t xml:space="preserve"> le pouvoir, en tant qu’exécutrice testamentaire, de procéder à un partage en nature — ce pouvoir est expressément prévu dans le testament d’Elizabeth. Toutefois, en ce qui a trait à son intérêt en tant que bénéficiaire, Gloria pourrait avoir de bonnes raisons de préférer la vente de la propriété au lieu de consentir à un partage en nature. Si la propriété est vendue et que le produit de la vente est partagé entre les trois bénéficiaires, Gloria recevra un tiers du produit de la vente de la propriété, à sa valeur marchande actuelle. </w:t>
      </w:r>
      <w:r w:rsidRPr="005767A4">
        <w:rPr>
          <w:rFonts w:cs="Times New Roman"/>
          <w:lang w:val="fr-CA"/>
        </w:rPr>
        <w:lastRenderedPageBreak/>
        <w:t xml:space="preserve">Si la propriété est distribuée en nature, elle sera obligée de vendre sa part à Max pour, comme le souligne la Juge en chef dans ses motifs, le tiers de la valeur marchande de la propriété en 2011, valeur que les parties reconnaissent être inférieure à la valeur actuelle de la propriété. En conséquence, qu’elle soit ou non l’exécutrice testamentaire, il ne serait pas déraisonnable que Gloria, en sa qualité de bénéficiaire, refuse de consentir à un partage en nature. Dans ce contexte, il n’est pas justifié de l’obliger à consentir à cette forme de partage. Il importe de souligner que la promesse faite par Gloria, c’est qu’elle </w:t>
      </w:r>
      <w:r w:rsidRPr="005767A4">
        <w:rPr>
          <w:rFonts w:cs="Times New Roman"/>
          <w:i/>
          <w:lang w:val="fr-CA"/>
        </w:rPr>
        <w:t>vendrait</w:t>
      </w:r>
      <w:r w:rsidRPr="005767A4">
        <w:rPr>
          <w:rFonts w:cs="Times New Roman"/>
          <w:lang w:val="fr-CA"/>
        </w:rPr>
        <w:t xml:space="preserve"> sa part d’un tiers du bien, et non qu’elle </w:t>
      </w:r>
      <w:r w:rsidRPr="005767A4">
        <w:rPr>
          <w:rFonts w:cs="Times New Roman"/>
          <w:i/>
          <w:lang w:val="fr-CA"/>
        </w:rPr>
        <w:t>en ferait don</w:t>
      </w:r>
      <w:r w:rsidRPr="005767A4">
        <w:rPr>
          <w:rFonts w:cs="Times New Roman"/>
          <w:lang w:val="fr-CA"/>
        </w:rPr>
        <w:t>. Dans le cas qui nous occupe, la testatrice voulait que chacun de ses enfants touche une part égale du reliquat de sa succession. Dans un marché à la hausse, permettre à Max d’acquérir un tiers de la propriété à un prix fondé sur une valeur passée ne respecte pas les volontés d’Elizabeth, puisque Gloria obtiendra dans les faits moins qu’un tiers de la valeur actuelle de la succession et que, corollairement, Max recevra davantage.</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 xml:space="preserve">De plus, le fait qu’un partage en nature </w:t>
      </w:r>
      <w:r w:rsidRPr="005767A4">
        <w:rPr>
          <w:rFonts w:cs="Times New Roman"/>
          <w:i/>
          <w:lang w:val="fr-CA"/>
        </w:rPr>
        <w:t>puisse</w:t>
      </w:r>
      <w:r w:rsidRPr="005767A4">
        <w:rPr>
          <w:rFonts w:cs="Times New Roman"/>
          <w:lang w:val="fr-CA"/>
        </w:rPr>
        <w:t xml:space="preserve"> être effectué avec le consentement de tous les bénéficiaires ne signifie pas que l’exécuteur testamentaire est obligé de choisir cette option (voir </w:t>
      </w:r>
      <w:r w:rsidRPr="005767A4">
        <w:rPr>
          <w:rFonts w:cs="Times New Roman"/>
          <w:i/>
          <w:lang w:val="fr-CA"/>
        </w:rPr>
        <w:t xml:space="preserve">Gunn </w:t>
      </w:r>
      <w:proofErr w:type="spellStart"/>
      <w:r w:rsidRPr="005767A4">
        <w:rPr>
          <w:rFonts w:cs="Times New Roman"/>
          <w:i/>
          <w:lang w:val="fr-CA"/>
        </w:rPr>
        <w:t>Estate</w:t>
      </w:r>
      <w:proofErr w:type="spellEnd"/>
      <w:r w:rsidRPr="005767A4">
        <w:rPr>
          <w:rFonts w:cs="Times New Roman"/>
          <w:i/>
          <w:lang w:val="fr-CA"/>
        </w:rPr>
        <w:t xml:space="preserve">, </w:t>
      </w:r>
      <w:proofErr w:type="spellStart"/>
      <w:r w:rsidRPr="005767A4">
        <w:rPr>
          <w:rFonts w:cs="Times New Roman"/>
          <w:i/>
          <w:lang w:val="fr-CA"/>
        </w:rPr>
        <w:t>Re</w:t>
      </w:r>
      <w:proofErr w:type="spellEnd"/>
      <w:r w:rsidR="00F50EC6">
        <w:rPr>
          <w:rFonts w:cs="Times New Roman"/>
          <w:lang w:val="fr-CA"/>
        </w:rPr>
        <w:t>, 2010 PECA 13, 200</w:t>
      </w:r>
      <w:r w:rsidRPr="005767A4">
        <w:rPr>
          <w:rFonts w:cs="Times New Roman"/>
          <w:lang w:val="fr-CA"/>
        </w:rPr>
        <w:t xml:space="preserve"> </w:t>
      </w:r>
      <w:proofErr w:type="spellStart"/>
      <w:r w:rsidRPr="005767A4">
        <w:rPr>
          <w:rFonts w:cs="Times New Roman"/>
          <w:lang w:val="fr-CA"/>
        </w:rPr>
        <w:t>Nfld</w:t>
      </w:r>
      <w:proofErr w:type="spellEnd"/>
      <w:r w:rsidRPr="005767A4">
        <w:rPr>
          <w:rFonts w:cs="Times New Roman"/>
          <w:lang w:val="fr-CA"/>
        </w:rPr>
        <w:t xml:space="preserve">. </w:t>
      </w:r>
      <w:r w:rsidRPr="005767A4">
        <w:rPr>
          <w:rFonts w:cs="Times New Roman"/>
          <w:lang w:val="en-US"/>
        </w:rPr>
        <w:t xml:space="preserve">&amp; P.E.I.R. 197, par. 45 et 49; </w:t>
      </w:r>
      <w:proofErr w:type="spellStart"/>
      <w:r w:rsidRPr="005767A4">
        <w:rPr>
          <w:rFonts w:cs="Times New Roman"/>
          <w:i/>
          <w:szCs w:val="24"/>
          <w:lang w:val="en-US"/>
        </w:rPr>
        <w:t>Widdifield</w:t>
      </w:r>
      <w:proofErr w:type="spellEnd"/>
      <w:r w:rsidRPr="005767A4">
        <w:rPr>
          <w:rFonts w:cs="Times New Roman"/>
          <w:i/>
          <w:szCs w:val="24"/>
          <w:lang w:val="en-US"/>
        </w:rPr>
        <w:t xml:space="preserve"> on Executors and Trustees </w:t>
      </w:r>
      <w:r w:rsidRPr="005767A4">
        <w:rPr>
          <w:rFonts w:cs="Times New Roman"/>
          <w:szCs w:val="24"/>
          <w:lang w:val="en-US"/>
        </w:rPr>
        <w:t>(6</w:t>
      </w:r>
      <w:r w:rsidRPr="005767A4">
        <w:rPr>
          <w:rFonts w:cs="Times New Roman"/>
          <w:szCs w:val="24"/>
          <w:vertAlign w:val="superscript"/>
          <w:lang w:val="en-US"/>
        </w:rPr>
        <w:t>e</w:t>
      </w:r>
      <w:r w:rsidRPr="005767A4">
        <w:rPr>
          <w:rFonts w:cs="Times New Roman"/>
          <w:szCs w:val="24"/>
          <w:lang w:val="en-US"/>
        </w:rPr>
        <w:t> </w:t>
      </w:r>
      <w:proofErr w:type="spellStart"/>
      <w:r w:rsidRPr="005767A4">
        <w:rPr>
          <w:rFonts w:cs="Times New Roman"/>
          <w:szCs w:val="24"/>
          <w:lang w:val="en-US"/>
        </w:rPr>
        <w:t>éd</w:t>
      </w:r>
      <w:proofErr w:type="spellEnd"/>
      <w:r w:rsidRPr="005767A4">
        <w:rPr>
          <w:rFonts w:cs="Times New Roman"/>
          <w:szCs w:val="24"/>
          <w:lang w:val="en-US"/>
        </w:rPr>
        <w:t xml:space="preserve">. </w:t>
      </w:r>
      <w:r w:rsidRPr="005767A4">
        <w:rPr>
          <w:rFonts w:cs="Times New Roman"/>
          <w:szCs w:val="24"/>
          <w:lang w:val="fr-CA"/>
        </w:rPr>
        <w:t>(feuilles mobiles)), par C. S. Thériault, rubrique 5.1.6</w:t>
      </w:r>
      <w:r w:rsidRPr="005767A4">
        <w:rPr>
          <w:rFonts w:cs="Times New Roman"/>
          <w:lang w:val="fr-CA"/>
        </w:rPr>
        <w:t>). [</w:t>
      </w:r>
      <w:r w:rsidRPr="005767A4">
        <w:rPr>
          <w:rFonts w:cs="Times New Roman"/>
          <w:smallCaps/>
          <w:lang w:val="fr-CA"/>
        </w:rPr>
        <w:t>traduction</w:t>
      </w:r>
      <w:r w:rsidRPr="005767A4">
        <w:rPr>
          <w:rFonts w:cs="Times New Roman"/>
          <w:lang w:val="fr-CA"/>
        </w:rPr>
        <w:t>] « </w:t>
      </w:r>
      <w:r w:rsidR="00F50EC6">
        <w:rPr>
          <w:rFonts w:cs="Times New Roman"/>
          <w:lang w:val="fr-CA"/>
        </w:rPr>
        <w:t>[</w:t>
      </w:r>
      <w:r w:rsidRPr="005767A4">
        <w:rPr>
          <w:rFonts w:cs="Times New Roman"/>
          <w:lang w:val="fr-CA"/>
        </w:rPr>
        <w:t>I</w:t>
      </w:r>
      <w:r w:rsidR="00F50EC6">
        <w:rPr>
          <w:rFonts w:cs="Times New Roman"/>
          <w:lang w:val="fr-CA"/>
        </w:rPr>
        <w:t>]</w:t>
      </w:r>
      <w:r w:rsidRPr="005767A4">
        <w:rPr>
          <w:rFonts w:cs="Times New Roman"/>
          <w:lang w:val="fr-CA"/>
        </w:rPr>
        <w:t>l faut respecter l’intention du testateur ou du disposant » lorsqu’on décide s’il convient ou non de procéder à un partage en nature (</w:t>
      </w:r>
      <w:r w:rsidRPr="005767A4">
        <w:rPr>
          <w:rFonts w:cs="Times New Roman"/>
          <w:i/>
          <w:lang w:val="fr-CA"/>
        </w:rPr>
        <w:t xml:space="preserve">Gunn </w:t>
      </w:r>
      <w:proofErr w:type="spellStart"/>
      <w:r w:rsidRPr="005767A4">
        <w:rPr>
          <w:rFonts w:cs="Times New Roman"/>
          <w:i/>
          <w:lang w:val="fr-CA"/>
        </w:rPr>
        <w:t>Estate</w:t>
      </w:r>
      <w:proofErr w:type="spellEnd"/>
      <w:r w:rsidRPr="005767A4">
        <w:rPr>
          <w:rFonts w:cs="Times New Roman"/>
          <w:lang w:val="fr-CA"/>
        </w:rPr>
        <w:t xml:space="preserve">, par. 45), et, en l’espèce, l’intention de la testatrice était que ce soit Gloria qui prenne une décision à cet égard. Si les devoirs de Gloria en tant qu’exécutrice testamentaire sont réellement en conflit avec ses intérêts </w:t>
      </w:r>
      <w:r w:rsidRPr="005767A4">
        <w:rPr>
          <w:rFonts w:cs="Times New Roman"/>
          <w:lang w:val="fr-CA"/>
        </w:rPr>
        <w:lastRenderedPageBreak/>
        <w:t xml:space="preserve">en tant que bénéficiaire, de sorte qu’il y a manquement à son devoir fiduciaire, la réparation appropriée ne consiste pas à ordonner un partage en nature, mais plutôt à remplacer Gloria en tant qu’exécutrice testamentaire (voir, p. ex., </w:t>
      </w:r>
      <w:r w:rsidRPr="005767A4">
        <w:rPr>
          <w:rFonts w:cs="Times New Roman"/>
          <w:i/>
          <w:lang w:val="fr-CA"/>
        </w:rPr>
        <w:t xml:space="preserve">Jackson </w:t>
      </w:r>
      <w:proofErr w:type="spellStart"/>
      <w:r w:rsidRPr="005767A4">
        <w:rPr>
          <w:rFonts w:cs="Times New Roman"/>
          <w:i/>
          <w:lang w:val="fr-CA"/>
        </w:rPr>
        <w:t>Estate</w:t>
      </w:r>
      <w:proofErr w:type="spellEnd"/>
      <w:r w:rsidRPr="005767A4">
        <w:rPr>
          <w:rFonts w:cs="Times New Roman"/>
          <w:i/>
          <w:lang w:val="fr-CA"/>
        </w:rPr>
        <w:t xml:space="preserve">, </w:t>
      </w:r>
      <w:proofErr w:type="spellStart"/>
      <w:r w:rsidRPr="005767A4">
        <w:rPr>
          <w:rFonts w:cs="Times New Roman"/>
          <w:i/>
          <w:lang w:val="fr-CA"/>
        </w:rPr>
        <w:t>Re</w:t>
      </w:r>
      <w:proofErr w:type="spellEnd"/>
      <w:r w:rsidRPr="005767A4">
        <w:rPr>
          <w:rFonts w:cs="Times New Roman"/>
          <w:lang w:val="fr-CA"/>
        </w:rPr>
        <w:t xml:space="preserve"> (2004), 192 O.A.C. 161, par. 8</w:t>
      </w:r>
      <w:r w:rsidRPr="005767A4">
        <w:rPr>
          <w:rFonts w:cs="Times New Roman"/>
          <w:lang w:val="fr-CA"/>
        </w:rPr>
        <w:noBreakHyphen/>
        <w:t xml:space="preserve">9; </w:t>
      </w:r>
      <w:proofErr w:type="spellStart"/>
      <w:r w:rsidRPr="005767A4">
        <w:rPr>
          <w:rFonts w:cs="Times New Roman"/>
          <w:i/>
          <w:lang w:val="fr-CA"/>
        </w:rPr>
        <w:t>Re</w:t>
      </w:r>
      <w:proofErr w:type="spellEnd"/>
      <w:r w:rsidRPr="005767A4">
        <w:rPr>
          <w:rFonts w:cs="Times New Roman"/>
          <w:i/>
          <w:lang w:val="fr-CA"/>
        </w:rPr>
        <w:t xml:space="preserve"> Smith</w:t>
      </w:r>
      <w:r w:rsidRPr="005767A4">
        <w:rPr>
          <w:rFonts w:cs="Times New Roman"/>
          <w:lang w:val="fr-CA"/>
        </w:rPr>
        <w:t>, [1971] 1 O.R. 584 (H.C.J.), p. 587</w:t>
      </w:r>
      <w:r w:rsidRPr="005767A4">
        <w:rPr>
          <w:rFonts w:cs="Times New Roman"/>
          <w:lang w:val="fr-CA"/>
        </w:rPr>
        <w:noBreakHyphen/>
        <w:t xml:space="preserve">588; </w:t>
      </w:r>
      <w:r w:rsidRPr="005767A4">
        <w:rPr>
          <w:rFonts w:cs="Times New Roman"/>
          <w:i/>
          <w:lang w:val="fr-CA"/>
        </w:rPr>
        <w:t xml:space="preserve">Cooper c. </w:t>
      </w:r>
      <w:proofErr w:type="spellStart"/>
      <w:r w:rsidRPr="005767A4">
        <w:rPr>
          <w:rFonts w:cs="Times New Roman"/>
          <w:i/>
          <w:lang w:val="fr-CA"/>
        </w:rPr>
        <w:t>Fenwick</w:t>
      </w:r>
      <w:proofErr w:type="spellEnd"/>
      <w:r w:rsidRPr="005767A4">
        <w:rPr>
          <w:rFonts w:cs="Times New Roman"/>
          <w:lang w:val="fr-CA"/>
        </w:rPr>
        <w:t xml:space="preserve">, [1994] O.J. No. 2148 (QL) (Div. </w:t>
      </w:r>
      <w:proofErr w:type="spellStart"/>
      <w:r w:rsidRPr="005767A4">
        <w:rPr>
          <w:rFonts w:cs="Times New Roman"/>
          <w:lang w:val="fr-CA"/>
        </w:rPr>
        <w:t>gén</w:t>
      </w:r>
      <w:proofErr w:type="spellEnd"/>
      <w:r w:rsidRPr="005767A4">
        <w:rPr>
          <w:rFonts w:cs="Times New Roman"/>
          <w:lang w:val="fr-CA"/>
        </w:rPr>
        <w:t>.), par. 14</w:t>
      </w:r>
      <w:r w:rsidRPr="005767A4">
        <w:rPr>
          <w:rFonts w:cs="Times New Roman"/>
          <w:lang w:val="fr-CA"/>
        </w:rPr>
        <w:noBreakHyphen/>
        <w:t>15 et 21). Cela permettrait à Max, à Nathan et à Gloria de bénéficier de conseils impartiaux et judicieux concernant l’administration de la succession. Avec égards, ordonner une réparation différente simplement parce que la nomination d’un nouvel exécuteur testamentaire pourrait occasionner des coûts ou des délais ne constitue pas, à mon avis, une solution adéquate dans une telle situation.</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Pour ces motifs, j’estime que la Cour n’a pas compétence pour ordonner à Gloria d’exercer son pouvoir discrétionnaire d’exécutrice testamentaire d’une façon particulière.</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 xml:space="preserve">Toutefois, s’il est ordonné à Gloria de distribuer la propriété en nature et qu’elle est obligée de vendre sa part à Max, je suis d’accord avec le juge Brown que le prix de la vente devrait être établi en fonction de la valeur de la propriété à la date de l’ordonnance de notre Cour. J’ajouterais que l’imposition d’un prix de vente égal à la valeur de la propriété à cette date serait conforme aux volontés de la testatrice. En fait, cette dernière voulait que chaque enfant touche une part égale du reliquat de sa succession. Dans un marché à la hausse, permettre à Max d’acquérir un tiers de la propriété à un prix fondé sur une valeur passée ne respecte pas les volontés d’Elizabeth, </w:t>
      </w:r>
      <w:r w:rsidRPr="005767A4">
        <w:rPr>
          <w:rFonts w:cs="Times New Roman"/>
          <w:lang w:val="fr-CA"/>
        </w:rPr>
        <w:lastRenderedPageBreak/>
        <w:t>puisque Gloria obtiendra dans les faits moins qu’un tiers de la valeur actuelle de la succession et que, corollairement, Max recevra davantage.</w:t>
      </w:r>
    </w:p>
    <w:p w:rsidR="00987842" w:rsidRPr="005767A4" w:rsidRDefault="00987842" w:rsidP="00987842">
      <w:pPr>
        <w:pStyle w:val="ParaNoNdepar-AltN"/>
        <w:tabs>
          <w:tab w:val="clear" w:pos="1692"/>
          <w:tab w:val="num" w:pos="1152"/>
        </w:tabs>
        <w:ind w:left="0"/>
        <w:rPr>
          <w:rFonts w:cs="Times New Roman"/>
          <w:lang w:val="fr-CA"/>
        </w:rPr>
      </w:pPr>
      <w:r w:rsidRPr="005767A4">
        <w:rPr>
          <w:rFonts w:cs="Times New Roman"/>
          <w:lang w:val="fr-CA"/>
        </w:rPr>
        <w:t>J’accueillerais le pourvoi en partie.</w:t>
      </w:r>
    </w:p>
    <w:p w:rsidR="004D7D95" w:rsidRPr="00FB1170" w:rsidRDefault="00315190" w:rsidP="00657141">
      <w:pPr>
        <w:pStyle w:val="SCCNormalDoubleSpacing"/>
        <w:spacing w:before="480" w:after="480"/>
        <w:rPr>
          <w:lang w:val="fr-CA"/>
        </w:rPr>
      </w:pPr>
      <w:r w:rsidRPr="00FB1170">
        <w:rPr>
          <w:lang w:val="fr-CA"/>
        </w:rPr>
        <w:tab/>
      </w:r>
      <w:r w:rsidRPr="001245A6">
        <w:rPr>
          <w:i/>
          <w:lang w:val="fr-CA"/>
        </w:rPr>
        <w:t xml:space="preserve">Pourvoi </w:t>
      </w:r>
      <w:r w:rsidR="001245A6" w:rsidRPr="001245A6">
        <w:rPr>
          <w:i/>
          <w:lang w:val="fr-CA"/>
        </w:rPr>
        <w:t xml:space="preserve">accueilli </w:t>
      </w:r>
      <w:r w:rsidR="0011485E" w:rsidRPr="001245A6">
        <w:rPr>
          <w:i/>
          <w:lang w:val="fr-CA"/>
        </w:rPr>
        <w:t xml:space="preserve">avec dépens </w:t>
      </w:r>
      <w:r w:rsidR="00726379" w:rsidRPr="001245A6">
        <w:rPr>
          <w:i/>
          <w:lang w:val="fr-CA"/>
        </w:rPr>
        <w:t>devant</w:t>
      </w:r>
      <w:r w:rsidR="0011485E" w:rsidRPr="001245A6">
        <w:rPr>
          <w:i/>
          <w:lang w:val="fr-CA"/>
        </w:rPr>
        <w:t xml:space="preserve"> toutes les cours</w:t>
      </w:r>
      <w:r w:rsidRPr="001245A6">
        <w:rPr>
          <w:i/>
          <w:lang w:val="fr-CA"/>
        </w:rPr>
        <w:t>.</w:t>
      </w:r>
      <w:r w:rsidRPr="00FB1170">
        <w:rPr>
          <w:i/>
          <w:lang w:val="fr-CA"/>
        </w:rPr>
        <w:t xml:space="preserve"> </w:t>
      </w:r>
    </w:p>
    <w:p w:rsidR="00631C00" w:rsidRPr="00BF43A6" w:rsidRDefault="00315190" w:rsidP="00657141">
      <w:pPr>
        <w:pStyle w:val="SCCLawFirm"/>
        <w:spacing w:before="480" w:after="480"/>
        <w:rPr>
          <w:lang w:val="en-US"/>
        </w:rPr>
      </w:pPr>
      <w:r w:rsidRPr="00FB1170">
        <w:rPr>
          <w:lang w:val="fr-CA"/>
        </w:rPr>
        <w:tab/>
      </w:r>
      <w:proofErr w:type="spellStart"/>
      <w:r w:rsidRPr="00BF43A6">
        <w:rPr>
          <w:lang w:val="en-US"/>
        </w:rPr>
        <w:t>Procureurs</w:t>
      </w:r>
      <w:proofErr w:type="spellEnd"/>
      <w:r w:rsidR="006C3EDA" w:rsidRPr="00BF43A6">
        <w:rPr>
          <w:lang w:val="en-US"/>
        </w:rPr>
        <w:t xml:space="preserve"> de </w:t>
      </w:r>
      <w:proofErr w:type="spellStart"/>
      <w:proofErr w:type="gramStart"/>
      <w:r w:rsidR="006C3EDA" w:rsidRPr="00BF43A6">
        <w:rPr>
          <w:lang w:val="en-US"/>
        </w:rPr>
        <w:t>l</w:t>
      </w:r>
      <w:r w:rsidR="001A0CBA" w:rsidRPr="00BF43A6">
        <w:rPr>
          <w:lang w:val="en-US"/>
        </w:rPr>
        <w:t>’</w:t>
      </w:r>
      <w:r w:rsidRPr="00BF43A6">
        <w:rPr>
          <w:lang w:val="en-US"/>
        </w:rPr>
        <w:t>appelant</w:t>
      </w:r>
      <w:proofErr w:type="spellEnd"/>
      <w:r w:rsidR="00657141" w:rsidRPr="00BF43A6">
        <w:rPr>
          <w:lang w:val="en-US"/>
        </w:rPr>
        <w:t> :</w:t>
      </w:r>
      <w:proofErr w:type="gramEnd"/>
      <w:r w:rsidR="00657141" w:rsidRPr="00BF43A6">
        <w:rPr>
          <w:lang w:val="en-US"/>
        </w:rPr>
        <w:t> </w:t>
      </w:r>
      <w:r w:rsidR="006C3EDA" w:rsidRPr="00BF43A6">
        <w:rPr>
          <w:lang w:val="en-US"/>
        </w:rPr>
        <w:t>League and Williams, Victoria</w:t>
      </w:r>
      <w:r w:rsidRPr="00BF43A6">
        <w:rPr>
          <w:lang w:val="en-US"/>
        </w:rPr>
        <w:t>; Vandergrift Legal, Ottawa; Supreme Law Group, Ottawa</w:t>
      </w:r>
      <w:r w:rsidR="006C3EDA" w:rsidRPr="00BF43A6">
        <w:rPr>
          <w:lang w:val="en-US"/>
        </w:rPr>
        <w:t>.</w:t>
      </w:r>
    </w:p>
    <w:p w:rsidR="00631C00" w:rsidRPr="00FB1170" w:rsidRDefault="006C3EDA">
      <w:pPr>
        <w:pStyle w:val="SCCLawFirm"/>
        <w:rPr>
          <w:lang w:val="fr-CA"/>
        </w:rPr>
      </w:pPr>
      <w:r w:rsidRPr="00BF43A6">
        <w:rPr>
          <w:lang w:val="en-US"/>
        </w:rPr>
        <w:tab/>
      </w:r>
      <w:r w:rsidR="00315190" w:rsidRPr="00EC0B2C">
        <w:rPr>
          <w:lang w:val="fr-CA"/>
        </w:rPr>
        <w:t xml:space="preserve">Procureurs </w:t>
      </w:r>
      <w:r w:rsidR="00C94353" w:rsidRPr="00EC0B2C">
        <w:rPr>
          <w:lang w:val="fr-CA"/>
        </w:rPr>
        <w:t>de l’intimée</w:t>
      </w:r>
      <w:r w:rsidR="00657141" w:rsidRPr="00FB1170">
        <w:rPr>
          <w:lang w:val="fr-CA"/>
        </w:rPr>
        <w:t> : </w:t>
      </w:r>
      <w:r w:rsidRPr="00FB1170">
        <w:rPr>
          <w:lang w:val="fr-CA"/>
        </w:rPr>
        <w:t xml:space="preserve">Hunter </w:t>
      </w:r>
      <w:proofErr w:type="spellStart"/>
      <w:r w:rsidRPr="00FB1170">
        <w:rPr>
          <w:lang w:val="fr-CA"/>
        </w:rPr>
        <w:t>Litigation</w:t>
      </w:r>
      <w:proofErr w:type="spellEnd"/>
      <w:r w:rsidRPr="00FB1170">
        <w:rPr>
          <w:lang w:val="fr-CA"/>
        </w:rPr>
        <w:t xml:space="preserve"> Chambers, Vancouver.</w:t>
      </w:r>
    </w:p>
    <w:sectPr w:rsidR="00631C00" w:rsidRPr="00FB1170"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FC" w:rsidRDefault="00837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FC" w:rsidRDefault="00837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FC" w:rsidRDefault="0083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FC" w:rsidRDefault="00837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FC" w:rsidRDefault="0083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C80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B1B27"/>
    <w:multiLevelType w:val="hybridMultilevel"/>
    <w:tmpl w:val="9F32B22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7A060E"/>
    <w:multiLevelType w:val="hybridMultilevel"/>
    <w:tmpl w:val="04580DE2"/>
    <w:lvl w:ilvl="0" w:tplc="1009001B">
      <w:start w:val="1"/>
      <w:numFmt w:val="lowerRoman"/>
      <w:lvlText w:val="%1."/>
      <w:lvlJc w:val="right"/>
      <w:pPr>
        <w:ind w:left="1886" w:hanging="360"/>
      </w:pPr>
      <w:rPr>
        <w:rFont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59E0413E"/>
    <w:lvl w:ilvl="0">
      <w:start w:val="1"/>
      <w:numFmt w:val="decimal"/>
      <w:pStyle w:val="ParaNoNdepar-AltN"/>
      <w:lvlText w:val="[%1]"/>
      <w:lvlJc w:val="left"/>
      <w:pPr>
        <w:tabs>
          <w:tab w:val="num" w:pos="1692"/>
        </w:tabs>
        <w:ind w:left="540" w:firstLine="0"/>
      </w:pPr>
      <w:rPr>
        <w:rFonts w:ascii="Times New Roman" w:hAnsi="Times New Roman" w:hint="default"/>
        <w:b w:val="0"/>
        <w:sz w:val="24"/>
        <w:lang w:val="en-US"/>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ascii="Times New Roman" w:eastAsia="Times New Roman" w:hAnsi="Times New Roman" w:cs="Times New Roman"/>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9" w15:restartNumberingAfterBreak="0">
    <w:nsid w:val="5D49040E"/>
    <w:multiLevelType w:val="hybridMultilevel"/>
    <w:tmpl w:val="7F788C7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483E44"/>
    <w:multiLevelType w:val="hybridMultilevel"/>
    <w:tmpl w:val="0436FB52"/>
    <w:lvl w:ilvl="0" w:tplc="1009000F">
      <w:start w:val="1"/>
      <w:numFmt w:val="decimal"/>
      <w:lvlText w:val="%1."/>
      <w:lvlJc w:val="left"/>
      <w:pPr>
        <w:ind w:left="1886" w:hanging="360"/>
      </w:pPr>
      <w:rPr>
        <w:rFont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7FF77A99"/>
    <w:multiLevelType w:val="hybridMultilevel"/>
    <w:tmpl w:val="0230670C"/>
    <w:lvl w:ilvl="0" w:tplc="1009000F">
      <w:start w:val="1"/>
      <w:numFmt w:val="decimal"/>
      <w:lvlText w:val="%1."/>
      <w:lvlJc w:val="left"/>
      <w:pPr>
        <w:ind w:left="1886" w:hanging="360"/>
      </w:pPr>
      <w:rPr>
        <w:rFont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8"/>
  </w:num>
  <w:num w:numId="2">
    <w:abstractNumId w:val="8"/>
  </w:num>
  <w:num w:numId="3">
    <w:abstractNumId w:val="8"/>
  </w:num>
  <w:num w:numId="4">
    <w:abstractNumId w:val="10"/>
  </w:num>
  <w:num w:numId="5">
    <w:abstractNumId w:val="3"/>
  </w:num>
  <w:num w:numId="6">
    <w:abstractNumId w:val="2"/>
  </w:num>
  <w:num w:numId="7">
    <w:abstractNumId w:val="6"/>
  </w:num>
  <w:num w:numId="8">
    <w:abstractNumId w:val="7"/>
  </w:num>
  <w:num w:numId="9">
    <w:abstractNumId w:val="5"/>
  </w:num>
  <w:num w:numId="10">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
  </w:num>
  <w:num w:numId="12">
    <w:abstractNumId w:val="9"/>
  </w:num>
  <w:num w:numId="13">
    <w:abstractNumId w:val="12"/>
  </w:num>
  <w:num w:numId="14">
    <w:abstractNumId w:val="4"/>
  </w:num>
  <w:num w:numId="15">
    <w:abstractNumId w:val="5"/>
    <w:lvlOverride w:ilvl="0">
      <w:startOverride w:val="1"/>
    </w:lvlOverride>
    <w:lvlOverride w:ilvl="1">
      <w:startOverride w:val="1"/>
    </w:lvlOverride>
  </w:num>
  <w:num w:numId="16">
    <w:abstractNumId w:val="11"/>
  </w:num>
  <w:num w:numId="17">
    <w:abstractNumId w:val="0"/>
  </w:num>
  <w:num w:numId="18">
    <w:abstractNumId w:val="8"/>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4E04"/>
    <w:rsid w:val="00045945"/>
    <w:rsid w:val="000578A3"/>
    <w:rsid w:val="000648CC"/>
    <w:rsid w:val="00067B60"/>
    <w:rsid w:val="0007537A"/>
    <w:rsid w:val="000822E7"/>
    <w:rsid w:val="000C59B8"/>
    <w:rsid w:val="000C6AF0"/>
    <w:rsid w:val="000D0A77"/>
    <w:rsid w:val="000D29B9"/>
    <w:rsid w:val="000D51EC"/>
    <w:rsid w:val="000F7993"/>
    <w:rsid w:val="001036D1"/>
    <w:rsid w:val="00104F33"/>
    <w:rsid w:val="00111DE2"/>
    <w:rsid w:val="0011485E"/>
    <w:rsid w:val="00116B38"/>
    <w:rsid w:val="0012059D"/>
    <w:rsid w:val="001245A6"/>
    <w:rsid w:val="0012490E"/>
    <w:rsid w:val="00135406"/>
    <w:rsid w:val="00135972"/>
    <w:rsid w:val="001426A9"/>
    <w:rsid w:val="00154D7C"/>
    <w:rsid w:val="001570B0"/>
    <w:rsid w:val="0015752C"/>
    <w:rsid w:val="00157737"/>
    <w:rsid w:val="00165277"/>
    <w:rsid w:val="00170592"/>
    <w:rsid w:val="001720F7"/>
    <w:rsid w:val="00195D83"/>
    <w:rsid w:val="001A00C1"/>
    <w:rsid w:val="001A0CBA"/>
    <w:rsid w:val="001B33E0"/>
    <w:rsid w:val="001B4573"/>
    <w:rsid w:val="001B533C"/>
    <w:rsid w:val="001C779F"/>
    <w:rsid w:val="001D2AC1"/>
    <w:rsid w:val="001D4E88"/>
    <w:rsid w:val="00220FC2"/>
    <w:rsid w:val="002222F4"/>
    <w:rsid w:val="00223353"/>
    <w:rsid w:val="00224FC0"/>
    <w:rsid w:val="00225EA4"/>
    <w:rsid w:val="00226EAF"/>
    <w:rsid w:val="00231F3A"/>
    <w:rsid w:val="0023482D"/>
    <w:rsid w:val="002406EE"/>
    <w:rsid w:val="00243EC8"/>
    <w:rsid w:val="00262452"/>
    <w:rsid w:val="00263D79"/>
    <w:rsid w:val="00270D93"/>
    <w:rsid w:val="00273AE4"/>
    <w:rsid w:val="002745CC"/>
    <w:rsid w:val="002A23B8"/>
    <w:rsid w:val="002A6CD7"/>
    <w:rsid w:val="002B6DCE"/>
    <w:rsid w:val="002B6FBE"/>
    <w:rsid w:val="002B7924"/>
    <w:rsid w:val="002C10A6"/>
    <w:rsid w:val="002C2CBC"/>
    <w:rsid w:val="002D28C3"/>
    <w:rsid w:val="002D2A69"/>
    <w:rsid w:val="002D3453"/>
    <w:rsid w:val="002D39A4"/>
    <w:rsid w:val="002E6705"/>
    <w:rsid w:val="002F111F"/>
    <w:rsid w:val="00302181"/>
    <w:rsid w:val="0030329A"/>
    <w:rsid w:val="0031086F"/>
    <w:rsid w:val="0031414C"/>
    <w:rsid w:val="00314E01"/>
    <w:rsid w:val="00315190"/>
    <w:rsid w:val="0032089D"/>
    <w:rsid w:val="003310DE"/>
    <w:rsid w:val="003323B0"/>
    <w:rsid w:val="00332C09"/>
    <w:rsid w:val="00340A49"/>
    <w:rsid w:val="0035169A"/>
    <w:rsid w:val="0035259D"/>
    <w:rsid w:val="00364B18"/>
    <w:rsid w:val="003A125D"/>
    <w:rsid w:val="003A2931"/>
    <w:rsid w:val="003A4C70"/>
    <w:rsid w:val="003B215F"/>
    <w:rsid w:val="003B371C"/>
    <w:rsid w:val="003C799C"/>
    <w:rsid w:val="003D0399"/>
    <w:rsid w:val="003E1C71"/>
    <w:rsid w:val="003E4135"/>
    <w:rsid w:val="003F327B"/>
    <w:rsid w:val="00406166"/>
    <w:rsid w:val="0040704B"/>
    <w:rsid w:val="0041054C"/>
    <w:rsid w:val="00410A55"/>
    <w:rsid w:val="00411300"/>
    <w:rsid w:val="00413F17"/>
    <w:rsid w:val="00415417"/>
    <w:rsid w:val="00425E62"/>
    <w:rsid w:val="00426659"/>
    <w:rsid w:val="00446537"/>
    <w:rsid w:val="00450352"/>
    <w:rsid w:val="00454BDB"/>
    <w:rsid w:val="00465132"/>
    <w:rsid w:val="00474D30"/>
    <w:rsid w:val="00480C90"/>
    <w:rsid w:val="0048396F"/>
    <w:rsid w:val="00483A3E"/>
    <w:rsid w:val="00493C18"/>
    <w:rsid w:val="004A600C"/>
    <w:rsid w:val="004A6118"/>
    <w:rsid w:val="004B15FC"/>
    <w:rsid w:val="004C478D"/>
    <w:rsid w:val="004D7D95"/>
    <w:rsid w:val="004E26EF"/>
    <w:rsid w:val="004E2C26"/>
    <w:rsid w:val="00504C12"/>
    <w:rsid w:val="005125A8"/>
    <w:rsid w:val="00516891"/>
    <w:rsid w:val="00517549"/>
    <w:rsid w:val="00520ABC"/>
    <w:rsid w:val="00521AE8"/>
    <w:rsid w:val="0052694C"/>
    <w:rsid w:val="00527180"/>
    <w:rsid w:val="0055250A"/>
    <w:rsid w:val="00555291"/>
    <w:rsid w:val="00557642"/>
    <w:rsid w:val="00562B58"/>
    <w:rsid w:val="00566AD1"/>
    <w:rsid w:val="005747BB"/>
    <w:rsid w:val="00583EDE"/>
    <w:rsid w:val="005A3CDA"/>
    <w:rsid w:val="005A6079"/>
    <w:rsid w:val="005D7F22"/>
    <w:rsid w:val="005E450E"/>
    <w:rsid w:val="005E4698"/>
    <w:rsid w:val="00602699"/>
    <w:rsid w:val="00603924"/>
    <w:rsid w:val="00610539"/>
    <w:rsid w:val="00613969"/>
    <w:rsid w:val="00622552"/>
    <w:rsid w:val="00625C35"/>
    <w:rsid w:val="00631C00"/>
    <w:rsid w:val="00647E49"/>
    <w:rsid w:val="00656313"/>
    <w:rsid w:val="006565F4"/>
    <w:rsid w:val="00657141"/>
    <w:rsid w:val="00663DEF"/>
    <w:rsid w:val="00671A4E"/>
    <w:rsid w:val="00675584"/>
    <w:rsid w:val="00684EEA"/>
    <w:rsid w:val="0069689B"/>
    <w:rsid w:val="00697A9F"/>
    <w:rsid w:val="006A36E9"/>
    <w:rsid w:val="006B0E83"/>
    <w:rsid w:val="006B5FF5"/>
    <w:rsid w:val="006C3EDA"/>
    <w:rsid w:val="006D3812"/>
    <w:rsid w:val="006E2AC7"/>
    <w:rsid w:val="006E61CE"/>
    <w:rsid w:val="006F30AF"/>
    <w:rsid w:val="00701759"/>
    <w:rsid w:val="00705C15"/>
    <w:rsid w:val="00710824"/>
    <w:rsid w:val="007110F6"/>
    <w:rsid w:val="00716D65"/>
    <w:rsid w:val="00717BCA"/>
    <w:rsid w:val="007208D1"/>
    <w:rsid w:val="00726379"/>
    <w:rsid w:val="007312D5"/>
    <w:rsid w:val="00737F23"/>
    <w:rsid w:val="00744518"/>
    <w:rsid w:val="00747288"/>
    <w:rsid w:val="00747DD3"/>
    <w:rsid w:val="00752A95"/>
    <w:rsid w:val="007549C8"/>
    <w:rsid w:val="00766D14"/>
    <w:rsid w:val="00767A0F"/>
    <w:rsid w:val="00791272"/>
    <w:rsid w:val="007A05F6"/>
    <w:rsid w:val="007A343E"/>
    <w:rsid w:val="007B6F4A"/>
    <w:rsid w:val="007D3EA1"/>
    <w:rsid w:val="007E1C47"/>
    <w:rsid w:val="007E337A"/>
    <w:rsid w:val="007E5C70"/>
    <w:rsid w:val="007F2FF5"/>
    <w:rsid w:val="007F3F08"/>
    <w:rsid w:val="007F7739"/>
    <w:rsid w:val="00804CC6"/>
    <w:rsid w:val="00816721"/>
    <w:rsid w:val="00817190"/>
    <w:rsid w:val="0082083C"/>
    <w:rsid w:val="008260E2"/>
    <w:rsid w:val="008322BD"/>
    <w:rsid w:val="00834F73"/>
    <w:rsid w:val="008372FC"/>
    <w:rsid w:val="0085182C"/>
    <w:rsid w:val="00864C8A"/>
    <w:rsid w:val="00864CF8"/>
    <w:rsid w:val="00874914"/>
    <w:rsid w:val="00891422"/>
    <w:rsid w:val="00892E1A"/>
    <w:rsid w:val="008B660A"/>
    <w:rsid w:val="008C01DA"/>
    <w:rsid w:val="008E0F83"/>
    <w:rsid w:val="008E631A"/>
    <w:rsid w:val="008F0A29"/>
    <w:rsid w:val="008F184E"/>
    <w:rsid w:val="008F2674"/>
    <w:rsid w:val="008F78E9"/>
    <w:rsid w:val="00904AB0"/>
    <w:rsid w:val="009179F9"/>
    <w:rsid w:val="00917C7A"/>
    <w:rsid w:val="00933E5E"/>
    <w:rsid w:val="00935218"/>
    <w:rsid w:val="00937C52"/>
    <w:rsid w:val="009403F3"/>
    <w:rsid w:val="00944D1A"/>
    <w:rsid w:val="009555B7"/>
    <w:rsid w:val="009567AA"/>
    <w:rsid w:val="009602C9"/>
    <w:rsid w:val="00967374"/>
    <w:rsid w:val="009770C4"/>
    <w:rsid w:val="009815D4"/>
    <w:rsid w:val="00987842"/>
    <w:rsid w:val="00991C5B"/>
    <w:rsid w:val="009A20B1"/>
    <w:rsid w:val="009A343A"/>
    <w:rsid w:val="009A6BAE"/>
    <w:rsid w:val="009B2F23"/>
    <w:rsid w:val="009B57B3"/>
    <w:rsid w:val="009B5F8D"/>
    <w:rsid w:val="009D2920"/>
    <w:rsid w:val="009D5AEB"/>
    <w:rsid w:val="009E5033"/>
    <w:rsid w:val="009E517F"/>
    <w:rsid w:val="009F0E33"/>
    <w:rsid w:val="00A001DC"/>
    <w:rsid w:val="00A149DF"/>
    <w:rsid w:val="00A1755C"/>
    <w:rsid w:val="00A21B90"/>
    <w:rsid w:val="00A22AAC"/>
    <w:rsid w:val="00A34177"/>
    <w:rsid w:val="00A41805"/>
    <w:rsid w:val="00A51882"/>
    <w:rsid w:val="00A52AFB"/>
    <w:rsid w:val="00A548CB"/>
    <w:rsid w:val="00A5521C"/>
    <w:rsid w:val="00A643E7"/>
    <w:rsid w:val="00A656B0"/>
    <w:rsid w:val="00A73C38"/>
    <w:rsid w:val="00A921A7"/>
    <w:rsid w:val="00A97DAA"/>
    <w:rsid w:val="00AA4305"/>
    <w:rsid w:val="00AB670D"/>
    <w:rsid w:val="00AB7C67"/>
    <w:rsid w:val="00AC3261"/>
    <w:rsid w:val="00AF03C5"/>
    <w:rsid w:val="00B000D8"/>
    <w:rsid w:val="00B00F75"/>
    <w:rsid w:val="00B01925"/>
    <w:rsid w:val="00B05C01"/>
    <w:rsid w:val="00B145B6"/>
    <w:rsid w:val="00B279EB"/>
    <w:rsid w:val="00B50C81"/>
    <w:rsid w:val="00B557F8"/>
    <w:rsid w:val="00B730ED"/>
    <w:rsid w:val="00B815FC"/>
    <w:rsid w:val="00B93FBC"/>
    <w:rsid w:val="00B95E67"/>
    <w:rsid w:val="00BA7DA0"/>
    <w:rsid w:val="00BB0A61"/>
    <w:rsid w:val="00BB2EE4"/>
    <w:rsid w:val="00BB4C92"/>
    <w:rsid w:val="00BC2108"/>
    <w:rsid w:val="00BD077E"/>
    <w:rsid w:val="00BD0E9E"/>
    <w:rsid w:val="00BD1BEC"/>
    <w:rsid w:val="00BD32FF"/>
    <w:rsid w:val="00BF43A6"/>
    <w:rsid w:val="00BF6FE9"/>
    <w:rsid w:val="00C02092"/>
    <w:rsid w:val="00C24D91"/>
    <w:rsid w:val="00C26DB2"/>
    <w:rsid w:val="00C272CD"/>
    <w:rsid w:val="00C44F8F"/>
    <w:rsid w:val="00C53F14"/>
    <w:rsid w:val="00C600CF"/>
    <w:rsid w:val="00C6084F"/>
    <w:rsid w:val="00C62A66"/>
    <w:rsid w:val="00C66359"/>
    <w:rsid w:val="00C71458"/>
    <w:rsid w:val="00C74E55"/>
    <w:rsid w:val="00C76981"/>
    <w:rsid w:val="00C77613"/>
    <w:rsid w:val="00C828E7"/>
    <w:rsid w:val="00C8312A"/>
    <w:rsid w:val="00C86719"/>
    <w:rsid w:val="00C921DD"/>
    <w:rsid w:val="00C94353"/>
    <w:rsid w:val="00CA6391"/>
    <w:rsid w:val="00CB373B"/>
    <w:rsid w:val="00CC0C18"/>
    <w:rsid w:val="00CE036E"/>
    <w:rsid w:val="00CE3171"/>
    <w:rsid w:val="00CE319E"/>
    <w:rsid w:val="00CF1601"/>
    <w:rsid w:val="00CF7607"/>
    <w:rsid w:val="00D0172F"/>
    <w:rsid w:val="00D01E33"/>
    <w:rsid w:val="00D068A7"/>
    <w:rsid w:val="00D17476"/>
    <w:rsid w:val="00D17B0E"/>
    <w:rsid w:val="00D32086"/>
    <w:rsid w:val="00D37A3F"/>
    <w:rsid w:val="00D4431D"/>
    <w:rsid w:val="00D45562"/>
    <w:rsid w:val="00D4667A"/>
    <w:rsid w:val="00D63A1C"/>
    <w:rsid w:val="00D7516F"/>
    <w:rsid w:val="00D95F8E"/>
    <w:rsid w:val="00DA0590"/>
    <w:rsid w:val="00DA2ECD"/>
    <w:rsid w:val="00DA3751"/>
    <w:rsid w:val="00DA52B6"/>
    <w:rsid w:val="00DA54A4"/>
    <w:rsid w:val="00DC0BF3"/>
    <w:rsid w:val="00DC1739"/>
    <w:rsid w:val="00DC1788"/>
    <w:rsid w:val="00DE319C"/>
    <w:rsid w:val="00DF0CA8"/>
    <w:rsid w:val="00DF2B48"/>
    <w:rsid w:val="00DF4721"/>
    <w:rsid w:val="00DF49A7"/>
    <w:rsid w:val="00DF71A6"/>
    <w:rsid w:val="00E07EE2"/>
    <w:rsid w:val="00E07FD1"/>
    <w:rsid w:val="00E24573"/>
    <w:rsid w:val="00E25E1E"/>
    <w:rsid w:val="00E27EE7"/>
    <w:rsid w:val="00E31F4B"/>
    <w:rsid w:val="00E342B8"/>
    <w:rsid w:val="00E35404"/>
    <w:rsid w:val="00E36765"/>
    <w:rsid w:val="00E45109"/>
    <w:rsid w:val="00E46B70"/>
    <w:rsid w:val="00E47B7A"/>
    <w:rsid w:val="00E56A44"/>
    <w:rsid w:val="00E60269"/>
    <w:rsid w:val="00E656EC"/>
    <w:rsid w:val="00E71810"/>
    <w:rsid w:val="00E82AB7"/>
    <w:rsid w:val="00E94394"/>
    <w:rsid w:val="00E97830"/>
    <w:rsid w:val="00EC0B2C"/>
    <w:rsid w:val="00EC3DB8"/>
    <w:rsid w:val="00EE0830"/>
    <w:rsid w:val="00EE6CB8"/>
    <w:rsid w:val="00EF0683"/>
    <w:rsid w:val="00F0070C"/>
    <w:rsid w:val="00F00EB7"/>
    <w:rsid w:val="00F020EE"/>
    <w:rsid w:val="00F36AB6"/>
    <w:rsid w:val="00F37A09"/>
    <w:rsid w:val="00F409CE"/>
    <w:rsid w:val="00F4379D"/>
    <w:rsid w:val="00F43C2F"/>
    <w:rsid w:val="00F50D2D"/>
    <w:rsid w:val="00F50EC6"/>
    <w:rsid w:val="00F56C8B"/>
    <w:rsid w:val="00F62639"/>
    <w:rsid w:val="00F66810"/>
    <w:rsid w:val="00F77ED8"/>
    <w:rsid w:val="00F84DF4"/>
    <w:rsid w:val="00F84E8F"/>
    <w:rsid w:val="00F85C97"/>
    <w:rsid w:val="00F914B4"/>
    <w:rsid w:val="00FB1170"/>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671A4E"/>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87842"/>
    <w:pPr>
      <w:spacing w:after="480"/>
    </w:pPr>
    <w:rPr>
      <w:rFonts w:eastAsiaTheme="minorHAnsi" w:cstheme="minorBidi"/>
      <w:szCs w:val="22"/>
      <w:lang w:eastAsia="en-US"/>
    </w:rPr>
  </w:style>
  <w:style w:type="paragraph" w:customStyle="1" w:styleId="SCCCoram">
    <w:name w:val="SCC.Coram"/>
    <w:basedOn w:val="Normal"/>
    <w:next w:val="Normal"/>
    <w:link w:val="SCCCoramChar"/>
    <w:rsid w:val="0098784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8784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87842"/>
    <w:rPr>
      <w:rFonts w:eastAsiaTheme="minorHAnsi" w:cstheme="minorBidi"/>
      <w:sz w:val="24"/>
      <w:szCs w:val="22"/>
      <w:lang w:eastAsia="en-US"/>
    </w:rPr>
  </w:style>
  <w:style w:type="character" w:customStyle="1" w:styleId="SCCBanSummaryChar">
    <w:name w:val="SCC.BanSummary Char"/>
    <w:basedOn w:val="DefaultParagraphFont"/>
    <w:link w:val="SCCBanSummary"/>
    <w:rsid w:val="00987842"/>
    <w:rPr>
      <w:b/>
      <w:sz w:val="24"/>
    </w:rPr>
  </w:style>
  <w:style w:type="table" w:styleId="TableGrid">
    <w:name w:val="Table Grid"/>
    <w:basedOn w:val="TableNormal"/>
    <w:uiPriority w:val="59"/>
    <w:rsid w:val="0098784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8784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8784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8784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87842"/>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8784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87842"/>
    <w:pPr>
      <w:numPr>
        <w:ilvl w:val="2"/>
      </w:numPr>
      <w:outlineLvl w:val="2"/>
    </w:pPr>
  </w:style>
  <w:style w:type="paragraph" w:customStyle="1" w:styleId="Title4LevelTitre4Niveau">
    <w:name w:val="Title 4 Level / Titre 4 Niveau"/>
    <w:basedOn w:val="Title3LevelTitre3Niveau"/>
    <w:next w:val="ParaNoNdepar-AltN"/>
    <w:uiPriority w:val="4"/>
    <w:qFormat/>
    <w:rsid w:val="0098784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87842"/>
    <w:pPr>
      <w:numPr>
        <w:ilvl w:val="4"/>
      </w:numPr>
      <w:outlineLvl w:val="4"/>
    </w:pPr>
  </w:style>
  <w:style w:type="paragraph" w:styleId="TOC1">
    <w:name w:val="toc 1"/>
    <w:basedOn w:val="Normal"/>
    <w:next w:val="Normal"/>
    <w:autoRedefine/>
    <w:uiPriority w:val="39"/>
    <w:unhideWhenUsed/>
    <w:rsid w:val="0098784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8784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8784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8784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8784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87842"/>
    <w:pPr>
      <w:tabs>
        <w:tab w:val="left" w:pos="2160"/>
        <w:tab w:val="right" w:leader="dot" w:pos="8270"/>
      </w:tabs>
      <w:spacing w:after="100"/>
      <w:ind w:left="1800"/>
    </w:pPr>
    <w:rPr>
      <w:noProof/>
    </w:rPr>
  </w:style>
  <w:style w:type="table" w:customStyle="1" w:styleId="TableGrid1">
    <w:name w:val="Table Grid1"/>
    <w:basedOn w:val="TableNormal"/>
    <w:uiPriority w:val="59"/>
    <w:rsid w:val="0098784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8784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87842"/>
    <w:pPr>
      <w:numPr>
        <w:ilvl w:val="5"/>
      </w:numPr>
      <w:outlineLvl w:val="5"/>
    </w:pPr>
    <w:rPr>
      <w:i/>
      <w:u w:val="none"/>
    </w:rPr>
  </w:style>
  <w:style w:type="paragraph" w:styleId="FootnoteText">
    <w:name w:val="footnote text"/>
    <w:basedOn w:val="Normal"/>
    <w:link w:val="FootnoteTextChar"/>
    <w:uiPriority w:val="99"/>
    <w:unhideWhenUsed/>
    <w:rsid w:val="0098784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87842"/>
  </w:style>
  <w:style w:type="character" w:styleId="FootnoteReference">
    <w:name w:val="footnote reference"/>
    <w:basedOn w:val="DefaultParagraphFont"/>
    <w:uiPriority w:val="99"/>
    <w:semiHidden/>
    <w:unhideWhenUsed/>
    <w:rsid w:val="00987842"/>
    <w:rPr>
      <w:vertAlign w:val="superscript"/>
    </w:rPr>
  </w:style>
  <w:style w:type="character" w:styleId="Hyperlink">
    <w:name w:val="Hyperlink"/>
    <w:basedOn w:val="DefaultParagraphFont"/>
    <w:uiPriority w:val="99"/>
    <w:unhideWhenUsed/>
    <w:rsid w:val="00987842"/>
    <w:rPr>
      <w:color w:val="0000FF" w:themeColor="hyperlink"/>
      <w:u w:val="single"/>
    </w:rPr>
  </w:style>
  <w:style w:type="paragraph" w:styleId="ListParagraph">
    <w:name w:val="List Paragraph"/>
    <w:basedOn w:val="Normal"/>
    <w:uiPriority w:val="34"/>
    <w:rsid w:val="00987842"/>
    <w:pPr>
      <w:ind w:left="720"/>
      <w:contextualSpacing/>
    </w:pPr>
    <w:rPr>
      <w:szCs w:val="24"/>
    </w:rPr>
  </w:style>
  <w:style w:type="character" w:styleId="CommentReference">
    <w:name w:val="annotation reference"/>
    <w:basedOn w:val="DefaultParagraphFont"/>
    <w:uiPriority w:val="99"/>
    <w:semiHidden/>
    <w:unhideWhenUsed/>
    <w:rsid w:val="00987842"/>
    <w:rPr>
      <w:sz w:val="16"/>
      <w:szCs w:val="16"/>
    </w:rPr>
  </w:style>
  <w:style w:type="paragraph" w:styleId="CommentText">
    <w:name w:val="annotation text"/>
    <w:basedOn w:val="Normal"/>
    <w:link w:val="CommentTextChar"/>
    <w:uiPriority w:val="99"/>
    <w:semiHidden/>
    <w:unhideWhenUsed/>
    <w:rsid w:val="00987842"/>
    <w:rPr>
      <w:sz w:val="20"/>
    </w:rPr>
  </w:style>
  <w:style w:type="character" w:customStyle="1" w:styleId="CommentTextChar">
    <w:name w:val="Comment Text Char"/>
    <w:basedOn w:val="DefaultParagraphFont"/>
    <w:link w:val="CommentText"/>
    <w:uiPriority w:val="99"/>
    <w:semiHidden/>
    <w:rsid w:val="00987842"/>
  </w:style>
  <w:style w:type="paragraph" w:styleId="CommentSubject">
    <w:name w:val="annotation subject"/>
    <w:basedOn w:val="CommentText"/>
    <w:next w:val="CommentText"/>
    <w:link w:val="CommentSubjectChar"/>
    <w:uiPriority w:val="99"/>
    <w:semiHidden/>
    <w:unhideWhenUsed/>
    <w:rsid w:val="00987842"/>
    <w:rPr>
      <w:b/>
      <w:bCs/>
    </w:rPr>
  </w:style>
  <w:style w:type="character" w:customStyle="1" w:styleId="CommentSubjectChar">
    <w:name w:val="Comment Subject Char"/>
    <w:basedOn w:val="CommentTextChar"/>
    <w:link w:val="CommentSubject"/>
    <w:uiPriority w:val="99"/>
    <w:semiHidden/>
    <w:rsid w:val="00987842"/>
    <w:rPr>
      <w:b/>
      <w:bCs/>
    </w:rPr>
  </w:style>
  <w:style w:type="paragraph" w:styleId="ListBullet">
    <w:name w:val="List Bullet"/>
    <w:basedOn w:val="Normal"/>
    <w:uiPriority w:val="99"/>
    <w:unhideWhenUsed/>
    <w:rsid w:val="00987842"/>
    <w:pPr>
      <w:numPr>
        <w:numId w:val="17"/>
      </w:numPr>
      <w:contextualSpacing/>
    </w:pPr>
    <w:rPr>
      <w:szCs w:val="24"/>
    </w:rPr>
  </w:style>
  <w:style w:type="table" w:customStyle="1" w:styleId="TableGrid2">
    <w:name w:val="Table Grid2"/>
    <w:basedOn w:val="TableNormal"/>
    <w:next w:val="TableGrid"/>
    <w:uiPriority w:val="59"/>
    <w:rsid w:val="0098784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63DEF"/>
    <w:rPr>
      <w:lang w:val="fr-CA"/>
    </w:rPr>
  </w:style>
  <w:style w:type="paragraph" w:customStyle="1" w:styleId="SCCLsocPrefix">
    <w:name w:val="SCC.Lsoc.Prefix"/>
    <w:basedOn w:val="Normal"/>
    <w:next w:val="Normal"/>
    <w:link w:val="SCCLsocPrefixChar"/>
    <w:rsid w:val="00663DE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63DE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2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15108</Words>
  <Characters>76045</Characters>
  <Application>Microsoft Office Word</Application>
  <DocSecurity>0</DocSecurity>
  <Lines>633</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2017-12-15T21:32:00Z</dcterms:created>
  <dcterms:modified xsi:type="dcterms:W3CDTF">2018-02-26T20:35:00Z</dcterms:modified>
</cp:coreProperties>
</file>