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8E" w:rsidRDefault="003E768E" w:rsidP="00835828">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25pt" o:ole="">
            <v:imagedata r:id="rId7" o:title=""/>
          </v:shape>
          <o:OLEObject Type="Embed" ProgID="Presentations.Drawing.13" ShapeID="_x0000_i1025" DrawAspect="Content" ObjectID="_1615030397" r:id="rId8"/>
        </w:object>
      </w:r>
      <w:bookmarkEnd w:id="0"/>
      <w:r>
        <w:t xml:space="preserve"> </w:t>
      </w:r>
      <w:r>
        <w:ptab w:relativeTo="margin" w:alignment="right" w:leader="none"/>
      </w:r>
    </w:p>
    <w:p w:rsidR="003E768E" w:rsidRDefault="003E768E" w:rsidP="003E768E">
      <w:pPr>
        <w:pStyle w:val="Header"/>
      </w:pPr>
    </w:p>
    <w:p w:rsidR="003E768E" w:rsidRPr="001E12E2" w:rsidRDefault="003E768E" w:rsidP="003E768E">
      <w:pPr>
        <w:jc w:val="center"/>
        <w:rPr>
          <w:b/>
        </w:rPr>
      </w:pPr>
      <w:r w:rsidRPr="001E12E2">
        <w:rPr>
          <w:b/>
        </w:rPr>
        <w:t>COUR SUPRÊME DU CANADA</w:t>
      </w:r>
    </w:p>
    <w:p w:rsidR="003E768E" w:rsidRDefault="003E768E" w:rsidP="003E768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3E768E" w:rsidRPr="001E12E2" w:rsidTr="00754E0E">
        <w:trPr>
          <w:cantSplit/>
        </w:trPr>
        <w:tc>
          <w:tcPr>
            <w:tcW w:w="5850" w:type="dxa"/>
          </w:tcPr>
          <w:p w:rsidR="003E768E" w:rsidRPr="003E768E" w:rsidRDefault="003E768E" w:rsidP="00754E0E">
            <w:pPr>
              <w:rPr>
                <w:lang w:val="fr-CA"/>
              </w:rPr>
            </w:pPr>
            <w:r w:rsidRPr="003E768E">
              <w:rPr>
                <w:b/>
                <w:smallCaps/>
                <w:lang w:val="fr-CA"/>
              </w:rPr>
              <w:t>Référence :</w:t>
            </w:r>
            <w:r w:rsidRPr="003E768E">
              <w:rPr>
                <w:lang w:val="fr-CA"/>
              </w:rPr>
              <w:t xml:space="preserve"> Delta Air Lines Inc. </w:t>
            </w:r>
            <w:r w:rsidRPr="003E768E">
              <w:rPr>
                <w:i/>
                <w:lang w:val="fr-CA"/>
              </w:rPr>
              <w:t>c.</w:t>
            </w:r>
            <w:r w:rsidRPr="003E768E">
              <w:rPr>
                <w:lang w:val="fr-CA"/>
              </w:rPr>
              <w:t xml:space="preserve"> Lukács, 2018 CSC 2</w:t>
            </w:r>
            <w:r>
              <w:rPr>
                <w:lang w:val="fr-CA"/>
              </w:rPr>
              <w:t>, [2018] 1 R.C.S. 6</w:t>
            </w:r>
          </w:p>
        </w:tc>
        <w:tc>
          <w:tcPr>
            <w:tcW w:w="3726" w:type="dxa"/>
          </w:tcPr>
          <w:p w:rsidR="003E768E" w:rsidRPr="003E768E" w:rsidRDefault="003E768E" w:rsidP="00754E0E">
            <w:pPr>
              <w:rPr>
                <w:lang w:val="fr-CA"/>
              </w:rPr>
            </w:pPr>
            <w:r w:rsidRPr="003E768E">
              <w:rPr>
                <w:b/>
                <w:smallCaps/>
                <w:lang w:val="fr-CA"/>
              </w:rPr>
              <w:t>Appel entendu :</w:t>
            </w:r>
            <w:r w:rsidRPr="003E768E">
              <w:rPr>
                <w:lang w:val="fr-CA"/>
              </w:rPr>
              <w:t xml:space="preserve"> 4 octobre 2017</w:t>
            </w:r>
          </w:p>
          <w:p w:rsidR="003E768E" w:rsidRPr="003E768E" w:rsidRDefault="003E768E" w:rsidP="00754E0E">
            <w:pPr>
              <w:rPr>
                <w:lang w:val="fr-CA"/>
              </w:rPr>
            </w:pPr>
            <w:r w:rsidRPr="003E768E">
              <w:rPr>
                <w:b/>
                <w:smallCaps/>
                <w:lang w:val="fr-CA"/>
              </w:rPr>
              <w:t>Jugement rendu :</w:t>
            </w:r>
            <w:r w:rsidRPr="003E768E">
              <w:rPr>
                <w:lang w:val="fr-CA"/>
              </w:rPr>
              <w:t xml:space="preserve"> 19 janvier 2018</w:t>
            </w:r>
          </w:p>
          <w:p w:rsidR="003E768E" w:rsidRPr="001E12E2" w:rsidRDefault="003E768E" w:rsidP="00754E0E">
            <w:r w:rsidRPr="001E12E2">
              <w:rPr>
                <w:b/>
                <w:smallCaps/>
              </w:rPr>
              <w:t>Do</w:t>
            </w:r>
            <w:r>
              <w:rPr>
                <w:b/>
                <w:smallCaps/>
              </w:rPr>
              <w:t>ssier :</w:t>
            </w:r>
            <w:r w:rsidRPr="001E12E2">
              <w:t xml:space="preserve"> </w:t>
            </w:r>
            <w:r>
              <w:t>37276</w:t>
            </w:r>
          </w:p>
        </w:tc>
      </w:tr>
    </w:tbl>
    <w:p w:rsidR="003E768E" w:rsidRPr="001E12E2" w:rsidRDefault="003E768E" w:rsidP="003E768E"/>
    <w:p w:rsidR="003E768E" w:rsidRDefault="003E768E" w:rsidP="003E768E">
      <w:pPr>
        <w:pStyle w:val="SCCLsocPrefix"/>
      </w:pPr>
      <w:r>
        <w:t>Entre :</w:t>
      </w:r>
    </w:p>
    <w:p w:rsidR="003E768E" w:rsidRDefault="003E768E" w:rsidP="003E768E">
      <w:pPr>
        <w:pStyle w:val="SCCLsocParty"/>
        <w:jc w:val="center"/>
      </w:pPr>
      <w:r>
        <w:t>Delta Air Lines Inc.</w:t>
      </w:r>
    </w:p>
    <w:p w:rsidR="003E768E" w:rsidRDefault="003E768E" w:rsidP="003E768E">
      <w:pPr>
        <w:jc w:val="center"/>
      </w:pPr>
      <w:r>
        <w:t>Appelante</w:t>
      </w:r>
    </w:p>
    <w:p w:rsidR="003E768E" w:rsidRPr="003735AD" w:rsidRDefault="003E768E" w:rsidP="003E768E">
      <w:pPr>
        <w:jc w:val="center"/>
      </w:pPr>
    </w:p>
    <w:p w:rsidR="003E768E" w:rsidRPr="003E768E" w:rsidRDefault="003E768E" w:rsidP="003E768E">
      <w:pPr>
        <w:pStyle w:val="SCCLsocVersus"/>
        <w:spacing w:after="0"/>
        <w:jc w:val="center"/>
        <w:rPr>
          <w:i w:val="0"/>
        </w:rPr>
      </w:pPr>
      <w:r w:rsidRPr="003E768E">
        <w:rPr>
          <w:i w:val="0"/>
        </w:rPr>
        <w:t>et</w:t>
      </w:r>
    </w:p>
    <w:p w:rsidR="003E768E" w:rsidRDefault="003E768E" w:rsidP="003E768E">
      <w:pPr>
        <w:pStyle w:val="SCCLsocParty"/>
        <w:jc w:val="center"/>
      </w:pPr>
    </w:p>
    <w:p w:rsidR="003E768E" w:rsidRDefault="003E768E" w:rsidP="003E768E">
      <w:pPr>
        <w:pStyle w:val="SCCLsocParty"/>
        <w:jc w:val="center"/>
      </w:pPr>
      <w:r>
        <w:t>Gábor Lukács</w:t>
      </w:r>
    </w:p>
    <w:p w:rsidR="003E768E" w:rsidRDefault="003E768E" w:rsidP="003E768E">
      <w:pPr>
        <w:jc w:val="center"/>
      </w:pPr>
      <w:r>
        <w:t>Intimé</w:t>
      </w:r>
    </w:p>
    <w:p w:rsidR="003E768E" w:rsidRDefault="003E768E" w:rsidP="003E768E">
      <w:pPr>
        <w:pStyle w:val="SCCLsocOtherPartySeparator"/>
        <w:spacing w:after="0"/>
        <w:jc w:val="center"/>
      </w:pPr>
    </w:p>
    <w:p w:rsidR="003E768E" w:rsidRDefault="003E768E" w:rsidP="003E768E">
      <w:pPr>
        <w:pStyle w:val="SCCLsocOtherPartySeparator"/>
        <w:spacing w:after="0"/>
        <w:jc w:val="center"/>
      </w:pPr>
      <w:r>
        <w:t>- et -</w:t>
      </w:r>
    </w:p>
    <w:p w:rsidR="003E768E" w:rsidRDefault="003E768E" w:rsidP="003E768E">
      <w:pPr>
        <w:pStyle w:val="SCCLsocParty"/>
        <w:jc w:val="center"/>
      </w:pPr>
    </w:p>
    <w:p w:rsidR="003E768E" w:rsidRPr="003E768E" w:rsidRDefault="003E768E" w:rsidP="003E768E">
      <w:pPr>
        <w:pStyle w:val="SCCLsocParty"/>
        <w:jc w:val="center"/>
        <w:rPr>
          <w:lang w:val="fr-CA"/>
        </w:rPr>
      </w:pPr>
      <w:r w:rsidRPr="003E768E">
        <w:rPr>
          <w:lang w:val="fr-CA"/>
        </w:rPr>
        <w:t>Procureur général de l’Ontario, Office des transports du Canada, International Air Transport Association et Conseil des Canadiens avec déficiences</w:t>
      </w:r>
    </w:p>
    <w:p w:rsidR="003E768E" w:rsidRPr="00835828" w:rsidRDefault="003E768E" w:rsidP="003E768E">
      <w:pPr>
        <w:jc w:val="center"/>
        <w:rPr>
          <w:lang w:val="fr-CA"/>
        </w:rPr>
      </w:pPr>
      <w:r w:rsidRPr="00835828">
        <w:rPr>
          <w:lang w:val="fr-CA"/>
        </w:rPr>
        <w:t>Intervenants</w:t>
      </w:r>
    </w:p>
    <w:p w:rsidR="003E768E" w:rsidRPr="00835828" w:rsidRDefault="003E768E" w:rsidP="003E768E">
      <w:pPr>
        <w:jc w:val="center"/>
        <w:rPr>
          <w:lang w:val="fr-CA"/>
        </w:rPr>
      </w:pPr>
    </w:p>
    <w:p w:rsidR="003E768E" w:rsidRPr="00835828" w:rsidRDefault="003E768E" w:rsidP="003E768E">
      <w:pPr>
        <w:rPr>
          <w:lang w:val="fr-CA"/>
        </w:rPr>
      </w:pPr>
    </w:p>
    <w:p w:rsidR="003E768E" w:rsidRPr="003E768E" w:rsidRDefault="003E768E" w:rsidP="003E768E">
      <w:pPr>
        <w:jc w:val="center"/>
        <w:rPr>
          <w:b/>
          <w:smallCaps/>
          <w:lang w:val="fr-CA"/>
        </w:rPr>
      </w:pPr>
      <w:r w:rsidRPr="003E768E">
        <w:rPr>
          <w:b/>
          <w:smallCaps/>
          <w:lang w:val="fr-CA"/>
        </w:rPr>
        <w:t>Traduction française officielle</w:t>
      </w:r>
    </w:p>
    <w:p w:rsidR="003E768E" w:rsidRPr="003E768E" w:rsidRDefault="003E768E" w:rsidP="003E768E">
      <w:pPr>
        <w:rPr>
          <w:lang w:val="fr-CA"/>
        </w:rPr>
      </w:pPr>
    </w:p>
    <w:p w:rsidR="003E768E" w:rsidRPr="003E768E" w:rsidRDefault="003E768E" w:rsidP="003E768E">
      <w:pPr>
        <w:rPr>
          <w:lang w:val="fr-CA"/>
        </w:rPr>
      </w:pPr>
      <w:r w:rsidRPr="003E768E">
        <w:rPr>
          <w:b/>
          <w:smallCaps/>
          <w:lang w:val="fr-CA"/>
        </w:rPr>
        <w:t>Coram :</w:t>
      </w:r>
      <w:r w:rsidRPr="003E768E">
        <w:rPr>
          <w:lang w:val="fr-CA"/>
        </w:rPr>
        <w:t xml:space="preserve"> La juge en chef McLachlin et les juges Abella, Moldaver, Karakatsanis, Wagner, Gascon, Côté, Brown et Rowe</w:t>
      </w:r>
    </w:p>
    <w:p w:rsidR="003E768E" w:rsidRPr="003E768E" w:rsidRDefault="003E768E" w:rsidP="003E768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768E" w:rsidRPr="00835828" w:rsidTr="00754E0E">
        <w:trPr>
          <w:cantSplit/>
        </w:trPr>
        <w:tc>
          <w:tcPr>
            <w:tcW w:w="3618" w:type="dxa"/>
          </w:tcPr>
          <w:p w:rsidR="003E768E" w:rsidRPr="003E768E" w:rsidRDefault="003E768E" w:rsidP="00754E0E">
            <w:pPr>
              <w:rPr>
                <w:b/>
                <w:smallCaps/>
                <w:lang w:val="fr-CA"/>
              </w:rPr>
            </w:pPr>
            <w:r w:rsidRPr="003E768E">
              <w:rPr>
                <w:b/>
                <w:smallCaps/>
                <w:lang w:val="fr-CA"/>
              </w:rPr>
              <w:t>Motifs de jugement :</w:t>
            </w:r>
          </w:p>
          <w:p w:rsidR="003E768E" w:rsidRPr="003E768E" w:rsidRDefault="003E768E" w:rsidP="00754E0E">
            <w:pPr>
              <w:rPr>
                <w:lang w:val="fr-CA"/>
              </w:rPr>
            </w:pPr>
            <w:r w:rsidRPr="003E768E">
              <w:rPr>
                <w:lang w:val="fr-CA"/>
              </w:rPr>
              <w:t>(par. 1 à 32)</w:t>
            </w:r>
          </w:p>
        </w:tc>
        <w:tc>
          <w:tcPr>
            <w:tcW w:w="5958" w:type="dxa"/>
          </w:tcPr>
          <w:p w:rsidR="003E768E" w:rsidRPr="003E768E" w:rsidRDefault="003E768E" w:rsidP="00754E0E">
            <w:pPr>
              <w:rPr>
                <w:lang w:val="fr-CA"/>
              </w:rPr>
            </w:pPr>
            <w:r w:rsidRPr="003E768E">
              <w:rPr>
                <w:lang w:val="fr-CA"/>
              </w:rPr>
              <w:t>La juge en chef McLachlin (avec l’accord des juges Wagner, Gascon, Côté, Brown et Rowe)</w:t>
            </w:r>
          </w:p>
        </w:tc>
      </w:tr>
      <w:tr w:rsidR="003E768E" w:rsidRPr="00835828" w:rsidTr="00754E0E">
        <w:trPr>
          <w:cantSplit/>
        </w:trPr>
        <w:tc>
          <w:tcPr>
            <w:tcW w:w="3618" w:type="dxa"/>
          </w:tcPr>
          <w:p w:rsidR="003E768E" w:rsidRDefault="003E768E" w:rsidP="00754E0E">
            <w:pPr>
              <w:rPr>
                <w:b/>
                <w:smallCaps/>
              </w:rPr>
            </w:pPr>
            <w:r w:rsidRPr="0053088A">
              <w:rPr>
                <w:b/>
                <w:smallCaps/>
              </w:rPr>
              <w:t xml:space="preserve">Motifs </w:t>
            </w:r>
            <w:r w:rsidRPr="00FC515B">
              <w:rPr>
                <w:b/>
                <w:smallCaps/>
              </w:rPr>
              <w:t>dissidents</w:t>
            </w:r>
            <w:r>
              <w:rPr>
                <w:b/>
                <w:smallCaps/>
              </w:rPr>
              <w:t> :</w:t>
            </w:r>
          </w:p>
          <w:p w:rsidR="003E768E" w:rsidRDefault="003E768E" w:rsidP="00754E0E">
            <w:pPr>
              <w:rPr>
                <w:b/>
                <w:smallCaps/>
              </w:rPr>
            </w:pPr>
            <w:r>
              <w:t>(par. 33 à 67)</w:t>
            </w:r>
          </w:p>
        </w:tc>
        <w:tc>
          <w:tcPr>
            <w:tcW w:w="5958" w:type="dxa"/>
          </w:tcPr>
          <w:p w:rsidR="003E768E" w:rsidRPr="003E768E" w:rsidRDefault="003E768E" w:rsidP="00754E0E">
            <w:pPr>
              <w:rPr>
                <w:lang w:val="fr-CA"/>
              </w:rPr>
            </w:pPr>
            <w:r w:rsidRPr="003E768E">
              <w:rPr>
                <w:lang w:val="fr-CA"/>
              </w:rPr>
              <w:t>La juge Abella (avec l’accord des juges Moldaver et Karakatsanis)</w:t>
            </w:r>
          </w:p>
        </w:tc>
      </w:tr>
    </w:tbl>
    <w:p w:rsidR="003E768E" w:rsidRPr="003E768E" w:rsidRDefault="003E768E" w:rsidP="003E768E">
      <w:pPr>
        <w:rPr>
          <w:lang w:val="fr-CA"/>
        </w:rPr>
      </w:pPr>
    </w:p>
    <w:p w:rsidR="003E768E" w:rsidRPr="003E768E" w:rsidRDefault="003E768E" w:rsidP="003E768E">
      <w:pPr>
        <w:rPr>
          <w:lang w:val="fr-CA"/>
        </w:rPr>
      </w:pPr>
      <w:r>
        <w:rPr>
          <w:noProof/>
          <w:lang w:val="en-US" w:eastAsia="en-US"/>
        </w:rPr>
        <mc:AlternateContent>
          <mc:Choice Requires="wps">
            <w:drawing>
              <wp:anchor distT="0" distB="0" distL="114300" distR="114300" simplePos="0" relativeHeight="251659264" behindDoc="0" locked="0" layoutInCell="1" allowOverlap="1" wp14:anchorId="29A1CEDF" wp14:editId="3F8A16A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AF32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E768E" w:rsidRPr="003E768E" w:rsidRDefault="003E768E" w:rsidP="00B830F5">
      <w:pPr>
        <w:widowControl w:val="0"/>
        <w:spacing w:after="720"/>
        <w:jc w:val="both"/>
        <w:rPr>
          <w:rStyle w:val="SCCAppellantForRunningHeadChar"/>
          <w:smallCaps w:val="0"/>
          <w:lang w:val="fr-CA"/>
        </w:rPr>
      </w:pPr>
    </w:p>
    <w:p w:rsidR="004D7D95" w:rsidRPr="00B92B27" w:rsidRDefault="00B92B27" w:rsidP="00B830F5">
      <w:pPr>
        <w:widowControl w:val="0"/>
        <w:spacing w:after="720"/>
        <w:jc w:val="both"/>
        <w:rPr>
          <w:smallCaps/>
          <w:lang w:val="en-US"/>
        </w:rPr>
      </w:pPr>
      <w:r w:rsidRPr="00B92B27">
        <w:rPr>
          <w:rStyle w:val="SCCAppellantForRunningHeadChar"/>
          <w:smallCaps w:val="0"/>
          <w:lang w:val="en-US"/>
        </w:rPr>
        <w:t>D</w:t>
      </w:r>
      <w:r w:rsidR="00290366" w:rsidRPr="00B92B27">
        <w:rPr>
          <w:rStyle w:val="SCCAppellantForRunningHeadChar"/>
          <w:smallCaps w:val="0"/>
          <w:lang w:val="en-US"/>
        </w:rPr>
        <w:t>e</w:t>
      </w:r>
      <w:r w:rsidR="004D7D95" w:rsidRPr="00B92B27">
        <w:rPr>
          <w:rStyle w:val="SCCAppellantForRunningHeadChar"/>
          <w:smallCaps w:val="0"/>
          <w:lang w:val="en-US"/>
        </w:rPr>
        <w:t xml:space="preserve">lta </w:t>
      </w:r>
      <w:r w:rsidRPr="00B92B27">
        <w:rPr>
          <w:rStyle w:val="SCCAppellantForRunningHeadChar"/>
          <w:smallCaps w:val="0"/>
          <w:lang w:val="en-US"/>
        </w:rPr>
        <w:t>A</w:t>
      </w:r>
      <w:r w:rsidR="004D7D95" w:rsidRPr="00B92B27">
        <w:rPr>
          <w:rStyle w:val="SCCAppellantForRunningHeadChar"/>
          <w:smallCaps w:val="0"/>
          <w:lang w:val="en-US"/>
        </w:rPr>
        <w:t xml:space="preserve">ir </w:t>
      </w:r>
      <w:r w:rsidRPr="00B92B27">
        <w:rPr>
          <w:rStyle w:val="SCCAppellantForRunningHeadChar"/>
          <w:smallCaps w:val="0"/>
          <w:lang w:val="en-US"/>
        </w:rPr>
        <w:t>L</w:t>
      </w:r>
      <w:r w:rsidR="004D7D95" w:rsidRPr="00B92B27">
        <w:rPr>
          <w:rStyle w:val="SCCAppellantForRunningHeadChar"/>
          <w:smallCaps w:val="0"/>
          <w:lang w:val="en-US"/>
        </w:rPr>
        <w:t xml:space="preserve">ines </w:t>
      </w:r>
      <w:r>
        <w:rPr>
          <w:rStyle w:val="SCCAppellantForRunningHeadChar"/>
          <w:smallCaps w:val="0"/>
          <w:lang w:val="en-US"/>
        </w:rPr>
        <w:t xml:space="preserve">Inc. </w:t>
      </w:r>
      <w:r w:rsidR="004D7D95" w:rsidRPr="00B92B27">
        <w:rPr>
          <w:i/>
          <w:lang w:val="en-US"/>
        </w:rPr>
        <w:t>c.</w:t>
      </w:r>
      <w:r w:rsidR="004D7D95" w:rsidRPr="00B92B27">
        <w:rPr>
          <w:smallCaps/>
          <w:lang w:val="en-US"/>
        </w:rPr>
        <w:t xml:space="preserve"> </w:t>
      </w:r>
      <w:r w:rsidRPr="00B92B27">
        <w:rPr>
          <w:rStyle w:val="SCCRespondentForRunningHeadChar"/>
          <w:smallCaps w:val="0"/>
          <w:lang w:val="en-US"/>
        </w:rPr>
        <w:t>L</w:t>
      </w:r>
      <w:r w:rsidR="004D7D95" w:rsidRPr="00B92B27">
        <w:rPr>
          <w:rStyle w:val="SCCRespondentForRunningHeadChar"/>
          <w:smallCaps w:val="0"/>
          <w:lang w:val="en-US"/>
        </w:rPr>
        <w:t>ukács</w:t>
      </w:r>
      <w:r>
        <w:rPr>
          <w:rStyle w:val="SCCRespondentForRunningHeadChar"/>
          <w:smallCaps w:val="0"/>
          <w:lang w:val="en-US"/>
        </w:rPr>
        <w:t xml:space="preserve">, </w:t>
      </w:r>
      <w:r w:rsidRPr="00B92B27">
        <w:rPr>
          <w:lang w:val="en-US"/>
        </w:rPr>
        <w:t>2018 CSC 2</w:t>
      </w:r>
      <w:r>
        <w:rPr>
          <w:lang w:val="en-US"/>
        </w:rPr>
        <w:t>, [2018] 1 R.C.S. 6</w:t>
      </w:r>
    </w:p>
    <w:p w:rsidR="003877E0" w:rsidRPr="005E25EA" w:rsidRDefault="008141A1" w:rsidP="00B830F5">
      <w:pPr>
        <w:pStyle w:val="SCCLsocLastPartyInRole"/>
        <w:widowControl w:val="0"/>
        <w:rPr>
          <w:lang w:val="fr-CA"/>
        </w:rPr>
      </w:pPr>
      <w:r w:rsidRPr="00B92B27">
        <w:rPr>
          <w:lang w:val="fr-CA"/>
        </w:rPr>
        <w:t>Delta Air Lines Inc.</w:t>
      </w:r>
      <w:r w:rsidR="00290366" w:rsidRPr="00B92B27">
        <w:rPr>
          <w:rStyle w:val="SCCLsocPartyRole"/>
          <w:lang w:val="fr-CA"/>
        </w:rPr>
        <w:tab/>
      </w:r>
      <w:r w:rsidR="00290366" w:rsidRPr="005E25EA">
        <w:rPr>
          <w:rStyle w:val="SCCLsocPartyRole"/>
          <w:lang w:val="fr-CA"/>
        </w:rPr>
        <w:t>Appelante</w:t>
      </w:r>
    </w:p>
    <w:p w:rsidR="003877E0" w:rsidRPr="00F904F0" w:rsidRDefault="008141A1" w:rsidP="00B830F5">
      <w:pPr>
        <w:pStyle w:val="SCCLsocVersus"/>
        <w:widowControl w:val="0"/>
        <w:rPr>
          <w:lang w:val="fr-CA"/>
        </w:rPr>
      </w:pPr>
      <w:r w:rsidRPr="00F904F0">
        <w:rPr>
          <w:lang w:val="fr-CA"/>
        </w:rPr>
        <w:lastRenderedPageBreak/>
        <w:t>c.</w:t>
      </w:r>
    </w:p>
    <w:p w:rsidR="003877E0" w:rsidRPr="00F904F0" w:rsidRDefault="008141A1" w:rsidP="00B830F5">
      <w:pPr>
        <w:pStyle w:val="SCCLsocLastPartyInRole"/>
        <w:widowControl w:val="0"/>
        <w:rPr>
          <w:lang w:val="fr-CA"/>
        </w:rPr>
      </w:pPr>
      <w:r w:rsidRPr="00F904F0">
        <w:rPr>
          <w:lang w:val="fr-CA"/>
        </w:rPr>
        <w:t>Gábor Lukács</w:t>
      </w:r>
      <w:r w:rsidR="00290366">
        <w:rPr>
          <w:rStyle w:val="SCCLsocPartyRole"/>
          <w:lang w:val="fr-CA"/>
        </w:rPr>
        <w:tab/>
        <w:t>Intimé</w:t>
      </w:r>
    </w:p>
    <w:p w:rsidR="003877E0" w:rsidRPr="00F904F0" w:rsidRDefault="008141A1" w:rsidP="00B830F5">
      <w:pPr>
        <w:pStyle w:val="SCCLsocOtherPartySeparator"/>
        <w:widowControl w:val="0"/>
        <w:rPr>
          <w:lang w:val="fr-CA"/>
        </w:rPr>
      </w:pPr>
      <w:r w:rsidRPr="00F904F0">
        <w:rPr>
          <w:lang w:val="fr-CA"/>
        </w:rPr>
        <w:t>et</w:t>
      </w:r>
    </w:p>
    <w:p w:rsidR="003877E0" w:rsidRPr="00F904F0" w:rsidRDefault="008141A1" w:rsidP="00B830F5">
      <w:pPr>
        <w:pStyle w:val="SCCLsocParty"/>
        <w:widowControl w:val="0"/>
        <w:rPr>
          <w:lang w:val="fr-CA"/>
        </w:rPr>
      </w:pPr>
      <w:r w:rsidRPr="00F904F0">
        <w:rPr>
          <w:lang w:val="fr-CA"/>
        </w:rPr>
        <w:t>Procureur général de l</w:t>
      </w:r>
      <w:r w:rsidR="00290366">
        <w:rPr>
          <w:lang w:val="fr-CA"/>
        </w:rPr>
        <w:t>ʼ</w:t>
      </w:r>
      <w:r w:rsidRPr="00F904F0">
        <w:rPr>
          <w:lang w:val="fr-CA"/>
        </w:rPr>
        <w:t>Ontario,</w:t>
      </w:r>
    </w:p>
    <w:p w:rsidR="003877E0" w:rsidRPr="00F904F0" w:rsidRDefault="008141A1" w:rsidP="00B830F5">
      <w:pPr>
        <w:pStyle w:val="SCCLsocParty"/>
        <w:widowControl w:val="0"/>
        <w:rPr>
          <w:lang w:val="fr-CA"/>
        </w:rPr>
      </w:pPr>
      <w:r w:rsidRPr="00F904F0">
        <w:rPr>
          <w:lang w:val="fr-CA"/>
        </w:rPr>
        <w:t>Office des transports du Canada,</w:t>
      </w:r>
    </w:p>
    <w:p w:rsidR="003877E0" w:rsidRPr="00F904F0" w:rsidRDefault="008141A1" w:rsidP="00B830F5">
      <w:pPr>
        <w:pStyle w:val="SCCLsocParty"/>
        <w:widowControl w:val="0"/>
        <w:rPr>
          <w:lang w:val="fr-CA"/>
        </w:rPr>
      </w:pPr>
      <w:r w:rsidRPr="00F904F0">
        <w:rPr>
          <w:lang w:val="fr-CA"/>
        </w:rPr>
        <w:t>Internat</w:t>
      </w:r>
      <w:r w:rsidR="006263EA">
        <w:rPr>
          <w:lang w:val="fr-CA"/>
        </w:rPr>
        <w:t xml:space="preserve">ional Air Transport </w:t>
      </w:r>
      <w:r w:rsidR="006263EA" w:rsidRPr="005E25EA">
        <w:rPr>
          <w:lang w:val="fr-CA"/>
        </w:rPr>
        <w:t>Association et</w:t>
      </w:r>
    </w:p>
    <w:p w:rsidR="003877E0" w:rsidRPr="00F904F0" w:rsidRDefault="008141A1" w:rsidP="00B830F5">
      <w:pPr>
        <w:pStyle w:val="SCCLsocLastPartyInRole"/>
        <w:widowControl w:val="0"/>
        <w:rPr>
          <w:lang w:val="fr-CA"/>
        </w:rPr>
      </w:pPr>
      <w:r w:rsidRPr="00F904F0">
        <w:rPr>
          <w:lang w:val="fr-CA"/>
        </w:rPr>
        <w:t>Conseil des Canadiens avec déficiences</w:t>
      </w:r>
      <w:r w:rsidR="00290366">
        <w:rPr>
          <w:rStyle w:val="SCCLsocPartyRole"/>
          <w:lang w:val="fr-CA"/>
        </w:rPr>
        <w:tab/>
        <w:t>Intervenant</w:t>
      </w:r>
      <w:r w:rsidRPr="00F904F0">
        <w:rPr>
          <w:rStyle w:val="SCCLsocPartyRole"/>
          <w:lang w:val="fr-CA"/>
        </w:rPr>
        <w:t>s</w:t>
      </w:r>
    </w:p>
    <w:p w:rsidR="004D7D95" w:rsidRPr="00F904F0" w:rsidRDefault="006263EA" w:rsidP="00B830F5">
      <w:pPr>
        <w:widowControl w:val="0"/>
        <w:spacing w:after="720"/>
        <w:jc w:val="both"/>
        <w:rPr>
          <w:b/>
          <w:lang w:val="fr-CA"/>
        </w:rPr>
      </w:pPr>
      <w:r>
        <w:rPr>
          <w:b/>
          <w:lang w:val="fr-CA"/>
        </w:rPr>
        <w:t>Répertorié</w:t>
      </w:r>
      <w:r w:rsidR="005C1B20">
        <w:rPr>
          <w:b/>
          <w:lang w:val="fr-CA"/>
        </w:rPr>
        <w:t> :</w:t>
      </w:r>
      <w:r>
        <w:rPr>
          <w:b/>
          <w:lang w:val="fr-CA"/>
        </w:rPr>
        <w:t xml:space="preserve"> </w:t>
      </w:r>
      <w:r w:rsidR="004D7D95" w:rsidRPr="00F904F0">
        <w:rPr>
          <w:rStyle w:val="SCCAppellantForIndexChar"/>
          <w:lang w:val="fr-CA"/>
        </w:rPr>
        <w:t xml:space="preserve">Delta Air Lines </w:t>
      </w:r>
      <w:r w:rsidR="004D7D95" w:rsidRPr="005E25EA">
        <w:rPr>
          <w:rStyle w:val="SCCAppellantForIndexChar"/>
          <w:lang w:val="fr-CA"/>
        </w:rPr>
        <w:t>I</w:t>
      </w:r>
      <w:r w:rsidR="004D7D95" w:rsidRPr="00F904F0">
        <w:rPr>
          <w:rStyle w:val="SCCAppellantForIndexChar"/>
          <w:lang w:val="fr-CA"/>
        </w:rPr>
        <w:t>nc.</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F904F0">
        <w:rPr>
          <w:rStyle w:val="SCCRespondentForIndexChar"/>
          <w:lang w:val="fr-CA"/>
        </w:rPr>
        <w:t>Lukács</w:t>
      </w:r>
    </w:p>
    <w:p w:rsidR="004D7D95" w:rsidRPr="00F904F0" w:rsidRDefault="00D17B0E" w:rsidP="00B830F5">
      <w:pPr>
        <w:pStyle w:val="SCCSystemYear"/>
        <w:widowControl w:val="0"/>
        <w:spacing w:after="720"/>
        <w:jc w:val="both"/>
        <w:rPr>
          <w:lang w:val="fr-CA"/>
        </w:rPr>
      </w:pPr>
      <w:r w:rsidRPr="00F904F0">
        <w:rPr>
          <w:lang w:val="fr-CA"/>
        </w:rPr>
        <w:t>201</w:t>
      </w:r>
      <w:r w:rsidR="00437627">
        <w:rPr>
          <w:lang w:val="fr-CA"/>
        </w:rPr>
        <w:t>8</w:t>
      </w:r>
      <w:r w:rsidR="00BA7523">
        <w:rPr>
          <w:lang w:val="fr-CA"/>
        </w:rPr>
        <w:t xml:space="preserve"> CSC 2</w:t>
      </w:r>
    </w:p>
    <w:p w:rsidR="004D7D95" w:rsidRPr="00F904F0" w:rsidRDefault="004D7D95" w:rsidP="00B830F5">
      <w:pPr>
        <w:widowControl w:val="0"/>
        <w:spacing w:after="720"/>
        <w:jc w:val="both"/>
        <w:rPr>
          <w:lang w:val="fr-CA"/>
        </w:rPr>
      </w:pPr>
      <w:r w:rsidRPr="00F904F0">
        <w:rPr>
          <w:lang w:val="fr-CA"/>
        </w:rPr>
        <w:t>N</w:t>
      </w:r>
      <w:r w:rsidRPr="00F904F0">
        <w:rPr>
          <w:vertAlign w:val="superscript"/>
          <w:lang w:val="fr-CA"/>
        </w:rPr>
        <w:t>o</w:t>
      </w:r>
      <w:r w:rsidRPr="00F904F0">
        <w:rPr>
          <w:lang w:val="fr-CA"/>
        </w:rPr>
        <w:t xml:space="preserve"> du greffe</w:t>
      </w:r>
      <w:r w:rsidR="005C1B20">
        <w:rPr>
          <w:lang w:val="fr-CA"/>
        </w:rPr>
        <w:t> :</w:t>
      </w:r>
      <w:r w:rsidRPr="00F904F0">
        <w:rPr>
          <w:lang w:val="fr-CA"/>
        </w:rPr>
        <w:t> 37276.</w:t>
      </w:r>
    </w:p>
    <w:p w:rsidR="004D7D95" w:rsidRPr="00F904F0" w:rsidRDefault="005C1B20" w:rsidP="00B830F5">
      <w:pPr>
        <w:widowControl w:val="0"/>
        <w:spacing w:after="720"/>
        <w:jc w:val="both"/>
        <w:rPr>
          <w:lang w:val="fr-CA"/>
        </w:rPr>
      </w:pPr>
      <w:r>
        <w:rPr>
          <w:lang w:val="fr-CA"/>
        </w:rPr>
        <w:t>2017 : 4 </w:t>
      </w:r>
      <w:r w:rsidR="00D17B0E" w:rsidRPr="00F904F0">
        <w:rPr>
          <w:lang w:val="fr-CA"/>
        </w:rPr>
        <w:t>octobre</w:t>
      </w:r>
      <w:r w:rsidR="00ED5EA1">
        <w:rPr>
          <w:lang w:val="fr-CA"/>
        </w:rPr>
        <w:t>; 2018 : 19 </w:t>
      </w:r>
      <w:r w:rsidR="00AF3E82">
        <w:rPr>
          <w:lang w:val="fr-CA"/>
        </w:rPr>
        <w:t>janvier</w:t>
      </w:r>
      <w:r w:rsidR="004D7D95" w:rsidRPr="00F904F0">
        <w:rPr>
          <w:lang w:val="fr-CA"/>
        </w:rPr>
        <w:t>.</w:t>
      </w:r>
    </w:p>
    <w:p w:rsidR="004D7D95" w:rsidRPr="00F904F0" w:rsidRDefault="004D7D95" w:rsidP="00B830F5">
      <w:pPr>
        <w:widowControl w:val="0"/>
        <w:spacing w:after="720"/>
        <w:jc w:val="both"/>
        <w:rPr>
          <w:lang w:val="fr-CA"/>
        </w:rPr>
      </w:pPr>
      <w:r w:rsidRPr="00F904F0">
        <w:rPr>
          <w:lang w:val="fr-CA"/>
        </w:rPr>
        <w:t>Présents</w:t>
      </w:r>
      <w:r w:rsidR="005C1B20">
        <w:rPr>
          <w:lang w:val="fr-CA"/>
        </w:rPr>
        <w:t> :</w:t>
      </w:r>
      <w:r w:rsidRPr="00F904F0">
        <w:rPr>
          <w:lang w:val="fr-CA"/>
        </w:rPr>
        <w:t> La juge en chef McLachlin et les juges Abella, Moldaver, Karakatsanis, Wagner, Gascon, Côté, Brown et Rowe.</w:t>
      </w:r>
    </w:p>
    <w:p w:rsidR="004D7D95" w:rsidRPr="006263EA" w:rsidRDefault="004D7D95" w:rsidP="00B830F5">
      <w:pPr>
        <w:widowControl w:val="0"/>
        <w:spacing w:after="720"/>
        <w:jc w:val="both"/>
        <w:rPr>
          <w:smallCaps/>
          <w:lang w:val="fr-CA"/>
        </w:rPr>
      </w:pPr>
      <w:r w:rsidRPr="006263EA">
        <w:rPr>
          <w:smallCaps/>
          <w:lang w:val="fr-CA"/>
        </w:rPr>
        <w:t xml:space="preserve">en appel de la cour </w:t>
      </w:r>
      <w:r w:rsidR="006263EA" w:rsidRPr="006263EA">
        <w:rPr>
          <w:smallCaps/>
          <w:lang w:val="fr-CA"/>
        </w:rPr>
        <w:t>d’appel</w:t>
      </w:r>
      <w:r w:rsidRPr="006263EA">
        <w:rPr>
          <w:smallCaps/>
          <w:lang w:val="fr-CA"/>
        </w:rPr>
        <w:t xml:space="preserve"> fédérale</w:t>
      </w:r>
    </w:p>
    <w:p w:rsidR="00C30011" w:rsidRPr="00F91CF0" w:rsidRDefault="004D7D95" w:rsidP="00B830F5">
      <w:pPr>
        <w:pStyle w:val="SCCNormalDoubleSpacing"/>
        <w:widowControl w:val="0"/>
        <w:spacing w:after="480"/>
        <w:rPr>
          <w:i/>
          <w:lang w:val="fr-CA"/>
        </w:rPr>
      </w:pPr>
      <w:r w:rsidRPr="00BB4C92">
        <w:rPr>
          <w:lang w:val="fr-CA"/>
        </w:rPr>
        <w:tab/>
      </w:r>
      <w:r w:rsidR="00391489" w:rsidRPr="00F91CF0">
        <w:rPr>
          <w:i/>
          <w:lang w:val="fr-CA"/>
        </w:rPr>
        <w:t>Droit administratif</w:t>
      </w:r>
      <w:r w:rsidR="00C30011" w:rsidRPr="00F91CF0">
        <w:rPr>
          <w:i/>
          <w:lang w:val="fr-CA"/>
        </w:rPr>
        <w:t xml:space="preserve"> </w:t>
      </w:r>
      <w:r w:rsidR="00712620" w:rsidRPr="00E420F7">
        <w:rPr>
          <w:i/>
          <w:lang w:val="fr-CA"/>
        </w:rPr>
        <w:t>—</w:t>
      </w:r>
      <w:r w:rsidR="00C30011" w:rsidRPr="00F91CF0">
        <w:rPr>
          <w:i/>
          <w:lang w:val="fr-CA"/>
        </w:rPr>
        <w:t xml:space="preserve"> </w:t>
      </w:r>
      <w:r w:rsidR="00391489" w:rsidRPr="00F91CF0">
        <w:rPr>
          <w:i/>
          <w:lang w:val="fr-CA"/>
        </w:rPr>
        <w:t>Organismes et tribunaux administratifs</w:t>
      </w:r>
      <w:r w:rsidR="00C30011" w:rsidRPr="00F91CF0">
        <w:rPr>
          <w:i/>
          <w:lang w:val="fr-CA"/>
        </w:rPr>
        <w:t xml:space="preserve"> </w:t>
      </w:r>
      <w:r w:rsidR="00712620" w:rsidRPr="00E420F7">
        <w:rPr>
          <w:i/>
          <w:lang w:val="fr-CA"/>
        </w:rPr>
        <w:t>—</w:t>
      </w:r>
      <w:r w:rsidR="00C30011" w:rsidRPr="00F91CF0">
        <w:rPr>
          <w:i/>
          <w:lang w:val="fr-CA"/>
        </w:rPr>
        <w:t xml:space="preserve"> </w:t>
      </w:r>
      <w:r w:rsidR="00F91CF0" w:rsidRPr="00F91CF0">
        <w:rPr>
          <w:i/>
          <w:lang w:val="fr-CA"/>
        </w:rPr>
        <w:t>Office des transports du Canada</w:t>
      </w:r>
      <w:r w:rsidR="00C30011" w:rsidRPr="00F91CF0">
        <w:rPr>
          <w:i/>
          <w:lang w:val="fr-CA"/>
        </w:rPr>
        <w:t xml:space="preserve"> </w:t>
      </w:r>
      <w:r w:rsidR="00712620" w:rsidRPr="00E420F7">
        <w:rPr>
          <w:i/>
          <w:lang w:val="fr-CA"/>
        </w:rPr>
        <w:t>—</w:t>
      </w:r>
      <w:r w:rsidR="00C30011" w:rsidRPr="00F91CF0">
        <w:rPr>
          <w:i/>
          <w:lang w:val="fr-CA"/>
        </w:rPr>
        <w:t xml:space="preserve"> </w:t>
      </w:r>
      <w:r w:rsidR="00F504AE">
        <w:rPr>
          <w:i/>
          <w:lang w:val="fr-CA"/>
        </w:rPr>
        <w:t>Enquêtes sur les plaintes</w:t>
      </w:r>
      <w:r w:rsidR="00C30011" w:rsidRPr="00F91CF0">
        <w:rPr>
          <w:i/>
          <w:lang w:val="fr-CA"/>
        </w:rPr>
        <w:t xml:space="preserve"> </w:t>
      </w:r>
      <w:r w:rsidR="00712620" w:rsidRPr="00E420F7">
        <w:rPr>
          <w:i/>
          <w:lang w:val="fr-CA"/>
        </w:rPr>
        <w:t>—</w:t>
      </w:r>
      <w:r w:rsidR="00C30011" w:rsidRPr="00F91CF0">
        <w:rPr>
          <w:i/>
          <w:lang w:val="fr-CA"/>
        </w:rPr>
        <w:t xml:space="preserve"> </w:t>
      </w:r>
      <w:r w:rsidR="00F91CF0" w:rsidRPr="00F91CF0">
        <w:rPr>
          <w:i/>
          <w:lang w:val="fr-CA"/>
        </w:rPr>
        <w:t>Qualité pour agir</w:t>
      </w:r>
      <w:r w:rsidR="00C30011" w:rsidRPr="00F91CF0">
        <w:rPr>
          <w:i/>
          <w:lang w:val="fr-CA"/>
        </w:rPr>
        <w:t xml:space="preserve"> </w:t>
      </w:r>
      <w:r w:rsidR="00712620" w:rsidRPr="00E420F7">
        <w:rPr>
          <w:i/>
          <w:lang w:val="fr-CA"/>
        </w:rPr>
        <w:t>—</w:t>
      </w:r>
      <w:r w:rsidR="00C30011" w:rsidRPr="00F91CF0">
        <w:rPr>
          <w:i/>
          <w:lang w:val="fr-CA"/>
        </w:rPr>
        <w:t xml:space="preserve"> </w:t>
      </w:r>
      <w:r w:rsidR="00F91CF0" w:rsidRPr="00F91CF0">
        <w:rPr>
          <w:i/>
          <w:lang w:val="fr-CA"/>
        </w:rPr>
        <w:t>Qualité pour agir dans l’intér</w:t>
      </w:r>
      <w:r w:rsidR="00F91CF0">
        <w:rPr>
          <w:i/>
          <w:lang w:val="fr-CA"/>
        </w:rPr>
        <w:t>êt public</w:t>
      </w:r>
      <w:r w:rsidR="00C30011" w:rsidRPr="00F91CF0">
        <w:rPr>
          <w:i/>
          <w:lang w:val="fr-CA"/>
        </w:rPr>
        <w:t xml:space="preserve"> </w:t>
      </w:r>
      <w:r w:rsidR="00712620" w:rsidRPr="00E420F7">
        <w:rPr>
          <w:i/>
          <w:lang w:val="fr-CA"/>
        </w:rPr>
        <w:t>—</w:t>
      </w:r>
      <w:r w:rsidR="00C30011" w:rsidRPr="00F91CF0">
        <w:rPr>
          <w:i/>
          <w:lang w:val="fr-CA"/>
        </w:rPr>
        <w:t xml:space="preserve"> </w:t>
      </w:r>
      <w:r w:rsidR="0019173A">
        <w:rPr>
          <w:i/>
          <w:lang w:val="fr-CA"/>
        </w:rPr>
        <w:t>Allégations d’un plaignant quant au caractère discriminatoire des</w:t>
      </w:r>
      <w:r w:rsidR="00F91CF0">
        <w:rPr>
          <w:i/>
          <w:lang w:val="fr-CA"/>
        </w:rPr>
        <w:t xml:space="preserve"> pratiques d’un transporteur aérien </w:t>
      </w:r>
      <w:r w:rsidR="0019173A">
        <w:rPr>
          <w:i/>
          <w:lang w:val="fr-CA"/>
        </w:rPr>
        <w:t>relativement</w:t>
      </w:r>
      <w:r w:rsidR="00F91CF0">
        <w:rPr>
          <w:i/>
          <w:lang w:val="fr-CA"/>
        </w:rPr>
        <w:t xml:space="preserve"> au </w:t>
      </w:r>
      <w:r w:rsidR="00F91CF0" w:rsidRPr="0019173A">
        <w:rPr>
          <w:i/>
          <w:lang w:val="fr-CA"/>
        </w:rPr>
        <w:t>transport des personnes</w:t>
      </w:r>
      <w:r w:rsidR="00F91CF0">
        <w:rPr>
          <w:i/>
          <w:lang w:val="fr-CA"/>
        </w:rPr>
        <w:t xml:space="preserve"> obèses</w:t>
      </w:r>
      <w:r w:rsidR="00ED5EA1">
        <w:rPr>
          <w:i/>
          <w:lang w:val="fr-CA"/>
        </w:rPr>
        <w:t xml:space="preserve"> </w:t>
      </w:r>
      <w:r w:rsidR="00712620" w:rsidRPr="00E420F7">
        <w:rPr>
          <w:i/>
          <w:lang w:val="fr-CA"/>
        </w:rPr>
        <w:t>—</w:t>
      </w:r>
      <w:r w:rsidR="00C30011" w:rsidRPr="00F91CF0">
        <w:rPr>
          <w:i/>
          <w:lang w:val="fr-CA"/>
        </w:rPr>
        <w:t xml:space="preserve"> </w:t>
      </w:r>
      <w:r w:rsidR="00F91CF0">
        <w:rPr>
          <w:i/>
          <w:lang w:val="fr-CA"/>
        </w:rPr>
        <w:t xml:space="preserve">Rejet de la plainte par l’Office pour défaut de qualité pour agir </w:t>
      </w:r>
      <w:r w:rsidR="00F91CF0">
        <w:rPr>
          <w:i/>
          <w:lang w:val="fr-CA"/>
        </w:rPr>
        <w:lastRenderedPageBreak/>
        <w:t>du plaignant</w:t>
      </w:r>
      <w:r w:rsidR="00C30011" w:rsidRPr="00F91CF0">
        <w:rPr>
          <w:i/>
          <w:lang w:val="fr-CA"/>
        </w:rPr>
        <w:t xml:space="preserve"> </w:t>
      </w:r>
      <w:r w:rsidR="00712620" w:rsidRPr="00E420F7">
        <w:rPr>
          <w:i/>
          <w:lang w:val="fr-CA"/>
        </w:rPr>
        <w:t>—</w:t>
      </w:r>
      <w:r w:rsidR="00C30011" w:rsidRPr="00F91CF0">
        <w:rPr>
          <w:i/>
          <w:lang w:val="fr-CA"/>
        </w:rPr>
        <w:t xml:space="preserve"> </w:t>
      </w:r>
      <w:r w:rsidR="00F91CF0">
        <w:rPr>
          <w:i/>
          <w:lang w:val="fr-CA"/>
        </w:rPr>
        <w:t>L’Office a-t-</w:t>
      </w:r>
      <w:r w:rsidR="0019173A">
        <w:rPr>
          <w:i/>
          <w:lang w:val="fr-CA"/>
        </w:rPr>
        <w:t>il</w:t>
      </w:r>
      <w:r w:rsidR="00F91CF0">
        <w:rPr>
          <w:i/>
          <w:lang w:val="fr-CA"/>
        </w:rPr>
        <w:t xml:space="preserve"> exercé son pouvoir discrétionnaire raisonn</w:t>
      </w:r>
      <w:r w:rsidR="004A7161">
        <w:rPr>
          <w:i/>
          <w:lang w:val="fr-CA"/>
        </w:rPr>
        <w:t>ablement en rejetant la plainte</w:t>
      </w:r>
      <w:r w:rsidR="00F91CF0">
        <w:rPr>
          <w:i/>
          <w:lang w:val="fr-CA"/>
        </w:rPr>
        <w:t xml:space="preserve">? </w:t>
      </w:r>
      <w:r w:rsidR="00712620" w:rsidRPr="00E420F7">
        <w:rPr>
          <w:i/>
          <w:lang w:val="fr-CA"/>
        </w:rPr>
        <w:t>—</w:t>
      </w:r>
      <w:r w:rsidR="00712620">
        <w:rPr>
          <w:i/>
          <w:lang w:val="fr-CA"/>
        </w:rPr>
        <w:t xml:space="preserve"> </w:t>
      </w:r>
      <w:r w:rsidR="00F91CF0">
        <w:rPr>
          <w:i/>
          <w:lang w:val="fr-CA"/>
        </w:rPr>
        <w:t xml:space="preserve">Loi sur les transports au </w:t>
      </w:r>
      <w:r w:rsidR="00C30011" w:rsidRPr="00F91CF0">
        <w:rPr>
          <w:i/>
          <w:lang w:val="fr-CA"/>
        </w:rPr>
        <w:t xml:space="preserve">Canada, </w:t>
      </w:r>
      <w:r w:rsidR="00F91CF0">
        <w:rPr>
          <w:i/>
          <w:lang w:val="fr-CA"/>
        </w:rPr>
        <w:t>L.C.</w:t>
      </w:r>
      <w:r w:rsidR="00ED5EA1">
        <w:rPr>
          <w:i/>
          <w:lang w:val="fr-CA"/>
        </w:rPr>
        <w:t xml:space="preserve"> 1996, c. </w:t>
      </w:r>
      <w:r w:rsidR="00C30011" w:rsidRPr="00F91CF0">
        <w:rPr>
          <w:i/>
          <w:lang w:val="fr-CA"/>
        </w:rPr>
        <w:t xml:space="preserve">10, </w:t>
      </w:r>
      <w:r w:rsidR="00F91CF0">
        <w:rPr>
          <w:i/>
          <w:lang w:val="fr-CA"/>
        </w:rPr>
        <w:t>art</w:t>
      </w:r>
      <w:r w:rsidR="00ED5EA1">
        <w:rPr>
          <w:i/>
          <w:lang w:val="fr-CA"/>
        </w:rPr>
        <w:t>. </w:t>
      </w:r>
      <w:r w:rsidR="00C30011" w:rsidRPr="00F91CF0">
        <w:rPr>
          <w:i/>
          <w:lang w:val="fr-CA"/>
        </w:rPr>
        <w:t>37.</w:t>
      </w:r>
    </w:p>
    <w:p w:rsidR="00FB024F" w:rsidRPr="00FB024F" w:rsidRDefault="00FB024F" w:rsidP="00B830F5">
      <w:pPr>
        <w:pStyle w:val="SCCNormalDoubleSpacing"/>
        <w:widowControl w:val="0"/>
        <w:spacing w:after="480"/>
        <w:rPr>
          <w:lang w:val="fr-CA"/>
        </w:rPr>
      </w:pPr>
      <w:r>
        <w:rPr>
          <w:lang w:val="fr-CA"/>
        </w:rPr>
        <w:tab/>
        <w:t xml:space="preserve">L </w:t>
      </w:r>
      <w:r w:rsidRPr="00FB024F">
        <w:rPr>
          <w:rStyle w:val="Italic"/>
          <w:i w:val="0"/>
          <w:lang w:val="fr-CA"/>
        </w:rPr>
        <w:t xml:space="preserve">a déposé une plainte auprès de l’Office des transports du Canada dans laquelle il a fait valoir que </w:t>
      </w:r>
      <w:r w:rsidRPr="0073441B">
        <w:rPr>
          <w:lang w:val="fr-CA"/>
        </w:rPr>
        <w:t xml:space="preserve">les pratiques de </w:t>
      </w:r>
      <w:r w:rsidRPr="00FB024F">
        <w:rPr>
          <w:rStyle w:val="Italic"/>
          <w:i w:val="0"/>
          <w:lang w:val="fr-CA"/>
        </w:rPr>
        <w:t>Delta Air Lines</w:t>
      </w:r>
      <w:r w:rsidRPr="0073441B">
        <w:rPr>
          <w:lang w:val="fr-CA"/>
        </w:rPr>
        <w:t xml:space="preserve"> à l’égard du transport de </w:t>
      </w:r>
      <w:r w:rsidRPr="0019173A">
        <w:rPr>
          <w:lang w:val="fr-CA"/>
        </w:rPr>
        <w:t>passagers</w:t>
      </w:r>
      <w:r w:rsidRPr="0073441B">
        <w:rPr>
          <w:lang w:val="fr-CA"/>
        </w:rPr>
        <w:t xml:space="preserve"> obèses sont discriminatoires et contraires au par. 111(2) du </w:t>
      </w:r>
      <w:r w:rsidRPr="0073441B">
        <w:rPr>
          <w:i/>
          <w:lang w:val="fr-CA"/>
        </w:rPr>
        <w:t>Règlement sur les transports aériens</w:t>
      </w:r>
      <w:r w:rsidR="00F252D8">
        <w:rPr>
          <w:i/>
          <w:lang w:val="fr-CA"/>
        </w:rPr>
        <w:t xml:space="preserve"> </w:t>
      </w:r>
      <w:r w:rsidR="00F252D8" w:rsidRPr="00F252D8">
        <w:rPr>
          <w:lang w:val="fr-CA"/>
        </w:rPr>
        <w:t>fédéral</w:t>
      </w:r>
      <w:r>
        <w:rPr>
          <w:lang w:val="fr-CA"/>
        </w:rPr>
        <w:t xml:space="preserve">. </w:t>
      </w:r>
      <w:r w:rsidRPr="00FB024F">
        <w:rPr>
          <w:rStyle w:val="Italic"/>
          <w:i w:val="0"/>
          <w:lang w:val="fr-CA"/>
        </w:rPr>
        <w:t xml:space="preserve">L’Office a rejeté </w:t>
      </w:r>
      <w:r w:rsidR="0019173A">
        <w:rPr>
          <w:rStyle w:val="Italic"/>
          <w:i w:val="0"/>
          <w:lang w:val="fr-CA"/>
        </w:rPr>
        <w:t>la</w:t>
      </w:r>
      <w:r w:rsidRPr="00FB024F">
        <w:rPr>
          <w:rStyle w:val="Italic"/>
          <w:i w:val="0"/>
          <w:lang w:val="fr-CA"/>
        </w:rPr>
        <w:t xml:space="preserve"> plainte, statuant que </w:t>
      </w:r>
      <w:r>
        <w:rPr>
          <w:rStyle w:val="Italic"/>
          <w:i w:val="0"/>
          <w:lang w:val="fr-CA"/>
        </w:rPr>
        <w:t>L</w:t>
      </w:r>
      <w:r w:rsidRPr="00FB024F">
        <w:rPr>
          <w:rStyle w:val="Italic"/>
          <w:i w:val="0"/>
          <w:lang w:val="fr-CA"/>
        </w:rPr>
        <w:t xml:space="preserve"> ne satisfaisait pas aux tests relatifs à la qualité pour agir dans l’intérêt privé et à celle pour agir dans l’intérêt public établis par et pour les tribunaux de juridiction civile. L’Office a conclu que </w:t>
      </w:r>
      <w:r>
        <w:rPr>
          <w:rStyle w:val="Italic"/>
          <w:i w:val="0"/>
          <w:lang w:val="fr-CA"/>
        </w:rPr>
        <w:t>L</w:t>
      </w:r>
      <w:r w:rsidRPr="00FB024F">
        <w:rPr>
          <w:rStyle w:val="Italic"/>
          <w:i w:val="0"/>
          <w:lang w:val="fr-CA"/>
        </w:rPr>
        <w:t xml:space="preserve"> n’avait pas qualité pour agir dans l’intérêt privé, puisqu’il n’était pas lui-même obèse, si bien qu’il ne p</w:t>
      </w:r>
      <w:r w:rsidR="0019173A">
        <w:rPr>
          <w:rStyle w:val="Italic"/>
          <w:i w:val="0"/>
          <w:lang w:val="fr-CA"/>
        </w:rPr>
        <w:t>ouvait prétendre avoir été lésé ou</w:t>
      </w:r>
      <w:r w:rsidRPr="00FB024F">
        <w:rPr>
          <w:rStyle w:val="Italic"/>
          <w:i w:val="0"/>
          <w:lang w:val="fr-CA"/>
        </w:rPr>
        <w:t xml:space="preserve"> touché ou avoir un intérêt suffisant</w:t>
      </w:r>
      <w:r w:rsidRPr="00FB024F">
        <w:rPr>
          <w:rStyle w:val="Italic"/>
          <w:lang w:val="fr-CA"/>
        </w:rPr>
        <w:t>.</w:t>
      </w:r>
      <w:r>
        <w:rPr>
          <w:rStyle w:val="Italic"/>
          <w:i w:val="0"/>
          <w:lang w:val="fr-CA"/>
        </w:rPr>
        <w:t xml:space="preserve"> L’Office a aussi statué que L</w:t>
      </w:r>
      <w:r w:rsidRPr="00FB024F">
        <w:rPr>
          <w:rStyle w:val="Italic"/>
          <w:lang w:val="fr-CA"/>
        </w:rPr>
        <w:t xml:space="preserve"> </w:t>
      </w:r>
      <w:r w:rsidRPr="00FB024F">
        <w:rPr>
          <w:lang w:val="fr-CA"/>
        </w:rPr>
        <w:t>n’avait pas</w:t>
      </w:r>
      <w:r w:rsidRPr="0073441B">
        <w:rPr>
          <w:lang w:val="fr-CA"/>
        </w:rPr>
        <w:t xml:space="preserve"> qualité pour agir dans l’intérêt public parce que sa plainte ne contestait pas la constitutionnalité d’une loi ou l’exercice illégal d’une autorité administrative</w:t>
      </w:r>
      <w:r w:rsidRPr="00FB024F">
        <w:rPr>
          <w:i/>
          <w:lang w:val="fr-CA"/>
        </w:rPr>
        <w:t xml:space="preserve">. </w:t>
      </w:r>
      <w:r w:rsidRPr="00FB024F">
        <w:rPr>
          <w:rStyle w:val="Italic"/>
          <w:i w:val="0"/>
          <w:lang w:val="fr-CA"/>
        </w:rPr>
        <w:t>La Cour d’appel fédérale a accueilli l’appel</w:t>
      </w:r>
      <w:r>
        <w:rPr>
          <w:rStyle w:val="Italic"/>
          <w:i w:val="0"/>
          <w:lang w:val="fr-CA"/>
        </w:rPr>
        <w:t xml:space="preserve"> de L </w:t>
      </w:r>
      <w:r w:rsidRPr="00FB024F">
        <w:rPr>
          <w:rStyle w:val="Italic"/>
          <w:i w:val="0"/>
          <w:lang w:val="fr-CA"/>
        </w:rPr>
        <w:t>et statué que la stricte application des règles de droit relatives à la qualité pour agir appliquées par les tribunaux judiciaires était incompatible avec la loi habilitante de l’Office.</w:t>
      </w:r>
      <w:r>
        <w:rPr>
          <w:rStyle w:val="Italic"/>
          <w:i w:val="0"/>
          <w:lang w:val="fr-CA"/>
        </w:rPr>
        <w:t xml:space="preserve"> </w:t>
      </w:r>
      <w:r w:rsidRPr="00FB024F">
        <w:rPr>
          <w:rStyle w:val="Italic"/>
          <w:i w:val="0"/>
          <w:lang w:val="fr-CA"/>
        </w:rPr>
        <w:t>La Cour d’appel a</w:t>
      </w:r>
      <w:r w:rsidRPr="00FB024F">
        <w:rPr>
          <w:rStyle w:val="Italic"/>
          <w:lang w:val="fr-CA"/>
        </w:rPr>
        <w:t xml:space="preserve"> </w:t>
      </w:r>
      <w:r w:rsidRPr="00FB024F">
        <w:rPr>
          <w:lang w:val="fr-CA"/>
        </w:rPr>
        <w:t xml:space="preserve">ordonné que l’affaire soit renvoyée à l’Office </w:t>
      </w:r>
      <w:r w:rsidR="0019173A">
        <w:rPr>
          <w:lang w:val="fr-CA"/>
        </w:rPr>
        <w:t>afin</w:t>
      </w:r>
      <w:r w:rsidRPr="00FB024F">
        <w:rPr>
          <w:lang w:val="fr-CA"/>
        </w:rPr>
        <w:t xml:space="preserve"> qu’il décide, pour d’autres motifs que la qualité pour agir, s’il enquêtera sur la plainte </w:t>
      </w:r>
      <w:r>
        <w:rPr>
          <w:lang w:val="fr-CA"/>
        </w:rPr>
        <w:t>de L</w:t>
      </w:r>
      <w:r w:rsidRPr="00FB024F">
        <w:rPr>
          <w:lang w:val="fr-CA"/>
        </w:rPr>
        <w:t>, l’entendra et en décidera</w:t>
      </w:r>
      <w:r>
        <w:rPr>
          <w:lang w:val="fr-CA"/>
        </w:rPr>
        <w:t>.</w:t>
      </w:r>
    </w:p>
    <w:p w:rsidR="00FB024F" w:rsidRPr="00FB024F" w:rsidRDefault="00C30011" w:rsidP="00B830F5">
      <w:pPr>
        <w:pStyle w:val="SCCNormalDoubleSpacing"/>
        <w:widowControl w:val="0"/>
        <w:spacing w:after="480"/>
        <w:rPr>
          <w:lang w:val="fr-CA"/>
        </w:rPr>
      </w:pPr>
      <w:r w:rsidRPr="0019173A">
        <w:rPr>
          <w:i/>
          <w:lang w:val="fr-CA"/>
        </w:rPr>
        <w:tab/>
      </w:r>
      <w:r w:rsidR="00FB024F" w:rsidRPr="00FB024F">
        <w:rPr>
          <w:i/>
          <w:lang w:val="fr-CA"/>
        </w:rPr>
        <w:t>Arrêt</w:t>
      </w:r>
      <w:r w:rsidRPr="00FB024F">
        <w:rPr>
          <w:i/>
          <w:lang w:val="fr-CA"/>
        </w:rPr>
        <w:t xml:space="preserve"> </w:t>
      </w:r>
      <w:r w:rsidRPr="00FB024F">
        <w:rPr>
          <w:lang w:val="fr-CA"/>
        </w:rPr>
        <w:t>(</w:t>
      </w:r>
      <w:r w:rsidR="00FB024F" w:rsidRPr="00FB024F">
        <w:rPr>
          <w:lang w:val="fr-CA"/>
        </w:rPr>
        <w:t xml:space="preserve">les juges </w:t>
      </w:r>
      <w:r w:rsidRPr="00FB024F">
        <w:rPr>
          <w:lang w:val="fr-CA"/>
        </w:rPr>
        <w:t xml:space="preserve">Abella, Moldaver </w:t>
      </w:r>
      <w:r w:rsidR="00FB024F" w:rsidRPr="00FB024F">
        <w:rPr>
          <w:lang w:val="fr-CA"/>
        </w:rPr>
        <w:t>et</w:t>
      </w:r>
      <w:r w:rsidRPr="00FB024F">
        <w:rPr>
          <w:lang w:val="fr-CA"/>
        </w:rPr>
        <w:t xml:space="preserve"> </w:t>
      </w:r>
      <w:r w:rsidRPr="0019173A">
        <w:rPr>
          <w:lang w:val="fr-CA"/>
        </w:rPr>
        <w:t xml:space="preserve">Karakatsanis </w:t>
      </w:r>
      <w:r w:rsidR="00FB024F" w:rsidRPr="0019173A">
        <w:rPr>
          <w:lang w:val="fr-CA"/>
        </w:rPr>
        <w:t>sont dissidents</w:t>
      </w:r>
      <w:r w:rsidRPr="0019173A">
        <w:rPr>
          <w:lang w:val="fr-CA"/>
        </w:rPr>
        <w:t>)</w:t>
      </w:r>
      <w:r w:rsidR="0019173A">
        <w:rPr>
          <w:lang w:val="fr-CA"/>
        </w:rPr>
        <w:t> </w:t>
      </w:r>
      <w:r w:rsidRPr="00FB024F">
        <w:rPr>
          <w:lang w:val="fr-CA"/>
        </w:rPr>
        <w:t xml:space="preserve">: </w:t>
      </w:r>
      <w:r w:rsidR="00FB024F" w:rsidRPr="00FB024F">
        <w:rPr>
          <w:lang w:val="fr-CA"/>
        </w:rPr>
        <w:t>L’appel est accueilli en partie.</w:t>
      </w:r>
      <w:r w:rsidR="00FB024F">
        <w:rPr>
          <w:lang w:val="fr-CA"/>
        </w:rPr>
        <w:t xml:space="preserve"> L’affaire est renvoyée à l’Office </w:t>
      </w:r>
      <w:r w:rsidR="00727DF7" w:rsidRPr="0073441B">
        <w:rPr>
          <w:lang w:val="fr-CA"/>
        </w:rPr>
        <w:t xml:space="preserve">pour qu’il </w:t>
      </w:r>
      <w:r w:rsidR="0019173A">
        <w:rPr>
          <w:lang w:val="fr-CA"/>
        </w:rPr>
        <w:t>l’</w:t>
      </w:r>
      <w:r w:rsidR="00727DF7" w:rsidRPr="0073441B">
        <w:rPr>
          <w:lang w:val="fr-CA"/>
        </w:rPr>
        <w:t>examine de nouveau dans son ensemble, que ce soit sur le fondement de la qualité pour agir ou autrement</w:t>
      </w:r>
      <w:r w:rsidR="00727DF7">
        <w:rPr>
          <w:lang w:val="fr-CA"/>
        </w:rPr>
        <w:t>.</w:t>
      </w:r>
    </w:p>
    <w:p w:rsidR="00727DF7" w:rsidRPr="00C646EA" w:rsidRDefault="00C30011" w:rsidP="00B830F5">
      <w:pPr>
        <w:pStyle w:val="SCCNormalDoubleSpacing"/>
        <w:widowControl w:val="0"/>
        <w:spacing w:after="480"/>
        <w:rPr>
          <w:i/>
          <w:lang w:val="fr-CA"/>
        </w:rPr>
      </w:pPr>
      <w:r w:rsidRPr="0019173A">
        <w:rPr>
          <w:i/>
          <w:lang w:val="fr-CA"/>
        </w:rPr>
        <w:tab/>
      </w:r>
      <w:r w:rsidR="00727DF7" w:rsidRPr="00727DF7">
        <w:rPr>
          <w:i/>
          <w:lang w:val="fr-CA"/>
        </w:rPr>
        <w:t xml:space="preserve">La </w:t>
      </w:r>
      <w:r w:rsidR="00727DF7" w:rsidRPr="009E4988">
        <w:rPr>
          <w:lang w:val="fr-CA"/>
        </w:rPr>
        <w:t>juge en chef</w:t>
      </w:r>
      <w:r w:rsidRPr="00727DF7">
        <w:rPr>
          <w:lang w:val="fr-CA"/>
        </w:rPr>
        <w:t xml:space="preserve"> </w:t>
      </w:r>
      <w:r w:rsidRPr="00156F6B">
        <w:rPr>
          <w:lang w:val="fr-CA"/>
        </w:rPr>
        <w:t>McLachlin</w:t>
      </w:r>
      <w:r w:rsidRPr="00727DF7">
        <w:rPr>
          <w:lang w:val="fr-CA"/>
        </w:rPr>
        <w:t xml:space="preserve"> </w:t>
      </w:r>
      <w:r w:rsidR="00727DF7" w:rsidRPr="00727DF7">
        <w:rPr>
          <w:lang w:val="fr-CA"/>
        </w:rPr>
        <w:t>et les juges</w:t>
      </w:r>
      <w:r w:rsidRPr="00727DF7">
        <w:rPr>
          <w:lang w:val="fr-CA"/>
        </w:rPr>
        <w:t xml:space="preserve"> Wagner, Gascon, Côté, Brown </w:t>
      </w:r>
      <w:r w:rsidR="00727DF7" w:rsidRPr="00727DF7">
        <w:rPr>
          <w:lang w:val="fr-CA"/>
        </w:rPr>
        <w:t xml:space="preserve">et </w:t>
      </w:r>
      <w:r w:rsidR="00CC3A7D">
        <w:rPr>
          <w:lang w:val="fr-CA"/>
        </w:rPr>
        <w:lastRenderedPageBreak/>
        <w:t>Rowe :</w:t>
      </w:r>
      <w:r w:rsidRPr="00727DF7">
        <w:rPr>
          <w:lang w:val="fr-CA"/>
        </w:rPr>
        <w:t xml:space="preserve"> </w:t>
      </w:r>
      <w:r w:rsidR="00727DF7">
        <w:rPr>
          <w:lang w:val="fr-CA"/>
        </w:rPr>
        <w:t xml:space="preserve">La </w:t>
      </w:r>
      <w:r w:rsidR="00727DF7">
        <w:rPr>
          <w:i/>
          <w:lang w:val="fr-CA"/>
        </w:rPr>
        <w:t>Loi sur les transports au C</w:t>
      </w:r>
      <w:r w:rsidR="00727DF7" w:rsidRPr="00727DF7">
        <w:rPr>
          <w:i/>
          <w:lang w:val="fr-CA"/>
        </w:rPr>
        <w:t>anada</w:t>
      </w:r>
      <w:r w:rsidR="00727DF7">
        <w:rPr>
          <w:lang w:val="fr-CA"/>
        </w:rPr>
        <w:t xml:space="preserve"> </w:t>
      </w:r>
      <w:r w:rsidR="00727DF7" w:rsidRPr="0073441B">
        <w:rPr>
          <w:lang w:val="fr-CA"/>
        </w:rPr>
        <w:t>confère à l’Office un large pouvoir discrétionnaire d’entendre les plaintes et d’en décider</w:t>
      </w:r>
      <w:r w:rsidR="00727DF7">
        <w:rPr>
          <w:lang w:val="fr-CA"/>
        </w:rPr>
        <w:t xml:space="preserve">. En l’espèce, </w:t>
      </w:r>
      <w:r w:rsidR="00727DF7" w:rsidRPr="0073441B">
        <w:rPr>
          <w:lang w:val="fr-CA"/>
        </w:rPr>
        <w:t xml:space="preserve">l’Office </w:t>
      </w:r>
      <w:r w:rsidR="00727DF7">
        <w:rPr>
          <w:lang w:val="fr-CA"/>
        </w:rPr>
        <w:t>n’</w:t>
      </w:r>
      <w:r w:rsidR="00727DF7" w:rsidRPr="0073441B">
        <w:rPr>
          <w:lang w:val="fr-CA"/>
        </w:rPr>
        <w:t xml:space="preserve">a </w:t>
      </w:r>
      <w:r w:rsidR="00727DF7">
        <w:rPr>
          <w:lang w:val="fr-CA"/>
        </w:rPr>
        <w:t xml:space="preserve">pas </w:t>
      </w:r>
      <w:r w:rsidR="00727DF7" w:rsidRPr="0073441B">
        <w:rPr>
          <w:lang w:val="fr-CA"/>
        </w:rPr>
        <w:t xml:space="preserve">raisonnablement exercé son pouvoir discrétionnaire de rejeter la plainte </w:t>
      </w:r>
      <w:r w:rsidR="00727DF7">
        <w:rPr>
          <w:lang w:val="fr-CA"/>
        </w:rPr>
        <w:t xml:space="preserve">de L. </w:t>
      </w:r>
      <w:r w:rsidR="00727DF7" w:rsidRPr="0073441B">
        <w:rPr>
          <w:lang w:val="fr-CA"/>
        </w:rPr>
        <w:t>Une décision est raisonnable si elle est justifiable, transparente et intelligible et si elle appartient aux issues possibles acceptables</w:t>
      </w:r>
      <w:r w:rsidR="00727DF7">
        <w:rPr>
          <w:lang w:val="fr-CA"/>
        </w:rPr>
        <w:t>. La décision de l’Office selon laquelle L n’avait pas qualité pour agir ne respecte pas ces exigences, et ce</w:t>
      </w:r>
      <w:r w:rsidR="0019173A">
        <w:rPr>
          <w:lang w:val="fr-CA"/>
        </w:rPr>
        <w:t>,</w:t>
      </w:r>
      <w:r w:rsidR="00727DF7">
        <w:rPr>
          <w:lang w:val="fr-CA"/>
        </w:rPr>
        <w:t xml:space="preserve"> pour deux raisons. Premièrement, </w:t>
      </w:r>
      <w:r w:rsidR="00727DF7" w:rsidRPr="00727DF7">
        <w:rPr>
          <w:rStyle w:val="Italic"/>
          <w:i w:val="0"/>
          <w:lang w:val="fr-CA"/>
        </w:rPr>
        <w:t xml:space="preserve">l’Office a présumé qu’il </w:t>
      </w:r>
      <w:r w:rsidR="003712FE">
        <w:rPr>
          <w:rStyle w:val="Italic"/>
          <w:i w:val="0"/>
          <w:lang w:val="fr-CA"/>
        </w:rPr>
        <w:t xml:space="preserve">pourrait y avoir </w:t>
      </w:r>
      <w:r w:rsidR="00727DF7" w:rsidRPr="00727DF7">
        <w:rPr>
          <w:rStyle w:val="Italic"/>
          <w:i w:val="0"/>
          <w:lang w:val="fr-CA"/>
        </w:rPr>
        <w:t>qualité pour agir dans l’intérêt public et a ensuite appliqué un test auquel il est impossible de satisfaire.</w:t>
      </w:r>
      <w:r w:rsidR="00727DF7">
        <w:rPr>
          <w:rStyle w:val="Italic"/>
          <w:i w:val="0"/>
          <w:lang w:val="fr-CA"/>
        </w:rPr>
        <w:t xml:space="preserve"> </w:t>
      </w:r>
      <w:r w:rsidR="00727DF7" w:rsidRPr="00727DF7">
        <w:rPr>
          <w:rStyle w:val="Italic"/>
          <w:i w:val="0"/>
          <w:lang w:val="fr-CA"/>
        </w:rPr>
        <w:t>Toute plainte valide contre un transporteur aérien revient à contester les conditions établies par une société privée.</w:t>
      </w:r>
      <w:r w:rsidR="00727DF7" w:rsidRPr="00727DF7">
        <w:rPr>
          <w:lang w:val="fr-CA"/>
        </w:rPr>
        <w:t xml:space="preserve"> </w:t>
      </w:r>
      <w:r w:rsidR="00727DF7">
        <w:rPr>
          <w:rStyle w:val="Italic"/>
          <w:i w:val="0"/>
          <w:lang w:val="fr-CA"/>
        </w:rPr>
        <w:t>U</w:t>
      </w:r>
      <w:r w:rsidR="00727DF7" w:rsidRPr="00727DF7">
        <w:rPr>
          <w:rStyle w:val="Italic"/>
          <w:i w:val="0"/>
          <w:lang w:val="fr-CA"/>
        </w:rPr>
        <w:t xml:space="preserve">ne plainte </w:t>
      </w:r>
      <w:r w:rsidR="00727DF7">
        <w:rPr>
          <w:rStyle w:val="Italic"/>
          <w:i w:val="0"/>
          <w:lang w:val="fr-CA"/>
        </w:rPr>
        <w:t>de ce type</w:t>
      </w:r>
      <w:r w:rsidR="00727DF7" w:rsidRPr="00727DF7">
        <w:rPr>
          <w:rStyle w:val="Italic"/>
          <w:i w:val="0"/>
          <w:lang w:val="fr-CA"/>
        </w:rPr>
        <w:t xml:space="preserve"> ne peut jamais, </w:t>
      </w:r>
      <w:r w:rsidR="0019173A">
        <w:rPr>
          <w:rStyle w:val="Italic"/>
          <w:i w:val="0"/>
          <w:lang w:val="fr-CA"/>
        </w:rPr>
        <w:t>compte tenu de</w:t>
      </w:r>
      <w:r w:rsidR="00727DF7" w:rsidRPr="00727DF7">
        <w:rPr>
          <w:rStyle w:val="Italic"/>
          <w:i w:val="0"/>
          <w:lang w:val="fr-CA"/>
        </w:rPr>
        <w:t xml:space="preserve"> sa nature même, être une contestation de la constitutionnalité d’une loi ou de l’illégalité d’une mesure administrative.</w:t>
      </w:r>
      <w:r w:rsidR="00727DF7" w:rsidRPr="00727DF7">
        <w:rPr>
          <w:lang w:val="fr-CA"/>
        </w:rPr>
        <w:t xml:space="preserve"> </w:t>
      </w:r>
      <w:r w:rsidR="00727DF7" w:rsidRPr="0073441B">
        <w:rPr>
          <w:lang w:val="fr-CA"/>
        </w:rPr>
        <w:t>L’imposition d’un test auquel il est impossible de satisfaire ne peut pas être ce que voulait le législateur lorsqu’il a conféré à cet organisme administratif le large pouvoir discrétionnaire de décider s’il entendra des plaintes.</w:t>
      </w:r>
      <w:r w:rsidR="00727DF7">
        <w:rPr>
          <w:lang w:val="fr-CA"/>
        </w:rPr>
        <w:t xml:space="preserve"> </w:t>
      </w:r>
      <w:r w:rsidR="00727DF7" w:rsidRPr="00727DF7">
        <w:rPr>
          <w:rStyle w:val="Italic"/>
          <w:i w:val="0"/>
          <w:lang w:val="fr-CA"/>
        </w:rPr>
        <w:t>L’application du test par l’Office est également incompatible avec la raison d’être de la qualité pour agir dans l’intérêt public</w:t>
      </w:r>
      <w:r w:rsidR="00C646EA">
        <w:rPr>
          <w:rStyle w:val="Italic"/>
          <w:i w:val="0"/>
          <w:lang w:val="fr-CA"/>
        </w:rPr>
        <w:t>, soit, que l</w:t>
      </w:r>
      <w:r w:rsidR="00C646EA" w:rsidRPr="00C646EA">
        <w:rPr>
          <w:rStyle w:val="Italic"/>
          <w:i w:val="0"/>
          <w:lang w:val="fr-CA"/>
        </w:rPr>
        <w:t>e tribunal judiciaire doit exercer son pouvoir discrétionnaire, s’il y a lieu, pour donner accès à un plus grand nombre de demandeurs.</w:t>
      </w:r>
      <w:r w:rsidR="00C646EA">
        <w:rPr>
          <w:rStyle w:val="Italic"/>
          <w:i w:val="0"/>
          <w:lang w:val="fr-CA"/>
        </w:rPr>
        <w:t xml:space="preserve"> </w:t>
      </w:r>
      <w:r w:rsidR="00C646EA" w:rsidRPr="00C646EA">
        <w:rPr>
          <w:rStyle w:val="Italic"/>
          <w:i w:val="0"/>
          <w:lang w:val="fr-CA"/>
        </w:rPr>
        <w:t>L’Office n’a pas adopté une approche souple à l’égard de cette question et, ce faisant, il a entravé son pouvoir discrétionnaire de manière déraisonnable.</w:t>
      </w:r>
    </w:p>
    <w:p w:rsidR="00C30011" w:rsidRPr="009022E9" w:rsidRDefault="00C646EA" w:rsidP="00B830F5">
      <w:pPr>
        <w:pStyle w:val="SCCNormalDoubleSpacing"/>
        <w:widowControl w:val="0"/>
        <w:spacing w:after="480"/>
        <w:rPr>
          <w:i/>
          <w:lang w:val="fr-CA"/>
        </w:rPr>
      </w:pPr>
      <w:r w:rsidRPr="0019173A">
        <w:rPr>
          <w:lang w:val="fr-CA"/>
        </w:rPr>
        <w:tab/>
      </w:r>
      <w:r w:rsidRPr="00C646EA">
        <w:rPr>
          <w:lang w:val="fr-CA"/>
        </w:rPr>
        <w:t xml:space="preserve">Deuxièmement, </w:t>
      </w:r>
      <w:r w:rsidRPr="00C646EA">
        <w:rPr>
          <w:rStyle w:val="Italic"/>
          <w:i w:val="0"/>
          <w:lang w:val="fr-CA"/>
        </w:rPr>
        <w:t>le refus total de reconnaître la qualité pour agir dans l’intérêt public est incompatible avec une interprétation raisonnable du régime législatif applicable à l’Office.</w:t>
      </w:r>
      <w:r w:rsidR="006B6D9C">
        <w:rPr>
          <w:rStyle w:val="Italic"/>
          <w:i w:val="0"/>
          <w:lang w:val="fr-CA"/>
        </w:rPr>
        <w:t xml:space="preserve"> </w:t>
      </w:r>
      <w:r w:rsidR="006B6D9C" w:rsidRPr="006B6D9C">
        <w:rPr>
          <w:rStyle w:val="Italic"/>
          <w:i w:val="0"/>
          <w:lang w:val="fr-CA"/>
        </w:rPr>
        <w:t xml:space="preserve">L’application </w:t>
      </w:r>
      <w:r w:rsidR="006B6D9C">
        <w:rPr>
          <w:rStyle w:val="Italic"/>
          <w:i w:val="0"/>
          <w:lang w:val="fr-CA"/>
        </w:rPr>
        <w:t>des</w:t>
      </w:r>
      <w:r w:rsidR="006B6D9C" w:rsidRPr="006B6D9C">
        <w:rPr>
          <w:rStyle w:val="Italic"/>
          <w:i w:val="0"/>
          <w:lang w:val="fr-CA"/>
        </w:rPr>
        <w:t xml:space="preserve"> tests </w:t>
      </w:r>
      <w:r w:rsidR="006B6D9C">
        <w:rPr>
          <w:rStyle w:val="Italic"/>
          <w:i w:val="0"/>
          <w:lang w:val="fr-CA"/>
        </w:rPr>
        <w:t xml:space="preserve">relatifs à la qualité pour agir dans l’intérêt privé et celle pour agir dans l’intérêt public </w:t>
      </w:r>
      <w:r w:rsidR="006B6D9C" w:rsidRPr="006B6D9C">
        <w:rPr>
          <w:rStyle w:val="Italic"/>
          <w:i w:val="0"/>
          <w:lang w:val="fr-CA"/>
        </w:rPr>
        <w:t>de la façon dont l’Office l’a fait</w:t>
      </w:r>
      <w:r w:rsidR="006B6D9C" w:rsidRPr="0073441B">
        <w:rPr>
          <w:rStyle w:val="Italic"/>
          <w:lang w:val="fr-CA"/>
        </w:rPr>
        <w:t xml:space="preserve"> </w:t>
      </w:r>
      <w:r w:rsidR="006B6D9C" w:rsidRPr="0073441B">
        <w:rPr>
          <w:lang w:val="fr-CA"/>
        </w:rPr>
        <w:t xml:space="preserve">empêcherait tout groupe de défense de l’intérêt public ou groupe représentatif de se voir reconnaître </w:t>
      </w:r>
      <w:r w:rsidR="002E356C">
        <w:rPr>
          <w:lang w:val="fr-CA"/>
        </w:rPr>
        <w:lastRenderedPageBreak/>
        <w:t xml:space="preserve">qualité </w:t>
      </w:r>
      <w:r w:rsidR="006B6D9C" w:rsidRPr="0073441B">
        <w:rPr>
          <w:lang w:val="fr-CA"/>
        </w:rPr>
        <w:t>pour agir devant l’Office, sans égard au contenu de sa plainte.</w:t>
      </w:r>
      <w:r w:rsidR="006B6D9C">
        <w:rPr>
          <w:lang w:val="fr-CA"/>
        </w:rPr>
        <w:t xml:space="preserve"> </w:t>
      </w:r>
      <w:r w:rsidR="006B6D9C" w:rsidRPr="006B6D9C">
        <w:rPr>
          <w:rStyle w:val="Italic"/>
          <w:i w:val="0"/>
          <w:lang w:val="fr-CA"/>
        </w:rPr>
        <w:t>De fait, seule une personne qui est elle-même visée par la politique contestée pourrait déposer une plainte</w:t>
      </w:r>
      <w:r w:rsidR="006B6D9C">
        <w:rPr>
          <w:rStyle w:val="Italic"/>
          <w:i w:val="0"/>
          <w:lang w:val="fr-CA"/>
        </w:rPr>
        <w:t xml:space="preserve">. </w:t>
      </w:r>
      <w:r w:rsidR="006B6D9C" w:rsidRPr="006B6D9C">
        <w:rPr>
          <w:rStyle w:val="Italic"/>
          <w:i w:val="0"/>
          <w:lang w:val="fr-CA"/>
        </w:rPr>
        <w:t>Ce résultat est contraire à l’esprit de la Loi. Le législateur a jugé bon de conférer à l’Office un large pouvoir de réparation</w:t>
      </w:r>
      <w:r w:rsidR="006B6D9C">
        <w:rPr>
          <w:rStyle w:val="Italic"/>
          <w:i w:val="0"/>
          <w:lang w:val="fr-CA"/>
        </w:rPr>
        <w:t xml:space="preserve"> et de </w:t>
      </w:r>
      <w:r w:rsidR="0019173A">
        <w:rPr>
          <w:rStyle w:val="Italic"/>
          <w:i w:val="0"/>
          <w:lang w:val="fr-CA"/>
        </w:rPr>
        <w:t xml:space="preserve">lui </w:t>
      </w:r>
      <w:r w:rsidR="006B6D9C">
        <w:rPr>
          <w:rStyle w:val="Italic"/>
          <w:i w:val="0"/>
          <w:lang w:val="fr-CA"/>
        </w:rPr>
        <w:t xml:space="preserve">permettre </w:t>
      </w:r>
      <w:r w:rsidR="006B6D9C" w:rsidRPr="006B6D9C">
        <w:rPr>
          <w:rStyle w:val="Italic"/>
          <w:i w:val="0"/>
          <w:lang w:val="fr-CA"/>
        </w:rPr>
        <w:t>d’agir pour corriger des conditions discriminatoires avant que les passagers ne subissent un préjudice.</w:t>
      </w:r>
      <w:r w:rsidR="009022E9">
        <w:rPr>
          <w:rStyle w:val="Italic"/>
          <w:i w:val="0"/>
          <w:lang w:val="fr-CA"/>
        </w:rPr>
        <w:t xml:space="preserve"> </w:t>
      </w:r>
      <w:r w:rsidR="009022E9" w:rsidRPr="009022E9">
        <w:rPr>
          <w:rStyle w:val="Italic"/>
          <w:i w:val="0"/>
          <w:lang w:val="fr-CA"/>
        </w:rPr>
        <w:t>Rejeter une plainte sur le seul fondement de l’identité du groupe qui la porte empêcherait l’Office d’entendre des plaintes qui pourraient se révéler fort pertinentes et entraverait sa capacité à réaliser l’objectif du régime créé par la Loi.</w:t>
      </w:r>
    </w:p>
    <w:p w:rsidR="00C30011" w:rsidRPr="009022E9" w:rsidRDefault="00C30011" w:rsidP="00B830F5">
      <w:pPr>
        <w:pStyle w:val="SCCNormalDoubleSpacing"/>
        <w:widowControl w:val="0"/>
        <w:spacing w:after="480"/>
        <w:rPr>
          <w:lang w:val="fr-CA"/>
        </w:rPr>
      </w:pPr>
      <w:r w:rsidRPr="00C646EA">
        <w:rPr>
          <w:lang w:val="fr-CA"/>
        </w:rPr>
        <w:tab/>
      </w:r>
      <w:r w:rsidR="009022E9" w:rsidRPr="0073441B">
        <w:rPr>
          <w:lang w:val="fr-CA"/>
        </w:rPr>
        <w:t xml:space="preserve">Bien qu’une cour de révision puisse compléter les motifs donnés au soutien d’une décision administrative, elle ne peut faire abstraction des motifs effectivement fournis ou les remplacer. Il ne s’agit pas d’un cas où le simple fait de compléter les motifs est susceptible de rendre la décision raisonnable. </w:t>
      </w:r>
      <w:r w:rsidR="000C1BC4" w:rsidRPr="0073441B">
        <w:rPr>
          <w:lang w:val="fr-CA"/>
        </w:rPr>
        <w:t xml:space="preserve">L’Office a clairement énoncé un test relatif à la qualité pour agir dans l’intérêt public et il l’a appliqué. </w:t>
      </w:r>
      <w:r w:rsidR="0019173A">
        <w:rPr>
          <w:lang w:val="fr-CA"/>
        </w:rPr>
        <w:t>Il</w:t>
      </w:r>
      <w:r w:rsidR="000C1BC4" w:rsidRPr="0073441B">
        <w:rPr>
          <w:lang w:val="fr-CA"/>
        </w:rPr>
        <w:t xml:space="preserve"> aurait pu adapter ce test afin que les plaignants assujettis à son régime législatif puissent être en mesure de le respecter.</w:t>
      </w:r>
      <w:r w:rsidRPr="009022E9">
        <w:rPr>
          <w:lang w:val="fr-CA"/>
        </w:rPr>
        <w:t xml:space="preserve"> </w:t>
      </w:r>
      <w:r w:rsidR="000C1BC4">
        <w:rPr>
          <w:lang w:val="fr-CA"/>
        </w:rPr>
        <w:t>I</w:t>
      </w:r>
      <w:r w:rsidR="000C1BC4" w:rsidRPr="0073441B">
        <w:rPr>
          <w:lang w:val="fr-CA"/>
        </w:rPr>
        <w:t>l aurait pu également exercer son pouvoir discrétionnaire sans faire la moindre référence à la qualité pour agir. Il n’a toutefois emprunté ni l’une ni l’autre de ces avenues</w:t>
      </w:r>
      <w:r w:rsidR="000C1BC4">
        <w:rPr>
          <w:lang w:val="fr-CA"/>
        </w:rPr>
        <w:t xml:space="preserve"> et l</w:t>
      </w:r>
      <w:r w:rsidR="000C1BC4" w:rsidRPr="0073441B">
        <w:rPr>
          <w:lang w:val="fr-CA"/>
        </w:rPr>
        <w:t>a cour de révision ne doit pas les emprunter à la place de l’Office</w:t>
      </w:r>
      <w:r w:rsidR="00417595">
        <w:rPr>
          <w:lang w:val="fr-CA"/>
        </w:rPr>
        <w:t>.</w:t>
      </w:r>
    </w:p>
    <w:p w:rsidR="00C30011" w:rsidRPr="005F4B5B" w:rsidRDefault="00C30011" w:rsidP="00B830F5">
      <w:pPr>
        <w:pStyle w:val="SCCNormalDoubleSpacing"/>
        <w:widowControl w:val="0"/>
        <w:spacing w:after="480"/>
        <w:rPr>
          <w:lang w:val="fr-CA"/>
        </w:rPr>
      </w:pPr>
      <w:r w:rsidRPr="009022E9">
        <w:rPr>
          <w:lang w:val="fr-CA"/>
        </w:rPr>
        <w:tab/>
      </w:r>
      <w:r w:rsidR="005F4B5B">
        <w:rPr>
          <w:lang w:val="fr-CA"/>
        </w:rPr>
        <w:t>L</w:t>
      </w:r>
      <w:r w:rsidR="005F4B5B" w:rsidRPr="0073441B">
        <w:rPr>
          <w:lang w:val="fr-CA"/>
        </w:rPr>
        <w:t>a Cour d’appel s’est méprise en concluant que</w:t>
      </w:r>
      <w:r w:rsidRPr="005F4B5B">
        <w:rPr>
          <w:lang w:val="fr-CA"/>
        </w:rPr>
        <w:t xml:space="preserve"> </w:t>
      </w:r>
      <w:r w:rsidR="005F4B5B" w:rsidRPr="0073441B">
        <w:rPr>
          <w:lang w:val="fr-CA"/>
        </w:rPr>
        <w:t>l’Office ne pouvait pas recourir aux règles relatives à la qualité pour agir lors de son nouvel examen de l’affaire. La meilleure façon de faire est de renvoyer l’affaire à l’Office pour qu’il l’examine de nouveau dans son ensemble.</w:t>
      </w:r>
      <w:r w:rsidR="005F4B5B">
        <w:rPr>
          <w:lang w:val="fr-CA"/>
        </w:rPr>
        <w:t xml:space="preserve"> </w:t>
      </w:r>
      <w:r w:rsidR="005F4B5B" w:rsidRPr="0073441B">
        <w:rPr>
          <w:lang w:val="fr-CA"/>
        </w:rPr>
        <w:t xml:space="preserve">La déférence requiert que l’Office décide lui-même comment exercer son pouvoir discrétionnaire, pourvu qu’il le fasse de </w:t>
      </w:r>
      <w:r w:rsidR="005F4B5B" w:rsidRPr="0073441B">
        <w:rPr>
          <w:lang w:val="fr-CA"/>
        </w:rPr>
        <w:lastRenderedPageBreak/>
        <w:t>manière raisonnable.</w:t>
      </w:r>
    </w:p>
    <w:p w:rsidR="00B1382F" w:rsidRDefault="00C30011" w:rsidP="00B830F5">
      <w:pPr>
        <w:pStyle w:val="SCCNormalDoubleSpacing"/>
        <w:widowControl w:val="0"/>
        <w:spacing w:after="480"/>
        <w:rPr>
          <w:lang w:val="fr-CA"/>
        </w:rPr>
      </w:pPr>
      <w:r w:rsidRPr="005F4B5B">
        <w:rPr>
          <w:lang w:val="fr-CA"/>
        </w:rPr>
        <w:tab/>
      </w:r>
      <w:r w:rsidR="009E4988">
        <w:rPr>
          <w:i/>
          <w:lang w:val="fr-CA"/>
        </w:rPr>
        <w:t>Les</w:t>
      </w:r>
      <w:r w:rsidR="005F4B5B" w:rsidRPr="0019173A">
        <w:rPr>
          <w:i/>
          <w:lang w:val="fr-CA"/>
        </w:rPr>
        <w:t xml:space="preserve"> </w:t>
      </w:r>
      <w:r w:rsidR="005F4B5B" w:rsidRPr="009E4988">
        <w:rPr>
          <w:lang w:val="fr-CA"/>
        </w:rPr>
        <w:t>juge</w:t>
      </w:r>
      <w:r w:rsidR="009E4988" w:rsidRPr="009E4988">
        <w:rPr>
          <w:lang w:val="fr-CA"/>
        </w:rPr>
        <w:t>s</w:t>
      </w:r>
      <w:r w:rsidR="005F4B5B" w:rsidRPr="0019173A">
        <w:rPr>
          <w:i/>
          <w:lang w:val="fr-CA"/>
        </w:rPr>
        <w:t xml:space="preserve"> </w:t>
      </w:r>
      <w:r w:rsidRPr="00156F6B">
        <w:rPr>
          <w:lang w:val="fr-CA"/>
        </w:rPr>
        <w:t>Abella</w:t>
      </w:r>
      <w:r w:rsidRPr="0019173A">
        <w:rPr>
          <w:lang w:val="fr-CA"/>
        </w:rPr>
        <w:t xml:space="preserve">, Moldaver </w:t>
      </w:r>
      <w:r w:rsidR="005F4B5B" w:rsidRPr="0019173A">
        <w:rPr>
          <w:lang w:val="fr-CA"/>
        </w:rPr>
        <w:t>et</w:t>
      </w:r>
      <w:r w:rsidRPr="0019173A">
        <w:rPr>
          <w:lang w:val="fr-CA"/>
        </w:rPr>
        <w:t xml:space="preserve"> Karakatsanis (diss</w:t>
      </w:r>
      <w:r w:rsidR="005F4B5B" w:rsidRPr="0019173A">
        <w:rPr>
          <w:lang w:val="fr-CA"/>
        </w:rPr>
        <w:t>idents</w:t>
      </w:r>
      <w:r w:rsidRPr="0019173A">
        <w:rPr>
          <w:lang w:val="fr-CA"/>
        </w:rPr>
        <w:t>)</w:t>
      </w:r>
      <w:r w:rsidR="005F4B5B" w:rsidRPr="0019173A">
        <w:rPr>
          <w:lang w:val="fr-CA"/>
        </w:rPr>
        <w:t> </w:t>
      </w:r>
      <w:r w:rsidRPr="0019173A">
        <w:rPr>
          <w:lang w:val="fr-CA"/>
        </w:rPr>
        <w:t xml:space="preserve">: </w:t>
      </w:r>
      <w:r w:rsidR="00B1382F" w:rsidRPr="00A876A8">
        <w:rPr>
          <w:lang w:val="fr-CA"/>
        </w:rPr>
        <w:t>Rien dans le mandat de l’Office ne limite sa capacité à décider de la façon dont il déterminera quelles affaires il entendra.</w:t>
      </w:r>
      <w:r w:rsidR="00B1382F" w:rsidRPr="00B1382F">
        <w:rPr>
          <w:lang w:val="fr-CA"/>
        </w:rPr>
        <w:t xml:space="preserve"> </w:t>
      </w:r>
      <w:r w:rsidR="00B1382F" w:rsidRPr="00A876A8">
        <w:rPr>
          <w:lang w:val="fr-CA"/>
        </w:rPr>
        <w:t>Le législateur a conféré à l’Office un vaste pouvoir discrétionnaire pour choisir, en fonction de ses propres contraintes et exigences institutionnelles, la façon dont il met en œuvre son mandat général visant à réglementer et à trancher les questions r</w:t>
      </w:r>
      <w:r w:rsidR="00417595">
        <w:rPr>
          <w:lang w:val="fr-CA"/>
        </w:rPr>
        <w:t xml:space="preserve">elatives au transport national. </w:t>
      </w:r>
      <w:r w:rsidR="00B1382F" w:rsidRPr="00A876A8">
        <w:rPr>
          <w:lang w:val="fr-CA"/>
        </w:rPr>
        <w:t xml:space="preserve">Il découle du libellé de </w:t>
      </w:r>
      <w:r w:rsidR="00B1382F">
        <w:rPr>
          <w:lang w:val="fr-CA"/>
        </w:rPr>
        <w:t>la loi</w:t>
      </w:r>
      <w:r w:rsidR="00B1382F" w:rsidRPr="00A876A8">
        <w:rPr>
          <w:lang w:val="fr-CA"/>
        </w:rPr>
        <w:t xml:space="preserve"> que le pouvoir de l’Office de traiter et de régler les plaintes est discrétionnaire</w:t>
      </w:r>
      <w:r w:rsidR="0019173A">
        <w:rPr>
          <w:lang w:val="fr-CA"/>
        </w:rPr>
        <w:t>,</w:t>
      </w:r>
      <w:r w:rsidR="00B1382F">
        <w:rPr>
          <w:lang w:val="fr-CA"/>
        </w:rPr>
        <w:t xml:space="preserve"> de sorte que </w:t>
      </w:r>
      <w:r w:rsidR="00B1382F" w:rsidRPr="00A876A8">
        <w:rPr>
          <w:lang w:val="fr-CA"/>
        </w:rPr>
        <w:t>l’Office peut établir ses propres règles sur l’exécution de ses travaux et sur la procédure relative aux questions dont il est saisi.</w:t>
      </w:r>
      <w:r w:rsidR="00B1382F">
        <w:rPr>
          <w:lang w:val="fr-CA"/>
        </w:rPr>
        <w:t xml:space="preserve"> </w:t>
      </w:r>
      <w:r w:rsidR="00B1382F" w:rsidRPr="00A876A8">
        <w:rPr>
          <w:lang w:val="fr-CA"/>
        </w:rPr>
        <w:t xml:space="preserve">En l’espèce, l’Office a élaboré ses règles relatives à la qualité pour agir en pleine conformité avec le mandat que lui </w:t>
      </w:r>
      <w:r w:rsidR="00B1382F" w:rsidRPr="0019173A">
        <w:rPr>
          <w:lang w:val="fr-CA"/>
        </w:rPr>
        <w:t>confère la Loi. Rien</w:t>
      </w:r>
      <w:r w:rsidR="00B1382F" w:rsidRPr="00A876A8">
        <w:rPr>
          <w:lang w:val="fr-CA"/>
        </w:rPr>
        <w:t xml:space="preserve"> ne justifie de les modifier.</w:t>
      </w:r>
    </w:p>
    <w:p w:rsidR="00C30011" w:rsidRPr="001D4C04" w:rsidRDefault="00B1382F" w:rsidP="00B830F5">
      <w:pPr>
        <w:pStyle w:val="SCCNormalDoubleSpacing"/>
        <w:widowControl w:val="0"/>
        <w:spacing w:after="480"/>
        <w:rPr>
          <w:lang w:val="fr-CA"/>
        </w:rPr>
      </w:pPr>
      <w:r w:rsidRPr="0019173A">
        <w:rPr>
          <w:lang w:val="fr-CA"/>
        </w:rPr>
        <w:tab/>
      </w:r>
      <w:r w:rsidRPr="001D4C04">
        <w:rPr>
          <w:lang w:val="fr-CA"/>
        </w:rPr>
        <w:t xml:space="preserve">Les règles sur la qualité pour </w:t>
      </w:r>
      <w:r w:rsidR="001D4C04">
        <w:rPr>
          <w:lang w:val="fr-CA"/>
        </w:rPr>
        <w:t xml:space="preserve">agir permettent </w:t>
      </w:r>
      <w:r w:rsidR="001D4C04" w:rsidRPr="0019173A">
        <w:rPr>
          <w:lang w:val="fr-CA"/>
        </w:rPr>
        <w:t xml:space="preserve">aux tribunaux </w:t>
      </w:r>
      <w:r w:rsidR="0019173A" w:rsidRPr="0019173A">
        <w:rPr>
          <w:lang w:val="fr-CA"/>
        </w:rPr>
        <w:t xml:space="preserve">judiciaires et </w:t>
      </w:r>
      <w:r w:rsidR="001D4C04" w:rsidRPr="0019173A">
        <w:rPr>
          <w:lang w:val="fr-CA"/>
        </w:rPr>
        <w:t>administratifs d’économiser et de hiérarchiser leurs ress</w:t>
      </w:r>
      <w:r w:rsidR="001D4C04" w:rsidRPr="00A876A8">
        <w:rPr>
          <w:lang w:val="fr-CA"/>
        </w:rPr>
        <w:t>ources, et leur donnent l’assurance de bénéficier des points de vue que font valoir contradictoirement les personnes qui sont les mieux placées pour le faire.</w:t>
      </w:r>
      <w:r w:rsidR="001D4C04">
        <w:rPr>
          <w:lang w:val="fr-CA"/>
        </w:rPr>
        <w:t xml:space="preserve"> L</w:t>
      </w:r>
      <w:r w:rsidR="001D4C04" w:rsidRPr="00A876A8">
        <w:rPr>
          <w:lang w:val="fr-CA"/>
        </w:rPr>
        <w:t>’Office a le droit d’appliquer un mécanisme de contrôle ou de filtrage</w:t>
      </w:r>
      <w:r w:rsidR="001D4C04">
        <w:rPr>
          <w:lang w:val="fr-CA"/>
        </w:rPr>
        <w:t xml:space="preserve"> qui lui </w:t>
      </w:r>
      <w:r w:rsidR="001D4C04" w:rsidRPr="00A876A8">
        <w:rPr>
          <w:lang w:val="fr-CA"/>
        </w:rPr>
        <w:t>permet de mettre en balance, de manière transparente et efficace, les divers intérêts et demandes opposés portés à sa connaissance, notamment en matière d’accès et de ressources.</w:t>
      </w:r>
    </w:p>
    <w:p w:rsidR="00C30011" w:rsidRPr="001D4C04" w:rsidRDefault="00ED395A" w:rsidP="00B830F5">
      <w:pPr>
        <w:pStyle w:val="SCCNormalDoubleSpacing"/>
        <w:widowControl w:val="0"/>
        <w:spacing w:after="480"/>
        <w:rPr>
          <w:lang w:val="fr-CA"/>
        </w:rPr>
      </w:pPr>
      <w:r>
        <w:rPr>
          <w:lang w:val="fr-CA"/>
        </w:rPr>
        <w:tab/>
      </w:r>
      <w:r w:rsidR="001D4C04">
        <w:rPr>
          <w:lang w:val="fr-CA"/>
        </w:rPr>
        <w:t>L</w:t>
      </w:r>
      <w:r w:rsidR="001D4C04" w:rsidRPr="00A876A8">
        <w:rPr>
          <w:lang w:val="fr-CA"/>
        </w:rPr>
        <w:t xml:space="preserve">es tribunaux administratifs </w:t>
      </w:r>
      <w:r w:rsidR="001D4C04">
        <w:rPr>
          <w:lang w:val="fr-CA"/>
        </w:rPr>
        <w:t xml:space="preserve">ne </w:t>
      </w:r>
      <w:r w:rsidR="001D4C04" w:rsidRPr="00A876A8">
        <w:rPr>
          <w:lang w:val="fr-CA"/>
        </w:rPr>
        <w:t>sont</w:t>
      </w:r>
      <w:r w:rsidR="001D4C04">
        <w:rPr>
          <w:lang w:val="fr-CA"/>
        </w:rPr>
        <w:t xml:space="preserve"> pas</w:t>
      </w:r>
      <w:r w:rsidR="001D4C04" w:rsidRPr="00A876A8">
        <w:rPr>
          <w:lang w:val="fr-CA"/>
        </w:rPr>
        <w:t xml:space="preserve"> </w:t>
      </w:r>
      <w:r w:rsidR="001D4C04" w:rsidRPr="001D4C04">
        <w:rPr>
          <w:lang w:val="fr-CA"/>
        </w:rPr>
        <w:t xml:space="preserve">tenus </w:t>
      </w:r>
      <w:r w:rsidR="001D4C04" w:rsidRPr="00A876A8">
        <w:rPr>
          <w:lang w:val="fr-CA"/>
        </w:rPr>
        <w:t>de suivre les mêmes procédures que celles utilisées par les tribunaux judiciaires</w:t>
      </w:r>
      <w:r w:rsidR="00156F6B">
        <w:rPr>
          <w:lang w:val="fr-CA"/>
        </w:rPr>
        <w:t>;</w:t>
      </w:r>
      <w:r w:rsidR="00C30011" w:rsidRPr="001D4C04">
        <w:rPr>
          <w:lang w:val="fr-CA"/>
        </w:rPr>
        <w:t xml:space="preserve"> </w:t>
      </w:r>
      <w:r w:rsidR="001D4C04">
        <w:rPr>
          <w:lang w:val="fr-CA"/>
        </w:rPr>
        <w:t>t</w:t>
      </w:r>
      <w:r w:rsidR="001D4C04" w:rsidRPr="00A876A8">
        <w:rPr>
          <w:lang w:val="fr-CA"/>
        </w:rPr>
        <w:t xml:space="preserve">outefois, lorsqu’un tribunal administratif comme l’Office choisit d’appliquer et d’exercer </w:t>
      </w:r>
      <w:r w:rsidR="0019173A">
        <w:rPr>
          <w:lang w:val="fr-CA"/>
        </w:rPr>
        <w:t>le</w:t>
      </w:r>
      <w:r w:rsidR="001D4C04" w:rsidRPr="00A876A8">
        <w:rPr>
          <w:lang w:val="fr-CA"/>
        </w:rPr>
        <w:t xml:space="preserve"> mandat étendu </w:t>
      </w:r>
      <w:r w:rsidR="001D4C04" w:rsidRPr="00A876A8">
        <w:rPr>
          <w:lang w:val="fr-CA"/>
        </w:rPr>
        <w:lastRenderedPageBreak/>
        <w:t>que la loi lui confère en empruntant une approche reconnue depuis longtemps par les tribunaux judiciaires comme une façon efficace et raisonnée de décider quelles affaires il entendra,</w:t>
      </w:r>
      <w:r w:rsidR="00C30011" w:rsidRPr="001D4C04">
        <w:rPr>
          <w:lang w:val="fr-CA"/>
        </w:rPr>
        <w:t xml:space="preserve"> </w:t>
      </w:r>
      <w:r w:rsidR="001D4C04">
        <w:rPr>
          <w:lang w:val="fr-CA"/>
        </w:rPr>
        <w:t>une</w:t>
      </w:r>
      <w:r w:rsidR="001D4C04" w:rsidRPr="00A876A8">
        <w:rPr>
          <w:lang w:val="fr-CA"/>
        </w:rPr>
        <w:t xml:space="preserve"> cour ne doit pas s’ingérer</w:t>
      </w:r>
      <w:r w:rsidR="001D4C04" w:rsidRPr="001D4C04">
        <w:rPr>
          <w:lang w:val="fr-CA"/>
        </w:rPr>
        <w:t xml:space="preserve"> </w:t>
      </w:r>
      <w:r w:rsidR="001D4C04" w:rsidRPr="00A876A8">
        <w:rPr>
          <w:lang w:val="fr-CA"/>
        </w:rPr>
        <w:t xml:space="preserve">simplement parce </w:t>
      </w:r>
      <w:r w:rsidR="001D4C04">
        <w:rPr>
          <w:lang w:val="fr-CA"/>
        </w:rPr>
        <w:t>qu’elle</w:t>
      </w:r>
      <w:r w:rsidR="001D4C04" w:rsidRPr="00A876A8">
        <w:rPr>
          <w:lang w:val="fr-CA"/>
        </w:rPr>
        <w:t xml:space="preserve"> aurait exercé ce pouvoir différemment</w:t>
      </w:r>
      <w:r w:rsidR="001D4C04">
        <w:rPr>
          <w:lang w:val="fr-CA"/>
        </w:rPr>
        <w:t>. L</w:t>
      </w:r>
      <w:r w:rsidR="001D4C04" w:rsidRPr="00A876A8">
        <w:rPr>
          <w:lang w:val="fr-CA"/>
        </w:rPr>
        <w:t>orsque, comme en l’espèce, les procédures adoptées découlent des mêmes considérations et fondements</w:t>
      </w:r>
      <w:r w:rsidR="000B2099">
        <w:rPr>
          <w:lang w:val="fr-CA"/>
        </w:rPr>
        <w:t xml:space="preserve"> que </w:t>
      </w:r>
      <w:r w:rsidR="000B2099" w:rsidRPr="0019173A">
        <w:rPr>
          <w:lang w:val="fr-CA"/>
        </w:rPr>
        <w:t>ceux sur lesquels se fondent les tribunaux judiciaires</w:t>
      </w:r>
      <w:r w:rsidR="001D4C04" w:rsidRPr="0019173A">
        <w:rPr>
          <w:lang w:val="fr-CA"/>
        </w:rPr>
        <w:t xml:space="preserve">, </w:t>
      </w:r>
      <w:r w:rsidR="00AB484E">
        <w:rPr>
          <w:lang w:val="fr-CA"/>
        </w:rPr>
        <w:t>rien ne permet de justifier qu’</w:t>
      </w:r>
      <w:r w:rsidR="001D4C04" w:rsidRPr="0019173A">
        <w:rPr>
          <w:lang w:val="fr-CA"/>
        </w:rPr>
        <w:t>un tribunal administratif</w:t>
      </w:r>
      <w:r w:rsidR="001D4C04" w:rsidRPr="00A876A8">
        <w:rPr>
          <w:lang w:val="fr-CA"/>
        </w:rPr>
        <w:t xml:space="preserve"> s’estime immunisé contre l’accès à des procédures que des tribunaux judiciaires ont jugé utiles.</w:t>
      </w:r>
      <w:r w:rsidR="00BA2372">
        <w:rPr>
          <w:lang w:val="fr-CA"/>
        </w:rPr>
        <w:t xml:space="preserve"> </w:t>
      </w:r>
      <w:r w:rsidR="00BA2372" w:rsidRPr="00A876A8">
        <w:rPr>
          <w:lang w:val="fr-CA"/>
        </w:rPr>
        <w:t xml:space="preserve">L’accès à la justice exige que les tribunaux judiciaires </w:t>
      </w:r>
      <w:r w:rsidR="00BA2372" w:rsidRPr="0019173A">
        <w:rPr>
          <w:i/>
          <w:lang w:val="fr-CA"/>
        </w:rPr>
        <w:t>et</w:t>
      </w:r>
      <w:r w:rsidR="00BA2372" w:rsidRPr="00A876A8">
        <w:rPr>
          <w:lang w:val="fr-CA"/>
        </w:rPr>
        <w:t xml:space="preserve"> les tribunaux administratifs soient incités à trouver des méthodes de sélection pour faire en sorte que ceux qui en ont besoin puissent avoir accès à la justice en temps opportun</w:t>
      </w:r>
      <w:r w:rsidR="00BA2372">
        <w:rPr>
          <w:lang w:val="fr-CA"/>
        </w:rPr>
        <w:t xml:space="preserve">. </w:t>
      </w:r>
      <w:r w:rsidR="00BA2372" w:rsidRPr="00A876A8">
        <w:rPr>
          <w:lang w:val="fr-CA"/>
        </w:rPr>
        <w:t>Le fait que la loi habilitante d’un tribunal administratif comporte une dimension relative à l’intérêt public ne l’empêche pas d’adopter des règles semblables à celles qu’utilisent les tribunaux judiciaires en matière de qualité pour agir.</w:t>
      </w:r>
    </w:p>
    <w:p w:rsidR="00C30011" w:rsidRPr="0019173A" w:rsidRDefault="00C30011" w:rsidP="00B830F5">
      <w:pPr>
        <w:pStyle w:val="SCCNormalDoubleSpacing"/>
        <w:widowControl w:val="0"/>
        <w:spacing w:after="480"/>
        <w:rPr>
          <w:lang w:val="fr-CA"/>
        </w:rPr>
      </w:pPr>
      <w:r w:rsidRPr="001D4C04">
        <w:rPr>
          <w:lang w:val="fr-CA"/>
        </w:rPr>
        <w:tab/>
      </w:r>
      <w:r w:rsidR="00BA2372">
        <w:rPr>
          <w:lang w:val="fr-CA"/>
        </w:rPr>
        <w:t>L</w:t>
      </w:r>
      <w:r w:rsidR="00BA2372" w:rsidRPr="00A876A8">
        <w:rPr>
          <w:lang w:val="fr-CA"/>
        </w:rPr>
        <w:t xml:space="preserve">a décision de l’Office de rejeter la plainte de </w:t>
      </w:r>
      <w:r w:rsidR="00BA2372">
        <w:rPr>
          <w:lang w:val="fr-CA"/>
        </w:rPr>
        <w:t>L</w:t>
      </w:r>
      <w:r w:rsidR="00BA2372" w:rsidRPr="00A876A8">
        <w:rPr>
          <w:lang w:val="fr-CA"/>
        </w:rPr>
        <w:t xml:space="preserve"> parce que celui-ci n’avait pas qualité pour agir était raisonnable compte tenu de toutes les circonstances.</w:t>
      </w:r>
      <w:r w:rsidRPr="00BA2372">
        <w:rPr>
          <w:lang w:val="fr-CA"/>
        </w:rPr>
        <w:t xml:space="preserve"> </w:t>
      </w:r>
      <w:r w:rsidR="00BA2372">
        <w:rPr>
          <w:lang w:val="fr-CA"/>
        </w:rPr>
        <w:t xml:space="preserve">L </w:t>
      </w:r>
      <w:r w:rsidR="00BA2372" w:rsidRPr="00A876A8">
        <w:rPr>
          <w:lang w:val="fr-CA"/>
        </w:rPr>
        <w:t xml:space="preserve">a déposé une plainte </w:t>
      </w:r>
      <w:r w:rsidR="00C02EB4">
        <w:rPr>
          <w:lang w:val="fr-CA"/>
        </w:rPr>
        <w:t>sans l’étayer</w:t>
      </w:r>
      <w:r w:rsidR="00BA2372" w:rsidRPr="00A876A8">
        <w:rPr>
          <w:lang w:val="fr-CA"/>
        </w:rPr>
        <w:t xml:space="preserve"> par des faits sous-jacents, sans demandeurs représentatifs et sans présenter d’arguments.</w:t>
      </w:r>
      <w:r w:rsidR="00BA2372">
        <w:rPr>
          <w:lang w:val="fr-CA"/>
        </w:rPr>
        <w:t xml:space="preserve"> </w:t>
      </w:r>
      <w:r w:rsidR="00BA2372" w:rsidRPr="00A876A8">
        <w:rPr>
          <w:lang w:val="fr-CA"/>
        </w:rPr>
        <w:t>Sa plainte est purement théorique, son intérêt à l’égard des questions l’est tout autant et la poursuite proposée ne constitue pas un moyen raisonnable et efficace de soumettre la question à l’Office.</w:t>
      </w:r>
      <w:r w:rsidR="00BA2372">
        <w:rPr>
          <w:lang w:val="fr-CA"/>
        </w:rPr>
        <w:t xml:space="preserve"> </w:t>
      </w:r>
      <w:r w:rsidR="00BA2372" w:rsidRPr="00A876A8">
        <w:rPr>
          <w:lang w:val="fr-CA"/>
        </w:rPr>
        <w:t>Il n’est donc pas nécessaire de renvoyer l’affaire à l’Office.</w:t>
      </w:r>
    </w:p>
    <w:p w:rsidR="004D7D95" w:rsidRDefault="004D7D95" w:rsidP="00B830F5">
      <w:pPr>
        <w:pStyle w:val="SCCNormalDoubleSpacing"/>
        <w:widowControl w:val="0"/>
        <w:spacing w:after="480"/>
        <w:rPr>
          <w:b/>
          <w:lang w:val="fr-CA"/>
        </w:rPr>
      </w:pPr>
      <w:r w:rsidRPr="004D7D95">
        <w:rPr>
          <w:b/>
          <w:lang w:val="fr-CA"/>
        </w:rPr>
        <w:t>Jurisprudence</w:t>
      </w:r>
    </w:p>
    <w:p w:rsidR="00CA39B4" w:rsidRDefault="005C6F67" w:rsidP="00B830F5">
      <w:pPr>
        <w:pStyle w:val="SCCNormalDoubleSpacing"/>
        <w:widowControl w:val="0"/>
        <w:spacing w:after="720" w:line="240" w:lineRule="auto"/>
        <w:rPr>
          <w:lang w:val="fr-CA"/>
        </w:rPr>
      </w:pPr>
      <w:r>
        <w:rPr>
          <w:lang w:val="fr-CA"/>
        </w:rPr>
        <w:t>Citée par la juge en chef McLachlin</w:t>
      </w:r>
    </w:p>
    <w:p w:rsidR="005C6F67" w:rsidRPr="00CA39B4" w:rsidRDefault="005C6F67" w:rsidP="00B830F5">
      <w:pPr>
        <w:pStyle w:val="SCCNormalDoubleSpacing"/>
        <w:widowControl w:val="0"/>
        <w:spacing w:after="720"/>
        <w:rPr>
          <w:lang w:val="fr-CA"/>
        </w:rPr>
      </w:pPr>
      <w:r>
        <w:rPr>
          <w:b/>
          <w:lang w:val="fr-CA"/>
        </w:rPr>
        <w:lastRenderedPageBreak/>
        <w:tab/>
      </w:r>
      <w:r w:rsidRPr="008324BE">
        <w:rPr>
          <w:b/>
          <w:lang w:val="fr-CA"/>
        </w:rPr>
        <w:t>Arrêts mentionnés</w:t>
      </w:r>
      <w:r w:rsidR="005C1B20" w:rsidRPr="008324BE">
        <w:rPr>
          <w:b/>
          <w:lang w:val="fr-CA"/>
        </w:rPr>
        <w:t> :</w:t>
      </w:r>
      <w:r w:rsidR="00CA39B4" w:rsidRPr="008324BE">
        <w:rPr>
          <w:lang w:val="fr-CA"/>
        </w:rPr>
        <w:t xml:space="preserve"> </w:t>
      </w:r>
      <w:r w:rsidR="00CA39B4" w:rsidRPr="008324BE">
        <w:rPr>
          <w:i/>
          <w:lang w:val="fr-CA"/>
        </w:rPr>
        <w:t>Dunsmuir</w:t>
      </w:r>
      <w:r w:rsidR="00CA39B4" w:rsidRPr="00CA39B4">
        <w:rPr>
          <w:i/>
          <w:lang w:val="fr-CA"/>
        </w:rPr>
        <w:t xml:space="preserve"> c. Nouveau</w:t>
      </w:r>
      <w:r w:rsidR="005C1B20">
        <w:rPr>
          <w:i/>
          <w:lang w:val="fr-CA"/>
        </w:rPr>
        <w:noBreakHyphen/>
      </w:r>
      <w:r w:rsidR="00CA39B4" w:rsidRPr="00CA39B4">
        <w:rPr>
          <w:i/>
          <w:lang w:val="fr-CA"/>
        </w:rPr>
        <w:t>Brunswick</w:t>
      </w:r>
      <w:r w:rsidR="00CA39B4" w:rsidRPr="00CA39B4">
        <w:rPr>
          <w:lang w:val="fr-CA"/>
        </w:rPr>
        <w:t xml:space="preserve">, 2008 CSC 9, [2008] 1 R.C.S. 190; </w:t>
      </w:r>
      <w:r w:rsidR="00CA39B4" w:rsidRPr="00CA39B4">
        <w:rPr>
          <w:i/>
          <w:lang w:val="fr-CA"/>
        </w:rPr>
        <w:t>Alberta (Information and Privacy Commissioner) c. Alberta Teachers’ Association</w:t>
      </w:r>
      <w:r w:rsidR="00CA39B4" w:rsidRPr="00CA39B4">
        <w:rPr>
          <w:lang w:val="fr-CA"/>
        </w:rPr>
        <w:t xml:space="preserve">, 2011 CSC 61, [2011] 3 R.C.S. 654; </w:t>
      </w:r>
      <w:r w:rsidR="00CA39B4" w:rsidRPr="00CA39B4">
        <w:rPr>
          <w:i/>
          <w:lang w:val="fr-CA"/>
        </w:rPr>
        <w:t>Edmonton (Ville) c. Edmonton East (Capilano) Shopping Centres Ltd.</w:t>
      </w:r>
      <w:r w:rsidR="00CA39B4" w:rsidRPr="00CA39B4">
        <w:rPr>
          <w:lang w:val="fr-CA"/>
        </w:rPr>
        <w:t xml:space="preserve">, 2016 CSC 47, [2016] 2 R.C.S. 293; </w:t>
      </w:r>
      <w:r w:rsidR="00CA39B4" w:rsidRPr="00CA39B4">
        <w:rPr>
          <w:i/>
          <w:lang w:val="fr-CA"/>
        </w:rPr>
        <w:t>Québec (Procureure générale) c. Guérin</w:t>
      </w:r>
      <w:r w:rsidR="00082B2A">
        <w:rPr>
          <w:lang w:val="fr-CA"/>
        </w:rPr>
        <w:t>, 2017 CSC 42</w:t>
      </w:r>
      <w:r w:rsidR="00C649A5">
        <w:rPr>
          <w:lang w:val="fr-CA"/>
        </w:rPr>
        <w:t>, [2017] 2 R.C.S. 3</w:t>
      </w:r>
      <w:r w:rsidR="00CA39B4" w:rsidRPr="00CA39B4">
        <w:rPr>
          <w:lang w:val="fr-CA"/>
        </w:rPr>
        <w:t xml:space="preserve">; </w:t>
      </w:r>
      <w:r w:rsidR="00CA39B4" w:rsidRPr="00CA39B4">
        <w:rPr>
          <w:i/>
          <w:lang w:val="fr-CA"/>
        </w:rPr>
        <w:t>Canada (Procureur général) c. Downtown Eastside Sex Workers United Against Violence Society</w:t>
      </w:r>
      <w:r w:rsidR="00CA39B4" w:rsidRPr="00CA39B4">
        <w:rPr>
          <w:lang w:val="fr-CA"/>
        </w:rPr>
        <w:t xml:space="preserve">, 2012 CSC 45, [2012] 2 R.C.S. 524; </w:t>
      </w:r>
      <w:r w:rsidR="00CA39B4" w:rsidRPr="00CA39B4">
        <w:rPr>
          <w:i/>
          <w:lang w:val="fr-CA"/>
        </w:rPr>
        <w:t>Conseil des Canadiens avec déficiences c. V</w:t>
      </w:r>
      <w:r w:rsidR="00260DAA">
        <w:rPr>
          <w:i/>
          <w:lang w:val="fr-CA"/>
        </w:rPr>
        <w:t>IA</w:t>
      </w:r>
      <w:r w:rsidR="00CA39B4" w:rsidRPr="00CA39B4">
        <w:rPr>
          <w:i/>
          <w:lang w:val="fr-CA"/>
        </w:rPr>
        <w:t xml:space="preserve"> Rail Canada Inc.</w:t>
      </w:r>
      <w:r w:rsidR="00CA39B4" w:rsidRPr="00CA39B4">
        <w:rPr>
          <w:lang w:val="fr-CA"/>
        </w:rPr>
        <w:t xml:space="preserve">, 2007 </w:t>
      </w:r>
      <w:r w:rsidR="00CA39B4" w:rsidRPr="008324BE">
        <w:rPr>
          <w:lang w:val="fr-CA"/>
        </w:rPr>
        <w:t xml:space="preserve">CSC 15, [2007] 1 R.C.S. 650; </w:t>
      </w:r>
      <w:r w:rsidR="00CA39B4" w:rsidRPr="008324BE">
        <w:rPr>
          <w:i/>
          <w:lang w:val="fr-CA"/>
        </w:rPr>
        <w:t>Newfoundland and Labrador Nurses’ Union c. Terre</w:t>
      </w:r>
      <w:r w:rsidR="005C1B20" w:rsidRPr="008324BE">
        <w:rPr>
          <w:i/>
          <w:lang w:val="fr-CA"/>
        </w:rPr>
        <w:noBreakHyphen/>
      </w:r>
      <w:r w:rsidR="00CA39B4" w:rsidRPr="008324BE">
        <w:rPr>
          <w:i/>
          <w:lang w:val="fr-CA"/>
        </w:rPr>
        <w:t>Neuve</w:t>
      </w:r>
      <w:r w:rsidR="005C1B20" w:rsidRPr="008324BE">
        <w:rPr>
          <w:i/>
          <w:lang w:val="fr-CA"/>
        </w:rPr>
        <w:noBreakHyphen/>
      </w:r>
      <w:r w:rsidR="00CA39B4" w:rsidRPr="008324BE">
        <w:rPr>
          <w:i/>
          <w:lang w:val="fr-CA"/>
        </w:rPr>
        <w:t>et</w:t>
      </w:r>
      <w:r w:rsidR="005C1B20" w:rsidRPr="008324BE">
        <w:rPr>
          <w:i/>
          <w:lang w:val="fr-CA"/>
        </w:rPr>
        <w:noBreakHyphen/>
      </w:r>
      <w:r w:rsidR="00CA39B4" w:rsidRPr="008324BE">
        <w:rPr>
          <w:i/>
          <w:lang w:val="fr-CA"/>
        </w:rPr>
        <w:t>Labrador (Conseil du Trésor)</w:t>
      </w:r>
      <w:r w:rsidR="00CA39B4" w:rsidRPr="008324BE">
        <w:rPr>
          <w:lang w:val="fr-CA"/>
        </w:rPr>
        <w:t xml:space="preserve">, 2011 CSC 62, [2011] 3 R.C.S. 708; </w:t>
      </w:r>
      <w:r w:rsidR="00CA39B4" w:rsidRPr="008324BE">
        <w:rPr>
          <w:i/>
          <w:lang w:val="fr-CA"/>
        </w:rPr>
        <w:t>Lukács c. Porter Airlines Inc.</w:t>
      </w:r>
      <w:r w:rsidR="00CA39B4" w:rsidRPr="008324BE">
        <w:rPr>
          <w:lang w:val="fr-CA"/>
        </w:rPr>
        <w:t xml:space="preserve">, </w:t>
      </w:r>
      <w:r w:rsidR="00186B27" w:rsidRPr="008324BE">
        <w:rPr>
          <w:lang w:val="fr-CA"/>
        </w:rPr>
        <w:t>Office des transports du Canada</w:t>
      </w:r>
      <w:r w:rsidR="00E61ED0" w:rsidRPr="008324BE">
        <w:rPr>
          <w:lang w:val="fr-CA"/>
        </w:rPr>
        <w:t>, décision</w:t>
      </w:r>
      <w:r w:rsidR="00CA39B4" w:rsidRPr="008324BE">
        <w:rPr>
          <w:lang w:val="fr-CA"/>
        </w:rPr>
        <w:t xml:space="preserve"> n</w:t>
      </w:r>
      <w:r w:rsidR="00CA39B4" w:rsidRPr="008324BE">
        <w:rPr>
          <w:vertAlign w:val="superscript"/>
          <w:lang w:val="fr-CA"/>
        </w:rPr>
        <w:t>o</w:t>
      </w:r>
      <w:r w:rsidR="008324BE" w:rsidRPr="008324BE">
        <w:rPr>
          <w:lang w:val="fr-CA"/>
        </w:rPr>
        <w:t> </w:t>
      </w:r>
      <w:r w:rsidR="00CA39B4" w:rsidRPr="008324BE">
        <w:rPr>
          <w:lang w:val="fr-CA"/>
        </w:rPr>
        <w:t>121</w:t>
      </w:r>
      <w:r w:rsidR="005C1B20" w:rsidRPr="008324BE">
        <w:rPr>
          <w:lang w:val="fr-CA"/>
        </w:rPr>
        <w:noBreakHyphen/>
      </w:r>
      <w:r w:rsidR="00CA39B4" w:rsidRPr="008324BE">
        <w:rPr>
          <w:lang w:val="fr-CA"/>
        </w:rPr>
        <w:t>C</w:t>
      </w:r>
      <w:r w:rsidR="005C1B20" w:rsidRPr="008324BE">
        <w:rPr>
          <w:lang w:val="fr-CA"/>
        </w:rPr>
        <w:noBreakHyphen/>
      </w:r>
      <w:r w:rsidR="00CA39B4" w:rsidRPr="008324BE">
        <w:rPr>
          <w:lang w:val="fr-CA"/>
        </w:rPr>
        <w:t>A</w:t>
      </w:r>
      <w:r w:rsidR="005C1B20" w:rsidRPr="008324BE">
        <w:rPr>
          <w:lang w:val="fr-CA"/>
        </w:rPr>
        <w:noBreakHyphen/>
      </w:r>
      <w:r w:rsidR="00CA39B4" w:rsidRPr="008324BE">
        <w:rPr>
          <w:lang w:val="fr-CA"/>
        </w:rPr>
        <w:t xml:space="preserve">2016, 22 avril 2016; </w:t>
      </w:r>
      <w:r w:rsidR="00CA39B4" w:rsidRPr="008324BE">
        <w:rPr>
          <w:i/>
          <w:lang w:val="fr-CA"/>
        </w:rPr>
        <w:t>Pathmanathan c. Canada (</w:t>
      </w:r>
      <w:r w:rsidR="003F1432" w:rsidRPr="008324BE">
        <w:rPr>
          <w:i/>
          <w:lang w:val="fr-CA"/>
        </w:rPr>
        <w:t xml:space="preserve">Ministre de la </w:t>
      </w:r>
      <w:r w:rsidR="00CA39B4" w:rsidRPr="008324BE">
        <w:rPr>
          <w:i/>
          <w:lang w:val="fr-CA"/>
        </w:rPr>
        <w:t>Citoyenneté et</w:t>
      </w:r>
      <w:r w:rsidR="003F1432" w:rsidRPr="008324BE">
        <w:rPr>
          <w:i/>
          <w:lang w:val="fr-CA"/>
        </w:rPr>
        <w:t xml:space="preserve"> de l’</w:t>
      </w:r>
      <w:r w:rsidR="00CA39B4" w:rsidRPr="008324BE">
        <w:rPr>
          <w:i/>
          <w:lang w:val="fr-CA"/>
        </w:rPr>
        <w:t>Immigration)</w:t>
      </w:r>
      <w:r w:rsidR="00CA39B4" w:rsidRPr="008324BE">
        <w:rPr>
          <w:lang w:val="fr-CA"/>
        </w:rPr>
        <w:t>, 2013 CF</w:t>
      </w:r>
      <w:r w:rsidR="003F1432" w:rsidRPr="008324BE">
        <w:rPr>
          <w:lang w:val="fr-CA"/>
        </w:rPr>
        <w:t xml:space="preserve"> 353</w:t>
      </w:r>
      <w:r w:rsidR="00CA39B4" w:rsidRPr="008324BE">
        <w:rPr>
          <w:lang w:val="fr-CA"/>
        </w:rPr>
        <w:t xml:space="preserve">; </w:t>
      </w:r>
      <w:r w:rsidR="005045DC" w:rsidRPr="008324BE">
        <w:rPr>
          <w:i/>
          <w:lang w:val="fr-CA"/>
        </w:rPr>
        <w:t>Petro</w:t>
      </w:r>
      <w:r w:rsidR="005C1B20" w:rsidRPr="008324BE">
        <w:rPr>
          <w:i/>
          <w:lang w:val="fr-CA"/>
        </w:rPr>
        <w:noBreakHyphen/>
      </w:r>
      <w:r w:rsidR="005045DC" w:rsidRPr="008324BE">
        <w:rPr>
          <w:i/>
          <w:lang w:val="fr-CA"/>
        </w:rPr>
        <w:t>Canada c. Workers’ Compensation Board (B.C.)</w:t>
      </w:r>
      <w:r w:rsidR="005045DC" w:rsidRPr="008324BE">
        <w:rPr>
          <w:lang w:val="fr-CA"/>
        </w:rPr>
        <w:t>, 2009 BCCA 396</w:t>
      </w:r>
      <w:r w:rsidR="00AE5E7A" w:rsidRPr="008324BE">
        <w:rPr>
          <w:lang w:val="fr-CA"/>
        </w:rPr>
        <w:t>, 276 B.C.A.C. 135</w:t>
      </w:r>
      <w:r w:rsidR="005045DC" w:rsidRPr="008324BE">
        <w:rPr>
          <w:lang w:val="fr-CA"/>
        </w:rPr>
        <w:t xml:space="preserve">; </w:t>
      </w:r>
      <w:r w:rsidR="00CA39B4" w:rsidRPr="008324BE">
        <w:rPr>
          <w:i/>
          <w:lang w:val="fr-CA"/>
        </w:rPr>
        <w:t>Komolafe c. Canada (</w:t>
      </w:r>
      <w:r w:rsidR="003F1432" w:rsidRPr="008324BE">
        <w:rPr>
          <w:i/>
          <w:lang w:val="fr-CA"/>
        </w:rPr>
        <w:t xml:space="preserve">Ministre de la </w:t>
      </w:r>
      <w:r w:rsidR="00CA39B4" w:rsidRPr="008324BE">
        <w:rPr>
          <w:i/>
          <w:lang w:val="fr-CA"/>
        </w:rPr>
        <w:t xml:space="preserve">Citoyenneté et </w:t>
      </w:r>
      <w:r w:rsidR="003F1432" w:rsidRPr="008324BE">
        <w:rPr>
          <w:i/>
          <w:lang w:val="fr-CA"/>
        </w:rPr>
        <w:t>de l’</w:t>
      </w:r>
      <w:r w:rsidR="00CA39B4" w:rsidRPr="008324BE">
        <w:rPr>
          <w:i/>
          <w:lang w:val="fr-CA"/>
        </w:rPr>
        <w:t>Immigration)</w:t>
      </w:r>
      <w:r w:rsidR="00CA39B4" w:rsidRPr="008324BE">
        <w:rPr>
          <w:lang w:val="fr-CA"/>
        </w:rPr>
        <w:t>, 2013 CF</w:t>
      </w:r>
      <w:r w:rsidR="003F1432" w:rsidRPr="008324BE">
        <w:rPr>
          <w:lang w:val="fr-CA"/>
        </w:rPr>
        <w:t xml:space="preserve"> 431</w:t>
      </w:r>
      <w:r w:rsidR="00CA39B4" w:rsidRPr="008324BE">
        <w:rPr>
          <w:lang w:val="fr-CA"/>
        </w:rPr>
        <w:t>.</w:t>
      </w:r>
    </w:p>
    <w:p w:rsidR="005C6F67" w:rsidRPr="005C6F67" w:rsidRDefault="005C6F67" w:rsidP="00B830F5">
      <w:pPr>
        <w:pStyle w:val="SCCNormalDoubleSpacing"/>
        <w:widowControl w:val="0"/>
        <w:spacing w:after="720" w:line="240" w:lineRule="auto"/>
        <w:rPr>
          <w:lang w:val="fr-CA"/>
        </w:rPr>
      </w:pPr>
      <w:r>
        <w:rPr>
          <w:lang w:val="fr-CA"/>
        </w:rPr>
        <w:t>Citée par la juge Abella</w:t>
      </w:r>
      <w:r w:rsidR="008324BE">
        <w:rPr>
          <w:lang w:val="fr-CA"/>
        </w:rPr>
        <w:t xml:space="preserve"> (dissidente)</w:t>
      </w:r>
    </w:p>
    <w:p w:rsidR="004D7D95" w:rsidRPr="008324BE" w:rsidRDefault="004D7D95" w:rsidP="00B830F5">
      <w:pPr>
        <w:pStyle w:val="SCCNormalDoubleSpacing"/>
        <w:widowControl w:val="0"/>
        <w:spacing w:after="480"/>
        <w:rPr>
          <w:b/>
          <w:lang w:val="fr-CA"/>
        </w:rPr>
      </w:pPr>
      <w:r w:rsidRPr="004D7D95">
        <w:rPr>
          <w:lang w:val="fr-CA"/>
        </w:rPr>
        <w:tab/>
      </w:r>
      <w:r w:rsidR="008324BE" w:rsidRPr="00C26628">
        <w:rPr>
          <w:i/>
          <w:lang w:val="fr-CA"/>
        </w:rPr>
        <w:t>Fraser c. Canada (</w:t>
      </w:r>
      <w:r w:rsidR="00C26628" w:rsidRPr="00C26628">
        <w:rPr>
          <w:i/>
          <w:lang w:val="fr-CA"/>
        </w:rPr>
        <w:t>Attorney General</w:t>
      </w:r>
      <w:r w:rsidR="008324BE" w:rsidRPr="00C26628">
        <w:rPr>
          <w:i/>
          <w:lang w:val="fr-CA"/>
        </w:rPr>
        <w:t>)</w:t>
      </w:r>
      <w:r w:rsidR="008324BE" w:rsidRPr="00C26628">
        <w:rPr>
          <w:lang w:val="fr-CA"/>
        </w:rPr>
        <w:t xml:space="preserve"> (2005), 51 Imm. L.R. (3d) 101;</w:t>
      </w:r>
      <w:r w:rsidR="008324BE">
        <w:rPr>
          <w:lang w:val="fr-CA"/>
        </w:rPr>
        <w:t xml:space="preserve"> </w:t>
      </w:r>
      <w:r w:rsidR="000A7505" w:rsidRPr="000A7505">
        <w:rPr>
          <w:i/>
          <w:lang w:val="fr-CA"/>
        </w:rPr>
        <w:t>Thorson c</w:t>
      </w:r>
      <w:r w:rsidR="000A7505" w:rsidRPr="004A54F3">
        <w:rPr>
          <w:i/>
          <w:lang w:val="fr-CA"/>
        </w:rPr>
        <w:t xml:space="preserve">. </w:t>
      </w:r>
      <w:r w:rsidR="00230CBE">
        <w:rPr>
          <w:i/>
          <w:lang w:val="fr-CA"/>
        </w:rPr>
        <w:t xml:space="preserve">Procureur général du </w:t>
      </w:r>
      <w:r w:rsidR="004A54F3" w:rsidRPr="004A54F3">
        <w:rPr>
          <w:i/>
          <w:lang w:val="fr-CA"/>
        </w:rPr>
        <w:t>Canada</w:t>
      </w:r>
      <w:r w:rsidR="000A7505" w:rsidRPr="004A54F3">
        <w:rPr>
          <w:lang w:val="fr-CA"/>
        </w:rPr>
        <w:t>, [1975</w:t>
      </w:r>
      <w:r w:rsidR="000A7505" w:rsidRPr="006026A3">
        <w:rPr>
          <w:lang w:val="fr-CA"/>
        </w:rPr>
        <w:t xml:space="preserve">] 1 R.C.S. 138; </w:t>
      </w:r>
      <w:r w:rsidR="00630BF2" w:rsidRPr="006026A3">
        <w:rPr>
          <w:i/>
          <w:lang w:val="fr-CA"/>
        </w:rPr>
        <w:t xml:space="preserve">Nova </w:t>
      </w:r>
      <w:r w:rsidR="00630BF2" w:rsidRPr="004A54F3">
        <w:rPr>
          <w:i/>
          <w:lang w:val="fr-CA"/>
        </w:rPr>
        <w:t>Scotia Board of Censors c. McNeil</w:t>
      </w:r>
      <w:r w:rsidR="00630BF2" w:rsidRPr="004A54F3">
        <w:rPr>
          <w:lang w:val="fr-CA"/>
        </w:rPr>
        <w:t xml:space="preserve">, [1976] 2 R.C.S. 265; </w:t>
      </w:r>
      <w:r w:rsidR="00230CBE">
        <w:rPr>
          <w:i/>
          <w:lang w:val="fr-CA"/>
        </w:rPr>
        <w:t>Ministre de la Justice du Canada</w:t>
      </w:r>
      <w:r w:rsidR="00630BF2" w:rsidRPr="004A54F3">
        <w:rPr>
          <w:i/>
          <w:lang w:val="fr-CA"/>
        </w:rPr>
        <w:t xml:space="preserve"> c. Borowski</w:t>
      </w:r>
      <w:r w:rsidR="00630BF2" w:rsidRPr="004A54F3">
        <w:rPr>
          <w:lang w:val="fr-CA"/>
        </w:rPr>
        <w:t>,</w:t>
      </w:r>
      <w:r w:rsidR="00630BF2" w:rsidRPr="006026A3">
        <w:rPr>
          <w:lang w:val="fr-CA"/>
        </w:rPr>
        <w:t xml:space="preserve"> </w:t>
      </w:r>
      <w:r w:rsidR="00630BF2" w:rsidRPr="004A54F3">
        <w:rPr>
          <w:lang w:val="fr-CA"/>
        </w:rPr>
        <w:t>[1981] 2 R.C.S. 575</w:t>
      </w:r>
      <w:r w:rsidR="007E6B07" w:rsidRPr="004A54F3">
        <w:rPr>
          <w:lang w:val="fr-CA"/>
        </w:rPr>
        <w:t xml:space="preserve">; </w:t>
      </w:r>
      <w:r w:rsidR="007E6B07" w:rsidRPr="004A54F3">
        <w:rPr>
          <w:i/>
          <w:lang w:val="fr-CA"/>
        </w:rPr>
        <w:t xml:space="preserve">Finlay </w:t>
      </w:r>
      <w:r w:rsidR="006026A3" w:rsidRPr="004A54F3">
        <w:rPr>
          <w:i/>
          <w:lang w:val="fr-CA"/>
        </w:rPr>
        <w:t>c</w:t>
      </w:r>
      <w:r w:rsidR="007E6B07" w:rsidRPr="004A54F3">
        <w:rPr>
          <w:i/>
          <w:lang w:val="fr-CA"/>
        </w:rPr>
        <w:t>. Canada (</w:t>
      </w:r>
      <w:r w:rsidR="006026A3" w:rsidRPr="004A54F3">
        <w:rPr>
          <w:i/>
          <w:lang w:val="fr-CA"/>
        </w:rPr>
        <w:t>Ministre des Finances</w:t>
      </w:r>
      <w:r w:rsidR="007E6B07" w:rsidRPr="004A54F3">
        <w:rPr>
          <w:i/>
          <w:lang w:val="fr-CA"/>
        </w:rPr>
        <w:t>)</w:t>
      </w:r>
      <w:r w:rsidR="007E6B07" w:rsidRPr="004A54F3">
        <w:rPr>
          <w:lang w:val="fr-CA"/>
        </w:rPr>
        <w:t>, [1986] 2 R.C.S. 607</w:t>
      </w:r>
      <w:r w:rsidR="006026A3" w:rsidRPr="004A54F3">
        <w:rPr>
          <w:lang w:val="fr-CA"/>
        </w:rPr>
        <w:t>;</w:t>
      </w:r>
      <w:r w:rsidR="006026A3" w:rsidRPr="006026A3">
        <w:rPr>
          <w:lang w:val="fr-CA"/>
        </w:rPr>
        <w:t xml:space="preserve"> </w:t>
      </w:r>
      <w:r w:rsidR="006026A3" w:rsidRPr="004A54F3">
        <w:rPr>
          <w:i/>
          <w:lang w:val="fr-CA"/>
        </w:rPr>
        <w:t>Conseil canadien des Églises c. Canada (Ministre de l’Emploi et de l’Immigration)</w:t>
      </w:r>
      <w:r w:rsidR="006026A3" w:rsidRPr="004A54F3">
        <w:rPr>
          <w:lang w:val="fr-CA"/>
        </w:rPr>
        <w:t>,</w:t>
      </w:r>
      <w:r w:rsidR="006026A3" w:rsidRPr="006026A3">
        <w:rPr>
          <w:lang w:val="fr-CA"/>
        </w:rPr>
        <w:t xml:space="preserve"> [1992] 1 </w:t>
      </w:r>
      <w:r w:rsidR="006026A3">
        <w:rPr>
          <w:lang w:val="fr-CA"/>
        </w:rPr>
        <w:t>R</w:t>
      </w:r>
      <w:r w:rsidR="006026A3" w:rsidRPr="006026A3">
        <w:rPr>
          <w:lang w:val="fr-CA"/>
        </w:rPr>
        <w:t>.C.</w:t>
      </w:r>
      <w:r w:rsidR="006026A3">
        <w:rPr>
          <w:lang w:val="fr-CA"/>
        </w:rPr>
        <w:t>S</w:t>
      </w:r>
      <w:r w:rsidR="006026A3" w:rsidRPr="006026A3">
        <w:rPr>
          <w:lang w:val="fr-CA"/>
        </w:rPr>
        <w:t>. 236</w:t>
      </w:r>
      <w:r w:rsidR="00715FF4">
        <w:rPr>
          <w:lang w:val="fr-CA"/>
        </w:rPr>
        <w:t xml:space="preserve">; </w:t>
      </w:r>
      <w:r w:rsidR="00715FF4" w:rsidRPr="00715FF4">
        <w:rPr>
          <w:i/>
          <w:lang w:val="fr-CA"/>
        </w:rPr>
        <w:t xml:space="preserve">Canada (Procureur général) c. </w:t>
      </w:r>
      <w:r w:rsidR="00715FF4" w:rsidRPr="006167D0">
        <w:rPr>
          <w:i/>
          <w:lang w:val="fr-CA"/>
        </w:rPr>
        <w:t>Downtown Eastside Sex Workers United Against Violence Society</w:t>
      </w:r>
      <w:r w:rsidR="00715FF4" w:rsidRPr="006167D0">
        <w:rPr>
          <w:lang w:val="fr-CA"/>
        </w:rPr>
        <w:t>, 2012 CSC 45, [2012] 2 R.C.S. 524</w:t>
      </w:r>
      <w:r w:rsidR="006167D0" w:rsidRPr="006167D0">
        <w:rPr>
          <w:lang w:val="fr-CA"/>
        </w:rPr>
        <w:t xml:space="preserve">; </w:t>
      </w:r>
      <w:r w:rsidR="006167D0" w:rsidRPr="006167D0">
        <w:rPr>
          <w:i/>
          <w:lang w:val="fr-CA"/>
        </w:rPr>
        <w:t xml:space="preserve">Conseil des </w:t>
      </w:r>
      <w:r w:rsidR="006167D0" w:rsidRPr="004A54F3">
        <w:rPr>
          <w:i/>
          <w:lang w:val="fr-CA"/>
        </w:rPr>
        <w:t>Canadiens avec déficiences c. VIA Rail Canada Inc.</w:t>
      </w:r>
      <w:r w:rsidR="006167D0" w:rsidRPr="004A54F3">
        <w:rPr>
          <w:lang w:val="fr-CA"/>
        </w:rPr>
        <w:t xml:space="preserve">, 2007 CSC </w:t>
      </w:r>
      <w:r w:rsidR="006167D0" w:rsidRPr="008324BE">
        <w:rPr>
          <w:lang w:val="fr-CA"/>
        </w:rPr>
        <w:t xml:space="preserve">15, [2007] 1 R.C.S. </w:t>
      </w:r>
      <w:r w:rsidR="006167D0" w:rsidRPr="008324BE">
        <w:rPr>
          <w:lang w:val="fr-CA"/>
        </w:rPr>
        <w:lastRenderedPageBreak/>
        <w:t xml:space="preserve">650; </w:t>
      </w:r>
      <w:r w:rsidR="005D739A" w:rsidRPr="008324BE">
        <w:rPr>
          <w:i/>
          <w:lang w:val="fr-CA"/>
        </w:rPr>
        <w:t>Lukács c. Porter Airlines Inc.</w:t>
      </w:r>
      <w:r w:rsidR="006167D0" w:rsidRPr="008324BE">
        <w:rPr>
          <w:lang w:val="fr-CA"/>
        </w:rPr>
        <w:t xml:space="preserve">, </w:t>
      </w:r>
      <w:r w:rsidR="00186B27" w:rsidRPr="008324BE">
        <w:rPr>
          <w:lang w:val="fr-CA"/>
        </w:rPr>
        <w:t>Office des transports du Canada</w:t>
      </w:r>
      <w:r w:rsidR="00E61ED0" w:rsidRPr="008324BE">
        <w:rPr>
          <w:lang w:val="fr-CA"/>
        </w:rPr>
        <w:t>, décision</w:t>
      </w:r>
      <w:r w:rsidR="005D739A" w:rsidRPr="008324BE">
        <w:rPr>
          <w:lang w:val="fr-CA"/>
        </w:rPr>
        <w:t xml:space="preserve"> </w:t>
      </w:r>
      <w:r w:rsidR="006167D0" w:rsidRPr="008324BE">
        <w:rPr>
          <w:lang w:val="fr-CA"/>
        </w:rPr>
        <w:t>n</w:t>
      </w:r>
      <w:r w:rsidR="006167D0" w:rsidRPr="008324BE">
        <w:rPr>
          <w:vertAlign w:val="superscript"/>
          <w:lang w:val="fr-CA"/>
        </w:rPr>
        <w:t>o</w:t>
      </w:r>
      <w:r w:rsidR="008324BE" w:rsidRPr="008324BE">
        <w:rPr>
          <w:lang w:val="fr-CA"/>
        </w:rPr>
        <w:t> </w:t>
      </w:r>
      <w:r w:rsidR="006167D0" w:rsidRPr="008324BE">
        <w:rPr>
          <w:lang w:val="fr-CA"/>
        </w:rPr>
        <w:t>121</w:t>
      </w:r>
      <w:r w:rsidR="005C1B20" w:rsidRPr="008324BE">
        <w:rPr>
          <w:lang w:val="fr-CA"/>
        </w:rPr>
        <w:noBreakHyphen/>
      </w:r>
      <w:r w:rsidR="006167D0" w:rsidRPr="008324BE">
        <w:rPr>
          <w:lang w:val="fr-CA"/>
        </w:rPr>
        <w:t>C</w:t>
      </w:r>
      <w:r w:rsidR="005C1B20" w:rsidRPr="008324BE">
        <w:rPr>
          <w:lang w:val="fr-CA"/>
        </w:rPr>
        <w:noBreakHyphen/>
      </w:r>
      <w:r w:rsidR="006167D0" w:rsidRPr="008324BE">
        <w:rPr>
          <w:lang w:val="fr-CA"/>
        </w:rPr>
        <w:t>A</w:t>
      </w:r>
      <w:r w:rsidR="005C1B20" w:rsidRPr="008324BE">
        <w:rPr>
          <w:lang w:val="fr-CA"/>
        </w:rPr>
        <w:noBreakHyphen/>
      </w:r>
      <w:r w:rsidR="006167D0" w:rsidRPr="008324BE">
        <w:rPr>
          <w:lang w:val="fr-CA"/>
        </w:rPr>
        <w:t xml:space="preserve">2016, 22 avril 2016; </w:t>
      </w:r>
      <w:r w:rsidR="005D739A" w:rsidRPr="008324BE">
        <w:rPr>
          <w:i/>
          <w:lang w:val="fr-CA"/>
        </w:rPr>
        <w:t>Syndicat uni du transport, section locale 279 (Re)</w:t>
      </w:r>
      <w:r w:rsidR="005D739A" w:rsidRPr="008324BE">
        <w:rPr>
          <w:lang w:val="fr-CA"/>
        </w:rPr>
        <w:t xml:space="preserve">, </w:t>
      </w:r>
      <w:r w:rsidR="00186B27" w:rsidRPr="008324BE">
        <w:rPr>
          <w:lang w:val="fr-CA"/>
        </w:rPr>
        <w:t>Office des transports du Canada</w:t>
      </w:r>
      <w:r w:rsidR="00E61ED0" w:rsidRPr="008324BE">
        <w:rPr>
          <w:lang w:val="fr-CA"/>
        </w:rPr>
        <w:t>, décision</w:t>
      </w:r>
      <w:r w:rsidR="005D739A" w:rsidRPr="008324BE">
        <w:rPr>
          <w:lang w:val="fr-CA"/>
        </w:rPr>
        <w:t xml:space="preserve"> </w:t>
      </w:r>
      <w:r w:rsidR="006167D0" w:rsidRPr="008324BE">
        <w:rPr>
          <w:lang w:val="fr-CA"/>
        </w:rPr>
        <w:t>n</w:t>
      </w:r>
      <w:r w:rsidR="006167D0" w:rsidRPr="008324BE">
        <w:rPr>
          <w:vertAlign w:val="superscript"/>
          <w:lang w:val="fr-CA"/>
        </w:rPr>
        <w:t>o</w:t>
      </w:r>
      <w:r w:rsidR="008324BE" w:rsidRPr="008324BE">
        <w:rPr>
          <w:lang w:val="fr-CA"/>
        </w:rPr>
        <w:t> </w:t>
      </w:r>
      <w:r w:rsidR="006167D0" w:rsidRPr="008324BE">
        <w:rPr>
          <w:lang w:val="fr-CA"/>
        </w:rPr>
        <w:t>431</w:t>
      </w:r>
      <w:r w:rsidR="004A11BA">
        <w:rPr>
          <w:lang w:val="fr-CA"/>
        </w:rPr>
        <w:t>-</w:t>
      </w:r>
      <w:r w:rsidR="006167D0" w:rsidRPr="008324BE">
        <w:rPr>
          <w:lang w:val="fr-CA"/>
        </w:rPr>
        <w:t>AT</w:t>
      </w:r>
      <w:r w:rsidR="004A11BA">
        <w:rPr>
          <w:lang w:val="fr-CA"/>
        </w:rPr>
        <w:t>-</w:t>
      </w:r>
      <w:r w:rsidR="006167D0" w:rsidRPr="008324BE">
        <w:rPr>
          <w:lang w:val="fr-CA"/>
        </w:rPr>
        <w:t>MV</w:t>
      </w:r>
      <w:r w:rsidR="004A11BA">
        <w:rPr>
          <w:lang w:val="fr-CA"/>
        </w:rPr>
        <w:t>-</w:t>
      </w:r>
      <w:r w:rsidR="006167D0" w:rsidRPr="008324BE">
        <w:rPr>
          <w:lang w:val="fr-CA"/>
        </w:rPr>
        <w:t>2008, 20 août 2008</w:t>
      </w:r>
      <w:r w:rsidR="002119C4" w:rsidRPr="008324BE">
        <w:rPr>
          <w:lang w:val="fr-CA"/>
        </w:rPr>
        <w:t xml:space="preserve">; </w:t>
      </w:r>
      <w:r w:rsidR="002119C4" w:rsidRPr="008324BE">
        <w:rPr>
          <w:i/>
          <w:lang w:val="fr-CA"/>
        </w:rPr>
        <w:t xml:space="preserve">Lukács </w:t>
      </w:r>
      <w:r w:rsidR="00B634F6" w:rsidRPr="008324BE">
        <w:rPr>
          <w:i/>
          <w:lang w:val="fr-CA"/>
        </w:rPr>
        <w:t>c</w:t>
      </w:r>
      <w:r w:rsidR="002119C4" w:rsidRPr="008324BE">
        <w:rPr>
          <w:i/>
          <w:lang w:val="fr-CA"/>
        </w:rPr>
        <w:t xml:space="preserve">. </w:t>
      </w:r>
      <w:r w:rsidR="00B634F6" w:rsidRPr="008324BE">
        <w:rPr>
          <w:i/>
          <w:lang w:val="fr-CA"/>
        </w:rPr>
        <w:t>Office des transports du Canada</w:t>
      </w:r>
      <w:r w:rsidR="002119C4" w:rsidRPr="008324BE">
        <w:rPr>
          <w:lang w:val="fr-CA"/>
        </w:rPr>
        <w:t xml:space="preserve">, 2014 </w:t>
      </w:r>
      <w:r w:rsidR="001661D8" w:rsidRPr="008324BE">
        <w:rPr>
          <w:lang w:val="fr-CA"/>
        </w:rPr>
        <w:t>CAF</w:t>
      </w:r>
      <w:r w:rsidR="002119C4" w:rsidRPr="008324BE">
        <w:rPr>
          <w:lang w:val="fr-CA"/>
        </w:rPr>
        <w:t xml:space="preserve"> 76</w:t>
      </w:r>
      <w:r w:rsidR="008324BE" w:rsidRPr="008324BE">
        <w:rPr>
          <w:lang w:val="fr-CA"/>
        </w:rPr>
        <w:t xml:space="preserve">; </w:t>
      </w:r>
      <w:r w:rsidR="008324BE" w:rsidRPr="008324BE">
        <w:rPr>
          <w:i/>
          <w:lang w:val="fr-CA"/>
        </w:rPr>
        <w:t>Maple Lodge Farms Ltd. c. Gouvernement du Canada</w:t>
      </w:r>
      <w:r w:rsidR="008324BE" w:rsidRPr="008324BE">
        <w:rPr>
          <w:lang w:val="fr-CA"/>
        </w:rPr>
        <w:t xml:space="preserve">, [1982] 2 </w:t>
      </w:r>
      <w:r w:rsidR="008324BE">
        <w:rPr>
          <w:lang w:val="fr-CA"/>
        </w:rPr>
        <w:t>R</w:t>
      </w:r>
      <w:r w:rsidR="008324BE" w:rsidRPr="008324BE">
        <w:rPr>
          <w:lang w:val="fr-CA"/>
        </w:rPr>
        <w:t>.C.</w:t>
      </w:r>
      <w:r w:rsidR="008324BE">
        <w:rPr>
          <w:lang w:val="fr-CA"/>
        </w:rPr>
        <w:t>S</w:t>
      </w:r>
      <w:r w:rsidR="008324BE" w:rsidRPr="008324BE">
        <w:rPr>
          <w:lang w:val="fr-CA"/>
        </w:rPr>
        <w:t xml:space="preserve">. 2; </w:t>
      </w:r>
      <w:r w:rsidR="008324BE" w:rsidRPr="008324BE">
        <w:rPr>
          <w:i/>
          <w:lang w:val="fr-CA"/>
        </w:rPr>
        <w:t xml:space="preserve">Hryniak </w:t>
      </w:r>
      <w:r w:rsidR="008324BE">
        <w:rPr>
          <w:i/>
          <w:lang w:val="fr-CA"/>
        </w:rPr>
        <w:t>c</w:t>
      </w:r>
      <w:r w:rsidR="008324BE" w:rsidRPr="008324BE">
        <w:rPr>
          <w:i/>
          <w:lang w:val="fr-CA"/>
        </w:rPr>
        <w:t>. Mauldin</w:t>
      </w:r>
      <w:r w:rsidR="008324BE" w:rsidRPr="008324BE">
        <w:rPr>
          <w:lang w:val="fr-CA"/>
        </w:rPr>
        <w:t xml:space="preserve">, 2014 </w:t>
      </w:r>
      <w:r w:rsidR="008324BE">
        <w:rPr>
          <w:lang w:val="fr-CA"/>
        </w:rPr>
        <w:t>CSC</w:t>
      </w:r>
      <w:r w:rsidR="008324BE" w:rsidRPr="008324BE">
        <w:rPr>
          <w:lang w:val="fr-CA"/>
        </w:rPr>
        <w:t xml:space="preserve"> 7, [2014] 1 </w:t>
      </w:r>
      <w:r w:rsidR="008324BE">
        <w:rPr>
          <w:lang w:val="fr-CA"/>
        </w:rPr>
        <w:t>R</w:t>
      </w:r>
      <w:r w:rsidR="008324BE" w:rsidRPr="008324BE">
        <w:rPr>
          <w:lang w:val="fr-CA"/>
        </w:rPr>
        <w:t xml:space="preserve">.C.S. 87; </w:t>
      </w:r>
      <w:r w:rsidR="008324BE" w:rsidRPr="008324BE">
        <w:rPr>
          <w:i/>
          <w:lang w:val="fr-CA"/>
        </w:rPr>
        <w:t>Norman (Succession) c. Air Canada</w:t>
      </w:r>
      <w:r w:rsidR="008324BE" w:rsidRPr="008324BE">
        <w:rPr>
          <w:lang w:val="fr-CA"/>
        </w:rPr>
        <w:t>, Office des transports du Canada, décision n</w:t>
      </w:r>
      <w:r w:rsidR="008324BE" w:rsidRPr="008324BE">
        <w:rPr>
          <w:vertAlign w:val="superscript"/>
          <w:lang w:val="fr-CA"/>
        </w:rPr>
        <w:t>o</w:t>
      </w:r>
      <w:r w:rsidR="008324BE" w:rsidRPr="008324BE">
        <w:rPr>
          <w:lang w:val="fr-CA"/>
        </w:rPr>
        <w:t> 6</w:t>
      </w:r>
      <w:r w:rsidR="008324BE" w:rsidRPr="008324BE">
        <w:rPr>
          <w:lang w:val="fr-CA"/>
        </w:rPr>
        <w:noBreakHyphen/>
        <w:t>AT</w:t>
      </w:r>
      <w:r w:rsidR="008324BE" w:rsidRPr="008324BE">
        <w:rPr>
          <w:lang w:val="fr-CA"/>
        </w:rPr>
        <w:noBreakHyphen/>
        <w:t>A</w:t>
      </w:r>
      <w:r w:rsidR="008324BE" w:rsidRPr="008324BE">
        <w:rPr>
          <w:lang w:val="fr-CA"/>
        </w:rPr>
        <w:noBreakHyphen/>
        <w:t>2008, 10 janvier 2008.</w:t>
      </w:r>
    </w:p>
    <w:p w:rsidR="004D7D95" w:rsidRPr="006542B5" w:rsidRDefault="004D7D95" w:rsidP="00B830F5">
      <w:pPr>
        <w:pStyle w:val="SCCNormalDoubleSpacing"/>
        <w:widowControl w:val="0"/>
        <w:spacing w:after="720" w:line="240" w:lineRule="auto"/>
        <w:rPr>
          <w:b/>
          <w:lang w:val="fr-CA"/>
        </w:rPr>
      </w:pPr>
      <w:r w:rsidRPr="004D7D95">
        <w:rPr>
          <w:b/>
          <w:lang w:val="fr-CA"/>
        </w:rPr>
        <w:t>Lois et règlements cités</w:t>
      </w:r>
    </w:p>
    <w:p w:rsidR="00E54CCA" w:rsidRPr="00E54CCA" w:rsidRDefault="00E54CCA" w:rsidP="00B830F5">
      <w:pPr>
        <w:pStyle w:val="SCCNormalDoubleSpacing"/>
        <w:widowControl w:val="0"/>
        <w:spacing w:after="240" w:line="240" w:lineRule="auto"/>
        <w:ind w:left="539" w:hanging="539"/>
        <w:rPr>
          <w:lang w:val="fr-CA"/>
        </w:rPr>
      </w:pPr>
      <w:r w:rsidRPr="00E54CCA">
        <w:rPr>
          <w:i/>
          <w:lang w:val="fr-CA"/>
        </w:rPr>
        <w:t>Lo</w:t>
      </w:r>
      <w:r w:rsidR="006542B5">
        <w:rPr>
          <w:i/>
          <w:lang w:val="fr-CA"/>
        </w:rPr>
        <w:t>i</w:t>
      </w:r>
      <w:r w:rsidRPr="00E54CCA">
        <w:rPr>
          <w:i/>
          <w:lang w:val="fr-CA"/>
        </w:rPr>
        <w:t xml:space="preserve"> sur les transports au Canada</w:t>
      </w:r>
      <w:r w:rsidR="005C1B20">
        <w:rPr>
          <w:lang w:val="fr-CA"/>
        </w:rPr>
        <w:t>, L.C. 1996, c. </w:t>
      </w:r>
      <w:r>
        <w:rPr>
          <w:lang w:val="fr-CA"/>
        </w:rPr>
        <w:t xml:space="preserve">10, </w:t>
      </w:r>
      <w:r w:rsidR="005C1B20">
        <w:rPr>
          <w:lang w:val="fr-CA"/>
        </w:rPr>
        <w:t>art. </w:t>
      </w:r>
      <w:r w:rsidR="00DE4F0C" w:rsidRPr="000228C1">
        <w:rPr>
          <w:lang w:val="fr-CA"/>
        </w:rPr>
        <w:t>5,</w:t>
      </w:r>
      <w:r w:rsidR="00DE4F0C">
        <w:rPr>
          <w:lang w:val="fr-CA"/>
        </w:rPr>
        <w:t xml:space="preserve"> </w:t>
      </w:r>
      <w:r w:rsidRPr="00E54CCA">
        <w:rPr>
          <w:lang w:val="fr-CA"/>
        </w:rPr>
        <w:t>17, 25, 37</w:t>
      </w:r>
      <w:r w:rsidR="004A7161">
        <w:rPr>
          <w:lang w:val="fr-CA"/>
        </w:rPr>
        <w:t>, p</w:t>
      </w:r>
      <w:r w:rsidR="00ED5EA1">
        <w:rPr>
          <w:lang w:val="fr-CA"/>
        </w:rPr>
        <w:t>artie </w:t>
      </w:r>
      <w:r w:rsidR="00862137" w:rsidRPr="005C3C30">
        <w:rPr>
          <w:lang w:val="fr-CA"/>
        </w:rPr>
        <w:t>V.</w:t>
      </w:r>
    </w:p>
    <w:p w:rsidR="00532B87" w:rsidRPr="001661D8" w:rsidRDefault="00532B87" w:rsidP="00B830F5">
      <w:pPr>
        <w:pStyle w:val="SCCNormalDoubleSpacing"/>
        <w:widowControl w:val="0"/>
        <w:spacing w:after="240" w:line="240" w:lineRule="auto"/>
        <w:ind w:left="539" w:hanging="539"/>
        <w:rPr>
          <w:lang w:val="fr-CA"/>
        </w:rPr>
      </w:pPr>
      <w:r w:rsidRPr="001661D8">
        <w:rPr>
          <w:i/>
          <w:lang w:val="fr-CA"/>
        </w:rPr>
        <w:t>Règlement sur les transports aériens</w:t>
      </w:r>
      <w:r w:rsidRPr="001661D8">
        <w:rPr>
          <w:lang w:val="fr-CA"/>
        </w:rPr>
        <w:t>, DORS/88</w:t>
      </w:r>
      <w:r w:rsidR="005C1B20">
        <w:rPr>
          <w:lang w:val="fr-CA"/>
        </w:rPr>
        <w:noBreakHyphen/>
      </w:r>
      <w:r w:rsidRPr="001661D8">
        <w:rPr>
          <w:lang w:val="fr-CA"/>
        </w:rPr>
        <w:t xml:space="preserve">58, </w:t>
      </w:r>
      <w:r w:rsidR="005C1B20">
        <w:rPr>
          <w:lang w:val="fr-CA"/>
        </w:rPr>
        <w:t>art. </w:t>
      </w:r>
      <w:r w:rsidR="00DE4F0C" w:rsidRPr="000228C1">
        <w:rPr>
          <w:lang w:val="fr-CA"/>
        </w:rPr>
        <w:t>111,</w:t>
      </w:r>
      <w:r w:rsidR="00DE4F0C">
        <w:rPr>
          <w:lang w:val="fr-CA"/>
        </w:rPr>
        <w:t xml:space="preserve"> 113, 113.1.</w:t>
      </w:r>
    </w:p>
    <w:p w:rsidR="004D7D95" w:rsidRPr="004D7D95" w:rsidRDefault="00532B87" w:rsidP="00B830F5">
      <w:pPr>
        <w:pStyle w:val="SCCNormalDoubleSpacing"/>
        <w:widowControl w:val="0"/>
        <w:spacing w:after="720" w:line="240" w:lineRule="auto"/>
        <w:ind w:left="540" w:hanging="540"/>
        <w:rPr>
          <w:lang w:val="fr-CA"/>
        </w:rPr>
      </w:pPr>
      <w:r w:rsidRPr="001661D8">
        <w:rPr>
          <w:i/>
          <w:lang w:val="fr-CA"/>
        </w:rPr>
        <w:t>Règles de l’Office des transports du Canada (Instances de règlement de différends et certaines règles applicables à toutes les instances)</w:t>
      </w:r>
      <w:r w:rsidRPr="001661D8">
        <w:rPr>
          <w:lang w:val="fr-CA"/>
        </w:rPr>
        <w:t>, DORS/2014</w:t>
      </w:r>
      <w:r w:rsidR="005C1B20">
        <w:rPr>
          <w:lang w:val="fr-CA"/>
        </w:rPr>
        <w:noBreakHyphen/>
      </w:r>
      <w:r w:rsidRPr="001661D8">
        <w:rPr>
          <w:lang w:val="fr-CA"/>
        </w:rPr>
        <w:t xml:space="preserve">104, </w:t>
      </w:r>
      <w:r w:rsidR="005C1B20">
        <w:rPr>
          <w:lang w:val="fr-CA"/>
        </w:rPr>
        <w:t>art. </w:t>
      </w:r>
      <w:r w:rsidRPr="001661D8">
        <w:rPr>
          <w:lang w:val="fr-CA"/>
        </w:rPr>
        <w:t>5(1).</w:t>
      </w:r>
    </w:p>
    <w:p w:rsidR="004D7D95" w:rsidRPr="004D7D95" w:rsidRDefault="004D7D95" w:rsidP="00B830F5">
      <w:pPr>
        <w:pStyle w:val="SCCNormalDoubleSpacing"/>
        <w:widowControl w:val="0"/>
        <w:spacing w:after="720" w:line="240" w:lineRule="auto"/>
        <w:rPr>
          <w:b/>
          <w:lang w:val="fr-CA"/>
        </w:rPr>
      </w:pPr>
      <w:r w:rsidRPr="004D7D95">
        <w:rPr>
          <w:b/>
          <w:lang w:val="fr-CA"/>
        </w:rPr>
        <w:t>Doctrine et autres documents cités</w:t>
      </w:r>
    </w:p>
    <w:p w:rsidR="00862137" w:rsidRPr="00082B2A" w:rsidRDefault="00862137" w:rsidP="00B830F5">
      <w:pPr>
        <w:pStyle w:val="SCCNormalDoubleSpacing"/>
        <w:widowControl w:val="0"/>
        <w:spacing w:after="240" w:line="240" w:lineRule="auto"/>
        <w:ind w:left="539" w:hanging="539"/>
        <w:rPr>
          <w:lang w:val="en-US"/>
        </w:rPr>
      </w:pPr>
      <w:r w:rsidRPr="0029526E">
        <w:rPr>
          <w:lang w:val="fr-CA"/>
        </w:rPr>
        <w:t xml:space="preserve">Dyzenhaus, David. </w:t>
      </w:r>
      <w:r w:rsidR="009E4988">
        <w:rPr>
          <w:lang w:val="en-US"/>
        </w:rPr>
        <w:t>«</w:t>
      </w:r>
      <w:r w:rsidR="009E4988" w:rsidRPr="004A2242">
        <w:rPr>
          <w:lang w:val="en-US"/>
        </w:rPr>
        <w:t> </w:t>
      </w:r>
      <w:r w:rsidRPr="00AE5E7A">
        <w:t>The Politics of Deference</w:t>
      </w:r>
      <w:r w:rsidR="004A2242" w:rsidRPr="004A2242">
        <w:rPr>
          <w:lang w:val="en-US"/>
        </w:rPr>
        <w:t> </w:t>
      </w:r>
      <w:r w:rsidR="009E4988">
        <w:t>: Judicial Review and Democracy</w:t>
      </w:r>
      <w:r w:rsidR="009E4988" w:rsidRPr="004A2242">
        <w:rPr>
          <w:lang w:val="en-US"/>
        </w:rPr>
        <w:t> </w:t>
      </w:r>
      <w:r w:rsidR="009E4988">
        <w:t>»</w:t>
      </w:r>
      <w:r w:rsidRPr="00AE5E7A">
        <w:t xml:space="preserve">, in Michael Taggart, ed., </w:t>
      </w:r>
      <w:r w:rsidRPr="00AE5E7A">
        <w:rPr>
          <w:i/>
        </w:rPr>
        <w:t>The Province of Administrative Law</w:t>
      </w:r>
      <w:r w:rsidR="00F47E5E">
        <w:t>,</w:t>
      </w:r>
      <w:r w:rsidRPr="00AE5E7A">
        <w:t xml:space="preserve"> Oxford</w:t>
      </w:r>
      <w:r w:rsidR="00F47E5E">
        <w:rPr>
          <w:lang w:val="en-US"/>
        </w:rPr>
        <w:t>,</w:t>
      </w:r>
      <w:r w:rsidRPr="00AE5E7A">
        <w:t xml:space="preserve"> Hart, 1997, 279.</w:t>
      </w:r>
    </w:p>
    <w:p w:rsidR="00411136" w:rsidRPr="00862137" w:rsidRDefault="00BD4B3A" w:rsidP="00B830F5">
      <w:pPr>
        <w:pStyle w:val="SCCNormalDoubleSpacing"/>
        <w:widowControl w:val="0"/>
        <w:spacing w:after="240" w:line="240" w:lineRule="auto"/>
        <w:ind w:left="539" w:hanging="539"/>
        <w:rPr>
          <w:lang w:val="en-US"/>
        </w:rPr>
      </w:pPr>
      <w:r w:rsidRPr="00862137">
        <w:rPr>
          <w:lang w:val="en-US"/>
        </w:rPr>
        <w:t>Jones, David Phillip, and Anne </w:t>
      </w:r>
      <w:r w:rsidR="00F47E5E">
        <w:rPr>
          <w:lang w:val="en-US"/>
        </w:rPr>
        <w:t>S. de Villars.</w:t>
      </w:r>
      <w:r w:rsidR="00411136" w:rsidRPr="00862137">
        <w:rPr>
          <w:lang w:val="en-US"/>
        </w:rPr>
        <w:t xml:space="preserve"> </w:t>
      </w:r>
      <w:r w:rsidR="00411136" w:rsidRPr="00862137">
        <w:rPr>
          <w:i/>
          <w:lang w:val="en-US"/>
        </w:rPr>
        <w:t>Principles of Administrative Law</w:t>
      </w:r>
      <w:r w:rsidR="00411136" w:rsidRPr="00862137">
        <w:rPr>
          <w:lang w:val="en-US"/>
        </w:rPr>
        <w:t>, 5th ed., Toronto, Carswell, 2009.</w:t>
      </w:r>
    </w:p>
    <w:p w:rsidR="00862137" w:rsidRPr="00F47E5E" w:rsidRDefault="00862137" w:rsidP="00B830F5">
      <w:pPr>
        <w:pStyle w:val="SCCNormalDoubleSpacing"/>
        <w:widowControl w:val="0"/>
        <w:spacing w:after="720" w:line="240" w:lineRule="auto"/>
        <w:ind w:left="540" w:hanging="540"/>
        <w:rPr>
          <w:lang w:val="en-US"/>
        </w:rPr>
      </w:pPr>
      <w:r w:rsidRPr="004A2242">
        <w:t xml:space="preserve">Sossin, Lorne. </w:t>
      </w:r>
      <w:r w:rsidR="009E4988">
        <w:rPr>
          <w:lang w:val="en-US"/>
        </w:rPr>
        <w:t>«</w:t>
      </w:r>
      <w:r w:rsidR="009E4988" w:rsidRPr="004A2242">
        <w:rPr>
          <w:lang w:val="en-US"/>
        </w:rPr>
        <w:t> </w:t>
      </w:r>
      <w:r w:rsidRPr="004A2242">
        <w:t>Access to Administrative Justice and Other Worries</w:t>
      </w:r>
      <w:r w:rsidR="009E4988" w:rsidRPr="004A2242">
        <w:rPr>
          <w:lang w:val="en-US"/>
        </w:rPr>
        <w:t> </w:t>
      </w:r>
      <w:r w:rsidR="009E4988">
        <w:t>»</w:t>
      </w:r>
      <w:r w:rsidRPr="004A2242">
        <w:t>, in Colleen M.</w:t>
      </w:r>
      <w:r w:rsidR="00DC3646">
        <w:t xml:space="preserve"> Flood</w:t>
      </w:r>
      <w:r w:rsidRPr="004A2242">
        <w:t xml:space="preserve"> and Lorne Sossin, eds., </w:t>
      </w:r>
      <w:r w:rsidRPr="004A2242">
        <w:rPr>
          <w:i/>
        </w:rPr>
        <w:t>Administrative Law in Context</w:t>
      </w:r>
      <w:r w:rsidRPr="004A2242">
        <w:t>, 2nd ed.</w:t>
      </w:r>
      <w:r w:rsidR="00F47E5E">
        <w:t>,</w:t>
      </w:r>
      <w:r w:rsidRPr="004A2242">
        <w:t xml:space="preserve"> </w:t>
      </w:r>
      <w:r w:rsidRPr="00F47E5E">
        <w:rPr>
          <w:lang w:val="en-US"/>
        </w:rPr>
        <w:t>Toronto</w:t>
      </w:r>
      <w:r w:rsidR="00F47E5E" w:rsidRPr="00F47E5E">
        <w:rPr>
          <w:lang w:val="en-US"/>
        </w:rPr>
        <w:t xml:space="preserve">, </w:t>
      </w:r>
      <w:r w:rsidRPr="00F47E5E">
        <w:rPr>
          <w:lang w:val="en-US"/>
        </w:rPr>
        <w:t>Emond Montgomery, 2013, 211.</w:t>
      </w:r>
    </w:p>
    <w:p w:rsidR="004D7D95" w:rsidRPr="004D7D95" w:rsidRDefault="00F13B62" w:rsidP="00B830F5">
      <w:pPr>
        <w:pStyle w:val="SCCNormalDoubleSpacing"/>
        <w:widowControl w:val="0"/>
        <w:spacing w:after="480"/>
        <w:rPr>
          <w:lang w:val="fr-CA"/>
        </w:rPr>
      </w:pPr>
      <w:r w:rsidRPr="00F47E5E">
        <w:rPr>
          <w:lang w:val="en-US"/>
        </w:rPr>
        <w:tab/>
      </w:r>
      <w:r w:rsidR="004D7D95" w:rsidRPr="004D7D95">
        <w:rPr>
          <w:lang w:val="fr-CA"/>
        </w:rPr>
        <w:t xml:space="preserve">POURVOI contre un </w:t>
      </w:r>
      <w:r w:rsidR="004D7D95" w:rsidRPr="0021748B">
        <w:rPr>
          <w:lang w:val="fr-CA"/>
        </w:rPr>
        <w:t>arrêt</w:t>
      </w:r>
      <w:r w:rsidR="004D7D95" w:rsidRPr="004D7D95">
        <w:rPr>
          <w:lang w:val="fr-CA"/>
        </w:rPr>
        <w:t xml:space="preserve"> de la </w:t>
      </w:r>
      <w:r w:rsidR="004D7D95" w:rsidRPr="00F904F0">
        <w:rPr>
          <w:lang w:val="fr-CA"/>
        </w:rPr>
        <w:t xml:space="preserve">Cour </w:t>
      </w:r>
      <w:r w:rsidRPr="00F904F0">
        <w:rPr>
          <w:lang w:val="fr-CA"/>
        </w:rPr>
        <w:t>d</w:t>
      </w:r>
      <w:r>
        <w:rPr>
          <w:lang w:val="fr-CA"/>
        </w:rPr>
        <w:t>’</w:t>
      </w:r>
      <w:r w:rsidRPr="00F904F0">
        <w:rPr>
          <w:lang w:val="fr-CA"/>
        </w:rPr>
        <w:t>appel</w:t>
      </w:r>
      <w:r w:rsidR="004D7D95" w:rsidRPr="00F904F0">
        <w:rPr>
          <w:lang w:val="fr-CA"/>
        </w:rPr>
        <w:t xml:space="preserve"> fédérale</w:t>
      </w:r>
      <w:r w:rsidR="00F47E5E">
        <w:rPr>
          <w:lang w:val="fr-CA"/>
        </w:rPr>
        <w:t xml:space="preserve"> (les juges Webb, </w:t>
      </w:r>
      <w:r w:rsidR="001409A7">
        <w:rPr>
          <w:lang w:val="fr-CA"/>
        </w:rPr>
        <w:t>Scott</w:t>
      </w:r>
      <w:r w:rsidR="00F47E5E">
        <w:rPr>
          <w:lang w:val="fr-CA"/>
        </w:rPr>
        <w:t xml:space="preserve"> et de Montigny</w:t>
      </w:r>
      <w:r w:rsidR="001409A7">
        <w:rPr>
          <w:lang w:val="fr-CA"/>
        </w:rPr>
        <w:t xml:space="preserve">), </w:t>
      </w:r>
      <w:r w:rsidR="00C62190">
        <w:rPr>
          <w:lang w:val="fr-CA"/>
        </w:rPr>
        <w:t xml:space="preserve">2016 CAF 220, </w:t>
      </w:r>
      <w:r w:rsidR="00F927EE">
        <w:rPr>
          <w:lang w:val="fr-CA"/>
        </w:rPr>
        <w:t xml:space="preserve">408 D.L.R. (4th) 760, </w:t>
      </w:r>
      <w:r w:rsidR="00C62190">
        <w:rPr>
          <w:lang w:val="fr-CA"/>
        </w:rPr>
        <w:t xml:space="preserve">[2016] A.C.F. </w:t>
      </w:r>
      <w:r w:rsidR="001C194E">
        <w:rPr>
          <w:lang w:val="fr-CA"/>
        </w:rPr>
        <w:t>n</w:t>
      </w:r>
      <w:r w:rsidR="001C194E" w:rsidRPr="001C194E">
        <w:rPr>
          <w:vertAlign w:val="superscript"/>
          <w:lang w:val="fr-CA"/>
        </w:rPr>
        <w:t>o</w:t>
      </w:r>
      <w:r w:rsidR="005C1B20">
        <w:rPr>
          <w:lang w:val="fr-CA"/>
        </w:rPr>
        <w:t> </w:t>
      </w:r>
      <w:r w:rsidR="00C62190">
        <w:rPr>
          <w:lang w:val="fr-CA"/>
        </w:rPr>
        <w:t xml:space="preserve">971 (QL), 2016 CarswellNat </w:t>
      </w:r>
      <w:r w:rsidR="00C62190" w:rsidRPr="005E25EA">
        <w:rPr>
          <w:lang w:val="fr-CA"/>
        </w:rPr>
        <w:t>9946</w:t>
      </w:r>
      <w:r w:rsidR="00C62190">
        <w:rPr>
          <w:lang w:val="fr-CA"/>
        </w:rPr>
        <w:t xml:space="preserve"> (WL Can</w:t>
      </w:r>
      <w:r w:rsidR="00C62190" w:rsidRPr="0019173A">
        <w:rPr>
          <w:lang w:val="fr-CA"/>
        </w:rPr>
        <w:t xml:space="preserve">.), qui a infirmé une décision de l’Office des </w:t>
      </w:r>
      <w:r w:rsidR="00C62190" w:rsidRPr="0019173A">
        <w:rPr>
          <w:lang w:val="fr-CA"/>
        </w:rPr>
        <w:lastRenderedPageBreak/>
        <w:t>transports du Canada, n</w:t>
      </w:r>
      <w:r w:rsidR="00C62190" w:rsidRPr="0019173A">
        <w:rPr>
          <w:vertAlign w:val="superscript"/>
          <w:lang w:val="fr-CA"/>
        </w:rPr>
        <w:t>o</w:t>
      </w:r>
      <w:r w:rsidR="005C1B20" w:rsidRPr="0019173A">
        <w:rPr>
          <w:lang w:val="fr-CA"/>
        </w:rPr>
        <w:t> </w:t>
      </w:r>
      <w:r w:rsidR="001C194E" w:rsidRPr="0019173A">
        <w:rPr>
          <w:lang w:val="fr-CA"/>
        </w:rPr>
        <w:t>425</w:t>
      </w:r>
      <w:r w:rsidR="005C1B20" w:rsidRPr="0019173A">
        <w:rPr>
          <w:lang w:val="fr-CA"/>
        </w:rPr>
        <w:noBreakHyphen/>
      </w:r>
      <w:r w:rsidR="001C194E" w:rsidRPr="0019173A">
        <w:rPr>
          <w:lang w:val="fr-CA"/>
        </w:rPr>
        <w:t>C</w:t>
      </w:r>
      <w:r w:rsidR="005C1B20" w:rsidRPr="0019173A">
        <w:rPr>
          <w:lang w:val="fr-CA"/>
        </w:rPr>
        <w:noBreakHyphen/>
      </w:r>
      <w:r w:rsidR="001C194E" w:rsidRPr="0019173A">
        <w:rPr>
          <w:lang w:val="fr-CA"/>
        </w:rPr>
        <w:t>A</w:t>
      </w:r>
      <w:r w:rsidR="005C1B20" w:rsidRPr="0019173A">
        <w:rPr>
          <w:lang w:val="fr-CA"/>
        </w:rPr>
        <w:noBreakHyphen/>
      </w:r>
      <w:r w:rsidR="001C194E" w:rsidRPr="0019173A">
        <w:rPr>
          <w:lang w:val="fr-CA"/>
        </w:rPr>
        <w:t>2014</w:t>
      </w:r>
      <w:r w:rsidR="00C62190" w:rsidRPr="0019173A">
        <w:rPr>
          <w:lang w:val="fr-CA"/>
        </w:rPr>
        <w:t xml:space="preserve">, </w:t>
      </w:r>
      <w:r w:rsidR="005C1B20" w:rsidRPr="0019173A">
        <w:rPr>
          <w:lang w:val="fr-CA"/>
        </w:rPr>
        <w:t>datée du 25 </w:t>
      </w:r>
      <w:r w:rsidR="001C194E" w:rsidRPr="0019173A">
        <w:rPr>
          <w:lang w:val="fr-CA"/>
        </w:rPr>
        <w:t xml:space="preserve">novembre 2014, </w:t>
      </w:r>
      <w:r w:rsidR="00C62190" w:rsidRPr="0019173A">
        <w:rPr>
          <w:lang w:val="fr-CA"/>
        </w:rPr>
        <w:t>rejetant une plainte pour pratiques discriminatoires</w:t>
      </w:r>
      <w:r w:rsidR="00C26628" w:rsidRPr="0019173A">
        <w:rPr>
          <w:lang w:val="fr-CA"/>
        </w:rPr>
        <w:t>. Pourvoi accueilli en partie, les juges Abella, Moldaver et Karakatsanis sont dissidents.</w:t>
      </w:r>
    </w:p>
    <w:p w:rsidR="003877E0" w:rsidRPr="00F904F0" w:rsidRDefault="00ED5EA1" w:rsidP="00B830F5">
      <w:pPr>
        <w:pStyle w:val="SCCNormalDoubleSpacing"/>
        <w:widowControl w:val="0"/>
        <w:spacing w:after="480"/>
        <w:rPr>
          <w:lang w:val="fr-CA"/>
        </w:rPr>
      </w:pPr>
      <w:r>
        <w:rPr>
          <w:rStyle w:val="SCCCounselNameChar"/>
          <w:lang w:val="fr-CA"/>
        </w:rPr>
        <w:tab/>
        <w:t xml:space="preserve">Carlos P. </w:t>
      </w:r>
      <w:r w:rsidR="008141A1" w:rsidRPr="00F904F0">
        <w:rPr>
          <w:rStyle w:val="SCCCounselNameChar"/>
          <w:lang w:val="fr-CA"/>
        </w:rPr>
        <w:t>Martins</w:t>
      </w:r>
      <w:r w:rsidR="008141A1" w:rsidRPr="00F904F0">
        <w:rPr>
          <w:rStyle w:val="SCCCounselSeparatorChar"/>
          <w:lang w:val="fr-CA"/>
        </w:rPr>
        <w:t xml:space="preserve"> et </w:t>
      </w:r>
      <w:r>
        <w:rPr>
          <w:rStyle w:val="SCCCounselNameChar"/>
          <w:lang w:val="fr-CA"/>
        </w:rPr>
        <w:t>Andrew </w:t>
      </w:r>
      <w:r w:rsidR="008141A1" w:rsidRPr="00F904F0">
        <w:rPr>
          <w:rStyle w:val="SCCCounselNameChar"/>
          <w:lang w:val="fr-CA"/>
        </w:rPr>
        <w:t>W. MacDonald</w:t>
      </w:r>
      <w:r w:rsidR="008141A1" w:rsidRPr="00F904F0">
        <w:rPr>
          <w:rStyle w:val="SCCCounselPartyRoleChar"/>
          <w:lang w:val="fr-CA"/>
        </w:rPr>
        <w:t xml:space="preserve">, pour </w:t>
      </w:r>
      <w:r w:rsidR="00444044" w:rsidRPr="00F904F0">
        <w:rPr>
          <w:rStyle w:val="SCCCounselPartyRoleChar"/>
          <w:lang w:val="fr-CA"/>
        </w:rPr>
        <w:t>l</w:t>
      </w:r>
      <w:r w:rsidR="00444044">
        <w:rPr>
          <w:rStyle w:val="SCCCounselPartyRoleChar"/>
          <w:lang w:val="fr-CA"/>
        </w:rPr>
        <w:t>’</w:t>
      </w:r>
      <w:r w:rsidR="00444044" w:rsidRPr="00F904F0">
        <w:rPr>
          <w:rStyle w:val="SCCCounselPartyRoleChar"/>
          <w:lang w:val="fr-CA"/>
        </w:rPr>
        <w:t>appelant</w:t>
      </w:r>
      <w:r w:rsidR="00444044">
        <w:rPr>
          <w:rStyle w:val="SCCCounselPartyRoleChar"/>
          <w:lang w:val="fr-CA"/>
        </w:rPr>
        <w:t>e</w:t>
      </w:r>
      <w:r w:rsidR="008141A1" w:rsidRPr="00F904F0">
        <w:rPr>
          <w:rStyle w:val="SCCCounselPartyRoleChar"/>
          <w:lang w:val="fr-CA"/>
        </w:rPr>
        <w:t>.</w:t>
      </w:r>
    </w:p>
    <w:p w:rsidR="00444044" w:rsidRPr="00444044" w:rsidRDefault="00444044" w:rsidP="00B830F5">
      <w:pPr>
        <w:pStyle w:val="SCCNormalDoubleSpacing"/>
        <w:widowControl w:val="0"/>
        <w:spacing w:after="480"/>
        <w:rPr>
          <w:lang w:val="fr-CA"/>
        </w:rPr>
      </w:pPr>
      <w:r>
        <w:rPr>
          <w:lang w:val="fr-CA"/>
        </w:rPr>
        <w:tab/>
      </w:r>
      <w:r w:rsidRPr="00970BEC">
        <w:rPr>
          <w:i/>
          <w:lang w:val="fr-CA"/>
        </w:rPr>
        <w:t>Gábor Lukács</w:t>
      </w:r>
      <w:r w:rsidRPr="00444044">
        <w:rPr>
          <w:lang w:val="fr-CA"/>
        </w:rPr>
        <w:t>, en personne.</w:t>
      </w:r>
    </w:p>
    <w:p w:rsidR="003877E0" w:rsidRPr="00F904F0" w:rsidRDefault="008141A1" w:rsidP="00B830F5">
      <w:pPr>
        <w:pStyle w:val="SCCNormalDoubleSpacing"/>
        <w:widowControl w:val="0"/>
        <w:spacing w:after="480"/>
        <w:rPr>
          <w:lang w:val="fr-CA"/>
        </w:rPr>
      </w:pPr>
      <w:r w:rsidRPr="00444044">
        <w:rPr>
          <w:rStyle w:val="SCCCounselNameChar"/>
          <w:lang w:val="fr-CA"/>
        </w:rPr>
        <w:tab/>
      </w:r>
      <w:r w:rsidR="00444044" w:rsidRPr="00F904F0">
        <w:rPr>
          <w:rStyle w:val="SCCCounselNameChar"/>
          <w:lang w:val="fr-CA"/>
        </w:rPr>
        <w:t>Heather Mackay</w:t>
      </w:r>
      <w:r w:rsidR="00444044" w:rsidRPr="00F904F0">
        <w:rPr>
          <w:rStyle w:val="SCCCounselSeparatorChar"/>
          <w:lang w:val="fr-CA"/>
        </w:rPr>
        <w:t xml:space="preserve"> et </w:t>
      </w:r>
      <w:r w:rsidR="00444044" w:rsidRPr="00F904F0">
        <w:rPr>
          <w:rStyle w:val="SCCCounselNameChar"/>
          <w:lang w:val="fr-CA"/>
        </w:rPr>
        <w:t>Edmund Huang</w:t>
      </w:r>
      <w:r w:rsidR="00444044" w:rsidRPr="00F904F0">
        <w:rPr>
          <w:rStyle w:val="SCCCounselPartyRoleChar"/>
          <w:lang w:val="fr-CA"/>
        </w:rPr>
        <w:t>, pour l</w:t>
      </w:r>
      <w:r w:rsidR="00444044">
        <w:rPr>
          <w:rStyle w:val="SCCCounselPartyRoleChar"/>
          <w:lang w:val="fr-CA"/>
        </w:rPr>
        <w:t>’intervenant le p</w:t>
      </w:r>
      <w:r w:rsidR="00444044" w:rsidRPr="00F904F0">
        <w:rPr>
          <w:rStyle w:val="SCCCounselPartyRoleChar"/>
          <w:lang w:val="fr-CA"/>
        </w:rPr>
        <w:t>rocureur général de l</w:t>
      </w:r>
      <w:r w:rsidR="00444044">
        <w:rPr>
          <w:rStyle w:val="SCCCounselPartyRoleChar"/>
          <w:lang w:val="fr-CA"/>
        </w:rPr>
        <w:t>’</w:t>
      </w:r>
      <w:r w:rsidR="00444044" w:rsidRPr="00F904F0">
        <w:rPr>
          <w:rStyle w:val="SCCCounselPartyRoleChar"/>
          <w:lang w:val="fr-CA"/>
        </w:rPr>
        <w:t>Ontario.</w:t>
      </w:r>
    </w:p>
    <w:p w:rsidR="003877E0" w:rsidRPr="00F904F0" w:rsidRDefault="008141A1" w:rsidP="00B830F5">
      <w:pPr>
        <w:pStyle w:val="SCCNormalDoubleSpacing"/>
        <w:widowControl w:val="0"/>
        <w:spacing w:after="480"/>
        <w:rPr>
          <w:lang w:val="fr-CA"/>
        </w:rPr>
      </w:pPr>
      <w:r w:rsidRPr="00F904F0">
        <w:rPr>
          <w:rStyle w:val="SCCCounselNameChar"/>
          <w:lang w:val="fr-CA"/>
        </w:rPr>
        <w:tab/>
      </w:r>
      <w:r w:rsidR="00444044" w:rsidRPr="00F904F0">
        <w:rPr>
          <w:rStyle w:val="SCCCounselNameChar"/>
          <w:lang w:val="fr-CA"/>
        </w:rPr>
        <w:t xml:space="preserve">Allan </w:t>
      </w:r>
      <w:r w:rsidR="00444044" w:rsidRPr="001A268F">
        <w:rPr>
          <w:rStyle w:val="SCCCounselNameChar"/>
          <w:lang w:val="fr-CA"/>
        </w:rPr>
        <w:t>Matte</w:t>
      </w:r>
      <w:r w:rsidR="00444044" w:rsidRPr="001A268F">
        <w:rPr>
          <w:rStyle w:val="SCCCounselNameChar"/>
          <w:i w:val="0"/>
          <w:lang w:val="fr-CA"/>
        </w:rPr>
        <w:t xml:space="preserve"> et </w:t>
      </w:r>
      <w:r w:rsidR="00444044" w:rsidRPr="001A268F">
        <w:rPr>
          <w:rStyle w:val="SCCCounselNameChar"/>
          <w:lang w:val="fr-CA"/>
        </w:rPr>
        <w:t>Mante Molepo</w:t>
      </w:r>
      <w:r w:rsidR="00444044" w:rsidRPr="00F904F0">
        <w:rPr>
          <w:rStyle w:val="SCCCounselPartyRoleChar"/>
          <w:lang w:val="fr-CA"/>
        </w:rPr>
        <w:t xml:space="preserve">, </w:t>
      </w:r>
      <w:r w:rsidR="00444044" w:rsidRPr="005E25EA">
        <w:rPr>
          <w:rStyle w:val="SCCCounselPartyRoleChar"/>
          <w:lang w:val="fr-CA"/>
        </w:rPr>
        <w:t>pour l’intervenant l’Office</w:t>
      </w:r>
      <w:r w:rsidR="00444044" w:rsidRPr="00F904F0">
        <w:rPr>
          <w:rStyle w:val="SCCCounselPartyRoleChar"/>
          <w:lang w:val="fr-CA"/>
        </w:rPr>
        <w:t xml:space="preserve"> des transports du Canada.</w:t>
      </w:r>
    </w:p>
    <w:p w:rsidR="003877E0" w:rsidRPr="00F904F0" w:rsidRDefault="008141A1" w:rsidP="00B830F5">
      <w:pPr>
        <w:pStyle w:val="SCCNormalDoubleSpacing"/>
        <w:widowControl w:val="0"/>
        <w:spacing w:after="480"/>
        <w:rPr>
          <w:lang w:val="fr-CA"/>
        </w:rPr>
      </w:pPr>
      <w:r w:rsidRPr="00F904F0">
        <w:rPr>
          <w:rStyle w:val="SCCCounselNameChar"/>
          <w:lang w:val="fr-CA"/>
        </w:rPr>
        <w:tab/>
        <w:t>David Neave</w:t>
      </w:r>
      <w:r w:rsidR="00444044">
        <w:rPr>
          <w:rStyle w:val="SCCCounselSeparatorChar"/>
          <w:lang w:val="fr-CA"/>
        </w:rPr>
        <w:t xml:space="preserve"> </w:t>
      </w:r>
      <w:r w:rsidR="00BC1D42" w:rsidRPr="00710701">
        <w:rPr>
          <w:rStyle w:val="SCCCounselSeparatorChar"/>
          <w:lang w:val="fr-CA"/>
        </w:rPr>
        <w:t>et</w:t>
      </w:r>
      <w:r w:rsidRPr="00BC1D42">
        <w:rPr>
          <w:rStyle w:val="SCCCounselSeparatorChar"/>
          <w:lang w:val="fr-CA"/>
        </w:rPr>
        <w:t xml:space="preserve"> </w:t>
      </w:r>
      <w:r w:rsidR="00444044">
        <w:rPr>
          <w:rStyle w:val="SCCCounselNameChar"/>
          <w:lang w:val="fr-CA"/>
        </w:rPr>
        <w:t xml:space="preserve">Derek </w:t>
      </w:r>
      <w:r w:rsidRPr="00F904F0">
        <w:rPr>
          <w:rStyle w:val="SCCCounselNameChar"/>
          <w:lang w:val="fr-CA"/>
        </w:rPr>
        <w:t>Bell</w:t>
      </w:r>
      <w:r w:rsidRPr="00F904F0">
        <w:rPr>
          <w:rStyle w:val="SCCCounselPartyRoleChar"/>
          <w:lang w:val="fr-CA"/>
        </w:rPr>
        <w:t xml:space="preserve">, </w:t>
      </w:r>
      <w:r w:rsidRPr="005E25EA">
        <w:rPr>
          <w:rStyle w:val="SCCCounselPartyRoleChar"/>
          <w:lang w:val="fr-CA"/>
        </w:rPr>
        <w:t xml:space="preserve">pour </w:t>
      </w:r>
      <w:r w:rsidR="00444044" w:rsidRPr="005E25EA">
        <w:rPr>
          <w:rStyle w:val="SCCCounselPartyRoleChar"/>
          <w:lang w:val="fr-CA"/>
        </w:rPr>
        <w:t>l’intervenante</w:t>
      </w:r>
      <w:r w:rsidRPr="00F904F0">
        <w:rPr>
          <w:rStyle w:val="SCCCounselPartyRoleChar"/>
          <w:lang w:val="fr-CA"/>
        </w:rPr>
        <w:t xml:space="preserve"> International Air Transport Association.</w:t>
      </w:r>
    </w:p>
    <w:p w:rsidR="003877E0" w:rsidRPr="00F904F0" w:rsidRDefault="008141A1" w:rsidP="00B830F5">
      <w:pPr>
        <w:pStyle w:val="SCCNormalDoubleSpacing"/>
        <w:widowControl w:val="0"/>
        <w:spacing w:after="480"/>
        <w:rPr>
          <w:lang w:val="fr-CA"/>
        </w:rPr>
      </w:pPr>
      <w:r w:rsidRPr="00F904F0">
        <w:rPr>
          <w:rStyle w:val="SCCCounselNameChar"/>
          <w:lang w:val="fr-CA"/>
        </w:rPr>
        <w:tab/>
        <w:t>Byron Williams</w:t>
      </w:r>
      <w:r w:rsidRPr="00F904F0">
        <w:rPr>
          <w:rStyle w:val="SCCCounselSeparatorChar"/>
          <w:lang w:val="fr-CA"/>
        </w:rPr>
        <w:t xml:space="preserve">, </w:t>
      </w:r>
      <w:r w:rsidRPr="00F904F0">
        <w:rPr>
          <w:rStyle w:val="SCCCounselNameChar"/>
          <w:lang w:val="fr-CA"/>
        </w:rPr>
        <w:t>Joëlle Pastora Sala</w:t>
      </w:r>
      <w:r w:rsidRPr="00F904F0">
        <w:rPr>
          <w:rStyle w:val="SCCCounselSeparatorChar"/>
          <w:lang w:val="fr-CA"/>
        </w:rPr>
        <w:t xml:space="preserve"> et </w:t>
      </w:r>
      <w:r w:rsidRPr="00F904F0">
        <w:rPr>
          <w:rStyle w:val="SCCCounselNameChar"/>
          <w:lang w:val="fr-CA"/>
        </w:rPr>
        <w:t>Alyssa Mariani</w:t>
      </w:r>
      <w:r w:rsidRPr="00F904F0">
        <w:rPr>
          <w:rStyle w:val="SCCCounselPartyRoleChar"/>
          <w:lang w:val="fr-CA"/>
        </w:rPr>
        <w:t xml:space="preserve">, </w:t>
      </w:r>
      <w:r w:rsidRPr="005E25EA">
        <w:rPr>
          <w:rStyle w:val="SCCCounselPartyRoleChar"/>
          <w:lang w:val="fr-CA"/>
        </w:rPr>
        <w:t xml:space="preserve">pour </w:t>
      </w:r>
      <w:r w:rsidR="00444044" w:rsidRPr="005E25EA">
        <w:rPr>
          <w:rStyle w:val="SCCCounselPartyRoleChar"/>
          <w:lang w:val="fr-CA"/>
        </w:rPr>
        <w:t>l</w:t>
      </w:r>
      <w:r w:rsidR="005E25EA" w:rsidRPr="005E25EA">
        <w:rPr>
          <w:rStyle w:val="SCCCounselPartyRoleChar"/>
          <w:lang w:val="fr-CA"/>
        </w:rPr>
        <w:t>’intervenant</w:t>
      </w:r>
      <w:r w:rsidR="00444044" w:rsidRPr="005E25EA">
        <w:rPr>
          <w:rStyle w:val="SCCCounselPartyRoleChar"/>
          <w:lang w:val="fr-CA"/>
        </w:rPr>
        <w:t xml:space="preserve"> le </w:t>
      </w:r>
      <w:r w:rsidRPr="005E25EA">
        <w:rPr>
          <w:rStyle w:val="SCCCounselPartyRoleChar"/>
          <w:lang w:val="fr-CA"/>
        </w:rPr>
        <w:t>C</w:t>
      </w:r>
      <w:r w:rsidRPr="00F904F0">
        <w:rPr>
          <w:rStyle w:val="SCCCounselPartyRoleChar"/>
          <w:lang w:val="fr-CA"/>
        </w:rPr>
        <w:t>onseil des Canadiens avec d</w:t>
      </w:r>
      <w:r w:rsidR="00444044">
        <w:rPr>
          <w:rStyle w:val="SCCCounselPartyRoleChar"/>
          <w:lang w:val="fr-CA"/>
        </w:rPr>
        <w:t>é</w:t>
      </w:r>
      <w:r w:rsidRPr="00F904F0">
        <w:rPr>
          <w:rStyle w:val="SCCCounselPartyRoleChar"/>
          <w:lang w:val="fr-CA"/>
        </w:rPr>
        <w:t>ficiences.</w:t>
      </w:r>
    </w:p>
    <w:p w:rsidR="003877E0" w:rsidRPr="00F904F0" w:rsidRDefault="008141A1" w:rsidP="00B830F5">
      <w:pPr>
        <w:pStyle w:val="SCCNormalDoubleSpacing"/>
        <w:widowControl w:val="0"/>
        <w:spacing w:after="480"/>
        <w:rPr>
          <w:lang w:val="fr-CA"/>
        </w:rPr>
      </w:pPr>
      <w:r w:rsidRPr="00F904F0">
        <w:rPr>
          <w:rStyle w:val="SCCCounselNameChar"/>
          <w:lang w:val="fr-CA"/>
        </w:rPr>
        <w:tab/>
        <w:t>Benjamin Zarnett</w:t>
      </w:r>
      <w:r w:rsidR="00444044">
        <w:rPr>
          <w:rStyle w:val="SCCCounselSeparatorChar"/>
          <w:lang w:val="fr-CA"/>
        </w:rPr>
        <w:t>, en qualité d’</w:t>
      </w:r>
      <w:r w:rsidR="00444044" w:rsidRPr="00444044">
        <w:rPr>
          <w:rStyle w:val="SCCCounselSeparatorChar"/>
          <w:i/>
          <w:lang w:val="fr-CA"/>
        </w:rPr>
        <w:t>amicus curiae</w:t>
      </w:r>
      <w:r w:rsidR="00444044">
        <w:rPr>
          <w:rStyle w:val="SCCCounselSeparatorChar"/>
          <w:lang w:val="fr-CA"/>
        </w:rPr>
        <w:t xml:space="preserve">, </w:t>
      </w:r>
      <w:r w:rsidRPr="00F904F0">
        <w:rPr>
          <w:rStyle w:val="SCCCounselSeparatorChar"/>
          <w:lang w:val="fr-CA"/>
        </w:rPr>
        <w:t xml:space="preserve">et </w:t>
      </w:r>
      <w:r w:rsidRPr="00F904F0">
        <w:rPr>
          <w:rStyle w:val="SCCCounselNameChar"/>
          <w:lang w:val="fr-CA"/>
        </w:rPr>
        <w:t>Jane Scholes</w:t>
      </w:r>
      <w:r w:rsidRPr="00F904F0">
        <w:rPr>
          <w:rStyle w:val="SCCCounselPartyRoleChar"/>
          <w:lang w:val="fr-CA"/>
        </w:rPr>
        <w:t>.</w:t>
      </w:r>
    </w:p>
    <w:p w:rsidR="00332574" w:rsidRPr="00296170" w:rsidRDefault="00296170" w:rsidP="00B830F5">
      <w:pPr>
        <w:pStyle w:val="SCCNormalDoubleSpacing"/>
        <w:widowControl w:val="0"/>
        <w:spacing w:after="480"/>
        <w:rPr>
          <w:rStyle w:val="SCCCounselPartyRoleChar"/>
          <w:lang w:val="fr-CA"/>
        </w:rPr>
      </w:pPr>
      <w:r w:rsidRPr="00156F6B">
        <w:rPr>
          <w:rStyle w:val="SCCCounselPartyRoleChar"/>
          <w:lang w:val="fr-CA"/>
        </w:rPr>
        <w:tab/>
      </w:r>
      <w:r w:rsidR="00332574" w:rsidRPr="00296170">
        <w:rPr>
          <w:rStyle w:val="SCCCounselPartyRoleChar"/>
          <w:lang w:val="fr-CA"/>
        </w:rPr>
        <w:t xml:space="preserve">Version française du jugement de la juge en chef McLachlin et des juges Wagner, Gascon, Côté, Brown et Rowe rendu par </w:t>
      </w:r>
    </w:p>
    <w:p w:rsidR="00332574" w:rsidRPr="00296170" w:rsidRDefault="009B1658" w:rsidP="00B830F5">
      <w:pPr>
        <w:pStyle w:val="ParaNoNdepar-AltN"/>
        <w:widowControl w:val="0"/>
        <w:spacing w:before="240"/>
        <w:rPr>
          <w:rFonts w:cs="Times New Roman"/>
          <w:lang w:val="fr-CA"/>
        </w:rPr>
      </w:pPr>
      <w:r>
        <w:rPr>
          <w:rFonts w:cs="Times New Roman"/>
          <w:smallCaps/>
          <w:lang w:val="fr-CA"/>
        </w:rPr>
        <w:t>La j</w:t>
      </w:r>
      <w:r w:rsidR="00296170" w:rsidRPr="00296170">
        <w:rPr>
          <w:rFonts w:cs="Times New Roman"/>
          <w:smallCaps/>
          <w:lang w:val="fr-CA"/>
        </w:rPr>
        <w:t>uge en chef</w:t>
      </w:r>
      <w:r w:rsidR="00296170" w:rsidRPr="00296170">
        <w:rPr>
          <w:rFonts w:cs="Times New Roman"/>
          <w:lang w:val="fr-CA"/>
        </w:rPr>
        <w:t xml:space="preserve"> — </w:t>
      </w:r>
      <w:r w:rsidR="00332574" w:rsidRPr="00296170">
        <w:rPr>
          <w:rFonts w:cs="Times New Roman"/>
          <w:lang w:val="fr-CA"/>
        </w:rPr>
        <w:t>L’intimé, le Dr </w:t>
      </w:r>
      <w:r w:rsidR="00332574" w:rsidRPr="00296170">
        <w:rPr>
          <w:rStyle w:val="Italic"/>
          <w:rFonts w:cs="Times New Roman"/>
          <w:i w:val="0"/>
          <w:lang w:val="fr-CA"/>
        </w:rPr>
        <w:t>Gábor</w:t>
      </w:r>
      <w:r w:rsidR="00332574" w:rsidRPr="00296170">
        <w:rPr>
          <w:rStyle w:val="Italic"/>
          <w:rFonts w:cs="Times New Roman"/>
          <w:lang w:val="fr-CA"/>
        </w:rPr>
        <w:t xml:space="preserve"> </w:t>
      </w:r>
      <w:r w:rsidR="00332574" w:rsidRPr="00296170">
        <w:rPr>
          <w:rFonts w:cs="Times New Roman"/>
          <w:szCs w:val="24"/>
          <w:lang w:val="fr-CA"/>
        </w:rPr>
        <w:t>Luk</w:t>
      </w:r>
      <w:r w:rsidR="00332574" w:rsidRPr="00296170">
        <w:rPr>
          <w:rStyle w:val="Italic"/>
          <w:rFonts w:cs="Times New Roman"/>
          <w:i w:val="0"/>
          <w:lang w:val="fr-CA"/>
        </w:rPr>
        <w:t xml:space="preserve">ács, a déposé une plainte </w:t>
      </w:r>
      <w:r w:rsidR="00332574" w:rsidRPr="00296170">
        <w:rPr>
          <w:rStyle w:val="Italic"/>
          <w:rFonts w:cs="Times New Roman"/>
          <w:i w:val="0"/>
          <w:lang w:val="fr-CA"/>
        </w:rPr>
        <w:lastRenderedPageBreak/>
        <w:t>auprès de l’Office des transports du Canada (« Office ») dans laquelle il a fait valoir que l’appelante, Delta Air Lines Inc. (« Delta »), aurait appliqué des pratiques discriminatoires quant au transport des personnes obèses. L’Office a rejeté cette plainte, statuant que le Dr Lukács ne satisfaisait pas aux tests relatifs à la qualité pour agir dans l’intérêt privé et à celle pour agir dans l’intérêt public établis par et pour les tribunaux de juridiction civile.</w:t>
      </w:r>
    </w:p>
    <w:p w:rsidR="00332574" w:rsidRDefault="00332574" w:rsidP="00B830F5">
      <w:pPr>
        <w:pStyle w:val="ParaNoNdepar-AltN"/>
        <w:widowControl w:val="0"/>
        <w:rPr>
          <w:rFonts w:cs="Times New Roman"/>
          <w:lang w:val="fr-CA"/>
        </w:rPr>
      </w:pPr>
      <w:r>
        <w:rPr>
          <w:rFonts w:cs="Times New Roman"/>
          <w:lang w:val="fr-CA"/>
        </w:rPr>
        <w:t>La question dont nous sommes saisis est celle de savoir si la décision de l’Office était raisonnable. Je conclus qu’elle ne l’était pas. Je suis d’avis de renvoyer l’affaire à l’Office pour qu’il examine de nouveau la question de savoir s’il doit ou non entendre la plainte.</w:t>
      </w:r>
    </w:p>
    <w:p w:rsidR="00332574" w:rsidRDefault="00332574" w:rsidP="00B830F5">
      <w:pPr>
        <w:pStyle w:val="Title1LevelTitre1Niveau-AltL"/>
        <w:widowControl w:val="0"/>
        <w:rPr>
          <w:rFonts w:cs="Times New Roman"/>
          <w:lang w:val="fr-CA"/>
        </w:rPr>
      </w:pPr>
      <w:r>
        <w:rPr>
          <w:rFonts w:cs="Times New Roman"/>
          <w:lang w:val="fr-CA"/>
        </w:rPr>
        <w:t xml:space="preserve">Faits et décisions des juridictions inférieures </w:t>
      </w:r>
    </w:p>
    <w:p w:rsidR="00332574" w:rsidRDefault="00332574" w:rsidP="00B830F5">
      <w:pPr>
        <w:pStyle w:val="ParaNoNdepar-AltN"/>
        <w:widowControl w:val="0"/>
        <w:rPr>
          <w:rFonts w:cs="Times New Roman"/>
          <w:lang w:val="fr-CA"/>
        </w:rPr>
      </w:pPr>
      <w:r>
        <w:rPr>
          <w:rFonts w:cs="Times New Roman"/>
          <w:lang w:val="fr-CA"/>
        </w:rPr>
        <w:t xml:space="preserve">Le 24 août 2014, le </w:t>
      </w:r>
      <w:r>
        <w:rPr>
          <w:rStyle w:val="Italic"/>
          <w:rFonts w:cs="Times New Roman"/>
          <w:i w:val="0"/>
          <w:lang w:val="fr-CA"/>
        </w:rPr>
        <w:t xml:space="preserve">Dr Lukács </w:t>
      </w:r>
      <w:r>
        <w:rPr>
          <w:rFonts w:cs="Times New Roman"/>
          <w:lang w:val="fr-CA"/>
        </w:rPr>
        <w:t xml:space="preserve">a déposé une plainte auprès de l’Office dans laquelle il a fait valoir que les pratiques de Delta à l’égard du transport de passagers obèses sont discriminatoires et contraires au par. 111(2) du </w:t>
      </w:r>
      <w:r>
        <w:rPr>
          <w:rFonts w:cs="Times New Roman"/>
          <w:i/>
          <w:lang w:val="fr-CA"/>
        </w:rPr>
        <w:t>Règlement sur les transports aériens</w:t>
      </w:r>
      <w:r>
        <w:rPr>
          <w:rFonts w:cs="Times New Roman"/>
          <w:lang w:val="fr-CA"/>
        </w:rPr>
        <w:t>, DORS/88</w:t>
      </w:r>
      <w:r>
        <w:rPr>
          <w:rFonts w:cs="Times New Roman"/>
          <w:lang w:val="fr-CA"/>
        </w:rPr>
        <w:noBreakHyphen/>
        <w:t>58 (« </w:t>
      </w:r>
      <w:r w:rsidRPr="0029526E">
        <w:rPr>
          <w:rFonts w:cs="Times New Roman"/>
          <w:lang w:val="fr-CA"/>
        </w:rPr>
        <w:t>Règlement </w:t>
      </w:r>
      <w:r>
        <w:rPr>
          <w:rFonts w:cs="Times New Roman"/>
          <w:lang w:val="fr-CA"/>
        </w:rPr>
        <w:t>»). Au soutien de sa plainte, il a joint un courriel de Delta en réponse à l’expérience négative d’un passager assis près d’un autre passager [</w:t>
      </w:r>
      <w:r>
        <w:rPr>
          <w:rFonts w:cs="Times New Roman"/>
          <w:smallCaps/>
          <w:lang w:val="fr-CA"/>
        </w:rPr>
        <w:t>traduction</w:t>
      </w:r>
      <w:r>
        <w:rPr>
          <w:rFonts w:cs="Times New Roman"/>
          <w:lang w:val="fr-CA"/>
        </w:rPr>
        <w:t>] « qui avait besoin de plus d’espace ». Dans le courriel, Delta a présenté ses excuses et a offert l’explication suivante :</w:t>
      </w:r>
    </w:p>
    <w:p w:rsidR="00332574" w:rsidRDefault="00332574" w:rsidP="00B830F5">
      <w:pPr>
        <w:pStyle w:val="Citation-AltC"/>
        <w:widowControl w:val="0"/>
        <w:ind w:hanging="1166"/>
        <w:rPr>
          <w:lang w:val="fr-CA"/>
        </w:rPr>
      </w:pPr>
      <w:r>
        <w:rPr>
          <w:lang w:val="fr-CA"/>
        </w:rPr>
        <w:tab/>
      </w:r>
      <w:r w:rsidR="009136C5">
        <w:rPr>
          <w:lang w:val="fr-CA"/>
        </w:rPr>
        <w:t>[</w:t>
      </w:r>
      <w:r w:rsidR="009136C5" w:rsidRPr="009136C5">
        <w:rPr>
          <w:smallCaps/>
          <w:lang w:val="fr-CA"/>
        </w:rPr>
        <w:t>traduction</w:t>
      </w:r>
      <w:r w:rsidR="009136C5">
        <w:rPr>
          <w:lang w:val="fr-CA"/>
        </w:rPr>
        <w:t xml:space="preserve">] </w:t>
      </w:r>
      <w:r>
        <w:rPr>
          <w:lang w:val="fr-CA"/>
        </w:rPr>
        <w:t>Il nous arrive de demander à un passager de se déplacer à un endroit de l’avion où il y a davantage d’espace. Si le vol est complet, nous pouvons demander au passager de prendre un vol ultérieur. Nous recommandons aux passagers de grande taille de réserver un siège supplémentaire, afin d’éviter que nous leur demandions de prendre un autre vol et pour que nous puissions assurer le confort de tous les passagers. [d.a., p. 38]</w:t>
      </w:r>
    </w:p>
    <w:p w:rsidR="00332574" w:rsidRDefault="00332574" w:rsidP="00B830F5">
      <w:pPr>
        <w:pStyle w:val="ParaNoNdepar-AltN"/>
        <w:widowControl w:val="0"/>
        <w:rPr>
          <w:rFonts w:cs="Times New Roman"/>
          <w:lang w:val="fr-CA"/>
        </w:rPr>
      </w:pPr>
      <w:r>
        <w:rPr>
          <w:rFonts w:cs="Times New Roman"/>
          <w:lang w:val="fr-CA"/>
        </w:rPr>
        <w:lastRenderedPageBreak/>
        <w:t>Le 5 septembre 2014, l’Office a publié une décision sous forme de lettre pour répondre à cette plainte. Il a affirmé : [</w:t>
      </w:r>
      <w:r>
        <w:rPr>
          <w:rFonts w:cs="Times New Roman"/>
          <w:smallCaps/>
          <w:lang w:val="fr-CA"/>
        </w:rPr>
        <w:t>traduction</w:t>
      </w:r>
      <w:r>
        <w:rPr>
          <w:rFonts w:cs="Times New Roman"/>
          <w:lang w:val="fr-CA"/>
        </w:rPr>
        <w:t>] « L’Office note qu’il n’a pas été clairement établi dans la présentation du Dr Lukács que ce dernier avait un quelconque intérêt dans les pratiques de Delta régissant le transport de personnes obèses</w:t>
      </w:r>
      <w:r>
        <w:rPr>
          <w:rStyle w:val="Italic"/>
          <w:rFonts w:cs="Times New Roman"/>
          <w:i w:val="0"/>
          <w:lang w:val="fr-CA"/>
        </w:rPr>
        <w:t>. Pour cette raison, l’Office s’interroge sur sa qualité pour agir en l’espèce » : décision n</w:t>
      </w:r>
      <w:r>
        <w:rPr>
          <w:rStyle w:val="Italic"/>
          <w:rFonts w:cs="Times New Roman"/>
          <w:i w:val="0"/>
          <w:vertAlign w:val="superscript"/>
          <w:lang w:val="fr-CA"/>
        </w:rPr>
        <w:t>o</w:t>
      </w:r>
      <w:r w:rsidR="004E3C40">
        <w:rPr>
          <w:rStyle w:val="Italic"/>
          <w:rFonts w:cs="Times New Roman"/>
          <w:i w:val="0"/>
          <w:lang w:val="fr-CA"/>
        </w:rPr>
        <w:t> LET-C-A-</w:t>
      </w:r>
      <w:r>
        <w:rPr>
          <w:rStyle w:val="Italic"/>
          <w:rFonts w:cs="Times New Roman"/>
          <w:i w:val="0"/>
          <w:lang w:val="fr-CA"/>
        </w:rPr>
        <w:t>63</w:t>
      </w:r>
      <w:r>
        <w:rPr>
          <w:rStyle w:val="Italic"/>
          <w:rFonts w:cs="Times New Roman"/>
          <w:i w:val="0"/>
          <w:lang w:val="fr-CA"/>
        </w:rPr>
        <w:noBreakHyphen/>
        <w:t>2014, 5 septembre 2014, reproduite au d.a., p. 1. L’Office a invité les parties à présenter leurs observations sur la question de la qualité pour agir.</w:t>
      </w:r>
    </w:p>
    <w:p w:rsidR="00332574" w:rsidRDefault="00332574" w:rsidP="00B830F5">
      <w:pPr>
        <w:pStyle w:val="ParaNoNdepar-AltN"/>
        <w:widowControl w:val="0"/>
        <w:rPr>
          <w:rFonts w:cs="Times New Roman"/>
          <w:lang w:val="fr-CA"/>
        </w:rPr>
      </w:pPr>
      <w:r>
        <w:rPr>
          <w:rFonts w:cs="Times New Roman"/>
          <w:lang w:val="fr-CA"/>
        </w:rPr>
        <w:t>Dans sa dernière décision, soit celle qui fait l’objet du présent pourvoi, l’Office n’a pas reconnu au Dr Lukács</w:t>
      </w:r>
      <w:r>
        <w:rPr>
          <w:rStyle w:val="Italic"/>
          <w:rFonts w:cs="Times New Roman"/>
          <w:i w:val="0"/>
          <w:lang w:val="fr-CA"/>
        </w:rPr>
        <w:t xml:space="preserve"> la qualité pour agir et a rejeté sa plainte : décision n</w:t>
      </w:r>
      <w:r>
        <w:rPr>
          <w:rStyle w:val="Italic"/>
          <w:rFonts w:cs="Times New Roman"/>
          <w:i w:val="0"/>
          <w:vertAlign w:val="superscript"/>
          <w:lang w:val="fr-CA"/>
        </w:rPr>
        <w:t>o</w:t>
      </w:r>
      <w:r>
        <w:rPr>
          <w:rStyle w:val="Italic"/>
          <w:rFonts w:cs="Times New Roman"/>
          <w:i w:val="0"/>
          <w:lang w:val="fr-CA"/>
        </w:rPr>
        <w:t> 425</w:t>
      </w:r>
      <w:r>
        <w:rPr>
          <w:rStyle w:val="Italic"/>
          <w:rFonts w:cs="Times New Roman"/>
          <w:i w:val="0"/>
          <w:lang w:val="fr-CA"/>
        </w:rPr>
        <w:noBreakHyphen/>
        <w:t>C</w:t>
      </w:r>
      <w:r>
        <w:rPr>
          <w:rStyle w:val="Italic"/>
          <w:rFonts w:cs="Times New Roman"/>
          <w:i w:val="0"/>
          <w:lang w:val="fr-CA"/>
        </w:rPr>
        <w:noBreakHyphen/>
        <w:t>A</w:t>
      </w:r>
      <w:r>
        <w:rPr>
          <w:rStyle w:val="Italic"/>
          <w:rFonts w:cs="Times New Roman"/>
          <w:i w:val="0"/>
          <w:lang w:val="fr-CA"/>
        </w:rPr>
        <w:noBreakHyphen/>
        <w:t>2014, 25 novembre 2014. Pour ce faire, l’Office a appliqué les tests relatifs à la qualité pour agir dans l’intérêt privé et à celle pour agir dans l’intérêt public établis par et pour les tribunaux de juridiction civile. L’Office a conclu que le Dr Lukács n’avait pas qualité pour agir dans l’intérêt privé, puisqu’il n’était pas lui</w:t>
      </w:r>
      <w:r>
        <w:rPr>
          <w:rStyle w:val="Italic"/>
          <w:rFonts w:cs="Times New Roman"/>
          <w:i w:val="0"/>
          <w:lang w:val="fr-CA"/>
        </w:rPr>
        <w:noBreakHyphen/>
        <w:t xml:space="preserve">même obèse, si bien qu’il ne pouvait prétendre avoir été « lésé » ou « touché » ou avoir « un intérêt suffisant » : par. 64. L’Office a ensuite statué que le </w:t>
      </w:r>
      <w:r>
        <w:rPr>
          <w:rFonts w:cs="Times New Roman"/>
          <w:lang w:val="fr-CA"/>
        </w:rPr>
        <w:t>Dr Lukács n’avait pas qualité pour agir dans l’intérêt public parce que sa plainte ne contestait pas la constitutionnalité d’une loi ou l’exercice illégal d’une autorité administrative :</w:t>
      </w:r>
      <w:r>
        <w:rPr>
          <w:rStyle w:val="Italic"/>
          <w:rFonts w:cs="Times New Roman"/>
          <w:i w:val="0"/>
          <w:lang w:val="fr-CA"/>
        </w:rPr>
        <w:t xml:space="preserve"> par. 74.</w:t>
      </w:r>
    </w:p>
    <w:p w:rsidR="00332574" w:rsidRDefault="00332574" w:rsidP="00B830F5">
      <w:pPr>
        <w:pStyle w:val="ParaNoNdepar-AltN"/>
        <w:widowControl w:val="0"/>
        <w:rPr>
          <w:rFonts w:cs="Times New Roman"/>
          <w:lang w:val="fr-CA"/>
        </w:rPr>
      </w:pPr>
      <w:r>
        <w:rPr>
          <w:rStyle w:val="Italic"/>
          <w:rFonts w:cs="Times New Roman"/>
          <w:i w:val="0"/>
          <w:lang w:val="fr-CA"/>
        </w:rPr>
        <w:t xml:space="preserve">La Cour d’appel fédérale a accueilli l’appel du Dr Lukács : 2016 CAF 220. Elle a statué que la stricte application des règles de droit relatives à la qualité pour agir appliquées par les tribunaux judiciaires était incompatible avec la loi habilitante de l’Office. Qui plus est, il était contraire à l’objectif de l’Office de refuser d’examiner une plainte simplement parce que le plaignant n’avait pas été directement lésé ou qu’il </w:t>
      </w:r>
      <w:r>
        <w:rPr>
          <w:rStyle w:val="Italic"/>
          <w:rFonts w:cs="Times New Roman"/>
          <w:i w:val="0"/>
          <w:lang w:val="fr-CA"/>
        </w:rPr>
        <w:lastRenderedPageBreak/>
        <w:t>n’avait pas la qualité pour agir dans l’intérêt public : par. 27</w:t>
      </w:r>
      <w:r w:rsidR="00713CC6">
        <w:rPr>
          <w:rStyle w:val="Italic"/>
          <w:rFonts w:cs="Times New Roman"/>
          <w:i w:val="0"/>
          <w:lang w:val="fr-CA"/>
        </w:rPr>
        <w:t xml:space="preserve"> (CanLII)</w:t>
      </w:r>
      <w:r>
        <w:rPr>
          <w:rStyle w:val="Italic"/>
          <w:rFonts w:cs="Times New Roman"/>
          <w:i w:val="0"/>
          <w:lang w:val="fr-CA"/>
        </w:rPr>
        <w:t>. Selon la Cour d’appel, en refusant d’examiner la plainte du Dr Lukács, l’Office avait « </w:t>
      </w:r>
      <w:r>
        <w:rPr>
          <w:rFonts w:cs="Times New Roman"/>
          <w:lang w:val="fr-CA"/>
        </w:rPr>
        <w:t>entravé son pouvoir discrétionnaire de manière déraisonnable » :</w:t>
      </w:r>
      <w:r>
        <w:rPr>
          <w:rStyle w:val="Italic"/>
          <w:rFonts w:cs="Times New Roman"/>
          <w:i w:val="0"/>
          <w:lang w:val="fr-CA"/>
        </w:rPr>
        <w:t xml:space="preserve"> par. 30. En fin de compte, la Cour d’appel a </w:t>
      </w:r>
      <w:r>
        <w:rPr>
          <w:rFonts w:cs="Times New Roman"/>
          <w:lang w:val="fr-CA"/>
        </w:rPr>
        <w:t xml:space="preserve">ordonné que l’affaire soit « renvoyée à l’Office pour qu’il décide, pour d’autres motifs que la qualité pour agir, s’il enquêtera sur la plainte </w:t>
      </w:r>
      <w:r w:rsidR="009B1658">
        <w:rPr>
          <w:rFonts w:cs="Times New Roman"/>
          <w:lang w:val="fr-CA"/>
        </w:rPr>
        <w:t xml:space="preserve">[du </w:t>
      </w:r>
      <w:r>
        <w:rPr>
          <w:rFonts w:cs="Times New Roman"/>
          <w:lang w:val="fr-CA"/>
        </w:rPr>
        <w:t>Dr Lukács</w:t>
      </w:r>
      <w:r>
        <w:rPr>
          <w:rStyle w:val="Italic"/>
          <w:rFonts w:cs="Times New Roman"/>
          <w:i w:val="0"/>
          <w:lang w:val="fr-CA"/>
        </w:rPr>
        <w:t>]</w:t>
      </w:r>
      <w:r>
        <w:rPr>
          <w:rFonts w:cs="Times New Roman"/>
          <w:lang w:val="fr-CA"/>
        </w:rPr>
        <w:t>, l’entendra et en décidera » :</w:t>
      </w:r>
      <w:r>
        <w:rPr>
          <w:rStyle w:val="Italic"/>
          <w:rFonts w:cs="Times New Roman"/>
          <w:i w:val="0"/>
          <w:lang w:val="fr-CA"/>
        </w:rPr>
        <w:t xml:space="preserve"> par. 32.</w:t>
      </w:r>
    </w:p>
    <w:p w:rsidR="00332574" w:rsidRDefault="00332574" w:rsidP="00B830F5">
      <w:pPr>
        <w:pStyle w:val="Title1LevelTitre1Niveau-AltL"/>
        <w:widowControl w:val="0"/>
        <w:rPr>
          <w:rFonts w:cs="Times New Roman"/>
          <w:lang w:val="fr-CA"/>
        </w:rPr>
      </w:pPr>
      <w:r>
        <w:rPr>
          <w:rFonts w:cs="Times New Roman"/>
          <w:lang w:val="fr-CA"/>
        </w:rPr>
        <w:t>Analyse</w:t>
      </w:r>
    </w:p>
    <w:p w:rsidR="00332574" w:rsidRDefault="00332574" w:rsidP="00B830F5">
      <w:pPr>
        <w:pStyle w:val="Title2LevelTitre2Niveau"/>
        <w:widowControl w:val="0"/>
        <w:rPr>
          <w:rFonts w:cs="Times New Roman"/>
          <w:lang w:val="fr-CA"/>
        </w:rPr>
      </w:pPr>
      <w:r>
        <w:rPr>
          <w:rFonts w:cs="Times New Roman"/>
          <w:lang w:val="fr-CA"/>
        </w:rPr>
        <w:t>Norme de contrôle</w:t>
      </w:r>
    </w:p>
    <w:p w:rsidR="00332574" w:rsidRDefault="00332574" w:rsidP="00B830F5">
      <w:pPr>
        <w:pStyle w:val="ParaNoNdepar-AltN"/>
        <w:widowControl w:val="0"/>
        <w:rPr>
          <w:rFonts w:cs="Times New Roman"/>
          <w:lang w:val="fr-CA"/>
        </w:rPr>
      </w:pPr>
      <w:r>
        <w:rPr>
          <w:rFonts w:cs="Times New Roman"/>
          <w:lang w:val="fr-CA"/>
        </w:rPr>
        <w:t>La norme de contrôle applicable en l’espèce est celle de la décision raisonnable. Telle est la conclusion de la Cour d’appel fédérale (par. 14</w:t>
      </w:r>
      <w:r>
        <w:rPr>
          <w:rFonts w:cs="Times New Roman"/>
          <w:lang w:val="fr-CA"/>
        </w:rPr>
        <w:noBreakHyphen/>
        <w:t>15) et les parties ne la remettent pas en question.</w:t>
      </w:r>
    </w:p>
    <w:p w:rsidR="00332574" w:rsidRDefault="00332574" w:rsidP="00B830F5">
      <w:pPr>
        <w:pStyle w:val="ParaNoNdepar-AltN"/>
        <w:widowControl w:val="0"/>
        <w:rPr>
          <w:rFonts w:cs="Times New Roman"/>
          <w:lang w:val="fr-CA"/>
        </w:rPr>
      </w:pPr>
      <w:r>
        <w:rPr>
          <w:rFonts w:cs="Times New Roman"/>
          <w:lang w:val="fr-CA"/>
        </w:rPr>
        <w:t>Lorsqu’un organisme administratif interprète sa loi constitutive et qu’il doit exercer un pouvoir discrétionnaire en vertu de celle</w:t>
      </w:r>
      <w:r>
        <w:rPr>
          <w:rFonts w:cs="Times New Roman"/>
          <w:lang w:val="fr-CA"/>
        </w:rPr>
        <w:noBreakHyphen/>
        <w:t xml:space="preserve">ci, il est présumé avoir droit à la déférence : </w:t>
      </w:r>
      <w:r>
        <w:rPr>
          <w:rFonts w:cs="Times New Roman"/>
          <w:i/>
          <w:lang w:val="fr-CA"/>
        </w:rPr>
        <w:t>Dunsmuir c. Nouveau</w:t>
      </w:r>
      <w:r>
        <w:rPr>
          <w:rFonts w:cs="Times New Roman"/>
          <w:i/>
          <w:lang w:val="fr-CA"/>
        </w:rPr>
        <w:noBreakHyphen/>
        <w:t>Brunswick</w:t>
      </w:r>
      <w:r>
        <w:rPr>
          <w:rFonts w:cs="Times New Roman"/>
          <w:lang w:val="fr-CA"/>
        </w:rPr>
        <w:t>, 2008 CSC 9, [2008] 1 R.C.S. 190, par. 53</w:t>
      </w:r>
      <w:r>
        <w:rPr>
          <w:rFonts w:cs="Times New Roman"/>
          <w:lang w:val="fr-CA"/>
        </w:rPr>
        <w:noBreakHyphen/>
        <w:t xml:space="preserve">54; </w:t>
      </w:r>
      <w:r>
        <w:rPr>
          <w:rFonts w:cs="Times New Roman"/>
          <w:i/>
          <w:lang w:val="fr-CA"/>
        </w:rPr>
        <w:t>Alberta (Information and Privacy Commissioner</w:t>
      </w:r>
      <w:r>
        <w:rPr>
          <w:rFonts w:cs="Times New Roman"/>
          <w:lang w:val="fr-CA"/>
        </w:rPr>
        <w:t xml:space="preserve">) </w:t>
      </w:r>
      <w:r>
        <w:rPr>
          <w:rFonts w:cs="Times New Roman"/>
          <w:i/>
          <w:lang w:val="fr-CA"/>
        </w:rPr>
        <w:t>c. Alberta Teachers’ Association</w:t>
      </w:r>
      <w:r>
        <w:rPr>
          <w:rFonts w:cs="Times New Roman"/>
          <w:lang w:val="fr-CA"/>
        </w:rPr>
        <w:t xml:space="preserve">, 2011 CSC 61, [2011] 3 R.C.S. 654, par. 39; </w:t>
      </w:r>
      <w:r>
        <w:rPr>
          <w:rFonts w:cs="Times New Roman"/>
          <w:i/>
          <w:lang w:val="fr-CA"/>
        </w:rPr>
        <w:t>Edmonton (Ville) c. Edmonton East (Capilano) Shopping Centres Ltd.</w:t>
      </w:r>
      <w:r>
        <w:rPr>
          <w:rFonts w:cs="Times New Roman"/>
          <w:lang w:val="fr-CA"/>
        </w:rPr>
        <w:t xml:space="preserve">, 2016 CSC 47, [2016] 2 R.C.S. 293, par. 22; </w:t>
      </w:r>
      <w:r>
        <w:rPr>
          <w:rFonts w:cs="Times New Roman"/>
          <w:i/>
          <w:lang w:val="fr-CA"/>
        </w:rPr>
        <w:t>Québec (Procureure générale) c. Guérin</w:t>
      </w:r>
      <w:r>
        <w:rPr>
          <w:rFonts w:cs="Times New Roman"/>
          <w:lang w:val="fr-CA"/>
        </w:rPr>
        <w:t>, 2017 CSC 42,</w:t>
      </w:r>
      <w:r w:rsidR="00B543AF">
        <w:rPr>
          <w:rFonts w:cs="Times New Roman"/>
          <w:lang w:val="fr-CA"/>
        </w:rPr>
        <w:t xml:space="preserve"> [2017] 2 R.C.S. 3,</w:t>
      </w:r>
      <w:r>
        <w:rPr>
          <w:rFonts w:cs="Times New Roman"/>
          <w:lang w:val="fr-CA"/>
        </w:rPr>
        <w:t xml:space="preserve"> par. 33</w:t>
      </w:r>
      <w:r>
        <w:rPr>
          <w:rFonts w:cs="Times New Roman"/>
          <w:lang w:val="fr-CA"/>
        </w:rPr>
        <w:noBreakHyphen/>
        <w:t xml:space="preserve">35. Nul ne prétend que la présomption du caractère raisonnable de la décision est réfutée en l’espèce. Comme l’a conclu la Cour d’appel fédérale, la question « relève précisément de l’expertise de l’Office » : par. 15. </w:t>
      </w:r>
    </w:p>
    <w:p w:rsidR="00332574" w:rsidRDefault="00332574" w:rsidP="00B830F5">
      <w:pPr>
        <w:pStyle w:val="Title2LevelTitre2Niveau"/>
        <w:widowControl w:val="0"/>
        <w:rPr>
          <w:rFonts w:cs="Times New Roman"/>
          <w:lang w:val="fr-CA"/>
        </w:rPr>
      </w:pPr>
      <w:r>
        <w:rPr>
          <w:rFonts w:cs="Times New Roman"/>
          <w:lang w:val="fr-CA"/>
        </w:rPr>
        <w:lastRenderedPageBreak/>
        <w:t>Le régime législatif et le pouvoir discrétionnaire de l’Office</w:t>
      </w:r>
    </w:p>
    <w:p w:rsidR="00332574" w:rsidRDefault="00332574" w:rsidP="00B830F5">
      <w:pPr>
        <w:pStyle w:val="ParaNoNdepar-AltN"/>
        <w:widowControl w:val="0"/>
        <w:rPr>
          <w:rFonts w:cs="Times New Roman"/>
          <w:szCs w:val="24"/>
          <w:lang w:val="fr-CA"/>
        </w:rPr>
      </w:pPr>
      <w:r>
        <w:rPr>
          <w:rFonts w:cs="Times New Roman"/>
          <w:lang w:val="fr-CA"/>
        </w:rPr>
        <w:t xml:space="preserve">L’Office est chargé de la mise en œuvre de la </w:t>
      </w:r>
      <w:r>
        <w:rPr>
          <w:rFonts w:cs="Times New Roman"/>
          <w:i/>
          <w:lang w:val="fr-CA"/>
        </w:rPr>
        <w:t>Loi sur les transports au Canada</w:t>
      </w:r>
      <w:r>
        <w:rPr>
          <w:rFonts w:cs="Times New Roman"/>
          <w:lang w:val="fr-CA"/>
        </w:rPr>
        <w:t>, L.C. 1996, c. 10 (« </w:t>
      </w:r>
      <w:r w:rsidRPr="0029526E">
        <w:rPr>
          <w:rFonts w:cs="Times New Roman"/>
          <w:lang w:val="fr-CA"/>
        </w:rPr>
        <w:t>Loi</w:t>
      </w:r>
      <w:r>
        <w:rPr>
          <w:rFonts w:cs="Times New Roman"/>
          <w:lang w:val="fr-CA"/>
        </w:rPr>
        <w:t xml:space="preserve"> »), et du </w:t>
      </w:r>
      <w:r w:rsidRPr="0029526E">
        <w:rPr>
          <w:rFonts w:cs="Times New Roman"/>
          <w:lang w:val="fr-CA"/>
        </w:rPr>
        <w:t>Règlement</w:t>
      </w:r>
      <w:r>
        <w:rPr>
          <w:rFonts w:cs="Times New Roman"/>
          <w:lang w:val="fr-CA"/>
        </w:rPr>
        <w:t>. Ce régime législatif oblige l’Office à mettre en balance un éventail d’intérêts afin d’assurer l’existence d’un réseau de transport compétitif, sûr et accessible pour tous les Canadiens :</w:t>
      </w:r>
      <w:r>
        <w:rPr>
          <w:rFonts w:cs="Times New Roman"/>
          <w:szCs w:val="24"/>
          <w:lang w:val="fr-CA"/>
        </w:rPr>
        <w:t xml:space="preserve"> art. 5.</w:t>
      </w:r>
    </w:p>
    <w:p w:rsidR="00332574" w:rsidRDefault="00332574" w:rsidP="00B830F5">
      <w:pPr>
        <w:pStyle w:val="ParaNoNdepar-AltN"/>
        <w:widowControl w:val="0"/>
        <w:rPr>
          <w:rFonts w:cs="Times New Roman"/>
          <w:szCs w:val="24"/>
          <w:lang w:val="fr-CA"/>
        </w:rPr>
      </w:pPr>
      <w:r>
        <w:rPr>
          <w:rFonts w:cs="Times New Roman"/>
          <w:lang w:val="fr-CA"/>
        </w:rPr>
        <w:t xml:space="preserve">Pour qu’il atteigne ces objectifs, l’art. 37 de la </w:t>
      </w:r>
      <w:r w:rsidRPr="0029526E">
        <w:rPr>
          <w:rFonts w:cs="Times New Roman"/>
          <w:lang w:val="fr-CA"/>
        </w:rPr>
        <w:t>Loi</w:t>
      </w:r>
      <w:r>
        <w:rPr>
          <w:rFonts w:cs="Times New Roman"/>
          <w:lang w:val="fr-CA"/>
        </w:rPr>
        <w:t xml:space="preserve"> confère à l’Office un large pouvoir discrétionnaire d’entendre les plaintes et d’en décider :</w:t>
      </w:r>
    </w:p>
    <w:p w:rsidR="00332574" w:rsidRDefault="00332574" w:rsidP="00B830F5">
      <w:pPr>
        <w:pStyle w:val="Citation-AltC"/>
        <w:widowControl w:val="0"/>
        <w:ind w:hanging="1166"/>
        <w:rPr>
          <w:lang w:val="fr-CA"/>
        </w:rPr>
      </w:pPr>
      <w:r>
        <w:rPr>
          <w:lang w:val="fr-CA"/>
        </w:rPr>
        <w:tab/>
      </w:r>
      <w:r>
        <w:rPr>
          <w:b/>
          <w:lang w:val="fr-CA"/>
        </w:rPr>
        <w:t>37</w:t>
      </w:r>
      <w:r>
        <w:rPr>
          <w:lang w:val="fr-CA"/>
        </w:rPr>
        <w:t> L’Office peut enquêter sur une plainte, l’entendre et en décider lorsqu’elle porte sur une question relevant d’une loi fédérale qu’il est chargé d’appliquer en tout ou en partie.</w:t>
      </w:r>
    </w:p>
    <w:p w:rsidR="00332574" w:rsidRDefault="00332574" w:rsidP="00B830F5">
      <w:pPr>
        <w:pStyle w:val="ParaNoNdepar-AltN"/>
        <w:widowControl w:val="0"/>
        <w:rPr>
          <w:rFonts w:cs="Times New Roman"/>
          <w:lang w:val="fr-CA"/>
        </w:rPr>
      </w:pPr>
      <w:r>
        <w:rPr>
          <w:rFonts w:cs="Times New Roman"/>
          <w:lang w:val="fr-CA"/>
        </w:rPr>
        <w:t xml:space="preserve">En ce qui concerne les transporteurs internationaux, y compris Delta, le </w:t>
      </w:r>
      <w:r w:rsidRPr="0029526E">
        <w:rPr>
          <w:rFonts w:cs="Times New Roman"/>
          <w:lang w:val="fr-CA"/>
        </w:rPr>
        <w:t xml:space="preserve">Règlement </w:t>
      </w:r>
      <w:r>
        <w:rPr>
          <w:rFonts w:cs="Times New Roman"/>
          <w:lang w:val="fr-CA"/>
        </w:rPr>
        <w:t xml:space="preserve">interdit toute condition relative au transport qui établit une distinction injuste (par. 111(2)) et confère à l’Office le pouvoir de prendre toute mesure contre de telles conditions (art. 113.1). Les parties conviennent que l’art. 37 de la </w:t>
      </w:r>
      <w:r w:rsidRPr="0029526E">
        <w:rPr>
          <w:rFonts w:cs="Times New Roman"/>
          <w:lang w:val="fr-CA"/>
        </w:rPr>
        <w:t>Loi</w:t>
      </w:r>
      <w:r>
        <w:rPr>
          <w:rFonts w:cs="Times New Roman"/>
          <w:lang w:val="fr-CA"/>
        </w:rPr>
        <w:t xml:space="preserve"> confère à l’Office le large pouvoir discrétionnaire d’entendre les plaintes concernant les transporteurs internationaux, y compris la plainte portée par le Dr Lukács</w:t>
      </w:r>
      <w:r>
        <w:rPr>
          <w:rStyle w:val="Italic"/>
          <w:rFonts w:cs="Times New Roman"/>
          <w:i w:val="0"/>
          <w:lang w:val="fr-CA"/>
        </w:rPr>
        <w:t xml:space="preserve"> contre</w:t>
      </w:r>
      <w:r>
        <w:rPr>
          <w:rFonts w:cs="Times New Roman"/>
          <w:lang w:val="fr-CA"/>
        </w:rPr>
        <w:t xml:space="preserve"> Delta en l’espèce.</w:t>
      </w:r>
    </w:p>
    <w:p w:rsidR="00332574" w:rsidRDefault="00332574" w:rsidP="00B830F5">
      <w:pPr>
        <w:pStyle w:val="Title2LevelTitre2Niveau"/>
        <w:widowControl w:val="0"/>
        <w:rPr>
          <w:rFonts w:cs="Times New Roman"/>
          <w:lang w:val="fr-CA"/>
        </w:rPr>
      </w:pPr>
      <w:r>
        <w:rPr>
          <w:rFonts w:cs="Times New Roman"/>
          <w:lang w:val="fr-CA"/>
        </w:rPr>
        <w:t xml:space="preserve">La décision de l’Office </w:t>
      </w:r>
    </w:p>
    <w:p w:rsidR="00332574" w:rsidRDefault="00332574" w:rsidP="00B830F5">
      <w:pPr>
        <w:pStyle w:val="ParaNoNdepar-AltN"/>
        <w:widowControl w:val="0"/>
        <w:rPr>
          <w:rFonts w:cs="Times New Roman"/>
          <w:lang w:val="fr-CA"/>
        </w:rPr>
      </w:pPr>
      <w:r>
        <w:rPr>
          <w:rFonts w:cs="Times New Roman"/>
          <w:lang w:val="fr-CA"/>
        </w:rPr>
        <w:t xml:space="preserve">Une décision est raisonnable si elle est justifiable, transparente et intelligible et si elle appartient « aux issues possibles acceptables » : </w:t>
      </w:r>
      <w:r>
        <w:rPr>
          <w:rFonts w:cs="Times New Roman"/>
          <w:i/>
          <w:lang w:val="fr-CA"/>
        </w:rPr>
        <w:t>Dunsmuir</w:t>
      </w:r>
      <w:r>
        <w:rPr>
          <w:rFonts w:cs="Times New Roman"/>
          <w:lang w:val="fr-CA"/>
        </w:rPr>
        <w:t xml:space="preserve">, par. 47. Les tribunaux judiciaires doivent accorder une </w:t>
      </w:r>
      <w:r w:rsidR="0045625E">
        <w:rPr>
          <w:rFonts w:cs="Times New Roman"/>
          <w:lang w:val="fr-CA"/>
        </w:rPr>
        <w:t>[</w:t>
      </w:r>
      <w:r w:rsidR="0045625E" w:rsidRPr="0045625E">
        <w:rPr>
          <w:rFonts w:cs="Times New Roman"/>
          <w:smallCaps/>
          <w:lang w:val="fr-CA"/>
        </w:rPr>
        <w:t>traduction</w:t>
      </w:r>
      <w:r w:rsidR="0045625E">
        <w:rPr>
          <w:rFonts w:cs="Times New Roman"/>
          <w:lang w:val="fr-CA"/>
        </w:rPr>
        <w:t xml:space="preserve">] </w:t>
      </w:r>
      <w:r>
        <w:rPr>
          <w:rFonts w:cs="Times New Roman"/>
          <w:lang w:val="fr-CA"/>
        </w:rPr>
        <w:t xml:space="preserve">« attention respectueuse </w:t>
      </w:r>
      <w:r>
        <w:rPr>
          <w:rFonts w:cs="Times New Roman"/>
          <w:lang w:val="fr-CA"/>
        </w:rPr>
        <w:lastRenderedPageBreak/>
        <w:t xml:space="preserve">aux motifs donnés ou qui pourraient être donnés à l’appui d’une décision » : </w:t>
      </w:r>
      <w:r>
        <w:rPr>
          <w:rFonts w:cs="Times New Roman"/>
          <w:i/>
          <w:lang w:val="fr-CA"/>
        </w:rPr>
        <w:t>ibid.</w:t>
      </w:r>
      <w:r>
        <w:rPr>
          <w:rFonts w:cs="Times New Roman"/>
          <w:lang w:val="fr-CA"/>
        </w:rPr>
        <w:t>, par. 48, citant D. Dyzenhaus, « The Politics of Deference</w:t>
      </w:r>
      <w:r w:rsidR="0045625E">
        <w:rPr>
          <w:rFonts w:cs="Times New Roman"/>
          <w:lang w:val="fr-CA"/>
        </w:rPr>
        <w:t> </w:t>
      </w:r>
      <w:r>
        <w:rPr>
          <w:rFonts w:cs="Times New Roman"/>
          <w:lang w:val="fr-CA"/>
        </w:rPr>
        <w:t>: Judicial Review and Democracy », dans M. Taggart</w:t>
      </w:r>
      <w:r w:rsidR="0045625E">
        <w:rPr>
          <w:rFonts w:cs="Times New Roman"/>
          <w:lang w:val="fr-CA"/>
        </w:rPr>
        <w:t>,</w:t>
      </w:r>
      <w:r>
        <w:rPr>
          <w:rFonts w:cs="Times New Roman"/>
          <w:lang w:val="fr-CA"/>
        </w:rPr>
        <w:t xml:space="preserve"> </w:t>
      </w:r>
      <w:r w:rsidR="0045625E">
        <w:rPr>
          <w:rFonts w:cs="Times New Roman"/>
          <w:lang w:val="fr-CA"/>
        </w:rPr>
        <w:t>dir</w:t>
      </w:r>
      <w:r>
        <w:rPr>
          <w:rFonts w:cs="Times New Roman"/>
          <w:lang w:val="fr-CA"/>
        </w:rPr>
        <w:t xml:space="preserve">., </w:t>
      </w:r>
      <w:r>
        <w:rPr>
          <w:rFonts w:cs="Times New Roman"/>
          <w:i/>
          <w:lang w:val="fr-CA"/>
        </w:rPr>
        <w:t>The Province of Administrative Law</w:t>
      </w:r>
      <w:r>
        <w:rPr>
          <w:rFonts w:cs="Times New Roman"/>
          <w:lang w:val="fr-CA"/>
        </w:rPr>
        <w:t xml:space="preserve"> (1997), 279, p. 286. Les cours de révision doivent se demander si « la décision et sa justification possèdent les attributs de la raisonnabilité » : </w:t>
      </w:r>
      <w:r>
        <w:rPr>
          <w:rFonts w:cs="Times New Roman"/>
          <w:i/>
          <w:lang w:val="fr-CA"/>
        </w:rPr>
        <w:t>ibid.</w:t>
      </w:r>
      <w:r>
        <w:rPr>
          <w:rFonts w:cs="Times New Roman"/>
          <w:lang w:val="fr-CA"/>
        </w:rPr>
        <w:t>, par. 47.</w:t>
      </w:r>
    </w:p>
    <w:p w:rsidR="00332574" w:rsidRDefault="00332574" w:rsidP="00B830F5">
      <w:pPr>
        <w:pStyle w:val="ParaNoNdepar-AltN"/>
        <w:widowControl w:val="0"/>
        <w:rPr>
          <w:rFonts w:cs="Times New Roman"/>
          <w:lang w:val="fr-CA"/>
        </w:rPr>
      </w:pPr>
      <w:r>
        <w:rPr>
          <w:rFonts w:cs="Times New Roman"/>
          <w:lang w:val="fr-CA"/>
        </w:rPr>
        <w:t>En l’espèce, la question est de savoir si l’Office a raisonnablement exercé son pouvoir discrétionnaire de rejeter la plainte du Dr Lukács. À la lecture respectueuse des motifs de l’Office, je conclus qu’il ne l’a pas fait. La décision ne respecte pas les exigences relatives à la justification, à la transparence et à l’intelligibilité, et ce</w:t>
      </w:r>
      <w:r w:rsidR="008B7D7C">
        <w:rPr>
          <w:rFonts w:cs="Times New Roman"/>
          <w:lang w:val="fr-CA"/>
        </w:rPr>
        <w:t>,</w:t>
      </w:r>
      <w:r>
        <w:rPr>
          <w:rFonts w:cs="Times New Roman"/>
          <w:lang w:val="fr-CA"/>
        </w:rPr>
        <w:t xml:space="preserve"> pour deux raisons. </w:t>
      </w:r>
      <w:r>
        <w:rPr>
          <w:rStyle w:val="Italic"/>
          <w:rFonts w:cs="Times New Roman"/>
          <w:i w:val="0"/>
          <w:lang w:val="fr-CA"/>
        </w:rPr>
        <w:t xml:space="preserve">Premièrement, l’Office a présumé qu’il pourrait y avoir qualité pour agir dans l’intérêt public et a ensuite appliqué un test auquel il est impossible de satisfaire. Cette approche relative à la qualité pour agir a entravé de manière déraisonnable le pouvoir discrétionnaire de l’Office. Deuxièmement, le refus total de reconnaître la qualité pour agir dans l’intérêt public est incompatible avec une interprétation raisonnable du régime législatif applicable à l’Office. </w:t>
      </w:r>
      <w:r>
        <w:rPr>
          <w:rFonts w:cs="Times New Roman"/>
          <w:lang w:val="fr-CA"/>
        </w:rPr>
        <w:t>J’examinerai successivement chacun de ces points</w:t>
      </w:r>
      <w:r>
        <w:rPr>
          <w:rStyle w:val="Italic"/>
          <w:rFonts w:cs="Times New Roman"/>
          <w:i w:val="0"/>
          <w:lang w:val="fr-CA"/>
        </w:rPr>
        <w:t>.</w:t>
      </w:r>
    </w:p>
    <w:p w:rsidR="00332574" w:rsidRPr="00332574" w:rsidRDefault="00332574" w:rsidP="00B830F5">
      <w:pPr>
        <w:pStyle w:val="ParaNoNdepar-AltN"/>
        <w:widowControl w:val="0"/>
        <w:rPr>
          <w:rStyle w:val="Italic"/>
          <w:i w:val="0"/>
          <w:lang w:val="fr-CA"/>
        </w:rPr>
      </w:pPr>
      <w:r>
        <w:rPr>
          <w:rFonts w:cs="Times New Roman"/>
          <w:lang w:val="fr-CA"/>
        </w:rPr>
        <w:t xml:space="preserve">En l’espèce, l’Office avait le pouvoir discrétionnaire, en vertu de l’art. 37 de la </w:t>
      </w:r>
      <w:r w:rsidRPr="0029526E">
        <w:rPr>
          <w:rFonts w:cs="Times New Roman"/>
          <w:lang w:val="fr-CA"/>
        </w:rPr>
        <w:t>Loi</w:t>
      </w:r>
      <w:r>
        <w:rPr>
          <w:rFonts w:cs="Times New Roman"/>
          <w:lang w:val="fr-CA"/>
        </w:rPr>
        <w:t>, de décider s’il entendrait la plainte du Dr Lukács</w:t>
      </w:r>
      <w:r>
        <w:rPr>
          <w:rStyle w:val="Italic"/>
          <w:rFonts w:cs="Times New Roman"/>
          <w:i w:val="0"/>
          <w:lang w:val="fr-CA"/>
        </w:rPr>
        <w:t xml:space="preserve">. Or, l’Office n’a pas fait référence à ce pouvoir discrétionnaire, et a semblé aborder la question de la qualité pour agir comme s’il était lié par les tests que les tribunaux de juridiction civile y appliquent. Ainsi, il a conclu qu’il n’entendrait la plainte que si le Dr Lukács pouvait satisfaire </w:t>
      </w:r>
      <w:r w:rsidR="00677253">
        <w:rPr>
          <w:rStyle w:val="Italic"/>
          <w:rFonts w:cs="Times New Roman"/>
          <w:i w:val="0"/>
          <w:lang w:val="fr-CA"/>
        </w:rPr>
        <w:t>au</w:t>
      </w:r>
      <w:r>
        <w:rPr>
          <w:rStyle w:val="Italic"/>
          <w:rFonts w:cs="Times New Roman"/>
          <w:i w:val="0"/>
          <w:lang w:val="fr-CA"/>
        </w:rPr>
        <w:t xml:space="preserve"> test relatif soit à la qualité pour agir dans l’intérêt privé, soit à la qualité pour agir dans l’intérêt public. </w:t>
      </w:r>
    </w:p>
    <w:p w:rsidR="00332574" w:rsidRDefault="00332574" w:rsidP="00B830F5">
      <w:pPr>
        <w:pStyle w:val="ParaNoNdepar-AltN"/>
        <w:widowControl w:val="0"/>
        <w:rPr>
          <w:rStyle w:val="Italic"/>
          <w:rFonts w:cs="Times New Roman"/>
          <w:i w:val="0"/>
          <w:lang w:val="fr-CA"/>
        </w:rPr>
      </w:pPr>
      <w:r>
        <w:rPr>
          <w:rStyle w:val="Italic"/>
          <w:rFonts w:cs="Times New Roman"/>
          <w:i w:val="0"/>
          <w:lang w:val="fr-CA"/>
        </w:rPr>
        <w:lastRenderedPageBreak/>
        <w:t xml:space="preserve">L’Office a statué qu’afin d’établir la qualité pour agir dans l’intérêt privé, un plaignant doit démontrer qu’il est « lésé » ou « touché » ou qu’il a un « intérêt suffisant » : par. 64. Même si l’Office semble avoir accepté qu’un plaignant n’a pas nécessairement à avoir subi de discrimination, il a jugé qu’il devait néanmoins être une personne à qui s’applique la politique contestée. Docteur </w:t>
      </w:r>
      <w:r>
        <w:rPr>
          <w:rFonts w:cs="Times New Roman"/>
          <w:szCs w:val="24"/>
          <w:lang w:val="fr-CA"/>
        </w:rPr>
        <w:t>Luk</w:t>
      </w:r>
      <w:r>
        <w:rPr>
          <w:rStyle w:val="Italic"/>
          <w:rFonts w:cs="Times New Roman"/>
          <w:i w:val="0"/>
          <w:lang w:val="fr-CA"/>
        </w:rPr>
        <w:t xml:space="preserve">ács, qui n’était pas « une personne de grande taille au sens de la politique de Delta », n’avait donc pas qualité pour agir dans l’intérêt privé : </w:t>
      </w:r>
      <w:r>
        <w:rPr>
          <w:rStyle w:val="Italic"/>
          <w:rFonts w:cs="Times New Roman"/>
          <w:lang w:val="fr-CA"/>
        </w:rPr>
        <w:t>ibid.</w:t>
      </w:r>
    </w:p>
    <w:p w:rsidR="00332574" w:rsidRDefault="00332574" w:rsidP="00B830F5">
      <w:pPr>
        <w:pStyle w:val="ParaNoNdepar-AltN"/>
        <w:widowControl w:val="0"/>
        <w:rPr>
          <w:rStyle w:val="Italic"/>
          <w:rFonts w:cs="Times New Roman"/>
          <w:i w:val="0"/>
          <w:lang w:val="fr-CA"/>
        </w:rPr>
      </w:pPr>
      <w:r>
        <w:rPr>
          <w:rFonts w:cs="Times New Roman"/>
          <w:lang w:val="fr-CA"/>
        </w:rPr>
        <w:t>L’Office a statué que le Dr Lukács</w:t>
      </w:r>
      <w:r>
        <w:rPr>
          <w:rStyle w:val="Italic"/>
          <w:rFonts w:cs="Times New Roman"/>
          <w:i w:val="0"/>
          <w:lang w:val="fr-CA"/>
        </w:rPr>
        <w:t xml:space="preserve"> ne pouvait pas non plus revendiquer la qualité pour agir dans l’intérêt public et il a énoncé le test applicable de la façon suivante au par. 68 de sa décision :</w:t>
      </w:r>
    </w:p>
    <w:p w:rsidR="00332574" w:rsidRDefault="00332574" w:rsidP="00B830F5">
      <w:pPr>
        <w:pStyle w:val="Citation-AltC"/>
        <w:widowControl w:val="0"/>
        <w:numPr>
          <w:ilvl w:val="6"/>
          <w:numId w:val="1"/>
        </w:numPr>
        <w:spacing w:after="240"/>
        <w:ind w:left="1530"/>
        <w:rPr>
          <w:lang w:val="fr-CA"/>
        </w:rPr>
      </w:pPr>
      <w:r>
        <w:rPr>
          <w:lang w:val="fr-CA"/>
        </w:rPr>
        <w:t>La question de l’invalidité de la loi en question se pose</w:t>
      </w:r>
      <w:r>
        <w:rPr>
          <w:lang w:val="fr-CA"/>
        </w:rPr>
        <w:noBreakHyphen/>
        <w:t>t</w:t>
      </w:r>
      <w:r>
        <w:rPr>
          <w:lang w:val="fr-CA"/>
        </w:rPr>
        <w:noBreakHyphen/>
        <w:t>elle sérieusement?</w:t>
      </w:r>
    </w:p>
    <w:p w:rsidR="00DE03D7" w:rsidRPr="00332574" w:rsidRDefault="00DE03D7" w:rsidP="00B830F5">
      <w:pPr>
        <w:pStyle w:val="Citation-AltC"/>
        <w:widowControl w:val="0"/>
        <w:spacing w:after="240"/>
        <w:ind w:left="2520"/>
        <w:rPr>
          <w:lang w:val="fr-CA"/>
        </w:rPr>
      </w:pPr>
    </w:p>
    <w:p w:rsidR="00DE03D7" w:rsidRPr="00980F77" w:rsidRDefault="00332574" w:rsidP="00B830F5">
      <w:pPr>
        <w:pStyle w:val="Citation-AltC"/>
        <w:widowControl w:val="0"/>
        <w:numPr>
          <w:ilvl w:val="6"/>
          <w:numId w:val="1"/>
        </w:numPr>
        <w:spacing w:after="240"/>
        <w:ind w:left="1530"/>
        <w:rPr>
          <w:lang w:val="fr-CA"/>
        </w:rPr>
      </w:pPr>
      <w:r>
        <w:rPr>
          <w:lang w:val="fr-CA"/>
        </w:rPr>
        <w:t>La partie qui demande la qualité pour agir dans l’intérêt public es</w:t>
      </w:r>
      <w:r w:rsidR="00DE03D7">
        <w:rPr>
          <w:lang w:val="fr-CA"/>
        </w:rPr>
        <w:t>t</w:t>
      </w:r>
      <w:r w:rsidR="00DE03D7">
        <w:rPr>
          <w:lang w:val="fr-CA"/>
        </w:rPr>
        <w:noBreakHyphen/>
      </w:r>
      <w:r w:rsidR="00BB7045">
        <w:rPr>
          <w:lang w:val="fr-CA"/>
        </w:rPr>
        <w:t>elle touchée par la loi, ou a-t-</w:t>
      </w:r>
      <w:r>
        <w:rPr>
          <w:lang w:val="fr-CA"/>
        </w:rPr>
        <w:t>elle, à titre de citoyen, un intérêt véritable quant à la validité de la loi?</w:t>
      </w:r>
    </w:p>
    <w:p w:rsidR="00DE03D7" w:rsidRDefault="00DE03D7" w:rsidP="00B830F5">
      <w:pPr>
        <w:pStyle w:val="Citation-AltC"/>
        <w:widowControl w:val="0"/>
        <w:spacing w:after="240"/>
        <w:ind w:left="1170"/>
        <w:rPr>
          <w:lang w:val="fr-CA"/>
        </w:rPr>
      </w:pPr>
    </w:p>
    <w:p w:rsidR="00332574" w:rsidRDefault="00DE03D7" w:rsidP="00B830F5">
      <w:pPr>
        <w:pStyle w:val="Citation-AltC"/>
        <w:widowControl w:val="0"/>
        <w:numPr>
          <w:ilvl w:val="6"/>
          <w:numId w:val="1"/>
        </w:numPr>
        <w:spacing w:after="240"/>
        <w:ind w:left="1530"/>
        <w:rPr>
          <w:lang w:val="fr-CA"/>
        </w:rPr>
      </w:pPr>
      <w:r>
        <w:rPr>
          <w:lang w:val="fr-CA"/>
        </w:rPr>
        <w:t>Y a-</w:t>
      </w:r>
      <w:r w:rsidR="00332574">
        <w:rPr>
          <w:lang w:val="fr-CA"/>
        </w:rPr>
        <w:t>t</w:t>
      </w:r>
      <w:r>
        <w:rPr>
          <w:lang w:val="fr-CA"/>
        </w:rPr>
        <w:t>-</w:t>
      </w:r>
      <w:r w:rsidR="00332574">
        <w:rPr>
          <w:lang w:val="fr-CA"/>
        </w:rPr>
        <w:t xml:space="preserve">il une autre manière raisonnable et efficace de soumettre la question à la </w:t>
      </w:r>
      <w:r w:rsidR="00980F77">
        <w:rPr>
          <w:lang w:val="fr-CA"/>
        </w:rPr>
        <w:t>c</w:t>
      </w:r>
      <w:r w:rsidR="00332574">
        <w:rPr>
          <w:lang w:val="fr-CA"/>
        </w:rPr>
        <w:t xml:space="preserve">our? </w:t>
      </w:r>
    </w:p>
    <w:p w:rsidR="00332574" w:rsidRPr="00332574" w:rsidRDefault="00332574" w:rsidP="00B830F5">
      <w:pPr>
        <w:pStyle w:val="ContinueParaSuitedupar-AltP"/>
        <w:widowControl w:val="0"/>
        <w:rPr>
          <w:rStyle w:val="Italic"/>
          <w:rFonts w:cs="Times New Roman"/>
          <w:i w:val="0"/>
          <w:lang w:val="fr-CA"/>
        </w:rPr>
      </w:pPr>
      <w:r>
        <w:rPr>
          <w:rStyle w:val="Italic"/>
          <w:rFonts w:cs="Times New Roman"/>
          <w:i w:val="0"/>
          <w:lang w:val="fr-CA"/>
        </w:rPr>
        <w:t xml:space="preserve">L’Office a reconnu la directive de la Cour dans </w:t>
      </w:r>
      <w:r>
        <w:rPr>
          <w:rStyle w:val="Italic"/>
          <w:rFonts w:cs="Times New Roman"/>
          <w:lang w:val="fr-CA"/>
        </w:rPr>
        <w:t>Canada (Procureur général) c. Downtown Eastside Sex Workers United Against Violence Society</w:t>
      </w:r>
      <w:r>
        <w:rPr>
          <w:rStyle w:val="Italic"/>
          <w:rFonts w:cs="Times New Roman"/>
          <w:i w:val="0"/>
          <w:lang w:val="fr-CA"/>
        </w:rPr>
        <w:t>, 2012 CSC 45, [2012] 2 R.C.S. 524, par. 36, voulant que ces facteurs ne soient pas des exigences techniques et qu’ils doivent être appréciés ensemble. L’Office a néanmoins refusé de reconnaître la qualité pour agir en raison d’une application rigide du deuxième facteur du test. Il a conclu que la qualité pour agir ne devait pas être reconnue parce que la plainte</w:t>
      </w:r>
      <w:r>
        <w:rPr>
          <w:rFonts w:cs="Times New Roman"/>
          <w:lang w:val="fr-CA"/>
        </w:rPr>
        <w:t xml:space="preserve"> </w:t>
      </w:r>
      <w:r>
        <w:rPr>
          <w:rStyle w:val="Italic"/>
          <w:rFonts w:cs="Times New Roman"/>
          <w:i w:val="0"/>
          <w:lang w:val="fr-CA"/>
        </w:rPr>
        <w:t>« </w:t>
      </w:r>
      <w:r>
        <w:rPr>
          <w:rFonts w:cs="Times New Roman"/>
          <w:lang w:val="fr-CA"/>
        </w:rPr>
        <w:t>ne concern[ait] pas la constitutionnalité d’une loi, ni la non</w:t>
      </w:r>
      <w:r>
        <w:rPr>
          <w:rFonts w:cs="Times New Roman"/>
          <w:lang w:val="fr-CA"/>
        </w:rPr>
        <w:noBreakHyphen/>
        <w:t>constitutionnalité dʼune mesure administrative » :</w:t>
      </w:r>
      <w:r w:rsidR="00E42F78">
        <w:rPr>
          <w:rStyle w:val="Italic"/>
          <w:rFonts w:cs="Times New Roman"/>
          <w:i w:val="0"/>
          <w:lang w:val="fr-CA"/>
        </w:rPr>
        <w:t xml:space="preserve"> par. 74.</w:t>
      </w:r>
    </w:p>
    <w:p w:rsidR="00332574" w:rsidRDefault="00332574" w:rsidP="00B830F5">
      <w:pPr>
        <w:pStyle w:val="ParaNoNdepar-AltN"/>
        <w:widowControl w:val="0"/>
        <w:rPr>
          <w:rStyle w:val="Italic"/>
          <w:rFonts w:cs="Times New Roman"/>
          <w:i w:val="0"/>
          <w:lang w:val="fr-CA"/>
        </w:rPr>
      </w:pPr>
      <w:r>
        <w:rPr>
          <w:rStyle w:val="Italic"/>
          <w:rFonts w:cs="Times New Roman"/>
          <w:i w:val="0"/>
          <w:lang w:val="fr-CA"/>
        </w:rPr>
        <w:lastRenderedPageBreak/>
        <w:t>Cela nous amène au premier problème, à savoir que l’Office a appliqué un test relatif à la qualité pour agir dans l’intérêt public que l’on pourrait considérer comme impossible à satisfaire. L’Office a notamment pour fonction de réglementer les transporteurs aériens, des acteurs privés, non gouvernementaux. Toute plainte valide contre un transporteur aérien revient à contester les conditions établies par une société privée. Or, une plainte portant sur ces conditions ne peut jamais, compte tenu de sa nature même, être une contestation de la constitutionnalité d’une loi ou de l’illégalité d’une mesure administrative. En somme, l’Office suggère qu’il pourrait y avoir qualité pour agir dans l’intérêt public pour présenter une plainte de ce type, puis, du même souffle, exclut toute possibilité de reconnaître cette qualité</w:t>
      </w:r>
      <w:r>
        <w:rPr>
          <w:rFonts w:cs="Times New Roman"/>
          <w:lang w:val="fr-CA"/>
        </w:rPr>
        <w:t xml:space="preserve">. L’imposition d’un test auquel il est impossible de satisfaire ne peut pas être ce que voulait le législateur lorsqu’il a conféré à cet organisme administratif le large pouvoir discrétionnaire de décider s’il entendra des plaintes. </w:t>
      </w:r>
    </w:p>
    <w:p w:rsidR="00332574" w:rsidRDefault="00332574" w:rsidP="00B830F5">
      <w:pPr>
        <w:pStyle w:val="ParaNoNdepar-AltN"/>
        <w:widowControl w:val="0"/>
        <w:rPr>
          <w:rStyle w:val="Italic"/>
          <w:rFonts w:cs="Times New Roman"/>
          <w:i w:val="0"/>
          <w:lang w:val="fr-CA"/>
        </w:rPr>
      </w:pPr>
      <w:r>
        <w:rPr>
          <w:rStyle w:val="Italic"/>
          <w:rFonts w:cs="Times New Roman"/>
          <w:i w:val="0"/>
          <w:lang w:val="fr-CA"/>
        </w:rPr>
        <w:t xml:space="preserve">L’application du test par l’Office est également incompatible avec la raison d’être de la qualité pour agir dans l’intérêt public. </w:t>
      </w:r>
      <w:r>
        <w:rPr>
          <w:rFonts w:cs="Times New Roman"/>
          <w:lang w:val="fr-CA"/>
        </w:rPr>
        <w:t xml:space="preserve">Lorsqu’ils décident s’ils reconnaissent </w:t>
      </w:r>
      <w:r>
        <w:rPr>
          <w:rStyle w:val="Italic"/>
          <w:rFonts w:cs="Times New Roman"/>
          <w:i w:val="0"/>
          <w:lang w:val="fr-CA"/>
        </w:rPr>
        <w:t xml:space="preserve">cette qualité pour agir, les tribunaux judiciaires doivent adopter une « approche souple et discrétionnaire » : </w:t>
      </w:r>
      <w:r>
        <w:rPr>
          <w:rStyle w:val="Italic"/>
          <w:rFonts w:cs="Times New Roman"/>
          <w:lang w:val="fr-CA"/>
        </w:rPr>
        <w:t>Downtown Eastside</w:t>
      </w:r>
      <w:r>
        <w:rPr>
          <w:rStyle w:val="Italic"/>
          <w:rFonts w:cs="Times New Roman"/>
          <w:i w:val="0"/>
          <w:lang w:val="fr-CA"/>
        </w:rPr>
        <w:t xml:space="preserve">, par. 1. Pour ce faire, ils doivent établir un équilibre entre la nécessité d’économiser les ressources judiciaires d’une part et l’accès à la justice d’autre part : </w:t>
      </w:r>
      <w:r>
        <w:rPr>
          <w:rStyle w:val="Italic"/>
          <w:rFonts w:cs="Times New Roman"/>
          <w:lang w:val="fr-CA"/>
        </w:rPr>
        <w:t>ibid.</w:t>
      </w:r>
      <w:r>
        <w:rPr>
          <w:rStyle w:val="Italic"/>
          <w:rFonts w:cs="Times New Roman"/>
          <w:i w:val="0"/>
          <w:lang w:val="fr-CA"/>
        </w:rPr>
        <w:t>, par. 23. Essentiellement, le tribunal judiciaire doit exercer son pouvoir discrétionnaire, s’il y a lieu, pour donner accès à un plus grand nombre de demandeurs. Comme l’Office l’affirme avec raison, l’objectif est d’entendre les demandeurs ou les plaignants « les plus concern</w:t>
      </w:r>
      <w:r w:rsidR="00DE03D7">
        <w:rPr>
          <w:rStyle w:val="Italic"/>
          <w:rFonts w:cs="Times New Roman"/>
          <w:i w:val="0"/>
          <w:lang w:val="fr-CA"/>
        </w:rPr>
        <w:t>[</w:t>
      </w:r>
      <w:r>
        <w:rPr>
          <w:rStyle w:val="Italic"/>
          <w:rFonts w:cs="Times New Roman"/>
          <w:i w:val="0"/>
          <w:lang w:val="fr-CA"/>
        </w:rPr>
        <w:t>és</w:t>
      </w:r>
      <w:r w:rsidR="00DE03D7">
        <w:rPr>
          <w:rStyle w:val="Italic"/>
          <w:rFonts w:cs="Times New Roman"/>
          <w:i w:val="0"/>
          <w:lang w:val="fr-CA"/>
        </w:rPr>
        <w:t>]</w:t>
      </w:r>
      <w:r>
        <w:rPr>
          <w:rStyle w:val="Italic"/>
          <w:rFonts w:cs="Times New Roman"/>
          <w:i w:val="0"/>
          <w:lang w:val="fr-CA"/>
        </w:rPr>
        <w:t xml:space="preserve"> » : par. 52. Or, la décision de l’Office en l’espèce ne témoigne d’aucune recherche d’équilibre; elle ne permet pas aux personnes les plus concernées d’être entendues. Elle invoque plutôt la </w:t>
      </w:r>
      <w:r>
        <w:rPr>
          <w:rStyle w:val="Italic"/>
          <w:rFonts w:cs="Times New Roman"/>
          <w:i w:val="0"/>
          <w:lang w:val="fr-CA"/>
        </w:rPr>
        <w:lastRenderedPageBreak/>
        <w:t xml:space="preserve">qualité pour agir dans l’intérêt public uniquement pour refuser l’accès. Il ressort clairement de </w:t>
      </w:r>
      <w:r>
        <w:rPr>
          <w:rFonts w:cs="Times New Roman"/>
          <w:i/>
          <w:lang w:val="fr-CA"/>
        </w:rPr>
        <w:t>Downtown Eastside</w:t>
      </w:r>
      <w:r>
        <w:rPr>
          <w:rFonts w:cs="Times New Roman"/>
          <w:lang w:val="fr-CA"/>
        </w:rPr>
        <w:t xml:space="preserve"> qu’au moins </w:t>
      </w:r>
      <w:r>
        <w:rPr>
          <w:rFonts w:cs="Times New Roman"/>
          <w:i/>
          <w:lang w:val="fr-CA"/>
        </w:rPr>
        <w:t>certains</w:t>
      </w:r>
      <w:r>
        <w:rPr>
          <w:rFonts w:cs="Times New Roman"/>
          <w:lang w:val="fr-CA"/>
        </w:rPr>
        <w:t xml:space="preserve"> demandeurs se verront reconnaître la qualité pour agir dans l’intérêt public. La décision de l’Office, au contraire, ne permet à </w:t>
      </w:r>
      <w:r>
        <w:rPr>
          <w:rFonts w:cs="Times New Roman"/>
          <w:i/>
          <w:lang w:val="fr-CA"/>
        </w:rPr>
        <w:t>aucun</w:t>
      </w:r>
      <w:r>
        <w:rPr>
          <w:rFonts w:cs="Times New Roman"/>
          <w:lang w:val="fr-CA"/>
        </w:rPr>
        <w:t xml:space="preserve"> plaignant de se voir reconnaître cette qualité. </w:t>
      </w:r>
      <w:r>
        <w:rPr>
          <w:rStyle w:val="Italic"/>
          <w:rFonts w:cs="Times New Roman"/>
          <w:i w:val="0"/>
          <w:lang w:val="fr-CA"/>
        </w:rPr>
        <w:t>L’Office n’a pas adopté une approche souple à l’égard de cette question et, ce faisant, il a entravé son pouvoir discrétionnaire de manière déraisonnable. Si, certes, le test relatif à la qualité pour agir dans l’intérêt public a été conçu pour protéger le pouvoir discrétionnaire des tribunaux judiciaires, l’Office s’est défait de son pouvoir discrétionnaire par l’application de ce test.</w:t>
      </w:r>
    </w:p>
    <w:p w:rsidR="00332574" w:rsidRDefault="00332574" w:rsidP="00B830F5">
      <w:pPr>
        <w:pStyle w:val="ParaNoNdepar-AltN"/>
        <w:widowControl w:val="0"/>
        <w:rPr>
          <w:rStyle w:val="Italic"/>
          <w:rFonts w:cs="Times New Roman"/>
          <w:i w:val="0"/>
          <w:lang w:val="fr-CA"/>
        </w:rPr>
      </w:pPr>
      <w:r>
        <w:rPr>
          <w:rStyle w:val="Italic"/>
          <w:rFonts w:cs="Times New Roman"/>
          <w:i w:val="0"/>
          <w:lang w:val="fr-CA"/>
        </w:rPr>
        <w:t xml:space="preserve">Le deuxième problème concernant la décision est que l’effet des tests relatifs à la qualité pour agir dans l’intérêt privé ou public, appliqués comme ils l’ont été dans la décision en cause, ne peut être justifié par une interprétation raisonnable de la façon dont le régime législatif est censé fonctionner. L’application de ces tests de la façon dont l’Office l’a faite </w:t>
      </w:r>
      <w:r>
        <w:rPr>
          <w:rFonts w:cs="Times New Roman"/>
          <w:lang w:val="fr-CA"/>
        </w:rPr>
        <w:t xml:space="preserve">empêcherait tout groupe de défense de l’intérêt public ou groupe représentatif de se voir reconnaître la qualité pour agir devant l’Office, sans égard au contenu de sa plainte. Ainsi, une plainte par le Conseil des Canadiens avec déficiences, comme celle qui a été portée dans l’affaire </w:t>
      </w:r>
      <w:r>
        <w:rPr>
          <w:rFonts w:cs="Times New Roman"/>
          <w:i/>
          <w:lang w:val="fr-CA"/>
        </w:rPr>
        <w:t>Conseil des Canadiens avec déficiences c. VIA Rail Canada Inc.</w:t>
      </w:r>
      <w:r>
        <w:rPr>
          <w:rFonts w:cs="Times New Roman"/>
          <w:lang w:val="fr-CA"/>
        </w:rPr>
        <w:t>, 2007 CSC 15, [2007] 1 R.C.S. 650, ne serait pas entendue</w:t>
      </w:r>
      <w:r>
        <w:rPr>
          <w:rFonts w:cs="Times New Roman"/>
          <w:i/>
          <w:lang w:val="fr-CA"/>
        </w:rPr>
        <w:t xml:space="preserve">. </w:t>
      </w:r>
      <w:r>
        <w:rPr>
          <w:rStyle w:val="Italic"/>
          <w:rFonts w:cs="Times New Roman"/>
          <w:i w:val="0"/>
          <w:lang w:val="fr-CA"/>
        </w:rPr>
        <w:t>De fait, seule une personne qui est elle</w:t>
      </w:r>
      <w:r>
        <w:rPr>
          <w:rStyle w:val="Italic"/>
          <w:rFonts w:cs="Times New Roman"/>
          <w:i w:val="0"/>
          <w:lang w:val="fr-CA"/>
        </w:rPr>
        <w:noBreakHyphen/>
        <w:t xml:space="preserve">même visée par la politique contestée pourrait déposer une plainte. </w:t>
      </w:r>
    </w:p>
    <w:p w:rsidR="00332574" w:rsidRDefault="00332574" w:rsidP="00B830F5">
      <w:pPr>
        <w:pStyle w:val="ParaNoNdepar-AltN"/>
        <w:widowControl w:val="0"/>
        <w:rPr>
          <w:rStyle w:val="Italic"/>
          <w:rFonts w:cs="Times New Roman"/>
          <w:i w:val="0"/>
          <w:lang w:val="fr-CA"/>
        </w:rPr>
      </w:pPr>
      <w:r>
        <w:rPr>
          <w:rStyle w:val="Italic"/>
          <w:rFonts w:cs="Times New Roman"/>
          <w:i w:val="0"/>
          <w:lang w:val="fr-CA"/>
        </w:rPr>
        <w:t xml:space="preserve">Ce résultat est contraire à l’esprit de la </w:t>
      </w:r>
      <w:r w:rsidRPr="0029526E">
        <w:rPr>
          <w:rStyle w:val="Italic"/>
          <w:rFonts w:cs="Times New Roman"/>
          <w:i w:val="0"/>
          <w:lang w:val="fr-CA"/>
        </w:rPr>
        <w:t>Loi</w:t>
      </w:r>
      <w:r>
        <w:rPr>
          <w:rStyle w:val="Italic"/>
          <w:rFonts w:cs="Times New Roman"/>
          <w:i w:val="0"/>
          <w:lang w:val="fr-CA"/>
        </w:rPr>
        <w:t xml:space="preserve">. Le législateur a jugé bon de conférer à l’Office un large pouvoir de réparation. L’alinéa 5d) de la </w:t>
      </w:r>
      <w:r w:rsidRPr="0029526E">
        <w:rPr>
          <w:rStyle w:val="Italic"/>
          <w:rFonts w:cs="Times New Roman"/>
          <w:i w:val="0"/>
          <w:lang w:val="fr-CA"/>
        </w:rPr>
        <w:t xml:space="preserve">Loi </w:t>
      </w:r>
      <w:r>
        <w:rPr>
          <w:rStyle w:val="Italic"/>
          <w:rFonts w:cs="Times New Roman"/>
          <w:i w:val="0"/>
          <w:lang w:val="fr-CA"/>
        </w:rPr>
        <w:t xml:space="preserve">oblige l’Office à promouvoir le transport accessible. De plus, les art. 111 et 113 du </w:t>
      </w:r>
      <w:r w:rsidRPr="0029526E">
        <w:rPr>
          <w:rStyle w:val="Italic"/>
          <w:rFonts w:cs="Times New Roman"/>
          <w:i w:val="0"/>
          <w:lang w:val="fr-CA"/>
        </w:rPr>
        <w:t>Règlement</w:t>
      </w:r>
      <w:r>
        <w:rPr>
          <w:rStyle w:val="Italic"/>
          <w:rFonts w:cs="Times New Roman"/>
          <w:lang w:val="fr-CA"/>
        </w:rPr>
        <w:t xml:space="preserve"> </w:t>
      </w:r>
      <w:r>
        <w:rPr>
          <w:rStyle w:val="Italic"/>
          <w:rFonts w:cs="Times New Roman"/>
          <w:i w:val="0"/>
          <w:lang w:val="fr-CA"/>
        </w:rPr>
        <w:lastRenderedPageBreak/>
        <w:t xml:space="preserve">permettent à l’Office d’agir pour corriger des conditions discriminatoires avant que les passagers ne subissent un préjudice. De fait, ces dispositions confèrent à l’Office le pouvoir d’enquêter par suite d’une plainte, ou de sa propre initiative. Rejeter une plainte sur le seul fondement de l’identité du groupe qui la porte empêcherait l’Office d’entendre des plaintes qui pourraient se révéler fort pertinentes et entraverait sa capacité à réaliser l’objectif du régime créé par la </w:t>
      </w:r>
      <w:r w:rsidRPr="0029526E">
        <w:rPr>
          <w:rStyle w:val="Italic"/>
          <w:rFonts w:cs="Times New Roman"/>
          <w:i w:val="0"/>
          <w:lang w:val="fr-CA"/>
        </w:rPr>
        <w:t>Loi</w:t>
      </w:r>
      <w:r>
        <w:rPr>
          <w:rStyle w:val="Italic"/>
          <w:rFonts w:cs="Times New Roman"/>
          <w:i w:val="0"/>
          <w:lang w:val="fr-CA"/>
        </w:rPr>
        <w:t>. Cela ne veut pas dire que toutes les plaintes de groupes de défense de l’intérêt public doivent être entendues. Toutefois, il est déraisonnable que l’Office applique un test qui l’empêcherait d’entendre les plaintes de tels groupes</w:t>
      </w:r>
      <w:r>
        <w:rPr>
          <w:rFonts w:cs="Times New Roman"/>
          <w:lang w:val="fr-CA"/>
        </w:rPr>
        <w:t xml:space="preserve">. </w:t>
      </w:r>
    </w:p>
    <w:p w:rsidR="00332574" w:rsidRDefault="00332574" w:rsidP="00B830F5">
      <w:pPr>
        <w:pStyle w:val="ParaNoNdepar-AltN"/>
        <w:widowControl w:val="0"/>
        <w:rPr>
          <w:rStyle w:val="Italic"/>
          <w:rFonts w:cs="Times New Roman"/>
          <w:i w:val="0"/>
          <w:lang w:val="fr-CA"/>
        </w:rPr>
      </w:pPr>
      <w:r>
        <w:rPr>
          <w:rStyle w:val="Italic"/>
          <w:rFonts w:cs="Times New Roman"/>
          <w:i w:val="0"/>
          <w:lang w:val="fr-CA"/>
        </w:rPr>
        <w:t xml:space="preserve">Pour ces motifs, je conclus que la décision de l’Office ne respecte pas le test de raisonnabilité énoncé dans </w:t>
      </w:r>
      <w:r>
        <w:rPr>
          <w:rStyle w:val="Italic"/>
          <w:rFonts w:cs="Times New Roman"/>
          <w:lang w:val="fr-CA"/>
        </w:rPr>
        <w:t>Dunsmuir</w:t>
      </w:r>
      <w:r>
        <w:rPr>
          <w:rStyle w:val="Italic"/>
          <w:rFonts w:cs="Times New Roman"/>
          <w:i w:val="0"/>
          <w:lang w:val="fr-CA"/>
        </w:rPr>
        <w:t xml:space="preserve">. </w:t>
      </w:r>
    </w:p>
    <w:p w:rsidR="00332574" w:rsidRPr="00332574" w:rsidRDefault="00332574" w:rsidP="00B830F5">
      <w:pPr>
        <w:pStyle w:val="ParaNoNdepar-AltN"/>
        <w:widowControl w:val="0"/>
        <w:rPr>
          <w:lang w:val="fr-CA"/>
        </w:rPr>
      </w:pPr>
      <w:r>
        <w:rPr>
          <w:rStyle w:val="Italic"/>
          <w:rFonts w:cs="Times New Roman"/>
          <w:i w:val="0"/>
          <w:lang w:val="fr-CA"/>
        </w:rPr>
        <w:t xml:space="preserve">Delta reconnaît que les motifs de l’Office sont déficients. Toutefois, elle plaide que la cour de révision est tenue d’examiner non seulement les motifs donnés par l’Office, mais aussi les motifs qui </w:t>
      </w:r>
      <w:r>
        <w:rPr>
          <w:rStyle w:val="Italic"/>
          <w:rFonts w:cs="Times New Roman"/>
          <w:lang w:val="fr-CA"/>
        </w:rPr>
        <w:t>pourraient</w:t>
      </w:r>
      <w:r>
        <w:rPr>
          <w:rStyle w:val="Italic"/>
          <w:rFonts w:cs="Times New Roman"/>
          <w:i w:val="0"/>
          <w:lang w:val="fr-CA"/>
        </w:rPr>
        <w:t xml:space="preserve"> être donnés au soutien de sa décision : voir </w:t>
      </w:r>
      <w:r>
        <w:rPr>
          <w:rStyle w:val="Italic"/>
          <w:rFonts w:cs="Times New Roman"/>
          <w:lang w:val="fr-CA"/>
        </w:rPr>
        <w:t>Alberta Teachers</w:t>
      </w:r>
      <w:r>
        <w:rPr>
          <w:rStyle w:val="Italic"/>
          <w:rFonts w:cs="Times New Roman"/>
          <w:i w:val="0"/>
          <w:lang w:val="fr-CA"/>
        </w:rPr>
        <w:t xml:space="preserve">, par. 53; </w:t>
      </w:r>
      <w:r>
        <w:rPr>
          <w:rFonts w:cs="Times New Roman"/>
          <w:i/>
          <w:lang w:val="fr-CA"/>
        </w:rPr>
        <w:t>Newfoundland and Labrador Nurses’ Union c. Terre</w:t>
      </w:r>
      <w:r>
        <w:rPr>
          <w:rFonts w:cs="Times New Roman"/>
          <w:i/>
          <w:lang w:val="fr-CA"/>
        </w:rPr>
        <w:noBreakHyphen/>
        <w:t>Neuve</w:t>
      </w:r>
      <w:r>
        <w:rPr>
          <w:rFonts w:cs="Times New Roman"/>
          <w:i/>
          <w:lang w:val="fr-CA"/>
        </w:rPr>
        <w:noBreakHyphen/>
        <w:t>et</w:t>
      </w:r>
      <w:r>
        <w:rPr>
          <w:rFonts w:cs="Times New Roman"/>
          <w:i/>
          <w:lang w:val="fr-CA"/>
        </w:rPr>
        <w:noBreakHyphen/>
        <w:t>Labrador (Conseil du Trésor)</w:t>
      </w:r>
      <w:r>
        <w:rPr>
          <w:rFonts w:cs="Times New Roman"/>
          <w:lang w:val="fr-CA"/>
        </w:rPr>
        <w:t xml:space="preserve">, 2011 CSC 62, [2011] 3 R.C.S. 708, par. 12. Plus particulièrement, elle prie la Cour d’examiner les justifications du refus de reconnaître la qualité pour agir énumérées dans la décision </w:t>
      </w:r>
      <w:r>
        <w:rPr>
          <w:rFonts w:cs="Times New Roman"/>
          <w:i/>
          <w:lang w:val="fr-CA"/>
        </w:rPr>
        <w:t>Lukács c. Porter Airlines Inc.</w:t>
      </w:r>
      <w:r>
        <w:rPr>
          <w:rFonts w:cs="Times New Roman"/>
          <w:lang w:val="fr-CA"/>
        </w:rPr>
        <w:t>, Office des transports du Canada, décision n</w:t>
      </w:r>
      <w:r>
        <w:rPr>
          <w:rFonts w:cs="Times New Roman"/>
          <w:vertAlign w:val="superscript"/>
          <w:lang w:val="fr-CA"/>
        </w:rPr>
        <w:t>o</w:t>
      </w:r>
      <w:r>
        <w:rPr>
          <w:rFonts w:cs="Times New Roman"/>
          <w:lang w:val="fr-CA"/>
        </w:rPr>
        <w:t xml:space="preserve"> 121</w:t>
      </w:r>
      <w:r>
        <w:rPr>
          <w:rFonts w:cs="Times New Roman"/>
          <w:lang w:val="fr-CA"/>
        </w:rPr>
        <w:noBreakHyphen/>
        <w:t>C</w:t>
      </w:r>
      <w:r>
        <w:rPr>
          <w:rFonts w:cs="Times New Roman"/>
          <w:lang w:val="fr-CA"/>
        </w:rPr>
        <w:noBreakHyphen/>
        <w:t>A</w:t>
      </w:r>
      <w:r>
        <w:rPr>
          <w:rFonts w:cs="Times New Roman"/>
          <w:lang w:val="fr-CA"/>
        </w:rPr>
        <w:noBreakHyphen/>
        <w:t>2016, 22 avril 2016.</w:t>
      </w:r>
    </w:p>
    <w:p w:rsidR="00332574" w:rsidRDefault="00332574" w:rsidP="00B830F5">
      <w:pPr>
        <w:pStyle w:val="ParaNoNdepar-AltN"/>
        <w:widowControl w:val="0"/>
        <w:rPr>
          <w:rFonts w:cs="Times New Roman"/>
          <w:lang w:val="fr-CA"/>
        </w:rPr>
      </w:pPr>
      <w:r>
        <w:rPr>
          <w:rFonts w:cs="Times New Roman"/>
          <w:lang w:val="fr-CA"/>
        </w:rPr>
        <w:t>Il peut convenir de compléter des motifs dans les cas où ceux</w:t>
      </w:r>
      <w:r>
        <w:rPr>
          <w:rFonts w:cs="Times New Roman"/>
          <w:lang w:val="fr-CA"/>
        </w:rPr>
        <w:noBreakHyphen/>
        <w:t xml:space="preserve">ci sont soit inexistants, soit insuffisants. Dans </w:t>
      </w:r>
      <w:r>
        <w:rPr>
          <w:rFonts w:cs="Times New Roman"/>
          <w:i/>
          <w:lang w:val="fr-CA"/>
        </w:rPr>
        <w:t>Alberta Teachers</w:t>
      </w:r>
      <w:r>
        <w:rPr>
          <w:rFonts w:cs="Times New Roman"/>
          <w:lang w:val="fr-CA"/>
        </w:rPr>
        <w:t xml:space="preserve">, aucun motif n’avait été fourni parce que la question n’avait pas été soulevée devant le décideur : par. 51. Dans </w:t>
      </w:r>
      <w:r>
        <w:rPr>
          <w:rFonts w:cs="Times New Roman"/>
          <w:i/>
          <w:lang w:val="fr-CA"/>
        </w:rPr>
        <w:lastRenderedPageBreak/>
        <w:t>Newfoundland Nurses</w:t>
      </w:r>
      <w:r>
        <w:rPr>
          <w:rFonts w:cs="Times New Roman"/>
          <w:lang w:val="fr-CA"/>
        </w:rPr>
        <w:t>, on a fait valoir que les motifs étaient insuffisants : par. 8. Or, ces arrêts peuvent être distingués de l’espèce, où l’Office a fourni des motifs détaillés qui énonçaient et appliquaient ensuite de façon stricte un test qui ne s’appuyait pas sur le régime législatif.</w:t>
      </w:r>
    </w:p>
    <w:p w:rsidR="00332574" w:rsidRDefault="00332574" w:rsidP="00B830F5">
      <w:pPr>
        <w:pStyle w:val="ParaNoNdepar-AltN"/>
        <w:widowControl w:val="0"/>
        <w:rPr>
          <w:rFonts w:cs="Times New Roman"/>
          <w:lang w:val="fr-CA"/>
        </w:rPr>
      </w:pPr>
      <w:r>
        <w:rPr>
          <w:rFonts w:cs="Times New Roman"/>
          <w:lang w:val="fr-CA"/>
        </w:rPr>
        <w:t xml:space="preserve">L’obligation de porter une attention respectueuse aux motifs donnés ou aux motifs qui pourraient être donnés n’autorise pas une cour de révision à faire complètement abstraction des motifs existants et à y substituer les siens : </w:t>
      </w:r>
      <w:r>
        <w:rPr>
          <w:rFonts w:cs="Times New Roman"/>
          <w:i/>
          <w:lang w:val="fr-CA"/>
        </w:rPr>
        <w:t>Newfoundland Nurses</w:t>
      </w:r>
      <w:r>
        <w:rPr>
          <w:rFonts w:cs="Times New Roman"/>
          <w:lang w:val="fr-CA"/>
        </w:rPr>
        <w:t xml:space="preserve">, par. 12; </w:t>
      </w:r>
      <w:r>
        <w:rPr>
          <w:rFonts w:cs="Times New Roman"/>
          <w:i/>
          <w:lang w:val="fr-CA"/>
        </w:rPr>
        <w:t>Pathmanathan c. Canada (Ministre de la Citoyenneté et de l’Immigration)</w:t>
      </w:r>
      <w:r>
        <w:rPr>
          <w:rFonts w:cs="Times New Roman"/>
          <w:lang w:val="fr-CA"/>
        </w:rPr>
        <w:t>, 2013 CF 353, par. 28</w:t>
      </w:r>
      <w:r w:rsidR="005A0AA5">
        <w:rPr>
          <w:rFonts w:cs="Times New Roman"/>
          <w:lang w:val="fr-CA"/>
        </w:rPr>
        <w:t xml:space="preserve"> (CanLII)</w:t>
      </w:r>
      <w:r>
        <w:rPr>
          <w:rFonts w:cs="Times New Roman"/>
          <w:lang w:val="fr-CA"/>
        </w:rPr>
        <w:t xml:space="preserve">. Je suis d’accord avec la mise en garde suivante du juge Rothstein dans </w:t>
      </w:r>
      <w:r>
        <w:rPr>
          <w:rFonts w:cs="Times New Roman"/>
          <w:i/>
          <w:lang w:val="fr-CA"/>
        </w:rPr>
        <w:t>Alberta Teachers</w:t>
      </w:r>
      <w:r>
        <w:rPr>
          <w:rFonts w:cs="Times New Roman"/>
          <w:lang w:val="fr-CA"/>
        </w:rPr>
        <w:t> :</w:t>
      </w:r>
    </w:p>
    <w:p w:rsidR="00332574" w:rsidRDefault="00332574" w:rsidP="00B830F5">
      <w:pPr>
        <w:pStyle w:val="Citation-AltC"/>
        <w:widowControl w:val="0"/>
        <w:ind w:hanging="1166"/>
        <w:rPr>
          <w:lang w:val="fr-CA"/>
        </w:rPr>
      </w:pPr>
      <w:r>
        <w:rPr>
          <w:lang w:val="fr-CA"/>
        </w:rPr>
        <w:tab/>
        <w:t>L’invitation à porter une attention respectueuse aux motifs « qui pourraient être donnés à l’appui d’une décision » ne confère pas à la cour de justice le [</w:t>
      </w:r>
      <w:r>
        <w:rPr>
          <w:smallCaps/>
          <w:lang w:val="fr-CA"/>
        </w:rPr>
        <w:t>traduction</w:t>
      </w:r>
      <w:r>
        <w:rPr>
          <w:lang w:val="fr-CA"/>
        </w:rPr>
        <w:t>] « pouvoir absolu de reformuler la décision en substituant à l’analyse qu’elle juge déraisonnable sa propre justification du résultat » </w:t>
      </w:r>
      <w:r w:rsidR="00681C1B">
        <w:rPr>
          <w:lang w:val="fr-CA"/>
        </w:rPr>
        <w:t>. . .</w:t>
      </w:r>
      <w:r>
        <w:rPr>
          <w:lang w:val="fr-CA"/>
        </w:rPr>
        <w:t xml:space="preserve"> [par. 54, citant </w:t>
      </w:r>
      <w:r>
        <w:rPr>
          <w:i/>
          <w:lang w:val="fr-CA"/>
        </w:rPr>
        <w:t>Petro</w:t>
      </w:r>
      <w:r>
        <w:rPr>
          <w:i/>
          <w:lang w:val="fr-CA"/>
        </w:rPr>
        <w:noBreakHyphen/>
        <w:t>Canada c. Workers’ Compensation Board (B.C.)</w:t>
      </w:r>
      <w:r>
        <w:rPr>
          <w:lang w:val="fr-CA"/>
        </w:rPr>
        <w:t>, 2009 BCCA 396, 2</w:t>
      </w:r>
      <w:r w:rsidR="00681C1B">
        <w:rPr>
          <w:lang w:val="fr-CA"/>
        </w:rPr>
        <w:t>76 B.C.A.C. 135, par. 53 et 56]</w:t>
      </w:r>
    </w:p>
    <w:p w:rsidR="00332574" w:rsidRPr="00332574" w:rsidRDefault="00332574" w:rsidP="00B830F5">
      <w:pPr>
        <w:pStyle w:val="ContinueParaSuitedupar-AltP"/>
        <w:widowControl w:val="0"/>
        <w:rPr>
          <w:rStyle w:val="Italic"/>
          <w:rFonts w:cs="Times New Roman"/>
          <w:i w:val="0"/>
          <w:lang w:val="fr-CA"/>
        </w:rPr>
      </w:pPr>
      <w:r>
        <w:rPr>
          <w:rFonts w:cs="Times New Roman"/>
          <w:lang w:val="fr-CA"/>
        </w:rPr>
        <w:t>Autrement dit, bien qu’une cour de révision puisse compléter les motifs donnés au soutien d’une décision administrative, elle ne peut faire abstraction des motifs effectivement fournis ou les remplacer. Les motifs additionnels doivent compléter et non supplanter l’analyse de l’organisme administratif.</w:t>
      </w:r>
    </w:p>
    <w:p w:rsidR="00332574" w:rsidRPr="00332574" w:rsidRDefault="00332574" w:rsidP="00B830F5">
      <w:pPr>
        <w:pStyle w:val="ParaNoNdepar-AltN"/>
        <w:widowControl w:val="0"/>
        <w:rPr>
          <w:lang w:val="fr-CA"/>
        </w:rPr>
      </w:pPr>
      <w:r>
        <w:rPr>
          <w:rFonts w:cs="Times New Roman"/>
          <w:lang w:val="fr-CA"/>
        </w:rPr>
        <w:t xml:space="preserve">À mon avis, il ne s’agit pas d’un cas où le simple fait de compléter les motifs est susceptible de rendre la décision raisonnable. L’Office a clairement énoncé un test relatif à la qualité pour agir dans l’intérêt public et il l’a appliqué. Il aurait pu adapter ce test afin que les plaignants assujettis à son régime législatif puissent être en </w:t>
      </w:r>
      <w:r>
        <w:rPr>
          <w:rFonts w:cs="Times New Roman"/>
          <w:lang w:val="fr-CA"/>
        </w:rPr>
        <w:lastRenderedPageBreak/>
        <w:t>mesure de le respecter. Bien entendu, il aurait pu également exercer son pouvoir discrétionnaire sans faire la moindre référence à la qualité pour agir. Il n’a toutefois emprunté ni l’une ni l’autre de ces avenues. La cour de révision ne doit pas les emprunter à la place de l’Office, et ce, pour trois principaux motifs.</w:t>
      </w:r>
    </w:p>
    <w:p w:rsidR="00332574" w:rsidRDefault="00332574" w:rsidP="00B830F5">
      <w:pPr>
        <w:pStyle w:val="ParaNoNdepar-AltN"/>
        <w:widowControl w:val="0"/>
        <w:rPr>
          <w:rFonts w:cs="Times New Roman"/>
          <w:lang w:val="fr-CA"/>
        </w:rPr>
      </w:pPr>
      <w:r>
        <w:rPr>
          <w:rFonts w:cs="Times New Roman"/>
          <w:lang w:val="fr-CA"/>
        </w:rPr>
        <w:t>Premièrement, il faudrait pour ce faire mettre de côté le test relatif à la qualité pour agir dans l’intérêt public et son application, tels qu’énoncés par l’Office, et remplacer son analyse par des motifs et des justifications formulés par la Cour. Delta n’a cité aucune jurisprudence ou doctrine en droit administratif qui justifierait cette approche.</w:t>
      </w:r>
    </w:p>
    <w:p w:rsidR="00332574" w:rsidRDefault="00332574" w:rsidP="00B830F5">
      <w:pPr>
        <w:pStyle w:val="ParaNoNdepar-AltN"/>
        <w:widowControl w:val="0"/>
        <w:rPr>
          <w:rFonts w:cs="Times New Roman"/>
          <w:lang w:val="fr-CA"/>
        </w:rPr>
      </w:pPr>
      <w:r>
        <w:rPr>
          <w:rFonts w:cs="Times New Roman"/>
          <w:lang w:val="fr-CA"/>
        </w:rPr>
        <w:t xml:space="preserve">Deuxièmement, cela minerait, voire nierait, le rôle essentiel des motifs en droit administratif. L’arrêt </w:t>
      </w:r>
      <w:r>
        <w:rPr>
          <w:rFonts w:cs="Times New Roman"/>
          <w:i/>
          <w:lang w:val="fr-CA"/>
        </w:rPr>
        <w:t>Dunsmuir</w:t>
      </w:r>
      <w:r>
        <w:rPr>
          <w:rFonts w:cs="Times New Roman"/>
          <w:lang w:val="fr-CA"/>
        </w:rPr>
        <w:t xml:space="preserve"> établit encore à ce jour que les cours de révision doivent examiner à la fois les motifs </w:t>
      </w:r>
      <w:r>
        <w:rPr>
          <w:rFonts w:cs="Times New Roman"/>
          <w:i/>
          <w:lang w:val="fr-CA"/>
        </w:rPr>
        <w:t>et</w:t>
      </w:r>
      <w:r>
        <w:rPr>
          <w:rFonts w:cs="Times New Roman"/>
          <w:lang w:val="fr-CA"/>
        </w:rPr>
        <w:t xml:space="preserve"> le résultat. Bien que cela ne nécessite pas « deux analyses distinctes » (</w:t>
      </w:r>
      <w:r>
        <w:rPr>
          <w:rFonts w:cs="Times New Roman"/>
          <w:i/>
          <w:lang w:val="fr-CA"/>
        </w:rPr>
        <w:t>Newfoundland Nurses</w:t>
      </w:r>
      <w:r>
        <w:rPr>
          <w:rFonts w:cs="Times New Roman"/>
          <w:lang w:val="fr-CA"/>
        </w:rPr>
        <w:t>, par. 14), il n’en demeure pas moins que les motifs ont encore de l’importance. Si nous permettions aux cours de révision de remplacer les motifs d’organismes administratifs par les leurs, le résultat des décisions administratives deviendrait la seule considération. Suivant cette approche, tant que les cours de révision pourraient offrir une justification possible — même si celle</w:t>
      </w:r>
      <w:r>
        <w:rPr>
          <w:rFonts w:cs="Times New Roman"/>
          <w:lang w:val="fr-CA"/>
        </w:rPr>
        <w:noBreakHyphen/>
        <w:t>ci contredisait les motifs donnés par l’organisme administratif —, la décision serait raisonnable. Cela irait trop loin. Il est important de maintenir l’exigence voulant que lorsque les organismes administratifs fournissent des motifs à l’appui de leurs décisions, ils le fassent de façon intelligible, justifiée et transparente.</w:t>
      </w:r>
    </w:p>
    <w:p w:rsidR="00332574" w:rsidRDefault="00332574" w:rsidP="00B830F5">
      <w:pPr>
        <w:pStyle w:val="ParaNoNdepar-AltN"/>
        <w:widowControl w:val="0"/>
        <w:rPr>
          <w:rFonts w:cs="Times New Roman"/>
          <w:lang w:val="fr-CA"/>
        </w:rPr>
      </w:pPr>
      <w:r>
        <w:rPr>
          <w:rFonts w:cs="Times New Roman"/>
          <w:lang w:val="fr-CA"/>
        </w:rPr>
        <w:t xml:space="preserve">Enfin, la cour de révision se trouverait alors à assumer le rôle de l’Office </w:t>
      </w:r>
      <w:r>
        <w:rPr>
          <w:rFonts w:cs="Times New Roman"/>
          <w:lang w:val="fr-CA"/>
        </w:rPr>
        <w:lastRenderedPageBreak/>
        <w:t xml:space="preserve">en élaborant et en appliquant une procédure relative aux plaintes sous le régime de la </w:t>
      </w:r>
      <w:r w:rsidRPr="0029526E">
        <w:rPr>
          <w:rFonts w:cs="Times New Roman"/>
          <w:lang w:val="fr-CA"/>
        </w:rPr>
        <w:t>Loi</w:t>
      </w:r>
      <w:r>
        <w:rPr>
          <w:rFonts w:cs="Times New Roman"/>
          <w:lang w:val="fr-CA"/>
        </w:rPr>
        <w:t xml:space="preserve">. Il serait paradoxal d’accueillir le pourvoi au nom de la déférence et de prescrire ensuite comment l’Office devrait s’y prendre pour déterminer dans quelles situations il entendra une plainte : voir </w:t>
      </w:r>
      <w:r>
        <w:rPr>
          <w:rFonts w:cs="Times New Roman"/>
          <w:i/>
          <w:lang w:val="fr-CA"/>
        </w:rPr>
        <w:t>Komolafe c. Canada (Ministre de la Citoyenneté et de l’Immigration)</w:t>
      </w:r>
      <w:r>
        <w:rPr>
          <w:rFonts w:cs="Times New Roman"/>
          <w:lang w:val="fr-CA"/>
        </w:rPr>
        <w:t>, 2013 CF 431, par. 11</w:t>
      </w:r>
      <w:r w:rsidR="00681C1B">
        <w:rPr>
          <w:rFonts w:cs="Times New Roman"/>
          <w:lang w:val="fr-CA"/>
        </w:rPr>
        <w:t xml:space="preserve"> (CanLII)</w:t>
      </w:r>
      <w:r>
        <w:rPr>
          <w:rFonts w:cs="Times New Roman"/>
          <w:lang w:val="fr-CA"/>
        </w:rPr>
        <w:t>.</w:t>
      </w:r>
    </w:p>
    <w:p w:rsidR="00332574" w:rsidRDefault="00332574" w:rsidP="00B830F5">
      <w:pPr>
        <w:pStyle w:val="ParaNoNdepar-AltN"/>
        <w:widowControl w:val="0"/>
        <w:rPr>
          <w:rFonts w:cs="Times New Roman"/>
          <w:lang w:val="fr-CA"/>
        </w:rPr>
      </w:pPr>
      <w:r>
        <w:rPr>
          <w:rFonts w:cs="Times New Roman"/>
          <w:lang w:val="fr-CA"/>
        </w:rPr>
        <w:t>Avec égards, je suis d’avis que c’est l’approche qu’a adoptée la juge Abella en l’espèce. Selon elle, le résultat est raisonnable parce que la plainte du Dr Lukács</w:t>
      </w:r>
      <w:r>
        <w:rPr>
          <w:rStyle w:val="Italic"/>
          <w:rFonts w:cs="Times New Roman"/>
          <w:i w:val="0"/>
          <w:lang w:val="fr-CA"/>
        </w:rPr>
        <w:t xml:space="preserve"> ne constitue pas</w:t>
      </w:r>
      <w:r>
        <w:rPr>
          <w:rFonts w:eastAsiaTheme="minorHAnsi" w:cs="Times New Roman"/>
          <w:lang w:val="fr-CA" w:bidi="en-US"/>
        </w:rPr>
        <w:t xml:space="preserve"> « </w:t>
      </w:r>
      <w:r>
        <w:rPr>
          <w:rFonts w:cs="Times New Roman"/>
          <w:lang w:val="fr-CA"/>
        </w:rPr>
        <w:t>un moyen raisonnable et efficace de soumettre la question à l’Office » (par. 64) et parce que le Dr Lukács n’a pas expliqué pourquoi un passager touché n’aurait pas pu présenter sa propre plainte (par. 65). Ces justifications n’ont pas été données par l’Office, pour qui le test relatif à la qualité pour agir dans l’intérêt public exige une plainte qui soulève la constitutionnalité d’une loi ou l’exercice illégal de l’autorité administrative. L’Office a ensuite rejeté la plainte du Dr Lukács pour le seul motif que sa plainte ne soulevait aucun de ces deux éléments. Je ne vois pas comment les justifications de ma collègue peuvent être utilisées pour compléter les motifs de l’Office, à moins de radier la formulation et la justification du test juridique des motifs de l’Office et d’y substituer ces justifications. Dès lors, nous ferions plus que porter une attention respectueuse aux motifs ou les compléter comme il se doit. Nous nous trouverions plutôt à remplacer les motifs de l’Office par ceux de la Cour et à imposer dans les faits à l’Office un test relatif à la qualité pour agir qu’il n’aurait pas lui</w:t>
      </w:r>
      <w:r>
        <w:rPr>
          <w:rFonts w:cs="Times New Roman"/>
          <w:lang w:val="fr-CA"/>
        </w:rPr>
        <w:noBreakHyphen/>
        <w:t>même conçu.</w:t>
      </w:r>
    </w:p>
    <w:p w:rsidR="00332574" w:rsidRDefault="00332574" w:rsidP="00B830F5">
      <w:pPr>
        <w:pStyle w:val="ParaNoNdepar-AltN"/>
        <w:widowControl w:val="0"/>
        <w:rPr>
          <w:rFonts w:cs="Times New Roman"/>
          <w:lang w:val="fr-CA"/>
        </w:rPr>
      </w:pPr>
      <w:r>
        <w:rPr>
          <w:rFonts w:cs="Times New Roman"/>
          <w:lang w:val="fr-CA"/>
        </w:rPr>
        <w:t xml:space="preserve">Cela dit, je conviens avec la juge Abella que la Cour d’appel fédérale s’est méprise en concluant que l’Office ne pouvait pas recourir aux règles relatives à la </w:t>
      </w:r>
      <w:r>
        <w:rPr>
          <w:rFonts w:cs="Times New Roman"/>
          <w:lang w:val="fr-CA"/>
        </w:rPr>
        <w:lastRenderedPageBreak/>
        <w:t xml:space="preserve">qualité pour agir lors de son nouvel examen de l’affaire. La meilleure façon de faire est de renvoyer cette dernière à l’Office pour qu’il l’examine de nouveau dans son ensemble. Dans son ordonnance, la Cour d’appel fédérale a affirmé que l’Office devait examiner l’affaire de nouveau « pour d’autres motifs que la qualité pour agir » : par. 32. Je ne formulerais pas l’ordonnance en termes stricts au point qu’ils excluent la possibilité que l’Office adapte raisonnablement les tests relatifs à la qualité pour agir des tribunaux judiciaires de juridiction civile en tenant compte de son régime législatif. Comme ma collègue le fait remarquer, l’art. 25 de la </w:t>
      </w:r>
      <w:r w:rsidRPr="0029526E">
        <w:rPr>
          <w:rFonts w:cs="Times New Roman"/>
          <w:lang w:val="fr-CA"/>
        </w:rPr>
        <w:t xml:space="preserve">Loi </w:t>
      </w:r>
      <w:r>
        <w:rPr>
          <w:rFonts w:cs="Times New Roman"/>
          <w:lang w:val="fr-CA"/>
        </w:rPr>
        <w:t>confère à l’Office, à toute fin liée à l’exercice de sa compétence, « les attributions d’une cour supérieure » : par. 56. Cette formulation dénote l’intention du législateur qu’il soit fait preuve de retenue à l’égard du processus d’examen des plaintes établi par l’Office.</w:t>
      </w:r>
    </w:p>
    <w:p w:rsidR="00332574" w:rsidRDefault="00332574" w:rsidP="00B830F5">
      <w:pPr>
        <w:pStyle w:val="ParaNoNdepar-AltN"/>
        <w:widowControl w:val="0"/>
        <w:rPr>
          <w:rFonts w:cs="Times New Roman"/>
          <w:lang w:val="fr-CA"/>
        </w:rPr>
      </w:pPr>
      <w:r>
        <w:rPr>
          <w:rFonts w:cs="Times New Roman"/>
          <w:lang w:val="fr-CA"/>
        </w:rPr>
        <w:t xml:space="preserve">Bien entendu, l’Office pourrait exercer le pouvoir discrétionnaire que lui confère l’art. 37 de la </w:t>
      </w:r>
      <w:r w:rsidRPr="0029526E">
        <w:rPr>
          <w:rFonts w:cs="Times New Roman"/>
          <w:lang w:val="fr-CA"/>
        </w:rPr>
        <w:t xml:space="preserve">Loi </w:t>
      </w:r>
      <w:r>
        <w:rPr>
          <w:rFonts w:cs="Times New Roman"/>
          <w:lang w:val="fr-CA"/>
        </w:rPr>
        <w:t xml:space="preserve">de nombreuses autres façons, notamment en examinant la question de savoir si la plainte a été portée de bonne foi, si elle est opportune, vexatoire, redondante ou conforme à la charge de travail de l’Office et à </w:t>
      </w:r>
      <w:r w:rsidR="002528C8">
        <w:rPr>
          <w:rFonts w:cs="Times New Roman"/>
          <w:lang w:val="fr-CA"/>
        </w:rPr>
        <w:t>s</w:t>
      </w:r>
      <w:r>
        <w:rPr>
          <w:rFonts w:cs="Times New Roman"/>
          <w:lang w:val="fr-CA"/>
        </w:rPr>
        <w:t>a hiérarchisation des dossiers. L’Office pourrait aussi se demander si la plainte soulève une question sérieuse à juger ou, comme l’a fait la juge Abella, si la plainte est fondée sur une preuve suffisante. Il n’appartient pas à la Cour de dire à l’Office laquelle de ces méthodes est préférable. La déférence requiert que nous laissions l’Office décider lui</w:t>
      </w:r>
      <w:r>
        <w:rPr>
          <w:rFonts w:cs="Times New Roman"/>
          <w:lang w:val="fr-CA"/>
        </w:rPr>
        <w:noBreakHyphen/>
        <w:t>même comment exercer son pouvoir discrétionnaire, pourvu qu’il le fasse de manière raisonnable.</w:t>
      </w:r>
    </w:p>
    <w:p w:rsidR="00332574" w:rsidRDefault="00332574" w:rsidP="00B830F5">
      <w:pPr>
        <w:pStyle w:val="Title1LevelTitre1Niveau-AltL"/>
        <w:widowControl w:val="0"/>
        <w:rPr>
          <w:rFonts w:cs="Times New Roman"/>
          <w:lang w:val="fr-CA"/>
        </w:rPr>
      </w:pPr>
      <w:r>
        <w:rPr>
          <w:rFonts w:cs="Times New Roman"/>
          <w:lang w:val="fr-CA"/>
        </w:rPr>
        <w:t>Conclusion</w:t>
      </w:r>
    </w:p>
    <w:p w:rsidR="00332574" w:rsidRDefault="00332574" w:rsidP="00B830F5">
      <w:pPr>
        <w:pStyle w:val="ParaNoNdepar-AltN"/>
        <w:widowControl w:val="0"/>
        <w:rPr>
          <w:rFonts w:cs="Times New Roman"/>
          <w:lang w:val="fr-CA"/>
        </w:rPr>
      </w:pPr>
      <w:r>
        <w:rPr>
          <w:rFonts w:cs="Times New Roman"/>
          <w:lang w:val="fr-CA"/>
        </w:rPr>
        <w:t xml:space="preserve">Je suis d’avis d’accueillir le pourvoi en partie pour modifier l’ordonnance </w:t>
      </w:r>
      <w:r>
        <w:rPr>
          <w:rFonts w:cs="Times New Roman"/>
          <w:lang w:val="fr-CA"/>
        </w:rPr>
        <w:lastRenderedPageBreak/>
        <w:t>de la Cour d’appel fédérale avec dépens pour l’intimé. L’affaire devrait être renvoyée à l’Office pour qu’il l’examine de nouveau dans son ensemble, que ce soit sur le fondement de la qualité pour agir ou autrement.</w:t>
      </w:r>
    </w:p>
    <w:p w:rsidR="00332574" w:rsidRPr="00296170" w:rsidRDefault="00296170" w:rsidP="00B830F5">
      <w:pPr>
        <w:pStyle w:val="ParaNoNdepar-AltN"/>
        <w:widowControl w:val="0"/>
        <w:numPr>
          <w:ilvl w:val="0"/>
          <w:numId w:val="0"/>
        </w:numPr>
        <w:tabs>
          <w:tab w:val="left" w:pos="1166"/>
        </w:tabs>
        <w:rPr>
          <w:rFonts w:cs="Times New Roman"/>
          <w:lang w:val="fr-CA"/>
        </w:rPr>
      </w:pPr>
      <w:r>
        <w:rPr>
          <w:rFonts w:cs="Times New Roman"/>
          <w:lang w:val="fr-CA"/>
        </w:rPr>
        <w:tab/>
      </w:r>
      <w:r w:rsidR="00332574" w:rsidRPr="00296170">
        <w:rPr>
          <w:rFonts w:cs="Times New Roman"/>
          <w:lang w:val="fr-CA"/>
        </w:rPr>
        <w:t xml:space="preserve">Version française des motifs des juges Abella, Moldaver et Karakatsanis rendus par </w:t>
      </w:r>
    </w:p>
    <w:p w:rsidR="00332574" w:rsidRDefault="00332574" w:rsidP="00B830F5">
      <w:pPr>
        <w:pStyle w:val="JudgeJuge"/>
        <w:widowControl w:val="0"/>
        <w:spacing w:before="480"/>
        <w:rPr>
          <w:lang w:val="fr-CA"/>
        </w:rPr>
      </w:pPr>
      <w:r>
        <w:rPr>
          <w:lang w:val="fr-CA"/>
        </w:rPr>
        <w:tab/>
        <w:t xml:space="preserve">La juge Abella </w:t>
      </w:r>
      <w:r w:rsidR="00296170">
        <w:rPr>
          <w:smallCaps w:val="0"/>
          <w:lang w:val="fr-CA"/>
        </w:rPr>
        <w:t xml:space="preserve">(dissidente) </w:t>
      </w:r>
      <w:r>
        <w:rPr>
          <w:lang w:val="fr-CA"/>
        </w:rPr>
        <w:t xml:space="preserve">— </w:t>
      </w:r>
    </w:p>
    <w:p w:rsidR="00332574" w:rsidRDefault="00332574" w:rsidP="00B830F5">
      <w:pPr>
        <w:pStyle w:val="TitleTitre-AltT"/>
        <w:widowControl w:val="0"/>
        <w:rPr>
          <w:rFonts w:cs="Times New Roman"/>
          <w:u w:val="single"/>
          <w:lang w:val="fr-CA"/>
        </w:rPr>
      </w:pPr>
      <w:r>
        <w:rPr>
          <w:rFonts w:cs="Times New Roman"/>
          <w:u w:val="single"/>
          <w:lang w:val="fr-CA"/>
        </w:rPr>
        <w:t>Introduction</w:t>
      </w:r>
    </w:p>
    <w:p w:rsidR="00332574" w:rsidRDefault="00332574" w:rsidP="00B830F5">
      <w:pPr>
        <w:pStyle w:val="ParaNoNdepar-AltN"/>
        <w:widowControl w:val="0"/>
        <w:numPr>
          <w:ilvl w:val="0"/>
          <w:numId w:val="3"/>
        </w:numPr>
        <w:rPr>
          <w:b/>
          <w:u w:val="single"/>
          <w:lang w:val="fr-CA"/>
        </w:rPr>
      </w:pPr>
      <w:r>
        <w:rPr>
          <w:lang w:val="fr-CA"/>
        </w:rPr>
        <w:t>Gábor Lukács, un mathématicien qui se décrit comme un [</w:t>
      </w:r>
      <w:r>
        <w:rPr>
          <w:smallCaps/>
          <w:lang w:val="fr-CA"/>
        </w:rPr>
        <w:t>traduction</w:t>
      </w:r>
      <w:r>
        <w:rPr>
          <w:lang w:val="fr-CA"/>
        </w:rPr>
        <w:t>] « </w:t>
      </w:r>
      <w:r>
        <w:rPr>
          <w:lang w:val="fr-CA" w:bidi="en-US"/>
        </w:rPr>
        <w:t>défenseur des droits des passagers du transport aérien »</w:t>
      </w:r>
      <w:r>
        <w:rPr>
          <w:lang w:val="fr-CA"/>
        </w:rPr>
        <w:t xml:space="preserve">, a déposé une plainte auprès de l’Office des transports du Canada dans laquelle il a fait valoir que les pratiques de Delta Air Lines Inc. relatives aux personnes « de grande taille » étaient contraires à une disposition relative aux tarifs du </w:t>
      </w:r>
      <w:r>
        <w:rPr>
          <w:i/>
          <w:lang w:val="fr-CA"/>
        </w:rPr>
        <w:t>Règlement sur les transports aériens</w:t>
      </w:r>
      <w:r w:rsidR="00BB7045">
        <w:rPr>
          <w:lang w:val="fr-CA"/>
        </w:rPr>
        <w:t>, DORS/88-</w:t>
      </w:r>
      <w:r>
        <w:rPr>
          <w:lang w:val="fr-CA"/>
        </w:rPr>
        <w:t xml:space="preserve">58. </w:t>
      </w:r>
    </w:p>
    <w:p w:rsidR="00332574" w:rsidRDefault="00332574" w:rsidP="00B830F5">
      <w:pPr>
        <w:pStyle w:val="ParaNoNdepar-AltN"/>
        <w:widowControl w:val="0"/>
        <w:numPr>
          <w:ilvl w:val="0"/>
          <w:numId w:val="3"/>
        </w:numPr>
        <w:rPr>
          <w:rFonts w:cs="Times New Roman"/>
          <w:b/>
          <w:u w:val="single"/>
          <w:lang w:val="fr-CA"/>
        </w:rPr>
      </w:pPr>
      <w:r>
        <w:rPr>
          <w:rFonts w:cs="Times New Roman"/>
          <w:lang w:val="fr-CA"/>
        </w:rPr>
        <w:t>La plainte de M. Lukács s’appuyait sur un courriel au sujet d’un passager qui avait dit à Delta que la taille d’un autre passager l’avait incommodé. Delta a présenté ses excuses à ce passager pour l’inconfort subi et lui a expliqué que, en vertu de ses lignes directrices, les passagers [</w:t>
      </w:r>
      <w:r>
        <w:rPr>
          <w:rFonts w:cs="Times New Roman"/>
          <w:smallCaps/>
          <w:lang w:val="fr-CA"/>
        </w:rPr>
        <w:t>traduction</w:t>
      </w:r>
      <w:r>
        <w:rPr>
          <w:rFonts w:cs="Times New Roman"/>
          <w:lang w:val="fr-CA"/>
        </w:rPr>
        <w:t>] « de grande taille » étaient invités à se déplacer à un endroit de l’avion offrant plus d’espace ou, si l’avion était plein, à prendre un vol ultérieur s’ils le souhaitaient. Le passager incommodé n’a pas déposé de plainte auprès de l’Office. M. Lukács l’a fait</w:t>
      </w:r>
      <w:r>
        <w:rPr>
          <w:rFonts w:cs="Times New Roman"/>
          <w:szCs w:val="24"/>
          <w:lang w:val="fr-CA"/>
        </w:rPr>
        <w:t>.</w:t>
      </w:r>
    </w:p>
    <w:p w:rsidR="00332574" w:rsidRDefault="00332574" w:rsidP="00B830F5">
      <w:pPr>
        <w:pStyle w:val="ParaNoNdepar-AltN"/>
        <w:widowControl w:val="0"/>
        <w:numPr>
          <w:ilvl w:val="0"/>
          <w:numId w:val="3"/>
        </w:numPr>
        <w:rPr>
          <w:rFonts w:cs="Times New Roman"/>
          <w:lang w:val="fr-CA"/>
        </w:rPr>
      </w:pPr>
      <w:r>
        <w:rPr>
          <w:rFonts w:cs="Times New Roman"/>
          <w:szCs w:val="24"/>
          <w:lang w:val="fr-CA"/>
        </w:rPr>
        <w:lastRenderedPageBreak/>
        <w:t>M. </w:t>
      </w:r>
      <w:r>
        <w:rPr>
          <w:rFonts w:cs="Times New Roman"/>
          <w:lang w:val="fr-CA"/>
        </w:rPr>
        <w:t>Lukács n’a pas présenté une plainte relative à une déficience</w:t>
      </w:r>
      <w:r w:rsidRPr="00980F77">
        <w:rPr>
          <w:rStyle w:val="Hyperlink"/>
          <w:u w:val="none"/>
          <w:vertAlign w:val="superscript"/>
        </w:rPr>
        <w:footnoteReference w:id="1"/>
      </w:r>
      <w:r>
        <w:rPr>
          <w:rFonts w:cs="Times New Roman"/>
          <w:lang w:val="fr-CA"/>
        </w:rPr>
        <w:t xml:space="preserve">. Il a plutôt choisi de présenter une plainte relative au tarif en vertu du par. 111(2) du </w:t>
      </w:r>
      <w:r>
        <w:rPr>
          <w:rFonts w:cs="Times New Roman"/>
          <w:i/>
          <w:lang w:val="fr-CA"/>
        </w:rPr>
        <w:t>Règlement</w:t>
      </w:r>
      <w:r>
        <w:rPr>
          <w:rFonts w:cs="Times New Roman"/>
          <w:lang w:val="fr-CA"/>
        </w:rPr>
        <w:t xml:space="preserve"> qui prévoit ce qui suit :</w:t>
      </w:r>
    </w:p>
    <w:p w:rsidR="00332574" w:rsidRDefault="00332574" w:rsidP="00B830F5">
      <w:pPr>
        <w:pStyle w:val="Citation-AltC"/>
        <w:widowControl w:val="0"/>
        <w:tabs>
          <w:tab w:val="left" w:pos="1530"/>
        </w:tabs>
        <w:spacing w:after="240"/>
        <w:ind w:left="1168" w:hanging="1168"/>
        <w:rPr>
          <w:lang w:val="fr-CA"/>
        </w:rPr>
      </w:pPr>
      <w:r>
        <w:rPr>
          <w:b/>
          <w:lang w:val="fr-CA"/>
        </w:rPr>
        <w:tab/>
        <w:t>(2)</w:t>
      </w:r>
      <w:r w:rsidR="006D692C">
        <w:rPr>
          <w:lang w:val="fr-CA"/>
        </w:rPr>
        <w:tab/>
      </w:r>
      <w:r>
        <w:rPr>
          <w:lang w:val="fr-CA"/>
        </w:rPr>
        <w:t>En ce qui concerne les taxes et les conditions de transport, il est interdit au transporteur aérien :</w:t>
      </w:r>
    </w:p>
    <w:p w:rsidR="002528C8" w:rsidRDefault="002528C8" w:rsidP="00B830F5">
      <w:pPr>
        <w:pStyle w:val="Citation-AltC"/>
        <w:widowControl w:val="0"/>
        <w:spacing w:after="240"/>
        <w:ind w:left="1168" w:hanging="1168"/>
        <w:rPr>
          <w:lang w:val="fr-CA"/>
        </w:rPr>
      </w:pPr>
    </w:p>
    <w:p w:rsidR="00332574" w:rsidRDefault="002528C8" w:rsidP="00B830F5">
      <w:pPr>
        <w:pStyle w:val="Citation-AltC"/>
        <w:widowControl w:val="0"/>
        <w:ind w:left="1530"/>
        <w:rPr>
          <w:lang w:val="fr-CA"/>
        </w:rPr>
      </w:pPr>
      <w:r w:rsidRPr="006D692C">
        <w:rPr>
          <w:b/>
          <w:lang w:val="fr-CA"/>
        </w:rPr>
        <w:t>a)</w:t>
      </w:r>
      <w:r>
        <w:rPr>
          <w:lang w:val="fr-CA"/>
        </w:rPr>
        <w:t xml:space="preserve"> </w:t>
      </w:r>
      <w:r w:rsidR="00332574">
        <w:rPr>
          <w:lang w:val="fr-CA"/>
        </w:rPr>
        <w:t xml:space="preserve">d’établir </w:t>
      </w:r>
      <w:r w:rsidR="00332574" w:rsidRPr="00970BEC">
        <w:rPr>
          <w:lang w:val="fr-CA"/>
        </w:rPr>
        <w:t>une</w:t>
      </w:r>
      <w:r w:rsidR="00332574">
        <w:rPr>
          <w:lang w:val="fr-CA"/>
        </w:rPr>
        <w:t xml:space="preserve"> distinction injuste à l’endroit de toute personne ou de tout autre transporteur aérien;</w:t>
      </w:r>
    </w:p>
    <w:p w:rsidR="002528C8" w:rsidRDefault="002528C8" w:rsidP="00B830F5">
      <w:pPr>
        <w:pStyle w:val="Citation-AltC"/>
        <w:widowControl w:val="0"/>
        <w:spacing w:after="240"/>
        <w:ind w:left="720"/>
        <w:rPr>
          <w:lang w:val="fr-CA"/>
        </w:rPr>
      </w:pPr>
    </w:p>
    <w:p w:rsidR="00332574" w:rsidRDefault="002528C8" w:rsidP="00B830F5">
      <w:pPr>
        <w:pStyle w:val="Citation-AltC"/>
        <w:widowControl w:val="0"/>
        <w:ind w:left="1530"/>
        <w:rPr>
          <w:lang w:val="fr-CA"/>
        </w:rPr>
      </w:pPr>
      <w:r w:rsidRPr="006D692C">
        <w:rPr>
          <w:b/>
          <w:lang w:val="fr-CA"/>
        </w:rPr>
        <w:t>b)</w:t>
      </w:r>
      <w:r>
        <w:rPr>
          <w:lang w:val="fr-CA"/>
        </w:rPr>
        <w:t xml:space="preserve"> </w:t>
      </w:r>
      <w:r w:rsidR="00332574" w:rsidRPr="002528C8">
        <w:rPr>
          <w:lang w:val="fr-CA"/>
        </w:rPr>
        <w:t>d’accorder</w:t>
      </w:r>
      <w:r w:rsidR="00332574">
        <w:rPr>
          <w:lang w:val="fr-CA"/>
        </w:rPr>
        <w:t xml:space="preserve"> une préférence ou un avantage indu ou déraisonnable, de quelque nature que ce soit, à l’égard ou en faveur d’une personne ou d’un autre transporteur aérien;</w:t>
      </w:r>
    </w:p>
    <w:p w:rsidR="002528C8" w:rsidRDefault="002528C8" w:rsidP="00B830F5">
      <w:pPr>
        <w:pStyle w:val="Citation-AltC"/>
        <w:widowControl w:val="0"/>
        <w:spacing w:after="240"/>
        <w:ind w:left="0"/>
        <w:rPr>
          <w:lang w:val="fr-CA"/>
        </w:rPr>
      </w:pPr>
    </w:p>
    <w:p w:rsidR="00332574" w:rsidRDefault="00332574" w:rsidP="00B830F5">
      <w:pPr>
        <w:pStyle w:val="Citation-AltC"/>
        <w:widowControl w:val="0"/>
        <w:ind w:left="1530"/>
        <w:rPr>
          <w:lang w:val="fr-CA"/>
        </w:rPr>
      </w:pPr>
      <w:r>
        <w:rPr>
          <w:b/>
          <w:lang w:val="fr-CA"/>
        </w:rPr>
        <w:t>c)</w:t>
      </w:r>
      <w:r>
        <w:rPr>
          <w:lang w:val="fr-CA"/>
        </w:rPr>
        <w:t> de soumettre une personne, un autre transporteur aérien ou un genre de trafic à un désavantage ou à un préjudice indu ou déraisonnable de quelque nature que ce soit.</w:t>
      </w:r>
    </w:p>
    <w:p w:rsidR="00332574" w:rsidRDefault="00332574" w:rsidP="00B830F5">
      <w:pPr>
        <w:pStyle w:val="ContinueParaSuitedupar-AltP"/>
        <w:widowControl w:val="0"/>
        <w:rPr>
          <w:rFonts w:cs="Times New Roman"/>
          <w:lang w:val="fr-CA"/>
        </w:rPr>
      </w:pPr>
      <w:r>
        <w:rPr>
          <w:rFonts w:cs="Times New Roman"/>
          <w:lang w:val="fr-CA"/>
        </w:rPr>
        <w:t xml:space="preserve">La plainte de M. Lukács n’était fondée sur aucun fait. Rien ne suggérait non plus qu’il représentait des personnes </w:t>
      </w:r>
      <w:r w:rsidR="001F49D2">
        <w:rPr>
          <w:rFonts w:cs="Times New Roman"/>
          <w:lang w:val="fr-CA"/>
        </w:rPr>
        <w:t>[</w:t>
      </w:r>
      <w:r w:rsidR="001F49D2" w:rsidRPr="001F49D2">
        <w:rPr>
          <w:rFonts w:cs="Times New Roman"/>
          <w:smallCaps/>
          <w:lang w:val="fr-CA"/>
        </w:rPr>
        <w:t>traduction</w:t>
      </w:r>
      <w:r w:rsidR="001F49D2">
        <w:rPr>
          <w:rFonts w:cs="Times New Roman"/>
          <w:lang w:val="fr-CA"/>
        </w:rPr>
        <w:t xml:space="preserve">] </w:t>
      </w:r>
      <w:r>
        <w:rPr>
          <w:rFonts w:cs="Times New Roman"/>
          <w:lang w:val="fr-CA"/>
        </w:rPr>
        <w:t>« de grande taille », ou qu’il parlait en leur nom.</w:t>
      </w:r>
    </w:p>
    <w:p w:rsidR="00332574" w:rsidRDefault="00332574" w:rsidP="00B830F5">
      <w:pPr>
        <w:pStyle w:val="ParaNoNdepar-AltN"/>
        <w:widowControl w:val="0"/>
        <w:numPr>
          <w:ilvl w:val="0"/>
          <w:numId w:val="3"/>
        </w:numPr>
        <w:rPr>
          <w:rFonts w:cs="Times New Roman"/>
          <w:lang w:val="fr-CA"/>
        </w:rPr>
      </w:pPr>
      <w:r>
        <w:rPr>
          <w:rFonts w:cs="Times New Roman"/>
          <w:lang w:val="fr-CA"/>
        </w:rPr>
        <w:t>M. </w:t>
      </w:r>
      <w:r>
        <w:rPr>
          <w:rFonts w:cs="Times New Roman"/>
          <w:szCs w:val="24"/>
          <w:lang w:val="fr-CA"/>
        </w:rPr>
        <w:t xml:space="preserve">Lukács </w:t>
      </w:r>
      <w:r>
        <w:rPr>
          <w:rFonts w:cs="Times New Roman"/>
          <w:lang w:val="fr-CA"/>
        </w:rPr>
        <w:t>a reconnu qu’il ne soulevait pas de questions en matière de déficiences et qu’il ne cherchait pas à obtenir un traitement meilleur ou particulier pour les passagers [</w:t>
      </w:r>
      <w:r>
        <w:rPr>
          <w:rFonts w:cs="Times New Roman"/>
          <w:smallCaps/>
          <w:lang w:val="fr-CA"/>
        </w:rPr>
        <w:t>traduction</w:t>
      </w:r>
      <w:r>
        <w:rPr>
          <w:rFonts w:cs="Times New Roman"/>
          <w:lang w:val="fr-CA"/>
        </w:rPr>
        <w:t>] « de grande taille », puisqu’il reconnaissait que l’imposition de telles politiques à Delta « déborderait le cadre de la présente plainte ». M. </w:t>
      </w:r>
      <w:r>
        <w:rPr>
          <w:rFonts w:cs="Times New Roman"/>
          <w:szCs w:val="24"/>
          <w:lang w:val="fr-CA"/>
        </w:rPr>
        <w:t xml:space="preserve">Lukács cherchait plutôt à </w:t>
      </w:r>
      <w:r>
        <w:rPr>
          <w:rFonts w:cs="Times New Roman"/>
          <w:lang w:val="fr-CA"/>
        </w:rPr>
        <w:t>ce que Delta mette fin à ses pratiques à l’égard des passagers « de grande taille ».</w:t>
      </w:r>
    </w:p>
    <w:p w:rsidR="00332574" w:rsidRDefault="00332574" w:rsidP="00B830F5">
      <w:pPr>
        <w:pStyle w:val="ParaNoNdepar-AltN"/>
        <w:widowControl w:val="0"/>
        <w:numPr>
          <w:ilvl w:val="0"/>
          <w:numId w:val="3"/>
        </w:numPr>
        <w:rPr>
          <w:rFonts w:cs="Times New Roman"/>
          <w:lang w:val="fr-CA"/>
        </w:rPr>
      </w:pPr>
      <w:r>
        <w:rPr>
          <w:rFonts w:cs="Times New Roman"/>
          <w:szCs w:val="24"/>
          <w:lang w:val="fr-CA"/>
        </w:rPr>
        <w:lastRenderedPageBreak/>
        <w:t>L’Office a invité Delta et M. Lukács à déposer des observations sur la question de savoir si ce dernier avait qualité pour agir.</w:t>
      </w:r>
      <w:r>
        <w:rPr>
          <w:rFonts w:cs="Times New Roman"/>
          <w:lang w:val="fr-CA"/>
        </w:rPr>
        <w:t xml:space="preserve"> L’Office a conclu que M. Lukács n’avait qualité pour agir ni dans l’intérêt privé ni dans l’intérêt public. Selon lui, la qualité pour agir dans l’intérêt privé donne priorité à ceux qui ont un </w:t>
      </w:r>
      <w:r>
        <w:rPr>
          <w:rFonts w:cs="Times New Roman"/>
          <w:lang w:val="fr-CA" w:bidi="en-US"/>
        </w:rPr>
        <w:t>intérêt personnel direct dans la question à trancher</w:t>
      </w:r>
      <w:r>
        <w:rPr>
          <w:rFonts w:cs="Times New Roman"/>
          <w:lang w:val="fr-CA"/>
        </w:rPr>
        <w:t xml:space="preserve">, à ceux </w:t>
      </w:r>
      <w:r>
        <w:rPr>
          <w:rFonts w:cs="Times New Roman"/>
          <w:lang w:val="fr-CA" w:bidi="en-US"/>
        </w:rPr>
        <w:t xml:space="preserve">dont les intérêts sont plus touchés que ceux du grand public </w:t>
      </w:r>
      <w:r>
        <w:rPr>
          <w:rFonts w:cs="Times New Roman"/>
          <w:lang w:val="fr-CA"/>
        </w:rPr>
        <w:t>et à ceux qui cherchent à gagner quelque chose de plus que de simplement redresser une injustice. En conséquence, la qualité pour agir dans l’intérêt privé serait établie seulement si un plaignant est</w:t>
      </w:r>
      <w:r>
        <w:rPr>
          <w:rFonts w:cs="Times New Roman"/>
          <w:lang w:val="fr-CA" w:bidi="en-US"/>
        </w:rPr>
        <w:t xml:space="preserve"> « lésé » ou « touché », ou s’il a un autre « intérêt suffisant »</w:t>
      </w:r>
      <w:r w:rsidR="00980F77">
        <w:rPr>
          <w:rFonts w:cs="Times New Roman"/>
          <w:lang w:val="fr-CA"/>
        </w:rPr>
        <w:t xml:space="preserve"> : citant D. P. </w:t>
      </w:r>
      <w:r>
        <w:rPr>
          <w:rFonts w:cs="Times New Roman"/>
          <w:lang w:val="fr-CA"/>
        </w:rPr>
        <w:t xml:space="preserve">Jones et A. S. de Villars, </w:t>
      </w:r>
      <w:r>
        <w:rPr>
          <w:rFonts w:cs="Times New Roman"/>
          <w:i/>
          <w:lang w:val="fr-CA"/>
        </w:rPr>
        <w:t>Principles of Administrative Law</w:t>
      </w:r>
      <w:r>
        <w:rPr>
          <w:rFonts w:cs="Times New Roman"/>
          <w:lang w:val="fr-CA"/>
        </w:rPr>
        <w:t xml:space="preserve"> (5</w:t>
      </w:r>
      <w:r>
        <w:rPr>
          <w:rFonts w:cs="Times New Roman"/>
          <w:vertAlign w:val="superscript"/>
          <w:lang w:val="fr-CA"/>
        </w:rPr>
        <w:t>e</w:t>
      </w:r>
      <w:r>
        <w:rPr>
          <w:rFonts w:cs="Times New Roman"/>
          <w:lang w:val="fr-CA"/>
        </w:rPr>
        <w:t xml:space="preserve"> éd. 2009), p. 646</w:t>
      </w:r>
      <w:r>
        <w:rPr>
          <w:rFonts w:cs="Times New Roman"/>
          <w:lang w:val="fr-CA"/>
        </w:rPr>
        <w:noBreakHyphen/>
        <w:t xml:space="preserve">647. Puisque M. Lukács n’avait présenté aucune preuve selon laquelle il était touché par les lignes directrices de Delta, l’Office a conclu qu’il n’était pas une personne « lésée » ou « touchée », ou ayant un « intérêt suffisant » lui permettant de se voir reconnaître la qualité pour agir dans l’intérêt privé.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M. Lukács a soutenu que le test applicable relatif à la qualité pour agir dans l’intérêt public devrait être celui qui, à son avis, a été utilisé dans la décision de la Cour supérieure de justice de l’Ontario dans </w:t>
      </w:r>
      <w:r>
        <w:rPr>
          <w:rFonts w:cs="Times New Roman"/>
          <w:i/>
          <w:lang w:val="fr-CA"/>
        </w:rPr>
        <w:t>Fraser c. Canada</w:t>
      </w:r>
      <w:r>
        <w:rPr>
          <w:rFonts w:cs="Times New Roman"/>
          <w:lang w:val="fr-CA"/>
        </w:rPr>
        <w:t xml:space="preserve"> </w:t>
      </w:r>
      <w:r w:rsidRPr="00980F77">
        <w:rPr>
          <w:rFonts w:cs="Times New Roman"/>
          <w:i/>
          <w:lang w:val="fr-CA"/>
        </w:rPr>
        <w:t>(</w:t>
      </w:r>
      <w:r>
        <w:rPr>
          <w:rFonts w:cs="Times New Roman"/>
          <w:i/>
          <w:lang w:val="fr-CA"/>
        </w:rPr>
        <w:t>Attorney General</w:t>
      </w:r>
      <w:r w:rsidR="00025394" w:rsidRPr="00980F77">
        <w:rPr>
          <w:rFonts w:cs="Times New Roman"/>
          <w:i/>
          <w:lang w:val="fr-CA"/>
        </w:rPr>
        <w:t>)</w:t>
      </w:r>
      <w:r w:rsidR="00025394">
        <w:rPr>
          <w:rFonts w:cs="Times New Roman"/>
          <w:lang w:val="fr-CA"/>
        </w:rPr>
        <w:t xml:space="preserve"> (2005), 51 Imm. L.</w:t>
      </w:r>
      <w:r>
        <w:rPr>
          <w:rFonts w:cs="Times New Roman"/>
          <w:lang w:val="fr-CA"/>
        </w:rPr>
        <w:t>R. (3d) 101. Il a fait référence aux trois facteurs suivants :</w:t>
      </w:r>
    </w:p>
    <w:p w:rsidR="00332574" w:rsidRDefault="00980F77" w:rsidP="00B830F5">
      <w:pPr>
        <w:pStyle w:val="Citation-AltC"/>
        <w:widowControl w:val="0"/>
        <w:numPr>
          <w:ilvl w:val="6"/>
          <w:numId w:val="3"/>
        </w:numPr>
        <w:tabs>
          <w:tab w:val="left" w:pos="1530"/>
        </w:tabs>
        <w:ind w:left="1530"/>
        <w:rPr>
          <w:lang w:val="fr-CA"/>
        </w:rPr>
      </w:pPr>
      <w:r>
        <w:rPr>
          <w:lang w:val="fr-CA" w:bidi="en-US"/>
        </w:rPr>
        <w:t>Y a</w:t>
      </w:r>
      <w:r w:rsidR="00025394">
        <w:rPr>
          <w:lang w:val="fr-CA"/>
        </w:rPr>
        <w:t>-t-</w:t>
      </w:r>
      <w:r w:rsidR="00332574">
        <w:rPr>
          <w:lang w:val="fr-CA"/>
        </w:rPr>
        <w:t xml:space="preserve">il </w:t>
      </w:r>
      <w:r w:rsidR="00332574" w:rsidRPr="00025394">
        <w:rPr>
          <w:lang w:val="fr-CA"/>
        </w:rPr>
        <w:t>une</w:t>
      </w:r>
      <w:r w:rsidR="00332574">
        <w:rPr>
          <w:lang w:val="fr-CA"/>
        </w:rPr>
        <w:t xml:space="preserve"> </w:t>
      </w:r>
      <w:r w:rsidR="00332574" w:rsidRPr="00025394">
        <w:rPr>
          <w:lang w:val="fr-CA"/>
        </w:rPr>
        <w:t>question</w:t>
      </w:r>
      <w:r w:rsidR="00332574">
        <w:rPr>
          <w:lang w:val="fr-CA"/>
        </w:rPr>
        <w:t xml:space="preserve"> sérieuse à juger?</w:t>
      </w:r>
    </w:p>
    <w:p w:rsidR="00025394" w:rsidRDefault="00025394" w:rsidP="00B830F5">
      <w:pPr>
        <w:pStyle w:val="Citation-AltC"/>
        <w:widowControl w:val="0"/>
        <w:tabs>
          <w:tab w:val="left" w:pos="1530"/>
        </w:tabs>
        <w:ind w:left="2520"/>
        <w:rPr>
          <w:lang w:val="fr-CA"/>
        </w:rPr>
      </w:pPr>
    </w:p>
    <w:p w:rsidR="00332574" w:rsidRDefault="00332574" w:rsidP="00B830F5">
      <w:pPr>
        <w:pStyle w:val="Citation-AltC"/>
        <w:widowControl w:val="0"/>
        <w:numPr>
          <w:ilvl w:val="6"/>
          <w:numId w:val="3"/>
        </w:numPr>
        <w:tabs>
          <w:tab w:val="left" w:pos="1530"/>
        </w:tabs>
        <w:ind w:left="1530"/>
        <w:rPr>
          <w:lang w:val="fr-CA" w:bidi="en-US"/>
        </w:rPr>
      </w:pPr>
      <w:r>
        <w:rPr>
          <w:lang w:val="fr-CA"/>
        </w:rPr>
        <w:t>L</w:t>
      </w:r>
      <w:r>
        <w:rPr>
          <w:lang w:val="fr-CA" w:bidi="en-US"/>
        </w:rPr>
        <w:t>a partie qui demande la qualité pour</w:t>
      </w:r>
      <w:r w:rsidR="00025394">
        <w:rPr>
          <w:lang w:val="fr-CA" w:bidi="en-US"/>
        </w:rPr>
        <w:t xml:space="preserve"> agir dans l’intérêt public a-t-</w:t>
      </w:r>
      <w:r>
        <w:rPr>
          <w:lang w:val="fr-CA" w:bidi="en-US"/>
        </w:rPr>
        <w:t xml:space="preserve">elle un </w:t>
      </w:r>
      <w:r w:rsidRPr="00025394">
        <w:rPr>
          <w:lang w:val="fr-CA"/>
        </w:rPr>
        <w:t>intérêt</w:t>
      </w:r>
      <w:r>
        <w:rPr>
          <w:lang w:val="fr-CA" w:bidi="en-US"/>
        </w:rPr>
        <w:t xml:space="preserve"> </w:t>
      </w:r>
      <w:r w:rsidRPr="00025394">
        <w:rPr>
          <w:lang w:val="fr-CA"/>
        </w:rPr>
        <w:t>véritable</w:t>
      </w:r>
      <w:r>
        <w:rPr>
          <w:lang w:val="fr-CA" w:bidi="en-US"/>
        </w:rPr>
        <w:t xml:space="preserve"> dans </w:t>
      </w:r>
      <w:r w:rsidR="00980F77">
        <w:rPr>
          <w:lang w:val="fr-CA" w:bidi="en-US"/>
        </w:rPr>
        <w:t xml:space="preserve">cette </w:t>
      </w:r>
      <w:r>
        <w:rPr>
          <w:lang w:val="fr-CA" w:bidi="en-US"/>
        </w:rPr>
        <w:t>affaire?</w:t>
      </w:r>
    </w:p>
    <w:p w:rsidR="00025394" w:rsidRDefault="00025394" w:rsidP="00B830F5">
      <w:pPr>
        <w:pStyle w:val="Citation-AltC"/>
        <w:widowControl w:val="0"/>
        <w:tabs>
          <w:tab w:val="left" w:pos="1530"/>
        </w:tabs>
        <w:ind w:left="2520"/>
        <w:rPr>
          <w:lang w:val="fr-CA" w:bidi="en-US"/>
        </w:rPr>
      </w:pPr>
    </w:p>
    <w:p w:rsidR="00332574" w:rsidRDefault="00332574" w:rsidP="00B830F5">
      <w:pPr>
        <w:pStyle w:val="Citation-AltC"/>
        <w:widowControl w:val="0"/>
        <w:numPr>
          <w:ilvl w:val="6"/>
          <w:numId w:val="3"/>
        </w:numPr>
        <w:tabs>
          <w:tab w:val="left" w:pos="1530"/>
        </w:tabs>
        <w:ind w:left="1530"/>
        <w:rPr>
          <w:lang w:val="fr-CA"/>
        </w:rPr>
      </w:pPr>
      <w:r>
        <w:rPr>
          <w:lang w:val="fr-CA"/>
        </w:rPr>
        <w:t xml:space="preserve">Une </w:t>
      </w:r>
      <w:r>
        <w:rPr>
          <w:lang w:val="fr-CA" w:bidi="en-US"/>
        </w:rPr>
        <w:t>instance</w:t>
      </w:r>
      <w:r>
        <w:rPr>
          <w:lang w:val="fr-CA"/>
        </w:rPr>
        <w:t xml:space="preserve"> constitue</w:t>
      </w:r>
      <w:r>
        <w:rPr>
          <w:lang w:val="fr-CA"/>
        </w:rPr>
        <w:noBreakHyphen/>
        <w:t>t</w:t>
      </w:r>
      <w:r>
        <w:rPr>
          <w:lang w:val="fr-CA"/>
        </w:rPr>
        <w:noBreakHyphen/>
        <w:t>elle une manière</w:t>
      </w:r>
      <w:r>
        <w:rPr>
          <w:lang w:val="fr-CA" w:bidi="en-US"/>
        </w:rPr>
        <w:t xml:space="preserve"> raisonnable et efficace de soumettre la </w:t>
      </w:r>
      <w:r w:rsidRPr="00025394">
        <w:rPr>
          <w:lang w:val="fr-CA"/>
        </w:rPr>
        <w:t>question</w:t>
      </w:r>
      <w:r>
        <w:rPr>
          <w:lang w:val="fr-CA" w:bidi="en-US"/>
        </w:rPr>
        <w:t xml:space="preserve"> à la cour</w:t>
      </w:r>
      <w:r>
        <w:rPr>
          <w:lang w:val="fr-CA"/>
        </w:rPr>
        <w:t xml:space="preserve"> (ou au tribunal)?</w:t>
      </w:r>
    </w:p>
    <w:p w:rsidR="00025394" w:rsidRDefault="00025394" w:rsidP="00B830F5">
      <w:pPr>
        <w:pStyle w:val="Citation-AltC"/>
        <w:widowControl w:val="0"/>
        <w:tabs>
          <w:tab w:val="left" w:pos="1530"/>
        </w:tabs>
        <w:ind w:left="0"/>
        <w:rPr>
          <w:lang w:val="fr-CA"/>
        </w:rPr>
      </w:pPr>
    </w:p>
    <w:p w:rsidR="00332574" w:rsidRDefault="00332574" w:rsidP="00B830F5">
      <w:pPr>
        <w:pStyle w:val="Citation-AltC"/>
        <w:widowControl w:val="0"/>
        <w:ind w:left="0"/>
        <w:rPr>
          <w:lang w:val="fr-CA"/>
        </w:rPr>
      </w:pPr>
      <w:r>
        <w:rPr>
          <w:lang w:val="fr-CA"/>
        </w:rPr>
        <w:t xml:space="preserve">(Office </w:t>
      </w:r>
      <w:r>
        <w:rPr>
          <w:lang w:val="fr-CA" w:bidi="en-US"/>
        </w:rPr>
        <w:t>des</w:t>
      </w:r>
      <w:r>
        <w:rPr>
          <w:lang w:val="fr-CA"/>
        </w:rPr>
        <w:t xml:space="preserve"> transports du Canada, décision n</w:t>
      </w:r>
      <w:r>
        <w:rPr>
          <w:vertAlign w:val="superscript"/>
          <w:lang w:val="fr-CA"/>
        </w:rPr>
        <w:t>o</w:t>
      </w:r>
      <w:r w:rsidR="00025394">
        <w:rPr>
          <w:lang w:val="fr-CA"/>
        </w:rPr>
        <w:t> 425-C-A-</w:t>
      </w:r>
      <w:r>
        <w:rPr>
          <w:lang w:val="fr-CA"/>
        </w:rPr>
        <w:t>2014, 25 novembre 2014, par. 66)</w:t>
      </w:r>
    </w:p>
    <w:p w:rsidR="00332574" w:rsidRDefault="00332574" w:rsidP="00B830F5">
      <w:pPr>
        <w:pStyle w:val="ParaNoNdepar-AltN"/>
        <w:widowControl w:val="0"/>
        <w:numPr>
          <w:ilvl w:val="0"/>
          <w:numId w:val="3"/>
        </w:numPr>
        <w:rPr>
          <w:rFonts w:cs="Times New Roman"/>
          <w:lang w:val="fr-CA"/>
        </w:rPr>
      </w:pPr>
      <w:r>
        <w:rPr>
          <w:rFonts w:cs="Times New Roman"/>
          <w:lang w:val="fr-CA"/>
        </w:rPr>
        <w:lastRenderedPageBreak/>
        <w:t xml:space="preserve">L’Office, qui fait remarquer que, dans </w:t>
      </w:r>
      <w:r>
        <w:rPr>
          <w:rFonts w:cs="Times New Roman"/>
          <w:i/>
          <w:lang w:val="fr-CA"/>
        </w:rPr>
        <w:t>Fraser</w:t>
      </w:r>
      <w:r>
        <w:rPr>
          <w:rFonts w:cs="Times New Roman"/>
          <w:lang w:val="fr-CA"/>
        </w:rPr>
        <w:t>, la Cour supérieure de justice de l’Ontario a, en fait, formulé différemment le deuxième facteur — [</w:t>
      </w:r>
      <w:r>
        <w:rPr>
          <w:rFonts w:cs="Times New Roman"/>
          <w:smallCaps/>
          <w:lang w:val="fr-CA"/>
        </w:rPr>
        <w:t>traduction</w:t>
      </w:r>
      <w:r>
        <w:rPr>
          <w:rFonts w:cs="Times New Roman"/>
          <w:lang w:val="fr-CA"/>
        </w:rPr>
        <w:t>] « Les TUAC ont</w:t>
      </w:r>
      <w:r>
        <w:rPr>
          <w:rFonts w:cs="Times New Roman"/>
          <w:lang w:val="fr-CA"/>
        </w:rPr>
        <w:noBreakHyphen/>
        <w:t xml:space="preserve">ils un intérêt véritable </w:t>
      </w:r>
      <w:r>
        <w:rPr>
          <w:rFonts w:cs="Times New Roman"/>
          <w:i/>
          <w:lang w:val="fr-CA"/>
        </w:rPr>
        <w:t>quant à la validité de la loi</w:t>
      </w:r>
      <w:r>
        <w:rPr>
          <w:rFonts w:cs="Times New Roman"/>
          <w:lang w:val="fr-CA"/>
        </w:rPr>
        <w:t>? » (italique</w:t>
      </w:r>
      <w:r w:rsidR="00241E9D">
        <w:rPr>
          <w:rFonts w:cs="Times New Roman"/>
          <w:lang w:val="fr-CA"/>
        </w:rPr>
        <w:t>s</w:t>
      </w:r>
      <w:r>
        <w:rPr>
          <w:rFonts w:cs="Times New Roman"/>
          <w:lang w:val="fr-CA"/>
        </w:rPr>
        <w:t xml:space="preserve"> ajouté</w:t>
      </w:r>
      <w:r w:rsidR="00241E9D">
        <w:rPr>
          <w:rFonts w:cs="Times New Roman"/>
          <w:lang w:val="fr-CA"/>
        </w:rPr>
        <w:t>s</w:t>
      </w:r>
      <w:r>
        <w:rPr>
          <w:rFonts w:cs="Times New Roman"/>
          <w:lang w:val="fr-CA"/>
        </w:rPr>
        <w:t xml:space="preserve">) —, a finalement décidé de ne pas appliquer le test proposé par M. Lukács et a plutôt adopté le cadre d’analyse en trois volets élaboré par la Cour dans les arrêts </w:t>
      </w:r>
      <w:r>
        <w:rPr>
          <w:rFonts w:cs="Times New Roman"/>
          <w:i/>
          <w:lang w:val="fr-CA"/>
        </w:rPr>
        <w:t>Thorson</w:t>
      </w:r>
      <w:r>
        <w:rPr>
          <w:rFonts w:cs="Times New Roman"/>
          <w:lang w:val="fr-CA"/>
        </w:rPr>
        <w:t xml:space="preserve">, </w:t>
      </w:r>
      <w:r>
        <w:rPr>
          <w:rFonts w:cs="Times New Roman"/>
          <w:i/>
          <w:lang w:val="fr-CA"/>
        </w:rPr>
        <w:t>McNeil</w:t>
      </w:r>
      <w:r>
        <w:rPr>
          <w:rFonts w:cs="Times New Roman"/>
          <w:lang w:val="fr-CA"/>
        </w:rPr>
        <w:t xml:space="preserve">, </w:t>
      </w:r>
      <w:r>
        <w:rPr>
          <w:rFonts w:cs="Times New Roman"/>
          <w:i/>
          <w:lang w:val="fr-CA"/>
        </w:rPr>
        <w:t>Borowski</w:t>
      </w:r>
      <w:r>
        <w:rPr>
          <w:rFonts w:cs="Times New Roman"/>
          <w:lang w:val="fr-CA"/>
        </w:rPr>
        <w:t>,</w:t>
      </w:r>
      <w:r>
        <w:rPr>
          <w:rFonts w:cs="Times New Roman"/>
          <w:i/>
          <w:lang w:val="fr-CA"/>
        </w:rPr>
        <w:t xml:space="preserve"> Finlay</w:t>
      </w:r>
      <w:r>
        <w:rPr>
          <w:rFonts w:cs="Times New Roman"/>
          <w:lang w:val="fr-CA"/>
        </w:rPr>
        <w:t>,</w:t>
      </w:r>
      <w:r>
        <w:rPr>
          <w:rFonts w:cs="Times New Roman"/>
          <w:i/>
          <w:lang w:val="fr-CA"/>
        </w:rPr>
        <w:t xml:space="preserve"> Conseil canadien des Églises </w:t>
      </w:r>
      <w:r>
        <w:rPr>
          <w:rFonts w:cs="Times New Roman"/>
          <w:lang w:val="fr-CA"/>
        </w:rPr>
        <w:t>et</w:t>
      </w:r>
      <w:r>
        <w:rPr>
          <w:rFonts w:cs="Times New Roman"/>
          <w:i/>
          <w:lang w:val="fr-CA"/>
        </w:rPr>
        <w:t xml:space="preserve"> Downtown Eastside</w:t>
      </w:r>
      <w:r w:rsidRPr="006D0A70">
        <w:rPr>
          <w:rStyle w:val="Hyperlink"/>
          <w:u w:val="none"/>
          <w:vertAlign w:val="superscript"/>
        </w:rPr>
        <w:footnoteReference w:id="2"/>
      </w:r>
      <w:r>
        <w:rPr>
          <w:rFonts w:cs="Times New Roman"/>
          <w:lang w:val="fr-CA"/>
        </w:rPr>
        <w:t xml:space="preserve">, soit, en fait, le test appliqué dans </w:t>
      </w:r>
      <w:r>
        <w:rPr>
          <w:rFonts w:cs="Times New Roman"/>
          <w:i/>
          <w:lang w:val="fr-CA"/>
        </w:rPr>
        <w:t>Fraser</w:t>
      </w:r>
      <w:r>
        <w:rPr>
          <w:rFonts w:cs="Times New Roman"/>
          <w:lang w:val="fr-CA"/>
        </w:rPr>
        <w:t xml:space="preserve">. On peut résumer ainsi ce cadre d’analyse : </w:t>
      </w:r>
    </w:p>
    <w:p w:rsidR="004043FC" w:rsidRDefault="004043FC" w:rsidP="00B830F5">
      <w:pPr>
        <w:pStyle w:val="Citation-AltC"/>
        <w:widowControl w:val="0"/>
        <w:tabs>
          <w:tab w:val="left" w:pos="360"/>
        </w:tabs>
        <w:spacing w:line="480" w:lineRule="auto"/>
        <w:ind w:left="0"/>
        <w:rPr>
          <w:lang w:val="fr-CA"/>
        </w:rPr>
      </w:pPr>
      <w:r>
        <w:rPr>
          <w:lang w:val="fr-CA"/>
        </w:rPr>
        <w:t>1.</w:t>
      </w:r>
      <w:r>
        <w:rPr>
          <w:lang w:val="fr-CA"/>
        </w:rPr>
        <w:tab/>
      </w:r>
      <w:r w:rsidR="00332574">
        <w:rPr>
          <w:lang w:val="fr-CA" w:bidi="en-US"/>
        </w:rPr>
        <w:t xml:space="preserve">Une question </w:t>
      </w:r>
      <w:r w:rsidR="00332574" w:rsidRPr="004043FC">
        <w:rPr>
          <w:lang w:val="fr-CA"/>
        </w:rPr>
        <w:t>justiciable</w:t>
      </w:r>
      <w:r w:rsidR="00332574">
        <w:rPr>
          <w:lang w:val="fr-CA" w:bidi="en-US"/>
        </w:rPr>
        <w:t xml:space="preserve"> sérieuse se pose</w:t>
      </w:r>
      <w:r w:rsidR="00332574">
        <w:rPr>
          <w:lang w:val="fr-CA" w:bidi="en-US"/>
        </w:rPr>
        <w:noBreakHyphen/>
        <w:t>t</w:t>
      </w:r>
      <w:r w:rsidR="00332574">
        <w:rPr>
          <w:lang w:val="fr-CA" w:bidi="en-US"/>
        </w:rPr>
        <w:noBreakHyphen/>
        <w:t>elle quant à la validité de la loi (ou</w:t>
      </w:r>
      <w:r>
        <w:rPr>
          <w:lang w:val="fr-CA" w:bidi="en-US"/>
        </w:rPr>
        <w:t xml:space="preserve"> à</w:t>
      </w:r>
      <w:r w:rsidR="00332574">
        <w:rPr>
          <w:lang w:val="fr-CA" w:bidi="en-US"/>
        </w:rPr>
        <w:t xml:space="preserve"> la légalité des actes administratifs)</w:t>
      </w:r>
      <w:r w:rsidR="00332574">
        <w:rPr>
          <w:lang w:val="fr-CA"/>
        </w:rPr>
        <w:t>?</w:t>
      </w:r>
    </w:p>
    <w:p w:rsidR="004043FC" w:rsidRDefault="004043FC" w:rsidP="00B830F5">
      <w:pPr>
        <w:pStyle w:val="Citation-AltC"/>
        <w:widowControl w:val="0"/>
        <w:tabs>
          <w:tab w:val="left" w:pos="360"/>
        </w:tabs>
        <w:spacing w:line="480" w:lineRule="auto"/>
        <w:ind w:left="0"/>
        <w:rPr>
          <w:lang w:val="fr-CA"/>
        </w:rPr>
      </w:pPr>
    </w:p>
    <w:p w:rsidR="00332574" w:rsidRDefault="004043FC" w:rsidP="00B830F5">
      <w:pPr>
        <w:pStyle w:val="Citation-AltC"/>
        <w:widowControl w:val="0"/>
        <w:tabs>
          <w:tab w:val="left" w:pos="360"/>
        </w:tabs>
        <w:spacing w:line="480" w:lineRule="auto"/>
        <w:ind w:left="0"/>
        <w:rPr>
          <w:lang w:val="fr-CA"/>
        </w:rPr>
      </w:pPr>
      <w:r>
        <w:rPr>
          <w:lang w:val="fr-CA"/>
        </w:rPr>
        <w:t xml:space="preserve">2. </w:t>
      </w:r>
      <w:r>
        <w:rPr>
          <w:lang w:val="fr-CA"/>
        </w:rPr>
        <w:tab/>
      </w:r>
      <w:r w:rsidR="00332574">
        <w:rPr>
          <w:lang w:val="fr-CA"/>
        </w:rPr>
        <w:t>L</w:t>
      </w:r>
      <w:r w:rsidR="00332574">
        <w:rPr>
          <w:lang w:val="fr-CA" w:bidi="en-US"/>
        </w:rPr>
        <w:t>a partie qui demande qualité pour agir dans l’intérêt public est</w:t>
      </w:r>
      <w:r w:rsidR="00332574">
        <w:rPr>
          <w:lang w:val="fr-CA" w:bidi="en-US"/>
        </w:rPr>
        <w:noBreakHyphen/>
        <w:t xml:space="preserve">elle touchée </w:t>
      </w:r>
      <w:r w:rsidR="00332574" w:rsidRPr="004043FC">
        <w:rPr>
          <w:lang w:val="fr-CA"/>
        </w:rPr>
        <w:t>directement</w:t>
      </w:r>
      <w:r w:rsidR="00E42F78">
        <w:rPr>
          <w:lang w:val="fr-CA" w:bidi="en-US"/>
        </w:rPr>
        <w:t xml:space="preserve"> par la loi, ou a-t-</w:t>
      </w:r>
      <w:r w:rsidR="00332574">
        <w:rPr>
          <w:lang w:val="fr-CA" w:bidi="en-US"/>
        </w:rPr>
        <w:t>elle, à titre de citoyen, un intérêt véritable quant à la validité de la loi</w:t>
      </w:r>
      <w:r w:rsidR="00332574">
        <w:rPr>
          <w:lang w:val="fr-CA"/>
        </w:rPr>
        <w:t>?</w:t>
      </w:r>
    </w:p>
    <w:p w:rsidR="004043FC" w:rsidRDefault="004043FC" w:rsidP="00B830F5">
      <w:pPr>
        <w:pStyle w:val="Citation-AltC"/>
        <w:widowControl w:val="0"/>
        <w:tabs>
          <w:tab w:val="left" w:pos="360"/>
        </w:tabs>
        <w:spacing w:line="480" w:lineRule="auto"/>
        <w:ind w:left="0"/>
        <w:rPr>
          <w:lang w:val="fr-CA"/>
        </w:rPr>
      </w:pPr>
    </w:p>
    <w:p w:rsidR="00332574" w:rsidRDefault="004043FC" w:rsidP="00B830F5">
      <w:pPr>
        <w:pStyle w:val="Citation-AltC"/>
        <w:widowControl w:val="0"/>
        <w:tabs>
          <w:tab w:val="left" w:pos="360"/>
        </w:tabs>
        <w:spacing w:line="480" w:lineRule="auto"/>
        <w:ind w:left="0"/>
        <w:rPr>
          <w:lang w:val="fr-CA"/>
        </w:rPr>
      </w:pPr>
      <w:r>
        <w:rPr>
          <w:lang w:val="fr-CA"/>
        </w:rPr>
        <w:t xml:space="preserve">3. </w:t>
      </w:r>
      <w:r>
        <w:rPr>
          <w:lang w:val="fr-CA"/>
        </w:rPr>
        <w:tab/>
      </w:r>
      <w:r w:rsidR="00332574">
        <w:rPr>
          <w:lang w:val="fr-CA"/>
        </w:rPr>
        <w:t>La poursuite proposée est</w:t>
      </w:r>
      <w:r w:rsidR="00332574">
        <w:rPr>
          <w:lang w:val="fr-CA"/>
        </w:rPr>
        <w:noBreakHyphen/>
        <w:t>elle, dans toutes les circonstances, un moyen</w:t>
      </w:r>
      <w:r w:rsidR="00332574">
        <w:rPr>
          <w:lang w:val="fr-CA" w:bidi="en-US"/>
        </w:rPr>
        <w:t xml:space="preserve"> raisonnable et efficace de soumettre la question à la cour</w:t>
      </w:r>
      <w:r w:rsidR="00332574">
        <w:rPr>
          <w:lang w:val="fr-CA"/>
        </w:rPr>
        <w:t xml:space="preserve">? </w:t>
      </w:r>
    </w:p>
    <w:p w:rsidR="00332574" w:rsidRDefault="00332574" w:rsidP="00B830F5">
      <w:pPr>
        <w:pStyle w:val="ContinueParaSuitedupar-AltP"/>
        <w:widowControl w:val="0"/>
        <w:rPr>
          <w:rFonts w:cs="Times New Roman"/>
          <w:lang w:val="fr-CA"/>
        </w:rPr>
      </w:pPr>
      <w:r>
        <w:rPr>
          <w:rFonts w:cs="Times New Roman"/>
          <w:lang w:val="fr-CA"/>
        </w:rPr>
        <w:t xml:space="preserve">Appliquant cette jurisprudence, et compte tenu de la nature de sa plainte, l’Office a conclu que M. Lukács n’avait pas non plus qualité pour agir dans l’intérêt public. </w:t>
      </w:r>
    </w:p>
    <w:p w:rsidR="00332574" w:rsidRDefault="00332574" w:rsidP="00B830F5">
      <w:pPr>
        <w:pStyle w:val="ParaNoNdepar-AltN"/>
        <w:widowControl w:val="0"/>
        <w:numPr>
          <w:ilvl w:val="0"/>
          <w:numId w:val="3"/>
        </w:numPr>
        <w:rPr>
          <w:rFonts w:cs="Times New Roman"/>
          <w:lang w:val="fr-CA"/>
        </w:rPr>
      </w:pPr>
      <w:r>
        <w:rPr>
          <w:rFonts w:cs="Times New Roman"/>
          <w:lang w:val="fr-CA"/>
        </w:rPr>
        <w:lastRenderedPageBreak/>
        <w:t xml:space="preserve">Devant la Cour d’appel fédérale, M. Lukács a reconnu qu’il lui manquait un intérêt personnel et direct dans l’affaire, si bien qu’il ne revendiquait plus la qualité pour agir dans l’intérêt privé.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Pour la Cour d’appel fédérale, la décision de l’Office de rejeter la plainte sur le fondement du test relatif à la qualité pour agir dans l’intérêt public élaboré par les tribunaux judiciaires était déraisonnable. Selon elle, comme les tribunaux administratifs ont le droit d’appliquer des procédures moins formelles, ils </w:t>
      </w:r>
      <w:r>
        <w:rPr>
          <w:rFonts w:cs="Times New Roman"/>
          <w:i/>
          <w:lang w:val="fr-CA"/>
        </w:rPr>
        <w:t>doivent</w:t>
      </w:r>
      <w:r>
        <w:rPr>
          <w:rFonts w:cs="Times New Roman"/>
          <w:lang w:val="fr-CA"/>
        </w:rPr>
        <w:t xml:space="preserve"> appliquer des règles relatives à la qualité pour agir moins formelles que celles appliquées par les tribunaux judiciaires. L’affaire a été renvoyée à l’Office pour</w:t>
      </w:r>
      <w:r>
        <w:rPr>
          <w:rFonts w:cs="Times New Roman"/>
          <w:lang w:val="fr-CA" w:bidi="en-US"/>
        </w:rPr>
        <w:t xml:space="preserve"> qu’il décide s’il enquêtera </w:t>
      </w:r>
      <w:r w:rsidR="000315D1">
        <w:rPr>
          <w:rFonts w:cs="Times New Roman"/>
          <w:lang w:val="fr-CA" w:bidi="en-US"/>
        </w:rPr>
        <w:t>quant à la plainte de M. Lukács</w:t>
      </w:r>
      <w:r>
        <w:rPr>
          <w:rFonts w:cs="Times New Roman"/>
          <w:lang w:val="fr-CA" w:bidi="en-US"/>
        </w:rPr>
        <w:t xml:space="preserve"> pour un motif autre que les règles relatives à la qualité pour agir élaborées par les tribunaux.</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À mon avis respectueux, vu les objets et les dispositions de sa loi habilitante, bien que l’Office ne soit pas </w:t>
      </w:r>
      <w:r>
        <w:rPr>
          <w:rFonts w:cs="Times New Roman"/>
          <w:i/>
          <w:lang w:val="fr-CA"/>
        </w:rPr>
        <w:t>tenu</w:t>
      </w:r>
      <w:r>
        <w:rPr>
          <w:rFonts w:cs="Times New Roman"/>
          <w:lang w:val="fr-CA"/>
        </w:rPr>
        <w:t xml:space="preserve"> d’appliquer les mêmes règles relatives à la qualité pour agir que celles appliquées par les tribunaux judiciaires, aucune disposition de sa loi habilitante ne l’empêche de le faire, et sa conclusion voulant que M. Lukács</w:t>
      </w:r>
      <w:r>
        <w:rPr>
          <w:rFonts w:cs="Times New Roman"/>
          <w:lang w:val="fr-CA" w:bidi="en-US"/>
        </w:rPr>
        <w:t xml:space="preserve"> n’a pas qualité pour agir n’est pas déraisonnable. En conséquence, j’accueillerais le pourvoi.</w:t>
      </w:r>
    </w:p>
    <w:p w:rsidR="00332574" w:rsidRDefault="00332574" w:rsidP="00B830F5">
      <w:pPr>
        <w:pStyle w:val="Title1LevelTitre1Niveau-AltL"/>
        <w:widowControl w:val="0"/>
        <w:numPr>
          <w:ilvl w:val="0"/>
          <w:numId w:val="0"/>
        </w:numPr>
        <w:tabs>
          <w:tab w:val="left" w:pos="720"/>
        </w:tabs>
        <w:ind w:left="576" w:hanging="576"/>
        <w:rPr>
          <w:rFonts w:cs="Times New Roman"/>
        </w:rPr>
      </w:pPr>
      <w:r>
        <w:rPr>
          <w:rFonts w:cs="Times New Roman"/>
        </w:rPr>
        <w:t>Analyse</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La question est de savoir si l’Office peut élaborer et appliquer ses propres règles relatives à la qualité pour agir et, dans l’affirmative, si ces règles peuvent être semblables à celles qu’appliquent les tribunaux judiciaires. Toutes les parties conviennent que </w:t>
      </w:r>
      <w:r>
        <w:rPr>
          <w:rFonts w:cs="Times New Roman"/>
          <w:lang w:val="fr-CA" w:bidi="en-US"/>
        </w:rPr>
        <w:t>la norme de contrôle applicable est celle de la décision raisonnable.</w:t>
      </w:r>
    </w:p>
    <w:p w:rsidR="00332574" w:rsidRDefault="00332574" w:rsidP="00B830F5">
      <w:pPr>
        <w:pStyle w:val="ParaNoNdepar-AltN"/>
        <w:widowControl w:val="0"/>
        <w:numPr>
          <w:ilvl w:val="0"/>
          <w:numId w:val="3"/>
        </w:numPr>
        <w:rPr>
          <w:rFonts w:cs="Times New Roman"/>
          <w:lang w:val="fr-CA"/>
        </w:rPr>
      </w:pPr>
      <w:r>
        <w:rPr>
          <w:rFonts w:cs="Times New Roman"/>
          <w:lang w:val="fr-CA"/>
        </w:rPr>
        <w:lastRenderedPageBreak/>
        <w:t xml:space="preserve">Le législateur avait l’intention que l’Office ait le pouvoir d’interpréter et d’appliquer sa vaste loi habilitante portant sur les questions de transport national, </w:t>
      </w:r>
      <w:r>
        <w:rPr>
          <w:rFonts w:cs="Times New Roman"/>
          <w:lang w:val="fr-CA" w:bidi="en-US"/>
        </w:rPr>
        <w:t>de résoudre des questions de politique générale et de mettre en balance les intérêts multiples et opposés portés à sa connaissance :</w:t>
      </w:r>
      <w:r>
        <w:rPr>
          <w:rFonts w:cs="Times New Roman"/>
          <w:lang w:val="fr-CA"/>
        </w:rPr>
        <w:t xml:space="preserve"> </w:t>
      </w:r>
      <w:r>
        <w:rPr>
          <w:rFonts w:cs="Times New Roman"/>
          <w:i/>
          <w:lang w:val="fr-CA"/>
        </w:rPr>
        <w:t>Conseil des Canadiens avec déficiences c. VIA Rail Canada Inc.</w:t>
      </w:r>
      <w:r>
        <w:rPr>
          <w:rFonts w:cs="Times New Roman"/>
          <w:lang w:val="fr-CA"/>
        </w:rPr>
        <w:t xml:space="preserve">, [2007] 1 R.C.S. 650, par. 107. Rien dans le mandat de l’Office ne limite sa capacité à décider de la façon dont il déterminera quelles affaires il entendra.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À l’instar des tribunaux judiciaires, l’Office a le droit d’appliquer un mécanisme de contrôle ou de filtrage qui est fondé sur des principes et pour la même raison logique, à savoir, pour éviter une approche </w:t>
      </w:r>
      <w:r>
        <w:rPr>
          <w:rFonts w:cs="Times New Roman"/>
          <w:i/>
          <w:lang w:val="fr-CA"/>
        </w:rPr>
        <w:t>ad hoc</w:t>
      </w:r>
      <w:r>
        <w:rPr>
          <w:rFonts w:cs="Times New Roman"/>
          <w:lang w:val="fr-CA"/>
        </w:rPr>
        <w:t xml:space="preserve"> arbitraire et indisciplinée au regard de la qualité pour agir. De plus, comme c’est le cas pour les tribunaux judiciaires, une fonction de contrôle raisonnée permet à l’Office de mettre en balance, de manière transparente et efficace, les divers intérêts et demandes opposés portés à sa connaissance, notamment en matière d’accès et de ressources. </w:t>
      </w:r>
    </w:p>
    <w:p w:rsidR="00332574" w:rsidRDefault="00332574" w:rsidP="00B830F5">
      <w:pPr>
        <w:pStyle w:val="ParaNoNdepar-AltN"/>
        <w:widowControl w:val="0"/>
        <w:numPr>
          <w:ilvl w:val="0"/>
          <w:numId w:val="3"/>
        </w:numPr>
        <w:rPr>
          <w:rFonts w:cs="Times New Roman"/>
          <w:lang w:val="fr-CA"/>
        </w:rPr>
      </w:pPr>
      <w:r>
        <w:rPr>
          <w:rFonts w:cs="Times New Roman"/>
          <w:lang w:val="fr-CA"/>
        </w:rPr>
        <w:t>L’approche adoptée par l’Office concernant la qualité pour agir dans l’intérêt public est fondée sur la jurisprudence de la Cour et reflète les fondements traditionnels de contrôle :</w:t>
      </w:r>
      <w:r>
        <w:rPr>
          <w:rFonts w:cs="Times New Roman"/>
          <w:lang w:val="fr-CA" w:bidi="en-US"/>
        </w:rPr>
        <w:t xml:space="preserve"> </w:t>
      </w:r>
    </w:p>
    <w:p w:rsidR="00332574" w:rsidRDefault="00332574" w:rsidP="00B830F5">
      <w:pPr>
        <w:pStyle w:val="Citation-AltC"/>
        <w:widowControl w:val="0"/>
        <w:spacing w:after="240"/>
        <w:ind w:left="1168" w:hanging="1168"/>
        <w:rPr>
          <w:lang w:val="fr-CA"/>
        </w:rPr>
      </w:pPr>
      <w:r>
        <w:rPr>
          <w:lang w:val="fr-CA" w:bidi="en-US"/>
        </w:rPr>
        <w:tab/>
        <w:t>. . . le fait d’appliquer la qualité pour agir au droit public remplit trois objectifs clés. Premièrement, la mesure permet d’économiser les ressources judiciaires limitées. Deuxièmement, elle permet que les cas les plus urgents (ceux qui touchent réellement les gens, par opposition aux cas théoriques) soient entendus le plus rapidement et efficacement possible. Finalement, elle permet que les meilleures preuves soient présentées aux décideurs, soit la preuve d’une personne réellement touchée.</w:t>
      </w:r>
      <w:r>
        <w:rPr>
          <w:lang w:val="fr-CA"/>
        </w:rPr>
        <w:t xml:space="preserve"> </w:t>
      </w:r>
    </w:p>
    <w:p w:rsidR="00E42F78" w:rsidRDefault="00E42F78" w:rsidP="00B830F5">
      <w:pPr>
        <w:pStyle w:val="Citation-AltC"/>
        <w:widowControl w:val="0"/>
        <w:spacing w:after="240"/>
        <w:ind w:left="1168" w:hanging="1168"/>
        <w:rPr>
          <w:lang w:val="fr-CA"/>
        </w:rPr>
      </w:pPr>
    </w:p>
    <w:p w:rsidR="00332574" w:rsidRDefault="00332574" w:rsidP="00B830F5">
      <w:pPr>
        <w:pStyle w:val="Citation-AltC"/>
        <w:widowControl w:val="0"/>
        <w:ind w:left="0"/>
        <w:rPr>
          <w:lang w:val="fr-CA"/>
        </w:rPr>
      </w:pPr>
      <w:r>
        <w:rPr>
          <w:lang w:val="fr-CA"/>
        </w:rPr>
        <w:t>(</w:t>
      </w:r>
      <w:r>
        <w:rPr>
          <w:i/>
          <w:lang w:val="fr-CA"/>
        </w:rPr>
        <w:t>Lukács c. Porter Airlines Inc.</w:t>
      </w:r>
      <w:r>
        <w:rPr>
          <w:lang w:val="fr-CA"/>
        </w:rPr>
        <w:t>, Office des transports du Canada, décision n</w:t>
      </w:r>
      <w:r>
        <w:rPr>
          <w:vertAlign w:val="superscript"/>
          <w:lang w:val="fr-CA"/>
        </w:rPr>
        <w:t>o</w:t>
      </w:r>
      <w:r>
        <w:rPr>
          <w:lang w:val="fr-CA"/>
        </w:rPr>
        <w:t> 121</w:t>
      </w:r>
      <w:r>
        <w:rPr>
          <w:lang w:val="fr-CA"/>
        </w:rPr>
        <w:noBreakHyphen/>
        <w:t>C</w:t>
      </w:r>
      <w:r>
        <w:rPr>
          <w:lang w:val="fr-CA"/>
        </w:rPr>
        <w:noBreakHyphen/>
        <w:t>A</w:t>
      </w:r>
      <w:r>
        <w:rPr>
          <w:lang w:val="fr-CA"/>
        </w:rPr>
        <w:noBreakHyphen/>
        <w:t xml:space="preserve">2016, 22 avril 2016, par. 19; voir également </w:t>
      </w:r>
      <w:r w:rsidR="000315D1">
        <w:rPr>
          <w:i/>
          <w:lang w:val="fr-CA"/>
        </w:rPr>
        <w:t xml:space="preserve">Syndicat uni du transport, </w:t>
      </w:r>
      <w:r w:rsidR="000315D1">
        <w:rPr>
          <w:i/>
          <w:lang w:val="fr-CA"/>
        </w:rPr>
        <w:lastRenderedPageBreak/>
        <w:t>section locale</w:t>
      </w:r>
      <w:r>
        <w:rPr>
          <w:i/>
          <w:lang w:val="fr-CA"/>
        </w:rPr>
        <w:t> 279 (Re)</w:t>
      </w:r>
      <w:r>
        <w:rPr>
          <w:lang w:val="fr-CA"/>
        </w:rPr>
        <w:t>, Office des transports du Canada, décision n</w:t>
      </w:r>
      <w:r>
        <w:rPr>
          <w:vertAlign w:val="superscript"/>
          <w:lang w:val="fr-CA"/>
        </w:rPr>
        <w:t>o</w:t>
      </w:r>
      <w:r>
        <w:rPr>
          <w:lang w:val="fr-CA"/>
        </w:rPr>
        <w:t> 431</w:t>
      </w:r>
      <w:r>
        <w:rPr>
          <w:lang w:val="fr-CA"/>
        </w:rPr>
        <w:noBreakHyphen/>
        <w:t>AT</w:t>
      </w:r>
      <w:r>
        <w:rPr>
          <w:lang w:val="fr-CA"/>
        </w:rPr>
        <w:noBreakHyphen/>
        <w:t>MV</w:t>
      </w:r>
      <w:r>
        <w:rPr>
          <w:lang w:val="fr-CA"/>
        </w:rPr>
        <w:noBreakHyphen/>
        <w:t xml:space="preserve">2008, 20 août 2008.) </w:t>
      </w:r>
    </w:p>
    <w:p w:rsidR="00332574" w:rsidRDefault="00332574" w:rsidP="00B830F5">
      <w:pPr>
        <w:pStyle w:val="ParaNoNdepar-AltN"/>
        <w:widowControl w:val="0"/>
        <w:numPr>
          <w:ilvl w:val="0"/>
          <w:numId w:val="3"/>
        </w:numPr>
        <w:rPr>
          <w:rFonts w:cs="Times New Roman"/>
          <w:lang w:val="fr-CA"/>
        </w:rPr>
      </w:pPr>
      <w:r>
        <w:rPr>
          <w:rFonts w:cs="Times New Roman"/>
          <w:lang w:val="fr-CA"/>
        </w:rPr>
        <w:t>Cependant, M. Lukács fait valoir que les règles de droit des tribunaux judiciaires relatives à la qualité pour agir ne conviennent pas dans le contexte des tribunaux administratifs parce que, selon lui, les présomptions qui justifient le recours à la qualité pour agir dans le contexte des tribunaux civils y sont absentes. Essentiellement, il plaide la qualité pour agir pour tous, c’est</w:t>
      </w:r>
      <w:r>
        <w:rPr>
          <w:rFonts w:cs="Times New Roman"/>
          <w:lang w:val="fr-CA"/>
        </w:rPr>
        <w:noBreakHyphen/>
        <w:t>à</w:t>
      </w:r>
      <w:r>
        <w:rPr>
          <w:rFonts w:cs="Times New Roman"/>
          <w:lang w:val="fr-CA"/>
        </w:rPr>
        <w:noBreakHyphen/>
        <w:t xml:space="preserve">dire que quiconque présente une demande à l’Office a le droit de la faire entendre.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Cet argument relatif à la qualité pour agir pour tous fait abstraction de la raison d’être des règles relatives à cette qualité. Comme l’a expliqué le juge Cromwell dans </w:t>
      </w:r>
      <w:r>
        <w:rPr>
          <w:rFonts w:cs="Times New Roman"/>
          <w:i/>
          <w:lang w:val="fr-CA"/>
        </w:rPr>
        <w:t>Do</w:t>
      </w:r>
      <w:r w:rsidR="00A74E69">
        <w:rPr>
          <w:rFonts w:cs="Times New Roman"/>
          <w:i/>
          <w:lang w:val="fr-CA"/>
        </w:rPr>
        <w:t>wntown Eastside</w:t>
      </w:r>
      <w:r w:rsidR="00A74E69" w:rsidRPr="00A74E69">
        <w:rPr>
          <w:rFonts w:cs="Times New Roman"/>
          <w:lang w:val="fr-CA"/>
        </w:rPr>
        <w:t>,</w:t>
      </w:r>
      <w:r w:rsidRPr="00A74E69">
        <w:rPr>
          <w:rFonts w:cs="Times New Roman"/>
          <w:lang w:val="fr-CA"/>
        </w:rPr>
        <w:t xml:space="preserve"> </w:t>
      </w:r>
      <w:r>
        <w:rPr>
          <w:rFonts w:cs="Times New Roman"/>
          <w:lang w:val="fr-CA"/>
        </w:rPr>
        <w:t>« </w:t>
      </w:r>
      <w:r w:rsidR="00A74E69">
        <w:rPr>
          <w:rFonts w:cs="Times New Roman"/>
          <w:lang w:val="fr-CA" w:bidi="en-US"/>
        </w:rPr>
        <w:t>l</w:t>
      </w:r>
      <w:r>
        <w:rPr>
          <w:rFonts w:cs="Times New Roman"/>
          <w:lang w:val="fr-CA" w:bidi="en-US"/>
        </w:rPr>
        <w:t>a situation serait insoutenable si tous avaient la qualité pour engager des poursuites à tout propos, aussi ténu leur intérêt personnel soit</w:t>
      </w:r>
      <w:r>
        <w:rPr>
          <w:rFonts w:cs="Times New Roman"/>
          <w:lang w:val="fr-CA" w:bidi="en-US"/>
        </w:rPr>
        <w:noBreakHyphen/>
        <w:t>il dans la cause » : par. 1.</w:t>
      </w:r>
      <w:r>
        <w:rPr>
          <w:rFonts w:cs="Times New Roman"/>
          <w:lang w:val="fr-CA"/>
        </w:rPr>
        <w:t xml:space="preserve"> Les règles relatives à la qualité pour agir permettent aux tribunaux d’affecter de façon appropriée l</w:t>
      </w:r>
      <w:r>
        <w:rPr>
          <w:rFonts w:cs="Times New Roman"/>
          <w:lang w:val="fr-CA" w:bidi="en-US"/>
        </w:rPr>
        <w:t>es ressources judiciaires limitées, d’écarter les « trouble</w:t>
      </w:r>
      <w:r>
        <w:rPr>
          <w:rFonts w:cs="Times New Roman"/>
          <w:lang w:val="fr-CA" w:bidi="en-US"/>
        </w:rPr>
        <w:noBreakHyphen/>
        <w:t xml:space="preserve">fête » et de s’assurer que les points de vue contradictoires soient traités en profondeur : </w:t>
      </w:r>
      <w:r>
        <w:rPr>
          <w:rFonts w:cs="Times New Roman"/>
          <w:i/>
          <w:lang w:val="fr-CA" w:bidi="en-US"/>
        </w:rPr>
        <w:t>Downtown Eastside</w:t>
      </w:r>
      <w:r>
        <w:rPr>
          <w:rFonts w:cs="Times New Roman"/>
          <w:lang w:val="fr-CA" w:bidi="en-US"/>
        </w:rPr>
        <w:t xml:space="preserve">, </w:t>
      </w:r>
      <w:r>
        <w:rPr>
          <w:rFonts w:cs="Times New Roman"/>
          <w:lang w:val="fr-CA"/>
        </w:rPr>
        <w:t xml:space="preserve">par. 25.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Les règles relatives à la qualité pour agir veillent également à ce que les tribunaux entendent « les principaux intéressés faire valoir contradictoirement leurs points de vue » : </w:t>
      </w:r>
      <w:r>
        <w:rPr>
          <w:rFonts w:cs="Times New Roman"/>
          <w:i/>
          <w:lang w:val="fr-CA"/>
        </w:rPr>
        <w:t>Downtown Eastside</w:t>
      </w:r>
      <w:r>
        <w:rPr>
          <w:rFonts w:cs="Times New Roman"/>
          <w:lang w:val="fr-CA"/>
        </w:rPr>
        <w:t>, par. 29.</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En outre, comme pour les tribunaux judiciaires, la qualité pour agir permet aux tribunaux administratifs d’économiser et de hiérarchiser leurs ressources, et leur donne l’assurance de bénéficier des points de vue que font valoir contradictoirement </w:t>
      </w:r>
      <w:r>
        <w:rPr>
          <w:rFonts w:cs="Times New Roman"/>
          <w:lang w:val="fr-CA"/>
        </w:rPr>
        <w:lastRenderedPageBreak/>
        <w:t>les personnes qui sont les mieux placées pour le faire. Tout cela pour assurer l’utilisation la plus opportune et la plus efficace de la capacité des tribunaux d’exécuter leur mandat.</w:t>
      </w:r>
    </w:p>
    <w:p w:rsidR="00332574" w:rsidRDefault="00332574" w:rsidP="00B830F5">
      <w:pPr>
        <w:pStyle w:val="ParaNoNdepar-AltN"/>
        <w:widowControl w:val="0"/>
        <w:numPr>
          <w:ilvl w:val="0"/>
          <w:numId w:val="3"/>
        </w:numPr>
        <w:rPr>
          <w:rFonts w:cs="Times New Roman"/>
          <w:lang w:val="fr-CA"/>
        </w:rPr>
      </w:pPr>
      <w:r>
        <w:rPr>
          <w:rFonts w:cs="Times New Roman"/>
          <w:lang w:val="fr-CA"/>
        </w:rPr>
        <w:t>Par ailleurs, exiger qu’un tribunal tranche toutes les plaintes, même marginales ou étayées inadéquatement, causerait son enlisement, et pourrait avoir des effets « </w:t>
      </w:r>
      <w:r w:rsidR="00A74E69">
        <w:rPr>
          <w:rFonts w:cs="Times New Roman"/>
          <w:lang w:val="fr-CA"/>
        </w:rPr>
        <w:t>accablant</w:t>
      </w:r>
      <w:r>
        <w:rPr>
          <w:rFonts w:cs="Times New Roman"/>
          <w:lang w:val="fr-CA"/>
        </w:rPr>
        <w:t xml:space="preserve">s » sur les particuliers. Le juge Cory a formulé la mise en garde suivante dans </w:t>
      </w:r>
      <w:r w:rsidR="00A74E69">
        <w:rPr>
          <w:rFonts w:cs="Times New Roman"/>
          <w:i/>
          <w:lang w:val="fr-CA"/>
        </w:rPr>
        <w:t>Conseil canadien des É</w:t>
      </w:r>
      <w:r>
        <w:rPr>
          <w:rFonts w:cs="Times New Roman"/>
          <w:i/>
          <w:lang w:val="fr-CA"/>
        </w:rPr>
        <w:t>glises</w:t>
      </w:r>
      <w:r>
        <w:rPr>
          <w:rFonts w:cs="Times New Roman"/>
          <w:lang w:val="fr-CA"/>
        </w:rPr>
        <w:t> :</w:t>
      </w:r>
    </w:p>
    <w:p w:rsidR="00332574" w:rsidRDefault="00332574" w:rsidP="00B830F5">
      <w:pPr>
        <w:pStyle w:val="Citation-AltC"/>
        <w:widowControl w:val="0"/>
        <w:ind w:hanging="1166"/>
        <w:rPr>
          <w:lang w:val="fr-CA"/>
        </w:rPr>
      </w:pPr>
      <w:r>
        <w:rPr>
          <w:lang w:val="fr-CA"/>
        </w:rPr>
        <w:tab/>
        <w:t xml:space="preserve">Ce serait désastreux si les tribunaux devenaient complètement submergés en raison d’une prolifération inutile de poursuites insignifiantes ou redondantes intentées par des organismes bien intentionnés dans le cadre de la réalisation de leurs objectifs, convaincus que leur cause est fort importante. Cela serait préjudiciable, voire accablant, pour notre système de justice et injuste pour les particuliers. [p. 252]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Le fait que la loi habilitante d’un tribunal administratif comporte une dimension relative à l’intérêt public ne l’empêche pas d’adopter des règles semblables à celles qu’utilisent les tribunaux judiciaires en matière de qualité pour agir. Tous les tribunaux ont le mandat d’agir dans l’intérêt public, puisque toutes les lois visent à protéger l’intérêt public. Cela ne signifie pas que tous les justiciables qui veulent porter plainte peuvent automatiquement le faire. La question est de savoir ce que la loi habilitante du tribunal exige ou interdit : L. Sossin, « Access to Administrative Justice and Other Worries », dans C. M. Flood et L. Sossin, </w:t>
      </w:r>
      <w:r w:rsidR="00742629">
        <w:rPr>
          <w:rFonts w:cs="Times New Roman"/>
          <w:lang w:val="fr-CA"/>
        </w:rPr>
        <w:t>dir</w:t>
      </w:r>
      <w:r>
        <w:rPr>
          <w:rFonts w:cs="Times New Roman"/>
          <w:lang w:val="fr-CA"/>
        </w:rPr>
        <w:t xml:space="preserve">., </w:t>
      </w:r>
      <w:r>
        <w:rPr>
          <w:rFonts w:cs="Times New Roman"/>
          <w:i/>
          <w:lang w:val="fr-CA"/>
        </w:rPr>
        <w:t>Administrative Law in Context</w:t>
      </w:r>
      <w:r>
        <w:rPr>
          <w:rFonts w:cs="Times New Roman"/>
          <w:lang w:val="fr-CA"/>
        </w:rPr>
        <w:t xml:space="preserve"> (2</w:t>
      </w:r>
      <w:r>
        <w:rPr>
          <w:rFonts w:cs="Times New Roman"/>
          <w:vertAlign w:val="superscript"/>
          <w:lang w:val="fr-CA"/>
        </w:rPr>
        <w:t>e</w:t>
      </w:r>
      <w:r>
        <w:rPr>
          <w:rFonts w:cs="Times New Roman"/>
          <w:lang w:val="fr-CA"/>
        </w:rPr>
        <w:t xml:space="preserve"> éd. 2013), 211, p. 214.</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Le législateur a conféré à l’Office un vaste pouvoir discrétionnaire pour choisir, en fonction de ses propres contraintes et exigences institutionnelles, la façon </w:t>
      </w:r>
      <w:r>
        <w:rPr>
          <w:rFonts w:cs="Times New Roman"/>
          <w:lang w:val="fr-CA"/>
        </w:rPr>
        <w:lastRenderedPageBreak/>
        <w:t xml:space="preserve">dont il met en œuvre son mandat général visant à réglementer et à trancher les questions relatives au transport national. Ce pouvoir discrétionnaire découle des art. 17, 25 et 37 de la </w:t>
      </w:r>
      <w:r>
        <w:rPr>
          <w:rFonts w:cs="Times New Roman"/>
          <w:i/>
          <w:lang w:val="fr-CA"/>
        </w:rPr>
        <w:t>Loi sur les transports au Canada</w:t>
      </w:r>
      <w:r>
        <w:rPr>
          <w:rFonts w:cs="Times New Roman"/>
          <w:lang w:val="fr-CA"/>
        </w:rPr>
        <w:t xml:space="preserve">, L.C. 1996, c. 10. Suivant la dernière de ces dispositions, l’Office a le pouvoir de déterminer sur quelles plaintes il enquêtera : </w:t>
      </w:r>
    </w:p>
    <w:p w:rsidR="00332574" w:rsidRDefault="00332574" w:rsidP="00B830F5">
      <w:pPr>
        <w:pStyle w:val="Citation-AltC"/>
        <w:widowControl w:val="0"/>
        <w:ind w:hanging="1166"/>
        <w:rPr>
          <w:lang w:val="fr-CA"/>
        </w:rPr>
      </w:pPr>
      <w:r>
        <w:rPr>
          <w:b/>
          <w:lang w:val="fr-CA"/>
        </w:rPr>
        <w:tab/>
        <w:t>37</w:t>
      </w:r>
      <w:r>
        <w:rPr>
          <w:lang w:val="fr-CA"/>
        </w:rPr>
        <w:t> </w:t>
      </w:r>
      <w:r>
        <w:rPr>
          <w:lang w:val="fr-CA" w:bidi="en-US"/>
        </w:rPr>
        <w:t>L’Office peut enquêter sur une plainte, l’entendre et en décider lorsqu’elle porte sur une question relevant d’une loi fédérale qu’il est chargé d’appliquer en tout ou en partie</w:t>
      </w:r>
      <w:r>
        <w:rPr>
          <w:lang w:val="fr-CA"/>
        </w:rPr>
        <w:t>.</w:t>
      </w:r>
    </w:p>
    <w:p w:rsidR="00332574" w:rsidRDefault="00332574" w:rsidP="00B830F5">
      <w:pPr>
        <w:pStyle w:val="ContinueParaSuitedupar-AltP"/>
        <w:widowControl w:val="0"/>
        <w:rPr>
          <w:lang w:val="fr-CA"/>
        </w:rPr>
      </w:pPr>
      <w:r>
        <w:rPr>
          <w:lang w:val="fr-CA"/>
        </w:rPr>
        <w:t xml:space="preserve">Il découle du libellé de cet article que le pouvoir de l’Office de traiter et de régler les plaintes est discrétionnaire. L’Office </w:t>
      </w:r>
      <w:r>
        <w:rPr>
          <w:i/>
          <w:lang w:val="fr-CA"/>
        </w:rPr>
        <w:t>peut</w:t>
      </w:r>
      <w:r>
        <w:rPr>
          <w:lang w:val="fr-CA"/>
        </w:rPr>
        <w:t xml:space="preserve"> enquêter sur une plainte, l’entendre et en décider. Je conviens avec M. Lukács que n’importe qui peut </w:t>
      </w:r>
      <w:r>
        <w:rPr>
          <w:i/>
          <w:lang w:val="fr-CA"/>
        </w:rPr>
        <w:t>déposer</w:t>
      </w:r>
      <w:r>
        <w:rPr>
          <w:lang w:val="fr-CA"/>
        </w:rPr>
        <w:t xml:space="preserve"> une plainte; toutefois, sa prétention selon laquelle il n’existe aucun pouvoir discrétionnaire de décider quelles plaintes seront entendues fait abstraction de la présence du verbe « peut » à l’art. 37.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Suivant l’art. 17 de la </w:t>
      </w:r>
      <w:r>
        <w:rPr>
          <w:rFonts w:cs="Times New Roman"/>
          <w:i/>
          <w:lang w:val="fr-CA"/>
        </w:rPr>
        <w:t>Loi</w:t>
      </w:r>
      <w:r>
        <w:rPr>
          <w:rFonts w:cs="Times New Roman"/>
          <w:lang w:val="fr-CA"/>
        </w:rPr>
        <w:t xml:space="preserve">, l’Office peut établir ses propres règles sur l’exécution de ses travaux et sur la procédure relative aux questions dont il est saisi. Cet article dispose : </w:t>
      </w:r>
    </w:p>
    <w:p w:rsidR="00332574" w:rsidRDefault="006237DF" w:rsidP="00B830F5">
      <w:pPr>
        <w:pStyle w:val="Citation-AltC"/>
        <w:widowControl w:val="0"/>
        <w:tabs>
          <w:tab w:val="left" w:pos="1530"/>
        </w:tabs>
        <w:spacing w:after="240"/>
        <w:ind w:left="1168" w:hanging="1168"/>
        <w:rPr>
          <w:lang w:val="fr-CA" w:bidi="en-US"/>
        </w:rPr>
      </w:pPr>
      <w:r>
        <w:rPr>
          <w:b/>
          <w:lang w:val="fr-CA"/>
        </w:rPr>
        <w:tab/>
        <w:t>17</w:t>
      </w:r>
      <w:r>
        <w:rPr>
          <w:b/>
          <w:lang w:val="fr-CA"/>
        </w:rPr>
        <w:tab/>
      </w:r>
      <w:r w:rsidR="00332574">
        <w:rPr>
          <w:lang w:val="fr-CA" w:bidi="en-US"/>
        </w:rPr>
        <w:t>L’Office peut établir des règles concernant :</w:t>
      </w:r>
    </w:p>
    <w:p w:rsidR="006237DF" w:rsidRDefault="006237DF" w:rsidP="00B830F5">
      <w:pPr>
        <w:pStyle w:val="Citation-AltC"/>
        <w:widowControl w:val="0"/>
        <w:spacing w:after="240"/>
        <w:ind w:left="1168" w:hanging="1168"/>
        <w:rPr>
          <w:lang w:val="fr-CA"/>
        </w:rPr>
      </w:pPr>
    </w:p>
    <w:p w:rsidR="00332574" w:rsidRDefault="00332574" w:rsidP="00B830F5">
      <w:pPr>
        <w:pStyle w:val="Citation-AltC"/>
        <w:widowControl w:val="0"/>
        <w:numPr>
          <w:ilvl w:val="1"/>
          <w:numId w:val="3"/>
        </w:numPr>
        <w:tabs>
          <w:tab w:val="left" w:pos="1890"/>
        </w:tabs>
        <w:ind w:left="1530" w:firstLine="0"/>
        <w:rPr>
          <w:lang w:val="fr-CA"/>
        </w:rPr>
      </w:pPr>
      <w:r>
        <w:rPr>
          <w:lang w:val="fr-CA" w:bidi="en-US"/>
        </w:rPr>
        <w:t xml:space="preserve">ses séances et </w:t>
      </w:r>
      <w:r w:rsidRPr="00970BEC">
        <w:rPr>
          <w:lang w:val="fr-CA"/>
        </w:rPr>
        <w:t>l’exécution</w:t>
      </w:r>
      <w:r>
        <w:rPr>
          <w:lang w:val="fr-CA" w:bidi="en-US"/>
        </w:rPr>
        <w:t xml:space="preserve"> de ses travaux</w:t>
      </w:r>
      <w:r>
        <w:rPr>
          <w:lang w:val="fr-CA"/>
        </w:rPr>
        <w:t>;</w:t>
      </w:r>
    </w:p>
    <w:p w:rsidR="006237DF" w:rsidRDefault="006237DF" w:rsidP="00B830F5">
      <w:pPr>
        <w:pStyle w:val="Citation-AltC"/>
        <w:widowControl w:val="0"/>
        <w:spacing w:after="240"/>
        <w:ind w:left="720"/>
        <w:rPr>
          <w:lang w:val="fr-CA"/>
        </w:rPr>
      </w:pPr>
    </w:p>
    <w:p w:rsidR="00332574" w:rsidRDefault="00332574" w:rsidP="00B830F5">
      <w:pPr>
        <w:pStyle w:val="Citation-AltC"/>
        <w:widowControl w:val="0"/>
        <w:numPr>
          <w:ilvl w:val="1"/>
          <w:numId w:val="3"/>
        </w:numPr>
        <w:tabs>
          <w:tab w:val="left" w:pos="1890"/>
        </w:tabs>
        <w:ind w:left="1530" w:firstLine="0"/>
        <w:rPr>
          <w:lang w:val="fr-CA"/>
        </w:rPr>
      </w:pPr>
      <w:r>
        <w:rPr>
          <w:lang w:val="fr-CA"/>
        </w:rPr>
        <w:t>l</w:t>
      </w:r>
      <w:r>
        <w:rPr>
          <w:lang w:val="fr-CA" w:bidi="en-US"/>
        </w:rPr>
        <w:t>a procédure relative aux questions dont il est saisi, notamment pour ce qui est des cas de huis clos</w:t>
      </w:r>
      <w:r>
        <w:rPr>
          <w:lang w:val="fr-CA"/>
        </w:rPr>
        <w:t>;</w:t>
      </w:r>
    </w:p>
    <w:p w:rsidR="006237DF" w:rsidRDefault="006237DF" w:rsidP="00B830F5">
      <w:pPr>
        <w:pStyle w:val="Citation-AltC"/>
        <w:widowControl w:val="0"/>
        <w:spacing w:after="240"/>
        <w:ind w:left="0"/>
        <w:rPr>
          <w:lang w:val="fr-CA"/>
        </w:rPr>
      </w:pPr>
    </w:p>
    <w:p w:rsidR="00332574" w:rsidRDefault="00332574" w:rsidP="00B830F5">
      <w:pPr>
        <w:pStyle w:val="Citation-AltC"/>
        <w:widowControl w:val="0"/>
        <w:numPr>
          <w:ilvl w:val="1"/>
          <w:numId w:val="3"/>
        </w:numPr>
        <w:tabs>
          <w:tab w:val="left" w:pos="1890"/>
        </w:tabs>
        <w:ind w:left="1530" w:firstLine="0"/>
        <w:rPr>
          <w:lang w:val="fr-CA"/>
        </w:rPr>
      </w:pPr>
      <w:r>
        <w:rPr>
          <w:lang w:val="fr-CA" w:bidi="en-US"/>
        </w:rPr>
        <w:t xml:space="preserve">le </w:t>
      </w:r>
      <w:r w:rsidRPr="006237DF">
        <w:rPr>
          <w:lang w:val="fr-CA"/>
        </w:rPr>
        <w:t>nombre</w:t>
      </w:r>
      <w:r>
        <w:rPr>
          <w:lang w:val="fr-CA" w:bidi="en-US"/>
        </w:rPr>
        <w:t xml:space="preserve"> de membres qui doivent entendre les questions ou remplir telles des fonctions de l’Office prévues par la présente loi ou une autre loi fédérale</w:t>
      </w:r>
      <w:r>
        <w:rPr>
          <w:lang w:val="fr-CA"/>
        </w:rPr>
        <w:t>.</w:t>
      </w:r>
    </w:p>
    <w:p w:rsidR="00332574" w:rsidRDefault="00332574" w:rsidP="00B830F5">
      <w:pPr>
        <w:pStyle w:val="ContinueParaSuitedupar-AltP"/>
        <w:widowControl w:val="0"/>
        <w:rPr>
          <w:rFonts w:cs="Times New Roman"/>
          <w:lang w:val="fr-CA"/>
        </w:rPr>
      </w:pPr>
      <w:r>
        <w:rPr>
          <w:rFonts w:cs="Times New Roman"/>
          <w:lang w:val="fr-CA"/>
        </w:rPr>
        <w:lastRenderedPageBreak/>
        <w:t xml:space="preserve">Ces règles sont codifiées dans les </w:t>
      </w:r>
      <w:r>
        <w:rPr>
          <w:rFonts w:cs="Times New Roman"/>
          <w:i/>
          <w:lang w:val="fr-CA"/>
        </w:rPr>
        <w:t>Règles de l’Office des transports du Canada</w:t>
      </w:r>
      <w:r>
        <w:rPr>
          <w:rFonts w:cs="Times New Roman"/>
          <w:lang w:val="fr-CA"/>
        </w:rPr>
        <w:t xml:space="preserve"> </w:t>
      </w:r>
      <w:r>
        <w:rPr>
          <w:rFonts w:cs="Times New Roman"/>
          <w:i/>
          <w:lang w:val="fr-CA"/>
        </w:rPr>
        <w:t>(Instances de règlement des différends et certaines règles applicables à toutes les instances)</w:t>
      </w:r>
      <w:r>
        <w:rPr>
          <w:rFonts w:cs="Times New Roman"/>
          <w:lang w:val="fr-CA"/>
        </w:rPr>
        <w:t>, DORS/2014</w:t>
      </w:r>
      <w:r>
        <w:rPr>
          <w:rFonts w:cs="Times New Roman"/>
          <w:lang w:val="fr-CA"/>
        </w:rPr>
        <w:noBreakHyphen/>
        <w:t>104 (« </w:t>
      </w:r>
      <w:r>
        <w:rPr>
          <w:rFonts w:cs="Times New Roman"/>
          <w:i/>
          <w:lang w:val="fr-CA"/>
        </w:rPr>
        <w:t>Règles</w:t>
      </w:r>
      <w:r>
        <w:rPr>
          <w:rFonts w:cs="Times New Roman"/>
          <w:lang w:val="fr-CA"/>
        </w:rPr>
        <w:t xml:space="preserve"> »).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Suivant le par. 5(1) des </w:t>
      </w:r>
      <w:r>
        <w:rPr>
          <w:rFonts w:cs="Times New Roman"/>
          <w:i/>
          <w:lang w:val="fr-CA"/>
        </w:rPr>
        <w:t>Règles</w:t>
      </w:r>
      <w:r w:rsidRPr="00970BEC">
        <w:rPr>
          <w:rStyle w:val="Hyperlink"/>
          <w:u w:val="none"/>
          <w:vertAlign w:val="superscript"/>
        </w:rPr>
        <w:footnoteReference w:id="3"/>
      </w:r>
      <w:r>
        <w:rPr>
          <w:rFonts w:cs="Times New Roman"/>
          <w:lang w:val="fr-CA"/>
        </w:rPr>
        <w:t xml:space="preserve">, ces dernières </w:t>
      </w:r>
      <w:r>
        <w:rPr>
          <w:rFonts w:cs="Times New Roman"/>
          <w:lang w:val="fr-CA" w:bidi="en-US"/>
        </w:rPr>
        <w:t>sont interprétées de façon à faciliter l’utilisation optimale des ressources de l’Office et des parties ainsi qu’à promouvoir la justice</w:t>
      </w:r>
      <w:r>
        <w:rPr>
          <w:rFonts w:cs="Times New Roman"/>
          <w:lang w:val="fr-CA"/>
        </w:rPr>
        <w:t xml:space="preserve">. Examinant le mandat de l’Office sous l’angle de l’efficacité, la juge Dawson a souligné que </w:t>
      </w:r>
      <w:r>
        <w:rPr>
          <w:rFonts w:cs="Times New Roman"/>
          <w:lang w:val="fr-CA" w:bidi="en-US"/>
        </w:rPr>
        <w:t>« [l]’existence d’un processus efficace dépend de plusieurs facteurs dont l’un d’eux, et non le moindre, est l’établissement de règles de procédure garantissant une procédure efficace et souple, qui permet de s’adapter aux circonstances »</w:t>
      </w:r>
      <w:r>
        <w:rPr>
          <w:rFonts w:cs="Times New Roman"/>
          <w:lang w:val="fr-CA"/>
        </w:rPr>
        <w:t xml:space="preserve"> : </w:t>
      </w:r>
      <w:r>
        <w:rPr>
          <w:rFonts w:cs="Times New Roman"/>
          <w:i/>
          <w:lang w:val="fr-CA"/>
        </w:rPr>
        <w:t>Lukács c. Office des transports du Canada</w:t>
      </w:r>
      <w:r>
        <w:rPr>
          <w:rFonts w:cs="Times New Roman"/>
          <w:lang w:val="fr-CA"/>
        </w:rPr>
        <w:t>, 2014 CAF 76</w:t>
      </w:r>
      <w:r w:rsidR="006237DF">
        <w:rPr>
          <w:rFonts w:cs="Times New Roman"/>
          <w:lang w:val="fr-CA"/>
        </w:rPr>
        <w:t xml:space="preserve">, </w:t>
      </w:r>
      <w:r>
        <w:rPr>
          <w:rFonts w:cs="Times New Roman"/>
          <w:lang w:val="fr-CA"/>
        </w:rPr>
        <w:t>par. 54</w:t>
      </w:r>
      <w:r w:rsidR="006237DF">
        <w:rPr>
          <w:rFonts w:cs="Times New Roman"/>
          <w:lang w:val="fr-CA"/>
        </w:rPr>
        <w:t xml:space="preserve"> (CanLII)</w:t>
      </w:r>
      <w:r>
        <w:rPr>
          <w:rFonts w:cs="Times New Roman"/>
          <w:lang w:val="fr-CA"/>
        </w:rPr>
        <w:t>. La formulation et l’application de règles de filtrage ou de contrôle représentent une façon par laquelle l’Office peut légitimement atteindre ces objectifs.</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De plus, suivant l’art. 25 de la </w:t>
      </w:r>
      <w:r>
        <w:rPr>
          <w:rFonts w:cs="Times New Roman"/>
          <w:i/>
          <w:lang w:val="fr-CA"/>
        </w:rPr>
        <w:t>Loi</w:t>
      </w:r>
      <w:r>
        <w:rPr>
          <w:rFonts w:cs="Times New Roman"/>
          <w:lang w:val="fr-CA"/>
        </w:rPr>
        <w:t>, l’Office a, « </w:t>
      </w:r>
      <w:r>
        <w:rPr>
          <w:rFonts w:cs="Times New Roman"/>
          <w:lang w:val="fr-CA" w:bidi="en-US"/>
        </w:rPr>
        <w:t xml:space="preserve">à toute fin liée à l’exercice de sa compétence, [. . .] </w:t>
      </w:r>
      <w:r>
        <w:rPr>
          <w:rFonts w:cs="Times New Roman"/>
          <w:lang w:val="fr-CA"/>
        </w:rPr>
        <w:t>les attributions d’une cour supérieure »</w:t>
      </w:r>
      <w:r>
        <w:rPr>
          <w:rFonts w:cs="Times New Roman"/>
          <w:lang w:val="fr-CA" w:bidi="en-US"/>
        </w:rPr>
        <w:t>, y compris les pouvoirs de contraindre la comparution et l’interrogatoire des témoins, d’ordonner la production et l’examen des pièces, de visiter un lieu et d’exécuter ses arrêtés</w:t>
      </w:r>
      <w:r>
        <w:rPr>
          <w:rFonts w:cs="Times New Roman"/>
          <w:lang w:val="fr-CA"/>
        </w:rPr>
        <w:t xml:space="preserve">. À l’instar de l’art. 17 de la </w:t>
      </w:r>
      <w:r>
        <w:rPr>
          <w:rFonts w:cs="Times New Roman"/>
          <w:i/>
          <w:lang w:val="fr-CA"/>
        </w:rPr>
        <w:t>Loi</w:t>
      </w:r>
      <w:r>
        <w:rPr>
          <w:rFonts w:cs="Times New Roman"/>
          <w:lang w:val="fr-CA"/>
        </w:rPr>
        <w:t>, l’art. 25 témoigne d’un choix du législateur de conférer à l’Office des pouvoirs discrétionnaires étendus pour qu’il gère ses propres processus et procédures, notamment ses pouvoirs judiciaires.</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En l’espèce, la Cour d’appel fédérale a reconnu que l’Office a le pouvoir </w:t>
      </w:r>
      <w:r>
        <w:rPr>
          <w:rFonts w:cs="Times New Roman"/>
          <w:lang w:val="fr-CA"/>
        </w:rPr>
        <w:lastRenderedPageBreak/>
        <w:t xml:space="preserve">discrétionnaire de ne pas entendre toutes les affaires : </w:t>
      </w:r>
    </w:p>
    <w:p w:rsidR="00332574" w:rsidRDefault="00332574" w:rsidP="00B830F5">
      <w:pPr>
        <w:pStyle w:val="Citation-AltC"/>
        <w:widowControl w:val="0"/>
        <w:tabs>
          <w:tab w:val="left" w:pos="1530"/>
        </w:tabs>
        <w:spacing w:after="240"/>
        <w:ind w:left="1168" w:hanging="1168"/>
        <w:rPr>
          <w:lang w:val="fr-CA"/>
        </w:rPr>
      </w:pPr>
      <w:r>
        <w:rPr>
          <w:lang w:val="fr-CA" w:bidi="en-US"/>
        </w:rPr>
        <w:tab/>
      </w:r>
      <w:r>
        <w:rPr>
          <w:lang w:val="fr-CA" w:bidi="en-US"/>
        </w:rPr>
        <w:tab/>
        <w:t xml:space="preserve">Comme l’a récemment affirmé notre Cour dans </w:t>
      </w:r>
      <w:r>
        <w:rPr>
          <w:i/>
          <w:lang w:val="fr-CA"/>
        </w:rPr>
        <w:t>Lukács</w:t>
      </w:r>
      <w:r>
        <w:rPr>
          <w:lang w:val="fr-CA"/>
        </w:rPr>
        <w:t xml:space="preserve"> </w:t>
      </w:r>
      <w:r>
        <w:rPr>
          <w:i/>
          <w:lang w:val="fr-CA" w:bidi="en-US"/>
        </w:rPr>
        <w:t xml:space="preserve">c. </w:t>
      </w:r>
      <w:r w:rsidR="001D04B0">
        <w:rPr>
          <w:i/>
          <w:lang w:val="fr-CA" w:bidi="en-US"/>
        </w:rPr>
        <w:t xml:space="preserve">Office des transports du </w:t>
      </w:r>
      <w:r>
        <w:rPr>
          <w:i/>
          <w:lang w:val="fr-CA" w:bidi="en-US"/>
        </w:rPr>
        <w:t>Canada</w:t>
      </w:r>
      <w:r>
        <w:rPr>
          <w:lang w:val="fr-CA" w:bidi="en-US"/>
        </w:rPr>
        <w:t xml:space="preserve">, 2016 CAF 202, aux paragraphes 31 et 32, la </w:t>
      </w:r>
      <w:r w:rsidRPr="001D04B0">
        <w:rPr>
          <w:lang w:val="fr-CA" w:bidi="en-US"/>
        </w:rPr>
        <w:t>Loi</w:t>
      </w:r>
      <w:r>
        <w:rPr>
          <w:lang w:val="fr-CA" w:bidi="en-US"/>
        </w:rPr>
        <w:t xml:space="preserve"> n’oblige pas l’Office à donner suite à toutes les plaintes concernant le respect de la </w:t>
      </w:r>
      <w:r w:rsidRPr="001D04B0">
        <w:rPr>
          <w:lang w:val="fr-CA" w:bidi="en-US"/>
        </w:rPr>
        <w:t>Loi</w:t>
      </w:r>
      <w:r>
        <w:rPr>
          <w:lang w:val="fr-CA" w:bidi="en-US"/>
        </w:rPr>
        <w:t xml:space="preserve"> et des divers règlements. L’article 37 de la </w:t>
      </w:r>
      <w:r w:rsidRPr="001D04B0">
        <w:rPr>
          <w:lang w:val="fr-CA" w:bidi="en-US"/>
        </w:rPr>
        <w:t xml:space="preserve">Loi </w:t>
      </w:r>
      <w:r>
        <w:rPr>
          <w:lang w:val="fr-CA" w:bidi="en-US"/>
        </w:rPr>
        <w:t xml:space="preserve">dispose clairement que l’Office « peut » enquêter sur une plainte, l’entendre et en décider. [. . .] </w:t>
      </w:r>
      <w:r w:rsidR="001D04B0">
        <w:rPr>
          <w:lang w:val="fr-CA" w:bidi="en-US"/>
        </w:rPr>
        <w:t>[I]l</w:t>
      </w:r>
      <w:r>
        <w:rPr>
          <w:lang w:val="fr-CA" w:bidi="en-US"/>
        </w:rPr>
        <w:t xml:space="preserve"> ne fait aucun doute que l’Office a une fonction de contrôle et qu’il a le pouvoir discrétionnaire de trier les plaintes qu’il reçoit, notamment afin d’assurer la meilleure utilisation possible de ses ressources limitées</w:t>
      </w:r>
      <w:r>
        <w:rPr>
          <w:lang w:val="fr-CA"/>
        </w:rPr>
        <w:t>.</w:t>
      </w:r>
    </w:p>
    <w:p w:rsidR="001D04B0" w:rsidRDefault="001D04B0" w:rsidP="00B830F5">
      <w:pPr>
        <w:pStyle w:val="Citation-AltC"/>
        <w:widowControl w:val="0"/>
        <w:tabs>
          <w:tab w:val="left" w:pos="1530"/>
        </w:tabs>
        <w:spacing w:after="240"/>
        <w:ind w:left="1168" w:hanging="1168"/>
        <w:rPr>
          <w:lang w:val="fr-CA"/>
        </w:rPr>
      </w:pPr>
    </w:p>
    <w:p w:rsidR="00332574" w:rsidRPr="004A7161" w:rsidRDefault="00332574" w:rsidP="00B830F5">
      <w:pPr>
        <w:pStyle w:val="Citation-AltC"/>
        <w:widowControl w:val="0"/>
        <w:ind w:hanging="1166"/>
        <w:rPr>
          <w:lang w:val="fr-CA"/>
        </w:rPr>
      </w:pPr>
      <w:r w:rsidRPr="004A7161">
        <w:rPr>
          <w:lang w:val="fr-CA"/>
        </w:rPr>
        <w:t>(2016 CAF 220, par. 16</w:t>
      </w:r>
      <w:r w:rsidR="001D04B0" w:rsidRPr="004A7161">
        <w:rPr>
          <w:lang w:val="fr-CA"/>
        </w:rPr>
        <w:t xml:space="preserve"> (CanLII)</w:t>
      </w:r>
      <w:r w:rsidRPr="004A7161">
        <w:rPr>
          <w:lang w:val="fr-CA"/>
        </w:rPr>
        <w:t>)</w:t>
      </w:r>
    </w:p>
    <w:p w:rsidR="00332574" w:rsidRDefault="00332574" w:rsidP="00B830F5">
      <w:pPr>
        <w:pStyle w:val="ContinueParaSuitedupar-AltP"/>
        <w:widowControl w:val="0"/>
        <w:rPr>
          <w:rFonts w:cs="Times New Roman"/>
          <w:lang w:val="fr-CA"/>
        </w:rPr>
      </w:pPr>
      <w:r>
        <w:rPr>
          <w:rFonts w:cs="Times New Roman"/>
          <w:lang w:val="fr-CA"/>
        </w:rPr>
        <w:t xml:space="preserve">Pourtant, après avoir accepté que l’Office a un pouvoir discrétionnaire de contrôle, la Cour d’appel fédérale a limité ce pouvoir en affirmant que l’exercice du contrôle ne pouvait pas se faire selon l’approche suivie par les tribunaux judiciaires. </w:t>
      </w:r>
    </w:p>
    <w:p w:rsidR="00332574" w:rsidRDefault="00332574" w:rsidP="00B830F5">
      <w:pPr>
        <w:pStyle w:val="ParaNoNdepar-AltN"/>
        <w:widowControl w:val="0"/>
        <w:numPr>
          <w:ilvl w:val="0"/>
          <w:numId w:val="3"/>
        </w:numPr>
        <w:rPr>
          <w:rFonts w:cs="Times New Roman"/>
          <w:lang w:val="fr-CA"/>
        </w:rPr>
      </w:pPr>
      <w:r>
        <w:rPr>
          <w:rFonts w:cs="Times New Roman"/>
          <w:lang w:val="fr-CA"/>
        </w:rPr>
        <w:t>Le législateur a conféré à l’Office le vaste pouvoir discrétionnaire de décider de quelle façon il exerce son mandat. Le fait que le tribunal exerce ce pouvoir discrétionnaire d’une façon différente de celle qu’aurait choisie une cour de révision ne constitue pas une entrave à ce pouvoir. Soit dit avec respect, il en résulte que la cour entrave indûment le pouvoir discrétionnaire de l’Office, et non que l’Office entrave son propre pouvoir.</w:t>
      </w:r>
    </w:p>
    <w:p w:rsidR="00332574" w:rsidRDefault="00332574" w:rsidP="00B830F5">
      <w:pPr>
        <w:pStyle w:val="ParaNoNdepar-AltN"/>
        <w:widowControl w:val="0"/>
        <w:numPr>
          <w:ilvl w:val="0"/>
          <w:numId w:val="3"/>
        </w:numPr>
        <w:rPr>
          <w:rFonts w:cs="Times New Roman"/>
          <w:lang w:val="fr-CA"/>
        </w:rPr>
      </w:pPr>
      <w:r>
        <w:rPr>
          <w:rFonts w:cs="Times New Roman"/>
          <w:lang w:val="fr-CA"/>
        </w:rPr>
        <w:t>Il ne fait aucun doute qu’on pourrait envisager d’autres tests relatifs à la qualité pour agir, mais dès lors que nous acceptons que le contrôle représente un exercice légitime du pouvoir discrétionnaire de l’Office conforme à son mandat, quel pouvoir la cour a</w:t>
      </w:r>
      <w:r>
        <w:rPr>
          <w:rFonts w:cs="Times New Roman"/>
          <w:lang w:val="fr-CA"/>
        </w:rPr>
        <w:noBreakHyphen/>
        <w:t>t</w:t>
      </w:r>
      <w:r>
        <w:rPr>
          <w:rFonts w:cs="Times New Roman"/>
          <w:lang w:val="fr-CA"/>
        </w:rPr>
        <w:noBreakHyphen/>
        <w:t xml:space="preserve">elle de remplacer le test appliqué par l’Office par celui qu’elle préfère? Le juge McIntyre l’a d’ailleurs indiqué dans </w:t>
      </w:r>
      <w:r>
        <w:rPr>
          <w:rFonts w:cs="Times New Roman"/>
          <w:i/>
          <w:lang w:val="fr-CA"/>
        </w:rPr>
        <w:t>Maple Lodge Farms Ltd. c. Gouvernement du Canada</w:t>
      </w:r>
      <w:r>
        <w:rPr>
          <w:rFonts w:cs="Times New Roman"/>
          <w:lang w:val="fr-CA"/>
        </w:rPr>
        <w:t>, [1982] 2 R</w:t>
      </w:r>
      <w:r w:rsidR="006D5B9C">
        <w:rPr>
          <w:rFonts w:cs="Times New Roman"/>
          <w:lang w:val="fr-CA"/>
        </w:rPr>
        <w:t>.C.S. 2, lorsqu’il a écrit : « . . .</w:t>
      </w:r>
      <w:r>
        <w:rPr>
          <w:rFonts w:cs="Times New Roman"/>
          <w:lang w:val="fr-CA"/>
        </w:rPr>
        <w:t xml:space="preserve"> les cours ne </w:t>
      </w:r>
      <w:r>
        <w:rPr>
          <w:rFonts w:cs="Times New Roman"/>
          <w:lang w:val="fr-CA"/>
        </w:rPr>
        <w:lastRenderedPageBreak/>
        <w:t>doivent pas s’ingérer dans l’exercice qu’un organisme désigné par la loi fait d’un pouvoir discrétionnaire simplement parce que la cour aurait exercé ce pouvoir différemment si la responsabil</w:t>
      </w:r>
      <w:r w:rsidR="006D5B9C">
        <w:rPr>
          <w:rFonts w:cs="Times New Roman"/>
          <w:lang w:val="fr-CA"/>
        </w:rPr>
        <w:t>ité lui en avait incombé » : p</w:t>
      </w:r>
      <w:r>
        <w:rPr>
          <w:rFonts w:cs="Times New Roman"/>
          <w:lang w:val="fr-CA"/>
        </w:rPr>
        <w:t>. 7.</w:t>
      </w:r>
    </w:p>
    <w:p w:rsidR="00332574" w:rsidRDefault="00332574" w:rsidP="00B830F5">
      <w:pPr>
        <w:pStyle w:val="ParaNoNdepar-AltN"/>
        <w:widowControl w:val="0"/>
        <w:numPr>
          <w:ilvl w:val="0"/>
          <w:numId w:val="3"/>
        </w:numPr>
        <w:rPr>
          <w:rFonts w:cs="Times New Roman"/>
          <w:lang w:val="fr-CA"/>
        </w:rPr>
      </w:pPr>
      <w:r>
        <w:rPr>
          <w:rFonts w:cs="Times New Roman"/>
          <w:lang w:val="fr-CA"/>
        </w:rPr>
        <w:t>Les règles relatives à la qualité pour agir d’un tribunal administratif ne résisteront pas nécessairement à l’examen simplement parce que celui</w:t>
      </w:r>
      <w:r>
        <w:rPr>
          <w:rFonts w:cs="Times New Roman"/>
          <w:lang w:val="fr-CA"/>
        </w:rPr>
        <w:noBreakHyphen/>
        <w:t>ci est autorisé par la loi à élaborer sa propre procédure. Toutefois, lorsqu’un tribunal administratif comme l’Office choisit d’appliquer et d’exercer le mandat étendu que la loi lui confère en empruntant une approche reconnue depuis longtemps par les tribunaux judiciaires comme une façon efficace et raisonnée de décider quelles affaires il entendra, les cours de révision ne devraient pas, par excès de zèle, substituer leur propre vision de la manière dont devrait être appliqué le mandat procédural de ce tribunal. En pratique, si elles le faisaient, elles mineraient non seulement la légitimité des règles relatives à la qualité pour agir élaborées et appliquées par les tribunaux judiciaires, mais aussi la confiance du public envers le tribunal administratif en suggérant que celui</w:t>
      </w:r>
      <w:r>
        <w:rPr>
          <w:rFonts w:cs="Times New Roman"/>
          <w:lang w:val="fr-CA"/>
        </w:rPr>
        <w:noBreakHyphen/>
        <w:t>ci n’a pas les caractéristiques d’un organisme décisionnel ayant une maturité institutionnelle suffisante pour appliquer les mêmes règles qu’une cour. Autrement dit, si c’est assez bon pour les cours, c’est assez bon pour les tribunaux. Je reconnais qu’il n’est peut</w:t>
      </w:r>
      <w:r>
        <w:rPr>
          <w:rFonts w:cs="Times New Roman"/>
          <w:lang w:val="fr-CA"/>
        </w:rPr>
        <w:noBreakHyphen/>
        <w:t xml:space="preserve">être pas approprié, dans certaines circonstances, d’appliquer des procédures semblables à celles des tribunaux judiciaires dans le contexte d’un tribunal administratif, mais lorsque, comme en l’espèce, les procédures adoptées découlent des mêmes considérations et fondements, je ne vois pas pourquoi un tribunal administratif s’estimerait immunisé contre l’accès à des procédures que des tribunaux judiciaires ont jugé utiles. </w:t>
      </w:r>
    </w:p>
    <w:p w:rsidR="00332574" w:rsidRDefault="00332574" w:rsidP="00B830F5">
      <w:pPr>
        <w:pStyle w:val="ParaNoNdepar-AltN"/>
        <w:widowControl w:val="0"/>
        <w:numPr>
          <w:ilvl w:val="0"/>
          <w:numId w:val="3"/>
        </w:numPr>
        <w:rPr>
          <w:rFonts w:cs="Times New Roman"/>
          <w:lang w:val="fr-CA"/>
        </w:rPr>
      </w:pPr>
      <w:r>
        <w:rPr>
          <w:rFonts w:cs="Times New Roman"/>
          <w:lang w:val="fr-CA"/>
        </w:rPr>
        <w:lastRenderedPageBreak/>
        <w:t xml:space="preserve">Cela ne veut pas dire que les tribunaux administratifs sont </w:t>
      </w:r>
      <w:r>
        <w:rPr>
          <w:rFonts w:cs="Times New Roman"/>
          <w:i/>
          <w:lang w:val="fr-CA"/>
        </w:rPr>
        <w:t>tenus</w:t>
      </w:r>
      <w:r>
        <w:rPr>
          <w:rFonts w:cs="Times New Roman"/>
          <w:lang w:val="fr-CA"/>
        </w:rPr>
        <w:t xml:space="preserve"> de suivre les mêmes procédures que celles utilisées par les tribunaux judiciaires; toutefois, lorsqu’ils le font, ce fait à lui seul ne saurait servir de fondement pour les annuler. À moins que nous ne soyons disposés à affirmer que les règles des tribunaux judiciaires relatives à la qualité pour agir sont inappropriées, je ne vois aucune raison de conclure qu’elles sont moins appropriées lorsqu’elles sont appliquées par un tribunal administratif. En l’espèce, l’Office a élaboré ses règles relatives à la qualité pour agir en pleine conformité avec le mandat que lui confère la </w:t>
      </w:r>
      <w:r>
        <w:rPr>
          <w:rFonts w:cs="Times New Roman"/>
          <w:i/>
          <w:lang w:val="fr-CA"/>
        </w:rPr>
        <w:t>Loi</w:t>
      </w:r>
      <w:r>
        <w:rPr>
          <w:rFonts w:cs="Times New Roman"/>
          <w:lang w:val="fr-CA"/>
        </w:rPr>
        <w:t xml:space="preserve">. Rien ne justifie de les modifier.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Il ne fait aucun doute que le test relatif à la qualité pour agir dans l’intérêt public est un seuil élevé et fait en sorte que certains groupes ou personnes ne peuvent pas soulever les questions qu’ils jugent importantes. Pourtant, les cours appliquent régulièrement ce seuil pour déterminer de façon transparente quelle sera l’utilisation la plus efficace </w:t>
      </w:r>
      <w:r w:rsidR="00485155">
        <w:rPr>
          <w:rFonts w:cs="Times New Roman"/>
          <w:lang w:val="fr-CA"/>
        </w:rPr>
        <w:t xml:space="preserve">de </w:t>
      </w:r>
      <w:r>
        <w:rPr>
          <w:rFonts w:cs="Times New Roman"/>
          <w:lang w:val="fr-CA"/>
        </w:rPr>
        <w:t xml:space="preserve">leur temps, </w:t>
      </w:r>
      <w:r w:rsidR="003C5575">
        <w:rPr>
          <w:rFonts w:cs="Times New Roman"/>
          <w:lang w:val="fr-CA"/>
        </w:rPr>
        <w:t xml:space="preserve">de </w:t>
      </w:r>
      <w:r>
        <w:rPr>
          <w:rFonts w:cs="Times New Roman"/>
          <w:lang w:val="fr-CA"/>
        </w:rPr>
        <w:t xml:space="preserve">leurs ressources et </w:t>
      </w:r>
      <w:r w:rsidR="003C5575">
        <w:rPr>
          <w:rFonts w:cs="Times New Roman"/>
          <w:lang w:val="fr-CA"/>
        </w:rPr>
        <w:t xml:space="preserve">de </w:t>
      </w:r>
      <w:r>
        <w:rPr>
          <w:rFonts w:cs="Times New Roman"/>
          <w:lang w:val="fr-CA"/>
        </w:rPr>
        <w:t xml:space="preserve">leur expertise. Les tribunaux administratifs n’en sont pas moins autorisés à appliquer des seuils élevés afin de protéger leur capacité à gérer les ressources et l’expertise conformément à leur mandat. L’accès à la justice exige que les tribunaux judiciaires et les tribunaux administratifs soient incités à trouver des méthodes de sélection pour faire en sorte que ceux qui en ont besoin puissent avoir accès à la justice en temps opportun, et non qu’ils soient empêchés de trouver de telles méthodes : </w:t>
      </w:r>
      <w:r>
        <w:rPr>
          <w:rFonts w:cs="Times New Roman"/>
          <w:i/>
          <w:lang w:val="fr-CA"/>
        </w:rPr>
        <w:t>Hryniak c. Mauldin</w:t>
      </w:r>
      <w:r>
        <w:rPr>
          <w:rFonts w:cs="Times New Roman"/>
          <w:lang w:val="fr-CA"/>
        </w:rPr>
        <w:t>, [2014] 1 R.C.S. 87. C’est la raison pour laquelle les tribunaux judiciaires ont, à l’origine, établi des règles sur la qualité pour agir.</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Le test appliqué par l’Office a, dans les faits, privé M. Lukács de la </w:t>
      </w:r>
      <w:r>
        <w:rPr>
          <w:rFonts w:cs="Times New Roman"/>
          <w:lang w:val="fr-CA"/>
        </w:rPr>
        <w:lastRenderedPageBreak/>
        <w:t xml:space="preserve">possibilité de prouver qu’il avait la capacité pour agir dans l’intérêt public dans cette affaire. Mais, à mon avis, cela ne règle pas la question. La question à trancher est celle de savoir si le résultat auquel l’Office est arrivé était raisonnable. M. Lukács a déposé une plainte </w:t>
      </w:r>
      <w:r w:rsidR="00485155">
        <w:rPr>
          <w:rFonts w:cs="Times New Roman"/>
          <w:lang w:val="fr-CA"/>
        </w:rPr>
        <w:t>sans l’étayer</w:t>
      </w:r>
      <w:r>
        <w:rPr>
          <w:rFonts w:cs="Times New Roman"/>
          <w:lang w:val="fr-CA"/>
        </w:rPr>
        <w:t xml:space="preserve"> par des faits sous</w:t>
      </w:r>
      <w:r>
        <w:rPr>
          <w:rFonts w:cs="Times New Roman"/>
          <w:lang w:val="fr-CA"/>
        </w:rPr>
        <w:noBreakHyphen/>
        <w:t xml:space="preserve">jacents, sans demandeurs représentatifs et sans présenter d’arguments. Il veut entraîner l’Office dans une recherche à l’aveuglette qui aura pour effet de le distraire de sa capacité à exercer son mandat pour le compte de ceux qui ont une revendication légitime à première vue. </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Même si l’Office avait appliqué le test relatif à la capacité pour agir dans l’intérêt public moins rigoureux que proposait M. Lukács, je ne vois pas comment il aurait pu réussir à faire examiner sa plainte. Il n’est donc pas nécessaire de renvoyer l’affaire à l’Office. Sa plainte à l’égard des pratiques de Delta est purement théorique, son intérêt à l’égard des questions l’est tout autant et la poursuite proposée ne constitue pas un moyen raisonnable et efficace de soumettre la question à l’Office. Il n’a présenté aucune preuve établissant que des passagers de Delta, y compris le passager qui a envoyé le courriel sur lequel il s’est fondé, ont été réellement touchés par la question qu’il a soulevée devant l’Office. En fait, il n’a présenté absolument aucune preuve, et ce, même si l’Office a une procédure de plainte ouverte par laquelle les plaignants sont invités à présenter et à justifier leurs plaintes par une demande en ligne accessible. </w:t>
      </w:r>
    </w:p>
    <w:p w:rsidR="00332574" w:rsidRDefault="00332574" w:rsidP="00B830F5">
      <w:pPr>
        <w:pStyle w:val="ParaNoNdepar-AltN"/>
        <w:widowControl w:val="0"/>
        <w:numPr>
          <w:ilvl w:val="0"/>
          <w:numId w:val="3"/>
        </w:numPr>
        <w:rPr>
          <w:rFonts w:cs="Times New Roman"/>
          <w:lang w:val="fr-CA"/>
        </w:rPr>
      </w:pPr>
      <w:r>
        <w:rPr>
          <w:rFonts w:cs="Times New Roman"/>
          <w:lang w:val="fr-CA"/>
        </w:rPr>
        <w:t>Il n’a pas non plus expliqué pourquoi un passager touché par les pratiques de Delta n’aurait pas pu présenter sa propre demande à l’Office, « </w:t>
      </w:r>
      <w:r>
        <w:rPr>
          <w:rFonts w:cs="Times New Roman"/>
          <w:lang w:val="fr-CA" w:bidi="en-US"/>
        </w:rPr>
        <w:t>présent[ant ainsi] à [ce dernier] des preuves directes et concrètes sur lesquelles s’a</w:t>
      </w:r>
      <w:r w:rsidR="00485155">
        <w:rPr>
          <w:rFonts w:cs="Times New Roman"/>
          <w:lang w:val="fr-CA" w:bidi="en-US"/>
        </w:rPr>
        <w:t>ppuyer pour rendre une décision</w:t>
      </w:r>
      <w:r>
        <w:rPr>
          <w:rFonts w:cs="Times New Roman"/>
          <w:lang w:val="fr-CA"/>
        </w:rPr>
        <w:t xml:space="preserve"> » : </w:t>
      </w:r>
      <w:r>
        <w:rPr>
          <w:rFonts w:cs="Times New Roman"/>
          <w:i/>
          <w:lang w:val="fr-CA"/>
        </w:rPr>
        <w:t>Porter</w:t>
      </w:r>
      <w:r>
        <w:rPr>
          <w:rFonts w:cs="Times New Roman"/>
          <w:lang w:val="fr-CA"/>
        </w:rPr>
        <w:t>,</w:t>
      </w:r>
      <w:r>
        <w:rPr>
          <w:rFonts w:cs="Times New Roman"/>
          <w:i/>
          <w:lang w:val="fr-CA"/>
        </w:rPr>
        <w:t xml:space="preserve"> </w:t>
      </w:r>
      <w:r>
        <w:rPr>
          <w:rFonts w:cs="Times New Roman"/>
          <w:lang w:val="fr-CA"/>
        </w:rPr>
        <w:t xml:space="preserve">par. 65. Une telle preuve directe et concrète paraît d’autant plus nécessaire compte tenu de la décision bien connue de l’Office, y compris de M. Lukács </w:t>
      </w:r>
      <w:r>
        <w:rPr>
          <w:rFonts w:cs="Times New Roman"/>
          <w:lang w:val="fr-CA"/>
        </w:rPr>
        <w:lastRenderedPageBreak/>
        <w:t>selon ses propres dires, portant sur les déficiences, et qui a étab</w:t>
      </w:r>
      <w:r w:rsidR="00241E9D">
        <w:rPr>
          <w:rFonts w:cs="Times New Roman"/>
          <w:lang w:val="fr-CA"/>
        </w:rPr>
        <w:t>li la politique « une personne,</w:t>
      </w:r>
      <w:r>
        <w:rPr>
          <w:rFonts w:cs="Times New Roman"/>
          <w:lang w:val="fr-CA"/>
        </w:rPr>
        <w:t xml:space="preserve"> un tarif », laquelle prévoit que « </w:t>
      </w:r>
      <w:r>
        <w:rPr>
          <w:rFonts w:cs="Times New Roman"/>
          <w:lang w:val="fr-CA" w:bidi="en-US"/>
        </w:rPr>
        <w:t>la réponse à la question de savoir si une personne a une déficience en raison de son obésité dépend des faits et des circonstances de chaque situation et doit être évaluée au cas par cas »</w:t>
      </w:r>
      <w:r w:rsidRPr="00A734D9">
        <w:rPr>
          <w:lang w:val="fr-CA"/>
        </w:rPr>
        <w:t> :</w:t>
      </w:r>
      <w:r w:rsidRPr="00BC17C3">
        <w:rPr>
          <w:rFonts w:cs="Times New Roman"/>
          <w:lang w:val="fr-CA" w:bidi="en-US"/>
        </w:rPr>
        <w:t xml:space="preserve"> </w:t>
      </w:r>
      <w:r>
        <w:rPr>
          <w:rFonts w:cs="Times New Roman"/>
          <w:i/>
          <w:lang w:val="fr-CA" w:bidi="en-US"/>
        </w:rPr>
        <w:t xml:space="preserve">Norman </w:t>
      </w:r>
      <w:r w:rsidR="00485155">
        <w:rPr>
          <w:rFonts w:cs="Times New Roman"/>
          <w:i/>
          <w:lang w:val="fr-CA" w:bidi="en-US"/>
        </w:rPr>
        <w:t>(Succession)</w:t>
      </w:r>
      <w:r>
        <w:rPr>
          <w:rFonts w:cs="Times New Roman"/>
          <w:i/>
          <w:lang w:val="fr-CA" w:bidi="en-US"/>
        </w:rPr>
        <w:t xml:space="preserve"> c. Air Canada</w:t>
      </w:r>
      <w:r>
        <w:rPr>
          <w:rFonts w:cs="Times New Roman"/>
          <w:lang w:val="fr-CA" w:bidi="en-US"/>
        </w:rPr>
        <w:t>, décision n</w:t>
      </w:r>
      <w:r>
        <w:rPr>
          <w:rFonts w:cs="Times New Roman"/>
          <w:vertAlign w:val="superscript"/>
          <w:lang w:val="fr-CA" w:bidi="en-US"/>
        </w:rPr>
        <w:t>o</w:t>
      </w:r>
      <w:r w:rsidR="00F446B7">
        <w:rPr>
          <w:rFonts w:cs="Times New Roman"/>
          <w:lang w:val="fr-CA" w:bidi="en-US"/>
        </w:rPr>
        <w:t> 6-AT-A-</w:t>
      </w:r>
      <w:r>
        <w:rPr>
          <w:rFonts w:cs="Times New Roman"/>
          <w:lang w:val="fr-CA" w:bidi="en-US"/>
        </w:rPr>
        <w:t>2008, 10 janvier 2008, par. 128</w:t>
      </w:r>
      <w:r>
        <w:rPr>
          <w:rFonts w:cs="Times New Roman"/>
          <w:lang w:val="fr-CA"/>
        </w:rPr>
        <w:t>.</w:t>
      </w:r>
    </w:p>
    <w:p w:rsidR="00332574" w:rsidRDefault="00332574" w:rsidP="00B830F5">
      <w:pPr>
        <w:pStyle w:val="ParaNoNdepar-AltN"/>
        <w:widowControl w:val="0"/>
        <w:numPr>
          <w:ilvl w:val="0"/>
          <w:numId w:val="3"/>
        </w:numPr>
        <w:rPr>
          <w:rFonts w:cs="Times New Roman"/>
          <w:lang w:val="fr-CA"/>
        </w:rPr>
      </w:pPr>
      <w:r>
        <w:rPr>
          <w:rFonts w:cs="Times New Roman"/>
          <w:lang w:val="fr-CA"/>
        </w:rPr>
        <w:t>En conséquence, la décision de l’Office de rejeter la plainte de M. Lukács parce que celui</w:t>
      </w:r>
      <w:r>
        <w:rPr>
          <w:rFonts w:cs="Times New Roman"/>
          <w:lang w:val="fr-CA"/>
        </w:rPr>
        <w:noBreakHyphen/>
        <w:t>ci n’avait pas qualité pour agir était raisonnable compte tenu de toutes les circonstances.</w:t>
      </w:r>
    </w:p>
    <w:p w:rsidR="00332574" w:rsidRDefault="00332574" w:rsidP="00B830F5">
      <w:pPr>
        <w:pStyle w:val="ParaNoNdepar-AltN"/>
        <w:widowControl w:val="0"/>
        <w:numPr>
          <w:ilvl w:val="0"/>
          <w:numId w:val="3"/>
        </w:numPr>
        <w:rPr>
          <w:rFonts w:cs="Times New Roman"/>
          <w:lang w:val="fr-CA"/>
        </w:rPr>
      </w:pPr>
      <w:r>
        <w:rPr>
          <w:rFonts w:cs="Times New Roman"/>
          <w:lang w:val="fr-CA"/>
        </w:rPr>
        <w:t xml:space="preserve">J’accueillerais le pourvoi et rétablirais la décision de l’Office. Delta ne réclame aucuns dépens. </w:t>
      </w:r>
    </w:p>
    <w:p w:rsidR="004D7D95" w:rsidRPr="001F428A" w:rsidRDefault="001F428A" w:rsidP="00B830F5">
      <w:pPr>
        <w:pStyle w:val="SCCNormalDoubleSpacing"/>
        <w:widowControl w:val="0"/>
        <w:spacing w:after="480"/>
        <w:rPr>
          <w:i/>
          <w:lang w:val="fr-CA"/>
        </w:rPr>
      </w:pPr>
      <w:r>
        <w:rPr>
          <w:lang w:val="fr-CA"/>
        </w:rPr>
        <w:tab/>
      </w:r>
      <w:r w:rsidR="00797A90" w:rsidRPr="009E4988">
        <w:rPr>
          <w:i/>
          <w:lang w:val="fr-CA"/>
        </w:rPr>
        <w:t>Pourvoi</w:t>
      </w:r>
      <w:r w:rsidRPr="009E4988">
        <w:rPr>
          <w:i/>
          <w:lang w:val="fr-CA"/>
        </w:rPr>
        <w:t xml:space="preserve"> </w:t>
      </w:r>
      <w:r w:rsidR="00C26628" w:rsidRPr="009E4988">
        <w:rPr>
          <w:i/>
          <w:lang w:val="fr-CA"/>
        </w:rPr>
        <w:t xml:space="preserve">accueilli en partie avec dépens </w:t>
      </w:r>
      <w:r w:rsidR="00197DF9" w:rsidRPr="009E4988">
        <w:rPr>
          <w:i/>
          <w:lang w:val="fr-CA"/>
        </w:rPr>
        <w:t>en faveur de</w:t>
      </w:r>
      <w:r w:rsidR="00C26628" w:rsidRPr="009E4988">
        <w:rPr>
          <w:i/>
          <w:lang w:val="fr-CA"/>
        </w:rPr>
        <w:t xml:space="preserve"> l’intimé, les juges </w:t>
      </w:r>
      <w:r w:rsidR="00C26628" w:rsidRPr="009E4988">
        <w:rPr>
          <w:smallCaps/>
          <w:lang w:val="fr-CA"/>
        </w:rPr>
        <w:t>Abella</w:t>
      </w:r>
      <w:r w:rsidR="00C26628" w:rsidRPr="009E4988">
        <w:rPr>
          <w:i/>
          <w:lang w:val="fr-CA"/>
        </w:rPr>
        <w:t>,</w:t>
      </w:r>
      <w:r w:rsidR="00C26628" w:rsidRPr="009E4988">
        <w:rPr>
          <w:i/>
          <w:smallCaps/>
          <w:lang w:val="fr-CA"/>
        </w:rPr>
        <w:t xml:space="preserve"> </w:t>
      </w:r>
      <w:r w:rsidR="00C26628" w:rsidRPr="009E4988">
        <w:rPr>
          <w:smallCaps/>
          <w:lang w:val="fr-CA"/>
        </w:rPr>
        <w:t>Moldaver</w:t>
      </w:r>
      <w:r w:rsidR="00C26628" w:rsidRPr="009E4988">
        <w:rPr>
          <w:i/>
          <w:lang w:val="fr-CA"/>
        </w:rPr>
        <w:t xml:space="preserve"> et </w:t>
      </w:r>
      <w:r w:rsidR="00C26628" w:rsidRPr="009E4988">
        <w:rPr>
          <w:smallCaps/>
          <w:lang w:val="fr-CA"/>
        </w:rPr>
        <w:t>Karakatsanis</w:t>
      </w:r>
      <w:r w:rsidR="00C26628" w:rsidRPr="009E4988">
        <w:rPr>
          <w:i/>
          <w:lang w:val="fr-CA"/>
        </w:rPr>
        <w:t xml:space="preserve"> sont dissidents</w:t>
      </w:r>
      <w:r w:rsidR="0056289E" w:rsidRPr="009E4988">
        <w:rPr>
          <w:i/>
          <w:lang w:val="fr-CA"/>
        </w:rPr>
        <w:t>.</w:t>
      </w:r>
    </w:p>
    <w:p w:rsidR="003877E0" w:rsidRDefault="00E125F2" w:rsidP="00B830F5">
      <w:pPr>
        <w:pStyle w:val="SCCLawFirm"/>
        <w:widowControl w:val="0"/>
        <w:spacing w:after="480"/>
        <w:rPr>
          <w:lang w:val="fr-CA"/>
        </w:rPr>
      </w:pPr>
      <w:r>
        <w:rPr>
          <w:lang w:val="fr-CA"/>
        </w:rPr>
        <w:tab/>
        <w:t>Procureur</w:t>
      </w:r>
      <w:r w:rsidRPr="00F95479">
        <w:rPr>
          <w:lang w:val="fr-CA"/>
        </w:rPr>
        <w:t>s</w:t>
      </w:r>
      <w:r w:rsidR="008141A1" w:rsidRPr="00F904F0">
        <w:rPr>
          <w:lang w:val="fr-CA"/>
        </w:rPr>
        <w:t xml:space="preserve"> de </w:t>
      </w:r>
      <w:r w:rsidRPr="00F904F0">
        <w:rPr>
          <w:lang w:val="fr-CA"/>
        </w:rPr>
        <w:t>l</w:t>
      </w:r>
      <w:r>
        <w:rPr>
          <w:lang w:val="fr-CA"/>
        </w:rPr>
        <w:t>’appelante</w:t>
      </w:r>
      <w:r w:rsidR="005C1B20">
        <w:rPr>
          <w:lang w:val="fr-CA"/>
        </w:rPr>
        <w:t> : </w:t>
      </w:r>
      <w:r w:rsidR="008141A1" w:rsidRPr="00F904F0">
        <w:rPr>
          <w:lang w:val="fr-CA"/>
        </w:rPr>
        <w:t>Bersenas Jacobsen Chouest Thomson Blackburn, Toronto.</w:t>
      </w:r>
    </w:p>
    <w:p w:rsidR="00E125F2" w:rsidRPr="00E125F2" w:rsidRDefault="00E125F2" w:rsidP="00B830F5">
      <w:pPr>
        <w:pStyle w:val="SCCNormalDoubleSpacing"/>
        <w:widowControl w:val="0"/>
        <w:spacing w:after="480"/>
        <w:rPr>
          <w:i/>
          <w:lang w:val="fr-CA"/>
        </w:rPr>
      </w:pPr>
      <w:r>
        <w:rPr>
          <w:lang w:val="fr-CA"/>
        </w:rPr>
        <w:tab/>
      </w:r>
      <w:r>
        <w:rPr>
          <w:i/>
          <w:lang w:val="fr-CA"/>
        </w:rPr>
        <w:t>Procureur</w:t>
      </w:r>
      <w:r w:rsidRPr="00E125F2">
        <w:rPr>
          <w:i/>
          <w:lang w:val="fr-CA"/>
        </w:rPr>
        <w:t xml:space="preserve"> de l’</w:t>
      </w:r>
      <w:r>
        <w:rPr>
          <w:i/>
          <w:lang w:val="fr-CA"/>
        </w:rPr>
        <w:t>intervenant le</w:t>
      </w:r>
      <w:r w:rsidRPr="00E125F2">
        <w:rPr>
          <w:i/>
          <w:lang w:val="fr-CA"/>
        </w:rPr>
        <w:t xml:space="preserve"> </w:t>
      </w:r>
      <w:r>
        <w:rPr>
          <w:i/>
          <w:lang w:val="fr-CA"/>
        </w:rPr>
        <w:t>p</w:t>
      </w:r>
      <w:r w:rsidRPr="00E125F2">
        <w:rPr>
          <w:i/>
          <w:lang w:val="fr-CA"/>
        </w:rPr>
        <w:t>rocureur général de lʼOntario</w:t>
      </w:r>
      <w:r w:rsidR="005C1B20">
        <w:rPr>
          <w:i/>
          <w:lang w:val="fr-CA"/>
        </w:rPr>
        <w:t> : </w:t>
      </w:r>
      <w:r w:rsidR="005E25EA">
        <w:rPr>
          <w:i/>
          <w:lang w:val="fr-CA"/>
        </w:rPr>
        <w:t>P</w:t>
      </w:r>
      <w:r>
        <w:rPr>
          <w:i/>
          <w:lang w:val="fr-CA"/>
        </w:rPr>
        <w:t>rocureur général de l’Ontario</w:t>
      </w:r>
      <w:r w:rsidRPr="00E125F2">
        <w:rPr>
          <w:i/>
          <w:lang w:val="fr-CA"/>
        </w:rPr>
        <w:t>, Toronto.</w:t>
      </w:r>
    </w:p>
    <w:p w:rsidR="003877E0" w:rsidRPr="00F904F0" w:rsidRDefault="00E125F2" w:rsidP="00B830F5">
      <w:pPr>
        <w:pStyle w:val="SCCLawFirm"/>
        <w:widowControl w:val="0"/>
        <w:spacing w:after="480"/>
        <w:rPr>
          <w:lang w:val="fr-CA"/>
        </w:rPr>
      </w:pPr>
      <w:r>
        <w:rPr>
          <w:lang w:val="fr-CA"/>
        </w:rPr>
        <w:tab/>
      </w:r>
      <w:r w:rsidRPr="005E25EA">
        <w:rPr>
          <w:lang w:val="fr-CA"/>
        </w:rPr>
        <w:t>Procureur</w:t>
      </w:r>
      <w:r w:rsidR="008141A1" w:rsidRPr="005E25EA">
        <w:rPr>
          <w:lang w:val="fr-CA"/>
        </w:rPr>
        <w:t xml:space="preserve"> de l</w:t>
      </w:r>
      <w:r w:rsidR="00290366" w:rsidRPr="005E25EA">
        <w:rPr>
          <w:lang w:val="fr-CA"/>
        </w:rPr>
        <w:t>ʼ</w:t>
      </w:r>
      <w:r w:rsidRPr="005E25EA">
        <w:rPr>
          <w:lang w:val="fr-CA"/>
        </w:rPr>
        <w:t>intervenant l’</w:t>
      </w:r>
      <w:r w:rsidR="008141A1" w:rsidRPr="005E25EA">
        <w:rPr>
          <w:lang w:val="fr-CA"/>
        </w:rPr>
        <w:t>Office</w:t>
      </w:r>
      <w:r w:rsidR="008141A1" w:rsidRPr="00F904F0">
        <w:rPr>
          <w:lang w:val="fr-CA"/>
        </w:rPr>
        <w:t xml:space="preserve"> des transports du Canada</w:t>
      </w:r>
      <w:r w:rsidR="005C1B20">
        <w:rPr>
          <w:lang w:val="fr-CA"/>
        </w:rPr>
        <w:t> : </w:t>
      </w:r>
      <w:r w:rsidR="00710701">
        <w:rPr>
          <w:lang w:val="fr-CA"/>
        </w:rPr>
        <w:t>Office des transports du Canada</w:t>
      </w:r>
      <w:r w:rsidR="008141A1" w:rsidRPr="00F904F0">
        <w:rPr>
          <w:lang w:val="fr-CA"/>
        </w:rPr>
        <w:t>, Gatineau.</w:t>
      </w:r>
    </w:p>
    <w:p w:rsidR="003877E0" w:rsidRPr="00F904F0" w:rsidRDefault="008141A1" w:rsidP="00B830F5">
      <w:pPr>
        <w:pStyle w:val="SCCLawFirm"/>
        <w:widowControl w:val="0"/>
        <w:spacing w:after="480"/>
        <w:rPr>
          <w:lang w:val="fr-CA"/>
        </w:rPr>
      </w:pPr>
      <w:r w:rsidRPr="00F904F0">
        <w:rPr>
          <w:lang w:val="fr-CA"/>
        </w:rPr>
        <w:tab/>
      </w:r>
      <w:r w:rsidRPr="005E25EA">
        <w:rPr>
          <w:lang w:val="fr-CA"/>
        </w:rPr>
        <w:t>Procureur</w:t>
      </w:r>
      <w:r w:rsidR="002954F5" w:rsidRPr="005E25EA">
        <w:rPr>
          <w:lang w:val="fr-CA"/>
        </w:rPr>
        <w:t>s</w:t>
      </w:r>
      <w:r w:rsidRPr="005E25EA">
        <w:rPr>
          <w:lang w:val="fr-CA"/>
        </w:rPr>
        <w:t xml:space="preserve"> de l</w:t>
      </w:r>
      <w:r w:rsidR="00290366" w:rsidRPr="005E25EA">
        <w:rPr>
          <w:lang w:val="fr-CA"/>
        </w:rPr>
        <w:t>ʼ</w:t>
      </w:r>
      <w:r w:rsidR="002954F5" w:rsidRPr="005E25EA">
        <w:rPr>
          <w:lang w:val="fr-CA"/>
        </w:rPr>
        <w:t>intervenante</w:t>
      </w:r>
      <w:r w:rsidRPr="005E25EA">
        <w:rPr>
          <w:lang w:val="fr-CA"/>
        </w:rPr>
        <w:t xml:space="preserve"> International</w:t>
      </w:r>
      <w:r w:rsidRPr="00F904F0">
        <w:rPr>
          <w:lang w:val="fr-CA"/>
        </w:rPr>
        <w:t xml:space="preserve"> Air Transport </w:t>
      </w:r>
      <w:r w:rsidRPr="00F904F0">
        <w:rPr>
          <w:lang w:val="fr-CA"/>
        </w:rPr>
        <w:lastRenderedPageBreak/>
        <w:t>Association</w:t>
      </w:r>
      <w:r w:rsidR="005C1B20">
        <w:rPr>
          <w:lang w:val="fr-CA"/>
        </w:rPr>
        <w:t> : </w:t>
      </w:r>
      <w:r w:rsidRPr="00F904F0">
        <w:rPr>
          <w:lang w:val="fr-CA"/>
        </w:rPr>
        <w:t xml:space="preserve">DLA </w:t>
      </w:r>
      <w:r w:rsidRPr="002715EC">
        <w:rPr>
          <w:lang w:val="fr-CA"/>
        </w:rPr>
        <w:t>Piper (Canada), Vancouver</w:t>
      </w:r>
      <w:r w:rsidRPr="00F904F0">
        <w:rPr>
          <w:lang w:val="fr-CA"/>
        </w:rPr>
        <w:t>.</w:t>
      </w:r>
    </w:p>
    <w:p w:rsidR="004D7D95" w:rsidRPr="00E161AA" w:rsidRDefault="008141A1" w:rsidP="00B830F5">
      <w:pPr>
        <w:pStyle w:val="SCCLawFirm"/>
        <w:widowControl w:val="0"/>
        <w:rPr>
          <w:lang w:val="fr-CA"/>
        </w:rPr>
      </w:pPr>
      <w:r w:rsidRPr="00F904F0">
        <w:rPr>
          <w:lang w:val="fr-CA"/>
        </w:rPr>
        <w:tab/>
      </w:r>
      <w:r w:rsidRPr="005E25EA">
        <w:rPr>
          <w:lang w:val="fr-CA"/>
        </w:rPr>
        <w:t>Pro</w:t>
      </w:r>
      <w:r w:rsidR="002954F5" w:rsidRPr="005E25EA">
        <w:rPr>
          <w:lang w:val="fr-CA"/>
        </w:rPr>
        <w:t>cureur</w:t>
      </w:r>
      <w:r w:rsidRPr="005E25EA">
        <w:rPr>
          <w:lang w:val="fr-CA"/>
        </w:rPr>
        <w:t xml:space="preserve"> de l</w:t>
      </w:r>
      <w:r w:rsidR="00290366" w:rsidRPr="005E25EA">
        <w:rPr>
          <w:lang w:val="fr-CA"/>
        </w:rPr>
        <w:t>ʼ</w:t>
      </w:r>
      <w:r w:rsidR="005E25EA" w:rsidRPr="005E25EA">
        <w:rPr>
          <w:lang w:val="fr-CA"/>
        </w:rPr>
        <w:t>intervenant</w:t>
      </w:r>
      <w:r w:rsidR="002954F5" w:rsidRPr="005E25EA">
        <w:rPr>
          <w:lang w:val="fr-CA"/>
        </w:rPr>
        <w:t xml:space="preserve"> le</w:t>
      </w:r>
      <w:r w:rsidRPr="005E25EA">
        <w:rPr>
          <w:lang w:val="fr-CA"/>
        </w:rPr>
        <w:t xml:space="preserve"> Conseil</w:t>
      </w:r>
      <w:r w:rsidRPr="00F904F0">
        <w:rPr>
          <w:lang w:val="fr-CA"/>
        </w:rPr>
        <w:t xml:space="preserve"> des Canadiens avec déficiences</w:t>
      </w:r>
      <w:r w:rsidR="005C1B20">
        <w:rPr>
          <w:lang w:val="fr-CA"/>
        </w:rPr>
        <w:t> : </w:t>
      </w:r>
      <w:r w:rsidRPr="00F904F0">
        <w:rPr>
          <w:lang w:val="fr-CA"/>
        </w:rPr>
        <w:t>Public Interest Law Centre, Winnipeg.</w:t>
      </w:r>
    </w:p>
    <w:sectPr w:rsidR="004D7D95" w:rsidRPr="00E161AA" w:rsidSect="00970BEC">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332574" w:rsidRDefault="00332574" w:rsidP="00332574">
      <w:pPr>
        <w:pStyle w:val="FootnoteText"/>
        <w:tabs>
          <w:tab w:val="clear" w:pos="180"/>
          <w:tab w:val="left" w:pos="720"/>
        </w:tabs>
        <w:ind w:left="142" w:hanging="142"/>
        <w:rPr>
          <w:lang w:val="fr-CA"/>
        </w:rPr>
      </w:pPr>
      <w:r>
        <w:rPr>
          <w:rStyle w:val="FootnoteReference"/>
        </w:rPr>
        <w:footnoteRef/>
      </w:r>
      <w:r>
        <w:rPr>
          <w:lang w:val="fr-CA"/>
        </w:rPr>
        <w:t xml:space="preserve"> Les plaintes relatives à des déficiences sont présentées en application de la partie V de la </w:t>
      </w:r>
      <w:r>
        <w:rPr>
          <w:i/>
          <w:lang w:val="fr-CA"/>
        </w:rPr>
        <w:t>Loi sur les transports au Canada</w:t>
      </w:r>
      <w:r>
        <w:rPr>
          <w:lang w:val="fr-CA"/>
        </w:rPr>
        <w:t>, L.C. 1996, c. 10, qui porte sur le « </w:t>
      </w:r>
      <w:r w:rsidR="002528C8">
        <w:rPr>
          <w:lang w:val="fr-CA"/>
        </w:rPr>
        <w:t>T</w:t>
      </w:r>
      <w:r>
        <w:rPr>
          <w:lang w:val="fr-CA"/>
        </w:rPr>
        <w:t xml:space="preserve">ransport des personnes ayant une déficience ». </w:t>
      </w:r>
    </w:p>
  </w:footnote>
  <w:footnote w:id="2">
    <w:p w:rsidR="00332574" w:rsidRDefault="00332574" w:rsidP="004043FC">
      <w:pPr>
        <w:pStyle w:val="FootnoteText"/>
        <w:tabs>
          <w:tab w:val="left" w:pos="720"/>
        </w:tabs>
        <w:ind w:left="180" w:hanging="180"/>
        <w:rPr>
          <w:lang w:val="fr-CA"/>
        </w:rPr>
      </w:pPr>
      <w:r>
        <w:rPr>
          <w:rStyle w:val="FootnoteReference"/>
        </w:rPr>
        <w:footnoteRef/>
      </w:r>
      <w:r>
        <w:rPr>
          <w:lang w:val="fr-CA"/>
        </w:rPr>
        <w:t xml:space="preserve"> </w:t>
      </w:r>
      <w:r w:rsidR="004043FC">
        <w:rPr>
          <w:lang w:val="fr-CA"/>
        </w:rPr>
        <w:tab/>
      </w:r>
      <w:r>
        <w:rPr>
          <w:i/>
          <w:lang w:val="fr-CA"/>
        </w:rPr>
        <w:t>Thorson c. Procureur général du Canada</w:t>
      </w:r>
      <w:r>
        <w:rPr>
          <w:lang w:val="fr-CA"/>
        </w:rPr>
        <w:t xml:space="preserve">, [1975] 1 R.C.S. 138; </w:t>
      </w:r>
      <w:r>
        <w:rPr>
          <w:i/>
          <w:lang w:val="fr-CA"/>
        </w:rPr>
        <w:t>Nova Scotia Board of Censors c. McNeil</w:t>
      </w:r>
      <w:r>
        <w:rPr>
          <w:lang w:val="fr-CA"/>
        </w:rPr>
        <w:t xml:space="preserve">, [1976] 2 R.C.S. 265; </w:t>
      </w:r>
      <w:r>
        <w:rPr>
          <w:i/>
          <w:lang w:val="fr-CA"/>
        </w:rPr>
        <w:t>Ministre de la Justice du Canada c. Borowski</w:t>
      </w:r>
      <w:r>
        <w:rPr>
          <w:lang w:val="fr-CA"/>
        </w:rPr>
        <w:t>,</w:t>
      </w:r>
      <w:r>
        <w:rPr>
          <w:i/>
          <w:lang w:val="fr-CA"/>
        </w:rPr>
        <w:t xml:space="preserve"> </w:t>
      </w:r>
      <w:r>
        <w:rPr>
          <w:lang w:val="fr-CA"/>
        </w:rPr>
        <w:t xml:space="preserve">[1981] 2 R.C.S. 575; </w:t>
      </w:r>
      <w:r>
        <w:rPr>
          <w:i/>
          <w:lang w:val="fr-CA"/>
        </w:rPr>
        <w:t>Finlay c. Canada (Ministre des Finances)</w:t>
      </w:r>
      <w:r>
        <w:rPr>
          <w:lang w:val="fr-CA"/>
        </w:rPr>
        <w:t>, [1986] 2 R.C.S. 607;</w:t>
      </w:r>
      <w:r>
        <w:rPr>
          <w:i/>
          <w:lang w:val="fr-CA"/>
        </w:rPr>
        <w:t xml:space="preserve"> Conseil canadien des Églises c. Canada (Ministre de l’Emploi et de l’Immigration</w:t>
      </w:r>
      <w:r w:rsidR="004043FC">
        <w:rPr>
          <w:i/>
          <w:lang w:val="fr-CA"/>
        </w:rPr>
        <w:t>)</w:t>
      </w:r>
      <w:r>
        <w:rPr>
          <w:lang w:val="fr-CA"/>
        </w:rPr>
        <w:t>, [1992] 1 R.C.S. 236; et</w:t>
      </w:r>
      <w:r>
        <w:rPr>
          <w:i/>
          <w:lang w:val="fr-CA"/>
        </w:rPr>
        <w:t xml:space="preserve"> Canada (Procureur général) c. Downtown Eastside Sex Workers United Against Violence Society</w:t>
      </w:r>
      <w:r>
        <w:rPr>
          <w:lang w:val="fr-CA"/>
        </w:rPr>
        <w:t>, [2012] 2 R.C.S. 524.</w:t>
      </w:r>
    </w:p>
  </w:footnote>
  <w:footnote w:id="3">
    <w:p w:rsidR="00332574" w:rsidRDefault="00332574" w:rsidP="006237DF">
      <w:pPr>
        <w:pStyle w:val="FootnoteText"/>
        <w:tabs>
          <w:tab w:val="clear" w:pos="180"/>
          <w:tab w:val="left" w:pos="90"/>
          <w:tab w:val="left" w:pos="720"/>
        </w:tabs>
        <w:ind w:left="142" w:hanging="142"/>
        <w:rPr>
          <w:lang w:val="fr-CA"/>
        </w:rPr>
      </w:pPr>
      <w:r>
        <w:rPr>
          <w:rStyle w:val="FootnoteReference"/>
        </w:rPr>
        <w:footnoteRef/>
      </w:r>
      <w:r>
        <w:rPr>
          <w:lang w:val="fr-CA"/>
        </w:rPr>
        <w:t xml:space="preserve"> </w:t>
      </w:r>
      <w:r w:rsidR="006237DF">
        <w:rPr>
          <w:lang w:val="fr-CA"/>
        </w:rPr>
        <w:tab/>
      </w:r>
      <w:r>
        <w:rPr>
          <w:b/>
          <w:lang w:val="fr-CA"/>
        </w:rPr>
        <w:t>5 (1)</w:t>
      </w:r>
      <w:r>
        <w:rPr>
          <w:lang w:val="fr-CA"/>
        </w:rPr>
        <w:t> </w:t>
      </w:r>
      <w:r>
        <w:rPr>
          <w:lang w:val="fr-CA" w:bidi="en-US"/>
        </w:rPr>
        <w:t>Les présentes règles sont interprétées de façon à faciliter le règlement le plus expéditif qui soit de l’instance de règlement des différends, l’utilisation optimale des ressources de l’Office et des parties et à promouvoir la justice</w:t>
      </w:r>
      <w:r>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 w:ilvl="3">
      <w:start w:val="1"/>
      <w:numFmt w:val="lowerLetter"/>
      <w:pStyle w:val="Title4LevelTitre4Niveau"/>
      <w:lvlText w:val="(%4)"/>
      <w:lvlJc w:val="left"/>
      <w:pPr>
        <w:tabs>
          <w:tab w:val="num" w:pos="1152"/>
        </w:tabs>
        <w:ind w:left="1152" w:hanging="576"/>
      </w:pPr>
      <w:rPr>
        <w:b w:val="0"/>
        <w:i w:val="0"/>
      </w:rPr>
    </w:lvl>
    <w:lvl w:ilvl="4">
      <w:start w:val="1"/>
      <w:numFmt w:val="lowerRoman"/>
      <w:pStyle w:val="Title5LevelTitre5Niveau"/>
      <w:lvlText w:val="(%5)"/>
      <w:lvlJc w:val="left"/>
      <w:pPr>
        <w:tabs>
          <w:tab w:val="num" w:pos="1728"/>
        </w:tabs>
        <w:ind w:left="1728" w:hanging="576"/>
      </w:pPr>
    </w:lvl>
    <w:lvl w:ilvl="5">
      <w:start w:val="1"/>
      <w:numFmt w:val="decimal"/>
      <w:pStyle w:val="Title6LevelTitre6Niveau"/>
      <w:lvlText w:val="%6."/>
      <w:lvlJc w:val="left"/>
      <w:pPr>
        <w:tabs>
          <w:tab w:val="num" w:pos="1728"/>
        </w:tabs>
        <w:ind w:left="1728" w:hanging="576"/>
      </w:pPr>
    </w:lvl>
    <w:lvl w:ilvl="6">
      <w:start w:val="1"/>
      <w:numFmt w:val="decimal"/>
      <w:lvlText w:val="%7."/>
      <w:lvlJc w:val="left"/>
      <w:pPr>
        <w:ind w:left="8208" w:hanging="432"/>
      </w:pPr>
    </w:lvl>
    <w:lvl w:ilvl="7">
      <w:start w:val="1"/>
      <w:numFmt w:val="lowerLetter"/>
      <w:lvlText w:val="%8."/>
      <w:lvlJc w:val="left"/>
      <w:pPr>
        <w:ind w:left="8640" w:hanging="432"/>
      </w:pPr>
    </w:lvl>
    <w:lvl w:ilvl="8">
      <w:start w:val="1"/>
      <w:numFmt w:val="lowerRoman"/>
      <w:lvlText w:val="%9."/>
      <w:lvlJc w:val="left"/>
      <w:pPr>
        <w:ind w:left="9072" w:hanging="432"/>
      </w:pPr>
    </w:lvl>
  </w:abstractNum>
  <w:abstractNum w:abstractNumId="1" w15:restartNumberingAfterBreak="0">
    <w:nsid w:val="54283EE8"/>
    <w:multiLevelType w:val="multilevel"/>
    <w:tmpl w:val="AAD89AFE"/>
    <w:lvl w:ilvl="0">
      <w:start w:val="1"/>
      <w:numFmt w:val="decimal"/>
      <w:pStyle w:val="ParaNoNdepar-AltN"/>
      <w:lvlText w:val="[%1]"/>
      <w:lvlJc w:val="left"/>
      <w:pPr>
        <w:tabs>
          <w:tab w:val="num" w:pos="1152"/>
        </w:tabs>
        <w:ind w:left="0" w:firstLine="0"/>
      </w:pPr>
      <w:rPr>
        <w:rFonts w:ascii="Times New Roman" w:hAnsi="Times New Roman" w:cs="Times New Roman" w:hint="default"/>
        <w:b w:val="0"/>
        <w:sz w:val="24"/>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28C1"/>
    <w:rsid w:val="00023FC7"/>
    <w:rsid w:val="00025198"/>
    <w:rsid w:val="00025394"/>
    <w:rsid w:val="000266E1"/>
    <w:rsid w:val="000315D1"/>
    <w:rsid w:val="000578A3"/>
    <w:rsid w:val="000648CC"/>
    <w:rsid w:val="00082B2A"/>
    <w:rsid w:val="000A7505"/>
    <w:rsid w:val="000B2099"/>
    <w:rsid w:val="000C1BC4"/>
    <w:rsid w:val="000C55BF"/>
    <w:rsid w:val="000C59B8"/>
    <w:rsid w:val="000C6AF0"/>
    <w:rsid w:val="000D0A77"/>
    <w:rsid w:val="000F7993"/>
    <w:rsid w:val="00104F33"/>
    <w:rsid w:val="00111DE2"/>
    <w:rsid w:val="00116B38"/>
    <w:rsid w:val="00135406"/>
    <w:rsid w:val="00135946"/>
    <w:rsid w:val="00135972"/>
    <w:rsid w:val="0013635E"/>
    <w:rsid w:val="001409A7"/>
    <w:rsid w:val="001426A9"/>
    <w:rsid w:val="00154D7C"/>
    <w:rsid w:val="00154EB2"/>
    <w:rsid w:val="00156F6B"/>
    <w:rsid w:val="001570B0"/>
    <w:rsid w:val="0015752C"/>
    <w:rsid w:val="00157737"/>
    <w:rsid w:val="00165277"/>
    <w:rsid w:val="001661D8"/>
    <w:rsid w:val="00170592"/>
    <w:rsid w:val="001720F7"/>
    <w:rsid w:val="00186B27"/>
    <w:rsid w:val="0019173A"/>
    <w:rsid w:val="00195D83"/>
    <w:rsid w:val="00197DF9"/>
    <w:rsid w:val="001A00C1"/>
    <w:rsid w:val="001A268F"/>
    <w:rsid w:val="001B33E0"/>
    <w:rsid w:val="001B4573"/>
    <w:rsid w:val="001C194E"/>
    <w:rsid w:val="001C779F"/>
    <w:rsid w:val="001D04B0"/>
    <w:rsid w:val="001D2AC1"/>
    <w:rsid w:val="001D4C04"/>
    <w:rsid w:val="001D4E88"/>
    <w:rsid w:val="001D78A5"/>
    <w:rsid w:val="001F3076"/>
    <w:rsid w:val="001F428A"/>
    <w:rsid w:val="001F49D2"/>
    <w:rsid w:val="00207198"/>
    <w:rsid w:val="002119C4"/>
    <w:rsid w:val="0021748B"/>
    <w:rsid w:val="00220FC2"/>
    <w:rsid w:val="002222F4"/>
    <w:rsid w:val="00224FC0"/>
    <w:rsid w:val="00225EA4"/>
    <w:rsid w:val="00226EAF"/>
    <w:rsid w:val="00230CBE"/>
    <w:rsid w:val="00231F3A"/>
    <w:rsid w:val="002406EE"/>
    <w:rsid w:val="00241E9D"/>
    <w:rsid w:val="00243EC8"/>
    <w:rsid w:val="002528C8"/>
    <w:rsid w:val="00253EB7"/>
    <w:rsid w:val="00254993"/>
    <w:rsid w:val="002563CF"/>
    <w:rsid w:val="00260DAA"/>
    <w:rsid w:val="0026777A"/>
    <w:rsid w:val="00270D93"/>
    <w:rsid w:val="002715EC"/>
    <w:rsid w:val="002745CC"/>
    <w:rsid w:val="002862FD"/>
    <w:rsid w:val="00290366"/>
    <w:rsid w:val="0029526E"/>
    <w:rsid w:val="002954F5"/>
    <w:rsid w:val="00296170"/>
    <w:rsid w:val="002B6FBE"/>
    <w:rsid w:val="002B7924"/>
    <w:rsid w:val="002C10A6"/>
    <w:rsid w:val="002D28C3"/>
    <w:rsid w:val="002D39A4"/>
    <w:rsid w:val="002E356C"/>
    <w:rsid w:val="002E6705"/>
    <w:rsid w:val="0030329A"/>
    <w:rsid w:val="0031086F"/>
    <w:rsid w:val="0031414C"/>
    <w:rsid w:val="00314E01"/>
    <w:rsid w:val="0032089D"/>
    <w:rsid w:val="003310DE"/>
    <w:rsid w:val="003323B0"/>
    <w:rsid w:val="00332574"/>
    <w:rsid w:val="00340A49"/>
    <w:rsid w:val="0035169A"/>
    <w:rsid w:val="0035259D"/>
    <w:rsid w:val="00364B18"/>
    <w:rsid w:val="003673AC"/>
    <w:rsid w:val="003712FE"/>
    <w:rsid w:val="003877E0"/>
    <w:rsid w:val="00391489"/>
    <w:rsid w:val="003A125D"/>
    <w:rsid w:val="003A3818"/>
    <w:rsid w:val="003A4C70"/>
    <w:rsid w:val="003B215F"/>
    <w:rsid w:val="003C5575"/>
    <w:rsid w:val="003C799C"/>
    <w:rsid w:val="003D0399"/>
    <w:rsid w:val="003E1C71"/>
    <w:rsid w:val="003E768E"/>
    <w:rsid w:val="003F1432"/>
    <w:rsid w:val="003F327B"/>
    <w:rsid w:val="003F4D66"/>
    <w:rsid w:val="004043FC"/>
    <w:rsid w:val="00406166"/>
    <w:rsid w:val="0040704B"/>
    <w:rsid w:val="00410A55"/>
    <w:rsid w:val="00411136"/>
    <w:rsid w:val="00411300"/>
    <w:rsid w:val="00413F17"/>
    <w:rsid w:val="00415417"/>
    <w:rsid w:val="00417595"/>
    <w:rsid w:val="00426659"/>
    <w:rsid w:val="00437627"/>
    <w:rsid w:val="00444044"/>
    <w:rsid w:val="00450352"/>
    <w:rsid w:val="00454BDB"/>
    <w:rsid w:val="0045625E"/>
    <w:rsid w:val="00465132"/>
    <w:rsid w:val="00480C90"/>
    <w:rsid w:val="0048396F"/>
    <w:rsid w:val="00485155"/>
    <w:rsid w:val="00493C18"/>
    <w:rsid w:val="004A11BA"/>
    <w:rsid w:val="004A2242"/>
    <w:rsid w:val="004A54F3"/>
    <w:rsid w:val="004A600C"/>
    <w:rsid w:val="004A6118"/>
    <w:rsid w:val="004A7161"/>
    <w:rsid w:val="004C478D"/>
    <w:rsid w:val="004D7D95"/>
    <w:rsid w:val="004E2C26"/>
    <w:rsid w:val="004E3C40"/>
    <w:rsid w:val="005045DC"/>
    <w:rsid w:val="005125A8"/>
    <w:rsid w:val="00517549"/>
    <w:rsid w:val="00520ABC"/>
    <w:rsid w:val="00521AE8"/>
    <w:rsid w:val="00527180"/>
    <w:rsid w:val="00532B87"/>
    <w:rsid w:val="00541145"/>
    <w:rsid w:val="00555291"/>
    <w:rsid w:val="0056289E"/>
    <w:rsid w:val="00566AD1"/>
    <w:rsid w:val="00583EDE"/>
    <w:rsid w:val="005A0AA5"/>
    <w:rsid w:val="005A6079"/>
    <w:rsid w:val="005C1B20"/>
    <w:rsid w:val="005C3C30"/>
    <w:rsid w:val="005C6F67"/>
    <w:rsid w:val="005D739A"/>
    <w:rsid w:val="005E25EA"/>
    <w:rsid w:val="005E4698"/>
    <w:rsid w:val="005F4B5B"/>
    <w:rsid w:val="006026A3"/>
    <w:rsid w:val="00603924"/>
    <w:rsid w:val="00610539"/>
    <w:rsid w:val="00613969"/>
    <w:rsid w:val="006167D0"/>
    <w:rsid w:val="00622BFA"/>
    <w:rsid w:val="00622F7B"/>
    <w:rsid w:val="006237DF"/>
    <w:rsid w:val="00625C35"/>
    <w:rsid w:val="006263EA"/>
    <w:rsid w:val="00630BF2"/>
    <w:rsid w:val="00647E49"/>
    <w:rsid w:val="006542B5"/>
    <w:rsid w:val="00656313"/>
    <w:rsid w:val="006565F4"/>
    <w:rsid w:val="00677253"/>
    <w:rsid w:val="006802FD"/>
    <w:rsid w:val="00681C1B"/>
    <w:rsid w:val="00684EEA"/>
    <w:rsid w:val="0069689B"/>
    <w:rsid w:val="006B5FF5"/>
    <w:rsid w:val="006B6D9C"/>
    <w:rsid w:val="006D0A70"/>
    <w:rsid w:val="006D5B9C"/>
    <w:rsid w:val="006D692C"/>
    <w:rsid w:val="006F30AF"/>
    <w:rsid w:val="00701759"/>
    <w:rsid w:val="00705C15"/>
    <w:rsid w:val="00710701"/>
    <w:rsid w:val="007110F6"/>
    <w:rsid w:val="00712620"/>
    <w:rsid w:val="00713CC6"/>
    <w:rsid w:val="00715FF4"/>
    <w:rsid w:val="007208D1"/>
    <w:rsid w:val="00727DF7"/>
    <w:rsid w:val="00742629"/>
    <w:rsid w:val="00744518"/>
    <w:rsid w:val="00747288"/>
    <w:rsid w:val="00747DD3"/>
    <w:rsid w:val="007549C8"/>
    <w:rsid w:val="00766D14"/>
    <w:rsid w:val="00766F05"/>
    <w:rsid w:val="00767A0F"/>
    <w:rsid w:val="00791272"/>
    <w:rsid w:val="00797A90"/>
    <w:rsid w:val="007A05F6"/>
    <w:rsid w:val="007B6F4A"/>
    <w:rsid w:val="007E1C47"/>
    <w:rsid w:val="007E337A"/>
    <w:rsid w:val="007E5C70"/>
    <w:rsid w:val="007E6B07"/>
    <w:rsid w:val="007F2FF5"/>
    <w:rsid w:val="007F3F08"/>
    <w:rsid w:val="00804CC6"/>
    <w:rsid w:val="008141A1"/>
    <w:rsid w:val="00817190"/>
    <w:rsid w:val="008260E2"/>
    <w:rsid w:val="008322BD"/>
    <w:rsid w:val="008324BE"/>
    <w:rsid w:val="00834F73"/>
    <w:rsid w:val="00835828"/>
    <w:rsid w:val="00854EB6"/>
    <w:rsid w:val="008568AD"/>
    <w:rsid w:val="00862137"/>
    <w:rsid w:val="00864C8A"/>
    <w:rsid w:val="00864CF8"/>
    <w:rsid w:val="00874914"/>
    <w:rsid w:val="00891422"/>
    <w:rsid w:val="00892E1A"/>
    <w:rsid w:val="008B660A"/>
    <w:rsid w:val="008B7D7C"/>
    <w:rsid w:val="008C01DA"/>
    <w:rsid w:val="008E6FD6"/>
    <w:rsid w:val="008F2674"/>
    <w:rsid w:val="008F78E9"/>
    <w:rsid w:val="009022E9"/>
    <w:rsid w:val="009136C5"/>
    <w:rsid w:val="009179F9"/>
    <w:rsid w:val="00917C7A"/>
    <w:rsid w:val="00932DD0"/>
    <w:rsid w:val="00933E5E"/>
    <w:rsid w:val="00935218"/>
    <w:rsid w:val="00937C52"/>
    <w:rsid w:val="009403F3"/>
    <w:rsid w:val="009555B7"/>
    <w:rsid w:val="009567AA"/>
    <w:rsid w:val="009602C9"/>
    <w:rsid w:val="00967374"/>
    <w:rsid w:val="00970BEC"/>
    <w:rsid w:val="009742C2"/>
    <w:rsid w:val="00980F77"/>
    <w:rsid w:val="009A343A"/>
    <w:rsid w:val="009B1658"/>
    <w:rsid w:val="009B2F23"/>
    <w:rsid w:val="009B57B3"/>
    <w:rsid w:val="009D2920"/>
    <w:rsid w:val="009D5AEB"/>
    <w:rsid w:val="009E4988"/>
    <w:rsid w:val="009F0E33"/>
    <w:rsid w:val="00A149DF"/>
    <w:rsid w:val="00A1755C"/>
    <w:rsid w:val="00A21B90"/>
    <w:rsid w:val="00A22AAC"/>
    <w:rsid w:val="00A24B3E"/>
    <w:rsid w:val="00A41805"/>
    <w:rsid w:val="00A47C20"/>
    <w:rsid w:val="00A51882"/>
    <w:rsid w:val="00A52AFB"/>
    <w:rsid w:val="00A548CB"/>
    <w:rsid w:val="00A5521C"/>
    <w:rsid w:val="00A643E7"/>
    <w:rsid w:val="00A7287A"/>
    <w:rsid w:val="00A734D9"/>
    <w:rsid w:val="00A73C38"/>
    <w:rsid w:val="00A74E69"/>
    <w:rsid w:val="00A80B71"/>
    <w:rsid w:val="00A921A7"/>
    <w:rsid w:val="00AB484E"/>
    <w:rsid w:val="00AB670D"/>
    <w:rsid w:val="00AC07B5"/>
    <w:rsid w:val="00AE5E7A"/>
    <w:rsid w:val="00AE7C43"/>
    <w:rsid w:val="00AF03C5"/>
    <w:rsid w:val="00AF3E82"/>
    <w:rsid w:val="00B000D8"/>
    <w:rsid w:val="00B00F75"/>
    <w:rsid w:val="00B1382F"/>
    <w:rsid w:val="00B145B6"/>
    <w:rsid w:val="00B279EB"/>
    <w:rsid w:val="00B50C81"/>
    <w:rsid w:val="00B543AF"/>
    <w:rsid w:val="00B557F8"/>
    <w:rsid w:val="00B634F6"/>
    <w:rsid w:val="00B815FC"/>
    <w:rsid w:val="00B830F5"/>
    <w:rsid w:val="00B92B27"/>
    <w:rsid w:val="00B93FBC"/>
    <w:rsid w:val="00BA2372"/>
    <w:rsid w:val="00BA7523"/>
    <w:rsid w:val="00BA7DA0"/>
    <w:rsid w:val="00BB2EE4"/>
    <w:rsid w:val="00BB4C92"/>
    <w:rsid w:val="00BB7045"/>
    <w:rsid w:val="00BC17C3"/>
    <w:rsid w:val="00BC1D42"/>
    <w:rsid w:val="00BC2108"/>
    <w:rsid w:val="00BD0E9E"/>
    <w:rsid w:val="00BD1BEC"/>
    <w:rsid w:val="00BD32FF"/>
    <w:rsid w:val="00BD4B3A"/>
    <w:rsid w:val="00BF4A55"/>
    <w:rsid w:val="00BF6FE9"/>
    <w:rsid w:val="00C02092"/>
    <w:rsid w:val="00C02EB4"/>
    <w:rsid w:val="00C24D91"/>
    <w:rsid w:val="00C26628"/>
    <w:rsid w:val="00C26DB2"/>
    <w:rsid w:val="00C30011"/>
    <w:rsid w:val="00C522E2"/>
    <w:rsid w:val="00C53F14"/>
    <w:rsid w:val="00C600CF"/>
    <w:rsid w:val="00C6084F"/>
    <w:rsid w:val="00C62190"/>
    <w:rsid w:val="00C62A66"/>
    <w:rsid w:val="00C646EA"/>
    <w:rsid w:val="00C649A5"/>
    <w:rsid w:val="00C66359"/>
    <w:rsid w:val="00C71458"/>
    <w:rsid w:val="00C77613"/>
    <w:rsid w:val="00C828E7"/>
    <w:rsid w:val="00C86719"/>
    <w:rsid w:val="00C921DD"/>
    <w:rsid w:val="00CA39B4"/>
    <w:rsid w:val="00CA6391"/>
    <w:rsid w:val="00CC3A7D"/>
    <w:rsid w:val="00CE036E"/>
    <w:rsid w:val="00CE3171"/>
    <w:rsid w:val="00CF1601"/>
    <w:rsid w:val="00D0172F"/>
    <w:rsid w:val="00D01E33"/>
    <w:rsid w:val="00D068A7"/>
    <w:rsid w:val="00D17476"/>
    <w:rsid w:val="00D17B0E"/>
    <w:rsid w:val="00D32086"/>
    <w:rsid w:val="00D37A3F"/>
    <w:rsid w:val="00D4431D"/>
    <w:rsid w:val="00D4667A"/>
    <w:rsid w:val="00D63A1C"/>
    <w:rsid w:val="00D70006"/>
    <w:rsid w:val="00D7516F"/>
    <w:rsid w:val="00D95F8E"/>
    <w:rsid w:val="00DA0590"/>
    <w:rsid w:val="00DC1739"/>
    <w:rsid w:val="00DC1788"/>
    <w:rsid w:val="00DC3646"/>
    <w:rsid w:val="00DD57BF"/>
    <w:rsid w:val="00DD65C5"/>
    <w:rsid w:val="00DE03D7"/>
    <w:rsid w:val="00DE319C"/>
    <w:rsid w:val="00DE4F0C"/>
    <w:rsid w:val="00DF0CA8"/>
    <w:rsid w:val="00DF2B48"/>
    <w:rsid w:val="00DF49A7"/>
    <w:rsid w:val="00E07EE2"/>
    <w:rsid w:val="00E07FD1"/>
    <w:rsid w:val="00E125F2"/>
    <w:rsid w:val="00E161AA"/>
    <w:rsid w:val="00E24573"/>
    <w:rsid w:val="00E25E1E"/>
    <w:rsid w:val="00E27EE7"/>
    <w:rsid w:val="00E35404"/>
    <w:rsid w:val="00E42F78"/>
    <w:rsid w:val="00E45109"/>
    <w:rsid w:val="00E47B7A"/>
    <w:rsid w:val="00E54CCA"/>
    <w:rsid w:val="00E56A44"/>
    <w:rsid w:val="00E60269"/>
    <w:rsid w:val="00E61ED0"/>
    <w:rsid w:val="00E97830"/>
    <w:rsid w:val="00ED395A"/>
    <w:rsid w:val="00ED5EA1"/>
    <w:rsid w:val="00EE0830"/>
    <w:rsid w:val="00EE6CB8"/>
    <w:rsid w:val="00EF0683"/>
    <w:rsid w:val="00EF2C6C"/>
    <w:rsid w:val="00F0070C"/>
    <w:rsid w:val="00F00EB7"/>
    <w:rsid w:val="00F13B62"/>
    <w:rsid w:val="00F252D8"/>
    <w:rsid w:val="00F36AB6"/>
    <w:rsid w:val="00F37A09"/>
    <w:rsid w:val="00F409CE"/>
    <w:rsid w:val="00F4379D"/>
    <w:rsid w:val="00F446B7"/>
    <w:rsid w:val="00F47E5E"/>
    <w:rsid w:val="00F504AE"/>
    <w:rsid w:val="00F50D2D"/>
    <w:rsid w:val="00F511CD"/>
    <w:rsid w:val="00F56C8B"/>
    <w:rsid w:val="00F62639"/>
    <w:rsid w:val="00F66810"/>
    <w:rsid w:val="00F84DF4"/>
    <w:rsid w:val="00F85C97"/>
    <w:rsid w:val="00F904F0"/>
    <w:rsid w:val="00F91CF0"/>
    <w:rsid w:val="00F927EE"/>
    <w:rsid w:val="00F95479"/>
    <w:rsid w:val="00F97591"/>
    <w:rsid w:val="00FB024F"/>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C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Italic">
    <w:name w:val="Italic"/>
    <w:basedOn w:val="DefaultParagraphFont"/>
    <w:uiPriority w:val="1"/>
    <w:rsid w:val="00FB024F"/>
    <w:rPr>
      <w:i/>
    </w:rPr>
  </w:style>
  <w:style w:type="paragraph" w:customStyle="1" w:styleId="Citation-AltC">
    <w:name w:val="Citation - Alt C"/>
    <w:uiPriority w:val="2"/>
    <w:qFormat/>
    <w:rsid w:val="00332574"/>
    <w:pPr>
      <w:spacing w:after="720"/>
      <w:ind w:left="1166"/>
      <w:contextualSpacing/>
      <w:jc w:val="both"/>
    </w:pPr>
    <w:rPr>
      <w:sz w:val="24"/>
      <w:szCs w:val="24"/>
    </w:rPr>
  </w:style>
  <w:style w:type="paragraph" w:customStyle="1" w:styleId="ParaNoNdepar-AltN">
    <w:name w:val="Para. No. / Nº de par. - Alt N"/>
    <w:link w:val="ParaNoNdepar-AltNChar"/>
    <w:qFormat/>
    <w:rsid w:val="00332574"/>
    <w:pPr>
      <w:numPr>
        <w:numId w:val="1"/>
      </w:numPr>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33257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3257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3257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3257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32574"/>
    <w:pPr>
      <w:numPr>
        <w:ilvl w:val="2"/>
      </w:numPr>
      <w:outlineLvl w:val="2"/>
    </w:pPr>
  </w:style>
  <w:style w:type="paragraph" w:customStyle="1" w:styleId="Title4LevelTitre4Niveau">
    <w:name w:val="Title 4 Level / Titre 4 Niveau"/>
    <w:basedOn w:val="Title3LevelTitre3Niveau"/>
    <w:next w:val="ParaNoNdepar-AltN"/>
    <w:uiPriority w:val="4"/>
    <w:qFormat/>
    <w:rsid w:val="0033257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32574"/>
    <w:pPr>
      <w:numPr>
        <w:ilvl w:val="4"/>
      </w:numPr>
      <w:outlineLvl w:val="4"/>
    </w:pPr>
  </w:style>
  <w:style w:type="paragraph" w:customStyle="1" w:styleId="Title6LevelTitre6Niveau">
    <w:name w:val="Title 6 Level / Titre 6 Niveau"/>
    <w:basedOn w:val="Title5LevelTitre5Niveau"/>
    <w:next w:val="ParaNoNdepar-AltN"/>
    <w:uiPriority w:val="4"/>
    <w:qFormat/>
    <w:rsid w:val="00332574"/>
    <w:pPr>
      <w:numPr>
        <w:ilvl w:val="5"/>
      </w:numPr>
      <w:outlineLvl w:val="5"/>
    </w:pPr>
    <w:rPr>
      <w:i/>
      <w:u w:val="none"/>
    </w:rPr>
  </w:style>
  <w:style w:type="paragraph" w:styleId="FootnoteText">
    <w:name w:val="footnote text"/>
    <w:basedOn w:val="Normal"/>
    <w:link w:val="FootnoteTextChar"/>
    <w:uiPriority w:val="99"/>
    <w:semiHidden/>
    <w:unhideWhenUsed/>
    <w:rsid w:val="0033257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semiHidden/>
    <w:rsid w:val="00332574"/>
  </w:style>
  <w:style w:type="character" w:customStyle="1" w:styleId="JudgeJugeChar">
    <w:name w:val="Judge / Juge Char"/>
    <w:basedOn w:val="DefaultParagraphFont"/>
    <w:link w:val="JudgeJuge"/>
    <w:uiPriority w:val="3"/>
    <w:locked/>
    <w:rsid w:val="00332574"/>
    <w:rPr>
      <w:smallCaps/>
      <w:sz w:val="24"/>
      <w:szCs w:val="24"/>
    </w:rPr>
  </w:style>
  <w:style w:type="character" w:customStyle="1" w:styleId="ParaNoNdepar-AltNChar">
    <w:name w:val="Para. No. / Nº de par. - Alt N Char"/>
    <w:basedOn w:val="DefaultParagraphFont"/>
    <w:link w:val="ParaNoNdepar-AltN"/>
    <w:locked/>
    <w:rsid w:val="00332574"/>
    <w:rPr>
      <w:rFonts w:eastAsiaTheme="minorEastAsia" w:cstheme="minorBidi"/>
      <w:sz w:val="24"/>
      <w:szCs w:val="22"/>
      <w:lang w:eastAsia="en-US"/>
    </w:rPr>
  </w:style>
  <w:style w:type="paragraph" w:customStyle="1" w:styleId="TitleTitre-AltT">
    <w:name w:val="Title / Titre - Alt T"/>
    <w:next w:val="ParaNoNdepar-AltN"/>
    <w:uiPriority w:val="3"/>
    <w:qFormat/>
    <w:rsid w:val="00332574"/>
    <w:pPr>
      <w:tabs>
        <w:tab w:val="left" w:pos="360"/>
      </w:tabs>
      <w:spacing w:before="480" w:after="720"/>
      <w:ind w:left="360" w:hanging="360"/>
      <w:jc w:val="both"/>
      <w:outlineLvl w:val="0"/>
    </w:pPr>
    <w:rPr>
      <w:rFonts w:eastAsiaTheme="minorHAnsi" w:cstheme="minorBidi"/>
      <w:sz w:val="24"/>
      <w:szCs w:val="22"/>
      <w:lang w:eastAsia="en-US"/>
    </w:rPr>
  </w:style>
  <w:style w:type="character" w:styleId="FootnoteReference">
    <w:name w:val="footnote reference"/>
    <w:basedOn w:val="DefaultParagraphFont"/>
    <w:uiPriority w:val="99"/>
    <w:semiHidden/>
    <w:unhideWhenUsed/>
    <w:rsid w:val="00332574"/>
    <w:rPr>
      <w:vertAlign w:val="superscript"/>
    </w:rPr>
  </w:style>
  <w:style w:type="table" w:styleId="TableGrid">
    <w:name w:val="Table Grid"/>
    <w:basedOn w:val="TableNormal"/>
    <w:uiPriority w:val="59"/>
    <w:rsid w:val="0033257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C17C3"/>
    <w:rPr>
      <w:color w:val="0000FF" w:themeColor="hyperlink"/>
      <w:u w:val="single"/>
    </w:rPr>
  </w:style>
  <w:style w:type="paragraph" w:styleId="ListParagraph">
    <w:name w:val="List Paragraph"/>
    <w:basedOn w:val="Normal"/>
    <w:uiPriority w:val="34"/>
    <w:qFormat/>
    <w:rsid w:val="00DE03D7"/>
    <w:pPr>
      <w:ind w:left="720"/>
      <w:contextualSpacing/>
    </w:pPr>
  </w:style>
  <w:style w:type="character" w:customStyle="1" w:styleId="SCCLsocPartyRoleChar">
    <w:name w:val="SCC.Lsoc.PartyRole Char"/>
    <w:basedOn w:val="DefaultParagraphFont"/>
    <w:rsid w:val="003E768E"/>
    <w:rPr>
      <w:lang w:val="fr-CA"/>
    </w:rPr>
  </w:style>
  <w:style w:type="paragraph" w:customStyle="1" w:styleId="SCCLsocPrefix">
    <w:name w:val="SCC.Lsoc.Prefix"/>
    <w:basedOn w:val="Normal"/>
    <w:next w:val="Normal"/>
    <w:link w:val="SCCLsocPrefixChar"/>
    <w:rsid w:val="003E768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E768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3220">
      <w:bodyDiv w:val="1"/>
      <w:marLeft w:val="0"/>
      <w:marRight w:val="0"/>
      <w:marTop w:val="0"/>
      <w:marBottom w:val="0"/>
      <w:divBdr>
        <w:top w:val="none" w:sz="0" w:space="0" w:color="auto"/>
        <w:left w:val="none" w:sz="0" w:space="0" w:color="auto"/>
        <w:bottom w:val="none" w:sz="0" w:space="0" w:color="auto"/>
        <w:right w:val="none" w:sz="0" w:space="0" w:color="auto"/>
      </w:divBdr>
    </w:div>
    <w:div w:id="17359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10168</Words>
  <Characters>52928</Characters>
  <Application>Microsoft Office Word</Application>
  <DocSecurity>0</DocSecurity>
  <Lines>441</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2018-02-02T15:52:00Z</dcterms:created>
  <dcterms:modified xsi:type="dcterms:W3CDTF">2019-03-25T18:47:00Z</dcterms:modified>
</cp:coreProperties>
</file>