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09" w:rsidRDefault="00834909" w:rsidP="00F30F0C">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5pt;height:66.1pt" o:ole="">
            <v:imagedata r:id="rId8" o:title=""/>
          </v:shape>
          <o:OLEObject Type="Embed" ProgID="Presentations.Drawing.13" ShapeID="_x0000_i1025" DrawAspect="Content" ObjectID="_1615030434" r:id="rId9"/>
        </w:object>
      </w:r>
      <w:bookmarkEnd w:id="0"/>
      <w:r>
        <w:t xml:space="preserve"> </w:t>
      </w:r>
      <w:r>
        <w:ptab w:relativeTo="margin" w:alignment="right" w:leader="none"/>
      </w:r>
    </w:p>
    <w:p w:rsidR="00834909" w:rsidRDefault="00834909" w:rsidP="00834909">
      <w:pPr>
        <w:pStyle w:val="Header"/>
      </w:pPr>
    </w:p>
    <w:p w:rsidR="00834909" w:rsidRPr="001E12E2" w:rsidRDefault="00834909" w:rsidP="00834909">
      <w:pPr>
        <w:jc w:val="center"/>
        <w:rPr>
          <w:b/>
        </w:rPr>
      </w:pPr>
      <w:r w:rsidRPr="001E12E2">
        <w:rPr>
          <w:b/>
        </w:rPr>
        <w:t>COUR SUPRÊME DU CANADA</w:t>
      </w:r>
    </w:p>
    <w:p w:rsidR="00834909" w:rsidRDefault="00834909" w:rsidP="00834909"/>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410"/>
      </w:tblGrid>
      <w:tr w:rsidR="00834909" w:rsidRPr="001E12E2" w:rsidTr="00754E0E">
        <w:trPr>
          <w:cantSplit/>
        </w:trPr>
        <w:tc>
          <w:tcPr>
            <w:tcW w:w="5220" w:type="dxa"/>
          </w:tcPr>
          <w:p w:rsidR="00834909" w:rsidRPr="00834909" w:rsidRDefault="00834909" w:rsidP="00754E0E">
            <w:pPr>
              <w:jc w:val="both"/>
              <w:rPr>
                <w:b/>
                <w:lang w:val="fr-CA"/>
              </w:rPr>
            </w:pPr>
            <w:r w:rsidRPr="00834909">
              <w:rPr>
                <w:b/>
                <w:smallCaps/>
                <w:lang w:val="fr-CA"/>
              </w:rPr>
              <w:t>Référence :</w:t>
            </w:r>
            <w:r w:rsidRPr="00834909">
              <w:rPr>
                <w:lang w:val="fr-CA"/>
              </w:rPr>
              <w:t xml:space="preserve"> Québec (Commission des normes, de l’équité, de la santé et de la sécurité du travail) </w:t>
            </w:r>
            <w:r w:rsidRPr="00834909">
              <w:rPr>
                <w:i/>
                <w:lang w:val="fr-CA"/>
              </w:rPr>
              <w:t>c.</w:t>
            </w:r>
            <w:r w:rsidRPr="00834909">
              <w:rPr>
                <w:lang w:val="fr-CA"/>
              </w:rPr>
              <w:t xml:space="preserve"> </w:t>
            </w:r>
            <w:r w:rsidRPr="00834909">
              <w:rPr>
                <w:rStyle w:val="SCCRespondentForIndexChar"/>
                <w:rFonts w:eastAsiaTheme="minorHAnsi"/>
                <w:b w:val="0"/>
                <w:lang w:val="fr-CA"/>
              </w:rPr>
              <w:t>Caron, 2018 CSC 3,</w:t>
            </w:r>
            <w:r>
              <w:rPr>
                <w:rStyle w:val="SCCRespondentForIndexChar"/>
                <w:rFonts w:eastAsiaTheme="minorHAnsi"/>
                <w:lang w:val="fr-CA"/>
              </w:rPr>
              <w:t xml:space="preserve"> </w:t>
            </w:r>
            <w:r>
              <w:rPr>
                <w:lang w:val="fr-CA"/>
              </w:rPr>
              <w:t>[2018] 1 R.C.S. 35</w:t>
            </w:r>
          </w:p>
          <w:p w:rsidR="00834909" w:rsidRPr="00834909" w:rsidRDefault="00834909" w:rsidP="00754E0E">
            <w:pPr>
              <w:rPr>
                <w:lang w:val="fr-CA"/>
              </w:rPr>
            </w:pPr>
          </w:p>
        </w:tc>
        <w:tc>
          <w:tcPr>
            <w:tcW w:w="4410" w:type="dxa"/>
          </w:tcPr>
          <w:p w:rsidR="00834909" w:rsidRPr="00834909" w:rsidRDefault="00834909" w:rsidP="00754E0E">
            <w:pPr>
              <w:rPr>
                <w:b/>
                <w:smallCaps/>
                <w:lang w:val="fr-CA"/>
              </w:rPr>
            </w:pPr>
            <w:r w:rsidRPr="00834909">
              <w:rPr>
                <w:b/>
                <w:smallCaps/>
                <w:lang w:val="fr-CA"/>
              </w:rPr>
              <w:t xml:space="preserve">Appel entendu : </w:t>
            </w:r>
            <w:r w:rsidRPr="00834909">
              <w:rPr>
                <w:lang w:val="fr-CA"/>
              </w:rPr>
              <w:t>30</w:t>
            </w:r>
            <w:r w:rsidRPr="00834909">
              <w:rPr>
                <w:b/>
                <w:smallCaps/>
                <w:lang w:val="fr-CA"/>
              </w:rPr>
              <w:t xml:space="preserve"> </w:t>
            </w:r>
            <w:r w:rsidRPr="00834909">
              <w:rPr>
                <w:lang w:val="fr-CA"/>
              </w:rPr>
              <w:t>mars 2017</w:t>
            </w:r>
          </w:p>
          <w:p w:rsidR="00834909" w:rsidRPr="00834909" w:rsidRDefault="00834909" w:rsidP="00754E0E">
            <w:pPr>
              <w:rPr>
                <w:lang w:val="fr-CA"/>
              </w:rPr>
            </w:pPr>
            <w:r w:rsidRPr="00834909">
              <w:rPr>
                <w:b/>
                <w:smallCaps/>
                <w:lang w:val="fr-CA"/>
              </w:rPr>
              <w:t>Jugement rendu :</w:t>
            </w:r>
            <w:r w:rsidRPr="00834909">
              <w:rPr>
                <w:lang w:val="fr-CA"/>
              </w:rPr>
              <w:t xml:space="preserve"> 1</w:t>
            </w:r>
            <w:r w:rsidRPr="00834909">
              <w:rPr>
                <w:vertAlign w:val="superscript"/>
                <w:lang w:val="fr-CA"/>
              </w:rPr>
              <w:t>er</w:t>
            </w:r>
            <w:r w:rsidRPr="00834909">
              <w:rPr>
                <w:lang w:val="fr-CA"/>
              </w:rPr>
              <w:t xml:space="preserve"> février 2018</w:t>
            </w:r>
          </w:p>
          <w:p w:rsidR="00834909" w:rsidRPr="001E12E2" w:rsidRDefault="00834909" w:rsidP="00754E0E">
            <w:r w:rsidRPr="001E12E2">
              <w:rPr>
                <w:b/>
                <w:smallCaps/>
              </w:rPr>
              <w:t>Do</w:t>
            </w:r>
            <w:r>
              <w:rPr>
                <w:b/>
                <w:smallCaps/>
              </w:rPr>
              <w:t>ssier :</w:t>
            </w:r>
            <w:r w:rsidRPr="001E12E2">
              <w:t xml:space="preserve"> </w:t>
            </w:r>
            <w:r>
              <w:t>36605</w:t>
            </w:r>
          </w:p>
        </w:tc>
      </w:tr>
    </w:tbl>
    <w:p w:rsidR="00834909" w:rsidRPr="004F3FF9" w:rsidRDefault="00834909" w:rsidP="00834909">
      <w:pPr>
        <w:pStyle w:val="SCCLsocPrefix"/>
      </w:pPr>
      <w:r>
        <w:t>Entre :</w:t>
      </w:r>
    </w:p>
    <w:p w:rsidR="00834909" w:rsidRPr="00834909" w:rsidRDefault="00834909" w:rsidP="00834909">
      <w:pPr>
        <w:pStyle w:val="SCCLsocParty"/>
        <w:jc w:val="center"/>
        <w:rPr>
          <w:lang w:val="fr-CA"/>
        </w:rPr>
      </w:pPr>
      <w:r w:rsidRPr="00834909">
        <w:rPr>
          <w:lang w:val="fr-CA"/>
        </w:rPr>
        <w:t>Commission des normes, de l’équité, de la santé et de la sécurité du travail (anciennement connue sous le nom de Commission de la santé et de la sécurité du travail)</w:t>
      </w:r>
    </w:p>
    <w:p w:rsidR="00834909" w:rsidRPr="00834909" w:rsidRDefault="00834909" w:rsidP="00834909">
      <w:pPr>
        <w:jc w:val="center"/>
        <w:rPr>
          <w:lang w:val="fr-CA"/>
        </w:rPr>
      </w:pPr>
      <w:r w:rsidRPr="00834909">
        <w:rPr>
          <w:lang w:val="fr-CA"/>
        </w:rPr>
        <w:t>Appelante</w:t>
      </w:r>
    </w:p>
    <w:p w:rsidR="00834909" w:rsidRPr="00834909" w:rsidRDefault="00834909" w:rsidP="00834909">
      <w:pPr>
        <w:jc w:val="center"/>
        <w:rPr>
          <w:lang w:val="fr-CA"/>
        </w:rPr>
      </w:pPr>
    </w:p>
    <w:p w:rsidR="00834909" w:rsidRPr="00834909" w:rsidRDefault="00834909" w:rsidP="00834909">
      <w:pPr>
        <w:pStyle w:val="SCCLsocVersus"/>
        <w:spacing w:after="0"/>
        <w:jc w:val="center"/>
        <w:rPr>
          <w:i w:val="0"/>
          <w:lang w:val="fr-CA"/>
        </w:rPr>
      </w:pPr>
      <w:r w:rsidRPr="00834909">
        <w:rPr>
          <w:i w:val="0"/>
          <w:lang w:val="fr-CA"/>
        </w:rPr>
        <w:t>et</w:t>
      </w:r>
    </w:p>
    <w:p w:rsidR="00834909" w:rsidRPr="00834909" w:rsidRDefault="00834909" w:rsidP="00834909">
      <w:pPr>
        <w:jc w:val="center"/>
        <w:rPr>
          <w:lang w:val="fr-CA"/>
        </w:rPr>
      </w:pPr>
    </w:p>
    <w:p w:rsidR="00834909" w:rsidRPr="00834909" w:rsidRDefault="00834909" w:rsidP="00834909">
      <w:pPr>
        <w:pStyle w:val="SCCLsocParty"/>
        <w:jc w:val="center"/>
        <w:rPr>
          <w:lang w:val="fr-CA"/>
        </w:rPr>
      </w:pPr>
      <w:r w:rsidRPr="00834909">
        <w:rPr>
          <w:lang w:val="fr-CA"/>
        </w:rPr>
        <w:t>Alain Caron</w:t>
      </w:r>
    </w:p>
    <w:p w:rsidR="00834909" w:rsidRPr="00834909" w:rsidRDefault="00834909" w:rsidP="00834909">
      <w:pPr>
        <w:jc w:val="center"/>
        <w:rPr>
          <w:lang w:val="fr-CA"/>
        </w:rPr>
      </w:pPr>
      <w:r w:rsidRPr="00834909">
        <w:rPr>
          <w:lang w:val="fr-CA"/>
        </w:rPr>
        <w:t>Intimé</w:t>
      </w:r>
    </w:p>
    <w:p w:rsidR="00834909" w:rsidRPr="00834909" w:rsidRDefault="00834909" w:rsidP="00834909">
      <w:pPr>
        <w:jc w:val="center"/>
        <w:rPr>
          <w:lang w:val="fr-CA"/>
        </w:rPr>
      </w:pPr>
    </w:p>
    <w:p w:rsidR="00834909" w:rsidRPr="00834909" w:rsidRDefault="00834909" w:rsidP="00834909">
      <w:pPr>
        <w:pStyle w:val="SCCLsocOtherPartySeparator"/>
        <w:spacing w:after="0"/>
        <w:jc w:val="center"/>
        <w:rPr>
          <w:lang w:val="fr-CA"/>
        </w:rPr>
      </w:pPr>
      <w:r w:rsidRPr="00834909">
        <w:rPr>
          <w:lang w:val="fr-CA"/>
        </w:rPr>
        <w:t>- et -</w:t>
      </w:r>
    </w:p>
    <w:p w:rsidR="00834909" w:rsidRPr="00834909" w:rsidRDefault="00834909" w:rsidP="00834909">
      <w:pPr>
        <w:jc w:val="center"/>
        <w:rPr>
          <w:lang w:val="fr-CA"/>
        </w:rPr>
      </w:pPr>
    </w:p>
    <w:p w:rsidR="00834909" w:rsidRPr="00834909" w:rsidRDefault="00834909" w:rsidP="00834909">
      <w:pPr>
        <w:pStyle w:val="SCCLsocParty"/>
        <w:jc w:val="center"/>
        <w:rPr>
          <w:lang w:val="fr-CA"/>
        </w:rPr>
      </w:pPr>
      <w:r w:rsidRPr="00834909">
        <w:rPr>
          <w:lang w:val="fr-CA"/>
        </w:rPr>
        <w:t>Procureure générale du Québec, Tribunal administratif du travail (anciennement connu sous le nom de Commission des lésions professionnelles), Centre Miriam, Conseil du patronat du Québec inc., Ontario Network of Injured Workers’ Groups, Industrial Accident Victims’ Group of Ontario, Centrale des syndicats du Québec et Syndicat canadien de la fonction publique</w:t>
      </w:r>
    </w:p>
    <w:p w:rsidR="00834909" w:rsidRPr="00F30F0C" w:rsidRDefault="00834909" w:rsidP="00834909">
      <w:pPr>
        <w:jc w:val="center"/>
        <w:rPr>
          <w:lang w:val="fr-CA"/>
        </w:rPr>
      </w:pPr>
      <w:r w:rsidRPr="00F30F0C">
        <w:rPr>
          <w:lang w:val="fr-CA"/>
        </w:rPr>
        <w:t>Intervenants</w:t>
      </w:r>
    </w:p>
    <w:p w:rsidR="00834909" w:rsidRPr="00F30F0C" w:rsidRDefault="00834909" w:rsidP="00834909">
      <w:pPr>
        <w:jc w:val="center"/>
        <w:rPr>
          <w:lang w:val="fr-CA"/>
        </w:rPr>
      </w:pPr>
    </w:p>
    <w:p w:rsidR="00834909" w:rsidRPr="00F30F0C" w:rsidRDefault="00834909" w:rsidP="00834909">
      <w:pPr>
        <w:jc w:val="center"/>
        <w:rPr>
          <w:b/>
          <w:smallCaps/>
          <w:lang w:val="fr-CA"/>
        </w:rPr>
      </w:pPr>
      <w:r w:rsidRPr="00F30F0C">
        <w:rPr>
          <w:b/>
          <w:smallCaps/>
          <w:lang w:val="fr-CA"/>
        </w:rPr>
        <w:t>Traduction française officielle</w:t>
      </w:r>
    </w:p>
    <w:p w:rsidR="00834909" w:rsidRPr="00F30F0C" w:rsidRDefault="00834909" w:rsidP="00834909">
      <w:pPr>
        <w:jc w:val="center"/>
        <w:rPr>
          <w:b/>
          <w:smallCaps/>
          <w:lang w:val="fr-CA"/>
        </w:rPr>
      </w:pPr>
    </w:p>
    <w:p w:rsidR="00834909" w:rsidRPr="00834909" w:rsidRDefault="00834909" w:rsidP="00834909">
      <w:pPr>
        <w:rPr>
          <w:lang w:val="fr-CA"/>
        </w:rPr>
      </w:pPr>
      <w:r w:rsidRPr="00834909">
        <w:rPr>
          <w:b/>
          <w:smallCaps/>
          <w:lang w:val="fr-CA"/>
        </w:rPr>
        <w:t>Coram :</w:t>
      </w:r>
      <w:r w:rsidRPr="00834909">
        <w:rPr>
          <w:lang w:val="fr-CA"/>
        </w:rPr>
        <w:t xml:space="preserve"> La juge en chef McLachlin et les juges Abella, Karakatsanis, Wagner, Gascon, Côté et Rowe</w:t>
      </w:r>
    </w:p>
    <w:p w:rsidR="00834909" w:rsidRPr="00834909" w:rsidRDefault="00834909" w:rsidP="0083490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34909" w:rsidRPr="00F30F0C" w:rsidTr="00754E0E">
        <w:trPr>
          <w:cantSplit/>
        </w:trPr>
        <w:tc>
          <w:tcPr>
            <w:tcW w:w="3618" w:type="dxa"/>
          </w:tcPr>
          <w:p w:rsidR="00834909" w:rsidRPr="00834909" w:rsidRDefault="00834909" w:rsidP="00754E0E">
            <w:pPr>
              <w:rPr>
                <w:b/>
                <w:smallCaps/>
                <w:lang w:val="fr-CA"/>
              </w:rPr>
            </w:pPr>
            <w:r w:rsidRPr="00834909">
              <w:rPr>
                <w:b/>
                <w:smallCaps/>
                <w:lang w:val="fr-CA"/>
              </w:rPr>
              <w:t>Motifs de jugement :</w:t>
            </w:r>
          </w:p>
          <w:p w:rsidR="00834909" w:rsidRPr="00834909" w:rsidRDefault="00834909" w:rsidP="00754E0E">
            <w:pPr>
              <w:rPr>
                <w:lang w:val="fr-CA"/>
              </w:rPr>
            </w:pPr>
            <w:r w:rsidRPr="00834909">
              <w:rPr>
                <w:lang w:val="fr-CA"/>
              </w:rPr>
              <w:t>(par. 1 à 58)</w:t>
            </w:r>
          </w:p>
        </w:tc>
        <w:tc>
          <w:tcPr>
            <w:tcW w:w="5958" w:type="dxa"/>
          </w:tcPr>
          <w:p w:rsidR="00834909" w:rsidRPr="00834909" w:rsidRDefault="00834909" w:rsidP="00754E0E">
            <w:pPr>
              <w:rPr>
                <w:lang w:val="fr-CA"/>
              </w:rPr>
            </w:pPr>
            <w:r w:rsidRPr="00834909">
              <w:rPr>
                <w:lang w:val="fr-CA"/>
              </w:rPr>
              <w:t>La juge Abella (avec l’accord de la juge en chef McLachlin et des juges Karakatsanis, Wagner et Gascon)</w:t>
            </w:r>
          </w:p>
        </w:tc>
      </w:tr>
    </w:tbl>
    <w:p w:rsidR="00834909" w:rsidRPr="00834909" w:rsidRDefault="00834909" w:rsidP="0083490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34909" w:rsidRPr="00F30F0C" w:rsidTr="00754E0E">
        <w:trPr>
          <w:cantSplit/>
        </w:trPr>
        <w:tc>
          <w:tcPr>
            <w:tcW w:w="3618" w:type="dxa"/>
          </w:tcPr>
          <w:p w:rsidR="00834909" w:rsidRPr="00834909" w:rsidRDefault="00834909" w:rsidP="00754E0E">
            <w:pPr>
              <w:rPr>
                <w:b/>
                <w:smallCaps/>
                <w:lang w:val="fr-CA"/>
              </w:rPr>
            </w:pPr>
            <w:r w:rsidRPr="00834909">
              <w:rPr>
                <w:b/>
                <w:smallCaps/>
                <w:lang w:val="fr-CA"/>
              </w:rPr>
              <w:t>Motifs concordants quant au résultat :</w:t>
            </w:r>
          </w:p>
          <w:p w:rsidR="00834909" w:rsidRPr="00B8113F" w:rsidRDefault="00834909" w:rsidP="00754E0E">
            <w:r w:rsidRPr="00B8113F">
              <w:t>(par. 59 à 115)</w:t>
            </w:r>
          </w:p>
        </w:tc>
        <w:tc>
          <w:tcPr>
            <w:tcW w:w="5958" w:type="dxa"/>
          </w:tcPr>
          <w:p w:rsidR="00834909" w:rsidRPr="00834909" w:rsidRDefault="00834909" w:rsidP="00754E0E">
            <w:pPr>
              <w:rPr>
                <w:lang w:val="fr-CA"/>
              </w:rPr>
            </w:pPr>
            <w:r w:rsidRPr="00834909">
              <w:rPr>
                <w:lang w:val="fr-CA"/>
              </w:rPr>
              <w:t>Le juge Rowe (avec l’accord de la juge Côté)</w:t>
            </w:r>
          </w:p>
        </w:tc>
      </w:tr>
    </w:tbl>
    <w:p w:rsidR="00834909" w:rsidRPr="00834909" w:rsidRDefault="00834909" w:rsidP="00834909">
      <w:pPr>
        <w:rPr>
          <w:lang w:val="fr-CA"/>
        </w:rPr>
      </w:pPr>
    </w:p>
    <w:p w:rsidR="00834909" w:rsidRPr="00834909" w:rsidRDefault="00834909" w:rsidP="00834909">
      <w:pPr>
        <w:rPr>
          <w:lang w:val="fr-CA"/>
        </w:rPr>
      </w:pPr>
      <w:r>
        <w:rPr>
          <w:noProof/>
          <w:lang w:val="en-US" w:eastAsia="en-US"/>
        </w:rPr>
        <mc:AlternateContent>
          <mc:Choice Requires="wps">
            <w:drawing>
              <wp:anchor distT="0" distB="0" distL="114300" distR="114300" simplePos="0" relativeHeight="251659264" behindDoc="0" locked="0" layoutInCell="1" allowOverlap="1" wp14:anchorId="7AA2923A" wp14:editId="49D0B92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0F28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34909" w:rsidRDefault="00834909" w:rsidP="00FB7DE8">
      <w:pPr>
        <w:spacing w:after="720"/>
        <w:jc w:val="both"/>
        <w:rPr>
          <w:lang w:val="fr-CA"/>
        </w:rPr>
      </w:pPr>
    </w:p>
    <w:p w:rsidR="00834909" w:rsidRDefault="00834909" w:rsidP="00FB7DE8">
      <w:pPr>
        <w:spacing w:after="720"/>
        <w:jc w:val="both"/>
        <w:rPr>
          <w:lang w:val="fr-CA"/>
        </w:rPr>
      </w:pPr>
    </w:p>
    <w:p w:rsidR="004D7D95" w:rsidRPr="00F53F09" w:rsidRDefault="00F53F09" w:rsidP="00FB7DE8">
      <w:pPr>
        <w:spacing w:after="720"/>
        <w:jc w:val="both"/>
        <w:rPr>
          <w:smallCaps/>
          <w:lang w:val="fr-CA"/>
        </w:rPr>
      </w:pPr>
      <w:r w:rsidRPr="00F53F09">
        <w:rPr>
          <w:lang w:val="fr-CA"/>
        </w:rPr>
        <w:t xml:space="preserve">Québec (Commission des normes, de l’équité, de la santé et de la sécurité du travail) </w:t>
      </w:r>
      <w:r w:rsidR="00E97E86" w:rsidRPr="00F53F09">
        <w:rPr>
          <w:i/>
          <w:lang w:val="fr-CA"/>
        </w:rPr>
        <w:t>c</w:t>
      </w:r>
      <w:r w:rsidR="004D7D95" w:rsidRPr="00F53F09">
        <w:rPr>
          <w:i/>
          <w:lang w:val="fr-CA"/>
        </w:rPr>
        <w:t>.</w:t>
      </w:r>
      <w:r w:rsidR="004D7D95" w:rsidRPr="00F53F09">
        <w:rPr>
          <w:smallCaps/>
          <w:lang w:val="fr-CA"/>
        </w:rPr>
        <w:t xml:space="preserve"> </w:t>
      </w:r>
      <w:r>
        <w:rPr>
          <w:rStyle w:val="SCCAppellantForRunningHeadChar"/>
          <w:smallCaps w:val="0"/>
          <w:lang w:val="fr-CA"/>
        </w:rPr>
        <w:t>C</w:t>
      </w:r>
      <w:r w:rsidR="00963817" w:rsidRPr="00F53F09">
        <w:rPr>
          <w:rStyle w:val="SCCAppellantForRunningHeadChar"/>
          <w:smallCaps w:val="0"/>
          <w:lang w:val="fr-CA"/>
        </w:rPr>
        <w:t>a</w:t>
      </w:r>
      <w:r w:rsidR="004D7D95" w:rsidRPr="00F53F09">
        <w:rPr>
          <w:rStyle w:val="SCCAppellantForRunningHeadChar"/>
          <w:smallCaps w:val="0"/>
          <w:lang w:val="fr-CA"/>
        </w:rPr>
        <w:t>ron</w:t>
      </w:r>
      <w:r>
        <w:rPr>
          <w:rStyle w:val="SCCAppellantForRunningHeadChar"/>
          <w:smallCaps w:val="0"/>
          <w:lang w:val="fr-CA"/>
        </w:rPr>
        <w:t xml:space="preserve">, </w:t>
      </w:r>
      <w:r w:rsidRPr="000E37EE">
        <w:rPr>
          <w:lang w:val="fr-CA"/>
        </w:rPr>
        <w:t>2018 CSC 3</w:t>
      </w:r>
      <w:r>
        <w:rPr>
          <w:lang w:val="fr-CA"/>
        </w:rPr>
        <w:t>, [2018] 1 R.C.S. 35</w:t>
      </w:r>
    </w:p>
    <w:p w:rsidR="00963817" w:rsidRPr="000E37EE" w:rsidRDefault="00333A21" w:rsidP="00963817">
      <w:pPr>
        <w:pStyle w:val="SCCLsocLastPartyInRole"/>
        <w:spacing w:after="0"/>
        <w:rPr>
          <w:lang w:val="fr-CA"/>
        </w:rPr>
      </w:pPr>
      <w:r w:rsidRPr="000E37EE">
        <w:rPr>
          <w:lang w:val="fr-CA"/>
        </w:rPr>
        <w:t>Commission des normes, de l</w:t>
      </w:r>
      <w:r w:rsidR="004E1DF1" w:rsidRPr="000E37EE">
        <w:rPr>
          <w:lang w:val="fr-CA"/>
        </w:rPr>
        <w:t>’</w:t>
      </w:r>
      <w:r w:rsidRPr="000E37EE">
        <w:rPr>
          <w:lang w:val="fr-CA"/>
        </w:rPr>
        <w:t xml:space="preserve">équité, de la santé et de la sécurité </w:t>
      </w:r>
    </w:p>
    <w:p w:rsidR="00963817" w:rsidRPr="000E37EE" w:rsidRDefault="00333A21" w:rsidP="00963817">
      <w:pPr>
        <w:pStyle w:val="SCCLsocLastPartyInRole"/>
        <w:spacing w:after="0"/>
        <w:rPr>
          <w:lang w:val="fr-CA"/>
        </w:rPr>
      </w:pPr>
      <w:r w:rsidRPr="000E37EE">
        <w:rPr>
          <w:lang w:val="fr-CA"/>
        </w:rPr>
        <w:t xml:space="preserve">du travail (anciennement connue sous le nom de Commission </w:t>
      </w:r>
    </w:p>
    <w:p w:rsidR="000C0729" w:rsidRPr="000E37EE" w:rsidRDefault="00333A21">
      <w:pPr>
        <w:pStyle w:val="SCCLsocLastPartyInRole"/>
        <w:rPr>
          <w:lang w:val="fr-CA"/>
        </w:rPr>
      </w:pPr>
      <w:r w:rsidRPr="000E37EE">
        <w:rPr>
          <w:lang w:val="fr-CA"/>
        </w:rPr>
        <w:t>de la santé et de la sécurité du travail)</w:t>
      </w:r>
      <w:r w:rsidRPr="000E37EE">
        <w:rPr>
          <w:rStyle w:val="SCCLsocPartyRole"/>
          <w:lang w:val="fr-CA"/>
        </w:rPr>
        <w:tab/>
        <w:t>Appelante</w:t>
      </w:r>
    </w:p>
    <w:p w:rsidR="000C0729" w:rsidRPr="000E37EE" w:rsidRDefault="00333A21">
      <w:pPr>
        <w:pStyle w:val="SCCLsocVersus"/>
        <w:rPr>
          <w:lang w:val="fr-CA"/>
        </w:rPr>
      </w:pPr>
      <w:r w:rsidRPr="000E37EE">
        <w:rPr>
          <w:lang w:val="fr-CA"/>
        </w:rPr>
        <w:t>c.</w:t>
      </w:r>
    </w:p>
    <w:p w:rsidR="000C0729" w:rsidRPr="000E37EE" w:rsidRDefault="00333A21">
      <w:pPr>
        <w:pStyle w:val="SCCLsocLastPartyInRole"/>
        <w:rPr>
          <w:lang w:val="fr-CA"/>
        </w:rPr>
      </w:pPr>
      <w:r w:rsidRPr="000E37EE">
        <w:rPr>
          <w:lang w:val="fr-CA"/>
        </w:rPr>
        <w:t>Alain Caron</w:t>
      </w:r>
      <w:r w:rsidRPr="000E37EE">
        <w:rPr>
          <w:rStyle w:val="SCCLsocPartyRole"/>
          <w:lang w:val="fr-CA"/>
        </w:rPr>
        <w:tab/>
        <w:t>Intimé</w:t>
      </w:r>
    </w:p>
    <w:p w:rsidR="000C0729" w:rsidRPr="000E37EE" w:rsidRDefault="00333A21">
      <w:pPr>
        <w:pStyle w:val="SCCLsocOtherPartySeparator"/>
        <w:rPr>
          <w:lang w:val="fr-CA"/>
        </w:rPr>
      </w:pPr>
      <w:r w:rsidRPr="000E37EE">
        <w:rPr>
          <w:lang w:val="fr-CA"/>
        </w:rPr>
        <w:t>et</w:t>
      </w:r>
    </w:p>
    <w:p w:rsidR="000C0729" w:rsidRPr="000E37EE" w:rsidRDefault="00333A21">
      <w:pPr>
        <w:pStyle w:val="SCCLsocParty"/>
        <w:rPr>
          <w:lang w:val="fr-CA"/>
        </w:rPr>
      </w:pPr>
      <w:r w:rsidRPr="000E37EE">
        <w:rPr>
          <w:lang w:val="fr-CA"/>
        </w:rPr>
        <w:t>Procureure générale du Québec,</w:t>
      </w:r>
    </w:p>
    <w:p w:rsidR="00963817" w:rsidRPr="000E37EE" w:rsidRDefault="00333A21">
      <w:pPr>
        <w:pStyle w:val="SCCLsocParty"/>
        <w:rPr>
          <w:lang w:val="fr-CA"/>
        </w:rPr>
      </w:pPr>
      <w:r w:rsidRPr="000E37EE">
        <w:rPr>
          <w:lang w:val="fr-CA"/>
        </w:rPr>
        <w:t xml:space="preserve">Tribunal administratif du travail (anciennement connu </w:t>
      </w:r>
    </w:p>
    <w:p w:rsidR="000C0729" w:rsidRPr="000E37EE" w:rsidRDefault="00333A21">
      <w:pPr>
        <w:pStyle w:val="SCCLsocParty"/>
        <w:rPr>
          <w:lang w:val="fr-CA"/>
        </w:rPr>
      </w:pPr>
      <w:r w:rsidRPr="000E37EE">
        <w:rPr>
          <w:lang w:val="fr-CA"/>
        </w:rPr>
        <w:t>sous le nom de Commission des lésions professionnelles),</w:t>
      </w:r>
    </w:p>
    <w:p w:rsidR="000C0729" w:rsidRPr="000E37EE" w:rsidRDefault="00333A21">
      <w:pPr>
        <w:pStyle w:val="SCCLsocParty"/>
        <w:rPr>
          <w:lang w:val="fr-CA"/>
        </w:rPr>
      </w:pPr>
      <w:r w:rsidRPr="000E37EE">
        <w:rPr>
          <w:lang w:val="fr-CA"/>
        </w:rPr>
        <w:t>Centre Miriam,</w:t>
      </w:r>
    </w:p>
    <w:p w:rsidR="000C0729" w:rsidRPr="000E37EE" w:rsidRDefault="00333A21">
      <w:pPr>
        <w:pStyle w:val="SCCLsocParty"/>
        <w:rPr>
          <w:lang w:val="fr-CA"/>
        </w:rPr>
      </w:pPr>
      <w:r w:rsidRPr="000E37EE">
        <w:rPr>
          <w:lang w:val="fr-CA"/>
        </w:rPr>
        <w:t>Conseil du patronat du Québec inc.,</w:t>
      </w:r>
    </w:p>
    <w:p w:rsidR="000C0729" w:rsidRPr="000E37EE" w:rsidRDefault="00333A21">
      <w:pPr>
        <w:pStyle w:val="SCCLsocParty"/>
      </w:pPr>
      <w:r w:rsidRPr="000E37EE">
        <w:t>Ontario Network of Injured Workers</w:t>
      </w:r>
      <w:r w:rsidR="004E1DF1" w:rsidRPr="000E37EE">
        <w:t>’</w:t>
      </w:r>
      <w:r w:rsidRPr="000E37EE">
        <w:t xml:space="preserve"> Groups,</w:t>
      </w:r>
    </w:p>
    <w:p w:rsidR="000C0729" w:rsidRPr="000E37EE" w:rsidRDefault="00333A21">
      <w:pPr>
        <w:pStyle w:val="SCCLsocParty"/>
      </w:pPr>
      <w:r w:rsidRPr="000E37EE">
        <w:t>Industrial Accident Victims</w:t>
      </w:r>
      <w:r w:rsidR="004E1DF1" w:rsidRPr="000E37EE">
        <w:t>’</w:t>
      </w:r>
      <w:r w:rsidRPr="000E37EE">
        <w:t xml:space="preserve"> Group of Ontario,</w:t>
      </w:r>
    </w:p>
    <w:p w:rsidR="000C0729" w:rsidRPr="000E37EE" w:rsidRDefault="00333A21">
      <w:pPr>
        <w:pStyle w:val="SCCLsocParty"/>
        <w:rPr>
          <w:lang w:val="fr-CA"/>
        </w:rPr>
      </w:pPr>
      <w:r w:rsidRPr="000E37EE">
        <w:rPr>
          <w:lang w:val="fr-CA"/>
        </w:rPr>
        <w:t>C</w:t>
      </w:r>
      <w:r w:rsidR="00754694" w:rsidRPr="000E37EE">
        <w:rPr>
          <w:lang w:val="fr-CA"/>
        </w:rPr>
        <w:t>entrale des syndicats du Québec et</w:t>
      </w:r>
    </w:p>
    <w:p w:rsidR="000C0729" w:rsidRPr="000E37EE" w:rsidRDefault="00333A21">
      <w:pPr>
        <w:pStyle w:val="SCCLsocLastPartyInRole"/>
        <w:rPr>
          <w:lang w:val="fr-CA"/>
        </w:rPr>
      </w:pPr>
      <w:r w:rsidRPr="000E37EE">
        <w:rPr>
          <w:lang w:val="fr-CA"/>
        </w:rPr>
        <w:t>Syndicat canadien de la fonction publique</w:t>
      </w:r>
      <w:r w:rsidRPr="000E37EE">
        <w:rPr>
          <w:rStyle w:val="SCCLsocPartyRole"/>
          <w:lang w:val="fr-CA"/>
        </w:rPr>
        <w:tab/>
        <w:t>Intervenants</w:t>
      </w:r>
    </w:p>
    <w:p w:rsidR="004D7D95" w:rsidRPr="000E37EE" w:rsidRDefault="004D7D95" w:rsidP="00FB7DE8">
      <w:pPr>
        <w:spacing w:after="720"/>
        <w:jc w:val="both"/>
        <w:rPr>
          <w:b/>
          <w:lang w:val="fr-CA"/>
        </w:rPr>
      </w:pPr>
      <w:r w:rsidRPr="000E37EE">
        <w:rPr>
          <w:b/>
          <w:lang w:val="fr-CA"/>
        </w:rPr>
        <w:t>Répertorié</w:t>
      </w:r>
      <w:r w:rsidR="00FB7DE8" w:rsidRPr="000E37EE">
        <w:rPr>
          <w:b/>
          <w:lang w:val="fr-CA"/>
        </w:rPr>
        <w:t> :</w:t>
      </w:r>
      <w:r w:rsidRPr="000E37EE">
        <w:rPr>
          <w:b/>
          <w:lang w:val="fr-CA"/>
        </w:rPr>
        <w:t> </w:t>
      </w:r>
      <w:r w:rsidR="00754694" w:rsidRPr="000E37EE">
        <w:rPr>
          <w:b/>
          <w:lang w:val="fr-CA"/>
        </w:rPr>
        <w:t>Québec (C</w:t>
      </w:r>
      <w:r w:rsidR="00D06A0A" w:rsidRPr="000E37EE">
        <w:rPr>
          <w:b/>
          <w:lang w:val="fr-CA"/>
        </w:rPr>
        <w:t>ommission des normes, de l</w:t>
      </w:r>
      <w:r w:rsidR="004E1DF1" w:rsidRPr="000E37EE">
        <w:rPr>
          <w:b/>
          <w:lang w:val="fr-CA"/>
        </w:rPr>
        <w:t>’</w:t>
      </w:r>
      <w:r w:rsidR="00D06A0A" w:rsidRPr="000E37EE">
        <w:rPr>
          <w:b/>
          <w:lang w:val="fr-CA"/>
        </w:rPr>
        <w:t>équité, de la santé et de la sécurité du travail)</w:t>
      </w:r>
      <w:r w:rsidRPr="000E37EE">
        <w:rPr>
          <w:b/>
          <w:lang w:val="fr-CA"/>
        </w:rPr>
        <w:t xml:space="preserve"> </w:t>
      </w:r>
      <w:r w:rsidRPr="000E37EE">
        <w:rPr>
          <w:b/>
          <w:i/>
          <w:lang w:val="fr-CA"/>
        </w:rPr>
        <w:t>c.</w:t>
      </w:r>
      <w:r w:rsidRPr="000E37EE">
        <w:rPr>
          <w:b/>
          <w:lang w:val="fr-CA"/>
        </w:rPr>
        <w:t xml:space="preserve"> </w:t>
      </w:r>
      <w:r w:rsidRPr="000E37EE">
        <w:rPr>
          <w:rStyle w:val="SCCRespondentForIndexChar"/>
          <w:lang w:val="fr-CA"/>
        </w:rPr>
        <w:t>Caron</w:t>
      </w:r>
    </w:p>
    <w:p w:rsidR="004D7D95" w:rsidRPr="000E37EE" w:rsidRDefault="00D17B0E" w:rsidP="00FB7DE8">
      <w:pPr>
        <w:pStyle w:val="SCCSystemYear"/>
        <w:spacing w:after="720"/>
        <w:jc w:val="both"/>
        <w:rPr>
          <w:lang w:val="fr-CA"/>
        </w:rPr>
      </w:pPr>
      <w:r w:rsidRPr="000E37EE">
        <w:rPr>
          <w:lang w:val="fr-CA"/>
        </w:rPr>
        <w:t>201</w:t>
      </w:r>
      <w:r w:rsidR="0044320A" w:rsidRPr="000E37EE">
        <w:rPr>
          <w:lang w:val="fr-CA"/>
        </w:rPr>
        <w:t>8</w:t>
      </w:r>
      <w:r w:rsidR="004D7D95" w:rsidRPr="000E37EE">
        <w:rPr>
          <w:lang w:val="fr-CA"/>
        </w:rPr>
        <w:t xml:space="preserve"> CSC </w:t>
      </w:r>
      <w:r w:rsidR="008331D7" w:rsidRPr="000E37EE">
        <w:rPr>
          <w:lang w:val="fr-CA"/>
        </w:rPr>
        <w:t>3</w:t>
      </w:r>
    </w:p>
    <w:p w:rsidR="004D7D95" w:rsidRPr="000E37EE" w:rsidRDefault="004D7D95" w:rsidP="00FB7DE8">
      <w:pPr>
        <w:spacing w:after="720"/>
        <w:jc w:val="both"/>
        <w:rPr>
          <w:lang w:val="fr-CA"/>
        </w:rPr>
      </w:pPr>
      <w:r w:rsidRPr="000E37EE">
        <w:rPr>
          <w:lang w:val="fr-CA"/>
        </w:rPr>
        <w:lastRenderedPageBreak/>
        <w:t>N</w:t>
      </w:r>
      <w:r w:rsidRPr="000E37EE">
        <w:rPr>
          <w:vertAlign w:val="superscript"/>
          <w:lang w:val="fr-CA"/>
        </w:rPr>
        <w:t>o</w:t>
      </w:r>
      <w:r w:rsidRPr="000E37EE">
        <w:rPr>
          <w:lang w:val="fr-CA"/>
        </w:rPr>
        <w:t xml:space="preserve"> du greffe</w:t>
      </w:r>
      <w:r w:rsidR="00FB7DE8" w:rsidRPr="000E37EE">
        <w:rPr>
          <w:lang w:val="fr-CA"/>
        </w:rPr>
        <w:t> :</w:t>
      </w:r>
      <w:r w:rsidRPr="000E37EE">
        <w:rPr>
          <w:lang w:val="fr-CA"/>
        </w:rPr>
        <w:t> 36605.</w:t>
      </w:r>
    </w:p>
    <w:p w:rsidR="004D7D95" w:rsidRPr="000E37EE" w:rsidRDefault="00FB7DE8" w:rsidP="00FB7DE8">
      <w:pPr>
        <w:spacing w:after="720"/>
        <w:jc w:val="both"/>
        <w:rPr>
          <w:lang w:val="fr-CA"/>
        </w:rPr>
      </w:pPr>
      <w:r w:rsidRPr="000E37EE">
        <w:rPr>
          <w:lang w:val="fr-CA"/>
        </w:rPr>
        <w:t>2017 : 30 </w:t>
      </w:r>
      <w:r w:rsidR="00D17B0E" w:rsidRPr="000E37EE">
        <w:rPr>
          <w:lang w:val="fr-CA"/>
        </w:rPr>
        <w:t>mars</w:t>
      </w:r>
      <w:r w:rsidR="004D7D95" w:rsidRPr="000E37EE">
        <w:rPr>
          <w:lang w:val="fr-CA"/>
        </w:rPr>
        <w:t xml:space="preserve">; </w:t>
      </w:r>
      <w:r w:rsidRPr="000E37EE">
        <w:rPr>
          <w:lang w:val="fr-CA"/>
        </w:rPr>
        <w:t>2018 : 1</w:t>
      </w:r>
      <w:r w:rsidR="0044320A" w:rsidRPr="000E37EE">
        <w:rPr>
          <w:vertAlign w:val="superscript"/>
          <w:lang w:val="fr-CA"/>
        </w:rPr>
        <w:t>er</w:t>
      </w:r>
      <w:r w:rsidRPr="000E37EE">
        <w:rPr>
          <w:lang w:val="fr-CA"/>
        </w:rPr>
        <w:t> </w:t>
      </w:r>
      <w:r w:rsidR="003A694A" w:rsidRPr="000E37EE">
        <w:rPr>
          <w:lang w:val="fr-CA"/>
        </w:rPr>
        <w:t xml:space="preserve">février. </w:t>
      </w:r>
    </w:p>
    <w:p w:rsidR="004D7D95" w:rsidRPr="000E37EE" w:rsidRDefault="004D7D95" w:rsidP="00FB7DE8">
      <w:pPr>
        <w:spacing w:after="720"/>
        <w:jc w:val="both"/>
        <w:rPr>
          <w:lang w:val="fr-CA"/>
        </w:rPr>
      </w:pPr>
      <w:r w:rsidRPr="000E37EE">
        <w:rPr>
          <w:lang w:val="fr-CA"/>
        </w:rPr>
        <w:t>Présents</w:t>
      </w:r>
      <w:r w:rsidR="00FB7DE8" w:rsidRPr="000E37EE">
        <w:rPr>
          <w:lang w:val="fr-CA"/>
        </w:rPr>
        <w:t> :</w:t>
      </w:r>
      <w:r w:rsidRPr="000E37EE">
        <w:rPr>
          <w:lang w:val="fr-CA"/>
        </w:rPr>
        <w:t> La juge en chef McLachlin et les juges Abella, Karakatsanis, Wagner, Gascon, Côté et Rowe.</w:t>
      </w:r>
    </w:p>
    <w:p w:rsidR="004D7D95" w:rsidRPr="000E37EE" w:rsidRDefault="004D7D95" w:rsidP="00FB7DE8">
      <w:pPr>
        <w:spacing w:after="720"/>
        <w:jc w:val="both"/>
        <w:rPr>
          <w:smallCaps/>
          <w:lang w:val="fr-CA"/>
        </w:rPr>
      </w:pPr>
      <w:r w:rsidRPr="000E37EE">
        <w:rPr>
          <w:smallCaps/>
          <w:lang w:val="fr-CA"/>
        </w:rPr>
        <w:t>en appel de la cour d</w:t>
      </w:r>
      <w:r w:rsidR="004E1DF1" w:rsidRPr="000E37EE">
        <w:rPr>
          <w:smallCaps/>
          <w:lang w:val="fr-CA"/>
        </w:rPr>
        <w:t>’</w:t>
      </w:r>
      <w:r w:rsidRPr="000E37EE">
        <w:rPr>
          <w:smallCaps/>
          <w:lang w:val="fr-CA"/>
        </w:rPr>
        <w:t xml:space="preserve">appel du </w:t>
      </w:r>
      <w:r w:rsidR="00C44BFC" w:rsidRPr="000E37EE">
        <w:rPr>
          <w:smallCaps/>
          <w:lang w:val="fr-CA"/>
        </w:rPr>
        <w:t>q</w:t>
      </w:r>
      <w:r w:rsidRPr="000E37EE">
        <w:rPr>
          <w:smallCaps/>
          <w:lang w:val="fr-CA"/>
        </w:rPr>
        <w:t>uébec</w:t>
      </w:r>
    </w:p>
    <w:p w:rsidR="00AE02FC" w:rsidRPr="000E37EE" w:rsidRDefault="004D7D95" w:rsidP="00FB7DE8">
      <w:pPr>
        <w:pStyle w:val="SCCNormalDoubleSpacing"/>
        <w:spacing w:before="480" w:after="480"/>
        <w:rPr>
          <w:i/>
          <w:iCs/>
          <w:lang w:val="fr-CA"/>
        </w:rPr>
      </w:pPr>
      <w:r w:rsidRPr="000E37EE">
        <w:rPr>
          <w:lang w:val="fr-CA"/>
        </w:rPr>
        <w:tab/>
      </w:r>
      <w:r w:rsidR="00AE02FC" w:rsidRPr="000E37EE">
        <w:rPr>
          <w:i/>
          <w:lang w:val="fr-CA"/>
        </w:rPr>
        <w:t>Accidents du travail</w:t>
      </w:r>
      <w:r w:rsidR="00AE02FC" w:rsidRPr="000E37EE">
        <w:rPr>
          <w:rStyle w:val="QuoteChar"/>
          <w:color w:val="auto"/>
          <w:lang w:val="fr-CA"/>
        </w:rPr>
        <w:t xml:space="preserve"> –– Droits de la personne –– Droits des personnes handicapées –– Retour au travail –– Obligation d</w:t>
      </w:r>
      <w:r w:rsidR="004E1DF1" w:rsidRPr="000E37EE">
        <w:rPr>
          <w:rStyle w:val="QuoteChar"/>
          <w:color w:val="auto"/>
          <w:lang w:val="fr-CA"/>
        </w:rPr>
        <w:t>’</w:t>
      </w:r>
      <w:r w:rsidR="00AE02FC" w:rsidRPr="000E37EE">
        <w:rPr>
          <w:rStyle w:val="QuoteChar"/>
          <w:color w:val="auto"/>
          <w:lang w:val="fr-CA"/>
        </w:rPr>
        <w:t>accommodement –– Travailleur victime d</w:t>
      </w:r>
      <w:r w:rsidR="004E1DF1" w:rsidRPr="000E37EE">
        <w:rPr>
          <w:rStyle w:val="QuoteChar"/>
          <w:color w:val="auto"/>
          <w:lang w:val="fr-CA"/>
        </w:rPr>
        <w:t>’</w:t>
      </w:r>
      <w:r w:rsidR="00AE02FC" w:rsidRPr="000E37EE">
        <w:rPr>
          <w:rStyle w:val="QuoteChar"/>
          <w:color w:val="auto"/>
          <w:lang w:val="fr-CA"/>
        </w:rPr>
        <w:t>une lésion professionnelle demandant que l</w:t>
      </w:r>
      <w:r w:rsidR="004E1DF1" w:rsidRPr="000E37EE">
        <w:rPr>
          <w:rStyle w:val="QuoteChar"/>
          <w:color w:val="auto"/>
          <w:lang w:val="fr-CA"/>
        </w:rPr>
        <w:t>’</w:t>
      </w:r>
      <w:r w:rsidR="00AE02FC" w:rsidRPr="000E37EE">
        <w:rPr>
          <w:rStyle w:val="QuoteChar"/>
          <w:color w:val="auto"/>
          <w:lang w:val="fr-CA"/>
        </w:rPr>
        <w:t>on tienne compte de l</w:t>
      </w:r>
      <w:r w:rsidR="004E1DF1" w:rsidRPr="000E37EE">
        <w:rPr>
          <w:rStyle w:val="QuoteChar"/>
          <w:color w:val="auto"/>
          <w:lang w:val="fr-CA"/>
        </w:rPr>
        <w:t>’</w:t>
      </w:r>
      <w:r w:rsidR="00AE02FC" w:rsidRPr="000E37EE">
        <w:rPr>
          <w:rStyle w:val="QuoteChar"/>
          <w:color w:val="auto"/>
          <w:lang w:val="fr-CA"/>
        </w:rPr>
        <w:t>obligation d</w:t>
      </w:r>
      <w:r w:rsidR="004E1DF1" w:rsidRPr="000E37EE">
        <w:rPr>
          <w:rStyle w:val="QuoteChar"/>
          <w:color w:val="auto"/>
          <w:lang w:val="fr-CA"/>
        </w:rPr>
        <w:t>’</w:t>
      </w:r>
      <w:r w:rsidR="00AE02FC" w:rsidRPr="000E37EE">
        <w:rPr>
          <w:rStyle w:val="QuoteChar"/>
          <w:color w:val="auto"/>
          <w:lang w:val="fr-CA"/>
        </w:rPr>
        <w:t>accommodement raisonnable imposée à l</w:t>
      </w:r>
      <w:r w:rsidR="004E1DF1" w:rsidRPr="000E37EE">
        <w:rPr>
          <w:rStyle w:val="QuoteChar"/>
          <w:color w:val="auto"/>
          <w:lang w:val="fr-CA"/>
        </w:rPr>
        <w:t>’</w:t>
      </w:r>
      <w:r w:rsidR="00AE02FC" w:rsidRPr="000E37EE">
        <w:rPr>
          <w:rStyle w:val="QuoteChar"/>
          <w:color w:val="auto"/>
          <w:lang w:val="fr-CA"/>
        </w:rPr>
        <w:t>employeur par la Charte des droits et libertés de la personne du Québec pour décider si un emploi convenable est disponible –– Régime législatif applicable n</w:t>
      </w:r>
      <w:r w:rsidR="004E1DF1" w:rsidRPr="000E37EE">
        <w:rPr>
          <w:rStyle w:val="QuoteChar"/>
          <w:color w:val="auto"/>
          <w:lang w:val="fr-CA"/>
        </w:rPr>
        <w:t>’</w:t>
      </w:r>
      <w:r w:rsidR="00AE02FC" w:rsidRPr="000E37EE">
        <w:rPr>
          <w:rStyle w:val="QuoteChar"/>
          <w:color w:val="auto"/>
          <w:lang w:val="fr-CA"/>
        </w:rPr>
        <w:t>imposant pas en termes exprès à l</w:t>
      </w:r>
      <w:r w:rsidR="004E1DF1" w:rsidRPr="000E37EE">
        <w:rPr>
          <w:rStyle w:val="QuoteChar"/>
          <w:color w:val="auto"/>
          <w:lang w:val="fr-CA"/>
        </w:rPr>
        <w:t>’</w:t>
      </w:r>
      <w:r w:rsidR="00AE02FC" w:rsidRPr="000E37EE">
        <w:rPr>
          <w:rStyle w:val="QuoteChar"/>
          <w:color w:val="auto"/>
          <w:lang w:val="fr-CA"/>
        </w:rPr>
        <w:t>employeur l</w:t>
      </w:r>
      <w:r w:rsidR="004E1DF1" w:rsidRPr="000E37EE">
        <w:rPr>
          <w:rStyle w:val="QuoteChar"/>
          <w:color w:val="auto"/>
          <w:lang w:val="fr-CA"/>
        </w:rPr>
        <w:t>’</w:t>
      </w:r>
      <w:r w:rsidR="00AE02FC" w:rsidRPr="000E37EE">
        <w:rPr>
          <w:rStyle w:val="QuoteChar"/>
          <w:color w:val="auto"/>
          <w:lang w:val="fr-CA"/>
        </w:rPr>
        <w:t>obligation d</w:t>
      </w:r>
      <w:r w:rsidR="004E1DF1" w:rsidRPr="000E37EE">
        <w:rPr>
          <w:rStyle w:val="QuoteChar"/>
          <w:color w:val="auto"/>
          <w:lang w:val="fr-CA"/>
        </w:rPr>
        <w:t>’</w:t>
      </w:r>
      <w:r w:rsidR="00AE02FC" w:rsidRPr="000E37EE">
        <w:rPr>
          <w:rStyle w:val="QuoteChar"/>
          <w:color w:val="auto"/>
          <w:lang w:val="fr-CA"/>
        </w:rPr>
        <w:t>accommoder raisonnablement le travailleur atteint d</w:t>
      </w:r>
      <w:r w:rsidR="004E1DF1" w:rsidRPr="000E37EE">
        <w:rPr>
          <w:rStyle w:val="QuoteChar"/>
          <w:color w:val="auto"/>
          <w:lang w:val="fr-CA"/>
        </w:rPr>
        <w:t>’</w:t>
      </w:r>
      <w:r w:rsidR="00AE02FC" w:rsidRPr="000E37EE">
        <w:rPr>
          <w:rStyle w:val="QuoteChar"/>
          <w:color w:val="auto"/>
          <w:lang w:val="fr-CA"/>
        </w:rPr>
        <w:t>une invalidité –– L</w:t>
      </w:r>
      <w:r w:rsidR="004E1DF1" w:rsidRPr="000E37EE">
        <w:rPr>
          <w:rStyle w:val="QuoteChar"/>
          <w:color w:val="auto"/>
          <w:lang w:val="fr-CA"/>
        </w:rPr>
        <w:t>’</w:t>
      </w:r>
      <w:r w:rsidR="00AE02FC" w:rsidRPr="000E37EE">
        <w:rPr>
          <w:rStyle w:val="QuoteChar"/>
          <w:color w:val="auto"/>
          <w:lang w:val="fr-CA"/>
        </w:rPr>
        <w:t>obligation de l</w:t>
      </w:r>
      <w:r w:rsidR="004E1DF1" w:rsidRPr="000E37EE">
        <w:rPr>
          <w:rStyle w:val="QuoteChar"/>
          <w:color w:val="auto"/>
          <w:lang w:val="fr-CA"/>
        </w:rPr>
        <w:t>’</w:t>
      </w:r>
      <w:r w:rsidR="00AE02FC" w:rsidRPr="000E37EE">
        <w:rPr>
          <w:rStyle w:val="QuoteChar"/>
          <w:color w:val="auto"/>
          <w:lang w:val="fr-CA"/>
        </w:rPr>
        <w:t>employeur de prendre des mesures d</w:t>
      </w:r>
      <w:r w:rsidR="004E1DF1" w:rsidRPr="000E37EE">
        <w:rPr>
          <w:rStyle w:val="QuoteChar"/>
          <w:color w:val="auto"/>
          <w:lang w:val="fr-CA"/>
        </w:rPr>
        <w:t>’</w:t>
      </w:r>
      <w:r w:rsidR="00AE02FC" w:rsidRPr="000E37EE">
        <w:rPr>
          <w:rStyle w:val="QuoteChar"/>
          <w:color w:val="auto"/>
          <w:lang w:val="fr-CA"/>
        </w:rPr>
        <w:t>accommode</w:t>
      </w:r>
      <w:r w:rsidR="004F68C6" w:rsidRPr="000E37EE">
        <w:rPr>
          <w:rStyle w:val="QuoteChar"/>
          <w:color w:val="auto"/>
          <w:lang w:val="fr-CA"/>
        </w:rPr>
        <w:t>me</w:t>
      </w:r>
      <w:r w:rsidR="00AE02FC" w:rsidRPr="000E37EE">
        <w:rPr>
          <w:rStyle w:val="QuoteChar"/>
          <w:color w:val="auto"/>
          <w:lang w:val="fr-CA"/>
        </w:rPr>
        <w:t xml:space="preserve">nt raisonnables conformément à la Charte québécoise </w:t>
      </w:r>
      <w:r w:rsidR="00AE02FC" w:rsidRPr="000E37EE">
        <w:rPr>
          <w:i/>
          <w:szCs w:val="24"/>
          <w:lang w:val="fr-CA"/>
        </w:rPr>
        <w:t>s</w:t>
      </w:r>
      <w:r w:rsidR="004E1DF1" w:rsidRPr="000E37EE">
        <w:rPr>
          <w:i/>
          <w:szCs w:val="24"/>
          <w:lang w:val="fr-CA"/>
        </w:rPr>
        <w:t>’</w:t>
      </w:r>
      <w:r w:rsidR="00AE02FC" w:rsidRPr="000E37EE">
        <w:rPr>
          <w:i/>
          <w:szCs w:val="24"/>
          <w:lang w:val="fr-CA"/>
        </w:rPr>
        <w:t>applique</w:t>
      </w:r>
      <w:r w:rsidR="00FB7DE8" w:rsidRPr="000E37EE">
        <w:rPr>
          <w:i/>
          <w:szCs w:val="24"/>
          <w:lang w:val="fr-CA"/>
        </w:rPr>
        <w:noBreakHyphen/>
      </w:r>
      <w:r w:rsidR="00AE02FC" w:rsidRPr="000E37EE">
        <w:rPr>
          <w:i/>
          <w:szCs w:val="24"/>
          <w:lang w:val="fr-CA"/>
        </w:rPr>
        <w:t>t</w:t>
      </w:r>
      <w:r w:rsidR="00FB7DE8" w:rsidRPr="000E37EE">
        <w:rPr>
          <w:i/>
          <w:szCs w:val="24"/>
          <w:lang w:val="fr-CA"/>
        </w:rPr>
        <w:noBreakHyphen/>
      </w:r>
      <w:r w:rsidR="00AE02FC" w:rsidRPr="000E37EE">
        <w:rPr>
          <w:i/>
          <w:szCs w:val="24"/>
          <w:lang w:val="fr-CA"/>
        </w:rPr>
        <w:t>elle aux travailleurs dont l</w:t>
      </w:r>
      <w:r w:rsidR="004E1DF1" w:rsidRPr="000E37EE">
        <w:rPr>
          <w:i/>
          <w:szCs w:val="24"/>
          <w:lang w:val="fr-CA"/>
        </w:rPr>
        <w:t>’</w:t>
      </w:r>
      <w:r w:rsidR="00AE02FC" w:rsidRPr="000E37EE">
        <w:rPr>
          <w:i/>
          <w:szCs w:val="24"/>
          <w:lang w:val="fr-CA"/>
        </w:rPr>
        <w:t>invalidité résulte d</w:t>
      </w:r>
      <w:r w:rsidR="004E1DF1" w:rsidRPr="000E37EE">
        <w:rPr>
          <w:i/>
          <w:szCs w:val="24"/>
          <w:lang w:val="fr-CA"/>
        </w:rPr>
        <w:t>’</w:t>
      </w:r>
      <w:r w:rsidR="00AE02FC" w:rsidRPr="000E37EE">
        <w:rPr>
          <w:i/>
          <w:szCs w:val="24"/>
          <w:lang w:val="fr-CA"/>
        </w:rPr>
        <w:t xml:space="preserve">une lésion professionnelle? </w:t>
      </w:r>
      <w:r w:rsidR="00AE02FC" w:rsidRPr="000E37EE">
        <w:rPr>
          <w:rStyle w:val="QuoteChar"/>
          <w:color w:val="auto"/>
          <w:lang w:val="fr-CA"/>
        </w:rPr>
        <w:t>––</w:t>
      </w:r>
      <w:r w:rsidR="00AE02FC" w:rsidRPr="000E37EE">
        <w:rPr>
          <w:i/>
          <w:szCs w:val="24"/>
          <w:lang w:val="fr-CA"/>
        </w:rPr>
        <w:t xml:space="preserve"> Loi </w:t>
      </w:r>
      <w:r w:rsidR="00AE02FC" w:rsidRPr="000E37EE">
        <w:rPr>
          <w:i/>
          <w:lang w:val="fr-CA"/>
        </w:rPr>
        <w:t>sur les accidents du travail et les maladies professionnelles, RLRQ, c. A</w:t>
      </w:r>
      <w:r w:rsidR="00FB7DE8" w:rsidRPr="000E37EE">
        <w:rPr>
          <w:i/>
          <w:lang w:val="fr-CA"/>
        </w:rPr>
        <w:noBreakHyphen/>
      </w:r>
      <w:r w:rsidR="00AE02FC" w:rsidRPr="000E37EE">
        <w:rPr>
          <w:i/>
          <w:lang w:val="fr-CA"/>
        </w:rPr>
        <w:t xml:space="preserve">3.001, </w:t>
      </w:r>
      <w:r w:rsidR="00FB7DE8" w:rsidRPr="000E37EE">
        <w:rPr>
          <w:i/>
          <w:lang w:val="fr-CA"/>
        </w:rPr>
        <w:t>art. </w:t>
      </w:r>
      <w:r w:rsidR="00AE02FC" w:rsidRPr="000E37EE">
        <w:rPr>
          <w:i/>
          <w:lang w:val="fr-CA"/>
        </w:rPr>
        <w:t xml:space="preserve">236, 239 </w:t>
      </w:r>
      <w:r w:rsidR="00AE02FC" w:rsidRPr="000E37EE">
        <w:rPr>
          <w:rStyle w:val="QuoteChar"/>
          <w:color w:val="auto"/>
          <w:lang w:val="fr-CA"/>
        </w:rPr>
        <w:t>––</w:t>
      </w:r>
      <w:r w:rsidR="00AE02FC" w:rsidRPr="000E37EE">
        <w:rPr>
          <w:i/>
          <w:lang w:val="fr-CA"/>
        </w:rPr>
        <w:t xml:space="preserve"> Charte des droits et libertés de la personne, CQLR, c.</w:t>
      </w:r>
      <w:r w:rsidR="00FB7DE8" w:rsidRPr="000E37EE">
        <w:rPr>
          <w:i/>
          <w:lang w:val="fr-CA"/>
        </w:rPr>
        <w:t> </w:t>
      </w:r>
      <w:r w:rsidR="00AE02FC" w:rsidRPr="000E37EE">
        <w:rPr>
          <w:i/>
          <w:lang w:val="fr-CA"/>
        </w:rPr>
        <w:t>C</w:t>
      </w:r>
      <w:r w:rsidR="00FB7DE8" w:rsidRPr="000E37EE">
        <w:rPr>
          <w:i/>
          <w:lang w:val="fr-CA"/>
        </w:rPr>
        <w:noBreakHyphen/>
      </w:r>
      <w:r w:rsidR="00AE02FC" w:rsidRPr="000E37EE">
        <w:rPr>
          <w:i/>
          <w:lang w:val="fr-CA"/>
        </w:rPr>
        <w:t xml:space="preserve">12, </w:t>
      </w:r>
      <w:r w:rsidR="00FB7DE8" w:rsidRPr="000E37EE">
        <w:rPr>
          <w:i/>
          <w:lang w:val="fr-CA"/>
        </w:rPr>
        <w:t>art. </w:t>
      </w:r>
      <w:r w:rsidR="00AE02FC" w:rsidRPr="000E37EE">
        <w:rPr>
          <w:i/>
          <w:lang w:val="fr-CA"/>
        </w:rPr>
        <w:t>10, 16.</w:t>
      </w:r>
    </w:p>
    <w:p w:rsidR="00AE02FC" w:rsidRPr="000E37EE" w:rsidRDefault="00AE02FC" w:rsidP="00FB7DE8">
      <w:pPr>
        <w:pStyle w:val="SCCNormalDoubleSpacing"/>
        <w:spacing w:before="480" w:after="480"/>
        <w:rPr>
          <w:i/>
          <w:iCs/>
          <w:lang w:val="fr-CA"/>
        </w:rPr>
      </w:pPr>
      <w:r w:rsidRPr="000E37EE">
        <w:rPr>
          <w:i/>
          <w:lang w:val="fr-CA"/>
        </w:rPr>
        <w:tab/>
      </w:r>
      <w:r w:rsidRPr="000E37EE">
        <w:rPr>
          <w:rStyle w:val="QuoteChar"/>
          <w:color w:val="auto"/>
          <w:lang w:val="fr-CA"/>
        </w:rPr>
        <w:t>Législation –– Interprétation –– Droits de la personne –– Principe d</w:t>
      </w:r>
      <w:r w:rsidR="004E1DF1" w:rsidRPr="000E37EE">
        <w:rPr>
          <w:rStyle w:val="QuoteChar"/>
          <w:color w:val="auto"/>
          <w:lang w:val="fr-CA"/>
        </w:rPr>
        <w:t>’</w:t>
      </w:r>
      <w:r w:rsidRPr="000E37EE">
        <w:rPr>
          <w:rStyle w:val="QuoteChar"/>
          <w:color w:val="auto"/>
          <w:lang w:val="fr-CA"/>
        </w:rPr>
        <w:t>interprétation fondé sur l</w:t>
      </w:r>
      <w:r w:rsidR="00FB7DE8" w:rsidRPr="000E37EE">
        <w:rPr>
          <w:rStyle w:val="QuoteChar"/>
          <w:color w:val="auto"/>
          <w:lang w:val="fr-CA"/>
        </w:rPr>
        <w:t>es « </w:t>
      </w:r>
      <w:r w:rsidRPr="000E37EE">
        <w:rPr>
          <w:rStyle w:val="QuoteChar"/>
          <w:color w:val="auto"/>
          <w:lang w:val="fr-CA"/>
        </w:rPr>
        <w:t>valeurs de la Charte</w:t>
      </w:r>
      <w:r w:rsidR="00FB7DE8" w:rsidRPr="000E37EE">
        <w:rPr>
          <w:rStyle w:val="QuoteChar"/>
          <w:color w:val="auto"/>
          <w:lang w:val="fr-CA"/>
        </w:rPr>
        <w:t> </w:t>
      </w:r>
      <w:r w:rsidRPr="000E37EE">
        <w:rPr>
          <w:rStyle w:val="QuoteChar"/>
          <w:color w:val="auto"/>
          <w:lang w:val="fr-CA"/>
        </w:rPr>
        <w:t>» –– Régime législatif accordant au travailleur dont l</w:t>
      </w:r>
      <w:r w:rsidR="004E1DF1" w:rsidRPr="000E37EE">
        <w:rPr>
          <w:rStyle w:val="QuoteChar"/>
          <w:color w:val="auto"/>
          <w:lang w:val="fr-CA"/>
        </w:rPr>
        <w:t>’</w:t>
      </w:r>
      <w:r w:rsidRPr="000E37EE">
        <w:rPr>
          <w:rStyle w:val="QuoteChar"/>
          <w:color w:val="auto"/>
          <w:lang w:val="fr-CA"/>
        </w:rPr>
        <w:t>invalidité résulte d</w:t>
      </w:r>
      <w:r w:rsidR="004E1DF1" w:rsidRPr="000E37EE">
        <w:rPr>
          <w:rStyle w:val="QuoteChar"/>
          <w:color w:val="auto"/>
          <w:lang w:val="fr-CA"/>
        </w:rPr>
        <w:t>’</w:t>
      </w:r>
      <w:r w:rsidRPr="000E37EE">
        <w:rPr>
          <w:rStyle w:val="QuoteChar"/>
          <w:color w:val="auto"/>
          <w:lang w:val="fr-CA"/>
        </w:rPr>
        <w:t xml:space="preserve">une lésion professionnelle le droit de retourner </w:t>
      </w:r>
      <w:r w:rsidRPr="000E37EE">
        <w:rPr>
          <w:rStyle w:val="QuoteChar"/>
          <w:color w:val="auto"/>
          <w:lang w:val="fr-CA"/>
        </w:rPr>
        <w:lastRenderedPageBreak/>
        <w:t>travailler pour l</w:t>
      </w:r>
      <w:r w:rsidR="004E1DF1" w:rsidRPr="000E37EE">
        <w:rPr>
          <w:rStyle w:val="QuoteChar"/>
          <w:color w:val="auto"/>
          <w:lang w:val="fr-CA"/>
        </w:rPr>
        <w:t>’</w:t>
      </w:r>
      <w:r w:rsidRPr="000E37EE">
        <w:rPr>
          <w:rStyle w:val="QuoteChar"/>
          <w:color w:val="auto"/>
          <w:lang w:val="fr-CA"/>
        </w:rPr>
        <w:t>employeur –– Régime législatif applicable n</w:t>
      </w:r>
      <w:r w:rsidR="004E1DF1" w:rsidRPr="000E37EE">
        <w:rPr>
          <w:rStyle w:val="QuoteChar"/>
          <w:color w:val="auto"/>
          <w:lang w:val="fr-CA"/>
        </w:rPr>
        <w:t>’</w:t>
      </w:r>
      <w:r w:rsidRPr="000E37EE">
        <w:rPr>
          <w:rStyle w:val="QuoteChar"/>
          <w:color w:val="auto"/>
          <w:lang w:val="fr-CA"/>
        </w:rPr>
        <w:t>imposant pas en termes exprès à l</w:t>
      </w:r>
      <w:r w:rsidR="004E1DF1" w:rsidRPr="000E37EE">
        <w:rPr>
          <w:rStyle w:val="QuoteChar"/>
          <w:color w:val="auto"/>
          <w:lang w:val="fr-CA"/>
        </w:rPr>
        <w:t>’</w:t>
      </w:r>
      <w:r w:rsidRPr="000E37EE">
        <w:rPr>
          <w:rStyle w:val="QuoteChar"/>
          <w:color w:val="auto"/>
          <w:lang w:val="fr-CA"/>
        </w:rPr>
        <w:t>employeur l</w:t>
      </w:r>
      <w:r w:rsidR="004E1DF1" w:rsidRPr="000E37EE">
        <w:rPr>
          <w:rStyle w:val="QuoteChar"/>
          <w:color w:val="auto"/>
          <w:lang w:val="fr-CA"/>
        </w:rPr>
        <w:t>’</w:t>
      </w:r>
      <w:r w:rsidRPr="000E37EE">
        <w:rPr>
          <w:rStyle w:val="QuoteChar"/>
          <w:color w:val="auto"/>
          <w:lang w:val="fr-CA"/>
        </w:rPr>
        <w:t>obligation d</w:t>
      </w:r>
      <w:r w:rsidR="004E1DF1" w:rsidRPr="000E37EE">
        <w:rPr>
          <w:rStyle w:val="QuoteChar"/>
          <w:color w:val="auto"/>
          <w:lang w:val="fr-CA"/>
        </w:rPr>
        <w:t>’</w:t>
      </w:r>
      <w:r w:rsidRPr="000E37EE">
        <w:rPr>
          <w:rStyle w:val="QuoteChar"/>
          <w:color w:val="auto"/>
          <w:lang w:val="fr-CA"/>
        </w:rPr>
        <w:t>accommoder raisonnablement le travailleur atteint d</w:t>
      </w:r>
      <w:r w:rsidR="004E1DF1" w:rsidRPr="000E37EE">
        <w:rPr>
          <w:rStyle w:val="QuoteChar"/>
          <w:color w:val="auto"/>
          <w:lang w:val="fr-CA"/>
        </w:rPr>
        <w:t>’</w:t>
      </w:r>
      <w:r w:rsidRPr="000E37EE">
        <w:rPr>
          <w:rStyle w:val="QuoteChar"/>
          <w:color w:val="auto"/>
          <w:lang w:val="fr-CA"/>
        </w:rPr>
        <w:t>une invalidité –– Faut</w:t>
      </w:r>
      <w:r w:rsidR="00FB7DE8" w:rsidRPr="000E37EE">
        <w:rPr>
          <w:rStyle w:val="QuoteChar"/>
          <w:color w:val="auto"/>
          <w:lang w:val="fr-CA"/>
        </w:rPr>
        <w:noBreakHyphen/>
      </w:r>
      <w:r w:rsidRPr="000E37EE">
        <w:rPr>
          <w:rStyle w:val="QuoteChar"/>
          <w:color w:val="auto"/>
          <w:lang w:val="fr-CA"/>
        </w:rPr>
        <w:t xml:space="preserve">il </w:t>
      </w:r>
      <w:r w:rsidR="00BC2DEE">
        <w:rPr>
          <w:rStyle w:val="QuoteChar"/>
          <w:color w:val="auto"/>
          <w:lang w:val="fr-CA"/>
        </w:rPr>
        <w:t>interpréter</w:t>
      </w:r>
      <w:r w:rsidRPr="000E37EE">
        <w:rPr>
          <w:rStyle w:val="QuoteChar"/>
          <w:color w:val="auto"/>
          <w:lang w:val="fr-CA"/>
        </w:rPr>
        <w:t xml:space="preserve"> le régime législatif </w:t>
      </w:r>
      <w:r w:rsidR="00BC2DEE">
        <w:rPr>
          <w:rStyle w:val="QuoteChar"/>
          <w:color w:val="auto"/>
          <w:lang w:val="fr-CA"/>
        </w:rPr>
        <w:t>comme prévoyant</w:t>
      </w:r>
      <w:r w:rsidRPr="000E37EE">
        <w:rPr>
          <w:rStyle w:val="QuoteChar"/>
          <w:color w:val="auto"/>
          <w:lang w:val="fr-CA"/>
        </w:rPr>
        <w:t xml:space="preserve"> l</w:t>
      </w:r>
      <w:r w:rsidR="004E1DF1" w:rsidRPr="000E37EE">
        <w:rPr>
          <w:rStyle w:val="QuoteChar"/>
          <w:color w:val="auto"/>
          <w:lang w:val="fr-CA"/>
        </w:rPr>
        <w:t>’</w:t>
      </w:r>
      <w:r w:rsidRPr="000E37EE">
        <w:rPr>
          <w:rStyle w:val="QuoteChar"/>
          <w:color w:val="auto"/>
          <w:lang w:val="fr-CA"/>
        </w:rPr>
        <w:t>obligation de prendre des mesures d</w:t>
      </w:r>
      <w:r w:rsidR="004E1DF1" w:rsidRPr="000E37EE">
        <w:rPr>
          <w:rStyle w:val="QuoteChar"/>
          <w:color w:val="auto"/>
          <w:lang w:val="fr-CA"/>
        </w:rPr>
        <w:t>’</w:t>
      </w:r>
      <w:r w:rsidRPr="000E37EE">
        <w:rPr>
          <w:rStyle w:val="QuoteChar"/>
          <w:color w:val="auto"/>
          <w:lang w:val="fr-CA"/>
        </w:rPr>
        <w:t xml:space="preserve">accommodement raisonnables conformément à la </w:t>
      </w:r>
      <w:r w:rsidRPr="000E37EE">
        <w:rPr>
          <w:i/>
          <w:lang w:val="fr-CA"/>
        </w:rPr>
        <w:t>Charte québécoise</w:t>
      </w:r>
      <w:r w:rsidR="004F68C6" w:rsidRPr="000E37EE">
        <w:rPr>
          <w:i/>
          <w:lang w:val="fr-CA"/>
        </w:rPr>
        <w:t>?</w:t>
      </w:r>
      <w:r w:rsidRPr="000E37EE">
        <w:rPr>
          <w:i/>
          <w:lang w:val="fr-CA"/>
        </w:rPr>
        <w:t xml:space="preserve"> </w:t>
      </w:r>
      <w:r w:rsidRPr="000E37EE">
        <w:rPr>
          <w:rStyle w:val="QuoteChar"/>
          <w:color w:val="auto"/>
          <w:lang w:val="fr-CA"/>
        </w:rPr>
        <w:t>––</w:t>
      </w:r>
      <w:r w:rsidRPr="000E37EE">
        <w:rPr>
          <w:i/>
          <w:szCs w:val="24"/>
          <w:lang w:val="fr-CA"/>
        </w:rPr>
        <w:t xml:space="preserve"> Loi </w:t>
      </w:r>
      <w:r w:rsidRPr="000E37EE">
        <w:rPr>
          <w:i/>
          <w:lang w:val="fr-CA"/>
        </w:rPr>
        <w:t>sur les accidents du travail et les maladies professionnelles, CQLR, c.</w:t>
      </w:r>
      <w:r w:rsidR="00FB7DE8" w:rsidRPr="000E37EE">
        <w:rPr>
          <w:i/>
          <w:lang w:val="fr-CA"/>
        </w:rPr>
        <w:t> </w:t>
      </w:r>
      <w:r w:rsidRPr="000E37EE">
        <w:rPr>
          <w:i/>
          <w:lang w:val="fr-CA"/>
        </w:rPr>
        <w:t>A</w:t>
      </w:r>
      <w:r w:rsidR="00FB7DE8" w:rsidRPr="000E37EE">
        <w:rPr>
          <w:i/>
          <w:lang w:val="fr-CA"/>
        </w:rPr>
        <w:noBreakHyphen/>
      </w:r>
      <w:r w:rsidRPr="000E37EE">
        <w:rPr>
          <w:i/>
          <w:lang w:val="fr-CA"/>
        </w:rPr>
        <w:t xml:space="preserve">3.001, </w:t>
      </w:r>
      <w:r w:rsidR="00FB7DE8" w:rsidRPr="000E37EE">
        <w:rPr>
          <w:i/>
          <w:lang w:val="fr-CA"/>
        </w:rPr>
        <w:t>art. </w:t>
      </w:r>
      <w:r w:rsidRPr="000E37EE">
        <w:rPr>
          <w:i/>
          <w:lang w:val="fr-CA"/>
        </w:rPr>
        <w:t xml:space="preserve">236, 239 </w:t>
      </w:r>
      <w:r w:rsidRPr="000E37EE">
        <w:rPr>
          <w:rStyle w:val="QuoteChar"/>
          <w:color w:val="auto"/>
          <w:lang w:val="fr-CA"/>
        </w:rPr>
        <w:t>––</w:t>
      </w:r>
      <w:r w:rsidRPr="000E37EE">
        <w:rPr>
          <w:i/>
          <w:lang w:val="fr-CA"/>
        </w:rPr>
        <w:t xml:space="preserve"> Charte des droits et libertés de la personne, CQLR, c.</w:t>
      </w:r>
      <w:r w:rsidR="00FB7DE8" w:rsidRPr="000E37EE">
        <w:rPr>
          <w:i/>
          <w:lang w:val="fr-CA"/>
        </w:rPr>
        <w:t> </w:t>
      </w:r>
      <w:r w:rsidRPr="000E37EE">
        <w:rPr>
          <w:i/>
          <w:lang w:val="fr-CA"/>
        </w:rPr>
        <w:t>C</w:t>
      </w:r>
      <w:r w:rsidR="00FB7DE8" w:rsidRPr="000E37EE">
        <w:rPr>
          <w:i/>
          <w:lang w:val="fr-CA"/>
        </w:rPr>
        <w:noBreakHyphen/>
      </w:r>
      <w:r w:rsidRPr="000E37EE">
        <w:rPr>
          <w:i/>
          <w:lang w:val="fr-CA"/>
        </w:rPr>
        <w:t xml:space="preserve">12, </w:t>
      </w:r>
      <w:r w:rsidR="00FB7DE8" w:rsidRPr="000E37EE">
        <w:rPr>
          <w:i/>
          <w:lang w:val="fr-CA"/>
        </w:rPr>
        <w:t>art. </w:t>
      </w:r>
      <w:r w:rsidRPr="000E37EE">
        <w:rPr>
          <w:i/>
          <w:lang w:val="fr-CA"/>
        </w:rPr>
        <w:t>10, 16.</w:t>
      </w:r>
    </w:p>
    <w:p w:rsidR="00AE02FC" w:rsidRPr="000E37EE" w:rsidRDefault="00AE02FC" w:rsidP="00FB7DE8">
      <w:pPr>
        <w:pStyle w:val="SCCNormalDoubleSpacing"/>
        <w:spacing w:before="480" w:after="480"/>
        <w:rPr>
          <w:rFonts w:eastAsiaTheme="minorEastAsia"/>
          <w:szCs w:val="22"/>
          <w:lang w:val="fr-CA" w:eastAsia="en-US"/>
        </w:rPr>
      </w:pPr>
      <w:r w:rsidRPr="000E37EE">
        <w:rPr>
          <w:lang w:val="fr-CA"/>
        </w:rPr>
        <w:tab/>
      </w:r>
      <w:r w:rsidRPr="000E37EE">
        <w:rPr>
          <w:i/>
          <w:lang w:val="fr-CA"/>
        </w:rPr>
        <w:t>Droit administratif</w:t>
      </w:r>
      <w:r w:rsidRPr="000E37EE">
        <w:rPr>
          <w:rStyle w:val="QuoteChar"/>
          <w:i w:val="0"/>
          <w:color w:val="auto"/>
          <w:lang w:val="fr-CA"/>
        </w:rPr>
        <w:t xml:space="preserve"> </w:t>
      </w:r>
      <w:r w:rsidRPr="000E37EE">
        <w:rPr>
          <w:rStyle w:val="QuoteChar"/>
          <w:color w:val="auto"/>
          <w:lang w:val="fr-CA"/>
        </w:rPr>
        <w:t>–– Organismes et tribunaux administratifs ––</w:t>
      </w:r>
      <w:r w:rsidRPr="000E37EE">
        <w:rPr>
          <w:iCs/>
          <w:lang w:val="fr-CA"/>
        </w:rPr>
        <w:t xml:space="preserve"> </w:t>
      </w:r>
      <w:r w:rsidRPr="000E37EE">
        <w:rPr>
          <w:i/>
          <w:lang w:val="fr-CA"/>
        </w:rPr>
        <w:t xml:space="preserve">Commission des lésions professionnelles </w:t>
      </w:r>
      <w:r w:rsidRPr="000E37EE">
        <w:rPr>
          <w:rStyle w:val="QuoteChar"/>
          <w:color w:val="auto"/>
          <w:lang w:val="fr-CA"/>
        </w:rPr>
        <w:t>––</w:t>
      </w:r>
      <w:r w:rsidRPr="000E37EE">
        <w:rPr>
          <w:i/>
          <w:lang w:val="fr-CA"/>
        </w:rPr>
        <w:t xml:space="preserve"> Contrôle judiciaire</w:t>
      </w:r>
      <w:r w:rsidRPr="000E37EE">
        <w:rPr>
          <w:rStyle w:val="QuoteChar"/>
          <w:color w:val="auto"/>
          <w:lang w:val="fr-CA"/>
        </w:rPr>
        <w:t xml:space="preserve"> ––</w:t>
      </w:r>
      <w:r w:rsidRPr="000E37EE">
        <w:rPr>
          <w:i/>
          <w:lang w:val="fr-CA"/>
        </w:rPr>
        <w:t xml:space="preserve"> Norme de contrôle applicable à la décision de la Commission de refuser d</w:t>
      </w:r>
      <w:r w:rsidR="004E1DF1" w:rsidRPr="000E37EE">
        <w:rPr>
          <w:i/>
          <w:lang w:val="fr-CA"/>
        </w:rPr>
        <w:t>’</w:t>
      </w:r>
      <w:r w:rsidRPr="000E37EE">
        <w:rPr>
          <w:i/>
          <w:lang w:val="fr-CA"/>
        </w:rPr>
        <w:t>appliquer l</w:t>
      </w:r>
      <w:r w:rsidR="004E1DF1" w:rsidRPr="000E37EE">
        <w:rPr>
          <w:i/>
          <w:lang w:val="fr-CA"/>
        </w:rPr>
        <w:t>’</w:t>
      </w:r>
      <w:r w:rsidRPr="000E37EE">
        <w:rPr>
          <w:i/>
          <w:lang w:val="fr-CA"/>
        </w:rPr>
        <w:t>obligation de l</w:t>
      </w:r>
      <w:r w:rsidR="004E1DF1" w:rsidRPr="000E37EE">
        <w:rPr>
          <w:i/>
          <w:lang w:val="fr-CA"/>
        </w:rPr>
        <w:t>’</w:t>
      </w:r>
      <w:r w:rsidRPr="000E37EE">
        <w:rPr>
          <w:i/>
          <w:lang w:val="fr-CA"/>
        </w:rPr>
        <w:t xml:space="preserve">employeur </w:t>
      </w:r>
      <w:r w:rsidR="00D40D23" w:rsidRPr="000E37EE">
        <w:rPr>
          <w:i/>
          <w:lang w:val="fr-CA"/>
        </w:rPr>
        <w:t>de prendre des mesures d</w:t>
      </w:r>
      <w:r w:rsidR="004E1DF1" w:rsidRPr="000E37EE">
        <w:rPr>
          <w:i/>
          <w:lang w:val="fr-CA"/>
        </w:rPr>
        <w:t>’</w:t>
      </w:r>
      <w:r w:rsidR="00D40D23" w:rsidRPr="000E37EE">
        <w:rPr>
          <w:i/>
          <w:lang w:val="fr-CA"/>
        </w:rPr>
        <w:t xml:space="preserve">accommodement raisonnables </w:t>
      </w:r>
      <w:r w:rsidRPr="000E37EE">
        <w:rPr>
          <w:i/>
          <w:lang w:val="fr-CA"/>
        </w:rPr>
        <w:t>conformément à la Charte québécoise –– Loi sur les accidents du travail et les maladies professionnelles, CQLR, c.</w:t>
      </w:r>
      <w:r w:rsidR="00FB7DE8" w:rsidRPr="000E37EE">
        <w:rPr>
          <w:i/>
          <w:lang w:val="fr-CA"/>
        </w:rPr>
        <w:t> </w:t>
      </w:r>
      <w:r w:rsidRPr="000E37EE">
        <w:rPr>
          <w:i/>
          <w:lang w:val="fr-CA"/>
        </w:rPr>
        <w:t>A</w:t>
      </w:r>
      <w:r w:rsidR="00FB7DE8" w:rsidRPr="000E37EE">
        <w:rPr>
          <w:i/>
          <w:lang w:val="fr-CA"/>
        </w:rPr>
        <w:noBreakHyphen/>
      </w:r>
      <w:r w:rsidRPr="000E37EE">
        <w:rPr>
          <w:i/>
          <w:lang w:val="fr-CA"/>
        </w:rPr>
        <w:t xml:space="preserve">3.001, </w:t>
      </w:r>
      <w:r w:rsidR="00FB7DE8" w:rsidRPr="000E37EE">
        <w:rPr>
          <w:i/>
          <w:lang w:val="fr-CA"/>
        </w:rPr>
        <w:t>art. </w:t>
      </w:r>
      <w:r w:rsidRPr="000E37EE">
        <w:rPr>
          <w:i/>
          <w:lang w:val="fr-CA"/>
        </w:rPr>
        <w:t xml:space="preserve">236, 239 </w:t>
      </w:r>
      <w:r w:rsidR="00374290" w:rsidRPr="000E37EE">
        <w:rPr>
          <w:i/>
          <w:lang w:val="fr-CA"/>
        </w:rPr>
        <w:t xml:space="preserve">–– </w:t>
      </w:r>
      <w:r w:rsidRPr="000E37EE">
        <w:rPr>
          <w:i/>
          <w:lang w:val="fr-CA"/>
        </w:rPr>
        <w:t>Charte des droits et libertés de la personne, CQLR, c.</w:t>
      </w:r>
      <w:r w:rsidR="00FB7DE8" w:rsidRPr="000E37EE">
        <w:rPr>
          <w:i/>
          <w:lang w:val="fr-CA"/>
        </w:rPr>
        <w:t> </w:t>
      </w:r>
      <w:r w:rsidRPr="000E37EE">
        <w:rPr>
          <w:i/>
          <w:lang w:val="fr-CA"/>
        </w:rPr>
        <w:t>C</w:t>
      </w:r>
      <w:r w:rsidR="00FB7DE8" w:rsidRPr="000E37EE">
        <w:rPr>
          <w:i/>
          <w:lang w:val="fr-CA"/>
        </w:rPr>
        <w:noBreakHyphen/>
      </w:r>
      <w:r w:rsidRPr="000E37EE">
        <w:rPr>
          <w:i/>
          <w:lang w:val="fr-CA"/>
        </w:rPr>
        <w:t xml:space="preserve">12, </w:t>
      </w:r>
      <w:r w:rsidR="00FB7DE8" w:rsidRPr="000E37EE">
        <w:rPr>
          <w:i/>
          <w:lang w:val="fr-CA"/>
        </w:rPr>
        <w:t>art. </w:t>
      </w:r>
      <w:r w:rsidRPr="000E37EE">
        <w:rPr>
          <w:i/>
          <w:lang w:val="fr-CA"/>
        </w:rPr>
        <w:t>10, 16.</w:t>
      </w:r>
    </w:p>
    <w:p w:rsidR="00AE02FC" w:rsidRPr="000E37EE" w:rsidRDefault="00AE02FC" w:rsidP="00FB7DE8">
      <w:pPr>
        <w:pStyle w:val="SCCNormalDoubleSpacing"/>
        <w:spacing w:before="480" w:after="480"/>
        <w:rPr>
          <w:lang w:val="fr-CA"/>
        </w:rPr>
      </w:pPr>
      <w:r w:rsidRPr="000E37EE">
        <w:rPr>
          <w:lang w:val="fr-CA"/>
        </w:rPr>
        <w:tab/>
        <w:t>En 2004, C a subi une lésion professionnelle qui l</w:t>
      </w:r>
      <w:r w:rsidR="004E1DF1" w:rsidRPr="000E37EE">
        <w:rPr>
          <w:lang w:val="fr-CA"/>
        </w:rPr>
        <w:t>’</w:t>
      </w:r>
      <w:r w:rsidRPr="000E37EE">
        <w:rPr>
          <w:lang w:val="fr-CA"/>
        </w:rPr>
        <w:t>a rendu incapable de reprendre l</w:t>
      </w:r>
      <w:r w:rsidR="004E1DF1" w:rsidRPr="000E37EE">
        <w:rPr>
          <w:lang w:val="fr-CA"/>
        </w:rPr>
        <w:t>’</w:t>
      </w:r>
      <w:r w:rsidRPr="000E37EE">
        <w:rPr>
          <w:lang w:val="fr-CA"/>
        </w:rPr>
        <w:t>emploi qu</w:t>
      </w:r>
      <w:r w:rsidR="004E1DF1" w:rsidRPr="000E37EE">
        <w:rPr>
          <w:lang w:val="fr-CA"/>
        </w:rPr>
        <w:t>’</w:t>
      </w:r>
      <w:r w:rsidRPr="000E37EE">
        <w:rPr>
          <w:lang w:val="fr-CA"/>
        </w:rPr>
        <w:t>il occupait auparavant. On l</w:t>
      </w:r>
      <w:r w:rsidR="004E1DF1" w:rsidRPr="000E37EE">
        <w:rPr>
          <w:lang w:val="fr-CA"/>
        </w:rPr>
        <w:t>’</w:t>
      </w:r>
      <w:r w:rsidRPr="000E37EE">
        <w:rPr>
          <w:lang w:val="fr-CA"/>
        </w:rPr>
        <w:t>a informé par la suite qu</w:t>
      </w:r>
      <w:r w:rsidR="004E1DF1" w:rsidRPr="000E37EE">
        <w:rPr>
          <w:lang w:val="fr-CA"/>
        </w:rPr>
        <w:t>’</w:t>
      </w:r>
      <w:r w:rsidRPr="000E37EE">
        <w:rPr>
          <w:lang w:val="fr-CA"/>
        </w:rPr>
        <w:t xml:space="preserve">aucun autre emploi convenable, au sens de la </w:t>
      </w:r>
      <w:r w:rsidRPr="000E37EE">
        <w:rPr>
          <w:i/>
          <w:lang w:val="fr-CA"/>
        </w:rPr>
        <w:t>Loi sur les accidents du travail et les maladies professionnelles</w:t>
      </w:r>
      <w:r w:rsidRPr="000E37EE">
        <w:rPr>
          <w:lang w:val="fr-CA"/>
        </w:rPr>
        <w:t>,</w:t>
      </w:r>
      <w:r w:rsidRPr="000E37EE">
        <w:rPr>
          <w:i/>
          <w:lang w:val="fr-CA"/>
        </w:rPr>
        <w:t xml:space="preserve"> </w:t>
      </w:r>
      <w:r w:rsidRPr="000E37EE">
        <w:rPr>
          <w:lang w:val="fr-CA"/>
        </w:rPr>
        <w:t>n</w:t>
      </w:r>
      <w:r w:rsidR="004E1DF1" w:rsidRPr="000E37EE">
        <w:rPr>
          <w:lang w:val="fr-CA"/>
        </w:rPr>
        <w:t>’</w:t>
      </w:r>
      <w:r w:rsidRPr="000E37EE">
        <w:rPr>
          <w:lang w:val="fr-CA"/>
        </w:rPr>
        <w:t>était disponible. À l</w:t>
      </w:r>
      <w:r w:rsidR="004E1DF1" w:rsidRPr="000E37EE">
        <w:rPr>
          <w:lang w:val="fr-CA"/>
        </w:rPr>
        <w:t>’</w:t>
      </w:r>
      <w:r w:rsidRPr="000E37EE">
        <w:rPr>
          <w:lang w:val="fr-CA"/>
        </w:rPr>
        <w:t xml:space="preserve">époque, la </w:t>
      </w:r>
      <w:r w:rsidRPr="000E37EE">
        <w:rPr>
          <w:rStyle w:val="reflex3-block"/>
          <w:lang w:val="fr-CA"/>
        </w:rPr>
        <w:t>Commission de la santé et de la sécurité du travail (« CSST</w:t>
      </w:r>
      <w:r w:rsidR="00FB7DE8" w:rsidRPr="000E37EE">
        <w:rPr>
          <w:rStyle w:val="reflex3-block"/>
          <w:lang w:val="fr-CA"/>
        </w:rPr>
        <w:t> </w:t>
      </w:r>
      <w:r w:rsidRPr="000E37EE">
        <w:rPr>
          <w:rStyle w:val="reflex3-block"/>
          <w:lang w:val="fr-CA"/>
        </w:rPr>
        <w:t>») et, en appel, la Commission des lés</w:t>
      </w:r>
      <w:r w:rsidR="00F13686">
        <w:rPr>
          <w:rStyle w:val="reflex3-block"/>
          <w:lang w:val="fr-CA"/>
        </w:rPr>
        <w:t>ions professionnelles (« CLP »)</w:t>
      </w:r>
      <w:r w:rsidRPr="000E37EE">
        <w:rPr>
          <w:rStyle w:val="reflex3-block"/>
          <w:lang w:val="fr-CA"/>
        </w:rPr>
        <w:t xml:space="preserve"> </w:t>
      </w:r>
      <w:r w:rsidRPr="000E37EE">
        <w:rPr>
          <w:rStyle w:val="ParaNoNdepar-AltNChar"/>
          <w:rFonts w:cs="Times New Roman"/>
          <w:lang w:val="fr-CA"/>
        </w:rPr>
        <w:t xml:space="preserve">étaient les organismes administratifs chargés de la mise en œuvre de la </w:t>
      </w:r>
      <w:r w:rsidRPr="000E37EE">
        <w:rPr>
          <w:rStyle w:val="ParaNoNdepar-AltNChar"/>
          <w:rFonts w:cs="Times New Roman"/>
          <w:i/>
          <w:lang w:val="fr-CA"/>
        </w:rPr>
        <w:t>Loi</w:t>
      </w:r>
      <w:r w:rsidRPr="000E37EE">
        <w:rPr>
          <w:rStyle w:val="ParaNoNdepar-AltNChar"/>
          <w:rFonts w:cs="Times New Roman"/>
          <w:lang w:val="fr-CA"/>
        </w:rPr>
        <w:t>.</w:t>
      </w:r>
      <w:r w:rsidRPr="000E37EE">
        <w:rPr>
          <w:lang w:val="fr-CA"/>
        </w:rPr>
        <w:t xml:space="preserve"> La CSST</w:t>
      </w:r>
      <w:r w:rsidRPr="000E37EE">
        <w:rPr>
          <w:rStyle w:val="ParaNoNdepar-AltNChar"/>
          <w:rFonts w:cs="Times New Roman"/>
          <w:lang w:val="fr-CA"/>
        </w:rPr>
        <w:t xml:space="preserve"> </w:t>
      </w:r>
      <w:r w:rsidRPr="000E37EE">
        <w:rPr>
          <w:lang w:val="fr-CA"/>
        </w:rPr>
        <w:t>a informé C que, comme son employeur n</w:t>
      </w:r>
      <w:r w:rsidR="004E1DF1" w:rsidRPr="000E37EE">
        <w:rPr>
          <w:lang w:val="fr-CA"/>
        </w:rPr>
        <w:t>’</w:t>
      </w:r>
      <w:r w:rsidRPr="000E37EE">
        <w:rPr>
          <w:lang w:val="fr-CA"/>
        </w:rPr>
        <w:t xml:space="preserve">avait aucun emploi convenable à </w:t>
      </w:r>
      <w:r w:rsidRPr="000E37EE">
        <w:rPr>
          <w:lang w:val="fr-CA"/>
        </w:rPr>
        <w:lastRenderedPageBreak/>
        <w:t>lui offrir, elle poursuivrait le processus de réadaptation professionnelle et chercherait des solutions ailleurs. C a fait valoir que cette décision était prématurée et que le processus de réadaptation devait se poursuivre auprès de son employeur afin d</w:t>
      </w:r>
      <w:r w:rsidR="004E1DF1" w:rsidRPr="000E37EE">
        <w:rPr>
          <w:lang w:val="fr-CA"/>
        </w:rPr>
        <w:t>’</w:t>
      </w:r>
      <w:r w:rsidRPr="000E37EE">
        <w:rPr>
          <w:lang w:val="fr-CA"/>
        </w:rPr>
        <w:t>assurer l</w:t>
      </w:r>
      <w:r w:rsidR="004E1DF1" w:rsidRPr="000E37EE">
        <w:rPr>
          <w:lang w:val="fr-CA"/>
        </w:rPr>
        <w:t>’</w:t>
      </w:r>
      <w:r w:rsidRPr="000E37EE">
        <w:rPr>
          <w:lang w:val="fr-CA"/>
        </w:rPr>
        <w:t xml:space="preserve">application des protections contre la discrimination garanties par la </w:t>
      </w:r>
      <w:r w:rsidRPr="000E37EE">
        <w:rPr>
          <w:i/>
          <w:lang w:val="fr-CA"/>
        </w:rPr>
        <w:t xml:space="preserve">Charte des droits et libertés de la personne </w:t>
      </w:r>
      <w:r w:rsidRPr="000E37EE">
        <w:rPr>
          <w:lang w:val="fr-CA"/>
        </w:rPr>
        <w:t>du Québec (</w:t>
      </w:r>
      <w:r w:rsidR="00BC2DEE">
        <w:rPr>
          <w:lang w:val="fr-CA"/>
        </w:rPr>
        <w:t>« </w:t>
      </w:r>
      <w:r w:rsidRPr="000E37EE">
        <w:rPr>
          <w:i/>
          <w:lang w:val="fr-CA"/>
        </w:rPr>
        <w:t>Charte</w:t>
      </w:r>
      <w:r w:rsidR="00BC2DEE">
        <w:rPr>
          <w:lang w:val="fr-CA"/>
        </w:rPr>
        <w:t> »</w:t>
      </w:r>
      <w:r w:rsidRPr="000E37EE">
        <w:rPr>
          <w:lang w:val="fr-CA"/>
        </w:rPr>
        <w:t>), y compris l</w:t>
      </w:r>
      <w:r w:rsidR="004E1DF1" w:rsidRPr="000E37EE">
        <w:rPr>
          <w:lang w:val="fr-CA"/>
        </w:rPr>
        <w:t>’</w:t>
      </w:r>
      <w:r w:rsidRPr="000E37EE">
        <w:rPr>
          <w:lang w:val="fr-CA"/>
        </w:rPr>
        <w:t>obligation de l</w:t>
      </w:r>
      <w:r w:rsidR="004E1DF1" w:rsidRPr="000E37EE">
        <w:rPr>
          <w:lang w:val="fr-CA"/>
        </w:rPr>
        <w:t>’</w:t>
      </w:r>
      <w:r w:rsidRPr="000E37EE">
        <w:rPr>
          <w:lang w:val="fr-CA"/>
        </w:rPr>
        <w:t>employeur de prendre des mesures d</w:t>
      </w:r>
      <w:r w:rsidR="004E1DF1" w:rsidRPr="000E37EE">
        <w:rPr>
          <w:lang w:val="fr-CA"/>
        </w:rPr>
        <w:t>’</w:t>
      </w:r>
      <w:r w:rsidRPr="000E37EE">
        <w:rPr>
          <w:lang w:val="fr-CA"/>
        </w:rPr>
        <w:t xml:space="preserve">accommodement. Au terme de son examen, la </w:t>
      </w:r>
      <w:r w:rsidRPr="000E37EE">
        <w:rPr>
          <w:rStyle w:val="ParaNoNdepar-AltNChar"/>
          <w:rFonts w:cs="Times New Roman"/>
          <w:lang w:val="fr-CA"/>
        </w:rPr>
        <w:t>CSST a conclu que l</w:t>
      </w:r>
      <w:r w:rsidR="004E1DF1" w:rsidRPr="000E37EE">
        <w:rPr>
          <w:rStyle w:val="ParaNoNdepar-AltNChar"/>
          <w:rFonts w:cs="Times New Roman"/>
          <w:lang w:val="fr-CA"/>
        </w:rPr>
        <w:t>’</w:t>
      </w:r>
      <w:r w:rsidRPr="000E37EE">
        <w:rPr>
          <w:rStyle w:val="ParaNoNdepar-AltNChar"/>
          <w:rFonts w:cs="Times New Roman"/>
          <w:lang w:val="fr-CA"/>
        </w:rPr>
        <w:t>obligation d</w:t>
      </w:r>
      <w:r w:rsidR="004E1DF1" w:rsidRPr="000E37EE">
        <w:rPr>
          <w:rStyle w:val="ParaNoNdepar-AltNChar"/>
          <w:rFonts w:cs="Times New Roman"/>
          <w:lang w:val="fr-CA"/>
        </w:rPr>
        <w:t>’</w:t>
      </w:r>
      <w:r w:rsidRPr="000E37EE">
        <w:rPr>
          <w:rStyle w:val="ParaNoNdepar-AltNChar"/>
          <w:rFonts w:cs="Times New Roman"/>
          <w:lang w:val="fr-CA"/>
        </w:rPr>
        <w:t xml:space="preserve">accommodement découlant de la </w:t>
      </w:r>
      <w:r w:rsidRPr="000E37EE">
        <w:rPr>
          <w:rStyle w:val="ParaNoNdepar-AltNChar"/>
          <w:rFonts w:cs="Times New Roman"/>
          <w:i/>
          <w:lang w:val="fr-CA"/>
        </w:rPr>
        <w:t>Charte</w:t>
      </w:r>
      <w:r w:rsidRPr="000E37EE">
        <w:rPr>
          <w:rStyle w:val="ParaNoNdepar-AltNChar"/>
          <w:rFonts w:cs="Times New Roman"/>
          <w:lang w:val="fr-CA"/>
        </w:rPr>
        <w:t xml:space="preserve"> ne s</w:t>
      </w:r>
      <w:r w:rsidR="004E1DF1" w:rsidRPr="000E37EE">
        <w:rPr>
          <w:rStyle w:val="ParaNoNdepar-AltNChar"/>
          <w:rFonts w:cs="Times New Roman"/>
          <w:lang w:val="fr-CA"/>
        </w:rPr>
        <w:t>’</w:t>
      </w:r>
      <w:r w:rsidRPr="000E37EE">
        <w:rPr>
          <w:rStyle w:val="ParaNoNdepar-AltNChar"/>
          <w:rFonts w:cs="Times New Roman"/>
          <w:lang w:val="fr-CA"/>
        </w:rPr>
        <w:t xml:space="preserve">applique pas à la </w:t>
      </w:r>
      <w:r w:rsidRPr="000E37EE">
        <w:rPr>
          <w:rStyle w:val="ParaNoNdepar-AltNChar"/>
          <w:rFonts w:cs="Times New Roman"/>
          <w:i/>
          <w:lang w:val="fr-CA"/>
        </w:rPr>
        <w:t>Loi</w:t>
      </w:r>
      <w:r w:rsidRPr="000E37EE">
        <w:rPr>
          <w:lang w:val="fr-CA"/>
        </w:rPr>
        <w:t>. La CLP a rejeté l</w:t>
      </w:r>
      <w:r w:rsidR="004E1DF1" w:rsidRPr="000E37EE">
        <w:rPr>
          <w:lang w:val="fr-CA"/>
        </w:rPr>
        <w:t>’</w:t>
      </w:r>
      <w:r w:rsidRPr="000E37EE">
        <w:rPr>
          <w:lang w:val="fr-CA"/>
        </w:rPr>
        <w:t>appel de C, concluant que les prestations prévues par les dispositions législatives pertinentes représentent la pleine étendue de l</w:t>
      </w:r>
      <w:r w:rsidR="004E1DF1" w:rsidRPr="000E37EE">
        <w:rPr>
          <w:lang w:val="fr-CA"/>
        </w:rPr>
        <w:t>’</w:t>
      </w:r>
      <w:r w:rsidRPr="000E37EE">
        <w:rPr>
          <w:lang w:val="fr-CA"/>
        </w:rPr>
        <w:t>obligation d</w:t>
      </w:r>
      <w:r w:rsidR="004E1DF1" w:rsidRPr="000E37EE">
        <w:rPr>
          <w:lang w:val="fr-CA"/>
        </w:rPr>
        <w:t>’</w:t>
      </w:r>
      <w:r w:rsidRPr="000E37EE">
        <w:rPr>
          <w:lang w:val="fr-CA"/>
        </w:rPr>
        <w:t>accommodement qui incombe aux employeurs, et qu</w:t>
      </w:r>
      <w:r w:rsidR="004E1DF1" w:rsidRPr="000E37EE">
        <w:rPr>
          <w:lang w:val="fr-CA"/>
        </w:rPr>
        <w:t>’</w:t>
      </w:r>
      <w:r w:rsidRPr="000E37EE">
        <w:rPr>
          <w:lang w:val="fr-CA"/>
        </w:rPr>
        <w:t>aucune autre mesure d</w:t>
      </w:r>
      <w:r w:rsidR="004E1DF1" w:rsidRPr="000E37EE">
        <w:rPr>
          <w:lang w:val="fr-CA"/>
        </w:rPr>
        <w:t>’</w:t>
      </w:r>
      <w:r w:rsidRPr="000E37EE">
        <w:rPr>
          <w:lang w:val="fr-CA"/>
        </w:rPr>
        <w:t>accommodement ne p</w:t>
      </w:r>
      <w:r w:rsidR="006F4BF4" w:rsidRPr="000E37EE">
        <w:rPr>
          <w:lang w:val="fr-CA"/>
        </w:rPr>
        <w:t xml:space="preserve">ouvait </w:t>
      </w:r>
      <w:r w:rsidRPr="000E37EE">
        <w:rPr>
          <w:lang w:val="fr-CA"/>
        </w:rPr>
        <w:t>leur être imposée. À l</w:t>
      </w:r>
      <w:r w:rsidR="004E1DF1" w:rsidRPr="000E37EE">
        <w:rPr>
          <w:lang w:val="fr-CA"/>
        </w:rPr>
        <w:t>’</w:t>
      </w:r>
      <w:r w:rsidRPr="000E37EE">
        <w:rPr>
          <w:lang w:val="fr-CA"/>
        </w:rPr>
        <w:t>issue d</w:t>
      </w:r>
      <w:r w:rsidR="004E1DF1" w:rsidRPr="000E37EE">
        <w:rPr>
          <w:lang w:val="fr-CA"/>
        </w:rPr>
        <w:t>’</w:t>
      </w:r>
      <w:r w:rsidRPr="000E37EE">
        <w:rPr>
          <w:lang w:val="fr-CA"/>
        </w:rPr>
        <w:t>un contrôle judiciaire, la Cour supérieure a annulé cette décision et a ordonné le réexamen de l</w:t>
      </w:r>
      <w:r w:rsidR="004E1DF1" w:rsidRPr="000E37EE">
        <w:rPr>
          <w:lang w:val="fr-CA"/>
        </w:rPr>
        <w:t>’</w:t>
      </w:r>
      <w:r w:rsidRPr="000E37EE">
        <w:rPr>
          <w:lang w:val="fr-CA"/>
        </w:rPr>
        <w:t>affaire conformément à l</w:t>
      </w:r>
      <w:r w:rsidR="004E1DF1" w:rsidRPr="000E37EE">
        <w:rPr>
          <w:lang w:val="fr-CA"/>
        </w:rPr>
        <w:t>’</w:t>
      </w:r>
      <w:r w:rsidRPr="000E37EE">
        <w:rPr>
          <w:lang w:val="fr-CA"/>
        </w:rPr>
        <w:t>obligation d</w:t>
      </w:r>
      <w:r w:rsidR="004E1DF1" w:rsidRPr="000E37EE">
        <w:rPr>
          <w:lang w:val="fr-CA"/>
        </w:rPr>
        <w:t>’</w:t>
      </w:r>
      <w:r w:rsidRPr="000E37EE">
        <w:rPr>
          <w:lang w:val="fr-CA"/>
        </w:rPr>
        <w:t>accommodement imposé</w:t>
      </w:r>
      <w:r w:rsidR="004F68C6" w:rsidRPr="000E37EE">
        <w:rPr>
          <w:lang w:val="fr-CA"/>
        </w:rPr>
        <w:t>e</w:t>
      </w:r>
      <w:r w:rsidRPr="000E37EE">
        <w:rPr>
          <w:lang w:val="fr-CA"/>
        </w:rPr>
        <w:t xml:space="preserve"> à l</w:t>
      </w:r>
      <w:r w:rsidR="004E1DF1" w:rsidRPr="000E37EE">
        <w:rPr>
          <w:lang w:val="fr-CA"/>
        </w:rPr>
        <w:t>’</w:t>
      </w:r>
      <w:r w:rsidRPr="000E37EE">
        <w:rPr>
          <w:lang w:val="fr-CA"/>
        </w:rPr>
        <w:t xml:space="preserve">employeur par la </w:t>
      </w:r>
      <w:r w:rsidRPr="000E37EE">
        <w:rPr>
          <w:i/>
          <w:lang w:val="fr-CA"/>
        </w:rPr>
        <w:t>Charte</w:t>
      </w:r>
      <w:r w:rsidRPr="000E37EE">
        <w:rPr>
          <w:lang w:val="fr-CA"/>
        </w:rPr>
        <w:t>. La Cour d</w:t>
      </w:r>
      <w:r w:rsidR="004E1DF1" w:rsidRPr="000E37EE">
        <w:rPr>
          <w:lang w:val="fr-CA"/>
        </w:rPr>
        <w:t>’</w:t>
      </w:r>
      <w:r w:rsidRPr="000E37EE">
        <w:rPr>
          <w:lang w:val="fr-CA"/>
        </w:rPr>
        <w:t>appel s</w:t>
      </w:r>
      <w:r w:rsidR="004E1DF1" w:rsidRPr="000E37EE">
        <w:rPr>
          <w:lang w:val="fr-CA"/>
        </w:rPr>
        <w:t>’</w:t>
      </w:r>
      <w:r w:rsidRPr="000E37EE">
        <w:rPr>
          <w:lang w:val="fr-CA"/>
        </w:rPr>
        <w:t xml:space="preserve">est dite du même avis et a conclu que la </w:t>
      </w:r>
      <w:r w:rsidRPr="000E37EE">
        <w:rPr>
          <w:i/>
          <w:lang w:val="fr-CA"/>
        </w:rPr>
        <w:t>Loi</w:t>
      </w:r>
      <w:r w:rsidRPr="000E37EE">
        <w:rPr>
          <w:lang w:val="fr-CA"/>
        </w:rPr>
        <w:t xml:space="preserve"> devait être interprétée conformément à l</w:t>
      </w:r>
      <w:r w:rsidR="004E1DF1" w:rsidRPr="000E37EE">
        <w:rPr>
          <w:lang w:val="fr-CA"/>
        </w:rPr>
        <w:t>’</w:t>
      </w:r>
      <w:r w:rsidRPr="000E37EE">
        <w:rPr>
          <w:lang w:val="fr-CA"/>
        </w:rPr>
        <w:t>obligation d</w:t>
      </w:r>
      <w:r w:rsidR="004E1DF1" w:rsidRPr="000E37EE">
        <w:rPr>
          <w:lang w:val="fr-CA"/>
        </w:rPr>
        <w:t>’</w:t>
      </w:r>
      <w:r w:rsidRPr="000E37EE">
        <w:rPr>
          <w:lang w:val="fr-CA"/>
        </w:rPr>
        <w:t xml:space="preserve">accommodement imposée par la </w:t>
      </w:r>
      <w:r w:rsidRPr="000E37EE">
        <w:rPr>
          <w:i/>
          <w:lang w:val="fr-CA"/>
        </w:rPr>
        <w:t>Charte</w:t>
      </w:r>
      <w:r w:rsidRPr="000E37EE">
        <w:rPr>
          <w:lang w:val="fr-CA"/>
        </w:rPr>
        <w:t>.</w:t>
      </w:r>
    </w:p>
    <w:p w:rsidR="00AE02FC" w:rsidRPr="000E37EE" w:rsidRDefault="00AE02FC" w:rsidP="00FB7DE8">
      <w:pPr>
        <w:pStyle w:val="SCCNormalDoubleSpacing"/>
        <w:spacing w:before="480" w:after="480"/>
        <w:rPr>
          <w:lang w:val="fr-CA"/>
        </w:rPr>
      </w:pPr>
      <w:r w:rsidRPr="000E37EE">
        <w:rPr>
          <w:lang w:val="fr-CA"/>
        </w:rPr>
        <w:tab/>
      </w:r>
      <w:r w:rsidRPr="000E37EE">
        <w:rPr>
          <w:i/>
          <w:lang w:val="fr-CA"/>
        </w:rPr>
        <w:t>Arrêt</w:t>
      </w:r>
      <w:r w:rsidR="00FB7DE8" w:rsidRPr="00660C38">
        <w:rPr>
          <w:lang w:val="fr-CA"/>
        </w:rPr>
        <w:t> :</w:t>
      </w:r>
      <w:r w:rsidRPr="000E37EE">
        <w:rPr>
          <w:lang w:val="fr-CA"/>
        </w:rPr>
        <w:t xml:space="preserve"> Le pourvoi est rejeté.</w:t>
      </w:r>
    </w:p>
    <w:p w:rsidR="00AE02FC" w:rsidRPr="000E37EE" w:rsidRDefault="00AE02FC" w:rsidP="00FB7DE8">
      <w:pPr>
        <w:pStyle w:val="SCCNormalDoubleSpacing"/>
        <w:spacing w:before="480" w:after="480"/>
        <w:rPr>
          <w:szCs w:val="24"/>
          <w:lang w:val="fr-CA"/>
        </w:rPr>
      </w:pPr>
      <w:r w:rsidRPr="000E37EE">
        <w:rPr>
          <w:lang w:val="fr-CA"/>
        </w:rPr>
        <w:tab/>
      </w:r>
      <w:r w:rsidRPr="000E37EE">
        <w:rPr>
          <w:i/>
          <w:lang w:val="fr-CA"/>
        </w:rPr>
        <w:t>La</w:t>
      </w:r>
      <w:r w:rsidR="00FB7DE8" w:rsidRPr="000E37EE">
        <w:rPr>
          <w:lang w:val="fr-CA"/>
        </w:rPr>
        <w:t xml:space="preserve"> juge en chef McLachlin </w:t>
      </w:r>
      <w:r w:rsidRPr="000E37EE">
        <w:rPr>
          <w:lang w:val="fr-CA"/>
        </w:rPr>
        <w:t xml:space="preserve">et les juges </w:t>
      </w:r>
      <w:r w:rsidRPr="00660C38">
        <w:rPr>
          <w:lang w:val="fr-CA"/>
        </w:rPr>
        <w:t>Abella</w:t>
      </w:r>
      <w:r w:rsidRPr="000E37EE">
        <w:rPr>
          <w:lang w:val="fr-CA"/>
        </w:rPr>
        <w:t>, Karakatsanis, Wagner et Gascon</w:t>
      </w:r>
      <w:r w:rsidR="00FB7DE8" w:rsidRPr="000E37EE">
        <w:rPr>
          <w:lang w:val="fr-CA"/>
        </w:rPr>
        <w:t> :</w:t>
      </w:r>
      <w:r w:rsidRPr="000E37EE">
        <w:rPr>
          <w:lang w:val="fr-CA"/>
        </w:rPr>
        <w:t xml:space="preserve"> </w:t>
      </w:r>
      <w:r w:rsidRPr="000E37EE">
        <w:rPr>
          <w:szCs w:val="24"/>
          <w:lang w:val="fr-CA"/>
        </w:rPr>
        <w:t>La loi québécoise sur les accidents du travail s</w:t>
      </w:r>
      <w:r w:rsidR="004E1DF1" w:rsidRPr="000E37EE">
        <w:rPr>
          <w:szCs w:val="24"/>
          <w:lang w:val="fr-CA"/>
        </w:rPr>
        <w:t>’</w:t>
      </w:r>
      <w:r w:rsidRPr="000E37EE">
        <w:rPr>
          <w:szCs w:val="24"/>
          <w:lang w:val="fr-CA"/>
        </w:rPr>
        <w:t xml:space="preserve">applique aux travailleurs qui </w:t>
      </w:r>
      <w:r w:rsidR="00344E87" w:rsidRPr="000E37EE">
        <w:rPr>
          <w:szCs w:val="24"/>
          <w:lang w:val="fr-CA"/>
        </w:rPr>
        <w:t xml:space="preserve">sont devenus </w:t>
      </w:r>
      <w:r w:rsidRPr="000E37EE">
        <w:rPr>
          <w:szCs w:val="24"/>
          <w:lang w:val="fr-CA"/>
        </w:rPr>
        <w:t>invalides par suite de blessures subies à leur lieu de travail. Elle constitue une mesure législative visant à empêcher que les victimes d</w:t>
      </w:r>
      <w:r w:rsidR="004E1DF1" w:rsidRPr="000E37EE">
        <w:rPr>
          <w:szCs w:val="24"/>
          <w:lang w:val="fr-CA"/>
        </w:rPr>
        <w:t>’</w:t>
      </w:r>
      <w:r w:rsidRPr="000E37EE">
        <w:rPr>
          <w:szCs w:val="24"/>
          <w:lang w:val="fr-CA"/>
        </w:rPr>
        <w:t xml:space="preserve">accidents du travail soient traitées injustement en raison de leur invalidité. Elle offre des moyens de remédier aux </w:t>
      </w:r>
      <w:r w:rsidRPr="000E37EE">
        <w:rPr>
          <w:szCs w:val="24"/>
          <w:lang w:val="fr-CA"/>
        </w:rPr>
        <w:lastRenderedPageBreak/>
        <w:t>conséquences financières, personnelles et physiques de ces blessures, et vise à protéger le plus pleinement possible les droits des travailleurs afin d</w:t>
      </w:r>
      <w:r w:rsidR="004E1DF1" w:rsidRPr="000E37EE">
        <w:rPr>
          <w:szCs w:val="24"/>
          <w:lang w:val="fr-CA"/>
        </w:rPr>
        <w:t>’</w:t>
      </w:r>
      <w:r w:rsidRPr="000E37EE">
        <w:rPr>
          <w:szCs w:val="24"/>
          <w:lang w:val="fr-CA"/>
        </w:rPr>
        <w:t>éviter que ce</w:t>
      </w:r>
      <w:r w:rsidR="000C3F26" w:rsidRPr="000E37EE">
        <w:rPr>
          <w:szCs w:val="24"/>
          <w:lang w:val="fr-CA"/>
        </w:rPr>
        <w:t xml:space="preserve">s derniers </w:t>
      </w:r>
      <w:r w:rsidRPr="000E37EE">
        <w:rPr>
          <w:szCs w:val="24"/>
          <w:lang w:val="fr-CA"/>
        </w:rPr>
        <w:t>ne fassent l</w:t>
      </w:r>
      <w:r w:rsidR="004E1DF1" w:rsidRPr="000E37EE">
        <w:rPr>
          <w:szCs w:val="24"/>
          <w:lang w:val="fr-CA"/>
        </w:rPr>
        <w:t>’</w:t>
      </w:r>
      <w:r w:rsidRPr="000E37EE">
        <w:rPr>
          <w:szCs w:val="24"/>
          <w:lang w:val="fr-CA"/>
        </w:rPr>
        <w:t>objet de discrimination au travail en raison d</w:t>
      </w:r>
      <w:r w:rsidR="004E1DF1" w:rsidRPr="000E37EE">
        <w:rPr>
          <w:szCs w:val="24"/>
          <w:lang w:val="fr-CA"/>
        </w:rPr>
        <w:t>’</w:t>
      </w:r>
      <w:r w:rsidRPr="000E37EE">
        <w:rPr>
          <w:szCs w:val="24"/>
          <w:lang w:val="fr-CA"/>
        </w:rPr>
        <w:t>une invalidité résultant de telles blessures. Le régime législatif empêche le travailleur victime d</w:t>
      </w:r>
      <w:r w:rsidR="004E1DF1" w:rsidRPr="000E37EE">
        <w:rPr>
          <w:szCs w:val="24"/>
          <w:lang w:val="fr-CA"/>
        </w:rPr>
        <w:t>’</w:t>
      </w:r>
      <w:r w:rsidRPr="000E37EE">
        <w:rPr>
          <w:szCs w:val="24"/>
          <w:lang w:val="fr-CA"/>
        </w:rPr>
        <w:t>une lésion professionnelle d</w:t>
      </w:r>
      <w:r w:rsidR="004E1DF1" w:rsidRPr="000E37EE">
        <w:rPr>
          <w:szCs w:val="24"/>
          <w:lang w:val="fr-CA"/>
        </w:rPr>
        <w:t>’</w:t>
      </w:r>
      <w:r w:rsidRPr="000E37EE">
        <w:rPr>
          <w:szCs w:val="24"/>
          <w:lang w:val="fr-CA"/>
        </w:rPr>
        <w:t>intenter une action en responsabilité civile</w:t>
      </w:r>
      <w:r w:rsidRPr="000E37EE">
        <w:rPr>
          <w:lang w:val="fr-CA"/>
        </w:rPr>
        <w:t xml:space="preserve">, ce qui veut </w:t>
      </w:r>
      <w:r w:rsidR="00411FAE" w:rsidRPr="000E37EE">
        <w:rPr>
          <w:lang w:val="fr-CA"/>
        </w:rPr>
        <w:t xml:space="preserve">dire </w:t>
      </w:r>
      <w:r w:rsidRPr="000E37EE">
        <w:rPr>
          <w:lang w:val="fr-CA"/>
        </w:rPr>
        <w:t>que, d</w:t>
      </w:r>
      <w:r w:rsidR="004E1DF1" w:rsidRPr="000E37EE">
        <w:rPr>
          <w:lang w:val="fr-CA"/>
        </w:rPr>
        <w:t>’</w:t>
      </w:r>
      <w:r w:rsidRPr="000E37EE">
        <w:rPr>
          <w:lang w:val="fr-CA"/>
        </w:rPr>
        <w:t>après le régime, le travailleur victime d</w:t>
      </w:r>
      <w:r w:rsidR="004E1DF1" w:rsidRPr="000E37EE">
        <w:rPr>
          <w:lang w:val="fr-CA"/>
        </w:rPr>
        <w:t>’</w:t>
      </w:r>
      <w:r w:rsidRPr="000E37EE">
        <w:rPr>
          <w:lang w:val="fr-CA"/>
        </w:rPr>
        <w:t>une lésion professionnelle ne dispose d</w:t>
      </w:r>
      <w:r w:rsidR="004E1DF1" w:rsidRPr="000E37EE">
        <w:rPr>
          <w:lang w:val="fr-CA"/>
        </w:rPr>
        <w:t>’</w:t>
      </w:r>
      <w:r w:rsidRPr="000E37EE">
        <w:rPr>
          <w:lang w:val="fr-CA"/>
        </w:rPr>
        <w:t>aucun autre recours et ne peut s</w:t>
      </w:r>
      <w:r w:rsidR="004E1DF1" w:rsidRPr="000E37EE">
        <w:rPr>
          <w:lang w:val="fr-CA"/>
        </w:rPr>
        <w:t>’</w:t>
      </w:r>
      <w:r w:rsidRPr="000E37EE">
        <w:rPr>
          <w:lang w:val="fr-CA"/>
        </w:rPr>
        <w:t>adresser à aucune autre instance pour défendre ses droits. Toute solution qui s</w:t>
      </w:r>
      <w:r w:rsidR="004E1DF1" w:rsidRPr="000E37EE">
        <w:rPr>
          <w:lang w:val="fr-CA"/>
        </w:rPr>
        <w:t>’</w:t>
      </w:r>
      <w:r w:rsidRPr="000E37EE">
        <w:rPr>
          <w:lang w:val="fr-CA"/>
        </w:rPr>
        <w:t>offre au travailleur victime d</w:t>
      </w:r>
      <w:r w:rsidR="004E1DF1" w:rsidRPr="000E37EE">
        <w:rPr>
          <w:lang w:val="fr-CA"/>
        </w:rPr>
        <w:t>’</w:t>
      </w:r>
      <w:r w:rsidRPr="000E37EE">
        <w:rPr>
          <w:lang w:val="fr-CA"/>
        </w:rPr>
        <w:t>une lésion professionnelle réside donc dans l</w:t>
      </w:r>
      <w:r w:rsidR="004E1DF1" w:rsidRPr="000E37EE">
        <w:rPr>
          <w:lang w:val="fr-CA"/>
        </w:rPr>
        <w:t>’</w:t>
      </w:r>
      <w:r w:rsidRPr="000E37EE">
        <w:rPr>
          <w:lang w:val="fr-CA"/>
        </w:rPr>
        <w:t>interprétation et l</w:t>
      </w:r>
      <w:r w:rsidR="004E1DF1" w:rsidRPr="000E37EE">
        <w:rPr>
          <w:lang w:val="fr-CA"/>
        </w:rPr>
        <w:t>’</w:t>
      </w:r>
      <w:r w:rsidRPr="000E37EE">
        <w:rPr>
          <w:lang w:val="fr-CA"/>
        </w:rPr>
        <w:t>application du régime législatif.</w:t>
      </w:r>
    </w:p>
    <w:p w:rsidR="00AE02FC" w:rsidRPr="000E37EE" w:rsidRDefault="00AE02FC" w:rsidP="00FB7DE8">
      <w:pPr>
        <w:pStyle w:val="SCCNormalDoubleSpacing"/>
        <w:spacing w:before="480" w:after="480"/>
        <w:rPr>
          <w:lang w:val="fr-CA"/>
        </w:rPr>
      </w:pPr>
      <w:r w:rsidRPr="000E37EE">
        <w:rPr>
          <w:szCs w:val="24"/>
          <w:lang w:val="fr-CA"/>
        </w:rPr>
        <w:tab/>
      </w:r>
      <w:r w:rsidRPr="000E37EE">
        <w:rPr>
          <w:lang w:val="fr-CA"/>
        </w:rPr>
        <w:t>La question en litige dans le présent pourvoi consiste à se demander si l</w:t>
      </w:r>
      <w:r w:rsidR="004E1DF1" w:rsidRPr="000E37EE">
        <w:rPr>
          <w:lang w:val="fr-CA"/>
        </w:rPr>
        <w:t>’</w:t>
      </w:r>
      <w:r w:rsidRPr="000E37EE">
        <w:rPr>
          <w:lang w:val="fr-CA"/>
        </w:rPr>
        <w:t>obligation de l</w:t>
      </w:r>
      <w:r w:rsidR="004E1DF1" w:rsidRPr="000E37EE">
        <w:rPr>
          <w:lang w:val="fr-CA"/>
        </w:rPr>
        <w:t>’</w:t>
      </w:r>
      <w:r w:rsidRPr="000E37EE">
        <w:rPr>
          <w:lang w:val="fr-CA"/>
        </w:rPr>
        <w:t xml:space="preserve">employeur de prendre des </w:t>
      </w:r>
      <w:r w:rsidRPr="000E37EE">
        <w:rPr>
          <w:szCs w:val="24"/>
          <w:lang w:val="fr-CA"/>
        </w:rPr>
        <w:t>mesures d</w:t>
      </w:r>
      <w:r w:rsidR="004E1DF1" w:rsidRPr="000E37EE">
        <w:rPr>
          <w:szCs w:val="24"/>
          <w:lang w:val="fr-CA"/>
        </w:rPr>
        <w:t>’</w:t>
      </w:r>
      <w:r w:rsidRPr="000E37EE">
        <w:rPr>
          <w:szCs w:val="24"/>
          <w:lang w:val="fr-CA"/>
        </w:rPr>
        <w:t>accommodement raisonnables en faveur d</w:t>
      </w:r>
      <w:r w:rsidRPr="000E37EE">
        <w:rPr>
          <w:lang w:val="fr-CA"/>
        </w:rPr>
        <w:t>e quelqu</w:t>
      </w:r>
      <w:r w:rsidR="004E1DF1" w:rsidRPr="000E37EE">
        <w:rPr>
          <w:lang w:val="fr-CA"/>
        </w:rPr>
        <w:t>’</w:t>
      </w:r>
      <w:r w:rsidRPr="000E37EE">
        <w:rPr>
          <w:lang w:val="fr-CA"/>
        </w:rPr>
        <w:t xml:space="preserve">un ayant une invalidité, une obligation constituant un principe </w:t>
      </w:r>
      <w:r w:rsidR="005F7FF7" w:rsidRPr="000E37EE">
        <w:rPr>
          <w:lang w:val="fr-CA"/>
        </w:rPr>
        <w:t xml:space="preserve">central </w:t>
      </w:r>
      <w:r w:rsidRPr="000E37EE">
        <w:rPr>
          <w:lang w:val="fr-CA"/>
        </w:rPr>
        <w:t>et transcendant en matière de droits de la personne, s</w:t>
      </w:r>
      <w:r w:rsidR="004E1DF1" w:rsidRPr="000E37EE">
        <w:rPr>
          <w:lang w:val="fr-CA"/>
        </w:rPr>
        <w:t>’</w:t>
      </w:r>
      <w:r w:rsidRPr="000E37EE">
        <w:rPr>
          <w:lang w:val="fr-CA"/>
        </w:rPr>
        <w:t xml:space="preserve">applique aux travailleurs subissant une invalidité à leur lieu de travail. La </w:t>
      </w:r>
      <w:r w:rsidRPr="000E37EE">
        <w:rPr>
          <w:i/>
          <w:lang w:val="fr-CA"/>
        </w:rPr>
        <w:t>Loi</w:t>
      </w:r>
      <w:r w:rsidRPr="000E37EE">
        <w:rPr>
          <w:lang w:val="fr-CA"/>
        </w:rPr>
        <w:t xml:space="preserve"> prévoit un régime complet d</w:t>
      </w:r>
      <w:r w:rsidR="004E1DF1" w:rsidRPr="000E37EE">
        <w:rPr>
          <w:lang w:val="fr-CA"/>
        </w:rPr>
        <w:t>’</w:t>
      </w:r>
      <w:r w:rsidRPr="000E37EE">
        <w:rPr>
          <w:lang w:val="fr-CA"/>
        </w:rPr>
        <w:t>indemnisation des accidentés du travail, mais n</w:t>
      </w:r>
      <w:r w:rsidR="004E1DF1" w:rsidRPr="000E37EE">
        <w:rPr>
          <w:lang w:val="fr-CA"/>
        </w:rPr>
        <w:t>’</w:t>
      </w:r>
      <w:r w:rsidRPr="000E37EE">
        <w:rPr>
          <w:lang w:val="fr-CA"/>
        </w:rPr>
        <w:t xml:space="preserve">impose pas </w:t>
      </w:r>
      <w:r w:rsidRPr="000E37EE">
        <w:rPr>
          <w:i/>
          <w:lang w:val="fr-CA"/>
        </w:rPr>
        <w:t>expressément</w:t>
      </w:r>
      <w:r w:rsidRPr="000E37EE">
        <w:rPr>
          <w:lang w:val="fr-CA"/>
        </w:rPr>
        <w:t xml:space="preserve"> l</w:t>
      </w:r>
      <w:r w:rsidR="004E1DF1" w:rsidRPr="000E37EE">
        <w:rPr>
          <w:lang w:val="fr-CA"/>
        </w:rPr>
        <w:t>’</w:t>
      </w:r>
      <w:r w:rsidRPr="000E37EE">
        <w:rPr>
          <w:lang w:val="fr-CA"/>
        </w:rPr>
        <w:t>obligation de les accommoder. L</w:t>
      </w:r>
      <w:r w:rsidR="004E1DF1" w:rsidRPr="000E37EE">
        <w:rPr>
          <w:lang w:val="fr-CA"/>
        </w:rPr>
        <w:t>’</w:t>
      </w:r>
      <w:r w:rsidRPr="000E37EE">
        <w:rPr>
          <w:lang w:val="fr-CA"/>
        </w:rPr>
        <w:t>obligation d</w:t>
      </w:r>
      <w:r w:rsidR="004E1DF1" w:rsidRPr="000E37EE">
        <w:rPr>
          <w:lang w:val="fr-CA"/>
        </w:rPr>
        <w:t>’</w:t>
      </w:r>
      <w:r w:rsidRPr="000E37EE">
        <w:rPr>
          <w:lang w:val="fr-CA"/>
        </w:rPr>
        <w:t>accommodement exige un accommodement tel que l</w:t>
      </w:r>
      <w:r w:rsidR="004E1DF1" w:rsidRPr="000E37EE">
        <w:rPr>
          <w:lang w:val="fr-CA"/>
        </w:rPr>
        <w:t>’</w:t>
      </w:r>
      <w:r w:rsidRPr="000E37EE">
        <w:rPr>
          <w:lang w:val="fr-CA"/>
        </w:rPr>
        <w:t>employeur peut démontrer qu</w:t>
      </w:r>
      <w:r w:rsidR="004E1DF1" w:rsidRPr="000E37EE">
        <w:rPr>
          <w:lang w:val="fr-CA"/>
        </w:rPr>
        <w:t>’</w:t>
      </w:r>
      <w:r w:rsidRPr="000E37EE">
        <w:rPr>
          <w:lang w:val="fr-CA"/>
        </w:rPr>
        <w:t>il n</w:t>
      </w:r>
      <w:r w:rsidR="004E1DF1" w:rsidRPr="000E37EE">
        <w:rPr>
          <w:lang w:val="fr-CA"/>
        </w:rPr>
        <w:t>’</w:t>
      </w:r>
      <w:r w:rsidRPr="000E37EE">
        <w:rPr>
          <w:lang w:val="fr-CA"/>
        </w:rPr>
        <w:t>aurait pu prendre aucune autre mesure raisonnable ou pratique pour éviter les conséquences fâcheuses pour l</w:t>
      </w:r>
      <w:r w:rsidR="004E1DF1" w:rsidRPr="000E37EE">
        <w:rPr>
          <w:lang w:val="fr-CA"/>
        </w:rPr>
        <w:t>’</w:t>
      </w:r>
      <w:r w:rsidRPr="000E37EE">
        <w:rPr>
          <w:lang w:val="fr-CA"/>
        </w:rPr>
        <w:t xml:space="preserve">individu. </w:t>
      </w:r>
    </w:p>
    <w:p w:rsidR="00AE02FC" w:rsidRPr="000E37EE" w:rsidRDefault="00AE02FC" w:rsidP="00FB7DE8">
      <w:pPr>
        <w:pStyle w:val="SCCNormalDoubleSpacing"/>
        <w:spacing w:before="480" w:after="480"/>
        <w:rPr>
          <w:lang w:val="fr-CA"/>
        </w:rPr>
      </w:pPr>
      <w:r w:rsidRPr="000E37EE">
        <w:rPr>
          <w:lang w:val="fr-CA"/>
        </w:rPr>
        <w:tab/>
        <w:t>À l</w:t>
      </w:r>
      <w:r w:rsidR="004E1DF1" w:rsidRPr="000E37EE">
        <w:rPr>
          <w:lang w:val="fr-CA"/>
        </w:rPr>
        <w:t>’</w:t>
      </w:r>
      <w:r w:rsidRPr="000E37EE">
        <w:rPr>
          <w:lang w:val="fr-CA"/>
        </w:rPr>
        <w:t xml:space="preserve">instar de toutes les autres lois québécoises, la </w:t>
      </w:r>
      <w:r w:rsidRPr="000E37EE">
        <w:rPr>
          <w:i/>
          <w:lang w:val="fr-CA"/>
        </w:rPr>
        <w:t>Loi</w:t>
      </w:r>
      <w:r w:rsidRPr="000E37EE">
        <w:rPr>
          <w:lang w:val="fr-CA"/>
        </w:rPr>
        <w:t xml:space="preserve"> doit être interprétée conformément à la </w:t>
      </w:r>
      <w:r w:rsidRPr="000E37EE">
        <w:rPr>
          <w:i/>
          <w:lang w:val="fr-CA"/>
        </w:rPr>
        <w:t>Charte</w:t>
      </w:r>
      <w:r w:rsidRPr="000E37EE">
        <w:rPr>
          <w:lang w:val="fr-CA"/>
        </w:rPr>
        <w:t xml:space="preserve"> québécoise. L</w:t>
      </w:r>
      <w:r w:rsidR="004E1DF1" w:rsidRPr="000E37EE">
        <w:rPr>
          <w:lang w:val="fr-CA"/>
        </w:rPr>
        <w:t>’</w:t>
      </w:r>
      <w:r w:rsidRPr="000E37EE">
        <w:rPr>
          <w:lang w:val="fr-CA"/>
        </w:rPr>
        <w:t>obligation de prendre des mesures d</w:t>
      </w:r>
      <w:r w:rsidR="004E1DF1" w:rsidRPr="000E37EE">
        <w:rPr>
          <w:lang w:val="fr-CA"/>
        </w:rPr>
        <w:t>’</w:t>
      </w:r>
      <w:r w:rsidRPr="000E37EE">
        <w:rPr>
          <w:lang w:val="fr-CA"/>
        </w:rPr>
        <w:t>accommodement raisonnables en faveur des employés invalides est un pr</w:t>
      </w:r>
      <w:r w:rsidR="005F7FF7" w:rsidRPr="000E37EE">
        <w:rPr>
          <w:lang w:val="fr-CA"/>
        </w:rPr>
        <w:t xml:space="preserve">écepte </w:t>
      </w:r>
      <w:r w:rsidRPr="000E37EE">
        <w:rPr>
          <w:lang w:val="fr-CA"/>
        </w:rPr>
        <w:lastRenderedPageBreak/>
        <w:t>fondamental du droit du travail canadien, et plus particulièrement du droit du travail québécois. L</w:t>
      </w:r>
      <w:r w:rsidR="004E1DF1" w:rsidRPr="000E37EE">
        <w:rPr>
          <w:lang w:val="fr-CA"/>
        </w:rPr>
        <w:t>’</w:t>
      </w:r>
      <w:r w:rsidRPr="000E37EE">
        <w:rPr>
          <w:lang w:val="fr-CA"/>
        </w:rPr>
        <w:t>obligation d</w:t>
      </w:r>
      <w:r w:rsidR="004E1DF1" w:rsidRPr="000E37EE">
        <w:rPr>
          <w:lang w:val="fr-CA"/>
        </w:rPr>
        <w:t>’</w:t>
      </w:r>
      <w:r w:rsidRPr="000E37EE">
        <w:rPr>
          <w:lang w:val="fr-CA"/>
        </w:rPr>
        <w:t>accommodement étant l</w:t>
      </w:r>
      <w:r w:rsidR="004E1DF1" w:rsidRPr="000E37EE">
        <w:rPr>
          <w:lang w:val="fr-CA"/>
        </w:rPr>
        <w:t>’</w:t>
      </w:r>
      <w:r w:rsidRPr="000E37EE">
        <w:rPr>
          <w:lang w:val="fr-CA"/>
        </w:rPr>
        <w:t>un des principes</w:t>
      </w:r>
      <w:r w:rsidR="005F7FF7" w:rsidRPr="000E37EE">
        <w:rPr>
          <w:lang w:val="fr-CA"/>
        </w:rPr>
        <w:t xml:space="preserve"> centraux </w:t>
      </w:r>
      <w:r w:rsidRPr="000E37EE">
        <w:rPr>
          <w:lang w:val="fr-CA"/>
        </w:rPr>
        <w:t xml:space="preserve">de la </w:t>
      </w:r>
      <w:r w:rsidRPr="000E37EE">
        <w:rPr>
          <w:i/>
          <w:lang w:val="fr-CA"/>
        </w:rPr>
        <w:t>Charte</w:t>
      </w:r>
      <w:r w:rsidRPr="000E37EE">
        <w:rPr>
          <w:lang w:val="fr-CA"/>
        </w:rPr>
        <w:t>, elle s</w:t>
      </w:r>
      <w:r w:rsidR="004E1DF1" w:rsidRPr="000E37EE">
        <w:rPr>
          <w:lang w:val="fr-CA"/>
        </w:rPr>
        <w:t>’</w:t>
      </w:r>
      <w:r w:rsidRPr="000E37EE">
        <w:rPr>
          <w:lang w:val="fr-CA"/>
        </w:rPr>
        <w:t>applique donc à l</w:t>
      </w:r>
      <w:r w:rsidR="004E1DF1" w:rsidRPr="000E37EE">
        <w:rPr>
          <w:lang w:val="fr-CA"/>
        </w:rPr>
        <w:t>’</w:t>
      </w:r>
      <w:r w:rsidRPr="000E37EE">
        <w:rPr>
          <w:lang w:val="fr-CA"/>
        </w:rPr>
        <w:t>interprétation et à l</w:t>
      </w:r>
      <w:r w:rsidR="004E1DF1" w:rsidRPr="000E37EE">
        <w:rPr>
          <w:lang w:val="fr-CA"/>
        </w:rPr>
        <w:t>’</w:t>
      </w:r>
      <w:r w:rsidRPr="000E37EE">
        <w:rPr>
          <w:lang w:val="fr-CA"/>
        </w:rPr>
        <w:t>application des dispositions de la loi québécoise sur les accidents du travail. Il n</w:t>
      </w:r>
      <w:r w:rsidR="004E1DF1" w:rsidRPr="000E37EE">
        <w:rPr>
          <w:lang w:val="fr-CA"/>
        </w:rPr>
        <w:t>’</w:t>
      </w:r>
      <w:r w:rsidRPr="000E37EE">
        <w:rPr>
          <w:lang w:val="fr-CA"/>
        </w:rPr>
        <w:t>existe aucune raison de priver quelqu</w:t>
      </w:r>
      <w:r w:rsidR="004E1DF1" w:rsidRPr="000E37EE">
        <w:rPr>
          <w:lang w:val="fr-CA"/>
        </w:rPr>
        <w:t>’</w:t>
      </w:r>
      <w:r w:rsidRPr="000E37EE">
        <w:rPr>
          <w:lang w:val="fr-CA"/>
        </w:rPr>
        <w:t>un qui devient invalide par suite d</w:t>
      </w:r>
      <w:r w:rsidR="004E1DF1" w:rsidRPr="000E37EE">
        <w:rPr>
          <w:lang w:val="fr-CA"/>
        </w:rPr>
        <w:t>’</w:t>
      </w:r>
      <w:r w:rsidRPr="000E37EE">
        <w:rPr>
          <w:lang w:val="fr-CA"/>
        </w:rPr>
        <w:t>un accident du travail des principes applicables à toutes les personnes invalides, notamment du droit à des mesures d</w:t>
      </w:r>
      <w:r w:rsidR="004E1DF1" w:rsidRPr="000E37EE">
        <w:rPr>
          <w:lang w:val="fr-CA"/>
        </w:rPr>
        <w:t>’</w:t>
      </w:r>
      <w:r w:rsidRPr="000E37EE">
        <w:rPr>
          <w:lang w:val="fr-CA"/>
        </w:rPr>
        <w:t>accommodement raisonnables. Les droits et avantages qu</w:t>
      </w:r>
      <w:r w:rsidR="004E1DF1" w:rsidRPr="000E37EE">
        <w:rPr>
          <w:lang w:val="fr-CA"/>
        </w:rPr>
        <w:t>’</w:t>
      </w:r>
      <w:r w:rsidRPr="000E37EE">
        <w:rPr>
          <w:lang w:val="fr-CA"/>
        </w:rPr>
        <w:t xml:space="preserve">accorde la </w:t>
      </w:r>
      <w:r w:rsidRPr="000E37EE">
        <w:rPr>
          <w:i/>
          <w:lang w:val="fr-CA"/>
        </w:rPr>
        <w:t>Loi</w:t>
      </w:r>
      <w:r w:rsidRPr="000E37EE">
        <w:rPr>
          <w:lang w:val="fr-CA"/>
        </w:rPr>
        <w:t xml:space="preserve"> au travailleur victime d</w:t>
      </w:r>
      <w:r w:rsidR="004E1DF1" w:rsidRPr="000E37EE">
        <w:rPr>
          <w:lang w:val="fr-CA"/>
        </w:rPr>
        <w:t>’</w:t>
      </w:r>
      <w:r w:rsidRPr="000E37EE">
        <w:rPr>
          <w:lang w:val="fr-CA"/>
        </w:rPr>
        <w:t>une lésion professionnelle doivent donc être interprétés et mis en œuvre conformément à l</w:t>
      </w:r>
      <w:r w:rsidR="004E1DF1" w:rsidRPr="000E37EE">
        <w:rPr>
          <w:lang w:val="fr-CA"/>
        </w:rPr>
        <w:t>’</w:t>
      </w:r>
      <w:r w:rsidRPr="000E37EE">
        <w:rPr>
          <w:lang w:val="fr-CA"/>
        </w:rPr>
        <w:t>obligation de l</w:t>
      </w:r>
      <w:r w:rsidR="004E1DF1" w:rsidRPr="000E37EE">
        <w:rPr>
          <w:lang w:val="fr-CA"/>
        </w:rPr>
        <w:t>’</w:t>
      </w:r>
      <w:r w:rsidRPr="000E37EE">
        <w:rPr>
          <w:lang w:val="fr-CA"/>
        </w:rPr>
        <w:t>employeur d</w:t>
      </w:r>
      <w:r w:rsidR="004E1DF1" w:rsidRPr="000E37EE">
        <w:rPr>
          <w:lang w:val="fr-CA"/>
        </w:rPr>
        <w:t>’</w:t>
      </w:r>
      <w:r w:rsidRPr="000E37EE">
        <w:rPr>
          <w:lang w:val="fr-CA"/>
        </w:rPr>
        <w:t>accommoder raisonnablement les employés ayant subi une lésion professionnelle. L</w:t>
      </w:r>
      <w:r w:rsidR="004E1DF1" w:rsidRPr="000E37EE">
        <w:rPr>
          <w:lang w:val="fr-CA"/>
        </w:rPr>
        <w:t>’</w:t>
      </w:r>
      <w:r w:rsidRPr="000E37EE">
        <w:rPr>
          <w:lang w:val="fr-CA"/>
        </w:rPr>
        <w:t xml:space="preserve">examen des objectifs et politiques de la </w:t>
      </w:r>
      <w:r w:rsidRPr="000E37EE">
        <w:rPr>
          <w:i/>
          <w:lang w:val="fr-CA"/>
        </w:rPr>
        <w:t>Loi</w:t>
      </w:r>
      <w:r w:rsidRPr="000E37EE">
        <w:rPr>
          <w:lang w:val="fr-CA"/>
        </w:rPr>
        <w:t xml:space="preserve"> ainsi que des droits qu</w:t>
      </w:r>
      <w:r w:rsidR="004E1DF1" w:rsidRPr="000E37EE">
        <w:rPr>
          <w:lang w:val="fr-CA"/>
        </w:rPr>
        <w:t>’</w:t>
      </w:r>
      <w:r w:rsidRPr="000E37EE">
        <w:rPr>
          <w:lang w:val="fr-CA"/>
        </w:rPr>
        <w:t>elle confère — comme le droit à la réintégration, à un emploi équivalent ou à un emploi convenable — révèle que le régime établi par celle</w:t>
      </w:r>
      <w:r w:rsidR="00FB7DE8" w:rsidRPr="000E37EE">
        <w:rPr>
          <w:lang w:val="fr-CA"/>
        </w:rPr>
        <w:noBreakHyphen/>
      </w:r>
      <w:r w:rsidRPr="000E37EE">
        <w:rPr>
          <w:lang w:val="fr-CA"/>
        </w:rPr>
        <w:t>ci prévoit clairement la prise de mesures raisonnables visant à faciliter autant que possible le retour au travail du travailleur invalide. L</w:t>
      </w:r>
      <w:r w:rsidR="004E1DF1" w:rsidRPr="000E37EE">
        <w:rPr>
          <w:lang w:val="fr-CA"/>
        </w:rPr>
        <w:t>’</w:t>
      </w:r>
      <w:r w:rsidRPr="000E37EE">
        <w:rPr>
          <w:lang w:val="fr-CA"/>
        </w:rPr>
        <w:t>obligation d</w:t>
      </w:r>
      <w:r w:rsidR="004E1DF1" w:rsidRPr="000E37EE">
        <w:rPr>
          <w:lang w:val="fr-CA"/>
        </w:rPr>
        <w:t>’</w:t>
      </w:r>
      <w:r w:rsidRPr="000E37EE">
        <w:rPr>
          <w:lang w:val="fr-CA"/>
        </w:rPr>
        <w:t>accommodement raisonnable sert à indiquer comment il faut mettre en application ces droits au vu des faits de l</w:t>
      </w:r>
      <w:r w:rsidR="004E1DF1" w:rsidRPr="000E37EE">
        <w:rPr>
          <w:lang w:val="fr-CA"/>
        </w:rPr>
        <w:t>’</w:t>
      </w:r>
      <w:r w:rsidRPr="000E37EE">
        <w:rPr>
          <w:lang w:val="fr-CA"/>
        </w:rPr>
        <w:t>espèce sans que cela ne cause une contrainte excessive.</w:t>
      </w:r>
    </w:p>
    <w:p w:rsidR="00AE02FC" w:rsidRPr="000E37EE" w:rsidRDefault="00AE02FC" w:rsidP="00FB7DE8">
      <w:pPr>
        <w:pStyle w:val="SCCNormalDoubleSpacing"/>
        <w:spacing w:before="480" w:after="480"/>
        <w:rPr>
          <w:lang w:val="fr-CA"/>
        </w:rPr>
      </w:pPr>
      <w:r w:rsidRPr="000E37EE">
        <w:rPr>
          <w:lang w:val="fr-CA"/>
        </w:rPr>
        <w:tab/>
        <w:t xml:space="preserve">La mise en œuvre de cette obligation à la lumière de la </w:t>
      </w:r>
      <w:r w:rsidRPr="000E37EE">
        <w:rPr>
          <w:i/>
          <w:lang w:val="fr-CA"/>
        </w:rPr>
        <w:t xml:space="preserve">Charte </w:t>
      </w:r>
      <w:r w:rsidRPr="000E37EE">
        <w:rPr>
          <w:lang w:val="fr-CA"/>
        </w:rPr>
        <w:t>québécoise ne perturbe pas le régime soigneusement calibré d</w:t>
      </w:r>
      <w:r w:rsidR="004E1DF1" w:rsidRPr="000E37EE">
        <w:rPr>
          <w:lang w:val="fr-CA"/>
        </w:rPr>
        <w:t>’</w:t>
      </w:r>
      <w:r w:rsidRPr="000E37EE">
        <w:rPr>
          <w:lang w:val="fr-CA"/>
        </w:rPr>
        <w:t xml:space="preserve">obligations et de rapports établi par la </w:t>
      </w:r>
      <w:r w:rsidRPr="000E37EE">
        <w:rPr>
          <w:i/>
          <w:lang w:val="fr-CA"/>
        </w:rPr>
        <w:t>Loi</w:t>
      </w:r>
      <w:r w:rsidRPr="000E37EE">
        <w:rPr>
          <w:lang w:val="fr-CA"/>
        </w:rPr>
        <w:t>. Elle ne fait que requérir une conception plus robuste de la mise en application des droits des travailleurs invalides par la CSST et la CLP et, nécessairement, par l</w:t>
      </w:r>
      <w:r w:rsidR="004E1DF1" w:rsidRPr="000E37EE">
        <w:rPr>
          <w:lang w:val="fr-CA"/>
        </w:rPr>
        <w:t>’</w:t>
      </w:r>
      <w:r w:rsidRPr="000E37EE">
        <w:rPr>
          <w:lang w:val="fr-CA"/>
        </w:rPr>
        <w:t xml:space="preserve">employeur. Cela veut dire en fin de compte que la </w:t>
      </w:r>
      <w:r w:rsidRPr="000E37EE">
        <w:rPr>
          <w:rStyle w:val="ParaNoNdepar-AltNChar"/>
          <w:rFonts w:cs="Times New Roman"/>
          <w:lang w:val="fr-CA"/>
        </w:rPr>
        <w:t xml:space="preserve">CSST et la CLP possèdent le </w:t>
      </w:r>
      <w:r w:rsidRPr="000E37EE">
        <w:rPr>
          <w:lang w:val="fr-CA"/>
        </w:rPr>
        <w:t>pouvoir de réparation exclusif d</w:t>
      </w:r>
      <w:r w:rsidR="004E1DF1" w:rsidRPr="000E37EE">
        <w:rPr>
          <w:lang w:val="fr-CA"/>
        </w:rPr>
        <w:t>’</w:t>
      </w:r>
      <w:r w:rsidRPr="000E37EE">
        <w:rPr>
          <w:lang w:val="fr-CA"/>
        </w:rPr>
        <w:t>imposer à l</w:t>
      </w:r>
      <w:r w:rsidR="004E1DF1" w:rsidRPr="000E37EE">
        <w:rPr>
          <w:lang w:val="fr-CA"/>
        </w:rPr>
        <w:t>’</w:t>
      </w:r>
      <w:r w:rsidRPr="000E37EE">
        <w:rPr>
          <w:lang w:val="fr-CA"/>
        </w:rPr>
        <w:t xml:space="preserve">employeur des mesures </w:t>
      </w:r>
      <w:r w:rsidRPr="000E37EE">
        <w:rPr>
          <w:lang w:val="fr-CA"/>
        </w:rPr>
        <w:lastRenderedPageBreak/>
        <w:t>d</w:t>
      </w:r>
      <w:r w:rsidR="004E1DF1" w:rsidRPr="000E37EE">
        <w:rPr>
          <w:lang w:val="fr-CA"/>
        </w:rPr>
        <w:t>’</w:t>
      </w:r>
      <w:r w:rsidRPr="000E37EE">
        <w:rPr>
          <w:lang w:val="fr-CA"/>
        </w:rPr>
        <w:t>accommodement raisonnablement possibles à l</w:t>
      </w:r>
      <w:r w:rsidR="004E1DF1" w:rsidRPr="000E37EE">
        <w:rPr>
          <w:lang w:val="fr-CA"/>
        </w:rPr>
        <w:t>’</w:t>
      </w:r>
      <w:r w:rsidRPr="000E37EE">
        <w:rPr>
          <w:lang w:val="fr-CA"/>
        </w:rPr>
        <w:t>égard de la lésion subie par le travailleur invalide.</w:t>
      </w:r>
    </w:p>
    <w:p w:rsidR="00AE02FC" w:rsidRPr="000E37EE" w:rsidRDefault="00FB7DE8" w:rsidP="00FB7DE8">
      <w:pPr>
        <w:pStyle w:val="SCCNormalDoubleSpacing"/>
        <w:spacing w:before="480" w:after="480"/>
        <w:rPr>
          <w:lang w:val="fr-CA"/>
        </w:rPr>
      </w:pPr>
      <w:r w:rsidRPr="000E37EE">
        <w:rPr>
          <w:lang w:val="fr-CA"/>
        </w:rPr>
        <w:tab/>
      </w:r>
      <w:r w:rsidR="00AE02FC" w:rsidRPr="000E37EE">
        <w:rPr>
          <w:lang w:val="fr-CA"/>
        </w:rPr>
        <w:t xml:space="preserve">Étant donné que la </w:t>
      </w:r>
      <w:r w:rsidR="00AE02FC" w:rsidRPr="000E37EE">
        <w:rPr>
          <w:rStyle w:val="ParaNoNdepar-AltNChar"/>
          <w:rFonts w:cs="Times New Roman"/>
          <w:lang w:val="fr-CA"/>
        </w:rPr>
        <w:t>CSST et la CLP</w:t>
      </w:r>
      <w:r w:rsidR="00AE02FC" w:rsidRPr="000E37EE" w:rsidDel="003B4217">
        <w:rPr>
          <w:lang w:val="fr-CA"/>
        </w:rPr>
        <w:t xml:space="preserve"> </w:t>
      </w:r>
      <w:r w:rsidR="00AE02FC" w:rsidRPr="000E37EE">
        <w:rPr>
          <w:lang w:val="fr-CA"/>
        </w:rPr>
        <w:t>ont jugé que le concept d</w:t>
      </w:r>
      <w:r w:rsidR="004E1DF1" w:rsidRPr="000E37EE">
        <w:rPr>
          <w:lang w:val="fr-CA"/>
        </w:rPr>
        <w:t>’</w:t>
      </w:r>
      <w:r w:rsidR="00AE02FC" w:rsidRPr="000E37EE">
        <w:rPr>
          <w:lang w:val="fr-CA"/>
        </w:rPr>
        <w:t xml:space="preserve">accommodement raisonnable au sens de la </w:t>
      </w:r>
      <w:r w:rsidR="00AE02FC" w:rsidRPr="000E37EE">
        <w:rPr>
          <w:i/>
          <w:lang w:val="fr-CA"/>
        </w:rPr>
        <w:t>Charte</w:t>
      </w:r>
      <w:r w:rsidR="00AE02FC" w:rsidRPr="000E37EE">
        <w:rPr>
          <w:lang w:val="fr-CA"/>
        </w:rPr>
        <w:t xml:space="preserve"> québécoise ne s</w:t>
      </w:r>
      <w:r w:rsidR="004E1DF1" w:rsidRPr="000E37EE">
        <w:rPr>
          <w:lang w:val="fr-CA"/>
        </w:rPr>
        <w:t>’</w:t>
      </w:r>
      <w:r w:rsidR="00AE02FC" w:rsidRPr="000E37EE">
        <w:rPr>
          <w:lang w:val="fr-CA"/>
        </w:rPr>
        <w:t>appliquait pas, ni l</w:t>
      </w:r>
      <w:r w:rsidR="004E1DF1" w:rsidRPr="000E37EE">
        <w:rPr>
          <w:lang w:val="fr-CA"/>
        </w:rPr>
        <w:t>’</w:t>
      </w:r>
      <w:r w:rsidR="00AE02FC" w:rsidRPr="000E37EE">
        <w:rPr>
          <w:lang w:val="fr-CA"/>
        </w:rPr>
        <w:t>une ni l</w:t>
      </w:r>
      <w:r w:rsidR="004E1DF1" w:rsidRPr="000E37EE">
        <w:rPr>
          <w:lang w:val="fr-CA"/>
        </w:rPr>
        <w:t>’</w:t>
      </w:r>
      <w:r w:rsidR="00AE02FC" w:rsidRPr="000E37EE">
        <w:rPr>
          <w:lang w:val="fr-CA"/>
        </w:rPr>
        <w:t>autre de ces organisations n</w:t>
      </w:r>
      <w:r w:rsidR="004E1DF1" w:rsidRPr="000E37EE">
        <w:rPr>
          <w:lang w:val="fr-CA"/>
        </w:rPr>
        <w:t>’</w:t>
      </w:r>
      <w:r w:rsidR="00AE02FC" w:rsidRPr="000E37EE">
        <w:rPr>
          <w:lang w:val="fr-CA"/>
        </w:rPr>
        <w:t xml:space="preserve">ont tiré de conclusion de fait quant à savoir si C avait </w:t>
      </w:r>
      <w:r w:rsidR="00404D30" w:rsidRPr="000E37EE">
        <w:rPr>
          <w:lang w:val="fr-CA"/>
        </w:rPr>
        <w:t xml:space="preserve">bénéficié </w:t>
      </w:r>
      <w:r w:rsidR="00AE02FC" w:rsidRPr="000E37EE">
        <w:rPr>
          <w:lang w:val="fr-CA"/>
        </w:rPr>
        <w:t>de mesures d</w:t>
      </w:r>
      <w:r w:rsidR="004E1DF1" w:rsidRPr="000E37EE">
        <w:rPr>
          <w:lang w:val="fr-CA"/>
        </w:rPr>
        <w:t>’</w:t>
      </w:r>
      <w:r w:rsidR="00AE02FC" w:rsidRPr="000E37EE">
        <w:rPr>
          <w:lang w:val="fr-CA"/>
        </w:rPr>
        <w:t xml:space="preserve">accommodement raisonnables. En particulier, la </w:t>
      </w:r>
      <w:r w:rsidR="00AE02FC" w:rsidRPr="000E37EE">
        <w:rPr>
          <w:rStyle w:val="ParaNoNdepar-AltNChar"/>
          <w:rFonts w:cs="Times New Roman"/>
          <w:lang w:val="fr-CA"/>
        </w:rPr>
        <w:t>CLP</w:t>
      </w:r>
      <w:r w:rsidR="00AE02FC" w:rsidRPr="000E37EE" w:rsidDel="003B4217">
        <w:rPr>
          <w:lang w:val="fr-CA"/>
        </w:rPr>
        <w:t xml:space="preserve"> </w:t>
      </w:r>
      <w:r w:rsidR="00AE02FC" w:rsidRPr="000E37EE">
        <w:rPr>
          <w:lang w:val="fr-CA"/>
        </w:rPr>
        <w:t>n</w:t>
      </w:r>
      <w:r w:rsidR="004E1DF1" w:rsidRPr="000E37EE">
        <w:rPr>
          <w:lang w:val="fr-CA"/>
        </w:rPr>
        <w:t>’</w:t>
      </w:r>
      <w:r w:rsidR="00AE02FC" w:rsidRPr="000E37EE">
        <w:rPr>
          <w:lang w:val="fr-CA"/>
        </w:rPr>
        <w:t>a formulé aucune conclusion relativement à la question de savoir s</w:t>
      </w:r>
      <w:r w:rsidR="004E1DF1" w:rsidRPr="000E37EE">
        <w:rPr>
          <w:lang w:val="fr-CA"/>
        </w:rPr>
        <w:t>’</w:t>
      </w:r>
      <w:r w:rsidR="00AE02FC" w:rsidRPr="000E37EE">
        <w:rPr>
          <w:lang w:val="fr-CA"/>
        </w:rPr>
        <w:t>il y aurait eu un emploi convenable chez l</w:t>
      </w:r>
      <w:r w:rsidR="004E1DF1" w:rsidRPr="000E37EE">
        <w:rPr>
          <w:lang w:val="fr-CA"/>
        </w:rPr>
        <w:t>’</w:t>
      </w:r>
      <w:r w:rsidR="00AE02FC" w:rsidRPr="000E37EE">
        <w:rPr>
          <w:lang w:val="fr-CA"/>
        </w:rPr>
        <w:t>employeur si ce dernier avait pris en sa faveur des mesures d</w:t>
      </w:r>
      <w:r w:rsidR="004E1DF1" w:rsidRPr="000E37EE">
        <w:rPr>
          <w:lang w:val="fr-CA"/>
        </w:rPr>
        <w:t>’</w:t>
      </w:r>
      <w:r w:rsidR="00AE02FC" w:rsidRPr="000E37EE">
        <w:rPr>
          <w:lang w:val="fr-CA"/>
        </w:rPr>
        <w:t>accommodement raisonnables. Il convient d</w:t>
      </w:r>
      <w:r w:rsidR="004E1DF1" w:rsidRPr="000E37EE">
        <w:rPr>
          <w:lang w:val="fr-CA"/>
        </w:rPr>
        <w:t>’</w:t>
      </w:r>
      <w:r w:rsidR="00AE02FC" w:rsidRPr="000E37EE">
        <w:rPr>
          <w:lang w:val="fr-CA"/>
        </w:rPr>
        <w:t>annuler la décision de la CLP et de renvoyer l</w:t>
      </w:r>
      <w:r w:rsidR="004E1DF1" w:rsidRPr="000E37EE">
        <w:rPr>
          <w:lang w:val="fr-CA"/>
        </w:rPr>
        <w:t>’</w:t>
      </w:r>
      <w:r w:rsidR="00AE02FC" w:rsidRPr="000E37EE">
        <w:rPr>
          <w:lang w:val="fr-CA"/>
        </w:rPr>
        <w:t>affaire au Tribunal administratif du travail (l</w:t>
      </w:r>
      <w:r w:rsidR="004E1DF1" w:rsidRPr="000E37EE">
        <w:rPr>
          <w:lang w:val="fr-CA"/>
        </w:rPr>
        <w:t>’</w:t>
      </w:r>
      <w:r w:rsidR="00AE02FC" w:rsidRPr="000E37EE">
        <w:rPr>
          <w:lang w:val="fr-CA"/>
        </w:rPr>
        <w:t>institution qui a succédé à la CLP) pour qu</w:t>
      </w:r>
      <w:r w:rsidR="004E1DF1" w:rsidRPr="000E37EE">
        <w:rPr>
          <w:lang w:val="fr-CA"/>
        </w:rPr>
        <w:t>’</w:t>
      </w:r>
      <w:r w:rsidR="00AE02FC" w:rsidRPr="000E37EE">
        <w:rPr>
          <w:lang w:val="fr-CA"/>
        </w:rPr>
        <w:t>il la réexamine en tenant compte de l</w:t>
      </w:r>
      <w:r w:rsidR="004E1DF1" w:rsidRPr="000E37EE">
        <w:rPr>
          <w:lang w:val="fr-CA"/>
        </w:rPr>
        <w:t>’</w:t>
      </w:r>
      <w:r w:rsidR="00AE02FC" w:rsidRPr="000E37EE">
        <w:rPr>
          <w:lang w:val="fr-CA"/>
        </w:rPr>
        <w:t>obligation d</w:t>
      </w:r>
      <w:r w:rsidR="004E1DF1" w:rsidRPr="000E37EE">
        <w:rPr>
          <w:lang w:val="fr-CA"/>
        </w:rPr>
        <w:t>’</w:t>
      </w:r>
      <w:r w:rsidR="00AE02FC" w:rsidRPr="000E37EE">
        <w:rPr>
          <w:lang w:val="fr-CA"/>
        </w:rPr>
        <w:t>accommodement raisonnable.</w:t>
      </w:r>
    </w:p>
    <w:p w:rsidR="00AE02FC" w:rsidRPr="000E37EE" w:rsidRDefault="00AE02FC" w:rsidP="00FB7DE8">
      <w:pPr>
        <w:pStyle w:val="SCCNormalDoubleSpacing"/>
        <w:spacing w:before="480" w:after="480"/>
        <w:rPr>
          <w:i/>
          <w:lang w:val="fr-CA"/>
        </w:rPr>
      </w:pPr>
      <w:r w:rsidRPr="000E37EE">
        <w:rPr>
          <w:lang w:val="fr-CA"/>
        </w:rPr>
        <w:tab/>
      </w:r>
      <w:r w:rsidRPr="000E37EE">
        <w:rPr>
          <w:i/>
          <w:lang w:val="fr-CA"/>
        </w:rPr>
        <w:t xml:space="preserve">Les </w:t>
      </w:r>
      <w:r w:rsidRPr="000E37EE">
        <w:rPr>
          <w:lang w:val="fr-CA"/>
        </w:rPr>
        <w:t>juges</w:t>
      </w:r>
      <w:r w:rsidR="008D00E1" w:rsidRPr="000E37EE">
        <w:rPr>
          <w:lang w:val="fr-CA"/>
        </w:rPr>
        <w:t xml:space="preserve"> Côté et</w:t>
      </w:r>
      <w:r w:rsidRPr="000E37EE">
        <w:rPr>
          <w:lang w:val="fr-CA"/>
        </w:rPr>
        <w:t xml:space="preserve"> </w:t>
      </w:r>
      <w:r w:rsidRPr="00660C38">
        <w:rPr>
          <w:lang w:val="fr-CA"/>
        </w:rPr>
        <w:t>Rowe</w:t>
      </w:r>
      <w:r w:rsidR="00FB7DE8" w:rsidRPr="000E37EE">
        <w:rPr>
          <w:lang w:val="fr-CA"/>
        </w:rPr>
        <w:t> :</w:t>
      </w:r>
      <w:r w:rsidRPr="000E37EE">
        <w:rPr>
          <w:lang w:val="fr-CA"/>
        </w:rPr>
        <w:t xml:space="preserve"> Il y a accord avec la majorité pour renvoyer l</w:t>
      </w:r>
      <w:r w:rsidR="004E1DF1" w:rsidRPr="000E37EE">
        <w:rPr>
          <w:lang w:val="fr-CA"/>
        </w:rPr>
        <w:t>’</w:t>
      </w:r>
      <w:r w:rsidRPr="000E37EE">
        <w:rPr>
          <w:lang w:val="fr-CA"/>
        </w:rPr>
        <w:t>affaire afin que l</w:t>
      </w:r>
      <w:r w:rsidR="004E1DF1" w:rsidRPr="000E37EE">
        <w:rPr>
          <w:lang w:val="fr-CA"/>
        </w:rPr>
        <w:t>’</w:t>
      </w:r>
      <w:r w:rsidRPr="000E37EE">
        <w:rPr>
          <w:lang w:val="fr-CA"/>
        </w:rPr>
        <w:t>on décide si l</w:t>
      </w:r>
      <w:r w:rsidR="004E1DF1" w:rsidRPr="000E37EE">
        <w:rPr>
          <w:lang w:val="fr-CA"/>
        </w:rPr>
        <w:t>’</w:t>
      </w:r>
      <w:r w:rsidRPr="000E37EE">
        <w:rPr>
          <w:lang w:val="fr-CA"/>
        </w:rPr>
        <w:t>employeur s</w:t>
      </w:r>
      <w:r w:rsidR="004E1DF1" w:rsidRPr="000E37EE">
        <w:rPr>
          <w:lang w:val="fr-CA"/>
        </w:rPr>
        <w:t>’</w:t>
      </w:r>
      <w:r w:rsidRPr="000E37EE">
        <w:rPr>
          <w:lang w:val="fr-CA"/>
        </w:rPr>
        <w:t>est acquitté de son obligation d</w:t>
      </w:r>
      <w:r w:rsidR="004E1DF1" w:rsidRPr="000E37EE">
        <w:rPr>
          <w:lang w:val="fr-CA"/>
        </w:rPr>
        <w:t>’</w:t>
      </w:r>
      <w:r w:rsidRPr="000E37EE">
        <w:rPr>
          <w:lang w:val="fr-CA"/>
        </w:rPr>
        <w:t xml:space="preserve">accommodement dans les circonstances, mais il y a désaccord avec elle pour appliquer une présomption générale de conformité de la </w:t>
      </w:r>
      <w:r w:rsidRPr="000E37EE">
        <w:rPr>
          <w:i/>
          <w:lang w:val="fr-CA"/>
        </w:rPr>
        <w:t>Loi</w:t>
      </w:r>
      <w:r w:rsidRPr="000E37EE">
        <w:rPr>
          <w:lang w:val="fr-CA"/>
        </w:rPr>
        <w:t xml:space="preserve"> à la </w:t>
      </w:r>
      <w:r w:rsidRPr="000E37EE">
        <w:rPr>
          <w:i/>
          <w:lang w:val="fr-CA"/>
        </w:rPr>
        <w:t>Charte</w:t>
      </w:r>
      <w:r w:rsidRPr="000E37EE">
        <w:rPr>
          <w:lang w:val="fr-CA"/>
        </w:rPr>
        <w:t xml:space="preserve"> car cette présomption est contraire à la jurisprudence de la Cour et à l</w:t>
      </w:r>
      <w:r w:rsidR="004E1DF1" w:rsidRPr="000E37EE">
        <w:rPr>
          <w:lang w:val="fr-CA"/>
        </w:rPr>
        <w:t>’</w:t>
      </w:r>
      <w:r w:rsidR="00FB7DE8" w:rsidRPr="000E37EE">
        <w:rPr>
          <w:lang w:val="fr-CA"/>
        </w:rPr>
        <w:t>art. </w:t>
      </w:r>
      <w:r w:rsidRPr="000E37EE">
        <w:rPr>
          <w:lang w:val="fr-CA"/>
        </w:rPr>
        <w:t xml:space="preserve">51 de la </w:t>
      </w:r>
      <w:r w:rsidRPr="000E37EE">
        <w:rPr>
          <w:i/>
          <w:lang w:val="fr-CA"/>
        </w:rPr>
        <w:t>Charte.</w:t>
      </w:r>
    </w:p>
    <w:p w:rsidR="00AE02FC" w:rsidRPr="000E37EE" w:rsidRDefault="00AE02FC" w:rsidP="00FB7DE8">
      <w:pPr>
        <w:pStyle w:val="SCCNormalDoubleSpacing"/>
        <w:spacing w:before="480" w:after="480"/>
        <w:rPr>
          <w:lang w:val="fr-CA"/>
        </w:rPr>
      </w:pPr>
      <w:r w:rsidRPr="000E37EE">
        <w:rPr>
          <w:lang w:val="fr-CA"/>
        </w:rPr>
        <w:tab/>
        <w:t>Le principe d</w:t>
      </w:r>
      <w:r w:rsidR="004E1DF1" w:rsidRPr="000E37EE">
        <w:rPr>
          <w:lang w:val="fr-CA"/>
        </w:rPr>
        <w:t>’</w:t>
      </w:r>
      <w:r w:rsidRPr="000E37EE">
        <w:rPr>
          <w:lang w:val="fr-CA"/>
        </w:rPr>
        <w:t xml:space="preserve">interprétation fondé sur les « valeurs de la </w:t>
      </w:r>
      <w:r w:rsidRPr="000E37EE">
        <w:rPr>
          <w:i/>
          <w:lang w:val="fr-CA"/>
        </w:rPr>
        <w:t>Charte</w:t>
      </w:r>
      <w:r w:rsidRPr="000E37EE">
        <w:rPr>
          <w:lang w:val="fr-CA"/>
        </w:rPr>
        <w:t xml:space="preserve"> » ne permet pas au tribunal de proposer, au nom des valeurs de la </w:t>
      </w:r>
      <w:r w:rsidRPr="000E37EE">
        <w:rPr>
          <w:i/>
          <w:lang w:val="fr-CA"/>
        </w:rPr>
        <w:t>Charte</w:t>
      </w:r>
      <w:r w:rsidRPr="000E37EE">
        <w:rPr>
          <w:lang w:val="fr-CA"/>
        </w:rPr>
        <w:t xml:space="preserve">, une interprétation non étayée par le texte de la loi. La </w:t>
      </w:r>
      <w:r w:rsidRPr="000E37EE">
        <w:rPr>
          <w:i/>
          <w:lang w:val="fr-CA"/>
        </w:rPr>
        <w:t>Loi</w:t>
      </w:r>
      <w:r w:rsidRPr="000E37EE">
        <w:rPr>
          <w:lang w:val="fr-CA"/>
        </w:rPr>
        <w:t xml:space="preserve"> et la </w:t>
      </w:r>
      <w:r w:rsidRPr="000E37EE">
        <w:rPr>
          <w:i/>
          <w:lang w:val="fr-CA"/>
        </w:rPr>
        <w:t>Charte</w:t>
      </w:r>
      <w:r w:rsidRPr="000E37EE">
        <w:rPr>
          <w:lang w:val="fr-CA"/>
        </w:rPr>
        <w:t xml:space="preserve"> ont des objets différents. La </w:t>
      </w:r>
      <w:r w:rsidRPr="000E37EE">
        <w:rPr>
          <w:i/>
          <w:lang w:val="fr-CA"/>
        </w:rPr>
        <w:t>Loi</w:t>
      </w:r>
      <w:r w:rsidRPr="000E37EE">
        <w:rPr>
          <w:lang w:val="fr-CA"/>
        </w:rPr>
        <w:t xml:space="preserve"> constitue un régime d</w:t>
      </w:r>
      <w:r w:rsidR="004E1DF1" w:rsidRPr="000E37EE">
        <w:rPr>
          <w:lang w:val="fr-CA"/>
        </w:rPr>
        <w:t>’</w:t>
      </w:r>
      <w:r w:rsidRPr="000E37EE">
        <w:rPr>
          <w:lang w:val="fr-CA"/>
        </w:rPr>
        <w:t xml:space="preserve">indemnisation sans égard à la faute pour lésions professionnelles. </w:t>
      </w:r>
      <w:r w:rsidRPr="000E37EE">
        <w:rPr>
          <w:lang w:val="fr-CA"/>
        </w:rPr>
        <w:lastRenderedPageBreak/>
        <w:t xml:space="preserve">La </w:t>
      </w:r>
      <w:r w:rsidRPr="000E37EE">
        <w:rPr>
          <w:i/>
          <w:lang w:val="fr-CA"/>
        </w:rPr>
        <w:t xml:space="preserve">Charte </w:t>
      </w:r>
      <w:r w:rsidRPr="000E37EE">
        <w:rPr>
          <w:lang w:val="fr-CA"/>
        </w:rPr>
        <w:t>a un objectif plus général de protection des droits fondamentaux, dont le droit à l</w:t>
      </w:r>
      <w:r w:rsidR="004E1DF1" w:rsidRPr="000E37EE">
        <w:rPr>
          <w:lang w:val="fr-CA"/>
        </w:rPr>
        <w:t>’</w:t>
      </w:r>
      <w:r w:rsidRPr="000E37EE">
        <w:rPr>
          <w:lang w:val="fr-CA"/>
        </w:rPr>
        <w:t>égalité, ce qui comprend l</w:t>
      </w:r>
      <w:r w:rsidR="004E1DF1" w:rsidRPr="000E37EE">
        <w:rPr>
          <w:lang w:val="fr-CA"/>
        </w:rPr>
        <w:t>’</w:t>
      </w:r>
      <w:r w:rsidRPr="000E37EE">
        <w:rPr>
          <w:lang w:val="fr-CA"/>
        </w:rPr>
        <w:t>obligation d</w:t>
      </w:r>
      <w:r w:rsidR="004E1DF1" w:rsidRPr="000E37EE">
        <w:rPr>
          <w:lang w:val="fr-CA"/>
        </w:rPr>
        <w:t>’</w:t>
      </w:r>
      <w:r w:rsidRPr="000E37EE">
        <w:rPr>
          <w:lang w:val="fr-CA"/>
        </w:rPr>
        <w:t xml:space="preserve">accommodement. Contrairement à la </w:t>
      </w:r>
      <w:r w:rsidRPr="000E37EE">
        <w:rPr>
          <w:i/>
          <w:lang w:val="fr-CA"/>
        </w:rPr>
        <w:t>Loi</w:t>
      </w:r>
      <w:r w:rsidRPr="000E37EE">
        <w:rPr>
          <w:lang w:val="fr-CA"/>
        </w:rPr>
        <w:t>,</w:t>
      </w:r>
      <w:r w:rsidRPr="000E37EE">
        <w:rPr>
          <w:i/>
          <w:lang w:val="fr-CA"/>
        </w:rPr>
        <w:t xml:space="preserve"> </w:t>
      </w:r>
      <w:r w:rsidRPr="000E37EE">
        <w:rPr>
          <w:lang w:val="fr-CA"/>
        </w:rPr>
        <w:t>l</w:t>
      </w:r>
      <w:r w:rsidR="004E1DF1" w:rsidRPr="000E37EE">
        <w:rPr>
          <w:lang w:val="fr-CA"/>
        </w:rPr>
        <w:t>’</w:t>
      </w:r>
      <w:r w:rsidRPr="000E37EE">
        <w:rPr>
          <w:lang w:val="fr-CA"/>
        </w:rPr>
        <w:t>origine d</w:t>
      </w:r>
      <w:r w:rsidR="007D0336" w:rsidRPr="000E37EE">
        <w:rPr>
          <w:lang w:val="fr-CA"/>
        </w:rPr>
        <w:t>e l</w:t>
      </w:r>
      <w:r w:rsidR="004E1DF1" w:rsidRPr="000E37EE">
        <w:rPr>
          <w:lang w:val="fr-CA"/>
        </w:rPr>
        <w:t>’</w:t>
      </w:r>
      <w:r w:rsidR="007D0336" w:rsidRPr="000E37EE">
        <w:rPr>
          <w:lang w:val="fr-CA"/>
        </w:rPr>
        <w:t>invalidité</w:t>
      </w:r>
      <w:r w:rsidRPr="000E37EE">
        <w:rPr>
          <w:lang w:val="fr-CA"/>
        </w:rPr>
        <w:t xml:space="preserve"> n</w:t>
      </w:r>
      <w:r w:rsidR="004E1DF1" w:rsidRPr="000E37EE">
        <w:rPr>
          <w:lang w:val="fr-CA"/>
        </w:rPr>
        <w:t>’</w:t>
      </w:r>
      <w:r w:rsidRPr="000E37EE">
        <w:rPr>
          <w:lang w:val="fr-CA"/>
        </w:rPr>
        <w:t>a pas d</w:t>
      </w:r>
      <w:r w:rsidR="004E1DF1" w:rsidRPr="000E37EE">
        <w:rPr>
          <w:lang w:val="fr-CA"/>
        </w:rPr>
        <w:t>’</w:t>
      </w:r>
      <w:r w:rsidRPr="000E37EE">
        <w:rPr>
          <w:lang w:val="fr-CA"/>
        </w:rPr>
        <w:t xml:space="preserve">importance pour la </w:t>
      </w:r>
      <w:r w:rsidRPr="000E37EE">
        <w:rPr>
          <w:i/>
          <w:lang w:val="fr-CA"/>
        </w:rPr>
        <w:t>Charte</w:t>
      </w:r>
      <w:r w:rsidRPr="000E37EE">
        <w:rPr>
          <w:lang w:val="fr-CA"/>
        </w:rPr>
        <w:t xml:space="preserve"> québécoise; il n</w:t>
      </w:r>
      <w:r w:rsidR="004E1DF1" w:rsidRPr="000E37EE">
        <w:rPr>
          <w:lang w:val="fr-CA"/>
        </w:rPr>
        <w:t>’</w:t>
      </w:r>
      <w:r w:rsidRPr="000E37EE">
        <w:rPr>
          <w:lang w:val="fr-CA"/>
        </w:rPr>
        <w:t>est pas nécessaire qu</w:t>
      </w:r>
      <w:r w:rsidR="004E1DF1" w:rsidRPr="000E37EE">
        <w:rPr>
          <w:lang w:val="fr-CA"/>
        </w:rPr>
        <w:t>’</w:t>
      </w:r>
      <w:r w:rsidRPr="000E37EE">
        <w:rPr>
          <w:lang w:val="fr-CA"/>
        </w:rPr>
        <w:t>il s</w:t>
      </w:r>
      <w:r w:rsidR="004E1DF1" w:rsidRPr="000E37EE">
        <w:rPr>
          <w:lang w:val="fr-CA"/>
        </w:rPr>
        <w:t>’</w:t>
      </w:r>
      <w:r w:rsidRPr="000E37EE">
        <w:rPr>
          <w:lang w:val="fr-CA"/>
        </w:rPr>
        <w:t>agisse d</w:t>
      </w:r>
      <w:r w:rsidR="004E1DF1" w:rsidRPr="000E37EE">
        <w:rPr>
          <w:lang w:val="fr-CA"/>
        </w:rPr>
        <w:t>’</w:t>
      </w:r>
      <w:r w:rsidRPr="000E37EE">
        <w:rPr>
          <w:lang w:val="fr-CA"/>
        </w:rPr>
        <w:t>un accident du travail, mais elle s</w:t>
      </w:r>
      <w:r w:rsidR="004E1DF1" w:rsidRPr="000E37EE">
        <w:rPr>
          <w:lang w:val="fr-CA"/>
        </w:rPr>
        <w:t>’</w:t>
      </w:r>
      <w:r w:rsidRPr="000E37EE">
        <w:rPr>
          <w:lang w:val="fr-CA"/>
        </w:rPr>
        <w:t xml:space="preserve">applique </w:t>
      </w:r>
      <w:r w:rsidR="007D0336" w:rsidRPr="000E37EE">
        <w:rPr>
          <w:lang w:val="fr-CA"/>
        </w:rPr>
        <w:t>à l</w:t>
      </w:r>
      <w:r w:rsidR="004E1DF1" w:rsidRPr="000E37EE">
        <w:rPr>
          <w:lang w:val="fr-CA"/>
        </w:rPr>
        <w:t>’</w:t>
      </w:r>
      <w:r w:rsidR="007D0336" w:rsidRPr="000E37EE">
        <w:rPr>
          <w:lang w:val="fr-CA"/>
        </w:rPr>
        <w:t xml:space="preserve">invalidité </w:t>
      </w:r>
      <w:r w:rsidRPr="000E37EE">
        <w:rPr>
          <w:lang w:val="fr-CA"/>
        </w:rPr>
        <w:t>résultant d</w:t>
      </w:r>
      <w:r w:rsidR="004E1DF1" w:rsidRPr="000E37EE">
        <w:rPr>
          <w:lang w:val="fr-CA"/>
        </w:rPr>
        <w:t>’</w:t>
      </w:r>
      <w:r w:rsidRPr="000E37EE">
        <w:rPr>
          <w:lang w:val="fr-CA"/>
        </w:rPr>
        <w:t xml:space="preserve">un tel accident. Les deux régimes juridiques sont distincts sur le plan conceptuel, ce qui signifie que les droits garantis par la </w:t>
      </w:r>
      <w:r w:rsidRPr="000E37EE">
        <w:rPr>
          <w:i/>
          <w:lang w:val="fr-CA"/>
        </w:rPr>
        <w:t xml:space="preserve">Charte </w:t>
      </w:r>
      <w:r w:rsidRPr="000E37EE">
        <w:rPr>
          <w:lang w:val="fr-CA"/>
        </w:rPr>
        <w:t>au</w:t>
      </w:r>
      <w:r w:rsidR="004E1DF1" w:rsidRPr="000E37EE">
        <w:rPr>
          <w:lang w:val="fr-CA"/>
        </w:rPr>
        <w:t xml:space="preserve"> </w:t>
      </w:r>
      <w:r w:rsidRPr="000E37EE">
        <w:rPr>
          <w:lang w:val="fr-CA"/>
        </w:rPr>
        <w:t xml:space="preserve">travailleur existent en sus des droits que lui confère la </w:t>
      </w:r>
      <w:r w:rsidRPr="000E37EE">
        <w:rPr>
          <w:i/>
          <w:lang w:val="fr-CA"/>
        </w:rPr>
        <w:t>Loi</w:t>
      </w:r>
      <w:r w:rsidRPr="000E37EE">
        <w:rPr>
          <w:lang w:val="fr-CA"/>
        </w:rPr>
        <w:t>.</w:t>
      </w:r>
    </w:p>
    <w:p w:rsidR="00AE02FC" w:rsidRPr="000E37EE" w:rsidRDefault="00AE02FC" w:rsidP="00FB7DE8">
      <w:pPr>
        <w:pStyle w:val="SCCNormalDoubleSpacing"/>
        <w:spacing w:before="480" w:after="480"/>
        <w:rPr>
          <w:lang w:val="fr-CA"/>
        </w:rPr>
      </w:pPr>
      <w:r w:rsidRPr="000E37EE">
        <w:rPr>
          <w:lang w:val="fr-CA"/>
        </w:rPr>
        <w:tab/>
        <w:t>L</w:t>
      </w:r>
      <w:r w:rsidR="004E1DF1" w:rsidRPr="000E37EE">
        <w:rPr>
          <w:lang w:val="fr-CA"/>
        </w:rPr>
        <w:t>’</w:t>
      </w:r>
      <w:r w:rsidRPr="000E37EE">
        <w:rPr>
          <w:lang w:val="fr-CA"/>
        </w:rPr>
        <w:t>obligation d</w:t>
      </w:r>
      <w:r w:rsidR="004E1DF1" w:rsidRPr="000E37EE">
        <w:rPr>
          <w:lang w:val="fr-CA"/>
        </w:rPr>
        <w:t>’</w:t>
      </w:r>
      <w:r w:rsidRPr="000E37EE">
        <w:rPr>
          <w:lang w:val="fr-CA"/>
        </w:rPr>
        <w:t>accommodement dans des cas comme celui en l</w:t>
      </w:r>
      <w:r w:rsidR="004E1DF1" w:rsidRPr="000E37EE">
        <w:rPr>
          <w:lang w:val="fr-CA"/>
        </w:rPr>
        <w:t>’</w:t>
      </w:r>
      <w:r w:rsidRPr="000E37EE">
        <w:rPr>
          <w:lang w:val="fr-CA"/>
        </w:rPr>
        <w:t>espèce n</w:t>
      </w:r>
      <w:r w:rsidR="004E1DF1" w:rsidRPr="000E37EE">
        <w:rPr>
          <w:lang w:val="fr-CA"/>
        </w:rPr>
        <w:t>’</w:t>
      </w:r>
      <w:r w:rsidRPr="000E37EE">
        <w:rPr>
          <w:lang w:val="fr-CA"/>
        </w:rPr>
        <w:t>oblige pas l</w:t>
      </w:r>
      <w:r w:rsidR="004E1DF1" w:rsidRPr="000E37EE">
        <w:rPr>
          <w:lang w:val="fr-CA"/>
        </w:rPr>
        <w:t>’</w:t>
      </w:r>
      <w:r w:rsidRPr="000E37EE">
        <w:rPr>
          <w:lang w:val="fr-CA"/>
        </w:rPr>
        <w:t>employeur à créer de toutes pièces un nouveau poste pour l</w:t>
      </w:r>
      <w:r w:rsidR="004E1DF1" w:rsidRPr="000E37EE">
        <w:rPr>
          <w:lang w:val="fr-CA"/>
        </w:rPr>
        <w:t>’</w:t>
      </w:r>
      <w:r w:rsidRPr="000E37EE">
        <w:rPr>
          <w:lang w:val="fr-CA"/>
        </w:rPr>
        <w:t>employé atteint d</w:t>
      </w:r>
      <w:r w:rsidR="004E1DF1" w:rsidRPr="000E37EE">
        <w:rPr>
          <w:lang w:val="fr-CA"/>
        </w:rPr>
        <w:t>’</w:t>
      </w:r>
      <w:r w:rsidRPr="000E37EE">
        <w:rPr>
          <w:lang w:val="fr-CA"/>
        </w:rPr>
        <w:t>une invalidité. Il ne s</w:t>
      </w:r>
      <w:r w:rsidR="004E1DF1" w:rsidRPr="000E37EE">
        <w:rPr>
          <w:lang w:val="fr-CA"/>
        </w:rPr>
        <w:t>’</w:t>
      </w:r>
      <w:r w:rsidRPr="000E37EE">
        <w:rPr>
          <w:lang w:val="fr-CA"/>
        </w:rPr>
        <w:t>agirait pas d</w:t>
      </w:r>
      <w:r w:rsidR="004E1DF1" w:rsidRPr="000E37EE">
        <w:rPr>
          <w:lang w:val="fr-CA"/>
        </w:rPr>
        <w:t>’</w:t>
      </w:r>
      <w:r w:rsidRPr="000E37EE">
        <w:rPr>
          <w:lang w:val="fr-CA"/>
        </w:rPr>
        <w:t>un accommodement raisonnable</w:t>
      </w:r>
      <w:r w:rsidRPr="000E37EE">
        <w:rPr>
          <w:i/>
          <w:lang w:val="fr-CA"/>
        </w:rPr>
        <w:t>.</w:t>
      </w:r>
      <w:r w:rsidRPr="000E37EE">
        <w:rPr>
          <w:lang w:val="fr-CA"/>
        </w:rPr>
        <w:t xml:space="preserve"> Elle signifie plutôt que, lorsque l</w:t>
      </w:r>
      <w:r w:rsidR="004E1DF1" w:rsidRPr="000E37EE">
        <w:rPr>
          <w:lang w:val="fr-CA"/>
        </w:rPr>
        <w:t>’</w:t>
      </w:r>
      <w:r w:rsidRPr="000E37EE">
        <w:rPr>
          <w:lang w:val="fr-CA"/>
        </w:rPr>
        <w:t>employeur examine les postes disponibles, il doit à la fois se demander s</w:t>
      </w:r>
      <w:r w:rsidR="004E1DF1" w:rsidRPr="000E37EE">
        <w:rPr>
          <w:lang w:val="fr-CA"/>
        </w:rPr>
        <w:t>’</w:t>
      </w:r>
      <w:r w:rsidRPr="000E37EE">
        <w:rPr>
          <w:lang w:val="fr-CA"/>
        </w:rPr>
        <w:t xml:space="preserve">il a un emploi convenable au sens de la </w:t>
      </w:r>
      <w:r w:rsidRPr="000E37EE">
        <w:rPr>
          <w:i/>
          <w:lang w:val="fr-CA"/>
        </w:rPr>
        <w:t>Loi</w:t>
      </w:r>
      <w:r w:rsidRPr="000E37EE">
        <w:rPr>
          <w:lang w:val="fr-CA"/>
        </w:rPr>
        <w:t xml:space="preserve"> et ce que les obligations que lui impose la </w:t>
      </w:r>
      <w:r w:rsidRPr="000E37EE">
        <w:rPr>
          <w:i/>
          <w:lang w:val="fr-CA"/>
        </w:rPr>
        <w:t xml:space="preserve">Charte </w:t>
      </w:r>
      <w:r w:rsidRPr="000E37EE">
        <w:rPr>
          <w:lang w:val="fr-CA"/>
        </w:rPr>
        <w:t>exigent sur le plan de la souplesse dans l</w:t>
      </w:r>
      <w:r w:rsidR="004E1DF1" w:rsidRPr="000E37EE">
        <w:rPr>
          <w:lang w:val="fr-CA"/>
        </w:rPr>
        <w:t>’</w:t>
      </w:r>
      <w:r w:rsidRPr="000E37EE">
        <w:rPr>
          <w:lang w:val="fr-CA"/>
        </w:rPr>
        <w:t>application des normes d</w:t>
      </w:r>
      <w:r w:rsidR="004E1DF1" w:rsidRPr="000E37EE">
        <w:rPr>
          <w:lang w:val="fr-CA"/>
        </w:rPr>
        <w:t>’</w:t>
      </w:r>
      <w:r w:rsidRPr="000E37EE">
        <w:rPr>
          <w:lang w:val="fr-CA"/>
        </w:rPr>
        <w:t>emploi. Si ce qui empêche un poste d</w:t>
      </w:r>
      <w:r w:rsidR="004E1DF1" w:rsidRPr="000E37EE">
        <w:rPr>
          <w:lang w:val="fr-CA"/>
        </w:rPr>
        <w:t>’</w:t>
      </w:r>
      <w:r w:rsidRPr="000E37EE">
        <w:rPr>
          <w:lang w:val="fr-CA"/>
        </w:rPr>
        <w:t>être convenable tient à un accommodement raisonnable (sans qu</w:t>
      </w:r>
      <w:r w:rsidR="004E1DF1" w:rsidRPr="000E37EE">
        <w:rPr>
          <w:lang w:val="fr-CA"/>
        </w:rPr>
        <w:t>’</w:t>
      </w:r>
      <w:r w:rsidRPr="000E37EE">
        <w:rPr>
          <w:lang w:val="fr-CA"/>
        </w:rPr>
        <w:t>il n</w:t>
      </w:r>
      <w:r w:rsidR="004E1DF1" w:rsidRPr="000E37EE">
        <w:rPr>
          <w:lang w:val="fr-CA"/>
        </w:rPr>
        <w:t>’</w:t>
      </w:r>
      <w:r w:rsidRPr="000E37EE">
        <w:rPr>
          <w:lang w:val="fr-CA"/>
        </w:rPr>
        <w:t>en résulte pour l</w:t>
      </w:r>
      <w:r w:rsidR="004E1DF1" w:rsidRPr="000E37EE">
        <w:rPr>
          <w:lang w:val="fr-CA"/>
        </w:rPr>
        <w:t>’</w:t>
      </w:r>
      <w:r w:rsidRPr="000E37EE">
        <w:rPr>
          <w:lang w:val="fr-CA"/>
        </w:rPr>
        <w:t xml:space="preserve">employeur une contrainte excessive), la </w:t>
      </w:r>
      <w:r w:rsidRPr="000E37EE">
        <w:rPr>
          <w:i/>
          <w:lang w:val="fr-CA"/>
        </w:rPr>
        <w:t>Charte</w:t>
      </w:r>
      <w:r w:rsidRPr="000E37EE">
        <w:rPr>
          <w:lang w:val="fr-CA"/>
        </w:rPr>
        <w:t xml:space="preserve"> oblige l</w:t>
      </w:r>
      <w:r w:rsidR="004E1DF1" w:rsidRPr="000E37EE">
        <w:rPr>
          <w:lang w:val="fr-CA"/>
        </w:rPr>
        <w:t>’</w:t>
      </w:r>
      <w:r w:rsidRPr="000E37EE">
        <w:rPr>
          <w:lang w:val="fr-CA"/>
        </w:rPr>
        <w:t>employeur à prendre les mesures qui s</w:t>
      </w:r>
      <w:r w:rsidR="004E1DF1" w:rsidRPr="000E37EE">
        <w:rPr>
          <w:lang w:val="fr-CA"/>
        </w:rPr>
        <w:t>’</w:t>
      </w:r>
      <w:r w:rsidRPr="000E37EE">
        <w:rPr>
          <w:lang w:val="fr-CA"/>
        </w:rPr>
        <w:t>imposent pour accommoder le travailleur atteint d</w:t>
      </w:r>
      <w:r w:rsidR="004E1DF1" w:rsidRPr="000E37EE">
        <w:rPr>
          <w:lang w:val="fr-CA"/>
        </w:rPr>
        <w:t>’</w:t>
      </w:r>
      <w:r w:rsidRPr="000E37EE">
        <w:rPr>
          <w:lang w:val="fr-CA"/>
        </w:rPr>
        <w:t xml:space="preserve">une invalidité. </w:t>
      </w:r>
    </w:p>
    <w:p w:rsidR="00AE02FC" w:rsidRPr="000E37EE" w:rsidRDefault="00AE02FC" w:rsidP="00FB7DE8">
      <w:pPr>
        <w:pStyle w:val="SCCNormalDoubleSpacing"/>
        <w:spacing w:before="480" w:after="480"/>
        <w:rPr>
          <w:lang w:val="fr-CA"/>
        </w:rPr>
      </w:pPr>
      <w:r w:rsidRPr="000E37EE">
        <w:rPr>
          <w:lang w:val="fr-CA"/>
        </w:rPr>
        <w:tab/>
        <w:t>La décision contrôlée en l</w:t>
      </w:r>
      <w:r w:rsidR="004E1DF1" w:rsidRPr="000E37EE">
        <w:rPr>
          <w:lang w:val="fr-CA"/>
        </w:rPr>
        <w:t>’</w:t>
      </w:r>
      <w:r w:rsidRPr="000E37EE">
        <w:rPr>
          <w:lang w:val="fr-CA"/>
        </w:rPr>
        <w:t>espèce est celle de la CLP affirmant qu</w:t>
      </w:r>
      <w:r w:rsidR="004E1DF1" w:rsidRPr="000E37EE">
        <w:rPr>
          <w:lang w:val="fr-CA"/>
        </w:rPr>
        <w:t>’</w:t>
      </w:r>
      <w:r w:rsidRPr="000E37EE">
        <w:rPr>
          <w:lang w:val="fr-CA"/>
        </w:rPr>
        <w:t xml:space="preserve">elle ne pouvait accorder à C une réparation fondée sur la </w:t>
      </w:r>
      <w:r w:rsidRPr="000E37EE">
        <w:rPr>
          <w:i/>
          <w:lang w:val="fr-CA"/>
        </w:rPr>
        <w:t>Charte</w:t>
      </w:r>
      <w:r w:rsidRPr="000E37EE">
        <w:rPr>
          <w:lang w:val="fr-CA"/>
        </w:rPr>
        <w:t>. Vu l</w:t>
      </w:r>
      <w:r w:rsidR="004E1DF1" w:rsidRPr="000E37EE">
        <w:rPr>
          <w:lang w:val="fr-CA"/>
        </w:rPr>
        <w:t>’</w:t>
      </w:r>
      <w:r w:rsidRPr="000E37EE">
        <w:rPr>
          <w:lang w:val="fr-CA"/>
        </w:rPr>
        <w:t>importance que revêt cette question pour le système juridique, notamment le régime de justice administrative, la norme de contrôle applicable est celle de la décision correcte. L</w:t>
      </w:r>
      <w:r w:rsidR="004E1DF1" w:rsidRPr="000E37EE">
        <w:rPr>
          <w:lang w:val="fr-CA"/>
        </w:rPr>
        <w:t>’</w:t>
      </w:r>
      <w:r w:rsidRPr="000E37EE">
        <w:rPr>
          <w:lang w:val="fr-CA"/>
        </w:rPr>
        <w:t xml:space="preserve">affirmation de la </w:t>
      </w:r>
      <w:r w:rsidRPr="000E37EE">
        <w:rPr>
          <w:lang w:val="fr-CA"/>
        </w:rPr>
        <w:lastRenderedPageBreak/>
        <w:t xml:space="preserve">CLP selon laquelle la </w:t>
      </w:r>
      <w:r w:rsidRPr="000E37EE">
        <w:rPr>
          <w:i/>
          <w:lang w:val="fr-CA"/>
        </w:rPr>
        <w:t>Loi</w:t>
      </w:r>
      <w:r w:rsidRPr="000E37EE">
        <w:rPr>
          <w:lang w:val="fr-CA"/>
        </w:rPr>
        <w:t xml:space="preserve"> représente la pleine étendue de l</w:t>
      </w:r>
      <w:r w:rsidR="004E1DF1" w:rsidRPr="000E37EE">
        <w:rPr>
          <w:lang w:val="fr-CA"/>
        </w:rPr>
        <w:t>’</w:t>
      </w:r>
      <w:r w:rsidRPr="000E37EE">
        <w:rPr>
          <w:lang w:val="fr-CA"/>
        </w:rPr>
        <w:t>obligation d</w:t>
      </w:r>
      <w:r w:rsidR="004E1DF1" w:rsidRPr="000E37EE">
        <w:rPr>
          <w:lang w:val="fr-CA"/>
        </w:rPr>
        <w:t>’</w:t>
      </w:r>
      <w:r w:rsidRPr="000E37EE">
        <w:rPr>
          <w:lang w:val="fr-CA"/>
        </w:rPr>
        <w:t>accommodement d</w:t>
      </w:r>
      <w:r w:rsidR="004E1DF1" w:rsidRPr="000E37EE">
        <w:rPr>
          <w:lang w:val="fr-CA"/>
        </w:rPr>
        <w:t>’</w:t>
      </w:r>
      <w:r w:rsidRPr="000E37EE">
        <w:rPr>
          <w:lang w:val="fr-CA"/>
        </w:rPr>
        <w:t xml:space="preserve">un employeur était donc incorrecte en ce que la CLP avait le pouvoir et le devoir de donner effet aux droits que la </w:t>
      </w:r>
      <w:r w:rsidRPr="000E37EE">
        <w:rPr>
          <w:i/>
          <w:lang w:val="fr-CA"/>
        </w:rPr>
        <w:t xml:space="preserve">Charte </w:t>
      </w:r>
      <w:r w:rsidRPr="000E37EE">
        <w:rPr>
          <w:lang w:val="fr-CA"/>
        </w:rPr>
        <w:t>garantit à C, ainsi qu</w:t>
      </w:r>
      <w:r w:rsidR="004E1DF1" w:rsidRPr="000E37EE">
        <w:rPr>
          <w:lang w:val="fr-CA"/>
        </w:rPr>
        <w:t>’</w:t>
      </w:r>
      <w:r w:rsidRPr="000E37EE">
        <w:rPr>
          <w:lang w:val="fr-CA"/>
        </w:rPr>
        <w:t xml:space="preserve">à ceux que lui confère la </w:t>
      </w:r>
      <w:r w:rsidRPr="000E37EE">
        <w:rPr>
          <w:i/>
          <w:lang w:val="fr-CA"/>
        </w:rPr>
        <w:t>Loi.</w:t>
      </w:r>
    </w:p>
    <w:p w:rsidR="00AE02FC" w:rsidRPr="000E37EE" w:rsidRDefault="00AE02FC" w:rsidP="00FB7DE8">
      <w:pPr>
        <w:pStyle w:val="SCCNormalDoubleSpacing"/>
        <w:spacing w:before="480" w:after="480"/>
        <w:rPr>
          <w:lang w:val="fr-CA"/>
        </w:rPr>
      </w:pPr>
      <w:r w:rsidRPr="000E37EE">
        <w:rPr>
          <w:lang w:val="fr-CA"/>
        </w:rPr>
        <w:tab/>
        <w:t>La Cour a établi une démarche à deux volets pour décider si un tribunal administratif a compétence pour accorder diverses répar</w:t>
      </w:r>
      <w:r w:rsidR="005A16F8" w:rsidRPr="000E37EE">
        <w:rPr>
          <w:lang w:val="fr-CA"/>
        </w:rPr>
        <w:t xml:space="preserve">ations sur le fondement du </w:t>
      </w:r>
      <w:r w:rsidR="00FB7DE8" w:rsidRPr="000E37EE">
        <w:rPr>
          <w:lang w:val="fr-CA"/>
        </w:rPr>
        <w:t>par. </w:t>
      </w:r>
      <w:r w:rsidRPr="000E37EE">
        <w:rPr>
          <w:lang w:val="fr-CA"/>
        </w:rPr>
        <w:t xml:space="preserve">24(1) de la </w:t>
      </w:r>
      <w:r w:rsidRPr="000E37EE">
        <w:rPr>
          <w:i/>
          <w:lang w:val="fr-CA"/>
        </w:rPr>
        <w:t xml:space="preserve">Charte </w:t>
      </w:r>
      <w:r w:rsidRPr="000E37EE">
        <w:rPr>
          <w:lang w:val="fr-CA"/>
        </w:rPr>
        <w:t>canadienne. Le premier angle est institutionnel</w:t>
      </w:r>
      <w:r w:rsidR="00FB7DE8" w:rsidRPr="000E37EE">
        <w:rPr>
          <w:lang w:val="fr-CA"/>
        </w:rPr>
        <w:t> :</w:t>
      </w:r>
      <w:r w:rsidRPr="000E37EE">
        <w:rPr>
          <w:lang w:val="fr-CA"/>
        </w:rPr>
        <w:t xml:space="preserve"> le tribunal a</w:t>
      </w:r>
      <w:r w:rsidR="00FB7DE8" w:rsidRPr="000E37EE">
        <w:rPr>
          <w:lang w:val="fr-CA"/>
        </w:rPr>
        <w:noBreakHyphen/>
      </w:r>
      <w:r w:rsidRPr="000E37EE">
        <w:rPr>
          <w:lang w:val="fr-CA"/>
        </w:rPr>
        <w:t>t</w:t>
      </w:r>
      <w:r w:rsidR="00FB7DE8" w:rsidRPr="000E37EE">
        <w:rPr>
          <w:lang w:val="fr-CA"/>
        </w:rPr>
        <w:noBreakHyphen/>
      </w:r>
      <w:r w:rsidRPr="000E37EE">
        <w:rPr>
          <w:lang w:val="fr-CA"/>
        </w:rPr>
        <w:t>il le pouvoir d</w:t>
      </w:r>
      <w:r w:rsidR="004E1DF1" w:rsidRPr="000E37EE">
        <w:rPr>
          <w:lang w:val="fr-CA"/>
        </w:rPr>
        <w:t>’</w:t>
      </w:r>
      <w:r w:rsidRPr="000E37EE">
        <w:rPr>
          <w:lang w:val="fr-CA"/>
        </w:rPr>
        <w:t xml:space="preserve">accorder une réparation fondée sur la </w:t>
      </w:r>
      <w:r w:rsidRPr="000E37EE">
        <w:rPr>
          <w:i/>
          <w:lang w:val="fr-CA"/>
        </w:rPr>
        <w:t>Charte</w:t>
      </w:r>
      <w:r w:rsidRPr="000E37EE">
        <w:rPr>
          <w:lang w:val="fr-CA"/>
        </w:rPr>
        <w:t>? Si le tribunal peut trancher des questions de droit, la réponse à cette question est « oui ». Le second angle est propre à la réparation demandée</w:t>
      </w:r>
      <w:r w:rsidR="00FB7DE8" w:rsidRPr="000E37EE">
        <w:rPr>
          <w:lang w:val="fr-CA"/>
        </w:rPr>
        <w:t> :</w:t>
      </w:r>
      <w:r w:rsidRPr="000E37EE">
        <w:rPr>
          <w:lang w:val="fr-CA"/>
        </w:rPr>
        <w:t xml:space="preserve"> le tribunal peut</w:t>
      </w:r>
      <w:r w:rsidR="00FB7DE8" w:rsidRPr="000E37EE">
        <w:rPr>
          <w:lang w:val="fr-CA"/>
        </w:rPr>
        <w:noBreakHyphen/>
      </w:r>
      <w:r w:rsidRPr="000E37EE">
        <w:rPr>
          <w:lang w:val="fr-CA"/>
        </w:rPr>
        <w:t>il accorder la réparation demandée compte tenu de son mandat légal? Cette question s</w:t>
      </w:r>
      <w:r w:rsidR="004E1DF1" w:rsidRPr="000E37EE">
        <w:rPr>
          <w:lang w:val="fr-CA"/>
        </w:rPr>
        <w:t>’</w:t>
      </w:r>
      <w:r w:rsidRPr="000E37EE">
        <w:rPr>
          <w:lang w:val="fr-CA"/>
        </w:rPr>
        <w:t>attache à l</w:t>
      </w:r>
      <w:r w:rsidR="004E1DF1" w:rsidRPr="000E37EE">
        <w:rPr>
          <w:lang w:val="fr-CA"/>
        </w:rPr>
        <w:t>’</w:t>
      </w:r>
      <w:r w:rsidRPr="000E37EE">
        <w:rPr>
          <w:lang w:val="fr-CA"/>
        </w:rPr>
        <w:t xml:space="preserve">intention du législateur. Bien que ce cadre ait été énoncé dans le contexte de la </w:t>
      </w:r>
      <w:r w:rsidRPr="000E37EE">
        <w:rPr>
          <w:i/>
          <w:lang w:val="fr-CA"/>
        </w:rPr>
        <w:t>Charte</w:t>
      </w:r>
      <w:r w:rsidRPr="000E37EE">
        <w:rPr>
          <w:lang w:val="fr-CA"/>
        </w:rPr>
        <w:t xml:space="preserve"> canadienne, je ne vois pas pourquoi le raisonnement qui le sous</w:t>
      </w:r>
      <w:r w:rsidR="00FB7DE8" w:rsidRPr="000E37EE">
        <w:rPr>
          <w:lang w:val="fr-CA"/>
        </w:rPr>
        <w:noBreakHyphen/>
      </w:r>
      <w:r w:rsidRPr="000E37EE">
        <w:rPr>
          <w:lang w:val="fr-CA"/>
        </w:rPr>
        <w:t>tend ne devrait pas s</w:t>
      </w:r>
      <w:r w:rsidR="004E1DF1" w:rsidRPr="000E37EE">
        <w:rPr>
          <w:lang w:val="fr-CA"/>
        </w:rPr>
        <w:t>’</w:t>
      </w:r>
      <w:r w:rsidRPr="000E37EE">
        <w:rPr>
          <w:lang w:val="fr-CA"/>
        </w:rPr>
        <w:t xml:space="preserve">appliquer lui aussi à la </w:t>
      </w:r>
      <w:r w:rsidRPr="000E37EE">
        <w:rPr>
          <w:i/>
          <w:lang w:val="fr-CA"/>
        </w:rPr>
        <w:t>Charte</w:t>
      </w:r>
      <w:r w:rsidRPr="000E37EE">
        <w:rPr>
          <w:lang w:val="fr-CA"/>
        </w:rPr>
        <w:t xml:space="preserve"> québécoise.</w:t>
      </w:r>
    </w:p>
    <w:p w:rsidR="00AE02FC" w:rsidRPr="000E37EE" w:rsidRDefault="00AE02FC" w:rsidP="00FB7DE8">
      <w:pPr>
        <w:pStyle w:val="SCCNormalDoubleSpacing"/>
        <w:spacing w:before="480" w:after="480"/>
        <w:rPr>
          <w:lang w:val="fr-CA"/>
        </w:rPr>
      </w:pPr>
      <w:r w:rsidRPr="000E37EE">
        <w:rPr>
          <w:lang w:val="fr-CA"/>
        </w:rPr>
        <w:tab/>
        <w:t>Dans l</w:t>
      </w:r>
      <w:r w:rsidR="004E1DF1" w:rsidRPr="000E37EE">
        <w:rPr>
          <w:lang w:val="fr-CA"/>
        </w:rPr>
        <w:t>’</w:t>
      </w:r>
      <w:r w:rsidRPr="000E37EE">
        <w:rPr>
          <w:lang w:val="fr-CA"/>
        </w:rPr>
        <w:t xml:space="preserve">accomplissement de son mandat légal, la CLP avait (et le Tribunal administratif du travail a désormais) compétence pour accorder des réparations fondées sur la </w:t>
      </w:r>
      <w:r w:rsidRPr="000E37EE">
        <w:rPr>
          <w:i/>
          <w:lang w:val="fr-CA"/>
        </w:rPr>
        <w:t>Charte</w:t>
      </w:r>
      <w:r w:rsidRPr="000E37EE">
        <w:rPr>
          <w:lang w:val="fr-CA"/>
        </w:rPr>
        <w:t>, y compris la réparation demandée en l</w:t>
      </w:r>
      <w:r w:rsidR="004E1DF1" w:rsidRPr="000E37EE">
        <w:rPr>
          <w:lang w:val="fr-CA"/>
        </w:rPr>
        <w:t>’</w:t>
      </w:r>
      <w:r w:rsidRPr="000E37EE">
        <w:rPr>
          <w:lang w:val="fr-CA"/>
        </w:rPr>
        <w:t>espèce, soit une ordonnance enjoignant à l</w:t>
      </w:r>
      <w:r w:rsidR="004E1DF1" w:rsidRPr="000E37EE">
        <w:rPr>
          <w:lang w:val="fr-CA"/>
        </w:rPr>
        <w:t>’</w:t>
      </w:r>
      <w:r w:rsidRPr="000E37EE">
        <w:rPr>
          <w:lang w:val="fr-CA"/>
        </w:rPr>
        <w:t>employeur d</w:t>
      </w:r>
      <w:r w:rsidR="004E1DF1" w:rsidRPr="000E37EE">
        <w:rPr>
          <w:lang w:val="fr-CA"/>
        </w:rPr>
        <w:t>’</w:t>
      </w:r>
      <w:r w:rsidRPr="000E37EE">
        <w:rPr>
          <w:lang w:val="fr-CA"/>
        </w:rPr>
        <w:t>accommoder C au moment de déterminer s</w:t>
      </w:r>
      <w:r w:rsidR="004E1DF1" w:rsidRPr="000E37EE">
        <w:rPr>
          <w:lang w:val="fr-CA"/>
        </w:rPr>
        <w:t>’</w:t>
      </w:r>
      <w:r w:rsidRPr="000E37EE">
        <w:rPr>
          <w:lang w:val="fr-CA"/>
        </w:rPr>
        <w:t>il a un emploi convenable</w:t>
      </w:r>
      <w:r w:rsidR="00660C38">
        <w:rPr>
          <w:lang w:val="fr-CA"/>
        </w:rPr>
        <w:t xml:space="preserve"> à lui offrir</w:t>
      </w:r>
      <w:r w:rsidRPr="000E37EE">
        <w:rPr>
          <w:lang w:val="fr-CA"/>
        </w:rPr>
        <w:t>. En effet, la CLP était expressément investie du pouvoir de trancher des questions de droit et la réparation demandée en l</w:t>
      </w:r>
      <w:r w:rsidR="004E1DF1" w:rsidRPr="000E37EE">
        <w:rPr>
          <w:lang w:val="fr-CA"/>
        </w:rPr>
        <w:t>’</w:t>
      </w:r>
      <w:r w:rsidRPr="000E37EE">
        <w:rPr>
          <w:lang w:val="fr-CA"/>
        </w:rPr>
        <w:t xml:space="preserve">espèce relève des </w:t>
      </w:r>
      <w:r w:rsidRPr="000E37EE">
        <w:rPr>
          <w:lang w:val="fr-CA"/>
        </w:rPr>
        <w:lastRenderedPageBreak/>
        <w:t>pouvoirs qui lui ont été conférés. Par conséquent, la CLP a eu tort de décider que les pouvoirs dont le législateur l</w:t>
      </w:r>
      <w:r w:rsidR="004E1DF1" w:rsidRPr="000E37EE">
        <w:rPr>
          <w:lang w:val="fr-CA"/>
        </w:rPr>
        <w:t>’</w:t>
      </w:r>
      <w:r w:rsidRPr="000E37EE">
        <w:rPr>
          <w:lang w:val="fr-CA"/>
        </w:rPr>
        <w:t>a investie ne l</w:t>
      </w:r>
      <w:r w:rsidR="004E1DF1" w:rsidRPr="000E37EE">
        <w:rPr>
          <w:lang w:val="fr-CA"/>
        </w:rPr>
        <w:t>’</w:t>
      </w:r>
      <w:r w:rsidRPr="000E37EE">
        <w:rPr>
          <w:lang w:val="fr-CA"/>
        </w:rPr>
        <w:t>autorisaient pas à trancher cette question.</w:t>
      </w:r>
    </w:p>
    <w:p w:rsidR="004D7D95" w:rsidRPr="000E37EE" w:rsidRDefault="004D7D95" w:rsidP="00FB7DE8">
      <w:pPr>
        <w:pStyle w:val="SCCNormalDoubleSpacing"/>
        <w:spacing w:after="720" w:line="240" w:lineRule="auto"/>
        <w:rPr>
          <w:b/>
          <w:lang w:val="fr-CA"/>
        </w:rPr>
      </w:pPr>
      <w:r w:rsidRPr="000E37EE">
        <w:rPr>
          <w:b/>
          <w:lang w:val="fr-CA"/>
        </w:rPr>
        <w:t>Jurisprudence</w:t>
      </w:r>
    </w:p>
    <w:p w:rsidR="00FA1865" w:rsidRPr="000E37EE" w:rsidRDefault="00FA1865" w:rsidP="00FB7DE8">
      <w:pPr>
        <w:pStyle w:val="SCCNormalDoubleSpacing"/>
        <w:spacing w:after="720" w:line="240" w:lineRule="auto"/>
        <w:rPr>
          <w:lang w:val="fr-CA"/>
        </w:rPr>
      </w:pPr>
      <w:r w:rsidRPr="000E37EE">
        <w:rPr>
          <w:lang w:val="fr-CA"/>
        </w:rPr>
        <w:t>Citée par la juge Abella</w:t>
      </w:r>
    </w:p>
    <w:p w:rsidR="004D7D95" w:rsidRPr="000E37EE" w:rsidRDefault="004D7D95" w:rsidP="00FB7DE8">
      <w:pPr>
        <w:pStyle w:val="SCCNormalDoubleSpacing"/>
        <w:spacing w:before="480" w:after="480"/>
        <w:rPr>
          <w:lang w:val="fr-CA"/>
        </w:rPr>
      </w:pPr>
      <w:r w:rsidRPr="000E37EE">
        <w:rPr>
          <w:lang w:val="fr-CA"/>
        </w:rPr>
        <w:tab/>
      </w:r>
      <w:r w:rsidR="00055BAC" w:rsidRPr="000E37EE">
        <w:rPr>
          <w:b/>
          <w:lang w:val="fr-CA"/>
        </w:rPr>
        <w:t xml:space="preserve">Arrêt appliqué : </w:t>
      </w:r>
      <w:r w:rsidR="00055BAC" w:rsidRPr="000E37EE">
        <w:rPr>
          <w:i/>
          <w:lang w:val="fr-CA"/>
        </w:rPr>
        <w:t>Québec (Commission des droits de la personne et des droits de la jeunesse) c. Communauté urbaine de Montréal</w:t>
      </w:r>
      <w:r w:rsidR="00055BAC" w:rsidRPr="000E37EE">
        <w:rPr>
          <w:lang w:val="fr-CA"/>
        </w:rPr>
        <w:t xml:space="preserve">, 2004 CSC 30, [2004] 1 R.C.S. 789; </w:t>
      </w:r>
      <w:r w:rsidR="00055BAC" w:rsidRPr="000E37EE">
        <w:rPr>
          <w:b/>
          <w:lang w:val="fr-CA"/>
        </w:rPr>
        <w:t xml:space="preserve">arrêts </w:t>
      </w:r>
      <w:r w:rsidRPr="000E37EE">
        <w:rPr>
          <w:b/>
          <w:lang w:val="fr-CA"/>
        </w:rPr>
        <w:t>mentionnés</w:t>
      </w:r>
      <w:r w:rsidR="00FB7DE8" w:rsidRPr="000E37EE">
        <w:rPr>
          <w:b/>
          <w:lang w:val="fr-CA"/>
        </w:rPr>
        <w:t> :</w:t>
      </w:r>
      <w:r w:rsidRPr="000E37EE">
        <w:rPr>
          <w:lang w:val="fr-CA"/>
        </w:rPr>
        <w:t xml:space="preserve"> </w:t>
      </w:r>
      <w:r w:rsidR="00E61E76" w:rsidRPr="000E37EE">
        <w:rPr>
          <w:i/>
          <w:lang w:val="fr-CA"/>
        </w:rPr>
        <w:t>Société des établissements de plein air du Québec c. Syndicat de la fonction publique du Québec</w:t>
      </w:r>
      <w:r w:rsidR="00E61E76" w:rsidRPr="000E37EE">
        <w:rPr>
          <w:lang w:val="fr-CA"/>
        </w:rPr>
        <w:t xml:space="preserve">, 2009 QCCA 329; </w:t>
      </w:r>
      <w:r w:rsidR="00E61E76" w:rsidRPr="000E37EE">
        <w:rPr>
          <w:i/>
          <w:lang w:val="fr-CA"/>
        </w:rPr>
        <w:t>Syndicat canadien des communications, de l</w:t>
      </w:r>
      <w:r w:rsidR="004E1DF1" w:rsidRPr="000E37EE">
        <w:rPr>
          <w:i/>
          <w:lang w:val="fr-CA"/>
        </w:rPr>
        <w:t>’</w:t>
      </w:r>
      <w:r w:rsidR="00E61E76" w:rsidRPr="000E37EE">
        <w:rPr>
          <w:i/>
          <w:lang w:val="fr-CA"/>
        </w:rPr>
        <w:t>énergie et du papier, section locale 427 c. Tembec, usine de Matane</w:t>
      </w:r>
      <w:r w:rsidR="00E61E76" w:rsidRPr="000E37EE">
        <w:rPr>
          <w:lang w:val="fr-CA"/>
        </w:rPr>
        <w:t xml:space="preserve">, 2012 QCCA 179; </w:t>
      </w:r>
      <w:bookmarkStart w:id="1" w:name="_Toc482971692"/>
      <w:r w:rsidR="00E61E76" w:rsidRPr="000E37EE">
        <w:rPr>
          <w:i/>
          <w:lang w:val="fr-CA"/>
        </w:rPr>
        <w:t>Béliveau St</w:t>
      </w:r>
      <w:r w:rsidR="00FB7DE8" w:rsidRPr="000E37EE">
        <w:rPr>
          <w:i/>
          <w:lang w:val="fr-CA"/>
        </w:rPr>
        <w:noBreakHyphen/>
      </w:r>
      <w:r w:rsidR="00E61E76" w:rsidRPr="000E37EE">
        <w:rPr>
          <w:i/>
          <w:lang w:val="fr-CA"/>
        </w:rPr>
        <w:t>Jacques c. Fédération des employées et employés de services publics inc</w:t>
      </w:r>
      <w:r w:rsidR="00E61E76" w:rsidRPr="000E37EE">
        <w:rPr>
          <w:lang w:val="fr-CA"/>
        </w:rPr>
        <w:t>., [1996] 2 R.C.S. 345</w:t>
      </w:r>
      <w:bookmarkEnd w:id="1"/>
      <w:r w:rsidR="00E61E76" w:rsidRPr="000E37EE">
        <w:rPr>
          <w:lang w:val="fr-CA"/>
        </w:rPr>
        <w:t>;</w:t>
      </w:r>
      <w:r w:rsidR="00970885" w:rsidRPr="000E37EE">
        <w:rPr>
          <w:i/>
          <w:lang w:val="fr-CA"/>
        </w:rPr>
        <w:t xml:space="preserve"> de Montigny c. Brossard (Succession)</w:t>
      </w:r>
      <w:r w:rsidR="00970885" w:rsidRPr="000E37EE">
        <w:rPr>
          <w:lang w:val="fr-CA"/>
        </w:rPr>
        <w:t>,</w:t>
      </w:r>
      <w:r w:rsidR="00970885" w:rsidRPr="000E37EE">
        <w:rPr>
          <w:i/>
          <w:lang w:val="fr-CA"/>
        </w:rPr>
        <w:t xml:space="preserve"> </w:t>
      </w:r>
      <w:r w:rsidR="00970885" w:rsidRPr="000E37EE">
        <w:rPr>
          <w:lang w:val="fr-CA"/>
        </w:rPr>
        <w:t xml:space="preserve">2010 CSC 51, [2010] 3 R.C.S. 64; </w:t>
      </w:r>
      <w:r w:rsidR="00970885" w:rsidRPr="000E37EE">
        <w:rPr>
          <w:i/>
          <w:lang w:val="fr-CA"/>
        </w:rPr>
        <w:t>Hydro</w:t>
      </w:r>
      <w:r w:rsidR="00FB7DE8" w:rsidRPr="000E37EE">
        <w:rPr>
          <w:i/>
          <w:lang w:val="fr-CA"/>
        </w:rPr>
        <w:noBreakHyphen/>
      </w:r>
      <w:r w:rsidR="00970885" w:rsidRPr="000E37EE">
        <w:rPr>
          <w:i/>
          <w:lang w:val="fr-CA"/>
        </w:rPr>
        <w:t>Québec c. Syndicat des employé</w:t>
      </w:r>
      <w:r w:rsidR="00FB7DE8" w:rsidRPr="000E37EE">
        <w:rPr>
          <w:i/>
          <w:lang w:val="fr-CA"/>
        </w:rPr>
        <w:noBreakHyphen/>
      </w:r>
      <w:r w:rsidR="00970885" w:rsidRPr="000E37EE">
        <w:rPr>
          <w:i/>
          <w:lang w:val="fr-CA"/>
        </w:rPr>
        <w:t>e</w:t>
      </w:r>
      <w:r w:rsidR="00FB7DE8" w:rsidRPr="000E37EE">
        <w:rPr>
          <w:i/>
          <w:lang w:val="fr-CA"/>
        </w:rPr>
        <w:noBreakHyphen/>
      </w:r>
      <w:r w:rsidR="00970885" w:rsidRPr="000E37EE">
        <w:rPr>
          <w:i/>
          <w:lang w:val="fr-CA"/>
        </w:rPr>
        <w:t>s de techniques professionnelles et de bureau d</w:t>
      </w:r>
      <w:r w:rsidR="004E1DF1" w:rsidRPr="000E37EE">
        <w:rPr>
          <w:i/>
          <w:lang w:val="fr-CA"/>
        </w:rPr>
        <w:t>’</w:t>
      </w:r>
      <w:r w:rsidR="00970885" w:rsidRPr="000E37EE">
        <w:rPr>
          <w:i/>
          <w:lang w:val="fr-CA"/>
        </w:rPr>
        <w:t>Hydro</w:t>
      </w:r>
      <w:r w:rsidR="00FB7DE8" w:rsidRPr="000E37EE">
        <w:rPr>
          <w:i/>
          <w:lang w:val="fr-CA"/>
        </w:rPr>
        <w:noBreakHyphen/>
      </w:r>
      <w:r w:rsidR="00970885" w:rsidRPr="000E37EE">
        <w:rPr>
          <w:i/>
          <w:lang w:val="fr-CA"/>
        </w:rPr>
        <w:t>Québec, section locale 2000 (SCFP</w:t>
      </w:r>
      <w:r w:rsidR="00FB7DE8" w:rsidRPr="000E37EE">
        <w:rPr>
          <w:i/>
          <w:lang w:val="fr-CA"/>
        </w:rPr>
        <w:noBreakHyphen/>
      </w:r>
      <w:r w:rsidR="00970885" w:rsidRPr="000E37EE">
        <w:rPr>
          <w:i/>
          <w:lang w:val="fr-CA"/>
        </w:rPr>
        <w:t>FTQ)</w:t>
      </w:r>
      <w:r w:rsidR="00970885" w:rsidRPr="000E37EE">
        <w:rPr>
          <w:lang w:val="fr-CA"/>
        </w:rPr>
        <w:t xml:space="preserve">, 2008 CSC 43, [2008] 2 R.C.S. 561; </w:t>
      </w:r>
      <w:r w:rsidR="00454306" w:rsidRPr="000E37EE">
        <w:rPr>
          <w:i/>
          <w:lang w:val="fr-CA"/>
        </w:rPr>
        <w:t>Québec (Commission des droits de la personne et des droits de la jeunesse) c. Montréal (Ville)</w:t>
      </w:r>
      <w:r w:rsidR="00454306" w:rsidRPr="000E37EE">
        <w:rPr>
          <w:lang w:val="fr-CA"/>
        </w:rPr>
        <w:t xml:space="preserve">, 2000 CSC 27, [2000] 1 R.C.S. 665; </w:t>
      </w:r>
      <w:r w:rsidR="00454306" w:rsidRPr="000E37EE">
        <w:rPr>
          <w:i/>
          <w:lang w:val="fr-CA"/>
        </w:rPr>
        <w:t>Commission scolaire régionale de Chambly c. Bergevin</w:t>
      </w:r>
      <w:r w:rsidR="00454306" w:rsidRPr="000E37EE">
        <w:rPr>
          <w:lang w:val="fr-CA"/>
        </w:rPr>
        <w:t xml:space="preserve">, [1994] 2 R.C.S. 525; </w:t>
      </w:r>
      <w:r w:rsidR="00F955E1" w:rsidRPr="000E37EE">
        <w:rPr>
          <w:i/>
          <w:lang w:val="fr-CA"/>
        </w:rPr>
        <w:t>Colombie</w:t>
      </w:r>
      <w:r w:rsidR="00FB7DE8" w:rsidRPr="000E37EE">
        <w:rPr>
          <w:i/>
          <w:lang w:val="fr-CA"/>
        </w:rPr>
        <w:noBreakHyphen/>
      </w:r>
      <w:r w:rsidR="00F955E1" w:rsidRPr="000E37EE">
        <w:rPr>
          <w:i/>
          <w:lang w:val="fr-CA"/>
        </w:rPr>
        <w:t>Britannique (Public Service Employee Relations Commission) c. BCGSEU</w:t>
      </w:r>
      <w:r w:rsidR="00F955E1" w:rsidRPr="000E37EE">
        <w:rPr>
          <w:lang w:val="fr-CA"/>
        </w:rPr>
        <w:t>, [1999] 3 R.C.S. 3;</w:t>
      </w:r>
      <w:r w:rsidR="009D4A02" w:rsidRPr="000E37EE">
        <w:rPr>
          <w:lang w:val="fr-CA"/>
        </w:rPr>
        <w:t xml:space="preserve"> </w:t>
      </w:r>
      <w:r w:rsidR="009D4A02" w:rsidRPr="000E37EE">
        <w:rPr>
          <w:i/>
          <w:lang w:val="fr-CA"/>
        </w:rPr>
        <w:t>Colombie</w:t>
      </w:r>
      <w:r w:rsidR="00FB7DE8" w:rsidRPr="000E37EE">
        <w:rPr>
          <w:i/>
          <w:lang w:val="fr-CA"/>
        </w:rPr>
        <w:noBreakHyphen/>
      </w:r>
      <w:r w:rsidR="009D4A02" w:rsidRPr="000E37EE">
        <w:rPr>
          <w:i/>
          <w:lang w:val="fr-CA"/>
        </w:rPr>
        <w:t>Britannique (Superintendent of Motor Vehicles) c. Colombie</w:t>
      </w:r>
      <w:r w:rsidR="00FB7DE8" w:rsidRPr="000E37EE">
        <w:rPr>
          <w:i/>
          <w:lang w:val="fr-CA"/>
        </w:rPr>
        <w:noBreakHyphen/>
      </w:r>
      <w:r w:rsidR="009D4A02" w:rsidRPr="000E37EE">
        <w:rPr>
          <w:i/>
          <w:lang w:val="fr-CA"/>
        </w:rPr>
        <w:t>Britannique (Council of Human Rights)</w:t>
      </w:r>
      <w:r w:rsidR="009D4A02" w:rsidRPr="000E37EE">
        <w:rPr>
          <w:lang w:val="fr-CA"/>
        </w:rPr>
        <w:t xml:space="preserve">, [1999] 3 R.C.S. 868; </w:t>
      </w:r>
      <w:r w:rsidR="00724F7D" w:rsidRPr="000E37EE">
        <w:rPr>
          <w:i/>
          <w:lang w:val="fr-CA"/>
        </w:rPr>
        <w:t>Conseil des Canadiens avec déficiences c. VIA Rail Canada Inc.</w:t>
      </w:r>
      <w:r w:rsidR="00724F7D" w:rsidRPr="000E37EE">
        <w:rPr>
          <w:lang w:val="fr-CA"/>
        </w:rPr>
        <w:t xml:space="preserve">, 2007 CSC 15, [2007] 1 R.C.S. 650; </w:t>
      </w:r>
      <w:r w:rsidR="0065533C" w:rsidRPr="000E37EE">
        <w:rPr>
          <w:i/>
          <w:lang w:val="fr-CA"/>
        </w:rPr>
        <w:t>Moore c. Colombie</w:t>
      </w:r>
      <w:r w:rsidR="00FB7DE8" w:rsidRPr="000E37EE">
        <w:rPr>
          <w:i/>
          <w:lang w:val="fr-CA"/>
        </w:rPr>
        <w:noBreakHyphen/>
      </w:r>
      <w:r w:rsidR="0065533C" w:rsidRPr="000E37EE">
        <w:rPr>
          <w:i/>
          <w:lang w:val="fr-CA"/>
        </w:rPr>
        <w:t>Britannique (Éducation)</w:t>
      </w:r>
      <w:r w:rsidR="0065533C" w:rsidRPr="000E37EE">
        <w:rPr>
          <w:lang w:val="fr-CA"/>
        </w:rPr>
        <w:t xml:space="preserve">, 2012 CSC </w:t>
      </w:r>
      <w:r w:rsidR="0065533C" w:rsidRPr="000E37EE">
        <w:rPr>
          <w:lang w:val="fr-CA"/>
        </w:rPr>
        <w:lastRenderedPageBreak/>
        <w:t>61, [2012] 3 R.C.S. 360;</w:t>
      </w:r>
      <w:r w:rsidR="009847E4" w:rsidRPr="000E37EE">
        <w:rPr>
          <w:lang w:val="fr-CA"/>
        </w:rPr>
        <w:t xml:space="preserve"> </w:t>
      </w:r>
      <w:r w:rsidR="009847E4" w:rsidRPr="000E37EE">
        <w:rPr>
          <w:i/>
          <w:lang w:val="fr-CA"/>
        </w:rPr>
        <w:t>Central Alberta Dairy Pool c. Alberta (Human Rights Commission)</w:t>
      </w:r>
      <w:r w:rsidR="009847E4" w:rsidRPr="000E37EE">
        <w:rPr>
          <w:lang w:val="fr-CA"/>
        </w:rPr>
        <w:t>, [1990] 2 R.C.S. 489;</w:t>
      </w:r>
      <w:r w:rsidR="00C362F0" w:rsidRPr="000E37EE">
        <w:rPr>
          <w:lang w:val="fr-CA"/>
        </w:rPr>
        <w:t xml:space="preserve"> </w:t>
      </w:r>
      <w:r w:rsidR="00C362F0" w:rsidRPr="000E37EE">
        <w:rPr>
          <w:i/>
          <w:lang w:val="fr-CA"/>
        </w:rPr>
        <w:t>Centre universitaire de santé McGill</w:t>
      </w:r>
      <w:r w:rsidR="003A694A" w:rsidRPr="000E37EE">
        <w:rPr>
          <w:i/>
          <w:lang w:val="fr-CA"/>
        </w:rPr>
        <w:t xml:space="preserve"> (Hôpital général de Montréal)</w:t>
      </w:r>
      <w:r w:rsidR="00C362F0" w:rsidRPr="000E37EE">
        <w:rPr>
          <w:i/>
          <w:lang w:val="fr-CA"/>
        </w:rPr>
        <w:t xml:space="preserve"> c. Syndicat des employés de l</w:t>
      </w:r>
      <w:r w:rsidR="004E1DF1" w:rsidRPr="000E37EE">
        <w:rPr>
          <w:i/>
          <w:lang w:val="fr-CA"/>
        </w:rPr>
        <w:t>’</w:t>
      </w:r>
      <w:r w:rsidR="00C362F0" w:rsidRPr="000E37EE">
        <w:rPr>
          <w:i/>
          <w:lang w:val="fr-CA"/>
        </w:rPr>
        <w:t>Hôpital général de Montréal</w:t>
      </w:r>
      <w:r w:rsidR="00C362F0" w:rsidRPr="000E37EE">
        <w:rPr>
          <w:lang w:val="fr-CA"/>
        </w:rPr>
        <w:t>, 2007 CSC 4, [2007]</w:t>
      </w:r>
      <w:r w:rsidR="0018271A" w:rsidRPr="000E37EE">
        <w:rPr>
          <w:lang w:val="fr-CA"/>
        </w:rPr>
        <w:t xml:space="preserve"> </w:t>
      </w:r>
      <w:r w:rsidR="00C362F0" w:rsidRPr="000E37EE">
        <w:rPr>
          <w:lang w:val="fr-CA"/>
        </w:rPr>
        <w:t>1 R.C.S. 161</w:t>
      </w:r>
      <w:r w:rsidR="0018271A" w:rsidRPr="000E37EE">
        <w:rPr>
          <w:lang w:val="fr-CA"/>
        </w:rPr>
        <w:t>;</w:t>
      </w:r>
      <w:r w:rsidR="009847E4" w:rsidRPr="000E37EE">
        <w:rPr>
          <w:lang w:val="fr-CA"/>
        </w:rPr>
        <w:t xml:space="preserve"> </w:t>
      </w:r>
      <w:r w:rsidR="002A7C49" w:rsidRPr="000E37EE">
        <w:rPr>
          <w:i/>
          <w:lang w:val="fr-CA"/>
        </w:rPr>
        <w:t>Stewart c. Elk Valley Coal Corp.</w:t>
      </w:r>
      <w:r w:rsidR="002A7C49" w:rsidRPr="000E37EE">
        <w:rPr>
          <w:lang w:val="fr-CA"/>
        </w:rPr>
        <w:t>, 2017 CSC 30</w:t>
      </w:r>
      <w:r w:rsidR="00806345" w:rsidRPr="000E37EE">
        <w:rPr>
          <w:lang w:val="fr-CA"/>
        </w:rPr>
        <w:t>, [2017] 1 R.C.S. 591</w:t>
      </w:r>
      <w:r w:rsidR="002A7C49" w:rsidRPr="000E37EE">
        <w:rPr>
          <w:lang w:val="fr-CA"/>
        </w:rPr>
        <w:t xml:space="preserve">; </w:t>
      </w:r>
      <w:r w:rsidR="002A7C49" w:rsidRPr="000E37EE">
        <w:rPr>
          <w:i/>
          <w:lang w:val="fr-CA"/>
        </w:rPr>
        <w:t>Québec (Commission des droits de la personne et des droits de la jeunesse) c. Bombardier Inc</w:t>
      </w:r>
      <w:r w:rsidR="002A7C49" w:rsidRPr="000E37EE">
        <w:rPr>
          <w:lang w:val="fr-CA"/>
        </w:rPr>
        <w:t xml:space="preserve">. </w:t>
      </w:r>
      <w:r w:rsidR="002A7C49" w:rsidRPr="000E37EE">
        <w:rPr>
          <w:i/>
          <w:lang w:val="fr-CA"/>
        </w:rPr>
        <w:t>(Bombardier Aéronautique Centre de formation)</w:t>
      </w:r>
      <w:r w:rsidR="002A7C49" w:rsidRPr="000E37EE">
        <w:rPr>
          <w:lang w:val="fr-CA"/>
        </w:rPr>
        <w:t xml:space="preserve">, 2015 CSC 39, [2015] 2 R.C.S. 789; </w:t>
      </w:r>
      <w:r w:rsidR="0018271A" w:rsidRPr="000E37EE">
        <w:rPr>
          <w:i/>
          <w:lang w:val="fr-CA"/>
        </w:rPr>
        <w:t>R. c. Conway</w:t>
      </w:r>
      <w:r w:rsidR="0018271A" w:rsidRPr="000E37EE">
        <w:rPr>
          <w:lang w:val="fr-CA"/>
        </w:rPr>
        <w:t xml:space="preserve">, 2010 CSC 22, [2010] 1 R.C.S. 765; </w:t>
      </w:r>
      <w:r w:rsidR="00BA16CE" w:rsidRPr="000E37EE">
        <w:rPr>
          <w:i/>
          <w:lang w:val="fr-CA"/>
        </w:rPr>
        <w:t>Tranchemontagne c. Ontario (Directeur du Programme ontarien de soutien aux personnes handicapées)</w:t>
      </w:r>
      <w:r w:rsidR="00BA16CE" w:rsidRPr="000E37EE">
        <w:rPr>
          <w:lang w:val="fr-CA"/>
        </w:rPr>
        <w:t>, 2006 CSC 14, [2006] 1 R.C.S. 513</w:t>
      </w:r>
      <w:r w:rsidR="001327D3" w:rsidRPr="000E37EE">
        <w:rPr>
          <w:lang w:val="fr-CA"/>
        </w:rPr>
        <w:t xml:space="preserve">; </w:t>
      </w:r>
      <w:r w:rsidR="001327D3" w:rsidRPr="000E37EE">
        <w:rPr>
          <w:i/>
          <w:lang w:val="fr-CA"/>
        </w:rPr>
        <w:t>Gauthier c. Demers</w:t>
      </w:r>
      <w:r w:rsidR="001327D3" w:rsidRPr="000E37EE">
        <w:rPr>
          <w:lang w:val="fr-CA"/>
        </w:rPr>
        <w:t>, 2007 QCCA</w:t>
      </w:r>
      <w:r w:rsidR="004D4ED6" w:rsidRPr="000E37EE">
        <w:rPr>
          <w:lang w:val="fr-CA"/>
        </w:rPr>
        <w:t xml:space="preserve"> 1433, 65 Admin. L.R. (4th) 222; </w:t>
      </w:r>
      <w:r w:rsidR="004D4ED6" w:rsidRPr="000E37EE">
        <w:rPr>
          <w:i/>
          <w:lang w:val="fr-CA"/>
        </w:rPr>
        <w:t>Gougeon (Re)</w:t>
      </w:r>
      <w:r w:rsidR="004D4ED6" w:rsidRPr="000E37EE">
        <w:rPr>
          <w:lang w:val="fr-CA"/>
        </w:rPr>
        <w:t>, 1999 CanLII 21577.</w:t>
      </w:r>
    </w:p>
    <w:p w:rsidR="00FA1865" w:rsidRPr="000E37EE" w:rsidRDefault="00FA1865" w:rsidP="00FB7DE8">
      <w:pPr>
        <w:pStyle w:val="SCCNormalDoubleSpacing"/>
        <w:spacing w:after="720" w:line="240" w:lineRule="auto"/>
        <w:rPr>
          <w:lang w:val="fr-CA"/>
        </w:rPr>
      </w:pPr>
      <w:r w:rsidRPr="000E37EE">
        <w:rPr>
          <w:lang w:val="fr-CA"/>
        </w:rPr>
        <w:t>Citée par le juge Rowe</w:t>
      </w:r>
    </w:p>
    <w:p w:rsidR="00D748DD" w:rsidRPr="000E37EE" w:rsidRDefault="00FA1865" w:rsidP="00FB7DE8">
      <w:pPr>
        <w:pStyle w:val="SCCNormalDoubleSpacing"/>
        <w:spacing w:before="480" w:after="480"/>
        <w:rPr>
          <w:lang w:val="fr-CA"/>
        </w:rPr>
      </w:pPr>
      <w:r w:rsidRPr="000E37EE">
        <w:rPr>
          <w:lang w:val="fr-CA"/>
        </w:rPr>
        <w:tab/>
      </w:r>
      <w:r w:rsidR="00966416" w:rsidRPr="000E37EE">
        <w:rPr>
          <w:b/>
          <w:lang w:val="fr-CA"/>
        </w:rPr>
        <w:t>Arrêts appliqués</w:t>
      </w:r>
      <w:r w:rsidR="00966416" w:rsidRPr="000E37EE">
        <w:rPr>
          <w:lang w:val="fr-CA"/>
        </w:rPr>
        <w:t> </w:t>
      </w:r>
      <w:r w:rsidR="00966416" w:rsidRPr="000E37EE">
        <w:rPr>
          <w:b/>
          <w:lang w:val="fr-CA"/>
        </w:rPr>
        <w:t xml:space="preserve">: </w:t>
      </w:r>
      <w:r w:rsidR="00966416" w:rsidRPr="000E37EE">
        <w:rPr>
          <w:i/>
          <w:lang w:val="fr-CA"/>
        </w:rPr>
        <w:t>Québec (Commission des droits de la personne et des droits de la jeunesse) c</w:t>
      </w:r>
      <w:r w:rsidR="00966416" w:rsidRPr="000E37EE">
        <w:rPr>
          <w:lang w:val="fr-CA"/>
        </w:rPr>
        <w:t xml:space="preserve">. </w:t>
      </w:r>
      <w:r w:rsidR="00966416" w:rsidRPr="000E37EE">
        <w:rPr>
          <w:i/>
          <w:lang w:val="fr-CA"/>
        </w:rPr>
        <w:t>Communauté urbaine de Montréal</w:t>
      </w:r>
      <w:r w:rsidR="00966416" w:rsidRPr="000E37EE">
        <w:rPr>
          <w:lang w:val="fr-CA"/>
        </w:rPr>
        <w:t xml:space="preserve">, 2004 CSC 30, [2004] 1 R.C.S. 789; </w:t>
      </w:r>
      <w:r w:rsidR="00966416" w:rsidRPr="000E37EE">
        <w:rPr>
          <w:i/>
          <w:lang w:val="fr-CA"/>
        </w:rPr>
        <w:t>R. c. Conway</w:t>
      </w:r>
      <w:r w:rsidR="00966416" w:rsidRPr="000E37EE">
        <w:rPr>
          <w:lang w:val="fr-CA"/>
        </w:rPr>
        <w:t xml:space="preserve">, 2010 CSC 22 [2010] 1 R.C.S. 765; </w:t>
      </w:r>
      <w:r w:rsidR="00966416" w:rsidRPr="000E37EE">
        <w:rPr>
          <w:b/>
          <w:lang w:val="fr-CA"/>
        </w:rPr>
        <w:t>a</w:t>
      </w:r>
      <w:r w:rsidRPr="000E37EE">
        <w:rPr>
          <w:b/>
          <w:lang w:val="fr-CA"/>
        </w:rPr>
        <w:t>rrêts mentionnés</w:t>
      </w:r>
      <w:r w:rsidR="00FB7DE8" w:rsidRPr="000E37EE">
        <w:rPr>
          <w:b/>
          <w:lang w:val="fr-CA"/>
        </w:rPr>
        <w:t> :</w:t>
      </w:r>
      <w:r w:rsidRPr="000E37EE">
        <w:rPr>
          <w:lang w:val="fr-CA"/>
        </w:rPr>
        <w:t xml:space="preserve"> </w:t>
      </w:r>
      <w:r w:rsidR="00367696" w:rsidRPr="000E37EE">
        <w:rPr>
          <w:i/>
          <w:lang w:val="fr-CA"/>
        </w:rPr>
        <w:t>Gauthier c. Demers</w:t>
      </w:r>
      <w:r w:rsidR="00367696" w:rsidRPr="000E37EE">
        <w:rPr>
          <w:lang w:val="fr-CA"/>
        </w:rPr>
        <w:t xml:space="preserve">, 2007 QCCA 1433, 65 Admin. L.R. (4th) 222; </w:t>
      </w:r>
      <w:r w:rsidR="00580CB9" w:rsidRPr="000E37EE">
        <w:rPr>
          <w:i/>
          <w:lang w:val="fr-CA"/>
        </w:rPr>
        <w:t>Bell ExpressVu Limited Partnership c. Rex</w:t>
      </w:r>
      <w:r w:rsidR="00580CB9" w:rsidRPr="000E37EE">
        <w:rPr>
          <w:lang w:val="fr-CA"/>
        </w:rPr>
        <w:t xml:space="preserve">, 2002 CSC 42, [2002] 2 R.C.S. 559; </w:t>
      </w:r>
      <w:r w:rsidR="00204145" w:rsidRPr="000E37EE">
        <w:rPr>
          <w:i/>
          <w:lang w:val="fr-CA"/>
        </w:rPr>
        <w:t>R. c. Clarke</w:t>
      </w:r>
      <w:r w:rsidR="00204145" w:rsidRPr="000E37EE">
        <w:rPr>
          <w:lang w:val="fr-CA"/>
        </w:rPr>
        <w:t>, 2014 CSC 28, [2014] 1 R.C.S</w:t>
      </w:r>
      <w:r w:rsidR="00EA0B1D">
        <w:rPr>
          <w:lang w:val="fr-CA"/>
        </w:rPr>
        <w:t>.</w:t>
      </w:r>
      <w:r w:rsidR="00204145" w:rsidRPr="000E37EE">
        <w:rPr>
          <w:lang w:val="fr-CA"/>
        </w:rPr>
        <w:t xml:space="preserve"> 612; </w:t>
      </w:r>
      <w:r w:rsidR="00467E1A" w:rsidRPr="000E37EE">
        <w:rPr>
          <w:i/>
          <w:lang w:val="fr-CA"/>
        </w:rPr>
        <w:t>Béliveau St</w:t>
      </w:r>
      <w:r w:rsidR="00FB7DE8" w:rsidRPr="000E37EE">
        <w:rPr>
          <w:i/>
          <w:lang w:val="fr-CA"/>
        </w:rPr>
        <w:noBreakHyphen/>
      </w:r>
      <w:r w:rsidR="00467E1A" w:rsidRPr="000E37EE">
        <w:rPr>
          <w:i/>
          <w:lang w:val="fr-CA"/>
        </w:rPr>
        <w:t>Jacques c. Fédération des employées et employés de services publics inc.</w:t>
      </w:r>
      <w:r w:rsidR="00467E1A" w:rsidRPr="000E37EE">
        <w:rPr>
          <w:lang w:val="fr-CA"/>
        </w:rPr>
        <w:t>,</w:t>
      </w:r>
      <w:r w:rsidR="00467E1A" w:rsidRPr="000E37EE">
        <w:rPr>
          <w:i/>
          <w:lang w:val="fr-CA"/>
        </w:rPr>
        <w:t xml:space="preserve"> </w:t>
      </w:r>
      <w:r w:rsidR="00467E1A" w:rsidRPr="000E37EE">
        <w:rPr>
          <w:lang w:val="fr-CA"/>
        </w:rPr>
        <w:t>[1996] 2 R.C.S. 345</w:t>
      </w:r>
      <w:r w:rsidR="007E0A33" w:rsidRPr="000E37EE">
        <w:rPr>
          <w:lang w:val="fr-CA"/>
        </w:rPr>
        <w:t xml:space="preserve">; </w:t>
      </w:r>
      <w:r w:rsidR="00C31EAE" w:rsidRPr="000E37EE">
        <w:rPr>
          <w:i/>
          <w:lang w:val="fr-CA"/>
        </w:rPr>
        <w:t>Dunsmuir c. Nouveau</w:t>
      </w:r>
      <w:r w:rsidR="00FB7DE8" w:rsidRPr="000E37EE">
        <w:rPr>
          <w:i/>
          <w:lang w:val="fr-CA"/>
        </w:rPr>
        <w:noBreakHyphen/>
      </w:r>
      <w:r w:rsidR="00C31EAE" w:rsidRPr="000E37EE">
        <w:rPr>
          <w:i/>
          <w:lang w:val="fr-CA"/>
        </w:rPr>
        <w:t>Brunswick</w:t>
      </w:r>
      <w:r w:rsidR="00C31EAE" w:rsidRPr="000E37EE">
        <w:rPr>
          <w:lang w:val="fr-CA"/>
        </w:rPr>
        <w:t>, 2008 CSC 9, [2008] 1 R.C.S. 190;</w:t>
      </w:r>
      <w:r w:rsidR="00A7127C" w:rsidRPr="000E37EE">
        <w:rPr>
          <w:lang w:val="fr-CA"/>
        </w:rPr>
        <w:t xml:space="preserve"> </w:t>
      </w:r>
      <w:r w:rsidR="007E0A33" w:rsidRPr="000E37EE">
        <w:rPr>
          <w:i/>
          <w:lang w:val="fr-CA"/>
        </w:rPr>
        <w:t>Mouvement laïque québécois c</w:t>
      </w:r>
      <w:r w:rsidR="009D72AD" w:rsidRPr="000E37EE">
        <w:rPr>
          <w:i/>
          <w:lang w:val="fr-CA"/>
        </w:rPr>
        <w:t>. Saguenay (Ville</w:t>
      </w:r>
      <w:r w:rsidR="007E0A33" w:rsidRPr="000E37EE">
        <w:rPr>
          <w:i/>
          <w:lang w:val="fr-CA"/>
        </w:rPr>
        <w:t>)</w:t>
      </w:r>
      <w:r w:rsidR="007E0A33" w:rsidRPr="000E37EE">
        <w:rPr>
          <w:lang w:val="fr-CA"/>
        </w:rPr>
        <w:t>,</w:t>
      </w:r>
      <w:r w:rsidR="007E0A33" w:rsidRPr="000E37EE">
        <w:rPr>
          <w:i/>
          <w:lang w:val="fr-CA"/>
        </w:rPr>
        <w:t xml:space="preserve"> </w:t>
      </w:r>
      <w:r w:rsidR="007E0A33" w:rsidRPr="000E37EE">
        <w:rPr>
          <w:lang w:val="fr-CA"/>
        </w:rPr>
        <w:t xml:space="preserve">2015 </w:t>
      </w:r>
      <w:r w:rsidR="009D72AD" w:rsidRPr="000E37EE">
        <w:rPr>
          <w:lang w:val="fr-CA"/>
        </w:rPr>
        <w:t>C</w:t>
      </w:r>
      <w:r w:rsidR="007E0A33" w:rsidRPr="000E37EE">
        <w:rPr>
          <w:lang w:val="fr-CA"/>
        </w:rPr>
        <w:t xml:space="preserve">SC 16, [2015] 2 </w:t>
      </w:r>
      <w:r w:rsidR="009D72AD" w:rsidRPr="000E37EE">
        <w:rPr>
          <w:lang w:val="fr-CA"/>
        </w:rPr>
        <w:t>R</w:t>
      </w:r>
      <w:r w:rsidR="007E0A33" w:rsidRPr="000E37EE">
        <w:rPr>
          <w:lang w:val="fr-CA"/>
        </w:rPr>
        <w:t>.C.</w:t>
      </w:r>
      <w:r w:rsidR="009D72AD" w:rsidRPr="000E37EE">
        <w:rPr>
          <w:lang w:val="fr-CA"/>
        </w:rPr>
        <w:t>S</w:t>
      </w:r>
      <w:r w:rsidR="007E0A33" w:rsidRPr="000E37EE">
        <w:rPr>
          <w:lang w:val="fr-CA"/>
        </w:rPr>
        <w:t xml:space="preserve">. 3; </w:t>
      </w:r>
      <w:r w:rsidR="00A7127C" w:rsidRPr="000E37EE">
        <w:rPr>
          <w:i/>
          <w:lang w:val="fr-CA"/>
        </w:rPr>
        <w:t>Québec (Commission des droits de la personne et des droits de la jeunesse) c. Bombardier Inc</w:t>
      </w:r>
      <w:r w:rsidR="00A7127C" w:rsidRPr="000E37EE">
        <w:rPr>
          <w:lang w:val="fr-CA"/>
        </w:rPr>
        <w:t xml:space="preserve">. </w:t>
      </w:r>
      <w:r w:rsidR="00A7127C" w:rsidRPr="000E37EE">
        <w:rPr>
          <w:i/>
          <w:lang w:val="fr-CA"/>
        </w:rPr>
        <w:t>(Bombardier Aéronautique Centre de formation)</w:t>
      </w:r>
      <w:r w:rsidR="00A7127C" w:rsidRPr="000E37EE">
        <w:rPr>
          <w:lang w:val="fr-CA"/>
        </w:rPr>
        <w:t xml:space="preserve">, </w:t>
      </w:r>
      <w:r w:rsidR="00A7127C" w:rsidRPr="000E37EE">
        <w:rPr>
          <w:lang w:val="fr-CA"/>
        </w:rPr>
        <w:lastRenderedPageBreak/>
        <w:t xml:space="preserve">2015 CSC 39, [2015] 2 R.C.S. 789; </w:t>
      </w:r>
      <w:r w:rsidR="001D0D29" w:rsidRPr="000E37EE">
        <w:rPr>
          <w:i/>
          <w:lang w:val="fr-CA"/>
        </w:rPr>
        <w:t>Commission ontarienne des droits de la personne c. Simpsons</w:t>
      </w:r>
      <w:r w:rsidR="00FB7DE8" w:rsidRPr="000E37EE">
        <w:rPr>
          <w:i/>
          <w:lang w:val="fr-CA"/>
        </w:rPr>
        <w:noBreakHyphen/>
      </w:r>
      <w:r w:rsidR="001D0D29" w:rsidRPr="000E37EE">
        <w:rPr>
          <w:i/>
          <w:lang w:val="fr-CA"/>
        </w:rPr>
        <w:t>Sears Ltd.</w:t>
      </w:r>
      <w:r w:rsidR="001D0D29" w:rsidRPr="000E37EE">
        <w:rPr>
          <w:lang w:val="fr-CA"/>
        </w:rPr>
        <w:t>, [1985] 2 R.C.S. 536;</w:t>
      </w:r>
      <w:r w:rsidR="00B51F0D" w:rsidRPr="000E37EE">
        <w:rPr>
          <w:lang w:val="fr-CA"/>
        </w:rPr>
        <w:t xml:space="preserve"> </w:t>
      </w:r>
      <w:r w:rsidR="00B51F0D" w:rsidRPr="000E37EE">
        <w:rPr>
          <w:i/>
          <w:lang w:val="fr-CA"/>
        </w:rPr>
        <w:t>Hydro</w:t>
      </w:r>
      <w:r w:rsidR="00FB7DE8" w:rsidRPr="000E37EE">
        <w:rPr>
          <w:i/>
          <w:lang w:val="fr-CA"/>
        </w:rPr>
        <w:noBreakHyphen/>
      </w:r>
      <w:r w:rsidR="00B51F0D" w:rsidRPr="000E37EE">
        <w:rPr>
          <w:i/>
          <w:lang w:val="fr-CA"/>
        </w:rPr>
        <w:t>Québec c. Syndicat des employé</w:t>
      </w:r>
      <w:r w:rsidR="00FB7DE8" w:rsidRPr="000E37EE">
        <w:rPr>
          <w:i/>
          <w:lang w:val="fr-CA"/>
        </w:rPr>
        <w:noBreakHyphen/>
      </w:r>
      <w:r w:rsidR="00B51F0D" w:rsidRPr="000E37EE">
        <w:rPr>
          <w:i/>
          <w:lang w:val="fr-CA"/>
        </w:rPr>
        <w:t>e</w:t>
      </w:r>
      <w:r w:rsidR="00FB7DE8" w:rsidRPr="000E37EE">
        <w:rPr>
          <w:i/>
          <w:lang w:val="fr-CA"/>
        </w:rPr>
        <w:noBreakHyphen/>
      </w:r>
      <w:r w:rsidR="00B51F0D" w:rsidRPr="000E37EE">
        <w:rPr>
          <w:i/>
          <w:lang w:val="fr-CA"/>
        </w:rPr>
        <w:t>s de techniques professionnelles et de bureau d</w:t>
      </w:r>
      <w:r w:rsidR="004E1DF1" w:rsidRPr="000E37EE">
        <w:rPr>
          <w:i/>
          <w:lang w:val="fr-CA"/>
        </w:rPr>
        <w:t>’</w:t>
      </w:r>
      <w:r w:rsidR="00B51F0D" w:rsidRPr="000E37EE">
        <w:rPr>
          <w:i/>
          <w:lang w:val="fr-CA"/>
        </w:rPr>
        <w:t>Hydro</w:t>
      </w:r>
      <w:r w:rsidR="00FB7DE8" w:rsidRPr="000E37EE">
        <w:rPr>
          <w:i/>
          <w:lang w:val="fr-CA"/>
        </w:rPr>
        <w:noBreakHyphen/>
      </w:r>
      <w:r w:rsidR="00B51F0D" w:rsidRPr="000E37EE">
        <w:rPr>
          <w:i/>
          <w:lang w:val="fr-CA"/>
        </w:rPr>
        <w:t>Québec, section locale 2000 (SCFP</w:t>
      </w:r>
      <w:r w:rsidR="00FB7DE8" w:rsidRPr="000E37EE">
        <w:rPr>
          <w:i/>
          <w:lang w:val="fr-CA"/>
        </w:rPr>
        <w:noBreakHyphen/>
      </w:r>
      <w:r w:rsidR="00B51F0D" w:rsidRPr="000E37EE">
        <w:rPr>
          <w:i/>
          <w:lang w:val="fr-CA"/>
        </w:rPr>
        <w:t>FTQ)</w:t>
      </w:r>
      <w:r w:rsidR="00B51F0D" w:rsidRPr="000E37EE">
        <w:rPr>
          <w:lang w:val="fr-CA"/>
        </w:rPr>
        <w:t xml:space="preserve">, 2008 CSC 43, [2008] 2 R.C.S. 561; </w:t>
      </w:r>
      <w:r w:rsidR="00B51F0D" w:rsidRPr="000E37EE">
        <w:rPr>
          <w:i/>
          <w:lang w:val="fr-CA"/>
        </w:rPr>
        <w:t>Ford c. Québec (Procureur général)</w:t>
      </w:r>
      <w:r w:rsidR="00B51F0D" w:rsidRPr="000E37EE">
        <w:rPr>
          <w:lang w:val="fr-CA"/>
        </w:rPr>
        <w:t>, [1988] 2 R.C.S. 712;</w:t>
      </w:r>
      <w:r w:rsidR="00B51F0D" w:rsidRPr="000E37EE">
        <w:rPr>
          <w:i/>
          <w:lang w:val="fr-CA"/>
        </w:rPr>
        <w:t xml:space="preserve"> Chaoulli c. Québec (Procureur général)</w:t>
      </w:r>
      <w:r w:rsidR="00A7127C" w:rsidRPr="000E37EE">
        <w:rPr>
          <w:lang w:val="fr-CA"/>
        </w:rPr>
        <w:t>, 2005 CSC 35,</w:t>
      </w:r>
      <w:r w:rsidR="00B51F0D" w:rsidRPr="000E37EE">
        <w:rPr>
          <w:lang w:val="fr-CA"/>
        </w:rPr>
        <w:t xml:space="preserve"> [2005] 1 R.C.S. 791;</w:t>
      </w:r>
      <w:r w:rsidR="001A3928" w:rsidRPr="000E37EE">
        <w:rPr>
          <w:lang w:val="fr-CA"/>
        </w:rPr>
        <w:t xml:space="preserve"> </w:t>
      </w:r>
      <w:r w:rsidR="00AF3752" w:rsidRPr="000E37EE">
        <w:rPr>
          <w:i/>
          <w:lang w:val="fr-CA"/>
        </w:rPr>
        <w:t>Weber c. Ontario Hydro</w:t>
      </w:r>
      <w:r w:rsidR="00AF3752" w:rsidRPr="000E37EE">
        <w:rPr>
          <w:lang w:val="fr-CA"/>
        </w:rPr>
        <w:t>, [1995] 2 R.C.S. 929;</w:t>
      </w:r>
      <w:r w:rsidR="00AF669A" w:rsidRPr="000E37EE">
        <w:rPr>
          <w:lang w:val="fr-CA"/>
        </w:rPr>
        <w:t xml:space="preserve"> </w:t>
      </w:r>
      <w:r w:rsidR="00AF669A" w:rsidRPr="000E37EE">
        <w:rPr>
          <w:i/>
          <w:lang w:val="fr-CA"/>
        </w:rPr>
        <w:t>R. c. 974649 Ontario Inc.</w:t>
      </w:r>
      <w:r w:rsidR="00AF669A" w:rsidRPr="000E37EE">
        <w:rPr>
          <w:lang w:val="fr-CA"/>
        </w:rPr>
        <w:t xml:space="preserve">, 2001 CSC 81, [2001] 3 R.C.S. 575; </w:t>
      </w:r>
      <w:r w:rsidR="00AF669A" w:rsidRPr="000E37EE">
        <w:rPr>
          <w:i/>
          <w:lang w:val="fr-CA"/>
        </w:rPr>
        <w:t>R. c. Oakes</w:t>
      </w:r>
      <w:r w:rsidR="00AF669A" w:rsidRPr="000E37EE">
        <w:rPr>
          <w:lang w:val="fr-CA"/>
        </w:rPr>
        <w:t xml:space="preserve">, [1986] 1 R.C.S. 103; </w:t>
      </w:r>
      <w:r w:rsidR="00AF669A" w:rsidRPr="000E37EE">
        <w:rPr>
          <w:i/>
          <w:lang w:val="fr-CA"/>
        </w:rPr>
        <w:t>Syndicat Northcrest c. Amselem</w:t>
      </w:r>
      <w:r w:rsidR="00AF669A" w:rsidRPr="000E37EE">
        <w:rPr>
          <w:lang w:val="fr-CA"/>
        </w:rPr>
        <w:t xml:space="preserve">, 2004 CSC 47, [2004] 2 R.C.S. 551; </w:t>
      </w:r>
      <w:r w:rsidR="00AF669A" w:rsidRPr="000E37EE">
        <w:rPr>
          <w:i/>
          <w:lang w:val="fr-CA"/>
        </w:rPr>
        <w:t>Saskatchewan (Human Rights Commission) c. Whatcott</w:t>
      </w:r>
      <w:r w:rsidR="00AF669A" w:rsidRPr="000E37EE">
        <w:rPr>
          <w:lang w:val="fr-CA"/>
        </w:rPr>
        <w:t>, 2013 CSC 11,</w:t>
      </w:r>
      <w:r w:rsidR="00AF669A" w:rsidRPr="000E37EE">
        <w:rPr>
          <w:i/>
          <w:lang w:val="fr-CA"/>
        </w:rPr>
        <w:t xml:space="preserve"> </w:t>
      </w:r>
      <w:r w:rsidR="00AF669A" w:rsidRPr="000E37EE">
        <w:rPr>
          <w:lang w:val="fr-CA"/>
        </w:rPr>
        <w:t xml:space="preserve">[2013] 1 R.C.S. 467; </w:t>
      </w:r>
      <w:r w:rsidR="00AF669A" w:rsidRPr="000E37EE">
        <w:rPr>
          <w:i/>
          <w:lang w:val="fr-CA"/>
        </w:rPr>
        <w:t xml:space="preserve">Ktunaxa Nation </w:t>
      </w:r>
      <w:r w:rsidR="00F8298D" w:rsidRPr="000E37EE">
        <w:rPr>
          <w:i/>
          <w:lang w:val="fr-CA"/>
        </w:rPr>
        <w:t>c</w:t>
      </w:r>
      <w:r w:rsidR="00AF669A" w:rsidRPr="000E37EE">
        <w:rPr>
          <w:i/>
          <w:lang w:val="fr-CA"/>
        </w:rPr>
        <w:t>. Colombie</w:t>
      </w:r>
      <w:r w:rsidR="00FB7DE8" w:rsidRPr="000E37EE">
        <w:rPr>
          <w:i/>
          <w:lang w:val="fr-CA"/>
        </w:rPr>
        <w:noBreakHyphen/>
      </w:r>
      <w:r w:rsidR="00AF669A" w:rsidRPr="000E37EE">
        <w:rPr>
          <w:i/>
          <w:lang w:val="fr-CA"/>
        </w:rPr>
        <w:t>Britannique (Forests, Lands and Natural Resource Operations)</w:t>
      </w:r>
      <w:r w:rsidR="00AF669A" w:rsidRPr="000E37EE">
        <w:rPr>
          <w:lang w:val="fr-CA"/>
        </w:rPr>
        <w:t>, 2017 CSC 54</w:t>
      </w:r>
      <w:r w:rsidR="00F92710">
        <w:rPr>
          <w:lang w:val="fr-CA"/>
        </w:rPr>
        <w:t>, [2017] 2 R.C.S. 386</w:t>
      </w:r>
      <w:r w:rsidR="00AF669A" w:rsidRPr="000E37EE">
        <w:rPr>
          <w:lang w:val="fr-CA"/>
        </w:rPr>
        <w:t>;</w:t>
      </w:r>
      <w:r w:rsidR="003131AA" w:rsidRPr="000E37EE">
        <w:rPr>
          <w:lang w:val="fr-CA"/>
        </w:rPr>
        <w:t xml:space="preserve"> </w:t>
      </w:r>
      <w:r w:rsidR="003131AA" w:rsidRPr="000E37EE">
        <w:rPr>
          <w:i/>
          <w:lang w:val="fr-CA"/>
        </w:rPr>
        <w:t xml:space="preserve">Association des cadres de la Société des casinos du Québec </w:t>
      </w:r>
      <w:r w:rsidR="00311880" w:rsidRPr="000E37EE">
        <w:rPr>
          <w:i/>
          <w:lang w:val="fr-CA"/>
        </w:rPr>
        <w:t>c</w:t>
      </w:r>
      <w:r w:rsidR="003131AA" w:rsidRPr="000E37EE">
        <w:rPr>
          <w:i/>
          <w:lang w:val="fr-CA"/>
        </w:rPr>
        <w:t>. Société des casinos du Québec</w:t>
      </w:r>
      <w:r w:rsidR="003131AA" w:rsidRPr="000E37EE">
        <w:rPr>
          <w:lang w:val="fr-CA"/>
        </w:rPr>
        <w:t xml:space="preserve">, 2014 QCCA 603; </w:t>
      </w:r>
      <w:r w:rsidR="003131AA" w:rsidRPr="000E37EE">
        <w:rPr>
          <w:i/>
          <w:lang w:val="fr-CA"/>
        </w:rPr>
        <w:t>Université de Montréal c. Québec (Commission des droits de la personne et des droits de la jeunesse)</w:t>
      </w:r>
      <w:r w:rsidR="003131AA" w:rsidRPr="000E37EE">
        <w:rPr>
          <w:lang w:val="fr-CA"/>
        </w:rPr>
        <w:t>,</w:t>
      </w:r>
      <w:r w:rsidR="003131AA" w:rsidRPr="000E37EE">
        <w:rPr>
          <w:i/>
          <w:lang w:val="fr-CA"/>
        </w:rPr>
        <w:t xml:space="preserve"> </w:t>
      </w:r>
      <w:r w:rsidR="003131AA" w:rsidRPr="000E37EE">
        <w:rPr>
          <w:lang w:val="fr-CA"/>
        </w:rPr>
        <w:t xml:space="preserve">2006 QCCA 508; </w:t>
      </w:r>
      <w:r w:rsidR="003131AA" w:rsidRPr="000E37EE">
        <w:rPr>
          <w:i/>
          <w:lang w:val="fr-CA"/>
        </w:rPr>
        <w:t xml:space="preserve">Moulin de </w:t>
      </w:r>
      <w:r w:rsidR="00D748DD" w:rsidRPr="000E37EE">
        <w:rPr>
          <w:i/>
          <w:lang w:val="fr-CA"/>
        </w:rPr>
        <w:t>préparation</w:t>
      </w:r>
      <w:r w:rsidR="003131AA" w:rsidRPr="000E37EE">
        <w:rPr>
          <w:i/>
          <w:lang w:val="fr-CA"/>
        </w:rPr>
        <w:t xml:space="preserve"> de bois en transit de St</w:t>
      </w:r>
      <w:r w:rsidR="00FB7DE8" w:rsidRPr="000E37EE">
        <w:rPr>
          <w:i/>
          <w:lang w:val="fr-CA"/>
        </w:rPr>
        <w:noBreakHyphen/>
      </w:r>
      <w:r w:rsidR="003131AA" w:rsidRPr="000E37EE">
        <w:rPr>
          <w:i/>
          <w:lang w:val="fr-CA"/>
        </w:rPr>
        <w:t xml:space="preserve">Romuald </w:t>
      </w:r>
      <w:r w:rsidR="00D748DD" w:rsidRPr="000E37EE">
        <w:rPr>
          <w:i/>
          <w:lang w:val="fr-CA"/>
        </w:rPr>
        <w:t>c</w:t>
      </w:r>
      <w:r w:rsidR="003131AA" w:rsidRPr="000E37EE">
        <w:rPr>
          <w:i/>
          <w:lang w:val="fr-CA"/>
        </w:rPr>
        <w:t>. Commission d</w:t>
      </w:r>
      <w:r w:rsidR="004E1DF1" w:rsidRPr="000E37EE">
        <w:rPr>
          <w:i/>
          <w:lang w:val="fr-CA"/>
        </w:rPr>
        <w:t>’</w:t>
      </w:r>
      <w:r w:rsidR="003131AA" w:rsidRPr="000E37EE">
        <w:rPr>
          <w:i/>
          <w:lang w:val="fr-CA"/>
        </w:rPr>
        <w:t>appel en matière de lésions professionnelles</w:t>
      </w:r>
      <w:r w:rsidR="003131AA" w:rsidRPr="000E37EE">
        <w:rPr>
          <w:lang w:val="fr-CA"/>
        </w:rPr>
        <w:t>,</w:t>
      </w:r>
      <w:r w:rsidR="003131AA" w:rsidRPr="000E37EE">
        <w:rPr>
          <w:i/>
          <w:lang w:val="fr-CA"/>
        </w:rPr>
        <w:t xml:space="preserve"> </w:t>
      </w:r>
      <w:r w:rsidR="00D748DD" w:rsidRPr="000E37EE">
        <w:rPr>
          <w:lang w:val="fr-CA"/>
        </w:rPr>
        <w:t>[1998]</w:t>
      </w:r>
      <w:r w:rsidR="003131AA" w:rsidRPr="000E37EE">
        <w:rPr>
          <w:lang w:val="fr-CA"/>
        </w:rPr>
        <w:t xml:space="preserve"> C.A.L.</w:t>
      </w:r>
      <w:r w:rsidR="00FB7DE8" w:rsidRPr="000E37EE">
        <w:rPr>
          <w:lang w:val="fr-CA"/>
        </w:rPr>
        <w:t>P. </w:t>
      </w:r>
      <w:r w:rsidR="003131AA" w:rsidRPr="000E37EE">
        <w:rPr>
          <w:lang w:val="fr-CA"/>
        </w:rPr>
        <w:t xml:space="preserve">574; </w:t>
      </w:r>
      <w:r w:rsidR="003131AA" w:rsidRPr="000E37EE">
        <w:rPr>
          <w:i/>
          <w:lang w:val="fr-CA"/>
        </w:rPr>
        <w:t>Okwuobi c. Commission Scolaire Lester</w:t>
      </w:r>
      <w:r w:rsidR="00FB7DE8" w:rsidRPr="000E37EE">
        <w:rPr>
          <w:i/>
          <w:lang w:val="fr-CA"/>
        </w:rPr>
        <w:noBreakHyphen/>
      </w:r>
      <w:r w:rsidR="003131AA" w:rsidRPr="000E37EE">
        <w:rPr>
          <w:i/>
          <w:lang w:val="fr-CA"/>
        </w:rPr>
        <w:t>B.</w:t>
      </w:r>
      <w:r w:rsidR="00FB7DE8" w:rsidRPr="000E37EE">
        <w:rPr>
          <w:i/>
          <w:lang w:val="fr-CA"/>
        </w:rPr>
        <w:noBreakHyphen/>
      </w:r>
      <w:r w:rsidR="003131AA" w:rsidRPr="000E37EE">
        <w:rPr>
          <w:i/>
          <w:lang w:val="fr-CA"/>
        </w:rPr>
        <w:t>Pearson</w:t>
      </w:r>
      <w:r w:rsidR="003131AA" w:rsidRPr="000E37EE">
        <w:rPr>
          <w:lang w:val="fr-CA"/>
        </w:rPr>
        <w:t>, 2005 CSC 16, [2005] 1 R.C.S. 257;</w:t>
      </w:r>
      <w:r w:rsidR="00D748DD" w:rsidRPr="000E37EE">
        <w:rPr>
          <w:i/>
          <w:lang w:val="fr-CA"/>
        </w:rPr>
        <w:t xml:space="preserve"> Université McGill c. McGill University Non Academic Certified Association (MUNACA)</w:t>
      </w:r>
      <w:r w:rsidR="00D748DD" w:rsidRPr="000E37EE">
        <w:rPr>
          <w:lang w:val="fr-CA"/>
        </w:rPr>
        <w:t xml:space="preserve">, 2015 QCCA 1943; </w:t>
      </w:r>
      <w:r w:rsidR="00D748DD" w:rsidRPr="000E37EE">
        <w:rPr>
          <w:i/>
          <w:lang w:val="fr-CA"/>
        </w:rPr>
        <w:t>Parry Sound (district), Conseil d</w:t>
      </w:r>
      <w:r w:rsidR="004E1DF1" w:rsidRPr="000E37EE">
        <w:rPr>
          <w:i/>
          <w:lang w:val="fr-CA"/>
        </w:rPr>
        <w:t>’</w:t>
      </w:r>
      <w:r w:rsidR="00D748DD" w:rsidRPr="000E37EE">
        <w:rPr>
          <w:i/>
          <w:lang w:val="fr-CA"/>
        </w:rPr>
        <w:t>administration des services sociaux c. S.E.E.F.P.O., section locale 324</w:t>
      </w:r>
      <w:r w:rsidR="00D748DD" w:rsidRPr="000E37EE">
        <w:rPr>
          <w:lang w:val="fr-CA"/>
        </w:rPr>
        <w:t>, 2003 CSC 42, [2003] 2 R.C.S. 157.</w:t>
      </w:r>
    </w:p>
    <w:p w:rsidR="004D7D95" w:rsidRPr="000E37EE" w:rsidRDefault="004D7D95" w:rsidP="00FB7DE8">
      <w:pPr>
        <w:pStyle w:val="SCCNormalDoubleSpacing"/>
        <w:spacing w:after="720" w:line="240" w:lineRule="auto"/>
        <w:rPr>
          <w:b/>
          <w:lang w:val="fr-CA"/>
        </w:rPr>
      </w:pPr>
      <w:r w:rsidRPr="000E37EE">
        <w:rPr>
          <w:b/>
          <w:lang w:val="fr-CA"/>
        </w:rPr>
        <w:t>Lois et règlements cités</w:t>
      </w:r>
    </w:p>
    <w:p w:rsidR="00826235" w:rsidRPr="000E37EE" w:rsidRDefault="00826235" w:rsidP="00FB7DE8">
      <w:pPr>
        <w:pStyle w:val="SCCNormalDoubleSpacing"/>
        <w:spacing w:after="240" w:line="240" w:lineRule="auto"/>
        <w:ind w:left="540" w:hanging="540"/>
        <w:rPr>
          <w:lang w:val="fr-CA"/>
        </w:rPr>
      </w:pPr>
      <w:r w:rsidRPr="000E37EE">
        <w:rPr>
          <w:i/>
          <w:lang w:val="fr-CA"/>
        </w:rPr>
        <w:lastRenderedPageBreak/>
        <w:t>Charte canadienne des droits et libertés</w:t>
      </w:r>
      <w:r w:rsidRPr="000E37EE">
        <w:rPr>
          <w:lang w:val="fr-CA"/>
        </w:rPr>
        <w:t xml:space="preserve">, </w:t>
      </w:r>
      <w:r w:rsidR="00FB7DE8" w:rsidRPr="000E37EE">
        <w:rPr>
          <w:lang w:val="fr-CA"/>
        </w:rPr>
        <w:t>art. </w:t>
      </w:r>
      <w:r w:rsidR="00F8298D" w:rsidRPr="000E37EE">
        <w:rPr>
          <w:lang w:val="fr-CA"/>
        </w:rPr>
        <w:t>1, 2</w:t>
      </w:r>
      <w:r w:rsidR="00F8298D" w:rsidRPr="000E37EE">
        <w:rPr>
          <w:i/>
          <w:lang w:val="fr-CA"/>
        </w:rPr>
        <w:t>a</w:t>
      </w:r>
      <w:r w:rsidR="00A7127C" w:rsidRPr="000E37EE">
        <w:rPr>
          <w:lang w:val="fr-CA"/>
        </w:rPr>
        <w:t xml:space="preserve">), </w:t>
      </w:r>
      <w:r w:rsidRPr="000E37EE">
        <w:rPr>
          <w:lang w:val="fr-CA"/>
        </w:rPr>
        <w:t xml:space="preserve">24(1). </w:t>
      </w:r>
    </w:p>
    <w:p w:rsidR="007E685A" w:rsidRPr="000E37EE" w:rsidRDefault="007E685A" w:rsidP="00FB7DE8">
      <w:pPr>
        <w:pStyle w:val="SCCNormalDoubleSpacing"/>
        <w:spacing w:after="240" w:line="240" w:lineRule="auto"/>
        <w:ind w:left="540" w:hanging="540"/>
        <w:rPr>
          <w:lang w:val="fr-CA"/>
        </w:rPr>
      </w:pPr>
      <w:r w:rsidRPr="000E37EE">
        <w:rPr>
          <w:i/>
          <w:lang w:val="fr-CA"/>
        </w:rPr>
        <w:t>Charte des droits et libert</w:t>
      </w:r>
      <w:r w:rsidR="005778A6" w:rsidRPr="000E37EE">
        <w:rPr>
          <w:i/>
          <w:lang w:val="fr-CA"/>
        </w:rPr>
        <w:t>és de la personne</w:t>
      </w:r>
      <w:r w:rsidR="005778A6" w:rsidRPr="000E37EE">
        <w:rPr>
          <w:lang w:val="fr-CA"/>
        </w:rPr>
        <w:t>, RLRQ, c.</w:t>
      </w:r>
      <w:r w:rsidR="00FB7DE8" w:rsidRPr="000E37EE">
        <w:rPr>
          <w:lang w:val="fr-CA"/>
        </w:rPr>
        <w:t> </w:t>
      </w:r>
      <w:r w:rsidR="005778A6" w:rsidRPr="000E37EE">
        <w:rPr>
          <w:lang w:val="fr-CA"/>
        </w:rPr>
        <w:t>C</w:t>
      </w:r>
      <w:r w:rsidR="00FB7DE8" w:rsidRPr="000E37EE">
        <w:rPr>
          <w:lang w:val="fr-CA"/>
        </w:rPr>
        <w:noBreakHyphen/>
      </w:r>
      <w:r w:rsidR="005778A6" w:rsidRPr="000E37EE">
        <w:rPr>
          <w:lang w:val="fr-CA"/>
        </w:rPr>
        <w:t>12</w:t>
      </w:r>
      <w:r w:rsidR="0079423E" w:rsidRPr="000E37EE">
        <w:rPr>
          <w:lang w:val="fr-CA"/>
        </w:rPr>
        <w:t>,</w:t>
      </w:r>
      <w:r w:rsidR="0065438B" w:rsidRPr="000E37EE">
        <w:rPr>
          <w:lang w:val="fr-CA"/>
        </w:rPr>
        <w:t xml:space="preserve"> </w:t>
      </w:r>
      <w:r w:rsidR="00362438" w:rsidRPr="000E37EE">
        <w:rPr>
          <w:lang w:val="fr-CA"/>
        </w:rPr>
        <w:t xml:space="preserve">préambule, </w:t>
      </w:r>
      <w:r w:rsidR="00FB7DE8" w:rsidRPr="000E37EE">
        <w:rPr>
          <w:lang w:val="fr-CA"/>
        </w:rPr>
        <w:t>art. </w:t>
      </w:r>
      <w:r w:rsidR="008F1E5B" w:rsidRPr="000E37EE">
        <w:rPr>
          <w:lang w:val="fr-CA"/>
        </w:rPr>
        <w:t xml:space="preserve">1 à 38, </w:t>
      </w:r>
      <w:r w:rsidR="001D0D29" w:rsidRPr="000E37EE">
        <w:rPr>
          <w:lang w:val="fr-CA"/>
        </w:rPr>
        <w:t xml:space="preserve">1 à 9, </w:t>
      </w:r>
      <w:r w:rsidR="00A7127C" w:rsidRPr="000E37EE">
        <w:rPr>
          <w:lang w:val="fr-CA"/>
        </w:rPr>
        <w:t xml:space="preserve">3, 9.1, 10, </w:t>
      </w:r>
      <w:r w:rsidR="00F8298D" w:rsidRPr="000E37EE">
        <w:rPr>
          <w:lang w:val="fr-CA"/>
        </w:rPr>
        <w:t xml:space="preserve">16 à 20, </w:t>
      </w:r>
      <w:r w:rsidR="008F1E5B" w:rsidRPr="000E37EE">
        <w:rPr>
          <w:lang w:val="fr-CA"/>
        </w:rPr>
        <w:t xml:space="preserve">16, </w:t>
      </w:r>
      <w:r w:rsidR="00F8298D" w:rsidRPr="000E37EE">
        <w:rPr>
          <w:lang w:val="fr-CA"/>
        </w:rPr>
        <w:t>49</w:t>
      </w:r>
      <w:r w:rsidR="00362438" w:rsidRPr="000E37EE">
        <w:rPr>
          <w:lang w:val="fr-CA"/>
        </w:rPr>
        <w:t>,</w:t>
      </w:r>
      <w:r w:rsidR="001D0D29" w:rsidRPr="000E37EE">
        <w:rPr>
          <w:lang w:val="fr-CA"/>
        </w:rPr>
        <w:t xml:space="preserve"> </w:t>
      </w:r>
      <w:r w:rsidR="0065438B" w:rsidRPr="000E37EE">
        <w:rPr>
          <w:lang w:val="fr-CA"/>
        </w:rPr>
        <w:t>51</w:t>
      </w:r>
      <w:r w:rsidR="001D0D29" w:rsidRPr="000E37EE">
        <w:rPr>
          <w:lang w:val="fr-CA"/>
        </w:rPr>
        <w:t>, 52</w:t>
      </w:r>
      <w:r w:rsidR="00980582" w:rsidRPr="000E37EE">
        <w:rPr>
          <w:lang w:val="fr-CA"/>
        </w:rPr>
        <w:t>, 53</w:t>
      </w:r>
      <w:r w:rsidR="005778A6" w:rsidRPr="000E37EE">
        <w:rPr>
          <w:lang w:val="fr-CA"/>
        </w:rPr>
        <w:t>.</w:t>
      </w:r>
    </w:p>
    <w:p w:rsidR="005778A6" w:rsidRPr="000E37EE" w:rsidRDefault="004100E6" w:rsidP="00FB7DE8">
      <w:pPr>
        <w:pStyle w:val="SCCNormalDoubleSpacing"/>
        <w:spacing w:after="240" w:line="240" w:lineRule="auto"/>
        <w:ind w:left="540" w:hanging="540"/>
        <w:rPr>
          <w:lang w:val="fr-CA"/>
        </w:rPr>
      </w:pPr>
      <w:r w:rsidRPr="000E37EE">
        <w:rPr>
          <w:i/>
          <w:lang w:val="fr-CA"/>
        </w:rPr>
        <w:t>Loi instituant le T</w:t>
      </w:r>
      <w:r w:rsidR="005778A6" w:rsidRPr="000E37EE">
        <w:rPr>
          <w:i/>
          <w:lang w:val="fr-CA"/>
        </w:rPr>
        <w:t>ribunal administratif du travail</w:t>
      </w:r>
      <w:r w:rsidR="00FB7DE8" w:rsidRPr="000E37EE">
        <w:rPr>
          <w:lang w:val="fr-CA"/>
        </w:rPr>
        <w:t>, RLRQ, c. </w:t>
      </w:r>
      <w:r w:rsidR="005778A6" w:rsidRPr="000E37EE">
        <w:rPr>
          <w:lang w:val="fr-CA"/>
        </w:rPr>
        <w:t>T</w:t>
      </w:r>
      <w:r w:rsidR="00FB7DE8" w:rsidRPr="000E37EE">
        <w:rPr>
          <w:lang w:val="fr-CA"/>
        </w:rPr>
        <w:noBreakHyphen/>
      </w:r>
      <w:r w:rsidR="005778A6" w:rsidRPr="000E37EE">
        <w:rPr>
          <w:lang w:val="fr-CA"/>
        </w:rPr>
        <w:t>15.1</w:t>
      </w:r>
      <w:r w:rsidR="0079423E" w:rsidRPr="000E37EE">
        <w:rPr>
          <w:lang w:val="fr-CA"/>
        </w:rPr>
        <w:t xml:space="preserve">, </w:t>
      </w:r>
      <w:r w:rsidR="00FB7DE8" w:rsidRPr="000E37EE">
        <w:rPr>
          <w:lang w:val="fr-CA"/>
        </w:rPr>
        <w:t>art. </w:t>
      </w:r>
      <w:r w:rsidR="00A7127C" w:rsidRPr="000E37EE">
        <w:rPr>
          <w:lang w:val="fr-CA"/>
        </w:rPr>
        <w:t xml:space="preserve">1 </w:t>
      </w:r>
      <w:r w:rsidR="00FB7DE8" w:rsidRPr="000E37EE">
        <w:rPr>
          <w:lang w:val="fr-CA"/>
        </w:rPr>
        <w:t>al. </w:t>
      </w:r>
      <w:r w:rsidR="00A7127C" w:rsidRPr="000E37EE">
        <w:rPr>
          <w:lang w:val="fr-CA"/>
        </w:rPr>
        <w:t xml:space="preserve">2, </w:t>
      </w:r>
      <w:r w:rsidR="0079423E" w:rsidRPr="000E37EE">
        <w:rPr>
          <w:lang w:val="fr-CA"/>
        </w:rPr>
        <w:t>6</w:t>
      </w:r>
      <w:r w:rsidR="004C4E51" w:rsidRPr="000E37EE">
        <w:rPr>
          <w:lang w:val="fr-CA"/>
        </w:rPr>
        <w:t>,</w:t>
      </w:r>
      <w:r w:rsidR="0027400A" w:rsidRPr="000E37EE">
        <w:rPr>
          <w:lang w:val="fr-CA"/>
        </w:rPr>
        <w:t xml:space="preserve"> </w:t>
      </w:r>
      <w:r w:rsidR="00182457" w:rsidRPr="000E37EE">
        <w:rPr>
          <w:lang w:val="fr-CA"/>
        </w:rPr>
        <w:t>9</w:t>
      </w:r>
      <w:r w:rsidR="009E2808" w:rsidRPr="000E37EE">
        <w:rPr>
          <w:lang w:val="fr-CA"/>
        </w:rPr>
        <w:t>, 10</w:t>
      </w:r>
      <w:r w:rsidR="0079423E" w:rsidRPr="000E37EE">
        <w:rPr>
          <w:lang w:val="fr-CA"/>
        </w:rPr>
        <w:t>.</w:t>
      </w:r>
    </w:p>
    <w:p w:rsidR="00311880" w:rsidRPr="000E37EE" w:rsidRDefault="00311880" w:rsidP="00FB7DE8">
      <w:pPr>
        <w:pStyle w:val="SCCNormalDoubleSpacing"/>
        <w:spacing w:after="240" w:line="240" w:lineRule="auto"/>
        <w:ind w:left="540" w:hanging="540"/>
        <w:rPr>
          <w:lang w:val="fr-CA"/>
        </w:rPr>
      </w:pPr>
      <w:r w:rsidRPr="000E37EE">
        <w:rPr>
          <w:i/>
          <w:lang w:val="fr-CA"/>
        </w:rPr>
        <w:t>Loi sur la justice administrative</w:t>
      </w:r>
      <w:r w:rsidRPr="000E37EE">
        <w:rPr>
          <w:lang w:val="fr-CA"/>
        </w:rPr>
        <w:t>, RLRQ, c.</w:t>
      </w:r>
      <w:r w:rsidR="00C85B5F" w:rsidRPr="000E37EE">
        <w:rPr>
          <w:lang w:val="fr-CA"/>
        </w:rPr>
        <w:t> </w:t>
      </w:r>
      <w:r w:rsidRPr="000E37EE">
        <w:rPr>
          <w:lang w:val="fr-CA"/>
        </w:rPr>
        <w:t>J</w:t>
      </w:r>
      <w:r w:rsidR="00FB7DE8" w:rsidRPr="000E37EE">
        <w:rPr>
          <w:lang w:val="fr-CA"/>
        </w:rPr>
        <w:noBreakHyphen/>
      </w:r>
      <w:r w:rsidRPr="000E37EE">
        <w:rPr>
          <w:lang w:val="fr-CA"/>
        </w:rPr>
        <w:t xml:space="preserve">3. </w:t>
      </w:r>
    </w:p>
    <w:p w:rsidR="00826235" w:rsidRPr="000E37EE" w:rsidRDefault="007E685A" w:rsidP="00FB7DE8">
      <w:pPr>
        <w:pStyle w:val="SCCNormalDoubleSpacing"/>
        <w:spacing w:after="720" w:line="240" w:lineRule="auto"/>
        <w:ind w:left="547" w:hanging="547"/>
        <w:rPr>
          <w:lang w:val="fr-CA"/>
        </w:rPr>
      </w:pPr>
      <w:r w:rsidRPr="000E37EE">
        <w:rPr>
          <w:i/>
          <w:lang w:val="fr-CA"/>
        </w:rPr>
        <w:t>Loi sur les accidents du travail et les maladies professionnelles</w:t>
      </w:r>
      <w:r w:rsidR="00C85B5F" w:rsidRPr="000E37EE">
        <w:rPr>
          <w:lang w:val="fr-CA"/>
        </w:rPr>
        <w:t>, RLRQ, c. </w:t>
      </w:r>
      <w:r w:rsidR="0079423E" w:rsidRPr="000E37EE">
        <w:rPr>
          <w:lang w:val="fr-CA"/>
        </w:rPr>
        <w:t>A</w:t>
      </w:r>
      <w:r w:rsidR="00FB7DE8" w:rsidRPr="000E37EE">
        <w:rPr>
          <w:lang w:val="fr-CA"/>
        </w:rPr>
        <w:noBreakHyphen/>
      </w:r>
      <w:r w:rsidR="0079423E" w:rsidRPr="000E37EE">
        <w:rPr>
          <w:lang w:val="fr-CA"/>
        </w:rPr>
        <w:t xml:space="preserve">3.001, </w:t>
      </w:r>
      <w:r w:rsidR="00FB7DE8" w:rsidRPr="000E37EE">
        <w:rPr>
          <w:lang w:val="fr-CA"/>
        </w:rPr>
        <w:t>art. </w:t>
      </w:r>
      <w:r w:rsidR="0027400A" w:rsidRPr="000E37EE">
        <w:rPr>
          <w:lang w:val="fr-CA"/>
        </w:rPr>
        <w:t xml:space="preserve">1, </w:t>
      </w:r>
      <w:r w:rsidR="0079423E" w:rsidRPr="000E37EE">
        <w:rPr>
          <w:lang w:val="fr-CA"/>
        </w:rPr>
        <w:t xml:space="preserve">2 </w:t>
      </w:r>
      <w:r w:rsidR="005F4613" w:rsidRPr="000E37EE">
        <w:rPr>
          <w:lang w:val="fr-CA"/>
        </w:rPr>
        <w:t>« </w:t>
      </w:r>
      <w:r w:rsidR="00F62C5D" w:rsidRPr="000E37EE">
        <w:rPr>
          <w:lang w:val="fr-CA"/>
        </w:rPr>
        <w:t>emploi convenable »,</w:t>
      </w:r>
      <w:r w:rsidR="005F4613" w:rsidRPr="000E37EE">
        <w:rPr>
          <w:lang w:val="fr-CA"/>
        </w:rPr>
        <w:t xml:space="preserve"> « emploi équivalent »,</w:t>
      </w:r>
      <w:r w:rsidR="00F62C5D" w:rsidRPr="000E37EE">
        <w:rPr>
          <w:lang w:val="fr-CA"/>
        </w:rPr>
        <w:t xml:space="preserve"> </w:t>
      </w:r>
      <w:r w:rsidR="0079423E" w:rsidRPr="000E37EE">
        <w:rPr>
          <w:lang w:val="fr-CA"/>
        </w:rPr>
        <w:t xml:space="preserve">« lésion professionnelle », « prestation », </w:t>
      </w:r>
      <w:r w:rsidR="00980582" w:rsidRPr="000E37EE">
        <w:rPr>
          <w:lang w:val="fr-CA"/>
        </w:rPr>
        <w:t xml:space="preserve">4, </w:t>
      </w:r>
      <w:r w:rsidR="00F62C5D" w:rsidRPr="000E37EE">
        <w:rPr>
          <w:lang w:val="fr-CA"/>
        </w:rPr>
        <w:t>32, 48,</w:t>
      </w:r>
      <w:r w:rsidR="008F1E5B" w:rsidRPr="000E37EE">
        <w:rPr>
          <w:lang w:val="fr-CA"/>
        </w:rPr>
        <w:t xml:space="preserve"> 49 al. 1,</w:t>
      </w:r>
      <w:r w:rsidR="00F62C5D" w:rsidRPr="000E37EE">
        <w:rPr>
          <w:lang w:val="fr-CA"/>
        </w:rPr>
        <w:t xml:space="preserve"> 57(1), 145 et seq., </w:t>
      </w:r>
      <w:r w:rsidR="008F1E5B" w:rsidRPr="000E37EE">
        <w:rPr>
          <w:lang w:val="fr-CA"/>
        </w:rPr>
        <w:t xml:space="preserve">145, </w:t>
      </w:r>
      <w:r w:rsidR="00F62C5D" w:rsidRPr="000E37EE">
        <w:rPr>
          <w:lang w:val="fr-CA"/>
        </w:rPr>
        <w:t xml:space="preserve">166, 167, </w:t>
      </w:r>
      <w:r w:rsidR="00433ED8" w:rsidRPr="000E37EE">
        <w:rPr>
          <w:lang w:val="fr-CA"/>
        </w:rPr>
        <w:t xml:space="preserve">170, </w:t>
      </w:r>
      <w:r w:rsidR="00F62C5D" w:rsidRPr="000E37EE">
        <w:rPr>
          <w:lang w:val="fr-CA"/>
        </w:rPr>
        <w:t xml:space="preserve">171, 172, 173 </w:t>
      </w:r>
      <w:r w:rsidR="00FB7DE8" w:rsidRPr="000E37EE">
        <w:rPr>
          <w:lang w:val="fr-CA"/>
        </w:rPr>
        <w:t>al. </w:t>
      </w:r>
      <w:r w:rsidR="008F1E5B" w:rsidRPr="000E37EE">
        <w:rPr>
          <w:lang w:val="fr-CA"/>
        </w:rPr>
        <w:t xml:space="preserve">1 et </w:t>
      </w:r>
      <w:r w:rsidR="00433ED8" w:rsidRPr="000E37EE">
        <w:rPr>
          <w:lang w:val="fr-CA"/>
        </w:rPr>
        <w:t>2, 174, 176, 181, 235</w:t>
      </w:r>
      <w:r w:rsidR="00F62C5D" w:rsidRPr="000E37EE">
        <w:rPr>
          <w:lang w:val="fr-CA"/>
        </w:rPr>
        <w:t>(1), 236, 239, 240, 242 al</w:t>
      </w:r>
      <w:r w:rsidR="008F1E5B" w:rsidRPr="000E37EE">
        <w:rPr>
          <w:lang w:val="fr-CA"/>
        </w:rPr>
        <w:t>.1 et</w:t>
      </w:r>
      <w:r w:rsidR="00F62C5D" w:rsidRPr="000E37EE">
        <w:rPr>
          <w:lang w:val="fr-CA"/>
        </w:rPr>
        <w:t xml:space="preserve"> 2,</w:t>
      </w:r>
      <w:r w:rsidR="00980582" w:rsidRPr="000E37EE">
        <w:rPr>
          <w:lang w:val="fr-CA"/>
        </w:rPr>
        <w:t xml:space="preserve"> 244, </w:t>
      </w:r>
      <w:r w:rsidR="00433ED8" w:rsidRPr="000E37EE">
        <w:rPr>
          <w:lang w:val="fr-CA"/>
        </w:rPr>
        <w:t>255</w:t>
      </w:r>
      <w:r w:rsidR="00F62C5D" w:rsidRPr="000E37EE">
        <w:rPr>
          <w:lang w:val="fr-CA"/>
        </w:rPr>
        <w:t xml:space="preserve">, 281, 326, 349, 351 al.1, 358, 359, </w:t>
      </w:r>
      <w:r w:rsidR="00FB7DE8" w:rsidRPr="000E37EE">
        <w:rPr>
          <w:lang w:val="fr-CA"/>
        </w:rPr>
        <w:t>369 [abr. 2015, c. 15, s. </w:t>
      </w:r>
      <w:r w:rsidR="00F62C5D" w:rsidRPr="000E37EE">
        <w:rPr>
          <w:lang w:val="fr-CA"/>
        </w:rPr>
        <w:t xml:space="preserve">116], 377 [abr. </w:t>
      </w:r>
      <w:r w:rsidR="00F62C5D" w:rsidRPr="000E37EE">
        <w:rPr>
          <w:i/>
          <w:lang w:val="fr-CA"/>
        </w:rPr>
        <w:t>idem</w:t>
      </w:r>
      <w:r w:rsidR="00F62C5D" w:rsidRPr="000E37EE">
        <w:rPr>
          <w:lang w:val="fr-CA"/>
        </w:rPr>
        <w:t xml:space="preserve">], 378 [abr. </w:t>
      </w:r>
      <w:r w:rsidR="00F62C5D" w:rsidRPr="000E37EE">
        <w:rPr>
          <w:i/>
          <w:lang w:val="fr-CA"/>
        </w:rPr>
        <w:t>idem</w:t>
      </w:r>
      <w:r w:rsidR="00F62C5D" w:rsidRPr="000E37EE">
        <w:rPr>
          <w:lang w:val="fr-CA"/>
        </w:rPr>
        <w:t>]</w:t>
      </w:r>
      <w:r w:rsidR="00182457" w:rsidRPr="000E37EE">
        <w:rPr>
          <w:lang w:val="fr-CA"/>
        </w:rPr>
        <w:t>, 438</w:t>
      </w:r>
      <w:r w:rsidR="00F62C5D" w:rsidRPr="000E37EE">
        <w:rPr>
          <w:lang w:val="fr-CA"/>
        </w:rPr>
        <w:t>.</w:t>
      </w:r>
    </w:p>
    <w:p w:rsidR="004D7D95" w:rsidRPr="000E37EE" w:rsidRDefault="004D7D95" w:rsidP="00FB7DE8">
      <w:pPr>
        <w:pStyle w:val="SCCNormalDoubleSpacing"/>
        <w:spacing w:after="720" w:line="240" w:lineRule="auto"/>
        <w:rPr>
          <w:b/>
          <w:lang w:val="fr-CA"/>
        </w:rPr>
      </w:pPr>
      <w:r w:rsidRPr="000E37EE">
        <w:rPr>
          <w:b/>
          <w:lang w:val="fr-CA"/>
        </w:rPr>
        <w:t>Doctrine et autres documents cités</w:t>
      </w:r>
    </w:p>
    <w:p w:rsidR="00980582" w:rsidRPr="000E37EE" w:rsidRDefault="00980582" w:rsidP="00C85B5F">
      <w:pPr>
        <w:pStyle w:val="SCCNormalDoubleSpacing"/>
        <w:spacing w:after="240" w:line="240" w:lineRule="auto"/>
        <w:ind w:left="540" w:hanging="540"/>
        <w:rPr>
          <w:lang w:val="fr-CA"/>
        </w:rPr>
      </w:pPr>
      <w:r w:rsidRPr="000E37EE">
        <w:rPr>
          <w:lang w:val="fr-CA"/>
        </w:rPr>
        <w:t xml:space="preserve">Brun, Henri, Guy Tremblay et Eugénie Brouillet. </w:t>
      </w:r>
      <w:r w:rsidRPr="000E37EE">
        <w:rPr>
          <w:i/>
          <w:lang w:val="fr-CA"/>
        </w:rPr>
        <w:t>Droit constitutionnel</w:t>
      </w:r>
      <w:r w:rsidRPr="000E37EE">
        <w:rPr>
          <w:lang w:val="fr-CA"/>
        </w:rPr>
        <w:t>, 6</w:t>
      </w:r>
      <w:r w:rsidRPr="000E37EE">
        <w:rPr>
          <w:vertAlign w:val="superscript"/>
          <w:lang w:val="fr-CA"/>
        </w:rPr>
        <w:t>e</w:t>
      </w:r>
      <w:r w:rsidR="00C85B5F" w:rsidRPr="000E37EE">
        <w:rPr>
          <w:lang w:val="fr-CA"/>
        </w:rPr>
        <w:t> </w:t>
      </w:r>
      <w:r w:rsidRPr="000E37EE">
        <w:rPr>
          <w:lang w:val="fr-CA"/>
        </w:rPr>
        <w:t>éd., Cowansville (Qc), Yvon Blais, 2014.</w:t>
      </w:r>
    </w:p>
    <w:p w:rsidR="00282450" w:rsidRPr="000E37EE" w:rsidRDefault="00282450" w:rsidP="00C85B5F">
      <w:pPr>
        <w:pStyle w:val="SCCNormalDoubleSpacing"/>
        <w:spacing w:after="720" w:line="240" w:lineRule="auto"/>
        <w:ind w:left="547" w:hanging="547"/>
        <w:rPr>
          <w:lang w:val="fr-CA"/>
        </w:rPr>
      </w:pPr>
      <w:r w:rsidRPr="000E37EE">
        <w:rPr>
          <w:lang w:val="fr-CA"/>
        </w:rPr>
        <w:t xml:space="preserve">Cormier, France. « La victime de harcèlement et le processus de réadaptation professionnelle », dans Service de la formation continue du Barreau du Québec, </w:t>
      </w:r>
      <w:r w:rsidR="00FB7DE8" w:rsidRPr="000E37EE">
        <w:rPr>
          <w:lang w:val="fr-CA"/>
        </w:rPr>
        <w:t>vol. </w:t>
      </w:r>
      <w:r w:rsidRPr="000E37EE">
        <w:rPr>
          <w:lang w:val="fr-CA"/>
        </w:rPr>
        <w:t xml:space="preserve">263, </w:t>
      </w:r>
      <w:r w:rsidRPr="000E37EE">
        <w:rPr>
          <w:i/>
          <w:lang w:val="fr-CA"/>
        </w:rPr>
        <w:t>Développements récents en droit de la santé et sécurité au travail</w:t>
      </w:r>
      <w:r w:rsidR="00BD7BC4">
        <w:rPr>
          <w:lang w:val="fr-CA"/>
        </w:rPr>
        <w:t>,</w:t>
      </w:r>
      <w:r w:rsidRPr="000E37EE">
        <w:rPr>
          <w:lang w:val="fr-CA"/>
        </w:rPr>
        <w:t xml:space="preserve"> Cowansville (Qc), Yvon Blais, 2007, 113. </w:t>
      </w:r>
    </w:p>
    <w:p w:rsidR="004D7D95" w:rsidRPr="000E37EE" w:rsidRDefault="00C44BFC" w:rsidP="00C85B5F">
      <w:pPr>
        <w:pStyle w:val="SCCNormalDoubleSpacing"/>
        <w:spacing w:before="480" w:after="480"/>
        <w:rPr>
          <w:lang w:val="fr-CA"/>
        </w:rPr>
      </w:pPr>
      <w:r w:rsidRPr="000E37EE">
        <w:rPr>
          <w:lang w:val="fr-CA"/>
        </w:rPr>
        <w:tab/>
      </w:r>
      <w:r w:rsidR="004D7D95" w:rsidRPr="000E37EE">
        <w:rPr>
          <w:lang w:val="fr-CA"/>
        </w:rPr>
        <w:t>POURVOI contre un arrêt de la Cour d</w:t>
      </w:r>
      <w:r w:rsidR="004E1DF1" w:rsidRPr="000E37EE">
        <w:rPr>
          <w:lang w:val="fr-CA"/>
        </w:rPr>
        <w:t>’</w:t>
      </w:r>
      <w:r w:rsidR="004D7D95" w:rsidRPr="000E37EE">
        <w:rPr>
          <w:lang w:val="fr-CA"/>
        </w:rPr>
        <w:t xml:space="preserve">appel du Québec </w:t>
      </w:r>
      <w:r w:rsidRPr="000E37EE">
        <w:rPr>
          <w:lang w:val="fr-CA"/>
        </w:rPr>
        <w:t xml:space="preserve">(les juges Hilton, Bélanger et Schrager), 2015 QCCA 1048, </w:t>
      </w:r>
      <w:r w:rsidR="003D746E" w:rsidRPr="000E37EE">
        <w:rPr>
          <w:lang w:val="fr-CA"/>
        </w:rPr>
        <w:t>[2015] AZ</w:t>
      </w:r>
      <w:r w:rsidR="00FB7DE8" w:rsidRPr="000E37EE">
        <w:rPr>
          <w:lang w:val="fr-CA"/>
        </w:rPr>
        <w:noBreakHyphen/>
      </w:r>
      <w:r w:rsidR="003D746E" w:rsidRPr="000E37EE">
        <w:rPr>
          <w:lang w:val="fr-CA"/>
        </w:rPr>
        <w:t>51185251, [2015] J.Q. n</w:t>
      </w:r>
      <w:r w:rsidR="003D746E" w:rsidRPr="000E37EE">
        <w:rPr>
          <w:vertAlign w:val="superscript"/>
          <w:lang w:val="fr-CA"/>
        </w:rPr>
        <w:t>o</w:t>
      </w:r>
      <w:r w:rsidR="003D746E" w:rsidRPr="000E37EE">
        <w:rPr>
          <w:lang w:val="fr-CA"/>
        </w:rPr>
        <w:t> 5365 (QL), 2015 CarswellQue 5584 (WL Can.), qui a confirmé une décision du juge Dugré, 2014 QCCS 2580, [2014] AZ</w:t>
      </w:r>
      <w:r w:rsidR="00FB7DE8" w:rsidRPr="000E37EE">
        <w:rPr>
          <w:lang w:val="fr-CA"/>
        </w:rPr>
        <w:noBreakHyphen/>
      </w:r>
      <w:r w:rsidR="003D746E" w:rsidRPr="000E37EE">
        <w:rPr>
          <w:lang w:val="fr-CA"/>
        </w:rPr>
        <w:t>51080015, [2014] J.Q. n</w:t>
      </w:r>
      <w:r w:rsidR="003D746E" w:rsidRPr="000E37EE">
        <w:rPr>
          <w:vertAlign w:val="superscript"/>
          <w:lang w:val="fr-CA"/>
        </w:rPr>
        <w:t>o</w:t>
      </w:r>
      <w:r w:rsidR="003D746E" w:rsidRPr="000E37EE">
        <w:rPr>
          <w:lang w:val="fr-CA"/>
        </w:rPr>
        <w:t> 5490 (QL), 2014 CarswellQue 5655 (WL Can.)</w:t>
      </w:r>
      <w:r w:rsidR="003B26E9" w:rsidRPr="000E37EE">
        <w:rPr>
          <w:lang w:val="fr-CA"/>
        </w:rPr>
        <w:t>,</w:t>
      </w:r>
      <w:r w:rsidR="00A456C9" w:rsidRPr="000E37EE">
        <w:rPr>
          <w:lang w:val="fr-CA"/>
        </w:rPr>
        <w:t xml:space="preserve"> </w:t>
      </w:r>
      <w:r w:rsidR="00A456C9" w:rsidRPr="000E37EE">
        <w:rPr>
          <w:lang w:val="fr-FR"/>
        </w:rPr>
        <w:t xml:space="preserve">qui avait </w:t>
      </w:r>
      <w:r w:rsidR="004E7B21" w:rsidRPr="000E37EE">
        <w:rPr>
          <w:lang w:val="fr-FR"/>
        </w:rPr>
        <w:t xml:space="preserve">accueilli </w:t>
      </w:r>
      <w:r w:rsidR="00A456C9" w:rsidRPr="000E37EE">
        <w:rPr>
          <w:lang w:val="fr-FR"/>
        </w:rPr>
        <w:t xml:space="preserve">une requête en </w:t>
      </w:r>
      <w:r w:rsidR="00736BDD">
        <w:rPr>
          <w:lang w:val="fr-FR"/>
        </w:rPr>
        <w:t>révision</w:t>
      </w:r>
      <w:r w:rsidR="00A456C9" w:rsidRPr="000E37EE">
        <w:rPr>
          <w:lang w:val="fr-FR"/>
        </w:rPr>
        <w:t xml:space="preserve"> judiciaire d</w:t>
      </w:r>
      <w:r w:rsidR="004E1DF1" w:rsidRPr="000E37EE">
        <w:rPr>
          <w:lang w:val="fr-FR"/>
        </w:rPr>
        <w:t>’</w:t>
      </w:r>
      <w:r w:rsidR="00A456C9" w:rsidRPr="000E37EE">
        <w:rPr>
          <w:lang w:val="fr-FR"/>
        </w:rPr>
        <w:t>une décision de la Commission des lésions professionnelles</w:t>
      </w:r>
      <w:r w:rsidR="00A764A3" w:rsidRPr="000E37EE">
        <w:rPr>
          <w:lang w:val="fr-FR"/>
        </w:rPr>
        <w:t xml:space="preserve"> </w:t>
      </w:r>
      <w:r w:rsidR="00A518EC" w:rsidRPr="000E37EE">
        <w:rPr>
          <w:lang w:val="fr-FR"/>
        </w:rPr>
        <w:t>et renvoy</w:t>
      </w:r>
      <w:r w:rsidR="00A518EC" w:rsidRPr="000E37EE">
        <w:rPr>
          <w:lang w:val="fr-CA"/>
        </w:rPr>
        <w:t>é l’affaire pour réexamen</w:t>
      </w:r>
      <w:r w:rsidR="00A456C9" w:rsidRPr="000E37EE">
        <w:rPr>
          <w:lang w:val="fr-CA"/>
        </w:rPr>
        <w:t>, 2012 QCCLP 3625, [2012] C.L.</w:t>
      </w:r>
      <w:r w:rsidR="00FB7DE8" w:rsidRPr="000E37EE">
        <w:rPr>
          <w:lang w:val="fr-CA"/>
        </w:rPr>
        <w:t>P. </w:t>
      </w:r>
      <w:r w:rsidR="00A456C9" w:rsidRPr="000E37EE">
        <w:rPr>
          <w:lang w:val="fr-CA"/>
        </w:rPr>
        <w:t>173, [2012] AZ</w:t>
      </w:r>
      <w:r w:rsidR="00FB7DE8" w:rsidRPr="000E37EE">
        <w:rPr>
          <w:lang w:val="fr-CA"/>
        </w:rPr>
        <w:noBreakHyphen/>
      </w:r>
      <w:r w:rsidR="00A456C9" w:rsidRPr="000E37EE">
        <w:rPr>
          <w:lang w:val="fr-CA"/>
        </w:rPr>
        <w:t>5086387</w:t>
      </w:r>
      <w:r w:rsidR="00A764A3" w:rsidRPr="000E37EE">
        <w:rPr>
          <w:lang w:val="fr-CA"/>
        </w:rPr>
        <w:t>5</w:t>
      </w:r>
      <w:r w:rsidR="00A456C9" w:rsidRPr="000E37EE">
        <w:rPr>
          <w:lang w:val="fr-CA"/>
        </w:rPr>
        <w:t>, 2012 LNQCCLP 606 (QL)</w:t>
      </w:r>
      <w:r w:rsidR="003D746E" w:rsidRPr="000E37EE">
        <w:rPr>
          <w:lang w:val="fr-CA"/>
        </w:rPr>
        <w:t xml:space="preserve">. Pourvoi </w:t>
      </w:r>
      <w:r w:rsidR="004773E3" w:rsidRPr="000E37EE">
        <w:rPr>
          <w:lang w:val="fr-CA"/>
        </w:rPr>
        <w:t>rejeté</w:t>
      </w:r>
      <w:r w:rsidR="003D746E" w:rsidRPr="000E37EE">
        <w:rPr>
          <w:lang w:val="fr-CA"/>
        </w:rPr>
        <w:t>.</w:t>
      </w:r>
    </w:p>
    <w:p w:rsidR="000C0729" w:rsidRPr="000E37EE" w:rsidRDefault="00333A21" w:rsidP="00374290">
      <w:pPr>
        <w:pStyle w:val="SCCNormalDoubleSpacing"/>
        <w:spacing w:before="480" w:after="480"/>
        <w:rPr>
          <w:lang w:val="fr-CA"/>
        </w:rPr>
      </w:pPr>
      <w:r w:rsidRPr="000E37EE">
        <w:rPr>
          <w:rStyle w:val="SCCCounselNameChar"/>
          <w:lang w:val="fr-CA"/>
        </w:rPr>
        <w:lastRenderedPageBreak/>
        <w:tab/>
      </w:r>
      <w:r w:rsidR="00A55C3A" w:rsidRPr="000E37EE">
        <w:rPr>
          <w:rStyle w:val="SCCCounselNameChar"/>
          <w:lang w:val="fr-CA"/>
        </w:rPr>
        <w:t xml:space="preserve">François Bilodeau </w:t>
      </w:r>
      <w:r w:rsidR="00736BDD">
        <w:rPr>
          <w:rStyle w:val="SCCCounselNameChar"/>
          <w:i w:val="0"/>
          <w:lang w:val="fr-CA"/>
        </w:rPr>
        <w:t>et</w:t>
      </w:r>
      <w:r w:rsidR="00A55C3A" w:rsidRPr="000E37EE">
        <w:rPr>
          <w:rStyle w:val="SCCCounselNameChar"/>
          <w:i w:val="0"/>
          <w:lang w:val="fr-CA"/>
        </w:rPr>
        <w:t xml:space="preserve"> </w:t>
      </w:r>
      <w:r w:rsidR="00A55C3A" w:rsidRPr="000E37EE">
        <w:rPr>
          <w:rStyle w:val="SCCCounselNameChar"/>
          <w:lang w:val="fr-CA"/>
        </w:rPr>
        <w:t>Lucille Giard</w:t>
      </w:r>
      <w:r w:rsidR="00BD7BC4">
        <w:rPr>
          <w:rStyle w:val="SCCCounselPartyRoleChar"/>
          <w:lang w:val="fr-CA"/>
        </w:rPr>
        <w:t xml:space="preserve">, </w:t>
      </w:r>
      <w:r w:rsidRPr="000E37EE">
        <w:rPr>
          <w:rStyle w:val="SCCCounselPartyRoleChar"/>
          <w:lang w:val="fr-CA"/>
        </w:rPr>
        <w:t>pour l</w:t>
      </w:r>
      <w:r w:rsidR="004E1DF1" w:rsidRPr="000E37EE">
        <w:rPr>
          <w:rStyle w:val="SCCCounselPartyRoleChar"/>
          <w:lang w:val="fr-CA"/>
        </w:rPr>
        <w:t>’</w:t>
      </w:r>
      <w:r w:rsidRPr="000E37EE">
        <w:rPr>
          <w:rStyle w:val="SCCCounselPartyRoleChar"/>
          <w:lang w:val="fr-CA"/>
        </w:rPr>
        <w:t>appelante.</w:t>
      </w:r>
    </w:p>
    <w:p w:rsidR="000C0729" w:rsidRPr="000E37EE" w:rsidRDefault="00333A21" w:rsidP="00374290">
      <w:pPr>
        <w:pStyle w:val="SCCNormalDoubleSpacing"/>
        <w:spacing w:before="480" w:after="480"/>
        <w:rPr>
          <w:rStyle w:val="SCCCounselPartyRoleChar"/>
          <w:lang w:val="fr-CA"/>
        </w:rPr>
      </w:pPr>
      <w:r w:rsidRPr="000E37EE">
        <w:rPr>
          <w:rStyle w:val="SCCCounselNameChar"/>
          <w:lang w:val="fr-CA"/>
        </w:rPr>
        <w:tab/>
        <w:t>Sophie Cloutier</w:t>
      </w:r>
      <w:r w:rsidRPr="000E37EE">
        <w:rPr>
          <w:rStyle w:val="SCCCounselSeparatorChar"/>
          <w:lang w:val="fr-CA"/>
        </w:rPr>
        <w:t xml:space="preserve"> et </w:t>
      </w:r>
      <w:r w:rsidRPr="000E37EE">
        <w:rPr>
          <w:rStyle w:val="SCCCounselNameChar"/>
          <w:lang w:val="fr-CA"/>
        </w:rPr>
        <w:t>Frédéric Tremblay</w:t>
      </w:r>
      <w:r w:rsidRPr="000E37EE">
        <w:rPr>
          <w:rStyle w:val="SCCCounselPartyRoleChar"/>
          <w:lang w:val="fr-CA"/>
        </w:rPr>
        <w:t>, pour l</w:t>
      </w:r>
      <w:r w:rsidR="004E1DF1" w:rsidRPr="000E37EE">
        <w:rPr>
          <w:rStyle w:val="SCCCounselPartyRoleChar"/>
          <w:lang w:val="fr-CA"/>
        </w:rPr>
        <w:t>’</w:t>
      </w:r>
      <w:r w:rsidRPr="000E37EE">
        <w:rPr>
          <w:rStyle w:val="SCCCounselPartyRoleChar"/>
          <w:lang w:val="fr-CA"/>
        </w:rPr>
        <w:t>intimé.</w:t>
      </w:r>
    </w:p>
    <w:p w:rsidR="00CD4D6D" w:rsidRPr="000E37EE" w:rsidRDefault="00CD4D6D" w:rsidP="00374290">
      <w:pPr>
        <w:pStyle w:val="SCCNormalDoubleSpacing"/>
        <w:spacing w:before="480" w:after="480"/>
        <w:rPr>
          <w:lang w:val="fr-CA"/>
        </w:rPr>
      </w:pPr>
      <w:r w:rsidRPr="000E37EE">
        <w:rPr>
          <w:rStyle w:val="SCCCounselNameChar"/>
          <w:lang w:val="fr-CA"/>
        </w:rPr>
        <w:tab/>
      </w:r>
      <w:r w:rsidR="009E198C" w:rsidRPr="000E37EE">
        <w:rPr>
          <w:rStyle w:val="SCCCounselNameChar"/>
          <w:lang w:val="fr-CA"/>
        </w:rPr>
        <w:t>Patrice Claude</w:t>
      </w:r>
      <w:r w:rsidR="009E198C" w:rsidRPr="000E37EE">
        <w:rPr>
          <w:rStyle w:val="SCCCounselNameChar"/>
          <w:i w:val="0"/>
          <w:lang w:val="fr-CA"/>
        </w:rPr>
        <w:t>,</w:t>
      </w:r>
      <w:r w:rsidR="009E198C" w:rsidRPr="000E37EE">
        <w:rPr>
          <w:rStyle w:val="SCCCounselNameChar"/>
          <w:lang w:val="fr-CA"/>
        </w:rPr>
        <w:t xml:space="preserve"> </w:t>
      </w:r>
      <w:r w:rsidRPr="000E37EE">
        <w:rPr>
          <w:rStyle w:val="SCCCounselNameChar"/>
          <w:lang w:val="fr-CA"/>
        </w:rPr>
        <w:t>Dana Pescarus</w:t>
      </w:r>
      <w:r w:rsidR="009E198C" w:rsidRPr="000E37EE">
        <w:rPr>
          <w:rStyle w:val="SCCCounselSeparatorChar"/>
          <w:lang w:val="fr-CA"/>
        </w:rPr>
        <w:t xml:space="preserve"> et</w:t>
      </w:r>
      <w:r w:rsidRPr="000E37EE">
        <w:rPr>
          <w:rStyle w:val="SCCCounselSeparatorChar"/>
          <w:lang w:val="fr-CA"/>
        </w:rPr>
        <w:t xml:space="preserve"> </w:t>
      </w:r>
      <w:r w:rsidRPr="000E37EE">
        <w:rPr>
          <w:rStyle w:val="SCCCounselNameChar"/>
          <w:lang w:val="fr-CA"/>
        </w:rPr>
        <w:t>Abdou Thiaw</w:t>
      </w:r>
      <w:r w:rsidRPr="000E37EE">
        <w:rPr>
          <w:rStyle w:val="SCCCounselPartyRoleChar"/>
          <w:lang w:val="fr-CA"/>
        </w:rPr>
        <w:t>, pour l</w:t>
      </w:r>
      <w:r w:rsidR="004E1DF1" w:rsidRPr="000E37EE">
        <w:rPr>
          <w:rStyle w:val="SCCCounselPartyRoleChar"/>
          <w:lang w:val="fr-CA"/>
        </w:rPr>
        <w:t>’</w:t>
      </w:r>
      <w:r w:rsidRPr="000E37EE">
        <w:rPr>
          <w:rStyle w:val="SCCCounselPartyRoleChar"/>
          <w:lang w:val="fr-CA"/>
        </w:rPr>
        <w:t xml:space="preserve">intervenante </w:t>
      </w:r>
      <w:r w:rsidR="00963817" w:rsidRPr="000E37EE">
        <w:rPr>
          <w:rStyle w:val="SCCCounselPartyRoleChar"/>
          <w:lang w:val="fr-CA"/>
        </w:rPr>
        <w:t xml:space="preserve">la </w:t>
      </w:r>
      <w:r w:rsidR="00EA0B1D">
        <w:rPr>
          <w:rStyle w:val="SCCCounselPartyRoleChar"/>
          <w:lang w:val="fr-CA"/>
        </w:rPr>
        <w:t>p</w:t>
      </w:r>
      <w:r w:rsidRPr="000E37EE">
        <w:rPr>
          <w:rStyle w:val="SCCCounselPartyRoleChar"/>
          <w:lang w:val="fr-CA"/>
        </w:rPr>
        <w:t>rocureure générale du Québec.</w:t>
      </w:r>
    </w:p>
    <w:p w:rsidR="000C0729" w:rsidRPr="000E37EE" w:rsidRDefault="00333A21" w:rsidP="00374290">
      <w:pPr>
        <w:pStyle w:val="SCCNormalDoubleSpacing"/>
        <w:spacing w:before="480" w:after="480"/>
        <w:rPr>
          <w:lang w:val="fr-CA"/>
        </w:rPr>
      </w:pPr>
      <w:r w:rsidRPr="000E37EE">
        <w:rPr>
          <w:rStyle w:val="SCCCounselNameChar"/>
          <w:lang w:val="fr-CA"/>
        </w:rPr>
        <w:tab/>
        <w:t>Marie</w:t>
      </w:r>
      <w:r w:rsidR="00FB7DE8" w:rsidRPr="000E37EE">
        <w:rPr>
          <w:rStyle w:val="SCCCounselNameChar"/>
          <w:lang w:val="fr-CA"/>
        </w:rPr>
        <w:noBreakHyphen/>
      </w:r>
      <w:r w:rsidRPr="000E37EE">
        <w:rPr>
          <w:rStyle w:val="SCCCounselNameChar"/>
          <w:lang w:val="fr-CA"/>
        </w:rPr>
        <w:t>France Bernier</w:t>
      </w:r>
      <w:r w:rsidRPr="000E37EE">
        <w:rPr>
          <w:rStyle w:val="SCCCounselPartyRoleChar"/>
          <w:lang w:val="fr-CA"/>
        </w:rPr>
        <w:t>, pour l</w:t>
      </w:r>
      <w:r w:rsidR="004E1DF1" w:rsidRPr="000E37EE">
        <w:rPr>
          <w:rStyle w:val="SCCCounselPartyRoleChar"/>
          <w:lang w:val="fr-CA"/>
        </w:rPr>
        <w:t>’</w:t>
      </w:r>
      <w:r w:rsidRPr="000E37EE">
        <w:rPr>
          <w:rStyle w:val="SCCCounselPartyRoleChar"/>
          <w:lang w:val="fr-CA"/>
        </w:rPr>
        <w:t>intervenant</w:t>
      </w:r>
      <w:r w:rsidR="00963817" w:rsidRPr="000E37EE">
        <w:rPr>
          <w:rStyle w:val="SCCCounselPartyRoleChar"/>
          <w:lang w:val="fr-CA"/>
        </w:rPr>
        <w:t xml:space="preserve"> le</w:t>
      </w:r>
      <w:r w:rsidRPr="000E37EE">
        <w:rPr>
          <w:rStyle w:val="SCCCounselPartyRoleChar"/>
          <w:lang w:val="fr-CA"/>
        </w:rPr>
        <w:t xml:space="preserve"> Tribunal administratif du travail (anciennement connu sous le nom de Commission des lésions professionnelles).</w:t>
      </w:r>
    </w:p>
    <w:p w:rsidR="000C0729" w:rsidRPr="000E37EE" w:rsidRDefault="00333A21" w:rsidP="00374290">
      <w:pPr>
        <w:pStyle w:val="SCCNormalDoubleSpacing"/>
        <w:spacing w:before="480" w:after="480"/>
        <w:rPr>
          <w:lang w:val="fr-CA"/>
        </w:rPr>
      </w:pPr>
      <w:r w:rsidRPr="000E37EE">
        <w:rPr>
          <w:rStyle w:val="SCCCounselNameChar"/>
          <w:lang w:val="fr-CA"/>
        </w:rPr>
        <w:tab/>
      </w:r>
      <w:r w:rsidR="009E198C" w:rsidRPr="000E37EE">
        <w:rPr>
          <w:rStyle w:val="SCCCounselNameChar"/>
          <w:lang w:val="fr-CA"/>
        </w:rPr>
        <w:t xml:space="preserve">Pierre Douville </w:t>
      </w:r>
      <w:r w:rsidR="009E198C" w:rsidRPr="000E37EE">
        <w:rPr>
          <w:rStyle w:val="SCCCounselNameChar"/>
          <w:i w:val="0"/>
          <w:lang w:val="fr-CA"/>
        </w:rPr>
        <w:t xml:space="preserve">et </w:t>
      </w:r>
      <w:r w:rsidRPr="000E37EE">
        <w:rPr>
          <w:rStyle w:val="SCCCounselNameChar"/>
          <w:lang w:val="fr-CA"/>
        </w:rPr>
        <w:t>Isabelle Auclair</w:t>
      </w:r>
      <w:r w:rsidR="00CD4D6D" w:rsidRPr="000E37EE">
        <w:rPr>
          <w:rStyle w:val="SCCCounselPartyRoleChar"/>
          <w:lang w:val="fr-CA"/>
        </w:rPr>
        <w:t>, pour l</w:t>
      </w:r>
      <w:r w:rsidR="004E1DF1" w:rsidRPr="000E37EE">
        <w:rPr>
          <w:rStyle w:val="SCCCounselPartyRoleChar"/>
          <w:lang w:val="fr-CA"/>
        </w:rPr>
        <w:t>’</w:t>
      </w:r>
      <w:r w:rsidR="00CD4D6D" w:rsidRPr="000E37EE">
        <w:rPr>
          <w:rStyle w:val="SCCCounselPartyRoleChar"/>
          <w:lang w:val="fr-CA"/>
        </w:rPr>
        <w:t>intervenant</w:t>
      </w:r>
      <w:r w:rsidR="004F5C23" w:rsidRPr="000E37EE">
        <w:rPr>
          <w:rStyle w:val="SCCCounselPartyRoleChar"/>
          <w:lang w:val="fr-CA"/>
        </w:rPr>
        <w:t xml:space="preserve"> le </w:t>
      </w:r>
      <w:r w:rsidRPr="000E37EE">
        <w:rPr>
          <w:rStyle w:val="SCCCounselPartyRoleChar"/>
          <w:lang w:val="fr-CA"/>
        </w:rPr>
        <w:t>Centre Miriam.</w:t>
      </w:r>
    </w:p>
    <w:p w:rsidR="000C0729" w:rsidRPr="000E37EE" w:rsidRDefault="00333A21" w:rsidP="00374290">
      <w:pPr>
        <w:pStyle w:val="SCCNormalDoubleSpacing"/>
        <w:spacing w:before="480" w:after="480"/>
        <w:rPr>
          <w:lang w:val="fr-CA"/>
        </w:rPr>
      </w:pPr>
      <w:r w:rsidRPr="000E37EE">
        <w:rPr>
          <w:rStyle w:val="SCCCounselNameChar"/>
          <w:lang w:val="fr-CA"/>
        </w:rPr>
        <w:tab/>
        <w:t>Jean</w:t>
      </w:r>
      <w:r w:rsidR="00FB7DE8" w:rsidRPr="000E37EE">
        <w:rPr>
          <w:rStyle w:val="SCCCounselNameChar"/>
          <w:lang w:val="fr-CA"/>
        </w:rPr>
        <w:noBreakHyphen/>
      </w:r>
      <w:r w:rsidRPr="000E37EE">
        <w:rPr>
          <w:rStyle w:val="SCCCounselNameChar"/>
          <w:lang w:val="fr-CA"/>
        </w:rPr>
        <w:t>Claude Turcotte</w:t>
      </w:r>
      <w:r w:rsidRPr="000E37EE">
        <w:rPr>
          <w:rStyle w:val="SCCCounselSeparatorChar"/>
          <w:lang w:val="fr-CA"/>
        </w:rPr>
        <w:t xml:space="preserve"> et </w:t>
      </w:r>
      <w:r w:rsidRPr="000E37EE">
        <w:rPr>
          <w:rStyle w:val="SCCCounselNameChar"/>
          <w:lang w:val="fr-CA"/>
        </w:rPr>
        <w:t>Sébastien Parent</w:t>
      </w:r>
      <w:r w:rsidR="009E198C" w:rsidRPr="000E37EE">
        <w:rPr>
          <w:rStyle w:val="SCCCounselPartyRoleChar"/>
          <w:lang w:val="fr-CA"/>
        </w:rPr>
        <w:t>, pour l</w:t>
      </w:r>
      <w:r w:rsidR="004E1DF1" w:rsidRPr="000E37EE">
        <w:rPr>
          <w:rStyle w:val="SCCCounselPartyRoleChar"/>
          <w:lang w:val="fr-CA"/>
        </w:rPr>
        <w:t>’</w:t>
      </w:r>
      <w:r w:rsidR="009E198C" w:rsidRPr="000E37EE">
        <w:rPr>
          <w:rStyle w:val="SCCCounselPartyRoleChar"/>
          <w:lang w:val="fr-CA"/>
        </w:rPr>
        <w:t>intervenant</w:t>
      </w:r>
      <w:r w:rsidR="004F5C23" w:rsidRPr="000E37EE">
        <w:rPr>
          <w:rStyle w:val="SCCCounselPartyRoleChar"/>
          <w:lang w:val="fr-CA"/>
        </w:rPr>
        <w:t xml:space="preserve"> le </w:t>
      </w:r>
      <w:r w:rsidRPr="000E37EE">
        <w:rPr>
          <w:rStyle w:val="SCCCounselPartyRoleChar"/>
          <w:lang w:val="fr-CA"/>
        </w:rPr>
        <w:t>Con</w:t>
      </w:r>
      <w:r w:rsidR="00963817" w:rsidRPr="000E37EE">
        <w:rPr>
          <w:rStyle w:val="SCCCounselPartyRoleChar"/>
          <w:lang w:val="fr-CA"/>
        </w:rPr>
        <w:t>seil du patronat du Québec inc.</w:t>
      </w:r>
    </w:p>
    <w:p w:rsidR="000C0729" w:rsidRPr="000E37EE" w:rsidRDefault="00333A21" w:rsidP="00374290">
      <w:pPr>
        <w:pStyle w:val="SCCNormalDoubleSpacing"/>
        <w:spacing w:before="480" w:after="480"/>
        <w:rPr>
          <w:lang w:val="fr-CA"/>
        </w:rPr>
      </w:pPr>
      <w:r w:rsidRPr="000E37EE">
        <w:rPr>
          <w:rStyle w:val="SCCCounselNameChar"/>
          <w:lang w:val="fr-CA"/>
        </w:rPr>
        <w:tab/>
      </w:r>
      <w:r w:rsidR="009E198C" w:rsidRPr="000E37EE">
        <w:rPr>
          <w:rStyle w:val="SCCCounselNameChar"/>
          <w:lang w:val="fr-CA"/>
        </w:rPr>
        <w:t>Maryth Yachnin</w:t>
      </w:r>
      <w:r w:rsidR="009E198C" w:rsidRPr="000E37EE">
        <w:rPr>
          <w:rStyle w:val="SCCCounselNameChar"/>
          <w:i w:val="0"/>
          <w:lang w:val="fr-CA"/>
        </w:rPr>
        <w:t>,</w:t>
      </w:r>
      <w:r w:rsidR="009E198C" w:rsidRPr="000E37EE">
        <w:rPr>
          <w:rStyle w:val="SCCCounselNameChar"/>
          <w:lang w:val="fr-CA"/>
        </w:rPr>
        <w:t xml:space="preserve"> </w:t>
      </w:r>
      <w:r w:rsidRPr="000E37EE">
        <w:rPr>
          <w:rStyle w:val="SCCCounselNameChar"/>
          <w:lang w:val="fr-CA"/>
        </w:rPr>
        <w:t>Ivana Petricone</w:t>
      </w:r>
      <w:r w:rsidR="009E198C" w:rsidRPr="000E37EE">
        <w:rPr>
          <w:rStyle w:val="SCCCounselNameChar"/>
          <w:lang w:val="fr-CA"/>
        </w:rPr>
        <w:t xml:space="preserve"> </w:t>
      </w:r>
      <w:r w:rsidR="009E198C" w:rsidRPr="000E37EE">
        <w:rPr>
          <w:rStyle w:val="SCCCounselNameChar"/>
          <w:i w:val="0"/>
          <w:lang w:val="fr-CA"/>
        </w:rPr>
        <w:t xml:space="preserve">et </w:t>
      </w:r>
      <w:r w:rsidRPr="000E37EE">
        <w:rPr>
          <w:rStyle w:val="SCCCounselNameChar"/>
          <w:lang w:val="fr-CA"/>
        </w:rPr>
        <w:t>Rachel Weiner</w:t>
      </w:r>
      <w:r w:rsidR="009E198C" w:rsidRPr="000E37EE">
        <w:rPr>
          <w:rStyle w:val="SCCCounselPartyRoleChar"/>
          <w:lang w:val="fr-CA"/>
        </w:rPr>
        <w:t xml:space="preserve">, pour les </w:t>
      </w:r>
      <w:r w:rsidRPr="000E37EE">
        <w:rPr>
          <w:rStyle w:val="SCCCounselPartyRoleChar"/>
          <w:lang w:val="fr-CA"/>
        </w:rPr>
        <w:t>intervenant</w:t>
      </w:r>
      <w:r w:rsidR="009E198C" w:rsidRPr="000E37EE">
        <w:rPr>
          <w:rStyle w:val="SCCCounselPartyRoleChar"/>
          <w:lang w:val="fr-CA"/>
        </w:rPr>
        <w:t>s</w:t>
      </w:r>
      <w:r w:rsidRPr="000E37EE">
        <w:rPr>
          <w:rStyle w:val="SCCCounselPartyRoleChar"/>
          <w:lang w:val="fr-CA"/>
        </w:rPr>
        <w:t xml:space="preserve"> Ontario Network of Injured Workers</w:t>
      </w:r>
      <w:r w:rsidR="004E1DF1" w:rsidRPr="000E37EE">
        <w:rPr>
          <w:rStyle w:val="SCCCounselPartyRoleChar"/>
          <w:lang w:val="fr-CA"/>
        </w:rPr>
        <w:t>’</w:t>
      </w:r>
      <w:r w:rsidRPr="000E37EE">
        <w:rPr>
          <w:rStyle w:val="SCCCounselPartyRoleChar"/>
          <w:lang w:val="fr-CA"/>
        </w:rPr>
        <w:t xml:space="preserve"> Groups</w:t>
      </w:r>
      <w:r w:rsidR="009E198C" w:rsidRPr="000E37EE">
        <w:rPr>
          <w:rStyle w:val="SCCCounselPartyRoleChar"/>
          <w:lang w:val="fr-CA"/>
        </w:rPr>
        <w:t xml:space="preserve"> et Industrial Accident Victims</w:t>
      </w:r>
      <w:r w:rsidR="004E1DF1" w:rsidRPr="000E37EE">
        <w:rPr>
          <w:rStyle w:val="SCCCounselPartyRoleChar"/>
          <w:lang w:val="fr-CA"/>
        </w:rPr>
        <w:t>’</w:t>
      </w:r>
      <w:r w:rsidR="009E198C" w:rsidRPr="000E37EE">
        <w:rPr>
          <w:rStyle w:val="SCCCounselPartyRoleChar"/>
          <w:lang w:val="fr-CA"/>
        </w:rPr>
        <w:t xml:space="preserve"> Group of Ontario</w:t>
      </w:r>
      <w:r w:rsidRPr="000E37EE">
        <w:rPr>
          <w:rStyle w:val="SCCCounselPartyRoleChar"/>
          <w:lang w:val="fr-CA"/>
        </w:rPr>
        <w:t>.</w:t>
      </w:r>
    </w:p>
    <w:p w:rsidR="000C0729" w:rsidRPr="000E37EE" w:rsidRDefault="00333A21" w:rsidP="00374290">
      <w:pPr>
        <w:pStyle w:val="SCCNormalDoubleSpacing"/>
        <w:spacing w:before="480" w:after="480"/>
        <w:rPr>
          <w:lang w:val="fr-CA"/>
        </w:rPr>
      </w:pPr>
      <w:r w:rsidRPr="000E37EE">
        <w:rPr>
          <w:rStyle w:val="SCCCounselNameChar"/>
          <w:lang w:val="fr-CA"/>
        </w:rPr>
        <w:tab/>
      </w:r>
      <w:r w:rsidR="009E198C" w:rsidRPr="000E37EE">
        <w:rPr>
          <w:rStyle w:val="SCCCounselNameChar"/>
          <w:lang w:val="fr-CA"/>
        </w:rPr>
        <w:t>Claudine Morin</w:t>
      </w:r>
      <w:r w:rsidR="009E198C" w:rsidRPr="000E37EE">
        <w:rPr>
          <w:rStyle w:val="SCCCounselNameChar"/>
          <w:i w:val="0"/>
          <w:lang w:val="fr-CA"/>
        </w:rPr>
        <w:t>,</w:t>
      </w:r>
      <w:r w:rsidR="009E198C" w:rsidRPr="000E37EE">
        <w:rPr>
          <w:rStyle w:val="SCCCounselNameChar"/>
          <w:lang w:val="fr-CA"/>
        </w:rPr>
        <w:t xml:space="preserve"> Nathalie Léger </w:t>
      </w:r>
      <w:r w:rsidR="009E198C" w:rsidRPr="000E37EE">
        <w:rPr>
          <w:rStyle w:val="SCCCounselNameChar"/>
          <w:i w:val="0"/>
          <w:lang w:val="fr-CA"/>
        </w:rPr>
        <w:t xml:space="preserve">et </w:t>
      </w:r>
      <w:r w:rsidRPr="000E37EE">
        <w:rPr>
          <w:rStyle w:val="SCCCounselNameChar"/>
          <w:lang w:val="fr-CA"/>
        </w:rPr>
        <w:t>Amy Nguyen</w:t>
      </w:r>
      <w:r w:rsidRPr="000E37EE">
        <w:rPr>
          <w:rStyle w:val="SCCCounselPartyRoleChar"/>
          <w:lang w:val="fr-CA"/>
        </w:rPr>
        <w:t>, pour l</w:t>
      </w:r>
      <w:r w:rsidR="004E1DF1" w:rsidRPr="000E37EE">
        <w:rPr>
          <w:rStyle w:val="SCCCounselPartyRoleChar"/>
          <w:lang w:val="fr-CA"/>
        </w:rPr>
        <w:t>’</w:t>
      </w:r>
      <w:r w:rsidRPr="000E37EE">
        <w:rPr>
          <w:rStyle w:val="SCCCounselPartyRoleChar"/>
          <w:lang w:val="fr-CA"/>
        </w:rPr>
        <w:t xml:space="preserve">intervenante </w:t>
      </w:r>
      <w:r w:rsidR="00963817" w:rsidRPr="000E37EE">
        <w:rPr>
          <w:rStyle w:val="SCCCounselPartyRoleChar"/>
          <w:lang w:val="fr-CA"/>
        </w:rPr>
        <w:t xml:space="preserve">la </w:t>
      </w:r>
      <w:r w:rsidRPr="000E37EE">
        <w:rPr>
          <w:rStyle w:val="SCCCounselPartyRoleChar"/>
          <w:lang w:val="fr-CA"/>
        </w:rPr>
        <w:t>Centrale des syndicats du Québec.</w:t>
      </w:r>
    </w:p>
    <w:p w:rsidR="000C0729" w:rsidRDefault="00333A21" w:rsidP="00374290">
      <w:pPr>
        <w:pStyle w:val="SCCNormalDoubleSpacing"/>
        <w:spacing w:before="480" w:after="480"/>
        <w:rPr>
          <w:rStyle w:val="SCCCounselPartyRoleChar"/>
          <w:lang w:val="fr-CA"/>
        </w:rPr>
      </w:pPr>
      <w:r w:rsidRPr="000E37EE">
        <w:rPr>
          <w:rStyle w:val="SCCCounselNameChar"/>
          <w:lang w:val="fr-CA"/>
        </w:rPr>
        <w:tab/>
        <w:t>Josée Aubé</w:t>
      </w:r>
      <w:r w:rsidRPr="000E37EE">
        <w:rPr>
          <w:rStyle w:val="SCCCounselSeparatorChar"/>
          <w:lang w:val="fr-CA"/>
        </w:rPr>
        <w:t xml:space="preserve">, </w:t>
      </w:r>
      <w:r w:rsidRPr="000E37EE">
        <w:rPr>
          <w:rStyle w:val="SCCCounselNameChar"/>
          <w:lang w:val="fr-CA"/>
        </w:rPr>
        <w:t>Céline Giguère</w:t>
      </w:r>
      <w:r w:rsidRPr="000E37EE">
        <w:rPr>
          <w:rStyle w:val="SCCCounselSeparatorChar"/>
          <w:lang w:val="fr-CA"/>
        </w:rPr>
        <w:t xml:space="preserve"> et </w:t>
      </w:r>
      <w:r w:rsidRPr="000E37EE">
        <w:rPr>
          <w:rStyle w:val="SCCCounselNameChar"/>
          <w:lang w:val="fr-CA"/>
        </w:rPr>
        <w:t>Julie Girard</w:t>
      </w:r>
      <w:r w:rsidR="00FB7DE8" w:rsidRPr="000E37EE">
        <w:rPr>
          <w:rStyle w:val="SCCCounselNameChar"/>
          <w:lang w:val="fr-CA"/>
        </w:rPr>
        <w:noBreakHyphen/>
      </w:r>
      <w:r w:rsidRPr="000E37EE">
        <w:rPr>
          <w:rStyle w:val="SCCCounselNameChar"/>
          <w:lang w:val="fr-CA"/>
        </w:rPr>
        <w:t>Lemay</w:t>
      </w:r>
      <w:r w:rsidRPr="000E37EE">
        <w:rPr>
          <w:rStyle w:val="SCCCounselPartyRoleChar"/>
          <w:lang w:val="fr-CA"/>
        </w:rPr>
        <w:t>, pour l</w:t>
      </w:r>
      <w:r w:rsidR="004E1DF1" w:rsidRPr="000E37EE">
        <w:rPr>
          <w:rStyle w:val="SCCCounselPartyRoleChar"/>
          <w:lang w:val="fr-CA"/>
        </w:rPr>
        <w:t>’</w:t>
      </w:r>
      <w:r w:rsidRPr="000E37EE">
        <w:rPr>
          <w:rStyle w:val="SCCCounselPartyRoleChar"/>
          <w:lang w:val="fr-CA"/>
        </w:rPr>
        <w:t xml:space="preserve">intervenant </w:t>
      </w:r>
      <w:r w:rsidR="00963817" w:rsidRPr="000E37EE">
        <w:rPr>
          <w:rStyle w:val="SCCCounselPartyRoleChar"/>
          <w:lang w:val="fr-CA"/>
        </w:rPr>
        <w:t xml:space="preserve">le </w:t>
      </w:r>
      <w:r w:rsidRPr="000E37EE">
        <w:rPr>
          <w:rStyle w:val="SCCCounselPartyRoleChar"/>
          <w:lang w:val="fr-CA"/>
        </w:rPr>
        <w:t>Syndicat canadien de la fonction publique.</w:t>
      </w:r>
    </w:p>
    <w:p w:rsidR="00730DBB" w:rsidRPr="002E7476" w:rsidRDefault="002E7476" w:rsidP="002E7476">
      <w:pPr>
        <w:pStyle w:val="SCCNormalDoubleSpacing"/>
        <w:spacing w:before="480" w:after="480"/>
        <w:rPr>
          <w:rStyle w:val="SCCCounselPartyRoleChar"/>
          <w:lang w:val="fr-CA"/>
        </w:rPr>
      </w:pPr>
      <w:r>
        <w:rPr>
          <w:rStyle w:val="SCCCounselPartyRoleChar"/>
          <w:lang w:val="fr-CA"/>
        </w:rPr>
        <w:lastRenderedPageBreak/>
        <w:tab/>
      </w:r>
      <w:r w:rsidR="00730DBB" w:rsidRPr="002E7476">
        <w:rPr>
          <w:rStyle w:val="SCCCounselPartyRoleChar"/>
          <w:lang w:val="fr-CA"/>
        </w:rPr>
        <w:t>Version française du jugement de la juge en chef McLachlin et des juges Abella, Karakatsanis, Wagner et Gascon rendu par</w:t>
      </w:r>
    </w:p>
    <w:p w:rsidR="00730DBB" w:rsidRDefault="00730DBB" w:rsidP="00730DBB">
      <w:pPr>
        <w:rPr>
          <w:lang w:val="fr-CA"/>
        </w:rPr>
      </w:pPr>
    </w:p>
    <w:p w:rsidR="00730DBB" w:rsidRPr="006F55E1" w:rsidRDefault="002E7476" w:rsidP="002E7476">
      <w:pPr>
        <w:pStyle w:val="ParaNoNdepar-AltN"/>
        <w:rPr>
          <w:lang w:val="fr-CA"/>
        </w:rPr>
      </w:pPr>
      <w:r w:rsidRPr="00D22257">
        <w:rPr>
          <w:rFonts w:cs="Times New Roman"/>
          <w:smallCaps/>
          <w:lang w:val="fr-CA"/>
        </w:rPr>
        <w:t>La juge Abella</w:t>
      </w:r>
      <w:r w:rsidRPr="002E7476">
        <w:rPr>
          <w:rFonts w:cs="Times New Roman"/>
          <w:lang w:val="fr-CA"/>
        </w:rPr>
        <w:t xml:space="preserve"> — </w:t>
      </w:r>
      <w:r w:rsidR="00730DBB" w:rsidRPr="006F55E1">
        <w:rPr>
          <w:lang w:val="fr-CA"/>
        </w:rPr>
        <w:t xml:space="preserve">La </w:t>
      </w:r>
      <w:r w:rsidR="00730DBB" w:rsidRPr="006F55E1">
        <w:rPr>
          <w:i/>
          <w:lang w:val="fr-CA"/>
        </w:rPr>
        <w:t>Loi sur les accidents du travail et les maladies professionnelles</w:t>
      </w:r>
      <w:r w:rsidR="00730DBB" w:rsidRPr="00B707B6">
        <w:rPr>
          <w:rStyle w:val="Hyperlink"/>
          <w:u w:val="none"/>
          <w:vertAlign w:val="superscript"/>
        </w:rPr>
        <w:footnoteReference w:id="1"/>
      </w:r>
      <w:r w:rsidR="00730DBB" w:rsidRPr="006F55E1">
        <w:rPr>
          <w:lang w:val="fr-CA"/>
        </w:rPr>
        <w:t xml:space="preserve"> régit le régime d’indemnisation des accidentés du travail au Québec. Elle précise que le travailleur qui devient invalide par suite d’une lésion professionnelle bénéficie d’un certain nombre de prestations, entre autres d’une indemnité de remplacement du revenu, de soutien en vue de sa réadaptation et, lorsque certaines conditions sont remplies, du « droit au retour au travail » chez son employeur. </w:t>
      </w:r>
    </w:p>
    <w:p w:rsidR="00730DBB" w:rsidRPr="006F55E1" w:rsidRDefault="00730DBB" w:rsidP="00730DBB">
      <w:pPr>
        <w:pStyle w:val="ParaNoNdepar-AltN"/>
        <w:rPr>
          <w:rFonts w:cs="Times New Roman"/>
          <w:lang w:val="fr-CA"/>
        </w:rPr>
      </w:pPr>
      <w:r w:rsidRPr="006F55E1">
        <w:rPr>
          <w:rFonts w:cs="Times New Roman"/>
          <w:lang w:val="fr-CA"/>
        </w:rPr>
        <w:t>Le travailleur victime d’une lésion professionnelle qui peut retourner au travail dans un délai précis a le droit de réintégrer l’emploi qu’il occupait avant de se blesser ou un emploi équivalent</w:t>
      </w:r>
      <w:r w:rsidRPr="00B707B6">
        <w:rPr>
          <w:rStyle w:val="Hyperlink"/>
          <w:u w:val="none"/>
          <w:vertAlign w:val="superscript"/>
        </w:rPr>
        <w:footnoteReference w:id="2"/>
      </w:r>
      <w:r w:rsidRPr="006F55E1">
        <w:rPr>
          <w:rFonts w:cs="Times New Roman"/>
          <w:lang w:val="fr-CA"/>
        </w:rPr>
        <w:t xml:space="preserve">. Si, en raison de cette lésion professionnelle, le travailleur est incapable de réintégrer l’emploi qu’il occupait, il a le droit d’occuper le premier emploi </w:t>
      </w:r>
      <w:r w:rsidRPr="006F55E1">
        <w:rPr>
          <w:rFonts w:cs="Times New Roman"/>
          <w:i/>
          <w:lang w:val="fr-CA"/>
        </w:rPr>
        <w:t>convenable</w:t>
      </w:r>
      <w:r w:rsidRPr="006F55E1">
        <w:rPr>
          <w:rFonts w:cs="Times New Roman"/>
          <w:lang w:val="fr-CA"/>
        </w:rPr>
        <w:t xml:space="preserve"> qui devient disponible chez son employeur</w:t>
      </w:r>
      <w:r w:rsidRPr="00B707B6">
        <w:rPr>
          <w:rStyle w:val="Hyperlink"/>
          <w:u w:val="none"/>
          <w:vertAlign w:val="superscript"/>
        </w:rPr>
        <w:footnoteReference w:id="3"/>
      </w:r>
      <w:r w:rsidRPr="006F55E1">
        <w:rPr>
          <w:rFonts w:cs="Times New Roman"/>
          <w:lang w:val="fr-CA"/>
        </w:rPr>
        <w:t xml:space="preserve">. </w:t>
      </w:r>
    </w:p>
    <w:p w:rsidR="00730DBB" w:rsidRPr="006F55E1" w:rsidRDefault="00730DBB" w:rsidP="00730DBB">
      <w:pPr>
        <w:pStyle w:val="ParaNoNdepar-AltN"/>
        <w:rPr>
          <w:rFonts w:cs="Times New Roman"/>
          <w:lang w:val="fr-CA"/>
        </w:rPr>
      </w:pPr>
      <w:r w:rsidRPr="006F55E1">
        <w:rPr>
          <w:rFonts w:cs="Times New Roman"/>
          <w:szCs w:val="24"/>
          <w:lang w:val="fr-CA"/>
        </w:rPr>
        <w:lastRenderedPageBreak/>
        <w:t xml:space="preserve">Le présent pourvoi soulève la question de savoir si la Commission de la santé et de la sécurité du travail (CSST) et la Commission des lésions professionnelles (CLP) doivent tenir compte de l’obligation de l’employeur de prendre des mesures d’accommodement raisonnables à l’égard d’un travailleur victime d’une lésion professionnelle lorsqu’elles décident si un retour au travail est possible en vertu du régime, et selon quelles modalités. </w:t>
      </w:r>
    </w:p>
    <w:p w:rsidR="00730DBB" w:rsidRPr="006F55E1" w:rsidRDefault="00730DBB" w:rsidP="00730DBB">
      <w:pPr>
        <w:pStyle w:val="ParaNoNdepar-AltN"/>
        <w:rPr>
          <w:rFonts w:cs="Times New Roman"/>
          <w:lang w:val="fr-CA"/>
        </w:rPr>
      </w:pPr>
      <w:r w:rsidRPr="006F55E1">
        <w:rPr>
          <w:rFonts w:cs="Times New Roman"/>
          <w:lang w:val="fr-CA"/>
        </w:rPr>
        <w:t>La présente affaire appartient à la sphère classique de la décision raisonnable — la CLP interprète la portée et l’application de sa loi constitutive. À mon avis, toutefois, sa conclusion selon laquelle le régime n’impose aucune obligation d’accommodement raisonnable aux employeurs ne résiste pas à un contrôle selon la norme de la décision raisonnable.</w:t>
      </w:r>
    </w:p>
    <w:p w:rsidR="00730DBB" w:rsidRPr="006F55E1" w:rsidRDefault="00730DBB" w:rsidP="00730DBB">
      <w:pPr>
        <w:pStyle w:val="TitleTitre-AltT"/>
        <w:rPr>
          <w:rFonts w:cs="Times New Roman"/>
          <w:lang w:val="fr-CA"/>
        </w:rPr>
      </w:pPr>
      <w:r w:rsidRPr="006F55E1">
        <w:rPr>
          <w:rFonts w:cs="Times New Roman"/>
          <w:u w:val="single"/>
          <w:lang w:val="fr-CA"/>
        </w:rPr>
        <w:t>Contexte</w:t>
      </w:r>
    </w:p>
    <w:p w:rsidR="00730DBB" w:rsidRPr="006F55E1" w:rsidRDefault="00730DBB" w:rsidP="00730DBB">
      <w:pPr>
        <w:pStyle w:val="ParaNoNdepar-AltN"/>
        <w:rPr>
          <w:rFonts w:cs="Times New Roman"/>
          <w:lang w:val="fr-CA"/>
        </w:rPr>
      </w:pPr>
      <w:r w:rsidRPr="006F55E1">
        <w:rPr>
          <w:rFonts w:cs="Times New Roman"/>
          <w:lang w:val="fr-CA"/>
        </w:rPr>
        <w:t xml:space="preserve">Alain Caron travaillait comme éducateur spécialisé au Centre Miriam, un centre pour personnes ayant des déficiences intellectuelles. Le 20 octobre 2004, il s’est blessé au coude gauche en heurtant un cadre de porte pendant qu’il exerçait ses fonctions; il a développé une épicondylite latérale ou « coude du joueur de tennis ». Cette blessure a été reconnue comme une lésion professionnelle au sens de l’art. 2 de la </w:t>
      </w:r>
      <w:r w:rsidRPr="006F55E1">
        <w:rPr>
          <w:rFonts w:cs="Times New Roman"/>
          <w:i/>
          <w:lang w:val="fr-CA"/>
        </w:rPr>
        <w:t>Loi</w:t>
      </w:r>
      <w:r w:rsidRPr="006F55E1">
        <w:rPr>
          <w:rFonts w:cs="Times New Roman"/>
          <w:lang w:val="fr-CA"/>
        </w:rPr>
        <w:t xml:space="preserve">, qui dispose : </w:t>
      </w:r>
    </w:p>
    <w:p w:rsidR="00730DBB" w:rsidRPr="006F55E1" w:rsidRDefault="00730DBB" w:rsidP="00730DBB">
      <w:pPr>
        <w:pStyle w:val="Citation-AltC"/>
        <w:ind w:hanging="1166"/>
        <w:contextualSpacing w:val="0"/>
        <w:rPr>
          <w:b/>
          <w:lang w:val="fr-CA"/>
        </w:rPr>
      </w:pPr>
      <w:r w:rsidRPr="006F55E1">
        <w:rPr>
          <w:lang w:val="fr-CA"/>
        </w:rPr>
        <w:tab/>
      </w:r>
      <w:r w:rsidRPr="006F55E1">
        <w:rPr>
          <w:lang w:val="fr-CA"/>
        </w:rPr>
        <w:tab/>
      </w:r>
      <w:r w:rsidRPr="00B707B6">
        <w:rPr>
          <w:lang w:val="fr-CA"/>
        </w:rPr>
        <w:t>« </w:t>
      </w:r>
      <w:r w:rsidRPr="006F55E1">
        <w:rPr>
          <w:b/>
          <w:lang w:val="fr-CA"/>
        </w:rPr>
        <w:t>lésion professionnelle </w:t>
      </w:r>
      <w:r w:rsidRPr="00B707B6">
        <w:rPr>
          <w:lang w:val="fr-CA"/>
        </w:rPr>
        <w:t>»</w:t>
      </w:r>
      <w:r w:rsidRPr="006F55E1">
        <w:rPr>
          <w:lang w:val="fr-CA"/>
        </w:rPr>
        <w:t> : une blessure ou une maladie qui survient par le fait ou à l’occasion d’un accident du travail, ou une maladie professionnelle, y compris la récidive, la rechute ou l’aggravation;</w:t>
      </w:r>
      <w:r w:rsidRPr="006F55E1">
        <w:rPr>
          <w:sz w:val="22"/>
          <w:lang w:val="fr-CA"/>
        </w:rPr>
        <w:t xml:space="preserve"> </w:t>
      </w:r>
    </w:p>
    <w:p w:rsidR="00730DBB" w:rsidRPr="006F55E1" w:rsidRDefault="00730DBB" w:rsidP="00730DBB">
      <w:pPr>
        <w:pStyle w:val="ParaNoNdepar-AltN"/>
        <w:rPr>
          <w:rFonts w:cs="Times New Roman"/>
          <w:sz w:val="22"/>
          <w:lang w:val="fr-CA"/>
        </w:rPr>
      </w:pPr>
      <w:r w:rsidRPr="006F55E1">
        <w:rPr>
          <w:rFonts w:cs="Times New Roman"/>
          <w:lang w:val="fr-CA"/>
        </w:rPr>
        <w:lastRenderedPageBreak/>
        <w:t>Le jour suivant celui où M. Caron s’est blessé, le Centre Miriam l’a affecté temporairement au poste de chef d’équipe du quart de nuit. Durant la période concernée, le Centre Miriam</w:t>
      </w:r>
      <w:r w:rsidRPr="006F55E1">
        <w:rPr>
          <w:rFonts w:cs="Times New Roman"/>
          <w:i/>
          <w:lang w:val="fr-CA"/>
        </w:rPr>
        <w:t xml:space="preserve"> </w:t>
      </w:r>
      <w:r w:rsidRPr="006F55E1">
        <w:rPr>
          <w:rFonts w:cs="Times New Roman"/>
          <w:lang w:val="fr-CA"/>
        </w:rPr>
        <w:t>était chargé de transférer des patients ayant des déficiences intellectuelles ou des troubles du développement de l’hôpital Rivière</w:t>
      </w:r>
      <w:r w:rsidRPr="006F55E1">
        <w:rPr>
          <w:rFonts w:cs="Times New Roman"/>
          <w:lang w:val="fr-CA"/>
        </w:rPr>
        <w:noBreakHyphen/>
        <w:t>des</w:t>
      </w:r>
      <w:r w:rsidRPr="006F55E1">
        <w:rPr>
          <w:rFonts w:cs="Times New Roman"/>
          <w:lang w:val="fr-CA"/>
        </w:rPr>
        <w:noBreakHyphen/>
        <w:t xml:space="preserve">Prairies vers des endroits adaptés à leurs besoins, par exemple des résidences spécialisées. M. Caron aidait à remplir les documents nécessaires, en plus de former et d’appuyer le personnel — existant et nouveau — de l’équipe de nuit. </w:t>
      </w:r>
    </w:p>
    <w:p w:rsidR="00730DBB" w:rsidRPr="006F55E1" w:rsidRDefault="00730DBB" w:rsidP="00730DBB">
      <w:pPr>
        <w:pStyle w:val="ParaNoNdepar-AltN"/>
        <w:rPr>
          <w:rFonts w:cs="Times New Roman"/>
          <w:lang w:val="fr-CA"/>
        </w:rPr>
      </w:pPr>
      <w:r w:rsidRPr="006F55E1">
        <w:rPr>
          <w:rFonts w:cs="Times New Roman"/>
          <w:lang w:val="fr-CA"/>
        </w:rPr>
        <w:t>Le Centre Miriam a mis fin à l’affectation temporaire de M. Caron en 2007, une fois terminé le processus de transfert des personnes confiées à ses soins. Le Centre a aussi décidé qu’en raison de son invalidité, M. Caron ne pouvait réintégrer le poste d’éducateur qu’il occupait avant de se blesser et lui a affirmé ne disposer d’aucun emploi convenable à lui offrir.</w:t>
      </w:r>
    </w:p>
    <w:p w:rsidR="00730DBB" w:rsidRPr="006F55E1" w:rsidRDefault="00730DBB" w:rsidP="00730DBB">
      <w:pPr>
        <w:pStyle w:val="ParaNoNdepar-AltN"/>
        <w:rPr>
          <w:rFonts w:cs="Times New Roman"/>
          <w:lang w:val="fr-CA"/>
        </w:rPr>
      </w:pPr>
      <w:r w:rsidRPr="006F55E1">
        <w:rPr>
          <w:rFonts w:cs="Times New Roman"/>
          <w:lang w:val="fr-CA"/>
        </w:rPr>
        <w:t xml:space="preserve">À l’époque, la </w:t>
      </w:r>
      <w:r w:rsidR="00B707B6">
        <w:rPr>
          <w:rStyle w:val="ParaNoNdepar-AltNChar"/>
          <w:rFonts w:cs="Times New Roman"/>
          <w:lang w:val="fr-CA"/>
        </w:rPr>
        <w:t>CSST et, en appel, la CLP</w:t>
      </w:r>
      <w:r w:rsidRPr="006F55E1">
        <w:rPr>
          <w:rStyle w:val="ParaNoNdepar-AltNChar"/>
          <w:rFonts w:cs="Times New Roman"/>
          <w:lang w:val="fr-CA"/>
        </w:rPr>
        <w:t xml:space="preserve"> étaient les organismes administratifs chargés de la mise en œuvre de la </w:t>
      </w:r>
      <w:r w:rsidRPr="006F55E1">
        <w:rPr>
          <w:rStyle w:val="ParaNoNdepar-AltNChar"/>
          <w:rFonts w:cs="Times New Roman"/>
          <w:i/>
          <w:lang w:val="fr-CA"/>
        </w:rPr>
        <w:t>Loi</w:t>
      </w:r>
      <w:r w:rsidRPr="00B707B6">
        <w:rPr>
          <w:rStyle w:val="Hyperlink"/>
          <w:u w:val="none"/>
          <w:vertAlign w:val="superscript"/>
        </w:rPr>
        <w:footnoteReference w:id="4"/>
      </w:r>
      <w:r w:rsidRPr="006F55E1">
        <w:rPr>
          <w:rStyle w:val="ParaNoNdepar-AltNChar"/>
          <w:rFonts w:cs="Times New Roman"/>
          <w:lang w:val="fr-CA"/>
        </w:rPr>
        <w:t xml:space="preserve">. La CSST a compétence </w:t>
      </w:r>
      <w:r w:rsidRPr="006F55E1">
        <w:rPr>
          <w:rFonts w:cs="Times New Roman"/>
          <w:lang w:val="fr-CA"/>
        </w:rPr>
        <w:t xml:space="preserve">exclusive pour examiner et décider toute question visée par la </w:t>
      </w:r>
      <w:r w:rsidRPr="006F55E1">
        <w:rPr>
          <w:rFonts w:cs="Times New Roman"/>
          <w:i/>
          <w:lang w:val="fr-CA"/>
        </w:rPr>
        <w:t>Loi</w:t>
      </w:r>
      <w:r w:rsidRPr="00FC027F">
        <w:rPr>
          <w:rStyle w:val="Hyperlink"/>
          <w:vertAlign w:val="superscript"/>
        </w:rPr>
        <w:footnoteReference w:id="5"/>
      </w:r>
      <w:r w:rsidRPr="006F55E1">
        <w:rPr>
          <w:rFonts w:cs="Times New Roman"/>
          <w:lang w:val="fr-CA"/>
        </w:rPr>
        <w:t>, y compris les conclusions sur la capacité d’un travailleur de réintégrer l’emploi qu’il occupait avant sa blessure ou d’exercer un emploi convenable (</w:t>
      </w:r>
      <w:r w:rsidRPr="006F55E1">
        <w:rPr>
          <w:rFonts w:cs="Times New Roman"/>
          <w:i/>
          <w:lang w:val="fr-CA"/>
        </w:rPr>
        <w:t>Société des établissements de plein air du Québec c. Syndicat de la fonction publique du Québec</w:t>
      </w:r>
      <w:r w:rsidRPr="006F55E1">
        <w:rPr>
          <w:rFonts w:cs="Times New Roman"/>
          <w:lang w:val="fr-CA"/>
        </w:rPr>
        <w:t>, 2009 QCCA 329 (</w:t>
      </w:r>
      <w:r w:rsidRPr="006F55E1">
        <w:rPr>
          <w:rFonts w:cs="Times New Roman"/>
          <w:i/>
          <w:lang w:val="fr-CA"/>
        </w:rPr>
        <w:t>SEPAQ</w:t>
      </w:r>
      <w:r w:rsidRPr="006F55E1">
        <w:rPr>
          <w:rFonts w:cs="Times New Roman"/>
          <w:lang w:val="fr-CA"/>
        </w:rPr>
        <w:t xml:space="preserve">); </w:t>
      </w:r>
      <w:r w:rsidRPr="006F55E1">
        <w:rPr>
          <w:rFonts w:cs="Times New Roman"/>
          <w:i/>
          <w:lang w:val="fr-CA"/>
        </w:rPr>
        <w:t xml:space="preserve">Syndicat </w:t>
      </w:r>
      <w:r w:rsidRPr="006F55E1">
        <w:rPr>
          <w:rFonts w:cs="Times New Roman"/>
          <w:i/>
          <w:lang w:val="fr-CA"/>
        </w:rPr>
        <w:lastRenderedPageBreak/>
        <w:t>canadien des communications, de l’énergie et du papier, section locale 427 c. Tembec, usine de Matane</w:t>
      </w:r>
      <w:r w:rsidRPr="006F55E1">
        <w:rPr>
          <w:rFonts w:cs="Times New Roman"/>
          <w:lang w:val="fr-CA"/>
        </w:rPr>
        <w:t>, 2012 QCCA 179). Elle a le pouvoir de « rend[re] ses décisions suivant l’équité, d’après le mérite réel et la justice du cas »</w:t>
      </w:r>
      <w:r w:rsidRPr="00B707B6">
        <w:rPr>
          <w:rStyle w:val="Hyperlink"/>
          <w:u w:val="none"/>
          <w:vertAlign w:val="superscript"/>
        </w:rPr>
        <w:footnoteReference w:id="6"/>
      </w:r>
      <w:r w:rsidRPr="00B707B6">
        <w:rPr>
          <w:rFonts w:cs="Times New Roman"/>
          <w:lang w:val="fr-CA"/>
        </w:rPr>
        <w:t>.</w:t>
      </w:r>
      <w:r w:rsidRPr="006F55E1">
        <w:rPr>
          <w:rFonts w:cs="Times New Roman"/>
          <w:lang w:val="fr-CA"/>
        </w:rPr>
        <w:t xml:space="preserve"> Sa décision fait d’abord l’objet d’une révision à l’interne</w:t>
      </w:r>
      <w:r w:rsidRPr="00B707B6">
        <w:rPr>
          <w:rStyle w:val="Hyperlink"/>
          <w:u w:val="none"/>
          <w:vertAlign w:val="superscript"/>
        </w:rPr>
        <w:footnoteReference w:id="7"/>
      </w:r>
      <w:r w:rsidRPr="006F55E1">
        <w:rPr>
          <w:rFonts w:cs="Times New Roman"/>
          <w:b/>
          <w:lang w:val="fr-CA"/>
        </w:rPr>
        <w:t xml:space="preserve"> </w:t>
      </w:r>
      <w:r w:rsidRPr="006F55E1">
        <w:rPr>
          <w:rFonts w:cs="Times New Roman"/>
          <w:lang w:val="fr-CA"/>
        </w:rPr>
        <w:t xml:space="preserve">et peut ensuite être contestée devant la </w:t>
      </w:r>
      <w:r w:rsidRPr="006F55E1">
        <w:rPr>
          <w:rStyle w:val="ParaNoNdepar-AltNChar"/>
          <w:rFonts w:cs="Times New Roman"/>
          <w:lang w:val="fr-CA"/>
        </w:rPr>
        <w:t>CLP</w:t>
      </w:r>
      <w:r w:rsidRPr="00B707B6">
        <w:rPr>
          <w:rStyle w:val="Hyperlink"/>
          <w:u w:val="none"/>
          <w:vertAlign w:val="superscript"/>
        </w:rPr>
        <w:footnoteReference w:id="8"/>
      </w:r>
      <w:r w:rsidRPr="006F55E1">
        <w:rPr>
          <w:rStyle w:val="ParaNoNdepar-AltNChar"/>
          <w:rFonts w:cs="Times New Roman"/>
          <w:lang w:val="fr-CA"/>
        </w:rPr>
        <w:t>, qui a compétence exclusive en appel</w:t>
      </w:r>
      <w:r w:rsidRPr="00B707B6">
        <w:rPr>
          <w:rStyle w:val="Hyperlink"/>
          <w:u w:val="none"/>
          <w:vertAlign w:val="superscript"/>
        </w:rPr>
        <w:footnoteReference w:id="9"/>
      </w:r>
      <w:r w:rsidRPr="006F55E1">
        <w:rPr>
          <w:rStyle w:val="ParaNoNdepar-AltNChar"/>
          <w:rFonts w:cs="Times New Roman"/>
          <w:lang w:val="fr-CA"/>
        </w:rPr>
        <w:t>.</w:t>
      </w:r>
      <w:r w:rsidRPr="006F55E1">
        <w:rPr>
          <w:rFonts w:cs="Times New Roman"/>
          <w:b/>
          <w:lang w:val="fr-CA"/>
        </w:rPr>
        <w:t xml:space="preserve"> </w:t>
      </w:r>
    </w:p>
    <w:p w:rsidR="00730DBB" w:rsidRPr="006F55E1" w:rsidRDefault="00730DBB" w:rsidP="00730DBB">
      <w:pPr>
        <w:pStyle w:val="ParaNoNdepar-AltN"/>
        <w:rPr>
          <w:rFonts w:cs="Times New Roman"/>
          <w:lang w:val="fr-CA"/>
        </w:rPr>
      </w:pPr>
      <w:r w:rsidRPr="006F55E1">
        <w:rPr>
          <w:rFonts w:cs="Times New Roman"/>
          <w:lang w:val="fr-CA"/>
        </w:rPr>
        <w:t xml:space="preserve">La </w:t>
      </w:r>
      <w:r w:rsidRPr="006F55E1">
        <w:rPr>
          <w:rStyle w:val="ParaNoNdepar-AltNChar"/>
          <w:rFonts w:cs="Times New Roman"/>
          <w:lang w:val="fr-CA"/>
        </w:rPr>
        <w:t xml:space="preserve">CLP </w:t>
      </w:r>
      <w:r w:rsidRPr="006F55E1">
        <w:rPr>
          <w:rFonts w:cs="Times New Roman"/>
          <w:lang w:val="fr-CA"/>
        </w:rPr>
        <w:t>peut rendre la décision, l’ordre ou l’ordonnance qui, à son avis, aurait dû être rendu en premier lieu</w:t>
      </w:r>
      <w:r w:rsidRPr="00B707B6">
        <w:rPr>
          <w:rStyle w:val="Hyperlink"/>
          <w:u w:val="none"/>
          <w:vertAlign w:val="superscript"/>
        </w:rPr>
        <w:footnoteReference w:id="10"/>
      </w:r>
      <w:r w:rsidRPr="006F55E1">
        <w:rPr>
          <w:rFonts w:cs="Times New Roman"/>
          <w:lang w:val="fr-CA"/>
        </w:rPr>
        <w:t>. Elle peut décider de toute question de droit ou de fait nécessaire à l’exercice de sa compétence</w:t>
      </w:r>
      <w:r w:rsidRPr="00B707B6">
        <w:rPr>
          <w:rStyle w:val="Hyperlink"/>
          <w:u w:val="none"/>
          <w:vertAlign w:val="superscript"/>
        </w:rPr>
        <w:footnoteReference w:id="11"/>
      </w:r>
      <w:r w:rsidRPr="006F55E1">
        <w:rPr>
          <w:rFonts w:cs="Times New Roman"/>
          <w:lang w:val="fr-CA"/>
        </w:rPr>
        <w:t>, et elle peut rendre toute ordonnance qu’elle estime propre à sauvegarder les droits des parties</w:t>
      </w:r>
      <w:r w:rsidRPr="00B707B6">
        <w:rPr>
          <w:rStyle w:val="Hyperlink"/>
          <w:u w:val="none"/>
          <w:vertAlign w:val="superscript"/>
        </w:rPr>
        <w:footnoteReference w:id="12"/>
      </w:r>
      <w:r w:rsidRPr="00B707B6">
        <w:rPr>
          <w:rFonts w:cs="Times New Roman"/>
          <w:lang w:val="fr-CA"/>
        </w:rPr>
        <w:t>.</w:t>
      </w:r>
    </w:p>
    <w:p w:rsidR="00730DBB" w:rsidRPr="006F55E1" w:rsidRDefault="00730DBB" w:rsidP="00730DBB">
      <w:pPr>
        <w:pStyle w:val="ParaNoNdepar-AltN"/>
        <w:rPr>
          <w:rFonts w:cs="Times New Roman"/>
          <w:lang w:val="fr-CA"/>
        </w:rPr>
      </w:pPr>
      <w:r w:rsidRPr="006F55E1">
        <w:rPr>
          <w:rFonts w:cs="Times New Roman"/>
          <w:lang w:val="fr-CA"/>
        </w:rPr>
        <w:t xml:space="preserve">La </w:t>
      </w:r>
      <w:r w:rsidRPr="006F55E1">
        <w:rPr>
          <w:rStyle w:val="ParaNoNdepar-AltNChar"/>
          <w:rFonts w:cs="Times New Roman"/>
          <w:lang w:val="fr-CA"/>
        </w:rPr>
        <w:t xml:space="preserve">CSST </w:t>
      </w:r>
      <w:r w:rsidRPr="006F55E1">
        <w:rPr>
          <w:rFonts w:cs="Times New Roman"/>
          <w:lang w:val="fr-CA"/>
        </w:rPr>
        <w:t xml:space="preserve">a informé M. Caron que, comme aucun emploi convenable n’était disponible au Centre Miriam, elle poursuivrait le processus de réadaptation professionnelle et chercherait des solutions ailleurs. M. Caron a fait valoir que cette décision était prématurée et que le processus de réadaptation devait se poursuivre auprès du Centre Miriam afin d’assurer l’application des protections contre la </w:t>
      </w:r>
      <w:r w:rsidRPr="006F55E1">
        <w:rPr>
          <w:rFonts w:cs="Times New Roman"/>
          <w:lang w:val="fr-CA"/>
        </w:rPr>
        <w:lastRenderedPageBreak/>
        <w:t xml:space="preserve">discrimination garanties par la </w:t>
      </w:r>
      <w:r w:rsidRPr="006F55E1">
        <w:rPr>
          <w:rFonts w:cs="Times New Roman"/>
          <w:i/>
          <w:lang w:val="fr-CA"/>
        </w:rPr>
        <w:t xml:space="preserve">Charte des droits et libertés de la personne </w:t>
      </w:r>
      <w:r w:rsidRPr="006F55E1">
        <w:rPr>
          <w:rFonts w:cs="Times New Roman"/>
          <w:lang w:val="fr-CA"/>
        </w:rPr>
        <w:t>du Québec</w:t>
      </w:r>
      <w:r w:rsidRPr="00B707B6">
        <w:rPr>
          <w:rStyle w:val="Hyperlink"/>
          <w:u w:val="none"/>
          <w:vertAlign w:val="superscript"/>
        </w:rPr>
        <w:footnoteReference w:id="13"/>
      </w:r>
      <w:r w:rsidRPr="006F55E1">
        <w:rPr>
          <w:rFonts w:cs="Times New Roman"/>
          <w:lang w:val="fr-CA"/>
        </w:rPr>
        <w:t xml:space="preserve">, y compris l’obligation de l’employeur de prendre des mesures d’accommodement. </w:t>
      </w:r>
    </w:p>
    <w:p w:rsidR="00730DBB" w:rsidRPr="006F55E1" w:rsidRDefault="00730DBB" w:rsidP="00730DBB">
      <w:pPr>
        <w:pStyle w:val="ParaNoNdepar-AltN"/>
        <w:rPr>
          <w:rFonts w:cs="Times New Roman"/>
          <w:lang w:val="fr-CA"/>
        </w:rPr>
      </w:pPr>
      <w:r w:rsidRPr="006F55E1">
        <w:rPr>
          <w:rFonts w:cs="Times New Roman"/>
          <w:lang w:val="fr-CA"/>
        </w:rPr>
        <w:t xml:space="preserve">Au terme de son examen, la </w:t>
      </w:r>
      <w:r w:rsidRPr="006F55E1">
        <w:rPr>
          <w:rStyle w:val="ParaNoNdepar-AltNChar"/>
          <w:rFonts w:cs="Times New Roman"/>
          <w:lang w:val="fr-CA"/>
        </w:rPr>
        <w:t xml:space="preserve">CSST a conclu que l’obligation d’accommodement découlant de la </w:t>
      </w:r>
      <w:r w:rsidRPr="006F55E1">
        <w:rPr>
          <w:rStyle w:val="ParaNoNdepar-AltNChar"/>
          <w:rFonts w:cs="Times New Roman"/>
          <w:i/>
          <w:lang w:val="fr-CA"/>
        </w:rPr>
        <w:t>Charte</w:t>
      </w:r>
      <w:r w:rsidRPr="006F55E1">
        <w:rPr>
          <w:rStyle w:val="ParaNoNdepar-AltNChar"/>
          <w:rFonts w:cs="Times New Roman"/>
          <w:lang w:val="fr-CA"/>
        </w:rPr>
        <w:t xml:space="preserve"> québécoise ne s’applique pas à la </w:t>
      </w:r>
      <w:r w:rsidRPr="006F55E1">
        <w:rPr>
          <w:rStyle w:val="ParaNoNdepar-AltNChar"/>
          <w:rFonts w:cs="Times New Roman"/>
          <w:i/>
          <w:lang w:val="fr-CA"/>
        </w:rPr>
        <w:t>Loi</w:t>
      </w:r>
      <w:r w:rsidRPr="006F55E1">
        <w:rPr>
          <w:rStyle w:val="ParaNoNdepar-AltNChar"/>
          <w:rFonts w:cs="Times New Roman"/>
          <w:lang w:val="fr-CA"/>
        </w:rPr>
        <w:t>.</w:t>
      </w:r>
    </w:p>
    <w:p w:rsidR="00730DBB" w:rsidRPr="006F55E1" w:rsidRDefault="00730DBB" w:rsidP="00730DBB">
      <w:pPr>
        <w:pStyle w:val="ParaNoNdepar-AltN"/>
        <w:rPr>
          <w:rFonts w:cs="Times New Roman"/>
          <w:lang w:val="fr-CA"/>
        </w:rPr>
      </w:pPr>
      <w:r w:rsidRPr="006F55E1">
        <w:rPr>
          <w:rFonts w:cs="Times New Roman"/>
          <w:lang w:val="fr-CA"/>
        </w:rPr>
        <w:t xml:space="preserve">La </w:t>
      </w:r>
      <w:r w:rsidRPr="006F55E1">
        <w:rPr>
          <w:rStyle w:val="ParaNoNdepar-AltNChar"/>
          <w:rFonts w:cs="Times New Roman"/>
          <w:lang w:val="fr-CA"/>
        </w:rPr>
        <w:t xml:space="preserve">CLP </w:t>
      </w:r>
      <w:r w:rsidRPr="006F55E1">
        <w:rPr>
          <w:rFonts w:cs="Times New Roman"/>
          <w:lang w:val="fr-CA"/>
        </w:rPr>
        <w:t xml:space="preserve">a rejeté l’appel de M. Caron ([2012] C.L.P. 173), concluant que les prestations prévues par les dispositions législatives pertinentes représentent la pleine étendue de l’obligation d’accommodement qui incombe aux employeurs, et qu’aucune autre mesure d’accommodement ne pouvait leur être imposée. Elle a de plus conclu que le droit de retour au travail de M. Caron était expiré. </w:t>
      </w:r>
    </w:p>
    <w:p w:rsidR="00730DBB" w:rsidRPr="006F55E1" w:rsidRDefault="00730DBB" w:rsidP="00730DBB">
      <w:pPr>
        <w:pStyle w:val="ParaNoNdepar-AltN"/>
        <w:rPr>
          <w:rFonts w:cs="Times New Roman"/>
          <w:lang w:val="fr-CA"/>
        </w:rPr>
      </w:pPr>
      <w:r w:rsidRPr="006F55E1">
        <w:rPr>
          <w:rFonts w:cs="Times New Roman"/>
          <w:lang w:val="fr-CA"/>
        </w:rPr>
        <w:t>À l’issue d’un contrôle judiciaire, la Cour supérieure du Québec a annulé la décision de la CLP et a ordonné le réexamen de l’affaire conformément à l’obligation d’accommodement imposé</w:t>
      </w:r>
      <w:r w:rsidR="00B654EA">
        <w:rPr>
          <w:rFonts w:cs="Times New Roman"/>
          <w:lang w:val="fr-CA"/>
        </w:rPr>
        <w:t>e</w:t>
      </w:r>
      <w:r w:rsidRPr="006F55E1">
        <w:rPr>
          <w:rFonts w:cs="Times New Roman"/>
          <w:lang w:val="fr-CA"/>
        </w:rPr>
        <w:t xml:space="preserve"> à l’employeur par la </w:t>
      </w:r>
      <w:r w:rsidRPr="006F55E1">
        <w:rPr>
          <w:rFonts w:cs="Times New Roman"/>
          <w:i/>
          <w:lang w:val="fr-CA"/>
        </w:rPr>
        <w:t>Charte</w:t>
      </w:r>
      <w:r w:rsidRPr="006F55E1">
        <w:rPr>
          <w:rFonts w:cs="Times New Roman"/>
          <w:lang w:val="fr-CA"/>
        </w:rPr>
        <w:t xml:space="preserve"> québécoise (2014 QCCS 2580). </w:t>
      </w:r>
    </w:p>
    <w:p w:rsidR="00730DBB" w:rsidRPr="006F55E1" w:rsidRDefault="00730DBB" w:rsidP="00730DBB">
      <w:pPr>
        <w:pStyle w:val="ParaNoNdepar-AltN"/>
        <w:rPr>
          <w:rFonts w:cs="Times New Roman"/>
          <w:b/>
          <w:lang w:val="fr-CA"/>
        </w:rPr>
      </w:pPr>
      <w:r w:rsidRPr="006F55E1">
        <w:rPr>
          <w:rFonts w:cs="Times New Roman"/>
          <w:lang w:val="fr-CA"/>
        </w:rPr>
        <w:t xml:space="preserve">La Cour d’appel du Québec a rejeté l’appel (2015 QCCA 1048). Elle a reconnu que la loi devait être interprétée et appliquée conformément aux dispositions de la </w:t>
      </w:r>
      <w:r w:rsidRPr="006F55E1">
        <w:rPr>
          <w:rFonts w:cs="Times New Roman"/>
          <w:i/>
          <w:lang w:val="fr-CA"/>
        </w:rPr>
        <w:t>Charte</w:t>
      </w:r>
      <w:r w:rsidRPr="006F55E1">
        <w:rPr>
          <w:rFonts w:cs="Times New Roman"/>
          <w:lang w:val="fr-CA"/>
        </w:rPr>
        <w:t xml:space="preserve"> québécoise, y compris l’obligation d’accommodement de l’employeur. </w:t>
      </w:r>
      <w:r w:rsidRPr="006F55E1">
        <w:rPr>
          <w:rFonts w:cs="Times New Roman"/>
          <w:lang w:val="fr-CA"/>
        </w:rPr>
        <w:lastRenderedPageBreak/>
        <w:t xml:space="preserve">Elle a conclu qu’il fallait intégrer à la loi cette obligation imposée par la </w:t>
      </w:r>
      <w:r w:rsidRPr="006F55E1">
        <w:rPr>
          <w:rFonts w:cs="Times New Roman"/>
          <w:i/>
          <w:lang w:val="fr-CA"/>
        </w:rPr>
        <w:t xml:space="preserve">Charte </w:t>
      </w:r>
      <w:r w:rsidRPr="006F55E1">
        <w:rPr>
          <w:rFonts w:cs="Times New Roman"/>
          <w:lang w:val="fr-CA"/>
        </w:rPr>
        <w:t xml:space="preserve">québécoise. Je suis d’accord. </w:t>
      </w:r>
    </w:p>
    <w:p w:rsidR="00730DBB" w:rsidRPr="006F55E1" w:rsidRDefault="00730DBB" w:rsidP="00730DBB">
      <w:pPr>
        <w:pStyle w:val="TitleTitre-AltT"/>
        <w:rPr>
          <w:rFonts w:cs="Times New Roman"/>
          <w:u w:val="single"/>
          <w:lang w:val="fr-CA"/>
        </w:rPr>
      </w:pPr>
      <w:r w:rsidRPr="006F55E1">
        <w:rPr>
          <w:rFonts w:cs="Times New Roman"/>
          <w:u w:val="single"/>
          <w:lang w:val="fr-CA"/>
        </w:rPr>
        <w:t>Analyse</w:t>
      </w:r>
    </w:p>
    <w:p w:rsidR="00730DBB" w:rsidRPr="006F55E1" w:rsidRDefault="00730DBB" w:rsidP="00730DBB">
      <w:pPr>
        <w:pStyle w:val="ParaNoNdepar-AltN"/>
        <w:rPr>
          <w:rFonts w:cs="Times New Roman"/>
          <w:lang w:val="fr-CA"/>
        </w:rPr>
      </w:pPr>
      <w:r w:rsidRPr="006F55E1">
        <w:rPr>
          <w:rFonts w:cs="Times New Roman"/>
          <w:lang w:val="fr-CA"/>
        </w:rPr>
        <w:t>La législation québécoise sur les accidents du travail « transpose un compromis social, longuement mûri, entre diverses forces contradictoires »</w:t>
      </w:r>
      <w:r w:rsidRPr="006F55E1">
        <w:rPr>
          <w:rFonts w:cs="Times New Roman"/>
          <w:spacing w:val="-3"/>
          <w:lang w:val="fr-CA"/>
        </w:rPr>
        <w:t xml:space="preserve"> (</w:t>
      </w:r>
      <w:r w:rsidRPr="006F55E1">
        <w:rPr>
          <w:rFonts w:cs="Times New Roman"/>
          <w:i/>
          <w:lang w:val="fr-CA"/>
        </w:rPr>
        <w:t>Béliveau St</w:t>
      </w:r>
      <w:r w:rsidRPr="006F55E1">
        <w:rPr>
          <w:rFonts w:cs="Times New Roman"/>
          <w:i/>
          <w:lang w:val="fr-CA"/>
        </w:rPr>
        <w:noBreakHyphen/>
        <w:t>Jacques c. Fédération des employées et employés de services publics inc</w:t>
      </w:r>
      <w:r w:rsidRPr="006F55E1">
        <w:rPr>
          <w:rFonts w:cs="Times New Roman"/>
          <w:lang w:val="fr-CA"/>
        </w:rPr>
        <w:t>., [1996] 2 R.C.S. 345</w:t>
      </w:r>
      <w:r w:rsidRPr="006F55E1">
        <w:rPr>
          <w:rFonts w:cs="Times New Roman"/>
          <w:spacing w:val="-3"/>
          <w:lang w:val="fr-CA"/>
        </w:rPr>
        <w:t xml:space="preserve">, par. 114). </w:t>
      </w:r>
    </w:p>
    <w:p w:rsidR="00730DBB" w:rsidRPr="006F55E1" w:rsidRDefault="00730DBB" w:rsidP="00730DBB">
      <w:pPr>
        <w:pStyle w:val="ParaNoNdepar-AltN"/>
        <w:rPr>
          <w:rFonts w:cs="Times New Roman"/>
          <w:lang w:val="fr-CA"/>
        </w:rPr>
      </w:pPr>
      <w:r w:rsidRPr="006F55E1">
        <w:rPr>
          <w:rFonts w:cs="Times New Roman"/>
          <w:spacing w:val="-3"/>
          <w:lang w:val="fr-CA"/>
        </w:rPr>
        <w:t xml:space="preserve">L’objet de ce régime et son évolution ont été décrits comme suit dans l’arrêt </w:t>
      </w:r>
      <w:r w:rsidRPr="006F55E1">
        <w:rPr>
          <w:rFonts w:cs="Times New Roman"/>
          <w:i/>
          <w:spacing w:val="-3"/>
          <w:lang w:val="fr-CA"/>
        </w:rPr>
        <w:t>Béliveau</w:t>
      </w:r>
      <w:r w:rsidRPr="00EC7C1C">
        <w:rPr>
          <w:rFonts w:cs="Times New Roman"/>
          <w:spacing w:val="-3"/>
          <w:lang w:val="fr-CA"/>
        </w:rPr>
        <w:t> :</w:t>
      </w:r>
      <w:r w:rsidRPr="006F55E1">
        <w:rPr>
          <w:rFonts w:cs="Times New Roman"/>
          <w:spacing w:val="-3"/>
          <w:lang w:val="fr-CA"/>
        </w:rPr>
        <w:t xml:space="preserve"> « [faire en sorte que] les accidents du travail [. . .] échappe[nt] au domaine de la responsabilité civile » </w:t>
      </w:r>
      <w:r w:rsidRPr="006F55E1">
        <w:rPr>
          <w:rFonts w:cs="Times New Roman"/>
          <w:lang w:val="fr-CA"/>
        </w:rPr>
        <w:t xml:space="preserve">(par. 109). Le compromis atteint dans la loi initiale en 1909 est qu’en échange du fait d’éviter les « aléas des poursuites civiles » (par. 109) et de ne pas avoir à établir la faute de l’employeur, les travailleurs victimes d’une lésion professionnelle avaient droit à une compensation partielle et forfaitaire sans égard à la faute. Autrement dit, en échange de la renonciation par les travailleurs à la possibilité d’obtenir compensation pleine et entière, les employeurs avaient l’obligation d’offrir une compensation partielle dès lors qu’il se produisait un accident. Les coûts furent répartis entre les travailleurs et les employeurs (voir </w:t>
      </w:r>
      <w:r w:rsidRPr="006F55E1">
        <w:rPr>
          <w:rFonts w:cs="Times New Roman"/>
          <w:i/>
          <w:lang w:val="fr-CA"/>
        </w:rPr>
        <w:t>de Montigny c. Brossard (Succession)</w:t>
      </w:r>
      <w:r w:rsidRPr="006F55E1">
        <w:rPr>
          <w:rFonts w:cs="Times New Roman"/>
          <w:lang w:val="fr-CA"/>
        </w:rPr>
        <w:t>,</w:t>
      </w:r>
      <w:r w:rsidRPr="006F55E1">
        <w:rPr>
          <w:rFonts w:cs="Times New Roman"/>
          <w:i/>
          <w:lang w:val="fr-CA"/>
        </w:rPr>
        <w:t xml:space="preserve"> </w:t>
      </w:r>
      <w:r w:rsidRPr="006F55E1">
        <w:rPr>
          <w:rFonts w:cs="Times New Roman"/>
          <w:lang w:val="fr-CA"/>
        </w:rPr>
        <w:t>[2010] 3 R.C.S. 64, par. 42).</w:t>
      </w:r>
    </w:p>
    <w:p w:rsidR="00730DBB" w:rsidRPr="006F55E1" w:rsidRDefault="00730DBB" w:rsidP="00730DBB">
      <w:pPr>
        <w:pStyle w:val="ParaNoNdepar-AltN"/>
        <w:rPr>
          <w:rFonts w:cs="Times New Roman"/>
          <w:szCs w:val="24"/>
          <w:lang w:val="fr-CA"/>
        </w:rPr>
      </w:pPr>
      <w:r w:rsidRPr="006F55E1">
        <w:rPr>
          <w:rFonts w:cs="Times New Roman"/>
          <w:lang w:val="fr-CA"/>
        </w:rPr>
        <w:lastRenderedPageBreak/>
        <w:t>Quand la réforme législative fut introduite en 1985, le système d’indemnisation a été modifié, mais non les principes qui le sous</w:t>
      </w:r>
      <w:r w:rsidRPr="006F55E1">
        <w:rPr>
          <w:rFonts w:cs="Times New Roman"/>
          <w:lang w:val="fr-CA"/>
        </w:rPr>
        <w:noBreakHyphen/>
        <w:t>tendaient. De plus, selon l’art. 349, toute affaire liée au régime était exclusivement confiée à la CSST.</w:t>
      </w:r>
    </w:p>
    <w:p w:rsidR="00730DBB" w:rsidRPr="006F55E1" w:rsidRDefault="00730DBB" w:rsidP="00730DBB">
      <w:pPr>
        <w:pStyle w:val="ParaNoNdepar-AltN"/>
        <w:rPr>
          <w:rFonts w:cs="Times New Roman"/>
          <w:szCs w:val="24"/>
          <w:lang w:val="fr-CA"/>
        </w:rPr>
      </w:pPr>
      <w:r w:rsidRPr="006F55E1">
        <w:rPr>
          <w:rFonts w:cs="Times New Roman"/>
          <w:spacing w:val="-3"/>
          <w:lang w:val="fr-CA"/>
        </w:rPr>
        <w:t xml:space="preserve">L’article 438 est la disposition qui fait de la </w:t>
      </w:r>
      <w:r w:rsidRPr="006F55E1">
        <w:rPr>
          <w:rFonts w:cs="Times New Roman"/>
          <w:i/>
          <w:spacing w:val="-3"/>
          <w:lang w:val="fr-CA"/>
        </w:rPr>
        <w:t xml:space="preserve">Loi </w:t>
      </w:r>
      <w:r w:rsidRPr="006F55E1">
        <w:rPr>
          <w:rFonts w:cs="Times New Roman"/>
          <w:lang w:val="fr-CA"/>
        </w:rPr>
        <w:t xml:space="preserve">un régime </w:t>
      </w:r>
      <w:r w:rsidRPr="006F55E1">
        <w:rPr>
          <w:rFonts w:cs="Times New Roman"/>
          <w:spacing w:val="-3"/>
          <w:lang w:val="fr-CA"/>
        </w:rPr>
        <w:t>exclusif :</w:t>
      </w:r>
    </w:p>
    <w:p w:rsidR="00730DBB" w:rsidRPr="006F55E1" w:rsidRDefault="00730DBB" w:rsidP="00EC7C1C">
      <w:pPr>
        <w:pStyle w:val="Citation-AltC"/>
        <w:tabs>
          <w:tab w:val="left" w:pos="1530"/>
        </w:tabs>
        <w:ind w:hanging="1166"/>
        <w:contextualSpacing w:val="0"/>
        <w:rPr>
          <w:lang w:val="fr-CA"/>
        </w:rPr>
      </w:pPr>
      <w:r w:rsidRPr="006F55E1">
        <w:rPr>
          <w:b/>
          <w:lang w:val="fr-CA"/>
        </w:rPr>
        <w:tab/>
      </w:r>
      <w:r w:rsidRPr="006F55E1">
        <w:rPr>
          <w:b/>
          <w:lang w:val="fr-CA"/>
        </w:rPr>
        <w:tab/>
        <w:t>438.</w:t>
      </w:r>
      <w:r>
        <w:rPr>
          <w:lang w:val="fr-CA"/>
        </w:rPr>
        <w:t> </w:t>
      </w:r>
      <w:r w:rsidRPr="006F55E1">
        <w:rPr>
          <w:szCs w:val="18"/>
          <w:lang w:val="fr-FR"/>
        </w:rPr>
        <w:t>Le travailleur victime d’une lésion professionnelle ne peut intenter une action en responsabilité civile contre son employeur en raison de sa lésion.</w:t>
      </w:r>
      <w:r w:rsidRPr="006F55E1">
        <w:rPr>
          <w:lang w:val="fr-CA"/>
        </w:rPr>
        <w:t xml:space="preserve"> </w:t>
      </w:r>
    </w:p>
    <w:p w:rsidR="00730DBB" w:rsidRPr="006F55E1" w:rsidRDefault="00730DBB" w:rsidP="00730DBB">
      <w:pPr>
        <w:pStyle w:val="ContinueParaSuitedupar-AltP"/>
        <w:rPr>
          <w:rFonts w:cs="Times New Roman"/>
          <w:lang w:val="fr-CA"/>
        </w:rPr>
      </w:pPr>
      <w:r w:rsidRPr="006F55E1">
        <w:rPr>
          <w:rFonts w:cs="Times New Roman"/>
          <w:lang w:val="fr-CA"/>
        </w:rPr>
        <w:t>Ainsi donc, d’après le régime</w:t>
      </w:r>
      <w:r w:rsidRPr="00FC027F">
        <w:rPr>
          <w:rStyle w:val="Hyperlink"/>
          <w:vertAlign w:val="superscript"/>
        </w:rPr>
        <w:footnoteReference w:id="14"/>
      </w:r>
      <w:r w:rsidRPr="006F55E1">
        <w:rPr>
          <w:rFonts w:cs="Times New Roman"/>
          <w:lang w:val="fr-CA"/>
        </w:rPr>
        <w:t>, le travailleur victime d’une lésion professionnelle ne dispose d’aucun autre recours et ne peut s’adresser à aucune autre instance pour défendre ses droits (</w:t>
      </w:r>
      <w:r w:rsidRPr="006F55E1">
        <w:rPr>
          <w:rFonts w:cs="Times New Roman"/>
          <w:i/>
          <w:lang w:val="fr-CA"/>
        </w:rPr>
        <w:t>SEPAQ</w:t>
      </w:r>
      <w:r w:rsidRPr="006F55E1">
        <w:rPr>
          <w:rFonts w:cs="Times New Roman"/>
          <w:lang w:val="fr-CA"/>
        </w:rPr>
        <w:t xml:space="preserve">; </w:t>
      </w:r>
      <w:r w:rsidRPr="006F55E1">
        <w:rPr>
          <w:rFonts w:cs="Times New Roman"/>
          <w:i/>
          <w:lang w:val="fr-CA"/>
        </w:rPr>
        <w:t>Tembec</w:t>
      </w:r>
      <w:r w:rsidRPr="006F55E1">
        <w:rPr>
          <w:rFonts w:cs="Times New Roman"/>
          <w:lang w:val="fr-CA"/>
        </w:rPr>
        <w:t xml:space="preserve">). Par conséquent, toute solution réside dans l’interprétation et l’application du régime législatif. </w:t>
      </w:r>
    </w:p>
    <w:p w:rsidR="00730DBB" w:rsidRPr="006F55E1" w:rsidRDefault="00730DBB" w:rsidP="00730DBB">
      <w:pPr>
        <w:pStyle w:val="ParaNoNdepar-AltN"/>
        <w:rPr>
          <w:rFonts w:cs="Times New Roman"/>
          <w:szCs w:val="24"/>
          <w:lang w:val="fr-CA"/>
        </w:rPr>
      </w:pPr>
      <w:r w:rsidRPr="006F55E1">
        <w:rPr>
          <w:rFonts w:cs="Times New Roman"/>
          <w:szCs w:val="24"/>
          <w:lang w:val="fr-CA"/>
        </w:rPr>
        <w:t xml:space="preserve">À l’instar des lois similaires adoptées ailleurs au Canada, la loi québécoise sur les accidents du travail s’applique aux travailleurs qui deviennent invalides par suite de blessures subies à leur lieu de travail. Elle constitue dans les faits une mesure législative visant à empêcher que les victimes d’accidents du travail soient traitées injustement en raison de leur invalidité. Elle offre des moyens de remédier aux conséquences financières, personnelles et physiques de ces blessures, et vise à protéger le plus pleinement possible les droits des travailleurs afin d’éviter que ces derniers ne </w:t>
      </w:r>
      <w:r w:rsidRPr="006F55E1">
        <w:rPr>
          <w:rFonts w:cs="Times New Roman"/>
          <w:szCs w:val="24"/>
          <w:lang w:val="fr-CA"/>
        </w:rPr>
        <w:lastRenderedPageBreak/>
        <w:t xml:space="preserve">fassent l’objet de discrimination au travail en raison d’une invalidité résultant de telles blessures. </w:t>
      </w:r>
      <w:r w:rsidRPr="006F55E1">
        <w:rPr>
          <w:rFonts w:cs="Times New Roman"/>
          <w:lang w:val="fr-CA"/>
        </w:rPr>
        <w:t xml:space="preserve">La loi québécoise reconnaît expressément cet objectif à l’art. 32 : </w:t>
      </w:r>
    </w:p>
    <w:p w:rsidR="00730DBB" w:rsidRPr="006F55E1" w:rsidRDefault="00730DBB" w:rsidP="00B97000">
      <w:pPr>
        <w:pStyle w:val="Citation-AltC"/>
        <w:tabs>
          <w:tab w:val="left" w:pos="1530"/>
        </w:tabs>
        <w:ind w:hanging="1166"/>
        <w:contextualSpacing w:val="0"/>
        <w:rPr>
          <w:lang w:val="fr-CA"/>
        </w:rPr>
      </w:pPr>
      <w:r w:rsidRPr="006F55E1">
        <w:rPr>
          <w:b/>
          <w:lang w:val="fr-CA"/>
        </w:rPr>
        <w:tab/>
      </w:r>
      <w:r w:rsidRPr="006F55E1">
        <w:rPr>
          <w:b/>
          <w:lang w:val="fr-CA"/>
        </w:rPr>
        <w:tab/>
        <w:t>32</w:t>
      </w:r>
      <w:r w:rsidRPr="00EC7C1C">
        <w:rPr>
          <w:b/>
          <w:lang w:val="fr-CA"/>
        </w:rPr>
        <w:t>.</w:t>
      </w:r>
      <w:r>
        <w:rPr>
          <w:lang w:val="fr-CA"/>
        </w:rPr>
        <w:t> </w:t>
      </w:r>
      <w:r w:rsidRPr="006F55E1">
        <w:rPr>
          <w:lang w:val="fr-CA"/>
        </w:rPr>
        <w:t xml:space="preserve">L’employeur ne peut congédier, suspendre ou déplacer un travailleur, exercer à son endroit des mesures discriminatoires ou de représailles ou lui imposer toute autre sanction parce qu’il a été victime d’une lésion professionnelle ou à cause de l’exercice d’un droit </w:t>
      </w:r>
      <w:r>
        <w:rPr>
          <w:lang w:val="fr-CA"/>
        </w:rPr>
        <w:t>que lui confère la présente loi.</w:t>
      </w:r>
    </w:p>
    <w:p w:rsidR="00730DBB" w:rsidRPr="006F55E1" w:rsidRDefault="00730DBB" w:rsidP="00730DBB">
      <w:pPr>
        <w:pStyle w:val="ParaNoNdepar-AltN"/>
        <w:rPr>
          <w:rFonts w:cs="Times New Roman"/>
          <w:b/>
          <w:lang w:val="fr-CA"/>
        </w:rPr>
      </w:pPr>
      <w:r w:rsidRPr="006F55E1">
        <w:rPr>
          <w:rFonts w:cs="Times New Roman"/>
          <w:lang w:val="fr-CA"/>
        </w:rPr>
        <w:t xml:space="preserve">La question en litige dans le présent pourvoi consiste à se demander si l’obligation de l’employeur de prendre des </w:t>
      </w:r>
      <w:r w:rsidRPr="006F55E1">
        <w:rPr>
          <w:rFonts w:cs="Times New Roman"/>
          <w:szCs w:val="24"/>
          <w:lang w:val="fr-CA"/>
        </w:rPr>
        <w:t>mesures d’accommodement raisonnables en faveur d</w:t>
      </w:r>
      <w:r w:rsidRPr="006F55E1">
        <w:rPr>
          <w:rFonts w:cs="Times New Roman"/>
          <w:lang w:val="fr-CA"/>
        </w:rPr>
        <w:t xml:space="preserve">e quelqu’un ayant une invalidité, une obligation constituant un principe central et transcendant en matière de droits de la personne, s’applique aux travailleurs subissant une invalidité à leur lieu de travail. La </w:t>
      </w:r>
      <w:r w:rsidRPr="006F55E1">
        <w:rPr>
          <w:rFonts w:cs="Times New Roman"/>
          <w:i/>
          <w:lang w:val="fr-CA"/>
        </w:rPr>
        <w:t>Loi</w:t>
      </w:r>
      <w:r w:rsidRPr="006F55E1">
        <w:rPr>
          <w:rFonts w:cs="Times New Roman"/>
          <w:lang w:val="fr-CA"/>
        </w:rPr>
        <w:t xml:space="preserve"> prévoit un régime complet d’indemnisation des accidentés du travail, mais n’impose pas </w:t>
      </w:r>
      <w:r w:rsidRPr="006F55E1">
        <w:rPr>
          <w:rFonts w:cs="Times New Roman"/>
          <w:i/>
          <w:lang w:val="fr-CA"/>
        </w:rPr>
        <w:t>expressément</w:t>
      </w:r>
      <w:r w:rsidRPr="006F55E1">
        <w:rPr>
          <w:rFonts w:cs="Times New Roman"/>
          <w:lang w:val="fr-CA"/>
        </w:rPr>
        <w:t xml:space="preserve"> l’obligation de les accommoder. </w:t>
      </w:r>
    </w:p>
    <w:p w:rsidR="00730DBB" w:rsidRPr="006F55E1" w:rsidRDefault="00EC7C1C" w:rsidP="00730DBB">
      <w:pPr>
        <w:pStyle w:val="ParaNoNdepar-AltN"/>
        <w:rPr>
          <w:rFonts w:cs="Times New Roman"/>
          <w:b/>
          <w:lang w:val="fr-CA"/>
        </w:rPr>
      </w:pPr>
      <w:r>
        <w:rPr>
          <w:rFonts w:cs="Times New Roman"/>
          <w:lang w:val="fr-CA"/>
        </w:rPr>
        <w:t>Les articles</w:t>
      </w:r>
      <w:r w:rsidR="00730DBB" w:rsidRPr="006F55E1">
        <w:rPr>
          <w:rFonts w:cs="Times New Roman"/>
          <w:lang w:val="fr-CA"/>
        </w:rPr>
        <w:t xml:space="preserve"> 10 et 16 de la </w:t>
      </w:r>
      <w:r w:rsidR="00730DBB" w:rsidRPr="006F55E1">
        <w:rPr>
          <w:rFonts w:cs="Times New Roman"/>
          <w:i/>
          <w:lang w:val="fr-CA"/>
        </w:rPr>
        <w:t>Charte</w:t>
      </w:r>
      <w:r w:rsidR="00730DBB" w:rsidRPr="006F55E1">
        <w:rPr>
          <w:rFonts w:cs="Times New Roman"/>
          <w:lang w:val="fr-CA"/>
        </w:rPr>
        <w:t xml:space="preserve"> québécoise imposent une obligation d’accommodement :</w:t>
      </w:r>
    </w:p>
    <w:p w:rsidR="00730DBB" w:rsidRPr="006F55E1" w:rsidRDefault="00730DBB" w:rsidP="00EC7C1C">
      <w:pPr>
        <w:pStyle w:val="Citation-AltC"/>
        <w:tabs>
          <w:tab w:val="left" w:pos="1530"/>
        </w:tabs>
        <w:spacing w:after="240"/>
        <w:ind w:hanging="1166"/>
        <w:contextualSpacing w:val="0"/>
        <w:rPr>
          <w:lang w:val="fr-CA"/>
        </w:rPr>
      </w:pPr>
      <w:r w:rsidRPr="006F55E1">
        <w:rPr>
          <w:b/>
          <w:lang w:val="fr-CA"/>
        </w:rPr>
        <w:tab/>
      </w:r>
      <w:r w:rsidRPr="006F55E1">
        <w:rPr>
          <w:b/>
          <w:lang w:val="fr-CA"/>
        </w:rPr>
        <w:tab/>
        <w:t>10.</w:t>
      </w:r>
      <w:r>
        <w:rPr>
          <w:lang w:val="fr-CA"/>
        </w:rPr>
        <w:t> </w:t>
      </w:r>
      <w:r w:rsidRPr="006F55E1">
        <w:rPr>
          <w:lang w:val="fr-CA"/>
        </w:rPr>
        <w:t>Toute personne a droit à la reconnaissance et à l’exercice, en pleine égalité, des droits et libertés de la personne, sans distinction, exclusion ou préférence fondée sur la race, la couleur, le sexe, l’identité ou l’expression de genre, la grossesse, l’orientation sexuelle, l’état civil, l’âge sauf dans la mesure prévue par la loi, la religion, les convictions politiques, la langue, l’origine ethnique ou nationale, la condition sociale, le handicap ou l’utilisation d’un moyen pour pallier ce handicap.</w:t>
      </w:r>
    </w:p>
    <w:p w:rsidR="00730DBB" w:rsidRPr="006F55E1" w:rsidRDefault="00730DBB" w:rsidP="00EC7C1C">
      <w:pPr>
        <w:pStyle w:val="Citation-AltC"/>
        <w:tabs>
          <w:tab w:val="left" w:pos="1530"/>
        </w:tabs>
        <w:spacing w:after="240"/>
        <w:ind w:hanging="1166"/>
        <w:contextualSpacing w:val="0"/>
        <w:rPr>
          <w:lang w:val="fr-CA"/>
        </w:rPr>
      </w:pPr>
      <w:r w:rsidRPr="006F55E1">
        <w:rPr>
          <w:lang w:val="fr-CA"/>
        </w:rPr>
        <w:tab/>
      </w:r>
      <w:r w:rsidR="00EC7C1C">
        <w:rPr>
          <w:lang w:val="fr-CA"/>
        </w:rPr>
        <w:tab/>
      </w:r>
      <w:r w:rsidRPr="006F55E1">
        <w:rPr>
          <w:lang w:val="fr-CA"/>
        </w:rPr>
        <w:t>Il y a discrimination lorsqu’une telle distinction, exclusion ou préférence a pour effet de détruire ou de compromettre ce droit.</w:t>
      </w:r>
    </w:p>
    <w:p w:rsidR="00730DBB" w:rsidRPr="006F55E1" w:rsidRDefault="00730DBB" w:rsidP="00EC7C1C">
      <w:pPr>
        <w:pStyle w:val="Citation-AltC"/>
        <w:tabs>
          <w:tab w:val="left" w:pos="1530"/>
        </w:tabs>
        <w:spacing w:after="240"/>
        <w:ind w:hanging="1166"/>
        <w:contextualSpacing w:val="0"/>
        <w:rPr>
          <w:lang w:val="fr-CA"/>
        </w:rPr>
      </w:pPr>
      <w:r w:rsidRPr="006F55E1">
        <w:rPr>
          <w:b/>
          <w:lang w:val="fr-CA"/>
        </w:rPr>
        <w:lastRenderedPageBreak/>
        <w:tab/>
      </w:r>
      <w:r w:rsidRPr="006F55E1">
        <w:rPr>
          <w:b/>
          <w:lang w:val="fr-CA"/>
        </w:rPr>
        <w:tab/>
        <w:t>16.</w:t>
      </w:r>
      <w:r>
        <w:rPr>
          <w:lang w:val="fr-CA"/>
        </w:rPr>
        <w:t> </w:t>
      </w:r>
      <w:r w:rsidRPr="006F55E1">
        <w:rPr>
          <w:lang w:val="fr-CA"/>
        </w:rPr>
        <w:t>Nul ne peut exercer de discrimination dans l’embauche, l’apprentissage, la durée de la période de probation, la formation professionnelle, la promotion, la mutation, le déplacement, la mise à pied, la suspension, le renvoi ou les conditions de travail d’une personne ainsi que dans l’établissement de catégories ou de classifications d’emploi.</w:t>
      </w:r>
    </w:p>
    <w:p w:rsidR="00730DBB" w:rsidRPr="006F55E1" w:rsidRDefault="00730DBB" w:rsidP="00730DBB">
      <w:pPr>
        <w:pStyle w:val="ContinueParaSuitedupar-AltP"/>
        <w:rPr>
          <w:rFonts w:cs="Times New Roman"/>
          <w:b/>
          <w:lang w:val="fr-CA"/>
        </w:rPr>
      </w:pPr>
      <w:r w:rsidRPr="006F55E1">
        <w:rPr>
          <w:rFonts w:cs="Times New Roman"/>
          <w:lang w:val="fr-CA"/>
        </w:rPr>
        <w:t xml:space="preserve">Il s’agit de savoir si le régime législatif devrait être interprété comme englobant une obligation d’accommodement qui s’accorde avec l’approche adoptée conformément à ces dispositions de la </w:t>
      </w:r>
      <w:r w:rsidRPr="006F55E1">
        <w:rPr>
          <w:rFonts w:cs="Times New Roman"/>
          <w:i/>
          <w:lang w:val="fr-CA"/>
        </w:rPr>
        <w:t xml:space="preserve">Charte </w:t>
      </w:r>
      <w:r w:rsidRPr="006F55E1">
        <w:rPr>
          <w:rFonts w:cs="Times New Roman"/>
          <w:lang w:val="fr-CA"/>
        </w:rPr>
        <w:t>québécoise.</w:t>
      </w:r>
    </w:p>
    <w:p w:rsidR="00730DBB" w:rsidRPr="006F55E1" w:rsidRDefault="00730DBB" w:rsidP="00730DBB">
      <w:pPr>
        <w:pStyle w:val="ParaNoNdepar-AltN"/>
        <w:rPr>
          <w:rFonts w:cs="Times New Roman"/>
          <w:lang w:val="fr-CA"/>
        </w:rPr>
      </w:pPr>
      <w:r w:rsidRPr="006F55E1">
        <w:rPr>
          <w:rFonts w:cs="Times New Roman"/>
          <w:lang w:val="fr-CA"/>
        </w:rPr>
        <w:t>L’obligation de prendre des mesures d’accommodement raisonnables en faveur des employés invalides est un précepte fondamental du droit du travail canadien, et plus particulièrement du droit du travail québécois. La juge Deschamps a résumé l’objet de l’obligation d’accommodement en contexte d’emploi comme étant le fait « de permettre à l’employé capable de travailler de le faire</w:t>
      </w:r>
      <w:r w:rsidR="00B97000">
        <w:rPr>
          <w:rFonts w:cs="Times New Roman"/>
          <w:lang w:val="fr-CA"/>
        </w:rPr>
        <w:t>.</w:t>
      </w:r>
      <w:r w:rsidRPr="006F55E1">
        <w:rPr>
          <w:rFonts w:cs="Times New Roman"/>
          <w:lang w:val="fr-CA"/>
        </w:rPr>
        <w:t xml:space="preserve"> [. . .] L’obligation d’accommodement a pour objet d’empêcher que des personnes par ailleurs aptes ne soient injustement exclues, alors que les conditions de travail pourraient être adaptées sans créer de contrainte excessive » (</w:t>
      </w:r>
      <w:r w:rsidRPr="006F55E1">
        <w:rPr>
          <w:rFonts w:cs="Times New Roman"/>
          <w:i/>
          <w:lang w:val="fr-CA"/>
        </w:rPr>
        <w:t>Hydro</w:t>
      </w:r>
      <w:r w:rsidRPr="006F55E1">
        <w:rPr>
          <w:rFonts w:cs="Times New Roman"/>
          <w:i/>
          <w:lang w:val="fr-CA"/>
        </w:rPr>
        <w:noBreakHyphen/>
        <w:t>Québec c. Syndicat des employé</w:t>
      </w:r>
      <w:r w:rsidRPr="006F55E1">
        <w:rPr>
          <w:rFonts w:cs="Times New Roman"/>
          <w:i/>
          <w:lang w:val="fr-CA"/>
        </w:rPr>
        <w:noBreakHyphen/>
        <w:t>e</w:t>
      </w:r>
      <w:r w:rsidRPr="006F55E1">
        <w:rPr>
          <w:rFonts w:cs="Times New Roman"/>
          <w:i/>
          <w:lang w:val="fr-CA"/>
        </w:rPr>
        <w:noBreakHyphen/>
        <w:t>s de techniques professionnelles et de bureau d’Hydro</w:t>
      </w:r>
      <w:r w:rsidRPr="006F55E1">
        <w:rPr>
          <w:rFonts w:cs="Times New Roman"/>
          <w:i/>
          <w:lang w:val="fr-CA"/>
        </w:rPr>
        <w:noBreakHyphen/>
        <w:t>Québec, section locale 2000 (SCFP</w:t>
      </w:r>
      <w:r w:rsidRPr="006F55E1">
        <w:rPr>
          <w:rFonts w:cs="Times New Roman"/>
          <w:i/>
          <w:lang w:val="fr-CA"/>
        </w:rPr>
        <w:noBreakHyphen/>
        <w:t>FTQ)</w:t>
      </w:r>
      <w:r w:rsidRPr="006F55E1">
        <w:rPr>
          <w:rFonts w:cs="Times New Roman"/>
          <w:lang w:val="fr-CA"/>
        </w:rPr>
        <w:t>, [2008] 2 R.C.S. 561,</w:t>
      </w:r>
      <w:r w:rsidRPr="006F55E1">
        <w:rPr>
          <w:rFonts w:cs="Times New Roman"/>
          <w:b/>
          <w:lang w:val="fr-CA"/>
        </w:rPr>
        <w:t xml:space="preserve"> </w:t>
      </w:r>
      <w:r w:rsidR="00B97000">
        <w:rPr>
          <w:rFonts w:cs="Times New Roman"/>
          <w:lang w:val="fr-CA"/>
        </w:rPr>
        <w:t xml:space="preserve">par. 14; </w:t>
      </w:r>
      <w:r w:rsidR="00C2411D">
        <w:rPr>
          <w:rFonts w:cs="Times New Roman"/>
          <w:lang w:val="fr-CA"/>
        </w:rPr>
        <w:t>v</w:t>
      </w:r>
      <w:r w:rsidRPr="006F55E1">
        <w:rPr>
          <w:rFonts w:cs="Times New Roman"/>
          <w:lang w:val="fr-CA"/>
        </w:rPr>
        <w:t xml:space="preserve">oir aussi </w:t>
      </w:r>
      <w:r w:rsidRPr="006F55E1">
        <w:rPr>
          <w:rFonts w:cs="Times New Roman"/>
          <w:i/>
          <w:lang w:val="fr-CA"/>
        </w:rPr>
        <w:t>Québec (Commission des droits de la personne et des droits de la jeunesse) c</w:t>
      </w:r>
      <w:r w:rsidRPr="006F55E1">
        <w:rPr>
          <w:rFonts w:cs="Times New Roman"/>
          <w:lang w:val="fr-CA"/>
        </w:rPr>
        <w:t>.</w:t>
      </w:r>
      <w:r w:rsidRPr="006F55E1">
        <w:rPr>
          <w:rFonts w:cs="Times New Roman"/>
          <w:i/>
          <w:lang w:val="fr-CA"/>
        </w:rPr>
        <w:t xml:space="preserve"> Montréal (Ville)</w:t>
      </w:r>
      <w:r w:rsidRPr="006F55E1">
        <w:rPr>
          <w:rFonts w:cs="Times New Roman"/>
          <w:lang w:val="fr-CA"/>
        </w:rPr>
        <w:t xml:space="preserve">, [2000] 1 R.C.S. 665, par. 36; </w:t>
      </w:r>
      <w:r w:rsidRPr="006F55E1">
        <w:rPr>
          <w:rFonts w:cs="Times New Roman"/>
          <w:i/>
          <w:lang w:val="fr-CA"/>
        </w:rPr>
        <w:t>Commission scolaire régionale de Chambly c. Bergevin</w:t>
      </w:r>
      <w:r w:rsidRPr="006F55E1">
        <w:rPr>
          <w:rFonts w:cs="Times New Roman"/>
          <w:lang w:val="fr-CA"/>
        </w:rPr>
        <w:t>, [1994] 2 R.C.S. 525, p. 544). L’obligation reflète la décision des législateurs « que les normes régissant l’exécution du travail devraient tenir compte de tous les membres de la société, dans la mesure où il est raisonnablement possible de le faire » (</w:t>
      </w:r>
      <w:r w:rsidRPr="006F55E1">
        <w:rPr>
          <w:rFonts w:cs="Times New Roman"/>
          <w:i/>
          <w:lang w:val="fr-CA"/>
        </w:rPr>
        <w:t>Colombie</w:t>
      </w:r>
      <w:r w:rsidRPr="006F55E1">
        <w:rPr>
          <w:rFonts w:cs="Times New Roman"/>
          <w:i/>
          <w:lang w:val="fr-CA"/>
        </w:rPr>
        <w:noBreakHyphen/>
        <w:t xml:space="preserve">Britannique (Public </w:t>
      </w:r>
      <w:r w:rsidRPr="006F55E1">
        <w:rPr>
          <w:rFonts w:cs="Times New Roman"/>
          <w:i/>
          <w:lang w:val="fr-CA"/>
        </w:rPr>
        <w:lastRenderedPageBreak/>
        <w:t>Service Employee Relations Commission) c. BCGSEU</w:t>
      </w:r>
      <w:r w:rsidRPr="006F55E1">
        <w:rPr>
          <w:rFonts w:cs="Times New Roman"/>
          <w:lang w:val="fr-CA"/>
        </w:rPr>
        <w:t>, [1999] 3 R.C.S. 3 (</w:t>
      </w:r>
      <w:r w:rsidRPr="006F55E1">
        <w:rPr>
          <w:rFonts w:cs="Times New Roman"/>
          <w:i/>
          <w:lang w:val="fr-CA"/>
        </w:rPr>
        <w:t>Meiorin</w:t>
      </w:r>
      <w:r w:rsidRPr="006F55E1">
        <w:rPr>
          <w:rFonts w:cs="Times New Roman"/>
          <w:lang w:val="fr-CA"/>
        </w:rPr>
        <w:t xml:space="preserve">), par. 68). </w:t>
      </w:r>
    </w:p>
    <w:p w:rsidR="00730DBB" w:rsidRPr="006F55E1" w:rsidRDefault="00730DBB" w:rsidP="00730DBB">
      <w:pPr>
        <w:pStyle w:val="ParaNoNdepar-AltN"/>
        <w:rPr>
          <w:rFonts w:cs="Times New Roman"/>
          <w:lang w:val="fr-CA"/>
        </w:rPr>
      </w:pPr>
      <w:r w:rsidRPr="006F55E1">
        <w:rPr>
          <w:rFonts w:cs="Times New Roman"/>
          <w:lang w:val="fr-CA"/>
        </w:rPr>
        <w:t xml:space="preserve">Dans l’arrêt </w:t>
      </w:r>
      <w:r w:rsidRPr="006F55E1">
        <w:rPr>
          <w:rFonts w:cs="Times New Roman"/>
          <w:i/>
          <w:lang w:val="fr-CA"/>
        </w:rPr>
        <w:t>Colombie</w:t>
      </w:r>
      <w:r w:rsidRPr="006F55E1">
        <w:rPr>
          <w:rFonts w:cs="Times New Roman"/>
          <w:i/>
          <w:lang w:val="fr-CA"/>
        </w:rPr>
        <w:noBreakHyphen/>
        <w:t>Britannique (Superintendent of Motor Vehicles) c. Colombie</w:t>
      </w:r>
      <w:r w:rsidRPr="006F55E1">
        <w:rPr>
          <w:rFonts w:cs="Times New Roman"/>
          <w:i/>
          <w:lang w:val="fr-CA"/>
        </w:rPr>
        <w:noBreakHyphen/>
        <w:t>Britannique (Council of Human Rights)</w:t>
      </w:r>
      <w:r w:rsidRPr="006F55E1">
        <w:rPr>
          <w:rFonts w:cs="Times New Roman"/>
          <w:lang w:val="fr-CA"/>
        </w:rPr>
        <w:t>, [1999] 3 R.C.S. 868 (</w:t>
      </w:r>
      <w:r w:rsidRPr="006F55E1">
        <w:rPr>
          <w:rFonts w:cs="Times New Roman"/>
          <w:i/>
          <w:lang w:val="fr-CA"/>
        </w:rPr>
        <w:t>Grismer</w:t>
      </w:r>
      <w:r w:rsidRPr="006F55E1">
        <w:rPr>
          <w:rFonts w:cs="Times New Roman"/>
          <w:lang w:val="fr-CA"/>
        </w:rPr>
        <w:t xml:space="preserve">), la juge McLachlin a formulé les explications suivantes : </w:t>
      </w:r>
    </w:p>
    <w:p w:rsidR="00730DBB" w:rsidRPr="006F55E1" w:rsidRDefault="00730DBB" w:rsidP="00730DBB">
      <w:pPr>
        <w:pStyle w:val="Citation-AltC"/>
        <w:ind w:hanging="1166"/>
        <w:contextualSpacing w:val="0"/>
        <w:rPr>
          <w:lang w:val="fr-CA"/>
        </w:rPr>
      </w:pPr>
      <w:r w:rsidRPr="006F55E1">
        <w:rPr>
          <w:lang w:val="fr-CA"/>
        </w:rPr>
        <w:tab/>
        <w:t xml:space="preserve">Les employeurs et autres personnes régies par une loi concernant les droits de la personne sont maintenant requis, </w:t>
      </w:r>
      <w:r w:rsidRPr="0023517A">
        <w:rPr>
          <w:u w:val="single"/>
          <w:lang w:val="fr-CA"/>
        </w:rPr>
        <w:t>dans tous les cas</w:t>
      </w:r>
      <w:r w:rsidRPr="006F55E1">
        <w:rPr>
          <w:lang w:val="fr-CA"/>
        </w:rPr>
        <w:t>, de tenir compte dans leurs normes des caractéristiques des groupes touchés, au lieu de maintenir des normes discriminatoires complétées par des mesures d’accommodement pour ceux qui ne peuvent pas y satisfaire. L’incorporation de l’accommodement dans la norme elle</w:t>
      </w:r>
      <w:r w:rsidRPr="006F55E1">
        <w:rPr>
          <w:lang w:val="fr-CA"/>
        </w:rPr>
        <w:noBreakHyphen/>
        <w:t>même assure que chaque personne est évaluée selon ses propres capacités personnelles, au lieu d’être jugée en fonction de présumée</w:t>
      </w:r>
      <w:r w:rsidR="0023517A">
        <w:rPr>
          <w:lang w:val="fr-CA"/>
        </w:rPr>
        <w:t>s caractéristiques de groupe. [Soulign</w:t>
      </w:r>
      <w:r w:rsidR="00F608D5">
        <w:rPr>
          <w:lang w:val="fr-CA"/>
        </w:rPr>
        <w:t>é</w:t>
      </w:r>
      <w:r w:rsidRPr="006F55E1">
        <w:rPr>
          <w:lang w:val="fr-CA"/>
        </w:rPr>
        <w:t xml:space="preserve"> dans l’original; par. 19.]</w:t>
      </w:r>
    </w:p>
    <w:p w:rsidR="00730DBB" w:rsidRPr="006F55E1" w:rsidRDefault="00730DBB" w:rsidP="00730DBB">
      <w:pPr>
        <w:pStyle w:val="ParaNoNdepar-AltN"/>
        <w:rPr>
          <w:rFonts w:cs="Times New Roman"/>
          <w:lang w:val="fr-CA"/>
        </w:rPr>
      </w:pPr>
      <w:r w:rsidRPr="006F55E1">
        <w:rPr>
          <w:rFonts w:cs="Times New Roman"/>
          <w:lang w:val="fr-CA"/>
        </w:rPr>
        <w:t xml:space="preserve">Comme l’a expliqué la juge McLachlin dans </w:t>
      </w:r>
      <w:r w:rsidRPr="006F55E1">
        <w:rPr>
          <w:rFonts w:cs="Times New Roman"/>
          <w:i/>
          <w:lang w:val="fr-CA"/>
        </w:rPr>
        <w:t>Meoirin</w:t>
      </w:r>
      <w:r w:rsidRPr="006F55E1">
        <w:rPr>
          <w:rFonts w:cs="Times New Roman"/>
          <w:lang w:val="fr-CA"/>
        </w:rPr>
        <w:t xml:space="preserve">, « il y a lieu de prendre en considération </w:t>
      </w:r>
      <w:r w:rsidR="0023517A">
        <w:rPr>
          <w:rFonts w:cs="Times New Roman"/>
          <w:lang w:val="fr-CA"/>
        </w:rPr>
        <w:t xml:space="preserve">[. . .] </w:t>
      </w:r>
      <w:r w:rsidRPr="006F55E1">
        <w:rPr>
          <w:rFonts w:cs="Times New Roman"/>
          <w:lang w:val="fr-CA"/>
        </w:rPr>
        <w:t>la possibilité d’exécuter le travail de différentes manières tout en réalisant l’objet légitime lié à l’emploi que vise l’employeur. Les aptitudes, les capacités et l’apport potentiel du demandeur et de ceux qui sont dans la même situation que lui doivent être respectés autant qu’il est possible de le faire » (par. 64).</w:t>
      </w:r>
    </w:p>
    <w:p w:rsidR="00730DBB" w:rsidRPr="006F55E1" w:rsidRDefault="00730DBB" w:rsidP="00730DBB">
      <w:pPr>
        <w:pStyle w:val="ParaNoNdepar-AltN"/>
        <w:rPr>
          <w:rFonts w:cs="Times New Roman"/>
          <w:lang w:val="fr-CA"/>
        </w:rPr>
      </w:pPr>
      <w:r w:rsidRPr="006F55E1">
        <w:rPr>
          <w:rFonts w:cs="Times New Roman"/>
          <w:lang w:val="fr-CA"/>
        </w:rPr>
        <w:t xml:space="preserve">L’obligation d’accommodement n’est pas illimitée; sa portée est dans chaque cas définie par les concepts symétriques d’« accommodement raisonnable » et de « contrainte excessive ». Dans l’arrêt </w:t>
      </w:r>
      <w:r w:rsidRPr="006F55E1">
        <w:rPr>
          <w:rFonts w:cs="Times New Roman"/>
          <w:i/>
          <w:lang w:val="fr-CA"/>
        </w:rPr>
        <w:t>Conseil des Canadiens avec déficiences c. VIA Rail Canada Inc</w:t>
      </w:r>
      <w:r w:rsidR="00885BF7">
        <w:rPr>
          <w:rFonts w:cs="Times New Roman"/>
          <w:i/>
          <w:lang w:val="fr-CA"/>
        </w:rPr>
        <w:t>.</w:t>
      </w:r>
      <w:r w:rsidRPr="006F55E1">
        <w:rPr>
          <w:rFonts w:cs="Times New Roman"/>
          <w:lang w:val="fr-CA"/>
        </w:rPr>
        <w:t xml:space="preserve">, [2007] 1 R.C.S. 650, notre Cour a fait observer que « [l]’expression </w:t>
      </w:r>
      <w:r w:rsidR="00885BF7">
        <w:rPr>
          <w:rFonts w:cs="Times New Roman"/>
          <w:lang w:val="fr-CA"/>
        </w:rPr>
        <w:lastRenderedPageBreak/>
        <w:t>“</w:t>
      </w:r>
      <w:r w:rsidRPr="006F55E1">
        <w:rPr>
          <w:rFonts w:cs="Times New Roman"/>
          <w:lang w:val="fr-CA"/>
        </w:rPr>
        <w:t>contraintes excessives</w:t>
      </w:r>
      <w:r w:rsidR="00885BF7">
        <w:rPr>
          <w:rFonts w:cs="Times New Roman"/>
          <w:lang w:val="fr-CA"/>
        </w:rPr>
        <w:t>”</w:t>
      </w:r>
      <w:r w:rsidRPr="006F55E1">
        <w:rPr>
          <w:rFonts w:cs="Times New Roman"/>
          <w:lang w:val="fr-CA"/>
        </w:rPr>
        <w:t xml:space="preserve"> laisse entendre qu’il se peut que l’accommodement relatif à la déficience d’une personne impose nécessairement certaines contraintes, mais qu’à moins qu’il n’en résulte un fardeau excessif ou déraisonnable, ces contraintes s’effacent devant la nécessité d’accommoder » (par. 122), et a donné les explications suivantes à cet égard : </w:t>
      </w:r>
    </w:p>
    <w:p w:rsidR="00730DBB" w:rsidRPr="006F55E1" w:rsidRDefault="00730DBB" w:rsidP="00885BF7">
      <w:pPr>
        <w:pStyle w:val="Citation-AltC"/>
        <w:tabs>
          <w:tab w:val="left" w:pos="1530"/>
        </w:tabs>
        <w:ind w:hanging="1166"/>
        <w:contextualSpacing w:val="0"/>
        <w:rPr>
          <w:lang w:val="fr-CA"/>
        </w:rPr>
      </w:pPr>
      <w:r w:rsidRPr="006F55E1">
        <w:rPr>
          <w:lang w:val="fr-CA"/>
        </w:rPr>
        <w:tab/>
      </w:r>
      <w:r w:rsidRPr="006F55E1">
        <w:rPr>
          <w:lang w:val="fr-CA"/>
        </w:rPr>
        <w:tab/>
        <w:t>La jurisprudence de notre Cour révèle que l’existence d’une contrainte excessive peut être établie lorsque la norme ou l’obstacle est « raisonnablement nécessaire » dans la mesure où il existe un « risque suffisant » qu’un objectif légitime comme la sécurité soit assez compromis pour justifier le maintien de la norme [. . .], lorsqu’on a pris « les mesures qui peuvent être raisonnables pour s’entendre sans que cela n’entrave indûment l’exploitation de l’entreprise de l’employeur et ne lui impose des frais excessifs » [. . .], lorsqu’il n’existe aucune autre solution raisonnable [. . .], lorsque l’exercice d’un droit est seulement assujetti à des « limites raisonnables » [. . .], lorsque l’employeur ou le fournisseur de services démontre « qu’il n’aurait pu prendre aucune autre mesure raisonnable ou pratique pour éviter les conséquences fâch</w:t>
      </w:r>
      <w:r w:rsidR="00F608D5">
        <w:rPr>
          <w:lang w:val="fr-CA"/>
        </w:rPr>
        <w:t>euses pour l’individu » [. . .]</w:t>
      </w:r>
      <w:r w:rsidRPr="006F55E1">
        <w:rPr>
          <w:lang w:val="fr-CA"/>
        </w:rPr>
        <w:t xml:space="preserve"> Il y a contrainte excessive lorsque les moyens raisonnables d’accommoder ont été épuisés et qu’il ne reste que des options d’accommodement déraisonnables ou irréalistes. [Citations omises; par. 130.]</w:t>
      </w:r>
    </w:p>
    <w:p w:rsidR="00730DBB" w:rsidRPr="006F55E1" w:rsidRDefault="00730DBB" w:rsidP="00730DBB">
      <w:pPr>
        <w:pStyle w:val="ParaNoNdepar-AltN"/>
        <w:rPr>
          <w:rFonts w:cs="Times New Roman"/>
          <w:lang w:val="fr-CA"/>
        </w:rPr>
      </w:pPr>
      <w:r w:rsidRPr="006F55E1">
        <w:rPr>
          <w:rFonts w:cs="Times New Roman"/>
          <w:lang w:val="fr-CA"/>
        </w:rPr>
        <w:t xml:space="preserve">Comme l’a expliqué la juge Deschamps dans l’arrêt </w:t>
      </w:r>
      <w:r w:rsidRPr="006F55E1">
        <w:rPr>
          <w:rFonts w:cs="Times New Roman"/>
          <w:i/>
          <w:lang w:val="fr-CA"/>
        </w:rPr>
        <w:t>Hydro</w:t>
      </w:r>
      <w:r w:rsidRPr="006F55E1">
        <w:rPr>
          <w:rFonts w:cs="Times New Roman"/>
          <w:i/>
          <w:lang w:val="fr-CA"/>
        </w:rPr>
        <w:noBreakHyphen/>
        <w:t>Québec</w:t>
      </w:r>
      <w:r w:rsidRPr="006F55E1">
        <w:rPr>
          <w:rFonts w:cs="Times New Roman"/>
          <w:lang w:val="fr-CA"/>
        </w:rPr>
        <w:t> :</w:t>
      </w:r>
    </w:p>
    <w:p w:rsidR="00730DBB" w:rsidRPr="006F55E1" w:rsidRDefault="00730DBB" w:rsidP="00730DBB">
      <w:pPr>
        <w:pStyle w:val="Citation-AltC"/>
        <w:spacing w:after="240"/>
        <w:ind w:hanging="1166"/>
        <w:contextualSpacing w:val="0"/>
        <w:rPr>
          <w:lang w:val="fr-CA"/>
        </w:rPr>
      </w:pPr>
      <w:r w:rsidRPr="006F55E1">
        <w:rPr>
          <w:lang w:val="fr-CA"/>
        </w:rPr>
        <w:tab/>
        <w:t>Ce qui est véritablement requis ce n’est pas la démonstration de l’impossibilité d’intégrer un employé qui ne respecte pas une norme, mais bien la preuve d’une contrainte excessive qui, elle, peut prendre autant de formes qu’il y a de circonstances.</w:t>
      </w:r>
      <w:r w:rsidR="00885BF7">
        <w:rPr>
          <w:lang w:val="fr-CA"/>
        </w:rPr>
        <w:t> . .</w:t>
      </w:r>
      <w:r w:rsidRPr="006F55E1">
        <w:rPr>
          <w:lang w:val="fr-CA"/>
        </w:rPr>
        <w:t xml:space="preserve"> </w:t>
      </w:r>
    </w:p>
    <w:p w:rsidR="00730DBB" w:rsidRPr="006F55E1" w:rsidRDefault="00885BF7" w:rsidP="00730DBB">
      <w:pPr>
        <w:pStyle w:val="Citation-AltC"/>
        <w:spacing w:after="240"/>
        <w:contextualSpacing w:val="0"/>
        <w:jc w:val="center"/>
        <w:rPr>
          <w:lang w:val="fr-CA"/>
        </w:rPr>
      </w:pPr>
      <w:r>
        <w:rPr>
          <w:lang w:val="fr-CA"/>
        </w:rPr>
        <w:t>. . .</w:t>
      </w:r>
    </w:p>
    <w:p w:rsidR="00730DBB" w:rsidRPr="006F55E1" w:rsidRDefault="00730DBB" w:rsidP="00730DBB">
      <w:pPr>
        <w:pStyle w:val="Citation-AltC"/>
        <w:ind w:hanging="1166"/>
        <w:contextualSpacing w:val="0"/>
        <w:rPr>
          <w:lang w:val="fr-CA"/>
        </w:rPr>
      </w:pPr>
      <w:r w:rsidRPr="006F55E1">
        <w:rPr>
          <w:lang w:val="fr-CA"/>
        </w:rPr>
        <w:tab/>
      </w:r>
      <w:r w:rsidR="00885BF7">
        <w:rPr>
          <w:lang w:val="fr-CA"/>
        </w:rPr>
        <w:t xml:space="preserve">. . . </w:t>
      </w:r>
      <w:r w:rsidRPr="006F55E1">
        <w:rPr>
          <w:lang w:val="fr-CA"/>
        </w:rPr>
        <w:t>L’employeur n’a pas l’obligation de modifier de façon fondamentale les conditions de travail, mais il a cependant l’obligation d’aménager, si cela ne lui cause pas une contrainte excessive, le poste de travail ou les tâches de l’employé pour lui permettre de fournir sa prestation de travail. [par. 12 et 16]</w:t>
      </w:r>
    </w:p>
    <w:p w:rsidR="00730DBB" w:rsidRPr="006F55E1" w:rsidRDefault="00730DBB" w:rsidP="00730DBB">
      <w:pPr>
        <w:pStyle w:val="ParaNoNdepar-AltN"/>
        <w:rPr>
          <w:rFonts w:cs="Times New Roman"/>
          <w:lang w:val="fr-CA"/>
        </w:rPr>
      </w:pPr>
      <w:r w:rsidRPr="006F55E1">
        <w:rPr>
          <w:rFonts w:cs="Times New Roman"/>
          <w:lang w:val="fr-CA"/>
        </w:rPr>
        <w:lastRenderedPageBreak/>
        <w:t>Bref, l’obligation d’accommodement exige un accommodement important à un point tel que l’employeu</w:t>
      </w:r>
      <w:r w:rsidR="00885BF7">
        <w:rPr>
          <w:rFonts w:cs="Times New Roman"/>
          <w:lang w:val="fr-CA"/>
        </w:rPr>
        <w:t>r peut démontrer</w:t>
      </w:r>
      <w:r w:rsidRPr="006F55E1">
        <w:rPr>
          <w:rFonts w:cs="Times New Roman"/>
          <w:lang w:val="fr-CA"/>
        </w:rPr>
        <w:t xml:space="preserve"> «</w:t>
      </w:r>
      <w:r w:rsidR="00885BF7">
        <w:rPr>
          <w:rFonts w:cs="Times New Roman"/>
          <w:lang w:val="fr-CA"/>
        </w:rPr>
        <w:t> </w:t>
      </w:r>
      <w:r w:rsidR="00885BF7" w:rsidRPr="006F55E1">
        <w:rPr>
          <w:rFonts w:cs="Times New Roman"/>
          <w:lang w:val="fr-CA"/>
        </w:rPr>
        <w:t>qu’il</w:t>
      </w:r>
      <w:r w:rsidRPr="006F55E1">
        <w:rPr>
          <w:rFonts w:cs="Times New Roman"/>
          <w:lang w:val="fr-CA"/>
        </w:rPr>
        <w:t> n’aurait pu prendre aucune autre mesure raisonnable ou pratique pour éviter les conséquences fâcheuses pour l’individu » (</w:t>
      </w:r>
      <w:r w:rsidRPr="006F55E1">
        <w:rPr>
          <w:rFonts w:cs="Times New Roman"/>
          <w:i/>
          <w:lang w:val="fr-CA"/>
        </w:rPr>
        <w:t>Moore c. Colombie</w:t>
      </w:r>
      <w:r w:rsidRPr="006F55E1">
        <w:rPr>
          <w:rFonts w:cs="Times New Roman"/>
          <w:i/>
          <w:lang w:val="fr-CA"/>
        </w:rPr>
        <w:noBreakHyphen/>
        <w:t>Britannique (Éducation)</w:t>
      </w:r>
      <w:r w:rsidRPr="006F55E1">
        <w:rPr>
          <w:rFonts w:cs="Times New Roman"/>
          <w:lang w:val="fr-CA"/>
        </w:rPr>
        <w:t xml:space="preserve">, [2012] 3 R.C.S. 360, par. 49, citant </w:t>
      </w:r>
      <w:r w:rsidRPr="006F55E1">
        <w:rPr>
          <w:rFonts w:cs="Times New Roman"/>
          <w:i/>
          <w:lang w:val="fr-CA"/>
        </w:rPr>
        <w:t>Meiorin</w:t>
      </w:r>
      <w:r w:rsidRPr="006F55E1">
        <w:rPr>
          <w:rFonts w:cs="Times New Roman"/>
          <w:lang w:val="fr-CA"/>
        </w:rPr>
        <w:t xml:space="preserve">, par. 38; </w:t>
      </w:r>
      <w:r w:rsidRPr="006F55E1">
        <w:rPr>
          <w:rFonts w:cs="Times New Roman"/>
          <w:i/>
          <w:lang w:val="fr-CA"/>
        </w:rPr>
        <w:t>Central Alberta Dairy Pool c</w:t>
      </w:r>
      <w:r w:rsidRPr="006F55E1">
        <w:rPr>
          <w:rFonts w:cs="Times New Roman"/>
          <w:lang w:val="fr-CA"/>
        </w:rPr>
        <w:t>.</w:t>
      </w:r>
      <w:r w:rsidRPr="006F55E1">
        <w:rPr>
          <w:rFonts w:cs="Times New Roman"/>
          <w:i/>
          <w:lang w:val="fr-CA"/>
        </w:rPr>
        <w:t xml:space="preserve"> Alberta (Human Rights Commission)</w:t>
      </w:r>
      <w:r w:rsidRPr="006F55E1">
        <w:rPr>
          <w:rFonts w:cs="Times New Roman"/>
          <w:lang w:val="fr-CA"/>
        </w:rPr>
        <w:t>, [1990] 2 R.C.S. 489, p. 518</w:t>
      </w:r>
      <w:r w:rsidRPr="006F55E1">
        <w:rPr>
          <w:rFonts w:cs="Times New Roman"/>
          <w:lang w:val="fr-CA"/>
        </w:rPr>
        <w:noBreakHyphen/>
        <w:t xml:space="preserve">519; </w:t>
      </w:r>
      <w:r w:rsidRPr="006F55E1">
        <w:rPr>
          <w:rFonts w:cs="Times New Roman"/>
          <w:i/>
          <w:lang w:val="fr-CA"/>
        </w:rPr>
        <w:t>VIA Rail</w:t>
      </w:r>
      <w:r w:rsidRPr="006F55E1">
        <w:rPr>
          <w:rFonts w:cs="Times New Roman"/>
          <w:lang w:val="fr-CA"/>
        </w:rPr>
        <w:t>, par. 130). L’analyse dépend « des facteurs pertinents sur le plan des circonstances et des mesures législatives qui régissent chaque cas » (</w:t>
      </w:r>
      <w:r w:rsidRPr="006F55E1">
        <w:rPr>
          <w:rFonts w:cs="Times New Roman"/>
          <w:i/>
          <w:caps/>
          <w:lang w:val="fr-CA"/>
        </w:rPr>
        <w:t>Via R</w:t>
      </w:r>
      <w:r w:rsidRPr="006F55E1">
        <w:rPr>
          <w:rFonts w:cs="Times New Roman"/>
          <w:i/>
          <w:lang w:val="fr-CA"/>
        </w:rPr>
        <w:t>ail,</w:t>
      </w:r>
      <w:r w:rsidRPr="006F55E1">
        <w:rPr>
          <w:rFonts w:cs="Times New Roman"/>
          <w:lang w:val="fr-CA"/>
        </w:rPr>
        <w:t xml:space="preserve"> par. 123; </w:t>
      </w:r>
      <w:r w:rsidRPr="006F55E1">
        <w:rPr>
          <w:rFonts w:cs="Times New Roman"/>
          <w:i/>
          <w:lang w:val="fr-CA"/>
        </w:rPr>
        <w:t>Central Alberta Dairy Pool</w:t>
      </w:r>
      <w:r w:rsidRPr="006F55E1">
        <w:rPr>
          <w:rFonts w:cs="Times New Roman"/>
          <w:lang w:val="fr-CA"/>
        </w:rPr>
        <w:t>, p. 520</w:t>
      </w:r>
      <w:r w:rsidR="00F608D5">
        <w:rPr>
          <w:rFonts w:cs="Times New Roman"/>
          <w:lang w:val="fr-CA"/>
        </w:rPr>
        <w:t>-</w:t>
      </w:r>
      <w:r w:rsidRPr="006F55E1">
        <w:rPr>
          <w:rFonts w:cs="Times New Roman"/>
          <w:lang w:val="fr-CA"/>
        </w:rPr>
        <w:t>521).</w:t>
      </w:r>
    </w:p>
    <w:p w:rsidR="00730DBB" w:rsidRPr="006F55E1" w:rsidRDefault="00730DBB" w:rsidP="00730DBB">
      <w:pPr>
        <w:pStyle w:val="ParaNoNdepar-AltN"/>
        <w:rPr>
          <w:rFonts w:cs="Times New Roman"/>
          <w:lang w:val="fr-CA"/>
        </w:rPr>
      </w:pPr>
      <w:r w:rsidRPr="006F55E1">
        <w:rPr>
          <w:rFonts w:cs="Times New Roman"/>
          <w:lang w:val="fr-CA"/>
        </w:rPr>
        <w:t xml:space="preserve">Dans l’arrêt </w:t>
      </w:r>
      <w:r w:rsidRPr="006F55E1">
        <w:rPr>
          <w:rFonts w:cs="Times New Roman"/>
          <w:i/>
          <w:lang w:val="fr-CA"/>
        </w:rPr>
        <w:t>McGill University Health Centre (</w:t>
      </w:r>
      <w:r w:rsidR="00885BF7">
        <w:rPr>
          <w:rFonts w:cs="Times New Roman"/>
          <w:i/>
          <w:lang w:val="fr-CA"/>
        </w:rPr>
        <w:t>Hôpital général de Montréal</w:t>
      </w:r>
      <w:r w:rsidRPr="006F55E1">
        <w:rPr>
          <w:rFonts w:cs="Times New Roman"/>
          <w:i/>
          <w:lang w:val="fr-CA"/>
        </w:rPr>
        <w:t>) c. Syndicat des employés de l’Hôpital général de Montréal</w:t>
      </w:r>
      <w:r w:rsidRPr="006F55E1">
        <w:rPr>
          <w:rFonts w:cs="Times New Roman"/>
          <w:lang w:val="fr-CA"/>
        </w:rPr>
        <w:t xml:space="preserve">, [2007] 1 R.C.S. 161, la juge Deschamps a insisté sur le fait qu’il s’agit d’un processus d’examen individualisé : </w:t>
      </w:r>
    </w:p>
    <w:p w:rsidR="00730DBB" w:rsidRPr="006F55E1" w:rsidRDefault="00730DBB" w:rsidP="00885BF7">
      <w:pPr>
        <w:pStyle w:val="Citation-AltC"/>
        <w:tabs>
          <w:tab w:val="left" w:pos="1530"/>
        </w:tabs>
        <w:spacing w:after="240"/>
        <w:ind w:hanging="1166"/>
        <w:contextualSpacing w:val="0"/>
        <w:rPr>
          <w:lang w:val="fr-CA"/>
        </w:rPr>
      </w:pPr>
      <w:r w:rsidRPr="006F55E1">
        <w:rPr>
          <w:lang w:val="fr-CA"/>
        </w:rPr>
        <w:tab/>
      </w:r>
      <w:r w:rsidR="00885BF7">
        <w:rPr>
          <w:lang w:val="fr-CA"/>
        </w:rPr>
        <w:tab/>
      </w:r>
      <w:r w:rsidRPr="006F55E1">
        <w:rPr>
          <w:lang w:val="fr-CA"/>
        </w:rPr>
        <w:t>Le caractère individualisé du processus d’accommodement ne saurait être minimisé. En effet, l’obligation d’accommodement varie selon les caractéristiques de chaque entreprise, les besoins particuliers de chaque employé et les circonstances spécifiques dans lesquelles la décision doit être prise. [par. 22]</w:t>
      </w:r>
    </w:p>
    <w:p w:rsidR="00730DBB" w:rsidRPr="006F55E1" w:rsidRDefault="00730DBB" w:rsidP="00730DBB">
      <w:pPr>
        <w:pStyle w:val="Citation-AltC"/>
        <w:ind w:hanging="1166"/>
        <w:contextualSpacing w:val="0"/>
        <w:rPr>
          <w:lang w:val="fr-CA"/>
        </w:rPr>
      </w:pPr>
      <w:r w:rsidRPr="006F55E1">
        <w:rPr>
          <w:lang w:val="fr-CA"/>
        </w:rPr>
        <w:t xml:space="preserve">(Voir aussi </w:t>
      </w:r>
      <w:r w:rsidRPr="006F55E1">
        <w:rPr>
          <w:i/>
          <w:lang w:val="fr-CA"/>
        </w:rPr>
        <w:t>VIA Rail</w:t>
      </w:r>
      <w:r w:rsidRPr="006F55E1">
        <w:rPr>
          <w:lang w:val="fr-CA"/>
        </w:rPr>
        <w:t>, par. 123</w:t>
      </w:r>
      <w:r w:rsidR="00885BF7">
        <w:rPr>
          <w:lang w:val="fr-CA"/>
        </w:rPr>
        <w:t>.</w:t>
      </w:r>
      <w:r w:rsidRPr="006F55E1">
        <w:rPr>
          <w:lang w:val="fr-CA"/>
        </w:rPr>
        <w:t xml:space="preserve">) </w:t>
      </w:r>
    </w:p>
    <w:p w:rsidR="00730DBB" w:rsidRPr="006F55E1" w:rsidRDefault="00730DBB" w:rsidP="00730DBB">
      <w:pPr>
        <w:pStyle w:val="ParaNoNdepar-AltN"/>
        <w:rPr>
          <w:rFonts w:cs="Times New Roman"/>
          <w:lang w:val="fr-CA"/>
        </w:rPr>
      </w:pPr>
      <w:r w:rsidRPr="006F55E1">
        <w:rPr>
          <w:rFonts w:cs="Times New Roman"/>
          <w:lang w:val="fr-CA"/>
        </w:rPr>
        <w:t xml:space="preserve">Tout récemment, dans l’affaire </w:t>
      </w:r>
      <w:r w:rsidRPr="006F55E1">
        <w:rPr>
          <w:rFonts w:cs="Times New Roman"/>
          <w:i/>
          <w:lang w:val="fr-CA"/>
        </w:rPr>
        <w:t>Stewart c. Elk Valley Coal Corp</w:t>
      </w:r>
      <w:r w:rsidRPr="006F55E1">
        <w:rPr>
          <w:rFonts w:cs="Times New Roman"/>
          <w:lang w:val="fr-CA"/>
        </w:rPr>
        <w:t>., [2017] 1 R.C.S. 591, le juge Gascon, dissident, mais non sur ce point, a résumé les principes clés : l’employeur n’est pas tenu de démontrer qu’il est « impossib</w:t>
      </w:r>
      <w:r w:rsidR="00885BF7">
        <w:rPr>
          <w:rFonts w:cs="Times New Roman"/>
          <w:lang w:val="fr-CA"/>
        </w:rPr>
        <w:t>[</w:t>
      </w:r>
      <w:r w:rsidRPr="006F55E1">
        <w:rPr>
          <w:rFonts w:cs="Times New Roman"/>
          <w:lang w:val="fr-CA"/>
        </w:rPr>
        <w:t>le</w:t>
      </w:r>
      <w:r w:rsidR="00885BF7">
        <w:rPr>
          <w:rFonts w:cs="Times New Roman"/>
          <w:lang w:val="fr-CA"/>
        </w:rPr>
        <w:t>]</w:t>
      </w:r>
      <w:r w:rsidRPr="006F55E1">
        <w:rPr>
          <w:rFonts w:cs="Times New Roman"/>
          <w:lang w:val="fr-CA"/>
        </w:rPr>
        <w:t xml:space="preserve"> </w:t>
      </w:r>
      <w:r w:rsidR="00885BF7">
        <w:rPr>
          <w:rFonts w:cs="Times New Roman"/>
          <w:lang w:val="fr-CA"/>
        </w:rPr>
        <w:t>de compose</w:t>
      </w:r>
      <w:r w:rsidRPr="006F55E1">
        <w:rPr>
          <w:rFonts w:cs="Times New Roman"/>
          <w:lang w:val="fr-CA"/>
        </w:rPr>
        <w:t xml:space="preserve">r » </w:t>
      </w:r>
      <w:r w:rsidR="00F608D5">
        <w:rPr>
          <w:rFonts w:cs="Times New Roman"/>
          <w:lang w:val="fr-CA"/>
        </w:rPr>
        <w:t xml:space="preserve">avec </w:t>
      </w:r>
      <w:r w:rsidRPr="006F55E1">
        <w:rPr>
          <w:rFonts w:cs="Times New Roman"/>
          <w:lang w:val="fr-CA"/>
        </w:rPr>
        <w:t xml:space="preserve">l’employé, mais seulement qu’aucune autre solution de rechange raisonnable ou pratique ne s’offre à lui; une analyse individualisée est nécessaire; l’obligation </w:t>
      </w:r>
      <w:r w:rsidRPr="006F55E1">
        <w:rPr>
          <w:rFonts w:cs="Times New Roman"/>
          <w:lang w:val="fr-CA"/>
        </w:rPr>
        <w:lastRenderedPageBreak/>
        <w:t>d’accommodement implique tant des obligations procédurales que des obligations de fond; le critère de la contrainte excessive signifie que l’employeur doit toujours supporter une certaine contrainte (par. 125</w:t>
      </w:r>
      <w:r w:rsidRPr="006F55E1">
        <w:rPr>
          <w:rFonts w:cs="Times New Roman"/>
          <w:lang w:val="fr-CA"/>
        </w:rPr>
        <w:noBreakHyphen/>
        <w:t>128</w:t>
      </w:r>
      <w:bookmarkStart w:id="2" w:name="_Toc485133799"/>
      <w:r w:rsidRPr="006F55E1">
        <w:rPr>
          <w:rFonts w:cs="Times New Roman"/>
          <w:lang w:val="fr-CA"/>
        </w:rPr>
        <w:t>).</w:t>
      </w:r>
    </w:p>
    <w:bookmarkEnd w:id="2"/>
    <w:p w:rsidR="00730DBB" w:rsidRPr="006F55E1" w:rsidRDefault="00730DBB" w:rsidP="00730DBB">
      <w:pPr>
        <w:pStyle w:val="ParaNoNdepar-AltN"/>
        <w:rPr>
          <w:rFonts w:cs="Times New Roman"/>
          <w:b/>
          <w:lang w:val="fr-CA"/>
        </w:rPr>
      </w:pPr>
      <w:r w:rsidRPr="006F55E1">
        <w:rPr>
          <w:rFonts w:cs="Times New Roman"/>
          <w:lang w:val="fr-CA"/>
        </w:rPr>
        <w:t xml:space="preserve">Au Canada, il a été jugé que toutes les lois sur les droits de la personne prohibant la discrimination comportent une obligation d’accommodement, y compris la </w:t>
      </w:r>
      <w:r w:rsidRPr="006F55E1">
        <w:rPr>
          <w:rFonts w:cs="Times New Roman"/>
          <w:i/>
          <w:lang w:val="fr-CA"/>
        </w:rPr>
        <w:t xml:space="preserve">Charte </w:t>
      </w:r>
      <w:r w:rsidRPr="006F55E1">
        <w:rPr>
          <w:rFonts w:cs="Times New Roman"/>
          <w:lang w:val="fr-CA"/>
        </w:rPr>
        <w:t>québécoise (</w:t>
      </w:r>
      <w:r w:rsidRPr="006F55E1">
        <w:rPr>
          <w:rFonts w:cs="Times New Roman"/>
          <w:i/>
          <w:lang w:val="fr-CA"/>
        </w:rPr>
        <w:t>Québec (Commission des droits de la personne et des droits de la jeunesse) c. Bombardier Inc</w:t>
      </w:r>
      <w:r w:rsidRPr="006F55E1">
        <w:rPr>
          <w:rFonts w:cs="Times New Roman"/>
          <w:lang w:val="fr-CA"/>
        </w:rPr>
        <w:t xml:space="preserve">. </w:t>
      </w:r>
      <w:r w:rsidRPr="006F55E1">
        <w:rPr>
          <w:rFonts w:cs="Times New Roman"/>
          <w:i/>
          <w:lang w:val="fr-CA"/>
        </w:rPr>
        <w:t>(Bombardier Aéronautique Centre de formation)</w:t>
      </w:r>
      <w:r w:rsidRPr="006F55E1">
        <w:rPr>
          <w:rFonts w:cs="Times New Roman"/>
          <w:lang w:val="fr-CA"/>
        </w:rPr>
        <w:t>, [2015] 2 R.C.S. 789).</w:t>
      </w:r>
      <w:r w:rsidRPr="006F55E1">
        <w:rPr>
          <w:rFonts w:cs="Times New Roman"/>
          <w:b/>
          <w:lang w:val="fr-CA"/>
        </w:rPr>
        <w:t xml:space="preserve"> </w:t>
      </w:r>
    </w:p>
    <w:p w:rsidR="00730DBB" w:rsidRPr="006F55E1" w:rsidRDefault="00730DBB" w:rsidP="00730DBB">
      <w:pPr>
        <w:pStyle w:val="ParaNoNdepar-AltN"/>
        <w:rPr>
          <w:rFonts w:cs="Times New Roman"/>
          <w:lang w:val="fr-CA"/>
        </w:rPr>
      </w:pPr>
      <w:r w:rsidRPr="006F55E1">
        <w:rPr>
          <w:rFonts w:cs="Times New Roman"/>
          <w:lang w:val="fr-CA"/>
        </w:rPr>
        <w:t xml:space="preserve">Ces constatations nous amènent à l’examen de la question qui est au cœur du présent pourvoi, celle de savoir si le régime législatif devrait être interprété et appliqué compte tenu de l’obligation d’accommodement raisonnable incombant à l’employeur, eu égard aux art. 10 et 16 de la </w:t>
      </w:r>
      <w:r w:rsidRPr="006F55E1">
        <w:rPr>
          <w:rFonts w:cs="Times New Roman"/>
          <w:i/>
          <w:lang w:val="fr-CA"/>
        </w:rPr>
        <w:t>Charte</w:t>
      </w:r>
      <w:r w:rsidRPr="006F55E1">
        <w:rPr>
          <w:rFonts w:cs="Times New Roman"/>
          <w:lang w:val="fr-CA"/>
        </w:rPr>
        <w:t xml:space="preserve"> québécoise.</w:t>
      </w:r>
    </w:p>
    <w:p w:rsidR="00730DBB" w:rsidRPr="006F55E1" w:rsidRDefault="00730DBB" w:rsidP="00730DBB">
      <w:pPr>
        <w:pStyle w:val="ParaNoNdepar-AltN"/>
        <w:rPr>
          <w:rFonts w:cs="Times New Roman"/>
          <w:lang w:val="fr-CA"/>
        </w:rPr>
      </w:pPr>
      <w:r w:rsidRPr="006F55E1">
        <w:rPr>
          <w:rFonts w:cs="Times New Roman"/>
          <w:lang w:val="fr-CA"/>
        </w:rPr>
        <w:t xml:space="preserve">Les outils servant à aborder les questions soulevées en l’espèce se trouvent dans l’arrêt </w:t>
      </w:r>
      <w:r w:rsidRPr="006F55E1">
        <w:rPr>
          <w:rFonts w:cs="Times New Roman"/>
          <w:i/>
          <w:lang w:val="fr-CA"/>
        </w:rPr>
        <w:t>Québec (Commission des droits de la personne et des droits de la jeunesse) c. Communauté urbaine de Montréal</w:t>
      </w:r>
      <w:r w:rsidRPr="006F55E1">
        <w:rPr>
          <w:rFonts w:cs="Times New Roman"/>
          <w:lang w:val="fr-CA"/>
        </w:rPr>
        <w:t xml:space="preserve">, [2004] 1 R.C.S. 789, où le juge LeBel a confirmé que les lois québécoises doivent être interprétées conformément aux principes de la </w:t>
      </w:r>
      <w:r w:rsidRPr="006F55E1">
        <w:rPr>
          <w:rFonts w:cs="Times New Roman"/>
          <w:i/>
          <w:lang w:val="fr-CA"/>
        </w:rPr>
        <w:t>Charte</w:t>
      </w:r>
      <w:r w:rsidRPr="006F55E1">
        <w:rPr>
          <w:rFonts w:cs="Times New Roman"/>
          <w:lang w:val="fr-CA"/>
        </w:rPr>
        <w:t xml:space="preserve"> québécoise : </w:t>
      </w:r>
    </w:p>
    <w:p w:rsidR="00730DBB" w:rsidRPr="006F55E1" w:rsidRDefault="00730DBB" w:rsidP="006122C2">
      <w:pPr>
        <w:pStyle w:val="Citation-AltC"/>
        <w:tabs>
          <w:tab w:val="left" w:pos="1530"/>
        </w:tabs>
        <w:ind w:left="1167" w:hanging="1253"/>
        <w:contextualSpacing w:val="0"/>
        <w:rPr>
          <w:lang w:val="fr-CA"/>
        </w:rPr>
      </w:pPr>
      <w:r w:rsidRPr="006F55E1">
        <w:rPr>
          <w:lang w:val="fr-CA"/>
        </w:rPr>
        <w:tab/>
      </w:r>
      <w:r w:rsidRPr="006F55E1">
        <w:rPr>
          <w:lang w:val="fr-CA"/>
        </w:rPr>
        <w:tab/>
        <w:t xml:space="preserve">Dans le droit du Québec, dans les matières relevant de la compétence de l’Assemblée nationale, </w:t>
      </w:r>
      <w:r w:rsidRPr="006F55E1">
        <w:rPr>
          <w:i/>
          <w:lang w:val="fr-CA"/>
        </w:rPr>
        <w:t>la Charte québécoise se trouve élevée au rang de source de droit fondamental. L’interprétation de la législation doit</w:t>
      </w:r>
      <w:r w:rsidRPr="006F55E1">
        <w:rPr>
          <w:lang w:val="fr-CA"/>
        </w:rPr>
        <w:t xml:space="preserve"> </w:t>
      </w:r>
      <w:r w:rsidRPr="006F55E1">
        <w:rPr>
          <w:i/>
          <w:lang w:val="fr-CA"/>
        </w:rPr>
        <w:t xml:space="preserve">s’inspirer de ses principes. </w:t>
      </w:r>
      <w:r w:rsidRPr="00B1243E">
        <w:rPr>
          <w:lang w:val="fr-CA"/>
        </w:rPr>
        <w:t>La disposition préliminaire du</w:t>
      </w:r>
      <w:r w:rsidRPr="006F55E1">
        <w:rPr>
          <w:i/>
          <w:lang w:val="fr-CA"/>
        </w:rPr>
        <w:t xml:space="preserve"> Code civil du Québec</w:t>
      </w:r>
      <w:r w:rsidRPr="006F55E1">
        <w:rPr>
          <w:lang w:val="fr-CA"/>
        </w:rPr>
        <w:t xml:space="preserve">, L.Q. 1991, ch. 64, souligne d’ailleurs que ce dernier, à titre de </w:t>
      </w:r>
      <w:r w:rsidRPr="006F55E1">
        <w:rPr>
          <w:lang w:val="fr-CA"/>
        </w:rPr>
        <w:lastRenderedPageBreak/>
        <w:t>droit commun du Québec, doit s’interpréter en harmonie avec elle. [Italiques ajoutés; par. 20</w:t>
      </w:r>
      <w:r w:rsidR="006122C2">
        <w:rPr>
          <w:lang w:val="fr-CA"/>
        </w:rPr>
        <w:t>.</w:t>
      </w:r>
      <w:r w:rsidRPr="006F55E1">
        <w:rPr>
          <w:lang w:val="fr-CA"/>
        </w:rPr>
        <w:t>]</w:t>
      </w:r>
    </w:p>
    <w:p w:rsidR="00730DBB" w:rsidRPr="006F55E1" w:rsidRDefault="00730DBB" w:rsidP="00730DBB">
      <w:pPr>
        <w:pStyle w:val="ContinueParaSuitedupar-AltP"/>
        <w:rPr>
          <w:rFonts w:cs="Times New Roman"/>
          <w:lang w:val="fr-CA"/>
        </w:rPr>
      </w:pPr>
      <w:r w:rsidRPr="006F55E1">
        <w:rPr>
          <w:rFonts w:cs="Times New Roman"/>
          <w:lang w:val="fr-CA"/>
        </w:rPr>
        <w:t xml:space="preserve">Il s’agit d’une méthode qui a généralement été employée dans la jurisprudence québécoise. Elle adhère au point de vue selon lequel </w:t>
      </w:r>
      <w:r w:rsidRPr="006F55E1">
        <w:rPr>
          <w:rFonts w:cs="Times New Roman"/>
          <w:i/>
          <w:lang w:val="fr-CA"/>
        </w:rPr>
        <w:t xml:space="preserve">toutes </w:t>
      </w:r>
      <w:r w:rsidRPr="006F55E1">
        <w:rPr>
          <w:rFonts w:cs="Times New Roman"/>
          <w:lang w:val="fr-CA"/>
        </w:rPr>
        <w:t xml:space="preserve">les lois du Québec doivent être interprétées conformément à la </w:t>
      </w:r>
      <w:r w:rsidRPr="006F55E1">
        <w:rPr>
          <w:rFonts w:cs="Times New Roman"/>
          <w:i/>
          <w:lang w:val="fr-CA"/>
        </w:rPr>
        <w:t xml:space="preserve">Charte </w:t>
      </w:r>
      <w:r w:rsidRPr="006F55E1">
        <w:rPr>
          <w:rFonts w:cs="Times New Roman"/>
          <w:lang w:val="fr-CA"/>
        </w:rPr>
        <w:t xml:space="preserve">québécoise. Il n’est donc pas nécessaire de traiter de l’argument, que M. Caron a invoqué la première fois devant notre Cour, selon lequel l’arrêt </w:t>
      </w:r>
      <w:r w:rsidRPr="006F55E1">
        <w:rPr>
          <w:rFonts w:cs="Times New Roman"/>
          <w:i/>
          <w:lang w:val="fr-CA"/>
        </w:rPr>
        <w:t>R. c. Conway</w:t>
      </w:r>
      <w:r w:rsidRPr="006F55E1">
        <w:rPr>
          <w:rFonts w:cs="Times New Roman"/>
          <w:lang w:val="fr-CA"/>
        </w:rPr>
        <w:t xml:space="preserve">, [2010] 1 R.C.S. 765, doit être appliqué. </w:t>
      </w:r>
    </w:p>
    <w:p w:rsidR="00730DBB" w:rsidRPr="006F55E1" w:rsidRDefault="00730DBB" w:rsidP="00730DBB">
      <w:pPr>
        <w:pStyle w:val="ParaNoNdepar-AltN"/>
        <w:rPr>
          <w:rFonts w:cs="Times New Roman"/>
          <w:lang w:val="fr-CA"/>
        </w:rPr>
      </w:pPr>
      <w:r w:rsidRPr="006F55E1">
        <w:rPr>
          <w:rFonts w:cs="Times New Roman"/>
          <w:lang w:val="fr-CA"/>
        </w:rPr>
        <w:t xml:space="preserve">Cette approche a également été appliquée à l’extérieur du Québec, comme la Cour l’a souligné dans l’arrêt </w:t>
      </w:r>
      <w:r w:rsidRPr="006F55E1">
        <w:rPr>
          <w:rFonts w:cs="Times New Roman"/>
          <w:i/>
          <w:caps/>
          <w:lang w:val="fr-CA"/>
        </w:rPr>
        <w:t>Via R</w:t>
      </w:r>
      <w:r w:rsidRPr="006F55E1">
        <w:rPr>
          <w:rFonts w:cs="Times New Roman"/>
          <w:i/>
          <w:lang w:val="fr-CA"/>
        </w:rPr>
        <w:t>ail </w:t>
      </w:r>
      <w:r w:rsidRPr="00725B45">
        <w:rPr>
          <w:rFonts w:cs="Times New Roman"/>
          <w:lang w:val="fr-CA"/>
        </w:rPr>
        <w:t>:</w:t>
      </w:r>
    </w:p>
    <w:p w:rsidR="00730DBB" w:rsidRPr="006F55E1" w:rsidRDefault="00730DBB" w:rsidP="00730DBB">
      <w:pPr>
        <w:pStyle w:val="Citation-AltC"/>
        <w:spacing w:after="240"/>
        <w:ind w:hanging="1166"/>
        <w:contextualSpacing w:val="0"/>
        <w:rPr>
          <w:lang w:val="fr-CA"/>
        </w:rPr>
      </w:pPr>
      <w:r w:rsidRPr="006F55E1">
        <w:rPr>
          <w:lang w:val="fr-CA"/>
        </w:rPr>
        <w:tab/>
        <w:t>[D]u fait qu’elle énonce « une politique générale applicable à des questions d’intérêt général », une loi sur les droits de la personne fait partie de l’ensemble des règles de droit pertinentes nécessaires pour aider un tribunal administratif à interpréter sa loi habilitante. [par. 114]</w:t>
      </w:r>
    </w:p>
    <w:p w:rsidR="00730DBB" w:rsidRPr="006F55E1" w:rsidRDefault="00730DBB" w:rsidP="00D22257">
      <w:pPr>
        <w:pStyle w:val="Citation-AltC"/>
        <w:ind w:left="0"/>
        <w:contextualSpacing w:val="0"/>
        <w:rPr>
          <w:b/>
          <w:lang w:val="fr-CA"/>
        </w:rPr>
      </w:pPr>
      <w:r w:rsidRPr="006F55E1">
        <w:rPr>
          <w:lang w:val="fr-CA"/>
        </w:rPr>
        <w:t xml:space="preserve">(Voir aussi </w:t>
      </w:r>
      <w:r w:rsidRPr="006F55E1">
        <w:rPr>
          <w:i/>
          <w:lang w:val="fr-CA"/>
        </w:rPr>
        <w:t>Tranchemontagne c. Ontario (Directeur du Programme ontarien de s</w:t>
      </w:r>
      <w:r w:rsidR="00D22257">
        <w:rPr>
          <w:i/>
          <w:lang w:val="fr-CA"/>
        </w:rPr>
        <w:t xml:space="preserve">outien </w:t>
      </w:r>
      <w:r w:rsidRPr="006F55E1">
        <w:rPr>
          <w:i/>
          <w:lang w:val="fr-CA"/>
        </w:rPr>
        <w:t>aux personnes handicapées)</w:t>
      </w:r>
      <w:r w:rsidRPr="006F55E1">
        <w:rPr>
          <w:lang w:val="fr-CA"/>
        </w:rPr>
        <w:t>, [2006] 1 R.C.S. 513.)</w:t>
      </w:r>
    </w:p>
    <w:p w:rsidR="00730DBB" w:rsidRPr="006F55E1" w:rsidRDefault="00730DBB" w:rsidP="00730DBB">
      <w:pPr>
        <w:pStyle w:val="ParaNoNdepar-AltN"/>
        <w:rPr>
          <w:rFonts w:cs="Times New Roman"/>
          <w:lang w:val="fr-CA"/>
        </w:rPr>
      </w:pPr>
      <w:r w:rsidRPr="006F55E1">
        <w:rPr>
          <w:rFonts w:cs="Times New Roman"/>
          <w:lang w:val="fr-CA"/>
        </w:rPr>
        <w:t xml:space="preserve">Elle a été appliquée à la loi sur les accidents du travail par la Cour d’appel du Québec dans l’arrêt </w:t>
      </w:r>
      <w:r w:rsidRPr="006F55E1">
        <w:rPr>
          <w:rFonts w:cs="Times New Roman"/>
          <w:i/>
          <w:lang w:val="fr-CA"/>
        </w:rPr>
        <w:t xml:space="preserve">Gauthier c. Demers </w:t>
      </w:r>
      <w:r w:rsidRPr="006F55E1">
        <w:rPr>
          <w:rFonts w:cs="Times New Roman"/>
          <w:lang w:val="fr-CA"/>
        </w:rPr>
        <w:t xml:space="preserve">(2007), 65 Admin. L.R. (4th) 222. Cet arrêt portait sur le sens de l’expression « une autre cause juste et suffisante » figurant à l’art. 255 de la </w:t>
      </w:r>
      <w:r w:rsidRPr="006F55E1">
        <w:rPr>
          <w:rFonts w:cs="Times New Roman"/>
          <w:i/>
          <w:lang w:val="fr-CA"/>
        </w:rPr>
        <w:t>Loi</w:t>
      </w:r>
      <w:r w:rsidRPr="006F55E1">
        <w:rPr>
          <w:rFonts w:cs="Times New Roman"/>
          <w:lang w:val="fr-CA"/>
        </w:rPr>
        <w:t xml:space="preserve">. Suivant cet article, pour réfuter la présomption qu’une mesure visée à l’art. 32 de la </w:t>
      </w:r>
      <w:r w:rsidRPr="006F55E1">
        <w:rPr>
          <w:rFonts w:cs="Times New Roman"/>
          <w:i/>
          <w:lang w:val="fr-CA"/>
        </w:rPr>
        <w:t>Loi</w:t>
      </w:r>
      <w:r w:rsidRPr="006F55E1">
        <w:rPr>
          <w:rFonts w:cs="Times New Roman"/>
          <w:lang w:val="fr-CA"/>
        </w:rPr>
        <w:t xml:space="preserve"> a été prise contre le travailleur en raison d’une lésion professionnelle ou de l’exercice d’un droit conféré par la </w:t>
      </w:r>
      <w:r w:rsidRPr="006F55E1">
        <w:rPr>
          <w:rFonts w:cs="Times New Roman"/>
          <w:i/>
          <w:lang w:val="fr-CA"/>
        </w:rPr>
        <w:t>Loi</w:t>
      </w:r>
      <w:r w:rsidRPr="006F55E1">
        <w:rPr>
          <w:rFonts w:cs="Times New Roman"/>
          <w:lang w:val="fr-CA"/>
        </w:rPr>
        <w:t xml:space="preserve">, l’employeur doit démontrer qu’il a pris </w:t>
      </w:r>
      <w:r w:rsidRPr="006F55E1">
        <w:rPr>
          <w:rFonts w:cs="Times New Roman"/>
          <w:lang w:val="fr-CA"/>
        </w:rPr>
        <w:lastRenderedPageBreak/>
        <w:t xml:space="preserve">cette mesure « pour une autre cause juste et suffisante ». Le juge Vézina a souligné la nature quasi constitutionnelle de la </w:t>
      </w:r>
      <w:r w:rsidRPr="006F55E1">
        <w:rPr>
          <w:rFonts w:cs="Times New Roman"/>
          <w:i/>
          <w:lang w:val="fr-CA"/>
        </w:rPr>
        <w:t>Charte</w:t>
      </w:r>
      <w:r w:rsidRPr="006F55E1">
        <w:rPr>
          <w:rFonts w:cs="Times New Roman"/>
          <w:lang w:val="fr-CA"/>
        </w:rPr>
        <w:t xml:space="preserve"> et son interaction avec les autres lois : </w:t>
      </w:r>
    </w:p>
    <w:p w:rsidR="00730DBB" w:rsidRPr="006F55E1" w:rsidRDefault="00730DBB" w:rsidP="00730DBB">
      <w:pPr>
        <w:pStyle w:val="Citation-AltC"/>
        <w:spacing w:after="240"/>
        <w:ind w:hanging="1166"/>
        <w:contextualSpacing w:val="0"/>
        <w:rPr>
          <w:lang w:val="fr-CA"/>
        </w:rPr>
      </w:pPr>
      <w:r w:rsidRPr="006F55E1">
        <w:rPr>
          <w:lang w:val="fr-CA"/>
        </w:rPr>
        <w:tab/>
      </w:r>
      <w:r w:rsidRPr="006F55E1">
        <w:rPr>
          <w:lang w:val="fr-CA"/>
        </w:rPr>
        <w:tab/>
        <w:t xml:space="preserve">En quelque sorte, les dispositions de la </w:t>
      </w:r>
      <w:r w:rsidRPr="006F55E1">
        <w:rPr>
          <w:i/>
          <w:lang w:val="fr-CA"/>
        </w:rPr>
        <w:t>Charte</w:t>
      </w:r>
      <w:r w:rsidRPr="006F55E1">
        <w:rPr>
          <w:lang w:val="fr-CA"/>
        </w:rPr>
        <w:t xml:space="preserve"> qui assurent la protection des droits fondamentaux sont partie intégrante de toute loi sans qu’il soit nécessaire d’en faire mention dans le texte de celle</w:t>
      </w:r>
      <w:r w:rsidRPr="006F55E1">
        <w:rPr>
          <w:lang w:val="fr-CA"/>
        </w:rPr>
        <w:noBreakHyphen/>
        <w:t>ci.</w:t>
      </w:r>
    </w:p>
    <w:p w:rsidR="00730DBB" w:rsidRPr="006F55E1" w:rsidRDefault="00730DBB" w:rsidP="00730DBB">
      <w:pPr>
        <w:pStyle w:val="Citation-AltC"/>
        <w:ind w:hanging="1166"/>
        <w:contextualSpacing w:val="0"/>
        <w:rPr>
          <w:lang w:val="fr-CA"/>
        </w:rPr>
      </w:pPr>
      <w:r w:rsidRPr="006F55E1">
        <w:rPr>
          <w:lang w:val="fr-CA"/>
        </w:rPr>
        <w:tab/>
      </w:r>
      <w:r w:rsidRPr="006F55E1">
        <w:rPr>
          <w:lang w:val="fr-CA"/>
        </w:rPr>
        <w:tab/>
        <w:t>Plus particulièrement, la disposition de la [</w:t>
      </w:r>
      <w:r w:rsidRPr="006F55E1">
        <w:rPr>
          <w:i/>
          <w:lang w:val="fr-CA"/>
        </w:rPr>
        <w:t>Loi sur la santé et la sécurité du travail</w:t>
      </w:r>
      <w:r w:rsidR="0070706C">
        <w:rPr>
          <w:lang w:val="fr-CA"/>
        </w:rPr>
        <w:t>, RLRQ, c. S</w:t>
      </w:r>
      <w:r w:rsidR="0070706C">
        <w:rPr>
          <w:lang w:val="fr-CA"/>
        </w:rPr>
        <w:noBreakHyphen/>
        <w:t>2.1</w:t>
      </w:r>
      <w:r w:rsidRPr="006F55E1">
        <w:rPr>
          <w:lang w:val="fr-CA"/>
        </w:rPr>
        <w:t xml:space="preserve">] qui fait état d’une « cause juste et suffisante » doit être interprétée tout comme si elle comportait les mots « et conforme à la </w:t>
      </w:r>
      <w:r w:rsidRPr="0070706C">
        <w:rPr>
          <w:i/>
          <w:lang w:val="fr-CA"/>
        </w:rPr>
        <w:t>Charte</w:t>
      </w:r>
      <w:r w:rsidRPr="006F55E1">
        <w:rPr>
          <w:lang w:val="fr-CA"/>
        </w:rPr>
        <w:t xml:space="preserve"> ». C’est le principe de la suprématie de la </w:t>
      </w:r>
      <w:r w:rsidRPr="006F55E1">
        <w:rPr>
          <w:i/>
          <w:lang w:val="fr-CA"/>
        </w:rPr>
        <w:t>Charte</w:t>
      </w:r>
      <w:r w:rsidRPr="006F55E1">
        <w:rPr>
          <w:lang w:val="fr-CA"/>
        </w:rPr>
        <w:t>, loi quasi constitutionnelle. [par. 51</w:t>
      </w:r>
      <w:r w:rsidR="00725B45">
        <w:rPr>
          <w:lang w:val="fr-CA"/>
        </w:rPr>
        <w:t>-</w:t>
      </w:r>
      <w:r w:rsidRPr="006F55E1">
        <w:rPr>
          <w:lang w:val="fr-CA"/>
        </w:rPr>
        <w:t>52]</w:t>
      </w:r>
    </w:p>
    <w:p w:rsidR="00730DBB" w:rsidRPr="006F55E1" w:rsidRDefault="00730DBB" w:rsidP="00730DBB">
      <w:pPr>
        <w:pStyle w:val="ParaNoNdepar-AltN"/>
        <w:rPr>
          <w:rFonts w:cs="Times New Roman"/>
          <w:lang w:val="fr-CA"/>
        </w:rPr>
      </w:pPr>
      <w:r w:rsidRPr="006F55E1">
        <w:rPr>
          <w:rFonts w:cs="Times New Roman"/>
          <w:lang w:val="fr-CA"/>
        </w:rPr>
        <w:t xml:space="preserve">L’obligation d’accommodement étant l’un des principes centraux de la </w:t>
      </w:r>
      <w:r w:rsidRPr="006F55E1">
        <w:rPr>
          <w:rFonts w:cs="Times New Roman"/>
          <w:i/>
          <w:lang w:val="fr-CA"/>
        </w:rPr>
        <w:t>Charte</w:t>
      </w:r>
      <w:r w:rsidRPr="006F55E1">
        <w:rPr>
          <w:rFonts w:cs="Times New Roman"/>
          <w:lang w:val="fr-CA"/>
        </w:rPr>
        <w:t xml:space="preserve"> québécoise, elle s’applique donc à l’interprétation et à l’application des dispositions de la loi québécoise sur les accidents du travail. Il n’existe aucune raison de priver quelqu’un qui devient invalide par suite d’un accident </w:t>
      </w:r>
      <w:r w:rsidRPr="006F55E1">
        <w:rPr>
          <w:rFonts w:cs="Times New Roman"/>
          <w:i/>
          <w:lang w:val="fr-CA"/>
        </w:rPr>
        <w:t>du travail</w:t>
      </w:r>
      <w:r w:rsidRPr="006F55E1">
        <w:rPr>
          <w:rFonts w:cs="Times New Roman"/>
          <w:lang w:val="fr-CA"/>
        </w:rPr>
        <w:t xml:space="preserve"> des principes applicables à toutes les personnes invalides, notamment du droit à des mesures d’accommodement raisonnables. </w:t>
      </w:r>
    </w:p>
    <w:p w:rsidR="00730DBB" w:rsidRPr="006F55E1" w:rsidRDefault="00730DBB" w:rsidP="00730DBB">
      <w:pPr>
        <w:pStyle w:val="ParaNoNdepar-AltN"/>
        <w:rPr>
          <w:rFonts w:cs="Times New Roman"/>
          <w:lang w:val="fr-CA"/>
        </w:rPr>
      </w:pPr>
      <w:r w:rsidRPr="006F55E1">
        <w:rPr>
          <w:rFonts w:cs="Times New Roman"/>
          <w:lang w:val="fr-CA"/>
        </w:rPr>
        <w:t xml:space="preserve">La mise en œuvre de cette obligation à la lumière de la </w:t>
      </w:r>
      <w:r w:rsidRPr="006F55E1">
        <w:rPr>
          <w:rFonts w:cs="Times New Roman"/>
          <w:i/>
          <w:lang w:val="fr-CA"/>
        </w:rPr>
        <w:t xml:space="preserve">Charte </w:t>
      </w:r>
      <w:r w:rsidRPr="006F55E1">
        <w:rPr>
          <w:rFonts w:cs="Times New Roman"/>
          <w:lang w:val="fr-CA"/>
        </w:rPr>
        <w:t xml:space="preserve">québécoise ne perturbe pas le régime soigneusement calibré d’obligations et de rapports établi par la </w:t>
      </w:r>
      <w:r w:rsidRPr="006F55E1">
        <w:rPr>
          <w:rFonts w:cs="Times New Roman"/>
          <w:i/>
          <w:lang w:val="fr-CA"/>
        </w:rPr>
        <w:t>Loi</w:t>
      </w:r>
      <w:r w:rsidRPr="006F55E1">
        <w:rPr>
          <w:rFonts w:cs="Times New Roman"/>
          <w:lang w:val="fr-CA"/>
        </w:rPr>
        <w:t xml:space="preserve">. Elle ne fait que requérir une conception plus robuste de la mise en application des droits des travailleurs invalides par la CSST et la CLP et, nécessairement, par l’employeur. </w:t>
      </w:r>
    </w:p>
    <w:p w:rsidR="00730DBB" w:rsidRPr="006F55E1" w:rsidRDefault="00730DBB" w:rsidP="00730DBB">
      <w:pPr>
        <w:pStyle w:val="ParaNoNdepar-AltN"/>
        <w:rPr>
          <w:rFonts w:cs="Times New Roman"/>
          <w:b/>
          <w:lang w:val="fr-CA"/>
        </w:rPr>
      </w:pPr>
      <w:r w:rsidRPr="006F55E1">
        <w:rPr>
          <w:rFonts w:cs="Times New Roman"/>
          <w:lang w:val="fr-CA"/>
        </w:rPr>
        <w:t xml:space="preserve">Interpréter et mettre en œuvre la </w:t>
      </w:r>
      <w:r w:rsidRPr="00B1243E">
        <w:rPr>
          <w:rFonts w:cs="Times New Roman"/>
          <w:i/>
          <w:lang w:val="fr-CA"/>
        </w:rPr>
        <w:t>Loi</w:t>
      </w:r>
      <w:r w:rsidRPr="006F55E1">
        <w:rPr>
          <w:rFonts w:cs="Times New Roman"/>
          <w:lang w:val="fr-CA"/>
        </w:rPr>
        <w:t xml:space="preserve"> dans un cas donné conformément au principe de l’accommodement raisonnable est, en fait, compatible avec les efforts </w:t>
      </w:r>
      <w:r w:rsidRPr="006F55E1">
        <w:rPr>
          <w:rFonts w:cs="Times New Roman"/>
          <w:lang w:val="fr-CA"/>
        </w:rPr>
        <w:lastRenderedPageBreak/>
        <w:t>envisagés par le régime en vue de permettre au travailleur de retourner au travail. L’examen des objectifs et politiques sous</w:t>
      </w:r>
      <w:r w:rsidRPr="006F55E1">
        <w:rPr>
          <w:rFonts w:cs="Times New Roman"/>
          <w:lang w:val="fr-CA"/>
        </w:rPr>
        <w:noBreakHyphen/>
        <w:t xml:space="preserve">jacents de la </w:t>
      </w:r>
      <w:r w:rsidRPr="00B1243E">
        <w:rPr>
          <w:rFonts w:cs="Times New Roman"/>
          <w:i/>
          <w:lang w:val="fr-CA"/>
        </w:rPr>
        <w:t>Loi</w:t>
      </w:r>
      <w:r w:rsidRPr="006F55E1">
        <w:rPr>
          <w:rFonts w:cs="Times New Roman"/>
          <w:lang w:val="fr-CA"/>
        </w:rPr>
        <w:t xml:space="preserve"> révèle que le régime établi par celle</w:t>
      </w:r>
      <w:r w:rsidRPr="006F55E1">
        <w:rPr>
          <w:rFonts w:cs="Times New Roman"/>
          <w:lang w:val="fr-CA"/>
        </w:rPr>
        <w:noBreakHyphen/>
        <w:t>ci prévoit clairement la prise de mesures raisonnables visant à faciliter autant que possible le retour au travail du travailleur invalide.</w:t>
      </w:r>
    </w:p>
    <w:p w:rsidR="00730DBB" w:rsidRPr="006F55E1" w:rsidRDefault="00730DBB" w:rsidP="00730DBB">
      <w:pPr>
        <w:pStyle w:val="ParaNoNdepar-AltN"/>
        <w:rPr>
          <w:rFonts w:cs="Times New Roman"/>
          <w:b/>
          <w:lang w:val="fr-CA"/>
        </w:rPr>
      </w:pPr>
      <w:r w:rsidRPr="006F55E1">
        <w:rPr>
          <w:rFonts w:cs="Times New Roman"/>
          <w:lang w:val="fr-CA"/>
        </w:rPr>
        <w:t xml:space="preserve">La </w:t>
      </w:r>
      <w:r w:rsidRPr="006F55E1">
        <w:rPr>
          <w:rFonts w:cs="Times New Roman"/>
          <w:i/>
          <w:lang w:val="fr-CA"/>
        </w:rPr>
        <w:t>Loi</w:t>
      </w:r>
      <w:r w:rsidRPr="006F55E1">
        <w:rPr>
          <w:rFonts w:cs="Times New Roman"/>
          <w:lang w:val="fr-CA"/>
        </w:rPr>
        <w:t xml:space="preserve"> permet au travailleur victime d’une lésion professionnelle de réintégrer son ancien emploi, de réintégrer un « emploi équivalent » ou d’occuper un « emploi convenable », comme le prévoient les art. 236 et 239 : </w:t>
      </w:r>
    </w:p>
    <w:p w:rsidR="00730DBB" w:rsidRPr="006F55E1" w:rsidRDefault="00730DBB" w:rsidP="00730DBB">
      <w:pPr>
        <w:pStyle w:val="Citation-AltC"/>
        <w:spacing w:after="240"/>
        <w:ind w:hanging="1166"/>
        <w:contextualSpacing w:val="0"/>
        <w:rPr>
          <w:lang w:val="fr-CA"/>
        </w:rPr>
      </w:pPr>
      <w:r w:rsidRPr="006F55E1">
        <w:rPr>
          <w:b/>
          <w:lang w:val="fr-CA"/>
        </w:rPr>
        <w:tab/>
      </w:r>
      <w:r w:rsidRPr="006F55E1">
        <w:rPr>
          <w:b/>
          <w:lang w:val="fr-CA"/>
        </w:rPr>
        <w:tab/>
        <w:t>236</w:t>
      </w:r>
      <w:r w:rsidRPr="00A30664">
        <w:rPr>
          <w:b/>
          <w:lang w:val="fr-CA"/>
        </w:rPr>
        <w:t>.</w:t>
      </w:r>
      <w:r>
        <w:rPr>
          <w:lang w:val="fr-CA"/>
        </w:rPr>
        <w:t> </w:t>
      </w:r>
      <w:r w:rsidRPr="006F55E1">
        <w:rPr>
          <w:lang w:val="fr-CA"/>
        </w:rPr>
        <w:t>Le travailleur victime d’une lésion professionnelle qui redevient capable d’exercer son emploi a droit de réintégrer prioritairement son emploi dans l’établissement où il travaillait lorsque s’est manifestée sa lésion ou de réintégrer un emploi équivalent dans cet établissement ou dans un autre établissement de son employeur.</w:t>
      </w:r>
    </w:p>
    <w:p w:rsidR="00730DBB" w:rsidRPr="006F55E1" w:rsidRDefault="00730DBB" w:rsidP="00730DBB">
      <w:pPr>
        <w:pStyle w:val="Citation-AltC"/>
        <w:spacing w:after="240"/>
        <w:ind w:hanging="1166"/>
        <w:contextualSpacing w:val="0"/>
        <w:rPr>
          <w:lang w:val="fr-CA"/>
        </w:rPr>
      </w:pPr>
      <w:r w:rsidRPr="006F55E1">
        <w:rPr>
          <w:b/>
          <w:lang w:val="fr-CA"/>
        </w:rPr>
        <w:tab/>
      </w:r>
      <w:r w:rsidRPr="006F55E1">
        <w:rPr>
          <w:b/>
          <w:lang w:val="fr-CA"/>
        </w:rPr>
        <w:tab/>
      </w:r>
      <w:r>
        <w:rPr>
          <w:b/>
          <w:lang w:val="fr-CA"/>
        </w:rPr>
        <w:t>239.</w:t>
      </w:r>
      <w:r w:rsidRPr="00A30664">
        <w:rPr>
          <w:lang w:val="fr-CA"/>
        </w:rPr>
        <w:t> </w:t>
      </w:r>
      <w:r w:rsidRPr="006F55E1">
        <w:rPr>
          <w:lang w:val="fr-CA"/>
        </w:rPr>
        <w:t>Le travailleur qui demeure incapable d’exercer son emploi en raison de sa lésion professionnelle et qui devient capable d’exercer un emploi convenable a droit d’occuper le premier emploi convenable qui devient disponible dans un établissement de son employeur.</w:t>
      </w:r>
    </w:p>
    <w:p w:rsidR="00730DBB" w:rsidRPr="006F55E1" w:rsidRDefault="00730DBB" w:rsidP="00A30664">
      <w:pPr>
        <w:pStyle w:val="Citation-AltC"/>
        <w:tabs>
          <w:tab w:val="left" w:pos="1530"/>
        </w:tabs>
        <w:ind w:hanging="1166"/>
        <w:contextualSpacing w:val="0"/>
        <w:rPr>
          <w:lang w:val="fr-CA"/>
        </w:rPr>
      </w:pPr>
      <w:r>
        <w:rPr>
          <w:lang w:val="fr-CA"/>
        </w:rPr>
        <w:tab/>
      </w:r>
      <w:r>
        <w:rPr>
          <w:lang w:val="fr-CA"/>
        </w:rPr>
        <w:tab/>
      </w:r>
      <w:r w:rsidRPr="006F55E1">
        <w:rPr>
          <w:lang w:val="fr-CA"/>
        </w:rPr>
        <w:t>Le droit conféré par le premier alinéa s’exerce sous réserve des règles relatives à l’ancienneté prévues par la convention collective applicable au travailleur.</w:t>
      </w:r>
    </w:p>
    <w:p w:rsidR="00730DBB" w:rsidRPr="006F55E1" w:rsidRDefault="00730DBB" w:rsidP="00730DBB">
      <w:pPr>
        <w:pStyle w:val="ParaNoNdepar-AltN"/>
        <w:rPr>
          <w:rFonts w:cs="Times New Roman"/>
          <w:lang w:val="fr-CA"/>
        </w:rPr>
      </w:pPr>
      <w:r w:rsidRPr="006F55E1">
        <w:rPr>
          <w:rFonts w:cs="Times New Roman"/>
          <w:lang w:val="fr-CA"/>
        </w:rPr>
        <w:t>Le travailleur qui redevient capable d’exercer l’emploi qu’il occupait au moment de la lésion a le droit de réintégrer cet emploi ou d’être affecté à un « emploi équivalent » chez l’employeur.</w:t>
      </w:r>
    </w:p>
    <w:p w:rsidR="00730DBB" w:rsidRPr="006F55E1" w:rsidRDefault="00730DBB" w:rsidP="00730DBB">
      <w:pPr>
        <w:pStyle w:val="ParaNoNdepar-AltN"/>
        <w:rPr>
          <w:rFonts w:cs="Times New Roman"/>
          <w:lang w:val="fr-CA"/>
        </w:rPr>
      </w:pPr>
      <w:r w:rsidRPr="006F55E1">
        <w:rPr>
          <w:rFonts w:cs="Times New Roman"/>
          <w:lang w:val="fr-CA"/>
        </w:rPr>
        <w:t xml:space="preserve">L’expression « emploi équivalent » est définie à l’art. 2 comme étant un « emploi qui possède des caractéristiques semblables à celles de l’emploi qu’occupait </w:t>
      </w:r>
      <w:r w:rsidRPr="006F55E1">
        <w:rPr>
          <w:rFonts w:cs="Times New Roman"/>
          <w:lang w:val="fr-CA"/>
        </w:rPr>
        <w:lastRenderedPageBreak/>
        <w:t>le travailleur au moment de sa lésion professionnelle relativement aux qualifications professionnelles requises, au salaire, aux avantages sociaux, à la durée et aux conditions d’exercice ». Un emploi équivalent est offert au travailleur qui est techniquement capable d’exercer l’emploi qu’il occupait avant la lésion, mais qui ne peut le réintégrer pour des motifs étrangers à la lésion, telle l’abolition du poste (France Cormier, « La victime de harcèlement et le processus de réadaptation professionnelle</w:t>
      </w:r>
      <w:r w:rsidRPr="006F55E1">
        <w:rPr>
          <w:rFonts w:cs="Times New Roman"/>
          <w:i/>
          <w:lang w:val="fr-CA"/>
        </w:rPr>
        <w:t> </w:t>
      </w:r>
      <w:r w:rsidRPr="006F55E1">
        <w:rPr>
          <w:rFonts w:cs="Times New Roman"/>
          <w:lang w:val="fr-CA"/>
        </w:rPr>
        <w:t>»</w:t>
      </w:r>
      <w:r w:rsidR="00A30664">
        <w:rPr>
          <w:rFonts w:cs="Times New Roman"/>
          <w:lang w:val="fr-CA"/>
        </w:rPr>
        <w:t>,</w:t>
      </w:r>
      <w:r w:rsidRPr="006F55E1">
        <w:rPr>
          <w:rFonts w:cs="Times New Roman"/>
          <w:lang w:val="fr-CA"/>
        </w:rPr>
        <w:t xml:space="preserve"> d</w:t>
      </w:r>
      <w:r w:rsidR="00A30664">
        <w:rPr>
          <w:rFonts w:cs="Times New Roman"/>
          <w:lang w:val="fr-CA"/>
        </w:rPr>
        <w:t>ans Barreau du Québec, vol. 263,</w:t>
      </w:r>
      <w:r w:rsidRPr="006F55E1">
        <w:rPr>
          <w:rFonts w:cs="Times New Roman"/>
          <w:lang w:val="fr-CA"/>
        </w:rPr>
        <w:t xml:space="preserve"> </w:t>
      </w:r>
      <w:r w:rsidRPr="006F55E1">
        <w:rPr>
          <w:rFonts w:cs="Times New Roman"/>
          <w:i/>
          <w:lang w:val="fr-CA"/>
        </w:rPr>
        <w:t>Développements récents en droit de la santé et de la sécurité au</w:t>
      </w:r>
      <w:r w:rsidRPr="006F55E1">
        <w:rPr>
          <w:rFonts w:cs="Times New Roman"/>
          <w:lang w:val="fr-CA"/>
        </w:rPr>
        <w:t xml:space="preserve"> </w:t>
      </w:r>
      <w:r w:rsidRPr="006F55E1">
        <w:rPr>
          <w:rFonts w:cs="Times New Roman"/>
          <w:i/>
          <w:lang w:val="fr-CA"/>
        </w:rPr>
        <w:t>travail</w:t>
      </w:r>
      <w:r w:rsidRPr="006F55E1">
        <w:rPr>
          <w:rFonts w:cs="Times New Roman"/>
          <w:lang w:val="fr-CA"/>
        </w:rPr>
        <w:t xml:space="preserve"> (2007), 113</w:t>
      </w:r>
      <w:r w:rsidRPr="00A30664">
        <w:rPr>
          <w:rFonts w:cs="Times New Roman"/>
          <w:lang w:val="fr-CA"/>
        </w:rPr>
        <w:t>;</w:t>
      </w:r>
      <w:r w:rsidRPr="000D0221">
        <w:rPr>
          <w:rFonts w:cs="Times New Roman"/>
          <w:i/>
          <w:lang w:val="fr-CA"/>
        </w:rPr>
        <w:t xml:space="preserve"> Gougeon (Re)</w:t>
      </w:r>
      <w:r w:rsidRPr="006F55E1">
        <w:rPr>
          <w:rFonts w:cs="Times New Roman"/>
          <w:lang w:val="fr-CA"/>
        </w:rPr>
        <w:t xml:space="preserve">, 1999 CanLII 21577 (C.L.P. Qué.)). </w:t>
      </w:r>
    </w:p>
    <w:p w:rsidR="00730DBB" w:rsidRPr="006F55E1" w:rsidRDefault="00730DBB" w:rsidP="00730DBB">
      <w:pPr>
        <w:pStyle w:val="ParaNoNdepar-AltN"/>
        <w:rPr>
          <w:rFonts w:cs="Times New Roman"/>
          <w:szCs w:val="24"/>
          <w:lang w:val="fr-CA"/>
        </w:rPr>
      </w:pPr>
      <w:r w:rsidRPr="006F55E1">
        <w:rPr>
          <w:rFonts w:cs="Times New Roman"/>
          <w:lang w:val="fr-CA"/>
        </w:rPr>
        <w:t>En conséquence, le travailleur qui se rétablit suffisamment pour réintégrer son emploi avant le délai prescrit réintègre cet emploi ou un emploi équivalent, et il a droit aux mêmes salaire et avantages que s’il avait continué à exercer son emploi</w:t>
      </w:r>
      <w:r w:rsidRPr="00A30664">
        <w:rPr>
          <w:rStyle w:val="Hyperlink"/>
          <w:u w:val="none"/>
          <w:vertAlign w:val="superscript"/>
        </w:rPr>
        <w:footnoteReference w:id="15"/>
      </w:r>
      <w:r w:rsidRPr="006F55E1">
        <w:rPr>
          <w:rFonts w:cs="Times New Roman"/>
          <w:lang w:val="fr-CA"/>
        </w:rPr>
        <w:t xml:space="preserve">. Le travailleur qui redevient capable d’exercer son emploi </w:t>
      </w:r>
      <w:r w:rsidRPr="006F55E1">
        <w:rPr>
          <w:rFonts w:cs="Times New Roman"/>
          <w:i/>
          <w:lang w:val="fr-CA"/>
        </w:rPr>
        <w:t>après</w:t>
      </w:r>
      <w:r w:rsidRPr="006F55E1">
        <w:rPr>
          <w:rFonts w:cs="Times New Roman"/>
          <w:lang w:val="fr-CA"/>
        </w:rPr>
        <w:t xml:space="preserve"> l’expiration du droit de retour au travail aura accès à des services de support en recherche d’emploi</w:t>
      </w:r>
      <w:r w:rsidRPr="00A30664">
        <w:rPr>
          <w:rStyle w:val="Hyperlink"/>
          <w:u w:val="none"/>
          <w:vertAlign w:val="superscript"/>
        </w:rPr>
        <w:footnoteReference w:id="16"/>
      </w:r>
      <w:r w:rsidRPr="006F55E1">
        <w:rPr>
          <w:rFonts w:cs="Times New Roman"/>
          <w:lang w:val="fr-CA"/>
        </w:rPr>
        <w:t xml:space="preserve"> et recevra une indemnité de remplacement du revenu pendant une période maximale d’un an</w:t>
      </w:r>
      <w:r w:rsidRPr="00A30664">
        <w:rPr>
          <w:rStyle w:val="Hyperlink"/>
          <w:u w:val="none"/>
          <w:vertAlign w:val="superscript"/>
        </w:rPr>
        <w:footnoteReference w:id="17"/>
      </w:r>
      <w:r w:rsidRPr="006F55E1">
        <w:rPr>
          <w:rFonts w:cs="Times New Roman"/>
          <w:lang w:val="fr-CA"/>
        </w:rPr>
        <w:t>.</w:t>
      </w:r>
    </w:p>
    <w:p w:rsidR="00730DBB" w:rsidRPr="006F55E1" w:rsidRDefault="00730DBB" w:rsidP="00730DBB">
      <w:pPr>
        <w:pStyle w:val="ParaNoNdepar-AltN"/>
        <w:rPr>
          <w:rFonts w:cs="Times New Roman"/>
          <w:b/>
          <w:lang w:val="fr-CA"/>
        </w:rPr>
      </w:pPr>
      <w:r w:rsidRPr="006F55E1">
        <w:rPr>
          <w:rFonts w:cs="Times New Roman"/>
          <w:lang w:val="fr-CA"/>
        </w:rPr>
        <w:t xml:space="preserve">Et suivant l’art. 239 de la </w:t>
      </w:r>
      <w:r w:rsidRPr="006F55E1">
        <w:rPr>
          <w:rFonts w:cs="Times New Roman"/>
          <w:i/>
          <w:lang w:val="fr-CA"/>
        </w:rPr>
        <w:t>Loi</w:t>
      </w:r>
      <w:r w:rsidRPr="006F55E1">
        <w:rPr>
          <w:rFonts w:cs="Times New Roman"/>
          <w:lang w:val="fr-CA"/>
        </w:rPr>
        <w:t>, le travailleur qui devient capable d’exercer un « emploi convenable » a droit d’occuper le premier emploi convenable qui devient disponible au lieu de travail. L’expression « emploi convenable » est définie à l’art</w:t>
      </w:r>
      <w:r w:rsidR="001C78C1">
        <w:rPr>
          <w:rFonts w:cs="Times New Roman"/>
          <w:lang w:val="fr-CA"/>
        </w:rPr>
        <w:t>.</w:t>
      </w:r>
      <w:r w:rsidRPr="006F55E1">
        <w:rPr>
          <w:rFonts w:cs="Times New Roman"/>
          <w:lang w:val="fr-CA"/>
        </w:rPr>
        <w:t> 2</w:t>
      </w:r>
      <w:r w:rsidRPr="006F55E1">
        <w:rPr>
          <w:rFonts w:cs="Times New Roman"/>
          <w:i/>
          <w:lang w:val="fr-CA"/>
        </w:rPr>
        <w:t xml:space="preserve"> </w:t>
      </w:r>
      <w:r w:rsidRPr="006F55E1">
        <w:rPr>
          <w:rFonts w:cs="Times New Roman"/>
          <w:lang w:val="fr-CA"/>
        </w:rPr>
        <w:t xml:space="preserve">comme étant « un emploi approprié qui permet au travailleur victime d’une lésion professionnelle d’utiliser sa capacité résiduelle et ses qualifications professionnelles, </w:t>
      </w:r>
      <w:r w:rsidRPr="006F55E1">
        <w:rPr>
          <w:rFonts w:cs="Times New Roman"/>
          <w:lang w:val="fr-CA"/>
        </w:rPr>
        <w:lastRenderedPageBreak/>
        <w:t xml:space="preserve">qui présente une possibilité raisonnable d’embauche et dont les conditions d’exercice ne comportent pas de danger pour la santé, la sécurité ou l’intégrité physique du travailleur compte tenu de sa lésion ». </w:t>
      </w:r>
    </w:p>
    <w:p w:rsidR="00730DBB" w:rsidRPr="006F55E1" w:rsidRDefault="00730DBB" w:rsidP="00730DBB">
      <w:pPr>
        <w:pStyle w:val="ParaNoNdepar-AltN"/>
        <w:rPr>
          <w:rFonts w:cs="Times New Roman"/>
          <w:lang w:val="fr-CA"/>
        </w:rPr>
      </w:pPr>
      <w:r w:rsidRPr="006F55E1">
        <w:rPr>
          <w:rFonts w:cs="Times New Roman"/>
          <w:lang w:val="fr-CA"/>
        </w:rPr>
        <w:t>Le travailleur qui obtient un « emploi convenable » chez l’employeur reçoit le salaire et les avantages liés à cet emploi, compte tenu de l’ancienneté et du service continu qu’il a accumulés</w:t>
      </w:r>
      <w:r w:rsidRPr="00A30664">
        <w:rPr>
          <w:rStyle w:val="Hyperlink"/>
          <w:u w:val="none"/>
          <w:vertAlign w:val="superscript"/>
        </w:rPr>
        <w:footnoteReference w:id="18"/>
      </w:r>
      <w:r w:rsidRPr="006F55E1">
        <w:rPr>
          <w:rFonts w:cs="Times New Roman"/>
          <w:lang w:val="fr-CA"/>
        </w:rPr>
        <w:t>. Le versement d’une indemnité réduite de remplacement du revenu permet d’indemniser le travailleur de tout écart entre le salaire tiré de l’emploi qu’il occupait avant de subir la lésion professionnelle et le salaire tiré de l’« emploi convenable »</w:t>
      </w:r>
      <w:r w:rsidRPr="001C78C1">
        <w:rPr>
          <w:rStyle w:val="Hyperlink"/>
          <w:u w:val="none"/>
          <w:vertAlign w:val="superscript"/>
        </w:rPr>
        <w:footnoteReference w:id="19"/>
      </w:r>
      <w:r w:rsidRPr="006F55E1">
        <w:rPr>
          <w:rFonts w:cs="Times New Roman"/>
          <w:lang w:val="fr-CA"/>
        </w:rPr>
        <w:t>.</w:t>
      </w:r>
    </w:p>
    <w:p w:rsidR="00730DBB" w:rsidRPr="006F55E1" w:rsidRDefault="00730DBB" w:rsidP="00730DBB">
      <w:pPr>
        <w:pStyle w:val="ParaNoNdepar-AltN"/>
        <w:rPr>
          <w:rFonts w:cs="Times New Roman"/>
          <w:lang w:val="fr-CA"/>
        </w:rPr>
      </w:pPr>
      <w:r w:rsidRPr="006F55E1">
        <w:rPr>
          <w:rFonts w:cs="Times New Roman"/>
          <w:lang w:val="fr-CA"/>
        </w:rPr>
        <w:t>S’il n’y a aucun « emploi convenable » disponible chez l’employeur, le travailleur peut bénéficier de services d’évaluation de ses possibilités professionnelles en vue de l’aider à déterminer un emploi convenable qu’il pourrait exercer ailleurs, en plus d’avoir accès à des programmes de formation professionnelle et à des services de support en recherche d’emploi</w:t>
      </w:r>
      <w:r w:rsidRPr="001C78C1">
        <w:rPr>
          <w:rStyle w:val="Hyperlink"/>
          <w:u w:val="none"/>
          <w:vertAlign w:val="superscript"/>
        </w:rPr>
        <w:footnoteReference w:id="20"/>
      </w:r>
      <w:r w:rsidRPr="006F55E1">
        <w:rPr>
          <w:rFonts w:cs="Times New Roman"/>
          <w:lang w:val="fr-CA"/>
        </w:rPr>
        <w:t>.</w:t>
      </w:r>
    </w:p>
    <w:p w:rsidR="00730DBB" w:rsidRPr="006F55E1" w:rsidRDefault="00730DBB" w:rsidP="00730DBB">
      <w:pPr>
        <w:pStyle w:val="ParaNoNdepar-AltN"/>
        <w:rPr>
          <w:rFonts w:cs="Times New Roman"/>
          <w:lang w:val="fr-CA"/>
        </w:rPr>
      </w:pPr>
      <w:r w:rsidRPr="006F55E1">
        <w:rPr>
          <w:rFonts w:cs="Times New Roman"/>
          <w:lang w:val="fr-CA"/>
        </w:rPr>
        <w:t>Tous ces droits — réintégration, emploi équivalent ou emploi convenable — témoignent du fait de permettre « à l’employé capable de travailler de le faire » (</w:t>
      </w:r>
      <w:r w:rsidRPr="006F55E1">
        <w:rPr>
          <w:rFonts w:cs="Times New Roman"/>
          <w:i/>
          <w:lang w:val="fr-CA"/>
        </w:rPr>
        <w:t>Hydro</w:t>
      </w:r>
      <w:r w:rsidRPr="006F55E1">
        <w:rPr>
          <w:rFonts w:cs="Times New Roman"/>
          <w:i/>
          <w:lang w:val="fr-CA"/>
        </w:rPr>
        <w:noBreakHyphen/>
        <w:t>Québec</w:t>
      </w:r>
      <w:r w:rsidRPr="006F55E1">
        <w:rPr>
          <w:rFonts w:cs="Times New Roman"/>
          <w:lang w:val="fr-CA"/>
        </w:rPr>
        <w:t xml:space="preserve">, par. 14). Et cela concorde avec l’obligation d’accommodement </w:t>
      </w:r>
      <w:r w:rsidRPr="006F55E1">
        <w:rPr>
          <w:rFonts w:cs="Times New Roman"/>
          <w:lang w:val="fr-CA"/>
        </w:rPr>
        <w:lastRenderedPageBreak/>
        <w:t xml:space="preserve">raisonnable de l’employeur, obligation qui influe sur la manière dont ces droits doivent être mis en application compte tenu des faits de l’espèce. </w:t>
      </w:r>
    </w:p>
    <w:p w:rsidR="00730DBB" w:rsidRPr="006F55E1" w:rsidRDefault="00730DBB" w:rsidP="00730DBB">
      <w:pPr>
        <w:pStyle w:val="ParaNoNdepar-AltN"/>
        <w:rPr>
          <w:rFonts w:cs="Times New Roman"/>
          <w:lang w:val="fr-CA"/>
        </w:rPr>
      </w:pPr>
      <w:r w:rsidRPr="006F55E1">
        <w:rPr>
          <w:rFonts w:cs="Times New Roman"/>
          <w:lang w:val="fr-CA"/>
        </w:rPr>
        <w:t xml:space="preserve">Les dispositions de la </w:t>
      </w:r>
      <w:r w:rsidRPr="006F55E1">
        <w:rPr>
          <w:rFonts w:cs="Times New Roman"/>
          <w:i/>
          <w:lang w:val="fr-CA"/>
        </w:rPr>
        <w:t>Loi</w:t>
      </w:r>
      <w:r w:rsidRPr="006F55E1">
        <w:rPr>
          <w:rFonts w:cs="Times New Roman"/>
          <w:lang w:val="fr-CA"/>
        </w:rPr>
        <w:t xml:space="preserve"> qui traitent de la réadaptation témoignent également de l’obligation d’accommodement. Le travailleur qui subit une atteinte permanente à son intégrité physique </w:t>
      </w:r>
      <w:r w:rsidR="001C78C1">
        <w:rPr>
          <w:rFonts w:cs="Times New Roman"/>
          <w:lang w:val="fr-CA"/>
        </w:rPr>
        <w:t xml:space="preserve">ou psychique </w:t>
      </w:r>
      <w:r w:rsidRPr="006F55E1">
        <w:rPr>
          <w:rFonts w:cs="Times New Roman"/>
          <w:lang w:val="fr-CA"/>
        </w:rPr>
        <w:t>en raison d’une lésion professionnelle a droit à des mesures de réadaptation en vue de sa réinsertion sociale et professionnelle</w:t>
      </w:r>
      <w:r w:rsidRPr="001C78C1">
        <w:rPr>
          <w:rStyle w:val="Hyperlink"/>
          <w:u w:val="none"/>
          <w:vertAlign w:val="superscript"/>
        </w:rPr>
        <w:footnoteReference w:id="21"/>
      </w:r>
      <w:r w:rsidRPr="001C78C1">
        <w:rPr>
          <w:rFonts w:cs="Times New Roman"/>
          <w:lang w:val="fr-CA"/>
        </w:rPr>
        <w:t>.</w:t>
      </w:r>
      <w:r w:rsidRPr="006F55E1">
        <w:rPr>
          <w:rFonts w:cs="Times New Roman"/>
          <w:lang w:val="fr-CA"/>
        </w:rPr>
        <w:t xml:space="preserve"> Le travailleur aura ainsi accès à un plan personnalisé de réadaptation, préparé et mis en œuvre par la </w:t>
      </w:r>
      <w:r w:rsidRPr="006F55E1">
        <w:rPr>
          <w:rStyle w:val="ParaNoNdepar-AltNChar"/>
          <w:rFonts w:cs="Times New Roman"/>
          <w:lang w:val="fr-CA"/>
        </w:rPr>
        <w:t xml:space="preserve">CSST, </w:t>
      </w:r>
      <w:r w:rsidRPr="006F55E1">
        <w:rPr>
          <w:rFonts w:cs="Times New Roman"/>
          <w:lang w:val="fr-CA"/>
        </w:rPr>
        <w:t>avec sa collaboration</w:t>
      </w:r>
      <w:r w:rsidRPr="001C78C1">
        <w:rPr>
          <w:rStyle w:val="Hyperlink"/>
          <w:u w:val="none"/>
          <w:vertAlign w:val="superscript"/>
        </w:rPr>
        <w:footnoteReference w:id="22"/>
      </w:r>
      <w:r w:rsidRPr="006F55E1">
        <w:rPr>
          <w:rFonts w:cs="Times New Roman"/>
          <w:lang w:val="fr-CA"/>
        </w:rPr>
        <w:t>.</w:t>
      </w:r>
      <w:r w:rsidRPr="006F55E1">
        <w:rPr>
          <w:rFonts w:eastAsia="Times New Roman" w:cs="Times New Roman"/>
          <w:lang w:val="fr-CA"/>
        </w:rPr>
        <w:t xml:space="preserve"> Ce plan peut comprendre un programme de réadaptation physique, sociale et professionnelle. </w:t>
      </w:r>
    </w:p>
    <w:p w:rsidR="00730DBB" w:rsidRPr="006F55E1" w:rsidRDefault="00730DBB" w:rsidP="00730DBB">
      <w:pPr>
        <w:pStyle w:val="ParaNoNdepar-AltN"/>
        <w:rPr>
          <w:rFonts w:eastAsia="Times New Roman" w:cs="Times New Roman"/>
          <w:lang w:val="fr-CA"/>
        </w:rPr>
      </w:pPr>
      <w:r w:rsidRPr="006F55E1">
        <w:rPr>
          <w:rFonts w:cs="Times New Roman"/>
          <w:lang w:val="fr-CA"/>
        </w:rPr>
        <w:t>Le programme de réadaptation professionnelle a pour but de faciliter la réintégration du travailleur ou de la travailleuse dans son emploi ou dans un emploi équivalent ou, si cet objectif ne peut être atteint, l’accès à un emploi convenable</w:t>
      </w:r>
      <w:r w:rsidRPr="001C78C1">
        <w:rPr>
          <w:rStyle w:val="Hyperlink"/>
          <w:u w:val="none"/>
          <w:vertAlign w:val="superscript"/>
        </w:rPr>
        <w:footnoteReference w:id="23"/>
      </w:r>
      <w:r w:rsidRPr="006F55E1">
        <w:rPr>
          <w:rFonts w:cs="Times New Roman"/>
          <w:lang w:val="fr-CA"/>
        </w:rPr>
        <w:t xml:space="preserve">. La </w:t>
      </w:r>
      <w:r w:rsidRPr="006F55E1">
        <w:rPr>
          <w:rFonts w:cs="Times New Roman"/>
          <w:i/>
          <w:lang w:val="fr-CA"/>
        </w:rPr>
        <w:t>Loi</w:t>
      </w:r>
      <w:r w:rsidRPr="006F55E1">
        <w:rPr>
          <w:rFonts w:cs="Times New Roman"/>
          <w:lang w:val="fr-CA"/>
        </w:rPr>
        <w:t xml:space="preserve"> définit de manière générale en quoi peut consister un programme de réadaptation professionnelle. Un tel programme peut comprendre un programme de recyclage, une évaluation des possibilités professionnelles, un programme de formation professionnelle, des services de support en recherche d’emploi, le paiement de subventions à un employeur pour favoriser l’embauche du travailleur qui a subi une atteinte permanente à son intégrité physique ou psychique, le paiement de frais pour explorer un marché d’emplois ou pour déménager près d’un nouveau lieu de travail, le </w:t>
      </w:r>
      <w:r w:rsidRPr="006F55E1">
        <w:rPr>
          <w:rFonts w:cs="Times New Roman"/>
          <w:lang w:val="fr-CA"/>
        </w:rPr>
        <w:lastRenderedPageBreak/>
        <w:t>paiement de subventions au travailleur, et, plus particulièrement, l’adaptation d’un poste de travail</w:t>
      </w:r>
      <w:r w:rsidRPr="001C78C1">
        <w:rPr>
          <w:rStyle w:val="Hyperlink"/>
          <w:u w:val="none"/>
          <w:vertAlign w:val="superscript"/>
        </w:rPr>
        <w:footnoteReference w:id="24"/>
      </w:r>
      <w:r w:rsidRPr="006F55E1">
        <w:rPr>
          <w:rFonts w:cs="Times New Roman"/>
          <w:lang w:val="fr-CA"/>
        </w:rPr>
        <w:t>.</w:t>
      </w:r>
      <w:r w:rsidRPr="006F55E1">
        <w:rPr>
          <w:rFonts w:eastAsia="Times New Roman" w:cs="Times New Roman"/>
          <w:lang w:val="fr-CA"/>
        </w:rPr>
        <w:t xml:space="preserve"> </w:t>
      </w:r>
    </w:p>
    <w:p w:rsidR="00730DBB" w:rsidRPr="006F55E1" w:rsidRDefault="00730DBB" w:rsidP="00730DBB">
      <w:pPr>
        <w:pStyle w:val="ParaNoNdepar-AltN"/>
        <w:rPr>
          <w:rFonts w:eastAsia="Times New Roman" w:cs="Times New Roman"/>
          <w:b/>
          <w:lang w:val="fr-CA"/>
        </w:rPr>
      </w:pPr>
      <w:r w:rsidRPr="006F55E1">
        <w:rPr>
          <w:rFonts w:cs="Times New Roman"/>
          <w:lang w:val="fr-CA"/>
        </w:rPr>
        <w:t xml:space="preserve">Le coût de la réadaptation est assumé par la </w:t>
      </w:r>
      <w:r w:rsidRPr="006F55E1">
        <w:rPr>
          <w:rStyle w:val="ParaNoNdepar-AltNChar"/>
          <w:rFonts w:cs="Times New Roman"/>
          <w:lang w:val="fr-CA"/>
        </w:rPr>
        <w:t>CSST</w:t>
      </w:r>
      <w:r w:rsidRPr="001C78C1">
        <w:rPr>
          <w:rStyle w:val="Hyperlink"/>
          <w:u w:val="none"/>
          <w:vertAlign w:val="superscript"/>
        </w:rPr>
        <w:footnoteReference w:id="25"/>
      </w:r>
      <w:r w:rsidRPr="006F55E1">
        <w:rPr>
          <w:rStyle w:val="ParaNoNdepar-AltNChar"/>
          <w:rFonts w:cs="Times New Roman"/>
          <w:lang w:val="fr-CA"/>
        </w:rPr>
        <w:t>.</w:t>
      </w:r>
      <w:r w:rsidRPr="006F55E1">
        <w:rPr>
          <w:rFonts w:cs="Times New Roman"/>
          <w:lang w:val="fr-CA"/>
        </w:rPr>
        <w:t xml:space="preserve"> Par ailleurs, cette dernière perçoit des employeurs les sommes requises pour l’application de la </w:t>
      </w:r>
      <w:r w:rsidRPr="006F55E1">
        <w:rPr>
          <w:rFonts w:cs="Times New Roman"/>
          <w:i/>
          <w:lang w:val="fr-CA"/>
        </w:rPr>
        <w:t>Loi</w:t>
      </w:r>
      <w:r w:rsidRPr="001C78C1">
        <w:rPr>
          <w:rStyle w:val="Hyperlink"/>
          <w:u w:val="none"/>
          <w:vertAlign w:val="superscript"/>
        </w:rPr>
        <w:footnoteReference w:id="26"/>
      </w:r>
      <w:r w:rsidRPr="001C78C1">
        <w:rPr>
          <w:rFonts w:cs="Times New Roman"/>
          <w:lang w:val="fr-CA"/>
        </w:rPr>
        <w:t>.</w:t>
      </w:r>
      <w:r w:rsidRPr="006F55E1">
        <w:rPr>
          <w:rFonts w:cs="Times New Roman"/>
          <w:lang w:val="fr-CA"/>
        </w:rPr>
        <w:t xml:space="preserve"> De plus, elle impute à l’employeur le coût des prestations dues en raison d’un accident du travail survenu à un travailleur alors qu’il était à son emploi</w:t>
      </w:r>
      <w:r w:rsidRPr="001C78C1">
        <w:rPr>
          <w:rStyle w:val="Hyperlink"/>
          <w:u w:val="none"/>
          <w:vertAlign w:val="superscript"/>
        </w:rPr>
        <w:footnoteReference w:id="27"/>
      </w:r>
      <w:r w:rsidRPr="006F55E1">
        <w:rPr>
          <w:rFonts w:cs="Times New Roman"/>
          <w:lang w:val="fr-CA"/>
        </w:rPr>
        <w:t xml:space="preserve">. </w:t>
      </w:r>
    </w:p>
    <w:p w:rsidR="00730DBB" w:rsidRPr="006F55E1" w:rsidRDefault="00730DBB" w:rsidP="00730DBB">
      <w:pPr>
        <w:pStyle w:val="ParaNoNdepar-AltN"/>
        <w:rPr>
          <w:rFonts w:cs="Times New Roman"/>
          <w:lang w:val="fr-CA"/>
        </w:rPr>
      </w:pPr>
      <w:r w:rsidRPr="006F55E1">
        <w:rPr>
          <w:rFonts w:cs="Times New Roman"/>
          <w:lang w:val="fr-CA"/>
        </w:rPr>
        <w:t xml:space="preserve">La </w:t>
      </w:r>
      <w:r w:rsidRPr="006F55E1">
        <w:rPr>
          <w:rStyle w:val="ParaNoNdepar-AltNChar"/>
          <w:rFonts w:cs="Times New Roman"/>
          <w:lang w:val="fr-CA"/>
        </w:rPr>
        <w:t xml:space="preserve">CSST </w:t>
      </w:r>
      <w:r w:rsidRPr="006F55E1">
        <w:rPr>
          <w:rFonts w:cs="Times New Roman"/>
          <w:lang w:val="fr-CA"/>
        </w:rPr>
        <w:t>peut aussi, en vertu de l’art. 176</w:t>
      </w:r>
      <w:r w:rsidRPr="001C78C1">
        <w:rPr>
          <w:rStyle w:val="Hyperlink"/>
          <w:u w:val="none"/>
          <w:vertAlign w:val="superscript"/>
        </w:rPr>
        <w:footnoteReference w:id="28"/>
      </w:r>
      <w:r w:rsidRPr="006F55E1">
        <w:rPr>
          <w:rFonts w:cs="Times New Roman"/>
          <w:lang w:val="fr-CA"/>
        </w:rPr>
        <w:t xml:space="preserve">, rembourser les frais d’adaptation d’un poste de travail, y compris le coût d’achat et d’installation des matériaux et équipements nécessaires, si cette adaptation permet au travailleur qui a subi une atteinte permanente à son intégrité physique en raison de sa lésion professionnelle d’exercer son emploi, un « emploi équivalent » ou un « emploi convenable ». Cette disposition prévoit la possibilité que des changements indemnisables soient apportés à un poste de travail pour l’adapter et ainsi permettre au travailleur de réintégrer son emploi ou d’exercer un emploi équivalent ou un emploi </w:t>
      </w:r>
      <w:r w:rsidRPr="006F55E1">
        <w:rPr>
          <w:rFonts w:cs="Times New Roman"/>
          <w:lang w:val="fr-CA"/>
        </w:rPr>
        <w:lastRenderedPageBreak/>
        <w:t xml:space="preserve">convenable. Tout cela démontre aussi que le régime envisage clairement une certaine forme d’accommodement en faveur du travailleur. </w:t>
      </w:r>
    </w:p>
    <w:p w:rsidR="00730DBB" w:rsidRPr="006F55E1" w:rsidRDefault="00730DBB" w:rsidP="00730DBB">
      <w:pPr>
        <w:pStyle w:val="ParaNoNdepar-AltN"/>
        <w:rPr>
          <w:rFonts w:cs="Times New Roman"/>
          <w:lang w:val="fr-CA"/>
        </w:rPr>
      </w:pPr>
      <w:r w:rsidRPr="006F55E1">
        <w:rPr>
          <w:rFonts w:cs="Times New Roman"/>
          <w:lang w:val="fr-CA"/>
        </w:rPr>
        <w:t xml:space="preserve">Comme l’indique l’examen qui précède, les objectifs du régime d’indemnisation des accidentés du travail du Québec recoupent ceux de la </w:t>
      </w:r>
      <w:r w:rsidRPr="006F55E1">
        <w:rPr>
          <w:rFonts w:cs="Times New Roman"/>
          <w:i/>
          <w:lang w:val="fr-CA"/>
        </w:rPr>
        <w:t>Charte</w:t>
      </w:r>
      <w:r w:rsidRPr="006F55E1">
        <w:rPr>
          <w:rFonts w:cs="Times New Roman"/>
          <w:lang w:val="fr-CA"/>
        </w:rPr>
        <w:t xml:space="preserve"> québécoise. Le régime d’indemnisation des accidentés du travail vise à « faciliter la réintégration du travailleur dans son emploi ou dans un emploi équivalent ou, si ce but ne peut être atteint, l’accès à un emploi convenable »</w:t>
      </w:r>
      <w:r w:rsidRPr="00CB71EE">
        <w:rPr>
          <w:rStyle w:val="Hyperlink"/>
          <w:u w:val="none"/>
          <w:vertAlign w:val="superscript"/>
        </w:rPr>
        <w:footnoteReference w:id="29"/>
      </w:r>
      <w:r w:rsidRPr="006F55E1">
        <w:rPr>
          <w:rFonts w:cs="Times New Roman"/>
          <w:lang w:val="fr-CA"/>
        </w:rPr>
        <w:t xml:space="preserve">. De même, la </w:t>
      </w:r>
      <w:r w:rsidRPr="006F55E1">
        <w:rPr>
          <w:rFonts w:cs="Times New Roman"/>
          <w:i/>
          <w:lang w:val="fr-CA"/>
        </w:rPr>
        <w:t>Charte</w:t>
      </w:r>
      <w:r w:rsidRPr="006F55E1">
        <w:rPr>
          <w:rFonts w:cs="Times New Roman"/>
          <w:lang w:val="fr-CA"/>
        </w:rPr>
        <w:t xml:space="preserve"> québécoise vise à « empêcher que des personnes par ailleurs aptes ne soient pas injustement exclues, alors que les conditions de travail pourraient être adaptées sans créer de contrainte excessive » (</w:t>
      </w:r>
      <w:r w:rsidRPr="006F55E1">
        <w:rPr>
          <w:rFonts w:cs="Times New Roman"/>
          <w:i/>
          <w:lang w:val="fr-CA"/>
        </w:rPr>
        <w:t>Hydro</w:t>
      </w:r>
      <w:r w:rsidRPr="006F55E1">
        <w:rPr>
          <w:rFonts w:cs="Times New Roman"/>
          <w:i/>
          <w:lang w:val="fr-CA"/>
        </w:rPr>
        <w:noBreakHyphen/>
        <w:t>Québec</w:t>
      </w:r>
      <w:r w:rsidRPr="006F55E1">
        <w:rPr>
          <w:rFonts w:cs="Times New Roman"/>
          <w:lang w:val="fr-CA"/>
        </w:rPr>
        <w:t>,</w:t>
      </w:r>
      <w:r w:rsidRPr="006F55E1">
        <w:rPr>
          <w:rFonts w:cs="Times New Roman"/>
          <w:i/>
          <w:lang w:val="fr-CA"/>
        </w:rPr>
        <w:t xml:space="preserve"> </w:t>
      </w:r>
      <w:r w:rsidRPr="006F55E1">
        <w:rPr>
          <w:rFonts w:cs="Times New Roman"/>
          <w:lang w:val="fr-CA"/>
        </w:rPr>
        <w:t xml:space="preserve">par. 14). C’est là l’essence de l’obligation d’accommodement raisonnable. Le régime d’indemnisation des accidentés du travail prévoit divers types d’accommodement, comme la réintégration, un emploi équivalent ou, à défaut, l’emploi qui convient le mieux. Le fait que le régime prévoit </w:t>
      </w:r>
      <w:r w:rsidRPr="006F55E1">
        <w:rPr>
          <w:rFonts w:cs="Times New Roman"/>
          <w:i/>
          <w:lang w:val="fr-CA"/>
        </w:rPr>
        <w:t>certains</w:t>
      </w:r>
      <w:r w:rsidRPr="006F55E1">
        <w:rPr>
          <w:rFonts w:cs="Times New Roman"/>
          <w:lang w:val="fr-CA"/>
        </w:rPr>
        <w:t xml:space="preserve"> types d’accommodement n’exclut pas l’accommodement général plus vaste qu’exige la </w:t>
      </w:r>
      <w:r w:rsidRPr="006F55E1">
        <w:rPr>
          <w:rFonts w:cs="Times New Roman"/>
          <w:i/>
          <w:lang w:val="fr-CA"/>
        </w:rPr>
        <w:t>Charte</w:t>
      </w:r>
      <w:r w:rsidRPr="006F55E1">
        <w:rPr>
          <w:rFonts w:cs="Times New Roman"/>
          <w:lang w:val="fr-CA"/>
        </w:rPr>
        <w:t xml:space="preserve"> québécoise. </w:t>
      </w:r>
    </w:p>
    <w:p w:rsidR="00730DBB" w:rsidRPr="006F55E1" w:rsidRDefault="00730DBB" w:rsidP="001C78C1">
      <w:pPr>
        <w:pStyle w:val="ParaNoNdepar-AltN"/>
        <w:tabs>
          <w:tab w:val="left" w:pos="270"/>
        </w:tabs>
        <w:rPr>
          <w:rFonts w:cs="Times New Roman"/>
          <w:lang w:val="fr-CA"/>
        </w:rPr>
      </w:pPr>
      <w:r w:rsidRPr="006F55E1">
        <w:rPr>
          <w:rFonts w:cs="Times New Roman"/>
          <w:lang w:val="fr-CA"/>
        </w:rPr>
        <w:t xml:space="preserve">Les droits et avantages qu’accorde la </w:t>
      </w:r>
      <w:r w:rsidRPr="006F55E1">
        <w:rPr>
          <w:rFonts w:cs="Times New Roman"/>
          <w:i/>
          <w:lang w:val="fr-CA"/>
        </w:rPr>
        <w:t>Loi</w:t>
      </w:r>
      <w:r w:rsidRPr="006F55E1">
        <w:rPr>
          <w:rFonts w:cs="Times New Roman"/>
          <w:lang w:val="fr-CA"/>
        </w:rPr>
        <w:t xml:space="preserve"> au travailleur victime d’une lésion professionnelle doivent donc être interprétés et mis en œuvre conformément à l’obligation de l’employeur d’accommoder raisonnablement les employés ayant subi une lésion professionnelle, conclusion qui, à son tour, emporte que la </w:t>
      </w:r>
      <w:r w:rsidRPr="006F55E1">
        <w:rPr>
          <w:rStyle w:val="ParaNoNdepar-AltNChar"/>
          <w:rFonts w:cs="Times New Roman"/>
          <w:lang w:val="fr-CA"/>
        </w:rPr>
        <w:t xml:space="preserve">CSST et la CLP possèdent le </w:t>
      </w:r>
      <w:r w:rsidRPr="006F55E1">
        <w:rPr>
          <w:rFonts w:cs="Times New Roman"/>
          <w:lang w:val="fr-CA"/>
        </w:rPr>
        <w:t xml:space="preserve">pouvoir de réparation exclusif, dans la mise en œuvre des art. 236 et 239 </w:t>
      </w:r>
      <w:r w:rsidRPr="006F55E1">
        <w:rPr>
          <w:rFonts w:cs="Times New Roman"/>
          <w:lang w:val="fr-CA"/>
        </w:rPr>
        <w:lastRenderedPageBreak/>
        <w:t xml:space="preserve">de la </w:t>
      </w:r>
      <w:r w:rsidRPr="006F55E1">
        <w:rPr>
          <w:rFonts w:cs="Times New Roman"/>
          <w:i/>
          <w:lang w:val="fr-CA"/>
        </w:rPr>
        <w:t>Loi</w:t>
      </w:r>
      <w:r w:rsidRPr="006F55E1">
        <w:rPr>
          <w:rFonts w:cs="Times New Roman"/>
          <w:lang w:val="fr-CA"/>
        </w:rPr>
        <w:t xml:space="preserve"> en ce qui concerne le droit à la réintégration, à un emploi équivalent ou à un emploi convenable, d’imposer à l’employeur des mesures d’accommodement raisonnablement possibles à l’égard de la lésion subie par le travailleur invalide et des circonstances qui en découlent. </w:t>
      </w:r>
    </w:p>
    <w:p w:rsidR="00730DBB" w:rsidRPr="006F55E1" w:rsidRDefault="00730DBB" w:rsidP="00730DBB">
      <w:pPr>
        <w:pStyle w:val="ParaNoNdepar-AltN"/>
        <w:rPr>
          <w:rFonts w:cs="Times New Roman"/>
          <w:lang w:val="fr-CA"/>
        </w:rPr>
      </w:pPr>
      <w:r w:rsidRPr="006F55E1">
        <w:rPr>
          <w:rFonts w:cs="Times New Roman"/>
          <w:lang w:val="fr-CA"/>
        </w:rPr>
        <w:t xml:space="preserve">En conséquence, comment s’appliquent ces obligations dans les circonstances de l’espèce? </w:t>
      </w:r>
    </w:p>
    <w:p w:rsidR="00730DBB" w:rsidRPr="006F55E1" w:rsidRDefault="00730DBB" w:rsidP="00730DBB">
      <w:pPr>
        <w:pStyle w:val="ParaNoNdepar-AltN"/>
        <w:rPr>
          <w:rFonts w:cs="Times New Roman"/>
          <w:lang w:val="fr-CA"/>
        </w:rPr>
      </w:pPr>
      <w:r w:rsidRPr="006F55E1">
        <w:rPr>
          <w:rFonts w:cs="Times New Roman"/>
          <w:lang w:val="fr-CA"/>
        </w:rPr>
        <w:t xml:space="preserve">M. Caron invoque le droit de retourner au travail et d’occuper un emploi convenable que lui confère l’art. 239 de la </w:t>
      </w:r>
      <w:r w:rsidRPr="006F55E1">
        <w:rPr>
          <w:rFonts w:cs="Times New Roman"/>
          <w:i/>
          <w:lang w:val="fr-CA"/>
        </w:rPr>
        <w:t>Loi</w:t>
      </w:r>
      <w:r w:rsidRPr="006F55E1">
        <w:rPr>
          <w:rFonts w:cs="Times New Roman"/>
          <w:lang w:val="fr-CA"/>
        </w:rPr>
        <w:t xml:space="preserve">. Interprétée à la lumière des principes établis par la </w:t>
      </w:r>
      <w:r w:rsidRPr="006F55E1">
        <w:rPr>
          <w:rFonts w:cs="Times New Roman"/>
          <w:i/>
          <w:lang w:val="fr-CA"/>
        </w:rPr>
        <w:t>Charte</w:t>
      </w:r>
      <w:r w:rsidRPr="006F55E1">
        <w:rPr>
          <w:rFonts w:cs="Times New Roman"/>
          <w:lang w:val="fr-CA"/>
        </w:rPr>
        <w:t xml:space="preserve"> québécoise et des objectifs de la </w:t>
      </w:r>
      <w:r w:rsidRPr="006F55E1">
        <w:rPr>
          <w:rFonts w:cs="Times New Roman"/>
          <w:i/>
          <w:lang w:val="fr-CA"/>
        </w:rPr>
        <w:t>Loi</w:t>
      </w:r>
      <w:r w:rsidRPr="006F55E1">
        <w:rPr>
          <w:rFonts w:cs="Times New Roman"/>
          <w:lang w:val="fr-CA"/>
        </w:rPr>
        <w:t>, cette disposition signifie que lorsque l’employeur détermine, en application de l’art. 239, si un emploi convenable est disponible, il a l’obligation d’accommoder raisonnablement M. Caron.</w:t>
      </w:r>
    </w:p>
    <w:p w:rsidR="00730DBB" w:rsidRPr="006F55E1" w:rsidRDefault="00730DBB" w:rsidP="00730DBB">
      <w:pPr>
        <w:pStyle w:val="ParaNoNdepar-AltN"/>
        <w:rPr>
          <w:rFonts w:cs="Times New Roman"/>
          <w:lang w:val="fr-CA"/>
        </w:rPr>
      </w:pPr>
      <w:r w:rsidRPr="006F55E1">
        <w:rPr>
          <w:rFonts w:cs="Times New Roman"/>
          <w:lang w:val="fr-CA"/>
        </w:rPr>
        <w:t>M. Caron a fait état de deux emplois « convenable</w:t>
      </w:r>
      <w:r w:rsidR="00916429">
        <w:rPr>
          <w:rFonts w:cs="Times New Roman"/>
          <w:lang w:val="fr-CA"/>
        </w:rPr>
        <w:t>[</w:t>
      </w:r>
      <w:r w:rsidRPr="006F55E1">
        <w:rPr>
          <w:rFonts w:cs="Times New Roman"/>
          <w:lang w:val="fr-CA"/>
        </w:rPr>
        <w:t>s</w:t>
      </w:r>
      <w:r w:rsidR="00916429">
        <w:rPr>
          <w:rFonts w:cs="Times New Roman"/>
          <w:lang w:val="fr-CA"/>
        </w:rPr>
        <w:t>]</w:t>
      </w:r>
      <w:r w:rsidRPr="006F55E1">
        <w:rPr>
          <w:rFonts w:cs="Times New Roman"/>
          <w:lang w:val="fr-CA"/>
        </w:rPr>
        <w:t xml:space="preserve"> » qu’il pourrait, selon lui, exercer au Centre Miriam si l’on prenait des mesures d’accommodement raisonnables en sa faveur : (1) le poste d’éducateur qu’il occupait avant de se blesser, à condition que l’on y apporte certaines modifications afin de tenir compte de sa limitation fonctionnelle; et (2) le poste de chef d’équipe qu’il a occupé temporairement au Centre Miriam. </w:t>
      </w:r>
    </w:p>
    <w:p w:rsidR="00730DBB" w:rsidRPr="006F55E1" w:rsidRDefault="00730DBB" w:rsidP="00730DBB">
      <w:pPr>
        <w:pStyle w:val="ParaNoNdepar-AltN"/>
        <w:rPr>
          <w:rFonts w:cs="Times New Roman"/>
          <w:lang w:val="fr-CA"/>
        </w:rPr>
      </w:pPr>
      <w:r w:rsidRPr="006F55E1">
        <w:rPr>
          <w:rFonts w:cs="Times New Roman"/>
          <w:lang w:val="fr-CA"/>
        </w:rPr>
        <w:t xml:space="preserve">Étant donné que la </w:t>
      </w:r>
      <w:r w:rsidRPr="006F55E1">
        <w:rPr>
          <w:rStyle w:val="ParaNoNdepar-AltNChar"/>
          <w:rFonts w:cs="Times New Roman"/>
          <w:lang w:val="fr-CA"/>
        </w:rPr>
        <w:t>CSST et la CLP</w:t>
      </w:r>
      <w:r w:rsidRPr="006F55E1" w:rsidDel="003B4217">
        <w:rPr>
          <w:rFonts w:cs="Times New Roman"/>
          <w:lang w:val="fr-CA"/>
        </w:rPr>
        <w:t xml:space="preserve"> </w:t>
      </w:r>
      <w:r w:rsidRPr="006F55E1">
        <w:rPr>
          <w:rFonts w:cs="Times New Roman"/>
          <w:lang w:val="fr-CA"/>
        </w:rPr>
        <w:t xml:space="preserve">ont jugé que le concept d’accommodement raisonnable au sens de la </w:t>
      </w:r>
      <w:r w:rsidRPr="006F55E1">
        <w:rPr>
          <w:rFonts w:cs="Times New Roman"/>
          <w:i/>
          <w:lang w:val="fr-CA"/>
        </w:rPr>
        <w:t>Charte</w:t>
      </w:r>
      <w:r w:rsidRPr="006F55E1">
        <w:rPr>
          <w:rFonts w:cs="Times New Roman"/>
          <w:lang w:val="fr-CA"/>
        </w:rPr>
        <w:t xml:space="preserve"> québécoise ne s’appliquait pas, ni l’une ni l’autre de ces organisations n’ont tiré de conclusion de fait quant à savoir si </w:t>
      </w:r>
      <w:r w:rsidRPr="006F55E1">
        <w:rPr>
          <w:rFonts w:cs="Times New Roman"/>
          <w:lang w:val="fr-CA"/>
        </w:rPr>
        <w:lastRenderedPageBreak/>
        <w:t xml:space="preserve">M. Caron avait bénéficié de mesures d’accommodement raisonnables. En particulier, la </w:t>
      </w:r>
      <w:r w:rsidRPr="006F55E1">
        <w:rPr>
          <w:rStyle w:val="ParaNoNdepar-AltNChar"/>
          <w:rFonts w:cs="Times New Roman"/>
          <w:lang w:val="fr-CA"/>
        </w:rPr>
        <w:t>CLP</w:t>
      </w:r>
      <w:r w:rsidRPr="006F55E1" w:rsidDel="003B4217">
        <w:rPr>
          <w:rFonts w:cs="Times New Roman"/>
          <w:lang w:val="fr-CA"/>
        </w:rPr>
        <w:t xml:space="preserve"> </w:t>
      </w:r>
      <w:r w:rsidRPr="006F55E1">
        <w:rPr>
          <w:rFonts w:cs="Times New Roman"/>
          <w:lang w:val="fr-CA"/>
        </w:rPr>
        <w:t>n’a formulé aucune conclusion relativement à la question de savoir s’il y aurait eu un « emploi convenable » chez l’employeur si ce dernier avait pris en sa faveur des mesures d’accommodement raisonnables. Si l’employeur avait tenu compte de son obligation d’accommodement lorsqu’il cherchait s’il existait un emploi convenable, peut</w:t>
      </w:r>
      <w:r w:rsidRPr="006F55E1">
        <w:rPr>
          <w:rFonts w:cs="Times New Roman"/>
          <w:lang w:val="fr-CA"/>
        </w:rPr>
        <w:noBreakHyphen/>
        <w:t>être aurait</w:t>
      </w:r>
      <w:r w:rsidRPr="006F55E1">
        <w:rPr>
          <w:rFonts w:cs="Times New Roman"/>
          <w:lang w:val="fr-CA"/>
        </w:rPr>
        <w:noBreakHyphen/>
        <w:t xml:space="preserve">il trouvé d’autres postes convenables que M. Caron aurait pu occuper. </w:t>
      </w:r>
    </w:p>
    <w:p w:rsidR="00730DBB" w:rsidRPr="006F55E1" w:rsidRDefault="00730DBB" w:rsidP="00730DBB">
      <w:pPr>
        <w:pStyle w:val="ParaNoNdepar-AltN"/>
        <w:rPr>
          <w:rFonts w:cs="Times New Roman"/>
          <w:lang w:val="fr-CA"/>
        </w:rPr>
      </w:pPr>
      <w:r w:rsidRPr="006F55E1">
        <w:rPr>
          <w:rFonts w:cs="Times New Roman"/>
          <w:lang w:val="fr-CA"/>
        </w:rPr>
        <w:t xml:space="preserve">Vu la directive donnée dans les présents motifs selon laquelle il faut interpréter et appliquer le régime législatif en conformité avec l’obligation d’accommodement raisonnable imposée à l’employeur par la </w:t>
      </w:r>
      <w:r w:rsidRPr="006F55E1">
        <w:rPr>
          <w:rFonts w:cs="Times New Roman"/>
          <w:i/>
          <w:lang w:val="fr-CA"/>
        </w:rPr>
        <w:t>Charte</w:t>
      </w:r>
      <w:r w:rsidRPr="006F55E1">
        <w:rPr>
          <w:rFonts w:cs="Times New Roman"/>
          <w:lang w:val="fr-CA"/>
        </w:rPr>
        <w:t xml:space="preserve"> québécoise, il me semble que l’on devrait donner à M. Caron la possibilité de défendre ses droits en tant que travailleur victime d’une lésion professionnelle conformément à l’approche modifiée. Je reconnais que les procédures ont été longues, peut</w:t>
      </w:r>
      <w:r w:rsidRPr="006F55E1">
        <w:rPr>
          <w:rFonts w:cs="Times New Roman"/>
          <w:lang w:val="fr-CA"/>
        </w:rPr>
        <w:noBreakHyphen/>
        <w:t>être même indûment longues, mais il restait encore à se prononcer sur des principes juridiques importants.</w:t>
      </w:r>
    </w:p>
    <w:p w:rsidR="00730DBB" w:rsidRPr="006F55E1" w:rsidRDefault="00730DBB" w:rsidP="00730DBB">
      <w:pPr>
        <w:pStyle w:val="ParaNoNdepar-AltN"/>
        <w:rPr>
          <w:rFonts w:cs="Times New Roman"/>
          <w:lang w:val="fr-CA"/>
        </w:rPr>
      </w:pPr>
      <w:r w:rsidRPr="006F55E1">
        <w:rPr>
          <w:rFonts w:cs="Times New Roman"/>
          <w:lang w:val="fr-CA"/>
        </w:rPr>
        <w:t xml:space="preserve">Par conséquent, à l’instar de la Cour d’appel, j’annulerais la décision de la CLP et renverrais l’affaire au Tribunal administratif du travail (l’institution qui a succédé à la CLP) pour qu’il puisse trancher la réclamation de M. Caron eu égard à l’obligation de l’employeur de prendre des mesures d’accommodement raisonnables en conformité avec la </w:t>
      </w:r>
      <w:r w:rsidRPr="006F55E1">
        <w:rPr>
          <w:rFonts w:cs="Times New Roman"/>
          <w:i/>
          <w:lang w:val="fr-CA"/>
        </w:rPr>
        <w:t>Charte</w:t>
      </w:r>
      <w:r w:rsidRPr="006F55E1">
        <w:rPr>
          <w:rFonts w:cs="Times New Roman"/>
          <w:lang w:val="fr-CA"/>
        </w:rPr>
        <w:t xml:space="preserve"> québécoise. Selon l’art. 240</w:t>
      </w:r>
      <w:r w:rsidRPr="00916429">
        <w:rPr>
          <w:rStyle w:val="Hyperlink"/>
          <w:u w:val="none"/>
          <w:vertAlign w:val="superscript"/>
        </w:rPr>
        <w:footnoteReference w:id="30"/>
      </w:r>
      <w:r w:rsidRPr="006F55E1">
        <w:rPr>
          <w:rFonts w:cs="Times New Roman"/>
          <w:lang w:val="fr-CA"/>
        </w:rPr>
        <w:t xml:space="preserve"> de la </w:t>
      </w:r>
      <w:r w:rsidRPr="006F55E1">
        <w:rPr>
          <w:rFonts w:cs="Times New Roman"/>
          <w:i/>
          <w:lang w:val="fr-CA"/>
        </w:rPr>
        <w:t>Loi</w:t>
      </w:r>
      <w:r w:rsidRPr="006F55E1">
        <w:rPr>
          <w:rFonts w:cs="Times New Roman"/>
          <w:lang w:val="fr-CA"/>
        </w:rPr>
        <w:t xml:space="preserve">, les droits que </w:t>
      </w:r>
      <w:r w:rsidRPr="006F55E1">
        <w:rPr>
          <w:rFonts w:cs="Times New Roman"/>
          <w:lang w:val="fr-CA"/>
        </w:rPr>
        <w:lastRenderedPageBreak/>
        <w:t xml:space="preserve">confèrent le régime peuvent être exercés pendant des périodes limitées. Il revient au Tribunal administratif du travail de décider si le délai doit s’appliquer à M. Caron compte tenu de cette approche modifiée et des circonstances pertinentes de l’espèce. </w:t>
      </w:r>
    </w:p>
    <w:p w:rsidR="00730DBB" w:rsidRPr="006F55E1" w:rsidRDefault="00730DBB" w:rsidP="00730DBB">
      <w:pPr>
        <w:pStyle w:val="ParaNoNdepar-AltN"/>
        <w:rPr>
          <w:rFonts w:cs="Times New Roman"/>
          <w:lang w:val="fr-CA"/>
        </w:rPr>
      </w:pPr>
      <w:r w:rsidRPr="006F55E1">
        <w:rPr>
          <w:rFonts w:cs="Times New Roman"/>
          <w:lang w:val="fr-CA"/>
        </w:rPr>
        <w:t xml:space="preserve">Je suis d’avis de rejeter le pourvoi avec dépens. </w:t>
      </w:r>
    </w:p>
    <w:p w:rsidR="00730DBB" w:rsidRDefault="004F007E" w:rsidP="004F007E">
      <w:pPr>
        <w:pStyle w:val="ParaNoNdepar-AltN"/>
        <w:numPr>
          <w:ilvl w:val="0"/>
          <w:numId w:val="0"/>
        </w:numPr>
        <w:tabs>
          <w:tab w:val="left" w:pos="1170"/>
        </w:tabs>
        <w:rPr>
          <w:lang w:val="fr-CA"/>
        </w:rPr>
      </w:pPr>
      <w:r>
        <w:rPr>
          <w:lang w:val="fr-CA"/>
        </w:rPr>
        <w:tab/>
      </w:r>
      <w:r w:rsidR="00730DBB" w:rsidRPr="005E1D00">
        <w:rPr>
          <w:lang w:val="fr-CA"/>
        </w:rPr>
        <w:t xml:space="preserve">Version française des motifs des juges </w:t>
      </w:r>
      <w:r w:rsidR="00C2411D">
        <w:rPr>
          <w:lang w:val="fr-CA"/>
        </w:rPr>
        <w:t>Côté et Rowe</w:t>
      </w:r>
      <w:r w:rsidR="00730DBB">
        <w:rPr>
          <w:lang w:val="fr-CA"/>
        </w:rPr>
        <w:t xml:space="preserve"> rendus par</w:t>
      </w:r>
    </w:p>
    <w:p w:rsidR="00730DBB" w:rsidRPr="002A0914" w:rsidRDefault="00730DBB" w:rsidP="00730DBB">
      <w:pPr>
        <w:pStyle w:val="JudgeJuge"/>
        <w:spacing w:before="480"/>
        <w:rPr>
          <w:lang w:val="fr-CA"/>
        </w:rPr>
      </w:pPr>
      <w:r w:rsidRPr="002A0914">
        <w:rPr>
          <w:lang w:val="fr-CA"/>
        </w:rPr>
        <w:tab/>
        <w:t xml:space="preserve">Le juge Rowe — </w:t>
      </w:r>
    </w:p>
    <w:p w:rsidR="00730DBB" w:rsidRPr="00E23012" w:rsidRDefault="00730DBB" w:rsidP="00730DBB">
      <w:pPr>
        <w:pStyle w:val="Title1LevelTitre1Niveau-AltL"/>
        <w:numPr>
          <w:ilvl w:val="0"/>
          <w:numId w:val="8"/>
        </w:numPr>
        <w:spacing w:before="0"/>
        <w:jc w:val="left"/>
        <w:rPr>
          <w:rFonts w:cs="Times New Roman"/>
          <w:lang w:val="fr-CA"/>
        </w:rPr>
      </w:pPr>
      <w:r w:rsidRPr="00E23012">
        <w:rPr>
          <w:rFonts w:cs="Times New Roman"/>
          <w:lang w:val="fr-CA"/>
        </w:rPr>
        <w:t>Introduction</w:t>
      </w:r>
    </w:p>
    <w:p w:rsidR="00730DBB" w:rsidRPr="001B4587" w:rsidRDefault="00730DBB" w:rsidP="00730DBB">
      <w:pPr>
        <w:pStyle w:val="ParaNoNdepar-AltN"/>
        <w:rPr>
          <w:lang w:val="fr-CA"/>
        </w:rPr>
      </w:pPr>
      <w:r w:rsidRPr="001B4587">
        <w:rPr>
          <w:lang w:val="fr-CA"/>
        </w:rPr>
        <w:t>J’ai eu l’occasion de lire les motifs de la juge Abella et je suis d’accord avec elle quant au résultat, qui consiste à renvoyer l’affaire au Tribunal administratif du travail (« TAT »), anciennement connu sous le nom de Commission des lésions professionnelles</w:t>
      </w:r>
      <w:r w:rsidRPr="001B4587">
        <w:rPr>
          <w:i/>
          <w:lang w:val="fr-CA"/>
        </w:rPr>
        <w:t xml:space="preserve"> </w:t>
      </w:r>
      <w:r w:rsidRPr="001B4587">
        <w:rPr>
          <w:lang w:val="fr-CA"/>
        </w:rPr>
        <w:t>(« CLP »), pour qu’il décide si l’employeur s’est acquitté de son obligation d’accommodement.</w:t>
      </w:r>
    </w:p>
    <w:p w:rsidR="00730DBB" w:rsidRPr="002A0914" w:rsidRDefault="00730DBB" w:rsidP="00730DBB">
      <w:pPr>
        <w:pStyle w:val="ParaNoNdepar-AltN"/>
        <w:rPr>
          <w:rFonts w:cs="Times New Roman"/>
          <w:lang w:val="fr-CA"/>
        </w:rPr>
      </w:pPr>
      <w:r w:rsidRPr="002A0914">
        <w:rPr>
          <w:rFonts w:cs="Times New Roman"/>
          <w:lang w:val="fr-CA"/>
        </w:rPr>
        <w:t>Là où la juge Abella et moi divergeons d</w:t>
      </w:r>
      <w:r>
        <w:rPr>
          <w:rFonts w:cs="Times New Roman"/>
          <w:lang w:val="fr-CA"/>
        </w:rPr>
        <w:t>’</w:t>
      </w:r>
      <w:r w:rsidRPr="002A0914">
        <w:rPr>
          <w:rFonts w:cs="Times New Roman"/>
          <w:lang w:val="fr-CA"/>
        </w:rPr>
        <w:t>opinion, c</w:t>
      </w:r>
      <w:r>
        <w:rPr>
          <w:rFonts w:cs="Times New Roman"/>
          <w:lang w:val="fr-CA"/>
        </w:rPr>
        <w:t>’</w:t>
      </w:r>
      <w:r w:rsidRPr="002A0914">
        <w:rPr>
          <w:rFonts w:cs="Times New Roman"/>
          <w:lang w:val="fr-CA"/>
        </w:rPr>
        <w:t>est sur l</w:t>
      </w:r>
      <w:r>
        <w:rPr>
          <w:rFonts w:cs="Times New Roman"/>
          <w:lang w:val="fr-CA"/>
        </w:rPr>
        <w:t>’</w:t>
      </w:r>
      <w:r w:rsidRPr="002A0914">
        <w:rPr>
          <w:rFonts w:cs="Times New Roman"/>
          <w:lang w:val="fr-CA"/>
        </w:rPr>
        <w:t xml:space="preserve">approche à adopter pour atteindre ce résultat. Ma collègue retient une approche dans le cadre de </w:t>
      </w:r>
      <w:r w:rsidRPr="002A0914">
        <w:rPr>
          <w:rFonts w:cs="Times New Roman"/>
          <w:lang w:val="fr-CA"/>
        </w:rPr>
        <w:lastRenderedPageBreak/>
        <w:t>laquelle elle interprète le régime législatif comme « englobant une obligation d</w:t>
      </w:r>
      <w:r>
        <w:rPr>
          <w:rFonts w:cs="Times New Roman"/>
          <w:lang w:val="fr-CA"/>
        </w:rPr>
        <w:t>’</w:t>
      </w:r>
      <w:r w:rsidRPr="002A0914">
        <w:rPr>
          <w:rFonts w:cs="Times New Roman"/>
          <w:lang w:val="fr-CA"/>
        </w:rPr>
        <w:t>accommodement</w:t>
      </w:r>
      <w:r>
        <w:rPr>
          <w:rFonts w:cs="Times New Roman"/>
          <w:lang w:val="fr-CA"/>
        </w:rPr>
        <w:t> </w:t>
      </w:r>
      <w:r w:rsidRPr="002A0914">
        <w:rPr>
          <w:rFonts w:cs="Times New Roman"/>
          <w:lang w:val="fr-CA"/>
        </w:rPr>
        <w:t>» (motifs de la juge Abella, par. 21) en conformité avec l</w:t>
      </w:r>
      <w:r>
        <w:rPr>
          <w:rFonts w:cs="Times New Roman"/>
          <w:lang w:val="fr-CA"/>
        </w:rPr>
        <w:t>’</w:t>
      </w:r>
      <w:r w:rsidRPr="002A0914">
        <w:rPr>
          <w:rFonts w:cs="Times New Roman"/>
          <w:lang w:val="fr-CA"/>
        </w:rPr>
        <w:t>opinion que « </w:t>
      </w:r>
      <w:r w:rsidRPr="002A0914">
        <w:rPr>
          <w:rFonts w:cs="Times New Roman"/>
          <w:i/>
          <w:lang w:val="fr-CA"/>
        </w:rPr>
        <w:t>toutes</w:t>
      </w:r>
      <w:r w:rsidRPr="002A0914">
        <w:rPr>
          <w:rFonts w:cs="Times New Roman"/>
          <w:lang w:val="fr-CA"/>
        </w:rPr>
        <w:t xml:space="preserve"> les lois du Québec doivent être interprétées conformément à la </w:t>
      </w:r>
      <w:r w:rsidRPr="002A0914">
        <w:rPr>
          <w:rFonts w:cs="Times New Roman"/>
          <w:i/>
          <w:lang w:val="fr-CA"/>
        </w:rPr>
        <w:t>Charte</w:t>
      </w:r>
      <w:r w:rsidRPr="002A0914">
        <w:rPr>
          <w:rFonts w:cs="Times New Roman"/>
          <w:lang w:val="fr-CA"/>
        </w:rPr>
        <w:t xml:space="preserve"> québécoise » (motifs de la juge Abella, par. 32) (</w:t>
      </w:r>
      <w:r w:rsidR="0070706C">
        <w:rPr>
          <w:rFonts w:cs="Times New Roman"/>
          <w:lang w:val="fr-CA"/>
        </w:rPr>
        <w:t>en italique</w:t>
      </w:r>
      <w:r w:rsidRPr="002A0914">
        <w:rPr>
          <w:rFonts w:cs="Times New Roman"/>
          <w:lang w:val="fr-CA"/>
        </w:rPr>
        <w:t xml:space="preserve"> dans l</w:t>
      </w:r>
      <w:r>
        <w:rPr>
          <w:rFonts w:cs="Times New Roman"/>
          <w:lang w:val="fr-CA"/>
        </w:rPr>
        <w:t>’</w:t>
      </w:r>
      <w:r w:rsidRPr="002A0914">
        <w:rPr>
          <w:rFonts w:cs="Times New Roman"/>
          <w:lang w:val="fr-CA"/>
        </w:rPr>
        <w:t>original). À mon avis, cela va au</w:t>
      </w:r>
      <w:r w:rsidRPr="002A0914">
        <w:rPr>
          <w:rFonts w:cs="Times New Roman"/>
          <w:lang w:val="fr-CA"/>
        </w:rPr>
        <w:noBreakHyphen/>
        <w:t>delà de la méthode d</w:t>
      </w:r>
      <w:r>
        <w:rPr>
          <w:rFonts w:cs="Times New Roman"/>
          <w:lang w:val="fr-CA"/>
        </w:rPr>
        <w:t>’</w:t>
      </w:r>
      <w:r w:rsidRPr="002A0914">
        <w:rPr>
          <w:rFonts w:cs="Times New Roman"/>
          <w:lang w:val="fr-CA"/>
        </w:rPr>
        <w:t>interprétation législative établie par la Cour selon laquelle « [l]</w:t>
      </w:r>
      <w:r>
        <w:rPr>
          <w:rFonts w:cs="Times New Roman"/>
          <w:lang w:val="fr-CA"/>
        </w:rPr>
        <w:t>’</w:t>
      </w:r>
      <w:r w:rsidRPr="002A0914">
        <w:rPr>
          <w:rFonts w:cs="Times New Roman"/>
          <w:lang w:val="fr-CA"/>
        </w:rPr>
        <w:t xml:space="preserve">interprétation de la législation doit </w:t>
      </w:r>
      <w:r w:rsidRPr="002A0914">
        <w:rPr>
          <w:rFonts w:cs="Times New Roman"/>
          <w:u w:val="single"/>
          <w:lang w:val="fr-CA"/>
        </w:rPr>
        <w:t>s</w:t>
      </w:r>
      <w:r>
        <w:rPr>
          <w:rFonts w:cs="Times New Roman"/>
          <w:u w:val="single"/>
          <w:lang w:val="fr-CA"/>
        </w:rPr>
        <w:t>’</w:t>
      </w:r>
      <w:r w:rsidRPr="002A0914">
        <w:rPr>
          <w:rFonts w:cs="Times New Roman"/>
          <w:u w:val="single"/>
          <w:lang w:val="fr-CA"/>
        </w:rPr>
        <w:t>inspirer</w:t>
      </w:r>
      <w:r w:rsidRPr="002A0914">
        <w:rPr>
          <w:rFonts w:cs="Times New Roman"/>
          <w:lang w:val="fr-CA"/>
        </w:rPr>
        <w:t xml:space="preserve"> [des] principes [de la </w:t>
      </w:r>
      <w:r w:rsidRPr="002A0914">
        <w:rPr>
          <w:rFonts w:cs="Times New Roman"/>
          <w:i/>
          <w:lang w:val="fr-CA"/>
        </w:rPr>
        <w:t>Charte</w:t>
      </w:r>
      <w:r w:rsidRPr="002A0914">
        <w:rPr>
          <w:rFonts w:cs="Times New Roman"/>
          <w:lang w:val="fr-CA"/>
        </w:rPr>
        <w:t xml:space="preserve"> québécoise] » (</w:t>
      </w:r>
      <w:r w:rsidRPr="002A0914">
        <w:rPr>
          <w:rFonts w:cs="Times New Roman"/>
          <w:i/>
          <w:lang w:val="fr-CA"/>
        </w:rPr>
        <w:t>Québec (Commission des droits de la personne et des droits de la jeunesse) c</w:t>
      </w:r>
      <w:r w:rsidRPr="002A0914">
        <w:rPr>
          <w:rFonts w:cs="Times New Roman"/>
          <w:lang w:val="fr-CA"/>
        </w:rPr>
        <w:t xml:space="preserve">. </w:t>
      </w:r>
      <w:r w:rsidRPr="002A0914">
        <w:rPr>
          <w:rFonts w:cs="Times New Roman"/>
          <w:i/>
          <w:lang w:val="fr-CA"/>
        </w:rPr>
        <w:t>Communauté urbaine de Montréal</w:t>
      </w:r>
      <w:r w:rsidRPr="002A0914">
        <w:rPr>
          <w:rFonts w:cs="Times New Roman"/>
          <w:lang w:val="fr-CA"/>
        </w:rPr>
        <w:t>,</w:t>
      </w:r>
      <w:r w:rsidRPr="002A0914">
        <w:rPr>
          <w:rFonts w:cs="Times New Roman"/>
          <w:i/>
          <w:lang w:val="fr-CA"/>
        </w:rPr>
        <w:t xml:space="preserve"> </w:t>
      </w:r>
      <w:r w:rsidRPr="002A0914">
        <w:rPr>
          <w:rFonts w:cs="Times New Roman"/>
          <w:lang w:val="fr-CA"/>
        </w:rPr>
        <w:t>2004 CSC 30, [2004] 1 R.C.S. 789, par. 20 (</w:t>
      </w:r>
      <w:r>
        <w:rPr>
          <w:rFonts w:cs="Times New Roman"/>
          <w:lang w:val="fr-CA"/>
        </w:rPr>
        <w:t>je souligne</w:t>
      </w:r>
      <w:r w:rsidRPr="002A0914">
        <w:rPr>
          <w:rFonts w:cs="Times New Roman"/>
          <w:lang w:val="fr-CA"/>
        </w:rPr>
        <w:t>)</w:t>
      </w:r>
      <w:r w:rsidR="004F007E">
        <w:rPr>
          <w:rFonts w:cs="Times New Roman"/>
          <w:lang w:val="fr-CA"/>
        </w:rPr>
        <w:t>)</w:t>
      </w:r>
      <w:r w:rsidRPr="002A0914">
        <w:rPr>
          <w:rFonts w:cs="Times New Roman"/>
          <w:lang w:val="fr-CA"/>
        </w:rPr>
        <w:t>. Cela va aussi au</w:t>
      </w:r>
      <w:r w:rsidRPr="002A0914">
        <w:rPr>
          <w:rFonts w:cs="Times New Roman"/>
          <w:lang w:val="fr-CA"/>
        </w:rPr>
        <w:noBreakHyphen/>
        <w:t>delà de ce que la Cour d</w:t>
      </w:r>
      <w:r>
        <w:rPr>
          <w:rFonts w:cs="Times New Roman"/>
          <w:lang w:val="fr-CA"/>
        </w:rPr>
        <w:t>’</w:t>
      </w:r>
      <w:r w:rsidRPr="002A0914">
        <w:rPr>
          <w:rFonts w:cs="Times New Roman"/>
          <w:lang w:val="fr-CA"/>
        </w:rPr>
        <w:t xml:space="preserve">appel du Québec a fait dans </w:t>
      </w:r>
      <w:r w:rsidRPr="002A0914">
        <w:rPr>
          <w:rFonts w:cs="Times New Roman"/>
          <w:i/>
          <w:lang w:val="fr-CA"/>
        </w:rPr>
        <w:t>Gauthier c. Demers</w:t>
      </w:r>
      <w:r w:rsidRPr="002A0914">
        <w:rPr>
          <w:rFonts w:cs="Times New Roman"/>
          <w:lang w:val="fr-CA"/>
        </w:rPr>
        <w:t>, 2007 QCCA 1433, 65 Admin. L.R. (4th) 222, où elle s</w:t>
      </w:r>
      <w:r>
        <w:rPr>
          <w:rFonts w:cs="Times New Roman"/>
          <w:lang w:val="fr-CA"/>
        </w:rPr>
        <w:t>’</w:t>
      </w:r>
      <w:r w:rsidRPr="002A0914">
        <w:rPr>
          <w:rFonts w:cs="Times New Roman"/>
          <w:lang w:val="fr-CA"/>
        </w:rPr>
        <w:t xml:space="preserve">est servie de la </w:t>
      </w:r>
      <w:r w:rsidRPr="002A0914">
        <w:rPr>
          <w:rFonts w:cs="Times New Roman"/>
          <w:i/>
          <w:lang w:val="fr-CA"/>
        </w:rPr>
        <w:t>Charte</w:t>
      </w:r>
      <w:r w:rsidRPr="002A0914">
        <w:rPr>
          <w:rFonts w:cs="Times New Roman"/>
          <w:lang w:val="fr-CA"/>
        </w:rPr>
        <w:t xml:space="preserve"> </w:t>
      </w:r>
      <w:r w:rsidRPr="002A0914">
        <w:rPr>
          <w:rFonts w:cs="Times New Roman"/>
          <w:i/>
          <w:lang w:val="fr-CA"/>
        </w:rPr>
        <w:t>des droits et libertés de la personne</w:t>
      </w:r>
      <w:r w:rsidRPr="002A0914">
        <w:rPr>
          <w:rFonts w:cs="Times New Roman"/>
          <w:lang w:val="fr-CA"/>
        </w:rPr>
        <w:t>, RLRQ, c. C</w:t>
      </w:r>
      <w:r w:rsidRPr="002A0914">
        <w:rPr>
          <w:rFonts w:cs="Times New Roman"/>
          <w:lang w:val="fr-CA"/>
        </w:rPr>
        <w:noBreakHyphen/>
        <w:t>12 (« </w:t>
      </w:r>
      <w:r w:rsidRPr="002A0914">
        <w:rPr>
          <w:rFonts w:cs="Times New Roman"/>
          <w:i/>
          <w:lang w:val="fr-CA"/>
        </w:rPr>
        <w:t>Charte</w:t>
      </w:r>
      <w:r w:rsidRPr="002A0914">
        <w:rPr>
          <w:rFonts w:cs="Times New Roman"/>
          <w:lang w:val="fr-CA"/>
        </w:rPr>
        <w:t xml:space="preserve"> québécoise »)</w:t>
      </w:r>
      <w:r w:rsidR="004F007E">
        <w:rPr>
          <w:rFonts w:cs="Times New Roman"/>
          <w:lang w:val="fr-CA"/>
        </w:rPr>
        <w:t>,</w:t>
      </w:r>
      <w:r w:rsidRPr="002A0914">
        <w:rPr>
          <w:rFonts w:cs="Times New Roman"/>
          <w:lang w:val="fr-CA"/>
        </w:rPr>
        <w:t xml:space="preserve"> pour conclure qu</w:t>
      </w:r>
      <w:r>
        <w:rPr>
          <w:rFonts w:cs="Times New Roman"/>
          <w:lang w:val="fr-CA"/>
        </w:rPr>
        <w:t>’</w:t>
      </w:r>
      <w:r w:rsidRPr="002A0914">
        <w:rPr>
          <w:rFonts w:cs="Times New Roman"/>
          <w:lang w:val="fr-CA"/>
        </w:rPr>
        <w:t>un motif de discrimination ne pouvait pas être « </w:t>
      </w:r>
      <w:r>
        <w:rPr>
          <w:rFonts w:cs="Times New Roman"/>
          <w:lang w:val="fr-CA"/>
        </w:rPr>
        <w:t>juste et suffisan</w:t>
      </w:r>
      <w:r w:rsidR="004F007E">
        <w:rPr>
          <w:rFonts w:cs="Times New Roman"/>
          <w:lang w:val="fr-CA"/>
        </w:rPr>
        <w:t>[</w:t>
      </w:r>
      <w:r>
        <w:rPr>
          <w:rFonts w:cs="Times New Roman"/>
          <w:lang w:val="fr-CA"/>
        </w:rPr>
        <w:t>t</w:t>
      </w:r>
      <w:r w:rsidR="004F007E">
        <w:rPr>
          <w:rFonts w:cs="Times New Roman"/>
          <w:lang w:val="fr-CA"/>
        </w:rPr>
        <w:t>]</w:t>
      </w:r>
      <w:r>
        <w:rPr>
          <w:rFonts w:cs="Times New Roman"/>
          <w:lang w:val="fr-CA"/>
        </w:rPr>
        <w:t> </w:t>
      </w:r>
      <w:r w:rsidRPr="002A0914">
        <w:rPr>
          <w:rFonts w:cs="Times New Roman"/>
          <w:lang w:val="fr-CA"/>
        </w:rPr>
        <w:t xml:space="preserve">» au sens de la </w:t>
      </w:r>
      <w:r w:rsidRPr="002A0914">
        <w:rPr>
          <w:rFonts w:cs="Times New Roman"/>
          <w:i/>
          <w:lang w:val="fr-CA"/>
        </w:rPr>
        <w:t>Loi sur les accidents du travail et les maladies</w:t>
      </w:r>
      <w:r w:rsidRPr="002A0914">
        <w:rPr>
          <w:rFonts w:cs="Times New Roman"/>
          <w:lang w:val="fr-CA"/>
        </w:rPr>
        <w:t xml:space="preserve"> </w:t>
      </w:r>
      <w:r w:rsidRPr="002A0914">
        <w:rPr>
          <w:rFonts w:cs="Times New Roman"/>
          <w:i/>
          <w:lang w:val="fr-CA"/>
        </w:rPr>
        <w:t>professionnelles</w:t>
      </w:r>
      <w:r w:rsidR="00C2411D">
        <w:rPr>
          <w:rFonts w:cs="Times New Roman"/>
          <w:lang w:val="fr-CA"/>
        </w:rPr>
        <w:t>, RLRQ, c. A-</w:t>
      </w:r>
      <w:r>
        <w:rPr>
          <w:rFonts w:cs="Times New Roman"/>
          <w:lang w:val="fr-CA"/>
        </w:rPr>
        <w:t>3.001 (« Loi </w:t>
      </w:r>
      <w:r w:rsidRPr="002A0914">
        <w:rPr>
          <w:rFonts w:cs="Times New Roman"/>
          <w:lang w:val="fr-CA"/>
        </w:rPr>
        <w:t>»). En effet, ma collègue case 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accommodement dans une loi qui n</w:t>
      </w:r>
      <w:r>
        <w:rPr>
          <w:rFonts w:cs="Times New Roman"/>
          <w:lang w:val="fr-CA"/>
        </w:rPr>
        <w:t>’</w:t>
      </w:r>
      <w:r w:rsidRPr="002A0914">
        <w:rPr>
          <w:rFonts w:cs="Times New Roman"/>
          <w:lang w:val="fr-CA"/>
        </w:rPr>
        <w:t>a pas été créée à cette fin et élargit la portée d</w:t>
      </w:r>
      <w:r>
        <w:rPr>
          <w:rFonts w:cs="Times New Roman"/>
          <w:lang w:val="fr-CA"/>
        </w:rPr>
        <w:t>’</w:t>
      </w:r>
      <w:r w:rsidRPr="002A0914">
        <w:rPr>
          <w:rFonts w:cs="Times New Roman"/>
          <w:lang w:val="fr-CA"/>
        </w:rPr>
        <w:t>une disposition législative, ce qui est contraire à la jurisprudence de notre Cour et à l</w:t>
      </w:r>
      <w:r>
        <w:rPr>
          <w:rFonts w:cs="Times New Roman"/>
          <w:lang w:val="fr-CA"/>
        </w:rPr>
        <w:t>’</w:t>
      </w:r>
      <w:r w:rsidRPr="002A0914">
        <w:rPr>
          <w:rFonts w:cs="Times New Roman"/>
          <w:lang w:val="fr-CA"/>
        </w:rPr>
        <w:t xml:space="preserve">art. 51 de la </w:t>
      </w:r>
      <w:r w:rsidRPr="002A0914">
        <w:rPr>
          <w:rFonts w:cs="Times New Roman"/>
          <w:i/>
          <w:lang w:val="fr-CA"/>
        </w:rPr>
        <w:t xml:space="preserve">Charte </w:t>
      </w:r>
      <w:r w:rsidRPr="002A0914">
        <w:rPr>
          <w:rFonts w:cs="Times New Roman"/>
          <w:lang w:val="fr-CA"/>
        </w:rPr>
        <w:t>québécoise.</w:t>
      </w:r>
    </w:p>
    <w:p w:rsidR="00730DBB" w:rsidRPr="002A0914" w:rsidRDefault="00730DBB" w:rsidP="00730DBB">
      <w:pPr>
        <w:pStyle w:val="ParaNoNdepar-AltN"/>
        <w:rPr>
          <w:rFonts w:cs="Times New Roman"/>
          <w:lang w:val="fr-CA"/>
        </w:rPr>
      </w:pPr>
      <w:r w:rsidRPr="002A0914">
        <w:rPr>
          <w:rFonts w:cs="Times New Roman"/>
          <w:lang w:val="fr-CA"/>
        </w:rPr>
        <w:t>Comme la Cour l</w:t>
      </w:r>
      <w:r>
        <w:rPr>
          <w:rFonts w:cs="Times New Roman"/>
          <w:lang w:val="fr-CA"/>
        </w:rPr>
        <w:t>’</w:t>
      </w:r>
      <w:r w:rsidRPr="002A0914">
        <w:rPr>
          <w:rFonts w:cs="Times New Roman"/>
          <w:lang w:val="fr-CA"/>
        </w:rPr>
        <w:t>a expliqué dans l</w:t>
      </w:r>
      <w:r>
        <w:rPr>
          <w:rFonts w:cs="Times New Roman"/>
          <w:lang w:val="fr-CA"/>
        </w:rPr>
        <w:t>’</w:t>
      </w:r>
      <w:r w:rsidRPr="002A0914">
        <w:rPr>
          <w:rFonts w:cs="Times New Roman"/>
          <w:lang w:val="fr-CA"/>
        </w:rPr>
        <w:t xml:space="preserve">arrêt </w:t>
      </w:r>
      <w:r w:rsidRPr="002A0914">
        <w:rPr>
          <w:rFonts w:cs="Times New Roman"/>
          <w:i/>
          <w:lang w:val="fr-CA"/>
        </w:rPr>
        <w:t>Bell ExpressVu Limited Partnership c. Rex</w:t>
      </w:r>
      <w:r w:rsidRPr="002A0914">
        <w:rPr>
          <w:rFonts w:cs="Times New Roman"/>
          <w:lang w:val="fr-CA"/>
        </w:rPr>
        <w:t>, 2002 CSC 42, [2002] 2 R.C.S. 559, le principe d</w:t>
      </w:r>
      <w:r>
        <w:rPr>
          <w:rFonts w:cs="Times New Roman"/>
          <w:lang w:val="fr-CA"/>
        </w:rPr>
        <w:t>’</w:t>
      </w:r>
      <w:r w:rsidRPr="002A0914">
        <w:rPr>
          <w:rFonts w:cs="Times New Roman"/>
          <w:lang w:val="fr-CA"/>
        </w:rPr>
        <w:t xml:space="preserve">interprétation fondé sur le respect des « valeurs de la </w:t>
      </w:r>
      <w:r w:rsidRPr="002A0914">
        <w:rPr>
          <w:rFonts w:cs="Times New Roman"/>
          <w:i/>
          <w:lang w:val="fr-CA"/>
        </w:rPr>
        <w:t>Charte</w:t>
      </w:r>
      <w:r>
        <w:rPr>
          <w:rFonts w:cs="Times New Roman"/>
          <w:i/>
          <w:lang w:val="fr-CA"/>
        </w:rPr>
        <w:t> </w:t>
      </w:r>
      <w:r w:rsidRPr="002A0914">
        <w:rPr>
          <w:rFonts w:cs="Times New Roman"/>
          <w:lang w:val="fr-CA"/>
        </w:rPr>
        <w:t>» vise un objectif restreint : lorsque deux interprétations sont possibles — l</w:t>
      </w:r>
      <w:r>
        <w:rPr>
          <w:rFonts w:cs="Times New Roman"/>
          <w:lang w:val="fr-CA"/>
        </w:rPr>
        <w:t>’</w:t>
      </w:r>
      <w:r w:rsidRPr="002A0914">
        <w:rPr>
          <w:rFonts w:cs="Times New Roman"/>
          <w:lang w:val="fr-CA"/>
        </w:rPr>
        <w:t xml:space="preserve">une qui est conforme à la </w:t>
      </w:r>
      <w:r w:rsidRPr="002A0914">
        <w:rPr>
          <w:rFonts w:cs="Times New Roman"/>
          <w:i/>
          <w:lang w:val="fr-CA"/>
        </w:rPr>
        <w:t xml:space="preserve">Charte canadienne des droits et libertés </w:t>
      </w:r>
      <w:r w:rsidRPr="002A0914">
        <w:rPr>
          <w:rFonts w:cs="Times New Roman"/>
          <w:lang w:val="fr-CA"/>
        </w:rPr>
        <w:t>(« </w:t>
      </w:r>
      <w:r w:rsidRPr="002A0914">
        <w:rPr>
          <w:rFonts w:cs="Times New Roman"/>
          <w:i/>
          <w:lang w:val="fr-CA"/>
        </w:rPr>
        <w:t>Charte</w:t>
      </w:r>
      <w:r w:rsidRPr="002A0914">
        <w:rPr>
          <w:rFonts w:cs="Times New Roman"/>
          <w:lang w:val="fr-CA"/>
        </w:rPr>
        <w:t xml:space="preserve"> canadienne »), et l</w:t>
      </w:r>
      <w:r>
        <w:rPr>
          <w:rFonts w:cs="Times New Roman"/>
          <w:lang w:val="fr-CA"/>
        </w:rPr>
        <w:t>’</w:t>
      </w:r>
      <w:r w:rsidRPr="002A0914">
        <w:rPr>
          <w:rFonts w:cs="Times New Roman"/>
          <w:lang w:val="fr-CA"/>
        </w:rPr>
        <w:t>autre qui l</w:t>
      </w:r>
      <w:r>
        <w:rPr>
          <w:rFonts w:cs="Times New Roman"/>
          <w:lang w:val="fr-CA"/>
        </w:rPr>
        <w:t>’</w:t>
      </w:r>
      <w:r w:rsidRPr="002A0914">
        <w:rPr>
          <w:rFonts w:cs="Times New Roman"/>
          <w:lang w:val="fr-CA"/>
        </w:rPr>
        <w:t xml:space="preserve">enfreint — les tribunaux </w:t>
      </w:r>
      <w:r w:rsidRPr="002A0914">
        <w:rPr>
          <w:rFonts w:cs="Times New Roman"/>
          <w:lang w:val="fr-CA"/>
        </w:rPr>
        <w:lastRenderedPageBreak/>
        <w:t xml:space="preserve">peuvent appliquer la présomption de conformité à la </w:t>
      </w:r>
      <w:r w:rsidRPr="002A0914">
        <w:rPr>
          <w:rFonts w:cs="Times New Roman"/>
          <w:i/>
          <w:lang w:val="fr-CA"/>
        </w:rPr>
        <w:t xml:space="preserve">Charte </w:t>
      </w:r>
      <w:r w:rsidRPr="002A0914">
        <w:rPr>
          <w:rFonts w:cs="Times New Roman"/>
          <w:lang w:val="fr-CA"/>
        </w:rPr>
        <w:t>canadienne pour interpréter la loi d</w:t>
      </w:r>
      <w:r>
        <w:rPr>
          <w:rFonts w:cs="Times New Roman"/>
          <w:lang w:val="fr-CA"/>
        </w:rPr>
        <w:t>’</w:t>
      </w:r>
      <w:r w:rsidRPr="002A0914">
        <w:rPr>
          <w:rFonts w:cs="Times New Roman"/>
          <w:lang w:val="fr-CA"/>
        </w:rPr>
        <w:t xml:space="preserve">une manière qui respecte la valeur de la </w:t>
      </w:r>
      <w:r w:rsidRPr="002A0914">
        <w:rPr>
          <w:rFonts w:cs="Times New Roman"/>
          <w:i/>
          <w:lang w:val="fr-CA"/>
        </w:rPr>
        <w:t xml:space="preserve">Charte </w:t>
      </w:r>
      <w:r w:rsidRPr="002A0914">
        <w:rPr>
          <w:rFonts w:cs="Times New Roman"/>
          <w:lang w:val="fr-CA"/>
        </w:rPr>
        <w:t>en question. Cela permet que</w:t>
      </w:r>
      <w:r>
        <w:rPr>
          <w:rFonts w:cs="Times New Roman"/>
          <w:lang w:val="fr-CA"/>
        </w:rPr>
        <w:t xml:space="preserve"> </w:t>
      </w:r>
      <w:r w:rsidRPr="002A0914">
        <w:rPr>
          <w:rFonts w:cs="Times New Roman"/>
          <w:lang w:val="fr-CA"/>
        </w:rPr>
        <w:t>la loi demeure en vigueur — intacte — et soit interprétée de manière à ce qu</w:t>
      </w:r>
      <w:r>
        <w:rPr>
          <w:rFonts w:cs="Times New Roman"/>
          <w:lang w:val="fr-CA"/>
        </w:rPr>
        <w:t>’</w:t>
      </w:r>
      <w:r w:rsidRPr="002A0914">
        <w:rPr>
          <w:rFonts w:cs="Times New Roman"/>
          <w:lang w:val="fr-CA"/>
        </w:rPr>
        <w:t xml:space="preserve">elle se conforme à la </w:t>
      </w:r>
      <w:r w:rsidRPr="002A0914">
        <w:rPr>
          <w:rFonts w:cs="Times New Roman"/>
          <w:i/>
          <w:lang w:val="fr-CA"/>
        </w:rPr>
        <w:t>Charte</w:t>
      </w:r>
      <w:r w:rsidRPr="002A0914">
        <w:rPr>
          <w:rFonts w:cs="Times New Roman"/>
          <w:lang w:val="fr-CA"/>
        </w:rPr>
        <w:t xml:space="preserve"> canadienne. Ce principe ne permet toutefois pas au tribunal de proposer, au nom des valeurs de la </w:t>
      </w:r>
      <w:r w:rsidRPr="002A0914">
        <w:rPr>
          <w:rFonts w:cs="Times New Roman"/>
          <w:i/>
          <w:lang w:val="fr-CA"/>
        </w:rPr>
        <w:t>Charte</w:t>
      </w:r>
      <w:r w:rsidRPr="002A0914">
        <w:rPr>
          <w:rFonts w:cs="Times New Roman"/>
          <w:lang w:val="fr-CA"/>
        </w:rPr>
        <w:t>, une interprétation non étayée par le texte de la loi (</w:t>
      </w:r>
      <w:r w:rsidRPr="002A0914">
        <w:rPr>
          <w:rFonts w:cs="Times New Roman"/>
          <w:i/>
          <w:lang w:val="fr-CA"/>
        </w:rPr>
        <w:t>Bell ExpressVu</w:t>
      </w:r>
      <w:r w:rsidR="00C7431F">
        <w:rPr>
          <w:rFonts w:cs="Times New Roman"/>
          <w:lang w:val="fr-CA"/>
        </w:rPr>
        <w:t>, par. 62;</w:t>
      </w:r>
      <w:r w:rsidRPr="002A0914">
        <w:rPr>
          <w:rFonts w:cs="Times New Roman"/>
          <w:lang w:val="fr-CA"/>
        </w:rPr>
        <w:t xml:space="preserve"> </w:t>
      </w:r>
      <w:r w:rsidRPr="002A0914">
        <w:rPr>
          <w:rFonts w:cs="Times New Roman"/>
          <w:i/>
          <w:lang w:val="fr-CA"/>
        </w:rPr>
        <w:t>R. c. Clarke</w:t>
      </w:r>
      <w:r w:rsidRPr="002A0914">
        <w:rPr>
          <w:rFonts w:cs="Times New Roman"/>
          <w:lang w:val="fr-CA"/>
        </w:rPr>
        <w:t>,</w:t>
      </w:r>
      <w:r w:rsidRPr="002A0914">
        <w:rPr>
          <w:rFonts w:cs="Times New Roman"/>
          <w:i/>
          <w:lang w:val="fr-CA"/>
        </w:rPr>
        <w:t xml:space="preserve"> </w:t>
      </w:r>
      <w:r w:rsidRPr="002A0914">
        <w:rPr>
          <w:rFonts w:cs="Times New Roman"/>
          <w:lang w:val="fr-CA"/>
        </w:rPr>
        <w:t>2014 CSC 28,</w:t>
      </w:r>
      <w:r w:rsidRPr="002A0914">
        <w:rPr>
          <w:rFonts w:cs="Times New Roman"/>
          <w:i/>
          <w:lang w:val="fr-CA"/>
        </w:rPr>
        <w:t xml:space="preserve"> </w:t>
      </w:r>
      <w:r w:rsidRPr="002A0914">
        <w:rPr>
          <w:rFonts w:cs="Times New Roman"/>
          <w:lang w:val="fr-CA"/>
        </w:rPr>
        <w:t>[2014] 1 R.C.S. 612, par. 12).</w:t>
      </w:r>
    </w:p>
    <w:p w:rsidR="00730DBB" w:rsidRPr="002A0914" w:rsidRDefault="00730DBB" w:rsidP="00730DBB">
      <w:pPr>
        <w:pStyle w:val="ParaNoNdepar-AltN"/>
        <w:rPr>
          <w:rFonts w:cs="Times New Roman"/>
          <w:lang w:val="fr-CA"/>
        </w:rPr>
      </w:pPr>
      <w:r w:rsidRPr="002A0914">
        <w:rPr>
          <w:rFonts w:cs="Times New Roman"/>
          <w:lang w:val="fr-CA"/>
        </w:rPr>
        <w:t>Vu le caractère</w:t>
      </w:r>
      <w:r w:rsidRPr="002A0914">
        <w:rPr>
          <w:rFonts w:eastAsiaTheme="minorHAnsi" w:cs="Times New Roman"/>
          <w:lang w:val="fr-CA" w:bidi="en-US"/>
        </w:rPr>
        <w:t xml:space="preserve"> </w:t>
      </w:r>
      <w:r w:rsidRPr="002A0914">
        <w:rPr>
          <w:rFonts w:cs="Times New Roman"/>
          <w:lang w:val="fr-CA"/>
        </w:rPr>
        <w:t xml:space="preserve">quasi constitutionnel de la </w:t>
      </w:r>
      <w:r w:rsidRPr="002A0914">
        <w:rPr>
          <w:rFonts w:cs="Times New Roman"/>
          <w:i/>
          <w:lang w:val="fr-CA"/>
        </w:rPr>
        <w:t xml:space="preserve">Charte </w:t>
      </w:r>
      <w:r w:rsidRPr="002A0914">
        <w:rPr>
          <w:rFonts w:cs="Times New Roman"/>
          <w:lang w:val="fr-CA"/>
        </w:rPr>
        <w:t>québécoise et les similitudes qu</w:t>
      </w:r>
      <w:r>
        <w:rPr>
          <w:rFonts w:cs="Times New Roman"/>
          <w:lang w:val="fr-CA"/>
        </w:rPr>
        <w:t>’</w:t>
      </w:r>
      <w:r w:rsidRPr="002A0914">
        <w:rPr>
          <w:rFonts w:cs="Times New Roman"/>
          <w:lang w:val="fr-CA"/>
        </w:rPr>
        <w:t xml:space="preserve">elle présente avec la </w:t>
      </w:r>
      <w:r w:rsidRPr="002A0914">
        <w:rPr>
          <w:rFonts w:cs="Times New Roman"/>
          <w:i/>
          <w:lang w:val="fr-CA"/>
        </w:rPr>
        <w:t>Charte</w:t>
      </w:r>
      <w:r w:rsidRPr="002A0914">
        <w:rPr>
          <w:rFonts w:cs="Times New Roman"/>
          <w:lang w:val="fr-CA"/>
        </w:rPr>
        <w:t xml:space="preserve"> canadienne sur les plans de la dérogation, de l</w:t>
      </w:r>
      <w:r>
        <w:rPr>
          <w:rFonts w:cs="Times New Roman"/>
          <w:lang w:val="fr-CA"/>
        </w:rPr>
        <w:t>’</w:t>
      </w:r>
      <w:r w:rsidRPr="002A0914">
        <w:rPr>
          <w:rFonts w:cs="Times New Roman"/>
          <w:lang w:val="fr-CA"/>
        </w:rPr>
        <w:t>interprétation et de la justification, le rôle d</w:t>
      </w:r>
      <w:r>
        <w:rPr>
          <w:rFonts w:cs="Times New Roman"/>
          <w:lang w:val="fr-CA"/>
        </w:rPr>
        <w:t>’</w:t>
      </w:r>
      <w:r w:rsidRPr="002A0914">
        <w:rPr>
          <w:rFonts w:cs="Times New Roman"/>
          <w:lang w:val="fr-CA"/>
        </w:rPr>
        <w:t>interprétation des tribunaux devrait se jouer de façon semblable à l</w:t>
      </w:r>
      <w:r>
        <w:rPr>
          <w:rFonts w:cs="Times New Roman"/>
          <w:lang w:val="fr-CA"/>
        </w:rPr>
        <w:t>’</w:t>
      </w:r>
      <w:r w:rsidRPr="002A0914">
        <w:rPr>
          <w:rFonts w:cs="Times New Roman"/>
          <w:lang w:val="fr-CA"/>
        </w:rPr>
        <w:t xml:space="preserve">égard de ces deux instruments. Une présomption générale de conformité à la </w:t>
      </w:r>
      <w:r w:rsidRPr="002A0914">
        <w:rPr>
          <w:rFonts w:cs="Times New Roman"/>
          <w:i/>
          <w:lang w:val="fr-CA"/>
        </w:rPr>
        <w:t>Charte</w:t>
      </w:r>
      <w:r w:rsidRPr="002A0914">
        <w:rPr>
          <w:rFonts w:cs="Times New Roman"/>
          <w:lang w:val="fr-CA"/>
        </w:rPr>
        <w:t xml:space="preserve"> québécoise</w:t>
      </w:r>
      <w:r w:rsidRPr="002A0914">
        <w:rPr>
          <w:rFonts w:cs="Times New Roman"/>
          <w:i/>
          <w:lang w:val="fr-CA"/>
        </w:rPr>
        <w:t xml:space="preserve"> </w:t>
      </w:r>
      <w:r w:rsidRPr="002A0914">
        <w:rPr>
          <w:rFonts w:cs="Times New Roman"/>
          <w:lang w:val="fr-CA"/>
        </w:rPr>
        <w:t>pourrait « </w:t>
      </w:r>
      <w:r w:rsidRPr="002A0914">
        <w:rPr>
          <w:rFonts w:cs="Times New Roman"/>
          <w:lang w:val="fr-FR"/>
        </w:rPr>
        <w:t>contrecarrer le respect de l</w:t>
      </w:r>
      <w:r>
        <w:rPr>
          <w:rFonts w:cs="Times New Roman"/>
          <w:lang w:val="fr-FR"/>
        </w:rPr>
        <w:t>’</w:t>
      </w:r>
      <w:r w:rsidRPr="002A0914">
        <w:rPr>
          <w:rFonts w:cs="Times New Roman"/>
          <w:lang w:val="fr-FR"/>
        </w:rPr>
        <w:t>intention véritable du législateur, contrairement à ce que prescrit la démarche privilégiée en matière d</w:t>
      </w:r>
      <w:r>
        <w:rPr>
          <w:rFonts w:cs="Times New Roman"/>
          <w:lang w:val="fr-FR"/>
        </w:rPr>
        <w:t>’</w:t>
      </w:r>
      <w:r w:rsidRPr="002A0914">
        <w:rPr>
          <w:rFonts w:cs="Times New Roman"/>
          <w:lang w:val="fr-FR"/>
        </w:rPr>
        <w:t>interprétation législative</w:t>
      </w:r>
      <w:r w:rsidRPr="002A0914">
        <w:rPr>
          <w:rFonts w:cs="Times New Roman"/>
          <w:lang w:val="fr-CA"/>
        </w:rPr>
        <w:t xml:space="preserve"> » </w:t>
      </w:r>
      <w:r w:rsidRPr="002A0914">
        <w:rPr>
          <w:rFonts w:cs="Times New Roman"/>
          <w:i/>
          <w:lang w:val="fr-CA"/>
        </w:rPr>
        <w:t>(Bell ExpressVu</w:t>
      </w:r>
      <w:r w:rsidRPr="002A0914">
        <w:rPr>
          <w:rFonts w:cs="Times New Roman"/>
          <w:lang w:val="fr-CA"/>
        </w:rPr>
        <w:t>,</w:t>
      </w:r>
      <w:r w:rsidRPr="002A0914">
        <w:rPr>
          <w:rFonts w:cs="Times New Roman"/>
          <w:i/>
          <w:lang w:val="fr-CA"/>
        </w:rPr>
        <w:t xml:space="preserve"> </w:t>
      </w:r>
      <w:r w:rsidRPr="002A0914">
        <w:rPr>
          <w:rFonts w:cs="Times New Roman"/>
          <w:lang w:val="fr-CA"/>
        </w:rPr>
        <w:t xml:space="preserve">par. 64), tout comme une telle présomption générale pourrait le faire dans le cas de la </w:t>
      </w:r>
      <w:r w:rsidRPr="002A0914">
        <w:rPr>
          <w:rFonts w:cs="Times New Roman"/>
          <w:i/>
          <w:lang w:val="fr-CA"/>
        </w:rPr>
        <w:t>Charte</w:t>
      </w:r>
      <w:r w:rsidRPr="002A0914">
        <w:rPr>
          <w:rFonts w:cs="Times New Roman"/>
          <w:lang w:val="fr-CA"/>
        </w:rPr>
        <w:t xml:space="preserve"> canadienne.</w:t>
      </w:r>
    </w:p>
    <w:p w:rsidR="00730DBB" w:rsidRPr="002A0914" w:rsidRDefault="00730DBB" w:rsidP="00730DBB">
      <w:pPr>
        <w:pStyle w:val="ParaNoNdepar-AltN"/>
        <w:rPr>
          <w:rFonts w:cs="Times New Roman"/>
          <w:lang w:val="fr-CA"/>
        </w:rPr>
      </w:pPr>
      <w:r w:rsidRPr="002A0914">
        <w:rPr>
          <w:rFonts w:cs="Times New Roman"/>
          <w:lang w:val="fr-CA"/>
        </w:rPr>
        <w:t>De plus, bien qu</w:t>
      </w:r>
      <w:r>
        <w:rPr>
          <w:rFonts w:cs="Times New Roman"/>
          <w:lang w:val="fr-CA"/>
        </w:rPr>
        <w:t>’</w:t>
      </w:r>
      <w:r w:rsidRPr="002A0914">
        <w:rPr>
          <w:rFonts w:cs="Times New Roman"/>
          <w:lang w:val="fr-CA"/>
        </w:rPr>
        <w:t>il soit possible, suivant l</w:t>
      </w:r>
      <w:r>
        <w:rPr>
          <w:rFonts w:cs="Times New Roman"/>
          <w:lang w:val="fr-CA"/>
        </w:rPr>
        <w:t>’</w:t>
      </w:r>
      <w:r w:rsidRPr="002A0914">
        <w:rPr>
          <w:rFonts w:cs="Times New Roman"/>
          <w:lang w:val="fr-CA"/>
        </w:rPr>
        <w:t xml:space="preserve">art. 53, de recourir à la </w:t>
      </w:r>
      <w:r w:rsidRPr="002A0914">
        <w:rPr>
          <w:rFonts w:cs="Times New Roman"/>
          <w:i/>
          <w:lang w:val="fr-CA"/>
        </w:rPr>
        <w:t xml:space="preserve">Charte </w:t>
      </w:r>
      <w:r w:rsidRPr="002A0914">
        <w:rPr>
          <w:rFonts w:cs="Times New Roman"/>
          <w:lang w:val="fr-CA"/>
        </w:rPr>
        <w:t>québécoise « [s]i un doute surgit dans l</w:t>
      </w:r>
      <w:r>
        <w:rPr>
          <w:rFonts w:cs="Times New Roman"/>
          <w:lang w:val="fr-CA"/>
        </w:rPr>
        <w:t>’</w:t>
      </w:r>
      <w:r w:rsidRPr="002A0914">
        <w:rPr>
          <w:rFonts w:cs="Times New Roman"/>
          <w:lang w:val="fr-CA"/>
        </w:rPr>
        <w:t>interprétation d</w:t>
      </w:r>
      <w:r>
        <w:rPr>
          <w:rFonts w:cs="Times New Roman"/>
          <w:lang w:val="fr-CA"/>
        </w:rPr>
        <w:t>’</w:t>
      </w:r>
      <w:r w:rsidRPr="002A0914">
        <w:rPr>
          <w:rFonts w:cs="Times New Roman"/>
          <w:lang w:val="fr-CA"/>
        </w:rPr>
        <w:t>une disposition » d</w:t>
      </w:r>
      <w:r>
        <w:rPr>
          <w:rFonts w:cs="Times New Roman"/>
          <w:lang w:val="fr-CA"/>
        </w:rPr>
        <w:t>’</w:t>
      </w:r>
      <w:r w:rsidRPr="002A0914">
        <w:rPr>
          <w:rFonts w:cs="Times New Roman"/>
          <w:lang w:val="fr-CA"/>
        </w:rPr>
        <w:t>une loi, l</w:t>
      </w:r>
      <w:r>
        <w:rPr>
          <w:rFonts w:cs="Times New Roman"/>
          <w:lang w:val="fr-CA"/>
        </w:rPr>
        <w:t>’</w:t>
      </w:r>
      <w:r w:rsidRPr="002A0914">
        <w:rPr>
          <w:rFonts w:cs="Times New Roman"/>
          <w:lang w:val="fr-CA"/>
        </w:rPr>
        <w:t xml:space="preserve">art. 51 de la </w:t>
      </w:r>
      <w:r w:rsidRPr="002A0914">
        <w:rPr>
          <w:rFonts w:cs="Times New Roman"/>
          <w:i/>
          <w:lang w:val="fr-CA"/>
        </w:rPr>
        <w:t>Charte</w:t>
      </w:r>
      <w:r w:rsidRPr="002A0914">
        <w:rPr>
          <w:rFonts w:cs="Times New Roman"/>
          <w:lang w:val="fr-CA"/>
        </w:rPr>
        <w:t xml:space="preserve"> québécoise</w:t>
      </w:r>
      <w:r w:rsidRPr="002A0914">
        <w:rPr>
          <w:rFonts w:cs="Times New Roman"/>
          <w:i/>
          <w:lang w:val="fr-CA"/>
        </w:rPr>
        <w:t xml:space="preserve"> </w:t>
      </w:r>
      <w:r w:rsidRPr="002A0914">
        <w:rPr>
          <w:rFonts w:cs="Times New Roman"/>
          <w:lang w:val="fr-CA"/>
        </w:rPr>
        <w:t>« </w:t>
      </w:r>
      <w:r w:rsidRPr="002A0914">
        <w:rPr>
          <w:rFonts w:cs="Times New Roman"/>
          <w:lang w:val="fr-FR"/>
        </w:rPr>
        <w:t xml:space="preserve">prend soin de préciser que la </w:t>
      </w:r>
      <w:r w:rsidRPr="002A0914">
        <w:rPr>
          <w:rFonts w:cs="Times New Roman"/>
          <w:i/>
          <w:lang w:val="fr-FR"/>
        </w:rPr>
        <w:t xml:space="preserve">Charte </w:t>
      </w:r>
      <w:r w:rsidRPr="002A0914">
        <w:rPr>
          <w:rFonts w:cs="Times New Roman"/>
          <w:lang w:val="fr-FR"/>
        </w:rPr>
        <w:t>[québécoise] ne doit pas, en règle générale, être interprétée de manière à augmenter ou modifier la portée d</w:t>
      </w:r>
      <w:r>
        <w:rPr>
          <w:rFonts w:cs="Times New Roman"/>
          <w:lang w:val="fr-FR"/>
        </w:rPr>
        <w:t>’</w:t>
      </w:r>
      <w:r w:rsidRPr="002A0914">
        <w:rPr>
          <w:rFonts w:cs="Times New Roman"/>
          <w:lang w:val="fr-FR"/>
        </w:rPr>
        <w:t>une disposition de la loi</w:t>
      </w:r>
      <w:r w:rsidRPr="002A0914">
        <w:rPr>
          <w:rFonts w:cs="Times New Roman"/>
          <w:lang w:val="fr-CA"/>
        </w:rPr>
        <w:t> » (</w:t>
      </w:r>
      <w:r w:rsidRPr="002A0914">
        <w:rPr>
          <w:rFonts w:cs="Times New Roman"/>
          <w:i/>
          <w:lang w:val="fr-CA"/>
        </w:rPr>
        <w:t>Béliveau St</w:t>
      </w:r>
      <w:r w:rsidRPr="002A0914">
        <w:rPr>
          <w:rFonts w:cs="Times New Roman"/>
          <w:i/>
          <w:lang w:val="fr-CA"/>
        </w:rPr>
        <w:noBreakHyphen/>
        <w:t xml:space="preserve">Jacques c. Fédération des employées </w:t>
      </w:r>
      <w:r w:rsidRPr="002A0914">
        <w:rPr>
          <w:rFonts w:cs="Times New Roman"/>
          <w:i/>
          <w:lang w:val="fr-CA"/>
        </w:rPr>
        <w:lastRenderedPageBreak/>
        <w:t>et employés de services publics inc.</w:t>
      </w:r>
      <w:r w:rsidRPr="002A0914">
        <w:rPr>
          <w:rFonts w:cs="Times New Roman"/>
          <w:lang w:val="fr-CA"/>
        </w:rPr>
        <w:t>,</w:t>
      </w:r>
      <w:r w:rsidRPr="002A0914">
        <w:rPr>
          <w:rFonts w:cs="Times New Roman"/>
          <w:i/>
          <w:lang w:val="fr-CA"/>
        </w:rPr>
        <w:t xml:space="preserve"> </w:t>
      </w:r>
      <w:r w:rsidRPr="002A0914">
        <w:rPr>
          <w:rFonts w:cs="Times New Roman"/>
          <w:lang w:val="fr-CA"/>
        </w:rPr>
        <w:t>[1996] 2 R.C.S. 345, par. 131). Soit dit en tout respect, l</w:t>
      </w:r>
      <w:r>
        <w:rPr>
          <w:rFonts w:cs="Times New Roman"/>
          <w:lang w:val="fr-CA"/>
        </w:rPr>
        <w:t>’</w:t>
      </w:r>
      <w:r w:rsidRPr="002A0914">
        <w:rPr>
          <w:rFonts w:cs="Times New Roman"/>
          <w:lang w:val="fr-CA"/>
        </w:rPr>
        <w:t>approche de ma collègue entre en conflit avec ces règles.</w:t>
      </w:r>
    </w:p>
    <w:p w:rsidR="00730DBB" w:rsidRPr="002A0914" w:rsidRDefault="00730DBB" w:rsidP="00730DBB">
      <w:pPr>
        <w:pStyle w:val="ParaNoNdepar-AltN"/>
        <w:rPr>
          <w:rFonts w:cs="Times New Roman"/>
          <w:lang w:val="fr-CA"/>
        </w:rPr>
      </w:pPr>
      <w:r w:rsidRPr="002A0914">
        <w:rPr>
          <w:rFonts w:cs="Times New Roman"/>
          <w:lang w:val="fr-CA"/>
        </w:rPr>
        <w:t xml:space="preserve">Le cheminement analytique que je propose ressemble à celui suivi par les cours inférieures. Il est fondé sur la compétence de la CLP et du TAT en tant que tribunaux administratifs ayant le pouvoir de décider des questions de droit et de rendre des ordonnances propres à donner effet aux droits des parties. Cette approche préserve le caractère distinct des deux régimes et correspond à la réparation fondée sur la </w:t>
      </w:r>
      <w:r w:rsidRPr="002A0914">
        <w:rPr>
          <w:rFonts w:cs="Times New Roman"/>
          <w:i/>
          <w:lang w:val="fr-CA"/>
        </w:rPr>
        <w:t>Charte</w:t>
      </w:r>
      <w:r w:rsidRPr="002A0914">
        <w:rPr>
          <w:rFonts w:cs="Times New Roman"/>
          <w:lang w:val="fr-CA"/>
        </w:rPr>
        <w:t xml:space="preserve"> québécoise que M. Caron a demandée à la CLP.</w:t>
      </w:r>
    </w:p>
    <w:p w:rsidR="00730DBB" w:rsidRPr="002A0914" w:rsidRDefault="00730DBB" w:rsidP="00730DBB">
      <w:pPr>
        <w:pStyle w:val="Title1LevelTitre1Niveau-AltL"/>
        <w:numPr>
          <w:ilvl w:val="0"/>
          <w:numId w:val="8"/>
        </w:numPr>
        <w:jc w:val="left"/>
        <w:rPr>
          <w:rFonts w:cs="Times New Roman"/>
          <w:lang w:val="fr-CA"/>
        </w:rPr>
      </w:pPr>
      <w:r w:rsidRPr="002A0914">
        <w:rPr>
          <w:rFonts w:cs="Times New Roman"/>
          <w:lang w:val="fr-CA"/>
        </w:rPr>
        <w:t>Faits</w:t>
      </w:r>
    </w:p>
    <w:p w:rsidR="00730DBB" w:rsidRPr="002A0914" w:rsidRDefault="00730DBB" w:rsidP="00730DBB">
      <w:pPr>
        <w:pStyle w:val="ParaNoNdepar-AltN"/>
        <w:rPr>
          <w:rFonts w:cs="Times New Roman"/>
          <w:lang w:val="fr-CA"/>
        </w:rPr>
      </w:pPr>
      <w:r w:rsidRPr="002A0914">
        <w:rPr>
          <w:rFonts w:cs="Times New Roman"/>
          <w:lang w:val="fr-CA"/>
        </w:rPr>
        <w:t>Le 20 octobre 2004, l</w:t>
      </w:r>
      <w:r>
        <w:rPr>
          <w:rFonts w:cs="Times New Roman"/>
          <w:lang w:val="fr-CA"/>
        </w:rPr>
        <w:t>’</w:t>
      </w:r>
      <w:r w:rsidRPr="002A0914">
        <w:rPr>
          <w:rFonts w:cs="Times New Roman"/>
          <w:lang w:val="fr-CA"/>
        </w:rPr>
        <w:t>intimé, M. Alain Caron, a développé une épicondylite (aussi appelée « coude du joueur de tennis ») alors qu</w:t>
      </w:r>
      <w:r>
        <w:rPr>
          <w:rFonts w:cs="Times New Roman"/>
          <w:lang w:val="fr-CA"/>
        </w:rPr>
        <w:t>’</w:t>
      </w:r>
      <w:r w:rsidRPr="002A0914">
        <w:rPr>
          <w:rFonts w:cs="Times New Roman"/>
          <w:lang w:val="fr-CA"/>
        </w:rPr>
        <w:t>il exerçait ses fonctions d</w:t>
      </w:r>
      <w:r>
        <w:rPr>
          <w:rFonts w:cs="Times New Roman"/>
          <w:lang w:val="fr-CA"/>
        </w:rPr>
        <w:t>’</w:t>
      </w:r>
      <w:r w:rsidRPr="002A0914">
        <w:rPr>
          <w:rFonts w:cs="Times New Roman"/>
          <w:lang w:val="fr-CA"/>
        </w:rPr>
        <w:t>éducateur spécialisé au Centre Miriam, un centre pour personnes ayant des déficiences intellectuelles. Il a été affecté temporairement, le lendemain, au poste de chef d</w:t>
      </w:r>
      <w:r>
        <w:rPr>
          <w:rFonts w:cs="Times New Roman"/>
          <w:lang w:val="fr-CA"/>
        </w:rPr>
        <w:t>’</w:t>
      </w:r>
      <w:r w:rsidRPr="002A0914">
        <w:rPr>
          <w:rFonts w:cs="Times New Roman"/>
          <w:lang w:val="fr-CA"/>
        </w:rPr>
        <w:t>équipe du quart de nuit. Cette affectation a été rendue possible en raison des besoins du Centre Miriam à ce moment</w:t>
      </w:r>
      <w:r w:rsidRPr="002A0914">
        <w:rPr>
          <w:rFonts w:cs="Times New Roman"/>
          <w:lang w:val="fr-CA"/>
        </w:rPr>
        <w:noBreakHyphen/>
        <w:t>là; il recevait des patients transférés d</w:t>
      </w:r>
      <w:r>
        <w:rPr>
          <w:rFonts w:cs="Times New Roman"/>
          <w:lang w:val="fr-CA"/>
        </w:rPr>
        <w:t>’</w:t>
      </w:r>
      <w:r w:rsidRPr="002A0914">
        <w:rPr>
          <w:rFonts w:cs="Times New Roman"/>
          <w:lang w:val="fr-CA"/>
        </w:rPr>
        <w:t>un autre hôpital.</w:t>
      </w:r>
    </w:p>
    <w:p w:rsidR="00730DBB" w:rsidRPr="002A0914" w:rsidRDefault="00730DBB" w:rsidP="00730DBB">
      <w:pPr>
        <w:pStyle w:val="ParaNoNdepar-AltN"/>
        <w:rPr>
          <w:rFonts w:cs="Times New Roman"/>
          <w:lang w:val="fr-CA"/>
        </w:rPr>
      </w:pPr>
      <w:r w:rsidRPr="002A0914">
        <w:rPr>
          <w:rFonts w:cs="Times New Roman"/>
          <w:lang w:val="fr-CA"/>
        </w:rPr>
        <w:t>Le 6 octobre 2006, la Commission de la santé et de la sécurité du travail (« CSST ») a décidé que la lésion professionnelle était consolidée et laissait une atteinte permanente et des limitations fonctionnelles. Le 5 octobre 2007, le Centre Miriam a mis fin à l</w:t>
      </w:r>
      <w:r>
        <w:rPr>
          <w:rFonts w:cs="Times New Roman"/>
          <w:lang w:val="fr-CA"/>
        </w:rPr>
        <w:t>’</w:t>
      </w:r>
      <w:r w:rsidRPr="002A0914">
        <w:rPr>
          <w:rFonts w:cs="Times New Roman"/>
          <w:lang w:val="fr-CA"/>
        </w:rPr>
        <w:t xml:space="preserve">affectation temporaire de M. Caron parce que le processus de transfert des </w:t>
      </w:r>
      <w:r w:rsidRPr="002A0914">
        <w:rPr>
          <w:rFonts w:cs="Times New Roman"/>
          <w:lang w:val="fr-CA"/>
        </w:rPr>
        <w:lastRenderedPageBreak/>
        <w:t>patients était terminé. La CSST a décidé à ce stade que M. Caron pouvait réintégrer son emploi antérieur. Cette décision a été contestée par le Centre Miriam; elle a été infirmée par la CLP en 2009.</w:t>
      </w:r>
    </w:p>
    <w:p w:rsidR="00730DBB" w:rsidRPr="002A0914" w:rsidRDefault="00730DBB" w:rsidP="00730DBB">
      <w:pPr>
        <w:pStyle w:val="ParaNoNdepar-AltN"/>
        <w:rPr>
          <w:rFonts w:cs="Times New Roman"/>
          <w:lang w:val="fr-CA"/>
        </w:rPr>
      </w:pPr>
      <w:r w:rsidRPr="002A0914">
        <w:rPr>
          <w:rFonts w:cs="Times New Roman"/>
          <w:lang w:val="fr-CA"/>
        </w:rPr>
        <w:t>Le 16 avril 2010, le Centre Miriam a informé la CSST qu</w:t>
      </w:r>
      <w:r>
        <w:rPr>
          <w:rFonts w:cs="Times New Roman"/>
          <w:lang w:val="fr-CA"/>
        </w:rPr>
        <w:t>’</w:t>
      </w:r>
      <w:r w:rsidRPr="002A0914">
        <w:rPr>
          <w:rFonts w:cs="Times New Roman"/>
          <w:lang w:val="fr-CA"/>
        </w:rPr>
        <w:t>il n</w:t>
      </w:r>
      <w:r>
        <w:rPr>
          <w:rFonts w:cs="Times New Roman"/>
          <w:lang w:val="fr-CA"/>
        </w:rPr>
        <w:t>’</w:t>
      </w:r>
      <w:r w:rsidRPr="002A0914">
        <w:rPr>
          <w:rFonts w:cs="Times New Roman"/>
          <w:lang w:val="fr-CA"/>
        </w:rPr>
        <w:t>avait aucun emploi convenable à offrir à M. Caron, ce qui a été contesté par le syndicat de M. Caron au motif que le Centre Miriam aurait dû tenir compte de son obligation d</w:t>
      </w:r>
      <w:r>
        <w:rPr>
          <w:rFonts w:cs="Times New Roman"/>
          <w:lang w:val="fr-CA"/>
        </w:rPr>
        <w:t>’</w:t>
      </w:r>
      <w:r w:rsidRPr="002A0914">
        <w:rPr>
          <w:rFonts w:cs="Times New Roman"/>
          <w:lang w:val="fr-CA"/>
        </w:rPr>
        <w:t xml:space="preserve">accommodement découlant de la </w:t>
      </w:r>
      <w:r w:rsidRPr="002A0914">
        <w:rPr>
          <w:rFonts w:cs="Times New Roman"/>
          <w:i/>
          <w:lang w:val="fr-CA"/>
        </w:rPr>
        <w:t>Charte</w:t>
      </w:r>
      <w:r w:rsidRPr="002A0914">
        <w:rPr>
          <w:rFonts w:cs="Times New Roman"/>
          <w:lang w:val="fr-CA"/>
        </w:rPr>
        <w:t xml:space="preserve"> québécoise pour déterminer s</w:t>
      </w:r>
      <w:r>
        <w:rPr>
          <w:rFonts w:cs="Times New Roman"/>
          <w:lang w:val="fr-CA"/>
        </w:rPr>
        <w:t>’</w:t>
      </w:r>
      <w:r w:rsidRPr="002A0914">
        <w:rPr>
          <w:rFonts w:cs="Times New Roman"/>
          <w:lang w:val="fr-CA"/>
        </w:rPr>
        <w:t>il existait un emploi convenable. Selon le syndicat, deux postes auraient pu être offerts à M. Caron si le Centre Miriam l</w:t>
      </w:r>
      <w:r>
        <w:rPr>
          <w:rFonts w:cs="Times New Roman"/>
          <w:lang w:val="fr-CA"/>
        </w:rPr>
        <w:t>’</w:t>
      </w:r>
      <w:r w:rsidRPr="002A0914">
        <w:rPr>
          <w:rFonts w:cs="Times New Roman"/>
          <w:lang w:val="fr-CA"/>
        </w:rPr>
        <w:t>avait fait. La CSST a donné raison au Centre Miriam, pour le motif que la Loi constitue un régime d</w:t>
      </w:r>
      <w:r>
        <w:rPr>
          <w:rFonts w:cs="Times New Roman"/>
          <w:lang w:val="fr-CA"/>
        </w:rPr>
        <w:t>’</w:t>
      </w:r>
      <w:r w:rsidRPr="002A0914">
        <w:rPr>
          <w:rFonts w:cs="Times New Roman"/>
          <w:lang w:val="fr-CA"/>
        </w:rPr>
        <w:t>accommodement complet pour les lésions professionnelles. Selon la CSST, il n</w:t>
      </w:r>
      <w:r>
        <w:rPr>
          <w:rFonts w:cs="Times New Roman"/>
          <w:lang w:val="fr-CA"/>
        </w:rPr>
        <w:t>’</w:t>
      </w:r>
      <w:r w:rsidRPr="002A0914">
        <w:rPr>
          <w:rFonts w:cs="Times New Roman"/>
          <w:lang w:val="fr-CA"/>
        </w:rPr>
        <w:t xml:space="preserve">est donc pas nécessaire de recourir à la </w:t>
      </w:r>
      <w:r w:rsidRPr="002A0914">
        <w:rPr>
          <w:rFonts w:cs="Times New Roman"/>
          <w:i/>
          <w:lang w:val="fr-CA"/>
        </w:rPr>
        <w:t xml:space="preserve">Charte </w:t>
      </w:r>
      <w:r w:rsidRPr="002A0914">
        <w:rPr>
          <w:rFonts w:cs="Times New Roman"/>
          <w:lang w:val="fr-CA"/>
        </w:rPr>
        <w:t>québécoise pour compléter ce qui est prévu par la Loi. Le Centre Miriam a mis fin à l</w:t>
      </w:r>
      <w:r>
        <w:rPr>
          <w:rFonts w:cs="Times New Roman"/>
          <w:lang w:val="fr-CA"/>
        </w:rPr>
        <w:t>’</w:t>
      </w:r>
      <w:r w:rsidRPr="002A0914">
        <w:rPr>
          <w:rFonts w:cs="Times New Roman"/>
          <w:lang w:val="fr-CA"/>
        </w:rPr>
        <w:t>emploi de M. Caron peu de temps après.</w:t>
      </w:r>
    </w:p>
    <w:p w:rsidR="00730DBB" w:rsidRPr="002A0914" w:rsidRDefault="00730DBB" w:rsidP="00730DBB">
      <w:pPr>
        <w:pStyle w:val="ParaNoNdepar-AltN"/>
        <w:rPr>
          <w:rFonts w:cs="Times New Roman"/>
          <w:lang w:val="fr-CA"/>
        </w:rPr>
      </w:pPr>
      <w:r w:rsidRPr="002A0914">
        <w:rPr>
          <w:rFonts w:cs="Times New Roman"/>
          <w:lang w:val="fr-CA"/>
        </w:rPr>
        <w:t>M. Caron a contesté la décision de la CSST devant la CLP. C</w:t>
      </w:r>
      <w:r>
        <w:rPr>
          <w:rFonts w:cs="Times New Roman"/>
          <w:lang w:val="fr-CA"/>
        </w:rPr>
        <w:t>’</w:t>
      </w:r>
      <w:r w:rsidRPr="002A0914">
        <w:rPr>
          <w:rFonts w:cs="Times New Roman"/>
          <w:lang w:val="fr-CA"/>
        </w:rPr>
        <w:t>est cette décision qui fait l</w:t>
      </w:r>
      <w:r>
        <w:rPr>
          <w:rFonts w:cs="Times New Roman"/>
          <w:lang w:val="fr-CA"/>
        </w:rPr>
        <w:t>’</w:t>
      </w:r>
      <w:r w:rsidRPr="002A0914">
        <w:rPr>
          <w:rFonts w:cs="Times New Roman"/>
          <w:lang w:val="fr-CA"/>
        </w:rPr>
        <w:t>objet d</w:t>
      </w:r>
      <w:r>
        <w:rPr>
          <w:rFonts w:cs="Times New Roman"/>
          <w:lang w:val="fr-CA"/>
        </w:rPr>
        <w:t>’</w:t>
      </w:r>
      <w:r w:rsidRPr="002A0914">
        <w:rPr>
          <w:rFonts w:cs="Times New Roman"/>
          <w:lang w:val="fr-CA"/>
        </w:rPr>
        <w:t>un contrôle judiciaire.</w:t>
      </w:r>
    </w:p>
    <w:p w:rsidR="00730DBB" w:rsidRPr="002A0914" w:rsidRDefault="00730DBB" w:rsidP="00730DBB">
      <w:pPr>
        <w:pStyle w:val="Title1LevelTitre1Niveau-AltL"/>
        <w:numPr>
          <w:ilvl w:val="0"/>
          <w:numId w:val="8"/>
        </w:numPr>
        <w:jc w:val="left"/>
        <w:rPr>
          <w:rFonts w:cs="Times New Roman"/>
          <w:lang w:val="fr-CA"/>
        </w:rPr>
      </w:pPr>
      <w:r w:rsidRPr="002A0914">
        <w:rPr>
          <w:rFonts w:cs="Times New Roman"/>
          <w:lang w:val="fr-CA"/>
        </w:rPr>
        <w:t>Historique judiciaire</w:t>
      </w:r>
    </w:p>
    <w:p w:rsidR="00730DBB" w:rsidRPr="002A0914" w:rsidRDefault="00730DBB" w:rsidP="00C7431F">
      <w:pPr>
        <w:pStyle w:val="Title2LevelTitre2Niveau"/>
        <w:numPr>
          <w:ilvl w:val="1"/>
          <w:numId w:val="8"/>
        </w:numPr>
        <w:rPr>
          <w:rFonts w:cs="Times New Roman"/>
          <w:lang w:val="fr-CA"/>
        </w:rPr>
      </w:pPr>
      <w:r w:rsidRPr="002A0914">
        <w:rPr>
          <w:rFonts w:cs="Times New Roman"/>
          <w:lang w:val="fr-CA"/>
        </w:rPr>
        <w:t>Commission des lésions professionnelles, 2012 QCCLP 3625, [2012] C.L.P. 173</w:t>
      </w:r>
    </w:p>
    <w:p w:rsidR="00730DBB" w:rsidRPr="002A0914" w:rsidRDefault="00730DBB" w:rsidP="00730DBB">
      <w:pPr>
        <w:pStyle w:val="ParaNoNdepar-AltN"/>
        <w:rPr>
          <w:rFonts w:cs="Times New Roman"/>
          <w:lang w:val="fr-CA"/>
        </w:rPr>
      </w:pPr>
      <w:r w:rsidRPr="002A0914">
        <w:rPr>
          <w:rFonts w:cs="Times New Roman"/>
          <w:lang w:val="fr-CA"/>
        </w:rPr>
        <w:lastRenderedPageBreak/>
        <w:t>Dans sa décision, la CLP a reconnu qu</w:t>
      </w:r>
      <w:r>
        <w:rPr>
          <w:rFonts w:cs="Times New Roman"/>
          <w:lang w:val="fr-CA"/>
        </w:rPr>
        <w:t>’</w:t>
      </w:r>
      <w:r w:rsidRPr="002A0914">
        <w:rPr>
          <w:rFonts w:cs="Times New Roman"/>
          <w:lang w:val="fr-CA"/>
        </w:rPr>
        <w:t>elle avait le pouvoir de décider de toute question de droit nécessaire à l</w:t>
      </w:r>
      <w:r>
        <w:rPr>
          <w:rFonts w:cs="Times New Roman"/>
          <w:lang w:val="fr-CA"/>
        </w:rPr>
        <w:t>’</w:t>
      </w:r>
      <w:r w:rsidRPr="002A0914">
        <w:rPr>
          <w:rFonts w:cs="Times New Roman"/>
          <w:lang w:val="fr-CA"/>
        </w:rPr>
        <w:t>exercice de sa compétence et que cela comportait le pouvoir et le devoir d</w:t>
      </w:r>
      <w:r>
        <w:rPr>
          <w:rFonts w:cs="Times New Roman"/>
          <w:lang w:val="fr-CA"/>
        </w:rPr>
        <w:t>’</w:t>
      </w:r>
      <w:r w:rsidRPr="002A0914">
        <w:rPr>
          <w:rFonts w:cs="Times New Roman"/>
          <w:lang w:val="fr-CA"/>
        </w:rPr>
        <w:t xml:space="preserve">appliquer la </w:t>
      </w:r>
      <w:r w:rsidRPr="002A0914">
        <w:rPr>
          <w:rFonts w:cs="Times New Roman"/>
          <w:i/>
          <w:lang w:val="fr-CA"/>
        </w:rPr>
        <w:t xml:space="preserve">Charte </w:t>
      </w:r>
      <w:r w:rsidRPr="002A0914">
        <w:rPr>
          <w:rFonts w:cs="Times New Roman"/>
          <w:lang w:val="fr-CA"/>
        </w:rPr>
        <w:t>québécoise.</w:t>
      </w:r>
    </w:p>
    <w:p w:rsidR="00730DBB" w:rsidRPr="002A0914" w:rsidRDefault="00730DBB" w:rsidP="00730DBB">
      <w:pPr>
        <w:pStyle w:val="ParaNoNdepar-AltN"/>
        <w:rPr>
          <w:rFonts w:cs="Times New Roman"/>
          <w:lang w:val="fr-CA"/>
        </w:rPr>
      </w:pPr>
      <w:r w:rsidRPr="002A0914">
        <w:rPr>
          <w:rFonts w:cs="Times New Roman"/>
          <w:lang w:val="fr-CA"/>
        </w:rPr>
        <w:t>Toutefois, la CLP a estimé qu</w:t>
      </w:r>
      <w:r>
        <w:rPr>
          <w:rFonts w:cs="Times New Roman"/>
          <w:lang w:val="fr-CA"/>
        </w:rPr>
        <w:t>’</w:t>
      </w:r>
      <w:r w:rsidRPr="002A0914">
        <w:rPr>
          <w:rFonts w:cs="Times New Roman"/>
          <w:lang w:val="fr-CA"/>
        </w:rPr>
        <w:t>elle était liée par la jurisprudence de la Cour d</w:t>
      </w:r>
      <w:r>
        <w:rPr>
          <w:rFonts w:cs="Times New Roman"/>
          <w:lang w:val="fr-CA"/>
        </w:rPr>
        <w:t>’</w:t>
      </w:r>
      <w:r w:rsidRPr="002A0914">
        <w:rPr>
          <w:rFonts w:cs="Times New Roman"/>
          <w:lang w:val="fr-CA"/>
        </w:rPr>
        <w:t>appel du Québec et par ses propres décisions selon lesquelles les mesures prévues par la Loi épuisent 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accommodement. Par conséquent, l</w:t>
      </w:r>
      <w:r>
        <w:rPr>
          <w:rFonts w:cs="Times New Roman"/>
          <w:lang w:val="fr-CA"/>
        </w:rPr>
        <w:t>’</w:t>
      </w:r>
      <w:r w:rsidRPr="002A0914">
        <w:rPr>
          <w:rFonts w:cs="Times New Roman"/>
          <w:lang w:val="fr-CA"/>
        </w:rPr>
        <w:t>employeur n</w:t>
      </w:r>
      <w:r>
        <w:rPr>
          <w:rFonts w:cs="Times New Roman"/>
          <w:lang w:val="fr-CA"/>
        </w:rPr>
        <w:t>’</w:t>
      </w:r>
      <w:r w:rsidRPr="002A0914">
        <w:rPr>
          <w:rFonts w:cs="Times New Roman"/>
          <w:lang w:val="fr-CA"/>
        </w:rPr>
        <w:t>était pas tenu d</w:t>
      </w:r>
      <w:r>
        <w:rPr>
          <w:rFonts w:cs="Times New Roman"/>
          <w:lang w:val="fr-CA"/>
        </w:rPr>
        <w:t>’</w:t>
      </w:r>
      <w:r w:rsidRPr="002A0914">
        <w:rPr>
          <w:rFonts w:cs="Times New Roman"/>
          <w:lang w:val="fr-CA"/>
        </w:rPr>
        <w:t>accommoder M. Caron au</w:t>
      </w:r>
      <w:r w:rsidRPr="002A0914">
        <w:rPr>
          <w:rFonts w:cs="Times New Roman"/>
          <w:lang w:val="fr-CA"/>
        </w:rPr>
        <w:noBreakHyphen/>
        <w:t>delà de ce que prévoyait la Loi. La CLP a également décidé que le droit au travail que la Loi conférait à M. Caron était expiré. La CLP n</w:t>
      </w:r>
      <w:r>
        <w:rPr>
          <w:rFonts w:cs="Times New Roman"/>
          <w:lang w:val="fr-CA"/>
        </w:rPr>
        <w:t>’</w:t>
      </w:r>
      <w:r w:rsidRPr="002A0914">
        <w:rPr>
          <w:rFonts w:cs="Times New Roman"/>
          <w:lang w:val="fr-CA"/>
        </w:rPr>
        <w:t>a donc accordé aucune réparation à M. Caron; elle a rejeté son appel.</w:t>
      </w:r>
    </w:p>
    <w:p w:rsidR="00730DBB" w:rsidRPr="002A0914" w:rsidRDefault="00730DBB" w:rsidP="00730DBB">
      <w:pPr>
        <w:pStyle w:val="Title2LevelTitre2Niveau"/>
        <w:numPr>
          <w:ilvl w:val="1"/>
          <w:numId w:val="8"/>
        </w:numPr>
        <w:jc w:val="left"/>
        <w:rPr>
          <w:rFonts w:cs="Times New Roman"/>
          <w:lang w:val="fr-CA"/>
        </w:rPr>
      </w:pPr>
      <w:r w:rsidRPr="002A0914">
        <w:rPr>
          <w:rFonts w:cs="Times New Roman"/>
          <w:lang w:val="fr-CA"/>
        </w:rPr>
        <w:t>Cour supérieure du Québec, 2014 QCCS 2580</w:t>
      </w:r>
    </w:p>
    <w:p w:rsidR="00730DBB" w:rsidRPr="002A0914" w:rsidRDefault="00730DBB" w:rsidP="00730DBB">
      <w:pPr>
        <w:pStyle w:val="ParaNoNdepar-AltN"/>
        <w:rPr>
          <w:rFonts w:cs="Times New Roman"/>
          <w:lang w:val="fr-CA"/>
        </w:rPr>
      </w:pPr>
      <w:r w:rsidRPr="002A0914">
        <w:rPr>
          <w:rFonts w:cs="Times New Roman"/>
          <w:lang w:val="fr-CA"/>
        </w:rPr>
        <w:t>M. Caron a présenté une demande de contrôle judiciaire à la Cour supérieure. Le juge Dugré a conclu que la norme de contrôle applicable était celle de la décision raisonnable. À son avis, il s</w:t>
      </w:r>
      <w:r>
        <w:rPr>
          <w:rFonts w:cs="Times New Roman"/>
          <w:lang w:val="fr-CA"/>
        </w:rPr>
        <w:t>’</w:t>
      </w:r>
      <w:r w:rsidRPr="002A0914">
        <w:rPr>
          <w:rFonts w:cs="Times New Roman"/>
          <w:lang w:val="fr-CA"/>
        </w:rPr>
        <w:t>agissait non pas d</w:t>
      </w:r>
      <w:r>
        <w:rPr>
          <w:rFonts w:cs="Times New Roman"/>
          <w:lang w:val="fr-CA"/>
        </w:rPr>
        <w:t>’</w:t>
      </w:r>
      <w:r w:rsidRPr="002A0914">
        <w:rPr>
          <w:rFonts w:cs="Times New Roman"/>
          <w:lang w:val="fr-CA"/>
        </w:rPr>
        <w:t xml:space="preserve">une question de compétence, mais plutôt de savoir si la CLP avait rendu une décision qui établissait un équilibre raisonnable entre les valeurs de la </w:t>
      </w:r>
      <w:r w:rsidRPr="002A0914">
        <w:rPr>
          <w:rFonts w:cs="Times New Roman"/>
          <w:i/>
          <w:lang w:val="fr-CA"/>
        </w:rPr>
        <w:t>Charte</w:t>
      </w:r>
      <w:r w:rsidRPr="002A0914">
        <w:rPr>
          <w:rFonts w:cs="Times New Roman"/>
          <w:lang w:val="fr-CA"/>
        </w:rPr>
        <w:t xml:space="preserve"> québécoise et la Loi.</w:t>
      </w:r>
    </w:p>
    <w:p w:rsidR="00730DBB" w:rsidRPr="002A0914" w:rsidRDefault="00730DBB" w:rsidP="00730DBB">
      <w:pPr>
        <w:pStyle w:val="ParaNoNdepar-AltN"/>
        <w:rPr>
          <w:rFonts w:cs="Times New Roman"/>
          <w:lang w:val="fr-CA"/>
        </w:rPr>
      </w:pPr>
      <w:r w:rsidRPr="002A0914">
        <w:rPr>
          <w:rFonts w:cs="Times New Roman"/>
          <w:lang w:val="fr-CA"/>
        </w:rPr>
        <w:t>Il a estimé que la décision de la CLP était déraisonnable. À son avis, la CLP a confondu la question de savoir si l</w:t>
      </w:r>
      <w:r>
        <w:rPr>
          <w:rFonts w:cs="Times New Roman"/>
          <w:lang w:val="fr-CA"/>
        </w:rPr>
        <w:t>’</w:t>
      </w:r>
      <w:r w:rsidRPr="002A0914">
        <w:rPr>
          <w:rFonts w:cs="Times New Roman"/>
          <w:lang w:val="fr-CA"/>
        </w:rPr>
        <w:t xml:space="preserve">employeur avait respecté les obligations que lui imposait la </w:t>
      </w:r>
      <w:r w:rsidRPr="002A0914">
        <w:rPr>
          <w:rFonts w:cs="Times New Roman"/>
          <w:i/>
          <w:lang w:val="fr-CA"/>
        </w:rPr>
        <w:t>Charte</w:t>
      </w:r>
      <w:r w:rsidRPr="002A0914">
        <w:rPr>
          <w:rFonts w:cs="Times New Roman"/>
          <w:lang w:val="fr-CA"/>
        </w:rPr>
        <w:t xml:space="preserve"> québécoise</w:t>
      </w:r>
      <w:r w:rsidRPr="002A0914">
        <w:rPr>
          <w:rFonts w:cs="Times New Roman"/>
          <w:i/>
          <w:lang w:val="fr-CA"/>
        </w:rPr>
        <w:t xml:space="preserve"> </w:t>
      </w:r>
      <w:r w:rsidRPr="002A0914">
        <w:rPr>
          <w:rFonts w:cs="Times New Roman"/>
          <w:lang w:val="fr-CA"/>
        </w:rPr>
        <w:t xml:space="preserve">et la question de savoir si la Loi était conforme à la </w:t>
      </w:r>
      <w:r w:rsidRPr="002A0914">
        <w:rPr>
          <w:rFonts w:cs="Times New Roman"/>
          <w:i/>
          <w:lang w:val="fr-CA"/>
        </w:rPr>
        <w:t>Charte</w:t>
      </w:r>
      <w:r w:rsidRPr="002A0914">
        <w:rPr>
          <w:rFonts w:cs="Times New Roman"/>
          <w:lang w:val="fr-CA"/>
        </w:rPr>
        <w:t xml:space="preserve"> québécoise. Selon le juge Dugré, si l</w:t>
      </w:r>
      <w:r>
        <w:rPr>
          <w:rFonts w:cs="Times New Roman"/>
          <w:lang w:val="fr-CA"/>
        </w:rPr>
        <w:t>’</w:t>
      </w:r>
      <w:r w:rsidRPr="002A0914">
        <w:rPr>
          <w:rFonts w:cs="Times New Roman"/>
          <w:lang w:val="fr-CA"/>
        </w:rPr>
        <w:t>absence d</w:t>
      </w:r>
      <w:r>
        <w:rPr>
          <w:rFonts w:cs="Times New Roman"/>
          <w:lang w:val="fr-CA"/>
        </w:rPr>
        <w:t>’</w:t>
      </w:r>
      <w:r w:rsidRPr="002A0914">
        <w:rPr>
          <w:rFonts w:cs="Times New Roman"/>
          <w:lang w:val="fr-CA"/>
        </w:rPr>
        <w:t>emploi convenable résulte d</w:t>
      </w:r>
      <w:r>
        <w:rPr>
          <w:rFonts w:cs="Times New Roman"/>
          <w:lang w:val="fr-CA"/>
        </w:rPr>
        <w:t>’</w:t>
      </w:r>
      <w:r w:rsidRPr="002A0914">
        <w:rPr>
          <w:rFonts w:cs="Times New Roman"/>
          <w:lang w:val="fr-CA"/>
        </w:rPr>
        <w:t>une violation d</w:t>
      </w:r>
      <w:r>
        <w:rPr>
          <w:rFonts w:cs="Times New Roman"/>
          <w:lang w:val="fr-CA"/>
        </w:rPr>
        <w:t>’</w:t>
      </w:r>
      <w:r w:rsidRPr="002A0914">
        <w:rPr>
          <w:rFonts w:cs="Times New Roman"/>
          <w:lang w:val="fr-CA"/>
        </w:rPr>
        <w:t xml:space="preserve">un droit protégé par la </w:t>
      </w:r>
      <w:r w:rsidRPr="002A0914">
        <w:rPr>
          <w:rFonts w:cs="Times New Roman"/>
          <w:i/>
          <w:lang w:val="fr-CA"/>
        </w:rPr>
        <w:t>Charte</w:t>
      </w:r>
      <w:r w:rsidRPr="002A0914">
        <w:rPr>
          <w:rFonts w:cs="Times New Roman"/>
          <w:lang w:val="fr-CA"/>
        </w:rPr>
        <w:t xml:space="preserve"> québécoise — c.</w:t>
      </w:r>
      <w:r w:rsidRPr="002A0914">
        <w:rPr>
          <w:rFonts w:cs="Times New Roman"/>
          <w:lang w:val="fr-CA"/>
        </w:rPr>
        <w:noBreakHyphen/>
        <w:t>à</w:t>
      </w:r>
      <w:r w:rsidRPr="002A0914">
        <w:rPr>
          <w:rFonts w:cs="Times New Roman"/>
          <w:lang w:val="fr-CA"/>
        </w:rPr>
        <w:noBreakHyphen/>
        <w:t xml:space="preserve">d. si le demandeur </w:t>
      </w:r>
      <w:r w:rsidRPr="002A0914">
        <w:rPr>
          <w:rFonts w:cs="Times New Roman"/>
          <w:lang w:val="fr-CA"/>
        </w:rPr>
        <w:lastRenderedPageBreak/>
        <w:t>a été victime de discrimination en raison de son handicap résultant d</w:t>
      </w:r>
      <w:r>
        <w:rPr>
          <w:rFonts w:cs="Times New Roman"/>
          <w:lang w:val="fr-CA"/>
        </w:rPr>
        <w:t>’</w:t>
      </w:r>
      <w:r w:rsidRPr="002A0914">
        <w:rPr>
          <w:rFonts w:cs="Times New Roman"/>
          <w:lang w:val="fr-CA"/>
        </w:rPr>
        <w:t>une lésion professionnelle — la CLP a le devoir d</w:t>
      </w:r>
      <w:r>
        <w:rPr>
          <w:rFonts w:cs="Times New Roman"/>
          <w:lang w:val="fr-CA"/>
        </w:rPr>
        <w:t>’</w:t>
      </w:r>
      <w:r w:rsidRPr="002A0914">
        <w:rPr>
          <w:rFonts w:cs="Times New Roman"/>
          <w:lang w:val="fr-CA"/>
        </w:rPr>
        <w:t>accorder une réparation fondée sur l</w:t>
      </w:r>
      <w:r>
        <w:rPr>
          <w:rFonts w:cs="Times New Roman"/>
          <w:lang w:val="fr-CA"/>
        </w:rPr>
        <w:t>’</w:t>
      </w:r>
      <w:r w:rsidRPr="002A0914">
        <w:rPr>
          <w:rFonts w:cs="Times New Roman"/>
          <w:lang w:val="fr-CA"/>
        </w:rPr>
        <w:t xml:space="preserve">art. 49 de la </w:t>
      </w:r>
      <w:r w:rsidRPr="002A0914">
        <w:rPr>
          <w:rFonts w:cs="Times New Roman"/>
          <w:i/>
          <w:lang w:val="fr-CA"/>
        </w:rPr>
        <w:t xml:space="preserve">Charte </w:t>
      </w:r>
      <w:r w:rsidRPr="002A0914">
        <w:rPr>
          <w:rFonts w:cs="Times New Roman"/>
          <w:lang w:val="fr-CA"/>
        </w:rPr>
        <w:t>québécoise.</w:t>
      </w:r>
    </w:p>
    <w:p w:rsidR="00730DBB" w:rsidRPr="002A0914" w:rsidRDefault="00730DBB" w:rsidP="00730DBB">
      <w:pPr>
        <w:pStyle w:val="ParaNoNdepar-AltN"/>
        <w:rPr>
          <w:rFonts w:cs="Times New Roman"/>
          <w:lang w:val="fr-CA"/>
        </w:rPr>
      </w:pPr>
      <w:r w:rsidRPr="002A0914">
        <w:rPr>
          <w:rFonts w:cs="Times New Roman"/>
          <w:lang w:val="fr-CA"/>
        </w:rPr>
        <w:t>Dans la même veine, selon le juge Dugré, la décision de la CLP portant que le droit au retour au travail de M. Caron avait expiré était déraisonnable. Ayant décidé qu</w:t>
      </w:r>
      <w:r>
        <w:rPr>
          <w:rFonts w:cs="Times New Roman"/>
          <w:lang w:val="fr-CA"/>
        </w:rPr>
        <w:t>’</w:t>
      </w:r>
      <w:r w:rsidRPr="002A0914">
        <w:rPr>
          <w:rFonts w:cs="Times New Roman"/>
          <w:lang w:val="fr-CA"/>
        </w:rPr>
        <w:t>elle ne pouvait se prononcer sur la question de savoir si M. Caron avait été victime de discrimination en raison de son handicap, la CLP n</w:t>
      </w:r>
      <w:r>
        <w:rPr>
          <w:rFonts w:cs="Times New Roman"/>
          <w:lang w:val="fr-CA"/>
        </w:rPr>
        <w:t>’</w:t>
      </w:r>
      <w:r w:rsidRPr="002A0914">
        <w:rPr>
          <w:rFonts w:cs="Times New Roman"/>
          <w:lang w:val="fr-CA"/>
        </w:rPr>
        <w:t>a pas procédé à l</w:t>
      </w:r>
      <w:r>
        <w:rPr>
          <w:rFonts w:cs="Times New Roman"/>
          <w:lang w:val="fr-CA"/>
        </w:rPr>
        <w:t>’</w:t>
      </w:r>
      <w:r w:rsidRPr="002A0914">
        <w:rPr>
          <w:rFonts w:cs="Times New Roman"/>
          <w:lang w:val="fr-CA"/>
        </w:rPr>
        <w:t>analyse appropriée quant à savoir si l</w:t>
      </w:r>
      <w:r>
        <w:rPr>
          <w:rFonts w:cs="Times New Roman"/>
          <w:lang w:val="fr-CA"/>
        </w:rPr>
        <w:t>’</w:t>
      </w:r>
      <w:r w:rsidRPr="002A0914">
        <w:rPr>
          <w:rFonts w:cs="Times New Roman"/>
          <w:lang w:val="fr-CA"/>
        </w:rPr>
        <w:t>art. 240 de la Loi (qui prévoit que le droit au retour au travail expire deux ans après le début de la période d</w:t>
      </w:r>
      <w:r>
        <w:rPr>
          <w:rFonts w:cs="Times New Roman"/>
          <w:lang w:val="fr-CA"/>
        </w:rPr>
        <w:t>’</w:t>
      </w:r>
      <w:r w:rsidRPr="002A0914">
        <w:rPr>
          <w:rFonts w:cs="Times New Roman"/>
          <w:lang w:val="fr-CA"/>
        </w:rPr>
        <w:t>absence continue du travailleur en raison d</w:t>
      </w:r>
      <w:r>
        <w:rPr>
          <w:rFonts w:cs="Times New Roman"/>
          <w:lang w:val="fr-CA"/>
        </w:rPr>
        <w:t>’</w:t>
      </w:r>
      <w:r w:rsidRPr="002A0914">
        <w:rPr>
          <w:rFonts w:cs="Times New Roman"/>
          <w:lang w:val="fr-CA"/>
        </w:rPr>
        <w:t>une lésion professionnelle) était inopérant du fait d</w:t>
      </w:r>
      <w:r>
        <w:rPr>
          <w:rFonts w:cs="Times New Roman"/>
          <w:lang w:val="fr-CA"/>
        </w:rPr>
        <w:t>’</w:t>
      </w:r>
      <w:r w:rsidRPr="002A0914">
        <w:rPr>
          <w:rFonts w:cs="Times New Roman"/>
          <w:lang w:val="fr-CA"/>
        </w:rPr>
        <w:t xml:space="preserve">un conflit avec la </w:t>
      </w:r>
      <w:r w:rsidRPr="002A0914">
        <w:rPr>
          <w:rFonts w:cs="Times New Roman"/>
          <w:i/>
          <w:lang w:val="fr-CA"/>
        </w:rPr>
        <w:t>Charte</w:t>
      </w:r>
      <w:r w:rsidRPr="002A0914">
        <w:rPr>
          <w:rFonts w:cs="Times New Roman"/>
          <w:lang w:val="fr-CA"/>
        </w:rPr>
        <w:t xml:space="preserve"> québécoise. Par conséquent, le juge Dugré a conclu que la CLP devait instruire à nouveau l</w:t>
      </w:r>
      <w:r>
        <w:rPr>
          <w:rFonts w:cs="Times New Roman"/>
          <w:lang w:val="fr-CA"/>
        </w:rPr>
        <w:t>’</w:t>
      </w:r>
      <w:r w:rsidRPr="002A0914">
        <w:rPr>
          <w:rFonts w:cs="Times New Roman"/>
          <w:lang w:val="fr-CA"/>
        </w:rPr>
        <w:t>affaire pour décider, d</w:t>
      </w:r>
      <w:r>
        <w:rPr>
          <w:rFonts w:cs="Times New Roman"/>
          <w:lang w:val="fr-CA"/>
        </w:rPr>
        <w:t>’</w:t>
      </w:r>
      <w:r w:rsidRPr="002A0914">
        <w:rPr>
          <w:rFonts w:cs="Times New Roman"/>
          <w:lang w:val="fr-CA"/>
        </w:rPr>
        <w:t>abord, si M. Caron avait été victime de discrimination, et ensuite, si l</w:t>
      </w:r>
      <w:r>
        <w:rPr>
          <w:rFonts w:cs="Times New Roman"/>
          <w:lang w:val="fr-CA"/>
        </w:rPr>
        <w:t>’</w:t>
      </w:r>
      <w:r w:rsidRPr="002A0914">
        <w:rPr>
          <w:rFonts w:cs="Times New Roman"/>
          <w:lang w:val="fr-CA"/>
        </w:rPr>
        <w:t>art. 240 de la Loi était rendu inopérant par l</w:t>
      </w:r>
      <w:r>
        <w:rPr>
          <w:rFonts w:cs="Times New Roman"/>
          <w:lang w:val="fr-CA"/>
        </w:rPr>
        <w:t>’</w:t>
      </w:r>
      <w:r w:rsidRPr="002A0914">
        <w:rPr>
          <w:rFonts w:cs="Times New Roman"/>
          <w:lang w:val="fr-CA"/>
        </w:rPr>
        <w:t xml:space="preserve">art. 52 de la </w:t>
      </w:r>
      <w:r w:rsidRPr="002A0914">
        <w:rPr>
          <w:rFonts w:cs="Times New Roman"/>
          <w:i/>
          <w:lang w:val="fr-CA"/>
        </w:rPr>
        <w:t>Charte</w:t>
      </w:r>
      <w:r w:rsidRPr="002A0914">
        <w:rPr>
          <w:rFonts w:cs="Times New Roman"/>
          <w:lang w:val="fr-CA"/>
        </w:rPr>
        <w:t xml:space="preserve"> québécoise. Le juge Dugré a renvoyé l</w:t>
      </w:r>
      <w:r>
        <w:rPr>
          <w:rFonts w:cs="Times New Roman"/>
          <w:lang w:val="fr-CA"/>
        </w:rPr>
        <w:t>’</w:t>
      </w:r>
      <w:r w:rsidRPr="002A0914">
        <w:rPr>
          <w:rFonts w:cs="Times New Roman"/>
          <w:lang w:val="fr-CA"/>
        </w:rPr>
        <w:t>affaire à la CLP pour qu</w:t>
      </w:r>
      <w:r>
        <w:rPr>
          <w:rFonts w:cs="Times New Roman"/>
          <w:lang w:val="fr-CA"/>
        </w:rPr>
        <w:t>’</w:t>
      </w:r>
      <w:r w:rsidRPr="002A0914">
        <w:rPr>
          <w:rFonts w:cs="Times New Roman"/>
          <w:lang w:val="fr-CA"/>
        </w:rPr>
        <w:t>elle décide si l</w:t>
      </w:r>
      <w:r>
        <w:rPr>
          <w:rFonts w:cs="Times New Roman"/>
          <w:lang w:val="fr-CA"/>
        </w:rPr>
        <w:t>’</w:t>
      </w:r>
      <w:r w:rsidRPr="002A0914">
        <w:rPr>
          <w:rFonts w:cs="Times New Roman"/>
          <w:lang w:val="fr-CA"/>
        </w:rPr>
        <w:t>employeur s</w:t>
      </w:r>
      <w:r>
        <w:rPr>
          <w:rFonts w:cs="Times New Roman"/>
          <w:lang w:val="fr-CA"/>
        </w:rPr>
        <w:t>’</w:t>
      </w:r>
      <w:r w:rsidRPr="002A0914">
        <w:rPr>
          <w:rFonts w:cs="Times New Roman"/>
          <w:lang w:val="fr-CA"/>
        </w:rPr>
        <w:t>était acquitté de son obligation d</w:t>
      </w:r>
      <w:r>
        <w:rPr>
          <w:rFonts w:cs="Times New Roman"/>
          <w:lang w:val="fr-CA"/>
        </w:rPr>
        <w:t>’</w:t>
      </w:r>
      <w:r w:rsidRPr="002A0914">
        <w:rPr>
          <w:rFonts w:cs="Times New Roman"/>
          <w:lang w:val="fr-CA"/>
        </w:rPr>
        <w:t>accommodement, comme l</w:t>
      </w:r>
      <w:r>
        <w:rPr>
          <w:rFonts w:cs="Times New Roman"/>
          <w:lang w:val="fr-CA"/>
        </w:rPr>
        <w:t>’</w:t>
      </w:r>
      <w:r w:rsidRPr="002A0914">
        <w:rPr>
          <w:rFonts w:cs="Times New Roman"/>
          <w:lang w:val="fr-CA"/>
        </w:rPr>
        <w:t xml:space="preserve">exige la </w:t>
      </w:r>
      <w:r w:rsidRPr="002A0914">
        <w:rPr>
          <w:rFonts w:cs="Times New Roman"/>
          <w:i/>
          <w:lang w:val="fr-CA"/>
        </w:rPr>
        <w:t>Charte</w:t>
      </w:r>
      <w:r w:rsidRPr="002A0914">
        <w:rPr>
          <w:rFonts w:cs="Times New Roman"/>
          <w:lang w:val="fr-CA"/>
        </w:rPr>
        <w:t xml:space="preserve"> québécoise.</w:t>
      </w:r>
    </w:p>
    <w:p w:rsidR="00730DBB" w:rsidRPr="002A0914" w:rsidRDefault="00730DBB" w:rsidP="00730DBB">
      <w:pPr>
        <w:pStyle w:val="Title2LevelTitre2Niveau"/>
        <w:numPr>
          <w:ilvl w:val="1"/>
          <w:numId w:val="8"/>
        </w:numPr>
        <w:jc w:val="left"/>
        <w:rPr>
          <w:rFonts w:cs="Times New Roman"/>
          <w:lang w:val="fr-CA"/>
        </w:rPr>
      </w:pPr>
      <w:r w:rsidRPr="002A0914">
        <w:rPr>
          <w:rFonts w:cs="Times New Roman"/>
          <w:lang w:val="fr-CA"/>
        </w:rPr>
        <w:t>Cour d</w:t>
      </w:r>
      <w:r>
        <w:rPr>
          <w:rFonts w:cs="Times New Roman"/>
          <w:lang w:val="fr-CA"/>
        </w:rPr>
        <w:t>’</w:t>
      </w:r>
      <w:r w:rsidRPr="002A0914">
        <w:rPr>
          <w:rFonts w:cs="Times New Roman"/>
          <w:lang w:val="fr-CA"/>
        </w:rPr>
        <w:t>appel du Québec, 2015 QCCA 1048</w:t>
      </w:r>
    </w:p>
    <w:p w:rsidR="00730DBB" w:rsidRPr="002A0914" w:rsidRDefault="00730DBB" w:rsidP="00730DBB">
      <w:pPr>
        <w:pStyle w:val="ParaNoNdepar-AltN"/>
        <w:rPr>
          <w:rFonts w:cs="Times New Roman"/>
          <w:lang w:val="fr-CA"/>
        </w:rPr>
      </w:pPr>
      <w:r w:rsidRPr="002A0914">
        <w:rPr>
          <w:rFonts w:cs="Times New Roman"/>
          <w:lang w:val="fr-CA"/>
        </w:rPr>
        <w:t>La juge Bélanger, avec l</w:t>
      </w:r>
      <w:r>
        <w:rPr>
          <w:rFonts w:cs="Times New Roman"/>
          <w:lang w:val="fr-CA"/>
        </w:rPr>
        <w:t>’</w:t>
      </w:r>
      <w:r w:rsidRPr="002A0914">
        <w:rPr>
          <w:rFonts w:cs="Times New Roman"/>
          <w:lang w:val="fr-CA"/>
        </w:rPr>
        <w:t>accord des juges Hilton et Schrager, a tiré une conclusion semblable. La Cour d</w:t>
      </w:r>
      <w:r>
        <w:rPr>
          <w:rFonts w:cs="Times New Roman"/>
          <w:lang w:val="fr-CA"/>
        </w:rPr>
        <w:t>’</w:t>
      </w:r>
      <w:r w:rsidRPr="002A0914">
        <w:rPr>
          <w:rFonts w:cs="Times New Roman"/>
          <w:lang w:val="fr-CA"/>
        </w:rPr>
        <w:t>appel l</w:t>
      </w:r>
      <w:r>
        <w:rPr>
          <w:rFonts w:cs="Times New Roman"/>
          <w:lang w:val="fr-CA"/>
        </w:rPr>
        <w:t>’</w:t>
      </w:r>
      <w:r w:rsidRPr="002A0914">
        <w:rPr>
          <w:rFonts w:cs="Times New Roman"/>
          <w:lang w:val="fr-CA"/>
        </w:rPr>
        <w:t>a fait en appliquant la norme de la décision correcte, au motif que l</w:t>
      </w:r>
      <w:r>
        <w:rPr>
          <w:rFonts w:cs="Times New Roman"/>
          <w:lang w:val="fr-CA"/>
        </w:rPr>
        <w:t>’</w:t>
      </w:r>
      <w:r w:rsidRPr="002A0914">
        <w:rPr>
          <w:rFonts w:cs="Times New Roman"/>
          <w:lang w:val="fr-CA"/>
        </w:rPr>
        <w:t xml:space="preserve">application de la </w:t>
      </w:r>
      <w:r w:rsidRPr="002A0914">
        <w:rPr>
          <w:rFonts w:cs="Times New Roman"/>
          <w:i/>
          <w:lang w:val="fr-CA"/>
        </w:rPr>
        <w:t>Charte</w:t>
      </w:r>
      <w:r w:rsidRPr="002A0914">
        <w:rPr>
          <w:rFonts w:cs="Times New Roman"/>
          <w:lang w:val="fr-CA"/>
        </w:rPr>
        <w:t xml:space="preserve"> québécoise est une question de droit d</w:t>
      </w:r>
      <w:r>
        <w:rPr>
          <w:rFonts w:cs="Times New Roman"/>
          <w:lang w:val="fr-CA"/>
        </w:rPr>
        <w:t>’</w:t>
      </w:r>
      <w:r w:rsidRPr="002A0914">
        <w:rPr>
          <w:rFonts w:cs="Times New Roman"/>
          <w:lang w:val="fr-CA"/>
        </w:rPr>
        <w:t xml:space="preserve">une importance capitale pour le système juridique et étrangère au domaine </w:t>
      </w:r>
      <w:r w:rsidRPr="002A0914">
        <w:rPr>
          <w:rFonts w:cs="Times New Roman"/>
          <w:lang w:val="fr-CA"/>
        </w:rPr>
        <w:lastRenderedPageBreak/>
        <w:t>d</w:t>
      </w:r>
      <w:r>
        <w:rPr>
          <w:rFonts w:cs="Times New Roman"/>
          <w:lang w:val="fr-CA"/>
        </w:rPr>
        <w:t>’</w:t>
      </w:r>
      <w:r w:rsidRPr="002A0914">
        <w:rPr>
          <w:rFonts w:cs="Times New Roman"/>
          <w:lang w:val="fr-CA"/>
        </w:rPr>
        <w:t>expertise du décideur administratif (</w:t>
      </w:r>
      <w:r w:rsidRPr="002A0914">
        <w:rPr>
          <w:rFonts w:cs="Times New Roman"/>
          <w:i/>
          <w:lang w:val="fr-CA"/>
        </w:rPr>
        <w:t>Dunsmuir c. Nouveau</w:t>
      </w:r>
      <w:r w:rsidRPr="002A0914">
        <w:rPr>
          <w:rFonts w:cs="Times New Roman"/>
          <w:i/>
          <w:lang w:val="fr-CA"/>
        </w:rPr>
        <w:noBreakHyphen/>
        <w:t>Brunswick</w:t>
      </w:r>
      <w:r w:rsidRPr="002A0914">
        <w:rPr>
          <w:rFonts w:cs="Times New Roman"/>
          <w:lang w:val="fr-CA"/>
        </w:rPr>
        <w:t>, 2008 CSC 9, [2008] 1 R.C.S. 190, par. 60).</w:t>
      </w:r>
    </w:p>
    <w:p w:rsidR="00730DBB" w:rsidRPr="002A0914" w:rsidRDefault="00730DBB" w:rsidP="00730DBB">
      <w:pPr>
        <w:pStyle w:val="ParaNoNdepar-AltN"/>
        <w:rPr>
          <w:rFonts w:cs="Times New Roman"/>
          <w:lang w:val="fr-CA"/>
        </w:rPr>
      </w:pPr>
      <w:r w:rsidRPr="002A0914">
        <w:rPr>
          <w:rFonts w:cs="Times New Roman"/>
          <w:lang w:val="fr-CA"/>
        </w:rPr>
        <w:t>La Cour d</w:t>
      </w:r>
      <w:r>
        <w:rPr>
          <w:rFonts w:cs="Times New Roman"/>
          <w:lang w:val="fr-CA"/>
        </w:rPr>
        <w:t>’</w:t>
      </w:r>
      <w:r w:rsidRPr="002A0914">
        <w:rPr>
          <w:rFonts w:cs="Times New Roman"/>
          <w:lang w:val="fr-CA"/>
        </w:rPr>
        <w:t>appel a conclu que la CLP avait le pouvoir d</w:t>
      </w:r>
      <w:r>
        <w:rPr>
          <w:rFonts w:cs="Times New Roman"/>
          <w:lang w:val="fr-CA"/>
        </w:rPr>
        <w:t>’</w:t>
      </w:r>
      <w:r w:rsidRPr="002A0914">
        <w:rPr>
          <w:rFonts w:cs="Times New Roman"/>
          <w:lang w:val="fr-CA"/>
        </w:rPr>
        <w:t>obliger un employeur à accommoder un employé atteint d</w:t>
      </w:r>
      <w:r>
        <w:rPr>
          <w:rFonts w:cs="Times New Roman"/>
          <w:lang w:val="fr-CA"/>
        </w:rPr>
        <w:t>’</w:t>
      </w:r>
      <w:r w:rsidRPr="002A0914">
        <w:rPr>
          <w:rFonts w:cs="Times New Roman"/>
          <w:lang w:val="fr-CA"/>
        </w:rPr>
        <w:t>une incapacité pour ce qui est d</w:t>
      </w:r>
      <w:r>
        <w:rPr>
          <w:rFonts w:cs="Times New Roman"/>
          <w:lang w:val="fr-CA"/>
        </w:rPr>
        <w:t>’</w:t>
      </w:r>
      <w:r w:rsidRPr="002A0914">
        <w:rPr>
          <w:rFonts w:cs="Times New Roman"/>
          <w:lang w:val="fr-CA"/>
        </w:rPr>
        <w:t xml:space="preserve">un emploi convenable, conformément à la </w:t>
      </w:r>
      <w:r w:rsidRPr="002A0914">
        <w:rPr>
          <w:rFonts w:cs="Times New Roman"/>
          <w:i/>
          <w:lang w:val="fr-CA"/>
        </w:rPr>
        <w:t xml:space="preserve">Charte </w:t>
      </w:r>
      <w:r w:rsidRPr="002A0914">
        <w:rPr>
          <w:rFonts w:cs="Times New Roman"/>
          <w:lang w:val="fr-CA"/>
        </w:rPr>
        <w:t>québécoise. Même si 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 xml:space="preserve">accommodement prévue par la </w:t>
      </w:r>
      <w:r w:rsidRPr="002A0914">
        <w:rPr>
          <w:rFonts w:cs="Times New Roman"/>
          <w:i/>
          <w:lang w:val="fr-CA"/>
        </w:rPr>
        <w:t xml:space="preserve">Charte </w:t>
      </w:r>
      <w:r w:rsidRPr="002A0914">
        <w:rPr>
          <w:rFonts w:cs="Times New Roman"/>
          <w:lang w:val="fr-CA"/>
        </w:rPr>
        <w:t>québécoise</w:t>
      </w:r>
      <w:r w:rsidRPr="002A0914">
        <w:rPr>
          <w:rFonts w:cs="Times New Roman"/>
          <w:i/>
          <w:lang w:val="fr-CA"/>
        </w:rPr>
        <w:t xml:space="preserve"> </w:t>
      </w:r>
      <w:r w:rsidRPr="002A0914">
        <w:rPr>
          <w:rFonts w:cs="Times New Roman"/>
          <w:lang w:val="fr-CA"/>
        </w:rPr>
        <w:t>et les mesures de réparation prévues par la Loi ont évolué de façon parallèle, cela n</w:t>
      </w:r>
      <w:r>
        <w:rPr>
          <w:rFonts w:cs="Times New Roman"/>
          <w:lang w:val="fr-CA"/>
        </w:rPr>
        <w:t>’</w:t>
      </w:r>
      <w:r w:rsidRPr="002A0914">
        <w:rPr>
          <w:rFonts w:cs="Times New Roman"/>
          <w:lang w:val="fr-CA"/>
        </w:rPr>
        <w:t>empêche pas la CLP d</w:t>
      </w:r>
      <w:r>
        <w:rPr>
          <w:rFonts w:cs="Times New Roman"/>
          <w:lang w:val="fr-CA"/>
        </w:rPr>
        <w:t>’</w:t>
      </w:r>
      <w:r w:rsidRPr="002A0914">
        <w:rPr>
          <w:rFonts w:cs="Times New Roman"/>
          <w:lang w:val="fr-CA"/>
        </w:rPr>
        <w:t xml:space="preserve">avoir recours à la </w:t>
      </w:r>
      <w:r w:rsidRPr="002A0914">
        <w:rPr>
          <w:rFonts w:cs="Times New Roman"/>
          <w:i/>
          <w:lang w:val="fr-CA"/>
        </w:rPr>
        <w:t>Charte</w:t>
      </w:r>
      <w:r w:rsidRPr="002A0914">
        <w:rPr>
          <w:rFonts w:cs="Times New Roman"/>
          <w:lang w:val="fr-CA"/>
        </w:rPr>
        <w:t xml:space="preserve"> québécoise</w:t>
      </w:r>
      <w:r w:rsidRPr="002A0914">
        <w:rPr>
          <w:rFonts w:cs="Times New Roman"/>
          <w:i/>
          <w:lang w:val="fr-CA"/>
        </w:rPr>
        <w:t xml:space="preserve"> </w:t>
      </w:r>
      <w:r w:rsidRPr="002A0914">
        <w:rPr>
          <w:rFonts w:cs="Times New Roman"/>
          <w:lang w:val="fr-CA"/>
        </w:rPr>
        <w:t>dans l</w:t>
      </w:r>
      <w:r>
        <w:rPr>
          <w:rFonts w:cs="Times New Roman"/>
          <w:lang w:val="fr-CA"/>
        </w:rPr>
        <w:t>’</w:t>
      </w:r>
      <w:r w:rsidRPr="002A0914">
        <w:rPr>
          <w:rFonts w:cs="Times New Roman"/>
          <w:lang w:val="fr-CA"/>
        </w:rPr>
        <w:t>exercice du pouvoir que lui confère la Loi. Son pouvoir de trancher des questions de droit l</w:t>
      </w:r>
      <w:r>
        <w:rPr>
          <w:rFonts w:cs="Times New Roman"/>
          <w:lang w:val="fr-CA"/>
        </w:rPr>
        <w:t>’</w:t>
      </w:r>
      <w:r w:rsidRPr="002A0914">
        <w:rPr>
          <w:rFonts w:cs="Times New Roman"/>
          <w:lang w:val="fr-CA"/>
        </w:rPr>
        <w:t>autorise à accorder la réparation demandée par M. Caron. 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 xml:space="preserve">accommodement découlant de la </w:t>
      </w:r>
      <w:r w:rsidRPr="002A0914">
        <w:rPr>
          <w:rFonts w:cs="Times New Roman"/>
          <w:i/>
          <w:lang w:val="fr-CA"/>
        </w:rPr>
        <w:t xml:space="preserve">Charte </w:t>
      </w:r>
      <w:r w:rsidRPr="002A0914">
        <w:rPr>
          <w:rFonts w:cs="Times New Roman"/>
          <w:lang w:val="fr-CA"/>
        </w:rPr>
        <w:t>québécoise peut très bien s</w:t>
      </w:r>
      <w:r>
        <w:rPr>
          <w:rFonts w:cs="Times New Roman"/>
          <w:lang w:val="fr-CA"/>
        </w:rPr>
        <w:t>’</w:t>
      </w:r>
      <w:r w:rsidRPr="002A0914">
        <w:rPr>
          <w:rFonts w:cs="Times New Roman"/>
          <w:lang w:val="fr-CA"/>
        </w:rPr>
        <w:t>imbriquer dans la Loi.</w:t>
      </w:r>
    </w:p>
    <w:p w:rsidR="00730DBB" w:rsidRPr="002A0914" w:rsidRDefault="00730DBB" w:rsidP="00730DBB">
      <w:pPr>
        <w:pStyle w:val="ParaNoNdepar-AltN"/>
        <w:rPr>
          <w:rFonts w:cs="Times New Roman"/>
          <w:lang w:val="fr-CA"/>
        </w:rPr>
      </w:pPr>
      <w:r w:rsidRPr="002A0914">
        <w:rPr>
          <w:rFonts w:cs="Times New Roman"/>
          <w:lang w:val="fr-CA"/>
        </w:rPr>
        <w:t>Quant à l</w:t>
      </w:r>
      <w:r>
        <w:rPr>
          <w:rFonts w:cs="Times New Roman"/>
          <w:lang w:val="fr-CA"/>
        </w:rPr>
        <w:t>’</w:t>
      </w:r>
      <w:r w:rsidRPr="002A0914">
        <w:rPr>
          <w:rFonts w:cs="Times New Roman"/>
          <w:lang w:val="fr-CA"/>
        </w:rPr>
        <w:t>expiration du droit au retour au travail prévu à l</w:t>
      </w:r>
      <w:r>
        <w:rPr>
          <w:rFonts w:cs="Times New Roman"/>
          <w:lang w:val="fr-CA"/>
        </w:rPr>
        <w:t>’</w:t>
      </w:r>
      <w:r w:rsidRPr="002A0914">
        <w:rPr>
          <w:rFonts w:cs="Times New Roman"/>
          <w:lang w:val="fr-CA"/>
        </w:rPr>
        <w:t>art. 240 de la Loi, la Cour d</w:t>
      </w:r>
      <w:r>
        <w:rPr>
          <w:rFonts w:cs="Times New Roman"/>
          <w:lang w:val="fr-CA"/>
        </w:rPr>
        <w:t>’</w:t>
      </w:r>
      <w:r w:rsidRPr="002A0914">
        <w:rPr>
          <w:rFonts w:cs="Times New Roman"/>
          <w:lang w:val="fr-CA"/>
        </w:rPr>
        <w:t>appel a conclu que 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accommodement était inconciliable avec l</w:t>
      </w:r>
      <w:r>
        <w:rPr>
          <w:rFonts w:cs="Times New Roman"/>
          <w:lang w:val="fr-CA"/>
        </w:rPr>
        <w:t>’</w:t>
      </w:r>
      <w:r w:rsidRPr="002A0914">
        <w:rPr>
          <w:rFonts w:cs="Times New Roman"/>
          <w:lang w:val="fr-CA"/>
        </w:rPr>
        <w:t>application mécanique d</w:t>
      </w:r>
      <w:r>
        <w:rPr>
          <w:rFonts w:cs="Times New Roman"/>
          <w:lang w:val="fr-CA"/>
        </w:rPr>
        <w:t>’</w:t>
      </w:r>
      <w:r w:rsidRPr="002A0914">
        <w:rPr>
          <w:rFonts w:cs="Times New Roman"/>
          <w:lang w:val="fr-CA"/>
        </w:rPr>
        <w:t>une clause prévoyant la rupture du lien d</w:t>
      </w:r>
      <w:r>
        <w:rPr>
          <w:rFonts w:cs="Times New Roman"/>
          <w:lang w:val="fr-CA"/>
        </w:rPr>
        <w:t>’</w:t>
      </w:r>
      <w:r w:rsidRPr="002A0914">
        <w:rPr>
          <w:rFonts w:cs="Times New Roman"/>
          <w:lang w:val="fr-CA"/>
        </w:rPr>
        <w:t>emploi après une période donnée. 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accommodement commande un examen individualisé faisant en sorte que le délai de deux ans constitue tout au plus un facteur à prendre en considération, sans toutefois être déterminant. La CLP doit d</w:t>
      </w:r>
      <w:r>
        <w:rPr>
          <w:rFonts w:cs="Times New Roman"/>
          <w:lang w:val="fr-CA"/>
        </w:rPr>
        <w:t>’</w:t>
      </w:r>
      <w:r w:rsidRPr="002A0914">
        <w:rPr>
          <w:rFonts w:cs="Times New Roman"/>
          <w:lang w:val="fr-CA"/>
        </w:rPr>
        <w:t>abord décider si M. Caron a été victime de discrimination en raison de son handicap. Une fois que les circonstances de l</w:t>
      </w:r>
      <w:r>
        <w:rPr>
          <w:rFonts w:cs="Times New Roman"/>
          <w:lang w:val="fr-CA"/>
        </w:rPr>
        <w:t>’</w:t>
      </w:r>
      <w:r w:rsidRPr="002A0914">
        <w:rPr>
          <w:rFonts w:cs="Times New Roman"/>
          <w:lang w:val="fr-CA"/>
        </w:rPr>
        <w:t>affaire auront été examinées, la CLP pourra se prononcer sur le délai de deux ans prévu par l</w:t>
      </w:r>
      <w:r>
        <w:rPr>
          <w:rFonts w:cs="Times New Roman"/>
          <w:lang w:val="fr-CA"/>
        </w:rPr>
        <w:t>’</w:t>
      </w:r>
      <w:r w:rsidRPr="002A0914">
        <w:rPr>
          <w:rFonts w:cs="Times New Roman"/>
          <w:lang w:val="fr-CA"/>
        </w:rPr>
        <w:t>art. 240. L</w:t>
      </w:r>
      <w:r>
        <w:rPr>
          <w:rFonts w:cs="Times New Roman"/>
          <w:lang w:val="fr-CA"/>
        </w:rPr>
        <w:t>’</w:t>
      </w:r>
      <w:r w:rsidRPr="002A0914">
        <w:rPr>
          <w:rFonts w:cs="Times New Roman"/>
          <w:lang w:val="fr-CA"/>
        </w:rPr>
        <w:t>appel formé contre la décision du juge Dugré a été rejeté et son ordonnance renvoyant l</w:t>
      </w:r>
      <w:r>
        <w:rPr>
          <w:rFonts w:cs="Times New Roman"/>
          <w:lang w:val="fr-CA"/>
        </w:rPr>
        <w:t>’</w:t>
      </w:r>
      <w:r w:rsidRPr="002A0914">
        <w:rPr>
          <w:rFonts w:cs="Times New Roman"/>
          <w:lang w:val="fr-CA"/>
        </w:rPr>
        <w:t>affaire à la CLP a été confirmée.</w:t>
      </w:r>
    </w:p>
    <w:p w:rsidR="00730DBB" w:rsidRPr="002A0914" w:rsidRDefault="00730DBB" w:rsidP="00730DBB">
      <w:pPr>
        <w:pStyle w:val="Title1LevelTitre1Niveau-AltL"/>
        <w:numPr>
          <w:ilvl w:val="0"/>
          <w:numId w:val="8"/>
        </w:numPr>
        <w:jc w:val="left"/>
        <w:rPr>
          <w:rFonts w:cs="Times New Roman"/>
          <w:lang w:val="fr-CA"/>
        </w:rPr>
      </w:pPr>
      <w:r w:rsidRPr="002A0914">
        <w:rPr>
          <w:rFonts w:cs="Times New Roman"/>
          <w:lang w:val="fr-CA"/>
        </w:rPr>
        <w:lastRenderedPageBreak/>
        <w:t>Dispositions pertinentes</w:t>
      </w:r>
    </w:p>
    <w:p w:rsidR="00730DBB" w:rsidRPr="002A0914" w:rsidRDefault="00730DBB" w:rsidP="00730DBB">
      <w:pPr>
        <w:pStyle w:val="ParaNoNdepar-AltN"/>
        <w:rPr>
          <w:rFonts w:cs="Times New Roman"/>
          <w:lang w:val="fr-CA"/>
        </w:rPr>
      </w:pPr>
      <w:r w:rsidRPr="002A0914">
        <w:rPr>
          <w:rFonts w:cs="Times New Roman"/>
          <w:lang w:val="fr-CA"/>
        </w:rPr>
        <w:t xml:space="preserve">Voici les dispositions pertinentes de la </w:t>
      </w:r>
      <w:r w:rsidRPr="002A0914">
        <w:rPr>
          <w:rFonts w:cs="Times New Roman"/>
          <w:i/>
          <w:lang w:val="fr-CA"/>
        </w:rPr>
        <w:t>Charte</w:t>
      </w:r>
      <w:r w:rsidRPr="002A0914">
        <w:rPr>
          <w:rFonts w:cs="Times New Roman"/>
          <w:lang w:val="fr-CA"/>
        </w:rPr>
        <w:t xml:space="preserve"> québécoise et de la Loi :</w:t>
      </w:r>
    </w:p>
    <w:p w:rsidR="00730DBB" w:rsidRPr="002A0914" w:rsidRDefault="00730DBB" w:rsidP="00C7431F">
      <w:pPr>
        <w:pStyle w:val="Citation-AltC"/>
        <w:spacing w:after="480"/>
        <w:ind w:left="0"/>
        <w:contextualSpacing w:val="0"/>
        <w:rPr>
          <w:lang w:val="fr-CA"/>
        </w:rPr>
      </w:pPr>
      <w:r w:rsidRPr="002A0914">
        <w:rPr>
          <w:i/>
          <w:lang w:val="fr-CA"/>
        </w:rPr>
        <w:t>Charte des droits et libertés de la personne</w:t>
      </w:r>
      <w:r w:rsidR="00C7431F">
        <w:rPr>
          <w:lang w:val="fr-CA"/>
        </w:rPr>
        <w:t>, RLRQ, c. C-</w:t>
      </w:r>
      <w:r w:rsidRPr="002A0914">
        <w:rPr>
          <w:lang w:val="fr-CA"/>
        </w:rPr>
        <w:t>12</w:t>
      </w:r>
    </w:p>
    <w:p w:rsidR="00730DBB" w:rsidRPr="002A0914" w:rsidRDefault="00730DBB" w:rsidP="00C7431F">
      <w:pPr>
        <w:pStyle w:val="Citation-AltC"/>
        <w:tabs>
          <w:tab w:val="left" w:pos="1530"/>
        </w:tabs>
        <w:spacing w:after="240"/>
        <w:ind w:left="1168" w:hanging="1168"/>
        <w:contextualSpacing w:val="0"/>
        <w:rPr>
          <w:lang w:val="fr-CA"/>
        </w:rPr>
      </w:pPr>
      <w:r w:rsidRPr="002A0914">
        <w:rPr>
          <w:lang w:val="fr-CA"/>
        </w:rPr>
        <w:tab/>
      </w:r>
      <w:r w:rsidR="00C7431F">
        <w:rPr>
          <w:lang w:val="fr-CA"/>
        </w:rPr>
        <w:tab/>
      </w:r>
      <w:r w:rsidR="00C7431F" w:rsidRPr="002A0914">
        <w:rPr>
          <w:b/>
          <w:lang w:val="fr-CA"/>
        </w:rPr>
        <w:t>10.</w:t>
      </w:r>
      <w:r w:rsidR="00C7431F">
        <w:rPr>
          <w:b/>
          <w:lang w:val="fr-CA"/>
        </w:rPr>
        <w:t xml:space="preserve"> </w:t>
      </w:r>
      <w:r w:rsidRPr="002A0914">
        <w:rPr>
          <w:lang w:val="fr-CA"/>
        </w:rPr>
        <w:t>Toute personne a droit à la reconnaissance et à l</w:t>
      </w:r>
      <w:r>
        <w:rPr>
          <w:lang w:val="fr-CA"/>
        </w:rPr>
        <w:t>’</w:t>
      </w:r>
      <w:r w:rsidRPr="002A0914">
        <w:rPr>
          <w:lang w:val="fr-CA"/>
        </w:rPr>
        <w:t>exercice, en pleine égalité, des droits et libertés de la personne, sans distinction, exclusion ou préférence fondée sur la race, la couleur, le sexe, l</w:t>
      </w:r>
      <w:r>
        <w:rPr>
          <w:lang w:val="fr-CA"/>
        </w:rPr>
        <w:t>’</w:t>
      </w:r>
      <w:r w:rsidRPr="002A0914">
        <w:rPr>
          <w:lang w:val="fr-CA"/>
        </w:rPr>
        <w:t>identité ou l</w:t>
      </w:r>
      <w:r>
        <w:rPr>
          <w:lang w:val="fr-CA"/>
        </w:rPr>
        <w:t>’</w:t>
      </w:r>
      <w:r w:rsidRPr="002A0914">
        <w:rPr>
          <w:lang w:val="fr-CA"/>
        </w:rPr>
        <w:t>expression de genre, la grossesse, l</w:t>
      </w:r>
      <w:r>
        <w:rPr>
          <w:lang w:val="fr-CA"/>
        </w:rPr>
        <w:t>’</w:t>
      </w:r>
      <w:r w:rsidRPr="002A0914">
        <w:rPr>
          <w:lang w:val="fr-CA"/>
        </w:rPr>
        <w:t>orientation sexuelle, l</w:t>
      </w:r>
      <w:r>
        <w:rPr>
          <w:lang w:val="fr-CA"/>
        </w:rPr>
        <w:t>’</w:t>
      </w:r>
      <w:r w:rsidRPr="002A0914">
        <w:rPr>
          <w:lang w:val="fr-CA"/>
        </w:rPr>
        <w:t>état civil, l</w:t>
      </w:r>
      <w:r>
        <w:rPr>
          <w:lang w:val="fr-CA"/>
        </w:rPr>
        <w:t>’</w:t>
      </w:r>
      <w:r w:rsidRPr="002A0914">
        <w:rPr>
          <w:lang w:val="fr-CA"/>
        </w:rPr>
        <w:t>âge sauf dans la mesure prévue par la loi, la religion, les convictions politiques, la langue, l</w:t>
      </w:r>
      <w:r>
        <w:rPr>
          <w:lang w:val="fr-CA"/>
        </w:rPr>
        <w:t>’</w:t>
      </w:r>
      <w:r w:rsidRPr="002A0914">
        <w:rPr>
          <w:lang w:val="fr-CA"/>
        </w:rPr>
        <w:t>origine ethnique ou nationale, la condition sociale, le handicap ou l</w:t>
      </w:r>
      <w:r>
        <w:rPr>
          <w:lang w:val="fr-CA"/>
        </w:rPr>
        <w:t>’</w:t>
      </w:r>
      <w:r w:rsidRPr="002A0914">
        <w:rPr>
          <w:lang w:val="fr-CA"/>
        </w:rPr>
        <w:t>utilisation d</w:t>
      </w:r>
      <w:r>
        <w:rPr>
          <w:lang w:val="fr-CA"/>
        </w:rPr>
        <w:t>’</w:t>
      </w:r>
      <w:r w:rsidRPr="002A0914">
        <w:rPr>
          <w:lang w:val="fr-CA"/>
        </w:rPr>
        <w:t>un moyen pour pallier ce handicap. </w:t>
      </w:r>
    </w:p>
    <w:p w:rsidR="00730DBB" w:rsidRPr="002A0914" w:rsidRDefault="00730DBB" w:rsidP="00C7431F">
      <w:pPr>
        <w:pStyle w:val="Citation-AltC"/>
        <w:tabs>
          <w:tab w:val="left" w:pos="1530"/>
        </w:tabs>
        <w:spacing w:after="240"/>
        <w:ind w:left="1168" w:hanging="1168"/>
        <w:contextualSpacing w:val="0"/>
        <w:rPr>
          <w:lang w:val="fr-CA"/>
        </w:rPr>
      </w:pPr>
      <w:r w:rsidRPr="002A0914">
        <w:rPr>
          <w:sz w:val="22"/>
          <w:lang w:val="fr-CA"/>
        </w:rPr>
        <w:tab/>
      </w:r>
      <w:r w:rsidRPr="002A0914">
        <w:rPr>
          <w:sz w:val="22"/>
          <w:lang w:val="fr-CA"/>
        </w:rPr>
        <w:tab/>
      </w:r>
      <w:r w:rsidRPr="002A0914">
        <w:rPr>
          <w:lang w:val="fr-CA"/>
        </w:rPr>
        <w:t>Il y a discrimination lorsqu</w:t>
      </w:r>
      <w:r>
        <w:rPr>
          <w:lang w:val="fr-CA"/>
        </w:rPr>
        <w:t>’</w:t>
      </w:r>
      <w:r w:rsidRPr="002A0914">
        <w:rPr>
          <w:lang w:val="fr-CA"/>
        </w:rPr>
        <w:t>une telle distinction, exclusion ou préférence a pour effet de détruire ou de compromettre ce droit.</w:t>
      </w:r>
    </w:p>
    <w:p w:rsidR="00730DBB" w:rsidRPr="002A0914" w:rsidRDefault="00730DBB" w:rsidP="00C7431F">
      <w:pPr>
        <w:pStyle w:val="Citation-AltC"/>
        <w:tabs>
          <w:tab w:val="left" w:pos="1530"/>
        </w:tabs>
        <w:spacing w:after="240"/>
        <w:ind w:left="1168" w:hanging="1168"/>
        <w:contextualSpacing w:val="0"/>
        <w:rPr>
          <w:lang w:val="fr-CA"/>
        </w:rPr>
      </w:pPr>
      <w:r w:rsidRPr="002A0914">
        <w:rPr>
          <w:lang w:val="fr-CA"/>
        </w:rPr>
        <w:tab/>
      </w:r>
      <w:r w:rsidR="00C7431F">
        <w:rPr>
          <w:lang w:val="fr-CA"/>
        </w:rPr>
        <w:tab/>
      </w:r>
      <w:r w:rsidRPr="002A0914">
        <w:rPr>
          <w:b/>
          <w:lang w:val="fr-CA"/>
        </w:rPr>
        <w:t>16.</w:t>
      </w:r>
      <w:r w:rsidR="00C7431F">
        <w:rPr>
          <w:lang w:val="fr-CA"/>
        </w:rPr>
        <w:t xml:space="preserve"> </w:t>
      </w:r>
      <w:r w:rsidRPr="002A0914">
        <w:rPr>
          <w:lang w:val="fr-CA"/>
        </w:rPr>
        <w:t>Nul ne peut exercer de discrimination dans l</w:t>
      </w:r>
      <w:r>
        <w:rPr>
          <w:lang w:val="fr-CA"/>
        </w:rPr>
        <w:t>’</w:t>
      </w:r>
      <w:r w:rsidRPr="002A0914">
        <w:rPr>
          <w:lang w:val="fr-CA"/>
        </w:rPr>
        <w:t>embauche, l</w:t>
      </w:r>
      <w:r>
        <w:rPr>
          <w:lang w:val="fr-CA"/>
        </w:rPr>
        <w:t>’</w:t>
      </w:r>
      <w:r w:rsidRPr="002A0914">
        <w:rPr>
          <w:lang w:val="fr-CA"/>
        </w:rPr>
        <w:t>apprentissage, la durée de la période de probation, la formation professionnelle, la promotion, la mutation, le déplacement, la mise à pied, la suspension, le renvoi ou les conditions de travail d</w:t>
      </w:r>
      <w:r>
        <w:rPr>
          <w:lang w:val="fr-CA"/>
        </w:rPr>
        <w:t>’</w:t>
      </w:r>
      <w:r w:rsidRPr="002A0914">
        <w:rPr>
          <w:lang w:val="fr-CA"/>
        </w:rPr>
        <w:t>une personne ainsi que dans l</w:t>
      </w:r>
      <w:r>
        <w:rPr>
          <w:lang w:val="fr-CA"/>
        </w:rPr>
        <w:t>’</w:t>
      </w:r>
      <w:r w:rsidRPr="002A0914">
        <w:rPr>
          <w:lang w:val="fr-CA"/>
        </w:rPr>
        <w:t>établissement de catégories ou de classifications d</w:t>
      </w:r>
      <w:r>
        <w:rPr>
          <w:lang w:val="fr-CA"/>
        </w:rPr>
        <w:t>’</w:t>
      </w:r>
      <w:r w:rsidRPr="002A0914">
        <w:rPr>
          <w:lang w:val="fr-CA"/>
        </w:rPr>
        <w:t>emploi.</w:t>
      </w:r>
    </w:p>
    <w:p w:rsidR="00730DBB" w:rsidRPr="002A0914" w:rsidRDefault="00730DBB" w:rsidP="00C7431F">
      <w:pPr>
        <w:pStyle w:val="Citation-AltC"/>
        <w:tabs>
          <w:tab w:val="left" w:pos="1530"/>
        </w:tabs>
        <w:spacing w:after="240"/>
        <w:ind w:left="1168" w:hanging="1168"/>
        <w:contextualSpacing w:val="0"/>
        <w:rPr>
          <w:lang w:val="fr-FR"/>
        </w:rPr>
      </w:pPr>
      <w:r w:rsidRPr="002A0914">
        <w:rPr>
          <w:lang w:val="fr-FR"/>
        </w:rPr>
        <w:tab/>
      </w:r>
      <w:r w:rsidR="00C7431F">
        <w:rPr>
          <w:lang w:val="fr-FR"/>
        </w:rPr>
        <w:tab/>
      </w:r>
      <w:r w:rsidRPr="002A0914">
        <w:rPr>
          <w:b/>
          <w:lang w:val="fr-FR"/>
        </w:rPr>
        <w:t>49.</w:t>
      </w:r>
      <w:r w:rsidR="00C7431F">
        <w:rPr>
          <w:lang w:val="fr-FR"/>
        </w:rPr>
        <w:t xml:space="preserve"> </w:t>
      </w:r>
      <w:r w:rsidRPr="002A0914">
        <w:rPr>
          <w:lang w:val="fr-FR"/>
        </w:rPr>
        <w:t xml:space="preserve">Une </w:t>
      </w:r>
      <w:r w:rsidRPr="00C7431F">
        <w:rPr>
          <w:lang w:val="fr-CA"/>
        </w:rPr>
        <w:t>atteinte</w:t>
      </w:r>
      <w:r w:rsidRPr="002A0914">
        <w:rPr>
          <w:lang w:val="fr-FR"/>
        </w:rPr>
        <w:t xml:space="preserve"> </w:t>
      </w:r>
      <w:r w:rsidRPr="002A0914">
        <w:rPr>
          <w:lang w:val="fr-CA"/>
        </w:rPr>
        <w:t>illicite</w:t>
      </w:r>
      <w:r w:rsidRPr="002A0914">
        <w:rPr>
          <w:lang w:val="fr-FR"/>
        </w:rPr>
        <w:t xml:space="preserve"> à un droit ou à une liberté reconnu par la présente Charte confère à la victime le droit d</w:t>
      </w:r>
      <w:r>
        <w:rPr>
          <w:lang w:val="fr-FR"/>
        </w:rPr>
        <w:t>’</w:t>
      </w:r>
      <w:r w:rsidRPr="002A0914">
        <w:rPr>
          <w:lang w:val="fr-FR"/>
        </w:rPr>
        <w:t xml:space="preserve">obtenir la cessation de cette atteinte et la réparation du préjudice moral ou matériel qui en résulte. </w:t>
      </w:r>
    </w:p>
    <w:p w:rsidR="00730DBB" w:rsidRPr="002A0914" w:rsidRDefault="00730DBB" w:rsidP="00C7431F">
      <w:pPr>
        <w:pStyle w:val="Citation-AltC"/>
        <w:tabs>
          <w:tab w:val="left" w:pos="1530"/>
        </w:tabs>
        <w:spacing w:after="240"/>
        <w:ind w:left="1168" w:hanging="1168"/>
        <w:contextualSpacing w:val="0"/>
        <w:rPr>
          <w:lang w:val="fr-FR"/>
        </w:rPr>
      </w:pPr>
      <w:r w:rsidRPr="002A0914">
        <w:rPr>
          <w:lang w:val="fr-FR"/>
        </w:rPr>
        <w:tab/>
      </w:r>
      <w:r w:rsidRPr="002A0914">
        <w:rPr>
          <w:lang w:val="fr-FR"/>
        </w:rPr>
        <w:tab/>
        <w:t>En cas d</w:t>
      </w:r>
      <w:r>
        <w:rPr>
          <w:lang w:val="fr-FR"/>
        </w:rPr>
        <w:t>’</w:t>
      </w:r>
      <w:r w:rsidRPr="002A0914">
        <w:rPr>
          <w:lang w:val="fr-FR"/>
        </w:rPr>
        <w:t>atteinte illicite et intentionnelle, le tribunal peut en outre condamner son auteur à des dommages</w:t>
      </w:r>
      <w:r w:rsidRPr="002A0914">
        <w:rPr>
          <w:lang w:val="fr-FR"/>
        </w:rPr>
        <w:noBreakHyphen/>
        <w:t>intérêts punitifs.</w:t>
      </w:r>
    </w:p>
    <w:p w:rsidR="00730DBB" w:rsidRDefault="00730DBB" w:rsidP="00C7431F">
      <w:pPr>
        <w:pStyle w:val="Citation-AltC"/>
        <w:tabs>
          <w:tab w:val="left" w:pos="1530"/>
        </w:tabs>
        <w:spacing w:after="240"/>
        <w:ind w:left="1168" w:hanging="1168"/>
        <w:contextualSpacing w:val="0"/>
        <w:rPr>
          <w:lang w:val="fr-CA"/>
        </w:rPr>
      </w:pPr>
      <w:r w:rsidRPr="002A0914">
        <w:rPr>
          <w:lang w:val="fr-CA"/>
        </w:rPr>
        <w:tab/>
      </w:r>
      <w:r w:rsidR="00C7431F">
        <w:rPr>
          <w:lang w:val="fr-CA"/>
        </w:rPr>
        <w:tab/>
      </w:r>
      <w:r w:rsidRPr="002A0914">
        <w:rPr>
          <w:b/>
          <w:lang w:val="fr-CA"/>
        </w:rPr>
        <w:t>52.</w:t>
      </w:r>
      <w:r w:rsidR="00C7431F">
        <w:rPr>
          <w:lang w:val="fr-CA"/>
        </w:rPr>
        <w:t xml:space="preserve"> </w:t>
      </w:r>
      <w:r w:rsidRPr="002A0914">
        <w:rPr>
          <w:lang w:val="fr-CA"/>
        </w:rPr>
        <w:t>Aucune disposition d</w:t>
      </w:r>
      <w:r>
        <w:rPr>
          <w:lang w:val="fr-CA"/>
        </w:rPr>
        <w:t>’</w:t>
      </w:r>
      <w:r w:rsidRPr="002A0914">
        <w:rPr>
          <w:lang w:val="fr-CA"/>
        </w:rPr>
        <w:t>une loi, même postérieure à la Charte, ne peut déroger aux articles 1 à 38, sauf dans la mesure prévue par ces articles, à moins que cette loi n</w:t>
      </w:r>
      <w:r>
        <w:rPr>
          <w:lang w:val="fr-CA"/>
        </w:rPr>
        <w:t>’</w:t>
      </w:r>
      <w:r w:rsidRPr="002A0914">
        <w:rPr>
          <w:lang w:val="fr-CA"/>
        </w:rPr>
        <w:t>énonce expressément que cette disposition s</w:t>
      </w:r>
      <w:r>
        <w:rPr>
          <w:lang w:val="fr-CA"/>
        </w:rPr>
        <w:t>’</w:t>
      </w:r>
      <w:r w:rsidRPr="002A0914">
        <w:rPr>
          <w:lang w:val="fr-CA"/>
        </w:rPr>
        <w:t>applique malgré la Charte.</w:t>
      </w:r>
    </w:p>
    <w:p w:rsidR="00C7431F" w:rsidRPr="002A0914" w:rsidRDefault="00C7431F" w:rsidP="00C7431F">
      <w:pPr>
        <w:pStyle w:val="Citation-AltC"/>
        <w:tabs>
          <w:tab w:val="left" w:pos="1530"/>
        </w:tabs>
        <w:spacing w:after="240"/>
        <w:ind w:left="1168" w:hanging="1168"/>
        <w:contextualSpacing w:val="0"/>
        <w:rPr>
          <w:lang w:val="fr-CA"/>
        </w:rPr>
      </w:pPr>
    </w:p>
    <w:p w:rsidR="00730DBB" w:rsidRPr="001B4587" w:rsidRDefault="00730DBB" w:rsidP="00C7431F">
      <w:pPr>
        <w:pStyle w:val="Citation-AltC"/>
        <w:spacing w:after="480"/>
        <w:ind w:left="86"/>
        <w:contextualSpacing w:val="0"/>
        <w:rPr>
          <w:lang w:val="fr-CA"/>
        </w:rPr>
      </w:pPr>
      <w:r w:rsidRPr="001B4587">
        <w:rPr>
          <w:i/>
          <w:lang w:val="fr-CA"/>
        </w:rPr>
        <w:t xml:space="preserve">Loi sur les accidents du travail et les maladies professionnelles, </w:t>
      </w:r>
      <w:r w:rsidR="00C7431F">
        <w:rPr>
          <w:lang w:val="fr-CA"/>
        </w:rPr>
        <w:t>RLRQ, c. A-</w:t>
      </w:r>
      <w:r w:rsidRPr="001B4587">
        <w:rPr>
          <w:lang w:val="fr-CA"/>
        </w:rPr>
        <w:t>3.001</w:t>
      </w:r>
    </w:p>
    <w:p w:rsidR="00730DBB" w:rsidRPr="002A0914" w:rsidRDefault="00730DBB" w:rsidP="00C7431F">
      <w:pPr>
        <w:pStyle w:val="Citation-AltC"/>
        <w:tabs>
          <w:tab w:val="left" w:pos="1530"/>
        </w:tabs>
        <w:spacing w:after="240"/>
        <w:ind w:left="1168" w:hanging="1168"/>
        <w:contextualSpacing w:val="0"/>
        <w:rPr>
          <w:lang w:val="fr-CA"/>
        </w:rPr>
      </w:pPr>
      <w:r w:rsidRPr="002A0914">
        <w:rPr>
          <w:sz w:val="22"/>
          <w:lang w:val="fr-CA"/>
        </w:rPr>
        <w:tab/>
      </w:r>
      <w:r w:rsidR="00C7431F">
        <w:rPr>
          <w:sz w:val="22"/>
          <w:lang w:val="fr-CA"/>
        </w:rPr>
        <w:tab/>
      </w:r>
      <w:r w:rsidRPr="002A0914">
        <w:rPr>
          <w:b/>
          <w:sz w:val="22"/>
          <w:lang w:val="fr-CA"/>
        </w:rPr>
        <w:t>1.</w:t>
      </w:r>
      <w:r w:rsidR="00C7431F">
        <w:rPr>
          <w:sz w:val="22"/>
          <w:lang w:val="fr-CA"/>
        </w:rPr>
        <w:t xml:space="preserve"> </w:t>
      </w:r>
      <w:r w:rsidRPr="002A0914">
        <w:rPr>
          <w:lang w:val="fr-CA"/>
        </w:rPr>
        <w:t>La présente loi a pour objet la réparation des lésions professionnelles et des conséquences qu</w:t>
      </w:r>
      <w:r>
        <w:rPr>
          <w:lang w:val="fr-CA"/>
        </w:rPr>
        <w:t>’</w:t>
      </w:r>
      <w:r w:rsidRPr="002A0914">
        <w:rPr>
          <w:lang w:val="fr-CA"/>
        </w:rPr>
        <w:t xml:space="preserve">elles entraînent pour les bénéficiaires. </w:t>
      </w:r>
    </w:p>
    <w:p w:rsidR="00730DBB" w:rsidRPr="002A0914" w:rsidRDefault="00730DBB" w:rsidP="00C7431F">
      <w:pPr>
        <w:pStyle w:val="Citation-AltC"/>
        <w:tabs>
          <w:tab w:val="left" w:pos="1530"/>
        </w:tabs>
        <w:spacing w:after="240"/>
        <w:ind w:left="1168" w:hanging="1168"/>
        <w:contextualSpacing w:val="0"/>
        <w:rPr>
          <w:lang w:val="fr-CA"/>
        </w:rPr>
      </w:pPr>
      <w:r w:rsidRPr="002A0914">
        <w:rPr>
          <w:lang w:val="fr-CA"/>
        </w:rPr>
        <w:lastRenderedPageBreak/>
        <w:tab/>
      </w:r>
      <w:r w:rsidRPr="002A0914">
        <w:rPr>
          <w:lang w:val="fr-CA"/>
        </w:rPr>
        <w:tab/>
        <w:t>Le processus de réparation des lésions professionnelles comprend la fourniture des soins nécessaires à la consolidation d</w:t>
      </w:r>
      <w:r>
        <w:rPr>
          <w:lang w:val="fr-CA"/>
        </w:rPr>
        <w:t>’</w:t>
      </w:r>
      <w:r w:rsidRPr="002A0914">
        <w:rPr>
          <w:lang w:val="fr-CA"/>
        </w:rPr>
        <w:t>une lésion, la réadaptation physique, sociale et professionnelle du travailleur victime d</w:t>
      </w:r>
      <w:r>
        <w:rPr>
          <w:lang w:val="fr-CA"/>
        </w:rPr>
        <w:t>’</w:t>
      </w:r>
      <w:r w:rsidRPr="002A0914">
        <w:rPr>
          <w:lang w:val="fr-CA"/>
        </w:rPr>
        <w:t>une lésion, le paiement d</w:t>
      </w:r>
      <w:r>
        <w:rPr>
          <w:lang w:val="fr-CA"/>
        </w:rPr>
        <w:t>’</w:t>
      </w:r>
      <w:r w:rsidRPr="002A0914">
        <w:rPr>
          <w:lang w:val="fr-CA"/>
        </w:rPr>
        <w:t>indemnités de remplacement du revenu, d</w:t>
      </w:r>
      <w:r>
        <w:rPr>
          <w:lang w:val="fr-CA"/>
        </w:rPr>
        <w:t>’</w:t>
      </w:r>
      <w:r w:rsidRPr="002A0914">
        <w:rPr>
          <w:lang w:val="fr-CA"/>
        </w:rPr>
        <w:t>indemnités pour préjudice corporel et, le cas échéant, d</w:t>
      </w:r>
      <w:r>
        <w:rPr>
          <w:lang w:val="fr-CA"/>
        </w:rPr>
        <w:t>’</w:t>
      </w:r>
      <w:r w:rsidRPr="002A0914">
        <w:rPr>
          <w:lang w:val="fr-CA"/>
        </w:rPr>
        <w:t xml:space="preserve">indemnités de décès. </w:t>
      </w:r>
    </w:p>
    <w:p w:rsidR="00730DBB" w:rsidRPr="002A0914" w:rsidRDefault="00730DBB" w:rsidP="00C7431F">
      <w:pPr>
        <w:pStyle w:val="Citation-AltC"/>
        <w:tabs>
          <w:tab w:val="left" w:pos="1530"/>
        </w:tabs>
        <w:spacing w:after="240"/>
        <w:ind w:left="1168" w:hanging="1168"/>
        <w:contextualSpacing w:val="0"/>
        <w:rPr>
          <w:lang w:val="fr-CA"/>
        </w:rPr>
      </w:pPr>
      <w:r w:rsidRPr="002A0914">
        <w:rPr>
          <w:lang w:val="fr-CA"/>
        </w:rPr>
        <w:tab/>
      </w:r>
      <w:r w:rsidRPr="002A0914">
        <w:rPr>
          <w:lang w:val="fr-CA"/>
        </w:rPr>
        <w:tab/>
        <w:t>La présente loi confère en outre, dans les limites prévues au chapitre VII, le droit au retour au travail du travailleur victime d</w:t>
      </w:r>
      <w:r>
        <w:rPr>
          <w:lang w:val="fr-CA"/>
        </w:rPr>
        <w:t>’</w:t>
      </w:r>
      <w:r w:rsidRPr="002A0914">
        <w:rPr>
          <w:lang w:val="fr-CA"/>
        </w:rPr>
        <w:t>une lésion professionnelle.</w:t>
      </w:r>
    </w:p>
    <w:p w:rsidR="00730DBB" w:rsidRPr="002A0914" w:rsidRDefault="00730DBB" w:rsidP="00C7431F">
      <w:pPr>
        <w:pStyle w:val="Citation-AltC"/>
        <w:tabs>
          <w:tab w:val="left" w:pos="1530"/>
        </w:tabs>
        <w:spacing w:after="240"/>
        <w:ind w:left="1168" w:hanging="1168"/>
        <w:contextualSpacing w:val="0"/>
        <w:rPr>
          <w:lang w:val="fr-CA"/>
        </w:rPr>
      </w:pPr>
      <w:r w:rsidRPr="002A0914">
        <w:rPr>
          <w:lang w:val="fr-CA"/>
        </w:rPr>
        <w:tab/>
      </w:r>
      <w:r w:rsidR="00C7431F">
        <w:rPr>
          <w:lang w:val="fr-CA"/>
        </w:rPr>
        <w:tab/>
      </w:r>
      <w:r w:rsidRPr="002A0914">
        <w:rPr>
          <w:b/>
          <w:lang w:val="fr-CA"/>
        </w:rPr>
        <w:t>349.</w:t>
      </w:r>
      <w:r w:rsidR="00C7431F">
        <w:rPr>
          <w:lang w:val="fr-CA"/>
        </w:rPr>
        <w:t xml:space="preserve"> </w:t>
      </w:r>
      <w:r w:rsidRPr="002A0914">
        <w:rPr>
          <w:lang w:val="fr-CA"/>
        </w:rPr>
        <w:t>La Commission a compétence exclusive pour examiner et décider toute question visée dans la présente loi, à moins qu</w:t>
      </w:r>
      <w:r>
        <w:rPr>
          <w:lang w:val="fr-CA"/>
        </w:rPr>
        <w:t>’</w:t>
      </w:r>
      <w:r w:rsidRPr="002A0914">
        <w:rPr>
          <w:lang w:val="fr-CA"/>
        </w:rPr>
        <w:t>une disposition particulière ne donne compétence à une autre personne ou à un autre organisme.</w:t>
      </w:r>
    </w:p>
    <w:p w:rsidR="00730DBB" w:rsidRPr="002A0914" w:rsidRDefault="00730DBB" w:rsidP="00C7431F">
      <w:pPr>
        <w:pStyle w:val="Citation-AltC"/>
        <w:tabs>
          <w:tab w:val="left" w:pos="1530"/>
        </w:tabs>
        <w:spacing w:after="240"/>
        <w:ind w:left="1168" w:hanging="1168"/>
        <w:contextualSpacing w:val="0"/>
        <w:rPr>
          <w:lang w:val="fr-CA"/>
        </w:rPr>
      </w:pPr>
      <w:r w:rsidRPr="002A0914">
        <w:rPr>
          <w:lang w:val="fr-CA"/>
        </w:rPr>
        <w:tab/>
      </w:r>
      <w:r w:rsidR="00C7431F">
        <w:rPr>
          <w:lang w:val="fr-CA"/>
        </w:rPr>
        <w:tab/>
      </w:r>
      <w:r w:rsidRPr="002A0914">
        <w:rPr>
          <w:b/>
          <w:lang w:val="fr-CA"/>
        </w:rPr>
        <w:t>377.</w:t>
      </w:r>
      <w:r w:rsidR="00C7431F">
        <w:rPr>
          <w:lang w:val="fr-CA"/>
        </w:rPr>
        <w:t xml:space="preserve"> </w:t>
      </w:r>
      <w:r w:rsidRPr="002A0914">
        <w:rPr>
          <w:lang w:val="fr-CA"/>
        </w:rPr>
        <w:t>La Commission des lésions professionnelles a le pouvoir de décider de toute question de droit ou de fait nécessaire à l</w:t>
      </w:r>
      <w:r>
        <w:rPr>
          <w:lang w:val="fr-CA"/>
        </w:rPr>
        <w:t>’</w:t>
      </w:r>
      <w:r w:rsidRPr="002A0914">
        <w:rPr>
          <w:lang w:val="fr-CA"/>
        </w:rPr>
        <w:t>exercice de sa compétence.</w:t>
      </w:r>
    </w:p>
    <w:p w:rsidR="00730DBB" w:rsidRPr="002A0914" w:rsidRDefault="00730DBB" w:rsidP="00C7431F">
      <w:pPr>
        <w:pStyle w:val="Citation-AltC"/>
        <w:tabs>
          <w:tab w:val="left" w:pos="1530"/>
        </w:tabs>
        <w:spacing w:after="240"/>
        <w:ind w:left="1168" w:hanging="1168"/>
        <w:contextualSpacing w:val="0"/>
        <w:rPr>
          <w:lang w:val="fr-CA"/>
        </w:rPr>
      </w:pPr>
      <w:r w:rsidRPr="002A0914">
        <w:rPr>
          <w:lang w:val="fr-CA"/>
        </w:rPr>
        <w:tab/>
      </w:r>
      <w:r w:rsidRPr="002A0914">
        <w:rPr>
          <w:lang w:val="fr-CA"/>
        </w:rPr>
        <w:tab/>
        <w:t>Elle peut confirmer, modifier ou infirmer la décision, l</w:t>
      </w:r>
      <w:r>
        <w:rPr>
          <w:lang w:val="fr-CA"/>
        </w:rPr>
        <w:t>’</w:t>
      </w:r>
      <w:r w:rsidRPr="002A0914">
        <w:rPr>
          <w:lang w:val="fr-CA"/>
        </w:rPr>
        <w:t>ordre ou l</w:t>
      </w:r>
      <w:r>
        <w:rPr>
          <w:lang w:val="fr-CA"/>
        </w:rPr>
        <w:t>’</w:t>
      </w:r>
      <w:r w:rsidRPr="002A0914">
        <w:rPr>
          <w:lang w:val="fr-CA"/>
        </w:rPr>
        <w:t>ordonnance contesté et, s</w:t>
      </w:r>
      <w:r>
        <w:rPr>
          <w:lang w:val="fr-CA"/>
        </w:rPr>
        <w:t>’</w:t>
      </w:r>
      <w:r w:rsidRPr="002A0914">
        <w:rPr>
          <w:lang w:val="fr-CA"/>
        </w:rPr>
        <w:t>il y a lieu, rendre la décision, l</w:t>
      </w:r>
      <w:r>
        <w:rPr>
          <w:lang w:val="fr-CA"/>
        </w:rPr>
        <w:t>’</w:t>
      </w:r>
      <w:r w:rsidRPr="002A0914">
        <w:rPr>
          <w:lang w:val="fr-CA"/>
        </w:rPr>
        <w:t>ordre ou l</w:t>
      </w:r>
      <w:r>
        <w:rPr>
          <w:lang w:val="fr-CA"/>
        </w:rPr>
        <w:t>’</w:t>
      </w:r>
      <w:r w:rsidRPr="002A0914">
        <w:rPr>
          <w:lang w:val="fr-CA"/>
        </w:rPr>
        <w:t>ordonnance qui, à son avis, aurait dû être rendu en premier lieu.</w:t>
      </w:r>
      <w:r>
        <w:rPr>
          <w:lang w:val="fr-CA"/>
        </w:rPr>
        <w:t xml:space="preserve"> </w:t>
      </w:r>
      <w:r w:rsidRPr="001B5204">
        <w:rPr>
          <w:lang w:val="fr-CA"/>
        </w:rPr>
        <w:t xml:space="preserve">[Maintenant abrogé. Voir la </w:t>
      </w:r>
      <w:r w:rsidRPr="001B5204">
        <w:rPr>
          <w:i/>
          <w:iCs/>
          <w:lang w:val="fr-CA"/>
        </w:rPr>
        <w:t>Loi instituant le Tribunal administratif du travail</w:t>
      </w:r>
      <w:r>
        <w:rPr>
          <w:lang w:val="fr-CA"/>
        </w:rPr>
        <w:t>, CQLR, c. T</w:t>
      </w:r>
      <w:r>
        <w:rPr>
          <w:lang w:val="fr-CA"/>
        </w:rPr>
        <w:noBreakHyphen/>
        <w:t>15.1, art. </w:t>
      </w:r>
      <w:r w:rsidRPr="001B5204">
        <w:rPr>
          <w:lang w:val="fr-CA"/>
        </w:rPr>
        <w:t>9.]</w:t>
      </w:r>
    </w:p>
    <w:p w:rsidR="00730DBB" w:rsidRPr="002A0914" w:rsidRDefault="00730DBB" w:rsidP="00C7431F">
      <w:pPr>
        <w:pStyle w:val="Citation-AltC"/>
        <w:tabs>
          <w:tab w:val="left" w:pos="1530"/>
        </w:tabs>
        <w:spacing w:after="240"/>
        <w:ind w:left="1168" w:hanging="1168"/>
        <w:contextualSpacing w:val="0"/>
        <w:rPr>
          <w:lang w:val="fr-CA"/>
        </w:rPr>
      </w:pPr>
      <w:r w:rsidRPr="002A0914">
        <w:rPr>
          <w:lang w:val="fr-CA"/>
        </w:rPr>
        <w:tab/>
      </w:r>
      <w:r w:rsidR="00C7431F">
        <w:rPr>
          <w:lang w:val="fr-CA"/>
        </w:rPr>
        <w:tab/>
      </w:r>
      <w:r w:rsidRPr="002A0914">
        <w:rPr>
          <w:b/>
          <w:lang w:val="fr-CA"/>
        </w:rPr>
        <w:t>378.</w:t>
      </w:r>
      <w:r w:rsidR="00C7431F" w:rsidRPr="002A0914">
        <w:rPr>
          <w:lang w:val="fr-CA"/>
        </w:rPr>
        <w:t xml:space="preserve"> </w:t>
      </w:r>
      <w:r w:rsidRPr="002A0914">
        <w:rPr>
          <w:lang w:val="fr-CA"/>
        </w:rPr>
        <w:t>La Commission des lésions professionnelles et ses commissaires sont investis des pouvoirs et de l</w:t>
      </w:r>
      <w:r>
        <w:rPr>
          <w:lang w:val="fr-CA"/>
        </w:rPr>
        <w:t>’</w:t>
      </w:r>
      <w:r w:rsidRPr="002A0914">
        <w:rPr>
          <w:lang w:val="fr-CA"/>
        </w:rPr>
        <w:t>immunité des commissaires nommés en vertu de la Loi sur les commissions d</w:t>
      </w:r>
      <w:r>
        <w:rPr>
          <w:lang w:val="fr-CA"/>
        </w:rPr>
        <w:t>’</w:t>
      </w:r>
      <w:r w:rsidRPr="002A0914">
        <w:rPr>
          <w:lang w:val="fr-CA"/>
        </w:rPr>
        <w:t>enquête (chapitre C</w:t>
      </w:r>
      <w:r w:rsidRPr="002A0914">
        <w:rPr>
          <w:lang w:val="fr-CA"/>
        </w:rPr>
        <w:noBreakHyphen/>
        <w:t>37), sauf du pouvoir d</w:t>
      </w:r>
      <w:r>
        <w:rPr>
          <w:lang w:val="fr-CA"/>
        </w:rPr>
        <w:t>’</w:t>
      </w:r>
      <w:r w:rsidRPr="002A0914">
        <w:rPr>
          <w:lang w:val="fr-CA"/>
        </w:rPr>
        <w:t>ordonner l</w:t>
      </w:r>
      <w:r>
        <w:rPr>
          <w:lang w:val="fr-CA"/>
        </w:rPr>
        <w:t>’</w:t>
      </w:r>
      <w:r w:rsidRPr="002A0914">
        <w:rPr>
          <w:lang w:val="fr-CA"/>
        </w:rPr>
        <w:t>emprisonnement.</w:t>
      </w:r>
    </w:p>
    <w:p w:rsidR="00730DBB" w:rsidRPr="002A0914" w:rsidRDefault="00730DBB" w:rsidP="00C7431F">
      <w:pPr>
        <w:pStyle w:val="Citation-AltC"/>
        <w:tabs>
          <w:tab w:val="left" w:pos="1530"/>
        </w:tabs>
        <w:spacing w:after="240"/>
        <w:ind w:left="1168" w:hanging="1168"/>
        <w:contextualSpacing w:val="0"/>
        <w:rPr>
          <w:lang w:val="fr-CA"/>
        </w:rPr>
      </w:pPr>
      <w:r w:rsidRPr="002A0914">
        <w:rPr>
          <w:lang w:val="fr-CA"/>
        </w:rPr>
        <w:tab/>
      </w:r>
      <w:r w:rsidRPr="002A0914">
        <w:rPr>
          <w:lang w:val="fr-CA"/>
        </w:rPr>
        <w:tab/>
        <w:t>Ils ont en outre tous les pouvoirs nécessaires à l</w:t>
      </w:r>
      <w:r>
        <w:rPr>
          <w:lang w:val="fr-CA"/>
        </w:rPr>
        <w:t>’</w:t>
      </w:r>
      <w:r w:rsidRPr="002A0914">
        <w:rPr>
          <w:lang w:val="fr-CA"/>
        </w:rPr>
        <w:t>exercice de leurs fonctions : ils peuvent notamment rendre toutes ordonnances qu</w:t>
      </w:r>
      <w:r>
        <w:rPr>
          <w:lang w:val="fr-CA"/>
        </w:rPr>
        <w:t>’</w:t>
      </w:r>
      <w:r w:rsidRPr="002A0914">
        <w:rPr>
          <w:lang w:val="fr-CA"/>
        </w:rPr>
        <w:t>ils estiment propres à sauvegarder les droits des parties.</w:t>
      </w:r>
    </w:p>
    <w:p w:rsidR="00730DBB" w:rsidRPr="002A0914" w:rsidRDefault="00730DBB" w:rsidP="00C7431F">
      <w:pPr>
        <w:pStyle w:val="Citation-AltC"/>
        <w:tabs>
          <w:tab w:val="left" w:pos="1530"/>
        </w:tabs>
        <w:spacing w:after="240"/>
        <w:ind w:left="1168" w:hanging="1168"/>
        <w:contextualSpacing w:val="0"/>
        <w:rPr>
          <w:lang w:val="fr-CA"/>
        </w:rPr>
      </w:pPr>
      <w:r w:rsidRPr="002A0914">
        <w:rPr>
          <w:lang w:val="fr-CA"/>
        </w:rPr>
        <w:tab/>
      </w:r>
      <w:r w:rsidRPr="002A0914">
        <w:rPr>
          <w:lang w:val="fr-CA"/>
        </w:rPr>
        <w:tab/>
        <w:t>Ils ne peuvent être poursuivis en justice en raison d</w:t>
      </w:r>
      <w:r>
        <w:rPr>
          <w:lang w:val="fr-CA"/>
        </w:rPr>
        <w:t>’</w:t>
      </w:r>
      <w:r w:rsidRPr="002A0914">
        <w:rPr>
          <w:lang w:val="fr-CA"/>
        </w:rPr>
        <w:t>un acte accompli de bonne foi dans l</w:t>
      </w:r>
      <w:r>
        <w:rPr>
          <w:lang w:val="fr-CA"/>
        </w:rPr>
        <w:t>’</w:t>
      </w:r>
      <w:r w:rsidRPr="002A0914">
        <w:rPr>
          <w:lang w:val="fr-CA"/>
        </w:rPr>
        <w:t>exercice de leurs fonctions.</w:t>
      </w:r>
      <w:r>
        <w:rPr>
          <w:lang w:val="fr-CA"/>
        </w:rPr>
        <w:t xml:space="preserve"> [Maintenant abrogé. Voir la </w:t>
      </w:r>
      <w:r w:rsidRPr="001B5204">
        <w:rPr>
          <w:i/>
          <w:lang w:val="fr-CA"/>
        </w:rPr>
        <w:t>Loi instituant le Tribunal administratif du travail</w:t>
      </w:r>
      <w:r>
        <w:rPr>
          <w:lang w:val="fr-CA"/>
        </w:rPr>
        <w:t>, art. 9 et 10.]</w:t>
      </w:r>
    </w:p>
    <w:p w:rsidR="00730DBB" w:rsidRPr="002A0914" w:rsidRDefault="00730DBB" w:rsidP="00730DBB">
      <w:pPr>
        <w:pStyle w:val="Title1LevelTitre1Niveau-AltL"/>
        <w:numPr>
          <w:ilvl w:val="0"/>
          <w:numId w:val="8"/>
        </w:numPr>
        <w:jc w:val="left"/>
        <w:rPr>
          <w:rFonts w:cs="Times New Roman"/>
          <w:lang w:val="fr-CA"/>
        </w:rPr>
      </w:pPr>
      <w:r w:rsidRPr="002A0914">
        <w:rPr>
          <w:rFonts w:cs="Times New Roman"/>
          <w:lang w:val="fr-CA"/>
        </w:rPr>
        <w:t>Analyse</w:t>
      </w:r>
    </w:p>
    <w:p w:rsidR="00730DBB" w:rsidRPr="002A0914" w:rsidRDefault="00730DBB" w:rsidP="00730DBB">
      <w:pPr>
        <w:pStyle w:val="Title2LevelTitre2Niveau"/>
        <w:numPr>
          <w:ilvl w:val="1"/>
          <w:numId w:val="8"/>
        </w:numPr>
        <w:jc w:val="left"/>
        <w:rPr>
          <w:rFonts w:cs="Times New Roman"/>
          <w:lang w:val="fr-CA"/>
        </w:rPr>
      </w:pPr>
      <w:r w:rsidRPr="002A0914">
        <w:rPr>
          <w:rFonts w:cs="Times New Roman"/>
          <w:lang w:val="fr-CA"/>
        </w:rPr>
        <w:t>Norme de contrôle</w:t>
      </w:r>
    </w:p>
    <w:p w:rsidR="00730DBB" w:rsidRPr="002A0914" w:rsidRDefault="00730DBB" w:rsidP="00730DBB">
      <w:pPr>
        <w:pStyle w:val="ParaNoNdepar-AltN"/>
        <w:rPr>
          <w:rFonts w:cs="Times New Roman"/>
          <w:lang w:val="fr-CA"/>
        </w:rPr>
      </w:pPr>
      <w:r w:rsidRPr="002A0914">
        <w:rPr>
          <w:rFonts w:cs="Times New Roman"/>
          <w:lang w:val="fr-CA"/>
        </w:rPr>
        <w:lastRenderedPageBreak/>
        <w:t>La Cour a statué qu</w:t>
      </w:r>
      <w:r>
        <w:rPr>
          <w:rFonts w:cs="Times New Roman"/>
          <w:lang w:val="fr-CA"/>
        </w:rPr>
        <w:t>’</w:t>
      </w:r>
      <w:r w:rsidRPr="002A0914">
        <w:rPr>
          <w:rFonts w:cs="Times New Roman"/>
          <w:lang w:val="fr-CA"/>
        </w:rPr>
        <w:t>il faut faire preuve de déférence à l</w:t>
      </w:r>
      <w:r>
        <w:rPr>
          <w:rFonts w:cs="Times New Roman"/>
          <w:lang w:val="fr-CA"/>
        </w:rPr>
        <w:t>’</w:t>
      </w:r>
      <w:r w:rsidRPr="002A0914">
        <w:rPr>
          <w:rFonts w:cs="Times New Roman"/>
          <w:lang w:val="fr-CA"/>
        </w:rPr>
        <w:t>égard d</w:t>
      </w:r>
      <w:r>
        <w:rPr>
          <w:rFonts w:cs="Times New Roman"/>
          <w:lang w:val="fr-CA"/>
        </w:rPr>
        <w:t>’</w:t>
      </w:r>
      <w:r w:rsidRPr="002A0914">
        <w:rPr>
          <w:rFonts w:cs="Times New Roman"/>
          <w:lang w:val="fr-CA"/>
        </w:rPr>
        <w:t>un tribunal qui rend une décision relevant de son expertise, même s</w:t>
      </w:r>
      <w:r>
        <w:rPr>
          <w:rFonts w:cs="Times New Roman"/>
          <w:lang w:val="fr-CA"/>
        </w:rPr>
        <w:t>’</w:t>
      </w:r>
      <w:r w:rsidRPr="002A0914">
        <w:rPr>
          <w:rFonts w:cs="Times New Roman"/>
          <w:lang w:val="fr-CA"/>
        </w:rPr>
        <w:t xml:space="preserve">il a recours à la </w:t>
      </w:r>
      <w:r w:rsidRPr="002A0914">
        <w:rPr>
          <w:rFonts w:cs="Times New Roman"/>
          <w:i/>
          <w:lang w:val="fr-CA"/>
        </w:rPr>
        <w:t>Charte</w:t>
      </w:r>
      <w:r w:rsidRPr="002A0914">
        <w:rPr>
          <w:rFonts w:cs="Times New Roman"/>
          <w:lang w:val="fr-CA"/>
        </w:rPr>
        <w:t xml:space="preserve"> québécoise :</w:t>
      </w:r>
    </w:p>
    <w:p w:rsidR="00730DBB" w:rsidRPr="002A0914" w:rsidRDefault="00730DBB" w:rsidP="00C7431F">
      <w:pPr>
        <w:pStyle w:val="Citation-AltC"/>
        <w:tabs>
          <w:tab w:val="left" w:pos="1530"/>
        </w:tabs>
        <w:spacing w:after="240"/>
        <w:ind w:left="1168" w:hanging="1168"/>
        <w:contextualSpacing w:val="0"/>
        <w:rPr>
          <w:lang w:val="fr-CA"/>
        </w:rPr>
      </w:pPr>
      <w:r w:rsidRPr="002A0914">
        <w:rPr>
          <w:lang w:val="fr-CA"/>
        </w:rPr>
        <w:tab/>
      </w:r>
      <w:r w:rsidR="00C7431F">
        <w:rPr>
          <w:lang w:val="fr-CA"/>
        </w:rPr>
        <w:tab/>
      </w:r>
      <w:r w:rsidRPr="002A0914">
        <w:rPr>
          <w:lang w:val="fr-CA"/>
        </w:rPr>
        <w:t>Lorsque le Tribunal agit à l</w:t>
      </w:r>
      <w:r>
        <w:rPr>
          <w:lang w:val="fr-CA"/>
        </w:rPr>
        <w:t>’</w:t>
      </w:r>
      <w:r w:rsidRPr="002A0914">
        <w:rPr>
          <w:lang w:val="fr-CA"/>
        </w:rPr>
        <w:t>intérieur de son champ d</w:t>
      </w:r>
      <w:r>
        <w:rPr>
          <w:lang w:val="fr-CA"/>
        </w:rPr>
        <w:t>’</w:t>
      </w:r>
      <w:r w:rsidRPr="002A0914">
        <w:rPr>
          <w:lang w:val="fr-CA"/>
        </w:rPr>
        <w:t>expertise et qu</w:t>
      </w:r>
      <w:r>
        <w:rPr>
          <w:lang w:val="fr-CA"/>
        </w:rPr>
        <w:t>’</w:t>
      </w:r>
      <w:r w:rsidRPr="002A0914">
        <w:rPr>
          <w:lang w:val="fr-CA"/>
        </w:rPr>
        <w:t xml:space="preserve">il interprète la </w:t>
      </w:r>
      <w:r w:rsidRPr="002A0914">
        <w:rPr>
          <w:i/>
          <w:iCs/>
          <w:lang w:val="fr-CA"/>
        </w:rPr>
        <w:t>Charte québécoise</w:t>
      </w:r>
      <w:r w:rsidRPr="002A0914">
        <w:rPr>
          <w:lang w:val="fr-CA"/>
        </w:rPr>
        <w:t xml:space="preserve"> et applique ses dispositions aux faits pour décider de l</w:t>
      </w:r>
      <w:r>
        <w:rPr>
          <w:lang w:val="fr-CA"/>
        </w:rPr>
        <w:t>’</w:t>
      </w:r>
      <w:r w:rsidRPr="002A0914">
        <w:rPr>
          <w:lang w:val="fr-CA"/>
        </w:rPr>
        <w:t>existence de discrimination, la déférence s</w:t>
      </w:r>
      <w:r>
        <w:rPr>
          <w:lang w:val="fr-CA"/>
        </w:rPr>
        <w:t>’</w:t>
      </w:r>
      <w:r w:rsidR="005C3016">
        <w:rPr>
          <w:lang w:val="fr-CA"/>
        </w:rPr>
        <w:t>impose . . .</w:t>
      </w:r>
      <w:r w:rsidRPr="002A0914">
        <w:rPr>
          <w:lang w:val="fr-CA"/>
        </w:rPr>
        <w:t xml:space="preserve"> </w:t>
      </w:r>
    </w:p>
    <w:p w:rsidR="00730DBB" w:rsidRPr="002A0914" w:rsidRDefault="00730DBB" w:rsidP="00D22257">
      <w:pPr>
        <w:pStyle w:val="Citation-AltC"/>
        <w:ind w:left="0"/>
        <w:contextualSpacing w:val="0"/>
        <w:rPr>
          <w:lang w:val="fr-CA"/>
        </w:rPr>
      </w:pPr>
      <w:r w:rsidRPr="002A0914">
        <w:rPr>
          <w:lang w:val="fr-CA"/>
        </w:rPr>
        <w:t>(</w:t>
      </w:r>
      <w:r w:rsidRPr="002A0914">
        <w:rPr>
          <w:i/>
          <w:lang w:val="fr-CA"/>
        </w:rPr>
        <w:t>Mouvement laïque québécois c. Saguenay (Ville)</w:t>
      </w:r>
      <w:r w:rsidRPr="002A0914">
        <w:rPr>
          <w:lang w:val="fr-CA"/>
        </w:rPr>
        <w:t>,</w:t>
      </w:r>
      <w:r w:rsidRPr="002A0914">
        <w:rPr>
          <w:i/>
          <w:lang w:val="fr-CA"/>
        </w:rPr>
        <w:t xml:space="preserve"> </w:t>
      </w:r>
      <w:r w:rsidRPr="002A0914">
        <w:rPr>
          <w:lang w:val="fr-CA"/>
        </w:rPr>
        <w:t>2015 CSC 16, [2015] 2 R.C.S. 3, par. 46)</w:t>
      </w:r>
    </w:p>
    <w:p w:rsidR="00730DBB" w:rsidRPr="002A0914" w:rsidRDefault="00730DBB" w:rsidP="00730DBB">
      <w:pPr>
        <w:pStyle w:val="ParaNoNdepar-AltN"/>
        <w:rPr>
          <w:rFonts w:cs="Times New Roman"/>
          <w:lang w:val="fr-CA"/>
        </w:rPr>
      </w:pPr>
      <w:r w:rsidRPr="002A0914">
        <w:rPr>
          <w:rFonts w:cs="Times New Roman"/>
          <w:lang w:val="fr-CA"/>
        </w:rPr>
        <w:t>La CLP a décliné compétence au motif que la Loi épuisait 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accommodement d</w:t>
      </w:r>
      <w:r>
        <w:rPr>
          <w:rFonts w:cs="Times New Roman"/>
          <w:lang w:val="fr-CA"/>
        </w:rPr>
        <w:t>’</w:t>
      </w:r>
      <w:r w:rsidRPr="002A0914">
        <w:rPr>
          <w:rFonts w:cs="Times New Roman"/>
          <w:lang w:val="fr-CA"/>
        </w:rPr>
        <w:t>un employeur et qu</w:t>
      </w:r>
      <w:r>
        <w:rPr>
          <w:rFonts w:cs="Times New Roman"/>
          <w:lang w:val="fr-CA"/>
        </w:rPr>
        <w:t>’</w:t>
      </w:r>
      <w:r w:rsidRPr="002A0914">
        <w:rPr>
          <w:rFonts w:cs="Times New Roman"/>
          <w:lang w:val="fr-CA"/>
        </w:rPr>
        <w:t>elle ne pouvait accorder des réparations en sus de celles prévues par la Loi (décision de la CLP, par. 87). On pourrait considérer qu</w:t>
      </w:r>
      <w:r>
        <w:rPr>
          <w:rFonts w:cs="Times New Roman"/>
          <w:lang w:val="fr-CA"/>
        </w:rPr>
        <w:t>’</w:t>
      </w:r>
      <w:r w:rsidRPr="002A0914">
        <w:rPr>
          <w:rFonts w:cs="Times New Roman"/>
          <w:lang w:val="fr-CA"/>
        </w:rPr>
        <w:t>il s</w:t>
      </w:r>
      <w:r>
        <w:rPr>
          <w:rFonts w:cs="Times New Roman"/>
          <w:lang w:val="fr-CA"/>
        </w:rPr>
        <w:t>’</w:t>
      </w:r>
      <w:r w:rsidRPr="002A0914">
        <w:rPr>
          <w:rFonts w:cs="Times New Roman"/>
          <w:lang w:val="fr-CA"/>
        </w:rPr>
        <w:t>agit d</w:t>
      </w:r>
      <w:r>
        <w:rPr>
          <w:rFonts w:cs="Times New Roman"/>
          <w:lang w:val="fr-CA"/>
        </w:rPr>
        <w:t>’</w:t>
      </w:r>
      <w:r w:rsidRPr="002A0914">
        <w:rPr>
          <w:rFonts w:cs="Times New Roman"/>
          <w:lang w:val="fr-CA"/>
        </w:rPr>
        <w:t>un tribunal spécialisé qui interprète sa loi constitutive, auquel cas la norme déférente de la décision raisonnable s</w:t>
      </w:r>
      <w:r>
        <w:rPr>
          <w:rFonts w:cs="Times New Roman"/>
          <w:lang w:val="fr-CA"/>
        </w:rPr>
        <w:t>’</w:t>
      </w:r>
      <w:r w:rsidRPr="002A0914">
        <w:rPr>
          <w:rFonts w:cs="Times New Roman"/>
          <w:lang w:val="fr-CA"/>
        </w:rPr>
        <w:t>appliquerait (</w:t>
      </w:r>
      <w:r w:rsidRPr="002A0914">
        <w:rPr>
          <w:rFonts w:cs="Times New Roman"/>
          <w:i/>
          <w:lang w:val="fr-CA"/>
        </w:rPr>
        <w:t>Dunsmuir</w:t>
      </w:r>
      <w:r w:rsidRPr="002A0914">
        <w:rPr>
          <w:rFonts w:cs="Times New Roman"/>
          <w:lang w:val="fr-CA"/>
        </w:rPr>
        <w:t>,</w:t>
      </w:r>
      <w:r w:rsidRPr="002A0914">
        <w:rPr>
          <w:rFonts w:cs="Times New Roman"/>
          <w:i/>
          <w:lang w:val="fr-CA"/>
        </w:rPr>
        <w:t xml:space="preserve"> </w:t>
      </w:r>
      <w:r w:rsidRPr="002A0914">
        <w:rPr>
          <w:rFonts w:cs="Times New Roman"/>
          <w:lang w:val="fr-CA"/>
        </w:rPr>
        <w:t>par. 54).</w:t>
      </w:r>
    </w:p>
    <w:p w:rsidR="00730DBB" w:rsidRPr="002A0914" w:rsidRDefault="00730DBB" w:rsidP="00730DBB">
      <w:pPr>
        <w:pStyle w:val="ParaNoNdepar-AltN"/>
        <w:rPr>
          <w:rFonts w:cs="Times New Roman"/>
          <w:lang w:val="fr-CA"/>
        </w:rPr>
      </w:pPr>
      <w:r w:rsidRPr="002A0914">
        <w:rPr>
          <w:rFonts w:cs="Times New Roman"/>
          <w:lang w:val="fr-CA"/>
        </w:rPr>
        <w:t>Par contre, la CLP ayant décidé qu</w:t>
      </w:r>
      <w:r>
        <w:rPr>
          <w:rFonts w:cs="Times New Roman"/>
          <w:lang w:val="fr-CA"/>
        </w:rPr>
        <w:t>’</w:t>
      </w:r>
      <w:r w:rsidRPr="002A0914">
        <w:rPr>
          <w:rFonts w:cs="Times New Roman"/>
          <w:lang w:val="fr-CA"/>
        </w:rPr>
        <w:t xml:space="preserve">elle ne pouvait accorder une réparation fondée sur la </w:t>
      </w:r>
      <w:r w:rsidRPr="002A0914">
        <w:rPr>
          <w:rFonts w:cs="Times New Roman"/>
          <w:i/>
          <w:lang w:val="fr-CA"/>
        </w:rPr>
        <w:t>Charte</w:t>
      </w:r>
      <w:r w:rsidRPr="002A0914">
        <w:rPr>
          <w:rFonts w:cs="Times New Roman"/>
          <w:lang w:val="fr-CA"/>
        </w:rPr>
        <w:t xml:space="preserve"> québécoise, sa décision pourrait être qualifiée de décision touchant à l</w:t>
      </w:r>
      <w:r>
        <w:rPr>
          <w:rFonts w:cs="Times New Roman"/>
          <w:lang w:val="fr-CA"/>
        </w:rPr>
        <w:t>’</w:t>
      </w:r>
      <w:r w:rsidRPr="002A0914">
        <w:rPr>
          <w:rFonts w:cs="Times New Roman"/>
          <w:lang w:val="fr-CA"/>
        </w:rPr>
        <w:t>étendue des pouvoirs dont le législateur l</w:t>
      </w:r>
      <w:r>
        <w:rPr>
          <w:rFonts w:cs="Times New Roman"/>
          <w:lang w:val="fr-CA"/>
        </w:rPr>
        <w:t>’</w:t>
      </w:r>
      <w:r w:rsidRPr="002A0914">
        <w:rPr>
          <w:rFonts w:cs="Times New Roman"/>
          <w:lang w:val="fr-CA"/>
        </w:rPr>
        <w:t>a investie, c.</w:t>
      </w:r>
      <w:r w:rsidRPr="002A0914">
        <w:rPr>
          <w:rFonts w:cs="Times New Roman"/>
          <w:lang w:val="fr-CA"/>
        </w:rPr>
        <w:noBreakHyphen/>
        <w:t>à</w:t>
      </w:r>
      <w:r w:rsidRPr="002A0914">
        <w:rPr>
          <w:rFonts w:cs="Times New Roman"/>
          <w:lang w:val="fr-CA"/>
        </w:rPr>
        <w:noBreakHyphen/>
        <w:t>d. sa compétence. Selon cette qualification, la décision serait examinée en fonction de la norme de la décision correcte :</w:t>
      </w:r>
    </w:p>
    <w:p w:rsidR="00730DBB" w:rsidRPr="002A0914" w:rsidRDefault="00730DBB" w:rsidP="004D371B">
      <w:pPr>
        <w:pStyle w:val="Citation-AltC"/>
        <w:tabs>
          <w:tab w:val="left" w:pos="1530"/>
        </w:tabs>
        <w:spacing w:after="240"/>
        <w:ind w:left="1168" w:hanging="1168"/>
        <w:contextualSpacing w:val="0"/>
        <w:rPr>
          <w:lang w:val="fr-CA"/>
        </w:rPr>
      </w:pPr>
      <w:r w:rsidRPr="002A0914">
        <w:rPr>
          <w:lang w:val="fr-CA"/>
        </w:rPr>
        <w:tab/>
      </w:r>
      <w:r w:rsidR="004D371B">
        <w:rPr>
          <w:lang w:val="fr-CA"/>
        </w:rPr>
        <w:tab/>
      </w:r>
      <w:r w:rsidRPr="002A0914">
        <w:rPr>
          <w:lang w:val="fr-CA"/>
        </w:rPr>
        <w:t>Un organisme administratif doit également statuer correctement sur une question touchant véritablement à la compétence</w:t>
      </w:r>
      <w:r w:rsidRPr="002A0914">
        <w:rPr>
          <w:i/>
          <w:lang w:val="fr-CA"/>
        </w:rPr>
        <w:t>.</w:t>
      </w:r>
      <w:r w:rsidRPr="002A0914">
        <w:rPr>
          <w:lang w:val="fr-CA"/>
        </w:rPr>
        <w:t xml:space="preserve"> [. . .] [U]ne véritable question de compétence se pose lorsque le tribunal administratif doit déterminer expressément si les pouvoirs dont le législateur l</w:t>
      </w:r>
      <w:r>
        <w:rPr>
          <w:lang w:val="fr-CA"/>
        </w:rPr>
        <w:t>’</w:t>
      </w:r>
      <w:r w:rsidRPr="002A0914">
        <w:rPr>
          <w:lang w:val="fr-CA"/>
        </w:rPr>
        <w:t>a investi l</w:t>
      </w:r>
      <w:r>
        <w:rPr>
          <w:lang w:val="fr-CA"/>
        </w:rPr>
        <w:t>’</w:t>
      </w:r>
      <w:r w:rsidRPr="002A0914">
        <w:rPr>
          <w:lang w:val="fr-CA"/>
        </w:rPr>
        <w:t xml:space="preserve">autorisent à trancher une question. </w:t>
      </w:r>
    </w:p>
    <w:p w:rsidR="00730DBB" w:rsidRPr="002A0914" w:rsidRDefault="00730DBB" w:rsidP="00D22257">
      <w:pPr>
        <w:pStyle w:val="Citation-AltC"/>
        <w:ind w:left="0"/>
        <w:contextualSpacing w:val="0"/>
        <w:rPr>
          <w:lang w:val="fr-CA"/>
        </w:rPr>
      </w:pPr>
      <w:r w:rsidRPr="002A0914">
        <w:rPr>
          <w:lang w:val="fr-CA"/>
        </w:rPr>
        <w:lastRenderedPageBreak/>
        <w:t>(</w:t>
      </w:r>
      <w:r w:rsidRPr="002A0914">
        <w:rPr>
          <w:i/>
          <w:lang w:val="fr-CA"/>
        </w:rPr>
        <w:t>Dunsmuir</w:t>
      </w:r>
      <w:r w:rsidRPr="002A0914">
        <w:rPr>
          <w:lang w:val="fr-CA"/>
        </w:rPr>
        <w:t>,</w:t>
      </w:r>
      <w:r w:rsidRPr="002A0914">
        <w:rPr>
          <w:i/>
          <w:lang w:val="fr-CA"/>
        </w:rPr>
        <w:t xml:space="preserve"> </w:t>
      </w:r>
      <w:r w:rsidRPr="002A0914">
        <w:rPr>
          <w:lang w:val="fr-CA"/>
        </w:rPr>
        <w:t>par. 59)</w:t>
      </w:r>
    </w:p>
    <w:p w:rsidR="00730DBB" w:rsidRPr="002A0914" w:rsidRDefault="00730DBB" w:rsidP="00730DBB">
      <w:pPr>
        <w:pStyle w:val="ParaNoNdepar-AltN"/>
        <w:rPr>
          <w:rFonts w:cs="Times New Roman"/>
          <w:lang w:val="fr-CA"/>
        </w:rPr>
      </w:pPr>
      <w:r w:rsidRPr="002A0914">
        <w:rPr>
          <w:rFonts w:cs="Times New Roman"/>
          <w:lang w:val="fr-CA"/>
        </w:rPr>
        <w:t>Au bout du compte, je me laisse convaincre par l</w:t>
      </w:r>
      <w:r>
        <w:rPr>
          <w:rFonts w:cs="Times New Roman"/>
          <w:lang w:val="fr-CA"/>
        </w:rPr>
        <w:t>’</w:t>
      </w:r>
      <w:r w:rsidRPr="002A0914">
        <w:rPr>
          <w:rFonts w:cs="Times New Roman"/>
          <w:lang w:val="fr-CA"/>
        </w:rPr>
        <w:t>analyse à laquelle s</w:t>
      </w:r>
      <w:r>
        <w:rPr>
          <w:rFonts w:cs="Times New Roman"/>
          <w:lang w:val="fr-CA"/>
        </w:rPr>
        <w:t>’</w:t>
      </w:r>
      <w:r w:rsidRPr="002A0914">
        <w:rPr>
          <w:rFonts w:cs="Times New Roman"/>
          <w:lang w:val="fr-CA"/>
        </w:rPr>
        <w:t>est livrée la Cour d</w:t>
      </w:r>
      <w:r>
        <w:rPr>
          <w:rFonts w:cs="Times New Roman"/>
          <w:lang w:val="fr-CA"/>
        </w:rPr>
        <w:t>’</w:t>
      </w:r>
      <w:r w:rsidRPr="002A0914">
        <w:rPr>
          <w:rFonts w:cs="Times New Roman"/>
          <w:lang w:val="fr-CA"/>
        </w:rPr>
        <w:t xml:space="preserve">appel du Québec : </w:t>
      </w:r>
    </w:p>
    <w:p w:rsidR="00730DBB" w:rsidRPr="002A0914" w:rsidRDefault="00730DBB" w:rsidP="00730DBB">
      <w:pPr>
        <w:pStyle w:val="Citation-AltC"/>
        <w:tabs>
          <w:tab w:val="left" w:pos="1530"/>
        </w:tabs>
        <w:spacing w:after="240"/>
        <w:ind w:hanging="1166"/>
        <w:contextualSpacing w:val="0"/>
        <w:rPr>
          <w:lang w:val="fr-CA"/>
        </w:rPr>
      </w:pPr>
      <w:r w:rsidRPr="002A0914">
        <w:rPr>
          <w:lang w:val="fr-CA"/>
        </w:rPr>
        <w:tab/>
      </w:r>
      <w:r w:rsidRPr="002A0914">
        <w:rPr>
          <w:lang w:val="fr-CA"/>
        </w:rPr>
        <w:tab/>
        <w:t>Dans la présente affaire, nous ne sommes pas en présence d</w:t>
      </w:r>
      <w:r>
        <w:rPr>
          <w:lang w:val="fr-CA"/>
        </w:rPr>
        <w:t>’</w:t>
      </w:r>
      <w:r w:rsidRPr="002A0914">
        <w:rPr>
          <w:lang w:val="fr-CA"/>
        </w:rPr>
        <w:t>une question relative à l</w:t>
      </w:r>
      <w:r>
        <w:rPr>
          <w:lang w:val="fr-CA"/>
        </w:rPr>
        <w:t>’</w:t>
      </w:r>
      <w:r w:rsidRPr="002A0914">
        <w:rPr>
          <w:lang w:val="fr-CA"/>
        </w:rPr>
        <w:t>application de la Charte en soi, mais plutôt en face d</w:t>
      </w:r>
      <w:r>
        <w:rPr>
          <w:lang w:val="fr-CA"/>
        </w:rPr>
        <w:t>’</w:t>
      </w:r>
      <w:r w:rsidRPr="002A0914">
        <w:rPr>
          <w:lang w:val="fr-CA"/>
        </w:rPr>
        <w:t>un refus de l</w:t>
      </w:r>
      <w:r>
        <w:rPr>
          <w:lang w:val="fr-CA"/>
        </w:rPr>
        <w:t>’</w:t>
      </w:r>
      <w:r w:rsidRPr="002A0914">
        <w:rPr>
          <w:lang w:val="fr-CA"/>
        </w:rPr>
        <w:t>appliquer.</w:t>
      </w:r>
    </w:p>
    <w:p w:rsidR="00730DBB" w:rsidRPr="002A0914" w:rsidRDefault="00730DBB" w:rsidP="00730DBB">
      <w:pPr>
        <w:pStyle w:val="Citation-AltC"/>
        <w:tabs>
          <w:tab w:val="left" w:pos="1530"/>
        </w:tabs>
        <w:spacing w:after="240"/>
        <w:ind w:hanging="1166"/>
        <w:contextualSpacing w:val="0"/>
        <w:rPr>
          <w:lang w:val="fr-CA"/>
        </w:rPr>
      </w:pPr>
      <w:r w:rsidRPr="002A0914">
        <w:rPr>
          <w:lang w:val="fr-CA"/>
        </w:rPr>
        <w:tab/>
      </w:r>
      <w:r w:rsidRPr="002A0914">
        <w:rPr>
          <w:lang w:val="fr-CA"/>
        </w:rPr>
        <w:tab/>
        <w:t>Ce que cette question sous</w:t>
      </w:r>
      <w:r w:rsidRPr="002A0914">
        <w:rPr>
          <w:lang w:val="fr-CA"/>
        </w:rPr>
        <w:noBreakHyphen/>
        <w:t>tend c</w:t>
      </w:r>
      <w:r>
        <w:rPr>
          <w:lang w:val="fr-CA"/>
        </w:rPr>
        <w:t>’</w:t>
      </w:r>
      <w:r w:rsidRPr="002A0914">
        <w:rPr>
          <w:lang w:val="fr-CA"/>
        </w:rPr>
        <w:t>est l</w:t>
      </w:r>
      <w:r>
        <w:rPr>
          <w:lang w:val="fr-CA"/>
        </w:rPr>
        <w:t>’</w:t>
      </w:r>
      <w:r w:rsidRPr="002A0914">
        <w:rPr>
          <w:lang w:val="fr-CA"/>
        </w:rPr>
        <w:t>obligation pour un tribunal spécialisé d</w:t>
      </w:r>
      <w:r>
        <w:rPr>
          <w:lang w:val="fr-CA"/>
        </w:rPr>
        <w:t>’</w:t>
      </w:r>
      <w:r w:rsidRPr="002A0914">
        <w:rPr>
          <w:lang w:val="fr-CA"/>
        </w:rPr>
        <w:t>appliquer sa loi constitutive en tenant compte de la loi quasi constitutionnelle qu</w:t>
      </w:r>
      <w:r>
        <w:rPr>
          <w:lang w:val="fr-CA"/>
        </w:rPr>
        <w:t>’</w:t>
      </w:r>
      <w:r w:rsidRPr="002A0914">
        <w:rPr>
          <w:lang w:val="fr-CA"/>
        </w:rPr>
        <w:t>est la Charte.</w:t>
      </w:r>
    </w:p>
    <w:p w:rsidR="00730DBB" w:rsidRPr="002A0914" w:rsidRDefault="00730DBB" w:rsidP="00730DBB">
      <w:pPr>
        <w:pStyle w:val="Citation-AltC"/>
        <w:tabs>
          <w:tab w:val="left" w:pos="1530"/>
        </w:tabs>
        <w:ind w:hanging="1166"/>
        <w:contextualSpacing w:val="0"/>
        <w:rPr>
          <w:lang w:val="fr-CA"/>
        </w:rPr>
      </w:pPr>
      <w:r w:rsidRPr="002A0914">
        <w:rPr>
          <w:lang w:val="fr-CA"/>
        </w:rPr>
        <w:tab/>
      </w:r>
      <w:r w:rsidRPr="002A0914">
        <w:rPr>
          <w:lang w:val="fr-CA"/>
        </w:rPr>
        <w:tab/>
        <w:t>À mon avis, le législateur québécois n</w:t>
      </w:r>
      <w:r>
        <w:rPr>
          <w:lang w:val="fr-CA"/>
        </w:rPr>
        <w:t>’</w:t>
      </w:r>
      <w:r w:rsidRPr="002A0914">
        <w:rPr>
          <w:lang w:val="fr-CA"/>
        </w:rPr>
        <w:t>a pas voulu protéger la compétence d</w:t>
      </w:r>
      <w:r>
        <w:rPr>
          <w:lang w:val="fr-CA"/>
        </w:rPr>
        <w:t>’</w:t>
      </w:r>
      <w:r w:rsidRPr="002A0914">
        <w:rPr>
          <w:lang w:val="fr-CA"/>
        </w:rPr>
        <w:t>un tribunal spécialisé comme la CLP de décider ou non d</w:t>
      </w:r>
      <w:r>
        <w:rPr>
          <w:lang w:val="fr-CA"/>
        </w:rPr>
        <w:t>’</w:t>
      </w:r>
      <w:r w:rsidRPr="002A0914">
        <w:rPr>
          <w:lang w:val="fr-CA"/>
        </w:rPr>
        <w:t>appliquer la Charte québécoise. Il s</w:t>
      </w:r>
      <w:r>
        <w:rPr>
          <w:lang w:val="fr-CA"/>
        </w:rPr>
        <w:t>’</w:t>
      </w:r>
      <w:r w:rsidRPr="002A0914">
        <w:rPr>
          <w:lang w:val="fr-CA"/>
        </w:rPr>
        <w:t>agit là aussi d</w:t>
      </w:r>
      <w:r>
        <w:rPr>
          <w:lang w:val="fr-CA"/>
        </w:rPr>
        <w:t>’</w:t>
      </w:r>
      <w:r w:rsidRPr="002A0914">
        <w:rPr>
          <w:lang w:val="fr-CA"/>
        </w:rPr>
        <w:t>une question de droit général d</w:t>
      </w:r>
      <w:r>
        <w:rPr>
          <w:lang w:val="fr-CA"/>
        </w:rPr>
        <w:t>’</w:t>
      </w:r>
      <w:r w:rsidRPr="002A0914">
        <w:rPr>
          <w:lang w:val="fr-CA"/>
        </w:rPr>
        <w:t>importance pour le système juridique, comprenant le système de justice administrative. La norme de la décision correcte s</w:t>
      </w:r>
      <w:r>
        <w:rPr>
          <w:lang w:val="fr-CA"/>
        </w:rPr>
        <w:t>’</w:t>
      </w:r>
      <w:r w:rsidRPr="002A0914">
        <w:rPr>
          <w:lang w:val="fr-CA"/>
        </w:rPr>
        <w:t>applique donc. [par. 35</w:t>
      </w:r>
      <w:r w:rsidRPr="002A0914">
        <w:rPr>
          <w:lang w:val="fr-CA"/>
        </w:rPr>
        <w:noBreakHyphen/>
        <w:t xml:space="preserve">37 (CanLII)] </w:t>
      </w:r>
    </w:p>
    <w:p w:rsidR="00730DBB" w:rsidRPr="002A0914" w:rsidRDefault="00730DBB" w:rsidP="00730DBB">
      <w:pPr>
        <w:pStyle w:val="Title2LevelTitre2Niveau"/>
        <w:numPr>
          <w:ilvl w:val="1"/>
          <w:numId w:val="8"/>
        </w:numPr>
        <w:jc w:val="left"/>
        <w:rPr>
          <w:rFonts w:cs="Times New Roman"/>
          <w:lang w:val="fr-CA"/>
        </w:rPr>
      </w:pPr>
      <w:r w:rsidRPr="002A0914">
        <w:rPr>
          <w:rFonts w:cs="Times New Roman"/>
          <w:lang w:val="fr-CA"/>
        </w:rPr>
        <w:t>Les objets de Loi et de la Charte québécoise</w:t>
      </w:r>
    </w:p>
    <w:p w:rsidR="00730DBB" w:rsidRPr="002A0914" w:rsidRDefault="00730DBB" w:rsidP="00730DBB">
      <w:pPr>
        <w:pStyle w:val="Title3LevelTitre3Niveau"/>
        <w:numPr>
          <w:ilvl w:val="2"/>
          <w:numId w:val="8"/>
        </w:numPr>
        <w:jc w:val="left"/>
        <w:rPr>
          <w:rFonts w:cs="Times New Roman"/>
          <w:i/>
          <w:lang w:val="fr-CA"/>
        </w:rPr>
      </w:pPr>
      <w:r w:rsidRPr="002A0914">
        <w:rPr>
          <w:rFonts w:cs="Times New Roman"/>
          <w:lang w:val="fr-CA"/>
        </w:rPr>
        <w:t>La Loi</w:t>
      </w:r>
    </w:p>
    <w:p w:rsidR="00730DBB" w:rsidRPr="002A0914" w:rsidRDefault="00730DBB" w:rsidP="00730DBB">
      <w:pPr>
        <w:pStyle w:val="ParaNoNdepar-AltN"/>
        <w:rPr>
          <w:rFonts w:cs="Times New Roman"/>
          <w:lang w:val="fr-CA"/>
        </w:rPr>
      </w:pPr>
      <w:r w:rsidRPr="002A0914">
        <w:rPr>
          <w:rFonts w:eastAsiaTheme="minorHAnsi" w:cs="Times New Roman"/>
          <w:lang w:val="fr-CA"/>
        </w:rPr>
        <w:t>La Loi constitue la version actuelle du compromis historique entre employeurs et employés concernant la réparation des lésions liées au travail par l</w:t>
      </w:r>
      <w:r>
        <w:rPr>
          <w:rFonts w:eastAsiaTheme="minorHAnsi" w:cs="Times New Roman"/>
          <w:lang w:val="fr-CA"/>
        </w:rPr>
        <w:t>’</w:t>
      </w:r>
      <w:r w:rsidRPr="002A0914">
        <w:rPr>
          <w:rFonts w:eastAsiaTheme="minorHAnsi" w:cs="Times New Roman"/>
          <w:lang w:val="fr-CA"/>
        </w:rPr>
        <w:t>entremise d</w:t>
      </w:r>
      <w:r>
        <w:rPr>
          <w:rFonts w:eastAsiaTheme="minorHAnsi" w:cs="Times New Roman"/>
          <w:lang w:val="fr-CA"/>
        </w:rPr>
        <w:t>’</w:t>
      </w:r>
      <w:r w:rsidRPr="002A0914">
        <w:rPr>
          <w:rFonts w:eastAsiaTheme="minorHAnsi" w:cs="Times New Roman"/>
          <w:lang w:val="fr-CA"/>
        </w:rPr>
        <w:t>un régime d</w:t>
      </w:r>
      <w:r>
        <w:rPr>
          <w:rFonts w:eastAsiaTheme="minorHAnsi" w:cs="Times New Roman"/>
          <w:lang w:val="fr-CA"/>
        </w:rPr>
        <w:t>’</w:t>
      </w:r>
      <w:r w:rsidRPr="002A0914">
        <w:rPr>
          <w:rFonts w:eastAsiaTheme="minorHAnsi" w:cs="Times New Roman"/>
          <w:lang w:val="fr-CA"/>
        </w:rPr>
        <w:t>indemnisation sans égard à la faute destiné aux victimes de lésions professionnelles. Cet objet est énoncé au premier article de la Loi :</w:t>
      </w:r>
    </w:p>
    <w:p w:rsidR="00730DBB" w:rsidRPr="002A0914" w:rsidRDefault="00730DBB" w:rsidP="00730DBB">
      <w:pPr>
        <w:pStyle w:val="Citation-AltC"/>
        <w:tabs>
          <w:tab w:val="left" w:pos="1530"/>
        </w:tabs>
        <w:spacing w:after="240"/>
        <w:ind w:hanging="1166"/>
        <w:contextualSpacing w:val="0"/>
        <w:rPr>
          <w:lang w:val="fr-CA"/>
        </w:rPr>
      </w:pPr>
      <w:r w:rsidRPr="002A0914">
        <w:rPr>
          <w:b/>
          <w:lang w:val="fr-CA"/>
        </w:rPr>
        <w:tab/>
      </w:r>
      <w:r w:rsidR="004D371B">
        <w:rPr>
          <w:b/>
          <w:lang w:val="fr-CA"/>
        </w:rPr>
        <w:tab/>
      </w:r>
      <w:r w:rsidRPr="002A0914">
        <w:rPr>
          <w:b/>
          <w:lang w:val="fr-CA"/>
        </w:rPr>
        <w:t>1.</w:t>
      </w:r>
      <w:r w:rsidR="004D371B">
        <w:rPr>
          <w:lang w:val="fr-CA"/>
        </w:rPr>
        <w:t xml:space="preserve"> </w:t>
      </w:r>
      <w:r w:rsidRPr="002A0914">
        <w:rPr>
          <w:lang w:val="fr-CA"/>
        </w:rPr>
        <w:t>La présente loi a pour objet la réparation des lésions professionnelles et des conséquences qu</w:t>
      </w:r>
      <w:r>
        <w:rPr>
          <w:lang w:val="fr-CA"/>
        </w:rPr>
        <w:t>’</w:t>
      </w:r>
      <w:r w:rsidRPr="002A0914">
        <w:rPr>
          <w:lang w:val="fr-CA"/>
        </w:rPr>
        <w:t>elles entraînent pour les bénéficiaires.</w:t>
      </w:r>
    </w:p>
    <w:p w:rsidR="00730DBB" w:rsidRPr="002A0914" w:rsidRDefault="00730DBB" w:rsidP="00730DBB">
      <w:pPr>
        <w:pStyle w:val="Citation-AltC"/>
        <w:tabs>
          <w:tab w:val="left" w:pos="1530"/>
        </w:tabs>
        <w:spacing w:after="240"/>
        <w:ind w:hanging="1166"/>
        <w:contextualSpacing w:val="0"/>
        <w:rPr>
          <w:lang w:val="fr-CA"/>
        </w:rPr>
      </w:pPr>
      <w:r w:rsidRPr="002A0914">
        <w:rPr>
          <w:lang w:val="fr-CA"/>
        </w:rPr>
        <w:lastRenderedPageBreak/>
        <w:tab/>
      </w:r>
      <w:r w:rsidRPr="002A0914">
        <w:rPr>
          <w:lang w:val="fr-CA"/>
        </w:rPr>
        <w:tab/>
        <w:t>Le processus de réparation des lésions professionnelles comprend la fourniture des soins nécessaires à la consolidation d</w:t>
      </w:r>
      <w:r>
        <w:rPr>
          <w:lang w:val="fr-CA"/>
        </w:rPr>
        <w:t>’</w:t>
      </w:r>
      <w:r w:rsidRPr="002A0914">
        <w:rPr>
          <w:lang w:val="fr-CA"/>
        </w:rPr>
        <w:t>une lésion, la réadaptation physique, sociale et professionnelle du travailleur victime d</w:t>
      </w:r>
      <w:r>
        <w:rPr>
          <w:lang w:val="fr-CA"/>
        </w:rPr>
        <w:t>’</w:t>
      </w:r>
      <w:r w:rsidRPr="002A0914">
        <w:rPr>
          <w:lang w:val="fr-CA"/>
        </w:rPr>
        <w:t>une lésion, le paiement d</w:t>
      </w:r>
      <w:r>
        <w:rPr>
          <w:lang w:val="fr-CA"/>
        </w:rPr>
        <w:t>’</w:t>
      </w:r>
      <w:r w:rsidRPr="002A0914">
        <w:rPr>
          <w:lang w:val="fr-CA"/>
        </w:rPr>
        <w:t>indemnités de remplacement du revenu, d</w:t>
      </w:r>
      <w:r>
        <w:rPr>
          <w:lang w:val="fr-CA"/>
        </w:rPr>
        <w:t>’</w:t>
      </w:r>
      <w:r w:rsidRPr="002A0914">
        <w:rPr>
          <w:lang w:val="fr-CA"/>
        </w:rPr>
        <w:t>indemnités pour préjudice corporel et, le cas échéant, d</w:t>
      </w:r>
      <w:r>
        <w:rPr>
          <w:lang w:val="fr-CA"/>
        </w:rPr>
        <w:t>’</w:t>
      </w:r>
      <w:r w:rsidRPr="002A0914">
        <w:rPr>
          <w:lang w:val="fr-CA"/>
        </w:rPr>
        <w:t>indemnités de décès.</w:t>
      </w:r>
    </w:p>
    <w:p w:rsidR="00730DBB" w:rsidRPr="002A0914" w:rsidRDefault="00730DBB" w:rsidP="004D371B">
      <w:pPr>
        <w:pStyle w:val="Citation-AltC"/>
        <w:tabs>
          <w:tab w:val="left" w:pos="1530"/>
        </w:tabs>
        <w:spacing w:after="240"/>
        <w:ind w:hanging="1166"/>
        <w:contextualSpacing w:val="0"/>
        <w:rPr>
          <w:lang w:val="fr-CA"/>
        </w:rPr>
      </w:pPr>
      <w:r w:rsidRPr="002A0914">
        <w:rPr>
          <w:lang w:val="fr-CA"/>
        </w:rPr>
        <w:tab/>
      </w:r>
      <w:r w:rsidRPr="002A0914">
        <w:rPr>
          <w:lang w:val="fr-CA"/>
        </w:rPr>
        <w:tab/>
        <w:t>La présente loi confère en outre, dans les limites prévues au chapitre VII, le droit au retour au travail du travailleur victime d</w:t>
      </w:r>
      <w:r>
        <w:rPr>
          <w:lang w:val="fr-CA"/>
        </w:rPr>
        <w:t>’</w:t>
      </w:r>
      <w:r w:rsidRPr="002A0914">
        <w:rPr>
          <w:lang w:val="fr-CA"/>
        </w:rPr>
        <w:t xml:space="preserve">une lésion professionnelle. </w:t>
      </w:r>
    </w:p>
    <w:p w:rsidR="00730DBB" w:rsidRPr="002A0914" w:rsidRDefault="00730DBB" w:rsidP="00730DBB">
      <w:pPr>
        <w:pStyle w:val="ParaNoNdepar-AltN"/>
        <w:rPr>
          <w:rFonts w:cs="Times New Roman"/>
          <w:lang w:val="fr-CA"/>
        </w:rPr>
      </w:pPr>
      <w:r w:rsidRPr="002A0914">
        <w:rPr>
          <w:rFonts w:cs="Times New Roman"/>
          <w:lang w:val="fr-CA"/>
        </w:rPr>
        <w:t>La Cour a commenté le caractère indemnitaire de la Loi :</w:t>
      </w:r>
    </w:p>
    <w:p w:rsidR="00730DBB" w:rsidRPr="002A0914" w:rsidRDefault="00730DBB" w:rsidP="00730DBB">
      <w:pPr>
        <w:pStyle w:val="Citation-AltC"/>
        <w:tabs>
          <w:tab w:val="left" w:pos="1530"/>
        </w:tabs>
        <w:spacing w:after="240"/>
        <w:ind w:hanging="1166"/>
        <w:contextualSpacing w:val="0"/>
        <w:rPr>
          <w:lang w:val="fr-CA"/>
        </w:rPr>
      </w:pPr>
      <w:r w:rsidRPr="002A0914">
        <w:rPr>
          <w:lang w:val="fr-CA"/>
        </w:rPr>
        <w:tab/>
      </w:r>
      <w:r w:rsidRPr="002A0914">
        <w:rPr>
          <w:lang w:val="fr-CA"/>
        </w:rPr>
        <w:tab/>
        <w:t>L</w:t>
      </w:r>
      <w:r>
        <w:rPr>
          <w:lang w:val="fr-CA"/>
        </w:rPr>
        <w:t>’</w:t>
      </w:r>
      <w:r w:rsidRPr="002A0914">
        <w:rPr>
          <w:lang w:val="fr-CA"/>
        </w:rPr>
        <w:t>évolution et les caractéristiques de cet ensemble normatif permettent de conclure à sa large autonomie face au droit commun. Il transpose un compromis social, longuement mûri, entre diverses forces contradictoires</w:t>
      </w:r>
      <w:r w:rsidR="004D371B">
        <w:rPr>
          <w:lang w:val="fr-CA"/>
        </w:rPr>
        <w:t>.</w:t>
      </w:r>
      <w:r w:rsidRPr="002A0914">
        <w:rPr>
          <w:lang w:val="fr-CA"/>
        </w:rPr>
        <w:t xml:space="preserve"> [. . .] Elle établit en effet un système d</w:t>
      </w:r>
      <w:r>
        <w:rPr>
          <w:lang w:val="fr-CA"/>
        </w:rPr>
        <w:t>’</w:t>
      </w:r>
      <w:r w:rsidRPr="002A0914">
        <w:rPr>
          <w:lang w:val="fr-CA"/>
        </w:rPr>
        <w:t>indemnisation fondé sur les principes d</w:t>
      </w:r>
      <w:r>
        <w:rPr>
          <w:lang w:val="fr-CA"/>
        </w:rPr>
        <w:t>’</w:t>
      </w:r>
      <w:r w:rsidRPr="002A0914">
        <w:rPr>
          <w:lang w:val="fr-CA"/>
        </w:rPr>
        <w:t>assurance et de responsabilité collective sans égard à la faute, axé sur l</w:t>
      </w:r>
      <w:r>
        <w:rPr>
          <w:lang w:val="fr-CA"/>
        </w:rPr>
        <w:t>’</w:t>
      </w:r>
      <w:r w:rsidRPr="002A0914">
        <w:rPr>
          <w:lang w:val="fr-CA"/>
        </w:rPr>
        <w:t xml:space="preserve">indemnisation et donc sur une forme de liquidation définitive des recours. </w:t>
      </w:r>
    </w:p>
    <w:p w:rsidR="00730DBB" w:rsidRPr="002A0914" w:rsidRDefault="00730DBB" w:rsidP="00D22257">
      <w:pPr>
        <w:pStyle w:val="Citation-AltC"/>
        <w:ind w:left="0"/>
        <w:contextualSpacing w:val="0"/>
        <w:rPr>
          <w:lang w:val="fr-CA"/>
        </w:rPr>
      </w:pPr>
      <w:r w:rsidRPr="002A0914">
        <w:rPr>
          <w:lang w:val="fr-CA"/>
        </w:rPr>
        <w:t>(</w:t>
      </w:r>
      <w:r w:rsidRPr="002A0914">
        <w:rPr>
          <w:i/>
          <w:lang w:val="fr-CA"/>
        </w:rPr>
        <w:t>Béliveau St</w:t>
      </w:r>
      <w:r w:rsidRPr="002A0914">
        <w:rPr>
          <w:i/>
          <w:lang w:val="fr-CA"/>
        </w:rPr>
        <w:noBreakHyphen/>
        <w:t>Jacques</w:t>
      </w:r>
      <w:r w:rsidRPr="002A0914">
        <w:rPr>
          <w:lang w:val="fr-CA"/>
        </w:rPr>
        <w:t>, par. 114)</w:t>
      </w:r>
    </w:p>
    <w:p w:rsidR="00730DBB" w:rsidRPr="002A0914" w:rsidRDefault="00730DBB" w:rsidP="00730DBB">
      <w:pPr>
        <w:pStyle w:val="ParaNoNdepar-AltN"/>
        <w:rPr>
          <w:rFonts w:cs="Times New Roman"/>
          <w:lang w:val="fr-CA"/>
        </w:rPr>
      </w:pPr>
      <w:r w:rsidRPr="002A0914">
        <w:rPr>
          <w:rFonts w:cs="Times New Roman"/>
          <w:lang w:val="fr-CA"/>
        </w:rPr>
        <w:t>Le droit au retour au travail et le droit à la réadaptation conférés par la Loi sont des ajouts apportés assez récemment (voir L.Q. 1985, c. 6) au régime d</w:t>
      </w:r>
      <w:r>
        <w:rPr>
          <w:rFonts w:cs="Times New Roman"/>
          <w:lang w:val="fr-CA"/>
        </w:rPr>
        <w:t>’</w:t>
      </w:r>
      <w:r w:rsidRPr="002A0914">
        <w:rPr>
          <w:rFonts w:cs="Times New Roman"/>
          <w:lang w:val="fr-CA"/>
        </w:rPr>
        <w:t>indemnisation québécois. Comme l</w:t>
      </w:r>
      <w:r>
        <w:rPr>
          <w:rFonts w:cs="Times New Roman"/>
          <w:lang w:val="fr-CA"/>
        </w:rPr>
        <w:t>’</w:t>
      </w:r>
      <w:r w:rsidRPr="002A0914">
        <w:rPr>
          <w:rFonts w:cs="Times New Roman"/>
          <w:lang w:val="fr-CA"/>
        </w:rPr>
        <w:t>a expliqué la Cour d</w:t>
      </w:r>
      <w:r>
        <w:rPr>
          <w:rFonts w:cs="Times New Roman"/>
          <w:lang w:val="fr-CA"/>
        </w:rPr>
        <w:t>’</w:t>
      </w:r>
      <w:r w:rsidRPr="002A0914">
        <w:rPr>
          <w:rFonts w:cs="Times New Roman"/>
          <w:lang w:val="fr-CA"/>
        </w:rPr>
        <w:t>appel, la Loi elle</w:t>
      </w:r>
      <w:r w:rsidRPr="002A0914">
        <w:rPr>
          <w:rFonts w:cs="Times New Roman"/>
          <w:lang w:val="fr-CA"/>
        </w:rPr>
        <w:noBreakHyphen/>
        <w:t>même n</w:t>
      </w:r>
      <w:r>
        <w:rPr>
          <w:rFonts w:cs="Times New Roman"/>
          <w:lang w:val="fr-CA"/>
        </w:rPr>
        <w:t>’</w:t>
      </w:r>
      <w:r w:rsidRPr="002A0914">
        <w:rPr>
          <w:rFonts w:cs="Times New Roman"/>
          <w:lang w:val="fr-CA"/>
        </w:rPr>
        <w:t>impose aucune obligation d</w:t>
      </w:r>
      <w:r>
        <w:rPr>
          <w:rFonts w:cs="Times New Roman"/>
          <w:lang w:val="fr-CA"/>
        </w:rPr>
        <w:t>’</w:t>
      </w:r>
      <w:r w:rsidRPr="002A0914">
        <w:rPr>
          <w:rFonts w:cs="Times New Roman"/>
          <w:lang w:val="fr-CA"/>
        </w:rPr>
        <w:t>accommodement à l</w:t>
      </w:r>
      <w:r>
        <w:rPr>
          <w:rFonts w:cs="Times New Roman"/>
          <w:lang w:val="fr-CA"/>
        </w:rPr>
        <w:t>’</w:t>
      </w:r>
      <w:r w:rsidRPr="002A0914">
        <w:rPr>
          <w:rFonts w:cs="Times New Roman"/>
          <w:lang w:val="fr-CA"/>
        </w:rPr>
        <w:t>employeur; au contraire, selon l</w:t>
      </w:r>
      <w:r>
        <w:rPr>
          <w:rFonts w:cs="Times New Roman"/>
          <w:lang w:val="fr-CA"/>
        </w:rPr>
        <w:t>’</w:t>
      </w:r>
      <w:r w:rsidRPr="002A0914">
        <w:rPr>
          <w:rFonts w:cs="Times New Roman"/>
          <w:lang w:val="fr-CA"/>
        </w:rPr>
        <w:t>art. 170 de la Loi, la CSST demande seulement à l</w:t>
      </w:r>
      <w:r>
        <w:rPr>
          <w:rFonts w:cs="Times New Roman"/>
          <w:lang w:val="fr-CA"/>
        </w:rPr>
        <w:t>’</w:t>
      </w:r>
      <w:r w:rsidRPr="002A0914">
        <w:rPr>
          <w:rFonts w:cs="Times New Roman"/>
          <w:lang w:val="fr-CA"/>
        </w:rPr>
        <w:t>employeur s</w:t>
      </w:r>
      <w:r>
        <w:rPr>
          <w:rFonts w:cs="Times New Roman"/>
          <w:lang w:val="fr-CA"/>
        </w:rPr>
        <w:t>’</w:t>
      </w:r>
      <w:r w:rsidRPr="002A0914">
        <w:rPr>
          <w:rFonts w:cs="Times New Roman"/>
          <w:lang w:val="fr-CA"/>
        </w:rPr>
        <w:t xml:space="preserve">il a un emploi convenable à offrir (motifs de la C.A., par. 62). Par contre, la </w:t>
      </w:r>
      <w:r w:rsidRPr="002A0914">
        <w:rPr>
          <w:rFonts w:cs="Times New Roman"/>
          <w:i/>
          <w:lang w:val="fr-CA"/>
        </w:rPr>
        <w:t>Charte</w:t>
      </w:r>
      <w:r w:rsidRPr="002A0914">
        <w:rPr>
          <w:rFonts w:cs="Times New Roman"/>
          <w:lang w:val="fr-CA"/>
        </w:rPr>
        <w:t xml:space="preserve"> québécoise impose une obligation d</w:t>
      </w:r>
      <w:r>
        <w:rPr>
          <w:rFonts w:cs="Times New Roman"/>
          <w:lang w:val="fr-CA"/>
        </w:rPr>
        <w:t>’</w:t>
      </w:r>
      <w:r w:rsidRPr="002A0914">
        <w:rPr>
          <w:rFonts w:cs="Times New Roman"/>
          <w:lang w:val="fr-CA"/>
        </w:rPr>
        <w:t>accommodement à l</w:t>
      </w:r>
      <w:r>
        <w:rPr>
          <w:rFonts w:cs="Times New Roman"/>
          <w:lang w:val="fr-CA"/>
        </w:rPr>
        <w:t>’</w:t>
      </w:r>
      <w:r w:rsidRPr="002A0914">
        <w:rPr>
          <w:rFonts w:cs="Times New Roman"/>
          <w:lang w:val="fr-CA"/>
        </w:rPr>
        <w:t>employeur.</w:t>
      </w:r>
    </w:p>
    <w:p w:rsidR="00730DBB" w:rsidRPr="002A0914" w:rsidRDefault="00730DBB" w:rsidP="00730DBB">
      <w:pPr>
        <w:pStyle w:val="Title3LevelTitre3Niveau"/>
        <w:numPr>
          <w:ilvl w:val="2"/>
          <w:numId w:val="8"/>
        </w:numPr>
        <w:jc w:val="left"/>
        <w:rPr>
          <w:rFonts w:cs="Times New Roman"/>
          <w:lang w:val="fr-CA"/>
        </w:rPr>
      </w:pPr>
      <w:r w:rsidRPr="002A0914">
        <w:rPr>
          <w:rFonts w:cs="Times New Roman"/>
          <w:lang w:val="fr-CA"/>
        </w:rPr>
        <w:t xml:space="preserve">La </w:t>
      </w:r>
      <w:r w:rsidRPr="002A0914">
        <w:rPr>
          <w:rFonts w:cs="Times New Roman"/>
          <w:i/>
          <w:lang w:val="fr-CA"/>
        </w:rPr>
        <w:t>Charte</w:t>
      </w:r>
      <w:r w:rsidRPr="002A0914">
        <w:rPr>
          <w:rFonts w:cs="Times New Roman"/>
          <w:lang w:val="fr-CA"/>
        </w:rPr>
        <w:t xml:space="preserve"> québécoise</w:t>
      </w:r>
    </w:p>
    <w:p w:rsidR="00730DBB" w:rsidRPr="002A0914" w:rsidRDefault="00730DBB" w:rsidP="00730DBB">
      <w:pPr>
        <w:pStyle w:val="ParaNoNdepar-AltN"/>
        <w:rPr>
          <w:rFonts w:cs="Times New Roman"/>
          <w:lang w:val="fr-CA"/>
        </w:rPr>
      </w:pPr>
      <w:r w:rsidRPr="002A0914">
        <w:rPr>
          <w:rFonts w:cs="Times New Roman"/>
          <w:lang w:val="fr-CA"/>
        </w:rPr>
        <w:lastRenderedPageBreak/>
        <w:t>L</w:t>
      </w:r>
      <w:r>
        <w:rPr>
          <w:rFonts w:cs="Times New Roman"/>
          <w:lang w:val="fr-CA"/>
        </w:rPr>
        <w:t>’</w:t>
      </w:r>
      <w:r w:rsidRPr="002A0914">
        <w:rPr>
          <w:rFonts w:cs="Times New Roman"/>
          <w:lang w:val="fr-CA"/>
        </w:rPr>
        <w:t xml:space="preserve">objectif prépondérant de la </w:t>
      </w:r>
      <w:r w:rsidRPr="002A0914">
        <w:rPr>
          <w:rFonts w:cs="Times New Roman"/>
          <w:i/>
          <w:lang w:val="fr-CA"/>
        </w:rPr>
        <w:t>Charte</w:t>
      </w:r>
      <w:r w:rsidRPr="002A0914">
        <w:rPr>
          <w:rFonts w:cs="Times New Roman"/>
          <w:lang w:val="fr-CA"/>
        </w:rPr>
        <w:t xml:space="preserve"> québécoise, énoncé à son préambule, est la reconnaissance et la protection des libertés et droits fondamentaux :</w:t>
      </w:r>
    </w:p>
    <w:p w:rsidR="00730DBB" w:rsidRPr="002A0914" w:rsidRDefault="00730DBB" w:rsidP="00730DBB">
      <w:pPr>
        <w:pStyle w:val="Citation-AltC"/>
        <w:ind w:hanging="1166"/>
        <w:contextualSpacing w:val="0"/>
        <w:rPr>
          <w:lang w:val="fr-CA"/>
        </w:rPr>
      </w:pPr>
      <w:r w:rsidRPr="002A0914">
        <w:rPr>
          <w:lang w:val="fr-CA"/>
        </w:rPr>
        <w:tab/>
        <w:t>Considérant qu</w:t>
      </w:r>
      <w:r>
        <w:rPr>
          <w:lang w:val="fr-CA"/>
        </w:rPr>
        <w:t>’</w:t>
      </w:r>
      <w:r w:rsidRPr="002A0914">
        <w:rPr>
          <w:lang w:val="fr-CA"/>
        </w:rPr>
        <w:t>il y a lieu d</w:t>
      </w:r>
      <w:r>
        <w:rPr>
          <w:lang w:val="fr-CA"/>
        </w:rPr>
        <w:t>’</w:t>
      </w:r>
      <w:r w:rsidRPr="002A0914">
        <w:rPr>
          <w:lang w:val="fr-CA"/>
        </w:rPr>
        <w:t>affirmer solennellement dans une Charte les libertés et droits fondamentaux de la personne afin que ceux</w:t>
      </w:r>
      <w:r w:rsidRPr="002A0914">
        <w:rPr>
          <w:lang w:val="fr-CA"/>
        </w:rPr>
        <w:noBreakHyphen/>
        <w:t xml:space="preserve">ci soient garantis par la volonté collective et mieux </w:t>
      </w:r>
      <w:r w:rsidR="0070706C">
        <w:rPr>
          <w:lang w:val="fr-CA"/>
        </w:rPr>
        <w:t>protégés contre toute violation;</w:t>
      </w:r>
    </w:p>
    <w:p w:rsidR="00730DBB" w:rsidRPr="002A0914" w:rsidRDefault="00730DBB" w:rsidP="00730DBB">
      <w:pPr>
        <w:pStyle w:val="ParaNoNdepar-AltN"/>
        <w:rPr>
          <w:rFonts w:cs="Times New Roman"/>
          <w:lang w:val="fr-CA"/>
        </w:rPr>
      </w:pPr>
      <w:r w:rsidRPr="002A0914">
        <w:rPr>
          <w:rFonts w:cs="Times New Roman"/>
          <w:lang w:val="fr-CA"/>
        </w:rPr>
        <w:t xml:space="preserve">La </w:t>
      </w:r>
      <w:r w:rsidRPr="002A0914">
        <w:rPr>
          <w:rFonts w:cs="Times New Roman"/>
          <w:i/>
          <w:lang w:val="fr-CA"/>
        </w:rPr>
        <w:t>Charte</w:t>
      </w:r>
      <w:r w:rsidRPr="002A0914">
        <w:rPr>
          <w:rFonts w:cs="Times New Roman"/>
          <w:lang w:val="fr-CA"/>
        </w:rPr>
        <w:t xml:space="preserve"> québécoise</w:t>
      </w:r>
      <w:r w:rsidRPr="002A0914">
        <w:rPr>
          <w:rFonts w:cs="Times New Roman"/>
          <w:i/>
          <w:lang w:val="fr-CA"/>
        </w:rPr>
        <w:t xml:space="preserve"> </w:t>
      </w:r>
      <w:r w:rsidRPr="002A0914">
        <w:rPr>
          <w:rFonts w:cs="Times New Roman"/>
          <w:lang w:val="fr-CA"/>
        </w:rPr>
        <w:t>protège le droit à l</w:t>
      </w:r>
      <w:r>
        <w:rPr>
          <w:rFonts w:cs="Times New Roman"/>
          <w:lang w:val="fr-CA"/>
        </w:rPr>
        <w:t>’</w:t>
      </w:r>
      <w:r w:rsidRPr="002A0914">
        <w:rPr>
          <w:rFonts w:cs="Times New Roman"/>
          <w:lang w:val="fr-CA"/>
        </w:rPr>
        <w:t>égalité et son corollaire, l</w:t>
      </w:r>
      <w:r>
        <w:rPr>
          <w:rFonts w:cs="Times New Roman"/>
          <w:lang w:val="fr-CA"/>
        </w:rPr>
        <w:t>’</w:t>
      </w:r>
      <w:r w:rsidRPr="002A0914">
        <w:rPr>
          <w:rFonts w:cs="Times New Roman"/>
          <w:lang w:val="fr-CA"/>
        </w:rPr>
        <w:t>interdiction de toute discrimination. L</w:t>
      </w:r>
      <w:r>
        <w:rPr>
          <w:rFonts w:cs="Times New Roman"/>
          <w:lang w:val="fr-CA"/>
        </w:rPr>
        <w:t>’</w:t>
      </w:r>
      <w:r w:rsidRPr="002A0914">
        <w:rPr>
          <w:rFonts w:cs="Times New Roman"/>
          <w:lang w:val="fr-CA"/>
        </w:rPr>
        <w:t xml:space="preserve">article 10 de la </w:t>
      </w:r>
      <w:r w:rsidRPr="002A0914">
        <w:rPr>
          <w:rFonts w:cs="Times New Roman"/>
          <w:i/>
          <w:lang w:val="fr-CA"/>
        </w:rPr>
        <w:t>Charte</w:t>
      </w:r>
      <w:r w:rsidRPr="002A0914">
        <w:rPr>
          <w:rFonts w:cs="Times New Roman"/>
          <w:lang w:val="fr-CA"/>
        </w:rPr>
        <w:t xml:space="preserve"> québécoise</w:t>
      </w:r>
      <w:r w:rsidRPr="002A0914">
        <w:rPr>
          <w:rFonts w:cs="Times New Roman"/>
          <w:i/>
          <w:lang w:val="fr-CA"/>
        </w:rPr>
        <w:t xml:space="preserve"> </w:t>
      </w:r>
      <w:r w:rsidRPr="002A0914">
        <w:rPr>
          <w:rFonts w:cs="Times New Roman"/>
          <w:lang w:val="fr-CA"/>
        </w:rPr>
        <w:t>le fait en ces termes :</w:t>
      </w:r>
    </w:p>
    <w:p w:rsidR="00730DBB" w:rsidRPr="002A0914" w:rsidRDefault="00730DBB" w:rsidP="004D371B">
      <w:pPr>
        <w:pStyle w:val="Citation-AltC"/>
        <w:tabs>
          <w:tab w:val="left" w:pos="1530"/>
        </w:tabs>
        <w:spacing w:after="240"/>
        <w:ind w:hanging="1166"/>
        <w:contextualSpacing w:val="0"/>
        <w:rPr>
          <w:lang w:val="fr-CA"/>
        </w:rPr>
      </w:pPr>
      <w:r w:rsidRPr="002A0914">
        <w:rPr>
          <w:b/>
          <w:lang w:val="fr-CA"/>
        </w:rPr>
        <w:tab/>
      </w:r>
      <w:r w:rsidR="004D371B">
        <w:rPr>
          <w:b/>
          <w:lang w:val="fr-CA"/>
        </w:rPr>
        <w:tab/>
      </w:r>
      <w:r w:rsidRPr="002A0914">
        <w:rPr>
          <w:b/>
          <w:lang w:val="fr-CA"/>
        </w:rPr>
        <w:t>10.</w:t>
      </w:r>
      <w:r w:rsidRPr="002A0914">
        <w:rPr>
          <w:lang w:val="fr-CA"/>
        </w:rPr>
        <w:t xml:space="preserve"> Toute personne a droit à la reconnaissance et à l</w:t>
      </w:r>
      <w:r>
        <w:rPr>
          <w:lang w:val="fr-CA"/>
        </w:rPr>
        <w:t>’</w:t>
      </w:r>
      <w:r w:rsidRPr="002A0914">
        <w:rPr>
          <w:lang w:val="fr-CA"/>
        </w:rPr>
        <w:t>exercice, en pleine égalité, des droits et libertés de la personne, sans distinction, exclusion ou préférence fondée sur la race, la couleur, le sexe, l</w:t>
      </w:r>
      <w:r>
        <w:rPr>
          <w:lang w:val="fr-CA"/>
        </w:rPr>
        <w:t>’</w:t>
      </w:r>
      <w:r w:rsidRPr="002A0914">
        <w:rPr>
          <w:lang w:val="fr-CA"/>
        </w:rPr>
        <w:t>identité ou l</w:t>
      </w:r>
      <w:r>
        <w:rPr>
          <w:lang w:val="fr-CA"/>
        </w:rPr>
        <w:t>’</w:t>
      </w:r>
      <w:r w:rsidRPr="002A0914">
        <w:rPr>
          <w:lang w:val="fr-CA"/>
        </w:rPr>
        <w:t>expression de genre, la grossesse, l</w:t>
      </w:r>
      <w:r>
        <w:rPr>
          <w:lang w:val="fr-CA"/>
        </w:rPr>
        <w:t>’</w:t>
      </w:r>
      <w:r w:rsidRPr="002A0914">
        <w:rPr>
          <w:lang w:val="fr-CA"/>
        </w:rPr>
        <w:t>orientation sexuelle, l</w:t>
      </w:r>
      <w:r>
        <w:rPr>
          <w:lang w:val="fr-CA"/>
        </w:rPr>
        <w:t>’</w:t>
      </w:r>
      <w:r w:rsidRPr="002A0914">
        <w:rPr>
          <w:lang w:val="fr-CA"/>
        </w:rPr>
        <w:t>état civil, l</w:t>
      </w:r>
      <w:r>
        <w:rPr>
          <w:lang w:val="fr-CA"/>
        </w:rPr>
        <w:t>’</w:t>
      </w:r>
      <w:r w:rsidRPr="002A0914">
        <w:rPr>
          <w:lang w:val="fr-CA"/>
        </w:rPr>
        <w:t>âge sauf dans la mesure prévue par la loi, la religion, les convictions politiques, la langue, l</w:t>
      </w:r>
      <w:r>
        <w:rPr>
          <w:lang w:val="fr-CA"/>
        </w:rPr>
        <w:t>’</w:t>
      </w:r>
      <w:r w:rsidRPr="002A0914">
        <w:rPr>
          <w:lang w:val="fr-CA"/>
        </w:rPr>
        <w:t>origine ethnique ou nationale, la condition sociale, le handicap ou l</w:t>
      </w:r>
      <w:r>
        <w:rPr>
          <w:lang w:val="fr-CA"/>
        </w:rPr>
        <w:t>’</w:t>
      </w:r>
      <w:r w:rsidRPr="002A0914">
        <w:rPr>
          <w:lang w:val="fr-CA"/>
        </w:rPr>
        <w:t>utilisation d</w:t>
      </w:r>
      <w:r>
        <w:rPr>
          <w:lang w:val="fr-CA"/>
        </w:rPr>
        <w:t>’</w:t>
      </w:r>
      <w:r w:rsidRPr="002A0914">
        <w:rPr>
          <w:lang w:val="fr-CA"/>
        </w:rPr>
        <w:t>un moyen pour pallier ce handicap.</w:t>
      </w:r>
    </w:p>
    <w:p w:rsidR="00730DBB" w:rsidRPr="002A0914" w:rsidRDefault="00730DBB" w:rsidP="004D371B">
      <w:pPr>
        <w:pStyle w:val="Citation-AltC"/>
        <w:tabs>
          <w:tab w:val="left" w:pos="1530"/>
        </w:tabs>
        <w:ind w:hanging="1166"/>
        <w:contextualSpacing w:val="0"/>
        <w:rPr>
          <w:lang w:val="fr-CA"/>
        </w:rPr>
      </w:pPr>
      <w:r w:rsidRPr="002A0914">
        <w:rPr>
          <w:lang w:val="fr-CA"/>
        </w:rPr>
        <w:tab/>
      </w:r>
      <w:r w:rsidRPr="002A0914">
        <w:rPr>
          <w:lang w:val="fr-CA"/>
        </w:rPr>
        <w:tab/>
        <w:t>Il y a discrimination lorsqu</w:t>
      </w:r>
      <w:r>
        <w:rPr>
          <w:lang w:val="fr-CA"/>
        </w:rPr>
        <w:t>’</w:t>
      </w:r>
      <w:r w:rsidRPr="002A0914">
        <w:rPr>
          <w:lang w:val="fr-CA"/>
        </w:rPr>
        <w:t>une telle distinction, exclusion ou préférence a pour effet de détruire ou de compromettre ce droit.</w:t>
      </w:r>
    </w:p>
    <w:p w:rsidR="00730DBB" w:rsidRPr="002A0914" w:rsidRDefault="00730DBB" w:rsidP="00730DBB">
      <w:pPr>
        <w:pStyle w:val="ParaNoNdepar-AltN"/>
        <w:spacing w:before="240"/>
        <w:rPr>
          <w:rFonts w:cs="Times New Roman"/>
          <w:lang w:val="fr-CA"/>
        </w:rPr>
      </w:pPr>
      <w:r w:rsidRPr="002A0914">
        <w:rPr>
          <w:rFonts w:cs="Times New Roman"/>
          <w:lang w:val="fr-CA"/>
        </w:rPr>
        <w:t>L</w:t>
      </w:r>
      <w:r>
        <w:rPr>
          <w:rFonts w:cs="Times New Roman"/>
          <w:lang w:val="fr-CA"/>
        </w:rPr>
        <w:t>’</w:t>
      </w:r>
      <w:r w:rsidRPr="002A0914">
        <w:rPr>
          <w:rFonts w:cs="Times New Roman"/>
          <w:lang w:val="fr-CA"/>
        </w:rPr>
        <w:t xml:space="preserve">article 10 de la </w:t>
      </w:r>
      <w:r w:rsidRPr="002A0914">
        <w:rPr>
          <w:rFonts w:cs="Times New Roman"/>
          <w:i/>
          <w:lang w:val="fr-CA"/>
        </w:rPr>
        <w:t>Charte</w:t>
      </w:r>
      <w:r w:rsidRPr="002A0914">
        <w:rPr>
          <w:rFonts w:cs="Times New Roman"/>
          <w:lang w:val="fr-CA"/>
        </w:rPr>
        <w:t xml:space="preserve"> québécoise ne s</w:t>
      </w:r>
      <w:r>
        <w:rPr>
          <w:rFonts w:cs="Times New Roman"/>
          <w:lang w:val="fr-CA"/>
        </w:rPr>
        <w:t>’</w:t>
      </w:r>
      <w:r w:rsidRPr="002A0914">
        <w:rPr>
          <w:rFonts w:cs="Times New Roman"/>
          <w:lang w:val="fr-CA"/>
        </w:rPr>
        <w:t>applique toutefois pas isolément. Les protections qu</w:t>
      </w:r>
      <w:r>
        <w:rPr>
          <w:rFonts w:cs="Times New Roman"/>
          <w:lang w:val="fr-CA"/>
        </w:rPr>
        <w:t>’</w:t>
      </w:r>
      <w:r w:rsidRPr="002A0914">
        <w:rPr>
          <w:rFonts w:cs="Times New Roman"/>
          <w:lang w:val="fr-CA"/>
        </w:rPr>
        <w:t>il prévoit s</w:t>
      </w:r>
      <w:r>
        <w:rPr>
          <w:rFonts w:cs="Times New Roman"/>
          <w:lang w:val="fr-CA"/>
        </w:rPr>
        <w:t>’</w:t>
      </w:r>
      <w:r w:rsidRPr="002A0914">
        <w:rPr>
          <w:rFonts w:cs="Times New Roman"/>
          <w:lang w:val="fr-CA"/>
        </w:rPr>
        <w:t>appliquent conjointement avec d</w:t>
      </w:r>
      <w:r>
        <w:rPr>
          <w:rFonts w:cs="Times New Roman"/>
          <w:lang w:val="fr-CA"/>
        </w:rPr>
        <w:t>’</w:t>
      </w:r>
      <w:r w:rsidR="004D371B">
        <w:rPr>
          <w:rFonts w:cs="Times New Roman"/>
          <w:lang w:val="fr-CA"/>
        </w:rPr>
        <w:t>autres droits protégés : « . . . l</w:t>
      </w:r>
      <w:r w:rsidRPr="002A0914">
        <w:rPr>
          <w:rFonts w:cs="Times New Roman"/>
          <w:lang w:val="fr-CA"/>
        </w:rPr>
        <w:t>e droit à l</w:t>
      </w:r>
      <w:r>
        <w:rPr>
          <w:rFonts w:cs="Times New Roman"/>
          <w:lang w:val="fr-CA"/>
        </w:rPr>
        <w:t>’</w:t>
      </w:r>
      <w:r w:rsidRPr="002A0914">
        <w:rPr>
          <w:rFonts w:cs="Times New Roman"/>
          <w:lang w:val="fr-CA"/>
        </w:rPr>
        <w:t>absence de discrimination ne peut à lui seul fonder un recours et doit nécessairement être rattaché à un autre droit ou à une autre liberté de la personne reconnus par la loi » (</w:t>
      </w:r>
      <w:r w:rsidRPr="002A0914">
        <w:rPr>
          <w:rFonts w:cs="Times New Roman"/>
          <w:i/>
          <w:lang w:val="fr-CA"/>
        </w:rPr>
        <w:t>Québec (Commission des droits de la personne et des droits de la jeunesse) c. Bombardier Inc. (Bombardier Aéronautique Centre de formation)</w:t>
      </w:r>
      <w:r w:rsidRPr="002A0914">
        <w:rPr>
          <w:rFonts w:cs="Times New Roman"/>
          <w:lang w:val="fr-CA"/>
        </w:rPr>
        <w:t>,</w:t>
      </w:r>
      <w:r w:rsidRPr="002A0914">
        <w:rPr>
          <w:rFonts w:cs="Times New Roman"/>
          <w:i/>
          <w:lang w:val="fr-CA"/>
        </w:rPr>
        <w:t xml:space="preserve"> </w:t>
      </w:r>
      <w:r w:rsidRPr="002A0914">
        <w:rPr>
          <w:rFonts w:cs="Times New Roman"/>
          <w:lang w:val="fr-CA"/>
        </w:rPr>
        <w:t>2015 CSC 39, [2015] 2 R.C.S. 789, par. 54). Dans un contexte d</w:t>
      </w:r>
      <w:r>
        <w:rPr>
          <w:rFonts w:cs="Times New Roman"/>
          <w:lang w:val="fr-CA"/>
        </w:rPr>
        <w:t>’</w:t>
      </w:r>
      <w:r w:rsidRPr="002A0914">
        <w:rPr>
          <w:rFonts w:cs="Times New Roman"/>
          <w:lang w:val="fr-CA"/>
        </w:rPr>
        <w:t xml:space="preserve">emploi, ces droits sont </w:t>
      </w:r>
      <w:r w:rsidRPr="002A0914">
        <w:rPr>
          <w:rFonts w:cs="Times New Roman"/>
          <w:lang w:val="fr-CA"/>
        </w:rPr>
        <w:lastRenderedPageBreak/>
        <w:t xml:space="preserve">énoncés aux art. 16 à 20 de la </w:t>
      </w:r>
      <w:r w:rsidRPr="002A0914">
        <w:rPr>
          <w:rFonts w:cs="Times New Roman"/>
          <w:i/>
          <w:lang w:val="fr-CA"/>
        </w:rPr>
        <w:t xml:space="preserve">Charte </w:t>
      </w:r>
      <w:r w:rsidRPr="002A0914">
        <w:rPr>
          <w:rFonts w:cs="Times New Roman"/>
          <w:lang w:val="fr-CA"/>
        </w:rPr>
        <w:t>québécoise. 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accommodement dans ce contexte trouve donc son origine dans l</w:t>
      </w:r>
      <w:r>
        <w:rPr>
          <w:rFonts w:cs="Times New Roman"/>
          <w:lang w:val="fr-CA"/>
        </w:rPr>
        <w:t>’</w:t>
      </w:r>
      <w:r w:rsidRPr="002A0914">
        <w:rPr>
          <w:rFonts w:cs="Times New Roman"/>
          <w:lang w:val="fr-CA"/>
        </w:rPr>
        <w:t xml:space="preserve">application conjointe des art. 10 et 16 de la </w:t>
      </w:r>
      <w:r w:rsidRPr="002A0914">
        <w:rPr>
          <w:rFonts w:cs="Times New Roman"/>
          <w:i/>
          <w:lang w:val="fr-CA"/>
        </w:rPr>
        <w:t xml:space="preserve">Charte </w:t>
      </w:r>
      <w:r w:rsidRPr="002A0914">
        <w:rPr>
          <w:rFonts w:cs="Times New Roman"/>
          <w:lang w:val="fr-CA"/>
        </w:rPr>
        <w:t>québécoise.</w:t>
      </w:r>
    </w:p>
    <w:p w:rsidR="00730DBB" w:rsidRPr="002A0914" w:rsidRDefault="00730DBB" w:rsidP="00730DBB">
      <w:pPr>
        <w:pStyle w:val="ParaNoNdepar-AltN"/>
        <w:rPr>
          <w:rFonts w:cs="Times New Roman"/>
          <w:lang w:val="fr-CA"/>
        </w:rPr>
      </w:pPr>
      <w:r w:rsidRPr="002A0914">
        <w:rPr>
          <w:rFonts w:cs="Times New Roman"/>
          <w:lang w:val="fr-CA"/>
        </w:rPr>
        <w:t>La Cour a reconnu l</w:t>
      </w:r>
      <w:r>
        <w:rPr>
          <w:rFonts w:cs="Times New Roman"/>
          <w:lang w:val="fr-CA"/>
        </w:rPr>
        <w:t>’</w:t>
      </w:r>
      <w:r w:rsidRPr="002A0914">
        <w:rPr>
          <w:rFonts w:cs="Times New Roman"/>
          <w:lang w:val="fr-CA"/>
        </w:rPr>
        <w:t>existence de 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accommodement en 1985 (quelques mois après l</w:t>
      </w:r>
      <w:r>
        <w:rPr>
          <w:rFonts w:cs="Times New Roman"/>
          <w:lang w:val="fr-CA"/>
        </w:rPr>
        <w:t>’</w:t>
      </w:r>
      <w:r w:rsidRPr="002A0914">
        <w:rPr>
          <w:rFonts w:cs="Times New Roman"/>
          <w:lang w:val="fr-CA"/>
        </w:rPr>
        <w:t>adoption de la Loi) (</w:t>
      </w:r>
      <w:r w:rsidRPr="002A0914">
        <w:rPr>
          <w:rFonts w:cs="Times New Roman"/>
          <w:i/>
          <w:lang w:val="fr-CA"/>
        </w:rPr>
        <w:t>Commission ontarienne des droits de la personne c. Simpsons</w:t>
      </w:r>
      <w:r w:rsidRPr="002A0914">
        <w:rPr>
          <w:rFonts w:cs="Times New Roman"/>
          <w:i/>
          <w:lang w:val="fr-CA"/>
        </w:rPr>
        <w:noBreakHyphen/>
        <w:t>Sears Ltd.</w:t>
      </w:r>
      <w:r w:rsidRPr="002A0914">
        <w:rPr>
          <w:rFonts w:cs="Times New Roman"/>
          <w:lang w:val="fr-CA"/>
        </w:rPr>
        <w:t>,</w:t>
      </w:r>
      <w:r w:rsidRPr="002A0914">
        <w:rPr>
          <w:rFonts w:cs="Times New Roman"/>
          <w:i/>
          <w:lang w:val="fr-CA"/>
        </w:rPr>
        <w:t xml:space="preserve"> </w:t>
      </w:r>
      <w:r w:rsidRPr="002A0914">
        <w:rPr>
          <w:rFonts w:cs="Times New Roman"/>
          <w:lang w:val="fr-CA"/>
        </w:rPr>
        <w:t>[1985] 2 R.C.S. 536). Celle</w:t>
      </w:r>
      <w:r w:rsidRPr="002A0914">
        <w:rPr>
          <w:rFonts w:cs="Times New Roman"/>
          <w:lang w:val="fr-CA"/>
        </w:rPr>
        <w:noBreakHyphen/>
        <w:t>ci oblige l</w:t>
      </w:r>
      <w:r>
        <w:rPr>
          <w:rFonts w:cs="Times New Roman"/>
          <w:lang w:val="fr-CA"/>
        </w:rPr>
        <w:t>’</w:t>
      </w:r>
      <w:r w:rsidRPr="002A0914">
        <w:rPr>
          <w:rFonts w:cs="Times New Roman"/>
          <w:lang w:val="fr-CA"/>
        </w:rPr>
        <w:t>employeur à prendre des mesures d</w:t>
      </w:r>
      <w:r>
        <w:rPr>
          <w:rFonts w:cs="Times New Roman"/>
          <w:lang w:val="fr-CA"/>
        </w:rPr>
        <w:t>’</w:t>
      </w:r>
      <w:r w:rsidRPr="002A0914">
        <w:rPr>
          <w:rFonts w:cs="Times New Roman"/>
          <w:lang w:val="fr-CA"/>
        </w:rPr>
        <w:t>accommodement tant qu</w:t>
      </w:r>
      <w:r>
        <w:rPr>
          <w:rFonts w:cs="Times New Roman"/>
          <w:lang w:val="fr-CA"/>
        </w:rPr>
        <w:t>’</w:t>
      </w:r>
      <w:r w:rsidRPr="002A0914">
        <w:rPr>
          <w:rFonts w:cs="Times New Roman"/>
          <w:lang w:val="fr-CA"/>
        </w:rPr>
        <w:t>il n</w:t>
      </w:r>
      <w:r>
        <w:rPr>
          <w:rFonts w:cs="Times New Roman"/>
          <w:lang w:val="fr-CA"/>
        </w:rPr>
        <w:t>’</w:t>
      </w:r>
      <w:r w:rsidRPr="002A0914">
        <w:rPr>
          <w:rFonts w:cs="Times New Roman"/>
          <w:lang w:val="fr-CA"/>
        </w:rPr>
        <w:t>en résulte pas pour lui une contrainte excessive. S</w:t>
      </w:r>
      <w:r>
        <w:rPr>
          <w:rFonts w:cs="Times New Roman"/>
          <w:lang w:val="fr-CA"/>
        </w:rPr>
        <w:t>’</w:t>
      </w:r>
      <w:r w:rsidRPr="002A0914">
        <w:rPr>
          <w:rFonts w:cs="Times New Roman"/>
          <w:lang w:val="fr-CA"/>
        </w:rPr>
        <w:t>exprimant au nom de la Cour à l</w:t>
      </w:r>
      <w:r>
        <w:rPr>
          <w:rFonts w:cs="Times New Roman"/>
          <w:lang w:val="fr-CA"/>
        </w:rPr>
        <w:t>’</w:t>
      </w:r>
      <w:r w:rsidRPr="002A0914">
        <w:rPr>
          <w:rFonts w:cs="Times New Roman"/>
          <w:lang w:val="fr-CA"/>
        </w:rPr>
        <w:t>unanimité, la juge Deschamps a résumé l</w:t>
      </w:r>
      <w:r>
        <w:rPr>
          <w:rFonts w:cs="Times New Roman"/>
          <w:lang w:val="fr-CA"/>
        </w:rPr>
        <w:t>’</w:t>
      </w:r>
      <w:r w:rsidRPr="002A0914">
        <w:rPr>
          <w:rFonts w:cs="Times New Roman"/>
          <w:lang w:val="fr-CA"/>
        </w:rPr>
        <w:t>obligation :</w:t>
      </w:r>
    </w:p>
    <w:p w:rsidR="00730DBB" w:rsidRPr="002A0914" w:rsidRDefault="00730DBB" w:rsidP="00730DBB">
      <w:pPr>
        <w:pStyle w:val="Citation-AltC"/>
        <w:tabs>
          <w:tab w:val="left" w:pos="1530"/>
        </w:tabs>
        <w:spacing w:after="240"/>
        <w:ind w:hanging="1166"/>
        <w:contextualSpacing w:val="0"/>
        <w:rPr>
          <w:lang w:val="fr-CA"/>
        </w:rPr>
      </w:pPr>
      <w:r w:rsidRPr="002A0914">
        <w:rPr>
          <w:lang w:val="fr-CA"/>
        </w:rPr>
        <w:tab/>
      </w:r>
      <w:r>
        <w:rPr>
          <w:lang w:val="fr-CA"/>
        </w:rPr>
        <w:tab/>
        <w:t xml:space="preserve">. . . </w:t>
      </w:r>
      <w:r w:rsidRPr="002A0914">
        <w:rPr>
          <w:lang w:val="fr-CA"/>
        </w:rPr>
        <w:t>l</w:t>
      </w:r>
      <w:r>
        <w:rPr>
          <w:lang w:val="fr-CA"/>
        </w:rPr>
        <w:t>’</w:t>
      </w:r>
      <w:r w:rsidRPr="002A0914">
        <w:rPr>
          <w:lang w:val="fr-CA"/>
        </w:rPr>
        <w:t>obligation d</w:t>
      </w:r>
      <w:r>
        <w:rPr>
          <w:lang w:val="fr-CA"/>
        </w:rPr>
        <w:t>’</w:t>
      </w:r>
      <w:r w:rsidRPr="002A0914">
        <w:rPr>
          <w:lang w:val="fr-CA"/>
        </w:rPr>
        <w:t>accommodement [. . .] implique que l</w:t>
      </w:r>
      <w:r>
        <w:rPr>
          <w:lang w:val="fr-CA"/>
        </w:rPr>
        <w:t>’</w:t>
      </w:r>
      <w:r w:rsidRPr="002A0914">
        <w:rPr>
          <w:lang w:val="fr-CA"/>
        </w:rPr>
        <w:t>employeur est tenu de faire preuve de souplesse dans l</w:t>
      </w:r>
      <w:r>
        <w:rPr>
          <w:lang w:val="fr-CA"/>
        </w:rPr>
        <w:t>’</w:t>
      </w:r>
      <w:r w:rsidRPr="002A0914">
        <w:rPr>
          <w:lang w:val="fr-CA"/>
        </w:rPr>
        <w:t>application de sa norme si un tel assouplissement permet à l</w:t>
      </w:r>
      <w:r>
        <w:rPr>
          <w:lang w:val="fr-CA"/>
        </w:rPr>
        <w:t>’</w:t>
      </w:r>
      <w:r w:rsidRPr="002A0914">
        <w:rPr>
          <w:lang w:val="fr-CA"/>
        </w:rPr>
        <w:t>employé concerné de fournir sa prestation de travail sans que l</w:t>
      </w:r>
      <w:r>
        <w:rPr>
          <w:lang w:val="fr-CA"/>
        </w:rPr>
        <w:t>’</w:t>
      </w:r>
      <w:r w:rsidRPr="002A0914">
        <w:rPr>
          <w:lang w:val="fr-CA"/>
        </w:rPr>
        <w:t>employeur subisse une contrainte excessive. . .</w:t>
      </w:r>
    </w:p>
    <w:p w:rsidR="00730DBB" w:rsidRPr="002A0914" w:rsidRDefault="00730DBB" w:rsidP="00730DBB">
      <w:pPr>
        <w:pStyle w:val="Citation-AltC"/>
        <w:tabs>
          <w:tab w:val="left" w:pos="1530"/>
        </w:tabs>
        <w:spacing w:after="240"/>
        <w:ind w:hanging="1166"/>
        <w:contextualSpacing w:val="0"/>
        <w:rPr>
          <w:lang w:val="fr-CA"/>
        </w:rPr>
      </w:pPr>
      <w:r w:rsidRPr="002A0914">
        <w:rPr>
          <w:lang w:val="fr-CA"/>
        </w:rPr>
        <w:tab/>
      </w:r>
      <w:r w:rsidRPr="002A0914">
        <w:rPr>
          <w:lang w:val="fr-CA"/>
        </w:rPr>
        <w:tab/>
      </w:r>
      <w:r>
        <w:rPr>
          <w:lang w:val="fr-CA"/>
        </w:rPr>
        <w:t xml:space="preserve">. . . </w:t>
      </w:r>
      <w:r w:rsidRPr="002A0914">
        <w:rPr>
          <w:lang w:val="fr-CA"/>
        </w:rPr>
        <w:t>les mesures d</w:t>
      </w:r>
      <w:r>
        <w:rPr>
          <w:lang w:val="fr-CA"/>
        </w:rPr>
        <w:t>’</w:t>
      </w:r>
      <w:r w:rsidRPr="002A0914">
        <w:rPr>
          <w:lang w:val="fr-CA"/>
        </w:rPr>
        <w:t>accommodement ont pour but de permettre à l</w:t>
      </w:r>
      <w:r>
        <w:rPr>
          <w:lang w:val="fr-CA"/>
        </w:rPr>
        <w:t>’</w:t>
      </w:r>
      <w:r w:rsidRPr="002A0914">
        <w:rPr>
          <w:lang w:val="fr-CA"/>
        </w:rPr>
        <w:t>employé capable de travailler de le faire. [. . .] L</w:t>
      </w:r>
      <w:r>
        <w:rPr>
          <w:lang w:val="fr-CA"/>
        </w:rPr>
        <w:t>’</w:t>
      </w:r>
      <w:r w:rsidRPr="002A0914">
        <w:rPr>
          <w:lang w:val="fr-CA"/>
        </w:rPr>
        <w:t>obligation d</w:t>
      </w:r>
      <w:r>
        <w:rPr>
          <w:lang w:val="fr-CA"/>
        </w:rPr>
        <w:t>’</w:t>
      </w:r>
      <w:r w:rsidRPr="002A0914">
        <w:rPr>
          <w:lang w:val="fr-CA"/>
        </w:rPr>
        <w:t>accommodement a pour objet d</w:t>
      </w:r>
      <w:r>
        <w:rPr>
          <w:lang w:val="fr-CA"/>
        </w:rPr>
        <w:t>’</w:t>
      </w:r>
      <w:r w:rsidRPr="002A0914">
        <w:rPr>
          <w:lang w:val="fr-CA"/>
        </w:rPr>
        <w:t xml:space="preserve">empêcher que des personnes par ailleurs aptes ne soient injustement exclues, alors que les conditions de travail pourraient être adaptées sans créer de contrainte excessive. </w:t>
      </w:r>
    </w:p>
    <w:p w:rsidR="00730DBB" w:rsidRPr="002A0914" w:rsidRDefault="00730DBB" w:rsidP="00D22257">
      <w:pPr>
        <w:pStyle w:val="Citation-AltC"/>
        <w:ind w:left="0"/>
        <w:contextualSpacing w:val="0"/>
        <w:rPr>
          <w:lang w:val="fr-CA"/>
        </w:rPr>
      </w:pPr>
      <w:r w:rsidRPr="002A0914">
        <w:rPr>
          <w:lang w:val="fr-CA"/>
        </w:rPr>
        <w:t>(</w:t>
      </w:r>
      <w:r w:rsidRPr="002A0914">
        <w:rPr>
          <w:i/>
          <w:lang w:val="fr-CA"/>
        </w:rPr>
        <w:t>Hydro</w:t>
      </w:r>
      <w:r w:rsidRPr="002A0914">
        <w:rPr>
          <w:i/>
          <w:lang w:val="fr-CA"/>
        </w:rPr>
        <w:noBreakHyphen/>
        <w:t>Québec c. Syndicat des employé</w:t>
      </w:r>
      <w:r w:rsidRPr="002A0914">
        <w:rPr>
          <w:i/>
          <w:lang w:val="fr-CA"/>
        </w:rPr>
        <w:noBreakHyphen/>
        <w:t>e</w:t>
      </w:r>
      <w:r w:rsidRPr="002A0914">
        <w:rPr>
          <w:i/>
          <w:lang w:val="fr-CA"/>
        </w:rPr>
        <w:noBreakHyphen/>
        <w:t>s de techniques professionnelles et de bureau d</w:t>
      </w:r>
      <w:r>
        <w:rPr>
          <w:i/>
          <w:lang w:val="fr-CA"/>
        </w:rPr>
        <w:t>’</w:t>
      </w:r>
      <w:r w:rsidRPr="002A0914">
        <w:rPr>
          <w:i/>
          <w:lang w:val="fr-CA"/>
        </w:rPr>
        <w:t>Hydro</w:t>
      </w:r>
      <w:r w:rsidRPr="002A0914">
        <w:rPr>
          <w:i/>
          <w:lang w:val="fr-CA"/>
        </w:rPr>
        <w:noBreakHyphen/>
        <w:t>Québec, section locale 2000 (SCFP</w:t>
      </w:r>
      <w:r w:rsidRPr="002A0914">
        <w:rPr>
          <w:i/>
          <w:lang w:val="fr-CA"/>
        </w:rPr>
        <w:noBreakHyphen/>
        <w:t>FTQ)</w:t>
      </w:r>
      <w:r w:rsidRPr="002A0914">
        <w:rPr>
          <w:lang w:val="fr-CA"/>
        </w:rPr>
        <w:t xml:space="preserve">, </w:t>
      </w:r>
      <w:r w:rsidR="004D371B">
        <w:rPr>
          <w:lang w:val="fr-CA"/>
        </w:rPr>
        <w:t xml:space="preserve">2008 CSC 43, </w:t>
      </w:r>
      <w:r w:rsidRPr="002A0914">
        <w:rPr>
          <w:lang w:val="fr-CA"/>
        </w:rPr>
        <w:t>[2008] 2 R.C.S. 561,</w:t>
      </w:r>
      <w:r w:rsidRPr="002A0914">
        <w:rPr>
          <w:b/>
          <w:lang w:val="fr-CA"/>
        </w:rPr>
        <w:t xml:space="preserve"> </w:t>
      </w:r>
      <w:r w:rsidRPr="002A0914">
        <w:rPr>
          <w:lang w:val="fr-CA"/>
        </w:rPr>
        <w:t>par. 13</w:t>
      </w:r>
      <w:r w:rsidRPr="002A0914">
        <w:rPr>
          <w:lang w:val="fr-CA"/>
        </w:rPr>
        <w:noBreakHyphen/>
        <w:t>14)</w:t>
      </w:r>
    </w:p>
    <w:p w:rsidR="00730DBB" w:rsidRPr="002A0914" w:rsidRDefault="00730DBB" w:rsidP="00730DBB">
      <w:pPr>
        <w:pStyle w:val="ParaNoNdepar-AltN"/>
        <w:rPr>
          <w:rFonts w:cs="Times New Roman"/>
          <w:lang w:val="fr-CA"/>
        </w:rPr>
      </w:pPr>
      <w:r w:rsidRPr="002A0914">
        <w:rPr>
          <w:rFonts w:cs="Times New Roman"/>
          <w:lang w:val="fr-CA"/>
        </w:rPr>
        <w:t>L</w:t>
      </w:r>
      <w:r>
        <w:rPr>
          <w:rFonts w:cs="Times New Roman"/>
          <w:lang w:val="fr-CA"/>
        </w:rPr>
        <w:t>’</w:t>
      </w:r>
      <w:r w:rsidRPr="002A0914">
        <w:rPr>
          <w:rFonts w:cs="Times New Roman"/>
          <w:lang w:val="fr-CA"/>
        </w:rPr>
        <w:t xml:space="preserve">article 52 de la </w:t>
      </w:r>
      <w:r w:rsidRPr="002A0914">
        <w:rPr>
          <w:rFonts w:cs="Times New Roman"/>
          <w:i/>
          <w:lang w:val="fr-CA"/>
        </w:rPr>
        <w:t>Charte</w:t>
      </w:r>
      <w:r w:rsidRPr="002A0914">
        <w:rPr>
          <w:rFonts w:cs="Times New Roman"/>
          <w:lang w:val="fr-CA"/>
        </w:rPr>
        <w:t xml:space="preserve"> québécoise</w:t>
      </w:r>
      <w:r w:rsidRPr="002A0914">
        <w:rPr>
          <w:rFonts w:cs="Times New Roman"/>
          <w:i/>
          <w:lang w:val="fr-CA"/>
        </w:rPr>
        <w:t xml:space="preserve"> </w:t>
      </w:r>
      <w:r w:rsidRPr="002A0914">
        <w:rPr>
          <w:rFonts w:cs="Times New Roman"/>
          <w:lang w:val="fr-CA"/>
        </w:rPr>
        <w:t>prévoit qu</w:t>
      </w:r>
      <w:r>
        <w:rPr>
          <w:rFonts w:cs="Times New Roman"/>
          <w:lang w:val="fr-CA"/>
        </w:rPr>
        <w:t>’</w:t>
      </w:r>
      <w:r w:rsidRPr="002A0914">
        <w:rPr>
          <w:rFonts w:cs="Times New Roman"/>
          <w:lang w:val="fr-CA"/>
        </w:rPr>
        <w:t>à moins qu</w:t>
      </w:r>
      <w:r>
        <w:rPr>
          <w:rFonts w:cs="Times New Roman"/>
          <w:lang w:val="fr-CA"/>
        </w:rPr>
        <w:t>’</w:t>
      </w:r>
      <w:r w:rsidRPr="002A0914">
        <w:rPr>
          <w:rFonts w:cs="Times New Roman"/>
          <w:lang w:val="fr-CA"/>
        </w:rPr>
        <w:t>une loi n</w:t>
      </w:r>
      <w:r>
        <w:rPr>
          <w:rFonts w:cs="Times New Roman"/>
          <w:lang w:val="fr-CA"/>
        </w:rPr>
        <w:t>’</w:t>
      </w:r>
      <w:r w:rsidRPr="002A0914">
        <w:rPr>
          <w:rFonts w:cs="Times New Roman"/>
          <w:lang w:val="fr-CA"/>
        </w:rPr>
        <w:t xml:space="preserve">énonce expressément le contraire, aucune disposition de cette loi ne peut porter atteinte aux droits protégés par les art. 1 à 38 de la </w:t>
      </w:r>
      <w:r w:rsidRPr="002A0914">
        <w:rPr>
          <w:rFonts w:cs="Times New Roman"/>
          <w:i/>
          <w:lang w:val="fr-CA"/>
        </w:rPr>
        <w:t>Charte</w:t>
      </w:r>
      <w:r w:rsidRPr="002A0914">
        <w:rPr>
          <w:rFonts w:cs="Times New Roman"/>
          <w:lang w:val="fr-CA"/>
        </w:rPr>
        <w:t xml:space="preserve"> québécoise. Ces articles de la </w:t>
      </w:r>
      <w:r w:rsidRPr="002A0914">
        <w:rPr>
          <w:rFonts w:cs="Times New Roman"/>
          <w:i/>
          <w:lang w:val="fr-CA"/>
        </w:rPr>
        <w:t>Charte</w:t>
      </w:r>
      <w:r w:rsidRPr="002A0914">
        <w:rPr>
          <w:rFonts w:cs="Times New Roman"/>
          <w:lang w:val="fr-CA"/>
        </w:rPr>
        <w:t xml:space="preserve"> québécoise prévalent donc sur les autres textes de loi, en l</w:t>
      </w:r>
      <w:r>
        <w:rPr>
          <w:rFonts w:cs="Times New Roman"/>
          <w:lang w:val="fr-CA"/>
        </w:rPr>
        <w:t>’</w:t>
      </w:r>
      <w:r w:rsidRPr="002A0914">
        <w:rPr>
          <w:rFonts w:cs="Times New Roman"/>
          <w:lang w:val="fr-CA"/>
        </w:rPr>
        <w:t>absence d</w:t>
      </w:r>
      <w:r>
        <w:rPr>
          <w:rFonts w:cs="Times New Roman"/>
          <w:lang w:val="fr-CA"/>
        </w:rPr>
        <w:t>’</w:t>
      </w:r>
      <w:r w:rsidRPr="002A0914">
        <w:rPr>
          <w:rFonts w:cs="Times New Roman"/>
          <w:lang w:val="fr-CA"/>
        </w:rPr>
        <w:t xml:space="preserve">une </w:t>
      </w:r>
      <w:r w:rsidRPr="002A0914">
        <w:rPr>
          <w:rFonts w:cs="Times New Roman"/>
          <w:lang w:val="fr-CA"/>
        </w:rPr>
        <w:lastRenderedPageBreak/>
        <w:t>dérogation expresse. Lorsqu</w:t>
      </w:r>
      <w:r>
        <w:rPr>
          <w:rFonts w:cs="Times New Roman"/>
          <w:lang w:val="fr-CA"/>
        </w:rPr>
        <w:t>’</w:t>
      </w:r>
      <w:r w:rsidRPr="002A0914">
        <w:rPr>
          <w:rFonts w:cs="Times New Roman"/>
          <w:lang w:val="fr-CA"/>
        </w:rPr>
        <w:t>une disposition porte atteinte à ces articles de la</w:t>
      </w:r>
      <w:r w:rsidRPr="002A0914">
        <w:rPr>
          <w:rFonts w:eastAsiaTheme="minorHAnsi" w:cs="Times New Roman"/>
          <w:i/>
          <w:lang w:val="fr-CA" w:bidi="en-US"/>
        </w:rPr>
        <w:t xml:space="preserve"> </w:t>
      </w:r>
      <w:r w:rsidRPr="002A0914">
        <w:rPr>
          <w:rFonts w:cs="Times New Roman"/>
          <w:i/>
          <w:lang w:val="fr-CA"/>
        </w:rPr>
        <w:t>Charte</w:t>
      </w:r>
      <w:r w:rsidRPr="002A0914">
        <w:rPr>
          <w:rFonts w:cs="Times New Roman"/>
          <w:lang w:val="fr-CA"/>
        </w:rPr>
        <w:t xml:space="preserve"> québécoise, elle est inopérante, sous réserve d</w:t>
      </w:r>
      <w:r>
        <w:rPr>
          <w:rFonts w:cs="Times New Roman"/>
          <w:lang w:val="fr-CA"/>
        </w:rPr>
        <w:t>’</w:t>
      </w:r>
      <w:r w:rsidRPr="002A0914">
        <w:rPr>
          <w:rFonts w:cs="Times New Roman"/>
          <w:lang w:val="fr-CA"/>
        </w:rPr>
        <w:t>une justification fondée sur l</w:t>
      </w:r>
      <w:r>
        <w:rPr>
          <w:rFonts w:cs="Times New Roman"/>
          <w:lang w:val="fr-CA"/>
        </w:rPr>
        <w:t>’</w:t>
      </w:r>
      <w:r w:rsidRPr="002A0914">
        <w:rPr>
          <w:rFonts w:cs="Times New Roman"/>
          <w:lang w:val="fr-CA"/>
        </w:rPr>
        <w:t>article 9.1 dans le cas des droits protégés par les articles 1 à 9 (</w:t>
      </w:r>
      <w:r w:rsidRPr="002A0914">
        <w:rPr>
          <w:rFonts w:cs="Times New Roman"/>
          <w:i/>
          <w:lang w:val="fr-CA"/>
        </w:rPr>
        <w:t>Ford c. Québec (Procureur général)</w:t>
      </w:r>
      <w:r w:rsidRPr="002A0914">
        <w:rPr>
          <w:rFonts w:cs="Times New Roman"/>
          <w:lang w:val="fr-CA"/>
        </w:rPr>
        <w:t>, [1988] 2 R.C.S. 712, p. 769</w:t>
      </w:r>
      <w:r w:rsidRPr="002A0914">
        <w:rPr>
          <w:rFonts w:cs="Times New Roman"/>
          <w:lang w:val="fr-CA"/>
        </w:rPr>
        <w:noBreakHyphen/>
        <w:t>771; voir aussi</w:t>
      </w:r>
      <w:r w:rsidRPr="002A0914">
        <w:rPr>
          <w:rFonts w:cs="Times New Roman"/>
          <w:i/>
          <w:lang w:val="fr-CA"/>
        </w:rPr>
        <w:t xml:space="preserve"> Chaoulli c. Québec (Procureur général)</w:t>
      </w:r>
      <w:r w:rsidRPr="002A0914">
        <w:rPr>
          <w:rFonts w:cs="Times New Roman"/>
          <w:lang w:val="fr-CA"/>
        </w:rPr>
        <w:t>, 2005 CSC 35, [2005] 1 R.C.S. 791).</w:t>
      </w:r>
    </w:p>
    <w:p w:rsidR="00730DBB" w:rsidRPr="002A0914" w:rsidRDefault="00730DBB" w:rsidP="00730DBB">
      <w:pPr>
        <w:pStyle w:val="ParaNoNdepar-AltN"/>
        <w:rPr>
          <w:rFonts w:cs="Times New Roman"/>
          <w:lang w:val="fr-CA"/>
        </w:rPr>
      </w:pPr>
      <w:r w:rsidRPr="002A0914">
        <w:rPr>
          <w:rFonts w:cs="Times New Roman"/>
          <w:lang w:val="fr-CA"/>
        </w:rPr>
        <w:t>En cas d</w:t>
      </w:r>
      <w:r>
        <w:rPr>
          <w:rFonts w:cs="Times New Roman"/>
          <w:lang w:val="fr-CA"/>
        </w:rPr>
        <w:t>’</w:t>
      </w:r>
      <w:r w:rsidRPr="002A0914">
        <w:rPr>
          <w:rFonts w:cs="Times New Roman"/>
          <w:lang w:val="fr-CA"/>
        </w:rPr>
        <w:t>atteinte à un droit, soit par l</w:t>
      </w:r>
      <w:r>
        <w:rPr>
          <w:rFonts w:cs="Times New Roman"/>
          <w:lang w:val="fr-CA"/>
        </w:rPr>
        <w:t>’</w:t>
      </w:r>
      <w:r w:rsidRPr="002A0914">
        <w:rPr>
          <w:rFonts w:cs="Times New Roman"/>
          <w:lang w:val="fr-CA"/>
        </w:rPr>
        <w:t>État soit par une partie privée, l</w:t>
      </w:r>
      <w:r>
        <w:rPr>
          <w:rFonts w:cs="Times New Roman"/>
          <w:lang w:val="fr-CA"/>
        </w:rPr>
        <w:t>’</w:t>
      </w:r>
      <w:r w:rsidRPr="002A0914">
        <w:rPr>
          <w:rFonts w:cs="Times New Roman"/>
          <w:lang w:val="fr-CA"/>
        </w:rPr>
        <w:t xml:space="preserve">art. 49 de la </w:t>
      </w:r>
      <w:r w:rsidRPr="002A0914">
        <w:rPr>
          <w:rFonts w:cs="Times New Roman"/>
          <w:i/>
          <w:lang w:val="fr-CA"/>
        </w:rPr>
        <w:t>Charte</w:t>
      </w:r>
      <w:r w:rsidRPr="002A0914">
        <w:rPr>
          <w:rFonts w:cs="Times New Roman"/>
          <w:lang w:val="fr-CA"/>
        </w:rPr>
        <w:t xml:space="preserve"> québécoise offre au demandeur diverses mesures de réparation. Tout d</w:t>
      </w:r>
      <w:r>
        <w:rPr>
          <w:rFonts w:cs="Times New Roman"/>
          <w:lang w:val="fr-CA"/>
        </w:rPr>
        <w:t>’</w:t>
      </w:r>
      <w:r w:rsidRPr="002A0914">
        <w:rPr>
          <w:rFonts w:cs="Times New Roman"/>
          <w:lang w:val="fr-CA"/>
        </w:rPr>
        <w:t>abord, le demandeur peut se voir octroyer des dommages</w:t>
      </w:r>
      <w:r w:rsidRPr="002A0914">
        <w:rPr>
          <w:rFonts w:cs="Times New Roman"/>
          <w:lang w:val="fr-CA"/>
        </w:rPr>
        <w:noBreakHyphen/>
        <w:t>intérêts compensatoires. Ensuite, le demandeur peut se voir octroyer des dommages</w:t>
      </w:r>
      <w:r w:rsidRPr="002A0914">
        <w:rPr>
          <w:rFonts w:cs="Times New Roman"/>
          <w:lang w:val="fr-CA"/>
        </w:rPr>
        <w:noBreakHyphen/>
        <w:t>intérêts punitifs en cas d</w:t>
      </w:r>
      <w:r>
        <w:rPr>
          <w:rFonts w:cs="Times New Roman"/>
          <w:lang w:val="fr-CA"/>
        </w:rPr>
        <w:t>’</w:t>
      </w:r>
      <w:r w:rsidRPr="002A0914">
        <w:rPr>
          <w:rFonts w:cs="Times New Roman"/>
          <w:lang w:val="fr-CA"/>
        </w:rPr>
        <w:t>atteinte illicite et intentionnelle à ses droits. Enfin, le demandeur peut obtenir la cessation de l</w:t>
      </w:r>
      <w:r>
        <w:rPr>
          <w:rFonts w:cs="Times New Roman"/>
          <w:lang w:val="fr-CA"/>
        </w:rPr>
        <w:t>’</w:t>
      </w:r>
      <w:r w:rsidRPr="002A0914">
        <w:rPr>
          <w:rFonts w:cs="Times New Roman"/>
          <w:lang w:val="fr-CA"/>
        </w:rPr>
        <w:t>atteinte à ses droits. Dans un tel cas, le droit des libertés civiles peut aller au</w:t>
      </w:r>
      <w:r w:rsidRPr="002A0914">
        <w:rPr>
          <w:rFonts w:cs="Times New Roman"/>
          <w:lang w:val="fr-CA"/>
        </w:rPr>
        <w:noBreakHyphen/>
        <w:t>delà du droit de la responsabilité civile. Comme l</w:t>
      </w:r>
      <w:r>
        <w:rPr>
          <w:rFonts w:cs="Times New Roman"/>
          <w:lang w:val="fr-CA"/>
        </w:rPr>
        <w:t>’</w:t>
      </w:r>
      <w:r w:rsidRPr="002A0914">
        <w:rPr>
          <w:rFonts w:cs="Times New Roman"/>
          <w:lang w:val="fr-CA"/>
        </w:rPr>
        <w:t>a affirmé le juge LeBel :</w:t>
      </w:r>
    </w:p>
    <w:p w:rsidR="00730DBB" w:rsidRPr="002A0914" w:rsidRDefault="00730DBB" w:rsidP="00730DBB">
      <w:pPr>
        <w:pStyle w:val="Citation-AltC"/>
        <w:tabs>
          <w:tab w:val="left" w:pos="1530"/>
        </w:tabs>
        <w:spacing w:after="240"/>
        <w:ind w:hanging="1166"/>
        <w:contextualSpacing w:val="0"/>
        <w:rPr>
          <w:i/>
          <w:lang w:val="fr-CA"/>
        </w:rPr>
      </w:pPr>
      <w:r w:rsidRPr="002A0914">
        <w:rPr>
          <w:lang w:val="fr-CA"/>
        </w:rPr>
        <w:tab/>
        <w:t xml:space="preserve">Il faut parfois mettre fin à des comportements ou modifier des usages ou des méthodes incompatibles avec la </w:t>
      </w:r>
      <w:r w:rsidRPr="002A0914">
        <w:rPr>
          <w:i/>
          <w:iCs/>
          <w:lang w:val="fr-CA"/>
        </w:rPr>
        <w:t>Charte</w:t>
      </w:r>
      <w:r w:rsidRPr="002A0914">
        <w:rPr>
          <w:lang w:val="fr-CA"/>
        </w:rPr>
        <w:t xml:space="preserve"> </w:t>
      </w:r>
      <w:r w:rsidRPr="002A0914">
        <w:rPr>
          <w:i/>
          <w:iCs/>
          <w:lang w:val="fr-CA"/>
        </w:rPr>
        <w:t>québécoise</w:t>
      </w:r>
      <w:r w:rsidRPr="002A0914">
        <w:rPr>
          <w:lang w:val="fr-CA"/>
        </w:rPr>
        <w:t>, même en l</w:t>
      </w:r>
      <w:r>
        <w:rPr>
          <w:lang w:val="fr-CA"/>
        </w:rPr>
        <w:t>’</w:t>
      </w:r>
      <w:r w:rsidRPr="002A0914">
        <w:rPr>
          <w:lang w:val="fr-CA"/>
        </w:rPr>
        <w:t>absence de faute au sens du droit de la responsabilité civile</w:t>
      </w:r>
      <w:r w:rsidR="00C2411D">
        <w:rPr>
          <w:lang w:val="fr-CA"/>
        </w:rPr>
        <w:t>.</w:t>
      </w:r>
      <w:r w:rsidRPr="002A0914">
        <w:rPr>
          <w:lang w:val="fr-CA"/>
        </w:rPr>
        <w:t xml:space="preserve"> [. . .] Ainsi, dans le cadre de l</w:t>
      </w:r>
      <w:r>
        <w:rPr>
          <w:lang w:val="fr-CA"/>
        </w:rPr>
        <w:t>’</w:t>
      </w:r>
      <w:r w:rsidRPr="002A0914">
        <w:rPr>
          <w:lang w:val="fr-CA"/>
        </w:rPr>
        <w:t>exercice des recours appropriés devant les organismes ou les tribunaux compétents, la mise en œuvre [du droit des libertés civiles] peut conduire à l</w:t>
      </w:r>
      <w:r>
        <w:rPr>
          <w:lang w:val="fr-CA"/>
        </w:rPr>
        <w:t>’</w:t>
      </w:r>
      <w:r w:rsidRPr="002A0914">
        <w:rPr>
          <w:lang w:val="fr-CA"/>
        </w:rPr>
        <w:t>imposition d</w:t>
      </w:r>
      <w:r>
        <w:rPr>
          <w:lang w:val="fr-CA"/>
        </w:rPr>
        <w:t>’</w:t>
      </w:r>
      <w:r w:rsidRPr="002A0914">
        <w:rPr>
          <w:lang w:val="fr-CA"/>
        </w:rPr>
        <w:t xml:space="preserve">obligations de faire ou de ne pas faire, destinées à corriger ou à empêcher la perpétuation de situations incompatibles avec la </w:t>
      </w:r>
      <w:r w:rsidRPr="002A0914">
        <w:rPr>
          <w:i/>
          <w:iCs/>
          <w:lang w:val="fr-CA"/>
        </w:rPr>
        <w:t>Charte québécoise</w:t>
      </w:r>
      <w:r w:rsidRPr="002A0914">
        <w:rPr>
          <w:i/>
          <w:lang w:val="fr-CA"/>
        </w:rPr>
        <w:t>.</w:t>
      </w:r>
    </w:p>
    <w:p w:rsidR="00730DBB" w:rsidRPr="002A0914" w:rsidRDefault="00730DBB" w:rsidP="00730DBB">
      <w:pPr>
        <w:pStyle w:val="Citation-AltC"/>
        <w:ind w:hanging="1166"/>
        <w:rPr>
          <w:lang w:val="fr-CA"/>
        </w:rPr>
      </w:pPr>
      <w:r w:rsidRPr="002A0914">
        <w:rPr>
          <w:lang w:val="fr-CA"/>
        </w:rPr>
        <w:t>(</w:t>
      </w:r>
      <w:r w:rsidRPr="002A0914">
        <w:rPr>
          <w:i/>
          <w:lang w:val="fr-CA"/>
        </w:rPr>
        <w:t>Communauté urbaine de Montréal</w:t>
      </w:r>
      <w:r w:rsidRPr="002A0914">
        <w:rPr>
          <w:lang w:val="fr-CA"/>
        </w:rPr>
        <w:t>, par. 26)</w:t>
      </w:r>
    </w:p>
    <w:p w:rsidR="00730DBB" w:rsidRPr="002A0914" w:rsidRDefault="00730DBB" w:rsidP="00730DBB">
      <w:pPr>
        <w:pStyle w:val="ContinueParaSuitedupar-AltP"/>
        <w:rPr>
          <w:rFonts w:cs="Times New Roman"/>
          <w:lang w:val="fr-CA"/>
        </w:rPr>
      </w:pPr>
      <w:r w:rsidRPr="002A0914">
        <w:rPr>
          <w:rFonts w:cs="Times New Roman"/>
          <w:lang w:val="fr-CA"/>
        </w:rPr>
        <w:t>En l</w:t>
      </w:r>
      <w:r>
        <w:rPr>
          <w:rFonts w:cs="Times New Roman"/>
          <w:lang w:val="fr-CA"/>
        </w:rPr>
        <w:t>’</w:t>
      </w:r>
      <w:r w:rsidRPr="002A0914">
        <w:rPr>
          <w:rFonts w:cs="Times New Roman"/>
          <w:lang w:val="fr-CA"/>
        </w:rPr>
        <w:t xml:space="preserve">espèce, la réparation demandée entre dans cette catégorie; M. Caron cherche à obtenir un accommodement raisonnable de la part du Centre Miriam, une obligation de faire destinée à corriger une situation incompatible avec la </w:t>
      </w:r>
      <w:r w:rsidRPr="002A0914">
        <w:rPr>
          <w:rFonts w:cs="Times New Roman"/>
          <w:i/>
          <w:lang w:val="fr-CA"/>
        </w:rPr>
        <w:t xml:space="preserve">Charte </w:t>
      </w:r>
      <w:r w:rsidRPr="002A0914">
        <w:rPr>
          <w:rFonts w:cs="Times New Roman"/>
          <w:lang w:val="fr-CA"/>
        </w:rPr>
        <w:t>québécoise.</w:t>
      </w:r>
    </w:p>
    <w:p w:rsidR="00730DBB" w:rsidRPr="002A0914" w:rsidRDefault="00730DBB" w:rsidP="00730DBB">
      <w:pPr>
        <w:pStyle w:val="Title3LevelTitre3Niveau"/>
        <w:numPr>
          <w:ilvl w:val="2"/>
          <w:numId w:val="8"/>
        </w:numPr>
        <w:jc w:val="left"/>
        <w:rPr>
          <w:rFonts w:cs="Times New Roman"/>
          <w:lang w:val="fr-CA"/>
        </w:rPr>
      </w:pPr>
      <w:r w:rsidRPr="002A0914">
        <w:rPr>
          <w:rFonts w:cs="Times New Roman"/>
          <w:lang w:val="fr-CA"/>
        </w:rPr>
        <w:lastRenderedPageBreak/>
        <w:t xml:space="preserve">Conclusion sur les objets de la Loi et de la </w:t>
      </w:r>
      <w:r w:rsidRPr="002A0914">
        <w:rPr>
          <w:rFonts w:cs="Times New Roman"/>
          <w:i/>
          <w:lang w:val="fr-CA"/>
        </w:rPr>
        <w:t>Charte</w:t>
      </w:r>
      <w:r w:rsidRPr="002A0914">
        <w:rPr>
          <w:rFonts w:cs="Times New Roman"/>
          <w:lang w:val="fr-CA"/>
        </w:rPr>
        <w:t xml:space="preserve"> québécoise</w:t>
      </w:r>
    </w:p>
    <w:p w:rsidR="00730DBB" w:rsidRPr="002A0914" w:rsidRDefault="00730DBB" w:rsidP="00730DBB">
      <w:pPr>
        <w:pStyle w:val="ParaNoNdepar-AltN"/>
        <w:rPr>
          <w:rFonts w:cs="Times New Roman"/>
          <w:lang w:val="fr-CA"/>
        </w:rPr>
      </w:pPr>
      <w:r w:rsidRPr="002A0914">
        <w:rPr>
          <w:rFonts w:cs="Times New Roman"/>
          <w:lang w:val="fr-CA"/>
        </w:rPr>
        <w:t xml:space="preserve">La Loi et la </w:t>
      </w:r>
      <w:r w:rsidRPr="002A0914">
        <w:rPr>
          <w:rFonts w:cs="Times New Roman"/>
          <w:i/>
          <w:lang w:val="fr-CA"/>
        </w:rPr>
        <w:t>Charte</w:t>
      </w:r>
      <w:r w:rsidRPr="002A0914">
        <w:rPr>
          <w:rFonts w:cs="Times New Roman"/>
          <w:lang w:val="fr-CA"/>
        </w:rPr>
        <w:t xml:space="preserve"> québécoise</w:t>
      </w:r>
      <w:r w:rsidRPr="002A0914">
        <w:rPr>
          <w:rFonts w:cs="Times New Roman"/>
          <w:i/>
          <w:lang w:val="fr-CA"/>
        </w:rPr>
        <w:t xml:space="preserve"> </w:t>
      </w:r>
      <w:r w:rsidRPr="002A0914">
        <w:rPr>
          <w:rFonts w:cs="Times New Roman"/>
          <w:lang w:val="fr-CA"/>
        </w:rPr>
        <w:t>ont des objets différents. La Loi constitue un régime d</w:t>
      </w:r>
      <w:r>
        <w:rPr>
          <w:rFonts w:cs="Times New Roman"/>
          <w:lang w:val="fr-CA"/>
        </w:rPr>
        <w:t>’</w:t>
      </w:r>
      <w:r w:rsidRPr="002A0914">
        <w:rPr>
          <w:rFonts w:cs="Times New Roman"/>
          <w:lang w:val="fr-CA"/>
        </w:rPr>
        <w:t xml:space="preserve">indemnisation sans égard à la faute pour lésions professionnelles. La </w:t>
      </w:r>
      <w:r w:rsidRPr="002A0914">
        <w:rPr>
          <w:rFonts w:cs="Times New Roman"/>
          <w:i/>
          <w:lang w:val="fr-CA"/>
        </w:rPr>
        <w:t xml:space="preserve">Charte </w:t>
      </w:r>
      <w:r w:rsidRPr="002A0914">
        <w:rPr>
          <w:rFonts w:cs="Times New Roman"/>
          <w:lang w:val="fr-CA"/>
        </w:rPr>
        <w:t>québécoise a un objectif plus général de protection des droits fondamentaux, dont le droit à l</w:t>
      </w:r>
      <w:r>
        <w:rPr>
          <w:rFonts w:cs="Times New Roman"/>
          <w:lang w:val="fr-CA"/>
        </w:rPr>
        <w:t>’</w:t>
      </w:r>
      <w:r w:rsidRPr="002A0914">
        <w:rPr>
          <w:rFonts w:cs="Times New Roman"/>
          <w:lang w:val="fr-CA"/>
        </w:rPr>
        <w:t>égalité, ce qui comprend 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accommodement. Par contre, les droits à l</w:t>
      </w:r>
      <w:r>
        <w:rPr>
          <w:rFonts w:cs="Times New Roman"/>
          <w:lang w:val="fr-CA"/>
        </w:rPr>
        <w:t>’</w:t>
      </w:r>
      <w:r w:rsidRPr="002A0914">
        <w:rPr>
          <w:rFonts w:cs="Times New Roman"/>
          <w:lang w:val="fr-CA"/>
        </w:rPr>
        <w:t>indemnisation et au retour au travail à la suite d</w:t>
      </w:r>
      <w:r>
        <w:rPr>
          <w:rFonts w:cs="Times New Roman"/>
          <w:lang w:val="fr-CA"/>
        </w:rPr>
        <w:t>’</w:t>
      </w:r>
      <w:r w:rsidRPr="002A0914">
        <w:rPr>
          <w:rFonts w:cs="Times New Roman"/>
          <w:lang w:val="fr-CA"/>
        </w:rPr>
        <w:t>un accident du travail découlent de la Loi. Les deux régimes juridiques sont distincts sur le plan conceptuel. Néanmoins, ils peuvent se recouper en pratique.</w:t>
      </w:r>
    </w:p>
    <w:p w:rsidR="00730DBB" w:rsidRPr="002A0914" w:rsidRDefault="00730DBB" w:rsidP="00730DBB">
      <w:pPr>
        <w:pStyle w:val="ParaNoNdepar-AltN"/>
        <w:rPr>
          <w:rFonts w:cs="Times New Roman"/>
          <w:lang w:val="fr-CA"/>
        </w:rPr>
      </w:pPr>
      <w:r w:rsidRPr="002A0914">
        <w:rPr>
          <w:rFonts w:cs="Times New Roman"/>
          <w:lang w:val="fr-CA"/>
        </w:rPr>
        <w:t>À moins que le fait de prendre des mesures ne crée une contrainte excessive, le manque de souplesse d</w:t>
      </w:r>
      <w:r>
        <w:rPr>
          <w:rFonts w:cs="Times New Roman"/>
          <w:lang w:val="fr-CA"/>
        </w:rPr>
        <w:t>’</w:t>
      </w:r>
      <w:r w:rsidRPr="002A0914">
        <w:rPr>
          <w:rFonts w:cs="Times New Roman"/>
          <w:lang w:val="fr-CA"/>
        </w:rPr>
        <w:t>un employeur dans l</w:t>
      </w:r>
      <w:r>
        <w:rPr>
          <w:rFonts w:cs="Times New Roman"/>
          <w:lang w:val="fr-CA"/>
        </w:rPr>
        <w:t>’</w:t>
      </w:r>
      <w:r w:rsidRPr="002A0914">
        <w:rPr>
          <w:rFonts w:cs="Times New Roman"/>
          <w:lang w:val="fr-CA"/>
        </w:rPr>
        <w:t>application de ses normes d</w:t>
      </w:r>
      <w:r>
        <w:rPr>
          <w:rFonts w:cs="Times New Roman"/>
          <w:lang w:val="fr-CA"/>
        </w:rPr>
        <w:t>’</w:t>
      </w:r>
      <w:r w:rsidRPr="002A0914">
        <w:rPr>
          <w:rFonts w:cs="Times New Roman"/>
          <w:lang w:val="fr-CA"/>
        </w:rPr>
        <w:t>emploi constitue un défaut d</w:t>
      </w:r>
      <w:r>
        <w:rPr>
          <w:rFonts w:cs="Times New Roman"/>
          <w:lang w:val="fr-CA"/>
        </w:rPr>
        <w:t>’</w:t>
      </w:r>
      <w:r w:rsidRPr="002A0914">
        <w:rPr>
          <w:rFonts w:cs="Times New Roman"/>
          <w:lang w:val="fr-CA"/>
        </w:rPr>
        <w:t>accommoder et, par conséquent, une pratique discriminatoire. Contrairement à la Loi,</w:t>
      </w:r>
      <w:r w:rsidRPr="002A0914">
        <w:rPr>
          <w:rFonts w:cs="Times New Roman"/>
          <w:i/>
          <w:lang w:val="fr-CA"/>
        </w:rPr>
        <w:t xml:space="preserve"> </w:t>
      </w:r>
      <w:r w:rsidRPr="002A0914">
        <w:rPr>
          <w:rFonts w:cs="Times New Roman"/>
          <w:lang w:val="fr-CA"/>
        </w:rPr>
        <w:t>l</w:t>
      </w:r>
      <w:r>
        <w:rPr>
          <w:rFonts w:cs="Times New Roman"/>
          <w:lang w:val="fr-CA"/>
        </w:rPr>
        <w:t>’</w:t>
      </w:r>
      <w:r w:rsidRPr="002A0914">
        <w:rPr>
          <w:rFonts w:cs="Times New Roman"/>
          <w:lang w:val="fr-CA"/>
        </w:rPr>
        <w:t>origine du handicap n</w:t>
      </w:r>
      <w:r>
        <w:rPr>
          <w:rFonts w:cs="Times New Roman"/>
          <w:lang w:val="fr-CA"/>
        </w:rPr>
        <w:t>’</w:t>
      </w:r>
      <w:r w:rsidRPr="002A0914">
        <w:rPr>
          <w:rFonts w:cs="Times New Roman"/>
          <w:lang w:val="fr-CA"/>
        </w:rPr>
        <w:t>a pas d</w:t>
      </w:r>
      <w:r>
        <w:rPr>
          <w:rFonts w:cs="Times New Roman"/>
          <w:lang w:val="fr-CA"/>
        </w:rPr>
        <w:t>’</w:t>
      </w:r>
      <w:r w:rsidRPr="002A0914">
        <w:rPr>
          <w:rFonts w:cs="Times New Roman"/>
          <w:lang w:val="fr-CA"/>
        </w:rPr>
        <w:t xml:space="preserve">importance pour la </w:t>
      </w:r>
      <w:r w:rsidRPr="002A0914">
        <w:rPr>
          <w:rFonts w:cs="Times New Roman"/>
          <w:i/>
          <w:lang w:val="fr-CA"/>
        </w:rPr>
        <w:t>Charte</w:t>
      </w:r>
      <w:r w:rsidRPr="002A0914">
        <w:rPr>
          <w:rFonts w:cs="Times New Roman"/>
          <w:lang w:val="fr-CA"/>
        </w:rPr>
        <w:t xml:space="preserve"> québécoise; il n</w:t>
      </w:r>
      <w:r>
        <w:rPr>
          <w:rFonts w:cs="Times New Roman"/>
          <w:lang w:val="fr-CA"/>
        </w:rPr>
        <w:t>’</w:t>
      </w:r>
      <w:r w:rsidRPr="002A0914">
        <w:rPr>
          <w:rFonts w:cs="Times New Roman"/>
          <w:lang w:val="fr-CA"/>
        </w:rPr>
        <w:t>est pas nécessaire qu</w:t>
      </w:r>
      <w:r>
        <w:rPr>
          <w:rFonts w:cs="Times New Roman"/>
          <w:lang w:val="fr-CA"/>
        </w:rPr>
        <w:t>’</w:t>
      </w:r>
      <w:r w:rsidRPr="002A0914">
        <w:rPr>
          <w:rFonts w:cs="Times New Roman"/>
          <w:lang w:val="fr-CA"/>
        </w:rPr>
        <w:t>il s</w:t>
      </w:r>
      <w:r>
        <w:rPr>
          <w:rFonts w:cs="Times New Roman"/>
          <w:lang w:val="fr-CA"/>
        </w:rPr>
        <w:t>’</w:t>
      </w:r>
      <w:r w:rsidRPr="002A0914">
        <w:rPr>
          <w:rFonts w:cs="Times New Roman"/>
          <w:lang w:val="fr-CA"/>
        </w:rPr>
        <w:t>agisse d</w:t>
      </w:r>
      <w:r>
        <w:rPr>
          <w:rFonts w:cs="Times New Roman"/>
          <w:lang w:val="fr-CA"/>
        </w:rPr>
        <w:t>’</w:t>
      </w:r>
      <w:r w:rsidRPr="002A0914">
        <w:rPr>
          <w:rFonts w:cs="Times New Roman"/>
          <w:lang w:val="fr-CA"/>
        </w:rPr>
        <w:t>un accident du travail, mais elle s</w:t>
      </w:r>
      <w:r>
        <w:rPr>
          <w:rFonts w:cs="Times New Roman"/>
          <w:lang w:val="fr-CA"/>
        </w:rPr>
        <w:t>’</w:t>
      </w:r>
      <w:r w:rsidRPr="002A0914">
        <w:rPr>
          <w:rFonts w:cs="Times New Roman"/>
          <w:lang w:val="fr-CA"/>
        </w:rPr>
        <w:t>applique au handicap résultant d</w:t>
      </w:r>
      <w:r>
        <w:rPr>
          <w:rFonts w:cs="Times New Roman"/>
          <w:lang w:val="fr-CA"/>
        </w:rPr>
        <w:t>’</w:t>
      </w:r>
      <w:r w:rsidRPr="002A0914">
        <w:rPr>
          <w:rFonts w:cs="Times New Roman"/>
          <w:lang w:val="fr-CA"/>
        </w:rPr>
        <w:t>un tel accident. Le défaut d</w:t>
      </w:r>
      <w:r>
        <w:rPr>
          <w:rFonts w:cs="Times New Roman"/>
          <w:lang w:val="fr-CA"/>
        </w:rPr>
        <w:t>’</w:t>
      </w:r>
      <w:r w:rsidRPr="002A0914">
        <w:rPr>
          <w:rFonts w:cs="Times New Roman"/>
          <w:lang w:val="fr-CA"/>
        </w:rPr>
        <w:t>un employeur de fournir un accommodement raisonnable à un employé atteint d</w:t>
      </w:r>
      <w:r>
        <w:rPr>
          <w:rFonts w:cs="Times New Roman"/>
          <w:lang w:val="fr-CA"/>
        </w:rPr>
        <w:t>’</w:t>
      </w:r>
      <w:r w:rsidRPr="002A0914">
        <w:rPr>
          <w:rFonts w:cs="Times New Roman"/>
          <w:lang w:val="fr-CA"/>
        </w:rPr>
        <w:t>un handicap est discriminatoire, car il constitue une violation du droit à l</w:t>
      </w:r>
      <w:r>
        <w:rPr>
          <w:rFonts w:cs="Times New Roman"/>
          <w:lang w:val="fr-CA"/>
        </w:rPr>
        <w:t>’</w:t>
      </w:r>
      <w:r w:rsidRPr="002A0914">
        <w:rPr>
          <w:rFonts w:cs="Times New Roman"/>
          <w:lang w:val="fr-CA"/>
        </w:rPr>
        <w:t>égalité de cet employé. Ces victimes de discrimination ont droit, en vertu de l</w:t>
      </w:r>
      <w:r>
        <w:rPr>
          <w:rFonts w:cs="Times New Roman"/>
          <w:lang w:val="fr-CA"/>
        </w:rPr>
        <w:t>’</w:t>
      </w:r>
      <w:r w:rsidRPr="002A0914">
        <w:rPr>
          <w:rFonts w:cs="Times New Roman"/>
          <w:lang w:val="fr-CA"/>
        </w:rPr>
        <w:t xml:space="preserve">art. 49 de la </w:t>
      </w:r>
      <w:r w:rsidRPr="002A0914">
        <w:rPr>
          <w:rFonts w:cs="Times New Roman"/>
          <w:i/>
          <w:lang w:val="fr-CA"/>
        </w:rPr>
        <w:t>Charte</w:t>
      </w:r>
      <w:r w:rsidRPr="002A0914">
        <w:rPr>
          <w:rFonts w:cs="Times New Roman"/>
          <w:lang w:val="fr-CA"/>
        </w:rPr>
        <w:t xml:space="preserve"> québécoise, à une ordonnance enjoignant à leur employeur de prendre des mesures d</w:t>
      </w:r>
      <w:r>
        <w:rPr>
          <w:rFonts w:cs="Times New Roman"/>
          <w:lang w:val="fr-CA"/>
        </w:rPr>
        <w:t>’</w:t>
      </w:r>
      <w:r w:rsidRPr="002A0914">
        <w:rPr>
          <w:rFonts w:cs="Times New Roman"/>
          <w:lang w:val="fr-CA"/>
        </w:rPr>
        <w:t>accommodement en leur faveur.</w:t>
      </w:r>
    </w:p>
    <w:p w:rsidR="00730DBB" w:rsidRPr="002A0914" w:rsidRDefault="00730DBB" w:rsidP="00730DBB">
      <w:pPr>
        <w:pStyle w:val="ParaNoNdepar-AltN"/>
        <w:rPr>
          <w:rFonts w:cs="Times New Roman"/>
          <w:lang w:val="fr-CA"/>
        </w:rPr>
      </w:pPr>
      <w:r w:rsidRPr="002A0914">
        <w:rPr>
          <w:rFonts w:cs="Times New Roman"/>
          <w:lang w:val="fr-CA"/>
        </w:rPr>
        <w:t>L</w:t>
      </w:r>
      <w:r>
        <w:rPr>
          <w:rFonts w:cs="Times New Roman"/>
          <w:lang w:val="fr-CA"/>
        </w:rPr>
        <w:t>’</w:t>
      </w:r>
      <w:r w:rsidRPr="002A0914">
        <w:rPr>
          <w:rFonts w:cs="Times New Roman"/>
          <w:lang w:val="fr-CA"/>
        </w:rPr>
        <w:t>affirmation de la CLP selon laquelle la Loi représente la pleine étendue de 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accommodement d</w:t>
      </w:r>
      <w:r>
        <w:rPr>
          <w:rFonts w:cs="Times New Roman"/>
          <w:lang w:val="fr-CA"/>
        </w:rPr>
        <w:t>’</w:t>
      </w:r>
      <w:r w:rsidRPr="002A0914">
        <w:rPr>
          <w:rFonts w:cs="Times New Roman"/>
          <w:lang w:val="fr-CA"/>
        </w:rPr>
        <w:t xml:space="preserve">un employeur était incorrecte en ce que la CLP </w:t>
      </w:r>
      <w:r w:rsidRPr="002A0914">
        <w:rPr>
          <w:rFonts w:cs="Times New Roman"/>
          <w:lang w:val="fr-CA"/>
        </w:rPr>
        <w:lastRenderedPageBreak/>
        <w:t xml:space="preserve">avait le pouvoir et le devoir de donner effet aux droits que la </w:t>
      </w:r>
      <w:r w:rsidRPr="002A0914">
        <w:rPr>
          <w:rFonts w:cs="Times New Roman"/>
          <w:i/>
          <w:lang w:val="fr-CA"/>
        </w:rPr>
        <w:t xml:space="preserve">Charte </w:t>
      </w:r>
      <w:r w:rsidRPr="002A0914">
        <w:rPr>
          <w:rFonts w:cs="Times New Roman"/>
          <w:lang w:val="fr-CA"/>
        </w:rPr>
        <w:t>québécoise garantit à M. Caron, ainsi qu</w:t>
      </w:r>
      <w:r>
        <w:rPr>
          <w:rFonts w:cs="Times New Roman"/>
          <w:lang w:val="fr-CA"/>
        </w:rPr>
        <w:t>’</w:t>
      </w:r>
      <w:r w:rsidRPr="002A0914">
        <w:rPr>
          <w:rFonts w:cs="Times New Roman"/>
          <w:lang w:val="fr-CA"/>
        </w:rPr>
        <w:t>à ceux que lui confère la Loi</w:t>
      </w:r>
      <w:r w:rsidRPr="002A0914">
        <w:rPr>
          <w:rFonts w:cs="Times New Roman"/>
          <w:i/>
          <w:lang w:val="fr-CA"/>
        </w:rPr>
        <w:t xml:space="preserve">. </w:t>
      </w:r>
      <w:r w:rsidRPr="002A0914">
        <w:rPr>
          <w:rFonts w:cs="Times New Roman"/>
          <w:lang w:val="fr-CA"/>
        </w:rPr>
        <w:t xml:space="preserve">En termes simples, les droits que la </w:t>
      </w:r>
      <w:r w:rsidRPr="002A0914">
        <w:rPr>
          <w:rFonts w:cs="Times New Roman"/>
          <w:i/>
          <w:lang w:val="fr-CA"/>
        </w:rPr>
        <w:t xml:space="preserve">Charte </w:t>
      </w:r>
      <w:r w:rsidRPr="002A0914">
        <w:rPr>
          <w:rFonts w:cs="Times New Roman"/>
          <w:lang w:val="fr-CA"/>
        </w:rPr>
        <w:t xml:space="preserve">québécoise garantit à M. Caron existent </w:t>
      </w:r>
      <w:r w:rsidRPr="002A0914">
        <w:rPr>
          <w:rFonts w:cs="Times New Roman"/>
          <w:i/>
          <w:lang w:val="fr-CA"/>
        </w:rPr>
        <w:t>en sus</w:t>
      </w:r>
      <w:r w:rsidRPr="002A0914">
        <w:rPr>
          <w:rFonts w:cs="Times New Roman"/>
          <w:lang w:val="fr-CA"/>
        </w:rPr>
        <w:t xml:space="preserve"> des droits que lui confère la Loi.</w:t>
      </w:r>
    </w:p>
    <w:p w:rsidR="00730DBB" w:rsidRPr="002A0914" w:rsidRDefault="00730DBB" w:rsidP="00730DBB">
      <w:pPr>
        <w:pStyle w:val="Title2LevelTitre2Niveau"/>
        <w:numPr>
          <w:ilvl w:val="1"/>
          <w:numId w:val="8"/>
        </w:numPr>
        <w:jc w:val="left"/>
        <w:rPr>
          <w:rFonts w:cs="Times New Roman"/>
          <w:lang w:val="fr-CA"/>
        </w:rPr>
      </w:pPr>
      <w:r w:rsidRPr="002A0914">
        <w:rPr>
          <w:rFonts w:cs="Times New Roman"/>
          <w:lang w:val="fr-CA"/>
        </w:rPr>
        <w:t>Compétence pour accorder des réparations fondées sur la Charte québécoise</w:t>
      </w:r>
    </w:p>
    <w:p w:rsidR="00730DBB" w:rsidRPr="002A0914" w:rsidRDefault="00730DBB" w:rsidP="00730DBB">
      <w:pPr>
        <w:pStyle w:val="Title3LevelTitre3Niveau"/>
        <w:numPr>
          <w:ilvl w:val="2"/>
          <w:numId w:val="8"/>
        </w:numPr>
        <w:jc w:val="left"/>
        <w:rPr>
          <w:rFonts w:cs="Times New Roman"/>
          <w:lang w:val="fr-CA"/>
        </w:rPr>
      </w:pPr>
      <w:r w:rsidRPr="002A0914">
        <w:rPr>
          <w:rFonts w:cs="Times New Roman"/>
          <w:lang w:val="fr-CA"/>
        </w:rPr>
        <w:t>Le critère énoncé dans l</w:t>
      </w:r>
      <w:r>
        <w:rPr>
          <w:rFonts w:cs="Times New Roman"/>
          <w:lang w:val="fr-CA"/>
        </w:rPr>
        <w:t>’</w:t>
      </w:r>
      <w:r w:rsidRPr="002A0914">
        <w:rPr>
          <w:rFonts w:cs="Times New Roman"/>
          <w:lang w:val="fr-CA"/>
        </w:rPr>
        <w:t xml:space="preserve">arrêt </w:t>
      </w:r>
      <w:r w:rsidRPr="002A0914">
        <w:rPr>
          <w:rFonts w:cs="Times New Roman"/>
          <w:i/>
          <w:lang w:val="fr-CA"/>
        </w:rPr>
        <w:t>Conway</w:t>
      </w:r>
    </w:p>
    <w:p w:rsidR="00730DBB" w:rsidRPr="002A0914" w:rsidRDefault="00730DBB" w:rsidP="00730DBB">
      <w:pPr>
        <w:pStyle w:val="ParaNoNdepar-AltN"/>
        <w:rPr>
          <w:rFonts w:cs="Times New Roman"/>
          <w:lang w:val="fr-CA"/>
        </w:rPr>
      </w:pPr>
      <w:r w:rsidRPr="002A0914">
        <w:rPr>
          <w:rFonts w:cs="Times New Roman"/>
          <w:lang w:val="fr-CA"/>
        </w:rPr>
        <w:t xml:space="preserve">Dans </w:t>
      </w:r>
      <w:r w:rsidRPr="002A0914">
        <w:rPr>
          <w:rFonts w:cs="Times New Roman"/>
          <w:i/>
          <w:lang w:val="fr-CA"/>
        </w:rPr>
        <w:t>R. c. Conway</w:t>
      </w:r>
      <w:r w:rsidRPr="002A0914">
        <w:rPr>
          <w:rFonts w:cs="Times New Roman"/>
          <w:lang w:val="fr-CA"/>
        </w:rPr>
        <w:t>, 2010 CSC 22, [2010] 1</w:t>
      </w:r>
      <w:r>
        <w:rPr>
          <w:rFonts w:cs="Times New Roman"/>
          <w:lang w:val="fr-CA"/>
        </w:rPr>
        <w:t xml:space="preserve"> </w:t>
      </w:r>
      <w:r w:rsidRPr="002A0914">
        <w:rPr>
          <w:rFonts w:cs="Times New Roman"/>
          <w:lang w:val="fr-CA"/>
        </w:rPr>
        <w:t>R.C.S.</w:t>
      </w:r>
      <w:r>
        <w:rPr>
          <w:rFonts w:cs="Times New Roman"/>
          <w:lang w:val="fr-CA"/>
        </w:rPr>
        <w:t xml:space="preserve"> </w:t>
      </w:r>
      <w:r w:rsidRPr="002A0914">
        <w:rPr>
          <w:rFonts w:cs="Times New Roman"/>
          <w:lang w:val="fr-CA"/>
        </w:rPr>
        <w:t>765, la Cour s</w:t>
      </w:r>
      <w:r>
        <w:rPr>
          <w:rFonts w:cs="Times New Roman"/>
          <w:lang w:val="fr-CA"/>
        </w:rPr>
        <w:t>’</w:t>
      </w:r>
      <w:r w:rsidRPr="002A0914">
        <w:rPr>
          <w:rFonts w:cs="Times New Roman"/>
          <w:lang w:val="fr-CA"/>
        </w:rPr>
        <w:t xml:space="preserve">est penchée sur la question de savoir si un tribunal administratif a compétence pour accorder diverses réparations en application du par. 24(1) de la </w:t>
      </w:r>
      <w:r w:rsidRPr="002A0914">
        <w:rPr>
          <w:rFonts w:cs="Times New Roman"/>
          <w:i/>
          <w:lang w:val="fr-CA"/>
        </w:rPr>
        <w:t xml:space="preserve">Charte </w:t>
      </w:r>
      <w:r w:rsidRPr="002A0914">
        <w:rPr>
          <w:rFonts w:cs="Times New Roman"/>
          <w:lang w:val="fr-CA"/>
        </w:rPr>
        <w:t>canadienne. La question doit être examinée sous deux angles. Le premier angle est institutionnel : le tribunal a</w:t>
      </w:r>
      <w:r w:rsidRPr="002A0914">
        <w:rPr>
          <w:rFonts w:cs="Times New Roman"/>
          <w:lang w:val="fr-CA"/>
        </w:rPr>
        <w:noBreakHyphen/>
        <w:t>t</w:t>
      </w:r>
      <w:r w:rsidRPr="002A0914">
        <w:rPr>
          <w:rFonts w:cs="Times New Roman"/>
          <w:lang w:val="fr-CA"/>
        </w:rPr>
        <w:noBreakHyphen/>
        <w:t>il le pouvoir d</w:t>
      </w:r>
      <w:r>
        <w:rPr>
          <w:rFonts w:cs="Times New Roman"/>
          <w:lang w:val="fr-CA"/>
        </w:rPr>
        <w:t>’</w:t>
      </w:r>
      <w:r w:rsidRPr="002A0914">
        <w:rPr>
          <w:rFonts w:cs="Times New Roman"/>
          <w:lang w:val="fr-CA"/>
        </w:rPr>
        <w:t xml:space="preserve">accorder une réparation fondée sur la </w:t>
      </w:r>
      <w:r w:rsidRPr="002A0914">
        <w:rPr>
          <w:rFonts w:cs="Times New Roman"/>
          <w:i/>
          <w:lang w:val="fr-CA"/>
        </w:rPr>
        <w:t>Charte</w:t>
      </w:r>
      <w:r w:rsidRPr="002A0914">
        <w:rPr>
          <w:rFonts w:cs="Times New Roman"/>
          <w:lang w:val="fr-CA"/>
        </w:rPr>
        <w:t>? Si le tribunal peut trancher des questions de droit, la réponse à cette question est « oui ». Le second angle est propre à la réparation demandée : le tribunal peut</w:t>
      </w:r>
      <w:r w:rsidRPr="002A0914">
        <w:rPr>
          <w:rFonts w:cs="Times New Roman"/>
          <w:lang w:val="fr-CA"/>
        </w:rPr>
        <w:noBreakHyphen/>
        <w:t>il accorder la réparation demandée compte tenu de son mandat légal? Cette question s</w:t>
      </w:r>
      <w:r>
        <w:rPr>
          <w:rFonts w:cs="Times New Roman"/>
          <w:lang w:val="fr-CA"/>
        </w:rPr>
        <w:t>’</w:t>
      </w:r>
      <w:r w:rsidRPr="002A0914">
        <w:rPr>
          <w:rFonts w:cs="Times New Roman"/>
          <w:lang w:val="fr-CA"/>
        </w:rPr>
        <w:t>attache à l</w:t>
      </w:r>
      <w:r>
        <w:rPr>
          <w:rFonts w:cs="Times New Roman"/>
          <w:lang w:val="fr-CA"/>
        </w:rPr>
        <w:t>’</w:t>
      </w:r>
      <w:r w:rsidRPr="002A0914">
        <w:rPr>
          <w:rFonts w:cs="Times New Roman"/>
          <w:lang w:val="fr-CA"/>
        </w:rPr>
        <w:t>intention du législateur.</w:t>
      </w:r>
    </w:p>
    <w:p w:rsidR="00730DBB" w:rsidRPr="002A0914" w:rsidRDefault="00730DBB" w:rsidP="00730DBB">
      <w:pPr>
        <w:pStyle w:val="ParaNoNdepar-AltN"/>
        <w:rPr>
          <w:rFonts w:cs="Times New Roman"/>
          <w:lang w:val="fr-CA"/>
        </w:rPr>
      </w:pPr>
      <w:r w:rsidRPr="002A0914">
        <w:rPr>
          <w:rFonts w:cs="Times New Roman"/>
          <w:lang w:val="fr-CA"/>
        </w:rPr>
        <w:t>Certains indices permettent de répondre à la seconde question. Par exemple, le règlement rapide et efficace par un tribunal de toutes les questions dont l</w:t>
      </w:r>
      <w:r>
        <w:rPr>
          <w:rFonts w:cs="Times New Roman"/>
          <w:lang w:val="fr-CA"/>
        </w:rPr>
        <w:t>’</w:t>
      </w:r>
      <w:r w:rsidRPr="002A0914">
        <w:rPr>
          <w:rFonts w:cs="Times New Roman"/>
          <w:lang w:val="fr-CA"/>
        </w:rPr>
        <w:t>essence relève de la compétence spécialisée que lui confère la loi joue en faveur de la reconnaissance d</w:t>
      </w:r>
      <w:r>
        <w:rPr>
          <w:rFonts w:cs="Times New Roman"/>
          <w:lang w:val="fr-CA"/>
        </w:rPr>
        <w:t>’</w:t>
      </w:r>
      <w:r w:rsidRPr="002A0914">
        <w:rPr>
          <w:rFonts w:cs="Times New Roman"/>
          <w:lang w:val="fr-CA"/>
        </w:rPr>
        <w:t>une compétence pour accorder la réparation demandée :</w:t>
      </w:r>
    </w:p>
    <w:p w:rsidR="00730DBB" w:rsidRPr="002A0914" w:rsidRDefault="00730DBB" w:rsidP="00730DBB">
      <w:pPr>
        <w:pStyle w:val="Citation-AltC"/>
        <w:tabs>
          <w:tab w:val="left" w:pos="1530"/>
        </w:tabs>
        <w:spacing w:after="240"/>
        <w:ind w:hanging="1166"/>
        <w:contextualSpacing w:val="0"/>
        <w:rPr>
          <w:lang w:val="fr-CA"/>
        </w:rPr>
      </w:pPr>
      <w:r w:rsidRPr="002A0914">
        <w:rPr>
          <w:lang w:val="fr-FR"/>
        </w:rPr>
        <w:lastRenderedPageBreak/>
        <w:tab/>
        <w:t xml:space="preserve">Ainsi, les </w:t>
      </w:r>
      <w:r w:rsidRPr="002A0914">
        <w:rPr>
          <w:lang w:val="fr-CA"/>
        </w:rPr>
        <w:t>citoyens</w:t>
      </w:r>
      <w:r w:rsidRPr="002A0914">
        <w:rPr>
          <w:lang w:val="fr-FR"/>
        </w:rPr>
        <w:t xml:space="preserve"> sont autorisés à faire valoir les droits qui leur sont garantis par la </w:t>
      </w:r>
      <w:r w:rsidRPr="002A0914">
        <w:rPr>
          <w:i/>
          <w:iCs/>
          <w:lang w:val="fr-FR"/>
        </w:rPr>
        <w:t>Charte</w:t>
      </w:r>
      <w:r w:rsidRPr="002A0914">
        <w:rPr>
          <w:lang w:val="fr-FR"/>
        </w:rPr>
        <w:t xml:space="preserve"> de façon rapide, peu coûteuse et informelle. Les parties ne sont pas obligées de présenter deux requêtes à deux juridictions différentes pour que soient tranchées deux questions juridiques distinctes.</w:t>
      </w:r>
      <w:r>
        <w:rPr>
          <w:lang w:val="fr-FR"/>
        </w:rPr>
        <w:t xml:space="preserve"> </w:t>
      </w:r>
      <w:r w:rsidRPr="002A0914">
        <w:rPr>
          <w:lang w:val="fr-FR"/>
        </w:rPr>
        <w:t>Un tribunal spécialisé peut rapidement passer les faits au crible et dresser un dossier pour le tribunal d</w:t>
      </w:r>
      <w:r>
        <w:rPr>
          <w:lang w:val="fr-FR"/>
        </w:rPr>
        <w:t>’</w:t>
      </w:r>
      <w:r w:rsidRPr="002A0914">
        <w:rPr>
          <w:lang w:val="fr-FR"/>
        </w:rPr>
        <w:t>appel</w:t>
      </w:r>
      <w:r w:rsidRPr="002A0914">
        <w:rPr>
          <w:lang w:val="fr-CA"/>
        </w:rPr>
        <w:t xml:space="preserve">. </w:t>
      </w:r>
    </w:p>
    <w:p w:rsidR="00730DBB" w:rsidRPr="002A0914" w:rsidRDefault="00730DBB" w:rsidP="00730DBB">
      <w:pPr>
        <w:pStyle w:val="Citation-AltC"/>
        <w:ind w:hanging="1166"/>
        <w:rPr>
          <w:lang w:val="fr-CA"/>
        </w:rPr>
      </w:pPr>
      <w:r w:rsidRPr="002A0914">
        <w:rPr>
          <w:lang w:val="fr-CA"/>
        </w:rPr>
        <w:t>(</w:t>
      </w:r>
      <w:r w:rsidRPr="002A0914">
        <w:rPr>
          <w:i/>
          <w:lang w:val="fr-CA"/>
        </w:rPr>
        <w:t>Weber c.</w:t>
      </w:r>
      <w:r w:rsidRPr="004D371B">
        <w:rPr>
          <w:i/>
          <w:lang w:val="fr-CA"/>
        </w:rPr>
        <w:t xml:space="preserve"> Ontario</w:t>
      </w:r>
      <w:r w:rsidRPr="002A0914">
        <w:rPr>
          <w:i/>
          <w:lang w:val="fr-CA"/>
        </w:rPr>
        <w:t xml:space="preserve"> Hydro</w:t>
      </w:r>
      <w:r w:rsidRPr="002A0914">
        <w:rPr>
          <w:lang w:val="fr-CA"/>
        </w:rPr>
        <w:t>, [1995] 2 R.C.S. 929, par. 60)</w:t>
      </w:r>
    </w:p>
    <w:p w:rsidR="00730DBB" w:rsidRPr="002A0914" w:rsidRDefault="00730DBB" w:rsidP="00730DBB">
      <w:pPr>
        <w:pStyle w:val="ContinueParaSuitedupar-AltP"/>
        <w:rPr>
          <w:rFonts w:cs="Times New Roman"/>
          <w:lang w:val="fr-CA"/>
        </w:rPr>
      </w:pPr>
      <w:r w:rsidRPr="002A0914">
        <w:rPr>
          <w:rFonts w:cs="Times New Roman"/>
          <w:lang w:val="fr-CA"/>
        </w:rPr>
        <w:t xml:space="preserve">Cela facilite la défense des droits garantis par la </w:t>
      </w:r>
      <w:r w:rsidRPr="002A0914">
        <w:rPr>
          <w:rFonts w:cs="Times New Roman"/>
          <w:i/>
          <w:lang w:val="fr-CA"/>
        </w:rPr>
        <w:t>Charte</w:t>
      </w:r>
      <w:r w:rsidRPr="002A0914">
        <w:rPr>
          <w:rFonts w:cs="Times New Roman"/>
          <w:lang w:val="fr-CA"/>
        </w:rPr>
        <w:t xml:space="preserve"> canadienne et vise à éviter le fardeau et l</w:t>
      </w:r>
      <w:r>
        <w:rPr>
          <w:rFonts w:cs="Times New Roman"/>
          <w:lang w:val="fr-CA"/>
        </w:rPr>
        <w:t>’</w:t>
      </w:r>
      <w:r w:rsidRPr="002A0914">
        <w:rPr>
          <w:rFonts w:cs="Times New Roman"/>
          <w:lang w:val="fr-CA"/>
        </w:rPr>
        <w:t>inefficacité des instances multiples; il vaut mieux trancher la question devant un seul tribunal administratif.</w:t>
      </w:r>
    </w:p>
    <w:p w:rsidR="00730DBB" w:rsidRPr="002A0914" w:rsidRDefault="00730DBB" w:rsidP="00730DBB">
      <w:pPr>
        <w:pStyle w:val="ParaNoNdepar-AltN"/>
        <w:rPr>
          <w:rFonts w:cs="Times New Roman"/>
          <w:lang w:val="fr-CA"/>
        </w:rPr>
      </w:pPr>
      <w:r w:rsidRPr="002A0914">
        <w:rPr>
          <w:rFonts w:cs="Times New Roman"/>
          <w:lang w:val="fr-CA"/>
        </w:rPr>
        <w:t>De même, lorsqu</w:t>
      </w:r>
      <w:r>
        <w:rPr>
          <w:rFonts w:cs="Times New Roman"/>
          <w:lang w:val="fr-CA"/>
        </w:rPr>
        <w:t>’</w:t>
      </w:r>
      <w:r w:rsidRPr="002A0914">
        <w:rPr>
          <w:rFonts w:cs="Times New Roman"/>
          <w:lang w:val="fr-CA"/>
        </w:rPr>
        <w:t>il risque d</w:t>
      </w:r>
      <w:r>
        <w:rPr>
          <w:rFonts w:cs="Times New Roman"/>
          <w:lang w:val="fr-CA"/>
        </w:rPr>
        <w:t>’</w:t>
      </w:r>
      <w:r w:rsidRPr="002A0914">
        <w:rPr>
          <w:rFonts w:cs="Times New Roman"/>
          <w:lang w:val="fr-CA"/>
        </w:rPr>
        <w:t xml:space="preserve">y avoir atteinte à des droits garantis par la </w:t>
      </w:r>
      <w:r w:rsidRPr="002A0914">
        <w:rPr>
          <w:rFonts w:cs="Times New Roman"/>
          <w:i/>
          <w:lang w:val="fr-CA"/>
        </w:rPr>
        <w:t>Charte</w:t>
      </w:r>
      <w:r w:rsidRPr="002A0914">
        <w:rPr>
          <w:rFonts w:cs="Times New Roman"/>
          <w:lang w:val="fr-CA"/>
        </w:rPr>
        <w:t xml:space="preserve"> canadienne, le tribunal a le pouvoir de trancher les questions accessoires liées à la </w:t>
      </w:r>
      <w:r w:rsidRPr="002A0914">
        <w:rPr>
          <w:rFonts w:cs="Times New Roman"/>
          <w:i/>
          <w:lang w:val="fr-CA"/>
        </w:rPr>
        <w:t>Charte</w:t>
      </w:r>
      <w:r w:rsidRPr="002A0914">
        <w:rPr>
          <w:rFonts w:cs="Times New Roman"/>
          <w:lang w:val="fr-CA"/>
        </w:rPr>
        <w:t>, à moins que cette compétence ne soit expressément exclue :</w:t>
      </w:r>
    </w:p>
    <w:p w:rsidR="00730DBB" w:rsidRPr="002A0914" w:rsidRDefault="00730DBB" w:rsidP="00730DBB">
      <w:pPr>
        <w:pStyle w:val="Citation-AltC"/>
        <w:tabs>
          <w:tab w:val="left" w:pos="1530"/>
        </w:tabs>
        <w:spacing w:after="240"/>
        <w:ind w:hanging="1166"/>
        <w:contextualSpacing w:val="0"/>
        <w:rPr>
          <w:i/>
          <w:lang w:val="fr-CA"/>
        </w:rPr>
      </w:pPr>
      <w:r w:rsidRPr="002A0914">
        <w:rPr>
          <w:lang w:val="fr-CA"/>
        </w:rPr>
        <w:tab/>
      </w:r>
      <w:r w:rsidR="004D371B">
        <w:rPr>
          <w:lang w:val="fr-CA"/>
        </w:rPr>
        <w:t xml:space="preserve">. . . </w:t>
      </w:r>
      <w:r w:rsidRPr="002A0914">
        <w:rPr>
          <w:lang w:val="fr-CA"/>
        </w:rPr>
        <w:t>l</w:t>
      </w:r>
      <w:r w:rsidRPr="002A0914">
        <w:rPr>
          <w:lang w:val="fr-FR"/>
        </w:rPr>
        <w:t>orsqu</w:t>
      </w:r>
      <w:r>
        <w:rPr>
          <w:lang w:val="fr-FR"/>
        </w:rPr>
        <w:t>’</w:t>
      </w:r>
      <w:r w:rsidRPr="002A0914">
        <w:rPr>
          <w:lang w:val="fr-FR"/>
        </w:rPr>
        <w:t xml:space="preserve">un </w:t>
      </w:r>
      <w:r w:rsidRPr="002A0914">
        <w:rPr>
          <w:lang w:val="fr-CA"/>
        </w:rPr>
        <w:t>législateur</w:t>
      </w:r>
      <w:r w:rsidRPr="002A0914">
        <w:rPr>
          <w:lang w:val="fr-FR"/>
        </w:rPr>
        <w:t xml:space="preserve"> confie à un tribunal judiciaire ou administratif une fonction l</w:t>
      </w:r>
      <w:r>
        <w:rPr>
          <w:lang w:val="fr-FR"/>
        </w:rPr>
        <w:t>’</w:t>
      </w:r>
      <w:r w:rsidRPr="002A0914">
        <w:rPr>
          <w:lang w:val="fr-FR"/>
        </w:rPr>
        <w:t xml:space="preserve">amenant à trancher des questions susceptibles de toucher des droits garantis par la </w:t>
      </w:r>
      <w:r w:rsidRPr="002A0914">
        <w:rPr>
          <w:i/>
          <w:iCs/>
          <w:lang w:val="fr-FR"/>
        </w:rPr>
        <w:t xml:space="preserve">Charte </w:t>
      </w:r>
      <w:r w:rsidRPr="002A0914">
        <w:rPr>
          <w:lang w:val="fr-FR"/>
        </w:rPr>
        <w:t xml:space="preserve">et le dote de mécanismes et procédures lui permettant de décider de façon juste et équitable ces questions accessoires liées à la </w:t>
      </w:r>
      <w:r w:rsidRPr="002A0914">
        <w:rPr>
          <w:i/>
          <w:iCs/>
          <w:lang w:val="fr-FR"/>
        </w:rPr>
        <w:t>Charte</w:t>
      </w:r>
      <w:r w:rsidRPr="002A0914">
        <w:rPr>
          <w:lang w:val="fr-FR"/>
        </w:rPr>
        <w:t>, il faut alors en déduire, en l</w:t>
      </w:r>
      <w:r>
        <w:rPr>
          <w:lang w:val="fr-FR"/>
        </w:rPr>
        <w:t>’</w:t>
      </w:r>
      <w:r w:rsidRPr="002A0914">
        <w:rPr>
          <w:lang w:val="fr-FR"/>
        </w:rPr>
        <w:t>absence d</w:t>
      </w:r>
      <w:r>
        <w:rPr>
          <w:lang w:val="fr-FR"/>
        </w:rPr>
        <w:t>’</w:t>
      </w:r>
      <w:r w:rsidRPr="002A0914">
        <w:rPr>
          <w:lang w:val="fr-FR"/>
        </w:rPr>
        <w:t xml:space="preserve">intention contraire, que le législateur entendait habiliter ce tribunal à appliquer la </w:t>
      </w:r>
      <w:r w:rsidRPr="002A0914">
        <w:rPr>
          <w:i/>
          <w:iCs/>
          <w:lang w:val="fr-FR"/>
        </w:rPr>
        <w:t>Charte</w:t>
      </w:r>
      <w:r w:rsidRPr="002A0914">
        <w:rPr>
          <w:iCs/>
          <w:lang w:val="fr-FR"/>
        </w:rPr>
        <w:t>.</w:t>
      </w:r>
      <w:r w:rsidRPr="002A0914">
        <w:rPr>
          <w:i/>
          <w:lang w:val="fr-CA"/>
        </w:rPr>
        <w:t xml:space="preserve"> </w:t>
      </w:r>
    </w:p>
    <w:p w:rsidR="00730DBB" w:rsidRPr="002A0914" w:rsidRDefault="00730DBB" w:rsidP="00D22257">
      <w:pPr>
        <w:pStyle w:val="Citation-AltC"/>
        <w:ind w:left="0"/>
        <w:rPr>
          <w:lang w:val="fr-CA"/>
        </w:rPr>
      </w:pPr>
      <w:r w:rsidRPr="002A0914">
        <w:rPr>
          <w:lang w:val="fr-CA"/>
        </w:rPr>
        <w:t>(</w:t>
      </w:r>
      <w:r w:rsidRPr="002A0914">
        <w:rPr>
          <w:i/>
          <w:lang w:val="fr-CA"/>
        </w:rPr>
        <w:t>R. c. 974649 Ontario Inc.</w:t>
      </w:r>
      <w:r w:rsidRPr="002A0914">
        <w:rPr>
          <w:lang w:val="fr-CA"/>
        </w:rPr>
        <w:t>, 2001 CSC 81,</w:t>
      </w:r>
      <w:r w:rsidRPr="002A0914">
        <w:rPr>
          <w:i/>
          <w:lang w:val="fr-CA"/>
        </w:rPr>
        <w:t xml:space="preserve"> </w:t>
      </w:r>
      <w:r w:rsidRPr="002A0914">
        <w:rPr>
          <w:lang w:val="fr-CA"/>
        </w:rPr>
        <w:t>[2001] 3 R.C.S. 575 (« </w:t>
      </w:r>
      <w:r w:rsidRPr="002A0914">
        <w:rPr>
          <w:i/>
          <w:lang w:val="fr-CA"/>
        </w:rPr>
        <w:t>Dunedin »</w:t>
      </w:r>
      <w:r w:rsidRPr="002A0914">
        <w:rPr>
          <w:lang w:val="fr-CA"/>
        </w:rPr>
        <w:t>), par. 75)</w:t>
      </w:r>
    </w:p>
    <w:p w:rsidR="00730DBB" w:rsidRPr="002A0914" w:rsidRDefault="00730DBB" w:rsidP="00730DBB">
      <w:pPr>
        <w:pStyle w:val="ParaNoNdepar-AltN"/>
        <w:rPr>
          <w:rFonts w:cs="Times New Roman"/>
          <w:lang w:val="fr-CA"/>
        </w:rPr>
      </w:pPr>
      <w:r w:rsidRPr="002A0914">
        <w:rPr>
          <w:rFonts w:cs="Times New Roman"/>
          <w:lang w:val="fr-CA"/>
        </w:rPr>
        <w:t xml:space="preserve">Contrairement au par. 24(1) de la </w:t>
      </w:r>
      <w:r w:rsidRPr="002A0914">
        <w:rPr>
          <w:rFonts w:cs="Times New Roman"/>
          <w:i/>
          <w:lang w:val="fr-CA"/>
        </w:rPr>
        <w:t xml:space="preserve">Charte </w:t>
      </w:r>
      <w:r w:rsidRPr="002A0914">
        <w:rPr>
          <w:rFonts w:cs="Times New Roman"/>
          <w:lang w:val="fr-CA"/>
        </w:rPr>
        <w:t>canadienne, l</w:t>
      </w:r>
      <w:r>
        <w:rPr>
          <w:rFonts w:cs="Times New Roman"/>
          <w:lang w:val="fr-CA"/>
        </w:rPr>
        <w:t>’</w:t>
      </w:r>
      <w:r w:rsidRPr="002A0914">
        <w:rPr>
          <w:rFonts w:cs="Times New Roman"/>
          <w:lang w:val="fr-CA"/>
        </w:rPr>
        <w:t xml:space="preserve">art. 49 de la </w:t>
      </w:r>
      <w:r w:rsidRPr="002A0914">
        <w:rPr>
          <w:rFonts w:cs="Times New Roman"/>
          <w:i/>
          <w:lang w:val="fr-CA"/>
        </w:rPr>
        <w:t xml:space="preserve">Charte </w:t>
      </w:r>
      <w:r w:rsidRPr="002A0914">
        <w:rPr>
          <w:rFonts w:cs="Times New Roman"/>
          <w:lang w:val="fr-CA"/>
        </w:rPr>
        <w:t xml:space="preserve">québécoise est muet sur la question du tribunal compétent. </w:t>
      </w:r>
      <w:r w:rsidR="004D371B">
        <w:rPr>
          <w:rFonts w:cs="Times New Roman"/>
          <w:lang w:val="fr-CA"/>
        </w:rPr>
        <w:t>Par contre, l</w:t>
      </w:r>
      <w:r>
        <w:rPr>
          <w:rFonts w:cs="Times New Roman"/>
          <w:lang w:val="fr-CA"/>
        </w:rPr>
        <w:t>’</w:t>
      </w:r>
      <w:r w:rsidRPr="002A0914">
        <w:rPr>
          <w:rFonts w:cs="Times New Roman"/>
          <w:lang w:val="fr-CA"/>
        </w:rPr>
        <w:t>absence de limitation expresse ne signifie pas qu</w:t>
      </w:r>
      <w:r>
        <w:rPr>
          <w:rFonts w:cs="Times New Roman"/>
          <w:lang w:val="fr-CA"/>
        </w:rPr>
        <w:t>’</w:t>
      </w:r>
      <w:r w:rsidRPr="002A0914">
        <w:rPr>
          <w:rFonts w:cs="Times New Roman"/>
          <w:lang w:val="fr-CA"/>
        </w:rPr>
        <w:t>il n</w:t>
      </w:r>
      <w:r>
        <w:rPr>
          <w:rFonts w:cs="Times New Roman"/>
          <w:lang w:val="fr-CA"/>
        </w:rPr>
        <w:t>’</w:t>
      </w:r>
      <w:r w:rsidRPr="002A0914">
        <w:rPr>
          <w:rFonts w:cs="Times New Roman"/>
          <w:lang w:val="fr-CA"/>
        </w:rPr>
        <w:t>y a aucune limitation implicite; les tribunaux n</w:t>
      </w:r>
      <w:r>
        <w:rPr>
          <w:rFonts w:cs="Times New Roman"/>
          <w:lang w:val="fr-CA"/>
        </w:rPr>
        <w:t>’</w:t>
      </w:r>
      <w:r w:rsidRPr="002A0914">
        <w:rPr>
          <w:rFonts w:cs="Times New Roman"/>
          <w:lang w:val="fr-CA"/>
        </w:rPr>
        <w:t xml:space="preserve">ont pas tous compétence pour accorder des réparations en vertu de la </w:t>
      </w:r>
      <w:r w:rsidRPr="002A0914">
        <w:rPr>
          <w:rFonts w:cs="Times New Roman"/>
          <w:i/>
          <w:lang w:val="fr-CA"/>
        </w:rPr>
        <w:t xml:space="preserve">Charte </w:t>
      </w:r>
      <w:r w:rsidRPr="002A0914">
        <w:rPr>
          <w:rFonts w:cs="Times New Roman"/>
          <w:lang w:val="fr-CA"/>
        </w:rPr>
        <w:t>québécoise. Les professeurs Brun, Tremblay et Brouillet sont du même avis :</w:t>
      </w:r>
    </w:p>
    <w:p w:rsidR="00730DBB" w:rsidRPr="002A0914" w:rsidRDefault="00730DBB" w:rsidP="00730DBB">
      <w:pPr>
        <w:pStyle w:val="Citation-AltC"/>
        <w:tabs>
          <w:tab w:val="left" w:pos="1530"/>
        </w:tabs>
        <w:spacing w:after="240"/>
        <w:ind w:hanging="1166"/>
        <w:contextualSpacing w:val="0"/>
        <w:rPr>
          <w:lang w:val="fr-CA"/>
        </w:rPr>
      </w:pPr>
      <w:r w:rsidRPr="002A0914">
        <w:rPr>
          <w:lang w:val="fr-CA"/>
        </w:rPr>
        <w:lastRenderedPageBreak/>
        <w:tab/>
      </w:r>
      <w:r w:rsidRPr="002A0914">
        <w:rPr>
          <w:lang w:val="fr-CA"/>
        </w:rPr>
        <w:tab/>
        <w:t>L</w:t>
      </w:r>
      <w:r>
        <w:rPr>
          <w:lang w:val="fr-CA"/>
        </w:rPr>
        <w:t>’</w:t>
      </w:r>
      <w:r w:rsidRPr="002A0914">
        <w:rPr>
          <w:lang w:val="fr-CA"/>
        </w:rPr>
        <w:t xml:space="preserve">article 49 ne dit rien à ce sujet. Il faut en déduire que le tribunal qui peut </w:t>
      </w:r>
      <w:r w:rsidRPr="002A0914">
        <w:rPr>
          <w:lang w:val="fr-FR"/>
        </w:rPr>
        <w:t>donner</w:t>
      </w:r>
      <w:r w:rsidRPr="002A0914">
        <w:rPr>
          <w:lang w:val="fr-CA"/>
        </w:rPr>
        <w:t xml:space="preserve"> suite à une demande fondée sur [l</w:t>
      </w:r>
      <w:r>
        <w:rPr>
          <w:lang w:val="fr-CA"/>
        </w:rPr>
        <w:t>’</w:t>
      </w:r>
      <w:r w:rsidRPr="002A0914">
        <w:rPr>
          <w:lang w:val="fr-CA"/>
        </w:rPr>
        <w:t xml:space="preserve">article] 49 doit être un tribunal qui est compétent suivant le droit ordinaire pour accorder le redressement réclamé. </w:t>
      </w:r>
    </w:p>
    <w:p w:rsidR="00730DBB" w:rsidRPr="002A0914" w:rsidRDefault="00730DBB" w:rsidP="00D22257">
      <w:pPr>
        <w:pStyle w:val="Citation-AltC"/>
        <w:ind w:left="0"/>
        <w:rPr>
          <w:lang w:val="fr-CA"/>
        </w:rPr>
      </w:pPr>
      <w:r w:rsidRPr="002A0914">
        <w:rPr>
          <w:lang w:val="fr-CA"/>
        </w:rPr>
        <w:t xml:space="preserve">(H. Brun, G. Tremblay et E. Brouillet, </w:t>
      </w:r>
      <w:r w:rsidRPr="002A0914">
        <w:rPr>
          <w:i/>
          <w:lang w:val="fr-CA"/>
        </w:rPr>
        <w:t xml:space="preserve">Droit constitutionnel </w:t>
      </w:r>
      <w:r w:rsidRPr="002A0914">
        <w:rPr>
          <w:lang w:val="fr-CA"/>
        </w:rPr>
        <w:t>(6</w:t>
      </w:r>
      <w:r w:rsidRPr="002A0914">
        <w:rPr>
          <w:vertAlign w:val="superscript"/>
          <w:lang w:val="fr-CA"/>
        </w:rPr>
        <w:t>e</w:t>
      </w:r>
      <w:r w:rsidRPr="002A0914">
        <w:rPr>
          <w:lang w:val="fr-CA"/>
        </w:rPr>
        <w:t> éd. 2014</w:t>
      </w:r>
      <w:r w:rsidR="00C2411D">
        <w:rPr>
          <w:lang w:val="fr-CA"/>
        </w:rPr>
        <w:t>)</w:t>
      </w:r>
      <w:r w:rsidRPr="002A0914">
        <w:rPr>
          <w:lang w:val="fr-CA"/>
        </w:rPr>
        <w:t>, p. 1082)</w:t>
      </w:r>
    </w:p>
    <w:p w:rsidR="00730DBB" w:rsidRPr="002A0914" w:rsidRDefault="00730DBB" w:rsidP="00730DBB">
      <w:pPr>
        <w:pStyle w:val="ParaNoNdepar-AltN"/>
        <w:rPr>
          <w:rFonts w:cs="Times New Roman"/>
          <w:lang w:val="fr-CA"/>
        </w:rPr>
      </w:pPr>
      <w:r w:rsidRPr="002A0914">
        <w:rPr>
          <w:rFonts w:cs="Times New Roman"/>
          <w:lang w:val="fr-CA"/>
        </w:rPr>
        <w:t>Bien que le cadre énoncé dans l</w:t>
      </w:r>
      <w:r>
        <w:rPr>
          <w:rFonts w:cs="Times New Roman"/>
          <w:lang w:val="fr-CA"/>
        </w:rPr>
        <w:t>’</w:t>
      </w:r>
      <w:r w:rsidRPr="002A0914">
        <w:rPr>
          <w:rFonts w:cs="Times New Roman"/>
          <w:lang w:val="fr-CA"/>
        </w:rPr>
        <w:t xml:space="preserve">arrêt </w:t>
      </w:r>
      <w:r w:rsidRPr="002A0914">
        <w:rPr>
          <w:rFonts w:cs="Times New Roman"/>
          <w:i/>
          <w:lang w:val="fr-CA"/>
        </w:rPr>
        <w:t xml:space="preserve">Conway </w:t>
      </w:r>
      <w:r w:rsidRPr="002A0914">
        <w:rPr>
          <w:rFonts w:cs="Times New Roman"/>
          <w:lang w:val="fr-CA"/>
        </w:rPr>
        <w:t>l</w:t>
      </w:r>
      <w:r>
        <w:rPr>
          <w:rFonts w:cs="Times New Roman"/>
          <w:lang w:val="fr-CA"/>
        </w:rPr>
        <w:t>’</w:t>
      </w:r>
      <w:r w:rsidRPr="002A0914">
        <w:rPr>
          <w:rFonts w:cs="Times New Roman"/>
          <w:lang w:val="fr-CA"/>
        </w:rPr>
        <w:t xml:space="preserve">ait été dans le contexte de la </w:t>
      </w:r>
      <w:r w:rsidRPr="002A0914">
        <w:rPr>
          <w:rFonts w:cs="Times New Roman"/>
          <w:i/>
          <w:lang w:val="fr-CA"/>
        </w:rPr>
        <w:t>Charte</w:t>
      </w:r>
      <w:r w:rsidRPr="002A0914">
        <w:rPr>
          <w:rFonts w:cs="Times New Roman"/>
          <w:lang w:val="fr-CA"/>
        </w:rPr>
        <w:t xml:space="preserve"> canadienne, je ne vois pas pourquoi le raisonnement qui le sous</w:t>
      </w:r>
      <w:r w:rsidRPr="002A0914">
        <w:rPr>
          <w:rFonts w:cs="Times New Roman"/>
          <w:lang w:val="fr-CA"/>
        </w:rPr>
        <w:noBreakHyphen/>
        <w:t>tend ne devrait pas s</w:t>
      </w:r>
      <w:r>
        <w:rPr>
          <w:rFonts w:cs="Times New Roman"/>
          <w:lang w:val="fr-CA"/>
        </w:rPr>
        <w:t>’</w:t>
      </w:r>
      <w:r w:rsidRPr="002A0914">
        <w:rPr>
          <w:rFonts w:cs="Times New Roman"/>
          <w:lang w:val="fr-CA"/>
        </w:rPr>
        <w:t xml:space="preserve">appliquer lui aussi à la </w:t>
      </w:r>
      <w:r w:rsidRPr="002A0914">
        <w:rPr>
          <w:rFonts w:cs="Times New Roman"/>
          <w:i/>
          <w:lang w:val="fr-CA"/>
        </w:rPr>
        <w:t>Charte</w:t>
      </w:r>
      <w:r w:rsidRPr="002A0914">
        <w:rPr>
          <w:rFonts w:cs="Times New Roman"/>
          <w:lang w:val="fr-CA"/>
        </w:rPr>
        <w:t xml:space="preserve"> québécoise. Les similitudes entre ces deux instruments ont donné lieu à une </w:t>
      </w:r>
      <w:r w:rsidR="00C1132F">
        <w:rPr>
          <w:rFonts w:cs="Times New Roman"/>
          <w:lang w:val="fr-CA"/>
        </w:rPr>
        <w:t xml:space="preserve">importante </w:t>
      </w:r>
      <w:r w:rsidRPr="002A0914">
        <w:rPr>
          <w:rFonts w:cs="Times New Roman"/>
          <w:lang w:val="fr-CA"/>
        </w:rPr>
        <w:t>« pollinisation croisée » dans la jurisprudence. Fait à souligner, la Cour a appliqué le cadre d</w:t>
      </w:r>
      <w:r>
        <w:rPr>
          <w:rFonts w:cs="Times New Roman"/>
          <w:lang w:val="fr-CA"/>
        </w:rPr>
        <w:t>’</w:t>
      </w:r>
      <w:r w:rsidRPr="002A0914">
        <w:rPr>
          <w:rFonts w:cs="Times New Roman"/>
          <w:lang w:val="fr-CA"/>
        </w:rPr>
        <w:t>analyse fondé sur l</w:t>
      </w:r>
      <w:r>
        <w:rPr>
          <w:rFonts w:cs="Times New Roman"/>
          <w:lang w:val="fr-CA"/>
        </w:rPr>
        <w:t>’</w:t>
      </w:r>
      <w:r w:rsidRPr="002A0914">
        <w:rPr>
          <w:rFonts w:cs="Times New Roman"/>
          <w:lang w:val="fr-CA"/>
        </w:rPr>
        <w:t xml:space="preserve">article premier de la </w:t>
      </w:r>
      <w:r w:rsidRPr="002A0914">
        <w:rPr>
          <w:rFonts w:cs="Times New Roman"/>
          <w:i/>
          <w:lang w:val="fr-CA"/>
        </w:rPr>
        <w:t>Charte</w:t>
      </w:r>
      <w:r w:rsidRPr="002A0914">
        <w:rPr>
          <w:rFonts w:cs="Times New Roman"/>
          <w:lang w:val="fr-CA"/>
        </w:rPr>
        <w:t xml:space="preserve"> canadienne, tel qu</w:t>
      </w:r>
      <w:r>
        <w:rPr>
          <w:rFonts w:cs="Times New Roman"/>
          <w:lang w:val="fr-CA"/>
        </w:rPr>
        <w:t>’</w:t>
      </w:r>
      <w:r w:rsidRPr="002A0914">
        <w:rPr>
          <w:rFonts w:cs="Times New Roman"/>
          <w:lang w:val="fr-CA"/>
        </w:rPr>
        <w:t xml:space="preserve">il a été exposé dans </w:t>
      </w:r>
      <w:r w:rsidRPr="002A0914">
        <w:rPr>
          <w:rFonts w:cs="Times New Roman"/>
          <w:i/>
          <w:lang w:val="fr-CA"/>
        </w:rPr>
        <w:t>R. c. Oakes</w:t>
      </w:r>
      <w:r w:rsidRPr="002A0914">
        <w:rPr>
          <w:rFonts w:cs="Times New Roman"/>
          <w:lang w:val="fr-CA"/>
        </w:rPr>
        <w:t>,</w:t>
      </w:r>
      <w:r w:rsidRPr="002A0914">
        <w:rPr>
          <w:rFonts w:cs="Times New Roman"/>
          <w:i/>
          <w:lang w:val="fr-CA"/>
        </w:rPr>
        <w:t xml:space="preserve"> </w:t>
      </w:r>
      <w:r w:rsidRPr="002A0914">
        <w:rPr>
          <w:rFonts w:cs="Times New Roman"/>
          <w:lang w:val="fr-CA"/>
        </w:rPr>
        <w:t>[1986] 1 R.C.S. 103, à l</w:t>
      </w:r>
      <w:r>
        <w:rPr>
          <w:rFonts w:cs="Times New Roman"/>
          <w:lang w:val="fr-CA"/>
        </w:rPr>
        <w:t>’</w:t>
      </w:r>
      <w:r w:rsidRPr="002A0914">
        <w:rPr>
          <w:rFonts w:cs="Times New Roman"/>
          <w:lang w:val="fr-CA"/>
        </w:rPr>
        <w:t xml:space="preserve">art. 9.1 de la </w:t>
      </w:r>
      <w:r w:rsidRPr="002A0914">
        <w:rPr>
          <w:rFonts w:cs="Times New Roman"/>
          <w:i/>
          <w:lang w:val="fr-CA"/>
        </w:rPr>
        <w:t xml:space="preserve">Charte </w:t>
      </w:r>
      <w:r w:rsidRPr="002A0914">
        <w:rPr>
          <w:rFonts w:cs="Times New Roman"/>
          <w:lang w:val="fr-CA"/>
        </w:rPr>
        <w:t>québécoise, ce qui confirme l</w:t>
      </w:r>
      <w:r>
        <w:rPr>
          <w:rFonts w:cs="Times New Roman"/>
          <w:lang w:val="fr-CA"/>
        </w:rPr>
        <w:t>’</w:t>
      </w:r>
      <w:r w:rsidRPr="002A0914">
        <w:rPr>
          <w:rFonts w:cs="Times New Roman"/>
          <w:lang w:val="fr-CA"/>
        </w:rPr>
        <w:t>objet justificatif semblable de l</w:t>
      </w:r>
      <w:r>
        <w:rPr>
          <w:rFonts w:cs="Times New Roman"/>
          <w:lang w:val="fr-CA"/>
        </w:rPr>
        <w:t>’</w:t>
      </w:r>
      <w:r w:rsidRPr="002A0914">
        <w:rPr>
          <w:rFonts w:cs="Times New Roman"/>
          <w:lang w:val="fr-CA"/>
        </w:rPr>
        <w:t xml:space="preserve">art. 9.1 de la </w:t>
      </w:r>
      <w:r w:rsidRPr="002A0914">
        <w:rPr>
          <w:rFonts w:cs="Times New Roman"/>
          <w:i/>
          <w:lang w:val="fr-CA"/>
        </w:rPr>
        <w:t>Charte</w:t>
      </w:r>
      <w:r w:rsidRPr="002A0914">
        <w:rPr>
          <w:rFonts w:cs="Times New Roman"/>
          <w:lang w:val="fr-CA"/>
        </w:rPr>
        <w:t xml:space="preserve"> québécoise et de l</w:t>
      </w:r>
      <w:r>
        <w:rPr>
          <w:rFonts w:cs="Times New Roman"/>
          <w:lang w:val="fr-CA"/>
        </w:rPr>
        <w:t>’</w:t>
      </w:r>
      <w:r w:rsidRPr="002A0914">
        <w:rPr>
          <w:rFonts w:cs="Times New Roman"/>
          <w:lang w:val="fr-CA"/>
        </w:rPr>
        <w:t xml:space="preserve">article premier de la </w:t>
      </w:r>
      <w:r w:rsidRPr="002A0914">
        <w:rPr>
          <w:rFonts w:cs="Times New Roman"/>
          <w:i/>
          <w:lang w:val="fr-CA"/>
        </w:rPr>
        <w:t xml:space="preserve">Charte </w:t>
      </w:r>
      <w:r w:rsidRPr="002A0914">
        <w:rPr>
          <w:rFonts w:cs="Times New Roman"/>
          <w:lang w:val="fr-CA"/>
        </w:rPr>
        <w:t>canadienne, malgré les différences qui existent entre les textes des deux dispositions</w:t>
      </w:r>
      <w:r w:rsidRPr="002A0914">
        <w:rPr>
          <w:rFonts w:cs="Times New Roman"/>
          <w:i/>
          <w:lang w:val="fr-CA"/>
        </w:rPr>
        <w:t xml:space="preserve"> </w:t>
      </w:r>
      <w:r w:rsidRPr="002A0914">
        <w:rPr>
          <w:rFonts w:cs="Times New Roman"/>
          <w:lang w:val="fr-CA"/>
        </w:rPr>
        <w:t>(</w:t>
      </w:r>
      <w:r w:rsidRPr="002A0914">
        <w:rPr>
          <w:rFonts w:cs="Times New Roman"/>
          <w:i/>
          <w:lang w:val="fr-CA"/>
        </w:rPr>
        <w:t>Ford</w:t>
      </w:r>
      <w:r w:rsidRPr="002A0914">
        <w:rPr>
          <w:rFonts w:cs="Times New Roman"/>
          <w:lang w:val="fr-CA"/>
        </w:rPr>
        <w:t>,</w:t>
      </w:r>
      <w:r w:rsidRPr="002A0914">
        <w:rPr>
          <w:rFonts w:cs="Times New Roman"/>
          <w:i/>
          <w:lang w:val="fr-CA"/>
        </w:rPr>
        <w:t xml:space="preserve"> </w:t>
      </w:r>
      <w:r w:rsidRPr="002A0914">
        <w:rPr>
          <w:rFonts w:cs="Times New Roman"/>
          <w:lang w:val="fr-CA"/>
        </w:rPr>
        <w:t>p. 769</w:t>
      </w:r>
      <w:r w:rsidRPr="002A0914">
        <w:rPr>
          <w:rFonts w:cs="Times New Roman"/>
          <w:lang w:val="fr-CA"/>
        </w:rPr>
        <w:noBreakHyphen/>
        <w:t xml:space="preserve">771; </w:t>
      </w:r>
      <w:r w:rsidRPr="002A0914">
        <w:rPr>
          <w:rFonts w:cs="Times New Roman"/>
          <w:i/>
          <w:lang w:val="fr-CA"/>
        </w:rPr>
        <w:t>Chaoulli</w:t>
      </w:r>
      <w:r w:rsidRPr="002A0914">
        <w:rPr>
          <w:rFonts w:cs="Times New Roman"/>
          <w:lang w:val="fr-CA"/>
        </w:rPr>
        <w:t>, par. 46</w:t>
      </w:r>
      <w:r w:rsidRPr="002A0914">
        <w:rPr>
          <w:rFonts w:cs="Times New Roman"/>
          <w:lang w:val="fr-CA"/>
        </w:rPr>
        <w:noBreakHyphen/>
        <w:t>48, la juge Deschamps). Inversement, le cadre d</w:t>
      </w:r>
      <w:r>
        <w:rPr>
          <w:rFonts w:cs="Times New Roman"/>
          <w:lang w:val="fr-CA"/>
        </w:rPr>
        <w:t>’</w:t>
      </w:r>
      <w:r w:rsidRPr="002A0914">
        <w:rPr>
          <w:rFonts w:cs="Times New Roman"/>
          <w:lang w:val="fr-CA"/>
        </w:rPr>
        <w:t>analyse permettant de déterminer s</w:t>
      </w:r>
      <w:r>
        <w:rPr>
          <w:rFonts w:cs="Times New Roman"/>
          <w:lang w:val="fr-CA"/>
        </w:rPr>
        <w:t>’</w:t>
      </w:r>
      <w:r w:rsidRPr="002A0914">
        <w:rPr>
          <w:rFonts w:cs="Times New Roman"/>
          <w:lang w:val="fr-CA"/>
        </w:rPr>
        <w:t>il y a eu atteinte à la liberté de religion d</w:t>
      </w:r>
      <w:r>
        <w:rPr>
          <w:rFonts w:cs="Times New Roman"/>
          <w:lang w:val="fr-CA"/>
        </w:rPr>
        <w:t>’</w:t>
      </w:r>
      <w:r w:rsidRPr="002A0914">
        <w:rPr>
          <w:rFonts w:cs="Times New Roman"/>
          <w:lang w:val="fr-CA"/>
        </w:rPr>
        <w:t>une personne, qui a d</w:t>
      </w:r>
      <w:r>
        <w:rPr>
          <w:rFonts w:cs="Times New Roman"/>
          <w:lang w:val="fr-CA"/>
        </w:rPr>
        <w:t>’</w:t>
      </w:r>
      <w:r w:rsidRPr="002A0914">
        <w:rPr>
          <w:rFonts w:cs="Times New Roman"/>
          <w:lang w:val="fr-CA"/>
        </w:rPr>
        <w:t xml:space="preserve">abord été conçu dans </w:t>
      </w:r>
      <w:r w:rsidRPr="002A0914">
        <w:rPr>
          <w:rFonts w:cs="Times New Roman"/>
          <w:i/>
          <w:lang w:val="fr-CA"/>
        </w:rPr>
        <w:t>Syndicat Northcrest c. Amselem</w:t>
      </w:r>
      <w:r w:rsidRPr="002A0914">
        <w:rPr>
          <w:rFonts w:cs="Times New Roman"/>
          <w:lang w:val="fr-CA"/>
        </w:rPr>
        <w:t>, 2004 CSC 47,</w:t>
      </w:r>
      <w:r w:rsidRPr="002A0914">
        <w:rPr>
          <w:rFonts w:cs="Times New Roman"/>
          <w:i/>
          <w:lang w:val="fr-CA"/>
        </w:rPr>
        <w:t xml:space="preserve"> </w:t>
      </w:r>
      <w:r w:rsidRPr="002A0914">
        <w:rPr>
          <w:rFonts w:cs="Times New Roman"/>
          <w:lang w:val="fr-CA"/>
        </w:rPr>
        <w:t>[2004] 2 R.C.S. 551, un arrêt portant sur l</w:t>
      </w:r>
      <w:r>
        <w:rPr>
          <w:rFonts w:cs="Times New Roman"/>
          <w:lang w:val="fr-CA"/>
        </w:rPr>
        <w:t>’</w:t>
      </w:r>
      <w:r w:rsidRPr="002A0914">
        <w:rPr>
          <w:rFonts w:cs="Times New Roman"/>
          <w:lang w:val="fr-CA"/>
        </w:rPr>
        <w:t>art</w:t>
      </w:r>
      <w:r w:rsidR="00C1132F">
        <w:rPr>
          <w:rFonts w:cs="Times New Roman"/>
          <w:lang w:val="fr-CA"/>
        </w:rPr>
        <w:t>.</w:t>
      </w:r>
      <w:r w:rsidRPr="002A0914">
        <w:rPr>
          <w:rFonts w:cs="Times New Roman"/>
          <w:lang w:val="fr-CA"/>
        </w:rPr>
        <w:t xml:space="preserve"> 3 de la </w:t>
      </w:r>
      <w:r w:rsidRPr="002A0914">
        <w:rPr>
          <w:rFonts w:cs="Times New Roman"/>
          <w:i/>
          <w:lang w:val="fr-CA"/>
        </w:rPr>
        <w:t>Charte</w:t>
      </w:r>
      <w:r w:rsidRPr="002A0914">
        <w:rPr>
          <w:rFonts w:cs="Times New Roman"/>
          <w:lang w:val="fr-CA"/>
        </w:rPr>
        <w:t xml:space="preserve"> québécoise, a contribué à l</w:t>
      </w:r>
      <w:r>
        <w:rPr>
          <w:rFonts w:cs="Times New Roman"/>
          <w:lang w:val="fr-CA"/>
        </w:rPr>
        <w:t>’</w:t>
      </w:r>
      <w:r w:rsidRPr="002A0914">
        <w:rPr>
          <w:rFonts w:cs="Times New Roman"/>
          <w:lang w:val="fr-CA"/>
        </w:rPr>
        <w:t>élaboration de la jurisprudence subséquente relative à l</w:t>
      </w:r>
      <w:r>
        <w:rPr>
          <w:rFonts w:cs="Times New Roman"/>
          <w:lang w:val="fr-CA"/>
        </w:rPr>
        <w:t>’</w:t>
      </w:r>
      <w:r w:rsidRPr="002A0914">
        <w:rPr>
          <w:rFonts w:cs="Times New Roman"/>
          <w:lang w:val="fr-CA"/>
        </w:rPr>
        <w:t>al. 2</w:t>
      </w:r>
      <w:r w:rsidRPr="002A0914">
        <w:rPr>
          <w:rFonts w:cs="Times New Roman"/>
          <w:i/>
          <w:lang w:val="fr-CA"/>
        </w:rPr>
        <w:t>a</w:t>
      </w:r>
      <w:r w:rsidRPr="002A0914">
        <w:rPr>
          <w:rFonts w:cs="Times New Roman"/>
          <w:lang w:val="fr-CA"/>
        </w:rPr>
        <w:t xml:space="preserve">) de la </w:t>
      </w:r>
      <w:r w:rsidRPr="002A0914">
        <w:rPr>
          <w:rFonts w:cs="Times New Roman"/>
          <w:i/>
          <w:lang w:val="fr-CA"/>
        </w:rPr>
        <w:t>Charte</w:t>
      </w:r>
      <w:r w:rsidRPr="002A0914">
        <w:rPr>
          <w:rFonts w:cs="Times New Roman"/>
          <w:lang w:val="fr-CA"/>
        </w:rPr>
        <w:t xml:space="preserve"> canadienne (</w:t>
      </w:r>
      <w:r w:rsidRPr="002A0914">
        <w:rPr>
          <w:rFonts w:cs="Times New Roman"/>
          <w:i/>
          <w:lang w:val="fr-CA"/>
        </w:rPr>
        <w:t>Saskatchewan (Human Rights Commission) c. Whatcott</w:t>
      </w:r>
      <w:r w:rsidRPr="002A0914">
        <w:rPr>
          <w:rFonts w:cs="Times New Roman"/>
          <w:lang w:val="fr-CA"/>
        </w:rPr>
        <w:t>,</w:t>
      </w:r>
      <w:r w:rsidRPr="002A0914">
        <w:rPr>
          <w:rFonts w:cs="Times New Roman"/>
          <w:i/>
          <w:lang w:val="fr-CA"/>
        </w:rPr>
        <w:t xml:space="preserve"> </w:t>
      </w:r>
      <w:r w:rsidRPr="002A0914">
        <w:rPr>
          <w:rFonts w:cs="Times New Roman"/>
          <w:lang w:val="fr-CA"/>
        </w:rPr>
        <w:t xml:space="preserve">2013 CSC 11, [2013] 1 R.C.S. 467; </w:t>
      </w:r>
      <w:r w:rsidRPr="002A0914">
        <w:rPr>
          <w:rFonts w:cs="Times New Roman"/>
          <w:i/>
          <w:lang w:val="fr-CA"/>
        </w:rPr>
        <w:t>Ktunaxa Nation c. Colombie</w:t>
      </w:r>
      <w:r w:rsidRPr="002A0914">
        <w:rPr>
          <w:rFonts w:cs="Times New Roman"/>
          <w:i/>
          <w:lang w:val="fr-CA"/>
        </w:rPr>
        <w:noBreakHyphen/>
        <w:t>Britannique (Forests, Lands and Natural Resource Operations)</w:t>
      </w:r>
      <w:r w:rsidRPr="002A0914">
        <w:rPr>
          <w:rFonts w:cs="Times New Roman"/>
          <w:lang w:val="fr-CA"/>
        </w:rPr>
        <w:t>, 2017 CSC 54</w:t>
      </w:r>
      <w:r w:rsidR="00BE47E0">
        <w:rPr>
          <w:rFonts w:cs="Times New Roman"/>
          <w:lang w:val="fr-CA"/>
        </w:rPr>
        <w:t>, [2017] 2 R.C.S. 386</w:t>
      </w:r>
      <w:r w:rsidRPr="002A0914">
        <w:rPr>
          <w:rFonts w:cs="Times New Roman"/>
          <w:lang w:val="fr-CA"/>
        </w:rPr>
        <w:t xml:space="preserve">). La nature semblable du par. 24(1) de la </w:t>
      </w:r>
      <w:r w:rsidRPr="002A0914">
        <w:rPr>
          <w:rFonts w:cs="Times New Roman"/>
          <w:i/>
          <w:lang w:val="fr-CA"/>
        </w:rPr>
        <w:t>Charte</w:t>
      </w:r>
      <w:r w:rsidRPr="002A0914">
        <w:rPr>
          <w:rFonts w:cs="Times New Roman"/>
          <w:lang w:val="fr-CA"/>
        </w:rPr>
        <w:t xml:space="preserve"> canadienne</w:t>
      </w:r>
      <w:r w:rsidRPr="002A0914">
        <w:rPr>
          <w:rFonts w:cs="Times New Roman"/>
          <w:i/>
          <w:lang w:val="fr-CA"/>
        </w:rPr>
        <w:t xml:space="preserve"> </w:t>
      </w:r>
      <w:r w:rsidRPr="002A0914">
        <w:rPr>
          <w:rFonts w:cs="Times New Roman"/>
          <w:lang w:val="fr-CA"/>
        </w:rPr>
        <w:t>et de l</w:t>
      </w:r>
      <w:r>
        <w:rPr>
          <w:rFonts w:cs="Times New Roman"/>
          <w:lang w:val="fr-CA"/>
        </w:rPr>
        <w:t>’</w:t>
      </w:r>
      <w:r w:rsidRPr="002A0914">
        <w:rPr>
          <w:rFonts w:cs="Times New Roman"/>
          <w:lang w:val="fr-CA"/>
        </w:rPr>
        <w:t xml:space="preserve">art. 49 de la </w:t>
      </w:r>
      <w:r w:rsidRPr="002A0914">
        <w:rPr>
          <w:rFonts w:cs="Times New Roman"/>
          <w:i/>
          <w:lang w:val="fr-CA"/>
        </w:rPr>
        <w:t xml:space="preserve">Charte </w:t>
      </w:r>
      <w:r w:rsidRPr="002A0914">
        <w:rPr>
          <w:rFonts w:cs="Times New Roman"/>
          <w:lang w:val="fr-CA"/>
        </w:rPr>
        <w:t>québécoise milite en faveur de l</w:t>
      </w:r>
      <w:r>
        <w:rPr>
          <w:rFonts w:cs="Times New Roman"/>
          <w:lang w:val="fr-CA"/>
        </w:rPr>
        <w:t>’</w:t>
      </w:r>
      <w:r w:rsidRPr="002A0914">
        <w:rPr>
          <w:rFonts w:cs="Times New Roman"/>
          <w:lang w:val="fr-CA"/>
        </w:rPr>
        <w:t>application d</w:t>
      </w:r>
      <w:r>
        <w:rPr>
          <w:rFonts w:cs="Times New Roman"/>
          <w:lang w:val="fr-CA"/>
        </w:rPr>
        <w:t>’</w:t>
      </w:r>
      <w:r w:rsidRPr="002A0914">
        <w:rPr>
          <w:rFonts w:cs="Times New Roman"/>
          <w:lang w:val="fr-CA"/>
        </w:rPr>
        <w:t>un cadre d</w:t>
      </w:r>
      <w:r>
        <w:rPr>
          <w:rFonts w:cs="Times New Roman"/>
          <w:lang w:val="fr-CA"/>
        </w:rPr>
        <w:t>’</w:t>
      </w:r>
      <w:r w:rsidRPr="002A0914">
        <w:rPr>
          <w:rFonts w:cs="Times New Roman"/>
          <w:lang w:val="fr-CA"/>
        </w:rPr>
        <w:t xml:space="preserve">analyse parallèle pour décider si un </w:t>
      </w:r>
      <w:r w:rsidRPr="002A0914">
        <w:rPr>
          <w:rFonts w:cs="Times New Roman"/>
          <w:lang w:val="fr-CA"/>
        </w:rPr>
        <w:lastRenderedPageBreak/>
        <w:t>tribunal administratif peut accorder une réparation fondée sur l</w:t>
      </w:r>
      <w:r>
        <w:rPr>
          <w:rFonts w:cs="Times New Roman"/>
          <w:lang w:val="fr-CA"/>
        </w:rPr>
        <w:t>’</w:t>
      </w:r>
      <w:r w:rsidRPr="002A0914">
        <w:rPr>
          <w:rFonts w:cs="Times New Roman"/>
          <w:lang w:val="fr-CA"/>
        </w:rPr>
        <w:t>une ou l</w:t>
      </w:r>
      <w:r>
        <w:rPr>
          <w:rFonts w:cs="Times New Roman"/>
          <w:lang w:val="fr-CA"/>
        </w:rPr>
        <w:t>’</w:t>
      </w:r>
      <w:r w:rsidRPr="002A0914">
        <w:rPr>
          <w:rFonts w:cs="Times New Roman"/>
          <w:lang w:val="fr-CA"/>
        </w:rPr>
        <w:t xml:space="preserve">autre des </w:t>
      </w:r>
      <w:r w:rsidRPr="00CA345E">
        <w:rPr>
          <w:rFonts w:cs="Times New Roman"/>
          <w:i/>
          <w:lang w:val="fr-CA"/>
        </w:rPr>
        <w:t>Chartes</w:t>
      </w:r>
      <w:r w:rsidRPr="002A0914">
        <w:rPr>
          <w:rFonts w:cs="Times New Roman"/>
          <w:lang w:val="fr-CA"/>
        </w:rPr>
        <w:t>.</w:t>
      </w:r>
    </w:p>
    <w:p w:rsidR="00730DBB" w:rsidRPr="002A0914" w:rsidRDefault="00730DBB" w:rsidP="00730DBB">
      <w:pPr>
        <w:pStyle w:val="ParaNoNdepar-AltN"/>
        <w:rPr>
          <w:rFonts w:cs="Times New Roman"/>
          <w:lang w:val="fr-CA"/>
        </w:rPr>
      </w:pPr>
      <w:r w:rsidRPr="002A0914">
        <w:rPr>
          <w:rFonts w:cs="Times New Roman"/>
          <w:lang w:val="fr-CA"/>
        </w:rPr>
        <w:t>Cela n</w:t>
      </w:r>
      <w:r>
        <w:rPr>
          <w:rFonts w:cs="Times New Roman"/>
          <w:lang w:val="fr-CA"/>
        </w:rPr>
        <w:t>’</w:t>
      </w:r>
      <w:r w:rsidRPr="002A0914">
        <w:rPr>
          <w:rFonts w:cs="Times New Roman"/>
          <w:lang w:val="fr-CA"/>
        </w:rPr>
        <w:t>est pas nouveau. La Cour d</w:t>
      </w:r>
      <w:r>
        <w:rPr>
          <w:rFonts w:cs="Times New Roman"/>
          <w:lang w:val="fr-CA"/>
        </w:rPr>
        <w:t>’</w:t>
      </w:r>
      <w:r w:rsidRPr="002A0914">
        <w:rPr>
          <w:rFonts w:cs="Times New Roman"/>
          <w:lang w:val="fr-CA"/>
        </w:rPr>
        <w:t xml:space="preserve">appel du Québec a appliqué </w:t>
      </w:r>
      <w:r w:rsidRPr="002A0914">
        <w:rPr>
          <w:rFonts w:cs="Times New Roman"/>
          <w:i/>
          <w:lang w:val="fr-CA"/>
        </w:rPr>
        <w:t>mutatis mutandis</w:t>
      </w:r>
      <w:r w:rsidRPr="002A0914">
        <w:rPr>
          <w:rFonts w:cs="Times New Roman"/>
          <w:lang w:val="fr-CA"/>
        </w:rPr>
        <w:t xml:space="preserve"> le cadre énoncé dans l</w:t>
      </w:r>
      <w:r>
        <w:rPr>
          <w:rFonts w:cs="Times New Roman"/>
          <w:lang w:val="fr-CA"/>
        </w:rPr>
        <w:t>’</w:t>
      </w:r>
      <w:r w:rsidRPr="002A0914">
        <w:rPr>
          <w:rFonts w:cs="Times New Roman"/>
          <w:lang w:val="fr-CA"/>
        </w:rPr>
        <w:t xml:space="preserve">arrêt </w:t>
      </w:r>
      <w:r w:rsidRPr="002A0914">
        <w:rPr>
          <w:rFonts w:cs="Times New Roman"/>
          <w:i/>
          <w:lang w:val="fr-CA"/>
        </w:rPr>
        <w:t xml:space="preserve">Conway </w:t>
      </w:r>
      <w:r w:rsidRPr="002A0914">
        <w:rPr>
          <w:rFonts w:cs="Times New Roman"/>
          <w:lang w:val="fr-CA"/>
        </w:rPr>
        <w:t xml:space="preserve">pour décider si la Commission des relations du travail (qui fait aussi maintenant partie du TAT) avait compétence pour accorder une réparation fondée sur les </w:t>
      </w:r>
      <w:r w:rsidRPr="002A0914">
        <w:rPr>
          <w:rFonts w:cs="Times New Roman"/>
          <w:i/>
          <w:lang w:val="fr-CA"/>
        </w:rPr>
        <w:t xml:space="preserve">Chartes </w:t>
      </w:r>
      <w:r w:rsidRPr="002A0914">
        <w:rPr>
          <w:rFonts w:cs="Times New Roman"/>
          <w:lang w:val="fr-CA"/>
        </w:rPr>
        <w:t>québécoise et canadienne (</w:t>
      </w:r>
      <w:r w:rsidRPr="002A0914">
        <w:rPr>
          <w:rFonts w:cs="Times New Roman"/>
          <w:i/>
          <w:lang w:val="fr-CA"/>
        </w:rPr>
        <w:t>Association des cadres de la Société des casinos du Québec c. Société des casinos du Québec</w:t>
      </w:r>
      <w:r w:rsidRPr="002A0914">
        <w:rPr>
          <w:rFonts w:cs="Times New Roman"/>
          <w:lang w:val="fr-CA"/>
        </w:rPr>
        <w:t>, 2014 QCCA 603, par. 10 et 31 (CanLII)). De plus, avant l</w:t>
      </w:r>
      <w:r>
        <w:rPr>
          <w:rFonts w:cs="Times New Roman"/>
          <w:lang w:val="fr-CA"/>
        </w:rPr>
        <w:t>’</w:t>
      </w:r>
      <w:r w:rsidRPr="002A0914">
        <w:rPr>
          <w:rFonts w:cs="Times New Roman"/>
          <w:lang w:val="fr-CA"/>
        </w:rPr>
        <w:t xml:space="preserve">arrêt </w:t>
      </w:r>
      <w:r w:rsidRPr="002A0914">
        <w:rPr>
          <w:rFonts w:cs="Times New Roman"/>
          <w:i/>
          <w:lang w:val="fr-CA"/>
        </w:rPr>
        <w:t>Conway</w:t>
      </w:r>
      <w:r w:rsidRPr="002A0914">
        <w:rPr>
          <w:rFonts w:cs="Times New Roman"/>
          <w:lang w:val="fr-CA"/>
        </w:rPr>
        <w:t xml:space="preserve"> de notre Cour, la Cour d</w:t>
      </w:r>
      <w:r>
        <w:rPr>
          <w:rFonts w:cs="Times New Roman"/>
          <w:lang w:val="fr-CA"/>
        </w:rPr>
        <w:t>’</w:t>
      </w:r>
      <w:r w:rsidRPr="002A0914">
        <w:rPr>
          <w:rFonts w:cs="Times New Roman"/>
          <w:lang w:val="fr-CA"/>
        </w:rPr>
        <w:t>appel du Québec a affirmé que, compte tenu de leur nature semblable, il s</w:t>
      </w:r>
      <w:r>
        <w:rPr>
          <w:rFonts w:cs="Times New Roman"/>
          <w:lang w:val="fr-CA"/>
        </w:rPr>
        <w:t>’</w:t>
      </w:r>
      <w:r w:rsidRPr="002A0914">
        <w:rPr>
          <w:rFonts w:cs="Times New Roman"/>
          <w:lang w:val="fr-CA"/>
        </w:rPr>
        <w:t>ensuivait que l</w:t>
      </w:r>
      <w:r>
        <w:rPr>
          <w:rFonts w:cs="Times New Roman"/>
          <w:lang w:val="fr-CA"/>
        </w:rPr>
        <w:t>’</w:t>
      </w:r>
      <w:r w:rsidRPr="002A0914">
        <w:rPr>
          <w:rFonts w:cs="Times New Roman"/>
          <w:lang w:val="fr-CA"/>
        </w:rPr>
        <w:t xml:space="preserve">arbitre de griefs, un tribunal compétent au sens du par. 24(1) de la </w:t>
      </w:r>
      <w:r w:rsidRPr="002A0914">
        <w:rPr>
          <w:rFonts w:cs="Times New Roman"/>
          <w:i/>
          <w:lang w:val="fr-CA"/>
        </w:rPr>
        <w:t>Charte</w:t>
      </w:r>
      <w:r w:rsidRPr="002A0914">
        <w:rPr>
          <w:rFonts w:cs="Times New Roman"/>
          <w:lang w:val="fr-CA"/>
        </w:rPr>
        <w:t xml:space="preserve"> canadienne, était aussi un tribunal compétent au sens de l</w:t>
      </w:r>
      <w:r>
        <w:rPr>
          <w:rFonts w:cs="Times New Roman"/>
          <w:lang w:val="fr-CA"/>
        </w:rPr>
        <w:t>’</w:t>
      </w:r>
      <w:r w:rsidRPr="002A0914">
        <w:rPr>
          <w:rFonts w:cs="Times New Roman"/>
          <w:lang w:val="fr-CA"/>
        </w:rPr>
        <w:t xml:space="preserve">art. 49 de la </w:t>
      </w:r>
      <w:r w:rsidRPr="002A0914">
        <w:rPr>
          <w:rFonts w:cs="Times New Roman"/>
          <w:i/>
          <w:lang w:val="fr-CA"/>
        </w:rPr>
        <w:t xml:space="preserve">Charte </w:t>
      </w:r>
      <w:r w:rsidRPr="002A0914">
        <w:rPr>
          <w:rFonts w:cs="Times New Roman"/>
          <w:lang w:val="fr-CA"/>
        </w:rPr>
        <w:t>québécoise</w:t>
      </w:r>
      <w:r w:rsidRPr="002A0914">
        <w:rPr>
          <w:rFonts w:cs="Times New Roman"/>
          <w:i/>
          <w:lang w:val="fr-CA"/>
        </w:rPr>
        <w:t xml:space="preserve"> </w:t>
      </w:r>
      <w:r w:rsidRPr="002A0914">
        <w:rPr>
          <w:rFonts w:cs="Times New Roman"/>
          <w:lang w:val="fr-CA"/>
        </w:rPr>
        <w:t>(</w:t>
      </w:r>
      <w:r w:rsidRPr="002A0914">
        <w:rPr>
          <w:rFonts w:cs="Times New Roman"/>
          <w:i/>
          <w:lang w:val="fr-CA"/>
        </w:rPr>
        <w:t>Université de Montréal c. Québec (Commission des droits de la personne et des droits de la jeunesse)</w:t>
      </w:r>
      <w:r w:rsidRPr="002A0914">
        <w:rPr>
          <w:rFonts w:cs="Times New Roman"/>
          <w:lang w:val="fr-CA"/>
        </w:rPr>
        <w:t>,</w:t>
      </w:r>
      <w:r w:rsidRPr="002A0914">
        <w:rPr>
          <w:rFonts w:cs="Times New Roman"/>
          <w:i/>
          <w:lang w:val="fr-CA"/>
        </w:rPr>
        <w:t xml:space="preserve"> </w:t>
      </w:r>
      <w:r w:rsidRPr="002A0914">
        <w:rPr>
          <w:rFonts w:cs="Times New Roman"/>
          <w:lang w:val="fr-CA"/>
        </w:rPr>
        <w:t>2006 QCCA 508, par. 55 (CanLII)).</w:t>
      </w:r>
    </w:p>
    <w:p w:rsidR="00730DBB" w:rsidRPr="002A0914" w:rsidRDefault="00730DBB" w:rsidP="00730DBB">
      <w:pPr>
        <w:pStyle w:val="ParaNoNdepar-AltN"/>
        <w:rPr>
          <w:rFonts w:cs="Times New Roman"/>
          <w:lang w:val="fr-CA"/>
        </w:rPr>
      </w:pPr>
      <w:r w:rsidRPr="002A0914">
        <w:rPr>
          <w:rFonts w:cs="Times New Roman"/>
          <w:lang w:val="fr-CA"/>
        </w:rPr>
        <w:t>Il n</w:t>
      </w:r>
      <w:r>
        <w:rPr>
          <w:rFonts w:cs="Times New Roman"/>
          <w:lang w:val="fr-CA"/>
        </w:rPr>
        <w:t>’</w:t>
      </w:r>
      <w:r w:rsidRPr="002A0914">
        <w:rPr>
          <w:rFonts w:cs="Times New Roman"/>
          <w:lang w:val="fr-CA"/>
        </w:rPr>
        <w:t xml:space="preserve">en demeure pas moins que la </w:t>
      </w:r>
      <w:r w:rsidRPr="002A0914">
        <w:rPr>
          <w:rFonts w:cs="Times New Roman"/>
          <w:i/>
          <w:lang w:val="fr-CA"/>
        </w:rPr>
        <w:t xml:space="preserve">Charte </w:t>
      </w:r>
      <w:r w:rsidRPr="002A0914">
        <w:rPr>
          <w:rFonts w:cs="Times New Roman"/>
          <w:lang w:val="fr-CA"/>
        </w:rPr>
        <w:t xml:space="preserve">québécoise et la </w:t>
      </w:r>
      <w:r w:rsidRPr="002A0914">
        <w:rPr>
          <w:rFonts w:cs="Times New Roman"/>
          <w:i/>
          <w:lang w:val="fr-CA"/>
        </w:rPr>
        <w:t xml:space="preserve">Charte </w:t>
      </w:r>
      <w:r w:rsidRPr="002A0914">
        <w:rPr>
          <w:rFonts w:cs="Times New Roman"/>
          <w:lang w:val="fr-CA"/>
        </w:rPr>
        <w:t>canadienne</w:t>
      </w:r>
      <w:r w:rsidRPr="002A0914">
        <w:rPr>
          <w:rFonts w:cs="Times New Roman"/>
          <w:i/>
          <w:lang w:val="fr-CA"/>
        </w:rPr>
        <w:t xml:space="preserve"> </w:t>
      </w:r>
      <w:r w:rsidRPr="002A0914">
        <w:rPr>
          <w:rFonts w:cs="Times New Roman"/>
          <w:lang w:val="fr-CA"/>
        </w:rPr>
        <w:t>sont des instruments distincts; par conséquent, elles peuvent commander des approches différentes dans des situations différentes. L</w:t>
      </w:r>
      <w:r>
        <w:rPr>
          <w:rFonts w:cs="Times New Roman"/>
          <w:lang w:val="fr-CA"/>
        </w:rPr>
        <w:t>’</w:t>
      </w:r>
      <w:r w:rsidRPr="002A0914">
        <w:rPr>
          <w:rFonts w:cs="Times New Roman"/>
          <w:lang w:val="fr-CA"/>
        </w:rPr>
        <w:t>application en l</w:t>
      </w:r>
      <w:r>
        <w:rPr>
          <w:rFonts w:cs="Times New Roman"/>
          <w:lang w:val="fr-CA"/>
        </w:rPr>
        <w:t>’</w:t>
      </w:r>
      <w:r w:rsidRPr="002A0914">
        <w:rPr>
          <w:rFonts w:cs="Times New Roman"/>
          <w:lang w:val="fr-CA"/>
        </w:rPr>
        <w:t>espèce du cadre énoncé dans l</w:t>
      </w:r>
      <w:r>
        <w:rPr>
          <w:rFonts w:cs="Times New Roman"/>
          <w:lang w:val="fr-CA"/>
        </w:rPr>
        <w:t>’</w:t>
      </w:r>
      <w:r w:rsidRPr="002A0914">
        <w:rPr>
          <w:rFonts w:cs="Times New Roman"/>
          <w:lang w:val="fr-CA"/>
        </w:rPr>
        <w:t xml:space="preserve">arrêt </w:t>
      </w:r>
      <w:r w:rsidRPr="002A0914">
        <w:rPr>
          <w:rFonts w:cs="Times New Roman"/>
          <w:i/>
          <w:lang w:val="fr-CA"/>
        </w:rPr>
        <w:t xml:space="preserve">Conway </w:t>
      </w:r>
      <w:r w:rsidRPr="002A0914">
        <w:rPr>
          <w:rFonts w:cs="Times New Roman"/>
          <w:lang w:val="fr-CA"/>
        </w:rPr>
        <w:t>n</w:t>
      </w:r>
      <w:r>
        <w:rPr>
          <w:rFonts w:cs="Times New Roman"/>
          <w:lang w:val="fr-CA"/>
        </w:rPr>
        <w:t>’</w:t>
      </w:r>
      <w:r w:rsidRPr="002A0914">
        <w:rPr>
          <w:rFonts w:cs="Times New Roman"/>
          <w:lang w:val="fr-CA"/>
        </w:rPr>
        <w:t>écarte ni ne diminue en rien la possibilité que des approches distinctes soient justifiées, selon le contexte.</w:t>
      </w:r>
    </w:p>
    <w:p w:rsidR="00730DBB" w:rsidRPr="002A0914" w:rsidRDefault="00730DBB" w:rsidP="00730DBB">
      <w:pPr>
        <w:pStyle w:val="Title3LevelTitre3Niveau"/>
        <w:numPr>
          <w:ilvl w:val="2"/>
          <w:numId w:val="8"/>
        </w:numPr>
        <w:jc w:val="left"/>
        <w:rPr>
          <w:rFonts w:cs="Times New Roman"/>
          <w:lang w:val="fr-CA"/>
        </w:rPr>
      </w:pPr>
      <w:r w:rsidRPr="002A0914">
        <w:rPr>
          <w:rFonts w:cs="Times New Roman"/>
          <w:lang w:val="fr-CA"/>
        </w:rPr>
        <w:t>La CSST (aujourd</w:t>
      </w:r>
      <w:r>
        <w:rPr>
          <w:rFonts w:cs="Times New Roman"/>
          <w:lang w:val="fr-CA"/>
        </w:rPr>
        <w:t>’</w:t>
      </w:r>
      <w:r w:rsidRPr="002A0914">
        <w:rPr>
          <w:rFonts w:cs="Times New Roman"/>
          <w:lang w:val="fr-CA"/>
        </w:rPr>
        <w:t>hui la CN</w:t>
      </w:r>
      <w:r>
        <w:rPr>
          <w:rFonts w:cs="Times New Roman"/>
          <w:lang w:val="fr-CA"/>
        </w:rPr>
        <w:t>E</w:t>
      </w:r>
      <w:r w:rsidRPr="002A0914">
        <w:rPr>
          <w:rFonts w:cs="Times New Roman"/>
          <w:lang w:val="fr-CA"/>
        </w:rPr>
        <w:t>SST)</w:t>
      </w:r>
    </w:p>
    <w:p w:rsidR="00730DBB" w:rsidRPr="002A0914" w:rsidRDefault="00730DBB" w:rsidP="00730DBB">
      <w:pPr>
        <w:pStyle w:val="ParaNoNdepar-AltN"/>
        <w:rPr>
          <w:rFonts w:cs="Times New Roman"/>
          <w:lang w:val="fr-CA"/>
        </w:rPr>
      </w:pPr>
      <w:r w:rsidRPr="002A0914">
        <w:rPr>
          <w:rFonts w:cs="Times New Roman"/>
          <w:lang w:val="fr-CA"/>
        </w:rPr>
        <w:lastRenderedPageBreak/>
        <w:t xml:space="preserve">Je rappelle que la décision contrôlée est celle de la CLP, et non la décision initiale de la CSST; un appel interjeté devant la CLP est un appel </w:t>
      </w:r>
      <w:r w:rsidRPr="002A0914">
        <w:rPr>
          <w:rFonts w:cs="Times New Roman"/>
          <w:i/>
          <w:lang w:val="fr-CA"/>
        </w:rPr>
        <w:t xml:space="preserve">de novo </w:t>
      </w:r>
      <w:r w:rsidRPr="002A0914">
        <w:rPr>
          <w:rFonts w:cs="Times New Roman"/>
          <w:lang w:val="fr-CA"/>
        </w:rPr>
        <w:t>(</w:t>
      </w:r>
      <w:r w:rsidRPr="002A0914">
        <w:rPr>
          <w:rFonts w:cs="Times New Roman"/>
          <w:i/>
          <w:lang w:val="fr-CA"/>
        </w:rPr>
        <w:t>Moulin de préparation de bois en transit de St</w:t>
      </w:r>
      <w:r w:rsidRPr="002A0914">
        <w:rPr>
          <w:rFonts w:cs="Times New Roman"/>
          <w:i/>
          <w:lang w:val="fr-CA"/>
        </w:rPr>
        <w:noBreakHyphen/>
        <w:t>Romuald c. Commission d</w:t>
      </w:r>
      <w:r>
        <w:rPr>
          <w:rFonts w:cs="Times New Roman"/>
          <w:i/>
          <w:lang w:val="fr-CA"/>
        </w:rPr>
        <w:t>’</w:t>
      </w:r>
      <w:r w:rsidRPr="002A0914">
        <w:rPr>
          <w:rFonts w:cs="Times New Roman"/>
          <w:i/>
          <w:lang w:val="fr-CA"/>
        </w:rPr>
        <w:t>appel en matière de lésions professionnelles</w:t>
      </w:r>
      <w:r w:rsidRPr="002A0914">
        <w:rPr>
          <w:rFonts w:cs="Times New Roman"/>
          <w:lang w:val="fr-CA"/>
        </w:rPr>
        <w:t>,</w:t>
      </w:r>
      <w:r w:rsidRPr="002A0914">
        <w:rPr>
          <w:rFonts w:cs="Times New Roman"/>
          <w:i/>
          <w:lang w:val="fr-CA"/>
        </w:rPr>
        <w:t xml:space="preserve"> </w:t>
      </w:r>
      <w:r w:rsidRPr="002A0914">
        <w:rPr>
          <w:rFonts w:cs="Times New Roman"/>
          <w:lang w:val="fr-CA"/>
        </w:rPr>
        <w:t>[1998] C.A.L.P. 574 (C.A. Qué.)).</w:t>
      </w:r>
    </w:p>
    <w:p w:rsidR="00730DBB" w:rsidRPr="002A0914" w:rsidRDefault="00730DBB" w:rsidP="00730DBB">
      <w:pPr>
        <w:pStyle w:val="ParaNoNdepar-AltN"/>
        <w:rPr>
          <w:rFonts w:cs="Times New Roman"/>
          <w:lang w:val="fr-CA"/>
        </w:rPr>
      </w:pPr>
      <w:r w:rsidRPr="002A0914">
        <w:rPr>
          <w:rFonts w:cs="Times New Roman"/>
          <w:lang w:val="fr-CA"/>
        </w:rPr>
        <w:t>Dans le premier volet du critère énoncé dans l</w:t>
      </w:r>
      <w:r>
        <w:rPr>
          <w:rFonts w:cs="Times New Roman"/>
          <w:lang w:val="fr-CA"/>
        </w:rPr>
        <w:t>’</w:t>
      </w:r>
      <w:r w:rsidRPr="002A0914">
        <w:rPr>
          <w:rFonts w:cs="Times New Roman"/>
          <w:lang w:val="fr-CA"/>
        </w:rPr>
        <w:t xml:space="preserve">arrêt </w:t>
      </w:r>
      <w:r w:rsidRPr="002A0914">
        <w:rPr>
          <w:rFonts w:cs="Times New Roman"/>
          <w:i/>
          <w:lang w:val="fr-CA"/>
        </w:rPr>
        <w:t>Conway</w:t>
      </w:r>
      <w:r w:rsidRPr="002A0914">
        <w:rPr>
          <w:rFonts w:cs="Times New Roman"/>
          <w:lang w:val="fr-CA"/>
        </w:rPr>
        <w:t>,</w:t>
      </w:r>
      <w:r w:rsidRPr="002A0914">
        <w:rPr>
          <w:rFonts w:cs="Times New Roman"/>
          <w:i/>
          <w:lang w:val="fr-CA"/>
        </w:rPr>
        <w:t xml:space="preserve"> </w:t>
      </w:r>
      <w:r w:rsidRPr="002A0914">
        <w:rPr>
          <w:rFonts w:cs="Times New Roman"/>
          <w:lang w:val="fr-CA"/>
        </w:rPr>
        <w:t>il faut se demander si le tribunal a le pouvoir de trancher des questions de droit. À l</w:t>
      </w:r>
      <w:r>
        <w:rPr>
          <w:rFonts w:cs="Times New Roman"/>
          <w:lang w:val="fr-CA"/>
        </w:rPr>
        <w:t>’</w:t>
      </w:r>
      <w:r w:rsidRPr="002A0914">
        <w:rPr>
          <w:rFonts w:cs="Times New Roman"/>
          <w:lang w:val="fr-CA"/>
        </w:rPr>
        <w:t xml:space="preserve">intérieur du cadre administratif québécois, la CSST (maintenant la CNESST) exerce des « fonctions administratives » au sens de la </w:t>
      </w:r>
      <w:r w:rsidRPr="002A0914">
        <w:rPr>
          <w:rFonts w:cs="Times New Roman"/>
          <w:i/>
          <w:lang w:val="fr-CA"/>
        </w:rPr>
        <w:t>Loi sur la justice administrative</w:t>
      </w:r>
      <w:r w:rsidRPr="002A0914">
        <w:rPr>
          <w:rFonts w:cs="Times New Roman"/>
          <w:lang w:val="fr-CA"/>
        </w:rPr>
        <w:t>,</w:t>
      </w:r>
      <w:r w:rsidRPr="002A0914">
        <w:rPr>
          <w:rFonts w:cs="Times New Roman"/>
          <w:i/>
          <w:lang w:val="fr-CA"/>
        </w:rPr>
        <w:t xml:space="preserve"> </w:t>
      </w:r>
      <w:r w:rsidR="00C65E3E">
        <w:rPr>
          <w:rFonts w:cs="Times New Roman"/>
          <w:lang w:val="fr-CA"/>
        </w:rPr>
        <w:t>RLRQ, c. J-</w:t>
      </w:r>
      <w:r w:rsidRPr="002A0914">
        <w:rPr>
          <w:rFonts w:cs="Times New Roman"/>
          <w:lang w:val="fr-CA"/>
        </w:rPr>
        <w:t>3, plutôt que des fonctions « juridictionnelles » ou quasi judiciaires. Si les fonctions administratives font l</w:t>
      </w:r>
      <w:r>
        <w:rPr>
          <w:rFonts w:cs="Times New Roman"/>
          <w:lang w:val="fr-CA"/>
        </w:rPr>
        <w:t>’</w:t>
      </w:r>
      <w:r w:rsidRPr="002A0914">
        <w:rPr>
          <w:rFonts w:cs="Times New Roman"/>
          <w:lang w:val="fr-CA"/>
        </w:rPr>
        <w:t>objet de certaines garanties procédurales, elles sont qualitativement différentes des fonctions juridictionnelles. Notamment, les organismes juridictionnels fonctionnent dans le contexte d</w:t>
      </w:r>
      <w:r>
        <w:rPr>
          <w:rFonts w:cs="Times New Roman"/>
          <w:lang w:val="fr-CA"/>
        </w:rPr>
        <w:t>’</w:t>
      </w:r>
      <w:r w:rsidRPr="002A0914">
        <w:rPr>
          <w:rFonts w:cs="Times New Roman"/>
          <w:lang w:val="fr-CA"/>
        </w:rPr>
        <w:t>un débat contradictoire, présidé par un juge administratif, tandis que les organismes administratifs donnent effet à des régimes législatifs dans un contexte bureaucratique.</w:t>
      </w:r>
    </w:p>
    <w:p w:rsidR="00730DBB" w:rsidRPr="002A0914" w:rsidRDefault="00730DBB" w:rsidP="00730DBB">
      <w:pPr>
        <w:pStyle w:val="ParaNoNdepar-AltN"/>
        <w:rPr>
          <w:rFonts w:cs="Times New Roman"/>
          <w:lang w:val="fr-CA"/>
        </w:rPr>
      </w:pPr>
      <w:r w:rsidRPr="002A0914">
        <w:rPr>
          <w:rFonts w:cs="Times New Roman"/>
          <w:lang w:val="fr-CA"/>
        </w:rPr>
        <w:t>La disposition de la</w:t>
      </w:r>
      <w:r>
        <w:rPr>
          <w:rFonts w:cs="Times New Roman"/>
          <w:lang w:val="fr-CA"/>
        </w:rPr>
        <w:t xml:space="preserve"> </w:t>
      </w:r>
      <w:r w:rsidRPr="002A0914">
        <w:rPr>
          <w:rFonts w:cs="Times New Roman"/>
          <w:lang w:val="fr-CA"/>
        </w:rPr>
        <w:t>Loi qui confère des pouvoirs à la CSST (aujourd</w:t>
      </w:r>
      <w:r>
        <w:rPr>
          <w:rFonts w:cs="Times New Roman"/>
          <w:lang w:val="fr-CA"/>
        </w:rPr>
        <w:t>’</w:t>
      </w:r>
      <w:r w:rsidRPr="002A0914">
        <w:rPr>
          <w:rFonts w:cs="Times New Roman"/>
          <w:lang w:val="fr-CA"/>
        </w:rPr>
        <w:t>hui la CNESST) investit celle</w:t>
      </w:r>
      <w:r w:rsidRPr="002A0914">
        <w:rPr>
          <w:rFonts w:cs="Times New Roman"/>
          <w:lang w:val="fr-CA"/>
        </w:rPr>
        <w:noBreakHyphen/>
        <w:t>ci d</w:t>
      </w:r>
      <w:r>
        <w:rPr>
          <w:rFonts w:cs="Times New Roman"/>
          <w:lang w:val="fr-CA"/>
        </w:rPr>
        <w:t>’</w:t>
      </w:r>
      <w:r w:rsidRPr="002A0914">
        <w:rPr>
          <w:rFonts w:cs="Times New Roman"/>
          <w:lang w:val="fr-CA"/>
        </w:rPr>
        <w:t>une compétence exclusive sur toute question relative à la Loi :</w:t>
      </w:r>
    </w:p>
    <w:p w:rsidR="00730DBB" w:rsidRPr="002A0914" w:rsidRDefault="00730DBB" w:rsidP="00730DBB">
      <w:pPr>
        <w:pStyle w:val="Citation-AltC"/>
        <w:tabs>
          <w:tab w:val="left" w:pos="1530"/>
        </w:tabs>
        <w:ind w:hanging="1166"/>
        <w:contextualSpacing w:val="0"/>
        <w:rPr>
          <w:lang w:val="fr-CA"/>
        </w:rPr>
      </w:pPr>
      <w:r w:rsidRPr="002A0914">
        <w:rPr>
          <w:b/>
          <w:lang w:val="fr-CA"/>
        </w:rPr>
        <w:tab/>
      </w:r>
      <w:r w:rsidRPr="002A0914">
        <w:rPr>
          <w:b/>
          <w:lang w:val="fr-CA"/>
        </w:rPr>
        <w:tab/>
        <w:t xml:space="preserve">349. </w:t>
      </w:r>
      <w:r w:rsidRPr="002A0914">
        <w:rPr>
          <w:lang w:val="fr-CA"/>
        </w:rPr>
        <w:t>La Commission a compétence exclusive pour examiner et décider toute question visée dans la présente loi, à moins qu</w:t>
      </w:r>
      <w:r>
        <w:rPr>
          <w:lang w:val="fr-CA"/>
        </w:rPr>
        <w:t>’</w:t>
      </w:r>
      <w:r w:rsidRPr="002A0914">
        <w:rPr>
          <w:lang w:val="fr-CA"/>
        </w:rPr>
        <w:t>une disposition particulière ne donne compétence à une autre personne ou à un autre organisme.</w:t>
      </w:r>
    </w:p>
    <w:p w:rsidR="00730DBB" w:rsidRPr="002A0914" w:rsidRDefault="00730DBB" w:rsidP="00730DBB">
      <w:pPr>
        <w:pStyle w:val="ContinueParaSuitedupar-AltP"/>
        <w:rPr>
          <w:rFonts w:cs="Times New Roman"/>
          <w:i/>
          <w:lang w:val="fr-CA"/>
        </w:rPr>
      </w:pPr>
      <w:r w:rsidRPr="002A0914">
        <w:rPr>
          <w:rFonts w:cs="Times New Roman"/>
          <w:lang w:val="fr-CA"/>
        </w:rPr>
        <w:lastRenderedPageBreak/>
        <w:t>Le pouvoir de décider des questions de droit de façon générale n</w:t>
      </w:r>
      <w:r>
        <w:rPr>
          <w:rFonts w:cs="Times New Roman"/>
          <w:lang w:val="fr-CA"/>
        </w:rPr>
        <w:t>’</w:t>
      </w:r>
      <w:r w:rsidRPr="002A0914">
        <w:rPr>
          <w:rFonts w:cs="Times New Roman"/>
          <w:lang w:val="fr-CA"/>
        </w:rPr>
        <w:t>est pas prévu. La nature administrative, plutôt que juridictionnelle, de la CSST (aujourd</w:t>
      </w:r>
      <w:r>
        <w:rPr>
          <w:rFonts w:cs="Times New Roman"/>
          <w:lang w:val="fr-CA"/>
        </w:rPr>
        <w:t>’</w:t>
      </w:r>
      <w:r w:rsidRPr="002A0914">
        <w:rPr>
          <w:rFonts w:cs="Times New Roman"/>
          <w:lang w:val="fr-CA"/>
        </w:rPr>
        <w:t>hui la CN</w:t>
      </w:r>
      <w:r>
        <w:rPr>
          <w:rFonts w:cs="Times New Roman"/>
          <w:lang w:val="fr-CA"/>
        </w:rPr>
        <w:t>E</w:t>
      </w:r>
      <w:r w:rsidRPr="002A0914">
        <w:rPr>
          <w:rFonts w:cs="Times New Roman"/>
          <w:lang w:val="fr-CA"/>
        </w:rPr>
        <w:t>SST) signifie qu</w:t>
      </w:r>
      <w:r>
        <w:rPr>
          <w:rFonts w:cs="Times New Roman"/>
          <w:lang w:val="fr-CA"/>
        </w:rPr>
        <w:t>’</w:t>
      </w:r>
      <w:r w:rsidRPr="002A0914">
        <w:rPr>
          <w:rFonts w:cs="Times New Roman"/>
          <w:lang w:val="fr-CA"/>
        </w:rPr>
        <w:t>il ne s</w:t>
      </w:r>
      <w:r>
        <w:rPr>
          <w:rFonts w:cs="Times New Roman"/>
          <w:lang w:val="fr-CA"/>
        </w:rPr>
        <w:t>’</w:t>
      </w:r>
      <w:r w:rsidRPr="002A0914">
        <w:rPr>
          <w:rFonts w:cs="Times New Roman"/>
          <w:lang w:val="fr-CA"/>
        </w:rPr>
        <w:t>agit pas d</w:t>
      </w:r>
      <w:r>
        <w:rPr>
          <w:rFonts w:cs="Times New Roman"/>
          <w:lang w:val="fr-CA"/>
        </w:rPr>
        <w:t>’</w:t>
      </w:r>
      <w:r w:rsidRPr="002A0914">
        <w:rPr>
          <w:rFonts w:cs="Times New Roman"/>
          <w:lang w:val="fr-CA"/>
        </w:rPr>
        <w:t xml:space="preserve">un tribunal conçu pour trancher des questions relatives à des droits garantis par la </w:t>
      </w:r>
      <w:r w:rsidRPr="002A0914">
        <w:rPr>
          <w:rFonts w:cs="Times New Roman"/>
          <w:i/>
          <w:lang w:val="fr-CA"/>
        </w:rPr>
        <w:t xml:space="preserve">Charte </w:t>
      </w:r>
      <w:r w:rsidRPr="002A0914">
        <w:rPr>
          <w:rFonts w:cs="Times New Roman"/>
          <w:lang w:val="fr-CA"/>
        </w:rPr>
        <w:t>québécoise.</w:t>
      </w:r>
    </w:p>
    <w:p w:rsidR="00730DBB" w:rsidRPr="002A0914" w:rsidRDefault="00730DBB" w:rsidP="00730DBB">
      <w:pPr>
        <w:pStyle w:val="Title3LevelTitre3Niveau"/>
        <w:numPr>
          <w:ilvl w:val="2"/>
          <w:numId w:val="8"/>
        </w:numPr>
        <w:jc w:val="left"/>
        <w:rPr>
          <w:rFonts w:cs="Times New Roman"/>
          <w:lang w:val="fr-CA"/>
        </w:rPr>
      </w:pPr>
      <w:r w:rsidRPr="002A0914">
        <w:rPr>
          <w:rFonts w:cs="Times New Roman"/>
          <w:lang w:val="fr-CA"/>
        </w:rPr>
        <w:t>La CLP (aujourd</w:t>
      </w:r>
      <w:r>
        <w:rPr>
          <w:rFonts w:cs="Times New Roman"/>
          <w:lang w:val="fr-CA"/>
        </w:rPr>
        <w:t>’</w:t>
      </w:r>
      <w:r w:rsidRPr="002A0914">
        <w:rPr>
          <w:rFonts w:cs="Times New Roman"/>
          <w:lang w:val="fr-CA"/>
        </w:rPr>
        <w:t>hui le TAT)</w:t>
      </w:r>
    </w:p>
    <w:p w:rsidR="00730DBB" w:rsidRPr="002A0914" w:rsidRDefault="00730DBB" w:rsidP="00730DBB">
      <w:pPr>
        <w:pStyle w:val="ParaNoNdepar-AltN"/>
        <w:rPr>
          <w:rFonts w:cs="Times New Roman"/>
          <w:lang w:val="fr-CA"/>
        </w:rPr>
      </w:pPr>
      <w:r w:rsidRPr="002A0914">
        <w:rPr>
          <w:rFonts w:cs="Times New Roman"/>
          <w:lang w:val="fr-CA"/>
        </w:rPr>
        <w:t>En revanche, la CLP était expressément investie du pouvoir de trancher des questions de droit :</w:t>
      </w:r>
    </w:p>
    <w:p w:rsidR="00730DBB" w:rsidRPr="002A0914" w:rsidRDefault="00730DBB" w:rsidP="00730DBB">
      <w:pPr>
        <w:pStyle w:val="Citation-AltC"/>
        <w:tabs>
          <w:tab w:val="left" w:pos="1530"/>
        </w:tabs>
        <w:ind w:hanging="1166"/>
        <w:contextualSpacing w:val="0"/>
        <w:rPr>
          <w:lang w:val="fr-CA"/>
        </w:rPr>
      </w:pPr>
      <w:r w:rsidRPr="002A0914">
        <w:rPr>
          <w:b/>
          <w:lang w:val="fr-FR"/>
        </w:rPr>
        <w:tab/>
      </w:r>
      <w:r w:rsidRPr="002A0914">
        <w:rPr>
          <w:b/>
          <w:lang w:val="fr-FR"/>
        </w:rPr>
        <w:tab/>
        <w:t>377.</w:t>
      </w:r>
      <w:r w:rsidRPr="002A0914">
        <w:rPr>
          <w:lang w:val="fr-FR"/>
        </w:rPr>
        <w:t xml:space="preserve"> La </w:t>
      </w:r>
      <w:r w:rsidRPr="002A0914">
        <w:rPr>
          <w:lang w:val="fr-CA"/>
        </w:rPr>
        <w:t>Commission</w:t>
      </w:r>
      <w:r w:rsidRPr="002A0914">
        <w:rPr>
          <w:lang w:val="fr-FR"/>
        </w:rPr>
        <w:t xml:space="preserve"> des lésions professionnelles a le pouvoir de décider de toute question de droit ou de fait nécessaire à l</w:t>
      </w:r>
      <w:r>
        <w:rPr>
          <w:lang w:val="fr-FR"/>
        </w:rPr>
        <w:t>’</w:t>
      </w:r>
      <w:r w:rsidRPr="002A0914">
        <w:rPr>
          <w:lang w:val="fr-FR"/>
        </w:rPr>
        <w:t>exercice de sa compétence</w:t>
      </w:r>
      <w:r w:rsidRPr="002A0914">
        <w:rPr>
          <w:lang w:val="fr-CA"/>
        </w:rPr>
        <w:t xml:space="preserve">. [Maintenant abrogé, voir la </w:t>
      </w:r>
      <w:r w:rsidRPr="002A0914">
        <w:rPr>
          <w:i/>
          <w:lang w:val="fr-CA"/>
        </w:rPr>
        <w:t>Loi instituant le Tribunal administratif du travail</w:t>
      </w:r>
      <w:r w:rsidRPr="002A0914">
        <w:rPr>
          <w:lang w:val="fr-CA"/>
        </w:rPr>
        <w:t>, art. 9.]</w:t>
      </w:r>
    </w:p>
    <w:p w:rsidR="00730DBB" w:rsidRPr="002A0914" w:rsidRDefault="00730DBB" w:rsidP="00730DBB">
      <w:pPr>
        <w:pStyle w:val="ContinueParaSuitedupar-AltP"/>
        <w:rPr>
          <w:rFonts w:cs="Times New Roman"/>
          <w:lang w:val="fr-CA"/>
        </w:rPr>
      </w:pPr>
      <w:r w:rsidRPr="002A0914">
        <w:rPr>
          <w:rFonts w:cs="Times New Roman"/>
          <w:lang w:val="fr-CA"/>
        </w:rPr>
        <w:t>Son successeur, le TAT, possède une compétence semblable en vertu de l</w:t>
      </w:r>
      <w:r>
        <w:rPr>
          <w:rFonts w:cs="Times New Roman"/>
          <w:lang w:val="fr-CA"/>
        </w:rPr>
        <w:t>’</w:t>
      </w:r>
      <w:r w:rsidRPr="002A0914">
        <w:rPr>
          <w:rFonts w:cs="Times New Roman"/>
          <w:lang w:val="fr-CA"/>
        </w:rPr>
        <w:t xml:space="preserve">art. 9 de la </w:t>
      </w:r>
      <w:r w:rsidRPr="002A0914">
        <w:rPr>
          <w:rFonts w:cs="Times New Roman"/>
          <w:i/>
          <w:lang w:val="fr-CA"/>
        </w:rPr>
        <w:t>Loi instituant le Tribunal administratif du travail</w:t>
      </w:r>
      <w:r w:rsidRPr="002A0914">
        <w:rPr>
          <w:rFonts w:cs="Times New Roman"/>
          <w:lang w:val="fr-CA"/>
        </w:rPr>
        <w:t>. La Cour a reconnu la compétence du Tribunal administratif du Québec pour trancher des questions constitutionnelles accessoires à l</w:t>
      </w:r>
      <w:r>
        <w:rPr>
          <w:rFonts w:cs="Times New Roman"/>
          <w:lang w:val="fr-CA"/>
        </w:rPr>
        <w:t>’</w:t>
      </w:r>
      <w:r w:rsidRPr="002A0914">
        <w:rPr>
          <w:rFonts w:cs="Times New Roman"/>
          <w:lang w:val="fr-CA"/>
        </w:rPr>
        <w:t>exercice de sa compétence en se fondant sur une disposition habilitante formulée dans les mêmes termes que ceux cités ci</w:t>
      </w:r>
      <w:r w:rsidRPr="002A0914">
        <w:rPr>
          <w:rFonts w:cs="Times New Roman"/>
          <w:lang w:val="fr-CA"/>
        </w:rPr>
        <w:noBreakHyphen/>
        <w:t>dessus (</w:t>
      </w:r>
      <w:r w:rsidRPr="002A0914">
        <w:rPr>
          <w:rFonts w:cs="Times New Roman"/>
          <w:i/>
          <w:lang w:val="fr-CA"/>
        </w:rPr>
        <w:t>Okwuobi c. Commission scolaire Lester</w:t>
      </w:r>
      <w:r w:rsidRPr="002A0914">
        <w:rPr>
          <w:rFonts w:cs="Times New Roman"/>
          <w:i/>
          <w:lang w:val="fr-CA"/>
        </w:rPr>
        <w:noBreakHyphen/>
        <w:t>B.</w:t>
      </w:r>
      <w:r w:rsidRPr="002A0914">
        <w:rPr>
          <w:rFonts w:cs="Times New Roman"/>
          <w:i/>
          <w:lang w:val="fr-CA"/>
        </w:rPr>
        <w:noBreakHyphen/>
        <w:t>Pearson</w:t>
      </w:r>
      <w:r w:rsidRPr="002A0914">
        <w:rPr>
          <w:rFonts w:cs="Times New Roman"/>
          <w:lang w:val="fr-CA"/>
        </w:rPr>
        <w:t>, 2005 CSC 16, [2005] 1 R.C.S. 257). La réponse à la question du premier volet du critère énoncé dans l</w:t>
      </w:r>
      <w:r>
        <w:rPr>
          <w:rFonts w:cs="Times New Roman"/>
          <w:lang w:val="fr-CA"/>
        </w:rPr>
        <w:t>’</w:t>
      </w:r>
      <w:r w:rsidRPr="002A0914">
        <w:rPr>
          <w:rFonts w:cs="Times New Roman"/>
          <w:lang w:val="fr-CA"/>
        </w:rPr>
        <w:t xml:space="preserve">arrêt </w:t>
      </w:r>
      <w:r w:rsidRPr="002A0914">
        <w:rPr>
          <w:rFonts w:cs="Times New Roman"/>
          <w:i/>
          <w:lang w:val="fr-CA"/>
        </w:rPr>
        <w:t xml:space="preserve">Conway </w:t>
      </w:r>
      <w:r w:rsidRPr="002A0914">
        <w:rPr>
          <w:rFonts w:cs="Times New Roman"/>
          <w:lang w:val="fr-CA"/>
        </w:rPr>
        <w:t>est donc « oui » : la CLP (aujourd</w:t>
      </w:r>
      <w:r>
        <w:rPr>
          <w:rFonts w:cs="Times New Roman"/>
          <w:lang w:val="fr-CA"/>
        </w:rPr>
        <w:t>’</w:t>
      </w:r>
      <w:r w:rsidRPr="002A0914">
        <w:rPr>
          <w:rFonts w:cs="Times New Roman"/>
          <w:lang w:val="fr-CA"/>
        </w:rPr>
        <w:t xml:space="preserve">hui le TAT) avait compétence pour accorder des réparations fondées sur la </w:t>
      </w:r>
      <w:r w:rsidRPr="002A0914">
        <w:rPr>
          <w:rFonts w:cs="Times New Roman"/>
          <w:i/>
          <w:lang w:val="fr-CA"/>
        </w:rPr>
        <w:t>Charte</w:t>
      </w:r>
      <w:r w:rsidRPr="002A0914">
        <w:rPr>
          <w:rFonts w:cs="Times New Roman"/>
          <w:lang w:val="fr-CA"/>
        </w:rPr>
        <w:t xml:space="preserve"> québécoise relativement à des questions soulevées dans le cadre de l</w:t>
      </w:r>
      <w:r>
        <w:rPr>
          <w:rFonts w:cs="Times New Roman"/>
          <w:lang w:val="fr-CA"/>
        </w:rPr>
        <w:t>’</w:t>
      </w:r>
      <w:r w:rsidRPr="002A0914">
        <w:rPr>
          <w:rFonts w:cs="Times New Roman"/>
          <w:lang w:val="fr-CA"/>
        </w:rPr>
        <w:t>accomplissement de son mandat légal.</w:t>
      </w:r>
    </w:p>
    <w:p w:rsidR="00730DBB" w:rsidRPr="002A0914" w:rsidRDefault="00730DBB" w:rsidP="00730DBB">
      <w:pPr>
        <w:pStyle w:val="ParaNoNdepar-AltN"/>
        <w:rPr>
          <w:rFonts w:cs="Times New Roman"/>
          <w:lang w:val="fr-CA"/>
        </w:rPr>
      </w:pPr>
      <w:r w:rsidRPr="002A0914">
        <w:rPr>
          <w:rFonts w:cs="Times New Roman"/>
          <w:lang w:val="fr-CA"/>
        </w:rPr>
        <w:lastRenderedPageBreak/>
        <w:t xml:space="preserve">Dans le second volet du critère énoncé dans </w:t>
      </w:r>
      <w:r w:rsidRPr="002A0914">
        <w:rPr>
          <w:rFonts w:cs="Times New Roman"/>
          <w:i/>
          <w:lang w:val="fr-CA"/>
        </w:rPr>
        <w:t>Conway</w:t>
      </w:r>
      <w:r w:rsidRPr="002A0914">
        <w:rPr>
          <w:rFonts w:cs="Times New Roman"/>
          <w:lang w:val="fr-CA"/>
        </w:rPr>
        <w:t>, il faut se demander si la réparation demandée s</w:t>
      </w:r>
      <w:r>
        <w:rPr>
          <w:rFonts w:cs="Times New Roman"/>
          <w:lang w:val="fr-CA"/>
        </w:rPr>
        <w:t>’</w:t>
      </w:r>
      <w:r w:rsidRPr="002A0914">
        <w:rPr>
          <w:rFonts w:cs="Times New Roman"/>
          <w:lang w:val="fr-CA"/>
        </w:rPr>
        <w:t>agence avec le cadre législatif du tribunal. En l</w:t>
      </w:r>
      <w:r>
        <w:rPr>
          <w:rFonts w:cs="Times New Roman"/>
          <w:lang w:val="fr-CA"/>
        </w:rPr>
        <w:t>’</w:t>
      </w:r>
      <w:r w:rsidRPr="002A0914">
        <w:rPr>
          <w:rFonts w:cs="Times New Roman"/>
          <w:lang w:val="fr-CA"/>
        </w:rPr>
        <w:t>espèce, la réparation demandée est une ordonnance enjoignant au Centre Miriam d</w:t>
      </w:r>
      <w:r>
        <w:rPr>
          <w:rFonts w:cs="Times New Roman"/>
          <w:lang w:val="fr-CA"/>
        </w:rPr>
        <w:t>’</w:t>
      </w:r>
      <w:r w:rsidRPr="002A0914">
        <w:rPr>
          <w:rFonts w:cs="Times New Roman"/>
          <w:lang w:val="fr-CA"/>
        </w:rPr>
        <w:t>accommoder M. Caron</w:t>
      </w:r>
      <w:r w:rsidRPr="002A0914">
        <w:rPr>
          <w:rFonts w:cs="Times New Roman"/>
          <w:i/>
          <w:lang w:val="fr-CA"/>
        </w:rPr>
        <w:t xml:space="preserve"> </w:t>
      </w:r>
      <w:r w:rsidRPr="002A0914">
        <w:rPr>
          <w:rFonts w:cs="Times New Roman"/>
          <w:lang w:val="fr-CA"/>
        </w:rPr>
        <w:t>au moment de déterminer s</w:t>
      </w:r>
      <w:r>
        <w:rPr>
          <w:rFonts w:cs="Times New Roman"/>
          <w:lang w:val="fr-CA"/>
        </w:rPr>
        <w:t>’</w:t>
      </w:r>
      <w:r w:rsidRPr="002A0914">
        <w:rPr>
          <w:rFonts w:cs="Times New Roman"/>
          <w:lang w:val="fr-CA"/>
        </w:rPr>
        <w:t>il a un emploi convenable (décision de la CLP, par. 14). À mon avis, la CLP avait (et le TAT a maintenant) le pouvoir d</w:t>
      </w:r>
      <w:r>
        <w:rPr>
          <w:rFonts w:cs="Times New Roman"/>
          <w:lang w:val="fr-CA"/>
        </w:rPr>
        <w:t>’</w:t>
      </w:r>
      <w:r w:rsidRPr="002A0914">
        <w:rPr>
          <w:rFonts w:cs="Times New Roman"/>
          <w:lang w:val="fr-CA"/>
        </w:rPr>
        <w:t>accorder cette réparation. La question de savoir s</w:t>
      </w:r>
      <w:r>
        <w:rPr>
          <w:rFonts w:cs="Times New Roman"/>
          <w:lang w:val="fr-CA"/>
        </w:rPr>
        <w:t>’</w:t>
      </w:r>
      <w:r w:rsidRPr="002A0914">
        <w:rPr>
          <w:rFonts w:cs="Times New Roman"/>
          <w:lang w:val="fr-CA"/>
        </w:rPr>
        <w:t>il y a lieu d</w:t>
      </w:r>
      <w:r>
        <w:rPr>
          <w:rFonts w:cs="Times New Roman"/>
          <w:lang w:val="fr-CA"/>
        </w:rPr>
        <w:t>’</w:t>
      </w:r>
      <w:r w:rsidRPr="002A0914">
        <w:rPr>
          <w:rFonts w:cs="Times New Roman"/>
          <w:lang w:val="fr-CA"/>
        </w:rPr>
        <w:t>accorder une réparation de ce genre dans les circonstances est une autre question, qu</w:t>
      </w:r>
      <w:r>
        <w:rPr>
          <w:rFonts w:cs="Times New Roman"/>
          <w:lang w:val="fr-CA"/>
        </w:rPr>
        <w:t>’</w:t>
      </w:r>
      <w:r w:rsidRPr="002A0914">
        <w:rPr>
          <w:rFonts w:cs="Times New Roman"/>
          <w:lang w:val="fr-CA"/>
        </w:rPr>
        <w:t>il reste à trancher.</w:t>
      </w:r>
    </w:p>
    <w:p w:rsidR="00730DBB" w:rsidRPr="002A0914" w:rsidRDefault="00730DBB" w:rsidP="00730DBB">
      <w:pPr>
        <w:pStyle w:val="ParaNoNdepar-AltN"/>
        <w:rPr>
          <w:rFonts w:cs="Times New Roman"/>
          <w:lang w:val="fr-CA"/>
        </w:rPr>
      </w:pPr>
      <w:r w:rsidRPr="002A0914">
        <w:rPr>
          <w:rFonts w:cs="Times New Roman"/>
          <w:lang w:val="fr-CA"/>
        </w:rPr>
        <w:t xml:space="preserve">Les considérations générales susmentionnées dont il est question dans les arrêts </w:t>
      </w:r>
      <w:r w:rsidRPr="002A0914">
        <w:rPr>
          <w:rFonts w:cs="Times New Roman"/>
          <w:i/>
          <w:lang w:val="fr-CA"/>
        </w:rPr>
        <w:t xml:space="preserve">Weber </w:t>
      </w:r>
      <w:r w:rsidRPr="002A0914">
        <w:rPr>
          <w:rFonts w:cs="Times New Roman"/>
          <w:lang w:val="fr-CA"/>
        </w:rPr>
        <w:t xml:space="preserve">et </w:t>
      </w:r>
      <w:r w:rsidRPr="002A0914">
        <w:rPr>
          <w:rFonts w:cs="Times New Roman"/>
          <w:i/>
          <w:lang w:val="fr-CA"/>
        </w:rPr>
        <w:t xml:space="preserve">Dunedin </w:t>
      </w:r>
      <w:r w:rsidRPr="002A0914">
        <w:rPr>
          <w:rFonts w:cs="Times New Roman"/>
          <w:lang w:val="fr-CA"/>
        </w:rPr>
        <w:t>s</w:t>
      </w:r>
      <w:r>
        <w:rPr>
          <w:rFonts w:cs="Times New Roman"/>
          <w:lang w:val="fr-CA"/>
        </w:rPr>
        <w:t>’</w:t>
      </w:r>
      <w:r w:rsidRPr="002A0914">
        <w:rPr>
          <w:rFonts w:cs="Times New Roman"/>
          <w:lang w:val="fr-CA"/>
        </w:rPr>
        <w:t>appliquent en l</w:t>
      </w:r>
      <w:r>
        <w:rPr>
          <w:rFonts w:cs="Times New Roman"/>
          <w:lang w:val="fr-CA"/>
        </w:rPr>
        <w:t>’</w:t>
      </w:r>
      <w:r w:rsidRPr="002A0914">
        <w:rPr>
          <w:rFonts w:cs="Times New Roman"/>
          <w:lang w:val="fr-CA"/>
        </w:rPr>
        <w:t>espèce. La CLP était un tribunal quasi judiciaire complexe qui se prêtait à l</w:t>
      </w:r>
      <w:r>
        <w:rPr>
          <w:rFonts w:cs="Times New Roman"/>
          <w:lang w:val="fr-CA"/>
        </w:rPr>
        <w:t>’</w:t>
      </w:r>
      <w:r w:rsidRPr="002A0914">
        <w:rPr>
          <w:rFonts w:cs="Times New Roman"/>
          <w:lang w:val="fr-CA"/>
        </w:rPr>
        <w:t>étude approfondie de questions dans le cadre d</w:t>
      </w:r>
      <w:r>
        <w:rPr>
          <w:rFonts w:cs="Times New Roman"/>
          <w:lang w:val="fr-CA"/>
        </w:rPr>
        <w:t>’</w:t>
      </w:r>
      <w:r w:rsidRPr="002A0914">
        <w:rPr>
          <w:rFonts w:cs="Times New Roman"/>
          <w:lang w:val="fr-CA"/>
        </w:rPr>
        <w:t>une procédure contradictoire. La Loi ne contenait aucune disposition excluant le pouvoir d</w:t>
      </w:r>
      <w:r>
        <w:rPr>
          <w:rFonts w:cs="Times New Roman"/>
          <w:lang w:val="fr-CA"/>
        </w:rPr>
        <w:t>’</w:t>
      </w:r>
      <w:r w:rsidRPr="002A0914">
        <w:rPr>
          <w:rFonts w:cs="Times New Roman"/>
          <w:lang w:val="fr-CA"/>
        </w:rPr>
        <w:t xml:space="preserve">accorder des réparations en application de la </w:t>
      </w:r>
      <w:r w:rsidRPr="002A0914">
        <w:rPr>
          <w:rFonts w:cs="Times New Roman"/>
          <w:i/>
          <w:lang w:val="fr-CA"/>
        </w:rPr>
        <w:t xml:space="preserve">Charte </w:t>
      </w:r>
      <w:r w:rsidRPr="002A0914">
        <w:rPr>
          <w:rFonts w:cs="Times New Roman"/>
          <w:lang w:val="fr-CA"/>
        </w:rPr>
        <w:t>québécoise</w:t>
      </w:r>
      <w:r w:rsidRPr="002A0914">
        <w:rPr>
          <w:rFonts w:cs="Times New Roman"/>
          <w:i/>
          <w:lang w:val="fr-CA"/>
        </w:rPr>
        <w:t xml:space="preserve">. </w:t>
      </w:r>
      <w:r w:rsidRPr="002A0914">
        <w:rPr>
          <w:rFonts w:cs="Times New Roman"/>
          <w:lang w:val="fr-CA"/>
        </w:rPr>
        <w:t>De plus, il n</w:t>
      </w:r>
      <w:r>
        <w:rPr>
          <w:rFonts w:cs="Times New Roman"/>
          <w:lang w:val="fr-CA"/>
        </w:rPr>
        <w:t>’</w:t>
      </w:r>
      <w:r w:rsidRPr="002A0914">
        <w:rPr>
          <w:rFonts w:cs="Times New Roman"/>
          <w:lang w:val="fr-CA"/>
        </w:rPr>
        <w:t>est manifestement pas souhaitable que M. Caron soit contraint de s</w:t>
      </w:r>
      <w:r>
        <w:rPr>
          <w:rFonts w:cs="Times New Roman"/>
          <w:lang w:val="fr-CA"/>
        </w:rPr>
        <w:t>’</w:t>
      </w:r>
      <w:r w:rsidRPr="002A0914">
        <w:rPr>
          <w:rFonts w:cs="Times New Roman"/>
          <w:lang w:val="fr-CA"/>
        </w:rPr>
        <w:t>adresser d</w:t>
      </w:r>
      <w:r>
        <w:rPr>
          <w:rFonts w:cs="Times New Roman"/>
          <w:lang w:val="fr-CA"/>
        </w:rPr>
        <w:t>’</w:t>
      </w:r>
      <w:r w:rsidRPr="002A0914">
        <w:rPr>
          <w:rFonts w:cs="Times New Roman"/>
          <w:lang w:val="fr-CA"/>
        </w:rPr>
        <w:t xml:space="preserve">abord à un autre tribunal pour obtenir une décision sur la question relative à la </w:t>
      </w:r>
      <w:r w:rsidRPr="002A0914">
        <w:rPr>
          <w:rFonts w:cs="Times New Roman"/>
          <w:i/>
          <w:lang w:val="fr-CA"/>
        </w:rPr>
        <w:t>Charte</w:t>
      </w:r>
      <w:r w:rsidRPr="002A0914">
        <w:rPr>
          <w:rFonts w:cs="Times New Roman"/>
          <w:lang w:val="fr-CA"/>
        </w:rPr>
        <w:t xml:space="preserve"> québécoise avant de pouvoir interjeter appel devant la CLP afin d</w:t>
      </w:r>
      <w:r>
        <w:rPr>
          <w:rFonts w:cs="Times New Roman"/>
          <w:lang w:val="fr-CA"/>
        </w:rPr>
        <w:t>’</w:t>
      </w:r>
      <w:r w:rsidRPr="002A0914">
        <w:rPr>
          <w:rFonts w:cs="Times New Roman"/>
          <w:lang w:val="fr-CA"/>
        </w:rPr>
        <w:t>obtenir une décision définitive en ce qui concerne l</w:t>
      </w:r>
      <w:r>
        <w:rPr>
          <w:rFonts w:cs="Times New Roman"/>
          <w:lang w:val="fr-CA"/>
        </w:rPr>
        <w:t>’</w:t>
      </w:r>
      <w:r w:rsidRPr="002A0914">
        <w:rPr>
          <w:rFonts w:cs="Times New Roman"/>
          <w:lang w:val="fr-CA"/>
        </w:rPr>
        <w:t>accommodement.</w:t>
      </w:r>
    </w:p>
    <w:p w:rsidR="00730DBB" w:rsidRPr="002A0914" w:rsidRDefault="00730DBB" w:rsidP="00730DBB">
      <w:pPr>
        <w:pStyle w:val="ParaNoNdepar-AltN"/>
        <w:rPr>
          <w:rFonts w:cs="Times New Roman"/>
          <w:lang w:val="fr-CA"/>
        </w:rPr>
      </w:pPr>
      <w:r w:rsidRPr="002A0914">
        <w:rPr>
          <w:rFonts w:cs="Times New Roman"/>
          <w:lang w:val="fr-CA"/>
        </w:rPr>
        <w:t>La CLP a été investie de vastes pouvoirs lui permettant d</w:t>
      </w:r>
      <w:r>
        <w:rPr>
          <w:rFonts w:cs="Times New Roman"/>
          <w:lang w:val="fr-CA"/>
        </w:rPr>
        <w:t>’</w:t>
      </w:r>
      <w:r w:rsidRPr="002A0914">
        <w:rPr>
          <w:rFonts w:cs="Times New Roman"/>
          <w:lang w:val="fr-CA"/>
        </w:rPr>
        <w:t xml:space="preserve">accomplir son mandat légal. Comme la CLP entendait des appels </w:t>
      </w:r>
      <w:r w:rsidRPr="002A0914">
        <w:rPr>
          <w:rFonts w:cs="Times New Roman"/>
          <w:i/>
          <w:lang w:val="fr-CA"/>
        </w:rPr>
        <w:t xml:space="preserve">de novo </w:t>
      </w:r>
      <w:r w:rsidRPr="002A0914">
        <w:rPr>
          <w:rFonts w:cs="Times New Roman"/>
          <w:lang w:val="fr-CA"/>
        </w:rPr>
        <w:t>selon l</w:t>
      </w:r>
      <w:r>
        <w:rPr>
          <w:rFonts w:cs="Times New Roman"/>
          <w:lang w:val="fr-CA"/>
        </w:rPr>
        <w:t>’</w:t>
      </w:r>
      <w:r w:rsidRPr="002A0914">
        <w:rPr>
          <w:rFonts w:cs="Times New Roman"/>
          <w:lang w:val="fr-CA"/>
        </w:rPr>
        <w:t>art. 377 de la Loi, elle n</w:t>
      </w:r>
      <w:r>
        <w:rPr>
          <w:rFonts w:cs="Times New Roman"/>
          <w:lang w:val="fr-CA"/>
        </w:rPr>
        <w:t>’</w:t>
      </w:r>
      <w:r w:rsidRPr="002A0914">
        <w:rPr>
          <w:rFonts w:cs="Times New Roman"/>
          <w:lang w:val="fr-CA"/>
        </w:rPr>
        <w:t>était pas liée par les conclusions de la CSST; elle pouvait au contraire poser un regard neuf sur les questions et les faits pertinents à l</w:t>
      </w:r>
      <w:r>
        <w:rPr>
          <w:rFonts w:cs="Times New Roman"/>
          <w:lang w:val="fr-CA"/>
        </w:rPr>
        <w:t>’</w:t>
      </w:r>
      <w:r w:rsidRPr="002A0914">
        <w:rPr>
          <w:rFonts w:cs="Times New Roman"/>
          <w:lang w:val="fr-CA"/>
        </w:rPr>
        <w:t>égard de l</w:t>
      </w:r>
      <w:r>
        <w:rPr>
          <w:rFonts w:cs="Times New Roman"/>
          <w:lang w:val="fr-CA"/>
        </w:rPr>
        <w:t>’</w:t>
      </w:r>
      <w:r w:rsidRPr="002A0914">
        <w:rPr>
          <w:rFonts w:cs="Times New Roman"/>
          <w:lang w:val="fr-CA"/>
        </w:rPr>
        <w:t>affaire dont elle était saisie. La CLP a été investie des pouvoirs nécessaires à l</w:t>
      </w:r>
      <w:r>
        <w:rPr>
          <w:rFonts w:cs="Times New Roman"/>
          <w:lang w:val="fr-CA"/>
        </w:rPr>
        <w:t>’</w:t>
      </w:r>
      <w:r w:rsidRPr="002A0914">
        <w:rPr>
          <w:rFonts w:cs="Times New Roman"/>
          <w:lang w:val="fr-CA"/>
        </w:rPr>
        <w:t xml:space="preserve">exécution de ses fonctions et </w:t>
      </w:r>
      <w:r w:rsidRPr="002A0914">
        <w:rPr>
          <w:rFonts w:cs="Times New Roman"/>
          <w:lang w:val="fr-CA"/>
        </w:rPr>
        <w:lastRenderedPageBreak/>
        <w:t>pouvait rendre des ordonnances propres à sauvegarder les droits des parties (art. 378 de la Loi). La réparation demandée en l</w:t>
      </w:r>
      <w:r>
        <w:rPr>
          <w:rFonts w:cs="Times New Roman"/>
          <w:lang w:val="fr-CA"/>
        </w:rPr>
        <w:t>’</w:t>
      </w:r>
      <w:r w:rsidRPr="002A0914">
        <w:rPr>
          <w:rFonts w:cs="Times New Roman"/>
          <w:lang w:val="fr-CA"/>
        </w:rPr>
        <w:t>espèce relève des pouvoirs qui ont été conférés à la CLP, et maintenant au TAT (voir l</w:t>
      </w:r>
      <w:r>
        <w:rPr>
          <w:rFonts w:cs="Times New Roman"/>
          <w:lang w:val="fr-CA"/>
        </w:rPr>
        <w:t>’</w:t>
      </w:r>
      <w:r w:rsidRPr="002A0914">
        <w:rPr>
          <w:rFonts w:cs="Times New Roman"/>
          <w:lang w:val="fr-CA"/>
        </w:rPr>
        <w:t xml:space="preserve">art. 9 de la </w:t>
      </w:r>
      <w:r w:rsidRPr="002A0914">
        <w:rPr>
          <w:rFonts w:cs="Times New Roman"/>
          <w:i/>
          <w:lang w:val="fr-CA"/>
        </w:rPr>
        <w:t>Loi instituant le Tribunal administratif du travail</w:t>
      </w:r>
      <w:r w:rsidRPr="002A0914">
        <w:rPr>
          <w:rFonts w:cs="Times New Roman"/>
          <w:lang w:val="fr-CA"/>
        </w:rPr>
        <w:t>).</w:t>
      </w:r>
    </w:p>
    <w:p w:rsidR="00730DBB" w:rsidRPr="002A0914" w:rsidRDefault="00730DBB" w:rsidP="00730DBB">
      <w:pPr>
        <w:pStyle w:val="ParaNoNdepar-AltN"/>
        <w:rPr>
          <w:rFonts w:cs="Times New Roman"/>
          <w:lang w:val="fr-CA"/>
        </w:rPr>
      </w:pPr>
      <w:r w:rsidRPr="002A0914">
        <w:rPr>
          <w:rFonts w:cs="Times New Roman"/>
          <w:lang w:val="fr-CA"/>
        </w:rPr>
        <w:t>Avec égards, je ne souscris pas à l</w:t>
      </w:r>
      <w:r>
        <w:rPr>
          <w:rFonts w:cs="Times New Roman"/>
          <w:lang w:val="fr-CA"/>
        </w:rPr>
        <w:t>’</w:t>
      </w:r>
      <w:r w:rsidRPr="002A0914">
        <w:rPr>
          <w:rFonts w:cs="Times New Roman"/>
          <w:lang w:val="fr-CA"/>
        </w:rPr>
        <w:t>affirmation de ma collègue selon laquelle l</w:t>
      </w:r>
      <w:r>
        <w:rPr>
          <w:rFonts w:cs="Times New Roman"/>
          <w:lang w:val="fr-CA"/>
        </w:rPr>
        <w:t>’</w:t>
      </w:r>
      <w:r w:rsidRPr="002A0914">
        <w:rPr>
          <w:rFonts w:cs="Times New Roman"/>
          <w:lang w:val="fr-CA"/>
        </w:rPr>
        <w:t>art. 438 de la Loi a pour effet que « le travailleur victime d</w:t>
      </w:r>
      <w:r>
        <w:rPr>
          <w:rFonts w:cs="Times New Roman"/>
          <w:lang w:val="fr-CA"/>
        </w:rPr>
        <w:t>’</w:t>
      </w:r>
      <w:r w:rsidRPr="002A0914">
        <w:rPr>
          <w:rFonts w:cs="Times New Roman"/>
          <w:lang w:val="fr-CA"/>
        </w:rPr>
        <w:t>une lésion professionnelle ne dispose d</w:t>
      </w:r>
      <w:r>
        <w:rPr>
          <w:rFonts w:cs="Times New Roman"/>
          <w:lang w:val="fr-CA"/>
        </w:rPr>
        <w:t>’</w:t>
      </w:r>
      <w:r w:rsidRPr="002A0914">
        <w:rPr>
          <w:rFonts w:cs="Times New Roman"/>
          <w:lang w:val="fr-CA"/>
        </w:rPr>
        <w:t>aucun autre recours » (motifs de la juge Abella, par. 18). Le fait de conclure que la CLP avait le pouvoir de rendre une ordonnance exigeant un accommodement raisonnable ne va pas à l</w:t>
      </w:r>
      <w:r>
        <w:rPr>
          <w:rFonts w:cs="Times New Roman"/>
          <w:lang w:val="fr-CA"/>
        </w:rPr>
        <w:t>’</w:t>
      </w:r>
      <w:r w:rsidRPr="002A0914">
        <w:rPr>
          <w:rFonts w:cs="Times New Roman"/>
          <w:lang w:val="fr-CA"/>
        </w:rPr>
        <w:t>encontre de cette disposition. La Cour a statué que cet article « </w:t>
      </w:r>
      <w:r w:rsidRPr="002A0914">
        <w:rPr>
          <w:rFonts w:cs="Times New Roman"/>
          <w:lang w:val="fr-FR"/>
        </w:rPr>
        <w:t xml:space="preserve">vise le recours en dommages, offert par la </w:t>
      </w:r>
      <w:r w:rsidRPr="002A0914">
        <w:rPr>
          <w:rFonts w:cs="Times New Roman"/>
          <w:i/>
          <w:iCs/>
          <w:lang w:val="fr-FR"/>
        </w:rPr>
        <w:t>Charte</w:t>
      </w:r>
      <w:r w:rsidRPr="002A0914">
        <w:rPr>
          <w:rFonts w:cs="Times New Roman"/>
          <w:iCs/>
          <w:lang w:val="fr-FR"/>
        </w:rPr>
        <w:t xml:space="preserve"> [québécoise]</w:t>
      </w:r>
      <w:r w:rsidRPr="002A0914">
        <w:rPr>
          <w:rFonts w:cs="Times New Roman"/>
          <w:lang w:val="fr-FR"/>
        </w:rPr>
        <w:t>, qui prendrait appui sur les événements constitutifs de la lésion professionnelle</w:t>
      </w:r>
      <w:r w:rsidRPr="002A0914">
        <w:rPr>
          <w:rFonts w:cs="Times New Roman"/>
          <w:lang w:val="fr-CA"/>
        </w:rPr>
        <w:t> » (</w:t>
      </w:r>
      <w:r w:rsidRPr="002A0914">
        <w:rPr>
          <w:rFonts w:cs="Times New Roman"/>
          <w:i/>
          <w:lang w:val="fr-CA"/>
        </w:rPr>
        <w:t>Béliveau St</w:t>
      </w:r>
      <w:r w:rsidRPr="002A0914">
        <w:rPr>
          <w:rFonts w:cs="Times New Roman"/>
          <w:i/>
          <w:lang w:val="fr-CA"/>
        </w:rPr>
        <w:noBreakHyphen/>
        <w:t xml:space="preserve">Jacques, </w:t>
      </w:r>
      <w:r w:rsidRPr="002A0914">
        <w:rPr>
          <w:rFonts w:cs="Times New Roman"/>
          <w:lang w:val="fr-CA"/>
        </w:rPr>
        <w:t>par. 130). Cette interdiction ne s</w:t>
      </w:r>
      <w:r>
        <w:rPr>
          <w:rFonts w:cs="Times New Roman"/>
          <w:lang w:val="fr-CA"/>
        </w:rPr>
        <w:t>’</w:t>
      </w:r>
      <w:r w:rsidRPr="002A0914">
        <w:rPr>
          <w:rFonts w:cs="Times New Roman"/>
          <w:lang w:val="fr-CA"/>
        </w:rPr>
        <w:t>applique pas en l</w:t>
      </w:r>
      <w:r>
        <w:rPr>
          <w:rFonts w:cs="Times New Roman"/>
          <w:lang w:val="fr-CA"/>
        </w:rPr>
        <w:t>’</w:t>
      </w:r>
      <w:r w:rsidRPr="002A0914">
        <w:rPr>
          <w:rFonts w:cs="Times New Roman"/>
          <w:lang w:val="fr-CA"/>
        </w:rPr>
        <w:t>espèce, car la réparation demandée par M. Caron en vertu de l</w:t>
      </w:r>
      <w:r>
        <w:rPr>
          <w:rFonts w:cs="Times New Roman"/>
          <w:lang w:val="fr-CA"/>
        </w:rPr>
        <w:t>’</w:t>
      </w:r>
      <w:r w:rsidRPr="002A0914">
        <w:rPr>
          <w:rFonts w:cs="Times New Roman"/>
          <w:lang w:val="fr-CA"/>
        </w:rPr>
        <w:t xml:space="preserve">art. 49 de la </w:t>
      </w:r>
      <w:r w:rsidRPr="002A0914">
        <w:rPr>
          <w:rFonts w:cs="Times New Roman"/>
          <w:i/>
          <w:lang w:val="fr-CA"/>
        </w:rPr>
        <w:t>Charte</w:t>
      </w:r>
      <w:r w:rsidRPr="002A0914">
        <w:rPr>
          <w:rFonts w:cs="Times New Roman"/>
          <w:lang w:val="fr-CA"/>
        </w:rPr>
        <w:t xml:space="preserve"> québécoise ne relève pas de la responsabilité civile (</w:t>
      </w:r>
      <w:r w:rsidRPr="002A0914">
        <w:rPr>
          <w:rFonts w:cs="Times New Roman"/>
          <w:i/>
          <w:lang w:val="fr-CA"/>
        </w:rPr>
        <w:t>Communauté urbaine de Montréal</w:t>
      </w:r>
      <w:r w:rsidRPr="002A0914">
        <w:rPr>
          <w:rFonts w:cs="Times New Roman"/>
          <w:lang w:val="fr-CA"/>
        </w:rPr>
        <w:t>, par. 26) et n</w:t>
      </w:r>
      <w:r>
        <w:rPr>
          <w:rFonts w:cs="Times New Roman"/>
          <w:lang w:val="fr-CA"/>
        </w:rPr>
        <w:t>’</w:t>
      </w:r>
      <w:r w:rsidRPr="002A0914">
        <w:rPr>
          <w:rFonts w:cs="Times New Roman"/>
          <w:lang w:val="fr-CA"/>
        </w:rPr>
        <w:t>est pas « en raison de sa lésion [professionnelle] » aux termes de l</w:t>
      </w:r>
      <w:r>
        <w:rPr>
          <w:rFonts w:cs="Times New Roman"/>
          <w:lang w:val="fr-CA"/>
        </w:rPr>
        <w:t>’</w:t>
      </w:r>
      <w:r w:rsidRPr="002A0914">
        <w:rPr>
          <w:rFonts w:cs="Times New Roman"/>
          <w:lang w:val="fr-CA"/>
        </w:rPr>
        <w:t>art. 438 de la Loi.</w:t>
      </w:r>
    </w:p>
    <w:p w:rsidR="00730DBB" w:rsidRPr="002A0914" w:rsidRDefault="00730DBB" w:rsidP="00730DBB">
      <w:pPr>
        <w:pStyle w:val="ParaNoNdepar-AltN"/>
        <w:rPr>
          <w:rFonts w:cs="Times New Roman"/>
          <w:lang w:val="fr-CA"/>
        </w:rPr>
      </w:pPr>
      <w:r w:rsidRPr="002A0914">
        <w:rPr>
          <w:rFonts w:cs="Times New Roman"/>
          <w:lang w:val="fr-CA"/>
        </w:rPr>
        <w:t>Par conséquent, en affirmant qu</w:t>
      </w:r>
      <w:r>
        <w:rPr>
          <w:rFonts w:cs="Times New Roman"/>
          <w:lang w:val="fr-CA"/>
        </w:rPr>
        <w:t>’</w:t>
      </w:r>
      <w:r w:rsidRPr="002A0914">
        <w:rPr>
          <w:rFonts w:cs="Times New Roman"/>
          <w:lang w:val="fr-CA"/>
        </w:rPr>
        <w:t xml:space="preserve">elle ne pouvait accorder une réparation fondée sur la </w:t>
      </w:r>
      <w:r w:rsidRPr="002A0914">
        <w:rPr>
          <w:rFonts w:cs="Times New Roman"/>
          <w:i/>
          <w:lang w:val="fr-CA"/>
        </w:rPr>
        <w:t>Charte</w:t>
      </w:r>
      <w:r w:rsidRPr="002A0914">
        <w:rPr>
          <w:rFonts w:cs="Times New Roman"/>
          <w:lang w:val="fr-CA"/>
        </w:rPr>
        <w:t xml:space="preserve"> québécoise, la CLP a eu tort de décider que les pouvoirs dont le législateur l</w:t>
      </w:r>
      <w:r>
        <w:rPr>
          <w:rFonts w:cs="Times New Roman"/>
          <w:lang w:val="fr-CA"/>
        </w:rPr>
        <w:t>’</w:t>
      </w:r>
      <w:r w:rsidRPr="002A0914">
        <w:rPr>
          <w:rFonts w:cs="Times New Roman"/>
          <w:lang w:val="fr-CA"/>
        </w:rPr>
        <w:t>a investie ne l</w:t>
      </w:r>
      <w:r>
        <w:rPr>
          <w:rFonts w:cs="Times New Roman"/>
          <w:lang w:val="fr-CA"/>
        </w:rPr>
        <w:t>’</w:t>
      </w:r>
      <w:r w:rsidRPr="002A0914">
        <w:rPr>
          <w:rFonts w:cs="Times New Roman"/>
          <w:lang w:val="fr-CA"/>
        </w:rPr>
        <w:t>autorisaient pas à trancher cette question. Cette décision était incorrecte.</w:t>
      </w:r>
    </w:p>
    <w:p w:rsidR="00730DBB" w:rsidRPr="002A0914" w:rsidRDefault="00730DBB" w:rsidP="00730DBB">
      <w:pPr>
        <w:pStyle w:val="Title3LevelTitre3Niveau"/>
        <w:numPr>
          <w:ilvl w:val="2"/>
          <w:numId w:val="8"/>
        </w:numPr>
        <w:jc w:val="left"/>
        <w:rPr>
          <w:rFonts w:cs="Times New Roman"/>
          <w:lang w:val="fr-CA"/>
        </w:rPr>
      </w:pPr>
      <w:r w:rsidRPr="002A0914">
        <w:rPr>
          <w:rFonts w:cs="Times New Roman"/>
          <w:lang w:val="fr-CA"/>
        </w:rPr>
        <w:t>Compétence de l</w:t>
      </w:r>
      <w:r>
        <w:rPr>
          <w:rFonts w:cs="Times New Roman"/>
          <w:lang w:val="fr-CA"/>
        </w:rPr>
        <w:t>’</w:t>
      </w:r>
      <w:r w:rsidRPr="002A0914">
        <w:rPr>
          <w:rFonts w:cs="Times New Roman"/>
          <w:lang w:val="fr-CA"/>
        </w:rPr>
        <w:t>arbitre de griefs</w:t>
      </w:r>
    </w:p>
    <w:p w:rsidR="00730DBB" w:rsidRPr="002A0914" w:rsidRDefault="00730DBB" w:rsidP="00730DBB">
      <w:pPr>
        <w:pStyle w:val="ParaNoNdepar-AltN"/>
        <w:rPr>
          <w:rFonts w:cs="Times New Roman"/>
          <w:lang w:val="fr-CA"/>
        </w:rPr>
      </w:pPr>
      <w:r w:rsidRPr="002A0914">
        <w:rPr>
          <w:rFonts w:cs="Times New Roman"/>
          <w:lang w:val="fr-CA"/>
        </w:rPr>
        <w:lastRenderedPageBreak/>
        <w:t>La Cour d</w:t>
      </w:r>
      <w:r>
        <w:rPr>
          <w:rFonts w:cs="Times New Roman"/>
          <w:lang w:val="fr-CA"/>
        </w:rPr>
        <w:t>’</w:t>
      </w:r>
      <w:r w:rsidRPr="002A0914">
        <w:rPr>
          <w:rFonts w:cs="Times New Roman"/>
          <w:lang w:val="fr-CA"/>
        </w:rPr>
        <w:t>appel du Québec s</w:t>
      </w:r>
      <w:r>
        <w:rPr>
          <w:rFonts w:cs="Times New Roman"/>
          <w:lang w:val="fr-CA"/>
        </w:rPr>
        <w:t>’</w:t>
      </w:r>
      <w:r w:rsidRPr="002A0914">
        <w:rPr>
          <w:rFonts w:cs="Times New Roman"/>
          <w:lang w:val="fr-CA"/>
        </w:rPr>
        <w:t>est également penchée sur l</w:t>
      </w:r>
      <w:r>
        <w:rPr>
          <w:rFonts w:cs="Times New Roman"/>
          <w:lang w:val="fr-CA"/>
        </w:rPr>
        <w:t>’</w:t>
      </w:r>
      <w:r w:rsidRPr="002A0914">
        <w:rPr>
          <w:rFonts w:cs="Times New Roman"/>
          <w:lang w:val="fr-CA"/>
        </w:rPr>
        <w:t>interaction entre la compétence des arbitres de griefs, d</w:t>
      </w:r>
      <w:r>
        <w:rPr>
          <w:rFonts w:cs="Times New Roman"/>
          <w:lang w:val="fr-CA"/>
        </w:rPr>
        <w:t>’</w:t>
      </w:r>
      <w:r w:rsidRPr="002A0914">
        <w:rPr>
          <w:rFonts w:cs="Times New Roman"/>
          <w:lang w:val="fr-CA"/>
        </w:rPr>
        <w:t>une part, et celle de la CSST et de la CLP, d</w:t>
      </w:r>
      <w:r>
        <w:rPr>
          <w:rFonts w:cs="Times New Roman"/>
          <w:lang w:val="fr-CA"/>
        </w:rPr>
        <w:t>’</w:t>
      </w:r>
      <w:r w:rsidRPr="002A0914">
        <w:rPr>
          <w:rFonts w:cs="Times New Roman"/>
          <w:lang w:val="fr-CA"/>
        </w:rPr>
        <w:t>autre part, lorsqu</w:t>
      </w:r>
      <w:r>
        <w:rPr>
          <w:rFonts w:cs="Times New Roman"/>
          <w:lang w:val="fr-CA"/>
        </w:rPr>
        <w:t>’</w:t>
      </w:r>
      <w:r w:rsidRPr="002A0914">
        <w:rPr>
          <w:rFonts w:cs="Times New Roman"/>
          <w:lang w:val="fr-CA"/>
        </w:rPr>
        <w:t>une convention collective offre des avantages plus grands que ceux prévus par la Loi (</w:t>
      </w:r>
      <w:r w:rsidRPr="002A0914">
        <w:rPr>
          <w:rFonts w:cs="Times New Roman"/>
          <w:i/>
          <w:lang w:val="fr-CA"/>
        </w:rPr>
        <w:t>Université McGill c. McGill University Non Academic Certified Association (MUNACA)</w:t>
      </w:r>
      <w:r w:rsidRPr="002A0914">
        <w:rPr>
          <w:rFonts w:cs="Times New Roman"/>
          <w:lang w:val="fr-CA"/>
        </w:rPr>
        <w:t>, 2015 QCCA 1943). Cette question ne se pose pas en l</w:t>
      </w:r>
      <w:r>
        <w:rPr>
          <w:rFonts w:cs="Times New Roman"/>
          <w:lang w:val="fr-CA"/>
        </w:rPr>
        <w:t>’</w:t>
      </w:r>
      <w:r w:rsidRPr="002A0914">
        <w:rPr>
          <w:rFonts w:cs="Times New Roman"/>
          <w:lang w:val="fr-CA"/>
        </w:rPr>
        <w:t xml:space="preserve">espèce. Je ferai seulement remarquer que les droits et obligations substantiels prévus par la </w:t>
      </w:r>
      <w:r w:rsidRPr="002A0914">
        <w:rPr>
          <w:rFonts w:cs="Times New Roman"/>
          <w:i/>
          <w:lang w:val="fr-CA"/>
        </w:rPr>
        <w:t>Charte</w:t>
      </w:r>
      <w:r w:rsidRPr="002A0914">
        <w:rPr>
          <w:rFonts w:cs="Times New Roman"/>
          <w:lang w:val="fr-CA"/>
        </w:rPr>
        <w:t xml:space="preserve"> québécoise</w:t>
      </w:r>
      <w:r w:rsidRPr="002A0914">
        <w:rPr>
          <w:rFonts w:cs="Times New Roman"/>
          <w:i/>
          <w:lang w:val="fr-CA"/>
        </w:rPr>
        <w:t xml:space="preserve"> </w:t>
      </w:r>
      <w:r w:rsidRPr="002A0914">
        <w:rPr>
          <w:rFonts w:cs="Times New Roman"/>
          <w:lang w:val="fr-CA"/>
        </w:rPr>
        <w:t>sont incorporés dans les conventions collectives à l</w:t>
      </w:r>
      <w:r>
        <w:rPr>
          <w:rFonts w:cs="Times New Roman"/>
          <w:lang w:val="fr-CA"/>
        </w:rPr>
        <w:t>’</w:t>
      </w:r>
      <w:r w:rsidRPr="002A0914">
        <w:rPr>
          <w:rFonts w:cs="Times New Roman"/>
          <w:lang w:val="fr-CA"/>
        </w:rPr>
        <w:t>égard desquelles les arbitres ont compétence (</w:t>
      </w:r>
      <w:r w:rsidRPr="002A0914">
        <w:rPr>
          <w:rFonts w:cs="Times New Roman"/>
          <w:i/>
          <w:lang w:val="fr-CA"/>
        </w:rPr>
        <w:t>Parry Sound (District) Conseil d</w:t>
      </w:r>
      <w:r>
        <w:rPr>
          <w:rFonts w:cs="Times New Roman"/>
          <w:i/>
          <w:lang w:val="fr-CA"/>
        </w:rPr>
        <w:t>’</w:t>
      </w:r>
      <w:r w:rsidRPr="002A0914">
        <w:rPr>
          <w:rFonts w:cs="Times New Roman"/>
          <w:i/>
          <w:lang w:val="fr-CA"/>
        </w:rPr>
        <w:t>administration des services sociaux c. S.E.E.F.P.O., section locale 324</w:t>
      </w:r>
      <w:r w:rsidRPr="002A0914">
        <w:rPr>
          <w:rFonts w:cs="Times New Roman"/>
          <w:lang w:val="fr-CA"/>
        </w:rPr>
        <w:t>, 2003 CSC 42,</w:t>
      </w:r>
      <w:r w:rsidRPr="002A0914">
        <w:rPr>
          <w:rFonts w:cs="Times New Roman"/>
          <w:i/>
          <w:lang w:val="fr-CA"/>
        </w:rPr>
        <w:t xml:space="preserve"> </w:t>
      </w:r>
      <w:r w:rsidRPr="002A0914">
        <w:rPr>
          <w:rFonts w:cs="Times New Roman"/>
          <w:lang w:val="fr-CA"/>
        </w:rPr>
        <w:t>[2003] 2 R.C.S. 157, par. 23).</w:t>
      </w:r>
    </w:p>
    <w:p w:rsidR="00730DBB" w:rsidRPr="002A0914" w:rsidRDefault="00730DBB" w:rsidP="00730DBB">
      <w:pPr>
        <w:pStyle w:val="Title1LevelTitre1Niveau-AltL"/>
        <w:numPr>
          <w:ilvl w:val="0"/>
          <w:numId w:val="8"/>
        </w:numPr>
        <w:jc w:val="left"/>
        <w:rPr>
          <w:rFonts w:cs="Times New Roman"/>
          <w:lang w:val="fr-CA"/>
        </w:rPr>
      </w:pPr>
      <w:r w:rsidRPr="002A0914">
        <w:rPr>
          <w:rFonts w:cs="Times New Roman"/>
          <w:lang w:val="fr-CA"/>
        </w:rPr>
        <w:t>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accommodement</w:t>
      </w:r>
    </w:p>
    <w:p w:rsidR="00730DBB" w:rsidRPr="002A0914" w:rsidRDefault="00730DBB" w:rsidP="00730DBB">
      <w:pPr>
        <w:pStyle w:val="ParaNoNdepar-AltN"/>
        <w:rPr>
          <w:rFonts w:cs="Times New Roman"/>
          <w:lang w:val="fr-CA"/>
        </w:rPr>
      </w:pPr>
      <w:r w:rsidRPr="002A0914">
        <w:rPr>
          <w:rFonts w:cs="Times New Roman"/>
          <w:lang w:val="fr-CA"/>
        </w:rPr>
        <w:t>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accommodement dans des cas comme celui qui nous occupe n</w:t>
      </w:r>
      <w:r>
        <w:rPr>
          <w:rFonts w:cs="Times New Roman"/>
          <w:lang w:val="fr-CA"/>
        </w:rPr>
        <w:t>’</w:t>
      </w:r>
      <w:r w:rsidRPr="002A0914">
        <w:rPr>
          <w:rFonts w:cs="Times New Roman"/>
          <w:lang w:val="fr-CA"/>
        </w:rPr>
        <w:t>oblige pas l</w:t>
      </w:r>
      <w:r>
        <w:rPr>
          <w:rFonts w:cs="Times New Roman"/>
          <w:lang w:val="fr-CA"/>
        </w:rPr>
        <w:t>’</w:t>
      </w:r>
      <w:r w:rsidRPr="002A0914">
        <w:rPr>
          <w:rFonts w:cs="Times New Roman"/>
          <w:lang w:val="fr-CA"/>
        </w:rPr>
        <w:t>employeur à créer de toutes pièces un nouveau poste pour l</w:t>
      </w:r>
      <w:r>
        <w:rPr>
          <w:rFonts w:cs="Times New Roman"/>
          <w:lang w:val="fr-CA"/>
        </w:rPr>
        <w:t>’</w:t>
      </w:r>
      <w:r w:rsidRPr="002A0914">
        <w:rPr>
          <w:rFonts w:cs="Times New Roman"/>
          <w:lang w:val="fr-CA"/>
        </w:rPr>
        <w:t>employé atteint d</w:t>
      </w:r>
      <w:r>
        <w:rPr>
          <w:rFonts w:cs="Times New Roman"/>
          <w:lang w:val="fr-CA"/>
        </w:rPr>
        <w:t>’</w:t>
      </w:r>
      <w:r w:rsidRPr="002A0914">
        <w:rPr>
          <w:rFonts w:cs="Times New Roman"/>
          <w:lang w:val="fr-CA"/>
        </w:rPr>
        <w:t>un handicap. Il ne s</w:t>
      </w:r>
      <w:r>
        <w:rPr>
          <w:rFonts w:cs="Times New Roman"/>
          <w:lang w:val="fr-CA"/>
        </w:rPr>
        <w:t>’</w:t>
      </w:r>
      <w:r w:rsidRPr="002A0914">
        <w:rPr>
          <w:rFonts w:cs="Times New Roman"/>
          <w:lang w:val="fr-CA"/>
        </w:rPr>
        <w:t>agirait pas d</w:t>
      </w:r>
      <w:r>
        <w:rPr>
          <w:rFonts w:cs="Times New Roman"/>
          <w:lang w:val="fr-CA"/>
        </w:rPr>
        <w:t>’</w:t>
      </w:r>
      <w:r w:rsidRPr="002A0914">
        <w:rPr>
          <w:rFonts w:cs="Times New Roman"/>
          <w:lang w:val="fr-CA"/>
        </w:rPr>
        <w:t>un accommodement raisonnable</w:t>
      </w:r>
      <w:r w:rsidRPr="002A0914">
        <w:rPr>
          <w:rFonts w:cs="Times New Roman"/>
          <w:i/>
          <w:lang w:val="fr-CA"/>
        </w:rPr>
        <w:t>.</w:t>
      </w:r>
      <w:r w:rsidRPr="002A0914">
        <w:rPr>
          <w:rFonts w:cs="Times New Roman"/>
          <w:lang w:val="fr-CA"/>
        </w:rPr>
        <w:t xml:space="preserve"> Elle signifie plutôt que, lorsque l</w:t>
      </w:r>
      <w:r>
        <w:rPr>
          <w:rFonts w:cs="Times New Roman"/>
          <w:lang w:val="fr-CA"/>
        </w:rPr>
        <w:t>’</w:t>
      </w:r>
      <w:r w:rsidRPr="002A0914">
        <w:rPr>
          <w:rFonts w:cs="Times New Roman"/>
          <w:lang w:val="fr-CA"/>
        </w:rPr>
        <w:t>employeur examine les postes disponibles, il doit à la fois se demander s</w:t>
      </w:r>
      <w:r>
        <w:rPr>
          <w:rFonts w:cs="Times New Roman"/>
          <w:lang w:val="fr-CA"/>
        </w:rPr>
        <w:t>’</w:t>
      </w:r>
      <w:r w:rsidRPr="002A0914">
        <w:rPr>
          <w:rFonts w:cs="Times New Roman"/>
          <w:lang w:val="fr-CA"/>
        </w:rPr>
        <w:t xml:space="preserve">il a un emploi convenable </w:t>
      </w:r>
      <w:r w:rsidR="009C6E31">
        <w:rPr>
          <w:rFonts w:cs="Times New Roman"/>
          <w:lang w:val="fr-CA"/>
        </w:rPr>
        <w:t xml:space="preserve">à offrir </w:t>
      </w:r>
      <w:r w:rsidRPr="002A0914">
        <w:rPr>
          <w:rFonts w:cs="Times New Roman"/>
          <w:lang w:val="fr-CA"/>
        </w:rPr>
        <w:t>conformément à l</w:t>
      </w:r>
      <w:r>
        <w:rPr>
          <w:rFonts w:cs="Times New Roman"/>
          <w:lang w:val="fr-CA"/>
        </w:rPr>
        <w:t>’</w:t>
      </w:r>
      <w:r w:rsidRPr="002A0914">
        <w:rPr>
          <w:rFonts w:cs="Times New Roman"/>
          <w:lang w:val="fr-CA"/>
        </w:rPr>
        <w:t xml:space="preserve">art. 170 de la Loi, par exemple, </w:t>
      </w:r>
      <w:r w:rsidRPr="002A0914">
        <w:rPr>
          <w:rFonts w:cs="Times New Roman"/>
          <w:i/>
          <w:lang w:val="fr-CA"/>
        </w:rPr>
        <w:t>et</w:t>
      </w:r>
      <w:r w:rsidRPr="002A0914">
        <w:rPr>
          <w:rFonts w:cs="Times New Roman"/>
          <w:lang w:val="fr-CA"/>
        </w:rPr>
        <w:t xml:space="preserve"> ce que les obligations que lui impose la </w:t>
      </w:r>
      <w:r w:rsidRPr="002A0914">
        <w:rPr>
          <w:rFonts w:cs="Times New Roman"/>
          <w:i/>
          <w:lang w:val="fr-CA"/>
        </w:rPr>
        <w:t xml:space="preserve">Charte </w:t>
      </w:r>
      <w:r w:rsidRPr="002A0914">
        <w:rPr>
          <w:rFonts w:cs="Times New Roman"/>
          <w:lang w:val="fr-CA"/>
        </w:rPr>
        <w:t>québécoise exigent sur le plan de la souplesse dans l</w:t>
      </w:r>
      <w:r>
        <w:rPr>
          <w:rFonts w:cs="Times New Roman"/>
          <w:lang w:val="fr-CA"/>
        </w:rPr>
        <w:t>’</w:t>
      </w:r>
      <w:r w:rsidRPr="002A0914">
        <w:rPr>
          <w:rFonts w:cs="Times New Roman"/>
          <w:lang w:val="fr-CA"/>
        </w:rPr>
        <w:t>application des normes d</w:t>
      </w:r>
      <w:r>
        <w:rPr>
          <w:rFonts w:cs="Times New Roman"/>
          <w:lang w:val="fr-CA"/>
        </w:rPr>
        <w:t>’</w:t>
      </w:r>
      <w:r w:rsidRPr="002A0914">
        <w:rPr>
          <w:rFonts w:cs="Times New Roman"/>
          <w:lang w:val="fr-CA"/>
        </w:rPr>
        <w:t>emploi. Si ce qui empêche un poste d</w:t>
      </w:r>
      <w:r>
        <w:rPr>
          <w:rFonts w:cs="Times New Roman"/>
          <w:lang w:val="fr-CA"/>
        </w:rPr>
        <w:t>’</w:t>
      </w:r>
      <w:r w:rsidRPr="002A0914">
        <w:rPr>
          <w:rFonts w:cs="Times New Roman"/>
          <w:lang w:val="fr-CA"/>
        </w:rPr>
        <w:t>être convenable tient à un accommodement raisonnable (sans qu</w:t>
      </w:r>
      <w:r>
        <w:rPr>
          <w:rFonts w:cs="Times New Roman"/>
          <w:lang w:val="fr-CA"/>
        </w:rPr>
        <w:t>’</w:t>
      </w:r>
      <w:r w:rsidRPr="002A0914">
        <w:rPr>
          <w:rFonts w:cs="Times New Roman"/>
          <w:lang w:val="fr-CA"/>
        </w:rPr>
        <w:t>il n</w:t>
      </w:r>
      <w:r>
        <w:rPr>
          <w:rFonts w:cs="Times New Roman"/>
          <w:lang w:val="fr-CA"/>
        </w:rPr>
        <w:t>’</w:t>
      </w:r>
      <w:r w:rsidRPr="002A0914">
        <w:rPr>
          <w:rFonts w:cs="Times New Roman"/>
          <w:lang w:val="fr-CA"/>
        </w:rPr>
        <w:t xml:space="preserve">en résulte pour lui une contrainte excessive), la </w:t>
      </w:r>
      <w:r w:rsidRPr="002A0914">
        <w:rPr>
          <w:rFonts w:cs="Times New Roman"/>
          <w:i/>
          <w:lang w:val="fr-CA"/>
        </w:rPr>
        <w:t>Charte</w:t>
      </w:r>
      <w:r w:rsidRPr="002A0914">
        <w:rPr>
          <w:rFonts w:cs="Times New Roman"/>
          <w:lang w:val="fr-CA"/>
        </w:rPr>
        <w:t xml:space="preserve"> québécoise oblige alors l</w:t>
      </w:r>
      <w:r>
        <w:rPr>
          <w:rFonts w:cs="Times New Roman"/>
          <w:lang w:val="fr-CA"/>
        </w:rPr>
        <w:t>’</w:t>
      </w:r>
      <w:r w:rsidRPr="002A0914">
        <w:rPr>
          <w:rFonts w:cs="Times New Roman"/>
          <w:lang w:val="fr-CA"/>
        </w:rPr>
        <w:t>employeur à prendre les mesures qui s</w:t>
      </w:r>
      <w:r>
        <w:rPr>
          <w:rFonts w:cs="Times New Roman"/>
          <w:lang w:val="fr-CA"/>
        </w:rPr>
        <w:t>’</w:t>
      </w:r>
      <w:r w:rsidRPr="002A0914">
        <w:rPr>
          <w:rFonts w:cs="Times New Roman"/>
          <w:lang w:val="fr-CA"/>
        </w:rPr>
        <w:t>imposent pour accommoder l</w:t>
      </w:r>
      <w:r>
        <w:rPr>
          <w:rFonts w:cs="Times New Roman"/>
          <w:lang w:val="fr-CA"/>
        </w:rPr>
        <w:t>’</w:t>
      </w:r>
      <w:r w:rsidRPr="002A0914">
        <w:rPr>
          <w:rFonts w:cs="Times New Roman"/>
          <w:lang w:val="fr-CA"/>
        </w:rPr>
        <w:t>employé atteint d</w:t>
      </w:r>
      <w:r>
        <w:rPr>
          <w:rFonts w:cs="Times New Roman"/>
          <w:lang w:val="fr-CA"/>
        </w:rPr>
        <w:t>’</w:t>
      </w:r>
      <w:r w:rsidRPr="002A0914">
        <w:rPr>
          <w:rFonts w:cs="Times New Roman"/>
          <w:lang w:val="fr-CA"/>
        </w:rPr>
        <w:t>un handicap.</w:t>
      </w:r>
      <w:r>
        <w:rPr>
          <w:rFonts w:cs="Times New Roman"/>
          <w:lang w:val="fr-CA"/>
        </w:rPr>
        <w:t xml:space="preserve"> </w:t>
      </w:r>
      <w:r w:rsidRPr="002A0914">
        <w:rPr>
          <w:rFonts w:cs="Times New Roman"/>
          <w:lang w:val="fr-CA"/>
        </w:rPr>
        <w:lastRenderedPageBreak/>
        <w:t>Lorsque l</w:t>
      </w:r>
      <w:r>
        <w:rPr>
          <w:rFonts w:cs="Times New Roman"/>
          <w:lang w:val="fr-CA"/>
        </w:rPr>
        <w:t>’</w:t>
      </w:r>
      <w:r w:rsidRPr="002A0914">
        <w:rPr>
          <w:rFonts w:cs="Times New Roman"/>
          <w:lang w:val="fr-CA"/>
        </w:rPr>
        <w:t>employeur omet de le faire, la CLP a le pouvoir de rendre l</w:t>
      </w:r>
      <w:r>
        <w:rPr>
          <w:rFonts w:cs="Times New Roman"/>
          <w:lang w:val="fr-CA"/>
        </w:rPr>
        <w:t>’</w:t>
      </w:r>
      <w:r w:rsidRPr="002A0914">
        <w:rPr>
          <w:rFonts w:cs="Times New Roman"/>
          <w:lang w:val="fr-CA"/>
        </w:rPr>
        <w:t>ordonnance appropriée.</w:t>
      </w:r>
    </w:p>
    <w:p w:rsidR="00730DBB" w:rsidRPr="002A0914" w:rsidRDefault="00730DBB" w:rsidP="00730DBB">
      <w:pPr>
        <w:pStyle w:val="ParaNoNdepar-AltN"/>
        <w:rPr>
          <w:rFonts w:cs="Times New Roman"/>
          <w:lang w:val="fr-CA"/>
        </w:rPr>
      </w:pPr>
      <w:r w:rsidRPr="002A0914">
        <w:rPr>
          <w:rFonts w:cs="Times New Roman"/>
          <w:lang w:val="fr-CA"/>
        </w:rPr>
        <w:t>On peut comprendre la frustration des employés qui doivent obtenir une décision de la part de la CSST, la faire réviser au sein de cet organisme pour ensuite porter l</w:t>
      </w:r>
      <w:r>
        <w:rPr>
          <w:rFonts w:cs="Times New Roman"/>
          <w:lang w:val="fr-CA"/>
        </w:rPr>
        <w:t>’</w:t>
      </w:r>
      <w:r w:rsidRPr="002A0914">
        <w:rPr>
          <w:rFonts w:cs="Times New Roman"/>
          <w:lang w:val="fr-CA"/>
        </w:rPr>
        <w:t>affaire en appel devant la CLP, où, à la suite d</w:t>
      </w:r>
      <w:r>
        <w:rPr>
          <w:rFonts w:cs="Times New Roman"/>
          <w:lang w:val="fr-CA"/>
        </w:rPr>
        <w:t>’</w:t>
      </w:r>
      <w:r w:rsidRPr="002A0914">
        <w:rPr>
          <w:rFonts w:cs="Times New Roman"/>
          <w:lang w:val="fr-CA"/>
        </w:rPr>
        <w:t xml:space="preserve">un appel </w:t>
      </w:r>
      <w:r w:rsidRPr="002A0914">
        <w:rPr>
          <w:rFonts w:cs="Times New Roman"/>
          <w:i/>
          <w:lang w:val="fr-CA"/>
        </w:rPr>
        <w:t>de novo</w:t>
      </w:r>
      <w:r w:rsidRPr="002A0914">
        <w:rPr>
          <w:rFonts w:cs="Times New Roman"/>
          <w:lang w:val="fr-CA"/>
        </w:rPr>
        <w:t>, une ordonnance exigeant un accommodement peut être rendue. Je tiens à faire quelques remarques. Tout d</w:t>
      </w:r>
      <w:r>
        <w:rPr>
          <w:rFonts w:cs="Times New Roman"/>
          <w:lang w:val="fr-CA"/>
        </w:rPr>
        <w:t>’</w:t>
      </w:r>
      <w:r w:rsidRPr="002A0914">
        <w:rPr>
          <w:rFonts w:cs="Times New Roman"/>
          <w:lang w:val="fr-CA"/>
        </w:rPr>
        <w:t>abord, le fait que la CSST ne peut pas obliger un employeur à prendre des mesures d</w:t>
      </w:r>
      <w:r>
        <w:rPr>
          <w:rFonts w:cs="Times New Roman"/>
          <w:lang w:val="fr-CA"/>
        </w:rPr>
        <w:t>’</w:t>
      </w:r>
      <w:r w:rsidRPr="002A0914">
        <w:rPr>
          <w:rFonts w:cs="Times New Roman"/>
          <w:lang w:val="fr-CA"/>
        </w:rPr>
        <w:t>accommodement en faveur d</w:t>
      </w:r>
      <w:r>
        <w:rPr>
          <w:rFonts w:cs="Times New Roman"/>
          <w:lang w:val="fr-CA"/>
        </w:rPr>
        <w:t>’</w:t>
      </w:r>
      <w:r w:rsidRPr="002A0914">
        <w:rPr>
          <w:rFonts w:cs="Times New Roman"/>
          <w:lang w:val="fr-CA"/>
        </w:rPr>
        <w:t>un employé ne signifie pas qu</w:t>
      </w:r>
      <w:r>
        <w:rPr>
          <w:rFonts w:cs="Times New Roman"/>
          <w:lang w:val="fr-CA"/>
        </w:rPr>
        <w:t>’</w:t>
      </w:r>
      <w:r w:rsidRPr="002A0914">
        <w:rPr>
          <w:rFonts w:cs="Times New Roman"/>
          <w:lang w:val="fr-CA"/>
        </w:rPr>
        <w:t>elle ne peut pas discuter avec l</w:t>
      </w:r>
      <w:r>
        <w:rPr>
          <w:rFonts w:cs="Times New Roman"/>
          <w:lang w:val="fr-CA"/>
        </w:rPr>
        <w:t>’</w:t>
      </w:r>
      <w:r w:rsidRPr="002A0914">
        <w:rPr>
          <w:rFonts w:cs="Times New Roman"/>
          <w:lang w:val="fr-CA"/>
        </w:rPr>
        <w:t>employeur de son obligation d</w:t>
      </w:r>
      <w:r>
        <w:rPr>
          <w:rFonts w:cs="Times New Roman"/>
          <w:lang w:val="fr-CA"/>
        </w:rPr>
        <w:t>’</w:t>
      </w:r>
      <w:r w:rsidRPr="002A0914">
        <w:rPr>
          <w:rFonts w:cs="Times New Roman"/>
          <w:lang w:val="fr-CA"/>
        </w:rPr>
        <w:t xml:space="preserve">accommodement. En effet, il est à espérer que la CSST aide les employeurs à comprendre non seulement les droits que la Loi confère aux travailleurs, mais aussi ceux que leur confère la </w:t>
      </w:r>
      <w:r w:rsidRPr="002A0914">
        <w:rPr>
          <w:rFonts w:cs="Times New Roman"/>
          <w:i/>
          <w:lang w:val="fr-CA"/>
        </w:rPr>
        <w:t>Charte</w:t>
      </w:r>
      <w:r w:rsidRPr="002A0914">
        <w:rPr>
          <w:rFonts w:cs="Times New Roman"/>
          <w:lang w:val="fr-CA"/>
        </w:rPr>
        <w:t xml:space="preserve"> québécoise.</w:t>
      </w:r>
    </w:p>
    <w:p w:rsidR="00730DBB" w:rsidRPr="002A0914" w:rsidRDefault="00730DBB" w:rsidP="00730DBB">
      <w:pPr>
        <w:pStyle w:val="ParaNoNdepar-AltN"/>
        <w:rPr>
          <w:rFonts w:cs="Times New Roman"/>
          <w:lang w:val="fr-CA"/>
        </w:rPr>
      </w:pPr>
      <w:r w:rsidRPr="002A0914">
        <w:rPr>
          <w:rFonts w:cs="Times New Roman"/>
          <w:lang w:val="fr-CA"/>
        </w:rPr>
        <w:t>Ensuite, 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accommodement ne prend pas naissance une fois que la CLP est saisie de l</w:t>
      </w:r>
      <w:r>
        <w:rPr>
          <w:rFonts w:cs="Times New Roman"/>
          <w:lang w:val="fr-CA"/>
        </w:rPr>
        <w:t>’</w:t>
      </w:r>
      <w:r w:rsidRPr="002A0914">
        <w:rPr>
          <w:rFonts w:cs="Times New Roman"/>
          <w:lang w:val="fr-CA"/>
        </w:rPr>
        <w:t>affaire. 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 xml:space="preserve">accommodement doit plutôt son existence à la </w:t>
      </w:r>
      <w:r w:rsidRPr="002A0914">
        <w:rPr>
          <w:rFonts w:cs="Times New Roman"/>
          <w:i/>
          <w:lang w:val="fr-CA"/>
        </w:rPr>
        <w:t>Charte</w:t>
      </w:r>
      <w:r w:rsidRPr="002A0914">
        <w:rPr>
          <w:rFonts w:cs="Times New Roman"/>
          <w:lang w:val="fr-CA"/>
        </w:rPr>
        <w:t xml:space="preserve"> québécoise;</w:t>
      </w:r>
      <w:r w:rsidRPr="002A0914">
        <w:rPr>
          <w:rFonts w:cs="Times New Roman"/>
          <w:i/>
          <w:lang w:val="fr-CA"/>
        </w:rPr>
        <w:t xml:space="preserve"> </w:t>
      </w:r>
      <w:r w:rsidRPr="002A0914">
        <w:rPr>
          <w:rFonts w:cs="Times New Roman"/>
          <w:lang w:val="fr-CA"/>
        </w:rPr>
        <w:t>la CLP se prononce sur l</w:t>
      </w:r>
      <w:r>
        <w:rPr>
          <w:rFonts w:cs="Times New Roman"/>
          <w:lang w:val="fr-CA"/>
        </w:rPr>
        <w:t>’</w:t>
      </w:r>
      <w:r w:rsidRPr="002A0914">
        <w:rPr>
          <w:rFonts w:cs="Times New Roman"/>
          <w:lang w:val="fr-CA"/>
        </w:rPr>
        <w:t>application de l</w:t>
      </w:r>
      <w:r>
        <w:rPr>
          <w:rFonts w:cs="Times New Roman"/>
          <w:lang w:val="fr-CA"/>
        </w:rPr>
        <w:t>’</w:t>
      </w:r>
      <w:r w:rsidRPr="002A0914">
        <w:rPr>
          <w:rFonts w:cs="Times New Roman"/>
          <w:lang w:val="fr-CA"/>
        </w:rPr>
        <w:t>obligation lorsqu</w:t>
      </w:r>
      <w:r>
        <w:rPr>
          <w:rFonts w:cs="Times New Roman"/>
          <w:lang w:val="fr-CA"/>
        </w:rPr>
        <w:t>’</w:t>
      </w:r>
      <w:r w:rsidRPr="002A0914">
        <w:rPr>
          <w:rFonts w:cs="Times New Roman"/>
          <w:lang w:val="fr-CA"/>
        </w:rPr>
        <w:t>il y a un différend entre un employeur et un employé atteint d</w:t>
      </w:r>
      <w:r>
        <w:rPr>
          <w:rFonts w:cs="Times New Roman"/>
          <w:lang w:val="fr-CA"/>
        </w:rPr>
        <w:t>’</w:t>
      </w:r>
      <w:r w:rsidRPr="002A0914">
        <w:rPr>
          <w:rFonts w:cs="Times New Roman"/>
          <w:lang w:val="fr-CA"/>
        </w:rPr>
        <w:t>un handicap. La bonne foi de l</w:t>
      </w:r>
      <w:r>
        <w:rPr>
          <w:rFonts w:cs="Times New Roman"/>
          <w:lang w:val="fr-CA"/>
        </w:rPr>
        <w:t>’</w:t>
      </w:r>
      <w:r w:rsidRPr="002A0914">
        <w:rPr>
          <w:rFonts w:cs="Times New Roman"/>
          <w:lang w:val="fr-CA"/>
        </w:rPr>
        <w:t>employeur dans l</w:t>
      </w:r>
      <w:r>
        <w:rPr>
          <w:rFonts w:cs="Times New Roman"/>
          <w:lang w:val="fr-CA"/>
        </w:rPr>
        <w:t>’</w:t>
      </w:r>
      <w:r w:rsidRPr="002A0914">
        <w:rPr>
          <w:rFonts w:cs="Times New Roman"/>
          <w:lang w:val="fr-CA"/>
        </w:rPr>
        <w:t>accomplissement de ses obligations devrait signifier que l</w:t>
      </w:r>
      <w:r>
        <w:rPr>
          <w:rFonts w:cs="Times New Roman"/>
          <w:lang w:val="fr-CA"/>
        </w:rPr>
        <w:t>’</w:t>
      </w:r>
      <w:r w:rsidRPr="002A0914">
        <w:rPr>
          <w:rFonts w:cs="Times New Roman"/>
          <w:lang w:val="fr-CA"/>
        </w:rPr>
        <w:t>intervention de la CLP constitue l</w:t>
      </w:r>
      <w:r>
        <w:rPr>
          <w:rFonts w:cs="Times New Roman"/>
          <w:lang w:val="fr-CA"/>
        </w:rPr>
        <w:t>’</w:t>
      </w:r>
      <w:r w:rsidRPr="002A0914">
        <w:rPr>
          <w:rFonts w:cs="Times New Roman"/>
          <w:lang w:val="fr-CA"/>
        </w:rPr>
        <w:t>exception et non la règle.</w:t>
      </w:r>
    </w:p>
    <w:p w:rsidR="00730DBB" w:rsidRPr="002A0914" w:rsidRDefault="00730DBB" w:rsidP="00730DBB">
      <w:pPr>
        <w:pStyle w:val="ParaNoNdepar-AltN"/>
        <w:rPr>
          <w:rFonts w:cs="Times New Roman"/>
          <w:lang w:val="fr-CA"/>
        </w:rPr>
      </w:pPr>
      <w:r w:rsidRPr="002A0914">
        <w:rPr>
          <w:rFonts w:cs="Times New Roman"/>
          <w:lang w:val="fr-CA"/>
        </w:rPr>
        <w:t>Enfin, la différence entre la compétence de la CSST et celle de la CLP témoignent des différentes attributions que la Loi a confiées à chacune. Le fait que la CLP a le pouvoir de décider de toute question de droit et que la CSST n</w:t>
      </w:r>
      <w:r>
        <w:rPr>
          <w:rFonts w:cs="Times New Roman"/>
          <w:lang w:val="fr-CA"/>
        </w:rPr>
        <w:t>’</w:t>
      </w:r>
      <w:r w:rsidRPr="002A0914">
        <w:rPr>
          <w:rFonts w:cs="Times New Roman"/>
          <w:lang w:val="fr-CA"/>
        </w:rPr>
        <w:t xml:space="preserve">a pas ce pouvoir </w:t>
      </w:r>
      <w:r w:rsidRPr="002A0914">
        <w:rPr>
          <w:rFonts w:cs="Times New Roman"/>
          <w:lang w:val="fr-CA"/>
        </w:rPr>
        <w:lastRenderedPageBreak/>
        <w:t>a des conséquences sur ce que chacune d</w:t>
      </w:r>
      <w:r>
        <w:rPr>
          <w:rFonts w:cs="Times New Roman"/>
          <w:lang w:val="fr-CA"/>
        </w:rPr>
        <w:t>’</w:t>
      </w:r>
      <w:r w:rsidRPr="002A0914">
        <w:rPr>
          <w:rFonts w:cs="Times New Roman"/>
          <w:lang w:val="fr-CA"/>
        </w:rPr>
        <w:t xml:space="preserve">elles peut faire. Trancher des questions relatives à la </w:t>
      </w:r>
      <w:r w:rsidRPr="002A0914">
        <w:rPr>
          <w:rFonts w:cs="Times New Roman"/>
          <w:i/>
          <w:lang w:val="fr-CA"/>
        </w:rPr>
        <w:t xml:space="preserve">Charte </w:t>
      </w:r>
      <w:r w:rsidRPr="002A0914">
        <w:rPr>
          <w:rFonts w:cs="Times New Roman"/>
          <w:lang w:val="fr-CA"/>
        </w:rPr>
        <w:t>québécoise</w:t>
      </w:r>
      <w:r w:rsidRPr="002A0914">
        <w:rPr>
          <w:rFonts w:cs="Times New Roman"/>
          <w:i/>
          <w:lang w:val="fr-CA"/>
        </w:rPr>
        <w:t xml:space="preserve"> </w:t>
      </w:r>
      <w:r w:rsidRPr="002A0914">
        <w:rPr>
          <w:rFonts w:cs="Times New Roman"/>
          <w:lang w:val="fr-CA"/>
        </w:rPr>
        <w:t>est une fonction que la CLP est apte à exercer; cela diffère du rôle de décideur administratif expéditif que joue la CSST. L</w:t>
      </w:r>
      <w:r>
        <w:rPr>
          <w:rFonts w:cs="Times New Roman"/>
          <w:lang w:val="fr-CA"/>
        </w:rPr>
        <w:t>’</w:t>
      </w:r>
      <w:r w:rsidRPr="002A0914">
        <w:rPr>
          <w:rFonts w:cs="Times New Roman"/>
          <w:lang w:val="fr-CA"/>
        </w:rPr>
        <w:t>Assemblée nationale aura tout le loisir de revoir cet octroi de pouvoirs à l</w:t>
      </w:r>
      <w:r>
        <w:rPr>
          <w:rFonts w:cs="Times New Roman"/>
          <w:lang w:val="fr-CA"/>
        </w:rPr>
        <w:t>’</w:t>
      </w:r>
      <w:r w:rsidRPr="002A0914">
        <w:rPr>
          <w:rFonts w:cs="Times New Roman"/>
          <w:lang w:val="fr-CA"/>
        </w:rPr>
        <w:t>avenir.</w:t>
      </w:r>
    </w:p>
    <w:p w:rsidR="00730DBB" w:rsidRPr="002A0914" w:rsidRDefault="00730DBB" w:rsidP="00730DBB">
      <w:pPr>
        <w:pStyle w:val="Title1LevelTitre1Niveau-AltL"/>
        <w:numPr>
          <w:ilvl w:val="0"/>
          <w:numId w:val="8"/>
        </w:numPr>
        <w:jc w:val="left"/>
        <w:rPr>
          <w:rFonts w:cs="Times New Roman"/>
          <w:lang w:val="fr-CA"/>
        </w:rPr>
      </w:pPr>
      <w:r w:rsidRPr="002A0914">
        <w:rPr>
          <w:rFonts w:cs="Times New Roman"/>
          <w:lang w:val="fr-CA"/>
        </w:rPr>
        <w:t>Conclusion</w:t>
      </w:r>
    </w:p>
    <w:p w:rsidR="00730DBB" w:rsidRPr="002A0914" w:rsidRDefault="00730DBB" w:rsidP="00730DBB">
      <w:pPr>
        <w:pStyle w:val="ParaNoNdepar-AltN"/>
        <w:rPr>
          <w:rFonts w:cs="Times New Roman"/>
          <w:lang w:val="fr-CA"/>
        </w:rPr>
      </w:pPr>
      <w:r w:rsidRPr="002A0914">
        <w:rPr>
          <w:rFonts w:cs="Times New Roman"/>
          <w:lang w:val="fr-CA"/>
        </w:rPr>
        <w:t>À l</w:t>
      </w:r>
      <w:r>
        <w:rPr>
          <w:rFonts w:cs="Times New Roman"/>
          <w:lang w:val="fr-CA"/>
        </w:rPr>
        <w:t>’</w:t>
      </w:r>
      <w:r w:rsidRPr="002A0914">
        <w:rPr>
          <w:rFonts w:cs="Times New Roman"/>
          <w:lang w:val="fr-CA"/>
        </w:rPr>
        <w:t>instar de ma collègue, je rejetterais le pourvoi avec dépens et renverrais l</w:t>
      </w:r>
      <w:r>
        <w:rPr>
          <w:rFonts w:cs="Times New Roman"/>
          <w:lang w:val="fr-CA"/>
        </w:rPr>
        <w:t>’</w:t>
      </w:r>
      <w:r w:rsidRPr="002A0914">
        <w:rPr>
          <w:rFonts w:cs="Times New Roman"/>
          <w:lang w:val="fr-CA"/>
        </w:rPr>
        <w:t>affaire au TAT pour qu</w:t>
      </w:r>
      <w:r>
        <w:rPr>
          <w:rFonts w:cs="Times New Roman"/>
          <w:lang w:val="fr-CA"/>
        </w:rPr>
        <w:t>’</w:t>
      </w:r>
      <w:r w:rsidRPr="002A0914">
        <w:rPr>
          <w:rFonts w:cs="Times New Roman"/>
          <w:lang w:val="fr-CA"/>
        </w:rPr>
        <w:t>il décide si l</w:t>
      </w:r>
      <w:r>
        <w:rPr>
          <w:rFonts w:cs="Times New Roman"/>
          <w:lang w:val="fr-CA"/>
        </w:rPr>
        <w:t>’</w:t>
      </w:r>
      <w:r w:rsidRPr="002A0914">
        <w:rPr>
          <w:rFonts w:cs="Times New Roman"/>
          <w:lang w:val="fr-CA"/>
        </w:rPr>
        <w:t>obligation d</w:t>
      </w:r>
      <w:r>
        <w:rPr>
          <w:rFonts w:cs="Times New Roman"/>
          <w:lang w:val="fr-CA"/>
        </w:rPr>
        <w:t>’</w:t>
      </w:r>
      <w:r w:rsidRPr="002A0914">
        <w:rPr>
          <w:rFonts w:cs="Times New Roman"/>
          <w:lang w:val="fr-CA"/>
        </w:rPr>
        <w:t>accommodement a été respectée dans le cas de M. Caron et, dans la négative, si le délai de prescription fait obstacle à toute réparation dans les circonstances.</w:t>
      </w:r>
    </w:p>
    <w:p w:rsidR="004D7D95" w:rsidRPr="000E37EE" w:rsidRDefault="005B67C8" w:rsidP="00374290">
      <w:pPr>
        <w:pStyle w:val="SCCNormalDoubleSpacing"/>
        <w:spacing w:before="480" w:after="480"/>
        <w:rPr>
          <w:i/>
          <w:lang w:val="fr-CA"/>
        </w:rPr>
      </w:pPr>
      <w:r w:rsidRPr="000E37EE">
        <w:rPr>
          <w:lang w:val="fr-CA"/>
        </w:rPr>
        <w:tab/>
      </w:r>
      <w:r w:rsidRPr="000E37EE">
        <w:rPr>
          <w:i/>
          <w:lang w:val="fr-CA"/>
        </w:rPr>
        <w:t xml:space="preserve">Pourvoi </w:t>
      </w:r>
      <w:r w:rsidR="004773E3" w:rsidRPr="000E37EE">
        <w:rPr>
          <w:i/>
          <w:lang w:val="fr-CA"/>
        </w:rPr>
        <w:t>rejeté avec dépens</w:t>
      </w:r>
      <w:r w:rsidRPr="000E37EE">
        <w:rPr>
          <w:i/>
          <w:lang w:val="fr-CA"/>
        </w:rPr>
        <w:t>.</w:t>
      </w:r>
    </w:p>
    <w:p w:rsidR="000C0729" w:rsidRPr="000E37EE" w:rsidRDefault="0051487A" w:rsidP="00374290">
      <w:pPr>
        <w:pStyle w:val="SCCLawFirm"/>
        <w:spacing w:before="480" w:after="480"/>
        <w:rPr>
          <w:lang w:val="fr-CA"/>
        </w:rPr>
      </w:pPr>
      <w:r w:rsidRPr="000E37EE">
        <w:rPr>
          <w:lang w:val="fr-CA"/>
        </w:rPr>
        <w:tab/>
        <w:t>Procureur</w:t>
      </w:r>
      <w:r w:rsidR="00333A21" w:rsidRPr="000E37EE">
        <w:rPr>
          <w:lang w:val="fr-CA"/>
        </w:rPr>
        <w:t>s de l</w:t>
      </w:r>
      <w:r w:rsidR="004E1DF1" w:rsidRPr="000E37EE">
        <w:rPr>
          <w:lang w:val="fr-CA"/>
        </w:rPr>
        <w:t>’</w:t>
      </w:r>
      <w:r w:rsidR="00333A21" w:rsidRPr="000E37EE">
        <w:rPr>
          <w:lang w:val="fr-CA"/>
        </w:rPr>
        <w:t>appelante</w:t>
      </w:r>
      <w:r w:rsidR="00FB7DE8" w:rsidRPr="000E37EE">
        <w:rPr>
          <w:lang w:val="fr-CA"/>
        </w:rPr>
        <w:t> </w:t>
      </w:r>
      <w:r w:rsidR="00374290" w:rsidRPr="000E37EE">
        <w:rPr>
          <w:lang w:val="fr-CA"/>
        </w:rPr>
        <w:t>: </w:t>
      </w:r>
      <w:r w:rsidR="00333A21" w:rsidRPr="000E37EE">
        <w:rPr>
          <w:lang w:val="fr-CA"/>
        </w:rPr>
        <w:t>Paquet Tellier, Saint</w:t>
      </w:r>
      <w:r w:rsidR="00FB7DE8" w:rsidRPr="000E37EE">
        <w:rPr>
          <w:lang w:val="fr-CA"/>
        </w:rPr>
        <w:noBreakHyphen/>
      </w:r>
      <w:r w:rsidR="00333A21" w:rsidRPr="000E37EE">
        <w:rPr>
          <w:lang w:val="fr-CA"/>
        </w:rPr>
        <w:t>Jérôme.</w:t>
      </w:r>
    </w:p>
    <w:p w:rsidR="000C0729" w:rsidRPr="000E37EE" w:rsidRDefault="00333A21" w:rsidP="00374290">
      <w:pPr>
        <w:pStyle w:val="SCCLawFirm"/>
        <w:spacing w:before="480" w:after="480"/>
        <w:rPr>
          <w:lang w:val="fr-CA"/>
        </w:rPr>
      </w:pPr>
      <w:r w:rsidRPr="000E37EE">
        <w:rPr>
          <w:lang w:val="fr-CA"/>
        </w:rPr>
        <w:tab/>
        <w:t>Procureurs de l</w:t>
      </w:r>
      <w:r w:rsidR="004E1DF1" w:rsidRPr="000E37EE">
        <w:rPr>
          <w:lang w:val="fr-CA"/>
        </w:rPr>
        <w:t>’</w:t>
      </w:r>
      <w:r w:rsidRPr="000E37EE">
        <w:rPr>
          <w:lang w:val="fr-CA"/>
        </w:rPr>
        <w:t>intimé</w:t>
      </w:r>
      <w:r w:rsidR="00FB7DE8" w:rsidRPr="000E37EE">
        <w:rPr>
          <w:lang w:val="fr-CA"/>
        </w:rPr>
        <w:t> </w:t>
      </w:r>
      <w:r w:rsidR="00374290" w:rsidRPr="000E37EE">
        <w:rPr>
          <w:lang w:val="fr-CA"/>
        </w:rPr>
        <w:t>: </w:t>
      </w:r>
      <w:r w:rsidRPr="000E37EE">
        <w:rPr>
          <w:lang w:val="fr-CA"/>
        </w:rPr>
        <w:t>Poudrier Bradet, Québec.</w:t>
      </w:r>
    </w:p>
    <w:p w:rsidR="0051487A" w:rsidRPr="000E37EE" w:rsidRDefault="0051487A" w:rsidP="00374290">
      <w:pPr>
        <w:pStyle w:val="SCCLawFirm"/>
        <w:spacing w:before="480" w:after="480"/>
        <w:rPr>
          <w:lang w:val="fr-CA"/>
        </w:rPr>
      </w:pPr>
      <w:r w:rsidRPr="000E37EE">
        <w:rPr>
          <w:lang w:val="fr-CA"/>
        </w:rPr>
        <w:tab/>
        <w:t>Procureur de l</w:t>
      </w:r>
      <w:r w:rsidR="004E1DF1" w:rsidRPr="000E37EE">
        <w:rPr>
          <w:lang w:val="fr-CA"/>
        </w:rPr>
        <w:t>’</w:t>
      </w:r>
      <w:r w:rsidRPr="000E37EE">
        <w:rPr>
          <w:lang w:val="fr-CA"/>
        </w:rPr>
        <w:t xml:space="preserve">intervenante </w:t>
      </w:r>
      <w:r w:rsidR="00963817" w:rsidRPr="000E37EE">
        <w:rPr>
          <w:lang w:val="fr-CA"/>
        </w:rPr>
        <w:t>la p</w:t>
      </w:r>
      <w:r w:rsidRPr="000E37EE">
        <w:rPr>
          <w:lang w:val="fr-CA"/>
        </w:rPr>
        <w:t>rocureure générale du Québec</w:t>
      </w:r>
      <w:r w:rsidR="00FB7DE8" w:rsidRPr="000E37EE">
        <w:rPr>
          <w:lang w:val="fr-CA"/>
        </w:rPr>
        <w:t> </w:t>
      </w:r>
      <w:r w:rsidR="00374290" w:rsidRPr="000E37EE">
        <w:rPr>
          <w:lang w:val="fr-CA"/>
        </w:rPr>
        <w:t>: </w:t>
      </w:r>
      <w:r w:rsidRPr="000E37EE">
        <w:rPr>
          <w:lang w:val="fr-CA"/>
        </w:rPr>
        <w:t>Procureure générale du Québec, Québec.</w:t>
      </w:r>
    </w:p>
    <w:p w:rsidR="000C0729" w:rsidRPr="000E37EE" w:rsidRDefault="00333A21" w:rsidP="00374290">
      <w:pPr>
        <w:pStyle w:val="SCCLawFirm"/>
        <w:spacing w:before="480" w:after="480"/>
        <w:rPr>
          <w:lang w:val="fr-CA"/>
        </w:rPr>
      </w:pPr>
      <w:r w:rsidRPr="000E37EE">
        <w:rPr>
          <w:lang w:val="fr-CA"/>
        </w:rPr>
        <w:tab/>
        <w:t>Procureur</w:t>
      </w:r>
      <w:r w:rsidR="00134544" w:rsidRPr="000E37EE">
        <w:rPr>
          <w:lang w:val="fr-CA"/>
        </w:rPr>
        <w:t>s</w:t>
      </w:r>
      <w:r w:rsidRPr="000E37EE">
        <w:rPr>
          <w:lang w:val="fr-CA"/>
        </w:rPr>
        <w:t xml:space="preserve"> de l</w:t>
      </w:r>
      <w:r w:rsidR="004E1DF1" w:rsidRPr="000E37EE">
        <w:rPr>
          <w:lang w:val="fr-CA"/>
        </w:rPr>
        <w:t>’</w:t>
      </w:r>
      <w:r w:rsidRPr="000E37EE">
        <w:rPr>
          <w:lang w:val="fr-CA"/>
        </w:rPr>
        <w:t xml:space="preserve">intervenant </w:t>
      </w:r>
      <w:r w:rsidR="00963817" w:rsidRPr="000E37EE">
        <w:rPr>
          <w:lang w:val="fr-CA"/>
        </w:rPr>
        <w:t xml:space="preserve">le </w:t>
      </w:r>
      <w:r w:rsidRPr="000E37EE">
        <w:rPr>
          <w:lang w:val="fr-CA"/>
        </w:rPr>
        <w:t>Tribunal administratif du travail (anciennement connu sous le nom de Commission des lésions professionnelles)</w:t>
      </w:r>
      <w:r w:rsidR="00FB7DE8" w:rsidRPr="000E37EE">
        <w:rPr>
          <w:lang w:val="fr-CA"/>
        </w:rPr>
        <w:t> </w:t>
      </w:r>
      <w:r w:rsidR="00374290" w:rsidRPr="000E37EE">
        <w:rPr>
          <w:lang w:val="fr-CA"/>
        </w:rPr>
        <w:t>: </w:t>
      </w:r>
      <w:r w:rsidRPr="000E37EE">
        <w:rPr>
          <w:lang w:val="fr-CA"/>
        </w:rPr>
        <w:t>Verge Bernier, Québec.</w:t>
      </w:r>
    </w:p>
    <w:p w:rsidR="000C0729" w:rsidRPr="000E37EE" w:rsidRDefault="00333A21" w:rsidP="00374290">
      <w:pPr>
        <w:pStyle w:val="SCCLawFirm"/>
        <w:spacing w:before="480" w:after="480"/>
        <w:rPr>
          <w:lang w:val="fr-CA"/>
        </w:rPr>
      </w:pPr>
      <w:r w:rsidRPr="000E37EE">
        <w:rPr>
          <w:lang w:val="fr-CA"/>
        </w:rPr>
        <w:lastRenderedPageBreak/>
        <w:tab/>
        <w:t>Procureurs de l</w:t>
      </w:r>
      <w:r w:rsidR="004E1DF1" w:rsidRPr="000E37EE">
        <w:rPr>
          <w:lang w:val="fr-CA"/>
        </w:rPr>
        <w:t>’</w:t>
      </w:r>
      <w:r w:rsidRPr="000E37EE">
        <w:rPr>
          <w:lang w:val="fr-CA"/>
        </w:rPr>
        <w:t>inter</w:t>
      </w:r>
      <w:r w:rsidR="004C4E51" w:rsidRPr="000E37EE">
        <w:rPr>
          <w:lang w:val="fr-CA"/>
        </w:rPr>
        <w:t>venant le</w:t>
      </w:r>
      <w:r w:rsidR="00504207" w:rsidRPr="000E37EE">
        <w:rPr>
          <w:lang w:val="fr-CA"/>
        </w:rPr>
        <w:t xml:space="preserve"> Centre Miriam</w:t>
      </w:r>
      <w:r w:rsidR="00FB7DE8" w:rsidRPr="000E37EE">
        <w:rPr>
          <w:lang w:val="fr-CA"/>
        </w:rPr>
        <w:t> </w:t>
      </w:r>
      <w:r w:rsidR="00374290" w:rsidRPr="000E37EE">
        <w:rPr>
          <w:lang w:val="fr-CA"/>
        </w:rPr>
        <w:t>: </w:t>
      </w:r>
      <w:r w:rsidR="00504207" w:rsidRPr="000E37EE">
        <w:rPr>
          <w:lang w:val="fr-CA"/>
        </w:rPr>
        <w:t>Monette</w:t>
      </w:r>
      <w:r w:rsidRPr="000E37EE">
        <w:rPr>
          <w:lang w:val="fr-CA"/>
        </w:rPr>
        <w:t xml:space="preserve"> Barakett, Montréal.</w:t>
      </w:r>
    </w:p>
    <w:p w:rsidR="000C0729" w:rsidRPr="000E37EE" w:rsidRDefault="00333A21" w:rsidP="00374290">
      <w:pPr>
        <w:pStyle w:val="SCCLawFirm"/>
        <w:spacing w:before="480" w:after="480"/>
        <w:rPr>
          <w:lang w:val="fr-CA"/>
        </w:rPr>
      </w:pPr>
      <w:r w:rsidRPr="000E37EE">
        <w:rPr>
          <w:lang w:val="fr-CA"/>
        </w:rPr>
        <w:tab/>
        <w:t>Procureurs de l</w:t>
      </w:r>
      <w:r w:rsidR="004E1DF1" w:rsidRPr="000E37EE">
        <w:rPr>
          <w:lang w:val="fr-CA"/>
        </w:rPr>
        <w:t>’</w:t>
      </w:r>
      <w:r w:rsidR="004C4E51" w:rsidRPr="000E37EE">
        <w:rPr>
          <w:lang w:val="fr-CA"/>
        </w:rPr>
        <w:t>intervenant</w:t>
      </w:r>
      <w:r w:rsidRPr="000E37EE">
        <w:rPr>
          <w:lang w:val="fr-CA"/>
        </w:rPr>
        <w:t xml:space="preserve"> </w:t>
      </w:r>
      <w:r w:rsidR="00963817" w:rsidRPr="000E37EE">
        <w:rPr>
          <w:lang w:val="fr-CA"/>
        </w:rPr>
        <w:t xml:space="preserve">le </w:t>
      </w:r>
      <w:r w:rsidRPr="000E37EE">
        <w:rPr>
          <w:lang w:val="fr-CA"/>
        </w:rPr>
        <w:t>Conseil du patronat du Québec inc.</w:t>
      </w:r>
      <w:r w:rsidR="00FB7DE8" w:rsidRPr="000E37EE">
        <w:rPr>
          <w:lang w:val="fr-CA"/>
        </w:rPr>
        <w:t> </w:t>
      </w:r>
      <w:r w:rsidR="00374290" w:rsidRPr="000E37EE">
        <w:rPr>
          <w:lang w:val="fr-CA"/>
        </w:rPr>
        <w:t>: </w:t>
      </w:r>
      <w:r w:rsidRPr="000E37EE">
        <w:rPr>
          <w:lang w:val="fr-CA"/>
        </w:rPr>
        <w:t>Loranger Marcoux, Montréal.</w:t>
      </w:r>
    </w:p>
    <w:p w:rsidR="000C0729" w:rsidRPr="000E37EE" w:rsidRDefault="00333A21" w:rsidP="00374290">
      <w:pPr>
        <w:pStyle w:val="SCCLawFirm"/>
        <w:spacing w:before="480" w:after="480"/>
      </w:pPr>
      <w:r w:rsidRPr="000E37EE">
        <w:rPr>
          <w:lang w:val="fr-CA"/>
        </w:rPr>
        <w:tab/>
      </w:r>
      <w:r w:rsidR="00963817" w:rsidRPr="000E37EE">
        <w:t>Procureur</w:t>
      </w:r>
      <w:r w:rsidRPr="000E37EE">
        <w:t xml:space="preserve"> de</w:t>
      </w:r>
      <w:r w:rsidR="00134544" w:rsidRPr="000E37EE">
        <w:t>s</w:t>
      </w:r>
      <w:r w:rsidRPr="000E37EE">
        <w:t xml:space="preserve"> intervenant</w:t>
      </w:r>
      <w:r w:rsidR="00134544" w:rsidRPr="000E37EE">
        <w:t>s</w:t>
      </w:r>
      <w:r w:rsidRPr="000E37EE">
        <w:t xml:space="preserve"> Ontario Networ</w:t>
      </w:r>
      <w:r w:rsidR="00134544" w:rsidRPr="000E37EE">
        <w:t>k of Injured Workers</w:t>
      </w:r>
      <w:r w:rsidR="004E1DF1" w:rsidRPr="000E37EE">
        <w:t>’</w:t>
      </w:r>
      <w:r w:rsidR="00134544" w:rsidRPr="000E37EE">
        <w:t xml:space="preserve"> Groups et Industrial Accident Victims</w:t>
      </w:r>
      <w:r w:rsidR="004E1DF1" w:rsidRPr="000E37EE">
        <w:t>’</w:t>
      </w:r>
      <w:r w:rsidR="00134544" w:rsidRPr="000E37EE">
        <w:t xml:space="preserve"> Group of Ontario</w:t>
      </w:r>
      <w:r w:rsidR="00FB7DE8" w:rsidRPr="000E37EE">
        <w:t> </w:t>
      </w:r>
      <w:r w:rsidR="00374290" w:rsidRPr="000E37EE">
        <w:t>: </w:t>
      </w:r>
      <w:r w:rsidR="00134544" w:rsidRPr="000E37EE">
        <w:t>I</w:t>
      </w:r>
      <w:r w:rsidRPr="000E37EE">
        <w:t>AVGO Community Legal Clinic, Toronto.</w:t>
      </w:r>
    </w:p>
    <w:p w:rsidR="000C0729" w:rsidRPr="000E37EE" w:rsidRDefault="00333A21" w:rsidP="00374290">
      <w:pPr>
        <w:pStyle w:val="SCCLawFirm"/>
        <w:spacing w:before="480" w:after="480"/>
        <w:rPr>
          <w:lang w:val="fr-CA"/>
        </w:rPr>
      </w:pPr>
      <w:r w:rsidRPr="000E37EE">
        <w:tab/>
      </w:r>
      <w:r w:rsidR="00134544" w:rsidRPr="000E37EE">
        <w:rPr>
          <w:lang w:val="fr-CA"/>
        </w:rPr>
        <w:t>Procureur</w:t>
      </w:r>
      <w:r w:rsidRPr="000E37EE">
        <w:rPr>
          <w:lang w:val="fr-CA"/>
        </w:rPr>
        <w:t>s de l</w:t>
      </w:r>
      <w:r w:rsidR="004E1DF1" w:rsidRPr="000E37EE">
        <w:rPr>
          <w:lang w:val="fr-CA"/>
        </w:rPr>
        <w:t>’</w:t>
      </w:r>
      <w:r w:rsidRPr="000E37EE">
        <w:rPr>
          <w:lang w:val="fr-CA"/>
        </w:rPr>
        <w:t xml:space="preserve">intervenante </w:t>
      </w:r>
      <w:r w:rsidR="00963817" w:rsidRPr="000E37EE">
        <w:rPr>
          <w:lang w:val="fr-CA"/>
        </w:rPr>
        <w:t xml:space="preserve">la </w:t>
      </w:r>
      <w:r w:rsidRPr="000E37EE">
        <w:rPr>
          <w:lang w:val="fr-CA"/>
        </w:rPr>
        <w:t>Centrale des syndicats du Québec</w:t>
      </w:r>
      <w:r w:rsidR="00FB7DE8" w:rsidRPr="000E37EE">
        <w:rPr>
          <w:lang w:val="fr-CA"/>
        </w:rPr>
        <w:t> </w:t>
      </w:r>
      <w:r w:rsidR="00374290" w:rsidRPr="000E37EE">
        <w:rPr>
          <w:lang w:val="fr-CA"/>
        </w:rPr>
        <w:t>: </w:t>
      </w:r>
      <w:r w:rsidRPr="000E37EE">
        <w:rPr>
          <w:lang w:val="fr-CA"/>
        </w:rPr>
        <w:t>Barabé Casavant, Montréal.</w:t>
      </w:r>
    </w:p>
    <w:p w:rsidR="009B57B3" w:rsidRPr="000E37EE" w:rsidRDefault="00333A21" w:rsidP="0036597E">
      <w:pPr>
        <w:pStyle w:val="SCCLawFirm"/>
        <w:rPr>
          <w:lang w:val="fr-CA"/>
        </w:rPr>
      </w:pPr>
      <w:r w:rsidRPr="000E37EE">
        <w:rPr>
          <w:lang w:val="fr-CA"/>
        </w:rPr>
        <w:tab/>
        <w:t>Procureur de l</w:t>
      </w:r>
      <w:r w:rsidR="004E1DF1" w:rsidRPr="000E37EE">
        <w:rPr>
          <w:lang w:val="fr-CA"/>
        </w:rPr>
        <w:t>’</w:t>
      </w:r>
      <w:r w:rsidRPr="000E37EE">
        <w:rPr>
          <w:lang w:val="fr-CA"/>
        </w:rPr>
        <w:t>intervenant</w:t>
      </w:r>
      <w:r w:rsidR="00963817" w:rsidRPr="000E37EE">
        <w:rPr>
          <w:lang w:val="fr-CA"/>
        </w:rPr>
        <w:t xml:space="preserve"> le</w:t>
      </w:r>
      <w:r w:rsidRPr="000E37EE">
        <w:rPr>
          <w:lang w:val="fr-CA"/>
        </w:rPr>
        <w:t xml:space="preserve"> Syndicat canadien de la fonction publique</w:t>
      </w:r>
      <w:r w:rsidR="00FB7DE8" w:rsidRPr="000E37EE">
        <w:rPr>
          <w:lang w:val="fr-CA"/>
        </w:rPr>
        <w:t> </w:t>
      </w:r>
      <w:r w:rsidR="00374290" w:rsidRPr="000E37EE">
        <w:rPr>
          <w:lang w:val="fr-CA"/>
        </w:rPr>
        <w:t>: </w:t>
      </w:r>
      <w:r w:rsidRPr="000E37EE">
        <w:rPr>
          <w:lang w:val="fr-CA"/>
        </w:rPr>
        <w:t>Syndicat canadien de la fonction publique, Montréal</w:t>
      </w:r>
      <w:r w:rsidR="0036597E" w:rsidRPr="000E37EE">
        <w:rPr>
          <w:lang w:val="fr-CA"/>
        </w:rPr>
        <w:t>.</w:t>
      </w:r>
    </w:p>
    <w:sectPr w:rsidR="009B57B3" w:rsidRPr="000E37EE"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1D" w:rsidRDefault="00C2411D">
      <w:r>
        <w:separator/>
      </w:r>
    </w:p>
  </w:endnote>
  <w:endnote w:type="continuationSeparator" w:id="0">
    <w:p w:rsidR="00C2411D" w:rsidRDefault="00C2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1D" w:rsidRDefault="00C24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1D" w:rsidRDefault="00C24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1D" w:rsidRDefault="00C24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1D" w:rsidRDefault="00C2411D">
      <w:r>
        <w:separator/>
      </w:r>
    </w:p>
  </w:footnote>
  <w:footnote w:type="continuationSeparator" w:id="0">
    <w:p w:rsidR="00C2411D" w:rsidRDefault="00C2411D">
      <w:r>
        <w:continuationSeparator/>
      </w:r>
    </w:p>
  </w:footnote>
  <w:footnote w:id="1">
    <w:p w:rsidR="00C2411D" w:rsidRPr="00B707B6" w:rsidRDefault="00C2411D" w:rsidP="00B707B6">
      <w:pPr>
        <w:pStyle w:val="FootnoteText"/>
        <w:rPr>
          <w:b/>
          <w:lang w:val="fr-CA"/>
        </w:rPr>
      </w:pPr>
      <w:r w:rsidRPr="00B707B6">
        <w:rPr>
          <w:rStyle w:val="FootnoteReference"/>
          <w:lang w:val="fr-CA"/>
        </w:rPr>
        <w:footnoteRef/>
      </w:r>
      <w:r w:rsidRPr="00B707B6">
        <w:rPr>
          <w:lang w:val="fr-CA"/>
        </w:rPr>
        <w:t xml:space="preserve"> </w:t>
      </w:r>
      <w:r w:rsidRPr="00B707B6">
        <w:rPr>
          <w:lang w:val="fr-CA"/>
        </w:rPr>
        <w:tab/>
        <w:t>RLRQ, c. A</w:t>
      </w:r>
      <w:r w:rsidRPr="00B707B6">
        <w:rPr>
          <w:lang w:val="fr-CA"/>
        </w:rPr>
        <w:noBreakHyphen/>
        <w:t xml:space="preserve">3.001. Le présent litige est antérieur aux modifications apportées à la </w:t>
      </w:r>
      <w:r w:rsidRPr="00B707B6">
        <w:rPr>
          <w:i/>
          <w:lang w:val="fr-CA"/>
        </w:rPr>
        <w:t>Loi</w:t>
      </w:r>
      <w:r w:rsidRPr="00B707B6">
        <w:rPr>
          <w:lang w:val="fr-CA"/>
        </w:rPr>
        <w:t>, lesquelles sont entrées en vigueur le 1</w:t>
      </w:r>
      <w:r w:rsidRPr="00B707B6">
        <w:rPr>
          <w:vertAlign w:val="superscript"/>
          <w:lang w:val="fr-CA"/>
        </w:rPr>
        <w:t>er</w:t>
      </w:r>
      <w:r w:rsidRPr="00B707B6">
        <w:rPr>
          <w:lang w:val="fr-CA"/>
        </w:rPr>
        <w:t xml:space="preserve"> janvier 2016. Par suite de ces modifications, la </w:t>
      </w:r>
      <w:r w:rsidRPr="00B707B6">
        <w:rPr>
          <w:rStyle w:val="ParaNoNdepar-AltNChar"/>
          <w:sz w:val="20"/>
          <w:szCs w:val="20"/>
          <w:lang w:val="fr-CA"/>
        </w:rPr>
        <w:t>Commission de la santé et de</w:t>
      </w:r>
      <w:r w:rsidRPr="00B707B6">
        <w:rPr>
          <w:rStyle w:val="ParaNoNdepar-AltNChar"/>
          <w:i/>
          <w:sz w:val="20"/>
          <w:szCs w:val="20"/>
          <w:lang w:val="fr-CA"/>
        </w:rPr>
        <w:t xml:space="preserve"> </w:t>
      </w:r>
      <w:r w:rsidRPr="00B707B6">
        <w:rPr>
          <w:rStyle w:val="ParaNoNdepar-AltNChar"/>
          <w:sz w:val="20"/>
          <w:szCs w:val="20"/>
          <w:lang w:val="fr-CA"/>
        </w:rPr>
        <w:t>la sécurité du travail (« CSST ») a été remplacée par la Commission des normes, de l’équité, de la santé et de la sécurité du travail (« CNESST »),</w:t>
      </w:r>
      <w:r w:rsidRPr="00B707B6">
        <w:rPr>
          <w:rStyle w:val="ParaNoNdepar-AltNChar"/>
          <w:i/>
          <w:sz w:val="20"/>
          <w:szCs w:val="20"/>
          <w:lang w:val="fr-CA"/>
        </w:rPr>
        <w:t xml:space="preserve"> </w:t>
      </w:r>
      <w:r w:rsidRPr="00B707B6">
        <w:rPr>
          <w:rStyle w:val="ParaNoNdepar-AltNChar"/>
          <w:sz w:val="20"/>
          <w:szCs w:val="20"/>
          <w:lang w:val="fr-CA"/>
        </w:rPr>
        <w:t>et la Commission des lésions professionnelles (« CLP ») a été remplacée par le Tribunal administratif du travail (« TAT »),</w:t>
      </w:r>
      <w:r w:rsidRPr="00B707B6">
        <w:rPr>
          <w:rStyle w:val="ParaNoNdepar-AltNChar"/>
          <w:i/>
          <w:sz w:val="20"/>
          <w:szCs w:val="20"/>
          <w:lang w:val="fr-CA"/>
        </w:rPr>
        <w:t xml:space="preserve"> </w:t>
      </w:r>
      <w:r w:rsidRPr="00B707B6">
        <w:rPr>
          <w:rStyle w:val="ParaNoNdepar-AltNChar"/>
          <w:sz w:val="20"/>
          <w:szCs w:val="20"/>
          <w:lang w:val="fr-CA"/>
        </w:rPr>
        <w:t>division de la santé et de la sécurité du travail. Le rôle de ces organismes n’a pas changé substantiellement. Les acronymes CSST et CLP sont utilisés tout au long des présents motifs, et les dispositions dont on fait état dans ceux</w:t>
      </w:r>
      <w:r w:rsidRPr="00B707B6">
        <w:rPr>
          <w:rStyle w:val="ParaNoNdepar-AltNChar"/>
          <w:sz w:val="20"/>
          <w:szCs w:val="20"/>
          <w:lang w:val="fr-CA"/>
        </w:rPr>
        <w:noBreakHyphen/>
        <w:t xml:space="preserve">ci sont celles de la </w:t>
      </w:r>
      <w:r w:rsidRPr="00B707B6">
        <w:rPr>
          <w:rStyle w:val="ParaNoNdepar-AltNChar"/>
          <w:i/>
          <w:sz w:val="20"/>
          <w:szCs w:val="20"/>
          <w:lang w:val="fr-CA"/>
        </w:rPr>
        <w:t>Loi</w:t>
      </w:r>
      <w:r w:rsidRPr="00B707B6">
        <w:rPr>
          <w:rStyle w:val="ParaNoNdepar-AltNChar"/>
          <w:sz w:val="20"/>
          <w:szCs w:val="20"/>
          <w:lang w:val="fr-CA"/>
        </w:rPr>
        <w:t xml:space="preserve"> en vigueur à la date de la décision de la CLP. </w:t>
      </w:r>
      <w:r w:rsidRPr="00B707B6">
        <w:rPr>
          <w:lang w:val="fr-CA"/>
        </w:rPr>
        <w:t>Lorsque les dispositions mentionnées n’existent plus, les motifs renvoient aux dispositions actuelles pour tenir compte des modifications entrées en vigueur en 2016.</w:t>
      </w:r>
      <w:r w:rsidRPr="00B707B6">
        <w:rPr>
          <w:b/>
          <w:lang w:val="fr-CA"/>
        </w:rPr>
        <w:t xml:space="preserve"> </w:t>
      </w:r>
    </w:p>
  </w:footnote>
  <w:footnote w:id="2">
    <w:p w:rsidR="00C2411D" w:rsidRPr="00B707B6" w:rsidRDefault="00C2411D" w:rsidP="00B707B6">
      <w:pPr>
        <w:pStyle w:val="FootnoteText"/>
        <w:rPr>
          <w:lang w:val="fr-CA"/>
        </w:rPr>
      </w:pPr>
      <w:r w:rsidRPr="00B707B6">
        <w:rPr>
          <w:rStyle w:val="FootnoteReference"/>
          <w:lang w:val="fr-CA"/>
        </w:rPr>
        <w:footnoteRef/>
      </w:r>
      <w:r w:rsidRPr="00B707B6">
        <w:rPr>
          <w:lang w:val="fr-CA"/>
        </w:rPr>
        <w:t xml:space="preserve"> </w:t>
      </w:r>
      <w:r>
        <w:rPr>
          <w:lang w:val="fr-CA"/>
        </w:rPr>
        <w:tab/>
        <w:t>Articles</w:t>
      </w:r>
      <w:r w:rsidRPr="00B707B6">
        <w:rPr>
          <w:lang w:val="fr-CA"/>
        </w:rPr>
        <w:t xml:space="preserve"> 236 et 240 de la </w:t>
      </w:r>
      <w:r w:rsidRPr="00B707B6">
        <w:rPr>
          <w:i/>
          <w:lang w:val="fr-CA"/>
        </w:rPr>
        <w:t>Loi</w:t>
      </w:r>
      <w:r w:rsidRPr="00B707B6">
        <w:rPr>
          <w:lang w:val="fr-CA"/>
        </w:rPr>
        <w:t xml:space="preserve">. </w:t>
      </w:r>
    </w:p>
  </w:footnote>
  <w:footnote w:id="3">
    <w:p w:rsidR="00C2411D" w:rsidRPr="00B707B6" w:rsidRDefault="00C2411D" w:rsidP="00730DBB">
      <w:pPr>
        <w:pStyle w:val="FootnoteText"/>
        <w:rPr>
          <w:lang w:val="fr-CA"/>
        </w:rPr>
      </w:pPr>
      <w:r w:rsidRPr="00B707B6">
        <w:rPr>
          <w:rStyle w:val="FootnoteReference"/>
          <w:lang w:val="fr-CA"/>
        </w:rPr>
        <w:footnoteRef/>
      </w:r>
      <w:r w:rsidRPr="00B707B6">
        <w:rPr>
          <w:lang w:val="fr-CA"/>
        </w:rPr>
        <w:t xml:space="preserve"> </w:t>
      </w:r>
      <w:r>
        <w:rPr>
          <w:lang w:val="fr-CA"/>
        </w:rPr>
        <w:tab/>
        <w:t>Articles</w:t>
      </w:r>
      <w:r w:rsidRPr="00B707B6">
        <w:rPr>
          <w:lang w:val="fr-CA"/>
        </w:rPr>
        <w:t xml:space="preserve"> 239 et 240 de la </w:t>
      </w:r>
      <w:r w:rsidRPr="00B707B6">
        <w:rPr>
          <w:i/>
          <w:lang w:val="fr-CA"/>
        </w:rPr>
        <w:t>Loi</w:t>
      </w:r>
      <w:r w:rsidRPr="00B707B6">
        <w:rPr>
          <w:lang w:val="fr-CA"/>
        </w:rPr>
        <w:t>.</w:t>
      </w:r>
    </w:p>
  </w:footnote>
  <w:footnote w:id="4">
    <w:p w:rsidR="00C2411D" w:rsidRPr="00B707B6" w:rsidRDefault="00C2411D" w:rsidP="00730DBB">
      <w:pPr>
        <w:pStyle w:val="FootnoteText"/>
        <w:spacing w:after="120"/>
        <w:rPr>
          <w:lang w:val="fr-CA"/>
        </w:rPr>
      </w:pPr>
      <w:r w:rsidRPr="001D5908">
        <w:rPr>
          <w:rStyle w:val="FootnoteReference"/>
          <w:lang w:val="fr-CA"/>
        </w:rPr>
        <w:footnoteRef/>
      </w:r>
      <w:r w:rsidRPr="001D5908">
        <w:rPr>
          <w:lang w:val="fr-CA"/>
        </w:rPr>
        <w:t xml:space="preserve"> </w:t>
      </w:r>
      <w:r>
        <w:rPr>
          <w:lang w:val="fr-CA"/>
        </w:rPr>
        <w:tab/>
      </w:r>
      <w:r w:rsidRPr="00B707B6">
        <w:rPr>
          <w:lang w:val="fr-CA"/>
        </w:rPr>
        <w:t xml:space="preserve">Comme il a été mentionné précédemment, les modifications apportées à la </w:t>
      </w:r>
      <w:r w:rsidRPr="00B707B6">
        <w:rPr>
          <w:i/>
          <w:lang w:val="fr-CA"/>
        </w:rPr>
        <w:t>Loi</w:t>
      </w:r>
      <w:r w:rsidRPr="00B707B6">
        <w:rPr>
          <w:lang w:val="fr-CA"/>
        </w:rPr>
        <w:t xml:space="preserve"> sont entrées en vigueur le 1</w:t>
      </w:r>
      <w:r w:rsidRPr="00B707B6">
        <w:rPr>
          <w:vertAlign w:val="superscript"/>
          <w:lang w:val="fr-CA"/>
        </w:rPr>
        <w:t>er</w:t>
      </w:r>
      <w:r w:rsidRPr="00B707B6">
        <w:rPr>
          <w:lang w:val="fr-CA"/>
        </w:rPr>
        <w:t xml:space="preserve"> janvier </w:t>
      </w:r>
      <w:r w:rsidRPr="00B707B6">
        <w:rPr>
          <w:rStyle w:val="ParaNoNdepar-AltNChar"/>
          <w:sz w:val="20"/>
          <w:szCs w:val="20"/>
          <w:lang w:val="fr-CA"/>
        </w:rPr>
        <w:t>2016. La CSST a été remplacée par la CNESST,</w:t>
      </w:r>
      <w:r w:rsidRPr="00B707B6">
        <w:rPr>
          <w:rStyle w:val="ParaNoNdepar-AltNChar"/>
          <w:i/>
          <w:sz w:val="20"/>
          <w:szCs w:val="20"/>
          <w:lang w:val="fr-CA"/>
        </w:rPr>
        <w:t xml:space="preserve"> </w:t>
      </w:r>
      <w:r w:rsidRPr="00B707B6">
        <w:rPr>
          <w:rStyle w:val="ParaNoNdepar-AltNChar"/>
          <w:sz w:val="20"/>
          <w:szCs w:val="20"/>
          <w:lang w:val="fr-CA"/>
        </w:rPr>
        <w:t>et la CLP a été remplacée par le TAT,</w:t>
      </w:r>
      <w:r w:rsidRPr="00B707B6">
        <w:rPr>
          <w:rStyle w:val="ParaNoNdepar-AltNChar"/>
          <w:i/>
          <w:sz w:val="20"/>
          <w:szCs w:val="20"/>
          <w:lang w:val="fr-CA"/>
        </w:rPr>
        <w:t xml:space="preserve"> </w:t>
      </w:r>
      <w:r w:rsidRPr="00B707B6">
        <w:rPr>
          <w:rStyle w:val="ParaNoNdepar-AltNChar"/>
          <w:sz w:val="20"/>
          <w:szCs w:val="20"/>
          <w:lang w:val="fr-CA"/>
        </w:rPr>
        <w:t>division de la santé et de la sécurité du travail. Bien que le nom de ces organisations ait changé, le rôle de celles</w:t>
      </w:r>
      <w:r w:rsidRPr="00B707B6">
        <w:rPr>
          <w:rStyle w:val="ParaNoNdepar-AltNChar"/>
          <w:sz w:val="20"/>
          <w:szCs w:val="20"/>
          <w:lang w:val="fr-CA"/>
        </w:rPr>
        <w:noBreakHyphen/>
        <w:t>ci est resté substantiellement le même.</w:t>
      </w:r>
    </w:p>
  </w:footnote>
  <w:footnote w:id="5">
    <w:p w:rsidR="00C2411D" w:rsidRPr="00B707B6" w:rsidRDefault="00C2411D" w:rsidP="00730DBB">
      <w:pPr>
        <w:pStyle w:val="FootnoteText"/>
        <w:spacing w:after="120"/>
        <w:rPr>
          <w:lang w:val="fr-CA"/>
        </w:rPr>
      </w:pPr>
      <w:r w:rsidRPr="00B707B6">
        <w:rPr>
          <w:rStyle w:val="FootnoteReference"/>
          <w:lang w:val="fr-CA"/>
        </w:rPr>
        <w:footnoteRef/>
      </w:r>
      <w:r w:rsidRPr="00B707B6">
        <w:rPr>
          <w:lang w:val="fr-CA"/>
        </w:rPr>
        <w:t xml:space="preserve"> </w:t>
      </w:r>
      <w:r w:rsidRPr="00B707B6">
        <w:rPr>
          <w:lang w:val="fr-CA"/>
        </w:rPr>
        <w:tab/>
      </w:r>
      <w:r>
        <w:rPr>
          <w:lang w:val="fr-CA"/>
        </w:rPr>
        <w:t>Article</w:t>
      </w:r>
      <w:r w:rsidRPr="00B707B6">
        <w:rPr>
          <w:lang w:val="fr-CA"/>
        </w:rPr>
        <w:t> 349.</w:t>
      </w:r>
    </w:p>
  </w:footnote>
  <w:footnote w:id="6">
    <w:p w:rsidR="00C2411D" w:rsidRPr="00B707B6" w:rsidRDefault="00C2411D" w:rsidP="00B707B6">
      <w:pPr>
        <w:pStyle w:val="FootnoteText"/>
        <w:tabs>
          <w:tab w:val="clear" w:pos="180"/>
          <w:tab w:val="left" w:pos="270"/>
        </w:tabs>
        <w:ind w:left="270" w:hanging="270"/>
        <w:rPr>
          <w:lang w:val="fr-CA"/>
        </w:rPr>
      </w:pPr>
      <w:r w:rsidRPr="00B707B6">
        <w:rPr>
          <w:rStyle w:val="FootnoteReference"/>
          <w:lang w:val="fr-CA"/>
        </w:rPr>
        <w:footnoteRef/>
      </w:r>
      <w:r w:rsidRPr="00B707B6">
        <w:rPr>
          <w:lang w:val="fr-CA"/>
        </w:rPr>
        <w:t xml:space="preserve"> </w:t>
      </w:r>
      <w:r w:rsidRPr="00B707B6">
        <w:rPr>
          <w:lang w:val="fr-CA"/>
        </w:rPr>
        <w:tab/>
      </w:r>
      <w:r>
        <w:rPr>
          <w:lang w:val="fr-CA"/>
        </w:rPr>
        <w:t>Article</w:t>
      </w:r>
      <w:r w:rsidRPr="00B707B6">
        <w:rPr>
          <w:lang w:val="fr-CA"/>
        </w:rPr>
        <w:t> </w:t>
      </w:r>
      <w:r w:rsidRPr="00B707B6">
        <w:rPr>
          <w:color w:val="000000" w:themeColor="text1"/>
          <w:lang w:val="fr-CA"/>
        </w:rPr>
        <w:t xml:space="preserve">351, </w:t>
      </w:r>
      <w:r>
        <w:rPr>
          <w:color w:val="000000" w:themeColor="text1"/>
          <w:lang w:val="fr-CA"/>
        </w:rPr>
        <w:t>al</w:t>
      </w:r>
      <w:r w:rsidRPr="00B707B6">
        <w:rPr>
          <w:color w:val="000000" w:themeColor="text1"/>
          <w:lang w:val="fr-CA"/>
        </w:rPr>
        <w:t>. 1.</w:t>
      </w:r>
    </w:p>
  </w:footnote>
  <w:footnote w:id="7">
    <w:p w:rsidR="00C2411D" w:rsidRPr="00B707B6" w:rsidRDefault="00C2411D" w:rsidP="00B707B6">
      <w:pPr>
        <w:pStyle w:val="FootnoteText"/>
        <w:tabs>
          <w:tab w:val="clear" w:pos="180"/>
          <w:tab w:val="left" w:pos="270"/>
        </w:tabs>
        <w:ind w:left="270" w:hanging="270"/>
        <w:rPr>
          <w:lang w:val="fr-CA"/>
        </w:rPr>
      </w:pPr>
      <w:r w:rsidRPr="00B707B6">
        <w:rPr>
          <w:rStyle w:val="FootnoteReference"/>
          <w:lang w:val="fr-CA"/>
        </w:rPr>
        <w:footnoteRef/>
      </w:r>
      <w:r w:rsidRPr="00B707B6">
        <w:rPr>
          <w:lang w:val="fr-CA"/>
        </w:rPr>
        <w:t xml:space="preserve"> </w:t>
      </w:r>
      <w:r>
        <w:rPr>
          <w:lang w:val="fr-CA"/>
        </w:rPr>
        <w:tab/>
        <w:t>Article</w:t>
      </w:r>
      <w:r w:rsidRPr="00B707B6">
        <w:rPr>
          <w:lang w:val="fr-CA"/>
        </w:rPr>
        <w:t> </w:t>
      </w:r>
      <w:r w:rsidRPr="00B707B6">
        <w:rPr>
          <w:color w:val="000000" w:themeColor="text1"/>
          <w:lang w:val="fr-CA"/>
        </w:rPr>
        <w:t>358</w:t>
      </w:r>
      <w:r w:rsidRPr="00B707B6">
        <w:rPr>
          <w:lang w:val="fr-CA"/>
        </w:rPr>
        <w:t>.</w:t>
      </w:r>
    </w:p>
  </w:footnote>
  <w:footnote w:id="8">
    <w:p w:rsidR="00C2411D" w:rsidRPr="00B707B6" w:rsidRDefault="00C2411D" w:rsidP="00B707B6">
      <w:pPr>
        <w:pStyle w:val="FootnoteText"/>
        <w:tabs>
          <w:tab w:val="clear" w:pos="180"/>
          <w:tab w:val="left" w:pos="270"/>
        </w:tabs>
        <w:ind w:left="270" w:hanging="270"/>
        <w:rPr>
          <w:lang w:val="fr-CA"/>
        </w:rPr>
      </w:pPr>
      <w:r w:rsidRPr="00B707B6">
        <w:rPr>
          <w:rStyle w:val="FootnoteReference"/>
          <w:lang w:val="fr-CA"/>
        </w:rPr>
        <w:footnoteRef/>
      </w:r>
      <w:r w:rsidRPr="00B707B6">
        <w:rPr>
          <w:lang w:val="fr-CA"/>
        </w:rPr>
        <w:t xml:space="preserve"> </w:t>
      </w:r>
      <w:r>
        <w:rPr>
          <w:lang w:val="fr-CA"/>
        </w:rPr>
        <w:tab/>
        <w:t>Article </w:t>
      </w:r>
      <w:r w:rsidRPr="00B707B6">
        <w:rPr>
          <w:lang w:val="fr-CA"/>
        </w:rPr>
        <w:t xml:space="preserve">359. </w:t>
      </w:r>
    </w:p>
  </w:footnote>
  <w:footnote w:id="9">
    <w:p w:rsidR="00C2411D" w:rsidRPr="00B707B6" w:rsidRDefault="00C2411D" w:rsidP="00B707B6">
      <w:pPr>
        <w:pStyle w:val="FootnoteText"/>
        <w:tabs>
          <w:tab w:val="clear" w:pos="180"/>
          <w:tab w:val="left" w:pos="270"/>
        </w:tabs>
        <w:ind w:left="270" w:hanging="270"/>
        <w:rPr>
          <w:lang w:val="fr-CA"/>
        </w:rPr>
      </w:pPr>
      <w:r w:rsidRPr="00B707B6">
        <w:rPr>
          <w:rStyle w:val="FootnoteReference"/>
          <w:lang w:val="fr-CA"/>
        </w:rPr>
        <w:footnoteRef/>
      </w:r>
      <w:r w:rsidRPr="00B707B6">
        <w:rPr>
          <w:lang w:val="fr-CA"/>
        </w:rPr>
        <w:t xml:space="preserve"> </w:t>
      </w:r>
      <w:r>
        <w:rPr>
          <w:lang w:val="fr-CA"/>
        </w:rPr>
        <w:tab/>
        <w:t>Article</w:t>
      </w:r>
      <w:r w:rsidRPr="00B707B6">
        <w:rPr>
          <w:lang w:val="fr-CA"/>
        </w:rPr>
        <w:t> </w:t>
      </w:r>
      <w:r w:rsidRPr="00B707B6">
        <w:rPr>
          <w:color w:val="000000" w:themeColor="text1"/>
          <w:lang w:val="fr-CA"/>
        </w:rPr>
        <w:t>369</w:t>
      </w:r>
      <w:r w:rsidRPr="00B707B6">
        <w:rPr>
          <w:lang w:val="fr-CA"/>
        </w:rPr>
        <w:t xml:space="preserve"> (</w:t>
      </w:r>
      <w:r w:rsidRPr="00B707B6">
        <w:rPr>
          <w:rStyle w:val="ParaNoNdepar-AltNChar"/>
          <w:sz w:val="20"/>
          <w:szCs w:val="20"/>
          <w:lang w:val="fr-CA"/>
        </w:rPr>
        <w:t>maintenant</w:t>
      </w:r>
      <w:r w:rsidRPr="00B707B6">
        <w:rPr>
          <w:lang w:val="fr-CA"/>
        </w:rPr>
        <w:t xml:space="preserve"> abrogé). Voir la </w:t>
      </w:r>
      <w:r w:rsidRPr="00B707B6">
        <w:rPr>
          <w:i/>
          <w:lang w:val="fr-CA"/>
        </w:rPr>
        <w:t>Loi instituant le Tribunal administratif du travail</w:t>
      </w:r>
      <w:r>
        <w:rPr>
          <w:lang w:val="fr-CA"/>
        </w:rPr>
        <w:t>, RLRQ</w:t>
      </w:r>
      <w:r w:rsidR="008A1CF0">
        <w:rPr>
          <w:lang w:val="fr-CA"/>
        </w:rPr>
        <w:t>,</w:t>
      </w:r>
      <w:r>
        <w:rPr>
          <w:lang w:val="fr-CA"/>
        </w:rPr>
        <w:t xml:space="preserve"> c. T-</w:t>
      </w:r>
      <w:r w:rsidRPr="00B707B6">
        <w:rPr>
          <w:lang w:val="fr-CA"/>
        </w:rPr>
        <w:t xml:space="preserve">15.1, art. 1, </w:t>
      </w:r>
      <w:r>
        <w:rPr>
          <w:lang w:val="fr-CA"/>
        </w:rPr>
        <w:t>al</w:t>
      </w:r>
      <w:r w:rsidR="008A1CF0">
        <w:rPr>
          <w:lang w:val="fr-CA"/>
        </w:rPr>
        <w:t>. 2, et art. 6.</w:t>
      </w:r>
    </w:p>
  </w:footnote>
  <w:footnote w:id="10">
    <w:p w:rsidR="00C2411D" w:rsidRPr="00B707B6" w:rsidRDefault="00C2411D" w:rsidP="00B707B6">
      <w:pPr>
        <w:pStyle w:val="FootnoteText"/>
        <w:tabs>
          <w:tab w:val="clear" w:pos="180"/>
          <w:tab w:val="left" w:pos="270"/>
        </w:tabs>
        <w:ind w:left="270" w:hanging="270"/>
        <w:rPr>
          <w:lang w:val="fr-CA"/>
        </w:rPr>
      </w:pPr>
      <w:r w:rsidRPr="00B707B6">
        <w:rPr>
          <w:rStyle w:val="FootnoteReference"/>
          <w:lang w:val="fr-CA"/>
        </w:rPr>
        <w:footnoteRef/>
      </w:r>
      <w:r w:rsidRPr="00B707B6">
        <w:rPr>
          <w:lang w:val="fr-CA"/>
        </w:rPr>
        <w:t xml:space="preserve"> </w:t>
      </w:r>
      <w:r>
        <w:rPr>
          <w:lang w:val="fr-CA"/>
        </w:rPr>
        <w:tab/>
        <w:t>Article</w:t>
      </w:r>
      <w:r w:rsidRPr="00B707B6">
        <w:rPr>
          <w:lang w:val="fr-CA"/>
        </w:rPr>
        <w:t xml:space="preserve"> 377, </w:t>
      </w:r>
      <w:r>
        <w:rPr>
          <w:lang w:val="fr-CA"/>
        </w:rPr>
        <w:t>al</w:t>
      </w:r>
      <w:r w:rsidRPr="00B707B6">
        <w:rPr>
          <w:lang w:val="fr-CA"/>
        </w:rPr>
        <w:t xml:space="preserve">. 2 (maintenant abrogé). Voir la </w:t>
      </w:r>
      <w:r w:rsidRPr="00B707B6">
        <w:rPr>
          <w:i/>
          <w:lang w:val="fr-CA"/>
        </w:rPr>
        <w:t>Loi instituant le Tribunal administratif du travail</w:t>
      </w:r>
      <w:r w:rsidRPr="00B707B6">
        <w:rPr>
          <w:lang w:val="fr-CA"/>
        </w:rPr>
        <w:t>,</w:t>
      </w:r>
      <w:r w:rsidRPr="00B707B6">
        <w:rPr>
          <w:i/>
          <w:lang w:val="fr-CA"/>
        </w:rPr>
        <w:t xml:space="preserve"> </w:t>
      </w:r>
      <w:r w:rsidRPr="00B707B6">
        <w:rPr>
          <w:lang w:val="fr-CA"/>
        </w:rPr>
        <w:t>art. 9, par. 2(4).</w:t>
      </w:r>
    </w:p>
  </w:footnote>
  <w:footnote w:id="11">
    <w:p w:rsidR="00C2411D" w:rsidRPr="00B707B6" w:rsidRDefault="00C2411D" w:rsidP="00B707B6">
      <w:pPr>
        <w:pStyle w:val="FootnoteText"/>
        <w:tabs>
          <w:tab w:val="clear" w:pos="180"/>
          <w:tab w:val="left" w:pos="270"/>
        </w:tabs>
        <w:ind w:left="270" w:hanging="270"/>
        <w:rPr>
          <w:lang w:val="fr-CA"/>
        </w:rPr>
      </w:pPr>
      <w:r w:rsidRPr="00B707B6">
        <w:rPr>
          <w:rStyle w:val="FootnoteReference"/>
          <w:lang w:val="fr-CA"/>
        </w:rPr>
        <w:footnoteRef/>
      </w:r>
      <w:r w:rsidRPr="00B707B6">
        <w:rPr>
          <w:lang w:val="fr-CA"/>
        </w:rPr>
        <w:t xml:space="preserve"> </w:t>
      </w:r>
      <w:r>
        <w:rPr>
          <w:lang w:val="fr-CA"/>
        </w:rPr>
        <w:tab/>
      </w:r>
      <w:r w:rsidRPr="00B707B6">
        <w:rPr>
          <w:color w:val="000000" w:themeColor="text1"/>
          <w:lang w:val="fr-CA"/>
        </w:rPr>
        <w:t>Art</w:t>
      </w:r>
      <w:r>
        <w:rPr>
          <w:lang w:val="fr-CA"/>
        </w:rPr>
        <w:t>icle</w:t>
      </w:r>
      <w:r w:rsidRPr="00B707B6">
        <w:rPr>
          <w:lang w:val="fr-CA"/>
        </w:rPr>
        <w:t xml:space="preserve"> 377, </w:t>
      </w:r>
      <w:r>
        <w:rPr>
          <w:lang w:val="fr-CA"/>
        </w:rPr>
        <w:t>al</w:t>
      </w:r>
      <w:r w:rsidRPr="00B707B6">
        <w:rPr>
          <w:lang w:val="fr-CA"/>
        </w:rPr>
        <w:t xml:space="preserve">. 1 (maintenant abrogé). Voir la </w:t>
      </w:r>
      <w:r w:rsidRPr="00B707B6">
        <w:rPr>
          <w:i/>
          <w:lang w:val="fr-CA"/>
        </w:rPr>
        <w:t>Loi instituant le Tribunal administratif du travail</w:t>
      </w:r>
      <w:r w:rsidRPr="00B707B6">
        <w:rPr>
          <w:lang w:val="fr-CA"/>
        </w:rPr>
        <w:t>, art. 9,</w:t>
      </w:r>
      <w:r>
        <w:rPr>
          <w:lang w:val="fr-CA"/>
        </w:rPr>
        <w:t xml:space="preserve"> al</w:t>
      </w:r>
      <w:r w:rsidRPr="00B707B6">
        <w:rPr>
          <w:lang w:val="fr-CA"/>
        </w:rPr>
        <w:t>. </w:t>
      </w:r>
      <w:r>
        <w:rPr>
          <w:lang w:val="fr-CA"/>
        </w:rPr>
        <w:t>1.</w:t>
      </w:r>
    </w:p>
  </w:footnote>
  <w:footnote w:id="12">
    <w:p w:rsidR="00C2411D" w:rsidRPr="00B707B6" w:rsidRDefault="00C2411D" w:rsidP="00B707B6">
      <w:pPr>
        <w:pStyle w:val="FootnoteText"/>
        <w:tabs>
          <w:tab w:val="clear" w:pos="180"/>
          <w:tab w:val="left" w:pos="270"/>
        </w:tabs>
        <w:ind w:left="270" w:hanging="270"/>
        <w:rPr>
          <w:lang w:val="fr-CA"/>
        </w:rPr>
      </w:pPr>
      <w:r w:rsidRPr="00B707B6">
        <w:rPr>
          <w:rStyle w:val="FootnoteReference"/>
          <w:lang w:val="fr-CA"/>
        </w:rPr>
        <w:footnoteRef/>
      </w:r>
      <w:r w:rsidRPr="00B707B6">
        <w:rPr>
          <w:lang w:val="fr-CA"/>
        </w:rPr>
        <w:t xml:space="preserve"> </w:t>
      </w:r>
      <w:r>
        <w:rPr>
          <w:lang w:val="fr-CA"/>
        </w:rPr>
        <w:tab/>
      </w:r>
      <w:r w:rsidR="008A1CF0">
        <w:rPr>
          <w:lang w:val="fr-CA"/>
        </w:rPr>
        <w:t>Article</w:t>
      </w:r>
      <w:r w:rsidRPr="00B707B6">
        <w:rPr>
          <w:lang w:val="fr-CA"/>
        </w:rPr>
        <w:t> </w:t>
      </w:r>
      <w:r w:rsidRPr="00B707B6">
        <w:rPr>
          <w:color w:val="000000" w:themeColor="text1"/>
          <w:lang w:val="fr-CA"/>
        </w:rPr>
        <w:t>378</w:t>
      </w:r>
      <w:r w:rsidR="008A1CF0">
        <w:rPr>
          <w:color w:val="000000" w:themeColor="text1"/>
          <w:lang w:val="fr-CA"/>
        </w:rPr>
        <w:t>, al. 2</w:t>
      </w:r>
      <w:r w:rsidRPr="00B707B6">
        <w:rPr>
          <w:lang w:val="fr-CA"/>
        </w:rPr>
        <w:t xml:space="preserve"> (maintenant abrogé). Voir la </w:t>
      </w:r>
      <w:r w:rsidRPr="00B707B6">
        <w:rPr>
          <w:i/>
          <w:lang w:val="fr-CA"/>
        </w:rPr>
        <w:t>Loi instituant le Tribunal administratif du travail</w:t>
      </w:r>
      <w:r w:rsidRPr="00B654EA">
        <w:rPr>
          <w:lang w:val="fr-CA"/>
        </w:rPr>
        <w:t xml:space="preserve">, </w:t>
      </w:r>
      <w:r w:rsidRPr="00B707B6">
        <w:rPr>
          <w:lang w:val="fr-CA"/>
        </w:rPr>
        <w:t>art. 9, par. 2(3).</w:t>
      </w:r>
    </w:p>
  </w:footnote>
  <w:footnote w:id="13">
    <w:p w:rsidR="00C2411D" w:rsidRPr="00B707B6" w:rsidRDefault="00C2411D" w:rsidP="00B707B6">
      <w:pPr>
        <w:pStyle w:val="FootnoteText"/>
        <w:tabs>
          <w:tab w:val="clear" w:pos="180"/>
          <w:tab w:val="left" w:pos="270"/>
        </w:tabs>
        <w:ind w:left="270" w:hanging="270"/>
        <w:rPr>
          <w:lang w:val="fr-CA"/>
        </w:rPr>
      </w:pPr>
      <w:r w:rsidRPr="00B707B6">
        <w:rPr>
          <w:rStyle w:val="FootnoteReference"/>
          <w:lang w:val="fr-CA"/>
        </w:rPr>
        <w:footnoteRef/>
      </w:r>
      <w:r w:rsidRPr="00B707B6">
        <w:rPr>
          <w:lang w:val="fr-CA"/>
        </w:rPr>
        <w:t xml:space="preserve"> </w:t>
      </w:r>
      <w:r>
        <w:rPr>
          <w:lang w:val="fr-CA"/>
        </w:rPr>
        <w:tab/>
      </w:r>
      <w:r w:rsidRPr="00B654EA">
        <w:rPr>
          <w:lang w:val="fr-CA"/>
        </w:rPr>
        <w:t>RLRQ</w:t>
      </w:r>
      <w:r>
        <w:rPr>
          <w:lang w:val="fr-CA"/>
        </w:rPr>
        <w:t>, c. C-</w:t>
      </w:r>
      <w:r w:rsidRPr="00B707B6">
        <w:rPr>
          <w:lang w:val="fr-CA"/>
        </w:rPr>
        <w:t>12.</w:t>
      </w:r>
    </w:p>
  </w:footnote>
  <w:footnote w:id="14">
    <w:p w:rsidR="00C2411D" w:rsidRPr="00430EAA" w:rsidRDefault="00C2411D" w:rsidP="00EC7C1C">
      <w:pPr>
        <w:pStyle w:val="FootnoteText"/>
        <w:tabs>
          <w:tab w:val="clear" w:pos="180"/>
          <w:tab w:val="left" w:pos="270"/>
        </w:tabs>
        <w:ind w:left="270" w:hanging="270"/>
        <w:rPr>
          <w:lang w:val="fr-CA"/>
        </w:rPr>
      </w:pPr>
      <w:r w:rsidRPr="00245A83">
        <w:rPr>
          <w:rStyle w:val="FootnoteReference"/>
        </w:rPr>
        <w:footnoteRef/>
      </w:r>
      <w:r>
        <w:rPr>
          <w:lang w:val="fr-CA"/>
        </w:rPr>
        <w:t xml:space="preserve"> </w:t>
      </w:r>
      <w:r>
        <w:rPr>
          <w:lang w:val="fr-CA"/>
        </w:rPr>
        <w:tab/>
      </w:r>
      <w:r w:rsidRPr="00245A83">
        <w:rPr>
          <w:lang w:val="fr-CA"/>
        </w:rPr>
        <w:t xml:space="preserve">Selon les </w:t>
      </w:r>
      <w:r>
        <w:rPr>
          <w:lang w:val="fr-CA"/>
        </w:rPr>
        <w:t>art. </w:t>
      </w:r>
      <w:r w:rsidRPr="00245A83">
        <w:rPr>
          <w:lang w:val="fr-CA"/>
        </w:rPr>
        <w:t>4 et 244</w:t>
      </w:r>
      <w:r>
        <w:rPr>
          <w:lang w:val="fr-CA"/>
        </w:rPr>
        <w:t xml:space="preserve"> de la </w:t>
      </w:r>
      <w:r w:rsidRPr="006D7366">
        <w:rPr>
          <w:i/>
          <w:lang w:val="fr-CA"/>
        </w:rPr>
        <w:t>Loi</w:t>
      </w:r>
      <w:r w:rsidRPr="00245A83">
        <w:rPr>
          <w:lang w:val="fr-CA"/>
        </w:rPr>
        <w:t>, la seule exception peut être prévue par une convention collective.</w:t>
      </w:r>
      <w:r>
        <w:rPr>
          <w:lang w:val="fr-CA"/>
        </w:rPr>
        <w:t xml:space="preserve"> </w:t>
      </w:r>
    </w:p>
  </w:footnote>
  <w:footnote w:id="15">
    <w:p w:rsidR="00C2411D" w:rsidRPr="001D5908" w:rsidRDefault="00C2411D" w:rsidP="00A30664">
      <w:pPr>
        <w:pStyle w:val="FootnoteText"/>
        <w:tabs>
          <w:tab w:val="clear" w:pos="180"/>
          <w:tab w:val="left" w:pos="270"/>
        </w:tabs>
        <w:ind w:left="274" w:hanging="274"/>
        <w:rPr>
          <w:lang w:val="fr-CA"/>
        </w:rPr>
      </w:pPr>
      <w:r w:rsidRPr="001D5908">
        <w:rPr>
          <w:rStyle w:val="FootnoteReference"/>
          <w:lang w:val="fr-CA"/>
        </w:rPr>
        <w:footnoteRef/>
      </w:r>
      <w:r w:rsidRPr="001D5908">
        <w:rPr>
          <w:lang w:val="fr-CA"/>
        </w:rPr>
        <w:t xml:space="preserve"> </w:t>
      </w:r>
      <w:r>
        <w:rPr>
          <w:lang w:val="fr-CA"/>
        </w:rPr>
        <w:tab/>
        <w:t>Article </w:t>
      </w:r>
      <w:r w:rsidRPr="001D5908">
        <w:rPr>
          <w:lang w:val="fr-CA"/>
        </w:rPr>
        <w:t xml:space="preserve">242, </w:t>
      </w:r>
      <w:r>
        <w:rPr>
          <w:lang w:val="fr-CA"/>
        </w:rPr>
        <w:t>al. </w:t>
      </w:r>
      <w:r w:rsidRPr="001D5908">
        <w:rPr>
          <w:lang w:val="fr-CA"/>
        </w:rPr>
        <w:t>1</w:t>
      </w:r>
      <w:r>
        <w:rPr>
          <w:lang w:val="fr-CA"/>
        </w:rPr>
        <w:t>,</w:t>
      </w:r>
      <w:r w:rsidRPr="001D5908">
        <w:rPr>
          <w:lang w:val="fr-CA"/>
        </w:rPr>
        <w:t xml:space="preserve"> </w:t>
      </w:r>
      <w:r>
        <w:rPr>
          <w:lang w:val="fr-CA"/>
        </w:rPr>
        <w:t>et par. </w:t>
      </w:r>
      <w:r w:rsidRPr="001D5908">
        <w:rPr>
          <w:lang w:val="fr-CA"/>
        </w:rPr>
        <w:t>235(1).</w:t>
      </w:r>
      <w:r w:rsidRPr="001D5908">
        <w:rPr>
          <w:b/>
          <w:lang w:val="fr-CA"/>
        </w:rPr>
        <w:t xml:space="preserve"> </w:t>
      </w:r>
    </w:p>
  </w:footnote>
  <w:footnote w:id="16">
    <w:p w:rsidR="00C2411D" w:rsidRPr="001D5908" w:rsidRDefault="00C2411D" w:rsidP="00A30664">
      <w:pPr>
        <w:pStyle w:val="FootnoteText"/>
        <w:tabs>
          <w:tab w:val="clear" w:pos="180"/>
          <w:tab w:val="left" w:pos="270"/>
        </w:tabs>
        <w:ind w:left="274" w:hanging="274"/>
        <w:rPr>
          <w:lang w:val="fr-CA"/>
        </w:rPr>
      </w:pPr>
      <w:r w:rsidRPr="001D5908">
        <w:rPr>
          <w:rStyle w:val="FootnoteReference"/>
          <w:lang w:val="fr-CA"/>
        </w:rPr>
        <w:footnoteRef/>
      </w:r>
      <w:r w:rsidRPr="001D5908">
        <w:rPr>
          <w:lang w:val="fr-CA"/>
        </w:rPr>
        <w:t xml:space="preserve"> </w:t>
      </w:r>
      <w:r>
        <w:rPr>
          <w:lang w:val="fr-CA"/>
        </w:rPr>
        <w:tab/>
        <w:t>Article </w:t>
      </w:r>
      <w:r w:rsidRPr="001D5908">
        <w:rPr>
          <w:color w:val="000000" w:themeColor="text1"/>
          <w:lang w:val="fr-CA"/>
        </w:rPr>
        <w:t>173</w:t>
      </w:r>
      <w:r>
        <w:rPr>
          <w:color w:val="000000" w:themeColor="text1"/>
          <w:lang w:val="fr-CA"/>
        </w:rPr>
        <w:t>, al. </w:t>
      </w:r>
      <w:r w:rsidRPr="001D5908">
        <w:rPr>
          <w:color w:val="000000" w:themeColor="text1"/>
          <w:lang w:val="fr-CA"/>
        </w:rPr>
        <w:t>1</w:t>
      </w:r>
      <w:r>
        <w:rPr>
          <w:color w:val="000000" w:themeColor="text1"/>
          <w:lang w:val="fr-CA"/>
        </w:rPr>
        <w:t>,</w:t>
      </w:r>
      <w:r w:rsidRPr="001D5908">
        <w:rPr>
          <w:color w:val="000000" w:themeColor="text1"/>
          <w:lang w:val="fr-CA"/>
        </w:rPr>
        <w:t xml:space="preserve"> </w:t>
      </w:r>
      <w:r>
        <w:rPr>
          <w:color w:val="000000" w:themeColor="text1"/>
          <w:lang w:val="fr-CA"/>
        </w:rPr>
        <w:t>et art. </w:t>
      </w:r>
      <w:r w:rsidRPr="001D5908">
        <w:rPr>
          <w:color w:val="000000" w:themeColor="text1"/>
          <w:lang w:val="fr-CA"/>
        </w:rPr>
        <w:t>174.</w:t>
      </w:r>
    </w:p>
  </w:footnote>
  <w:footnote w:id="17">
    <w:p w:rsidR="00C2411D" w:rsidRPr="001D5908" w:rsidRDefault="00C2411D" w:rsidP="00A30664">
      <w:pPr>
        <w:pStyle w:val="FootnoteText"/>
        <w:tabs>
          <w:tab w:val="clear" w:pos="180"/>
          <w:tab w:val="left" w:pos="270"/>
        </w:tabs>
        <w:ind w:left="274" w:hanging="274"/>
        <w:rPr>
          <w:lang w:val="fr-CA"/>
        </w:rPr>
      </w:pPr>
      <w:r w:rsidRPr="001D5908">
        <w:rPr>
          <w:rStyle w:val="FootnoteReference"/>
          <w:lang w:val="fr-CA"/>
        </w:rPr>
        <w:footnoteRef/>
      </w:r>
      <w:r w:rsidRPr="001D5908">
        <w:rPr>
          <w:lang w:val="fr-CA"/>
        </w:rPr>
        <w:t xml:space="preserve"> </w:t>
      </w:r>
      <w:r>
        <w:rPr>
          <w:lang w:val="fr-CA"/>
        </w:rPr>
        <w:tab/>
        <w:t>Article </w:t>
      </w:r>
      <w:r w:rsidRPr="001D5908">
        <w:rPr>
          <w:lang w:val="fr-CA"/>
        </w:rPr>
        <w:t xml:space="preserve">48 </w:t>
      </w:r>
      <w:r>
        <w:rPr>
          <w:lang w:val="fr-CA"/>
        </w:rPr>
        <w:t>et par. </w:t>
      </w:r>
      <w:r w:rsidRPr="001D5908">
        <w:rPr>
          <w:lang w:val="fr-CA"/>
        </w:rPr>
        <w:t>57(1).</w:t>
      </w:r>
    </w:p>
  </w:footnote>
  <w:footnote w:id="18">
    <w:p w:rsidR="00C2411D" w:rsidRPr="001D5908" w:rsidRDefault="00C2411D" w:rsidP="00A30664">
      <w:pPr>
        <w:pStyle w:val="FootnoteText"/>
        <w:tabs>
          <w:tab w:val="clear" w:pos="180"/>
          <w:tab w:val="left" w:pos="270"/>
        </w:tabs>
        <w:ind w:left="274" w:hanging="274"/>
        <w:rPr>
          <w:lang w:val="fr-CA"/>
        </w:rPr>
      </w:pPr>
      <w:r w:rsidRPr="001D5908">
        <w:rPr>
          <w:rStyle w:val="FootnoteReference"/>
          <w:lang w:val="fr-CA"/>
        </w:rPr>
        <w:footnoteRef/>
      </w:r>
      <w:r w:rsidRPr="001D5908">
        <w:rPr>
          <w:lang w:val="fr-CA"/>
        </w:rPr>
        <w:t xml:space="preserve"> </w:t>
      </w:r>
      <w:r>
        <w:rPr>
          <w:lang w:val="fr-CA"/>
        </w:rPr>
        <w:tab/>
        <w:t>Article </w:t>
      </w:r>
      <w:r w:rsidRPr="001D5908">
        <w:rPr>
          <w:color w:val="000000" w:themeColor="text1"/>
          <w:lang w:val="fr-CA"/>
        </w:rPr>
        <w:t>242</w:t>
      </w:r>
      <w:r>
        <w:rPr>
          <w:color w:val="000000" w:themeColor="text1"/>
          <w:lang w:val="fr-CA"/>
        </w:rPr>
        <w:t>, al. </w:t>
      </w:r>
      <w:r w:rsidRPr="001D5908">
        <w:rPr>
          <w:color w:val="000000" w:themeColor="text1"/>
          <w:lang w:val="fr-CA"/>
        </w:rPr>
        <w:t>2</w:t>
      </w:r>
      <w:r>
        <w:rPr>
          <w:color w:val="000000" w:themeColor="text1"/>
          <w:lang w:val="fr-CA"/>
        </w:rPr>
        <w:t>, et par. </w:t>
      </w:r>
      <w:r w:rsidRPr="001D5908">
        <w:rPr>
          <w:color w:val="000000" w:themeColor="text1"/>
          <w:lang w:val="fr-CA"/>
        </w:rPr>
        <w:t>235(1).</w:t>
      </w:r>
    </w:p>
  </w:footnote>
  <w:footnote w:id="19">
    <w:p w:rsidR="00C2411D" w:rsidRPr="001D5908" w:rsidRDefault="00C2411D" w:rsidP="001C78C1">
      <w:pPr>
        <w:pStyle w:val="FootnoteText"/>
        <w:tabs>
          <w:tab w:val="clear" w:pos="180"/>
          <w:tab w:val="left" w:pos="270"/>
        </w:tabs>
        <w:ind w:left="274" w:hanging="274"/>
        <w:rPr>
          <w:lang w:val="fr-CA"/>
        </w:rPr>
      </w:pPr>
      <w:r w:rsidRPr="001D5908">
        <w:rPr>
          <w:rStyle w:val="FootnoteReference"/>
          <w:lang w:val="fr-CA"/>
        </w:rPr>
        <w:footnoteRef/>
      </w:r>
      <w:r>
        <w:rPr>
          <w:lang w:val="fr-CA"/>
        </w:rPr>
        <w:t xml:space="preserve"> </w:t>
      </w:r>
      <w:r>
        <w:rPr>
          <w:lang w:val="fr-CA"/>
        </w:rPr>
        <w:tab/>
        <w:t>Article </w:t>
      </w:r>
      <w:r w:rsidRPr="001D5908">
        <w:rPr>
          <w:lang w:val="fr-CA"/>
        </w:rPr>
        <w:t>49</w:t>
      </w:r>
      <w:r>
        <w:rPr>
          <w:lang w:val="fr-CA"/>
        </w:rPr>
        <w:t>, al. </w:t>
      </w:r>
      <w:r w:rsidRPr="001D5908">
        <w:rPr>
          <w:lang w:val="fr-CA"/>
        </w:rPr>
        <w:t>1.</w:t>
      </w:r>
    </w:p>
  </w:footnote>
  <w:footnote w:id="20">
    <w:p w:rsidR="00C2411D" w:rsidRPr="001D5908" w:rsidRDefault="00C2411D" w:rsidP="001C78C1">
      <w:pPr>
        <w:pStyle w:val="FootnoteText"/>
        <w:tabs>
          <w:tab w:val="clear" w:pos="180"/>
          <w:tab w:val="left" w:pos="270"/>
        </w:tabs>
        <w:ind w:left="274" w:hanging="274"/>
        <w:rPr>
          <w:lang w:val="fr-CA"/>
        </w:rPr>
      </w:pPr>
      <w:r w:rsidRPr="001D5908">
        <w:rPr>
          <w:rStyle w:val="FootnoteReference"/>
          <w:lang w:val="fr-CA"/>
        </w:rPr>
        <w:footnoteRef/>
      </w:r>
      <w:r w:rsidRPr="001D5908">
        <w:rPr>
          <w:lang w:val="fr-CA"/>
        </w:rPr>
        <w:t xml:space="preserve"> </w:t>
      </w:r>
      <w:r>
        <w:rPr>
          <w:lang w:val="fr-CA"/>
        </w:rPr>
        <w:t xml:space="preserve"> </w:t>
      </w:r>
      <w:r>
        <w:rPr>
          <w:lang w:val="fr-CA"/>
        </w:rPr>
        <w:tab/>
        <w:t>Article </w:t>
      </w:r>
      <w:r w:rsidRPr="001D5908">
        <w:rPr>
          <w:lang w:val="fr-CA"/>
        </w:rPr>
        <w:t xml:space="preserve">171, 172 </w:t>
      </w:r>
      <w:r>
        <w:rPr>
          <w:lang w:val="fr-CA"/>
        </w:rPr>
        <w:t xml:space="preserve">et </w:t>
      </w:r>
      <w:r w:rsidRPr="001D5908">
        <w:rPr>
          <w:lang w:val="fr-CA"/>
        </w:rPr>
        <w:t>173</w:t>
      </w:r>
      <w:r>
        <w:rPr>
          <w:lang w:val="fr-CA"/>
        </w:rPr>
        <w:t xml:space="preserve">, </w:t>
      </w:r>
      <w:r w:rsidR="00CB71EE">
        <w:rPr>
          <w:lang w:val="fr-CA"/>
        </w:rPr>
        <w:t>al</w:t>
      </w:r>
      <w:r>
        <w:rPr>
          <w:lang w:val="fr-CA"/>
        </w:rPr>
        <w:t>. </w:t>
      </w:r>
      <w:r w:rsidRPr="001D5908">
        <w:rPr>
          <w:lang w:val="fr-CA"/>
        </w:rPr>
        <w:t>2.</w:t>
      </w:r>
    </w:p>
  </w:footnote>
  <w:footnote w:id="21">
    <w:p w:rsidR="00C2411D" w:rsidRPr="00A30664" w:rsidRDefault="00C2411D" w:rsidP="001C78C1">
      <w:pPr>
        <w:pStyle w:val="FootnoteText"/>
        <w:tabs>
          <w:tab w:val="clear" w:pos="180"/>
          <w:tab w:val="left" w:pos="270"/>
        </w:tabs>
        <w:ind w:left="274" w:hanging="274"/>
        <w:rPr>
          <w:lang w:val="fr-CA"/>
        </w:rPr>
      </w:pPr>
      <w:r w:rsidRPr="001D5908">
        <w:rPr>
          <w:rStyle w:val="FootnoteReference"/>
          <w:lang w:val="fr-CA"/>
        </w:rPr>
        <w:footnoteRef/>
      </w:r>
      <w:r w:rsidRPr="00A30664">
        <w:rPr>
          <w:lang w:val="fr-CA"/>
        </w:rPr>
        <w:t xml:space="preserve"> </w:t>
      </w:r>
      <w:r>
        <w:rPr>
          <w:lang w:val="fr-CA"/>
        </w:rPr>
        <w:tab/>
        <w:t>Article</w:t>
      </w:r>
      <w:r w:rsidRPr="00A30664">
        <w:rPr>
          <w:lang w:val="fr-CA"/>
        </w:rPr>
        <w:t> 145.</w:t>
      </w:r>
    </w:p>
  </w:footnote>
  <w:footnote w:id="22">
    <w:p w:rsidR="00C2411D" w:rsidRPr="00A30664" w:rsidRDefault="00C2411D" w:rsidP="001C78C1">
      <w:pPr>
        <w:pStyle w:val="FootnoteText"/>
        <w:tabs>
          <w:tab w:val="clear" w:pos="180"/>
          <w:tab w:val="left" w:pos="270"/>
        </w:tabs>
        <w:ind w:left="270" w:hanging="270"/>
        <w:rPr>
          <w:lang w:val="fr-CA"/>
        </w:rPr>
      </w:pPr>
      <w:r w:rsidRPr="001D5908">
        <w:rPr>
          <w:rStyle w:val="FootnoteReference"/>
          <w:lang w:val="fr-CA"/>
        </w:rPr>
        <w:footnoteRef/>
      </w:r>
      <w:r w:rsidRPr="00A30664">
        <w:rPr>
          <w:lang w:val="fr-CA"/>
        </w:rPr>
        <w:t xml:space="preserve"> </w:t>
      </w:r>
      <w:r>
        <w:rPr>
          <w:lang w:val="fr-CA"/>
        </w:rPr>
        <w:t xml:space="preserve"> </w:t>
      </w:r>
      <w:r>
        <w:rPr>
          <w:lang w:val="fr-CA"/>
        </w:rPr>
        <w:tab/>
        <w:t>Article</w:t>
      </w:r>
      <w:r w:rsidRPr="00A30664">
        <w:rPr>
          <w:lang w:val="fr-CA"/>
        </w:rPr>
        <w:t> 145 et suiv.</w:t>
      </w:r>
    </w:p>
  </w:footnote>
  <w:footnote w:id="23">
    <w:p w:rsidR="00C2411D" w:rsidRPr="00A30664" w:rsidRDefault="00C2411D" w:rsidP="001C78C1">
      <w:pPr>
        <w:pStyle w:val="FootnoteText"/>
        <w:tabs>
          <w:tab w:val="clear" w:pos="180"/>
          <w:tab w:val="left" w:pos="270"/>
        </w:tabs>
        <w:ind w:left="270" w:hanging="270"/>
        <w:rPr>
          <w:lang w:val="fr-CA"/>
        </w:rPr>
      </w:pPr>
      <w:r w:rsidRPr="001D5908">
        <w:rPr>
          <w:rStyle w:val="FootnoteReference"/>
          <w:lang w:val="fr-CA"/>
        </w:rPr>
        <w:footnoteRef/>
      </w:r>
      <w:r>
        <w:rPr>
          <w:lang w:val="fr-CA"/>
        </w:rPr>
        <w:t xml:space="preserve"> </w:t>
      </w:r>
      <w:r>
        <w:rPr>
          <w:lang w:val="fr-CA"/>
        </w:rPr>
        <w:tab/>
        <w:t>Article</w:t>
      </w:r>
      <w:r w:rsidRPr="00A30664">
        <w:rPr>
          <w:lang w:val="fr-CA"/>
        </w:rPr>
        <w:t> 166.</w:t>
      </w:r>
    </w:p>
  </w:footnote>
  <w:footnote w:id="24">
    <w:p w:rsidR="00C2411D" w:rsidRPr="005F670D" w:rsidRDefault="00C2411D" w:rsidP="001C78C1">
      <w:pPr>
        <w:pStyle w:val="FootnoteText"/>
        <w:tabs>
          <w:tab w:val="clear" w:pos="180"/>
          <w:tab w:val="left" w:pos="270"/>
        </w:tabs>
        <w:ind w:left="270" w:hanging="270"/>
        <w:rPr>
          <w:lang w:val="fr-CA"/>
        </w:rPr>
      </w:pPr>
      <w:r w:rsidRPr="001D5908">
        <w:rPr>
          <w:rStyle w:val="FootnoteReference"/>
          <w:lang w:val="fr-CA"/>
        </w:rPr>
        <w:footnoteRef/>
      </w:r>
      <w:r w:rsidRPr="005F670D">
        <w:rPr>
          <w:lang w:val="fr-CA"/>
        </w:rPr>
        <w:t xml:space="preserve"> </w:t>
      </w:r>
      <w:r>
        <w:rPr>
          <w:lang w:val="fr-CA"/>
        </w:rPr>
        <w:tab/>
        <w:t>Article </w:t>
      </w:r>
      <w:r w:rsidRPr="005F670D">
        <w:rPr>
          <w:lang w:val="fr-CA"/>
        </w:rPr>
        <w:t>167.</w:t>
      </w:r>
    </w:p>
  </w:footnote>
  <w:footnote w:id="25">
    <w:p w:rsidR="00C2411D" w:rsidRPr="001D5908" w:rsidRDefault="00C2411D" w:rsidP="001C78C1">
      <w:pPr>
        <w:pStyle w:val="FootnoteText"/>
        <w:tabs>
          <w:tab w:val="clear" w:pos="180"/>
          <w:tab w:val="left" w:pos="270"/>
        </w:tabs>
        <w:ind w:left="270" w:hanging="270"/>
        <w:rPr>
          <w:lang w:val="fr-CA"/>
        </w:rPr>
      </w:pPr>
      <w:r w:rsidRPr="001D5908">
        <w:rPr>
          <w:rStyle w:val="FootnoteReference"/>
          <w:lang w:val="fr-CA"/>
        </w:rPr>
        <w:footnoteRef/>
      </w:r>
      <w:r w:rsidRPr="001D5908">
        <w:rPr>
          <w:lang w:val="fr-CA"/>
        </w:rPr>
        <w:t xml:space="preserve"> </w:t>
      </w:r>
      <w:r>
        <w:rPr>
          <w:lang w:val="fr-CA"/>
        </w:rPr>
        <w:tab/>
        <w:t>Article </w:t>
      </w:r>
      <w:r w:rsidRPr="001D5908">
        <w:rPr>
          <w:lang w:val="fr-CA"/>
        </w:rPr>
        <w:t>181.</w:t>
      </w:r>
    </w:p>
  </w:footnote>
  <w:footnote w:id="26">
    <w:p w:rsidR="00C2411D" w:rsidRPr="001D5908" w:rsidRDefault="00C2411D" w:rsidP="001C78C1">
      <w:pPr>
        <w:pStyle w:val="FootnoteText"/>
        <w:tabs>
          <w:tab w:val="clear" w:pos="180"/>
          <w:tab w:val="left" w:pos="270"/>
        </w:tabs>
        <w:ind w:left="270" w:hanging="270"/>
        <w:rPr>
          <w:lang w:val="fr-CA"/>
        </w:rPr>
      </w:pPr>
      <w:r w:rsidRPr="001D5908">
        <w:rPr>
          <w:rStyle w:val="FootnoteReference"/>
          <w:lang w:val="fr-CA"/>
        </w:rPr>
        <w:footnoteRef/>
      </w:r>
      <w:r w:rsidRPr="001D5908">
        <w:rPr>
          <w:lang w:val="fr-CA"/>
        </w:rPr>
        <w:t xml:space="preserve"> </w:t>
      </w:r>
      <w:r>
        <w:rPr>
          <w:lang w:val="fr-CA"/>
        </w:rPr>
        <w:tab/>
        <w:t>Article </w:t>
      </w:r>
      <w:r w:rsidRPr="001D5908">
        <w:rPr>
          <w:lang w:val="fr-CA"/>
        </w:rPr>
        <w:t>281.</w:t>
      </w:r>
    </w:p>
  </w:footnote>
  <w:footnote w:id="27">
    <w:p w:rsidR="00C2411D" w:rsidRPr="001D5908" w:rsidRDefault="00C2411D" w:rsidP="001C78C1">
      <w:pPr>
        <w:pStyle w:val="FootnoteText"/>
        <w:tabs>
          <w:tab w:val="clear" w:pos="180"/>
          <w:tab w:val="left" w:pos="270"/>
        </w:tabs>
        <w:spacing w:after="120"/>
        <w:ind w:left="270" w:hanging="270"/>
        <w:rPr>
          <w:lang w:val="fr-CA"/>
        </w:rPr>
      </w:pPr>
      <w:r w:rsidRPr="001D5908">
        <w:rPr>
          <w:rStyle w:val="FootnoteReference"/>
          <w:lang w:val="fr-CA"/>
        </w:rPr>
        <w:footnoteRef/>
      </w:r>
      <w:r w:rsidRPr="001D5908">
        <w:rPr>
          <w:lang w:val="fr-CA"/>
        </w:rPr>
        <w:t xml:space="preserve"> </w:t>
      </w:r>
      <w:r>
        <w:rPr>
          <w:lang w:val="fr-CA"/>
        </w:rPr>
        <w:tab/>
        <w:t xml:space="preserve">Article 326. Aux termes de l’art. 2, le mot « prestation » s’entend d’une indemnité versée en argent, d’une assistance financière ou d’un service fourni en vertu de la </w:t>
      </w:r>
      <w:r w:rsidRPr="000D0221">
        <w:rPr>
          <w:i/>
          <w:lang w:val="fr-CA"/>
        </w:rPr>
        <w:t>Loi</w:t>
      </w:r>
      <w:r>
        <w:rPr>
          <w:lang w:val="fr-CA"/>
        </w:rPr>
        <w:t>.</w:t>
      </w:r>
    </w:p>
  </w:footnote>
  <w:footnote w:id="28">
    <w:p w:rsidR="00C2411D" w:rsidRPr="00E72770" w:rsidRDefault="00C2411D" w:rsidP="001C78C1">
      <w:pPr>
        <w:pStyle w:val="FootnoteText"/>
        <w:tabs>
          <w:tab w:val="clear" w:pos="180"/>
          <w:tab w:val="left" w:pos="270"/>
          <w:tab w:val="left" w:pos="540"/>
        </w:tabs>
        <w:spacing w:after="120"/>
        <w:ind w:left="270" w:hanging="270"/>
        <w:rPr>
          <w:lang w:val="fr-CA"/>
        </w:rPr>
      </w:pPr>
      <w:r w:rsidRPr="00E72770">
        <w:rPr>
          <w:rStyle w:val="FootnoteReference"/>
        </w:rPr>
        <w:footnoteRef/>
      </w:r>
      <w:r w:rsidRPr="00E72770">
        <w:rPr>
          <w:lang w:val="fr-CA"/>
        </w:rPr>
        <w:t xml:space="preserve"> </w:t>
      </w:r>
      <w:r>
        <w:rPr>
          <w:lang w:val="fr-CA"/>
        </w:rPr>
        <w:tab/>
      </w:r>
      <w:r>
        <w:rPr>
          <w:lang w:val="fr-CA"/>
        </w:rPr>
        <w:tab/>
      </w:r>
      <w:r w:rsidRPr="00E72770">
        <w:rPr>
          <w:b/>
          <w:lang w:val="fr-CA"/>
        </w:rPr>
        <w:t xml:space="preserve">176. </w:t>
      </w:r>
      <w:r w:rsidRPr="00E72770">
        <w:rPr>
          <w:lang w:val="fr-CA"/>
        </w:rPr>
        <w:t>La Commission peut rembourser les frais d</w:t>
      </w:r>
      <w:r>
        <w:rPr>
          <w:lang w:val="fr-CA"/>
        </w:rPr>
        <w:t>’</w:t>
      </w:r>
      <w:r w:rsidRPr="00E72770">
        <w:rPr>
          <w:lang w:val="fr-CA"/>
        </w:rPr>
        <w:t>adaptation d</w:t>
      </w:r>
      <w:r>
        <w:rPr>
          <w:lang w:val="fr-CA"/>
        </w:rPr>
        <w:t>’</w:t>
      </w:r>
      <w:r w:rsidRPr="00E72770">
        <w:rPr>
          <w:lang w:val="fr-CA"/>
        </w:rPr>
        <w:t>un poste de travail si cette adaptation permet au travailleur qui a subi une atteinte permanente à son intégrité physique en raison de sa lésion professionnelle d</w:t>
      </w:r>
      <w:r>
        <w:rPr>
          <w:lang w:val="fr-CA"/>
        </w:rPr>
        <w:t>’</w:t>
      </w:r>
      <w:r w:rsidRPr="00E72770">
        <w:rPr>
          <w:lang w:val="fr-CA"/>
        </w:rPr>
        <w:t>exercer son emploi, un emploi équivalent ou un emploi convenable.</w:t>
      </w:r>
    </w:p>
    <w:p w:rsidR="00C2411D" w:rsidRPr="00E72770" w:rsidRDefault="00C2411D" w:rsidP="001C78C1">
      <w:pPr>
        <w:pStyle w:val="FootnoteText"/>
        <w:tabs>
          <w:tab w:val="clear" w:pos="180"/>
          <w:tab w:val="left" w:pos="270"/>
          <w:tab w:val="left" w:pos="540"/>
        </w:tabs>
        <w:spacing w:after="120"/>
        <w:ind w:left="270" w:hanging="270"/>
        <w:rPr>
          <w:lang w:val="fr-CA"/>
        </w:rPr>
      </w:pPr>
      <w:r>
        <w:rPr>
          <w:lang w:val="fr-CA"/>
        </w:rPr>
        <w:tab/>
      </w:r>
      <w:r>
        <w:rPr>
          <w:lang w:val="fr-CA"/>
        </w:rPr>
        <w:tab/>
      </w:r>
      <w:r w:rsidRPr="00E72770">
        <w:rPr>
          <w:lang w:val="fr-CA"/>
        </w:rPr>
        <w:t>Ces frais comprennent le coût d</w:t>
      </w:r>
      <w:r>
        <w:rPr>
          <w:lang w:val="fr-CA"/>
        </w:rPr>
        <w:t>’</w:t>
      </w:r>
      <w:r w:rsidRPr="00E72770">
        <w:rPr>
          <w:lang w:val="fr-CA"/>
        </w:rPr>
        <w:t>achat et d</w:t>
      </w:r>
      <w:r>
        <w:rPr>
          <w:lang w:val="fr-CA"/>
        </w:rPr>
        <w:t>’</w:t>
      </w:r>
      <w:r w:rsidRPr="00E72770">
        <w:rPr>
          <w:lang w:val="fr-CA"/>
        </w:rPr>
        <w:t>installation des matériaux et équipements nécessaires à l</w:t>
      </w:r>
      <w:r>
        <w:rPr>
          <w:lang w:val="fr-CA"/>
        </w:rPr>
        <w:t>’</w:t>
      </w:r>
      <w:r w:rsidRPr="00E72770">
        <w:rPr>
          <w:lang w:val="fr-CA"/>
        </w:rPr>
        <w:t>adaptation du poste de travail et ils ne peuvent être remboursés qu</w:t>
      </w:r>
      <w:r>
        <w:rPr>
          <w:lang w:val="fr-CA"/>
        </w:rPr>
        <w:t>’</w:t>
      </w:r>
      <w:r w:rsidRPr="00E72770">
        <w:rPr>
          <w:lang w:val="fr-CA"/>
        </w:rPr>
        <w:t>à la personne qui les a engagés après avoir obtenu l</w:t>
      </w:r>
      <w:r>
        <w:rPr>
          <w:lang w:val="fr-CA"/>
        </w:rPr>
        <w:t>’</w:t>
      </w:r>
      <w:r w:rsidRPr="00E72770">
        <w:rPr>
          <w:lang w:val="fr-CA"/>
        </w:rPr>
        <w:t>autorisation préalable de la Commission à cette fin.</w:t>
      </w:r>
    </w:p>
  </w:footnote>
  <w:footnote w:id="29">
    <w:p w:rsidR="00C2411D" w:rsidRPr="001D5908" w:rsidRDefault="00C2411D" w:rsidP="001C78C1">
      <w:pPr>
        <w:pStyle w:val="FootnoteText"/>
        <w:tabs>
          <w:tab w:val="clear" w:pos="180"/>
          <w:tab w:val="left" w:pos="270"/>
        </w:tabs>
        <w:ind w:left="270" w:hanging="270"/>
        <w:rPr>
          <w:lang w:val="fr-CA"/>
        </w:rPr>
      </w:pPr>
      <w:r w:rsidRPr="001D5908">
        <w:rPr>
          <w:rStyle w:val="FootnoteReference"/>
          <w:lang w:val="fr-CA"/>
        </w:rPr>
        <w:footnoteRef/>
      </w:r>
      <w:r w:rsidRPr="001D5908">
        <w:rPr>
          <w:lang w:val="fr-CA"/>
        </w:rPr>
        <w:t xml:space="preserve"> </w:t>
      </w:r>
      <w:r>
        <w:rPr>
          <w:lang w:val="fr-CA"/>
        </w:rPr>
        <w:tab/>
        <w:t>Article </w:t>
      </w:r>
      <w:r w:rsidRPr="001D5908">
        <w:rPr>
          <w:lang w:val="fr-CA"/>
        </w:rPr>
        <w:t>166</w:t>
      </w:r>
      <w:r w:rsidRPr="001D5908">
        <w:rPr>
          <w:i/>
          <w:lang w:val="fr-CA"/>
        </w:rPr>
        <w:t>.</w:t>
      </w:r>
      <w:r w:rsidRPr="001D5908">
        <w:rPr>
          <w:lang w:val="fr-CA"/>
        </w:rPr>
        <w:t xml:space="preserve"> </w:t>
      </w:r>
    </w:p>
  </w:footnote>
  <w:footnote w:id="30">
    <w:p w:rsidR="00C2411D" w:rsidRPr="00E72770" w:rsidRDefault="00C2411D" w:rsidP="00730DBB">
      <w:pPr>
        <w:pStyle w:val="FootnoteText"/>
        <w:spacing w:after="120"/>
        <w:rPr>
          <w:lang w:val="fr-CA"/>
        </w:rPr>
      </w:pPr>
      <w:r>
        <w:rPr>
          <w:rStyle w:val="FootnoteReference"/>
        </w:rPr>
        <w:footnoteRef/>
      </w:r>
      <w:r w:rsidRPr="002A230E">
        <w:rPr>
          <w:lang w:val="fr-CA"/>
        </w:rPr>
        <w:t xml:space="preserve"> </w:t>
      </w:r>
      <w:r w:rsidRPr="00E72770">
        <w:rPr>
          <w:b/>
          <w:lang w:val="fr-CA"/>
        </w:rPr>
        <w:t>240.</w:t>
      </w:r>
      <w:r w:rsidRPr="00E72770">
        <w:rPr>
          <w:lang w:val="fr-CA"/>
        </w:rPr>
        <w:t xml:space="preserve"> Les droits conférés par les articles</w:t>
      </w:r>
      <w:r>
        <w:rPr>
          <w:lang w:val="fr-CA"/>
        </w:rPr>
        <w:t> </w:t>
      </w:r>
      <w:r w:rsidRPr="00E72770">
        <w:rPr>
          <w:lang w:val="fr-CA"/>
        </w:rPr>
        <w:t>236 à 239 peuvent être exercés</w:t>
      </w:r>
      <w:r>
        <w:rPr>
          <w:lang w:val="fr-CA"/>
        </w:rPr>
        <w:t> :</w:t>
      </w:r>
    </w:p>
    <w:p w:rsidR="00C2411D" w:rsidRPr="00E72770" w:rsidRDefault="00C2411D" w:rsidP="00916429">
      <w:pPr>
        <w:pStyle w:val="FootnoteText"/>
        <w:tabs>
          <w:tab w:val="left" w:pos="360"/>
        </w:tabs>
        <w:spacing w:after="120"/>
        <w:rPr>
          <w:lang w:val="fr-CA"/>
        </w:rPr>
      </w:pPr>
      <w:r>
        <w:rPr>
          <w:lang w:val="fr-CA"/>
        </w:rPr>
        <w:tab/>
      </w:r>
      <w:r>
        <w:rPr>
          <w:lang w:val="fr-CA"/>
        </w:rPr>
        <w:tab/>
      </w:r>
      <w:r>
        <w:rPr>
          <w:lang w:val="fr-CA"/>
        </w:rPr>
        <w:tab/>
        <w:t>1</w:t>
      </w:r>
      <w:r>
        <w:rPr>
          <w:vertAlign w:val="superscript"/>
          <w:lang w:val="fr-CA"/>
        </w:rPr>
        <w:t>o</w:t>
      </w:r>
      <w:r w:rsidRPr="00916429">
        <w:rPr>
          <w:vertAlign w:val="superscript"/>
          <w:lang w:val="fr-CA"/>
        </w:rPr>
        <w:t xml:space="preserve"> </w:t>
      </w:r>
      <w:r>
        <w:rPr>
          <w:vertAlign w:val="superscript"/>
          <w:lang w:val="fr-CA"/>
        </w:rPr>
        <w:t xml:space="preserve"> </w:t>
      </w:r>
      <w:r w:rsidRPr="00E72770">
        <w:rPr>
          <w:lang w:val="fr-CA"/>
        </w:rPr>
        <w:t>dans l</w:t>
      </w:r>
      <w:r>
        <w:rPr>
          <w:lang w:val="fr-CA"/>
        </w:rPr>
        <w:t>’</w:t>
      </w:r>
      <w:r w:rsidRPr="00E72770">
        <w:rPr>
          <w:lang w:val="fr-CA"/>
        </w:rPr>
        <w:t>année suivant le début de la période d</w:t>
      </w:r>
      <w:r>
        <w:rPr>
          <w:lang w:val="fr-CA"/>
        </w:rPr>
        <w:t>’</w:t>
      </w:r>
      <w:r w:rsidRPr="00E72770">
        <w:rPr>
          <w:lang w:val="fr-CA"/>
        </w:rPr>
        <w:t>absence continue du travailleur en raison de sa lésion professionnelle, s</w:t>
      </w:r>
      <w:r>
        <w:rPr>
          <w:lang w:val="fr-CA"/>
        </w:rPr>
        <w:t>’</w:t>
      </w:r>
      <w:r w:rsidRPr="00E72770">
        <w:rPr>
          <w:lang w:val="fr-CA"/>
        </w:rPr>
        <w:t>il occupait un emploi dans un établissement comptant 20</w:t>
      </w:r>
      <w:r>
        <w:rPr>
          <w:lang w:val="fr-CA"/>
        </w:rPr>
        <w:t> </w:t>
      </w:r>
      <w:r w:rsidRPr="00E72770">
        <w:rPr>
          <w:lang w:val="fr-CA"/>
        </w:rPr>
        <w:t xml:space="preserve">travailleurs ou moins au début de cette période; ou </w:t>
      </w:r>
    </w:p>
    <w:p w:rsidR="00C2411D" w:rsidRPr="00E72770" w:rsidRDefault="00C2411D" w:rsidP="00916429">
      <w:pPr>
        <w:pStyle w:val="FootnoteText"/>
        <w:tabs>
          <w:tab w:val="left" w:pos="360"/>
        </w:tabs>
        <w:spacing w:after="120"/>
        <w:rPr>
          <w:lang w:val="fr-CA"/>
        </w:rPr>
      </w:pPr>
      <w:r>
        <w:rPr>
          <w:lang w:val="fr-CA"/>
        </w:rPr>
        <w:tab/>
      </w:r>
      <w:r>
        <w:rPr>
          <w:lang w:val="fr-CA"/>
        </w:rPr>
        <w:tab/>
      </w:r>
      <w:r>
        <w:rPr>
          <w:lang w:val="fr-CA"/>
        </w:rPr>
        <w:tab/>
        <w:t>2</w:t>
      </w:r>
      <w:r>
        <w:rPr>
          <w:vertAlign w:val="superscript"/>
          <w:lang w:val="fr-CA"/>
        </w:rPr>
        <w:t>o</w:t>
      </w:r>
      <w:r w:rsidRPr="00916429">
        <w:rPr>
          <w:vertAlign w:val="superscript"/>
          <w:lang w:val="fr-CA"/>
        </w:rPr>
        <w:t xml:space="preserve"> </w:t>
      </w:r>
      <w:r>
        <w:rPr>
          <w:vertAlign w:val="superscript"/>
          <w:lang w:val="fr-CA"/>
        </w:rPr>
        <w:t xml:space="preserve"> </w:t>
      </w:r>
      <w:r w:rsidRPr="00E72770">
        <w:rPr>
          <w:lang w:val="fr-CA"/>
        </w:rPr>
        <w:t>dans les deux ans suivant le début de la période d</w:t>
      </w:r>
      <w:r>
        <w:rPr>
          <w:lang w:val="fr-CA"/>
        </w:rPr>
        <w:t>’</w:t>
      </w:r>
      <w:r w:rsidRPr="00E72770">
        <w:rPr>
          <w:lang w:val="fr-CA"/>
        </w:rPr>
        <w:t>absence continue du travailleur en raison de sa lésion professionnelle, s</w:t>
      </w:r>
      <w:r>
        <w:rPr>
          <w:lang w:val="fr-CA"/>
        </w:rPr>
        <w:t>’</w:t>
      </w:r>
      <w:r w:rsidRPr="00E72770">
        <w:rPr>
          <w:lang w:val="fr-CA"/>
        </w:rPr>
        <w:t>il occupait un emploi dans un ét</w:t>
      </w:r>
      <w:r>
        <w:rPr>
          <w:lang w:val="fr-CA"/>
        </w:rPr>
        <w:t>ablissement comptant plus de 20 </w:t>
      </w:r>
      <w:r w:rsidRPr="00E72770">
        <w:rPr>
          <w:lang w:val="fr-CA"/>
        </w:rPr>
        <w:t xml:space="preserve">travailleurs au début de cette période. </w:t>
      </w:r>
    </w:p>
    <w:p w:rsidR="00C2411D" w:rsidRPr="00EC2789" w:rsidRDefault="00C2411D" w:rsidP="00916429">
      <w:pPr>
        <w:pStyle w:val="FootnoteText"/>
        <w:tabs>
          <w:tab w:val="left" w:pos="360"/>
        </w:tabs>
        <w:spacing w:after="120"/>
        <w:rPr>
          <w:lang w:val="fr-CA"/>
        </w:rPr>
      </w:pPr>
      <w:r w:rsidRPr="00E72770">
        <w:rPr>
          <w:lang w:val="fr-CA"/>
        </w:rPr>
        <w:tab/>
      </w:r>
      <w:r w:rsidRPr="00E72770">
        <w:rPr>
          <w:lang w:val="fr-CA"/>
        </w:rPr>
        <w:tab/>
      </w:r>
      <w:r w:rsidRPr="00E72770">
        <w:rPr>
          <w:lang w:val="fr-CA"/>
        </w:rPr>
        <w:tab/>
        <w:t>Le retour au travail d</w:t>
      </w:r>
      <w:r>
        <w:rPr>
          <w:lang w:val="fr-CA"/>
        </w:rPr>
        <w:t>’</w:t>
      </w:r>
      <w:r w:rsidRPr="00E72770">
        <w:rPr>
          <w:lang w:val="fr-CA"/>
        </w:rPr>
        <w:t>un travailleur à la suite d</w:t>
      </w:r>
      <w:r>
        <w:rPr>
          <w:lang w:val="fr-CA"/>
        </w:rPr>
        <w:t>’</w:t>
      </w:r>
      <w:r w:rsidRPr="00E72770">
        <w:rPr>
          <w:lang w:val="fr-CA"/>
        </w:rPr>
        <w:t>un avis médical n</w:t>
      </w:r>
      <w:r>
        <w:rPr>
          <w:lang w:val="fr-CA"/>
        </w:rPr>
        <w:t>’</w:t>
      </w:r>
      <w:r w:rsidRPr="00E72770">
        <w:rPr>
          <w:lang w:val="fr-CA"/>
        </w:rPr>
        <w:t>interrompt pas la période d</w:t>
      </w:r>
      <w:r>
        <w:rPr>
          <w:lang w:val="fr-CA"/>
        </w:rPr>
        <w:t>’</w:t>
      </w:r>
      <w:r w:rsidRPr="00E72770">
        <w:rPr>
          <w:lang w:val="fr-CA"/>
        </w:rPr>
        <w:t>absence continue du travailleur si son état de santé relative à sa lésion l</w:t>
      </w:r>
      <w:r>
        <w:rPr>
          <w:lang w:val="fr-CA"/>
        </w:rPr>
        <w:t>’</w:t>
      </w:r>
      <w:r w:rsidRPr="00E72770">
        <w:rPr>
          <w:lang w:val="fr-CA"/>
        </w:rPr>
        <w:t xml:space="preserve">oblige à abandonner son travail dans la journée du retour.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1D" w:rsidRDefault="00C24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1D" w:rsidRPr="00450352" w:rsidRDefault="00C2411D"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1D" w:rsidRDefault="00C24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E20F0"/>
    <w:multiLevelType w:val="hybridMultilevel"/>
    <w:tmpl w:val="064832CC"/>
    <w:lvl w:ilvl="0" w:tplc="C308935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47683"/>
    <w:multiLevelType w:val="hybridMultilevel"/>
    <w:tmpl w:val="4126B48E"/>
    <w:lvl w:ilvl="0" w:tplc="28628A96">
      <w:start w:val="4"/>
      <w:numFmt w:val="decimal"/>
      <w:lvlText w:val="%1"/>
      <w:lvlJc w:val="left"/>
      <w:pPr>
        <w:tabs>
          <w:tab w:val="num" w:pos="639"/>
        </w:tabs>
        <w:ind w:left="639" w:hanging="525"/>
      </w:pPr>
      <w:rPr>
        <w:rFonts w:cs="Times New Roman" w:hint="default"/>
        <w:sz w:val="14"/>
      </w:rPr>
    </w:lvl>
    <w:lvl w:ilvl="1" w:tplc="0C0C0019" w:tentative="1">
      <w:start w:val="1"/>
      <w:numFmt w:val="lowerLetter"/>
      <w:lvlText w:val="%2."/>
      <w:lvlJc w:val="left"/>
      <w:pPr>
        <w:tabs>
          <w:tab w:val="num" w:pos="1194"/>
        </w:tabs>
        <w:ind w:left="1194" w:hanging="360"/>
      </w:pPr>
      <w:rPr>
        <w:rFonts w:cs="Times New Roman"/>
      </w:rPr>
    </w:lvl>
    <w:lvl w:ilvl="2" w:tplc="0C0C001B" w:tentative="1">
      <w:start w:val="1"/>
      <w:numFmt w:val="lowerRoman"/>
      <w:lvlText w:val="%3."/>
      <w:lvlJc w:val="right"/>
      <w:pPr>
        <w:tabs>
          <w:tab w:val="num" w:pos="1914"/>
        </w:tabs>
        <w:ind w:left="1914" w:hanging="180"/>
      </w:pPr>
      <w:rPr>
        <w:rFonts w:cs="Times New Roman"/>
      </w:rPr>
    </w:lvl>
    <w:lvl w:ilvl="3" w:tplc="0C0C000F" w:tentative="1">
      <w:start w:val="1"/>
      <w:numFmt w:val="decimal"/>
      <w:lvlText w:val="%4."/>
      <w:lvlJc w:val="left"/>
      <w:pPr>
        <w:tabs>
          <w:tab w:val="num" w:pos="2634"/>
        </w:tabs>
        <w:ind w:left="2634" w:hanging="360"/>
      </w:pPr>
      <w:rPr>
        <w:rFonts w:cs="Times New Roman"/>
      </w:rPr>
    </w:lvl>
    <w:lvl w:ilvl="4" w:tplc="0C0C0019" w:tentative="1">
      <w:start w:val="1"/>
      <w:numFmt w:val="lowerLetter"/>
      <w:lvlText w:val="%5."/>
      <w:lvlJc w:val="left"/>
      <w:pPr>
        <w:tabs>
          <w:tab w:val="num" w:pos="3354"/>
        </w:tabs>
        <w:ind w:left="3354" w:hanging="360"/>
      </w:pPr>
      <w:rPr>
        <w:rFonts w:cs="Times New Roman"/>
      </w:rPr>
    </w:lvl>
    <w:lvl w:ilvl="5" w:tplc="0C0C001B" w:tentative="1">
      <w:start w:val="1"/>
      <w:numFmt w:val="lowerRoman"/>
      <w:lvlText w:val="%6."/>
      <w:lvlJc w:val="right"/>
      <w:pPr>
        <w:tabs>
          <w:tab w:val="num" w:pos="4074"/>
        </w:tabs>
        <w:ind w:left="4074" w:hanging="180"/>
      </w:pPr>
      <w:rPr>
        <w:rFonts w:cs="Times New Roman"/>
      </w:rPr>
    </w:lvl>
    <w:lvl w:ilvl="6" w:tplc="0C0C000F" w:tentative="1">
      <w:start w:val="1"/>
      <w:numFmt w:val="decimal"/>
      <w:lvlText w:val="%7."/>
      <w:lvlJc w:val="left"/>
      <w:pPr>
        <w:tabs>
          <w:tab w:val="num" w:pos="4794"/>
        </w:tabs>
        <w:ind w:left="4794" w:hanging="360"/>
      </w:pPr>
      <w:rPr>
        <w:rFonts w:cs="Times New Roman"/>
      </w:rPr>
    </w:lvl>
    <w:lvl w:ilvl="7" w:tplc="0C0C0019" w:tentative="1">
      <w:start w:val="1"/>
      <w:numFmt w:val="lowerLetter"/>
      <w:lvlText w:val="%8."/>
      <w:lvlJc w:val="left"/>
      <w:pPr>
        <w:tabs>
          <w:tab w:val="num" w:pos="5514"/>
        </w:tabs>
        <w:ind w:left="5514" w:hanging="360"/>
      </w:pPr>
      <w:rPr>
        <w:rFonts w:cs="Times New Roman"/>
      </w:rPr>
    </w:lvl>
    <w:lvl w:ilvl="8" w:tplc="0C0C001B" w:tentative="1">
      <w:start w:val="1"/>
      <w:numFmt w:val="lowerRoman"/>
      <w:lvlText w:val="%9."/>
      <w:lvlJc w:val="right"/>
      <w:pPr>
        <w:tabs>
          <w:tab w:val="num" w:pos="6234"/>
        </w:tabs>
        <w:ind w:left="6234" w:hanging="180"/>
      </w:pPr>
      <w:rPr>
        <w:rFonts w:cs="Times New Roman"/>
      </w:r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563AB"/>
    <w:multiLevelType w:val="hybridMultilevel"/>
    <w:tmpl w:val="45183522"/>
    <w:lvl w:ilvl="0" w:tplc="03A07656">
      <w:start w:val="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40084D"/>
    <w:multiLevelType w:val="hybridMultilevel"/>
    <w:tmpl w:val="485C5302"/>
    <w:lvl w:ilvl="0" w:tplc="482C2F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7D8CF000"/>
    <w:lvl w:ilvl="0">
      <w:start w:val="1"/>
      <w:numFmt w:val="decimal"/>
      <w:pStyle w:val="ParaNoNdepar-AltN"/>
      <w:lvlText w:val="[%1]"/>
      <w:lvlJc w:val="left"/>
      <w:pPr>
        <w:tabs>
          <w:tab w:val="num" w:pos="1152"/>
        </w:tabs>
        <w:ind w:left="0" w:firstLine="0"/>
      </w:pPr>
      <w:rPr>
        <w:rFonts w:ascii="Times New Roman" w:hAnsi="Times New Roman" w:hint="default"/>
        <w:b w:val="0"/>
        <w:strike w:val="0"/>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316788"/>
    <w:multiLevelType w:val="hybridMultilevel"/>
    <w:tmpl w:val="2BFCE4C2"/>
    <w:lvl w:ilvl="0" w:tplc="550C1176">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3" w15:restartNumberingAfterBreak="0">
    <w:nsid w:val="5CE0507A"/>
    <w:multiLevelType w:val="hybridMultilevel"/>
    <w:tmpl w:val="996AF60A"/>
    <w:lvl w:ilvl="0" w:tplc="820ED0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24"/>
  </w:num>
  <w:num w:numId="3">
    <w:abstractNumId w:val="13"/>
  </w:num>
  <w:num w:numId="4">
    <w:abstractNumId w:val="12"/>
  </w:num>
  <w:num w:numId="5">
    <w:abstractNumId w:val="19"/>
  </w:num>
  <w:num w:numId="6">
    <w:abstractNumId w:val="20"/>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6"/>
  </w:num>
  <w:num w:numId="10">
    <w:abstractNumId w:val="23"/>
  </w:num>
  <w:num w:numId="11">
    <w:abstractNumId w:val="14"/>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2"/>
  </w:num>
  <w:num w:numId="25">
    <w:abstractNumId w:val="10"/>
  </w:num>
  <w:num w:numId="26">
    <w:abstractNumId w:val="23"/>
    <w:lvlOverride w:ilvl="0">
      <w:startOverride w:val="1"/>
    </w:lvlOverride>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2A05"/>
    <w:rsid w:val="00055BAC"/>
    <w:rsid w:val="000578A3"/>
    <w:rsid w:val="000648CC"/>
    <w:rsid w:val="000C0729"/>
    <w:rsid w:val="000C3F26"/>
    <w:rsid w:val="000C4B8A"/>
    <w:rsid w:val="000C59B8"/>
    <w:rsid w:val="000C6AF0"/>
    <w:rsid w:val="000D0A77"/>
    <w:rsid w:val="000E37EE"/>
    <w:rsid w:val="000F7993"/>
    <w:rsid w:val="00104F33"/>
    <w:rsid w:val="00110C51"/>
    <w:rsid w:val="00111DE2"/>
    <w:rsid w:val="00116B38"/>
    <w:rsid w:val="0012446D"/>
    <w:rsid w:val="001327D3"/>
    <w:rsid w:val="00134544"/>
    <w:rsid w:val="00135406"/>
    <w:rsid w:val="00135972"/>
    <w:rsid w:val="001426A9"/>
    <w:rsid w:val="00154D7C"/>
    <w:rsid w:val="001570B0"/>
    <w:rsid w:val="0015752C"/>
    <w:rsid w:val="00157737"/>
    <w:rsid w:val="00165277"/>
    <w:rsid w:val="00170592"/>
    <w:rsid w:val="001720F7"/>
    <w:rsid w:val="00182457"/>
    <w:rsid w:val="0018271A"/>
    <w:rsid w:val="00186DA2"/>
    <w:rsid w:val="00195D83"/>
    <w:rsid w:val="001A00C1"/>
    <w:rsid w:val="001A3928"/>
    <w:rsid w:val="001B33E0"/>
    <w:rsid w:val="001B4573"/>
    <w:rsid w:val="001C779F"/>
    <w:rsid w:val="001C78C1"/>
    <w:rsid w:val="001D0D29"/>
    <w:rsid w:val="001D2AC1"/>
    <w:rsid w:val="001D4E88"/>
    <w:rsid w:val="00202793"/>
    <w:rsid w:val="00204145"/>
    <w:rsid w:val="00220FC2"/>
    <w:rsid w:val="002222F4"/>
    <w:rsid w:val="00224FC0"/>
    <w:rsid w:val="00225EA4"/>
    <w:rsid w:val="00226EAF"/>
    <w:rsid w:val="00231F3A"/>
    <w:rsid w:val="0023517A"/>
    <w:rsid w:val="002406EE"/>
    <w:rsid w:val="00243EC8"/>
    <w:rsid w:val="00270D93"/>
    <w:rsid w:val="0027400A"/>
    <w:rsid w:val="002745CC"/>
    <w:rsid w:val="00282450"/>
    <w:rsid w:val="002A7C49"/>
    <w:rsid w:val="002B6FBE"/>
    <w:rsid w:val="002B7924"/>
    <w:rsid w:val="002C10A6"/>
    <w:rsid w:val="002D28C3"/>
    <w:rsid w:val="002D39A4"/>
    <w:rsid w:val="002E6705"/>
    <w:rsid w:val="002E7476"/>
    <w:rsid w:val="0030329A"/>
    <w:rsid w:val="0031086F"/>
    <w:rsid w:val="00311880"/>
    <w:rsid w:val="003131AA"/>
    <w:rsid w:val="0031414C"/>
    <w:rsid w:val="00314E01"/>
    <w:rsid w:val="0032089D"/>
    <w:rsid w:val="003310DE"/>
    <w:rsid w:val="003323B0"/>
    <w:rsid w:val="00333A21"/>
    <w:rsid w:val="00340A49"/>
    <w:rsid w:val="00344E87"/>
    <w:rsid w:val="0035169A"/>
    <w:rsid w:val="0035259D"/>
    <w:rsid w:val="00362438"/>
    <w:rsid w:val="00364B18"/>
    <w:rsid w:val="0036597E"/>
    <w:rsid w:val="00367696"/>
    <w:rsid w:val="00374290"/>
    <w:rsid w:val="003A125D"/>
    <w:rsid w:val="003A4C70"/>
    <w:rsid w:val="003A694A"/>
    <w:rsid w:val="003B180C"/>
    <w:rsid w:val="003B215F"/>
    <w:rsid w:val="003B26E9"/>
    <w:rsid w:val="003C799C"/>
    <w:rsid w:val="003D0399"/>
    <w:rsid w:val="003D746E"/>
    <w:rsid w:val="003E1C71"/>
    <w:rsid w:val="003F327B"/>
    <w:rsid w:val="00404D30"/>
    <w:rsid w:val="004051F9"/>
    <w:rsid w:val="00406166"/>
    <w:rsid w:val="0040704B"/>
    <w:rsid w:val="004100E6"/>
    <w:rsid w:val="00410A55"/>
    <w:rsid w:val="00411300"/>
    <w:rsid w:val="00411FAE"/>
    <w:rsid w:val="00413F17"/>
    <w:rsid w:val="00415417"/>
    <w:rsid w:val="00426659"/>
    <w:rsid w:val="00433ED8"/>
    <w:rsid w:val="004363CB"/>
    <w:rsid w:val="00436A58"/>
    <w:rsid w:val="0044320A"/>
    <w:rsid w:val="00450352"/>
    <w:rsid w:val="00454306"/>
    <w:rsid w:val="00454BDB"/>
    <w:rsid w:val="00463953"/>
    <w:rsid w:val="00465132"/>
    <w:rsid w:val="00467DFD"/>
    <w:rsid w:val="00467E1A"/>
    <w:rsid w:val="004773E3"/>
    <w:rsid w:val="00480C90"/>
    <w:rsid w:val="0048396F"/>
    <w:rsid w:val="00493C18"/>
    <w:rsid w:val="004A600C"/>
    <w:rsid w:val="004A6118"/>
    <w:rsid w:val="004C000E"/>
    <w:rsid w:val="004C3EAA"/>
    <w:rsid w:val="004C478D"/>
    <w:rsid w:val="004C4E51"/>
    <w:rsid w:val="004D371B"/>
    <w:rsid w:val="004D4ED6"/>
    <w:rsid w:val="004D7D95"/>
    <w:rsid w:val="004E1DF1"/>
    <w:rsid w:val="004E2C26"/>
    <w:rsid w:val="004E7B21"/>
    <w:rsid w:val="004F007E"/>
    <w:rsid w:val="004F5C23"/>
    <w:rsid w:val="004F6527"/>
    <w:rsid w:val="004F68C6"/>
    <w:rsid w:val="00504207"/>
    <w:rsid w:val="005125A8"/>
    <w:rsid w:val="0051371F"/>
    <w:rsid w:val="0051487A"/>
    <w:rsid w:val="00517549"/>
    <w:rsid w:val="0052074F"/>
    <w:rsid w:val="00520ABC"/>
    <w:rsid w:val="00521AE8"/>
    <w:rsid w:val="00527180"/>
    <w:rsid w:val="00555291"/>
    <w:rsid w:val="00566AD1"/>
    <w:rsid w:val="005778A6"/>
    <w:rsid w:val="00580CB9"/>
    <w:rsid w:val="00583EDE"/>
    <w:rsid w:val="005A16F8"/>
    <w:rsid w:val="005A6079"/>
    <w:rsid w:val="005B2669"/>
    <w:rsid w:val="005B67C8"/>
    <w:rsid w:val="005C3016"/>
    <w:rsid w:val="005E4698"/>
    <w:rsid w:val="005F4613"/>
    <w:rsid w:val="005F7FF7"/>
    <w:rsid w:val="00603924"/>
    <w:rsid w:val="00610539"/>
    <w:rsid w:val="006122C2"/>
    <w:rsid w:val="00613969"/>
    <w:rsid w:val="006234E3"/>
    <w:rsid w:val="00625C35"/>
    <w:rsid w:val="00647E49"/>
    <w:rsid w:val="006542E0"/>
    <w:rsid w:val="0065438B"/>
    <w:rsid w:val="0065533C"/>
    <w:rsid w:val="00656313"/>
    <w:rsid w:val="006565F4"/>
    <w:rsid w:val="00660C38"/>
    <w:rsid w:val="00684A34"/>
    <w:rsid w:val="00684EEA"/>
    <w:rsid w:val="0069689B"/>
    <w:rsid w:val="006B5E93"/>
    <w:rsid w:val="006B5FF5"/>
    <w:rsid w:val="006D1DAF"/>
    <w:rsid w:val="006F30AF"/>
    <w:rsid w:val="006F4BF4"/>
    <w:rsid w:val="00701759"/>
    <w:rsid w:val="00705C15"/>
    <w:rsid w:val="0070706C"/>
    <w:rsid w:val="007110F6"/>
    <w:rsid w:val="007208D1"/>
    <w:rsid w:val="00724F7D"/>
    <w:rsid w:val="00725B45"/>
    <w:rsid w:val="00730DBB"/>
    <w:rsid w:val="00735462"/>
    <w:rsid w:val="00736BDD"/>
    <w:rsid w:val="00744518"/>
    <w:rsid w:val="00747288"/>
    <w:rsid w:val="00747DD3"/>
    <w:rsid w:val="00754694"/>
    <w:rsid w:val="007549C8"/>
    <w:rsid w:val="00766D14"/>
    <w:rsid w:val="00767A0F"/>
    <w:rsid w:val="00791272"/>
    <w:rsid w:val="0079423E"/>
    <w:rsid w:val="007A05F6"/>
    <w:rsid w:val="007B6F4A"/>
    <w:rsid w:val="007C513A"/>
    <w:rsid w:val="007D0336"/>
    <w:rsid w:val="007D2AF6"/>
    <w:rsid w:val="007E0A33"/>
    <w:rsid w:val="007E1C47"/>
    <w:rsid w:val="007E337A"/>
    <w:rsid w:val="007E5C70"/>
    <w:rsid w:val="007E685A"/>
    <w:rsid w:val="007F2FF5"/>
    <w:rsid w:val="007F3F08"/>
    <w:rsid w:val="00802656"/>
    <w:rsid w:val="00804CC6"/>
    <w:rsid w:val="00806345"/>
    <w:rsid w:val="00817190"/>
    <w:rsid w:val="008260E2"/>
    <w:rsid w:val="00826235"/>
    <w:rsid w:val="008322BD"/>
    <w:rsid w:val="008331D7"/>
    <w:rsid w:val="00834909"/>
    <w:rsid w:val="00834F73"/>
    <w:rsid w:val="008574BF"/>
    <w:rsid w:val="00864C8A"/>
    <w:rsid w:val="00864CF8"/>
    <w:rsid w:val="00874914"/>
    <w:rsid w:val="00884FEB"/>
    <w:rsid w:val="00885BF7"/>
    <w:rsid w:val="00891422"/>
    <w:rsid w:val="00892E1A"/>
    <w:rsid w:val="008A1CF0"/>
    <w:rsid w:val="008B660A"/>
    <w:rsid w:val="008C01DA"/>
    <w:rsid w:val="008C72F8"/>
    <w:rsid w:val="008D00E1"/>
    <w:rsid w:val="008F1E5B"/>
    <w:rsid w:val="008F2674"/>
    <w:rsid w:val="008F78E9"/>
    <w:rsid w:val="00916429"/>
    <w:rsid w:val="009179F9"/>
    <w:rsid w:val="00917C7A"/>
    <w:rsid w:val="00933E5E"/>
    <w:rsid w:val="00935218"/>
    <w:rsid w:val="00937C52"/>
    <w:rsid w:val="009403F3"/>
    <w:rsid w:val="009555B7"/>
    <w:rsid w:val="009567AA"/>
    <w:rsid w:val="009602C9"/>
    <w:rsid w:val="00963817"/>
    <w:rsid w:val="00966416"/>
    <w:rsid w:val="00967374"/>
    <w:rsid w:val="00970885"/>
    <w:rsid w:val="0097202E"/>
    <w:rsid w:val="00980582"/>
    <w:rsid w:val="009847E4"/>
    <w:rsid w:val="009A343A"/>
    <w:rsid w:val="009B2F23"/>
    <w:rsid w:val="009B57B3"/>
    <w:rsid w:val="009C6E31"/>
    <w:rsid w:val="009D2920"/>
    <w:rsid w:val="009D2F43"/>
    <w:rsid w:val="009D4A02"/>
    <w:rsid w:val="009D5AEB"/>
    <w:rsid w:val="009D72AD"/>
    <w:rsid w:val="009E198C"/>
    <w:rsid w:val="009E2808"/>
    <w:rsid w:val="009F0E33"/>
    <w:rsid w:val="00A149DF"/>
    <w:rsid w:val="00A15867"/>
    <w:rsid w:val="00A1755C"/>
    <w:rsid w:val="00A21B90"/>
    <w:rsid w:val="00A22AAC"/>
    <w:rsid w:val="00A30664"/>
    <w:rsid w:val="00A32016"/>
    <w:rsid w:val="00A41805"/>
    <w:rsid w:val="00A456C9"/>
    <w:rsid w:val="00A5100C"/>
    <w:rsid w:val="00A51882"/>
    <w:rsid w:val="00A518EC"/>
    <w:rsid w:val="00A52AFB"/>
    <w:rsid w:val="00A548CB"/>
    <w:rsid w:val="00A5521C"/>
    <w:rsid w:val="00A55C3A"/>
    <w:rsid w:val="00A643E7"/>
    <w:rsid w:val="00A67418"/>
    <w:rsid w:val="00A7127C"/>
    <w:rsid w:val="00A73C38"/>
    <w:rsid w:val="00A764A3"/>
    <w:rsid w:val="00A921A7"/>
    <w:rsid w:val="00AB670D"/>
    <w:rsid w:val="00AC6542"/>
    <w:rsid w:val="00AD06B4"/>
    <w:rsid w:val="00AE02FC"/>
    <w:rsid w:val="00AE45F0"/>
    <w:rsid w:val="00AF03C5"/>
    <w:rsid w:val="00AF2DB1"/>
    <w:rsid w:val="00AF3752"/>
    <w:rsid w:val="00AF669A"/>
    <w:rsid w:val="00B000D8"/>
    <w:rsid w:val="00B00F75"/>
    <w:rsid w:val="00B145B6"/>
    <w:rsid w:val="00B279EB"/>
    <w:rsid w:val="00B50C81"/>
    <w:rsid w:val="00B51F0D"/>
    <w:rsid w:val="00B557F8"/>
    <w:rsid w:val="00B654EA"/>
    <w:rsid w:val="00B707B6"/>
    <w:rsid w:val="00B815FC"/>
    <w:rsid w:val="00B81EBF"/>
    <w:rsid w:val="00B862E3"/>
    <w:rsid w:val="00B93FBC"/>
    <w:rsid w:val="00B97000"/>
    <w:rsid w:val="00BA16CE"/>
    <w:rsid w:val="00BA7DA0"/>
    <w:rsid w:val="00BB2EE4"/>
    <w:rsid w:val="00BB4C92"/>
    <w:rsid w:val="00BC2108"/>
    <w:rsid w:val="00BC2DEE"/>
    <w:rsid w:val="00BD0E9E"/>
    <w:rsid w:val="00BD1BEC"/>
    <w:rsid w:val="00BD32FF"/>
    <w:rsid w:val="00BD7BC4"/>
    <w:rsid w:val="00BE47E0"/>
    <w:rsid w:val="00BF6FE9"/>
    <w:rsid w:val="00C02092"/>
    <w:rsid w:val="00C06F04"/>
    <w:rsid w:val="00C1132F"/>
    <w:rsid w:val="00C13F6C"/>
    <w:rsid w:val="00C2411D"/>
    <w:rsid w:val="00C24D91"/>
    <w:rsid w:val="00C26DB2"/>
    <w:rsid w:val="00C31EAE"/>
    <w:rsid w:val="00C347AD"/>
    <w:rsid w:val="00C362F0"/>
    <w:rsid w:val="00C40BBD"/>
    <w:rsid w:val="00C40D33"/>
    <w:rsid w:val="00C44BFC"/>
    <w:rsid w:val="00C53F14"/>
    <w:rsid w:val="00C600CF"/>
    <w:rsid w:val="00C6084F"/>
    <w:rsid w:val="00C62A66"/>
    <w:rsid w:val="00C65E3E"/>
    <w:rsid w:val="00C66359"/>
    <w:rsid w:val="00C71458"/>
    <w:rsid w:val="00C7431F"/>
    <w:rsid w:val="00C77613"/>
    <w:rsid w:val="00C828E7"/>
    <w:rsid w:val="00C85B5F"/>
    <w:rsid w:val="00C86719"/>
    <w:rsid w:val="00C921DD"/>
    <w:rsid w:val="00CA6391"/>
    <w:rsid w:val="00CB71EE"/>
    <w:rsid w:val="00CD4D6D"/>
    <w:rsid w:val="00CE036E"/>
    <w:rsid w:val="00CE3171"/>
    <w:rsid w:val="00CF1601"/>
    <w:rsid w:val="00D0172F"/>
    <w:rsid w:val="00D01E33"/>
    <w:rsid w:val="00D068A7"/>
    <w:rsid w:val="00D06A0A"/>
    <w:rsid w:val="00D17476"/>
    <w:rsid w:val="00D17B0E"/>
    <w:rsid w:val="00D22257"/>
    <w:rsid w:val="00D32086"/>
    <w:rsid w:val="00D37A3F"/>
    <w:rsid w:val="00D40D23"/>
    <w:rsid w:val="00D4431D"/>
    <w:rsid w:val="00D4667A"/>
    <w:rsid w:val="00D63A1C"/>
    <w:rsid w:val="00D748DD"/>
    <w:rsid w:val="00D7516F"/>
    <w:rsid w:val="00D764CE"/>
    <w:rsid w:val="00D95F8E"/>
    <w:rsid w:val="00DA0590"/>
    <w:rsid w:val="00DC1739"/>
    <w:rsid w:val="00DC1788"/>
    <w:rsid w:val="00DE319C"/>
    <w:rsid w:val="00DF0CA8"/>
    <w:rsid w:val="00DF2B48"/>
    <w:rsid w:val="00DF3286"/>
    <w:rsid w:val="00DF49A7"/>
    <w:rsid w:val="00E07EE2"/>
    <w:rsid w:val="00E07FD1"/>
    <w:rsid w:val="00E2338D"/>
    <w:rsid w:val="00E24573"/>
    <w:rsid w:val="00E25E1E"/>
    <w:rsid w:val="00E27EE7"/>
    <w:rsid w:val="00E35404"/>
    <w:rsid w:val="00E45109"/>
    <w:rsid w:val="00E47B7A"/>
    <w:rsid w:val="00E56A44"/>
    <w:rsid w:val="00E57281"/>
    <w:rsid w:val="00E60269"/>
    <w:rsid w:val="00E61E76"/>
    <w:rsid w:val="00E97830"/>
    <w:rsid w:val="00E97E86"/>
    <w:rsid w:val="00EA0B1D"/>
    <w:rsid w:val="00EA618F"/>
    <w:rsid w:val="00EB35A4"/>
    <w:rsid w:val="00EC7C1C"/>
    <w:rsid w:val="00EE0830"/>
    <w:rsid w:val="00EE6CB8"/>
    <w:rsid w:val="00EF0683"/>
    <w:rsid w:val="00F0070C"/>
    <w:rsid w:val="00F00EB7"/>
    <w:rsid w:val="00F13686"/>
    <w:rsid w:val="00F30F0C"/>
    <w:rsid w:val="00F33AC5"/>
    <w:rsid w:val="00F36AB6"/>
    <w:rsid w:val="00F37A09"/>
    <w:rsid w:val="00F409CE"/>
    <w:rsid w:val="00F4379D"/>
    <w:rsid w:val="00F50D2D"/>
    <w:rsid w:val="00F53F09"/>
    <w:rsid w:val="00F56C8B"/>
    <w:rsid w:val="00F608D5"/>
    <w:rsid w:val="00F62639"/>
    <w:rsid w:val="00F62C5D"/>
    <w:rsid w:val="00F66810"/>
    <w:rsid w:val="00F8298D"/>
    <w:rsid w:val="00F84DF4"/>
    <w:rsid w:val="00F85C97"/>
    <w:rsid w:val="00F92710"/>
    <w:rsid w:val="00F955E1"/>
    <w:rsid w:val="00FA1865"/>
    <w:rsid w:val="00FB37D2"/>
    <w:rsid w:val="00FB7DE8"/>
    <w:rsid w:val="00FC027F"/>
    <w:rsid w:val="00FC4EFB"/>
    <w:rsid w:val="00FD068D"/>
    <w:rsid w:val="00FD4F28"/>
    <w:rsid w:val="00FE6784"/>
    <w:rsid w:val="00FE7A8B"/>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27F"/>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0DBB"/>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30DBB"/>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30DBB"/>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30DBB"/>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30DBB"/>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30DBB"/>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30DBB"/>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NoSpacing">
    <w:name w:val="No Spacing"/>
    <w:basedOn w:val="Normal"/>
    <w:uiPriority w:val="1"/>
    <w:qFormat/>
    <w:rsid w:val="004C4E51"/>
    <w:rPr>
      <w:rFonts w:ascii="Calibri" w:eastAsiaTheme="minorHAnsi" w:hAnsi="Calibri"/>
      <w:szCs w:val="24"/>
      <w:lang w:val="en-US" w:eastAsia="en-US"/>
    </w:rPr>
  </w:style>
  <w:style w:type="paragraph" w:customStyle="1" w:styleId="ParaNoNdepar-AltN">
    <w:name w:val="Para. No. / Nº de par. - Alt N"/>
    <w:link w:val="ParaNoNdepar-AltNChar"/>
    <w:qFormat/>
    <w:rsid w:val="00AE02FC"/>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AE02FC"/>
    <w:rPr>
      <w:rFonts w:eastAsiaTheme="minorEastAsia" w:cstheme="minorBidi"/>
      <w:sz w:val="24"/>
      <w:szCs w:val="22"/>
      <w:lang w:eastAsia="en-US"/>
    </w:rPr>
  </w:style>
  <w:style w:type="character" w:customStyle="1" w:styleId="reflex3-block">
    <w:name w:val="reflex3-block"/>
    <w:basedOn w:val="DefaultParagraphFont"/>
    <w:rsid w:val="00AE02FC"/>
  </w:style>
  <w:style w:type="character" w:customStyle="1" w:styleId="Heading3Char">
    <w:name w:val="Heading 3 Char"/>
    <w:basedOn w:val="DefaultParagraphFont"/>
    <w:link w:val="Heading3"/>
    <w:uiPriority w:val="9"/>
    <w:semiHidden/>
    <w:rsid w:val="00730DBB"/>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30DBB"/>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30DBB"/>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30DBB"/>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30DBB"/>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30DBB"/>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30DBB"/>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730DBB"/>
    <w:pPr>
      <w:spacing w:after="480"/>
    </w:pPr>
    <w:rPr>
      <w:rFonts w:eastAsiaTheme="minorHAnsi" w:cstheme="minorBidi"/>
      <w:szCs w:val="22"/>
      <w:lang w:eastAsia="en-US"/>
    </w:rPr>
  </w:style>
  <w:style w:type="paragraph" w:customStyle="1" w:styleId="SCCCoram">
    <w:name w:val="SCC.Coram"/>
    <w:basedOn w:val="Normal"/>
    <w:next w:val="Normal"/>
    <w:link w:val="SCCCoramChar"/>
    <w:rsid w:val="00730DB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30DB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30DBB"/>
    <w:rPr>
      <w:rFonts w:eastAsiaTheme="minorHAnsi" w:cstheme="minorBidi"/>
      <w:sz w:val="24"/>
      <w:szCs w:val="22"/>
      <w:lang w:eastAsia="en-US"/>
    </w:rPr>
  </w:style>
  <w:style w:type="character" w:customStyle="1" w:styleId="SCCBanSummaryChar">
    <w:name w:val="SCC.BanSummary Char"/>
    <w:basedOn w:val="DefaultParagraphFont"/>
    <w:link w:val="SCCBanSummary"/>
    <w:rsid w:val="00730DBB"/>
    <w:rPr>
      <w:b/>
      <w:sz w:val="24"/>
    </w:rPr>
  </w:style>
  <w:style w:type="table" w:styleId="TableGrid">
    <w:name w:val="Table Grid"/>
    <w:basedOn w:val="TableNormal"/>
    <w:uiPriority w:val="59"/>
    <w:rsid w:val="00730DB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30DB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30DBB"/>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30DB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30DB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30DB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30DBB"/>
    <w:pPr>
      <w:numPr>
        <w:ilvl w:val="2"/>
      </w:numPr>
      <w:outlineLvl w:val="2"/>
    </w:pPr>
  </w:style>
  <w:style w:type="paragraph" w:customStyle="1" w:styleId="Title4LevelTitre4Niveau">
    <w:name w:val="Title 4 Level / Titre 4 Niveau"/>
    <w:basedOn w:val="Title3LevelTitre3Niveau"/>
    <w:next w:val="ParaNoNdepar-AltN"/>
    <w:uiPriority w:val="4"/>
    <w:qFormat/>
    <w:rsid w:val="00730DB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30DBB"/>
    <w:pPr>
      <w:numPr>
        <w:ilvl w:val="4"/>
      </w:numPr>
      <w:outlineLvl w:val="4"/>
    </w:pPr>
  </w:style>
  <w:style w:type="paragraph" w:styleId="TOC1">
    <w:name w:val="toc 1"/>
    <w:basedOn w:val="Normal"/>
    <w:next w:val="Normal"/>
    <w:autoRedefine/>
    <w:uiPriority w:val="39"/>
    <w:unhideWhenUsed/>
    <w:rsid w:val="00730DB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30DB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30DB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30DB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30DB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30DBB"/>
    <w:pPr>
      <w:tabs>
        <w:tab w:val="left" w:pos="2160"/>
        <w:tab w:val="right" w:leader="dot" w:pos="8270"/>
      </w:tabs>
      <w:spacing w:after="100"/>
      <w:ind w:left="1800"/>
    </w:pPr>
    <w:rPr>
      <w:noProof/>
    </w:rPr>
  </w:style>
  <w:style w:type="table" w:customStyle="1" w:styleId="TableGrid1">
    <w:name w:val="Table Grid1"/>
    <w:basedOn w:val="TableNormal"/>
    <w:uiPriority w:val="59"/>
    <w:rsid w:val="00730DB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30DB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30DBB"/>
    <w:pPr>
      <w:numPr>
        <w:ilvl w:val="5"/>
      </w:numPr>
      <w:outlineLvl w:val="5"/>
    </w:pPr>
    <w:rPr>
      <w:i/>
      <w:u w:val="none"/>
    </w:rPr>
  </w:style>
  <w:style w:type="paragraph" w:styleId="FootnoteText">
    <w:name w:val="footnote text"/>
    <w:basedOn w:val="Normal"/>
    <w:link w:val="FootnoteTextChar"/>
    <w:uiPriority w:val="99"/>
    <w:unhideWhenUsed/>
    <w:rsid w:val="00730DB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30DBB"/>
  </w:style>
  <w:style w:type="character" w:styleId="FootnoteReference">
    <w:name w:val="footnote reference"/>
    <w:basedOn w:val="DefaultParagraphFont"/>
    <w:uiPriority w:val="99"/>
    <w:unhideWhenUsed/>
    <w:rsid w:val="00730DBB"/>
    <w:rPr>
      <w:vertAlign w:val="superscript"/>
    </w:rPr>
  </w:style>
  <w:style w:type="paragraph" w:styleId="ListParagraph">
    <w:name w:val="List Paragraph"/>
    <w:basedOn w:val="Normal"/>
    <w:uiPriority w:val="34"/>
    <w:qFormat/>
    <w:rsid w:val="00730DBB"/>
    <w:pPr>
      <w:ind w:left="720"/>
      <w:contextualSpacing/>
    </w:pPr>
    <w:rPr>
      <w:rFonts w:eastAsiaTheme="minorHAnsi" w:cstheme="minorBidi"/>
      <w:szCs w:val="22"/>
      <w:lang w:val="en-US" w:eastAsia="en-US" w:bidi="en-US"/>
    </w:rPr>
  </w:style>
  <w:style w:type="character" w:styleId="Hyperlink">
    <w:name w:val="Hyperlink"/>
    <w:basedOn w:val="DefaultParagraphFont"/>
    <w:uiPriority w:val="99"/>
    <w:unhideWhenUsed/>
    <w:rsid w:val="00730DBB"/>
    <w:rPr>
      <w:color w:val="0000FF" w:themeColor="hyperlink"/>
      <w:u w:val="single"/>
    </w:rPr>
  </w:style>
  <w:style w:type="character" w:customStyle="1" w:styleId="canliisection1">
    <w:name w:val="canlii_section1"/>
    <w:basedOn w:val="DefaultParagraphFont"/>
    <w:rsid w:val="00730DBB"/>
    <w:rPr>
      <w:strike w:val="0"/>
      <w:dstrike w:val="0"/>
      <w:color w:val="027ABB"/>
      <w:u w:val="none"/>
      <w:effect w:val="none"/>
    </w:rPr>
  </w:style>
  <w:style w:type="character" w:customStyle="1" w:styleId="reflex3-alt">
    <w:name w:val="reflex3-alt"/>
    <w:basedOn w:val="DefaultParagraphFont"/>
    <w:rsid w:val="00730DBB"/>
  </w:style>
  <w:style w:type="character" w:styleId="CommentReference">
    <w:name w:val="annotation reference"/>
    <w:basedOn w:val="DefaultParagraphFont"/>
    <w:uiPriority w:val="99"/>
    <w:semiHidden/>
    <w:unhideWhenUsed/>
    <w:rsid w:val="00730DBB"/>
    <w:rPr>
      <w:sz w:val="16"/>
      <w:szCs w:val="16"/>
    </w:rPr>
  </w:style>
  <w:style w:type="paragraph" w:styleId="CommentText">
    <w:name w:val="annotation text"/>
    <w:basedOn w:val="Normal"/>
    <w:link w:val="CommentTextChar"/>
    <w:uiPriority w:val="99"/>
    <w:semiHidden/>
    <w:unhideWhenUsed/>
    <w:rsid w:val="00730DBB"/>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730DBB"/>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730DBB"/>
    <w:rPr>
      <w:b/>
      <w:bCs/>
    </w:rPr>
  </w:style>
  <w:style w:type="character" w:customStyle="1" w:styleId="CommentSubjectChar">
    <w:name w:val="Comment Subject Char"/>
    <w:basedOn w:val="CommentTextChar"/>
    <w:link w:val="CommentSubject"/>
    <w:uiPriority w:val="99"/>
    <w:semiHidden/>
    <w:rsid w:val="00730DBB"/>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730DBB"/>
    <w:rPr>
      <w:smallCaps/>
      <w:sz w:val="24"/>
      <w:szCs w:val="24"/>
    </w:rPr>
  </w:style>
  <w:style w:type="paragraph" w:styleId="TOCHeading">
    <w:name w:val="TOC Heading"/>
    <w:basedOn w:val="Heading1"/>
    <w:next w:val="Normal"/>
    <w:uiPriority w:val="39"/>
    <w:unhideWhenUsed/>
    <w:qFormat/>
    <w:rsid w:val="00730DBB"/>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30DBB"/>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730D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30DBB"/>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30DBB"/>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30DBB"/>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730DBB"/>
    <w:rPr>
      <w:i/>
      <w:iCs/>
    </w:rPr>
  </w:style>
  <w:style w:type="paragraph" w:styleId="IntenseQuote">
    <w:name w:val="Intense Quote"/>
    <w:basedOn w:val="Normal"/>
    <w:next w:val="Normal"/>
    <w:link w:val="IntenseQuoteChar"/>
    <w:uiPriority w:val="30"/>
    <w:rsid w:val="00730DBB"/>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30DBB"/>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730DBB"/>
    <w:rPr>
      <w:i/>
      <w:iCs/>
      <w:color w:val="808080" w:themeColor="text1" w:themeTint="7F"/>
    </w:rPr>
  </w:style>
  <w:style w:type="character" w:styleId="IntenseEmphasis">
    <w:name w:val="Intense Emphasis"/>
    <w:basedOn w:val="DefaultParagraphFont"/>
    <w:uiPriority w:val="21"/>
    <w:rsid w:val="00730DBB"/>
    <w:rPr>
      <w:b/>
      <w:bCs/>
      <w:i/>
      <w:iCs/>
      <w:color w:val="4F81BD" w:themeColor="accent1"/>
    </w:rPr>
  </w:style>
  <w:style w:type="character" w:styleId="SubtleReference">
    <w:name w:val="Subtle Reference"/>
    <w:basedOn w:val="DefaultParagraphFont"/>
    <w:uiPriority w:val="31"/>
    <w:rsid w:val="00730DBB"/>
    <w:rPr>
      <w:smallCaps/>
      <w:color w:val="C0504D" w:themeColor="accent2"/>
      <w:u w:val="single"/>
    </w:rPr>
  </w:style>
  <w:style w:type="character" w:styleId="IntenseReference">
    <w:name w:val="Intense Reference"/>
    <w:basedOn w:val="DefaultParagraphFont"/>
    <w:uiPriority w:val="32"/>
    <w:rsid w:val="00730DBB"/>
    <w:rPr>
      <w:b/>
      <w:bCs/>
      <w:smallCaps/>
      <w:color w:val="C0504D" w:themeColor="accent2"/>
      <w:spacing w:val="5"/>
      <w:u w:val="single"/>
    </w:rPr>
  </w:style>
  <w:style w:type="character" w:styleId="BookTitle">
    <w:name w:val="Book Title"/>
    <w:basedOn w:val="DefaultParagraphFont"/>
    <w:uiPriority w:val="33"/>
    <w:rsid w:val="00730DBB"/>
    <w:rPr>
      <w:b/>
      <w:bCs/>
      <w:smallCaps/>
      <w:spacing w:val="5"/>
    </w:rPr>
  </w:style>
  <w:style w:type="paragraph" w:styleId="Revision">
    <w:name w:val="Revision"/>
    <w:hidden/>
    <w:uiPriority w:val="99"/>
    <w:semiHidden/>
    <w:rsid w:val="00730DBB"/>
    <w:rPr>
      <w:rFonts w:eastAsiaTheme="minorHAnsi" w:cstheme="minorBidi"/>
      <w:sz w:val="24"/>
      <w:szCs w:val="22"/>
      <w:lang w:val="en-US" w:eastAsia="en-US" w:bidi="en-US"/>
    </w:rPr>
  </w:style>
  <w:style w:type="character" w:customStyle="1" w:styleId="canliisection">
    <w:name w:val="canlii_section"/>
    <w:basedOn w:val="DefaultParagraphFont"/>
    <w:rsid w:val="00730DBB"/>
  </w:style>
  <w:style w:type="character" w:customStyle="1" w:styleId="label-z">
    <w:name w:val="label-z"/>
    <w:basedOn w:val="DefaultParagraphFont"/>
    <w:rsid w:val="00730DBB"/>
  </w:style>
  <w:style w:type="character" w:customStyle="1" w:styleId="widthfixforlabel">
    <w:name w:val="widthfixforlabel"/>
    <w:basedOn w:val="DefaultParagraphFont"/>
    <w:rsid w:val="00730DBB"/>
  </w:style>
  <w:style w:type="paragraph" w:customStyle="1" w:styleId="paranondepar-altn0">
    <w:name w:val="paranondepar-altn"/>
    <w:basedOn w:val="Normal"/>
    <w:rsid w:val="00730DBB"/>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730DB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34909"/>
    <w:rPr>
      <w:lang w:val="fr-CA"/>
    </w:rPr>
  </w:style>
  <w:style w:type="paragraph" w:customStyle="1" w:styleId="SCCLsocPrefix">
    <w:name w:val="SCC.Lsoc.Prefix"/>
    <w:basedOn w:val="Normal"/>
    <w:next w:val="Normal"/>
    <w:link w:val="SCCLsocPrefixChar"/>
    <w:rsid w:val="00834909"/>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834909"/>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2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092B-CFC4-49DF-B8AF-B3A690CC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15119</Words>
  <Characters>86180</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2018-02-02T18:23:00Z</dcterms:created>
  <dcterms:modified xsi:type="dcterms:W3CDTF">2019-03-25T18:47:00Z</dcterms:modified>
</cp:coreProperties>
</file>