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5F" w:rsidRDefault="000D2B5F" w:rsidP="00594506">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8" o:title=""/>
          </v:shape>
          <o:OLEObject Type="Embed" ProgID="Presentations.Drawing.13" ShapeID="_x0000_i1025" DrawAspect="Content" ObjectID="_1615030675" r:id="rId9"/>
        </w:object>
      </w:r>
      <w:bookmarkEnd w:id="0"/>
      <w:r>
        <w:t xml:space="preserve"> </w:t>
      </w:r>
      <w:r>
        <w:ptab w:relativeTo="margin" w:alignment="right" w:leader="none"/>
      </w:r>
    </w:p>
    <w:p w:rsidR="000D2B5F" w:rsidRDefault="000D2B5F" w:rsidP="000D2B5F">
      <w:pPr>
        <w:pStyle w:val="Header"/>
      </w:pPr>
    </w:p>
    <w:p w:rsidR="000D2B5F" w:rsidRPr="001E12E2" w:rsidRDefault="000D2B5F" w:rsidP="000D2B5F">
      <w:pPr>
        <w:jc w:val="center"/>
        <w:rPr>
          <w:b/>
        </w:rPr>
      </w:pPr>
      <w:r w:rsidRPr="001E12E2">
        <w:rPr>
          <w:b/>
        </w:rPr>
        <w:t>COUR SUPRÊME DU CANADA</w:t>
      </w:r>
    </w:p>
    <w:p w:rsidR="000D2B5F" w:rsidRDefault="000D2B5F" w:rsidP="000D2B5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0D2B5F" w:rsidRPr="001E12E2" w:rsidTr="00897708">
        <w:trPr>
          <w:cantSplit/>
        </w:trPr>
        <w:tc>
          <w:tcPr>
            <w:tcW w:w="5310" w:type="dxa"/>
          </w:tcPr>
          <w:p w:rsidR="000D2B5F" w:rsidRPr="000D2B5F" w:rsidRDefault="000D2B5F" w:rsidP="00897708">
            <w:pPr>
              <w:rPr>
                <w:lang w:val="fr-CA"/>
              </w:rPr>
            </w:pPr>
            <w:r w:rsidRPr="000D2B5F">
              <w:rPr>
                <w:b/>
                <w:smallCaps/>
                <w:lang w:val="fr-CA"/>
              </w:rPr>
              <w:t>Référence :</w:t>
            </w:r>
            <w:r w:rsidRPr="000D2B5F">
              <w:rPr>
                <w:lang w:val="fr-CA"/>
              </w:rPr>
              <w:t xml:space="preserve"> </w:t>
            </w:r>
            <w:r w:rsidRPr="006A4755">
              <w:rPr>
                <w:rStyle w:val="SCCAppellantForRunningHeadChar"/>
                <w:lang w:val="fr-CA"/>
              </w:rPr>
              <w:t xml:space="preserve">R. </w:t>
            </w:r>
            <w:r w:rsidRPr="00DA3F94">
              <w:rPr>
                <w:rStyle w:val="SCCAppellantForRunningHeadChar"/>
                <w:i/>
                <w:smallCaps w:val="0"/>
                <w:lang w:val="fr-CA"/>
              </w:rPr>
              <w:t>c</w:t>
            </w:r>
            <w:r w:rsidRPr="006A4755">
              <w:rPr>
                <w:rStyle w:val="SCCAppellantForRunningHeadChar"/>
                <w:i/>
                <w:lang w:val="fr-CA"/>
              </w:rPr>
              <w:t>.</w:t>
            </w:r>
            <w:r w:rsidRPr="006A4755">
              <w:rPr>
                <w:rStyle w:val="SCCAppellantForRunningHeadChar"/>
                <w:lang w:val="fr-CA"/>
              </w:rPr>
              <w:t xml:space="preserve"> </w:t>
            </w:r>
            <w:r w:rsidR="00D8556D">
              <w:rPr>
                <w:rStyle w:val="SCCAppellantForRunningHeadChar"/>
                <w:lang w:val="fr-CA"/>
              </w:rPr>
              <w:t>G.T.D.</w:t>
            </w:r>
            <w:r w:rsidRPr="006A4755">
              <w:rPr>
                <w:rStyle w:val="SCCAppellantForRunningHeadChar"/>
                <w:lang w:val="fr-CA"/>
              </w:rPr>
              <w:t xml:space="preserve">, </w:t>
            </w:r>
            <w:r w:rsidRPr="000D2B5F">
              <w:rPr>
                <w:lang w:val="fr-CA"/>
              </w:rPr>
              <w:t>2018 CSC 7, [2018] 1 R.C.S. 220</w:t>
            </w:r>
          </w:p>
        </w:tc>
        <w:tc>
          <w:tcPr>
            <w:tcW w:w="4266" w:type="dxa"/>
          </w:tcPr>
          <w:p w:rsidR="000D2B5F" w:rsidRPr="000D2B5F" w:rsidRDefault="000D2B5F" w:rsidP="00897708">
            <w:pPr>
              <w:rPr>
                <w:lang w:val="fr-CA"/>
              </w:rPr>
            </w:pPr>
            <w:r w:rsidRPr="000D2B5F">
              <w:rPr>
                <w:b/>
                <w:smallCaps/>
                <w:lang w:val="fr-CA"/>
              </w:rPr>
              <w:t>Appel entendu:</w:t>
            </w:r>
            <w:r w:rsidRPr="000D2B5F">
              <w:rPr>
                <w:lang w:val="fr-CA"/>
              </w:rPr>
              <w:t xml:space="preserve"> 14 février 2018</w:t>
            </w:r>
          </w:p>
          <w:p w:rsidR="000D2B5F" w:rsidRPr="000D2B5F" w:rsidRDefault="000D2B5F" w:rsidP="00897708">
            <w:pPr>
              <w:rPr>
                <w:b/>
                <w:smallCaps/>
                <w:lang w:val="fr-CA"/>
              </w:rPr>
            </w:pPr>
            <w:r w:rsidRPr="000D2B5F">
              <w:rPr>
                <w:b/>
                <w:smallCaps/>
                <w:lang w:val="fr-CA"/>
              </w:rPr>
              <w:t>Jugement rendu :</w:t>
            </w:r>
            <w:r w:rsidRPr="000D2B5F">
              <w:rPr>
                <w:lang w:val="fr-CA"/>
              </w:rPr>
              <w:t xml:space="preserve"> 14 février 2018</w:t>
            </w:r>
          </w:p>
          <w:p w:rsidR="000D2B5F" w:rsidRPr="001E12E2" w:rsidRDefault="000D2B5F" w:rsidP="00897708">
            <w:r w:rsidRPr="001E12E2">
              <w:rPr>
                <w:b/>
                <w:smallCaps/>
              </w:rPr>
              <w:t>Do</w:t>
            </w:r>
            <w:r>
              <w:rPr>
                <w:b/>
                <w:smallCaps/>
              </w:rPr>
              <w:t>ssiers :</w:t>
            </w:r>
            <w:r w:rsidRPr="001E12E2">
              <w:t xml:space="preserve"> </w:t>
            </w:r>
            <w:r>
              <w:t>37756</w:t>
            </w:r>
          </w:p>
        </w:tc>
      </w:tr>
    </w:tbl>
    <w:p w:rsidR="000D2B5F" w:rsidRDefault="000D2B5F" w:rsidP="000D2B5F">
      <w:pPr>
        <w:pStyle w:val="SCCLsocPrefix"/>
      </w:pPr>
    </w:p>
    <w:p w:rsidR="000D2B5F" w:rsidRDefault="000D2B5F" w:rsidP="000D2B5F">
      <w:pPr>
        <w:pStyle w:val="SCCLsocPrefix"/>
      </w:pPr>
    </w:p>
    <w:p w:rsidR="000D2B5F" w:rsidRDefault="000D2B5F" w:rsidP="000D2B5F">
      <w:pPr>
        <w:pStyle w:val="SCCLsocPrefix"/>
      </w:pPr>
      <w:r>
        <w:t>Entre :</w:t>
      </w:r>
    </w:p>
    <w:p w:rsidR="000D2B5F" w:rsidRPr="00F94606" w:rsidRDefault="000D2B5F" w:rsidP="000D2B5F">
      <w:pPr>
        <w:jc w:val="center"/>
        <w:rPr>
          <w:b/>
        </w:rPr>
      </w:pPr>
      <w:r>
        <w:rPr>
          <w:b/>
        </w:rPr>
        <w:t>G.T.D.</w:t>
      </w:r>
    </w:p>
    <w:p w:rsidR="000D2B5F" w:rsidRPr="00D85283" w:rsidRDefault="000D2B5F" w:rsidP="000D2B5F">
      <w:pPr>
        <w:jc w:val="center"/>
      </w:pPr>
      <w:r w:rsidRPr="00D85283">
        <w:t>Appelant</w:t>
      </w:r>
    </w:p>
    <w:p w:rsidR="000D2B5F" w:rsidRPr="00D85283" w:rsidRDefault="000D2B5F" w:rsidP="000D2B5F">
      <w:pPr>
        <w:jc w:val="center"/>
      </w:pPr>
    </w:p>
    <w:p w:rsidR="000D2B5F" w:rsidRPr="000D2B5F" w:rsidRDefault="000D2B5F" w:rsidP="000D2B5F">
      <w:pPr>
        <w:pStyle w:val="SCCLsocVersus"/>
        <w:spacing w:after="0"/>
        <w:jc w:val="center"/>
        <w:rPr>
          <w:i w:val="0"/>
        </w:rPr>
      </w:pPr>
      <w:r w:rsidRPr="000D2B5F">
        <w:rPr>
          <w:i w:val="0"/>
        </w:rPr>
        <w:t>et</w:t>
      </w:r>
    </w:p>
    <w:p w:rsidR="000D2B5F" w:rsidRPr="0033260A" w:rsidRDefault="000D2B5F" w:rsidP="000D2B5F">
      <w:pPr>
        <w:jc w:val="center"/>
      </w:pPr>
    </w:p>
    <w:p w:rsidR="000D2B5F" w:rsidRPr="000D2B5F" w:rsidRDefault="000D2B5F" w:rsidP="000D2B5F">
      <w:pPr>
        <w:pStyle w:val="SCCLsocParty"/>
        <w:jc w:val="center"/>
        <w:rPr>
          <w:lang w:val="fr-CA"/>
        </w:rPr>
      </w:pPr>
      <w:r w:rsidRPr="000D2B5F">
        <w:rPr>
          <w:lang w:val="fr-CA"/>
        </w:rPr>
        <w:t>Sa Majesté la Reine</w:t>
      </w:r>
    </w:p>
    <w:p w:rsidR="000D2B5F" w:rsidRPr="000D2B5F" w:rsidRDefault="000D2B5F" w:rsidP="000D2B5F">
      <w:pPr>
        <w:jc w:val="center"/>
        <w:rPr>
          <w:lang w:val="fr-CA"/>
        </w:rPr>
      </w:pPr>
      <w:r w:rsidRPr="000D2B5F">
        <w:rPr>
          <w:lang w:val="fr-CA"/>
        </w:rPr>
        <w:t>Intimée</w:t>
      </w:r>
    </w:p>
    <w:p w:rsidR="000D2B5F" w:rsidRPr="000D2B5F" w:rsidRDefault="000D2B5F" w:rsidP="000D2B5F">
      <w:pPr>
        <w:rPr>
          <w:lang w:val="fr-CA"/>
        </w:rPr>
      </w:pPr>
    </w:p>
    <w:p w:rsidR="000D2B5F" w:rsidRPr="000D2B5F" w:rsidRDefault="000D2B5F" w:rsidP="000D2B5F">
      <w:pPr>
        <w:rPr>
          <w:lang w:val="fr-CA"/>
        </w:rPr>
      </w:pPr>
    </w:p>
    <w:p w:rsidR="000D2B5F" w:rsidRPr="000D2B5F" w:rsidRDefault="000D2B5F" w:rsidP="000D2B5F">
      <w:pPr>
        <w:rPr>
          <w:lang w:val="fr-CA"/>
        </w:rPr>
      </w:pPr>
    </w:p>
    <w:p w:rsidR="000D2B5F" w:rsidRPr="000D2B5F" w:rsidRDefault="000D2B5F" w:rsidP="000D2B5F">
      <w:pPr>
        <w:rPr>
          <w:lang w:val="fr-CA"/>
        </w:rPr>
      </w:pPr>
    </w:p>
    <w:p w:rsidR="000D2B5F" w:rsidRPr="000D2B5F" w:rsidRDefault="000D2B5F" w:rsidP="000D2B5F">
      <w:pPr>
        <w:jc w:val="center"/>
        <w:rPr>
          <w:b/>
          <w:smallCaps/>
          <w:lang w:val="fr-CA"/>
        </w:rPr>
      </w:pPr>
      <w:r w:rsidRPr="000D2B5F">
        <w:rPr>
          <w:b/>
          <w:smallCaps/>
          <w:lang w:val="fr-CA"/>
        </w:rPr>
        <w:t>Traduction française officielle</w:t>
      </w:r>
    </w:p>
    <w:p w:rsidR="000D2B5F" w:rsidRPr="000D2B5F" w:rsidRDefault="000D2B5F" w:rsidP="000D2B5F">
      <w:pPr>
        <w:rPr>
          <w:lang w:val="fr-CA"/>
        </w:rPr>
      </w:pPr>
    </w:p>
    <w:p w:rsidR="000D2B5F" w:rsidRPr="000D2B5F" w:rsidRDefault="000D2B5F" w:rsidP="000D2B5F">
      <w:pPr>
        <w:rPr>
          <w:lang w:val="fr-CA"/>
        </w:rPr>
      </w:pPr>
      <w:r w:rsidRPr="000D2B5F">
        <w:rPr>
          <w:b/>
          <w:smallCaps/>
          <w:lang w:val="fr-CA"/>
        </w:rPr>
        <w:t>Coram :</w:t>
      </w:r>
      <w:r w:rsidRPr="000D2B5F">
        <w:rPr>
          <w:lang w:val="fr-CA"/>
        </w:rPr>
        <w:t xml:space="preserve"> Le juge en chef Wagner et les juges Abella, Côté, Brown et Martin </w:t>
      </w:r>
    </w:p>
    <w:p w:rsidR="000D2B5F" w:rsidRPr="000D2B5F" w:rsidRDefault="000D2B5F" w:rsidP="000D2B5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D2B5F" w:rsidRPr="00594506" w:rsidTr="00897708">
        <w:trPr>
          <w:cantSplit/>
        </w:trPr>
        <w:tc>
          <w:tcPr>
            <w:tcW w:w="3618" w:type="dxa"/>
          </w:tcPr>
          <w:p w:rsidR="000D2B5F" w:rsidRPr="000D2B5F" w:rsidRDefault="000D2B5F" w:rsidP="00897708">
            <w:pPr>
              <w:rPr>
                <w:b/>
                <w:smallCaps/>
                <w:lang w:val="fr-CA"/>
              </w:rPr>
            </w:pPr>
            <w:r w:rsidRPr="000D2B5F">
              <w:rPr>
                <w:b/>
                <w:smallCaps/>
                <w:lang w:val="fr-CA"/>
              </w:rPr>
              <w:t>Motifs de jugement :</w:t>
            </w:r>
          </w:p>
          <w:p w:rsidR="000D2B5F" w:rsidRPr="000D2B5F" w:rsidRDefault="000D2B5F" w:rsidP="00897708">
            <w:pPr>
              <w:rPr>
                <w:lang w:val="fr-CA"/>
              </w:rPr>
            </w:pPr>
            <w:r w:rsidRPr="000D2B5F">
              <w:rPr>
                <w:lang w:val="fr-CA"/>
              </w:rPr>
              <w:t>(par. 1 à 6)</w:t>
            </w:r>
          </w:p>
        </w:tc>
        <w:tc>
          <w:tcPr>
            <w:tcW w:w="5958" w:type="dxa"/>
          </w:tcPr>
          <w:p w:rsidR="000D2B5F" w:rsidRPr="000D2B5F" w:rsidRDefault="000D2B5F" w:rsidP="00897708">
            <w:pPr>
              <w:rPr>
                <w:lang w:val="fr-CA"/>
              </w:rPr>
            </w:pPr>
            <w:r w:rsidRPr="000D2B5F">
              <w:rPr>
                <w:lang w:val="fr-CA"/>
              </w:rPr>
              <w:t>Le juge Brown (avec l’accord du juge en chef Wagner et des juges Abella, Côté et Martin)</w:t>
            </w:r>
          </w:p>
        </w:tc>
      </w:tr>
    </w:tbl>
    <w:p w:rsidR="000D2B5F" w:rsidRPr="000D2B5F" w:rsidRDefault="000D2B5F" w:rsidP="000D2B5F">
      <w:pPr>
        <w:rPr>
          <w:lang w:val="fr-CA"/>
        </w:rPr>
      </w:pPr>
    </w:p>
    <w:p w:rsidR="000D2B5F" w:rsidRPr="000D2B5F" w:rsidRDefault="000D2B5F" w:rsidP="000D2B5F">
      <w:pPr>
        <w:rPr>
          <w:lang w:val="fr-CA"/>
        </w:rPr>
      </w:pPr>
      <w:r>
        <w:rPr>
          <w:noProof/>
          <w:lang w:val="en-US" w:eastAsia="en-US"/>
        </w:rPr>
        <mc:AlternateContent>
          <mc:Choice Requires="wps">
            <w:drawing>
              <wp:anchor distT="0" distB="0" distL="114300" distR="114300" simplePos="0" relativeHeight="251659264" behindDoc="0" locked="0" layoutInCell="1" allowOverlap="1" wp14:anchorId="3352529C" wp14:editId="7837F0A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CF51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D2B5F" w:rsidRPr="000D2B5F" w:rsidRDefault="000D2B5F" w:rsidP="000D2B5F">
      <w:pPr>
        <w:rPr>
          <w:lang w:val="fr-CA"/>
        </w:rPr>
      </w:pPr>
    </w:p>
    <w:p w:rsidR="000D2B5F" w:rsidRPr="000D2B5F" w:rsidRDefault="000D2B5F" w:rsidP="000D2B5F">
      <w:pPr>
        <w:rPr>
          <w:lang w:val="fr-CA"/>
        </w:rPr>
      </w:pPr>
    </w:p>
    <w:p w:rsidR="000D2B5F" w:rsidRDefault="000D2B5F" w:rsidP="00F629E7">
      <w:pPr>
        <w:widowControl w:val="0"/>
        <w:spacing w:line="480" w:lineRule="auto"/>
        <w:jc w:val="both"/>
        <w:rPr>
          <w:lang w:val="fr-CA"/>
        </w:rPr>
      </w:pPr>
    </w:p>
    <w:p w:rsidR="004D7D95" w:rsidRPr="006A62C4" w:rsidRDefault="006A62C4" w:rsidP="00F629E7">
      <w:pPr>
        <w:widowControl w:val="0"/>
        <w:spacing w:line="480" w:lineRule="auto"/>
        <w:jc w:val="both"/>
        <w:rPr>
          <w:lang w:val="fr-CA"/>
        </w:rPr>
      </w:pPr>
      <w:r>
        <w:rPr>
          <w:lang w:val="fr-CA"/>
        </w:rPr>
        <w:t>R</w:t>
      </w:r>
      <w:r w:rsidR="001B6EBC" w:rsidRPr="006A62C4">
        <w:rPr>
          <w:lang w:val="fr-CA"/>
        </w:rPr>
        <w:t>.</w:t>
      </w:r>
      <w:r w:rsidR="004D7D95" w:rsidRPr="006A62C4">
        <w:rPr>
          <w:lang w:val="fr-CA"/>
        </w:rPr>
        <w:t xml:space="preserve"> </w:t>
      </w:r>
      <w:r w:rsidR="004D7D95" w:rsidRPr="006A62C4">
        <w:rPr>
          <w:i/>
          <w:lang w:val="fr-CA"/>
        </w:rPr>
        <w:t>c.</w:t>
      </w:r>
      <w:r w:rsidR="004D7D95" w:rsidRPr="006A62C4">
        <w:rPr>
          <w:lang w:val="fr-CA"/>
        </w:rPr>
        <w:t xml:space="preserve"> </w:t>
      </w:r>
      <w:r>
        <w:rPr>
          <w:lang w:val="fr-CA"/>
        </w:rPr>
        <w:t>G</w:t>
      </w:r>
      <w:r w:rsidR="00CD4595" w:rsidRPr="006A62C4">
        <w:rPr>
          <w:lang w:val="fr-CA"/>
        </w:rPr>
        <w:t>.</w:t>
      </w:r>
      <w:r>
        <w:rPr>
          <w:lang w:val="fr-CA"/>
        </w:rPr>
        <w:t>T</w:t>
      </w:r>
      <w:r w:rsidR="00CD4595" w:rsidRPr="006A62C4">
        <w:rPr>
          <w:lang w:val="fr-CA"/>
        </w:rPr>
        <w:t>.</w:t>
      </w:r>
      <w:r>
        <w:rPr>
          <w:lang w:val="fr-CA"/>
        </w:rPr>
        <w:t>D</w:t>
      </w:r>
      <w:r w:rsidR="001B6EBC" w:rsidRPr="006A62C4">
        <w:rPr>
          <w:rStyle w:val="SCCRespondentForRunningHeadChar"/>
          <w:lang w:val="fr-CA"/>
        </w:rPr>
        <w:t>.</w:t>
      </w:r>
      <w:r>
        <w:rPr>
          <w:rStyle w:val="SCCRespondentForRunningHeadChar"/>
          <w:lang w:val="fr-CA"/>
        </w:rPr>
        <w:t xml:space="preserve">, </w:t>
      </w:r>
      <w:r w:rsidRPr="00565E25">
        <w:rPr>
          <w:lang w:val="fr-CA"/>
        </w:rPr>
        <w:t>2018 CSC 7</w:t>
      </w:r>
      <w:r>
        <w:rPr>
          <w:lang w:val="fr-CA"/>
        </w:rPr>
        <w:t>, [2018] 1 R.C.S. 220</w:t>
      </w: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F707FE" w:rsidRPr="00565E25" w:rsidRDefault="00CD4595" w:rsidP="00F629E7">
      <w:pPr>
        <w:pStyle w:val="SCCLsocLastPartyInRole"/>
        <w:widowControl w:val="0"/>
        <w:rPr>
          <w:lang w:val="fr-CA"/>
        </w:rPr>
      </w:pPr>
      <w:r w:rsidRPr="00565E25">
        <w:rPr>
          <w:lang w:val="fr-CA"/>
        </w:rPr>
        <w:t>G.T.D</w:t>
      </w:r>
      <w:r w:rsidR="00802969" w:rsidRPr="00565E25">
        <w:rPr>
          <w:lang w:val="fr-CA"/>
        </w:rPr>
        <w:t>.</w:t>
      </w:r>
      <w:r w:rsidR="00802969" w:rsidRPr="00565E25">
        <w:rPr>
          <w:rStyle w:val="SCCLsocPartyRole"/>
          <w:lang w:val="fr-CA"/>
        </w:rPr>
        <w:tab/>
        <w:t>Appelant</w:t>
      </w:r>
    </w:p>
    <w:p w:rsidR="00F707FE" w:rsidRPr="00565E25" w:rsidRDefault="00802969" w:rsidP="00F629E7">
      <w:pPr>
        <w:pStyle w:val="SCCLsocVersus"/>
        <w:widowControl w:val="0"/>
        <w:rPr>
          <w:lang w:val="fr-CA"/>
        </w:rPr>
      </w:pPr>
      <w:r w:rsidRPr="00565E25">
        <w:rPr>
          <w:lang w:val="fr-CA"/>
        </w:rPr>
        <w:t>c.</w:t>
      </w:r>
    </w:p>
    <w:p w:rsidR="00F707FE" w:rsidRPr="00565E25" w:rsidRDefault="00802969" w:rsidP="00F629E7">
      <w:pPr>
        <w:pStyle w:val="SCCLsocLastPartyInRole"/>
        <w:widowControl w:val="0"/>
        <w:rPr>
          <w:lang w:val="fr-CA"/>
        </w:rPr>
      </w:pPr>
      <w:r w:rsidRPr="00565E25">
        <w:rPr>
          <w:lang w:val="fr-CA"/>
        </w:rPr>
        <w:lastRenderedPageBreak/>
        <w:t>Sa Majesté la Reine</w:t>
      </w:r>
      <w:r w:rsidR="001B6EBC" w:rsidRPr="00565E25">
        <w:rPr>
          <w:rStyle w:val="SCCLsocPartyRole"/>
          <w:lang w:val="fr-CA"/>
        </w:rPr>
        <w:tab/>
        <w:t>Intimée</w:t>
      </w: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530B90" w:rsidP="00F629E7">
      <w:pPr>
        <w:widowControl w:val="0"/>
        <w:jc w:val="both"/>
        <w:rPr>
          <w:b/>
          <w:lang w:val="fr-CA"/>
        </w:rPr>
      </w:pPr>
      <w:r w:rsidRPr="00565E25">
        <w:rPr>
          <w:b/>
          <w:lang w:val="fr-CA"/>
        </w:rPr>
        <w:t xml:space="preserve">Répertorié : R. </w:t>
      </w:r>
      <w:r w:rsidRPr="00565E25">
        <w:rPr>
          <w:b/>
          <w:i/>
          <w:lang w:val="fr-CA"/>
        </w:rPr>
        <w:t>c.</w:t>
      </w:r>
      <w:r w:rsidRPr="00565E25">
        <w:rPr>
          <w:b/>
          <w:lang w:val="fr-CA"/>
        </w:rPr>
        <w:t xml:space="preserve"> </w:t>
      </w:r>
      <w:r w:rsidR="00CD4595" w:rsidRPr="00565E25">
        <w:rPr>
          <w:b/>
          <w:lang w:val="fr-CA"/>
        </w:rPr>
        <w:t>G.T.D</w:t>
      </w:r>
      <w:r w:rsidR="004D7D95" w:rsidRPr="00565E25">
        <w:rPr>
          <w:rStyle w:val="SCCAppellantForIndexChar"/>
          <w:lang w:val="fr-CA"/>
        </w:rPr>
        <w:t>.</w:t>
      </w:r>
      <w:r w:rsidR="004D7D95" w:rsidRPr="00565E25">
        <w:rPr>
          <w:b/>
          <w:lang w:val="fr-CA"/>
        </w:rPr>
        <w:t xml:space="preserve"> </w:t>
      </w: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D17B0E" w:rsidP="00F629E7">
      <w:pPr>
        <w:pStyle w:val="SCCSystemYear"/>
        <w:widowControl w:val="0"/>
        <w:jc w:val="both"/>
        <w:rPr>
          <w:lang w:val="fr-CA"/>
        </w:rPr>
      </w:pPr>
      <w:r w:rsidRPr="00565E25">
        <w:rPr>
          <w:lang w:val="fr-CA"/>
        </w:rPr>
        <w:t>2018</w:t>
      </w:r>
      <w:r w:rsidR="004D7D95" w:rsidRPr="00565E25">
        <w:rPr>
          <w:lang w:val="fr-CA"/>
        </w:rPr>
        <w:t xml:space="preserve"> CSC </w:t>
      </w:r>
      <w:r w:rsidR="00CD4595" w:rsidRPr="00565E25">
        <w:rPr>
          <w:lang w:val="fr-CA"/>
        </w:rPr>
        <w:t>7</w:t>
      </w: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r w:rsidRPr="00565E25">
        <w:rPr>
          <w:lang w:val="fr-CA"/>
        </w:rPr>
        <w:t>N</w:t>
      </w:r>
      <w:r w:rsidRPr="00565E25">
        <w:rPr>
          <w:vertAlign w:val="superscript"/>
          <w:lang w:val="fr-CA"/>
        </w:rPr>
        <w:t>o</w:t>
      </w:r>
      <w:r w:rsidR="004F7817">
        <w:rPr>
          <w:lang w:val="fr-CA"/>
        </w:rPr>
        <w:t xml:space="preserve"> du greffe : </w:t>
      </w:r>
      <w:r w:rsidR="00CD4595" w:rsidRPr="00565E25">
        <w:rPr>
          <w:lang w:val="fr-CA"/>
        </w:rPr>
        <w:t>37756</w:t>
      </w:r>
      <w:r w:rsidRPr="00565E25">
        <w:rPr>
          <w:lang w:val="fr-CA"/>
        </w:rPr>
        <w:t>.</w:t>
      </w: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C95649" w:rsidP="00F629E7">
      <w:pPr>
        <w:widowControl w:val="0"/>
        <w:jc w:val="both"/>
        <w:rPr>
          <w:lang w:val="fr-CA"/>
        </w:rPr>
      </w:pPr>
      <w:r w:rsidRPr="00565E25">
        <w:rPr>
          <w:lang w:val="fr-CA"/>
        </w:rPr>
        <w:t>2018 </w:t>
      </w:r>
      <w:r w:rsidR="00CD4595" w:rsidRPr="00565E25">
        <w:rPr>
          <w:lang w:val="fr-CA"/>
        </w:rPr>
        <w:t>: 14</w:t>
      </w:r>
      <w:r w:rsidR="00DD77AE" w:rsidRPr="00565E25">
        <w:rPr>
          <w:lang w:val="fr-CA"/>
        </w:rPr>
        <w:t> </w:t>
      </w:r>
      <w:r w:rsidR="00D17B0E" w:rsidRPr="00565E25">
        <w:rPr>
          <w:lang w:val="fr-CA"/>
        </w:rPr>
        <w:t>février</w:t>
      </w:r>
      <w:r w:rsidR="00050D14">
        <w:rPr>
          <w:rStyle w:val="FootnoteReference"/>
          <w:lang w:val="fr-CA"/>
        </w:rPr>
        <w:footnoteReference w:id="1"/>
      </w:r>
      <w:r w:rsidR="00530B90" w:rsidRPr="00565E25">
        <w:rPr>
          <w:lang w:val="fr-CA"/>
        </w:rPr>
        <w:t>.</w:t>
      </w: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4D7D95" w:rsidP="00F629E7">
      <w:pPr>
        <w:widowControl w:val="0"/>
        <w:jc w:val="both"/>
        <w:rPr>
          <w:lang w:val="fr-CA"/>
        </w:rPr>
      </w:pPr>
    </w:p>
    <w:p w:rsidR="004D7D95" w:rsidRPr="00565E25" w:rsidRDefault="004D7D95" w:rsidP="00F629E7">
      <w:pPr>
        <w:widowControl w:val="0"/>
        <w:rPr>
          <w:lang w:val="fr-CA"/>
        </w:rPr>
      </w:pPr>
      <w:r w:rsidRPr="00565E25">
        <w:rPr>
          <w:lang w:val="fr-CA"/>
        </w:rPr>
        <w:t>Présents : </w:t>
      </w:r>
      <w:r w:rsidR="00CD4595" w:rsidRPr="00565E25">
        <w:rPr>
          <w:lang w:val="fr-CA"/>
        </w:rPr>
        <w:t>Le juge en chef Wagner et les</w:t>
      </w:r>
      <w:r w:rsidR="00DD77AE" w:rsidRPr="00565E25">
        <w:rPr>
          <w:lang w:val="fr-CA"/>
        </w:rPr>
        <w:t xml:space="preserve"> juges </w:t>
      </w:r>
      <w:r w:rsidRPr="00565E25">
        <w:rPr>
          <w:lang w:val="fr-CA"/>
        </w:rPr>
        <w:t xml:space="preserve">Abella, </w:t>
      </w:r>
      <w:r w:rsidR="00CD4595" w:rsidRPr="00565E25">
        <w:rPr>
          <w:lang w:val="fr-CA"/>
        </w:rPr>
        <w:t xml:space="preserve">Côté, </w:t>
      </w:r>
      <w:r w:rsidRPr="00565E25">
        <w:rPr>
          <w:lang w:val="fr-CA"/>
        </w:rPr>
        <w:t>Brown</w:t>
      </w:r>
      <w:r w:rsidR="00CD4595" w:rsidRPr="00565E25">
        <w:rPr>
          <w:lang w:val="fr-CA"/>
        </w:rPr>
        <w:t xml:space="preserve"> et Martin</w:t>
      </w:r>
      <w:r w:rsidRPr="00565E25">
        <w:rPr>
          <w:lang w:val="fr-CA"/>
        </w:rPr>
        <w:t>.</w:t>
      </w:r>
    </w:p>
    <w:p w:rsidR="004D7D95" w:rsidRPr="00565E25" w:rsidRDefault="004D7D95" w:rsidP="00F629E7">
      <w:pPr>
        <w:widowControl w:val="0"/>
        <w:jc w:val="both"/>
        <w:rPr>
          <w:lang w:val="fr-CA"/>
        </w:rPr>
      </w:pPr>
    </w:p>
    <w:p w:rsidR="00EE0830" w:rsidRPr="00565E25" w:rsidRDefault="00EE0830" w:rsidP="00F629E7">
      <w:pPr>
        <w:widowControl w:val="0"/>
        <w:jc w:val="both"/>
        <w:rPr>
          <w:lang w:val="fr-CA"/>
        </w:rPr>
      </w:pPr>
    </w:p>
    <w:p w:rsidR="00F707FE" w:rsidRPr="00565E25" w:rsidRDefault="00F707FE" w:rsidP="00F629E7">
      <w:pPr>
        <w:widowControl w:val="0"/>
        <w:rPr>
          <w:lang w:val="fr-CA"/>
        </w:rPr>
      </w:pPr>
    </w:p>
    <w:p w:rsidR="004D7D95" w:rsidRPr="00565E25" w:rsidRDefault="004D7D95" w:rsidP="00F629E7">
      <w:pPr>
        <w:widowControl w:val="0"/>
        <w:jc w:val="both"/>
        <w:rPr>
          <w:smallCaps/>
          <w:lang w:val="fr-CA"/>
        </w:rPr>
      </w:pPr>
      <w:r w:rsidRPr="00565E25">
        <w:rPr>
          <w:smallCaps/>
          <w:lang w:val="fr-CA"/>
        </w:rPr>
        <w:t xml:space="preserve">en appel de la </w:t>
      </w:r>
      <w:r w:rsidR="00793EAB" w:rsidRPr="00565E25">
        <w:rPr>
          <w:smallCaps/>
          <w:lang w:val="fr-CA"/>
        </w:rPr>
        <w:t>cour d’</w:t>
      </w:r>
      <w:r w:rsidRPr="00565E25">
        <w:rPr>
          <w:smallCaps/>
          <w:lang w:val="fr-CA"/>
        </w:rPr>
        <w:t xml:space="preserve">appel de l’alberta </w:t>
      </w:r>
    </w:p>
    <w:p w:rsidR="004D7D95" w:rsidRPr="00565E25" w:rsidRDefault="004D7D95" w:rsidP="00F629E7">
      <w:pPr>
        <w:pStyle w:val="SCCNormalDoubleSpacing"/>
        <w:widowControl w:val="0"/>
        <w:rPr>
          <w:lang w:val="fr-CA"/>
        </w:rPr>
      </w:pPr>
    </w:p>
    <w:p w:rsidR="00D447CF" w:rsidRPr="0030335D" w:rsidRDefault="00D447CF" w:rsidP="00F629E7">
      <w:pPr>
        <w:pStyle w:val="SCCNormalDoubleSpacing"/>
        <w:widowControl w:val="0"/>
        <w:rPr>
          <w:i/>
          <w:lang w:val="fr-CA"/>
        </w:rPr>
      </w:pPr>
      <w:r w:rsidRPr="00D447CF">
        <w:rPr>
          <w:lang w:val="fr-CA"/>
        </w:rPr>
        <w:tab/>
      </w:r>
      <w:r w:rsidR="0030335D" w:rsidRPr="0030335D">
        <w:rPr>
          <w:i/>
          <w:lang w:val="fr-CA"/>
        </w:rPr>
        <w:t>Droit constitutionnel</w:t>
      </w:r>
      <w:r w:rsidRPr="0030335D">
        <w:rPr>
          <w:i/>
          <w:lang w:val="fr-CA"/>
        </w:rPr>
        <w:t xml:space="preserve"> </w:t>
      </w:r>
      <w:r w:rsidR="00D66D2C">
        <w:rPr>
          <w:i/>
          <w:lang w:val="fr-CA"/>
        </w:rPr>
        <w:t>—</w:t>
      </w:r>
      <w:r w:rsidRPr="0030335D">
        <w:rPr>
          <w:i/>
          <w:lang w:val="fr-CA"/>
        </w:rPr>
        <w:t xml:space="preserve"> </w:t>
      </w:r>
      <w:r w:rsidR="0030335D" w:rsidRPr="0030335D">
        <w:rPr>
          <w:i/>
          <w:lang w:val="fr-CA"/>
        </w:rPr>
        <w:t>Charte des droits</w:t>
      </w:r>
      <w:r w:rsidR="00D66D2C">
        <w:rPr>
          <w:i/>
          <w:lang w:val="fr-CA"/>
        </w:rPr>
        <w:t xml:space="preserve"> —</w:t>
      </w:r>
      <w:r w:rsidRPr="0030335D">
        <w:rPr>
          <w:i/>
          <w:lang w:val="fr-CA"/>
        </w:rPr>
        <w:t xml:space="preserve"> </w:t>
      </w:r>
      <w:r w:rsidR="0030335D" w:rsidRPr="0030335D">
        <w:rPr>
          <w:i/>
          <w:lang w:val="fr-CA"/>
        </w:rPr>
        <w:t>Droit à l’assistance d’un avocat</w:t>
      </w:r>
      <w:r w:rsidR="00D66D2C">
        <w:rPr>
          <w:i/>
          <w:lang w:val="fr-CA"/>
        </w:rPr>
        <w:t xml:space="preserve"> —</w:t>
      </w:r>
      <w:r w:rsidRPr="0030335D">
        <w:rPr>
          <w:i/>
          <w:lang w:val="fr-CA"/>
        </w:rPr>
        <w:t xml:space="preserve"> </w:t>
      </w:r>
      <w:r w:rsidR="0030335D" w:rsidRPr="0030335D">
        <w:rPr>
          <w:i/>
          <w:lang w:val="fr-CA"/>
        </w:rPr>
        <w:t>Réparation</w:t>
      </w:r>
      <w:r w:rsidRPr="0030335D">
        <w:rPr>
          <w:i/>
          <w:lang w:val="fr-CA"/>
        </w:rPr>
        <w:t xml:space="preserve"> </w:t>
      </w:r>
      <w:r w:rsidR="00D66D2C">
        <w:rPr>
          <w:i/>
          <w:lang w:val="fr-CA"/>
        </w:rPr>
        <w:t>—</w:t>
      </w:r>
      <w:r w:rsidR="00196245">
        <w:rPr>
          <w:i/>
          <w:lang w:val="fr-CA"/>
        </w:rPr>
        <w:t xml:space="preserve"> Exclusion d’éléments de preuve </w:t>
      </w:r>
      <w:r w:rsidR="00D66D2C">
        <w:rPr>
          <w:i/>
          <w:lang w:val="fr-CA"/>
        </w:rPr>
        <w:t>—</w:t>
      </w:r>
      <w:r w:rsidRPr="0030335D">
        <w:rPr>
          <w:i/>
          <w:lang w:val="fr-CA"/>
        </w:rPr>
        <w:t xml:space="preserve"> </w:t>
      </w:r>
      <w:r w:rsidR="00F70775">
        <w:rPr>
          <w:i/>
          <w:lang w:val="fr-CA"/>
        </w:rPr>
        <w:t>Formulation par les policiers de leur m</w:t>
      </w:r>
      <w:r w:rsidR="0030335D" w:rsidRPr="0030335D">
        <w:rPr>
          <w:i/>
          <w:lang w:val="fr-CA"/>
        </w:rPr>
        <w:t xml:space="preserve">ise en garde habituelle après </w:t>
      </w:r>
      <w:r w:rsidR="00F70775">
        <w:rPr>
          <w:i/>
          <w:lang w:val="fr-CA"/>
        </w:rPr>
        <w:t xml:space="preserve">la revendication par </w:t>
      </w:r>
      <w:r w:rsidR="0030335D" w:rsidRPr="0030335D">
        <w:rPr>
          <w:i/>
          <w:lang w:val="fr-CA"/>
        </w:rPr>
        <w:t>l’accus</w:t>
      </w:r>
      <w:r w:rsidR="00D11F84">
        <w:rPr>
          <w:i/>
          <w:lang w:val="fr-CA"/>
        </w:rPr>
        <w:t>é</w:t>
      </w:r>
      <w:r w:rsidR="0030335D" w:rsidRPr="0030335D">
        <w:rPr>
          <w:i/>
          <w:lang w:val="fr-CA"/>
        </w:rPr>
        <w:t xml:space="preserve"> </w:t>
      </w:r>
      <w:r w:rsidR="00F70775">
        <w:rPr>
          <w:i/>
          <w:lang w:val="fr-CA"/>
        </w:rPr>
        <w:t xml:space="preserve">de </w:t>
      </w:r>
      <w:r w:rsidR="0030335D" w:rsidRPr="0030335D">
        <w:rPr>
          <w:i/>
          <w:lang w:val="fr-CA"/>
        </w:rPr>
        <w:t xml:space="preserve">son droit à l’assistance d’un avocat </w:t>
      </w:r>
      <w:r w:rsidR="00D66D2C">
        <w:rPr>
          <w:i/>
          <w:lang w:val="fr-CA"/>
        </w:rPr>
        <w:t>—</w:t>
      </w:r>
      <w:r w:rsidR="005814D7">
        <w:rPr>
          <w:i/>
          <w:lang w:val="fr-CA"/>
        </w:rPr>
        <w:t xml:space="preserve"> </w:t>
      </w:r>
      <w:r w:rsidR="00F70775">
        <w:rPr>
          <w:i/>
          <w:lang w:val="fr-CA"/>
        </w:rPr>
        <w:t>D</w:t>
      </w:r>
      <w:r w:rsidR="0030335D" w:rsidRPr="0030335D">
        <w:rPr>
          <w:i/>
          <w:lang w:val="fr-CA"/>
        </w:rPr>
        <w:t xml:space="preserve">éclaration incriminante </w:t>
      </w:r>
      <w:r w:rsidR="00F70775">
        <w:rPr>
          <w:i/>
          <w:lang w:val="fr-CA"/>
        </w:rPr>
        <w:t xml:space="preserve">soutirée à </w:t>
      </w:r>
      <w:r w:rsidR="0030335D" w:rsidRPr="0030335D">
        <w:rPr>
          <w:i/>
          <w:lang w:val="fr-CA"/>
        </w:rPr>
        <w:t>l’accusé</w:t>
      </w:r>
      <w:r w:rsidR="00F70775" w:rsidRPr="00F70775">
        <w:rPr>
          <w:i/>
          <w:lang w:val="fr-CA"/>
        </w:rPr>
        <w:t xml:space="preserve"> </w:t>
      </w:r>
      <w:r w:rsidR="00F33157">
        <w:rPr>
          <w:i/>
          <w:lang w:val="fr-CA"/>
        </w:rPr>
        <w:t xml:space="preserve">par l’effet </w:t>
      </w:r>
      <w:r w:rsidR="00F70775">
        <w:rPr>
          <w:i/>
          <w:lang w:val="fr-CA"/>
        </w:rPr>
        <w:t>du libellé de la m</w:t>
      </w:r>
      <w:r w:rsidR="00F70775" w:rsidRPr="0030335D">
        <w:rPr>
          <w:i/>
          <w:lang w:val="fr-CA"/>
        </w:rPr>
        <w:t>ise en garde</w:t>
      </w:r>
      <w:r w:rsidR="0030335D" w:rsidRPr="0030335D">
        <w:rPr>
          <w:i/>
          <w:lang w:val="fr-CA"/>
        </w:rPr>
        <w:t xml:space="preserve"> </w:t>
      </w:r>
      <w:r w:rsidR="00D66D2C">
        <w:rPr>
          <w:i/>
          <w:lang w:val="fr-CA"/>
        </w:rPr>
        <w:t>—</w:t>
      </w:r>
      <w:r w:rsidRPr="0030335D">
        <w:rPr>
          <w:i/>
          <w:lang w:val="fr-CA"/>
        </w:rPr>
        <w:t xml:space="preserve"> </w:t>
      </w:r>
      <w:r w:rsidR="0030335D">
        <w:rPr>
          <w:i/>
          <w:lang w:val="fr-CA"/>
        </w:rPr>
        <w:t>Refus d</w:t>
      </w:r>
      <w:r w:rsidR="0061220D">
        <w:rPr>
          <w:i/>
          <w:lang w:val="fr-CA"/>
        </w:rPr>
        <w:t>e la</w:t>
      </w:r>
      <w:r w:rsidR="0030335D">
        <w:rPr>
          <w:i/>
          <w:lang w:val="fr-CA"/>
        </w:rPr>
        <w:t xml:space="preserve"> juge du procès d’exclure les éléments de preuve </w:t>
      </w:r>
      <w:r w:rsidR="00171D37">
        <w:rPr>
          <w:i/>
          <w:lang w:val="fr-CA"/>
        </w:rPr>
        <w:t xml:space="preserve">recueillis par suite </w:t>
      </w:r>
      <w:r w:rsidR="008A76FF">
        <w:rPr>
          <w:i/>
          <w:lang w:val="fr-CA"/>
        </w:rPr>
        <w:t xml:space="preserve">de la </w:t>
      </w:r>
      <w:r w:rsidR="00D11F84">
        <w:rPr>
          <w:i/>
          <w:lang w:val="fr-CA"/>
        </w:rPr>
        <w:t xml:space="preserve">déclaration </w:t>
      </w:r>
      <w:r w:rsidR="008A76FF">
        <w:rPr>
          <w:i/>
          <w:lang w:val="fr-CA"/>
        </w:rPr>
        <w:t xml:space="preserve">et </w:t>
      </w:r>
      <w:r w:rsidR="005814D7">
        <w:rPr>
          <w:i/>
          <w:lang w:val="fr-CA"/>
        </w:rPr>
        <w:t>accusé déclaré coupable d’</w:t>
      </w:r>
      <w:r w:rsidR="00F33157">
        <w:rPr>
          <w:i/>
          <w:lang w:val="fr-CA"/>
        </w:rPr>
        <w:t xml:space="preserve">agression sexuelle </w:t>
      </w:r>
      <w:r w:rsidR="00D66D2C">
        <w:rPr>
          <w:i/>
          <w:lang w:val="fr-CA"/>
        </w:rPr>
        <w:t>—</w:t>
      </w:r>
      <w:r w:rsidRPr="0030335D">
        <w:rPr>
          <w:i/>
          <w:lang w:val="fr-CA"/>
        </w:rPr>
        <w:t xml:space="preserve"> </w:t>
      </w:r>
      <w:r w:rsidR="008A76FF">
        <w:rPr>
          <w:i/>
          <w:lang w:val="fr-CA"/>
        </w:rPr>
        <w:t xml:space="preserve">Décision de la Cour d’appel </w:t>
      </w:r>
      <w:r w:rsidR="00674F3E">
        <w:rPr>
          <w:i/>
          <w:lang w:val="fr-CA"/>
        </w:rPr>
        <w:t xml:space="preserve">concluant </w:t>
      </w:r>
      <w:r w:rsidR="005814D7">
        <w:rPr>
          <w:i/>
          <w:lang w:val="fr-CA"/>
        </w:rPr>
        <w:t>que le</w:t>
      </w:r>
      <w:r w:rsidR="00C816B7">
        <w:rPr>
          <w:i/>
          <w:lang w:val="fr-CA"/>
        </w:rPr>
        <w:t xml:space="preserve"> </w:t>
      </w:r>
      <w:r w:rsidR="00196245">
        <w:rPr>
          <w:i/>
          <w:lang w:val="fr-CA"/>
        </w:rPr>
        <w:t>droit à l’assistance d’</w:t>
      </w:r>
      <w:r w:rsidR="00577855">
        <w:rPr>
          <w:i/>
          <w:lang w:val="fr-CA"/>
        </w:rPr>
        <w:t>un</w:t>
      </w:r>
      <w:r w:rsidR="00196245">
        <w:rPr>
          <w:i/>
          <w:lang w:val="fr-CA"/>
        </w:rPr>
        <w:t xml:space="preserve"> avocat </w:t>
      </w:r>
      <w:r w:rsidR="00577855">
        <w:rPr>
          <w:i/>
          <w:lang w:val="fr-CA"/>
        </w:rPr>
        <w:t xml:space="preserve">garanti </w:t>
      </w:r>
      <w:r w:rsidR="00674F3E">
        <w:rPr>
          <w:i/>
          <w:lang w:val="fr-CA"/>
        </w:rPr>
        <w:t xml:space="preserve">à l’accusé </w:t>
      </w:r>
      <w:r w:rsidR="00577855">
        <w:rPr>
          <w:i/>
          <w:lang w:val="fr-CA"/>
        </w:rPr>
        <w:t xml:space="preserve">par la Charte </w:t>
      </w:r>
      <w:r w:rsidR="00196245">
        <w:rPr>
          <w:i/>
          <w:lang w:val="fr-CA"/>
        </w:rPr>
        <w:t xml:space="preserve">a été violé, mais que les éléments de preuve ne </w:t>
      </w:r>
      <w:r w:rsidR="00196245">
        <w:rPr>
          <w:i/>
          <w:lang w:val="fr-CA"/>
        </w:rPr>
        <w:lastRenderedPageBreak/>
        <w:t xml:space="preserve">devaient pas être exclus </w:t>
      </w:r>
      <w:r w:rsidR="00D66D2C">
        <w:rPr>
          <w:i/>
          <w:lang w:val="fr-CA"/>
        </w:rPr>
        <w:t>—</w:t>
      </w:r>
      <w:r w:rsidRPr="0030335D">
        <w:rPr>
          <w:i/>
          <w:lang w:val="fr-CA"/>
        </w:rPr>
        <w:t xml:space="preserve"> </w:t>
      </w:r>
      <w:r w:rsidR="005814D7">
        <w:rPr>
          <w:i/>
          <w:lang w:val="fr-CA"/>
        </w:rPr>
        <w:t>Mise en garde habituelle contrevenant à</w:t>
      </w:r>
      <w:r w:rsidR="00196245">
        <w:rPr>
          <w:i/>
          <w:lang w:val="fr-CA"/>
        </w:rPr>
        <w:t xml:space="preserve"> l’obligation des policiers de surseoir à l’enquête et </w:t>
      </w:r>
      <w:r w:rsidR="005814D7">
        <w:rPr>
          <w:i/>
          <w:lang w:val="fr-CA"/>
        </w:rPr>
        <w:t>au</w:t>
      </w:r>
      <w:r w:rsidR="00196245">
        <w:rPr>
          <w:i/>
          <w:lang w:val="fr-CA"/>
        </w:rPr>
        <w:t xml:space="preserve"> droit à l’assistance d’un avocat</w:t>
      </w:r>
      <w:r w:rsidR="005814D7">
        <w:rPr>
          <w:i/>
          <w:lang w:val="fr-CA"/>
        </w:rPr>
        <w:t xml:space="preserve"> </w:t>
      </w:r>
      <w:r w:rsidR="00D66D2C">
        <w:rPr>
          <w:i/>
          <w:lang w:val="fr-CA"/>
        </w:rPr>
        <w:t>—</w:t>
      </w:r>
      <w:r w:rsidRPr="0030335D">
        <w:rPr>
          <w:i/>
          <w:lang w:val="fr-CA"/>
        </w:rPr>
        <w:t xml:space="preserve"> </w:t>
      </w:r>
      <w:r w:rsidR="00196245">
        <w:rPr>
          <w:i/>
          <w:lang w:val="fr-CA"/>
        </w:rPr>
        <w:t xml:space="preserve">Exclusion des éléments de preuve justifiée </w:t>
      </w:r>
      <w:r w:rsidR="00674F3E">
        <w:rPr>
          <w:i/>
          <w:lang w:val="fr-CA"/>
        </w:rPr>
        <w:t xml:space="preserve">en raison de </w:t>
      </w:r>
      <w:r w:rsidR="00196245">
        <w:rPr>
          <w:i/>
          <w:lang w:val="fr-CA"/>
        </w:rPr>
        <w:t xml:space="preserve">la violation </w:t>
      </w:r>
      <w:r w:rsidR="00D66D2C">
        <w:rPr>
          <w:i/>
          <w:lang w:val="fr-CA"/>
        </w:rPr>
        <w:t>—</w:t>
      </w:r>
      <w:r w:rsidRPr="0030335D">
        <w:rPr>
          <w:i/>
          <w:lang w:val="fr-CA"/>
        </w:rPr>
        <w:t xml:space="preserve"> </w:t>
      </w:r>
      <w:r w:rsidR="00F33157">
        <w:rPr>
          <w:i/>
          <w:lang w:val="fr-CA"/>
        </w:rPr>
        <w:t>Tenue d’un nou</w:t>
      </w:r>
      <w:r w:rsidR="00196245">
        <w:rPr>
          <w:i/>
          <w:lang w:val="fr-CA"/>
        </w:rPr>
        <w:t>veau procès ordonné</w:t>
      </w:r>
      <w:r w:rsidR="00F33157">
        <w:rPr>
          <w:i/>
          <w:lang w:val="fr-CA"/>
        </w:rPr>
        <w:t>e</w:t>
      </w:r>
      <w:r w:rsidR="00D66D2C">
        <w:rPr>
          <w:i/>
          <w:lang w:val="fr-CA"/>
        </w:rPr>
        <w:t xml:space="preserve"> —</w:t>
      </w:r>
      <w:r w:rsidRPr="0030335D">
        <w:rPr>
          <w:i/>
          <w:lang w:val="fr-CA"/>
        </w:rPr>
        <w:t xml:space="preserve"> </w:t>
      </w:r>
      <w:r w:rsidR="00196245">
        <w:rPr>
          <w:i/>
          <w:lang w:val="fr-CA"/>
        </w:rPr>
        <w:t>Charte canadienne des droits et liberté</w:t>
      </w:r>
      <w:r w:rsidR="00D12148">
        <w:rPr>
          <w:i/>
          <w:lang w:val="fr-CA"/>
        </w:rPr>
        <w:t>s,</w:t>
      </w:r>
      <w:r w:rsidR="00196245">
        <w:rPr>
          <w:i/>
          <w:lang w:val="fr-CA"/>
        </w:rPr>
        <w:t xml:space="preserve"> art. </w:t>
      </w:r>
      <w:r w:rsidR="00577855">
        <w:rPr>
          <w:i/>
          <w:lang w:val="fr-CA"/>
        </w:rPr>
        <w:t>10</w:t>
      </w:r>
      <w:r w:rsidRPr="0030335D">
        <w:rPr>
          <w:i/>
          <w:lang w:val="fr-CA"/>
        </w:rPr>
        <w:t>b), 24(2).</w:t>
      </w:r>
    </w:p>
    <w:p w:rsidR="007E1655" w:rsidRPr="0030335D" w:rsidRDefault="007E1655" w:rsidP="00F629E7">
      <w:pPr>
        <w:pStyle w:val="SCCNormalDoubleSpacing"/>
        <w:widowControl w:val="0"/>
        <w:rPr>
          <w:i/>
          <w:lang w:val="fr-CA"/>
        </w:rPr>
      </w:pPr>
    </w:p>
    <w:p w:rsidR="007E1655" w:rsidRPr="005814D7" w:rsidRDefault="007E1655" w:rsidP="00F629E7">
      <w:pPr>
        <w:pStyle w:val="SCCNormalDoubleSpacing"/>
        <w:widowControl w:val="0"/>
        <w:spacing w:after="720" w:line="240" w:lineRule="auto"/>
        <w:rPr>
          <w:lang w:val="fr-CA"/>
        </w:rPr>
      </w:pPr>
      <w:r w:rsidRPr="005814D7">
        <w:rPr>
          <w:b/>
          <w:lang w:val="fr-CA"/>
        </w:rPr>
        <w:t>Jurisprudence</w:t>
      </w:r>
    </w:p>
    <w:p w:rsidR="009B2A07" w:rsidRPr="00F70775" w:rsidRDefault="007E1655" w:rsidP="00F629E7">
      <w:pPr>
        <w:pStyle w:val="SCCNormalDoubleSpacing"/>
        <w:widowControl w:val="0"/>
        <w:rPr>
          <w:rFonts w:eastAsia="Calibri"/>
          <w:szCs w:val="24"/>
          <w:lang w:val="fr-CA"/>
        </w:rPr>
      </w:pPr>
      <w:r w:rsidRPr="005814D7">
        <w:rPr>
          <w:lang w:val="fr-CA"/>
        </w:rPr>
        <w:tab/>
      </w:r>
      <w:r w:rsidRPr="00F70775">
        <w:rPr>
          <w:b/>
          <w:lang w:val="fr-CA"/>
        </w:rPr>
        <w:t>Arrêts mentionnés :</w:t>
      </w:r>
      <w:r w:rsidRPr="00F70775">
        <w:rPr>
          <w:lang w:val="fr-CA"/>
        </w:rPr>
        <w:t xml:space="preserve"> </w:t>
      </w:r>
      <w:r w:rsidRPr="00F70775">
        <w:rPr>
          <w:i/>
          <w:lang w:val="fr-CA"/>
        </w:rPr>
        <w:t>R</w:t>
      </w:r>
      <w:r w:rsidRPr="00F70775">
        <w:rPr>
          <w:rFonts w:eastAsia="Calibri"/>
          <w:i/>
          <w:szCs w:val="24"/>
          <w:lang w:val="fr-CA"/>
        </w:rPr>
        <w:t>. c. Grant</w:t>
      </w:r>
      <w:r w:rsidRPr="00F70775">
        <w:rPr>
          <w:rFonts w:eastAsia="Calibri"/>
          <w:szCs w:val="24"/>
          <w:lang w:val="fr-CA"/>
        </w:rPr>
        <w:t xml:space="preserve">, 2009 CSC 32, [2009] 2 R.C.S. 353; </w:t>
      </w:r>
      <w:r w:rsidRPr="00F70775">
        <w:rPr>
          <w:i/>
          <w:lang w:val="fr-CA"/>
        </w:rPr>
        <w:t>R. c. Prosper</w:t>
      </w:r>
      <w:r w:rsidRPr="00F70775">
        <w:rPr>
          <w:lang w:val="fr-CA"/>
        </w:rPr>
        <w:t xml:space="preserve">, [1994] 3 R.C.S. 236; </w:t>
      </w:r>
      <w:r w:rsidRPr="00F70775">
        <w:rPr>
          <w:rFonts w:eastAsia="Calibri"/>
          <w:i/>
          <w:szCs w:val="24"/>
          <w:lang w:val="fr-CA"/>
        </w:rPr>
        <w:t>R. c. Fearon</w:t>
      </w:r>
      <w:r w:rsidRPr="00F70775">
        <w:rPr>
          <w:rFonts w:eastAsia="Calibri"/>
          <w:szCs w:val="24"/>
          <w:lang w:val="fr-CA"/>
        </w:rPr>
        <w:t>, 2014 CSC 77, [2014] 3 R.C.S. 621</w:t>
      </w:r>
      <w:r w:rsidR="00A629E5" w:rsidRPr="00F70775">
        <w:rPr>
          <w:rFonts w:eastAsia="Calibri"/>
          <w:szCs w:val="24"/>
          <w:lang w:val="fr-CA"/>
        </w:rPr>
        <w:t>.</w:t>
      </w:r>
    </w:p>
    <w:p w:rsidR="007E1655" w:rsidRPr="00F70775" w:rsidRDefault="007E1655" w:rsidP="00F629E7">
      <w:pPr>
        <w:pStyle w:val="SCCNormalDoubleSpacing"/>
        <w:widowControl w:val="0"/>
        <w:rPr>
          <w:lang w:val="fr-CA"/>
        </w:rPr>
      </w:pPr>
    </w:p>
    <w:p w:rsidR="007E1655" w:rsidRPr="0039296D" w:rsidRDefault="007E1655" w:rsidP="00F629E7">
      <w:pPr>
        <w:pStyle w:val="SCCNormalDoubleSpacing"/>
        <w:widowControl w:val="0"/>
        <w:spacing w:after="720" w:line="240" w:lineRule="auto"/>
        <w:rPr>
          <w:lang w:val="fr-CA"/>
        </w:rPr>
      </w:pPr>
      <w:r w:rsidRPr="0039296D">
        <w:rPr>
          <w:b/>
          <w:lang w:val="fr-CA"/>
        </w:rPr>
        <w:t>Lois et règlements cités</w:t>
      </w:r>
    </w:p>
    <w:p w:rsidR="007E1655" w:rsidRDefault="007E1655" w:rsidP="00F629E7">
      <w:pPr>
        <w:pStyle w:val="SCCNormalDoubleSpacing"/>
        <w:widowControl w:val="0"/>
        <w:spacing w:after="240" w:line="240" w:lineRule="auto"/>
        <w:ind w:left="547" w:hanging="547"/>
        <w:rPr>
          <w:lang w:val="fr-CA"/>
        </w:rPr>
      </w:pPr>
      <w:r w:rsidRPr="00565E25">
        <w:rPr>
          <w:i/>
          <w:lang w:val="fr-CA"/>
        </w:rPr>
        <w:t>Charte canadienne des droits et libertés</w:t>
      </w:r>
      <w:r>
        <w:rPr>
          <w:lang w:val="fr-CA"/>
        </w:rPr>
        <w:t>, art. 10</w:t>
      </w:r>
      <w:r w:rsidRPr="007E1655">
        <w:rPr>
          <w:i/>
          <w:lang w:val="fr-CA"/>
        </w:rPr>
        <w:t>b</w:t>
      </w:r>
      <w:r>
        <w:rPr>
          <w:lang w:val="fr-CA"/>
        </w:rPr>
        <w:t xml:space="preserve">), 24(2). </w:t>
      </w:r>
    </w:p>
    <w:p w:rsidR="007E1655" w:rsidRPr="007E1655" w:rsidRDefault="007E1655" w:rsidP="00F629E7">
      <w:pPr>
        <w:pStyle w:val="SCCNormalDoubleSpacing"/>
        <w:widowControl w:val="0"/>
        <w:rPr>
          <w:lang w:val="fr-CA"/>
        </w:rPr>
      </w:pPr>
    </w:p>
    <w:p w:rsidR="001B2442" w:rsidRPr="00565E25" w:rsidRDefault="004D7D95" w:rsidP="00F629E7">
      <w:pPr>
        <w:pStyle w:val="SCCNormalDoubleSpacing"/>
        <w:widowControl w:val="0"/>
        <w:rPr>
          <w:lang w:val="fr-CA"/>
        </w:rPr>
      </w:pPr>
      <w:r w:rsidRPr="00565E25">
        <w:rPr>
          <w:lang w:val="fr-CA"/>
        </w:rPr>
        <w:tab/>
        <w:t xml:space="preserve">POURVOI contre un arrêt de la </w:t>
      </w:r>
      <w:r w:rsidR="005627C5" w:rsidRPr="00565E25">
        <w:rPr>
          <w:lang w:val="fr-CA"/>
        </w:rPr>
        <w:t>Cour d’</w:t>
      </w:r>
      <w:r w:rsidRPr="00565E25">
        <w:rPr>
          <w:lang w:val="fr-CA"/>
        </w:rPr>
        <w:t xml:space="preserve">appel de l’Alberta </w:t>
      </w:r>
      <w:r w:rsidR="005627C5" w:rsidRPr="00565E25">
        <w:rPr>
          <w:lang w:val="fr-CA"/>
        </w:rPr>
        <w:t xml:space="preserve">(les juges </w:t>
      </w:r>
      <w:r w:rsidR="00B50147" w:rsidRPr="00565E25">
        <w:rPr>
          <w:lang w:val="fr-CA"/>
        </w:rPr>
        <w:t>Slatter</w:t>
      </w:r>
      <w:r w:rsidR="005627C5" w:rsidRPr="00565E25">
        <w:rPr>
          <w:lang w:val="fr-CA"/>
        </w:rPr>
        <w:t xml:space="preserve">, </w:t>
      </w:r>
      <w:r w:rsidR="00B50147" w:rsidRPr="00565E25">
        <w:rPr>
          <w:lang w:val="fr-CA"/>
        </w:rPr>
        <w:t>Veldhuis</w:t>
      </w:r>
      <w:r w:rsidR="005627C5" w:rsidRPr="00565E25">
        <w:rPr>
          <w:lang w:val="fr-CA"/>
        </w:rPr>
        <w:t xml:space="preserve"> et </w:t>
      </w:r>
      <w:r w:rsidR="00B50147" w:rsidRPr="00565E25">
        <w:rPr>
          <w:lang w:val="fr-CA"/>
        </w:rPr>
        <w:t>Schutz</w:t>
      </w:r>
      <w:r w:rsidR="005627C5" w:rsidRPr="00565E25">
        <w:rPr>
          <w:lang w:val="fr-CA"/>
        </w:rPr>
        <w:t>),</w:t>
      </w:r>
      <w:r w:rsidR="00E4061B" w:rsidRPr="00565E25">
        <w:rPr>
          <w:lang w:val="fr-CA"/>
        </w:rPr>
        <w:t xml:space="preserve"> </w:t>
      </w:r>
      <w:r w:rsidR="004020A3" w:rsidRPr="00565E25">
        <w:rPr>
          <w:lang w:val="fr-CA"/>
        </w:rPr>
        <w:t>2017 ABCA 274</w:t>
      </w:r>
      <w:r w:rsidR="00C95649" w:rsidRPr="00565E25">
        <w:rPr>
          <w:lang w:val="fr-CA"/>
        </w:rPr>
        <w:t xml:space="preserve">, </w:t>
      </w:r>
      <w:r w:rsidR="004020A3" w:rsidRPr="00565E25">
        <w:rPr>
          <w:lang w:val="fr-CA"/>
        </w:rPr>
        <w:t xml:space="preserve">40 C.R. (7th) 25, 57 Alta. L.R. (6th) 213, </w:t>
      </w:r>
      <w:r w:rsidR="00BF4CFC" w:rsidRPr="00565E25">
        <w:rPr>
          <w:lang w:val="fr-CA"/>
        </w:rPr>
        <w:t xml:space="preserve">[2017] A.J. No. </w:t>
      </w:r>
      <w:r w:rsidR="004020A3" w:rsidRPr="00565E25">
        <w:rPr>
          <w:lang w:val="fr-CA"/>
        </w:rPr>
        <w:t>879</w:t>
      </w:r>
      <w:r w:rsidR="00C95649" w:rsidRPr="00565E25">
        <w:rPr>
          <w:lang w:val="fr-CA"/>
        </w:rPr>
        <w:t xml:space="preserve"> (QL), 2017 CarswellAlta </w:t>
      </w:r>
      <w:r w:rsidR="004020A3" w:rsidRPr="00565E25">
        <w:rPr>
          <w:lang w:val="fr-CA"/>
        </w:rPr>
        <w:t>1549</w:t>
      </w:r>
      <w:r w:rsidR="00C95649" w:rsidRPr="00565E25">
        <w:rPr>
          <w:lang w:val="fr-CA"/>
        </w:rPr>
        <w:t xml:space="preserve"> (WL Can.)</w:t>
      </w:r>
      <w:r w:rsidR="00E4061B" w:rsidRPr="00565E25">
        <w:rPr>
          <w:lang w:val="fr-CA"/>
        </w:rPr>
        <w:t>,</w:t>
      </w:r>
      <w:r w:rsidR="001B2442" w:rsidRPr="00565E25">
        <w:rPr>
          <w:lang w:val="fr-CA"/>
        </w:rPr>
        <w:t xml:space="preserve"> </w:t>
      </w:r>
      <w:r w:rsidR="001B2442" w:rsidRPr="00084FCB">
        <w:rPr>
          <w:lang w:val="fr-CA"/>
        </w:rPr>
        <w:t xml:space="preserve">qui </w:t>
      </w:r>
      <w:r w:rsidR="00174917" w:rsidRPr="00084FCB">
        <w:rPr>
          <w:lang w:val="fr-CA"/>
        </w:rPr>
        <w:t xml:space="preserve">a </w:t>
      </w:r>
      <w:r w:rsidR="00BF4CFC" w:rsidRPr="00084FCB">
        <w:rPr>
          <w:lang w:val="fr-CA"/>
        </w:rPr>
        <w:t xml:space="preserve">confirmé la déclaration de culpabilité pour agression sexuelle </w:t>
      </w:r>
      <w:r w:rsidR="00802969" w:rsidRPr="00084FCB">
        <w:rPr>
          <w:lang w:val="fr-CA"/>
        </w:rPr>
        <w:t>prononcé</w:t>
      </w:r>
      <w:r w:rsidR="00BF4CFC" w:rsidRPr="00084FCB">
        <w:rPr>
          <w:lang w:val="fr-CA"/>
        </w:rPr>
        <w:t>e</w:t>
      </w:r>
      <w:r w:rsidR="00802969" w:rsidRPr="00084FCB">
        <w:rPr>
          <w:lang w:val="fr-CA"/>
        </w:rPr>
        <w:t xml:space="preserve"> </w:t>
      </w:r>
      <w:r w:rsidR="00BF4CFC" w:rsidRPr="00084FCB">
        <w:rPr>
          <w:lang w:val="fr-CA"/>
        </w:rPr>
        <w:t>contre</w:t>
      </w:r>
      <w:r w:rsidR="001B2442" w:rsidRPr="00084FCB">
        <w:rPr>
          <w:lang w:val="fr-CA"/>
        </w:rPr>
        <w:t xml:space="preserve"> l’accusé.</w:t>
      </w:r>
      <w:r w:rsidR="00C95649" w:rsidRPr="00084FCB">
        <w:rPr>
          <w:lang w:val="fr-CA"/>
        </w:rPr>
        <w:t xml:space="preserve"> </w:t>
      </w:r>
      <w:r w:rsidR="001B2442" w:rsidRPr="00084FCB">
        <w:rPr>
          <w:lang w:val="fr-CA"/>
        </w:rPr>
        <w:t xml:space="preserve">Pourvoi </w:t>
      </w:r>
      <w:r w:rsidR="00B50147" w:rsidRPr="00084FCB">
        <w:rPr>
          <w:lang w:val="fr-CA"/>
        </w:rPr>
        <w:t>accueilli, le juge en chef Wagner est dissident</w:t>
      </w:r>
      <w:r w:rsidR="001B2442" w:rsidRPr="00565E25">
        <w:rPr>
          <w:lang w:val="fr-CA"/>
        </w:rPr>
        <w:t>.</w:t>
      </w:r>
    </w:p>
    <w:p w:rsidR="004D7D95" w:rsidRPr="00565E25" w:rsidRDefault="004D7D95" w:rsidP="00F629E7">
      <w:pPr>
        <w:pStyle w:val="SCCNormalDoubleSpacing"/>
        <w:widowControl w:val="0"/>
        <w:rPr>
          <w:lang w:val="fr-CA"/>
        </w:rPr>
      </w:pPr>
    </w:p>
    <w:p w:rsidR="00F707FE" w:rsidRPr="00565E25" w:rsidRDefault="00802969" w:rsidP="00F629E7">
      <w:pPr>
        <w:pStyle w:val="SCCNormalDoubleSpacing"/>
        <w:widowControl w:val="0"/>
        <w:rPr>
          <w:lang w:val="fr-CA"/>
        </w:rPr>
      </w:pPr>
      <w:r w:rsidRPr="00565E25">
        <w:rPr>
          <w:rStyle w:val="SCCCounselNameChar"/>
          <w:lang w:val="fr-CA"/>
        </w:rPr>
        <w:tab/>
      </w:r>
      <w:r w:rsidR="00982447" w:rsidRPr="00565E25">
        <w:rPr>
          <w:rStyle w:val="SCCCounselNameChar"/>
          <w:lang w:val="fr-CA"/>
        </w:rPr>
        <w:t>Ian Runkle</w:t>
      </w:r>
      <w:r w:rsidR="00174917" w:rsidRPr="00565E25">
        <w:rPr>
          <w:rStyle w:val="SCCCounselPartyRoleChar"/>
          <w:lang w:val="fr-CA"/>
        </w:rPr>
        <w:t>, pour l’</w:t>
      </w:r>
      <w:r w:rsidRPr="00565E25">
        <w:rPr>
          <w:rStyle w:val="SCCCounselPartyRoleChar"/>
          <w:lang w:val="fr-CA"/>
        </w:rPr>
        <w:t>appelant.</w:t>
      </w:r>
    </w:p>
    <w:p w:rsidR="00F707FE" w:rsidRPr="00565E25" w:rsidRDefault="00F707FE" w:rsidP="00F629E7">
      <w:pPr>
        <w:pStyle w:val="SCCNormalDoubleSpacing"/>
        <w:widowControl w:val="0"/>
        <w:rPr>
          <w:lang w:val="fr-CA"/>
        </w:rPr>
      </w:pPr>
    </w:p>
    <w:p w:rsidR="00F707FE" w:rsidRPr="00565E25" w:rsidRDefault="00802969" w:rsidP="00F629E7">
      <w:pPr>
        <w:pStyle w:val="SCCNormalDoubleSpacing"/>
        <w:widowControl w:val="0"/>
        <w:rPr>
          <w:lang w:val="fr-CA"/>
        </w:rPr>
      </w:pPr>
      <w:r w:rsidRPr="00565E25">
        <w:rPr>
          <w:rStyle w:val="SCCCounselNameChar"/>
          <w:lang w:val="fr-CA"/>
        </w:rPr>
        <w:tab/>
      </w:r>
      <w:r w:rsidR="00982447" w:rsidRPr="00565E25">
        <w:rPr>
          <w:rStyle w:val="SCCCounselNameChar"/>
          <w:lang w:val="fr-CA"/>
        </w:rPr>
        <w:t>Jason R. Russell</w:t>
      </w:r>
      <w:r w:rsidR="00174917" w:rsidRPr="00565E25">
        <w:rPr>
          <w:rStyle w:val="SCCCounselPartyRoleChar"/>
          <w:lang w:val="fr-CA"/>
        </w:rPr>
        <w:t>, pour l’intimée</w:t>
      </w:r>
      <w:r w:rsidRPr="00565E25">
        <w:rPr>
          <w:rStyle w:val="SCCCounselPartyRoleChar"/>
          <w:lang w:val="fr-CA"/>
        </w:rPr>
        <w:t>.</w:t>
      </w:r>
    </w:p>
    <w:p w:rsidR="00F707FE" w:rsidRPr="00565E25" w:rsidRDefault="00F707FE" w:rsidP="00F629E7">
      <w:pPr>
        <w:pStyle w:val="SCCNormalDoubleSpacing"/>
        <w:widowControl w:val="0"/>
        <w:rPr>
          <w:lang w:val="fr-CA"/>
        </w:rPr>
      </w:pPr>
    </w:p>
    <w:p w:rsidR="00105A63" w:rsidRPr="00565E25" w:rsidRDefault="00044D86" w:rsidP="00F629E7">
      <w:pPr>
        <w:pStyle w:val="SCCNormalDoubleSpacing"/>
        <w:widowControl w:val="0"/>
        <w:rPr>
          <w:lang w:val="fr-CA"/>
        </w:rPr>
      </w:pPr>
      <w:r w:rsidRPr="00565E25">
        <w:rPr>
          <w:lang w:val="fr-CA"/>
        </w:rPr>
        <w:tab/>
      </w:r>
      <w:r w:rsidR="00150472" w:rsidRPr="00565E25">
        <w:rPr>
          <w:lang w:val="fr-CA"/>
        </w:rPr>
        <w:t>Version française du jugement de la Cour rendu oralement par</w:t>
      </w:r>
    </w:p>
    <w:p w:rsidR="00D45D03" w:rsidRPr="00565E25" w:rsidRDefault="00982447" w:rsidP="00F629E7">
      <w:pPr>
        <w:pStyle w:val="ParaNoNdepar-AltN"/>
        <w:widowControl w:val="0"/>
        <w:numPr>
          <w:ilvl w:val="0"/>
          <w:numId w:val="2"/>
        </w:numPr>
        <w:tabs>
          <w:tab w:val="num" w:pos="1152"/>
        </w:tabs>
        <w:ind w:left="0" w:firstLine="0"/>
        <w:rPr>
          <w:lang w:val="fr-CA"/>
        </w:rPr>
      </w:pPr>
      <w:r w:rsidRPr="00565E25">
        <w:rPr>
          <w:smallCaps/>
          <w:lang w:val="fr-CA"/>
        </w:rPr>
        <w:lastRenderedPageBreak/>
        <w:t>Le</w:t>
      </w:r>
      <w:r w:rsidR="009B2E3F" w:rsidRPr="00565E25">
        <w:rPr>
          <w:smallCaps/>
          <w:lang w:val="fr-CA"/>
        </w:rPr>
        <w:t xml:space="preserve"> j</w:t>
      </w:r>
      <w:r w:rsidR="00D45D03" w:rsidRPr="00565E25">
        <w:rPr>
          <w:smallCaps/>
          <w:lang w:val="fr-CA"/>
        </w:rPr>
        <w:t xml:space="preserve">uge </w:t>
      </w:r>
      <w:r w:rsidRPr="00565E25">
        <w:rPr>
          <w:smallCaps/>
          <w:lang w:val="fr-CA"/>
        </w:rPr>
        <w:t>Brown</w:t>
      </w:r>
      <w:r w:rsidR="00D45D03" w:rsidRPr="00565E25">
        <w:rPr>
          <w:lang w:val="fr-CA"/>
        </w:rPr>
        <w:t xml:space="preserve"> — </w:t>
      </w:r>
      <w:r w:rsidRPr="00565E25">
        <w:rPr>
          <w:lang w:val="fr-CA"/>
        </w:rPr>
        <w:t>G.T.D. a été déclaré coupable d’agression sexuelle à l’endroit d’une ancienne partenaire intime et il fait appel de plein droit sur la base d’une dissidence en Cour d’appel de l’Alberta. La juge dissidente aurait ordonné un nouveau procès au motif que la façon dont le Service de police d’Edmonton a donné sa mise en garde habituelle a violé le droit à l’assistance d’un avocat garanti à G.T.D. par l’al. 10</w:t>
      </w:r>
      <w:r w:rsidRPr="00565E25">
        <w:rPr>
          <w:i/>
          <w:lang w:val="fr-CA"/>
        </w:rPr>
        <w:t>b</w:t>
      </w:r>
      <w:r w:rsidRPr="00565E25">
        <w:rPr>
          <w:lang w:val="fr-CA"/>
        </w:rPr>
        <w:t xml:space="preserve">) de la </w:t>
      </w:r>
      <w:r w:rsidRPr="00565E25">
        <w:rPr>
          <w:i/>
          <w:lang w:val="fr-CA"/>
        </w:rPr>
        <w:t>Charte canadienne des droits et libertés</w:t>
      </w:r>
      <w:r w:rsidRPr="00565E25">
        <w:rPr>
          <w:lang w:val="fr-CA"/>
        </w:rPr>
        <w:t xml:space="preserve">, et que la déclaration inculpatoire qu’il a ensuite faite en réponse à la mise en garde devrait être écartée aux termes du par. 24(2) de la </w:t>
      </w:r>
      <w:r w:rsidRPr="00565E25">
        <w:rPr>
          <w:i/>
          <w:lang w:val="fr-CA"/>
        </w:rPr>
        <w:t>Charte</w:t>
      </w:r>
      <w:r w:rsidRPr="00565E25">
        <w:rPr>
          <w:lang w:val="fr-CA"/>
        </w:rPr>
        <w:t xml:space="preserve">, selon l’analyse énoncée dans l’arrêt </w:t>
      </w:r>
      <w:r w:rsidRPr="00565E25">
        <w:rPr>
          <w:i/>
          <w:lang w:val="fr-CA"/>
        </w:rPr>
        <w:t>R. c. Grant</w:t>
      </w:r>
      <w:r w:rsidRPr="00565E25">
        <w:rPr>
          <w:lang w:val="fr-CA"/>
        </w:rPr>
        <w:t>, 2009 CSC 32, [2009] 2 R.C.S. 353. Les juges majoritaires de la Cour d’appel ont reconnu qu’il y avait eu violation du droit de G.T.D. à l’assistance d’un avocat, mais ont rejeté l’appel au motif que la déclaration ne devait pas être exclue</w:t>
      </w:r>
      <w:r w:rsidR="00D45D03" w:rsidRPr="00565E25">
        <w:rPr>
          <w:lang w:val="fr-CA"/>
        </w:rPr>
        <w:t>.</w:t>
      </w:r>
    </w:p>
    <w:p w:rsidR="00982447" w:rsidRPr="00565E25" w:rsidRDefault="00565E25" w:rsidP="00F629E7">
      <w:pPr>
        <w:pStyle w:val="ParaNoNdepar-AltN"/>
        <w:widowControl w:val="0"/>
        <w:numPr>
          <w:ilvl w:val="0"/>
          <w:numId w:val="2"/>
        </w:numPr>
        <w:tabs>
          <w:tab w:val="num" w:pos="1152"/>
        </w:tabs>
        <w:ind w:left="0" w:firstLine="0"/>
        <w:rPr>
          <w:lang w:val="fr-CA"/>
        </w:rPr>
      </w:pPr>
      <w:r w:rsidRPr="00B31748">
        <w:rPr>
          <w:lang w:val="fr-CA"/>
        </w:rPr>
        <w:t>Suivant l</w:t>
      </w:r>
      <w:r w:rsidRPr="00565E25">
        <w:rPr>
          <w:lang w:val="fr-CA"/>
        </w:rPr>
        <w:t xml:space="preserve">e droit à l’assistance d’un avocat garanti </w:t>
      </w:r>
      <w:r w:rsidRPr="00B31748">
        <w:rPr>
          <w:lang w:val="fr-CA"/>
        </w:rPr>
        <w:t>à une personne détenue</w:t>
      </w:r>
      <w:r w:rsidRPr="00565E25">
        <w:rPr>
          <w:lang w:val="fr-CA"/>
        </w:rPr>
        <w:t xml:space="preserve"> par l’al. 10</w:t>
      </w:r>
      <w:r w:rsidRPr="00565E25">
        <w:rPr>
          <w:i/>
          <w:lang w:val="fr-CA"/>
        </w:rPr>
        <w:t>b</w:t>
      </w:r>
      <w:r w:rsidRPr="00565E25">
        <w:rPr>
          <w:lang w:val="fr-CA"/>
        </w:rPr>
        <w:t xml:space="preserve">) de la </w:t>
      </w:r>
      <w:r w:rsidRPr="00565E25">
        <w:rPr>
          <w:i/>
          <w:lang w:val="fr-CA"/>
        </w:rPr>
        <w:t>Charte</w:t>
      </w:r>
      <w:r w:rsidRPr="00B31748">
        <w:rPr>
          <w:lang w:val="fr-CA"/>
        </w:rPr>
        <w:t xml:space="preserve">, les policiers sont obligés, « jusqu’à ce que cette personne ait eu une possibilité raisonnable de communiquer avec un avocat, [. . .] de “surseoir” à toute mesure ayant pour objet de lui soutirer des éléments de preuve de nature incriminante » </w:t>
      </w:r>
      <w:r w:rsidR="00982447" w:rsidRPr="00565E25">
        <w:rPr>
          <w:lang w:val="fr-CA"/>
        </w:rPr>
        <w:t xml:space="preserve"> (</w:t>
      </w:r>
      <w:r w:rsidR="00982447" w:rsidRPr="00565E25">
        <w:rPr>
          <w:i/>
          <w:lang w:val="fr-CA"/>
        </w:rPr>
        <w:t>R. c. Prosper</w:t>
      </w:r>
      <w:r w:rsidR="00982447" w:rsidRPr="00565E25">
        <w:rPr>
          <w:lang w:val="fr-CA"/>
        </w:rPr>
        <w:t xml:space="preserve">, [1994] 3 R.C.S. 236, p. 269). Le premier point litigieux en l’espèce consiste à décider si la question </w:t>
      </w:r>
      <w:r w:rsidR="00446BB7">
        <w:rPr>
          <w:lang w:val="fr-CA"/>
        </w:rPr>
        <w:t>[</w:t>
      </w:r>
      <w:r w:rsidR="00446BB7" w:rsidRPr="00446BB7">
        <w:rPr>
          <w:smallCaps/>
          <w:lang w:val="fr-CA"/>
        </w:rPr>
        <w:t>traduction</w:t>
      </w:r>
      <w:r w:rsidR="00446BB7">
        <w:rPr>
          <w:lang w:val="fr-CA"/>
        </w:rPr>
        <w:t xml:space="preserve">] </w:t>
      </w:r>
      <w:r w:rsidR="00982447" w:rsidRPr="00565E25">
        <w:rPr>
          <w:lang w:val="fr-CA"/>
        </w:rPr>
        <w:t xml:space="preserve">« Souhaitez-vous dire quelque chose? », posée à la fin de la mise en garde habituelle du Service de police d’Edmonton, alors que G.T.D. avait déjà invoqué son droit à l’assistance d’un avocat, a constitué une violation de cette obligation </w:t>
      </w:r>
      <w:r w:rsidR="00982447" w:rsidRPr="00B31748">
        <w:rPr>
          <w:lang w:val="fr-CA"/>
        </w:rPr>
        <w:t>« </w:t>
      </w:r>
      <w:r w:rsidR="004D2976" w:rsidRPr="00B31748">
        <w:rPr>
          <w:lang w:val="fr-CA"/>
        </w:rPr>
        <w:t>de surseoir à l’enquête</w:t>
      </w:r>
      <w:r w:rsidR="00982447" w:rsidRPr="00B31748">
        <w:rPr>
          <w:lang w:val="fr-CA"/>
        </w:rPr>
        <w:t> »</w:t>
      </w:r>
      <w:r w:rsidR="00982447" w:rsidRPr="00565E25">
        <w:rPr>
          <w:lang w:val="fr-CA"/>
        </w:rPr>
        <w:t>. Nous sommes tous d’avis que oui, car elle a donné lieu à une déclaration de la part de G.T.D</w:t>
      </w:r>
      <w:r w:rsidR="00582FB1" w:rsidRPr="00565E25">
        <w:rPr>
          <w:lang w:val="fr-CA"/>
        </w:rPr>
        <w:t>.</w:t>
      </w:r>
    </w:p>
    <w:p w:rsidR="00982447" w:rsidRPr="00565E25" w:rsidRDefault="00582FB1" w:rsidP="00F629E7">
      <w:pPr>
        <w:pStyle w:val="ParaNoNdepar-AltN"/>
        <w:widowControl w:val="0"/>
        <w:numPr>
          <w:ilvl w:val="0"/>
          <w:numId w:val="2"/>
        </w:numPr>
        <w:tabs>
          <w:tab w:val="num" w:pos="1152"/>
        </w:tabs>
        <w:ind w:left="0" w:firstLine="0"/>
        <w:rPr>
          <w:lang w:val="fr-CA"/>
        </w:rPr>
      </w:pPr>
      <w:r w:rsidRPr="00565E25">
        <w:rPr>
          <w:lang w:val="fr-CA"/>
        </w:rPr>
        <w:t xml:space="preserve">L’autre point litigieux consiste à décider si cette violation justifie l’exclusion de la déclaration de G.T.D. en application du par. 24(2) de la </w:t>
      </w:r>
      <w:r w:rsidRPr="00565E25">
        <w:rPr>
          <w:i/>
          <w:lang w:val="fr-CA"/>
        </w:rPr>
        <w:t>Charte</w:t>
      </w:r>
      <w:r w:rsidRPr="00565E25">
        <w:rPr>
          <w:lang w:val="fr-CA"/>
        </w:rPr>
        <w:t xml:space="preserve">. La </w:t>
      </w:r>
      <w:r w:rsidRPr="00565E25">
        <w:rPr>
          <w:lang w:val="fr-CA"/>
        </w:rPr>
        <w:lastRenderedPageBreak/>
        <w:t>Cour, à la majorité, répond par l’affirmative, appuyant pour l’essentiel sa décision sur les motifs de la juge Veldhuis de la Cour d’appel. Comme l’indique cette dernière au par. 83 de ses motifs, la Couronne a eu amplement l’occasion de présenter d’autres éléments de preuve sur les politiques ou la formation au sein du Service de police d’Edmonton, mais elle a décidé de ne pas le faire. Par conséquent, les juges majoritaires accueilleraient l’appel et ordonneraient la tenue d’un nouveau procès.</w:t>
      </w:r>
    </w:p>
    <w:p w:rsidR="00982447" w:rsidRPr="00565E25" w:rsidRDefault="009B7C2F" w:rsidP="00F629E7">
      <w:pPr>
        <w:pStyle w:val="ParaNoNdepar-AltN"/>
        <w:widowControl w:val="0"/>
        <w:numPr>
          <w:ilvl w:val="0"/>
          <w:numId w:val="2"/>
        </w:numPr>
        <w:tabs>
          <w:tab w:val="num" w:pos="1152"/>
        </w:tabs>
        <w:ind w:left="0" w:firstLine="0"/>
        <w:rPr>
          <w:lang w:val="fr-CA"/>
        </w:rPr>
      </w:pPr>
      <w:r>
        <w:rPr>
          <w:lang w:val="fr-CA"/>
        </w:rPr>
        <w:t>Le j</w:t>
      </w:r>
      <w:r w:rsidR="00582FB1" w:rsidRPr="00565E25">
        <w:rPr>
          <w:lang w:val="fr-CA"/>
        </w:rPr>
        <w:t xml:space="preserve">uge en chef rejetterait l’appel au motif que la violation ne justifie pas l’exclusion de la déclaration de G.T.D. L’appelant a plaidé que le recours à la question « Souhaitez-vous dire quelque chose? » dans la mise en garde habituelle se traduit par une situation de violations systémiques de la </w:t>
      </w:r>
      <w:r w:rsidR="00582FB1" w:rsidRPr="00565E25">
        <w:rPr>
          <w:i/>
          <w:lang w:val="fr-CA"/>
        </w:rPr>
        <w:t>Charte</w:t>
      </w:r>
      <w:r w:rsidR="00582FB1" w:rsidRPr="00565E25">
        <w:rPr>
          <w:lang w:val="fr-CA"/>
        </w:rPr>
        <w:t>. Bien qu’une telle situation puisse exacerber la gravité de la conduite attentatoire d</w:t>
      </w:r>
      <w:r>
        <w:rPr>
          <w:lang w:val="fr-CA"/>
        </w:rPr>
        <w:t>e l’État, le j</w:t>
      </w:r>
      <w:r w:rsidR="00582FB1" w:rsidRPr="00565E25">
        <w:rPr>
          <w:lang w:val="fr-CA"/>
        </w:rPr>
        <w:t xml:space="preserve">uge en chef est d’avis que, dans la présente affaire, la situation n’a impliqué ni violation de règles bien établies ni négligence dans la détermination de ce que ces règles imposaient. L’obligation </w:t>
      </w:r>
      <w:r w:rsidR="004D2976" w:rsidRPr="00B31748">
        <w:rPr>
          <w:lang w:val="fr-CA"/>
        </w:rPr>
        <w:t>« de surseoir à l’enquête</w:t>
      </w:r>
      <w:r w:rsidR="00582FB1" w:rsidRPr="00B31748">
        <w:rPr>
          <w:lang w:val="fr-CA"/>
        </w:rPr>
        <w:t> »</w:t>
      </w:r>
      <w:r w:rsidR="00582FB1" w:rsidRPr="00565E25">
        <w:rPr>
          <w:lang w:val="fr-CA"/>
        </w:rPr>
        <w:t xml:space="preserve"> est elle-même bien établie.</w:t>
      </w:r>
    </w:p>
    <w:p w:rsidR="00982447" w:rsidRPr="00565E25" w:rsidRDefault="00582FB1" w:rsidP="00F629E7">
      <w:pPr>
        <w:pStyle w:val="ParaNoNdepar-AltN"/>
        <w:widowControl w:val="0"/>
        <w:numPr>
          <w:ilvl w:val="0"/>
          <w:numId w:val="2"/>
        </w:numPr>
        <w:tabs>
          <w:tab w:val="num" w:pos="1152"/>
        </w:tabs>
        <w:ind w:left="0" w:firstLine="0"/>
        <w:rPr>
          <w:lang w:val="fr-CA"/>
        </w:rPr>
      </w:pPr>
      <w:r w:rsidRPr="00565E25">
        <w:rPr>
          <w:lang w:val="fr-CA"/>
        </w:rPr>
        <w:t>Compte tenu des circonstances, la réponse à la question de savoir si cette forme de mise en garde respecte ou non la porté</w:t>
      </w:r>
      <w:r w:rsidR="004D2976">
        <w:rPr>
          <w:lang w:val="fr-CA"/>
        </w:rPr>
        <w:t xml:space="preserve">e de l’obligation </w:t>
      </w:r>
      <w:r w:rsidR="004D2976" w:rsidRPr="00B31748">
        <w:rPr>
          <w:lang w:val="fr-CA"/>
        </w:rPr>
        <w:t>« de surseoir à l’enquête</w:t>
      </w:r>
      <w:r w:rsidRPr="00B31748">
        <w:rPr>
          <w:lang w:val="fr-CA"/>
        </w:rPr>
        <w:t> »</w:t>
      </w:r>
      <w:r w:rsidR="009B7C2F">
        <w:rPr>
          <w:lang w:val="fr-CA"/>
        </w:rPr>
        <w:t xml:space="preserve"> n’était pas, de l’avis du j</w:t>
      </w:r>
      <w:r w:rsidRPr="00565E25">
        <w:rPr>
          <w:lang w:val="fr-CA"/>
        </w:rPr>
        <w:t xml:space="preserve">uge en chef, suffisamment claire pour permettre de conclure que l’erreur des policiers, indépendamment de son caractère systémique, était déraisonnable ou dénuée de bonne foi. Selon lui, nous ne sommes pas non plus en présence d’un cas où les policiers ont irrégulièrement choisi « le moyen le moins compliqué lorsque [la </w:t>
      </w:r>
      <w:r w:rsidRPr="00565E25">
        <w:rPr>
          <w:i/>
          <w:lang w:val="fr-CA"/>
        </w:rPr>
        <w:t>Charte</w:t>
      </w:r>
      <w:r w:rsidRPr="00565E25">
        <w:rPr>
          <w:lang w:val="fr-CA"/>
        </w:rPr>
        <w:t xml:space="preserve"> comportait] une zone grise » (</w:t>
      </w:r>
      <w:r w:rsidRPr="00565E25">
        <w:rPr>
          <w:i/>
          <w:lang w:val="fr-CA"/>
        </w:rPr>
        <w:t>R. c. Fearon</w:t>
      </w:r>
      <w:r w:rsidRPr="00565E25">
        <w:rPr>
          <w:lang w:val="fr-CA"/>
        </w:rPr>
        <w:t>, 2014 CSC 77, [2014] 3 R.C.S. 621, par. 94).</w:t>
      </w:r>
    </w:p>
    <w:p w:rsidR="00582FB1" w:rsidRPr="00565E25" w:rsidRDefault="009B7C2F" w:rsidP="00F629E7">
      <w:pPr>
        <w:pStyle w:val="ParaNoNdepar-AltN"/>
        <w:widowControl w:val="0"/>
        <w:numPr>
          <w:ilvl w:val="0"/>
          <w:numId w:val="2"/>
        </w:numPr>
        <w:tabs>
          <w:tab w:val="num" w:pos="1152"/>
        </w:tabs>
        <w:ind w:left="0" w:firstLine="0"/>
        <w:rPr>
          <w:lang w:val="fr-CA"/>
        </w:rPr>
      </w:pPr>
      <w:r>
        <w:rPr>
          <w:lang w:val="fr-CA"/>
        </w:rPr>
        <w:lastRenderedPageBreak/>
        <w:t>Le j</w:t>
      </w:r>
      <w:r w:rsidR="00582FB1" w:rsidRPr="00565E25">
        <w:rPr>
          <w:lang w:val="fr-CA"/>
        </w:rPr>
        <w:t xml:space="preserve">uge en chef conclut que le fait que la question avait été accompagnée de renseignements clairs relativement au choix de G.T.D. de parler ou non aux policiers avait atténué à tel point l’incidence de la conduite de l’État sur le droit garanti par la </w:t>
      </w:r>
      <w:r w:rsidR="00582FB1" w:rsidRPr="00565E25">
        <w:rPr>
          <w:i/>
          <w:lang w:val="fr-CA"/>
        </w:rPr>
        <w:t>Charte</w:t>
      </w:r>
      <w:r w:rsidR="00582FB1" w:rsidRPr="00565E25">
        <w:rPr>
          <w:lang w:val="fr-CA"/>
        </w:rPr>
        <w:t xml:space="preserve"> de l’accusé que, au regard de la gravité de la violation et de l’intérêt de la société à ce que l’affaire soit jugée sur le fond, l’admission de la déclaration ne serait pas susceptible de déconsidérer l’administration de la justice.</w:t>
      </w:r>
    </w:p>
    <w:p w:rsidR="00105A63" w:rsidRPr="00565E25" w:rsidRDefault="00105A63" w:rsidP="00F629E7">
      <w:pPr>
        <w:pStyle w:val="SCCNormalDoubleSpacing"/>
        <w:widowControl w:val="0"/>
        <w:spacing w:before="480" w:after="480"/>
        <w:rPr>
          <w:i/>
          <w:lang w:val="fr-CA"/>
        </w:rPr>
      </w:pPr>
      <w:r w:rsidRPr="00565E25">
        <w:rPr>
          <w:lang w:val="fr-CA"/>
        </w:rPr>
        <w:tab/>
      </w:r>
      <w:r w:rsidRPr="00565E25">
        <w:rPr>
          <w:i/>
          <w:lang w:val="fr-CA"/>
        </w:rPr>
        <w:t>Jugement en conséquence.</w:t>
      </w:r>
    </w:p>
    <w:p w:rsidR="00F707FE" w:rsidRPr="00565E25" w:rsidRDefault="00802969" w:rsidP="00F629E7">
      <w:pPr>
        <w:pStyle w:val="SCCLawFirm"/>
        <w:widowControl w:val="0"/>
        <w:spacing w:before="480" w:after="480"/>
        <w:rPr>
          <w:lang w:val="fr-CA"/>
        </w:rPr>
      </w:pPr>
      <w:r w:rsidRPr="00565E25">
        <w:rPr>
          <w:lang w:val="fr-CA"/>
        </w:rPr>
        <w:tab/>
        <w:t>Procureur</w:t>
      </w:r>
      <w:r w:rsidR="00105A63" w:rsidRPr="00565E25">
        <w:rPr>
          <w:lang w:val="fr-CA"/>
        </w:rPr>
        <w:t>s de l’appelant</w:t>
      </w:r>
      <w:r w:rsidRPr="00565E25">
        <w:rPr>
          <w:lang w:val="fr-CA"/>
        </w:rPr>
        <w:t xml:space="preserve"> : </w:t>
      </w:r>
      <w:r w:rsidR="00732EAE" w:rsidRPr="00565E25">
        <w:rPr>
          <w:lang w:val="fr-CA"/>
        </w:rPr>
        <w:t>Runkle Law, Edmonton</w:t>
      </w:r>
      <w:r w:rsidRPr="00565E25">
        <w:rPr>
          <w:lang w:val="fr-CA"/>
        </w:rPr>
        <w:t>.</w:t>
      </w:r>
    </w:p>
    <w:p w:rsidR="00F707FE" w:rsidRPr="00050D14" w:rsidRDefault="00802969" w:rsidP="00F629E7">
      <w:pPr>
        <w:pStyle w:val="SCCLawFirm"/>
        <w:widowControl w:val="0"/>
        <w:spacing w:before="480" w:after="480"/>
        <w:rPr>
          <w:lang w:val="en-US"/>
        </w:rPr>
      </w:pPr>
      <w:r w:rsidRPr="00565E25">
        <w:rPr>
          <w:lang w:val="fr-CA"/>
        </w:rPr>
        <w:tab/>
      </w:r>
      <w:r w:rsidRPr="00050D14">
        <w:rPr>
          <w:lang w:val="en-US"/>
        </w:rPr>
        <w:t>Procureur</w:t>
      </w:r>
      <w:r w:rsidR="00105A63" w:rsidRPr="00050D14">
        <w:rPr>
          <w:lang w:val="en-US"/>
        </w:rPr>
        <w:t xml:space="preserve"> de l’</w:t>
      </w:r>
      <w:r w:rsidRPr="00050D14">
        <w:rPr>
          <w:lang w:val="en-US"/>
        </w:rPr>
        <w:t>intimé</w:t>
      </w:r>
      <w:r w:rsidR="00105A63" w:rsidRPr="00050D14">
        <w:rPr>
          <w:lang w:val="en-US"/>
        </w:rPr>
        <w:t>e</w:t>
      </w:r>
      <w:r w:rsidRPr="00050D14">
        <w:rPr>
          <w:lang w:val="en-US"/>
        </w:rPr>
        <w:t> :</w:t>
      </w:r>
      <w:r w:rsidR="00044D86" w:rsidRPr="00050D14">
        <w:rPr>
          <w:lang w:val="en-US"/>
        </w:rPr>
        <w:t xml:space="preserve"> </w:t>
      </w:r>
      <w:r w:rsidR="00732EAE" w:rsidRPr="00050D14">
        <w:rPr>
          <w:lang w:val="en-US"/>
        </w:rPr>
        <w:t xml:space="preserve">Alberta </w:t>
      </w:r>
      <w:r w:rsidR="00DE5E0F" w:rsidRPr="00050D14">
        <w:rPr>
          <w:lang w:val="en-US"/>
        </w:rPr>
        <w:t>Justice and Solicitor General,</w:t>
      </w:r>
      <w:r w:rsidR="00044D86" w:rsidRPr="00050D14">
        <w:rPr>
          <w:lang w:val="en-US"/>
        </w:rPr>
        <w:t xml:space="preserve"> Appeals</w:t>
      </w:r>
      <w:r w:rsidR="00DE5E0F" w:rsidRPr="00050D14">
        <w:rPr>
          <w:lang w:val="en-US"/>
        </w:rPr>
        <w:t>,</w:t>
      </w:r>
      <w:r w:rsidR="00044D86" w:rsidRPr="00050D14">
        <w:rPr>
          <w:lang w:val="en-US"/>
        </w:rPr>
        <w:t xml:space="preserve"> Education &amp; Prosecution Policy Branch</w:t>
      </w:r>
      <w:r w:rsidRPr="00050D14">
        <w:rPr>
          <w:lang w:val="en-US"/>
        </w:rPr>
        <w:t xml:space="preserve">, </w:t>
      </w:r>
      <w:r w:rsidR="00732EAE" w:rsidRPr="00050D14">
        <w:rPr>
          <w:lang w:val="en-US"/>
        </w:rPr>
        <w:t>Edmonton</w:t>
      </w:r>
      <w:r w:rsidRPr="00050D14">
        <w:rPr>
          <w:lang w:val="en-US"/>
        </w:rPr>
        <w:t>.</w:t>
      </w:r>
    </w:p>
    <w:sectPr w:rsidR="00F707FE" w:rsidRPr="00050D14" w:rsidSect="000648CC">
      <w:footnotePr>
        <w:numFmt w:val="chicago"/>
      </w:footnotePr>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050D14" w:rsidRPr="00050D14" w:rsidRDefault="00050D14" w:rsidP="00D66D2C">
      <w:pPr>
        <w:pStyle w:val="FootnoteText"/>
        <w:tabs>
          <w:tab w:val="left" w:pos="180"/>
        </w:tabs>
        <w:ind w:left="180" w:hanging="180"/>
        <w:jc w:val="both"/>
        <w:rPr>
          <w:lang w:val="fr-CA"/>
        </w:rPr>
      </w:pPr>
      <w:r>
        <w:rPr>
          <w:rStyle w:val="FootnoteReference"/>
        </w:rPr>
        <w:footnoteRef/>
      </w:r>
      <w:r w:rsidRPr="00050D14">
        <w:rPr>
          <w:lang w:val="fr-CA"/>
        </w:rPr>
        <w:t xml:space="preserve"> </w:t>
      </w:r>
      <w:r w:rsidR="00D66D2C">
        <w:rPr>
          <w:lang w:val="fr-CA"/>
        </w:rPr>
        <w:tab/>
      </w:r>
      <w:r w:rsidRPr="00050D14">
        <w:rPr>
          <w:lang w:val="fr-CA"/>
        </w:rPr>
        <w:t>Un jugement formel a été rendu le 19 février 2018 et r</w:t>
      </w:r>
      <w:r>
        <w:rPr>
          <w:lang w:val="fr-CA"/>
        </w:rPr>
        <w:t xml:space="preserve">évisé le </w:t>
      </w:r>
      <w:r w:rsidR="00EE3065">
        <w:rPr>
          <w:lang w:val="fr-CA"/>
        </w:rPr>
        <w:t>6 avril</w:t>
      </w:r>
      <w:r>
        <w:rPr>
          <w:lang w:val="fr-CA"/>
        </w:rPr>
        <w:t xml:space="preserve"> 2018 pour modifier la version française des par. 2, 4 et 5. Les modifications ont été incorporées dans le présent jugement.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F2FCB"/>
    <w:multiLevelType w:val="hybridMultilevel"/>
    <w:tmpl w:val="8FE6DAB6"/>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00242"/>
    <w:multiLevelType w:val="hybridMultilevel"/>
    <w:tmpl w:val="7F2C4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4D86"/>
    <w:rsid w:val="00050D14"/>
    <w:rsid w:val="000578A3"/>
    <w:rsid w:val="000648CC"/>
    <w:rsid w:val="00084FCB"/>
    <w:rsid w:val="000C59B8"/>
    <w:rsid w:val="000C6AF0"/>
    <w:rsid w:val="000D0A77"/>
    <w:rsid w:val="000D2B5F"/>
    <w:rsid w:val="000F7993"/>
    <w:rsid w:val="00104F33"/>
    <w:rsid w:val="00105A63"/>
    <w:rsid w:val="00111DE2"/>
    <w:rsid w:val="00116B38"/>
    <w:rsid w:val="00126BF8"/>
    <w:rsid w:val="00135406"/>
    <w:rsid w:val="00135972"/>
    <w:rsid w:val="001426A9"/>
    <w:rsid w:val="00150472"/>
    <w:rsid w:val="00154D7C"/>
    <w:rsid w:val="001570B0"/>
    <w:rsid w:val="0015752C"/>
    <w:rsid w:val="00157737"/>
    <w:rsid w:val="00165277"/>
    <w:rsid w:val="00170592"/>
    <w:rsid w:val="00171D37"/>
    <w:rsid w:val="001720F7"/>
    <w:rsid w:val="00174917"/>
    <w:rsid w:val="00187EA8"/>
    <w:rsid w:val="00195D83"/>
    <w:rsid w:val="00196245"/>
    <w:rsid w:val="001A00C1"/>
    <w:rsid w:val="001B2442"/>
    <w:rsid w:val="001B33E0"/>
    <w:rsid w:val="001B4573"/>
    <w:rsid w:val="001B6EBC"/>
    <w:rsid w:val="001C779F"/>
    <w:rsid w:val="001D2AC1"/>
    <w:rsid w:val="001D4E88"/>
    <w:rsid w:val="001E371A"/>
    <w:rsid w:val="00220FC2"/>
    <w:rsid w:val="002222F4"/>
    <w:rsid w:val="00224FC0"/>
    <w:rsid w:val="00225EA4"/>
    <w:rsid w:val="00226EAF"/>
    <w:rsid w:val="00231F3A"/>
    <w:rsid w:val="002406EE"/>
    <w:rsid w:val="00243EC8"/>
    <w:rsid w:val="00270D93"/>
    <w:rsid w:val="002745CC"/>
    <w:rsid w:val="002B6FBE"/>
    <w:rsid w:val="002B7924"/>
    <w:rsid w:val="002C10A6"/>
    <w:rsid w:val="002C23AE"/>
    <w:rsid w:val="002D28C3"/>
    <w:rsid w:val="002D39A4"/>
    <w:rsid w:val="002E6705"/>
    <w:rsid w:val="0030329A"/>
    <w:rsid w:val="0030335D"/>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D21B7"/>
    <w:rsid w:val="003E1C71"/>
    <w:rsid w:val="003F327B"/>
    <w:rsid w:val="004020A3"/>
    <w:rsid w:val="00406166"/>
    <w:rsid w:val="0040704B"/>
    <w:rsid w:val="00410325"/>
    <w:rsid w:val="00410A55"/>
    <w:rsid w:val="00411300"/>
    <w:rsid w:val="00413F17"/>
    <w:rsid w:val="00415417"/>
    <w:rsid w:val="00426659"/>
    <w:rsid w:val="00446BB7"/>
    <w:rsid w:val="00450352"/>
    <w:rsid w:val="00454BDB"/>
    <w:rsid w:val="00465132"/>
    <w:rsid w:val="00480C90"/>
    <w:rsid w:val="0048396F"/>
    <w:rsid w:val="00493C18"/>
    <w:rsid w:val="004A600C"/>
    <w:rsid w:val="004A6118"/>
    <w:rsid w:val="004C478D"/>
    <w:rsid w:val="004D2976"/>
    <w:rsid w:val="004D7D95"/>
    <w:rsid w:val="004E2C26"/>
    <w:rsid w:val="004F7817"/>
    <w:rsid w:val="005125A8"/>
    <w:rsid w:val="00517549"/>
    <w:rsid w:val="00520ABC"/>
    <w:rsid w:val="00521AE8"/>
    <w:rsid w:val="00527180"/>
    <w:rsid w:val="00530B90"/>
    <w:rsid w:val="00555291"/>
    <w:rsid w:val="005627C5"/>
    <w:rsid w:val="00565E25"/>
    <w:rsid w:val="00566AD1"/>
    <w:rsid w:val="00567368"/>
    <w:rsid w:val="00577855"/>
    <w:rsid w:val="005814D7"/>
    <w:rsid w:val="00582FB1"/>
    <w:rsid w:val="00583EDE"/>
    <w:rsid w:val="00594506"/>
    <w:rsid w:val="005A6079"/>
    <w:rsid w:val="005E4698"/>
    <w:rsid w:val="00603924"/>
    <w:rsid w:val="00610539"/>
    <w:rsid w:val="0061220D"/>
    <w:rsid w:val="00613969"/>
    <w:rsid w:val="00625C35"/>
    <w:rsid w:val="00647E49"/>
    <w:rsid w:val="00656313"/>
    <w:rsid w:val="006565F4"/>
    <w:rsid w:val="00674F3E"/>
    <w:rsid w:val="00684EEA"/>
    <w:rsid w:val="0069689B"/>
    <w:rsid w:val="006A62C4"/>
    <w:rsid w:val="006B5FF5"/>
    <w:rsid w:val="006F30AF"/>
    <w:rsid w:val="00701759"/>
    <w:rsid w:val="00705C15"/>
    <w:rsid w:val="007110F6"/>
    <w:rsid w:val="007208D1"/>
    <w:rsid w:val="00732EAE"/>
    <w:rsid w:val="00744518"/>
    <w:rsid w:val="00747288"/>
    <w:rsid w:val="00747DD3"/>
    <w:rsid w:val="007549C8"/>
    <w:rsid w:val="00766D14"/>
    <w:rsid w:val="00767A0F"/>
    <w:rsid w:val="00791272"/>
    <w:rsid w:val="00793EAB"/>
    <w:rsid w:val="007A05F6"/>
    <w:rsid w:val="007B6F4A"/>
    <w:rsid w:val="007C26E5"/>
    <w:rsid w:val="007E1655"/>
    <w:rsid w:val="007E1C47"/>
    <w:rsid w:val="007E337A"/>
    <w:rsid w:val="007E5C70"/>
    <w:rsid w:val="007F2FF5"/>
    <w:rsid w:val="007F3F08"/>
    <w:rsid w:val="00802969"/>
    <w:rsid w:val="00804CC6"/>
    <w:rsid w:val="00817190"/>
    <w:rsid w:val="0082585D"/>
    <w:rsid w:val="008260E2"/>
    <w:rsid w:val="008322BD"/>
    <w:rsid w:val="00834F73"/>
    <w:rsid w:val="00864C8A"/>
    <w:rsid w:val="00864CF8"/>
    <w:rsid w:val="00874914"/>
    <w:rsid w:val="00891422"/>
    <w:rsid w:val="00892E1A"/>
    <w:rsid w:val="008A76FF"/>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72C76"/>
    <w:rsid w:val="00982447"/>
    <w:rsid w:val="009A343A"/>
    <w:rsid w:val="009B2A07"/>
    <w:rsid w:val="009B2E3F"/>
    <w:rsid w:val="009B2F23"/>
    <w:rsid w:val="009B57B3"/>
    <w:rsid w:val="009B7C2F"/>
    <w:rsid w:val="009D2920"/>
    <w:rsid w:val="009D5AEB"/>
    <w:rsid w:val="009F0E33"/>
    <w:rsid w:val="00A149DF"/>
    <w:rsid w:val="00A1755C"/>
    <w:rsid w:val="00A21B90"/>
    <w:rsid w:val="00A22AAC"/>
    <w:rsid w:val="00A41805"/>
    <w:rsid w:val="00A51882"/>
    <w:rsid w:val="00A52AFB"/>
    <w:rsid w:val="00A548CB"/>
    <w:rsid w:val="00A5521C"/>
    <w:rsid w:val="00A629E5"/>
    <w:rsid w:val="00A643E7"/>
    <w:rsid w:val="00A73C38"/>
    <w:rsid w:val="00A85373"/>
    <w:rsid w:val="00A921A7"/>
    <w:rsid w:val="00AB1E1F"/>
    <w:rsid w:val="00AB670D"/>
    <w:rsid w:val="00AD7BF5"/>
    <w:rsid w:val="00AF03C5"/>
    <w:rsid w:val="00B000D8"/>
    <w:rsid w:val="00B00F75"/>
    <w:rsid w:val="00B145B6"/>
    <w:rsid w:val="00B279EB"/>
    <w:rsid w:val="00B31748"/>
    <w:rsid w:val="00B50147"/>
    <w:rsid w:val="00B50C81"/>
    <w:rsid w:val="00B557F8"/>
    <w:rsid w:val="00B71381"/>
    <w:rsid w:val="00B815FC"/>
    <w:rsid w:val="00B93FBC"/>
    <w:rsid w:val="00BA7DA0"/>
    <w:rsid w:val="00BB2EE4"/>
    <w:rsid w:val="00BB4C92"/>
    <w:rsid w:val="00BC2108"/>
    <w:rsid w:val="00BD0E9E"/>
    <w:rsid w:val="00BD1BEC"/>
    <w:rsid w:val="00BD32FF"/>
    <w:rsid w:val="00BE0133"/>
    <w:rsid w:val="00BF4CFC"/>
    <w:rsid w:val="00BF6FE9"/>
    <w:rsid w:val="00C02092"/>
    <w:rsid w:val="00C24D91"/>
    <w:rsid w:val="00C26DB2"/>
    <w:rsid w:val="00C53F14"/>
    <w:rsid w:val="00C600CF"/>
    <w:rsid w:val="00C6084F"/>
    <w:rsid w:val="00C62A66"/>
    <w:rsid w:val="00C66359"/>
    <w:rsid w:val="00C71458"/>
    <w:rsid w:val="00C77613"/>
    <w:rsid w:val="00C816B7"/>
    <w:rsid w:val="00C828E7"/>
    <w:rsid w:val="00C86719"/>
    <w:rsid w:val="00C921DD"/>
    <w:rsid w:val="00C95649"/>
    <w:rsid w:val="00CA6391"/>
    <w:rsid w:val="00CC02C7"/>
    <w:rsid w:val="00CD4595"/>
    <w:rsid w:val="00CE036E"/>
    <w:rsid w:val="00CE3171"/>
    <w:rsid w:val="00CF1601"/>
    <w:rsid w:val="00D0172F"/>
    <w:rsid w:val="00D01E33"/>
    <w:rsid w:val="00D068A7"/>
    <w:rsid w:val="00D11F84"/>
    <w:rsid w:val="00D12148"/>
    <w:rsid w:val="00D17476"/>
    <w:rsid w:val="00D17B0E"/>
    <w:rsid w:val="00D32086"/>
    <w:rsid w:val="00D37A3F"/>
    <w:rsid w:val="00D4431D"/>
    <w:rsid w:val="00D447CF"/>
    <w:rsid w:val="00D45D03"/>
    <w:rsid w:val="00D4667A"/>
    <w:rsid w:val="00D63A1C"/>
    <w:rsid w:val="00D66D2C"/>
    <w:rsid w:val="00D7516F"/>
    <w:rsid w:val="00D76CF2"/>
    <w:rsid w:val="00D8556D"/>
    <w:rsid w:val="00D95F8E"/>
    <w:rsid w:val="00DA0590"/>
    <w:rsid w:val="00DA3F94"/>
    <w:rsid w:val="00DC1739"/>
    <w:rsid w:val="00DC1788"/>
    <w:rsid w:val="00DD77AE"/>
    <w:rsid w:val="00DE1DE4"/>
    <w:rsid w:val="00DE319C"/>
    <w:rsid w:val="00DE5E0F"/>
    <w:rsid w:val="00DF0CA8"/>
    <w:rsid w:val="00DF2B48"/>
    <w:rsid w:val="00DF49A7"/>
    <w:rsid w:val="00E07EE2"/>
    <w:rsid w:val="00E07FD1"/>
    <w:rsid w:val="00E1458D"/>
    <w:rsid w:val="00E24573"/>
    <w:rsid w:val="00E25E1E"/>
    <w:rsid w:val="00E27EE7"/>
    <w:rsid w:val="00E35404"/>
    <w:rsid w:val="00E4061B"/>
    <w:rsid w:val="00E45109"/>
    <w:rsid w:val="00E47B7A"/>
    <w:rsid w:val="00E56A44"/>
    <w:rsid w:val="00E60269"/>
    <w:rsid w:val="00E657FA"/>
    <w:rsid w:val="00E914F3"/>
    <w:rsid w:val="00E97830"/>
    <w:rsid w:val="00EB3576"/>
    <w:rsid w:val="00EE0830"/>
    <w:rsid w:val="00EE3065"/>
    <w:rsid w:val="00EE6CB8"/>
    <w:rsid w:val="00EF0683"/>
    <w:rsid w:val="00F0070C"/>
    <w:rsid w:val="00F00EB7"/>
    <w:rsid w:val="00F01D6A"/>
    <w:rsid w:val="00F33157"/>
    <w:rsid w:val="00F36AB6"/>
    <w:rsid w:val="00F37A09"/>
    <w:rsid w:val="00F409CE"/>
    <w:rsid w:val="00F4379D"/>
    <w:rsid w:val="00F45950"/>
    <w:rsid w:val="00F50D2D"/>
    <w:rsid w:val="00F56C8B"/>
    <w:rsid w:val="00F62639"/>
    <w:rsid w:val="00F629E7"/>
    <w:rsid w:val="00F66810"/>
    <w:rsid w:val="00F70775"/>
    <w:rsid w:val="00F707FE"/>
    <w:rsid w:val="00F84DF4"/>
    <w:rsid w:val="00F85C97"/>
    <w:rsid w:val="00FA672E"/>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D45D03"/>
    <w:pPr>
      <w:ind w:left="720"/>
      <w:contextualSpacing/>
    </w:pPr>
  </w:style>
  <w:style w:type="paragraph" w:customStyle="1" w:styleId="ParaNoNdepar-AltN">
    <w:name w:val="Para. No. / Nº de par. - Alt N"/>
    <w:qFormat/>
    <w:rsid w:val="00D45D03"/>
    <w:p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semiHidden/>
    <w:unhideWhenUsed/>
    <w:rsid w:val="00050D14"/>
    <w:rPr>
      <w:sz w:val="20"/>
    </w:rPr>
  </w:style>
  <w:style w:type="character" w:customStyle="1" w:styleId="FootnoteTextChar">
    <w:name w:val="Footnote Text Char"/>
    <w:basedOn w:val="DefaultParagraphFont"/>
    <w:link w:val="FootnoteText"/>
    <w:uiPriority w:val="99"/>
    <w:semiHidden/>
    <w:rsid w:val="00050D14"/>
  </w:style>
  <w:style w:type="character" w:styleId="FootnoteReference">
    <w:name w:val="footnote reference"/>
    <w:basedOn w:val="DefaultParagraphFont"/>
    <w:uiPriority w:val="99"/>
    <w:semiHidden/>
    <w:unhideWhenUsed/>
    <w:rsid w:val="00050D14"/>
    <w:rPr>
      <w:vertAlign w:val="superscript"/>
    </w:rPr>
  </w:style>
  <w:style w:type="table" w:styleId="TableGrid">
    <w:name w:val="Table Grid"/>
    <w:basedOn w:val="TableNormal"/>
    <w:uiPriority w:val="59"/>
    <w:rsid w:val="000D2B5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D2B5F"/>
    <w:rPr>
      <w:rFonts w:ascii="Times New Roman" w:hAnsi="Times New Roman"/>
      <w:sz w:val="24"/>
      <w:szCs w:val="24"/>
      <w:lang w:val="fr-CA"/>
    </w:rPr>
  </w:style>
  <w:style w:type="paragraph" w:customStyle="1" w:styleId="SCCLsocPrefix">
    <w:name w:val="SCC.Lsoc.Prefix"/>
    <w:basedOn w:val="Normal"/>
    <w:next w:val="Normal"/>
    <w:link w:val="SCCLsocPrefixChar"/>
    <w:rsid w:val="000D2B5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D2B5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4943-EEFF-49FA-ADFE-AC5D2260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1161</Words>
  <Characters>5788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2018-02-26T20:38:00Z</dcterms:created>
  <dcterms:modified xsi:type="dcterms:W3CDTF">2019-03-25T18:50:00Z</dcterms:modified>
</cp:coreProperties>
</file>