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96" w:rsidRDefault="00506A96" w:rsidP="00703E67">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7" o:title=""/>
          </v:shape>
          <o:OLEObject Type="Embed" ProgID="Presentations.Drawing.13" ShapeID="_x0000_i1025" DrawAspect="Content" ObjectID="_1615031462" r:id="rId8"/>
        </w:object>
      </w:r>
      <w:bookmarkEnd w:id="0"/>
      <w:r>
        <w:t xml:space="preserve"> </w:t>
      </w:r>
      <w:r>
        <w:ptab w:relativeTo="margin" w:alignment="right" w:leader="none"/>
      </w:r>
    </w:p>
    <w:p w:rsidR="00506A96" w:rsidRDefault="00506A96" w:rsidP="00506A96">
      <w:pPr>
        <w:pStyle w:val="Header"/>
      </w:pPr>
    </w:p>
    <w:p w:rsidR="00506A96" w:rsidRPr="001E12E2" w:rsidRDefault="00506A96" w:rsidP="00506A96">
      <w:pPr>
        <w:jc w:val="center"/>
        <w:rPr>
          <w:b/>
        </w:rPr>
      </w:pPr>
      <w:r w:rsidRPr="001E12E2">
        <w:rPr>
          <w:b/>
        </w:rPr>
        <w:t>COUR SUPRÊME DU CANADA</w:t>
      </w:r>
    </w:p>
    <w:p w:rsidR="00506A96" w:rsidRDefault="00506A96" w:rsidP="00506A9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506A96" w:rsidRPr="001E12E2" w:rsidTr="00512C49">
        <w:trPr>
          <w:cantSplit/>
        </w:trPr>
        <w:tc>
          <w:tcPr>
            <w:tcW w:w="5310" w:type="dxa"/>
          </w:tcPr>
          <w:p w:rsidR="00506A96" w:rsidRPr="00506A96" w:rsidRDefault="00506A96" w:rsidP="00512C49">
            <w:pPr>
              <w:rPr>
                <w:lang w:val="fr-CA"/>
              </w:rPr>
            </w:pPr>
            <w:r w:rsidRPr="00506A96">
              <w:rPr>
                <w:b/>
                <w:smallCaps/>
                <w:lang w:val="fr-CA"/>
              </w:rPr>
              <w:t>Référence :</w:t>
            </w:r>
            <w:r w:rsidRPr="00506A96">
              <w:rPr>
                <w:lang w:val="fr-CA"/>
              </w:rPr>
              <w:t xml:space="preserve"> </w:t>
            </w:r>
            <w:r w:rsidRPr="006A4755">
              <w:rPr>
                <w:rStyle w:val="SCCAppellantForRunningHeadChar"/>
                <w:lang w:val="fr-CA"/>
              </w:rPr>
              <w:t xml:space="preserve">R. </w:t>
            </w:r>
            <w:r w:rsidRPr="00506A96">
              <w:rPr>
                <w:rStyle w:val="SCCAppellantForRunningHeadChar"/>
                <w:i/>
                <w:smallCaps w:val="0"/>
                <w:lang w:val="fr-CA"/>
              </w:rPr>
              <w:t xml:space="preserve">c. </w:t>
            </w:r>
            <w:proofErr w:type="spellStart"/>
            <w:r>
              <w:rPr>
                <w:rStyle w:val="SCCAppellantForRunningHeadChar"/>
                <w:smallCaps w:val="0"/>
                <w:lang w:val="fr-CA"/>
              </w:rPr>
              <w:t>Cain</w:t>
            </w:r>
            <w:proofErr w:type="spellEnd"/>
            <w:r>
              <w:rPr>
                <w:rStyle w:val="SCCAppellantForRunningHeadChar"/>
                <w:smallCaps w:val="0"/>
                <w:lang w:val="fr-CA"/>
              </w:rPr>
              <w:t>,</w:t>
            </w:r>
            <w:r w:rsidRPr="006A4755">
              <w:rPr>
                <w:rStyle w:val="SCCAppellantForRunningHeadChar"/>
                <w:lang w:val="fr-CA"/>
              </w:rPr>
              <w:t xml:space="preserve"> </w:t>
            </w:r>
            <w:r>
              <w:rPr>
                <w:smallCaps/>
                <w:lang w:val="fr-CA"/>
              </w:rPr>
              <w:t>2018 CSC 20, [2018] 1 R.C.S. 631</w:t>
            </w:r>
          </w:p>
        </w:tc>
        <w:tc>
          <w:tcPr>
            <w:tcW w:w="4266" w:type="dxa"/>
          </w:tcPr>
          <w:p w:rsidR="00506A96" w:rsidRPr="00506A96" w:rsidRDefault="00506A96" w:rsidP="00512C49">
            <w:pPr>
              <w:rPr>
                <w:lang w:val="fr-CA"/>
              </w:rPr>
            </w:pPr>
            <w:r w:rsidRPr="00506A96">
              <w:rPr>
                <w:b/>
                <w:smallCaps/>
                <w:lang w:val="fr-CA"/>
              </w:rPr>
              <w:t>Appel entendu:</w:t>
            </w:r>
            <w:r w:rsidRPr="00506A96">
              <w:rPr>
                <w:lang w:val="fr-CA"/>
              </w:rPr>
              <w:t xml:space="preserve"> 14 mai 2018</w:t>
            </w:r>
          </w:p>
          <w:p w:rsidR="00506A96" w:rsidRPr="00506A96" w:rsidRDefault="00506A96" w:rsidP="00512C49">
            <w:pPr>
              <w:rPr>
                <w:b/>
                <w:smallCaps/>
                <w:lang w:val="fr-CA"/>
              </w:rPr>
            </w:pPr>
            <w:r w:rsidRPr="00506A96">
              <w:rPr>
                <w:b/>
                <w:smallCaps/>
                <w:lang w:val="fr-CA"/>
              </w:rPr>
              <w:t>Jugement rendu :</w:t>
            </w:r>
            <w:r w:rsidRPr="00506A96">
              <w:rPr>
                <w:lang w:val="fr-CA"/>
              </w:rPr>
              <w:t xml:space="preserve"> 14 mai 2018</w:t>
            </w:r>
          </w:p>
          <w:p w:rsidR="00506A96" w:rsidRPr="001E12E2" w:rsidRDefault="00506A96" w:rsidP="00512C49">
            <w:r w:rsidRPr="001E12E2">
              <w:rPr>
                <w:b/>
                <w:smallCaps/>
              </w:rPr>
              <w:t>Do</w:t>
            </w:r>
            <w:r>
              <w:rPr>
                <w:b/>
                <w:smallCaps/>
              </w:rPr>
              <w:t>ssiers :</w:t>
            </w:r>
            <w:r w:rsidRPr="001E12E2">
              <w:t xml:space="preserve"> </w:t>
            </w:r>
            <w:r>
              <w:t>37926</w:t>
            </w:r>
          </w:p>
        </w:tc>
      </w:tr>
    </w:tbl>
    <w:p w:rsidR="00506A96" w:rsidRDefault="00506A96" w:rsidP="00506A96">
      <w:pPr>
        <w:pStyle w:val="SCCLsocPrefix"/>
      </w:pPr>
    </w:p>
    <w:p w:rsidR="00506A96" w:rsidRDefault="00506A96" w:rsidP="00506A96">
      <w:pPr>
        <w:pStyle w:val="SCCLsocPrefix"/>
      </w:pPr>
    </w:p>
    <w:p w:rsidR="00506A96" w:rsidRDefault="00506A96" w:rsidP="00506A96">
      <w:pPr>
        <w:pStyle w:val="SCCLsocPrefix"/>
      </w:pPr>
      <w:r>
        <w:t>Entre :</w:t>
      </w:r>
    </w:p>
    <w:p w:rsidR="00506A96" w:rsidRPr="00F94606" w:rsidRDefault="00506A96" w:rsidP="00506A96">
      <w:pPr>
        <w:jc w:val="center"/>
        <w:rPr>
          <w:b/>
        </w:rPr>
      </w:pPr>
      <w:r>
        <w:rPr>
          <w:b/>
        </w:rPr>
        <w:t>Perry Lewis Cain</w:t>
      </w:r>
    </w:p>
    <w:p w:rsidR="00506A96" w:rsidRPr="00D85283" w:rsidRDefault="00506A96" w:rsidP="00506A96">
      <w:pPr>
        <w:jc w:val="center"/>
      </w:pPr>
      <w:proofErr w:type="spellStart"/>
      <w:r w:rsidRPr="00D85283">
        <w:t>Appelant</w:t>
      </w:r>
      <w:proofErr w:type="spellEnd"/>
    </w:p>
    <w:p w:rsidR="00506A96" w:rsidRPr="00D85283" w:rsidRDefault="00506A96" w:rsidP="00506A96">
      <w:pPr>
        <w:jc w:val="center"/>
      </w:pPr>
    </w:p>
    <w:p w:rsidR="00506A96" w:rsidRPr="00506A96" w:rsidRDefault="00506A96" w:rsidP="00506A96">
      <w:pPr>
        <w:pStyle w:val="SCCLsocVersus"/>
        <w:spacing w:after="0"/>
        <w:jc w:val="center"/>
        <w:rPr>
          <w:i w:val="0"/>
        </w:rPr>
      </w:pPr>
      <w:proofErr w:type="gramStart"/>
      <w:r w:rsidRPr="00506A96">
        <w:rPr>
          <w:i w:val="0"/>
        </w:rPr>
        <w:t>et</w:t>
      </w:r>
      <w:proofErr w:type="gramEnd"/>
    </w:p>
    <w:p w:rsidR="00506A96" w:rsidRPr="0033260A" w:rsidRDefault="00506A96" w:rsidP="00506A96">
      <w:pPr>
        <w:jc w:val="center"/>
      </w:pPr>
    </w:p>
    <w:p w:rsidR="00506A96" w:rsidRDefault="00506A96" w:rsidP="00506A96">
      <w:pPr>
        <w:pStyle w:val="SCCLsocParty"/>
        <w:jc w:val="center"/>
      </w:pPr>
      <w:r w:rsidRPr="00BE0133">
        <w:t>Sa Majesté la Reine</w:t>
      </w:r>
    </w:p>
    <w:p w:rsidR="00506A96" w:rsidRDefault="00506A96" w:rsidP="00506A96">
      <w:pPr>
        <w:jc w:val="center"/>
      </w:pPr>
      <w:proofErr w:type="spellStart"/>
      <w:r>
        <w:t>Intimée</w:t>
      </w:r>
      <w:proofErr w:type="spellEnd"/>
    </w:p>
    <w:p w:rsidR="00506A96" w:rsidRDefault="00506A96" w:rsidP="00506A96"/>
    <w:p w:rsidR="00506A96" w:rsidRDefault="00506A96" w:rsidP="00506A96"/>
    <w:p w:rsidR="00506A96" w:rsidRDefault="00506A96" w:rsidP="00506A96"/>
    <w:p w:rsidR="00506A96" w:rsidRDefault="00506A96" w:rsidP="00506A96"/>
    <w:p w:rsidR="00506A96" w:rsidRPr="001E12E2" w:rsidRDefault="00506A96" w:rsidP="00506A96">
      <w:pPr>
        <w:jc w:val="center"/>
        <w:rPr>
          <w:b/>
          <w:smallCaps/>
        </w:rPr>
      </w:pPr>
      <w:r>
        <w:rPr>
          <w:b/>
          <w:smallCaps/>
        </w:rPr>
        <w:t xml:space="preserve">Traduction française </w:t>
      </w:r>
      <w:proofErr w:type="spellStart"/>
      <w:r>
        <w:rPr>
          <w:b/>
          <w:smallCaps/>
        </w:rPr>
        <w:t>o</w:t>
      </w:r>
      <w:r w:rsidRPr="001E12E2">
        <w:rPr>
          <w:b/>
          <w:smallCaps/>
        </w:rPr>
        <w:t>ffici</w:t>
      </w:r>
      <w:r>
        <w:rPr>
          <w:b/>
          <w:smallCaps/>
        </w:rPr>
        <w:t>elle</w:t>
      </w:r>
      <w:proofErr w:type="spellEnd"/>
    </w:p>
    <w:p w:rsidR="00506A96" w:rsidRPr="001E12E2" w:rsidRDefault="00506A96" w:rsidP="00506A96"/>
    <w:p w:rsidR="00506A96" w:rsidRPr="00506A96" w:rsidRDefault="00506A96" w:rsidP="00506A96">
      <w:pPr>
        <w:rPr>
          <w:lang w:val="fr-CA"/>
        </w:rPr>
      </w:pPr>
      <w:r w:rsidRPr="00506A96">
        <w:rPr>
          <w:b/>
          <w:smallCaps/>
          <w:lang w:val="fr-CA"/>
        </w:rPr>
        <w:t>Coram :</w:t>
      </w:r>
      <w:r w:rsidRPr="00506A96">
        <w:rPr>
          <w:lang w:val="fr-CA"/>
        </w:rPr>
        <w:t xml:space="preserve"> </w:t>
      </w:r>
      <w:r w:rsidRPr="007D3492">
        <w:rPr>
          <w:lang w:val="fr-CA"/>
        </w:rPr>
        <w:t>Le juge en chef Wagner et les juges Karakatsanis, Gascon, Côté et Martin</w:t>
      </w:r>
    </w:p>
    <w:p w:rsidR="00506A96" w:rsidRPr="00506A96" w:rsidRDefault="00506A96" w:rsidP="00506A96">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06A96" w:rsidRPr="00703E67" w:rsidTr="00512C49">
        <w:trPr>
          <w:cantSplit/>
        </w:trPr>
        <w:tc>
          <w:tcPr>
            <w:tcW w:w="3618" w:type="dxa"/>
          </w:tcPr>
          <w:p w:rsidR="00506A96" w:rsidRPr="00506A96" w:rsidRDefault="00506A96" w:rsidP="00512C49">
            <w:pPr>
              <w:rPr>
                <w:b/>
                <w:smallCaps/>
                <w:lang w:val="fr-CA"/>
              </w:rPr>
            </w:pPr>
            <w:r w:rsidRPr="00506A96">
              <w:rPr>
                <w:b/>
                <w:smallCaps/>
                <w:lang w:val="fr-CA"/>
              </w:rPr>
              <w:t>Motifs de jugement :</w:t>
            </w:r>
          </w:p>
          <w:p w:rsidR="00506A96" w:rsidRPr="00506A96" w:rsidRDefault="00506A96" w:rsidP="00512C49">
            <w:pPr>
              <w:rPr>
                <w:lang w:val="fr-CA"/>
              </w:rPr>
            </w:pPr>
            <w:r w:rsidRPr="00506A96">
              <w:rPr>
                <w:lang w:val="fr-CA"/>
              </w:rPr>
              <w:t>(par. 1 à 4)</w:t>
            </w:r>
          </w:p>
        </w:tc>
        <w:tc>
          <w:tcPr>
            <w:tcW w:w="5958" w:type="dxa"/>
          </w:tcPr>
          <w:p w:rsidR="00506A96" w:rsidRPr="00506A96" w:rsidRDefault="00506A96" w:rsidP="00512C49">
            <w:pPr>
              <w:rPr>
                <w:lang w:val="fr-CA"/>
              </w:rPr>
            </w:pPr>
            <w:r w:rsidRPr="00506A96">
              <w:rPr>
                <w:lang w:val="fr-CA"/>
              </w:rPr>
              <w:t>Le juge en chef Wagner (avec l’accord des juges Karakatsanis, Gascon, Côté et Martin)</w:t>
            </w:r>
          </w:p>
        </w:tc>
      </w:tr>
    </w:tbl>
    <w:p w:rsidR="00506A96" w:rsidRPr="00506A96" w:rsidRDefault="00506A96" w:rsidP="00506A96">
      <w:pPr>
        <w:rPr>
          <w:lang w:val="fr-CA"/>
        </w:rPr>
      </w:pPr>
    </w:p>
    <w:p w:rsidR="00506A96" w:rsidRPr="00506A96" w:rsidRDefault="00506A96" w:rsidP="00506A96">
      <w:pPr>
        <w:rPr>
          <w:lang w:val="fr-CA"/>
        </w:rPr>
      </w:pPr>
      <w:r>
        <w:rPr>
          <w:noProof/>
          <w:lang w:val="en-US" w:eastAsia="en-US"/>
        </w:rPr>
        <mc:AlternateContent>
          <mc:Choice Requires="wps">
            <w:drawing>
              <wp:anchor distT="0" distB="0" distL="114300" distR="114300" simplePos="0" relativeHeight="251659264" behindDoc="0" locked="0" layoutInCell="1" allowOverlap="1" wp14:anchorId="54EC3ACE" wp14:editId="0598E6C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A6EF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06A96" w:rsidRPr="00506A96" w:rsidRDefault="00506A96" w:rsidP="00506A96">
      <w:pPr>
        <w:rPr>
          <w:lang w:val="fr-CA"/>
        </w:rPr>
      </w:pPr>
    </w:p>
    <w:p w:rsidR="00506A96" w:rsidRDefault="00506A96" w:rsidP="004D7D95">
      <w:pPr>
        <w:spacing w:line="480" w:lineRule="auto"/>
        <w:jc w:val="both"/>
        <w:rPr>
          <w:rStyle w:val="SCCAppellantForRunningHeadChar"/>
          <w:smallCaps w:val="0"/>
          <w:lang w:val="fr-CA"/>
        </w:rPr>
      </w:pPr>
    </w:p>
    <w:p w:rsidR="004D7D95" w:rsidRPr="004E0222" w:rsidRDefault="004E0222" w:rsidP="004D7D95">
      <w:pPr>
        <w:spacing w:line="480" w:lineRule="auto"/>
        <w:jc w:val="both"/>
        <w:rPr>
          <w:smallCaps/>
          <w:lang w:val="fr-CA"/>
        </w:rPr>
      </w:pPr>
      <w:r>
        <w:rPr>
          <w:rStyle w:val="SCCAppellantForRunningHeadChar"/>
          <w:smallCaps w:val="0"/>
          <w:lang w:val="fr-CA"/>
        </w:rPr>
        <w:t>R</w:t>
      </w:r>
      <w:r w:rsidR="00CE5EBA" w:rsidRPr="004E0222">
        <w:rPr>
          <w:rStyle w:val="SCCAppellantForRunningHeadChar"/>
          <w:smallCaps w:val="0"/>
          <w:lang w:val="fr-CA"/>
        </w:rPr>
        <w:t xml:space="preserve">. </w:t>
      </w:r>
      <w:r w:rsidR="00CE5EBA" w:rsidRPr="004E0222">
        <w:rPr>
          <w:rStyle w:val="SCCAppellantForRunningHeadChar"/>
          <w:i/>
          <w:smallCaps w:val="0"/>
          <w:lang w:val="fr-CA"/>
        </w:rPr>
        <w:t xml:space="preserve">c. </w:t>
      </w:r>
      <w:proofErr w:type="spellStart"/>
      <w:r>
        <w:rPr>
          <w:rStyle w:val="SCCAppellantForRunningHeadChar"/>
          <w:smallCaps w:val="0"/>
          <w:lang w:val="fr-CA"/>
        </w:rPr>
        <w:t>C</w:t>
      </w:r>
      <w:r w:rsidR="004D7D95" w:rsidRPr="004E0222">
        <w:rPr>
          <w:rStyle w:val="SCCAppellantForRunningHeadChar"/>
          <w:smallCaps w:val="0"/>
          <w:lang w:val="fr-CA"/>
        </w:rPr>
        <w:t>ain</w:t>
      </w:r>
      <w:proofErr w:type="spellEnd"/>
      <w:r>
        <w:rPr>
          <w:smallCaps/>
          <w:lang w:val="fr-CA"/>
        </w:rPr>
        <w:t>, 2018 CSC 20, [2018] 1 R.C.S. 631</w:t>
      </w:r>
    </w:p>
    <w:p w:rsidR="004D7D95" w:rsidRPr="007D3492" w:rsidRDefault="004D7D95" w:rsidP="004D7D95">
      <w:pPr>
        <w:jc w:val="both"/>
        <w:rPr>
          <w:lang w:val="fr-CA"/>
        </w:rPr>
      </w:pPr>
    </w:p>
    <w:p w:rsidR="004D7D95" w:rsidRPr="007D3492" w:rsidRDefault="004D7D95" w:rsidP="004D7D95">
      <w:pPr>
        <w:jc w:val="both"/>
        <w:rPr>
          <w:lang w:val="fr-CA"/>
        </w:rPr>
      </w:pPr>
    </w:p>
    <w:p w:rsidR="004D7D95" w:rsidRPr="007D3492" w:rsidRDefault="004D7D95" w:rsidP="004D7D95">
      <w:pPr>
        <w:jc w:val="both"/>
        <w:rPr>
          <w:lang w:val="fr-CA"/>
        </w:rPr>
      </w:pPr>
    </w:p>
    <w:p w:rsidR="00117528" w:rsidRPr="007D3492" w:rsidRDefault="007D3492">
      <w:pPr>
        <w:pStyle w:val="SCCLsocLastPartyInRole"/>
        <w:rPr>
          <w:lang w:val="fr-CA"/>
        </w:rPr>
      </w:pPr>
      <w:r w:rsidRPr="007D3492">
        <w:rPr>
          <w:lang w:val="fr-CA"/>
        </w:rPr>
        <w:t>Percy Lewis Cain</w:t>
      </w:r>
      <w:r w:rsidRPr="007D3492">
        <w:rPr>
          <w:rStyle w:val="SCCLsocPartyRole"/>
          <w:lang w:val="fr-CA"/>
        </w:rPr>
        <w:tab/>
      </w:r>
      <w:r w:rsidR="00CE5EBA">
        <w:rPr>
          <w:rStyle w:val="SCCLsocPartyRole"/>
          <w:lang w:val="fr-CA"/>
        </w:rPr>
        <w:t>Appelant</w:t>
      </w:r>
    </w:p>
    <w:p w:rsidR="00117528" w:rsidRPr="007D3492" w:rsidRDefault="007D3492">
      <w:pPr>
        <w:pStyle w:val="SCCLsocVersus"/>
        <w:rPr>
          <w:lang w:val="fr-CA"/>
        </w:rPr>
      </w:pPr>
      <w:r w:rsidRPr="007D3492">
        <w:rPr>
          <w:lang w:val="fr-CA"/>
        </w:rPr>
        <w:t>c.</w:t>
      </w:r>
    </w:p>
    <w:p w:rsidR="00117528" w:rsidRPr="007D3492" w:rsidRDefault="007D3492">
      <w:pPr>
        <w:pStyle w:val="SCCLsocLastPartyInRole"/>
        <w:rPr>
          <w:lang w:val="fr-CA"/>
        </w:rPr>
      </w:pPr>
      <w:r w:rsidRPr="007D3492">
        <w:rPr>
          <w:lang w:val="fr-CA"/>
        </w:rPr>
        <w:lastRenderedPageBreak/>
        <w:t>Sa Majesté la Reine</w:t>
      </w:r>
      <w:r w:rsidR="005672F8">
        <w:rPr>
          <w:rStyle w:val="SCCLsocPartyRole"/>
          <w:lang w:val="fr-CA"/>
        </w:rPr>
        <w:tab/>
        <w:t>Intimée</w:t>
      </w:r>
    </w:p>
    <w:p w:rsidR="004D7D95" w:rsidRPr="007D3492" w:rsidRDefault="004D7D95" w:rsidP="004D7D95">
      <w:pPr>
        <w:jc w:val="both"/>
        <w:rPr>
          <w:lang w:val="fr-CA"/>
        </w:rPr>
      </w:pPr>
    </w:p>
    <w:p w:rsidR="004D7D95" w:rsidRPr="007D3492" w:rsidRDefault="004D7D95" w:rsidP="004D7D95">
      <w:pPr>
        <w:jc w:val="both"/>
        <w:rPr>
          <w:lang w:val="fr-CA"/>
        </w:rPr>
      </w:pPr>
    </w:p>
    <w:p w:rsidR="004D7D95" w:rsidRPr="007D3492" w:rsidRDefault="004D7D95" w:rsidP="004D7D95">
      <w:pPr>
        <w:jc w:val="both"/>
        <w:rPr>
          <w:lang w:val="fr-CA"/>
        </w:rPr>
      </w:pPr>
    </w:p>
    <w:p w:rsidR="004D7D95" w:rsidRPr="007D3492" w:rsidRDefault="007D3492" w:rsidP="00C82317">
      <w:pPr>
        <w:tabs>
          <w:tab w:val="left" w:pos="2790"/>
        </w:tabs>
        <w:jc w:val="both"/>
        <w:rPr>
          <w:b/>
          <w:lang w:val="fr-CA"/>
        </w:rPr>
      </w:pPr>
      <w:r>
        <w:rPr>
          <w:b/>
          <w:lang w:val="fr-CA"/>
        </w:rPr>
        <w:t xml:space="preserve">Répertorié : R. </w:t>
      </w:r>
      <w:r w:rsidRPr="007D3492">
        <w:rPr>
          <w:b/>
          <w:i/>
          <w:lang w:val="fr-CA"/>
        </w:rPr>
        <w:t>c</w:t>
      </w:r>
      <w:r>
        <w:rPr>
          <w:b/>
          <w:lang w:val="fr-CA"/>
        </w:rPr>
        <w:t xml:space="preserve">. </w:t>
      </w:r>
      <w:r w:rsidR="004D7D95" w:rsidRPr="007D3492">
        <w:rPr>
          <w:rStyle w:val="SCCAppellantForIndexChar"/>
          <w:lang w:val="fr-CA"/>
        </w:rPr>
        <w:t>Cain</w:t>
      </w:r>
    </w:p>
    <w:p w:rsidR="004D7D95" w:rsidRPr="007D3492" w:rsidRDefault="004D7D95" w:rsidP="004D7D95">
      <w:pPr>
        <w:jc w:val="both"/>
        <w:rPr>
          <w:lang w:val="fr-CA"/>
        </w:rPr>
      </w:pPr>
    </w:p>
    <w:p w:rsidR="004D7D95" w:rsidRPr="007D3492" w:rsidRDefault="004D7D95" w:rsidP="004D7D95">
      <w:pPr>
        <w:jc w:val="both"/>
        <w:rPr>
          <w:lang w:val="fr-CA"/>
        </w:rPr>
      </w:pPr>
    </w:p>
    <w:p w:rsidR="004D7D95" w:rsidRPr="007D3492" w:rsidRDefault="004D7D95" w:rsidP="004D7D95">
      <w:pPr>
        <w:jc w:val="both"/>
        <w:rPr>
          <w:lang w:val="fr-CA"/>
        </w:rPr>
      </w:pPr>
    </w:p>
    <w:p w:rsidR="004D7D95" w:rsidRPr="007D3492" w:rsidRDefault="00D17B0E" w:rsidP="004D7D95">
      <w:pPr>
        <w:pStyle w:val="SCCSystemYear"/>
        <w:jc w:val="both"/>
        <w:rPr>
          <w:lang w:val="fr-CA"/>
        </w:rPr>
      </w:pPr>
      <w:r w:rsidRPr="007D3492">
        <w:rPr>
          <w:lang w:val="fr-CA"/>
        </w:rPr>
        <w:t>2018</w:t>
      </w:r>
      <w:r w:rsidR="007D3492">
        <w:rPr>
          <w:lang w:val="fr-CA"/>
        </w:rPr>
        <w:t xml:space="preserve"> CSC 20</w:t>
      </w:r>
    </w:p>
    <w:p w:rsidR="004D7D95" w:rsidRPr="007D3492" w:rsidRDefault="004D7D95" w:rsidP="004D7D95">
      <w:pPr>
        <w:jc w:val="both"/>
        <w:rPr>
          <w:lang w:val="fr-CA"/>
        </w:rPr>
      </w:pPr>
    </w:p>
    <w:p w:rsidR="004D7D95" w:rsidRPr="007D3492" w:rsidRDefault="004D7D95" w:rsidP="004D7D95">
      <w:pPr>
        <w:jc w:val="both"/>
        <w:rPr>
          <w:lang w:val="fr-CA"/>
        </w:rPr>
      </w:pPr>
    </w:p>
    <w:p w:rsidR="004D7D95" w:rsidRPr="007D3492" w:rsidRDefault="004D7D95" w:rsidP="004D7D95">
      <w:pPr>
        <w:jc w:val="both"/>
        <w:rPr>
          <w:lang w:val="fr-CA"/>
        </w:rPr>
      </w:pPr>
    </w:p>
    <w:p w:rsidR="004D7D95" w:rsidRPr="007D3492" w:rsidRDefault="004D7D95" w:rsidP="004D7D95">
      <w:pPr>
        <w:jc w:val="both"/>
        <w:rPr>
          <w:lang w:val="fr-CA"/>
        </w:rPr>
      </w:pPr>
      <w:r w:rsidRPr="007D3492">
        <w:rPr>
          <w:lang w:val="fr-CA"/>
        </w:rPr>
        <w:t>N</w:t>
      </w:r>
      <w:r w:rsidRPr="007D3492">
        <w:rPr>
          <w:vertAlign w:val="superscript"/>
          <w:lang w:val="fr-CA"/>
        </w:rPr>
        <w:t>o</w:t>
      </w:r>
      <w:r w:rsidRPr="007D3492">
        <w:rPr>
          <w:lang w:val="fr-CA"/>
        </w:rPr>
        <w:t xml:space="preserve"> du greffe : 37926.</w:t>
      </w:r>
    </w:p>
    <w:p w:rsidR="004D7D95" w:rsidRPr="007D3492" w:rsidRDefault="004D7D95" w:rsidP="004D7D95">
      <w:pPr>
        <w:jc w:val="both"/>
        <w:rPr>
          <w:lang w:val="fr-CA"/>
        </w:rPr>
      </w:pPr>
    </w:p>
    <w:p w:rsidR="004D7D95" w:rsidRPr="007D3492" w:rsidRDefault="004D7D95" w:rsidP="004D7D95">
      <w:pPr>
        <w:jc w:val="both"/>
        <w:rPr>
          <w:lang w:val="fr-CA"/>
        </w:rPr>
      </w:pPr>
    </w:p>
    <w:p w:rsidR="004D7D95" w:rsidRPr="007D3492" w:rsidRDefault="004D7D95" w:rsidP="004D7D95">
      <w:pPr>
        <w:jc w:val="both"/>
        <w:rPr>
          <w:lang w:val="fr-CA"/>
        </w:rPr>
      </w:pPr>
    </w:p>
    <w:p w:rsidR="004D7D95" w:rsidRPr="007D3492" w:rsidRDefault="00D17B0E" w:rsidP="004D7D95">
      <w:pPr>
        <w:jc w:val="both"/>
        <w:rPr>
          <w:lang w:val="fr-CA"/>
        </w:rPr>
      </w:pPr>
      <w:r w:rsidRPr="007D3492">
        <w:rPr>
          <w:lang w:val="fr-CA"/>
        </w:rPr>
        <w:t>2018 : 14 mai</w:t>
      </w:r>
      <w:r w:rsidR="007D3492">
        <w:rPr>
          <w:lang w:val="fr-CA"/>
        </w:rPr>
        <w:t>.</w:t>
      </w:r>
    </w:p>
    <w:p w:rsidR="004D7D95" w:rsidRPr="007D3492" w:rsidRDefault="004D7D95" w:rsidP="004D7D95">
      <w:pPr>
        <w:jc w:val="both"/>
        <w:rPr>
          <w:lang w:val="fr-CA"/>
        </w:rPr>
      </w:pPr>
    </w:p>
    <w:p w:rsidR="004D7D95" w:rsidRPr="007D3492" w:rsidRDefault="004D7D95" w:rsidP="004D7D95">
      <w:pPr>
        <w:jc w:val="both"/>
        <w:rPr>
          <w:lang w:val="fr-CA"/>
        </w:rPr>
      </w:pPr>
    </w:p>
    <w:p w:rsidR="004D7D95" w:rsidRPr="007D3492" w:rsidRDefault="004D7D95" w:rsidP="004D7D95">
      <w:pPr>
        <w:jc w:val="both"/>
        <w:rPr>
          <w:lang w:val="fr-CA"/>
        </w:rPr>
      </w:pPr>
    </w:p>
    <w:p w:rsidR="004D7D95" w:rsidRPr="007D3492" w:rsidRDefault="004D7D95" w:rsidP="004D7D95">
      <w:pPr>
        <w:jc w:val="both"/>
        <w:rPr>
          <w:lang w:val="fr-CA"/>
        </w:rPr>
      </w:pPr>
      <w:r w:rsidRPr="007D3492">
        <w:rPr>
          <w:lang w:val="fr-CA"/>
        </w:rPr>
        <w:t>Présents : Le juge en chef Wagner et les juges Karakatsanis, Gascon, Côté et Martin.</w:t>
      </w:r>
    </w:p>
    <w:p w:rsidR="004D7D95" w:rsidRPr="007D3492" w:rsidRDefault="004D7D95" w:rsidP="004D7D95">
      <w:pPr>
        <w:jc w:val="both"/>
        <w:rPr>
          <w:lang w:val="fr-CA"/>
        </w:rPr>
      </w:pPr>
    </w:p>
    <w:p w:rsidR="00EE0830" w:rsidRPr="007D3492" w:rsidRDefault="00EE0830" w:rsidP="004D7D95">
      <w:pPr>
        <w:jc w:val="both"/>
        <w:rPr>
          <w:lang w:val="fr-CA"/>
        </w:rPr>
      </w:pPr>
    </w:p>
    <w:p w:rsidR="00EE0830" w:rsidRPr="007D3492" w:rsidRDefault="00EE0830" w:rsidP="004D7D95">
      <w:pPr>
        <w:jc w:val="both"/>
        <w:rPr>
          <w:lang w:val="fr-CA"/>
        </w:rPr>
      </w:pPr>
    </w:p>
    <w:p w:rsidR="004D7D95" w:rsidRPr="00CE5EBA" w:rsidRDefault="004D7D95" w:rsidP="000F7993">
      <w:pPr>
        <w:jc w:val="both"/>
        <w:rPr>
          <w:smallCaps/>
          <w:lang w:val="fr-CA"/>
        </w:rPr>
      </w:pPr>
      <w:r w:rsidRPr="00CE5EBA">
        <w:rPr>
          <w:smallCaps/>
          <w:lang w:val="fr-CA"/>
        </w:rPr>
        <w:t>en appel de la cour d</w:t>
      </w:r>
      <w:r w:rsidR="00CE5EBA" w:rsidRPr="00CE5EBA">
        <w:rPr>
          <w:smallCaps/>
          <w:lang w:val="fr-CA"/>
        </w:rPr>
        <w:t>’</w:t>
      </w:r>
      <w:r w:rsidRPr="00CE5EBA">
        <w:rPr>
          <w:smallCaps/>
          <w:lang w:val="fr-CA"/>
        </w:rPr>
        <w:t>appel de la nouvelle-écosse</w:t>
      </w:r>
    </w:p>
    <w:p w:rsidR="004D7D95" w:rsidRPr="00BB4C92" w:rsidRDefault="004D7D95" w:rsidP="004D7D95">
      <w:pPr>
        <w:pStyle w:val="SCCNormalDoubleSpacing"/>
        <w:rPr>
          <w:lang w:val="fr-CA"/>
        </w:rPr>
      </w:pPr>
    </w:p>
    <w:p w:rsidR="004D7D95" w:rsidRPr="006F5D16" w:rsidRDefault="004D7D95" w:rsidP="004D7D95">
      <w:pPr>
        <w:pStyle w:val="SCCNormalDoubleSpacing"/>
        <w:rPr>
          <w:i/>
          <w:lang w:val="fr-CA"/>
        </w:rPr>
      </w:pPr>
      <w:r w:rsidRPr="00BB4C92">
        <w:rPr>
          <w:lang w:val="fr-CA"/>
        </w:rPr>
        <w:tab/>
      </w:r>
      <w:r w:rsidR="00FA764C">
        <w:rPr>
          <w:i/>
          <w:lang w:val="fr-CA"/>
        </w:rPr>
        <w:t>Droit criminel —</w:t>
      </w:r>
      <w:r w:rsidR="006F5D16" w:rsidRPr="006F5D16">
        <w:rPr>
          <w:i/>
          <w:lang w:val="fr-CA"/>
        </w:rPr>
        <w:t xml:space="preserve"> </w:t>
      </w:r>
      <w:r w:rsidR="006F5D16">
        <w:rPr>
          <w:i/>
          <w:lang w:val="fr-CA"/>
        </w:rPr>
        <w:t xml:space="preserve">Preuve </w:t>
      </w:r>
      <w:r w:rsidR="00FA764C">
        <w:rPr>
          <w:i/>
          <w:lang w:val="fr-CA"/>
        </w:rPr>
        <w:t>—</w:t>
      </w:r>
      <w:r w:rsidR="006F5D16">
        <w:rPr>
          <w:i/>
          <w:lang w:val="fr-CA"/>
        </w:rPr>
        <w:t xml:space="preserve"> Déclaration antérieure compatible </w:t>
      </w:r>
      <w:r w:rsidR="00FA764C">
        <w:rPr>
          <w:i/>
          <w:lang w:val="fr-CA"/>
        </w:rPr>
        <w:t>—</w:t>
      </w:r>
      <w:r w:rsidR="006F5D16">
        <w:rPr>
          <w:i/>
          <w:lang w:val="fr-CA"/>
        </w:rPr>
        <w:t xml:space="preserve"> Introduction par la défense au procès de déclarations de la plaignante à la police et contre-interrogatoire de la plaignante quant à des </w:t>
      </w:r>
      <w:r w:rsidR="00B9619A">
        <w:rPr>
          <w:i/>
          <w:lang w:val="fr-CA"/>
        </w:rPr>
        <w:t>incohérences</w:t>
      </w:r>
      <w:r w:rsidR="006F5D16">
        <w:rPr>
          <w:i/>
          <w:lang w:val="fr-CA"/>
        </w:rPr>
        <w:t xml:space="preserve"> entre ces déclarations et son témoignage </w:t>
      </w:r>
      <w:r w:rsidR="00FA764C">
        <w:rPr>
          <w:i/>
          <w:lang w:val="fr-CA"/>
        </w:rPr>
        <w:t>—</w:t>
      </w:r>
      <w:r w:rsidR="006F5D16">
        <w:rPr>
          <w:i/>
          <w:lang w:val="fr-CA"/>
        </w:rPr>
        <w:t xml:space="preserve"> Conclusion du juge du procès selon laquelle les </w:t>
      </w:r>
      <w:r w:rsidR="00B9619A">
        <w:rPr>
          <w:i/>
          <w:lang w:val="fr-CA"/>
        </w:rPr>
        <w:t xml:space="preserve">incohérences </w:t>
      </w:r>
      <w:r w:rsidR="006F5D16">
        <w:rPr>
          <w:i/>
          <w:lang w:val="fr-CA"/>
        </w:rPr>
        <w:t xml:space="preserve">n’entachaient pas la crédibilité de la plaignante et déclaration de culpabilité de l’accusé pour agression sexuelle </w:t>
      </w:r>
      <w:r w:rsidR="00FA764C">
        <w:rPr>
          <w:i/>
          <w:lang w:val="fr-CA"/>
        </w:rPr>
        <w:t>—</w:t>
      </w:r>
      <w:r w:rsidR="006F5D16">
        <w:rPr>
          <w:i/>
          <w:lang w:val="fr-CA"/>
        </w:rPr>
        <w:t xml:space="preserve"> Décision de la Cour d’appel selon laquelle le juge du procès n’a pas commis d’erreur dans l’utilisation qu’il a faite des déclarations antérieures de la plaignante </w:t>
      </w:r>
      <w:r w:rsidR="00FA764C">
        <w:rPr>
          <w:i/>
          <w:lang w:val="fr-CA"/>
        </w:rPr>
        <w:t>—</w:t>
      </w:r>
      <w:r w:rsidR="006F5D16">
        <w:rPr>
          <w:i/>
          <w:lang w:val="fr-CA"/>
        </w:rPr>
        <w:t xml:space="preserve"> Déclaration de culpabilité confirmée.</w:t>
      </w:r>
    </w:p>
    <w:p w:rsidR="004D7D95" w:rsidRPr="004D7D95" w:rsidRDefault="004D7D95" w:rsidP="004D7D95">
      <w:pPr>
        <w:pStyle w:val="SCCNormalDoubleSpacing"/>
        <w:rPr>
          <w:lang w:val="fr-CA"/>
        </w:rPr>
      </w:pPr>
    </w:p>
    <w:p w:rsidR="004D7D95" w:rsidRPr="004D7D95" w:rsidRDefault="004D7D95" w:rsidP="005672F8">
      <w:pPr>
        <w:pStyle w:val="SCCNormalDoubleSpacing"/>
        <w:spacing w:after="720" w:line="240" w:lineRule="auto"/>
        <w:rPr>
          <w:b/>
          <w:lang w:val="fr-CA"/>
        </w:rPr>
      </w:pPr>
      <w:r w:rsidRPr="004D7D95">
        <w:rPr>
          <w:b/>
          <w:lang w:val="fr-CA"/>
        </w:rPr>
        <w:t>Lois et règlements cités</w:t>
      </w:r>
    </w:p>
    <w:p w:rsidR="004D7D95" w:rsidRPr="00CE5EBA" w:rsidRDefault="00CE5EBA" w:rsidP="005672F8">
      <w:pPr>
        <w:pStyle w:val="SCCNormalDoubleSpacing"/>
        <w:spacing w:after="240" w:line="240" w:lineRule="auto"/>
        <w:ind w:left="547" w:hanging="547"/>
        <w:rPr>
          <w:lang w:val="fr-CA"/>
        </w:rPr>
      </w:pPr>
      <w:r>
        <w:rPr>
          <w:i/>
          <w:lang w:val="fr-CA"/>
        </w:rPr>
        <w:t>Code criminel</w:t>
      </w:r>
      <w:r>
        <w:rPr>
          <w:lang w:val="fr-CA"/>
        </w:rPr>
        <w:t>, L.R.C. 1985, c. C-46, art. 271.</w:t>
      </w:r>
    </w:p>
    <w:p w:rsidR="004D7D95" w:rsidRPr="004D7D95" w:rsidRDefault="004D7D95" w:rsidP="005672F8">
      <w:pPr>
        <w:pStyle w:val="SCCNormalDoubleSpacing"/>
        <w:rPr>
          <w:lang w:val="fr-CA"/>
        </w:rPr>
      </w:pPr>
    </w:p>
    <w:p w:rsidR="004D7D95" w:rsidRPr="005672F8" w:rsidRDefault="004D7D95" w:rsidP="004D7D95">
      <w:pPr>
        <w:pStyle w:val="SCCNormalDoubleSpacing"/>
        <w:rPr>
          <w:lang w:val="fr-CA"/>
        </w:rPr>
      </w:pPr>
      <w:r w:rsidRPr="004D7D95">
        <w:rPr>
          <w:lang w:val="fr-CA"/>
        </w:rPr>
        <w:tab/>
        <w:t xml:space="preserve">POURVOI contre un arrêt de la </w:t>
      </w:r>
      <w:r w:rsidRPr="007D3492">
        <w:rPr>
          <w:lang w:val="fr-CA"/>
        </w:rPr>
        <w:t>Cour d</w:t>
      </w:r>
      <w:r w:rsidR="00CE5EBA">
        <w:rPr>
          <w:lang w:val="fr-CA"/>
        </w:rPr>
        <w:t>’</w:t>
      </w:r>
      <w:r w:rsidRPr="007D3492">
        <w:rPr>
          <w:lang w:val="fr-CA"/>
        </w:rPr>
        <w:t>appel de la Nouvelle-Écosse</w:t>
      </w:r>
      <w:r w:rsidR="005672F8">
        <w:rPr>
          <w:lang w:val="fr-CA"/>
        </w:rPr>
        <w:t xml:space="preserve"> (les juges Fichaud, Van den Eynden et Scanlan), 2017 NSCA 96, [2017] N.S.J. No. 512 (QL), 2017 CarswellNS 949 (WL Can.), qui a confirmé la déclaration de culpabilité pour agression sexuelle prononcée contre l’accusé. Pourvoi rejeté, la juge Côté est dissidente. </w:t>
      </w:r>
    </w:p>
    <w:p w:rsidR="004D7D95" w:rsidRPr="004D7D95" w:rsidRDefault="004D7D95" w:rsidP="004D7D95">
      <w:pPr>
        <w:pStyle w:val="SCCNormalDoubleSpacing"/>
        <w:rPr>
          <w:lang w:val="fr-CA"/>
        </w:rPr>
      </w:pPr>
    </w:p>
    <w:p w:rsidR="00117528" w:rsidRPr="007D3492" w:rsidRDefault="007D3492">
      <w:pPr>
        <w:pStyle w:val="SCCNormalDoubleSpacing"/>
        <w:rPr>
          <w:lang w:val="fr-CA"/>
        </w:rPr>
      </w:pPr>
      <w:r w:rsidRPr="007D3492">
        <w:rPr>
          <w:rStyle w:val="SCCCounselNameChar"/>
          <w:lang w:val="fr-CA"/>
        </w:rPr>
        <w:tab/>
        <w:t>Roger A. Burrill</w:t>
      </w:r>
      <w:r w:rsidRPr="007D3492">
        <w:rPr>
          <w:rStyle w:val="SCCCounselPartyRoleChar"/>
          <w:lang w:val="fr-CA"/>
        </w:rPr>
        <w:t>, pour l</w:t>
      </w:r>
      <w:r w:rsidR="00CE5EBA">
        <w:rPr>
          <w:rStyle w:val="SCCCounselPartyRoleChar"/>
          <w:lang w:val="fr-CA"/>
        </w:rPr>
        <w:t>’appelant</w:t>
      </w:r>
      <w:r w:rsidRPr="007D3492">
        <w:rPr>
          <w:rStyle w:val="SCCCounselPartyRoleChar"/>
          <w:lang w:val="fr-CA"/>
        </w:rPr>
        <w:t>.</w:t>
      </w:r>
    </w:p>
    <w:p w:rsidR="00117528" w:rsidRPr="007D3492" w:rsidRDefault="00117528">
      <w:pPr>
        <w:pStyle w:val="SCCNormalDoubleSpacing"/>
        <w:rPr>
          <w:lang w:val="fr-CA"/>
        </w:rPr>
      </w:pPr>
    </w:p>
    <w:p w:rsidR="00117528" w:rsidRDefault="007D3492">
      <w:pPr>
        <w:pStyle w:val="SCCNormalDoubleSpacing"/>
        <w:rPr>
          <w:rStyle w:val="SCCCounselPartyRoleChar"/>
          <w:lang w:val="fr-CA"/>
        </w:rPr>
      </w:pPr>
      <w:r w:rsidRPr="007D3492">
        <w:rPr>
          <w:rStyle w:val="SCCCounselNameChar"/>
          <w:lang w:val="fr-CA"/>
        </w:rPr>
        <w:tab/>
        <w:t>James A. Gumpert</w:t>
      </w:r>
      <w:r w:rsidRPr="005672F8">
        <w:rPr>
          <w:rStyle w:val="SCCCounselNameChar"/>
          <w:i w:val="0"/>
          <w:lang w:val="fr-CA"/>
        </w:rPr>
        <w:t>,</w:t>
      </w:r>
      <w:r w:rsidR="005672F8">
        <w:rPr>
          <w:rStyle w:val="SCCCounselNameChar"/>
          <w:lang w:val="fr-CA"/>
        </w:rPr>
        <w:t xml:space="preserve"> c.r</w:t>
      </w:r>
      <w:r w:rsidRPr="007D3492">
        <w:rPr>
          <w:rStyle w:val="SCCCounselNameChar"/>
          <w:lang w:val="fr-CA"/>
        </w:rPr>
        <w:t>.</w:t>
      </w:r>
      <w:r w:rsidRPr="007D3492">
        <w:rPr>
          <w:rStyle w:val="SCCCounselPartyRoleChar"/>
          <w:lang w:val="fr-CA"/>
        </w:rPr>
        <w:t>,</w:t>
      </w:r>
      <w:r w:rsidR="005672F8">
        <w:rPr>
          <w:rStyle w:val="SCCCounselPartyRoleChar"/>
          <w:lang w:val="fr-CA"/>
        </w:rPr>
        <w:t xml:space="preserve"> et </w:t>
      </w:r>
      <w:r w:rsidR="005672F8">
        <w:rPr>
          <w:rStyle w:val="SCCCounselPartyRoleChar"/>
          <w:i/>
          <w:lang w:val="fr-CA"/>
        </w:rPr>
        <w:t>Sean P. McCarroll</w:t>
      </w:r>
      <w:r w:rsidR="005672F8">
        <w:rPr>
          <w:rStyle w:val="SCCCounselPartyRoleChar"/>
          <w:lang w:val="fr-CA"/>
        </w:rPr>
        <w:t>,</w:t>
      </w:r>
      <w:r w:rsidRPr="007D3492">
        <w:rPr>
          <w:rStyle w:val="SCCCounselPartyRoleChar"/>
          <w:lang w:val="fr-CA"/>
        </w:rPr>
        <w:t xml:space="preserve"> pour l</w:t>
      </w:r>
      <w:r w:rsidR="00CE5EBA">
        <w:rPr>
          <w:rStyle w:val="SCCCounselPartyRoleChar"/>
          <w:lang w:val="fr-CA"/>
        </w:rPr>
        <w:t>’intimé</w:t>
      </w:r>
      <w:r w:rsidRPr="007D3492">
        <w:rPr>
          <w:rStyle w:val="SCCCounselPartyRoleChar"/>
          <w:lang w:val="fr-CA"/>
        </w:rPr>
        <w:t>e.</w:t>
      </w:r>
    </w:p>
    <w:p w:rsidR="005672F8" w:rsidRPr="007D3492" w:rsidRDefault="005672F8">
      <w:pPr>
        <w:pStyle w:val="SCCNormalDoubleSpacing"/>
        <w:rPr>
          <w:lang w:val="fr-CA"/>
        </w:rPr>
      </w:pPr>
    </w:p>
    <w:p w:rsidR="00117528" w:rsidRDefault="007D3492">
      <w:pPr>
        <w:pStyle w:val="SCCLawFirm"/>
        <w:rPr>
          <w:i w:val="0"/>
          <w:lang w:val="fr-CA"/>
        </w:rPr>
      </w:pPr>
      <w:r w:rsidRPr="007D3492">
        <w:rPr>
          <w:lang w:val="fr-CA"/>
        </w:rPr>
        <w:tab/>
      </w:r>
      <w:r w:rsidR="005672F8">
        <w:rPr>
          <w:i w:val="0"/>
          <w:lang w:val="fr-CA"/>
        </w:rPr>
        <w:t>Version française du jugement de la Cour rendu oralement par</w:t>
      </w:r>
    </w:p>
    <w:p w:rsidR="00C82317" w:rsidRDefault="00C82317" w:rsidP="00C82317">
      <w:pPr>
        <w:pStyle w:val="ParaNoNdepar-AltN"/>
        <w:numPr>
          <w:ilvl w:val="0"/>
          <w:numId w:val="1"/>
        </w:numPr>
        <w:tabs>
          <w:tab w:val="num" w:pos="1152"/>
        </w:tabs>
        <w:ind w:left="0" w:firstLine="0"/>
        <w:rPr>
          <w:lang w:val="fr-CA"/>
        </w:rPr>
      </w:pPr>
      <w:r w:rsidRPr="00C82317">
        <w:rPr>
          <w:smallCaps/>
          <w:lang w:val="fr-CA"/>
        </w:rPr>
        <w:t xml:space="preserve">Le juge en chef — </w:t>
      </w:r>
      <w:r w:rsidRPr="00C82317">
        <w:rPr>
          <w:lang w:val="fr-CA"/>
        </w:rPr>
        <w:t xml:space="preserve">Au procès, M. Cain a été déclaré coupable d’agression sexuelle en application de l’art. 271 du </w:t>
      </w:r>
      <w:r w:rsidRPr="00C82317">
        <w:rPr>
          <w:i/>
          <w:lang w:val="fr-CA"/>
        </w:rPr>
        <w:t>Code criminel</w:t>
      </w:r>
      <w:r w:rsidRPr="00C82317">
        <w:rPr>
          <w:lang w:val="fr-CA"/>
        </w:rPr>
        <w:t>, L.R.C. 1985, c. C-46. Il a fait appel au motif que le juge du procès s’était appuyé sur la déclaration antérieure compatible de la plaignante à une fin inadmissible, c’est-à-dire pour confirmer la véracité de son témoignage. Les juges majoritaires de la Cour d’appel de la Nouvelle-Écosse ont rejeté l’appel de M. Cain, le juge Scanlan étant dissident. M. Cain se pourvoit de plein droit devant notre Cour.</w:t>
      </w:r>
    </w:p>
    <w:p w:rsidR="00C82317" w:rsidRDefault="00C82317" w:rsidP="00C82317">
      <w:pPr>
        <w:pStyle w:val="ParaNoNdepar-AltN"/>
        <w:numPr>
          <w:ilvl w:val="0"/>
          <w:numId w:val="1"/>
        </w:numPr>
        <w:tabs>
          <w:tab w:val="num" w:pos="1152"/>
        </w:tabs>
        <w:ind w:left="0" w:firstLine="0"/>
        <w:rPr>
          <w:lang w:val="fr-CA"/>
        </w:rPr>
      </w:pPr>
      <w:r w:rsidRPr="00C82317">
        <w:rPr>
          <w:lang w:val="fr-CA"/>
        </w:rPr>
        <w:lastRenderedPageBreak/>
        <w:t>La Cour, à la majorité, rejetterait le pourvoi, essentiellement pour les motifs des juges majoritaires de la Cour d’appel. Lors du procès, M. Cain a contesté la fiabilité du témoignage de la plaignante, alléguant l’existence d’incohérences entre ce témoignage et les déclarations antérieures de cette dernière à la police. Le juge du procès a statué que les incohérences portaient uniquement sur des aspects accessoires négligeables, et il a donc rejeté la prétention de M. Cain selon laquelle ces incohérences faisaient perdre crédibilité à la plaignante ou fiabilité à son témoignage. Le juge du procès ne s’est pas fondé sur les aspects cohérents des déclarations de la plaignante et de son témoignage pour confirmer la véracité de son témoignage. L’utilisation qui a été faite de la déclaration antérieure compatible était adéquate et ne constituait pas une erreur de droit.</w:t>
      </w:r>
    </w:p>
    <w:p w:rsidR="00C82317" w:rsidRDefault="00C82317" w:rsidP="00C82317">
      <w:pPr>
        <w:pStyle w:val="ParaNoNdepar-AltN"/>
        <w:numPr>
          <w:ilvl w:val="0"/>
          <w:numId w:val="1"/>
        </w:numPr>
        <w:tabs>
          <w:tab w:val="num" w:pos="1152"/>
        </w:tabs>
        <w:ind w:left="0" w:firstLine="0"/>
        <w:rPr>
          <w:lang w:val="fr-CA"/>
        </w:rPr>
      </w:pPr>
      <w:r w:rsidRPr="00C82317">
        <w:rPr>
          <w:lang w:val="fr-CA"/>
        </w:rPr>
        <w:t>La juge Côté, dissidente, aurait accueilli le pourvoi, essentiellement pour les motifs exposés par le juge d’appel Scanlan.</w:t>
      </w:r>
    </w:p>
    <w:p w:rsidR="005672F8" w:rsidRPr="00C82317" w:rsidRDefault="00C82317" w:rsidP="00C82317">
      <w:pPr>
        <w:pStyle w:val="ParaNoNdepar-AltN"/>
        <w:numPr>
          <w:ilvl w:val="0"/>
          <w:numId w:val="1"/>
        </w:numPr>
        <w:tabs>
          <w:tab w:val="num" w:pos="1152"/>
        </w:tabs>
        <w:ind w:left="0" w:firstLine="0"/>
        <w:rPr>
          <w:lang w:val="fr-CA"/>
        </w:rPr>
      </w:pPr>
      <w:r w:rsidRPr="00C82317">
        <w:rPr>
          <w:lang w:val="fr-CA"/>
        </w:rPr>
        <w:t>En conséquence, le pourvoi est rejeté.</w:t>
      </w:r>
    </w:p>
    <w:p w:rsidR="004D7D95" w:rsidRPr="007D3492" w:rsidRDefault="004D7D95" w:rsidP="004D7D95">
      <w:pPr>
        <w:pStyle w:val="SCCNormalDoubleSpacing"/>
        <w:rPr>
          <w:lang w:val="fr-CA"/>
        </w:rPr>
      </w:pPr>
      <w:r w:rsidRPr="007D3492">
        <w:rPr>
          <w:lang w:val="fr-CA"/>
        </w:rPr>
        <w:tab/>
      </w:r>
      <w:r w:rsidR="00C82317">
        <w:rPr>
          <w:i/>
          <w:lang w:val="fr-CA"/>
        </w:rPr>
        <w:t>Jugement en conséquence.</w:t>
      </w:r>
    </w:p>
    <w:p w:rsidR="004D7D95" w:rsidRPr="007D3492" w:rsidRDefault="004D7D95" w:rsidP="004D7D95">
      <w:pPr>
        <w:pStyle w:val="SCCNormalDoubleSpacing"/>
        <w:rPr>
          <w:lang w:val="fr-CA"/>
        </w:rPr>
      </w:pPr>
    </w:p>
    <w:p w:rsidR="00117528" w:rsidRPr="007D3492" w:rsidRDefault="005672F8">
      <w:pPr>
        <w:pStyle w:val="SCCLawFirm"/>
        <w:rPr>
          <w:lang w:val="fr-CA"/>
        </w:rPr>
      </w:pPr>
      <w:r>
        <w:rPr>
          <w:lang w:val="fr-CA"/>
        </w:rPr>
        <w:tab/>
        <w:t>Procureur</w:t>
      </w:r>
      <w:r w:rsidR="007D3492" w:rsidRPr="007D3492">
        <w:rPr>
          <w:lang w:val="fr-CA"/>
        </w:rPr>
        <w:t xml:space="preserve"> de l</w:t>
      </w:r>
      <w:r w:rsidR="00CE5EBA">
        <w:rPr>
          <w:lang w:val="fr-CA"/>
        </w:rPr>
        <w:t>’appelant</w:t>
      </w:r>
      <w:r w:rsidR="007D3492" w:rsidRPr="007D3492">
        <w:rPr>
          <w:lang w:val="fr-CA"/>
        </w:rPr>
        <w:t> : Nova Scotia Legal Aid, Halifax.</w:t>
      </w:r>
    </w:p>
    <w:p w:rsidR="00117528" w:rsidRPr="007D3492" w:rsidRDefault="00117528">
      <w:pPr>
        <w:pStyle w:val="SCCLawFirm"/>
        <w:rPr>
          <w:lang w:val="fr-CA"/>
        </w:rPr>
      </w:pPr>
    </w:p>
    <w:p w:rsidR="009B57B3" w:rsidRPr="004D7D95" w:rsidRDefault="005672F8" w:rsidP="005672F8">
      <w:pPr>
        <w:pStyle w:val="SCCLawFirm"/>
        <w:rPr>
          <w:lang w:val="en-US"/>
        </w:rPr>
      </w:pPr>
      <w:r>
        <w:rPr>
          <w:lang w:val="fr-CA"/>
        </w:rPr>
        <w:tab/>
        <w:t>Procureur</w:t>
      </w:r>
      <w:r w:rsidR="007D3492" w:rsidRPr="007D3492">
        <w:rPr>
          <w:lang w:val="fr-CA"/>
        </w:rPr>
        <w:t xml:space="preserve"> de l</w:t>
      </w:r>
      <w:r w:rsidR="00CE5EBA">
        <w:rPr>
          <w:lang w:val="fr-CA"/>
        </w:rPr>
        <w:t>’intimé</w:t>
      </w:r>
      <w:r w:rsidR="007D3492" w:rsidRPr="007D3492">
        <w:rPr>
          <w:lang w:val="fr-CA"/>
        </w:rPr>
        <w:t>e : Public Prosecution Service of Nova Scotia, Halifax.</w:t>
      </w:r>
    </w:p>
    <w:sectPr w:rsidR="009B57B3" w:rsidRPr="004D7D95"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36" w:rsidRDefault="000F6436">
      <w:r>
        <w:separator/>
      </w:r>
    </w:p>
  </w:endnote>
  <w:endnote w:type="continuationSeparator" w:id="0">
    <w:p w:rsidR="000F6436" w:rsidRDefault="000F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11" w:rsidRDefault="00676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11" w:rsidRDefault="006767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11" w:rsidRDefault="00676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36" w:rsidRDefault="000F6436">
      <w:r>
        <w:separator/>
      </w:r>
    </w:p>
  </w:footnote>
  <w:footnote w:type="continuationSeparator" w:id="0">
    <w:p w:rsidR="000F6436" w:rsidRDefault="000F6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11" w:rsidRDefault="00676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11" w:rsidRDefault="00676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11" w:rsidRDefault="00676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D6D9E"/>
    <w:multiLevelType w:val="hybridMultilevel"/>
    <w:tmpl w:val="4970DC10"/>
    <w:lvl w:ilvl="0" w:tplc="DE3C5E3C">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C59B8"/>
    <w:rsid w:val="000C6AF0"/>
    <w:rsid w:val="000D0A77"/>
    <w:rsid w:val="000F6436"/>
    <w:rsid w:val="000F7993"/>
    <w:rsid w:val="00104F33"/>
    <w:rsid w:val="00111DE2"/>
    <w:rsid w:val="00116B38"/>
    <w:rsid w:val="00117528"/>
    <w:rsid w:val="00135406"/>
    <w:rsid w:val="00135972"/>
    <w:rsid w:val="001426A9"/>
    <w:rsid w:val="00143E33"/>
    <w:rsid w:val="00154D7C"/>
    <w:rsid w:val="001570B0"/>
    <w:rsid w:val="0015752C"/>
    <w:rsid w:val="00157737"/>
    <w:rsid w:val="00165277"/>
    <w:rsid w:val="00170592"/>
    <w:rsid w:val="001720F7"/>
    <w:rsid w:val="00195D83"/>
    <w:rsid w:val="001A00C1"/>
    <w:rsid w:val="001B33E0"/>
    <w:rsid w:val="001B4573"/>
    <w:rsid w:val="001C779F"/>
    <w:rsid w:val="001D2AC1"/>
    <w:rsid w:val="001D4E88"/>
    <w:rsid w:val="00220FC2"/>
    <w:rsid w:val="002222F4"/>
    <w:rsid w:val="00224FC0"/>
    <w:rsid w:val="00225EA4"/>
    <w:rsid w:val="00226EAF"/>
    <w:rsid w:val="00231F3A"/>
    <w:rsid w:val="002406EE"/>
    <w:rsid w:val="00243EC8"/>
    <w:rsid w:val="00270D93"/>
    <w:rsid w:val="002745CC"/>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D7D95"/>
    <w:rsid w:val="004E0222"/>
    <w:rsid w:val="004E2C26"/>
    <w:rsid w:val="00506A96"/>
    <w:rsid w:val="005125A8"/>
    <w:rsid w:val="00517549"/>
    <w:rsid w:val="00520ABC"/>
    <w:rsid w:val="00521AE8"/>
    <w:rsid w:val="00527180"/>
    <w:rsid w:val="00555291"/>
    <w:rsid w:val="00566AD1"/>
    <w:rsid w:val="005672F8"/>
    <w:rsid w:val="00583EDE"/>
    <w:rsid w:val="005A6079"/>
    <w:rsid w:val="005E4698"/>
    <w:rsid w:val="00603924"/>
    <w:rsid w:val="00610539"/>
    <w:rsid w:val="00613969"/>
    <w:rsid w:val="00625C35"/>
    <w:rsid w:val="00647E49"/>
    <w:rsid w:val="00656313"/>
    <w:rsid w:val="006565F4"/>
    <w:rsid w:val="00676711"/>
    <w:rsid w:val="00684EEA"/>
    <w:rsid w:val="0069689B"/>
    <w:rsid w:val="006B5FF5"/>
    <w:rsid w:val="006F30AF"/>
    <w:rsid w:val="006F5D16"/>
    <w:rsid w:val="00701759"/>
    <w:rsid w:val="00703E67"/>
    <w:rsid w:val="00705C15"/>
    <w:rsid w:val="007110F6"/>
    <w:rsid w:val="007208D1"/>
    <w:rsid w:val="00744518"/>
    <w:rsid w:val="00747288"/>
    <w:rsid w:val="00747DD3"/>
    <w:rsid w:val="007549C8"/>
    <w:rsid w:val="00766D14"/>
    <w:rsid w:val="00767A0F"/>
    <w:rsid w:val="00791272"/>
    <w:rsid w:val="007A05F6"/>
    <w:rsid w:val="007B6F4A"/>
    <w:rsid w:val="007D3492"/>
    <w:rsid w:val="007E1C47"/>
    <w:rsid w:val="007E337A"/>
    <w:rsid w:val="007E5C70"/>
    <w:rsid w:val="007F2FF5"/>
    <w:rsid w:val="007F3F08"/>
    <w:rsid w:val="00804CC6"/>
    <w:rsid w:val="00817190"/>
    <w:rsid w:val="008260E2"/>
    <w:rsid w:val="008322BD"/>
    <w:rsid w:val="00834F73"/>
    <w:rsid w:val="00864C8A"/>
    <w:rsid w:val="00864CF8"/>
    <w:rsid w:val="00874914"/>
    <w:rsid w:val="00891422"/>
    <w:rsid w:val="00892E1A"/>
    <w:rsid w:val="00897BA4"/>
    <w:rsid w:val="008B660A"/>
    <w:rsid w:val="008C01DA"/>
    <w:rsid w:val="008F2674"/>
    <w:rsid w:val="008F78E9"/>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F0E33"/>
    <w:rsid w:val="00A149DF"/>
    <w:rsid w:val="00A1755C"/>
    <w:rsid w:val="00A21B90"/>
    <w:rsid w:val="00A22AAC"/>
    <w:rsid w:val="00A41805"/>
    <w:rsid w:val="00A50752"/>
    <w:rsid w:val="00A51882"/>
    <w:rsid w:val="00A52AFB"/>
    <w:rsid w:val="00A548CB"/>
    <w:rsid w:val="00A5521C"/>
    <w:rsid w:val="00A643E7"/>
    <w:rsid w:val="00A73C38"/>
    <w:rsid w:val="00A921A7"/>
    <w:rsid w:val="00AB670D"/>
    <w:rsid w:val="00AF03C5"/>
    <w:rsid w:val="00B000D8"/>
    <w:rsid w:val="00B00F75"/>
    <w:rsid w:val="00B145B6"/>
    <w:rsid w:val="00B279EB"/>
    <w:rsid w:val="00B50C81"/>
    <w:rsid w:val="00B557F8"/>
    <w:rsid w:val="00B815FC"/>
    <w:rsid w:val="00B93FBC"/>
    <w:rsid w:val="00B9619A"/>
    <w:rsid w:val="00BA7DA0"/>
    <w:rsid w:val="00BB2EE4"/>
    <w:rsid w:val="00BB4C92"/>
    <w:rsid w:val="00BC2108"/>
    <w:rsid w:val="00BC6BE5"/>
    <w:rsid w:val="00BD0E9E"/>
    <w:rsid w:val="00BD1BEC"/>
    <w:rsid w:val="00BD32FF"/>
    <w:rsid w:val="00BF6FE9"/>
    <w:rsid w:val="00C02092"/>
    <w:rsid w:val="00C24D91"/>
    <w:rsid w:val="00C26DB2"/>
    <w:rsid w:val="00C53F14"/>
    <w:rsid w:val="00C600CF"/>
    <w:rsid w:val="00C6084F"/>
    <w:rsid w:val="00C62A66"/>
    <w:rsid w:val="00C66359"/>
    <w:rsid w:val="00C71458"/>
    <w:rsid w:val="00C77613"/>
    <w:rsid w:val="00C82317"/>
    <w:rsid w:val="00C828E7"/>
    <w:rsid w:val="00C86719"/>
    <w:rsid w:val="00C921DD"/>
    <w:rsid w:val="00CA6391"/>
    <w:rsid w:val="00CE036E"/>
    <w:rsid w:val="00CE3171"/>
    <w:rsid w:val="00CE5EBA"/>
    <w:rsid w:val="00CF1601"/>
    <w:rsid w:val="00D0172F"/>
    <w:rsid w:val="00D01E33"/>
    <w:rsid w:val="00D068A7"/>
    <w:rsid w:val="00D17476"/>
    <w:rsid w:val="00D17B0E"/>
    <w:rsid w:val="00D32086"/>
    <w:rsid w:val="00D37A3F"/>
    <w:rsid w:val="00D4431D"/>
    <w:rsid w:val="00D4667A"/>
    <w:rsid w:val="00D63A1C"/>
    <w:rsid w:val="00D7516F"/>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E0830"/>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A764C"/>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C82317"/>
    <w:p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506A9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506A96"/>
    <w:rPr>
      <w:rFonts w:ascii="Times New Roman" w:hAnsi="Times New Roman"/>
      <w:sz w:val="24"/>
      <w:szCs w:val="24"/>
      <w:lang w:val="fr-CA"/>
    </w:rPr>
  </w:style>
  <w:style w:type="paragraph" w:customStyle="1" w:styleId="SCCLsocPrefix">
    <w:name w:val="SCC.Lsoc.Prefix"/>
    <w:basedOn w:val="Normal"/>
    <w:next w:val="Normal"/>
    <w:link w:val="SCCLsocPrefixChar"/>
    <w:rsid w:val="00506A96"/>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06A96"/>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3190</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2018-06-27T12:15:00Z</dcterms:created>
  <dcterms:modified xsi:type="dcterms:W3CDTF">2019-03-25T19:02:00Z</dcterms:modified>
</cp:coreProperties>
</file>