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5B2" w:rsidRDefault="00C745B2" w:rsidP="00546F47">
      <w:pPr>
        <w:pStyle w:val="Header"/>
        <w:jc w:val="center"/>
      </w:pPr>
      <w:r>
        <w:ptab w:relativeTo="margin" w:alignment="center" w:leader="none"/>
      </w:r>
      <w:r w:rsidRPr="00F72014">
        <w:t xml:space="preserve"> </w:t>
      </w:r>
      <w:bookmarkStart w:id="0" w:name="_GoBack"/>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4.5pt" o:ole="">
            <v:imagedata r:id="rId8" o:title=""/>
          </v:shape>
          <o:OLEObject Type="Embed" ProgID="Presentations.Drawing.13" ShapeID="_x0000_i1025" DrawAspect="Content" ObjectID="_1615031521" r:id="rId9"/>
        </w:object>
      </w:r>
      <w:bookmarkEnd w:id="0"/>
      <w:r>
        <w:t xml:space="preserve"> </w:t>
      </w:r>
      <w:r>
        <w:ptab w:relativeTo="margin" w:alignment="right" w:leader="none"/>
      </w:r>
    </w:p>
    <w:p w:rsidR="00C745B2" w:rsidRDefault="00C745B2" w:rsidP="00C745B2">
      <w:pPr>
        <w:pStyle w:val="Header"/>
      </w:pPr>
    </w:p>
    <w:p w:rsidR="00C745B2" w:rsidRPr="001E12E2" w:rsidRDefault="00C745B2" w:rsidP="00C745B2">
      <w:pPr>
        <w:jc w:val="center"/>
        <w:rPr>
          <w:b/>
        </w:rPr>
      </w:pPr>
      <w:r w:rsidRPr="001E12E2">
        <w:rPr>
          <w:b/>
        </w:rPr>
        <w:t>COUR SUPRÊME DU CANADA</w:t>
      </w:r>
    </w:p>
    <w:p w:rsidR="00C745B2" w:rsidRDefault="00C745B2" w:rsidP="00C745B2"/>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6390"/>
        <w:gridCol w:w="4410"/>
      </w:tblGrid>
      <w:tr w:rsidR="00C745B2" w:rsidRPr="001E12E2" w:rsidTr="000B2C02">
        <w:trPr>
          <w:cantSplit/>
        </w:trPr>
        <w:tc>
          <w:tcPr>
            <w:tcW w:w="6390" w:type="dxa"/>
          </w:tcPr>
          <w:p w:rsidR="00C745B2" w:rsidRPr="001E12E2" w:rsidRDefault="00C745B2" w:rsidP="000B2C02">
            <w:r>
              <w:rPr>
                <w:b/>
                <w:smallCaps/>
              </w:rPr>
              <w:t>Référence :</w:t>
            </w:r>
            <w:r w:rsidRPr="001E12E2">
              <w:t xml:space="preserve"> </w:t>
            </w:r>
            <w:r w:rsidRPr="00C745B2">
              <w:rPr>
                <w:rStyle w:val="SCCAppellantForIndexChar"/>
                <w:rFonts w:eastAsiaTheme="minorHAnsi"/>
                <w:b w:val="0"/>
              </w:rPr>
              <w:t>West Fraser Mills Ltd.</w:t>
            </w:r>
            <w:r w:rsidRPr="001E3454">
              <w:t xml:space="preserve"> </w:t>
            </w:r>
            <w:r w:rsidRPr="001E3454">
              <w:rPr>
                <w:i/>
              </w:rPr>
              <w:t>c.</w:t>
            </w:r>
            <w:r w:rsidRPr="001E3454">
              <w:t xml:space="preserve"> </w:t>
            </w:r>
            <w:proofErr w:type="spellStart"/>
            <w:r w:rsidRPr="001E3454">
              <w:t>Colombie</w:t>
            </w:r>
            <w:r w:rsidRPr="001E3454">
              <w:noBreakHyphen/>
              <w:t>Britannique</w:t>
            </w:r>
            <w:proofErr w:type="spellEnd"/>
            <w:r w:rsidRPr="008A6265">
              <w:t xml:space="preserve"> </w:t>
            </w:r>
            <w:r w:rsidRPr="00C745B2">
              <w:t>(</w:t>
            </w:r>
            <w:r w:rsidRPr="00C745B2">
              <w:rPr>
                <w:rStyle w:val="SCCRespondentForIndexChar"/>
                <w:rFonts w:eastAsiaTheme="minorHAnsi"/>
                <w:b w:val="0"/>
              </w:rPr>
              <w:t>Workers’ Compensation Appeal Tribunal), 2018 CSC 22</w:t>
            </w:r>
            <w:r>
              <w:rPr>
                <w:rStyle w:val="SCCRespondentForIndexChar"/>
                <w:rFonts w:eastAsiaTheme="minorHAnsi"/>
                <w:b w:val="0"/>
              </w:rPr>
              <w:t>,</w:t>
            </w:r>
            <w:r>
              <w:rPr>
                <w:rStyle w:val="SCCRespondentForRunningHeadChar"/>
                <w:smallCaps w:val="0"/>
                <w:lang w:val="en-US"/>
              </w:rPr>
              <w:t xml:space="preserve"> [2018] 1 R.C.S. 635</w:t>
            </w:r>
            <w:r w:rsidRPr="00232D8B">
              <w:rPr>
                <w:rStyle w:val="SCCRespondentForRunningHeadChar"/>
                <w:smallCaps w:val="0"/>
                <w:lang w:val="en-US"/>
              </w:rPr>
              <w:t xml:space="preserve"> </w:t>
            </w:r>
          </w:p>
        </w:tc>
        <w:tc>
          <w:tcPr>
            <w:tcW w:w="4410" w:type="dxa"/>
          </w:tcPr>
          <w:p w:rsidR="00C745B2" w:rsidRPr="00C745B2" w:rsidRDefault="00C745B2" w:rsidP="000B2C02">
            <w:pPr>
              <w:rPr>
                <w:b/>
                <w:smallCaps/>
                <w:lang w:val="fr-CA"/>
              </w:rPr>
            </w:pPr>
            <w:r w:rsidRPr="00C745B2">
              <w:rPr>
                <w:b/>
                <w:smallCaps/>
                <w:lang w:val="fr-CA"/>
              </w:rPr>
              <w:t xml:space="preserve">Appel entendu : </w:t>
            </w:r>
            <w:r w:rsidRPr="00C745B2">
              <w:rPr>
                <w:lang w:val="fr-CA"/>
              </w:rPr>
              <w:t>4 décembre 2017</w:t>
            </w:r>
          </w:p>
          <w:p w:rsidR="00C745B2" w:rsidRPr="00C745B2" w:rsidRDefault="00C745B2" w:rsidP="000B2C02">
            <w:pPr>
              <w:rPr>
                <w:lang w:val="fr-CA"/>
              </w:rPr>
            </w:pPr>
            <w:r w:rsidRPr="00C745B2">
              <w:rPr>
                <w:b/>
                <w:smallCaps/>
                <w:lang w:val="fr-CA"/>
              </w:rPr>
              <w:t xml:space="preserve">Jugement rendu : </w:t>
            </w:r>
            <w:r w:rsidRPr="00C745B2">
              <w:rPr>
                <w:lang w:val="fr-CA"/>
              </w:rPr>
              <w:t>18 mai 2018</w:t>
            </w:r>
          </w:p>
          <w:p w:rsidR="00C745B2" w:rsidRPr="001E12E2" w:rsidRDefault="00C745B2" w:rsidP="000B2C02">
            <w:r w:rsidRPr="001E12E2">
              <w:rPr>
                <w:b/>
                <w:smallCaps/>
              </w:rPr>
              <w:t>Do</w:t>
            </w:r>
            <w:r>
              <w:rPr>
                <w:b/>
                <w:smallCaps/>
              </w:rPr>
              <w:t>ssier :</w:t>
            </w:r>
            <w:r w:rsidRPr="001E12E2">
              <w:t xml:space="preserve"> </w:t>
            </w:r>
            <w:r>
              <w:t>37423</w:t>
            </w:r>
          </w:p>
        </w:tc>
      </w:tr>
    </w:tbl>
    <w:p w:rsidR="002B0461" w:rsidRDefault="002B0461" w:rsidP="00C745B2">
      <w:pPr>
        <w:pStyle w:val="SCCLsocPrefix"/>
        <w:rPr>
          <w:lang w:val="en-US"/>
        </w:rPr>
      </w:pPr>
    </w:p>
    <w:p w:rsidR="00C745B2" w:rsidRPr="00A12F89" w:rsidRDefault="00C745B2" w:rsidP="00C745B2">
      <w:pPr>
        <w:pStyle w:val="SCCLsocPrefix"/>
        <w:rPr>
          <w:lang w:val="en-US"/>
        </w:rPr>
      </w:pPr>
      <w:r w:rsidRPr="00A12F89">
        <w:rPr>
          <w:lang w:val="en-US"/>
        </w:rPr>
        <w:t>Entre :</w:t>
      </w:r>
    </w:p>
    <w:p w:rsidR="00C745B2" w:rsidRPr="00A12F89" w:rsidRDefault="00C745B2" w:rsidP="00C745B2">
      <w:pPr>
        <w:pStyle w:val="SCCLsocParty"/>
        <w:jc w:val="center"/>
        <w:rPr>
          <w:lang w:val="en-US"/>
        </w:rPr>
      </w:pPr>
      <w:r w:rsidRPr="00A12F89">
        <w:rPr>
          <w:lang w:val="en-US"/>
        </w:rPr>
        <w:t>West Fraser Mills Ltd.</w:t>
      </w:r>
    </w:p>
    <w:p w:rsidR="00C745B2" w:rsidRDefault="00C745B2" w:rsidP="00C745B2">
      <w:pPr>
        <w:jc w:val="center"/>
        <w:rPr>
          <w:lang w:val="en-US"/>
        </w:rPr>
      </w:pPr>
      <w:proofErr w:type="spellStart"/>
      <w:r w:rsidRPr="009C74E3">
        <w:rPr>
          <w:lang w:val="en-US"/>
        </w:rPr>
        <w:t>Appelante</w:t>
      </w:r>
      <w:proofErr w:type="spellEnd"/>
    </w:p>
    <w:p w:rsidR="00C745B2" w:rsidRPr="009C74E3" w:rsidRDefault="00C745B2" w:rsidP="00C745B2">
      <w:pPr>
        <w:jc w:val="center"/>
        <w:rPr>
          <w:lang w:val="en-US"/>
        </w:rPr>
      </w:pPr>
    </w:p>
    <w:p w:rsidR="00C745B2" w:rsidRPr="00C745B2" w:rsidRDefault="00C745B2" w:rsidP="00C745B2">
      <w:pPr>
        <w:pStyle w:val="SCCLsocVersus"/>
        <w:spacing w:after="0"/>
        <w:jc w:val="center"/>
        <w:rPr>
          <w:i w:val="0"/>
          <w:lang w:val="en-US"/>
        </w:rPr>
      </w:pPr>
      <w:proofErr w:type="gramStart"/>
      <w:r w:rsidRPr="00C745B2">
        <w:rPr>
          <w:i w:val="0"/>
          <w:lang w:val="en-US"/>
        </w:rPr>
        <w:t>et</w:t>
      </w:r>
      <w:proofErr w:type="gramEnd"/>
    </w:p>
    <w:p w:rsidR="00C745B2" w:rsidRPr="009C74E3" w:rsidRDefault="00C745B2" w:rsidP="00C745B2">
      <w:pPr>
        <w:jc w:val="center"/>
        <w:rPr>
          <w:lang w:val="en-US"/>
        </w:rPr>
      </w:pPr>
    </w:p>
    <w:p w:rsidR="00C745B2" w:rsidRPr="00160C63" w:rsidRDefault="00C745B2" w:rsidP="00C745B2">
      <w:pPr>
        <w:pStyle w:val="SCCLsocParty"/>
        <w:jc w:val="center"/>
        <w:rPr>
          <w:lang w:val="en-US"/>
        </w:rPr>
      </w:pPr>
      <w:r w:rsidRPr="00160C63">
        <w:rPr>
          <w:lang w:val="en-US"/>
        </w:rPr>
        <w:t>Workers</w:t>
      </w:r>
      <w:r>
        <w:rPr>
          <w:lang w:val="en-US"/>
        </w:rPr>
        <w:t xml:space="preserve">’ Compensation Appeal Tribunal </w:t>
      </w:r>
      <w:proofErr w:type="gramStart"/>
      <w:r>
        <w:rPr>
          <w:lang w:val="en-US"/>
        </w:rPr>
        <w:t>et</w:t>
      </w:r>
      <w:proofErr w:type="gramEnd"/>
      <w:r>
        <w:rPr>
          <w:lang w:val="en-US"/>
        </w:rPr>
        <w:t xml:space="preserve"> </w:t>
      </w:r>
      <w:r w:rsidRPr="00160C63">
        <w:rPr>
          <w:lang w:val="en-US"/>
        </w:rPr>
        <w:t>Workers</w:t>
      </w:r>
      <w:r>
        <w:rPr>
          <w:lang w:val="en-US"/>
        </w:rPr>
        <w:t>’</w:t>
      </w:r>
      <w:r w:rsidRPr="00160C63">
        <w:rPr>
          <w:lang w:val="en-US"/>
        </w:rPr>
        <w:t xml:space="preserve"> Compensation Board of British Columbia</w:t>
      </w:r>
    </w:p>
    <w:p w:rsidR="00C745B2" w:rsidRDefault="00C745B2" w:rsidP="00C745B2">
      <w:pPr>
        <w:jc w:val="center"/>
        <w:rPr>
          <w:lang w:val="en-US"/>
        </w:rPr>
      </w:pPr>
      <w:proofErr w:type="spellStart"/>
      <w:r>
        <w:rPr>
          <w:lang w:val="en-US"/>
        </w:rPr>
        <w:t>Intimé</w:t>
      </w:r>
      <w:r w:rsidRPr="00160C63">
        <w:rPr>
          <w:lang w:val="en-US"/>
        </w:rPr>
        <w:t>s</w:t>
      </w:r>
      <w:proofErr w:type="spellEnd"/>
    </w:p>
    <w:p w:rsidR="00C745B2" w:rsidRPr="009C74E3" w:rsidRDefault="00C745B2" w:rsidP="00C745B2">
      <w:pPr>
        <w:jc w:val="center"/>
        <w:rPr>
          <w:lang w:val="en-US"/>
        </w:rPr>
      </w:pPr>
    </w:p>
    <w:p w:rsidR="00C745B2" w:rsidRDefault="00C745B2" w:rsidP="00C745B2">
      <w:pPr>
        <w:pStyle w:val="SCCLsocOtherPartySeparator"/>
        <w:spacing w:after="0"/>
        <w:jc w:val="center"/>
        <w:rPr>
          <w:lang w:val="en-US"/>
        </w:rPr>
      </w:pPr>
      <w:r w:rsidRPr="00160C63">
        <w:rPr>
          <w:lang w:val="en-US"/>
        </w:rPr>
        <w:t xml:space="preserve">- </w:t>
      </w:r>
      <w:proofErr w:type="gramStart"/>
      <w:r w:rsidRPr="00160C63">
        <w:rPr>
          <w:lang w:val="en-US"/>
        </w:rPr>
        <w:t>et</w:t>
      </w:r>
      <w:proofErr w:type="gramEnd"/>
      <w:r w:rsidRPr="00160C63">
        <w:rPr>
          <w:lang w:val="en-US"/>
        </w:rPr>
        <w:t xml:space="preserve"> -</w:t>
      </w:r>
    </w:p>
    <w:p w:rsidR="00C745B2" w:rsidRPr="009C74E3" w:rsidRDefault="00C745B2" w:rsidP="00C745B2">
      <w:pPr>
        <w:jc w:val="center"/>
        <w:rPr>
          <w:lang w:val="en-US"/>
        </w:rPr>
      </w:pPr>
    </w:p>
    <w:p w:rsidR="00C745B2" w:rsidRPr="00160C63" w:rsidRDefault="00C745B2" w:rsidP="00C745B2">
      <w:pPr>
        <w:pStyle w:val="SCCLsocParty"/>
        <w:jc w:val="center"/>
        <w:rPr>
          <w:lang w:val="en-US"/>
        </w:rPr>
      </w:pPr>
      <w:r w:rsidRPr="00160C63">
        <w:rPr>
          <w:lang w:val="en-US"/>
        </w:rPr>
        <w:t>Workers</w:t>
      </w:r>
      <w:r>
        <w:rPr>
          <w:lang w:val="en-US"/>
        </w:rPr>
        <w:t>’</w:t>
      </w:r>
      <w:r w:rsidRPr="00160C63">
        <w:rPr>
          <w:lang w:val="en-US"/>
        </w:rPr>
        <w:t xml:space="preserve"> Compensation Board of Alberta</w:t>
      </w:r>
    </w:p>
    <w:p w:rsidR="00C745B2" w:rsidRPr="00C745B2" w:rsidRDefault="00C745B2" w:rsidP="00C745B2">
      <w:pPr>
        <w:jc w:val="center"/>
        <w:rPr>
          <w:lang w:val="fr-CA"/>
        </w:rPr>
      </w:pPr>
      <w:r w:rsidRPr="00C745B2">
        <w:rPr>
          <w:lang w:val="fr-CA"/>
        </w:rPr>
        <w:t>Intervenante</w:t>
      </w:r>
    </w:p>
    <w:p w:rsidR="00C745B2" w:rsidRDefault="00C745B2" w:rsidP="00C745B2">
      <w:pPr>
        <w:jc w:val="center"/>
        <w:rPr>
          <w:lang w:val="fr-CA"/>
        </w:rPr>
      </w:pPr>
    </w:p>
    <w:p w:rsidR="00C745B2" w:rsidRPr="00C745B2" w:rsidRDefault="00C745B2" w:rsidP="00C745B2">
      <w:pPr>
        <w:jc w:val="center"/>
        <w:rPr>
          <w:lang w:val="fr-CA"/>
        </w:rPr>
      </w:pPr>
    </w:p>
    <w:p w:rsidR="00C745B2" w:rsidRPr="00C745B2" w:rsidRDefault="00C745B2" w:rsidP="00C745B2">
      <w:pPr>
        <w:jc w:val="center"/>
        <w:rPr>
          <w:b/>
          <w:smallCaps/>
          <w:lang w:val="fr-CA"/>
        </w:rPr>
      </w:pPr>
      <w:r w:rsidRPr="00C745B2">
        <w:rPr>
          <w:b/>
          <w:smallCaps/>
          <w:lang w:val="fr-CA"/>
        </w:rPr>
        <w:t>Traduction française officielle</w:t>
      </w:r>
    </w:p>
    <w:p w:rsidR="00C745B2" w:rsidRPr="00C745B2" w:rsidRDefault="00C745B2" w:rsidP="00C745B2">
      <w:pPr>
        <w:rPr>
          <w:lang w:val="fr-CA"/>
        </w:rPr>
      </w:pPr>
    </w:p>
    <w:p w:rsidR="00C745B2" w:rsidRPr="00C745B2" w:rsidRDefault="00C745B2" w:rsidP="00C745B2">
      <w:pPr>
        <w:rPr>
          <w:lang w:val="fr-CA"/>
        </w:rPr>
      </w:pPr>
      <w:r w:rsidRPr="00C745B2">
        <w:rPr>
          <w:b/>
          <w:smallCaps/>
          <w:lang w:val="fr-CA"/>
        </w:rPr>
        <w:t>Coram :</w:t>
      </w:r>
      <w:r w:rsidRPr="00C745B2">
        <w:rPr>
          <w:lang w:val="fr-CA"/>
        </w:rPr>
        <w:t xml:space="preserve"> La juge en chef McLachlin et les juges Abella, Moldaver, Karakatsanis, Wagner, Gascon, Côté, Brown et Rowe</w:t>
      </w:r>
    </w:p>
    <w:p w:rsidR="00C745B2" w:rsidRPr="00C745B2" w:rsidRDefault="00C745B2" w:rsidP="00C745B2">
      <w:pPr>
        <w:rPr>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C745B2" w:rsidRPr="00546F47" w:rsidTr="000B2C02">
        <w:trPr>
          <w:cantSplit/>
        </w:trPr>
        <w:tc>
          <w:tcPr>
            <w:tcW w:w="3618" w:type="dxa"/>
          </w:tcPr>
          <w:p w:rsidR="00C745B2" w:rsidRPr="00C745B2" w:rsidRDefault="00C745B2" w:rsidP="000B2C02">
            <w:pPr>
              <w:rPr>
                <w:b/>
                <w:smallCaps/>
                <w:lang w:val="fr-CA"/>
              </w:rPr>
            </w:pPr>
            <w:r w:rsidRPr="00C745B2">
              <w:rPr>
                <w:b/>
                <w:smallCaps/>
                <w:lang w:val="fr-CA"/>
              </w:rPr>
              <w:t>Motifs de jugement :</w:t>
            </w:r>
          </w:p>
          <w:p w:rsidR="00C745B2" w:rsidRPr="00C745B2" w:rsidRDefault="00C745B2" w:rsidP="000B2C02">
            <w:pPr>
              <w:rPr>
                <w:lang w:val="fr-CA"/>
              </w:rPr>
            </w:pPr>
            <w:r w:rsidRPr="00C745B2">
              <w:rPr>
                <w:lang w:val="fr-CA"/>
              </w:rPr>
              <w:t>(par. 1 à 51)</w:t>
            </w:r>
          </w:p>
        </w:tc>
        <w:tc>
          <w:tcPr>
            <w:tcW w:w="5958" w:type="dxa"/>
          </w:tcPr>
          <w:p w:rsidR="00C745B2" w:rsidRPr="00C745B2" w:rsidRDefault="00C745B2" w:rsidP="000B2C02">
            <w:pPr>
              <w:rPr>
                <w:lang w:val="fr-CA"/>
              </w:rPr>
            </w:pPr>
            <w:r w:rsidRPr="00C745B2">
              <w:rPr>
                <w:lang w:val="fr-CA"/>
              </w:rPr>
              <w:t>La juge en chef McLachlin (avec l’accord des juges Abella, Moldaver, Karakatsanis, Wagner et Gascon)</w:t>
            </w:r>
          </w:p>
          <w:p w:rsidR="00C745B2" w:rsidRPr="00C745B2" w:rsidRDefault="00C745B2" w:rsidP="000B2C02">
            <w:pPr>
              <w:rPr>
                <w:lang w:val="fr-CA"/>
              </w:rPr>
            </w:pPr>
          </w:p>
        </w:tc>
      </w:tr>
      <w:tr w:rsidR="00C745B2" w:rsidRPr="001E12E2" w:rsidTr="000B2C02">
        <w:trPr>
          <w:cantSplit/>
        </w:trPr>
        <w:tc>
          <w:tcPr>
            <w:tcW w:w="3618" w:type="dxa"/>
          </w:tcPr>
          <w:p w:rsidR="00C745B2" w:rsidRPr="008A1DC3" w:rsidRDefault="00C745B2" w:rsidP="000B2C02">
            <w:pPr>
              <w:rPr>
                <w:b/>
                <w:smallCaps/>
              </w:rPr>
            </w:pPr>
            <w:r w:rsidRPr="008A1DC3">
              <w:rPr>
                <w:b/>
                <w:smallCaps/>
              </w:rPr>
              <w:t>Motifs dissidents :</w:t>
            </w:r>
          </w:p>
          <w:p w:rsidR="00C745B2" w:rsidRPr="008A1DC3" w:rsidRDefault="00C745B2" w:rsidP="000B2C02">
            <w:r w:rsidRPr="008A1DC3">
              <w:t>(par. 52 à 111):</w:t>
            </w:r>
          </w:p>
        </w:tc>
        <w:tc>
          <w:tcPr>
            <w:tcW w:w="5958" w:type="dxa"/>
          </w:tcPr>
          <w:p w:rsidR="00C745B2" w:rsidRDefault="00C745B2" w:rsidP="000B2C02">
            <w:r>
              <w:t>La juge Côté</w:t>
            </w:r>
          </w:p>
          <w:p w:rsidR="00C745B2" w:rsidRDefault="00C745B2" w:rsidP="000B2C02"/>
          <w:p w:rsidR="00C745B2" w:rsidRDefault="00C745B2" w:rsidP="000B2C02"/>
          <w:p w:rsidR="00C745B2" w:rsidRPr="001E12E2" w:rsidRDefault="00C745B2" w:rsidP="000B2C02"/>
        </w:tc>
      </w:tr>
      <w:tr w:rsidR="00C745B2" w:rsidRPr="001E12E2" w:rsidTr="000B2C02">
        <w:trPr>
          <w:cantSplit/>
        </w:trPr>
        <w:tc>
          <w:tcPr>
            <w:tcW w:w="3618" w:type="dxa"/>
          </w:tcPr>
          <w:p w:rsidR="00C745B2" w:rsidRPr="008A1DC3" w:rsidRDefault="00C745B2" w:rsidP="000B2C02">
            <w:pPr>
              <w:rPr>
                <w:b/>
                <w:smallCaps/>
              </w:rPr>
            </w:pPr>
            <w:r w:rsidRPr="008A1DC3">
              <w:rPr>
                <w:b/>
                <w:smallCaps/>
              </w:rPr>
              <w:t>Motifs dissidents :</w:t>
            </w:r>
          </w:p>
          <w:p w:rsidR="00C745B2" w:rsidRPr="008A1DC3" w:rsidRDefault="00C745B2" w:rsidP="000B2C02">
            <w:r w:rsidRPr="008A1DC3">
              <w:t>(par. 112 à 125)</w:t>
            </w:r>
          </w:p>
        </w:tc>
        <w:tc>
          <w:tcPr>
            <w:tcW w:w="5958" w:type="dxa"/>
          </w:tcPr>
          <w:p w:rsidR="00C745B2" w:rsidRDefault="00C745B2" w:rsidP="000B2C02">
            <w:r>
              <w:t>Le juge Brown</w:t>
            </w:r>
          </w:p>
          <w:p w:rsidR="00C745B2" w:rsidRDefault="00C745B2" w:rsidP="000B2C02"/>
          <w:p w:rsidR="00C745B2" w:rsidRDefault="00C745B2" w:rsidP="000B2C02"/>
          <w:p w:rsidR="00C745B2" w:rsidRPr="001E12E2" w:rsidRDefault="00C745B2" w:rsidP="000B2C02"/>
        </w:tc>
      </w:tr>
      <w:tr w:rsidR="00C745B2" w:rsidRPr="001E12E2" w:rsidTr="000B2C02">
        <w:trPr>
          <w:cantSplit/>
        </w:trPr>
        <w:tc>
          <w:tcPr>
            <w:tcW w:w="3618" w:type="dxa"/>
          </w:tcPr>
          <w:p w:rsidR="00C745B2" w:rsidRPr="008A1DC3" w:rsidRDefault="00C745B2" w:rsidP="000B2C02">
            <w:pPr>
              <w:rPr>
                <w:b/>
                <w:smallCaps/>
              </w:rPr>
            </w:pPr>
            <w:r w:rsidRPr="008A1DC3">
              <w:rPr>
                <w:b/>
                <w:smallCaps/>
              </w:rPr>
              <w:lastRenderedPageBreak/>
              <w:t>Motifs dissidents :</w:t>
            </w:r>
          </w:p>
          <w:p w:rsidR="00C745B2" w:rsidRPr="008A1DC3" w:rsidRDefault="00C745B2" w:rsidP="000B2C02">
            <w:r w:rsidRPr="008A1DC3">
              <w:t>(par. 126 à 13</w:t>
            </w:r>
            <w:r>
              <w:t>0</w:t>
            </w:r>
            <w:r w:rsidRPr="008A1DC3">
              <w:t>)</w:t>
            </w:r>
          </w:p>
        </w:tc>
        <w:tc>
          <w:tcPr>
            <w:tcW w:w="5958" w:type="dxa"/>
          </w:tcPr>
          <w:p w:rsidR="00C745B2" w:rsidRPr="001E12E2" w:rsidRDefault="00C745B2" w:rsidP="000B2C02">
            <w:r>
              <w:t>Le juge Rowe</w:t>
            </w:r>
          </w:p>
        </w:tc>
      </w:tr>
    </w:tbl>
    <w:p w:rsidR="00C745B2" w:rsidRDefault="00C745B2" w:rsidP="00C745B2">
      <w:pPr>
        <w:rPr>
          <w:b/>
          <w:smallCaps/>
          <w:lang w:val="fr-CA"/>
        </w:rPr>
      </w:pPr>
    </w:p>
    <w:p w:rsidR="00C745B2" w:rsidRPr="00C745B2" w:rsidRDefault="00C745B2" w:rsidP="00C745B2">
      <w:pPr>
        <w:rPr>
          <w:lang w:val="fr-CA"/>
        </w:rPr>
      </w:pPr>
      <w:r>
        <w:rPr>
          <w:noProof/>
          <w:lang w:val="en-US" w:eastAsia="en-US"/>
        </w:rPr>
        <mc:AlternateContent>
          <mc:Choice Requires="wps">
            <w:drawing>
              <wp:anchor distT="0" distB="0" distL="114300" distR="114300" simplePos="0" relativeHeight="251659264" behindDoc="0" locked="0" layoutInCell="1" allowOverlap="1" wp14:anchorId="24C8C18D" wp14:editId="44B60554">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293CBF"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C745B2" w:rsidRPr="00C745B2" w:rsidRDefault="00C745B2" w:rsidP="009144B3">
      <w:pPr>
        <w:spacing w:after="720"/>
        <w:jc w:val="both"/>
        <w:rPr>
          <w:rStyle w:val="SCCAppellantForRunningHeadChar"/>
          <w:smallCaps w:val="0"/>
          <w:lang w:val="fr-CA"/>
        </w:rPr>
      </w:pPr>
    </w:p>
    <w:p w:rsidR="004D7D95" w:rsidRPr="00232D8B" w:rsidRDefault="00232D8B" w:rsidP="009144B3">
      <w:pPr>
        <w:spacing w:after="720"/>
        <w:jc w:val="both"/>
        <w:rPr>
          <w:smallCaps/>
          <w:lang w:val="en-US"/>
        </w:rPr>
      </w:pPr>
      <w:r>
        <w:rPr>
          <w:rStyle w:val="SCCAppellantForRunningHeadChar"/>
          <w:smallCaps w:val="0"/>
          <w:lang w:val="en-US"/>
        </w:rPr>
        <w:t>W</w:t>
      </w:r>
      <w:r w:rsidR="00FB27EA" w:rsidRPr="00232D8B">
        <w:rPr>
          <w:rStyle w:val="SCCAppellantForRunningHeadChar"/>
          <w:smallCaps w:val="0"/>
          <w:lang w:val="en-US"/>
        </w:rPr>
        <w:t xml:space="preserve">est </w:t>
      </w:r>
      <w:r>
        <w:rPr>
          <w:rStyle w:val="SCCAppellantForRunningHeadChar"/>
          <w:smallCaps w:val="0"/>
          <w:lang w:val="en-US"/>
        </w:rPr>
        <w:t>F</w:t>
      </w:r>
      <w:r w:rsidR="00FB27EA" w:rsidRPr="00232D8B">
        <w:rPr>
          <w:rStyle w:val="SCCAppellantForRunningHeadChar"/>
          <w:smallCaps w:val="0"/>
          <w:lang w:val="en-US"/>
        </w:rPr>
        <w:t xml:space="preserve">raser </w:t>
      </w:r>
      <w:r>
        <w:rPr>
          <w:rStyle w:val="SCCAppellantForRunningHeadChar"/>
          <w:smallCaps w:val="0"/>
          <w:lang w:val="en-US"/>
        </w:rPr>
        <w:t>M</w:t>
      </w:r>
      <w:r w:rsidR="00FB27EA" w:rsidRPr="00232D8B">
        <w:rPr>
          <w:rStyle w:val="SCCAppellantForRunningHeadChar"/>
          <w:smallCaps w:val="0"/>
          <w:lang w:val="en-US"/>
        </w:rPr>
        <w:t>ills</w:t>
      </w:r>
      <w:r w:rsidR="004D7D95" w:rsidRPr="00232D8B">
        <w:rPr>
          <w:smallCaps/>
          <w:lang w:val="en-US"/>
        </w:rPr>
        <w:t xml:space="preserve"> </w:t>
      </w:r>
      <w:r w:rsidRPr="00232D8B">
        <w:rPr>
          <w:lang w:val="en-US"/>
        </w:rPr>
        <w:t>Ltd.</w:t>
      </w:r>
      <w:r>
        <w:rPr>
          <w:smallCaps/>
          <w:lang w:val="en-US"/>
        </w:rPr>
        <w:t xml:space="preserve"> </w:t>
      </w:r>
      <w:r w:rsidR="004D7D95" w:rsidRPr="00232D8B">
        <w:rPr>
          <w:i/>
          <w:lang w:val="en-US"/>
        </w:rPr>
        <w:t>c.</w:t>
      </w:r>
      <w:r w:rsidR="004D7D95" w:rsidRPr="00232D8B">
        <w:rPr>
          <w:smallCaps/>
          <w:lang w:val="en-US"/>
        </w:rPr>
        <w:t xml:space="preserve"> </w:t>
      </w:r>
      <w:proofErr w:type="spellStart"/>
      <w:r>
        <w:rPr>
          <w:rStyle w:val="SCCRespondentForRunningHeadChar"/>
          <w:smallCaps w:val="0"/>
          <w:lang w:val="en-US"/>
        </w:rPr>
        <w:t>Colombie-Britannique</w:t>
      </w:r>
      <w:proofErr w:type="spellEnd"/>
      <w:r>
        <w:rPr>
          <w:rStyle w:val="SCCRespondentForRunningHeadChar"/>
          <w:smallCaps w:val="0"/>
          <w:lang w:val="en-US"/>
        </w:rPr>
        <w:t xml:space="preserve"> </w:t>
      </w:r>
      <w:r w:rsidR="00876AC5" w:rsidRPr="00232D8B">
        <w:rPr>
          <w:rStyle w:val="SCCRespondentForRunningHeadChar"/>
          <w:smallCaps w:val="0"/>
          <w:lang w:val="en-US"/>
        </w:rPr>
        <w:t>(</w:t>
      </w:r>
      <w:r>
        <w:rPr>
          <w:rStyle w:val="SCCRespondentForRunningHeadChar"/>
          <w:smallCaps w:val="0"/>
          <w:lang w:val="en-US"/>
        </w:rPr>
        <w:t>Workers’ Compensation Appeal Tribunal</w:t>
      </w:r>
      <w:r w:rsidR="00876AC5" w:rsidRPr="00232D8B">
        <w:rPr>
          <w:rStyle w:val="SCCRespondentForRunningHeadChar"/>
          <w:smallCaps w:val="0"/>
          <w:lang w:val="en-US"/>
        </w:rPr>
        <w:t>)</w:t>
      </w:r>
      <w:r>
        <w:rPr>
          <w:rStyle w:val="SCCRespondentForRunningHeadChar"/>
          <w:smallCaps w:val="0"/>
          <w:lang w:val="en-US"/>
        </w:rPr>
        <w:t>, 2018 CSC 22, [2018] 1 R.C.S. 635</w:t>
      </w:r>
      <w:r w:rsidR="00A570DF" w:rsidRPr="00232D8B">
        <w:rPr>
          <w:rStyle w:val="SCCRespondentForRunningHeadChar"/>
          <w:smallCaps w:val="0"/>
          <w:lang w:val="en-US"/>
        </w:rPr>
        <w:t xml:space="preserve"> </w:t>
      </w:r>
    </w:p>
    <w:p w:rsidR="00813119" w:rsidRPr="00D5739B" w:rsidRDefault="00842162">
      <w:pPr>
        <w:pStyle w:val="SCCLsocLastPartyInRole"/>
        <w:rPr>
          <w:lang w:val="en-US"/>
        </w:rPr>
      </w:pPr>
      <w:r w:rsidRPr="00D5739B">
        <w:rPr>
          <w:lang w:val="en-US"/>
        </w:rPr>
        <w:t>West Fraser Mills Ltd.</w:t>
      </w:r>
      <w:r w:rsidR="00A570DF" w:rsidRPr="00D5739B">
        <w:rPr>
          <w:rStyle w:val="SCCLsocPartyRole"/>
          <w:lang w:val="en-US"/>
        </w:rPr>
        <w:tab/>
      </w:r>
      <w:proofErr w:type="spellStart"/>
      <w:r w:rsidR="00A570DF" w:rsidRPr="00D5739B">
        <w:rPr>
          <w:rStyle w:val="SCCLsocPartyRole"/>
          <w:lang w:val="en-US"/>
        </w:rPr>
        <w:t>Appelant</w:t>
      </w:r>
      <w:r w:rsidRPr="00D5739B">
        <w:rPr>
          <w:rStyle w:val="SCCLsocPartyRole"/>
          <w:lang w:val="en-US"/>
        </w:rPr>
        <w:t>e</w:t>
      </w:r>
      <w:proofErr w:type="spellEnd"/>
    </w:p>
    <w:p w:rsidR="00813119" w:rsidRPr="00D5739B" w:rsidRDefault="00842162">
      <w:pPr>
        <w:pStyle w:val="SCCLsocVersus"/>
        <w:rPr>
          <w:lang w:val="en-US"/>
        </w:rPr>
      </w:pPr>
      <w:proofErr w:type="gramStart"/>
      <w:r w:rsidRPr="00D5739B">
        <w:rPr>
          <w:lang w:val="en-US"/>
        </w:rPr>
        <w:t>c</w:t>
      </w:r>
      <w:proofErr w:type="gramEnd"/>
      <w:r w:rsidRPr="00D5739B">
        <w:rPr>
          <w:lang w:val="en-US"/>
        </w:rPr>
        <w:t>.</w:t>
      </w:r>
    </w:p>
    <w:p w:rsidR="00813119" w:rsidRPr="00D5739B" w:rsidRDefault="00842162">
      <w:pPr>
        <w:pStyle w:val="SCCLsocParty"/>
        <w:rPr>
          <w:lang w:val="en-US"/>
        </w:rPr>
      </w:pPr>
      <w:r w:rsidRPr="00D5739B">
        <w:rPr>
          <w:lang w:val="en-US"/>
        </w:rPr>
        <w:t>Workers</w:t>
      </w:r>
      <w:r w:rsidR="00582B6A" w:rsidRPr="00D5739B">
        <w:rPr>
          <w:lang w:val="en-US"/>
        </w:rPr>
        <w:t>’</w:t>
      </w:r>
      <w:r w:rsidR="00A570DF" w:rsidRPr="00D5739B">
        <w:rPr>
          <w:lang w:val="en-US"/>
        </w:rPr>
        <w:t xml:space="preserve"> Compensation Appeal Tribunal </w:t>
      </w:r>
      <w:proofErr w:type="gramStart"/>
      <w:r w:rsidR="00A570DF" w:rsidRPr="00D5739B">
        <w:rPr>
          <w:lang w:val="en-US"/>
        </w:rPr>
        <w:t>et</w:t>
      </w:r>
      <w:proofErr w:type="gramEnd"/>
    </w:p>
    <w:p w:rsidR="00813119" w:rsidRPr="00D5739B" w:rsidRDefault="00842162">
      <w:pPr>
        <w:pStyle w:val="SCCLsocLastPartyInRole"/>
        <w:rPr>
          <w:lang w:val="en-US"/>
        </w:rPr>
      </w:pPr>
      <w:r w:rsidRPr="00D5739B">
        <w:rPr>
          <w:lang w:val="en-US"/>
        </w:rPr>
        <w:t>Workers</w:t>
      </w:r>
      <w:r w:rsidR="00582B6A" w:rsidRPr="00D5739B">
        <w:rPr>
          <w:lang w:val="en-US"/>
        </w:rPr>
        <w:t>’</w:t>
      </w:r>
      <w:r w:rsidRPr="00D5739B">
        <w:rPr>
          <w:lang w:val="en-US"/>
        </w:rPr>
        <w:t xml:space="preserve"> Compensation Board of British Columbia</w:t>
      </w:r>
      <w:r w:rsidR="00A570DF" w:rsidRPr="00D5739B">
        <w:rPr>
          <w:rStyle w:val="SCCLsocPartyRole"/>
          <w:lang w:val="en-US"/>
        </w:rPr>
        <w:tab/>
      </w:r>
      <w:proofErr w:type="spellStart"/>
      <w:r w:rsidR="00A570DF" w:rsidRPr="00D5739B">
        <w:rPr>
          <w:rStyle w:val="SCCLsocPartyRole"/>
          <w:lang w:val="en-US"/>
        </w:rPr>
        <w:t>Intimé</w:t>
      </w:r>
      <w:r w:rsidRPr="00D5739B">
        <w:rPr>
          <w:rStyle w:val="SCCLsocPartyRole"/>
          <w:lang w:val="en-US"/>
        </w:rPr>
        <w:t>s</w:t>
      </w:r>
      <w:proofErr w:type="spellEnd"/>
    </w:p>
    <w:p w:rsidR="00813119" w:rsidRPr="00D5739B" w:rsidRDefault="00842162">
      <w:pPr>
        <w:pStyle w:val="SCCLsocOtherPartySeparator"/>
        <w:rPr>
          <w:lang w:val="en-US"/>
        </w:rPr>
      </w:pPr>
      <w:proofErr w:type="gramStart"/>
      <w:r w:rsidRPr="00D5739B">
        <w:rPr>
          <w:lang w:val="en-US"/>
        </w:rPr>
        <w:t>et</w:t>
      </w:r>
      <w:proofErr w:type="gramEnd"/>
    </w:p>
    <w:p w:rsidR="00813119" w:rsidRPr="00D5739B" w:rsidRDefault="00842162">
      <w:pPr>
        <w:pStyle w:val="SCCLsocLastPartyInRole"/>
        <w:rPr>
          <w:lang w:val="en-US"/>
        </w:rPr>
      </w:pPr>
      <w:r w:rsidRPr="00D5739B">
        <w:rPr>
          <w:lang w:val="en-US"/>
        </w:rPr>
        <w:t>Workers</w:t>
      </w:r>
      <w:r w:rsidR="00582B6A" w:rsidRPr="00D5739B">
        <w:rPr>
          <w:lang w:val="en-US"/>
        </w:rPr>
        <w:t>’</w:t>
      </w:r>
      <w:r w:rsidRPr="00D5739B">
        <w:rPr>
          <w:lang w:val="en-US"/>
        </w:rPr>
        <w:t xml:space="preserve"> Compensation Board of Alberta</w:t>
      </w:r>
      <w:r w:rsidRPr="00D5739B">
        <w:rPr>
          <w:rStyle w:val="SCCLsocPartyRole"/>
          <w:lang w:val="en-US"/>
        </w:rPr>
        <w:tab/>
      </w:r>
      <w:proofErr w:type="spellStart"/>
      <w:r w:rsidRPr="00D5739B">
        <w:rPr>
          <w:rStyle w:val="SCCLsocPartyRole"/>
          <w:lang w:val="en-US"/>
        </w:rPr>
        <w:t>Intervenant</w:t>
      </w:r>
      <w:r w:rsidR="002A189A">
        <w:rPr>
          <w:rStyle w:val="SCCLsocPartyRole"/>
          <w:lang w:val="en-US"/>
        </w:rPr>
        <w:t>e</w:t>
      </w:r>
      <w:proofErr w:type="spellEnd"/>
    </w:p>
    <w:p w:rsidR="004D7D95" w:rsidRPr="00D5739B" w:rsidRDefault="00A570DF" w:rsidP="009144B3">
      <w:pPr>
        <w:spacing w:after="720"/>
        <w:jc w:val="both"/>
        <w:rPr>
          <w:b/>
          <w:lang w:val="fr-CA"/>
        </w:rPr>
      </w:pPr>
      <w:r w:rsidRPr="00D5739B">
        <w:rPr>
          <w:b/>
          <w:lang w:val="fr-CA"/>
        </w:rPr>
        <w:t>Répertorié</w:t>
      </w:r>
      <w:r w:rsidR="00582B6A" w:rsidRPr="00D5739B">
        <w:rPr>
          <w:b/>
          <w:lang w:val="fr-CA"/>
        </w:rPr>
        <w:t> :</w:t>
      </w:r>
      <w:r w:rsidRPr="00D5739B">
        <w:rPr>
          <w:b/>
          <w:lang w:val="fr-CA"/>
        </w:rPr>
        <w:t> </w:t>
      </w:r>
      <w:r w:rsidR="004D7D95" w:rsidRPr="00D5739B">
        <w:rPr>
          <w:rStyle w:val="SCCAppellantForIndexChar"/>
          <w:lang w:val="fr-CA"/>
        </w:rPr>
        <w:t>West Fraser Mills Ltd.</w:t>
      </w:r>
      <w:r w:rsidR="004D7D95" w:rsidRPr="00D5739B">
        <w:rPr>
          <w:b/>
          <w:lang w:val="fr-CA"/>
        </w:rPr>
        <w:t xml:space="preserve"> </w:t>
      </w:r>
      <w:r w:rsidR="004D7D95" w:rsidRPr="00D5739B">
        <w:rPr>
          <w:b/>
          <w:i/>
          <w:lang w:val="fr-CA"/>
        </w:rPr>
        <w:t>c.</w:t>
      </w:r>
      <w:r w:rsidR="004D7D95" w:rsidRPr="00D5739B">
        <w:rPr>
          <w:b/>
          <w:lang w:val="fr-CA"/>
        </w:rPr>
        <w:t xml:space="preserve"> </w:t>
      </w:r>
      <w:r w:rsidR="00876AC5" w:rsidRPr="00D5739B">
        <w:rPr>
          <w:b/>
          <w:lang w:val="fr-CA"/>
        </w:rPr>
        <w:t>Colombie</w:t>
      </w:r>
      <w:r w:rsidR="00582B6A" w:rsidRPr="00D5739B">
        <w:rPr>
          <w:b/>
          <w:lang w:val="fr-CA"/>
        </w:rPr>
        <w:noBreakHyphen/>
      </w:r>
      <w:r w:rsidR="00876AC5" w:rsidRPr="00D5739B">
        <w:rPr>
          <w:b/>
          <w:lang w:val="fr-CA"/>
        </w:rPr>
        <w:t>Britannique (</w:t>
      </w:r>
      <w:r w:rsidR="004D7D95" w:rsidRPr="00D5739B">
        <w:rPr>
          <w:rStyle w:val="SCCRespondentForIndexChar"/>
          <w:lang w:val="fr-CA"/>
        </w:rPr>
        <w:t>Workers</w:t>
      </w:r>
      <w:r w:rsidR="00582B6A" w:rsidRPr="00D5739B">
        <w:rPr>
          <w:rStyle w:val="SCCRespondentForIndexChar"/>
          <w:lang w:val="fr-CA"/>
        </w:rPr>
        <w:t>’</w:t>
      </w:r>
      <w:r w:rsidR="004D7D95" w:rsidRPr="00D5739B">
        <w:rPr>
          <w:rStyle w:val="SCCRespondentForIndexChar"/>
          <w:lang w:val="fr-CA"/>
        </w:rPr>
        <w:t xml:space="preserve"> Compensation App</w:t>
      </w:r>
      <w:r w:rsidRPr="00D5739B">
        <w:rPr>
          <w:rStyle w:val="SCCRespondentForIndexChar"/>
          <w:lang w:val="fr-CA"/>
        </w:rPr>
        <w:t>eal Tribunal</w:t>
      </w:r>
      <w:r w:rsidR="00876AC5" w:rsidRPr="00D5739B">
        <w:rPr>
          <w:rStyle w:val="SCCRespondentForIndexChar"/>
          <w:lang w:val="fr-CA"/>
        </w:rPr>
        <w:t>)</w:t>
      </w:r>
    </w:p>
    <w:p w:rsidR="004D7D95" w:rsidRPr="00D5739B" w:rsidRDefault="00D17B0E" w:rsidP="009144B3">
      <w:pPr>
        <w:pStyle w:val="SCCSystemYear"/>
        <w:spacing w:after="720"/>
        <w:jc w:val="both"/>
        <w:rPr>
          <w:lang w:val="fr-CA"/>
        </w:rPr>
      </w:pPr>
      <w:r w:rsidRPr="00D5739B">
        <w:rPr>
          <w:lang w:val="fr-CA"/>
        </w:rPr>
        <w:t>2018</w:t>
      </w:r>
      <w:r w:rsidR="004D7D95" w:rsidRPr="00D5739B">
        <w:rPr>
          <w:lang w:val="fr-CA"/>
        </w:rPr>
        <w:t xml:space="preserve"> CSC </w:t>
      </w:r>
      <w:r w:rsidR="00D76400">
        <w:rPr>
          <w:lang w:val="fr-CA"/>
        </w:rPr>
        <w:t>22</w:t>
      </w:r>
    </w:p>
    <w:p w:rsidR="004D7D95" w:rsidRPr="00D5739B" w:rsidRDefault="004D7D95" w:rsidP="009144B3">
      <w:pPr>
        <w:spacing w:after="720"/>
        <w:jc w:val="both"/>
        <w:rPr>
          <w:lang w:val="fr-CA"/>
        </w:rPr>
      </w:pPr>
      <w:r w:rsidRPr="00D5739B">
        <w:rPr>
          <w:lang w:val="fr-CA"/>
        </w:rPr>
        <w:t>N</w:t>
      </w:r>
      <w:r w:rsidRPr="00D5739B">
        <w:rPr>
          <w:vertAlign w:val="superscript"/>
          <w:lang w:val="fr-CA"/>
        </w:rPr>
        <w:t>o</w:t>
      </w:r>
      <w:r w:rsidRPr="00D5739B">
        <w:rPr>
          <w:lang w:val="fr-CA"/>
        </w:rPr>
        <w:t xml:space="preserve"> du greffe</w:t>
      </w:r>
      <w:r w:rsidR="00582B6A" w:rsidRPr="00D5739B">
        <w:rPr>
          <w:lang w:val="fr-CA"/>
        </w:rPr>
        <w:t> :</w:t>
      </w:r>
      <w:r w:rsidRPr="00D5739B">
        <w:rPr>
          <w:lang w:val="fr-CA"/>
        </w:rPr>
        <w:t> 37423.</w:t>
      </w:r>
    </w:p>
    <w:p w:rsidR="004D7D95" w:rsidRPr="00D5739B" w:rsidRDefault="00F94818" w:rsidP="009144B3">
      <w:pPr>
        <w:spacing w:after="720"/>
        <w:jc w:val="both"/>
        <w:rPr>
          <w:lang w:val="fr-CA"/>
        </w:rPr>
      </w:pPr>
      <w:r w:rsidRPr="00D5739B">
        <w:rPr>
          <w:lang w:val="fr-CA"/>
        </w:rPr>
        <w:t>2017</w:t>
      </w:r>
      <w:r w:rsidR="00582B6A" w:rsidRPr="00D5739B">
        <w:rPr>
          <w:lang w:val="fr-CA"/>
        </w:rPr>
        <w:t> :</w:t>
      </w:r>
      <w:r w:rsidRPr="00D5739B">
        <w:rPr>
          <w:lang w:val="fr-CA"/>
        </w:rPr>
        <w:t> 4 </w:t>
      </w:r>
      <w:r w:rsidR="00D17B0E" w:rsidRPr="00D5739B">
        <w:rPr>
          <w:lang w:val="fr-CA"/>
        </w:rPr>
        <w:t>décembre</w:t>
      </w:r>
      <w:r w:rsidR="004D7D95" w:rsidRPr="00D5739B">
        <w:rPr>
          <w:lang w:val="fr-CA"/>
        </w:rPr>
        <w:t xml:space="preserve">; </w:t>
      </w:r>
      <w:r w:rsidR="00582B6A" w:rsidRPr="00D5739B">
        <w:rPr>
          <w:lang w:val="fr-CA"/>
        </w:rPr>
        <w:t>2018 :</w:t>
      </w:r>
      <w:r w:rsidR="00E67ECD">
        <w:rPr>
          <w:lang w:val="fr-CA"/>
        </w:rPr>
        <w:t> </w:t>
      </w:r>
      <w:r w:rsidR="00582B6A" w:rsidRPr="00D5739B">
        <w:rPr>
          <w:lang w:val="fr-CA"/>
        </w:rPr>
        <w:t>18 </w:t>
      </w:r>
      <w:r w:rsidR="000E2ADE" w:rsidRPr="00D5739B">
        <w:rPr>
          <w:lang w:val="fr-CA"/>
        </w:rPr>
        <w:t>mai.</w:t>
      </w:r>
    </w:p>
    <w:p w:rsidR="004D7D95" w:rsidRPr="00D5739B" w:rsidRDefault="004D7D95" w:rsidP="009144B3">
      <w:pPr>
        <w:spacing w:after="720"/>
        <w:jc w:val="both"/>
        <w:rPr>
          <w:lang w:val="fr-CA"/>
        </w:rPr>
      </w:pPr>
      <w:r w:rsidRPr="00D5739B">
        <w:rPr>
          <w:lang w:val="fr-CA"/>
        </w:rPr>
        <w:lastRenderedPageBreak/>
        <w:t>Présents</w:t>
      </w:r>
      <w:r w:rsidR="00582B6A" w:rsidRPr="00D5739B">
        <w:rPr>
          <w:lang w:val="fr-CA"/>
        </w:rPr>
        <w:t> :</w:t>
      </w:r>
      <w:r w:rsidRPr="00D5739B">
        <w:rPr>
          <w:lang w:val="fr-CA"/>
        </w:rPr>
        <w:t> La juge en chef McLachlin et les juges Abella, Moldaver, Karakatsanis, Wagner, Gascon, Côté, Brown et Rowe.</w:t>
      </w:r>
    </w:p>
    <w:p w:rsidR="004D7D95" w:rsidRPr="00D5739B" w:rsidRDefault="004D7D95" w:rsidP="00F94818">
      <w:pPr>
        <w:spacing w:after="720"/>
        <w:jc w:val="both"/>
        <w:rPr>
          <w:smallCaps/>
          <w:lang w:val="fr-CA"/>
        </w:rPr>
      </w:pPr>
      <w:r w:rsidRPr="00D5739B">
        <w:rPr>
          <w:smallCaps/>
          <w:lang w:val="fr-CA"/>
        </w:rPr>
        <w:t>en appel de la cour d</w:t>
      </w:r>
      <w:r w:rsidR="00582B6A" w:rsidRPr="00D5739B">
        <w:rPr>
          <w:smallCaps/>
          <w:lang w:val="fr-CA"/>
        </w:rPr>
        <w:t>’</w:t>
      </w:r>
      <w:r w:rsidRPr="00D5739B">
        <w:rPr>
          <w:smallCaps/>
          <w:lang w:val="fr-CA"/>
        </w:rPr>
        <w:t xml:space="preserve">appel de la </w:t>
      </w:r>
      <w:proofErr w:type="spellStart"/>
      <w:r w:rsidRPr="00D5739B">
        <w:rPr>
          <w:smallCaps/>
          <w:lang w:val="fr-CA"/>
        </w:rPr>
        <w:t>colombie</w:t>
      </w:r>
      <w:r w:rsidR="00582B6A" w:rsidRPr="00D5739B">
        <w:rPr>
          <w:smallCaps/>
          <w:lang w:val="fr-CA"/>
        </w:rPr>
        <w:noBreakHyphen/>
      </w:r>
      <w:r w:rsidRPr="00D5739B">
        <w:rPr>
          <w:smallCaps/>
          <w:lang w:val="fr-CA"/>
        </w:rPr>
        <w:t>britannique</w:t>
      </w:r>
      <w:proofErr w:type="spellEnd"/>
      <w:r w:rsidRPr="00D5739B">
        <w:rPr>
          <w:smallCaps/>
          <w:lang w:val="fr-CA"/>
        </w:rPr>
        <w:t xml:space="preserve"> </w:t>
      </w:r>
    </w:p>
    <w:p w:rsidR="004D7D95" w:rsidRPr="00D5739B" w:rsidRDefault="004D7D95" w:rsidP="00F94818">
      <w:pPr>
        <w:pStyle w:val="SCCNormalDoubleSpacing"/>
        <w:spacing w:before="480" w:after="480"/>
        <w:rPr>
          <w:i/>
          <w:lang w:val="fr-CA"/>
        </w:rPr>
      </w:pPr>
      <w:r w:rsidRPr="00D5739B">
        <w:rPr>
          <w:lang w:val="fr-CA"/>
        </w:rPr>
        <w:tab/>
      </w:r>
      <w:r w:rsidR="00CF2104" w:rsidRPr="00D5739B">
        <w:rPr>
          <w:i/>
          <w:lang w:val="fr-CA"/>
        </w:rPr>
        <w:t xml:space="preserve">Droit administratif — Organismes et tribunaux administratifs — Compétence — </w:t>
      </w:r>
      <w:r w:rsidR="006A26F0" w:rsidRPr="00D5739B">
        <w:rPr>
          <w:i/>
          <w:lang w:val="fr-CA"/>
        </w:rPr>
        <w:t>Workers</w:t>
      </w:r>
      <w:r w:rsidR="00582B6A" w:rsidRPr="00D5739B">
        <w:rPr>
          <w:i/>
          <w:lang w:val="fr-CA"/>
        </w:rPr>
        <w:t>’</w:t>
      </w:r>
      <w:r w:rsidR="006A26F0" w:rsidRPr="00D5739B">
        <w:rPr>
          <w:i/>
          <w:lang w:val="fr-CA"/>
        </w:rPr>
        <w:t xml:space="preserve"> Compensation Board</w:t>
      </w:r>
      <w:r w:rsidR="00CF2104" w:rsidRPr="00D5739B">
        <w:rPr>
          <w:i/>
          <w:lang w:val="fr-CA"/>
        </w:rPr>
        <w:t xml:space="preserve"> de la Colombie</w:t>
      </w:r>
      <w:r w:rsidR="00582B6A" w:rsidRPr="00D5739B">
        <w:rPr>
          <w:i/>
          <w:lang w:val="fr-CA"/>
        </w:rPr>
        <w:noBreakHyphen/>
      </w:r>
      <w:r w:rsidR="00CF2104" w:rsidRPr="00D5739B">
        <w:rPr>
          <w:i/>
          <w:lang w:val="fr-CA"/>
        </w:rPr>
        <w:t xml:space="preserve">Britannique — Adoption par </w:t>
      </w:r>
      <w:r w:rsidR="00ED5E79">
        <w:rPr>
          <w:i/>
          <w:lang w:val="fr-CA"/>
        </w:rPr>
        <w:t>c</w:t>
      </w:r>
      <w:r w:rsidR="00BB5AB4" w:rsidRPr="00D5739B">
        <w:rPr>
          <w:i/>
          <w:lang w:val="fr-CA"/>
        </w:rPr>
        <w:t>et</w:t>
      </w:r>
      <w:r w:rsidR="00ED5E79">
        <w:rPr>
          <w:i/>
          <w:lang w:val="fr-CA"/>
        </w:rPr>
        <w:t>te</w:t>
      </w:r>
      <w:r w:rsidR="00BB5AB4" w:rsidRPr="00D5739B">
        <w:rPr>
          <w:i/>
          <w:lang w:val="fr-CA"/>
        </w:rPr>
        <w:t xml:space="preserve"> </w:t>
      </w:r>
      <w:r w:rsidR="00ED5E79">
        <w:rPr>
          <w:i/>
          <w:lang w:val="fr-CA"/>
        </w:rPr>
        <w:t xml:space="preserve">Commission </w:t>
      </w:r>
      <w:r w:rsidR="00CF2104" w:rsidRPr="00D5739B">
        <w:rPr>
          <w:i/>
          <w:lang w:val="fr-CA"/>
        </w:rPr>
        <w:t>d</w:t>
      </w:r>
      <w:r w:rsidR="00582B6A" w:rsidRPr="00D5739B">
        <w:rPr>
          <w:i/>
          <w:lang w:val="fr-CA"/>
        </w:rPr>
        <w:t>’</w:t>
      </w:r>
      <w:r w:rsidR="00CF2104" w:rsidRPr="00D5739B">
        <w:rPr>
          <w:i/>
          <w:lang w:val="fr-CA"/>
        </w:rPr>
        <w:t>un règlement obligeant les propriétaires d</w:t>
      </w:r>
      <w:r w:rsidR="00582B6A" w:rsidRPr="00D5739B">
        <w:rPr>
          <w:i/>
          <w:lang w:val="fr-CA"/>
        </w:rPr>
        <w:t>’</w:t>
      </w:r>
      <w:r w:rsidR="00CF2104" w:rsidRPr="00D5739B">
        <w:rPr>
          <w:i/>
          <w:lang w:val="fr-CA"/>
        </w:rPr>
        <w:t>entreprises d</w:t>
      </w:r>
      <w:r w:rsidR="00582B6A" w:rsidRPr="00D5739B">
        <w:rPr>
          <w:i/>
          <w:lang w:val="fr-CA"/>
        </w:rPr>
        <w:t>’</w:t>
      </w:r>
      <w:r w:rsidR="00CF2104" w:rsidRPr="00D5739B">
        <w:rPr>
          <w:i/>
          <w:lang w:val="fr-CA"/>
        </w:rPr>
        <w:t xml:space="preserve">exploitation forestière à faire en sorte que leurs activités soient planifiées et exercées conformément aux pratiques de travail sécuritaires — Le règlement </w:t>
      </w:r>
      <w:r w:rsidR="005340D8" w:rsidRPr="00D5739B">
        <w:rPr>
          <w:i/>
          <w:lang w:val="fr-CA"/>
        </w:rPr>
        <w:t>étai</w:t>
      </w:r>
      <w:r w:rsidR="00CF2104" w:rsidRPr="00D5739B">
        <w:rPr>
          <w:i/>
          <w:lang w:val="fr-CA"/>
        </w:rPr>
        <w:t>t</w:t>
      </w:r>
      <w:r w:rsidR="00582B6A" w:rsidRPr="00D5739B">
        <w:rPr>
          <w:i/>
          <w:lang w:val="fr-CA"/>
        </w:rPr>
        <w:noBreakHyphen/>
      </w:r>
      <w:r w:rsidR="00CF2104" w:rsidRPr="00D5739B">
        <w:rPr>
          <w:i/>
          <w:lang w:val="fr-CA"/>
        </w:rPr>
        <w:t>il ultra vires? — Norme de contrôle applicable à l</w:t>
      </w:r>
      <w:r w:rsidR="00582B6A" w:rsidRPr="00D5739B">
        <w:rPr>
          <w:i/>
          <w:lang w:val="fr-CA"/>
        </w:rPr>
        <w:t>’</w:t>
      </w:r>
      <w:r w:rsidR="00CF2104" w:rsidRPr="00D5739B">
        <w:rPr>
          <w:i/>
          <w:lang w:val="fr-CA"/>
        </w:rPr>
        <w:t xml:space="preserve">exercice </w:t>
      </w:r>
      <w:r w:rsidR="00661C94">
        <w:rPr>
          <w:i/>
          <w:lang w:val="fr-CA"/>
        </w:rPr>
        <w:t>du pouvoir de ré</w:t>
      </w:r>
      <w:r w:rsidR="00693826" w:rsidRPr="00D5739B">
        <w:rPr>
          <w:i/>
          <w:lang w:val="fr-CA"/>
        </w:rPr>
        <w:t xml:space="preserve">glementation délégué à </w:t>
      </w:r>
      <w:r w:rsidR="00F1391F">
        <w:rPr>
          <w:i/>
          <w:lang w:val="fr-CA"/>
        </w:rPr>
        <w:t>la Commission</w:t>
      </w:r>
      <w:r w:rsidR="00693826" w:rsidRPr="00D5739B">
        <w:rPr>
          <w:i/>
          <w:lang w:val="fr-CA"/>
        </w:rPr>
        <w:t xml:space="preserve"> — Workers Compensation Act, R.S.B.C. 1992, c. 492, </w:t>
      </w:r>
      <w:r w:rsidR="00582B6A" w:rsidRPr="00D5739B">
        <w:rPr>
          <w:i/>
          <w:lang w:val="fr-CA"/>
        </w:rPr>
        <w:t>art. </w:t>
      </w:r>
      <w:r w:rsidR="00693826" w:rsidRPr="00D5739B">
        <w:rPr>
          <w:i/>
          <w:lang w:val="fr-CA"/>
        </w:rPr>
        <w:t xml:space="preserve">225 — </w:t>
      </w:r>
      <w:proofErr w:type="spellStart"/>
      <w:r w:rsidR="00693826" w:rsidRPr="00D5739B">
        <w:rPr>
          <w:i/>
          <w:lang w:val="fr-CA"/>
        </w:rPr>
        <w:t>Occupational</w:t>
      </w:r>
      <w:proofErr w:type="spellEnd"/>
      <w:r w:rsidR="00693826" w:rsidRPr="00D5739B">
        <w:rPr>
          <w:i/>
          <w:lang w:val="fr-CA"/>
        </w:rPr>
        <w:t xml:space="preserve"> Health and </w:t>
      </w:r>
      <w:proofErr w:type="spellStart"/>
      <w:r w:rsidR="00693826" w:rsidRPr="00D5739B">
        <w:rPr>
          <w:i/>
          <w:lang w:val="fr-CA"/>
        </w:rPr>
        <w:t>Safety</w:t>
      </w:r>
      <w:proofErr w:type="spellEnd"/>
      <w:r w:rsidR="00693826" w:rsidRPr="00D5739B">
        <w:rPr>
          <w:i/>
          <w:lang w:val="fr-CA"/>
        </w:rPr>
        <w:t xml:space="preserve"> </w:t>
      </w:r>
      <w:proofErr w:type="spellStart"/>
      <w:r w:rsidR="00693826" w:rsidRPr="00D5739B">
        <w:rPr>
          <w:i/>
          <w:lang w:val="fr-CA"/>
        </w:rPr>
        <w:t>Regulation</w:t>
      </w:r>
      <w:proofErr w:type="spellEnd"/>
      <w:r w:rsidR="00693826" w:rsidRPr="00D5739B">
        <w:rPr>
          <w:i/>
          <w:lang w:val="fr-CA"/>
        </w:rPr>
        <w:t xml:space="preserve">, B.C. Reg. 296/97, </w:t>
      </w:r>
      <w:r w:rsidR="00582B6A" w:rsidRPr="00D5739B">
        <w:rPr>
          <w:i/>
          <w:lang w:val="fr-CA"/>
        </w:rPr>
        <w:t>art. </w:t>
      </w:r>
      <w:r w:rsidR="00693826" w:rsidRPr="00D5739B">
        <w:rPr>
          <w:i/>
          <w:lang w:val="fr-CA"/>
        </w:rPr>
        <w:t>26.2(1).</w:t>
      </w:r>
    </w:p>
    <w:p w:rsidR="004D7D95" w:rsidRPr="00D5739B" w:rsidRDefault="004D7D95" w:rsidP="00F94818">
      <w:pPr>
        <w:pStyle w:val="SCCNormalDoubleSpacing"/>
        <w:spacing w:before="480" w:after="480"/>
        <w:rPr>
          <w:i/>
          <w:lang w:val="fr-CA"/>
        </w:rPr>
      </w:pPr>
      <w:r w:rsidRPr="00D5739B">
        <w:rPr>
          <w:lang w:val="fr-CA"/>
        </w:rPr>
        <w:tab/>
      </w:r>
      <w:r w:rsidR="00F1391F" w:rsidRPr="00F1391F">
        <w:rPr>
          <w:i/>
          <w:lang w:val="fr-CA"/>
        </w:rPr>
        <w:t>A</w:t>
      </w:r>
      <w:r w:rsidR="00693826" w:rsidRPr="00D5739B">
        <w:rPr>
          <w:i/>
          <w:lang w:val="fr-CA"/>
        </w:rPr>
        <w:t>ccidents du travail — Exploitation forestière — Infractions et exécution — Sanction administrative —</w:t>
      </w:r>
      <w:r w:rsidR="00CC5300">
        <w:rPr>
          <w:i/>
          <w:lang w:val="fr-CA"/>
        </w:rPr>
        <w:t xml:space="preserve"> Interprétation — Propriétaire </w:t>
      </w:r>
      <w:r w:rsidR="00693826" w:rsidRPr="00D5739B">
        <w:rPr>
          <w:i/>
          <w:lang w:val="fr-CA"/>
        </w:rPr>
        <w:t>— Employeur —</w:t>
      </w:r>
      <w:r w:rsidR="004C3072" w:rsidRPr="00D5739B">
        <w:rPr>
          <w:i/>
          <w:lang w:val="fr-CA"/>
        </w:rPr>
        <w:t xml:space="preserve"> </w:t>
      </w:r>
      <w:r w:rsidR="00693826" w:rsidRPr="00D5739B">
        <w:rPr>
          <w:i/>
          <w:lang w:val="fr-CA"/>
        </w:rPr>
        <w:t xml:space="preserve">Abatteur frappé mortellement par un arbre en décomposition </w:t>
      </w:r>
      <w:r w:rsidR="004C3072" w:rsidRPr="00D5739B">
        <w:rPr>
          <w:i/>
          <w:lang w:val="fr-CA"/>
        </w:rPr>
        <w:t>pendant qu</w:t>
      </w:r>
      <w:r w:rsidR="00582B6A" w:rsidRPr="00D5739B">
        <w:rPr>
          <w:i/>
          <w:lang w:val="fr-CA"/>
        </w:rPr>
        <w:t>’</w:t>
      </w:r>
      <w:r w:rsidR="004C3072" w:rsidRPr="00D5739B">
        <w:rPr>
          <w:i/>
          <w:lang w:val="fr-CA"/>
        </w:rPr>
        <w:t xml:space="preserve">il travaillait dans une </w:t>
      </w:r>
      <w:r w:rsidR="00693826" w:rsidRPr="00D5739B">
        <w:rPr>
          <w:i/>
          <w:lang w:val="fr-CA"/>
        </w:rPr>
        <w:t xml:space="preserve">exploitation forestière — </w:t>
      </w:r>
      <w:r w:rsidR="00071722" w:rsidRPr="00D5739B">
        <w:rPr>
          <w:i/>
          <w:lang w:val="fr-CA"/>
        </w:rPr>
        <w:t xml:space="preserve">Embauche </w:t>
      </w:r>
      <w:r w:rsidR="005340D8" w:rsidRPr="00D5739B">
        <w:rPr>
          <w:i/>
          <w:lang w:val="fr-CA"/>
        </w:rPr>
        <w:t>d</w:t>
      </w:r>
      <w:r w:rsidR="00582B6A" w:rsidRPr="00D5739B">
        <w:rPr>
          <w:i/>
          <w:lang w:val="fr-CA"/>
        </w:rPr>
        <w:t>’</w:t>
      </w:r>
      <w:r w:rsidR="005340D8" w:rsidRPr="00D5739B">
        <w:rPr>
          <w:i/>
          <w:lang w:val="fr-CA"/>
        </w:rPr>
        <w:t xml:space="preserve">un surveillant </w:t>
      </w:r>
      <w:r w:rsidR="004C3072" w:rsidRPr="00D5739B">
        <w:rPr>
          <w:i/>
          <w:lang w:val="fr-CA"/>
        </w:rPr>
        <w:t xml:space="preserve">des lieux </w:t>
      </w:r>
      <w:r w:rsidR="00071722" w:rsidRPr="00D5739B">
        <w:rPr>
          <w:i/>
          <w:lang w:val="fr-CA"/>
        </w:rPr>
        <w:t>par le propriétaire d</w:t>
      </w:r>
      <w:r w:rsidR="004C3072" w:rsidRPr="00D5739B">
        <w:rPr>
          <w:i/>
          <w:lang w:val="fr-CA"/>
        </w:rPr>
        <w:t>e l</w:t>
      </w:r>
      <w:r w:rsidR="00582B6A" w:rsidRPr="00D5739B">
        <w:rPr>
          <w:i/>
          <w:lang w:val="fr-CA"/>
        </w:rPr>
        <w:t>’</w:t>
      </w:r>
      <w:r w:rsidR="00071722" w:rsidRPr="00D5739B">
        <w:rPr>
          <w:i/>
          <w:lang w:val="fr-CA"/>
        </w:rPr>
        <w:t>entreprise d</w:t>
      </w:r>
      <w:r w:rsidR="00582B6A" w:rsidRPr="00D5739B">
        <w:rPr>
          <w:i/>
          <w:lang w:val="fr-CA"/>
        </w:rPr>
        <w:t>’</w:t>
      </w:r>
      <w:r w:rsidR="00071722" w:rsidRPr="00D5739B">
        <w:rPr>
          <w:i/>
          <w:lang w:val="fr-CA"/>
        </w:rPr>
        <w:t>exploitation forestière — Embauche de l</w:t>
      </w:r>
      <w:r w:rsidR="00582B6A" w:rsidRPr="00D5739B">
        <w:rPr>
          <w:i/>
          <w:lang w:val="fr-CA"/>
        </w:rPr>
        <w:t>’</w:t>
      </w:r>
      <w:r w:rsidR="00071722" w:rsidRPr="00D5739B">
        <w:rPr>
          <w:i/>
          <w:lang w:val="fr-CA"/>
        </w:rPr>
        <w:t xml:space="preserve">abatteur par un entrepreneur indépendant — Conclusion de </w:t>
      </w:r>
      <w:r w:rsidR="007B6CC9">
        <w:rPr>
          <w:i/>
          <w:lang w:val="fr-CA"/>
        </w:rPr>
        <w:t xml:space="preserve">la </w:t>
      </w:r>
      <w:r w:rsidR="00BB5AB4" w:rsidRPr="00D5739B">
        <w:rPr>
          <w:i/>
          <w:lang w:val="fr-CA"/>
        </w:rPr>
        <w:t>Workers</w:t>
      </w:r>
      <w:r w:rsidR="00582B6A" w:rsidRPr="00D5739B">
        <w:rPr>
          <w:i/>
          <w:lang w:val="fr-CA"/>
        </w:rPr>
        <w:t>’</w:t>
      </w:r>
      <w:r w:rsidR="00BB5AB4" w:rsidRPr="00D5739B">
        <w:rPr>
          <w:i/>
          <w:lang w:val="fr-CA"/>
        </w:rPr>
        <w:t xml:space="preserve"> Compensation Board</w:t>
      </w:r>
      <w:r w:rsidR="00936DCF" w:rsidRPr="00D5739B">
        <w:rPr>
          <w:i/>
          <w:lang w:val="fr-CA"/>
        </w:rPr>
        <w:t xml:space="preserve"> selon laquelle le propriétaire avait omis de faire en sorte que toutes les activités d</w:t>
      </w:r>
      <w:r w:rsidR="00582B6A" w:rsidRPr="00D5739B">
        <w:rPr>
          <w:i/>
          <w:lang w:val="fr-CA"/>
        </w:rPr>
        <w:t>’</w:t>
      </w:r>
      <w:r w:rsidR="00936DCF" w:rsidRPr="00D5739B">
        <w:rPr>
          <w:i/>
          <w:lang w:val="fr-CA"/>
        </w:rPr>
        <w:t xml:space="preserve">exploitation forestière soient planifiées et exercées conformément au </w:t>
      </w:r>
      <w:proofErr w:type="spellStart"/>
      <w:r w:rsidR="00BB5AB4" w:rsidRPr="00D5739B">
        <w:rPr>
          <w:i/>
          <w:lang w:val="fr-CA"/>
        </w:rPr>
        <w:t>Occupational</w:t>
      </w:r>
      <w:proofErr w:type="spellEnd"/>
      <w:r w:rsidR="00BB5AB4" w:rsidRPr="00D5739B">
        <w:rPr>
          <w:i/>
          <w:lang w:val="fr-CA"/>
        </w:rPr>
        <w:t xml:space="preserve"> Health and </w:t>
      </w:r>
      <w:proofErr w:type="spellStart"/>
      <w:r w:rsidR="00BB5AB4" w:rsidRPr="00D5739B">
        <w:rPr>
          <w:i/>
          <w:lang w:val="fr-CA"/>
        </w:rPr>
        <w:t>Safety</w:t>
      </w:r>
      <w:proofErr w:type="spellEnd"/>
      <w:r w:rsidR="00BB5AB4" w:rsidRPr="00D5739B">
        <w:rPr>
          <w:i/>
          <w:lang w:val="fr-CA"/>
        </w:rPr>
        <w:t xml:space="preserve"> </w:t>
      </w:r>
      <w:proofErr w:type="spellStart"/>
      <w:r w:rsidR="00BB5AB4" w:rsidRPr="00D5739B">
        <w:rPr>
          <w:i/>
          <w:lang w:val="fr-CA"/>
        </w:rPr>
        <w:t>Regulation</w:t>
      </w:r>
      <w:proofErr w:type="spellEnd"/>
      <w:r w:rsidR="00936DCF" w:rsidRPr="00D5739B">
        <w:rPr>
          <w:i/>
          <w:lang w:val="fr-CA"/>
        </w:rPr>
        <w:t xml:space="preserve"> — </w:t>
      </w:r>
      <w:r w:rsidR="00BB5AB4" w:rsidRPr="00D5739B">
        <w:rPr>
          <w:i/>
          <w:lang w:val="fr-CA"/>
        </w:rPr>
        <w:t>Organisme</w:t>
      </w:r>
      <w:r w:rsidR="00936DCF" w:rsidRPr="00D5739B">
        <w:rPr>
          <w:i/>
          <w:lang w:val="fr-CA"/>
        </w:rPr>
        <w:t xml:space="preserve"> autorisé par la</w:t>
      </w:r>
      <w:r w:rsidR="00BB5AB4" w:rsidRPr="00D5739B">
        <w:rPr>
          <w:i/>
          <w:lang w:val="fr-CA"/>
        </w:rPr>
        <w:t xml:space="preserve"> </w:t>
      </w:r>
      <w:r w:rsidR="00936DCF" w:rsidRPr="00D5739B">
        <w:rPr>
          <w:i/>
          <w:lang w:val="fr-CA"/>
        </w:rPr>
        <w:t xml:space="preserve">Workers Compensation Act à </w:t>
      </w:r>
      <w:r w:rsidR="004C3072" w:rsidRPr="00D5739B">
        <w:rPr>
          <w:i/>
          <w:lang w:val="fr-CA"/>
        </w:rPr>
        <w:lastRenderedPageBreak/>
        <w:t>sanctionner</w:t>
      </w:r>
      <w:r w:rsidR="00936DCF" w:rsidRPr="00D5739B">
        <w:rPr>
          <w:i/>
          <w:lang w:val="fr-CA"/>
        </w:rPr>
        <w:t xml:space="preserve"> « un employeur » — Infliction </w:t>
      </w:r>
      <w:r w:rsidR="005340D8" w:rsidRPr="00D5739B">
        <w:rPr>
          <w:i/>
          <w:lang w:val="fr-CA"/>
        </w:rPr>
        <w:t>par l</w:t>
      </w:r>
      <w:r w:rsidR="00582B6A" w:rsidRPr="00D5739B">
        <w:rPr>
          <w:i/>
          <w:lang w:val="fr-CA"/>
        </w:rPr>
        <w:t>’</w:t>
      </w:r>
      <w:r w:rsidR="005340D8" w:rsidRPr="00D5739B">
        <w:rPr>
          <w:i/>
          <w:lang w:val="fr-CA"/>
        </w:rPr>
        <w:t xml:space="preserve">organisme </w:t>
      </w:r>
      <w:r w:rsidR="00936DCF" w:rsidRPr="00D5739B">
        <w:rPr>
          <w:i/>
          <w:lang w:val="fr-CA"/>
        </w:rPr>
        <w:t>d</w:t>
      </w:r>
      <w:r w:rsidR="00582B6A" w:rsidRPr="00D5739B">
        <w:rPr>
          <w:i/>
          <w:lang w:val="fr-CA"/>
        </w:rPr>
        <w:t>’</w:t>
      </w:r>
      <w:r w:rsidR="00936DCF" w:rsidRPr="00D5739B">
        <w:rPr>
          <w:i/>
          <w:lang w:val="fr-CA"/>
        </w:rPr>
        <w:t>une sanction administrative au propriétaire — Confirmation de la décision par le</w:t>
      </w:r>
      <w:r w:rsidR="00BB5AB4" w:rsidRPr="00D5739B">
        <w:rPr>
          <w:i/>
          <w:lang w:val="fr-CA"/>
        </w:rPr>
        <w:t xml:space="preserve"> </w:t>
      </w:r>
      <w:r w:rsidR="00936DCF" w:rsidRPr="00D5739B">
        <w:rPr>
          <w:i/>
          <w:lang w:val="fr-CA"/>
        </w:rPr>
        <w:t>Workers</w:t>
      </w:r>
      <w:r w:rsidR="00582B6A" w:rsidRPr="00D5739B">
        <w:rPr>
          <w:i/>
          <w:lang w:val="fr-CA"/>
        </w:rPr>
        <w:t>’</w:t>
      </w:r>
      <w:r w:rsidR="00936DCF" w:rsidRPr="00D5739B">
        <w:rPr>
          <w:i/>
          <w:lang w:val="fr-CA"/>
        </w:rPr>
        <w:t xml:space="preserve"> </w:t>
      </w:r>
      <w:r w:rsidR="00582B6A" w:rsidRPr="00D5739B">
        <w:rPr>
          <w:i/>
          <w:lang w:val="fr-CA"/>
        </w:rPr>
        <w:t xml:space="preserve">Compensation Appeal Tribunal — </w:t>
      </w:r>
      <w:r w:rsidR="00636CA2" w:rsidRPr="00D5739B">
        <w:rPr>
          <w:i/>
          <w:lang w:val="fr-CA"/>
        </w:rPr>
        <w:t>L</w:t>
      </w:r>
      <w:r w:rsidR="00582B6A" w:rsidRPr="00D5739B">
        <w:rPr>
          <w:i/>
          <w:lang w:val="fr-CA"/>
        </w:rPr>
        <w:t>’</w:t>
      </w:r>
      <w:r w:rsidR="00636CA2" w:rsidRPr="00D5739B">
        <w:rPr>
          <w:i/>
          <w:lang w:val="fr-CA"/>
        </w:rPr>
        <w:t>interprétation de c</w:t>
      </w:r>
      <w:r w:rsidR="00936DCF" w:rsidRPr="00D5739B">
        <w:rPr>
          <w:i/>
          <w:lang w:val="fr-CA"/>
        </w:rPr>
        <w:t xml:space="preserve">e </w:t>
      </w:r>
      <w:r w:rsidR="007B6CC9">
        <w:rPr>
          <w:i/>
          <w:lang w:val="fr-CA"/>
        </w:rPr>
        <w:t>T</w:t>
      </w:r>
      <w:r w:rsidR="00936DCF" w:rsidRPr="00D5739B">
        <w:rPr>
          <w:i/>
          <w:lang w:val="fr-CA"/>
        </w:rPr>
        <w:t xml:space="preserve">ribunal </w:t>
      </w:r>
      <w:r w:rsidR="00636CA2" w:rsidRPr="00D5739B">
        <w:rPr>
          <w:i/>
          <w:lang w:val="fr-CA"/>
        </w:rPr>
        <w:t xml:space="preserve">selon laquelle </w:t>
      </w:r>
      <w:r w:rsidR="00936DCF" w:rsidRPr="00D5739B">
        <w:rPr>
          <w:i/>
          <w:lang w:val="fr-CA"/>
        </w:rPr>
        <w:t xml:space="preserve">la disposition relative aux </w:t>
      </w:r>
      <w:r w:rsidR="005340D8" w:rsidRPr="00D5739B">
        <w:rPr>
          <w:i/>
          <w:lang w:val="fr-CA"/>
        </w:rPr>
        <w:t>sanction</w:t>
      </w:r>
      <w:r w:rsidR="00936DCF" w:rsidRPr="00D5739B">
        <w:rPr>
          <w:i/>
          <w:lang w:val="fr-CA"/>
        </w:rPr>
        <w:t xml:space="preserve">s </w:t>
      </w:r>
      <w:r w:rsidR="005340D8" w:rsidRPr="00D5739B">
        <w:rPr>
          <w:i/>
          <w:lang w:val="fr-CA"/>
        </w:rPr>
        <w:t>administrativ</w:t>
      </w:r>
      <w:r w:rsidR="00936DCF" w:rsidRPr="00D5739B">
        <w:rPr>
          <w:i/>
          <w:lang w:val="fr-CA"/>
        </w:rPr>
        <w:t xml:space="preserve">es </w:t>
      </w:r>
      <w:r w:rsidR="00636CA2" w:rsidRPr="00D5739B">
        <w:rPr>
          <w:i/>
          <w:lang w:val="fr-CA"/>
        </w:rPr>
        <w:t>permettai</w:t>
      </w:r>
      <w:r w:rsidR="000B29B1" w:rsidRPr="00D5739B">
        <w:rPr>
          <w:i/>
          <w:lang w:val="fr-CA"/>
        </w:rPr>
        <w:t xml:space="preserve">t </w:t>
      </w:r>
      <w:r w:rsidR="00636CA2" w:rsidRPr="00D5739B">
        <w:rPr>
          <w:i/>
          <w:lang w:val="fr-CA"/>
        </w:rPr>
        <w:t>d</w:t>
      </w:r>
      <w:r w:rsidR="00582B6A" w:rsidRPr="00D5739B">
        <w:rPr>
          <w:i/>
          <w:lang w:val="fr-CA"/>
        </w:rPr>
        <w:t>’</w:t>
      </w:r>
      <w:r w:rsidR="00636CA2" w:rsidRPr="00D5739B">
        <w:rPr>
          <w:i/>
          <w:lang w:val="fr-CA"/>
        </w:rPr>
        <w:t xml:space="preserve">infliger </w:t>
      </w:r>
      <w:r w:rsidR="000B29B1" w:rsidRPr="00D5739B">
        <w:rPr>
          <w:i/>
          <w:lang w:val="fr-CA"/>
        </w:rPr>
        <w:t xml:space="preserve">une </w:t>
      </w:r>
      <w:r w:rsidR="005340D8" w:rsidRPr="00D5739B">
        <w:rPr>
          <w:i/>
          <w:lang w:val="fr-CA"/>
        </w:rPr>
        <w:t>sanction</w:t>
      </w:r>
      <w:r w:rsidR="000B29B1" w:rsidRPr="00D5739B">
        <w:rPr>
          <w:i/>
          <w:lang w:val="fr-CA"/>
        </w:rPr>
        <w:t xml:space="preserve"> </w:t>
      </w:r>
      <w:r w:rsidR="005340D8" w:rsidRPr="00D5739B">
        <w:rPr>
          <w:i/>
          <w:lang w:val="fr-CA"/>
        </w:rPr>
        <w:t>à un</w:t>
      </w:r>
      <w:r w:rsidR="000B29B1" w:rsidRPr="00D5739B">
        <w:rPr>
          <w:i/>
          <w:lang w:val="fr-CA"/>
        </w:rPr>
        <w:t xml:space="preserve"> « propriétaire »</w:t>
      </w:r>
      <w:r w:rsidR="00636CA2" w:rsidRPr="00D5739B">
        <w:rPr>
          <w:i/>
          <w:lang w:val="fr-CA"/>
        </w:rPr>
        <w:t xml:space="preserve"> était</w:t>
      </w:r>
      <w:r w:rsidR="00582B6A" w:rsidRPr="00D5739B">
        <w:rPr>
          <w:i/>
          <w:lang w:val="fr-CA"/>
        </w:rPr>
        <w:noBreakHyphen/>
      </w:r>
      <w:r w:rsidR="00636CA2" w:rsidRPr="00D5739B">
        <w:rPr>
          <w:i/>
          <w:lang w:val="fr-CA"/>
        </w:rPr>
        <w:t>elle manifestement déraisonnable</w:t>
      </w:r>
      <w:r w:rsidR="000B29B1" w:rsidRPr="00D5739B">
        <w:rPr>
          <w:i/>
          <w:lang w:val="fr-CA"/>
        </w:rPr>
        <w:t xml:space="preserve">? — Workers Compensation Act, R.S.B.C. 1992, c. 492, </w:t>
      </w:r>
      <w:r w:rsidR="00582B6A" w:rsidRPr="00D5739B">
        <w:rPr>
          <w:i/>
          <w:lang w:val="fr-CA"/>
        </w:rPr>
        <w:t>art. </w:t>
      </w:r>
      <w:r w:rsidR="008A796B">
        <w:rPr>
          <w:i/>
          <w:lang w:val="fr-CA"/>
        </w:rPr>
        <w:t>196(1)</w:t>
      </w:r>
      <w:r w:rsidR="000B29B1" w:rsidRPr="00D5739B">
        <w:rPr>
          <w:i/>
          <w:lang w:val="fr-CA"/>
        </w:rPr>
        <w:t xml:space="preserve"> — </w:t>
      </w:r>
      <w:proofErr w:type="spellStart"/>
      <w:r w:rsidR="000B29B1" w:rsidRPr="00D5739B">
        <w:rPr>
          <w:i/>
          <w:lang w:val="fr-CA"/>
        </w:rPr>
        <w:t>Occupational</w:t>
      </w:r>
      <w:proofErr w:type="spellEnd"/>
      <w:r w:rsidR="000B29B1" w:rsidRPr="00D5739B">
        <w:rPr>
          <w:i/>
          <w:lang w:val="fr-CA"/>
        </w:rPr>
        <w:t xml:space="preserve"> Health and </w:t>
      </w:r>
      <w:proofErr w:type="spellStart"/>
      <w:r w:rsidR="000B29B1" w:rsidRPr="00D5739B">
        <w:rPr>
          <w:i/>
          <w:lang w:val="fr-CA"/>
        </w:rPr>
        <w:t>Safety</w:t>
      </w:r>
      <w:proofErr w:type="spellEnd"/>
      <w:r w:rsidR="000B29B1" w:rsidRPr="00D5739B">
        <w:rPr>
          <w:i/>
          <w:lang w:val="fr-CA"/>
        </w:rPr>
        <w:t xml:space="preserve"> </w:t>
      </w:r>
      <w:proofErr w:type="spellStart"/>
      <w:r w:rsidR="000B29B1" w:rsidRPr="00D5739B">
        <w:rPr>
          <w:i/>
          <w:lang w:val="fr-CA"/>
        </w:rPr>
        <w:t>Regulation</w:t>
      </w:r>
      <w:proofErr w:type="spellEnd"/>
      <w:r w:rsidR="000B29B1" w:rsidRPr="00D5739B">
        <w:rPr>
          <w:i/>
          <w:lang w:val="fr-CA"/>
        </w:rPr>
        <w:t xml:space="preserve">, B.C. Reg. 296/97, </w:t>
      </w:r>
      <w:r w:rsidR="00582B6A" w:rsidRPr="00D5739B">
        <w:rPr>
          <w:i/>
          <w:lang w:val="fr-CA"/>
        </w:rPr>
        <w:t>art. </w:t>
      </w:r>
      <w:r w:rsidR="000B29B1" w:rsidRPr="00D5739B">
        <w:rPr>
          <w:i/>
          <w:lang w:val="fr-CA"/>
        </w:rPr>
        <w:t>26.2(1).</w:t>
      </w:r>
    </w:p>
    <w:p w:rsidR="000B29B1" w:rsidRPr="00D5739B" w:rsidRDefault="00E72589" w:rsidP="00E72589">
      <w:pPr>
        <w:pStyle w:val="SCCNormalDoubleSpacing"/>
        <w:spacing w:before="480" w:after="480"/>
        <w:rPr>
          <w:lang w:val="fr-CA"/>
        </w:rPr>
      </w:pPr>
      <w:r w:rsidRPr="00D5739B">
        <w:rPr>
          <w:lang w:val="fr-CA"/>
        </w:rPr>
        <w:tab/>
      </w:r>
      <w:r w:rsidR="000B29B1" w:rsidRPr="00D5739B">
        <w:rPr>
          <w:lang w:val="fr-CA"/>
        </w:rPr>
        <w:t>Un abatteur a été frappé mortellement par un arbre en décomposition pendant qu</w:t>
      </w:r>
      <w:r w:rsidR="00582B6A" w:rsidRPr="00D5739B">
        <w:rPr>
          <w:lang w:val="fr-CA"/>
        </w:rPr>
        <w:t>’</w:t>
      </w:r>
      <w:r w:rsidR="000B29B1" w:rsidRPr="00D5739B">
        <w:rPr>
          <w:lang w:val="fr-CA"/>
        </w:rPr>
        <w:t>il travaillait dans un secteur pour lequel West Fraser Mills Ltd. détenait un permis d</w:t>
      </w:r>
      <w:r w:rsidR="00582B6A" w:rsidRPr="00D5739B">
        <w:rPr>
          <w:lang w:val="fr-CA"/>
        </w:rPr>
        <w:t>’</w:t>
      </w:r>
      <w:r w:rsidR="000B29B1" w:rsidRPr="00D5739B">
        <w:rPr>
          <w:lang w:val="fr-CA"/>
        </w:rPr>
        <w:t>exploitation forestière. L</w:t>
      </w:r>
      <w:r w:rsidR="00582B6A" w:rsidRPr="00D5739B">
        <w:rPr>
          <w:lang w:val="fr-CA"/>
        </w:rPr>
        <w:t>’</w:t>
      </w:r>
      <w:r w:rsidR="000B29B1" w:rsidRPr="00D5739B">
        <w:rPr>
          <w:lang w:val="fr-CA"/>
        </w:rPr>
        <w:t>abatteur travaillait pour un entrepreneur indépendant. Aux termes d</w:t>
      </w:r>
      <w:r w:rsidR="00E71168" w:rsidRPr="00D5739B">
        <w:rPr>
          <w:lang w:val="fr-CA"/>
        </w:rPr>
        <w:t>e son</w:t>
      </w:r>
      <w:r w:rsidR="000B29B1" w:rsidRPr="00D5739B">
        <w:rPr>
          <w:lang w:val="fr-CA"/>
        </w:rPr>
        <w:t xml:space="preserve"> permis, West Fraser Mills était « propriétaire » du lieu de travail au sens de la partie 3 de la</w:t>
      </w:r>
      <w:r w:rsidR="004C3072" w:rsidRPr="00D5739B">
        <w:rPr>
          <w:lang w:val="fr-CA"/>
        </w:rPr>
        <w:t xml:space="preserve"> </w:t>
      </w:r>
      <w:r w:rsidR="000B29B1" w:rsidRPr="00D5739B">
        <w:rPr>
          <w:i/>
          <w:lang w:val="fr-CA"/>
        </w:rPr>
        <w:t>Workers Compensation Act</w:t>
      </w:r>
      <w:r w:rsidR="004C3072" w:rsidRPr="00D5739B">
        <w:rPr>
          <w:i/>
          <w:lang w:val="fr-CA"/>
        </w:rPr>
        <w:t xml:space="preserve"> </w:t>
      </w:r>
      <w:r w:rsidR="004C3072" w:rsidRPr="00D5739B">
        <w:rPr>
          <w:lang w:val="fr-CA"/>
        </w:rPr>
        <w:t>(« Loi »)</w:t>
      </w:r>
      <w:r w:rsidR="000B29B1" w:rsidRPr="00D5739B">
        <w:rPr>
          <w:lang w:val="fr-CA"/>
        </w:rPr>
        <w:t>.</w:t>
      </w:r>
    </w:p>
    <w:p w:rsidR="000B29B1" w:rsidRPr="00D5739B" w:rsidRDefault="00E72589" w:rsidP="00E72589">
      <w:pPr>
        <w:pStyle w:val="SCCNormalDoubleSpacing"/>
        <w:spacing w:before="480" w:after="480"/>
        <w:rPr>
          <w:lang w:val="fr-CA"/>
        </w:rPr>
      </w:pPr>
      <w:r w:rsidRPr="00D5739B">
        <w:rPr>
          <w:lang w:val="fr-CA"/>
        </w:rPr>
        <w:tab/>
      </w:r>
      <w:r w:rsidR="000B29B1" w:rsidRPr="00D5739B">
        <w:rPr>
          <w:lang w:val="fr-CA"/>
        </w:rPr>
        <w:t>À l</w:t>
      </w:r>
      <w:r w:rsidR="00582B6A" w:rsidRPr="00D5739B">
        <w:rPr>
          <w:lang w:val="fr-CA"/>
        </w:rPr>
        <w:t>’</w:t>
      </w:r>
      <w:r w:rsidR="000B29B1" w:rsidRPr="00D5739B">
        <w:rPr>
          <w:lang w:val="fr-CA"/>
        </w:rPr>
        <w:t>issue de son enquête sur l</w:t>
      </w:r>
      <w:r w:rsidR="00582B6A" w:rsidRPr="00D5739B">
        <w:rPr>
          <w:lang w:val="fr-CA"/>
        </w:rPr>
        <w:t>’</w:t>
      </w:r>
      <w:r w:rsidR="000B29B1" w:rsidRPr="00D5739B">
        <w:rPr>
          <w:lang w:val="fr-CA"/>
        </w:rPr>
        <w:t xml:space="preserve">accident, </w:t>
      </w:r>
      <w:r w:rsidR="008A796B">
        <w:rPr>
          <w:lang w:val="fr-CA"/>
        </w:rPr>
        <w:t xml:space="preserve">la </w:t>
      </w:r>
      <w:r w:rsidR="000B29B1" w:rsidRPr="00D5739B">
        <w:rPr>
          <w:lang w:val="fr-CA"/>
        </w:rPr>
        <w:t>Workers</w:t>
      </w:r>
      <w:r w:rsidR="00582B6A" w:rsidRPr="00D5739B">
        <w:rPr>
          <w:lang w:val="fr-CA"/>
        </w:rPr>
        <w:t>’</w:t>
      </w:r>
      <w:r w:rsidR="000B29B1" w:rsidRPr="00D5739B">
        <w:rPr>
          <w:lang w:val="fr-CA"/>
        </w:rPr>
        <w:t xml:space="preserve"> Compensation Board </w:t>
      </w:r>
      <w:r w:rsidR="00BB5AB4" w:rsidRPr="00D5739B">
        <w:rPr>
          <w:lang w:val="fr-CA"/>
        </w:rPr>
        <w:t xml:space="preserve">(« Commission ») </w:t>
      </w:r>
      <w:r w:rsidR="000B29B1" w:rsidRPr="00D5739B">
        <w:rPr>
          <w:lang w:val="fr-CA"/>
        </w:rPr>
        <w:t>a conclu que West Fraser Mills avait omis de faire en sorte que toutes les activités d</w:t>
      </w:r>
      <w:r w:rsidR="00582B6A" w:rsidRPr="00D5739B">
        <w:rPr>
          <w:lang w:val="fr-CA"/>
        </w:rPr>
        <w:t>’</w:t>
      </w:r>
      <w:r w:rsidR="000B29B1" w:rsidRPr="00D5739B">
        <w:rPr>
          <w:lang w:val="fr-CA"/>
        </w:rPr>
        <w:t xml:space="preserve">exploitation forestière soient planifiées et exercées conformément au </w:t>
      </w:r>
      <w:r w:rsidR="00582B6A" w:rsidRPr="00D5739B">
        <w:rPr>
          <w:lang w:val="fr-CA"/>
        </w:rPr>
        <w:t>par. </w:t>
      </w:r>
      <w:r w:rsidR="000B29B1" w:rsidRPr="00D5739B">
        <w:rPr>
          <w:lang w:val="fr-CA"/>
        </w:rPr>
        <w:t xml:space="preserve">26.2(1) </w:t>
      </w:r>
      <w:proofErr w:type="gramStart"/>
      <w:r w:rsidR="000B29B1" w:rsidRPr="00D5739B">
        <w:rPr>
          <w:lang w:val="fr-CA"/>
        </w:rPr>
        <w:t>d</w:t>
      </w:r>
      <w:r w:rsidR="00D0283B" w:rsidRPr="00D5739B">
        <w:rPr>
          <w:lang w:val="fr-CA"/>
        </w:rPr>
        <w:t xml:space="preserve">u </w:t>
      </w:r>
      <w:proofErr w:type="spellStart"/>
      <w:r w:rsidR="000B29B1" w:rsidRPr="00D5739B">
        <w:rPr>
          <w:i/>
          <w:lang w:val="fr-CA"/>
        </w:rPr>
        <w:t>Occupational</w:t>
      </w:r>
      <w:proofErr w:type="spellEnd"/>
      <w:proofErr w:type="gramEnd"/>
      <w:r w:rsidR="000B29B1" w:rsidRPr="00D5739B">
        <w:rPr>
          <w:i/>
          <w:lang w:val="fr-CA"/>
        </w:rPr>
        <w:t xml:space="preserve"> Health and </w:t>
      </w:r>
      <w:proofErr w:type="spellStart"/>
      <w:r w:rsidR="000B29B1" w:rsidRPr="00D5739B">
        <w:rPr>
          <w:i/>
          <w:lang w:val="fr-CA"/>
        </w:rPr>
        <w:t>Safety</w:t>
      </w:r>
      <w:proofErr w:type="spellEnd"/>
      <w:r w:rsidR="000B29B1" w:rsidRPr="00D5739B">
        <w:rPr>
          <w:i/>
          <w:lang w:val="fr-CA"/>
        </w:rPr>
        <w:t xml:space="preserve"> </w:t>
      </w:r>
      <w:proofErr w:type="spellStart"/>
      <w:r w:rsidR="000B29B1" w:rsidRPr="00D5739B">
        <w:rPr>
          <w:i/>
          <w:lang w:val="fr-CA"/>
        </w:rPr>
        <w:t>Regulation</w:t>
      </w:r>
      <w:proofErr w:type="spellEnd"/>
      <w:r w:rsidR="00BB5AB4" w:rsidRPr="00D5739B">
        <w:rPr>
          <w:lang w:val="fr-CA"/>
        </w:rPr>
        <w:t xml:space="preserve"> (« Règlement »)</w:t>
      </w:r>
      <w:r w:rsidR="005340D8" w:rsidRPr="00D5739B">
        <w:rPr>
          <w:lang w:val="fr-CA"/>
        </w:rPr>
        <w:t>, que la Commission avait pris en vertu de l</w:t>
      </w:r>
      <w:r w:rsidR="00582B6A" w:rsidRPr="00D5739B">
        <w:rPr>
          <w:lang w:val="fr-CA"/>
        </w:rPr>
        <w:t>’art. </w:t>
      </w:r>
      <w:r w:rsidR="005340D8" w:rsidRPr="00D5739B">
        <w:rPr>
          <w:lang w:val="fr-CA"/>
        </w:rPr>
        <w:t>225 de la Loi</w:t>
      </w:r>
      <w:r w:rsidR="000B29B1" w:rsidRPr="00D5739B">
        <w:rPr>
          <w:lang w:val="fr-CA"/>
        </w:rPr>
        <w:t>. La Commission a par ailleurs infligé une sanction administrative à West Fraser Mills</w:t>
      </w:r>
      <w:r w:rsidR="00D0283B" w:rsidRPr="00D5739B">
        <w:rPr>
          <w:lang w:val="fr-CA"/>
        </w:rPr>
        <w:t xml:space="preserve"> </w:t>
      </w:r>
      <w:r w:rsidR="000B29B1" w:rsidRPr="00D5739B">
        <w:rPr>
          <w:lang w:val="fr-CA"/>
        </w:rPr>
        <w:t xml:space="preserve">en application du </w:t>
      </w:r>
      <w:r w:rsidR="00582B6A" w:rsidRPr="00D5739B">
        <w:rPr>
          <w:lang w:val="fr-CA"/>
        </w:rPr>
        <w:t>par. </w:t>
      </w:r>
      <w:r w:rsidR="000B29B1" w:rsidRPr="00D5739B">
        <w:rPr>
          <w:lang w:val="fr-CA"/>
        </w:rPr>
        <w:t xml:space="preserve">196(1) de la Loi, </w:t>
      </w:r>
      <w:r w:rsidR="00E71168" w:rsidRPr="00D5739B">
        <w:rPr>
          <w:lang w:val="fr-CA"/>
        </w:rPr>
        <w:t>lequel</w:t>
      </w:r>
      <w:r w:rsidR="000B29B1" w:rsidRPr="00D5739B">
        <w:rPr>
          <w:lang w:val="fr-CA"/>
        </w:rPr>
        <w:t xml:space="preserve"> lui permet</w:t>
      </w:r>
      <w:r w:rsidR="00E71168" w:rsidRPr="00D5739B">
        <w:rPr>
          <w:lang w:val="fr-CA"/>
        </w:rPr>
        <w:t>tait</w:t>
      </w:r>
      <w:r w:rsidR="000B29B1" w:rsidRPr="00D5739B">
        <w:rPr>
          <w:lang w:val="fr-CA"/>
        </w:rPr>
        <w:t xml:space="preserve"> </w:t>
      </w:r>
      <w:r w:rsidR="00E71168" w:rsidRPr="00D5739B">
        <w:rPr>
          <w:lang w:val="fr-CA"/>
        </w:rPr>
        <w:t>de sanctionner</w:t>
      </w:r>
      <w:r w:rsidR="000B29B1" w:rsidRPr="00D5739B">
        <w:rPr>
          <w:lang w:val="fr-CA"/>
        </w:rPr>
        <w:t xml:space="preserve"> un « employeur ». Ces volets de </w:t>
      </w:r>
      <w:r w:rsidR="005340D8" w:rsidRPr="00D5739B">
        <w:rPr>
          <w:lang w:val="fr-CA"/>
        </w:rPr>
        <w:t>s</w:t>
      </w:r>
      <w:r w:rsidR="000B29B1" w:rsidRPr="00D5739B">
        <w:rPr>
          <w:lang w:val="fr-CA"/>
        </w:rPr>
        <w:t>a décision ont été confirmés par la section de révision.</w:t>
      </w:r>
      <w:r w:rsidR="001A1B4D" w:rsidRPr="00D5739B">
        <w:rPr>
          <w:lang w:val="fr-CA"/>
        </w:rPr>
        <w:t xml:space="preserve"> Le</w:t>
      </w:r>
      <w:r w:rsidR="00D0283B" w:rsidRPr="00D5739B">
        <w:rPr>
          <w:lang w:val="fr-CA"/>
        </w:rPr>
        <w:t xml:space="preserve"> </w:t>
      </w:r>
      <w:r w:rsidR="001A1B4D" w:rsidRPr="00D5739B">
        <w:rPr>
          <w:i/>
          <w:lang w:val="fr-CA"/>
        </w:rPr>
        <w:t>Workers</w:t>
      </w:r>
      <w:r w:rsidR="00582B6A" w:rsidRPr="00D5739B">
        <w:rPr>
          <w:i/>
          <w:lang w:val="fr-CA"/>
        </w:rPr>
        <w:t>’</w:t>
      </w:r>
      <w:r w:rsidR="001A1B4D" w:rsidRPr="00D5739B">
        <w:rPr>
          <w:i/>
          <w:lang w:val="fr-CA"/>
        </w:rPr>
        <w:t xml:space="preserve"> Compensation Appeal Tribunal</w:t>
      </w:r>
      <w:r w:rsidR="00BB5AB4" w:rsidRPr="00D5739B">
        <w:rPr>
          <w:lang w:val="fr-CA"/>
        </w:rPr>
        <w:t xml:space="preserve"> (« Tribunal »)</w:t>
      </w:r>
      <w:r w:rsidR="001A1B4D" w:rsidRPr="00D5739B">
        <w:rPr>
          <w:i/>
          <w:lang w:val="fr-CA"/>
        </w:rPr>
        <w:t xml:space="preserve"> </w:t>
      </w:r>
      <w:r w:rsidR="001A1B4D" w:rsidRPr="00D5739B">
        <w:rPr>
          <w:lang w:val="fr-CA"/>
        </w:rPr>
        <w:t>a rejeté l</w:t>
      </w:r>
      <w:r w:rsidR="00582B6A" w:rsidRPr="00D5739B">
        <w:rPr>
          <w:lang w:val="fr-CA"/>
        </w:rPr>
        <w:t>’</w:t>
      </w:r>
      <w:r w:rsidR="001A1B4D" w:rsidRPr="00D5739B">
        <w:rPr>
          <w:lang w:val="fr-CA"/>
        </w:rPr>
        <w:t xml:space="preserve">appel de West Fraser Mills, mais a réduit le </w:t>
      </w:r>
      <w:r w:rsidR="001A1B4D" w:rsidRPr="00D5739B">
        <w:rPr>
          <w:lang w:val="fr-CA"/>
        </w:rPr>
        <w:lastRenderedPageBreak/>
        <w:t>montant de la sanction administrative. La Cour suprême et la Cour d</w:t>
      </w:r>
      <w:r w:rsidR="00582B6A" w:rsidRPr="00D5739B">
        <w:rPr>
          <w:lang w:val="fr-CA"/>
        </w:rPr>
        <w:t>’</w:t>
      </w:r>
      <w:r w:rsidR="001A1B4D" w:rsidRPr="00D5739B">
        <w:rPr>
          <w:lang w:val="fr-CA"/>
        </w:rPr>
        <w:t>appel de la Colombie</w:t>
      </w:r>
      <w:r w:rsidR="00582B6A" w:rsidRPr="00D5739B">
        <w:rPr>
          <w:lang w:val="fr-CA"/>
        </w:rPr>
        <w:noBreakHyphen/>
      </w:r>
      <w:r w:rsidR="001A1B4D" w:rsidRPr="00D5739B">
        <w:rPr>
          <w:lang w:val="fr-CA"/>
        </w:rPr>
        <w:t>Britannique ont confirmé l</w:t>
      </w:r>
      <w:r w:rsidR="00582B6A" w:rsidRPr="00D5739B">
        <w:rPr>
          <w:lang w:val="fr-CA"/>
        </w:rPr>
        <w:t>’</w:t>
      </w:r>
      <w:r w:rsidR="001A1B4D" w:rsidRPr="00D5739B">
        <w:rPr>
          <w:lang w:val="fr-CA"/>
        </w:rPr>
        <w:t xml:space="preserve">ordonnance du </w:t>
      </w:r>
      <w:r w:rsidR="008A796B">
        <w:rPr>
          <w:lang w:val="fr-CA"/>
        </w:rPr>
        <w:t>T</w:t>
      </w:r>
      <w:r w:rsidR="001A1B4D" w:rsidRPr="00D5739B">
        <w:rPr>
          <w:lang w:val="fr-CA"/>
        </w:rPr>
        <w:t>ribunal.</w:t>
      </w:r>
    </w:p>
    <w:p w:rsidR="004D7D95" w:rsidRPr="00D5739B" w:rsidRDefault="004D7D95" w:rsidP="00F94818">
      <w:pPr>
        <w:pStyle w:val="SCCNormalDoubleSpacing"/>
        <w:spacing w:before="480" w:after="480"/>
        <w:rPr>
          <w:lang w:val="fr-CA"/>
        </w:rPr>
      </w:pPr>
      <w:r w:rsidRPr="00D5739B">
        <w:rPr>
          <w:lang w:val="fr-CA"/>
        </w:rPr>
        <w:tab/>
      </w:r>
      <w:r w:rsidRPr="00D5739B">
        <w:rPr>
          <w:i/>
          <w:lang w:val="fr-CA"/>
        </w:rPr>
        <w:t>Arrêt</w:t>
      </w:r>
      <w:r w:rsidR="00582B6A" w:rsidRPr="00D5739B">
        <w:rPr>
          <w:lang w:val="fr-CA"/>
        </w:rPr>
        <w:t xml:space="preserve"> </w:t>
      </w:r>
      <w:r w:rsidR="001A1B4D" w:rsidRPr="00D5739B">
        <w:rPr>
          <w:lang w:val="fr-CA"/>
        </w:rPr>
        <w:t>(les juges Côté, Brown et Rowe sont dissidents)</w:t>
      </w:r>
      <w:r w:rsidR="00582B6A" w:rsidRPr="00D5739B">
        <w:rPr>
          <w:lang w:val="fr-CA"/>
        </w:rPr>
        <w:t> </w:t>
      </w:r>
      <w:r w:rsidR="00F94818" w:rsidRPr="00D5739B">
        <w:rPr>
          <w:lang w:val="fr-CA"/>
        </w:rPr>
        <w:t>:</w:t>
      </w:r>
      <w:r w:rsidR="001A1B4D" w:rsidRPr="00D5739B">
        <w:rPr>
          <w:lang w:val="fr-CA"/>
        </w:rPr>
        <w:t xml:space="preserve"> Le pourvoi est rejeté.</w:t>
      </w:r>
    </w:p>
    <w:p w:rsidR="004D7D95" w:rsidRPr="00D5739B" w:rsidRDefault="004D7D95" w:rsidP="00F94818">
      <w:pPr>
        <w:pStyle w:val="SCCNormalDoubleSpacing"/>
        <w:spacing w:before="480" w:after="480"/>
        <w:rPr>
          <w:lang w:val="fr-CA"/>
        </w:rPr>
      </w:pPr>
      <w:r w:rsidRPr="00D5739B">
        <w:rPr>
          <w:lang w:val="fr-CA"/>
        </w:rPr>
        <w:tab/>
      </w:r>
      <w:r w:rsidR="00E71168" w:rsidRPr="00D5739B">
        <w:rPr>
          <w:i/>
          <w:lang w:val="fr-CA"/>
        </w:rPr>
        <w:t>La</w:t>
      </w:r>
      <w:r w:rsidR="00E71168" w:rsidRPr="00D5739B">
        <w:rPr>
          <w:lang w:val="fr-CA"/>
        </w:rPr>
        <w:t xml:space="preserve"> juge en chef </w:t>
      </w:r>
      <w:r w:rsidR="00E71168" w:rsidRPr="00661C94">
        <w:rPr>
          <w:lang w:val="fr-CA"/>
        </w:rPr>
        <w:t>McLachlin</w:t>
      </w:r>
      <w:r w:rsidR="00E71168" w:rsidRPr="00D5739B">
        <w:rPr>
          <w:lang w:val="fr-CA"/>
        </w:rPr>
        <w:t xml:space="preserve"> et les juges Abella, Moldaver, Karakatsanis, Wagner et Gascon</w:t>
      </w:r>
      <w:r w:rsidR="00582B6A" w:rsidRPr="00D5739B">
        <w:rPr>
          <w:lang w:val="fr-CA"/>
        </w:rPr>
        <w:t> :</w:t>
      </w:r>
      <w:r w:rsidR="00E71168" w:rsidRPr="00D5739B">
        <w:rPr>
          <w:lang w:val="fr-CA"/>
        </w:rPr>
        <w:t xml:space="preserve"> L</w:t>
      </w:r>
      <w:r w:rsidR="001248D3">
        <w:rPr>
          <w:lang w:val="fr-CA"/>
        </w:rPr>
        <w:t>’article</w:t>
      </w:r>
      <w:r w:rsidR="00582B6A" w:rsidRPr="00D5739B">
        <w:rPr>
          <w:lang w:val="fr-CA"/>
        </w:rPr>
        <w:t> </w:t>
      </w:r>
      <w:r w:rsidR="00E71168" w:rsidRPr="00D5739B">
        <w:rPr>
          <w:lang w:val="fr-CA"/>
        </w:rPr>
        <w:t xml:space="preserve">225 de la Loi confère à la Commission le pouvoir de </w:t>
      </w:r>
      <w:r w:rsidR="003E7C23">
        <w:rPr>
          <w:lang w:val="fr-CA"/>
        </w:rPr>
        <w:t>[</w:t>
      </w:r>
      <w:r w:rsidR="003E7C23" w:rsidRPr="003E7C23">
        <w:rPr>
          <w:smallCaps/>
          <w:lang w:val="fr-CA"/>
        </w:rPr>
        <w:t>traduction</w:t>
      </w:r>
      <w:r w:rsidR="003E7C23">
        <w:rPr>
          <w:lang w:val="fr-CA"/>
        </w:rPr>
        <w:t xml:space="preserve">] </w:t>
      </w:r>
      <w:r w:rsidR="00E71168" w:rsidRPr="00D5739B">
        <w:rPr>
          <w:lang w:val="fr-CA"/>
        </w:rPr>
        <w:t>« prendre les règlements qu</w:t>
      </w:r>
      <w:r w:rsidR="00582B6A" w:rsidRPr="00D5739B">
        <w:rPr>
          <w:lang w:val="fr-CA"/>
        </w:rPr>
        <w:t>’</w:t>
      </w:r>
      <w:r w:rsidR="00E71168" w:rsidRPr="00D5739B">
        <w:rPr>
          <w:lang w:val="fr-CA"/>
        </w:rPr>
        <w:t>elle juge nécessaires ou souhaitables relativement à la santé et à la sécurité au travail et à l</w:t>
      </w:r>
      <w:r w:rsidR="00582B6A" w:rsidRPr="00D5739B">
        <w:rPr>
          <w:lang w:val="fr-CA"/>
        </w:rPr>
        <w:t>’</w:t>
      </w:r>
      <w:r w:rsidR="00E71168" w:rsidRPr="00D5739B">
        <w:rPr>
          <w:lang w:val="fr-CA"/>
        </w:rPr>
        <w:t>environnement de travail ». Lorsque la loi confère à un tel organisme un large pouvoir de décider des règlements qui sont nécessaires ou souhaitables pour la réalisation des objectifs législatifs, la question que la cour doit trancher n</w:t>
      </w:r>
      <w:r w:rsidR="00582B6A" w:rsidRPr="00D5739B">
        <w:rPr>
          <w:lang w:val="fr-CA"/>
        </w:rPr>
        <w:t>’</w:t>
      </w:r>
      <w:r w:rsidR="00E71168" w:rsidRPr="00D5739B">
        <w:rPr>
          <w:lang w:val="fr-CA"/>
        </w:rPr>
        <w:t>a pas trait à la compétence au sens traditionnel, mais au fait que le règlement en cause résulte ou non d</w:t>
      </w:r>
      <w:r w:rsidR="00582B6A" w:rsidRPr="00D5739B">
        <w:rPr>
          <w:lang w:val="fr-CA"/>
        </w:rPr>
        <w:t>’</w:t>
      </w:r>
      <w:r w:rsidR="00E71168" w:rsidRPr="00D5739B">
        <w:rPr>
          <w:lang w:val="fr-CA"/>
        </w:rPr>
        <w:t xml:space="preserve">un exercice raisonnable du pouvoir délégué, eu égard à ces objectifs. </w:t>
      </w:r>
      <w:r w:rsidR="00DC0ED3" w:rsidRPr="00D5739B">
        <w:rPr>
          <w:lang w:val="fr-CA"/>
        </w:rPr>
        <w:t>Le paragraphe 26.2(1) se rapporte nettement à la sécurité au travail et satisfait à cette exigence. En outre, il cadre bien avec les autres dispositions de la Loi qui permettent à la Commission d</w:t>
      </w:r>
      <w:r w:rsidR="005340D8" w:rsidRPr="00D5739B">
        <w:rPr>
          <w:lang w:val="fr-CA"/>
        </w:rPr>
        <w:t>e réglementer à l</w:t>
      </w:r>
      <w:r w:rsidR="00582B6A" w:rsidRPr="00D5739B">
        <w:rPr>
          <w:lang w:val="fr-CA"/>
        </w:rPr>
        <w:t>’</w:t>
      </w:r>
      <w:r w:rsidR="005340D8" w:rsidRPr="00D5739B">
        <w:rPr>
          <w:lang w:val="fr-CA"/>
        </w:rPr>
        <w:t>égard de</w:t>
      </w:r>
      <w:r w:rsidR="00DC0ED3" w:rsidRPr="00D5739B">
        <w:rPr>
          <w:lang w:val="fr-CA"/>
        </w:rPr>
        <w:t xml:space="preserve"> toute personne participant ou contribuant à la production dans un secteur d</w:t>
      </w:r>
      <w:r w:rsidR="00582B6A" w:rsidRPr="00D5739B">
        <w:rPr>
          <w:lang w:val="fr-CA"/>
        </w:rPr>
        <w:t>’</w:t>
      </w:r>
      <w:r w:rsidR="00DC0ED3" w:rsidRPr="00D5739B">
        <w:rPr>
          <w:lang w:val="fr-CA"/>
        </w:rPr>
        <w:t>activité</w:t>
      </w:r>
      <w:r w:rsidR="005340D8" w:rsidRPr="00D5739B">
        <w:rPr>
          <w:lang w:val="fr-CA"/>
        </w:rPr>
        <w:t>, ainsi que</w:t>
      </w:r>
      <w:r w:rsidR="00DC0ED3" w:rsidRPr="00D5739B">
        <w:rPr>
          <w:lang w:val="fr-CA"/>
        </w:rPr>
        <w:t xml:space="preserve"> pour favoriser la santé et la sécurité au travail en génér</w:t>
      </w:r>
      <w:r w:rsidR="00582B6A" w:rsidRPr="00D5739B">
        <w:rPr>
          <w:lang w:val="fr-CA"/>
        </w:rPr>
        <w:t xml:space="preserve">al. </w:t>
      </w:r>
      <w:r w:rsidR="00DC0ED3" w:rsidRPr="00D5739B">
        <w:rPr>
          <w:lang w:val="fr-CA"/>
        </w:rPr>
        <w:t xml:space="preserve">Enfin, deux éléments contextuels externes </w:t>
      </w:r>
      <w:r w:rsidR="00DC0ED3" w:rsidRPr="00D5739B">
        <w:rPr>
          <w:i/>
          <w:lang w:val="fr-CA"/>
        </w:rPr>
        <w:t>—</w:t>
      </w:r>
      <w:r w:rsidR="00DC0ED3" w:rsidRPr="00D5739B">
        <w:rPr>
          <w:lang w:val="fr-CA"/>
        </w:rPr>
        <w:t xml:space="preserve"> qui relèvent tous deux de l</w:t>
      </w:r>
      <w:r w:rsidR="00582B6A" w:rsidRPr="00D5739B">
        <w:rPr>
          <w:lang w:val="fr-CA"/>
        </w:rPr>
        <w:t>’</w:t>
      </w:r>
      <w:r w:rsidR="00DC0ED3" w:rsidRPr="00D5739B">
        <w:rPr>
          <w:lang w:val="fr-CA"/>
        </w:rPr>
        <w:t xml:space="preserve">expertise et des compétences de la Commission </w:t>
      </w:r>
      <w:r w:rsidR="00DC0ED3" w:rsidRPr="00D5739B">
        <w:rPr>
          <w:i/>
          <w:lang w:val="fr-CA"/>
        </w:rPr>
        <w:t>—</w:t>
      </w:r>
      <w:r w:rsidR="00DC0ED3" w:rsidRPr="00D5739B">
        <w:rPr>
          <w:lang w:val="fr-CA"/>
        </w:rPr>
        <w:t xml:space="preserve"> doivent être pris en compte. D</w:t>
      </w:r>
      <w:r w:rsidR="00582B6A" w:rsidRPr="00D5739B">
        <w:rPr>
          <w:lang w:val="fr-CA"/>
        </w:rPr>
        <w:t>’</w:t>
      </w:r>
      <w:r w:rsidR="00DC0ED3" w:rsidRPr="00D5739B">
        <w:rPr>
          <w:lang w:val="fr-CA"/>
        </w:rPr>
        <w:t xml:space="preserve">abord, la Commission a adopté le </w:t>
      </w:r>
      <w:r w:rsidR="00582B6A" w:rsidRPr="00D5739B">
        <w:rPr>
          <w:lang w:val="fr-CA"/>
        </w:rPr>
        <w:t>par. </w:t>
      </w:r>
      <w:r w:rsidR="00DC0ED3" w:rsidRPr="00D5739B">
        <w:rPr>
          <w:lang w:val="fr-CA"/>
        </w:rPr>
        <w:t>26.2(1) dans sa version actuelle par suite de l</w:t>
      </w:r>
      <w:r w:rsidR="00582B6A" w:rsidRPr="00D5739B">
        <w:rPr>
          <w:lang w:val="fr-CA"/>
        </w:rPr>
        <w:t>’</w:t>
      </w:r>
      <w:r w:rsidR="00DC0ED3" w:rsidRPr="00D5739B">
        <w:rPr>
          <w:lang w:val="fr-CA"/>
        </w:rPr>
        <w:t>inquiétude suscitée par l</w:t>
      </w:r>
      <w:r w:rsidR="00582B6A" w:rsidRPr="00D5739B">
        <w:rPr>
          <w:lang w:val="fr-CA"/>
        </w:rPr>
        <w:t>’</w:t>
      </w:r>
      <w:r w:rsidR="00DC0ED3" w:rsidRPr="00D5739B">
        <w:rPr>
          <w:lang w:val="fr-CA"/>
        </w:rPr>
        <w:t xml:space="preserve">augmentation du nombre de décès au travail dans le secteur forestier, une inquiétude </w:t>
      </w:r>
      <w:r w:rsidR="00DC0ED3" w:rsidRPr="00D5739B">
        <w:rPr>
          <w:lang w:val="fr-CA"/>
        </w:rPr>
        <w:lastRenderedPageBreak/>
        <w:t>clairement liée à l</w:t>
      </w:r>
      <w:r w:rsidR="00582B6A" w:rsidRPr="00D5739B">
        <w:rPr>
          <w:lang w:val="fr-CA"/>
        </w:rPr>
        <w:t>’</w:t>
      </w:r>
      <w:r w:rsidR="00DC0ED3" w:rsidRPr="00D5739B">
        <w:rPr>
          <w:lang w:val="fr-CA"/>
        </w:rPr>
        <w:t>objet principal de l</w:t>
      </w:r>
      <w:r w:rsidR="00582B6A" w:rsidRPr="00D5739B">
        <w:rPr>
          <w:lang w:val="fr-CA"/>
        </w:rPr>
        <w:t>’art. </w:t>
      </w:r>
      <w:r w:rsidR="00DC0ED3" w:rsidRPr="00D5739B">
        <w:rPr>
          <w:lang w:val="fr-CA"/>
        </w:rPr>
        <w:t>225 de la Loi, soit « la santé et [. . .] la sécurité au travail et [. . .] l</w:t>
      </w:r>
      <w:r w:rsidR="00582B6A" w:rsidRPr="00D5739B">
        <w:rPr>
          <w:lang w:val="fr-CA"/>
        </w:rPr>
        <w:t>’</w:t>
      </w:r>
      <w:r w:rsidR="00DC0ED3" w:rsidRPr="00D5739B">
        <w:rPr>
          <w:lang w:val="fr-CA"/>
        </w:rPr>
        <w:t xml:space="preserve">environnement de travail ». Ensuite, le </w:t>
      </w:r>
      <w:r w:rsidR="00582B6A" w:rsidRPr="00D5739B">
        <w:rPr>
          <w:lang w:val="fr-CA"/>
        </w:rPr>
        <w:t>par. </w:t>
      </w:r>
      <w:r w:rsidR="00DC0ED3" w:rsidRPr="00D5739B">
        <w:rPr>
          <w:lang w:val="fr-CA"/>
        </w:rPr>
        <w:t>26.2(1) est le prolongement naturel de l</w:t>
      </w:r>
      <w:r w:rsidR="00582B6A" w:rsidRPr="00D5739B">
        <w:rPr>
          <w:lang w:val="fr-CA"/>
        </w:rPr>
        <w:t>’</w:t>
      </w:r>
      <w:r w:rsidR="00DC0ED3" w:rsidRPr="00D5739B">
        <w:rPr>
          <w:lang w:val="fr-CA"/>
        </w:rPr>
        <w:t xml:space="preserve">obligation </w:t>
      </w:r>
      <w:r w:rsidR="00B918EB" w:rsidRPr="00D5739B">
        <w:rPr>
          <w:lang w:val="fr-CA"/>
        </w:rPr>
        <w:t>d</w:t>
      </w:r>
      <w:r w:rsidR="00DC0ED3" w:rsidRPr="00D5739B">
        <w:rPr>
          <w:lang w:val="fr-CA"/>
        </w:rPr>
        <w:t>u propriétaire de veiller à l</w:t>
      </w:r>
      <w:r w:rsidR="00582B6A" w:rsidRPr="00D5739B">
        <w:rPr>
          <w:lang w:val="fr-CA"/>
        </w:rPr>
        <w:t>’</w:t>
      </w:r>
      <w:r w:rsidR="00DC0ED3" w:rsidRPr="00D5739B">
        <w:rPr>
          <w:lang w:val="fr-CA"/>
        </w:rPr>
        <w:t>entretien du lieu de travail.</w:t>
      </w:r>
      <w:r w:rsidR="00B918EB" w:rsidRPr="00D5739B">
        <w:rPr>
          <w:lang w:val="fr-CA"/>
        </w:rPr>
        <w:t xml:space="preserve"> Pour s</w:t>
      </w:r>
      <w:r w:rsidR="00582B6A" w:rsidRPr="00D5739B">
        <w:rPr>
          <w:lang w:val="fr-CA"/>
        </w:rPr>
        <w:t>’</w:t>
      </w:r>
      <w:r w:rsidR="00B918EB" w:rsidRPr="00D5739B">
        <w:rPr>
          <w:lang w:val="fr-CA"/>
        </w:rPr>
        <w:t xml:space="preserve">acquitter de cette obligation, le propriétaire doit </w:t>
      </w:r>
      <w:r w:rsidR="00705F0D" w:rsidRPr="00D5739B">
        <w:rPr>
          <w:lang w:val="fr-CA"/>
        </w:rPr>
        <w:t xml:space="preserve">faire en sorte </w:t>
      </w:r>
      <w:r w:rsidR="00B918EB" w:rsidRPr="00D5739B">
        <w:rPr>
          <w:lang w:val="fr-CA"/>
        </w:rPr>
        <w:t>que les activités soient planifiées et exercées de façon sécuritaire.</w:t>
      </w:r>
    </w:p>
    <w:p w:rsidR="00B918EB" w:rsidRPr="00D5739B" w:rsidRDefault="00B918EB" w:rsidP="00F94818">
      <w:pPr>
        <w:pStyle w:val="SCCNormalDoubleSpacing"/>
        <w:spacing w:before="480" w:after="480"/>
        <w:rPr>
          <w:lang w:val="fr-CA"/>
        </w:rPr>
      </w:pPr>
      <w:r w:rsidRPr="00D5739B">
        <w:rPr>
          <w:lang w:val="fr-CA"/>
        </w:rPr>
        <w:tab/>
        <w:t>En ce qui a trait à la disposition relative à la sanction administrative, l</w:t>
      </w:r>
      <w:r w:rsidR="00582B6A" w:rsidRPr="00D5739B">
        <w:rPr>
          <w:lang w:val="fr-CA"/>
        </w:rPr>
        <w:t>’</w:t>
      </w:r>
      <w:r w:rsidRPr="00D5739B">
        <w:rPr>
          <w:lang w:val="fr-CA"/>
        </w:rPr>
        <w:t xml:space="preserve">interprétation du </w:t>
      </w:r>
      <w:r w:rsidR="00582B6A" w:rsidRPr="00D5739B">
        <w:rPr>
          <w:lang w:val="fr-CA"/>
        </w:rPr>
        <w:t>par. </w:t>
      </w:r>
      <w:r w:rsidRPr="00D5739B">
        <w:rPr>
          <w:lang w:val="fr-CA"/>
        </w:rPr>
        <w:t>196(1) par le Tribunal n</w:t>
      </w:r>
      <w:r w:rsidR="00582B6A" w:rsidRPr="00D5739B">
        <w:rPr>
          <w:lang w:val="fr-CA"/>
        </w:rPr>
        <w:t>’</w:t>
      </w:r>
      <w:r w:rsidRPr="00D5739B">
        <w:rPr>
          <w:lang w:val="fr-CA"/>
        </w:rPr>
        <w:t xml:space="preserve">était pas manifestement déraisonnable. </w:t>
      </w:r>
      <w:r w:rsidR="00FD6ABB" w:rsidRPr="00D5739B">
        <w:rPr>
          <w:lang w:val="fr-CA"/>
        </w:rPr>
        <w:t>La cour de justice qui contrôle une décision administrative est tenue de prendre en considération non seulement le texte de la loi et l</w:t>
      </w:r>
      <w:r w:rsidR="00582B6A" w:rsidRPr="00D5739B">
        <w:rPr>
          <w:lang w:val="fr-CA"/>
        </w:rPr>
        <w:t>’</w:t>
      </w:r>
      <w:r w:rsidR="00FD6ABB" w:rsidRPr="00D5739B">
        <w:rPr>
          <w:lang w:val="fr-CA"/>
        </w:rPr>
        <w:t>interaction de ses dispositions, mais aussi les conséquences du choix d</w:t>
      </w:r>
      <w:r w:rsidR="00582B6A" w:rsidRPr="00D5739B">
        <w:rPr>
          <w:lang w:val="fr-CA"/>
        </w:rPr>
        <w:t>’</w:t>
      </w:r>
      <w:r w:rsidR="00FD6ABB" w:rsidRPr="00D5739B">
        <w:rPr>
          <w:lang w:val="fr-CA"/>
        </w:rPr>
        <w:t>interpréter une disposition d</w:t>
      </w:r>
      <w:r w:rsidR="00582B6A" w:rsidRPr="00D5739B">
        <w:rPr>
          <w:lang w:val="fr-CA"/>
        </w:rPr>
        <w:t>’</w:t>
      </w:r>
      <w:r w:rsidR="00FD6ABB" w:rsidRPr="00D5739B">
        <w:rPr>
          <w:lang w:val="fr-CA"/>
        </w:rPr>
        <w:t>une manière plutôt que d</w:t>
      </w:r>
      <w:r w:rsidR="00582B6A" w:rsidRPr="00D5739B">
        <w:rPr>
          <w:lang w:val="fr-CA"/>
        </w:rPr>
        <w:t>’</w:t>
      </w:r>
      <w:r w:rsidR="00FD6ABB" w:rsidRPr="00D5739B">
        <w:rPr>
          <w:lang w:val="fr-CA"/>
        </w:rPr>
        <w:t>une autre et la façon dont le régime législatif fonctionne concrètement, surtout lorsque la norme de contrôle applicable est celle de la décision manifestement déraisonnable.</w:t>
      </w:r>
    </w:p>
    <w:p w:rsidR="00FD6ABB" w:rsidRPr="00D5739B" w:rsidRDefault="00FD6ABB" w:rsidP="00582B6A">
      <w:pPr>
        <w:pStyle w:val="SCCNormalDoubleSpacing"/>
        <w:spacing w:before="480" w:after="480"/>
        <w:rPr>
          <w:lang w:val="fr-CA"/>
        </w:rPr>
      </w:pPr>
      <w:r w:rsidRPr="00D5739B">
        <w:rPr>
          <w:lang w:val="fr-CA"/>
        </w:rPr>
        <w:tab/>
        <w:t xml:space="preserve">Le Tribunal était aux prises avec deux interprétations plausibles mais opposées du </w:t>
      </w:r>
      <w:r w:rsidR="00582B6A" w:rsidRPr="00D5739B">
        <w:rPr>
          <w:lang w:val="fr-CA"/>
        </w:rPr>
        <w:t>par. </w:t>
      </w:r>
      <w:r w:rsidRPr="00D5739B">
        <w:rPr>
          <w:lang w:val="fr-CA"/>
        </w:rPr>
        <w:t>196(1). L</w:t>
      </w:r>
      <w:r w:rsidR="00582B6A" w:rsidRPr="00D5739B">
        <w:rPr>
          <w:lang w:val="fr-CA"/>
        </w:rPr>
        <w:t>’</w:t>
      </w:r>
      <w:r w:rsidRPr="00D5739B">
        <w:rPr>
          <w:lang w:val="fr-CA"/>
        </w:rPr>
        <w:t xml:space="preserve">une </w:t>
      </w:r>
      <w:r w:rsidR="005340D8" w:rsidRPr="00D5739B">
        <w:rPr>
          <w:lang w:val="fr-CA"/>
        </w:rPr>
        <w:t>étai</w:t>
      </w:r>
      <w:r w:rsidRPr="00D5739B">
        <w:rPr>
          <w:lang w:val="fr-CA"/>
        </w:rPr>
        <w:t xml:space="preserve">t étroite et </w:t>
      </w:r>
      <w:r w:rsidR="004C3072" w:rsidRPr="00D5739B">
        <w:rPr>
          <w:lang w:val="fr-CA"/>
        </w:rPr>
        <w:t>ét</w:t>
      </w:r>
      <w:r w:rsidRPr="00D5739B">
        <w:rPr>
          <w:lang w:val="fr-CA"/>
        </w:rPr>
        <w:t xml:space="preserve">ait </w:t>
      </w:r>
      <w:r w:rsidR="004C3072" w:rsidRPr="00D5739B">
        <w:rPr>
          <w:lang w:val="fr-CA"/>
        </w:rPr>
        <w:t xml:space="preserve">de nature à </w:t>
      </w:r>
      <w:r w:rsidRPr="00D5739B">
        <w:rPr>
          <w:lang w:val="fr-CA"/>
        </w:rPr>
        <w:t>min</w:t>
      </w:r>
      <w:r w:rsidR="004C3072" w:rsidRPr="00D5739B">
        <w:rPr>
          <w:lang w:val="fr-CA"/>
        </w:rPr>
        <w:t>er</w:t>
      </w:r>
      <w:r w:rsidRPr="00D5739B">
        <w:rPr>
          <w:lang w:val="fr-CA"/>
        </w:rPr>
        <w:t xml:space="preserve"> les objectifs de la loi. L</w:t>
      </w:r>
      <w:r w:rsidR="00582B6A" w:rsidRPr="00D5739B">
        <w:rPr>
          <w:lang w:val="fr-CA"/>
        </w:rPr>
        <w:t>’</w:t>
      </w:r>
      <w:r w:rsidRPr="00D5739B">
        <w:rPr>
          <w:lang w:val="fr-CA"/>
        </w:rPr>
        <w:t>autre était large et reconnaissait à la fois la complexité du chevauchement et de l</w:t>
      </w:r>
      <w:r w:rsidR="00582B6A" w:rsidRPr="00D5739B">
        <w:rPr>
          <w:lang w:val="fr-CA"/>
        </w:rPr>
        <w:t>’</w:t>
      </w:r>
      <w:r w:rsidRPr="00D5739B">
        <w:rPr>
          <w:lang w:val="fr-CA"/>
        </w:rPr>
        <w:t xml:space="preserve">interaction des fonctions sur le lieu de travail et elle </w:t>
      </w:r>
      <w:r w:rsidR="004C3072" w:rsidRPr="00D5739B">
        <w:rPr>
          <w:lang w:val="fr-CA"/>
        </w:rPr>
        <w:t>ét</w:t>
      </w:r>
      <w:r w:rsidRPr="00D5739B">
        <w:rPr>
          <w:lang w:val="fr-CA"/>
        </w:rPr>
        <w:t xml:space="preserve">ait </w:t>
      </w:r>
      <w:r w:rsidR="004C3072" w:rsidRPr="00D5739B">
        <w:rPr>
          <w:lang w:val="fr-CA"/>
        </w:rPr>
        <w:t>de nature à favoriser</w:t>
      </w:r>
      <w:r w:rsidRPr="00D5739B">
        <w:rPr>
          <w:lang w:val="fr-CA"/>
        </w:rPr>
        <w:t xml:space="preserve"> la réalisation des objectifs de la loi et du régime établi par celle</w:t>
      </w:r>
      <w:r w:rsidR="00582B6A" w:rsidRPr="00D5739B">
        <w:rPr>
          <w:lang w:val="fr-CA"/>
        </w:rPr>
        <w:noBreakHyphen/>
      </w:r>
      <w:r w:rsidRPr="00D5739B">
        <w:rPr>
          <w:lang w:val="fr-CA"/>
        </w:rPr>
        <w:t>ci. Le choix de la seconde approche par le Tribunal ne revêtait pas un caractère déraisonnable que l</w:t>
      </w:r>
      <w:r w:rsidR="00582B6A" w:rsidRPr="00D5739B">
        <w:rPr>
          <w:lang w:val="fr-CA"/>
        </w:rPr>
        <w:t>’</w:t>
      </w:r>
      <w:r w:rsidRPr="00D5739B">
        <w:rPr>
          <w:lang w:val="fr-CA"/>
        </w:rPr>
        <w:t>on ne peut contester, qui est tout à fait évident, au point de frôler l</w:t>
      </w:r>
      <w:r w:rsidR="00582B6A" w:rsidRPr="00D5739B">
        <w:rPr>
          <w:lang w:val="fr-CA"/>
        </w:rPr>
        <w:t>’</w:t>
      </w:r>
      <w:r w:rsidRPr="00D5739B">
        <w:rPr>
          <w:lang w:val="fr-CA"/>
        </w:rPr>
        <w:t xml:space="preserve">absurde. Dans la présente affaire, les conséquences respectives des interprétations concurrentes et la manière </w:t>
      </w:r>
      <w:r w:rsidRPr="00D5739B">
        <w:rPr>
          <w:lang w:val="fr-CA"/>
        </w:rPr>
        <w:lastRenderedPageBreak/>
        <w:t>concrète dont le régime législatif est censé fonctionner militent contre la conclusion selon laquelle l</w:t>
      </w:r>
      <w:r w:rsidR="00582B6A" w:rsidRPr="00D5739B">
        <w:rPr>
          <w:lang w:val="fr-CA"/>
        </w:rPr>
        <w:t>’</w:t>
      </w:r>
      <w:r w:rsidRPr="00D5739B">
        <w:rPr>
          <w:lang w:val="fr-CA"/>
        </w:rPr>
        <w:t xml:space="preserve">interprétation retenue par le Tribunal est manifestement déraisonnable. </w:t>
      </w:r>
      <w:r w:rsidR="00390DD3" w:rsidRPr="00D5739B">
        <w:rPr>
          <w:lang w:val="fr-CA"/>
        </w:rPr>
        <w:t>West Fraser Mills n</w:t>
      </w:r>
      <w:r w:rsidR="00582B6A" w:rsidRPr="00D5739B">
        <w:rPr>
          <w:lang w:val="fr-CA"/>
        </w:rPr>
        <w:t>’</w:t>
      </w:r>
      <w:r w:rsidR="00390DD3" w:rsidRPr="00D5739B">
        <w:rPr>
          <w:lang w:val="fr-CA"/>
        </w:rPr>
        <w:t>était pas seulement tenue d</w:t>
      </w:r>
      <w:r w:rsidR="00582B6A" w:rsidRPr="00D5739B">
        <w:rPr>
          <w:lang w:val="fr-CA"/>
        </w:rPr>
        <w:t>’</w:t>
      </w:r>
      <w:r w:rsidR="00390DD3" w:rsidRPr="00D5739B">
        <w:rPr>
          <w:lang w:val="fr-CA"/>
        </w:rPr>
        <w:t>assurer la santé et la sécurité de ses propres employés pour s</w:t>
      </w:r>
      <w:r w:rsidR="00582B6A" w:rsidRPr="00D5739B">
        <w:rPr>
          <w:lang w:val="fr-CA"/>
        </w:rPr>
        <w:t>’</w:t>
      </w:r>
      <w:r w:rsidR="00390DD3" w:rsidRPr="00D5739B">
        <w:rPr>
          <w:lang w:val="fr-CA"/>
        </w:rPr>
        <w:t>acquitter de son obligation d</w:t>
      </w:r>
      <w:r w:rsidR="00582B6A" w:rsidRPr="00D5739B">
        <w:rPr>
          <w:lang w:val="fr-CA"/>
        </w:rPr>
        <w:t>’</w:t>
      </w:r>
      <w:r w:rsidR="00390DD3" w:rsidRPr="00D5739B">
        <w:rPr>
          <w:lang w:val="fr-CA"/>
        </w:rPr>
        <w:t xml:space="preserve">assurer la santé et la sécurité des travailleurs dans le lieu de travail. </w:t>
      </w:r>
      <w:r w:rsidR="00051F4B" w:rsidRPr="00D5739B">
        <w:rPr>
          <w:lang w:val="fr-CA"/>
        </w:rPr>
        <w:t>L</w:t>
      </w:r>
      <w:r w:rsidR="00582B6A" w:rsidRPr="00D5739B">
        <w:rPr>
          <w:lang w:val="fr-CA"/>
        </w:rPr>
        <w:t>’</w:t>
      </w:r>
      <w:r w:rsidR="00051F4B" w:rsidRPr="00D5739B">
        <w:rPr>
          <w:lang w:val="fr-CA"/>
        </w:rPr>
        <w:t xml:space="preserve">interprétation large du </w:t>
      </w:r>
      <w:r w:rsidR="00582B6A" w:rsidRPr="00D5739B">
        <w:rPr>
          <w:lang w:val="fr-CA"/>
        </w:rPr>
        <w:t>par. </w:t>
      </w:r>
      <w:r w:rsidR="00051F4B" w:rsidRPr="00D5739B">
        <w:rPr>
          <w:lang w:val="fr-CA"/>
        </w:rPr>
        <w:t>196(1) qui inclut dans son champ d</w:t>
      </w:r>
      <w:r w:rsidR="00582B6A" w:rsidRPr="00D5739B">
        <w:rPr>
          <w:lang w:val="fr-CA"/>
        </w:rPr>
        <w:t>’</w:t>
      </w:r>
      <w:r w:rsidR="00051F4B" w:rsidRPr="00D5739B">
        <w:rPr>
          <w:lang w:val="fr-CA"/>
        </w:rPr>
        <w:t>application l</w:t>
      </w:r>
      <w:r w:rsidR="00582B6A" w:rsidRPr="00D5739B">
        <w:rPr>
          <w:lang w:val="fr-CA"/>
        </w:rPr>
        <w:t>’</w:t>
      </w:r>
      <w:r w:rsidR="00051F4B" w:rsidRPr="00D5739B">
        <w:rPr>
          <w:lang w:val="fr-CA"/>
        </w:rPr>
        <w:t xml:space="preserve">employeur au sens de la Loi dont les actes sont susceptibles de constituer un manquement à ses obligations </w:t>
      </w:r>
      <w:r w:rsidR="004C3072" w:rsidRPr="00D5739B">
        <w:rPr>
          <w:lang w:val="fr-CA"/>
        </w:rPr>
        <w:t xml:space="preserve">à titre </w:t>
      </w:r>
      <w:r w:rsidR="00051F4B" w:rsidRPr="00D5739B">
        <w:rPr>
          <w:lang w:val="fr-CA"/>
        </w:rPr>
        <w:t>de propriétaire est celle qui permet le plus la réalisation de l</w:t>
      </w:r>
      <w:r w:rsidR="00582B6A" w:rsidRPr="00D5739B">
        <w:rPr>
          <w:lang w:val="fr-CA"/>
        </w:rPr>
        <w:t>’</w:t>
      </w:r>
      <w:r w:rsidR="00051F4B" w:rsidRPr="00D5739B">
        <w:rPr>
          <w:lang w:val="fr-CA"/>
        </w:rPr>
        <w:t>objectif de la loi de favoriser la santé et la sécurité au travail et de prévenir de futurs accidents. Cette interprétation tient également compte du fait qu</w:t>
      </w:r>
      <w:r w:rsidR="00582B6A" w:rsidRPr="00D5739B">
        <w:rPr>
          <w:lang w:val="fr-CA"/>
        </w:rPr>
        <w:t>’</w:t>
      </w:r>
      <w:r w:rsidR="00051F4B" w:rsidRPr="00D5739B">
        <w:rPr>
          <w:lang w:val="fr-CA"/>
        </w:rPr>
        <w:t>assurer la sécurité du lieu de travail est complexe et fait intervenir des obligations dont l</w:t>
      </w:r>
      <w:r w:rsidR="00582B6A" w:rsidRPr="00D5739B">
        <w:rPr>
          <w:lang w:val="fr-CA"/>
        </w:rPr>
        <w:t>’</w:t>
      </w:r>
      <w:r w:rsidR="00051F4B" w:rsidRPr="00D5739B">
        <w:rPr>
          <w:lang w:val="fr-CA"/>
        </w:rPr>
        <w:t>exécution incombe à tous les intéressés. Enfin, même s</w:t>
      </w:r>
      <w:r w:rsidR="00582B6A" w:rsidRPr="00D5739B">
        <w:rPr>
          <w:lang w:val="fr-CA"/>
        </w:rPr>
        <w:t>’</w:t>
      </w:r>
      <w:r w:rsidR="00051F4B" w:rsidRPr="00D5739B">
        <w:rPr>
          <w:lang w:val="fr-CA"/>
        </w:rPr>
        <w:t xml:space="preserve">il est vrai que le </w:t>
      </w:r>
      <w:r w:rsidR="00582B6A" w:rsidRPr="00D5739B">
        <w:rPr>
          <w:lang w:val="fr-CA"/>
        </w:rPr>
        <w:t>par. </w:t>
      </w:r>
      <w:r w:rsidR="00051F4B" w:rsidRPr="00D5739B">
        <w:rPr>
          <w:lang w:val="fr-CA"/>
        </w:rPr>
        <w:t>196(1) peut s</w:t>
      </w:r>
      <w:r w:rsidR="00582B6A" w:rsidRPr="00D5739B">
        <w:rPr>
          <w:lang w:val="fr-CA"/>
        </w:rPr>
        <w:t>’</w:t>
      </w:r>
      <w:r w:rsidR="00051F4B" w:rsidRPr="00D5739B">
        <w:rPr>
          <w:lang w:val="fr-CA"/>
        </w:rPr>
        <w:t>appliquer dès lors que l</w:t>
      </w:r>
      <w:r w:rsidR="00582B6A" w:rsidRPr="00D5739B">
        <w:rPr>
          <w:lang w:val="fr-CA"/>
        </w:rPr>
        <w:t>’</w:t>
      </w:r>
      <w:r w:rsidR="00051F4B" w:rsidRPr="00D5739B">
        <w:rPr>
          <w:lang w:val="fr-CA"/>
        </w:rPr>
        <w:t>employeur omet de s</w:t>
      </w:r>
      <w:r w:rsidR="00582B6A" w:rsidRPr="00D5739B">
        <w:rPr>
          <w:lang w:val="fr-CA"/>
        </w:rPr>
        <w:t>’</w:t>
      </w:r>
      <w:r w:rsidR="00051F4B" w:rsidRPr="00D5739B">
        <w:rPr>
          <w:lang w:val="fr-CA"/>
        </w:rPr>
        <w:t>acquitter d</w:t>
      </w:r>
      <w:r w:rsidR="00582B6A" w:rsidRPr="00D5739B">
        <w:rPr>
          <w:lang w:val="fr-CA"/>
        </w:rPr>
        <w:t>’</w:t>
      </w:r>
      <w:r w:rsidR="00051F4B" w:rsidRPr="00D5739B">
        <w:rPr>
          <w:lang w:val="fr-CA"/>
        </w:rPr>
        <w:t>obligations précises prévues dans la Loi, cette disposition ne vaut pas que dans ce</w:t>
      </w:r>
      <w:r w:rsidR="008017E3" w:rsidRPr="00D5739B">
        <w:rPr>
          <w:lang w:val="fr-CA"/>
        </w:rPr>
        <w:t>s</w:t>
      </w:r>
      <w:r w:rsidR="00051F4B" w:rsidRPr="00D5739B">
        <w:rPr>
          <w:lang w:val="fr-CA"/>
        </w:rPr>
        <w:t xml:space="preserve"> cas.</w:t>
      </w:r>
    </w:p>
    <w:p w:rsidR="00E72E7A" w:rsidRPr="00D5739B" w:rsidRDefault="00582B6A" w:rsidP="00582B6A">
      <w:pPr>
        <w:pStyle w:val="SCCNormalDoubleSpacing"/>
        <w:spacing w:before="480" w:after="480"/>
        <w:rPr>
          <w:szCs w:val="24"/>
          <w:lang w:val="fr-CA"/>
        </w:rPr>
      </w:pPr>
      <w:r w:rsidRPr="00D5739B">
        <w:rPr>
          <w:i/>
          <w:lang w:val="fr-CA"/>
        </w:rPr>
        <w:tab/>
      </w:r>
      <w:r w:rsidR="00390D74" w:rsidRPr="00D5739B">
        <w:rPr>
          <w:i/>
          <w:lang w:val="fr-CA"/>
        </w:rPr>
        <w:t>La</w:t>
      </w:r>
      <w:r w:rsidR="00390D74" w:rsidRPr="00D5739B">
        <w:rPr>
          <w:lang w:val="fr-CA"/>
        </w:rPr>
        <w:t xml:space="preserve"> juge </w:t>
      </w:r>
      <w:r w:rsidR="00390D74" w:rsidRPr="004E173C">
        <w:rPr>
          <w:lang w:val="fr-CA"/>
        </w:rPr>
        <w:t xml:space="preserve">Côté </w:t>
      </w:r>
      <w:r w:rsidR="00390D74" w:rsidRPr="00D5739B">
        <w:rPr>
          <w:lang w:val="fr-CA"/>
        </w:rPr>
        <w:t>(dissidente)</w:t>
      </w:r>
      <w:r w:rsidRPr="00D5739B">
        <w:rPr>
          <w:lang w:val="fr-CA"/>
        </w:rPr>
        <w:t> :</w:t>
      </w:r>
      <w:r w:rsidR="00FB6421" w:rsidRPr="00D5739B">
        <w:rPr>
          <w:lang w:val="fr-CA"/>
        </w:rPr>
        <w:t xml:space="preserve"> </w:t>
      </w:r>
      <w:r w:rsidR="00E72E7A" w:rsidRPr="00D5739B">
        <w:rPr>
          <w:lang w:val="fr-CA"/>
        </w:rPr>
        <w:t>L</w:t>
      </w:r>
      <w:r w:rsidR="00E72E7A" w:rsidRPr="00D5739B">
        <w:rPr>
          <w:szCs w:val="24"/>
          <w:lang w:val="fr-CA"/>
        </w:rPr>
        <w:t xml:space="preserve">e </w:t>
      </w:r>
      <w:r w:rsidR="00661C94">
        <w:rPr>
          <w:szCs w:val="24"/>
          <w:lang w:val="fr-CA"/>
        </w:rPr>
        <w:t>paragraphe</w:t>
      </w:r>
      <w:r w:rsidRPr="00D5739B">
        <w:rPr>
          <w:szCs w:val="24"/>
          <w:lang w:val="fr-CA"/>
        </w:rPr>
        <w:t> </w:t>
      </w:r>
      <w:r w:rsidR="00E72E7A" w:rsidRPr="00D5739B">
        <w:rPr>
          <w:szCs w:val="24"/>
          <w:lang w:val="fr-CA"/>
        </w:rPr>
        <w:t xml:space="preserve">26.2(1) du Règlement est </w:t>
      </w:r>
      <w:r w:rsidR="00E72E7A" w:rsidRPr="007A12A7">
        <w:rPr>
          <w:i/>
          <w:szCs w:val="24"/>
          <w:lang w:val="fr-CA"/>
        </w:rPr>
        <w:t>ultra vires</w:t>
      </w:r>
      <w:r w:rsidR="00E72E7A" w:rsidRPr="00D5739B">
        <w:rPr>
          <w:szCs w:val="24"/>
          <w:lang w:val="fr-CA"/>
        </w:rPr>
        <w:t xml:space="preserve"> </w:t>
      </w:r>
      <w:r w:rsidR="00670A53" w:rsidRPr="00D5739B">
        <w:rPr>
          <w:szCs w:val="24"/>
          <w:lang w:val="fr-CA"/>
        </w:rPr>
        <w:t>au regard</w:t>
      </w:r>
      <w:r w:rsidR="00E72E7A" w:rsidRPr="00D5739B">
        <w:rPr>
          <w:szCs w:val="24"/>
          <w:lang w:val="fr-CA"/>
        </w:rPr>
        <w:t xml:space="preserve"> de la norme de la décision correcte, mais à supposer même que la disposition ne soit pas invalide, il était manifestement déraisonnable </w:t>
      </w:r>
      <w:r w:rsidR="00E72E7A" w:rsidRPr="00D5739B">
        <w:rPr>
          <w:lang w:val="fr-CA"/>
        </w:rPr>
        <w:t>d</w:t>
      </w:r>
      <w:r w:rsidRPr="00D5739B">
        <w:rPr>
          <w:lang w:val="fr-CA"/>
        </w:rPr>
        <w:t>’</w:t>
      </w:r>
      <w:r w:rsidR="00E72E7A" w:rsidRPr="00D5739B">
        <w:rPr>
          <w:lang w:val="fr-CA"/>
        </w:rPr>
        <w:t>imposer</w:t>
      </w:r>
      <w:r w:rsidR="0093124D" w:rsidRPr="00D5739B">
        <w:rPr>
          <w:lang w:val="fr-CA"/>
        </w:rPr>
        <w:t xml:space="preserve"> à West Fraser Mills</w:t>
      </w:r>
      <w:r w:rsidR="005340D8" w:rsidRPr="00D5739B">
        <w:rPr>
          <w:lang w:val="fr-CA"/>
        </w:rPr>
        <w:t xml:space="preserve">, </w:t>
      </w:r>
      <w:r w:rsidR="005340D8" w:rsidRPr="00D5739B">
        <w:rPr>
          <w:szCs w:val="24"/>
          <w:lang w:val="fr-CA"/>
        </w:rPr>
        <w:t xml:space="preserve">pour le manquement à </w:t>
      </w:r>
      <w:r w:rsidR="0093124D" w:rsidRPr="00D5739B">
        <w:rPr>
          <w:szCs w:val="24"/>
          <w:lang w:val="fr-CA"/>
        </w:rPr>
        <w:t>s</w:t>
      </w:r>
      <w:r w:rsidR="005340D8" w:rsidRPr="00D5739B">
        <w:rPr>
          <w:szCs w:val="24"/>
          <w:lang w:val="fr-CA"/>
        </w:rPr>
        <w:t xml:space="preserve">es obligations </w:t>
      </w:r>
      <w:r w:rsidR="004C3072" w:rsidRPr="00D5739B">
        <w:rPr>
          <w:szCs w:val="24"/>
          <w:lang w:val="fr-CA"/>
        </w:rPr>
        <w:t xml:space="preserve">à titre de </w:t>
      </w:r>
      <w:r w:rsidR="005340D8" w:rsidRPr="00D5739B">
        <w:rPr>
          <w:szCs w:val="24"/>
          <w:lang w:val="fr-CA"/>
        </w:rPr>
        <w:t>propriétaire</w:t>
      </w:r>
      <w:r w:rsidR="0093124D" w:rsidRPr="00D5739B">
        <w:rPr>
          <w:szCs w:val="24"/>
          <w:lang w:val="fr-CA"/>
        </w:rPr>
        <w:t xml:space="preserve"> suivant le </w:t>
      </w:r>
      <w:r w:rsidRPr="00D5739B">
        <w:rPr>
          <w:szCs w:val="24"/>
          <w:lang w:val="fr-CA"/>
        </w:rPr>
        <w:t>par. </w:t>
      </w:r>
      <w:r w:rsidR="0093124D" w:rsidRPr="00D5739B">
        <w:rPr>
          <w:szCs w:val="24"/>
          <w:lang w:val="fr-CA"/>
        </w:rPr>
        <w:t>26.2(1)</w:t>
      </w:r>
      <w:r w:rsidR="005340D8" w:rsidRPr="00D5739B">
        <w:rPr>
          <w:szCs w:val="24"/>
          <w:lang w:val="fr-CA"/>
        </w:rPr>
        <w:t>,</w:t>
      </w:r>
      <w:r w:rsidR="00E72E7A" w:rsidRPr="00D5739B">
        <w:rPr>
          <w:lang w:val="fr-CA"/>
        </w:rPr>
        <w:t xml:space="preserve"> une sanction administrative</w:t>
      </w:r>
      <w:r w:rsidR="00E72E7A" w:rsidRPr="00D5739B">
        <w:rPr>
          <w:szCs w:val="24"/>
          <w:lang w:val="fr-CA"/>
        </w:rPr>
        <w:t xml:space="preserve"> </w:t>
      </w:r>
      <w:r w:rsidR="005340D8" w:rsidRPr="00D5739B">
        <w:rPr>
          <w:szCs w:val="24"/>
          <w:lang w:val="fr-CA"/>
        </w:rPr>
        <w:t>qui</w:t>
      </w:r>
      <w:r w:rsidR="00E72E7A" w:rsidRPr="00D5739B">
        <w:rPr>
          <w:szCs w:val="24"/>
          <w:lang w:val="fr-CA"/>
        </w:rPr>
        <w:t xml:space="preserve"> ne vis</w:t>
      </w:r>
      <w:r w:rsidR="0093124D" w:rsidRPr="00D5739B">
        <w:rPr>
          <w:szCs w:val="24"/>
          <w:lang w:val="fr-CA"/>
        </w:rPr>
        <w:t>ait</w:t>
      </w:r>
      <w:r w:rsidR="00E72E7A" w:rsidRPr="00D5739B">
        <w:rPr>
          <w:szCs w:val="24"/>
          <w:lang w:val="fr-CA"/>
        </w:rPr>
        <w:t xml:space="preserve"> que les infractions commises à titre d</w:t>
      </w:r>
      <w:r w:rsidRPr="00D5739B">
        <w:rPr>
          <w:szCs w:val="24"/>
          <w:lang w:val="fr-CA"/>
        </w:rPr>
        <w:t>’</w:t>
      </w:r>
      <w:r w:rsidR="00E72E7A" w:rsidRPr="00D5739B">
        <w:rPr>
          <w:szCs w:val="24"/>
          <w:lang w:val="fr-CA"/>
        </w:rPr>
        <w:t>employeur.</w:t>
      </w:r>
    </w:p>
    <w:p w:rsidR="008D77C8" w:rsidRPr="00D5739B" w:rsidRDefault="00E72589" w:rsidP="00582B6A">
      <w:pPr>
        <w:pStyle w:val="SCCNormalDoubleSpacing"/>
        <w:spacing w:before="480" w:after="480"/>
        <w:rPr>
          <w:lang w:val="fr-CA"/>
        </w:rPr>
      </w:pPr>
      <w:r w:rsidRPr="00D5739B">
        <w:rPr>
          <w:szCs w:val="24"/>
          <w:lang w:val="fr-CA"/>
        </w:rPr>
        <w:lastRenderedPageBreak/>
        <w:tab/>
      </w:r>
      <w:r w:rsidR="00E72E7A" w:rsidRPr="00D5739B">
        <w:rPr>
          <w:szCs w:val="24"/>
          <w:lang w:val="fr-CA"/>
        </w:rPr>
        <w:t>L</w:t>
      </w:r>
      <w:r w:rsidR="00582B6A" w:rsidRPr="00D5739B">
        <w:rPr>
          <w:szCs w:val="24"/>
          <w:lang w:val="fr-CA"/>
        </w:rPr>
        <w:t>’</w:t>
      </w:r>
      <w:r w:rsidR="00E72E7A" w:rsidRPr="00D5739B">
        <w:rPr>
          <w:lang w:val="fr-CA"/>
        </w:rPr>
        <w:t>organisme de réglementation qui agit dans l</w:t>
      </w:r>
      <w:r w:rsidR="00582B6A" w:rsidRPr="00D5739B">
        <w:rPr>
          <w:lang w:val="fr-CA"/>
        </w:rPr>
        <w:t>’</w:t>
      </w:r>
      <w:r w:rsidR="00E72E7A" w:rsidRPr="00D5739B">
        <w:rPr>
          <w:lang w:val="fr-CA"/>
        </w:rPr>
        <w:t xml:space="preserve">exercice de sa fonction décisionnelle peut faire appel à son expertise technique ou exercer son pouvoir discrétionnaire en fonction de ses préférences sur le plan des principes. </w:t>
      </w:r>
      <w:r w:rsidR="008D77C8" w:rsidRPr="00D5739B">
        <w:rPr>
          <w:lang w:val="fr-CA"/>
        </w:rPr>
        <w:t xml:space="preserve">Dans ce contexte, de multiples conclusions </w:t>
      </w:r>
      <w:r w:rsidR="004C3072" w:rsidRPr="00D5739B">
        <w:rPr>
          <w:lang w:val="fr-CA"/>
        </w:rPr>
        <w:t xml:space="preserve">peuvent être </w:t>
      </w:r>
      <w:r w:rsidR="008D77C8" w:rsidRPr="00D5739B">
        <w:rPr>
          <w:lang w:val="fr-CA"/>
        </w:rPr>
        <w:t>raisonnables. Cependant, lorsqu</w:t>
      </w:r>
      <w:r w:rsidR="00523872" w:rsidRPr="00D5739B">
        <w:rPr>
          <w:lang w:val="fr-CA"/>
        </w:rPr>
        <w:t>e l’organisme</w:t>
      </w:r>
      <w:r w:rsidR="008D77C8" w:rsidRPr="00D5739B">
        <w:rPr>
          <w:lang w:val="fr-CA"/>
        </w:rPr>
        <w:t xml:space="preserve"> agit dans l</w:t>
      </w:r>
      <w:r w:rsidR="00582B6A" w:rsidRPr="00D5739B">
        <w:rPr>
          <w:lang w:val="fr-CA"/>
        </w:rPr>
        <w:t>’</w:t>
      </w:r>
      <w:r w:rsidR="008D77C8" w:rsidRPr="00D5739B">
        <w:rPr>
          <w:lang w:val="fr-CA"/>
        </w:rPr>
        <w:t xml:space="preserve">exercice de son </w:t>
      </w:r>
      <w:r w:rsidR="00705F0D" w:rsidRPr="00D5739B">
        <w:rPr>
          <w:lang w:val="fr-CA"/>
        </w:rPr>
        <w:t xml:space="preserve">pouvoir </w:t>
      </w:r>
      <w:r w:rsidR="008D77C8" w:rsidRPr="00D5739B">
        <w:rPr>
          <w:lang w:val="fr-CA"/>
        </w:rPr>
        <w:t>réglementaire, la cour doit décider si le règlement contesté relève ou non de ce pouvoir. Il n</w:t>
      </w:r>
      <w:r w:rsidR="00582B6A" w:rsidRPr="00D5739B">
        <w:rPr>
          <w:lang w:val="fr-CA"/>
        </w:rPr>
        <w:t>’</w:t>
      </w:r>
      <w:r w:rsidR="008D77C8" w:rsidRPr="00D5739B">
        <w:rPr>
          <w:lang w:val="fr-CA"/>
        </w:rPr>
        <w:t>y a alors pas plusieurs issues raisonnables possibles, de sorte que la norme de la décision correcte est la norme de contrôle appli</w:t>
      </w:r>
      <w:r w:rsidR="004C3072" w:rsidRPr="00D5739B">
        <w:rPr>
          <w:lang w:val="fr-CA"/>
        </w:rPr>
        <w:t>cable</w:t>
      </w:r>
      <w:r w:rsidR="008D77C8" w:rsidRPr="00D5739B">
        <w:rPr>
          <w:lang w:val="fr-CA"/>
        </w:rPr>
        <w:t>. En l</w:t>
      </w:r>
      <w:r w:rsidR="00582B6A" w:rsidRPr="00D5739B">
        <w:rPr>
          <w:lang w:val="fr-CA"/>
        </w:rPr>
        <w:t>’</w:t>
      </w:r>
      <w:r w:rsidR="008D77C8" w:rsidRPr="00D5739B">
        <w:rPr>
          <w:lang w:val="fr-CA"/>
        </w:rPr>
        <w:t>espèce, et comme elle l</w:t>
      </w:r>
      <w:r w:rsidR="00582B6A" w:rsidRPr="00D5739B">
        <w:rPr>
          <w:lang w:val="fr-CA"/>
        </w:rPr>
        <w:t>’</w:t>
      </w:r>
      <w:r w:rsidR="00D0283B" w:rsidRPr="00D5739B">
        <w:rPr>
          <w:lang w:val="fr-CA"/>
        </w:rPr>
        <w:t>a</w:t>
      </w:r>
      <w:r w:rsidR="005340D8" w:rsidRPr="00D5739B">
        <w:rPr>
          <w:lang w:val="fr-CA"/>
        </w:rPr>
        <w:t xml:space="preserve"> reconn</w:t>
      </w:r>
      <w:r w:rsidR="00D0283B" w:rsidRPr="00D5739B">
        <w:rPr>
          <w:lang w:val="fr-CA"/>
        </w:rPr>
        <w:t>u</w:t>
      </w:r>
      <w:r w:rsidR="008D77C8" w:rsidRPr="00D5739B">
        <w:rPr>
          <w:lang w:val="fr-CA"/>
        </w:rPr>
        <w:t xml:space="preserve"> elle</w:t>
      </w:r>
      <w:r w:rsidR="00582B6A" w:rsidRPr="00D5739B">
        <w:rPr>
          <w:lang w:val="fr-CA"/>
        </w:rPr>
        <w:noBreakHyphen/>
      </w:r>
      <w:r w:rsidR="008D77C8" w:rsidRPr="00D5739B">
        <w:rPr>
          <w:lang w:val="fr-CA"/>
        </w:rPr>
        <w:t>même, la Commission a agi dans l</w:t>
      </w:r>
      <w:r w:rsidR="00582B6A" w:rsidRPr="00D5739B">
        <w:rPr>
          <w:lang w:val="fr-CA"/>
        </w:rPr>
        <w:t>’</w:t>
      </w:r>
      <w:r w:rsidR="008D77C8" w:rsidRPr="00D5739B">
        <w:rPr>
          <w:lang w:val="fr-CA"/>
        </w:rPr>
        <w:t xml:space="preserve">exercice de son pouvoir de réglementation en adoptant le </w:t>
      </w:r>
      <w:r w:rsidR="00582B6A" w:rsidRPr="00D5739B">
        <w:rPr>
          <w:lang w:val="fr-CA"/>
        </w:rPr>
        <w:t>par. </w:t>
      </w:r>
      <w:r w:rsidR="008D77C8" w:rsidRPr="00D5739B">
        <w:rPr>
          <w:lang w:val="fr-CA"/>
        </w:rPr>
        <w:t>26.2(1), si bien qu</w:t>
      </w:r>
      <w:r w:rsidR="00582B6A" w:rsidRPr="00D5739B">
        <w:rPr>
          <w:lang w:val="fr-CA"/>
        </w:rPr>
        <w:t>’</w:t>
      </w:r>
      <w:r w:rsidR="008D77C8" w:rsidRPr="00D5739B">
        <w:rPr>
          <w:lang w:val="fr-CA"/>
        </w:rPr>
        <w:t>il n</w:t>
      </w:r>
      <w:r w:rsidR="00582B6A" w:rsidRPr="00D5739B">
        <w:rPr>
          <w:lang w:val="fr-CA"/>
        </w:rPr>
        <w:t>’</w:t>
      </w:r>
      <w:r w:rsidR="008D77C8" w:rsidRPr="00D5739B">
        <w:rPr>
          <w:lang w:val="fr-CA"/>
        </w:rPr>
        <w:t>y a pas lieu de déférer à sa conclusion selon laquelle e</w:t>
      </w:r>
      <w:r w:rsidR="00D0283B" w:rsidRPr="00D5739B">
        <w:rPr>
          <w:lang w:val="fr-CA"/>
        </w:rPr>
        <w:t>lle avait le pouvoir d</w:t>
      </w:r>
      <w:r w:rsidR="00582B6A" w:rsidRPr="00D5739B">
        <w:rPr>
          <w:lang w:val="fr-CA"/>
        </w:rPr>
        <w:t>’</w:t>
      </w:r>
      <w:r w:rsidR="00D0283B" w:rsidRPr="00D5739B">
        <w:rPr>
          <w:lang w:val="fr-CA"/>
        </w:rPr>
        <w:t xml:space="preserve">adopter </w:t>
      </w:r>
      <w:r w:rsidR="00705F0D" w:rsidRPr="00D5739B">
        <w:rPr>
          <w:lang w:val="fr-CA"/>
        </w:rPr>
        <w:t>le règlement</w:t>
      </w:r>
      <w:r w:rsidR="008D77C8" w:rsidRPr="00D5739B">
        <w:rPr>
          <w:lang w:val="fr-CA"/>
        </w:rPr>
        <w:t>.</w:t>
      </w:r>
    </w:p>
    <w:p w:rsidR="008D77C8" w:rsidRPr="00D5739B" w:rsidRDefault="008D77C8" w:rsidP="00582B6A">
      <w:pPr>
        <w:pStyle w:val="SCCNormalDoubleSpacing"/>
        <w:spacing w:before="480" w:after="480"/>
        <w:rPr>
          <w:lang w:val="fr-CA"/>
        </w:rPr>
      </w:pPr>
      <w:r w:rsidRPr="00D5739B">
        <w:rPr>
          <w:lang w:val="fr-CA"/>
        </w:rPr>
        <w:t xml:space="preserve"> </w:t>
      </w:r>
      <w:r w:rsidRPr="00D5739B">
        <w:rPr>
          <w:lang w:val="fr-CA"/>
        </w:rPr>
        <w:tab/>
      </w:r>
      <w:r w:rsidR="00F725B8" w:rsidRPr="00D5739B">
        <w:rPr>
          <w:lang w:val="fr-CA"/>
        </w:rPr>
        <w:t xml:space="preserve">Un règlement ne </w:t>
      </w:r>
      <w:r w:rsidR="00A600AC" w:rsidRPr="00D5739B">
        <w:rPr>
          <w:lang w:val="fr-CA"/>
        </w:rPr>
        <w:t>saurai</w:t>
      </w:r>
      <w:r w:rsidR="00F725B8" w:rsidRPr="00D5739B">
        <w:rPr>
          <w:lang w:val="fr-CA"/>
        </w:rPr>
        <w:t>t miner l</w:t>
      </w:r>
      <w:r w:rsidR="00582B6A" w:rsidRPr="00D5739B">
        <w:rPr>
          <w:lang w:val="fr-CA"/>
        </w:rPr>
        <w:t>’</w:t>
      </w:r>
      <w:r w:rsidR="00F725B8" w:rsidRPr="00D5739B">
        <w:rPr>
          <w:lang w:val="fr-CA"/>
        </w:rPr>
        <w:t>application de la loi dans son ensemble en rendant le propriétaire débiteur d</w:t>
      </w:r>
      <w:r w:rsidR="00582B6A" w:rsidRPr="00D5739B">
        <w:rPr>
          <w:lang w:val="fr-CA"/>
        </w:rPr>
        <w:t>’</w:t>
      </w:r>
      <w:r w:rsidR="00F725B8" w:rsidRPr="00D5739B">
        <w:rPr>
          <w:lang w:val="fr-CA"/>
        </w:rPr>
        <w:t>obligations que la Loi ne prévoit clairement pas. Par l</w:t>
      </w:r>
      <w:r w:rsidR="00582B6A" w:rsidRPr="00D5739B">
        <w:rPr>
          <w:lang w:val="fr-CA"/>
        </w:rPr>
        <w:t>’</w:t>
      </w:r>
      <w:r w:rsidR="00F725B8" w:rsidRPr="00D5739B">
        <w:rPr>
          <w:lang w:val="fr-CA"/>
        </w:rPr>
        <w:t xml:space="preserve">adoption du </w:t>
      </w:r>
      <w:r w:rsidR="00582B6A" w:rsidRPr="00D5739B">
        <w:rPr>
          <w:lang w:val="fr-CA"/>
        </w:rPr>
        <w:t>par. </w:t>
      </w:r>
      <w:r w:rsidR="00F725B8" w:rsidRPr="00D5739B">
        <w:rPr>
          <w:lang w:val="fr-CA"/>
        </w:rPr>
        <w:t>26.2(1), la Commission a outrepassé son mandat et débordé le cadre de son pouvoir délégué en confondant indûment les obligations du propriétaire et celles de l</w:t>
      </w:r>
      <w:r w:rsidR="00582B6A" w:rsidRPr="00D5739B">
        <w:rPr>
          <w:lang w:val="fr-CA"/>
        </w:rPr>
        <w:t>’</w:t>
      </w:r>
      <w:r w:rsidR="00F725B8" w:rsidRPr="00D5739B">
        <w:rPr>
          <w:lang w:val="fr-CA"/>
        </w:rPr>
        <w:t>employeur, alors que le régime législatif impose à l</w:t>
      </w:r>
      <w:r w:rsidR="00582B6A" w:rsidRPr="00D5739B">
        <w:rPr>
          <w:lang w:val="fr-CA"/>
        </w:rPr>
        <w:t>’</w:t>
      </w:r>
      <w:r w:rsidR="00F725B8" w:rsidRPr="00D5739B">
        <w:rPr>
          <w:lang w:val="fr-CA"/>
        </w:rPr>
        <w:t>un et à l</w:t>
      </w:r>
      <w:r w:rsidR="00582B6A" w:rsidRPr="00D5739B">
        <w:rPr>
          <w:lang w:val="fr-CA"/>
        </w:rPr>
        <w:t>’</w:t>
      </w:r>
      <w:r w:rsidR="00F725B8" w:rsidRPr="00D5739B">
        <w:rPr>
          <w:lang w:val="fr-CA"/>
        </w:rPr>
        <w:t>autre des obligations distinctes et définies à l</w:t>
      </w:r>
      <w:r w:rsidR="00582B6A" w:rsidRPr="00D5739B">
        <w:rPr>
          <w:lang w:val="fr-CA"/>
        </w:rPr>
        <w:t>’</w:t>
      </w:r>
      <w:r w:rsidR="00F725B8" w:rsidRPr="00D5739B">
        <w:rPr>
          <w:lang w:val="fr-CA"/>
        </w:rPr>
        <w:t xml:space="preserve">égard du lieu de travail. Le régime législatif définit « employeur » et « propriétaire » comme étant des entités séparées et </w:t>
      </w:r>
      <w:r w:rsidR="00705F0D" w:rsidRPr="00D5739B">
        <w:rPr>
          <w:lang w:val="fr-CA"/>
        </w:rPr>
        <w:t xml:space="preserve">il </w:t>
      </w:r>
      <w:r w:rsidR="00037B68" w:rsidRPr="00D5739B">
        <w:rPr>
          <w:lang w:val="fr-CA"/>
        </w:rPr>
        <w:t>distingu</w:t>
      </w:r>
      <w:r w:rsidR="00F725B8" w:rsidRPr="00D5739B">
        <w:rPr>
          <w:lang w:val="fr-CA"/>
        </w:rPr>
        <w:t xml:space="preserve">e expressément </w:t>
      </w:r>
      <w:r w:rsidR="00037B68" w:rsidRPr="00D5739B">
        <w:rPr>
          <w:lang w:val="fr-CA"/>
        </w:rPr>
        <w:t xml:space="preserve">leurs obligations </w:t>
      </w:r>
      <w:proofErr w:type="gramStart"/>
      <w:r w:rsidR="00F725B8" w:rsidRPr="00D5739B">
        <w:rPr>
          <w:lang w:val="fr-CA"/>
        </w:rPr>
        <w:t xml:space="preserve">aux </w:t>
      </w:r>
      <w:r w:rsidR="00582B6A" w:rsidRPr="00D5739B">
        <w:rPr>
          <w:lang w:val="fr-CA"/>
        </w:rPr>
        <w:t>art</w:t>
      </w:r>
      <w:proofErr w:type="gramEnd"/>
      <w:r w:rsidR="00582B6A" w:rsidRPr="00D5739B">
        <w:rPr>
          <w:lang w:val="fr-CA"/>
        </w:rPr>
        <w:t>. </w:t>
      </w:r>
      <w:r w:rsidR="00F725B8" w:rsidRPr="00D5739B">
        <w:rPr>
          <w:lang w:val="fr-CA"/>
        </w:rPr>
        <w:t xml:space="preserve">115 à 121. </w:t>
      </w:r>
      <w:r w:rsidR="00834AEF" w:rsidRPr="00D5739B">
        <w:rPr>
          <w:lang w:val="fr-CA"/>
        </w:rPr>
        <w:t xml:space="preserve">Lus ensemble, </w:t>
      </w:r>
      <w:proofErr w:type="gramStart"/>
      <w:r w:rsidR="00834AEF" w:rsidRPr="00D5739B">
        <w:rPr>
          <w:lang w:val="fr-CA"/>
        </w:rPr>
        <w:t xml:space="preserve">les </w:t>
      </w:r>
      <w:r w:rsidR="00582B6A" w:rsidRPr="00D5739B">
        <w:rPr>
          <w:lang w:val="fr-CA"/>
        </w:rPr>
        <w:t>art</w:t>
      </w:r>
      <w:proofErr w:type="gramEnd"/>
      <w:r w:rsidR="00582B6A" w:rsidRPr="00D5739B">
        <w:rPr>
          <w:lang w:val="fr-CA"/>
        </w:rPr>
        <w:t>. </w:t>
      </w:r>
      <w:r w:rsidR="00834AEF" w:rsidRPr="00D5739B">
        <w:rPr>
          <w:lang w:val="fr-CA"/>
        </w:rPr>
        <w:t>115 et 119, qui énoncent les obligations générales respectives de l</w:t>
      </w:r>
      <w:r w:rsidR="00582B6A" w:rsidRPr="00D5739B">
        <w:rPr>
          <w:lang w:val="fr-CA"/>
        </w:rPr>
        <w:t>’</w:t>
      </w:r>
      <w:r w:rsidR="00834AEF" w:rsidRPr="00D5739B">
        <w:rPr>
          <w:lang w:val="fr-CA"/>
        </w:rPr>
        <w:t>employeur et du propriétaire, créent des catégories distinctes d</w:t>
      </w:r>
      <w:r w:rsidR="00582B6A" w:rsidRPr="00D5739B">
        <w:rPr>
          <w:lang w:val="fr-CA"/>
        </w:rPr>
        <w:t>’</w:t>
      </w:r>
      <w:r w:rsidR="00834AEF" w:rsidRPr="00D5739B">
        <w:rPr>
          <w:lang w:val="fr-CA"/>
        </w:rPr>
        <w:t>obligations, les obligations de l</w:t>
      </w:r>
      <w:r w:rsidR="00582B6A" w:rsidRPr="00D5739B">
        <w:rPr>
          <w:lang w:val="fr-CA"/>
        </w:rPr>
        <w:t>’</w:t>
      </w:r>
      <w:r w:rsidR="00834AEF" w:rsidRPr="00D5739B">
        <w:rPr>
          <w:lang w:val="fr-CA"/>
        </w:rPr>
        <w:t xml:space="preserve">employeur et celles du propriétaire étant liées à la fonction et </w:t>
      </w:r>
      <w:proofErr w:type="gramStart"/>
      <w:r w:rsidR="00834AEF" w:rsidRPr="00D5739B">
        <w:rPr>
          <w:lang w:val="fr-CA"/>
        </w:rPr>
        <w:t>à la capacité particulières</w:t>
      </w:r>
      <w:proofErr w:type="gramEnd"/>
      <w:r w:rsidR="00834AEF" w:rsidRPr="00D5739B">
        <w:rPr>
          <w:lang w:val="fr-CA"/>
        </w:rPr>
        <w:t xml:space="preserve"> de chacun d</w:t>
      </w:r>
      <w:r w:rsidR="00582B6A" w:rsidRPr="00D5739B">
        <w:rPr>
          <w:lang w:val="fr-CA"/>
        </w:rPr>
        <w:t>’</w:t>
      </w:r>
      <w:r w:rsidR="00834AEF" w:rsidRPr="00D5739B">
        <w:rPr>
          <w:lang w:val="fr-CA"/>
        </w:rPr>
        <w:t xml:space="preserve">eux </w:t>
      </w:r>
      <w:r w:rsidR="00834AEF" w:rsidRPr="00D5739B">
        <w:rPr>
          <w:lang w:val="fr-CA"/>
        </w:rPr>
        <w:lastRenderedPageBreak/>
        <w:t>d</w:t>
      </w:r>
      <w:r w:rsidR="00582B6A" w:rsidRPr="00D5739B">
        <w:rPr>
          <w:lang w:val="fr-CA"/>
        </w:rPr>
        <w:t>’</w:t>
      </w:r>
      <w:r w:rsidR="00834AEF" w:rsidRPr="00D5739B">
        <w:rPr>
          <w:lang w:val="fr-CA"/>
        </w:rPr>
        <w:t xml:space="preserve">assurer la sécurité du lieu de travail. </w:t>
      </w:r>
      <w:r w:rsidR="004C3072" w:rsidRPr="00D5739B">
        <w:rPr>
          <w:lang w:val="fr-CA"/>
        </w:rPr>
        <w:t>Du fait de la surveillance qu</w:t>
      </w:r>
      <w:r w:rsidR="00582B6A" w:rsidRPr="00D5739B">
        <w:rPr>
          <w:lang w:val="fr-CA"/>
        </w:rPr>
        <w:t>’</w:t>
      </w:r>
      <w:r w:rsidR="004C3072" w:rsidRPr="00D5739B">
        <w:rPr>
          <w:lang w:val="fr-CA"/>
        </w:rPr>
        <w:t>il exerce directement sur eux, l</w:t>
      </w:r>
      <w:r w:rsidR="00582B6A" w:rsidRPr="00D5739B">
        <w:rPr>
          <w:lang w:val="fr-CA"/>
        </w:rPr>
        <w:t>’</w:t>
      </w:r>
      <w:r w:rsidR="00834AEF" w:rsidRPr="00D5739B">
        <w:rPr>
          <w:lang w:val="fr-CA"/>
        </w:rPr>
        <w:t>employeur est le mieux placé pour faire en sorte que les travailleurs soient informés des risques connus ou raisonnablement prévisibles pour leur sécurité. Le propriétaire est le mieux placé pour s</w:t>
      </w:r>
      <w:r w:rsidR="00582B6A" w:rsidRPr="00D5739B">
        <w:rPr>
          <w:lang w:val="fr-CA"/>
        </w:rPr>
        <w:t>’</w:t>
      </w:r>
      <w:r w:rsidR="00834AEF" w:rsidRPr="00D5739B">
        <w:rPr>
          <w:lang w:val="fr-CA"/>
        </w:rPr>
        <w:t>acquitter au niveau macro d</w:t>
      </w:r>
      <w:r w:rsidR="00582B6A" w:rsidRPr="00D5739B">
        <w:rPr>
          <w:lang w:val="fr-CA"/>
        </w:rPr>
        <w:t>’</w:t>
      </w:r>
      <w:r w:rsidR="00834AEF" w:rsidRPr="00D5739B">
        <w:rPr>
          <w:lang w:val="fr-CA"/>
        </w:rPr>
        <w:t>obligations liées au lieu de travail plus généralement.</w:t>
      </w:r>
    </w:p>
    <w:p w:rsidR="00834AEF" w:rsidRPr="00D5739B" w:rsidRDefault="00834AEF" w:rsidP="00582B6A">
      <w:pPr>
        <w:pStyle w:val="SCCNormalDoubleSpacing"/>
        <w:spacing w:before="480" w:after="480"/>
        <w:rPr>
          <w:lang w:val="fr-CA"/>
        </w:rPr>
      </w:pPr>
      <w:r w:rsidRPr="00D5739B">
        <w:rPr>
          <w:lang w:val="fr-CA"/>
        </w:rPr>
        <w:tab/>
      </w:r>
      <w:r w:rsidR="00DF4BDF" w:rsidRPr="00D5739B">
        <w:rPr>
          <w:lang w:val="fr-CA"/>
        </w:rPr>
        <w:t>Cette interprétation fondée sur la structure d</w:t>
      </w:r>
      <w:r w:rsidR="005340D8" w:rsidRPr="00D5739B">
        <w:rPr>
          <w:lang w:val="fr-CA"/>
        </w:rPr>
        <w:t>u texte législatif</w:t>
      </w:r>
      <w:r w:rsidR="00DF4BDF" w:rsidRPr="00D5739B">
        <w:rPr>
          <w:lang w:val="fr-CA"/>
        </w:rPr>
        <w:t xml:space="preserve"> est étayée par l</w:t>
      </w:r>
      <w:r w:rsidR="00582B6A" w:rsidRPr="00D5739B">
        <w:rPr>
          <w:lang w:val="fr-CA"/>
        </w:rPr>
        <w:t>’al. </w:t>
      </w:r>
      <w:r w:rsidR="00DF4BDF" w:rsidRPr="00D5739B">
        <w:rPr>
          <w:lang w:val="fr-CA"/>
        </w:rPr>
        <w:t>107(2)e) de la Loi</w:t>
      </w:r>
      <w:r w:rsidR="005340D8" w:rsidRPr="00D5739B">
        <w:rPr>
          <w:lang w:val="fr-CA"/>
        </w:rPr>
        <w:t>,</w:t>
      </w:r>
      <w:r w:rsidR="00DF4BDF" w:rsidRPr="00D5739B">
        <w:rPr>
          <w:lang w:val="fr-CA"/>
        </w:rPr>
        <w:t xml:space="preserve"> selon lequel l</w:t>
      </w:r>
      <w:r w:rsidR="00582B6A" w:rsidRPr="00D5739B">
        <w:rPr>
          <w:lang w:val="fr-CA"/>
        </w:rPr>
        <w:t>’</w:t>
      </w:r>
      <w:r w:rsidR="00DF4BDF" w:rsidRPr="00D5739B">
        <w:rPr>
          <w:lang w:val="fr-CA"/>
        </w:rPr>
        <w:t xml:space="preserve">un des objectifs de la partie 3 de la Loi est </w:t>
      </w:r>
      <w:r w:rsidR="005340D8" w:rsidRPr="00D5739B">
        <w:rPr>
          <w:lang w:val="fr-CA"/>
        </w:rPr>
        <w:t xml:space="preserve">de faire en sorte </w:t>
      </w:r>
      <w:r w:rsidR="00DF4BDF" w:rsidRPr="00D5739B">
        <w:rPr>
          <w:lang w:val="fr-CA"/>
        </w:rPr>
        <w:t>qu</w:t>
      </w:r>
      <w:r w:rsidR="00582B6A" w:rsidRPr="00D5739B">
        <w:rPr>
          <w:lang w:val="fr-CA"/>
        </w:rPr>
        <w:t>’</w:t>
      </w:r>
      <w:r w:rsidR="00DF4BDF" w:rsidRPr="00D5739B">
        <w:rPr>
          <w:lang w:val="fr-CA"/>
        </w:rPr>
        <w:t>employeurs, travailleurs et autres personnes susceptibles d</w:t>
      </w:r>
      <w:r w:rsidR="00582B6A" w:rsidRPr="00D5739B">
        <w:rPr>
          <w:lang w:val="fr-CA"/>
        </w:rPr>
        <w:t>’</w:t>
      </w:r>
      <w:r w:rsidR="00DF4BDF" w:rsidRPr="00D5739B">
        <w:rPr>
          <w:lang w:val="fr-CA"/>
        </w:rPr>
        <w:t xml:space="preserve">influer sur la santé et la sécurité des travailleurs partagent cette obligation dans la mesure où ils ont le pouvoir et la capacité </w:t>
      </w:r>
      <w:r w:rsidR="00705F0D" w:rsidRPr="00D5739B">
        <w:rPr>
          <w:lang w:val="fr-CA"/>
        </w:rPr>
        <w:t>que cela requiert</w:t>
      </w:r>
      <w:r w:rsidR="00DF4BDF" w:rsidRPr="00D5739B">
        <w:rPr>
          <w:lang w:val="fr-CA"/>
        </w:rPr>
        <w:t>. Qui plus est, l</w:t>
      </w:r>
      <w:r w:rsidR="00582B6A" w:rsidRPr="00D5739B">
        <w:rPr>
          <w:lang w:val="fr-CA"/>
        </w:rPr>
        <w:t>’al. </w:t>
      </w:r>
      <w:r w:rsidR="00DF4BDF" w:rsidRPr="00D5739B">
        <w:rPr>
          <w:lang w:val="fr-CA"/>
        </w:rPr>
        <w:t>107(2)e) précise que la Loi n</w:t>
      </w:r>
      <w:r w:rsidR="00582B6A" w:rsidRPr="00D5739B">
        <w:rPr>
          <w:lang w:val="fr-CA"/>
        </w:rPr>
        <w:t>’</w:t>
      </w:r>
      <w:r w:rsidR="00DF4BDF" w:rsidRPr="00D5739B">
        <w:rPr>
          <w:lang w:val="fr-CA"/>
        </w:rPr>
        <w:t>impose des obligations aux personnes visées que dans la mesure où elles ont le pouvoir et la capacité de s</w:t>
      </w:r>
      <w:r w:rsidR="00582B6A" w:rsidRPr="00D5739B">
        <w:rPr>
          <w:lang w:val="fr-CA"/>
        </w:rPr>
        <w:t>’</w:t>
      </w:r>
      <w:r w:rsidR="00DF4BDF" w:rsidRPr="00D5739B">
        <w:rPr>
          <w:lang w:val="fr-CA"/>
        </w:rPr>
        <w:t>en acquitter, ce qui s</w:t>
      </w:r>
      <w:r w:rsidR="00582B6A" w:rsidRPr="00D5739B">
        <w:rPr>
          <w:lang w:val="fr-CA"/>
        </w:rPr>
        <w:t>’</w:t>
      </w:r>
      <w:r w:rsidR="00DF4BDF" w:rsidRPr="00D5739B">
        <w:rPr>
          <w:lang w:val="fr-CA"/>
        </w:rPr>
        <w:t>accorde avec la manière dont les obligations sont attribuées à l</w:t>
      </w:r>
      <w:r w:rsidR="00582B6A" w:rsidRPr="00D5739B">
        <w:rPr>
          <w:lang w:val="fr-CA"/>
        </w:rPr>
        <w:t>’</w:t>
      </w:r>
      <w:r w:rsidR="00DF4BDF" w:rsidRPr="00D5739B">
        <w:rPr>
          <w:lang w:val="fr-CA"/>
        </w:rPr>
        <w:t xml:space="preserve">employeur et au propriétaire </w:t>
      </w:r>
      <w:proofErr w:type="gramStart"/>
      <w:r w:rsidR="00DF4BDF" w:rsidRPr="00D5739B">
        <w:rPr>
          <w:lang w:val="fr-CA"/>
        </w:rPr>
        <w:t xml:space="preserve">aux </w:t>
      </w:r>
      <w:r w:rsidR="00582B6A" w:rsidRPr="00D5739B">
        <w:rPr>
          <w:lang w:val="fr-CA"/>
        </w:rPr>
        <w:t>art</w:t>
      </w:r>
      <w:proofErr w:type="gramEnd"/>
      <w:r w:rsidR="00582B6A" w:rsidRPr="00D5739B">
        <w:rPr>
          <w:lang w:val="fr-CA"/>
        </w:rPr>
        <w:t>. </w:t>
      </w:r>
      <w:r w:rsidR="00DF4BDF" w:rsidRPr="00D5739B">
        <w:rPr>
          <w:lang w:val="fr-CA"/>
        </w:rPr>
        <w:t xml:space="preserve">115 et 119 de la Loi. De plus, il limite expressément la mesure dans laquelle </w:t>
      </w:r>
      <w:r w:rsidR="00D910C4" w:rsidRPr="00D5739B">
        <w:rPr>
          <w:lang w:val="fr-CA"/>
        </w:rPr>
        <w:t xml:space="preserve">le législateur poursuit cet objectif </w:t>
      </w:r>
      <w:r w:rsidR="00DF4BDF" w:rsidRPr="00D5739B">
        <w:rPr>
          <w:lang w:val="fr-CA"/>
        </w:rPr>
        <w:t>et les moyens avec lesquels</w:t>
      </w:r>
      <w:r w:rsidR="00D910C4" w:rsidRPr="00D5739B">
        <w:rPr>
          <w:lang w:val="fr-CA"/>
        </w:rPr>
        <w:t xml:space="preserve"> il le </w:t>
      </w:r>
      <w:r w:rsidR="00D80BBF" w:rsidRPr="00D5739B">
        <w:rPr>
          <w:lang w:val="fr-CA"/>
        </w:rPr>
        <w:t>fa</w:t>
      </w:r>
      <w:r w:rsidR="00D910C4" w:rsidRPr="00D5739B">
        <w:rPr>
          <w:lang w:val="fr-CA"/>
        </w:rPr>
        <w:t>it</w:t>
      </w:r>
      <w:r w:rsidR="00DF4BDF" w:rsidRPr="00D5739B">
        <w:rPr>
          <w:lang w:val="fr-CA"/>
        </w:rPr>
        <w:t xml:space="preserve">. Le </w:t>
      </w:r>
      <w:r w:rsidR="004E173C">
        <w:rPr>
          <w:lang w:val="fr-CA"/>
        </w:rPr>
        <w:t>paragraphe</w:t>
      </w:r>
      <w:r w:rsidR="00582B6A" w:rsidRPr="00D5739B">
        <w:rPr>
          <w:lang w:val="fr-CA"/>
        </w:rPr>
        <w:t> </w:t>
      </w:r>
      <w:r w:rsidR="00DF4BDF" w:rsidRPr="00D5739B">
        <w:rPr>
          <w:lang w:val="fr-CA"/>
        </w:rPr>
        <w:t xml:space="preserve">26.2(1) ne respecte pas </w:t>
      </w:r>
      <w:r w:rsidR="004C3072" w:rsidRPr="00D5739B">
        <w:rPr>
          <w:lang w:val="fr-CA"/>
        </w:rPr>
        <w:t>cette</w:t>
      </w:r>
      <w:r w:rsidR="00DF4BDF" w:rsidRPr="00D5739B">
        <w:rPr>
          <w:lang w:val="fr-CA"/>
        </w:rPr>
        <w:t xml:space="preserve"> répartition des obligations. Il oblige le propriétaire à faire en sorte que les activités soient planifiées et exercées d</w:t>
      </w:r>
      <w:r w:rsidR="00582B6A" w:rsidRPr="00D5739B">
        <w:rPr>
          <w:lang w:val="fr-CA"/>
        </w:rPr>
        <w:t>’</w:t>
      </w:r>
      <w:r w:rsidR="00DF4BDF" w:rsidRPr="00D5739B">
        <w:rPr>
          <w:lang w:val="fr-CA"/>
        </w:rPr>
        <w:t xml:space="preserve">une certaine manière. Cette obligation au niveau micro se distingue nettement des obligations au niveau macro </w:t>
      </w:r>
      <w:r w:rsidR="00BA31E1" w:rsidRPr="00D5739B">
        <w:rPr>
          <w:lang w:val="fr-CA"/>
        </w:rPr>
        <w:t>relatives</w:t>
      </w:r>
      <w:r w:rsidR="00DF4BDF" w:rsidRPr="00D5739B">
        <w:rPr>
          <w:lang w:val="fr-CA"/>
        </w:rPr>
        <w:t xml:space="preserve"> à l</w:t>
      </w:r>
      <w:r w:rsidR="00582B6A" w:rsidRPr="00D5739B">
        <w:rPr>
          <w:lang w:val="fr-CA"/>
        </w:rPr>
        <w:t>’</w:t>
      </w:r>
      <w:r w:rsidR="00DF4BDF" w:rsidRPr="00D5739B">
        <w:rPr>
          <w:lang w:val="fr-CA"/>
        </w:rPr>
        <w:t>état du lieu de travail qui incombent au propriétaire suivant l</w:t>
      </w:r>
      <w:r w:rsidR="00582B6A" w:rsidRPr="00D5739B">
        <w:rPr>
          <w:lang w:val="fr-CA"/>
        </w:rPr>
        <w:t>’art. </w:t>
      </w:r>
      <w:r w:rsidR="00DF4BDF" w:rsidRPr="00D5739B">
        <w:rPr>
          <w:lang w:val="fr-CA"/>
        </w:rPr>
        <w:t xml:space="preserve">119. En imposant au propriétaire une obligation que la Loi réserve </w:t>
      </w:r>
      <w:r w:rsidR="00BA31E1" w:rsidRPr="00D5739B">
        <w:rPr>
          <w:lang w:val="fr-CA"/>
        </w:rPr>
        <w:t>à</w:t>
      </w:r>
      <w:r w:rsidR="00DF4BDF" w:rsidRPr="00D5739B">
        <w:rPr>
          <w:lang w:val="fr-CA"/>
        </w:rPr>
        <w:t xml:space="preserve"> </w:t>
      </w:r>
      <w:r w:rsidR="00BA31E1" w:rsidRPr="00D5739B">
        <w:rPr>
          <w:lang w:val="fr-CA"/>
        </w:rPr>
        <w:t>l</w:t>
      </w:r>
      <w:r w:rsidR="00582B6A" w:rsidRPr="00D5739B">
        <w:rPr>
          <w:lang w:val="fr-CA"/>
        </w:rPr>
        <w:t>’</w:t>
      </w:r>
      <w:r w:rsidR="00DF4BDF" w:rsidRPr="00D5739B">
        <w:rPr>
          <w:lang w:val="fr-CA"/>
        </w:rPr>
        <w:t xml:space="preserve">employeur, la Commission a contrevenu à la structure claire de la division des obligations dans la Loi. </w:t>
      </w:r>
      <w:r w:rsidR="004A137A" w:rsidRPr="00D5739B">
        <w:rPr>
          <w:lang w:val="fr-CA"/>
        </w:rPr>
        <w:t xml:space="preserve">Les facteurs contextuels externes dont font mention les juges majoritaires ne sont ni convaincants ni pertinents; ils ne </w:t>
      </w:r>
      <w:r w:rsidR="004A137A" w:rsidRPr="00D5739B">
        <w:rPr>
          <w:lang w:val="fr-CA"/>
        </w:rPr>
        <w:lastRenderedPageBreak/>
        <w:t>permettent pas à la Commission de miner le régime établi par le législateur pour assurer la santé et la sécurité au travail.</w:t>
      </w:r>
    </w:p>
    <w:p w:rsidR="004A137A" w:rsidRPr="00D5739B" w:rsidRDefault="004A137A" w:rsidP="00582B6A">
      <w:pPr>
        <w:pStyle w:val="SCCNormalDoubleSpacing"/>
        <w:spacing w:before="480" w:after="480"/>
        <w:rPr>
          <w:lang w:val="fr-CA"/>
        </w:rPr>
      </w:pPr>
      <w:r w:rsidRPr="00D5739B">
        <w:rPr>
          <w:lang w:val="fr-CA"/>
        </w:rPr>
        <w:tab/>
        <w:t xml:space="preserve">À supposer même que la disposition réglementaire contestée soit </w:t>
      </w:r>
      <w:r w:rsidRPr="00D5739B">
        <w:rPr>
          <w:i/>
          <w:lang w:val="fr-CA"/>
        </w:rPr>
        <w:t>intra vires</w:t>
      </w:r>
      <w:r w:rsidRPr="00D5739B">
        <w:rPr>
          <w:lang w:val="fr-CA"/>
        </w:rPr>
        <w:t>, il n</w:t>
      </w:r>
      <w:r w:rsidR="00582B6A" w:rsidRPr="00D5739B">
        <w:rPr>
          <w:lang w:val="fr-CA"/>
        </w:rPr>
        <w:t>’</w:t>
      </w:r>
      <w:r w:rsidRPr="00D5739B">
        <w:rPr>
          <w:lang w:val="fr-CA"/>
        </w:rPr>
        <w:t>existe aucun lien entre l</w:t>
      </w:r>
      <w:r w:rsidR="00582B6A" w:rsidRPr="00D5739B">
        <w:rPr>
          <w:lang w:val="fr-CA"/>
        </w:rPr>
        <w:t>’</w:t>
      </w:r>
      <w:r w:rsidRPr="00D5739B">
        <w:rPr>
          <w:lang w:val="fr-CA"/>
        </w:rPr>
        <w:t>infraction sous</w:t>
      </w:r>
      <w:r w:rsidR="00582B6A" w:rsidRPr="00D5739B">
        <w:rPr>
          <w:lang w:val="fr-CA"/>
        </w:rPr>
        <w:noBreakHyphen/>
      </w:r>
      <w:r w:rsidRPr="00D5739B">
        <w:rPr>
          <w:lang w:val="fr-CA"/>
        </w:rPr>
        <w:t>jacente et l</w:t>
      </w:r>
      <w:r w:rsidR="00582B6A" w:rsidRPr="00D5739B">
        <w:rPr>
          <w:lang w:val="fr-CA"/>
        </w:rPr>
        <w:t>’</w:t>
      </w:r>
      <w:r w:rsidRPr="00D5739B">
        <w:rPr>
          <w:lang w:val="fr-CA"/>
        </w:rPr>
        <w:t xml:space="preserve">imposition de la sanction administrative. West Fraser </w:t>
      </w:r>
      <w:r w:rsidR="00BA31E1" w:rsidRPr="00D5739B">
        <w:rPr>
          <w:lang w:val="fr-CA"/>
        </w:rPr>
        <w:t xml:space="preserve">Mills </w:t>
      </w:r>
      <w:r w:rsidRPr="00D5739B">
        <w:rPr>
          <w:lang w:val="fr-CA"/>
        </w:rPr>
        <w:t>a été accusée d</w:t>
      </w:r>
      <w:r w:rsidR="00582B6A" w:rsidRPr="00D5739B">
        <w:rPr>
          <w:lang w:val="fr-CA"/>
        </w:rPr>
        <w:t>’</w:t>
      </w:r>
      <w:r w:rsidRPr="00D5739B">
        <w:rPr>
          <w:lang w:val="fr-CA"/>
        </w:rPr>
        <w:t xml:space="preserve">avoir violé ses obligations à titre de propriétaire </w:t>
      </w:r>
      <w:r w:rsidR="00BA31E1" w:rsidRPr="00D5739B">
        <w:rPr>
          <w:lang w:val="fr-CA"/>
        </w:rPr>
        <w:t>suivant le</w:t>
      </w:r>
      <w:r w:rsidRPr="00D5739B">
        <w:rPr>
          <w:lang w:val="fr-CA"/>
        </w:rPr>
        <w:t xml:space="preserve"> </w:t>
      </w:r>
      <w:r w:rsidR="00582B6A" w:rsidRPr="00D5739B">
        <w:rPr>
          <w:lang w:val="fr-CA"/>
        </w:rPr>
        <w:t>par. </w:t>
      </w:r>
      <w:r w:rsidRPr="00D5739B">
        <w:rPr>
          <w:lang w:val="fr-CA"/>
        </w:rPr>
        <w:t>26.2(1) du Règlement. Elle a cependant fait l</w:t>
      </w:r>
      <w:r w:rsidR="00582B6A" w:rsidRPr="00D5739B">
        <w:rPr>
          <w:lang w:val="fr-CA"/>
        </w:rPr>
        <w:t>’</w:t>
      </w:r>
      <w:r w:rsidRPr="00D5739B">
        <w:rPr>
          <w:lang w:val="fr-CA"/>
        </w:rPr>
        <w:t xml:space="preserve">objet, </w:t>
      </w:r>
      <w:r w:rsidR="00BA31E1" w:rsidRPr="00D5739B">
        <w:rPr>
          <w:lang w:val="fr-CA"/>
        </w:rPr>
        <w:t>par application du</w:t>
      </w:r>
      <w:r w:rsidRPr="00D5739B">
        <w:rPr>
          <w:lang w:val="fr-CA"/>
        </w:rPr>
        <w:t xml:space="preserve"> </w:t>
      </w:r>
      <w:r w:rsidR="00582B6A" w:rsidRPr="00D5739B">
        <w:rPr>
          <w:lang w:val="fr-CA"/>
        </w:rPr>
        <w:t>par. </w:t>
      </w:r>
      <w:r w:rsidRPr="00D5739B">
        <w:rPr>
          <w:lang w:val="fr-CA"/>
        </w:rPr>
        <w:t>196(1) de la Loi, d</w:t>
      </w:r>
      <w:r w:rsidR="00582B6A" w:rsidRPr="00D5739B">
        <w:rPr>
          <w:lang w:val="fr-CA"/>
        </w:rPr>
        <w:t>’</w:t>
      </w:r>
      <w:r w:rsidRPr="00D5739B">
        <w:rPr>
          <w:lang w:val="fr-CA"/>
        </w:rPr>
        <w:t>une sanction administrative que la Commission ne peut imposer qu</w:t>
      </w:r>
      <w:r w:rsidR="00582B6A" w:rsidRPr="00D5739B">
        <w:rPr>
          <w:lang w:val="fr-CA"/>
        </w:rPr>
        <w:t>’</w:t>
      </w:r>
      <w:r w:rsidRPr="00D5739B">
        <w:rPr>
          <w:lang w:val="fr-CA"/>
        </w:rPr>
        <w:t>à une entité agissant à titre d</w:t>
      </w:r>
      <w:r w:rsidR="00582B6A" w:rsidRPr="00D5739B">
        <w:rPr>
          <w:lang w:val="fr-CA"/>
        </w:rPr>
        <w:t>’</w:t>
      </w:r>
      <w:r w:rsidRPr="00D5739B">
        <w:rPr>
          <w:lang w:val="fr-CA"/>
        </w:rPr>
        <w:t>employeur. La décision était manifestement déraisonnable.</w:t>
      </w:r>
    </w:p>
    <w:p w:rsidR="00390D74" w:rsidRPr="00D5739B" w:rsidRDefault="00582B6A" w:rsidP="00582B6A">
      <w:pPr>
        <w:pStyle w:val="SCCNormalDoubleSpacing"/>
        <w:spacing w:before="480" w:after="480"/>
        <w:rPr>
          <w:lang w:val="fr-CA"/>
        </w:rPr>
      </w:pPr>
      <w:r w:rsidRPr="00D5739B">
        <w:rPr>
          <w:lang w:val="fr-CA"/>
        </w:rPr>
        <w:tab/>
      </w:r>
      <w:r w:rsidR="004A137A" w:rsidRPr="00D5739B">
        <w:rPr>
          <w:lang w:val="fr-CA"/>
        </w:rPr>
        <w:t xml:space="preserve">Conclure que le </w:t>
      </w:r>
      <w:r w:rsidRPr="00D5739B">
        <w:rPr>
          <w:lang w:val="fr-CA"/>
        </w:rPr>
        <w:t>par. </w:t>
      </w:r>
      <w:r w:rsidR="004A137A" w:rsidRPr="00D5739B">
        <w:rPr>
          <w:lang w:val="fr-CA"/>
        </w:rPr>
        <w:t>196(1) s</w:t>
      </w:r>
      <w:r w:rsidRPr="00D5739B">
        <w:rPr>
          <w:lang w:val="fr-CA"/>
        </w:rPr>
        <w:t>’</w:t>
      </w:r>
      <w:r w:rsidR="004A137A" w:rsidRPr="00D5739B">
        <w:rPr>
          <w:lang w:val="fr-CA"/>
        </w:rPr>
        <w:t xml:space="preserve">applique au propriétaire qui est également employeur dans le lieu de travail </w:t>
      </w:r>
      <w:r w:rsidR="00BA31E1" w:rsidRPr="00D5739B">
        <w:rPr>
          <w:lang w:val="fr-CA"/>
        </w:rPr>
        <w:t>étai</w:t>
      </w:r>
      <w:r w:rsidR="004A137A" w:rsidRPr="00D5739B">
        <w:rPr>
          <w:lang w:val="fr-CA"/>
        </w:rPr>
        <w:t xml:space="preserve">t erroné pour plusieurs raisons. </w:t>
      </w:r>
      <w:r w:rsidR="008F3990" w:rsidRPr="00D5739B">
        <w:rPr>
          <w:lang w:val="fr-CA"/>
        </w:rPr>
        <w:t>Premièrement, le terme « employeur » n</w:t>
      </w:r>
      <w:r w:rsidRPr="00D5739B">
        <w:rPr>
          <w:lang w:val="fr-CA"/>
        </w:rPr>
        <w:t>’</w:t>
      </w:r>
      <w:r w:rsidR="008F3990" w:rsidRPr="00D5739B">
        <w:rPr>
          <w:lang w:val="fr-CA"/>
        </w:rPr>
        <w:t xml:space="preserve">englobe pas le « propriétaire ». Deuxièmement, le </w:t>
      </w:r>
      <w:r w:rsidRPr="00D5739B">
        <w:rPr>
          <w:lang w:val="fr-CA"/>
        </w:rPr>
        <w:t>par. </w:t>
      </w:r>
      <w:r w:rsidR="008F3990" w:rsidRPr="00D5739B">
        <w:rPr>
          <w:lang w:val="fr-CA"/>
        </w:rPr>
        <w:t>196(1) précise qu</w:t>
      </w:r>
      <w:r w:rsidRPr="00D5739B">
        <w:rPr>
          <w:lang w:val="fr-CA"/>
        </w:rPr>
        <w:t>’</w:t>
      </w:r>
      <w:r w:rsidR="008F3990" w:rsidRPr="00D5739B">
        <w:rPr>
          <w:lang w:val="fr-CA"/>
        </w:rPr>
        <w:t>une sanction administrative peut être imposée à un employeur, ce qui indique qu</w:t>
      </w:r>
      <w:r w:rsidRPr="00D5739B">
        <w:rPr>
          <w:lang w:val="fr-CA"/>
        </w:rPr>
        <w:t>’</w:t>
      </w:r>
      <w:r w:rsidR="008F3990" w:rsidRPr="00D5739B">
        <w:rPr>
          <w:lang w:val="fr-CA"/>
        </w:rPr>
        <w:t>elle ne peut pas l</w:t>
      </w:r>
      <w:r w:rsidRPr="00D5739B">
        <w:rPr>
          <w:lang w:val="fr-CA"/>
        </w:rPr>
        <w:t>’</w:t>
      </w:r>
      <w:r w:rsidR="008F3990" w:rsidRPr="00D5739B">
        <w:rPr>
          <w:lang w:val="fr-CA"/>
        </w:rPr>
        <w:t xml:space="preserve">être aux autres </w:t>
      </w:r>
      <w:r w:rsidR="00D0283B" w:rsidRPr="00D5739B">
        <w:rPr>
          <w:lang w:val="fr-CA"/>
        </w:rPr>
        <w:t xml:space="preserve">catégories de </w:t>
      </w:r>
      <w:r w:rsidR="008F3990" w:rsidRPr="00D5739B">
        <w:rPr>
          <w:lang w:val="fr-CA"/>
        </w:rPr>
        <w:t>personnes. Troisièmement, le législateur emploie le terme « personne » au singulier ou au pluriel afin d</w:t>
      </w:r>
      <w:r w:rsidRPr="00D5739B">
        <w:rPr>
          <w:lang w:val="fr-CA"/>
        </w:rPr>
        <w:t>’</w:t>
      </w:r>
      <w:r w:rsidR="008F3990" w:rsidRPr="00D5739B">
        <w:rPr>
          <w:lang w:val="fr-CA"/>
        </w:rPr>
        <w:t xml:space="preserve">englober des entités multiples ou des entités agissant simultanément à plusieurs titres. Quatrièmement, </w:t>
      </w:r>
      <w:r w:rsidR="00A117C4">
        <w:rPr>
          <w:lang w:val="fr-CA"/>
        </w:rPr>
        <w:t xml:space="preserve">au </w:t>
      </w:r>
      <w:proofErr w:type="spellStart"/>
      <w:r w:rsidR="00A117C4">
        <w:rPr>
          <w:lang w:val="fr-CA"/>
        </w:rPr>
        <w:t>par</w:t>
      </w:r>
      <w:proofErr w:type="spellEnd"/>
      <w:r w:rsidR="00A117C4">
        <w:rPr>
          <w:lang w:val="fr-CA"/>
        </w:rPr>
        <w:t>. </w:t>
      </w:r>
      <w:r w:rsidR="008F3990" w:rsidRPr="00D5739B">
        <w:rPr>
          <w:lang w:val="fr-CA"/>
        </w:rPr>
        <w:t>196</w:t>
      </w:r>
      <w:r w:rsidR="00A117C4">
        <w:rPr>
          <w:lang w:val="fr-CA"/>
        </w:rPr>
        <w:t>(1)</w:t>
      </w:r>
      <w:r w:rsidR="008F3990" w:rsidRPr="00D5739B">
        <w:rPr>
          <w:lang w:val="fr-CA"/>
        </w:rPr>
        <w:t>, le terme « employeur » n</w:t>
      </w:r>
      <w:r w:rsidRPr="00D5739B">
        <w:rPr>
          <w:lang w:val="fr-CA"/>
        </w:rPr>
        <w:t>’</w:t>
      </w:r>
      <w:r w:rsidR="008F3990" w:rsidRPr="00D5739B">
        <w:rPr>
          <w:lang w:val="fr-CA"/>
        </w:rPr>
        <w:t>est pas employé fortuitement puisqu</w:t>
      </w:r>
      <w:r w:rsidRPr="00D5739B">
        <w:rPr>
          <w:lang w:val="fr-CA"/>
        </w:rPr>
        <w:t>’</w:t>
      </w:r>
      <w:r w:rsidR="008F3990" w:rsidRPr="00D5739B">
        <w:rPr>
          <w:lang w:val="fr-CA"/>
        </w:rPr>
        <w:t xml:space="preserve">il est repris dans chacun </w:t>
      </w:r>
      <w:r w:rsidR="00A117C4">
        <w:rPr>
          <w:lang w:val="fr-CA"/>
        </w:rPr>
        <w:t xml:space="preserve">de ses alinéas </w:t>
      </w:r>
      <w:r w:rsidR="008F3990" w:rsidRPr="00D5739B">
        <w:rPr>
          <w:lang w:val="fr-CA"/>
        </w:rPr>
        <w:t>au lieu des termes « personne » ou « propriétaire ».</w:t>
      </w:r>
      <w:r w:rsidR="00705F0D" w:rsidRPr="00D5739B">
        <w:rPr>
          <w:lang w:val="fr-CA"/>
        </w:rPr>
        <w:t xml:space="preserve"> </w:t>
      </w:r>
      <w:r w:rsidR="00BA31E1" w:rsidRPr="00D5739B">
        <w:rPr>
          <w:lang w:val="fr-CA"/>
        </w:rPr>
        <w:t>Enfin</w:t>
      </w:r>
      <w:r w:rsidR="008F3990" w:rsidRPr="00D5739B">
        <w:rPr>
          <w:lang w:val="fr-CA"/>
        </w:rPr>
        <w:t>, cet emploi se concilie avec le régime législatif dans sa globalité en ce qui a trait à certaines mesures réparatrices qui ne s</w:t>
      </w:r>
      <w:r w:rsidRPr="00D5739B">
        <w:rPr>
          <w:lang w:val="fr-CA"/>
        </w:rPr>
        <w:t>’</w:t>
      </w:r>
      <w:r w:rsidR="008F3990" w:rsidRPr="00D5739B">
        <w:rPr>
          <w:lang w:val="fr-CA"/>
        </w:rPr>
        <w:t>appliquent qu</w:t>
      </w:r>
      <w:r w:rsidRPr="00D5739B">
        <w:rPr>
          <w:lang w:val="fr-CA"/>
        </w:rPr>
        <w:t>’</w:t>
      </w:r>
      <w:r w:rsidR="008F3990" w:rsidRPr="00D5739B">
        <w:rPr>
          <w:lang w:val="fr-CA"/>
        </w:rPr>
        <w:t xml:space="preserve">au manquement à certaines obligations. </w:t>
      </w:r>
    </w:p>
    <w:p w:rsidR="004C3072" w:rsidRPr="00D5739B" w:rsidRDefault="00582B6A" w:rsidP="00582B6A">
      <w:pPr>
        <w:pStyle w:val="SCCNormalDoubleSpacing"/>
        <w:spacing w:before="480" w:after="480"/>
        <w:rPr>
          <w:lang w:val="fr-CA"/>
        </w:rPr>
      </w:pPr>
      <w:r w:rsidRPr="00D5739B">
        <w:rPr>
          <w:i/>
          <w:lang w:val="fr-CA"/>
        </w:rPr>
        <w:lastRenderedPageBreak/>
        <w:tab/>
      </w:r>
      <w:r w:rsidR="00BB5AB4" w:rsidRPr="00D5739B">
        <w:rPr>
          <w:i/>
          <w:lang w:val="fr-CA"/>
        </w:rPr>
        <w:t>Le</w:t>
      </w:r>
      <w:r w:rsidR="00BB5AB4" w:rsidRPr="00D5739B">
        <w:rPr>
          <w:lang w:val="fr-CA"/>
        </w:rPr>
        <w:t xml:space="preserve"> juge </w:t>
      </w:r>
      <w:r w:rsidR="00BB5AB4" w:rsidRPr="005C47C6">
        <w:rPr>
          <w:lang w:val="fr-CA"/>
        </w:rPr>
        <w:t>Brown</w:t>
      </w:r>
      <w:r w:rsidR="00BB5AB4" w:rsidRPr="00D5739B">
        <w:rPr>
          <w:lang w:val="fr-CA"/>
        </w:rPr>
        <w:t xml:space="preserve"> (dissident)</w:t>
      </w:r>
      <w:r w:rsidRPr="00D5739B">
        <w:rPr>
          <w:lang w:val="fr-CA"/>
        </w:rPr>
        <w:t> :</w:t>
      </w:r>
      <w:r w:rsidR="00BB5AB4" w:rsidRPr="00D5739B">
        <w:rPr>
          <w:lang w:val="fr-CA"/>
        </w:rPr>
        <w:t xml:space="preserve"> Il y a accord avec les juges majoritaires</w:t>
      </w:r>
      <w:r w:rsidR="00C46B30" w:rsidRPr="00D5739B">
        <w:rPr>
          <w:lang w:val="fr-CA"/>
        </w:rPr>
        <w:t>, mais pour des raisons différentes de celles qu</w:t>
      </w:r>
      <w:r w:rsidRPr="00D5739B">
        <w:rPr>
          <w:lang w:val="fr-CA"/>
        </w:rPr>
        <w:t>’</w:t>
      </w:r>
      <w:r w:rsidR="00C46B30" w:rsidRPr="00D5739B">
        <w:rPr>
          <w:lang w:val="fr-CA"/>
        </w:rPr>
        <w:t xml:space="preserve">ils invoquent, </w:t>
      </w:r>
      <w:r w:rsidR="00BB5AB4" w:rsidRPr="00D5739B">
        <w:rPr>
          <w:lang w:val="fr-CA"/>
        </w:rPr>
        <w:t>lorsqu</w:t>
      </w:r>
      <w:r w:rsidRPr="00D5739B">
        <w:rPr>
          <w:lang w:val="fr-CA"/>
        </w:rPr>
        <w:t>’</w:t>
      </w:r>
      <w:r w:rsidR="00BB5AB4" w:rsidRPr="00D5739B">
        <w:rPr>
          <w:lang w:val="fr-CA"/>
        </w:rPr>
        <w:t>ils affirment que le libellé de l</w:t>
      </w:r>
      <w:r w:rsidRPr="00D5739B">
        <w:rPr>
          <w:lang w:val="fr-CA"/>
        </w:rPr>
        <w:t>’art. </w:t>
      </w:r>
      <w:r w:rsidR="00BB5AB4" w:rsidRPr="00D5739B">
        <w:rPr>
          <w:lang w:val="fr-CA"/>
        </w:rPr>
        <w:t>225 de la Loi est suffisamment large pour étayer la conclusion selon laquelle l</w:t>
      </w:r>
      <w:r w:rsidRPr="00D5739B">
        <w:rPr>
          <w:lang w:val="fr-CA"/>
        </w:rPr>
        <w:t>’</w:t>
      </w:r>
      <w:r w:rsidR="00BB5AB4" w:rsidRPr="00D5739B">
        <w:rPr>
          <w:lang w:val="fr-CA"/>
        </w:rPr>
        <w:t xml:space="preserve">adoption </w:t>
      </w:r>
      <w:r w:rsidR="004E2355" w:rsidRPr="00D5739B">
        <w:rPr>
          <w:lang w:val="fr-CA"/>
        </w:rPr>
        <w:t xml:space="preserve">par la Commission </w:t>
      </w:r>
      <w:r w:rsidR="00BB5AB4" w:rsidRPr="00D5739B">
        <w:rPr>
          <w:lang w:val="fr-CA"/>
        </w:rPr>
        <w:t xml:space="preserve">du </w:t>
      </w:r>
      <w:r w:rsidRPr="00D5739B">
        <w:rPr>
          <w:lang w:val="fr-CA"/>
        </w:rPr>
        <w:t>par. </w:t>
      </w:r>
      <w:r w:rsidR="00BB5AB4" w:rsidRPr="00D5739B">
        <w:rPr>
          <w:lang w:val="fr-CA"/>
        </w:rPr>
        <w:t xml:space="preserve">26.2(1) du Règlement est </w:t>
      </w:r>
      <w:r w:rsidR="00BB5AB4" w:rsidRPr="00D5739B">
        <w:rPr>
          <w:i/>
          <w:lang w:val="fr-CA"/>
        </w:rPr>
        <w:t>intra vires</w:t>
      </w:r>
      <w:r w:rsidR="00BB5AB4" w:rsidRPr="00D5739B">
        <w:rPr>
          <w:lang w:val="fr-CA"/>
        </w:rPr>
        <w:t>.</w:t>
      </w:r>
      <w:r w:rsidR="00C46B30" w:rsidRPr="00D5739B">
        <w:rPr>
          <w:lang w:val="fr-CA"/>
        </w:rPr>
        <w:t xml:space="preserve"> Un organisme administratif doit statuer correctement sur une question touchant véritablement à la compétence. La question du pouvoir de la Commission d</w:t>
      </w:r>
      <w:r w:rsidRPr="00D5739B">
        <w:rPr>
          <w:lang w:val="fr-CA"/>
        </w:rPr>
        <w:t>’</w:t>
      </w:r>
      <w:r w:rsidR="00C46B30" w:rsidRPr="00D5739B">
        <w:rPr>
          <w:lang w:val="fr-CA"/>
        </w:rPr>
        <w:t xml:space="preserve">adopter le </w:t>
      </w:r>
      <w:r w:rsidRPr="00D5739B">
        <w:rPr>
          <w:lang w:val="fr-CA"/>
        </w:rPr>
        <w:t>par. </w:t>
      </w:r>
      <w:r w:rsidR="00C46B30" w:rsidRPr="00D5739B">
        <w:rPr>
          <w:lang w:val="fr-CA"/>
        </w:rPr>
        <w:t xml:space="preserve">26.2(1) constitue une question </w:t>
      </w:r>
      <w:r w:rsidR="00796FD4" w:rsidRPr="00D5739B">
        <w:rPr>
          <w:lang w:val="fr-CA"/>
        </w:rPr>
        <w:t>touchant à la</w:t>
      </w:r>
      <w:r w:rsidR="00C46B30" w:rsidRPr="00D5739B">
        <w:rPr>
          <w:lang w:val="fr-CA"/>
        </w:rPr>
        <w:t xml:space="preserve"> </w:t>
      </w:r>
      <w:r w:rsidR="00796FD4" w:rsidRPr="00D5739B">
        <w:rPr>
          <w:lang w:val="fr-CA"/>
        </w:rPr>
        <w:t>validité de</w:t>
      </w:r>
      <w:r w:rsidR="00C46B30" w:rsidRPr="00D5739B">
        <w:rPr>
          <w:lang w:val="fr-CA"/>
        </w:rPr>
        <w:t xml:space="preserve"> la législation déléguée et </w:t>
      </w:r>
      <w:r w:rsidR="00D0283B" w:rsidRPr="00D5739B">
        <w:rPr>
          <w:lang w:val="fr-CA"/>
        </w:rPr>
        <w:t>il s</w:t>
      </w:r>
      <w:r w:rsidRPr="00D5739B">
        <w:rPr>
          <w:lang w:val="fr-CA"/>
        </w:rPr>
        <w:t>’</w:t>
      </w:r>
      <w:r w:rsidR="00D0283B" w:rsidRPr="00D5739B">
        <w:rPr>
          <w:lang w:val="fr-CA"/>
        </w:rPr>
        <w:t>agit</w:t>
      </w:r>
      <w:r w:rsidR="00C46B30" w:rsidRPr="00D5739B">
        <w:rPr>
          <w:lang w:val="fr-CA"/>
        </w:rPr>
        <w:t xml:space="preserve"> donc manifestement </w:t>
      </w:r>
      <w:r w:rsidR="00D0283B" w:rsidRPr="00D5739B">
        <w:rPr>
          <w:lang w:val="fr-CA"/>
        </w:rPr>
        <w:t>d</w:t>
      </w:r>
      <w:r w:rsidRPr="00D5739B">
        <w:rPr>
          <w:lang w:val="fr-CA"/>
        </w:rPr>
        <w:t>’</w:t>
      </w:r>
      <w:r w:rsidR="00C46B30" w:rsidRPr="00D5739B">
        <w:rPr>
          <w:lang w:val="fr-CA"/>
        </w:rPr>
        <w:t>une question de compétence</w:t>
      </w:r>
      <w:r w:rsidR="00796FD4" w:rsidRPr="00D5739B">
        <w:rPr>
          <w:lang w:val="fr-CA"/>
        </w:rPr>
        <w:t xml:space="preserve">. </w:t>
      </w:r>
      <w:r w:rsidR="00390D74" w:rsidRPr="00D5739B">
        <w:rPr>
          <w:lang w:val="fr-CA"/>
        </w:rPr>
        <w:t>Les</w:t>
      </w:r>
      <w:r w:rsidR="00796FD4" w:rsidRPr="00D5739B">
        <w:rPr>
          <w:lang w:val="fr-CA"/>
        </w:rPr>
        <w:t xml:space="preserve"> question</w:t>
      </w:r>
      <w:r w:rsidR="00390D74" w:rsidRPr="00D5739B">
        <w:rPr>
          <w:lang w:val="fr-CA"/>
        </w:rPr>
        <w:t>s</w:t>
      </w:r>
      <w:r w:rsidR="00796FD4" w:rsidRPr="00D5739B">
        <w:rPr>
          <w:lang w:val="fr-CA"/>
        </w:rPr>
        <w:t xml:space="preserve"> de compétence appell</w:t>
      </w:r>
      <w:r w:rsidR="00390D74" w:rsidRPr="00D5739B">
        <w:rPr>
          <w:lang w:val="fr-CA"/>
        </w:rPr>
        <w:t>ent</w:t>
      </w:r>
      <w:r w:rsidR="00796FD4" w:rsidRPr="00D5739B">
        <w:rPr>
          <w:lang w:val="fr-CA"/>
        </w:rPr>
        <w:t xml:space="preserve"> toujours l</w:t>
      </w:r>
      <w:r w:rsidRPr="00D5739B">
        <w:rPr>
          <w:lang w:val="fr-CA"/>
        </w:rPr>
        <w:t>’</w:t>
      </w:r>
      <w:r w:rsidR="00796FD4" w:rsidRPr="00D5739B">
        <w:rPr>
          <w:lang w:val="fr-CA"/>
        </w:rPr>
        <w:t>application de la norme de la décision correcte</w:t>
      </w:r>
      <w:r w:rsidR="00390D74" w:rsidRPr="00D5739B">
        <w:rPr>
          <w:lang w:val="fr-CA"/>
        </w:rPr>
        <w:t>. Toutefois, tant que le délégataire agit dans les limites des pouvoirs qui lui sont conférés, ce n</w:t>
      </w:r>
      <w:r w:rsidRPr="00D5739B">
        <w:rPr>
          <w:lang w:val="fr-CA"/>
        </w:rPr>
        <w:t>’</w:t>
      </w:r>
      <w:r w:rsidR="00390D74" w:rsidRPr="00D5739B">
        <w:rPr>
          <w:lang w:val="fr-CA"/>
        </w:rPr>
        <w:t>est pas sur le caractère raisonnable global de la manière dont il choisit d</w:t>
      </w:r>
      <w:r w:rsidRPr="00D5739B">
        <w:rPr>
          <w:lang w:val="fr-CA"/>
        </w:rPr>
        <w:t>’</w:t>
      </w:r>
      <w:r w:rsidR="00390D74" w:rsidRPr="00D5739B">
        <w:rPr>
          <w:lang w:val="fr-CA"/>
        </w:rPr>
        <w:t>exercer son pouvoir légitime que la cour de révision doit diriger son attention. Les juges majoritaires ont tort de mettre à l</w:t>
      </w:r>
      <w:r w:rsidRPr="00D5739B">
        <w:rPr>
          <w:lang w:val="fr-CA"/>
        </w:rPr>
        <w:t>’</w:t>
      </w:r>
      <w:r w:rsidR="00390D74" w:rsidRPr="00D5739B">
        <w:rPr>
          <w:lang w:val="fr-CA"/>
        </w:rPr>
        <w:t>écart l</w:t>
      </w:r>
      <w:r w:rsidRPr="00D5739B">
        <w:rPr>
          <w:lang w:val="fr-CA"/>
        </w:rPr>
        <w:t>’</w:t>
      </w:r>
      <w:r w:rsidR="00390D74" w:rsidRPr="00D5739B">
        <w:rPr>
          <w:lang w:val="fr-CA"/>
        </w:rPr>
        <w:t>examen de la compétence au profit de la prise en compte de divers facteurs contextuels censés appuyer un contrôle selon la norme de la décision raisonnable. Si l</w:t>
      </w:r>
      <w:r w:rsidRPr="00D5739B">
        <w:rPr>
          <w:lang w:val="fr-CA"/>
        </w:rPr>
        <w:t>’</w:t>
      </w:r>
      <w:r w:rsidR="00390D74" w:rsidRPr="00D5739B">
        <w:rPr>
          <w:lang w:val="fr-CA"/>
        </w:rPr>
        <w:t xml:space="preserve">adoption du </w:t>
      </w:r>
      <w:r w:rsidRPr="00D5739B">
        <w:rPr>
          <w:lang w:val="fr-CA"/>
        </w:rPr>
        <w:t>par. </w:t>
      </w:r>
      <w:r w:rsidR="00390D74" w:rsidRPr="00D5739B">
        <w:rPr>
          <w:lang w:val="fr-CA"/>
        </w:rPr>
        <w:t>26.2(1) par la Commission soulève une question de compétence, de tels facteurs contextuels ne sont pas pertinents.</w:t>
      </w:r>
    </w:p>
    <w:p w:rsidR="00BB5AB4" w:rsidRPr="00D5739B" w:rsidRDefault="00582B6A" w:rsidP="00582B6A">
      <w:pPr>
        <w:pStyle w:val="SCCNormalDoubleSpacing"/>
        <w:spacing w:before="480" w:after="480"/>
        <w:rPr>
          <w:lang w:val="fr-CA"/>
        </w:rPr>
      </w:pPr>
      <w:r w:rsidRPr="00D5739B">
        <w:rPr>
          <w:lang w:val="fr-CA"/>
        </w:rPr>
        <w:tab/>
      </w:r>
      <w:r w:rsidR="00390D74" w:rsidRPr="00D5739B">
        <w:rPr>
          <w:lang w:val="fr-CA"/>
        </w:rPr>
        <w:t>En ce qui concerne la sanction, la juge Côté conclut à bon droit que la décision de la Commission d</w:t>
      </w:r>
      <w:r w:rsidRPr="00D5739B">
        <w:rPr>
          <w:lang w:val="fr-CA"/>
        </w:rPr>
        <w:t>’</w:t>
      </w:r>
      <w:r w:rsidR="00390D74" w:rsidRPr="00D5739B">
        <w:rPr>
          <w:lang w:val="fr-CA"/>
        </w:rPr>
        <w:t xml:space="preserve">en infliger une à West Fraser </w:t>
      </w:r>
      <w:r w:rsidR="00D0283B" w:rsidRPr="00D5739B">
        <w:rPr>
          <w:lang w:val="fr-CA"/>
        </w:rPr>
        <w:t xml:space="preserve">Mills </w:t>
      </w:r>
      <w:r w:rsidR="00390D74" w:rsidRPr="00D5739B">
        <w:rPr>
          <w:lang w:val="fr-CA"/>
        </w:rPr>
        <w:t xml:space="preserve">en application du </w:t>
      </w:r>
      <w:r w:rsidRPr="00D5739B">
        <w:rPr>
          <w:lang w:val="fr-CA"/>
        </w:rPr>
        <w:t>par. </w:t>
      </w:r>
      <w:r w:rsidR="00390D74" w:rsidRPr="00D5739B">
        <w:rPr>
          <w:lang w:val="fr-CA"/>
        </w:rPr>
        <w:t xml:space="preserve">196(1) de la Loi pour une infraction au </w:t>
      </w:r>
      <w:r w:rsidRPr="00D5739B">
        <w:rPr>
          <w:lang w:val="fr-CA"/>
        </w:rPr>
        <w:t>par. </w:t>
      </w:r>
      <w:r w:rsidR="00390D74" w:rsidRPr="00D5739B">
        <w:rPr>
          <w:lang w:val="fr-CA"/>
        </w:rPr>
        <w:t xml:space="preserve">26.2(1) du Règlement </w:t>
      </w:r>
      <w:r w:rsidR="004C3072" w:rsidRPr="00D5739B">
        <w:rPr>
          <w:lang w:val="fr-CA"/>
        </w:rPr>
        <w:t>étai</w:t>
      </w:r>
      <w:r w:rsidR="00390D74" w:rsidRPr="00D5739B">
        <w:rPr>
          <w:lang w:val="fr-CA"/>
        </w:rPr>
        <w:t>t manifestement déraisonnable.</w:t>
      </w:r>
    </w:p>
    <w:p w:rsidR="00390D74" w:rsidRPr="00D5739B" w:rsidRDefault="00582B6A" w:rsidP="00582B6A">
      <w:pPr>
        <w:pStyle w:val="SCCNormalDoubleSpacing"/>
        <w:spacing w:before="480" w:after="480"/>
        <w:rPr>
          <w:lang w:val="fr-CA"/>
        </w:rPr>
      </w:pPr>
      <w:r w:rsidRPr="00D5739B">
        <w:rPr>
          <w:i/>
          <w:lang w:val="fr-CA"/>
        </w:rPr>
        <w:lastRenderedPageBreak/>
        <w:tab/>
      </w:r>
      <w:r w:rsidR="00390D74" w:rsidRPr="00D5739B">
        <w:rPr>
          <w:i/>
          <w:lang w:val="fr-CA"/>
        </w:rPr>
        <w:t>Le</w:t>
      </w:r>
      <w:r w:rsidR="00390D74" w:rsidRPr="00D5739B">
        <w:rPr>
          <w:lang w:val="fr-CA"/>
        </w:rPr>
        <w:t xml:space="preserve"> juge </w:t>
      </w:r>
      <w:r w:rsidR="00390D74" w:rsidRPr="005C47C6">
        <w:rPr>
          <w:lang w:val="fr-CA"/>
        </w:rPr>
        <w:t>Rowe</w:t>
      </w:r>
      <w:r w:rsidR="00390D74" w:rsidRPr="00D5739B">
        <w:rPr>
          <w:lang w:val="fr-CA"/>
        </w:rPr>
        <w:t xml:space="preserve"> (dissident)</w:t>
      </w:r>
      <w:r w:rsidRPr="00D5739B">
        <w:rPr>
          <w:lang w:val="fr-CA"/>
        </w:rPr>
        <w:t> :</w:t>
      </w:r>
      <w:r w:rsidR="00EF1DF8" w:rsidRPr="00D5739B">
        <w:rPr>
          <w:lang w:val="fr-CA"/>
        </w:rPr>
        <w:t xml:space="preserve"> </w:t>
      </w:r>
      <w:r w:rsidR="004E2355" w:rsidRPr="00D5739B">
        <w:rPr>
          <w:lang w:val="fr-CA"/>
        </w:rPr>
        <w:t>Le contrôle judiciaire relatif à la validité d</w:t>
      </w:r>
      <w:r w:rsidRPr="00D5739B">
        <w:rPr>
          <w:lang w:val="fr-CA"/>
        </w:rPr>
        <w:t>’</w:t>
      </w:r>
      <w:r w:rsidR="004E2355" w:rsidRPr="00D5739B">
        <w:rPr>
          <w:lang w:val="fr-CA"/>
        </w:rPr>
        <w:t>un règlement comporte deux étapes. La première s</w:t>
      </w:r>
      <w:r w:rsidRPr="00D5739B">
        <w:rPr>
          <w:lang w:val="fr-CA"/>
        </w:rPr>
        <w:t>’</w:t>
      </w:r>
      <w:r w:rsidR="004E2355" w:rsidRPr="00D5739B">
        <w:rPr>
          <w:lang w:val="fr-CA"/>
        </w:rPr>
        <w:t>intéresse à la compétence</w:t>
      </w:r>
      <w:r w:rsidR="004C3072" w:rsidRPr="00D5739B">
        <w:rPr>
          <w:lang w:val="fr-CA"/>
        </w:rPr>
        <w:t>.</w:t>
      </w:r>
      <w:r w:rsidR="004E2355" w:rsidRPr="00D5739B">
        <w:rPr>
          <w:lang w:val="fr-CA"/>
        </w:rPr>
        <w:t xml:space="preserve"> </w:t>
      </w:r>
      <w:r w:rsidR="004C3072" w:rsidRPr="00D5739B">
        <w:rPr>
          <w:lang w:val="fr-CA"/>
        </w:rPr>
        <w:t>L</w:t>
      </w:r>
      <w:r w:rsidR="004E2355" w:rsidRPr="00D5739B">
        <w:rPr>
          <w:lang w:val="fr-CA"/>
        </w:rPr>
        <w:t xml:space="preserve">a seconde </w:t>
      </w:r>
      <w:r w:rsidR="004C3072" w:rsidRPr="00D5739B">
        <w:rPr>
          <w:lang w:val="fr-CA"/>
        </w:rPr>
        <w:t>s</w:t>
      </w:r>
      <w:r w:rsidRPr="00D5739B">
        <w:rPr>
          <w:lang w:val="fr-CA"/>
        </w:rPr>
        <w:t>’</w:t>
      </w:r>
      <w:r w:rsidR="004C3072" w:rsidRPr="00D5739B">
        <w:rPr>
          <w:lang w:val="fr-CA"/>
        </w:rPr>
        <w:t xml:space="preserve">intéresse </w:t>
      </w:r>
      <w:r w:rsidR="004E2355" w:rsidRPr="00D5739B">
        <w:rPr>
          <w:lang w:val="fr-CA"/>
        </w:rPr>
        <w:t>à la teneur de la disposition et vise l</w:t>
      </w:r>
      <w:r w:rsidRPr="00D5739B">
        <w:rPr>
          <w:lang w:val="fr-CA"/>
        </w:rPr>
        <w:t>’</w:t>
      </w:r>
      <w:r w:rsidR="004E2355" w:rsidRPr="00D5739B">
        <w:rPr>
          <w:lang w:val="fr-CA"/>
        </w:rPr>
        <w:t>exercice d</w:t>
      </w:r>
      <w:r w:rsidR="00D5739B" w:rsidRPr="00D5739B">
        <w:rPr>
          <w:lang w:val="fr-CA"/>
        </w:rPr>
        <w:t>u</w:t>
      </w:r>
      <w:r w:rsidR="00D5739B">
        <w:rPr>
          <w:lang w:val="fr-CA"/>
        </w:rPr>
        <w:t xml:space="preserve"> </w:t>
      </w:r>
      <w:r w:rsidR="00D5739B" w:rsidRPr="00D5739B">
        <w:rPr>
          <w:lang w:val="fr-CA"/>
        </w:rPr>
        <w:t>p</w:t>
      </w:r>
      <w:r w:rsidR="004E2355" w:rsidRPr="00D5739B">
        <w:rPr>
          <w:lang w:val="fr-CA"/>
        </w:rPr>
        <w:t xml:space="preserve">ouvoir conféré. </w:t>
      </w:r>
      <w:r w:rsidR="00EF1DF8" w:rsidRPr="00D5739B">
        <w:rPr>
          <w:lang w:val="fr-CA"/>
        </w:rPr>
        <w:t>C</w:t>
      </w:r>
      <w:r w:rsidRPr="00D5739B">
        <w:rPr>
          <w:lang w:val="fr-CA"/>
        </w:rPr>
        <w:t>’</w:t>
      </w:r>
      <w:r w:rsidR="00EF1DF8" w:rsidRPr="00D5739B">
        <w:rPr>
          <w:lang w:val="fr-CA"/>
        </w:rPr>
        <w:t xml:space="preserve">est à raison que les juges majoritaires concluent que le </w:t>
      </w:r>
      <w:r w:rsidRPr="00D5739B">
        <w:rPr>
          <w:lang w:val="fr-CA"/>
        </w:rPr>
        <w:t>par. </w:t>
      </w:r>
      <w:r w:rsidR="00EF1DF8" w:rsidRPr="00D5739B">
        <w:rPr>
          <w:lang w:val="fr-CA"/>
        </w:rPr>
        <w:t xml:space="preserve">26.2(1) </w:t>
      </w:r>
      <w:r w:rsidR="004E2355" w:rsidRPr="00D5739B">
        <w:rPr>
          <w:lang w:val="fr-CA"/>
        </w:rPr>
        <w:t xml:space="preserve">du Règlement </w:t>
      </w:r>
      <w:r w:rsidR="00EF1DF8" w:rsidRPr="00D5739B">
        <w:rPr>
          <w:lang w:val="fr-CA"/>
        </w:rPr>
        <w:t xml:space="preserve">est </w:t>
      </w:r>
      <w:r w:rsidR="00EF1DF8" w:rsidRPr="00EF0FF8">
        <w:rPr>
          <w:i/>
          <w:lang w:val="fr-CA"/>
        </w:rPr>
        <w:t>intra vires</w:t>
      </w:r>
      <w:r w:rsidR="00EF1DF8" w:rsidRPr="00D5739B">
        <w:rPr>
          <w:lang w:val="fr-CA"/>
        </w:rPr>
        <w:t xml:space="preserve">, </w:t>
      </w:r>
      <w:r w:rsidR="004E2355" w:rsidRPr="00D5739B">
        <w:rPr>
          <w:lang w:val="fr-CA"/>
        </w:rPr>
        <w:t>si ce n</w:t>
      </w:r>
      <w:r w:rsidRPr="00D5739B">
        <w:rPr>
          <w:lang w:val="fr-CA"/>
        </w:rPr>
        <w:t>’</w:t>
      </w:r>
      <w:r w:rsidR="004E2355" w:rsidRPr="00D5739B">
        <w:rPr>
          <w:lang w:val="fr-CA"/>
        </w:rPr>
        <w:t>est qu</w:t>
      </w:r>
      <w:r w:rsidR="004C3072" w:rsidRPr="00D5739B">
        <w:rPr>
          <w:lang w:val="fr-CA"/>
        </w:rPr>
        <w:t>e l</w:t>
      </w:r>
      <w:r w:rsidRPr="00D5739B">
        <w:rPr>
          <w:lang w:val="fr-CA"/>
        </w:rPr>
        <w:t>’</w:t>
      </w:r>
      <w:r w:rsidR="00EF1DF8" w:rsidRPr="00D5739B">
        <w:rPr>
          <w:lang w:val="fr-CA"/>
        </w:rPr>
        <w:t>appli</w:t>
      </w:r>
      <w:r w:rsidR="004C3072" w:rsidRPr="00D5739B">
        <w:rPr>
          <w:lang w:val="fr-CA"/>
        </w:rPr>
        <w:t>cation</w:t>
      </w:r>
      <w:r w:rsidR="00EF1DF8" w:rsidRPr="00D5739B">
        <w:rPr>
          <w:lang w:val="fr-CA"/>
        </w:rPr>
        <w:t xml:space="preserve"> quotidienne </w:t>
      </w:r>
      <w:r w:rsidR="004C3072" w:rsidRPr="00D5739B">
        <w:rPr>
          <w:lang w:val="fr-CA"/>
        </w:rPr>
        <w:t>d</w:t>
      </w:r>
      <w:r w:rsidRPr="00D5739B">
        <w:rPr>
          <w:lang w:val="fr-CA"/>
        </w:rPr>
        <w:t>’</w:t>
      </w:r>
      <w:r w:rsidR="00EF1DF8" w:rsidRPr="00D5739B">
        <w:rPr>
          <w:lang w:val="fr-CA"/>
        </w:rPr>
        <w:t>un régime administratif ne rend pas plus apte à interpréter une loi, notamment pour déterminer l</w:t>
      </w:r>
      <w:r w:rsidRPr="00D5739B">
        <w:rPr>
          <w:lang w:val="fr-CA"/>
        </w:rPr>
        <w:t>’</w:t>
      </w:r>
      <w:r w:rsidR="00EF1DF8" w:rsidRPr="00D5739B">
        <w:rPr>
          <w:lang w:val="fr-CA"/>
        </w:rPr>
        <w:t>étendue de la compétence, ce qui relève de l</w:t>
      </w:r>
      <w:r w:rsidRPr="00D5739B">
        <w:rPr>
          <w:lang w:val="fr-CA"/>
        </w:rPr>
        <w:t>’</w:t>
      </w:r>
      <w:r w:rsidR="00EF1DF8" w:rsidRPr="00D5739B">
        <w:rPr>
          <w:lang w:val="fr-CA"/>
        </w:rPr>
        <w:t>analyse juridique.</w:t>
      </w:r>
    </w:p>
    <w:p w:rsidR="00EF1DF8" w:rsidRPr="00D5739B" w:rsidRDefault="00EF1DF8" w:rsidP="00582B6A">
      <w:pPr>
        <w:pStyle w:val="SCCNormalDoubleSpacing"/>
        <w:spacing w:before="480" w:after="480"/>
        <w:rPr>
          <w:lang w:val="fr-CA"/>
        </w:rPr>
      </w:pPr>
      <w:r w:rsidRPr="00D5739B">
        <w:rPr>
          <w:lang w:val="fr-CA"/>
        </w:rPr>
        <w:tab/>
        <w:t xml:space="preserve">En ce qui concerne la peine pécuniaire, la juge Côté conclut à raison que la décision du Tribunal </w:t>
      </w:r>
      <w:r w:rsidR="00705F0D" w:rsidRPr="00D5739B">
        <w:rPr>
          <w:lang w:val="fr-CA"/>
        </w:rPr>
        <w:t>es</w:t>
      </w:r>
      <w:r w:rsidRPr="00D5739B">
        <w:rPr>
          <w:lang w:val="fr-CA"/>
        </w:rPr>
        <w:t>t manifestement déraisonnable et va directement à l</w:t>
      </w:r>
      <w:r w:rsidR="00582B6A" w:rsidRPr="00D5739B">
        <w:rPr>
          <w:lang w:val="fr-CA"/>
        </w:rPr>
        <w:t>’</w:t>
      </w:r>
      <w:r w:rsidRPr="00D5739B">
        <w:rPr>
          <w:lang w:val="fr-CA"/>
        </w:rPr>
        <w:t xml:space="preserve">encontre du texte clair du </w:t>
      </w:r>
      <w:r w:rsidR="00582B6A" w:rsidRPr="00D5739B">
        <w:rPr>
          <w:lang w:val="fr-CA"/>
        </w:rPr>
        <w:t>par. </w:t>
      </w:r>
      <w:r w:rsidRPr="00D5739B">
        <w:rPr>
          <w:lang w:val="fr-CA"/>
        </w:rPr>
        <w:t>196(1) de la Loi.</w:t>
      </w:r>
    </w:p>
    <w:p w:rsidR="004D7D95" w:rsidRPr="00D5739B" w:rsidRDefault="004D7D95" w:rsidP="00F94818">
      <w:pPr>
        <w:pStyle w:val="SCCNormalDoubleSpacing"/>
        <w:spacing w:after="720" w:line="240" w:lineRule="auto"/>
        <w:rPr>
          <w:b/>
          <w:lang w:val="fr-CA"/>
        </w:rPr>
      </w:pPr>
      <w:r w:rsidRPr="00D5739B">
        <w:rPr>
          <w:b/>
          <w:lang w:val="fr-CA"/>
        </w:rPr>
        <w:t>Jurisprudence</w:t>
      </w:r>
    </w:p>
    <w:p w:rsidR="00832458" w:rsidRPr="00D5739B" w:rsidRDefault="00C42896" w:rsidP="00F94818">
      <w:pPr>
        <w:pStyle w:val="SCCNormalDoubleSpacing"/>
        <w:spacing w:after="720" w:line="240" w:lineRule="auto"/>
        <w:rPr>
          <w:lang w:val="fr-CA"/>
        </w:rPr>
      </w:pPr>
      <w:r w:rsidRPr="00D5739B">
        <w:rPr>
          <w:lang w:val="fr-CA"/>
        </w:rPr>
        <w:t>Citée par la juge en chef McLachlin</w:t>
      </w:r>
    </w:p>
    <w:p w:rsidR="004D7D95" w:rsidRPr="00D5739B" w:rsidRDefault="004D7D95" w:rsidP="00173E14">
      <w:pPr>
        <w:pStyle w:val="SCCNormalDoubleSpacing"/>
        <w:spacing w:before="480" w:after="480"/>
        <w:rPr>
          <w:i/>
          <w:lang w:val="fr-CA"/>
        </w:rPr>
      </w:pPr>
      <w:r w:rsidRPr="00D5739B">
        <w:rPr>
          <w:lang w:val="fr-CA"/>
        </w:rPr>
        <w:tab/>
      </w:r>
      <w:r w:rsidRPr="00D5739B">
        <w:rPr>
          <w:b/>
          <w:lang w:val="fr-CA"/>
        </w:rPr>
        <w:t>Arrêts mentionnés</w:t>
      </w:r>
      <w:r w:rsidR="00582B6A" w:rsidRPr="00D5739B">
        <w:rPr>
          <w:b/>
          <w:lang w:val="fr-CA"/>
        </w:rPr>
        <w:t> :</w:t>
      </w:r>
      <w:r w:rsidRPr="00D5739B">
        <w:rPr>
          <w:lang w:val="fr-CA"/>
        </w:rPr>
        <w:t xml:space="preserve"> </w:t>
      </w:r>
      <w:r w:rsidR="00C42896" w:rsidRPr="00D5739B">
        <w:rPr>
          <w:i/>
          <w:lang w:val="fr-CA"/>
        </w:rPr>
        <w:t>Dunsmuir c. Nouveau</w:t>
      </w:r>
      <w:r w:rsidR="00582B6A" w:rsidRPr="00D5739B">
        <w:rPr>
          <w:i/>
          <w:lang w:val="fr-CA"/>
        </w:rPr>
        <w:noBreakHyphen/>
      </w:r>
      <w:r w:rsidR="00C42896" w:rsidRPr="00D5739B">
        <w:rPr>
          <w:i/>
          <w:lang w:val="fr-CA"/>
        </w:rPr>
        <w:t>Brunswick</w:t>
      </w:r>
      <w:r w:rsidR="00C42896" w:rsidRPr="00D5739B">
        <w:rPr>
          <w:lang w:val="fr-CA"/>
        </w:rPr>
        <w:t>,</w:t>
      </w:r>
      <w:r w:rsidR="00C42896" w:rsidRPr="00D5739B">
        <w:rPr>
          <w:i/>
          <w:lang w:val="fr-CA"/>
        </w:rPr>
        <w:t xml:space="preserve"> </w:t>
      </w:r>
      <w:r w:rsidR="00C42896" w:rsidRPr="00D5739B">
        <w:rPr>
          <w:lang w:val="fr-CA"/>
        </w:rPr>
        <w:t xml:space="preserve">2008 </w:t>
      </w:r>
      <w:r w:rsidR="00832458" w:rsidRPr="00D5739B">
        <w:rPr>
          <w:lang w:val="fr-CA"/>
        </w:rPr>
        <w:t xml:space="preserve">CSC </w:t>
      </w:r>
      <w:r w:rsidR="00C42896" w:rsidRPr="00D5739B">
        <w:rPr>
          <w:lang w:val="fr-CA"/>
        </w:rPr>
        <w:t xml:space="preserve">9, [2008] 1 </w:t>
      </w:r>
      <w:r w:rsidR="00832458" w:rsidRPr="00D5739B">
        <w:rPr>
          <w:lang w:val="fr-CA"/>
        </w:rPr>
        <w:t>R</w:t>
      </w:r>
      <w:r w:rsidR="00C42896" w:rsidRPr="00D5739B">
        <w:rPr>
          <w:lang w:val="fr-CA"/>
        </w:rPr>
        <w:t>.C.</w:t>
      </w:r>
      <w:r w:rsidR="00832458" w:rsidRPr="00D5739B">
        <w:rPr>
          <w:lang w:val="fr-CA"/>
        </w:rPr>
        <w:t>S</w:t>
      </w:r>
      <w:r w:rsidR="00C42896" w:rsidRPr="00D5739B">
        <w:rPr>
          <w:lang w:val="fr-CA"/>
        </w:rPr>
        <w:t>. 190;</w:t>
      </w:r>
      <w:r w:rsidR="00C226AD" w:rsidRPr="00D5739B">
        <w:rPr>
          <w:lang w:val="fr-CA"/>
        </w:rPr>
        <w:t xml:space="preserve"> </w:t>
      </w:r>
      <w:proofErr w:type="spellStart"/>
      <w:r w:rsidR="00C226AD" w:rsidRPr="00D5739B">
        <w:rPr>
          <w:i/>
          <w:lang w:val="fr-CA"/>
        </w:rPr>
        <w:t>Catalyst</w:t>
      </w:r>
      <w:proofErr w:type="spellEnd"/>
      <w:r w:rsidR="00C226AD" w:rsidRPr="00D5739B">
        <w:rPr>
          <w:i/>
          <w:lang w:val="fr-CA"/>
        </w:rPr>
        <w:t xml:space="preserve"> Paper Cor</w:t>
      </w:r>
      <w:r w:rsidR="00582B6A" w:rsidRPr="00D5739B">
        <w:rPr>
          <w:i/>
          <w:lang w:val="fr-CA"/>
        </w:rPr>
        <w:t>p. </w:t>
      </w:r>
      <w:r w:rsidR="00C226AD" w:rsidRPr="00D5739B">
        <w:rPr>
          <w:i/>
          <w:lang w:val="fr-CA"/>
        </w:rPr>
        <w:t xml:space="preserve">c. North </w:t>
      </w:r>
      <w:proofErr w:type="spellStart"/>
      <w:r w:rsidR="00C226AD" w:rsidRPr="00D5739B">
        <w:rPr>
          <w:i/>
          <w:lang w:val="fr-CA"/>
        </w:rPr>
        <w:t>Cowichan</w:t>
      </w:r>
      <w:proofErr w:type="spellEnd"/>
      <w:r w:rsidR="00C226AD" w:rsidRPr="00D5739B">
        <w:rPr>
          <w:i/>
          <w:lang w:val="fr-CA"/>
        </w:rPr>
        <w:t xml:space="preserve"> (District)</w:t>
      </w:r>
      <w:r w:rsidR="00C226AD" w:rsidRPr="00D5739B">
        <w:rPr>
          <w:lang w:val="fr-CA"/>
        </w:rPr>
        <w:t>, 2012 CSC 2, [2012] 1 R.C.S. 5;</w:t>
      </w:r>
      <w:r w:rsidR="003F0D13" w:rsidRPr="00D5739B">
        <w:rPr>
          <w:i/>
          <w:lang w:val="fr-CA"/>
        </w:rPr>
        <w:t xml:space="preserve"> Green c. Société du Barreau du Manitoba</w:t>
      </w:r>
      <w:r w:rsidR="003F0D13" w:rsidRPr="00D5739B">
        <w:rPr>
          <w:lang w:val="fr-CA"/>
        </w:rPr>
        <w:t>, 2017 CSC 20, [2017] 1 R.C.S. 360</w:t>
      </w:r>
      <w:r w:rsidR="00626492" w:rsidRPr="00D5739B">
        <w:rPr>
          <w:lang w:val="fr-CA"/>
        </w:rPr>
        <w:t xml:space="preserve">; </w:t>
      </w:r>
      <w:r w:rsidR="00B246D0" w:rsidRPr="00D5739B">
        <w:rPr>
          <w:i/>
          <w:lang w:val="fr-CA"/>
        </w:rPr>
        <w:t>Katz Group Canada Inc. c. Ontario (Santé et Soins de longue durée)</w:t>
      </w:r>
      <w:r w:rsidR="00B246D0" w:rsidRPr="00D5739B">
        <w:rPr>
          <w:lang w:val="fr-CA"/>
        </w:rPr>
        <w:t xml:space="preserve">, 2013 CSC 64, [2013] 3 R.C.S. 810; </w:t>
      </w:r>
      <w:r w:rsidR="00B246D0" w:rsidRPr="00D5739B">
        <w:rPr>
          <w:i/>
          <w:lang w:val="fr-CA"/>
        </w:rPr>
        <w:t xml:space="preserve">Canada (Citoyenneté et Immigration) c. </w:t>
      </w:r>
      <w:proofErr w:type="spellStart"/>
      <w:r w:rsidR="00B246D0" w:rsidRPr="00D5739B">
        <w:rPr>
          <w:i/>
          <w:lang w:val="fr-CA"/>
        </w:rPr>
        <w:t>Khosa</w:t>
      </w:r>
      <w:proofErr w:type="spellEnd"/>
      <w:r w:rsidR="00B246D0" w:rsidRPr="00D5739B">
        <w:rPr>
          <w:lang w:val="fr-CA"/>
        </w:rPr>
        <w:t>, 2009 CSC 12, [2009] 1 R.C.S. 339;</w:t>
      </w:r>
      <w:r w:rsidR="00EC5AAA" w:rsidRPr="00D5739B">
        <w:rPr>
          <w:i/>
          <w:lang w:val="fr-CA"/>
        </w:rPr>
        <w:t xml:space="preserve"> Alberta (Information and </w:t>
      </w:r>
      <w:proofErr w:type="spellStart"/>
      <w:r w:rsidR="00EC5AAA" w:rsidRPr="00D5739B">
        <w:rPr>
          <w:i/>
          <w:lang w:val="fr-CA"/>
        </w:rPr>
        <w:t>Privacy</w:t>
      </w:r>
      <w:proofErr w:type="spellEnd"/>
      <w:r w:rsidR="00EC5AAA" w:rsidRPr="00D5739B">
        <w:rPr>
          <w:i/>
          <w:lang w:val="fr-CA"/>
        </w:rPr>
        <w:t xml:space="preserve"> Commissioner) c. Alberta </w:t>
      </w:r>
      <w:proofErr w:type="spellStart"/>
      <w:r w:rsidR="00EC5AAA" w:rsidRPr="00D5739B">
        <w:rPr>
          <w:i/>
          <w:lang w:val="fr-CA"/>
        </w:rPr>
        <w:t>Teachers</w:t>
      </w:r>
      <w:proofErr w:type="spellEnd"/>
      <w:r w:rsidR="00582B6A" w:rsidRPr="00D5739B">
        <w:rPr>
          <w:i/>
          <w:lang w:val="fr-CA"/>
        </w:rPr>
        <w:t>’</w:t>
      </w:r>
      <w:r w:rsidR="00EC5AAA" w:rsidRPr="00D5739B">
        <w:rPr>
          <w:i/>
          <w:lang w:val="fr-CA"/>
        </w:rPr>
        <w:t xml:space="preserve"> Association</w:t>
      </w:r>
      <w:r w:rsidR="00EC5AAA" w:rsidRPr="00D5739B">
        <w:rPr>
          <w:lang w:val="fr-CA"/>
        </w:rPr>
        <w:t>, 2011 CSC 61, [2011] 3 R.C.S. 654;</w:t>
      </w:r>
      <w:r w:rsidR="00B246D0" w:rsidRPr="00D5739B">
        <w:rPr>
          <w:lang w:val="fr-CA"/>
        </w:rPr>
        <w:t xml:space="preserve"> </w:t>
      </w:r>
      <w:r w:rsidR="001976CE" w:rsidRPr="00D5739B">
        <w:rPr>
          <w:i/>
          <w:lang w:val="fr-CA"/>
        </w:rPr>
        <w:t>Voice Construction Ltd. c. Construction &amp; General Workers</w:t>
      </w:r>
      <w:r w:rsidR="00582B6A" w:rsidRPr="00D5739B">
        <w:rPr>
          <w:i/>
          <w:lang w:val="fr-CA"/>
        </w:rPr>
        <w:t>’</w:t>
      </w:r>
      <w:r w:rsidR="001976CE" w:rsidRPr="00D5739B">
        <w:rPr>
          <w:i/>
          <w:lang w:val="fr-CA"/>
        </w:rPr>
        <w:t xml:space="preserve"> Union, Local 92</w:t>
      </w:r>
      <w:r w:rsidR="001976CE" w:rsidRPr="00D5739B">
        <w:rPr>
          <w:lang w:val="fr-CA"/>
        </w:rPr>
        <w:t xml:space="preserve">, 2004 CSC 23, [2004] 1 </w:t>
      </w:r>
      <w:r w:rsidR="001976CE" w:rsidRPr="00D5739B">
        <w:rPr>
          <w:lang w:val="fr-CA"/>
        </w:rPr>
        <w:lastRenderedPageBreak/>
        <w:t xml:space="preserve">R.C.S. 609; </w:t>
      </w:r>
      <w:proofErr w:type="spellStart"/>
      <w:r w:rsidR="008859BB" w:rsidRPr="00D5739B">
        <w:rPr>
          <w:i/>
          <w:lang w:val="fr-CA"/>
        </w:rPr>
        <w:t>Speckling</w:t>
      </w:r>
      <w:proofErr w:type="spellEnd"/>
      <w:r w:rsidR="008859BB" w:rsidRPr="00D5739B">
        <w:rPr>
          <w:i/>
          <w:lang w:val="fr-CA"/>
        </w:rPr>
        <w:t xml:space="preserve"> c. British Columbia (Workers</w:t>
      </w:r>
      <w:r w:rsidR="00582B6A" w:rsidRPr="00D5739B">
        <w:rPr>
          <w:i/>
          <w:lang w:val="fr-CA"/>
        </w:rPr>
        <w:t>’</w:t>
      </w:r>
      <w:r w:rsidR="008859BB" w:rsidRPr="00D5739B">
        <w:rPr>
          <w:i/>
          <w:lang w:val="fr-CA"/>
        </w:rPr>
        <w:t xml:space="preserve"> Compensation Board)</w:t>
      </w:r>
      <w:r w:rsidR="008859BB" w:rsidRPr="00D5739B">
        <w:rPr>
          <w:lang w:val="fr-CA"/>
        </w:rPr>
        <w:t xml:space="preserve">, 2005 BCCA 80, 46 B.C.L.R. (4th) 77; </w:t>
      </w:r>
      <w:r w:rsidR="00B0509A" w:rsidRPr="00D5739B">
        <w:rPr>
          <w:i/>
          <w:lang w:val="fr-CA"/>
        </w:rPr>
        <w:t xml:space="preserve">Vandale c. </w:t>
      </w:r>
      <w:r w:rsidR="00750F20" w:rsidRPr="00D5739B">
        <w:rPr>
          <w:i/>
          <w:lang w:val="fr-CA"/>
        </w:rPr>
        <w:t>British Columbia (</w:t>
      </w:r>
      <w:r w:rsidR="00B0509A" w:rsidRPr="00D5739B">
        <w:rPr>
          <w:i/>
          <w:lang w:val="fr-CA"/>
        </w:rPr>
        <w:t>Workers</w:t>
      </w:r>
      <w:r w:rsidR="00582B6A" w:rsidRPr="00D5739B">
        <w:rPr>
          <w:i/>
          <w:lang w:val="fr-CA"/>
        </w:rPr>
        <w:t>’</w:t>
      </w:r>
      <w:r w:rsidR="00B0509A" w:rsidRPr="00D5739B">
        <w:rPr>
          <w:i/>
          <w:lang w:val="fr-CA"/>
        </w:rPr>
        <w:t xml:space="preserve"> Compensation Appeal Tribunal</w:t>
      </w:r>
      <w:r w:rsidR="00750F20" w:rsidRPr="00D5739B">
        <w:rPr>
          <w:i/>
          <w:lang w:val="fr-CA"/>
        </w:rPr>
        <w:t>)</w:t>
      </w:r>
      <w:r w:rsidR="001976CE" w:rsidRPr="00D5739B">
        <w:rPr>
          <w:lang w:val="fr-CA"/>
        </w:rPr>
        <w:t>,</w:t>
      </w:r>
      <w:r w:rsidR="001976CE" w:rsidRPr="00D5739B">
        <w:rPr>
          <w:i/>
          <w:lang w:val="fr-CA"/>
        </w:rPr>
        <w:t xml:space="preserve"> </w:t>
      </w:r>
      <w:r w:rsidR="001976CE" w:rsidRPr="00D5739B">
        <w:rPr>
          <w:lang w:val="fr-CA"/>
        </w:rPr>
        <w:t>2013 BCCA 391,</w:t>
      </w:r>
      <w:r w:rsidR="00B0509A" w:rsidRPr="00D5739B">
        <w:rPr>
          <w:lang w:val="fr-CA"/>
        </w:rPr>
        <w:t xml:space="preserve"> 342 B.C.A.C. 112</w:t>
      </w:r>
      <w:r w:rsidR="001976CE" w:rsidRPr="00D5739B">
        <w:rPr>
          <w:lang w:val="fr-CA"/>
        </w:rPr>
        <w:t xml:space="preserve">; </w:t>
      </w:r>
      <w:r w:rsidR="00A14AFD" w:rsidRPr="00D5739B">
        <w:rPr>
          <w:i/>
          <w:lang w:val="fr-CA"/>
        </w:rPr>
        <w:t>Petro</w:t>
      </w:r>
      <w:r w:rsidR="00582B6A" w:rsidRPr="00D5739B">
        <w:rPr>
          <w:i/>
          <w:lang w:val="fr-CA"/>
        </w:rPr>
        <w:noBreakHyphen/>
      </w:r>
      <w:r w:rsidR="00A14AFD" w:rsidRPr="00D5739B">
        <w:rPr>
          <w:i/>
          <w:lang w:val="fr-CA"/>
        </w:rPr>
        <w:t>Canada c. British Columbia (Workers</w:t>
      </w:r>
      <w:r w:rsidR="00582B6A" w:rsidRPr="00D5739B">
        <w:rPr>
          <w:i/>
          <w:lang w:val="fr-CA"/>
        </w:rPr>
        <w:t>’</w:t>
      </w:r>
      <w:r w:rsidR="00A14AFD" w:rsidRPr="00D5739B">
        <w:rPr>
          <w:i/>
          <w:lang w:val="fr-CA"/>
        </w:rPr>
        <w:t xml:space="preserve"> Compensation Board)</w:t>
      </w:r>
      <w:r w:rsidR="00A14AFD" w:rsidRPr="00D5739B">
        <w:rPr>
          <w:lang w:val="fr-CA"/>
        </w:rPr>
        <w:t xml:space="preserve">, 2009 BCCA 396, 98 B.C.L.R. (4th) 1; </w:t>
      </w:r>
      <w:r w:rsidR="00A14AFD" w:rsidRPr="00D5739B">
        <w:rPr>
          <w:i/>
          <w:lang w:val="fr-CA"/>
        </w:rPr>
        <w:t>Edmonton (Ville) c. Edmonton East (</w:t>
      </w:r>
      <w:proofErr w:type="spellStart"/>
      <w:r w:rsidR="00A14AFD" w:rsidRPr="00D5739B">
        <w:rPr>
          <w:i/>
          <w:lang w:val="fr-CA"/>
        </w:rPr>
        <w:t>Capilano</w:t>
      </w:r>
      <w:proofErr w:type="spellEnd"/>
      <w:r w:rsidR="00A14AFD" w:rsidRPr="00D5739B">
        <w:rPr>
          <w:i/>
          <w:lang w:val="fr-CA"/>
        </w:rPr>
        <w:t>) Shopping Centres Ltd.</w:t>
      </w:r>
      <w:r w:rsidR="00A14AFD" w:rsidRPr="00D5739B">
        <w:rPr>
          <w:lang w:val="fr-CA"/>
        </w:rPr>
        <w:t xml:space="preserve">, 2016 CSC 47, [2016] </w:t>
      </w:r>
      <w:r w:rsidR="00DA4689" w:rsidRPr="00D5739B">
        <w:rPr>
          <w:lang w:val="fr-CA"/>
        </w:rPr>
        <w:t>2</w:t>
      </w:r>
      <w:r w:rsidR="00A14AFD" w:rsidRPr="00D5739B">
        <w:rPr>
          <w:lang w:val="fr-CA"/>
        </w:rPr>
        <w:t xml:space="preserve"> R.C.S. 293; </w:t>
      </w:r>
      <w:r w:rsidR="00A14AFD" w:rsidRPr="00D5739B">
        <w:rPr>
          <w:i/>
          <w:lang w:val="fr-CA"/>
        </w:rPr>
        <w:t>Newfoundla</w:t>
      </w:r>
      <w:r w:rsidR="00173E14" w:rsidRPr="00D5739B">
        <w:rPr>
          <w:i/>
          <w:lang w:val="fr-CA"/>
        </w:rPr>
        <w:t>nd and Labrador Nurses</w:t>
      </w:r>
      <w:r w:rsidR="00582B6A" w:rsidRPr="00D5739B">
        <w:rPr>
          <w:i/>
          <w:lang w:val="fr-CA"/>
        </w:rPr>
        <w:t>’</w:t>
      </w:r>
      <w:r w:rsidR="00173E14" w:rsidRPr="00D5739B">
        <w:rPr>
          <w:i/>
          <w:lang w:val="fr-CA"/>
        </w:rPr>
        <w:t xml:space="preserve"> Union c.</w:t>
      </w:r>
      <w:r w:rsidR="00A14AFD" w:rsidRPr="00D5739B">
        <w:rPr>
          <w:i/>
          <w:lang w:val="fr-CA"/>
        </w:rPr>
        <w:t xml:space="preserve"> </w:t>
      </w:r>
      <w:r w:rsidR="00173E14" w:rsidRPr="00D5739B">
        <w:rPr>
          <w:i/>
          <w:lang w:val="fr-CA"/>
        </w:rPr>
        <w:t>Terre</w:t>
      </w:r>
      <w:r w:rsidR="00582B6A" w:rsidRPr="00D5739B">
        <w:rPr>
          <w:i/>
          <w:lang w:val="fr-CA"/>
        </w:rPr>
        <w:noBreakHyphen/>
      </w:r>
      <w:r w:rsidR="00173E14" w:rsidRPr="00D5739B">
        <w:rPr>
          <w:i/>
          <w:lang w:val="fr-CA"/>
        </w:rPr>
        <w:t>Neuve</w:t>
      </w:r>
      <w:r w:rsidR="00582B6A" w:rsidRPr="00D5739B">
        <w:rPr>
          <w:i/>
          <w:lang w:val="fr-CA"/>
        </w:rPr>
        <w:noBreakHyphen/>
      </w:r>
      <w:r w:rsidR="00173E14" w:rsidRPr="00D5739B">
        <w:rPr>
          <w:i/>
          <w:lang w:val="fr-CA"/>
        </w:rPr>
        <w:t>et</w:t>
      </w:r>
      <w:r w:rsidR="00582B6A" w:rsidRPr="00D5739B">
        <w:rPr>
          <w:i/>
          <w:lang w:val="fr-CA"/>
        </w:rPr>
        <w:noBreakHyphen/>
      </w:r>
      <w:r w:rsidR="00173E14" w:rsidRPr="00D5739B">
        <w:rPr>
          <w:i/>
          <w:lang w:val="fr-CA"/>
        </w:rPr>
        <w:t>Labrador (Conseil du Trésor)</w:t>
      </w:r>
      <w:r w:rsidR="00522469" w:rsidRPr="00D5739B">
        <w:rPr>
          <w:lang w:val="fr-CA"/>
        </w:rPr>
        <w:t xml:space="preserve">, </w:t>
      </w:r>
      <w:r w:rsidR="00A14AFD" w:rsidRPr="00D5739B">
        <w:rPr>
          <w:lang w:val="fr-CA"/>
        </w:rPr>
        <w:t xml:space="preserve">2011 </w:t>
      </w:r>
      <w:r w:rsidR="00173E14" w:rsidRPr="00D5739B">
        <w:rPr>
          <w:lang w:val="fr-CA"/>
        </w:rPr>
        <w:t>C</w:t>
      </w:r>
      <w:r w:rsidR="00A14AFD" w:rsidRPr="00D5739B">
        <w:rPr>
          <w:lang w:val="fr-CA"/>
        </w:rPr>
        <w:t xml:space="preserve">SC 62, [2011] 3 </w:t>
      </w:r>
      <w:r w:rsidR="00173E14" w:rsidRPr="00D5739B">
        <w:rPr>
          <w:lang w:val="fr-CA"/>
        </w:rPr>
        <w:t>R</w:t>
      </w:r>
      <w:r w:rsidR="00A14AFD" w:rsidRPr="00D5739B">
        <w:rPr>
          <w:lang w:val="fr-CA"/>
        </w:rPr>
        <w:t>.C.</w:t>
      </w:r>
      <w:r w:rsidR="00173E14" w:rsidRPr="00D5739B">
        <w:rPr>
          <w:lang w:val="fr-CA"/>
        </w:rPr>
        <w:t>S</w:t>
      </w:r>
      <w:r w:rsidR="00A14AFD" w:rsidRPr="00D5739B">
        <w:rPr>
          <w:lang w:val="fr-CA"/>
        </w:rPr>
        <w:t>. 708</w:t>
      </w:r>
      <w:r w:rsidR="00173E14" w:rsidRPr="00D5739B">
        <w:rPr>
          <w:lang w:val="fr-CA"/>
        </w:rPr>
        <w:t>.</w:t>
      </w:r>
    </w:p>
    <w:p w:rsidR="00832458" w:rsidRPr="00D5739B" w:rsidRDefault="00C42896" w:rsidP="00F94818">
      <w:pPr>
        <w:pStyle w:val="SCCNormalDoubleSpacing"/>
        <w:spacing w:after="720" w:line="240" w:lineRule="auto"/>
        <w:rPr>
          <w:lang w:val="fr-CA"/>
        </w:rPr>
      </w:pPr>
      <w:r w:rsidRPr="00D5739B">
        <w:rPr>
          <w:lang w:val="fr-CA"/>
        </w:rPr>
        <w:t>Citée par la juge Côté</w:t>
      </w:r>
      <w:r w:rsidR="00F613EA" w:rsidRPr="00D5739B">
        <w:rPr>
          <w:lang w:val="fr-CA"/>
        </w:rPr>
        <w:t xml:space="preserve"> (dissidente)</w:t>
      </w:r>
    </w:p>
    <w:p w:rsidR="003D34A1" w:rsidRPr="00D5739B" w:rsidRDefault="00C42896" w:rsidP="00F94818">
      <w:pPr>
        <w:pStyle w:val="SCCNormalDoubleSpacing"/>
        <w:spacing w:before="480" w:after="480"/>
        <w:rPr>
          <w:lang w:val="fr-CA"/>
        </w:rPr>
      </w:pPr>
      <w:r w:rsidRPr="00D5739B">
        <w:rPr>
          <w:b/>
          <w:lang w:val="fr-CA"/>
        </w:rPr>
        <w:tab/>
      </w:r>
      <w:r w:rsidR="00832458" w:rsidRPr="00D5739B">
        <w:rPr>
          <w:i/>
          <w:lang w:val="fr-CA"/>
        </w:rPr>
        <w:t>Dunsmuir c. Nouveau</w:t>
      </w:r>
      <w:r w:rsidR="00582B6A" w:rsidRPr="00D5739B">
        <w:rPr>
          <w:i/>
          <w:lang w:val="fr-CA"/>
        </w:rPr>
        <w:noBreakHyphen/>
      </w:r>
      <w:r w:rsidR="00832458" w:rsidRPr="00D5739B">
        <w:rPr>
          <w:i/>
          <w:lang w:val="fr-CA"/>
        </w:rPr>
        <w:t>Brunswick</w:t>
      </w:r>
      <w:r w:rsidR="00832458" w:rsidRPr="00D5739B">
        <w:rPr>
          <w:lang w:val="fr-CA"/>
        </w:rPr>
        <w:t>,</w:t>
      </w:r>
      <w:r w:rsidR="00832458" w:rsidRPr="00D5739B">
        <w:rPr>
          <w:i/>
          <w:lang w:val="fr-CA"/>
        </w:rPr>
        <w:t xml:space="preserve"> </w:t>
      </w:r>
      <w:r w:rsidR="00832458" w:rsidRPr="00D5739B">
        <w:rPr>
          <w:lang w:val="fr-CA"/>
        </w:rPr>
        <w:t>2008 CSC 9, [2008] 1 R.C.S. 190;</w:t>
      </w:r>
      <w:r w:rsidR="00F52157" w:rsidRPr="00D5739B">
        <w:rPr>
          <w:lang w:val="fr-CA"/>
        </w:rPr>
        <w:t xml:space="preserve"> </w:t>
      </w:r>
      <w:r w:rsidR="00F52157" w:rsidRPr="00D5739B">
        <w:rPr>
          <w:i/>
          <w:lang w:val="fr-CA"/>
        </w:rPr>
        <w:t>United Taxi Drivers</w:t>
      </w:r>
      <w:r w:rsidR="00582B6A" w:rsidRPr="00D5739B">
        <w:rPr>
          <w:i/>
          <w:lang w:val="fr-CA"/>
        </w:rPr>
        <w:t>’</w:t>
      </w:r>
      <w:r w:rsidR="00F52157" w:rsidRPr="00D5739B">
        <w:rPr>
          <w:i/>
          <w:lang w:val="fr-CA"/>
        </w:rPr>
        <w:t xml:space="preserve"> </w:t>
      </w:r>
      <w:proofErr w:type="spellStart"/>
      <w:r w:rsidR="00F52157" w:rsidRPr="00D5739B">
        <w:rPr>
          <w:i/>
          <w:lang w:val="fr-CA"/>
        </w:rPr>
        <w:t>Fellowship</w:t>
      </w:r>
      <w:proofErr w:type="spellEnd"/>
      <w:r w:rsidR="00F52157" w:rsidRPr="00D5739B">
        <w:rPr>
          <w:i/>
          <w:lang w:val="fr-CA"/>
        </w:rPr>
        <w:t xml:space="preserve"> of </w:t>
      </w:r>
      <w:proofErr w:type="spellStart"/>
      <w:r w:rsidR="00F52157" w:rsidRPr="00D5739B">
        <w:rPr>
          <w:i/>
          <w:lang w:val="fr-CA"/>
        </w:rPr>
        <w:t>Southern</w:t>
      </w:r>
      <w:proofErr w:type="spellEnd"/>
      <w:r w:rsidR="00F52157" w:rsidRPr="00D5739B">
        <w:rPr>
          <w:i/>
          <w:lang w:val="fr-CA"/>
        </w:rPr>
        <w:t xml:space="preserve"> Alberta c. Calgary (Ville)</w:t>
      </w:r>
      <w:r w:rsidR="00F52157" w:rsidRPr="00D5739B">
        <w:rPr>
          <w:lang w:val="fr-CA"/>
        </w:rPr>
        <w:t xml:space="preserve">, 2004 CSC 19, [2004] 1 R.C.S. 485; </w:t>
      </w:r>
      <w:r w:rsidR="00F52157" w:rsidRPr="00D5739B">
        <w:rPr>
          <w:i/>
          <w:lang w:val="fr-CA"/>
        </w:rPr>
        <w:t>Compagnie des Che</w:t>
      </w:r>
      <w:r w:rsidR="005C47C6">
        <w:rPr>
          <w:i/>
          <w:lang w:val="fr-CA"/>
        </w:rPr>
        <w:t>mins de fer nationaux du Canada</w:t>
      </w:r>
      <w:r w:rsidR="00F52157" w:rsidRPr="00D5739B">
        <w:rPr>
          <w:i/>
          <w:lang w:val="fr-CA"/>
        </w:rPr>
        <w:t xml:space="preserve"> c. Canada (Procureur général)</w:t>
      </w:r>
      <w:r w:rsidR="00F52157" w:rsidRPr="00D5739B">
        <w:rPr>
          <w:lang w:val="fr-CA"/>
        </w:rPr>
        <w:t xml:space="preserve">, 2014 CSC 40, [2014] </w:t>
      </w:r>
      <w:r w:rsidR="005C47C6">
        <w:rPr>
          <w:lang w:val="fr-CA"/>
        </w:rPr>
        <w:t xml:space="preserve">2 </w:t>
      </w:r>
      <w:r w:rsidR="00CC5300">
        <w:rPr>
          <w:lang w:val="fr-CA"/>
        </w:rPr>
        <w:t xml:space="preserve">R.C.S. 135; </w:t>
      </w:r>
      <w:proofErr w:type="spellStart"/>
      <w:r w:rsidR="00F55D0C" w:rsidRPr="00D5739B">
        <w:rPr>
          <w:i/>
          <w:lang w:val="fr-CA"/>
        </w:rPr>
        <w:t>Noron</w:t>
      </w:r>
      <w:proofErr w:type="spellEnd"/>
      <w:r w:rsidR="00F55D0C" w:rsidRPr="00D5739B">
        <w:rPr>
          <w:i/>
          <w:lang w:val="fr-CA"/>
        </w:rPr>
        <w:t xml:space="preserve"> Inc. c. </w:t>
      </w:r>
      <w:r w:rsidR="00360B0E">
        <w:rPr>
          <w:i/>
          <w:lang w:val="fr-CA"/>
        </w:rPr>
        <w:t>Ville de</w:t>
      </w:r>
      <w:r w:rsidR="00F55D0C" w:rsidRPr="00D5739B">
        <w:rPr>
          <w:i/>
          <w:lang w:val="fr-CA"/>
        </w:rPr>
        <w:t xml:space="preserve"> Dieppe</w:t>
      </w:r>
      <w:r w:rsidR="00F55D0C" w:rsidRPr="00D5739B">
        <w:rPr>
          <w:lang w:val="fr-CA"/>
        </w:rPr>
        <w:t xml:space="preserve">, 2017 NBCA 38, 66 M.P.L.R. (5th) 1; </w:t>
      </w:r>
      <w:r w:rsidR="005040B7" w:rsidRPr="00D5739B">
        <w:rPr>
          <w:i/>
          <w:lang w:val="fr-CA"/>
        </w:rPr>
        <w:t>Gander (</w:t>
      </w:r>
      <w:proofErr w:type="spellStart"/>
      <w:r w:rsidR="005040B7" w:rsidRPr="00D5739B">
        <w:rPr>
          <w:i/>
          <w:lang w:val="fr-CA"/>
        </w:rPr>
        <w:t>Town</w:t>
      </w:r>
      <w:proofErr w:type="spellEnd"/>
      <w:r w:rsidR="005040B7" w:rsidRPr="00D5739B">
        <w:rPr>
          <w:i/>
          <w:lang w:val="fr-CA"/>
        </w:rPr>
        <w:t xml:space="preserve">) c. </w:t>
      </w:r>
      <w:proofErr w:type="spellStart"/>
      <w:r w:rsidR="005040B7" w:rsidRPr="00D5739B">
        <w:rPr>
          <w:i/>
          <w:lang w:val="fr-CA"/>
        </w:rPr>
        <w:t>Trimart</w:t>
      </w:r>
      <w:proofErr w:type="spellEnd"/>
      <w:r w:rsidR="005040B7" w:rsidRPr="00D5739B">
        <w:rPr>
          <w:i/>
          <w:lang w:val="fr-CA"/>
        </w:rPr>
        <w:t xml:space="preserve"> Investments Ltd.</w:t>
      </w:r>
      <w:r w:rsidR="005040B7" w:rsidRPr="00D5739B">
        <w:rPr>
          <w:lang w:val="fr-CA"/>
        </w:rPr>
        <w:t xml:space="preserve">, 2015 NLCA 32, 368 </w:t>
      </w:r>
      <w:proofErr w:type="spellStart"/>
      <w:r w:rsidR="005040B7" w:rsidRPr="00D5739B">
        <w:rPr>
          <w:lang w:val="fr-CA"/>
        </w:rPr>
        <w:t>Nfld</w:t>
      </w:r>
      <w:proofErr w:type="spellEnd"/>
      <w:r w:rsidR="005040B7" w:rsidRPr="00D5739B">
        <w:rPr>
          <w:lang w:val="fr-CA"/>
        </w:rPr>
        <w:t xml:space="preserve">. &amp; P.E.I.R. 96; </w:t>
      </w:r>
      <w:r w:rsidR="005040B7" w:rsidRPr="00D5739B">
        <w:rPr>
          <w:i/>
          <w:lang w:val="fr-CA"/>
        </w:rPr>
        <w:t>1254582 Alberta Ltd. c. Edmonton (City)</w:t>
      </w:r>
      <w:r w:rsidR="005040B7" w:rsidRPr="00D5739B">
        <w:rPr>
          <w:lang w:val="fr-CA"/>
        </w:rPr>
        <w:t xml:space="preserve">, 2009 ABCA 4, 448 A.R. 58; </w:t>
      </w:r>
      <w:r w:rsidR="000D3B13" w:rsidRPr="00D5739B">
        <w:rPr>
          <w:i/>
          <w:lang w:val="fr-CA"/>
        </w:rPr>
        <w:t>Conseil canadien pour les réfugiés c. Canada</w:t>
      </w:r>
      <w:r w:rsidR="000D3B13" w:rsidRPr="00D5739B">
        <w:rPr>
          <w:lang w:val="fr-CA"/>
        </w:rPr>
        <w:t>, 2008 CAF 229, [2009] 3 R.C.F. 136;</w:t>
      </w:r>
      <w:r w:rsidR="00EF111C" w:rsidRPr="00D5739B">
        <w:rPr>
          <w:lang w:val="fr-CA"/>
        </w:rPr>
        <w:t xml:space="preserve"> </w:t>
      </w:r>
      <w:r w:rsidR="00EF111C" w:rsidRPr="00D5739B">
        <w:rPr>
          <w:i/>
          <w:lang w:val="fr-CA"/>
        </w:rPr>
        <w:t>Cargill Ltd. c. Canada (Procureur général)</w:t>
      </w:r>
      <w:r w:rsidR="00EF111C" w:rsidRPr="00D5739B">
        <w:rPr>
          <w:lang w:val="fr-CA"/>
        </w:rPr>
        <w:t>, 2014 CF 243</w:t>
      </w:r>
      <w:r w:rsidR="00173E14" w:rsidRPr="00D5739B">
        <w:rPr>
          <w:lang w:val="fr-CA"/>
        </w:rPr>
        <w:t>;</w:t>
      </w:r>
      <w:r w:rsidR="00AD35C6" w:rsidRPr="00D5739B">
        <w:rPr>
          <w:lang w:val="fr-CA"/>
        </w:rPr>
        <w:t xml:space="preserve"> </w:t>
      </w:r>
      <w:proofErr w:type="spellStart"/>
      <w:r w:rsidR="00AD35C6" w:rsidRPr="00D5739B">
        <w:rPr>
          <w:i/>
          <w:lang w:val="fr-CA"/>
        </w:rPr>
        <w:t>Broers</w:t>
      </w:r>
      <w:proofErr w:type="spellEnd"/>
      <w:r w:rsidR="00AD35C6" w:rsidRPr="00D5739B">
        <w:rPr>
          <w:i/>
          <w:lang w:val="fr-CA"/>
        </w:rPr>
        <w:t xml:space="preserve"> c. Real Estate Council of Alberta</w:t>
      </w:r>
      <w:r w:rsidR="00AD35C6" w:rsidRPr="00D5739B">
        <w:rPr>
          <w:lang w:val="fr-CA"/>
        </w:rPr>
        <w:t xml:space="preserve">, 2010 ABQB 497, 489 A.R. 219; </w:t>
      </w:r>
      <w:proofErr w:type="spellStart"/>
      <w:r w:rsidR="00AD35C6" w:rsidRPr="00D5739B">
        <w:rPr>
          <w:i/>
          <w:lang w:val="fr-CA"/>
        </w:rPr>
        <w:t>Algoma</w:t>
      </w:r>
      <w:proofErr w:type="spellEnd"/>
      <w:r w:rsidR="00AD35C6" w:rsidRPr="00D5739B">
        <w:rPr>
          <w:i/>
          <w:lang w:val="fr-CA"/>
        </w:rPr>
        <w:t xml:space="preserve"> Central Cor</w:t>
      </w:r>
      <w:r w:rsidR="00582B6A" w:rsidRPr="00D5739B">
        <w:rPr>
          <w:i/>
          <w:lang w:val="fr-CA"/>
        </w:rPr>
        <w:t>p. </w:t>
      </w:r>
      <w:r w:rsidR="00AD35C6" w:rsidRPr="00D5739B">
        <w:rPr>
          <w:i/>
          <w:lang w:val="fr-CA"/>
        </w:rPr>
        <w:t>c. Canada</w:t>
      </w:r>
      <w:r w:rsidR="00AD35C6" w:rsidRPr="00D5739B">
        <w:rPr>
          <w:lang w:val="fr-CA"/>
        </w:rPr>
        <w:t xml:space="preserve">, 2009 CF 1287; </w:t>
      </w:r>
      <w:proofErr w:type="spellStart"/>
      <w:r w:rsidR="00E76E3F" w:rsidRPr="00D5739B">
        <w:rPr>
          <w:i/>
          <w:lang w:val="fr-CA"/>
        </w:rPr>
        <w:t>Catalyst</w:t>
      </w:r>
      <w:proofErr w:type="spellEnd"/>
      <w:r w:rsidR="00E76E3F" w:rsidRPr="00D5739B">
        <w:rPr>
          <w:i/>
          <w:lang w:val="fr-CA"/>
        </w:rPr>
        <w:t xml:space="preserve"> Paper Cor</w:t>
      </w:r>
      <w:r w:rsidR="00582B6A" w:rsidRPr="00D5739B">
        <w:rPr>
          <w:i/>
          <w:lang w:val="fr-CA"/>
        </w:rPr>
        <w:t>p. </w:t>
      </w:r>
      <w:r w:rsidR="00E76E3F" w:rsidRPr="00D5739B">
        <w:rPr>
          <w:i/>
          <w:lang w:val="fr-CA"/>
        </w:rPr>
        <w:t xml:space="preserve">c. North </w:t>
      </w:r>
      <w:proofErr w:type="spellStart"/>
      <w:r w:rsidR="00E76E3F" w:rsidRPr="00D5739B">
        <w:rPr>
          <w:i/>
          <w:lang w:val="fr-CA"/>
        </w:rPr>
        <w:t>Cowichan</w:t>
      </w:r>
      <w:proofErr w:type="spellEnd"/>
      <w:r w:rsidR="00E76E3F" w:rsidRPr="00D5739B">
        <w:rPr>
          <w:i/>
          <w:lang w:val="fr-CA"/>
        </w:rPr>
        <w:t xml:space="preserve"> (District)</w:t>
      </w:r>
      <w:r w:rsidR="00E76E3F" w:rsidRPr="00D5739B">
        <w:rPr>
          <w:lang w:val="fr-CA"/>
        </w:rPr>
        <w:t xml:space="preserve">, 2012 CSC 2, [2012] 1 R.C.S. 5; </w:t>
      </w:r>
      <w:r w:rsidR="00822DDA" w:rsidRPr="00D5739B">
        <w:rPr>
          <w:i/>
          <w:lang w:val="fr-CA"/>
        </w:rPr>
        <w:t>Green c. Société du Barreau du Manitoba</w:t>
      </w:r>
      <w:r w:rsidR="00822DDA" w:rsidRPr="00D5739B">
        <w:rPr>
          <w:lang w:val="fr-CA"/>
        </w:rPr>
        <w:t xml:space="preserve">, 2017 CSC 20, [2017] 1 R.C.S. 360; </w:t>
      </w:r>
      <w:r w:rsidR="00822DDA" w:rsidRPr="00D5739B">
        <w:rPr>
          <w:i/>
          <w:lang w:val="fr-CA"/>
        </w:rPr>
        <w:t>Katz Group Canada Inc. c. Ontario (Santé et Soins de longue durée)</w:t>
      </w:r>
      <w:r w:rsidR="00822DDA" w:rsidRPr="00D5739B">
        <w:rPr>
          <w:lang w:val="fr-CA"/>
        </w:rPr>
        <w:t xml:space="preserve">, 2013 CSC 64, [2013] 3 R.C.S. 810; </w:t>
      </w:r>
      <w:r w:rsidR="00822DDA" w:rsidRPr="00D5739B">
        <w:rPr>
          <w:i/>
          <w:lang w:val="fr-CA"/>
        </w:rPr>
        <w:t>Barreau du Nouveau</w:t>
      </w:r>
      <w:r w:rsidR="00582B6A" w:rsidRPr="00D5739B">
        <w:rPr>
          <w:i/>
          <w:lang w:val="fr-CA"/>
        </w:rPr>
        <w:noBreakHyphen/>
      </w:r>
      <w:r w:rsidR="00822DDA" w:rsidRPr="00D5739B">
        <w:rPr>
          <w:i/>
          <w:lang w:val="fr-CA"/>
        </w:rPr>
        <w:t>Brunswick c. Ryan</w:t>
      </w:r>
      <w:r w:rsidR="00822DDA" w:rsidRPr="00D5739B">
        <w:rPr>
          <w:lang w:val="fr-CA"/>
        </w:rPr>
        <w:t xml:space="preserve">, </w:t>
      </w:r>
      <w:r w:rsidR="00822DDA" w:rsidRPr="00D5739B">
        <w:rPr>
          <w:lang w:val="fr-CA"/>
        </w:rPr>
        <w:lastRenderedPageBreak/>
        <w:t xml:space="preserve">2003 CSC 20, [2003] 1 R.C.S. 247; </w:t>
      </w:r>
      <w:r w:rsidR="00185177" w:rsidRPr="00D5739B">
        <w:rPr>
          <w:i/>
          <w:lang w:val="fr-CA"/>
        </w:rPr>
        <w:t xml:space="preserve">Toronto Star </w:t>
      </w:r>
      <w:proofErr w:type="spellStart"/>
      <w:r w:rsidR="00185177" w:rsidRPr="00D5739B">
        <w:rPr>
          <w:i/>
          <w:lang w:val="fr-CA"/>
        </w:rPr>
        <w:t>Newspapers</w:t>
      </w:r>
      <w:proofErr w:type="spellEnd"/>
      <w:r w:rsidR="00185177" w:rsidRPr="00D5739B">
        <w:rPr>
          <w:i/>
          <w:lang w:val="fr-CA"/>
        </w:rPr>
        <w:t xml:space="preserve"> Ltd. c. Canada</w:t>
      </w:r>
      <w:r w:rsidR="00185177" w:rsidRPr="00D5739B">
        <w:rPr>
          <w:lang w:val="fr-CA"/>
        </w:rPr>
        <w:t xml:space="preserve">, 2010 CSC 21, [2010] 1 R.C.S. 721; </w:t>
      </w:r>
      <w:proofErr w:type="spellStart"/>
      <w:r w:rsidR="00185177" w:rsidRPr="00D5739B">
        <w:rPr>
          <w:i/>
          <w:lang w:val="fr-CA"/>
        </w:rPr>
        <w:t>Greenshields</w:t>
      </w:r>
      <w:proofErr w:type="spellEnd"/>
      <w:r w:rsidR="00185177" w:rsidRPr="00D5739B">
        <w:rPr>
          <w:i/>
          <w:lang w:val="fr-CA"/>
        </w:rPr>
        <w:t xml:space="preserve"> c. The Queen</w:t>
      </w:r>
      <w:r w:rsidR="00185177" w:rsidRPr="00D5739B">
        <w:rPr>
          <w:lang w:val="fr-CA"/>
        </w:rPr>
        <w:t xml:space="preserve">, [1958] R.C.S. 216; </w:t>
      </w:r>
      <w:r w:rsidR="00066DB2" w:rsidRPr="00D5739B">
        <w:rPr>
          <w:i/>
          <w:lang w:val="fr-CA"/>
        </w:rPr>
        <w:t>Renvoi relatif à la Politique réglementaire de radiodiffusion CRTC 2010</w:t>
      </w:r>
      <w:r w:rsidR="00582B6A" w:rsidRPr="00D5739B">
        <w:rPr>
          <w:i/>
          <w:lang w:val="fr-CA"/>
        </w:rPr>
        <w:noBreakHyphen/>
      </w:r>
      <w:r w:rsidR="00066DB2" w:rsidRPr="00D5739B">
        <w:rPr>
          <w:i/>
          <w:lang w:val="fr-CA"/>
        </w:rPr>
        <w:t>167 et l</w:t>
      </w:r>
      <w:r w:rsidR="00582B6A" w:rsidRPr="00D5739B">
        <w:rPr>
          <w:i/>
          <w:lang w:val="fr-CA"/>
        </w:rPr>
        <w:t>’</w:t>
      </w:r>
      <w:r w:rsidR="00066DB2" w:rsidRPr="00D5739B">
        <w:rPr>
          <w:i/>
          <w:lang w:val="fr-CA"/>
        </w:rPr>
        <w:t>ordonnance de radiodiffusion CRTC 2010</w:t>
      </w:r>
      <w:r w:rsidR="00582B6A" w:rsidRPr="00D5739B">
        <w:rPr>
          <w:i/>
          <w:lang w:val="fr-CA"/>
        </w:rPr>
        <w:noBreakHyphen/>
      </w:r>
      <w:r w:rsidR="00066DB2" w:rsidRPr="00D5739B">
        <w:rPr>
          <w:i/>
          <w:lang w:val="fr-CA"/>
        </w:rPr>
        <w:t>168</w:t>
      </w:r>
      <w:r w:rsidR="00066DB2" w:rsidRPr="00D5739B">
        <w:rPr>
          <w:lang w:val="fr-CA"/>
        </w:rPr>
        <w:t>, 2012 CSC 68, [2012] 3 R.C.S. 489;</w:t>
      </w:r>
      <w:r w:rsidR="003D34A1" w:rsidRPr="00D5739B">
        <w:rPr>
          <w:lang w:val="fr-CA"/>
        </w:rPr>
        <w:t xml:space="preserve"> </w:t>
      </w:r>
      <w:proofErr w:type="spellStart"/>
      <w:r w:rsidR="003D34A1" w:rsidRPr="00D5739B">
        <w:rPr>
          <w:i/>
          <w:lang w:val="fr-CA"/>
        </w:rPr>
        <w:t>Agraira</w:t>
      </w:r>
      <w:proofErr w:type="spellEnd"/>
      <w:r w:rsidR="003D34A1" w:rsidRPr="00D5739B">
        <w:rPr>
          <w:i/>
          <w:lang w:val="fr-CA"/>
        </w:rPr>
        <w:t xml:space="preserve"> c. Canada (Sécurité publique et Protection civile)</w:t>
      </w:r>
      <w:r w:rsidR="003D34A1" w:rsidRPr="00D5739B">
        <w:rPr>
          <w:lang w:val="fr-CA"/>
        </w:rPr>
        <w:t>, 20</w:t>
      </w:r>
      <w:r w:rsidR="00822DDA" w:rsidRPr="00D5739B">
        <w:rPr>
          <w:lang w:val="fr-CA"/>
        </w:rPr>
        <w:t xml:space="preserve">13 CSC 36, [2013] 2 R.C.S. 559; </w:t>
      </w:r>
      <w:r w:rsidR="00822DDA" w:rsidRPr="00D5739B">
        <w:rPr>
          <w:i/>
          <w:lang w:val="fr-CA"/>
        </w:rPr>
        <w:t xml:space="preserve">Delta Air Lines Inc. </w:t>
      </w:r>
      <w:r w:rsidR="0023295A" w:rsidRPr="00D5739B">
        <w:rPr>
          <w:i/>
          <w:lang w:val="fr-CA"/>
        </w:rPr>
        <w:t>c</w:t>
      </w:r>
      <w:r w:rsidR="00822DDA" w:rsidRPr="00D5739B">
        <w:rPr>
          <w:i/>
          <w:lang w:val="fr-CA"/>
        </w:rPr>
        <w:t>. Lukács</w:t>
      </w:r>
      <w:r w:rsidR="00822DDA" w:rsidRPr="00D5739B">
        <w:rPr>
          <w:lang w:val="fr-CA"/>
        </w:rPr>
        <w:t xml:space="preserve">, 2018 </w:t>
      </w:r>
      <w:r w:rsidR="0023295A" w:rsidRPr="00D5739B">
        <w:rPr>
          <w:lang w:val="fr-CA"/>
        </w:rPr>
        <w:t>CSC</w:t>
      </w:r>
      <w:r w:rsidR="00822DDA" w:rsidRPr="00D5739B">
        <w:rPr>
          <w:lang w:val="fr-CA"/>
        </w:rPr>
        <w:t xml:space="preserve"> 2</w:t>
      </w:r>
      <w:r w:rsidR="00360B0E">
        <w:rPr>
          <w:lang w:val="fr-CA"/>
        </w:rPr>
        <w:t>, [2018] 1 R.C.S. 6</w:t>
      </w:r>
      <w:r w:rsidR="00F613EA" w:rsidRPr="00D5739B">
        <w:rPr>
          <w:lang w:val="fr-CA"/>
        </w:rPr>
        <w:t>.</w:t>
      </w:r>
    </w:p>
    <w:p w:rsidR="00832458" w:rsidRPr="00D5739B" w:rsidRDefault="00B908F8" w:rsidP="00F94818">
      <w:pPr>
        <w:pStyle w:val="SCCNormalDoubleSpacing"/>
        <w:spacing w:after="720" w:line="240" w:lineRule="auto"/>
        <w:rPr>
          <w:lang w:val="fr-CA"/>
        </w:rPr>
      </w:pPr>
      <w:r w:rsidRPr="00D5739B">
        <w:rPr>
          <w:lang w:val="fr-CA"/>
        </w:rPr>
        <w:t xml:space="preserve">Citée par le juge Brown </w:t>
      </w:r>
      <w:r w:rsidR="00F613EA" w:rsidRPr="00D5739B">
        <w:rPr>
          <w:lang w:val="fr-CA"/>
        </w:rPr>
        <w:t>(dissident)</w:t>
      </w:r>
    </w:p>
    <w:p w:rsidR="00B908F8" w:rsidRPr="00D5739B" w:rsidRDefault="00B908F8" w:rsidP="00F94818">
      <w:pPr>
        <w:pStyle w:val="SCCNormalDoubleSpacing"/>
        <w:spacing w:before="480" w:after="480"/>
        <w:rPr>
          <w:lang w:val="en-US"/>
        </w:rPr>
      </w:pPr>
      <w:r w:rsidRPr="00D5739B">
        <w:rPr>
          <w:lang w:val="fr-CA"/>
        </w:rPr>
        <w:tab/>
      </w:r>
      <w:r w:rsidR="00074D82" w:rsidRPr="00D5739B">
        <w:rPr>
          <w:i/>
          <w:lang w:val="en-US"/>
        </w:rPr>
        <w:t>Dunsmuir c. Nouveau</w:t>
      </w:r>
      <w:r w:rsidR="00582B6A" w:rsidRPr="00D5739B">
        <w:rPr>
          <w:i/>
          <w:lang w:val="en-US"/>
        </w:rPr>
        <w:noBreakHyphen/>
      </w:r>
      <w:r w:rsidR="00074D82" w:rsidRPr="00D5739B">
        <w:rPr>
          <w:i/>
          <w:lang w:val="en-US"/>
        </w:rPr>
        <w:t>Brunswick</w:t>
      </w:r>
      <w:r w:rsidR="00074D82" w:rsidRPr="00D5739B">
        <w:rPr>
          <w:lang w:val="en-US"/>
        </w:rPr>
        <w:t>,</w:t>
      </w:r>
      <w:r w:rsidR="00074D82" w:rsidRPr="00D5739B">
        <w:rPr>
          <w:i/>
          <w:lang w:val="en-US"/>
        </w:rPr>
        <w:t xml:space="preserve"> </w:t>
      </w:r>
      <w:r w:rsidR="00074D82" w:rsidRPr="00D5739B">
        <w:rPr>
          <w:lang w:val="en-US"/>
        </w:rPr>
        <w:t xml:space="preserve">2008 CSC 9, [2008] 1 R.C.S. 190; </w:t>
      </w:r>
      <w:r w:rsidR="00061B75" w:rsidRPr="00D5739B">
        <w:rPr>
          <w:i/>
          <w:lang w:val="en-US"/>
        </w:rPr>
        <w:t>Canadian Copyright Licensing Agency (Access Copyright) c. Canada</w:t>
      </w:r>
      <w:r w:rsidR="00061B75" w:rsidRPr="00D5739B">
        <w:rPr>
          <w:lang w:val="en-US"/>
        </w:rPr>
        <w:t>, 2018 CAF 58;</w:t>
      </w:r>
      <w:r w:rsidR="00061B75" w:rsidRPr="00D5739B">
        <w:rPr>
          <w:i/>
          <w:lang w:val="en-US"/>
        </w:rPr>
        <w:t xml:space="preserve"> </w:t>
      </w:r>
      <w:r w:rsidR="00696EBC" w:rsidRPr="00D5739B">
        <w:rPr>
          <w:i/>
          <w:lang w:val="en-US"/>
        </w:rPr>
        <w:t>United Taxi Drivers</w:t>
      </w:r>
      <w:r w:rsidR="00582B6A" w:rsidRPr="00D5739B">
        <w:rPr>
          <w:i/>
          <w:lang w:val="en-US"/>
        </w:rPr>
        <w:t>’</w:t>
      </w:r>
      <w:r w:rsidR="00696EBC" w:rsidRPr="00D5739B">
        <w:rPr>
          <w:i/>
          <w:lang w:val="en-US"/>
        </w:rPr>
        <w:t xml:space="preserve"> Fellowship of Southern Alberta c. Calgary (Ville)</w:t>
      </w:r>
      <w:r w:rsidR="00696EBC" w:rsidRPr="00D5739B">
        <w:rPr>
          <w:lang w:val="en-US"/>
        </w:rPr>
        <w:t xml:space="preserve">, 2004 CSC 19, [2004] 1 R.C.S. 485; </w:t>
      </w:r>
      <w:proofErr w:type="spellStart"/>
      <w:r w:rsidR="00872E46" w:rsidRPr="00D5739B">
        <w:rPr>
          <w:i/>
          <w:lang w:val="en-US"/>
        </w:rPr>
        <w:t>Noron</w:t>
      </w:r>
      <w:proofErr w:type="spellEnd"/>
      <w:r w:rsidR="00872E46" w:rsidRPr="00D5739B">
        <w:rPr>
          <w:i/>
          <w:lang w:val="en-US"/>
        </w:rPr>
        <w:t xml:space="preserve"> Inc. c. </w:t>
      </w:r>
      <w:r w:rsidR="00360B0E">
        <w:rPr>
          <w:i/>
          <w:lang w:val="en-US"/>
        </w:rPr>
        <w:t>Ville de</w:t>
      </w:r>
      <w:r w:rsidR="00872E46" w:rsidRPr="00D5739B">
        <w:rPr>
          <w:i/>
          <w:lang w:val="en-US"/>
        </w:rPr>
        <w:t xml:space="preserve"> Dieppe</w:t>
      </w:r>
      <w:r w:rsidR="00872E46" w:rsidRPr="00D5739B">
        <w:rPr>
          <w:lang w:val="en-US"/>
        </w:rPr>
        <w:t xml:space="preserve">, 2017 NBCA 38, 66 M.P.L.R. (5th) 1; </w:t>
      </w:r>
      <w:r w:rsidR="0010311B" w:rsidRPr="00D5739B">
        <w:rPr>
          <w:i/>
          <w:lang w:val="en-US"/>
        </w:rPr>
        <w:t xml:space="preserve">Gander (Town) c. </w:t>
      </w:r>
      <w:proofErr w:type="spellStart"/>
      <w:r w:rsidR="0010311B" w:rsidRPr="00D5739B">
        <w:rPr>
          <w:i/>
          <w:lang w:val="en-US"/>
        </w:rPr>
        <w:t>Trimart</w:t>
      </w:r>
      <w:proofErr w:type="spellEnd"/>
      <w:r w:rsidR="0010311B" w:rsidRPr="00D5739B">
        <w:rPr>
          <w:i/>
          <w:lang w:val="en-US"/>
        </w:rPr>
        <w:t xml:space="preserve"> Investments Ltd.</w:t>
      </w:r>
      <w:r w:rsidR="0010311B" w:rsidRPr="00D5739B">
        <w:rPr>
          <w:lang w:val="en-US"/>
        </w:rPr>
        <w:t xml:space="preserve">, 2015 NLCA 32, 368 Nfld. &amp; P.E.I.R. 96; </w:t>
      </w:r>
      <w:r w:rsidR="00A23189" w:rsidRPr="00D5739B">
        <w:rPr>
          <w:i/>
          <w:lang w:val="en-US"/>
        </w:rPr>
        <w:t>1254582 Alberta Ltd. c. Edmonton (City)</w:t>
      </w:r>
      <w:r w:rsidR="00A23189" w:rsidRPr="00D5739B">
        <w:rPr>
          <w:lang w:val="en-US"/>
        </w:rPr>
        <w:t xml:space="preserve">, 2009 ABCA 4, 448 A.R. 58; </w:t>
      </w:r>
      <w:r w:rsidR="00A23189" w:rsidRPr="00D5739B">
        <w:rPr>
          <w:i/>
          <w:lang w:val="en-US"/>
        </w:rPr>
        <w:t xml:space="preserve">Conseil </w:t>
      </w:r>
      <w:proofErr w:type="spellStart"/>
      <w:r w:rsidR="00A23189" w:rsidRPr="00D5739B">
        <w:rPr>
          <w:i/>
          <w:lang w:val="en-US"/>
        </w:rPr>
        <w:t>canadien</w:t>
      </w:r>
      <w:proofErr w:type="spellEnd"/>
      <w:r w:rsidR="00A23189" w:rsidRPr="00D5739B">
        <w:rPr>
          <w:i/>
          <w:lang w:val="en-US"/>
        </w:rPr>
        <w:t xml:space="preserve"> pour les </w:t>
      </w:r>
      <w:proofErr w:type="spellStart"/>
      <w:r w:rsidR="00A23189" w:rsidRPr="00D5739B">
        <w:rPr>
          <w:i/>
          <w:lang w:val="en-US"/>
        </w:rPr>
        <w:t>réfugiés</w:t>
      </w:r>
      <w:proofErr w:type="spellEnd"/>
      <w:r w:rsidR="00A23189" w:rsidRPr="00D5739B">
        <w:rPr>
          <w:i/>
          <w:lang w:val="en-US"/>
        </w:rPr>
        <w:t xml:space="preserve"> c. Canada</w:t>
      </w:r>
      <w:r w:rsidR="00A23189" w:rsidRPr="00D5739B">
        <w:rPr>
          <w:lang w:val="en-US"/>
        </w:rPr>
        <w:t>, 2008 CAF 229, [2009] 3 R.C.F. 136;</w:t>
      </w:r>
      <w:r w:rsidR="004A4CED" w:rsidRPr="00D5739B">
        <w:rPr>
          <w:lang w:val="en-US"/>
        </w:rPr>
        <w:t xml:space="preserve"> </w:t>
      </w:r>
      <w:proofErr w:type="spellStart"/>
      <w:r w:rsidR="004A4CED" w:rsidRPr="00D5739B">
        <w:rPr>
          <w:i/>
          <w:lang w:val="en-US"/>
        </w:rPr>
        <w:t>Broers</w:t>
      </w:r>
      <w:proofErr w:type="spellEnd"/>
      <w:r w:rsidR="004A4CED" w:rsidRPr="00D5739B">
        <w:rPr>
          <w:i/>
          <w:lang w:val="en-US"/>
        </w:rPr>
        <w:t xml:space="preserve"> c. Real Estate Council of Alberta</w:t>
      </w:r>
      <w:r w:rsidR="004A4CED" w:rsidRPr="00D5739B">
        <w:rPr>
          <w:lang w:val="en-US"/>
        </w:rPr>
        <w:t xml:space="preserve">, 2010 ABQB 497, 489 A.R. 219; </w:t>
      </w:r>
      <w:r w:rsidR="00EA082E" w:rsidRPr="00D5739B">
        <w:rPr>
          <w:i/>
          <w:lang w:val="en-US"/>
        </w:rPr>
        <w:t>Algoma Central Cor</w:t>
      </w:r>
      <w:r w:rsidR="00582B6A" w:rsidRPr="00D5739B">
        <w:rPr>
          <w:i/>
          <w:lang w:val="en-US"/>
        </w:rPr>
        <w:t>p. </w:t>
      </w:r>
      <w:r w:rsidR="00EA082E" w:rsidRPr="00D5739B">
        <w:rPr>
          <w:i/>
          <w:lang w:val="en-US"/>
        </w:rPr>
        <w:t>c. Canada</w:t>
      </w:r>
      <w:r w:rsidR="00696EBC" w:rsidRPr="00D5739B">
        <w:rPr>
          <w:lang w:val="en-US"/>
        </w:rPr>
        <w:t>, 2009 CF 1287</w:t>
      </w:r>
      <w:r w:rsidR="00D42497" w:rsidRPr="00D5739B">
        <w:rPr>
          <w:lang w:val="en-US"/>
        </w:rPr>
        <w:t xml:space="preserve">; </w:t>
      </w:r>
      <w:r w:rsidR="000D38D6" w:rsidRPr="00D5739B">
        <w:rPr>
          <w:i/>
          <w:lang w:val="en-US"/>
        </w:rPr>
        <w:t>Catalyst Paper Cor</w:t>
      </w:r>
      <w:r w:rsidR="00582B6A" w:rsidRPr="00D5739B">
        <w:rPr>
          <w:i/>
          <w:lang w:val="en-US"/>
        </w:rPr>
        <w:t>p. </w:t>
      </w:r>
      <w:r w:rsidR="000D38D6" w:rsidRPr="00D5739B">
        <w:rPr>
          <w:i/>
          <w:lang w:val="en-US"/>
        </w:rPr>
        <w:t>c. North Cowichan (District)</w:t>
      </w:r>
      <w:r w:rsidR="000D38D6" w:rsidRPr="00D5739B">
        <w:rPr>
          <w:lang w:val="en-US"/>
        </w:rPr>
        <w:t xml:space="preserve">, 2012 CSC 2, [2012] 1 R.C.S. 5; </w:t>
      </w:r>
      <w:r w:rsidR="00B42A1D" w:rsidRPr="00D5739B">
        <w:rPr>
          <w:i/>
          <w:lang w:val="en-US"/>
        </w:rPr>
        <w:t>Kruse c. Johnson</w:t>
      </w:r>
      <w:r w:rsidR="00B42A1D" w:rsidRPr="00D5739B">
        <w:rPr>
          <w:lang w:val="en-US"/>
        </w:rPr>
        <w:t xml:space="preserve">, [1898] 2 Q.B. 91; </w:t>
      </w:r>
      <w:r w:rsidR="00AB6010" w:rsidRPr="00D5739B">
        <w:rPr>
          <w:i/>
          <w:lang w:val="en-US"/>
        </w:rPr>
        <w:t>Saumur c. City of Quebec</w:t>
      </w:r>
      <w:r w:rsidR="00061B75" w:rsidRPr="00D5739B">
        <w:rPr>
          <w:lang w:val="en-US"/>
        </w:rPr>
        <w:t xml:space="preserve">, [1953] 2 R.C.S. 299; </w:t>
      </w:r>
      <w:r w:rsidR="00061B75" w:rsidRPr="00D5739B">
        <w:rPr>
          <w:i/>
          <w:lang w:val="en-US"/>
        </w:rPr>
        <w:t>Alberta (Information and Privacy Commissioner) c. Alberta Teachers</w:t>
      </w:r>
      <w:r w:rsidR="00582B6A" w:rsidRPr="00D5739B">
        <w:rPr>
          <w:i/>
          <w:lang w:val="en-US"/>
        </w:rPr>
        <w:t>’</w:t>
      </w:r>
      <w:r w:rsidR="00061B75" w:rsidRPr="00D5739B">
        <w:rPr>
          <w:i/>
          <w:lang w:val="en-US"/>
        </w:rPr>
        <w:t xml:space="preserve"> Association</w:t>
      </w:r>
      <w:r w:rsidR="00061B75" w:rsidRPr="00D5739B">
        <w:rPr>
          <w:lang w:val="en-US"/>
        </w:rPr>
        <w:t>, 2011 CSC 61, [2011] 3 R.C.S. 654</w:t>
      </w:r>
      <w:r w:rsidR="00BF7A72" w:rsidRPr="00D5739B">
        <w:rPr>
          <w:lang w:val="en-US"/>
        </w:rPr>
        <w:t xml:space="preserve">; </w:t>
      </w:r>
      <w:r w:rsidR="00BF7A72" w:rsidRPr="00D5739B">
        <w:rPr>
          <w:i/>
          <w:lang w:val="en-US"/>
        </w:rPr>
        <w:t>Edmonton (Ville) c. Edmonton East (</w:t>
      </w:r>
      <w:proofErr w:type="spellStart"/>
      <w:r w:rsidR="00BF7A72" w:rsidRPr="00D5739B">
        <w:rPr>
          <w:i/>
          <w:lang w:val="en-US"/>
        </w:rPr>
        <w:t>Capilano</w:t>
      </w:r>
      <w:proofErr w:type="spellEnd"/>
      <w:r w:rsidR="00BF7A72" w:rsidRPr="00D5739B">
        <w:rPr>
          <w:i/>
          <w:lang w:val="en-US"/>
        </w:rPr>
        <w:t xml:space="preserve">) Shopping </w:t>
      </w:r>
      <w:proofErr w:type="spellStart"/>
      <w:r w:rsidR="00BF7A72" w:rsidRPr="00D5739B">
        <w:rPr>
          <w:i/>
          <w:lang w:val="en-US"/>
        </w:rPr>
        <w:t>Centres</w:t>
      </w:r>
      <w:proofErr w:type="spellEnd"/>
      <w:r w:rsidR="00BF7A72" w:rsidRPr="00D5739B">
        <w:rPr>
          <w:i/>
          <w:lang w:val="en-US"/>
        </w:rPr>
        <w:t xml:space="preserve"> Ltd.</w:t>
      </w:r>
      <w:r w:rsidR="00DA4689" w:rsidRPr="00D5739B">
        <w:rPr>
          <w:lang w:val="en-US"/>
        </w:rPr>
        <w:t>, 2016 CSC 47, [2016] 2</w:t>
      </w:r>
      <w:r w:rsidR="00BF7A72" w:rsidRPr="00D5739B">
        <w:rPr>
          <w:lang w:val="en-US"/>
        </w:rPr>
        <w:t xml:space="preserve"> R.C.S. 293; </w:t>
      </w:r>
      <w:r w:rsidR="00BF7A72" w:rsidRPr="00D5739B">
        <w:rPr>
          <w:i/>
          <w:lang w:val="en-US"/>
        </w:rPr>
        <w:t>Québec (</w:t>
      </w:r>
      <w:proofErr w:type="spellStart"/>
      <w:r w:rsidR="00BF7A72" w:rsidRPr="00D5739B">
        <w:rPr>
          <w:i/>
          <w:lang w:val="en-US"/>
        </w:rPr>
        <w:t>Procureur</w:t>
      </w:r>
      <w:r w:rsidR="00461979">
        <w:rPr>
          <w:i/>
          <w:lang w:val="en-US"/>
        </w:rPr>
        <w:t>e</w:t>
      </w:r>
      <w:proofErr w:type="spellEnd"/>
      <w:r w:rsidR="00461979">
        <w:rPr>
          <w:i/>
          <w:lang w:val="en-US"/>
        </w:rPr>
        <w:t xml:space="preserve"> </w:t>
      </w:r>
      <w:proofErr w:type="spellStart"/>
      <w:r w:rsidR="00BF7A72" w:rsidRPr="00D5739B">
        <w:rPr>
          <w:i/>
          <w:lang w:val="en-US"/>
        </w:rPr>
        <w:t>général</w:t>
      </w:r>
      <w:r w:rsidR="00461979">
        <w:rPr>
          <w:i/>
          <w:lang w:val="en-US"/>
        </w:rPr>
        <w:t>e</w:t>
      </w:r>
      <w:proofErr w:type="spellEnd"/>
      <w:r w:rsidR="00BF7A72" w:rsidRPr="00D5739B">
        <w:rPr>
          <w:i/>
          <w:lang w:val="en-US"/>
        </w:rPr>
        <w:t xml:space="preserve">) c. </w:t>
      </w:r>
      <w:proofErr w:type="spellStart"/>
      <w:r w:rsidR="00BF7A72" w:rsidRPr="00D5739B">
        <w:rPr>
          <w:i/>
          <w:lang w:val="en-US"/>
        </w:rPr>
        <w:t>Guérin</w:t>
      </w:r>
      <w:proofErr w:type="spellEnd"/>
      <w:r w:rsidR="00BF7A72" w:rsidRPr="00D5739B">
        <w:rPr>
          <w:lang w:val="en-US"/>
        </w:rPr>
        <w:t xml:space="preserve">, 2017 CSC 42, </w:t>
      </w:r>
      <w:r w:rsidR="00BF7A72" w:rsidRPr="00D5739B">
        <w:t xml:space="preserve">[2017] 2 R.C.S. 3; </w:t>
      </w:r>
      <w:proofErr w:type="spellStart"/>
      <w:r w:rsidR="00BF7A72" w:rsidRPr="00D5739B">
        <w:rPr>
          <w:i/>
        </w:rPr>
        <w:lastRenderedPageBreak/>
        <w:t>Housen</w:t>
      </w:r>
      <w:proofErr w:type="spellEnd"/>
      <w:r w:rsidR="00BF7A72" w:rsidRPr="00D5739B">
        <w:rPr>
          <w:i/>
        </w:rPr>
        <w:t xml:space="preserve"> c. </w:t>
      </w:r>
      <w:proofErr w:type="spellStart"/>
      <w:r w:rsidR="00BF7A72" w:rsidRPr="00D5739B">
        <w:rPr>
          <w:i/>
        </w:rPr>
        <w:t>Nikolaisen</w:t>
      </w:r>
      <w:proofErr w:type="spellEnd"/>
      <w:r w:rsidR="00BF7A72" w:rsidRPr="00D5739B">
        <w:t xml:space="preserve">, 2002 CSC 33, [2002] 2 R.C.S. 235; </w:t>
      </w:r>
      <w:r w:rsidR="009E2412" w:rsidRPr="00D5739B">
        <w:rPr>
          <w:i/>
        </w:rPr>
        <w:t>Pham c. Secretary of State for the Home Department</w:t>
      </w:r>
      <w:r w:rsidR="009E2412" w:rsidRPr="00D5739B">
        <w:t>, [2015</w:t>
      </w:r>
      <w:r w:rsidR="00543BA4" w:rsidRPr="00D5739B">
        <w:t xml:space="preserve">] UKSC 19, [2015] 1 W.L.R. 1591; </w:t>
      </w:r>
      <w:r w:rsidR="00543BA4" w:rsidRPr="00D5739B">
        <w:rPr>
          <w:i/>
        </w:rPr>
        <w:t xml:space="preserve">Canada (Transports, Infrastructure et </w:t>
      </w:r>
      <w:proofErr w:type="spellStart"/>
      <w:r w:rsidR="00543BA4" w:rsidRPr="00D5739B">
        <w:rPr>
          <w:i/>
        </w:rPr>
        <w:t>Collectivit</w:t>
      </w:r>
      <w:proofErr w:type="spellEnd"/>
      <w:r w:rsidR="00543BA4" w:rsidRPr="00D5739B">
        <w:rPr>
          <w:i/>
          <w:lang w:val="en-US"/>
        </w:rPr>
        <w:t>é</w:t>
      </w:r>
      <w:r w:rsidR="00543BA4" w:rsidRPr="00D5739B">
        <w:rPr>
          <w:i/>
        </w:rPr>
        <w:t xml:space="preserve">s) c. </w:t>
      </w:r>
      <w:proofErr w:type="spellStart"/>
      <w:r w:rsidR="00543BA4" w:rsidRPr="00D5739B">
        <w:rPr>
          <w:i/>
        </w:rPr>
        <w:t>Farwaha</w:t>
      </w:r>
      <w:proofErr w:type="spellEnd"/>
      <w:r w:rsidR="00543BA4" w:rsidRPr="00D5739B">
        <w:t xml:space="preserve">, 2014 CAF 56, [2015] 2 R.C.F. 1006; </w:t>
      </w:r>
      <w:r w:rsidR="00C83972" w:rsidRPr="00D5739B">
        <w:rPr>
          <w:i/>
        </w:rPr>
        <w:t>Mills c</w:t>
      </w:r>
      <w:r w:rsidR="00543BA4" w:rsidRPr="00D5739B">
        <w:rPr>
          <w:i/>
        </w:rPr>
        <w:t>. Workplace Safety and Insurance Appeals Tribunal</w:t>
      </w:r>
      <w:r w:rsidR="00543BA4" w:rsidRPr="00D5739B">
        <w:t>, 2008 ONCA 436, 237 O.A.C. 71.</w:t>
      </w:r>
    </w:p>
    <w:p w:rsidR="00242792" w:rsidRPr="00D5739B" w:rsidRDefault="00242792" w:rsidP="00F94818">
      <w:pPr>
        <w:pStyle w:val="SCCNormalDoubleSpacing"/>
        <w:spacing w:after="720" w:line="240" w:lineRule="auto"/>
        <w:rPr>
          <w:lang w:val="fr-CA"/>
        </w:rPr>
      </w:pPr>
      <w:r w:rsidRPr="00D5739B">
        <w:rPr>
          <w:lang w:val="fr-CA"/>
        </w:rPr>
        <w:t xml:space="preserve">Citée par le juge Rowe </w:t>
      </w:r>
      <w:r w:rsidR="00F613EA" w:rsidRPr="00D5739B">
        <w:rPr>
          <w:lang w:val="fr-CA"/>
        </w:rPr>
        <w:t>(dissident)</w:t>
      </w:r>
    </w:p>
    <w:p w:rsidR="00242792" w:rsidRPr="00D5739B" w:rsidRDefault="00242792" w:rsidP="00F94818">
      <w:pPr>
        <w:pStyle w:val="SCCNormalDoubleSpacing"/>
        <w:spacing w:before="480" w:after="480"/>
        <w:rPr>
          <w:i/>
          <w:lang w:val="en-US"/>
        </w:rPr>
      </w:pPr>
      <w:r w:rsidRPr="00D5739B">
        <w:rPr>
          <w:lang w:val="fr-CA"/>
        </w:rPr>
        <w:tab/>
      </w:r>
      <w:r w:rsidRPr="00D5739B">
        <w:rPr>
          <w:i/>
          <w:lang w:val="en-US"/>
        </w:rPr>
        <w:t>Catalyst Paper Cor</w:t>
      </w:r>
      <w:r w:rsidR="00582B6A" w:rsidRPr="00D5739B">
        <w:rPr>
          <w:i/>
          <w:lang w:val="en-US"/>
        </w:rPr>
        <w:t>p. </w:t>
      </w:r>
      <w:r w:rsidRPr="00D5739B">
        <w:rPr>
          <w:i/>
          <w:lang w:val="en-US"/>
        </w:rPr>
        <w:t>c. North Cowichan (District)</w:t>
      </w:r>
      <w:r w:rsidRPr="00D5739B">
        <w:rPr>
          <w:lang w:val="en-US"/>
        </w:rPr>
        <w:t xml:space="preserve">, </w:t>
      </w:r>
      <w:r w:rsidR="00522469" w:rsidRPr="00D5739B">
        <w:rPr>
          <w:lang w:val="en-US"/>
        </w:rPr>
        <w:t xml:space="preserve">2012 CSC 2, </w:t>
      </w:r>
      <w:r w:rsidRPr="00D5739B">
        <w:rPr>
          <w:lang w:val="en-US"/>
        </w:rPr>
        <w:t xml:space="preserve">[2012] 1 R.C.S. 5; </w:t>
      </w:r>
      <w:r w:rsidRPr="00D5739B">
        <w:rPr>
          <w:i/>
          <w:lang w:val="en-US"/>
        </w:rPr>
        <w:t>Dunsmuir c. Nouveau</w:t>
      </w:r>
      <w:r w:rsidR="00582B6A" w:rsidRPr="00D5739B">
        <w:rPr>
          <w:i/>
          <w:lang w:val="en-US"/>
        </w:rPr>
        <w:noBreakHyphen/>
      </w:r>
      <w:r w:rsidRPr="00D5739B">
        <w:rPr>
          <w:i/>
          <w:lang w:val="en-US"/>
        </w:rPr>
        <w:t>Brunswick</w:t>
      </w:r>
      <w:r w:rsidRPr="00D5739B">
        <w:rPr>
          <w:lang w:val="en-US"/>
        </w:rPr>
        <w:t>,</w:t>
      </w:r>
      <w:r w:rsidRPr="00D5739B">
        <w:rPr>
          <w:i/>
          <w:lang w:val="en-US"/>
        </w:rPr>
        <w:t xml:space="preserve"> </w:t>
      </w:r>
      <w:r w:rsidRPr="00D5739B">
        <w:rPr>
          <w:lang w:val="en-US"/>
        </w:rPr>
        <w:t>2008 CSC 9, [2008] 1 R.C.S. 190</w:t>
      </w:r>
      <w:r w:rsidR="00C26266" w:rsidRPr="00D5739B">
        <w:rPr>
          <w:lang w:val="en-US"/>
        </w:rPr>
        <w:t xml:space="preserve">; </w:t>
      </w:r>
      <w:r w:rsidR="00B71253" w:rsidRPr="00D5739B">
        <w:rPr>
          <w:i/>
        </w:rPr>
        <w:t>Garneau Community League c. Edmonton (City)</w:t>
      </w:r>
      <w:r w:rsidR="00B71253" w:rsidRPr="00D5739B">
        <w:t>, 2017 ABCA 374, 60 Alta. L.R. (6th) 1.</w:t>
      </w:r>
    </w:p>
    <w:p w:rsidR="004D7D95" w:rsidRPr="00D5739B" w:rsidRDefault="004D7D95" w:rsidP="00F94818">
      <w:pPr>
        <w:pStyle w:val="SCCNormalDoubleSpacing"/>
        <w:spacing w:after="720" w:line="240" w:lineRule="auto"/>
        <w:rPr>
          <w:b/>
          <w:lang w:val="fr-CA"/>
        </w:rPr>
      </w:pPr>
      <w:r w:rsidRPr="00D5739B">
        <w:rPr>
          <w:b/>
          <w:lang w:val="fr-CA"/>
        </w:rPr>
        <w:t>Lois et règlements cités</w:t>
      </w:r>
    </w:p>
    <w:p w:rsidR="0085413B" w:rsidRPr="00D5739B" w:rsidRDefault="0085413B" w:rsidP="00F94818">
      <w:pPr>
        <w:pStyle w:val="SCCNormalDoubleSpacing"/>
        <w:spacing w:after="240" w:line="240" w:lineRule="auto"/>
        <w:ind w:left="547" w:hanging="547"/>
        <w:rPr>
          <w:lang w:val="fr-CA"/>
        </w:rPr>
      </w:pPr>
      <w:r w:rsidRPr="00D5739B">
        <w:rPr>
          <w:i/>
          <w:lang w:val="fr-CA"/>
        </w:rPr>
        <w:t xml:space="preserve">Administrative </w:t>
      </w:r>
      <w:proofErr w:type="spellStart"/>
      <w:r w:rsidRPr="00D5739B">
        <w:rPr>
          <w:i/>
          <w:lang w:val="fr-CA"/>
        </w:rPr>
        <w:t>Tribunals</w:t>
      </w:r>
      <w:proofErr w:type="spellEnd"/>
      <w:r w:rsidRPr="00D5739B">
        <w:rPr>
          <w:i/>
          <w:lang w:val="fr-CA"/>
        </w:rPr>
        <w:t xml:space="preserve"> Act</w:t>
      </w:r>
      <w:r w:rsidR="00F94818" w:rsidRPr="00D5739B">
        <w:rPr>
          <w:lang w:val="fr-CA"/>
        </w:rPr>
        <w:t>, S.B.C. 2004, c. </w:t>
      </w:r>
      <w:r w:rsidRPr="00D5739B">
        <w:rPr>
          <w:lang w:val="fr-CA"/>
        </w:rPr>
        <w:t xml:space="preserve">45, </w:t>
      </w:r>
      <w:r w:rsidR="00582B6A" w:rsidRPr="00D5739B">
        <w:rPr>
          <w:lang w:val="fr-CA"/>
        </w:rPr>
        <w:t>art. </w:t>
      </w:r>
      <w:r w:rsidRPr="00D5739B">
        <w:rPr>
          <w:lang w:val="fr-CA"/>
        </w:rPr>
        <w:t>58.</w:t>
      </w:r>
    </w:p>
    <w:p w:rsidR="00C42896" w:rsidRPr="00D5739B" w:rsidRDefault="00C42896" w:rsidP="00F94818">
      <w:pPr>
        <w:pStyle w:val="SCCNormalDoubleSpacing"/>
        <w:spacing w:after="240" w:line="240" w:lineRule="auto"/>
        <w:ind w:left="547" w:hanging="547"/>
        <w:rPr>
          <w:lang w:val="en-US"/>
        </w:rPr>
      </w:pPr>
      <w:r w:rsidRPr="00D5739B">
        <w:rPr>
          <w:i/>
          <w:lang w:val="en-US"/>
        </w:rPr>
        <w:t>Occupational Health and Safety Regulation</w:t>
      </w:r>
      <w:r w:rsidRPr="00D5739B">
        <w:rPr>
          <w:lang w:val="en-US"/>
        </w:rPr>
        <w:t xml:space="preserve">, B.C. Reg. 296/97, </w:t>
      </w:r>
      <w:r w:rsidR="00582B6A" w:rsidRPr="00D5739B">
        <w:rPr>
          <w:lang w:val="en-US"/>
        </w:rPr>
        <w:t>art. </w:t>
      </w:r>
      <w:r w:rsidRPr="00D5739B">
        <w:rPr>
          <w:lang w:val="en-US"/>
        </w:rPr>
        <w:t>26.2(1)</w:t>
      </w:r>
      <w:r w:rsidR="00B42AD5">
        <w:rPr>
          <w:lang w:val="en-US"/>
        </w:rPr>
        <w:t>.</w:t>
      </w:r>
    </w:p>
    <w:p w:rsidR="00C42896" w:rsidRPr="00D5739B" w:rsidRDefault="00C42896" w:rsidP="00F94818">
      <w:pPr>
        <w:pStyle w:val="SCCNormalDoubleSpacing"/>
        <w:spacing w:after="720" w:line="240" w:lineRule="auto"/>
        <w:ind w:left="547" w:hanging="547"/>
        <w:rPr>
          <w:lang w:val="en-US"/>
        </w:rPr>
      </w:pPr>
      <w:r w:rsidRPr="00D5739B">
        <w:rPr>
          <w:i/>
          <w:lang w:val="en-US"/>
        </w:rPr>
        <w:t>Workers Compensation Act</w:t>
      </w:r>
      <w:r w:rsidRPr="00D5739B">
        <w:rPr>
          <w:lang w:val="en-US"/>
        </w:rPr>
        <w:t>,</w:t>
      </w:r>
      <w:r w:rsidRPr="00D5739B">
        <w:rPr>
          <w:i/>
          <w:lang w:val="en-US"/>
        </w:rPr>
        <w:t xml:space="preserve"> </w:t>
      </w:r>
      <w:r w:rsidR="00F94818" w:rsidRPr="00D5739B">
        <w:rPr>
          <w:lang w:val="en-US"/>
        </w:rPr>
        <w:t>R.S.B.C. 1996, c. </w:t>
      </w:r>
      <w:r w:rsidRPr="00D5739B">
        <w:rPr>
          <w:lang w:val="en-US"/>
        </w:rPr>
        <w:t xml:space="preserve">492, Part 3, </w:t>
      </w:r>
      <w:r w:rsidR="00582B6A" w:rsidRPr="00D5739B">
        <w:rPr>
          <w:lang w:val="en-US"/>
        </w:rPr>
        <w:t>art. </w:t>
      </w:r>
      <w:r w:rsidRPr="00D5739B">
        <w:rPr>
          <w:lang w:val="en-US"/>
        </w:rPr>
        <w:t>106</w:t>
      </w:r>
      <w:r w:rsidR="00A3197A" w:rsidRPr="00D5739B">
        <w:rPr>
          <w:lang w:val="en-US"/>
        </w:rPr>
        <w:t xml:space="preserve"> « </w:t>
      </w:r>
      <w:r w:rsidR="00A3197A" w:rsidRPr="00D5739B">
        <w:rPr>
          <w:i/>
          <w:lang w:val="en-US"/>
        </w:rPr>
        <w:t>employer</w:t>
      </w:r>
      <w:r w:rsidR="00A3197A" w:rsidRPr="00D5739B">
        <w:rPr>
          <w:lang w:val="en-US"/>
        </w:rPr>
        <w:t> »</w:t>
      </w:r>
      <w:r w:rsidR="00461979">
        <w:rPr>
          <w:lang w:val="en-US"/>
        </w:rPr>
        <w:t>,</w:t>
      </w:r>
      <w:r w:rsidR="00A3197A" w:rsidRPr="00D5739B">
        <w:rPr>
          <w:lang w:val="en-US"/>
        </w:rPr>
        <w:t xml:space="preserve"> « </w:t>
      </w:r>
      <w:r w:rsidR="00A3197A" w:rsidRPr="00D5739B">
        <w:rPr>
          <w:i/>
          <w:lang w:val="en-US"/>
        </w:rPr>
        <w:t>owner</w:t>
      </w:r>
      <w:r w:rsidR="00A3197A" w:rsidRPr="00D5739B">
        <w:rPr>
          <w:lang w:val="en-US"/>
        </w:rPr>
        <w:t> »</w:t>
      </w:r>
      <w:r w:rsidRPr="00D5739B">
        <w:rPr>
          <w:lang w:val="en-US"/>
        </w:rPr>
        <w:t>,</w:t>
      </w:r>
      <w:r w:rsidR="00644A96" w:rsidRPr="00D5739B">
        <w:rPr>
          <w:lang w:val="en-US"/>
        </w:rPr>
        <w:t xml:space="preserve"> 107, 111, 115 à</w:t>
      </w:r>
      <w:r w:rsidRPr="00D5739B">
        <w:rPr>
          <w:lang w:val="en-US"/>
        </w:rPr>
        <w:t xml:space="preserve"> 121, 115, 119, 123, 186.1, 194, 195, 196</w:t>
      </w:r>
      <w:r w:rsidR="0085413B" w:rsidRPr="00D5739B">
        <w:rPr>
          <w:lang w:val="en-US"/>
        </w:rPr>
        <w:t>(1)</w:t>
      </w:r>
      <w:r w:rsidRPr="00D5739B">
        <w:rPr>
          <w:lang w:val="en-US"/>
        </w:rPr>
        <w:t>, 196.1, 198, 213</w:t>
      </w:r>
      <w:r w:rsidR="00522469" w:rsidRPr="00D5739B">
        <w:rPr>
          <w:lang w:val="en-US"/>
        </w:rPr>
        <w:t>(1</w:t>
      </w:r>
      <w:r w:rsidR="00644A96" w:rsidRPr="00D5739B">
        <w:rPr>
          <w:lang w:val="en-US"/>
        </w:rPr>
        <w:t>)</w:t>
      </w:r>
      <w:r w:rsidRPr="00D5739B">
        <w:rPr>
          <w:lang w:val="en-US"/>
        </w:rPr>
        <w:t>, 217, 225, 230(2</w:t>
      </w:r>
      <w:proofErr w:type="gramStart"/>
      <w:r w:rsidRPr="00D5739B">
        <w:rPr>
          <w:lang w:val="en-US"/>
        </w:rPr>
        <w:t>)(</w:t>
      </w:r>
      <w:proofErr w:type="gramEnd"/>
      <w:r w:rsidRPr="00D5739B">
        <w:rPr>
          <w:lang w:val="en-US"/>
        </w:rPr>
        <w:t>a), 254, 255</w:t>
      </w:r>
      <w:r w:rsidR="00644A96" w:rsidRPr="00D5739B">
        <w:rPr>
          <w:lang w:val="en-US"/>
        </w:rPr>
        <w:t>.</w:t>
      </w:r>
    </w:p>
    <w:p w:rsidR="004D7D95" w:rsidRPr="00D5739B" w:rsidRDefault="004D7D95" w:rsidP="00F94818">
      <w:pPr>
        <w:pStyle w:val="SCCNormalDoubleSpacing"/>
        <w:spacing w:after="720" w:line="240" w:lineRule="auto"/>
        <w:rPr>
          <w:b/>
          <w:lang w:val="en-US"/>
        </w:rPr>
      </w:pPr>
      <w:r w:rsidRPr="00D5739B">
        <w:rPr>
          <w:b/>
          <w:lang w:val="en-US"/>
        </w:rPr>
        <w:t xml:space="preserve">Doctrine </w:t>
      </w:r>
      <w:proofErr w:type="gramStart"/>
      <w:r w:rsidRPr="00D5739B">
        <w:rPr>
          <w:b/>
          <w:lang w:val="en-US"/>
        </w:rPr>
        <w:t>et</w:t>
      </w:r>
      <w:proofErr w:type="gramEnd"/>
      <w:r w:rsidRPr="00D5739B">
        <w:rPr>
          <w:b/>
          <w:lang w:val="en-US"/>
        </w:rPr>
        <w:t xml:space="preserve"> </w:t>
      </w:r>
      <w:proofErr w:type="spellStart"/>
      <w:r w:rsidRPr="00D5739B">
        <w:rPr>
          <w:b/>
          <w:lang w:val="en-US"/>
        </w:rPr>
        <w:t>autres</w:t>
      </w:r>
      <w:proofErr w:type="spellEnd"/>
      <w:r w:rsidRPr="00D5739B">
        <w:rPr>
          <w:b/>
          <w:lang w:val="en-US"/>
        </w:rPr>
        <w:t xml:space="preserve"> documents </w:t>
      </w:r>
      <w:proofErr w:type="spellStart"/>
      <w:r w:rsidRPr="00D5739B">
        <w:rPr>
          <w:b/>
          <w:lang w:val="en-US"/>
        </w:rPr>
        <w:t>cités</w:t>
      </w:r>
      <w:proofErr w:type="spellEnd"/>
    </w:p>
    <w:p w:rsidR="004D7D95" w:rsidRPr="00D5739B" w:rsidRDefault="00F94818" w:rsidP="00F94818">
      <w:pPr>
        <w:pStyle w:val="SCCNormalDoubleSpacing"/>
        <w:spacing w:after="240" w:line="240" w:lineRule="auto"/>
        <w:ind w:left="547" w:hanging="547"/>
        <w:rPr>
          <w:lang w:val="en-US"/>
        </w:rPr>
      </w:pPr>
      <w:r w:rsidRPr="00D5739B">
        <w:rPr>
          <w:lang w:val="en-US"/>
        </w:rPr>
        <w:t>Brown, Donald J. M., and John </w:t>
      </w:r>
      <w:r w:rsidR="00F53CF1" w:rsidRPr="00D5739B">
        <w:rPr>
          <w:lang w:val="en-US"/>
        </w:rPr>
        <w:t xml:space="preserve">M. Evans, with the assistance of David </w:t>
      </w:r>
      <w:proofErr w:type="spellStart"/>
      <w:r w:rsidR="00F53CF1" w:rsidRPr="00D5739B">
        <w:rPr>
          <w:lang w:val="en-US"/>
        </w:rPr>
        <w:t>Fairlie</w:t>
      </w:r>
      <w:proofErr w:type="spellEnd"/>
      <w:r w:rsidR="00F53CF1" w:rsidRPr="00D5739B">
        <w:rPr>
          <w:lang w:val="en-US"/>
        </w:rPr>
        <w:t xml:space="preserve">. </w:t>
      </w:r>
      <w:r w:rsidR="00F53CF1" w:rsidRPr="00D5739B">
        <w:rPr>
          <w:i/>
          <w:lang w:val="en-US"/>
        </w:rPr>
        <w:t>Judicial Review of Administrative Action in Canada</w:t>
      </w:r>
      <w:r w:rsidR="00F53CF1" w:rsidRPr="00D5739B">
        <w:rPr>
          <w:lang w:val="en-US"/>
        </w:rPr>
        <w:t>, Toronto, Thomson Reuters, 2013 (loose</w:t>
      </w:r>
      <w:r w:rsidR="00582B6A" w:rsidRPr="00D5739B">
        <w:rPr>
          <w:lang w:val="en-US"/>
        </w:rPr>
        <w:noBreakHyphen/>
      </w:r>
      <w:r w:rsidR="00F53CF1" w:rsidRPr="00D5739B">
        <w:rPr>
          <w:lang w:val="en-US"/>
        </w:rPr>
        <w:t xml:space="preserve">leaf updated </w:t>
      </w:r>
      <w:r w:rsidR="005510CA" w:rsidRPr="00D5739B">
        <w:rPr>
          <w:lang w:val="en-US"/>
        </w:rPr>
        <w:t>May 2018, release 1</w:t>
      </w:r>
      <w:r w:rsidR="00F53CF1" w:rsidRPr="00D5739B">
        <w:rPr>
          <w:lang w:val="en-US"/>
        </w:rPr>
        <w:t>).</w:t>
      </w:r>
    </w:p>
    <w:p w:rsidR="00C11F7E" w:rsidRPr="00D5739B" w:rsidRDefault="00C11F7E" w:rsidP="00F94818">
      <w:pPr>
        <w:pStyle w:val="SCCNormalDoubleSpacing"/>
        <w:spacing w:after="240" w:line="240" w:lineRule="auto"/>
        <w:ind w:left="547" w:hanging="547"/>
        <w:rPr>
          <w:lang w:val="en-US"/>
        </w:rPr>
      </w:pPr>
      <w:proofErr w:type="spellStart"/>
      <w:r w:rsidRPr="00D5739B">
        <w:rPr>
          <w:lang w:val="en-US"/>
        </w:rPr>
        <w:lastRenderedPageBreak/>
        <w:t>Mullan</w:t>
      </w:r>
      <w:proofErr w:type="spellEnd"/>
      <w:r w:rsidRPr="00D5739B">
        <w:rPr>
          <w:lang w:val="en-US"/>
        </w:rPr>
        <w:t>, David</w:t>
      </w:r>
      <w:r w:rsidR="00F94818" w:rsidRPr="00D5739B">
        <w:rPr>
          <w:lang w:val="en-US"/>
        </w:rPr>
        <w:t> </w:t>
      </w:r>
      <w:r w:rsidRPr="00D5739B">
        <w:rPr>
          <w:lang w:val="en-US"/>
        </w:rPr>
        <w:t xml:space="preserve">J. « Establishing the Standard of </w:t>
      </w:r>
      <w:proofErr w:type="gramStart"/>
      <w:r w:rsidRPr="00D5739B">
        <w:rPr>
          <w:lang w:val="en-US"/>
        </w:rPr>
        <w:t>Review</w:t>
      </w:r>
      <w:r w:rsidR="00582B6A" w:rsidRPr="00D5739B">
        <w:rPr>
          <w:lang w:val="en-US"/>
        </w:rPr>
        <w:t> :</w:t>
      </w:r>
      <w:proofErr w:type="gramEnd"/>
      <w:r w:rsidRPr="00D5739B">
        <w:rPr>
          <w:lang w:val="en-US"/>
        </w:rPr>
        <w:t xml:space="preserve"> The Struggle for Complexity? » (2004), 17 </w:t>
      </w:r>
      <w:r w:rsidRPr="00D5739B">
        <w:rPr>
          <w:i/>
          <w:lang w:val="en-US"/>
        </w:rPr>
        <w:t>R.C.D.A.</w:t>
      </w:r>
      <w:r w:rsidR="00582B6A" w:rsidRPr="00D5739B">
        <w:rPr>
          <w:i/>
          <w:lang w:val="en-US"/>
        </w:rPr>
        <w:t>P. </w:t>
      </w:r>
      <w:r w:rsidRPr="00D5739B">
        <w:rPr>
          <w:lang w:val="en-US"/>
        </w:rPr>
        <w:t>59.</w:t>
      </w:r>
    </w:p>
    <w:p w:rsidR="00185177" w:rsidRPr="00D5739B" w:rsidRDefault="00185177" w:rsidP="00F94818">
      <w:pPr>
        <w:pStyle w:val="SCCNormalDoubleSpacing"/>
        <w:spacing w:after="720" w:line="240" w:lineRule="auto"/>
        <w:ind w:left="547" w:hanging="547"/>
        <w:rPr>
          <w:lang w:val="en-US"/>
        </w:rPr>
      </w:pPr>
      <w:r w:rsidRPr="00D5739B">
        <w:rPr>
          <w:lang w:val="en-US"/>
        </w:rPr>
        <w:t xml:space="preserve">Sullivan, Ruth. </w:t>
      </w:r>
      <w:r w:rsidRPr="00D5739B">
        <w:rPr>
          <w:i/>
          <w:lang w:val="en-US"/>
        </w:rPr>
        <w:t>Sullivan on the Construction of Statutes</w:t>
      </w:r>
      <w:r w:rsidRPr="00D5739B">
        <w:rPr>
          <w:lang w:val="en-US"/>
        </w:rPr>
        <w:t>, 6th ed., Markham (Ont.), LexisNexis, 2014.</w:t>
      </w:r>
    </w:p>
    <w:p w:rsidR="00876AC5" w:rsidRPr="00D5739B" w:rsidRDefault="004D7D95" w:rsidP="00F94818">
      <w:pPr>
        <w:pStyle w:val="SCCNormalDoubleSpacing"/>
        <w:spacing w:before="480" w:after="480"/>
        <w:rPr>
          <w:lang w:val="fr-CA"/>
        </w:rPr>
      </w:pPr>
      <w:r w:rsidRPr="00D5739B">
        <w:rPr>
          <w:lang w:val="en-US"/>
        </w:rPr>
        <w:tab/>
      </w:r>
      <w:r w:rsidRPr="00D5739B">
        <w:rPr>
          <w:lang w:val="fr-CA"/>
        </w:rPr>
        <w:t>POURVOI contre un arrêt de la Cour d</w:t>
      </w:r>
      <w:r w:rsidR="00582B6A" w:rsidRPr="00D5739B">
        <w:rPr>
          <w:lang w:val="fr-CA"/>
        </w:rPr>
        <w:t>’</w:t>
      </w:r>
      <w:r w:rsidRPr="00D5739B">
        <w:rPr>
          <w:lang w:val="fr-CA"/>
        </w:rPr>
        <w:t xml:space="preserve">appel de la </w:t>
      </w:r>
      <w:r w:rsidR="002E72E7" w:rsidRPr="00D5739B">
        <w:rPr>
          <w:lang w:val="fr-CA"/>
        </w:rPr>
        <w:t>Colombie</w:t>
      </w:r>
      <w:r w:rsidR="00582B6A" w:rsidRPr="00D5739B">
        <w:rPr>
          <w:lang w:val="fr-CA"/>
        </w:rPr>
        <w:noBreakHyphen/>
      </w:r>
      <w:r w:rsidR="002E72E7" w:rsidRPr="00D5739B">
        <w:rPr>
          <w:lang w:val="fr-CA"/>
        </w:rPr>
        <w:t>Britannique</w:t>
      </w:r>
      <w:r w:rsidR="00876AC5" w:rsidRPr="00D5739B">
        <w:rPr>
          <w:lang w:val="fr-CA"/>
        </w:rPr>
        <w:t xml:space="preserve"> (les juges Newbury, </w:t>
      </w:r>
      <w:proofErr w:type="spellStart"/>
      <w:r w:rsidR="00876AC5" w:rsidRPr="00D5739B">
        <w:rPr>
          <w:lang w:val="fr-CA"/>
        </w:rPr>
        <w:t>Tysoe</w:t>
      </w:r>
      <w:proofErr w:type="spellEnd"/>
      <w:r w:rsidR="00876AC5" w:rsidRPr="00D5739B">
        <w:rPr>
          <w:lang w:val="fr-CA"/>
        </w:rPr>
        <w:t xml:space="preserve"> et </w:t>
      </w:r>
      <w:proofErr w:type="spellStart"/>
      <w:r w:rsidR="00876AC5" w:rsidRPr="00D5739B">
        <w:rPr>
          <w:lang w:val="fr-CA"/>
        </w:rPr>
        <w:t>Groberman</w:t>
      </w:r>
      <w:proofErr w:type="spellEnd"/>
      <w:r w:rsidR="00876AC5" w:rsidRPr="00D5739B">
        <w:rPr>
          <w:lang w:val="fr-CA"/>
        </w:rPr>
        <w:t xml:space="preserve">), 2016 BCCA 473, 405 D.L.R. (4th) 621, 12 Admin. L.R. (6th) 189, [2016] B.C.J. </w:t>
      </w:r>
      <w:r w:rsidR="00582B6A" w:rsidRPr="00D5739B">
        <w:rPr>
          <w:lang w:val="fr-CA"/>
        </w:rPr>
        <w:t>No. </w:t>
      </w:r>
      <w:r w:rsidR="00876AC5" w:rsidRPr="00D5739B">
        <w:rPr>
          <w:lang w:val="fr-CA"/>
        </w:rPr>
        <w:t xml:space="preserve">2486 (QL), 2016 </w:t>
      </w:r>
      <w:proofErr w:type="spellStart"/>
      <w:r w:rsidR="00876AC5" w:rsidRPr="00D5739B">
        <w:rPr>
          <w:lang w:val="fr-CA"/>
        </w:rPr>
        <w:t>Ca</w:t>
      </w:r>
      <w:r w:rsidR="00A038C9" w:rsidRPr="00D5739B">
        <w:rPr>
          <w:lang w:val="fr-CA"/>
        </w:rPr>
        <w:t>rswellBC</w:t>
      </w:r>
      <w:proofErr w:type="spellEnd"/>
      <w:r w:rsidR="00A038C9" w:rsidRPr="00D5739B">
        <w:rPr>
          <w:lang w:val="fr-CA"/>
        </w:rPr>
        <w:t xml:space="preserve"> 3290 (WL Can.), qui a confirmé</w:t>
      </w:r>
      <w:r w:rsidR="00876AC5" w:rsidRPr="00D5739B">
        <w:rPr>
          <w:lang w:val="fr-CA"/>
        </w:rPr>
        <w:t xml:space="preserve"> une décision du juge MacKenzie, 2015 BCSC 1098, 2 Admin. L.R. (6th) 148, [2015] B.C.J. </w:t>
      </w:r>
      <w:r w:rsidR="00582B6A" w:rsidRPr="00D5739B">
        <w:rPr>
          <w:lang w:val="fr-CA"/>
        </w:rPr>
        <w:t>No. </w:t>
      </w:r>
      <w:r w:rsidR="00876AC5" w:rsidRPr="00D5739B">
        <w:rPr>
          <w:lang w:val="fr-CA"/>
        </w:rPr>
        <w:t xml:space="preserve">1362 (QL), 2015 </w:t>
      </w:r>
      <w:proofErr w:type="spellStart"/>
      <w:r w:rsidR="00876AC5" w:rsidRPr="00D5739B">
        <w:rPr>
          <w:lang w:val="fr-CA"/>
        </w:rPr>
        <w:t>CarswellBC</w:t>
      </w:r>
      <w:proofErr w:type="spellEnd"/>
      <w:r w:rsidR="00876AC5" w:rsidRPr="00D5739B">
        <w:rPr>
          <w:lang w:val="fr-CA"/>
        </w:rPr>
        <w:t xml:space="preserve"> 1780 (WL Can.), qui avait rejeté une </w:t>
      </w:r>
      <w:r w:rsidR="005026A3" w:rsidRPr="00D5739B">
        <w:rPr>
          <w:lang w:val="fr-CA"/>
        </w:rPr>
        <w:t>demande de contrôle judiciaire</w:t>
      </w:r>
      <w:r w:rsidR="00876AC5" w:rsidRPr="00D5739B">
        <w:rPr>
          <w:lang w:val="fr-CA"/>
        </w:rPr>
        <w:t xml:space="preserve"> </w:t>
      </w:r>
      <w:r w:rsidR="005026A3" w:rsidRPr="00D5739B">
        <w:rPr>
          <w:lang w:val="fr-CA"/>
        </w:rPr>
        <w:t xml:space="preserve">visant </w:t>
      </w:r>
      <w:r w:rsidR="00876AC5" w:rsidRPr="00D5739B">
        <w:rPr>
          <w:lang w:val="fr-CA"/>
        </w:rPr>
        <w:t>une décision du Workers</w:t>
      </w:r>
      <w:r w:rsidR="00582B6A" w:rsidRPr="00D5739B">
        <w:rPr>
          <w:lang w:val="fr-CA"/>
        </w:rPr>
        <w:t>’</w:t>
      </w:r>
      <w:r w:rsidR="00876AC5" w:rsidRPr="00D5739B">
        <w:rPr>
          <w:lang w:val="fr-CA"/>
        </w:rPr>
        <w:t xml:space="preserve"> Compensation Appeal Tribunal</w:t>
      </w:r>
      <w:r w:rsidR="009A4588" w:rsidRPr="00D5739B">
        <w:rPr>
          <w:lang w:val="fr-CA"/>
        </w:rPr>
        <w:t>, 2013 CanLII 79509</w:t>
      </w:r>
      <w:r w:rsidR="00876AC5" w:rsidRPr="00D5739B">
        <w:rPr>
          <w:lang w:val="fr-CA"/>
        </w:rPr>
        <w:t xml:space="preserve">. </w:t>
      </w:r>
      <w:r w:rsidR="00F613EA" w:rsidRPr="00D5739B">
        <w:rPr>
          <w:lang w:val="fr-CA"/>
        </w:rPr>
        <w:t xml:space="preserve">Pourvoi rejeté, les juges Côté, Brown et Rowe sont dissidents. </w:t>
      </w:r>
    </w:p>
    <w:p w:rsidR="00813119" w:rsidRPr="00D5739B" w:rsidRDefault="00842162" w:rsidP="00F94818">
      <w:pPr>
        <w:pStyle w:val="SCCNormalDoubleSpacing"/>
        <w:spacing w:before="480" w:after="480"/>
        <w:rPr>
          <w:lang w:val="fr-CA"/>
        </w:rPr>
      </w:pPr>
      <w:r w:rsidRPr="00D5739B">
        <w:rPr>
          <w:rStyle w:val="SCCCounselNameChar"/>
          <w:lang w:val="fr-CA"/>
        </w:rPr>
        <w:tab/>
      </w:r>
      <w:r w:rsidR="00F94818" w:rsidRPr="00D5739B">
        <w:rPr>
          <w:rStyle w:val="SCCCounselNameChar"/>
          <w:lang w:val="fr-CA"/>
        </w:rPr>
        <w:t>Donald </w:t>
      </w:r>
      <w:r w:rsidR="00BC4780" w:rsidRPr="00D5739B">
        <w:rPr>
          <w:rStyle w:val="SCCCounselNameChar"/>
          <w:lang w:val="fr-CA"/>
        </w:rPr>
        <w:t>J. Jordan</w:t>
      </w:r>
      <w:r w:rsidR="00BC4780" w:rsidRPr="00D5739B">
        <w:rPr>
          <w:rStyle w:val="SCCCounselNameChar"/>
          <w:i w:val="0"/>
          <w:lang w:val="fr-CA"/>
        </w:rPr>
        <w:t>,</w:t>
      </w:r>
      <w:r w:rsidR="00DA1A28" w:rsidRPr="00D5739B">
        <w:rPr>
          <w:rStyle w:val="SCCCounselNameChar"/>
          <w:lang w:val="fr-CA"/>
        </w:rPr>
        <w:t xml:space="preserve"> </w:t>
      </w:r>
      <w:proofErr w:type="gramStart"/>
      <w:r w:rsidR="00DA1A28" w:rsidRPr="00D5739B">
        <w:rPr>
          <w:rStyle w:val="SCCCounselNameChar"/>
          <w:lang w:val="fr-CA"/>
        </w:rPr>
        <w:t>c.r</w:t>
      </w:r>
      <w:r w:rsidR="00BC4780" w:rsidRPr="00D5739B">
        <w:rPr>
          <w:rStyle w:val="SCCCounselNameChar"/>
          <w:lang w:val="fr-CA"/>
        </w:rPr>
        <w:t>.</w:t>
      </w:r>
      <w:r w:rsidR="00BC4780" w:rsidRPr="00D5739B">
        <w:rPr>
          <w:rStyle w:val="SCCCounselNameChar"/>
          <w:i w:val="0"/>
          <w:lang w:val="fr-CA"/>
        </w:rPr>
        <w:t>,</w:t>
      </w:r>
      <w:proofErr w:type="gramEnd"/>
      <w:r w:rsidR="00BC4780" w:rsidRPr="00D5739B">
        <w:rPr>
          <w:rStyle w:val="SCCCounselNameChar"/>
          <w:i w:val="0"/>
          <w:lang w:val="fr-CA"/>
        </w:rPr>
        <w:t xml:space="preserve"> </w:t>
      </w:r>
      <w:r w:rsidR="00BC4780" w:rsidRPr="00D5739B">
        <w:rPr>
          <w:rStyle w:val="SCCCounselSeparatorChar"/>
          <w:lang w:val="fr-CA"/>
        </w:rPr>
        <w:t xml:space="preserve">et </w:t>
      </w:r>
      <w:r w:rsidR="00BC4780" w:rsidRPr="00D5739B">
        <w:rPr>
          <w:rStyle w:val="SCCCounselNameChar"/>
          <w:lang w:val="fr-CA"/>
        </w:rPr>
        <w:t xml:space="preserve">Paul </w:t>
      </w:r>
      <w:proofErr w:type="spellStart"/>
      <w:r w:rsidR="00BC4780" w:rsidRPr="00D5739B">
        <w:rPr>
          <w:rStyle w:val="SCCCounselNameChar"/>
          <w:lang w:val="fr-CA"/>
        </w:rPr>
        <w:t>Fairweather</w:t>
      </w:r>
      <w:proofErr w:type="spellEnd"/>
      <w:r w:rsidR="00BC4780" w:rsidRPr="00D5739B">
        <w:rPr>
          <w:rStyle w:val="SCCCounselPartyRoleChar"/>
          <w:lang w:val="fr-CA"/>
        </w:rPr>
        <w:t>, pour l</w:t>
      </w:r>
      <w:r w:rsidR="00582B6A" w:rsidRPr="00D5739B">
        <w:rPr>
          <w:rStyle w:val="SCCCounselPartyRoleChar"/>
          <w:lang w:val="fr-CA"/>
        </w:rPr>
        <w:t>’</w:t>
      </w:r>
      <w:r w:rsidR="00BC4780" w:rsidRPr="00D5739B">
        <w:rPr>
          <w:rStyle w:val="SCCCounselPartyRoleChar"/>
          <w:lang w:val="fr-CA"/>
        </w:rPr>
        <w:t>appelante.</w:t>
      </w:r>
    </w:p>
    <w:p w:rsidR="00813119" w:rsidRPr="00D5739B" w:rsidRDefault="00842162" w:rsidP="00F94818">
      <w:pPr>
        <w:pStyle w:val="SCCNormalDoubleSpacing"/>
        <w:spacing w:before="480" w:after="480"/>
        <w:rPr>
          <w:lang w:val="en-US"/>
        </w:rPr>
      </w:pPr>
      <w:r w:rsidRPr="00D5739B">
        <w:rPr>
          <w:rStyle w:val="SCCCounselNameChar"/>
          <w:lang w:val="fr-CA"/>
        </w:rPr>
        <w:tab/>
      </w:r>
      <w:r w:rsidRPr="00D5739B">
        <w:rPr>
          <w:rStyle w:val="SCCCounselNameChar"/>
          <w:lang w:val="en-US"/>
        </w:rPr>
        <w:t>Jeremy Thomas Lovell</w:t>
      </w:r>
      <w:r w:rsidRPr="00D5739B">
        <w:rPr>
          <w:rStyle w:val="SCCCounselPartyRoleChar"/>
          <w:lang w:val="en-US"/>
        </w:rPr>
        <w:t xml:space="preserve">, pour </w:t>
      </w:r>
      <w:proofErr w:type="spellStart"/>
      <w:r w:rsidRPr="00D5739B">
        <w:rPr>
          <w:rStyle w:val="SCCCounselPartyRoleChar"/>
          <w:lang w:val="en-US"/>
        </w:rPr>
        <w:t>l</w:t>
      </w:r>
      <w:r w:rsidR="00582B6A" w:rsidRPr="00D5739B">
        <w:rPr>
          <w:rStyle w:val="SCCCounselPartyRoleChar"/>
          <w:lang w:val="en-US"/>
        </w:rPr>
        <w:t>’</w:t>
      </w:r>
      <w:r w:rsidR="00BC4780" w:rsidRPr="00D5739B">
        <w:rPr>
          <w:rStyle w:val="SCCCounselPartyRoleChar"/>
          <w:lang w:val="en-US"/>
        </w:rPr>
        <w:t>intimé</w:t>
      </w:r>
      <w:proofErr w:type="spellEnd"/>
      <w:r w:rsidR="00BC4780" w:rsidRPr="00D5739B">
        <w:rPr>
          <w:rStyle w:val="SCCCounselPartyRoleChar"/>
          <w:lang w:val="en-US"/>
        </w:rPr>
        <w:t xml:space="preserve"> </w:t>
      </w:r>
      <w:r w:rsidR="00BC4780" w:rsidRPr="00D5739B">
        <w:rPr>
          <w:lang w:val="en-US"/>
        </w:rPr>
        <w:t>Workers</w:t>
      </w:r>
      <w:r w:rsidR="00582B6A" w:rsidRPr="00D5739B">
        <w:rPr>
          <w:lang w:val="en-US"/>
        </w:rPr>
        <w:t>’</w:t>
      </w:r>
      <w:r w:rsidR="00BC4780" w:rsidRPr="00D5739B">
        <w:rPr>
          <w:lang w:val="en-US"/>
        </w:rPr>
        <w:t xml:space="preserve"> Compensation Appeal Tribunal</w:t>
      </w:r>
      <w:r w:rsidRPr="00D5739B">
        <w:rPr>
          <w:rStyle w:val="SCCCounselPartyRoleChar"/>
          <w:lang w:val="en-US"/>
        </w:rPr>
        <w:t>.</w:t>
      </w:r>
    </w:p>
    <w:p w:rsidR="00813119" w:rsidRPr="00D5739B" w:rsidRDefault="00842162" w:rsidP="00F94818">
      <w:pPr>
        <w:pStyle w:val="SCCNormalDoubleSpacing"/>
        <w:spacing w:before="480" w:after="480"/>
        <w:rPr>
          <w:lang w:val="en-US"/>
        </w:rPr>
      </w:pPr>
      <w:r w:rsidRPr="00D5739B">
        <w:rPr>
          <w:rStyle w:val="SCCCounselNameChar"/>
          <w:lang w:val="en-US"/>
        </w:rPr>
        <w:tab/>
      </w:r>
      <w:r w:rsidR="00BC4780" w:rsidRPr="00D5739B">
        <w:rPr>
          <w:rStyle w:val="SCCCounselNameChar"/>
          <w:lang w:val="en-US"/>
        </w:rPr>
        <w:t xml:space="preserve">Ben </w:t>
      </w:r>
      <w:proofErr w:type="spellStart"/>
      <w:r w:rsidR="00BC4780" w:rsidRPr="00D5739B">
        <w:rPr>
          <w:rStyle w:val="SCCCounselNameChar"/>
          <w:lang w:val="en-US"/>
        </w:rPr>
        <w:t>Parkin</w:t>
      </w:r>
      <w:proofErr w:type="spellEnd"/>
      <w:r w:rsidR="00BC4780" w:rsidRPr="00D5739B">
        <w:rPr>
          <w:rStyle w:val="SCCCounselPartyRoleChar"/>
          <w:lang w:val="en-US"/>
        </w:rPr>
        <w:t xml:space="preserve">, </w:t>
      </w:r>
      <w:r w:rsidR="00F94818" w:rsidRPr="00D5739B">
        <w:rPr>
          <w:rStyle w:val="SCCCounselPartyRoleChar"/>
          <w:i/>
          <w:lang w:val="en-US"/>
        </w:rPr>
        <w:t>Ian </w:t>
      </w:r>
      <w:r w:rsidR="00BC4780" w:rsidRPr="00D5739B">
        <w:rPr>
          <w:rStyle w:val="SCCCounselPartyRoleChar"/>
          <w:i/>
          <w:lang w:val="en-US"/>
        </w:rPr>
        <w:t>R.</w:t>
      </w:r>
      <w:r w:rsidR="00F94818" w:rsidRPr="00D5739B">
        <w:rPr>
          <w:rStyle w:val="SCCCounselPartyRoleChar"/>
          <w:i/>
          <w:lang w:val="en-US"/>
        </w:rPr>
        <w:t> </w:t>
      </w:r>
      <w:r w:rsidR="00BC4780" w:rsidRPr="00D5739B">
        <w:rPr>
          <w:rStyle w:val="SCCCounselPartyRoleChar"/>
          <w:i/>
          <w:lang w:val="en-US"/>
        </w:rPr>
        <w:t xml:space="preserve">H. Shaw </w:t>
      </w:r>
      <w:proofErr w:type="gramStart"/>
      <w:r w:rsidR="00BC4780" w:rsidRPr="00D5739B">
        <w:rPr>
          <w:rStyle w:val="SCCCounselPartyRoleChar"/>
          <w:lang w:val="en-US"/>
        </w:rPr>
        <w:t>et</w:t>
      </w:r>
      <w:proofErr w:type="gramEnd"/>
      <w:r w:rsidR="00BC4780" w:rsidRPr="00D5739B">
        <w:rPr>
          <w:rStyle w:val="SCCCounselPartyRoleChar"/>
          <w:lang w:val="en-US"/>
        </w:rPr>
        <w:t xml:space="preserve"> </w:t>
      </w:r>
      <w:r w:rsidR="00BC4780" w:rsidRPr="00D5739B">
        <w:rPr>
          <w:rStyle w:val="SCCCounselPartyRoleChar"/>
          <w:i/>
          <w:lang w:val="en-US"/>
        </w:rPr>
        <w:t>Nicolas</w:t>
      </w:r>
      <w:r w:rsidR="00F94818" w:rsidRPr="00D5739B">
        <w:rPr>
          <w:rStyle w:val="SCCCounselPartyRoleChar"/>
          <w:i/>
          <w:lang w:val="en-US"/>
        </w:rPr>
        <w:t> </w:t>
      </w:r>
      <w:r w:rsidR="00BC4780" w:rsidRPr="00D5739B">
        <w:rPr>
          <w:rStyle w:val="SCCCounselPartyRoleChar"/>
          <w:i/>
          <w:lang w:val="en-US"/>
        </w:rPr>
        <w:t>J. Bower</w:t>
      </w:r>
      <w:r w:rsidR="00BC4780" w:rsidRPr="00D5739B">
        <w:rPr>
          <w:rStyle w:val="SCCCounselPartyRoleChar"/>
          <w:lang w:val="en-US"/>
        </w:rPr>
        <w:t xml:space="preserve">, pour </w:t>
      </w:r>
      <w:proofErr w:type="spellStart"/>
      <w:r w:rsidR="00BC4780" w:rsidRPr="00D5739B">
        <w:rPr>
          <w:rStyle w:val="SCCCounselPartyRoleChar"/>
          <w:lang w:val="en-US"/>
        </w:rPr>
        <w:t>l</w:t>
      </w:r>
      <w:r w:rsidR="00582B6A" w:rsidRPr="00D5739B">
        <w:rPr>
          <w:rStyle w:val="SCCCounselPartyRoleChar"/>
          <w:lang w:val="en-US"/>
        </w:rPr>
        <w:t>’</w:t>
      </w:r>
      <w:r w:rsidR="00BC4780" w:rsidRPr="00D5739B">
        <w:rPr>
          <w:rStyle w:val="SCCCounselPartyRoleChar"/>
          <w:lang w:val="en-US"/>
        </w:rPr>
        <w:t>intimé</w:t>
      </w:r>
      <w:r w:rsidR="0037411F">
        <w:rPr>
          <w:rStyle w:val="SCCCounselPartyRoleChar"/>
          <w:lang w:val="en-US"/>
        </w:rPr>
        <w:t>e</w:t>
      </w:r>
      <w:proofErr w:type="spellEnd"/>
      <w:r w:rsidR="00BC4780" w:rsidRPr="00D5739B">
        <w:rPr>
          <w:rStyle w:val="SCCCounselPartyRoleChar"/>
          <w:lang w:val="en-US"/>
        </w:rPr>
        <w:t xml:space="preserve"> Workers</w:t>
      </w:r>
      <w:r w:rsidR="00582B6A" w:rsidRPr="00D5739B">
        <w:rPr>
          <w:rStyle w:val="SCCCounselPartyRoleChar"/>
          <w:lang w:val="en-US"/>
        </w:rPr>
        <w:t>’</w:t>
      </w:r>
      <w:r w:rsidR="00BC4780" w:rsidRPr="00D5739B">
        <w:rPr>
          <w:rStyle w:val="SCCCounselPartyRoleChar"/>
          <w:lang w:val="en-US"/>
        </w:rPr>
        <w:t xml:space="preserve"> Compensation Board of British Columbia</w:t>
      </w:r>
    </w:p>
    <w:p w:rsidR="00813119" w:rsidRPr="00D5739B" w:rsidRDefault="00842162" w:rsidP="00F94818">
      <w:pPr>
        <w:pStyle w:val="SCCNormalDoubleSpacing"/>
        <w:spacing w:before="480" w:after="480"/>
        <w:rPr>
          <w:lang w:val="en-US"/>
        </w:rPr>
      </w:pPr>
      <w:r w:rsidRPr="00D5739B">
        <w:rPr>
          <w:rStyle w:val="SCCCounselNameChar"/>
          <w:lang w:val="en-US"/>
        </w:rPr>
        <w:tab/>
        <w:t>Jason</w:t>
      </w:r>
      <w:r w:rsidR="00F94818" w:rsidRPr="00D5739B">
        <w:rPr>
          <w:rStyle w:val="SCCCounselNameChar"/>
          <w:lang w:val="en-US"/>
        </w:rPr>
        <w:t> </w:t>
      </w:r>
      <w:r w:rsidRPr="00D5739B">
        <w:rPr>
          <w:rStyle w:val="SCCCounselNameChar"/>
          <w:lang w:val="en-US"/>
        </w:rPr>
        <w:t>J.</w:t>
      </w:r>
      <w:r w:rsidR="00F94818" w:rsidRPr="00D5739B">
        <w:rPr>
          <w:rStyle w:val="SCCCounselNameChar"/>
          <w:lang w:val="en-US"/>
        </w:rPr>
        <w:t> </w:t>
      </w:r>
      <w:r w:rsidRPr="00D5739B">
        <w:rPr>
          <w:rStyle w:val="SCCCounselNameChar"/>
          <w:lang w:val="en-US"/>
        </w:rPr>
        <w:t xml:space="preserve">J. </w:t>
      </w:r>
      <w:proofErr w:type="spellStart"/>
      <w:r w:rsidRPr="00D5739B">
        <w:rPr>
          <w:rStyle w:val="SCCCounselNameChar"/>
          <w:lang w:val="en-US"/>
        </w:rPr>
        <w:t>Bodnar</w:t>
      </w:r>
      <w:proofErr w:type="spellEnd"/>
      <w:r w:rsidRPr="00D5739B">
        <w:rPr>
          <w:rStyle w:val="SCCCounselPartyRoleChar"/>
          <w:lang w:val="en-US"/>
        </w:rPr>
        <w:t xml:space="preserve">, pour </w:t>
      </w:r>
      <w:proofErr w:type="spellStart"/>
      <w:r w:rsidRPr="00D5739B">
        <w:rPr>
          <w:rStyle w:val="SCCCounselPartyRoleChar"/>
          <w:lang w:val="en-US"/>
        </w:rPr>
        <w:t>l</w:t>
      </w:r>
      <w:r w:rsidR="00582B6A" w:rsidRPr="00D5739B">
        <w:rPr>
          <w:rStyle w:val="SCCCounselPartyRoleChar"/>
          <w:lang w:val="en-US"/>
        </w:rPr>
        <w:t>’</w:t>
      </w:r>
      <w:r w:rsidR="00BC4780" w:rsidRPr="00D5739B">
        <w:rPr>
          <w:rStyle w:val="SCCCounselPartyRoleChar"/>
          <w:lang w:val="en-US"/>
        </w:rPr>
        <w:t>intervenant</w:t>
      </w:r>
      <w:r w:rsidR="00034EBD">
        <w:rPr>
          <w:rStyle w:val="SCCCounselPartyRoleChar"/>
          <w:lang w:val="en-US"/>
        </w:rPr>
        <w:t>e</w:t>
      </w:r>
      <w:proofErr w:type="spellEnd"/>
      <w:r w:rsidR="00BC4780" w:rsidRPr="00D5739B">
        <w:rPr>
          <w:rStyle w:val="SCCCounselPartyRoleChar"/>
          <w:lang w:val="en-US"/>
        </w:rPr>
        <w:t xml:space="preserve"> </w:t>
      </w:r>
      <w:r w:rsidRPr="00D5739B">
        <w:rPr>
          <w:rStyle w:val="SCCCounselPartyRoleChar"/>
          <w:lang w:val="en-US"/>
        </w:rPr>
        <w:t>Workers</w:t>
      </w:r>
      <w:r w:rsidR="00582B6A" w:rsidRPr="00D5739B">
        <w:rPr>
          <w:rStyle w:val="SCCCounselPartyRoleChar"/>
          <w:lang w:val="en-US"/>
        </w:rPr>
        <w:t>’</w:t>
      </w:r>
      <w:r w:rsidRPr="00D5739B">
        <w:rPr>
          <w:rStyle w:val="SCCCounselPartyRoleChar"/>
          <w:lang w:val="en-US"/>
        </w:rPr>
        <w:t xml:space="preserve"> Compensation Board of Alberta.</w:t>
      </w:r>
    </w:p>
    <w:p w:rsidR="00E70F7D" w:rsidRDefault="0015401E" w:rsidP="0015401E">
      <w:pPr>
        <w:pStyle w:val="SCCNormalDoubleSpacing"/>
        <w:spacing w:before="480" w:after="480"/>
        <w:rPr>
          <w:lang w:val="fr-CA"/>
        </w:rPr>
      </w:pPr>
      <w:r w:rsidRPr="00E67ECD">
        <w:rPr>
          <w:lang w:val="en-US"/>
        </w:rPr>
        <w:lastRenderedPageBreak/>
        <w:tab/>
      </w:r>
      <w:r w:rsidR="00E70F7D" w:rsidRPr="00EE4A6B">
        <w:rPr>
          <w:lang w:val="fr-CA"/>
        </w:rPr>
        <w:t>Version fr</w:t>
      </w:r>
      <w:r w:rsidR="00E70F7D" w:rsidRPr="00E040AD">
        <w:rPr>
          <w:lang w:val="fr-CA"/>
        </w:rPr>
        <w:t xml:space="preserve">ançaise </w:t>
      </w:r>
      <w:r w:rsidR="00E70F7D">
        <w:rPr>
          <w:lang w:val="fr-CA"/>
        </w:rPr>
        <w:t>du jugement de la juge en chef McLachlin et des</w:t>
      </w:r>
      <w:r w:rsidR="00E70F7D" w:rsidRPr="00EA53E1">
        <w:rPr>
          <w:lang w:val="fr-CA"/>
        </w:rPr>
        <w:t xml:space="preserve"> juges </w:t>
      </w:r>
      <w:r w:rsidR="00E70F7D">
        <w:rPr>
          <w:lang w:val="fr-CA"/>
        </w:rPr>
        <w:t>Abella, Moldaver, Karakatsanis, Wagner et Gascon</w:t>
      </w:r>
      <w:r w:rsidR="00E70F7D" w:rsidRPr="00EA53E1">
        <w:rPr>
          <w:lang w:val="fr-CA"/>
        </w:rPr>
        <w:t xml:space="preserve"> rendu par </w:t>
      </w:r>
    </w:p>
    <w:p w:rsidR="00E70F7D" w:rsidRDefault="00CC5300" w:rsidP="00E70F7D">
      <w:pPr>
        <w:pStyle w:val="JudgeJuge"/>
        <w:spacing w:before="480"/>
        <w:rPr>
          <w:lang w:val="fr-CA"/>
        </w:rPr>
      </w:pPr>
      <w:r>
        <w:rPr>
          <w:lang w:val="fr-CA"/>
        </w:rPr>
        <w:tab/>
        <w:t>La j</w:t>
      </w:r>
      <w:r w:rsidR="00E70F7D">
        <w:rPr>
          <w:lang w:val="fr-CA"/>
        </w:rPr>
        <w:t xml:space="preserve">uge en chef — </w:t>
      </w:r>
    </w:p>
    <w:p w:rsidR="00E70F7D" w:rsidRDefault="00E70F7D" w:rsidP="00E70F7D">
      <w:pPr>
        <w:pStyle w:val="Title1LevelTitre1Niveau-AltL"/>
        <w:rPr>
          <w:rFonts w:cs="Times New Roman"/>
          <w:lang w:val="fr-CA"/>
        </w:rPr>
      </w:pPr>
      <w:r>
        <w:rPr>
          <w:rFonts w:cs="Times New Roman"/>
          <w:lang w:val="fr-CA"/>
        </w:rPr>
        <w:t>Introduction</w:t>
      </w:r>
    </w:p>
    <w:p w:rsidR="00E70F7D" w:rsidRDefault="00E70F7D" w:rsidP="00E70F7D">
      <w:pPr>
        <w:pStyle w:val="ParaNoNdepar-AltN"/>
        <w:numPr>
          <w:ilvl w:val="0"/>
          <w:numId w:val="2"/>
        </w:numPr>
        <w:rPr>
          <w:rFonts w:cs="Times New Roman"/>
          <w:lang w:val="fr-CA"/>
        </w:rPr>
      </w:pPr>
      <w:r>
        <w:rPr>
          <w:rFonts w:cs="Times New Roman"/>
          <w:lang w:val="fr-CA"/>
        </w:rPr>
        <w:t xml:space="preserve">Un abatteur a été frappé mortellement par un arbre en décomposition pendant qu’il travaillait dans un secteur pour lequel l’appelante, West Fraser Mills Ltd., détenait un permis d’exploitation forestière. Aux termes du permis, West Fraser Mills était « propriétaire » du lieu de travail au sens de la partie 3 de la </w:t>
      </w:r>
      <w:r>
        <w:rPr>
          <w:rFonts w:cs="Times New Roman"/>
          <w:i/>
          <w:lang w:val="fr-CA"/>
        </w:rPr>
        <w:t xml:space="preserve">Workers Compensation Act, </w:t>
      </w:r>
      <w:r>
        <w:rPr>
          <w:rFonts w:cs="Times New Roman"/>
          <w:lang w:val="fr-CA"/>
        </w:rPr>
        <w:t>R.S.B.C. 1996, c. 492 (« Loi »). L’abatteur travaillait non pas pour elle, mais pour un entrepreneur indépendant.</w:t>
      </w:r>
    </w:p>
    <w:p w:rsidR="00E70F7D" w:rsidRDefault="00E70F7D" w:rsidP="00E70F7D">
      <w:pPr>
        <w:pStyle w:val="ParaNoNdepar-AltN"/>
        <w:numPr>
          <w:ilvl w:val="0"/>
          <w:numId w:val="2"/>
        </w:numPr>
        <w:rPr>
          <w:rFonts w:cs="Times New Roman"/>
          <w:lang w:val="fr-CA"/>
        </w:rPr>
      </w:pPr>
      <w:r>
        <w:rPr>
          <w:rFonts w:cs="Times New Roman"/>
          <w:lang w:val="fr-CA"/>
        </w:rPr>
        <w:t>À l’issue de son enquête sur l’accident, la Workers’ Compensation Board de la Colombie</w:t>
      </w:r>
      <w:r>
        <w:rPr>
          <w:rFonts w:cs="Times New Roman"/>
          <w:lang w:val="fr-CA"/>
        </w:rPr>
        <w:noBreakHyphen/>
        <w:t>Britannique (« Commission ») a conclu que West Fraser Mills avait omis de faire en sorte que toutes les activités d’exploitation forestière soient planifiées et exercées conformément au par. 26.2(1) de l’</w:t>
      </w:r>
      <w:proofErr w:type="spellStart"/>
      <w:r>
        <w:rPr>
          <w:rFonts w:cs="Times New Roman"/>
          <w:i/>
          <w:lang w:val="fr-CA"/>
        </w:rPr>
        <w:t>Occupational</w:t>
      </w:r>
      <w:proofErr w:type="spellEnd"/>
      <w:r>
        <w:rPr>
          <w:rFonts w:cs="Times New Roman"/>
          <w:i/>
          <w:lang w:val="fr-CA"/>
        </w:rPr>
        <w:t xml:space="preserve"> Health and </w:t>
      </w:r>
      <w:proofErr w:type="spellStart"/>
      <w:r>
        <w:rPr>
          <w:rFonts w:cs="Times New Roman"/>
          <w:i/>
          <w:lang w:val="fr-CA"/>
        </w:rPr>
        <w:t>Safety</w:t>
      </w:r>
      <w:proofErr w:type="spellEnd"/>
      <w:r>
        <w:rPr>
          <w:rFonts w:cs="Times New Roman"/>
          <w:i/>
          <w:lang w:val="fr-CA"/>
        </w:rPr>
        <w:t xml:space="preserve"> </w:t>
      </w:r>
      <w:proofErr w:type="spellStart"/>
      <w:r>
        <w:rPr>
          <w:rFonts w:cs="Times New Roman"/>
          <w:i/>
          <w:lang w:val="fr-CA"/>
        </w:rPr>
        <w:t>Regulation</w:t>
      </w:r>
      <w:proofErr w:type="spellEnd"/>
      <w:r>
        <w:rPr>
          <w:rFonts w:cs="Times New Roman"/>
          <w:lang w:val="fr-CA"/>
        </w:rPr>
        <w:t>, B.C. Reg. 296/97 (« Règlement »). La Commission a par ailleurs infligé à West Fraser Mills, en application du par. 196(1) de la Loi, une sanction administrative (une amende de 75 000 $). Ces volets de la décision de la Commission ont été confirmés par la section de révision.</w:t>
      </w:r>
    </w:p>
    <w:p w:rsidR="00E70F7D" w:rsidRDefault="00E70F7D" w:rsidP="00E70F7D">
      <w:pPr>
        <w:pStyle w:val="ParaNoNdepar-AltN"/>
        <w:numPr>
          <w:ilvl w:val="0"/>
          <w:numId w:val="2"/>
        </w:numPr>
        <w:rPr>
          <w:rFonts w:cs="Times New Roman"/>
          <w:lang w:val="fr-CA"/>
        </w:rPr>
      </w:pPr>
      <w:r>
        <w:rPr>
          <w:rFonts w:cs="Times New Roman"/>
          <w:lang w:val="fr-CA"/>
        </w:rPr>
        <w:lastRenderedPageBreak/>
        <w:t xml:space="preserve">En appel devant le Workers’ Compensation Appeal Tribunal (« Tribunal »), West Fraser Mills a soutenu (1) que le par. 26.2(1) du Règlement était </w:t>
      </w:r>
      <w:r>
        <w:rPr>
          <w:rFonts w:cs="Times New Roman"/>
          <w:i/>
          <w:lang w:val="fr-CA"/>
        </w:rPr>
        <w:t>ultra vires</w:t>
      </w:r>
      <w:r>
        <w:rPr>
          <w:rFonts w:cs="Times New Roman"/>
          <w:lang w:val="fr-CA"/>
        </w:rPr>
        <w:t xml:space="preserve"> et (2) que la sanction administrative prévue au par. 196(1) de la Loi ne pouvait être infligée qu’à un « employeur », pas à un « propriétaire ». West Fraser Mills a fait valoir qu’elle n’était pas l’employeur de l’abatteur, mais seulement le « propriétaire » du lieu de travail au sens de la Loi, de sorte que le par. 196(1) ne s’appliquait pas et qu’elle ne pouvait être condamnée à une amende. </w:t>
      </w:r>
    </w:p>
    <w:p w:rsidR="00E70F7D" w:rsidRDefault="00E70F7D" w:rsidP="00E70F7D">
      <w:pPr>
        <w:pStyle w:val="ParaNoNdepar-AltN"/>
        <w:numPr>
          <w:ilvl w:val="0"/>
          <w:numId w:val="2"/>
        </w:numPr>
        <w:rPr>
          <w:rFonts w:cs="Times New Roman"/>
          <w:lang w:val="fr-CA"/>
        </w:rPr>
      </w:pPr>
      <w:r>
        <w:rPr>
          <w:rFonts w:cs="Times New Roman"/>
          <w:lang w:val="fr-CA"/>
        </w:rPr>
        <w:t>Le Tribunal a écarté les arguments et rejeté l’appel de West Fraser Mills (2013 CanLII 79509). Comme l’entreprise avait généralement respecté les normes de sécurité dans le passé et que, dans le cas de cet accident, elle n’avait pas délibérément passé outre à ces normes, le Tribunal a réduit la sanction administrative de 30 p. </w:t>
      </w:r>
      <w:r w:rsidR="00360B0E">
        <w:rPr>
          <w:rFonts w:cs="Times New Roman"/>
          <w:lang w:val="fr-CA"/>
        </w:rPr>
        <w:t>100</w:t>
      </w:r>
      <w:r>
        <w:rPr>
          <w:rFonts w:cs="Times New Roman"/>
          <w:lang w:val="fr-CA"/>
        </w:rPr>
        <w:t>. La Cour suprême (2015 BCSC 1098, 2 Admin. L.R. (6th) 148) et la Cour d’appel (2016 BCCA 473, 405 D.L.R. (4th) 621) de la Colombie</w:t>
      </w:r>
      <w:r>
        <w:rPr>
          <w:rFonts w:cs="Times New Roman"/>
          <w:lang w:val="fr-CA"/>
        </w:rPr>
        <w:noBreakHyphen/>
        <w:t>Britannique ont confirmé l’ordonnance du Tribunal. West Fraser Mills se pourvoit aujourd’hui devant notre Cour.</w:t>
      </w:r>
    </w:p>
    <w:p w:rsidR="00E70F7D" w:rsidRDefault="00E70F7D" w:rsidP="00E70F7D">
      <w:pPr>
        <w:pStyle w:val="ParaNoNdepar-AltN"/>
        <w:numPr>
          <w:ilvl w:val="0"/>
          <w:numId w:val="2"/>
        </w:numPr>
        <w:rPr>
          <w:rFonts w:cs="Times New Roman"/>
          <w:lang w:val="fr-CA"/>
        </w:rPr>
      </w:pPr>
      <w:r>
        <w:rPr>
          <w:rFonts w:cs="Times New Roman"/>
          <w:lang w:val="fr-CA"/>
        </w:rPr>
        <w:t>Pour les motifs qui suivent, je suis d’avis de rejeter le pourvoi et de confirmer l’ordonnance du Tribunal visant West Fraser Mills.</w:t>
      </w:r>
    </w:p>
    <w:p w:rsidR="00E70F7D" w:rsidRDefault="00E70F7D" w:rsidP="00E70F7D">
      <w:pPr>
        <w:pStyle w:val="Title1LevelTitre1Niveau-AltL"/>
        <w:rPr>
          <w:rFonts w:cs="Times New Roman"/>
          <w:lang w:val="fr-CA"/>
        </w:rPr>
      </w:pPr>
      <w:r>
        <w:rPr>
          <w:rFonts w:cs="Times New Roman"/>
          <w:lang w:val="fr-CA"/>
        </w:rPr>
        <w:t>Validité du par</w:t>
      </w:r>
      <w:r w:rsidR="00CC5300">
        <w:rPr>
          <w:rFonts w:cs="Times New Roman"/>
          <w:lang w:val="fr-CA"/>
        </w:rPr>
        <w:t>.</w:t>
      </w:r>
      <w:r>
        <w:rPr>
          <w:rFonts w:cs="Times New Roman"/>
          <w:lang w:val="fr-CA"/>
        </w:rPr>
        <w:t> 26.2(1) du Règlement</w:t>
      </w:r>
    </w:p>
    <w:p w:rsidR="00E70F7D" w:rsidRDefault="00E70F7D" w:rsidP="00E70F7D">
      <w:pPr>
        <w:pStyle w:val="ParaNoNdepar-AltN"/>
        <w:numPr>
          <w:ilvl w:val="0"/>
          <w:numId w:val="2"/>
        </w:numPr>
        <w:rPr>
          <w:rFonts w:cs="Times New Roman"/>
          <w:lang w:val="fr-CA"/>
        </w:rPr>
      </w:pPr>
      <w:r>
        <w:rPr>
          <w:rFonts w:cs="Times New Roman"/>
          <w:lang w:val="fr-CA"/>
        </w:rPr>
        <w:t>L’article 225 de la Loi confère à la Commission un vaste pouvoir de réglementation en matière de sécurité au travail. Il dispose notamment ce qui suit :</w:t>
      </w:r>
    </w:p>
    <w:p w:rsidR="00E70F7D" w:rsidRDefault="00E70F7D" w:rsidP="00E70F7D">
      <w:pPr>
        <w:pStyle w:val="Citation-AltC"/>
        <w:spacing w:after="0"/>
        <w:ind w:hanging="1166"/>
        <w:rPr>
          <w:lang w:val="fr-CA"/>
        </w:rPr>
      </w:pPr>
      <w:r>
        <w:rPr>
          <w:lang w:val="fr-CA"/>
        </w:rPr>
        <w:lastRenderedPageBreak/>
        <w:tab/>
        <w:t>[</w:t>
      </w:r>
      <w:r>
        <w:rPr>
          <w:smallCaps/>
          <w:lang w:val="fr-CA"/>
        </w:rPr>
        <w:t>traduction</w:t>
      </w:r>
      <w:r>
        <w:rPr>
          <w:lang w:val="fr-CA"/>
        </w:rPr>
        <w:t>]</w:t>
      </w:r>
    </w:p>
    <w:p w:rsidR="00564992" w:rsidRDefault="00564992" w:rsidP="00E70F7D">
      <w:pPr>
        <w:pStyle w:val="Citation-AltC"/>
        <w:spacing w:after="0"/>
        <w:ind w:hanging="1166"/>
        <w:rPr>
          <w:lang w:val="fr-CA"/>
        </w:rPr>
      </w:pPr>
    </w:p>
    <w:p w:rsidR="00E70F7D" w:rsidRDefault="00E70F7D" w:rsidP="00AA21F1">
      <w:pPr>
        <w:pStyle w:val="Citation-AltC"/>
        <w:ind w:left="1710" w:hanging="540"/>
        <w:rPr>
          <w:lang w:val="fr-CA"/>
        </w:rPr>
      </w:pPr>
      <w:r>
        <w:rPr>
          <w:b/>
          <w:lang w:val="fr-CA"/>
        </w:rPr>
        <w:t>225</w:t>
      </w:r>
      <w:r>
        <w:rPr>
          <w:lang w:val="fr-CA"/>
        </w:rPr>
        <w:tab/>
        <w:t xml:space="preserve">(1) Conformément au mandat que lui confère la présente partie, la Commission peut prendre les règlements qu’elle juge nécessaires ou souhaitables </w:t>
      </w:r>
      <w:r w:rsidRPr="00FC4DA6">
        <w:rPr>
          <w:lang w:val="fr-CA"/>
        </w:rPr>
        <w:t>relativement</w:t>
      </w:r>
      <w:r>
        <w:rPr>
          <w:lang w:val="fr-CA"/>
        </w:rPr>
        <w:t xml:space="preserve"> à la santé et à la sécurité au travail et à l’environnement de travail. </w:t>
      </w:r>
    </w:p>
    <w:p w:rsidR="00564992" w:rsidRDefault="00564992" w:rsidP="00E70F7D">
      <w:pPr>
        <w:pStyle w:val="Citation-AltC"/>
        <w:spacing w:after="240"/>
        <w:ind w:hanging="536"/>
        <w:rPr>
          <w:lang w:val="fr-CA"/>
        </w:rPr>
      </w:pPr>
    </w:p>
    <w:p w:rsidR="00E70F7D" w:rsidRDefault="00E70F7D" w:rsidP="00564992">
      <w:pPr>
        <w:pStyle w:val="Citation-AltC"/>
        <w:ind w:left="1710" w:hanging="446"/>
        <w:rPr>
          <w:lang w:val="fr-CA"/>
        </w:rPr>
      </w:pPr>
      <w:r>
        <w:rPr>
          <w:lang w:val="fr-CA"/>
        </w:rPr>
        <w:tab/>
        <w:t xml:space="preserve">(2) Sans que </w:t>
      </w:r>
      <w:r w:rsidRPr="00FC4DA6">
        <w:rPr>
          <w:lang w:val="fr-CA"/>
        </w:rPr>
        <w:t>soit</w:t>
      </w:r>
      <w:r>
        <w:rPr>
          <w:lang w:val="fr-CA"/>
        </w:rPr>
        <w:t xml:space="preserve"> limitée la portée du paragraphe (1), la Commission peut prendre des règlements sur ce qui suit : </w:t>
      </w:r>
    </w:p>
    <w:p w:rsidR="00564992" w:rsidRDefault="00564992" w:rsidP="00E70F7D">
      <w:pPr>
        <w:pStyle w:val="Citation-AltC"/>
        <w:spacing w:after="240"/>
        <w:ind w:hanging="1166"/>
        <w:rPr>
          <w:lang w:val="fr-CA"/>
        </w:rPr>
      </w:pPr>
    </w:p>
    <w:p w:rsidR="00E70F7D" w:rsidRDefault="00E70F7D" w:rsidP="00564992">
      <w:pPr>
        <w:pStyle w:val="Citation-AltC"/>
        <w:ind w:left="2160"/>
        <w:rPr>
          <w:lang w:val="fr-CA"/>
        </w:rPr>
      </w:pPr>
      <w:r>
        <w:rPr>
          <w:lang w:val="fr-CA"/>
        </w:rPr>
        <w:t>a) les normes et les exigences relatives à la protection de la santé et de la sécurité des travailleurs et des autres personnes se trouvant dans un lieu de travail et au bien</w:t>
      </w:r>
      <w:r>
        <w:rPr>
          <w:lang w:val="fr-CA"/>
        </w:rPr>
        <w:noBreakHyphen/>
        <w:t>être des travailleurs dans leur environnement de travail;</w:t>
      </w:r>
    </w:p>
    <w:p w:rsidR="00564992" w:rsidRDefault="00564992" w:rsidP="00E70F7D">
      <w:pPr>
        <w:pStyle w:val="Citation-AltC"/>
        <w:spacing w:after="240"/>
        <w:ind w:left="2160" w:hanging="2160"/>
        <w:rPr>
          <w:lang w:val="fr-CA"/>
        </w:rPr>
      </w:pPr>
    </w:p>
    <w:p w:rsidR="00564992" w:rsidRDefault="00E70F7D" w:rsidP="00564992">
      <w:pPr>
        <w:pStyle w:val="Citation-AltC"/>
        <w:ind w:left="2160"/>
        <w:rPr>
          <w:lang w:val="fr-CA"/>
        </w:rPr>
      </w:pPr>
      <w:r>
        <w:rPr>
          <w:lang w:val="fr-CA"/>
        </w:rPr>
        <w:t xml:space="preserve">b) des éléments précis des obligations générales des employeurs, travailleurs, fournisseurs, superviseurs, entrepreneurs </w:t>
      </w:r>
      <w:r w:rsidRPr="00564992">
        <w:rPr>
          <w:lang w:val="fr-CA"/>
        </w:rPr>
        <w:t>principaux</w:t>
      </w:r>
      <w:r>
        <w:rPr>
          <w:lang w:val="fr-CA"/>
        </w:rPr>
        <w:t xml:space="preserve"> et propriétaires suivant la présente partie;</w:t>
      </w:r>
    </w:p>
    <w:p w:rsidR="00564992" w:rsidRDefault="00564992" w:rsidP="00564992">
      <w:pPr>
        <w:pStyle w:val="Citation-AltC"/>
        <w:ind w:left="2160"/>
        <w:rPr>
          <w:lang w:val="fr-CA"/>
        </w:rPr>
      </w:pPr>
    </w:p>
    <w:p w:rsidR="00E70F7D" w:rsidRDefault="00E70F7D" w:rsidP="00564992">
      <w:pPr>
        <w:pStyle w:val="Citation-AltC"/>
        <w:ind w:left="1170"/>
        <w:jc w:val="center"/>
        <w:rPr>
          <w:lang w:val="fr-CA"/>
        </w:rPr>
      </w:pPr>
      <w:r>
        <w:rPr>
          <w:lang w:val="fr-CA"/>
        </w:rPr>
        <w:t>. . .</w:t>
      </w:r>
    </w:p>
    <w:p w:rsidR="00E70F7D" w:rsidRDefault="00E70F7D" w:rsidP="00E70F7D">
      <w:pPr>
        <w:pStyle w:val="ParaNoNdepar-AltN"/>
        <w:numPr>
          <w:ilvl w:val="0"/>
          <w:numId w:val="2"/>
        </w:numPr>
        <w:rPr>
          <w:rFonts w:cs="Times New Roman"/>
          <w:lang w:val="fr-CA"/>
        </w:rPr>
      </w:pPr>
      <w:r>
        <w:rPr>
          <w:rFonts w:cs="Times New Roman"/>
          <w:lang w:val="fr-CA"/>
        </w:rPr>
        <w:t>En vertu de l’art. 225 de la Loi, la Commission a pris le règlement contesté en l’espèce — le par. 26.2(1) du Règlement — selon lequel le propriétaire est tenu de faire en sorte que les activités d’exploitation forestière soient planifiées et exercées conformément au Règlement et aux pratiques de travail sécuritaires :</w:t>
      </w:r>
    </w:p>
    <w:p w:rsidR="00E70F7D" w:rsidRDefault="00E70F7D" w:rsidP="00E70F7D">
      <w:pPr>
        <w:pStyle w:val="Citation-AltC"/>
        <w:spacing w:after="0"/>
        <w:ind w:left="1167" w:hanging="533"/>
        <w:rPr>
          <w:lang w:val="fr-CA"/>
        </w:rPr>
      </w:pPr>
      <w:r>
        <w:rPr>
          <w:lang w:val="fr-CA"/>
        </w:rPr>
        <w:tab/>
        <w:t>[</w:t>
      </w:r>
      <w:r>
        <w:rPr>
          <w:smallCaps/>
          <w:lang w:val="fr-CA"/>
        </w:rPr>
        <w:t>traduction</w:t>
      </w:r>
      <w:r>
        <w:rPr>
          <w:lang w:val="fr-CA"/>
        </w:rPr>
        <w:t xml:space="preserve">] </w:t>
      </w:r>
    </w:p>
    <w:p w:rsidR="00564992" w:rsidRDefault="00564992" w:rsidP="00E70F7D">
      <w:pPr>
        <w:pStyle w:val="Citation-AltC"/>
        <w:spacing w:after="0"/>
        <w:ind w:left="1167" w:hanging="533"/>
        <w:rPr>
          <w:lang w:val="fr-CA"/>
        </w:rPr>
      </w:pPr>
    </w:p>
    <w:p w:rsidR="00E70F7D" w:rsidRDefault="00E70F7D" w:rsidP="00564992">
      <w:pPr>
        <w:pStyle w:val="Citation-AltC"/>
        <w:ind w:left="1980" w:hanging="810"/>
        <w:rPr>
          <w:lang w:val="fr-CA"/>
        </w:rPr>
      </w:pPr>
      <w:r>
        <w:rPr>
          <w:b/>
          <w:lang w:val="fr-CA"/>
        </w:rPr>
        <w:t>26.2</w:t>
      </w:r>
      <w:r>
        <w:rPr>
          <w:lang w:val="fr-CA"/>
        </w:rPr>
        <w:tab/>
        <w:t xml:space="preserve">(1) Le propriétaire d’une entreprise d’exploitation forestière </w:t>
      </w:r>
      <w:r w:rsidR="00360B0E">
        <w:rPr>
          <w:lang w:val="fr-CA"/>
        </w:rPr>
        <w:t>doit faire</w:t>
      </w:r>
      <w:r>
        <w:rPr>
          <w:lang w:val="fr-CA"/>
        </w:rPr>
        <w:t xml:space="preserve"> en sorte que toutes les activités d’exploitation forestière soient planifiées et exercées </w:t>
      </w:r>
      <w:r w:rsidRPr="00FC4DA6">
        <w:rPr>
          <w:lang w:val="fr-CA"/>
        </w:rPr>
        <w:t>conformément</w:t>
      </w:r>
      <w:r>
        <w:rPr>
          <w:lang w:val="fr-CA"/>
        </w:rPr>
        <w:t xml:space="preserve"> au présent règlement et aux pratiques de travail sécuritaires jugées acceptables par la Commission.</w:t>
      </w:r>
    </w:p>
    <w:p w:rsidR="00E70F7D" w:rsidRDefault="00E70F7D" w:rsidP="00E70F7D">
      <w:pPr>
        <w:pStyle w:val="ParaNoNdepar-AltN"/>
        <w:numPr>
          <w:ilvl w:val="0"/>
          <w:numId w:val="2"/>
        </w:numPr>
        <w:rPr>
          <w:rFonts w:cs="Times New Roman"/>
          <w:i/>
          <w:lang w:val="fr-CA"/>
        </w:rPr>
      </w:pPr>
      <w:r>
        <w:rPr>
          <w:rFonts w:cs="Times New Roman"/>
          <w:lang w:val="fr-CA"/>
        </w:rPr>
        <w:t xml:space="preserve">Dans l’arrêt </w:t>
      </w:r>
      <w:r>
        <w:rPr>
          <w:rFonts w:cs="Times New Roman"/>
          <w:i/>
          <w:lang w:val="fr-CA"/>
        </w:rPr>
        <w:t>Dunsmuir c. Nouveau</w:t>
      </w:r>
      <w:r>
        <w:rPr>
          <w:rFonts w:cs="Times New Roman"/>
          <w:i/>
          <w:lang w:val="fr-CA"/>
        </w:rPr>
        <w:noBreakHyphen/>
        <w:t xml:space="preserve">Brunswick, </w:t>
      </w:r>
      <w:r>
        <w:rPr>
          <w:rFonts w:cs="Times New Roman"/>
          <w:lang w:val="fr-CA"/>
        </w:rPr>
        <w:t xml:space="preserve">2008 CSC 9, [2008] 1 R.C.S. 190, la Cour résume la démarche que doit suivre la cour de révision lors du </w:t>
      </w:r>
      <w:r>
        <w:rPr>
          <w:rFonts w:cs="Times New Roman"/>
          <w:lang w:val="fr-CA"/>
        </w:rPr>
        <w:lastRenderedPageBreak/>
        <w:t>contrôle judiciaire de l’exercice d’un pouvoir administratif délégué</w:t>
      </w:r>
      <w:r>
        <w:rPr>
          <w:rFonts w:cs="Times New Roman"/>
          <w:i/>
          <w:lang w:val="fr-CA"/>
        </w:rPr>
        <w:t>.</w:t>
      </w:r>
      <w:r>
        <w:rPr>
          <w:rFonts w:eastAsia="Times New Roman" w:cs="Times New Roman"/>
          <w:szCs w:val="24"/>
          <w:lang w:val="fr-CA" w:eastAsia="en-CA"/>
        </w:rPr>
        <w:t xml:space="preserve"> Lorsque la jurisprudence n’</w:t>
      </w:r>
      <w:r>
        <w:rPr>
          <w:rFonts w:cs="Times New Roman"/>
          <w:lang w:val="fr-FR"/>
        </w:rPr>
        <w:t>établit pas déjà de manière satisfaisante le degré de déférence qui s’impose dans une situation donnée, la Cour insiste sur l’</w:t>
      </w:r>
      <w:r>
        <w:rPr>
          <w:rFonts w:cs="Times New Roman"/>
          <w:lang w:val="fr-CA"/>
        </w:rPr>
        <w:t>importance de s’en remettre au contexte législatif et administratif pour déterminer l’étendue du pouvoir discrétionnaire conféré par le législateur à l’organisme ou au tribunal administratif. Dans la plupart des cas, l’analyse contextuelle mène à la conclusion que la norme de contrôle applicable est celle de la décision raisonnable.</w:t>
      </w:r>
    </w:p>
    <w:p w:rsidR="00E70F7D" w:rsidRDefault="00E70F7D" w:rsidP="00E70F7D">
      <w:pPr>
        <w:pStyle w:val="ParaNoNdepar-AltN"/>
        <w:numPr>
          <w:ilvl w:val="0"/>
          <w:numId w:val="2"/>
        </w:numPr>
        <w:rPr>
          <w:rFonts w:cs="Times New Roman"/>
          <w:lang w:val="fr-CA"/>
        </w:rPr>
      </w:pPr>
      <w:r>
        <w:rPr>
          <w:rFonts w:cs="Times New Roman"/>
          <w:lang w:val="fr-CA"/>
        </w:rPr>
        <w:t xml:space="preserve">Conformément à ce principal enseignement de </w:t>
      </w:r>
      <w:r>
        <w:rPr>
          <w:rFonts w:cs="Times New Roman"/>
          <w:i/>
          <w:lang w:val="fr-CA"/>
        </w:rPr>
        <w:t>Dunsmui</w:t>
      </w:r>
      <w:r>
        <w:rPr>
          <w:rFonts w:cs="Times New Roman"/>
          <w:lang w:val="fr-CA"/>
        </w:rPr>
        <w:t xml:space="preserve">r, la Cour applique une norme de </w:t>
      </w:r>
      <w:proofErr w:type="spellStart"/>
      <w:r>
        <w:rPr>
          <w:rFonts w:cs="Times New Roman"/>
          <w:lang w:val="fr-CA"/>
        </w:rPr>
        <w:t>raisonnabilité</w:t>
      </w:r>
      <w:proofErr w:type="spellEnd"/>
      <w:r>
        <w:rPr>
          <w:rFonts w:cs="Times New Roman"/>
          <w:lang w:val="fr-CA"/>
        </w:rPr>
        <w:t xml:space="preserve"> souple dans le cas où la loi habilitante accorde à l’organisme subordonné un grand pouvoir discrétionnaire pour la conception de règlements appropriés (voir </w:t>
      </w:r>
      <w:proofErr w:type="spellStart"/>
      <w:r>
        <w:rPr>
          <w:rFonts w:cs="Times New Roman"/>
          <w:i/>
          <w:lang w:val="fr-CA"/>
        </w:rPr>
        <w:t>Catalyst</w:t>
      </w:r>
      <w:proofErr w:type="spellEnd"/>
      <w:r>
        <w:rPr>
          <w:rFonts w:cs="Times New Roman"/>
          <w:i/>
          <w:lang w:val="fr-CA"/>
        </w:rPr>
        <w:t xml:space="preserve"> Paper Corp. c. North </w:t>
      </w:r>
      <w:proofErr w:type="spellStart"/>
      <w:r>
        <w:rPr>
          <w:rFonts w:cs="Times New Roman"/>
          <w:i/>
          <w:lang w:val="fr-CA"/>
        </w:rPr>
        <w:t>Cowichan</w:t>
      </w:r>
      <w:proofErr w:type="spellEnd"/>
      <w:r>
        <w:rPr>
          <w:rFonts w:cs="Times New Roman"/>
          <w:i/>
          <w:lang w:val="fr-CA"/>
        </w:rPr>
        <w:t xml:space="preserve"> (District)</w:t>
      </w:r>
      <w:r>
        <w:rPr>
          <w:rFonts w:cs="Times New Roman"/>
          <w:lang w:val="fr-CA"/>
        </w:rPr>
        <w:t>,</w:t>
      </w:r>
      <w:r>
        <w:rPr>
          <w:rFonts w:cs="Times New Roman"/>
          <w:i/>
          <w:lang w:val="fr-CA"/>
        </w:rPr>
        <w:t xml:space="preserve"> </w:t>
      </w:r>
      <w:r>
        <w:rPr>
          <w:rFonts w:cs="Times New Roman"/>
          <w:lang w:val="fr-CA"/>
        </w:rPr>
        <w:t>2012 CSC</w:t>
      </w:r>
      <w:r>
        <w:rPr>
          <w:rFonts w:cs="Times New Roman"/>
          <w:i/>
          <w:lang w:val="fr-CA"/>
        </w:rPr>
        <w:t xml:space="preserve"> </w:t>
      </w:r>
      <w:r>
        <w:rPr>
          <w:rFonts w:cs="Times New Roman"/>
          <w:lang w:val="fr-CA"/>
        </w:rPr>
        <w:t xml:space="preserve">2, [2012] 1 R.C.S. 5, par. 13, 18 et 24; </w:t>
      </w:r>
      <w:r>
        <w:rPr>
          <w:rFonts w:cs="Times New Roman"/>
          <w:i/>
          <w:lang w:val="fr-CA"/>
        </w:rPr>
        <w:t>Green c. Société du Barreau du Manitoba</w:t>
      </w:r>
      <w:r>
        <w:rPr>
          <w:rFonts w:cs="Times New Roman"/>
          <w:lang w:val="fr-CA"/>
        </w:rPr>
        <w:t>,</w:t>
      </w:r>
      <w:r>
        <w:rPr>
          <w:rFonts w:cs="Times New Roman"/>
          <w:i/>
          <w:lang w:val="fr-CA"/>
        </w:rPr>
        <w:t xml:space="preserve"> </w:t>
      </w:r>
      <w:r>
        <w:rPr>
          <w:rFonts w:cs="Times New Roman"/>
          <w:lang w:val="fr-CA"/>
        </w:rPr>
        <w:t xml:space="preserve">2017 CSC 20, [2017] 1 R.C.S. 360, par. 20). Selon les arrêts </w:t>
      </w:r>
      <w:proofErr w:type="spellStart"/>
      <w:r>
        <w:rPr>
          <w:rFonts w:cs="Times New Roman"/>
          <w:i/>
          <w:lang w:val="fr-CA"/>
        </w:rPr>
        <w:t>Catalyst</w:t>
      </w:r>
      <w:proofErr w:type="spellEnd"/>
      <w:r>
        <w:rPr>
          <w:rFonts w:cs="Times New Roman"/>
          <w:lang w:val="fr-CA"/>
        </w:rPr>
        <w:t xml:space="preserve"> et </w:t>
      </w:r>
      <w:r>
        <w:rPr>
          <w:rFonts w:cs="Times New Roman"/>
          <w:i/>
          <w:lang w:val="fr-CA"/>
        </w:rPr>
        <w:t>Green</w:t>
      </w:r>
      <w:r>
        <w:rPr>
          <w:rFonts w:cs="Times New Roman"/>
          <w:lang w:val="fr-CA"/>
        </w:rPr>
        <w:t xml:space="preserve">, la norme de contrôle applicable est celle de la </w:t>
      </w:r>
      <w:proofErr w:type="spellStart"/>
      <w:r>
        <w:rPr>
          <w:rFonts w:cs="Times New Roman"/>
          <w:lang w:val="fr-CA"/>
        </w:rPr>
        <w:t>raisonnabilité</w:t>
      </w:r>
      <w:proofErr w:type="spellEnd"/>
      <w:r>
        <w:rPr>
          <w:rFonts w:cs="Times New Roman"/>
          <w:lang w:val="fr-CA"/>
        </w:rPr>
        <w:t>. L’application de cette norme [</w:t>
      </w:r>
      <w:r>
        <w:rPr>
          <w:rFonts w:cs="Times New Roman"/>
          <w:smallCaps/>
          <w:lang w:val="fr-CA"/>
        </w:rPr>
        <w:t>traduction</w:t>
      </w:r>
      <w:r>
        <w:rPr>
          <w:rFonts w:cs="Times New Roman"/>
          <w:lang w:val="fr-CA"/>
        </w:rPr>
        <w:t xml:space="preserve">] « reconnaît que dans beaucoup de cas, les personnes qui se consacrent quotidiennement à l’application de régimes administratifs souvent complexes possèdent ou acquièrent une grande connaissance ou sensibilité fine à l’égard des impératifs et des subtilités de ces régimes » (D. J. </w:t>
      </w:r>
      <w:proofErr w:type="spellStart"/>
      <w:r>
        <w:rPr>
          <w:rFonts w:cs="Times New Roman"/>
          <w:lang w:val="fr-CA"/>
        </w:rPr>
        <w:t>Mullan</w:t>
      </w:r>
      <w:proofErr w:type="spellEnd"/>
      <w:r>
        <w:rPr>
          <w:rFonts w:cs="Times New Roman"/>
          <w:lang w:val="fr-CA"/>
        </w:rPr>
        <w:t>, « </w:t>
      </w:r>
      <w:proofErr w:type="spellStart"/>
      <w:r>
        <w:rPr>
          <w:rFonts w:cs="Times New Roman"/>
          <w:lang w:val="fr-CA"/>
        </w:rPr>
        <w:t>Establishing</w:t>
      </w:r>
      <w:proofErr w:type="spellEnd"/>
      <w:r>
        <w:rPr>
          <w:rFonts w:cs="Times New Roman"/>
          <w:lang w:val="fr-CA"/>
        </w:rPr>
        <w:t xml:space="preserve"> the Standard of </w:t>
      </w:r>
      <w:proofErr w:type="spellStart"/>
      <w:r>
        <w:rPr>
          <w:rFonts w:cs="Times New Roman"/>
          <w:lang w:val="fr-CA"/>
        </w:rPr>
        <w:t>Review</w:t>
      </w:r>
      <w:proofErr w:type="spellEnd"/>
      <w:r>
        <w:rPr>
          <w:rFonts w:cs="Times New Roman"/>
          <w:lang w:val="fr-CA"/>
        </w:rPr>
        <w:t xml:space="preserve"> : The Struggle for </w:t>
      </w:r>
      <w:proofErr w:type="spellStart"/>
      <w:r>
        <w:rPr>
          <w:rFonts w:cs="Times New Roman"/>
          <w:lang w:val="fr-CA"/>
        </w:rPr>
        <w:t>Complexity</w:t>
      </w:r>
      <w:proofErr w:type="spellEnd"/>
      <w:r>
        <w:rPr>
          <w:rFonts w:cs="Times New Roman"/>
          <w:lang w:val="fr-CA"/>
        </w:rPr>
        <w:t xml:space="preserve">? » (2004), 17 </w:t>
      </w:r>
      <w:r w:rsidR="00360B0E">
        <w:rPr>
          <w:rFonts w:cs="Times New Roman"/>
          <w:i/>
          <w:lang w:val="fr-CA"/>
        </w:rPr>
        <w:t>R.C.D.A.</w:t>
      </w:r>
      <w:r>
        <w:rPr>
          <w:rFonts w:cs="Times New Roman"/>
          <w:i/>
          <w:lang w:val="fr-CA"/>
        </w:rPr>
        <w:t>P. </w:t>
      </w:r>
      <w:r>
        <w:rPr>
          <w:rFonts w:cs="Times New Roman"/>
          <w:lang w:val="fr-CA"/>
        </w:rPr>
        <w:t xml:space="preserve">59, p. 93, cité avec approbation dans </w:t>
      </w:r>
      <w:r>
        <w:rPr>
          <w:rFonts w:cs="Times New Roman"/>
          <w:i/>
          <w:lang w:val="fr-CA"/>
        </w:rPr>
        <w:t>Dunsmuir</w:t>
      </w:r>
      <w:r>
        <w:rPr>
          <w:rFonts w:cs="Times New Roman"/>
          <w:lang w:val="fr-CA"/>
        </w:rPr>
        <w:t xml:space="preserve">, par. 49). </w:t>
      </w:r>
    </w:p>
    <w:p w:rsidR="00E70F7D" w:rsidRDefault="00E70F7D" w:rsidP="00E70F7D">
      <w:pPr>
        <w:pStyle w:val="ParaNoNdepar-AltN"/>
        <w:numPr>
          <w:ilvl w:val="0"/>
          <w:numId w:val="2"/>
        </w:numPr>
        <w:rPr>
          <w:rFonts w:cs="Times New Roman"/>
          <w:lang w:val="fr-CA"/>
        </w:rPr>
      </w:pPr>
      <w:r>
        <w:rPr>
          <w:rFonts w:cs="Times New Roman"/>
          <w:lang w:val="fr-CA"/>
        </w:rPr>
        <w:lastRenderedPageBreak/>
        <w:t xml:space="preserve">La Cour doit décider si le par. 26.2(1) du Règlement résulte d’un exercice raisonnable du pouvoir de réglementation </w:t>
      </w:r>
      <w:r w:rsidR="00564992">
        <w:rPr>
          <w:rFonts w:cs="Times New Roman"/>
          <w:lang w:val="fr-CA"/>
        </w:rPr>
        <w:t>délégué à la Commission. Le paragraphe</w:t>
      </w:r>
      <w:r>
        <w:rPr>
          <w:rFonts w:cs="Times New Roman"/>
          <w:lang w:val="fr-CA"/>
        </w:rPr>
        <w:t> 26.2(1) du Règlement relève</w:t>
      </w:r>
      <w:r>
        <w:rPr>
          <w:rFonts w:cs="Times New Roman"/>
          <w:lang w:val="fr-CA"/>
        </w:rPr>
        <w:noBreakHyphen/>
        <w:t>t</w:t>
      </w:r>
      <w:r>
        <w:rPr>
          <w:rFonts w:cs="Times New Roman"/>
          <w:lang w:val="fr-CA"/>
        </w:rPr>
        <w:noBreakHyphen/>
        <w:t>il du pouvoir délégué par l’art. 225 de la Loi? Ce dernier est libellé</w:t>
      </w:r>
      <w:r w:rsidR="00564992">
        <w:rPr>
          <w:rFonts w:cs="Times New Roman"/>
          <w:lang w:val="fr-CA"/>
        </w:rPr>
        <w:t xml:space="preserve"> de façon très générale. Le paragraphe</w:t>
      </w:r>
      <w:r>
        <w:rPr>
          <w:rFonts w:cs="Times New Roman"/>
          <w:lang w:val="fr-CA"/>
        </w:rPr>
        <w:t xml:space="preserve"> 225(1) confère à la Commission le pouvoir de prendre les « règlements </w:t>
      </w:r>
      <w:r>
        <w:rPr>
          <w:rFonts w:cs="Times New Roman"/>
          <w:u w:val="single"/>
          <w:lang w:val="fr-CA"/>
        </w:rPr>
        <w:t>qu’elle juge nécessaires ou souhaitables</w:t>
      </w:r>
      <w:r>
        <w:rPr>
          <w:rFonts w:cs="Times New Roman"/>
          <w:lang w:val="fr-CA"/>
        </w:rPr>
        <w:t xml:space="preserve"> relativement à la santé et à la sécurité au travail et à l’environnement de travail ». À l’évidence, le législateur a voulu confier à la Commission le soin de décider de ce qui est nécessaire ou souhaitable pour atteindre l’objectif lié à la santé et à la sécurité dans les lieux de travail et de prendre des règlements en conséquence. L’énoncé liminaire du paragraphe (2) — « Sans que soit limitée la portée du paragraphe (1) » — confirme qu’il s’agit d’un pouvoir entier, non restreint par ce qui suit le par. 225(1). En résumé, le législateur a exprimé la volonté que la Commission prenne tout règlement jugé nécessaire pour réaliser ses objectifs liés à la santé et à la sécurité dans les lieux de travail. La délégation de pouvoir à la Commission ne pourrait être plus large. </w:t>
      </w:r>
    </w:p>
    <w:p w:rsidR="00E70F7D" w:rsidRDefault="00E70F7D" w:rsidP="00E70F7D">
      <w:pPr>
        <w:pStyle w:val="ParaNoNdepar-AltN"/>
        <w:numPr>
          <w:ilvl w:val="0"/>
          <w:numId w:val="2"/>
        </w:numPr>
        <w:tabs>
          <w:tab w:val="clear" w:pos="1152"/>
          <w:tab w:val="left" w:pos="1166"/>
        </w:tabs>
        <w:rPr>
          <w:rFonts w:cs="Times New Roman"/>
          <w:lang w:val="fr-CA"/>
        </w:rPr>
      </w:pPr>
      <w:r>
        <w:rPr>
          <w:rFonts w:cs="Times New Roman"/>
          <w:lang w:val="fr-CA"/>
        </w:rPr>
        <w:t>Cette délégation de pouvoir générale et sans réserve permet de conclure que l’art. 225 de la Loi autorise tout règlement dont on peut raisonnablement considérer qu’il se rapporte à la santé et à la sécurité au travail. Par cette disposition, le législateur s’en remet au bon jugement de la Commission pour décider des règlements qui sont nécessaires ou souhaitables pour atteindre les objectifs de santé et de sécurité au travail. Tout règlement qui résulte d’un exercice raisonnable de ce bon jugement est valide</w:t>
      </w:r>
      <w:r>
        <w:rPr>
          <w:rFonts w:cs="Times New Roman"/>
          <w:i/>
          <w:lang w:val="fr-CA"/>
        </w:rPr>
        <w:t xml:space="preserve"> </w:t>
      </w:r>
      <w:r>
        <w:rPr>
          <w:rFonts w:cs="Times New Roman"/>
          <w:lang w:val="fr-CA"/>
        </w:rPr>
        <w:t>(</w:t>
      </w:r>
      <w:proofErr w:type="spellStart"/>
      <w:r>
        <w:rPr>
          <w:rFonts w:cs="Times New Roman"/>
          <w:i/>
          <w:lang w:val="fr-CA"/>
        </w:rPr>
        <w:t>Catalyst</w:t>
      </w:r>
      <w:proofErr w:type="spellEnd"/>
      <w:r>
        <w:rPr>
          <w:rFonts w:cs="Times New Roman"/>
          <w:lang w:val="fr-CA"/>
        </w:rPr>
        <w:t xml:space="preserve">, par. 24; </w:t>
      </w:r>
      <w:r>
        <w:rPr>
          <w:rFonts w:cs="Times New Roman"/>
          <w:i/>
          <w:lang w:val="fr-CA"/>
        </w:rPr>
        <w:t>Green</w:t>
      </w:r>
      <w:r>
        <w:rPr>
          <w:rFonts w:cs="Times New Roman"/>
          <w:lang w:val="fr-CA"/>
        </w:rPr>
        <w:t xml:space="preserve">, par. 20). </w:t>
      </w:r>
    </w:p>
    <w:p w:rsidR="00E70F7D" w:rsidRDefault="00E70F7D" w:rsidP="00E70F7D">
      <w:pPr>
        <w:pStyle w:val="ParaNoNdepar-AltN"/>
        <w:numPr>
          <w:ilvl w:val="0"/>
          <w:numId w:val="2"/>
        </w:numPr>
        <w:rPr>
          <w:rFonts w:cs="Times New Roman"/>
          <w:lang w:val="fr-CA"/>
        </w:rPr>
      </w:pPr>
      <w:r>
        <w:rPr>
          <w:rFonts w:cs="Times New Roman"/>
          <w:lang w:val="fr-CA"/>
        </w:rPr>
        <w:lastRenderedPageBreak/>
        <w:t>Décider si le règlement contesté résulte d’un exercice raisonnable du pouvoir délégué relève essentiellement de l’interprétation législative. Il faut alors tenir compte non seulement du texte de la loi, mais aussi de son objet et du contexte. La cour de révision doit se demander si le règlement est « incompatible avec l’objectif de [l]a loi habilitante ou encore [s]’il déborde le cadre du mandat prévu par la Loi » au point, par exemple, de reposer sur des considérations « sans importance », d’être « non pertinent » ou d’être « complètement étranger » à l’objet de la loi (</w:t>
      </w:r>
      <w:r>
        <w:rPr>
          <w:rFonts w:cs="Times New Roman"/>
          <w:i/>
          <w:lang w:val="fr-CA"/>
        </w:rPr>
        <w:t>Katz Group Canada Inc. c. Ontario (Santé et soins de longue durée)</w:t>
      </w:r>
      <w:r>
        <w:rPr>
          <w:rFonts w:cs="Times New Roman"/>
          <w:lang w:val="fr-CA"/>
        </w:rPr>
        <w:t>, 2013 CSC 64, [2013] 3 R.C.S. 810 (par. 24 et 28)). Pour ce faire, elle doit recourir à l’approche téléologique habituelle et privilégier « une méthode d’interprétation qui concilie le règlement avec sa loi habilitante » (</w:t>
      </w:r>
      <w:r>
        <w:rPr>
          <w:rFonts w:cs="Times New Roman"/>
          <w:i/>
          <w:lang w:val="fr-CA"/>
        </w:rPr>
        <w:t>Katz</w:t>
      </w:r>
      <w:r>
        <w:rPr>
          <w:rFonts w:cs="Times New Roman"/>
          <w:lang w:val="fr-CA"/>
        </w:rPr>
        <w:t>, par. 25</w:t>
      </w:r>
      <w:r w:rsidR="006B0605">
        <w:rPr>
          <w:rFonts w:cs="Times New Roman"/>
          <w:lang w:val="fr-CA"/>
        </w:rPr>
        <w:t>-26</w:t>
      </w:r>
      <w:r>
        <w:rPr>
          <w:rFonts w:cs="Times New Roman"/>
          <w:lang w:val="fr-CA"/>
        </w:rPr>
        <w:t>).</w:t>
      </w:r>
    </w:p>
    <w:p w:rsidR="00E70F7D" w:rsidRDefault="00E70F7D" w:rsidP="00E70F7D">
      <w:pPr>
        <w:pStyle w:val="ParaNoNdepar-AltN"/>
        <w:numPr>
          <w:ilvl w:val="0"/>
          <w:numId w:val="2"/>
        </w:numPr>
        <w:rPr>
          <w:rFonts w:cs="Times New Roman"/>
          <w:lang w:val="fr-CA"/>
        </w:rPr>
      </w:pPr>
      <w:r>
        <w:rPr>
          <w:rFonts w:cs="Times New Roman"/>
          <w:lang w:val="fr-CA"/>
        </w:rPr>
        <w:t>Premièrement, lorsqu’il est interprété selon les principes habituels, l’art. 225 autorise clairement le par. 26.2(1). Rappelons le caractère général du libellé de l’art. 225 de la Loi. La Commission est censée concevoir les règlements qu’elle juge nécessaires ou souhaitables pour favoriser la santé et la sécurité au travail. Le paragraphe 26.2(1) se rapporte nettement à la sécurité au travail et satisfait à cette exigence.</w:t>
      </w:r>
    </w:p>
    <w:p w:rsidR="00E70F7D" w:rsidRDefault="00E70F7D" w:rsidP="00E70F7D">
      <w:pPr>
        <w:pStyle w:val="ParaNoNdepar-AltN"/>
        <w:numPr>
          <w:ilvl w:val="0"/>
          <w:numId w:val="2"/>
        </w:numPr>
        <w:tabs>
          <w:tab w:val="clear" w:pos="1152"/>
          <w:tab w:val="left" w:pos="1166"/>
        </w:tabs>
        <w:rPr>
          <w:rFonts w:cs="Times New Roman"/>
          <w:lang w:val="fr-CA"/>
        </w:rPr>
      </w:pPr>
      <w:r>
        <w:rPr>
          <w:rFonts w:cs="Times New Roman"/>
          <w:lang w:val="fr-CA"/>
        </w:rPr>
        <w:t>Deuxièmement, le Règlement cadre bien avec les autres</w:t>
      </w:r>
      <w:r w:rsidR="006B0605">
        <w:rPr>
          <w:rFonts w:cs="Times New Roman"/>
          <w:lang w:val="fr-CA"/>
        </w:rPr>
        <w:t xml:space="preserve"> dispositions de la Loi. Le paragraphe</w:t>
      </w:r>
      <w:r>
        <w:rPr>
          <w:rFonts w:cs="Times New Roman"/>
          <w:lang w:val="fr-CA"/>
        </w:rPr>
        <w:t> 26.2(1) se concilie avec l’al. 230(2)a) de la Loi, qui permet à la Commission d’assujettir à un règlement toute [</w:t>
      </w:r>
      <w:r>
        <w:rPr>
          <w:rFonts w:cs="Times New Roman"/>
          <w:smallCaps/>
          <w:lang w:val="fr-CA"/>
        </w:rPr>
        <w:t>traduction</w:t>
      </w:r>
      <w:r>
        <w:rPr>
          <w:rFonts w:cs="Times New Roman"/>
          <w:lang w:val="fr-CA"/>
        </w:rPr>
        <w:t xml:space="preserve">] « personne participant ou contribuant à la production dans un secteur d’activité », ce qui devrait englober le </w:t>
      </w:r>
      <w:r>
        <w:rPr>
          <w:rFonts w:cs="Times New Roman"/>
          <w:lang w:val="fr-CA"/>
        </w:rPr>
        <w:lastRenderedPageBreak/>
        <w:t xml:space="preserve">titulaire d’un permis d’exploitation forestière, telle l’appelante. Le paragraphe 26.2(1) se concilie également avec l’art. 111 de la Loi, qui prévoit que le mandat de la Commission comprend la prise de règlements à l’appui de l’objet de la partie 3 de la Loi. L’article 107 énonce de manière générale l’objet de la partie 3, à savoir favoriser la santé et la sécurité au travail. Le paragraphe 26.2(1) du Règlement a le même objet. </w:t>
      </w:r>
    </w:p>
    <w:p w:rsidR="00E70F7D" w:rsidRDefault="00E70F7D" w:rsidP="00E70F7D">
      <w:pPr>
        <w:pStyle w:val="ParaNoNdepar-AltN"/>
        <w:numPr>
          <w:ilvl w:val="0"/>
          <w:numId w:val="2"/>
        </w:numPr>
        <w:rPr>
          <w:rFonts w:cs="Times New Roman"/>
          <w:lang w:val="fr-CA"/>
        </w:rPr>
      </w:pPr>
      <w:r>
        <w:rPr>
          <w:rFonts w:cs="Times New Roman"/>
          <w:lang w:val="fr-CA"/>
        </w:rPr>
        <w:t>Ma collègue la juge Côté fait valoir que le par. 26.2(1) va à l’encontre de la définition légale des obligations du propriétaire et de l’employeur. Suivant son interprétation, la Loi crée deux catégories distinctes d’obligations — l’une visant l’« employeur », l’autre le « propriétaire » — censées ne jamais se chevaucher. Comme le par. 26.2(1) fait en sorte que les obligations du propriétaire chevauchent jusqu’à un certain point celles de l’employeur, elle soutient que la disposition ne peut être conciliée avec la Loi et doit par conséquent être invalidée.</w:t>
      </w:r>
    </w:p>
    <w:p w:rsidR="00E70F7D" w:rsidRDefault="00E70F7D" w:rsidP="00E70F7D">
      <w:pPr>
        <w:pStyle w:val="ParaNoNdepar-AltN"/>
        <w:numPr>
          <w:ilvl w:val="0"/>
          <w:numId w:val="2"/>
        </w:numPr>
        <w:rPr>
          <w:rFonts w:cs="Times New Roman"/>
          <w:lang w:val="fr-CA"/>
        </w:rPr>
      </w:pPr>
      <w:r>
        <w:rPr>
          <w:rFonts w:cs="Times New Roman"/>
          <w:lang w:val="fr-CA"/>
        </w:rPr>
        <w:t xml:space="preserve">Je ne puis souscrire à sa prémisse de départ, à savoir que la Loi crée deux catégories distinctes d’obligations et que les obligations du propriétaire et celles de l’employeur ne peuvent jamais se chevaucher. </w:t>
      </w:r>
      <w:r w:rsidR="00360B0E">
        <w:rPr>
          <w:rFonts w:cs="Times New Roman"/>
          <w:lang w:val="fr-CA"/>
        </w:rPr>
        <w:t>La</w:t>
      </w:r>
      <w:r>
        <w:rPr>
          <w:rFonts w:cs="Times New Roman"/>
          <w:lang w:val="fr-CA"/>
        </w:rPr>
        <w:t xml:space="preserve"> juge Côté fait reposer sa prémisse sur </w:t>
      </w:r>
      <w:proofErr w:type="gramStart"/>
      <w:r>
        <w:rPr>
          <w:rFonts w:cs="Times New Roman"/>
          <w:lang w:val="fr-CA"/>
        </w:rPr>
        <w:t>les art</w:t>
      </w:r>
      <w:proofErr w:type="gramEnd"/>
      <w:r>
        <w:rPr>
          <w:rFonts w:cs="Times New Roman"/>
          <w:lang w:val="fr-CA"/>
        </w:rPr>
        <w:t xml:space="preserve">. 115 et 119 de la Loi, qui </w:t>
      </w:r>
      <w:proofErr w:type="gramStart"/>
      <w:r>
        <w:rPr>
          <w:rFonts w:cs="Times New Roman"/>
          <w:lang w:val="fr-CA"/>
        </w:rPr>
        <w:t>énumèrent</w:t>
      </w:r>
      <w:proofErr w:type="gramEnd"/>
      <w:r>
        <w:rPr>
          <w:rFonts w:cs="Times New Roman"/>
          <w:lang w:val="fr-CA"/>
        </w:rPr>
        <w:t xml:space="preserve"> les obligations respectives de l’« employeur » et du « propriétaire », ainsi que sur l’al. 107(2)e), qui attesterait selon elle l’intention du législateur d’empêcher le chevauchement des obligations de l’un et de l’autre. Voici le libellé de l’al. 107(2)e) : </w:t>
      </w:r>
    </w:p>
    <w:p w:rsidR="00E70F7D" w:rsidRDefault="00E70F7D" w:rsidP="00E70F7D">
      <w:pPr>
        <w:pStyle w:val="Citation-AltC"/>
        <w:spacing w:after="0"/>
        <w:ind w:hanging="1166"/>
        <w:rPr>
          <w:lang w:val="fr-CA"/>
        </w:rPr>
      </w:pPr>
      <w:r>
        <w:rPr>
          <w:lang w:val="fr-CA"/>
        </w:rPr>
        <w:tab/>
        <w:t>[</w:t>
      </w:r>
      <w:r>
        <w:rPr>
          <w:smallCaps/>
          <w:lang w:val="fr-CA"/>
        </w:rPr>
        <w:t>traduction</w:t>
      </w:r>
      <w:r>
        <w:rPr>
          <w:lang w:val="fr-CA"/>
        </w:rPr>
        <w:t>]</w:t>
      </w:r>
    </w:p>
    <w:p w:rsidR="006B0605" w:rsidRDefault="006B0605" w:rsidP="00E70F7D">
      <w:pPr>
        <w:pStyle w:val="Citation-AltC"/>
        <w:spacing w:after="0"/>
        <w:ind w:hanging="1166"/>
        <w:rPr>
          <w:lang w:val="fr-CA"/>
        </w:rPr>
      </w:pPr>
    </w:p>
    <w:p w:rsidR="00E70F7D" w:rsidRDefault="00E70F7D" w:rsidP="00CC5300">
      <w:pPr>
        <w:pStyle w:val="Citation-AltC"/>
        <w:ind w:left="1170"/>
        <w:rPr>
          <w:lang w:val="fr-CA"/>
        </w:rPr>
      </w:pPr>
      <w:r>
        <w:rPr>
          <w:lang w:val="fr-CA"/>
        </w:rPr>
        <w:lastRenderedPageBreak/>
        <w:t xml:space="preserve">(2) Sans que </w:t>
      </w:r>
      <w:r w:rsidRPr="00220B61">
        <w:rPr>
          <w:lang w:val="fr-CA"/>
        </w:rPr>
        <w:t>soit</w:t>
      </w:r>
      <w:r>
        <w:rPr>
          <w:lang w:val="fr-CA"/>
        </w:rPr>
        <w:t xml:space="preserve"> limitée la portée du paragraphe (1), la présente partie vise ce qui suit :</w:t>
      </w:r>
    </w:p>
    <w:p w:rsidR="00E70F7D" w:rsidRDefault="006B0605" w:rsidP="00E70F7D">
      <w:pPr>
        <w:pStyle w:val="Citation-AltC"/>
        <w:spacing w:before="240" w:after="240"/>
        <w:ind w:left="0"/>
        <w:jc w:val="center"/>
        <w:rPr>
          <w:lang w:val="fr-CA"/>
        </w:rPr>
      </w:pPr>
      <w:r>
        <w:rPr>
          <w:lang w:val="fr-CA"/>
        </w:rPr>
        <w:t>. . .</w:t>
      </w:r>
    </w:p>
    <w:p w:rsidR="006B0605" w:rsidRDefault="006B0605" w:rsidP="00E70F7D">
      <w:pPr>
        <w:pStyle w:val="Citation-AltC"/>
        <w:spacing w:before="240" w:after="240"/>
        <w:ind w:left="0"/>
        <w:jc w:val="center"/>
        <w:rPr>
          <w:lang w:val="fr-CA"/>
        </w:rPr>
      </w:pPr>
    </w:p>
    <w:p w:rsidR="00E70F7D" w:rsidRDefault="00E70F7D" w:rsidP="00CC5300">
      <w:pPr>
        <w:pStyle w:val="Citation-AltC"/>
        <w:ind w:left="1530"/>
        <w:rPr>
          <w:lang w:val="fr-CA"/>
        </w:rPr>
      </w:pPr>
      <w:r>
        <w:rPr>
          <w:lang w:val="fr-CA"/>
        </w:rPr>
        <w:t xml:space="preserve">e) faire en sorte qu’employeurs, travailleurs et autres personnes susceptibles </w:t>
      </w:r>
      <w:r w:rsidRPr="00220B61">
        <w:rPr>
          <w:lang w:val="fr-CA"/>
        </w:rPr>
        <w:t>d’influer</w:t>
      </w:r>
      <w:r>
        <w:rPr>
          <w:lang w:val="fr-CA"/>
        </w:rPr>
        <w:t xml:space="preserve"> sur la santé et la sécurité des travailleurs partagent cette obligation dans la mesure où ils ont le pouv</w:t>
      </w:r>
      <w:r w:rsidR="00FB6451">
        <w:rPr>
          <w:lang w:val="fr-CA"/>
        </w:rPr>
        <w:t xml:space="preserve">oir et la capacité de le faire . . . </w:t>
      </w:r>
    </w:p>
    <w:p w:rsidR="00E70F7D" w:rsidRDefault="00E70F7D" w:rsidP="00E70F7D">
      <w:pPr>
        <w:pStyle w:val="ParaNoNdepar-AltN"/>
        <w:numPr>
          <w:ilvl w:val="0"/>
          <w:numId w:val="2"/>
        </w:numPr>
        <w:rPr>
          <w:rFonts w:cs="Times New Roman"/>
          <w:lang w:val="fr-CA"/>
        </w:rPr>
      </w:pPr>
      <w:r>
        <w:rPr>
          <w:rFonts w:cs="Times New Roman"/>
          <w:lang w:val="fr-CA"/>
        </w:rPr>
        <w:t xml:space="preserve">Suivant l’interprétation que préconise la juge Côté, les dispositions réglementaires ne s’appliqueraient en fait au propriétaire que pour les seules obligations énoncées à l’art. 119 de la Loi. Ainsi, tout règlement que l’on ne pourrait expressément relier au texte précis de l’art. 119 serait inadmissible. Or, cette interprétation contredit le libellé même de l’art. 119, lequel ne se </w:t>
      </w:r>
      <w:proofErr w:type="gramStart"/>
      <w:r>
        <w:rPr>
          <w:rFonts w:cs="Times New Roman"/>
          <w:lang w:val="fr-CA"/>
        </w:rPr>
        <w:t>veut</w:t>
      </w:r>
      <w:proofErr w:type="gramEnd"/>
      <w:r>
        <w:rPr>
          <w:rFonts w:cs="Times New Roman"/>
          <w:lang w:val="fr-CA"/>
        </w:rPr>
        <w:t xml:space="preserve"> pas une énumération complète et exhaustive des obl</w:t>
      </w:r>
      <w:r w:rsidR="00F9220D">
        <w:rPr>
          <w:rFonts w:cs="Times New Roman"/>
          <w:lang w:val="fr-CA"/>
        </w:rPr>
        <w:t>igations du propriétaire. L’article</w:t>
      </w:r>
      <w:r>
        <w:rPr>
          <w:rFonts w:cs="Times New Roman"/>
          <w:lang w:val="fr-CA"/>
        </w:rPr>
        <w:t> 119 ne dit pas « les obligations du propriétaire sont les suivantes », et encore moins que ce sont les seules obli</w:t>
      </w:r>
      <w:r w:rsidR="00F9220D">
        <w:rPr>
          <w:rFonts w:cs="Times New Roman"/>
          <w:lang w:val="fr-CA"/>
        </w:rPr>
        <w:t>gations du propriétaire. Le paragraphe</w:t>
      </w:r>
      <w:r>
        <w:rPr>
          <w:rFonts w:cs="Times New Roman"/>
          <w:lang w:val="fr-CA"/>
        </w:rPr>
        <w:t> 26.2(1) du Règlement impose certes des obligations qui ne figurent pas aux al. 119a) et b) de la Loi, lesquels portent sur l’entretien du bien</w:t>
      </w:r>
      <w:r>
        <w:rPr>
          <w:rFonts w:cs="Times New Roman"/>
          <w:lang w:val="fr-CA"/>
        </w:rPr>
        <w:noBreakHyphen/>
        <w:t>fonds et des locaux et la communication d’éléments d’information à l’emplo</w:t>
      </w:r>
      <w:r w:rsidR="00F9220D">
        <w:rPr>
          <w:rFonts w:cs="Times New Roman"/>
          <w:lang w:val="fr-CA"/>
        </w:rPr>
        <w:t>yeur et à l’entrepreneur. L’article</w:t>
      </w:r>
      <w:r>
        <w:rPr>
          <w:rFonts w:cs="Times New Roman"/>
          <w:lang w:val="fr-CA"/>
        </w:rPr>
        <w:t> 119 de la Loi ne dispose cependant pas que les obligations du propriétaire se limitent à celles qui sont énoncées aux al. 119a) et b). Au contraire, l’al. 119c) fait au propriétaire l’obligation générale non seulement de [</w:t>
      </w:r>
      <w:r>
        <w:rPr>
          <w:rFonts w:cs="Times New Roman"/>
          <w:smallCaps/>
          <w:lang w:val="fr-CA"/>
        </w:rPr>
        <w:t>traduction</w:t>
      </w:r>
      <w:r>
        <w:rPr>
          <w:rFonts w:cs="Times New Roman"/>
          <w:lang w:val="fr-CA"/>
        </w:rPr>
        <w:t>] « se conformer à la présente partie », mais aussi de [</w:t>
      </w:r>
      <w:r>
        <w:rPr>
          <w:rFonts w:cs="Times New Roman"/>
          <w:smallCaps/>
          <w:lang w:val="fr-CA"/>
        </w:rPr>
        <w:t>traduction</w:t>
      </w:r>
      <w:r>
        <w:rPr>
          <w:rFonts w:cs="Times New Roman"/>
          <w:lang w:val="fr-CA"/>
        </w:rPr>
        <w:t>] « [se conformer] aux règlements [. . .] applicables ». Le législateur indique donc que d’autres obligations peuvent être prévues par règlement. Le texte de l’art. 119 appelle directement à considérer les obligations du propriétaire à la lumière de ce que commande le régime dans sa globalité.</w:t>
      </w:r>
    </w:p>
    <w:p w:rsidR="00E70F7D" w:rsidRDefault="00E70F7D" w:rsidP="00E70F7D">
      <w:pPr>
        <w:pStyle w:val="ParaNoNdepar-AltN"/>
        <w:numPr>
          <w:ilvl w:val="0"/>
          <w:numId w:val="2"/>
        </w:numPr>
        <w:rPr>
          <w:rFonts w:cs="Times New Roman"/>
          <w:lang w:val="fr-CA"/>
        </w:rPr>
      </w:pPr>
      <w:r>
        <w:rPr>
          <w:rFonts w:cs="Times New Roman"/>
          <w:lang w:val="fr-CA"/>
        </w:rPr>
        <w:lastRenderedPageBreak/>
        <w:t xml:space="preserve">De même, le par. 107(2) précise simplement certains aspects de l’objectif général </w:t>
      </w:r>
      <w:r w:rsidR="004E4CDE">
        <w:rPr>
          <w:rFonts w:cs="Times New Roman"/>
          <w:lang w:val="fr-CA"/>
        </w:rPr>
        <w:t>consistant à</w:t>
      </w:r>
      <w:r>
        <w:rPr>
          <w:rFonts w:cs="Times New Roman"/>
          <w:lang w:val="fr-CA"/>
        </w:rPr>
        <w:t xml:space="preserve"> favoriser la sécurité au travail. Il dit expressément que ces précisions, dont celle figurant à l’al. 107(2)e), ne sont pas censées limiter la portée de l’objectif général </w:t>
      </w:r>
      <w:r w:rsidR="004E4CDE">
        <w:rPr>
          <w:rFonts w:cs="Times New Roman"/>
          <w:lang w:val="fr-CA"/>
        </w:rPr>
        <w:t>consistant à</w:t>
      </w:r>
      <w:r>
        <w:rPr>
          <w:rFonts w:cs="Times New Roman"/>
          <w:lang w:val="fr-CA"/>
        </w:rPr>
        <w:t xml:space="preserve"> favoriser la sécurité au travai</w:t>
      </w:r>
      <w:r w:rsidR="00412760">
        <w:rPr>
          <w:rFonts w:cs="Times New Roman"/>
          <w:lang w:val="fr-CA"/>
        </w:rPr>
        <w:t>l énoncé au par. 107(1). Le paragraphe</w:t>
      </w:r>
      <w:r>
        <w:rPr>
          <w:rFonts w:cs="Times New Roman"/>
          <w:lang w:val="fr-CA"/>
        </w:rPr>
        <w:t> 107(1) dit clairement que le régime vise à favoriser la sécurité au travail au sens le plus large. De plus, l’al. 107(2)e) prévoit expressément qu’« employeurs, travailleurs et autres personnes susceptibles d’influer sur [. . .] la sécurité des travailleurs » partagent cette obligation. De même, l’al. 107(2)f) invite ces personnes à [</w:t>
      </w:r>
      <w:r>
        <w:rPr>
          <w:rFonts w:cs="Times New Roman"/>
          <w:smallCaps/>
          <w:lang w:val="fr-CA"/>
        </w:rPr>
        <w:t>traduction</w:t>
      </w:r>
      <w:r>
        <w:rPr>
          <w:rFonts w:cs="Times New Roman"/>
          <w:lang w:val="fr-CA"/>
        </w:rPr>
        <w:t xml:space="preserve">] « favoriser la coopération et la consultation » en matière de sécurité au travail. À mon sens, l’interprétation téléologique du régime est incompatible avec toute lecture formaliste de l’énoncé « dans la mesure où ils ont le pouvoir et la capacité de le faire » qui figure à l’al. 107(2)e) — jugé déterminant par ma collègue — qui ne tiendrait pas compte de l’importance que le régime accorde au partage de l’obligation. </w:t>
      </w:r>
    </w:p>
    <w:p w:rsidR="00E70F7D" w:rsidRDefault="00E70F7D" w:rsidP="00E70F7D">
      <w:pPr>
        <w:pStyle w:val="ParaNoNdepar-AltN"/>
        <w:numPr>
          <w:ilvl w:val="0"/>
          <w:numId w:val="2"/>
        </w:numPr>
        <w:rPr>
          <w:rFonts w:cs="Times New Roman"/>
          <w:lang w:val="fr-CA"/>
        </w:rPr>
      </w:pPr>
      <w:r>
        <w:rPr>
          <w:rFonts w:cs="Times New Roman"/>
          <w:lang w:val="fr-CA"/>
        </w:rPr>
        <w:t>Enfin, deux autres éléments contextuels externes doivent être pris en compte en l’espèce (</w:t>
      </w:r>
      <w:r>
        <w:rPr>
          <w:rFonts w:cs="Times New Roman"/>
          <w:i/>
          <w:lang w:val="fr-CA"/>
        </w:rPr>
        <w:t xml:space="preserve">Canada (Citoyenneté et Immigration) c. </w:t>
      </w:r>
      <w:proofErr w:type="spellStart"/>
      <w:r>
        <w:rPr>
          <w:rFonts w:cs="Times New Roman"/>
          <w:i/>
          <w:lang w:val="fr-CA"/>
        </w:rPr>
        <w:t>Khosa</w:t>
      </w:r>
      <w:proofErr w:type="spellEnd"/>
      <w:r>
        <w:rPr>
          <w:rFonts w:cs="Times New Roman"/>
          <w:lang w:val="fr-CA"/>
        </w:rPr>
        <w:t xml:space="preserve">, 2009 CSC 12, [2009] 1 R.C.S. 339, par. 59; </w:t>
      </w:r>
      <w:proofErr w:type="spellStart"/>
      <w:r>
        <w:rPr>
          <w:rFonts w:cs="Times New Roman"/>
          <w:i/>
          <w:lang w:val="fr-CA"/>
        </w:rPr>
        <w:t>Catalyst</w:t>
      </w:r>
      <w:proofErr w:type="spellEnd"/>
      <w:r>
        <w:rPr>
          <w:rFonts w:cs="Times New Roman"/>
          <w:lang w:val="fr-CA"/>
        </w:rPr>
        <w:t xml:space="preserve">, par. 18 et 24). Ces considérations de principe relèvent toutes deux de l’expertise et des compétences de la Commission. </w:t>
      </w:r>
    </w:p>
    <w:p w:rsidR="00E70F7D" w:rsidRDefault="00E70F7D" w:rsidP="00E70F7D">
      <w:pPr>
        <w:pStyle w:val="ParaNoNdepar-AltN"/>
        <w:numPr>
          <w:ilvl w:val="0"/>
          <w:numId w:val="2"/>
        </w:numPr>
        <w:rPr>
          <w:rFonts w:cs="Times New Roman"/>
          <w:lang w:val="fr-CA"/>
        </w:rPr>
      </w:pPr>
      <w:r>
        <w:rPr>
          <w:rFonts w:cs="Times New Roman"/>
          <w:lang w:val="fr-CA"/>
        </w:rPr>
        <w:t xml:space="preserve">D’abord, la Commission a adopté le par. 26.2(1) du Règlement dans sa version actuelle en 2008 par suite de l’inquiétude exprimée par le gouvernement provincial face à l’augmentation du nombre de décès au travail dans le secteur forestier, une inquiétude clairement liée à l’objet principal de l’art. 225, soit « la santé et [. . .] la </w:t>
      </w:r>
      <w:r>
        <w:rPr>
          <w:rFonts w:cs="Times New Roman"/>
          <w:lang w:val="fr-CA"/>
        </w:rPr>
        <w:lastRenderedPageBreak/>
        <w:t>sécurité au travail et [. . .] l’environnement de travail ». Cette mesure prise en réponse à cette préoccupation majeure en matière de sécurité au travail illustre bien la raison pour laquelle le législateur délègue un pouvoir de réglementation à un organisme spécialisé, c’est</w:t>
      </w:r>
      <w:r>
        <w:rPr>
          <w:rFonts w:cs="Times New Roman"/>
          <w:lang w:val="fr-CA"/>
        </w:rPr>
        <w:noBreakHyphen/>
        <w:t>à</w:t>
      </w:r>
      <w:r>
        <w:rPr>
          <w:rFonts w:cs="Times New Roman"/>
          <w:lang w:val="fr-CA"/>
        </w:rPr>
        <w:noBreakHyphen/>
        <w:t>dire afin que toute lacune puisse être comblée efficacement.</w:t>
      </w:r>
    </w:p>
    <w:p w:rsidR="00E70F7D" w:rsidRDefault="00E70F7D" w:rsidP="00E70F7D">
      <w:pPr>
        <w:pStyle w:val="ParaNoNdepar-AltN"/>
        <w:numPr>
          <w:ilvl w:val="0"/>
          <w:numId w:val="2"/>
        </w:numPr>
        <w:rPr>
          <w:rFonts w:cs="Times New Roman"/>
          <w:lang w:val="fr-CA"/>
        </w:rPr>
      </w:pPr>
      <w:r>
        <w:rPr>
          <w:rFonts w:cs="Times New Roman"/>
          <w:lang w:val="fr-CA"/>
        </w:rPr>
        <w:t xml:space="preserve">Ensuite, le par. 26.2(1) est le prolongement naturel de l’obligation que l’al. 119a) fait au propriétaire de veiller à l’entretien du lieu de travail. Dans le domaine de l’exploitation forestière, le lieu de travail change constamment en fonction des conditions météorologiques et d’autres phénomènes naturels. Pour entretenir le lieu de travail malgré l’interaction dynamique des forces de la nature et des pratiques de travail, le propriétaire doit faire en sorte que ses activités soient planifiées et exercées de façon sécuritaire. Pour s’acquitter de son obligation d’assurer la sécurité des lieux de travail conformément à l’art. 119 de la Loi, le propriétaire doit veiller à ce que les activités soient planifiées et exercées de façon sécuritaire. Les deux vont de pair. </w:t>
      </w:r>
    </w:p>
    <w:p w:rsidR="00E70F7D" w:rsidRDefault="00E70F7D" w:rsidP="00E70F7D">
      <w:pPr>
        <w:pStyle w:val="ParaNoNdepar-AltN"/>
        <w:numPr>
          <w:ilvl w:val="0"/>
          <w:numId w:val="2"/>
        </w:numPr>
        <w:tabs>
          <w:tab w:val="clear" w:pos="1152"/>
          <w:tab w:val="left" w:pos="1166"/>
        </w:tabs>
        <w:rPr>
          <w:rFonts w:cs="Times New Roman"/>
          <w:i/>
          <w:lang w:val="fr-CA"/>
        </w:rPr>
      </w:pPr>
      <w:r>
        <w:rPr>
          <w:rFonts w:cs="Times New Roman"/>
          <w:lang w:val="fr-CA"/>
        </w:rPr>
        <w:t>Je conclus que l’adoption du par. 26.2(1) résulte d’un exercice raisonnable du pouvoir délégué que l’art. 225 de la Loi confère à la Commission de « prendre les règlements qu’elle juge nécessaires ou souhaitables relativement à la santé et à la sécurité au travail et à l’environnement de travail ».</w:t>
      </w:r>
    </w:p>
    <w:p w:rsidR="00E70F7D" w:rsidRDefault="00E70F7D" w:rsidP="00E70F7D">
      <w:pPr>
        <w:pStyle w:val="ParaNoNdepar-AltN"/>
        <w:numPr>
          <w:ilvl w:val="0"/>
          <w:numId w:val="2"/>
        </w:numPr>
        <w:tabs>
          <w:tab w:val="clear" w:pos="1152"/>
          <w:tab w:val="left" w:pos="1166"/>
        </w:tabs>
        <w:rPr>
          <w:rFonts w:cs="Times New Roman"/>
          <w:i/>
          <w:lang w:val="fr-CA"/>
        </w:rPr>
      </w:pPr>
      <w:r>
        <w:rPr>
          <w:rFonts w:cs="Times New Roman"/>
          <w:lang w:val="fr-CA"/>
        </w:rPr>
        <w:t xml:space="preserve">Dans </w:t>
      </w:r>
      <w:r>
        <w:rPr>
          <w:rFonts w:cs="Times New Roman"/>
          <w:i/>
          <w:lang w:val="fr-CA"/>
        </w:rPr>
        <w:t>Dunsmuir</w:t>
      </w:r>
      <w:r>
        <w:rPr>
          <w:rFonts w:cs="Times New Roman"/>
          <w:lang w:val="fr-CA"/>
        </w:rPr>
        <w:t xml:space="preserve">, la Cour invoque certes des décisions antérieures pour affirmer qu’une véritable question de compétence — la présente affaire en soulèverait une selon certains — fait l’objet d’un contrôle selon la norme de la décision correcte, mais elle signale qu’il importe de considérer la compétence avec rigueur. Dans la foulée </w:t>
      </w:r>
      <w:r>
        <w:rPr>
          <w:rFonts w:cs="Times New Roman"/>
          <w:lang w:val="fr-CA"/>
        </w:rPr>
        <w:lastRenderedPageBreak/>
        <w:t>de cet arrêt, elle a laissé entendre que pareil cas se présenterait rarement (</w:t>
      </w:r>
      <w:r>
        <w:rPr>
          <w:rFonts w:cs="Times New Roman"/>
          <w:i/>
          <w:lang w:val="fr-CA"/>
        </w:rPr>
        <w:t xml:space="preserve">Alberta (Information and </w:t>
      </w:r>
      <w:proofErr w:type="spellStart"/>
      <w:r>
        <w:rPr>
          <w:rFonts w:cs="Times New Roman"/>
          <w:i/>
          <w:lang w:val="fr-CA"/>
        </w:rPr>
        <w:t>Privacy</w:t>
      </w:r>
      <w:proofErr w:type="spellEnd"/>
      <w:r>
        <w:rPr>
          <w:rFonts w:cs="Times New Roman"/>
          <w:i/>
          <w:lang w:val="fr-CA"/>
        </w:rPr>
        <w:t xml:space="preserve"> Commissioner) c. Alberta </w:t>
      </w:r>
      <w:proofErr w:type="spellStart"/>
      <w:r>
        <w:rPr>
          <w:rFonts w:cs="Times New Roman"/>
          <w:i/>
          <w:lang w:val="fr-CA"/>
        </w:rPr>
        <w:t>Teachers</w:t>
      </w:r>
      <w:proofErr w:type="spellEnd"/>
      <w:r>
        <w:rPr>
          <w:rFonts w:cs="Times New Roman"/>
          <w:i/>
          <w:lang w:val="fr-CA"/>
        </w:rPr>
        <w:t>’ Association</w:t>
      </w:r>
      <w:r>
        <w:rPr>
          <w:rFonts w:cs="Times New Roman"/>
          <w:lang w:val="fr-CA"/>
        </w:rPr>
        <w:t xml:space="preserve">, 2011 CSC 61, [2011] 3 R.C.S. 654, par. 33). Le présent pourvoi n’exige pas que nous approfondissions le sujet. Lorsque la loi confère à un organisme un large pouvoir de décider des règlements qui sont nécessaires ou souhaitables pour la réalisation des objectifs législatifs, la question que la cour de révision doit trancher n’a pas trait à la compétence au sens traditionnel, mais au fait que le règlement en cause résulte ou non d’un exercice raisonnable du pouvoir délégué, eu égard à ces objectifs, comme nous l’expliquons dans les arrêts </w:t>
      </w:r>
      <w:proofErr w:type="spellStart"/>
      <w:r>
        <w:rPr>
          <w:rFonts w:cs="Times New Roman"/>
          <w:i/>
          <w:lang w:val="fr-CA"/>
        </w:rPr>
        <w:t>Catalyst</w:t>
      </w:r>
      <w:proofErr w:type="spellEnd"/>
      <w:r>
        <w:rPr>
          <w:rFonts w:cs="Times New Roman"/>
          <w:lang w:val="fr-CA"/>
        </w:rPr>
        <w:t xml:space="preserve"> et </w:t>
      </w:r>
      <w:r>
        <w:rPr>
          <w:rFonts w:cs="Times New Roman"/>
          <w:i/>
          <w:lang w:val="fr-CA"/>
        </w:rPr>
        <w:t>Green</w:t>
      </w:r>
      <w:r>
        <w:rPr>
          <w:rFonts w:cs="Times New Roman"/>
          <w:lang w:val="fr-CA"/>
        </w:rPr>
        <w:t xml:space="preserve">, deux arrêts récents postérieurs à </w:t>
      </w:r>
      <w:r>
        <w:rPr>
          <w:rFonts w:cs="Times New Roman"/>
          <w:i/>
          <w:lang w:val="fr-CA"/>
        </w:rPr>
        <w:t>Dunsmuir</w:t>
      </w:r>
      <w:r>
        <w:rPr>
          <w:rFonts w:cs="Times New Roman"/>
          <w:lang w:val="fr-CA"/>
        </w:rPr>
        <w:t xml:space="preserve"> dans lesquels la Cour conclut à l’unanimité que la norme de contrôle applicable dans ce cas est celle de la </w:t>
      </w:r>
      <w:proofErr w:type="spellStart"/>
      <w:r>
        <w:rPr>
          <w:rFonts w:cs="Times New Roman"/>
          <w:lang w:val="fr-CA"/>
        </w:rPr>
        <w:t>raisonnabilité</w:t>
      </w:r>
      <w:proofErr w:type="spellEnd"/>
      <w:r>
        <w:rPr>
          <w:rFonts w:cs="Times New Roman"/>
          <w:lang w:val="fr-CA"/>
        </w:rPr>
        <w:t xml:space="preserve">. Quoi qu’il en soit, l’application des règles d’interprétation législative mène à la conclusion que le par. 26.2(1) du Règlement ressortit clairement au large pouvoir que confère l’art. 225 de la Loi. C’est également le cas si l’on ne manifeste pas de déférence à l’endroit de la Commission et que l’on ne tient pas compte des considérations de principe externes invoquées à l’appui de sa décision. </w:t>
      </w:r>
    </w:p>
    <w:p w:rsidR="00E70F7D" w:rsidRDefault="00E70F7D" w:rsidP="00E70F7D">
      <w:pPr>
        <w:pStyle w:val="Title1LevelTitre1Niveau-AltL"/>
        <w:rPr>
          <w:rFonts w:cs="Times New Roman"/>
          <w:i/>
          <w:lang w:val="fr-CA"/>
        </w:rPr>
      </w:pPr>
      <w:r>
        <w:rPr>
          <w:rFonts w:cs="Times New Roman"/>
          <w:lang w:val="fr-CA"/>
        </w:rPr>
        <w:t>La sanction suivant le par</w:t>
      </w:r>
      <w:r w:rsidR="005137D3">
        <w:rPr>
          <w:rFonts w:cs="Times New Roman"/>
          <w:lang w:val="fr-CA"/>
        </w:rPr>
        <w:t>.</w:t>
      </w:r>
      <w:r>
        <w:rPr>
          <w:rFonts w:cs="Times New Roman"/>
          <w:lang w:val="fr-CA"/>
        </w:rPr>
        <w:t xml:space="preserve"> 196(1) de la Loi </w:t>
      </w:r>
    </w:p>
    <w:p w:rsidR="00E70F7D" w:rsidRDefault="00E70F7D" w:rsidP="00E70F7D">
      <w:pPr>
        <w:pStyle w:val="ParaNoNdepar-AltN"/>
        <w:numPr>
          <w:ilvl w:val="0"/>
          <w:numId w:val="2"/>
        </w:numPr>
        <w:tabs>
          <w:tab w:val="clear" w:pos="1152"/>
          <w:tab w:val="left" w:pos="1166"/>
        </w:tabs>
        <w:rPr>
          <w:rFonts w:cs="Times New Roman"/>
          <w:lang w:val="fr-CA"/>
        </w:rPr>
      </w:pPr>
      <w:r>
        <w:rPr>
          <w:rFonts w:cs="Times New Roman"/>
          <w:lang w:val="fr-CA"/>
        </w:rPr>
        <w:t xml:space="preserve">West Fraser Mills soutient qu’elle n’était pas un </w:t>
      </w:r>
      <w:r w:rsidR="00360B0E">
        <w:rPr>
          <w:rFonts w:cs="Times New Roman"/>
          <w:lang w:val="fr-CA"/>
        </w:rPr>
        <w:t>« </w:t>
      </w:r>
      <w:r>
        <w:rPr>
          <w:rFonts w:cs="Times New Roman"/>
          <w:lang w:val="fr-CA"/>
        </w:rPr>
        <w:t>employeur</w:t>
      </w:r>
      <w:r w:rsidR="00360B0E">
        <w:rPr>
          <w:rFonts w:cs="Times New Roman"/>
          <w:lang w:val="fr-CA"/>
        </w:rPr>
        <w:t> »</w:t>
      </w:r>
      <w:r>
        <w:rPr>
          <w:rFonts w:cs="Times New Roman"/>
          <w:lang w:val="fr-CA"/>
        </w:rPr>
        <w:t xml:space="preserve"> au moment des faits constitutifs de l’infraction, de sorte qu’elle ne peut se voir infliger une sanction sur le fondement du par. 196(1) de la Loi, dont voici le libellé :</w:t>
      </w:r>
    </w:p>
    <w:p w:rsidR="00E70F7D" w:rsidRDefault="00E70F7D" w:rsidP="00E70F7D">
      <w:pPr>
        <w:pStyle w:val="Citation-AltC"/>
        <w:ind w:hanging="1166"/>
        <w:rPr>
          <w:lang w:val="fr-CA"/>
        </w:rPr>
      </w:pPr>
      <w:r>
        <w:rPr>
          <w:lang w:val="fr-CA"/>
        </w:rPr>
        <w:tab/>
        <w:t>[</w:t>
      </w:r>
      <w:r>
        <w:rPr>
          <w:smallCaps/>
          <w:lang w:val="fr-CA"/>
        </w:rPr>
        <w:t>traduction</w:t>
      </w:r>
      <w:r>
        <w:rPr>
          <w:lang w:val="fr-CA"/>
        </w:rPr>
        <w:t xml:space="preserve">] </w:t>
      </w:r>
    </w:p>
    <w:p w:rsidR="005137D3" w:rsidRDefault="005137D3" w:rsidP="00E70F7D">
      <w:pPr>
        <w:pStyle w:val="Citation-AltC"/>
        <w:ind w:hanging="1166"/>
        <w:rPr>
          <w:lang w:val="fr-CA"/>
        </w:rPr>
      </w:pPr>
    </w:p>
    <w:p w:rsidR="00E70F7D" w:rsidRDefault="00E70F7D" w:rsidP="00474675">
      <w:pPr>
        <w:pStyle w:val="Citation-AltC"/>
        <w:tabs>
          <w:tab w:val="left" w:pos="1710"/>
        </w:tabs>
        <w:ind w:left="1710" w:hanging="540"/>
        <w:rPr>
          <w:lang w:val="fr-CA"/>
        </w:rPr>
      </w:pPr>
      <w:r>
        <w:rPr>
          <w:b/>
          <w:lang w:val="fr-CA"/>
        </w:rPr>
        <w:t>196</w:t>
      </w:r>
      <w:r w:rsidR="00474675">
        <w:rPr>
          <w:lang w:val="fr-CA"/>
        </w:rPr>
        <w:tab/>
        <w:t>(</w:t>
      </w:r>
      <w:r>
        <w:rPr>
          <w:lang w:val="fr-CA"/>
        </w:rPr>
        <w:t xml:space="preserve">1) En </w:t>
      </w:r>
      <w:r w:rsidRPr="00FC4DA6">
        <w:rPr>
          <w:lang w:val="fr-CA"/>
        </w:rPr>
        <w:t>vertu</w:t>
      </w:r>
      <w:r>
        <w:rPr>
          <w:lang w:val="fr-CA"/>
        </w:rPr>
        <w:t xml:space="preserve"> du présent article, la Commission peut infliger à un </w:t>
      </w:r>
      <w:r w:rsidRPr="00474675">
        <w:rPr>
          <w:lang w:val="fr-CA"/>
        </w:rPr>
        <w:t>employeur</w:t>
      </w:r>
      <w:r>
        <w:rPr>
          <w:lang w:val="fr-CA"/>
        </w:rPr>
        <w:t xml:space="preserve"> </w:t>
      </w:r>
      <w:r w:rsidRPr="00474675">
        <w:rPr>
          <w:lang w:val="fr-CA"/>
        </w:rPr>
        <w:t>une</w:t>
      </w:r>
      <w:r>
        <w:rPr>
          <w:lang w:val="fr-CA"/>
        </w:rPr>
        <w:t xml:space="preserve"> </w:t>
      </w:r>
      <w:r w:rsidRPr="005137D3">
        <w:rPr>
          <w:lang w:val="fr-CA"/>
        </w:rPr>
        <w:t>sanction</w:t>
      </w:r>
      <w:r>
        <w:rPr>
          <w:lang w:val="fr-CA"/>
        </w:rPr>
        <w:t xml:space="preserve"> administrative au moyen d’une ordonnance si elle est convaincue, selon la prépondérance des probabilités,</w:t>
      </w:r>
    </w:p>
    <w:p w:rsidR="00474675" w:rsidRDefault="00474675" w:rsidP="00474675">
      <w:pPr>
        <w:pStyle w:val="Citation-AltC"/>
        <w:ind w:left="1890" w:hanging="720"/>
        <w:rPr>
          <w:lang w:val="fr-CA"/>
        </w:rPr>
      </w:pPr>
    </w:p>
    <w:p w:rsidR="00E70F7D" w:rsidRDefault="00E70F7D" w:rsidP="00474675">
      <w:pPr>
        <w:pStyle w:val="Citation-AltC"/>
        <w:ind w:left="2160"/>
        <w:rPr>
          <w:lang w:val="fr-CA"/>
        </w:rPr>
      </w:pPr>
      <w:r>
        <w:rPr>
          <w:lang w:val="fr-CA"/>
        </w:rPr>
        <w:t xml:space="preserve">a) que l’employeur n’a pas pris des précautions suffisantes pour </w:t>
      </w:r>
      <w:r w:rsidRPr="00FC4DA6">
        <w:rPr>
          <w:lang w:val="fr-CA"/>
        </w:rPr>
        <w:t>prévenir</w:t>
      </w:r>
      <w:r>
        <w:rPr>
          <w:lang w:val="fr-CA"/>
        </w:rPr>
        <w:t xml:space="preserve"> les lésions ou les maladies professionnelles,</w:t>
      </w:r>
    </w:p>
    <w:p w:rsidR="00474675" w:rsidRDefault="00474675" w:rsidP="00E70F7D">
      <w:pPr>
        <w:pStyle w:val="Citation-AltC"/>
        <w:spacing w:after="240"/>
        <w:ind w:left="2160" w:hanging="2160"/>
        <w:rPr>
          <w:lang w:val="fr-CA"/>
        </w:rPr>
      </w:pPr>
    </w:p>
    <w:p w:rsidR="00E70F7D" w:rsidRDefault="00E70F7D" w:rsidP="00474675">
      <w:pPr>
        <w:pStyle w:val="Citation-AltC"/>
        <w:ind w:left="2160"/>
        <w:rPr>
          <w:lang w:val="fr-CA"/>
        </w:rPr>
      </w:pPr>
      <w:r>
        <w:rPr>
          <w:lang w:val="fr-CA"/>
        </w:rPr>
        <w:t xml:space="preserve">b) que </w:t>
      </w:r>
      <w:r w:rsidRPr="00474675">
        <w:rPr>
          <w:lang w:val="fr-CA"/>
        </w:rPr>
        <w:t>l’employeur</w:t>
      </w:r>
      <w:r>
        <w:rPr>
          <w:lang w:val="fr-CA"/>
        </w:rPr>
        <w:t xml:space="preserve"> ne s’est pas conformé à la présente partie, au Règlement ou à une ordonnance applicable, </w:t>
      </w:r>
    </w:p>
    <w:p w:rsidR="00474675" w:rsidRDefault="00474675" w:rsidP="00E70F7D">
      <w:pPr>
        <w:pStyle w:val="Citation-AltC"/>
        <w:spacing w:after="240"/>
        <w:ind w:left="2160" w:hanging="2160"/>
        <w:rPr>
          <w:lang w:val="fr-CA"/>
        </w:rPr>
      </w:pPr>
    </w:p>
    <w:p w:rsidR="00E70F7D" w:rsidRDefault="00E70F7D" w:rsidP="00474675">
      <w:pPr>
        <w:pStyle w:val="Citation-AltC"/>
        <w:ind w:left="2160"/>
        <w:rPr>
          <w:lang w:val="fr-CA"/>
        </w:rPr>
      </w:pPr>
      <w:r>
        <w:rPr>
          <w:lang w:val="fr-CA"/>
        </w:rPr>
        <w:t xml:space="preserve">c) </w:t>
      </w:r>
      <w:r w:rsidRPr="00FC4DA6">
        <w:rPr>
          <w:lang w:val="fr-CA"/>
        </w:rPr>
        <w:t>que</w:t>
      </w:r>
      <w:r>
        <w:rPr>
          <w:lang w:val="fr-CA"/>
        </w:rPr>
        <w:t xml:space="preserve"> le lieu de travail de l’employeur ou les conditions de travail ne sont pas sécuritaires.</w:t>
      </w:r>
    </w:p>
    <w:p w:rsidR="00E70F7D" w:rsidRDefault="00E70F7D" w:rsidP="00E70F7D">
      <w:pPr>
        <w:pStyle w:val="ParaNoNdepar-AltN"/>
        <w:numPr>
          <w:ilvl w:val="0"/>
          <w:numId w:val="2"/>
        </w:numPr>
        <w:tabs>
          <w:tab w:val="clear" w:pos="1152"/>
          <w:tab w:val="left" w:pos="1166"/>
        </w:tabs>
        <w:rPr>
          <w:rFonts w:cs="Times New Roman"/>
          <w:lang w:val="fr-CA"/>
        </w:rPr>
      </w:pPr>
      <w:r>
        <w:rPr>
          <w:rFonts w:cs="Times New Roman"/>
          <w:lang w:val="fr-CA"/>
        </w:rPr>
        <w:t>Le Tribunal a rejeté la thèse de West Fraser Mills et confirmé la décision de la Commission.</w:t>
      </w:r>
    </w:p>
    <w:p w:rsidR="00E70F7D" w:rsidRDefault="00E70F7D" w:rsidP="00E70F7D">
      <w:pPr>
        <w:pStyle w:val="Title2LevelTitre2Niveau"/>
        <w:rPr>
          <w:rFonts w:cs="Times New Roman"/>
          <w:lang w:val="fr-CA"/>
        </w:rPr>
      </w:pPr>
      <w:r>
        <w:rPr>
          <w:rFonts w:cs="Times New Roman"/>
          <w:lang w:val="fr-CA"/>
        </w:rPr>
        <w:t>Norme de contrôle</w:t>
      </w:r>
    </w:p>
    <w:p w:rsidR="00E70F7D" w:rsidRDefault="00E70F7D" w:rsidP="00E70F7D">
      <w:pPr>
        <w:pStyle w:val="ParaNoNdepar-AltN"/>
        <w:numPr>
          <w:ilvl w:val="0"/>
          <w:numId w:val="2"/>
        </w:numPr>
        <w:tabs>
          <w:tab w:val="clear" w:pos="1152"/>
          <w:tab w:val="left" w:pos="1166"/>
        </w:tabs>
        <w:rPr>
          <w:rFonts w:cs="Times New Roman"/>
          <w:lang w:val="fr-CA"/>
        </w:rPr>
      </w:pPr>
      <w:r>
        <w:rPr>
          <w:rFonts w:cs="Times New Roman"/>
          <w:lang w:val="fr-CA"/>
        </w:rPr>
        <w:t>L’</w:t>
      </w:r>
      <w:r>
        <w:rPr>
          <w:rFonts w:cs="Times New Roman"/>
          <w:i/>
          <w:lang w:val="fr-CA"/>
        </w:rPr>
        <w:t xml:space="preserve">Administrative </w:t>
      </w:r>
      <w:proofErr w:type="spellStart"/>
      <w:r>
        <w:rPr>
          <w:rFonts w:cs="Times New Roman"/>
          <w:i/>
          <w:lang w:val="fr-CA"/>
        </w:rPr>
        <w:t>Tribunals</w:t>
      </w:r>
      <w:proofErr w:type="spellEnd"/>
      <w:r>
        <w:rPr>
          <w:rFonts w:cs="Times New Roman"/>
          <w:i/>
          <w:lang w:val="fr-CA"/>
        </w:rPr>
        <w:t xml:space="preserve"> Act</w:t>
      </w:r>
      <w:r>
        <w:rPr>
          <w:rFonts w:cs="Times New Roman"/>
          <w:lang w:val="fr-CA"/>
        </w:rPr>
        <w:t>,</w:t>
      </w:r>
      <w:r>
        <w:rPr>
          <w:rFonts w:cs="Times New Roman"/>
          <w:i/>
          <w:lang w:val="fr-CA"/>
        </w:rPr>
        <w:t xml:space="preserve"> </w:t>
      </w:r>
      <w:r>
        <w:rPr>
          <w:rFonts w:cs="Times New Roman"/>
          <w:lang w:val="fr-CA"/>
        </w:rPr>
        <w:t>S.B.C. 2004, c. 45,</w:t>
      </w:r>
      <w:r>
        <w:rPr>
          <w:rFonts w:cs="Times New Roman"/>
          <w:i/>
          <w:lang w:val="fr-CA"/>
        </w:rPr>
        <w:t xml:space="preserve"> </w:t>
      </w:r>
      <w:r>
        <w:rPr>
          <w:rFonts w:cs="Times New Roman"/>
          <w:lang w:val="fr-CA"/>
        </w:rPr>
        <w:t>s’applique aux décisions du Tribunal en l’espèce. Son article 58 dispose :</w:t>
      </w:r>
    </w:p>
    <w:p w:rsidR="00E70F7D" w:rsidRDefault="00E70F7D" w:rsidP="00474675">
      <w:pPr>
        <w:pStyle w:val="Citation-AltC"/>
        <w:spacing w:after="0"/>
        <w:ind w:hanging="1166"/>
        <w:rPr>
          <w:lang w:val="fr-CA"/>
        </w:rPr>
      </w:pPr>
      <w:r>
        <w:rPr>
          <w:lang w:val="fr-CA"/>
        </w:rPr>
        <w:tab/>
        <w:t>[</w:t>
      </w:r>
      <w:r>
        <w:rPr>
          <w:smallCaps/>
          <w:lang w:val="fr-CA"/>
        </w:rPr>
        <w:t>traduction</w:t>
      </w:r>
      <w:r>
        <w:rPr>
          <w:lang w:val="fr-CA"/>
        </w:rPr>
        <w:t>]</w:t>
      </w:r>
    </w:p>
    <w:p w:rsidR="00474675" w:rsidRPr="00474675" w:rsidRDefault="00474675" w:rsidP="00474675">
      <w:pPr>
        <w:pStyle w:val="Citation-AltC"/>
        <w:spacing w:after="0"/>
        <w:ind w:hanging="1166"/>
        <w:rPr>
          <w:smallCaps/>
          <w:lang w:val="fr-CA"/>
        </w:rPr>
      </w:pPr>
    </w:p>
    <w:p w:rsidR="00E70F7D" w:rsidRDefault="00E70F7D" w:rsidP="00474675">
      <w:pPr>
        <w:pStyle w:val="Citation-AltC"/>
        <w:ind w:left="1620" w:hanging="450"/>
        <w:rPr>
          <w:lang w:val="fr-CA"/>
        </w:rPr>
      </w:pPr>
      <w:r>
        <w:rPr>
          <w:b/>
          <w:lang w:val="fr-CA"/>
        </w:rPr>
        <w:t>58</w:t>
      </w:r>
      <w:r>
        <w:rPr>
          <w:lang w:val="fr-CA"/>
        </w:rPr>
        <w:tab/>
        <w:t xml:space="preserve">(1) Lorsque la Loi sous le régime de laquelle la demande est présentée contient ou incorpore une </w:t>
      </w:r>
      <w:r w:rsidR="00D50B07">
        <w:rPr>
          <w:lang w:val="fr-CA"/>
        </w:rPr>
        <w:t>clause privative</w:t>
      </w:r>
      <w:r>
        <w:rPr>
          <w:lang w:val="fr-CA"/>
        </w:rPr>
        <w:t>, le tribunal est considéré comme un tribunal spécialisé par une cour de justice pour toute matière dans laquelle il a compétence exclusive.</w:t>
      </w:r>
    </w:p>
    <w:p w:rsidR="00474675" w:rsidRDefault="00474675" w:rsidP="00474675">
      <w:pPr>
        <w:pStyle w:val="Citation-AltC"/>
        <w:ind w:left="1620" w:hanging="450"/>
        <w:rPr>
          <w:lang w:val="fr-CA"/>
        </w:rPr>
      </w:pPr>
    </w:p>
    <w:p w:rsidR="00E70F7D" w:rsidRDefault="00E70F7D" w:rsidP="007B20DD">
      <w:pPr>
        <w:pStyle w:val="Citation-AltC"/>
        <w:ind w:left="1620"/>
        <w:rPr>
          <w:lang w:val="fr-CA"/>
        </w:rPr>
      </w:pPr>
      <w:r>
        <w:rPr>
          <w:lang w:val="fr-CA"/>
        </w:rPr>
        <w:t xml:space="preserve">(2) Dans le cadre d’un contrôle judiciaire visant un tribunal spécialisé au sens du </w:t>
      </w:r>
      <w:r w:rsidRPr="007B20DD">
        <w:rPr>
          <w:lang w:val="fr-CA"/>
        </w:rPr>
        <w:t>paragraphe</w:t>
      </w:r>
      <w:r>
        <w:rPr>
          <w:lang w:val="fr-CA"/>
        </w:rPr>
        <w:t xml:space="preserve"> (1),</w:t>
      </w:r>
    </w:p>
    <w:p w:rsidR="007B20DD" w:rsidRDefault="007B20DD" w:rsidP="00E70F7D">
      <w:pPr>
        <w:pStyle w:val="Citation-AltC"/>
        <w:spacing w:after="240"/>
        <w:ind w:hanging="1166"/>
        <w:rPr>
          <w:lang w:val="fr-CA"/>
        </w:rPr>
      </w:pPr>
    </w:p>
    <w:p w:rsidR="00E70F7D" w:rsidRDefault="00E70F7D" w:rsidP="007B20DD">
      <w:pPr>
        <w:pStyle w:val="Citation-AltC"/>
        <w:ind w:left="1980"/>
        <w:rPr>
          <w:lang w:val="fr-CA"/>
        </w:rPr>
      </w:pPr>
      <w:r>
        <w:rPr>
          <w:lang w:val="fr-CA"/>
        </w:rPr>
        <w:t>a) une conclusion de fait ou de droit ou une mesure discrétionnaire du tribunal dans une matière qui relève de sa compétence exclusive par application d’une disposition d’</w:t>
      </w:r>
      <w:proofErr w:type="spellStart"/>
      <w:r>
        <w:rPr>
          <w:lang w:val="fr-CA"/>
        </w:rPr>
        <w:t>inattaquabilité</w:t>
      </w:r>
      <w:proofErr w:type="spellEnd"/>
      <w:r>
        <w:rPr>
          <w:lang w:val="fr-CA"/>
        </w:rPr>
        <w:t xml:space="preserve"> ne peut être modifiée que si elle est manifestement déraisonnable;</w:t>
      </w:r>
    </w:p>
    <w:p w:rsidR="007B20DD" w:rsidRDefault="007B20DD" w:rsidP="00E70F7D">
      <w:pPr>
        <w:pStyle w:val="Citation-AltC"/>
        <w:spacing w:after="240"/>
        <w:ind w:left="2160" w:hanging="2160"/>
        <w:rPr>
          <w:lang w:val="fr-CA"/>
        </w:rPr>
      </w:pPr>
    </w:p>
    <w:p w:rsidR="00E70F7D" w:rsidRDefault="00E70F7D" w:rsidP="007B20DD">
      <w:pPr>
        <w:pStyle w:val="Citation-AltC"/>
        <w:ind w:left="1980"/>
        <w:rPr>
          <w:lang w:val="fr-CA"/>
        </w:rPr>
      </w:pPr>
      <w:r>
        <w:rPr>
          <w:lang w:val="fr-CA"/>
        </w:rPr>
        <w:lastRenderedPageBreak/>
        <w:t xml:space="preserve">b) toute question touchant à l’application des règles de justice naturelle et </w:t>
      </w:r>
      <w:r w:rsidRPr="007B20DD">
        <w:rPr>
          <w:lang w:val="fr-CA"/>
        </w:rPr>
        <w:t>d’équité</w:t>
      </w:r>
      <w:r>
        <w:rPr>
          <w:lang w:val="fr-CA"/>
        </w:rPr>
        <w:t xml:space="preserve"> procédurale en </w:t>
      </w:r>
      <w:proofErr w:type="spellStart"/>
      <w:r>
        <w:rPr>
          <w:lang w:val="fr-CA"/>
        </w:rPr>
        <w:t>common</w:t>
      </w:r>
      <w:proofErr w:type="spellEnd"/>
      <w:r>
        <w:rPr>
          <w:lang w:val="fr-CA"/>
        </w:rPr>
        <w:t xml:space="preserve"> </w:t>
      </w:r>
      <w:proofErr w:type="spellStart"/>
      <w:r>
        <w:rPr>
          <w:lang w:val="fr-CA"/>
        </w:rPr>
        <w:t>law</w:t>
      </w:r>
      <w:proofErr w:type="spellEnd"/>
      <w:r>
        <w:rPr>
          <w:lang w:val="fr-CA"/>
        </w:rPr>
        <w:t xml:space="preserve"> est tranchée en fonction du caractère équitable ou non des actes du tribunal au vu de l’ensemble des circonstances;</w:t>
      </w:r>
    </w:p>
    <w:p w:rsidR="007B20DD" w:rsidRDefault="007B20DD" w:rsidP="00E70F7D">
      <w:pPr>
        <w:pStyle w:val="Citation-AltC"/>
        <w:spacing w:after="240"/>
        <w:ind w:left="2160" w:hanging="2160"/>
        <w:rPr>
          <w:lang w:val="fr-CA"/>
        </w:rPr>
      </w:pPr>
    </w:p>
    <w:p w:rsidR="00E70F7D" w:rsidRDefault="00E70F7D" w:rsidP="007B20DD">
      <w:pPr>
        <w:pStyle w:val="Citation-AltC"/>
        <w:ind w:left="1980"/>
        <w:rPr>
          <w:lang w:val="fr-CA"/>
        </w:rPr>
      </w:pPr>
      <w:r>
        <w:rPr>
          <w:lang w:val="fr-CA"/>
        </w:rPr>
        <w:t>c) la norme de contrôle applicable à la décision du tribunal sur toute autre question que celles précisées aux paragraphes a) et b) est celle de la décision correcte.</w:t>
      </w:r>
    </w:p>
    <w:p w:rsidR="00E70F7D" w:rsidRDefault="00E70F7D" w:rsidP="00E70F7D">
      <w:pPr>
        <w:pStyle w:val="ParaNoNdepar-AltN"/>
        <w:numPr>
          <w:ilvl w:val="0"/>
          <w:numId w:val="2"/>
        </w:numPr>
        <w:tabs>
          <w:tab w:val="clear" w:pos="1152"/>
          <w:tab w:val="left" w:pos="1166"/>
        </w:tabs>
        <w:rPr>
          <w:rFonts w:cs="Times New Roman"/>
          <w:lang w:val="fr-CA"/>
        </w:rPr>
      </w:pPr>
      <w:r>
        <w:rPr>
          <w:rFonts w:cs="Times New Roman"/>
          <w:lang w:val="fr-CA"/>
        </w:rPr>
        <w:t>L’article 254 de la Loi confère au Tribunal une compétence exclusive pour statuer sur [</w:t>
      </w:r>
      <w:r>
        <w:rPr>
          <w:rFonts w:cs="Times New Roman"/>
          <w:smallCaps/>
          <w:lang w:val="fr-CA"/>
        </w:rPr>
        <w:t>traduction</w:t>
      </w:r>
      <w:r>
        <w:rPr>
          <w:rFonts w:cs="Times New Roman"/>
          <w:lang w:val="fr-CA"/>
        </w:rPr>
        <w:t xml:space="preserve">] « tout appel d’une décision de la Commission ». Les articles 254 et 255 de la Loi établissent une </w:t>
      </w:r>
      <w:r w:rsidR="004E5FD7">
        <w:rPr>
          <w:rFonts w:cs="Times New Roman"/>
          <w:lang w:val="fr-CA"/>
        </w:rPr>
        <w:t>clause privative (parfois appelée « </w:t>
      </w:r>
      <w:r>
        <w:rPr>
          <w:rFonts w:cs="Times New Roman"/>
          <w:lang w:val="fr-CA"/>
        </w:rPr>
        <w:t>disposition d’</w:t>
      </w:r>
      <w:proofErr w:type="spellStart"/>
      <w:r>
        <w:rPr>
          <w:rFonts w:cs="Times New Roman"/>
          <w:lang w:val="fr-CA"/>
        </w:rPr>
        <w:t>inattaquabilité</w:t>
      </w:r>
      <w:proofErr w:type="spellEnd"/>
      <w:r w:rsidR="004E5FD7">
        <w:rPr>
          <w:rFonts w:cs="Times New Roman"/>
          <w:lang w:val="fr-CA"/>
        </w:rPr>
        <w:t> »</w:t>
      </w:r>
      <w:r>
        <w:rPr>
          <w:rFonts w:cs="Times New Roman"/>
          <w:lang w:val="fr-CA"/>
        </w:rPr>
        <w:t xml:space="preserve"> stricte</w:t>
      </w:r>
      <w:r w:rsidR="004E5FD7">
        <w:rPr>
          <w:rFonts w:cs="Times New Roman"/>
          <w:lang w:val="fr-CA"/>
        </w:rPr>
        <w:t>)</w:t>
      </w:r>
      <w:r>
        <w:rPr>
          <w:rFonts w:cs="Times New Roman"/>
          <w:lang w:val="fr-CA"/>
        </w:rPr>
        <w:t>, de sorte que la bonne norme de contrôle est celle de la « décision manifestement déraisonnable » suivant l’al. 58(2)a) de l’</w:t>
      </w:r>
      <w:r>
        <w:rPr>
          <w:rFonts w:cs="Times New Roman"/>
          <w:i/>
          <w:lang w:val="fr-CA"/>
        </w:rPr>
        <w:t xml:space="preserve">Administrative </w:t>
      </w:r>
      <w:proofErr w:type="spellStart"/>
      <w:r>
        <w:rPr>
          <w:rFonts w:cs="Times New Roman"/>
          <w:i/>
          <w:lang w:val="fr-CA"/>
        </w:rPr>
        <w:t>Tribunals</w:t>
      </w:r>
      <w:proofErr w:type="spellEnd"/>
      <w:r>
        <w:rPr>
          <w:rFonts w:cs="Times New Roman"/>
          <w:i/>
          <w:lang w:val="fr-CA"/>
        </w:rPr>
        <w:t xml:space="preserve"> Act.</w:t>
      </w:r>
    </w:p>
    <w:p w:rsidR="00E70F7D" w:rsidRDefault="00E70F7D" w:rsidP="00E70F7D">
      <w:pPr>
        <w:pStyle w:val="ParaNoNdepar-AltN"/>
        <w:numPr>
          <w:ilvl w:val="0"/>
          <w:numId w:val="2"/>
        </w:numPr>
        <w:tabs>
          <w:tab w:val="clear" w:pos="1152"/>
          <w:tab w:val="left" w:pos="1166"/>
        </w:tabs>
        <w:rPr>
          <w:rFonts w:cs="Times New Roman"/>
          <w:lang w:val="fr-CA"/>
        </w:rPr>
      </w:pPr>
      <w:r>
        <w:rPr>
          <w:rFonts w:cs="Times New Roman"/>
          <w:lang w:val="fr-CA"/>
        </w:rPr>
        <w:t>Une conclusion de droit comme celle issue de l’interprétation d’une loi est manifestement déraisonnable lorsqu’elle « </w:t>
      </w:r>
      <w:proofErr w:type="spellStart"/>
      <w:r>
        <w:rPr>
          <w:rFonts w:cs="Times New Roman"/>
          <w:lang w:val="fr-CA"/>
        </w:rPr>
        <w:t>frôl</w:t>
      </w:r>
      <w:proofErr w:type="spellEnd"/>
      <w:r>
        <w:rPr>
          <w:rFonts w:cs="Times New Roman"/>
          <w:lang w:val="fr-CA"/>
        </w:rPr>
        <w:t>[e] l’absurde » (</w:t>
      </w:r>
      <w:r>
        <w:rPr>
          <w:rFonts w:cs="Times New Roman"/>
          <w:i/>
          <w:lang w:val="fr-CA"/>
        </w:rPr>
        <w:t>Voice Construction Ltd. c. Construction &amp; General Workers’ Union, Local 92</w:t>
      </w:r>
      <w:r>
        <w:rPr>
          <w:rFonts w:cs="Times New Roman"/>
          <w:lang w:val="fr-CA"/>
        </w:rPr>
        <w:t>,</w:t>
      </w:r>
      <w:r>
        <w:rPr>
          <w:rFonts w:cs="Times New Roman"/>
          <w:i/>
          <w:lang w:val="fr-CA"/>
        </w:rPr>
        <w:t xml:space="preserve"> </w:t>
      </w:r>
      <w:r>
        <w:rPr>
          <w:rFonts w:cs="Times New Roman"/>
          <w:lang w:val="fr-CA"/>
        </w:rPr>
        <w:t>2004 CSC 23, [2004] 1 R.C.S. 609, par. 18). Dans le contexte de l’indemnisation des accidentés du travail en Colombie</w:t>
      </w:r>
      <w:r>
        <w:rPr>
          <w:rFonts w:cs="Times New Roman"/>
          <w:lang w:val="fr-CA"/>
        </w:rPr>
        <w:noBreakHyphen/>
        <w:t>Britannique, la décision manifestement déraisonnable est celle qui revêt un caractère déraisonnable</w:t>
      </w:r>
      <w:r w:rsidR="00664D64">
        <w:rPr>
          <w:rFonts w:cs="Times New Roman"/>
          <w:lang w:val="fr-CA"/>
        </w:rPr>
        <w:t xml:space="preserve"> [</w:t>
      </w:r>
      <w:r w:rsidR="00664D64" w:rsidRPr="00664D64">
        <w:rPr>
          <w:rFonts w:cs="Times New Roman"/>
          <w:smallCaps/>
          <w:lang w:val="fr-CA"/>
        </w:rPr>
        <w:t>traduction</w:t>
      </w:r>
      <w:r w:rsidR="00664D64">
        <w:rPr>
          <w:rFonts w:cs="Times New Roman"/>
          <w:lang w:val="fr-CA"/>
        </w:rPr>
        <w:t>]</w:t>
      </w:r>
      <w:r>
        <w:rPr>
          <w:rFonts w:cs="Times New Roman"/>
          <w:lang w:val="fr-CA"/>
        </w:rPr>
        <w:t xml:space="preserve"> « que l’on ne peut contester, qui est tout à fait </w:t>
      </w:r>
      <w:proofErr w:type="spellStart"/>
      <w:r>
        <w:rPr>
          <w:rFonts w:cs="Times New Roman"/>
          <w:lang w:val="fr-CA"/>
        </w:rPr>
        <w:t>éviden</w:t>
      </w:r>
      <w:proofErr w:type="spellEnd"/>
      <w:r>
        <w:rPr>
          <w:rFonts w:cs="Times New Roman"/>
          <w:lang w:val="fr-CA"/>
        </w:rPr>
        <w:t>[t] » (</w:t>
      </w:r>
      <w:proofErr w:type="spellStart"/>
      <w:r>
        <w:rPr>
          <w:rFonts w:cs="Times New Roman"/>
          <w:i/>
          <w:lang w:val="fr-CA"/>
        </w:rPr>
        <w:t>Speckling</w:t>
      </w:r>
      <w:proofErr w:type="spellEnd"/>
      <w:r>
        <w:rPr>
          <w:rFonts w:cs="Times New Roman"/>
          <w:i/>
          <w:lang w:val="fr-CA"/>
        </w:rPr>
        <w:t xml:space="preserve"> c. British Columbia (Workers’ Compensation Board)</w:t>
      </w:r>
      <w:r>
        <w:rPr>
          <w:rFonts w:cs="Times New Roman"/>
          <w:lang w:val="fr-CA"/>
        </w:rPr>
        <w:t>, 2005 BCCA 80, 46 B.C.L.R. (4</w:t>
      </w:r>
      <w:r w:rsidRPr="00AA21F1">
        <w:rPr>
          <w:rFonts w:cs="Times New Roman"/>
          <w:lang w:val="fr-CA"/>
        </w:rPr>
        <w:t>th</w:t>
      </w:r>
      <w:r>
        <w:rPr>
          <w:rFonts w:cs="Times New Roman"/>
          <w:lang w:val="fr-CA"/>
        </w:rPr>
        <w:t xml:space="preserve">) 77, par. 33; </w:t>
      </w:r>
      <w:r>
        <w:rPr>
          <w:rFonts w:cs="Times New Roman"/>
          <w:i/>
          <w:lang w:val="fr-CA"/>
        </w:rPr>
        <w:t xml:space="preserve">Vandale c. British Columbia (Workers’ Compensation Appeal Tribunal), </w:t>
      </w:r>
      <w:r>
        <w:rPr>
          <w:rFonts w:cs="Times New Roman"/>
          <w:lang w:val="fr-CA"/>
        </w:rPr>
        <w:t xml:space="preserve">2013 BCCA 391, 342 B.C.A.C. 112, par. 42 (soulignement omis)). </w:t>
      </w:r>
    </w:p>
    <w:p w:rsidR="00E70F7D" w:rsidRDefault="00E70F7D" w:rsidP="00E70F7D">
      <w:pPr>
        <w:pStyle w:val="ParaNoNdepar-AltN"/>
        <w:numPr>
          <w:ilvl w:val="0"/>
          <w:numId w:val="2"/>
        </w:numPr>
        <w:tabs>
          <w:tab w:val="clear" w:pos="1152"/>
          <w:tab w:val="left" w:pos="1166"/>
        </w:tabs>
        <w:rPr>
          <w:rFonts w:cs="Times New Roman"/>
          <w:lang w:val="fr-CA"/>
        </w:rPr>
      </w:pPr>
      <w:r>
        <w:rPr>
          <w:rFonts w:cs="Times New Roman"/>
          <w:lang w:val="fr-CA"/>
        </w:rPr>
        <w:lastRenderedPageBreak/>
        <w:t>En prescrivant la norme de la décision manifestement déraisonnable, le législateur indique que la cour de révision doit accorder la plus grande déférence à l’interprétation de la loi par le Tribunal ainsi qu’à sa décision.</w:t>
      </w:r>
    </w:p>
    <w:p w:rsidR="00E70F7D" w:rsidRDefault="00E70F7D" w:rsidP="00E70F7D">
      <w:pPr>
        <w:pStyle w:val="Title2LevelTitre2Niveau"/>
        <w:rPr>
          <w:rFonts w:cs="Times New Roman"/>
          <w:lang w:val="fr-CA"/>
        </w:rPr>
      </w:pPr>
      <w:r>
        <w:rPr>
          <w:rFonts w:cs="Times New Roman"/>
          <w:lang w:val="fr-CA"/>
        </w:rPr>
        <w:t>L’interprétation par le Tribunal du par</w:t>
      </w:r>
      <w:r w:rsidR="007B20DD">
        <w:rPr>
          <w:rFonts w:cs="Times New Roman"/>
          <w:lang w:val="fr-CA"/>
        </w:rPr>
        <w:t>.</w:t>
      </w:r>
      <w:r>
        <w:rPr>
          <w:rFonts w:cs="Times New Roman"/>
          <w:lang w:val="fr-CA"/>
        </w:rPr>
        <w:t xml:space="preserve"> 196(1) de la Loi </w:t>
      </w:r>
    </w:p>
    <w:p w:rsidR="00E70F7D" w:rsidRDefault="00E70F7D" w:rsidP="00E70F7D">
      <w:pPr>
        <w:pStyle w:val="ParaNoNdepar-AltN"/>
        <w:numPr>
          <w:ilvl w:val="0"/>
          <w:numId w:val="2"/>
        </w:numPr>
        <w:tabs>
          <w:tab w:val="clear" w:pos="1152"/>
          <w:tab w:val="left" w:pos="1166"/>
        </w:tabs>
        <w:rPr>
          <w:rFonts w:cs="Times New Roman"/>
          <w:lang w:val="fr-CA"/>
        </w:rPr>
      </w:pPr>
      <w:r>
        <w:rPr>
          <w:rFonts w:cs="Times New Roman"/>
          <w:lang w:val="fr-CA"/>
        </w:rPr>
        <w:t xml:space="preserve">La Commission inflige une sanction administrative à West Fraser Mills en vertu du par. 196(1) de la Loi, qui lui permet de sanctionner un « employeur ». West Fraser Mills soutient qu’elle n’était pas « employeur » lors du décès, mais seulement « propriétaire », de sorte qu’elle ne peut être sanctionnée par application du par. 196(1) de la Loi. Elle était employeur au sens de la Loi à d’autres endroits et avait de fait retenu les services d’une personne pour surveiller le lieu où s’est produit le décès. Cependant, elle soutient que, en l’espèce, les événements survenus lui ont fait commettre une infraction à titre de « propriétaire », si bien qu’elle ne saurait être sanctionnée en sus à titre d’« employeur ». </w:t>
      </w:r>
    </w:p>
    <w:p w:rsidR="00E70F7D" w:rsidRDefault="00E70F7D" w:rsidP="00E70F7D">
      <w:pPr>
        <w:pStyle w:val="ParaNoNdepar-AltN"/>
        <w:numPr>
          <w:ilvl w:val="0"/>
          <w:numId w:val="2"/>
        </w:numPr>
        <w:rPr>
          <w:rFonts w:cs="Times New Roman"/>
          <w:lang w:val="fr-CA"/>
        </w:rPr>
      </w:pPr>
      <w:r>
        <w:rPr>
          <w:rFonts w:cs="Times New Roman"/>
          <w:lang w:val="fr-CA"/>
        </w:rPr>
        <w:t xml:space="preserve">Le Tribunal conclut que le par. 196(1) de la Loi permet à la Commission d’infliger une sanction administrative à l’entité qui est un « employeur » au sens de la Loi même lorsque les actes reprochés pourraient également entraîner des conséquences pour l’entité en tant que propriétaire du lieu de travail. Là où s’est produit l’accident, West Fraser Mills était à la fois propriétaire et employeur au sens de la Loi. En tant que titulaire du permis d’exploitation forestière, elle possédait des connaissances et une maîtrise suffisantes à l’égard du lieu de travail pour assurer la santé et la sécurité des travailleurs aux différents emplacements. Elle n’était pas seulement tenue d’assurer la </w:t>
      </w:r>
      <w:r>
        <w:rPr>
          <w:rFonts w:cs="Times New Roman"/>
          <w:lang w:val="fr-CA"/>
        </w:rPr>
        <w:lastRenderedPageBreak/>
        <w:t xml:space="preserve">santé et la sécurité de ses propres employés. Le Tribunal statue qu’à titre d’employeur et de propriétaire, West Fraser Mills avait l’obligation d’assurer la santé et la sécurité de tous les travailleurs et de prendre des précautions suffisantes pour prévenir les accidents de travail. </w:t>
      </w:r>
    </w:p>
    <w:p w:rsidR="00E70F7D" w:rsidRDefault="00E70F7D" w:rsidP="00E70F7D">
      <w:pPr>
        <w:pStyle w:val="ParaNoNdepar-AltN"/>
        <w:numPr>
          <w:ilvl w:val="0"/>
          <w:numId w:val="2"/>
        </w:numPr>
        <w:rPr>
          <w:rFonts w:cs="Times New Roman"/>
          <w:lang w:val="fr-CA"/>
        </w:rPr>
      </w:pPr>
      <w:r>
        <w:rPr>
          <w:rFonts w:cs="Times New Roman"/>
          <w:lang w:val="fr-CA"/>
        </w:rPr>
        <w:t>La question est de savoir si l’interprétation du par. 196(1) selon laquelle une sanction pouvait être infligée à West Fraser Mills en tant qu’« employeur » était manifestement déraisonnable. Je conclus qu’on ne saurait dire que la décision atteint le seuil élevé correspondant à ce qui est manifestement déraisonnable, c’est</w:t>
      </w:r>
      <w:r>
        <w:rPr>
          <w:rFonts w:cs="Times New Roman"/>
          <w:lang w:val="fr-CA"/>
        </w:rPr>
        <w:noBreakHyphen/>
        <w:t>à</w:t>
      </w:r>
      <w:r>
        <w:rPr>
          <w:rFonts w:cs="Times New Roman"/>
          <w:lang w:val="fr-CA"/>
        </w:rPr>
        <w:noBreakHyphen/>
        <w:t xml:space="preserve">dire que la décision revêt un caractère déraisonnable « que l’on ne peut contester, qui est tout à fait </w:t>
      </w:r>
      <w:proofErr w:type="spellStart"/>
      <w:r>
        <w:rPr>
          <w:rFonts w:cs="Times New Roman"/>
          <w:lang w:val="fr-CA"/>
        </w:rPr>
        <w:t>éviden</w:t>
      </w:r>
      <w:proofErr w:type="spellEnd"/>
      <w:r>
        <w:rPr>
          <w:rFonts w:cs="Times New Roman"/>
          <w:lang w:val="fr-CA"/>
        </w:rPr>
        <w:t>[t] » ou qui « </w:t>
      </w:r>
      <w:proofErr w:type="spellStart"/>
      <w:r>
        <w:rPr>
          <w:rFonts w:cs="Times New Roman"/>
          <w:lang w:val="fr-CA"/>
        </w:rPr>
        <w:t>frôl</w:t>
      </w:r>
      <w:proofErr w:type="spellEnd"/>
      <w:r>
        <w:rPr>
          <w:rFonts w:cs="Times New Roman"/>
          <w:lang w:val="fr-CA"/>
        </w:rPr>
        <w:t>[e] l’absurde » (</w:t>
      </w:r>
      <w:r>
        <w:rPr>
          <w:rFonts w:cs="Times New Roman"/>
          <w:i/>
          <w:lang w:val="fr-CA"/>
        </w:rPr>
        <w:t>Vandale</w:t>
      </w:r>
      <w:r>
        <w:rPr>
          <w:rFonts w:cs="Times New Roman"/>
          <w:lang w:val="fr-CA"/>
        </w:rPr>
        <w:t xml:space="preserve">, par. 42; </w:t>
      </w:r>
      <w:r>
        <w:rPr>
          <w:rFonts w:cs="Times New Roman"/>
          <w:i/>
          <w:lang w:val="fr-CA"/>
        </w:rPr>
        <w:t>Voice</w:t>
      </w:r>
      <w:r>
        <w:rPr>
          <w:rFonts w:cs="Times New Roman"/>
          <w:lang w:val="fr-CA"/>
        </w:rPr>
        <w:t>, par. 18). </w:t>
      </w:r>
    </w:p>
    <w:p w:rsidR="00E70F7D" w:rsidRDefault="00E70F7D" w:rsidP="00E70F7D">
      <w:pPr>
        <w:pStyle w:val="ParaNoNdepar-AltN"/>
        <w:numPr>
          <w:ilvl w:val="0"/>
          <w:numId w:val="2"/>
        </w:numPr>
        <w:rPr>
          <w:rFonts w:cs="Times New Roman"/>
          <w:lang w:val="fr-CA"/>
        </w:rPr>
      </w:pPr>
      <w:r>
        <w:rPr>
          <w:rFonts w:cs="Times New Roman"/>
          <w:lang w:val="fr-CA"/>
        </w:rPr>
        <w:t xml:space="preserve">West Fraser Mills </w:t>
      </w:r>
      <w:r w:rsidR="00650A78">
        <w:rPr>
          <w:rFonts w:cs="Times New Roman"/>
          <w:lang w:val="fr-CA"/>
        </w:rPr>
        <w:t>conteste</w:t>
      </w:r>
      <w:r>
        <w:rPr>
          <w:rFonts w:cs="Times New Roman"/>
          <w:lang w:val="fr-CA"/>
        </w:rPr>
        <w:t xml:space="preserve"> cette interprétation du par. 196(1) par le Tribunal en faisant valoir que, dès lors que les faits en cause sont présumés constituer un manquement du « propriétaire », cette disposition ne peut être invoquée. </w:t>
      </w:r>
    </w:p>
    <w:p w:rsidR="00E70F7D" w:rsidRDefault="00E70F7D" w:rsidP="00E70F7D">
      <w:pPr>
        <w:pStyle w:val="ParaNoNdepar-AltN"/>
        <w:numPr>
          <w:ilvl w:val="0"/>
          <w:numId w:val="2"/>
        </w:numPr>
        <w:rPr>
          <w:rFonts w:cs="Times New Roman"/>
          <w:lang w:val="fr-CA"/>
        </w:rPr>
      </w:pPr>
      <w:r>
        <w:rPr>
          <w:rFonts w:cs="Times New Roman"/>
          <w:lang w:val="fr-CA"/>
        </w:rPr>
        <w:t xml:space="preserve">Premièrement, elle soutient que le libellé du par. 196(1) et le contexte dans lequel il s’inscrit militent contre une interprétation qui permet d’infliger à un « propriétaire » une sanction dont la Loi prévoit l’infliction à un « employeur ». La Loi établit une distinction entre « employeur » et « propriétaire » et énonce les obligations de chacun (art. 115 et 119). </w:t>
      </w:r>
    </w:p>
    <w:p w:rsidR="00E70F7D" w:rsidRDefault="00E70F7D" w:rsidP="00E70F7D">
      <w:pPr>
        <w:pStyle w:val="ParaNoNdepar-AltN"/>
        <w:numPr>
          <w:ilvl w:val="0"/>
          <w:numId w:val="2"/>
        </w:numPr>
        <w:rPr>
          <w:rFonts w:cs="Times New Roman"/>
          <w:lang w:val="fr-CA"/>
        </w:rPr>
      </w:pPr>
      <w:r>
        <w:rPr>
          <w:rFonts w:cs="Times New Roman"/>
          <w:lang w:val="fr-CA"/>
        </w:rPr>
        <w:t xml:space="preserve">Deuxièmement, elle avance que, dans les dispositions d’exécution de la Loi, le législateur fait des choix précis quant aux personnes visées. Certaines </w:t>
      </w:r>
      <w:r>
        <w:rPr>
          <w:rFonts w:cs="Times New Roman"/>
          <w:lang w:val="fr-CA"/>
        </w:rPr>
        <w:lastRenderedPageBreak/>
        <w:t>dispositions s’appliquent uniquement à un « employeur » (art. 186.1, par. 196(1) et art. 196.1), d’autres plus généralement à une [</w:t>
      </w:r>
      <w:r>
        <w:rPr>
          <w:rFonts w:cs="Times New Roman"/>
          <w:smallCaps/>
          <w:lang w:val="fr-CA"/>
        </w:rPr>
        <w:t>traduction</w:t>
      </w:r>
      <w:r>
        <w:rPr>
          <w:rFonts w:cs="Times New Roman"/>
          <w:lang w:val="fr-CA"/>
        </w:rPr>
        <w:t xml:space="preserve">] « personne », soit à n’importe qui (art. 194, 195 et 198). Elle fait valoir que, au vu de ce libellé, il est singulier d’interpréter largement le terme « employeur » de manière à englober une entité qui commet une infraction en tant que « propriétaire ». </w:t>
      </w:r>
    </w:p>
    <w:p w:rsidR="00E70F7D" w:rsidRDefault="00E70F7D" w:rsidP="00E70F7D">
      <w:pPr>
        <w:pStyle w:val="ParaNoNdepar-AltN"/>
        <w:numPr>
          <w:ilvl w:val="0"/>
          <w:numId w:val="2"/>
        </w:numPr>
        <w:rPr>
          <w:rFonts w:cs="Times New Roman"/>
          <w:lang w:val="fr-CA"/>
        </w:rPr>
      </w:pPr>
      <w:r>
        <w:rPr>
          <w:rFonts w:cs="Times New Roman"/>
          <w:lang w:val="fr-CA"/>
        </w:rPr>
        <w:t>Troisièmement, West Fraser Mills signale que, selon l’art. 123 de la Loi, l’entité qui est à la fois employeur et propriétaire [</w:t>
      </w:r>
      <w:r>
        <w:rPr>
          <w:rFonts w:cs="Times New Roman"/>
          <w:smallCaps/>
          <w:lang w:val="fr-CA"/>
        </w:rPr>
        <w:t>traduction</w:t>
      </w:r>
      <w:r>
        <w:rPr>
          <w:rFonts w:cs="Times New Roman"/>
          <w:lang w:val="fr-CA"/>
        </w:rPr>
        <w:t>] « à l’égard d’un lieu de travail » doit s’acquitter des obligations de l’un et de l’autre. On peut donc penser que le législateur a prévu le chevauchement des fonctions, mais seulement lorsque ces dernières sont liées au même lieu de travail. West Fraser Mills soutient que le Tribunal ne conclut pas à l’existence d’un lien employeur</w:t>
      </w:r>
      <w:r>
        <w:rPr>
          <w:rFonts w:cs="Times New Roman"/>
          <w:lang w:val="fr-CA"/>
        </w:rPr>
        <w:noBreakHyphen/>
        <w:t xml:space="preserve">employé entre l’abatteur et elle, de sorte que les faits de la présente affaire se distinguent de ceux à l’origine de l’arrêt </w:t>
      </w:r>
      <w:r>
        <w:rPr>
          <w:rFonts w:cs="Times New Roman"/>
          <w:i/>
          <w:lang w:val="fr-CA"/>
        </w:rPr>
        <w:t>Petro</w:t>
      </w:r>
      <w:r>
        <w:rPr>
          <w:rFonts w:cs="Times New Roman"/>
          <w:i/>
          <w:lang w:val="fr-CA"/>
        </w:rPr>
        <w:noBreakHyphen/>
        <w:t>Canada c. British Columbia (Workers’ Compensation Board)</w:t>
      </w:r>
      <w:r>
        <w:rPr>
          <w:rFonts w:cs="Times New Roman"/>
          <w:lang w:val="fr-CA"/>
        </w:rPr>
        <w:t>, 2009 BCCA 396, 98 B.C.L.R. (4th) 1, qu’invoque le Tribunal.</w:t>
      </w:r>
    </w:p>
    <w:p w:rsidR="00E70F7D" w:rsidRDefault="00E70F7D" w:rsidP="00E70F7D">
      <w:pPr>
        <w:pStyle w:val="ParaNoNdepar-AltN"/>
        <w:numPr>
          <w:ilvl w:val="0"/>
          <w:numId w:val="2"/>
        </w:numPr>
        <w:rPr>
          <w:rFonts w:cs="Times New Roman"/>
          <w:lang w:val="fr-CA"/>
        </w:rPr>
      </w:pPr>
      <w:r>
        <w:rPr>
          <w:rFonts w:cs="Times New Roman"/>
          <w:lang w:val="fr-CA"/>
        </w:rPr>
        <w:t>Ces arguments ne sont toutefois pas convaincants. Ils appuient une interprétation plausible, mais étroite du par. 196(1), et ils sont réfutés par d’autres qui militent en faveur de l’interprétation large du par. 196(1) retenue par le Tribunal. </w:t>
      </w:r>
    </w:p>
    <w:p w:rsidR="00E70F7D" w:rsidRDefault="00E70F7D" w:rsidP="00E70F7D">
      <w:pPr>
        <w:pStyle w:val="ParaNoNdepar-AltN"/>
        <w:numPr>
          <w:ilvl w:val="0"/>
          <w:numId w:val="2"/>
        </w:numPr>
        <w:rPr>
          <w:rFonts w:cs="Times New Roman"/>
          <w:lang w:val="fr-CA"/>
        </w:rPr>
      </w:pPr>
      <w:r>
        <w:rPr>
          <w:rFonts w:cs="Times New Roman"/>
          <w:lang w:val="fr-CA"/>
        </w:rPr>
        <w:t xml:space="preserve">Une seconde interprétation plausible du par. 196(1) appuie davantage l’objectif de sécurité et l’application générale du régime. Suivant cette interprétation, même si elle était « propriétaire » suivant son permis d’exploitation, West Fraser Mills était également « employeur » relativement au lieu de travail et au décès survenu. Il </w:t>
      </w:r>
      <w:r>
        <w:rPr>
          <w:rFonts w:cs="Times New Roman"/>
          <w:lang w:val="fr-CA"/>
        </w:rPr>
        <w:lastRenderedPageBreak/>
        <w:t>appert de la preuve acceptée par le Tribunal et non contestée devant nous que West Fraser Mills avait retenu les services de personnes pour s’acquitter de ses obligations suivant le par. 26.2(1) du Règlement. Ces employés s’acquittaient d’obligations directement liées au lieu de travail où est survenu l’accident. En ce sens, West Fraser Mills était un « employeur » pour l’application du par. 196(1) puisqu’il existe un lien factuel entre, d’une part, ses activités et ses choix en tant qu’employeur de personnes censées surveiller le lieu de travail et, d’autre part, l’accident survenu. De façon plus générale, West Fraser Mills avait à l’égard de ce lieu précis des obligations d’origine législative et réglementaire dont elle ne pouvait s’acquitter, en tant que personne morale, qu’à titre d’employeur.</w:t>
      </w:r>
    </w:p>
    <w:p w:rsidR="00E70F7D" w:rsidRDefault="00E70F7D" w:rsidP="00E70F7D">
      <w:pPr>
        <w:pStyle w:val="ParaNoNdepar-AltN"/>
        <w:numPr>
          <w:ilvl w:val="0"/>
          <w:numId w:val="2"/>
        </w:numPr>
        <w:rPr>
          <w:rFonts w:cs="Times New Roman"/>
          <w:lang w:val="fr-CA"/>
        </w:rPr>
      </w:pPr>
      <w:r>
        <w:rPr>
          <w:rFonts w:cs="Times New Roman"/>
          <w:lang w:val="fr-CA"/>
        </w:rPr>
        <w:t xml:space="preserve">La différence entre ces deux interprétations se résume à ce qui suit. Selon la première — qui est le prolongement logique de celle préconisée par West Fraser Mills —, en pareil cas, le par. 196(1) s’applique seulement à l’employeur véritable de la victime de l’accident, ce qui exclurait West Fraser Mills. Selon la deuxième, le par. 196(1) s’applique généralement à tout employeur au sens de la Loi et, par conséquent, au propriétaire qui retient les services d’une personne pour s’acquitter de ses obligations à l’égard du lieu de travail où survient l’accident, ce qui engloberait West Fraser Mills. Les deux interprétations supposent l’existence d’un lien réel avec l’accident en cause. L’une s’en tient au lien d’emploi </w:t>
      </w:r>
      <w:r>
        <w:rPr>
          <w:rFonts w:cs="Times New Roman"/>
          <w:i/>
          <w:lang w:val="fr-CA"/>
        </w:rPr>
        <w:t>avec la victime</w:t>
      </w:r>
      <w:r>
        <w:rPr>
          <w:rFonts w:cs="Times New Roman"/>
          <w:lang w:val="fr-CA"/>
        </w:rPr>
        <w:t xml:space="preserve">, tandis que l’autre embrasse tout emploi lié au </w:t>
      </w:r>
      <w:r>
        <w:rPr>
          <w:rFonts w:cs="Times New Roman"/>
          <w:i/>
          <w:lang w:val="fr-CA"/>
        </w:rPr>
        <w:t>lieu de travail où surviennent l’accident et le préjudice physique</w:t>
      </w:r>
      <w:r>
        <w:rPr>
          <w:rFonts w:cs="Times New Roman"/>
          <w:lang w:val="fr-CA"/>
        </w:rPr>
        <w:t>.</w:t>
      </w:r>
    </w:p>
    <w:p w:rsidR="00E70F7D" w:rsidRDefault="00E70F7D" w:rsidP="00E70F7D">
      <w:pPr>
        <w:pStyle w:val="ParaNoNdepar-AltN"/>
        <w:numPr>
          <w:ilvl w:val="0"/>
          <w:numId w:val="2"/>
        </w:numPr>
        <w:rPr>
          <w:rFonts w:cs="Times New Roman"/>
          <w:lang w:val="fr-CA"/>
        </w:rPr>
      </w:pPr>
      <w:r>
        <w:rPr>
          <w:rFonts w:cs="Times New Roman"/>
          <w:lang w:val="fr-CA"/>
        </w:rPr>
        <w:lastRenderedPageBreak/>
        <w:t>Nous voilà donc parvenus au cœur du débat. Le Tribunal était aux prises avec deux interprétations plausibles mais opposées du par. 196(1) (quoiqu’il ne formule pas les deux aussi précisément que je le fais). L’une est étroite et mine les objectifs de la loi. L’autre est large et reconnaît la complexité du chevauchement et de l’interaction des fonctions sur le lieu de travail; elle promeut en outre la réalisation des objectifs de la loi et du régime établi par celle</w:t>
      </w:r>
      <w:r>
        <w:rPr>
          <w:rFonts w:cs="Times New Roman"/>
          <w:lang w:val="fr-CA"/>
        </w:rPr>
        <w:noBreakHyphen/>
        <w:t>ci. Le Tribunal opte pour la seconde approche. S’agit</w:t>
      </w:r>
      <w:r>
        <w:rPr>
          <w:rFonts w:cs="Times New Roman"/>
          <w:lang w:val="fr-CA"/>
        </w:rPr>
        <w:noBreakHyphen/>
        <w:t>il d’un choix qui revêt</w:t>
      </w:r>
      <w:r w:rsidR="00683131">
        <w:rPr>
          <w:rFonts w:cs="Times New Roman"/>
          <w:lang w:val="fr-CA"/>
        </w:rPr>
        <w:t xml:space="preserve"> un</w:t>
      </w:r>
      <w:r>
        <w:rPr>
          <w:rFonts w:cs="Times New Roman"/>
          <w:lang w:val="fr-CA"/>
        </w:rPr>
        <w:t xml:space="preserve"> caractère déraisonnable « que l’on ne peut contester, qui est tout à fait </w:t>
      </w:r>
      <w:proofErr w:type="spellStart"/>
      <w:r>
        <w:rPr>
          <w:rFonts w:cs="Times New Roman"/>
          <w:lang w:val="fr-CA"/>
        </w:rPr>
        <w:t>éviden</w:t>
      </w:r>
      <w:proofErr w:type="spellEnd"/>
      <w:r>
        <w:rPr>
          <w:rFonts w:cs="Times New Roman"/>
          <w:lang w:val="fr-CA"/>
        </w:rPr>
        <w:t>[t] », au point de « </w:t>
      </w:r>
      <w:proofErr w:type="spellStart"/>
      <w:proofErr w:type="gramStart"/>
      <w:r>
        <w:rPr>
          <w:rFonts w:cs="Times New Roman"/>
          <w:lang w:val="fr-CA"/>
        </w:rPr>
        <w:t>frôl</w:t>
      </w:r>
      <w:proofErr w:type="spellEnd"/>
      <w:r>
        <w:rPr>
          <w:rFonts w:cs="Times New Roman"/>
          <w:lang w:val="fr-CA"/>
        </w:rPr>
        <w:t>[</w:t>
      </w:r>
      <w:proofErr w:type="gramEnd"/>
      <w:r>
        <w:rPr>
          <w:rFonts w:cs="Times New Roman"/>
          <w:lang w:val="fr-CA"/>
        </w:rPr>
        <w:t>er] l’absurde »? Je ne peux le conclure.</w:t>
      </w:r>
    </w:p>
    <w:p w:rsidR="00E70F7D" w:rsidRDefault="00E70F7D" w:rsidP="00E70F7D">
      <w:pPr>
        <w:pStyle w:val="ParaNoNdepar-AltN"/>
        <w:numPr>
          <w:ilvl w:val="0"/>
          <w:numId w:val="2"/>
        </w:numPr>
        <w:rPr>
          <w:rFonts w:cs="Times New Roman"/>
          <w:lang w:val="fr-CA"/>
        </w:rPr>
      </w:pPr>
      <w:r>
        <w:rPr>
          <w:rFonts w:cs="Times New Roman"/>
          <w:lang w:val="fr-CA"/>
        </w:rPr>
        <w:t xml:space="preserve">La cour de justice qui contrôle une décision administrative est tenue de prendre en considération non seulement le texte de la loi et l’interaction de ses dispositions, mais aussi les conséquences du choix d’interpréter une disposition d’une manière plutôt que d’une autre et la façon dont le régime législatif fonctionne concrètement (voir p. ex. </w:t>
      </w:r>
      <w:r>
        <w:rPr>
          <w:rFonts w:cs="Times New Roman"/>
          <w:i/>
          <w:lang w:val="en-US"/>
        </w:rPr>
        <w:t>Edmonton (Ville) c. Edmonton East (</w:t>
      </w:r>
      <w:proofErr w:type="spellStart"/>
      <w:r>
        <w:rPr>
          <w:rFonts w:cs="Times New Roman"/>
          <w:i/>
          <w:lang w:val="en-US"/>
        </w:rPr>
        <w:t>Capilano</w:t>
      </w:r>
      <w:proofErr w:type="spellEnd"/>
      <w:r>
        <w:rPr>
          <w:rFonts w:cs="Times New Roman"/>
          <w:i/>
          <w:lang w:val="en-US"/>
        </w:rPr>
        <w:t xml:space="preserve">) Shopping </w:t>
      </w:r>
      <w:proofErr w:type="spellStart"/>
      <w:r>
        <w:rPr>
          <w:rFonts w:cs="Times New Roman"/>
          <w:i/>
          <w:lang w:val="en-US"/>
        </w:rPr>
        <w:t>Centres</w:t>
      </w:r>
      <w:proofErr w:type="spellEnd"/>
      <w:r>
        <w:rPr>
          <w:rFonts w:cs="Times New Roman"/>
          <w:i/>
          <w:lang w:val="en-US"/>
        </w:rPr>
        <w:t xml:space="preserve"> Ltd.</w:t>
      </w:r>
      <w:r>
        <w:rPr>
          <w:rFonts w:cs="Times New Roman"/>
          <w:lang w:val="en-US"/>
        </w:rPr>
        <w:t xml:space="preserve">, 2016 CSC 47, [2016] 2 R.C.S. 293, par. 61). </w:t>
      </w:r>
      <w:r>
        <w:rPr>
          <w:rFonts w:cs="Times New Roman"/>
          <w:lang w:val="fr-CA"/>
        </w:rPr>
        <w:t xml:space="preserve">Elle y est particulièrement tenue lorsque la norme de contrôle applicable est celle de la décision manifestement déraisonnable. Des raisons d’ordre pratique et la crainte de répercussions qui mineraient les objectifs de la loi peuvent justifier le refus de conclure qu’une interprétation donnée « frôle l’absurde » ou revêt un caractère déraisonnable « que l’on ne peut contester, qui est tout à fait </w:t>
      </w:r>
      <w:proofErr w:type="spellStart"/>
      <w:r>
        <w:rPr>
          <w:rFonts w:cs="Times New Roman"/>
          <w:lang w:val="fr-CA"/>
        </w:rPr>
        <w:t>éviden</w:t>
      </w:r>
      <w:proofErr w:type="spellEnd"/>
      <w:r>
        <w:rPr>
          <w:rFonts w:cs="Times New Roman"/>
          <w:lang w:val="fr-CA"/>
        </w:rPr>
        <w:t>[t] ».</w:t>
      </w:r>
    </w:p>
    <w:p w:rsidR="00E70F7D" w:rsidRDefault="00E70F7D" w:rsidP="00E70F7D">
      <w:pPr>
        <w:pStyle w:val="ParaNoNdepar-AltN"/>
        <w:numPr>
          <w:ilvl w:val="0"/>
          <w:numId w:val="2"/>
        </w:numPr>
        <w:rPr>
          <w:rFonts w:cs="Times New Roman"/>
          <w:lang w:val="fr-CA"/>
        </w:rPr>
      </w:pPr>
      <w:r>
        <w:rPr>
          <w:rFonts w:cs="Times New Roman"/>
          <w:lang w:val="fr-CA"/>
        </w:rPr>
        <w:lastRenderedPageBreak/>
        <w:t>Dans la présente affaire, les conséquences respectives des interprétations concurrentes et la manière concrète dont le régime législatif est censé fonctionner militent contre la conclusion selon laquelle l’interprétation retenue par le Tribunal est manifestement déraisonnable.</w:t>
      </w:r>
    </w:p>
    <w:p w:rsidR="00E70F7D" w:rsidRDefault="00E70F7D" w:rsidP="00E70F7D">
      <w:pPr>
        <w:pStyle w:val="ParaNoNdepar-AltN"/>
        <w:numPr>
          <w:ilvl w:val="0"/>
          <w:numId w:val="2"/>
        </w:numPr>
        <w:rPr>
          <w:rFonts w:cs="Times New Roman"/>
          <w:lang w:val="fr-CA"/>
        </w:rPr>
      </w:pPr>
      <w:r>
        <w:rPr>
          <w:rFonts w:cs="Times New Roman"/>
          <w:lang w:val="fr-CA"/>
        </w:rPr>
        <w:t>Premièrement, je le rappelle, l’interprétation large qui inclut dans le champ d’application du par. 196(1) l’employeur au sens de la Loi dont les actes sont susceptibles de constituer un manquement à ses obligations de propriétaire est celle qui permet le plus la réalisation de l’objectif de la loi de favoriser la santé et la sécurité au travail et de prévenir de futurs accidents. Cette interprétation large appuie l’objectif légal, qui est, rappelons</w:t>
      </w:r>
      <w:r>
        <w:rPr>
          <w:rFonts w:cs="Times New Roman"/>
          <w:lang w:val="fr-CA"/>
        </w:rPr>
        <w:noBreakHyphen/>
        <w:t>le, de [</w:t>
      </w:r>
      <w:r>
        <w:rPr>
          <w:rFonts w:cs="Times New Roman"/>
          <w:smallCaps/>
          <w:lang w:val="fr-CA"/>
        </w:rPr>
        <w:t>traduction</w:t>
      </w:r>
      <w:r>
        <w:rPr>
          <w:rFonts w:cs="Times New Roman"/>
          <w:lang w:val="fr-CA"/>
        </w:rPr>
        <w:t>] « bénéficier à tous les citoyens de la Colombie</w:t>
      </w:r>
      <w:r>
        <w:rPr>
          <w:rFonts w:cs="Times New Roman"/>
          <w:lang w:val="fr-CA"/>
        </w:rPr>
        <w:noBreakHyphen/>
        <w:t>Britannique en favorisant la santé et la sécurité au travail et en protégeant les travailleurs et les autres personnes se trouvant dans un lieu de travail contre les risques professionnels » (art. 107 de la Loi). Il y a un lien entre, d’une part, des recours accrus contre le propriétaire qui a des obligations d’employeur à l’égard d’un lieu de travail et, d’autre part, une santé et une sécurité professionnelles accrues. L’économie générale de la Loi veut que, par le chevauchement de leurs fonctions et la collaboration qui s’impose alors, il incombe au propriétaire et à l’employeur d’assurer la sécurité du lieu de travail.</w:t>
      </w:r>
    </w:p>
    <w:p w:rsidR="00E70F7D" w:rsidRDefault="00E70F7D" w:rsidP="00E70F7D">
      <w:pPr>
        <w:pStyle w:val="ParaNoNdepar-AltN"/>
        <w:numPr>
          <w:ilvl w:val="0"/>
          <w:numId w:val="2"/>
        </w:numPr>
        <w:rPr>
          <w:rFonts w:cs="Times New Roman"/>
          <w:lang w:val="fr-CA"/>
        </w:rPr>
      </w:pPr>
      <w:r>
        <w:rPr>
          <w:rFonts w:cs="Times New Roman"/>
          <w:lang w:val="fr-CA"/>
        </w:rPr>
        <w:t xml:space="preserve">Deuxièmement, cette interprétation tient compte du fait qu’assurer la sécurité du lieu de travail est complexe et fait intervenir des obligations dont l’exécution incombe à tous les intéressés. En revanche, suivant une interprétation </w:t>
      </w:r>
      <w:r>
        <w:rPr>
          <w:rFonts w:cs="Times New Roman"/>
          <w:lang w:val="fr-CA"/>
        </w:rPr>
        <w:lastRenderedPageBreak/>
        <w:t xml:space="preserve">étroite du par. 196(1), un seul intéressé — le véritable employeur de la victime — est tenu responsable de ce qui constitue en fait un </w:t>
      </w:r>
      <w:r w:rsidR="004E4CDE">
        <w:rPr>
          <w:rFonts w:cs="Times New Roman"/>
          <w:lang w:val="fr-CA"/>
        </w:rPr>
        <w:t>faisceau</w:t>
      </w:r>
      <w:r>
        <w:rPr>
          <w:rFonts w:cs="Times New Roman"/>
          <w:lang w:val="fr-CA"/>
        </w:rPr>
        <w:t xml:space="preserve"> complexe d’interactions qui, ensemble, sont à l’origine de l’accident.</w:t>
      </w:r>
    </w:p>
    <w:p w:rsidR="00E70F7D" w:rsidRDefault="00E70F7D" w:rsidP="00E70F7D">
      <w:pPr>
        <w:pStyle w:val="ParaNoNdepar-AltN"/>
        <w:numPr>
          <w:ilvl w:val="0"/>
          <w:numId w:val="2"/>
        </w:numPr>
        <w:rPr>
          <w:rFonts w:cs="Times New Roman"/>
          <w:lang w:val="fr-CA"/>
        </w:rPr>
      </w:pPr>
      <w:r>
        <w:rPr>
          <w:rFonts w:cs="Times New Roman"/>
          <w:lang w:val="fr-CA"/>
        </w:rPr>
        <w:t xml:space="preserve">Troisièmement, et il s’agit d’une considération majeure, même s’il est vrai que le par. 196(1) peut s’appliquer dès lors </w:t>
      </w:r>
      <w:r w:rsidR="00650A78">
        <w:rPr>
          <w:rFonts w:cs="Times New Roman"/>
          <w:lang w:val="fr-CA"/>
        </w:rPr>
        <w:t>qu’un « employeur »</w:t>
      </w:r>
      <w:r>
        <w:rPr>
          <w:rFonts w:cs="Times New Roman"/>
          <w:lang w:val="fr-CA"/>
        </w:rPr>
        <w:t xml:space="preserve"> omet de s’acquitter des obligations précises que </w:t>
      </w:r>
      <w:r w:rsidRPr="00650A78">
        <w:rPr>
          <w:rFonts w:cs="Times New Roman"/>
          <w:lang w:val="fr-CA"/>
        </w:rPr>
        <w:t>lui</w:t>
      </w:r>
      <w:r>
        <w:rPr>
          <w:rFonts w:cs="Times New Roman"/>
          <w:lang w:val="fr-CA"/>
        </w:rPr>
        <w:t xml:space="preserve"> font la Loi et tout règlement applicable (suivant l’al. 196(1</w:t>
      </w:r>
      <w:proofErr w:type="gramStart"/>
      <w:r>
        <w:rPr>
          <w:rFonts w:cs="Times New Roman"/>
          <w:lang w:val="fr-CA"/>
        </w:rPr>
        <w:t>)b</w:t>
      </w:r>
      <w:proofErr w:type="gramEnd"/>
      <w:r>
        <w:rPr>
          <w:rFonts w:cs="Times New Roman"/>
          <w:lang w:val="fr-CA"/>
        </w:rPr>
        <w:t>)), cette disposition ne vaut pas que dans ce cas. L’employeur peut également faire l’objet d’une sanction sur le fondement du par. 196(1) s’il ne prend pas de « précautions suffisantes pour prévenir les lésions ou les maladies professionnelles » (al. 196(1</w:t>
      </w:r>
      <w:proofErr w:type="gramStart"/>
      <w:r>
        <w:rPr>
          <w:rFonts w:cs="Times New Roman"/>
          <w:lang w:val="fr-CA"/>
        </w:rPr>
        <w:t>)a</w:t>
      </w:r>
      <w:proofErr w:type="gramEnd"/>
      <w:r>
        <w:rPr>
          <w:rFonts w:cs="Times New Roman"/>
          <w:lang w:val="fr-CA"/>
        </w:rPr>
        <w:t xml:space="preserve">)) ou si « le lieu de travail de l’employeur ou les conditions de travail ne sont pas sécuritaires » (al. 196(1)c)). L’alinéa 196(1)c) fait particulièrement ressortir la volonté du législateur de mettre l’accent non pas sur le lien spécifique entre l’employeur fautif et la victime d’un accident de travail, mais bien sur la relation entre l’employeur et le lieu de travail qui a mené à l’accident et au préjudice physique. </w:t>
      </w:r>
    </w:p>
    <w:p w:rsidR="00E70F7D" w:rsidRDefault="00E70F7D" w:rsidP="00E70F7D">
      <w:pPr>
        <w:pStyle w:val="ParaNoNdepar-AltN"/>
        <w:numPr>
          <w:ilvl w:val="0"/>
          <w:numId w:val="2"/>
        </w:numPr>
        <w:tabs>
          <w:tab w:val="clear" w:pos="1152"/>
          <w:tab w:val="left" w:pos="1166"/>
        </w:tabs>
        <w:rPr>
          <w:rFonts w:cs="Times New Roman"/>
          <w:lang w:val="fr-CA"/>
        </w:rPr>
      </w:pPr>
      <w:r>
        <w:rPr>
          <w:rFonts w:cs="Times New Roman"/>
          <w:lang w:val="fr-CA"/>
        </w:rPr>
        <w:t xml:space="preserve">Partant, ce n’est pas précisément l’infraction de West Fraser Mills au par. 26.2(1) du Règlement (en sa qualité de propriétaire) qui emporte l’application du par. 196(1). En fait, chacune des omissions ayant mené à l’infraction au par. 26.2(1) peut être considérée comme une omission de « [prendre des] précautions suffisantes » ou une indication que « le lieu de travail de l’employeur ou les conditions de travail ne sont pas sécuritaires » (voire les deux). Un même acte fautif peut emporter plusieurs sanctions. À titre d’exemple, la négligence du titulaire d’un permis d’exploitation </w:t>
      </w:r>
      <w:r>
        <w:rPr>
          <w:rFonts w:cs="Times New Roman"/>
          <w:lang w:val="fr-CA"/>
        </w:rPr>
        <w:lastRenderedPageBreak/>
        <w:t>forestière pourrait, dans certaines situations, équivaloir à une infraction au par. 26.2(1) du Règlement, ainsi qu’à une « [omission de prendre] des précautions suffisantes » suivant le par. 196(1) de la Loi. D’ailleurs, c’est au moins en partie pour cette raison que la sanction a été infligée au départ à West Fraser Mills et a été jugée indiquée par le Tribunal.</w:t>
      </w:r>
    </w:p>
    <w:p w:rsidR="00E70F7D" w:rsidRDefault="00E70F7D" w:rsidP="00E70F7D">
      <w:pPr>
        <w:pStyle w:val="ParaNoNdepar-AltN"/>
        <w:numPr>
          <w:ilvl w:val="0"/>
          <w:numId w:val="2"/>
        </w:numPr>
        <w:rPr>
          <w:rFonts w:cs="Times New Roman"/>
          <w:lang w:val="fr-CA"/>
        </w:rPr>
      </w:pPr>
      <w:r>
        <w:rPr>
          <w:rFonts w:cs="Times New Roman"/>
          <w:lang w:val="fr-CA"/>
        </w:rPr>
        <w:t xml:space="preserve">La jurisprudence appuie la démarche du Tribunal. À mon avis, ce dernier n’a pas tort de se fonder sur l’arrêt </w:t>
      </w:r>
      <w:r>
        <w:rPr>
          <w:rFonts w:cs="Times New Roman"/>
          <w:i/>
          <w:lang w:val="fr-CA"/>
        </w:rPr>
        <w:t>Petro</w:t>
      </w:r>
      <w:r>
        <w:rPr>
          <w:rFonts w:cs="Times New Roman"/>
          <w:i/>
          <w:lang w:val="fr-CA"/>
        </w:rPr>
        <w:noBreakHyphen/>
        <w:t>Canada</w:t>
      </w:r>
      <w:r>
        <w:rPr>
          <w:rFonts w:cs="Times New Roman"/>
          <w:lang w:val="fr-CA"/>
        </w:rPr>
        <w:t>. Dans cette décision, la cour d’appel statue que la Commission a conclu à raison que la personne morale qui est à la fois employeur et propriétaire de plusieurs stations</w:t>
      </w:r>
      <w:r>
        <w:rPr>
          <w:rFonts w:cs="Times New Roman"/>
          <w:lang w:val="fr-CA"/>
        </w:rPr>
        <w:noBreakHyphen/>
        <w:t xml:space="preserve">service a des obligations en tant qu’employeur aux termes de l’art. 115 de la Loi relativement aux différents lieux de travail parce qu’elle possède une maîtrise suffisante sur eux. Dans le cas qui nous occupe, West Fraser Mills possédait à l’égard du lieu de travail en cause des connaissances et une maîtrise suffisantes pour avoir l’obligation d’assurer sa sécurité. Le Tribunal ne commet pas d’erreur en invoquant l’arrêt </w:t>
      </w:r>
      <w:r>
        <w:rPr>
          <w:rFonts w:cs="Times New Roman"/>
          <w:i/>
          <w:lang w:val="fr-CA"/>
        </w:rPr>
        <w:t>Petro</w:t>
      </w:r>
      <w:r>
        <w:rPr>
          <w:rFonts w:cs="Times New Roman"/>
          <w:i/>
          <w:lang w:val="fr-CA"/>
        </w:rPr>
        <w:noBreakHyphen/>
        <w:t>Canada</w:t>
      </w:r>
      <w:r>
        <w:rPr>
          <w:rFonts w:cs="Times New Roman"/>
          <w:lang w:val="fr-CA"/>
        </w:rPr>
        <w:t xml:space="preserve">, d’où la conclusion que West Fraser Mills n’avait pas, à l’égard du lieu de travail, que l’obligation d’assurer la santé et la sécurité de </w:t>
      </w:r>
      <w:r>
        <w:rPr>
          <w:rFonts w:cs="Times New Roman"/>
          <w:i/>
          <w:lang w:val="fr-CA"/>
        </w:rPr>
        <w:t>ses propres</w:t>
      </w:r>
      <w:r>
        <w:rPr>
          <w:rFonts w:cs="Times New Roman"/>
          <w:lang w:val="fr-CA"/>
        </w:rPr>
        <w:t xml:space="preserve"> employés. </w:t>
      </w:r>
    </w:p>
    <w:p w:rsidR="00E70F7D" w:rsidRDefault="00E70F7D" w:rsidP="00E70F7D">
      <w:pPr>
        <w:pStyle w:val="ParaNoNdepar-AltN"/>
        <w:numPr>
          <w:ilvl w:val="0"/>
          <w:numId w:val="2"/>
        </w:numPr>
        <w:tabs>
          <w:tab w:val="clear" w:pos="1152"/>
          <w:tab w:val="left" w:pos="1166"/>
        </w:tabs>
        <w:rPr>
          <w:rFonts w:cs="Times New Roman"/>
          <w:lang w:val="fr-CA"/>
        </w:rPr>
      </w:pPr>
      <w:r>
        <w:rPr>
          <w:rFonts w:cs="Times New Roman"/>
          <w:lang w:val="fr-CA"/>
        </w:rPr>
        <w:t xml:space="preserve">Certes, le Tribunal ne conclut pas en l’espèce à l’existence entre West Fraser Mills et l’abatteur blessé mortellement d’une relation apparentée à celle qui lie un employeur et un employé. Mais, je le répète, il conclut qu’un lien existait entre West Fraser Mills et la sécurité du lieu de travail : West Fraser Mills avait embauché une personne pour surveiller le lieu de travail conformément aux obligations que lui faisait </w:t>
      </w:r>
      <w:r>
        <w:rPr>
          <w:rFonts w:cs="Times New Roman"/>
          <w:lang w:val="fr-CA"/>
        </w:rPr>
        <w:lastRenderedPageBreak/>
        <w:t>la Loi. Le lien de West Fraser Mills avec la sécurité du lieu de travail n’était pas qu’à titre de propriétaire; l’entreprise a joué un rôle à titre d’« employeur » dans le décès survenu. Il n’était donc pas « absurde » que le Tribunal considère que le par. 196(1) s’applique en l’espèce et conclue que West Fraser Mills avait manqué à son obligation d’employeur suivant la Loi, compte tenu à la fois du lien entre l’entreprise et le lieu de travail et des faits sous</w:t>
      </w:r>
      <w:r>
        <w:rPr>
          <w:rFonts w:cs="Times New Roman"/>
          <w:lang w:val="fr-CA"/>
        </w:rPr>
        <w:noBreakHyphen/>
        <w:t>jacents à l’infraction au par. 26.2(1).</w:t>
      </w:r>
    </w:p>
    <w:p w:rsidR="00E70F7D" w:rsidRDefault="00E70F7D" w:rsidP="00E70F7D">
      <w:pPr>
        <w:pStyle w:val="ParaNoNdepar-AltN"/>
        <w:numPr>
          <w:ilvl w:val="0"/>
          <w:numId w:val="2"/>
        </w:numPr>
        <w:rPr>
          <w:rFonts w:cs="Times New Roman"/>
          <w:lang w:val="fr-CA"/>
        </w:rPr>
      </w:pPr>
      <w:r>
        <w:rPr>
          <w:rFonts w:cs="Times New Roman"/>
          <w:lang w:val="fr-CA"/>
        </w:rPr>
        <w:t>Enfin, même si le Tribunal n’a pas formulé la question en litige aussi précisément que je le fais dans les présents motifs, ce n’est pas fatal. On ne peut nier qu’il comprend bien le débat qu’il est appelé à trancher : il dégage la vue d’ensemble et saisit les conséquences qui découlent des interprétations concurrentes du par. 196(1). Il comprend et analyse l’alternative qui lui est présentée : adopter une approche étroite et textuelle ou une approche plus large, plus contextuelle. Sa décision est rationnelle et offre une base juridique au contrôle. La cour de révision peut étoffer les motifs d’un décideur administratif en respectant les limites qui s’imposent (</w:t>
      </w:r>
      <w:r>
        <w:rPr>
          <w:rFonts w:cs="Times New Roman"/>
          <w:i/>
          <w:lang w:val="fr-CA"/>
        </w:rPr>
        <w:t>Newfoundland and Labrador Nurses’ Union c. Terre</w:t>
      </w:r>
      <w:r>
        <w:rPr>
          <w:rFonts w:cs="Times New Roman"/>
          <w:i/>
          <w:lang w:val="fr-CA"/>
        </w:rPr>
        <w:noBreakHyphen/>
        <w:t>Neuve</w:t>
      </w:r>
      <w:r>
        <w:rPr>
          <w:rFonts w:cs="Times New Roman"/>
          <w:i/>
          <w:lang w:val="fr-CA"/>
        </w:rPr>
        <w:noBreakHyphen/>
        <w:t>et</w:t>
      </w:r>
      <w:r>
        <w:rPr>
          <w:rFonts w:cs="Times New Roman"/>
          <w:i/>
          <w:lang w:val="fr-CA"/>
        </w:rPr>
        <w:noBreakHyphen/>
        <w:t>Labrador (Conseil du Trésor)</w:t>
      </w:r>
      <w:r>
        <w:rPr>
          <w:rFonts w:cs="Times New Roman"/>
          <w:lang w:val="fr-CA"/>
        </w:rPr>
        <w:t>, 2011 CSC 62, [2011] 3 R.C.S. 708</w:t>
      </w:r>
      <w:r w:rsidR="00650A78">
        <w:rPr>
          <w:rFonts w:cs="Times New Roman"/>
          <w:lang w:val="fr-CA"/>
        </w:rPr>
        <w:t>,</w:t>
      </w:r>
      <w:r>
        <w:rPr>
          <w:rFonts w:cs="Times New Roman"/>
          <w:lang w:val="fr-CA"/>
        </w:rPr>
        <w:t xml:space="preserve"> par. 16</w:t>
      </w:r>
      <w:r>
        <w:rPr>
          <w:rFonts w:cs="Times New Roman"/>
          <w:lang w:val="fr-CA"/>
        </w:rPr>
        <w:noBreakHyphen/>
        <w:t>18). Le tribunal ne franchit clairement pas ces limites en l’espèce.</w:t>
      </w:r>
    </w:p>
    <w:p w:rsidR="00E70F7D" w:rsidRDefault="00E70F7D" w:rsidP="00E70F7D">
      <w:pPr>
        <w:pStyle w:val="ParaNoNdepar-AltN"/>
        <w:numPr>
          <w:ilvl w:val="0"/>
          <w:numId w:val="2"/>
        </w:numPr>
        <w:rPr>
          <w:rFonts w:cs="Times New Roman"/>
          <w:lang w:val="fr-CA"/>
        </w:rPr>
      </w:pPr>
      <w:r>
        <w:rPr>
          <w:rFonts w:cs="Times New Roman"/>
          <w:lang w:val="fr-CA"/>
        </w:rPr>
        <w:t>Pour ces motifs, je conclus que l’interprétation du Tribunal selon laquelle le par. 196(1) s’applique à West Fraser Mills du fait que celle</w:t>
      </w:r>
      <w:r>
        <w:rPr>
          <w:rFonts w:cs="Times New Roman"/>
          <w:lang w:val="fr-CA"/>
        </w:rPr>
        <w:noBreakHyphen/>
        <w:t>ci exerçait ses activités en lien avec le lieu de travail où le décès est survenu n’est pas manifestement déraisonnable.</w:t>
      </w:r>
    </w:p>
    <w:p w:rsidR="00E70F7D" w:rsidRDefault="00E70F7D" w:rsidP="00E70F7D">
      <w:pPr>
        <w:pStyle w:val="Title1LevelTitre1Niveau-AltL"/>
        <w:rPr>
          <w:rFonts w:cs="Times New Roman"/>
          <w:lang w:val="fr-CA"/>
        </w:rPr>
      </w:pPr>
      <w:r>
        <w:rPr>
          <w:rFonts w:cs="Times New Roman"/>
          <w:lang w:val="fr-CA"/>
        </w:rPr>
        <w:lastRenderedPageBreak/>
        <w:t>Dispositif</w:t>
      </w:r>
    </w:p>
    <w:p w:rsidR="00E70F7D" w:rsidRDefault="00E70F7D" w:rsidP="00E70F7D">
      <w:pPr>
        <w:pStyle w:val="ParaNoNdepar-AltN"/>
        <w:numPr>
          <w:ilvl w:val="0"/>
          <w:numId w:val="2"/>
        </w:numPr>
        <w:rPr>
          <w:rFonts w:cs="Times New Roman"/>
          <w:lang w:val="fr-CA"/>
        </w:rPr>
      </w:pPr>
      <w:r>
        <w:rPr>
          <w:rFonts w:cs="Times New Roman"/>
          <w:lang w:val="fr-CA"/>
        </w:rPr>
        <w:t xml:space="preserve">Je suis d’avis de rejeter le pourvoi et de confirmer la décision du Tribunal. Aucuns dépens ne sont adjugés au Tribunal, mais des dépens devant la Cour et les juridictions inférieures sont </w:t>
      </w:r>
      <w:proofErr w:type="gramStart"/>
      <w:r>
        <w:rPr>
          <w:rFonts w:cs="Times New Roman"/>
          <w:lang w:val="fr-CA"/>
        </w:rPr>
        <w:t>adjugés</w:t>
      </w:r>
      <w:proofErr w:type="gramEnd"/>
      <w:r>
        <w:rPr>
          <w:rFonts w:cs="Times New Roman"/>
          <w:lang w:val="fr-CA"/>
        </w:rPr>
        <w:t xml:space="preserve"> à la Commission, conformément aux vœux des deux parties.</w:t>
      </w:r>
    </w:p>
    <w:p w:rsidR="00E70F7D" w:rsidRDefault="00E70F7D" w:rsidP="00683131">
      <w:pPr>
        <w:pStyle w:val="ParaNoNdepar-AltN"/>
        <w:numPr>
          <w:ilvl w:val="0"/>
          <w:numId w:val="0"/>
        </w:numPr>
        <w:ind w:firstLine="1170"/>
        <w:rPr>
          <w:lang w:val="fr-CA"/>
        </w:rPr>
      </w:pPr>
      <w:r w:rsidRPr="00A040E4">
        <w:rPr>
          <w:lang w:val="fr-CA"/>
        </w:rPr>
        <w:t>Version française des motifs rendus par</w:t>
      </w:r>
    </w:p>
    <w:p w:rsidR="00E70F7D" w:rsidRPr="007B78C8" w:rsidRDefault="00E70F7D" w:rsidP="00E70F7D">
      <w:pPr>
        <w:pStyle w:val="JudgeJuge"/>
        <w:spacing w:before="480"/>
        <w:rPr>
          <w:lang w:val="fr-CA"/>
        </w:rPr>
      </w:pPr>
      <w:r w:rsidRPr="007B78C8">
        <w:rPr>
          <w:lang w:val="fr-CA"/>
        </w:rPr>
        <w:tab/>
        <w:t>La juge Côté</w:t>
      </w:r>
      <w:r w:rsidR="00683131">
        <w:rPr>
          <w:lang w:val="fr-CA"/>
        </w:rPr>
        <w:t xml:space="preserve"> (</w:t>
      </w:r>
      <w:r w:rsidR="00683131" w:rsidRPr="00683131">
        <w:rPr>
          <w:smallCaps w:val="0"/>
          <w:lang w:val="fr-CA"/>
        </w:rPr>
        <w:t>dissidente</w:t>
      </w:r>
      <w:r w:rsidR="00683131">
        <w:rPr>
          <w:lang w:val="fr-CA"/>
        </w:rPr>
        <w:t xml:space="preserve">) </w:t>
      </w:r>
      <w:r w:rsidRPr="007B78C8">
        <w:rPr>
          <w:lang w:val="fr-CA"/>
        </w:rPr>
        <w:t xml:space="preserve">— </w:t>
      </w:r>
    </w:p>
    <w:p w:rsidR="00E70F7D" w:rsidRPr="00671A09" w:rsidRDefault="00E70F7D" w:rsidP="00671A09">
      <w:pPr>
        <w:pStyle w:val="Title1LevelTitre1Niveau-AltL"/>
        <w:numPr>
          <w:ilvl w:val="0"/>
          <w:numId w:val="16"/>
        </w:numPr>
        <w:rPr>
          <w:rFonts w:cs="Times New Roman"/>
          <w:lang w:val="fr-CA"/>
        </w:rPr>
      </w:pPr>
      <w:r w:rsidRPr="00671A09">
        <w:rPr>
          <w:rFonts w:cs="Times New Roman"/>
          <w:lang w:val="fr-CA"/>
        </w:rPr>
        <w:t>Introduction</w:t>
      </w:r>
    </w:p>
    <w:p w:rsidR="00E70F7D" w:rsidRPr="007B78C8" w:rsidRDefault="00E70F7D" w:rsidP="00E70F7D">
      <w:pPr>
        <w:pStyle w:val="ParaNoNdepar-AltN"/>
        <w:rPr>
          <w:lang w:val="fr-CA"/>
        </w:rPr>
      </w:pPr>
      <w:r w:rsidRPr="007B78C8">
        <w:rPr>
          <w:lang w:val="fr-CA"/>
        </w:rPr>
        <w:t xml:space="preserve">West Fraser Mills Ltd. (« West Fraser ») a retenu les services d’un entrepreneur indépendant pour abattre des « arbres pièges » en vue de réduire la population d’insectes sur sa propriété. L’entrepreneur a embauché à son tour un abatteur pour exécuter les travaux. L’abatteur rendait compte à l’entrepreneur et travaillait sous sa surveillance, et non celle de West Fraser. West Fraser était certes « propriétaire » du lieu de travail au sens de la </w:t>
      </w:r>
      <w:r w:rsidRPr="007B78C8">
        <w:rPr>
          <w:i/>
          <w:lang w:val="fr-CA"/>
        </w:rPr>
        <w:t>Workers’ Compensation Act</w:t>
      </w:r>
      <w:r w:rsidRPr="007B78C8">
        <w:rPr>
          <w:lang w:val="fr-CA"/>
        </w:rPr>
        <w:t>, R.S.B.C. 1996, c. 492</w:t>
      </w:r>
      <w:r w:rsidRPr="007B78C8">
        <w:rPr>
          <w:i/>
          <w:lang w:val="fr-CA"/>
        </w:rPr>
        <w:t xml:space="preserve"> </w:t>
      </w:r>
      <w:r w:rsidRPr="007B78C8">
        <w:rPr>
          <w:lang w:val="fr-CA"/>
        </w:rPr>
        <w:t>(« Loi »), mais les parties conviennent qu’elle n’était pas l’employeur de l’abatteur.</w:t>
      </w:r>
    </w:p>
    <w:p w:rsidR="00E70F7D" w:rsidRPr="007B78C8" w:rsidRDefault="00E70F7D" w:rsidP="00E70F7D">
      <w:pPr>
        <w:pStyle w:val="ParaNoNdepar-AltN"/>
        <w:rPr>
          <w:rFonts w:cs="Times New Roman"/>
          <w:lang w:val="fr-CA"/>
        </w:rPr>
      </w:pPr>
      <w:r w:rsidRPr="007B78C8">
        <w:rPr>
          <w:rFonts w:cs="Times New Roman"/>
          <w:lang w:val="fr-CA"/>
        </w:rPr>
        <w:t>La Workers</w:t>
      </w:r>
      <w:r w:rsidR="009935AC">
        <w:rPr>
          <w:rFonts w:cs="Times New Roman"/>
          <w:lang w:val="fr-CA"/>
        </w:rPr>
        <w:t>’</w:t>
      </w:r>
      <w:r w:rsidRPr="007B78C8">
        <w:rPr>
          <w:rFonts w:cs="Times New Roman"/>
          <w:lang w:val="fr-CA"/>
        </w:rPr>
        <w:t xml:space="preserve"> Compensation Board de la Colombie</w:t>
      </w:r>
      <w:r>
        <w:rPr>
          <w:rFonts w:cs="Times New Roman"/>
          <w:lang w:val="fr-CA"/>
        </w:rPr>
        <w:noBreakHyphen/>
      </w:r>
      <w:r w:rsidRPr="007B78C8">
        <w:rPr>
          <w:rFonts w:cs="Times New Roman"/>
          <w:lang w:val="fr-CA"/>
        </w:rPr>
        <w:t xml:space="preserve">Britannique (« Commission ») a fait enquête sur le décès de l’abatteur causé par la chute d’un arbre </w:t>
      </w:r>
      <w:r w:rsidRPr="007B78C8">
        <w:rPr>
          <w:rFonts w:cs="Times New Roman"/>
          <w:lang w:val="fr-CA"/>
        </w:rPr>
        <w:lastRenderedPageBreak/>
        <w:t xml:space="preserve">en décomposition. Dans son rapport, elle conclut notamment que West Fraser a contrevenu au </w:t>
      </w:r>
      <w:r>
        <w:rPr>
          <w:rFonts w:cs="Times New Roman"/>
          <w:lang w:val="fr-CA"/>
        </w:rPr>
        <w:t>par. </w:t>
      </w:r>
      <w:r w:rsidRPr="007B78C8">
        <w:rPr>
          <w:rFonts w:cs="Times New Roman"/>
          <w:lang w:val="fr-CA"/>
        </w:rPr>
        <w:t>26.2(1) de l’</w:t>
      </w:r>
      <w:proofErr w:type="spellStart"/>
      <w:r w:rsidRPr="007B78C8">
        <w:rPr>
          <w:rFonts w:cs="Times New Roman"/>
          <w:i/>
          <w:lang w:val="fr-CA"/>
        </w:rPr>
        <w:t>Occupational</w:t>
      </w:r>
      <w:proofErr w:type="spellEnd"/>
      <w:r w:rsidRPr="007B78C8">
        <w:rPr>
          <w:rFonts w:cs="Times New Roman"/>
          <w:i/>
          <w:lang w:val="fr-CA"/>
        </w:rPr>
        <w:t xml:space="preserve"> Health and </w:t>
      </w:r>
      <w:proofErr w:type="spellStart"/>
      <w:r w:rsidRPr="007B78C8">
        <w:rPr>
          <w:rFonts w:cs="Times New Roman"/>
          <w:i/>
          <w:lang w:val="fr-CA"/>
        </w:rPr>
        <w:t>Safety</w:t>
      </w:r>
      <w:proofErr w:type="spellEnd"/>
      <w:r w:rsidRPr="007B78C8">
        <w:rPr>
          <w:rFonts w:cs="Times New Roman"/>
          <w:i/>
          <w:lang w:val="fr-CA"/>
        </w:rPr>
        <w:t xml:space="preserve"> </w:t>
      </w:r>
      <w:proofErr w:type="spellStart"/>
      <w:r w:rsidRPr="007B78C8">
        <w:rPr>
          <w:rFonts w:cs="Times New Roman"/>
          <w:i/>
          <w:lang w:val="fr-CA"/>
        </w:rPr>
        <w:t>Regulation</w:t>
      </w:r>
      <w:proofErr w:type="spellEnd"/>
      <w:r w:rsidRPr="007B78C8">
        <w:rPr>
          <w:rFonts w:cs="Times New Roman"/>
          <w:lang w:val="fr-CA"/>
        </w:rPr>
        <w:t>, B.C. Reg. 296/97</w:t>
      </w:r>
      <w:r w:rsidRPr="007B78C8">
        <w:rPr>
          <w:rFonts w:cs="Times New Roman"/>
          <w:i/>
          <w:lang w:val="fr-CA"/>
        </w:rPr>
        <w:t xml:space="preserve"> </w:t>
      </w:r>
      <w:r w:rsidRPr="007B78C8">
        <w:rPr>
          <w:rFonts w:cs="Times New Roman"/>
          <w:lang w:val="fr-CA"/>
        </w:rPr>
        <w:t xml:space="preserve">(« Règlement »). Elle lui a également imposé une sanction administrative en vertu du </w:t>
      </w:r>
      <w:r>
        <w:rPr>
          <w:rFonts w:cs="Times New Roman"/>
          <w:lang w:val="fr-CA"/>
        </w:rPr>
        <w:t>par. </w:t>
      </w:r>
      <w:r w:rsidRPr="007B78C8">
        <w:rPr>
          <w:rFonts w:cs="Times New Roman"/>
          <w:lang w:val="fr-CA"/>
        </w:rPr>
        <w:t xml:space="preserve">196(1) de la Loi pour cette infraction. </w:t>
      </w:r>
    </w:p>
    <w:p w:rsidR="00E70F7D" w:rsidRPr="007B78C8" w:rsidRDefault="00E70F7D" w:rsidP="00E70F7D">
      <w:pPr>
        <w:pStyle w:val="ParaNoNdepar-AltN"/>
        <w:rPr>
          <w:rFonts w:cs="Times New Roman"/>
          <w:lang w:val="fr-CA"/>
        </w:rPr>
      </w:pPr>
      <w:r w:rsidRPr="007B78C8">
        <w:rPr>
          <w:rFonts w:cs="Times New Roman"/>
          <w:lang w:val="fr-CA"/>
        </w:rPr>
        <w:t xml:space="preserve">Le présent pourvoi soulève deux questions. Premièrement, le </w:t>
      </w:r>
      <w:r>
        <w:rPr>
          <w:rFonts w:cs="Times New Roman"/>
          <w:lang w:val="fr-CA"/>
        </w:rPr>
        <w:t>par. </w:t>
      </w:r>
      <w:r w:rsidRPr="007B78C8">
        <w:rPr>
          <w:rFonts w:cs="Times New Roman"/>
          <w:lang w:val="fr-CA"/>
        </w:rPr>
        <w:t>26.2(1) du Règlement est</w:t>
      </w:r>
      <w:r>
        <w:rPr>
          <w:rFonts w:cs="Times New Roman"/>
          <w:lang w:val="fr-CA"/>
        </w:rPr>
        <w:noBreakHyphen/>
      </w:r>
      <w:r w:rsidRPr="007B78C8">
        <w:rPr>
          <w:rFonts w:cs="Times New Roman"/>
          <w:lang w:val="fr-CA"/>
        </w:rPr>
        <w:t xml:space="preserve">il </w:t>
      </w:r>
      <w:r w:rsidRPr="007B78C8">
        <w:rPr>
          <w:rFonts w:cs="Times New Roman"/>
          <w:i/>
          <w:lang w:val="fr-CA"/>
        </w:rPr>
        <w:t>ultra vires</w:t>
      </w:r>
      <w:r w:rsidRPr="007B78C8">
        <w:rPr>
          <w:rFonts w:cs="Times New Roman"/>
          <w:lang w:val="fr-CA"/>
        </w:rPr>
        <w:t>? Deuxièmement, dans la négative, la Commission peut</w:t>
      </w:r>
      <w:r>
        <w:rPr>
          <w:rFonts w:cs="Times New Roman"/>
          <w:lang w:val="fr-CA"/>
        </w:rPr>
        <w:noBreakHyphen/>
      </w:r>
      <w:r w:rsidRPr="007B78C8">
        <w:rPr>
          <w:rFonts w:cs="Times New Roman"/>
          <w:lang w:val="fr-CA"/>
        </w:rPr>
        <w:t xml:space="preserve">elle imposer à West Fraser une sanction administrative pour avoir manqué à ses obligations de propriétaire? À mon avis, le </w:t>
      </w:r>
      <w:r>
        <w:rPr>
          <w:rFonts w:cs="Times New Roman"/>
          <w:lang w:val="fr-CA"/>
        </w:rPr>
        <w:t>par. </w:t>
      </w:r>
      <w:r w:rsidRPr="007B78C8">
        <w:rPr>
          <w:rFonts w:cs="Times New Roman"/>
          <w:lang w:val="fr-CA"/>
        </w:rPr>
        <w:t xml:space="preserve">26.2(1) outrepasse le pouvoir délégué de la Commission, de sorte que la disposition est </w:t>
      </w:r>
      <w:r w:rsidRPr="007B78C8">
        <w:rPr>
          <w:rFonts w:cs="Times New Roman"/>
          <w:i/>
          <w:lang w:val="fr-CA"/>
        </w:rPr>
        <w:t>ultra vires</w:t>
      </w:r>
      <w:r w:rsidRPr="007B78C8">
        <w:rPr>
          <w:rFonts w:cs="Times New Roman"/>
          <w:lang w:val="fr-CA"/>
        </w:rPr>
        <w:t xml:space="preserve">. Et même si le </w:t>
      </w:r>
      <w:r>
        <w:rPr>
          <w:rFonts w:cs="Times New Roman"/>
          <w:lang w:val="fr-CA"/>
        </w:rPr>
        <w:t>par. </w:t>
      </w:r>
      <w:r w:rsidRPr="007B78C8">
        <w:rPr>
          <w:rFonts w:cs="Times New Roman"/>
          <w:lang w:val="fr-CA"/>
        </w:rPr>
        <w:t xml:space="preserve">26.2(1) était </w:t>
      </w:r>
      <w:r w:rsidRPr="007B78C8">
        <w:rPr>
          <w:rFonts w:cs="Times New Roman"/>
          <w:i/>
          <w:lang w:val="fr-CA"/>
        </w:rPr>
        <w:t>intra vires</w:t>
      </w:r>
      <w:r w:rsidRPr="007B78C8">
        <w:rPr>
          <w:rFonts w:cs="Times New Roman"/>
          <w:lang w:val="fr-CA"/>
        </w:rPr>
        <w:t>, la Commission a eu tort d’imposer une sanction administrative à West Fraser. Je suis donc d’avis d’accueillir le pourvoi.</w:t>
      </w:r>
    </w:p>
    <w:p w:rsidR="00E70F7D" w:rsidRPr="007B78C8" w:rsidRDefault="00E70F7D" w:rsidP="00E70F7D">
      <w:pPr>
        <w:pStyle w:val="Title1LevelTitre1Niveau-AltL"/>
        <w:numPr>
          <w:ilvl w:val="0"/>
          <w:numId w:val="9"/>
        </w:numPr>
        <w:rPr>
          <w:rFonts w:cs="Times New Roman"/>
          <w:i/>
          <w:lang w:val="fr-CA"/>
        </w:rPr>
      </w:pPr>
      <w:r w:rsidRPr="007B78C8">
        <w:rPr>
          <w:rFonts w:cs="Times New Roman"/>
          <w:lang w:val="fr-CA"/>
        </w:rPr>
        <w:t>Validité du par</w:t>
      </w:r>
      <w:r w:rsidR="009935AC">
        <w:rPr>
          <w:rFonts w:cs="Times New Roman"/>
          <w:lang w:val="fr-CA"/>
        </w:rPr>
        <w:t xml:space="preserve">. </w:t>
      </w:r>
      <w:r w:rsidRPr="007B78C8">
        <w:rPr>
          <w:rFonts w:cs="Times New Roman"/>
          <w:lang w:val="fr-CA"/>
        </w:rPr>
        <w:t>26.2(1) du Règlement</w:t>
      </w:r>
    </w:p>
    <w:p w:rsidR="00E70F7D" w:rsidRPr="007B78C8" w:rsidRDefault="00E70F7D" w:rsidP="00E70F7D">
      <w:pPr>
        <w:pStyle w:val="ParaNoNdepar-AltN"/>
        <w:rPr>
          <w:rFonts w:cs="Times New Roman"/>
          <w:lang w:val="fr-CA"/>
        </w:rPr>
      </w:pPr>
      <w:r w:rsidRPr="007B78C8">
        <w:rPr>
          <w:rFonts w:eastAsiaTheme="minorHAnsi" w:cs="Times New Roman"/>
          <w:lang w:val="fr-CA"/>
        </w:rPr>
        <w:t xml:space="preserve">La Loi confère à la Commission le pouvoir d’adopter certains types de règlement. C’est en vertu de ce pouvoir qu’elle a adopté le </w:t>
      </w:r>
      <w:r>
        <w:rPr>
          <w:rFonts w:eastAsiaTheme="minorHAnsi" w:cs="Times New Roman"/>
          <w:lang w:val="fr-CA"/>
        </w:rPr>
        <w:t>par. </w:t>
      </w:r>
      <w:r w:rsidRPr="007B78C8">
        <w:rPr>
          <w:rFonts w:eastAsiaTheme="minorHAnsi" w:cs="Times New Roman"/>
          <w:lang w:val="fr-CA"/>
        </w:rPr>
        <w:t xml:space="preserve">26.2(1), qui assujettit le propriétaire d’une entreprise d’exploitation forestière à certaines obligations. West Fraser, que la Commission a déclarée coupable d’une infraction au </w:t>
      </w:r>
      <w:r>
        <w:rPr>
          <w:rFonts w:eastAsiaTheme="minorHAnsi" w:cs="Times New Roman"/>
          <w:lang w:val="fr-CA"/>
        </w:rPr>
        <w:t>par. </w:t>
      </w:r>
      <w:r w:rsidRPr="007B78C8">
        <w:rPr>
          <w:rFonts w:eastAsiaTheme="minorHAnsi" w:cs="Times New Roman"/>
          <w:lang w:val="fr-CA"/>
        </w:rPr>
        <w:t>26.2(1), conteste le pouvoir de la Commission d’adopter cette disposition réglementaire aux termes de la Loi.</w:t>
      </w:r>
    </w:p>
    <w:p w:rsidR="00E70F7D" w:rsidRPr="007B78C8" w:rsidRDefault="00E70F7D" w:rsidP="00E70F7D">
      <w:pPr>
        <w:pStyle w:val="Title2LevelTitre2Niveau"/>
        <w:numPr>
          <w:ilvl w:val="1"/>
          <w:numId w:val="9"/>
        </w:numPr>
        <w:tabs>
          <w:tab w:val="clear" w:pos="1569"/>
          <w:tab w:val="num" w:pos="576"/>
        </w:tabs>
        <w:ind w:left="576"/>
        <w:rPr>
          <w:rFonts w:cs="Times New Roman"/>
          <w:lang w:val="fr-CA"/>
        </w:rPr>
      </w:pPr>
      <w:r w:rsidRPr="007B78C8">
        <w:rPr>
          <w:rFonts w:cs="Times New Roman"/>
          <w:lang w:val="fr-CA"/>
        </w:rPr>
        <w:t>Norme de contrôle</w:t>
      </w:r>
    </w:p>
    <w:p w:rsidR="00E70F7D" w:rsidRPr="007B78C8" w:rsidRDefault="00E70F7D" w:rsidP="00E70F7D">
      <w:pPr>
        <w:pStyle w:val="ParaNoNdepar-AltN"/>
        <w:rPr>
          <w:rFonts w:cs="Times New Roman"/>
          <w:lang w:val="fr-CA"/>
        </w:rPr>
      </w:pPr>
      <w:r w:rsidRPr="007B78C8">
        <w:rPr>
          <w:rFonts w:cs="Times New Roman"/>
          <w:lang w:val="fr-CA"/>
        </w:rPr>
        <w:lastRenderedPageBreak/>
        <w:t>La norme de la décision correcte est la norme de contrôle qu’il convient d’appliquer pour décider si un organisme a outrepassé ou non son pouvoir de réglementation. La première question que soulève le présent pourvoi est de nature juridictionnelle</w:t>
      </w:r>
      <w:r>
        <w:rPr>
          <w:rFonts w:cs="Times New Roman"/>
          <w:lang w:val="fr-CA"/>
        </w:rPr>
        <w:t> :</w:t>
      </w:r>
      <w:r w:rsidRPr="007B78C8">
        <w:rPr>
          <w:rFonts w:cs="Times New Roman"/>
          <w:lang w:val="fr-CA"/>
        </w:rPr>
        <w:t xml:space="preserve"> la Commission a</w:t>
      </w:r>
      <w:r>
        <w:rPr>
          <w:rFonts w:cs="Times New Roman"/>
          <w:lang w:val="fr-CA"/>
        </w:rPr>
        <w:noBreakHyphen/>
      </w:r>
      <w:r w:rsidRPr="007B78C8">
        <w:rPr>
          <w:rFonts w:cs="Times New Roman"/>
          <w:lang w:val="fr-CA"/>
        </w:rPr>
        <w:t>t</w:t>
      </w:r>
      <w:r>
        <w:rPr>
          <w:rFonts w:cs="Times New Roman"/>
          <w:lang w:val="fr-CA"/>
        </w:rPr>
        <w:noBreakHyphen/>
      </w:r>
      <w:r w:rsidRPr="007B78C8">
        <w:rPr>
          <w:rFonts w:cs="Times New Roman"/>
          <w:lang w:val="fr-CA"/>
        </w:rPr>
        <w:t xml:space="preserve">elle </w:t>
      </w:r>
      <w:r w:rsidRPr="007B78C8">
        <w:rPr>
          <w:rFonts w:cs="Times New Roman"/>
          <w:i/>
          <w:lang w:val="fr-CA"/>
        </w:rPr>
        <w:t>même seulement</w:t>
      </w:r>
      <w:r w:rsidRPr="007B78C8">
        <w:rPr>
          <w:rFonts w:cs="Times New Roman"/>
          <w:lang w:val="fr-CA"/>
        </w:rPr>
        <w:t xml:space="preserve"> le pouvoir d’adopter un tel règlement? Il ne s’agit pas de se prononcer sur la valeur ou la teneur du règlement. La question appelle seulement une réponse</w:t>
      </w:r>
      <w:r>
        <w:rPr>
          <w:rFonts w:cs="Times New Roman"/>
          <w:lang w:val="fr-CA"/>
        </w:rPr>
        <w:t> :</w:t>
      </w:r>
      <w:r w:rsidRPr="007B78C8">
        <w:rPr>
          <w:rFonts w:cs="Times New Roman"/>
          <w:lang w:val="fr-CA"/>
        </w:rPr>
        <w:t xml:space="preserve"> soit la Commission a agi dans les limites de ses pouvoirs, soit elle a outrepassé ceux</w:t>
      </w:r>
      <w:r>
        <w:rPr>
          <w:rFonts w:cs="Times New Roman"/>
          <w:lang w:val="fr-CA"/>
        </w:rPr>
        <w:noBreakHyphen/>
      </w:r>
      <w:r w:rsidRPr="007B78C8">
        <w:rPr>
          <w:rFonts w:cs="Times New Roman"/>
          <w:lang w:val="fr-CA"/>
        </w:rPr>
        <w:t xml:space="preserve">ci. Il n’y a pas plusieurs issues « raisonnables » possibles lorsqu’il s’agit de décider si la Commission — qui ne possède que le pouvoir qui lui est délégué par le législateur — a exercé son pouvoir de réglementation conformément à son mandat. Dès lors, l’application de la norme de la décision correcte oblige simplement la cour de révision à entreprendre sa propre analyse du pouvoir de réglementation conféré par la loi, en recourant aux règles habituelles d’interprétation législative, et à décider si le règlement contesté relève ou non de ce pouvoir. </w:t>
      </w:r>
    </w:p>
    <w:p w:rsidR="00E70F7D" w:rsidRPr="007B78C8" w:rsidRDefault="00E70F7D" w:rsidP="00E70F7D">
      <w:pPr>
        <w:pStyle w:val="ParaNoNdepar-AltN"/>
        <w:rPr>
          <w:rFonts w:cs="Times New Roman"/>
          <w:lang w:val="fr-CA"/>
        </w:rPr>
      </w:pPr>
      <w:r w:rsidRPr="007B78C8">
        <w:rPr>
          <w:rFonts w:cs="Times New Roman"/>
          <w:lang w:val="fr-CA"/>
        </w:rPr>
        <w:t>Le présent pourvoi fait ressortir une distinction importante entre les mesures prises par un organisme de réglementation dans l’exercice de sa fonction décisionnelle et les mesures qu’il prend dans l’exercice de sa fonction réglementaire, une distinction qui est au cœur des considérations de principe qui sous</w:t>
      </w:r>
      <w:r>
        <w:rPr>
          <w:rFonts w:cs="Times New Roman"/>
          <w:lang w:val="fr-CA"/>
        </w:rPr>
        <w:noBreakHyphen/>
      </w:r>
      <w:r w:rsidRPr="007B78C8">
        <w:rPr>
          <w:rFonts w:cs="Times New Roman"/>
          <w:lang w:val="fr-CA"/>
        </w:rPr>
        <w:t>tendent le contrôle judiciaire et l’analyse qui préside traditionnellement à la détermination de la norme de contrôle applicable.</w:t>
      </w:r>
    </w:p>
    <w:p w:rsidR="00E70F7D" w:rsidRPr="007B78C8" w:rsidRDefault="00E70F7D" w:rsidP="00E70F7D">
      <w:pPr>
        <w:pStyle w:val="ParaNoNdepar-AltN"/>
        <w:rPr>
          <w:rFonts w:cs="Times New Roman"/>
          <w:lang w:val="fr-CA"/>
        </w:rPr>
      </w:pPr>
      <w:r w:rsidRPr="007B78C8">
        <w:rPr>
          <w:rFonts w:cs="Times New Roman"/>
          <w:lang w:val="fr-CA"/>
        </w:rPr>
        <w:t xml:space="preserve">Un organisme de réglementation (en l’occurrence, la Commission) agit dans l’exercice de sa fonction décisionnelle lorsqu’il statue sur un différend dont il est </w:t>
      </w:r>
      <w:r w:rsidRPr="007B78C8">
        <w:rPr>
          <w:rFonts w:cs="Times New Roman"/>
          <w:lang w:val="fr-CA"/>
        </w:rPr>
        <w:lastRenderedPageBreak/>
        <w:t>saisi conformément à son mandat statutaire et au droit applicable. C’est dans ce contexte qu’un tribunal administratif peut faire appel à son expertise technique ou exercer son pouvoir discrétionnaire en fonction de ses préférences sur le plan des principes. C’est également dans ce contexte qu’il peut exister de multiples conclusions raisonnables lorsqu’il n’est pas possible d’affirmer qu’il n’y a qu’une « seule décision correcte » dans une affaire donnée (</w:t>
      </w:r>
      <w:r w:rsidRPr="007B78C8">
        <w:rPr>
          <w:rFonts w:cs="Times New Roman"/>
          <w:i/>
          <w:lang w:val="fr-CA"/>
        </w:rPr>
        <w:t>Dunsmuir c. Nouveau</w:t>
      </w:r>
      <w:r>
        <w:rPr>
          <w:rFonts w:cs="Times New Roman"/>
          <w:i/>
          <w:lang w:val="fr-CA"/>
        </w:rPr>
        <w:noBreakHyphen/>
      </w:r>
      <w:r w:rsidRPr="007B78C8">
        <w:rPr>
          <w:rFonts w:cs="Times New Roman"/>
          <w:i/>
          <w:lang w:val="fr-CA"/>
        </w:rPr>
        <w:t>Brunswick</w:t>
      </w:r>
      <w:r w:rsidRPr="007B78C8">
        <w:rPr>
          <w:rFonts w:cs="Times New Roman"/>
          <w:lang w:val="fr-CA"/>
        </w:rPr>
        <w:t xml:space="preserve">, 2008 CSC 9, [2008] </w:t>
      </w:r>
      <w:r w:rsidR="009935AC">
        <w:rPr>
          <w:rFonts w:cs="Times New Roman"/>
          <w:lang w:val="fr-CA"/>
        </w:rPr>
        <w:t>1</w:t>
      </w:r>
      <w:r w:rsidRPr="007B78C8">
        <w:rPr>
          <w:rFonts w:cs="Times New Roman"/>
          <w:lang w:val="fr-CA"/>
        </w:rPr>
        <w:t xml:space="preserve"> R.C.S. 190, </w:t>
      </w:r>
      <w:r>
        <w:rPr>
          <w:rFonts w:cs="Times New Roman"/>
          <w:lang w:val="fr-CA"/>
        </w:rPr>
        <w:t>par. </w:t>
      </w:r>
      <w:r w:rsidRPr="007B78C8">
        <w:rPr>
          <w:rFonts w:cs="Times New Roman"/>
          <w:lang w:val="fr-CA"/>
        </w:rPr>
        <w:t>146, le juge </w:t>
      </w:r>
      <w:proofErr w:type="spellStart"/>
      <w:r w:rsidRPr="007B78C8">
        <w:rPr>
          <w:rFonts w:cs="Times New Roman"/>
          <w:lang w:val="fr-CA"/>
        </w:rPr>
        <w:t>Binnie</w:t>
      </w:r>
      <w:proofErr w:type="spellEnd"/>
      <w:r w:rsidRPr="007B78C8">
        <w:rPr>
          <w:rFonts w:cs="Times New Roman"/>
          <w:lang w:val="fr-CA"/>
        </w:rPr>
        <w:t>).</w:t>
      </w:r>
    </w:p>
    <w:p w:rsidR="00E70F7D" w:rsidRPr="007B78C8" w:rsidRDefault="00E70F7D" w:rsidP="00E70F7D">
      <w:pPr>
        <w:pStyle w:val="ParaNoNdepar-AltN"/>
        <w:rPr>
          <w:rFonts w:cs="Times New Roman"/>
          <w:lang w:val="fr-CA"/>
        </w:rPr>
      </w:pPr>
      <w:r w:rsidRPr="007B78C8">
        <w:rPr>
          <w:rFonts w:cs="Times New Roman"/>
          <w:lang w:val="fr-CA"/>
        </w:rPr>
        <w:t>Par ailleurs, un organisme de réglementation agit dans l’exercice de sa fonction réglementaire lorsqu’il exerce le pouvoir de législation déléguée que lui confère la loi. L’étendue de son pouvoir de réglementation est une question qui relève strictement de l’interprétation statutaire</w:t>
      </w:r>
      <w:r>
        <w:rPr>
          <w:rFonts w:cs="Times New Roman"/>
          <w:lang w:val="fr-CA"/>
        </w:rPr>
        <w:t> :</w:t>
      </w:r>
      <w:r w:rsidRPr="007B78C8">
        <w:rPr>
          <w:rFonts w:cs="Times New Roman"/>
          <w:lang w:val="fr-CA"/>
        </w:rPr>
        <w:t xml:space="preserve"> le législateur autorise</w:t>
      </w:r>
      <w:r>
        <w:rPr>
          <w:rFonts w:cs="Times New Roman"/>
          <w:lang w:val="fr-CA"/>
        </w:rPr>
        <w:noBreakHyphen/>
      </w:r>
      <w:r w:rsidRPr="007B78C8">
        <w:rPr>
          <w:rFonts w:cs="Times New Roman"/>
          <w:lang w:val="fr-CA"/>
        </w:rPr>
        <w:t>t</w:t>
      </w:r>
      <w:r>
        <w:rPr>
          <w:rFonts w:cs="Times New Roman"/>
          <w:lang w:val="fr-CA"/>
        </w:rPr>
        <w:noBreakHyphen/>
      </w:r>
      <w:r w:rsidRPr="007B78C8">
        <w:rPr>
          <w:rFonts w:cs="Times New Roman"/>
          <w:lang w:val="fr-CA"/>
        </w:rPr>
        <w:t>il cet organisme à adopter le règlement ou l’organisme a</w:t>
      </w:r>
      <w:r>
        <w:rPr>
          <w:rFonts w:cs="Times New Roman"/>
          <w:lang w:val="fr-CA"/>
        </w:rPr>
        <w:noBreakHyphen/>
      </w:r>
      <w:r w:rsidRPr="007B78C8">
        <w:rPr>
          <w:rFonts w:cs="Times New Roman"/>
          <w:lang w:val="fr-CA"/>
        </w:rPr>
        <w:t>t</w:t>
      </w:r>
      <w:r>
        <w:rPr>
          <w:rFonts w:cs="Times New Roman"/>
          <w:lang w:val="fr-CA"/>
        </w:rPr>
        <w:noBreakHyphen/>
      </w:r>
      <w:r w:rsidRPr="007B78C8">
        <w:rPr>
          <w:rFonts w:cs="Times New Roman"/>
          <w:lang w:val="fr-CA"/>
        </w:rPr>
        <w:t xml:space="preserve">il outrepassé son pouvoir? Un organisme de réglementation ne possède pas à cet égard une expertise plus grande qu’une cour de justice pour trancher. Qui plus est, la remise en question de l’exercice du pouvoir d’un organisme de réglementer ne fait pas intervenir l’examen de faits particuliers ou de considérations de principe directes, puisque la valeur du règlement contesté n’est pas en cause. Dès lors, le respect de l’intention du législateur — l’une des pierres angulaires du contrôle judiciaire — requiert des cours de justice qu’elles surveillent étroitement les frontières du pouvoir délégué. </w:t>
      </w:r>
    </w:p>
    <w:p w:rsidR="00E70F7D" w:rsidRPr="007B78C8" w:rsidRDefault="00E70F7D" w:rsidP="00E70F7D">
      <w:pPr>
        <w:pStyle w:val="ParaNoNdepar-AltN"/>
        <w:rPr>
          <w:rFonts w:cs="Times New Roman"/>
          <w:lang w:val="fr-CA"/>
        </w:rPr>
      </w:pPr>
      <w:r w:rsidRPr="007B78C8">
        <w:rPr>
          <w:rFonts w:cs="Times New Roman"/>
          <w:lang w:val="fr-CA"/>
        </w:rPr>
        <w:t>En l’espèce, et comme elle l’admet elle</w:t>
      </w:r>
      <w:r>
        <w:rPr>
          <w:rFonts w:cs="Times New Roman"/>
          <w:lang w:val="fr-CA"/>
        </w:rPr>
        <w:noBreakHyphen/>
      </w:r>
      <w:r w:rsidRPr="007B78C8">
        <w:rPr>
          <w:rFonts w:cs="Times New Roman"/>
          <w:lang w:val="fr-CA"/>
        </w:rPr>
        <w:t xml:space="preserve">même, la Commission a incontestablement agi dans l’exercice de son pouvoir de réglementation, et non de son </w:t>
      </w:r>
      <w:r w:rsidRPr="007B78C8">
        <w:rPr>
          <w:rFonts w:cs="Times New Roman"/>
          <w:lang w:val="fr-CA"/>
        </w:rPr>
        <w:lastRenderedPageBreak/>
        <w:t xml:space="preserve">pouvoir décisionnel, en adoptant le </w:t>
      </w:r>
      <w:r>
        <w:rPr>
          <w:rFonts w:cs="Times New Roman"/>
          <w:lang w:val="fr-CA"/>
        </w:rPr>
        <w:t>par. </w:t>
      </w:r>
      <w:r w:rsidRPr="007B78C8">
        <w:rPr>
          <w:rFonts w:cs="Times New Roman"/>
          <w:lang w:val="fr-CA"/>
        </w:rPr>
        <w:t>26.2(1) du Règlement. Pour déterminer la norme de contrôle applicable, la Cour doit se demander s’il y a lieu d’accorder déférence à la conclusion de la Commission selon laquelle elle avait le pouvoir d’adopter le règlement contesté.</w:t>
      </w:r>
    </w:p>
    <w:p w:rsidR="00E70F7D" w:rsidRPr="007B78C8" w:rsidRDefault="00E70F7D" w:rsidP="00E70F7D">
      <w:pPr>
        <w:pStyle w:val="ParaNoNdepar-AltN"/>
        <w:rPr>
          <w:rFonts w:cs="Times New Roman"/>
          <w:lang w:val="fr-CA"/>
        </w:rPr>
      </w:pPr>
      <w:r w:rsidRPr="007B78C8">
        <w:rPr>
          <w:rFonts w:cs="Times New Roman"/>
          <w:lang w:val="fr-CA"/>
        </w:rPr>
        <w:t xml:space="preserve">Le cadre d’analyse de la norme de contrôle établi dans </w:t>
      </w:r>
      <w:r w:rsidRPr="007B78C8">
        <w:rPr>
          <w:rFonts w:cs="Times New Roman"/>
          <w:i/>
          <w:lang w:val="fr-CA"/>
        </w:rPr>
        <w:t>Dunsmuir</w:t>
      </w:r>
      <w:r w:rsidRPr="007B78C8">
        <w:rPr>
          <w:rFonts w:cs="Times New Roman"/>
          <w:lang w:val="fr-CA"/>
        </w:rPr>
        <w:t xml:space="preserve"> l’a été dans le contexte de la contestation de l’exercice du pouvoir décisionnel d’un tribunal administratif. Le litige portait sur la validité des conclusions d’un arbitre quant au congédiement d’un employé et à la norme de contrôle à appliquer. C’est dans ce contexte que la norme de contrôle de la décision raisonnable et celle de la décision correcte établies dans </w:t>
      </w:r>
      <w:r w:rsidRPr="007B78C8">
        <w:rPr>
          <w:rFonts w:cs="Times New Roman"/>
          <w:i/>
          <w:lang w:val="fr-CA"/>
        </w:rPr>
        <w:t>Dunsmuir</w:t>
      </w:r>
      <w:r w:rsidRPr="007B78C8">
        <w:rPr>
          <w:rFonts w:cs="Times New Roman"/>
          <w:lang w:val="fr-CA"/>
        </w:rPr>
        <w:t xml:space="preserve"> doivent être considérées. Or, dans la présente affaire, il n’y a pas lieu de décider si l’organisme de réglementation a bien statué sur un différend dont il était saisi. Il s’agit plutôt de savoir s’il a outrepassé son pouvoir en adoptant la disposition réglementaire contestée, c’est</w:t>
      </w:r>
      <w:r>
        <w:rPr>
          <w:rFonts w:cs="Times New Roman"/>
          <w:lang w:val="fr-CA"/>
        </w:rPr>
        <w:noBreakHyphen/>
      </w:r>
      <w:r w:rsidRPr="007B78C8">
        <w:rPr>
          <w:rFonts w:cs="Times New Roman"/>
          <w:lang w:val="fr-CA"/>
        </w:rPr>
        <w:t>à</w:t>
      </w:r>
      <w:r>
        <w:rPr>
          <w:rFonts w:cs="Times New Roman"/>
          <w:lang w:val="fr-CA"/>
        </w:rPr>
        <w:noBreakHyphen/>
      </w:r>
      <w:r w:rsidRPr="007B78C8">
        <w:rPr>
          <w:rFonts w:cs="Times New Roman"/>
          <w:lang w:val="fr-CA"/>
        </w:rPr>
        <w:t xml:space="preserve">dire en exerçant son pouvoir de réglementation. </w:t>
      </w:r>
    </w:p>
    <w:p w:rsidR="00E70F7D" w:rsidRPr="007B78C8" w:rsidRDefault="00E70F7D" w:rsidP="00E70F7D">
      <w:pPr>
        <w:pStyle w:val="ParaNoNdepar-AltN"/>
        <w:rPr>
          <w:rFonts w:cs="Times New Roman"/>
          <w:lang w:val="fr-CA"/>
        </w:rPr>
      </w:pPr>
      <w:r w:rsidRPr="007B78C8">
        <w:rPr>
          <w:rFonts w:cs="Times New Roman"/>
          <w:lang w:val="fr-CA"/>
        </w:rPr>
        <w:t xml:space="preserve">L’arrêt </w:t>
      </w:r>
      <w:r w:rsidRPr="007B78C8">
        <w:rPr>
          <w:rFonts w:cs="Times New Roman"/>
          <w:i/>
          <w:lang w:val="fr-CA"/>
        </w:rPr>
        <w:t xml:space="preserve">Dunsmuir </w:t>
      </w:r>
      <w:r w:rsidRPr="007B78C8">
        <w:rPr>
          <w:rFonts w:cs="Times New Roman"/>
          <w:lang w:val="fr-CA"/>
        </w:rPr>
        <w:t xml:space="preserve">est cependant éclairant. La Cour y reconnaît qu’« [u]n organisme administratif </w:t>
      </w:r>
      <w:r w:rsidRPr="007B78C8">
        <w:rPr>
          <w:rFonts w:cs="Times New Roman"/>
          <w:u w:val="single"/>
          <w:lang w:val="fr-CA"/>
        </w:rPr>
        <w:t>doit</w:t>
      </w:r>
      <w:r w:rsidRPr="007B78C8">
        <w:rPr>
          <w:rFonts w:cs="Times New Roman"/>
          <w:lang w:val="fr-CA"/>
        </w:rPr>
        <w:t xml:space="preserve"> [. . .] statuer correctement sur une question touchant véritablement à la compétence » (</w:t>
      </w:r>
      <w:r>
        <w:rPr>
          <w:rFonts w:cs="Times New Roman"/>
          <w:lang w:val="fr-CA"/>
        </w:rPr>
        <w:t>par. </w:t>
      </w:r>
      <w:r w:rsidRPr="007B78C8">
        <w:rPr>
          <w:rFonts w:cs="Times New Roman"/>
          <w:lang w:val="fr-CA"/>
        </w:rPr>
        <w:t xml:space="preserve">59 (je souligne)). Elle cite aussi en l’approuvant l’arrêt </w:t>
      </w:r>
      <w:r w:rsidRPr="007B78C8">
        <w:rPr>
          <w:rFonts w:cs="Times New Roman"/>
          <w:i/>
          <w:lang w:val="fr-CA"/>
        </w:rPr>
        <w:t xml:space="preserve">United Taxi Drivers’ </w:t>
      </w:r>
      <w:proofErr w:type="spellStart"/>
      <w:r w:rsidRPr="007B78C8">
        <w:rPr>
          <w:rFonts w:cs="Times New Roman"/>
          <w:i/>
          <w:lang w:val="fr-CA"/>
        </w:rPr>
        <w:t>Fellowship</w:t>
      </w:r>
      <w:proofErr w:type="spellEnd"/>
      <w:r w:rsidRPr="007B78C8">
        <w:rPr>
          <w:rFonts w:cs="Times New Roman"/>
          <w:i/>
          <w:lang w:val="fr-CA"/>
        </w:rPr>
        <w:t xml:space="preserve"> of </w:t>
      </w:r>
      <w:proofErr w:type="spellStart"/>
      <w:r w:rsidRPr="007B78C8">
        <w:rPr>
          <w:rFonts w:cs="Times New Roman"/>
          <w:i/>
          <w:lang w:val="fr-CA"/>
        </w:rPr>
        <w:t>Southern</w:t>
      </w:r>
      <w:proofErr w:type="spellEnd"/>
      <w:r w:rsidRPr="007B78C8">
        <w:rPr>
          <w:rFonts w:cs="Times New Roman"/>
          <w:i/>
          <w:lang w:val="fr-CA"/>
        </w:rPr>
        <w:t xml:space="preserve"> Alberta c. Calgary (Ville)</w:t>
      </w:r>
      <w:r w:rsidRPr="007B78C8">
        <w:rPr>
          <w:rFonts w:cs="Times New Roman"/>
          <w:lang w:val="fr-CA"/>
        </w:rPr>
        <w:t xml:space="preserve">, 2004 CSC 19, [2004] 1 R.C.S. 485, dans lequel elle avait examiné si un règlement de la ville de Calgary ayant pour effet de geler le nombre de plaques de taxi pouvant être délivrées relevait du pouvoir conféré à la municipalité par la </w:t>
      </w:r>
      <w:r w:rsidRPr="007B78C8">
        <w:rPr>
          <w:rFonts w:cs="Times New Roman"/>
          <w:i/>
          <w:lang w:val="fr-CA"/>
        </w:rPr>
        <w:t>Municipal Government Act</w:t>
      </w:r>
      <w:r w:rsidRPr="007B78C8">
        <w:rPr>
          <w:rFonts w:cs="Times New Roman"/>
          <w:lang w:val="fr-CA"/>
        </w:rPr>
        <w:t xml:space="preserve">, S.A. </w:t>
      </w:r>
      <w:r w:rsidRPr="007B78C8">
        <w:rPr>
          <w:rFonts w:cs="Times New Roman"/>
          <w:lang w:val="fr-CA"/>
        </w:rPr>
        <w:lastRenderedPageBreak/>
        <w:t>1994, c. M</w:t>
      </w:r>
      <w:r w:rsidR="009935AC">
        <w:rPr>
          <w:rFonts w:cs="Times New Roman"/>
          <w:lang w:val="fr-CA"/>
        </w:rPr>
        <w:t>-</w:t>
      </w:r>
      <w:r w:rsidRPr="007B78C8">
        <w:rPr>
          <w:rFonts w:cs="Times New Roman"/>
          <w:lang w:val="fr-CA"/>
        </w:rPr>
        <w:t>26</w:t>
      </w:r>
      <w:r w:rsidR="009935AC">
        <w:rPr>
          <w:rFonts w:cs="Times New Roman"/>
          <w:lang w:val="fr-CA"/>
        </w:rPr>
        <w:t>.1</w:t>
      </w:r>
      <w:r w:rsidRPr="007B78C8">
        <w:rPr>
          <w:rFonts w:cs="Times New Roman"/>
          <w:lang w:val="fr-CA"/>
        </w:rPr>
        <w:t xml:space="preserve">. Au nom des juges unanimes de la Cour, le juge </w:t>
      </w:r>
      <w:proofErr w:type="spellStart"/>
      <w:r w:rsidRPr="007B78C8">
        <w:rPr>
          <w:rFonts w:cs="Times New Roman"/>
          <w:lang w:val="fr-CA"/>
        </w:rPr>
        <w:t>Bastarache</w:t>
      </w:r>
      <w:proofErr w:type="spellEnd"/>
      <w:r w:rsidRPr="007B78C8">
        <w:rPr>
          <w:rFonts w:cs="Times New Roman"/>
          <w:lang w:val="fr-CA"/>
        </w:rPr>
        <w:t xml:space="preserve"> écrit (au </w:t>
      </w:r>
      <w:proofErr w:type="spellStart"/>
      <w:r>
        <w:rPr>
          <w:rFonts w:cs="Times New Roman"/>
          <w:lang w:val="fr-CA"/>
        </w:rPr>
        <w:t>par</w:t>
      </w:r>
      <w:proofErr w:type="spellEnd"/>
      <w:r>
        <w:rPr>
          <w:rFonts w:cs="Times New Roman"/>
          <w:lang w:val="fr-CA"/>
        </w:rPr>
        <w:t>. </w:t>
      </w:r>
      <w:r w:rsidRPr="007B78C8">
        <w:rPr>
          <w:rFonts w:cs="Times New Roman"/>
          <w:lang w:val="fr-CA"/>
        </w:rPr>
        <w:t>5)</w:t>
      </w:r>
      <w:r>
        <w:rPr>
          <w:rFonts w:cs="Times New Roman"/>
          <w:lang w:val="fr-CA"/>
        </w:rPr>
        <w:t> :</w:t>
      </w:r>
    </w:p>
    <w:p w:rsidR="00E70F7D" w:rsidRPr="007B78C8" w:rsidRDefault="00E70F7D" w:rsidP="00E70F7D">
      <w:pPr>
        <w:pStyle w:val="Citation-AltC"/>
        <w:ind w:hanging="1166"/>
        <w:contextualSpacing w:val="0"/>
        <w:rPr>
          <w:lang w:val="fr-CA"/>
        </w:rPr>
      </w:pPr>
      <w:r w:rsidRPr="007B78C8">
        <w:rPr>
          <w:lang w:val="fr-CA"/>
        </w:rPr>
        <w:tab/>
        <w:t xml:space="preserve">En l’espèce, il faut seulement se demander si, en vertu de la </w:t>
      </w:r>
      <w:r w:rsidRPr="007B78C8">
        <w:rPr>
          <w:i/>
          <w:lang w:val="fr-CA"/>
        </w:rPr>
        <w:t>Municipal Government Act</w:t>
      </w:r>
      <w:r w:rsidRPr="007B78C8">
        <w:rPr>
          <w:lang w:val="fr-CA"/>
        </w:rPr>
        <w:t xml:space="preserve">, la Ville a commis un excès de pouvoir en gelant la délivrance des plaques de taxi. </w:t>
      </w:r>
      <w:r w:rsidRPr="007B78C8">
        <w:rPr>
          <w:u w:val="single"/>
          <w:lang w:val="fr-CA"/>
        </w:rPr>
        <w:t>Les municipalités ne possèdent pas une expertise ou compétence institutionnelle plus grande que les tribunaux pour délimiter leur compétence. L’examen d’une telle question devra toujours se faire selon la norme de la décision correcte</w:t>
      </w:r>
      <w:r>
        <w:rPr>
          <w:lang w:val="fr-CA"/>
        </w:rPr>
        <w:t> :</w:t>
      </w:r>
      <w:r w:rsidRPr="007B78C8">
        <w:rPr>
          <w:lang w:val="fr-CA"/>
        </w:rPr>
        <w:t xml:space="preserve"> </w:t>
      </w:r>
      <w:r w:rsidRPr="007B78C8">
        <w:rPr>
          <w:i/>
          <w:lang w:val="fr-CA"/>
        </w:rPr>
        <w:t xml:space="preserve">Nanaimo (Ville) c. </w:t>
      </w:r>
      <w:proofErr w:type="spellStart"/>
      <w:r w:rsidRPr="007B78C8">
        <w:rPr>
          <w:i/>
          <w:lang w:val="fr-CA"/>
        </w:rPr>
        <w:t>Rascal</w:t>
      </w:r>
      <w:proofErr w:type="spellEnd"/>
      <w:r w:rsidRPr="007B78C8">
        <w:rPr>
          <w:i/>
          <w:lang w:val="fr-CA"/>
        </w:rPr>
        <w:t xml:space="preserve"> </w:t>
      </w:r>
      <w:proofErr w:type="spellStart"/>
      <w:r w:rsidRPr="007B78C8">
        <w:rPr>
          <w:i/>
          <w:lang w:val="fr-CA"/>
        </w:rPr>
        <w:t>Trucking</w:t>
      </w:r>
      <w:proofErr w:type="spellEnd"/>
      <w:r w:rsidRPr="007B78C8">
        <w:rPr>
          <w:i/>
          <w:lang w:val="fr-CA"/>
        </w:rPr>
        <w:t xml:space="preserve"> Ltd.</w:t>
      </w:r>
      <w:r w:rsidRPr="007B78C8">
        <w:rPr>
          <w:lang w:val="fr-CA"/>
        </w:rPr>
        <w:t xml:space="preserve">, [2000] 1 R.C.S. 342, 2000 CSC 13, </w:t>
      </w:r>
      <w:r>
        <w:rPr>
          <w:lang w:val="fr-CA"/>
        </w:rPr>
        <w:t>par. </w:t>
      </w:r>
      <w:r w:rsidRPr="007B78C8">
        <w:rPr>
          <w:lang w:val="fr-CA"/>
        </w:rPr>
        <w:t xml:space="preserve">29. </w:t>
      </w:r>
      <w:r w:rsidRPr="007B78C8">
        <w:rPr>
          <w:u w:val="single"/>
          <w:lang w:val="fr-CA"/>
        </w:rPr>
        <w:t>Il n’est pas nécessaire de procéder à une analyse pragmatique et fonctionnelle pour déterminer s’il y a eu excès de pouvoir; une telle démarche ne s’impose que dans le cas où une municipalité exerce une fonction juridictionnelle ou une fonction de prise de décisions de principe</w:t>
      </w:r>
      <w:r w:rsidRPr="00650A78">
        <w:rPr>
          <w:u w:val="single"/>
          <w:lang w:val="fr-CA"/>
        </w:rPr>
        <w:t>.</w:t>
      </w:r>
      <w:r w:rsidRPr="007B78C8">
        <w:rPr>
          <w:lang w:val="fr-CA"/>
        </w:rPr>
        <w:t xml:space="preserve"> [Je souligne.]</w:t>
      </w:r>
    </w:p>
    <w:p w:rsidR="00E70F7D" w:rsidRPr="007B78C8" w:rsidRDefault="00E70F7D" w:rsidP="00E70F7D">
      <w:pPr>
        <w:pStyle w:val="ParaNoNdepar-AltN"/>
        <w:tabs>
          <w:tab w:val="clear" w:pos="1152"/>
          <w:tab w:val="left" w:pos="1166"/>
        </w:tabs>
        <w:rPr>
          <w:rFonts w:cs="Times New Roman"/>
          <w:lang w:val="fr-CA"/>
        </w:rPr>
      </w:pPr>
      <w:r w:rsidRPr="007B78C8">
        <w:rPr>
          <w:rFonts w:cs="Times New Roman"/>
          <w:lang w:val="fr-CA"/>
        </w:rPr>
        <w:t xml:space="preserve">L’arrêt </w:t>
      </w:r>
      <w:r w:rsidRPr="007B78C8">
        <w:rPr>
          <w:rFonts w:cs="Times New Roman"/>
          <w:i/>
          <w:lang w:val="fr-CA"/>
        </w:rPr>
        <w:t xml:space="preserve">United Taxi </w:t>
      </w:r>
      <w:r w:rsidRPr="007B78C8">
        <w:rPr>
          <w:rFonts w:cs="Times New Roman"/>
          <w:lang w:val="fr-CA"/>
        </w:rPr>
        <w:t xml:space="preserve">s’applique clairement en l’espèce. Il reconnaît la distinction entre le pouvoir de réglementation et le pouvoir décisionnel (voir aussi </w:t>
      </w:r>
      <w:r w:rsidRPr="007B78C8">
        <w:rPr>
          <w:rFonts w:cs="Times New Roman"/>
          <w:i/>
          <w:lang w:val="fr-CA"/>
        </w:rPr>
        <w:t>Compagnie des chemins de fer nationaux du Canada c. Canada (Procureur général)</w:t>
      </w:r>
      <w:r w:rsidRPr="007B78C8">
        <w:rPr>
          <w:rFonts w:cs="Times New Roman"/>
          <w:lang w:val="fr-CA"/>
        </w:rPr>
        <w:t xml:space="preserve">, 2014 CSC 40, [2014] 2 R.C.S. 135, </w:t>
      </w:r>
      <w:r>
        <w:rPr>
          <w:rFonts w:cs="Times New Roman"/>
          <w:lang w:val="fr-CA"/>
        </w:rPr>
        <w:t>par. </w:t>
      </w:r>
      <w:r w:rsidRPr="007B78C8">
        <w:rPr>
          <w:rFonts w:cs="Times New Roman"/>
          <w:lang w:val="fr-CA"/>
        </w:rPr>
        <w:t xml:space="preserve">51), ainsi que l’application impérative de la norme de la décision correcte lorsque la validité d’un règlement est directement contestée. C’est pourquoi, dans </w:t>
      </w:r>
      <w:r w:rsidRPr="007B78C8">
        <w:rPr>
          <w:rFonts w:cs="Times New Roman"/>
          <w:i/>
          <w:lang w:val="fr-CA"/>
        </w:rPr>
        <w:t>Dunsmuir</w:t>
      </w:r>
      <w:r w:rsidRPr="007B78C8">
        <w:rPr>
          <w:rFonts w:cs="Times New Roman"/>
          <w:lang w:val="fr-CA"/>
        </w:rPr>
        <w:t xml:space="preserve">, la Cour a statué qu’une véritable question de compétence </w:t>
      </w:r>
      <w:r w:rsidRPr="007B78C8">
        <w:rPr>
          <w:rFonts w:cs="Times New Roman"/>
          <w:i/>
          <w:lang w:val="fr-CA"/>
        </w:rPr>
        <w:t>doit</w:t>
      </w:r>
      <w:r w:rsidRPr="007B78C8">
        <w:rPr>
          <w:rFonts w:cs="Times New Roman"/>
          <w:lang w:val="fr-CA"/>
        </w:rPr>
        <w:t xml:space="preserve"> faire l’objet d’un contrôle selon la norme de la décision correcte. Contrairement à l’exercice du pouvoir décisionnel, qui peut être assujetti à la norme de la </w:t>
      </w:r>
      <w:proofErr w:type="spellStart"/>
      <w:r w:rsidRPr="007B78C8">
        <w:rPr>
          <w:rFonts w:cs="Times New Roman"/>
          <w:lang w:val="fr-CA"/>
        </w:rPr>
        <w:t>raisonnabilité</w:t>
      </w:r>
      <w:proofErr w:type="spellEnd"/>
      <w:r w:rsidRPr="007B78C8">
        <w:rPr>
          <w:rFonts w:cs="Times New Roman"/>
          <w:lang w:val="fr-CA"/>
        </w:rPr>
        <w:t xml:space="preserve"> selon l’arrêt </w:t>
      </w:r>
      <w:proofErr w:type="spellStart"/>
      <w:r w:rsidRPr="007B78C8">
        <w:rPr>
          <w:rFonts w:cs="Times New Roman"/>
          <w:i/>
          <w:lang w:val="fr-CA"/>
        </w:rPr>
        <w:t>Dunsmuir</w:t>
      </w:r>
      <w:proofErr w:type="spellEnd"/>
      <w:r w:rsidRPr="007B78C8">
        <w:rPr>
          <w:rFonts w:cs="Times New Roman"/>
          <w:i/>
          <w:lang w:val="fr-CA"/>
        </w:rPr>
        <w:t xml:space="preserve"> </w:t>
      </w:r>
      <w:r w:rsidRPr="007B78C8">
        <w:rPr>
          <w:rFonts w:cs="Times New Roman"/>
          <w:lang w:val="fr-CA"/>
        </w:rPr>
        <w:t>et ceux rendus dans sa foulée, selon le contexte en cause, la question de la compétence n’appelle qu’une seule réponse. Voilà pourquoi les juridictions inférieures considèrent généralement que l’adoption d’un règlement est assujettie à la norme de la décision correcte. Voir D. J. M. Brown et J. M. Evans, assistés de D. </w:t>
      </w:r>
      <w:proofErr w:type="spellStart"/>
      <w:r w:rsidRPr="007B78C8">
        <w:rPr>
          <w:rFonts w:cs="Times New Roman"/>
          <w:lang w:val="fr-CA"/>
        </w:rPr>
        <w:t>Fairlie</w:t>
      </w:r>
      <w:proofErr w:type="spellEnd"/>
      <w:r w:rsidRPr="007B78C8">
        <w:rPr>
          <w:rFonts w:cs="Times New Roman"/>
          <w:lang w:val="fr-CA"/>
        </w:rPr>
        <w:t xml:space="preserve">, </w:t>
      </w:r>
      <w:proofErr w:type="spellStart"/>
      <w:r w:rsidRPr="007B78C8">
        <w:rPr>
          <w:rFonts w:cs="Times New Roman"/>
          <w:i/>
          <w:lang w:val="fr-CA"/>
        </w:rPr>
        <w:t>Judicial</w:t>
      </w:r>
      <w:proofErr w:type="spellEnd"/>
      <w:r w:rsidRPr="007B78C8">
        <w:rPr>
          <w:rFonts w:cs="Times New Roman"/>
          <w:i/>
          <w:lang w:val="fr-CA"/>
        </w:rPr>
        <w:t xml:space="preserve"> </w:t>
      </w:r>
      <w:proofErr w:type="spellStart"/>
      <w:r w:rsidRPr="007B78C8">
        <w:rPr>
          <w:rFonts w:cs="Times New Roman"/>
          <w:i/>
          <w:lang w:val="fr-CA"/>
        </w:rPr>
        <w:t>Review</w:t>
      </w:r>
      <w:proofErr w:type="spellEnd"/>
      <w:r w:rsidRPr="007B78C8">
        <w:rPr>
          <w:rFonts w:cs="Times New Roman"/>
          <w:i/>
          <w:lang w:val="fr-CA"/>
        </w:rPr>
        <w:t xml:space="preserve"> of Administrative Action in Canada </w:t>
      </w:r>
      <w:r w:rsidRPr="007B78C8">
        <w:rPr>
          <w:rFonts w:cs="Times New Roman"/>
          <w:lang w:val="fr-CA"/>
        </w:rPr>
        <w:t xml:space="preserve">(feuilles </w:t>
      </w:r>
      <w:r w:rsidRPr="007B78C8">
        <w:rPr>
          <w:rFonts w:cs="Times New Roman"/>
          <w:lang w:val="fr-CA"/>
        </w:rPr>
        <w:lastRenderedPageBreak/>
        <w:t xml:space="preserve">mobiles), </w:t>
      </w:r>
      <w:r>
        <w:rPr>
          <w:rFonts w:cs="Times New Roman"/>
          <w:lang w:val="fr-CA"/>
        </w:rPr>
        <w:t>p. </w:t>
      </w:r>
      <w:r w:rsidRPr="007B78C8">
        <w:rPr>
          <w:rFonts w:cs="Times New Roman"/>
          <w:lang w:val="fr-CA"/>
        </w:rPr>
        <w:t>15</w:t>
      </w:r>
      <w:r>
        <w:rPr>
          <w:rFonts w:cs="Times New Roman"/>
          <w:lang w:val="fr-CA"/>
        </w:rPr>
        <w:noBreakHyphen/>
      </w:r>
      <w:r w:rsidRPr="007B78C8">
        <w:rPr>
          <w:rFonts w:cs="Times New Roman"/>
          <w:lang w:val="fr-CA"/>
        </w:rPr>
        <w:t>58 à 15</w:t>
      </w:r>
      <w:r>
        <w:rPr>
          <w:rFonts w:cs="Times New Roman"/>
          <w:lang w:val="fr-CA"/>
        </w:rPr>
        <w:noBreakHyphen/>
      </w:r>
      <w:r w:rsidRPr="007B78C8">
        <w:rPr>
          <w:rFonts w:cs="Times New Roman"/>
          <w:lang w:val="fr-CA"/>
        </w:rPr>
        <w:t>59, où les auteurs écrivent [</w:t>
      </w:r>
      <w:r w:rsidRPr="007B78C8">
        <w:rPr>
          <w:rFonts w:cs="Times New Roman"/>
          <w:smallCaps/>
          <w:lang w:val="fr-CA"/>
        </w:rPr>
        <w:t>traduction</w:t>
      </w:r>
      <w:r w:rsidRPr="007B78C8">
        <w:rPr>
          <w:rFonts w:cs="Times New Roman"/>
          <w:lang w:val="fr-CA"/>
        </w:rPr>
        <w:t xml:space="preserve">] « [l]es cours de justice appliquent la norme de la décision correcte pour décider de la validité de la législation déléguée », </w:t>
      </w:r>
      <w:r>
        <w:rPr>
          <w:rFonts w:cs="Times New Roman"/>
          <w:lang w:val="fr-CA"/>
        </w:rPr>
        <w:t>p. </w:t>
      </w:r>
      <w:r w:rsidRPr="007B78C8">
        <w:rPr>
          <w:rFonts w:cs="Times New Roman"/>
          <w:lang w:val="fr-CA"/>
        </w:rPr>
        <w:t>15</w:t>
      </w:r>
      <w:r>
        <w:rPr>
          <w:rFonts w:cs="Times New Roman"/>
          <w:lang w:val="fr-CA"/>
        </w:rPr>
        <w:noBreakHyphen/>
      </w:r>
      <w:r w:rsidRPr="007B78C8">
        <w:rPr>
          <w:rFonts w:cs="Times New Roman"/>
          <w:lang w:val="fr-CA"/>
        </w:rPr>
        <w:t>58. Voir également</w:t>
      </w:r>
      <w:r w:rsidRPr="007B78C8">
        <w:rPr>
          <w:rFonts w:cs="Times New Roman"/>
          <w:i/>
          <w:lang w:val="fr-CA"/>
        </w:rPr>
        <w:t xml:space="preserve"> </w:t>
      </w:r>
      <w:proofErr w:type="spellStart"/>
      <w:r w:rsidRPr="007B78C8">
        <w:rPr>
          <w:rFonts w:cs="Times New Roman"/>
          <w:i/>
          <w:lang w:val="fr-CA"/>
        </w:rPr>
        <w:t>Noron</w:t>
      </w:r>
      <w:proofErr w:type="spellEnd"/>
      <w:r w:rsidRPr="007B78C8">
        <w:rPr>
          <w:rFonts w:cs="Times New Roman"/>
          <w:i/>
          <w:lang w:val="fr-CA"/>
        </w:rPr>
        <w:t xml:space="preserve"> Inc. c. Ville de Dieppe</w:t>
      </w:r>
      <w:r w:rsidRPr="007B78C8">
        <w:rPr>
          <w:rFonts w:cs="Times New Roman"/>
          <w:lang w:val="fr-CA"/>
        </w:rPr>
        <w:t xml:space="preserve">, 2017 NBCA 38, 66 M.P.L.R. (5th) 1, </w:t>
      </w:r>
      <w:r>
        <w:rPr>
          <w:rFonts w:cs="Times New Roman"/>
          <w:lang w:val="fr-CA"/>
        </w:rPr>
        <w:t>par. </w:t>
      </w:r>
      <w:r w:rsidRPr="007B78C8">
        <w:rPr>
          <w:rFonts w:cs="Times New Roman"/>
          <w:lang w:val="fr-CA"/>
        </w:rPr>
        <w:t xml:space="preserve">11; </w:t>
      </w:r>
      <w:r w:rsidRPr="007B78C8">
        <w:rPr>
          <w:rFonts w:cs="Times New Roman"/>
          <w:i/>
          <w:lang w:val="fr-CA"/>
        </w:rPr>
        <w:t>Gander (</w:t>
      </w:r>
      <w:proofErr w:type="spellStart"/>
      <w:r w:rsidRPr="007B78C8">
        <w:rPr>
          <w:rFonts w:cs="Times New Roman"/>
          <w:i/>
          <w:lang w:val="fr-CA"/>
        </w:rPr>
        <w:t>Town</w:t>
      </w:r>
      <w:proofErr w:type="spellEnd"/>
      <w:r w:rsidRPr="007B78C8">
        <w:rPr>
          <w:rFonts w:cs="Times New Roman"/>
          <w:i/>
          <w:lang w:val="fr-CA"/>
        </w:rPr>
        <w:t xml:space="preserve">) c. </w:t>
      </w:r>
      <w:proofErr w:type="spellStart"/>
      <w:r w:rsidRPr="007B78C8">
        <w:rPr>
          <w:rFonts w:cs="Times New Roman"/>
          <w:i/>
          <w:lang w:val="fr-CA"/>
        </w:rPr>
        <w:t>Trimart</w:t>
      </w:r>
      <w:proofErr w:type="spellEnd"/>
      <w:r w:rsidRPr="007B78C8">
        <w:rPr>
          <w:rFonts w:cs="Times New Roman"/>
          <w:i/>
          <w:lang w:val="fr-CA"/>
        </w:rPr>
        <w:t xml:space="preserve"> Investments Ltd.</w:t>
      </w:r>
      <w:r w:rsidRPr="007B78C8">
        <w:rPr>
          <w:rFonts w:cs="Times New Roman"/>
          <w:lang w:val="fr-CA"/>
        </w:rPr>
        <w:t xml:space="preserve">, 2015 NLCA 32, 368 </w:t>
      </w:r>
      <w:proofErr w:type="spellStart"/>
      <w:r w:rsidRPr="007B78C8">
        <w:rPr>
          <w:rFonts w:cs="Times New Roman"/>
          <w:lang w:val="fr-CA"/>
        </w:rPr>
        <w:t>Nfld</w:t>
      </w:r>
      <w:proofErr w:type="spellEnd"/>
      <w:r w:rsidRPr="007B78C8">
        <w:rPr>
          <w:rFonts w:cs="Times New Roman"/>
          <w:lang w:val="fr-CA"/>
        </w:rPr>
        <w:t xml:space="preserve">. &amp; P.E.I.R 96, </w:t>
      </w:r>
      <w:r>
        <w:rPr>
          <w:rFonts w:cs="Times New Roman"/>
          <w:lang w:val="fr-CA"/>
        </w:rPr>
        <w:t>par. </w:t>
      </w:r>
      <w:r w:rsidRPr="007B78C8">
        <w:rPr>
          <w:rFonts w:cs="Times New Roman"/>
          <w:lang w:val="fr-CA"/>
        </w:rPr>
        <w:t>14;</w:t>
      </w:r>
      <w:r w:rsidRPr="007B78C8">
        <w:rPr>
          <w:rFonts w:cs="Times New Roman"/>
          <w:i/>
          <w:lang w:val="fr-CA"/>
        </w:rPr>
        <w:t xml:space="preserve"> 1254582 Alberta Ltd. c. Edmonton (City)</w:t>
      </w:r>
      <w:r w:rsidRPr="007B78C8">
        <w:rPr>
          <w:rFonts w:cs="Times New Roman"/>
          <w:lang w:val="fr-CA"/>
        </w:rPr>
        <w:t xml:space="preserve">, 2009 ABCA 4, 448 A.R. 58, </w:t>
      </w:r>
      <w:r>
        <w:rPr>
          <w:rFonts w:cs="Times New Roman"/>
          <w:lang w:val="fr-CA"/>
        </w:rPr>
        <w:t>par. </w:t>
      </w:r>
      <w:r w:rsidRPr="007B78C8">
        <w:rPr>
          <w:rFonts w:cs="Times New Roman"/>
          <w:lang w:val="fr-CA"/>
        </w:rPr>
        <w:t xml:space="preserve">12; </w:t>
      </w:r>
      <w:r w:rsidRPr="007B78C8">
        <w:rPr>
          <w:rFonts w:cs="Times New Roman"/>
          <w:i/>
          <w:lang w:val="fr-CA"/>
        </w:rPr>
        <w:t>Conseil canadien pour les réfugiés c. Canada</w:t>
      </w:r>
      <w:r w:rsidRPr="007B78C8">
        <w:rPr>
          <w:rFonts w:cs="Times New Roman"/>
          <w:lang w:val="fr-CA"/>
        </w:rPr>
        <w:t xml:space="preserve">, 2008 CAF 229, [2009] 3 R.C.F. 136, </w:t>
      </w:r>
      <w:r>
        <w:rPr>
          <w:rFonts w:cs="Times New Roman"/>
          <w:lang w:val="fr-CA"/>
        </w:rPr>
        <w:t>par. </w:t>
      </w:r>
      <w:r w:rsidRPr="007B78C8">
        <w:rPr>
          <w:rFonts w:cs="Times New Roman"/>
          <w:lang w:val="fr-CA"/>
        </w:rPr>
        <w:t xml:space="preserve">57; </w:t>
      </w:r>
      <w:r w:rsidRPr="007B78C8">
        <w:rPr>
          <w:rFonts w:cs="Times New Roman"/>
          <w:i/>
          <w:lang w:val="fr-CA"/>
        </w:rPr>
        <w:t>Cargill Ltd. c. Canada (Procureur général)</w:t>
      </w:r>
      <w:r w:rsidRPr="007B78C8">
        <w:rPr>
          <w:rFonts w:cs="Times New Roman"/>
          <w:lang w:val="fr-CA"/>
        </w:rPr>
        <w:t xml:space="preserve">, 2014 CF 243, </w:t>
      </w:r>
      <w:r>
        <w:rPr>
          <w:rFonts w:cs="Times New Roman"/>
          <w:lang w:val="fr-CA"/>
        </w:rPr>
        <w:t>par. </w:t>
      </w:r>
      <w:r w:rsidRPr="007B78C8">
        <w:rPr>
          <w:rFonts w:cs="Times New Roman"/>
          <w:lang w:val="fr-CA"/>
        </w:rPr>
        <w:t>56</w:t>
      </w:r>
      <w:r w:rsidR="00727562">
        <w:rPr>
          <w:rFonts w:cs="Times New Roman"/>
          <w:lang w:val="fr-CA"/>
        </w:rPr>
        <w:t xml:space="preserve"> (</w:t>
      </w:r>
      <w:proofErr w:type="spellStart"/>
      <w:r w:rsidR="00727562">
        <w:rPr>
          <w:rFonts w:cs="Times New Roman"/>
          <w:lang w:val="fr-CA"/>
        </w:rPr>
        <w:t>CanLII</w:t>
      </w:r>
      <w:proofErr w:type="spellEnd"/>
      <w:r w:rsidR="00727562">
        <w:rPr>
          <w:rFonts w:cs="Times New Roman"/>
          <w:lang w:val="fr-CA"/>
        </w:rPr>
        <w:t>)</w:t>
      </w:r>
      <w:r w:rsidRPr="007B78C8">
        <w:rPr>
          <w:rFonts w:cs="Times New Roman"/>
          <w:lang w:val="fr-CA"/>
        </w:rPr>
        <w:t xml:space="preserve">; </w:t>
      </w:r>
      <w:proofErr w:type="spellStart"/>
      <w:r w:rsidRPr="007B78C8">
        <w:rPr>
          <w:rFonts w:cs="Times New Roman"/>
          <w:i/>
          <w:lang w:val="fr-CA"/>
        </w:rPr>
        <w:t>Broers</w:t>
      </w:r>
      <w:proofErr w:type="spellEnd"/>
      <w:r w:rsidRPr="007B78C8">
        <w:rPr>
          <w:rFonts w:cs="Times New Roman"/>
          <w:i/>
          <w:lang w:val="fr-CA"/>
        </w:rPr>
        <w:t xml:space="preserve"> c. Real Estate Council of Alberta</w:t>
      </w:r>
      <w:r w:rsidRPr="007B78C8">
        <w:rPr>
          <w:rFonts w:cs="Times New Roman"/>
          <w:lang w:val="fr-CA"/>
        </w:rPr>
        <w:t xml:space="preserve">, 2010 ABQB 497, 489 A.R. 219, </w:t>
      </w:r>
      <w:r>
        <w:rPr>
          <w:rFonts w:cs="Times New Roman"/>
          <w:lang w:val="fr-CA"/>
        </w:rPr>
        <w:t>par. </w:t>
      </w:r>
      <w:r w:rsidRPr="007B78C8">
        <w:rPr>
          <w:rFonts w:cs="Times New Roman"/>
          <w:lang w:val="fr-CA"/>
        </w:rPr>
        <w:t xml:space="preserve">29; </w:t>
      </w:r>
      <w:proofErr w:type="spellStart"/>
      <w:r w:rsidRPr="007B78C8">
        <w:rPr>
          <w:rFonts w:cs="Times New Roman"/>
          <w:i/>
          <w:lang w:val="fr-CA"/>
        </w:rPr>
        <w:t>Algoma</w:t>
      </w:r>
      <w:proofErr w:type="spellEnd"/>
      <w:r w:rsidRPr="007B78C8">
        <w:rPr>
          <w:rFonts w:cs="Times New Roman"/>
          <w:i/>
          <w:lang w:val="fr-CA"/>
        </w:rPr>
        <w:t xml:space="preserve"> Central Cor</w:t>
      </w:r>
      <w:r>
        <w:rPr>
          <w:rFonts w:cs="Times New Roman"/>
          <w:i/>
          <w:lang w:val="fr-CA"/>
        </w:rPr>
        <w:t>p. </w:t>
      </w:r>
      <w:r w:rsidRPr="007B78C8">
        <w:rPr>
          <w:rFonts w:cs="Times New Roman"/>
          <w:i/>
          <w:lang w:val="fr-CA"/>
        </w:rPr>
        <w:t>c. Canada</w:t>
      </w:r>
      <w:r w:rsidRPr="007B78C8">
        <w:rPr>
          <w:rFonts w:cs="Times New Roman"/>
          <w:lang w:val="fr-CA"/>
        </w:rPr>
        <w:t>, 2009 CF 1287</w:t>
      </w:r>
      <w:r w:rsidR="00FC4DA6">
        <w:rPr>
          <w:rFonts w:cs="Times New Roman"/>
          <w:lang w:val="fr-CA"/>
        </w:rPr>
        <w:t xml:space="preserve">, </w:t>
      </w:r>
      <w:r>
        <w:rPr>
          <w:rFonts w:cs="Times New Roman"/>
          <w:lang w:val="fr-CA"/>
        </w:rPr>
        <w:t>par. </w:t>
      </w:r>
      <w:r w:rsidRPr="007B78C8">
        <w:rPr>
          <w:rFonts w:cs="Times New Roman"/>
          <w:lang w:val="fr-CA"/>
        </w:rPr>
        <w:t>66</w:t>
      </w:r>
      <w:r w:rsidR="00FC4DA6">
        <w:rPr>
          <w:rFonts w:cs="Times New Roman"/>
          <w:lang w:val="fr-CA"/>
        </w:rPr>
        <w:t xml:space="preserve"> (</w:t>
      </w:r>
      <w:proofErr w:type="spellStart"/>
      <w:r w:rsidR="00FC4DA6">
        <w:rPr>
          <w:rFonts w:cs="Times New Roman"/>
          <w:lang w:val="fr-CA"/>
        </w:rPr>
        <w:t>CanLII</w:t>
      </w:r>
      <w:proofErr w:type="spellEnd"/>
      <w:r w:rsidR="00FC4DA6">
        <w:rPr>
          <w:rFonts w:cs="Times New Roman"/>
          <w:lang w:val="fr-CA"/>
        </w:rPr>
        <w:t>)</w:t>
      </w:r>
      <w:r w:rsidRPr="007B78C8">
        <w:rPr>
          <w:rFonts w:cs="Times New Roman"/>
          <w:lang w:val="fr-CA"/>
        </w:rPr>
        <w:t>. Il est d’ailleurs intéressant de constater que, en l’espèce, le tribunal de première instance (2015 BCSC 1098, 2 Admin. L.R. (6th) 148), la Cour d’appel (2016 BCCA 473, 405 D.L.R. (4th) 621), West Fraser et la Commission conviennent tous que la question de compétence doit faire l’objet d’un contrôle selon la norme de la décision correcte.</w:t>
      </w:r>
    </w:p>
    <w:p w:rsidR="00E70F7D" w:rsidRPr="007B78C8" w:rsidRDefault="00E70F7D" w:rsidP="00E70F7D">
      <w:pPr>
        <w:pStyle w:val="ParaNoNdepar-AltN"/>
        <w:rPr>
          <w:rFonts w:cs="Times New Roman"/>
          <w:lang w:val="fr-CA"/>
        </w:rPr>
      </w:pPr>
      <w:r w:rsidRPr="007B78C8">
        <w:rPr>
          <w:rFonts w:cs="Times New Roman"/>
          <w:lang w:val="fr-CA"/>
        </w:rPr>
        <w:t xml:space="preserve">Les arrêts </w:t>
      </w:r>
      <w:proofErr w:type="spellStart"/>
      <w:r w:rsidRPr="007B78C8">
        <w:rPr>
          <w:rFonts w:cs="Times New Roman"/>
          <w:i/>
          <w:lang w:val="fr-CA"/>
        </w:rPr>
        <w:t>Catalyst</w:t>
      </w:r>
      <w:proofErr w:type="spellEnd"/>
      <w:r w:rsidRPr="007B78C8">
        <w:rPr>
          <w:rFonts w:cs="Times New Roman"/>
          <w:i/>
          <w:lang w:val="fr-CA"/>
        </w:rPr>
        <w:t xml:space="preserve"> Paper Cor</w:t>
      </w:r>
      <w:r>
        <w:rPr>
          <w:rFonts w:cs="Times New Roman"/>
          <w:i/>
          <w:lang w:val="fr-CA"/>
        </w:rPr>
        <w:t>p. </w:t>
      </w:r>
      <w:r w:rsidRPr="007B78C8">
        <w:rPr>
          <w:rFonts w:cs="Times New Roman"/>
          <w:i/>
          <w:lang w:val="fr-CA"/>
        </w:rPr>
        <w:t xml:space="preserve">c. North </w:t>
      </w:r>
      <w:proofErr w:type="spellStart"/>
      <w:r w:rsidRPr="007B78C8">
        <w:rPr>
          <w:rFonts w:cs="Times New Roman"/>
          <w:i/>
          <w:lang w:val="fr-CA"/>
        </w:rPr>
        <w:t>Cowichan</w:t>
      </w:r>
      <w:proofErr w:type="spellEnd"/>
      <w:r w:rsidRPr="007B78C8">
        <w:rPr>
          <w:rFonts w:cs="Times New Roman"/>
          <w:i/>
          <w:lang w:val="fr-CA"/>
        </w:rPr>
        <w:t xml:space="preserve"> (District)</w:t>
      </w:r>
      <w:r w:rsidRPr="007B78C8">
        <w:rPr>
          <w:rFonts w:cs="Times New Roman"/>
          <w:lang w:val="fr-CA"/>
        </w:rPr>
        <w:t xml:space="preserve">, 2012 CSC 2, [2012] 1 R.C.S. 5, et </w:t>
      </w:r>
      <w:r w:rsidRPr="007B78C8">
        <w:rPr>
          <w:rFonts w:cs="Times New Roman"/>
          <w:i/>
          <w:lang w:val="fr-CA"/>
        </w:rPr>
        <w:t>Green c. Société du Barreau du Manitoba</w:t>
      </w:r>
      <w:r w:rsidRPr="007B78C8">
        <w:rPr>
          <w:rFonts w:cs="Times New Roman"/>
          <w:lang w:val="fr-CA"/>
        </w:rPr>
        <w:t>, 2017 CSC 20, [2017] 1 R.C.S. 360, ne vont pas dans le sens contraire. Ni l’un ni l’autre ne portent sur la question soulevée en l’espèce</w:t>
      </w:r>
      <w:r>
        <w:rPr>
          <w:rFonts w:cs="Times New Roman"/>
          <w:lang w:val="fr-CA"/>
        </w:rPr>
        <w:t> :</w:t>
      </w:r>
      <w:r w:rsidRPr="007B78C8">
        <w:rPr>
          <w:rFonts w:cs="Times New Roman"/>
          <w:lang w:val="fr-CA"/>
        </w:rPr>
        <w:t xml:space="preserve"> un organisme de réglementation avait</w:t>
      </w:r>
      <w:r>
        <w:rPr>
          <w:rFonts w:cs="Times New Roman"/>
          <w:lang w:val="fr-CA"/>
        </w:rPr>
        <w:noBreakHyphen/>
      </w:r>
      <w:r w:rsidRPr="007B78C8">
        <w:rPr>
          <w:rFonts w:cs="Times New Roman"/>
          <w:lang w:val="fr-CA"/>
        </w:rPr>
        <w:t xml:space="preserve">il le </w:t>
      </w:r>
      <w:r w:rsidRPr="007B78C8">
        <w:rPr>
          <w:rFonts w:cs="Times New Roman"/>
          <w:i/>
          <w:lang w:val="fr-CA"/>
        </w:rPr>
        <w:t>pouvoir</w:t>
      </w:r>
      <w:r w:rsidR="00664D64">
        <w:rPr>
          <w:rFonts w:cs="Times New Roman"/>
          <w:lang w:val="fr-CA"/>
        </w:rPr>
        <w:t xml:space="preserve"> de prendre un règlement donné?</w:t>
      </w:r>
      <w:r w:rsidRPr="007B78C8">
        <w:rPr>
          <w:rFonts w:cs="Times New Roman"/>
          <w:lang w:val="fr-CA"/>
        </w:rPr>
        <w:t xml:space="preserve"> Les deux portent plutôt sur la </w:t>
      </w:r>
      <w:r w:rsidRPr="007B78C8">
        <w:rPr>
          <w:rFonts w:cs="Times New Roman"/>
          <w:i/>
          <w:lang w:val="fr-CA"/>
        </w:rPr>
        <w:t xml:space="preserve">teneur </w:t>
      </w:r>
      <w:r w:rsidRPr="007B78C8">
        <w:rPr>
          <w:rFonts w:cs="Times New Roman"/>
          <w:lang w:val="fr-CA"/>
        </w:rPr>
        <w:t xml:space="preserve">ou la </w:t>
      </w:r>
      <w:r w:rsidRPr="007B78C8">
        <w:rPr>
          <w:rFonts w:cs="Times New Roman"/>
          <w:i/>
          <w:lang w:val="fr-CA"/>
        </w:rPr>
        <w:t>valeur</w:t>
      </w:r>
      <w:r w:rsidRPr="007B78C8">
        <w:rPr>
          <w:rFonts w:cs="Times New Roman"/>
          <w:lang w:val="fr-CA"/>
        </w:rPr>
        <w:t xml:space="preserve"> du règlement contesté. Dans </w:t>
      </w:r>
      <w:proofErr w:type="spellStart"/>
      <w:r w:rsidRPr="007B78C8">
        <w:rPr>
          <w:rFonts w:cs="Times New Roman"/>
          <w:i/>
          <w:lang w:val="fr-CA"/>
        </w:rPr>
        <w:t>Catalyst</w:t>
      </w:r>
      <w:proofErr w:type="spellEnd"/>
      <w:r w:rsidRPr="007B78C8">
        <w:rPr>
          <w:rFonts w:cs="Times New Roman"/>
          <w:lang w:val="fr-CA"/>
        </w:rPr>
        <w:t>, la Cour devait décider si une municipalité avait exercé son pouvoir de taxation de manière raisonnable en soumettant certains biens</w:t>
      </w:r>
      <w:r>
        <w:rPr>
          <w:rFonts w:cs="Times New Roman"/>
          <w:lang w:val="fr-CA"/>
        </w:rPr>
        <w:noBreakHyphen/>
      </w:r>
      <w:r w:rsidRPr="007B78C8">
        <w:rPr>
          <w:rFonts w:cs="Times New Roman"/>
          <w:lang w:val="fr-CA"/>
        </w:rPr>
        <w:t>fonds à un taux d’imposition particulier (</w:t>
      </w:r>
      <w:r>
        <w:rPr>
          <w:rFonts w:cs="Times New Roman"/>
          <w:lang w:val="fr-CA"/>
        </w:rPr>
        <w:t>par. </w:t>
      </w:r>
      <w:r w:rsidRPr="007B78C8">
        <w:rPr>
          <w:rFonts w:cs="Times New Roman"/>
          <w:lang w:val="fr-CA"/>
        </w:rPr>
        <w:t xml:space="preserve">7). Le pouvoir de la municipalité </w:t>
      </w:r>
      <w:r w:rsidRPr="007B78C8">
        <w:rPr>
          <w:rFonts w:cs="Times New Roman"/>
          <w:lang w:val="fr-CA"/>
        </w:rPr>
        <w:lastRenderedPageBreak/>
        <w:t>de fixer le taux d’imposition n’était pas contesté, la loi habilitante conférant à celle</w:t>
      </w:r>
      <w:r>
        <w:rPr>
          <w:rFonts w:cs="Times New Roman"/>
          <w:lang w:val="fr-CA"/>
        </w:rPr>
        <w:noBreakHyphen/>
      </w:r>
      <w:r w:rsidRPr="007B78C8">
        <w:rPr>
          <w:rFonts w:cs="Times New Roman"/>
          <w:lang w:val="fr-CA"/>
        </w:rPr>
        <w:t>ci « un pouvoir discrétionnaire large et quasi illimité de fixer les taux de l’impôt foncier à payer » (</w:t>
      </w:r>
      <w:r>
        <w:rPr>
          <w:rFonts w:cs="Times New Roman"/>
          <w:lang w:val="fr-CA"/>
        </w:rPr>
        <w:t>par. </w:t>
      </w:r>
      <w:r w:rsidRPr="007B78C8">
        <w:rPr>
          <w:rFonts w:cs="Times New Roman"/>
          <w:lang w:val="fr-CA"/>
        </w:rPr>
        <w:t xml:space="preserve">26). Dans </w:t>
      </w:r>
      <w:r w:rsidRPr="007B78C8">
        <w:rPr>
          <w:rFonts w:cs="Times New Roman"/>
          <w:i/>
          <w:lang w:val="fr-CA"/>
        </w:rPr>
        <w:t>Green</w:t>
      </w:r>
      <w:r w:rsidRPr="007B78C8">
        <w:rPr>
          <w:rFonts w:cs="Times New Roman"/>
          <w:lang w:val="fr-CA"/>
        </w:rPr>
        <w:t xml:space="preserve">, la Cour devait décider si le Barreau du Manitoba avait agi raisonnablement en imposant certaines règles de conduite. Tout comme dans </w:t>
      </w:r>
      <w:proofErr w:type="spellStart"/>
      <w:r w:rsidRPr="007B78C8">
        <w:rPr>
          <w:rFonts w:cs="Times New Roman"/>
          <w:i/>
          <w:lang w:val="fr-CA"/>
        </w:rPr>
        <w:t>Catalyst</w:t>
      </w:r>
      <w:proofErr w:type="spellEnd"/>
      <w:r w:rsidRPr="007B78C8">
        <w:rPr>
          <w:rFonts w:cs="Times New Roman"/>
          <w:lang w:val="fr-CA"/>
        </w:rPr>
        <w:t xml:space="preserve">, nul ne contestait que la loi habilitante </w:t>
      </w:r>
      <w:proofErr w:type="gramStart"/>
      <w:r w:rsidRPr="007B78C8">
        <w:rPr>
          <w:rFonts w:cs="Times New Roman"/>
          <w:lang w:val="fr-CA"/>
        </w:rPr>
        <w:t>conférait</w:t>
      </w:r>
      <w:proofErr w:type="gramEnd"/>
      <w:r w:rsidRPr="007B78C8">
        <w:rPr>
          <w:rFonts w:cs="Times New Roman"/>
          <w:lang w:val="fr-CA"/>
        </w:rPr>
        <w:t xml:space="preserve"> « clairement au Barreau le pouvoir de créer un programme [de perfectionnement professionnel permanent] » (</w:t>
      </w:r>
      <w:r>
        <w:rPr>
          <w:rFonts w:cs="Times New Roman"/>
          <w:lang w:val="fr-CA"/>
        </w:rPr>
        <w:t>par. </w:t>
      </w:r>
      <w:r w:rsidRPr="007B78C8">
        <w:rPr>
          <w:rFonts w:cs="Times New Roman"/>
          <w:lang w:val="fr-CA"/>
        </w:rPr>
        <w:t>44).</w:t>
      </w:r>
    </w:p>
    <w:p w:rsidR="00E70F7D" w:rsidRPr="007B78C8" w:rsidRDefault="00E70F7D" w:rsidP="00E70F7D">
      <w:pPr>
        <w:pStyle w:val="ParaNoNdepar-AltN"/>
        <w:rPr>
          <w:rFonts w:cs="Times New Roman"/>
          <w:lang w:val="fr-CA"/>
        </w:rPr>
      </w:pPr>
      <w:r w:rsidRPr="007B78C8">
        <w:rPr>
          <w:rFonts w:cs="Times New Roman"/>
          <w:lang w:val="fr-CA"/>
        </w:rPr>
        <w:t>Par ailleurs, dans ces deux affaires, des considérations de principe militaient contre l’application de la norme de la décision correcte. Dans</w:t>
      </w:r>
      <w:r>
        <w:rPr>
          <w:rFonts w:cs="Times New Roman"/>
          <w:lang w:val="fr-CA"/>
        </w:rPr>
        <w:t xml:space="preserve"> </w:t>
      </w:r>
      <w:proofErr w:type="spellStart"/>
      <w:r w:rsidRPr="007B78C8">
        <w:rPr>
          <w:rFonts w:cs="Times New Roman"/>
          <w:i/>
          <w:lang w:val="fr-CA"/>
        </w:rPr>
        <w:t>Catalyst</w:t>
      </w:r>
      <w:proofErr w:type="spellEnd"/>
      <w:r w:rsidRPr="007B78C8">
        <w:rPr>
          <w:rFonts w:cs="Times New Roman"/>
          <w:lang w:val="fr-CA"/>
        </w:rPr>
        <w:t>, où les parties avaient convenu que la norme de contrôle applicable était celle de la décision raisonnable, la Cour s’est fondée sur le fait que les municipalités sont des institutions démocratiques. L’application de la norme de la décision raisonnable fait alors en sorte que les tribunaux « </w:t>
      </w:r>
      <w:proofErr w:type="gramStart"/>
      <w:r w:rsidRPr="007B78C8">
        <w:rPr>
          <w:rFonts w:cs="Times New Roman"/>
          <w:lang w:val="fr-CA"/>
        </w:rPr>
        <w:t>respect[</w:t>
      </w:r>
      <w:proofErr w:type="spellStart"/>
      <w:proofErr w:type="gramEnd"/>
      <w:r w:rsidRPr="007B78C8">
        <w:rPr>
          <w:rFonts w:cs="Times New Roman"/>
          <w:lang w:val="fr-CA"/>
        </w:rPr>
        <w:t>ent</w:t>
      </w:r>
      <w:proofErr w:type="spellEnd"/>
      <w:r w:rsidRPr="007B78C8">
        <w:rPr>
          <w:rFonts w:cs="Times New Roman"/>
          <w:lang w:val="fr-CA"/>
        </w:rPr>
        <w:t>] le devoir qui incombe aux représentants élus de servir leurs concitoyens, qui les ont élus et devant qui ils sont ultimement responsables » (</w:t>
      </w:r>
      <w:r>
        <w:rPr>
          <w:rFonts w:cs="Times New Roman"/>
          <w:lang w:val="fr-CA"/>
        </w:rPr>
        <w:t>par. </w:t>
      </w:r>
      <w:r w:rsidRPr="007B78C8">
        <w:rPr>
          <w:rFonts w:cs="Times New Roman"/>
          <w:lang w:val="fr-CA"/>
        </w:rPr>
        <w:t>19). Cette position était d’autant plus convaincante que la « retenue dans la façon d’aborder la révision des règlements municipaux existe depuis plus d’un siècle » (</w:t>
      </w:r>
      <w:r>
        <w:rPr>
          <w:rFonts w:cs="Times New Roman"/>
          <w:lang w:val="fr-CA"/>
        </w:rPr>
        <w:t>par. </w:t>
      </w:r>
      <w:r w:rsidRPr="007B78C8">
        <w:rPr>
          <w:rFonts w:cs="Times New Roman"/>
          <w:lang w:val="fr-CA"/>
        </w:rPr>
        <w:t xml:space="preserve">21), une tradition absente en l’espèce. Dans l’arrêt </w:t>
      </w:r>
      <w:r w:rsidRPr="007B78C8">
        <w:rPr>
          <w:rFonts w:cs="Times New Roman"/>
          <w:i/>
          <w:lang w:val="fr-CA"/>
        </w:rPr>
        <w:t xml:space="preserve">Green, </w:t>
      </w:r>
      <w:r w:rsidRPr="007B78C8">
        <w:rPr>
          <w:rFonts w:cs="Times New Roman"/>
          <w:lang w:val="fr-CA"/>
        </w:rPr>
        <w:t>la Cour a invoqué le même principe de responsabilité démocratique à l’égard d’une règle adoptée par le Barreau parce que les conseillers sont « élus par les membres de la profession juridique [les seules personnes visées par les règles] et [doivent] leur rendre des comptes » (</w:t>
      </w:r>
      <w:r>
        <w:rPr>
          <w:rFonts w:cs="Times New Roman"/>
          <w:lang w:val="fr-CA"/>
        </w:rPr>
        <w:t>par. </w:t>
      </w:r>
      <w:r w:rsidRPr="007B78C8">
        <w:rPr>
          <w:rFonts w:cs="Times New Roman"/>
          <w:lang w:val="fr-CA"/>
        </w:rPr>
        <w:t>23).</w:t>
      </w:r>
    </w:p>
    <w:p w:rsidR="00E70F7D" w:rsidRPr="007B78C8" w:rsidRDefault="00E70F7D" w:rsidP="00E70F7D">
      <w:pPr>
        <w:pStyle w:val="ParaNoNdepar-AltN"/>
        <w:rPr>
          <w:rFonts w:cs="Times New Roman"/>
          <w:lang w:val="fr-CA"/>
        </w:rPr>
      </w:pPr>
      <w:r w:rsidRPr="007B78C8">
        <w:rPr>
          <w:rFonts w:cs="Times New Roman"/>
          <w:lang w:val="fr-CA"/>
        </w:rPr>
        <w:lastRenderedPageBreak/>
        <w:t>En l’espèce, le principe de la responsabilité démocratique milite en faveur de la norme de la décision correcte. La Commission est une institution formée de non</w:t>
      </w:r>
      <w:r>
        <w:rPr>
          <w:rFonts w:cs="Times New Roman"/>
          <w:lang w:val="fr-CA"/>
        </w:rPr>
        <w:noBreakHyphen/>
      </w:r>
      <w:r w:rsidRPr="007B78C8">
        <w:rPr>
          <w:rFonts w:cs="Times New Roman"/>
          <w:lang w:val="fr-CA"/>
        </w:rPr>
        <w:t>élus qui peut uniquement exercer les pouvoirs que lui délègue le législateur. L’application de la norme de la décision correcte fait en sorte que la Commission agisse dans les limites de cette délégation et n’accroisse pas la portée de son pouvoir de réglementation contre la volonté des représentants provinciaux élus.</w:t>
      </w:r>
    </w:p>
    <w:p w:rsidR="00E70F7D" w:rsidRPr="007B78C8" w:rsidRDefault="00E70F7D" w:rsidP="00E70F7D">
      <w:pPr>
        <w:pStyle w:val="ParaNoNdepar-AltN"/>
        <w:rPr>
          <w:rFonts w:cs="Times New Roman"/>
          <w:lang w:val="fr-CA"/>
        </w:rPr>
      </w:pPr>
      <w:r w:rsidRPr="007B78C8">
        <w:rPr>
          <w:rFonts w:cs="Times New Roman"/>
          <w:lang w:val="fr-CA"/>
        </w:rPr>
        <w:t xml:space="preserve">Je ne nie pas que, conformément aux principes modernes d’interprétation, les tribunaux doivent interpréter de manière libérale et téléologique le pouvoir statutaire d’adopter des règlements. C’est précisément ce qu’a fait la Cour dans l’arrêt </w:t>
      </w:r>
      <w:r w:rsidRPr="007B78C8">
        <w:rPr>
          <w:rFonts w:cs="Times New Roman"/>
          <w:i/>
          <w:lang w:val="fr-CA"/>
        </w:rPr>
        <w:t>Katz Group Canada Inc. c. Ontario (Santé et Soins de longue durée)</w:t>
      </w:r>
      <w:r w:rsidRPr="007B78C8">
        <w:rPr>
          <w:rFonts w:cs="Times New Roman"/>
          <w:lang w:val="fr-CA"/>
        </w:rPr>
        <w:t xml:space="preserve">, 2013 CSC 64, [2013] 3 R.C.S. 810. Mais cela est très différent de l’idée qu’un tribunal doive déférer à la conclusion incorrecte d’un organisme de réglementation quant à son pouvoir d’adopter un règlement en particulier. Il demeure néanmoins possible d’interpréter de manière libérale et téléologique le pouvoir conféré par une loi tout en reconnaissant qu’il ne peut y avoir qu’une seule réponse à la question de savoir si l’organisme a outrepassé son pouvoir en adoptant le règlement contesté. </w:t>
      </w:r>
    </w:p>
    <w:p w:rsidR="00E70F7D" w:rsidRPr="007B78C8" w:rsidRDefault="00E70F7D" w:rsidP="00E70F7D">
      <w:pPr>
        <w:pStyle w:val="ParaNoNdepar-AltN"/>
        <w:rPr>
          <w:rFonts w:cs="Times New Roman"/>
          <w:lang w:val="fr-CA"/>
        </w:rPr>
      </w:pPr>
      <w:r w:rsidRPr="007B78C8">
        <w:rPr>
          <w:rFonts w:cs="Times New Roman"/>
          <w:lang w:val="fr-CA"/>
        </w:rPr>
        <w:t xml:space="preserve">En fait, l’arrêt </w:t>
      </w:r>
      <w:r w:rsidRPr="007B78C8">
        <w:rPr>
          <w:rFonts w:cs="Times New Roman"/>
          <w:i/>
          <w:lang w:val="fr-CA"/>
        </w:rPr>
        <w:t xml:space="preserve">Katz </w:t>
      </w:r>
      <w:r w:rsidRPr="007B78C8">
        <w:rPr>
          <w:rFonts w:cs="Times New Roman"/>
          <w:lang w:val="fr-CA"/>
        </w:rPr>
        <w:t>appuie la thèse favorable à l’application de la norme de la décision correcte. Premièrement,</w:t>
      </w:r>
      <w:r w:rsidRPr="007B78C8">
        <w:rPr>
          <w:rFonts w:cs="Times New Roman"/>
          <w:i/>
          <w:lang w:val="fr-CA"/>
        </w:rPr>
        <w:t xml:space="preserve"> </w:t>
      </w:r>
      <w:r w:rsidRPr="007B78C8">
        <w:rPr>
          <w:rFonts w:cs="Times New Roman"/>
          <w:lang w:val="fr-CA"/>
        </w:rPr>
        <w:t xml:space="preserve">à aucun moment la Cour ne s’écarte du cadre traditionnel des normes de la décision raisonnable et de la décision correcte. Un virage théorique aussi important aurait été fait explicitement, et non simplement de manière tacite. Dans la mesure où l’arrêt </w:t>
      </w:r>
      <w:r w:rsidRPr="007B78C8">
        <w:rPr>
          <w:rFonts w:cs="Times New Roman"/>
          <w:i/>
          <w:lang w:val="fr-CA"/>
        </w:rPr>
        <w:t xml:space="preserve">Katz </w:t>
      </w:r>
      <w:r w:rsidRPr="007B78C8">
        <w:rPr>
          <w:rFonts w:cs="Times New Roman"/>
          <w:lang w:val="fr-CA"/>
        </w:rPr>
        <w:t xml:space="preserve">n’énonce pas clairement la norme de contrôle </w:t>
      </w:r>
      <w:r w:rsidRPr="007B78C8">
        <w:rPr>
          <w:rFonts w:cs="Times New Roman"/>
          <w:lang w:val="fr-CA"/>
        </w:rPr>
        <w:lastRenderedPageBreak/>
        <w:t xml:space="preserve">applicable, il ne faut pas y voir l’infirmation </w:t>
      </w:r>
      <w:proofErr w:type="spellStart"/>
      <w:r w:rsidRPr="007B78C8">
        <w:rPr>
          <w:rFonts w:cs="Times New Roman"/>
          <w:i/>
          <w:lang w:val="fr-CA"/>
        </w:rPr>
        <w:t>sub</w:t>
      </w:r>
      <w:proofErr w:type="spellEnd"/>
      <w:r w:rsidRPr="007B78C8">
        <w:rPr>
          <w:rFonts w:cs="Times New Roman"/>
          <w:i/>
          <w:lang w:val="fr-CA"/>
        </w:rPr>
        <w:t xml:space="preserve"> </w:t>
      </w:r>
      <w:proofErr w:type="spellStart"/>
      <w:r w:rsidRPr="007B78C8">
        <w:rPr>
          <w:rFonts w:cs="Times New Roman"/>
          <w:i/>
          <w:lang w:val="fr-CA"/>
        </w:rPr>
        <w:t>silentio</w:t>
      </w:r>
      <w:proofErr w:type="spellEnd"/>
      <w:r w:rsidRPr="007B78C8">
        <w:rPr>
          <w:rFonts w:cs="Times New Roman"/>
          <w:i/>
          <w:lang w:val="fr-CA"/>
        </w:rPr>
        <w:t xml:space="preserve"> </w:t>
      </w:r>
      <w:r w:rsidRPr="007B78C8">
        <w:rPr>
          <w:rFonts w:cs="Times New Roman"/>
          <w:lang w:val="fr-CA"/>
        </w:rPr>
        <w:t xml:space="preserve">de la conclusion expresse de la Cour dans l’arrêt </w:t>
      </w:r>
      <w:r w:rsidRPr="007B78C8">
        <w:rPr>
          <w:rFonts w:cs="Times New Roman"/>
          <w:i/>
          <w:lang w:val="fr-CA"/>
        </w:rPr>
        <w:t>United Taxi</w:t>
      </w:r>
      <w:r w:rsidRPr="007B78C8">
        <w:rPr>
          <w:rFonts w:cs="Times New Roman"/>
          <w:lang w:val="fr-CA"/>
        </w:rPr>
        <w:t xml:space="preserve">, confirmée dans </w:t>
      </w:r>
      <w:r w:rsidRPr="007B78C8">
        <w:rPr>
          <w:rFonts w:cs="Times New Roman"/>
          <w:i/>
          <w:lang w:val="fr-CA"/>
        </w:rPr>
        <w:t>Dunsmuir</w:t>
      </w:r>
      <w:r w:rsidRPr="007B78C8">
        <w:rPr>
          <w:rFonts w:cs="Times New Roman"/>
          <w:lang w:val="fr-CA"/>
        </w:rPr>
        <w:t xml:space="preserve">, selon laquelle la validité d’un règlement commande l’application de la norme de la décision correcte. </w:t>
      </w:r>
    </w:p>
    <w:p w:rsidR="00E70F7D" w:rsidRPr="007B78C8" w:rsidRDefault="00E70F7D" w:rsidP="00E70F7D">
      <w:pPr>
        <w:pStyle w:val="ParaNoNdepar-AltN"/>
        <w:rPr>
          <w:rFonts w:cs="Times New Roman"/>
          <w:lang w:val="fr-CA"/>
        </w:rPr>
      </w:pPr>
      <w:r w:rsidRPr="007B78C8">
        <w:rPr>
          <w:rFonts w:cs="Times New Roman"/>
          <w:lang w:val="fr-CA"/>
        </w:rPr>
        <w:t>Deuxièmement, plusieurs des caractéristiques du contrôle selon la norme de la décision raisonnable, comme l’« attention respectueuse » portée aux motifs (</w:t>
      </w:r>
      <w:r w:rsidRPr="007B78C8">
        <w:rPr>
          <w:rFonts w:cs="Times New Roman"/>
          <w:i/>
          <w:lang w:val="fr-CA"/>
        </w:rPr>
        <w:t>Barreau du Nouveau</w:t>
      </w:r>
      <w:r>
        <w:rPr>
          <w:rFonts w:cs="Times New Roman"/>
          <w:i/>
          <w:lang w:val="fr-CA"/>
        </w:rPr>
        <w:noBreakHyphen/>
      </w:r>
      <w:r w:rsidRPr="007B78C8">
        <w:rPr>
          <w:rFonts w:cs="Times New Roman"/>
          <w:i/>
          <w:lang w:val="fr-CA"/>
        </w:rPr>
        <w:t>Brunswick c. Ryan</w:t>
      </w:r>
      <w:r w:rsidRPr="007B78C8">
        <w:rPr>
          <w:rFonts w:cs="Times New Roman"/>
          <w:lang w:val="fr-CA"/>
        </w:rPr>
        <w:t xml:space="preserve">, 2003 CSC 20, [2003] 1 R.C.S. 247, </w:t>
      </w:r>
      <w:r>
        <w:rPr>
          <w:rFonts w:cs="Times New Roman"/>
          <w:lang w:val="fr-CA"/>
        </w:rPr>
        <w:t>par. </w:t>
      </w:r>
      <w:r w:rsidRPr="007B78C8">
        <w:rPr>
          <w:rFonts w:cs="Times New Roman"/>
          <w:lang w:val="fr-CA"/>
        </w:rPr>
        <w:t xml:space="preserve">49) et le fait que la décision « se </w:t>
      </w:r>
      <w:proofErr w:type="spellStart"/>
      <w:r w:rsidRPr="007B78C8">
        <w:rPr>
          <w:rFonts w:cs="Times New Roman"/>
          <w:lang w:val="fr-CA"/>
        </w:rPr>
        <w:t>justifi</w:t>
      </w:r>
      <w:proofErr w:type="spellEnd"/>
      <w:r w:rsidRPr="007B78C8">
        <w:rPr>
          <w:rFonts w:cs="Times New Roman"/>
          <w:lang w:val="fr-CA"/>
        </w:rPr>
        <w:t>[e] au regard [. . .] du droit » (</w:t>
      </w:r>
      <w:r w:rsidRPr="007B78C8">
        <w:rPr>
          <w:rFonts w:cs="Times New Roman"/>
          <w:i/>
          <w:lang w:val="fr-CA"/>
        </w:rPr>
        <w:t>Dunsmuir</w:t>
      </w:r>
      <w:r w:rsidRPr="007B78C8">
        <w:rPr>
          <w:rFonts w:cs="Times New Roman"/>
          <w:lang w:val="fr-CA"/>
        </w:rPr>
        <w:t xml:space="preserve">, </w:t>
      </w:r>
      <w:r>
        <w:rPr>
          <w:rFonts w:cs="Times New Roman"/>
          <w:lang w:val="fr-CA"/>
        </w:rPr>
        <w:t>par. </w:t>
      </w:r>
      <w:r w:rsidRPr="007B78C8">
        <w:rPr>
          <w:rFonts w:cs="Times New Roman"/>
          <w:lang w:val="fr-CA"/>
        </w:rPr>
        <w:t xml:space="preserve">47), sont manifestement absentes dans </w:t>
      </w:r>
      <w:r w:rsidRPr="007B78C8">
        <w:rPr>
          <w:rFonts w:cs="Times New Roman"/>
          <w:i/>
          <w:lang w:val="fr-CA"/>
        </w:rPr>
        <w:t>Katz</w:t>
      </w:r>
      <w:r w:rsidRPr="007B78C8">
        <w:rPr>
          <w:rFonts w:cs="Times New Roman"/>
          <w:lang w:val="fr-CA"/>
        </w:rPr>
        <w:t>. Peut</w:t>
      </w:r>
      <w:r>
        <w:rPr>
          <w:rFonts w:cs="Times New Roman"/>
          <w:lang w:val="fr-CA"/>
        </w:rPr>
        <w:noBreakHyphen/>
      </w:r>
      <w:r w:rsidRPr="007B78C8">
        <w:rPr>
          <w:rFonts w:cs="Times New Roman"/>
          <w:lang w:val="fr-CA"/>
        </w:rPr>
        <w:t>être est</w:t>
      </w:r>
      <w:r>
        <w:rPr>
          <w:rFonts w:cs="Times New Roman"/>
          <w:lang w:val="fr-CA"/>
        </w:rPr>
        <w:noBreakHyphen/>
      </w:r>
      <w:r w:rsidRPr="007B78C8">
        <w:rPr>
          <w:rFonts w:cs="Times New Roman"/>
          <w:lang w:val="fr-CA"/>
        </w:rPr>
        <w:t>ce parce qu’un organisme de réglementation n’a pas à motiver ses décisions lorsqu’il exerce sa fonction réglementaire, alors qu’il le doit lorsqu’il exerce sa fonction décisionnelle, une distinction qui fait ressortir encore plus l’incongruité d’appliquer une autre norme que celle de la décision correcte pour statuer sur la validité d’un règlement. Comment une cour de justice qui ne sait rien de ce qui motive une décision ou l’exercice d’un pouvoir peut</w:t>
      </w:r>
      <w:r>
        <w:rPr>
          <w:rFonts w:cs="Times New Roman"/>
          <w:lang w:val="fr-CA"/>
        </w:rPr>
        <w:noBreakHyphen/>
      </w:r>
      <w:r w:rsidRPr="007B78C8">
        <w:rPr>
          <w:rFonts w:cs="Times New Roman"/>
          <w:lang w:val="fr-CA"/>
        </w:rPr>
        <w:t xml:space="preserve">elle faire montre de déférence? Quoi qu’il en soit, dans l’arrêt </w:t>
      </w:r>
      <w:r w:rsidRPr="007B78C8">
        <w:rPr>
          <w:rFonts w:cs="Times New Roman"/>
          <w:i/>
          <w:lang w:val="fr-CA"/>
        </w:rPr>
        <w:t xml:space="preserve">Katz, </w:t>
      </w:r>
      <w:r w:rsidRPr="007B78C8">
        <w:rPr>
          <w:rFonts w:cs="Times New Roman"/>
          <w:lang w:val="fr-CA"/>
        </w:rPr>
        <w:t xml:space="preserve">la Cour se livre effectivement à une nouvelle analyse du pouvoir statutaire d’adopter le règlement en cause, puis elle examine le texte de la disposition habilitante et la raison d’être de cette disposition. Cela correspond par définition à l’application de la norme de la décision correcte. L’arrêt </w:t>
      </w:r>
      <w:r w:rsidRPr="007B78C8">
        <w:rPr>
          <w:rFonts w:cs="Times New Roman"/>
          <w:i/>
          <w:lang w:val="fr-CA"/>
        </w:rPr>
        <w:t xml:space="preserve">Katz </w:t>
      </w:r>
      <w:r w:rsidRPr="007B78C8">
        <w:rPr>
          <w:rFonts w:cs="Times New Roman"/>
          <w:lang w:val="fr-CA"/>
        </w:rPr>
        <w:t>n’est donc pertinent en l’espèce que dans la mesure où il illustre les principes d’interprétation législative applicables.</w:t>
      </w:r>
    </w:p>
    <w:p w:rsidR="00E70F7D" w:rsidRPr="007B78C8" w:rsidRDefault="00E70F7D" w:rsidP="00E70F7D">
      <w:pPr>
        <w:pStyle w:val="ParaNoNdepar-AltN"/>
        <w:rPr>
          <w:rFonts w:cs="Times New Roman"/>
          <w:lang w:val="fr-CA"/>
        </w:rPr>
      </w:pPr>
      <w:r w:rsidRPr="007B78C8">
        <w:rPr>
          <w:rFonts w:cs="Times New Roman"/>
          <w:lang w:val="fr-CA"/>
        </w:rPr>
        <w:t xml:space="preserve">Pour ces raisons, je suis d’avis que la norme de contrôle appropriée est celle de la décision correcte. Les juges majoritaires ne sont manifestement pas du même avis, </w:t>
      </w:r>
      <w:r w:rsidRPr="007B78C8">
        <w:rPr>
          <w:rFonts w:cs="Times New Roman"/>
          <w:lang w:val="fr-CA"/>
        </w:rPr>
        <w:lastRenderedPageBreak/>
        <w:t>mais la justification de leur position m’échappe pour l’essentiel. Dans le but de réfuter bon nombre de mes arguments concernant la norme de contrôle, la majorité affirme que « [l]e présent pourvoi n’exige pas que nous approfondissions le sujet » (</w:t>
      </w:r>
      <w:r>
        <w:rPr>
          <w:rFonts w:cs="Times New Roman"/>
          <w:lang w:val="fr-CA"/>
        </w:rPr>
        <w:t>par. </w:t>
      </w:r>
      <w:r w:rsidRPr="007B78C8">
        <w:rPr>
          <w:rFonts w:cs="Times New Roman"/>
          <w:lang w:val="fr-CA"/>
        </w:rPr>
        <w:t xml:space="preserve">23). Des points importants ne sont donc pas abordés, et leur application de la norme de la décision raisonnable demeure en grande partie inexpliquée. </w:t>
      </w:r>
    </w:p>
    <w:p w:rsidR="00E70F7D" w:rsidRPr="007B78C8" w:rsidRDefault="00E70F7D" w:rsidP="00E70F7D">
      <w:pPr>
        <w:pStyle w:val="ParaNoNdepar-AltN"/>
        <w:rPr>
          <w:rFonts w:cs="Times New Roman"/>
          <w:lang w:val="fr-CA"/>
        </w:rPr>
      </w:pPr>
      <w:r w:rsidRPr="007B78C8">
        <w:rPr>
          <w:rFonts w:cs="Times New Roman"/>
          <w:lang w:val="fr-CA"/>
        </w:rPr>
        <w:t xml:space="preserve">Premièrement, les juges majoritaires affirment simplement, sans aucune analyse ou explication, que les arrêts </w:t>
      </w:r>
      <w:proofErr w:type="spellStart"/>
      <w:r w:rsidRPr="007B78C8">
        <w:rPr>
          <w:rFonts w:cs="Times New Roman"/>
          <w:i/>
          <w:lang w:val="fr-CA"/>
        </w:rPr>
        <w:t>Catalyst</w:t>
      </w:r>
      <w:proofErr w:type="spellEnd"/>
      <w:r w:rsidRPr="007B78C8">
        <w:rPr>
          <w:rFonts w:cs="Times New Roman"/>
          <w:i/>
          <w:lang w:val="fr-CA"/>
        </w:rPr>
        <w:t xml:space="preserve"> </w:t>
      </w:r>
      <w:r w:rsidRPr="007B78C8">
        <w:rPr>
          <w:rFonts w:cs="Times New Roman"/>
          <w:lang w:val="fr-CA"/>
        </w:rPr>
        <w:t xml:space="preserve">et </w:t>
      </w:r>
      <w:r w:rsidRPr="007B78C8">
        <w:rPr>
          <w:rFonts w:cs="Times New Roman"/>
          <w:i/>
          <w:lang w:val="fr-CA"/>
        </w:rPr>
        <w:t xml:space="preserve">Green </w:t>
      </w:r>
      <w:r w:rsidRPr="007B78C8">
        <w:rPr>
          <w:rFonts w:cs="Times New Roman"/>
          <w:lang w:val="fr-CA"/>
        </w:rPr>
        <w:t xml:space="preserve">prescrivent l’application de la norme de la décision raisonnable lorsque la loi habilitante confère à l’organisme subordonné le pouvoir d’adopter à son gré des règlements. Ils omettent cependant de préciser </w:t>
      </w:r>
      <w:r w:rsidRPr="007B78C8">
        <w:rPr>
          <w:rFonts w:cs="Times New Roman"/>
          <w:i/>
          <w:lang w:val="fr-CA"/>
        </w:rPr>
        <w:t>pourquoi</w:t>
      </w:r>
      <w:r w:rsidRPr="007B78C8">
        <w:rPr>
          <w:rFonts w:cs="Times New Roman"/>
          <w:lang w:val="fr-CA"/>
        </w:rPr>
        <w:t xml:space="preserve"> il en est ainsi. Je le répète, il ne s’agit pas de la bonne lecture de ces arrêts. Les juges majoritaires n’avancent aucun élément de réfutation à cet égard.</w:t>
      </w:r>
    </w:p>
    <w:p w:rsidR="00E70F7D" w:rsidRPr="007B78C8" w:rsidRDefault="00E70F7D" w:rsidP="00E70F7D">
      <w:pPr>
        <w:pStyle w:val="ParaNoNdepar-AltN"/>
        <w:rPr>
          <w:rFonts w:cs="Times New Roman"/>
          <w:lang w:val="fr-CA"/>
        </w:rPr>
      </w:pPr>
      <w:r w:rsidRPr="007B78C8">
        <w:rPr>
          <w:rFonts w:cs="Times New Roman"/>
          <w:lang w:val="fr-CA"/>
        </w:rPr>
        <w:t xml:space="preserve">Deuxièmement, les juges majoritaires ne réfèrent aucunement à l’arrêt </w:t>
      </w:r>
      <w:r w:rsidRPr="007B78C8">
        <w:rPr>
          <w:rFonts w:cs="Times New Roman"/>
          <w:i/>
          <w:lang w:val="fr-CA"/>
        </w:rPr>
        <w:t>United Taxi</w:t>
      </w:r>
      <w:r w:rsidRPr="007B78C8">
        <w:rPr>
          <w:rFonts w:cs="Times New Roman"/>
          <w:lang w:val="fr-CA"/>
        </w:rPr>
        <w:t xml:space="preserve">. On ne peut donc que conjecturer quant à savoir s’ils ont choisi d’ignorer les décisions qui n’appuient pas leur thèse ou s’il faut y voir une infirmation tacite de l’arrêt </w:t>
      </w:r>
      <w:r w:rsidRPr="007B78C8">
        <w:rPr>
          <w:rFonts w:cs="Times New Roman"/>
          <w:i/>
          <w:lang w:val="fr-CA"/>
        </w:rPr>
        <w:t>United Taxi</w:t>
      </w:r>
      <w:r w:rsidRPr="007B78C8">
        <w:rPr>
          <w:rFonts w:cs="Times New Roman"/>
          <w:lang w:val="fr-CA"/>
        </w:rPr>
        <w:t>. Il serait utile aux plaideurs éventuels que la Cour le précise.</w:t>
      </w:r>
    </w:p>
    <w:p w:rsidR="00E70F7D" w:rsidRPr="007B78C8" w:rsidRDefault="00E70F7D" w:rsidP="00E70F7D">
      <w:pPr>
        <w:pStyle w:val="ParaNoNdepar-AltN"/>
        <w:rPr>
          <w:rFonts w:cs="Times New Roman"/>
          <w:lang w:val="fr-CA"/>
        </w:rPr>
      </w:pPr>
      <w:r w:rsidRPr="007B78C8">
        <w:rPr>
          <w:rFonts w:cs="Times New Roman"/>
          <w:lang w:val="fr-CA"/>
        </w:rPr>
        <w:t>Troisièmement, les juges majoritaires ne se penchent pas sur la distinction entre l’exercice du pouvoir réglementaire et l’exercice du pouvoir décisionnel. Or, selon moi, cette distinction offre un fondement rationnel pour reconnaître que la question en litige touche en l’espèce à la compétence. Les juges majoritaires ne justifient pas leur désaccord.</w:t>
      </w:r>
    </w:p>
    <w:p w:rsidR="00E70F7D" w:rsidRPr="007B78C8" w:rsidRDefault="00E70F7D" w:rsidP="00E70F7D">
      <w:pPr>
        <w:pStyle w:val="ParaNoNdepar-AltN"/>
        <w:rPr>
          <w:rFonts w:cs="Times New Roman"/>
          <w:lang w:val="fr-CA"/>
        </w:rPr>
      </w:pPr>
      <w:r w:rsidRPr="007B78C8">
        <w:rPr>
          <w:rFonts w:cs="Times New Roman"/>
          <w:lang w:val="fr-CA"/>
        </w:rPr>
        <w:lastRenderedPageBreak/>
        <w:t>En somme, les juges majoritaires n’offrent à peu près aucune analyse à l’égard d’une question qui sera assurément importante dans les dossiers ultérieurs où le pouvoir d’adopter un règlement sera contesté. Comme les parties au pourvoi ont consacré une grande attention à la question, il aurait été utile que les juges majoritaires l’examinent plus attentivement.</w:t>
      </w:r>
    </w:p>
    <w:p w:rsidR="00E70F7D" w:rsidRPr="007B78C8" w:rsidRDefault="00E70F7D" w:rsidP="00E70F7D">
      <w:pPr>
        <w:pStyle w:val="Title2LevelTitre2Niveau"/>
        <w:numPr>
          <w:ilvl w:val="1"/>
          <w:numId w:val="9"/>
        </w:numPr>
        <w:tabs>
          <w:tab w:val="clear" w:pos="1569"/>
          <w:tab w:val="num" w:pos="576"/>
        </w:tabs>
        <w:ind w:left="576"/>
        <w:rPr>
          <w:rFonts w:cs="Times New Roman"/>
          <w:lang w:val="fr-CA"/>
        </w:rPr>
      </w:pPr>
      <w:r w:rsidRPr="007B78C8">
        <w:rPr>
          <w:rFonts w:cs="Times New Roman"/>
          <w:lang w:val="fr-CA"/>
        </w:rPr>
        <w:t>Analyse</w:t>
      </w:r>
    </w:p>
    <w:p w:rsidR="00E70F7D" w:rsidRPr="007B78C8" w:rsidRDefault="00E70F7D" w:rsidP="00E70F7D">
      <w:pPr>
        <w:pStyle w:val="ParaNoNdepar-AltN"/>
        <w:rPr>
          <w:rFonts w:cs="Times New Roman"/>
          <w:lang w:val="fr-CA"/>
        </w:rPr>
      </w:pPr>
      <w:r w:rsidRPr="007B78C8">
        <w:rPr>
          <w:rFonts w:cs="Times New Roman"/>
          <w:lang w:val="fr-CA"/>
        </w:rPr>
        <w:t xml:space="preserve">Le </w:t>
      </w:r>
      <w:r>
        <w:rPr>
          <w:rFonts w:cs="Times New Roman"/>
          <w:lang w:val="fr-CA"/>
        </w:rPr>
        <w:t>par</w:t>
      </w:r>
      <w:r w:rsidR="009935AC">
        <w:rPr>
          <w:rFonts w:cs="Times New Roman"/>
          <w:lang w:val="fr-CA"/>
        </w:rPr>
        <w:t>agraphe</w:t>
      </w:r>
      <w:r>
        <w:rPr>
          <w:rFonts w:cs="Times New Roman"/>
          <w:lang w:val="fr-CA"/>
        </w:rPr>
        <w:t> </w:t>
      </w:r>
      <w:r w:rsidRPr="007B78C8">
        <w:rPr>
          <w:rFonts w:cs="Times New Roman"/>
          <w:lang w:val="fr-CA"/>
        </w:rPr>
        <w:t xml:space="preserve">26.2(1) du Règlement est </w:t>
      </w:r>
      <w:r w:rsidRPr="007B78C8">
        <w:rPr>
          <w:rFonts w:cs="Times New Roman"/>
          <w:i/>
          <w:lang w:val="fr-CA"/>
        </w:rPr>
        <w:t xml:space="preserve">ultra vires </w:t>
      </w:r>
      <w:r w:rsidRPr="007B78C8">
        <w:rPr>
          <w:rFonts w:cs="Times New Roman"/>
          <w:lang w:val="fr-CA"/>
        </w:rPr>
        <w:t>en ce qu’il confond indûment les obligations du propriétaire et celles de l’employeur, alors que le régime législatif dans lequel il s’inscrit impose à l’un et à l’autre des obligations distinctes et définies. Il n’est donc pas compatible avec la loi habilitante de la Commission, et son adoption a outrepassé le pouvoir délégué de cette dernière.</w:t>
      </w:r>
    </w:p>
    <w:p w:rsidR="00E70F7D" w:rsidRPr="007B78C8" w:rsidRDefault="00E70F7D" w:rsidP="00E70F7D">
      <w:pPr>
        <w:pStyle w:val="ParaNoNdepar-AltN"/>
        <w:rPr>
          <w:rFonts w:cs="Times New Roman"/>
          <w:lang w:val="fr-CA"/>
        </w:rPr>
      </w:pPr>
      <w:r w:rsidRPr="007B78C8">
        <w:rPr>
          <w:rFonts w:cs="Times New Roman"/>
          <w:lang w:val="fr-CA"/>
        </w:rPr>
        <w:t xml:space="preserve">Le </w:t>
      </w:r>
      <w:r w:rsidR="009935AC">
        <w:rPr>
          <w:rFonts w:cs="Times New Roman"/>
          <w:lang w:val="fr-CA"/>
        </w:rPr>
        <w:t>paragraphe</w:t>
      </w:r>
      <w:r>
        <w:rPr>
          <w:rFonts w:cs="Times New Roman"/>
          <w:lang w:val="fr-CA"/>
        </w:rPr>
        <w:t> </w:t>
      </w:r>
      <w:r w:rsidRPr="007B78C8">
        <w:rPr>
          <w:rFonts w:cs="Times New Roman"/>
          <w:lang w:val="fr-CA"/>
        </w:rPr>
        <w:t>26.2(1) du Règlement requiert du propriétaire qu’il assume la responsabilité quant à la manière dont sont « planifiées et exercées » les activités d’exploitation forestière sur les lieux qui lui appartiennent. En voici le libellé</w:t>
      </w:r>
      <w:r>
        <w:rPr>
          <w:rFonts w:cs="Times New Roman"/>
          <w:lang w:val="fr-CA"/>
        </w:rPr>
        <w:t> :</w:t>
      </w:r>
    </w:p>
    <w:p w:rsidR="00833E70" w:rsidRDefault="00833E70" w:rsidP="00833E70">
      <w:pPr>
        <w:pStyle w:val="Citation-AltC"/>
        <w:rPr>
          <w:lang w:val="fr-CA"/>
        </w:rPr>
      </w:pPr>
      <w:r>
        <w:rPr>
          <w:lang w:val="fr-CA"/>
        </w:rPr>
        <w:t>[</w:t>
      </w:r>
      <w:r w:rsidRPr="00833E70">
        <w:rPr>
          <w:smallCaps/>
          <w:lang w:val="fr-CA"/>
        </w:rPr>
        <w:t>traduction</w:t>
      </w:r>
      <w:r>
        <w:rPr>
          <w:lang w:val="fr-CA"/>
        </w:rPr>
        <w:t>]</w:t>
      </w:r>
    </w:p>
    <w:p w:rsidR="00833E70" w:rsidRDefault="00833E70" w:rsidP="00833E70">
      <w:pPr>
        <w:pStyle w:val="Citation-AltC"/>
        <w:rPr>
          <w:lang w:val="fr-CA"/>
        </w:rPr>
      </w:pPr>
    </w:p>
    <w:p w:rsidR="00E70F7D" w:rsidRPr="007B78C8" w:rsidRDefault="00E70F7D" w:rsidP="00833E70">
      <w:pPr>
        <w:pStyle w:val="Citation-AltC"/>
        <w:rPr>
          <w:lang w:val="fr-CA"/>
        </w:rPr>
      </w:pPr>
      <w:r w:rsidRPr="007B78C8">
        <w:rPr>
          <w:b/>
          <w:lang w:val="fr-CA"/>
        </w:rPr>
        <w:t>26.2</w:t>
      </w:r>
      <w:r w:rsidRPr="007B78C8">
        <w:rPr>
          <w:lang w:val="fr-CA"/>
        </w:rPr>
        <w:t xml:space="preserve"> (1) Le propriétaire d’une entreprise d’exploitation forestière fait en sorte que toutes les activités d’exploitation forestière soient planifiées et exercées conformément au présent règlement et aux pratiques de travail sécuritaires jugées acceptables par la Commission. </w:t>
      </w:r>
    </w:p>
    <w:p w:rsidR="00E70F7D" w:rsidRPr="007B78C8" w:rsidRDefault="00E70F7D" w:rsidP="00E70F7D">
      <w:pPr>
        <w:pStyle w:val="ParaNoNdepar-AltN"/>
        <w:rPr>
          <w:rFonts w:cs="Times New Roman"/>
          <w:lang w:val="fr-CA"/>
        </w:rPr>
      </w:pPr>
      <w:r w:rsidRPr="007B78C8">
        <w:rPr>
          <w:rFonts w:cs="Times New Roman"/>
          <w:lang w:val="fr-CA"/>
        </w:rPr>
        <w:lastRenderedPageBreak/>
        <w:t>Le pouvoir de réglementation de la Commission est prévu à l’</w:t>
      </w:r>
      <w:r>
        <w:rPr>
          <w:rFonts w:cs="Times New Roman"/>
          <w:lang w:val="fr-CA"/>
        </w:rPr>
        <w:t>art. </w:t>
      </w:r>
      <w:r w:rsidRPr="007B78C8">
        <w:rPr>
          <w:rFonts w:cs="Times New Roman"/>
          <w:lang w:val="fr-CA"/>
        </w:rPr>
        <w:t>225 de la Loi. Il s’agit d’un pouvoir relativement large, mais qui fait l’objet d’une restriction, à savoir que les règlements de la Commission soient adoptés [</w:t>
      </w:r>
      <w:r w:rsidRPr="007B78C8">
        <w:rPr>
          <w:rFonts w:cs="Times New Roman"/>
          <w:smallCaps/>
          <w:lang w:val="fr-CA"/>
        </w:rPr>
        <w:t>traduction</w:t>
      </w:r>
      <w:r w:rsidRPr="007B78C8">
        <w:rPr>
          <w:rFonts w:cs="Times New Roman"/>
          <w:lang w:val="fr-CA"/>
        </w:rPr>
        <w:t>] « [c]</w:t>
      </w:r>
      <w:proofErr w:type="spellStart"/>
      <w:r w:rsidRPr="007B78C8">
        <w:rPr>
          <w:rFonts w:cs="Times New Roman"/>
          <w:lang w:val="fr-CA"/>
        </w:rPr>
        <w:t>onformément</w:t>
      </w:r>
      <w:proofErr w:type="spellEnd"/>
      <w:r w:rsidRPr="007B78C8">
        <w:rPr>
          <w:rFonts w:cs="Times New Roman"/>
          <w:lang w:val="fr-CA"/>
        </w:rPr>
        <w:t xml:space="preserve"> au mandat que lui confère la présente partie ». Les passages pertinents de cette disposition sont rédigés comme suit</w:t>
      </w:r>
      <w:r>
        <w:rPr>
          <w:rFonts w:cs="Times New Roman"/>
          <w:lang w:val="fr-CA"/>
        </w:rPr>
        <w:t> :</w:t>
      </w:r>
    </w:p>
    <w:p w:rsidR="00E70F7D" w:rsidRDefault="00E70F7D" w:rsidP="00833E70">
      <w:pPr>
        <w:pStyle w:val="Citation-AltC"/>
        <w:spacing w:after="0"/>
        <w:ind w:left="1627" w:hanging="457"/>
        <w:contextualSpacing w:val="0"/>
        <w:rPr>
          <w:lang w:val="fr-CA"/>
        </w:rPr>
      </w:pPr>
      <w:r w:rsidRPr="007B78C8">
        <w:rPr>
          <w:lang w:val="fr-CA"/>
        </w:rPr>
        <w:t>[</w:t>
      </w:r>
      <w:r w:rsidRPr="007B78C8">
        <w:rPr>
          <w:smallCaps/>
          <w:lang w:val="fr-CA"/>
        </w:rPr>
        <w:t>traduction</w:t>
      </w:r>
      <w:r w:rsidRPr="007B78C8">
        <w:rPr>
          <w:lang w:val="fr-CA"/>
        </w:rPr>
        <w:t xml:space="preserve">] </w:t>
      </w:r>
    </w:p>
    <w:p w:rsidR="00833E70" w:rsidRPr="007B78C8" w:rsidRDefault="00833E70" w:rsidP="00E70F7D">
      <w:pPr>
        <w:pStyle w:val="Citation-AltC"/>
        <w:spacing w:after="0"/>
        <w:ind w:left="1627" w:hanging="187"/>
        <w:contextualSpacing w:val="0"/>
        <w:rPr>
          <w:lang w:val="fr-CA"/>
        </w:rPr>
      </w:pPr>
    </w:p>
    <w:p w:rsidR="00E70F7D" w:rsidRDefault="00E70F7D" w:rsidP="00833E70">
      <w:pPr>
        <w:pStyle w:val="Citation-AltC"/>
        <w:tabs>
          <w:tab w:val="left" w:pos="1710"/>
        </w:tabs>
        <w:ind w:left="1710" w:hanging="540"/>
        <w:rPr>
          <w:lang w:val="fr-CA"/>
        </w:rPr>
      </w:pPr>
      <w:r w:rsidRPr="007B78C8">
        <w:rPr>
          <w:b/>
          <w:lang w:val="fr-CA"/>
        </w:rPr>
        <w:t>225</w:t>
      </w:r>
      <w:r w:rsidRPr="007B78C8">
        <w:rPr>
          <w:lang w:val="fr-CA"/>
        </w:rPr>
        <w:tab/>
        <w:t xml:space="preserve">(1) Conformément au mandat que lui confère la présente partie, la Commission peut prendre les règlements qu’elle juge nécessaires ou souhaitables relativement à la santé et à la sécurité au travail et à l’environnement de travail. </w:t>
      </w:r>
    </w:p>
    <w:p w:rsidR="00833E70" w:rsidRPr="007B78C8" w:rsidRDefault="00833E70" w:rsidP="00833E70">
      <w:pPr>
        <w:pStyle w:val="Citation-AltC"/>
        <w:tabs>
          <w:tab w:val="left" w:pos="1710"/>
        </w:tabs>
        <w:ind w:left="1710" w:hanging="540"/>
        <w:rPr>
          <w:lang w:val="fr-CA"/>
        </w:rPr>
      </w:pPr>
    </w:p>
    <w:p w:rsidR="00E70F7D" w:rsidRDefault="00E70F7D" w:rsidP="00833E70">
      <w:pPr>
        <w:pStyle w:val="Citation-AltC"/>
        <w:ind w:left="1710"/>
        <w:rPr>
          <w:lang w:val="fr-CA"/>
        </w:rPr>
      </w:pPr>
      <w:r w:rsidRPr="007B78C8">
        <w:rPr>
          <w:lang w:val="fr-CA"/>
        </w:rPr>
        <w:t>(2) Sans que soit limitée la portée du paragraphe (1), la Commission peut prendre des règlements sur ce qui suit</w:t>
      </w:r>
      <w:r>
        <w:rPr>
          <w:lang w:val="fr-CA"/>
        </w:rPr>
        <w:t> :</w:t>
      </w:r>
      <w:r w:rsidRPr="007B78C8">
        <w:rPr>
          <w:lang w:val="fr-CA"/>
        </w:rPr>
        <w:t xml:space="preserve"> </w:t>
      </w:r>
    </w:p>
    <w:p w:rsidR="00833E70" w:rsidRPr="007B78C8" w:rsidRDefault="00833E70" w:rsidP="00833E70">
      <w:pPr>
        <w:pStyle w:val="Citation-AltC"/>
        <w:ind w:left="1710"/>
        <w:rPr>
          <w:lang w:val="fr-CA"/>
        </w:rPr>
      </w:pPr>
    </w:p>
    <w:p w:rsidR="00E70F7D" w:rsidRDefault="00E70F7D" w:rsidP="00833E70">
      <w:pPr>
        <w:pStyle w:val="Citation-AltC"/>
        <w:ind w:left="2160"/>
        <w:rPr>
          <w:lang w:val="fr-CA"/>
        </w:rPr>
      </w:pPr>
      <w:r w:rsidRPr="007B78C8">
        <w:rPr>
          <w:lang w:val="fr-CA"/>
        </w:rPr>
        <w:t xml:space="preserve">a) les normes et les exigences relatives à la protection de la santé </w:t>
      </w:r>
      <w:r w:rsidRPr="00833E70">
        <w:rPr>
          <w:lang w:val="fr-CA"/>
        </w:rPr>
        <w:t>et</w:t>
      </w:r>
      <w:r w:rsidRPr="007B78C8">
        <w:rPr>
          <w:lang w:val="fr-CA"/>
        </w:rPr>
        <w:t xml:space="preserve"> de la sécurité des travailleurs et des autres personnes se trouvant dans un lieu de travail et au bien</w:t>
      </w:r>
      <w:r>
        <w:rPr>
          <w:lang w:val="fr-CA"/>
        </w:rPr>
        <w:noBreakHyphen/>
      </w:r>
      <w:r w:rsidRPr="007B78C8">
        <w:rPr>
          <w:lang w:val="fr-CA"/>
        </w:rPr>
        <w:t>être des travailleurs dans leur environnement de travail;</w:t>
      </w:r>
    </w:p>
    <w:p w:rsidR="00833E70" w:rsidRPr="007B78C8" w:rsidRDefault="00833E70" w:rsidP="00833E70">
      <w:pPr>
        <w:pStyle w:val="Citation-AltC"/>
        <w:ind w:left="2160"/>
        <w:rPr>
          <w:lang w:val="fr-CA"/>
        </w:rPr>
      </w:pPr>
    </w:p>
    <w:p w:rsidR="00833E70" w:rsidRDefault="00E70F7D" w:rsidP="00833E70">
      <w:pPr>
        <w:pStyle w:val="Citation-AltC"/>
        <w:ind w:left="2160"/>
        <w:rPr>
          <w:lang w:val="fr-CA"/>
        </w:rPr>
      </w:pPr>
      <w:r w:rsidRPr="007B78C8">
        <w:rPr>
          <w:lang w:val="fr-CA"/>
        </w:rPr>
        <w:t xml:space="preserve">b) des </w:t>
      </w:r>
      <w:r w:rsidRPr="007B78C8">
        <w:rPr>
          <w:u w:val="single"/>
          <w:lang w:val="fr-CA"/>
        </w:rPr>
        <w:t>éléments précis</w:t>
      </w:r>
      <w:r w:rsidRPr="007B78C8">
        <w:rPr>
          <w:lang w:val="fr-CA"/>
        </w:rPr>
        <w:t xml:space="preserve"> des obligations générales des </w:t>
      </w:r>
      <w:r w:rsidRPr="007B78C8">
        <w:rPr>
          <w:u w:val="single"/>
          <w:lang w:val="fr-CA"/>
        </w:rPr>
        <w:t>employeurs</w:t>
      </w:r>
      <w:r w:rsidRPr="007B78C8">
        <w:rPr>
          <w:lang w:val="fr-CA"/>
        </w:rPr>
        <w:t xml:space="preserve">, </w:t>
      </w:r>
      <w:r w:rsidRPr="007B78C8">
        <w:rPr>
          <w:u w:val="single"/>
          <w:lang w:val="fr-CA"/>
        </w:rPr>
        <w:t>travailleurs</w:t>
      </w:r>
      <w:r w:rsidRPr="007B78C8">
        <w:rPr>
          <w:lang w:val="fr-CA"/>
        </w:rPr>
        <w:t xml:space="preserve">, fournisseurs, superviseurs, </w:t>
      </w:r>
      <w:r w:rsidRPr="00833E70">
        <w:rPr>
          <w:lang w:val="fr-CA"/>
        </w:rPr>
        <w:t>entrepreneurs</w:t>
      </w:r>
      <w:r w:rsidRPr="007B78C8">
        <w:rPr>
          <w:lang w:val="fr-CA"/>
        </w:rPr>
        <w:t xml:space="preserve"> principaux et </w:t>
      </w:r>
      <w:r w:rsidRPr="007B78C8">
        <w:rPr>
          <w:u w:val="single"/>
          <w:lang w:val="fr-CA"/>
        </w:rPr>
        <w:t>propriétaires</w:t>
      </w:r>
      <w:r w:rsidRPr="007B78C8">
        <w:rPr>
          <w:lang w:val="fr-CA"/>
        </w:rPr>
        <w:t xml:space="preserve"> sui</w:t>
      </w:r>
      <w:r w:rsidR="00833E70">
        <w:rPr>
          <w:lang w:val="fr-CA"/>
        </w:rPr>
        <w:t xml:space="preserve">vant la présente partie; </w:t>
      </w:r>
    </w:p>
    <w:p w:rsidR="00833E70" w:rsidRDefault="00833E70" w:rsidP="00833E70">
      <w:pPr>
        <w:pStyle w:val="Citation-AltC"/>
        <w:ind w:left="2160"/>
        <w:rPr>
          <w:lang w:val="fr-CA"/>
        </w:rPr>
      </w:pPr>
    </w:p>
    <w:p w:rsidR="00E70F7D" w:rsidRPr="007B78C8" w:rsidRDefault="00833E70" w:rsidP="00833E70">
      <w:pPr>
        <w:pStyle w:val="Citation-AltC"/>
        <w:ind w:left="1260"/>
        <w:jc w:val="center"/>
        <w:rPr>
          <w:lang w:val="fr-CA"/>
        </w:rPr>
      </w:pPr>
      <w:r>
        <w:rPr>
          <w:lang w:val="fr-CA"/>
        </w:rPr>
        <w:t>. . .</w:t>
      </w:r>
    </w:p>
    <w:p w:rsidR="00E70F7D" w:rsidRPr="007B78C8" w:rsidRDefault="00E70F7D" w:rsidP="00E70F7D">
      <w:pPr>
        <w:pStyle w:val="ParaNoNdepar-AltN"/>
        <w:rPr>
          <w:rFonts w:cs="Times New Roman"/>
          <w:lang w:val="fr-CA"/>
        </w:rPr>
      </w:pPr>
      <w:r w:rsidRPr="007B78C8">
        <w:rPr>
          <w:rFonts w:cs="Times New Roman"/>
          <w:lang w:val="fr-CA"/>
        </w:rPr>
        <w:t xml:space="preserve">Pour décider si le </w:t>
      </w:r>
      <w:r>
        <w:rPr>
          <w:rFonts w:cs="Times New Roman"/>
          <w:lang w:val="fr-CA"/>
        </w:rPr>
        <w:t>par. </w:t>
      </w:r>
      <w:r w:rsidRPr="007B78C8">
        <w:rPr>
          <w:rFonts w:cs="Times New Roman"/>
          <w:lang w:val="fr-CA"/>
        </w:rPr>
        <w:t>26.2(1) respecte les limites du pouvoir conféré par l’</w:t>
      </w:r>
      <w:r>
        <w:rPr>
          <w:rFonts w:cs="Times New Roman"/>
          <w:lang w:val="fr-CA"/>
        </w:rPr>
        <w:t>art. </w:t>
      </w:r>
      <w:r w:rsidRPr="007B78C8">
        <w:rPr>
          <w:rFonts w:cs="Times New Roman"/>
          <w:lang w:val="fr-CA"/>
        </w:rPr>
        <w:t xml:space="preserve">225 de la Loi, il faut examiner la partie 3 de la Loi dans sa totalité afin de « comprendre le rôle que joue la disposition » (en l’occurrence la disposition attributive du pouvoir de réglementation) « au regard de </w:t>
      </w:r>
      <w:proofErr w:type="gramStart"/>
      <w:r w:rsidRPr="007B78C8">
        <w:rPr>
          <w:rFonts w:cs="Times New Roman"/>
          <w:lang w:val="fr-CA"/>
        </w:rPr>
        <w:t>l’[</w:t>
      </w:r>
      <w:proofErr w:type="gramEnd"/>
      <w:r w:rsidRPr="007B78C8">
        <w:rPr>
          <w:rFonts w:cs="Times New Roman"/>
          <w:lang w:val="fr-CA"/>
        </w:rPr>
        <w:t>économie générale] » de la Loi (</w:t>
      </w:r>
      <w:r w:rsidRPr="007B78C8">
        <w:rPr>
          <w:rFonts w:cs="Times New Roman"/>
          <w:i/>
          <w:lang w:val="fr-CA"/>
        </w:rPr>
        <w:t xml:space="preserve">Toronto Star </w:t>
      </w:r>
      <w:proofErr w:type="spellStart"/>
      <w:r w:rsidRPr="007B78C8">
        <w:rPr>
          <w:rFonts w:cs="Times New Roman"/>
          <w:i/>
          <w:lang w:val="fr-CA"/>
        </w:rPr>
        <w:t>Newspapers</w:t>
      </w:r>
      <w:proofErr w:type="spellEnd"/>
      <w:r w:rsidRPr="007B78C8">
        <w:rPr>
          <w:rFonts w:cs="Times New Roman"/>
          <w:i/>
          <w:lang w:val="fr-CA"/>
        </w:rPr>
        <w:t xml:space="preserve"> Ltd. c. Canada</w:t>
      </w:r>
      <w:r w:rsidRPr="007B78C8">
        <w:rPr>
          <w:rFonts w:cs="Times New Roman"/>
          <w:lang w:val="fr-CA"/>
        </w:rPr>
        <w:t xml:space="preserve">, 2010 CSC 21, [2010] 1 R.C.S. 721, </w:t>
      </w:r>
      <w:r>
        <w:rPr>
          <w:rFonts w:cs="Times New Roman"/>
          <w:lang w:val="fr-CA"/>
        </w:rPr>
        <w:t>par. </w:t>
      </w:r>
      <w:r w:rsidRPr="007B78C8">
        <w:rPr>
          <w:rFonts w:cs="Times New Roman"/>
          <w:lang w:val="fr-CA"/>
        </w:rPr>
        <w:t>21).</w:t>
      </w:r>
      <w:r w:rsidRPr="007B78C8">
        <w:rPr>
          <w:rFonts w:cs="Times New Roman"/>
          <w:i/>
          <w:lang w:val="fr-CA"/>
        </w:rPr>
        <w:t xml:space="preserve"> </w:t>
      </w:r>
      <w:r w:rsidRPr="007B78C8">
        <w:rPr>
          <w:rFonts w:cs="Times New Roman"/>
          <w:lang w:val="fr-CA"/>
        </w:rPr>
        <w:t>Voir aussi</w:t>
      </w:r>
      <w:r w:rsidRPr="007B78C8">
        <w:rPr>
          <w:rFonts w:cs="Times New Roman"/>
          <w:i/>
          <w:lang w:val="fr-CA"/>
        </w:rPr>
        <w:t xml:space="preserve"> </w:t>
      </w:r>
      <w:proofErr w:type="spellStart"/>
      <w:r w:rsidRPr="007B78C8">
        <w:rPr>
          <w:rFonts w:cs="Times New Roman"/>
          <w:i/>
          <w:lang w:val="fr-CA"/>
        </w:rPr>
        <w:t>Greenshields</w:t>
      </w:r>
      <w:proofErr w:type="spellEnd"/>
      <w:r w:rsidRPr="007B78C8">
        <w:rPr>
          <w:rFonts w:cs="Times New Roman"/>
          <w:i/>
          <w:lang w:val="fr-CA"/>
        </w:rPr>
        <w:t xml:space="preserve"> c. The Queen</w:t>
      </w:r>
      <w:r w:rsidRPr="007B78C8">
        <w:rPr>
          <w:rFonts w:cs="Times New Roman"/>
          <w:lang w:val="fr-CA"/>
        </w:rPr>
        <w:t xml:space="preserve">, [1958] R.C.S. 216, </w:t>
      </w:r>
      <w:r>
        <w:rPr>
          <w:rFonts w:cs="Times New Roman"/>
          <w:lang w:val="fr-CA"/>
        </w:rPr>
        <w:t>p. </w:t>
      </w:r>
      <w:r w:rsidRPr="007B78C8">
        <w:rPr>
          <w:rFonts w:cs="Times New Roman"/>
          <w:lang w:val="fr-CA"/>
        </w:rPr>
        <w:t xml:space="preserve">225, le juge Locke, </w:t>
      </w:r>
      <w:r w:rsidRPr="007B78C8">
        <w:rPr>
          <w:rFonts w:cs="Times New Roman"/>
          <w:lang w:val="fr-CA"/>
        </w:rPr>
        <w:lastRenderedPageBreak/>
        <w:t xml:space="preserve">dissident; R. Sullivan, </w:t>
      </w:r>
      <w:r w:rsidRPr="007B78C8">
        <w:rPr>
          <w:rFonts w:cs="Times New Roman"/>
          <w:i/>
          <w:lang w:val="fr-CA"/>
        </w:rPr>
        <w:t xml:space="preserve">Sullivan on the Construction of </w:t>
      </w:r>
      <w:proofErr w:type="spellStart"/>
      <w:r w:rsidRPr="007B78C8">
        <w:rPr>
          <w:rFonts w:cs="Times New Roman"/>
          <w:i/>
          <w:lang w:val="fr-CA"/>
        </w:rPr>
        <w:t>Statutes</w:t>
      </w:r>
      <w:proofErr w:type="spellEnd"/>
      <w:r w:rsidRPr="007B78C8">
        <w:rPr>
          <w:rFonts w:cs="Times New Roman"/>
          <w:lang w:val="fr-CA"/>
        </w:rPr>
        <w:t xml:space="preserve"> (6</w:t>
      </w:r>
      <w:r w:rsidRPr="007B78C8">
        <w:rPr>
          <w:rFonts w:cs="Times New Roman"/>
          <w:vertAlign w:val="superscript"/>
          <w:lang w:val="fr-CA"/>
        </w:rPr>
        <w:t>e</w:t>
      </w:r>
      <w:r w:rsidRPr="007B78C8">
        <w:rPr>
          <w:rFonts w:cs="Times New Roman"/>
          <w:lang w:val="fr-CA"/>
        </w:rPr>
        <w:t> éd. 2014), qui écrit au § 13.12</w:t>
      </w:r>
      <w:r>
        <w:rPr>
          <w:rFonts w:cs="Times New Roman"/>
          <w:lang w:val="fr-CA"/>
        </w:rPr>
        <w:t> :</w:t>
      </w:r>
      <w:r w:rsidRPr="007B78C8">
        <w:rPr>
          <w:rFonts w:cs="Times New Roman"/>
          <w:lang w:val="fr-CA"/>
        </w:rPr>
        <w:t xml:space="preserve"> [</w:t>
      </w:r>
      <w:r w:rsidRPr="007B78C8">
        <w:rPr>
          <w:rFonts w:cs="Times New Roman"/>
          <w:smallCaps/>
          <w:lang w:val="fr-CA"/>
        </w:rPr>
        <w:t>traduction</w:t>
      </w:r>
      <w:r w:rsidRPr="007B78C8">
        <w:rPr>
          <w:rFonts w:cs="Times New Roman"/>
          <w:lang w:val="fr-CA"/>
        </w:rPr>
        <w:t>] « Dans son analyse de l’économie d’une loi, le tribunal tente de découvrir de quelle façon les dispositions ou les parties de la loi interagissent pour donner effet à un plan plausible et cohérent. Il examine ensuite comment la disposition à interpréter peut se comprendre eu égard à ce plan ». Autrement dit, la portée du pouvoir de réglementation de la Commission doit être considérée à la lumière de l’intention du législateur. Un règlement ne sera pas compatible avec la Loi ou « [conforme] au mandat que [confère à la Commission la partie 3] » s’il va à l’encontre du régime législatif ou mine autrement celui</w:t>
      </w:r>
      <w:r>
        <w:rPr>
          <w:rFonts w:cs="Times New Roman"/>
          <w:lang w:val="fr-CA"/>
        </w:rPr>
        <w:noBreakHyphen/>
      </w:r>
      <w:r w:rsidRPr="007B78C8">
        <w:rPr>
          <w:rFonts w:cs="Times New Roman"/>
          <w:lang w:val="fr-CA"/>
        </w:rPr>
        <w:t xml:space="preserve">ci. Voilà un cas où, pour reprendre les termes employés par la Cour dans l’arrêt </w:t>
      </w:r>
      <w:r w:rsidRPr="007B78C8">
        <w:rPr>
          <w:rFonts w:cs="Times New Roman"/>
          <w:i/>
          <w:lang w:val="fr-CA"/>
        </w:rPr>
        <w:t>Katz</w:t>
      </w:r>
      <w:r w:rsidRPr="007B78C8">
        <w:rPr>
          <w:rFonts w:cs="Times New Roman"/>
          <w:lang w:val="fr-CA"/>
        </w:rPr>
        <w:t xml:space="preserve">, il ne serait pas « possible » d’interpréter le règlement « d’une manière qui le rend </w:t>
      </w:r>
      <w:r w:rsidRPr="007B78C8">
        <w:rPr>
          <w:rFonts w:cs="Times New Roman"/>
          <w:i/>
          <w:lang w:val="fr-CA"/>
        </w:rPr>
        <w:t>intra vires </w:t>
      </w:r>
      <w:r w:rsidRPr="007B78C8">
        <w:rPr>
          <w:rFonts w:cs="Times New Roman"/>
          <w:lang w:val="fr-CA"/>
        </w:rPr>
        <w:t>» (</w:t>
      </w:r>
      <w:r>
        <w:rPr>
          <w:rFonts w:cs="Times New Roman"/>
          <w:lang w:val="fr-CA"/>
        </w:rPr>
        <w:t>par. </w:t>
      </w:r>
      <w:r w:rsidRPr="007B78C8">
        <w:rPr>
          <w:rFonts w:cs="Times New Roman"/>
          <w:lang w:val="fr-CA"/>
        </w:rPr>
        <w:t xml:space="preserve">25 (italique </w:t>
      </w:r>
      <w:r w:rsidR="00650A78">
        <w:rPr>
          <w:rFonts w:cs="Times New Roman"/>
          <w:lang w:val="fr-CA"/>
        </w:rPr>
        <w:t>omis</w:t>
      </w:r>
      <w:r w:rsidRPr="007B78C8">
        <w:rPr>
          <w:rFonts w:cs="Times New Roman"/>
          <w:lang w:val="fr-CA"/>
        </w:rPr>
        <w:t>)).</w:t>
      </w:r>
    </w:p>
    <w:p w:rsidR="00E70F7D" w:rsidRPr="007B78C8" w:rsidRDefault="00E70F7D" w:rsidP="00E70F7D">
      <w:pPr>
        <w:pStyle w:val="ParaNoNdepar-AltN"/>
        <w:rPr>
          <w:rFonts w:cs="Times New Roman"/>
          <w:lang w:val="fr-CA"/>
        </w:rPr>
      </w:pPr>
      <w:r w:rsidRPr="007B78C8">
        <w:rPr>
          <w:rFonts w:cs="Times New Roman"/>
          <w:lang w:val="fr-CA"/>
        </w:rPr>
        <w:t xml:space="preserve">Dans le cadre du régime législatif applicable en l’espèce, la Loi définit à son </w:t>
      </w:r>
      <w:r>
        <w:rPr>
          <w:rFonts w:cs="Times New Roman"/>
          <w:lang w:val="fr-CA"/>
        </w:rPr>
        <w:t>art. </w:t>
      </w:r>
      <w:r w:rsidRPr="007B78C8">
        <w:rPr>
          <w:rFonts w:cs="Times New Roman"/>
          <w:lang w:val="fr-CA"/>
        </w:rPr>
        <w:t xml:space="preserve">106 « employeur » et « propriétaire » comme étant des entités séparées, et ce, au moyen de définitions distinctes. Elle précise ensuite expressément </w:t>
      </w:r>
      <w:proofErr w:type="gramStart"/>
      <w:r w:rsidRPr="007B78C8">
        <w:rPr>
          <w:rFonts w:cs="Times New Roman"/>
          <w:lang w:val="fr-CA"/>
        </w:rPr>
        <w:t xml:space="preserve">aux </w:t>
      </w:r>
      <w:r>
        <w:rPr>
          <w:rFonts w:cs="Times New Roman"/>
          <w:lang w:val="fr-CA"/>
        </w:rPr>
        <w:t>art</w:t>
      </w:r>
      <w:proofErr w:type="gramEnd"/>
      <w:r>
        <w:rPr>
          <w:rFonts w:cs="Times New Roman"/>
          <w:lang w:val="fr-CA"/>
        </w:rPr>
        <w:t>. </w:t>
      </w:r>
      <w:r w:rsidRPr="007B78C8">
        <w:rPr>
          <w:rFonts w:cs="Times New Roman"/>
          <w:lang w:val="fr-CA"/>
        </w:rPr>
        <w:t>115 à 121 les obligations propres au propriétaire, à l’employeur et à d’autres personnes. Les obligations générales de l’employeur sont énoncées à l’</w:t>
      </w:r>
      <w:r>
        <w:rPr>
          <w:rFonts w:cs="Times New Roman"/>
          <w:lang w:val="fr-CA"/>
        </w:rPr>
        <w:t>art. </w:t>
      </w:r>
      <w:r w:rsidRPr="007B78C8">
        <w:rPr>
          <w:rFonts w:cs="Times New Roman"/>
          <w:lang w:val="fr-CA"/>
        </w:rPr>
        <w:t>115</w:t>
      </w:r>
      <w:r>
        <w:rPr>
          <w:rFonts w:cs="Times New Roman"/>
          <w:lang w:val="fr-CA"/>
        </w:rPr>
        <w:t> :</w:t>
      </w:r>
    </w:p>
    <w:p w:rsidR="00E70F7D" w:rsidRDefault="00E70F7D" w:rsidP="00833E70">
      <w:pPr>
        <w:pStyle w:val="Citation-AltC"/>
        <w:spacing w:after="0"/>
        <w:ind w:left="1170" w:hanging="1170"/>
        <w:contextualSpacing w:val="0"/>
        <w:rPr>
          <w:lang w:val="fr-CA"/>
        </w:rPr>
      </w:pPr>
      <w:r w:rsidRPr="007B78C8">
        <w:rPr>
          <w:lang w:val="fr-CA"/>
        </w:rPr>
        <w:tab/>
        <w:t>[</w:t>
      </w:r>
      <w:r w:rsidRPr="007B78C8">
        <w:rPr>
          <w:smallCaps/>
          <w:lang w:val="fr-CA"/>
        </w:rPr>
        <w:t>traduction</w:t>
      </w:r>
      <w:r w:rsidRPr="007B78C8">
        <w:rPr>
          <w:lang w:val="fr-CA"/>
        </w:rPr>
        <w:t>]</w:t>
      </w:r>
    </w:p>
    <w:p w:rsidR="00833E70" w:rsidRPr="007B78C8" w:rsidRDefault="00833E70" w:rsidP="00E70F7D">
      <w:pPr>
        <w:pStyle w:val="Citation-AltC"/>
        <w:spacing w:after="0"/>
        <w:ind w:left="1440" w:hanging="1440"/>
        <w:contextualSpacing w:val="0"/>
        <w:rPr>
          <w:lang w:val="fr-CA"/>
        </w:rPr>
      </w:pPr>
    </w:p>
    <w:p w:rsidR="00E70F7D" w:rsidRDefault="00E70F7D" w:rsidP="00833E70">
      <w:pPr>
        <w:pStyle w:val="Citation-AltC"/>
        <w:tabs>
          <w:tab w:val="left" w:pos="1620"/>
        </w:tabs>
        <w:rPr>
          <w:lang w:val="fr-CA"/>
        </w:rPr>
      </w:pPr>
      <w:r w:rsidRPr="007B78C8">
        <w:rPr>
          <w:b/>
          <w:lang w:val="fr-CA"/>
        </w:rPr>
        <w:t>115</w:t>
      </w:r>
      <w:r w:rsidRPr="007B78C8">
        <w:rPr>
          <w:lang w:val="fr-CA"/>
        </w:rPr>
        <w:tab/>
        <w:t>(1) </w:t>
      </w:r>
      <w:r w:rsidRPr="00833E70">
        <w:rPr>
          <w:lang w:val="en-US"/>
        </w:rPr>
        <w:t>Chaque</w:t>
      </w:r>
      <w:r w:rsidRPr="007B78C8">
        <w:rPr>
          <w:lang w:val="fr-CA"/>
        </w:rPr>
        <w:t xml:space="preserve"> employeur doit</w:t>
      </w:r>
      <w:r>
        <w:rPr>
          <w:lang w:val="fr-CA"/>
        </w:rPr>
        <w:t> :</w:t>
      </w:r>
      <w:r w:rsidRPr="007B78C8">
        <w:rPr>
          <w:lang w:val="fr-CA"/>
        </w:rPr>
        <w:t xml:space="preserve"> </w:t>
      </w:r>
    </w:p>
    <w:p w:rsidR="00833E70" w:rsidRPr="007B78C8" w:rsidRDefault="00833E70" w:rsidP="00833E70">
      <w:pPr>
        <w:pStyle w:val="Citation-AltC"/>
        <w:tabs>
          <w:tab w:val="left" w:pos="1980"/>
        </w:tabs>
        <w:rPr>
          <w:lang w:val="fr-CA"/>
        </w:rPr>
      </w:pPr>
    </w:p>
    <w:p w:rsidR="00E70F7D" w:rsidRDefault="00E70F7D" w:rsidP="00833E70">
      <w:pPr>
        <w:pStyle w:val="Citation-AltC"/>
        <w:ind w:left="1980"/>
        <w:rPr>
          <w:lang w:val="fr-CA"/>
        </w:rPr>
      </w:pPr>
      <w:r w:rsidRPr="007B78C8">
        <w:rPr>
          <w:lang w:val="fr-CA"/>
        </w:rPr>
        <w:t>a) assurer la santé et la sécurité de</w:t>
      </w:r>
      <w:r>
        <w:rPr>
          <w:lang w:val="fr-CA"/>
        </w:rPr>
        <w:t> :</w:t>
      </w:r>
    </w:p>
    <w:p w:rsidR="00833E70" w:rsidRPr="007B78C8" w:rsidRDefault="00833E70" w:rsidP="00833E70">
      <w:pPr>
        <w:pStyle w:val="Citation-AltC"/>
        <w:ind w:left="1980"/>
        <w:rPr>
          <w:lang w:val="fr-CA"/>
        </w:rPr>
      </w:pPr>
    </w:p>
    <w:p w:rsidR="00E70F7D" w:rsidRDefault="00E70F7D" w:rsidP="00833E70">
      <w:pPr>
        <w:pStyle w:val="Citation-AltC"/>
        <w:tabs>
          <w:tab w:val="left" w:pos="3420"/>
        </w:tabs>
        <w:ind w:left="2340"/>
        <w:rPr>
          <w:lang w:val="fr-CA"/>
        </w:rPr>
      </w:pPr>
      <w:r w:rsidRPr="007B78C8">
        <w:rPr>
          <w:lang w:val="fr-CA"/>
        </w:rPr>
        <w:t>(i) </w:t>
      </w:r>
      <w:r w:rsidRPr="00FC4DA6">
        <w:rPr>
          <w:lang w:val="fr-CA"/>
        </w:rPr>
        <w:t>tous</w:t>
      </w:r>
      <w:r w:rsidRPr="007B78C8">
        <w:rPr>
          <w:lang w:val="fr-CA"/>
        </w:rPr>
        <w:t xml:space="preserve"> </w:t>
      </w:r>
      <w:r w:rsidRPr="00FC4DA6">
        <w:rPr>
          <w:lang w:val="fr-CA"/>
        </w:rPr>
        <w:t>ses</w:t>
      </w:r>
      <w:r w:rsidRPr="007B78C8">
        <w:rPr>
          <w:lang w:val="fr-CA"/>
        </w:rPr>
        <w:t xml:space="preserve"> travailleurs;</w:t>
      </w:r>
    </w:p>
    <w:p w:rsidR="00833E70" w:rsidRPr="007B78C8" w:rsidRDefault="00833E70" w:rsidP="00833E70">
      <w:pPr>
        <w:pStyle w:val="Citation-AltC"/>
        <w:ind w:left="1980"/>
        <w:rPr>
          <w:lang w:val="fr-CA"/>
        </w:rPr>
      </w:pPr>
    </w:p>
    <w:p w:rsidR="00E70F7D" w:rsidRDefault="00E70F7D" w:rsidP="00833E70">
      <w:pPr>
        <w:pStyle w:val="Citation-AltC"/>
        <w:tabs>
          <w:tab w:val="left" w:pos="3420"/>
        </w:tabs>
        <w:ind w:left="2340"/>
        <w:rPr>
          <w:lang w:val="fr-CA"/>
        </w:rPr>
      </w:pPr>
      <w:r w:rsidRPr="007B78C8">
        <w:rPr>
          <w:lang w:val="fr-CA"/>
        </w:rPr>
        <w:t>(ii) </w:t>
      </w:r>
      <w:r w:rsidRPr="00FC4DA6">
        <w:rPr>
          <w:lang w:val="fr-CA"/>
        </w:rPr>
        <w:t>tous</w:t>
      </w:r>
      <w:r w:rsidRPr="007B78C8">
        <w:rPr>
          <w:lang w:val="fr-CA"/>
        </w:rPr>
        <w:t xml:space="preserve"> les autres travailleurs se trouvant dans un </w:t>
      </w:r>
      <w:r w:rsidRPr="00833E70">
        <w:rPr>
          <w:lang w:val="fr-CA"/>
        </w:rPr>
        <w:t>lieu</w:t>
      </w:r>
      <w:r w:rsidRPr="007B78C8">
        <w:rPr>
          <w:lang w:val="fr-CA"/>
        </w:rPr>
        <w:t xml:space="preserve"> de travail où il exerce ses activités;</w:t>
      </w:r>
    </w:p>
    <w:p w:rsidR="00833E70" w:rsidRPr="007B78C8" w:rsidRDefault="00833E70" w:rsidP="00833E70">
      <w:pPr>
        <w:pStyle w:val="Citation-AltC"/>
        <w:ind w:left="1980"/>
        <w:rPr>
          <w:lang w:val="fr-CA"/>
        </w:rPr>
      </w:pPr>
    </w:p>
    <w:p w:rsidR="00E70F7D" w:rsidRDefault="00E70F7D" w:rsidP="00833E70">
      <w:pPr>
        <w:pStyle w:val="Citation-AltC"/>
        <w:ind w:left="1980"/>
        <w:rPr>
          <w:lang w:val="fr-CA"/>
        </w:rPr>
      </w:pPr>
      <w:r w:rsidRPr="007B78C8">
        <w:rPr>
          <w:lang w:val="fr-CA"/>
        </w:rPr>
        <w:t xml:space="preserve">b) se </w:t>
      </w:r>
      <w:r w:rsidRPr="00833E70">
        <w:rPr>
          <w:lang w:val="fr-CA"/>
        </w:rPr>
        <w:t>conformer</w:t>
      </w:r>
      <w:r w:rsidRPr="007B78C8">
        <w:rPr>
          <w:lang w:val="fr-CA"/>
        </w:rPr>
        <w:t xml:space="preserve"> à la présente partie, aux règlements et aux ordonnances applicables.</w:t>
      </w:r>
    </w:p>
    <w:p w:rsidR="00833E70" w:rsidRPr="007B78C8" w:rsidRDefault="00833E70" w:rsidP="00833E70">
      <w:pPr>
        <w:pStyle w:val="Citation-AltC"/>
        <w:ind w:left="1980"/>
        <w:rPr>
          <w:lang w:val="fr-CA"/>
        </w:rPr>
      </w:pPr>
    </w:p>
    <w:p w:rsidR="00E70F7D" w:rsidRPr="007B78C8" w:rsidRDefault="00E70F7D" w:rsidP="00E70F7D">
      <w:pPr>
        <w:pStyle w:val="Citation-AltC"/>
        <w:spacing w:after="240"/>
        <w:ind w:left="1170" w:firstLine="270"/>
        <w:contextualSpacing w:val="0"/>
        <w:rPr>
          <w:lang w:val="fr-CA"/>
        </w:rPr>
      </w:pPr>
      <w:r w:rsidRPr="007B78C8">
        <w:rPr>
          <w:lang w:val="fr-CA"/>
        </w:rPr>
        <w:t>(2) Sans limiter la portée du paragraphe (1), un employeur doit</w:t>
      </w:r>
      <w:r>
        <w:rPr>
          <w:lang w:val="fr-CA"/>
        </w:rPr>
        <w:t> :</w:t>
      </w:r>
      <w:r w:rsidRPr="007B78C8">
        <w:rPr>
          <w:lang w:val="fr-CA"/>
        </w:rPr>
        <w:t xml:space="preserve"> </w:t>
      </w:r>
    </w:p>
    <w:p w:rsidR="00E70F7D" w:rsidRDefault="00E70F7D" w:rsidP="00833E70">
      <w:pPr>
        <w:pStyle w:val="Citation-AltC"/>
        <w:ind w:left="1980"/>
        <w:rPr>
          <w:lang w:val="fr-CA"/>
        </w:rPr>
      </w:pPr>
      <w:r w:rsidRPr="007B78C8">
        <w:rPr>
          <w:lang w:val="fr-CA"/>
        </w:rPr>
        <w:t>a) apporter les correctifs requis lorsque le lieu de travail présente un danger pour la santé ou la sécurité de ses travailleurs;</w:t>
      </w:r>
    </w:p>
    <w:p w:rsidR="00833E70" w:rsidRPr="007B78C8" w:rsidRDefault="00833E70" w:rsidP="00833E70">
      <w:pPr>
        <w:pStyle w:val="Citation-AltC"/>
        <w:ind w:left="1980"/>
        <w:rPr>
          <w:lang w:val="fr-CA"/>
        </w:rPr>
      </w:pPr>
    </w:p>
    <w:p w:rsidR="00E70F7D" w:rsidRDefault="00E70F7D" w:rsidP="00833E70">
      <w:pPr>
        <w:pStyle w:val="Citation-AltC"/>
        <w:ind w:left="1980"/>
        <w:rPr>
          <w:lang w:val="fr-CA"/>
        </w:rPr>
      </w:pPr>
      <w:r w:rsidRPr="007B78C8">
        <w:rPr>
          <w:lang w:val="fr-CA"/>
        </w:rPr>
        <w:t>b) veiller à ce que ses travailleurs</w:t>
      </w:r>
      <w:r>
        <w:rPr>
          <w:lang w:val="fr-CA"/>
        </w:rPr>
        <w:t> :</w:t>
      </w:r>
      <w:r w:rsidRPr="007B78C8">
        <w:rPr>
          <w:lang w:val="fr-CA"/>
        </w:rPr>
        <w:t xml:space="preserve"> </w:t>
      </w:r>
    </w:p>
    <w:p w:rsidR="00833E70" w:rsidRPr="007B78C8" w:rsidRDefault="00833E70" w:rsidP="00833E70">
      <w:pPr>
        <w:pStyle w:val="Citation-AltC"/>
        <w:ind w:left="1980"/>
        <w:rPr>
          <w:lang w:val="fr-CA"/>
        </w:rPr>
      </w:pPr>
    </w:p>
    <w:p w:rsidR="00E70F7D" w:rsidRDefault="00E70F7D" w:rsidP="00833E70">
      <w:pPr>
        <w:pStyle w:val="Citation-AltC"/>
        <w:tabs>
          <w:tab w:val="left" w:pos="3420"/>
        </w:tabs>
        <w:ind w:left="2340"/>
        <w:rPr>
          <w:lang w:val="fr-CA"/>
        </w:rPr>
      </w:pPr>
      <w:r w:rsidRPr="007B78C8">
        <w:rPr>
          <w:lang w:val="fr-CA"/>
        </w:rPr>
        <w:t>(i) soient informés de tous les risques connus ou prévisibles pour la santé ou la sécurité auxquels leur travail les expose;</w:t>
      </w:r>
    </w:p>
    <w:p w:rsidR="00833E70" w:rsidRPr="007B78C8" w:rsidRDefault="00833E70" w:rsidP="00833E70">
      <w:pPr>
        <w:pStyle w:val="Citation-AltC"/>
        <w:tabs>
          <w:tab w:val="left" w:pos="3420"/>
        </w:tabs>
        <w:ind w:left="2340"/>
        <w:rPr>
          <w:lang w:val="fr-CA"/>
        </w:rPr>
      </w:pPr>
    </w:p>
    <w:p w:rsidR="00E70F7D" w:rsidRDefault="00E70F7D" w:rsidP="00833E70">
      <w:pPr>
        <w:pStyle w:val="Citation-AltC"/>
        <w:tabs>
          <w:tab w:val="left" w:pos="3420"/>
        </w:tabs>
        <w:ind w:left="2340"/>
        <w:rPr>
          <w:lang w:val="fr-CA"/>
        </w:rPr>
      </w:pPr>
      <w:r w:rsidRPr="007B78C8">
        <w:rPr>
          <w:lang w:val="fr-CA"/>
        </w:rPr>
        <w:t xml:space="preserve">(ii) se conforment à la présente partie, aux </w:t>
      </w:r>
      <w:r w:rsidRPr="00833E70">
        <w:rPr>
          <w:lang w:val="fr-CA"/>
        </w:rPr>
        <w:t>règlements</w:t>
      </w:r>
      <w:r w:rsidRPr="007B78C8">
        <w:rPr>
          <w:lang w:val="fr-CA"/>
        </w:rPr>
        <w:t xml:space="preserve"> et aux ordonnances applicables;</w:t>
      </w:r>
    </w:p>
    <w:p w:rsidR="00833E70" w:rsidRPr="007B78C8" w:rsidRDefault="00833E70" w:rsidP="00833E70">
      <w:pPr>
        <w:pStyle w:val="Citation-AltC"/>
        <w:tabs>
          <w:tab w:val="left" w:pos="3420"/>
        </w:tabs>
        <w:ind w:left="2340"/>
        <w:rPr>
          <w:lang w:val="fr-CA"/>
        </w:rPr>
      </w:pPr>
    </w:p>
    <w:p w:rsidR="00E70F7D" w:rsidRDefault="00E70F7D" w:rsidP="00833E70">
      <w:pPr>
        <w:pStyle w:val="Citation-AltC"/>
        <w:tabs>
          <w:tab w:val="left" w:pos="3420"/>
        </w:tabs>
        <w:ind w:left="2340"/>
        <w:rPr>
          <w:lang w:val="fr-CA"/>
        </w:rPr>
      </w:pPr>
      <w:r w:rsidRPr="007B78C8">
        <w:rPr>
          <w:lang w:val="fr-CA"/>
        </w:rPr>
        <w:t xml:space="preserve">(iii) soient informés de leurs droits et de leurs </w:t>
      </w:r>
      <w:r w:rsidRPr="00833E70">
        <w:rPr>
          <w:lang w:val="fr-CA"/>
        </w:rPr>
        <w:t>obligations</w:t>
      </w:r>
      <w:r w:rsidRPr="007B78C8">
        <w:rPr>
          <w:lang w:val="fr-CA"/>
        </w:rPr>
        <w:t xml:space="preserve"> suivant la présente partie et les règlements; </w:t>
      </w:r>
    </w:p>
    <w:p w:rsidR="00833E70" w:rsidRPr="007B78C8" w:rsidRDefault="00833E70" w:rsidP="00833E70">
      <w:pPr>
        <w:pStyle w:val="Citation-AltC"/>
        <w:tabs>
          <w:tab w:val="left" w:pos="3420"/>
        </w:tabs>
        <w:ind w:left="2340"/>
        <w:rPr>
          <w:lang w:val="fr-CA"/>
        </w:rPr>
      </w:pPr>
    </w:p>
    <w:p w:rsidR="00E70F7D" w:rsidRDefault="00E70F7D" w:rsidP="00833E70">
      <w:pPr>
        <w:pStyle w:val="Citation-AltC"/>
        <w:ind w:left="1980"/>
        <w:rPr>
          <w:lang w:val="fr-CA"/>
        </w:rPr>
      </w:pPr>
      <w:r w:rsidRPr="007B78C8">
        <w:rPr>
          <w:lang w:val="fr-CA"/>
        </w:rPr>
        <w:t>c) établir des programmes et des politiques de santé et de sécurité au travail conformes aux règlements;</w:t>
      </w:r>
    </w:p>
    <w:p w:rsidR="00833E70" w:rsidRPr="007B78C8" w:rsidRDefault="00833E70" w:rsidP="00833E70">
      <w:pPr>
        <w:pStyle w:val="Citation-AltC"/>
        <w:ind w:left="1980"/>
        <w:rPr>
          <w:lang w:val="fr-CA"/>
        </w:rPr>
      </w:pPr>
    </w:p>
    <w:p w:rsidR="00E70F7D" w:rsidRDefault="00E70F7D" w:rsidP="00833E70">
      <w:pPr>
        <w:pStyle w:val="Citation-AltC"/>
        <w:ind w:left="1980"/>
        <w:rPr>
          <w:lang w:val="fr-CA"/>
        </w:rPr>
      </w:pPr>
      <w:r w:rsidRPr="007B78C8">
        <w:rPr>
          <w:lang w:val="fr-CA"/>
        </w:rPr>
        <w:t xml:space="preserve">d) mettre à disposition le matériel, les dispositifs et les vêtements de protection exigés par règlement, assurer leur bon état et veiller à ce que ses travailleurs les utilisent; </w:t>
      </w:r>
    </w:p>
    <w:p w:rsidR="00833E70" w:rsidRPr="007B78C8" w:rsidRDefault="00833E70" w:rsidP="00833E70">
      <w:pPr>
        <w:pStyle w:val="Citation-AltC"/>
        <w:ind w:left="1980"/>
        <w:rPr>
          <w:lang w:val="fr-CA"/>
        </w:rPr>
      </w:pPr>
    </w:p>
    <w:p w:rsidR="00E70F7D" w:rsidRDefault="00E70F7D" w:rsidP="00833E70">
      <w:pPr>
        <w:pStyle w:val="Citation-AltC"/>
        <w:ind w:left="1980"/>
        <w:rPr>
          <w:lang w:val="fr-CA"/>
        </w:rPr>
      </w:pPr>
      <w:r w:rsidRPr="007B78C8">
        <w:rPr>
          <w:lang w:val="fr-CA"/>
        </w:rPr>
        <w:t>e) offrir à ses travailleurs l’information, la formation, l’entraînement et la surveillance nécessaires à leur santé et leur sécurité et ainsi qu’à celles des autres travailleurs dans le lieu de travail;</w:t>
      </w:r>
    </w:p>
    <w:p w:rsidR="00833E70" w:rsidRPr="007B78C8" w:rsidRDefault="00833E70" w:rsidP="00833E70">
      <w:pPr>
        <w:pStyle w:val="Citation-AltC"/>
        <w:ind w:left="1980"/>
        <w:rPr>
          <w:lang w:val="fr-CA"/>
        </w:rPr>
      </w:pPr>
    </w:p>
    <w:p w:rsidR="00E70F7D" w:rsidRDefault="00E70F7D" w:rsidP="00833E70">
      <w:pPr>
        <w:pStyle w:val="Citation-AltC"/>
        <w:ind w:left="1980"/>
        <w:rPr>
          <w:lang w:val="fr-CA"/>
        </w:rPr>
      </w:pPr>
      <w:r w:rsidRPr="007B78C8">
        <w:rPr>
          <w:lang w:val="fr-CA"/>
        </w:rPr>
        <w:t>f) mettre une copie de la présente loi et des règlements à la disposition de ses travailleurs de façon qu’ils puissent la consulter à leur gré et, dans chacun des lieux de travail où ils sont appelés à travailler régulièrement, afficher en permanence un avis indiquant l’endroit où cette copie peut être consultée;</w:t>
      </w:r>
    </w:p>
    <w:p w:rsidR="00833E70" w:rsidRPr="007B78C8" w:rsidRDefault="00833E70" w:rsidP="00833E70">
      <w:pPr>
        <w:pStyle w:val="Citation-AltC"/>
        <w:ind w:left="1980"/>
        <w:rPr>
          <w:lang w:val="fr-CA"/>
        </w:rPr>
      </w:pPr>
    </w:p>
    <w:p w:rsidR="00E70F7D" w:rsidRDefault="00E70F7D" w:rsidP="00833E70">
      <w:pPr>
        <w:pStyle w:val="Citation-AltC"/>
        <w:ind w:left="1980"/>
        <w:rPr>
          <w:lang w:val="fr-CA"/>
        </w:rPr>
      </w:pPr>
      <w:r w:rsidRPr="007B78C8">
        <w:rPr>
          <w:lang w:val="fr-CA"/>
        </w:rPr>
        <w:t>g) consulter les comités mixtes et les représentants en santé et sécurité de ses lieux de travail, et collaborer avec eux;</w:t>
      </w:r>
    </w:p>
    <w:p w:rsidR="00833E70" w:rsidRPr="007B78C8" w:rsidRDefault="00833E70" w:rsidP="00833E70">
      <w:pPr>
        <w:pStyle w:val="Citation-AltC"/>
        <w:ind w:left="1980"/>
        <w:rPr>
          <w:lang w:val="fr-CA"/>
        </w:rPr>
      </w:pPr>
    </w:p>
    <w:p w:rsidR="00E70F7D" w:rsidRPr="007B78C8" w:rsidRDefault="00E70F7D" w:rsidP="00833E70">
      <w:pPr>
        <w:pStyle w:val="Citation-AltC"/>
        <w:ind w:left="1980"/>
        <w:rPr>
          <w:lang w:val="fr-CA"/>
        </w:rPr>
      </w:pPr>
      <w:r w:rsidRPr="007B78C8">
        <w:rPr>
          <w:lang w:val="fr-CA"/>
        </w:rPr>
        <w:t>h) collaborer avec la Commission, ses dirigeants et toute autre personne qui exerce une fonction prévue à la présente partie ou aux règlements.</w:t>
      </w:r>
    </w:p>
    <w:p w:rsidR="00E70F7D" w:rsidRPr="007B78C8" w:rsidRDefault="00E70F7D" w:rsidP="00E70F7D">
      <w:pPr>
        <w:pStyle w:val="ParaNoNdepar-AltN"/>
        <w:rPr>
          <w:rFonts w:cs="Times New Roman"/>
          <w:lang w:val="fr-CA"/>
        </w:rPr>
      </w:pPr>
      <w:r w:rsidRPr="007B78C8">
        <w:rPr>
          <w:rFonts w:cs="Times New Roman"/>
          <w:lang w:val="fr-CA"/>
        </w:rPr>
        <w:lastRenderedPageBreak/>
        <w:t>Considérées dans leur ensemble, les obligations prévues à l’</w:t>
      </w:r>
      <w:r>
        <w:rPr>
          <w:rFonts w:cs="Times New Roman"/>
          <w:lang w:val="fr-CA"/>
        </w:rPr>
        <w:t>art. </w:t>
      </w:r>
      <w:r w:rsidRPr="007B78C8">
        <w:rPr>
          <w:rFonts w:cs="Times New Roman"/>
          <w:lang w:val="fr-CA"/>
        </w:rPr>
        <w:t xml:space="preserve">115 sont liées à la surveillance qu’exerce l’employeur sur ses travailleurs; par exemple, assurer la santé et la sécurité de ses travailleurs, veiller à ce qu’ils soient informés des risques connus et leur offrir de la formation et de l’entraînement en matière de santé et de sécurité. Il est révélateur que presque tous les alinéas emploient le terme « travailleurs ». Autrement dit, la Loi tient l’employeur responsable de la façon dont le travail est effectué dans le lieu de travail. </w:t>
      </w:r>
    </w:p>
    <w:p w:rsidR="00E70F7D" w:rsidRPr="007B78C8" w:rsidRDefault="00E70F7D" w:rsidP="00E70F7D">
      <w:pPr>
        <w:pStyle w:val="ParaNoNdepar-AltN"/>
        <w:rPr>
          <w:rFonts w:cs="Times New Roman"/>
          <w:lang w:val="fr-CA"/>
        </w:rPr>
      </w:pPr>
      <w:r w:rsidRPr="007B78C8">
        <w:rPr>
          <w:rFonts w:cs="Times New Roman"/>
          <w:lang w:val="fr-CA"/>
        </w:rPr>
        <w:t>Les obligations générales du propriétaire sont énoncées à l’</w:t>
      </w:r>
      <w:r>
        <w:rPr>
          <w:rFonts w:cs="Times New Roman"/>
          <w:lang w:val="fr-CA"/>
        </w:rPr>
        <w:t>art. </w:t>
      </w:r>
      <w:r w:rsidRPr="007B78C8">
        <w:rPr>
          <w:rFonts w:cs="Times New Roman"/>
          <w:lang w:val="fr-CA"/>
        </w:rPr>
        <w:t>119</w:t>
      </w:r>
      <w:r w:rsidR="004E5BDD">
        <w:rPr>
          <w:rFonts w:cs="Times New Roman"/>
          <w:lang w:val="fr-CA"/>
        </w:rPr>
        <w:t> </w:t>
      </w:r>
      <w:r w:rsidRPr="007B78C8">
        <w:rPr>
          <w:rFonts w:cs="Times New Roman"/>
          <w:lang w:val="fr-CA"/>
        </w:rPr>
        <w:t>:</w:t>
      </w:r>
    </w:p>
    <w:p w:rsidR="00E70F7D" w:rsidRDefault="00E70F7D" w:rsidP="00E70F7D">
      <w:pPr>
        <w:pStyle w:val="Citation-AltC"/>
        <w:spacing w:after="0"/>
        <w:ind w:hanging="1166"/>
        <w:contextualSpacing w:val="0"/>
        <w:rPr>
          <w:lang w:val="fr-CA"/>
        </w:rPr>
      </w:pPr>
      <w:r w:rsidRPr="007B78C8">
        <w:rPr>
          <w:lang w:val="fr-CA"/>
        </w:rPr>
        <w:tab/>
        <w:t>[</w:t>
      </w:r>
      <w:r w:rsidRPr="007B78C8">
        <w:rPr>
          <w:smallCaps/>
          <w:lang w:val="fr-CA"/>
        </w:rPr>
        <w:t>traduction</w:t>
      </w:r>
      <w:r w:rsidRPr="007B78C8">
        <w:rPr>
          <w:lang w:val="fr-CA"/>
        </w:rPr>
        <w:t>]</w:t>
      </w:r>
    </w:p>
    <w:p w:rsidR="00833E70" w:rsidRPr="007B78C8" w:rsidRDefault="00833E70" w:rsidP="00833E70">
      <w:pPr>
        <w:pStyle w:val="Citation-AltC"/>
        <w:rPr>
          <w:lang w:val="fr-CA"/>
        </w:rPr>
      </w:pPr>
    </w:p>
    <w:p w:rsidR="00E70F7D" w:rsidRDefault="00E70F7D" w:rsidP="0040046F">
      <w:pPr>
        <w:pStyle w:val="Citation-AltC"/>
        <w:tabs>
          <w:tab w:val="left" w:pos="1710"/>
        </w:tabs>
        <w:rPr>
          <w:lang w:val="fr-CA"/>
        </w:rPr>
      </w:pPr>
      <w:r w:rsidRPr="007B78C8">
        <w:rPr>
          <w:b/>
          <w:lang w:val="fr-CA"/>
        </w:rPr>
        <w:t>119</w:t>
      </w:r>
      <w:r w:rsidR="00833E70">
        <w:rPr>
          <w:lang w:val="fr-CA"/>
        </w:rPr>
        <w:t> </w:t>
      </w:r>
      <w:r w:rsidR="0040046F">
        <w:rPr>
          <w:lang w:val="fr-CA"/>
        </w:rPr>
        <w:tab/>
      </w:r>
      <w:r w:rsidRPr="007B78C8">
        <w:rPr>
          <w:lang w:val="fr-CA"/>
        </w:rPr>
        <w:t xml:space="preserve">Le </w:t>
      </w:r>
      <w:r w:rsidRPr="00833E70">
        <w:rPr>
          <w:lang w:val="fr-CA"/>
        </w:rPr>
        <w:t>propriétaire</w:t>
      </w:r>
      <w:r w:rsidRPr="007B78C8">
        <w:rPr>
          <w:lang w:val="fr-CA"/>
        </w:rPr>
        <w:t xml:space="preserve"> d’un lieu de travail doit</w:t>
      </w:r>
      <w:r>
        <w:rPr>
          <w:lang w:val="fr-CA"/>
        </w:rPr>
        <w:t> :</w:t>
      </w:r>
    </w:p>
    <w:p w:rsidR="00833E70" w:rsidRPr="007B78C8" w:rsidRDefault="00833E70" w:rsidP="00833E70">
      <w:pPr>
        <w:pStyle w:val="Citation-AltC"/>
        <w:rPr>
          <w:lang w:val="fr-CA"/>
        </w:rPr>
      </w:pPr>
    </w:p>
    <w:p w:rsidR="00E70F7D" w:rsidRDefault="00E70F7D" w:rsidP="00833E70">
      <w:pPr>
        <w:pStyle w:val="Citation-AltC"/>
        <w:ind w:left="1710"/>
        <w:rPr>
          <w:lang w:val="fr-CA"/>
        </w:rPr>
      </w:pPr>
      <w:r w:rsidRPr="007B78C8">
        <w:rPr>
          <w:lang w:val="fr-CA"/>
        </w:rPr>
        <w:t>a) </w:t>
      </w:r>
      <w:r w:rsidRPr="00833E70">
        <w:rPr>
          <w:lang w:val="fr-CA"/>
        </w:rPr>
        <w:t>mettre</w:t>
      </w:r>
      <w:r w:rsidRPr="007B78C8">
        <w:rPr>
          <w:lang w:val="fr-CA"/>
        </w:rPr>
        <w:t xml:space="preserve"> à disposition et entretenir le bien</w:t>
      </w:r>
      <w:r>
        <w:rPr>
          <w:lang w:val="fr-CA"/>
        </w:rPr>
        <w:noBreakHyphen/>
      </w:r>
      <w:r w:rsidRPr="007B78C8">
        <w:rPr>
          <w:lang w:val="fr-CA"/>
        </w:rPr>
        <w:t>fonds et les locaux qui servent de lieu de travail de façon à assurer la santé et la sécurité des personnes qui se trouvent dans le lieu de travail ou à proximité;</w:t>
      </w:r>
    </w:p>
    <w:p w:rsidR="00833E70" w:rsidRPr="007B78C8" w:rsidRDefault="00833E70" w:rsidP="00833E70">
      <w:pPr>
        <w:pStyle w:val="Citation-AltC"/>
        <w:ind w:left="1710"/>
        <w:rPr>
          <w:lang w:val="fr-CA"/>
        </w:rPr>
      </w:pPr>
    </w:p>
    <w:p w:rsidR="00E70F7D" w:rsidRDefault="00E70F7D" w:rsidP="00833E70">
      <w:pPr>
        <w:pStyle w:val="Citation-AltC"/>
        <w:ind w:left="1710"/>
        <w:rPr>
          <w:lang w:val="fr-CA"/>
        </w:rPr>
      </w:pPr>
      <w:r w:rsidRPr="007B78C8">
        <w:rPr>
          <w:lang w:val="fr-CA"/>
        </w:rPr>
        <w:t xml:space="preserve">b) donner à l’employeur ou à l’entrepreneur principal du lieu de travail l’information dont il dispose et qui est </w:t>
      </w:r>
      <w:r w:rsidRPr="00833E70">
        <w:rPr>
          <w:lang w:val="fr-CA"/>
        </w:rPr>
        <w:t>nécessaire</w:t>
      </w:r>
      <w:r w:rsidRPr="007B78C8">
        <w:rPr>
          <w:lang w:val="fr-CA"/>
        </w:rPr>
        <w:t xml:space="preserve"> pour cerner et supprimer ou maîtriser les risques pour la santé et la sécurité des personnes se trouvant dans le lieu de travail;</w:t>
      </w:r>
    </w:p>
    <w:p w:rsidR="00833E70" w:rsidRPr="007B78C8" w:rsidRDefault="00833E70" w:rsidP="00833E70">
      <w:pPr>
        <w:pStyle w:val="Citation-AltC"/>
        <w:ind w:left="1710"/>
        <w:rPr>
          <w:lang w:val="fr-CA"/>
        </w:rPr>
      </w:pPr>
    </w:p>
    <w:p w:rsidR="00E70F7D" w:rsidRPr="007B78C8" w:rsidRDefault="00E70F7D" w:rsidP="00833E70">
      <w:pPr>
        <w:pStyle w:val="Citation-AltC"/>
        <w:ind w:left="1710"/>
        <w:rPr>
          <w:lang w:val="fr-CA"/>
        </w:rPr>
      </w:pPr>
      <w:r w:rsidRPr="007B78C8">
        <w:rPr>
          <w:lang w:val="fr-CA"/>
        </w:rPr>
        <w:t xml:space="preserve">c) se conformer à la présente partie, aux règlements et aux </w:t>
      </w:r>
      <w:r w:rsidRPr="00833E70">
        <w:rPr>
          <w:lang w:val="fr-CA"/>
        </w:rPr>
        <w:t>ordonnances</w:t>
      </w:r>
      <w:r w:rsidRPr="007B78C8">
        <w:rPr>
          <w:lang w:val="fr-CA"/>
        </w:rPr>
        <w:t xml:space="preserve"> applicables.</w:t>
      </w:r>
    </w:p>
    <w:p w:rsidR="00E70F7D" w:rsidRPr="007B78C8" w:rsidRDefault="00E70F7D" w:rsidP="00E70F7D">
      <w:pPr>
        <w:pStyle w:val="ParaNoNdepar-AltN"/>
        <w:rPr>
          <w:rFonts w:cs="Times New Roman"/>
          <w:lang w:val="fr-CA"/>
        </w:rPr>
      </w:pPr>
      <w:r w:rsidRPr="007B78C8">
        <w:rPr>
          <w:rFonts w:cs="Times New Roman"/>
          <w:lang w:val="fr-CA"/>
        </w:rPr>
        <w:t>Considérées dans leur ensemble, ces obligations se rattachent à la relation entre le propriétaire et l’employeur; par exemple, le propriétaire doit entretenir le bien</w:t>
      </w:r>
      <w:r>
        <w:rPr>
          <w:rFonts w:cs="Times New Roman"/>
          <w:lang w:val="fr-CA"/>
        </w:rPr>
        <w:noBreakHyphen/>
      </w:r>
      <w:r w:rsidRPr="007B78C8">
        <w:rPr>
          <w:rFonts w:cs="Times New Roman"/>
          <w:lang w:val="fr-CA"/>
        </w:rPr>
        <w:t xml:space="preserve">fonds d’une certaine manière et communiquer à l’employeur ou à l’entrepreneur principal (mais non aux travailleurs) l’information nécessaire à la maîtrise des risques. </w:t>
      </w:r>
      <w:r w:rsidRPr="007B78C8">
        <w:rPr>
          <w:rFonts w:cs="Times New Roman"/>
          <w:lang w:val="fr-CA"/>
        </w:rPr>
        <w:lastRenderedPageBreak/>
        <w:t>Aucune de ces obligations ne concerne les travailleurs, contrairement à celles énoncées à l’</w:t>
      </w:r>
      <w:r>
        <w:rPr>
          <w:rFonts w:cs="Times New Roman"/>
          <w:lang w:val="fr-CA"/>
        </w:rPr>
        <w:t>art. </w:t>
      </w:r>
      <w:r w:rsidRPr="007B78C8">
        <w:rPr>
          <w:rFonts w:cs="Times New Roman"/>
          <w:lang w:val="fr-CA"/>
        </w:rPr>
        <w:t xml:space="preserve">115, qui </w:t>
      </w:r>
      <w:r w:rsidRPr="007B78C8">
        <w:rPr>
          <w:rFonts w:cs="Times New Roman"/>
          <w:i/>
          <w:lang w:val="fr-CA"/>
        </w:rPr>
        <w:t>toutes</w:t>
      </w:r>
      <w:r w:rsidRPr="007B78C8">
        <w:rPr>
          <w:rFonts w:cs="Times New Roman"/>
          <w:lang w:val="fr-CA"/>
        </w:rPr>
        <w:t xml:space="preserve"> les concernent. </w:t>
      </w:r>
    </w:p>
    <w:p w:rsidR="00E70F7D" w:rsidRPr="007B78C8" w:rsidRDefault="00E70F7D" w:rsidP="00E70F7D">
      <w:pPr>
        <w:pStyle w:val="ParaNoNdepar-AltN"/>
        <w:rPr>
          <w:rFonts w:cs="Times New Roman"/>
          <w:lang w:val="fr-CA"/>
        </w:rPr>
      </w:pPr>
      <w:r w:rsidRPr="007B78C8">
        <w:rPr>
          <w:rFonts w:cs="Times New Roman"/>
          <w:lang w:val="fr-CA"/>
        </w:rPr>
        <w:t xml:space="preserve">Lus ensemble, </w:t>
      </w:r>
      <w:proofErr w:type="gramStart"/>
      <w:r w:rsidRPr="007B78C8">
        <w:rPr>
          <w:rFonts w:cs="Times New Roman"/>
          <w:lang w:val="fr-CA"/>
        </w:rPr>
        <w:t xml:space="preserve">les </w:t>
      </w:r>
      <w:r>
        <w:rPr>
          <w:rFonts w:cs="Times New Roman"/>
          <w:lang w:val="fr-CA"/>
        </w:rPr>
        <w:t>art</w:t>
      </w:r>
      <w:proofErr w:type="gramEnd"/>
      <w:r>
        <w:rPr>
          <w:rFonts w:cs="Times New Roman"/>
          <w:lang w:val="fr-CA"/>
        </w:rPr>
        <w:t>. </w:t>
      </w:r>
      <w:r w:rsidRPr="007B78C8">
        <w:rPr>
          <w:rFonts w:cs="Times New Roman"/>
          <w:lang w:val="fr-CA"/>
        </w:rPr>
        <w:t xml:space="preserve">115 et 119 créent des catégories distinctes d’obligations, les obligations de l’employeur et celles du propriétaire étant liées à la fonction et </w:t>
      </w:r>
      <w:proofErr w:type="gramStart"/>
      <w:r w:rsidRPr="007B78C8">
        <w:rPr>
          <w:rFonts w:cs="Times New Roman"/>
          <w:lang w:val="fr-CA"/>
        </w:rPr>
        <w:t>à la capacité particulières</w:t>
      </w:r>
      <w:proofErr w:type="gramEnd"/>
      <w:r w:rsidRPr="007B78C8">
        <w:rPr>
          <w:rFonts w:cs="Times New Roman"/>
          <w:lang w:val="fr-CA"/>
        </w:rPr>
        <w:t xml:space="preserve"> de chacun d’eux d’assurer la sécurité du lieu de travail. Par exemple, les employeurs sont les mieux placés pour informer les travailleurs des risques connus ou raisonnablement prévisibles pour leur sécurité du fait de la surveillance qu’ils exercent directement sur eux, c’est</w:t>
      </w:r>
      <w:r>
        <w:rPr>
          <w:rFonts w:cs="Times New Roman"/>
          <w:lang w:val="fr-CA"/>
        </w:rPr>
        <w:noBreakHyphen/>
      </w:r>
      <w:r w:rsidRPr="007B78C8">
        <w:rPr>
          <w:rFonts w:cs="Times New Roman"/>
          <w:lang w:val="fr-CA"/>
        </w:rPr>
        <w:t>à</w:t>
      </w:r>
      <w:r>
        <w:rPr>
          <w:rFonts w:cs="Times New Roman"/>
          <w:lang w:val="fr-CA"/>
        </w:rPr>
        <w:noBreakHyphen/>
      </w:r>
      <w:r w:rsidRPr="007B78C8">
        <w:rPr>
          <w:rFonts w:cs="Times New Roman"/>
          <w:lang w:val="fr-CA"/>
        </w:rPr>
        <w:t>dire qu’ils sont les mieux placés pour s’acquitter d’obligations liées aux activités que les travailleurs exercent sur le lieu de travail en cours d’emploi. Les propriétaires sont les mieux placés pour s’acquitter au niveau macro d’obligations liées aux lieux de travail en général; ils doivent par exemple assurer le bon entretien de ces endroits. Telle est la démarche adoptée par le législateur en vue d’atteindre son objectif de protection de la santé et de la sécurité au travail dans la province.</w:t>
      </w:r>
    </w:p>
    <w:p w:rsidR="00E70F7D" w:rsidRPr="007B78C8" w:rsidRDefault="00E70F7D" w:rsidP="00E70F7D">
      <w:pPr>
        <w:pStyle w:val="ParaNoNdepar-AltN"/>
        <w:rPr>
          <w:rFonts w:cs="Times New Roman"/>
          <w:lang w:val="fr-CA"/>
        </w:rPr>
      </w:pPr>
      <w:r w:rsidRPr="007B78C8">
        <w:rPr>
          <w:rFonts w:cs="Times New Roman"/>
          <w:lang w:val="fr-CA"/>
        </w:rPr>
        <w:t>Cette interprétation fondée sur la structure de la loi est étayée par l’</w:t>
      </w:r>
      <w:r>
        <w:rPr>
          <w:rFonts w:cs="Times New Roman"/>
          <w:lang w:val="fr-CA"/>
        </w:rPr>
        <w:t>al. </w:t>
      </w:r>
      <w:r w:rsidRPr="007B78C8">
        <w:rPr>
          <w:rFonts w:cs="Times New Roman"/>
          <w:lang w:val="fr-CA"/>
        </w:rPr>
        <w:t xml:space="preserve">107(2)e), selon lequel l’un des objectifs de la partie 3 de la Loi est </w:t>
      </w:r>
      <w:proofErr w:type="gramStart"/>
      <w:r w:rsidRPr="007B78C8">
        <w:rPr>
          <w:rFonts w:cs="Times New Roman"/>
          <w:lang w:val="fr-CA"/>
        </w:rPr>
        <w:t>qu’[</w:t>
      </w:r>
      <w:proofErr w:type="gramEnd"/>
      <w:r w:rsidRPr="007B78C8">
        <w:rPr>
          <w:rFonts w:cs="Times New Roman"/>
          <w:smallCaps/>
          <w:lang w:val="fr-CA"/>
        </w:rPr>
        <w:t>traduction</w:t>
      </w:r>
      <w:r w:rsidRPr="007B78C8">
        <w:rPr>
          <w:rFonts w:cs="Times New Roman"/>
          <w:lang w:val="fr-CA"/>
        </w:rPr>
        <w:t xml:space="preserve">] « employeurs, travailleurs et autres personnes susceptibles d’influer sur la santé et la sécurité des travailleurs partagent cette obligation </w:t>
      </w:r>
      <w:r w:rsidRPr="007B78C8">
        <w:rPr>
          <w:rFonts w:cs="Times New Roman"/>
          <w:u w:val="single"/>
          <w:lang w:val="fr-CA"/>
        </w:rPr>
        <w:t>dans la mesure où ils ont le pouvoir et la capacité de le faire</w:t>
      </w:r>
      <w:r w:rsidRPr="007B78C8">
        <w:rPr>
          <w:rFonts w:cs="Times New Roman"/>
          <w:lang w:val="fr-CA"/>
        </w:rPr>
        <w:t xml:space="preserve"> ». Les employeurs sont mentionnés en premier, alors que les propriétaires ne le sont pas expressément, ce qui fait ressortir le rôle prédominant des employeurs dans le régime législatif. Cette disposition se </w:t>
      </w:r>
      <w:r w:rsidRPr="007B78C8">
        <w:rPr>
          <w:rFonts w:cs="Times New Roman"/>
          <w:lang w:val="fr-CA"/>
        </w:rPr>
        <w:lastRenderedPageBreak/>
        <w:t xml:space="preserve">distingue d’autres dispositions qui font expressément mention des propriétaires (voir </w:t>
      </w:r>
      <w:r>
        <w:rPr>
          <w:rFonts w:cs="Times New Roman"/>
          <w:lang w:val="fr-CA"/>
        </w:rPr>
        <w:t>p. </w:t>
      </w:r>
      <w:r w:rsidRPr="007B78C8">
        <w:rPr>
          <w:rFonts w:cs="Times New Roman"/>
          <w:lang w:val="fr-CA"/>
        </w:rPr>
        <w:t xml:space="preserve">ex. le </w:t>
      </w:r>
      <w:r>
        <w:rPr>
          <w:rFonts w:cs="Times New Roman"/>
          <w:lang w:val="fr-CA"/>
        </w:rPr>
        <w:t>par. </w:t>
      </w:r>
      <w:r w:rsidRPr="007B78C8">
        <w:rPr>
          <w:rFonts w:cs="Times New Roman"/>
          <w:lang w:val="fr-CA"/>
        </w:rPr>
        <w:t xml:space="preserve">123(2)). </w:t>
      </w:r>
    </w:p>
    <w:p w:rsidR="00E70F7D" w:rsidRPr="007B78C8" w:rsidRDefault="00E70F7D" w:rsidP="00E70F7D">
      <w:pPr>
        <w:pStyle w:val="ParaNoNdepar-AltN"/>
        <w:rPr>
          <w:rFonts w:cs="Times New Roman"/>
          <w:lang w:val="fr-CA"/>
        </w:rPr>
      </w:pPr>
      <w:r w:rsidRPr="007B78C8">
        <w:rPr>
          <w:rFonts w:cs="Times New Roman"/>
          <w:lang w:val="fr-CA"/>
        </w:rPr>
        <w:t>Qui plus est, l’</w:t>
      </w:r>
      <w:r>
        <w:rPr>
          <w:rFonts w:cs="Times New Roman"/>
          <w:lang w:val="fr-CA"/>
        </w:rPr>
        <w:t>al. </w:t>
      </w:r>
      <w:r w:rsidRPr="007B78C8">
        <w:rPr>
          <w:rFonts w:cs="Times New Roman"/>
          <w:lang w:val="fr-CA"/>
        </w:rPr>
        <w:t xml:space="preserve">107(2)e) précise que la Loi n’impose des obligations aux personnes visées que « dans la mesure où [elles] ont le pouvoir et la capacité [de s’en acquitter] », ce qui s’accorde avec la manière dont les obligations sont attribuées à l’employeur et au propriétaire </w:t>
      </w:r>
      <w:proofErr w:type="gramStart"/>
      <w:r w:rsidRPr="007B78C8">
        <w:rPr>
          <w:rFonts w:cs="Times New Roman"/>
          <w:lang w:val="fr-CA"/>
        </w:rPr>
        <w:t xml:space="preserve">aux </w:t>
      </w:r>
      <w:r>
        <w:rPr>
          <w:rFonts w:cs="Times New Roman"/>
          <w:lang w:val="fr-CA"/>
        </w:rPr>
        <w:t>art</w:t>
      </w:r>
      <w:proofErr w:type="gramEnd"/>
      <w:r>
        <w:rPr>
          <w:rFonts w:cs="Times New Roman"/>
          <w:lang w:val="fr-CA"/>
        </w:rPr>
        <w:t>. </w:t>
      </w:r>
      <w:r w:rsidRPr="007B78C8">
        <w:rPr>
          <w:rFonts w:cs="Times New Roman"/>
          <w:lang w:val="fr-CA"/>
        </w:rPr>
        <w:t xml:space="preserve">115 et 119 de la Loi. Par conséquent, même si l’objet du </w:t>
      </w:r>
      <w:r>
        <w:rPr>
          <w:rFonts w:cs="Times New Roman"/>
          <w:lang w:val="fr-CA"/>
        </w:rPr>
        <w:t>par. </w:t>
      </w:r>
      <w:r w:rsidRPr="007B78C8">
        <w:rPr>
          <w:rFonts w:cs="Times New Roman"/>
          <w:lang w:val="fr-CA"/>
        </w:rPr>
        <w:t>107(1) est énoncé en termes généraux — « </w:t>
      </w:r>
      <w:proofErr w:type="gramStart"/>
      <w:r w:rsidRPr="007B78C8">
        <w:rPr>
          <w:rFonts w:cs="Times New Roman"/>
          <w:lang w:val="fr-CA"/>
        </w:rPr>
        <w:t>favoris[</w:t>
      </w:r>
      <w:proofErr w:type="gramEnd"/>
      <w:r w:rsidRPr="007B78C8">
        <w:rPr>
          <w:rFonts w:cs="Times New Roman"/>
          <w:lang w:val="fr-CA"/>
        </w:rPr>
        <w:t xml:space="preserve">er] la santé et la sécurité au travail et [. . .] </w:t>
      </w:r>
      <w:proofErr w:type="spellStart"/>
      <w:r w:rsidRPr="007B78C8">
        <w:rPr>
          <w:rFonts w:cs="Times New Roman"/>
          <w:lang w:val="fr-CA"/>
        </w:rPr>
        <w:t>protég</w:t>
      </w:r>
      <w:proofErr w:type="spellEnd"/>
      <w:r w:rsidRPr="007B78C8">
        <w:rPr>
          <w:rFonts w:cs="Times New Roman"/>
          <w:lang w:val="fr-CA"/>
        </w:rPr>
        <w:t xml:space="preserve">[er] les travailleurs » —, il limite expressément la mesure dans laquelle (et les moyens avec lesquels) le législateur poursuit cet objectif. Et, bien sûr, les déclarations de principe (tel l’énoncé général figurant au </w:t>
      </w:r>
      <w:r>
        <w:rPr>
          <w:rFonts w:cs="Times New Roman"/>
          <w:lang w:val="fr-CA"/>
        </w:rPr>
        <w:t>par. </w:t>
      </w:r>
      <w:r w:rsidRPr="007B78C8">
        <w:rPr>
          <w:rFonts w:cs="Times New Roman"/>
          <w:lang w:val="fr-CA"/>
        </w:rPr>
        <w:t>107(1)) « ne sont pas des dispositions attributives de compétence » et « ne peuvent donc pas servir à élargir les pouvoirs de [l’]organisme [subordonné] à des domaines non précisés par le législateur dans les dispositions attributives de compétence » (</w:t>
      </w:r>
      <w:r w:rsidRPr="007B78C8">
        <w:rPr>
          <w:rFonts w:cs="Times New Roman"/>
          <w:i/>
          <w:lang w:val="fr-CA"/>
        </w:rPr>
        <w:t>Renvoi relatif à la Politique réglementaire de radiodiffusion CRTC 2010</w:t>
      </w:r>
      <w:r>
        <w:rPr>
          <w:rFonts w:cs="Times New Roman"/>
          <w:i/>
          <w:lang w:val="fr-CA"/>
        </w:rPr>
        <w:noBreakHyphen/>
      </w:r>
      <w:r w:rsidRPr="007B78C8">
        <w:rPr>
          <w:rFonts w:cs="Times New Roman"/>
          <w:i/>
          <w:lang w:val="fr-CA"/>
        </w:rPr>
        <w:t>167 et l’ordonnance de radiodiffusion CRTC 2010</w:t>
      </w:r>
      <w:r>
        <w:rPr>
          <w:rFonts w:cs="Times New Roman"/>
          <w:i/>
          <w:lang w:val="fr-CA"/>
        </w:rPr>
        <w:noBreakHyphen/>
      </w:r>
      <w:r w:rsidRPr="007B78C8">
        <w:rPr>
          <w:rFonts w:cs="Times New Roman"/>
          <w:i/>
          <w:lang w:val="fr-CA"/>
        </w:rPr>
        <w:t>168</w:t>
      </w:r>
      <w:r w:rsidRPr="007B78C8">
        <w:rPr>
          <w:rFonts w:cs="Times New Roman"/>
          <w:lang w:val="fr-CA"/>
        </w:rPr>
        <w:t xml:space="preserve">, 2012 CSC 68, [2012] 3 R.C.S. 489, </w:t>
      </w:r>
      <w:r>
        <w:rPr>
          <w:rFonts w:cs="Times New Roman"/>
          <w:lang w:val="fr-CA"/>
        </w:rPr>
        <w:t>par. </w:t>
      </w:r>
      <w:r w:rsidRPr="007B78C8">
        <w:rPr>
          <w:rFonts w:cs="Times New Roman"/>
          <w:lang w:val="fr-CA"/>
        </w:rPr>
        <w:t xml:space="preserve">22). </w:t>
      </w:r>
    </w:p>
    <w:p w:rsidR="00E70F7D" w:rsidRPr="007B78C8" w:rsidRDefault="00E70F7D" w:rsidP="00E70F7D">
      <w:pPr>
        <w:pStyle w:val="ParaNoNdepar-AltN"/>
        <w:rPr>
          <w:rFonts w:cs="Times New Roman"/>
          <w:lang w:val="fr-CA"/>
        </w:rPr>
      </w:pPr>
      <w:r w:rsidRPr="007B78C8">
        <w:rPr>
          <w:rFonts w:cs="Times New Roman"/>
          <w:lang w:val="fr-CA"/>
        </w:rPr>
        <w:t xml:space="preserve">La disposition réglementaire contestée ne respecte pas cette répartition des obligations. Le </w:t>
      </w:r>
      <w:r w:rsidR="00D91777">
        <w:rPr>
          <w:rFonts w:cs="Times New Roman"/>
          <w:lang w:val="fr-CA"/>
        </w:rPr>
        <w:t>paragraphe</w:t>
      </w:r>
      <w:r>
        <w:rPr>
          <w:rFonts w:cs="Times New Roman"/>
          <w:lang w:val="fr-CA"/>
        </w:rPr>
        <w:t> </w:t>
      </w:r>
      <w:r w:rsidRPr="007B78C8">
        <w:rPr>
          <w:rFonts w:cs="Times New Roman"/>
          <w:lang w:val="fr-CA"/>
        </w:rPr>
        <w:t xml:space="preserve">26.2(1) oblige le propriétaire à faire en sorte que les activités soient planifiées et exercées d’une certaine manière, une obligation qui se rattache au lien entre l’employeur et le travailleur, ainsi qu’aux décisions prises au niveau micro concernant le déroulement des activités au quotidien sur le lieu de travail. Cette obligation se distingue nettement des obligations au niveau macro quant à l’état </w:t>
      </w:r>
      <w:r w:rsidRPr="007B78C8">
        <w:rPr>
          <w:rFonts w:cs="Times New Roman"/>
          <w:lang w:val="fr-CA"/>
        </w:rPr>
        <w:lastRenderedPageBreak/>
        <w:t>du lieu de travail qui incombent au propriétaire suivant l’</w:t>
      </w:r>
      <w:r>
        <w:rPr>
          <w:rFonts w:cs="Times New Roman"/>
          <w:lang w:val="fr-CA"/>
        </w:rPr>
        <w:t>art. </w:t>
      </w:r>
      <w:r w:rsidRPr="007B78C8">
        <w:rPr>
          <w:rFonts w:cs="Times New Roman"/>
          <w:lang w:val="fr-CA"/>
        </w:rPr>
        <w:t>119. La Commission a donc créé, par règlement, une obligation que la Loi ne réserve qu’aux employeurs. Ce faisant, elle a contrevenu à la structure claire de la division des obligations dans la Loi; elle a donc outrepassé son mandat et débordé le cadre du pouvoir qui lui est délégué à l’</w:t>
      </w:r>
      <w:r>
        <w:rPr>
          <w:rFonts w:cs="Times New Roman"/>
          <w:lang w:val="fr-CA"/>
        </w:rPr>
        <w:t>art. </w:t>
      </w:r>
      <w:r w:rsidRPr="007B78C8">
        <w:rPr>
          <w:rFonts w:cs="Times New Roman"/>
          <w:lang w:val="fr-CA"/>
        </w:rPr>
        <w:t>225.</w:t>
      </w:r>
    </w:p>
    <w:p w:rsidR="00E70F7D" w:rsidRPr="007B78C8" w:rsidRDefault="00E70F7D" w:rsidP="00E70F7D">
      <w:pPr>
        <w:pStyle w:val="ParaNoNdepar-AltN"/>
        <w:rPr>
          <w:rFonts w:cs="Times New Roman"/>
          <w:lang w:val="fr-CA"/>
        </w:rPr>
      </w:pPr>
      <w:r w:rsidRPr="007B78C8">
        <w:rPr>
          <w:rFonts w:cs="Times New Roman"/>
          <w:lang w:val="fr-CA"/>
        </w:rPr>
        <w:t>Le paragraphe 225(1) de la Loi permet à la Commission d’adopter les règlements qu’elle juge nécessaires ou souhaitables, mais on ne saurait y voir l’autorisation de miner le régime législatif établi par les représentants élus de la province. Autrement, le pouvoir de réglementation de la Commission ne connaîtrait aucune limite fonctionnelle dans la mesure où chaque règlement est de quelque manière lié à une certaine notion abstraite de la santé et la sécurité au travail.</w:t>
      </w:r>
    </w:p>
    <w:p w:rsidR="00E70F7D" w:rsidRPr="007B78C8" w:rsidRDefault="00E70F7D" w:rsidP="00E70F7D">
      <w:pPr>
        <w:pStyle w:val="ParaNoNdepar-AltN"/>
        <w:rPr>
          <w:rFonts w:cs="Times New Roman"/>
          <w:lang w:val="fr-CA"/>
        </w:rPr>
      </w:pPr>
      <w:r w:rsidRPr="007B78C8">
        <w:rPr>
          <w:rFonts w:cs="Times New Roman"/>
          <w:lang w:val="fr-CA"/>
        </w:rPr>
        <w:t>Considérons un cas légèrement différent. L’alinéa 115(2)d) de la Loi oblige l’employeur à mettre du matériel de protection à la disposition de ses travailleurs et à veiller à ce qu’ils l’utilisent. La Commission pourrait</w:t>
      </w:r>
      <w:r>
        <w:rPr>
          <w:rFonts w:cs="Times New Roman"/>
          <w:lang w:val="fr-CA"/>
        </w:rPr>
        <w:noBreakHyphen/>
      </w:r>
      <w:r w:rsidRPr="007B78C8">
        <w:rPr>
          <w:rFonts w:cs="Times New Roman"/>
          <w:lang w:val="fr-CA"/>
        </w:rPr>
        <w:t xml:space="preserve">elle, par règlement, imposer la même obligation au propriétaire alors que le législateur a manifestement choisi de l’imposer à l’employeur et </w:t>
      </w:r>
      <w:r w:rsidRPr="007B78C8">
        <w:rPr>
          <w:rFonts w:cs="Times New Roman"/>
          <w:i/>
          <w:lang w:val="fr-CA"/>
        </w:rPr>
        <w:t>non</w:t>
      </w:r>
      <w:r w:rsidRPr="007B78C8">
        <w:rPr>
          <w:rFonts w:cs="Times New Roman"/>
          <w:lang w:val="fr-CA"/>
        </w:rPr>
        <w:t xml:space="preserve"> au propriétaire? Selon les juges majoritaires, elle le pourrait assurément car, disent</w:t>
      </w:r>
      <w:r>
        <w:rPr>
          <w:rFonts w:cs="Times New Roman"/>
          <w:lang w:val="fr-CA"/>
        </w:rPr>
        <w:noBreakHyphen/>
      </w:r>
      <w:r w:rsidRPr="007B78C8">
        <w:rPr>
          <w:rFonts w:cs="Times New Roman"/>
          <w:lang w:val="fr-CA"/>
        </w:rPr>
        <w:t xml:space="preserve">ils, « le législateur a exprimé la volonté que la Commission [adopte] tout règlement jugé nécessaire » (motifs de la juge en chef McLachlin, </w:t>
      </w:r>
      <w:r>
        <w:rPr>
          <w:rFonts w:cs="Times New Roman"/>
          <w:lang w:val="fr-CA"/>
        </w:rPr>
        <w:t>par. </w:t>
      </w:r>
      <w:r w:rsidRPr="007B78C8">
        <w:rPr>
          <w:rFonts w:cs="Times New Roman"/>
          <w:lang w:val="fr-CA"/>
        </w:rPr>
        <w:t>10). Cet exemple démontre que la méthode d’interprétation</w:t>
      </w:r>
      <w:r>
        <w:rPr>
          <w:rFonts w:cs="Times New Roman"/>
          <w:lang w:val="fr-CA"/>
        </w:rPr>
        <w:t xml:space="preserve"> </w:t>
      </w:r>
      <w:r w:rsidRPr="007B78C8">
        <w:rPr>
          <w:rFonts w:cs="Times New Roman"/>
          <w:lang w:val="fr-CA"/>
        </w:rPr>
        <w:t xml:space="preserve">préconisée par la majorité manque à ce point de délimitation qu’elle permettrait à la Commission </w:t>
      </w:r>
      <w:r w:rsidRPr="007B78C8">
        <w:rPr>
          <w:rFonts w:cs="Times New Roman"/>
          <w:lang w:val="fr-CA"/>
        </w:rPr>
        <w:lastRenderedPageBreak/>
        <w:t xml:space="preserve">de saper le régime législatif soigneusement conçu par la province ou d’en faire carrément abstraction. </w:t>
      </w:r>
    </w:p>
    <w:p w:rsidR="00E70F7D" w:rsidRPr="007B78C8" w:rsidRDefault="00E70F7D" w:rsidP="00E70F7D">
      <w:pPr>
        <w:pStyle w:val="ParaNoNdepar-AltN"/>
        <w:rPr>
          <w:rFonts w:cs="Times New Roman"/>
          <w:lang w:val="fr-CA"/>
        </w:rPr>
      </w:pPr>
      <w:r w:rsidRPr="007B78C8">
        <w:rPr>
          <w:rFonts w:cs="Times New Roman"/>
          <w:lang w:val="fr-CA"/>
        </w:rPr>
        <w:t>Je conviens avec les juges majoritaires que l’</w:t>
      </w:r>
      <w:r>
        <w:rPr>
          <w:rFonts w:cs="Times New Roman"/>
          <w:lang w:val="fr-CA"/>
        </w:rPr>
        <w:t>art. </w:t>
      </w:r>
      <w:r w:rsidRPr="007B78C8">
        <w:rPr>
          <w:rFonts w:cs="Times New Roman"/>
          <w:lang w:val="fr-CA"/>
        </w:rPr>
        <w:t xml:space="preserve">119 de la Loi n’est pas « une énumération complète et exhaustive des obligations du propriétaire » (motifs de la juge en chef McLachlin, </w:t>
      </w:r>
      <w:r>
        <w:rPr>
          <w:rFonts w:cs="Times New Roman"/>
          <w:lang w:val="fr-CA"/>
        </w:rPr>
        <w:t>par. </w:t>
      </w:r>
      <w:r w:rsidRPr="007B78C8">
        <w:rPr>
          <w:rFonts w:cs="Times New Roman"/>
          <w:lang w:val="fr-CA"/>
        </w:rPr>
        <w:t>17). Cependant, il ne s’agit pas en l’espèce de savoir si la Commission peut imposer au propriétaire d’autres obligations en sus de celles qui sont précisées dans la loi, car elle peut manifestement le faire. Nous sommes plutôt appelés à décider si la Commission peut assujettir</w:t>
      </w:r>
      <w:r w:rsidR="00650A78">
        <w:rPr>
          <w:rFonts w:cs="Times New Roman"/>
          <w:lang w:val="fr-CA"/>
        </w:rPr>
        <w:t xml:space="preserve"> le propriétaire</w:t>
      </w:r>
      <w:r w:rsidRPr="007B78C8">
        <w:rPr>
          <w:rFonts w:cs="Times New Roman"/>
          <w:lang w:val="fr-CA"/>
        </w:rPr>
        <w:t xml:space="preserve"> à une obligation </w:t>
      </w:r>
      <w:r w:rsidRPr="007B78C8">
        <w:rPr>
          <w:rFonts w:cs="Times New Roman"/>
          <w:i/>
          <w:lang w:val="fr-CA"/>
        </w:rPr>
        <w:t>de cette nature</w:t>
      </w:r>
      <w:r w:rsidRPr="007B78C8">
        <w:rPr>
          <w:rFonts w:cs="Times New Roman"/>
          <w:lang w:val="fr-CA"/>
        </w:rPr>
        <w:t xml:space="preserve">. Contrairement à ce qu’affirment les juges majoritaires (au </w:t>
      </w:r>
      <w:r>
        <w:rPr>
          <w:rFonts w:cs="Times New Roman"/>
          <w:lang w:val="fr-CA"/>
        </w:rPr>
        <w:t>par. </w:t>
      </w:r>
      <w:r w:rsidRPr="007B78C8">
        <w:rPr>
          <w:rFonts w:cs="Times New Roman"/>
          <w:lang w:val="fr-CA"/>
        </w:rPr>
        <w:t xml:space="preserve">17), je ne prétends pas que, dans tous les cas, un règlement doit forcément être « expressément </w:t>
      </w:r>
      <w:proofErr w:type="spellStart"/>
      <w:r w:rsidRPr="007B78C8">
        <w:rPr>
          <w:rFonts w:cs="Times New Roman"/>
          <w:lang w:val="fr-CA"/>
        </w:rPr>
        <w:t>reli</w:t>
      </w:r>
      <w:proofErr w:type="spellEnd"/>
      <w:r w:rsidRPr="007B78C8">
        <w:rPr>
          <w:rFonts w:cs="Times New Roman"/>
          <w:lang w:val="fr-CA"/>
        </w:rPr>
        <w:t>[é] au texte précis de l’</w:t>
      </w:r>
      <w:r>
        <w:rPr>
          <w:rFonts w:cs="Times New Roman"/>
          <w:lang w:val="fr-CA"/>
        </w:rPr>
        <w:t>art. </w:t>
      </w:r>
      <w:r w:rsidRPr="007B78C8">
        <w:rPr>
          <w:rFonts w:cs="Times New Roman"/>
          <w:lang w:val="fr-CA"/>
        </w:rPr>
        <w:t>119 » pour être valide. Je dis simplement qu’un règlement adopté en vertu de la Loi — qu’il soit expressément relié ou non au texte des obligations énoncées à l’</w:t>
      </w:r>
      <w:r>
        <w:rPr>
          <w:rFonts w:cs="Times New Roman"/>
          <w:lang w:val="fr-CA"/>
        </w:rPr>
        <w:t>art. </w:t>
      </w:r>
      <w:r w:rsidRPr="007B78C8">
        <w:rPr>
          <w:rFonts w:cs="Times New Roman"/>
          <w:lang w:val="fr-CA"/>
        </w:rPr>
        <w:t>119 — ne saurait miner l’application de la loi dans son ensemble en rendant le propriétaire débiteur d’obligations que la Loi ne prévoit clairement pas lorsque celle</w:t>
      </w:r>
      <w:r>
        <w:rPr>
          <w:rFonts w:cs="Times New Roman"/>
          <w:lang w:val="fr-CA"/>
        </w:rPr>
        <w:noBreakHyphen/>
      </w:r>
      <w:r w:rsidRPr="007B78C8">
        <w:rPr>
          <w:rFonts w:cs="Times New Roman"/>
          <w:lang w:val="fr-CA"/>
        </w:rPr>
        <w:t>ci est interprétée à la lumière de sa structure et de l’objectif énoncé à l’</w:t>
      </w:r>
      <w:r>
        <w:rPr>
          <w:rFonts w:cs="Times New Roman"/>
          <w:lang w:val="fr-CA"/>
        </w:rPr>
        <w:t>al. </w:t>
      </w:r>
      <w:r w:rsidRPr="007B78C8">
        <w:rPr>
          <w:rFonts w:cs="Times New Roman"/>
          <w:lang w:val="fr-CA"/>
        </w:rPr>
        <w:t>107(2)e).</w:t>
      </w:r>
    </w:p>
    <w:p w:rsidR="00E70F7D" w:rsidRPr="007B78C8" w:rsidRDefault="00E70F7D" w:rsidP="00E70F7D">
      <w:pPr>
        <w:pStyle w:val="ParaNoNdepar-AltN"/>
        <w:rPr>
          <w:rFonts w:cs="Times New Roman"/>
          <w:lang w:val="fr-CA"/>
        </w:rPr>
      </w:pPr>
      <w:r w:rsidRPr="007B78C8">
        <w:rPr>
          <w:rFonts w:cs="Times New Roman"/>
          <w:lang w:val="fr-CA"/>
        </w:rPr>
        <w:t xml:space="preserve">J’estime de plus que les facteurs contextuels externes dont font mention les juges majoritaires ne sont pas convaincants. De toute manière, il ne s’agit pas de considérations pertinentes pour décider de la validité d’une disposition issue de l’exercice du pouvoir délégué (voir motifs du juge Brown, </w:t>
      </w:r>
      <w:r>
        <w:rPr>
          <w:rFonts w:cs="Times New Roman"/>
          <w:lang w:val="fr-CA"/>
        </w:rPr>
        <w:t>par. </w:t>
      </w:r>
      <w:r w:rsidRPr="007B78C8">
        <w:rPr>
          <w:rFonts w:cs="Times New Roman"/>
          <w:lang w:val="fr-CA"/>
        </w:rPr>
        <w:t>117</w:t>
      </w:r>
      <w:r>
        <w:rPr>
          <w:rFonts w:cs="Times New Roman"/>
          <w:lang w:val="fr-CA"/>
        </w:rPr>
        <w:noBreakHyphen/>
      </w:r>
      <w:r w:rsidRPr="007B78C8">
        <w:rPr>
          <w:rFonts w:cs="Times New Roman"/>
          <w:lang w:val="fr-CA"/>
        </w:rPr>
        <w:t xml:space="preserve">120). La Commission peut bien avoir adopté le </w:t>
      </w:r>
      <w:r>
        <w:rPr>
          <w:rFonts w:cs="Times New Roman"/>
          <w:lang w:val="fr-CA"/>
        </w:rPr>
        <w:t>par. </w:t>
      </w:r>
      <w:r w:rsidRPr="007B78C8">
        <w:rPr>
          <w:rFonts w:cs="Times New Roman"/>
          <w:lang w:val="fr-CA"/>
        </w:rPr>
        <w:t xml:space="preserve">26.2(1) en raison de l’inquiétude exprimée </w:t>
      </w:r>
      <w:r w:rsidRPr="007B78C8">
        <w:rPr>
          <w:rFonts w:cs="Times New Roman"/>
          <w:lang w:val="fr-CA"/>
        </w:rPr>
        <w:lastRenderedPageBreak/>
        <w:t xml:space="preserve">par le gouvernement provincial face à l’augmentation du nombre de décès au travail dans le secteur forestier (motifs de la juge en chef McLachlin, </w:t>
      </w:r>
      <w:r>
        <w:rPr>
          <w:rFonts w:cs="Times New Roman"/>
          <w:lang w:val="fr-CA"/>
        </w:rPr>
        <w:t>par. </w:t>
      </w:r>
      <w:r w:rsidRPr="007B78C8">
        <w:rPr>
          <w:rFonts w:cs="Times New Roman"/>
          <w:lang w:val="fr-CA"/>
        </w:rPr>
        <w:t>20). Elle ne peut pas pour autant miner le régime législatif établi par le législateur pour assurer la santé et la sécurité au travail, d’autant plus que le régime, dont je fais état précédemment, établit clairement des pouvoirs et des responsabilités distincts en matière de sécurité au travail. Or, suivant la disposition réglementaire contestée, une même responsabilité rejaillit sur les différents acteurs.</w:t>
      </w:r>
    </w:p>
    <w:p w:rsidR="00E70F7D" w:rsidRPr="007B78C8" w:rsidRDefault="00E70F7D" w:rsidP="00E70F7D">
      <w:pPr>
        <w:pStyle w:val="ParaNoNdepar-AltN"/>
        <w:rPr>
          <w:rFonts w:cs="Times New Roman"/>
          <w:lang w:val="fr-CA"/>
        </w:rPr>
      </w:pPr>
      <w:r w:rsidRPr="007B78C8">
        <w:rPr>
          <w:rFonts w:cs="Times New Roman"/>
          <w:lang w:val="fr-CA"/>
        </w:rPr>
        <w:t xml:space="preserve">Par ailleurs, le </w:t>
      </w:r>
      <w:r>
        <w:rPr>
          <w:rFonts w:cs="Times New Roman"/>
          <w:lang w:val="fr-CA"/>
        </w:rPr>
        <w:t>par. </w:t>
      </w:r>
      <w:r w:rsidRPr="007B78C8">
        <w:rPr>
          <w:rFonts w:cs="Times New Roman"/>
          <w:lang w:val="fr-CA"/>
        </w:rPr>
        <w:t>26.2(1) n’est pas un « prolongement naturel » des obligations du propriétaire prévues à l’</w:t>
      </w:r>
      <w:r>
        <w:rPr>
          <w:rFonts w:cs="Times New Roman"/>
          <w:lang w:val="fr-CA"/>
        </w:rPr>
        <w:t>al. </w:t>
      </w:r>
      <w:r w:rsidRPr="007B78C8">
        <w:rPr>
          <w:rFonts w:cs="Times New Roman"/>
          <w:lang w:val="fr-CA"/>
        </w:rPr>
        <w:t xml:space="preserve">119a) (motifs de la juge en chef McLachlin, </w:t>
      </w:r>
      <w:r>
        <w:rPr>
          <w:rFonts w:cs="Times New Roman"/>
          <w:lang w:val="fr-CA"/>
        </w:rPr>
        <w:t>par. </w:t>
      </w:r>
      <w:r w:rsidRPr="007B78C8">
        <w:rPr>
          <w:rFonts w:cs="Times New Roman"/>
          <w:lang w:val="fr-CA"/>
        </w:rPr>
        <w:t>21). Rappelons que la mise à disposition et l’entretien du bien</w:t>
      </w:r>
      <w:r>
        <w:rPr>
          <w:rFonts w:cs="Times New Roman"/>
          <w:lang w:val="fr-CA"/>
        </w:rPr>
        <w:noBreakHyphen/>
      </w:r>
      <w:r w:rsidRPr="007B78C8">
        <w:rPr>
          <w:rFonts w:cs="Times New Roman"/>
          <w:lang w:val="fr-CA"/>
        </w:rPr>
        <w:t>fonds et des locaux dans le lieu de travail est conceptuellement distinct de la gestion et de la surveillance des activités exercées par les travailleurs à ces endroits et relève d’un type différent de compétence et de pouvoir.</w:t>
      </w:r>
    </w:p>
    <w:p w:rsidR="00E70F7D" w:rsidRPr="007B78C8" w:rsidRDefault="00E70F7D" w:rsidP="00E70F7D">
      <w:pPr>
        <w:pStyle w:val="ParaNoNdepar-AltN"/>
        <w:rPr>
          <w:rFonts w:cs="Times New Roman"/>
          <w:lang w:val="fr-CA"/>
        </w:rPr>
      </w:pPr>
      <w:r w:rsidRPr="007B78C8">
        <w:rPr>
          <w:rFonts w:cs="Times New Roman"/>
          <w:lang w:val="fr-CA"/>
        </w:rPr>
        <w:t xml:space="preserve">J’estime donc que le </w:t>
      </w:r>
      <w:r>
        <w:rPr>
          <w:rFonts w:cs="Times New Roman"/>
          <w:lang w:val="fr-CA"/>
        </w:rPr>
        <w:t>par. </w:t>
      </w:r>
      <w:r w:rsidRPr="007B78C8">
        <w:rPr>
          <w:rFonts w:cs="Times New Roman"/>
          <w:lang w:val="fr-CA"/>
        </w:rPr>
        <w:t xml:space="preserve">26.2(1) est </w:t>
      </w:r>
      <w:r w:rsidRPr="007B78C8">
        <w:rPr>
          <w:rFonts w:cs="Times New Roman"/>
          <w:i/>
          <w:lang w:val="fr-CA"/>
        </w:rPr>
        <w:t xml:space="preserve">ultra </w:t>
      </w:r>
      <w:proofErr w:type="gramStart"/>
      <w:r w:rsidRPr="007B78C8">
        <w:rPr>
          <w:rFonts w:cs="Times New Roman"/>
          <w:i/>
          <w:lang w:val="fr-CA"/>
        </w:rPr>
        <w:t>vires</w:t>
      </w:r>
      <w:proofErr w:type="gramEnd"/>
      <w:r w:rsidRPr="007B78C8">
        <w:rPr>
          <w:rFonts w:cs="Times New Roman"/>
          <w:lang w:val="fr-CA"/>
        </w:rPr>
        <w:t>, et j’accueillerais le pourvoi pour cette raison.</w:t>
      </w:r>
    </w:p>
    <w:p w:rsidR="00E70F7D" w:rsidRPr="007B78C8" w:rsidRDefault="00E70F7D" w:rsidP="00E70F7D">
      <w:pPr>
        <w:pStyle w:val="Title1LevelTitre1Niveau-AltL"/>
        <w:numPr>
          <w:ilvl w:val="0"/>
          <w:numId w:val="9"/>
        </w:numPr>
        <w:rPr>
          <w:rFonts w:cs="Times New Roman"/>
          <w:lang w:val="fr-CA"/>
        </w:rPr>
      </w:pPr>
      <w:r w:rsidRPr="007B78C8">
        <w:rPr>
          <w:rFonts w:cs="Times New Roman"/>
          <w:lang w:val="fr-CA"/>
        </w:rPr>
        <w:t>Imposition d’une sanction administrative à West Fraser à titre de propriétaire</w:t>
      </w:r>
    </w:p>
    <w:p w:rsidR="00E70F7D" w:rsidRPr="007B78C8" w:rsidRDefault="00E70F7D" w:rsidP="00E70F7D">
      <w:pPr>
        <w:pStyle w:val="ParaNoNdepar-AltN"/>
        <w:rPr>
          <w:rFonts w:cs="Times New Roman"/>
          <w:lang w:val="fr-CA"/>
        </w:rPr>
      </w:pPr>
      <w:r w:rsidRPr="007B78C8">
        <w:rPr>
          <w:rFonts w:cs="Times New Roman"/>
          <w:lang w:val="fr-CA"/>
        </w:rPr>
        <w:t xml:space="preserve">À supposer même que la disposition réglementaire contestée soit </w:t>
      </w:r>
      <w:r w:rsidRPr="007B78C8">
        <w:rPr>
          <w:rFonts w:cs="Times New Roman"/>
          <w:i/>
          <w:lang w:val="fr-CA"/>
        </w:rPr>
        <w:t>intra vires</w:t>
      </w:r>
      <w:r w:rsidRPr="007B78C8">
        <w:rPr>
          <w:rFonts w:cs="Times New Roman"/>
          <w:lang w:val="fr-CA"/>
        </w:rPr>
        <w:t xml:space="preserve"> comme le concluent les juges majoritaires, j’accueillerais quand même le pourvoi au motif que la Commission a eu tort d’imposer une sanction administrative à West Fraser. West Fraser a été accusée d’avoir violé ses obligations à titre de </w:t>
      </w:r>
      <w:r w:rsidRPr="007B78C8">
        <w:rPr>
          <w:rFonts w:cs="Times New Roman"/>
          <w:i/>
          <w:lang w:val="fr-CA"/>
        </w:rPr>
        <w:t>propriétaire</w:t>
      </w:r>
      <w:r w:rsidRPr="007B78C8">
        <w:rPr>
          <w:rFonts w:cs="Times New Roman"/>
          <w:lang w:val="fr-CA"/>
        </w:rPr>
        <w:t xml:space="preserve"> </w:t>
      </w:r>
      <w:r w:rsidRPr="007B78C8">
        <w:rPr>
          <w:rFonts w:cs="Times New Roman"/>
          <w:lang w:val="fr-CA"/>
        </w:rPr>
        <w:lastRenderedPageBreak/>
        <w:t xml:space="preserve">aux termes du </w:t>
      </w:r>
      <w:r>
        <w:rPr>
          <w:rFonts w:cs="Times New Roman"/>
          <w:lang w:val="fr-CA"/>
        </w:rPr>
        <w:t>par. </w:t>
      </w:r>
      <w:r w:rsidRPr="007B78C8">
        <w:rPr>
          <w:rFonts w:cs="Times New Roman"/>
          <w:lang w:val="fr-CA"/>
        </w:rPr>
        <w:t xml:space="preserve">26.2(1) du Règlement. Elle a cependant fait l’objet, suivant le </w:t>
      </w:r>
      <w:r>
        <w:rPr>
          <w:rFonts w:cs="Times New Roman"/>
          <w:lang w:val="fr-CA"/>
        </w:rPr>
        <w:t>par. </w:t>
      </w:r>
      <w:r w:rsidRPr="007B78C8">
        <w:rPr>
          <w:rFonts w:cs="Times New Roman"/>
          <w:lang w:val="fr-CA"/>
        </w:rPr>
        <w:t>196(1) de la Loi, d’une sanction administrative qui ne peut être imposée qu’à une entité agissant à titre d’</w:t>
      </w:r>
      <w:r w:rsidRPr="007B78C8">
        <w:rPr>
          <w:rFonts w:cs="Times New Roman"/>
          <w:i/>
          <w:lang w:val="fr-CA"/>
        </w:rPr>
        <w:t>employeur</w:t>
      </w:r>
      <w:r w:rsidRPr="007B78C8">
        <w:rPr>
          <w:rFonts w:cs="Times New Roman"/>
          <w:lang w:val="fr-CA"/>
        </w:rPr>
        <w:t>. Puisqu’il n’existe aucun lien entre l’infraction sous</w:t>
      </w:r>
      <w:r>
        <w:rPr>
          <w:rFonts w:cs="Times New Roman"/>
          <w:lang w:val="fr-CA"/>
        </w:rPr>
        <w:noBreakHyphen/>
      </w:r>
      <w:r w:rsidRPr="007B78C8">
        <w:rPr>
          <w:rFonts w:cs="Times New Roman"/>
          <w:lang w:val="fr-CA"/>
        </w:rPr>
        <w:t>jacente (commise par un propriétaire) et l’imposition d’une sanction administrative (applicable seulement à un employeur), la décision de la Commission est manifestement déraisonnable.</w:t>
      </w:r>
    </w:p>
    <w:p w:rsidR="00E70F7D" w:rsidRPr="007B78C8" w:rsidRDefault="00E70F7D" w:rsidP="00E70F7D">
      <w:pPr>
        <w:pStyle w:val="Title2LevelTitre2Niveau"/>
        <w:numPr>
          <w:ilvl w:val="1"/>
          <w:numId w:val="9"/>
        </w:numPr>
        <w:tabs>
          <w:tab w:val="clear" w:pos="1569"/>
          <w:tab w:val="num" w:pos="576"/>
        </w:tabs>
        <w:ind w:left="576"/>
        <w:rPr>
          <w:rFonts w:cs="Times New Roman"/>
          <w:lang w:val="fr-CA"/>
        </w:rPr>
      </w:pPr>
      <w:r w:rsidRPr="007B78C8">
        <w:rPr>
          <w:rFonts w:cs="Times New Roman"/>
          <w:lang w:val="fr-CA"/>
        </w:rPr>
        <w:t>Norme de contrôle</w:t>
      </w:r>
    </w:p>
    <w:p w:rsidR="00E70F7D" w:rsidRPr="007B78C8" w:rsidRDefault="00E70F7D" w:rsidP="00E70F7D">
      <w:pPr>
        <w:pStyle w:val="ParaNoNdepar-AltN"/>
        <w:rPr>
          <w:rFonts w:cs="Times New Roman"/>
          <w:lang w:val="fr-CA"/>
        </w:rPr>
      </w:pPr>
      <w:r w:rsidRPr="007B78C8">
        <w:rPr>
          <w:rFonts w:cs="Times New Roman"/>
          <w:lang w:val="fr-CA"/>
        </w:rPr>
        <w:t>L’</w:t>
      </w:r>
      <w:r w:rsidRPr="007B78C8">
        <w:rPr>
          <w:rFonts w:cs="Times New Roman"/>
          <w:i/>
          <w:lang w:val="fr-CA"/>
        </w:rPr>
        <w:t xml:space="preserve">Administrative </w:t>
      </w:r>
      <w:proofErr w:type="spellStart"/>
      <w:r w:rsidRPr="007B78C8">
        <w:rPr>
          <w:rFonts w:cs="Times New Roman"/>
          <w:i/>
          <w:lang w:val="fr-CA"/>
        </w:rPr>
        <w:t>Tribunals</w:t>
      </w:r>
      <w:proofErr w:type="spellEnd"/>
      <w:r w:rsidRPr="007B78C8">
        <w:rPr>
          <w:rFonts w:cs="Times New Roman"/>
          <w:i/>
          <w:lang w:val="fr-CA"/>
        </w:rPr>
        <w:t xml:space="preserve"> Act</w:t>
      </w:r>
      <w:r w:rsidRPr="007B78C8">
        <w:rPr>
          <w:rFonts w:cs="Times New Roman"/>
          <w:lang w:val="fr-CA"/>
        </w:rPr>
        <w:t>, S.B.C. 2004, c. 45 (« ATA</w:t>
      </w:r>
      <w:r w:rsidRPr="007B78C8">
        <w:rPr>
          <w:rFonts w:cs="Times New Roman"/>
          <w:i/>
          <w:lang w:val="fr-CA"/>
        </w:rPr>
        <w:t> </w:t>
      </w:r>
      <w:r w:rsidRPr="007B78C8">
        <w:rPr>
          <w:rFonts w:cs="Times New Roman"/>
          <w:lang w:val="fr-CA"/>
        </w:rPr>
        <w:t>») prescrit, pour les besoins de la seconde question en litige, la norme de contrôle applicable. L’article 58 de l’ATA</w:t>
      </w:r>
      <w:r w:rsidRPr="007B78C8">
        <w:rPr>
          <w:rFonts w:cs="Times New Roman"/>
          <w:i/>
          <w:lang w:val="fr-CA"/>
        </w:rPr>
        <w:t xml:space="preserve"> </w:t>
      </w:r>
      <w:r w:rsidRPr="007B78C8">
        <w:rPr>
          <w:rFonts w:cs="Times New Roman"/>
          <w:lang w:val="fr-CA"/>
        </w:rPr>
        <w:t>prévoit ce qui suit</w:t>
      </w:r>
      <w:r>
        <w:rPr>
          <w:rFonts w:cs="Times New Roman"/>
          <w:lang w:val="fr-CA"/>
        </w:rPr>
        <w:t> :</w:t>
      </w:r>
    </w:p>
    <w:p w:rsidR="00E70F7D" w:rsidRDefault="00E70F7D" w:rsidP="00E70F7D">
      <w:pPr>
        <w:pStyle w:val="Citation-AltC"/>
        <w:spacing w:after="0"/>
        <w:ind w:hanging="1166"/>
        <w:contextualSpacing w:val="0"/>
        <w:rPr>
          <w:lang w:val="fr-CA"/>
        </w:rPr>
      </w:pPr>
      <w:r w:rsidRPr="007B78C8">
        <w:rPr>
          <w:lang w:val="fr-CA"/>
        </w:rPr>
        <w:tab/>
        <w:t>[</w:t>
      </w:r>
      <w:r w:rsidRPr="007B78C8">
        <w:rPr>
          <w:smallCaps/>
          <w:lang w:val="fr-CA"/>
        </w:rPr>
        <w:t>traduction</w:t>
      </w:r>
      <w:r w:rsidRPr="007B78C8">
        <w:rPr>
          <w:lang w:val="fr-CA"/>
        </w:rPr>
        <w:t>]</w:t>
      </w:r>
    </w:p>
    <w:p w:rsidR="00D91777" w:rsidRPr="007B78C8" w:rsidRDefault="00D91777" w:rsidP="00E70F7D">
      <w:pPr>
        <w:pStyle w:val="Citation-AltC"/>
        <w:spacing w:after="0"/>
        <w:ind w:hanging="1166"/>
        <w:contextualSpacing w:val="0"/>
        <w:rPr>
          <w:lang w:val="fr-CA"/>
        </w:rPr>
      </w:pPr>
    </w:p>
    <w:p w:rsidR="00E70F7D" w:rsidRDefault="00E70F7D" w:rsidP="00D91777">
      <w:pPr>
        <w:pStyle w:val="Citation-AltC"/>
        <w:ind w:left="1530" w:hanging="364"/>
        <w:rPr>
          <w:lang w:val="fr-CA"/>
        </w:rPr>
      </w:pPr>
      <w:r w:rsidRPr="007B78C8">
        <w:rPr>
          <w:b/>
          <w:lang w:val="fr-CA"/>
        </w:rPr>
        <w:t>58</w:t>
      </w:r>
      <w:r w:rsidRPr="007B78C8">
        <w:rPr>
          <w:lang w:val="fr-CA"/>
        </w:rPr>
        <w:tab/>
        <w:t>(1) Lorsque la Loi sous le régime de laquelle la demande est présentée contient ou incorpore une [clause privative], le tribunal est considéré comme un tribunal spécialisé par une cour de justice pour toute matière dans laquelle il a compétence exclusive.</w:t>
      </w:r>
    </w:p>
    <w:p w:rsidR="00D91777" w:rsidRPr="007B78C8" w:rsidRDefault="00D91777" w:rsidP="00D91777">
      <w:pPr>
        <w:pStyle w:val="Citation-AltC"/>
        <w:ind w:left="1530" w:hanging="364"/>
        <w:rPr>
          <w:lang w:val="fr-CA"/>
        </w:rPr>
      </w:pPr>
    </w:p>
    <w:p w:rsidR="00E70F7D" w:rsidRDefault="00E70F7D" w:rsidP="00D91777">
      <w:pPr>
        <w:pStyle w:val="Citation-AltC"/>
        <w:ind w:left="1530" w:hanging="364"/>
        <w:rPr>
          <w:lang w:val="fr-CA"/>
        </w:rPr>
      </w:pPr>
      <w:r w:rsidRPr="007B78C8">
        <w:rPr>
          <w:lang w:val="fr-CA"/>
        </w:rPr>
        <w:tab/>
        <w:t xml:space="preserve">(2) Dans le cadre d’un contrôle judiciaire visant un tribunal spécialisé au sens du </w:t>
      </w:r>
      <w:r w:rsidRPr="00FC4DA6">
        <w:rPr>
          <w:lang w:val="fr-CA"/>
        </w:rPr>
        <w:t>paragraphe</w:t>
      </w:r>
      <w:r w:rsidRPr="007B78C8">
        <w:rPr>
          <w:lang w:val="fr-CA"/>
        </w:rPr>
        <w:t xml:space="preserve"> (1),</w:t>
      </w:r>
    </w:p>
    <w:p w:rsidR="00D91777" w:rsidRPr="007B78C8" w:rsidRDefault="00D91777" w:rsidP="00D91777">
      <w:pPr>
        <w:pStyle w:val="Citation-AltC"/>
        <w:ind w:left="1530" w:hanging="364"/>
        <w:rPr>
          <w:lang w:val="fr-CA"/>
        </w:rPr>
      </w:pPr>
    </w:p>
    <w:p w:rsidR="00E70F7D" w:rsidRDefault="00E70F7D" w:rsidP="0040046F">
      <w:pPr>
        <w:pStyle w:val="Citation-AltC"/>
        <w:ind w:left="1890"/>
        <w:rPr>
          <w:lang w:val="fr-CA"/>
        </w:rPr>
      </w:pPr>
      <w:r w:rsidRPr="007B78C8">
        <w:rPr>
          <w:lang w:val="fr-CA"/>
        </w:rPr>
        <w:t xml:space="preserve">a) une </w:t>
      </w:r>
      <w:r w:rsidRPr="00D91777">
        <w:rPr>
          <w:lang w:val="fr-CA"/>
        </w:rPr>
        <w:t>conclusion</w:t>
      </w:r>
      <w:r w:rsidRPr="007B78C8">
        <w:rPr>
          <w:lang w:val="fr-CA"/>
        </w:rPr>
        <w:t xml:space="preserve"> de fait ou de droit ou une mesure discrétionnaire du tribunal dans une matière qui relève de sa compétence exclusive par application d’une [clause privative] ne peut être modifiée que si elle est manifestement déraisonnable;</w:t>
      </w:r>
    </w:p>
    <w:p w:rsidR="00D91777" w:rsidRPr="007B78C8" w:rsidRDefault="00D91777" w:rsidP="00D91777">
      <w:pPr>
        <w:pStyle w:val="Citation-AltC"/>
        <w:ind w:left="1980"/>
        <w:rPr>
          <w:lang w:val="fr-CA"/>
        </w:rPr>
      </w:pPr>
    </w:p>
    <w:p w:rsidR="00E70F7D" w:rsidRDefault="00E70F7D" w:rsidP="0040046F">
      <w:pPr>
        <w:pStyle w:val="Citation-AltC"/>
        <w:ind w:left="1890"/>
        <w:rPr>
          <w:lang w:val="fr-CA"/>
        </w:rPr>
      </w:pPr>
      <w:r w:rsidRPr="007B78C8">
        <w:rPr>
          <w:lang w:val="fr-CA"/>
        </w:rPr>
        <w:t xml:space="preserve">b) toute question touchant à l’application des règles de justice </w:t>
      </w:r>
      <w:r w:rsidRPr="00D91777">
        <w:rPr>
          <w:lang w:val="fr-CA"/>
        </w:rPr>
        <w:t>naturelle</w:t>
      </w:r>
      <w:r w:rsidRPr="007B78C8">
        <w:rPr>
          <w:lang w:val="fr-CA"/>
        </w:rPr>
        <w:t xml:space="preserve"> et d’équité procédurale en common law est tranchée en fonction du caractère équitable ou non des actes du tribunal au vu de l’ensemble des circonstances;</w:t>
      </w:r>
    </w:p>
    <w:p w:rsidR="00D91777" w:rsidRPr="007B78C8" w:rsidRDefault="00D91777" w:rsidP="00D91777">
      <w:pPr>
        <w:pStyle w:val="Citation-AltC"/>
        <w:ind w:left="1980"/>
        <w:rPr>
          <w:lang w:val="fr-CA"/>
        </w:rPr>
      </w:pPr>
    </w:p>
    <w:p w:rsidR="00E70F7D" w:rsidRPr="007B78C8" w:rsidRDefault="00E70F7D" w:rsidP="0040046F">
      <w:pPr>
        <w:pStyle w:val="Citation-AltC"/>
        <w:ind w:left="1890"/>
        <w:rPr>
          <w:lang w:val="fr-CA"/>
        </w:rPr>
      </w:pPr>
      <w:r w:rsidRPr="007B78C8">
        <w:rPr>
          <w:lang w:val="fr-CA"/>
        </w:rPr>
        <w:lastRenderedPageBreak/>
        <w:t xml:space="preserve">c) la norme de contrôle applicable à la décision du tribunal sur </w:t>
      </w:r>
      <w:r w:rsidRPr="00D91777">
        <w:rPr>
          <w:lang w:val="fr-CA"/>
        </w:rPr>
        <w:t>toute</w:t>
      </w:r>
      <w:r w:rsidRPr="007B78C8">
        <w:rPr>
          <w:lang w:val="fr-CA"/>
        </w:rPr>
        <w:t xml:space="preserve"> autre question que celles précisées aux paragraphes a) et b) est celle de la décision correcte.</w:t>
      </w:r>
    </w:p>
    <w:p w:rsidR="00E70F7D" w:rsidRPr="007B78C8" w:rsidRDefault="00E70F7D" w:rsidP="00E70F7D">
      <w:pPr>
        <w:pStyle w:val="ParaNoNdepar-AltN"/>
        <w:rPr>
          <w:rFonts w:cs="Times New Roman"/>
          <w:lang w:val="fr-CA"/>
        </w:rPr>
      </w:pPr>
      <w:r w:rsidRPr="007B78C8">
        <w:rPr>
          <w:rFonts w:cs="Times New Roman"/>
          <w:lang w:val="fr-CA"/>
        </w:rPr>
        <w:t xml:space="preserve">Selon les juges majoritaires, la norme de contrôle applicable est celle de la décision manifestement déraisonnable (motifs de la juge en chef McLachlin, </w:t>
      </w:r>
      <w:r>
        <w:rPr>
          <w:rFonts w:cs="Times New Roman"/>
          <w:lang w:val="fr-CA"/>
        </w:rPr>
        <w:t>par. </w:t>
      </w:r>
      <w:r w:rsidRPr="007B78C8">
        <w:rPr>
          <w:rFonts w:cs="Times New Roman"/>
          <w:lang w:val="fr-CA"/>
        </w:rPr>
        <w:t xml:space="preserve">29). À supposer qu’il s’agisse de la norme applicable, je suis d’avis d’accueillir le pourvoi au motif que la décision du Workers’ Compensation Appeal Tribunal (« Tribunal ») (2013 CanLII 79509) est manifestement déraisonnable. </w:t>
      </w:r>
    </w:p>
    <w:p w:rsidR="00E70F7D" w:rsidRPr="007B78C8" w:rsidRDefault="00E70F7D" w:rsidP="00E70F7D">
      <w:pPr>
        <w:pStyle w:val="Title2LevelTitre2Niveau"/>
        <w:numPr>
          <w:ilvl w:val="1"/>
          <w:numId w:val="9"/>
        </w:numPr>
        <w:tabs>
          <w:tab w:val="clear" w:pos="1569"/>
          <w:tab w:val="num" w:pos="576"/>
        </w:tabs>
        <w:ind w:left="576"/>
        <w:rPr>
          <w:rFonts w:cs="Times New Roman"/>
          <w:lang w:val="fr-CA"/>
        </w:rPr>
      </w:pPr>
      <w:r w:rsidRPr="007B78C8">
        <w:rPr>
          <w:rFonts w:cs="Times New Roman"/>
          <w:lang w:val="fr-CA"/>
        </w:rPr>
        <w:t>Analyse</w:t>
      </w:r>
    </w:p>
    <w:p w:rsidR="00E70F7D" w:rsidRPr="007B78C8" w:rsidRDefault="00E70F7D" w:rsidP="00E70F7D">
      <w:pPr>
        <w:pStyle w:val="ParaNoNdepar-AltN"/>
        <w:rPr>
          <w:rFonts w:cs="Times New Roman"/>
          <w:lang w:val="fr-CA"/>
        </w:rPr>
      </w:pPr>
      <w:r w:rsidRPr="007B78C8">
        <w:rPr>
          <w:rFonts w:cs="Times New Roman"/>
          <w:lang w:val="fr-CA"/>
        </w:rPr>
        <w:t>Le paragraphe 196(1) de la Loi — la disposition relative aux sanctions administratives — est rédigé comme suit</w:t>
      </w:r>
      <w:r>
        <w:rPr>
          <w:rFonts w:cs="Times New Roman"/>
          <w:lang w:val="fr-CA"/>
        </w:rPr>
        <w:t> :</w:t>
      </w:r>
    </w:p>
    <w:p w:rsidR="00E70F7D" w:rsidRDefault="00E70F7D" w:rsidP="001248D3">
      <w:pPr>
        <w:pStyle w:val="Citation-AltC"/>
        <w:spacing w:after="0"/>
        <w:ind w:left="1620" w:hanging="450"/>
        <w:contextualSpacing w:val="0"/>
        <w:rPr>
          <w:lang w:val="fr-CA"/>
        </w:rPr>
      </w:pPr>
      <w:r w:rsidRPr="007B78C8">
        <w:rPr>
          <w:lang w:val="fr-CA"/>
        </w:rPr>
        <w:t>[</w:t>
      </w:r>
      <w:r w:rsidRPr="007B78C8">
        <w:rPr>
          <w:smallCaps/>
          <w:lang w:val="fr-CA"/>
        </w:rPr>
        <w:t>traduction</w:t>
      </w:r>
      <w:r w:rsidRPr="007B78C8">
        <w:rPr>
          <w:lang w:val="fr-CA"/>
        </w:rPr>
        <w:t xml:space="preserve">] </w:t>
      </w:r>
    </w:p>
    <w:p w:rsidR="001248D3" w:rsidRPr="007B78C8" w:rsidRDefault="001248D3" w:rsidP="00E70F7D">
      <w:pPr>
        <w:pStyle w:val="Citation-AltC"/>
        <w:spacing w:after="0"/>
        <w:ind w:left="1620" w:hanging="360"/>
        <w:contextualSpacing w:val="0"/>
        <w:rPr>
          <w:lang w:val="fr-CA"/>
        </w:rPr>
      </w:pPr>
    </w:p>
    <w:p w:rsidR="00E70F7D" w:rsidRDefault="00E70F7D" w:rsidP="001248D3">
      <w:pPr>
        <w:pStyle w:val="Citation-AltC"/>
        <w:ind w:left="1620" w:hanging="450"/>
        <w:rPr>
          <w:lang w:val="fr-CA"/>
        </w:rPr>
      </w:pPr>
      <w:r w:rsidRPr="007B78C8">
        <w:rPr>
          <w:b/>
          <w:lang w:val="fr-CA"/>
        </w:rPr>
        <w:t>196</w:t>
      </w:r>
      <w:r w:rsidRPr="007B78C8">
        <w:rPr>
          <w:lang w:val="fr-CA"/>
        </w:rPr>
        <w:tab/>
        <w:t xml:space="preserve">(1) En vertu du présent article, la Commission peut infliger </w:t>
      </w:r>
      <w:r w:rsidRPr="00EF0DD2">
        <w:rPr>
          <w:u w:val="single"/>
          <w:lang w:val="fr-CA"/>
        </w:rPr>
        <w:t>à u</w:t>
      </w:r>
      <w:r w:rsidRPr="007B78C8">
        <w:rPr>
          <w:u w:val="single"/>
          <w:lang w:val="fr-CA"/>
        </w:rPr>
        <w:t>n employeur</w:t>
      </w:r>
      <w:r w:rsidRPr="007B78C8">
        <w:rPr>
          <w:lang w:val="fr-CA"/>
        </w:rPr>
        <w:t xml:space="preserve"> une sanction administrative au moyen d’une ordonnance si elle est convaincue, selon la prépondérance des probabilités,</w:t>
      </w:r>
    </w:p>
    <w:p w:rsidR="001248D3" w:rsidRPr="007B78C8" w:rsidRDefault="001248D3" w:rsidP="001248D3">
      <w:pPr>
        <w:pStyle w:val="Citation-AltC"/>
        <w:ind w:left="1620" w:hanging="450"/>
        <w:rPr>
          <w:lang w:val="fr-CA"/>
        </w:rPr>
      </w:pPr>
    </w:p>
    <w:p w:rsidR="00E70F7D" w:rsidRDefault="00E70F7D" w:rsidP="0040046F">
      <w:pPr>
        <w:pStyle w:val="Citation-AltC"/>
        <w:ind w:left="2070"/>
        <w:rPr>
          <w:lang w:val="fr-CA"/>
        </w:rPr>
      </w:pPr>
      <w:r w:rsidRPr="007B78C8">
        <w:rPr>
          <w:lang w:val="fr-CA"/>
        </w:rPr>
        <w:t>a) </w:t>
      </w:r>
      <w:r w:rsidRPr="001248D3">
        <w:rPr>
          <w:lang w:val="fr-CA"/>
        </w:rPr>
        <w:t>que</w:t>
      </w:r>
      <w:r w:rsidRPr="007B78C8">
        <w:rPr>
          <w:lang w:val="fr-CA"/>
        </w:rPr>
        <w:t xml:space="preserve"> </w:t>
      </w:r>
      <w:r w:rsidRPr="007B78C8">
        <w:rPr>
          <w:u w:val="single"/>
          <w:lang w:val="fr-CA"/>
        </w:rPr>
        <w:t>l’employeur</w:t>
      </w:r>
      <w:r w:rsidRPr="007B78C8">
        <w:rPr>
          <w:lang w:val="fr-CA"/>
        </w:rPr>
        <w:t xml:space="preserve"> n’a pas pris des précautions suffisantes pour prévenir les lésions ou les maladies professionnelles,</w:t>
      </w:r>
    </w:p>
    <w:p w:rsidR="001248D3" w:rsidRPr="007B78C8" w:rsidRDefault="001248D3" w:rsidP="001248D3">
      <w:pPr>
        <w:pStyle w:val="Citation-AltC"/>
        <w:ind w:left="2160"/>
        <w:rPr>
          <w:lang w:val="fr-CA"/>
        </w:rPr>
      </w:pPr>
    </w:p>
    <w:p w:rsidR="00E70F7D" w:rsidRDefault="00E70F7D" w:rsidP="0040046F">
      <w:pPr>
        <w:pStyle w:val="Citation-AltC"/>
        <w:ind w:left="2070"/>
        <w:rPr>
          <w:lang w:val="fr-CA"/>
        </w:rPr>
      </w:pPr>
      <w:r w:rsidRPr="007B78C8">
        <w:rPr>
          <w:lang w:val="fr-CA"/>
        </w:rPr>
        <w:t xml:space="preserve">b) que </w:t>
      </w:r>
      <w:r w:rsidRPr="007B78C8">
        <w:rPr>
          <w:u w:val="single"/>
          <w:lang w:val="fr-CA"/>
        </w:rPr>
        <w:t>l’employeur</w:t>
      </w:r>
      <w:r w:rsidRPr="007B78C8">
        <w:rPr>
          <w:lang w:val="fr-CA"/>
        </w:rPr>
        <w:t xml:space="preserve"> ne s’est pas conformé à la présente </w:t>
      </w:r>
      <w:r w:rsidRPr="001248D3">
        <w:rPr>
          <w:lang w:val="fr-CA"/>
        </w:rPr>
        <w:t>partie</w:t>
      </w:r>
      <w:r w:rsidRPr="007B78C8">
        <w:rPr>
          <w:lang w:val="fr-CA"/>
        </w:rPr>
        <w:t>, au Règlement ou à une ordonnance applicable,</w:t>
      </w:r>
    </w:p>
    <w:p w:rsidR="001248D3" w:rsidRPr="007B78C8" w:rsidRDefault="001248D3" w:rsidP="001248D3">
      <w:pPr>
        <w:pStyle w:val="Citation-AltC"/>
        <w:ind w:left="2160"/>
        <w:rPr>
          <w:lang w:val="fr-CA"/>
        </w:rPr>
      </w:pPr>
    </w:p>
    <w:p w:rsidR="00E70F7D" w:rsidRPr="007B78C8" w:rsidRDefault="00E70F7D" w:rsidP="0040046F">
      <w:pPr>
        <w:pStyle w:val="Citation-AltC"/>
        <w:ind w:left="2070"/>
        <w:rPr>
          <w:lang w:val="fr-CA"/>
        </w:rPr>
      </w:pPr>
      <w:r w:rsidRPr="007B78C8">
        <w:rPr>
          <w:lang w:val="fr-CA"/>
        </w:rPr>
        <w:t xml:space="preserve">c) que le lieu de travail de </w:t>
      </w:r>
      <w:r w:rsidRPr="007B78C8">
        <w:rPr>
          <w:u w:val="single"/>
          <w:lang w:val="fr-CA"/>
        </w:rPr>
        <w:t>l’employeur</w:t>
      </w:r>
      <w:r w:rsidRPr="007B78C8">
        <w:rPr>
          <w:lang w:val="fr-CA"/>
        </w:rPr>
        <w:t xml:space="preserve"> ou les conditions de travail ne sont pas sécuritaires.</w:t>
      </w:r>
    </w:p>
    <w:p w:rsidR="00E70F7D" w:rsidRPr="007B78C8" w:rsidRDefault="00E70F7D" w:rsidP="00E70F7D">
      <w:pPr>
        <w:pStyle w:val="ParaNoNdepar-AltN"/>
        <w:rPr>
          <w:rFonts w:cs="Times New Roman"/>
          <w:lang w:val="fr-CA"/>
        </w:rPr>
      </w:pPr>
      <w:r w:rsidRPr="007B78C8">
        <w:rPr>
          <w:rFonts w:cs="Times New Roman"/>
          <w:lang w:val="fr-CA"/>
        </w:rPr>
        <w:lastRenderedPageBreak/>
        <w:t>Suivant le texte clair de cette disposition, la Commission ne peut imposer une sanction administrative qu’à « un employeur », à l’exclusion d’un propriétaire ou d’une autre personne. Il ressort aussi de son libellé que l’infraction sous</w:t>
      </w:r>
      <w:r>
        <w:rPr>
          <w:rFonts w:cs="Times New Roman"/>
          <w:lang w:val="fr-CA"/>
        </w:rPr>
        <w:noBreakHyphen/>
      </w:r>
      <w:r w:rsidRPr="007B78C8">
        <w:rPr>
          <w:rFonts w:cs="Times New Roman"/>
          <w:lang w:val="fr-CA"/>
        </w:rPr>
        <w:t>jacente doit s’être produite pendant que le contrevenant agissait à titre d’employeur. C’est ce qu’il faut conclure des énoncés « </w:t>
      </w:r>
      <w:r w:rsidRPr="007B78C8">
        <w:rPr>
          <w:rFonts w:cs="Times New Roman"/>
          <w:u w:val="single"/>
          <w:lang w:val="fr-CA"/>
        </w:rPr>
        <w:t>l’employeur</w:t>
      </w:r>
      <w:r w:rsidRPr="007B78C8">
        <w:rPr>
          <w:rFonts w:cs="Times New Roman"/>
          <w:lang w:val="fr-CA"/>
        </w:rPr>
        <w:t xml:space="preserve"> n’a pas pris des précautions suffisantes » et « </w:t>
      </w:r>
      <w:r w:rsidRPr="007B78C8">
        <w:rPr>
          <w:rFonts w:cs="Times New Roman"/>
          <w:u w:val="single"/>
          <w:lang w:val="fr-CA"/>
        </w:rPr>
        <w:t>l’employeur</w:t>
      </w:r>
      <w:r w:rsidRPr="007B78C8">
        <w:rPr>
          <w:rFonts w:cs="Times New Roman"/>
          <w:lang w:val="fr-CA"/>
        </w:rPr>
        <w:t xml:space="preserve"> ne s’est pas conformé à la présente partie, au Règlement ou à une ordonnance applicable ». L’employeur se conforme en tous points à la loi applicable lorsqu’il s’acquitte des obligations qui lui sont dévolues. </w:t>
      </w:r>
    </w:p>
    <w:p w:rsidR="00E70F7D" w:rsidRPr="007B78C8" w:rsidRDefault="00E70F7D" w:rsidP="00E70F7D">
      <w:pPr>
        <w:pStyle w:val="ParaNoNdepar-AltN"/>
        <w:rPr>
          <w:rFonts w:cs="Times New Roman"/>
          <w:lang w:val="fr-CA"/>
        </w:rPr>
      </w:pPr>
      <w:r w:rsidRPr="007B78C8">
        <w:rPr>
          <w:rFonts w:cs="Times New Roman"/>
          <w:lang w:val="fr-CA"/>
        </w:rPr>
        <w:t xml:space="preserve">Pour le Tribunal, cette disposition s’applique au propriétaire qui est également employeur dans le lieu de travail, et ce, même s’il s’est acquitté de toutes ses obligations d’employeur suivant la Loi et le Règlement. Cela est erroné pour plusieurs raisons. </w:t>
      </w:r>
    </w:p>
    <w:p w:rsidR="00E70F7D" w:rsidRPr="007B78C8" w:rsidRDefault="00E70F7D" w:rsidP="00E70F7D">
      <w:pPr>
        <w:pStyle w:val="ParaNoNdepar-AltN"/>
        <w:rPr>
          <w:rFonts w:cs="Times New Roman"/>
          <w:lang w:val="fr-CA"/>
        </w:rPr>
      </w:pPr>
      <w:r w:rsidRPr="007B78C8">
        <w:rPr>
          <w:rFonts w:cs="Times New Roman"/>
          <w:lang w:val="fr-CA"/>
        </w:rPr>
        <w:t>Premièrement, le terme « employeur » n’englobe pas le « propriétaire », comme il appert des définitions distinctes de ces deux termes à l’</w:t>
      </w:r>
      <w:r>
        <w:rPr>
          <w:rFonts w:cs="Times New Roman"/>
          <w:lang w:val="fr-CA"/>
        </w:rPr>
        <w:t>art. </w:t>
      </w:r>
      <w:r w:rsidRPr="007B78C8">
        <w:rPr>
          <w:rFonts w:cs="Times New Roman"/>
          <w:lang w:val="fr-CA"/>
        </w:rPr>
        <w:t xml:space="preserve">106, ainsi que des obligations distinctes dévolues à chacun d’eux et prévues respectivement </w:t>
      </w:r>
      <w:proofErr w:type="gramStart"/>
      <w:r w:rsidRPr="007B78C8">
        <w:rPr>
          <w:rFonts w:cs="Times New Roman"/>
          <w:lang w:val="fr-CA"/>
        </w:rPr>
        <w:t xml:space="preserve">aux </w:t>
      </w:r>
      <w:r>
        <w:rPr>
          <w:rFonts w:cs="Times New Roman"/>
          <w:lang w:val="fr-CA"/>
        </w:rPr>
        <w:t>art</w:t>
      </w:r>
      <w:proofErr w:type="gramEnd"/>
      <w:r>
        <w:rPr>
          <w:rFonts w:cs="Times New Roman"/>
          <w:lang w:val="fr-CA"/>
        </w:rPr>
        <w:t>. </w:t>
      </w:r>
      <w:r w:rsidRPr="007B78C8">
        <w:rPr>
          <w:rFonts w:cs="Times New Roman"/>
          <w:lang w:val="fr-CA"/>
        </w:rPr>
        <w:t>115 et 119. Nulle mention n’est faite de quelque pouvoir d’imposer, comme la Commission l’a fait en l’espèce, une sanction administrative à un propriétaire ou à une entité agissant à titre de propriétaire.</w:t>
      </w:r>
    </w:p>
    <w:p w:rsidR="00E70F7D" w:rsidRPr="007B78C8" w:rsidRDefault="00E70F7D" w:rsidP="00E70F7D">
      <w:pPr>
        <w:pStyle w:val="ParaNoNdepar-AltN"/>
        <w:rPr>
          <w:rFonts w:cs="Times New Roman"/>
          <w:lang w:val="fr-CA"/>
        </w:rPr>
      </w:pPr>
      <w:r w:rsidRPr="007B78C8">
        <w:rPr>
          <w:rFonts w:cs="Times New Roman"/>
          <w:lang w:val="fr-CA"/>
        </w:rPr>
        <w:t xml:space="preserve">Deuxièmement, le fait que le </w:t>
      </w:r>
      <w:r>
        <w:rPr>
          <w:rFonts w:cs="Times New Roman"/>
          <w:lang w:val="fr-CA"/>
        </w:rPr>
        <w:t>par. </w:t>
      </w:r>
      <w:r w:rsidRPr="007B78C8">
        <w:rPr>
          <w:rFonts w:cs="Times New Roman"/>
          <w:lang w:val="fr-CA"/>
        </w:rPr>
        <w:t xml:space="preserve">196(1) précise que la Commission peut imposer une sanction administrative à un employeur indique, par inférence négative, qu’elle </w:t>
      </w:r>
      <w:r w:rsidRPr="007B78C8">
        <w:rPr>
          <w:rFonts w:cs="Times New Roman"/>
          <w:i/>
          <w:lang w:val="fr-CA"/>
        </w:rPr>
        <w:t>ne</w:t>
      </w:r>
      <w:r w:rsidRPr="007B78C8">
        <w:rPr>
          <w:rFonts w:cs="Times New Roman"/>
          <w:lang w:val="fr-CA"/>
        </w:rPr>
        <w:t xml:space="preserve"> peut </w:t>
      </w:r>
      <w:r w:rsidRPr="007B78C8">
        <w:rPr>
          <w:rFonts w:cs="Times New Roman"/>
          <w:i/>
          <w:lang w:val="fr-CA"/>
        </w:rPr>
        <w:t>pas</w:t>
      </w:r>
      <w:r w:rsidRPr="007B78C8">
        <w:rPr>
          <w:rFonts w:cs="Times New Roman"/>
          <w:lang w:val="fr-CA"/>
        </w:rPr>
        <w:t xml:space="preserve"> en imposer une aux autres personnes visées par la Loi (voir Sullivan, </w:t>
      </w:r>
      <w:r w:rsidRPr="007B78C8">
        <w:rPr>
          <w:rFonts w:cs="Times New Roman"/>
          <w:lang w:val="fr-CA"/>
        </w:rPr>
        <w:lastRenderedPageBreak/>
        <w:t>§ 8.92 ([</w:t>
      </w:r>
      <w:r w:rsidRPr="007B78C8">
        <w:rPr>
          <w:rFonts w:cs="Times New Roman"/>
          <w:smallCaps/>
          <w:lang w:val="fr-CA"/>
        </w:rPr>
        <w:t>traduction</w:t>
      </w:r>
      <w:r w:rsidRPr="007B78C8">
        <w:rPr>
          <w:rFonts w:cs="Times New Roman"/>
          <w:lang w:val="fr-CA"/>
        </w:rPr>
        <w:t>] « Lorsqu’une disposition fait expressément état d’un ou de plusieurs éléments, mais qu’elle demeure silencieuse sur d’autres qui sont comparables, on présume que son silence est délibéré et reflète son intention d’exclure les éléments qui ne sont pas mentionnés »)).</w:t>
      </w:r>
    </w:p>
    <w:p w:rsidR="00E70F7D" w:rsidRPr="007B78C8" w:rsidRDefault="00E70F7D" w:rsidP="00E70F7D">
      <w:pPr>
        <w:pStyle w:val="ParaNoNdepar-AltN"/>
        <w:rPr>
          <w:rFonts w:cs="Times New Roman"/>
          <w:lang w:val="fr-CA"/>
        </w:rPr>
      </w:pPr>
      <w:r w:rsidRPr="007B78C8">
        <w:rPr>
          <w:rFonts w:cs="Times New Roman"/>
          <w:lang w:val="fr-CA"/>
        </w:rPr>
        <w:t xml:space="preserve">Troisièmement, l’interprétation du Tribunal ne tient pas compte du libellé choisi par le législateur au </w:t>
      </w:r>
      <w:r>
        <w:rPr>
          <w:rFonts w:cs="Times New Roman"/>
          <w:lang w:val="fr-CA"/>
        </w:rPr>
        <w:t>par. </w:t>
      </w:r>
      <w:r w:rsidRPr="007B78C8">
        <w:rPr>
          <w:rFonts w:cs="Times New Roman"/>
          <w:lang w:val="fr-CA"/>
        </w:rPr>
        <w:t xml:space="preserve">196(1), qui diffère de celui des autres dispositions de la Loi. Le législateur aurait employé un libellé plus général s’il avait voulu que la Commission puisse imposer une sanction administrative à un propriétaire (ou, comme en l’espèce, à un propriétaire qui est aussi employeur, mais dont l’inobservation vise seulement ses obligations à titre d’employeur). Dans d’autres dispositions, le législateur emploie le terme « personne » au singulier ou au pluriel afin d’englober des entités multiples ou des entités agissant simultanément à plusieurs titres. (Voir </w:t>
      </w:r>
      <w:r>
        <w:rPr>
          <w:rFonts w:cs="Times New Roman"/>
          <w:lang w:val="fr-CA"/>
        </w:rPr>
        <w:t>p. </w:t>
      </w:r>
      <w:r w:rsidRPr="007B78C8">
        <w:rPr>
          <w:rFonts w:cs="Times New Roman"/>
          <w:lang w:val="fr-CA"/>
        </w:rPr>
        <w:t>ex. l’</w:t>
      </w:r>
      <w:r>
        <w:rPr>
          <w:rFonts w:cs="Times New Roman"/>
          <w:lang w:val="fr-CA"/>
        </w:rPr>
        <w:t>al. </w:t>
      </w:r>
      <w:r w:rsidRPr="007B78C8">
        <w:rPr>
          <w:rFonts w:cs="Times New Roman"/>
          <w:lang w:val="fr-CA"/>
        </w:rPr>
        <w:t>111(2</w:t>
      </w:r>
      <w:proofErr w:type="gramStart"/>
      <w:r w:rsidRPr="007B78C8">
        <w:rPr>
          <w:rFonts w:cs="Times New Roman"/>
          <w:lang w:val="fr-CA"/>
        </w:rPr>
        <w:t>)d</w:t>
      </w:r>
      <w:proofErr w:type="gramEnd"/>
      <w:r w:rsidRPr="007B78C8">
        <w:rPr>
          <w:rFonts w:cs="Times New Roman"/>
          <w:lang w:val="fr-CA"/>
        </w:rPr>
        <w:t>), qui dispose que l’une des fonctions de la Commission est [</w:t>
      </w:r>
      <w:r w:rsidRPr="007B78C8">
        <w:rPr>
          <w:rFonts w:cs="Times New Roman"/>
          <w:smallCaps/>
          <w:lang w:val="fr-CA"/>
        </w:rPr>
        <w:t>traduction</w:t>
      </w:r>
      <w:r w:rsidRPr="007B78C8">
        <w:rPr>
          <w:rFonts w:cs="Times New Roman"/>
          <w:lang w:val="fr-CA"/>
        </w:rPr>
        <w:t xml:space="preserve">] « de faire en sorte que les </w:t>
      </w:r>
      <w:r w:rsidRPr="007B78C8">
        <w:rPr>
          <w:rFonts w:cs="Times New Roman"/>
          <w:u w:val="single"/>
          <w:lang w:val="fr-CA"/>
        </w:rPr>
        <w:t>personnes</w:t>
      </w:r>
      <w:r w:rsidRPr="007B78C8">
        <w:rPr>
          <w:rFonts w:cs="Times New Roman"/>
          <w:lang w:val="fr-CA"/>
        </w:rPr>
        <w:t xml:space="preserve"> concernées par les objectifs de la [partie 3] obtiennent de l’information et des conseils sur l’administration de celle</w:t>
      </w:r>
      <w:r>
        <w:rPr>
          <w:rFonts w:cs="Times New Roman"/>
          <w:lang w:val="fr-CA"/>
        </w:rPr>
        <w:noBreakHyphen/>
      </w:r>
      <w:r w:rsidRPr="007B78C8">
        <w:rPr>
          <w:rFonts w:cs="Times New Roman"/>
          <w:lang w:val="fr-CA"/>
        </w:rPr>
        <w:t>ci et en matière de santé et de sécurité professionnelles »). L’exemple le plus frappant se trouve à l’</w:t>
      </w:r>
      <w:r>
        <w:rPr>
          <w:rFonts w:cs="Times New Roman"/>
          <w:lang w:val="fr-CA"/>
        </w:rPr>
        <w:t>art. </w:t>
      </w:r>
      <w:r w:rsidRPr="007B78C8">
        <w:rPr>
          <w:rFonts w:cs="Times New Roman"/>
          <w:lang w:val="fr-CA"/>
        </w:rPr>
        <w:t xml:space="preserve">217, la disposition générale sur les sanctions. L’article 217 s’apparente au </w:t>
      </w:r>
      <w:r>
        <w:rPr>
          <w:rFonts w:cs="Times New Roman"/>
          <w:lang w:val="fr-CA"/>
        </w:rPr>
        <w:t>par. </w:t>
      </w:r>
      <w:r w:rsidRPr="007B78C8">
        <w:rPr>
          <w:rFonts w:cs="Times New Roman"/>
          <w:lang w:val="fr-CA"/>
        </w:rPr>
        <w:t>196(1) en ce qu’il permet d’imposer des sanctions et confère à la Commission un pouvoir d’exécution. Suivant son libellé, « </w:t>
      </w:r>
      <w:r w:rsidRPr="007B78C8">
        <w:rPr>
          <w:rFonts w:cs="Times New Roman"/>
          <w:u w:val="single"/>
          <w:lang w:val="fr-CA"/>
        </w:rPr>
        <w:t>une personne</w:t>
      </w:r>
      <w:r w:rsidRPr="007B78C8">
        <w:rPr>
          <w:rFonts w:cs="Times New Roman"/>
          <w:lang w:val="fr-CA"/>
        </w:rPr>
        <w:t xml:space="preserve"> est passible » des sanctions énumérées, et non seulement « un employeur » comme au </w:t>
      </w:r>
      <w:r>
        <w:rPr>
          <w:rFonts w:cs="Times New Roman"/>
          <w:lang w:val="fr-CA"/>
        </w:rPr>
        <w:t>par. </w:t>
      </w:r>
      <w:r w:rsidRPr="007B78C8">
        <w:rPr>
          <w:rFonts w:cs="Times New Roman"/>
          <w:lang w:val="fr-CA"/>
        </w:rPr>
        <w:t xml:space="preserve">196(1). De même, le </w:t>
      </w:r>
      <w:r>
        <w:rPr>
          <w:rFonts w:cs="Times New Roman"/>
          <w:lang w:val="fr-CA"/>
        </w:rPr>
        <w:t>par. </w:t>
      </w:r>
      <w:r w:rsidRPr="007B78C8">
        <w:rPr>
          <w:rFonts w:cs="Times New Roman"/>
          <w:lang w:val="fr-CA"/>
        </w:rPr>
        <w:t>213(1) précise qu’« </w:t>
      </w:r>
      <w:r w:rsidRPr="007B78C8">
        <w:rPr>
          <w:rFonts w:cs="Times New Roman"/>
          <w:u w:val="single"/>
          <w:lang w:val="fr-CA"/>
        </w:rPr>
        <w:t>une personne</w:t>
      </w:r>
      <w:r w:rsidRPr="007B78C8">
        <w:rPr>
          <w:rFonts w:cs="Times New Roman"/>
          <w:lang w:val="fr-CA"/>
        </w:rPr>
        <w:t xml:space="preserve"> qui contrevient à une disposition de la présente partie » commet une infraction et encourt les sanctions générales prévues à l’</w:t>
      </w:r>
      <w:r>
        <w:rPr>
          <w:rFonts w:cs="Times New Roman"/>
          <w:lang w:val="fr-CA"/>
        </w:rPr>
        <w:t>art. </w:t>
      </w:r>
      <w:r w:rsidRPr="007B78C8">
        <w:rPr>
          <w:rFonts w:cs="Times New Roman"/>
          <w:lang w:val="fr-CA"/>
        </w:rPr>
        <w:t xml:space="preserve">217. </w:t>
      </w:r>
      <w:r w:rsidRPr="007B78C8">
        <w:rPr>
          <w:rFonts w:cs="Times New Roman"/>
          <w:lang w:val="fr-CA"/>
        </w:rPr>
        <w:lastRenderedPageBreak/>
        <w:t>« [L]</w:t>
      </w:r>
      <w:proofErr w:type="spellStart"/>
      <w:r w:rsidRPr="007B78C8">
        <w:rPr>
          <w:rFonts w:cs="Times New Roman"/>
          <w:lang w:val="fr-CA"/>
        </w:rPr>
        <w:t>orsque</w:t>
      </w:r>
      <w:proofErr w:type="spellEnd"/>
      <w:r w:rsidRPr="007B78C8">
        <w:rPr>
          <w:rFonts w:cs="Times New Roman"/>
          <w:lang w:val="fr-CA"/>
        </w:rPr>
        <w:t xml:space="preserve"> des termes différents sont employés dans un même texte législatif, il faut considérer qu’ils ont un sens différent. Il faut tenir pour acquis que le législateur a délibérément choisi des termes différents dans le but d’indiquer un sens différent » (</w:t>
      </w:r>
      <w:proofErr w:type="spellStart"/>
      <w:r w:rsidRPr="007B78C8">
        <w:rPr>
          <w:rFonts w:cs="Times New Roman"/>
          <w:i/>
          <w:lang w:val="fr-CA"/>
        </w:rPr>
        <w:t>Agraira</w:t>
      </w:r>
      <w:proofErr w:type="spellEnd"/>
      <w:r w:rsidRPr="007B78C8">
        <w:rPr>
          <w:rFonts w:cs="Times New Roman"/>
          <w:i/>
          <w:lang w:val="fr-CA"/>
        </w:rPr>
        <w:t xml:space="preserve"> c. Canada (Sécurité publique et Protection civile)</w:t>
      </w:r>
      <w:r w:rsidRPr="007B78C8">
        <w:rPr>
          <w:rFonts w:cs="Times New Roman"/>
          <w:lang w:val="fr-CA"/>
        </w:rPr>
        <w:t xml:space="preserve">, 2013 CSC 36, [2013] 2 R.C.S. 559, </w:t>
      </w:r>
      <w:r>
        <w:rPr>
          <w:rFonts w:cs="Times New Roman"/>
          <w:lang w:val="fr-CA"/>
        </w:rPr>
        <w:t>par. </w:t>
      </w:r>
      <w:r w:rsidRPr="007B78C8">
        <w:rPr>
          <w:rFonts w:cs="Times New Roman"/>
          <w:lang w:val="fr-CA"/>
        </w:rPr>
        <w:t xml:space="preserve">81). L’interprétation du Tribunal ne tient pas compte des termes choisis et considère le </w:t>
      </w:r>
      <w:r>
        <w:rPr>
          <w:rFonts w:cs="Times New Roman"/>
          <w:lang w:val="fr-CA"/>
        </w:rPr>
        <w:t>par. </w:t>
      </w:r>
      <w:r w:rsidRPr="007B78C8">
        <w:rPr>
          <w:rFonts w:cs="Times New Roman"/>
          <w:lang w:val="fr-CA"/>
        </w:rPr>
        <w:t xml:space="preserve">196(1) comme si son libellé était identique à ceux du </w:t>
      </w:r>
      <w:r>
        <w:rPr>
          <w:rFonts w:cs="Times New Roman"/>
          <w:lang w:val="fr-CA"/>
        </w:rPr>
        <w:t>par. </w:t>
      </w:r>
      <w:r w:rsidRPr="007B78C8">
        <w:rPr>
          <w:rFonts w:cs="Times New Roman"/>
          <w:lang w:val="fr-CA"/>
        </w:rPr>
        <w:t>213(1) et de l’</w:t>
      </w:r>
      <w:r>
        <w:rPr>
          <w:rFonts w:cs="Times New Roman"/>
          <w:lang w:val="fr-CA"/>
        </w:rPr>
        <w:t>art. </w:t>
      </w:r>
      <w:r w:rsidRPr="007B78C8">
        <w:rPr>
          <w:rFonts w:cs="Times New Roman"/>
          <w:lang w:val="fr-CA"/>
        </w:rPr>
        <w:t>217.</w:t>
      </w:r>
    </w:p>
    <w:p w:rsidR="00E70F7D" w:rsidRPr="007B78C8" w:rsidRDefault="00E70F7D" w:rsidP="00E70F7D">
      <w:pPr>
        <w:pStyle w:val="ParaNoNdepar-AltN"/>
        <w:rPr>
          <w:rFonts w:cs="Times New Roman"/>
          <w:lang w:val="fr-CA"/>
        </w:rPr>
      </w:pPr>
      <w:r w:rsidRPr="007B78C8">
        <w:rPr>
          <w:rFonts w:cs="Times New Roman"/>
          <w:lang w:val="fr-CA"/>
        </w:rPr>
        <w:t>Quatrièmement, un examen plus approfondi de l’</w:t>
      </w:r>
      <w:r>
        <w:rPr>
          <w:rFonts w:cs="Times New Roman"/>
          <w:lang w:val="fr-CA"/>
        </w:rPr>
        <w:t>art. </w:t>
      </w:r>
      <w:r w:rsidRPr="007B78C8">
        <w:rPr>
          <w:rFonts w:cs="Times New Roman"/>
          <w:lang w:val="fr-CA"/>
        </w:rPr>
        <w:t>196 confirme que le terme « employeur » n’y est pas employé fortuitement puisqu’il est repris dans chacune des autres dispositions au lieu des termes « personne » ou « propriétaire ». Par exemple, les dispositions relatives à la défense de diligence raisonnable (</w:t>
      </w:r>
      <w:r>
        <w:rPr>
          <w:rFonts w:cs="Times New Roman"/>
          <w:lang w:val="fr-CA"/>
        </w:rPr>
        <w:t>par. </w:t>
      </w:r>
      <w:r w:rsidRPr="007B78C8">
        <w:rPr>
          <w:rFonts w:cs="Times New Roman"/>
          <w:lang w:val="fr-CA"/>
        </w:rPr>
        <w:t>196(3)), à la procédure de révision (</w:t>
      </w:r>
      <w:r>
        <w:rPr>
          <w:rFonts w:cs="Times New Roman"/>
          <w:lang w:val="fr-CA"/>
        </w:rPr>
        <w:t>par. </w:t>
      </w:r>
      <w:r w:rsidRPr="007B78C8">
        <w:rPr>
          <w:rFonts w:cs="Times New Roman"/>
          <w:lang w:val="fr-CA"/>
        </w:rPr>
        <w:t>196(4)) et au mode de paiement (</w:t>
      </w:r>
      <w:r>
        <w:rPr>
          <w:rFonts w:cs="Times New Roman"/>
          <w:lang w:val="fr-CA"/>
        </w:rPr>
        <w:t>par. </w:t>
      </w:r>
      <w:r w:rsidRPr="007B78C8">
        <w:rPr>
          <w:rFonts w:cs="Times New Roman"/>
          <w:lang w:val="fr-CA"/>
        </w:rPr>
        <w:t xml:space="preserve">196(5)) renvoient toutes à « l’employeur » ou à « un employeur ». Le raisonnement des juges majoritaires en l’espèce revient en fait à réécrire ces dispositions. </w:t>
      </w:r>
    </w:p>
    <w:p w:rsidR="00E70F7D" w:rsidRPr="007B78C8" w:rsidRDefault="00E70F7D" w:rsidP="00E70F7D">
      <w:pPr>
        <w:pStyle w:val="ParaNoNdepar-AltN"/>
        <w:rPr>
          <w:rFonts w:cs="Times New Roman"/>
          <w:lang w:val="fr-CA"/>
        </w:rPr>
      </w:pPr>
      <w:r w:rsidRPr="007B78C8">
        <w:rPr>
          <w:rFonts w:cs="Times New Roman"/>
          <w:lang w:val="fr-CA"/>
        </w:rPr>
        <w:t xml:space="preserve">Cinquièmement, comme je l’indique précédemment (aux </w:t>
      </w:r>
      <w:r>
        <w:rPr>
          <w:rFonts w:cs="Times New Roman"/>
          <w:lang w:val="fr-CA"/>
        </w:rPr>
        <w:t>par. </w:t>
      </w:r>
      <w:r w:rsidRPr="007B78C8">
        <w:rPr>
          <w:rFonts w:cs="Times New Roman"/>
          <w:lang w:val="fr-CA"/>
        </w:rPr>
        <w:t xml:space="preserve">79 à 85), puisqu’elle crée des catégories distinctes d’obligations pour le propriétaire et pour l’employeur, la Loi se concilie avec le régime législatif dans sa globalité en ce qui a trait à certaines mesures réparatrices — en l’occurrence, la sanction administrative — qui ne s’appliquent qu’au manquement à certaines obligations, à l’exclusion du manquement aux autres. </w:t>
      </w:r>
    </w:p>
    <w:p w:rsidR="00E70F7D" w:rsidRPr="007B78C8" w:rsidRDefault="00E70F7D" w:rsidP="00E70F7D">
      <w:pPr>
        <w:pStyle w:val="ParaNoNdepar-AltN"/>
        <w:rPr>
          <w:rFonts w:cs="Times New Roman"/>
          <w:lang w:val="fr-CA"/>
        </w:rPr>
      </w:pPr>
      <w:r w:rsidRPr="007B78C8">
        <w:rPr>
          <w:rFonts w:cs="Times New Roman"/>
          <w:lang w:val="fr-CA"/>
        </w:rPr>
        <w:lastRenderedPageBreak/>
        <w:t xml:space="preserve">Le fait que West Fraser est </w:t>
      </w:r>
      <w:r w:rsidRPr="007B78C8">
        <w:rPr>
          <w:rFonts w:cs="Times New Roman"/>
          <w:i/>
          <w:lang w:val="fr-CA"/>
        </w:rPr>
        <w:t xml:space="preserve">un </w:t>
      </w:r>
      <w:r w:rsidRPr="007B78C8">
        <w:rPr>
          <w:rFonts w:cs="Times New Roman"/>
          <w:lang w:val="fr-CA"/>
        </w:rPr>
        <w:t>employeur dans la province, voire même dans le lieu de travail visé en l’espèce, bien qu’il n’ait pas été l’employeur de l’abatteur décédé, n’appuie pas la thèse du Tribun</w:t>
      </w:r>
      <w:r>
        <w:rPr>
          <w:rFonts w:cs="Times New Roman"/>
          <w:lang w:val="fr-CA"/>
        </w:rPr>
        <w:t>al. </w:t>
      </w:r>
      <w:r w:rsidRPr="007B78C8">
        <w:rPr>
          <w:rFonts w:cs="Times New Roman"/>
          <w:lang w:val="fr-CA"/>
        </w:rPr>
        <w:t xml:space="preserve">West Fraser s’est vu reprocher le manquement à ses obligations </w:t>
      </w:r>
      <w:r w:rsidRPr="007B78C8">
        <w:rPr>
          <w:rFonts w:cs="Times New Roman"/>
          <w:i/>
          <w:lang w:val="fr-CA"/>
        </w:rPr>
        <w:t>à titre de propriétaire</w:t>
      </w:r>
      <w:r w:rsidRPr="007B78C8">
        <w:rPr>
          <w:rFonts w:cs="Times New Roman"/>
          <w:lang w:val="fr-CA"/>
        </w:rPr>
        <w:t xml:space="preserve"> sur le fondement du </w:t>
      </w:r>
      <w:r>
        <w:rPr>
          <w:rFonts w:cs="Times New Roman"/>
          <w:lang w:val="fr-CA"/>
        </w:rPr>
        <w:t>par. </w:t>
      </w:r>
      <w:r w:rsidRPr="007B78C8">
        <w:rPr>
          <w:rFonts w:cs="Times New Roman"/>
          <w:lang w:val="fr-CA"/>
        </w:rPr>
        <w:t>26.2(1) du Règlement. Elle n’a pas été accusée en tant qu’</w:t>
      </w:r>
      <w:r w:rsidRPr="007B78C8">
        <w:rPr>
          <w:rFonts w:cs="Times New Roman"/>
          <w:i/>
          <w:lang w:val="fr-CA"/>
        </w:rPr>
        <w:t xml:space="preserve">employeur </w:t>
      </w:r>
      <w:r w:rsidRPr="007B78C8">
        <w:rPr>
          <w:rFonts w:cs="Times New Roman"/>
          <w:lang w:val="fr-CA"/>
        </w:rPr>
        <w:t xml:space="preserve">d’un surveillant qui se trouvait temporairement dans le lieu de travail, d’avoir manqué à une obligation qui lui incombait à ce titre. Le Tribunal n’a pas simplement choisi entre une « interprétation étroite » et une « interprétation large » de la Loi (motifs de la juge en chef McLachlin, </w:t>
      </w:r>
      <w:r>
        <w:rPr>
          <w:rFonts w:cs="Times New Roman"/>
          <w:lang w:val="fr-CA"/>
        </w:rPr>
        <w:t>par. </w:t>
      </w:r>
      <w:r w:rsidRPr="007B78C8">
        <w:rPr>
          <w:rFonts w:cs="Times New Roman"/>
          <w:lang w:val="fr-CA"/>
        </w:rPr>
        <w:t xml:space="preserve">40). Il a plutôt opté pour une interprétation non délimitée, une interprétation qui revêt un caractère manifestement déraisonnable « que l’on ne peut contester, qui est tout à fait </w:t>
      </w:r>
      <w:proofErr w:type="spellStart"/>
      <w:r w:rsidRPr="007B78C8">
        <w:rPr>
          <w:rFonts w:cs="Times New Roman"/>
          <w:lang w:val="fr-CA"/>
        </w:rPr>
        <w:t>éviden</w:t>
      </w:r>
      <w:proofErr w:type="spellEnd"/>
      <w:r w:rsidRPr="007B78C8">
        <w:rPr>
          <w:rFonts w:cs="Times New Roman"/>
          <w:lang w:val="fr-CA"/>
        </w:rPr>
        <w:t>[t]</w:t>
      </w:r>
      <w:r w:rsidR="0053219E">
        <w:rPr>
          <w:rFonts w:cs="Times New Roman"/>
          <w:lang w:val="fr-CA"/>
        </w:rPr>
        <w:t> </w:t>
      </w:r>
      <w:r w:rsidRPr="007B78C8">
        <w:rPr>
          <w:rFonts w:cs="Times New Roman"/>
          <w:lang w:val="fr-CA"/>
        </w:rPr>
        <w:t>» parce qu’elle n’établit aucun lien entre le manquement sous</w:t>
      </w:r>
      <w:r>
        <w:rPr>
          <w:rFonts w:cs="Times New Roman"/>
          <w:lang w:val="fr-CA"/>
        </w:rPr>
        <w:noBreakHyphen/>
      </w:r>
      <w:r w:rsidRPr="007B78C8">
        <w:rPr>
          <w:rFonts w:cs="Times New Roman"/>
          <w:lang w:val="fr-CA"/>
        </w:rPr>
        <w:t xml:space="preserve">jacent (aux obligations de West Fraser en tant que </w:t>
      </w:r>
      <w:r w:rsidRPr="007B78C8">
        <w:rPr>
          <w:rFonts w:cs="Times New Roman"/>
          <w:i/>
          <w:lang w:val="fr-CA"/>
        </w:rPr>
        <w:t xml:space="preserve">propriétaire </w:t>
      </w:r>
      <w:r w:rsidRPr="007B78C8">
        <w:rPr>
          <w:rFonts w:cs="Times New Roman"/>
          <w:lang w:val="fr-CA"/>
        </w:rPr>
        <w:t xml:space="preserve">suivant le </w:t>
      </w:r>
      <w:r>
        <w:rPr>
          <w:rFonts w:cs="Times New Roman"/>
          <w:lang w:val="fr-CA"/>
        </w:rPr>
        <w:t>par. </w:t>
      </w:r>
      <w:r w:rsidRPr="007B78C8">
        <w:rPr>
          <w:rFonts w:cs="Times New Roman"/>
          <w:lang w:val="fr-CA"/>
        </w:rPr>
        <w:t>26.2(1)) et l’applicabilité de la sanction administrative (en cas d’infraction au Règlement ou à la Loi en tant qu’</w:t>
      </w:r>
      <w:r w:rsidRPr="007B78C8">
        <w:rPr>
          <w:rFonts w:cs="Times New Roman"/>
          <w:i/>
          <w:lang w:val="fr-CA"/>
        </w:rPr>
        <w:t>employeur</w:t>
      </w:r>
      <w:r w:rsidRPr="007B78C8">
        <w:rPr>
          <w:rFonts w:cs="Times New Roman"/>
          <w:lang w:val="fr-CA"/>
        </w:rPr>
        <w:t>, comme indiqué précédemment). Pour qu’une sanction administrative puisse être imposée, l’inobservation sous</w:t>
      </w:r>
      <w:r>
        <w:rPr>
          <w:rFonts w:cs="Times New Roman"/>
          <w:lang w:val="fr-CA"/>
        </w:rPr>
        <w:noBreakHyphen/>
      </w:r>
      <w:r w:rsidRPr="007B78C8">
        <w:rPr>
          <w:rFonts w:cs="Times New Roman"/>
          <w:lang w:val="fr-CA"/>
        </w:rPr>
        <w:t xml:space="preserve">jacente doit s’être produite pendant que l’entité agissait en tant qu’employeur. Ce n’est pas le cas en l’espèce. </w:t>
      </w:r>
    </w:p>
    <w:p w:rsidR="00E70F7D" w:rsidRPr="007B78C8" w:rsidRDefault="00E70F7D" w:rsidP="00E70F7D">
      <w:pPr>
        <w:pStyle w:val="ParaNoNdepar-AltN"/>
        <w:rPr>
          <w:rFonts w:cs="Times New Roman"/>
          <w:lang w:val="fr-CA"/>
        </w:rPr>
      </w:pPr>
      <w:r w:rsidRPr="007B78C8">
        <w:rPr>
          <w:rFonts w:cs="Times New Roman"/>
          <w:lang w:val="fr-CA"/>
        </w:rPr>
        <w:t xml:space="preserve">Le raisonnement du Tribunal veut que tout propriétaire s’expose à une sanction administrative dans le cadre de ses activités d’exploitation forestière. Examinons l’effet de sa conclusion sur la responsabilité à la lumière de son interprétation du </w:t>
      </w:r>
      <w:r>
        <w:rPr>
          <w:rFonts w:cs="Times New Roman"/>
          <w:lang w:val="fr-CA"/>
        </w:rPr>
        <w:t>par. </w:t>
      </w:r>
      <w:r w:rsidRPr="007B78C8">
        <w:rPr>
          <w:rFonts w:cs="Times New Roman"/>
          <w:lang w:val="fr-CA"/>
        </w:rPr>
        <w:t xml:space="preserve">196(1). Quant à la responsabilité, </w:t>
      </w:r>
      <w:r w:rsidR="00664D64">
        <w:rPr>
          <w:rFonts w:cs="Times New Roman"/>
          <w:lang w:val="fr-CA"/>
        </w:rPr>
        <w:t>le Tribunal</w:t>
      </w:r>
      <w:r w:rsidRPr="007B78C8">
        <w:rPr>
          <w:rFonts w:cs="Times New Roman"/>
          <w:lang w:val="fr-CA"/>
        </w:rPr>
        <w:t xml:space="preserve"> a blâmé West Fraser parce que son surveillant n’avait pas pris de mesures raisonnables pour documenter les risques éventuels au deuxième lieu de travail (motifs du Tribunal, </w:t>
      </w:r>
      <w:r>
        <w:rPr>
          <w:rFonts w:cs="Times New Roman"/>
          <w:lang w:val="fr-CA"/>
        </w:rPr>
        <w:t>par. </w:t>
      </w:r>
      <w:r w:rsidRPr="007B78C8">
        <w:rPr>
          <w:rFonts w:cs="Times New Roman"/>
          <w:lang w:val="fr-CA"/>
        </w:rPr>
        <w:t xml:space="preserve">72). Ainsi, pour </w:t>
      </w:r>
      <w:r w:rsidRPr="007B78C8">
        <w:rPr>
          <w:rFonts w:cs="Times New Roman"/>
          <w:lang w:val="fr-CA"/>
        </w:rPr>
        <w:lastRenderedPageBreak/>
        <w:t xml:space="preserve">se conformer au droit applicable, le propriétaire d’une entreprise d’exploitation forestière doit s’assurer de la présence d’un employé sur le lieu de travail. Or, ce faisant, il s’expose nécessairement à une sanction administrative, car la présence d’un surveillant fait de lui un « employeur » selon l’interprétation du </w:t>
      </w:r>
      <w:r>
        <w:rPr>
          <w:rFonts w:cs="Times New Roman"/>
          <w:lang w:val="fr-CA"/>
        </w:rPr>
        <w:t>par. </w:t>
      </w:r>
      <w:r w:rsidRPr="007B78C8">
        <w:rPr>
          <w:rFonts w:cs="Times New Roman"/>
          <w:lang w:val="fr-CA"/>
        </w:rPr>
        <w:t>196(1) retenue par le Tribun</w:t>
      </w:r>
      <w:r>
        <w:rPr>
          <w:rFonts w:cs="Times New Roman"/>
          <w:lang w:val="fr-CA"/>
        </w:rPr>
        <w:t xml:space="preserve">al. </w:t>
      </w:r>
      <w:r w:rsidRPr="007B78C8">
        <w:rPr>
          <w:rFonts w:cs="Times New Roman"/>
          <w:lang w:val="fr-CA"/>
        </w:rPr>
        <w:t xml:space="preserve">Dès lors, tout propriétaire d’une entreprise d’exploitation forestière qui se conforme à la loi, et non seulement West Fraser dans la présente affaire, est passible d’une sanction administrative. La portée de cette interprétation démontre que le Tribunal réécrit effectivement le </w:t>
      </w:r>
      <w:r>
        <w:rPr>
          <w:rFonts w:cs="Times New Roman"/>
          <w:lang w:val="fr-CA"/>
        </w:rPr>
        <w:t>par. </w:t>
      </w:r>
      <w:r w:rsidRPr="007B78C8">
        <w:rPr>
          <w:rFonts w:cs="Times New Roman"/>
          <w:lang w:val="fr-CA"/>
        </w:rPr>
        <w:t xml:space="preserve">196(1) et y remplace le mot « employeur » par le mot « personne ». Il modifie ainsi en profondeur le régime de responsabilité soigneusement conçu par le législateur, vidant essentiellement de leur sens la distinction entre le propriétaire et l’employeur et, en particulier, l’emploi du terme « employeur » au </w:t>
      </w:r>
      <w:r>
        <w:rPr>
          <w:rFonts w:cs="Times New Roman"/>
          <w:lang w:val="fr-CA"/>
        </w:rPr>
        <w:t>par. </w:t>
      </w:r>
      <w:r w:rsidRPr="007B78C8">
        <w:rPr>
          <w:rFonts w:cs="Times New Roman"/>
          <w:lang w:val="fr-CA"/>
        </w:rPr>
        <w:t>196(1).</w:t>
      </w:r>
    </w:p>
    <w:p w:rsidR="00E70F7D" w:rsidRPr="007B78C8" w:rsidRDefault="00E70F7D" w:rsidP="00E70F7D">
      <w:pPr>
        <w:pStyle w:val="ParaNoNdepar-AltN"/>
        <w:rPr>
          <w:rFonts w:cs="Times New Roman"/>
          <w:lang w:val="fr-CA"/>
        </w:rPr>
      </w:pPr>
      <w:r w:rsidRPr="007B78C8">
        <w:rPr>
          <w:rFonts w:cs="Times New Roman"/>
          <w:lang w:val="fr-CA"/>
        </w:rPr>
        <w:t xml:space="preserve">À mon avis, l’analyse qui précède ne constitue pas seulement une « interprétation plausible, mais étroite » du </w:t>
      </w:r>
      <w:r>
        <w:rPr>
          <w:rFonts w:cs="Times New Roman"/>
          <w:lang w:val="fr-CA"/>
        </w:rPr>
        <w:t>par. </w:t>
      </w:r>
      <w:r w:rsidRPr="007B78C8">
        <w:rPr>
          <w:rFonts w:cs="Times New Roman"/>
          <w:lang w:val="fr-CA"/>
        </w:rPr>
        <w:t xml:space="preserve">196(1) (motifs de la juge en chef McLachlin, </w:t>
      </w:r>
      <w:r>
        <w:rPr>
          <w:rFonts w:cs="Times New Roman"/>
          <w:lang w:val="fr-CA"/>
        </w:rPr>
        <w:t>par. </w:t>
      </w:r>
      <w:r w:rsidRPr="007B78C8">
        <w:rPr>
          <w:rFonts w:cs="Times New Roman"/>
          <w:lang w:val="fr-CA"/>
        </w:rPr>
        <w:t xml:space="preserve">37). C’est la </w:t>
      </w:r>
      <w:r w:rsidRPr="007B78C8">
        <w:rPr>
          <w:rFonts w:cs="Times New Roman"/>
          <w:i/>
          <w:lang w:val="fr-CA"/>
        </w:rPr>
        <w:t>seule</w:t>
      </w:r>
      <w:r w:rsidRPr="007B78C8">
        <w:rPr>
          <w:rFonts w:cs="Times New Roman"/>
          <w:lang w:val="fr-CA"/>
        </w:rPr>
        <w:t xml:space="preserve"> interprétation possible. La conclusion du Tribunal est manifestement déraisonnable parce qu’elle ne tient pas compte — et va en fait expressément à l’encontre — du libellé clair et non équivoque du </w:t>
      </w:r>
      <w:r>
        <w:rPr>
          <w:rFonts w:cs="Times New Roman"/>
          <w:lang w:val="fr-CA"/>
        </w:rPr>
        <w:t>par. </w:t>
      </w:r>
      <w:r w:rsidRPr="007B78C8">
        <w:rPr>
          <w:rFonts w:cs="Times New Roman"/>
          <w:lang w:val="fr-CA"/>
        </w:rPr>
        <w:t>196(1). La décision d’un tribunal administratif qui va à l’encontre du sens clair d’une disposition législative est manifestement déraisonnable. Le caractère manifestement déraisonnable d’une décision est encore plus évident lorsque, comme en l’espèce, l’interprétation clairement erronée du tribunal administratif contredit et mine le régime législatif génér</w:t>
      </w:r>
      <w:r>
        <w:rPr>
          <w:rFonts w:cs="Times New Roman"/>
          <w:lang w:val="fr-CA"/>
        </w:rPr>
        <w:t>al. </w:t>
      </w:r>
    </w:p>
    <w:p w:rsidR="00E70F7D" w:rsidRPr="007B78C8" w:rsidRDefault="00E70F7D" w:rsidP="00E70F7D">
      <w:pPr>
        <w:pStyle w:val="ParaNoNdepar-AltN"/>
        <w:rPr>
          <w:rFonts w:cs="Times New Roman"/>
          <w:lang w:val="fr-CA"/>
        </w:rPr>
      </w:pPr>
      <w:r w:rsidRPr="007B78C8">
        <w:rPr>
          <w:rFonts w:cs="Times New Roman"/>
          <w:lang w:val="fr-CA"/>
        </w:rPr>
        <w:lastRenderedPageBreak/>
        <w:t xml:space="preserve">Il ne suffit pas d’affirmer que l’interprétation du Tribunal est celle qui « permet le plus la réalisation de l’objectif de la loi de favoriser la santé et la sécurité au travail et de prévenir de futurs accidents » (motifs de la juge en chef McLachlin, </w:t>
      </w:r>
      <w:r>
        <w:rPr>
          <w:rFonts w:cs="Times New Roman"/>
          <w:lang w:val="fr-CA"/>
        </w:rPr>
        <w:t>par. </w:t>
      </w:r>
      <w:r w:rsidRPr="007B78C8">
        <w:rPr>
          <w:rFonts w:cs="Times New Roman"/>
          <w:lang w:val="fr-CA"/>
        </w:rPr>
        <w:t xml:space="preserve">43). Le législateur a pu vouloir atteindre cet objectif, mais les moyens adoptés en ce sens — et qui ressortent du </w:t>
      </w:r>
      <w:r>
        <w:rPr>
          <w:rFonts w:cs="Times New Roman"/>
          <w:lang w:val="fr-CA"/>
        </w:rPr>
        <w:t>par. </w:t>
      </w:r>
      <w:r w:rsidRPr="007B78C8">
        <w:rPr>
          <w:rFonts w:cs="Times New Roman"/>
          <w:lang w:val="fr-CA"/>
        </w:rPr>
        <w:t>196(1) — sont limités. Conclure que toute interprétation qui, selon le Tribunal, promeut l’objectif de favoriser la santé et la sécurité au travail peut résister à un contrôle suivant la norme de la décision manifestement déraisonnable revient à vider de son sens la notion de contrôle judiciaire. L’application de la norme de la décision manifestement déraisonnable peut commander une grande déférence, mais certaines interprétations de la loi dépassent tellement les bornes qu’elles ne sauraient être maintenues.</w:t>
      </w:r>
    </w:p>
    <w:p w:rsidR="00E70F7D" w:rsidRPr="007B78C8" w:rsidRDefault="00E70F7D" w:rsidP="00E70F7D">
      <w:pPr>
        <w:pStyle w:val="ParaNoNdepar-AltN"/>
        <w:rPr>
          <w:rFonts w:cs="Times New Roman"/>
          <w:lang w:val="fr-CA"/>
        </w:rPr>
      </w:pPr>
      <w:r w:rsidRPr="007B78C8">
        <w:rPr>
          <w:rFonts w:cs="Times New Roman"/>
          <w:lang w:val="fr-CA"/>
        </w:rPr>
        <w:t xml:space="preserve">Et il n’est même pas certain que l’interprétation du Tribunal soit celle qui permet </w:t>
      </w:r>
      <w:r w:rsidRPr="007B78C8">
        <w:rPr>
          <w:rFonts w:cs="Times New Roman"/>
          <w:i/>
          <w:lang w:val="fr-CA"/>
        </w:rPr>
        <w:t>effectivement</w:t>
      </w:r>
      <w:r w:rsidRPr="007B78C8">
        <w:rPr>
          <w:rFonts w:cs="Times New Roman"/>
          <w:lang w:val="fr-CA"/>
        </w:rPr>
        <w:t xml:space="preserve"> le plus la réalisation de l’objectif de sécurité au travail. Suivant cette interprétation, West Fraser aurait pu échapper à la sanction administrative en n’affectant tout simplement pas un surveillant au lieu de travail, ce qui, de toute évidence, n’aurait pas été de nature à favoriser la santé et la sécurité. En outre, la Commission aurait pu prendre à l’égard de West Fraser une autre mesure que l’imposition d’une sanction administrative. La Loi en prévoit d’autres, mais les juges majoritaires n’en examinent aucune. L’affirmation selon laquelle l’interprétation du Tribunal est celle qui permet le plus la réalisation des objectifs de la Loi est à tout le moins à la fois non vérifiée et incertaine. Le seul fait que le Tribunal avance cette </w:t>
      </w:r>
      <w:r w:rsidRPr="007B78C8">
        <w:rPr>
          <w:rFonts w:cs="Times New Roman"/>
          <w:lang w:val="fr-CA"/>
        </w:rPr>
        <w:lastRenderedPageBreak/>
        <w:t>justification ne saurait être suffisant pour qu’on défère aveuglément à son interprétation de la Loi.</w:t>
      </w:r>
    </w:p>
    <w:p w:rsidR="00E70F7D" w:rsidRPr="007B78C8" w:rsidRDefault="00E70F7D" w:rsidP="00E70F7D">
      <w:pPr>
        <w:pStyle w:val="ParaNoNdepar-AltN"/>
        <w:rPr>
          <w:rFonts w:cs="Times New Roman"/>
          <w:lang w:val="fr-CA"/>
        </w:rPr>
      </w:pPr>
      <w:r w:rsidRPr="007B78C8">
        <w:rPr>
          <w:rFonts w:cs="Times New Roman"/>
          <w:lang w:val="fr-CA"/>
        </w:rPr>
        <w:t xml:space="preserve">Enfin, les juges majoritaires laissent entendre que l’imposition d’une sanction administrative à West Fraser pourrait avoir un autre fondement que l’infraction au </w:t>
      </w:r>
      <w:r>
        <w:rPr>
          <w:rFonts w:cs="Times New Roman"/>
          <w:lang w:val="fr-CA"/>
        </w:rPr>
        <w:t>par. </w:t>
      </w:r>
      <w:r w:rsidRPr="007B78C8">
        <w:rPr>
          <w:rFonts w:cs="Times New Roman"/>
          <w:lang w:val="fr-CA"/>
        </w:rPr>
        <w:t>26.2(1) du Règlement. C’est faire totalement abstraction de ce qui s’est produit dans la présente affaire. Les faits révélés par le dossier sont clairs</w:t>
      </w:r>
      <w:r w:rsidR="00664D64">
        <w:rPr>
          <w:rFonts w:cs="Times New Roman"/>
          <w:lang w:val="fr-CA"/>
        </w:rPr>
        <w:t> </w:t>
      </w:r>
      <w:r w:rsidRPr="007B78C8">
        <w:rPr>
          <w:rFonts w:cs="Times New Roman"/>
          <w:lang w:val="fr-CA"/>
        </w:rPr>
        <w:t xml:space="preserve">: les </w:t>
      </w:r>
      <w:r w:rsidRPr="007B78C8">
        <w:rPr>
          <w:rFonts w:cs="Times New Roman"/>
          <w:i/>
          <w:lang w:val="fr-CA"/>
        </w:rPr>
        <w:t>seules</w:t>
      </w:r>
      <w:r w:rsidRPr="007B78C8">
        <w:rPr>
          <w:rFonts w:cs="Times New Roman"/>
          <w:lang w:val="fr-CA"/>
        </w:rPr>
        <w:t xml:space="preserve"> infractions règlementaires invoquées par la Commission à l’appui de sa décision d’imposer une sanction administrative visent l’</w:t>
      </w:r>
      <w:r>
        <w:rPr>
          <w:rFonts w:cs="Times New Roman"/>
          <w:lang w:val="fr-CA"/>
        </w:rPr>
        <w:t>art. </w:t>
      </w:r>
      <w:r w:rsidRPr="007B78C8">
        <w:rPr>
          <w:rFonts w:cs="Times New Roman"/>
          <w:lang w:val="fr-CA"/>
        </w:rPr>
        <w:t xml:space="preserve">26.2, lequel énonce des obligations qui, je le rappelle, ne sont imposées qu’au </w:t>
      </w:r>
      <w:r w:rsidRPr="007B78C8">
        <w:rPr>
          <w:rFonts w:cs="Times New Roman"/>
          <w:i/>
          <w:lang w:val="fr-CA"/>
        </w:rPr>
        <w:t>propriétaire</w:t>
      </w:r>
      <w:r w:rsidRPr="007B78C8">
        <w:rPr>
          <w:rFonts w:cs="Times New Roman"/>
          <w:lang w:val="fr-CA"/>
        </w:rPr>
        <w:t xml:space="preserve">. Il n’y a pas non plus de conclusion indépendante selon laquelle West Fraser a omis de prévenir les lésions professionnelles ou n’a pas assuré la sécurité du lieu de travail en plus de contrevenir au </w:t>
      </w:r>
      <w:r>
        <w:rPr>
          <w:rFonts w:cs="Times New Roman"/>
          <w:lang w:val="fr-CA"/>
        </w:rPr>
        <w:t>par. </w:t>
      </w:r>
      <w:r w:rsidRPr="007B78C8">
        <w:rPr>
          <w:rFonts w:cs="Times New Roman"/>
          <w:lang w:val="fr-CA"/>
        </w:rPr>
        <w:t>26.2(1). Les motifs du Tribunal, qui s’attachent à la perpétration de l’infraction pour confirmer la sanction administrative, vont dans le même sens [</w:t>
      </w:r>
      <w:r w:rsidRPr="007B78C8">
        <w:rPr>
          <w:rFonts w:cs="Times New Roman"/>
          <w:smallCaps/>
          <w:lang w:val="fr-CA"/>
        </w:rPr>
        <w:t>traduction</w:t>
      </w:r>
      <w:r w:rsidRPr="007B78C8">
        <w:rPr>
          <w:rFonts w:cs="Times New Roman"/>
          <w:lang w:val="fr-CA"/>
        </w:rPr>
        <w:t>]</w:t>
      </w:r>
      <w:r>
        <w:rPr>
          <w:rFonts w:cs="Times New Roman"/>
          <w:lang w:val="fr-CA"/>
        </w:rPr>
        <w:t> :</w:t>
      </w:r>
      <w:r w:rsidRPr="007B78C8">
        <w:rPr>
          <w:rFonts w:cs="Times New Roman"/>
          <w:lang w:val="fr-CA"/>
        </w:rPr>
        <w:t xml:space="preserve"> « </w:t>
      </w:r>
      <w:r w:rsidRPr="007B78C8">
        <w:rPr>
          <w:rFonts w:cs="Times New Roman"/>
          <w:u w:val="single"/>
          <w:lang w:val="fr-CA"/>
        </w:rPr>
        <w:t xml:space="preserve">L’infraction de [West Fraser] au </w:t>
      </w:r>
      <w:r>
        <w:rPr>
          <w:rFonts w:cs="Times New Roman"/>
          <w:u w:val="single"/>
          <w:lang w:val="fr-CA"/>
        </w:rPr>
        <w:t>par. </w:t>
      </w:r>
      <w:r w:rsidRPr="007B78C8">
        <w:rPr>
          <w:rFonts w:cs="Times New Roman"/>
          <w:u w:val="single"/>
          <w:lang w:val="fr-CA"/>
        </w:rPr>
        <w:t>26.2(1) du Règlement permet</w:t>
      </w:r>
      <w:r w:rsidRPr="007B78C8">
        <w:rPr>
          <w:rFonts w:cs="Times New Roman"/>
          <w:lang w:val="fr-CA"/>
        </w:rPr>
        <w:t xml:space="preserve"> de conclure que [West Fraser] a omis de prendre des précautions suffisantes pour prévenir les lésions professionnelles » (</w:t>
      </w:r>
      <w:r>
        <w:rPr>
          <w:rFonts w:cs="Times New Roman"/>
          <w:lang w:val="fr-CA"/>
        </w:rPr>
        <w:t>par. </w:t>
      </w:r>
      <w:r w:rsidRPr="007B78C8">
        <w:rPr>
          <w:rFonts w:cs="Times New Roman"/>
          <w:lang w:val="fr-CA"/>
        </w:rPr>
        <w:t xml:space="preserve">96 (je souligne)). </w:t>
      </w:r>
    </w:p>
    <w:p w:rsidR="00E70F7D" w:rsidRPr="007B78C8" w:rsidRDefault="00E70F7D" w:rsidP="00E70F7D">
      <w:pPr>
        <w:pStyle w:val="ParaNoNdepar-AltN"/>
        <w:rPr>
          <w:rFonts w:cs="Times New Roman"/>
          <w:lang w:val="fr-CA"/>
        </w:rPr>
      </w:pPr>
      <w:r w:rsidRPr="007B78C8">
        <w:rPr>
          <w:rFonts w:cs="Times New Roman"/>
          <w:lang w:val="fr-CA"/>
        </w:rPr>
        <w:t>Les efforts que déploient les juges majoritaires pour relier la sanction à autre chose que les manquements par West Fraser à ses obligations de propriétaire font fi de ce que dit vraiment le Tribun</w:t>
      </w:r>
      <w:r>
        <w:rPr>
          <w:lang w:val="fr-CA"/>
        </w:rPr>
        <w:t xml:space="preserve">al. </w:t>
      </w:r>
      <w:r w:rsidRPr="007B78C8">
        <w:rPr>
          <w:rFonts w:cs="Times New Roman"/>
          <w:lang w:val="fr-CA"/>
        </w:rPr>
        <w:t xml:space="preserve">Une cour de révision n’est « [pas autorisée] à faire complètement abstraction des motifs </w:t>
      </w:r>
      <w:r>
        <w:rPr>
          <w:rFonts w:cs="Times New Roman"/>
          <w:lang w:val="fr-CA"/>
        </w:rPr>
        <w:t xml:space="preserve">[du Tribunal] </w:t>
      </w:r>
      <w:r w:rsidRPr="007B78C8">
        <w:rPr>
          <w:rFonts w:cs="Times New Roman"/>
          <w:lang w:val="fr-CA"/>
        </w:rPr>
        <w:t>et à y substituer les siens » (</w:t>
      </w:r>
      <w:r w:rsidRPr="007B78C8">
        <w:rPr>
          <w:rFonts w:cs="Times New Roman"/>
          <w:i/>
          <w:lang w:val="fr-CA"/>
        </w:rPr>
        <w:t>Delta Air Lines Inc. c. Lukács</w:t>
      </w:r>
      <w:r w:rsidRPr="007B78C8">
        <w:rPr>
          <w:rFonts w:cs="Times New Roman"/>
          <w:lang w:val="fr-CA"/>
        </w:rPr>
        <w:t xml:space="preserve">, 2018 CSC 2, </w:t>
      </w:r>
      <w:r w:rsidR="00A208CD">
        <w:rPr>
          <w:rFonts w:cs="Times New Roman"/>
          <w:lang w:val="fr-CA"/>
        </w:rPr>
        <w:t xml:space="preserve">[2018] 1 R.C.S. 6, </w:t>
      </w:r>
      <w:r>
        <w:rPr>
          <w:lang w:val="fr-CA"/>
        </w:rPr>
        <w:t>par. </w:t>
      </w:r>
      <w:r w:rsidRPr="007B78C8">
        <w:rPr>
          <w:rFonts w:cs="Times New Roman"/>
          <w:lang w:val="fr-CA"/>
        </w:rPr>
        <w:t xml:space="preserve">24, la juge en chef </w:t>
      </w:r>
      <w:r w:rsidRPr="007B78C8">
        <w:rPr>
          <w:rFonts w:cs="Times New Roman"/>
          <w:lang w:val="fr-CA"/>
        </w:rPr>
        <w:lastRenderedPageBreak/>
        <w:t xml:space="preserve">McLachlin), même au regard de la norme de la décision manifestement déraisonnable. Or, c’est précisément ce qui se produit en l’occurrence. Les infractions reprochées à West Fraser à titre de propriétaire ne peuvent se muter en infractions à titre d’employeur lorsque la Loi ne confère pas le pouvoir d’imposer une sanction administrative. Partant, la décision du Tribunal de confirmer l’infliction d’une sanction administrative était manifestement déraisonnable. </w:t>
      </w:r>
    </w:p>
    <w:p w:rsidR="00E70F7D" w:rsidRPr="007B78C8" w:rsidRDefault="00E70F7D" w:rsidP="00E70F7D">
      <w:pPr>
        <w:pStyle w:val="Title1LevelTitre1Niveau-AltL"/>
        <w:numPr>
          <w:ilvl w:val="0"/>
          <w:numId w:val="9"/>
        </w:numPr>
        <w:rPr>
          <w:rFonts w:cs="Times New Roman"/>
          <w:lang w:val="fr-CA"/>
        </w:rPr>
      </w:pPr>
      <w:r w:rsidRPr="007B78C8">
        <w:rPr>
          <w:rFonts w:cs="Times New Roman"/>
          <w:lang w:val="fr-CA"/>
        </w:rPr>
        <w:t>Conclusion</w:t>
      </w:r>
    </w:p>
    <w:p w:rsidR="00E70F7D" w:rsidRPr="007B78C8" w:rsidRDefault="00E70F7D" w:rsidP="00E70F7D">
      <w:pPr>
        <w:pStyle w:val="ParaNoNdepar-AltN"/>
        <w:rPr>
          <w:rFonts w:cs="Times New Roman"/>
          <w:lang w:val="fr-CA"/>
        </w:rPr>
      </w:pPr>
      <w:r w:rsidRPr="007B78C8">
        <w:rPr>
          <w:rFonts w:eastAsia="Times New Roman" w:cs="Times New Roman"/>
          <w:szCs w:val="24"/>
          <w:lang w:val="fr-CA" w:eastAsia="en-CA"/>
        </w:rPr>
        <w:t xml:space="preserve">En résumé, je suis d’avis d’invalider le </w:t>
      </w:r>
      <w:r>
        <w:rPr>
          <w:rFonts w:eastAsia="Times New Roman" w:cs="Times New Roman"/>
          <w:szCs w:val="24"/>
          <w:lang w:val="fr-CA" w:eastAsia="en-CA"/>
        </w:rPr>
        <w:t>par. </w:t>
      </w:r>
      <w:r w:rsidRPr="007B78C8">
        <w:rPr>
          <w:rFonts w:eastAsia="Times New Roman" w:cs="Times New Roman"/>
          <w:szCs w:val="24"/>
          <w:lang w:val="fr-CA" w:eastAsia="en-CA"/>
        </w:rPr>
        <w:t xml:space="preserve">26.2(1) du Règlement par application de la norme de la décision correcte et d’accueillir en conséquence le pourvoi. À supposer même que la disposition ne soit pas invalide, il était manifestement déraisonnable </w:t>
      </w:r>
      <w:r w:rsidRPr="007B78C8">
        <w:rPr>
          <w:rFonts w:cs="Times New Roman"/>
          <w:lang w:val="fr-CA"/>
        </w:rPr>
        <w:t>d’imposer une sanction administrative</w:t>
      </w:r>
      <w:r w:rsidRPr="007B78C8">
        <w:rPr>
          <w:rFonts w:eastAsia="Times New Roman" w:cs="Times New Roman"/>
          <w:szCs w:val="24"/>
          <w:lang w:val="fr-CA" w:eastAsia="en-CA"/>
        </w:rPr>
        <w:t xml:space="preserve"> — laquelle ne vise que les infractions commises à titre d’employeur — au motif que West Fraser a été reconnue coupable de manquements à ses obligations de propriétaire suivant le </w:t>
      </w:r>
      <w:r>
        <w:rPr>
          <w:rFonts w:eastAsia="Times New Roman" w:cs="Times New Roman"/>
          <w:szCs w:val="24"/>
          <w:lang w:val="fr-CA" w:eastAsia="en-CA"/>
        </w:rPr>
        <w:t>par. </w:t>
      </w:r>
      <w:r w:rsidRPr="007B78C8">
        <w:rPr>
          <w:rFonts w:eastAsia="Times New Roman" w:cs="Times New Roman"/>
          <w:szCs w:val="24"/>
          <w:lang w:val="fr-CA" w:eastAsia="en-CA"/>
        </w:rPr>
        <w:t>26.2(1). J’accueillerais donc le pourvoi pour ce motif également.</w:t>
      </w:r>
    </w:p>
    <w:p w:rsidR="00E70F7D" w:rsidRDefault="00E70F7D" w:rsidP="001248D3">
      <w:pPr>
        <w:pStyle w:val="ParaNoNdepar-AltN"/>
        <w:numPr>
          <w:ilvl w:val="0"/>
          <w:numId w:val="0"/>
        </w:numPr>
        <w:ind w:firstLine="1170"/>
        <w:rPr>
          <w:lang w:val="fr-CA"/>
        </w:rPr>
      </w:pPr>
      <w:r w:rsidRPr="00A040E4">
        <w:rPr>
          <w:lang w:val="fr-CA"/>
        </w:rPr>
        <w:t>Version française des motifs rendus par</w:t>
      </w:r>
    </w:p>
    <w:p w:rsidR="00E70F7D" w:rsidRPr="00292007" w:rsidRDefault="0015401E" w:rsidP="0015401E">
      <w:pPr>
        <w:pStyle w:val="ParaNoNdepar-AltN"/>
        <w:rPr>
          <w:lang w:val="fr-CA"/>
        </w:rPr>
      </w:pPr>
      <w:r>
        <w:rPr>
          <w:smallCaps/>
          <w:lang w:val="fr-CA"/>
        </w:rPr>
        <w:t>Le juge Brown</w:t>
      </w:r>
      <w:r w:rsidR="001248D3">
        <w:rPr>
          <w:smallCaps/>
          <w:lang w:val="fr-CA"/>
        </w:rPr>
        <w:t xml:space="preserve"> (</w:t>
      </w:r>
      <w:r w:rsidR="001248D3" w:rsidRPr="001248D3">
        <w:rPr>
          <w:lang w:val="fr-CA"/>
        </w:rPr>
        <w:t>dissident</w:t>
      </w:r>
      <w:r w:rsidR="001248D3">
        <w:rPr>
          <w:smallCaps/>
          <w:lang w:val="fr-CA"/>
        </w:rPr>
        <w:t>)</w:t>
      </w:r>
      <w:r>
        <w:rPr>
          <w:smallCaps/>
          <w:lang w:val="fr-CA"/>
        </w:rPr>
        <w:t xml:space="preserve"> </w:t>
      </w:r>
      <w:r w:rsidRPr="0015401E">
        <w:rPr>
          <w:lang w:val="fr-CA"/>
        </w:rPr>
        <w:t>—</w:t>
      </w:r>
      <w:r>
        <w:rPr>
          <w:lang w:val="fr-CA"/>
        </w:rPr>
        <w:t xml:space="preserve"> </w:t>
      </w:r>
      <w:r w:rsidR="00E70F7D" w:rsidRPr="00292007">
        <w:rPr>
          <w:lang w:val="fr-CA"/>
        </w:rPr>
        <w:t>Bien que je partage l’opinion de la juge en chef selon laquelle la Workers’ Compensation Board de la Colombie</w:t>
      </w:r>
      <w:r w:rsidR="00E70F7D" w:rsidRPr="00292007">
        <w:rPr>
          <w:lang w:val="fr-CA"/>
        </w:rPr>
        <w:noBreakHyphen/>
        <w:t>Britannique (« Commission ») avait le pouvoir d’adopter le par. 26.2(1) de l’</w:t>
      </w:r>
      <w:proofErr w:type="spellStart"/>
      <w:r w:rsidR="00E70F7D" w:rsidRPr="00292007">
        <w:rPr>
          <w:i/>
          <w:lang w:val="fr-CA"/>
        </w:rPr>
        <w:t>Occupational</w:t>
      </w:r>
      <w:proofErr w:type="spellEnd"/>
      <w:r w:rsidR="00E70F7D" w:rsidRPr="00292007">
        <w:rPr>
          <w:i/>
          <w:lang w:val="fr-CA"/>
        </w:rPr>
        <w:t xml:space="preserve"> Health and </w:t>
      </w:r>
      <w:proofErr w:type="spellStart"/>
      <w:r w:rsidR="00E70F7D" w:rsidRPr="00292007">
        <w:rPr>
          <w:i/>
          <w:lang w:val="fr-CA"/>
        </w:rPr>
        <w:t>Safety</w:t>
      </w:r>
      <w:proofErr w:type="spellEnd"/>
      <w:r w:rsidR="00E70F7D" w:rsidRPr="00292007">
        <w:rPr>
          <w:i/>
          <w:lang w:val="fr-CA"/>
        </w:rPr>
        <w:t xml:space="preserve"> </w:t>
      </w:r>
      <w:proofErr w:type="spellStart"/>
      <w:r w:rsidR="00E70F7D" w:rsidRPr="00292007">
        <w:rPr>
          <w:i/>
          <w:lang w:val="fr-CA"/>
        </w:rPr>
        <w:t>Regulation</w:t>
      </w:r>
      <w:proofErr w:type="spellEnd"/>
      <w:r w:rsidR="00E70F7D" w:rsidRPr="00292007">
        <w:rPr>
          <w:lang w:val="fr-CA"/>
        </w:rPr>
        <w:t>, B.C. Reg. 296/97 (« Règlement »), j’arrive à cette conclusion au terme d’un raisonnement différent.</w:t>
      </w:r>
    </w:p>
    <w:p w:rsidR="00E70F7D" w:rsidRPr="00292007" w:rsidRDefault="00E70F7D" w:rsidP="00E70F7D">
      <w:pPr>
        <w:pStyle w:val="ParaNoNdepar-AltN"/>
        <w:rPr>
          <w:rFonts w:cs="Times New Roman"/>
          <w:lang w:val="fr-CA"/>
        </w:rPr>
      </w:pPr>
      <w:r w:rsidRPr="00292007">
        <w:rPr>
          <w:rFonts w:cs="Times New Roman"/>
          <w:lang w:val="fr-CA"/>
        </w:rPr>
        <w:lastRenderedPageBreak/>
        <w:t xml:space="preserve">La juge en chef dit au par. 23 de ses motifs que la Cour affirme « certes », dans </w:t>
      </w:r>
      <w:r w:rsidRPr="00292007">
        <w:rPr>
          <w:rFonts w:cs="Times New Roman"/>
          <w:i/>
          <w:lang w:val="fr-CA"/>
        </w:rPr>
        <w:t>Dunsmuir c. Nouveau</w:t>
      </w:r>
      <w:r w:rsidRPr="00292007">
        <w:rPr>
          <w:rFonts w:cs="Times New Roman"/>
          <w:i/>
          <w:lang w:val="fr-CA"/>
        </w:rPr>
        <w:noBreakHyphen/>
        <w:t xml:space="preserve">Brunswick, </w:t>
      </w:r>
      <w:r w:rsidRPr="00292007">
        <w:rPr>
          <w:rFonts w:cs="Times New Roman"/>
          <w:lang w:val="fr-CA"/>
        </w:rPr>
        <w:t>2008 CSC 9, [2008] 1 R.C.S. 190,</w:t>
      </w:r>
      <w:r w:rsidRPr="00292007">
        <w:rPr>
          <w:rFonts w:cs="Times New Roman"/>
          <w:i/>
          <w:lang w:val="fr-CA"/>
        </w:rPr>
        <w:t xml:space="preserve"> </w:t>
      </w:r>
      <w:r w:rsidRPr="00292007">
        <w:rPr>
          <w:rFonts w:cs="Times New Roman"/>
          <w:lang w:val="fr-CA"/>
        </w:rPr>
        <w:t xml:space="preserve">qu’une véritable question de compétence [. . .] « fait l’objet d’un contrôle selon la norme de la décision correcte ». En tout respect, cependant, c’est minimiser considérablement ce que dit </w:t>
      </w:r>
      <w:r w:rsidRPr="00292007">
        <w:rPr>
          <w:rFonts w:cs="Times New Roman"/>
          <w:i/>
          <w:lang w:val="fr-CA"/>
        </w:rPr>
        <w:t>effectivement</w:t>
      </w:r>
      <w:r w:rsidRPr="00292007">
        <w:rPr>
          <w:rFonts w:cs="Times New Roman"/>
          <w:lang w:val="fr-CA"/>
        </w:rPr>
        <w:t xml:space="preserve"> la Cour dans </w:t>
      </w:r>
      <w:r w:rsidRPr="00292007">
        <w:rPr>
          <w:rFonts w:cs="Times New Roman"/>
          <w:i/>
          <w:lang w:val="fr-CA"/>
        </w:rPr>
        <w:t>Dunsmuir</w:t>
      </w:r>
      <w:r w:rsidRPr="00292007">
        <w:rPr>
          <w:rFonts w:cs="Times New Roman"/>
          <w:lang w:val="fr-CA"/>
        </w:rPr>
        <w:t xml:space="preserve">, à savoir qu’« [u]n organisme administratif </w:t>
      </w:r>
      <w:r w:rsidRPr="00292007">
        <w:rPr>
          <w:rFonts w:cs="Times New Roman"/>
          <w:u w:val="single"/>
          <w:lang w:val="fr-CA"/>
        </w:rPr>
        <w:t>doit</w:t>
      </w:r>
      <w:r w:rsidRPr="00292007">
        <w:rPr>
          <w:rFonts w:cs="Times New Roman"/>
          <w:lang w:val="fr-CA"/>
        </w:rPr>
        <w:t xml:space="preserve"> [. . .] statuer </w:t>
      </w:r>
      <w:r w:rsidRPr="00292007">
        <w:rPr>
          <w:rFonts w:cs="Times New Roman"/>
          <w:u w:val="single"/>
          <w:lang w:val="fr-CA"/>
        </w:rPr>
        <w:t>correctement</w:t>
      </w:r>
      <w:r w:rsidRPr="00292007">
        <w:rPr>
          <w:rFonts w:cs="Times New Roman"/>
          <w:lang w:val="fr-CA"/>
        </w:rPr>
        <w:t xml:space="preserve"> sur une question touchant véritablement à la compétence » (par. 59 (je souligne)). De plus, on ne saurait opposer à la contestation de West Fraser relative à la compétence ce que dit par ailleurs la juge en chef au par. 23, c’est-à-dire que « pareil cas [soulevant une véritable question de compétence] se présenter[a] rarement ». Une telle réponse est particulièrement inadéquate dans la mesure où la juge en chef ne dit pas elle</w:t>
      </w:r>
      <w:r w:rsidRPr="00292007">
        <w:rPr>
          <w:rFonts w:cs="Times New Roman"/>
          <w:lang w:val="fr-CA"/>
        </w:rPr>
        <w:noBreakHyphen/>
        <w:t xml:space="preserve">même </w:t>
      </w:r>
      <w:proofErr w:type="gramStart"/>
      <w:r w:rsidRPr="00292007">
        <w:rPr>
          <w:rFonts w:cs="Times New Roman"/>
          <w:lang w:val="fr-CA"/>
        </w:rPr>
        <w:t>douter</w:t>
      </w:r>
      <w:proofErr w:type="gramEnd"/>
      <w:r w:rsidRPr="00292007">
        <w:rPr>
          <w:rFonts w:cs="Times New Roman"/>
          <w:lang w:val="fr-CA"/>
        </w:rPr>
        <w:t xml:space="preserve"> du fait que la question soulevée en l’espèce en est une de compétence. Le débat est en fait complètement escamoté par l’affirmation selon laquelle le pourvoi « n’exige pas que nous approfondissions » le sujet, à savoir si, en l’espèce, le pouvoir de la Commission d’adopter le par. 26.2(1) soulève une question de cette nature, car « la question que la cour de révision doit trancher n’a pas trait à la compétence au sens traditionnel, mais au fait que le règlement en cause résulte ou non d’un exercice raisonnable du pouvoir délégué » (par. 23). </w:t>
      </w:r>
    </w:p>
    <w:p w:rsidR="00E70F7D" w:rsidRPr="00292007" w:rsidRDefault="00E70F7D" w:rsidP="00E70F7D">
      <w:pPr>
        <w:pStyle w:val="ParaNoNdepar-AltN"/>
        <w:rPr>
          <w:rFonts w:cs="Times New Roman"/>
          <w:lang w:val="fr-CA"/>
        </w:rPr>
      </w:pPr>
      <w:r w:rsidRPr="00292007">
        <w:rPr>
          <w:rFonts w:cs="Times New Roman"/>
          <w:lang w:val="fr-CA"/>
        </w:rPr>
        <w:t>Je réponds à ces affirmations en formulant trois remarques. Premièrement, la question du pouvoir de la Commission d’adopter le par. 26.2(1) constitue [</w:t>
      </w:r>
      <w:r w:rsidRPr="00292007">
        <w:rPr>
          <w:rFonts w:cs="Times New Roman"/>
          <w:smallCaps/>
          <w:lang w:val="fr-CA"/>
        </w:rPr>
        <w:t>traduction</w:t>
      </w:r>
      <w:r w:rsidRPr="00292007">
        <w:rPr>
          <w:rFonts w:cs="Times New Roman"/>
          <w:lang w:val="fr-CA"/>
        </w:rPr>
        <w:t>] « une question de compétence liée à la législation déléguée » (</w:t>
      </w:r>
      <w:r w:rsidRPr="00292007">
        <w:rPr>
          <w:rFonts w:cs="Times New Roman"/>
          <w:i/>
          <w:lang w:val="fr-CA"/>
        </w:rPr>
        <w:t xml:space="preserve">Canadian Copyright </w:t>
      </w:r>
      <w:proofErr w:type="spellStart"/>
      <w:r w:rsidRPr="00292007">
        <w:rPr>
          <w:rFonts w:cs="Times New Roman"/>
          <w:i/>
          <w:lang w:val="fr-CA"/>
        </w:rPr>
        <w:t>Licensing</w:t>
      </w:r>
      <w:proofErr w:type="spellEnd"/>
      <w:r w:rsidRPr="00292007">
        <w:rPr>
          <w:rFonts w:cs="Times New Roman"/>
          <w:i/>
          <w:lang w:val="fr-CA"/>
        </w:rPr>
        <w:t xml:space="preserve"> Agency (Access Copyright) c. </w:t>
      </w:r>
      <w:r w:rsidR="00A208CD">
        <w:rPr>
          <w:rFonts w:cs="Times New Roman"/>
          <w:i/>
          <w:lang w:val="fr-CA"/>
        </w:rPr>
        <w:t>Canada</w:t>
      </w:r>
      <w:r w:rsidRPr="00292007">
        <w:rPr>
          <w:rFonts w:cs="Times New Roman"/>
          <w:lang w:val="fr-CA"/>
        </w:rPr>
        <w:t xml:space="preserve">, 2018 CAF 58, par. 80). La question de savoir si un délégataire légal est habilité à réglementer est donc </w:t>
      </w:r>
      <w:r w:rsidRPr="00292007">
        <w:rPr>
          <w:rFonts w:cs="Times New Roman"/>
          <w:lang w:val="fr-CA"/>
        </w:rPr>
        <w:lastRenderedPageBreak/>
        <w:t xml:space="preserve">manifestement une question de compétence « au sens traditionnel », </w:t>
      </w:r>
      <w:r w:rsidRPr="00292007">
        <w:rPr>
          <w:rFonts w:cs="Times New Roman"/>
          <w:i/>
          <w:lang w:val="fr-CA"/>
        </w:rPr>
        <w:t>selon la manière dont la Cour conçoit cette question dans ses arrêts.</w:t>
      </w:r>
      <w:r w:rsidRPr="00292007">
        <w:rPr>
          <w:rFonts w:cs="Times New Roman"/>
          <w:lang w:val="fr-CA"/>
        </w:rPr>
        <w:t xml:space="preserve"> En d’autres termes, il ne s’agit pas de se prononcer sur le </w:t>
      </w:r>
      <w:r w:rsidRPr="00292007">
        <w:rPr>
          <w:rFonts w:cs="Times New Roman"/>
          <w:i/>
          <w:lang w:val="fr-CA"/>
        </w:rPr>
        <w:t>caractère raisonnable</w:t>
      </w:r>
      <w:r w:rsidRPr="00292007">
        <w:rPr>
          <w:rFonts w:cs="Times New Roman"/>
          <w:lang w:val="fr-CA"/>
        </w:rPr>
        <w:t xml:space="preserve"> de la décision de la Commission d’adopter le par. 26.2(1), mais plutôt sur son </w:t>
      </w:r>
      <w:r w:rsidRPr="00292007">
        <w:rPr>
          <w:rFonts w:cs="Times New Roman"/>
          <w:i/>
          <w:lang w:val="fr-CA"/>
        </w:rPr>
        <w:t>pouvoir</w:t>
      </w:r>
      <w:r w:rsidRPr="00292007">
        <w:rPr>
          <w:rFonts w:cs="Times New Roman"/>
          <w:lang w:val="fr-CA"/>
        </w:rPr>
        <w:t xml:space="preserve"> de le faire. La question fait clairement partie de celles qui, selon la Cour dans </w:t>
      </w:r>
      <w:proofErr w:type="spellStart"/>
      <w:r w:rsidRPr="00292007">
        <w:rPr>
          <w:rFonts w:cs="Times New Roman"/>
          <w:i/>
          <w:lang w:val="fr-CA"/>
        </w:rPr>
        <w:t>Dunsmuir</w:t>
      </w:r>
      <w:proofErr w:type="spellEnd"/>
      <w:r w:rsidRPr="00292007">
        <w:rPr>
          <w:rFonts w:cs="Times New Roman"/>
          <w:i/>
          <w:lang w:val="fr-CA"/>
        </w:rPr>
        <w:t xml:space="preserve"> </w:t>
      </w:r>
      <w:r w:rsidRPr="00292007">
        <w:rPr>
          <w:rFonts w:cs="Times New Roman"/>
          <w:lang w:val="fr-CA"/>
        </w:rPr>
        <w:t xml:space="preserve">(au </w:t>
      </w:r>
      <w:proofErr w:type="spellStart"/>
      <w:r w:rsidRPr="00292007">
        <w:rPr>
          <w:rFonts w:cs="Times New Roman"/>
          <w:lang w:val="fr-CA"/>
        </w:rPr>
        <w:t>par</w:t>
      </w:r>
      <w:proofErr w:type="spellEnd"/>
      <w:r w:rsidRPr="00292007">
        <w:rPr>
          <w:rFonts w:cs="Times New Roman"/>
          <w:lang w:val="fr-CA"/>
        </w:rPr>
        <w:t xml:space="preserve">. 59), se posent lorsque « le tribunal administratif doit déterminer expressément si les pouvoirs dont le législateur l’a investi l’autorisent à trancher une question ». </w:t>
      </w:r>
    </w:p>
    <w:p w:rsidR="00E70F7D" w:rsidRPr="00292007" w:rsidRDefault="00E70F7D" w:rsidP="00E70F7D">
      <w:pPr>
        <w:pStyle w:val="ParaNoNdepar-AltN"/>
        <w:rPr>
          <w:rFonts w:cs="Times New Roman"/>
          <w:lang w:val="fr-CA"/>
        </w:rPr>
      </w:pPr>
      <w:r w:rsidRPr="00292007">
        <w:rPr>
          <w:rFonts w:cs="Times New Roman"/>
          <w:lang w:val="fr-CA"/>
        </w:rPr>
        <w:t>Deuxièmement, les cours de révision appliquent presque toujours [</w:t>
      </w:r>
      <w:r w:rsidRPr="00292007">
        <w:rPr>
          <w:rFonts w:cs="Times New Roman"/>
          <w:smallCaps/>
          <w:lang w:val="fr-CA"/>
        </w:rPr>
        <w:t>traduction</w:t>
      </w:r>
      <w:r w:rsidRPr="00292007">
        <w:rPr>
          <w:rFonts w:cs="Times New Roman"/>
          <w:lang w:val="fr-CA"/>
        </w:rPr>
        <w:t>] « la norme de la décision correcte pour décider de la validité de la législation déléguée » (D. J. M. Brown et J. M. Evans, assistés de D. </w:t>
      </w:r>
      <w:proofErr w:type="spellStart"/>
      <w:r w:rsidRPr="00292007">
        <w:rPr>
          <w:rFonts w:cs="Times New Roman"/>
          <w:lang w:val="fr-CA"/>
        </w:rPr>
        <w:t>Fairlie</w:t>
      </w:r>
      <w:proofErr w:type="spellEnd"/>
      <w:r w:rsidRPr="00292007">
        <w:rPr>
          <w:rFonts w:cs="Times New Roman"/>
          <w:lang w:val="fr-CA"/>
        </w:rPr>
        <w:t xml:space="preserve">, </w:t>
      </w:r>
      <w:proofErr w:type="spellStart"/>
      <w:r w:rsidRPr="00292007">
        <w:rPr>
          <w:rFonts w:cs="Times New Roman"/>
          <w:i/>
          <w:lang w:val="fr-CA"/>
        </w:rPr>
        <w:t>Judicial</w:t>
      </w:r>
      <w:proofErr w:type="spellEnd"/>
      <w:r w:rsidRPr="00292007">
        <w:rPr>
          <w:rFonts w:cs="Times New Roman"/>
          <w:i/>
          <w:lang w:val="fr-CA"/>
        </w:rPr>
        <w:t xml:space="preserve"> </w:t>
      </w:r>
      <w:proofErr w:type="spellStart"/>
      <w:r w:rsidRPr="00292007">
        <w:rPr>
          <w:rFonts w:cs="Times New Roman"/>
          <w:i/>
          <w:lang w:val="fr-CA"/>
        </w:rPr>
        <w:t>Review</w:t>
      </w:r>
      <w:proofErr w:type="spellEnd"/>
      <w:r w:rsidRPr="00292007">
        <w:rPr>
          <w:rFonts w:cs="Times New Roman"/>
          <w:i/>
          <w:lang w:val="fr-CA"/>
        </w:rPr>
        <w:t xml:space="preserve"> of Administrative Action in Canada</w:t>
      </w:r>
      <w:r w:rsidRPr="00292007">
        <w:rPr>
          <w:rFonts w:cs="Times New Roman"/>
          <w:lang w:val="fr-CA"/>
        </w:rPr>
        <w:t xml:space="preserve"> (feuilles mobiles), p. 15</w:t>
      </w:r>
      <w:r w:rsidRPr="00292007">
        <w:rPr>
          <w:rFonts w:cs="Times New Roman"/>
          <w:lang w:val="fr-CA"/>
        </w:rPr>
        <w:noBreakHyphen/>
        <w:t>58 à 15</w:t>
      </w:r>
      <w:r w:rsidRPr="00292007">
        <w:rPr>
          <w:rFonts w:cs="Times New Roman"/>
          <w:lang w:val="fr-CA"/>
        </w:rPr>
        <w:noBreakHyphen/>
        <w:t xml:space="preserve">59; voir aussi </w:t>
      </w:r>
      <w:r w:rsidRPr="00292007">
        <w:rPr>
          <w:rFonts w:cs="Times New Roman"/>
          <w:i/>
          <w:lang w:val="fr-CA"/>
        </w:rPr>
        <w:t xml:space="preserve">United Taxi Drivers’ </w:t>
      </w:r>
      <w:proofErr w:type="spellStart"/>
      <w:r w:rsidRPr="00292007">
        <w:rPr>
          <w:rFonts w:cs="Times New Roman"/>
          <w:i/>
          <w:lang w:val="fr-CA"/>
        </w:rPr>
        <w:t>Fellowship</w:t>
      </w:r>
      <w:proofErr w:type="spellEnd"/>
      <w:r w:rsidRPr="00292007">
        <w:rPr>
          <w:rFonts w:cs="Times New Roman"/>
          <w:i/>
          <w:lang w:val="fr-CA"/>
        </w:rPr>
        <w:t xml:space="preserve"> of </w:t>
      </w:r>
      <w:proofErr w:type="spellStart"/>
      <w:r w:rsidRPr="00292007">
        <w:rPr>
          <w:rFonts w:cs="Times New Roman"/>
          <w:i/>
          <w:lang w:val="fr-CA"/>
        </w:rPr>
        <w:t>Southern</w:t>
      </w:r>
      <w:proofErr w:type="spellEnd"/>
      <w:r w:rsidRPr="00292007">
        <w:rPr>
          <w:rFonts w:cs="Times New Roman"/>
          <w:i/>
          <w:lang w:val="fr-CA"/>
        </w:rPr>
        <w:t xml:space="preserve"> Alberta c. Calgary (Ville)</w:t>
      </w:r>
      <w:r w:rsidRPr="00292007">
        <w:rPr>
          <w:rFonts w:cs="Times New Roman"/>
          <w:lang w:val="fr-CA"/>
        </w:rPr>
        <w:t>, 2</w:t>
      </w:r>
      <w:r w:rsidR="001248D3">
        <w:rPr>
          <w:rFonts w:cs="Times New Roman"/>
          <w:lang w:val="fr-CA"/>
        </w:rPr>
        <w:t>004 CSC 19, [2004] 1 R.C.S. 485;</w:t>
      </w:r>
      <w:r w:rsidRPr="00292007">
        <w:rPr>
          <w:rFonts w:cs="Times New Roman"/>
          <w:lang w:val="fr-CA"/>
        </w:rPr>
        <w:t xml:space="preserve"> </w:t>
      </w:r>
      <w:proofErr w:type="spellStart"/>
      <w:r w:rsidRPr="00292007">
        <w:rPr>
          <w:rFonts w:cs="Times New Roman"/>
          <w:i/>
          <w:lang w:val="fr-CA"/>
        </w:rPr>
        <w:t>Noron</w:t>
      </w:r>
      <w:proofErr w:type="spellEnd"/>
      <w:r w:rsidRPr="00292007">
        <w:rPr>
          <w:rFonts w:cs="Times New Roman"/>
          <w:i/>
          <w:lang w:val="fr-CA"/>
        </w:rPr>
        <w:t xml:space="preserve"> Inc. c. Ville de Dieppe</w:t>
      </w:r>
      <w:r w:rsidRPr="00292007">
        <w:rPr>
          <w:rFonts w:cs="Times New Roman"/>
          <w:lang w:val="fr-CA"/>
        </w:rPr>
        <w:t xml:space="preserve">, 2017 NBCA 38, 66 M.L.P.R. (5th) 1, par. 11; </w:t>
      </w:r>
      <w:r w:rsidRPr="00292007">
        <w:rPr>
          <w:rFonts w:cs="Times New Roman"/>
          <w:i/>
          <w:lang w:val="fr-CA"/>
        </w:rPr>
        <w:t>Gander (</w:t>
      </w:r>
      <w:proofErr w:type="spellStart"/>
      <w:r w:rsidRPr="00292007">
        <w:rPr>
          <w:rFonts w:cs="Times New Roman"/>
          <w:i/>
          <w:lang w:val="fr-CA"/>
        </w:rPr>
        <w:t>Town</w:t>
      </w:r>
      <w:proofErr w:type="spellEnd"/>
      <w:r w:rsidRPr="00292007">
        <w:rPr>
          <w:rFonts w:cs="Times New Roman"/>
          <w:i/>
          <w:lang w:val="fr-CA"/>
        </w:rPr>
        <w:t xml:space="preserve">) c. </w:t>
      </w:r>
      <w:proofErr w:type="spellStart"/>
      <w:r w:rsidRPr="00292007">
        <w:rPr>
          <w:rFonts w:cs="Times New Roman"/>
          <w:i/>
          <w:lang w:val="fr-CA"/>
        </w:rPr>
        <w:t>Trimart</w:t>
      </w:r>
      <w:proofErr w:type="spellEnd"/>
      <w:r w:rsidRPr="00292007">
        <w:rPr>
          <w:rFonts w:cs="Times New Roman"/>
          <w:i/>
          <w:lang w:val="fr-CA"/>
        </w:rPr>
        <w:t xml:space="preserve"> Investments Ltd.</w:t>
      </w:r>
      <w:r w:rsidRPr="00292007">
        <w:rPr>
          <w:rFonts w:cs="Times New Roman"/>
          <w:lang w:val="fr-CA"/>
        </w:rPr>
        <w:t xml:space="preserve">, 2015 NLCA 32, 368 </w:t>
      </w:r>
      <w:proofErr w:type="spellStart"/>
      <w:r w:rsidRPr="00292007">
        <w:rPr>
          <w:rFonts w:cs="Times New Roman"/>
          <w:lang w:val="fr-CA"/>
        </w:rPr>
        <w:t>Nfld</w:t>
      </w:r>
      <w:proofErr w:type="spellEnd"/>
      <w:r w:rsidRPr="00292007">
        <w:rPr>
          <w:rFonts w:cs="Times New Roman"/>
          <w:lang w:val="fr-CA"/>
        </w:rPr>
        <w:t xml:space="preserve">. &amp; P.E.I.R. 96, par. 14; </w:t>
      </w:r>
      <w:r w:rsidRPr="00292007">
        <w:rPr>
          <w:rFonts w:cs="Times New Roman"/>
          <w:i/>
          <w:lang w:val="fr-CA"/>
        </w:rPr>
        <w:t>1254582 Alberta Ltd. c. Edmonton (City)</w:t>
      </w:r>
      <w:r w:rsidRPr="00292007">
        <w:rPr>
          <w:rFonts w:cs="Times New Roman"/>
          <w:lang w:val="fr-CA"/>
        </w:rPr>
        <w:t xml:space="preserve">, 2009 ABCA 4, 448 A.R. 58, par. 12; </w:t>
      </w:r>
      <w:r w:rsidRPr="00292007">
        <w:rPr>
          <w:rFonts w:cs="Times New Roman"/>
          <w:i/>
          <w:lang w:val="fr-CA"/>
        </w:rPr>
        <w:t>Conseil canadien pour les réfugiés c. Canada.</w:t>
      </w:r>
      <w:r w:rsidRPr="00292007">
        <w:rPr>
          <w:rFonts w:cs="Times New Roman"/>
          <w:lang w:val="fr-CA"/>
        </w:rPr>
        <w:t>,</w:t>
      </w:r>
      <w:r w:rsidRPr="00292007">
        <w:rPr>
          <w:rFonts w:cs="Times New Roman"/>
          <w:i/>
          <w:lang w:val="fr-CA"/>
        </w:rPr>
        <w:t xml:space="preserve"> </w:t>
      </w:r>
      <w:r w:rsidRPr="00292007">
        <w:rPr>
          <w:rFonts w:cs="Times New Roman"/>
          <w:lang w:val="fr-CA"/>
        </w:rPr>
        <w:t xml:space="preserve">2008 CAF 229, [2009] 3 R.C.F. 136, par. 57; </w:t>
      </w:r>
      <w:proofErr w:type="spellStart"/>
      <w:r w:rsidRPr="00292007">
        <w:rPr>
          <w:rFonts w:cs="Times New Roman"/>
          <w:i/>
          <w:lang w:val="fr-CA"/>
        </w:rPr>
        <w:t>Broers</w:t>
      </w:r>
      <w:proofErr w:type="spellEnd"/>
      <w:r w:rsidRPr="00292007">
        <w:rPr>
          <w:rFonts w:cs="Times New Roman"/>
          <w:lang w:val="fr-CA"/>
        </w:rPr>
        <w:t xml:space="preserve"> </w:t>
      </w:r>
      <w:r w:rsidRPr="00292007">
        <w:rPr>
          <w:rFonts w:cs="Times New Roman"/>
          <w:i/>
          <w:lang w:val="fr-CA"/>
        </w:rPr>
        <w:t>c. Real Estate Council of Alberta</w:t>
      </w:r>
      <w:r w:rsidRPr="00664D64">
        <w:rPr>
          <w:rFonts w:cs="Times New Roman"/>
          <w:lang w:val="fr-CA"/>
        </w:rPr>
        <w:t>,</w:t>
      </w:r>
      <w:r w:rsidRPr="00292007">
        <w:rPr>
          <w:rFonts w:cs="Times New Roman"/>
          <w:i/>
          <w:lang w:val="fr-CA"/>
        </w:rPr>
        <w:t xml:space="preserve"> </w:t>
      </w:r>
      <w:r w:rsidRPr="00292007">
        <w:rPr>
          <w:rFonts w:cs="Times New Roman"/>
          <w:lang w:val="fr-CA"/>
        </w:rPr>
        <w:t xml:space="preserve">2010 ABQB 497, 489 A.R. 219, par. 29; </w:t>
      </w:r>
      <w:proofErr w:type="spellStart"/>
      <w:r w:rsidRPr="00292007">
        <w:rPr>
          <w:rFonts w:cs="Times New Roman"/>
          <w:i/>
          <w:lang w:val="fr-CA"/>
        </w:rPr>
        <w:t>Algoma</w:t>
      </w:r>
      <w:proofErr w:type="spellEnd"/>
      <w:r w:rsidRPr="00292007">
        <w:rPr>
          <w:rFonts w:cs="Times New Roman"/>
          <w:i/>
          <w:lang w:val="fr-CA"/>
        </w:rPr>
        <w:t xml:space="preserve"> Central Corp. c. Canada</w:t>
      </w:r>
      <w:r w:rsidRPr="00292007">
        <w:rPr>
          <w:rFonts w:cs="Times New Roman"/>
          <w:lang w:val="fr-CA"/>
        </w:rPr>
        <w:t>, 2009 CF 1287, par. 66</w:t>
      </w:r>
      <w:r w:rsidR="00FC4DA6">
        <w:rPr>
          <w:rFonts w:cs="Times New Roman"/>
          <w:lang w:val="fr-CA"/>
        </w:rPr>
        <w:t xml:space="preserve"> (</w:t>
      </w:r>
      <w:proofErr w:type="spellStart"/>
      <w:r w:rsidR="00FC4DA6">
        <w:rPr>
          <w:rFonts w:cs="Times New Roman"/>
          <w:lang w:val="fr-CA"/>
        </w:rPr>
        <w:t>CanLII</w:t>
      </w:r>
      <w:proofErr w:type="spellEnd"/>
      <w:r w:rsidRPr="00292007">
        <w:rPr>
          <w:rFonts w:cs="Times New Roman"/>
          <w:lang w:val="fr-CA"/>
        </w:rPr>
        <w:t>)</w:t>
      </w:r>
      <w:r w:rsidR="00FC4DA6">
        <w:rPr>
          <w:rFonts w:cs="Times New Roman"/>
          <w:lang w:val="fr-CA"/>
        </w:rPr>
        <w:t>)</w:t>
      </w:r>
      <w:r w:rsidRPr="00292007">
        <w:rPr>
          <w:rFonts w:cs="Times New Roman"/>
          <w:lang w:val="fr-CA"/>
        </w:rPr>
        <w:t xml:space="preserve">.  </w:t>
      </w:r>
    </w:p>
    <w:p w:rsidR="00E70F7D" w:rsidRPr="00292007" w:rsidRDefault="00E70F7D" w:rsidP="00E70F7D">
      <w:pPr>
        <w:pStyle w:val="ParaNoNdepar-AltN"/>
        <w:rPr>
          <w:rFonts w:cs="Times New Roman"/>
          <w:lang w:val="fr-CA"/>
        </w:rPr>
      </w:pPr>
      <w:r w:rsidRPr="00292007">
        <w:rPr>
          <w:rFonts w:cs="Times New Roman"/>
          <w:lang w:val="fr-CA"/>
        </w:rPr>
        <w:t xml:space="preserve">La jurisprudence de la Cour le confirme. Dans </w:t>
      </w:r>
      <w:r w:rsidRPr="00292007">
        <w:rPr>
          <w:rFonts w:cs="Times New Roman"/>
          <w:i/>
          <w:lang w:val="fr-CA"/>
        </w:rPr>
        <w:t>Dunsmuir</w:t>
      </w:r>
      <w:r w:rsidRPr="00292007">
        <w:rPr>
          <w:rFonts w:cs="Times New Roman"/>
          <w:lang w:val="fr-CA"/>
        </w:rPr>
        <w:t xml:space="preserve">, la Cour cite en l’approuvant une conclusion tirée dans </w:t>
      </w:r>
      <w:r w:rsidRPr="00292007">
        <w:rPr>
          <w:rFonts w:cs="Times New Roman"/>
          <w:i/>
          <w:lang w:val="fr-CA"/>
        </w:rPr>
        <w:t xml:space="preserve">United Taxi Drivers’ </w:t>
      </w:r>
      <w:proofErr w:type="spellStart"/>
      <w:r w:rsidRPr="00292007">
        <w:rPr>
          <w:rFonts w:cs="Times New Roman"/>
          <w:i/>
          <w:lang w:val="fr-CA"/>
        </w:rPr>
        <w:t>Fellowship</w:t>
      </w:r>
      <w:proofErr w:type="spellEnd"/>
      <w:r w:rsidRPr="00292007">
        <w:rPr>
          <w:rFonts w:cs="Times New Roman"/>
          <w:lang w:val="fr-CA"/>
        </w:rPr>
        <w:t xml:space="preserve">, où (comme </w:t>
      </w:r>
      <w:r w:rsidRPr="00292007">
        <w:rPr>
          <w:rFonts w:cs="Times New Roman"/>
          <w:lang w:val="fr-CA"/>
        </w:rPr>
        <w:lastRenderedPageBreak/>
        <w:t>en l’espèce) la question en litige était de savoir si la loi en cause autorisait la ville de Calgary à adopter une disposition réglementaire en vertu d’un pouvoir subordonné ou délégué. Dans ce cas, la disposition réglementaire limitait le nombre de plaques de taxi. Selon la Cour (au par. 5), la question soulevée en était une de compétence, ce qui appelait toujours l’application de la norme de la décision correcte. Il en est ainsi parce qu’une des principales fonctions d’une cour de justice est de faire en sorte qu’un délégataire comme la Commission ne puisse agir que dans les limites du pouvoir que lui confère le législateur. Une fois le principe posé, l’étiquette importe peu. Quelle que soit la façon dont on qualifie la question (une question de compétence, une question de validité, voire une sorte de question de droit), le principe demeure le même. L’exercice du pouvoir public doit toujours être autorisé par la loi. Dès lors, nul délégataire ne peut, dans l’exercice de son pouvoir de législation subordonnée (c’est</w:t>
      </w:r>
      <w:r w:rsidRPr="00292007">
        <w:rPr>
          <w:rFonts w:cs="Times New Roman"/>
          <w:lang w:val="fr-CA"/>
        </w:rPr>
        <w:noBreakHyphen/>
        <w:t>à</w:t>
      </w:r>
      <w:r w:rsidRPr="00292007">
        <w:rPr>
          <w:rFonts w:cs="Times New Roman"/>
          <w:lang w:val="fr-CA"/>
        </w:rPr>
        <w:noBreakHyphen/>
        <w:t xml:space="preserve">dire, lorsqu’il </w:t>
      </w:r>
      <w:r w:rsidRPr="00292007">
        <w:rPr>
          <w:rFonts w:cs="Times New Roman"/>
          <w:i/>
          <w:lang w:val="fr-CA"/>
        </w:rPr>
        <w:t>légifère</w:t>
      </w:r>
      <w:r w:rsidRPr="00292007">
        <w:rPr>
          <w:rFonts w:cs="Times New Roman"/>
          <w:lang w:val="fr-CA"/>
        </w:rPr>
        <w:t>), outrepasser le pouvoir qui lui est conféré. La primauté du droit ne saurait tolérer aucune entorse à ce principe (</w:t>
      </w:r>
      <w:r w:rsidRPr="00292007">
        <w:rPr>
          <w:rFonts w:cs="Times New Roman"/>
          <w:i/>
          <w:lang w:val="fr-CA"/>
        </w:rPr>
        <w:t>Dunsmuir</w:t>
      </w:r>
      <w:r w:rsidRPr="00292007">
        <w:rPr>
          <w:rFonts w:cs="Times New Roman"/>
          <w:lang w:val="fr-CA"/>
        </w:rPr>
        <w:t xml:space="preserve">, par. 29). </w:t>
      </w:r>
    </w:p>
    <w:p w:rsidR="00E70F7D" w:rsidRPr="00292007" w:rsidRDefault="00E70F7D" w:rsidP="00E70F7D">
      <w:pPr>
        <w:pStyle w:val="ParaNoNdepar-AltN"/>
        <w:tabs>
          <w:tab w:val="clear" w:pos="1152"/>
          <w:tab w:val="left" w:pos="1166"/>
        </w:tabs>
        <w:rPr>
          <w:rFonts w:cs="Times New Roman"/>
          <w:lang w:val="fr-CA"/>
        </w:rPr>
      </w:pPr>
      <w:r w:rsidRPr="00292007">
        <w:rPr>
          <w:rFonts w:cs="Times New Roman"/>
          <w:lang w:val="fr-CA"/>
        </w:rPr>
        <w:t xml:space="preserve">Troisièmement, je suis malheureusement en désaccord avec la juge en chef quant à la manière dont elle formule la question en litige : l’adoption du par. 26.2(1) par la Commission résulte-t-elle d’un exercice raisonnable du pouvoir délégué par la </w:t>
      </w:r>
      <w:r w:rsidR="001248D3">
        <w:rPr>
          <w:rFonts w:cs="Times New Roman"/>
          <w:i/>
          <w:lang w:val="fr-CA"/>
        </w:rPr>
        <w:t>Workers</w:t>
      </w:r>
      <w:r w:rsidRPr="00292007">
        <w:rPr>
          <w:rFonts w:cs="Times New Roman"/>
          <w:i/>
          <w:lang w:val="fr-CA"/>
        </w:rPr>
        <w:t xml:space="preserve"> Compensation Act</w:t>
      </w:r>
      <w:r w:rsidRPr="00292007">
        <w:rPr>
          <w:rFonts w:cs="Times New Roman"/>
          <w:lang w:val="fr-CA"/>
        </w:rPr>
        <w:t>,</w:t>
      </w:r>
      <w:r w:rsidRPr="00292007">
        <w:rPr>
          <w:rFonts w:cs="Times New Roman"/>
          <w:i/>
          <w:lang w:val="fr-CA"/>
        </w:rPr>
        <w:t xml:space="preserve"> </w:t>
      </w:r>
      <w:r w:rsidRPr="00292007">
        <w:rPr>
          <w:rFonts w:cs="Times New Roman"/>
          <w:lang w:val="fr-CA"/>
        </w:rPr>
        <w:t xml:space="preserve">R.S.B.C. 1996, c. 492? Bien qu’il incombe légitimement et nécessairement à l’autorité judiciaire de veiller à ce que les délégataires agissent dans les limites des pouvoirs qui leur sont conférés, ce n’est </w:t>
      </w:r>
      <w:r w:rsidRPr="00292007">
        <w:rPr>
          <w:rFonts w:cs="Times New Roman"/>
          <w:i/>
          <w:lang w:val="fr-CA"/>
        </w:rPr>
        <w:t>pas</w:t>
      </w:r>
      <w:r w:rsidRPr="00292007">
        <w:rPr>
          <w:rFonts w:cs="Times New Roman"/>
          <w:lang w:val="fr-CA"/>
        </w:rPr>
        <w:t xml:space="preserve"> sur le « caractère raisonnable » global de la </w:t>
      </w:r>
      <w:r w:rsidRPr="00292007">
        <w:rPr>
          <w:rFonts w:cs="Times New Roman"/>
          <w:i/>
          <w:lang w:val="fr-CA"/>
        </w:rPr>
        <w:t>manière</w:t>
      </w:r>
      <w:r w:rsidRPr="00292007">
        <w:rPr>
          <w:rFonts w:cs="Times New Roman"/>
          <w:lang w:val="fr-CA"/>
        </w:rPr>
        <w:t xml:space="preserve"> dont le délégataire choisit d’exercer son pouvoir légitime que la cour de révision doit diriger son attention. En bref, même si le </w:t>
      </w:r>
      <w:r w:rsidRPr="00292007">
        <w:rPr>
          <w:rFonts w:cs="Times New Roman"/>
          <w:i/>
          <w:lang w:val="fr-CA"/>
        </w:rPr>
        <w:t>pouvoir</w:t>
      </w:r>
      <w:r w:rsidRPr="00292007">
        <w:rPr>
          <w:rFonts w:cs="Times New Roman"/>
          <w:lang w:val="fr-CA"/>
        </w:rPr>
        <w:t xml:space="preserve"> </w:t>
      </w:r>
      <w:r w:rsidRPr="00292007">
        <w:rPr>
          <w:rFonts w:cs="Times New Roman"/>
          <w:lang w:val="fr-CA"/>
        </w:rPr>
        <w:lastRenderedPageBreak/>
        <w:t xml:space="preserve">de la Commission d’adopter des règlements peut (et doit) être susceptible de contrôle, les </w:t>
      </w:r>
      <w:r w:rsidRPr="00292007">
        <w:rPr>
          <w:rFonts w:cs="Times New Roman"/>
          <w:i/>
          <w:lang w:val="fr-CA"/>
        </w:rPr>
        <w:t>moyens</w:t>
      </w:r>
      <w:r w:rsidRPr="00292007">
        <w:rPr>
          <w:rFonts w:cs="Times New Roman"/>
          <w:lang w:val="fr-CA"/>
        </w:rPr>
        <w:t xml:space="preserve"> que choisit la Commission pour réglementer sont, sous réserve de ce que j’affirme plus loin au sujet de l’arrêt </w:t>
      </w:r>
      <w:proofErr w:type="spellStart"/>
      <w:r w:rsidRPr="00292007">
        <w:rPr>
          <w:rFonts w:cs="Times New Roman"/>
          <w:i/>
          <w:lang w:val="fr-CA"/>
        </w:rPr>
        <w:t>Catalyst</w:t>
      </w:r>
      <w:proofErr w:type="spellEnd"/>
      <w:r w:rsidRPr="00292007">
        <w:rPr>
          <w:rFonts w:cs="Times New Roman"/>
          <w:i/>
          <w:lang w:val="fr-CA"/>
        </w:rPr>
        <w:t xml:space="preserve"> Paper Corp. c. North </w:t>
      </w:r>
      <w:proofErr w:type="spellStart"/>
      <w:r w:rsidRPr="00292007">
        <w:rPr>
          <w:rFonts w:cs="Times New Roman"/>
          <w:i/>
          <w:lang w:val="fr-CA"/>
        </w:rPr>
        <w:t>Cowichan</w:t>
      </w:r>
      <w:proofErr w:type="spellEnd"/>
      <w:r w:rsidRPr="00292007">
        <w:rPr>
          <w:rFonts w:cs="Times New Roman"/>
          <w:i/>
          <w:lang w:val="fr-CA"/>
        </w:rPr>
        <w:t xml:space="preserve"> (District)</w:t>
      </w:r>
      <w:r w:rsidRPr="00292007">
        <w:rPr>
          <w:rFonts w:cs="Times New Roman"/>
          <w:lang w:val="fr-CA"/>
        </w:rPr>
        <w:t>, 2012 CSC 2, [2012] 1 R.C.S. 5, du ressort de la Commission, non de la Cour ou de quelque autre juridiction.</w:t>
      </w:r>
    </w:p>
    <w:p w:rsidR="00E70F7D" w:rsidRPr="00292007" w:rsidRDefault="00E70F7D" w:rsidP="00E70F7D">
      <w:pPr>
        <w:pStyle w:val="ParaNoNdepar-AltN"/>
        <w:rPr>
          <w:rFonts w:cs="Times New Roman"/>
          <w:lang w:val="fr-CA"/>
        </w:rPr>
      </w:pPr>
      <w:r w:rsidRPr="00292007">
        <w:rPr>
          <w:rFonts w:cs="Times New Roman"/>
          <w:lang w:val="fr-CA"/>
        </w:rPr>
        <w:t>Les motifs de la juge en chef sur ce point vont bien au</w:t>
      </w:r>
      <w:r w:rsidRPr="00292007">
        <w:rPr>
          <w:rFonts w:cs="Times New Roman"/>
          <w:lang w:val="fr-CA"/>
        </w:rPr>
        <w:noBreakHyphen/>
        <w:t xml:space="preserve">delà de ce que dit la Cour dans </w:t>
      </w:r>
      <w:proofErr w:type="spellStart"/>
      <w:r w:rsidRPr="00292007">
        <w:rPr>
          <w:rFonts w:cs="Times New Roman"/>
          <w:i/>
          <w:lang w:val="fr-CA"/>
        </w:rPr>
        <w:t>Catalyst</w:t>
      </w:r>
      <w:proofErr w:type="spellEnd"/>
      <w:r w:rsidRPr="00292007">
        <w:rPr>
          <w:rFonts w:cs="Times New Roman"/>
          <w:lang w:val="fr-CA"/>
        </w:rPr>
        <w:t xml:space="preserve"> en ce qu’ils reconnaissent un nouveau fondement universel au contrôle judiciaire d’une </w:t>
      </w:r>
      <w:r w:rsidRPr="00292007">
        <w:rPr>
          <w:rFonts w:cs="Times New Roman"/>
          <w:i/>
          <w:lang w:val="fr-CA"/>
        </w:rPr>
        <w:t>mesure réglementaire choisie</w:t>
      </w:r>
      <w:r w:rsidRPr="00292007">
        <w:rPr>
          <w:rFonts w:cs="Times New Roman"/>
          <w:lang w:val="fr-CA"/>
        </w:rPr>
        <w:t xml:space="preserve"> par un délégataire dans les limites de son pouvoir légal. Précisons que le caractère déraisonnable, en tant que motif reconnu dans </w:t>
      </w:r>
      <w:proofErr w:type="spellStart"/>
      <w:r w:rsidRPr="00292007">
        <w:rPr>
          <w:rFonts w:cs="Times New Roman"/>
          <w:i/>
          <w:lang w:val="fr-CA"/>
        </w:rPr>
        <w:t>Catalyst</w:t>
      </w:r>
      <w:proofErr w:type="spellEnd"/>
      <w:r w:rsidRPr="00292007">
        <w:rPr>
          <w:rFonts w:cs="Times New Roman"/>
          <w:lang w:val="fr-CA"/>
        </w:rPr>
        <w:t xml:space="preserve"> pour invalider l’acte d’un délégataire, s’applique de manière restreinte (et seulement lorsque la validité</w:t>
      </w:r>
      <w:r w:rsidRPr="00292007">
        <w:rPr>
          <w:rFonts w:cs="Times New Roman"/>
          <w:i/>
          <w:lang w:val="fr-CA"/>
        </w:rPr>
        <w:t xml:space="preserve"> </w:t>
      </w:r>
      <w:r w:rsidRPr="00292007">
        <w:rPr>
          <w:rFonts w:cs="Times New Roman"/>
          <w:lang w:val="fr-CA"/>
        </w:rPr>
        <w:t xml:space="preserve">est établie). Comme l’explique la Cour dans </w:t>
      </w:r>
      <w:proofErr w:type="spellStart"/>
      <w:r w:rsidRPr="00292007">
        <w:rPr>
          <w:rFonts w:cs="Times New Roman"/>
          <w:i/>
          <w:lang w:val="fr-CA"/>
        </w:rPr>
        <w:t>Catalyst</w:t>
      </w:r>
      <w:proofErr w:type="spellEnd"/>
      <w:r w:rsidR="00664D64">
        <w:rPr>
          <w:rFonts w:cs="Times New Roman"/>
          <w:lang w:val="fr-CA"/>
        </w:rPr>
        <w:t>, par. 21 et 24</w:t>
      </w:r>
      <w:r w:rsidRPr="00292007">
        <w:rPr>
          <w:rFonts w:cs="Times New Roman"/>
          <w:lang w:val="fr-CA"/>
        </w:rPr>
        <w:t>, les mesures qui, dans le cas de règlements municipaux, seraient prises illégitimement par un conseil municipal correspondent à celles qui sont déraisonnables au sens que précise le juge en chef lord Russel</w:t>
      </w:r>
      <w:r w:rsidR="00A208CD">
        <w:rPr>
          <w:rFonts w:cs="Times New Roman"/>
          <w:lang w:val="fr-CA"/>
        </w:rPr>
        <w:t>l</w:t>
      </w:r>
      <w:r w:rsidRPr="00292007">
        <w:rPr>
          <w:rFonts w:cs="Times New Roman"/>
          <w:lang w:val="fr-CA"/>
        </w:rPr>
        <w:t xml:space="preserve"> dans </w:t>
      </w:r>
      <w:proofErr w:type="spellStart"/>
      <w:r w:rsidRPr="00292007">
        <w:rPr>
          <w:rFonts w:cs="Times New Roman"/>
          <w:i/>
          <w:lang w:val="fr-CA"/>
        </w:rPr>
        <w:t>Kruse</w:t>
      </w:r>
      <w:proofErr w:type="spellEnd"/>
      <w:r w:rsidRPr="00292007">
        <w:rPr>
          <w:rFonts w:cs="Times New Roman"/>
          <w:i/>
          <w:lang w:val="fr-CA"/>
        </w:rPr>
        <w:t xml:space="preserve"> c. Johnson</w:t>
      </w:r>
      <w:r w:rsidRPr="00292007">
        <w:rPr>
          <w:rFonts w:cs="Times New Roman"/>
          <w:lang w:val="fr-CA"/>
        </w:rPr>
        <w:t>, [1898] 2 Q.B. 91 (C. div.) :</w:t>
      </w:r>
    </w:p>
    <w:p w:rsidR="00E70F7D" w:rsidRPr="00292007" w:rsidRDefault="00E70F7D" w:rsidP="00E70F7D">
      <w:pPr>
        <w:pStyle w:val="Citation-AltC"/>
        <w:ind w:hanging="1166"/>
        <w:contextualSpacing w:val="0"/>
        <w:rPr>
          <w:lang w:val="fr-CA"/>
        </w:rPr>
      </w:pPr>
      <w:r w:rsidRPr="00292007">
        <w:rPr>
          <w:lang w:val="fr-CA"/>
        </w:rPr>
        <w:tab/>
        <w:t>[</w:t>
      </w:r>
      <w:r w:rsidRPr="00292007">
        <w:rPr>
          <w:smallCaps/>
          <w:lang w:val="fr-CA"/>
        </w:rPr>
        <w:t>traduction</w:t>
      </w:r>
      <w:r w:rsidRPr="00292007">
        <w:rPr>
          <w:lang w:val="fr-CA"/>
        </w:rPr>
        <w:t xml:space="preserve">] Mais déraisonnable en quel sens? On peut penser, par exemple, à des règlements partiaux et d’application inégale pour des catégories distinctes, à des règlements manifestement injustes, à des règlements empreints de mauvaise foi, à des règlements entraînant une immixtion abusive ou gratuite dans les droits des personnes qui y sont assujetties, au point d’être injustifiables aux yeux d’hommes raisonnables; la Cour pourrait alors dire « le Parlement n’a jamais eu l’intention de donner le pouvoir de faire de telles règles; elles sont déraisonnables et </w:t>
      </w:r>
      <w:r w:rsidRPr="00292007">
        <w:rPr>
          <w:i/>
          <w:iCs/>
          <w:lang w:val="fr-CA"/>
        </w:rPr>
        <w:t>ultra vires</w:t>
      </w:r>
      <w:r w:rsidRPr="00292007">
        <w:rPr>
          <w:lang w:val="fr-CA"/>
        </w:rPr>
        <w:t>. » [p. 99</w:t>
      </w:r>
      <w:r w:rsidRPr="00292007">
        <w:rPr>
          <w:lang w:val="fr-CA"/>
        </w:rPr>
        <w:noBreakHyphen/>
        <w:t>100]</w:t>
      </w:r>
    </w:p>
    <w:p w:rsidR="00E70F7D" w:rsidRPr="00292007" w:rsidRDefault="00E70F7D" w:rsidP="00E70F7D">
      <w:pPr>
        <w:pStyle w:val="ContinueParaSuitedupar-AltP"/>
        <w:rPr>
          <w:rFonts w:cs="Times New Roman"/>
          <w:lang w:val="fr-CA"/>
        </w:rPr>
      </w:pPr>
      <w:r w:rsidRPr="00292007">
        <w:rPr>
          <w:rFonts w:cs="Times New Roman"/>
          <w:lang w:val="fr-CA"/>
        </w:rPr>
        <w:lastRenderedPageBreak/>
        <w:t xml:space="preserve">Le caractère déraisonnable, au sens précisé dans </w:t>
      </w:r>
      <w:proofErr w:type="spellStart"/>
      <w:r w:rsidRPr="00292007">
        <w:rPr>
          <w:rFonts w:cs="Times New Roman"/>
          <w:i/>
          <w:lang w:val="fr-CA"/>
        </w:rPr>
        <w:t>Catalyst</w:t>
      </w:r>
      <w:proofErr w:type="spellEnd"/>
      <w:r w:rsidRPr="00292007">
        <w:rPr>
          <w:rFonts w:cs="Times New Roman"/>
          <w:lang w:val="fr-CA"/>
        </w:rPr>
        <w:t xml:space="preserve">, tient donc à des éléments ou à des considérations qui sont depuis longtemps tenus pour illégitimes dans le contexte de l’administration municipale (p. ex. </w:t>
      </w:r>
      <w:r w:rsidRPr="00292007">
        <w:rPr>
          <w:rFonts w:cs="Times New Roman"/>
          <w:i/>
          <w:lang w:val="fr-CA"/>
        </w:rPr>
        <w:t>Saumur c. City of Quebec</w:t>
      </w:r>
      <w:r w:rsidRPr="00292007">
        <w:rPr>
          <w:rFonts w:cs="Times New Roman"/>
          <w:lang w:val="fr-CA"/>
        </w:rPr>
        <w:t xml:space="preserve">, [1953] 2 R.C.S. 299), et non à des éléments susceptibles d’amener la cour de révision à tenir une mesure pour « déraisonnable » simplement parce qu’elle n’est pas nécessaire ou souhaitable au vu des objectifs d’une loi habilitante en particulier. </w:t>
      </w:r>
    </w:p>
    <w:p w:rsidR="00E70F7D" w:rsidRPr="00292007" w:rsidRDefault="00E70F7D" w:rsidP="00E70F7D">
      <w:pPr>
        <w:pStyle w:val="ParaNoNdepar-AltN"/>
        <w:rPr>
          <w:rFonts w:cs="Times New Roman"/>
          <w:lang w:val="fr-CA"/>
        </w:rPr>
      </w:pPr>
      <w:r w:rsidRPr="00292007">
        <w:rPr>
          <w:rFonts w:cs="Times New Roman"/>
          <w:lang w:val="fr-CA"/>
        </w:rPr>
        <w:t xml:space="preserve">Il vaut la peine de répéter que la question dont nous sommes saisis n’est pas de savoir si le règlement en cause « résulte ou non d’un exercice raisonnable du pouvoir délégué » (motifs de la juge en chef McLachlin, par. 23), mais bien si la Commission </w:t>
      </w:r>
      <w:proofErr w:type="gramStart"/>
      <w:r w:rsidRPr="00292007">
        <w:rPr>
          <w:rFonts w:cs="Times New Roman"/>
          <w:i/>
          <w:lang w:val="fr-CA"/>
        </w:rPr>
        <w:t>a</w:t>
      </w:r>
      <w:proofErr w:type="gramEnd"/>
      <w:r w:rsidRPr="00292007">
        <w:rPr>
          <w:rFonts w:cs="Times New Roman"/>
          <w:i/>
          <w:lang w:val="fr-CA"/>
        </w:rPr>
        <w:t xml:space="preserve"> le pouvoir d’adopter </w:t>
      </w:r>
      <w:r w:rsidRPr="00292007">
        <w:rPr>
          <w:rFonts w:cs="Times New Roman"/>
          <w:lang w:val="fr-CA"/>
        </w:rPr>
        <w:t>ce règlement. Je signale que pour les parties au pourvoi et les juridictions inférieures, la question que soulève le par. 26.</w:t>
      </w:r>
      <w:r w:rsidR="00A208CD">
        <w:rPr>
          <w:rFonts w:cs="Times New Roman"/>
          <w:lang w:val="fr-CA"/>
        </w:rPr>
        <w:t>2</w:t>
      </w:r>
      <w:r w:rsidRPr="00292007">
        <w:rPr>
          <w:rFonts w:cs="Times New Roman"/>
          <w:lang w:val="fr-CA"/>
        </w:rPr>
        <w:t>(1) en est une de compétence</w:t>
      </w:r>
      <w:r>
        <w:rPr>
          <w:rFonts w:cs="Times New Roman"/>
          <w:lang w:val="fr-CA"/>
        </w:rPr>
        <w:t xml:space="preserve"> ou de validité</w:t>
      </w:r>
      <w:r w:rsidRPr="00292007">
        <w:rPr>
          <w:rFonts w:cs="Times New Roman"/>
          <w:lang w:val="fr-CA"/>
        </w:rPr>
        <w:t xml:space="preserve">. </w:t>
      </w:r>
    </w:p>
    <w:p w:rsidR="00E70F7D" w:rsidRPr="00292007" w:rsidRDefault="00E70F7D" w:rsidP="00E70F7D">
      <w:pPr>
        <w:pStyle w:val="ParaNoNdepar-AltN"/>
        <w:rPr>
          <w:rFonts w:cs="Times New Roman"/>
          <w:lang w:val="fr-CA"/>
        </w:rPr>
      </w:pPr>
      <w:r w:rsidRPr="00292007">
        <w:rPr>
          <w:rFonts w:cs="Times New Roman"/>
          <w:lang w:val="fr-CA"/>
        </w:rPr>
        <w:t xml:space="preserve">Je ne suis donc pas non plus d’accord avec la juge en chef lorsqu’elle met à l’écart l’examen de la compétence au profit de la prise en compte de divers facteurs contextuels censés appuyer un contrôle selon la norme de la décision raisonnable (motifs de la juge en chef McLachlin, par. 19-21). Si l’adoption du par. 26.2(1) par la Commission soulève une question de compétence — ce que ne nie pas la juge en chef —, de tels facteurs contextuels ne sont pas pertinents. </w:t>
      </w:r>
    </w:p>
    <w:p w:rsidR="00E70F7D" w:rsidRPr="00292007" w:rsidRDefault="00E70F7D" w:rsidP="00E70F7D">
      <w:pPr>
        <w:pStyle w:val="ParaNoNdepar-AltN"/>
        <w:rPr>
          <w:rFonts w:cs="Times New Roman"/>
          <w:lang w:val="fr-CA"/>
        </w:rPr>
      </w:pPr>
      <w:r w:rsidRPr="00292007">
        <w:rPr>
          <w:rFonts w:cs="Times New Roman"/>
          <w:lang w:val="fr-CA"/>
        </w:rPr>
        <w:t xml:space="preserve">Cependant, je conviens avec elle que le libellé de l’art. 225 de la Loi, qui confère à la Commission le pouvoir de prendre les règlements qu’elle « juge nécessaires ou souhaitables relativement à la santé et à la sécurité au travail et à </w:t>
      </w:r>
      <w:r w:rsidRPr="00292007">
        <w:rPr>
          <w:rFonts w:cs="Times New Roman"/>
          <w:lang w:val="fr-CA"/>
        </w:rPr>
        <w:lastRenderedPageBreak/>
        <w:t xml:space="preserve">l’environnement de travail », est suffisamment large pour étayer la conclusion selon laquelle l’adoption du par. 26.2(1) du Règlement est </w:t>
      </w:r>
      <w:r w:rsidRPr="00292007">
        <w:rPr>
          <w:rFonts w:cs="Times New Roman"/>
          <w:i/>
          <w:lang w:val="fr-CA"/>
        </w:rPr>
        <w:t>intra vires</w:t>
      </w:r>
      <w:r w:rsidRPr="00292007">
        <w:rPr>
          <w:rFonts w:cs="Times New Roman"/>
          <w:lang w:val="fr-CA"/>
        </w:rPr>
        <w:t xml:space="preserve">. </w:t>
      </w:r>
    </w:p>
    <w:p w:rsidR="00E70F7D" w:rsidRPr="00292007" w:rsidRDefault="00E70F7D" w:rsidP="00E70F7D">
      <w:pPr>
        <w:pStyle w:val="ParaNoNdepar-AltN"/>
        <w:rPr>
          <w:rFonts w:cs="Times New Roman"/>
          <w:lang w:val="fr-CA"/>
        </w:rPr>
      </w:pPr>
      <w:r w:rsidRPr="00292007">
        <w:rPr>
          <w:rFonts w:cs="Times New Roman"/>
          <w:lang w:val="fr-CA"/>
        </w:rPr>
        <w:t>En ce qui concerne la sanction, je conviens avec ma collègue la juge Côté que la décision de la Commission d’en infliger une à West Fraser en application du par. 196(1) de la Loi pour une infraction au par. 26.2(1) du Règlement est manifestement déraisonnable, et je souscris à ses motifs sur ce point.</w:t>
      </w:r>
    </w:p>
    <w:p w:rsidR="00E70F7D" w:rsidRPr="00292007" w:rsidRDefault="00E70F7D" w:rsidP="00E70F7D">
      <w:pPr>
        <w:pStyle w:val="ParaNoNdepar-AltN"/>
        <w:rPr>
          <w:rFonts w:cs="Times New Roman"/>
          <w:lang w:val="fr-CA"/>
        </w:rPr>
      </w:pPr>
      <w:r w:rsidRPr="00292007">
        <w:rPr>
          <w:rFonts w:cs="Times New Roman"/>
          <w:lang w:val="fr-CA"/>
        </w:rPr>
        <w:t xml:space="preserve">J’ajoute ce qui suit. Les motifs qui précèdent prennent appui, comme je le dis au par. 114, sur la manière dont la Cour conçoit la question de compétence au vu de ses arrêts, en particulier l’arrêt </w:t>
      </w:r>
      <w:r w:rsidRPr="00292007">
        <w:rPr>
          <w:rFonts w:cs="Times New Roman"/>
          <w:i/>
          <w:lang w:val="fr-CA"/>
        </w:rPr>
        <w:t>Dunsmuir</w:t>
      </w:r>
      <w:r w:rsidRPr="00292007">
        <w:rPr>
          <w:rFonts w:cs="Times New Roman"/>
          <w:lang w:val="fr-CA"/>
        </w:rPr>
        <w:t xml:space="preserve">. Même si on a parfois exprimé des doutes concernant la catégorie et la définition de la question de compétence dans </w:t>
      </w:r>
      <w:r w:rsidRPr="00292007">
        <w:rPr>
          <w:rFonts w:cs="Times New Roman"/>
          <w:i/>
          <w:lang w:val="fr-CA"/>
        </w:rPr>
        <w:t xml:space="preserve">Dunsmuir </w:t>
      </w:r>
      <w:r w:rsidRPr="00292007">
        <w:rPr>
          <w:rFonts w:cs="Times New Roman"/>
          <w:lang w:val="fr-CA"/>
        </w:rPr>
        <w:t>(</w:t>
      </w:r>
      <w:r w:rsidRPr="00292007">
        <w:rPr>
          <w:rFonts w:cs="Times New Roman"/>
          <w:i/>
          <w:lang w:val="fr-CA"/>
        </w:rPr>
        <w:t xml:space="preserve">Alberta (Information and </w:t>
      </w:r>
      <w:proofErr w:type="spellStart"/>
      <w:r w:rsidRPr="00292007">
        <w:rPr>
          <w:rFonts w:cs="Times New Roman"/>
          <w:i/>
          <w:lang w:val="fr-CA"/>
        </w:rPr>
        <w:t>Privacy</w:t>
      </w:r>
      <w:proofErr w:type="spellEnd"/>
      <w:r w:rsidRPr="00292007">
        <w:rPr>
          <w:rFonts w:cs="Times New Roman"/>
          <w:i/>
          <w:lang w:val="fr-CA"/>
        </w:rPr>
        <w:t xml:space="preserve"> Commissioner) c</w:t>
      </w:r>
      <w:r w:rsidRPr="00292007">
        <w:rPr>
          <w:rFonts w:cs="Times New Roman"/>
          <w:i/>
          <w:iCs/>
          <w:lang w:val="fr-CA"/>
        </w:rPr>
        <w:t>.</w:t>
      </w:r>
      <w:r w:rsidRPr="00292007">
        <w:rPr>
          <w:rFonts w:cs="Times New Roman"/>
          <w:i/>
          <w:lang w:val="fr-CA"/>
        </w:rPr>
        <w:t xml:space="preserve"> Alberta </w:t>
      </w:r>
      <w:proofErr w:type="spellStart"/>
      <w:r w:rsidRPr="00292007">
        <w:rPr>
          <w:rFonts w:cs="Times New Roman"/>
          <w:i/>
          <w:lang w:val="fr-CA"/>
        </w:rPr>
        <w:t>Teachers</w:t>
      </w:r>
      <w:proofErr w:type="spellEnd"/>
      <w:r w:rsidRPr="00292007">
        <w:rPr>
          <w:rFonts w:cs="Times New Roman"/>
          <w:i/>
          <w:lang w:val="fr-CA"/>
        </w:rPr>
        <w:t>’ Association</w:t>
      </w:r>
      <w:r w:rsidRPr="00292007">
        <w:rPr>
          <w:rFonts w:cs="Times New Roman"/>
          <w:lang w:val="fr-CA"/>
        </w:rPr>
        <w:t>, 2011 CSC 61, [2011] 3 R.C.S. 654, par. 42) ou minimisé l’importance de cette question en affirmant qu’elle avait une « portée étroite » ou qu’elle « se présent[ait] rarement » (</w:t>
      </w:r>
      <w:r w:rsidRPr="00292007">
        <w:rPr>
          <w:rFonts w:cs="Times New Roman"/>
          <w:i/>
          <w:lang w:val="fr-CA"/>
        </w:rPr>
        <w:t>A</w:t>
      </w:r>
      <w:r w:rsidRPr="00292007">
        <w:rPr>
          <w:rFonts w:cs="Times New Roman"/>
          <w:i/>
          <w:iCs/>
          <w:lang w:val="fr-CA"/>
        </w:rPr>
        <w:t xml:space="preserve">lberta </w:t>
      </w:r>
      <w:proofErr w:type="spellStart"/>
      <w:r w:rsidRPr="00292007">
        <w:rPr>
          <w:rFonts w:cs="Times New Roman"/>
          <w:i/>
          <w:iCs/>
          <w:lang w:val="fr-CA"/>
        </w:rPr>
        <w:t>Teachers</w:t>
      </w:r>
      <w:proofErr w:type="spellEnd"/>
      <w:r w:rsidRPr="00292007">
        <w:rPr>
          <w:rFonts w:cs="Times New Roman"/>
          <w:lang w:val="fr-CA"/>
        </w:rPr>
        <w:t xml:space="preserve">, par. 39; </w:t>
      </w:r>
      <w:r w:rsidRPr="00292007">
        <w:rPr>
          <w:rFonts w:cs="Times New Roman"/>
          <w:i/>
          <w:iCs/>
          <w:lang w:val="fr-CA"/>
        </w:rPr>
        <w:t>Edmonton (Ville) c. Edmonton East (</w:t>
      </w:r>
      <w:proofErr w:type="spellStart"/>
      <w:r w:rsidRPr="00292007">
        <w:rPr>
          <w:rFonts w:cs="Times New Roman"/>
          <w:i/>
          <w:iCs/>
          <w:lang w:val="fr-CA"/>
        </w:rPr>
        <w:t>Capilano</w:t>
      </w:r>
      <w:proofErr w:type="spellEnd"/>
      <w:r w:rsidRPr="00292007">
        <w:rPr>
          <w:rFonts w:cs="Times New Roman"/>
          <w:i/>
          <w:iCs/>
          <w:lang w:val="fr-CA"/>
        </w:rPr>
        <w:t>) Shopping Centres Ltd.</w:t>
      </w:r>
      <w:r w:rsidRPr="00292007">
        <w:rPr>
          <w:rFonts w:cs="Times New Roman"/>
          <w:lang w:val="fr-CA"/>
        </w:rPr>
        <w:t xml:space="preserve">, 2016 CSC 47, [2016] 2 R.C.S. 293, par. 26; </w:t>
      </w:r>
      <w:r w:rsidRPr="00292007">
        <w:rPr>
          <w:rStyle w:val="sccappellantforindexchar0"/>
          <w:rFonts w:cs="Times New Roman"/>
          <w:i/>
          <w:lang w:val="fr-CA"/>
        </w:rPr>
        <w:t>Québec</w:t>
      </w:r>
      <w:r w:rsidRPr="00292007">
        <w:rPr>
          <w:rFonts w:cs="Times New Roman"/>
          <w:i/>
          <w:lang w:val="fr-CA"/>
        </w:rPr>
        <w:t xml:space="preserve"> (Procureur</w:t>
      </w:r>
      <w:r w:rsidR="00A208CD">
        <w:rPr>
          <w:rFonts w:cs="Times New Roman"/>
          <w:i/>
          <w:lang w:val="fr-CA"/>
        </w:rPr>
        <w:t>e</w:t>
      </w:r>
      <w:r w:rsidRPr="00292007">
        <w:rPr>
          <w:rFonts w:cs="Times New Roman"/>
          <w:i/>
          <w:lang w:val="fr-CA"/>
        </w:rPr>
        <w:t xml:space="preserve"> gé</w:t>
      </w:r>
      <w:r w:rsidRPr="00292007">
        <w:rPr>
          <w:rStyle w:val="sccappellantforindexchar0"/>
          <w:rFonts w:cs="Times New Roman"/>
          <w:i/>
          <w:lang w:val="fr-CA"/>
        </w:rPr>
        <w:t>néral</w:t>
      </w:r>
      <w:r w:rsidR="00A208CD">
        <w:rPr>
          <w:rStyle w:val="sccappellantforindexchar0"/>
          <w:rFonts w:cs="Times New Roman"/>
          <w:i/>
          <w:lang w:val="fr-CA"/>
        </w:rPr>
        <w:t>e</w:t>
      </w:r>
      <w:r w:rsidRPr="00292007">
        <w:rPr>
          <w:rStyle w:val="sccappellantforindexchar0"/>
          <w:rFonts w:cs="Times New Roman"/>
          <w:i/>
          <w:lang w:val="fr-CA"/>
        </w:rPr>
        <w:t>) c</w:t>
      </w:r>
      <w:r w:rsidRPr="00292007">
        <w:rPr>
          <w:rFonts w:cs="Times New Roman"/>
          <w:i/>
          <w:iCs/>
          <w:lang w:val="fr-CA"/>
        </w:rPr>
        <w:t>.</w:t>
      </w:r>
      <w:r w:rsidRPr="00292007">
        <w:rPr>
          <w:rFonts w:cs="Times New Roman"/>
          <w:i/>
          <w:lang w:val="fr-CA"/>
        </w:rPr>
        <w:t xml:space="preserve"> </w:t>
      </w:r>
      <w:r w:rsidRPr="00292007">
        <w:rPr>
          <w:rStyle w:val="sccrespondentforindexchar0"/>
          <w:rFonts w:cs="Times New Roman"/>
          <w:i/>
          <w:lang w:val="fr-CA"/>
        </w:rPr>
        <w:t>Guérin</w:t>
      </w:r>
      <w:r w:rsidRPr="00292007">
        <w:rPr>
          <w:rStyle w:val="sccrespondentforindexchar0"/>
          <w:rFonts w:cs="Times New Roman"/>
          <w:lang w:val="fr-CA"/>
        </w:rPr>
        <w:t xml:space="preserve">, 2017 CSC 42, </w:t>
      </w:r>
      <w:r w:rsidRPr="00292007">
        <w:rPr>
          <w:rFonts w:cs="Times New Roman"/>
          <w:lang w:val="fr-CA"/>
        </w:rPr>
        <w:t xml:space="preserve">[2017] 2 R.C.S. 3, par. 42), le cadre établi dans </w:t>
      </w:r>
      <w:r w:rsidRPr="00292007">
        <w:rPr>
          <w:rFonts w:cs="Times New Roman"/>
          <w:i/>
          <w:lang w:val="fr-CA"/>
        </w:rPr>
        <w:t>Dunsmuir</w:t>
      </w:r>
      <w:r w:rsidRPr="00292007">
        <w:rPr>
          <w:rFonts w:cs="Times New Roman"/>
          <w:lang w:val="fr-CA"/>
        </w:rPr>
        <w:t xml:space="preserve"> continue de s’appliquer à son égard en raison de la règle du </w:t>
      </w:r>
      <w:proofErr w:type="spellStart"/>
      <w:r w:rsidRPr="00A208CD">
        <w:rPr>
          <w:rFonts w:cs="Times New Roman"/>
          <w:i/>
          <w:lang w:val="fr-CA"/>
        </w:rPr>
        <w:t>stare</w:t>
      </w:r>
      <w:proofErr w:type="spellEnd"/>
      <w:r w:rsidRPr="00A208CD">
        <w:rPr>
          <w:rFonts w:cs="Times New Roman"/>
          <w:i/>
          <w:lang w:val="fr-CA"/>
        </w:rPr>
        <w:t xml:space="preserve"> </w:t>
      </w:r>
      <w:proofErr w:type="spellStart"/>
      <w:r w:rsidRPr="00A208CD">
        <w:rPr>
          <w:rFonts w:cs="Times New Roman"/>
          <w:i/>
          <w:lang w:val="fr-CA"/>
        </w:rPr>
        <w:t>decisis</w:t>
      </w:r>
      <w:proofErr w:type="spellEnd"/>
      <w:r w:rsidRPr="00292007">
        <w:rPr>
          <w:rFonts w:cs="Times New Roman"/>
          <w:lang w:val="fr-CA"/>
        </w:rPr>
        <w:t>.</w:t>
      </w:r>
    </w:p>
    <w:p w:rsidR="00E70F7D" w:rsidRPr="00292007" w:rsidRDefault="00E70F7D" w:rsidP="00E70F7D">
      <w:pPr>
        <w:pStyle w:val="ParaNoNdepar-AltN"/>
        <w:rPr>
          <w:rFonts w:cs="Times New Roman"/>
          <w:lang w:val="fr-CA"/>
        </w:rPr>
      </w:pPr>
      <w:r w:rsidRPr="00292007">
        <w:rPr>
          <w:rFonts w:cs="Times New Roman"/>
          <w:lang w:val="fr-CA"/>
        </w:rPr>
        <w:t xml:space="preserve">Je ne dis pas pour autant que tout est parfait. Je reconnais que, dans bien des cas, la distinction entre une affaire qui soulève une véritable question de compétence et celle qui fait seulement intervenir l’application de la loi habilitante par le délégataire sera au mieux insaisissable. De manière plus générale, même si suivant </w:t>
      </w:r>
      <w:r w:rsidRPr="00292007">
        <w:rPr>
          <w:rFonts w:cs="Times New Roman"/>
          <w:lang w:val="fr-CA"/>
        </w:rPr>
        <w:lastRenderedPageBreak/>
        <w:t xml:space="preserve">l’arrêt </w:t>
      </w:r>
      <w:proofErr w:type="spellStart"/>
      <w:r w:rsidRPr="00292007">
        <w:rPr>
          <w:rFonts w:cs="Times New Roman"/>
          <w:i/>
          <w:lang w:val="fr-CA"/>
        </w:rPr>
        <w:t>Housen</w:t>
      </w:r>
      <w:proofErr w:type="spellEnd"/>
      <w:r w:rsidRPr="00292007">
        <w:rPr>
          <w:rFonts w:cs="Times New Roman"/>
          <w:i/>
          <w:lang w:val="fr-CA"/>
        </w:rPr>
        <w:t xml:space="preserve"> c. </w:t>
      </w:r>
      <w:proofErr w:type="spellStart"/>
      <w:r w:rsidRPr="00292007">
        <w:rPr>
          <w:rFonts w:cs="Times New Roman"/>
          <w:i/>
          <w:lang w:val="fr-CA"/>
        </w:rPr>
        <w:t>Nikolaisen</w:t>
      </w:r>
      <w:proofErr w:type="spellEnd"/>
      <w:r w:rsidRPr="00292007">
        <w:rPr>
          <w:rFonts w:cs="Times New Roman"/>
          <w:lang w:val="fr-CA"/>
        </w:rPr>
        <w:t xml:space="preserve">, 2002 CSC 33, [2002] 2 R.C.S. 235, une approche binaire de la norme de contrôle applicable convient en appel, une démarche plus souple, qui s’attache au degré d’intensité du contrôle requis plutôt qu’à l’appartenance de la question à l’une des deux catégories, pourrait mieux s’adapter aux considérations contextuelles qui varient inévitablement d’une décision administrative à l’autre. Au nombre de ces considérations contextuelles mentionnons l’étendue du pouvoir discrétionnaire conféré par la loi habilitante, la nature de la décision, celle du décideur et les enjeux pour les intéressés (voir p. ex. </w:t>
      </w:r>
      <w:r w:rsidRPr="00292007">
        <w:rPr>
          <w:rFonts w:cs="Times New Roman"/>
          <w:i/>
          <w:lang w:val="en-US"/>
        </w:rPr>
        <w:t>Pham c. Secretary of State for the Home Department</w:t>
      </w:r>
      <w:r w:rsidRPr="00292007">
        <w:rPr>
          <w:rFonts w:cs="Times New Roman"/>
          <w:lang w:val="en-US"/>
        </w:rPr>
        <w:t>, [2015] UKSC 19, [20</w:t>
      </w:r>
      <w:r w:rsidR="00A208CD">
        <w:rPr>
          <w:rFonts w:cs="Times New Roman"/>
          <w:lang w:val="en-US"/>
        </w:rPr>
        <w:t>1</w:t>
      </w:r>
      <w:r w:rsidRPr="00292007">
        <w:rPr>
          <w:rFonts w:cs="Times New Roman"/>
          <w:lang w:val="en-US"/>
        </w:rPr>
        <w:t xml:space="preserve">5] 1 W.L.R. 1591, par. 107, lord </w:t>
      </w:r>
      <w:proofErr w:type="spellStart"/>
      <w:r w:rsidRPr="00292007">
        <w:rPr>
          <w:rFonts w:cs="Times New Roman"/>
          <w:lang w:val="en-US"/>
        </w:rPr>
        <w:t>Sumption</w:t>
      </w:r>
      <w:proofErr w:type="spellEnd"/>
      <w:r w:rsidRPr="00292007">
        <w:rPr>
          <w:rFonts w:cs="Times New Roman"/>
          <w:lang w:val="en-US"/>
        </w:rPr>
        <w:t xml:space="preserve">). </w:t>
      </w:r>
      <w:r w:rsidRPr="00292007">
        <w:rPr>
          <w:rFonts w:cs="Times New Roman"/>
          <w:lang w:val="fr-CA"/>
        </w:rPr>
        <w:t>Appliquée dans d’autres ressorts, une telle démarche compte également des adeptes au sein de cours d’appel du pays (</w:t>
      </w:r>
      <w:r w:rsidRPr="00292007">
        <w:rPr>
          <w:rFonts w:cs="Times New Roman"/>
          <w:i/>
          <w:lang w:val="fr-CA"/>
        </w:rPr>
        <w:t xml:space="preserve">Canada (Transports, Infrastructure et Collectivités) c. </w:t>
      </w:r>
      <w:proofErr w:type="spellStart"/>
      <w:r w:rsidRPr="00292007">
        <w:rPr>
          <w:rFonts w:cs="Times New Roman"/>
          <w:i/>
          <w:lang w:val="fr-CA"/>
        </w:rPr>
        <w:t>Farwaha</w:t>
      </w:r>
      <w:proofErr w:type="spellEnd"/>
      <w:r w:rsidRPr="00292007">
        <w:rPr>
          <w:rFonts w:cs="Times New Roman"/>
          <w:lang w:val="fr-CA"/>
        </w:rPr>
        <w:t>, 2014 CAF 56, [2015] 2 R.C.F. 1006, par. 90</w:t>
      </w:r>
      <w:r w:rsidRPr="00292007">
        <w:rPr>
          <w:rFonts w:cs="Times New Roman"/>
          <w:lang w:val="fr-CA"/>
        </w:rPr>
        <w:noBreakHyphen/>
        <w:t xml:space="preserve">92; </w:t>
      </w:r>
      <w:r w:rsidRPr="00292007">
        <w:rPr>
          <w:rFonts w:cs="Times New Roman"/>
          <w:i/>
          <w:lang w:val="fr-CA"/>
        </w:rPr>
        <w:t xml:space="preserve">Mills c. </w:t>
      </w:r>
      <w:proofErr w:type="spellStart"/>
      <w:r w:rsidRPr="00292007">
        <w:rPr>
          <w:rFonts w:cs="Times New Roman"/>
          <w:i/>
          <w:lang w:val="fr-CA"/>
        </w:rPr>
        <w:t>Workplace</w:t>
      </w:r>
      <w:proofErr w:type="spellEnd"/>
      <w:r w:rsidRPr="00292007">
        <w:rPr>
          <w:rFonts w:cs="Times New Roman"/>
          <w:i/>
          <w:lang w:val="fr-CA"/>
        </w:rPr>
        <w:t xml:space="preserve"> </w:t>
      </w:r>
      <w:proofErr w:type="spellStart"/>
      <w:r w:rsidRPr="00292007">
        <w:rPr>
          <w:rFonts w:cs="Times New Roman"/>
          <w:i/>
          <w:lang w:val="fr-CA"/>
        </w:rPr>
        <w:t>Safety</w:t>
      </w:r>
      <w:proofErr w:type="spellEnd"/>
      <w:r w:rsidRPr="00292007">
        <w:rPr>
          <w:rFonts w:cs="Times New Roman"/>
          <w:i/>
          <w:lang w:val="fr-CA"/>
        </w:rPr>
        <w:t xml:space="preserve"> and Insurance Appeals Tribunal</w:t>
      </w:r>
      <w:r w:rsidRPr="00292007">
        <w:rPr>
          <w:rFonts w:cs="Times New Roman"/>
          <w:lang w:val="fr-CA"/>
        </w:rPr>
        <w:t>, 2008 ONCA 436, 237 O.A.C. 71, par. 22). À mon avis, ce principe général, à savoir que le cadre présidant à la détermination de la norme de contrôle devrait être suffisamment souple pour tenir compte de la diversité des organismes administratifs, des questions dont ils sont saisis, de leurs décisions, de leur expertise et de leurs mandats, n’a rien d’inconciliable avec la double fonction constitutionnelle du contrôle judiciaire, à savoir maintenir la primauté du droit et assurer la suprématie législative (</w:t>
      </w:r>
      <w:r w:rsidRPr="00292007">
        <w:rPr>
          <w:rFonts w:cs="Times New Roman"/>
          <w:i/>
          <w:lang w:val="fr-CA"/>
        </w:rPr>
        <w:t>Dunsmuir</w:t>
      </w:r>
      <w:r w:rsidRPr="00292007">
        <w:rPr>
          <w:rFonts w:cs="Times New Roman"/>
          <w:lang w:val="fr-CA"/>
        </w:rPr>
        <w:t>, par. 27 et 30).</w:t>
      </w:r>
    </w:p>
    <w:p w:rsidR="00E70F7D" w:rsidRPr="00292007" w:rsidRDefault="00E70F7D" w:rsidP="00E70F7D">
      <w:pPr>
        <w:pStyle w:val="ParaNoNdepar-AltN"/>
        <w:rPr>
          <w:rFonts w:cs="Times New Roman"/>
          <w:lang w:val="fr-CA"/>
        </w:rPr>
      </w:pPr>
      <w:r w:rsidRPr="00292007">
        <w:rPr>
          <w:rFonts w:cs="Times New Roman"/>
          <w:lang w:val="fr-CA"/>
        </w:rPr>
        <w:t>Je suis d’avis d’accueillir le pourvoi.</w:t>
      </w:r>
    </w:p>
    <w:p w:rsidR="00E70F7D" w:rsidRDefault="00E70F7D" w:rsidP="001248D3">
      <w:pPr>
        <w:pStyle w:val="ParaNoNdepar-AltN"/>
        <w:numPr>
          <w:ilvl w:val="0"/>
          <w:numId w:val="0"/>
        </w:numPr>
        <w:ind w:firstLine="1170"/>
        <w:rPr>
          <w:lang w:val="fr-CA"/>
        </w:rPr>
      </w:pPr>
      <w:r w:rsidRPr="00A040E4">
        <w:rPr>
          <w:lang w:val="fr-CA"/>
        </w:rPr>
        <w:t>Version française des motifs rendus par</w:t>
      </w:r>
    </w:p>
    <w:p w:rsidR="00E70F7D" w:rsidRPr="00A12F5A" w:rsidRDefault="0015401E" w:rsidP="0015401E">
      <w:pPr>
        <w:pStyle w:val="ParaNoNdepar-AltN"/>
        <w:rPr>
          <w:lang w:val="fr-CA"/>
        </w:rPr>
      </w:pPr>
      <w:r>
        <w:rPr>
          <w:smallCaps/>
          <w:lang w:val="fr-CA"/>
        </w:rPr>
        <w:lastRenderedPageBreak/>
        <w:t>Le juge Rowe</w:t>
      </w:r>
      <w:r>
        <w:rPr>
          <w:lang w:val="fr-CA"/>
        </w:rPr>
        <w:t xml:space="preserve"> </w:t>
      </w:r>
      <w:r w:rsidR="001248D3">
        <w:rPr>
          <w:lang w:val="fr-CA"/>
        </w:rPr>
        <w:t xml:space="preserve">(dissident) </w:t>
      </w:r>
      <w:r w:rsidRPr="0015401E">
        <w:rPr>
          <w:lang w:val="fr-CA"/>
        </w:rPr>
        <w:t>—</w:t>
      </w:r>
      <w:r>
        <w:rPr>
          <w:lang w:val="fr-CA"/>
        </w:rPr>
        <w:t xml:space="preserve"> </w:t>
      </w:r>
      <w:r w:rsidR="00E70F7D" w:rsidRPr="00A12F5A">
        <w:rPr>
          <w:lang w:val="fr-CA"/>
        </w:rPr>
        <w:t xml:space="preserve">Le contrôle judiciaire de l’exercice du pouvoir délégué est fondamental à la primauté du droit. Comme le dit la juge en chef McLachlin dans l’arrêt </w:t>
      </w:r>
      <w:proofErr w:type="spellStart"/>
      <w:r w:rsidR="00E70F7D" w:rsidRPr="00A12F5A">
        <w:rPr>
          <w:i/>
          <w:lang w:val="fr-CA"/>
        </w:rPr>
        <w:t>Catalyst</w:t>
      </w:r>
      <w:proofErr w:type="spellEnd"/>
      <w:r w:rsidR="00E70F7D" w:rsidRPr="00A12F5A">
        <w:rPr>
          <w:i/>
          <w:lang w:val="fr-CA"/>
        </w:rPr>
        <w:t xml:space="preserve"> Paper Cor</w:t>
      </w:r>
      <w:r w:rsidR="00E70F7D">
        <w:rPr>
          <w:i/>
          <w:lang w:val="fr-CA"/>
        </w:rPr>
        <w:t>p. </w:t>
      </w:r>
      <w:r w:rsidR="00E70F7D" w:rsidRPr="00A12F5A">
        <w:rPr>
          <w:i/>
          <w:lang w:val="fr-CA"/>
        </w:rPr>
        <w:t xml:space="preserve">c. North </w:t>
      </w:r>
      <w:proofErr w:type="spellStart"/>
      <w:r w:rsidR="00E70F7D" w:rsidRPr="00A12F5A">
        <w:rPr>
          <w:i/>
          <w:lang w:val="fr-CA"/>
        </w:rPr>
        <w:t>Cowichan</w:t>
      </w:r>
      <w:proofErr w:type="spellEnd"/>
      <w:r w:rsidR="00E70F7D" w:rsidRPr="00A12F5A">
        <w:rPr>
          <w:i/>
          <w:lang w:val="fr-CA"/>
        </w:rPr>
        <w:t xml:space="preserve"> (District)</w:t>
      </w:r>
      <w:r w:rsidR="00E70F7D" w:rsidRPr="00A12F5A">
        <w:rPr>
          <w:lang w:val="fr-CA"/>
        </w:rPr>
        <w:t>,</w:t>
      </w:r>
      <w:r w:rsidR="00E70F7D" w:rsidRPr="00A12F5A">
        <w:rPr>
          <w:i/>
          <w:lang w:val="fr-CA"/>
        </w:rPr>
        <w:t xml:space="preserve"> </w:t>
      </w:r>
      <w:r w:rsidR="00E70F7D" w:rsidRPr="00A12F5A">
        <w:rPr>
          <w:lang w:val="fr-CA"/>
        </w:rPr>
        <w:t xml:space="preserve">2012 CSC 2, [2012] 1 R.C.S. 5, </w:t>
      </w:r>
      <w:r w:rsidR="00E70F7D">
        <w:rPr>
          <w:lang w:val="fr-CA"/>
        </w:rPr>
        <w:t>par. </w:t>
      </w:r>
      <w:r w:rsidR="00E70F7D" w:rsidRPr="00A12F5A">
        <w:rPr>
          <w:lang w:val="fr-CA"/>
        </w:rPr>
        <w:t>10</w:t>
      </w:r>
      <w:r w:rsidR="00A208CD">
        <w:rPr>
          <w:lang w:val="fr-CA"/>
        </w:rPr>
        <w:t xml:space="preserve"> : </w:t>
      </w:r>
      <w:r w:rsidR="00E70F7D" w:rsidRPr="00A12F5A">
        <w:rPr>
          <w:lang w:val="fr-CA"/>
        </w:rPr>
        <w:t>« </w:t>
      </w:r>
      <w:r w:rsidR="00A208CD">
        <w:rPr>
          <w:lang w:val="fr-CA"/>
        </w:rPr>
        <w:t>L</w:t>
      </w:r>
      <w:r w:rsidR="00E70F7D" w:rsidRPr="00A12F5A">
        <w:rPr>
          <w:lang w:val="fr-CA"/>
        </w:rPr>
        <w:t>a primauté du droit pose comme principe fondamental que le pouvoir de l’État doit être exercé en conformité avec la loi. Ce principe protégé par la Constitution a pour corollaire que les cours supérieures peuvent être appelées à examiner si un exercice particulier du pouvoir de l’État</w:t>
      </w:r>
      <w:r w:rsidR="00A208CD">
        <w:rPr>
          <w:lang w:val="fr-CA"/>
        </w:rPr>
        <w:t xml:space="preserve"> est conforme à la loi ou non. »</w:t>
      </w:r>
    </w:p>
    <w:p w:rsidR="00E70F7D" w:rsidRPr="00A12F5A" w:rsidRDefault="00E70F7D" w:rsidP="00E70F7D">
      <w:pPr>
        <w:pStyle w:val="ParaNoNdepar-AltN"/>
        <w:rPr>
          <w:rFonts w:cs="Times New Roman"/>
          <w:lang w:val="fr-CA"/>
        </w:rPr>
      </w:pPr>
      <w:r w:rsidRPr="00A12F5A">
        <w:rPr>
          <w:rFonts w:cs="Times New Roman"/>
          <w:lang w:val="fr-CA"/>
        </w:rPr>
        <w:t>Pareil contrôle a notamment lieu lorsqu’il s’agit de décider si une disposition réglementaire est valide ou non. L’examen comporte alors deux étapes. La première s’intéresse à la compétence « au sens strict de la faculté [de l’organisme] de connaître de la question » (</w:t>
      </w:r>
      <w:r w:rsidRPr="00A12F5A">
        <w:rPr>
          <w:rFonts w:cs="Times New Roman"/>
          <w:i/>
          <w:lang w:val="fr-CA"/>
        </w:rPr>
        <w:t>Dunsmuir c. Nouveau</w:t>
      </w:r>
      <w:r>
        <w:rPr>
          <w:rFonts w:cs="Times New Roman"/>
          <w:i/>
          <w:lang w:val="fr-CA"/>
        </w:rPr>
        <w:noBreakHyphen/>
      </w:r>
      <w:r w:rsidRPr="00A12F5A">
        <w:rPr>
          <w:rFonts w:cs="Times New Roman"/>
          <w:i/>
          <w:lang w:val="fr-CA"/>
        </w:rPr>
        <w:t>Brunswick</w:t>
      </w:r>
      <w:r w:rsidRPr="00A12F5A">
        <w:rPr>
          <w:rFonts w:cs="Times New Roman"/>
          <w:lang w:val="fr-CA"/>
        </w:rPr>
        <w:t xml:space="preserve">, 2008 CSC 9, [2008] 1 R.C.S. 190, </w:t>
      </w:r>
      <w:r>
        <w:rPr>
          <w:rFonts w:cs="Times New Roman"/>
          <w:lang w:val="fr-CA"/>
        </w:rPr>
        <w:t>par. </w:t>
      </w:r>
      <w:r w:rsidRPr="00A12F5A">
        <w:rPr>
          <w:rFonts w:cs="Times New Roman"/>
          <w:lang w:val="fr-CA"/>
        </w:rPr>
        <w:t>59). La seconde s’intéresse à la teneur de la disposition et vise l’exercice du</w:t>
      </w:r>
      <w:r>
        <w:rPr>
          <w:rFonts w:cs="Times New Roman"/>
          <w:lang w:val="fr-CA"/>
        </w:rPr>
        <w:t xml:space="preserve"> </w:t>
      </w:r>
      <w:r w:rsidRPr="00A12F5A">
        <w:rPr>
          <w:rFonts w:cs="Times New Roman"/>
          <w:lang w:val="fr-CA"/>
        </w:rPr>
        <w:t>pouvoir conféré</w:t>
      </w:r>
      <w:r>
        <w:rPr>
          <w:rFonts w:cs="Times New Roman"/>
          <w:lang w:val="fr-CA"/>
        </w:rPr>
        <w:t> :</w:t>
      </w:r>
      <w:r w:rsidRPr="00A12F5A">
        <w:rPr>
          <w:rFonts w:cs="Times New Roman"/>
          <w:lang w:val="fr-CA"/>
        </w:rPr>
        <w:t xml:space="preserve"> « </w:t>
      </w:r>
      <w:r w:rsidR="00A208CD">
        <w:rPr>
          <w:rFonts w:cs="Times New Roman"/>
          <w:lang w:val="fr-CA"/>
        </w:rPr>
        <w:t xml:space="preserve">. . . </w:t>
      </w:r>
      <w:r w:rsidRPr="00A12F5A">
        <w:rPr>
          <w:rFonts w:cs="Times New Roman"/>
          <w:lang w:val="fr-CA"/>
        </w:rPr>
        <w:t xml:space="preserve">la teneur [du] </w:t>
      </w:r>
      <w:proofErr w:type="spellStart"/>
      <w:r w:rsidRPr="00A12F5A">
        <w:rPr>
          <w:rFonts w:cs="Times New Roman"/>
          <w:lang w:val="fr-CA"/>
        </w:rPr>
        <w:t>règlemen</w:t>
      </w:r>
      <w:proofErr w:type="spellEnd"/>
      <w:r w:rsidRPr="00A12F5A">
        <w:rPr>
          <w:rFonts w:cs="Times New Roman"/>
          <w:lang w:val="fr-CA"/>
        </w:rPr>
        <w:t>[t] doit être conforme à la raison d’être du régime mis sur pied par la législature » (</w:t>
      </w:r>
      <w:proofErr w:type="spellStart"/>
      <w:r w:rsidRPr="00A12F5A">
        <w:rPr>
          <w:rFonts w:cs="Times New Roman"/>
          <w:i/>
          <w:lang w:val="fr-CA"/>
        </w:rPr>
        <w:t>Catalyst</w:t>
      </w:r>
      <w:proofErr w:type="spellEnd"/>
      <w:r w:rsidRPr="00A12F5A">
        <w:rPr>
          <w:rFonts w:cs="Times New Roman"/>
          <w:lang w:val="fr-CA"/>
        </w:rPr>
        <w:t>,</w:t>
      </w:r>
      <w:r w:rsidRPr="00A12F5A">
        <w:rPr>
          <w:rFonts w:cs="Times New Roman"/>
          <w:i/>
          <w:lang w:val="fr-CA"/>
        </w:rPr>
        <w:t xml:space="preserve"> </w:t>
      </w:r>
      <w:r>
        <w:rPr>
          <w:rFonts w:cs="Times New Roman"/>
          <w:lang w:val="fr-CA"/>
        </w:rPr>
        <w:t>par. </w:t>
      </w:r>
      <w:r w:rsidRPr="00A12F5A">
        <w:rPr>
          <w:rFonts w:cs="Times New Roman"/>
          <w:lang w:val="fr-CA"/>
        </w:rPr>
        <w:t>25). Les deux étapes supposent l’interprétation de la loi habilitante, la première s’attachant surtout à l’octroi du pouvoir de réglementer, la seconde s’intéressant plus généralement au régime de la loi et à son objet.</w:t>
      </w:r>
    </w:p>
    <w:p w:rsidR="00E70F7D" w:rsidRPr="00A12F5A" w:rsidRDefault="00E70F7D" w:rsidP="00E70F7D">
      <w:pPr>
        <w:pStyle w:val="ParaNoNdepar-AltN"/>
        <w:rPr>
          <w:rFonts w:cs="Times New Roman"/>
          <w:lang w:val="fr-CA"/>
        </w:rPr>
      </w:pPr>
      <w:r w:rsidRPr="00A12F5A">
        <w:rPr>
          <w:rFonts w:cs="Times New Roman"/>
          <w:lang w:val="fr-CA"/>
        </w:rPr>
        <w:t xml:space="preserve"> Sans s’y référer expressément, la juge en chef se penche sur la première étape aux </w:t>
      </w:r>
      <w:r>
        <w:rPr>
          <w:rFonts w:cs="Times New Roman"/>
          <w:lang w:val="fr-CA"/>
        </w:rPr>
        <w:t>par. </w:t>
      </w:r>
      <w:r w:rsidRPr="00A12F5A">
        <w:rPr>
          <w:rFonts w:cs="Times New Roman"/>
          <w:lang w:val="fr-CA"/>
        </w:rPr>
        <w:t>10</w:t>
      </w:r>
      <w:r w:rsidR="00A208CD">
        <w:rPr>
          <w:rFonts w:cs="Times New Roman"/>
          <w:lang w:val="fr-CA"/>
        </w:rPr>
        <w:t>-</w:t>
      </w:r>
      <w:r w:rsidRPr="00A12F5A">
        <w:rPr>
          <w:rFonts w:cs="Times New Roman"/>
          <w:lang w:val="fr-CA"/>
        </w:rPr>
        <w:t xml:space="preserve">11 de ses motifs, puis sur la seconde aux </w:t>
      </w:r>
      <w:r>
        <w:rPr>
          <w:rFonts w:cs="Times New Roman"/>
          <w:lang w:val="fr-CA"/>
        </w:rPr>
        <w:t>par. </w:t>
      </w:r>
      <w:r w:rsidRPr="00A12F5A">
        <w:rPr>
          <w:rFonts w:cs="Times New Roman"/>
          <w:lang w:val="fr-CA"/>
        </w:rPr>
        <w:t>12</w:t>
      </w:r>
      <w:r w:rsidR="00A208CD">
        <w:rPr>
          <w:rFonts w:cs="Times New Roman"/>
          <w:lang w:val="fr-CA"/>
        </w:rPr>
        <w:t>-</w:t>
      </w:r>
      <w:r w:rsidRPr="00A12F5A">
        <w:rPr>
          <w:rFonts w:cs="Times New Roman"/>
          <w:lang w:val="fr-CA"/>
        </w:rPr>
        <w:t xml:space="preserve">22. Compte tenu des remarques qui précèdent, je souscris à sa conclusion selon laquelle le </w:t>
      </w:r>
      <w:r>
        <w:rPr>
          <w:rFonts w:cs="Times New Roman"/>
          <w:lang w:val="fr-CA"/>
        </w:rPr>
        <w:t>par. </w:t>
      </w:r>
      <w:r w:rsidRPr="00A12F5A">
        <w:rPr>
          <w:rFonts w:cs="Times New Roman"/>
          <w:lang w:val="fr-CA"/>
        </w:rPr>
        <w:t>26.2(1) de l’</w:t>
      </w:r>
      <w:proofErr w:type="spellStart"/>
      <w:r w:rsidRPr="00A12F5A">
        <w:rPr>
          <w:rFonts w:cs="Times New Roman"/>
          <w:i/>
          <w:lang w:val="fr-CA"/>
        </w:rPr>
        <w:t>Occupational</w:t>
      </w:r>
      <w:proofErr w:type="spellEnd"/>
      <w:r w:rsidRPr="00A12F5A">
        <w:rPr>
          <w:rFonts w:cs="Times New Roman"/>
          <w:i/>
          <w:lang w:val="fr-CA"/>
        </w:rPr>
        <w:t xml:space="preserve"> Health and </w:t>
      </w:r>
      <w:proofErr w:type="spellStart"/>
      <w:r w:rsidRPr="00A12F5A">
        <w:rPr>
          <w:rFonts w:cs="Times New Roman"/>
          <w:i/>
          <w:lang w:val="fr-CA"/>
        </w:rPr>
        <w:t>Safety</w:t>
      </w:r>
      <w:proofErr w:type="spellEnd"/>
      <w:r w:rsidRPr="00A12F5A">
        <w:rPr>
          <w:rFonts w:cs="Times New Roman"/>
          <w:i/>
          <w:lang w:val="fr-CA"/>
        </w:rPr>
        <w:t xml:space="preserve"> </w:t>
      </w:r>
      <w:proofErr w:type="spellStart"/>
      <w:r w:rsidRPr="00A12F5A">
        <w:rPr>
          <w:rFonts w:cs="Times New Roman"/>
          <w:i/>
          <w:lang w:val="fr-CA"/>
        </w:rPr>
        <w:t>Regulation</w:t>
      </w:r>
      <w:proofErr w:type="spellEnd"/>
      <w:r w:rsidRPr="00A12F5A">
        <w:rPr>
          <w:rFonts w:cs="Times New Roman"/>
          <w:lang w:val="fr-CA"/>
        </w:rPr>
        <w:t xml:space="preserve">, B.C. Reg. 296/97, est </w:t>
      </w:r>
      <w:r w:rsidRPr="00A12F5A">
        <w:rPr>
          <w:rFonts w:cs="Times New Roman"/>
          <w:i/>
          <w:lang w:val="fr-CA"/>
        </w:rPr>
        <w:t>intra vires</w:t>
      </w:r>
      <w:r w:rsidRPr="00A12F5A">
        <w:rPr>
          <w:rFonts w:cs="Times New Roman"/>
          <w:lang w:val="fr-CA"/>
        </w:rPr>
        <w:t>.</w:t>
      </w:r>
    </w:p>
    <w:p w:rsidR="00E70F7D" w:rsidRPr="00A12F5A" w:rsidRDefault="00E70F7D" w:rsidP="00E70F7D">
      <w:pPr>
        <w:pStyle w:val="ParaNoNdepar-AltN"/>
        <w:rPr>
          <w:rFonts w:cs="Times New Roman"/>
          <w:lang w:val="fr-CA"/>
        </w:rPr>
      </w:pPr>
      <w:r w:rsidRPr="00A12F5A">
        <w:rPr>
          <w:rFonts w:cs="Times New Roman"/>
          <w:lang w:val="fr-CA"/>
        </w:rPr>
        <w:lastRenderedPageBreak/>
        <w:t xml:space="preserve">Je me permets cependant quelques remarques supplémentaires. Au </w:t>
      </w:r>
      <w:r w:rsidR="001248D3">
        <w:rPr>
          <w:rFonts w:cs="Times New Roman"/>
          <w:lang w:val="fr-CA"/>
        </w:rPr>
        <w:t>paragraphe</w:t>
      </w:r>
      <w:r>
        <w:rPr>
          <w:rFonts w:cs="Times New Roman"/>
          <w:lang w:val="fr-CA"/>
        </w:rPr>
        <w:t> </w:t>
      </w:r>
      <w:r w:rsidRPr="00A12F5A">
        <w:rPr>
          <w:rFonts w:cs="Times New Roman"/>
          <w:lang w:val="fr-CA"/>
        </w:rPr>
        <w:t>9 de ses motifs, la juge en chef cite à l’appui de sa thèse D. J. </w:t>
      </w:r>
      <w:proofErr w:type="spellStart"/>
      <w:r w:rsidRPr="00A12F5A">
        <w:rPr>
          <w:rFonts w:cs="Times New Roman"/>
          <w:lang w:val="fr-CA"/>
        </w:rPr>
        <w:t>Mullan</w:t>
      </w:r>
      <w:proofErr w:type="spellEnd"/>
      <w:r w:rsidRPr="00A12F5A">
        <w:rPr>
          <w:rFonts w:cs="Times New Roman"/>
          <w:lang w:val="fr-CA"/>
        </w:rPr>
        <w:t xml:space="preserve">, selon lequel l’application </w:t>
      </w:r>
      <w:r w:rsidR="00A208CD">
        <w:rPr>
          <w:rFonts w:cs="Times New Roman"/>
          <w:lang w:val="fr-CA"/>
        </w:rPr>
        <w:t xml:space="preserve">de </w:t>
      </w:r>
      <w:r w:rsidRPr="00A12F5A">
        <w:rPr>
          <w:rFonts w:cs="Times New Roman"/>
          <w:lang w:val="fr-CA"/>
        </w:rPr>
        <w:t xml:space="preserve">la norme de la </w:t>
      </w:r>
      <w:proofErr w:type="spellStart"/>
      <w:r w:rsidRPr="00A12F5A">
        <w:rPr>
          <w:rFonts w:cs="Times New Roman"/>
          <w:lang w:val="fr-CA"/>
        </w:rPr>
        <w:t>raisonnabilité</w:t>
      </w:r>
      <w:proofErr w:type="spellEnd"/>
      <w:r w:rsidRPr="00A12F5A">
        <w:rPr>
          <w:rFonts w:cs="Times New Roman"/>
          <w:lang w:val="fr-CA"/>
        </w:rPr>
        <w:t xml:space="preserve"> [</w:t>
      </w:r>
      <w:r w:rsidRPr="00A12F5A">
        <w:rPr>
          <w:rFonts w:cs="Times New Roman"/>
          <w:smallCaps/>
          <w:lang w:val="fr-CA"/>
        </w:rPr>
        <w:t>traduction</w:t>
      </w:r>
      <w:r w:rsidRPr="00A12F5A">
        <w:rPr>
          <w:rFonts w:cs="Times New Roman"/>
          <w:lang w:val="fr-CA"/>
        </w:rPr>
        <w:t>] « reconnaît que, dans beaucoup de cas, les personnes qui se consacrent quotidiennement à l’application de régimes administratifs souvent complexes possèdent ou acquièrent une grande connaissance ou sensibilité [fine] à l’égard des impératifs et des subtilités de ces régimes</w:t>
      </w:r>
      <w:r w:rsidR="0053219E">
        <w:rPr>
          <w:rFonts w:cs="Times New Roman"/>
          <w:lang w:val="fr-CA"/>
        </w:rPr>
        <w:t> </w:t>
      </w:r>
      <w:r w:rsidRPr="00A12F5A">
        <w:rPr>
          <w:rFonts w:cs="Times New Roman"/>
          <w:lang w:val="fr-CA"/>
        </w:rPr>
        <w:t>» (« </w:t>
      </w:r>
      <w:proofErr w:type="spellStart"/>
      <w:r w:rsidRPr="00A12F5A">
        <w:rPr>
          <w:rFonts w:cs="Times New Roman"/>
          <w:lang w:val="fr-CA"/>
        </w:rPr>
        <w:t>Establishing</w:t>
      </w:r>
      <w:proofErr w:type="spellEnd"/>
      <w:r w:rsidRPr="00A12F5A">
        <w:rPr>
          <w:rFonts w:cs="Times New Roman"/>
          <w:lang w:val="fr-CA"/>
        </w:rPr>
        <w:t xml:space="preserve"> the Standard of </w:t>
      </w:r>
      <w:proofErr w:type="spellStart"/>
      <w:r w:rsidRPr="00A12F5A">
        <w:rPr>
          <w:rFonts w:cs="Times New Roman"/>
          <w:lang w:val="fr-CA"/>
        </w:rPr>
        <w:t>Review</w:t>
      </w:r>
      <w:proofErr w:type="spellEnd"/>
      <w:r>
        <w:rPr>
          <w:rFonts w:cs="Times New Roman"/>
          <w:lang w:val="fr-CA"/>
        </w:rPr>
        <w:t> :</w:t>
      </w:r>
      <w:r w:rsidRPr="00A12F5A">
        <w:rPr>
          <w:rFonts w:cs="Times New Roman"/>
          <w:lang w:val="fr-CA"/>
        </w:rPr>
        <w:t xml:space="preserve"> The Struggle for </w:t>
      </w:r>
      <w:proofErr w:type="spellStart"/>
      <w:r w:rsidRPr="00A12F5A">
        <w:rPr>
          <w:rFonts w:cs="Times New Roman"/>
          <w:lang w:val="fr-CA"/>
        </w:rPr>
        <w:t>Complexity</w:t>
      </w:r>
      <w:proofErr w:type="spellEnd"/>
      <w:r w:rsidRPr="00A12F5A">
        <w:rPr>
          <w:rFonts w:cs="Times New Roman"/>
          <w:lang w:val="fr-CA"/>
        </w:rPr>
        <w:t xml:space="preserve">? » (2004), 17 </w:t>
      </w:r>
      <w:r w:rsidR="00A208CD">
        <w:rPr>
          <w:rFonts w:cs="Times New Roman"/>
          <w:i/>
          <w:lang w:val="fr-CA"/>
        </w:rPr>
        <w:t>R.C.D.A.P.</w:t>
      </w:r>
      <w:r>
        <w:rPr>
          <w:rFonts w:cs="Times New Roman"/>
          <w:i/>
          <w:lang w:val="fr-CA"/>
        </w:rPr>
        <w:t> </w:t>
      </w:r>
      <w:r w:rsidRPr="00A12F5A">
        <w:rPr>
          <w:rFonts w:cs="Times New Roman"/>
          <w:lang w:val="fr-CA"/>
        </w:rPr>
        <w:t xml:space="preserve">59, </w:t>
      </w:r>
      <w:r>
        <w:rPr>
          <w:rFonts w:cs="Times New Roman"/>
          <w:lang w:val="fr-CA"/>
        </w:rPr>
        <w:t>p. </w:t>
      </w:r>
      <w:r w:rsidRPr="00A12F5A">
        <w:rPr>
          <w:rFonts w:cs="Times New Roman"/>
          <w:lang w:val="fr-CA"/>
        </w:rPr>
        <w:t xml:space="preserve">93; </w:t>
      </w:r>
      <w:r w:rsidRPr="00A12F5A">
        <w:rPr>
          <w:rFonts w:cs="Times New Roman"/>
          <w:i/>
          <w:lang w:val="fr-CA"/>
        </w:rPr>
        <w:t>Dunsmuir</w:t>
      </w:r>
      <w:r w:rsidRPr="00A12F5A">
        <w:rPr>
          <w:rFonts w:cs="Times New Roman"/>
          <w:lang w:val="fr-CA"/>
        </w:rPr>
        <w:t xml:space="preserve">, </w:t>
      </w:r>
      <w:r>
        <w:rPr>
          <w:rFonts w:cs="Times New Roman"/>
          <w:lang w:val="fr-CA"/>
        </w:rPr>
        <w:t>par. </w:t>
      </w:r>
      <w:r w:rsidRPr="00A12F5A">
        <w:rPr>
          <w:rFonts w:cs="Times New Roman"/>
          <w:lang w:val="fr-CA"/>
        </w:rPr>
        <w:t>49). Il s’agit d’une généralisation excessive qui embrouille davantage la question qu’elle ne la clarifie. Certes, « [appliquer] quotidiennement » un régime administratif permet d’acquérir une « connaissance » et une « sensibilité [fine] » à l’égard des questions de principe qui se posent et de la mise en balance d’éléments à considérer lorsqu’il s’agit de rendre une décision discrétionnaire. Mais en quoi « appliquer quotidiennement » une loi rend</w:t>
      </w:r>
      <w:r>
        <w:rPr>
          <w:rFonts w:cs="Times New Roman"/>
          <w:lang w:val="fr-CA"/>
        </w:rPr>
        <w:noBreakHyphen/>
      </w:r>
      <w:r w:rsidRPr="00A12F5A">
        <w:rPr>
          <w:rFonts w:cs="Times New Roman"/>
          <w:lang w:val="fr-CA"/>
        </w:rPr>
        <w:t>il plus apte à interpréter celle</w:t>
      </w:r>
      <w:r>
        <w:rPr>
          <w:rFonts w:cs="Times New Roman"/>
          <w:lang w:val="fr-CA"/>
        </w:rPr>
        <w:noBreakHyphen/>
      </w:r>
      <w:r w:rsidRPr="00A12F5A">
        <w:rPr>
          <w:rFonts w:cs="Times New Roman"/>
          <w:lang w:val="fr-CA"/>
        </w:rPr>
        <w:t>ci, notamment pour déterminer l’étendue de la compétence, ce qui relève de l’analyse juridique? En fait, ce n’est pas le cas. C’est l’une des idées reçues sur l’expertise qui ont actuellement cours en droit administratif (</w:t>
      </w:r>
      <w:r w:rsidRPr="00A12F5A">
        <w:rPr>
          <w:rFonts w:cs="Times New Roman"/>
          <w:i/>
          <w:lang w:val="fr-CA"/>
        </w:rPr>
        <w:t>Garneau Community League c. Edmonton (City)</w:t>
      </w:r>
      <w:r w:rsidRPr="00A12F5A">
        <w:rPr>
          <w:rFonts w:cs="Times New Roman"/>
          <w:lang w:val="fr-CA"/>
        </w:rPr>
        <w:t>, 2017 ABCA 374, 60 Alta. L.R. (6th)</w:t>
      </w:r>
      <w:r w:rsidRPr="00A12F5A">
        <w:rPr>
          <w:rFonts w:cs="Times New Roman"/>
          <w:vertAlign w:val="superscript"/>
          <w:lang w:val="fr-CA"/>
        </w:rPr>
        <w:t xml:space="preserve"> </w:t>
      </w:r>
      <w:r w:rsidRPr="00A12F5A">
        <w:rPr>
          <w:rFonts w:cs="Times New Roman"/>
          <w:lang w:val="fr-CA"/>
        </w:rPr>
        <w:t xml:space="preserve">1, </w:t>
      </w:r>
      <w:r>
        <w:rPr>
          <w:rFonts w:cs="Times New Roman"/>
          <w:lang w:val="fr-CA"/>
        </w:rPr>
        <w:t>par. </w:t>
      </w:r>
      <w:r w:rsidRPr="00A12F5A">
        <w:rPr>
          <w:rFonts w:cs="Times New Roman"/>
          <w:lang w:val="fr-CA"/>
        </w:rPr>
        <w:t>94).</w:t>
      </w:r>
    </w:p>
    <w:p w:rsidR="00E70F7D" w:rsidRPr="00A12F5A" w:rsidRDefault="00E70F7D" w:rsidP="00E70F7D">
      <w:pPr>
        <w:pStyle w:val="ParaNoNdepar-AltN"/>
        <w:tabs>
          <w:tab w:val="clear" w:pos="1152"/>
          <w:tab w:val="left" w:pos="1166"/>
        </w:tabs>
        <w:rPr>
          <w:rFonts w:cs="Times New Roman"/>
          <w:lang w:val="fr-CA"/>
        </w:rPr>
      </w:pPr>
      <w:r w:rsidRPr="00A12F5A">
        <w:rPr>
          <w:rFonts w:cs="Times New Roman"/>
          <w:lang w:val="fr-CA"/>
        </w:rPr>
        <w:t>En ce qui concerne la peine pécuniaire, je conviens avec ma collègue la juge</w:t>
      </w:r>
      <w:r w:rsidR="001248D3">
        <w:rPr>
          <w:rFonts w:cs="Times New Roman"/>
          <w:lang w:val="fr-CA"/>
        </w:rPr>
        <w:t xml:space="preserve"> Côté que la décision du Worker</w:t>
      </w:r>
      <w:r w:rsidRPr="00A12F5A">
        <w:rPr>
          <w:rFonts w:cs="Times New Roman"/>
          <w:lang w:val="fr-CA"/>
        </w:rPr>
        <w:t>s</w:t>
      </w:r>
      <w:r w:rsidR="001248D3">
        <w:rPr>
          <w:rFonts w:cs="Times New Roman"/>
          <w:lang w:val="fr-CA"/>
        </w:rPr>
        <w:t>’</w:t>
      </w:r>
      <w:r w:rsidRPr="00A12F5A">
        <w:rPr>
          <w:rFonts w:cs="Times New Roman"/>
          <w:lang w:val="fr-CA"/>
        </w:rPr>
        <w:t xml:space="preserve"> Compens</w:t>
      </w:r>
      <w:r w:rsidR="001248D3">
        <w:rPr>
          <w:rFonts w:cs="Times New Roman"/>
          <w:lang w:val="fr-CA"/>
        </w:rPr>
        <w:t xml:space="preserve">ation Appeal Tribunal (2013 </w:t>
      </w:r>
      <w:proofErr w:type="spellStart"/>
      <w:r w:rsidR="001248D3">
        <w:rPr>
          <w:rFonts w:cs="Times New Roman"/>
          <w:lang w:val="fr-CA"/>
        </w:rPr>
        <w:t>Can</w:t>
      </w:r>
      <w:r w:rsidRPr="00A12F5A">
        <w:rPr>
          <w:rFonts w:cs="Times New Roman"/>
          <w:lang w:val="fr-CA"/>
        </w:rPr>
        <w:t>LII</w:t>
      </w:r>
      <w:proofErr w:type="spellEnd"/>
      <w:r w:rsidRPr="00A12F5A">
        <w:rPr>
          <w:rFonts w:cs="Times New Roman"/>
          <w:lang w:val="fr-CA"/>
        </w:rPr>
        <w:t xml:space="preserve"> 79509) est manifestement déraisonnable et va directement à l’encontre du texte clair du </w:t>
      </w:r>
      <w:r>
        <w:rPr>
          <w:rFonts w:cs="Times New Roman"/>
          <w:lang w:val="fr-CA"/>
        </w:rPr>
        <w:t>par. </w:t>
      </w:r>
      <w:r w:rsidRPr="00A12F5A">
        <w:rPr>
          <w:rFonts w:cs="Times New Roman"/>
          <w:lang w:val="fr-CA"/>
        </w:rPr>
        <w:t xml:space="preserve">196(1) de la </w:t>
      </w:r>
      <w:r w:rsidRPr="00A12F5A">
        <w:rPr>
          <w:rFonts w:cs="Times New Roman"/>
          <w:i/>
          <w:lang w:val="fr-CA"/>
        </w:rPr>
        <w:t>Workers Compensation Act</w:t>
      </w:r>
      <w:r w:rsidRPr="00A12F5A">
        <w:rPr>
          <w:rFonts w:cs="Times New Roman"/>
          <w:lang w:val="fr-CA"/>
        </w:rPr>
        <w:t xml:space="preserve">, R.S.B.C. 1996, c. 492. Je souscris </w:t>
      </w:r>
      <w:r w:rsidRPr="00A12F5A">
        <w:rPr>
          <w:rFonts w:cs="Times New Roman"/>
          <w:lang w:val="fr-CA"/>
        </w:rPr>
        <w:lastRenderedPageBreak/>
        <w:t xml:space="preserve">donc aux </w:t>
      </w:r>
      <w:r>
        <w:rPr>
          <w:rFonts w:cs="Times New Roman"/>
          <w:lang w:val="fr-CA"/>
        </w:rPr>
        <w:t>par. 94</w:t>
      </w:r>
      <w:r w:rsidR="00A208CD">
        <w:rPr>
          <w:rFonts w:cs="Times New Roman"/>
          <w:lang w:val="fr-CA"/>
        </w:rPr>
        <w:t>-</w:t>
      </w:r>
      <w:r>
        <w:rPr>
          <w:rFonts w:cs="Times New Roman"/>
          <w:lang w:val="fr-CA"/>
        </w:rPr>
        <w:t>110</w:t>
      </w:r>
      <w:r w:rsidRPr="00A12F5A">
        <w:rPr>
          <w:rFonts w:cs="Times New Roman"/>
          <w:lang w:val="fr-CA"/>
        </w:rPr>
        <w:t xml:space="preserve"> de ses motifs. Par conséquent, je suis d’avis </w:t>
      </w:r>
      <w:r>
        <w:rPr>
          <w:rFonts w:cs="Times New Roman"/>
          <w:lang w:val="fr-CA"/>
        </w:rPr>
        <w:t>d’accueillir</w:t>
      </w:r>
      <w:r w:rsidRPr="00A12F5A">
        <w:rPr>
          <w:rFonts w:cs="Times New Roman"/>
          <w:lang w:val="fr-CA"/>
        </w:rPr>
        <w:t xml:space="preserve"> le pourvoi pour ce motif.</w:t>
      </w:r>
    </w:p>
    <w:p w:rsidR="004D7D95" w:rsidRPr="00D5739B" w:rsidRDefault="004D7D95" w:rsidP="00F94818">
      <w:pPr>
        <w:pStyle w:val="SCCNormalDoubleSpacing"/>
        <w:spacing w:before="480" w:after="480"/>
        <w:rPr>
          <w:lang w:val="fr-CA"/>
        </w:rPr>
      </w:pPr>
      <w:r w:rsidRPr="00E70F7D">
        <w:rPr>
          <w:lang w:val="fr-CA"/>
        </w:rPr>
        <w:tab/>
      </w:r>
      <w:r w:rsidR="00F613EA" w:rsidRPr="00D5739B">
        <w:rPr>
          <w:i/>
          <w:lang w:val="fr-CA"/>
        </w:rPr>
        <w:t>Pourvoi rejeté avec dépens</w:t>
      </w:r>
      <w:r w:rsidR="00AA2B3F" w:rsidRPr="00D5739B">
        <w:rPr>
          <w:i/>
          <w:lang w:val="fr-CA"/>
        </w:rPr>
        <w:t xml:space="preserve"> en faveur </w:t>
      </w:r>
      <w:r w:rsidR="002C107A">
        <w:rPr>
          <w:i/>
          <w:lang w:val="fr-CA"/>
        </w:rPr>
        <w:t xml:space="preserve">de la </w:t>
      </w:r>
      <w:r w:rsidR="00AA2B3F" w:rsidRPr="00D5739B">
        <w:rPr>
          <w:i/>
          <w:lang w:val="fr-CA"/>
        </w:rPr>
        <w:t>Workers</w:t>
      </w:r>
      <w:r w:rsidR="00582B6A" w:rsidRPr="00D5739B">
        <w:rPr>
          <w:i/>
          <w:lang w:val="fr-CA"/>
        </w:rPr>
        <w:t>’</w:t>
      </w:r>
      <w:r w:rsidR="00AA2B3F" w:rsidRPr="00D5739B">
        <w:rPr>
          <w:i/>
          <w:lang w:val="fr-CA"/>
        </w:rPr>
        <w:t xml:space="preserve"> Compensation Board of British Columbia</w:t>
      </w:r>
      <w:r w:rsidR="00F613EA" w:rsidRPr="00D5739B">
        <w:rPr>
          <w:i/>
          <w:lang w:val="fr-CA"/>
        </w:rPr>
        <w:t xml:space="preserve">, les juges </w:t>
      </w:r>
      <w:r w:rsidR="00F613EA" w:rsidRPr="00D5739B">
        <w:rPr>
          <w:smallCaps/>
          <w:lang w:val="fr-CA"/>
        </w:rPr>
        <w:t>Côté</w:t>
      </w:r>
      <w:r w:rsidR="00F613EA" w:rsidRPr="00D5739B">
        <w:rPr>
          <w:i/>
          <w:smallCaps/>
          <w:lang w:val="fr-CA"/>
        </w:rPr>
        <w:t>,</w:t>
      </w:r>
      <w:r w:rsidR="00F613EA" w:rsidRPr="00D5739B">
        <w:rPr>
          <w:smallCaps/>
          <w:lang w:val="fr-CA"/>
        </w:rPr>
        <w:t xml:space="preserve"> Brown</w:t>
      </w:r>
      <w:r w:rsidR="00F613EA" w:rsidRPr="00D5739B">
        <w:rPr>
          <w:i/>
          <w:lang w:val="fr-CA"/>
        </w:rPr>
        <w:t xml:space="preserve"> et </w:t>
      </w:r>
      <w:r w:rsidR="00F613EA" w:rsidRPr="00D5739B">
        <w:rPr>
          <w:smallCaps/>
          <w:lang w:val="fr-CA"/>
        </w:rPr>
        <w:t>Rowe</w:t>
      </w:r>
      <w:r w:rsidR="00F613EA" w:rsidRPr="00D5739B">
        <w:rPr>
          <w:i/>
          <w:lang w:val="fr-CA"/>
        </w:rPr>
        <w:t xml:space="preserve"> sont dissidents.</w:t>
      </w:r>
    </w:p>
    <w:p w:rsidR="00813119" w:rsidRPr="00D5739B" w:rsidRDefault="00842162" w:rsidP="00F94818">
      <w:pPr>
        <w:pStyle w:val="SCCLawFirm"/>
        <w:spacing w:before="480" w:after="480"/>
        <w:rPr>
          <w:lang w:val="fr-CA"/>
        </w:rPr>
      </w:pPr>
      <w:r w:rsidRPr="00D5739B">
        <w:rPr>
          <w:lang w:val="fr-CA"/>
        </w:rPr>
        <w:tab/>
        <w:t>Procureurs de l</w:t>
      </w:r>
      <w:r w:rsidR="00582B6A" w:rsidRPr="00D5739B">
        <w:rPr>
          <w:lang w:val="fr-CA"/>
        </w:rPr>
        <w:t>’</w:t>
      </w:r>
      <w:r w:rsidRPr="00D5739B">
        <w:rPr>
          <w:lang w:val="fr-CA"/>
        </w:rPr>
        <w:t>appelante</w:t>
      </w:r>
      <w:r w:rsidR="00582B6A" w:rsidRPr="00D5739B">
        <w:rPr>
          <w:lang w:val="fr-CA"/>
        </w:rPr>
        <w:t> :</w:t>
      </w:r>
      <w:r w:rsidR="002942D5" w:rsidRPr="00D5739B">
        <w:rPr>
          <w:lang w:val="fr-CA"/>
        </w:rPr>
        <w:t> </w:t>
      </w:r>
      <w:r w:rsidRPr="00D5739B">
        <w:rPr>
          <w:lang w:val="fr-CA"/>
        </w:rPr>
        <w:t>Harris &amp; Company, Vancouver.</w:t>
      </w:r>
    </w:p>
    <w:p w:rsidR="00813119" w:rsidRPr="00D5739B" w:rsidRDefault="00842162" w:rsidP="00F94818">
      <w:pPr>
        <w:pStyle w:val="SCCLawFirm"/>
        <w:spacing w:before="480" w:after="480"/>
        <w:rPr>
          <w:lang w:val="en-US"/>
        </w:rPr>
      </w:pPr>
      <w:r w:rsidRPr="00D5739B">
        <w:rPr>
          <w:lang w:val="fr-CA"/>
        </w:rPr>
        <w:tab/>
      </w:r>
      <w:r w:rsidRPr="00D5739B">
        <w:rPr>
          <w:lang w:val="en-US"/>
        </w:rPr>
        <w:t xml:space="preserve">Procureur de </w:t>
      </w:r>
      <w:proofErr w:type="spellStart"/>
      <w:r w:rsidRPr="00D5739B">
        <w:rPr>
          <w:lang w:val="en-US"/>
        </w:rPr>
        <w:t>l</w:t>
      </w:r>
      <w:r w:rsidR="00582B6A" w:rsidRPr="00D5739B">
        <w:rPr>
          <w:lang w:val="en-US"/>
        </w:rPr>
        <w:t>’</w:t>
      </w:r>
      <w:r w:rsidRPr="00D5739B">
        <w:rPr>
          <w:lang w:val="en-US"/>
        </w:rPr>
        <w:t>intimé</w:t>
      </w:r>
      <w:proofErr w:type="spellEnd"/>
      <w:r w:rsidRPr="00D5739B">
        <w:rPr>
          <w:lang w:val="en-US"/>
        </w:rPr>
        <w:t xml:space="preserve"> Workers</w:t>
      </w:r>
      <w:r w:rsidR="00582B6A" w:rsidRPr="00D5739B">
        <w:rPr>
          <w:lang w:val="en-US"/>
        </w:rPr>
        <w:t>’</w:t>
      </w:r>
      <w:r w:rsidRPr="00D5739B">
        <w:rPr>
          <w:lang w:val="en-US"/>
        </w:rPr>
        <w:t xml:space="preserve"> Compensation Appeal </w:t>
      </w:r>
      <w:proofErr w:type="gramStart"/>
      <w:r w:rsidRPr="00D5739B">
        <w:rPr>
          <w:lang w:val="en-US"/>
        </w:rPr>
        <w:t>Tribunal</w:t>
      </w:r>
      <w:r w:rsidR="00582B6A" w:rsidRPr="00D5739B">
        <w:rPr>
          <w:lang w:val="en-US"/>
        </w:rPr>
        <w:t> :</w:t>
      </w:r>
      <w:proofErr w:type="gramEnd"/>
      <w:r w:rsidR="002942D5" w:rsidRPr="00D5739B">
        <w:rPr>
          <w:lang w:val="en-US"/>
        </w:rPr>
        <w:t> </w:t>
      </w:r>
      <w:r w:rsidRPr="00D5739B">
        <w:rPr>
          <w:lang w:val="en-US"/>
        </w:rPr>
        <w:t>Workers</w:t>
      </w:r>
      <w:r w:rsidR="00582B6A" w:rsidRPr="00D5739B">
        <w:rPr>
          <w:lang w:val="en-US"/>
        </w:rPr>
        <w:t>’</w:t>
      </w:r>
      <w:r w:rsidRPr="00D5739B">
        <w:rPr>
          <w:lang w:val="en-US"/>
        </w:rPr>
        <w:t xml:space="preserve"> Compensation Appeal Tribunal, Richmond.</w:t>
      </w:r>
    </w:p>
    <w:p w:rsidR="00813119" w:rsidRPr="00D5739B" w:rsidRDefault="00842162" w:rsidP="00F94818">
      <w:pPr>
        <w:pStyle w:val="SCCLawFirm"/>
        <w:spacing w:before="480" w:after="480"/>
        <w:rPr>
          <w:lang w:val="en-US"/>
        </w:rPr>
      </w:pPr>
      <w:r w:rsidRPr="00D5739B">
        <w:rPr>
          <w:lang w:val="en-US"/>
        </w:rPr>
        <w:tab/>
        <w:t xml:space="preserve">Procureur de </w:t>
      </w:r>
      <w:proofErr w:type="spellStart"/>
      <w:r w:rsidRPr="00D5739B">
        <w:rPr>
          <w:lang w:val="en-US"/>
        </w:rPr>
        <w:t>l</w:t>
      </w:r>
      <w:r w:rsidR="00582B6A" w:rsidRPr="00D5739B">
        <w:rPr>
          <w:lang w:val="en-US"/>
        </w:rPr>
        <w:t>’</w:t>
      </w:r>
      <w:r w:rsidRPr="00D5739B">
        <w:rPr>
          <w:lang w:val="en-US"/>
        </w:rPr>
        <w:t>intimé</w:t>
      </w:r>
      <w:r w:rsidR="002C107A">
        <w:rPr>
          <w:lang w:val="en-US"/>
        </w:rPr>
        <w:t>e</w:t>
      </w:r>
      <w:proofErr w:type="spellEnd"/>
      <w:r w:rsidRPr="00D5739B">
        <w:rPr>
          <w:lang w:val="en-US"/>
        </w:rPr>
        <w:t xml:space="preserve"> </w:t>
      </w:r>
      <w:r w:rsidRPr="00D5739B">
        <w:rPr>
          <w:rStyle w:val="SCCCounselPartyRoleChar"/>
          <w:lang w:val="en-US"/>
        </w:rPr>
        <w:t>Workers</w:t>
      </w:r>
      <w:r w:rsidR="00582B6A" w:rsidRPr="00D5739B">
        <w:rPr>
          <w:rStyle w:val="SCCCounselPartyRoleChar"/>
          <w:lang w:val="en-US"/>
        </w:rPr>
        <w:t>’</w:t>
      </w:r>
      <w:r w:rsidRPr="00D5739B">
        <w:rPr>
          <w:rStyle w:val="SCCCounselPartyRoleChar"/>
          <w:lang w:val="en-US"/>
        </w:rPr>
        <w:t xml:space="preserve"> Compensation Board of British </w:t>
      </w:r>
      <w:proofErr w:type="gramStart"/>
      <w:r w:rsidRPr="00D5739B">
        <w:rPr>
          <w:rStyle w:val="SCCCounselPartyRoleChar"/>
          <w:lang w:val="en-US"/>
        </w:rPr>
        <w:t>Columbia</w:t>
      </w:r>
      <w:r w:rsidR="00582B6A" w:rsidRPr="00D5739B">
        <w:rPr>
          <w:lang w:val="en-US"/>
        </w:rPr>
        <w:t> :</w:t>
      </w:r>
      <w:proofErr w:type="gramEnd"/>
      <w:r w:rsidR="002942D5" w:rsidRPr="00D5739B">
        <w:rPr>
          <w:lang w:val="en-US"/>
        </w:rPr>
        <w:t> </w:t>
      </w:r>
      <w:r w:rsidRPr="00D5739B">
        <w:rPr>
          <w:rStyle w:val="SCCCounselPartyRoleChar"/>
          <w:lang w:val="en-US"/>
        </w:rPr>
        <w:t>Workers</w:t>
      </w:r>
      <w:r w:rsidR="00582B6A" w:rsidRPr="00D5739B">
        <w:rPr>
          <w:rStyle w:val="SCCCounselPartyRoleChar"/>
          <w:lang w:val="en-US"/>
        </w:rPr>
        <w:t>’</w:t>
      </w:r>
      <w:r w:rsidRPr="00D5739B">
        <w:rPr>
          <w:rStyle w:val="SCCCounselPartyRoleChar"/>
          <w:lang w:val="en-US"/>
        </w:rPr>
        <w:t xml:space="preserve"> Compensation Board of British Columbia</w:t>
      </w:r>
      <w:r w:rsidRPr="00D5739B">
        <w:rPr>
          <w:lang w:val="en-US"/>
        </w:rPr>
        <w:t>, Richmond.</w:t>
      </w:r>
    </w:p>
    <w:p w:rsidR="00813119" w:rsidRPr="00D5739B" w:rsidRDefault="00842162">
      <w:pPr>
        <w:pStyle w:val="SCCLawFirm"/>
        <w:rPr>
          <w:lang w:val="en-US"/>
        </w:rPr>
      </w:pPr>
      <w:r w:rsidRPr="00D5739B">
        <w:rPr>
          <w:lang w:val="en-US"/>
        </w:rPr>
        <w:tab/>
        <w:t xml:space="preserve">Procureur de </w:t>
      </w:r>
      <w:proofErr w:type="spellStart"/>
      <w:r w:rsidRPr="00D5739B">
        <w:rPr>
          <w:lang w:val="en-US"/>
        </w:rPr>
        <w:t>l</w:t>
      </w:r>
      <w:r w:rsidR="00582B6A" w:rsidRPr="00D5739B">
        <w:rPr>
          <w:lang w:val="en-US"/>
        </w:rPr>
        <w:t>’</w:t>
      </w:r>
      <w:r w:rsidRPr="00D5739B">
        <w:rPr>
          <w:lang w:val="en-US"/>
        </w:rPr>
        <w:t>intervenant</w:t>
      </w:r>
      <w:r w:rsidR="00583574">
        <w:rPr>
          <w:lang w:val="en-US"/>
        </w:rPr>
        <w:t>e</w:t>
      </w:r>
      <w:proofErr w:type="spellEnd"/>
      <w:r w:rsidRPr="00D5739B">
        <w:rPr>
          <w:lang w:val="en-US"/>
        </w:rPr>
        <w:t xml:space="preserve"> Workers</w:t>
      </w:r>
      <w:r w:rsidR="00582B6A" w:rsidRPr="00D5739B">
        <w:rPr>
          <w:lang w:val="en-US"/>
        </w:rPr>
        <w:t>’</w:t>
      </w:r>
      <w:r w:rsidRPr="00D5739B">
        <w:rPr>
          <w:lang w:val="en-US"/>
        </w:rPr>
        <w:t xml:space="preserve"> Compensation Board of </w:t>
      </w:r>
      <w:proofErr w:type="gramStart"/>
      <w:r w:rsidRPr="00D5739B">
        <w:rPr>
          <w:lang w:val="en-US"/>
        </w:rPr>
        <w:t>Alberta</w:t>
      </w:r>
      <w:r w:rsidR="00582B6A" w:rsidRPr="00D5739B">
        <w:rPr>
          <w:lang w:val="en-US"/>
        </w:rPr>
        <w:t> :</w:t>
      </w:r>
      <w:proofErr w:type="gramEnd"/>
      <w:r w:rsidR="002942D5" w:rsidRPr="00D5739B">
        <w:rPr>
          <w:lang w:val="en-US"/>
        </w:rPr>
        <w:t> </w:t>
      </w:r>
      <w:r w:rsidRPr="00D5739B">
        <w:rPr>
          <w:lang w:val="en-US"/>
        </w:rPr>
        <w:t>Workers</w:t>
      </w:r>
      <w:r w:rsidR="00582B6A" w:rsidRPr="00D5739B">
        <w:rPr>
          <w:lang w:val="en-US"/>
        </w:rPr>
        <w:t>’</w:t>
      </w:r>
      <w:r w:rsidRPr="00D5739B">
        <w:rPr>
          <w:lang w:val="en-US"/>
        </w:rPr>
        <w:t xml:space="preserve"> Compensation Board of Alberta, Edmonton.</w:t>
      </w:r>
    </w:p>
    <w:sectPr w:rsidR="00813119" w:rsidRPr="00D5739B"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9BE" w:rsidRDefault="004E29BE">
      <w:r>
        <w:separator/>
      </w:r>
    </w:p>
  </w:endnote>
  <w:endnote w:type="continuationSeparator" w:id="0">
    <w:p w:rsidR="004E29BE" w:rsidRDefault="004E2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01E" w:rsidRDefault="001540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01E" w:rsidRDefault="001540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01E" w:rsidRDefault="001540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9BE" w:rsidRDefault="004E29BE">
      <w:r>
        <w:separator/>
      </w:r>
    </w:p>
  </w:footnote>
  <w:footnote w:type="continuationSeparator" w:id="0">
    <w:p w:rsidR="004E29BE" w:rsidRDefault="004E29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01E" w:rsidRDefault="001540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01E" w:rsidRPr="00450352" w:rsidRDefault="0015401E"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01E" w:rsidRDefault="001540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69B1F59"/>
    <w:multiLevelType w:val="hybridMultilevel"/>
    <w:tmpl w:val="2098A74E"/>
    <w:lvl w:ilvl="0" w:tplc="99E44C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603130A"/>
    <w:multiLevelType w:val="multilevel"/>
    <w:tmpl w:val="D8AE1BD4"/>
    <w:lvl w:ilvl="0">
      <w:start w:val="1"/>
      <w:numFmt w:val="upperRoman"/>
      <w:pStyle w:val="Title1LevelTitre1Niveau-AltL"/>
      <w:lvlText w:val="%1."/>
      <w:lvlJc w:val="left"/>
      <w:pPr>
        <w:tabs>
          <w:tab w:val="num" w:pos="576"/>
        </w:tabs>
        <w:ind w:left="576" w:hanging="576"/>
      </w:pPr>
      <w:rPr>
        <w:i w:val="0"/>
        <w:sz w:val="24"/>
      </w:rPr>
    </w:lvl>
    <w:lvl w:ilvl="1">
      <w:start w:val="1"/>
      <w:numFmt w:val="upperLetter"/>
      <w:pStyle w:val="Title2LevelTitre2Niveau"/>
      <w:lvlText w:val="%2."/>
      <w:lvlJc w:val="left"/>
      <w:pPr>
        <w:tabs>
          <w:tab w:val="num" w:pos="1569"/>
        </w:tabs>
        <w:ind w:left="1569" w:hanging="576"/>
      </w:pPr>
      <w:rPr>
        <w:rFonts w:ascii="Times New Roman" w:hAnsi="Times New Roman" w:cs="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cs="Times New Roman" w:hint="default"/>
        <w:b w:val="0"/>
        <w:i w:val="0"/>
        <w:sz w:val="24"/>
      </w:rPr>
    </w:lvl>
    <w:lvl w:ilvl="3">
      <w:start w:val="1"/>
      <w:numFmt w:val="lowerLetter"/>
      <w:pStyle w:val="Title4LevelTitre4Niveau"/>
      <w:lvlText w:val="(%4)"/>
      <w:lvlJc w:val="left"/>
      <w:pPr>
        <w:tabs>
          <w:tab w:val="num" w:pos="1152"/>
        </w:tabs>
        <w:ind w:left="1152" w:hanging="576"/>
      </w:pPr>
      <w:rPr>
        <w:b w:val="0"/>
        <w:i w:val="0"/>
      </w:rPr>
    </w:lvl>
    <w:lvl w:ilvl="4">
      <w:start w:val="1"/>
      <w:numFmt w:val="lowerRoman"/>
      <w:pStyle w:val="Title5LevelTitre5Niveau"/>
      <w:lvlText w:val="(%5)"/>
      <w:lvlJc w:val="left"/>
      <w:pPr>
        <w:tabs>
          <w:tab w:val="num" w:pos="1728"/>
        </w:tabs>
        <w:ind w:left="1728" w:hanging="576"/>
      </w:pPr>
    </w:lvl>
    <w:lvl w:ilvl="5">
      <w:start w:val="1"/>
      <w:numFmt w:val="decimal"/>
      <w:pStyle w:val="Title6LevelTitre6Niveau"/>
      <w:lvlText w:val="%6."/>
      <w:lvlJc w:val="left"/>
      <w:pPr>
        <w:tabs>
          <w:tab w:val="num" w:pos="1728"/>
        </w:tabs>
        <w:ind w:left="1728" w:hanging="576"/>
      </w:pPr>
    </w:lvl>
    <w:lvl w:ilvl="6">
      <w:start w:val="1"/>
      <w:numFmt w:val="decimal"/>
      <w:lvlText w:val="%7."/>
      <w:lvlJc w:val="left"/>
      <w:pPr>
        <w:ind w:left="8208" w:hanging="432"/>
      </w:pPr>
    </w:lvl>
    <w:lvl w:ilvl="7">
      <w:start w:val="1"/>
      <w:numFmt w:val="lowerLetter"/>
      <w:lvlText w:val="%8."/>
      <w:lvlJc w:val="left"/>
      <w:pPr>
        <w:ind w:left="8640" w:hanging="432"/>
      </w:pPr>
    </w:lvl>
    <w:lvl w:ilvl="8">
      <w:start w:val="1"/>
      <w:numFmt w:val="lowerRoman"/>
      <w:lvlText w:val="%9."/>
      <w:lvlJc w:val="left"/>
      <w:pPr>
        <w:ind w:left="9072" w:hanging="432"/>
      </w:pPr>
    </w:lvl>
  </w:abstractNum>
  <w:abstractNum w:abstractNumId="4"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5"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4283EE8"/>
    <w:multiLevelType w:val="multilevel"/>
    <w:tmpl w:val="7A86F154"/>
    <w:lvl w:ilvl="0">
      <w:start w:val="1"/>
      <w:numFmt w:val="decimal"/>
      <w:pStyle w:val="ParaNoNdepar-AltN"/>
      <w:lvlText w:val="[%1]"/>
      <w:lvlJc w:val="left"/>
      <w:pPr>
        <w:tabs>
          <w:tab w:val="num" w:pos="1152"/>
        </w:tabs>
        <w:ind w:left="0" w:firstLine="0"/>
      </w:pPr>
      <w:rPr>
        <w:rFonts w:ascii="Times New Roman" w:hAnsi="Times New Roman" w:hint="default"/>
        <w:i w:val="0"/>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9571A4A"/>
    <w:multiLevelType w:val="hybridMultilevel"/>
    <w:tmpl w:val="B5BA3B4A"/>
    <w:lvl w:ilvl="0" w:tplc="02D2B4BA">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F3009BD"/>
    <w:multiLevelType w:val="hybridMultilevel"/>
    <w:tmpl w:val="B2BC8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F9733FA"/>
    <w:multiLevelType w:val="hybridMultilevel"/>
    <w:tmpl w:val="314E00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BD3E30"/>
    <w:multiLevelType w:val="hybridMultilevel"/>
    <w:tmpl w:val="2904E1EE"/>
    <w:lvl w:ilvl="0" w:tplc="0C1AB83A">
      <w:numFmt w:val="bullet"/>
      <w:lvlText w:val="-"/>
      <w:lvlJc w:val="left"/>
      <w:pPr>
        <w:ind w:left="1530" w:hanging="360"/>
      </w:pPr>
      <w:rPr>
        <w:rFonts w:ascii="Times New Roman" w:eastAsiaTheme="minorEastAsia" w:hAnsi="Times New Roman" w:cs="Times New Roman" w:hint="default"/>
      </w:rPr>
    </w:lvl>
    <w:lvl w:ilvl="1" w:tplc="10090003" w:tentative="1">
      <w:start w:val="1"/>
      <w:numFmt w:val="bullet"/>
      <w:lvlText w:val="o"/>
      <w:lvlJc w:val="left"/>
      <w:pPr>
        <w:ind w:left="2250" w:hanging="360"/>
      </w:pPr>
      <w:rPr>
        <w:rFonts w:ascii="Courier New" w:hAnsi="Courier New" w:cs="Courier New" w:hint="default"/>
      </w:rPr>
    </w:lvl>
    <w:lvl w:ilvl="2" w:tplc="10090005" w:tentative="1">
      <w:start w:val="1"/>
      <w:numFmt w:val="bullet"/>
      <w:lvlText w:val=""/>
      <w:lvlJc w:val="left"/>
      <w:pPr>
        <w:ind w:left="2970" w:hanging="360"/>
      </w:pPr>
      <w:rPr>
        <w:rFonts w:ascii="Wingdings" w:hAnsi="Wingdings" w:hint="default"/>
      </w:rPr>
    </w:lvl>
    <w:lvl w:ilvl="3" w:tplc="10090001" w:tentative="1">
      <w:start w:val="1"/>
      <w:numFmt w:val="bullet"/>
      <w:lvlText w:val=""/>
      <w:lvlJc w:val="left"/>
      <w:pPr>
        <w:ind w:left="3690" w:hanging="360"/>
      </w:pPr>
      <w:rPr>
        <w:rFonts w:ascii="Symbol" w:hAnsi="Symbol" w:hint="default"/>
      </w:rPr>
    </w:lvl>
    <w:lvl w:ilvl="4" w:tplc="10090003" w:tentative="1">
      <w:start w:val="1"/>
      <w:numFmt w:val="bullet"/>
      <w:lvlText w:val="o"/>
      <w:lvlJc w:val="left"/>
      <w:pPr>
        <w:ind w:left="4410" w:hanging="360"/>
      </w:pPr>
      <w:rPr>
        <w:rFonts w:ascii="Courier New" w:hAnsi="Courier New" w:cs="Courier New" w:hint="default"/>
      </w:rPr>
    </w:lvl>
    <w:lvl w:ilvl="5" w:tplc="10090005" w:tentative="1">
      <w:start w:val="1"/>
      <w:numFmt w:val="bullet"/>
      <w:lvlText w:val=""/>
      <w:lvlJc w:val="left"/>
      <w:pPr>
        <w:ind w:left="5130" w:hanging="360"/>
      </w:pPr>
      <w:rPr>
        <w:rFonts w:ascii="Wingdings" w:hAnsi="Wingdings" w:hint="default"/>
      </w:rPr>
    </w:lvl>
    <w:lvl w:ilvl="6" w:tplc="10090001" w:tentative="1">
      <w:start w:val="1"/>
      <w:numFmt w:val="bullet"/>
      <w:lvlText w:val=""/>
      <w:lvlJc w:val="left"/>
      <w:pPr>
        <w:ind w:left="5850" w:hanging="360"/>
      </w:pPr>
      <w:rPr>
        <w:rFonts w:ascii="Symbol" w:hAnsi="Symbol" w:hint="default"/>
      </w:rPr>
    </w:lvl>
    <w:lvl w:ilvl="7" w:tplc="10090003" w:tentative="1">
      <w:start w:val="1"/>
      <w:numFmt w:val="bullet"/>
      <w:lvlText w:val="o"/>
      <w:lvlJc w:val="left"/>
      <w:pPr>
        <w:ind w:left="6570" w:hanging="360"/>
      </w:pPr>
      <w:rPr>
        <w:rFonts w:ascii="Courier New" w:hAnsi="Courier New" w:cs="Courier New" w:hint="default"/>
      </w:rPr>
    </w:lvl>
    <w:lvl w:ilvl="8" w:tplc="10090005" w:tentative="1">
      <w:start w:val="1"/>
      <w:numFmt w:val="bullet"/>
      <w:lvlText w:val=""/>
      <w:lvlJc w:val="left"/>
      <w:pPr>
        <w:ind w:left="7290" w:hanging="360"/>
      </w:pPr>
      <w:rPr>
        <w:rFonts w:ascii="Wingdings" w:hAnsi="Wingdings" w:hint="default"/>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
  </w:num>
  <w:num w:numId="6">
    <w:abstractNumId w:val="0"/>
  </w:num>
  <w:num w:numId="7">
    <w:abstractNumId w:val="4"/>
  </w:num>
  <w:num w:numId="8">
    <w:abstractNumId w:val="5"/>
  </w:num>
  <w:num w:numId="9">
    <w:abstractNumId w:val="3"/>
  </w:num>
  <w:num w:numId="10">
    <w:abstractNumId w:val="3"/>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1">
    <w:abstractNumId w:val="7"/>
  </w:num>
  <w:num w:numId="12">
    <w:abstractNumId w:val="8"/>
  </w:num>
  <w:num w:numId="13">
    <w:abstractNumId w:val="2"/>
  </w:num>
  <w:num w:numId="14">
    <w:abstractNumId w:val="10"/>
  </w:num>
  <w:num w:numId="15">
    <w:abstractNumId w:val="11"/>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3FC7"/>
    <w:rsid w:val="00025198"/>
    <w:rsid w:val="00034EBD"/>
    <w:rsid w:val="00037B68"/>
    <w:rsid w:val="00051F4B"/>
    <w:rsid w:val="000578A3"/>
    <w:rsid w:val="00061B75"/>
    <w:rsid w:val="000648CC"/>
    <w:rsid w:val="00066DB2"/>
    <w:rsid w:val="00071722"/>
    <w:rsid w:val="00074D82"/>
    <w:rsid w:val="00092972"/>
    <w:rsid w:val="000B29B1"/>
    <w:rsid w:val="000C59B8"/>
    <w:rsid w:val="000C6AF0"/>
    <w:rsid w:val="000D0A77"/>
    <w:rsid w:val="000D38D6"/>
    <w:rsid w:val="000D3B13"/>
    <w:rsid w:val="000E2ADE"/>
    <w:rsid w:val="000F7993"/>
    <w:rsid w:val="0010311B"/>
    <w:rsid w:val="00104F33"/>
    <w:rsid w:val="001108BB"/>
    <w:rsid w:val="00111DE2"/>
    <w:rsid w:val="001155F8"/>
    <w:rsid w:val="00116B38"/>
    <w:rsid w:val="001248D3"/>
    <w:rsid w:val="00135406"/>
    <w:rsid w:val="00135972"/>
    <w:rsid w:val="001426A9"/>
    <w:rsid w:val="0015401E"/>
    <w:rsid w:val="00154D7C"/>
    <w:rsid w:val="001570B0"/>
    <w:rsid w:val="0015752C"/>
    <w:rsid w:val="00157737"/>
    <w:rsid w:val="00165277"/>
    <w:rsid w:val="00167D8D"/>
    <w:rsid w:val="00170592"/>
    <w:rsid w:val="001720F7"/>
    <w:rsid w:val="00173E14"/>
    <w:rsid w:val="00185177"/>
    <w:rsid w:val="00195D83"/>
    <w:rsid w:val="001976CE"/>
    <w:rsid w:val="001A00C1"/>
    <w:rsid w:val="001A0321"/>
    <w:rsid w:val="001A1B4D"/>
    <w:rsid w:val="001B33E0"/>
    <w:rsid w:val="001B4573"/>
    <w:rsid w:val="001C779F"/>
    <w:rsid w:val="001D2AC1"/>
    <w:rsid w:val="001D4E88"/>
    <w:rsid w:val="00220B61"/>
    <w:rsid w:val="00220FC2"/>
    <w:rsid w:val="002222F4"/>
    <w:rsid w:val="00224FC0"/>
    <w:rsid w:val="00225EA4"/>
    <w:rsid w:val="00226EAF"/>
    <w:rsid w:val="00231F3A"/>
    <w:rsid w:val="0023295A"/>
    <w:rsid w:val="00232D8B"/>
    <w:rsid w:val="002406EE"/>
    <w:rsid w:val="0024095F"/>
    <w:rsid w:val="00242792"/>
    <w:rsid w:val="00243BB6"/>
    <w:rsid w:val="00243EC8"/>
    <w:rsid w:val="00270D93"/>
    <w:rsid w:val="002745CC"/>
    <w:rsid w:val="002942D5"/>
    <w:rsid w:val="002A189A"/>
    <w:rsid w:val="002B0461"/>
    <w:rsid w:val="002B6FBE"/>
    <w:rsid w:val="002B7924"/>
    <w:rsid w:val="002C107A"/>
    <w:rsid w:val="002C10A6"/>
    <w:rsid w:val="002D28C3"/>
    <w:rsid w:val="002D39A4"/>
    <w:rsid w:val="002E2898"/>
    <w:rsid w:val="002E6705"/>
    <w:rsid w:val="002E72E7"/>
    <w:rsid w:val="0030329A"/>
    <w:rsid w:val="0031086F"/>
    <w:rsid w:val="0031414C"/>
    <w:rsid w:val="00314E01"/>
    <w:rsid w:val="0032089D"/>
    <w:rsid w:val="0032333C"/>
    <w:rsid w:val="003310DE"/>
    <w:rsid w:val="003323B0"/>
    <w:rsid w:val="00340A49"/>
    <w:rsid w:val="0035169A"/>
    <w:rsid w:val="0035259D"/>
    <w:rsid w:val="00360B0E"/>
    <w:rsid w:val="00364B18"/>
    <w:rsid w:val="0037411F"/>
    <w:rsid w:val="00390D74"/>
    <w:rsid w:val="00390DD3"/>
    <w:rsid w:val="003A125D"/>
    <w:rsid w:val="003A4C70"/>
    <w:rsid w:val="003B215F"/>
    <w:rsid w:val="003C799C"/>
    <w:rsid w:val="003D0399"/>
    <w:rsid w:val="003D34A1"/>
    <w:rsid w:val="003E1C71"/>
    <w:rsid w:val="003E7C23"/>
    <w:rsid w:val="003F0D13"/>
    <w:rsid w:val="003F327B"/>
    <w:rsid w:val="0040046F"/>
    <w:rsid w:val="00406166"/>
    <w:rsid w:val="0040704B"/>
    <w:rsid w:val="00410A55"/>
    <w:rsid w:val="00411300"/>
    <w:rsid w:val="00412760"/>
    <w:rsid w:val="00413F17"/>
    <w:rsid w:val="00415417"/>
    <w:rsid w:val="00426659"/>
    <w:rsid w:val="00450352"/>
    <w:rsid w:val="0045499E"/>
    <w:rsid w:val="00454BDB"/>
    <w:rsid w:val="00461979"/>
    <w:rsid w:val="00465132"/>
    <w:rsid w:val="00471445"/>
    <w:rsid w:val="00474675"/>
    <w:rsid w:val="00480C90"/>
    <w:rsid w:val="0048396F"/>
    <w:rsid w:val="00493C18"/>
    <w:rsid w:val="0049508C"/>
    <w:rsid w:val="00495A7A"/>
    <w:rsid w:val="00495B75"/>
    <w:rsid w:val="004A137A"/>
    <w:rsid w:val="004A4CED"/>
    <w:rsid w:val="004A600C"/>
    <w:rsid w:val="004A6118"/>
    <w:rsid w:val="004A66F4"/>
    <w:rsid w:val="004C3072"/>
    <w:rsid w:val="004C478D"/>
    <w:rsid w:val="004D7D95"/>
    <w:rsid w:val="004E173C"/>
    <w:rsid w:val="004E2355"/>
    <w:rsid w:val="004E29BE"/>
    <w:rsid w:val="004E2C26"/>
    <w:rsid w:val="004E4CDE"/>
    <w:rsid w:val="004E5BDD"/>
    <w:rsid w:val="004E5FD7"/>
    <w:rsid w:val="004E7A5E"/>
    <w:rsid w:val="004F45DA"/>
    <w:rsid w:val="005026A3"/>
    <w:rsid w:val="005040B7"/>
    <w:rsid w:val="005125A8"/>
    <w:rsid w:val="005137D3"/>
    <w:rsid w:val="00517549"/>
    <w:rsid w:val="00520ABC"/>
    <w:rsid w:val="00521AE8"/>
    <w:rsid w:val="00522469"/>
    <w:rsid w:val="00523872"/>
    <w:rsid w:val="00527180"/>
    <w:rsid w:val="0053219E"/>
    <w:rsid w:val="005340D8"/>
    <w:rsid w:val="00543BA4"/>
    <w:rsid w:val="00546F47"/>
    <w:rsid w:val="00547DDF"/>
    <w:rsid w:val="005510CA"/>
    <w:rsid w:val="00555291"/>
    <w:rsid w:val="00564992"/>
    <w:rsid w:val="00566AD1"/>
    <w:rsid w:val="00582B6A"/>
    <w:rsid w:val="00583574"/>
    <w:rsid w:val="00583EDE"/>
    <w:rsid w:val="005A6079"/>
    <w:rsid w:val="005C47C6"/>
    <w:rsid w:val="005E4698"/>
    <w:rsid w:val="00603924"/>
    <w:rsid w:val="00610539"/>
    <w:rsid w:val="00613969"/>
    <w:rsid w:val="00625C35"/>
    <w:rsid w:val="00626195"/>
    <w:rsid w:val="00626492"/>
    <w:rsid w:val="00636CA2"/>
    <w:rsid w:val="00644A96"/>
    <w:rsid w:val="00647E49"/>
    <w:rsid w:val="00650A78"/>
    <w:rsid w:val="00656313"/>
    <w:rsid w:val="006565F4"/>
    <w:rsid w:val="00661A69"/>
    <w:rsid w:val="00661C94"/>
    <w:rsid w:val="00664D64"/>
    <w:rsid w:val="00670A53"/>
    <w:rsid w:val="00671A09"/>
    <w:rsid w:val="00683131"/>
    <w:rsid w:val="00684EEA"/>
    <w:rsid w:val="00693826"/>
    <w:rsid w:val="0069689B"/>
    <w:rsid w:val="00696EBC"/>
    <w:rsid w:val="006A26F0"/>
    <w:rsid w:val="006B0605"/>
    <w:rsid w:val="006B5FF5"/>
    <w:rsid w:val="006F30AF"/>
    <w:rsid w:val="00701759"/>
    <w:rsid w:val="00705C15"/>
    <w:rsid w:val="00705F0D"/>
    <w:rsid w:val="007110F6"/>
    <w:rsid w:val="007208D1"/>
    <w:rsid w:val="00727562"/>
    <w:rsid w:val="00744518"/>
    <w:rsid w:val="00747288"/>
    <w:rsid w:val="00747DD3"/>
    <w:rsid w:val="00750F20"/>
    <w:rsid w:val="007549C8"/>
    <w:rsid w:val="00766D14"/>
    <w:rsid w:val="00767A0F"/>
    <w:rsid w:val="0077431F"/>
    <w:rsid w:val="00791272"/>
    <w:rsid w:val="00796FD4"/>
    <w:rsid w:val="007A05F6"/>
    <w:rsid w:val="007A12A7"/>
    <w:rsid w:val="007B20DD"/>
    <w:rsid w:val="007B6CC9"/>
    <w:rsid w:val="007B6F4A"/>
    <w:rsid w:val="007E1C47"/>
    <w:rsid w:val="007E337A"/>
    <w:rsid w:val="007E5923"/>
    <w:rsid w:val="007E5C70"/>
    <w:rsid w:val="007F2FF5"/>
    <w:rsid w:val="007F3F08"/>
    <w:rsid w:val="008017E3"/>
    <w:rsid w:val="00802F6F"/>
    <w:rsid w:val="00804CC6"/>
    <w:rsid w:val="00813119"/>
    <w:rsid w:val="00817190"/>
    <w:rsid w:val="00822DDA"/>
    <w:rsid w:val="008260E2"/>
    <w:rsid w:val="008319A5"/>
    <w:rsid w:val="008322BD"/>
    <w:rsid w:val="00832458"/>
    <w:rsid w:val="00833E70"/>
    <w:rsid w:val="00834AEF"/>
    <w:rsid w:val="00834F73"/>
    <w:rsid w:val="00842162"/>
    <w:rsid w:val="008520BA"/>
    <w:rsid w:val="0085413B"/>
    <w:rsid w:val="00864C8A"/>
    <w:rsid w:val="00864CF8"/>
    <w:rsid w:val="00872E46"/>
    <w:rsid w:val="00874914"/>
    <w:rsid w:val="00876AC5"/>
    <w:rsid w:val="008859BB"/>
    <w:rsid w:val="00891422"/>
    <w:rsid w:val="00892E1A"/>
    <w:rsid w:val="008A796B"/>
    <w:rsid w:val="008B660A"/>
    <w:rsid w:val="008C01DA"/>
    <w:rsid w:val="008D0698"/>
    <w:rsid w:val="008D77C8"/>
    <w:rsid w:val="008F2674"/>
    <w:rsid w:val="008F3990"/>
    <w:rsid w:val="008F78E9"/>
    <w:rsid w:val="009144B3"/>
    <w:rsid w:val="009179F9"/>
    <w:rsid w:val="00917C7A"/>
    <w:rsid w:val="009252C6"/>
    <w:rsid w:val="0093124D"/>
    <w:rsid w:val="00933E5E"/>
    <w:rsid w:val="009348CD"/>
    <w:rsid w:val="00935218"/>
    <w:rsid w:val="00936DCF"/>
    <w:rsid w:val="00937C52"/>
    <w:rsid w:val="009403F3"/>
    <w:rsid w:val="009555B7"/>
    <w:rsid w:val="009567AA"/>
    <w:rsid w:val="009578D9"/>
    <w:rsid w:val="009602C9"/>
    <w:rsid w:val="00967374"/>
    <w:rsid w:val="009935AC"/>
    <w:rsid w:val="009A343A"/>
    <w:rsid w:val="009A4588"/>
    <w:rsid w:val="009B2F23"/>
    <w:rsid w:val="009B57B3"/>
    <w:rsid w:val="009D2920"/>
    <w:rsid w:val="009D5AEB"/>
    <w:rsid w:val="009E2412"/>
    <w:rsid w:val="009F075D"/>
    <w:rsid w:val="009F0E33"/>
    <w:rsid w:val="00A038C9"/>
    <w:rsid w:val="00A117C4"/>
    <w:rsid w:val="00A149DF"/>
    <w:rsid w:val="00A14AFD"/>
    <w:rsid w:val="00A1755C"/>
    <w:rsid w:val="00A208CD"/>
    <w:rsid w:val="00A21B90"/>
    <w:rsid w:val="00A22AAC"/>
    <w:rsid w:val="00A23189"/>
    <w:rsid w:val="00A3197A"/>
    <w:rsid w:val="00A41805"/>
    <w:rsid w:val="00A51882"/>
    <w:rsid w:val="00A52AFB"/>
    <w:rsid w:val="00A548CB"/>
    <w:rsid w:val="00A5521C"/>
    <w:rsid w:val="00A570DF"/>
    <w:rsid w:val="00A600AC"/>
    <w:rsid w:val="00A643E7"/>
    <w:rsid w:val="00A73C38"/>
    <w:rsid w:val="00A921A7"/>
    <w:rsid w:val="00AA21F1"/>
    <w:rsid w:val="00AA2B3F"/>
    <w:rsid w:val="00AB6010"/>
    <w:rsid w:val="00AB670D"/>
    <w:rsid w:val="00AD35C6"/>
    <w:rsid w:val="00AF03C5"/>
    <w:rsid w:val="00B000D8"/>
    <w:rsid w:val="00B00F75"/>
    <w:rsid w:val="00B0509A"/>
    <w:rsid w:val="00B145B6"/>
    <w:rsid w:val="00B246D0"/>
    <w:rsid w:val="00B279EB"/>
    <w:rsid w:val="00B3396A"/>
    <w:rsid w:val="00B42A1D"/>
    <w:rsid w:val="00B42AD5"/>
    <w:rsid w:val="00B47389"/>
    <w:rsid w:val="00B50C81"/>
    <w:rsid w:val="00B557F8"/>
    <w:rsid w:val="00B71253"/>
    <w:rsid w:val="00B810E6"/>
    <w:rsid w:val="00B815FC"/>
    <w:rsid w:val="00B908F8"/>
    <w:rsid w:val="00B918EB"/>
    <w:rsid w:val="00B93FBC"/>
    <w:rsid w:val="00BA31E1"/>
    <w:rsid w:val="00BA7DA0"/>
    <w:rsid w:val="00BB2EE4"/>
    <w:rsid w:val="00BB4C92"/>
    <w:rsid w:val="00BB5AB4"/>
    <w:rsid w:val="00BC2108"/>
    <w:rsid w:val="00BC4780"/>
    <w:rsid w:val="00BD0E9E"/>
    <w:rsid w:val="00BD1BEC"/>
    <w:rsid w:val="00BD32FF"/>
    <w:rsid w:val="00BF6FE9"/>
    <w:rsid w:val="00BF7A72"/>
    <w:rsid w:val="00C02092"/>
    <w:rsid w:val="00C11F7E"/>
    <w:rsid w:val="00C226AD"/>
    <w:rsid w:val="00C24D91"/>
    <w:rsid w:val="00C26266"/>
    <w:rsid w:val="00C26DB2"/>
    <w:rsid w:val="00C2764B"/>
    <w:rsid w:val="00C42896"/>
    <w:rsid w:val="00C46B30"/>
    <w:rsid w:val="00C50690"/>
    <w:rsid w:val="00C53F14"/>
    <w:rsid w:val="00C600CF"/>
    <w:rsid w:val="00C6084F"/>
    <w:rsid w:val="00C62A66"/>
    <w:rsid w:val="00C66359"/>
    <w:rsid w:val="00C71458"/>
    <w:rsid w:val="00C745B2"/>
    <w:rsid w:val="00C77613"/>
    <w:rsid w:val="00C828E7"/>
    <w:rsid w:val="00C83972"/>
    <w:rsid w:val="00C86719"/>
    <w:rsid w:val="00C921DD"/>
    <w:rsid w:val="00CA6391"/>
    <w:rsid w:val="00CC5300"/>
    <w:rsid w:val="00CE036E"/>
    <w:rsid w:val="00CE3171"/>
    <w:rsid w:val="00CE5F7B"/>
    <w:rsid w:val="00CF1601"/>
    <w:rsid w:val="00CF2104"/>
    <w:rsid w:val="00D0172F"/>
    <w:rsid w:val="00D01E33"/>
    <w:rsid w:val="00D0283B"/>
    <w:rsid w:val="00D068A7"/>
    <w:rsid w:val="00D173BA"/>
    <w:rsid w:val="00D17476"/>
    <w:rsid w:val="00D17B0E"/>
    <w:rsid w:val="00D32086"/>
    <w:rsid w:val="00D37A3F"/>
    <w:rsid w:val="00D42497"/>
    <w:rsid w:val="00D4431D"/>
    <w:rsid w:val="00D4667A"/>
    <w:rsid w:val="00D50B07"/>
    <w:rsid w:val="00D5739B"/>
    <w:rsid w:val="00D63A1C"/>
    <w:rsid w:val="00D66DEE"/>
    <w:rsid w:val="00D7516F"/>
    <w:rsid w:val="00D76400"/>
    <w:rsid w:val="00D80BBF"/>
    <w:rsid w:val="00D910C4"/>
    <w:rsid w:val="00D91777"/>
    <w:rsid w:val="00D95F8E"/>
    <w:rsid w:val="00DA0590"/>
    <w:rsid w:val="00DA1A28"/>
    <w:rsid w:val="00DA4689"/>
    <w:rsid w:val="00DB62EE"/>
    <w:rsid w:val="00DC0ED3"/>
    <w:rsid w:val="00DC1739"/>
    <w:rsid w:val="00DC1788"/>
    <w:rsid w:val="00DE319C"/>
    <w:rsid w:val="00DF0CA8"/>
    <w:rsid w:val="00DF2B48"/>
    <w:rsid w:val="00DF49A7"/>
    <w:rsid w:val="00DF4BDF"/>
    <w:rsid w:val="00E07EE2"/>
    <w:rsid w:val="00E07FD1"/>
    <w:rsid w:val="00E134BD"/>
    <w:rsid w:val="00E24573"/>
    <w:rsid w:val="00E25E1E"/>
    <w:rsid w:val="00E27EE7"/>
    <w:rsid w:val="00E35404"/>
    <w:rsid w:val="00E45109"/>
    <w:rsid w:val="00E4787C"/>
    <w:rsid w:val="00E47B7A"/>
    <w:rsid w:val="00E56A44"/>
    <w:rsid w:val="00E60269"/>
    <w:rsid w:val="00E646CD"/>
    <w:rsid w:val="00E67ECD"/>
    <w:rsid w:val="00E70F7D"/>
    <w:rsid w:val="00E71168"/>
    <w:rsid w:val="00E72589"/>
    <w:rsid w:val="00E72E7A"/>
    <w:rsid w:val="00E76E3F"/>
    <w:rsid w:val="00E97830"/>
    <w:rsid w:val="00EA082E"/>
    <w:rsid w:val="00EB74F7"/>
    <w:rsid w:val="00EC5AAA"/>
    <w:rsid w:val="00ED5E79"/>
    <w:rsid w:val="00EE0830"/>
    <w:rsid w:val="00EE6CB8"/>
    <w:rsid w:val="00EF0683"/>
    <w:rsid w:val="00EF0FF8"/>
    <w:rsid w:val="00EF111C"/>
    <w:rsid w:val="00EF1DF8"/>
    <w:rsid w:val="00F00649"/>
    <w:rsid w:val="00F0070C"/>
    <w:rsid w:val="00F00EB7"/>
    <w:rsid w:val="00F1391F"/>
    <w:rsid w:val="00F224C5"/>
    <w:rsid w:val="00F36AB6"/>
    <w:rsid w:val="00F37A09"/>
    <w:rsid w:val="00F409CE"/>
    <w:rsid w:val="00F4379D"/>
    <w:rsid w:val="00F50D2D"/>
    <w:rsid w:val="00F52157"/>
    <w:rsid w:val="00F53CF1"/>
    <w:rsid w:val="00F55D0C"/>
    <w:rsid w:val="00F56C8B"/>
    <w:rsid w:val="00F60ADB"/>
    <w:rsid w:val="00F613EA"/>
    <w:rsid w:val="00F62639"/>
    <w:rsid w:val="00F66810"/>
    <w:rsid w:val="00F725B8"/>
    <w:rsid w:val="00F73C8E"/>
    <w:rsid w:val="00F84DF4"/>
    <w:rsid w:val="00F85C97"/>
    <w:rsid w:val="00F9220D"/>
    <w:rsid w:val="00F94818"/>
    <w:rsid w:val="00FB27EA"/>
    <w:rsid w:val="00FB37D2"/>
    <w:rsid w:val="00FB6421"/>
    <w:rsid w:val="00FB6451"/>
    <w:rsid w:val="00FC4DA6"/>
    <w:rsid w:val="00FC4EFB"/>
    <w:rsid w:val="00FD068D"/>
    <w:rsid w:val="00FD4F28"/>
    <w:rsid w:val="00FD6ABB"/>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paragraph" w:customStyle="1" w:styleId="ParaNoNdepar-AltN">
    <w:name w:val="Para. No. / Nº de par. - Alt N"/>
    <w:qFormat/>
    <w:rsid w:val="000B29B1"/>
    <w:pPr>
      <w:numPr>
        <w:numId w:val="1"/>
      </w:numPr>
      <w:spacing w:before="480" w:after="480" w:line="480" w:lineRule="auto"/>
      <w:jc w:val="both"/>
    </w:pPr>
    <w:rPr>
      <w:rFonts w:eastAsiaTheme="minorEastAsia" w:cstheme="minorBidi"/>
      <w:sz w:val="24"/>
      <w:szCs w:val="22"/>
      <w:lang w:eastAsia="en-US"/>
    </w:rPr>
  </w:style>
  <w:style w:type="paragraph" w:customStyle="1" w:styleId="Citation-AltC">
    <w:name w:val="Citation - Alt C"/>
    <w:uiPriority w:val="2"/>
    <w:qFormat/>
    <w:rsid w:val="00E70F7D"/>
    <w:pPr>
      <w:spacing w:after="720"/>
      <w:ind w:left="1166"/>
      <w:contextualSpacing/>
      <w:jc w:val="both"/>
    </w:pPr>
    <w:rPr>
      <w:sz w:val="24"/>
      <w:szCs w:val="24"/>
    </w:rPr>
  </w:style>
  <w:style w:type="paragraph" w:customStyle="1" w:styleId="JudgeJuge">
    <w:name w:val="Judge / Juge"/>
    <w:uiPriority w:val="3"/>
    <w:rsid w:val="00E70F7D"/>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E70F7D"/>
    <w:pPr>
      <w:numPr>
        <w:numId w:val="3"/>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E70F7D"/>
    <w:pPr>
      <w:numPr>
        <w:ilvl w:val="1"/>
      </w:numPr>
      <w:tabs>
        <w:tab w:val="num" w:pos="576"/>
      </w:tabs>
      <w:ind w:left="576"/>
      <w:outlineLvl w:val="1"/>
    </w:pPr>
    <w:rPr>
      <w:i/>
      <w:u w:val="none"/>
    </w:rPr>
  </w:style>
  <w:style w:type="paragraph" w:customStyle="1" w:styleId="Title3LevelTitre3Niveau">
    <w:name w:val="Title 3 Level / Titre 3 Niveau"/>
    <w:basedOn w:val="Title1LevelTitre1Niveau-AltL"/>
    <w:next w:val="ParaNoNdepar-AltN"/>
    <w:uiPriority w:val="4"/>
    <w:qFormat/>
    <w:rsid w:val="00E70F7D"/>
    <w:pPr>
      <w:numPr>
        <w:ilvl w:val="2"/>
      </w:numPr>
      <w:outlineLvl w:val="2"/>
    </w:pPr>
  </w:style>
  <w:style w:type="paragraph" w:customStyle="1" w:styleId="Title4LevelTitre4Niveau">
    <w:name w:val="Title 4 Level / Titre 4 Niveau"/>
    <w:basedOn w:val="Title3LevelTitre3Niveau"/>
    <w:next w:val="ParaNoNdepar-AltN"/>
    <w:uiPriority w:val="4"/>
    <w:qFormat/>
    <w:rsid w:val="00E70F7D"/>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E70F7D"/>
    <w:pPr>
      <w:numPr>
        <w:ilvl w:val="4"/>
      </w:numPr>
      <w:outlineLvl w:val="4"/>
    </w:pPr>
  </w:style>
  <w:style w:type="paragraph" w:customStyle="1" w:styleId="Title6LevelTitre6Niveau">
    <w:name w:val="Title 6 Level / Titre 6 Niveau"/>
    <w:basedOn w:val="Title5LevelTitre5Niveau"/>
    <w:next w:val="ParaNoNdepar-AltN"/>
    <w:uiPriority w:val="4"/>
    <w:qFormat/>
    <w:rsid w:val="00E70F7D"/>
    <w:pPr>
      <w:numPr>
        <w:ilvl w:val="5"/>
      </w:numPr>
      <w:outlineLvl w:val="5"/>
    </w:pPr>
    <w:rPr>
      <w:i/>
      <w:u w:val="none"/>
    </w:rPr>
  </w:style>
  <w:style w:type="paragraph" w:customStyle="1" w:styleId="SCCLsocOtherPartyRoleSeparator">
    <w:name w:val="SCC.Lsoc.OtherPartyRoleSeparator"/>
    <w:basedOn w:val="Normal"/>
    <w:next w:val="Normal"/>
    <w:link w:val="SCCLsocOtherPartyRoleSeparatorChar"/>
    <w:rsid w:val="00E70F7D"/>
    <w:pPr>
      <w:spacing w:after="480"/>
    </w:pPr>
    <w:rPr>
      <w:rFonts w:eastAsiaTheme="minorHAnsi" w:cstheme="minorBidi"/>
      <w:szCs w:val="22"/>
      <w:lang w:eastAsia="en-US"/>
    </w:rPr>
  </w:style>
  <w:style w:type="paragraph" w:customStyle="1" w:styleId="SCCCoram">
    <w:name w:val="SCC.Coram"/>
    <w:basedOn w:val="Normal"/>
    <w:next w:val="Normal"/>
    <w:link w:val="SCCCoramChar"/>
    <w:rsid w:val="00E70F7D"/>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E70F7D"/>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E70F7D"/>
    <w:rPr>
      <w:rFonts w:eastAsiaTheme="minorHAnsi" w:cstheme="minorBidi"/>
      <w:sz w:val="24"/>
      <w:szCs w:val="22"/>
      <w:lang w:eastAsia="en-US"/>
    </w:rPr>
  </w:style>
  <w:style w:type="character" w:customStyle="1" w:styleId="SCCBanSummaryChar">
    <w:name w:val="SCC.BanSummary Char"/>
    <w:basedOn w:val="DefaultParagraphFont"/>
    <w:link w:val="SCCBanSummary"/>
    <w:rsid w:val="00E70F7D"/>
    <w:rPr>
      <w:b/>
      <w:sz w:val="24"/>
    </w:rPr>
  </w:style>
  <w:style w:type="table" w:styleId="TableGrid">
    <w:name w:val="Table Grid"/>
    <w:basedOn w:val="TableNormal"/>
    <w:uiPriority w:val="59"/>
    <w:rsid w:val="00E70F7D"/>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tinueParaSuitedupar-AltP">
    <w:name w:val="Continue Para. / Suite du par. - Alt P"/>
    <w:next w:val="ParaNoNdepar-AltN"/>
    <w:uiPriority w:val="1"/>
    <w:qFormat/>
    <w:rsid w:val="00E70F7D"/>
    <w:pPr>
      <w:spacing w:before="480" w:after="480" w:line="480" w:lineRule="auto"/>
      <w:jc w:val="both"/>
    </w:pPr>
    <w:rPr>
      <w:rFonts w:eastAsiaTheme="minorHAnsi" w:cstheme="minorBidi"/>
      <w:sz w:val="24"/>
      <w:szCs w:val="22"/>
      <w:lang w:eastAsia="en-US"/>
    </w:rPr>
  </w:style>
  <w:style w:type="paragraph" w:styleId="TOC1">
    <w:name w:val="toc 1"/>
    <w:basedOn w:val="Normal"/>
    <w:next w:val="Normal"/>
    <w:autoRedefine/>
    <w:uiPriority w:val="39"/>
    <w:unhideWhenUsed/>
    <w:rsid w:val="00E70F7D"/>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E70F7D"/>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E70F7D"/>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E70F7D"/>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E70F7D"/>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E70F7D"/>
    <w:pPr>
      <w:tabs>
        <w:tab w:val="left" w:pos="2160"/>
        <w:tab w:val="right" w:leader="dot" w:pos="8270"/>
      </w:tabs>
      <w:spacing w:after="100"/>
      <w:ind w:left="1800"/>
    </w:pPr>
    <w:rPr>
      <w:noProof/>
    </w:rPr>
  </w:style>
  <w:style w:type="table" w:customStyle="1" w:styleId="TableGrid1">
    <w:name w:val="Table Grid1"/>
    <w:basedOn w:val="TableNormal"/>
    <w:uiPriority w:val="59"/>
    <w:rsid w:val="00E70F7D"/>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E70F7D"/>
    <w:pPr>
      <w:tabs>
        <w:tab w:val="left" w:pos="360"/>
      </w:tabs>
      <w:spacing w:before="480" w:after="720"/>
      <w:ind w:left="360" w:hanging="360"/>
      <w:jc w:val="both"/>
      <w:outlineLvl w:val="0"/>
    </w:pPr>
    <w:rPr>
      <w:rFonts w:eastAsiaTheme="minorHAnsi" w:cstheme="minorBidi"/>
      <w:sz w:val="24"/>
      <w:szCs w:val="22"/>
      <w:lang w:eastAsia="en-US"/>
    </w:rPr>
  </w:style>
  <w:style w:type="paragraph" w:styleId="FootnoteText">
    <w:name w:val="footnote text"/>
    <w:basedOn w:val="Normal"/>
    <w:link w:val="FootnoteTextChar"/>
    <w:uiPriority w:val="99"/>
    <w:unhideWhenUsed/>
    <w:rsid w:val="00E70F7D"/>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E70F7D"/>
  </w:style>
  <w:style w:type="character" w:styleId="FootnoteReference">
    <w:name w:val="footnote reference"/>
    <w:basedOn w:val="DefaultParagraphFont"/>
    <w:uiPriority w:val="99"/>
    <w:semiHidden/>
    <w:unhideWhenUsed/>
    <w:rsid w:val="00E70F7D"/>
    <w:rPr>
      <w:vertAlign w:val="superscript"/>
    </w:rPr>
  </w:style>
  <w:style w:type="paragraph" w:styleId="CommentText">
    <w:name w:val="annotation text"/>
    <w:basedOn w:val="Normal"/>
    <w:link w:val="CommentTextChar"/>
    <w:uiPriority w:val="99"/>
    <w:semiHidden/>
    <w:unhideWhenUsed/>
    <w:rsid w:val="00E70F7D"/>
    <w:rPr>
      <w:sz w:val="20"/>
    </w:rPr>
  </w:style>
  <w:style w:type="character" w:customStyle="1" w:styleId="CommentTextChar">
    <w:name w:val="Comment Text Char"/>
    <w:basedOn w:val="DefaultParagraphFont"/>
    <w:link w:val="CommentText"/>
    <w:uiPriority w:val="99"/>
    <w:semiHidden/>
    <w:rsid w:val="00E70F7D"/>
  </w:style>
  <w:style w:type="paragraph" w:styleId="CommentSubject">
    <w:name w:val="annotation subject"/>
    <w:basedOn w:val="CommentText"/>
    <w:next w:val="CommentText"/>
    <w:link w:val="CommentSubjectChar"/>
    <w:uiPriority w:val="99"/>
    <w:semiHidden/>
    <w:unhideWhenUsed/>
    <w:rsid w:val="00E70F7D"/>
    <w:rPr>
      <w:rFonts w:eastAsiaTheme="minorHAnsi" w:cstheme="minorBidi"/>
      <w:b/>
      <w:bCs/>
      <w:szCs w:val="22"/>
      <w:lang w:val="en-US" w:eastAsia="en-US" w:bidi="en-US"/>
    </w:rPr>
  </w:style>
  <w:style w:type="character" w:customStyle="1" w:styleId="CommentSubjectChar">
    <w:name w:val="Comment Subject Char"/>
    <w:basedOn w:val="CommentTextChar"/>
    <w:link w:val="CommentSubject"/>
    <w:uiPriority w:val="99"/>
    <w:semiHidden/>
    <w:rsid w:val="00E70F7D"/>
    <w:rPr>
      <w:rFonts w:eastAsiaTheme="minorHAnsi" w:cstheme="minorBidi"/>
      <w:b/>
      <w:bCs/>
      <w:szCs w:val="22"/>
      <w:lang w:val="en-US" w:eastAsia="en-US" w:bidi="en-US"/>
    </w:rPr>
  </w:style>
  <w:style w:type="paragraph" w:styleId="ListParagraph">
    <w:name w:val="List Paragraph"/>
    <w:basedOn w:val="Normal"/>
    <w:uiPriority w:val="34"/>
    <w:qFormat/>
    <w:rsid w:val="00E70F7D"/>
    <w:pPr>
      <w:ind w:left="720"/>
      <w:contextualSpacing/>
    </w:pPr>
    <w:rPr>
      <w:rFonts w:eastAsiaTheme="minorHAnsi" w:cstheme="minorBidi"/>
      <w:szCs w:val="22"/>
      <w:lang w:val="en-US" w:eastAsia="en-US"/>
    </w:rPr>
  </w:style>
  <w:style w:type="character" w:customStyle="1" w:styleId="sccappellantforindexchar0">
    <w:name w:val="sccappellantforindexchar"/>
    <w:basedOn w:val="DefaultParagraphFont"/>
    <w:rsid w:val="00E70F7D"/>
  </w:style>
  <w:style w:type="character" w:customStyle="1" w:styleId="sccrespondentforindexchar0">
    <w:name w:val="sccrespondentforindexchar"/>
    <w:basedOn w:val="DefaultParagraphFont"/>
    <w:rsid w:val="00E70F7D"/>
  </w:style>
  <w:style w:type="table" w:customStyle="1" w:styleId="TableGrid2">
    <w:name w:val="Table Grid2"/>
    <w:basedOn w:val="TableNormal"/>
    <w:next w:val="TableGrid"/>
    <w:uiPriority w:val="59"/>
    <w:rsid w:val="00E70F7D"/>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C745B2"/>
    <w:rPr>
      <w:lang w:val="fr-CA"/>
    </w:rPr>
  </w:style>
  <w:style w:type="paragraph" w:customStyle="1" w:styleId="SCCLsocPrefix">
    <w:name w:val="SCC.Lsoc.Prefix"/>
    <w:basedOn w:val="Normal"/>
    <w:next w:val="Normal"/>
    <w:link w:val="SCCLsocPrefixChar"/>
    <w:rsid w:val="00C745B2"/>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C745B2"/>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43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BA421-C593-4C17-84A4-CD92A6AFB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79</Pages>
  <Words>20030</Words>
  <Characters>105219</Characters>
  <Application>Microsoft Office Word</Application>
  <DocSecurity>0</DocSecurity>
  <Lines>876</Lines>
  <Paragraphs>249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125000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2018-05-22T14:15:00Z</dcterms:created>
  <dcterms:modified xsi:type="dcterms:W3CDTF">2019-03-25T19:02:00Z</dcterms:modified>
</cp:coreProperties>
</file>