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6B" w:rsidRDefault="00FC176B" w:rsidP="00512E69">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8" o:title=""/>
          </v:shape>
          <o:OLEObject Type="Embed" ProgID="Presentations.Drawing.13" ShapeID="_x0000_i1025" DrawAspect="Content" ObjectID="_1615031656" r:id="rId9"/>
        </w:object>
      </w:r>
      <w:bookmarkEnd w:id="0"/>
      <w:r>
        <w:t xml:space="preserve"> </w:t>
      </w:r>
      <w:r>
        <w:ptab w:relativeTo="margin" w:alignment="right" w:leader="none"/>
      </w:r>
    </w:p>
    <w:p w:rsidR="00FC176B" w:rsidRDefault="00FC176B" w:rsidP="00FC176B">
      <w:pPr>
        <w:pStyle w:val="Header"/>
      </w:pPr>
    </w:p>
    <w:p w:rsidR="00FC176B" w:rsidRPr="001E12E2" w:rsidRDefault="00FC176B" w:rsidP="00FC176B">
      <w:pPr>
        <w:jc w:val="center"/>
        <w:rPr>
          <w:b/>
        </w:rPr>
      </w:pPr>
      <w:r w:rsidRPr="001E12E2">
        <w:rPr>
          <w:b/>
        </w:rPr>
        <w:t>COUR SUPRÊME DU CANADA</w:t>
      </w:r>
    </w:p>
    <w:p w:rsidR="00FC176B" w:rsidRDefault="00FC176B" w:rsidP="00FC176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FC176B" w:rsidRPr="001E12E2" w:rsidTr="00836B2D">
        <w:trPr>
          <w:cantSplit/>
        </w:trPr>
        <w:tc>
          <w:tcPr>
            <w:tcW w:w="5940" w:type="dxa"/>
          </w:tcPr>
          <w:p w:rsidR="00FC176B" w:rsidRPr="00C04B1A" w:rsidRDefault="00FC176B" w:rsidP="00FC176B">
            <w:pPr>
              <w:rPr>
                <w:lang w:val="en-US"/>
              </w:rPr>
            </w:pPr>
            <w:r w:rsidRPr="00C04B1A">
              <w:rPr>
                <w:b/>
                <w:smallCaps/>
                <w:lang w:val="en-US"/>
              </w:rPr>
              <w:t>Référence :</w:t>
            </w:r>
            <w:r w:rsidRPr="00C04B1A">
              <w:rPr>
                <w:lang w:val="en-US"/>
              </w:rPr>
              <w:t xml:space="preserve"> Highwood Congregation of Jehovah</w:t>
            </w:r>
            <w:r>
              <w:rPr>
                <w:lang w:val="en-US"/>
              </w:rPr>
              <w:t>’</w:t>
            </w:r>
            <w:r w:rsidRPr="00C04B1A">
              <w:rPr>
                <w:lang w:val="en-US"/>
              </w:rPr>
              <w:t xml:space="preserve">s Witnesses (Judicial Committee) </w:t>
            </w:r>
            <w:r w:rsidRPr="00C04B1A">
              <w:rPr>
                <w:i/>
                <w:lang w:val="en-US"/>
              </w:rPr>
              <w:t>c.</w:t>
            </w:r>
            <w:r w:rsidRPr="00C04B1A">
              <w:rPr>
                <w:lang w:val="en-US"/>
              </w:rPr>
              <w:t xml:space="preserve"> Wall</w:t>
            </w:r>
            <w:r>
              <w:rPr>
                <w:lang w:val="en-US"/>
              </w:rPr>
              <w:t xml:space="preserve">, </w:t>
            </w:r>
            <w:r w:rsidRPr="00C04B1A">
              <w:rPr>
                <w:lang w:val="en-US"/>
              </w:rPr>
              <w:t xml:space="preserve">2018 CSC </w:t>
            </w:r>
            <w:r>
              <w:rPr>
                <w:lang w:val="en-US"/>
              </w:rPr>
              <w:t xml:space="preserve">26, </w:t>
            </w:r>
            <w:r>
              <w:rPr>
                <w:rStyle w:val="SCCRespondentForRunningHeadChar"/>
                <w:smallCaps w:val="0"/>
              </w:rPr>
              <w:t>[2018] 1 R.C.S. 750</w:t>
            </w:r>
          </w:p>
        </w:tc>
        <w:tc>
          <w:tcPr>
            <w:tcW w:w="3636" w:type="dxa"/>
          </w:tcPr>
          <w:p w:rsidR="00FC176B" w:rsidRPr="00FC176B" w:rsidRDefault="00FC176B" w:rsidP="00836B2D">
            <w:pPr>
              <w:rPr>
                <w:lang w:val="fr-CA"/>
              </w:rPr>
            </w:pPr>
            <w:r w:rsidRPr="00FC176B">
              <w:rPr>
                <w:b/>
                <w:smallCaps/>
                <w:lang w:val="fr-CA"/>
              </w:rPr>
              <w:t>Appel entendu :</w:t>
            </w:r>
            <w:r w:rsidRPr="00FC176B">
              <w:rPr>
                <w:lang w:val="fr-CA"/>
              </w:rPr>
              <w:t xml:space="preserve"> 2 novembre 2017</w:t>
            </w:r>
          </w:p>
          <w:p w:rsidR="00FC176B" w:rsidRPr="00FC176B" w:rsidRDefault="00FC176B" w:rsidP="00836B2D">
            <w:pPr>
              <w:rPr>
                <w:lang w:val="fr-CA"/>
              </w:rPr>
            </w:pPr>
            <w:r w:rsidRPr="00FC176B">
              <w:rPr>
                <w:b/>
                <w:smallCaps/>
                <w:lang w:val="fr-CA"/>
              </w:rPr>
              <w:t>Jugement rendu :</w:t>
            </w:r>
            <w:r w:rsidRPr="00FC176B">
              <w:rPr>
                <w:lang w:val="fr-CA"/>
              </w:rPr>
              <w:t xml:space="preserve"> 31 mai 2018</w:t>
            </w:r>
          </w:p>
          <w:p w:rsidR="00FC176B" w:rsidRPr="001E12E2" w:rsidRDefault="00FC176B" w:rsidP="00836B2D">
            <w:r w:rsidRPr="001E12E2">
              <w:rPr>
                <w:b/>
                <w:smallCaps/>
              </w:rPr>
              <w:t>Do</w:t>
            </w:r>
            <w:r>
              <w:rPr>
                <w:b/>
                <w:smallCaps/>
              </w:rPr>
              <w:t>ssier :</w:t>
            </w:r>
            <w:r w:rsidRPr="001E12E2">
              <w:t xml:space="preserve"> </w:t>
            </w:r>
            <w:r>
              <w:t>37273</w:t>
            </w:r>
          </w:p>
        </w:tc>
      </w:tr>
    </w:tbl>
    <w:p w:rsidR="00FC176B" w:rsidRPr="001E12E2" w:rsidRDefault="00FC176B" w:rsidP="00FC176B"/>
    <w:p w:rsidR="00FC176B" w:rsidRPr="009B0AFE" w:rsidRDefault="00FC176B" w:rsidP="00FC176B">
      <w:pPr>
        <w:pStyle w:val="SCCLsocPrefix"/>
        <w:rPr>
          <w:lang w:val="en-US"/>
        </w:rPr>
      </w:pPr>
      <w:proofErr w:type="gramStart"/>
      <w:r w:rsidRPr="009B0AFE">
        <w:rPr>
          <w:lang w:val="en-US"/>
        </w:rPr>
        <w:t>Entre :</w:t>
      </w:r>
      <w:proofErr w:type="gramEnd"/>
    </w:p>
    <w:p w:rsidR="00FC176B" w:rsidRDefault="00FC176B" w:rsidP="00FC176B">
      <w:pPr>
        <w:pStyle w:val="SCCLsocParty"/>
        <w:rPr>
          <w:lang w:val="en-US"/>
        </w:rPr>
      </w:pPr>
    </w:p>
    <w:p w:rsidR="00FC176B" w:rsidRDefault="00FC176B" w:rsidP="00FC176B">
      <w:pPr>
        <w:pStyle w:val="SCCLsocParty"/>
        <w:jc w:val="center"/>
        <w:rPr>
          <w:lang w:val="en-US"/>
        </w:rPr>
      </w:pPr>
      <w:r w:rsidRPr="00D7525D">
        <w:rPr>
          <w:lang w:val="en-US"/>
        </w:rPr>
        <w:t>Judicial Committee of the Highwood Congregation of Jehovah</w:t>
      </w:r>
      <w:r>
        <w:rPr>
          <w:lang w:val="en-US"/>
        </w:rPr>
        <w:t>’</w:t>
      </w:r>
      <w:r w:rsidRPr="00D7525D">
        <w:rPr>
          <w:lang w:val="en-US"/>
        </w:rPr>
        <w:t>s Witnesses</w:t>
      </w:r>
    </w:p>
    <w:p w:rsidR="00FC176B" w:rsidRPr="00FC176B" w:rsidRDefault="00FC176B" w:rsidP="00FC176B">
      <w:pPr>
        <w:pStyle w:val="SCCLsocParty"/>
        <w:jc w:val="center"/>
        <w:rPr>
          <w:lang w:val="fr-CA"/>
        </w:rPr>
      </w:pPr>
      <w:r w:rsidRPr="00FC176B">
        <w:rPr>
          <w:lang w:val="fr-CA"/>
        </w:rPr>
        <w:t>(</w:t>
      </w:r>
      <w:proofErr w:type="spellStart"/>
      <w:r w:rsidRPr="00FC176B">
        <w:rPr>
          <w:lang w:val="fr-CA"/>
        </w:rPr>
        <w:t>Vaughn</w:t>
      </w:r>
      <w:proofErr w:type="spellEnd"/>
      <w:r w:rsidRPr="00FC176B">
        <w:rPr>
          <w:lang w:val="fr-CA"/>
        </w:rPr>
        <w:t xml:space="preserve"> Lee — Chairman et </w:t>
      </w:r>
      <w:proofErr w:type="spellStart"/>
      <w:r w:rsidRPr="00FC176B">
        <w:rPr>
          <w:lang w:val="fr-CA"/>
        </w:rPr>
        <w:t>Elders</w:t>
      </w:r>
      <w:proofErr w:type="spellEnd"/>
      <w:r w:rsidRPr="00FC176B">
        <w:rPr>
          <w:lang w:val="fr-CA"/>
        </w:rPr>
        <w:t xml:space="preserve"> James Scott Lang et Joe </w:t>
      </w:r>
      <w:proofErr w:type="spellStart"/>
      <w:r w:rsidRPr="00FC176B">
        <w:rPr>
          <w:lang w:val="fr-CA"/>
        </w:rPr>
        <w:t>Gurney</w:t>
      </w:r>
      <w:proofErr w:type="spellEnd"/>
      <w:r w:rsidRPr="00FC176B">
        <w:rPr>
          <w:lang w:val="fr-CA"/>
        </w:rPr>
        <w:t>) et</w:t>
      </w:r>
    </w:p>
    <w:p w:rsidR="00FC176B" w:rsidRPr="00D7525D" w:rsidRDefault="00FC176B" w:rsidP="00FC176B">
      <w:pPr>
        <w:pStyle w:val="SCCLsocParty"/>
        <w:jc w:val="center"/>
        <w:rPr>
          <w:lang w:val="en-US"/>
        </w:rPr>
      </w:pPr>
      <w:r w:rsidRPr="00D7525D">
        <w:rPr>
          <w:lang w:val="en-US"/>
        </w:rPr>
        <w:t>Highwood Congregation of Jehovah</w:t>
      </w:r>
      <w:r>
        <w:rPr>
          <w:lang w:val="en-US"/>
        </w:rPr>
        <w:t>’</w:t>
      </w:r>
      <w:r w:rsidRPr="00D7525D">
        <w:rPr>
          <w:lang w:val="en-US"/>
        </w:rPr>
        <w:t>s Witnesses</w:t>
      </w:r>
    </w:p>
    <w:p w:rsidR="00FC176B" w:rsidRPr="009B0AFE" w:rsidRDefault="00FC176B" w:rsidP="00FC176B">
      <w:pPr>
        <w:jc w:val="center"/>
        <w:rPr>
          <w:lang w:val="en-US"/>
        </w:rPr>
      </w:pPr>
      <w:proofErr w:type="spellStart"/>
      <w:r w:rsidRPr="009B0AFE">
        <w:rPr>
          <w:lang w:val="en-US"/>
        </w:rPr>
        <w:t>Appelants</w:t>
      </w:r>
      <w:proofErr w:type="spellEnd"/>
    </w:p>
    <w:p w:rsidR="00FC176B" w:rsidRPr="009B0AFE" w:rsidRDefault="00FC176B" w:rsidP="00FC176B">
      <w:pPr>
        <w:pStyle w:val="SCCLsocVersus"/>
        <w:spacing w:after="0"/>
        <w:jc w:val="center"/>
        <w:rPr>
          <w:lang w:val="en-US"/>
        </w:rPr>
      </w:pPr>
    </w:p>
    <w:p w:rsidR="00FC176B" w:rsidRPr="00FC176B" w:rsidRDefault="00FC176B" w:rsidP="00FC176B">
      <w:pPr>
        <w:pStyle w:val="SCCLsocVersus"/>
        <w:spacing w:after="0"/>
        <w:jc w:val="center"/>
        <w:rPr>
          <w:i w:val="0"/>
          <w:lang w:val="fr-CA"/>
        </w:rPr>
      </w:pPr>
      <w:proofErr w:type="gramStart"/>
      <w:r w:rsidRPr="00FC176B">
        <w:rPr>
          <w:i w:val="0"/>
          <w:lang w:val="fr-CA"/>
        </w:rPr>
        <w:t>et</w:t>
      </w:r>
      <w:proofErr w:type="gramEnd"/>
    </w:p>
    <w:p w:rsidR="00FC176B" w:rsidRPr="00FC176B" w:rsidRDefault="00FC176B" w:rsidP="00FC176B">
      <w:pPr>
        <w:jc w:val="center"/>
        <w:rPr>
          <w:lang w:val="fr-CA"/>
        </w:rPr>
      </w:pPr>
    </w:p>
    <w:p w:rsidR="00FC176B" w:rsidRPr="00FC176B" w:rsidRDefault="00FC176B" w:rsidP="00FC176B">
      <w:pPr>
        <w:pStyle w:val="SCCLsocParty"/>
        <w:jc w:val="center"/>
        <w:rPr>
          <w:lang w:val="fr-CA"/>
        </w:rPr>
      </w:pPr>
      <w:r w:rsidRPr="00FC176B">
        <w:rPr>
          <w:lang w:val="fr-CA"/>
        </w:rPr>
        <w:t>Randy Wall</w:t>
      </w:r>
    </w:p>
    <w:p w:rsidR="00FC176B" w:rsidRPr="00FC176B" w:rsidRDefault="00FC176B" w:rsidP="00FC176B">
      <w:pPr>
        <w:jc w:val="center"/>
        <w:rPr>
          <w:lang w:val="fr-CA"/>
        </w:rPr>
      </w:pPr>
      <w:r w:rsidRPr="00FC176B">
        <w:rPr>
          <w:lang w:val="fr-CA"/>
        </w:rPr>
        <w:t>Intimé</w:t>
      </w:r>
    </w:p>
    <w:p w:rsidR="00FC176B" w:rsidRPr="00FC176B" w:rsidRDefault="00FC176B" w:rsidP="00FC176B">
      <w:pPr>
        <w:pStyle w:val="SCCLsocOtherPartySeparator"/>
        <w:spacing w:after="0"/>
        <w:jc w:val="center"/>
        <w:rPr>
          <w:lang w:val="fr-CA"/>
        </w:rPr>
      </w:pPr>
    </w:p>
    <w:p w:rsidR="00FC176B" w:rsidRPr="00FC176B" w:rsidRDefault="00FC176B" w:rsidP="00FC176B">
      <w:pPr>
        <w:pStyle w:val="SCCLsocOtherPartySeparator"/>
        <w:spacing w:after="0"/>
        <w:jc w:val="center"/>
        <w:rPr>
          <w:lang w:val="fr-CA"/>
        </w:rPr>
      </w:pPr>
      <w:r w:rsidRPr="00FC176B">
        <w:rPr>
          <w:lang w:val="fr-CA"/>
        </w:rPr>
        <w:t>- et -</w:t>
      </w:r>
    </w:p>
    <w:p w:rsidR="00FC176B" w:rsidRPr="00FC176B" w:rsidRDefault="00FC176B" w:rsidP="00FC176B">
      <w:pPr>
        <w:pStyle w:val="SCCLsocParty"/>
        <w:jc w:val="center"/>
        <w:rPr>
          <w:lang w:val="fr-CA"/>
        </w:rPr>
      </w:pPr>
    </w:p>
    <w:p w:rsidR="00FC176B" w:rsidRPr="00FC176B" w:rsidRDefault="00FC176B" w:rsidP="00FC176B">
      <w:pPr>
        <w:pStyle w:val="SCCLsocParty"/>
        <w:jc w:val="center"/>
        <w:rPr>
          <w:lang w:val="fr-CA"/>
        </w:rPr>
      </w:pPr>
      <w:r w:rsidRPr="00FC176B">
        <w:rPr>
          <w:lang w:val="fr-CA"/>
        </w:rPr>
        <w:t xml:space="preserve">Canadian Council of Christian </w:t>
      </w:r>
      <w:proofErr w:type="spellStart"/>
      <w:r w:rsidRPr="00FC176B">
        <w:rPr>
          <w:lang w:val="fr-CA"/>
        </w:rPr>
        <w:t>Charities</w:t>
      </w:r>
      <w:proofErr w:type="spellEnd"/>
      <w:r w:rsidRPr="00FC176B">
        <w:rPr>
          <w:lang w:val="fr-CA"/>
        </w:rPr>
        <w:t xml:space="preserve">, Association for </w:t>
      </w:r>
      <w:proofErr w:type="spellStart"/>
      <w:r w:rsidRPr="00FC176B">
        <w:rPr>
          <w:lang w:val="fr-CA"/>
        </w:rPr>
        <w:t>Reformed</w:t>
      </w:r>
      <w:proofErr w:type="spellEnd"/>
      <w:r w:rsidRPr="00FC176B">
        <w:rPr>
          <w:lang w:val="fr-CA"/>
        </w:rPr>
        <w:t xml:space="preserve"> </w:t>
      </w:r>
      <w:proofErr w:type="spellStart"/>
      <w:r w:rsidRPr="00FC176B">
        <w:rPr>
          <w:lang w:val="fr-CA"/>
        </w:rPr>
        <w:t>Political</w:t>
      </w:r>
      <w:proofErr w:type="spellEnd"/>
      <w:r w:rsidRPr="00FC176B">
        <w:rPr>
          <w:lang w:val="fr-CA"/>
        </w:rPr>
        <w:t xml:space="preserve"> Action Canada, Canadian Constitution </w:t>
      </w:r>
      <w:proofErr w:type="spellStart"/>
      <w:r w:rsidRPr="00FC176B">
        <w:rPr>
          <w:lang w:val="fr-CA"/>
        </w:rPr>
        <w:t>Foundation</w:t>
      </w:r>
      <w:proofErr w:type="spellEnd"/>
      <w:r w:rsidRPr="00FC176B">
        <w:rPr>
          <w:lang w:val="fr-CA"/>
        </w:rPr>
        <w:t xml:space="preserve">, Alliance évangélique du Canada, Catholic Civil Rights League, Alliance des chrétiens en droit, World Sikh </w:t>
      </w:r>
      <w:proofErr w:type="spellStart"/>
      <w:r w:rsidRPr="00FC176B">
        <w:rPr>
          <w:lang w:val="fr-CA"/>
        </w:rPr>
        <w:t>Organization</w:t>
      </w:r>
      <w:proofErr w:type="spellEnd"/>
      <w:r w:rsidRPr="00FC176B">
        <w:rPr>
          <w:lang w:val="fr-CA"/>
        </w:rPr>
        <w:t xml:space="preserve"> of Canada, Église adventiste du septième jour au Canada, Justice Centre for </w:t>
      </w:r>
      <w:proofErr w:type="spellStart"/>
      <w:r w:rsidRPr="00FC176B">
        <w:rPr>
          <w:lang w:val="fr-CA"/>
        </w:rPr>
        <w:t>Constitutional</w:t>
      </w:r>
      <w:proofErr w:type="spellEnd"/>
      <w:r w:rsidRPr="00FC176B">
        <w:rPr>
          <w:lang w:val="fr-CA"/>
        </w:rPr>
        <w:t xml:space="preserve"> </w:t>
      </w:r>
      <w:proofErr w:type="spellStart"/>
      <w:r w:rsidRPr="00FC176B">
        <w:rPr>
          <w:lang w:val="fr-CA"/>
        </w:rPr>
        <w:t>Freedoms</w:t>
      </w:r>
      <w:proofErr w:type="spellEnd"/>
      <w:r w:rsidRPr="00FC176B">
        <w:rPr>
          <w:lang w:val="fr-CA"/>
        </w:rPr>
        <w:t>, Église de Jésus-Christ des saints des derniers jours au Canada, British Columbia Civil Liberties Association et Association canadienne des avocats musulmans</w:t>
      </w:r>
    </w:p>
    <w:p w:rsidR="00FC176B" w:rsidRPr="00512E69" w:rsidRDefault="00FC176B" w:rsidP="00FC176B">
      <w:pPr>
        <w:jc w:val="center"/>
        <w:rPr>
          <w:lang w:val="fr-CA"/>
        </w:rPr>
      </w:pPr>
      <w:r w:rsidRPr="00512E69">
        <w:rPr>
          <w:lang w:val="fr-CA"/>
        </w:rPr>
        <w:t>Intervenants</w:t>
      </w:r>
    </w:p>
    <w:p w:rsidR="00FC176B" w:rsidRPr="00512E69" w:rsidRDefault="00FC176B" w:rsidP="00FC176B">
      <w:pPr>
        <w:jc w:val="center"/>
        <w:rPr>
          <w:lang w:val="fr-CA"/>
        </w:rPr>
      </w:pPr>
    </w:p>
    <w:p w:rsidR="00FC176B" w:rsidRPr="00FC176B" w:rsidRDefault="00FC176B" w:rsidP="00FC176B">
      <w:pPr>
        <w:jc w:val="center"/>
        <w:rPr>
          <w:b/>
          <w:smallCaps/>
          <w:lang w:val="fr-CA"/>
        </w:rPr>
      </w:pPr>
      <w:r w:rsidRPr="00FC176B">
        <w:rPr>
          <w:b/>
          <w:smallCaps/>
          <w:lang w:val="fr-CA"/>
        </w:rPr>
        <w:t>Traduction française officielle</w:t>
      </w:r>
    </w:p>
    <w:p w:rsidR="00FC176B" w:rsidRPr="00FC176B" w:rsidRDefault="00FC176B" w:rsidP="00FC176B">
      <w:pPr>
        <w:rPr>
          <w:lang w:val="fr-CA"/>
        </w:rPr>
      </w:pPr>
    </w:p>
    <w:p w:rsidR="00FC176B" w:rsidRPr="00FC176B" w:rsidRDefault="00FC176B" w:rsidP="00FC176B">
      <w:pPr>
        <w:rPr>
          <w:lang w:val="fr-CA"/>
        </w:rPr>
      </w:pPr>
      <w:r w:rsidRPr="00FC176B">
        <w:rPr>
          <w:b/>
          <w:smallCaps/>
          <w:lang w:val="fr-CA"/>
        </w:rPr>
        <w:t>Coram :</w:t>
      </w:r>
      <w:r w:rsidRPr="00FC176B">
        <w:rPr>
          <w:lang w:val="fr-CA"/>
        </w:rPr>
        <w:t xml:space="preserve"> La juge en chef McLachlin et les juges Abella, Moldaver, Karakatsanis, Wagner, Gascon, Côté, Brown et Rowe</w:t>
      </w:r>
    </w:p>
    <w:p w:rsidR="00FC176B" w:rsidRPr="00FC176B" w:rsidRDefault="00FC176B" w:rsidP="00FC176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C176B" w:rsidRPr="00512E69" w:rsidTr="00836B2D">
        <w:trPr>
          <w:cantSplit/>
        </w:trPr>
        <w:tc>
          <w:tcPr>
            <w:tcW w:w="3618" w:type="dxa"/>
          </w:tcPr>
          <w:p w:rsidR="00FC176B" w:rsidRPr="00FC176B" w:rsidRDefault="00FC176B" w:rsidP="00836B2D">
            <w:pPr>
              <w:rPr>
                <w:b/>
                <w:smallCaps/>
                <w:lang w:val="fr-CA"/>
              </w:rPr>
            </w:pPr>
            <w:r w:rsidRPr="00FC176B">
              <w:rPr>
                <w:b/>
                <w:smallCaps/>
                <w:lang w:val="fr-CA"/>
              </w:rPr>
              <w:t>Motifs de jugement :</w:t>
            </w:r>
          </w:p>
          <w:p w:rsidR="00FC176B" w:rsidRPr="00FC176B" w:rsidRDefault="00FC176B" w:rsidP="00836B2D">
            <w:pPr>
              <w:rPr>
                <w:lang w:val="fr-CA"/>
              </w:rPr>
            </w:pPr>
            <w:r w:rsidRPr="00FC176B">
              <w:rPr>
                <w:lang w:val="fr-CA"/>
              </w:rPr>
              <w:t>(par. 1 à 40)</w:t>
            </w:r>
          </w:p>
        </w:tc>
        <w:tc>
          <w:tcPr>
            <w:tcW w:w="5958" w:type="dxa"/>
          </w:tcPr>
          <w:p w:rsidR="00FC176B" w:rsidRPr="00FC176B" w:rsidRDefault="00FC176B" w:rsidP="00836B2D">
            <w:pPr>
              <w:rPr>
                <w:lang w:val="fr-CA"/>
              </w:rPr>
            </w:pPr>
            <w:r w:rsidRPr="00FC176B">
              <w:rPr>
                <w:lang w:val="fr-CA"/>
              </w:rPr>
              <w:t>Le juge Rowe (avec l’accord de la juge en chef McLachlin et des juges Abella, Moldaver, Karakatsanis, Wagner, Gascon, Côté et Brown)</w:t>
            </w:r>
          </w:p>
        </w:tc>
      </w:tr>
    </w:tbl>
    <w:p w:rsidR="00FC176B" w:rsidRPr="00FC176B" w:rsidRDefault="00FC176B" w:rsidP="00FC176B">
      <w:pPr>
        <w:rPr>
          <w:lang w:val="fr-CA"/>
        </w:rPr>
      </w:pPr>
    </w:p>
    <w:p w:rsidR="00FC176B" w:rsidRPr="00FC176B" w:rsidRDefault="00FC176B" w:rsidP="00FC176B">
      <w:pPr>
        <w:rPr>
          <w:lang w:val="fr-CA"/>
        </w:rPr>
      </w:pPr>
    </w:p>
    <w:p w:rsidR="00FC176B" w:rsidRPr="00FC176B" w:rsidRDefault="00FC176B" w:rsidP="00FC176B">
      <w:pPr>
        <w:rPr>
          <w:lang w:val="fr-CA"/>
        </w:rPr>
      </w:pPr>
      <w:r>
        <w:rPr>
          <w:noProof/>
          <w:lang w:val="en-US" w:eastAsia="en-US"/>
        </w:rPr>
        <w:lastRenderedPageBreak/>
        <mc:AlternateContent>
          <mc:Choice Requires="wps">
            <w:drawing>
              <wp:anchor distT="0" distB="0" distL="114300" distR="114300" simplePos="0" relativeHeight="251659264" behindDoc="0" locked="0" layoutInCell="1" allowOverlap="1" wp14:anchorId="52CECF89" wp14:editId="62FCAC8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CB48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C176B" w:rsidRPr="00FC176B" w:rsidRDefault="00FC176B" w:rsidP="00566B15">
      <w:pPr>
        <w:widowControl w:val="0"/>
        <w:spacing w:after="720"/>
        <w:jc w:val="both"/>
        <w:rPr>
          <w:rStyle w:val="SCCAppellantForRunningHeadChar"/>
          <w:smallCaps w:val="0"/>
          <w:lang w:val="fr-CA"/>
        </w:rPr>
      </w:pPr>
    </w:p>
    <w:p w:rsidR="004D7D95" w:rsidRPr="00A31106" w:rsidRDefault="00A31106" w:rsidP="00566B15">
      <w:pPr>
        <w:widowControl w:val="0"/>
        <w:spacing w:after="720"/>
        <w:jc w:val="both"/>
        <w:rPr>
          <w:smallCaps/>
          <w:lang w:val="en-US"/>
        </w:rPr>
      </w:pPr>
      <w:r>
        <w:rPr>
          <w:rStyle w:val="SCCAppellantForRunningHeadChar"/>
          <w:smallCaps w:val="0"/>
        </w:rPr>
        <w:t>H</w:t>
      </w:r>
      <w:r w:rsidR="00E81A2D" w:rsidRPr="00A31106">
        <w:rPr>
          <w:rStyle w:val="SCCAppellantForRunningHeadChar"/>
          <w:smallCaps w:val="0"/>
        </w:rPr>
        <w:t xml:space="preserve">ighwood </w:t>
      </w:r>
      <w:r>
        <w:rPr>
          <w:rStyle w:val="SCCAppellantForRunningHeadChar"/>
          <w:smallCaps w:val="0"/>
        </w:rPr>
        <w:t>C</w:t>
      </w:r>
      <w:r w:rsidR="00E81A2D" w:rsidRPr="00A31106">
        <w:rPr>
          <w:rStyle w:val="SCCAppellantForRunningHeadChar"/>
          <w:smallCaps w:val="0"/>
        </w:rPr>
        <w:t>ongregation</w:t>
      </w:r>
      <w:r>
        <w:rPr>
          <w:rStyle w:val="SCCAppellantForRunningHeadChar"/>
          <w:smallCaps w:val="0"/>
        </w:rPr>
        <w:t xml:space="preserve"> of Jehovah’s Witnesses (Judicial Committee)</w:t>
      </w:r>
      <w:r w:rsidR="004D7D95" w:rsidRPr="00A31106">
        <w:rPr>
          <w:smallCaps/>
          <w:lang w:val="en-US"/>
        </w:rPr>
        <w:t xml:space="preserve"> </w:t>
      </w:r>
      <w:r w:rsidR="004D7D95" w:rsidRPr="00A31106">
        <w:rPr>
          <w:i/>
          <w:lang w:val="en-US"/>
        </w:rPr>
        <w:t>c.</w:t>
      </w:r>
      <w:r w:rsidR="004D7D95" w:rsidRPr="00A31106">
        <w:rPr>
          <w:smallCaps/>
          <w:lang w:val="en-US"/>
        </w:rPr>
        <w:t xml:space="preserve"> </w:t>
      </w:r>
      <w:r>
        <w:rPr>
          <w:rStyle w:val="SCCRespondentForRunningHeadChar"/>
          <w:smallCaps w:val="0"/>
        </w:rPr>
        <w:t>W</w:t>
      </w:r>
      <w:r w:rsidR="004D7D95" w:rsidRPr="00A31106">
        <w:rPr>
          <w:rStyle w:val="SCCRespondentForRunningHeadChar"/>
          <w:smallCaps w:val="0"/>
        </w:rPr>
        <w:t>all</w:t>
      </w:r>
      <w:r>
        <w:rPr>
          <w:rStyle w:val="SCCRespondentForRunningHeadChar"/>
          <w:smallCaps w:val="0"/>
        </w:rPr>
        <w:t>, 2018 CSC 26, [2018] 1 R.C.S. 750</w:t>
      </w:r>
    </w:p>
    <w:p w:rsidR="006B192E" w:rsidRPr="00AB6144" w:rsidRDefault="00C8759F" w:rsidP="00566B15">
      <w:pPr>
        <w:pStyle w:val="SCCLsocLastPartyInRole"/>
        <w:widowControl w:val="0"/>
        <w:spacing w:after="0"/>
      </w:pPr>
      <w:r w:rsidRPr="00AB6144">
        <w:t xml:space="preserve">Judicial Committee of the Highwood Congregation of </w:t>
      </w:r>
    </w:p>
    <w:p w:rsidR="006B192E" w:rsidRPr="00AB6144" w:rsidRDefault="00C8759F" w:rsidP="00566B15">
      <w:pPr>
        <w:pStyle w:val="SCCLsocLastPartyInRole"/>
        <w:widowControl w:val="0"/>
        <w:spacing w:after="0"/>
      </w:pPr>
      <w:r w:rsidRPr="00AB6144">
        <w:t>Jehovah</w:t>
      </w:r>
      <w:r w:rsidR="006173FB" w:rsidRPr="00AB6144">
        <w:t>’</w:t>
      </w:r>
      <w:r w:rsidRPr="00AB6144">
        <w:t>s Witnesses (Vaughn Lee</w:t>
      </w:r>
      <w:r w:rsidR="00AA6275" w:rsidRPr="00AB6144">
        <w:t xml:space="preserve"> — </w:t>
      </w:r>
      <w:r w:rsidRPr="00AB6144">
        <w:t xml:space="preserve">Chairman </w:t>
      </w:r>
      <w:proofErr w:type="gramStart"/>
      <w:r w:rsidR="00B070F5" w:rsidRPr="00AB6144">
        <w:t>et</w:t>
      </w:r>
      <w:proofErr w:type="gramEnd"/>
      <w:r w:rsidRPr="00AB6144">
        <w:t xml:space="preserve"> </w:t>
      </w:r>
    </w:p>
    <w:p w:rsidR="006B192E" w:rsidRPr="00AB6144" w:rsidRDefault="00B070F5" w:rsidP="00566B15">
      <w:pPr>
        <w:pStyle w:val="SCCLsocLastPartyInRole"/>
        <w:widowControl w:val="0"/>
        <w:spacing w:after="0"/>
        <w:rPr>
          <w:lang w:val="fr-CA"/>
        </w:rPr>
      </w:pPr>
      <w:proofErr w:type="spellStart"/>
      <w:r w:rsidRPr="00AB6144">
        <w:rPr>
          <w:lang w:val="fr-CA"/>
        </w:rPr>
        <w:t>Elders</w:t>
      </w:r>
      <w:proofErr w:type="spellEnd"/>
      <w:r w:rsidRPr="00AB6144">
        <w:rPr>
          <w:lang w:val="fr-CA"/>
        </w:rPr>
        <w:t xml:space="preserve"> James Scott Lang et</w:t>
      </w:r>
      <w:r w:rsidR="00C8759F" w:rsidRPr="00AB6144">
        <w:rPr>
          <w:lang w:val="fr-CA"/>
        </w:rPr>
        <w:t xml:space="preserve"> Joe </w:t>
      </w:r>
      <w:proofErr w:type="spellStart"/>
      <w:r w:rsidR="00C8759F" w:rsidRPr="00AB6144">
        <w:rPr>
          <w:lang w:val="fr-CA"/>
        </w:rPr>
        <w:t>Gurney</w:t>
      </w:r>
      <w:proofErr w:type="spellEnd"/>
      <w:r w:rsidR="00C8759F" w:rsidRPr="00AB6144">
        <w:rPr>
          <w:lang w:val="fr-CA"/>
        </w:rPr>
        <w:t xml:space="preserve">) et </w:t>
      </w:r>
    </w:p>
    <w:p w:rsidR="00D34B6A" w:rsidRPr="00AB6144" w:rsidRDefault="00C8759F" w:rsidP="00566B15">
      <w:pPr>
        <w:pStyle w:val="SCCLsocLastPartyInRole"/>
        <w:widowControl w:val="0"/>
      </w:pPr>
      <w:r w:rsidRPr="00AB6144">
        <w:t>Highwood Congregation of Jehovah</w:t>
      </w:r>
      <w:r w:rsidR="006173FB" w:rsidRPr="00AB6144">
        <w:t>’</w:t>
      </w:r>
      <w:r w:rsidRPr="00AB6144">
        <w:t>s Witnesses</w:t>
      </w:r>
      <w:r w:rsidR="003A6BC2" w:rsidRPr="00AB6144">
        <w:rPr>
          <w:rStyle w:val="SCCLsocPartyRole"/>
        </w:rPr>
        <w:tab/>
      </w:r>
      <w:proofErr w:type="spellStart"/>
      <w:r w:rsidR="003A6BC2" w:rsidRPr="00AB6144">
        <w:rPr>
          <w:rStyle w:val="SCCLsocPartyRole"/>
        </w:rPr>
        <w:t>Appelants</w:t>
      </w:r>
      <w:proofErr w:type="spellEnd"/>
    </w:p>
    <w:p w:rsidR="00D34B6A" w:rsidRPr="00AB6144" w:rsidRDefault="00C8759F" w:rsidP="00566B15">
      <w:pPr>
        <w:pStyle w:val="SCCLsocVersus"/>
        <w:widowControl w:val="0"/>
        <w:spacing w:before="240"/>
      </w:pPr>
      <w:proofErr w:type="gramStart"/>
      <w:r w:rsidRPr="00AB6144">
        <w:t>c</w:t>
      </w:r>
      <w:proofErr w:type="gramEnd"/>
      <w:r w:rsidRPr="00AB6144">
        <w:t>.</w:t>
      </w:r>
    </w:p>
    <w:p w:rsidR="00D34B6A" w:rsidRPr="00AB6144" w:rsidRDefault="00C8759F" w:rsidP="00566B15">
      <w:pPr>
        <w:pStyle w:val="SCCLsocLastPartyInRole"/>
        <w:widowControl w:val="0"/>
      </w:pPr>
      <w:r w:rsidRPr="00AB6144">
        <w:t>Randy Wall</w:t>
      </w:r>
      <w:r w:rsidR="009E41C8" w:rsidRPr="00AB6144">
        <w:rPr>
          <w:rStyle w:val="SCCLsocPartyRole"/>
        </w:rPr>
        <w:tab/>
      </w:r>
      <w:proofErr w:type="spellStart"/>
      <w:r w:rsidR="009E41C8" w:rsidRPr="00AB6144">
        <w:rPr>
          <w:rStyle w:val="SCCLsocPartyRole"/>
        </w:rPr>
        <w:t>Intimé</w:t>
      </w:r>
      <w:proofErr w:type="spellEnd"/>
    </w:p>
    <w:p w:rsidR="00D34B6A" w:rsidRPr="00AB6144" w:rsidRDefault="00C8759F" w:rsidP="00566B15">
      <w:pPr>
        <w:pStyle w:val="SCCLsocOtherPartySeparator"/>
        <w:widowControl w:val="0"/>
      </w:pPr>
      <w:proofErr w:type="gramStart"/>
      <w:r w:rsidRPr="00AB6144">
        <w:t>et</w:t>
      </w:r>
      <w:proofErr w:type="gramEnd"/>
    </w:p>
    <w:p w:rsidR="00D34B6A" w:rsidRPr="00AB6144" w:rsidRDefault="00C8759F" w:rsidP="00566B15">
      <w:pPr>
        <w:pStyle w:val="SCCLsocParty"/>
        <w:widowControl w:val="0"/>
      </w:pPr>
      <w:r w:rsidRPr="00AB6144">
        <w:t>Canadian Council of Christian Charities,</w:t>
      </w:r>
    </w:p>
    <w:p w:rsidR="00D34B6A" w:rsidRPr="00AB6144" w:rsidRDefault="00C8759F" w:rsidP="00566B15">
      <w:pPr>
        <w:pStyle w:val="SCCLsocParty"/>
        <w:widowControl w:val="0"/>
      </w:pPr>
      <w:r w:rsidRPr="00AB6144">
        <w:t>Association for Reformed Political Action Canada,</w:t>
      </w:r>
    </w:p>
    <w:p w:rsidR="00D34B6A" w:rsidRPr="00AB6144" w:rsidRDefault="00C8759F" w:rsidP="00566B15">
      <w:pPr>
        <w:pStyle w:val="SCCLsocParty"/>
        <w:widowControl w:val="0"/>
        <w:rPr>
          <w:lang w:val="fr-CA"/>
        </w:rPr>
      </w:pPr>
      <w:r w:rsidRPr="00AB6144">
        <w:rPr>
          <w:lang w:val="fr-CA"/>
        </w:rPr>
        <w:t xml:space="preserve">Canadian Constitution </w:t>
      </w:r>
      <w:proofErr w:type="spellStart"/>
      <w:r w:rsidRPr="00AB6144">
        <w:rPr>
          <w:lang w:val="fr-CA"/>
        </w:rPr>
        <w:t>Foundation</w:t>
      </w:r>
      <w:proofErr w:type="spellEnd"/>
      <w:r w:rsidRPr="00AB6144">
        <w:rPr>
          <w:lang w:val="fr-CA"/>
        </w:rPr>
        <w:t>,</w:t>
      </w:r>
    </w:p>
    <w:p w:rsidR="00D34B6A" w:rsidRPr="00AB6144" w:rsidRDefault="00C8759F" w:rsidP="00566B15">
      <w:pPr>
        <w:pStyle w:val="SCCLsocParty"/>
        <w:widowControl w:val="0"/>
        <w:rPr>
          <w:lang w:val="fr-CA"/>
        </w:rPr>
      </w:pPr>
      <w:r w:rsidRPr="00AB6144">
        <w:rPr>
          <w:lang w:val="fr-CA"/>
        </w:rPr>
        <w:t>Alliance évangélique du Canada,</w:t>
      </w:r>
    </w:p>
    <w:p w:rsidR="00D34B6A" w:rsidRPr="00AB6144" w:rsidRDefault="00B070F5" w:rsidP="00566B15">
      <w:pPr>
        <w:pStyle w:val="SCCLsocParty"/>
        <w:widowControl w:val="0"/>
        <w:rPr>
          <w:lang w:val="fr-CA"/>
        </w:rPr>
      </w:pPr>
      <w:r w:rsidRPr="00AB6144">
        <w:rPr>
          <w:lang w:val="fr-CA"/>
        </w:rPr>
        <w:t>Catholic Civil Rights League</w:t>
      </w:r>
      <w:r w:rsidR="00C8759F" w:rsidRPr="00AB6144">
        <w:rPr>
          <w:lang w:val="fr-CA"/>
        </w:rPr>
        <w:t>,</w:t>
      </w:r>
    </w:p>
    <w:p w:rsidR="00D34B6A" w:rsidRPr="00AB6144" w:rsidRDefault="00C8759F" w:rsidP="00566B15">
      <w:pPr>
        <w:pStyle w:val="SCCLsocParty"/>
        <w:widowControl w:val="0"/>
        <w:rPr>
          <w:lang w:val="fr-CA"/>
        </w:rPr>
      </w:pPr>
      <w:r w:rsidRPr="00AB6144">
        <w:rPr>
          <w:lang w:val="fr-CA"/>
        </w:rPr>
        <w:t>Alliance des chrétiens en droit,</w:t>
      </w:r>
    </w:p>
    <w:p w:rsidR="00D34B6A" w:rsidRPr="00AB6144" w:rsidRDefault="006B192E" w:rsidP="00566B15">
      <w:pPr>
        <w:pStyle w:val="SCCLsocParty"/>
        <w:widowControl w:val="0"/>
        <w:rPr>
          <w:lang w:val="en-US"/>
        </w:rPr>
      </w:pPr>
      <w:r w:rsidRPr="00AB6144">
        <w:t>World Sikh Organization of Canada</w:t>
      </w:r>
      <w:r w:rsidR="00C8759F" w:rsidRPr="00AB6144">
        <w:rPr>
          <w:lang w:val="en-US"/>
        </w:rPr>
        <w:t>,</w:t>
      </w:r>
    </w:p>
    <w:p w:rsidR="00D34B6A" w:rsidRPr="00AB6144" w:rsidRDefault="00C8759F" w:rsidP="00566B15">
      <w:pPr>
        <w:pStyle w:val="SCCLsocParty"/>
        <w:widowControl w:val="0"/>
        <w:rPr>
          <w:lang w:val="fr-CA"/>
        </w:rPr>
      </w:pPr>
      <w:r w:rsidRPr="00AB6144">
        <w:rPr>
          <w:lang w:val="fr-CA"/>
        </w:rPr>
        <w:t>Église adventiste du septième jour au Canada,</w:t>
      </w:r>
    </w:p>
    <w:p w:rsidR="00D34B6A" w:rsidRPr="00AB6144" w:rsidRDefault="00C8759F" w:rsidP="00566B15">
      <w:pPr>
        <w:pStyle w:val="SCCLsocParty"/>
        <w:widowControl w:val="0"/>
      </w:pPr>
      <w:r w:rsidRPr="00AB6144">
        <w:t>Justice Centre for Constitutional Freedoms,</w:t>
      </w:r>
    </w:p>
    <w:p w:rsidR="00D34B6A" w:rsidRPr="00AB6144" w:rsidRDefault="00C8759F" w:rsidP="00566B15">
      <w:pPr>
        <w:pStyle w:val="SCCLsocParty"/>
        <w:widowControl w:val="0"/>
        <w:rPr>
          <w:lang w:val="fr-CA"/>
        </w:rPr>
      </w:pPr>
      <w:r w:rsidRPr="00AB6144">
        <w:rPr>
          <w:lang w:val="fr-CA"/>
        </w:rPr>
        <w:t>Église de Jésus</w:t>
      </w:r>
      <w:r w:rsidR="00B104C4" w:rsidRPr="00AB6144">
        <w:rPr>
          <w:lang w:val="fr-CA"/>
        </w:rPr>
        <w:noBreakHyphen/>
      </w:r>
      <w:r w:rsidRPr="00AB6144">
        <w:rPr>
          <w:lang w:val="fr-CA"/>
        </w:rPr>
        <w:t>Christ des saints des derniers jours au Canada,</w:t>
      </w:r>
    </w:p>
    <w:p w:rsidR="00D34B6A" w:rsidRPr="00AB6144" w:rsidRDefault="00C8759F" w:rsidP="00566B15">
      <w:pPr>
        <w:pStyle w:val="SCCLsocParty"/>
        <w:widowControl w:val="0"/>
        <w:rPr>
          <w:lang w:val="fr-CA"/>
        </w:rPr>
      </w:pPr>
      <w:r w:rsidRPr="00AB6144">
        <w:rPr>
          <w:lang w:val="fr-CA"/>
        </w:rPr>
        <w:t>British Colum</w:t>
      </w:r>
      <w:r w:rsidR="008D129A" w:rsidRPr="00AB6144">
        <w:rPr>
          <w:lang w:val="fr-CA"/>
        </w:rPr>
        <w:t>bia Civil Liberties Association et</w:t>
      </w:r>
    </w:p>
    <w:p w:rsidR="00D34B6A" w:rsidRPr="00AB6144" w:rsidRDefault="00C8759F" w:rsidP="00566B15">
      <w:pPr>
        <w:pStyle w:val="SCCLsocLastPartyInRole"/>
        <w:widowControl w:val="0"/>
        <w:rPr>
          <w:lang w:val="fr-CA"/>
        </w:rPr>
      </w:pPr>
      <w:r w:rsidRPr="00AB6144">
        <w:rPr>
          <w:lang w:val="fr-CA"/>
        </w:rPr>
        <w:t xml:space="preserve">Association </w:t>
      </w:r>
      <w:r w:rsidR="00641C3A" w:rsidRPr="00AB6144">
        <w:rPr>
          <w:lang w:val="fr-CA"/>
        </w:rPr>
        <w:t>c</w:t>
      </w:r>
      <w:r w:rsidRPr="00AB6144">
        <w:rPr>
          <w:lang w:val="fr-CA"/>
        </w:rPr>
        <w:t xml:space="preserve">anadienne des </w:t>
      </w:r>
      <w:r w:rsidR="00641C3A" w:rsidRPr="00AB6144">
        <w:rPr>
          <w:lang w:val="fr-CA"/>
        </w:rPr>
        <w:t>a</w:t>
      </w:r>
      <w:r w:rsidRPr="00AB6144">
        <w:rPr>
          <w:lang w:val="fr-CA"/>
        </w:rPr>
        <w:t xml:space="preserve">vocats </w:t>
      </w:r>
      <w:r w:rsidR="00641C3A" w:rsidRPr="00AB6144">
        <w:rPr>
          <w:lang w:val="fr-CA"/>
        </w:rPr>
        <w:t>m</w:t>
      </w:r>
      <w:r w:rsidRPr="00AB6144">
        <w:rPr>
          <w:lang w:val="fr-CA"/>
        </w:rPr>
        <w:t>usulmans</w:t>
      </w:r>
      <w:r w:rsidR="003D37DD" w:rsidRPr="00AB6144">
        <w:rPr>
          <w:rStyle w:val="SCCLsocPartyRole"/>
          <w:lang w:val="fr-CA"/>
        </w:rPr>
        <w:tab/>
        <w:t>Intervenant</w:t>
      </w:r>
      <w:r w:rsidRPr="00AB6144">
        <w:rPr>
          <w:rStyle w:val="SCCLsocPartyRole"/>
          <w:lang w:val="fr-CA"/>
        </w:rPr>
        <w:t>s</w:t>
      </w:r>
    </w:p>
    <w:p w:rsidR="004D7D95" w:rsidRPr="00AB6144" w:rsidRDefault="004D7D95" w:rsidP="00566B15">
      <w:pPr>
        <w:widowControl w:val="0"/>
        <w:spacing w:after="720"/>
        <w:jc w:val="both"/>
        <w:rPr>
          <w:b/>
          <w:lang w:val="en-US"/>
        </w:rPr>
      </w:pPr>
      <w:proofErr w:type="gramStart"/>
      <w:r w:rsidRPr="00AB6144">
        <w:rPr>
          <w:b/>
          <w:lang w:val="en-US"/>
        </w:rPr>
        <w:t>Répertorié</w:t>
      </w:r>
      <w:r w:rsidR="00B104C4" w:rsidRPr="00AB6144">
        <w:rPr>
          <w:b/>
          <w:lang w:val="en-US"/>
        </w:rPr>
        <w:t> :</w:t>
      </w:r>
      <w:proofErr w:type="gramEnd"/>
      <w:r w:rsidRPr="00AB6144">
        <w:rPr>
          <w:b/>
          <w:lang w:val="en-US"/>
        </w:rPr>
        <w:t> </w:t>
      </w:r>
      <w:r w:rsidR="00F52247" w:rsidRPr="00AB6144">
        <w:rPr>
          <w:b/>
          <w:lang w:val="en-US"/>
        </w:rPr>
        <w:t>Highwood Congregation of Jehovah’s Witnesses (Judicial Committee)</w:t>
      </w:r>
      <w:r w:rsidRPr="00AB6144">
        <w:rPr>
          <w:b/>
          <w:lang w:val="en-US"/>
        </w:rPr>
        <w:t xml:space="preserve"> </w:t>
      </w:r>
      <w:r w:rsidRPr="00AB6144">
        <w:rPr>
          <w:b/>
          <w:i/>
          <w:lang w:val="en-US"/>
        </w:rPr>
        <w:t>c.</w:t>
      </w:r>
      <w:r w:rsidRPr="00AB6144">
        <w:rPr>
          <w:b/>
          <w:lang w:val="en-US"/>
        </w:rPr>
        <w:t xml:space="preserve"> </w:t>
      </w:r>
      <w:r w:rsidRPr="00AB6144">
        <w:rPr>
          <w:rStyle w:val="SCCRespondentForIndexChar"/>
          <w:lang w:val="en-US"/>
        </w:rPr>
        <w:t>Wall</w:t>
      </w:r>
    </w:p>
    <w:p w:rsidR="004D7D95" w:rsidRPr="00AB6144" w:rsidRDefault="00D17B0E" w:rsidP="00566B15">
      <w:pPr>
        <w:pStyle w:val="SCCSystemYear"/>
        <w:widowControl w:val="0"/>
        <w:spacing w:after="720"/>
        <w:jc w:val="both"/>
        <w:rPr>
          <w:lang w:val="fr-CA"/>
        </w:rPr>
      </w:pPr>
      <w:r w:rsidRPr="00AB6144">
        <w:rPr>
          <w:lang w:val="fr-CA"/>
        </w:rPr>
        <w:lastRenderedPageBreak/>
        <w:t>201</w:t>
      </w:r>
      <w:r w:rsidR="0082530E" w:rsidRPr="00AB6144">
        <w:rPr>
          <w:lang w:val="fr-CA"/>
        </w:rPr>
        <w:t>8</w:t>
      </w:r>
      <w:r w:rsidR="004D7D95" w:rsidRPr="00AB6144">
        <w:rPr>
          <w:lang w:val="fr-CA"/>
        </w:rPr>
        <w:t xml:space="preserve"> CSC </w:t>
      </w:r>
      <w:r w:rsidR="00927571" w:rsidRPr="00AB6144">
        <w:rPr>
          <w:lang w:val="fr-CA"/>
        </w:rPr>
        <w:t>26</w:t>
      </w:r>
    </w:p>
    <w:p w:rsidR="004D7D95" w:rsidRPr="00AB6144" w:rsidRDefault="004D7D95" w:rsidP="00566B15">
      <w:pPr>
        <w:widowControl w:val="0"/>
        <w:spacing w:after="720"/>
        <w:jc w:val="both"/>
        <w:rPr>
          <w:lang w:val="fr-CA"/>
        </w:rPr>
      </w:pPr>
      <w:r w:rsidRPr="00AB6144">
        <w:rPr>
          <w:lang w:val="fr-CA"/>
        </w:rPr>
        <w:t>N</w:t>
      </w:r>
      <w:r w:rsidRPr="00AB6144">
        <w:rPr>
          <w:vertAlign w:val="superscript"/>
          <w:lang w:val="fr-CA"/>
        </w:rPr>
        <w:t>o</w:t>
      </w:r>
      <w:r w:rsidRPr="00AB6144">
        <w:rPr>
          <w:lang w:val="fr-CA"/>
        </w:rPr>
        <w:t xml:space="preserve"> du greffe</w:t>
      </w:r>
      <w:r w:rsidR="00B104C4" w:rsidRPr="00AB6144">
        <w:rPr>
          <w:lang w:val="fr-CA"/>
        </w:rPr>
        <w:t> :</w:t>
      </w:r>
      <w:r w:rsidRPr="00AB6144">
        <w:rPr>
          <w:lang w:val="fr-CA"/>
        </w:rPr>
        <w:t> 37273.</w:t>
      </w:r>
    </w:p>
    <w:p w:rsidR="004D7D95" w:rsidRPr="00AB6144" w:rsidRDefault="00D17B0E" w:rsidP="00566B15">
      <w:pPr>
        <w:widowControl w:val="0"/>
        <w:spacing w:after="720"/>
        <w:jc w:val="both"/>
        <w:rPr>
          <w:lang w:val="fr-CA"/>
        </w:rPr>
      </w:pPr>
      <w:r w:rsidRPr="00AB6144">
        <w:rPr>
          <w:lang w:val="fr-CA"/>
        </w:rPr>
        <w:t>2017</w:t>
      </w:r>
      <w:r w:rsidR="00B104C4" w:rsidRPr="00AB6144">
        <w:rPr>
          <w:lang w:val="fr-CA"/>
        </w:rPr>
        <w:t> :</w:t>
      </w:r>
      <w:r w:rsidR="001672CC" w:rsidRPr="00AB6144">
        <w:rPr>
          <w:lang w:val="fr-CA"/>
        </w:rPr>
        <w:t> 2 </w:t>
      </w:r>
      <w:r w:rsidRPr="00AB6144">
        <w:rPr>
          <w:lang w:val="fr-CA"/>
        </w:rPr>
        <w:t>novembre</w:t>
      </w:r>
      <w:r w:rsidR="00743B35" w:rsidRPr="00AB6144">
        <w:rPr>
          <w:lang w:val="fr-CA"/>
        </w:rPr>
        <w:t>; 2018</w:t>
      </w:r>
      <w:r w:rsidR="00B104C4" w:rsidRPr="00AB6144">
        <w:rPr>
          <w:lang w:val="fr-CA"/>
        </w:rPr>
        <w:t> :</w:t>
      </w:r>
      <w:r w:rsidR="00353013" w:rsidRPr="00AB6144">
        <w:rPr>
          <w:lang w:val="fr-CA"/>
        </w:rPr>
        <w:t> 31 </w:t>
      </w:r>
      <w:r w:rsidR="008F44C0" w:rsidRPr="00AB6144">
        <w:rPr>
          <w:lang w:val="fr-CA"/>
        </w:rPr>
        <w:t>mai</w:t>
      </w:r>
      <w:r w:rsidR="004D7D95" w:rsidRPr="00AB6144">
        <w:rPr>
          <w:lang w:val="fr-CA"/>
        </w:rPr>
        <w:t>.</w:t>
      </w:r>
    </w:p>
    <w:p w:rsidR="004D7D95" w:rsidRPr="00AB6144" w:rsidRDefault="004D7D95" w:rsidP="00566B15">
      <w:pPr>
        <w:widowControl w:val="0"/>
        <w:spacing w:after="720"/>
        <w:jc w:val="both"/>
        <w:rPr>
          <w:lang w:val="fr-CA"/>
        </w:rPr>
      </w:pPr>
      <w:r w:rsidRPr="00AB6144">
        <w:rPr>
          <w:lang w:val="fr-CA"/>
        </w:rPr>
        <w:t>Présents</w:t>
      </w:r>
      <w:r w:rsidR="00B104C4" w:rsidRPr="00AB6144">
        <w:rPr>
          <w:lang w:val="fr-CA"/>
        </w:rPr>
        <w:t> :</w:t>
      </w:r>
      <w:r w:rsidRPr="00AB6144">
        <w:rPr>
          <w:lang w:val="fr-CA"/>
        </w:rPr>
        <w:t> La juge en chef McLachlin et les juges Abella, Moldaver, Karakatsanis, Wagner, Gascon, Côté, Brown et Rowe.</w:t>
      </w:r>
    </w:p>
    <w:p w:rsidR="004D7D95" w:rsidRPr="00AB6144" w:rsidRDefault="004D7D95" w:rsidP="00566B15">
      <w:pPr>
        <w:widowControl w:val="0"/>
        <w:spacing w:after="720"/>
        <w:jc w:val="both"/>
        <w:rPr>
          <w:lang w:val="fr-CA"/>
        </w:rPr>
      </w:pPr>
      <w:r w:rsidRPr="00AB6144">
        <w:rPr>
          <w:smallCaps/>
          <w:lang w:val="fr-CA"/>
        </w:rPr>
        <w:t>en appel de la cour d</w:t>
      </w:r>
      <w:r w:rsidR="006173FB" w:rsidRPr="00AB6144">
        <w:rPr>
          <w:smallCaps/>
          <w:lang w:val="fr-CA"/>
        </w:rPr>
        <w:t>’</w:t>
      </w:r>
      <w:r w:rsidRPr="00AB6144">
        <w:rPr>
          <w:smallCaps/>
          <w:lang w:val="fr-CA"/>
        </w:rPr>
        <w:t xml:space="preserve">appel de </w:t>
      </w:r>
      <w:proofErr w:type="spellStart"/>
      <w:r w:rsidRPr="00AB6144">
        <w:rPr>
          <w:smallCaps/>
          <w:lang w:val="fr-CA"/>
        </w:rPr>
        <w:t>l</w:t>
      </w:r>
      <w:r w:rsidR="006173FB" w:rsidRPr="00AB6144">
        <w:rPr>
          <w:smallCaps/>
          <w:lang w:val="fr-CA"/>
        </w:rPr>
        <w:t>’</w:t>
      </w:r>
      <w:r w:rsidRPr="00AB6144">
        <w:rPr>
          <w:smallCaps/>
          <w:lang w:val="fr-CA"/>
        </w:rPr>
        <w:t>alberta</w:t>
      </w:r>
      <w:proofErr w:type="spellEnd"/>
      <w:r w:rsidRPr="00AB6144">
        <w:rPr>
          <w:lang w:val="fr-CA"/>
        </w:rPr>
        <w:t xml:space="preserve"> </w:t>
      </w:r>
    </w:p>
    <w:p w:rsidR="00FB3799" w:rsidRPr="00AB6144" w:rsidRDefault="00FB3799" w:rsidP="00566B15">
      <w:pPr>
        <w:pStyle w:val="SCCNormalDoubleSpacing"/>
        <w:widowControl w:val="0"/>
        <w:spacing w:after="480"/>
        <w:ind w:firstLine="1166"/>
        <w:rPr>
          <w:i/>
          <w:lang w:val="fr-CA"/>
        </w:rPr>
      </w:pPr>
      <w:r w:rsidRPr="00AB6144">
        <w:rPr>
          <w:i/>
          <w:lang w:val="fr-CA"/>
        </w:rPr>
        <w:t>Tribunaux —</w:t>
      </w:r>
      <w:r w:rsidRPr="00AB6144">
        <w:rPr>
          <w:lang w:val="fr-CA"/>
        </w:rPr>
        <w:t xml:space="preserve"> </w:t>
      </w:r>
      <w:r w:rsidRPr="00AB6144">
        <w:rPr>
          <w:i/>
          <w:lang w:val="fr-CA"/>
        </w:rPr>
        <w:t>Compétence —</w:t>
      </w:r>
      <w:r w:rsidRPr="00AB6144">
        <w:rPr>
          <w:lang w:val="fr-CA"/>
        </w:rPr>
        <w:t xml:space="preserve"> </w:t>
      </w:r>
      <w:r w:rsidRPr="00AB6144">
        <w:rPr>
          <w:i/>
          <w:lang w:val="fr-CA"/>
        </w:rPr>
        <w:t>Contrôle judiciaire —</w:t>
      </w:r>
      <w:r w:rsidRPr="00AB6144">
        <w:rPr>
          <w:lang w:val="fr-CA"/>
        </w:rPr>
        <w:t xml:space="preserve"> </w:t>
      </w:r>
      <w:r w:rsidRPr="00AB6144">
        <w:rPr>
          <w:i/>
          <w:lang w:val="fr-CA"/>
        </w:rPr>
        <w:t>Plaideurs privés —</w:t>
      </w:r>
      <w:r w:rsidRPr="00AB6144">
        <w:rPr>
          <w:lang w:val="fr-CA"/>
        </w:rPr>
        <w:t xml:space="preserve"> </w:t>
      </w:r>
      <w:r w:rsidRPr="00AB6144">
        <w:rPr>
          <w:i/>
          <w:lang w:val="fr-CA"/>
        </w:rPr>
        <w:t>Une cour supérieure peut</w:t>
      </w:r>
      <w:r w:rsidR="00B104C4" w:rsidRPr="00AB6144">
        <w:rPr>
          <w:i/>
          <w:lang w:val="fr-CA"/>
        </w:rPr>
        <w:noBreakHyphen/>
      </w:r>
      <w:r w:rsidRPr="00AB6144">
        <w:rPr>
          <w:i/>
          <w:lang w:val="fr-CA"/>
        </w:rPr>
        <w:t xml:space="preserve">elle </w:t>
      </w:r>
      <w:proofErr w:type="gramStart"/>
      <w:r w:rsidRPr="00AB6144">
        <w:rPr>
          <w:i/>
          <w:lang w:val="fr-CA"/>
        </w:rPr>
        <w:t>contrôler</w:t>
      </w:r>
      <w:proofErr w:type="gramEnd"/>
      <w:r w:rsidRPr="00AB6144">
        <w:rPr>
          <w:i/>
          <w:lang w:val="fr-CA"/>
        </w:rPr>
        <w:t xml:space="preserve"> la décision d’un organisme religieux concernant l’appartenance à celui</w:t>
      </w:r>
      <w:r w:rsidR="00B104C4" w:rsidRPr="00AB6144">
        <w:rPr>
          <w:i/>
          <w:lang w:val="fr-CA"/>
        </w:rPr>
        <w:noBreakHyphen/>
      </w:r>
      <w:r w:rsidRPr="00AB6144">
        <w:rPr>
          <w:i/>
          <w:lang w:val="fr-CA"/>
        </w:rPr>
        <w:t>ci? — Est</w:t>
      </w:r>
      <w:r w:rsidR="00B104C4" w:rsidRPr="00AB6144">
        <w:rPr>
          <w:i/>
          <w:lang w:val="fr-CA"/>
        </w:rPr>
        <w:noBreakHyphen/>
      </w:r>
      <w:r w:rsidRPr="00AB6144">
        <w:rPr>
          <w:i/>
          <w:lang w:val="fr-CA"/>
        </w:rPr>
        <w:t>il possible d’exercer un recours en contrôle judiciaire pour régler un différend entre plaideurs privés? — Existe</w:t>
      </w:r>
      <w:r w:rsidR="00B104C4" w:rsidRPr="00AB6144">
        <w:rPr>
          <w:i/>
          <w:lang w:val="fr-CA"/>
        </w:rPr>
        <w:noBreakHyphen/>
      </w:r>
      <w:r w:rsidRPr="00AB6144">
        <w:rPr>
          <w:i/>
          <w:lang w:val="fr-CA"/>
        </w:rPr>
        <w:t>t</w:t>
      </w:r>
      <w:r w:rsidR="00B104C4" w:rsidRPr="00AB6144">
        <w:rPr>
          <w:i/>
          <w:lang w:val="fr-CA"/>
        </w:rPr>
        <w:noBreakHyphen/>
      </w:r>
      <w:r w:rsidRPr="00AB6144">
        <w:rPr>
          <w:i/>
          <w:lang w:val="fr-CA"/>
        </w:rPr>
        <w:t>il un droit à l’équité procédurale en l’absence d’un droit légal sous</w:t>
      </w:r>
      <w:r w:rsidR="00B104C4" w:rsidRPr="00AB6144">
        <w:rPr>
          <w:i/>
          <w:lang w:val="fr-CA"/>
        </w:rPr>
        <w:noBreakHyphen/>
      </w:r>
      <w:r w:rsidRPr="00AB6144">
        <w:rPr>
          <w:i/>
          <w:lang w:val="fr-CA"/>
        </w:rPr>
        <w:t>jacent? — Les questions ecclésiastiques sont</w:t>
      </w:r>
      <w:r w:rsidR="00B104C4" w:rsidRPr="00AB6144">
        <w:rPr>
          <w:i/>
          <w:lang w:val="fr-CA"/>
        </w:rPr>
        <w:noBreakHyphen/>
      </w:r>
      <w:r w:rsidRPr="00AB6144">
        <w:rPr>
          <w:i/>
          <w:lang w:val="fr-CA"/>
        </w:rPr>
        <w:t>elles</w:t>
      </w:r>
      <w:r w:rsidRPr="00AB6144">
        <w:rPr>
          <w:lang w:val="fr-CA"/>
        </w:rPr>
        <w:t xml:space="preserve"> </w:t>
      </w:r>
      <w:r w:rsidRPr="00AB6144">
        <w:rPr>
          <w:i/>
          <w:lang w:val="fr-CA"/>
        </w:rPr>
        <w:t xml:space="preserve">justiciables?  </w:t>
      </w:r>
    </w:p>
    <w:p w:rsidR="00FB3799" w:rsidRPr="00AB6144" w:rsidRDefault="00FB3799" w:rsidP="00566B15">
      <w:pPr>
        <w:pStyle w:val="SCCNormalDoubleSpacing"/>
        <w:widowControl w:val="0"/>
        <w:spacing w:after="480"/>
        <w:ind w:firstLine="1166"/>
        <w:rPr>
          <w:lang w:val="fr-CA"/>
        </w:rPr>
      </w:pPr>
      <w:r w:rsidRPr="00AB6144">
        <w:rPr>
          <w:lang w:val="fr-CA"/>
        </w:rPr>
        <w:t xml:space="preserve">La </w:t>
      </w:r>
      <w:proofErr w:type="spellStart"/>
      <w:r w:rsidRPr="00AB6144">
        <w:rPr>
          <w:lang w:val="fr-CA"/>
        </w:rPr>
        <w:t>Highwood</w:t>
      </w:r>
      <w:proofErr w:type="spellEnd"/>
      <w:r w:rsidRPr="00AB6144">
        <w:rPr>
          <w:lang w:val="fr-CA"/>
        </w:rPr>
        <w:t xml:space="preserve"> </w:t>
      </w:r>
      <w:proofErr w:type="spellStart"/>
      <w:r w:rsidRPr="00AB6144">
        <w:rPr>
          <w:lang w:val="fr-CA"/>
        </w:rPr>
        <w:t>Congregation</w:t>
      </w:r>
      <w:proofErr w:type="spellEnd"/>
      <w:r w:rsidRPr="00AB6144">
        <w:rPr>
          <w:lang w:val="fr-CA"/>
        </w:rPr>
        <w:t xml:space="preserve"> of </w:t>
      </w:r>
      <w:proofErr w:type="spellStart"/>
      <w:r w:rsidRPr="00AB6144">
        <w:rPr>
          <w:lang w:val="fr-CA"/>
        </w:rPr>
        <w:t>Jehovah’s</w:t>
      </w:r>
      <w:proofErr w:type="spellEnd"/>
      <w:r w:rsidRPr="00AB6144">
        <w:rPr>
          <w:lang w:val="fr-CA"/>
        </w:rPr>
        <w:t xml:space="preserve"> </w:t>
      </w:r>
      <w:proofErr w:type="spellStart"/>
      <w:r w:rsidRPr="00AB6144">
        <w:rPr>
          <w:lang w:val="fr-CA"/>
        </w:rPr>
        <w:t>Witnesses</w:t>
      </w:r>
      <w:proofErr w:type="spellEnd"/>
      <w:r w:rsidRPr="00AB6144">
        <w:rPr>
          <w:lang w:val="fr-CA"/>
        </w:rPr>
        <w:t xml:space="preserve"> est une association religieuse volontaire. Ses membres doivent vivre selon des normes de conduite et de morale reconnues. Le membre qui s’écarte de ces normes et ne se repent pas peut être convoqué devant un comité de discipline religieuse formé d’anciens et être excommunié. En 2014, W a été excommunié </w:t>
      </w:r>
      <w:r w:rsidR="00B104C4" w:rsidRPr="00AB6144">
        <w:rPr>
          <w:lang w:val="fr-CA"/>
        </w:rPr>
        <w:t>parce qu’il a</w:t>
      </w:r>
      <w:r w:rsidRPr="00AB6144">
        <w:rPr>
          <w:lang w:val="fr-CA"/>
        </w:rPr>
        <w:t xml:space="preserve"> eu une conduite pécheresse et qu’on a estimé qu’il n’était pas suffisamment repentant. Un comité d’appel a confirmé la décision. W a présenté, en vertu de l’</w:t>
      </w:r>
      <w:r w:rsidR="00B104C4" w:rsidRPr="00AB6144">
        <w:rPr>
          <w:lang w:val="fr-CA"/>
        </w:rPr>
        <w:t>art. </w:t>
      </w:r>
      <w:r w:rsidRPr="00AB6144">
        <w:rPr>
          <w:lang w:val="fr-CA"/>
        </w:rPr>
        <w:t xml:space="preserve">3.15 </w:t>
      </w:r>
      <w:proofErr w:type="gramStart"/>
      <w:r w:rsidRPr="00AB6144">
        <w:rPr>
          <w:lang w:val="fr-CA"/>
        </w:rPr>
        <w:t>des</w:t>
      </w:r>
      <w:proofErr w:type="gramEnd"/>
      <w:r w:rsidRPr="00AB6144">
        <w:rPr>
          <w:lang w:val="fr-CA"/>
        </w:rPr>
        <w:t xml:space="preserve"> </w:t>
      </w:r>
      <w:r w:rsidRPr="00AB6144">
        <w:rPr>
          <w:i/>
          <w:lang w:val="fr-CA"/>
        </w:rPr>
        <w:t xml:space="preserve">Alberta </w:t>
      </w:r>
      <w:proofErr w:type="spellStart"/>
      <w:r w:rsidRPr="00AB6144">
        <w:rPr>
          <w:i/>
          <w:lang w:val="fr-CA"/>
        </w:rPr>
        <w:t>Rules</w:t>
      </w:r>
      <w:proofErr w:type="spellEnd"/>
      <w:r w:rsidRPr="00AB6144">
        <w:rPr>
          <w:i/>
          <w:lang w:val="fr-CA"/>
        </w:rPr>
        <w:t xml:space="preserve"> of Court</w:t>
      </w:r>
      <w:r w:rsidRPr="00AB6144">
        <w:rPr>
          <w:lang w:val="fr-CA"/>
        </w:rPr>
        <w:t xml:space="preserve">, </w:t>
      </w:r>
      <w:r w:rsidRPr="00AB6144">
        <w:rPr>
          <w:lang w:val="fr-CA"/>
        </w:rPr>
        <w:lastRenderedPageBreak/>
        <w:t xml:space="preserve">une demande introductive d’instance en contrôle judiciaire sollicitant l’annulation de la décision du Comité de discipline religieuse au moyen d’une ordonnance de </w:t>
      </w:r>
      <w:proofErr w:type="spellStart"/>
      <w:r w:rsidRPr="00AB6144">
        <w:rPr>
          <w:i/>
          <w:lang w:val="fr-CA"/>
        </w:rPr>
        <w:t>certiorari</w:t>
      </w:r>
      <w:proofErr w:type="spellEnd"/>
      <w:r w:rsidRPr="00AB6144">
        <w:rPr>
          <w:lang w:val="fr-CA"/>
        </w:rPr>
        <w:t>, au motif que cette décision n’était pas équitable sur le plan procédur</w:t>
      </w:r>
      <w:r w:rsidR="00B104C4" w:rsidRPr="00AB6144">
        <w:rPr>
          <w:lang w:val="fr-CA"/>
        </w:rPr>
        <w:t>al. </w:t>
      </w:r>
      <w:r w:rsidRPr="00AB6144">
        <w:rPr>
          <w:lang w:val="fr-CA"/>
        </w:rPr>
        <w:t xml:space="preserve">La Cour du Banc de la Reine </w:t>
      </w:r>
      <w:r w:rsidR="00991784">
        <w:rPr>
          <w:lang w:val="fr-CA"/>
        </w:rPr>
        <w:t>a examiné</w:t>
      </w:r>
      <w:r w:rsidRPr="00AB6144">
        <w:rPr>
          <w:lang w:val="fr-CA"/>
        </w:rPr>
        <w:t xml:space="preserve"> la question de la compétence</w:t>
      </w:r>
      <w:r w:rsidR="00991784">
        <w:rPr>
          <w:lang w:val="fr-CA"/>
        </w:rPr>
        <w:t xml:space="preserve"> dans le cadre d’une audience distincte</w:t>
      </w:r>
      <w:r w:rsidRPr="00AB6144">
        <w:rPr>
          <w:lang w:val="fr-CA"/>
        </w:rPr>
        <w:t xml:space="preserve">. Tant le juge en cabinet qui a examiné la demande que les juges majoritaires de la Cour d’appel ont conclu que les tribunaux avaient compétence pour statuer sur le fond de la demande. </w:t>
      </w:r>
    </w:p>
    <w:p w:rsidR="00FB3799" w:rsidRPr="00AB6144" w:rsidRDefault="00FB3799" w:rsidP="00566B15">
      <w:pPr>
        <w:pStyle w:val="SCCNormalDoubleSpacing"/>
        <w:widowControl w:val="0"/>
        <w:spacing w:after="480"/>
        <w:ind w:firstLine="1166"/>
        <w:rPr>
          <w:lang w:val="fr-CA"/>
        </w:rPr>
      </w:pPr>
      <w:r w:rsidRPr="00AB6144">
        <w:rPr>
          <w:i/>
          <w:lang w:val="fr-CA"/>
        </w:rPr>
        <w:t>Arrêt</w:t>
      </w:r>
      <w:r w:rsidR="00B104C4" w:rsidRPr="00AB6144">
        <w:rPr>
          <w:lang w:val="fr-CA"/>
        </w:rPr>
        <w:t> :</w:t>
      </w:r>
      <w:r w:rsidRPr="00AB6144">
        <w:rPr>
          <w:lang w:val="fr-CA"/>
        </w:rPr>
        <w:t xml:space="preserve"> Le pourvoi est accueilli et la demande introductive d’instance en contrôle judiciaire est annulée.</w:t>
      </w:r>
    </w:p>
    <w:p w:rsidR="00FB3799" w:rsidRPr="00AB6144" w:rsidRDefault="00B104C4" w:rsidP="00566B15">
      <w:pPr>
        <w:pStyle w:val="SCCNormalDoubleSpacing"/>
        <w:widowControl w:val="0"/>
        <w:spacing w:after="480"/>
        <w:ind w:firstLine="1166"/>
        <w:rPr>
          <w:lang w:val="fr-CA"/>
        </w:rPr>
      </w:pPr>
      <w:r w:rsidRPr="00AB6144">
        <w:rPr>
          <w:lang w:val="fr-CA"/>
        </w:rPr>
        <w:t>Trois raisons limitent la possibilité de demander</w:t>
      </w:r>
      <w:r w:rsidR="00991784">
        <w:rPr>
          <w:lang w:val="fr-CA"/>
        </w:rPr>
        <w:t xml:space="preserve">, </w:t>
      </w:r>
      <w:r w:rsidR="00991784" w:rsidRPr="00AB6144">
        <w:rPr>
          <w:lang w:val="fr-CA"/>
        </w:rPr>
        <w:t>pour des raisons fondées sur l’équité procédurale</w:t>
      </w:r>
      <w:r w:rsidR="00991784">
        <w:rPr>
          <w:lang w:val="fr-CA"/>
        </w:rPr>
        <w:t>,</w:t>
      </w:r>
      <w:r w:rsidRPr="00AB6144">
        <w:rPr>
          <w:lang w:val="fr-CA"/>
        </w:rPr>
        <w:t xml:space="preserve"> l</w:t>
      </w:r>
      <w:r w:rsidR="00FB3799" w:rsidRPr="00AB6144">
        <w:rPr>
          <w:lang w:val="fr-CA"/>
        </w:rPr>
        <w:t xml:space="preserve">e contrôle </w:t>
      </w:r>
      <w:r w:rsidRPr="00AB6144">
        <w:rPr>
          <w:lang w:val="fr-CA"/>
        </w:rPr>
        <w:t xml:space="preserve">judiciaire </w:t>
      </w:r>
      <w:r w:rsidR="00991784">
        <w:rPr>
          <w:lang w:val="fr-CA"/>
        </w:rPr>
        <w:t>des décisions prises par des associations volontaires, y compris des groupes religieux.</w:t>
      </w:r>
      <w:r w:rsidR="00FB3799" w:rsidRPr="00AB6144">
        <w:rPr>
          <w:lang w:val="fr-CA"/>
        </w:rPr>
        <w:t xml:space="preserve"> Premièrement, les procédures de contrôle judiciaire ne peuvent viser que les décisions des décideurs publics, et le </w:t>
      </w:r>
      <w:r w:rsidR="00991784">
        <w:rPr>
          <w:lang w:val="fr-CA"/>
        </w:rPr>
        <w:t>C</w:t>
      </w:r>
      <w:r w:rsidR="00FB3799" w:rsidRPr="00AB6144">
        <w:rPr>
          <w:lang w:val="fr-CA"/>
        </w:rPr>
        <w:t>omité de discipline religieuse n’est pas un tel décideur. Ce ne sont pas toutes les décisions qui sont susceptibles de contrôle judiciaire en vertu du pouvoir de surveillance d’une cour supérieure. Un tel recours est possible uniquement lorsqu’un pouvoir étatique a été exercé et que l’exercice de ce pouvoir présente une nature suffisamment publique. Le contrôle judiciaire est un concept de droit public qui permet aux cours de veiller à ce que les juridictions inférieures respectent la primauté du droit. Des plaideurs privés ne peuvent pas présenter aux tribunaux une demande de contrôle judiciaire à l’égard de litiges les opposant</w:t>
      </w:r>
      <w:r w:rsidRPr="00AB6144">
        <w:rPr>
          <w:lang w:val="fr-CA"/>
        </w:rPr>
        <w:t>,</w:t>
      </w:r>
      <w:r w:rsidR="00FB3799" w:rsidRPr="00AB6144">
        <w:rPr>
          <w:lang w:val="fr-CA"/>
        </w:rPr>
        <w:t xml:space="preserve"> et des réparations de droit public tel le </w:t>
      </w:r>
      <w:proofErr w:type="spellStart"/>
      <w:r w:rsidR="00FB3799" w:rsidRPr="00AB6144">
        <w:rPr>
          <w:i/>
          <w:lang w:val="fr-CA"/>
        </w:rPr>
        <w:t>certiorari</w:t>
      </w:r>
      <w:proofErr w:type="spellEnd"/>
      <w:r w:rsidR="00FB3799" w:rsidRPr="00AB6144">
        <w:rPr>
          <w:lang w:val="fr-CA"/>
        </w:rPr>
        <w:t xml:space="preserve"> ne peuvent être </w:t>
      </w:r>
      <w:r w:rsidR="00FB3799" w:rsidRPr="00AB6144">
        <w:rPr>
          <w:lang w:val="fr-CA"/>
        </w:rPr>
        <w:lastRenderedPageBreak/>
        <w:t>accordées à l’occasion d’un litige entre plaideurs privés au sujet de droits contractuels ou de droits de propriété. Le simple fait qu’une décision ait des répercussions sur un large segment du public n’a pas pour effet de conférer à cette décision un caractère public au sens du droit administratif, non plus que la constitution d’une Église au moyen d’une loi d’intérêt privé n’a pour effet d’entraîner une attribution législative de pouvoirs en faveur de cette église. La présente affaire ne soulève aucune question relativement à la primauté du droit. La Congrégation n’exerce d’aucune façon des pouvoirs étatiques</w:t>
      </w:r>
      <w:r w:rsidRPr="00AB6144">
        <w:rPr>
          <w:lang w:val="fr-CA"/>
        </w:rPr>
        <w:t>.</w:t>
      </w:r>
    </w:p>
    <w:p w:rsidR="00FB3799" w:rsidRPr="00AB6144" w:rsidRDefault="00FB3799" w:rsidP="00566B15">
      <w:pPr>
        <w:pStyle w:val="SCCNormalDoubleSpacing"/>
        <w:widowControl w:val="0"/>
        <w:spacing w:after="480"/>
        <w:ind w:firstLine="1166"/>
        <w:rPr>
          <w:lang w:val="fr-CA"/>
        </w:rPr>
      </w:pPr>
      <w:r w:rsidRPr="00AB6144">
        <w:rPr>
          <w:lang w:val="fr-CA"/>
        </w:rPr>
        <w:t>Deuxièmement, il n’existe aucun droit autonome à l’équité procédurale en l’absence d’un droit légal sous</w:t>
      </w:r>
      <w:r w:rsidR="00B104C4" w:rsidRPr="00AB6144">
        <w:rPr>
          <w:lang w:val="fr-CA"/>
        </w:rPr>
        <w:noBreakHyphen/>
      </w:r>
      <w:r w:rsidRPr="00AB6144">
        <w:rPr>
          <w:lang w:val="fr-CA"/>
        </w:rPr>
        <w:t xml:space="preserve">jacent. Les tribunaux ne peuvent intervenir à l’égard de préoccupations liées à l’équité procédurale que soulèvent les décisions de groupes religieux ou autres associations volontaires que si des droits légaux sont en jeu et que la demande repose sur une cause d’action valable, par exemple en matière de contrat, de délit civil ou de restitution. Une simple allégation de violation des principes de justice naturelle ou le seul fait que le plaignant a épuisé les processus internes de l’organisation ne sauraient donner compétence aux tribunaux. Il ne suffit pas qu’une question revête de l’importance dans quelque sens abstrait. W ne dispose d’aucune cause d’action. Il n’a été présenté aucun élément indiquant que W et la Congrégation entendaient établir des rapports juridiques. Il n’existe aucun droit contractuel. La Congrégation n’a ni constitution écrite, ni règlement administratif, ni règles donnant ouverture à </w:t>
      </w:r>
      <w:r w:rsidR="00B104C4" w:rsidRPr="00AB6144">
        <w:rPr>
          <w:lang w:val="fr-CA"/>
        </w:rPr>
        <w:t xml:space="preserve">un </w:t>
      </w:r>
      <w:r w:rsidRPr="00AB6144">
        <w:rPr>
          <w:lang w:val="fr-CA"/>
        </w:rPr>
        <w:t xml:space="preserve">recours devant les tribunaux. Les répercussions négatives de la décision d’excommunier W sur sa clientèle dans le cadre de ses activités de courtier immobilier </w:t>
      </w:r>
      <w:r w:rsidRPr="00AB6144">
        <w:rPr>
          <w:lang w:val="fr-CA"/>
        </w:rPr>
        <w:lastRenderedPageBreak/>
        <w:t xml:space="preserve">ne font pas naître de droit d’action. Les questions en litige ne relèvent pas de la compétence des tribunaux.  </w:t>
      </w:r>
    </w:p>
    <w:p w:rsidR="004D7D95" w:rsidRPr="00AB6144" w:rsidRDefault="00FB3799" w:rsidP="00566B15">
      <w:pPr>
        <w:pStyle w:val="SCCNormalDoubleSpacing"/>
        <w:widowControl w:val="0"/>
        <w:spacing w:after="480"/>
        <w:ind w:firstLine="1166"/>
        <w:rPr>
          <w:lang w:val="fr-CA"/>
        </w:rPr>
      </w:pPr>
      <w:r w:rsidRPr="00AB6144">
        <w:rPr>
          <w:lang w:val="fr-CA"/>
        </w:rPr>
        <w:t xml:space="preserve">Troisièmement, même lorsqu’il y a ouverture à contrôle judiciaire, les tribunaux n’examineront que les questions qui sont justiciables. Les questions ecclésiastiques soulevées par W ne sont pas justiciables. La </w:t>
      </w:r>
      <w:proofErr w:type="spellStart"/>
      <w:r w:rsidRPr="00AB6144">
        <w:rPr>
          <w:lang w:val="fr-CA"/>
        </w:rPr>
        <w:t>justiciabilité</w:t>
      </w:r>
      <w:proofErr w:type="spellEnd"/>
      <w:r w:rsidRPr="00AB6144">
        <w:rPr>
          <w:lang w:val="fr-CA"/>
        </w:rPr>
        <w:t xml:space="preserve"> est une notion qui s’attache à la question de savoir si l’on est en présence d’une question qu’il convient de faire trancher par un tribun</w:t>
      </w:r>
      <w:r w:rsidR="00B104C4" w:rsidRPr="00AB6144">
        <w:rPr>
          <w:lang w:val="fr-CA"/>
        </w:rPr>
        <w:t xml:space="preserve">al. </w:t>
      </w:r>
      <w:r w:rsidRPr="00AB6144">
        <w:rPr>
          <w:lang w:val="fr-CA"/>
        </w:rPr>
        <w:t xml:space="preserve">Il n’existe pas un ensemble précis de règles délimitant le champ d’application de la notion de </w:t>
      </w:r>
      <w:proofErr w:type="spellStart"/>
      <w:r w:rsidRPr="00AB6144">
        <w:rPr>
          <w:lang w:val="fr-CA"/>
        </w:rPr>
        <w:t>justiciabilité</w:t>
      </w:r>
      <w:proofErr w:type="spellEnd"/>
      <w:r w:rsidRPr="00AB6144">
        <w:rPr>
          <w:lang w:val="fr-CA"/>
        </w:rPr>
        <w:t xml:space="preserve">. Le tribunal doit se demander s’il dispose des attributions institutionnelles et </w:t>
      </w:r>
      <w:proofErr w:type="gramStart"/>
      <w:r w:rsidRPr="00AB6144">
        <w:rPr>
          <w:lang w:val="fr-CA"/>
        </w:rPr>
        <w:t>de la légitimité requises</w:t>
      </w:r>
      <w:proofErr w:type="gramEnd"/>
      <w:r w:rsidRPr="00AB6144">
        <w:rPr>
          <w:lang w:val="fr-CA"/>
        </w:rPr>
        <w:t xml:space="preserve"> pour trancher </w:t>
      </w:r>
      <w:r w:rsidR="00D6290E">
        <w:rPr>
          <w:lang w:val="fr-CA"/>
        </w:rPr>
        <w:t>l’affaire</w:t>
      </w:r>
      <w:r w:rsidRPr="00AB6144">
        <w:rPr>
          <w:lang w:val="fr-CA"/>
        </w:rPr>
        <w:t xml:space="preserve">. Il arrive parfois que même les règles de procédure d’un groupe religieux </w:t>
      </w:r>
      <w:r w:rsidR="00B104C4" w:rsidRPr="00AB6144">
        <w:rPr>
          <w:lang w:val="fr-CA"/>
        </w:rPr>
        <w:t>impliqu</w:t>
      </w:r>
      <w:r w:rsidRPr="00AB6144">
        <w:rPr>
          <w:lang w:val="fr-CA"/>
        </w:rPr>
        <w:t xml:space="preserve">ent l’interprétation d’une doctrine religieuse, comme c’est le cas en l’espèce. Les tribunaux n’ont ni la légitimité ni les attributions institutionnelles requises pour se saisir de </w:t>
      </w:r>
      <w:r w:rsidRPr="00AB6144">
        <w:rPr>
          <w:lang w:val="fr-FR"/>
        </w:rPr>
        <w:t>questions litigieuses touchant la doctrine religieuse</w:t>
      </w:r>
      <w:r w:rsidRPr="00AB6144">
        <w:rPr>
          <w:lang w:val="fr-CA"/>
        </w:rPr>
        <w:t>.</w:t>
      </w:r>
    </w:p>
    <w:p w:rsidR="004D7D95" w:rsidRPr="00AB6144" w:rsidRDefault="004D7D95" w:rsidP="00566B15">
      <w:pPr>
        <w:pStyle w:val="SCCNormalDoubleSpacing"/>
        <w:widowControl w:val="0"/>
        <w:spacing w:after="720" w:line="240" w:lineRule="auto"/>
        <w:rPr>
          <w:b/>
          <w:lang w:val="en-US"/>
        </w:rPr>
      </w:pPr>
      <w:r w:rsidRPr="00AB6144">
        <w:rPr>
          <w:b/>
          <w:lang w:val="en-US"/>
        </w:rPr>
        <w:t>Jurisprudence</w:t>
      </w:r>
    </w:p>
    <w:p w:rsidR="004D7D95" w:rsidRPr="00AB6144" w:rsidRDefault="004D7D95" w:rsidP="00566B15">
      <w:pPr>
        <w:pStyle w:val="SCCNormalDoubleSpacing"/>
        <w:widowControl w:val="0"/>
        <w:spacing w:after="480"/>
        <w:rPr>
          <w:b/>
          <w:lang w:val="en-US"/>
        </w:rPr>
      </w:pPr>
      <w:r w:rsidRPr="00AB6144">
        <w:rPr>
          <w:lang w:val="en-US"/>
        </w:rPr>
        <w:tab/>
      </w:r>
      <w:r w:rsidR="006760B3" w:rsidRPr="00AB6144">
        <w:rPr>
          <w:b/>
          <w:lang w:val="en-US"/>
        </w:rPr>
        <w:t xml:space="preserve">Distinction </w:t>
      </w:r>
      <w:proofErr w:type="spellStart"/>
      <w:r w:rsidR="006760B3" w:rsidRPr="00AB6144">
        <w:rPr>
          <w:b/>
          <w:lang w:val="en-US"/>
        </w:rPr>
        <w:t>d’avec</w:t>
      </w:r>
      <w:proofErr w:type="spellEnd"/>
      <w:r w:rsidR="006760B3" w:rsidRPr="00AB6144">
        <w:rPr>
          <w:b/>
          <w:lang w:val="en-US"/>
        </w:rPr>
        <w:t xml:space="preserve"> les </w:t>
      </w:r>
      <w:proofErr w:type="spellStart"/>
      <w:r w:rsidR="006760B3" w:rsidRPr="00AB6144">
        <w:rPr>
          <w:b/>
          <w:lang w:val="en-US"/>
        </w:rPr>
        <w:t>arrêts</w:t>
      </w:r>
      <w:proofErr w:type="spellEnd"/>
      <w:r w:rsidR="00B104C4" w:rsidRPr="00AB6144">
        <w:rPr>
          <w:b/>
          <w:lang w:val="en-US"/>
        </w:rPr>
        <w:t> :</w:t>
      </w:r>
      <w:r w:rsidR="006760B3" w:rsidRPr="00AB6144">
        <w:rPr>
          <w:lang w:val="en-US"/>
        </w:rPr>
        <w:t xml:space="preserve"> </w:t>
      </w:r>
      <w:r w:rsidR="006760B3" w:rsidRPr="00AB6144">
        <w:rPr>
          <w:i/>
        </w:rPr>
        <w:t xml:space="preserve">McCaw c. United Church of Canada </w:t>
      </w:r>
      <w:r w:rsidR="006760B3" w:rsidRPr="00AB6144">
        <w:t>(1991), 4 O.R. (3d) 481;</w:t>
      </w:r>
      <w:r w:rsidR="006760B3" w:rsidRPr="00AB6144">
        <w:rPr>
          <w:i/>
        </w:rPr>
        <w:t xml:space="preserve"> Pederson c. Fulton</w:t>
      </w:r>
      <w:r w:rsidR="006760B3" w:rsidRPr="00AB6144">
        <w:t>,</w:t>
      </w:r>
      <w:r w:rsidR="006760B3" w:rsidRPr="00AB6144">
        <w:rPr>
          <w:i/>
        </w:rPr>
        <w:t xml:space="preserve"> </w:t>
      </w:r>
      <w:r w:rsidR="006760B3" w:rsidRPr="00AB6144">
        <w:t xml:space="preserve">1994 </w:t>
      </w:r>
      <w:proofErr w:type="spellStart"/>
      <w:r w:rsidR="006760B3" w:rsidRPr="00AB6144">
        <w:t>CanLII</w:t>
      </w:r>
      <w:proofErr w:type="spellEnd"/>
      <w:r w:rsidR="006760B3" w:rsidRPr="00AB6144">
        <w:t xml:space="preserve"> 7483;</w:t>
      </w:r>
      <w:r w:rsidR="006760B3" w:rsidRPr="00AB6144">
        <w:rPr>
          <w:i/>
        </w:rPr>
        <w:t xml:space="preserve"> Lutz c. Faith Lutheran Church of Kelowna</w:t>
      </w:r>
      <w:r w:rsidR="006760B3" w:rsidRPr="00AB6144">
        <w:t xml:space="preserve">, 2009 BCSC 59; </w:t>
      </w:r>
      <w:r w:rsidR="006760B3" w:rsidRPr="00AB6144">
        <w:rPr>
          <w:i/>
        </w:rPr>
        <w:t>Hart c. Roman Catholic Episcopal Cor</w:t>
      </w:r>
      <w:r w:rsidR="00B104C4" w:rsidRPr="00AB6144">
        <w:rPr>
          <w:i/>
        </w:rPr>
        <w:t>p. </w:t>
      </w:r>
      <w:r w:rsidR="006760B3" w:rsidRPr="00AB6144">
        <w:rPr>
          <w:i/>
        </w:rPr>
        <w:t>of the Diocese of Kingston</w:t>
      </w:r>
      <w:r w:rsidR="006760B3" w:rsidRPr="00AB6144">
        <w:t xml:space="preserve">, 2011 ONCA 728, 285 O.A.C. 354; </w:t>
      </w:r>
      <w:proofErr w:type="spellStart"/>
      <w:r w:rsidR="006760B3" w:rsidRPr="00AB6144">
        <w:rPr>
          <w:i/>
        </w:rPr>
        <w:t>Shergill</w:t>
      </w:r>
      <w:proofErr w:type="spellEnd"/>
      <w:r w:rsidR="006760B3" w:rsidRPr="00AB6144">
        <w:rPr>
          <w:i/>
        </w:rPr>
        <w:t xml:space="preserve"> c. </w:t>
      </w:r>
      <w:proofErr w:type="spellStart"/>
      <w:r w:rsidR="006760B3" w:rsidRPr="00AB6144">
        <w:rPr>
          <w:i/>
        </w:rPr>
        <w:t>Khaira</w:t>
      </w:r>
      <w:proofErr w:type="spellEnd"/>
      <w:r w:rsidR="006760B3" w:rsidRPr="00AB6144">
        <w:t xml:space="preserve">, [2014] UKSC 33, [2015] A.C. 359; </w:t>
      </w:r>
      <w:r w:rsidR="006760B3" w:rsidRPr="00AB6144">
        <w:rPr>
          <w:i/>
        </w:rPr>
        <w:t>Lee c. Showmen’s Guild of Great Britain</w:t>
      </w:r>
      <w:r w:rsidR="006760B3" w:rsidRPr="00AB6144">
        <w:t xml:space="preserve">, [1952] 1 All E.R. 1175; </w:t>
      </w:r>
      <w:r w:rsidR="006760B3" w:rsidRPr="00AB6144">
        <w:rPr>
          <w:i/>
        </w:rPr>
        <w:t xml:space="preserve">Lakeside Colony of </w:t>
      </w:r>
      <w:proofErr w:type="spellStart"/>
      <w:r w:rsidR="006760B3" w:rsidRPr="00AB6144">
        <w:rPr>
          <w:i/>
        </w:rPr>
        <w:t>Hutterian</w:t>
      </w:r>
      <w:proofErr w:type="spellEnd"/>
      <w:r w:rsidR="006760B3" w:rsidRPr="00AB6144">
        <w:rPr>
          <w:i/>
        </w:rPr>
        <w:t xml:space="preserve"> Brethren c. Hofer</w:t>
      </w:r>
      <w:r w:rsidR="006760B3" w:rsidRPr="00AB6144">
        <w:t>,</w:t>
      </w:r>
      <w:r w:rsidR="006760B3" w:rsidRPr="00AB6144">
        <w:rPr>
          <w:i/>
        </w:rPr>
        <w:t xml:space="preserve"> </w:t>
      </w:r>
      <w:r w:rsidR="006760B3" w:rsidRPr="00AB6144">
        <w:t>[1992] 3 R.C.S. 165;</w:t>
      </w:r>
      <w:r w:rsidR="006760B3" w:rsidRPr="00AB6144">
        <w:rPr>
          <w:i/>
        </w:rPr>
        <w:t xml:space="preserve"> Hofer c. Hofer</w:t>
      </w:r>
      <w:r w:rsidR="006760B3" w:rsidRPr="00AB6144">
        <w:t xml:space="preserve">, [1970] R.C.S. 958; </w:t>
      </w:r>
      <w:proofErr w:type="spellStart"/>
      <w:r w:rsidR="006760B3" w:rsidRPr="00AB6144">
        <w:rPr>
          <w:i/>
        </w:rPr>
        <w:t>Senez</w:t>
      </w:r>
      <w:proofErr w:type="spellEnd"/>
      <w:r w:rsidR="006760B3" w:rsidRPr="00AB6144">
        <w:rPr>
          <w:i/>
        </w:rPr>
        <w:t xml:space="preserve"> c. </w:t>
      </w:r>
      <w:proofErr w:type="spellStart"/>
      <w:r w:rsidR="006760B3" w:rsidRPr="00AB6144">
        <w:rPr>
          <w:i/>
        </w:rPr>
        <w:t>Chambre</w:t>
      </w:r>
      <w:proofErr w:type="spellEnd"/>
      <w:r w:rsidR="006760B3" w:rsidRPr="00AB6144">
        <w:rPr>
          <w:i/>
        </w:rPr>
        <w:t xml:space="preserve"> </w:t>
      </w:r>
      <w:proofErr w:type="spellStart"/>
      <w:r w:rsidR="006760B3" w:rsidRPr="00AB6144">
        <w:rPr>
          <w:i/>
        </w:rPr>
        <w:t>d’Immeuble</w:t>
      </w:r>
      <w:proofErr w:type="spellEnd"/>
      <w:r w:rsidR="006760B3" w:rsidRPr="00AB6144">
        <w:rPr>
          <w:i/>
        </w:rPr>
        <w:t xml:space="preserve"> de Montréal</w:t>
      </w:r>
      <w:r w:rsidR="006760B3" w:rsidRPr="00AB6144">
        <w:t xml:space="preserve">, [1980] 2 </w:t>
      </w:r>
      <w:r w:rsidR="006760B3" w:rsidRPr="00AB6144">
        <w:lastRenderedPageBreak/>
        <w:t xml:space="preserve">R.C.S. 555; </w:t>
      </w:r>
      <w:proofErr w:type="spellStart"/>
      <w:r w:rsidR="0089589E" w:rsidRPr="00AB6144">
        <w:rPr>
          <w:b/>
          <w:lang w:val="en-US"/>
        </w:rPr>
        <w:t>arrêts</w:t>
      </w:r>
      <w:proofErr w:type="spellEnd"/>
      <w:r w:rsidR="0089589E" w:rsidRPr="00AB6144">
        <w:rPr>
          <w:b/>
          <w:lang w:val="en-US"/>
        </w:rPr>
        <w:t xml:space="preserve"> </w:t>
      </w:r>
      <w:proofErr w:type="spellStart"/>
      <w:r w:rsidR="0089589E" w:rsidRPr="00AB6144">
        <w:rPr>
          <w:b/>
          <w:lang w:val="en-US"/>
        </w:rPr>
        <w:t>désapprouvés</w:t>
      </w:r>
      <w:proofErr w:type="spellEnd"/>
      <w:r w:rsidR="00B104C4" w:rsidRPr="00AB6144">
        <w:rPr>
          <w:b/>
          <w:lang w:val="en-US"/>
        </w:rPr>
        <w:t> :</w:t>
      </w:r>
      <w:r w:rsidR="006760B3" w:rsidRPr="00AB6144">
        <w:t xml:space="preserve"> </w:t>
      </w:r>
      <w:proofErr w:type="spellStart"/>
      <w:r w:rsidR="006760B3" w:rsidRPr="00AB6144">
        <w:rPr>
          <w:i/>
          <w:lang w:val="en-US"/>
        </w:rPr>
        <w:t>Lindenburger</w:t>
      </w:r>
      <w:proofErr w:type="spellEnd"/>
      <w:r w:rsidR="006760B3" w:rsidRPr="00AB6144">
        <w:rPr>
          <w:i/>
          <w:lang w:val="en-US"/>
        </w:rPr>
        <w:t xml:space="preserve"> c. United Church of Canada</w:t>
      </w:r>
      <w:r w:rsidR="006760B3" w:rsidRPr="00AB6144">
        <w:rPr>
          <w:lang w:val="en-US"/>
        </w:rPr>
        <w:t xml:space="preserve"> (1985), 10 O.A.C. 191; </w:t>
      </w:r>
      <w:r w:rsidR="006760B3" w:rsidRPr="00AB6144">
        <w:rPr>
          <w:i/>
          <w:lang w:val="en-US"/>
        </w:rPr>
        <w:t>Davis c. United Church of Canada</w:t>
      </w:r>
      <w:r w:rsidR="006760B3" w:rsidRPr="00AB6144">
        <w:rPr>
          <w:lang w:val="en-US"/>
        </w:rPr>
        <w:t xml:space="preserve"> (1992), 8 O.R. (3d) 75; </w:t>
      </w:r>
      <w:r w:rsidR="006760B3" w:rsidRPr="00AB6144">
        <w:rPr>
          <w:i/>
          <w:lang w:val="en-US"/>
        </w:rPr>
        <w:t>Graff c. New Democratic Party</w:t>
      </w:r>
      <w:r w:rsidR="006760B3" w:rsidRPr="00AB6144">
        <w:rPr>
          <w:lang w:val="en-US"/>
        </w:rPr>
        <w:t xml:space="preserve">, 2017 ONSC 3578; </w:t>
      </w:r>
      <w:r w:rsidR="006760B3" w:rsidRPr="00AB6144">
        <w:rPr>
          <w:i/>
          <w:lang w:val="en-US"/>
        </w:rPr>
        <w:t>Erin Mills Soccer Club c. Ontario Soccer Assn.</w:t>
      </w:r>
      <w:r w:rsidR="006760B3" w:rsidRPr="00AB6144">
        <w:rPr>
          <w:lang w:val="en-US"/>
        </w:rPr>
        <w:t xml:space="preserve">, 2016 ONSC 7718, 15 Admin. </w:t>
      </w:r>
      <w:r w:rsidR="006760B3" w:rsidRPr="00AB6144">
        <w:t xml:space="preserve">L.R. (6th) 138; </w:t>
      </w:r>
      <w:r w:rsidR="006760B3" w:rsidRPr="00AB6144">
        <w:rPr>
          <w:i/>
        </w:rPr>
        <w:t>West Toronto United Football Club c. Ontario Soccer Association</w:t>
      </w:r>
      <w:r w:rsidR="006760B3" w:rsidRPr="00AB6144">
        <w:t xml:space="preserve">, 2014 ONSC 5881, 327 O.A.C. 29; </w:t>
      </w:r>
      <w:proofErr w:type="spellStart"/>
      <w:r w:rsidR="008D23D4" w:rsidRPr="00AB6144">
        <w:rPr>
          <w:b/>
          <w:lang w:val="en-US"/>
        </w:rPr>
        <w:t>arrêts</w:t>
      </w:r>
      <w:proofErr w:type="spellEnd"/>
      <w:r w:rsidR="008D23D4" w:rsidRPr="00AB6144">
        <w:rPr>
          <w:b/>
          <w:lang w:val="en-US"/>
        </w:rPr>
        <w:t xml:space="preserve"> </w:t>
      </w:r>
      <w:proofErr w:type="spellStart"/>
      <w:r w:rsidR="008D23D4" w:rsidRPr="00AB6144">
        <w:rPr>
          <w:b/>
          <w:lang w:val="en-US"/>
        </w:rPr>
        <w:t>examinés</w:t>
      </w:r>
      <w:proofErr w:type="spellEnd"/>
      <w:r w:rsidR="00B104C4" w:rsidRPr="00AB6144">
        <w:rPr>
          <w:b/>
          <w:lang w:val="en-US"/>
        </w:rPr>
        <w:t> :</w:t>
      </w:r>
      <w:r w:rsidR="006760B3" w:rsidRPr="00AB6144">
        <w:t xml:space="preserve"> </w:t>
      </w:r>
      <w:r w:rsidR="006760B3" w:rsidRPr="00AB6144">
        <w:rPr>
          <w:i/>
          <w:lang w:val="en-US"/>
        </w:rPr>
        <w:t xml:space="preserve">Air Canada c. Administration </w:t>
      </w:r>
      <w:proofErr w:type="spellStart"/>
      <w:r w:rsidR="006760B3" w:rsidRPr="00AB6144">
        <w:rPr>
          <w:i/>
          <w:lang w:val="en-US"/>
        </w:rPr>
        <w:t>portuaire</w:t>
      </w:r>
      <w:proofErr w:type="spellEnd"/>
      <w:r w:rsidR="006760B3" w:rsidRPr="00AB6144">
        <w:rPr>
          <w:i/>
          <w:lang w:val="en-US"/>
        </w:rPr>
        <w:t xml:space="preserve"> de Toronto</w:t>
      </w:r>
      <w:r w:rsidR="006760B3" w:rsidRPr="00AB6144">
        <w:rPr>
          <w:lang w:val="en-US"/>
        </w:rPr>
        <w:t xml:space="preserve">, 2011 CAF 347, [2013] 3 R.C.F. 605; </w:t>
      </w:r>
      <w:proofErr w:type="spellStart"/>
      <w:r w:rsidR="006760B3" w:rsidRPr="00AB6144">
        <w:rPr>
          <w:i/>
        </w:rPr>
        <w:t>Setia</w:t>
      </w:r>
      <w:proofErr w:type="spellEnd"/>
      <w:r w:rsidR="006760B3" w:rsidRPr="00AB6144">
        <w:rPr>
          <w:i/>
        </w:rPr>
        <w:t xml:space="preserve"> c. Appleby College</w:t>
      </w:r>
      <w:r w:rsidR="006760B3" w:rsidRPr="00AB6144">
        <w:t xml:space="preserve">, 2013 ONCA 753, 118 O.R. (3d) 481; </w:t>
      </w:r>
      <w:r w:rsidR="006760B3" w:rsidRPr="00AB6144">
        <w:rPr>
          <w:b/>
        </w:rPr>
        <w:t>a</w:t>
      </w:r>
      <w:proofErr w:type="spellStart"/>
      <w:r w:rsidRPr="00AB6144">
        <w:rPr>
          <w:b/>
          <w:lang w:val="en-US"/>
        </w:rPr>
        <w:t>rrêts</w:t>
      </w:r>
      <w:proofErr w:type="spellEnd"/>
      <w:r w:rsidRPr="00AB6144">
        <w:rPr>
          <w:b/>
          <w:lang w:val="en-US"/>
        </w:rPr>
        <w:t xml:space="preserve"> </w:t>
      </w:r>
      <w:proofErr w:type="spellStart"/>
      <w:r w:rsidRPr="00AB6144">
        <w:rPr>
          <w:b/>
          <w:lang w:val="en-US"/>
        </w:rPr>
        <w:t>mentionnés</w:t>
      </w:r>
      <w:proofErr w:type="spellEnd"/>
      <w:r w:rsidR="00B104C4" w:rsidRPr="00AB6144">
        <w:rPr>
          <w:b/>
          <w:lang w:val="en-US"/>
        </w:rPr>
        <w:t> :</w:t>
      </w:r>
      <w:r w:rsidRPr="00AB6144">
        <w:rPr>
          <w:lang w:val="en-US"/>
        </w:rPr>
        <w:t xml:space="preserve"> </w:t>
      </w:r>
      <w:r w:rsidR="007C6D0D" w:rsidRPr="00AB6144">
        <w:rPr>
          <w:i/>
          <w:lang w:val="en-US"/>
        </w:rPr>
        <w:t xml:space="preserve">Canada (Procureur général) c. </w:t>
      </w:r>
      <w:proofErr w:type="spellStart"/>
      <w:r w:rsidR="007C6D0D" w:rsidRPr="00AB6144">
        <w:rPr>
          <w:i/>
          <w:lang w:val="en-US"/>
        </w:rPr>
        <w:t>TeleZone</w:t>
      </w:r>
      <w:proofErr w:type="spellEnd"/>
      <w:r w:rsidR="007C6D0D" w:rsidRPr="00AB6144">
        <w:rPr>
          <w:i/>
          <w:lang w:val="en-US"/>
        </w:rPr>
        <w:t xml:space="preserve"> Inc.</w:t>
      </w:r>
      <w:r w:rsidR="007C6D0D" w:rsidRPr="00AB6144">
        <w:rPr>
          <w:lang w:val="en-US"/>
        </w:rPr>
        <w:t xml:space="preserve">, 2010 CSC 62, [2010] 3 R.C.S. 585; </w:t>
      </w:r>
      <w:proofErr w:type="spellStart"/>
      <w:r w:rsidR="007C6D0D" w:rsidRPr="00AB6144">
        <w:rPr>
          <w:i/>
          <w:lang w:val="en-US"/>
        </w:rPr>
        <w:t>Crevier</w:t>
      </w:r>
      <w:proofErr w:type="spellEnd"/>
      <w:r w:rsidR="007C6D0D" w:rsidRPr="00AB6144">
        <w:rPr>
          <w:i/>
          <w:lang w:val="en-US"/>
        </w:rPr>
        <w:t xml:space="preserve"> c. Procureur général du Québec</w:t>
      </w:r>
      <w:r w:rsidR="007C6D0D" w:rsidRPr="00AB6144">
        <w:rPr>
          <w:lang w:val="en-US"/>
        </w:rPr>
        <w:t xml:space="preserve">, [1981] 2 R.C.S. 220; </w:t>
      </w:r>
      <w:r w:rsidR="009B69BE" w:rsidRPr="00AB6144">
        <w:rPr>
          <w:i/>
          <w:lang w:val="en-US"/>
        </w:rPr>
        <w:t>Knox c. Conservative Party of Canada</w:t>
      </w:r>
      <w:r w:rsidR="009B69BE" w:rsidRPr="00AB6144">
        <w:rPr>
          <w:lang w:val="en-US"/>
        </w:rPr>
        <w:t>, 2007 ABCA 295, 422 A.R. 29</w:t>
      </w:r>
      <w:r w:rsidR="00B24371" w:rsidRPr="00AB6144">
        <w:rPr>
          <w:lang w:val="en-US"/>
        </w:rPr>
        <w:t xml:space="preserve">; </w:t>
      </w:r>
      <w:r w:rsidR="001511E9" w:rsidRPr="00AB6144">
        <w:rPr>
          <w:i/>
        </w:rPr>
        <w:t>Greaves c. United Church of God Canada</w:t>
      </w:r>
      <w:r w:rsidR="001511E9" w:rsidRPr="00AB6144">
        <w:t>,</w:t>
      </w:r>
      <w:r w:rsidR="001511E9" w:rsidRPr="00AB6144">
        <w:rPr>
          <w:i/>
        </w:rPr>
        <w:t xml:space="preserve"> </w:t>
      </w:r>
      <w:r w:rsidR="001511E9" w:rsidRPr="00AB6144">
        <w:t>2003 BCSC 1365, 27 C.C.E.L. (3d) 46</w:t>
      </w:r>
      <w:r w:rsidR="005D3305" w:rsidRPr="00AB6144">
        <w:t xml:space="preserve">; </w:t>
      </w:r>
      <w:r w:rsidR="00ED56E5" w:rsidRPr="00AB6144">
        <w:rPr>
          <w:i/>
        </w:rPr>
        <w:t xml:space="preserve">Ukrainian Greek Orthodox Church of Canada c. Trustees of the Ukrainian Greek Orthodox Cathedral of St. Mary the </w:t>
      </w:r>
      <w:proofErr w:type="spellStart"/>
      <w:r w:rsidR="00ED56E5" w:rsidRPr="00AB6144">
        <w:rPr>
          <w:i/>
        </w:rPr>
        <w:t>Protectress</w:t>
      </w:r>
      <w:proofErr w:type="spellEnd"/>
      <w:r w:rsidR="00ED56E5" w:rsidRPr="00AB6144">
        <w:t xml:space="preserve">, [1940] </w:t>
      </w:r>
      <w:r w:rsidR="004E2486" w:rsidRPr="00AB6144">
        <w:t>R</w:t>
      </w:r>
      <w:r w:rsidR="00ED56E5" w:rsidRPr="00AB6144">
        <w:t>.C.</w:t>
      </w:r>
      <w:r w:rsidR="004E2486" w:rsidRPr="00AB6144">
        <w:t>S</w:t>
      </w:r>
      <w:r w:rsidR="00ED56E5" w:rsidRPr="00AB6144">
        <w:t>. 586</w:t>
      </w:r>
      <w:r w:rsidR="00D165D9" w:rsidRPr="00AB6144">
        <w:t xml:space="preserve">; </w:t>
      </w:r>
      <w:proofErr w:type="spellStart"/>
      <w:r w:rsidR="00BA07DA" w:rsidRPr="00AB6144">
        <w:rPr>
          <w:i/>
        </w:rPr>
        <w:t>Zebroski</w:t>
      </w:r>
      <w:proofErr w:type="spellEnd"/>
      <w:r w:rsidR="00BA07DA" w:rsidRPr="00AB6144">
        <w:rPr>
          <w:i/>
        </w:rPr>
        <w:t xml:space="preserve"> c. Jehovah’s Witnesses </w:t>
      </w:r>
      <w:r w:rsidR="00BA07DA" w:rsidRPr="00AB6144">
        <w:t>(1988), 87 A.R. 229</w:t>
      </w:r>
      <w:r w:rsidR="009E546D" w:rsidRPr="00AB6144">
        <w:t xml:space="preserve">; </w:t>
      </w:r>
      <w:r w:rsidR="00A722AB" w:rsidRPr="00AB6144">
        <w:rPr>
          <w:i/>
        </w:rPr>
        <w:t>Mott</w:t>
      </w:r>
      <w:r w:rsidR="00B104C4" w:rsidRPr="00AB6144">
        <w:rPr>
          <w:i/>
        </w:rPr>
        <w:noBreakHyphen/>
      </w:r>
      <w:proofErr w:type="spellStart"/>
      <w:r w:rsidR="00A722AB" w:rsidRPr="00AB6144">
        <w:rPr>
          <w:i/>
        </w:rPr>
        <w:t>Trille</w:t>
      </w:r>
      <w:proofErr w:type="spellEnd"/>
      <w:r w:rsidR="00A722AB" w:rsidRPr="00AB6144">
        <w:rPr>
          <w:i/>
        </w:rPr>
        <w:t xml:space="preserve"> </w:t>
      </w:r>
      <w:r w:rsidR="00647F42" w:rsidRPr="00AB6144">
        <w:rPr>
          <w:i/>
        </w:rPr>
        <w:t>c</w:t>
      </w:r>
      <w:r w:rsidR="00A722AB" w:rsidRPr="00AB6144">
        <w:rPr>
          <w:i/>
        </w:rPr>
        <w:t>. Steed</w:t>
      </w:r>
      <w:r w:rsidR="00A722AB" w:rsidRPr="00AB6144">
        <w:t xml:space="preserve">, [1998] O.J. </w:t>
      </w:r>
      <w:r w:rsidR="00B104C4" w:rsidRPr="00AB6144">
        <w:t>No. </w:t>
      </w:r>
      <w:r w:rsidR="00A722AB" w:rsidRPr="00AB6144">
        <w:t xml:space="preserve">3583, inf. par 1999 </w:t>
      </w:r>
      <w:proofErr w:type="spellStart"/>
      <w:r w:rsidR="00A722AB" w:rsidRPr="00AB6144">
        <w:t>CanLII</w:t>
      </w:r>
      <w:proofErr w:type="spellEnd"/>
      <w:r w:rsidR="00A722AB" w:rsidRPr="00AB6144">
        <w:t xml:space="preserve"> 2618</w:t>
      </w:r>
      <w:r w:rsidR="0016268C" w:rsidRPr="00AB6144">
        <w:t xml:space="preserve">; </w:t>
      </w:r>
      <w:r w:rsidR="00DF1A44" w:rsidRPr="00AB6144">
        <w:rPr>
          <w:i/>
        </w:rPr>
        <w:t xml:space="preserve">Bruker c. </w:t>
      </w:r>
      <w:proofErr w:type="spellStart"/>
      <w:r w:rsidR="00DF1A44" w:rsidRPr="00AB6144">
        <w:rPr>
          <w:i/>
        </w:rPr>
        <w:t>Marcovitz</w:t>
      </w:r>
      <w:proofErr w:type="spellEnd"/>
      <w:r w:rsidR="00DF1A44" w:rsidRPr="00AB6144">
        <w:t>, 2007 CSC 54, [2007] 3 R.C.S. 607</w:t>
      </w:r>
      <w:r w:rsidR="00EA6F23" w:rsidRPr="00AB6144">
        <w:t xml:space="preserve">; </w:t>
      </w:r>
      <w:proofErr w:type="spellStart"/>
      <w:r w:rsidR="00AD35F0" w:rsidRPr="00AB6144">
        <w:rPr>
          <w:i/>
        </w:rPr>
        <w:t>Syndicat</w:t>
      </w:r>
      <w:proofErr w:type="spellEnd"/>
      <w:r w:rsidR="00AD35F0" w:rsidRPr="00AB6144">
        <w:rPr>
          <w:i/>
        </w:rPr>
        <w:t xml:space="preserve"> </w:t>
      </w:r>
      <w:proofErr w:type="spellStart"/>
      <w:r w:rsidR="00AD35F0" w:rsidRPr="00AB6144">
        <w:rPr>
          <w:i/>
        </w:rPr>
        <w:t>Northcrest</w:t>
      </w:r>
      <w:proofErr w:type="spellEnd"/>
      <w:r w:rsidR="00AD35F0" w:rsidRPr="00AB6144">
        <w:rPr>
          <w:i/>
        </w:rPr>
        <w:t xml:space="preserve"> c. </w:t>
      </w:r>
      <w:proofErr w:type="spellStart"/>
      <w:r w:rsidR="00AD35F0" w:rsidRPr="00AB6144">
        <w:rPr>
          <w:i/>
        </w:rPr>
        <w:t>Amselem</w:t>
      </w:r>
      <w:proofErr w:type="spellEnd"/>
      <w:r w:rsidR="00AD35F0" w:rsidRPr="00AB6144">
        <w:t xml:space="preserve">, 2004 CSC 47, [2004] 2 R.C.S. 551; </w:t>
      </w:r>
      <w:proofErr w:type="spellStart"/>
      <w:r w:rsidR="00EA6F23" w:rsidRPr="00AB6144">
        <w:rPr>
          <w:i/>
        </w:rPr>
        <w:t>Demiris</w:t>
      </w:r>
      <w:proofErr w:type="spellEnd"/>
      <w:r w:rsidR="00EA6F23" w:rsidRPr="00AB6144">
        <w:rPr>
          <w:i/>
        </w:rPr>
        <w:t xml:space="preserve"> </w:t>
      </w:r>
      <w:r w:rsidR="001E68F7" w:rsidRPr="00AB6144">
        <w:rPr>
          <w:i/>
        </w:rPr>
        <w:t>c</w:t>
      </w:r>
      <w:r w:rsidR="00EA6F23" w:rsidRPr="00AB6144">
        <w:rPr>
          <w:i/>
        </w:rPr>
        <w:t>. Hellenic Community of Vancouver</w:t>
      </w:r>
      <w:r w:rsidR="00EA6F23" w:rsidRPr="00AB6144">
        <w:t>, 2000 BCSC 733</w:t>
      </w:r>
      <w:r w:rsidR="000E7225" w:rsidRPr="00AB6144">
        <w:t xml:space="preserve">; </w:t>
      </w:r>
      <w:r w:rsidR="00406809" w:rsidRPr="00AB6144">
        <w:rPr>
          <w:i/>
        </w:rPr>
        <w:t>SDGMR c. Dolphin Delivery Ltd.</w:t>
      </w:r>
      <w:r w:rsidR="00406809" w:rsidRPr="00AB6144">
        <w:t>, [1986] 2 R.C.S. 573.</w:t>
      </w:r>
    </w:p>
    <w:p w:rsidR="004D7D95" w:rsidRPr="00AB6144" w:rsidRDefault="004D7D95" w:rsidP="00566B15">
      <w:pPr>
        <w:pStyle w:val="SCCNormalDoubleSpacing"/>
        <w:widowControl w:val="0"/>
        <w:spacing w:after="720" w:line="240" w:lineRule="auto"/>
        <w:rPr>
          <w:b/>
          <w:lang w:val="fr-CA"/>
        </w:rPr>
      </w:pPr>
      <w:r w:rsidRPr="00AB6144">
        <w:rPr>
          <w:b/>
          <w:lang w:val="fr-CA"/>
        </w:rPr>
        <w:t>Lois et règlements cités</w:t>
      </w:r>
    </w:p>
    <w:p w:rsidR="00163FC4" w:rsidRPr="00566B15" w:rsidRDefault="00163FC4" w:rsidP="00566B15">
      <w:pPr>
        <w:pStyle w:val="SCCNormalDoubleSpacing"/>
        <w:widowControl w:val="0"/>
        <w:spacing w:after="240" w:line="240" w:lineRule="auto"/>
        <w:ind w:left="540" w:hanging="540"/>
        <w:rPr>
          <w:lang w:val="fr-CA"/>
        </w:rPr>
      </w:pPr>
      <w:r w:rsidRPr="00566B15">
        <w:rPr>
          <w:i/>
          <w:lang w:val="fr-CA"/>
        </w:rPr>
        <w:t xml:space="preserve">Alberta </w:t>
      </w:r>
      <w:proofErr w:type="spellStart"/>
      <w:r w:rsidRPr="00566B15">
        <w:rPr>
          <w:i/>
          <w:lang w:val="fr-CA"/>
        </w:rPr>
        <w:t>Rules</w:t>
      </w:r>
      <w:proofErr w:type="spellEnd"/>
      <w:r w:rsidRPr="00566B15">
        <w:rPr>
          <w:i/>
          <w:lang w:val="fr-CA"/>
        </w:rPr>
        <w:t xml:space="preserve"> of Court</w:t>
      </w:r>
      <w:r w:rsidRPr="00566B15">
        <w:rPr>
          <w:lang w:val="fr-CA"/>
        </w:rPr>
        <w:t xml:space="preserve">, Alta. Reg. 124/2010, </w:t>
      </w:r>
      <w:r w:rsidR="00B104C4" w:rsidRPr="00566B15">
        <w:rPr>
          <w:lang w:val="fr-CA"/>
        </w:rPr>
        <w:t>art. </w:t>
      </w:r>
      <w:r w:rsidR="007C18BD" w:rsidRPr="00566B15">
        <w:rPr>
          <w:lang w:val="fr-CA"/>
        </w:rPr>
        <w:t xml:space="preserve">3.9, </w:t>
      </w:r>
      <w:r w:rsidRPr="00566B15">
        <w:rPr>
          <w:lang w:val="fr-CA"/>
        </w:rPr>
        <w:t>3.15, 3.17.</w:t>
      </w:r>
    </w:p>
    <w:p w:rsidR="00163FC4" w:rsidRPr="00AB6144" w:rsidRDefault="00163FC4" w:rsidP="00566B15">
      <w:pPr>
        <w:pStyle w:val="SCCNormalDoubleSpacing"/>
        <w:widowControl w:val="0"/>
        <w:spacing w:after="240" w:line="240" w:lineRule="auto"/>
        <w:ind w:left="540" w:hanging="540"/>
        <w:rPr>
          <w:lang w:val="fr-CA"/>
        </w:rPr>
      </w:pPr>
      <w:r w:rsidRPr="00AB6144">
        <w:rPr>
          <w:i/>
          <w:lang w:val="fr-CA"/>
        </w:rPr>
        <w:t>Charte canadienne des droits et libertés</w:t>
      </w:r>
      <w:r w:rsidRPr="00AB6144">
        <w:rPr>
          <w:lang w:val="fr-CA"/>
        </w:rPr>
        <w:t xml:space="preserve">, </w:t>
      </w:r>
      <w:r w:rsidR="00B104C4" w:rsidRPr="00AB6144">
        <w:rPr>
          <w:lang w:val="fr-CA"/>
        </w:rPr>
        <w:t>art. </w:t>
      </w:r>
      <w:r w:rsidRPr="00AB6144">
        <w:rPr>
          <w:lang w:val="fr-CA"/>
        </w:rPr>
        <w:t>2</w:t>
      </w:r>
      <w:r w:rsidRPr="00AB6144">
        <w:rPr>
          <w:i/>
          <w:lang w:val="fr-CA"/>
        </w:rPr>
        <w:t>a</w:t>
      </w:r>
      <w:r w:rsidRPr="00AB6144">
        <w:rPr>
          <w:lang w:val="fr-CA"/>
        </w:rPr>
        <w:t>), 32.</w:t>
      </w:r>
    </w:p>
    <w:p w:rsidR="00163FC4" w:rsidRPr="00AB6144" w:rsidRDefault="00163FC4" w:rsidP="00566B15">
      <w:pPr>
        <w:pStyle w:val="SCCNormalDoubleSpacing"/>
        <w:widowControl w:val="0"/>
        <w:spacing w:after="240" w:line="240" w:lineRule="auto"/>
        <w:ind w:left="540" w:hanging="540"/>
      </w:pPr>
      <w:r w:rsidRPr="00AB6144">
        <w:rPr>
          <w:i/>
        </w:rPr>
        <w:t>Judicial Review Act</w:t>
      </w:r>
      <w:r w:rsidRPr="00AB6144">
        <w:t>, R.S.P.E.I. 1988, c</w:t>
      </w:r>
      <w:r w:rsidR="001672CC" w:rsidRPr="00AB6144">
        <w:t>. </w:t>
      </w:r>
      <w:r w:rsidRPr="00AB6144">
        <w:t>J</w:t>
      </w:r>
      <w:r w:rsidR="00B104C4" w:rsidRPr="00AB6144">
        <w:noBreakHyphen/>
      </w:r>
      <w:r w:rsidRPr="00AB6144">
        <w:t xml:space="preserve">3, </w:t>
      </w:r>
      <w:r w:rsidR="00B104C4" w:rsidRPr="00AB6144">
        <w:t>art. </w:t>
      </w:r>
      <w:r w:rsidRPr="00AB6144">
        <w:t>2, 3(3).</w:t>
      </w:r>
    </w:p>
    <w:p w:rsidR="00163FC4" w:rsidRPr="00AB6144" w:rsidRDefault="00163FC4" w:rsidP="00566B15">
      <w:pPr>
        <w:pStyle w:val="SCCNormalDoubleSpacing"/>
        <w:widowControl w:val="0"/>
        <w:spacing w:after="240" w:line="240" w:lineRule="auto"/>
        <w:ind w:left="540" w:hanging="540"/>
      </w:pPr>
      <w:r w:rsidRPr="00AB6144">
        <w:rPr>
          <w:i/>
        </w:rPr>
        <w:t>Judicial Review Procedure Act</w:t>
      </w:r>
      <w:r w:rsidR="001672CC" w:rsidRPr="00AB6144">
        <w:t>, R.S.B.C. 1996, c. </w:t>
      </w:r>
      <w:r w:rsidRPr="00AB6144">
        <w:t xml:space="preserve">241, </w:t>
      </w:r>
      <w:r w:rsidR="00B104C4" w:rsidRPr="00AB6144">
        <w:t>art. </w:t>
      </w:r>
      <w:r w:rsidRPr="00AB6144">
        <w:t>2(2</w:t>
      </w:r>
      <w:proofErr w:type="gramStart"/>
      <w:r w:rsidRPr="00AB6144">
        <w:t>)(</w:t>
      </w:r>
      <w:proofErr w:type="gramEnd"/>
      <w:r w:rsidRPr="00AB6144">
        <w:t>b).</w:t>
      </w:r>
    </w:p>
    <w:p w:rsidR="000E454D" w:rsidRPr="00AB6144" w:rsidRDefault="000E454D" w:rsidP="00566B15">
      <w:pPr>
        <w:pStyle w:val="SCCNormalDoubleSpacing"/>
        <w:widowControl w:val="0"/>
        <w:spacing w:after="240" w:line="240" w:lineRule="auto"/>
        <w:ind w:left="540" w:hanging="540"/>
        <w:rPr>
          <w:lang w:val="fr-CA"/>
        </w:rPr>
      </w:pPr>
      <w:r w:rsidRPr="00AB6144">
        <w:rPr>
          <w:i/>
          <w:lang w:val="fr-CA"/>
        </w:rPr>
        <w:lastRenderedPageBreak/>
        <w:t>Loi d’interprétation</w:t>
      </w:r>
      <w:r w:rsidRPr="00AB6144">
        <w:rPr>
          <w:lang w:val="fr-CA"/>
        </w:rPr>
        <w:t>, L.R.C. 1985, c.</w:t>
      </w:r>
      <w:r w:rsidR="001672CC" w:rsidRPr="00AB6144">
        <w:rPr>
          <w:lang w:val="fr-CA"/>
        </w:rPr>
        <w:t> </w:t>
      </w:r>
      <w:r w:rsidRPr="00AB6144">
        <w:rPr>
          <w:lang w:val="fr-CA"/>
        </w:rPr>
        <w:t>I</w:t>
      </w:r>
      <w:r w:rsidR="00B104C4" w:rsidRPr="00AB6144">
        <w:rPr>
          <w:lang w:val="fr-CA"/>
        </w:rPr>
        <w:noBreakHyphen/>
      </w:r>
      <w:r w:rsidRPr="00AB6144">
        <w:rPr>
          <w:lang w:val="fr-CA"/>
        </w:rPr>
        <w:t xml:space="preserve">21, </w:t>
      </w:r>
      <w:r w:rsidR="00B104C4" w:rsidRPr="00AB6144">
        <w:rPr>
          <w:lang w:val="fr-CA"/>
        </w:rPr>
        <w:t>art. </w:t>
      </w:r>
      <w:r w:rsidRPr="00AB6144">
        <w:rPr>
          <w:lang w:val="fr-CA"/>
        </w:rPr>
        <w:t>9.</w:t>
      </w:r>
    </w:p>
    <w:p w:rsidR="00163FC4" w:rsidRPr="00AB6144" w:rsidRDefault="00163FC4" w:rsidP="00566B15">
      <w:pPr>
        <w:pStyle w:val="SCCNormalDoubleSpacing"/>
        <w:widowControl w:val="0"/>
        <w:spacing w:after="240" w:line="240" w:lineRule="auto"/>
        <w:ind w:left="540" w:hanging="540"/>
        <w:rPr>
          <w:lang w:val="fr-CA"/>
        </w:rPr>
      </w:pPr>
      <w:r w:rsidRPr="00AB6144">
        <w:rPr>
          <w:i/>
          <w:lang w:val="fr-CA"/>
        </w:rPr>
        <w:t>Loi sur la procédure de révision judiciaire</w:t>
      </w:r>
      <w:r w:rsidR="001672CC" w:rsidRPr="00AB6144">
        <w:rPr>
          <w:lang w:val="fr-CA"/>
        </w:rPr>
        <w:t>, L.R.O. 1990, c. </w:t>
      </w:r>
      <w:r w:rsidRPr="00AB6144">
        <w:rPr>
          <w:lang w:val="fr-CA"/>
        </w:rPr>
        <w:t xml:space="preserve">J.1, </w:t>
      </w:r>
      <w:r w:rsidR="00B104C4" w:rsidRPr="00AB6144">
        <w:rPr>
          <w:lang w:val="fr-CA"/>
        </w:rPr>
        <w:t>art. </w:t>
      </w:r>
      <w:r w:rsidR="001E6C71">
        <w:rPr>
          <w:lang w:val="fr-CA"/>
        </w:rPr>
        <w:t>2(1)2</w:t>
      </w:r>
      <w:r w:rsidRPr="00AB6144">
        <w:rPr>
          <w:lang w:val="fr-CA"/>
        </w:rPr>
        <w:t>.</w:t>
      </w:r>
    </w:p>
    <w:p w:rsidR="000E454D" w:rsidRPr="00AB6144" w:rsidRDefault="000E454D" w:rsidP="00566B15">
      <w:pPr>
        <w:pStyle w:val="SCCNormalDoubleSpacing"/>
        <w:widowControl w:val="0"/>
        <w:spacing w:after="720" w:line="240" w:lineRule="auto"/>
        <w:ind w:left="540" w:hanging="540"/>
      </w:pPr>
      <w:r w:rsidRPr="00AB6144">
        <w:rPr>
          <w:i/>
        </w:rPr>
        <w:t>United Church of Canada Act</w:t>
      </w:r>
      <w:r w:rsidR="00327253" w:rsidRPr="00AB6144">
        <w:rPr>
          <w:i/>
        </w:rPr>
        <w:t xml:space="preserve"> </w:t>
      </w:r>
      <w:r w:rsidR="00327253" w:rsidRPr="00AB6144">
        <w:t>(1924)</w:t>
      </w:r>
      <w:r w:rsidRPr="00AB6144">
        <w:t>, 14</w:t>
      </w:r>
      <w:r w:rsidR="00327253" w:rsidRPr="00AB6144">
        <w:t xml:space="preserve"> &amp; </w:t>
      </w:r>
      <w:r w:rsidRPr="00AB6144">
        <w:t>15 Geo</w:t>
      </w:r>
      <w:r w:rsidR="00327253" w:rsidRPr="00AB6144">
        <w:t>. 5</w:t>
      </w:r>
      <w:r w:rsidR="00183FC1" w:rsidRPr="00AB6144">
        <w:t xml:space="preserve">, </w:t>
      </w:r>
      <w:r w:rsidR="001672CC" w:rsidRPr="00AB6144">
        <w:t>c. </w:t>
      </w:r>
      <w:r w:rsidRPr="00AB6144">
        <w:t>100.</w:t>
      </w:r>
    </w:p>
    <w:p w:rsidR="004D7D95" w:rsidRPr="00AB6144" w:rsidRDefault="004D7D95" w:rsidP="00566B15">
      <w:pPr>
        <w:pStyle w:val="SCCNormalDoubleSpacing"/>
        <w:widowControl w:val="0"/>
        <w:spacing w:after="720" w:line="240" w:lineRule="auto"/>
        <w:rPr>
          <w:b/>
        </w:rPr>
      </w:pPr>
      <w:r w:rsidRPr="00AB6144">
        <w:rPr>
          <w:b/>
        </w:rPr>
        <w:t xml:space="preserve">Doctrine </w:t>
      </w:r>
      <w:proofErr w:type="gramStart"/>
      <w:r w:rsidRPr="00AB6144">
        <w:rPr>
          <w:b/>
        </w:rPr>
        <w:t>et</w:t>
      </w:r>
      <w:proofErr w:type="gramEnd"/>
      <w:r w:rsidRPr="00AB6144">
        <w:rPr>
          <w:b/>
        </w:rPr>
        <w:t xml:space="preserve"> </w:t>
      </w:r>
      <w:proofErr w:type="spellStart"/>
      <w:r w:rsidRPr="00AB6144">
        <w:rPr>
          <w:b/>
        </w:rPr>
        <w:t>autres</w:t>
      </w:r>
      <w:proofErr w:type="spellEnd"/>
      <w:r w:rsidRPr="00AB6144">
        <w:rPr>
          <w:b/>
        </w:rPr>
        <w:t xml:space="preserve"> documents </w:t>
      </w:r>
      <w:proofErr w:type="spellStart"/>
      <w:r w:rsidRPr="00AB6144">
        <w:rPr>
          <w:b/>
        </w:rPr>
        <w:t>cités</w:t>
      </w:r>
      <w:proofErr w:type="spellEnd"/>
    </w:p>
    <w:p w:rsidR="00390BB5" w:rsidRPr="00AB6144" w:rsidRDefault="00390BB5" w:rsidP="00566B15">
      <w:pPr>
        <w:pStyle w:val="SCCNormalDoubleSpacing"/>
        <w:widowControl w:val="0"/>
        <w:spacing w:after="240" w:line="240" w:lineRule="auto"/>
        <w:ind w:left="540" w:hanging="540"/>
      </w:pPr>
      <w:r w:rsidRPr="00AB6144">
        <w:t>Brown</w:t>
      </w:r>
      <w:r w:rsidR="00586C20" w:rsidRPr="00AB6144">
        <w:t>, Donald J. M., and John </w:t>
      </w:r>
      <w:r w:rsidRPr="00AB6144">
        <w:t xml:space="preserve">M. Evans, with the assistance of David </w:t>
      </w:r>
      <w:proofErr w:type="spellStart"/>
      <w:r w:rsidRPr="00AB6144">
        <w:t>Fairlie</w:t>
      </w:r>
      <w:proofErr w:type="spellEnd"/>
      <w:r w:rsidRPr="00AB6144">
        <w:t xml:space="preserve">. </w:t>
      </w:r>
      <w:r w:rsidRPr="00AB6144">
        <w:rPr>
          <w:i/>
        </w:rPr>
        <w:t>Judicial Review of Administrative Action in Canada</w:t>
      </w:r>
      <w:r w:rsidRPr="00AB6144">
        <w:t>, Toronto, Thomson Reuters, 2013 (loose</w:t>
      </w:r>
      <w:r w:rsidR="00B104C4" w:rsidRPr="00AB6144">
        <w:noBreakHyphen/>
      </w:r>
      <w:r w:rsidRPr="00AB6144">
        <w:t>leaf updated December 2017, release 4).</w:t>
      </w:r>
    </w:p>
    <w:p w:rsidR="00973A4C" w:rsidRPr="00AB6144" w:rsidRDefault="00973A4C" w:rsidP="00566B15">
      <w:pPr>
        <w:pStyle w:val="SCCNormalDoubleSpacing"/>
        <w:widowControl w:val="0"/>
        <w:spacing w:after="240" w:line="240" w:lineRule="auto"/>
        <w:ind w:left="540" w:hanging="540"/>
        <w:rPr>
          <w:lang w:val="fr-CA"/>
        </w:rPr>
      </w:pPr>
      <w:r w:rsidRPr="00AB6144">
        <w:rPr>
          <w:lang w:val="fr-CA"/>
        </w:rPr>
        <w:t xml:space="preserve">Canada. Parlement. Chambre des communes. </w:t>
      </w:r>
      <w:r w:rsidRPr="00AB6144">
        <w:rPr>
          <w:i/>
          <w:lang w:val="fr-CA"/>
        </w:rPr>
        <w:t>La procédure et les usages de la Chambre des communes</w:t>
      </w:r>
      <w:r w:rsidRPr="00AB6144">
        <w:rPr>
          <w:lang w:val="fr-CA"/>
        </w:rPr>
        <w:t>, 2</w:t>
      </w:r>
      <w:r w:rsidR="00E5539F" w:rsidRPr="00207003">
        <w:rPr>
          <w:vertAlign w:val="superscript"/>
          <w:lang w:val="fr-CA"/>
        </w:rPr>
        <w:t>e</w:t>
      </w:r>
      <w:r w:rsidRPr="00AB6144">
        <w:rPr>
          <w:lang w:val="fr-CA"/>
        </w:rPr>
        <w:t xml:space="preserve"> éd. par Audrey O’Brien et Marc Bosc, Ottawa, 2009.</w:t>
      </w:r>
    </w:p>
    <w:p w:rsidR="00973A4C" w:rsidRPr="00AB6144" w:rsidRDefault="00973A4C" w:rsidP="00566B15">
      <w:pPr>
        <w:pStyle w:val="SCCNormalDoubleSpacing"/>
        <w:widowControl w:val="0"/>
        <w:spacing w:after="240" w:line="240" w:lineRule="auto"/>
        <w:ind w:left="540" w:hanging="540"/>
      </w:pPr>
      <w:r w:rsidRPr="00AB6144">
        <w:t>Moon, Richard. « </w:t>
      </w:r>
      <w:r w:rsidRPr="00AB6144">
        <w:rPr>
          <w:i/>
        </w:rPr>
        <w:t xml:space="preserve">Bruker v. </w:t>
      </w:r>
      <w:proofErr w:type="spellStart"/>
      <w:proofErr w:type="gramStart"/>
      <w:r w:rsidRPr="00AB6144">
        <w:rPr>
          <w:i/>
        </w:rPr>
        <w:t>Marcovitz</w:t>
      </w:r>
      <w:proofErr w:type="spellEnd"/>
      <w:r w:rsidR="00B104C4" w:rsidRPr="00AB6144">
        <w:t> :</w:t>
      </w:r>
      <w:proofErr w:type="gramEnd"/>
      <w:r w:rsidRPr="00AB6144">
        <w:t xml:space="preserve"> Divorce and the Marriage of Law and Religion » (2008), 42 </w:t>
      </w:r>
      <w:r w:rsidRPr="00AB6144">
        <w:rPr>
          <w:i/>
        </w:rPr>
        <w:t xml:space="preserve">S.C.L.R. </w:t>
      </w:r>
      <w:r w:rsidRPr="00AB6144">
        <w:t>(2d) 37.</w:t>
      </w:r>
    </w:p>
    <w:p w:rsidR="00EF0827" w:rsidRPr="00AB6144" w:rsidRDefault="00EF0827" w:rsidP="00566B15">
      <w:pPr>
        <w:pStyle w:val="SCCNormalDoubleSpacing"/>
        <w:widowControl w:val="0"/>
        <w:spacing w:after="240" w:line="240" w:lineRule="auto"/>
        <w:ind w:left="540" w:hanging="540"/>
      </w:pPr>
      <w:proofErr w:type="spellStart"/>
      <w:r w:rsidRPr="00AB6144">
        <w:rPr>
          <w:i/>
        </w:rPr>
        <w:t>Organisés</w:t>
      </w:r>
      <w:proofErr w:type="spellEnd"/>
      <w:r w:rsidRPr="00AB6144">
        <w:rPr>
          <w:i/>
        </w:rPr>
        <w:t xml:space="preserve"> pour faire la </w:t>
      </w:r>
      <w:proofErr w:type="spellStart"/>
      <w:r w:rsidRPr="00AB6144">
        <w:rPr>
          <w:i/>
        </w:rPr>
        <w:t>volonté</w:t>
      </w:r>
      <w:proofErr w:type="spellEnd"/>
      <w:r w:rsidRPr="00AB6144">
        <w:rPr>
          <w:i/>
        </w:rPr>
        <w:t xml:space="preserve"> de </w:t>
      </w:r>
      <w:proofErr w:type="spellStart"/>
      <w:r w:rsidRPr="00AB6144">
        <w:rPr>
          <w:i/>
        </w:rPr>
        <w:t>Jéhovah</w:t>
      </w:r>
      <w:proofErr w:type="spellEnd"/>
      <w:r w:rsidRPr="00AB6144">
        <w:t xml:space="preserve">, Brooklyn, Watchtower Bible and Tract Society of New York, 2005. </w:t>
      </w:r>
    </w:p>
    <w:p w:rsidR="00973A4C" w:rsidRPr="00AB6144" w:rsidRDefault="00586C20" w:rsidP="00566B15">
      <w:pPr>
        <w:pStyle w:val="SCCNormalDoubleSpacing"/>
        <w:widowControl w:val="0"/>
        <w:spacing w:after="720" w:line="240" w:lineRule="auto"/>
        <w:ind w:left="540" w:hanging="540"/>
      </w:pPr>
      <w:proofErr w:type="spellStart"/>
      <w:r w:rsidRPr="00AB6144">
        <w:t>Sossin</w:t>
      </w:r>
      <w:proofErr w:type="spellEnd"/>
      <w:r w:rsidRPr="00AB6144">
        <w:t>, Lorne </w:t>
      </w:r>
      <w:r w:rsidR="00973A4C" w:rsidRPr="00AB6144">
        <w:t xml:space="preserve">M. </w:t>
      </w:r>
      <w:r w:rsidR="00973A4C" w:rsidRPr="00AB6144">
        <w:rPr>
          <w:i/>
        </w:rPr>
        <w:t xml:space="preserve">Boundaries of Judicial </w:t>
      </w:r>
      <w:proofErr w:type="gramStart"/>
      <w:r w:rsidR="00973A4C" w:rsidRPr="00AB6144">
        <w:rPr>
          <w:i/>
        </w:rPr>
        <w:t>Review</w:t>
      </w:r>
      <w:r w:rsidR="00B104C4" w:rsidRPr="00AB6144">
        <w:rPr>
          <w:i/>
        </w:rPr>
        <w:t> :</w:t>
      </w:r>
      <w:proofErr w:type="gramEnd"/>
      <w:r w:rsidR="00973A4C" w:rsidRPr="00AB6144">
        <w:rPr>
          <w:i/>
        </w:rPr>
        <w:t xml:space="preserve"> The Law of Justiciability in Canada</w:t>
      </w:r>
      <w:r w:rsidR="00973A4C" w:rsidRPr="00AB6144">
        <w:t>, 2nd</w:t>
      </w:r>
      <w:r w:rsidR="00973A4C" w:rsidRPr="00AB6144">
        <w:rPr>
          <w:vertAlign w:val="superscript"/>
        </w:rPr>
        <w:t xml:space="preserve"> </w:t>
      </w:r>
      <w:r w:rsidR="00347489" w:rsidRPr="00AB6144">
        <w:t>ed</w:t>
      </w:r>
      <w:r w:rsidR="00E5539F" w:rsidRPr="00AB6144">
        <w:t>.</w:t>
      </w:r>
      <w:r w:rsidR="00347489" w:rsidRPr="00AB6144">
        <w:t>,</w:t>
      </w:r>
      <w:r w:rsidR="00973A4C" w:rsidRPr="00AB6144">
        <w:t xml:space="preserve"> </w:t>
      </w:r>
      <w:r w:rsidR="00347489" w:rsidRPr="00AB6144">
        <w:t>Toronto,</w:t>
      </w:r>
      <w:r w:rsidR="00973A4C" w:rsidRPr="00AB6144">
        <w:t xml:space="preserve"> Carswell, 2012.</w:t>
      </w:r>
    </w:p>
    <w:p w:rsidR="008E4696" w:rsidRPr="00AB6144" w:rsidRDefault="004D7D95" w:rsidP="00566B15">
      <w:pPr>
        <w:pStyle w:val="SCCNormalDoubleSpacing"/>
        <w:widowControl w:val="0"/>
        <w:spacing w:after="480"/>
        <w:rPr>
          <w:lang w:val="fr-CA"/>
        </w:rPr>
      </w:pPr>
      <w:r w:rsidRPr="00AB6144">
        <w:rPr>
          <w:lang w:val="en-US"/>
        </w:rPr>
        <w:tab/>
      </w:r>
      <w:r w:rsidRPr="00AB6144">
        <w:rPr>
          <w:lang w:val="fr-CA"/>
        </w:rPr>
        <w:t>POURVOI contre un arrêt de la Cour d</w:t>
      </w:r>
      <w:r w:rsidR="006173FB" w:rsidRPr="00AB6144">
        <w:rPr>
          <w:lang w:val="fr-CA"/>
        </w:rPr>
        <w:t>’</w:t>
      </w:r>
      <w:r w:rsidRPr="00AB6144">
        <w:rPr>
          <w:lang w:val="fr-CA"/>
        </w:rPr>
        <w:t>appel de l</w:t>
      </w:r>
      <w:r w:rsidR="006173FB" w:rsidRPr="00AB6144">
        <w:rPr>
          <w:lang w:val="fr-CA"/>
        </w:rPr>
        <w:t>’</w:t>
      </w:r>
      <w:r w:rsidRPr="00AB6144">
        <w:rPr>
          <w:lang w:val="fr-CA"/>
        </w:rPr>
        <w:t xml:space="preserve">Alberta </w:t>
      </w:r>
      <w:r w:rsidR="008E4696" w:rsidRPr="00AB6144">
        <w:rPr>
          <w:lang w:val="fr-CA"/>
        </w:rPr>
        <w:t xml:space="preserve">(les juges </w:t>
      </w:r>
      <w:proofErr w:type="spellStart"/>
      <w:r w:rsidR="008E4696" w:rsidRPr="00AB6144">
        <w:rPr>
          <w:lang w:val="fr-CA"/>
        </w:rPr>
        <w:t>Paperny</w:t>
      </w:r>
      <w:proofErr w:type="spellEnd"/>
      <w:r w:rsidR="008E4696" w:rsidRPr="00AB6144">
        <w:rPr>
          <w:lang w:val="fr-CA"/>
        </w:rPr>
        <w:t xml:space="preserve">, </w:t>
      </w:r>
      <w:proofErr w:type="spellStart"/>
      <w:r w:rsidR="008E4696" w:rsidRPr="00AB6144">
        <w:rPr>
          <w:lang w:val="fr-CA"/>
        </w:rPr>
        <w:t>Rowbotham</w:t>
      </w:r>
      <w:proofErr w:type="spellEnd"/>
      <w:r w:rsidR="008E4696" w:rsidRPr="00AB6144">
        <w:rPr>
          <w:lang w:val="fr-CA"/>
        </w:rPr>
        <w:t xml:space="preserve"> et </w:t>
      </w:r>
      <w:proofErr w:type="spellStart"/>
      <w:r w:rsidR="008E4696" w:rsidRPr="00AB6144">
        <w:rPr>
          <w:lang w:val="fr-CA"/>
        </w:rPr>
        <w:t>Wakeling</w:t>
      </w:r>
      <w:proofErr w:type="spellEnd"/>
      <w:r w:rsidR="008E4696" w:rsidRPr="00AB6144">
        <w:rPr>
          <w:lang w:val="fr-CA"/>
        </w:rPr>
        <w:t xml:space="preserve">), 2016 ABCA 255, </w:t>
      </w:r>
      <w:r w:rsidR="00D55857" w:rsidRPr="00AB6144">
        <w:rPr>
          <w:lang w:val="fr-CA"/>
        </w:rPr>
        <w:t xml:space="preserve">43 Alta. L.R. (6th) 33, </w:t>
      </w:r>
      <w:r w:rsidR="008E4696" w:rsidRPr="00AB6144">
        <w:rPr>
          <w:lang w:val="fr-CA"/>
        </w:rPr>
        <w:t xml:space="preserve">404 D.L.R. (4th) 48, 12 Admin. L.R. (6th) 302, 365 C.R.R. (2d) 40, [2017] 2 W.W.R. 641, [2016] A.J. </w:t>
      </w:r>
      <w:r w:rsidR="00B104C4" w:rsidRPr="00AB6144">
        <w:rPr>
          <w:lang w:val="fr-CA"/>
        </w:rPr>
        <w:t>No. </w:t>
      </w:r>
      <w:r w:rsidR="008E4696" w:rsidRPr="00AB6144">
        <w:rPr>
          <w:lang w:val="fr-CA"/>
        </w:rPr>
        <w:t xml:space="preserve">899 (QL), 2016 </w:t>
      </w:r>
      <w:proofErr w:type="spellStart"/>
      <w:r w:rsidR="008E4696" w:rsidRPr="00AB6144">
        <w:rPr>
          <w:lang w:val="fr-CA"/>
        </w:rPr>
        <w:t>CarswellAlta</w:t>
      </w:r>
      <w:proofErr w:type="spellEnd"/>
      <w:r w:rsidR="008E4696" w:rsidRPr="00AB6144">
        <w:rPr>
          <w:lang w:val="fr-CA"/>
        </w:rPr>
        <w:t xml:space="preserve"> 1669 (WL Can.), qui a confirmé une décision </w:t>
      </w:r>
      <w:r w:rsidR="00BD7858" w:rsidRPr="00AB6144">
        <w:rPr>
          <w:lang w:val="fr-CA"/>
        </w:rPr>
        <w:t xml:space="preserve">du </w:t>
      </w:r>
      <w:r w:rsidR="008E4696" w:rsidRPr="00AB6144">
        <w:rPr>
          <w:lang w:val="fr-CA"/>
        </w:rPr>
        <w:t xml:space="preserve">juge Wilson </w:t>
      </w:r>
      <w:r w:rsidR="00BD7858" w:rsidRPr="00AB6144">
        <w:rPr>
          <w:lang w:val="fr-CA"/>
        </w:rPr>
        <w:t xml:space="preserve">de la </w:t>
      </w:r>
      <w:r w:rsidR="008E4696" w:rsidRPr="00AB6144">
        <w:rPr>
          <w:lang w:val="fr-CA"/>
        </w:rPr>
        <w:t xml:space="preserve">Cour du Banc de la Reine de l’Alberta, </w:t>
      </w:r>
      <w:r w:rsidR="00BD7858" w:rsidRPr="00AB6144">
        <w:rPr>
          <w:lang w:val="fr-CA"/>
        </w:rPr>
        <w:t>dossier n</w:t>
      </w:r>
      <w:r w:rsidR="00BD7858" w:rsidRPr="00AB6144">
        <w:rPr>
          <w:vertAlign w:val="superscript"/>
          <w:lang w:val="fr-CA"/>
        </w:rPr>
        <w:t>o</w:t>
      </w:r>
      <w:r w:rsidR="00BD7858" w:rsidRPr="00AB6144">
        <w:rPr>
          <w:lang w:val="fr-CA"/>
        </w:rPr>
        <w:t xml:space="preserve"> </w:t>
      </w:r>
      <w:r w:rsidR="008E4696" w:rsidRPr="00AB6144">
        <w:rPr>
          <w:lang w:val="fr-CA"/>
        </w:rPr>
        <w:t>1401</w:t>
      </w:r>
      <w:r w:rsidR="00B104C4" w:rsidRPr="00AB6144">
        <w:rPr>
          <w:lang w:val="fr-CA"/>
        </w:rPr>
        <w:noBreakHyphen/>
      </w:r>
      <w:r w:rsidR="008E4696" w:rsidRPr="00AB6144">
        <w:rPr>
          <w:lang w:val="fr-CA"/>
        </w:rPr>
        <w:t xml:space="preserve">10225, </w:t>
      </w:r>
      <w:r w:rsidR="00BD7858" w:rsidRPr="00AB6144">
        <w:rPr>
          <w:lang w:val="fr-CA"/>
        </w:rPr>
        <w:t xml:space="preserve">datée du </w:t>
      </w:r>
      <w:r w:rsidR="008E4696" w:rsidRPr="00AB6144">
        <w:rPr>
          <w:lang w:val="fr-CA"/>
        </w:rPr>
        <w:t>16 avril 2015</w:t>
      </w:r>
      <w:r w:rsidR="00D6290E">
        <w:rPr>
          <w:lang w:val="fr-CA"/>
        </w:rPr>
        <w:t xml:space="preserve">. </w:t>
      </w:r>
      <w:r w:rsidR="008E4696" w:rsidRPr="00AB6144">
        <w:rPr>
          <w:lang w:val="fr-CA"/>
        </w:rPr>
        <w:t>Pourvoi</w:t>
      </w:r>
      <w:r w:rsidR="00BD7858" w:rsidRPr="00AB6144">
        <w:rPr>
          <w:lang w:val="fr-CA"/>
        </w:rPr>
        <w:t xml:space="preserve"> accueilli</w:t>
      </w:r>
      <w:r w:rsidR="008E4696" w:rsidRPr="00AB6144">
        <w:rPr>
          <w:lang w:val="fr-CA"/>
        </w:rPr>
        <w:t xml:space="preserve">. </w:t>
      </w:r>
    </w:p>
    <w:p w:rsidR="00D34B6A" w:rsidRPr="00AB6144" w:rsidRDefault="00C8759F" w:rsidP="00566B15">
      <w:pPr>
        <w:pStyle w:val="SCCNormalDoubleSpacing"/>
        <w:widowControl w:val="0"/>
        <w:spacing w:after="480"/>
        <w:rPr>
          <w:lang w:val="fr-CA"/>
        </w:rPr>
      </w:pPr>
      <w:r w:rsidRPr="00AB6144">
        <w:rPr>
          <w:rStyle w:val="SCCCounselNameChar"/>
          <w:lang w:val="fr-CA"/>
        </w:rPr>
        <w:tab/>
      </w:r>
      <w:r w:rsidR="001672CC" w:rsidRPr="00AB6144">
        <w:rPr>
          <w:rStyle w:val="SCCCounselNameChar"/>
          <w:lang w:val="fr-CA"/>
        </w:rPr>
        <w:t>David </w:t>
      </w:r>
      <w:r w:rsidRPr="00AB6144">
        <w:rPr>
          <w:rStyle w:val="SCCCounselNameChar"/>
          <w:lang w:val="fr-CA"/>
        </w:rPr>
        <w:t xml:space="preserve">M. </w:t>
      </w:r>
      <w:proofErr w:type="spellStart"/>
      <w:r w:rsidRPr="00AB6144">
        <w:rPr>
          <w:rStyle w:val="SCCCounselNameChar"/>
          <w:lang w:val="fr-CA"/>
        </w:rPr>
        <w:t>Gnam</w:t>
      </w:r>
      <w:proofErr w:type="spellEnd"/>
      <w:r w:rsidRPr="00AB6144">
        <w:rPr>
          <w:rStyle w:val="SCCCounselSeparatorChar"/>
          <w:lang w:val="fr-CA"/>
        </w:rPr>
        <w:t xml:space="preserve"> et </w:t>
      </w:r>
      <w:proofErr w:type="spellStart"/>
      <w:r w:rsidRPr="00AB6144">
        <w:rPr>
          <w:rStyle w:val="SCCCounselNameChar"/>
          <w:lang w:val="fr-CA"/>
        </w:rPr>
        <w:t>Jayden</w:t>
      </w:r>
      <w:proofErr w:type="spellEnd"/>
      <w:r w:rsidRPr="00AB6144">
        <w:rPr>
          <w:rStyle w:val="SCCCounselNameChar"/>
          <w:lang w:val="fr-CA"/>
        </w:rPr>
        <w:t xml:space="preserve"> </w:t>
      </w:r>
      <w:proofErr w:type="spellStart"/>
      <w:r w:rsidRPr="00AB6144">
        <w:rPr>
          <w:rStyle w:val="SCCCounselNameChar"/>
          <w:lang w:val="fr-CA"/>
        </w:rPr>
        <w:t>MacEwan</w:t>
      </w:r>
      <w:proofErr w:type="spellEnd"/>
      <w:r w:rsidRPr="00AB6144">
        <w:rPr>
          <w:rStyle w:val="SCCCounselPartyRoleChar"/>
          <w:lang w:val="fr-CA"/>
        </w:rPr>
        <w:t>, pour l</w:t>
      </w:r>
      <w:r w:rsidR="00DF12F3" w:rsidRPr="00AB6144">
        <w:rPr>
          <w:rStyle w:val="SCCCounselPartyRoleChar"/>
          <w:lang w:val="fr-CA"/>
        </w:rPr>
        <w:t xml:space="preserve">es </w:t>
      </w:r>
      <w:r w:rsidRPr="00AB6144">
        <w:rPr>
          <w:rStyle w:val="SCCCounselPartyRoleChar"/>
          <w:lang w:val="fr-CA"/>
        </w:rPr>
        <w:t>appelant</w:t>
      </w:r>
      <w:r w:rsidR="00DF12F3" w:rsidRPr="00AB6144">
        <w:rPr>
          <w:rStyle w:val="SCCCounselPartyRoleChar"/>
          <w:lang w:val="fr-CA"/>
        </w:rPr>
        <w:t>s</w:t>
      </w:r>
      <w:r w:rsidRPr="00AB6144">
        <w:rPr>
          <w:rStyle w:val="SCCCounselPartyRoleChar"/>
          <w:lang w:val="fr-CA"/>
        </w:rPr>
        <w:t>.</w:t>
      </w:r>
    </w:p>
    <w:p w:rsidR="00D34B6A" w:rsidRPr="00AB6144" w:rsidRDefault="001672CC" w:rsidP="00566B15">
      <w:pPr>
        <w:pStyle w:val="SCCNormalDoubleSpacing"/>
        <w:widowControl w:val="0"/>
        <w:spacing w:after="480"/>
        <w:rPr>
          <w:lang w:val="fr-CA"/>
        </w:rPr>
      </w:pPr>
      <w:r w:rsidRPr="00AB6144">
        <w:rPr>
          <w:rStyle w:val="SCCCounselNameChar"/>
          <w:lang w:val="fr-CA"/>
        </w:rPr>
        <w:lastRenderedPageBreak/>
        <w:tab/>
        <w:t>Michael </w:t>
      </w:r>
      <w:r w:rsidR="00C8759F" w:rsidRPr="00AB6144">
        <w:rPr>
          <w:rStyle w:val="SCCCounselNameChar"/>
          <w:lang w:val="fr-CA"/>
        </w:rPr>
        <w:t xml:space="preserve">A. </w:t>
      </w:r>
      <w:proofErr w:type="spellStart"/>
      <w:r w:rsidR="00C8759F" w:rsidRPr="00AB6144">
        <w:rPr>
          <w:rStyle w:val="SCCCounselNameChar"/>
          <w:lang w:val="fr-CA"/>
        </w:rPr>
        <w:t>Feder</w:t>
      </w:r>
      <w:proofErr w:type="spellEnd"/>
      <w:r w:rsidR="00C8759F" w:rsidRPr="00AB6144">
        <w:rPr>
          <w:rStyle w:val="SCCCounselSeparatorChar"/>
          <w:lang w:val="fr-CA"/>
        </w:rPr>
        <w:t xml:space="preserve"> et </w:t>
      </w:r>
      <w:r w:rsidR="00C8759F" w:rsidRPr="00AB6144">
        <w:rPr>
          <w:rStyle w:val="SCCCounselNameChar"/>
          <w:lang w:val="fr-CA"/>
        </w:rPr>
        <w:t>Robyn Gifford</w:t>
      </w:r>
      <w:r w:rsidR="00C8759F" w:rsidRPr="00AB6144">
        <w:rPr>
          <w:rStyle w:val="SCCCounselPartyRoleChar"/>
          <w:lang w:val="fr-CA"/>
        </w:rPr>
        <w:t xml:space="preserve">, pour </w:t>
      </w:r>
      <w:r w:rsidR="00DF12F3" w:rsidRPr="00AB6144">
        <w:rPr>
          <w:rStyle w:val="SCCCounselPartyRoleChar"/>
          <w:lang w:val="fr-CA"/>
        </w:rPr>
        <w:t>l’intimé</w:t>
      </w:r>
      <w:r w:rsidR="00C8759F" w:rsidRPr="00AB6144">
        <w:rPr>
          <w:rStyle w:val="SCCCounselPartyRoleChar"/>
          <w:lang w:val="fr-CA"/>
        </w:rPr>
        <w:t>.</w:t>
      </w:r>
    </w:p>
    <w:p w:rsidR="00D34B6A" w:rsidRPr="00AB6144" w:rsidRDefault="00C8759F" w:rsidP="00566B15">
      <w:pPr>
        <w:pStyle w:val="SCCNormalDoubleSpacing"/>
        <w:widowControl w:val="0"/>
        <w:spacing w:after="480"/>
        <w:rPr>
          <w:lang w:val="fr-CA"/>
        </w:rPr>
      </w:pPr>
      <w:r w:rsidRPr="00AB6144">
        <w:rPr>
          <w:rStyle w:val="SCCCounselNameChar"/>
          <w:lang w:val="fr-CA"/>
        </w:rPr>
        <w:tab/>
      </w:r>
      <w:r w:rsidR="001672CC" w:rsidRPr="00AB6144">
        <w:rPr>
          <w:rStyle w:val="SCCCounselNameChar"/>
          <w:lang w:val="fr-CA"/>
        </w:rPr>
        <w:t>Barry </w:t>
      </w:r>
      <w:r w:rsidRPr="00AB6144">
        <w:rPr>
          <w:rStyle w:val="SCCCounselNameChar"/>
          <w:lang w:val="fr-CA"/>
        </w:rPr>
        <w:t xml:space="preserve">W. </w:t>
      </w:r>
      <w:proofErr w:type="spellStart"/>
      <w:r w:rsidRPr="00AB6144">
        <w:rPr>
          <w:rStyle w:val="SCCCounselNameChar"/>
          <w:lang w:val="fr-CA"/>
        </w:rPr>
        <w:t>Bussey</w:t>
      </w:r>
      <w:proofErr w:type="spellEnd"/>
      <w:r w:rsidRPr="00AB6144">
        <w:rPr>
          <w:rStyle w:val="SCCCounselSeparatorChar"/>
          <w:lang w:val="fr-CA"/>
        </w:rPr>
        <w:t xml:space="preserve"> </w:t>
      </w:r>
      <w:r w:rsidR="00590615" w:rsidRPr="00AB6144">
        <w:rPr>
          <w:rStyle w:val="SCCCounselSeparatorChar"/>
          <w:lang w:val="fr-CA"/>
        </w:rPr>
        <w:t xml:space="preserve">et </w:t>
      </w:r>
      <w:r w:rsidRPr="00AB6144">
        <w:rPr>
          <w:rStyle w:val="SCCCounselNameChar"/>
          <w:lang w:val="fr-CA"/>
        </w:rPr>
        <w:t>Philip</w:t>
      </w:r>
      <w:r w:rsidR="00832FE0" w:rsidRPr="00AB6144">
        <w:rPr>
          <w:rStyle w:val="SCCCounselNameChar"/>
          <w:lang w:val="fr-CA"/>
        </w:rPr>
        <w:t> </w:t>
      </w:r>
      <w:r w:rsidRPr="00AB6144">
        <w:rPr>
          <w:rStyle w:val="SCCCounselNameChar"/>
          <w:lang w:val="fr-CA"/>
        </w:rPr>
        <w:t>A.</w:t>
      </w:r>
      <w:r w:rsidR="00832FE0" w:rsidRPr="00AB6144">
        <w:rPr>
          <w:rStyle w:val="SCCCounselNameChar"/>
          <w:lang w:val="fr-CA"/>
        </w:rPr>
        <w:t> </w:t>
      </w:r>
      <w:r w:rsidRPr="00AB6144">
        <w:rPr>
          <w:rStyle w:val="SCCCounselNameChar"/>
          <w:lang w:val="fr-CA"/>
        </w:rPr>
        <w:t xml:space="preserve">S. </w:t>
      </w:r>
      <w:proofErr w:type="spellStart"/>
      <w:r w:rsidRPr="00AB6144">
        <w:rPr>
          <w:rStyle w:val="SCCCounselNameChar"/>
          <w:lang w:val="fr-CA"/>
        </w:rPr>
        <w:t>Milley</w:t>
      </w:r>
      <w:proofErr w:type="spellEnd"/>
      <w:r w:rsidRPr="00AB6144">
        <w:rPr>
          <w:rStyle w:val="SCCCounselPartyRoleChar"/>
          <w:lang w:val="fr-CA"/>
        </w:rPr>
        <w:t>, pour l</w:t>
      </w:r>
      <w:r w:rsidR="006173FB" w:rsidRPr="00AB6144">
        <w:rPr>
          <w:rStyle w:val="SCCCounselPartyRoleChar"/>
          <w:lang w:val="fr-CA"/>
        </w:rPr>
        <w:t>’</w:t>
      </w:r>
      <w:r w:rsidR="00207291" w:rsidRPr="00AB6144">
        <w:rPr>
          <w:rStyle w:val="SCCCounselPartyRoleChar"/>
          <w:lang w:val="fr-CA"/>
        </w:rPr>
        <w:t>intervenant</w:t>
      </w:r>
      <w:r w:rsidRPr="00AB6144">
        <w:rPr>
          <w:rStyle w:val="SCCCounselPartyRoleChar"/>
          <w:lang w:val="fr-CA"/>
        </w:rPr>
        <w:t xml:space="preserve"> Canadian Council of Christian </w:t>
      </w:r>
      <w:proofErr w:type="spellStart"/>
      <w:r w:rsidRPr="00AB6144">
        <w:rPr>
          <w:rStyle w:val="SCCCounselPartyRoleChar"/>
          <w:lang w:val="fr-CA"/>
        </w:rPr>
        <w:t>Charities</w:t>
      </w:r>
      <w:proofErr w:type="spellEnd"/>
      <w:r w:rsidRPr="00AB6144">
        <w:rPr>
          <w:rStyle w:val="SCCCounselPartyRoleChar"/>
          <w:lang w:val="fr-CA"/>
        </w:rPr>
        <w:t>.</w:t>
      </w:r>
    </w:p>
    <w:p w:rsidR="00D34B6A" w:rsidRPr="00AB6144" w:rsidRDefault="00C8759F" w:rsidP="00566B15">
      <w:pPr>
        <w:pStyle w:val="SCCNormalDoubleSpacing"/>
        <w:widowControl w:val="0"/>
        <w:spacing w:after="480"/>
        <w:rPr>
          <w:lang w:val="fr-CA"/>
        </w:rPr>
      </w:pPr>
      <w:r w:rsidRPr="00AB6144">
        <w:rPr>
          <w:rStyle w:val="SCCCounselNameChar"/>
          <w:lang w:val="fr-CA"/>
        </w:rPr>
        <w:tab/>
        <w:t xml:space="preserve">John </w:t>
      </w:r>
      <w:proofErr w:type="spellStart"/>
      <w:r w:rsidRPr="00AB6144">
        <w:rPr>
          <w:rStyle w:val="SCCCounselNameChar"/>
          <w:lang w:val="fr-CA"/>
        </w:rPr>
        <w:t>Sikkema</w:t>
      </w:r>
      <w:proofErr w:type="spellEnd"/>
      <w:r w:rsidRPr="00AB6144">
        <w:rPr>
          <w:rStyle w:val="SCCCounselSeparatorChar"/>
          <w:lang w:val="fr-CA"/>
        </w:rPr>
        <w:t xml:space="preserve"> et</w:t>
      </w:r>
      <w:r w:rsidR="00590615" w:rsidRPr="00AB6144">
        <w:rPr>
          <w:rStyle w:val="SCCCounselNameChar"/>
          <w:lang w:val="fr-CA"/>
        </w:rPr>
        <w:t xml:space="preserve"> André </w:t>
      </w:r>
      <w:proofErr w:type="spellStart"/>
      <w:r w:rsidR="00590615" w:rsidRPr="00AB6144">
        <w:rPr>
          <w:rStyle w:val="SCCCounselNameChar"/>
          <w:lang w:val="fr-CA"/>
        </w:rPr>
        <w:t>Schutten</w:t>
      </w:r>
      <w:proofErr w:type="spellEnd"/>
      <w:r w:rsidRPr="00AB6144">
        <w:rPr>
          <w:rStyle w:val="SCCCounselPartyRoleChar"/>
          <w:lang w:val="fr-CA"/>
        </w:rPr>
        <w:t>, pour l</w:t>
      </w:r>
      <w:r w:rsidR="006173FB" w:rsidRPr="00AB6144">
        <w:rPr>
          <w:rStyle w:val="SCCCounselPartyRoleChar"/>
          <w:lang w:val="fr-CA"/>
        </w:rPr>
        <w:t>’</w:t>
      </w:r>
      <w:r w:rsidR="00207291" w:rsidRPr="00AB6144">
        <w:rPr>
          <w:rStyle w:val="SCCCounselPartyRoleChar"/>
          <w:lang w:val="fr-CA"/>
        </w:rPr>
        <w:t>intervenante</w:t>
      </w:r>
      <w:r w:rsidRPr="00AB6144">
        <w:rPr>
          <w:rStyle w:val="SCCCounselPartyRoleChar"/>
          <w:lang w:val="fr-CA"/>
        </w:rPr>
        <w:t xml:space="preserve"> Association for </w:t>
      </w:r>
      <w:proofErr w:type="spellStart"/>
      <w:r w:rsidRPr="00AB6144">
        <w:rPr>
          <w:rStyle w:val="SCCCounselPartyRoleChar"/>
          <w:lang w:val="fr-CA"/>
        </w:rPr>
        <w:t>Reformed</w:t>
      </w:r>
      <w:proofErr w:type="spellEnd"/>
      <w:r w:rsidRPr="00AB6144">
        <w:rPr>
          <w:rStyle w:val="SCCCounselPartyRoleChar"/>
          <w:lang w:val="fr-CA"/>
        </w:rPr>
        <w:t xml:space="preserve"> </w:t>
      </w:r>
      <w:proofErr w:type="spellStart"/>
      <w:r w:rsidRPr="00AB6144">
        <w:rPr>
          <w:rStyle w:val="SCCCounselPartyRoleChar"/>
          <w:lang w:val="fr-CA"/>
        </w:rPr>
        <w:t>Political</w:t>
      </w:r>
      <w:proofErr w:type="spellEnd"/>
      <w:r w:rsidRPr="00AB6144">
        <w:rPr>
          <w:rStyle w:val="SCCCounselPartyRoleChar"/>
          <w:lang w:val="fr-CA"/>
        </w:rPr>
        <w:t xml:space="preserve"> Action Canada.</w:t>
      </w:r>
    </w:p>
    <w:p w:rsidR="00D34B6A" w:rsidRPr="00AB6144" w:rsidRDefault="00590615" w:rsidP="00566B15">
      <w:pPr>
        <w:pStyle w:val="SCCNormalDoubleSpacing"/>
        <w:widowControl w:val="0"/>
        <w:spacing w:after="480"/>
        <w:rPr>
          <w:lang w:val="fr-CA"/>
        </w:rPr>
      </w:pPr>
      <w:r w:rsidRPr="00AB6144">
        <w:rPr>
          <w:rStyle w:val="SCCCounselNameChar"/>
          <w:lang w:val="fr-CA"/>
        </w:rPr>
        <w:tab/>
        <w:t xml:space="preserve">Mark </w:t>
      </w:r>
      <w:proofErr w:type="spellStart"/>
      <w:r w:rsidR="00C8759F" w:rsidRPr="00AB6144">
        <w:rPr>
          <w:rStyle w:val="SCCCounselNameChar"/>
          <w:lang w:val="fr-CA"/>
        </w:rPr>
        <w:t>Gelowitz</w:t>
      </w:r>
      <w:proofErr w:type="spellEnd"/>
      <w:r w:rsidR="00C8759F" w:rsidRPr="00AB6144">
        <w:rPr>
          <w:rStyle w:val="SCCCounselSeparatorChar"/>
          <w:lang w:val="fr-CA"/>
        </w:rPr>
        <w:t xml:space="preserve"> et </w:t>
      </w:r>
      <w:r w:rsidR="00C8759F" w:rsidRPr="00AB6144">
        <w:rPr>
          <w:rStyle w:val="SCCCounselNameChar"/>
          <w:lang w:val="fr-CA"/>
        </w:rPr>
        <w:t xml:space="preserve">Karin </w:t>
      </w:r>
      <w:proofErr w:type="spellStart"/>
      <w:r w:rsidR="00C8759F" w:rsidRPr="00AB6144">
        <w:rPr>
          <w:rStyle w:val="SCCCounselNameChar"/>
          <w:lang w:val="fr-CA"/>
        </w:rPr>
        <w:t>Sachar</w:t>
      </w:r>
      <w:proofErr w:type="spellEnd"/>
      <w:r w:rsidR="00C8759F" w:rsidRPr="00AB6144">
        <w:rPr>
          <w:rStyle w:val="SCCCounselPartyRoleChar"/>
          <w:lang w:val="fr-CA"/>
        </w:rPr>
        <w:t>, pour l</w:t>
      </w:r>
      <w:r w:rsidR="006173FB" w:rsidRPr="00AB6144">
        <w:rPr>
          <w:rStyle w:val="SCCCounselPartyRoleChar"/>
          <w:lang w:val="fr-CA"/>
        </w:rPr>
        <w:t>’</w:t>
      </w:r>
      <w:r w:rsidR="00207291" w:rsidRPr="00AB6144">
        <w:rPr>
          <w:rStyle w:val="SCCCounselPartyRoleChar"/>
          <w:lang w:val="fr-CA"/>
        </w:rPr>
        <w:t>intervenante</w:t>
      </w:r>
      <w:r w:rsidR="00C8759F" w:rsidRPr="00AB6144">
        <w:rPr>
          <w:rStyle w:val="SCCCounselPartyRoleChar"/>
          <w:lang w:val="fr-CA"/>
        </w:rPr>
        <w:t xml:space="preserve"> Canadian Constitution </w:t>
      </w:r>
      <w:proofErr w:type="spellStart"/>
      <w:r w:rsidR="00C8759F" w:rsidRPr="00AB6144">
        <w:rPr>
          <w:rStyle w:val="SCCCounselPartyRoleChar"/>
          <w:lang w:val="fr-CA"/>
        </w:rPr>
        <w:t>Foundation</w:t>
      </w:r>
      <w:proofErr w:type="spellEnd"/>
      <w:r w:rsidR="00C8759F" w:rsidRPr="00AB6144">
        <w:rPr>
          <w:rStyle w:val="SCCCounselPartyRoleChar"/>
          <w:lang w:val="fr-CA"/>
        </w:rPr>
        <w:t>.</w:t>
      </w:r>
    </w:p>
    <w:p w:rsidR="00D34B6A" w:rsidRPr="00AB6144" w:rsidRDefault="00C8759F" w:rsidP="00566B15">
      <w:pPr>
        <w:pStyle w:val="SCCNormalDoubleSpacing"/>
        <w:widowControl w:val="0"/>
        <w:spacing w:after="480"/>
        <w:rPr>
          <w:lang w:val="fr-CA"/>
        </w:rPr>
      </w:pPr>
      <w:r w:rsidRPr="00AB6144">
        <w:rPr>
          <w:rStyle w:val="SCCCounselNameChar"/>
          <w:lang w:val="fr-CA"/>
        </w:rPr>
        <w:tab/>
      </w:r>
      <w:proofErr w:type="spellStart"/>
      <w:r w:rsidRPr="00AB6144">
        <w:rPr>
          <w:rStyle w:val="SCCCounselNameChar"/>
          <w:lang w:val="fr-CA"/>
        </w:rPr>
        <w:t>Albertos</w:t>
      </w:r>
      <w:proofErr w:type="spellEnd"/>
      <w:r w:rsidRPr="00AB6144">
        <w:rPr>
          <w:rStyle w:val="SCCCounselNameChar"/>
          <w:lang w:val="fr-CA"/>
        </w:rPr>
        <w:t xml:space="preserve"> </w:t>
      </w:r>
      <w:proofErr w:type="spellStart"/>
      <w:r w:rsidRPr="00AB6144">
        <w:rPr>
          <w:rStyle w:val="SCCCounselNameChar"/>
          <w:lang w:val="fr-CA"/>
        </w:rPr>
        <w:t>Polizogopoulos</w:t>
      </w:r>
      <w:proofErr w:type="spellEnd"/>
      <w:r w:rsidRPr="00AB6144">
        <w:rPr>
          <w:rStyle w:val="SCCCounselPartyRoleChar"/>
          <w:lang w:val="fr-CA"/>
        </w:rPr>
        <w:t>, pour l</w:t>
      </w:r>
      <w:r w:rsidR="00207291" w:rsidRPr="00AB6144">
        <w:rPr>
          <w:rStyle w:val="SCCCounselPartyRoleChar"/>
          <w:lang w:val="fr-CA"/>
        </w:rPr>
        <w:t xml:space="preserve">es intervenantes </w:t>
      </w:r>
      <w:r w:rsidR="00DF12F3" w:rsidRPr="00AB6144">
        <w:rPr>
          <w:rStyle w:val="SCCCounselPartyRoleChar"/>
          <w:lang w:val="fr-CA"/>
        </w:rPr>
        <w:t>l’</w:t>
      </w:r>
      <w:r w:rsidR="00207291" w:rsidRPr="00AB6144">
        <w:rPr>
          <w:rStyle w:val="SCCCounselPartyRoleChar"/>
          <w:lang w:val="fr-CA"/>
        </w:rPr>
        <w:t xml:space="preserve">Alliance évangélique du Canada et </w:t>
      </w:r>
      <w:r w:rsidR="00ED676B" w:rsidRPr="00AB6144">
        <w:rPr>
          <w:rStyle w:val="SCCCounselPartyRoleChar"/>
          <w:lang w:val="fr-CA"/>
        </w:rPr>
        <w:t>Catholic Civil Rights League</w:t>
      </w:r>
      <w:r w:rsidRPr="00AB6144">
        <w:rPr>
          <w:rStyle w:val="SCCCounselPartyRoleChar"/>
          <w:lang w:val="fr-CA"/>
        </w:rPr>
        <w:t>.</w:t>
      </w:r>
    </w:p>
    <w:p w:rsidR="00D34B6A" w:rsidRPr="00AB6144" w:rsidRDefault="00207291" w:rsidP="00566B15">
      <w:pPr>
        <w:pStyle w:val="SCCNormalDoubleSpacing"/>
        <w:widowControl w:val="0"/>
        <w:spacing w:after="480"/>
        <w:rPr>
          <w:lang w:val="fr-CA"/>
        </w:rPr>
      </w:pPr>
      <w:r w:rsidRPr="00AB6144">
        <w:rPr>
          <w:rStyle w:val="SCCCounselNameChar"/>
          <w:lang w:val="fr-CA"/>
        </w:rPr>
        <w:tab/>
        <w:t>Derek</w:t>
      </w:r>
      <w:r w:rsidR="00C8759F" w:rsidRPr="00AB6144">
        <w:rPr>
          <w:rStyle w:val="SCCCounselNameChar"/>
          <w:lang w:val="fr-CA"/>
        </w:rPr>
        <w:t xml:space="preserve"> Ross</w:t>
      </w:r>
      <w:r w:rsidR="00590615" w:rsidRPr="00AB6144">
        <w:rPr>
          <w:rStyle w:val="SCCCounselSeparatorChar"/>
          <w:lang w:val="fr-CA"/>
        </w:rPr>
        <w:t xml:space="preserve"> et</w:t>
      </w:r>
      <w:r w:rsidR="00C8759F" w:rsidRPr="00AB6144">
        <w:rPr>
          <w:rStyle w:val="SCCCounselSeparatorChar"/>
          <w:lang w:val="fr-CA"/>
        </w:rPr>
        <w:t xml:space="preserve"> </w:t>
      </w:r>
      <w:proofErr w:type="spellStart"/>
      <w:r w:rsidR="00C8759F" w:rsidRPr="00AB6144">
        <w:rPr>
          <w:rStyle w:val="SCCCounselNameChar"/>
          <w:lang w:val="fr-CA"/>
        </w:rPr>
        <w:t>Deina</w:t>
      </w:r>
      <w:proofErr w:type="spellEnd"/>
      <w:r w:rsidR="00C8759F" w:rsidRPr="00AB6144">
        <w:rPr>
          <w:rStyle w:val="SCCCounselNameChar"/>
          <w:lang w:val="fr-CA"/>
        </w:rPr>
        <w:t xml:space="preserve"> Warren</w:t>
      </w:r>
      <w:r w:rsidR="00C8759F" w:rsidRPr="00AB6144">
        <w:rPr>
          <w:rStyle w:val="SCCCounselPartyRoleChar"/>
          <w:lang w:val="fr-CA"/>
        </w:rPr>
        <w:t>, pour l</w:t>
      </w:r>
      <w:r w:rsidR="006173FB" w:rsidRPr="00AB6144">
        <w:rPr>
          <w:rStyle w:val="SCCCounselPartyRoleChar"/>
          <w:lang w:val="fr-CA"/>
        </w:rPr>
        <w:t>’</w:t>
      </w:r>
      <w:r w:rsidRPr="00AB6144">
        <w:rPr>
          <w:rStyle w:val="SCCCounselPartyRoleChar"/>
          <w:lang w:val="fr-CA"/>
        </w:rPr>
        <w:t>intervenante</w:t>
      </w:r>
      <w:r w:rsidR="00C8759F" w:rsidRPr="00AB6144">
        <w:rPr>
          <w:rStyle w:val="SCCCounselPartyRoleChar"/>
          <w:lang w:val="fr-CA"/>
        </w:rPr>
        <w:t xml:space="preserve"> </w:t>
      </w:r>
      <w:r w:rsidR="00DF12F3" w:rsidRPr="00AB6144">
        <w:rPr>
          <w:rStyle w:val="SCCCounselPartyRoleChar"/>
          <w:lang w:val="fr-CA"/>
        </w:rPr>
        <w:t>l’</w:t>
      </w:r>
      <w:r w:rsidR="00C8759F" w:rsidRPr="00AB6144">
        <w:rPr>
          <w:rStyle w:val="SCCCounselPartyRoleChar"/>
          <w:lang w:val="fr-CA"/>
        </w:rPr>
        <w:t>Alliance des chrétiens en droit.</w:t>
      </w:r>
    </w:p>
    <w:p w:rsidR="00D34B6A" w:rsidRPr="00AB6144" w:rsidRDefault="00C8759F" w:rsidP="00566B15">
      <w:pPr>
        <w:pStyle w:val="SCCNormalDoubleSpacing"/>
        <w:widowControl w:val="0"/>
        <w:spacing w:after="480"/>
        <w:rPr>
          <w:lang w:val="en-US"/>
        </w:rPr>
      </w:pPr>
      <w:r w:rsidRPr="00AB6144">
        <w:rPr>
          <w:rStyle w:val="SCCCounselNameChar"/>
          <w:lang w:val="fr-CA"/>
        </w:rPr>
        <w:tab/>
      </w:r>
      <w:r w:rsidRPr="00AB6144">
        <w:rPr>
          <w:rStyle w:val="SCCCounselNameChar"/>
          <w:lang w:val="en-US"/>
        </w:rPr>
        <w:t>Balpreet Singh Boparai</w:t>
      </w:r>
      <w:r w:rsidRPr="00AB6144">
        <w:rPr>
          <w:rStyle w:val="SCCCounselSeparatorChar"/>
          <w:lang w:val="en-US"/>
        </w:rPr>
        <w:t xml:space="preserve"> </w:t>
      </w:r>
      <w:proofErr w:type="gramStart"/>
      <w:r w:rsidRPr="00AB6144">
        <w:rPr>
          <w:rStyle w:val="SCCCounselSeparatorChar"/>
          <w:lang w:val="en-US"/>
        </w:rPr>
        <w:t>et</w:t>
      </w:r>
      <w:proofErr w:type="gramEnd"/>
      <w:r w:rsidRPr="00AB6144">
        <w:rPr>
          <w:rStyle w:val="SCCCounselSeparatorChar"/>
          <w:lang w:val="en-US"/>
        </w:rPr>
        <w:t xml:space="preserve"> </w:t>
      </w:r>
      <w:proofErr w:type="spellStart"/>
      <w:r w:rsidRPr="00AB6144">
        <w:rPr>
          <w:rStyle w:val="SCCCounselNameChar"/>
          <w:lang w:val="en-US"/>
        </w:rPr>
        <w:t>Avnish</w:t>
      </w:r>
      <w:proofErr w:type="spellEnd"/>
      <w:r w:rsidRPr="00AB6144">
        <w:rPr>
          <w:rStyle w:val="SCCCounselNameChar"/>
          <w:lang w:val="en-US"/>
        </w:rPr>
        <w:t xml:space="preserve"> Nanda</w:t>
      </w:r>
      <w:r w:rsidRPr="00AB6144">
        <w:rPr>
          <w:rStyle w:val="SCCCounselPartyRoleChar"/>
          <w:lang w:val="en-US"/>
        </w:rPr>
        <w:t xml:space="preserve">, pour </w:t>
      </w:r>
      <w:proofErr w:type="spellStart"/>
      <w:r w:rsidRPr="00AB6144">
        <w:rPr>
          <w:rStyle w:val="SCCCounselPartyRoleChar"/>
          <w:lang w:val="en-US"/>
        </w:rPr>
        <w:t>l</w:t>
      </w:r>
      <w:r w:rsidR="006173FB" w:rsidRPr="00AB6144">
        <w:rPr>
          <w:rStyle w:val="SCCCounselPartyRoleChar"/>
          <w:lang w:val="en-US"/>
        </w:rPr>
        <w:t>’</w:t>
      </w:r>
      <w:r w:rsidRPr="00AB6144">
        <w:rPr>
          <w:rStyle w:val="SCCCounselPartyRoleChar"/>
          <w:lang w:val="en-US"/>
        </w:rPr>
        <w:t>intervenante</w:t>
      </w:r>
      <w:proofErr w:type="spellEnd"/>
      <w:r w:rsidRPr="00AB6144">
        <w:rPr>
          <w:rStyle w:val="SCCCounselPartyRoleChar"/>
          <w:lang w:val="en-US"/>
        </w:rPr>
        <w:t xml:space="preserve"> </w:t>
      </w:r>
      <w:r w:rsidR="004C2548" w:rsidRPr="00AB6144">
        <w:t>World Sikh Organization of Canada</w:t>
      </w:r>
      <w:r w:rsidRPr="00AB6144">
        <w:rPr>
          <w:rStyle w:val="SCCCounselPartyRoleChar"/>
          <w:lang w:val="en-US"/>
        </w:rPr>
        <w:t>.</w:t>
      </w:r>
    </w:p>
    <w:p w:rsidR="00D34B6A" w:rsidRPr="00AB6144" w:rsidRDefault="00590615" w:rsidP="00566B15">
      <w:pPr>
        <w:pStyle w:val="SCCNormalDoubleSpacing"/>
        <w:widowControl w:val="0"/>
        <w:spacing w:after="480"/>
        <w:rPr>
          <w:lang w:val="fr-CA"/>
        </w:rPr>
      </w:pPr>
      <w:r w:rsidRPr="00AB6144">
        <w:rPr>
          <w:rStyle w:val="SCCCounselNameChar"/>
          <w:lang w:val="en-US"/>
        </w:rPr>
        <w:tab/>
      </w:r>
      <w:r w:rsidRPr="00AB6144">
        <w:rPr>
          <w:rStyle w:val="SCCCounselNameChar"/>
          <w:lang w:val="fr-CA"/>
        </w:rPr>
        <w:t>Gerald</w:t>
      </w:r>
      <w:r w:rsidR="00C8759F" w:rsidRPr="00AB6144">
        <w:rPr>
          <w:rStyle w:val="SCCCounselNameChar"/>
          <w:lang w:val="fr-CA"/>
        </w:rPr>
        <w:t xml:space="preserve"> Chipeur</w:t>
      </w:r>
      <w:r w:rsidR="00C8759F" w:rsidRPr="00AB6144">
        <w:rPr>
          <w:rStyle w:val="SCCCounselNameChar"/>
          <w:i w:val="0"/>
          <w:lang w:val="fr-CA"/>
        </w:rPr>
        <w:t>,</w:t>
      </w:r>
      <w:r w:rsidR="00C8759F" w:rsidRPr="00AB6144">
        <w:rPr>
          <w:rStyle w:val="SCCCounselNameChar"/>
          <w:lang w:val="fr-CA"/>
        </w:rPr>
        <w:t xml:space="preserve"> </w:t>
      </w:r>
      <w:proofErr w:type="spellStart"/>
      <w:proofErr w:type="gramStart"/>
      <w:r w:rsidR="00F00E92" w:rsidRPr="00AB6144">
        <w:rPr>
          <w:rStyle w:val="SCCCounselNameChar"/>
          <w:lang w:val="fr-CA"/>
        </w:rPr>
        <w:t>c.r</w:t>
      </w:r>
      <w:proofErr w:type="spellEnd"/>
      <w:r w:rsidR="00F00E92" w:rsidRPr="00AB6144">
        <w:rPr>
          <w:rStyle w:val="SCCCounselNameChar"/>
          <w:lang w:val="fr-CA"/>
        </w:rPr>
        <w:t>.</w:t>
      </w:r>
      <w:r w:rsidR="00C8759F" w:rsidRPr="00AB6144">
        <w:rPr>
          <w:rStyle w:val="SCCCounselSeparatorChar"/>
          <w:lang w:val="fr-CA"/>
        </w:rPr>
        <w:t>,</w:t>
      </w:r>
      <w:proofErr w:type="gramEnd"/>
      <w:r w:rsidR="00C8759F" w:rsidRPr="00AB6144">
        <w:rPr>
          <w:rStyle w:val="SCCCounselSeparatorChar"/>
          <w:lang w:val="fr-CA"/>
        </w:rPr>
        <w:t xml:space="preserve"> </w:t>
      </w:r>
      <w:r w:rsidRPr="00AB6144">
        <w:rPr>
          <w:rStyle w:val="SCCCounselSeparatorChar"/>
          <w:lang w:val="fr-CA"/>
        </w:rPr>
        <w:t xml:space="preserve">et </w:t>
      </w:r>
      <w:r w:rsidR="00C8759F" w:rsidRPr="00AB6144">
        <w:rPr>
          <w:rStyle w:val="SCCCounselNameChar"/>
          <w:lang w:val="fr-CA"/>
        </w:rPr>
        <w:t>Jonathan Martin</w:t>
      </w:r>
      <w:r w:rsidR="00C8759F" w:rsidRPr="00AB6144">
        <w:rPr>
          <w:rStyle w:val="SCCCounselPartyRoleChar"/>
          <w:lang w:val="fr-CA"/>
        </w:rPr>
        <w:t>, pour l</w:t>
      </w:r>
      <w:r w:rsidR="00466D7D" w:rsidRPr="00AB6144">
        <w:rPr>
          <w:rStyle w:val="SCCCounselPartyRoleChar"/>
          <w:lang w:val="fr-CA"/>
        </w:rPr>
        <w:t>es intervenantes</w:t>
      </w:r>
      <w:r w:rsidR="00DF12F3" w:rsidRPr="00AB6144">
        <w:rPr>
          <w:rStyle w:val="SCCCounselPartyRoleChar"/>
          <w:lang w:val="fr-CA"/>
        </w:rPr>
        <w:t xml:space="preserve"> l’</w:t>
      </w:r>
      <w:r w:rsidR="00C8759F" w:rsidRPr="00AB6144">
        <w:rPr>
          <w:rStyle w:val="SCCCounselPartyRoleChar"/>
          <w:lang w:val="fr-CA"/>
        </w:rPr>
        <w:t>Église advent</w:t>
      </w:r>
      <w:r w:rsidR="00466D7D" w:rsidRPr="00AB6144">
        <w:rPr>
          <w:rStyle w:val="SCCCounselPartyRoleChar"/>
          <w:lang w:val="fr-CA"/>
        </w:rPr>
        <w:t>iste du septième jour au Canada et</w:t>
      </w:r>
      <w:r w:rsidR="00DF12F3" w:rsidRPr="00AB6144">
        <w:rPr>
          <w:rStyle w:val="SCCCounselPartyRoleChar"/>
          <w:lang w:val="fr-CA"/>
        </w:rPr>
        <w:t xml:space="preserve"> l’</w:t>
      </w:r>
      <w:r w:rsidR="00466D7D" w:rsidRPr="00AB6144">
        <w:rPr>
          <w:rStyle w:val="SCCCounselPartyRoleChar"/>
          <w:lang w:val="fr-CA"/>
        </w:rPr>
        <w:t>Église de Jésus</w:t>
      </w:r>
      <w:r w:rsidR="00B104C4" w:rsidRPr="00AB6144">
        <w:rPr>
          <w:rStyle w:val="SCCCounselPartyRoleChar"/>
          <w:lang w:val="fr-CA"/>
        </w:rPr>
        <w:noBreakHyphen/>
      </w:r>
      <w:r w:rsidR="00466D7D" w:rsidRPr="00AB6144">
        <w:rPr>
          <w:rStyle w:val="SCCCounselPartyRoleChar"/>
          <w:lang w:val="fr-CA"/>
        </w:rPr>
        <w:t>Christ des saints des derniers jours au Canada.</w:t>
      </w:r>
    </w:p>
    <w:p w:rsidR="00D34B6A" w:rsidRPr="00AB6144" w:rsidRDefault="00C8759F" w:rsidP="00566B15">
      <w:pPr>
        <w:pStyle w:val="SCCNormalDoubleSpacing"/>
        <w:widowControl w:val="0"/>
        <w:spacing w:after="480"/>
        <w:rPr>
          <w:lang w:val="fr-CA"/>
        </w:rPr>
      </w:pPr>
      <w:r w:rsidRPr="00AB6144">
        <w:rPr>
          <w:rStyle w:val="SCCCounselNameChar"/>
          <w:lang w:val="fr-CA"/>
        </w:rPr>
        <w:lastRenderedPageBreak/>
        <w:tab/>
        <w:t>Jay Cameron</w:t>
      </w:r>
      <w:r w:rsidRPr="00AB6144">
        <w:rPr>
          <w:rStyle w:val="SCCCounselPartyRoleChar"/>
          <w:lang w:val="fr-CA"/>
        </w:rPr>
        <w:t>, pour l</w:t>
      </w:r>
      <w:r w:rsidR="006173FB" w:rsidRPr="00AB6144">
        <w:rPr>
          <w:rStyle w:val="SCCCounselPartyRoleChar"/>
          <w:lang w:val="fr-CA"/>
        </w:rPr>
        <w:t>’</w:t>
      </w:r>
      <w:r w:rsidR="00466D7D" w:rsidRPr="00AB6144">
        <w:rPr>
          <w:rStyle w:val="SCCCounselPartyRoleChar"/>
          <w:lang w:val="fr-CA"/>
        </w:rPr>
        <w:t>intervenant</w:t>
      </w:r>
      <w:r w:rsidRPr="00AB6144">
        <w:rPr>
          <w:rStyle w:val="SCCCounselPartyRoleChar"/>
          <w:lang w:val="fr-CA"/>
        </w:rPr>
        <w:t xml:space="preserve"> Justice Centre for </w:t>
      </w:r>
      <w:proofErr w:type="spellStart"/>
      <w:r w:rsidRPr="00AB6144">
        <w:rPr>
          <w:rStyle w:val="SCCCounselPartyRoleChar"/>
          <w:lang w:val="fr-CA"/>
        </w:rPr>
        <w:t>Constitutional</w:t>
      </w:r>
      <w:proofErr w:type="spellEnd"/>
      <w:r w:rsidRPr="00AB6144">
        <w:rPr>
          <w:rStyle w:val="SCCCounselPartyRoleChar"/>
          <w:lang w:val="fr-CA"/>
        </w:rPr>
        <w:t xml:space="preserve"> </w:t>
      </w:r>
      <w:proofErr w:type="spellStart"/>
      <w:r w:rsidRPr="00AB6144">
        <w:rPr>
          <w:rStyle w:val="SCCCounselPartyRoleChar"/>
          <w:lang w:val="fr-CA"/>
        </w:rPr>
        <w:t>Freedoms</w:t>
      </w:r>
      <w:proofErr w:type="spellEnd"/>
      <w:r w:rsidRPr="00AB6144">
        <w:rPr>
          <w:rStyle w:val="SCCCounselPartyRoleChar"/>
          <w:lang w:val="fr-CA"/>
        </w:rPr>
        <w:t>.</w:t>
      </w:r>
    </w:p>
    <w:p w:rsidR="00641FA4" w:rsidRDefault="00590615" w:rsidP="00566B15">
      <w:pPr>
        <w:pStyle w:val="SCCNormalDoubleSpacing"/>
        <w:widowControl w:val="0"/>
        <w:spacing w:after="480"/>
        <w:rPr>
          <w:rStyle w:val="SCCCounselPartyRoleChar"/>
          <w:lang w:val="fr-CA"/>
        </w:rPr>
      </w:pPr>
      <w:r w:rsidRPr="00AB6144">
        <w:rPr>
          <w:rStyle w:val="SCCCounselNameChar"/>
          <w:lang w:val="fr-CA"/>
        </w:rPr>
        <w:tab/>
        <w:t>Roy</w:t>
      </w:r>
      <w:r w:rsidR="00C8759F" w:rsidRPr="00AB6144">
        <w:rPr>
          <w:rStyle w:val="SCCCounselNameChar"/>
          <w:lang w:val="fr-CA"/>
        </w:rPr>
        <w:t xml:space="preserve"> </w:t>
      </w:r>
      <w:proofErr w:type="spellStart"/>
      <w:r w:rsidR="00C8759F" w:rsidRPr="00AB6144">
        <w:rPr>
          <w:rStyle w:val="SCCCounselNameChar"/>
          <w:lang w:val="fr-CA"/>
        </w:rPr>
        <w:t>Millen</w:t>
      </w:r>
      <w:proofErr w:type="spellEnd"/>
      <w:r w:rsidR="00C8759F" w:rsidRPr="00AB6144">
        <w:rPr>
          <w:rStyle w:val="SCCCounselSeparatorChar"/>
          <w:lang w:val="fr-CA"/>
        </w:rPr>
        <w:t xml:space="preserve"> et </w:t>
      </w:r>
      <w:r w:rsidR="00C8759F" w:rsidRPr="00AB6144">
        <w:rPr>
          <w:rStyle w:val="SCCCounselNameChar"/>
          <w:lang w:val="fr-CA"/>
        </w:rPr>
        <w:t xml:space="preserve">Ariel </w:t>
      </w:r>
      <w:proofErr w:type="spellStart"/>
      <w:r w:rsidR="00C8759F" w:rsidRPr="00AB6144">
        <w:rPr>
          <w:rStyle w:val="SCCCounselNameChar"/>
          <w:lang w:val="fr-CA"/>
        </w:rPr>
        <w:t>Solose</w:t>
      </w:r>
      <w:proofErr w:type="spellEnd"/>
      <w:r w:rsidR="00C8759F" w:rsidRPr="00AB6144">
        <w:rPr>
          <w:rStyle w:val="SCCCounselPartyRoleChar"/>
          <w:lang w:val="fr-CA"/>
        </w:rPr>
        <w:t>, pour l</w:t>
      </w:r>
      <w:r w:rsidR="006173FB" w:rsidRPr="00AB6144">
        <w:rPr>
          <w:rStyle w:val="SCCCounselPartyRoleChar"/>
          <w:lang w:val="fr-CA"/>
        </w:rPr>
        <w:t>’</w:t>
      </w:r>
      <w:r w:rsidR="00466D7D" w:rsidRPr="00AB6144">
        <w:rPr>
          <w:rStyle w:val="SCCCounselPartyRoleChar"/>
          <w:lang w:val="fr-CA"/>
        </w:rPr>
        <w:t>intervenante</w:t>
      </w:r>
      <w:r w:rsidR="00C8759F" w:rsidRPr="00AB6144">
        <w:rPr>
          <w:rStyle w:val="SCCCounselPartyRoleChar"/>
          <w:lang w:val="fr-CA"/>
        </w:rPr>
        <w:t xml:space="preserve"> British Columbia Civil Liberties Association.</w:t>
      </w:r>
    </w:p>
    <w:p w:rsidR="00D34B6A" w:rsidRDefault="00590615" w:rsidP="00566B15">
      <w:pPr>
        <w:pStyle w:val="SCCNormalDoubleSpacing"/>
        <w:widowControl w:val="0"/>
        <w:spacing w:after="480"/>
        <w:rPr>
          <w:rStyle w:val="SCCCounselPartyRoleChar"/>
          <w:lang w:val="fr-CA"/>
        </w:rPr>
      </w:pPr>
      <w:r w:rsidRPr="00AB6144">
        <w:rPr>
          <w:rStyle w:val="SCCCounselNameChar"/>
          <w:lang w:val="fr-CA"/>
        </w:rPr>
        <w:tab/>
      </w:r>
      <w:proofErr w:type="spellStart"/>
      <w:r w:rsidRPr="00AB6144">
        <w:rPr>
          <w:rStyle w:val="SCCCounselNameChar"/>
          <w:lang w:val="fr-CA"/>
        </w:rPr>
        <w:t>Shahzad</w:t>
      </w:r>
      <w:proofErr w:type="spellEnd"/>
      <w:r w:rsidR="00C8759F" w:rsidRPr="00AB6144">
        <w:rPr>
          <w:rStyle w:val="SCCCounselNameChar"/>
          <w:lang w:val="fr-CA"/>
        </w:rPr>
        <w:t xml:space="preserve"> </w:t>
      </w:r>
      <w:proofErr w:type="spellStart"/>
      <w:r w:rsidR="00C8759F" w:rsidRPr="00AB6144">
        <w:rPr>
          <w:rStyle w:val="SCCCounselNameChar"/>
          <w:lang w:val="fr-CA"/>
        </w:rPr>
        <w:t>Siddiqui</w:t>
      </w:r>
      <w:proofErr w:type="spellEnd"/>
      <w:r w:rsidRPr="00AB6144">
        <w:rPr>
          <w:rStyle w:val="SCCCounselPartyRoleChar"/>
          <w:lang w:val="fr-CA"/>
        </w:rPr>
        <w:t xml:space="preserve"> </w:t>
      </w:r>
      <w:r w:rsidRPr="00AB6144">
        <w:rPr>
          <w:rStyle w:val="SCCCounselNameChar"/>
          <w:i w:val="0"/>
          <w:lang w:val="fr-CA"/>
        </w:rPr>
        <w:t xml:space="preserve">et </w:t>
      </w:r>
      <w:proofErr w:type="spellStart"/>
      <w:r w:rsidRPr="00AB6144">
        <w:rPr>
          <w:rStyle w:val="SCCCounselPartyRoleChar"/>
          <w:i/>
          <w:lang w:val="fr-CA"/>
        </w:rPr>
        <w:t>Yavar</w:t>
      </w:r>
      <w:proofErr w:type="spellEnd"/>
      <w:r w:rsidRPr="00AB6144">
        <w:rPr>
          <w:rStyle w:val="SCCCounselPartyRoleChar"/>
          <w:i/>
          <w:lang w:val="fr-CA"/>
        </w:rPr>
        <w:t xml:space="preserve"> </w:t>
      </w:r>
      <w:proofErr w:type="spellStart"/>
      <w:r w:rsidRPr="00AB6144">
        <w:rPr>
          <w:rStyle w:val="SCCCounselPartyRoleChar"/>
          <w:i/>
          <w:lang w:val="fr-CA"/>
        </w:rPr>
        <w:t>Hameed</w:t>
      </w:r>
      <w:proofErr w:type="spellEnd"/>
      <w:r w:rsidRPr="00AB6144">
        <w:rPr>
          <w:rStyle w:val="SCCCounselPartyRoleChar"/>
          <w:lang w:val="fr-CA"/>
        </w:rPr>
        <w:t>,</w:t>
      </w:r>
      <w:r w:rsidR="00C8759F" w:rsidRPr="00AB6144">
        <w:rPr>
          <w:rStyle w:val="SCCCounselPartyRoleChar"/>
          <w:lang w:val="fr-CA"/>
        </w:rPr>
        <w:t xml:space="preserve"> pour l</w:t>
      </w:r>
      <w:r w:rsidR="006173FB" w:rsidRPr="00AB6144">
        <w:rPr>
          <w:rStyle w:val="SCCCounselPartyRoleChar"/>
          <w:lang w:val="fr-CA"/>
        </w:rPr>
        <w:t>’</w:t>
      </w:r>
      <w:r w:rsidR="00466D7D" w:rsidRPr="00AB6144">
        <w:rPr>
          <w:rStyle w:val="SCCCounselPartyRoleChar"/>
          <w:lang w:val="fr-CA"/>
        </w:rPr>
        <w:t>intervenante</w:t>
      </w:r>
      <w:r w:rsidR="00C8759F" w:rsidRPr="00AB6144">
        <w:rPr>
          <w:rStyle w:val="SCCCounselPartyRoleChar"/>
          <w:lang w:val="fr-CA"/>
        </w:rPr>
        <w:t xml:space="preserve"> </w:t>
      </w:r>
      <w:r w:rsidR="00DF12F3" w:rsidRPr="00AB6144">
        <w:rPr>
          <w:rStyle w:val="SCCCounselPartyRoleChar"/>
          <w:lang w:val="fr-CA"/>
        </w:rPr>
        <w:t>l’</w:t>
      </w:r>
      <w:r w:rsidR="00C8759F" w:rsidRPr="00AB6144">
        <w:rPr>
          <w:rStyle w:val="SCCCounselPartyRoleChar"/>
          <w:lang w:val="fr-CA"/>
        </w:rPr>
        <w:t xml:space="preserve">Association </w:t>
      </w:r>
      <w:r w:rsidR="007E6EDB" w:rsidRPr="00AB6144">
        <w:rPr>
          <w:rStyle w:val="SCCCounselPartyRoleChar"/>
          <w:lang w:val="fr-CA"/>
        </w:rPr>
        <w:t>canadienne des avocats m</w:t>
      </w:r>
      <w:r w:rsidR="00C8759F" w:rsidRPr="00AB6144">
        <w:rPr>
          <w:rStyle w:val="SCCCounselPartyRoleChar"/>
          <w:lang w:val="fr-CA"/>
        </w:rPr>
        <w:t>usulmans.</w:t>
      </w:r>
    </w:p>
    <w:p w:rsidR="006A3C1C" w:rsidRPr="00A8700F" w:rsidRDefault="00A8700F" w:rsidP="00566B15">
      <w:pPr>
        <w:pStyle w:val="SCCNormalDoubleSpacing"/>
        <w:widowControl w:val="0"/>
        <w:spacing w:after="480"/>
        <w:rPr>
          <w:rStyle w:val="SCCCounselPartyRoleChar"/>
          <w:lang w:val="fr-CA"/>
        </w:rPr>
      </w:pPr>
      <w:r w:rsidRPr="00FA4A90">
        <w:rPr>
          <w:rStyle w:val="SCCCounselPartyRoleChar"/>
          <w:lang w:val="fr-CA"/>
        </w:rPr>
        <w:tab/>
      </w:r>
      <w:r w:rsidR="006A3C1C" w:rsidRPr="00A8700F">
        <w:rPr>
          <w:rStyle w:val="SCCCounselPartyRoleChar"/>
          <w:lang w:val="fr-CA"/>
        </w:rPr>
        <w:t>Version française du jugement de la Cour rendu par</w:t>
      </w:r>
    </w:p>
    <w:p w:rsidR="006A3C1C" w:rsidRPr="00B61490" w:rsidRDefault="006A3C1C" w:rsidP="00566B15">
      <w:pPr>
        <w:pStyle w:val="JudgeJuge"/>
        <w:widowControl w:val="0"/>
        <w:spacing w:before="480"/>
      </w:pPr>
      <w:r w:rsidRPr="00B61490">
        <w:rPr>
          <w:lang w:val="fr-CA"/>
        </w:rPr>
        <w:tab/>
        <w:t xml:space="preserve">Le juge Rowe </w:t>
      </w:r>
      <w:r w:rsidRPr="00B61490">
        <w:t xml:space="preserve">— </w:t>
      </w:r>
    </w:p>
    <w:p w:rsidR="006A3C1C" w:rsidRPr="00B61490" w:rsidRDefault="006A3C1C" w:rsidP="00566B15">
      <w:pPr>
        <w:pStyle w:val="Title1LevelTitre1Niveau-AltL"/>
        <w:widowControl w:val="0"/>
        <w:numPr>
          <w:ilvl w:val="0"/>
          <w:numId w:val="8"/>
        </w:numPr>
        <w:jc w:val="left"/>
        <w:rPr>
          <w:rFonts w:cs="Times New Roman"/>
        </w:rPr>
      </w:pPr>
      <w:r w:rsidRPr="00B61490">
        <w:rPr>
          <w:rFonts w:cs="Times New Roman"/>
          <w:lang w:val="fr-CA"/>
        </w:rPr>
        <w:t>Aperçu</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La principale question en litige dans le présent pourvoi est celle de savoir si les tribunaux ont compétence pour contrôler les décisions d</w:t>
      </w:r>
      <w:r>
        <w:rPr>
          <w:rFonts w:cs="Times New Roman"/>
          <w:lang w:val="fr-CA"/>
        </w:rPr>
        <w:t>’</w:t>
      </w:r>
      <w:r w:rsidRPr="00B61490">
        <w:rPr>
          <w:rFonts w:cs="Times New Roman"/>
          <w:lang w:val="fr-CA"/>
        </w:rPr>
        <w:t>organismes religieux qui soulèvent des préoccupations en matière d</w:t>
      </w:r>
      <w:r>
        <w:rPr>
          <w:rFonts w:cs="Times New Roman"/>
          <w:lang w:val="fr-CA"/>
        </w:rPr>
        <w:t>’</w:t>
      </w:r>
      <w:r w:rsidRPr="00B61490">
        <w:rPr>
          <w:rFonts w:cs="Times New Roman"/>
          <w:lang w:val="fr-CA"/>
        </w:rPr>
        <w:t>équité procédurale et, si oui, dans quelles circonstances. En 2014, l</w:t>
      </w:r>
      <w:r>
        <w:rPr>
          <w:rFonts w:cs="Times New Roman"/>
          <w:lang w:val="fr-CA"/>
        </w:rPr>
        <w:t>’</w:t>
      </w:r>
      <w:r w:rsidRPr="00B61490">
        <w:rPr>
          <w:rFonts w:cs="Times New Roman"/>
          <w:lang w:val="fr-CA"/>
        </w:rPr>
        <w:t xml:space="preserve">appelant, le </w:t>
      </w:r>
      <w:proofErr w:type="spellStart"/>
      <w:r w:rsidRPr="00B61490">
        <w:rPr>
          <w:rFonts w:cs="Times New Roman"/>
          <w:lang w:val="fr-CA"/>
        </w:rPr>
        <w:t>Judicial</w:t>
      </w:r>
      <w:proofErr w:type="spellEnd"/>
      <w:r w:rsidRPr="00B61490">
        <w:rPr>
          <w:rFonts w:cs="Times New Roman"/>
          <w:lang w:val="fr-CA"/>
        </w:rPr>
        <w:t xml:space="preserve"> </w:t>
      </w:r>
      <w:proofErr w:type="spellStart"/>
      <w:r w:rsidRPr="00B61490">
        <w:rPr>
          <w:rFonts w:cs="Times New Roman"/>
          <w:lang w:val="fr-CA"/>
        </w:rPr>
        <w:t>Committee</w:t>
      </w:r>
      <w:proofErr w:type="spellEnd"/>
      <w:r w:rsidRPr="00B61490">
        <w:rPr>
          <w:rFonts w:cs="Times New Roman"/>
          <w:lang w:val="fr-CA"/>
        </w:rPr>
        <w:t xml:space="preserve"> of the </w:t>
      </w:r>
      <w:proofErr w:type="spellStart"/>
      <w:r w:rsidRPr="00B61490">
        <w:rPr>
          <w:rFonts w:cs="Times New Roman"/>
          <w:lang w:val="fr-CA"/>
        </w:rPr>
        <w:t>Highwood</w:t>
      </w:r>
      <w:proofErr w:type="spellEnd"/>
      <w:r w:rsidRPr="00B61490">
        <w:rPr>
          <w:rFonts w:cs="Times New Roman"/>
          <w:lang w:val="fr-CA"/>
        </w:rPr>
        <w:t xml:space="preserve"> </w:t>
      </w:r>
      <w:proofErr w:type="spellStart"/>
      <w:r w:rsidRPr="00B61490">
        <w:rPr>
          <w:rFonts w:cs="Times New Roman"/>
          <w:lang w:val="fr-CA"/>
        </w:rPr>
        <w:t>Congregation</w:t>
      </w:r>
      <w:proofErr w:type="spellEnd"/>
      <w:r w:rsidRPr="00B61490">
        <w:rPr>
          <w:rFonts w:cs="Times New Roman"/>
          <w:lang w:val="fr-CA"/>
        </w:rPr>
        <w:t xml:space="preserve"> of </w:t>
      </w:r>
      <w:proofErr w:type="spellStart"/>
      <w:r w:rsidRPr="00B61490">
        <w:rPr>
          <w:rFonts w:cs="Times New Roman"/>
          <w:lang w:val="fr-CA"/>
        </w:rPr>
        <w:t>Jehovah</w:t>
      </w:r>
      <w:r>
        <w:rPr>
          <w:rFonts w:cs="Times New Roman"/>
          <w:lang w:val="fr-CA"/>
        </w:rPr>
        <w:t>’</w:t>
      </w:r>
      <w:r w:rsidRPr="00B61490">
        <w:rPr>
          <w:rFonts w:cs="Times New Roman"/>
          <w:lang w:val="fr-CA"/>
        </w:rPr>
        <w:t>s</w:t>
      </w:r>
      <w:proofErr w:type="spellEnd"/>
      <w:r w:rsidRPr="00B61490">
        <w:rPr>
          <w:rFonts w:cs="Times New Roman"/>
          <w:lang w:val="fr-CA"/>
        </w:rPr>
        <w:t xml:space="preserve"> </w:t>
      </w:r>
      <w:proofErr w:type="spellStart"/>
      <w:r w:rsidRPr="00B61490">
        <w:rPr>
          <w:rFonts w:cs="Times New Roman"/>
          <w:lang w:val="fr-CA"/>
        </w:rPr>
        <w:t>Witnesses</w:t>
      </w:r>
      <w:proofErr w:type="spellEnd"/>
      <w:r w:rsidRPr="00B61490">
        <w:rPr>
          <w:rFonts w:cs="Times New Roman"/>
          <w:lang w:val="fr-CA"/>
        </w:rPr>
        <w:t xml:space="preserve"> (« Comité de discipline religieuse »), a excommunié l</w:t>
      </w:r>
      <w:r>
        <w:rPr>
          <w:rFonts w:cs="Times New Roman"/>
          <w:lang w:val="fr-CA"/>
        </w:rPr>
        <w:t>’</w:t>
      </w:r>
      <w:r w:rsidRPr="00B61490">
        <w:rPr>
          <w:rFonts w:cs="Times New Roman"/>
          <w:lang w:val="fr-CA"/>
        </w:rPr>
        <w:t xml:space="preserve">intimé, Randy </w:t>
      </w:r>
      <w:r>
        <w:rPr>
          <w:rFonts w:cs="Times New Roman"/>
          <w:lang w:val="fr-CA"/>
        </w:rPr>
        <w:t>W</w:t>
      </w:r>
      <w:r w:rsidRPr="00B61490">
        <w:rPr>
          <w:rFonts w:cs="Times New Roman"/>
          <w:lang w:val="fr-CA"/>
        </w:rPr>
        <w:t>all, parce qu</w:t>
      </w:r>
      <w:r>
        <w:rPr>
          <w:rFonts w:cs="Times New Roman"/>
          <w:lang w:val="fr-CA"/>
        </w:rPr>
        <w:t>’</w:t>
      </w:r>
      <w:r w:rsidRPr="00B61490">
        <w:rPr>
          <w:rFonts w:cs="Times New Roman"/>
          <w:lang w:val="fr-CA"/>
        </w:rPr>
        <w:t>il avait admis avoir eu une conduite pécheresse et qu</w:t>
      </w:r>
      <w:r>
        <w:rPr>
          <w:rFonts w:cs="Times New Roman"/>
          <w:lang w:val="fr-CA"/>
        </w:rPr>
        <w:t>’</w:t>
      </w:r>
      <w:r w:rsidRPr="00B61490">
        <w:rPr>
          <w:rFonts w:cs="Times New Roman"/>
          <w:lang w:val="fr-CA"/>
        </w:rPr>
        <w:t>on avait estimé qu</w:t>
      </w:r>
      <w:r>
        <w:rPr>
          <w:rFonts w:cs="Times New Roman"/>
          <w:lang w:val="fr-CA"/>
        </w:rPr>
        <w:t>’</w:t>
      </w:r>
      <w:r w:rsidRPr="00B61490">
        <w:rPr>
          <w:rFonts w:cs="Times New Roman"/>
          <w:lang w:val="fr-CA"/>
        </w:rPr>
        <w:t>il n</w:t>
      </w:r>
      <w:r>
        <w:rPr>
          <w:rFonts w:cs="Times New Roman"/>
          <w:lang w:val="fr-CA"/>
        </w:rPr>
        <w:t>’</w:t>
      </w:r>
      <w:r w:rsidRPr="00B61490">
        <w:rPr>
          <w:rFonts w:cs="Times New Roman"/>
          <w:lang w:val="fr-CA"/>
        </w:rPr>
        <w:t>était pas suffisamment repentant. Un comité d</w:t>
      </w:r>
      <w:r>
        <w:rPr>
          <w:rFonts w:cs="Times New Roman"/>
          <w:lang w:val="fr-CA"/>
        </w:rPr>
        <w:t>’</w:t>
      </w:r>
      <w:r w:rsidRPr="00B61490">
        <w:rPr>
          <w:rFonts w:cs="Times New Roman"/>
          <w:lang w:val="fr-CA"/>
        </w:rPr>
        <w:t>appel a confirmé la décision du Comité de discipline religieuse. M. Wall a présenté à la Cour du Banc de la Reine de l</w:t>
      </w:r>
      <w:r>
        <w:rPr>
          <w:rFonts w:cs="Times New Roman"/>
          <w:lang w:val="fr-CA"/>
        </w:rPr>
        <w:t>’</w:t>
      </w:r>
      <w:r w:rsidRPr="00B61490">
        <w:rPr>
          <w:rFonts w:cs="Times New Roman"/>
          <w:lang w:val="fr-CA"/>
        </w:rPr>
        <w:t>Alberta une demande introductive d</w:t>
      </w:r>
      <w:r>
        <w:rPr>
          <w:rFonts w:cs="Times New Roman"/>
          <w:lang w:val="fr-CA"/>
        </w:rPr>
        <w:t>’</w:t>
      </w:r>
      <w:r w:rsidRPr="00B61490">
        <w:rPr>
          <w:rFonts w:cs="Times New Roman"/>
          <w:lang w:val="fr-CA"/>
        </w:rPr>
        <w:t xml:space="preserve">instance en </w:t>
      </w:r>
      <w:r w:rsidRPr="00B61490">
        <w:rPr>
          <w:rFonts w:cs="Times New Roman"/>
          <w:lang w:val="fr-CA"/>
        </w:rPr>
        <w:lastRenderedPageBreak/>
        <w:t>contrôle judiciaire visant la décision d</w:t>
      </w:r>
      <w:r>
        <w:rPr>
          <w:rFonts w:cs="Times New Roman"/>
          <w:lang w:val="fr-CA"/>
        </w:rPr>
        <w:t>’</w:t>
      </w:r>
      <w:r w:rsidRPr="00B61490">
        <w:rPr>
          <w:rFonts w:cs="Times New Roman"/>
          <w:lang w:val="fr-CA"/>
        </w:rPr>
        <w:t>excommunication dont il fait l</w:t>
      </w:r>
      <w:r>
        <w:rPr>
          <w:rFonts w:cs="Times New Roman"/>
          <w:lang w:val="fr-CA"/>
        </w:rPr>
        <w:t>’</w:t>
      </w:r>
      <w:r w:rsidRPr="00B61490">
        <w:rPr>
          <w:rFonts w:cs="Times New Roman"/>
          <w:lang w:val="fr-CA"/>
        </w:rPr>
        <w:t>objet. La cour s</w:t>
      </w:r>
      <w:r>
        <w:rPr>
          <w:rFonts w:cs="Times New Roman"/>
          <w:lang w:val="fr-CA"/>
        </w:rPr>
        <w:t>’</w:t>
      </w:r>
      <w:r w:rsidRPr="00B61490">
        <w:rPr>
          <w:rFonts w:cs="Times New Roman"/>
          <w:lang w:val="fr-CA"/>
        </w:rPr>
        <w:t>est d</w:t>
      </w:r>
      <w:r>
        <w:rPr>
          <w:rFonts w:cs="Times New Roman"/>
          <w:lang w:val="fr-CA"/>
        </w:rPr>
        <w:t>’</w:t>
      </w:r>
      <w:r w:rsidRPr="00B61490">
        <w:rPr>
          <w:rFonts w:cs="Times New Roman"/>
          <w:lang w:val="fr-CA"/>
        </w:rPr>
        <w:t>abord demandé si elle avait compétence pour trancher la question. Tant le juge en cabinet qui a examiné la demande que les juges majoritaires en Cour d</w:t>
      </w:r>
      <w:r>
        <w:rPr>
          <w:rFonts w:cs="Times New Roman"/>
          <w:lang w:val="fr-CA"/>
        </w:rPr>
        <w:t>’</w:t>
      </w:r>
      <w:r w:rsidRPr="00B61490">
        <w:rPr>
          <w:rFonts w:cs="Times New Roman"/>
          <w:lang w:val="fr-CA"/>
        </w:rPr>
        <w:t>appel ont conclu que les tribunaux avaient compétence et pouvaient statuer sur le fond de la demande de M. Wall.</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Pour les motifs qui suivent, je suis d</w:t>
      </w:r>
      <w:r>
        <w:rPr>
          <w:rFonts w:cs="Times New Roman"/>
          <w:lang w:val="fr-CA"/>
        </w:rPr>
        <w:t>’</w:t>
      </w:r>
      <w:r w:rsidRPr="00B61490">
        <w:rPr>
          <w:rFonts w:cs="Times New Roman"/>
          <w:lang w:val="fr-CA"/>
        </w:rPr>
        <w:t>avis d</w:t>
      </w:r>
      <w:r>
        <w:rPr>
          <w:rFonts w:cs="Times New Roman"/>
          <w:lang w:val="fr-CA"/>
        </w:rPr>
        <w:t>’</w:t>
      </w:r>
      <w:r w:rsidRPr="00B61490">
        <w:rPr>
          <w:rFonts w:cs="Times New Roman"/>
          <w:lang w:val="fr-CA"/>
        </w:rPr>
        <w:t>accueillir le pourvoi. M. Wall a demandé le contrôle de la décision du Comité de discipline religieuse, au motif que celle</w:t>
      </w:r>
      <w:r w:rsidRPr="00B61490">
        <w:rPr>
          <w:rFonts w:cs="Times New Roman"/>
          <w:lang w:val="fr-CA"/>
        </w:rPr>
        <w:noBreakHyphen/>
        <w:t>ci n</w:t>
      </w:r>
      <w:r>
        <w:rPr>
          <w:rFonts w:cs="Times New Roman"/>
          <w:lang w:val="fr-CA"/>
        </w:rPr>
        <w:t>’</w:t>
      </w:r>
      <w:r w:rsidRPr="00B61490">
        <w:rPr>
          <w:rFonts w:cs="Times New Roman"/>
          <w:lang w:val="fr-CA"/>
        </w:rPr>
        <w:t>était pas équitable sur le plan procédural. Cet argument ne saurait être retenu, et ce, pour plusieurs raisons. Premièrement, les procédures de contrôle judiciaire ne peuvent viser que les décisions des décideurs publics, et le Comité de discipline religieuse n</w:t>
      </w:r>
      <w:r>
        <w:rPr>
          <w:rFonts w:cs="Times New Roman"/>
          <w:lang w:val="fr-CA"/>
        </w:rPr>
        <w:t>’</w:t>
      </w:r>
      <w:r w:rsidRPr="00B61490">
        <w:rPr>
          <w:rFonts w:cs="Times New Roman"/>
          <w:lang w:val="fr-CA"/>
        </w:rPr>
        <w:t>est pas un tel décideur. Deuxièmement, il n</w:t>
      </w:r>
      <w:r>
        <w:rPr>
          <w:rFonts w:cs="Times New Roman"/>
          <w:lang w:val="fr-CA"/>
        </w:rPr>
        <w:t>’</w:t>
      </w:r>
      <w:r w:rsidRPr="00B61490">
        <w:rPr>
          <w:rFonts w:cs="Times New Roman"/>
          <w:lang w:val="fr-CA"/>
        </w:rPr>
        <w:t>existe pas de droit autonome permettant de solliciter le contrôle de telles décisions pour des raisons fondées sur l</w:t>
      </w:r>
      <w:r>
        <w:rPr>
          <w:rFonts w:cs="Times New Roman"/>
          <w:lang w:val="fr-CA"/>
        </w:rPr>
        <w:t>’</w:t>
      </w:r>
      <w:r w:rsidRPr="00B61490">
        <w:rPr>
          <w:rFonts w:cs="Times New Roman"/>
          <w:lang w:val="fr-CA"/>
        </w:rPr>
        <w:t>équité procédurale. Compte tenu de ce qui précède, M. Wall ne dispose d</w:t>
      </w:r>
      <w:r>
        <w:rPr>
          <w:rFonts w:cs="Times New Roman"/>
          <w:lang w:val="fr-CA"/>
        </w:rPr>
        <w:t>’</w:t>
      </w:r>
      <w:r w:rsidRPr="00B61490">
        <w:rPr>
          <w:rFonts w:cs="Times New Roman"/>
          <w:lang w:val="fr-CA"/>
        </w:rPr>
        <w:t>aucune cause d</w:t>
      </w:r>
      <w:r>
        <w:rPr>
          <w:rFonts w:cs="Times New Roman"/>
          <w:lang w:val="fr-CA"/>
        </w:rPr>
        <w:t>’</w:t>
      </w:r>
      <w:r w:rsidRPr="00B61490">
        <w:rPr>
          <w:rFonts w:cs="Times New Roman"/>
          <w:lang w:val="fr-CA"/>
        </w:rPr>
        <w:t>action et, en conséquence, la Cour du Banc de la Reine n</w:t>
      </w:r>
      <w:r>
        <w:rPr>
          <w:rFonts w:cs="Times New Roman"/>
          <w:lang w:val="fr-CA"/>
        </w:rPr>
        <w:t>’</w:t>
      </w:r>
      <w:r w:rsidRPr="00B61490">
        <w:rPr>
          <w:rFonts w:cs="Times New Roman"/>
          <w:lang w:val="fr-CA"/>
        </w:rPr>
        <w:t>avait pas compétence pour écarter la décision d</w:t>
      </w:r>
      <w:r>
        <w:rPr>
          <w:rFonts w:cs="Times New Roman"/>
          <w:lang w:val="fr-CA"/>
        </w:rPr>
        <w:t>’</w:t>
      </w:r>
      <w:r w:rsidRPr="00B61490">
        <w:rPr>
          <w:rFonts w:cs="Times New Roman"/>
          <w:lang w:val="fr-CA"/>
        </w:rPr>
        <w:t xml:space="preserve">excommunication prononcée par le Comité de discipline religieuse. Enfin, les questions ecclésiastiques soulevées par M. Wall ne sont pas justiciables. </w:t>
      </w:r>
    </w:p>
    <w:p w:rsidR="006A3C1C" w:rsidRPr="00B61490" w:rsidRDefault="006A3C1C" w:rsidP="00566B15">
      <w:pPr>
        <w:pStyle w:val="Title1LevelTitre1Niveau-AltL"/>
        <w:widowControl w:val="0"/>
        <w:numPr>
          <w:ilvl w:val="0"/>
          <w:numId w:val="8"/>
        </w:numPr>
        <w:jc w:val="left"/>
        <w:rPr>
          <w:rFonts w:cs="Times New Roman"/>
          <w:lang w:val="fr-CA"/>
        </w:rPr>
      </w:pPr>
      <w:r w:rsidRPr="00B61490">
        <w:rPr>
          <w:rFonts w:cs="Times New Roman"/>
          <w:lang w:val="fr-CA"/>
        </w:rPr>
        <w:t>Faits et historique judiciaire</w:t>
      </w:r>
    </w:p>
    <w:p w:rsidR="006A3C1C" w:rsidRPr="00B61490" w:rsidRDefault="006A3C1C" w:rsidP="00566B15">
      <w:pPr>
        <w:pStyle w:val="ParaNoNdepar-AltN"/>
        <w:widowControl w:val="0"/>
        <w:rPr>
          <w:rFonts w:cs="Times New Roman"/>
          <w:lang w:val="fr-CA"/>
        </w:rPr>
      </w:pPr>
      <w:r w:rsidRPr="00B61490">
        <w:rPr>
          <w:rFonts w:cs="Times New Roman"/>
          <w:lang w:val="fr-CA"/>
        </w:rPr>
        <w:t xml:space="preserve">La </w:t>
      </w:r>
      <w:proofErr w:type="spellStart"/>
      <w:r w:rsidRPr="00B61490">
        <w:rPr>
          <w:rFonts w:cs="Times New Roman"/>
          <w:lang w:val="fr-CA"/>
        </w:rPr>
        <w:t>Highwood</w:t>
      </w:r>
      <w:proofErr w:type="spellEnd"/>
      <w:r w:rsidRPr="00B61490">
        <w:rPr>
          <w:rFonts w:cs="Times New Roman"/>
          <w:lang w:val="fr-CA"/>
        </w:rPr>
        <w:t xml:space="preserve"> </w:t>
      </w:r>
      <w:proofErr w:type="spellStart"/>
      <w:r w:rsidRPr="00B61490">
        <w:rPr>
          <w:rFonts w:cs="Times New Roman"/>
          <w:lang w:val="fr-CA"/>
        </w:rPr>
        <w:t>Congregation</w:t>
      </w:r>
      <w:proofErr w:type="spellEnd"/>
      <w:r w:rsidRPr="00B61490">
        <w:rPr>
          <w:rFonts w:cs="Times New Roman"/>
          <w:lang w:val="fr-CA"/>
        </w:rPr>
        <w:t xml:space="preserve"> of </w:t>
      </w:r>
      <w:proofErr w:type="spellStart"/>
      <w:r w:rsidRPr="00B61490">
        <w:rPr>
          <w:rFonts w:cs="Times New Roman"/>
          <w:lang w:val="fr-CA"/>
        </w:rPr>
        <w:t>Jehovah</w:t>
      </w:r>
      <w:r>
        <w:rPr>
          <w:rFonts w:cs="Times New Roman"/>
          <w:lang w:val="fr-CA"/>
        </w:rPr>
        <w:t>’</w:t>
      </w:r>
      <w:r w:rsidRPr="00B61490">
        <w:rPr>
          <w:rFonts w:cs="Times New Roman"/>
          <w:lang w:val="fr-CA"/>
        </w:rPr>
        <w:t>s</w:t>
      </w:r>
      <w:proofErr w:type="spellEnd"/>
      <w:r w:rsidRPr="00B61490">
        <w:rPr>
          <w:rFonts w:cs="Times New Roman"/>
          <w:lang w:val="fr-CA"/>
        </w:rPr>
        <w:t xml:space="preserve"> </w:t>
      </w:r>
      <w:proofErr w:type="spellStart"/>
      <w:r w:rsidRPr="00B61490">
        <w:rPr>
          <w:rFonts w:cs="Times New Roman"/>
          <w:lang w:val="fr-CA"/>
        </w:rPr>
        <w:t>Witnesses</w:t>
      </w:r>
      <w:proofErr w:type="spellEnd"/>
      <w:r w:rsidRPr="00B61490">
        <w:rPr>
          <w:rFonts w:cs="Times New Roman"/>
          <w:lang w:val="fr-CA"/>
        </w:rPr>
        <w:t xml:space="preserve"> (« Congrégation ») est une association qui compte environ cent Témoins de Jéhovah résidant à Calgary, en Alberta. Elle est une association volontaire. Elle n</w:t>
      </w:r>
      <w:r>
        <w:rPr>
          <w:rFonts w:cs="Times New Roman"/>
          <w:lang w:val="fr-CA"/>
        </w:rPr>
        <w:t>’</w:t>
      </w:r>
      <w:r w:rsidRPr="00B61490">
        <w:rPr>
          <w:rFonts w:cs="Times New Roman"/>
          <w:lang w:val="fr-CA"/>
        </w:rPr>
        <w:t xml:space="preserve">est pas constituée en personne </w:t>
      </w:r>
      <w:r w:rsidRPr="00B61490">
        <w:rPr>
          <w:rFonts w:cs="Times New Roman"/>
          <w:lang w:val="fr-CA"/>
        </w:rPr>
        <w:lastRenderedPageBreak/>
        <w:t>morale et elle ne possède ni statut constitutif ni règlement administratif. Son existence ne repose sur aucune loi et elle n</w:t>
      </w:r>
      <w:r>
        <w:rPr>
          <w:rFonts w:cs="Times New Roman"/>
          <w:lang w:val="fr-CA"/>
        </w:rPr>
        <w:t>’</w:t>
      </w:r>
      <w:r w:rsidRPr="00B61490">
        <w:rPr>
          <w:rFonts w:cs="Times New Roman"/>
          <w:lang w:val="fr-CA"/>
        </w:rPr>
        <w:t>est propriétaire d</w:t>
      </w:r>
      <w:r>
        <w:rPr>
          <w:rFonts w:cs="Times New Roman"/>
          <w:lang w:val="fr-CA"/>
        </w:rPr>
        <w:t>’</w:t>
      </w:r>
      <w:r w:rsidRPr="00B61490">
        <w:rPr>
          <w:rFonts w:cs="Times New Roman"/>
          <w:lang w:val="fr-CA"/>
        </w:rPr>
        <w:t>aucun immeuble. Aucun membre de la Congrégation ne reçoit de salaire ou d</w:t>
      </w:r>
      <w:r>
        <w:rPr>
          <w:rFonts w:cs="Times New Roman"/>
          <w:lang w:val="fr-CA"/>
        </w:rPr>
        <w:t>’</w:t>
      </w:r>
      <w:r w:rsidRPr="00B61490">
        <w:rPr>
          <w:rFonts w:cs="Times New Roman"/>
          <w:lang w:val="fr-CA"/>
        </w:rPr>
        <w:t>avantage pécuniaire en raison de son appartenance à celle</w:t>
      </w:r>
      <w:r w:rsidRPr="00B61490">
        <w:rPr>
          <w:rFonts w:cs="Times New Roman"/>
          <w:lang w:val="fr-CA"/>
        </w:rPr>
        <w:noBreakHyphen/>
        <w:t>ci. Les activités et l</w:t>
      </w:r>
      <w:r>
        <w:rPr>
          <w:rFonts w:cs="Times New Roman"/>
          <w:lang w:val="fr-CA"/>
        </w:rPr>
        <w:t>’</w:t>
      </w:r>
      <w:r w:rsidRPr="00B61490">
        <w:rPr>
          <w:rFonts w:cs="Times New Roman"/>
          <w:lang w:val="fr-CA"/>
        </w:rPr>
        <w:t>accompagnement spirituel offerts par la Congrégation le sont sur une base bénévole, par un groupe d</w:t>
      </w:r>
      <w:r>
        <w:rPr>
          <w:rFonts w:cs="Times New Roman"/>
          <w:lang w:val="fr-CA"/>
        </w:rPr>
        <w:t>’</w:t>
      </w:r>
      <w:r w:rsidRPr="00B61490">
        <w:rPr>
          <w:rFonts w:cs="Times New Roman"/>
          <w:lang w:val="fr-CA"/>
        </w:rPr>
        <w:t xml:space="preserve">anciens. </w:t>
      </w:r>
    </w:p>
    <w:p w:rsidR="006A3C1C" w:rsidRPr="00B61490" w:rsidRDefault="006A3C1C" w:rsidP="00566B15">
      <w:pPr>
        <w:pStyle w:val="ParaNoNdepar-AltN"/>
        <w:widowControl w:val="0"/>
        <w:rPr>
          <w:rFonts w:cs="Times New Roman"/>
          <w:lang w:val="fr-CA"/>
        </w:rPr>
      </w:pPr>
      <w:r w:rsidRPr="00B61490">
        <w:rPr>
          <w:rFonts w:cs="Times New Roman"/>
          <w:lang w:val="fr-CA"/>
        </w:rPr>
        <w:t>Quiconque souhaite adhérer à la Congrégation doit être baptisé et convaincre les anciens qu</w:t>
      </w:r>
      <w:r>
        <w:rPr>
          <w:rFonts w:cs="Times New Roman"/>
          <w:lang w:val="fr-CA"/>
        </w:rPr>
        <w:t>’</w:t>
      </w:r>
      <w:r w:rsidRPr="00B61490">
        <w:rPr>
          <w:rFonts w:cs="Times New Roman"/>
          <w:lang w:val="fr-CA"/>
        </w:rPr>
        <w:t>il comprend suffisamment les enseignements pertinents des Saintes Écritures et qu</w:t>
      </w:r>
      <w:r>
        <w:rPr>
          <w:rFonts w:cs="Times New Roman"/>
          <w:lang w:val="fr-CA"/>
        </w:rPr>
        <w:t>’</w:t>
      </w:r>
      <w:r w:rsidRPr="00B61490">
        <w:rPr>
          <w:rFonts w:cs="Times New Roman"/>
          <w:lang w:val="fr-CA"/>
        </w:rPr>
        <w:t>il vit selon des normes de conduite et de morale reconnues. Lorsqu</w:t>
      </w:r>
      <w:r>
        <w:rPr>
          <w:rFonts w:cs="Times New Roman"/>
          <w:lang w:val="fr-CA"/>
        </w:rPr>
        <w:t>’</w:t>
      </w:r>
      <w:r w:rsidRPr="00B61490">
        <w:rPr>
          <w:rFonts w:cs="Times New Roman"/>
          <w:lang w:val="fr-CA"/>
        </w:rPr>
        <w:t>un membre s</w:t>
      </w:r>
      <w:r>
        <w:rPr>
          <w:rFonts w:cs="Times New Roman"/>
          <w:lang w:val="fr-CA"/>
        </w:rPr>
        <w:t>’</w:t>
      </w:r>
      <w:r w:rsidRPr="00B61490">
        <w:rPr>
          <w:rFonts w:cs="Times New Roman"/>
          <w:lang w:val="fr-CA"/>
        </w:rPr>
        <w:t>écarte des normes prévues dans ces Écritures, les anciens rencontrent le membre et l</w:t>
      </w:r>
      <w:r>
        <w:rPr>
          <w:rFonts w:cs="Times New Roman"/>
          <w:lang w:val="fr-CA"/>
        </w:rPr>
        <w:t>’</w:t>
      </w:r>
      <w:r w:rsidRPr="00B61490">
        <w:rPr>
          <w:rFonts w:cs="Times New Roman"/>
          <w:lang w:val="fr-CA"/>
        </w:rPr>
        <w:t>encouragent à faire acte de repentance. S</w:t>
      </w:r>
      <w:r>
        <w:rPr>
          <w:rFonts w:cs="Times New Roman"/>
          <w:lang w:val="fr-CA"/>
        </w:rPr>
        <w:t>’</w:t>
      </w:r>
      <w:r w:rsidRPr="00B61490">
        <w:rPr>
          <w:rFonts w:cs="Times New Roman"/>
          <w:lang w:val="fr-CA"/>
        </w:rPr>
        <w:t>il ne corrige pas son comportement, il est convoqué devant un comité formé d</w:t>
      </w:r>
      <w:r>
        <w:rPr>
          <w:rFonts w:cs="Times New Roman"/>
          <w:lang w:val="fr-CA"/>
        </w:rPr>
        <w:t>’</w:t>
      </w:r>
      <w:r w:rsidRPr="00B61490">
        <w:rPr>
          <w:rFonts w:cs="Times New Roman"/>
          <w:lang w:val="fr-CA"/>
        </w:rPr>
        <w:t>au moins trois anciens de la Congrégation.</w:t>
      </w:r>
    </w:p>
    <w:p w:rsidR="006A3C1C" w:rsidRPr="00B61490" w:rsidRDefault="006A3C1C" w:rsidP="00566B15">
      <w:pPr>
        <w:pStyle w:val="ParaNoNdepar-AltN"/>
        <w:widowControl w:val="0"/>
        <w:rPr>
          <w:rFonts w:cs="Times New Roman"/>
          <w:lang w:val="fr-CA"/>
        </w:rPr>
      </w:pPr>
      <w:bookmarkStart w:id="1" w:name="_Toc504655774"/>
      <w:r w:rsidRPr="00B61490">
        <w:rPr>
          <w:rFonts w:cs="Times New Roman"/>
          <w:lang w:val="fr-CA"/>
        </w:rPr>
        <w:t>Les procédures de ce comité n</w:t>
      </w:r>
      <w:r>
        <w:rPr>
          <w:rFonts w:cs="Times New Roman"/>
          <w:lang w:val="fr-CA"/>
        </w:rPr>
        <w:t>’</w:t>
      </w:r>
      <w:r w:rsidRPr="00B61490">
        <w:rPr>
          <w:rFonts w:cs="Times New Roman"/>
          <w:lang w:val="fr-CA"/>
        </w:rPr>
        <w:t>ont pas un caractère contradictoire, mais visent plutôt la réintégration du membre dans la Congrégation. Dans les cas où les anciens estiment que le membre ne manifeste pas un repentir sincère à l</w:t>
      </w:r>
      <w:r>
        <w:rPr>
          <w:rFonts w:cs="Times New Roman"/>
          <w:lang w:val="fr-CA"/>
        </w:rPr>
        <w:t>’</w:t>
      </w:r>
      <w:r w:rsidRPr="00B61490">
        <w:rPr>
          <w:rFonts w:cs="Times New Roman"/>
          <w:lang w:val="fr-CA"/>
        </w:rPr>
        <w:t>égard de ses péchés, ce dernier est « excommunié » de la Congrégation. Les membres excommuniés peuvent continuer d</w:t>
      </w:r>
      <w:r>
        <w:rPr>
          <w:rFonts w:cs="Times New Roman"/>
          <w:lang w:val="fr-CA"/>
        </w:rPr>
        <w:t>’</w:t>
      </w:r>
      <w:r w:rsidRPr="00B61490">
        <w:rPr>
          <w:rFonts w:cs="Times New Roman"/>
          <w:lang w:val="fr-CA"/>
        </w:rPr>
        <w:t>assister aux rassemblements de la Congrégation, mais, au sein de celle</w:t>
      </w:r>
      <w:r w:rsidRPr="00B61490">
        <w:rPr>
          <w:rFonts w:cs="Times New Roman"/>
          <w:lang w:val="fr-CA"/>
        </w:rPr>
        <w:noBreakHyphen/>
        <w:t>ci, ils ne peuvent parler qu</w:t>
      </w:r>
      <w:r>
        <w:rPr>
          <w:rFonts w:cs="Times New Roman"/>
          <w:lang w:val="fr-CA"/>
        </w:rPr>
        <w:t>’</w:t>
      </w:r>
      <w:r w:rsidRPr="00B61490">
        <w:rPr>
          <w:rFonts w:cs="Times New Roman"/>
          <w:lang w:val="fr-CA"/>
        </w:rPr>
        <w:t>aux membres de leur famille proche, et leurs discussions doivent se limiter à des questions non spirituelles.</w:t>
      </w:r>
    </w:p>
    <w:p w:rsidR="006A3C1C" w:rsidRPr="00B61490" w:rsidRDefault="006A3C1C" w:rsidP="00566B15">
      <w:pPr>
        <w:pStyle w:val="ParaNoNdepar-AltN"/>
        <w:widowControl w:val="0"/>
        <w:rPr>
          <w:rFonts w:cs="Times New Roman"/>
          <w:lang w:val="fr-CA"/>
        </w:rPr>
      </w:pPr>
      <w:r w:rsidRPr="00B61490">
        <w:rPr>
          <w:rFonts w:cs="Times New Roman"/>
          <w:lang w:val="fr-CA"/>
        </w:rPr>
        <w:t>M. Wall a adhéré à la Congrégation en 1980, et il en est demeuré membre jusqu</w:t>
      </w:r>
      <w:r>
        <w:rPr>
          <w:rFonts w:cs="Times New Roman"/>
          <w:lang w:val="fr-CA"/>
        </w:rPr>
        <w:t>’</w:t>
      </w:r>
      <w:r w:rsidRPr="00B61490">
        <w:rPr>
          <w:rFonts w:cs="Times New Roman"/>
          <w:lang w:val="fr-CA"/>
        </w:rPr>
        <w:t>à son excommunication par le Comité de discipline religieuse.</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lastRenderedPageBreak/>
        <w:t>M. Wall a interjeté appel sans succès de la décision du Comité de discipline religieuse devant les anciens des congrégations voisines (Comité d</w:t>
      </w:r>
      <w:r>
        <w:rPr>
          <w:rFonts w:cs="Times New Roman"/>
          <w:lang w:val="fr-CA"/>
        </w:rPr>
        <w:t>’</w:t>
      </w:r>
      <w:r w:rsidRPr="00B61490">
        <w:rPr>
          <w:rFonts w:cs="Times New Roman"/>
          <w:lang w:val="fr-CA"/>
        </w:rPr>
        <w:t>appel), ainsi que la Tour de Garde Société de Bibles et de Tracts du Canada. Après que la Congrégation a été informée que l</w:t>
      </w:r>
      <w:r>
        <w:rPr>
          <w:rFonts w:cs="Times New Roman"/>
          <w:lang w:val="fr-CA"/>
        </w:rPr>
        <w:t>’</w:t>
      </w:r>
      <w:r w:rsidRPr="00B61490">
        <w:rPr>
          <w:rFonts w:cs="Times New Roman"/>
          <w:lang w:val="fr-CA"/>
        </w:rPr>
        <w:t>excommunication était confirmée, M. Wall a présenté, en vertu de l</w:t>
      </w:r>
      <w:r>
        <w:rPr>
          <w:rFonts w:cs="Times New Roman"/>
          <w:lang w:val="fr-CA"/>
        </w:rPr>
        <w:t>’</w:t>
      </w:r>
      <w:r w:rsidRPr="00B61490">
        <w:rPr>
          <w:rFonts w:cs="Times New Roman"/>
          <w:lang w:val="fr-CA"/>
        </w:rPr>
        <w:t xml:space="preserve">art. 3.15 des </w:t>
      </w:r>
      <w:r w:rsidRPr="00B61490">
        <w:rPr>
          <w:rFonts w:cs="Times New Roman"/>
          <w:i/>
          <w:lang w:val="fr-CA"/>
        </w:rPr>
        <w:t xml:space="preserve">Alberta </w:t>
      </w:r>
      <w:proofErr w:type="spellStart"/>
      <w:r w:rsidRPr="00B61490">
        <w:rPr>
          <w:rFonts w:cs="Times New Roman"/>
          <w:i/>
          <w:lang w:val="fr-CA"/>
        </w:rPr>
        <w:t>Rules</w:t>
      </w:r>
      <w:proofErr w:type="spellEnd"/>
      <w:r w:rsidRPr="00B61490">
        <w:rPr>
          <w:rFonts w:cs="Times New Roman"/>
          <w:i/>
          <w:lang w:val="fr-CA"/>
        </w:rPr>
        <w:t xml:space="preserve"> of Court</w:t>
      </w:r>
      <w:r w:rsidRPr="00B61490">
        <w:rPr>
          <w:rFonts w:cs="Times New Roman"/>
          <w:lang w:val="fr-CA"/>
        </w:rPr>
        <w:t>, Alta. Reg. 124/2010, une demande introductive d</w:t>
      </w:r>
      <w:r>
        <w:rPr>
          <w:rFonts w:cs="Times New Roman"/>
          <w:lang w:val="fr-CA"/>
        </w:rPr>
        <w:t>’</w:t>
      </w:r>
      <w:r w:rsidRPr="00B61490">
        <w:rPr>
          <w:rFonts w:cs="Times New Roman"/>
          <w:lang w:val="fr-CA"/>
        </w:rPr>
        <w:t>instance en contrôle judiciaire sollicitant l</w:t>
      </w:r>
      <w:r>
        <w:rPr>
          <w:rFonts w:cs="Times New Roman"/>
          <w:lang w:val="fr-CA"/>
        </w:rPr>
        <w:t>’</w:t>
      </w:r>
      <w:r w:rsidRPr="00B61490">
        <w:rPr>
          <w:rFonts w:cs="Times New Roman"/>
          <w:lang w:val="fr-CA"/>
        </w:rPr>
        <w:t>annulation de la décision du Comité de discipline religieuse au moyen d</w:t>
      </w:r>
      <w:r>
        <w:rPr>
          <w:rFonts w:cs="Times New Roman"/>
          <w:lang w:val="fr-CA"/>
        </w:rPr>
        <w:t>’</w:t>
      </w:r>
      <w:r w:rsidRPr="00B61490">
        <w:rPr>
          <w:rFonts w:cs="Times New Roman"/>
          <w:lang w:val="fr-CA"/>
        </w:rPr>
        <w:t xml:space="preserve">une ordonnance de </w:t>
      </w:r>
      <w:proofErr w:type="spellStart"/>
      <w:r w:rsidRPr="00B61490">
        <w:rPr>
          <w:rFonts w:cs="Times New Roman"/>
          <w:i/>
          <w:lang w:val="fr-CA"/>
        </w:rPr>
        <w:t>certiorari</w:t>
      </w:r>
      <w:proofErr w:type="spellEnd"/>
      <w:r w:rsidRPr="00B61490">
        <w:rPr>
          <w:rFonts w:cs="Times New Roman"/>
          <w:lang w:val="fr-CA"/>
        </w:rPr>
        <w:t>. Dans sa demande, M. Wall prétendait que le Comité de discipline religieuse avait violé les principes de justice naturelle et l</w:t>
      </w:r>
      <w:r>
        <w:rPr>
          <w:rFonts w:cs="Times New Roman"/>
          <w:lang w:val="fr-CA"/>
        </w:rPr>
        <w:t>’</w:t>
      </w:r>
      <w:r w:rsidRPr="00B61490">
        <w:rPr>
          <w:rFonts w:cs="Times New Roman"/>
          <w:lang w:val="fr-CA"/>
        </w:rPr>
        <w:t>obligation d</w:t>
      </w:r>
      <w:r>
        <w:rPr>
          <w:rFonts w:cs="Times New Roman"/>
          <w:lang w:val="fr-CA"/>
        </w:rPr>
        <w:t>’</w:t>
      </w:r>
      <w:r w:rsidRPr="00B61490">
        <w:rPr>
          <w:rFonts w:cs="Times New Roman"/>
          <w:lang w:val="fr-CA"/>
        </w:rPr>
        <w:t>équité qui lui incombaient, et que la décision de l</w:t>
      </w:r>
      <w:r>
        <w:rPr>
          <w:rFonts w:cs="Times New Roman"/>
          <w:lang w:val="fr-CA"/>
        </w:rPr>
        <w:t>’</w:t>
      </w:r>
      <w:r w:rsidRPr="00B61490">
        <w:rPr>
          <w:rFonts w:cs="Times New Roman"/>
          <w:lang w:val="fr-CA"/>
        </w:rPr>
        <w:t>excommunier avait nui à ses activités de courtier immobilier, étant donné que ses clients Témoins de Jéhovah refusaient de faire appel à ses services.</w:t>
      </w:r>
    </w:p>
    <w:p w:rsidR="006A3C1C" w:rsidRPr="00B61490" w:rsidRDefault="006A3C1C" w:rsidP="00566B15">
      <w:pPr>
        <w:pStyle w:val="ParaNoNdepar-AltN"/>
        <w:widowControl w:val="0"/>
        <w:rPr>
          <w:rFonts w:cs="Times New Roman"/>
          <w:lang w:val="fr-CA"/>
        </w:rPr>
      </w:pPr>
      <w:r w:rsidRPr="00B61490">
        <w:rPr>
          <w:rFonts w:cs="Times New Roman"/>
          <w:lang w:val="fr-CA"/>
        </w:rPr>
        <w:t>La Cour du Banc de la Reine a tenu une première audience pour décider si elle avait compétence. Le juge en cabinet a conclu que la cour avait effectivement compétence, puisque la décision du Comité de discipline religieuse était susceptible d</w:t>
      </w:r>
      <w:r>
        <w:rPr>
          <w:rFonts w:cs="Times New Roman"/>
          <w:lang w:val="fr-CA"/>
        </w:rPr>
        <w:t>’</w:t>
      </w:r>
      <w:r w:rsidRPr="00B61490">
        <w:rPr>
          <w:rFonts w:cs="Times New Roman"/>
          <w:lang w:val="fr-CA"/>
        </w:rPr>
        <w:t xml:space="preserve">avoir porté atteinte aux droits civils de M. Wall : </w:t>
      </w:r>
      <w:r w:rsidR="00207003">
        <w:rPr>
          <w:rFonts w:cs="Times New Roman"/>
          <w:lang w:val="fr-CA"/>
        </w:rPr>
        <w:t>d</w:t>
      </w:r>
      <w:r w:rsidRPr="00B61490">
        <w:rPr>
          <w:rFonts w:cs="Times New Roman"/>
          <w:lang w:val="fr-CA"/>
        </w:rPr>
        <w:t>ossier n</w:t>
      </w:r>
      <w:r w:rsidRPr="00B61490">
        <w:rPr>
          <w:rFonts w:cs="Times New Roman"/>
          <w:vertAlign w:val="superscript"/>
          <w:lang w:val="fr-CA"/>
        </w:rPr>
        <w:t>o</w:t>
      </w:r>
      <w:r w:rsidRPr="00B61490">
        <w:rPr>
          <w:rFonts w:cs="Times New Roman"/>
          <w:lang w:val="fr-CA"/>
        </w:rPr>
        <w:t xml:space="preserve"> 1401</w:t>
      </w:r>
      <w:r w:rsidRPr="00B61490">
        <w:rPr>
          <w:rFonts w:cs="Times New Roman"/>
          <w:lang w:val="fr-CA"/>
        </w:rPr>
        <w:noBreakHyphen/>
      </w:r>
      <w:r>
        <w:rPr>
          <w:rFonts w:cs="Times New Roman"/>
          <w:lang w:val="fr-CA"/>
        </w:rPr>
        <w:t>10225, 16 </w:t>
      </w:r>
      <w:r w:rsidRPr="00B61490">
        <w:rPr>
          <w:rFonts w:cs="Times New Roman"/>
          <w:lang w:val="fr-CA"/>
        </w:rPr>
        <w:t xml:space="preserve">avril 2015. Le juge a également indiqué que des experts pourraient témoigner sur la façon dont les Témoins de Jéhovah interprètent les Saintes Écritures chrétiennes pour déterminer ce qui </w:t>
      </w:r>
      <w:r>
        <w:rPr>
          <w:rFonts w:cs="Times New Roman"/>
          <w:lang w:val="fr-CA"/>
        </w:rPr>
        <w:t>constitue un péché</w:t>
      </w:r>
      <w:r w:rsidRPr="00B61490">
        <w:rPr>
          <w:rFonts w:cs="Times New Roman"/>
          <w:lang w:val="fr-CA"/>
        </w:rPr>
        <w:t>, ainsi que sur les critères, tirés de ces Écritures, sur lesquels se fondent les anciens pour juger si une personne qui a commis un péché s</w:t>
      </w:r>
      <w:r>
        <w:rPr>
          <w:rFonts w:cs="Times New Roman"/>
          <w:lang w:val="fr-CA"/>
        </w:rPr>
        <w:t>’</w:t>
      </w:r>
      <w:r w:rsidRPr="00B61490">
        <w:rPr>
          <w:rFonts w:cs="Times New Roman"/>
          <w:lang w:val="fr-CA"/>
        </w:rPr>
        <w:t xml:space="preserve">en est suffisamment repentie. </w:t>
      </w:r>
    </w:p>
    <w:p w:rsidR="006A3C1C" w:rsidRPr="00B61490" w:rsidRDefault="006A3C1C" w:rsidP="00566B15">
      <w:pPr>
        <w:pStyle w:val="ParaNoNdepar-AltN"/>
        <w:widowControl w:val="0"/>
        <w:rPr>
          <w:rFonts w:cs="Times New Roman"/>
          <w:lang w:val="fr-CA"/>
        </w:rPr>
      </w:pPr>
      <w:r w:rsidRPr="00B61490">
        <w:rPr>
          <w:rFonts w:cs="Times New Roman"/>
          <w:lang w:val="fr-CA"/>
        </w:rPr>
        <w:t>La Cour d</w:t>
      </w:r>
      <w:r>
        <w:rPr>
          <w:rFonts w:cs="Times New Roman"/>
          <w:lang w:val="fr-CA"/>
        </w:rPr>
        <w:t>’</w:t>
      </w:r>
      <w:r w:rsidRPr="00B61490">
        <w:rPr>
          <w:rFonts w:cs="Times New Roman"/>
          <w:lang w:val="fr-CA"/>
        </w:rPr>
        <w:t>appel de l</w:t>
      </w:r>
      <w:r>
        <w:rPr>
          <w:rFonts w:cs="Times New Roman"/>
          <w:lang w:val="fr-CA"/>
        </w:rPr>
        <w:t>’</w:t>
      </w:r>
      <w:r w:rsidRPr="00B61490">
        <w:rPr>
          <w:rFonts w:cs="Times New Roman"/>
          <w:lang w:val="fr-CA"/>
        </w:rPr>
        <w:t>Alberta a rejeté, à la majorité, l</w:t>
      </w:r>
      <w:r>
        <w:rPr>
          <w:rFonts w:cs="Times New Roman"/>
          <w:lang w:val="fr-CA"/>
        </w:rPr>
        <w:t>’</w:t>
      </w:r>
      <w:r w:rsidRPr="00B61490">
        <w:rPr>
          <w:rFonts w:cs="Times New Roman"/>
          <w:lang w:val="fr-CA"/>
        </w:rPr>
        <w:t xml:space="preserve">appel de la </w:t>
      </w:r>
      <w:r w:rsidRPr="00B61490">
        <w:rPr>
          <w:rFonts w:cs="Times New Roman"/>
          <w:lang w:val="fr-CA"/>
        </w:rPr>
        <w:lastRenderedPageBreak/>
        <w:t>Congrégation et confirmé que la Cour du Banc de la Reine pouvait entendre la demande introductive de contrôle judiciaire de M. Wall : 2016 ABCA 255, 43 Alta. L.R. (6th) 33. Les juges majoritaires ont conclu que les tribunaux peuvent intervenir à l</w:t>
      </w:r>
      <w:r>
        <w:rPr>
          <w:rFonts w:cs="Times New Roman"/>
          <w:lang w:val="fr-CA"/>
        </w:rPr>
        <w:t>’</w:t>
      </w:r>
      <w:r w:rsidRPr="00B61490">
        <w:rPr>
          <w:rFonts w:cs="Times New Roman"/>
          <w:lang w:val="fr-CA"/>
        </w:rPr>
        <w:t>égard des décisions prises par les organisations volontaires en matière d</w:t>
      </w:r>
      <w:r>
        <w:rPr>
          <w:rFonts w:cs="Times New Roman"/>
          <w:lang w:val="fr-CA"/>
        </w:rPr>
        <w:t>’</w:t>
      </w:r>
      <w:r w:rsidRPr="00B61490">
        <w:rPr>
          <w:rFonts w:cs="Times New Roman"/>
          <w:lang w:val="fr-CA"/>
        </w:rPr>
        <w:t>adhésion lorsque des droits de propriété ou des droits civils sont en jeu. Ils ont également conclu que les tribunaux peuvent intervenir à l</w:t>
      </w:r>
      <w:r>
        <w:rPr>
          <w:rFonts w:cs="Times New Roman"/>
          <w:lang w:val="fr-CA"/>
        </w:rPr>
        <w:t>’</w:t>
      </w:r>
      <w:r w:rsidRPr="00B61490">
        <w:rPr>
          <w:rFonts w:cs="Times New Roman"/>
          <w:lang w:val="fr-CA"/>
        </w:rPr>
        <w:t>égard des décisions de ces organisations, et ce, même si de tels droits ne sont pas en jeu, dans les cas où la plainte reproche la violation de principes de justice naturelle ou dans ceux où le plaignant a épuisé les processus internes de règlement des différends.</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Le juge dissident aurait accueilli l</w:t>
      </w:r>
      <w:r>
        <w:rPr>
          <w:rFonts w:cs="Times New Roman"/>
          <w:lang w:val="fr-CA"/>
        </w:rPr>
        <w:t>’</w:t>
      </w:r>
      <w:r w:rsidRPr="00B61490">
        <w:rPr>
          <w:rFonts w:cs="Times New Roman"/>
          <w:lang w:val="fr-CA"/>
        </w:rPr>
        <w:t>appel de la Congrégation, au motif que le Comité de discipline religieuse est une entité privée, que ses décisions ne sont par conséquent pas susceptibles de contrôle judiciaire et que, de toute façon, la contestation de la décision du Comité de discipline religieuse par M. Wall ne soulevait pas de question justiciable.</w:t>
      </w:r>
    </w:p>
    <w:bookmarkEnd w:id="1"/>
    <w:p w:rsidR="006A3C1C" w:rsidRPr="00B61490" w:rsidRDefault="006A3C1C" w:rsidP="00566B15">
      <w:pPr>
        <w:pStyle w:val="Title1LevelTitre1Niveau-AltL"/>
        <w:widowControl w:val="0"/>
        <w:numPr>
          <w:ilvl w:val="0"/>
          <w:numId w:val="8"/>
        </w:numPr>
        <w:jc w:val="left"/>
        <w:rPr>
          <w:rFonts w:cs="Times New Roman"/>
        </w:rPr>
      </w:pPr>
      <w:r w:rsidRPr="00B61490">
        <w:rPr>
          <w:rFonts w:cs="Times New Roman"/>
        </w:rPr>
        <w:t xml:space="preserve">Question en </w:t>
      </w:r>
      <w:proofErr w:type="spellStart"/>
      <w:r w:rsidRPr="00B61490">
        <w:rPr>
          <w:rFonts w:cs="Times New Roman"/>
        </w:rPr>
        <w:t>litige</w:t>
      </w:r>
      <w:proofErr w:type="spellEnd"/>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Dans le cadre du présent pourvoi, notre Cour doit décider si elle a compétence pour contrôler, sur la base de motifs fondés sur l</w:t>
      </w:r>
      <w:r>
        <w:rPr>
          <w:rFonts w:cs="Times New Roman"/>
          <w:lang w:val="fr-CA"/>
        </w:rPr>
        <w:t>’</w:t>
      </w:r>
      <w:r w:rsidRPr="00B61490">
        <w:rPr>
          <w:rFonts w:cs="Times New Roman"/>
          <w:lang w:val="fr-CA"/>
        </w:rPr>
        <w:t>équité procédurale, la décision du Comité de discipline religieuse d</w:t>
      </w:r>
      <w:r>
        <w:rPr>
          <w:rFonts w:cs="Times New Roman"/>
          <w:lang w:val="fr-CA"/>
        </w:rPr>
        <w:t>’</w:t>
      </w:r>
      <w:r w:rsidRPr="00B61490">
        <w:rPr>
          <w:rFonts w:cs="Times New Roman"/>
          <w:lang w:val="fr-CA"/>
        </w:rPr>
        <w:t>excommunier l</w:t>
      </w:r>
      <w:r>
        <w:rPr>
          <w:rFonts w:cs="Times New Roman"/>
          <w:lang w:val="fr-CA"/>
        </w:rPr>
        <w:t>’</w:t>
      </w:r>
      <w:r w:rsidRPr="00B61490">
        <w:rPr>
          <w:rFonts w:cs="Times New Roman"/>
          <w:lang w:val="fr-CA"/>
        </w:rPr>
        <w:t>intimé.</w:t>
      </w:r>
    </w:p>
    <w:p w:rsidR="006A3C1C" w:rsidRPr="00B61490" w:rsidRDefault="006A3C1C" w:rsidP="00566B15">
      <w:pPr>
        <w:pStyle w:val="Title1LevelTitre1Niveau-AltL"/>
        <w:widowControl w:val="0"/>
        <w:rPr>
          <w:rFonts w:cs="Times New Roman"/>
        </w:rPr>
      </w:pPr>
      <w:bookmarkStart w:id="2" w:name="_Toc320021610"/>
      <w:bookmarkStart w:id="3" w:name="_Toc400026543"/>
      <w:bookmarkStart w:id="4" w:name="_Toc504655775"/>
      <w:r w:rsidRPr="00B61490">
        <w:rPr>
          <w:rFonts w:cs="Times New Roman"/>
        </w:rPr>
        <w:t>A</w:t>
      </w:r>
      <w:bookmarkEnd w:id="2"/>
      <w:bookmarkEnd w:id="3"/>
      <w:r w:rsidRPr="00B61490">
        <w:rPr>
          <w:rFonts w:cs="Times New Roman"/>
        </w:rPr>
        <w:t>nalys</w:t>
      </w:r>
      <w:bookmarkEnd w:id="4"/>
      <w:r w:rsidRPr="00B61490">
        <w:rPr>
          <w:rFonts w:cs="Times New Roman"/>
        </w:rPr>
        <w:t>e</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lastRenderedPageBreak/>
        <w:t>Les tribunaux sont familiers avec le contrôle de processus décisionnels au regard de l</w:t>
      </w:r>
      <w:r>
        <w:rPr>
          <w:rFonts w:cs="Times New Roman"/>
          <w:lang w:val="fr-CA"/>
        </w:rPr>
        <w:t>’</w:t>
      </w:r>
      <w:r w:rsidRPr="00B61490">
        <w:rPr>
          <w:rFonts w:cs="Times New Roman"/>
          <w:lang w:val="fr-CA"/>
        </w:rPr>
        <w:t>équité procédurale. Toutefois, leur pouvoir de contrôle à cet égard est assujetti à certaines limites. Les présents motifs traitent de trois limites applicables au contrôle de décisions au regard de l</w:t>
      </w:r>
      <w:r>
        <w:rPr>
          <w:rFonts w:cs="Times New Roman"/>
          <w:lang w:val="fr-CA"/>
        </w:rPr>
        <w:t>’</w:t>
      </w:r>
      <w:r w:rsidRPr="00B61490">
        <w:rPr>
          <w:rFonts w:cs="Times New Roman"/>
          <w:lang w:val="fr-CA"/>
        </w:rPr>
        <w:t>équité procédurale. Premièrement, le contrôle judiciaire est un recours qui ne peut être exercé qu</w:t>
      </w:r>
      <w:r>
        <w:rPr>
          <w:rFonts w:cs="Times New Roman"/>
          <w:lang w:val="fr-CA"/>
        </w:rPr>
        <w:t>’</w:t>
      </w:r>
      <w:r w:rsidRPr="00B61490">
        <w:rPr>
          <w:rFonts w:cs="Times New Roman"/>
          <w:lang w:val="fr-CA"/>
        </w:rPr>
        <w:t>à l</w:t>
      </w:r>
      <w:r>
        <w:rPr>
          <w:rFonts w:cs="Times New Roman"/>
          <w:lang w:val="fr-CA"/>
        </w:rPr>
        <w:t>’</w:t>
      </w:r>
      <w:r w:rsidRPr="00B61490">
        <w:rPr>
          <w:rFonts w:cs="Times New Roman"/>
          <w:lang w:val="fr-CA"/>
        </w:rPr>
        <w:t>encontre de mesures étatiques. En l</w:t>
      </w:r>
      <w:r>
        <w:rPr>
          <w:rFonts w:cs="Times New Roman"/>
          <w:lang w:val="fr-CA"/>
        </w:rPr>
        <w:t>’</w:t>
      </w:r>
      <w:r w:rsidRPr="00B61490">
        <w:rPr>
          <w:rFonts w:cs="Times New Roman"/>
          <w:lang w:val="fr-CA"/>
        </w:rPr>
        <w:t xml:space="preserve">espèce, </w:t>
      </w:r>
      <w:r>
        <w:rPr>
          <w:rFonts w:cs="Times New Roman"/>
          <w:lang w:val="fr-CA"/>
        </w:rPr>
        <w:t>le C</w:t>
      </w:r>
      <w:r w:rsidRPr="00B61490">
        <w:rPr>
          <w:rFonts w:cs="Times New Roman"/>
          <w:lang w:val="fr-CA"/>
        </w:rPr>
        <w:t>omité de discipline religieuse de la Congrégation n</w:t>
      </w:r>
      <w:r>
        <w:rPr>
          <w:rFonts w:cs="Times New Roman"/>
          <w:lang w:val="fr-CA"/>
        </w:rPr>
        <w:t>’</w:t>
      </w:r>
      <w:r w:rsidRPr="00B61490">
        <w:rPr>
          <w:rFonts w:cs="Times New Roman"/>
          <w:lang w:val="fr-CA"/>
        </w:rPr>
        <w:t>exerçait pas un pouvoir conféré par la loi. Deuxièmement, il n</w:t>
      </w:r>
      <w:r>
        <w:rPr>
          <w:rFonts w:cs="Times New Roman"/>
          <w:lang w:val="fr-CA"/>
        </w:rPr>
        <w:t>’</w:t>
      </w:r>
      <w:r w:rsidRPr="00B61490">
        <w:rPr>
          <w:rFonts w:cs="Times New Roman"/>
          <w:lang w:val="fr-CA"/>
        </w:rPr>
        <w:t>existe pas de droit autonome à l</w:t>
      </w:r>
      <w:r>
        <w:rPr>
          <w:rFonts w:cs="Times New Roman"/>
          <w:lang w:val="fr-CA"/>
        </w:rPr>
        <w:t>’</w:t>
      </w:r>
      <w:r w:rsidRPr="00B61490">
        <w:rPr>
          <w:rFonts w:cs="Times New Roman"/>
          <w:lang w:val="fr-CA"/>
        </w:rPr>
        <w:t>équité procédurale. Ce n</w:t>
      </w:r>
      <w:r>
        <w:rPr>
          <w:rFonts w:cs="Times New Roman"/>
          <w:lang w:val="fr-CA"/>
        </w:rPr>
        <w:t>’</w:t>
      </w:r>
      <w:r w:rsidRPr="00B61490">
        <w:rPr>
          <w:rFonts w:cs="Times New Roman"/>
          <w:lang w:val="fr-CA"/>
        </w:rPr>
        <w:t>est que si des droits légaux sont en jeu que les tribunaux peuvent intervenir à l</w:t>
      </w:r>
      <w:r>
        <w:rPr>
          <w:rFonts w:cs="Times New Roman"/>
          <w:lang w:val="fr-CA"/>
        </w:rPr>
        <w:t>’</w:t>
      </w:r>
      <w:r w:rsidRPr="00B61490">
        <w:rPr>
          <w:rFonts w:cs="Times New Roman"/>
          <w:lang w:val="fr-CA"/>
        </w:rPr>
        <w:t>égard de préoccupations liées à l</w:t>
      </w:r>
      <w:r>
        <w:rPr>
          <w:rFonts w:cs="Times New Roman"/>
          <w:lang w:val="fr-CA"/>
        </w:rPr>
        <w:t>’</w:t>
      </w:r>
      <w:r w:rsidRPr="00B61490">
        <w:rPr>
          <w:rFonts w:cs="Times New Roman"/>
          <w:lang w:val="fr-CA"/>
        </w:rPr>
        <w:t>équité procédurale que soulèvent les décisions de groupes religieux ou autres associations volontaires. Troisièmement, même lorsqu</w:t>
      </w:r>
      <w:r>
        <w:rPr>
          <w:rFonts w:cs="Times New Roman"/>
          <w:lang w:val="fr-CA"/>
        </w:rPr>
        <w:t>’</w:t>
      </w:r>
      <w:r w:rsidRPr="00B61490">
        <w:rPr>
          <w:rFonts w:cs="Times New Roman"/>
          <w:lang w:val="fr-CA"/>
        </w:rPr>
        <w:t>il y a ouverture à contrôle judiciaire, les tribunaux n</w:t>
      </w:r>
      <w:r>
        <w:rPr>
          <w:rFonts w:cs="Times New Roman"/>
          <w:lang w:val="fr-CA"/>
        </w:rPr>
        <w:t>’</w:t>
      </w:r>
      <w:r w:rsidRPr="00B61490">
        <w:rPr>
          <w:rFonts w:cs="Times New Roman"/>
          <w:lang w:val="fr-CA"/>
        </w:rPr>
        <w:t xml:space="preserve">examineront que les questions qui sont justiciables. Des questions de nature théologique ne sont pas justiciables. </w:t>
      </w:r>
    </w:p>
    <w:p w:rsidR="006A3C1C" w:rsidRPr="00B61490" w:rsidRDefault="006A3C1C" w:rsidP="00566B15">
      <w:pPr>
        <w:pStyle w:val="Title2LevelTitre2Niveau"/>
        <w:widowControl w:val="0"/>
        <w:rPr>
          <w:rFonts w:cs="Times New Roman"/>
          <w:lang w:val="fr-CA"/>
        </w:rPr>
      </w:pPr>
      <w:r w:rsidRPr="00B61490">
        <w:rPr>
          <w:rFonts w:cs="Times New Roman"/>
          <w:lang w:val="fr-CA"/>
        </w:rPr>
        <w:t>La possibilité d</w:t>
      </w:r>
      <w:r>
        <w:rPr>
          <w:rFonts w:cs="Times New Roman"/>
          <w:lang w:val="fr-CA"/>
        </w:rPr>
        <w:t>’</w:t>
      </w:r>
      <w:r w:rsidRPr="00B61490">
        <w:rPr>
          <w:rFonts w:cs="Times New Roman"/>
          <w:lang w:val="fr-CA"/>
        </w:rPr>
        <w:t xml:space="preserve">exercer un recours en contrôle judiciaire </w:t>
      </w:r>
    </w:p>
    <w:p w:rsidR="006A3C1C" w:rsidRPr="00B61490" w:rsidRDefault="006A3C1C" w:rsidP="00566B15">
      <w:pPr>
        <w:pStyle w:val="ParaNoNdepar-AltN"/>
        <w:widowControl w:val="0"/>
        <w:rPr>
          <w:rFonts w:cs="Times New Roman"/>
          <w:lang w:val="fr-CA"/>
        </w:rPr>
      </w:pPr>
      <w:r w:rsidRPr="00B61490">
        <w:rPr>
          <w:rFonts w:cs="Times New Roman"/>
          <w:lang w:val="fr-CA"/>
        </w:rPr>
        <w:t>Le contrôle judiciaire a pour objet d</w:t>
      </w:r>
      <w:r>
        <w:rPr>
          <w:rFonts w:cs="Times New Roman"/>
          <w:lang w:val="fr-CA"/>
        </w:rPr>
        <w:t>’</w:t>
      </w:r>
      <w:r w:rsidRPr="00B61490">
        <w:rPr>
          <w:rFonts w:cs="Times New Roman"/>
          <w:lang w:val="fr-CA"/>
        </w:rPr>
        <w:t>assurer la légalité des décisions prises par l</w:t>
      </w:r>
      <w:r>
        <w:rPr>
          <w:rFonts w:cs="Times New Roman"/>
          <w:lang w:val="fr-CA"/>
        </w:rPr>
        <w:t>’</w:t>
      </w:r>
      <w:r w:rsidRPr="00B61490">
        <w:rPr>
          <w:rFonts w:cs="Times New Roman"/>
          <w:lang w:val="fr-CA"/>
        </w:rPr>
        <w:t xml:space="preserve">État : voir </w:t>
      </w:r>
      <w:r w:rsidRPr="00B61490">
        <w:rPr>
          <w:rFonts w:cs="Times New Roman"/>
          <w:i/>
          <w:lang w:val="fr-CA"/>
        </w:rPr>
        <w:t xml:space="preserve">Canada (Procureur général) c. </w:t>
      </w:r>
      <w:proofErr w:type="spellStart"/>
      <w:r w:rsidRPr="00B61490">
        <w:rPr>
          <w:rFonts w:cs="Times New Roman"/>
          <w:i/>
          <w:lang w:val="fr-CA"/>
        </w:rPr>
        <w:t>TeleZone</w:t>
      </w:r>
      <w:proofErr w:type="spellEnd"/>
      <w:r w:rsidRPr="00B61490">
        <w:rPr>
          <w:rFonts w:cs="Times New Roman"/>
          <w:i/>
          <w:lang w:val="fr-CA"/>
        </w:rPr>
        <w:t xml:space="preserve"> Inc.</w:t>
      </w:r>
      <w:r w:rsidRPr="00B61490">
        <w:rPr>
          <w:rFonts w:cs="Times New Roman"/>
          <w:lang w:val="fr-CA"/>
        </w:rPr>
        <w:t xml:space="preserve">, 2010 CSC 62, [2010] 3 R.C.S. 585, par. 24 et 26; </w:t>
      </w:r>
      <w:proofErr w:type="spellStart"/>
      <w:r w:rsidRPr="00B61490">
        <w:rPr>
          <w:rFonts w:cs="Times New Roman"/>
          <w:i/>
          <w:lang w:val="fr-CA"/>
        </w:rPr>
        <w:t>Crevier</w:t>
      </w:r>
      <w:proofErr w:type="spellEnd"/>
      <w:r w:rsidRPr="00B61490">
        <w:rPr>
          <w:rFonts w:cs="Times New Roman"/>
          <w:i/>
          <w:lang w:val="fr-CA"/>
        </w:rPr>
        <w:t xml:space="preserve"> c. P</w:t>
      </w:r>
      <w:r>
        <w:rPr>
          <w:rFonts w:cs="Times New Roman"/>
          <w:i/>
          <w:lang w:val="fr-CA"/>
        </w:rPr>
        <w:t xml:space="preserve">rocureur général du </w:t>
      </w:r>
      <w:r w:rsidRPr="00B61490">
        <w:rPr>
          <w:rFonts w:cs="Times New Roman"/>
          <w:i/>
          <w:lang w:val="fr-CA"/>
        </w:rPr>
        <w:t>Québec</w:t>
      </w:r>
      <w:r w:rsidRPr="00B61490">
        <w:rPr>
          <w:rFonts w:cs="Times New Roman"/>
          <w:lang w:val="fr-CA"/>
        </w:rPr>
        <w:t>, [1981] 2 R.C.S. 220, p. 237</w:t>
      </w:r>
      <w:r w:rsidRPr="00B61490">
        <w:rPr>
          <w:rFonts w:cs="Times New Roman"/>
          <w:lang w:val="fr-CA"/>
        </w:rPr>
        <w:noBreakHyphen/>
        <w:t xml:space="preserve">238; </w:t>
      </w:r>
      <w:r w:rsidRPr="00B61490">
        <w:rPr>
          <w:rFonts w:cs="Times New Roman"/>
          <w:i/>
          <w:lang w:val="fr-CA"/>
        </w:rPr>
        <w:t>Knox c. Conservative Party of Canada</w:t>
      </w:r>
      <w:r w:rsidRPr="00B61490">
        <w:rPr>
          <w:rFonts w:cs="Times New Roman"/>
          <w:lang w:val="fr-CA"/>
        </w:rPr>
        <w:t xml:space="preserve">, 2007 ABCA 295, </w:t>
      </w:r>
      <w:r w:rsidRPr="00B61490">
        <w:rPr>
          <w:rStyle w:val="nowrap"/>
          <w:rFonts w:cs="Times New Roman"/>
          <w:lang w:val="fr-CA"/>
        </w:rPr>
        <w:t xml:space="preserve">422 A.R. 29, </w:t>
      </w:r>
      <w:r w:rsidRPr="00B61490">
        <w:rPr>
          <w:rFonts w:cs="Times New Roman"/>
          <w:lang w:val="fr-CA"/>
        </w:rPr>
        <w:t>par. 14</w:t>
      </w:r>
      <w:r w:rsidRPr="00B61490">
        <w:rPr>
          <w:rFonts w:cs="Times New Roman"/>
          <w:lang w:val="fr-CA"/>
        </w:rPr>
        <w:noBreakHyphen/>
        <w:t>15. Le contrôle judiciaire est un concept de droit public qui permet aux cours visées à l</w:t>
      </w:r>
      <w:r>
        <w:rPr>
          <w:rFonts w:cs="Times New Roman"/>
          <w:lang w:val="fr-CA"/>
        </w:rPr>
        <w:t>’</w:t>
      </w:r>
      <w:r w:rsidRPr="00B61490">
        <w:rPr>
          <w:rFonts w:cs="Times New Roman"/>
          <w:lang w:val="fr-CA"/>
        </w:rPr>
        <w:t>art. 96 [</w:t>
      </w:r>
      <w:r w:rsidRPr="00B61490">
        <w:rPr>
          <w:rFonts w:cs="Times New Roman"/>
          <w:smallCaps/>
          <w:lang w:val="fr-CA"/>
        </w:rPr>
        <w:t>traduction</w:t>
      </w:r>
      <w:r w:rsidRPr="00B61490">
        <w:rPr>
          <w:rFonts w:cs="Times New Roman"/>
          <w:lang w:val="fr-CA"/>
        </w:rPr>
        <w:t>] « d</w:t>
      </w:r>
      <w:r>
        <w:rPr>
          <w:rFonts w:cs="Times New Roman"/>
          <w:lang w:val="fr-CA"/>
        </w:rPr>
        <w:t>’</w:t>
      </w:r>
      <w:r w:rsidRPr="00B61490">
        <w:rPr>
          <w:rFonts w:cs="Times New Roman"/>
          <w:lang w:val="fr-CA"/>
        </w:rPr>
        <w:t>exercer un pouvoir de surveillance sur les juridictions inférieures », afin de veiller à ce que celles</w:t>
      </w:r>
      <w:r w:rsidRPr="00B61490">
        <w:rPr>
          <w:rFonts w:cs="Times New Roman"/>
          <w:lang w:val="fr-CA"/>
        </w:rPr>
        <w:noBreakHyphen/>
        <w:t xml:space="preserve">ci respectent la primauté du </w:t>
      </w:r>
      <w:r w:rsidRPr="00B61490">
        <w:rPr>
          <w:rFonts w:cs="Times New Roman"/>
          <w:lang w:val="fr-CA"/>
        </w:rPr>
        <w:lastRenderedPageBreak/>
        <w:t xml:space="preserve">droit : </w:t>
      </w:r>
      <w:r w:rsidRPr="00B61490">
        <w:rPr>
          <w:rFonts w:cs="Times New Roman"/>
          <w:i/>
          <w:lang w:val="fr-CA"/>
        </w:rPr>
        <w:t>Knox</w:t>
      </w:r>
      <w:r w:rsidRPr="00B61490">
        <w:rPr>
          <w:rFonts w:cs="Times New Roman"/>
          <w:lang w:val="fr-CA"/>
        </w:rPr>
        <w:t xml:space="preserve">, par. 14; </w:t>
      </w:r>
      <w:r w:rsidRPr="00B61490">
        <w:rPr>
          <w:rFonts w:cs="Times New Roman"/>
          <w:i/>
          <w:lang w:val="fr-CA"/>
        </w:rPr>
        <w:t>Loi constitutionnelle de 1867</w:t>
      </w:r>
      <w:r w:rsidRPr="00B61490">
        <w:rPr>
          <w:rFonts w:cs="Times New Roman"/>
          <w:lang w:val="fr-CA"/>
        </w:rPr>
        <w:t>, art. 96. Les décisions de l</w:t>
      </w:r>
      <w:r>
        <w:rPr>
          <w:rFonts w:cs="Times New Roman"/>
          <w:lang w:val="fr-CA"/>
        </w:rPr>
        <w:t>’</w:t>
      </w:r>
      <w:r w:rsidRPr="00B61490">
        <w:rPr>
          <w:rFonts w:cs="Times New Roman"/>
          <w:lang w:val="fr-CA"/>
        </w:rPr>
        <w:t>État sont susceptibles de contrôle quant au fond ou quant au respect de l</w:t>
      </w:r>
      <w:r>
        <w:rPr>
          <w:rFonts w:cs="Times New Roman"/>
          <w:lang w:val="fr-CA"/>
        </w:rPr>
        <w:t>’</w:t>
      </w:r>
      <w:r w:rsidRPr="00B61490">
        <w:rPr>
          <w:rFonts w:cs="Times New Roman"/>
          <w:lang w:val="fr-CA"/>
        </w:rPr>
        <w:t>équité procédurale. Les parties au présent pourvoi ont à juste titre reconnu que le contrôle judiciaire vise essentiellement l</w:t>
      </w:r>
      <w:r>
        <w:rPr>
          <w:rFonts w:cs="Times New Roman"/>
          <w:lang w:val="fr-CA"/>
        </w:rPr>
        <w:t>’</w:t>
      </w:r>
      <w:r w:rsidRPr="00B61490">
        <w:rPr>
          <w:rFonts w:cs="Times New Roman"/>
          <w:lang w:val="fr-CA"/>
        </w:rPr>
        <w:t>examen par les tribunaux judiciaires des décisions des organismes administratifs de l</w:t>
      </w:r>
      <w:r>
        <w:rPr>
          <w:rFonts w:cs="Times New Roman"/>
          <w:lang w:val="fr-CA"/>
        </w:rPr>
        <w:t>’</w:t>
      </w:r>
      <w:r w:rsidRPr="00B61490">
        <w:rPr>
          <w:rFonts w:cs="Times New Roman"/>
          <w:lang w:val="fr-CA"/>
        </w:rPr>
        <w:t>État. Des plaideurs privés ne peuvent pas présenter aux tribunaux une demande de contrôle judiciaire à l</w:t>
      </w:r>
      <w:r>
        <w:rPr>
          <w:rFonts w:cs="Times New Roman"/>
          <w:lang w:val="fr-CA"/>
        </w:rPr>
        <w:t>’</w:t>
      </w:r>
      <w:r w:rsidRPr="00B61490">
        <w:rPr>
          <w:rFonts w:cs="Times New Roman"/>
          <w:lang w:val="fr-CA"/>
        </w:rPr>
        <w:t>égard de litiges les opposant; s</w:t>
      </w:r>
      <w:r>
        <w:rPr>
          <w:rFonts w:cs="Times New Roman"/>
          <w:lang w:val="fr-CA"/>
        </w:rPr>
        <w:t>’</w:t>
      </w:r>
      <w:r w:rsidRPr="00B61490">
        <w:rPr>
          <w:rFonts w:cs="Times New Roman"/>
          <w:lang w:val="fr-CA"/>
        </w:rPr>
        <w:t>ils s</w:t>
      </w:r>
      <w:r>
        <w:rPr>
          <w:rFonts w:cs="Times New Roman"/>
          <w:lang w:val="fr-CA"/>
        </w:rPr>
        <w:t>’</w:t>
      </w:r>
      <w:r w:rsidRPr="00B61490">
        <w:rPr>
          <w:rFonts w:cs="Times New Roman"/>
          <w:lang w:val="fr-CA"/>
        </w:rPr>
        <w:t>adressent aux tribunaux, leurs demandes doivent plutôt reposer sur une cause d</w:t>
      </w:r>
      <w:r>
        <w:rPr>
          <w:rFonts w:cs="Times New Roman"/>
          <w:lang w:val="fr-CA"/>
        </w:rPr>
        <w:t>’</w:t>
      </w:r>
      <w:r w:rsidRPr="00B61490">
        <w:rPr>
          <w:rFonts w:cs="Times New Roman"/>
          <w:lang w:val="fr-CA"/>
        </w:rPr>
        <w:t>action valable, par exemple en matière de contrat, de délit civil ou de restitution.</w:t>
      </w:r>
    </w:p>
    <w:p w:rsidR="006A3C1C" w:rsidRPr="00B61490" w:rsidRDefault="006A3C1C" w:rsidP="00566B15">
      <w:pPr>
        <w:pStyle w:val="ParaNoNdepar-AltN"/>
        <w:widowControl w:val="0"/>
        <w:rPr>
          <w:rFonts w:cs="Times New Roman"/>
          <w:lang w:val="fr-CA"/>
        </w:rPr>
      </w:pPr>
      <w:r w:rsidRPr="00B61490">
        <w:rPr>
          <w:rFonts w:cs="Times New Roman"/>
          <w:lang w:val="fr-CA"/>
        </w:rPr>
        <w:t>Ce ne sont pas toutes les décisions qui sont susceptibles de contrôle judiciaire en vertu du pouvoir de surveillance d</w:t>
      </w:r>
      <w:r>
        <w:rPr>
          <w:rFonts w:cs="Times New Roman"/>
          <w:lang w:val="fr-CA"/>
        </w:rPr>
        <w:t>’</w:t>
      </w:r>
      <w:r w:rsidRPr="00B61490">
        <w:rPr>
          <w:rFonts w:cs="Times New Roman"/>
          <w:lang w:val="fr-CA"/>
        </w:rPr>
        <w:t>une cour supérieure. Un tel recours est possible uniquement lorsqu</w:t>
      </w:r>
      <w:r>
        <w:rPr>
          <w:rFonts w:cs="Times New Roman"/>
          <w:lang w:val="fr-CA"/>
        </w:rPr>
        <w:t>’</w:t>
      </w:r>
      <w:r w:rsidRPr="00B61490">
        <w:rPr>
          <w:rFonts w:cs="Times New Roman"/>
          <w:lang w:val="fr-CA"/>
        </w:rPr>
        <w:t>un pouvoir étatique a été exercé et que l</w:t>
      </w:r>
      <w:r>
        <w:rPr>
          <w:rFonts w:cs="Times New Roman"/>
          <w:lang w:val="fr-CA"/>
        </w:rPr>
        <w:t>’</w:t>
      </w:r>
      <w:r w:rsidRPr="00B61490">
        <w:rPr>
          <w:rFonts w:cs="Times New Roman"/>
          <w:lang w:val="fr-CA"/>
        </w:rPr>
        <w:t xml:space="preserve">exercice de ce pouvoir présente une nature suffisamment publique. En effet, même les organismes publics prennent des décisions de nature privée — par exemple pour louer des locaux ou pour embaucher du personnel — et de telles décisions ne sont pas assujetties au pouvoir de contrôle des tribunaux : </w:t>
      </w:r>
      <w:r w:rsidRPr="00B61490">
        <w:rPr>
          <w:rFonts w:cs="Times New Roman"/>
          <w:i/>
          <w:lang w:val="fr-CA"/>
        </w:rPr>
        <w:t>Air Canada c. Administration portuaire de Toronto</w:t>
      </w:r>
      <w:r w:rsidRPr="00B61490">
        <w:rPr>
          <w:rFonts w:cs="Times New Roman"/>
          <w:lang w:val="fr-CA"/>
        </w:rPr>
        <w:t>, 2011 CAF 347, [2013] 3 R.C.F. 605, par. 52. L</w:t>
      </w:r>
      <w:r>
        <w:rPr>
          <w:rFonts w:cs="Times New Roman"/>
          <w:lang w:val="fr-CA"/>
        </w:rPr>
        <w:t>’</w:t>
      </w:r>
      <w:r w:rsidRPr="00B61490">
        <w:rPr>
          <w:rFonts w:cs="Times New Roman"/>
          <w:lang w:val="fr-CA"/>
        </w:rPr>
        <w:t>organisme public qui prend des décisions de nature contractuelle « </w:t>
      </w:r>
      <w:r w:rsidRPr="00B61490">
        <w:rPr>
          <w:rFonts w:cs="Times New Roman"/>
          <w:lang w:val="fr-FR"/>
        </w:rPr>
        <w:t>n</w:t>
      </w:r>
      <w:r>
        <w:rPr>
          <w:rFonts w:cs="Times New Roman"/>
          <w:lang w:val="fr-FR"/>
        </w:rPr>
        <w:t>’</w:t>
      </w:r>
      <w:r w:rsidRPr="00B61490">
        <w:rPr>
          <w:rFonts w:cs="Times New Roman"/>
          <w:lang w:val="fr-FR"/>
        </w:rPr>
        <w:t>exerce pas un pouvoir central à la mission administrative que lui a attribuée le législateur », mais plutôt un pouvoir de nature privée</w:t>
      </w:r>
      <w:r>
        <w:rPr>
          <w:rFonts w:cs="Times New Roman"/>
          <w:lang w:val="fr-FR"/>
        </w:rPr>
        <w:t xml:space="preserve"> </w:t>
      </w:r>
      <w:r w:rsidRPr="00B61490">
        <w:rPr>
          <w:rFonts w:cs="Times New Roman"/>
          <w:lang w:val="fr-FR"/>
        </w:rPr>
        <w:t>(</w:t>
      </w:r>
      <w:r w:rsidRPr="00B61490">
        <w:rPr>
          <w:rFonts w:cs="Times New Roman"/>
          <w:i/>
          <w:lang w:val="fr-FR"/>
        </w:rPr>
        <w:t>ibid.</w:t>
      </w:r>
      <w:r w:rsidRPr="00B61490">
        <w:rPr>
          <w:rFonts w:cs="Times New Roman"/>
          <w:lang w:val="fr-FR"/>
        </w:rPr>
        <w:t>).</w:t>
      </w:r>
      <w:r w:rsidRPr="00B61490">
        <w:rPr>
          <w:rFonts w:cs="Times New Roman"/>
          <w:lang w:val="fr-CA"/>
        </w:rPr>
        <w:t xml:space="preserve"> Des décisions de la sorte ne soulèvent pas de préoccupations relatives à la primauté du droit, car, pour que cela soit le cas, il faut être en présence de l</w:t>
      </w:r>
      <w:r>
        <w:rPr>
          <w:rFonts w:cs="Times New Roman"/>
          <w:lang w:val="fr-CA"/>
        </w:rPr>
        <w:t>’</w:t>
      </w:r>
      <w:r w:rsidRPr="00B61490">
        <w:rPr>
          <w:rFonts w:cs="Times New Roman"/>
          <w:lang w:val="fr-CA"/>
        </w:rPr>
        <w:t>exercice d</w:t>
      </w:r>
      <w:r>
        <w:rPr>
          <w:rFonts w:cs="Times New Roman"/>
          <w:lang w:val="fr-CA"/>
        </w:rPr>
        <w:t>’</w:t>
      </w:r>
      <w:r w:rsidRPr="00B61490">
        <w:rPr>
          <w:rFonts w:cs="Times New Roman"/>
          <w:lang w:val="fr-CA"/>
        </w:rPr>
        <w:t>un pouvoir délégué.</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lastRenderedPageBreak/>
        <w:t>De plus, bien qu</w:t>
      </w:r>
      <w:r>
        <w:rPr>
          <w:rFonts w:cs="Times New Roman"/>
          <w:lang w:val="fr-CA"/>
        </w:rPr>
        <w:t>’</w:t>
      </w:r>
      <w:r w:rsidRPr="00B61490">
        <w:rPr>
          <w:rFonts w:cs="Times New Roman"/>
          <w:lang w:val="fr-CA"/>
        </w:rPr>
        <w:t>il soit possible de solliciter un jugement déclaratoire ou une injonction — deux réparations de droit privé — dans le cadre d</w:t>
      </w:r>
      <w:r>
        <w:rPr>
          <w:rFonts w:cs="Times New Roman"/>
          <w:lang w:val="fr-CA"/>
        </w:rPr>
        <w:t>’</w:t>
      </w:r>
      <w:r w:rsidRPr="00B61490">
        <w:rPr>
          <w:rFonts w:cs="Times New Roman"/>
          <w:lang w:val="fr-CA"/>
        </w:rPr>
        <w:t>une demande de contrôle judiciaire (voir, p</w:t>
      </w:r>
      <w:r>
        <w:rPr>
          <w:rFonts w:cs="Times New Roman"/>
          <w:lang w:val="fr-CA"/>
        </w:rPr>
        <w:t xml:space="preserve">ar </w:t>
      </w:r>
      <w:r w:rsidRPr="00B61490">
        <w:rPr>
          <w:rFonts w:cs="Times New Roman"/>
          <w:lang w:val="fr-CA"/>
        </w:rPr>
        <w:t>ex</w:t>
      </w:r>
      <w:r>
        <w:rPr>
          <w:rFonts w:cs="Times New Roman"/>
          <w:lang w:val="fr-CA"/>
        </w:rPr>
        <w:t>emple,</w:t>
      </w:r>
      <w:r w:rsidRPr="00B61490">
        <w:rPr>
          <w:rFonts w:cs="Times New Roman"/>
          <w:lang w:val="fr-CA"/>
        </w:rPr>
        <w:t xml:space="preserve"> </w:t>
      </w:r>
      <w:proofErr w:type="spellStart"/>
      <w:r w:rsidRPr="00B61490">
        <w:rPr>
          <w:rFonts w:cs="Times New Roman"/>
          <w:i/>
          <w:lang w:val="fr-CA"/>
        </w:rPr>
        <w:t>Judicial</w:t>
      </w:r>
      <w:proofErr w:type="spellEnd"/>
      <w:r w:rsidRPr="00B61490">
        <w:rPr>
          <w:rFonts w:cs="Times New Roman"/>
          <w:i/>
          <w:lang w:val="fr-CA"/>
        </w:rPr>
        <w:t xml:space="preserve"> </w:t>
      </w:r>
      <w:proofErr w:type="spellStart"/>
      <w:r w:rsidRPr="00B61490">
        <w:rPr>
          <w:rFonts w:cs="Times New Roman"/>
          <w:i/>
          <w:lang w:val="fr-CA"/>
        </w:rPr>
        <w:t>Review</w:t>
      </w:r>
      <w:proofErr w:type="spellEnd"/>
      <w:r w:rsidRPr="00B61490">
        <w:rPr>
          <w:rFonts w:cs="Times New Roman"/>
          <w:i/>
          <w:lang w:val="fr-CA"/>
        </w:rPr>
        <w:t xml:space="preserve"> </w:t>
      </w:r>
      <w:proofErr w:type="spellStart"/>
      <w:r w:rsidRPr="00B61490">
        <w:rPr>
          <w:rFonts w:cs="Times New Roman"/>
          <w:i/>
          <w:lang w:val="fr-CA"/>
        </w:rPr>
        <w:t>Procedure</w:t>
      </w:r>
      <w:proofErr w:type="spellEnd"/>
      <w:r w:rsidRPr="00B61490">
        <w:rPr>
          <w:rFonts w:cs="Times New Roman"/>
          <w:i/>
          <w:lang w:val="fr-CA"/>
        </w:rPr>
        <w:t xml:space="preserve"> Act</w:t>
      </w:r>
      <w:r w:rsidRPr="00B61490">
        <w:rPr>
          <w:rFonts w:cs="Times New Roman"/>
          <w:lang w:val="fr-CA"/>
        </w:rPr>
        <w:t xml:space="preserve">, R.S.B.C. 1996, c. 241, al. 2(2)(b); </w:t>
      </w:r>
      <w:r w:rsidRPr="00B61490">
        <w:rPr>
          <w:rFonts w:cs="Times New Roman"/>
          <w:i/>
          <w:lang w:val="fr-CA"/>
        </w:rPr>
        <w:t>Loi sur la procédure de révision judiciaire</w:t>
      </w:r>
      <w:r w:rsidRPr="00B61490">
        <w:rPr>
          <w:rFonts w:cs="Times New Roman"/>
          <w:lang w:val="fr-CA"/>
        </w:rPr>
        <w:t xml:space="preserve">, L.R.O. 1990, c. J.1, disposition 2(1)2; </w:t>
      </w:r>
      <w:proofErr w:type="spellStart"/>
      <w:r w:rsidRPr="00B61490">
        <w:rPr>
          <w:rFonts w:cs="Times New Roman"/>
          <w:i/>
          <w:lang w:val="fr-CA"/>
        </w:rPr>
        <w:t>Judicial</w:t>
      </w:r>
      <w:proofErr w:type="spellEnd"/>
      <w:r w:rsidRPr="00B61490">
        <w:rPr>
          <w:rFonts w:cs="Times New Roman"/>
          <w:i/>
          <w:lang w:val="fr-CA"/>
        </w:rPr>
        <w:t xml:space="preserve"> </w:t>
      </w:r>
      <w:proofErr w:type="spellStart"/>
      <w:r w:rsidRPr="00B61490">
        <w:rPr>
          <w:rFonts w:cs="Times New Roman"/>
          <w:i/>
          <w:lang w:val="fr-CA"/>
        </w:rPr>
        <w:t>Review</w:t>
      </w:r>
      <w:proofErr w:type="spellEnd"/>
      <w:r w:rsidRPr="00B61490">
        <w:rPr>
          <w:rFonts w:cs="Times New Roman"/>
          <w:i/>
          <w:lang w:val="fr-CA"/>
        </w:rPr>
        <w:t xml:space="preserve"> Act</w:t>
      </w:r>
      <w:r w:rsidRPr="00B61490">
        <w:rPr>
          <w:rFonts w:cs="Times New Roman"/>
          <w:lang w:val="fr-CA"/>
        </w:rPr>
        <w:t>, R.S.P.E.I. 1988, c. J</w:t>
      </w:r>
      <w:r w:rsidRPr="00B61490">
        <w:rPr>
          <w:rFonts w:cs="Times New Roman"/>
          <w:lang w:val="fr-CA"/>
        </w:rPr>
        <w:noBreakHyphen/>
        <w:t>3, art. 2 et par. 3(3)), l</w:t>
      </w:r>
      <w:r>
        <w:rPr>
          <w:rFonts w:cs="Times New Roman"/>
          <w:lang w:val="fr-CA"/>
        </w:rPr>
        <w:t>’</w:t>
      </w:r>
      <w:r w:rsidRPr="00B61490">
        <w:rPr>
          <w:rFonts w:cs="Times New Roman"/>
          <w:lang w:val="fr-CA"/>
        </w:rPr>
        <w:t>inverse n</w:t>
      </w:r>
      <w:r>
        <w:rPr>
          <w:rFonts w:cs="Times New Roman"/>
          <w:lang w:val="fr-CA"/>
        </w:rPr>
        <w:t>’</w:t>
      </w:r>
      <w:r w:rsidRPr="00B61490">
        <w:rPr>
          <w:rFonts w:cs="Times New Roman"/>
          <w:lang w:val="fr-CA"/>
        </w:rPr>
        <w:t xml:space="preserve">est pas vrai pour autant. Des réparations de droit public tel le </w:t>
      </w:r>
      <w:proofErr w:type="spellStart"/>
      <w:r w:rsidRPr="00B61490">
        <w:rPr>
          <w:rFonts w:cs="Times New Roman"/>
          <w:i/>
          <w:lang w:val="fr-CA"/>
        </w:rPr>
        <w:t>certiorari</w:t>
      </w:r>
      <w:proofErr w:type="spellEnd"/>
      <w:r w:rsidRPr="00B61490">
        <w:rPr>
          <w:rFonts w:cs="Times New Roman"/>
          <w:lang w:val="fr-CA"/>
        </w:rPr>
        <w:t xml:space="preserve"> ne peuvent être accordées à l</w:t>
      </w:r>
      <w:r>
        <w:rPr>
          <w:rFonts w:cs="Times New Roman"/>
          <w:lang w:val="fr-CA"/>
        </w:rPr>
        <w:t>’</w:t>
      </w:r>
      <w:r w:rsidRPr="00B61490">
        <w:rPr>
          <w:rFonts w:cs="Times New Roman"/>
          <w:lang w:val="fr-CA"/>
        </w:rPr>
        <w:t>occasion d</w:t>
      </w:r>
      <w:r>
        <w:rPr>
          <w:rFonts w:cs="Times New Roman"/>
          <w:lang w:val="fr-CA"/>
        </w:rPr>
        <w:t>’</w:t>
      </w:r>
      <w:r w:rsidRPr="00B61490">
        <w:rPr>
          <w:rFonts w:cs="Times New Roman"/>
          <w:lang w:val="fr-CA"/>
        </w:rPr>
        <w:t>un litige entre p</w:t>
      </w:r>
      <w:r>
        <w:rPr>
          <w:rFonts w:cs="Times New Roman"/>
          <w:lang w:val="fr-CA"/>
        </w:rPr>
        <w:t>laideur</w:t>
      </w:r>
      <w:r w:rsidRPr="00B61490">
        <w:rPr>
          <w:rFonts w:cs="Times New Roman"/>
          <w:lang w:val="fr-CA"/>
        </w:rPr>
        <w:t xml:space="preserve">s privés au sujet de droits contractuels ou de droits de propriété : </w:t>
      </w:r>
      <w:r w:rsidRPr="00B61490">
        <w:rPr>
          <w:rFonts w:cs="Times New Roman"/>
          <w:i/>
          <w:lang w:val="fr-CA"/>
        </w:rPr>
        <w:t>Knox</w:t>
      </w:r>
      <w:r w:rsidRPr="00B61490">
        <w:rPr>
          <w:rFonts w:cs="Times New Roman"/>
          <w:lang w:val="fr-CA"/>
        </w:rPr>
        <w:t xml:space="preserve">, par. 17. Un </w:t>
      </w:r>
      <w:proofErr w:type="spellStart"/>
      <w:r w:rsidRPr="00B61490">
        <w:rPr>
          <w:rFonts w:cs="Times New Roman"/>
          <w:i/>
          <w:lang w:val="fr-CA"/>
        </w:rPr>
        <w:t>certiorari</w:t>
      </w:r>
      <w:proofErr w:type="spellEnd"/>
      <w:r w:rsidRPr="00B61490">
        <w:rPr>
          <w:rFonts w:cs="Times New Roman"/>
          <w:lang w:val="fr-CA"/>
        </w:rPr>
        <w:t xml:space="preserve"> ne peut être obtenu que dans les cas où le pouvoir décisionnel en question présente une nature suffisamment publique : D. J. M. Brown et J. M. Evans, avec le concours de D. </w:t>
      </w:r>
      <w:proofErr w:type="spellStart"/>
      <w:r w:rsidRPr="00B61490">
        <w:rPr>
          <w:rFonts w:cs="Times New Roman"/>
          <w:lang w:val="fr-CA"/>
        </w:rPr>
        <w:t>Fairlie</w:t>
      </w:r>
      <w:proofErr w:type="spellEnd"/>
      <w:r w:rsidRPr="00B61490">
        <w:rPr>
          <w:rFonts w:cs="Times New Roman"/>
          <w:lang w:val="fr-CA"/>
        </w:rPr>
        <w:t xml:space="preserve">, </w:t>
      </w:r>
      <w:proofErr w:type="spellStart"/>
      <w:r w:rsidRPr="00B61490">
        <w:rPr>
          <w:rFonts w:cs="Times New Roman"/>
          <w:i/>
          <w:lang w:val="fr-CA"/>
        </w:rPr>
        <w:t>Judicial</w:t>
      </w:r>
      <w:proofErr w:type="spellEnd"/>
      <w:r w:rsidRPr="00B61490">
        <w:rPr>
          <w:rFonts w:cs="Times New Roman"/>
          <w:i/>
          <w:lang w:val="fr-CA"/>
        </w:rPr>
        <w:t xml:space="preserve"> </w:t>
      </w:r>
      <w:proofErr w:type="spellStart"/>
      <w:r w:rsidRPr="00B61490">
        <w:rPr>
          <w:rFonts w:cs="Times New Roman"/>
          <w:i/>
          <w:lang w:val="fr-CA"/>
        </w:rPr>
        <w:t>Review</w:t>
      </w:r>
      <w:proofErr w:type="spellEnd"/>
      <w:r w:rsidRPr="00B61490">
        <w:rPr>
          <w:rFonts w:cs="Times New Roman"/>
          <w:i/>
          <w:lang w:val="fr-CA"/>
        </w:rPr>
        <w:t xml:space="preserve"> of Administrative Action in Canada</w:t>
      </w:r>
      <w:r w:rsidRPr="00B61490">
        <w:rPr>
          <w:rFonts w:cs="Times New Roman"/>
          <w:lang w:val="fr-CA"/>
        </w:rPr>
        <w:t xml:space="preserve"> (feuilles mobiles), rubrique 1:2252.</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 xml:space="preserve">Le procureur général </w:t>
      </w:r>
      <w:proofErr w:type="gramStart"/>
      <w:r w:rsidRPr="00B61490">
        <w:rPr>
          <w:rFonts w:cs="Times New Roman"/>
          <w:lang w:val="fr-CA"/>
        </w:rPr>
        <w:t>a</w:t>
      </w:r>
      <w:proofErr w:type="gramEnd"/>
      <w:r w:rsidRPr="00B61490">
        <w:rPr>
          <w:rFonts w:cs="Times New Roman"/>
          <w:lang w:val="fr-CA"/>
        </w:rPr>
        <w:t xml:space="preserve"> le droit de se faire entendre relativement à une demande introductive instance en contrôle judiciaire, et un avis doit lui être signifié lorsqu</w:t>
      </w:r>
      <w:r>
        <w:rPr>
          <w:rFonts w:cs="Times New Roman"/>
          <w:lang w:val="fr-CA"/>
        </w:rPr>
        <w:t>’</w:t>
      </w:r>
      <w:r w:rsidRPr="00B61490">
        <w:rPr>
          <w:rFonts w:cs="Times New Roman"/>
          <w:lang w:val="fr-CA"/>
        </w:rPr>
        <w:t>une telle demande est déposée :</w:t>
      </w:r>
      <w:r w:rsidRPr="00B61490">
        <w:rPr>
          <w:rFonts w:cs="Times New Roman"/>
          <w:i/>
          <w:lang w:val="fr-CA"/>
        </w:rPr>
        <w:t xml:space="preserve"> Alberta </w:t>
      </w:r>
      <w:proofErr w:type="spellStart"/>
      <w:r w:rsidRPr="00B61490">
        <w:rPr>
          <w:rFonts w:cs="Times New Roman"/>
          <w:i/>
          <w:lang w:val="fr-CA"/>
        </w:rPr>
        <w:t>Rules</w:t>
      </w:r>
      <w:proofErr w:type="spellEnd"/>
      <w:r w:rsidRPr="00B61490">
        <w:rPr>
          <w:rFonts w:cs="Times New Roman"/>
          <w:i/>
          <w:lang w:val="fr-CA"/>
        </w:rPr>
        <w:t xml:space="preserve"> of Court</w:t>
      </w:r>
      <w:r w:rsidRPr="00B61490">
        <w:rPr>
          <w:rFonts w:cs="Times New Roman"/>
          <w:lang w:val="fr-CA"/>
        </w:rPr>
        <w:t>, art. 3.15 et 3.17. Aucun autre type de demande introductive d</w:t>
      </w:r>
      <w:r>
        <w:rPr>
          <w:rFonts w:cs="Times New Roman"/>
          <w:lang w:val="fr-CA"/>
        </w:rPr>
        <w:t>’</w:t>
      </w:r>
      <w:r w:rsidRPr="00B61490">
        <w:rPr>
          <w:rFonts w:cs="Times New Roman"/>
          <w:lang w:val="fr-CA"/>
        </w:rPr>
        <w:t>instance n</w:t>
      </w:r>
      <w:r>
        <w:rPr>
          <w:rFonts w:cs="Times New Roman"/>
          <w:lang w:val="fr-CA"/>
        </w:rPr>
        <w:t>’</w:t>
      </w:r>
      <w:r w:rsidRPr="00B61490">
        <w:rPr>
          <w:rFonts w:cs="Times New Roman"/>
          <w:lang w:val="fr-CA"/>
        </w:rPr>
        <w:t>est assorti d</w:t>
      </w:r>
      <w:r>
        <w:rPr>
          <w:rFonts w:cs="Times New Roman"/>
          <w:lang w:val="fr-CA"/>
        </w:rPr>
        <w:t>’</w:t>
      </w:r>
      <w:r w:rsidRPr="00B61490">
        <w:rPr>
          <w:rFonts w:cs="Times New Roman"/>
          <w:lang w:val="fr-CA"/>
        </w:rPr>
        <w:t xml:space="preserve">une telle exigence : </w:t>
      </w:r>
      <w:r w:rsidRPr="00B61490">
        <w:rPr>
          <w:rFonts w:cs="Times New Roman"/>
          <w:i/>
          <w:lang w:val="fr-CA"/>
        </w:rPr>
        <w:t>ibid.</w:t>
      </w:r>
      <w:r w:rsidRPr="00B61490">
        <w:rPr>
          <w:rFonts w:cs="Times New Roman"/>
          <w:lang w:val="fr-CA"/>
        </w:rPr>
        <w:t>, art. 3.9. Ce fait tend à indiquer que le contrôle judiciaire vise effectivement les décisions prises par l</w:t>
      </w:r>
      <w:r>
        <w:rPr>
          <w:rFonts w:cs="Times New Roman"/>
          <w:lang w:val="fr-CA"/>
        </w:rPr>
        <w:t>’</w:t>
      </w:r>
      <w:r w:rsidRPr="00B61490">
        <w:rPr>
          <w:rFonts w:cs="Times New Roman"/>
          <w:lang w:val="fr-CA"/>
        </w:rPr>
        <w:t>État.</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Quoique le recours de droit public que constitue le contrôle judiciaire vise les décideurs gouvernementaux, certains tribunaux judiciaires canadiens, y compris les juridictions inférieures en l</w:t>
      </w:r>
      <w:r>
        <w:rPr>
          <w:rFonts w:cs="Times New Roman"/>
          <w:lang w:val="fr-CA"/>
        </w:rPr>
        <w:t>’</w:t>
      </w:r>
      <w:r w:rsidRPr="00B61490">
        <w:rPr>
          <w:rFonts w:cs="Times New Roman"/>
          <w:lang w:val="fr-CA"/>
        </w:rPr>
        <w:t>espèce, continuent de conclure qu</w:t>
      </w:r>
      <w:r>
        <w:rPr>
          <w:rFonts w:cs="Times New Roman"/>
          <w:lang w:val="fr-CA"/>
        </w:rPr>
        <w:t>’</w:t>
      </w:r>
      <w:r w:rsidRPr="00B61490">
        <w:rPr>
          <w:rFonts w:cs="Times New Roman"/>
          <w:lang w:val="fr-CA"/>
        </w:rPr>
        <w:t xml:space="preserve">il y a ouverture à </w:t>
      </w:r>
      <w:r w:rsidRPr="00B61490">
        <w:rPr>
          <w:rFonts w:cs="Times New Roman"/>
          <w:lang w:val="fr-CA"/>
        </w:rPr>
        <w:lastRenderedPageBreak/>
        <w:t>contrôle judiciaire à l</w:t>
      </w:r>
      <w:r>
        <w:rPr>
          <w:rFonts w:cs="Times New Roman"/>
          <w:lang w:val="fr-CA"/>
        </w:rPr>
        <w:t>’</w:t>
      </w:r>
      <w:r w:rsidRPr="00B61490">
        <w:rPr>
          <w:rFonts w:cs="Times New Roman"/>
          <w:lang w:val="fr-CA"/>
        </w:rPr>
        <w:t>encontre des décisions rendues par des églises ou autres associations volontaires. Les jugements de ces tribunaux peuvent être répartis en deux courants, selon le raisonnement suivi pour justifier la possibilité d</w:t>
      </w:r>
      <w:r>
        <w:rPr>
          <w:rFonts w:cs="Times New Roman"/>
          <w:lang w:val="fr-CA"/>
        </w:rPr>
        <w:t>’</w:t>
      </w:r>
      <w:r w:rsidRPr="00B61490">
        <w:rPr>
          <w:rFonts w:cs="Times New Roman"/>
          <w:lang w:val="fr-CA"/>
        </w:rPr>
        <w:t>exercer un recours en contrôle judiciaire. Ni l</w:t>
      </w:r>
      <w:r>
        <w:rPr>
          <w:rFonts w:cs="Times New Roman"/>
          <w:lang w:val="fr-CA"/>
        </w:rPr>
        <w:t>’</w:t>
      </w:r>
      <w:r w:rsidRPr="00B61490">
        <w:rPr>
          <w:rFonts w:cs="Times New Roman"/>
          <w:lang w:val="fr-CA"/>
        </w:rPr>
        <w:t>un ni l</w:t>
      </w:r>
      <w:r>
        <w:rPr>
          <w:rFonts w:cs="Times New Roman"/>
          <w:lang w:val="fr-CA"/>
        </w:rPr>
        <w:t>’</w:t>
      </w:r>
      <w:r w:rsidRPr="00B61490">
        <w:rPr>
          <w:rFonts w:cs="Times New Roman"/>
          <w:lang w:val="fr-CA"/>
        </w:rPr>
        <w:t>autre de ces courants jurisprudentiels ne permet d</w:t>
      </w:r>
      <w:r>
        <w:rPr>
          <w:rFonts w:cs="Times New Roman"/>
          <w:lang w:val="fr-CA"/>
        </w:rPr>
        <w:t>’</w:t>
      </w:r>
      <w:r w:rsidRPr="00B61490">
        <w:rPr>
          <w:rFonts w:cs="Times New Roman"/>
          <w:lang w:val="fr-CA"/>
        </w:rPr>
        <w:t xml:space="preserve">affirmer, de façon générale, que les décisions des organismes privés sont assujetties au contrôle judiciaire. Ils font </w:t>
      </w:r>
      <w:proofErr w:type="gramStart"/>
      <w:r w:rsidRPr="00B61490">
        <w:rPr>
          <w:rFonts w:cs="Times New Roman"/>
          <w:lang w:val="fr-CA"/>
        </w:rPr>
        <w:t>tous deux abstraction</w:t>
      </w:r>
      <w:proofErr w:type="gramEnd"/>
      <w:r w:rsidRPr="00B61490">
        <w:rPr>
          <w:rFonts w:cs="Times New Roman"/>
          <w:lang w:val="fr-CA"/>
        </w:rPr>
        <w:t xml:space="preserve"> du fait que ce recours porte sur la légalité des décisions prises par l</w:t>
      </w:r>
      <w:r>
        <w:rPr>
          <w:rFonts w:cs="Times New Roman"/>
          <w:lang w:val="fr-CA"/>
        </w:rPr>
        <w:t>’</w:t>
      </w:r>
      <w:r w:rsidRPr="00B61490">
        <w:rPr>
          <w:rFonts w:cs="Times New Roman"/>
          <w:lang w:val="fr-CA"/>
        </w:rPr>
        <w:t>État.</w:t>
      </w:r>
    </w:p>
    <w:p w:rsidR="006A3C1C" w:rsidRPr="00B61490" w:rsidRDefault="006A3C1C" w:rsidP="00566B15">
      <w:pPr>
        <w:pStyle w:val="ParaNoNdepar-AltN"/>
        <w:widowControl w:val="0"/>
        <w:rPr>
          <w:rFonts w:cs="Times New Roman"/>
          <w:lang w:val="fr-CA"/>
        </w:rPr>
      </w:pPr>
      <w:r w:rsidRPr="00B61490">
        <w:rPr>
          <w:rFonts w:cs="Times New Roman"/>
          <w:lang w:val="fr-CA"/>
        </w:rPr>
        <w:t>Le premier courant jurisprudentiel s</w:t>
      </w:r>
      <w:r>
        <w:rPr>
          <w:rFonts w:cs="Times New Roman"/>
          <w:lang w:val="fr-CA"/>
        </w:rPr>
        <w:t>’</w:t>
      </w:r>
      <w:r w:rsidRPr="00B61490">
        <w:rPr>
          <w:rFonts w:cs="Times New Roman"/>
          <w:lang w:val="fr-CA"/>
        </w:rPr>
        <w:t>appuie sur l</w:t>
      </w:r>
      <w:r>
        <w:rPr>
          <w:rFonts w:cs="Times New Roman"/>
          <w:lang w:val="fr-CA"/>
        </w:rPr>
        <w:t>’</w:t>
      </w:r>
      <w:r w:rsidRPr="00B61490">
        <w:rPr>
          <w:rFonts w:cs="Times New Roman"/>
          <w:lang w:val="fr-CA"/>
        </w:rPr>
        <w:t>idée erronée selon laquelle le fait qu</w:t>
      </w:r>
      <w:r>
        <w:rPr>
          <w:rFonts w:cs="Times New Roman"/>
          <w:lang w:val="fr-CA"/>
        </w:rPr>
        <w:t>’</w:t>
      </w:r>
      <w:r w:rsidRPr="00B61490">
        <w:rPr>
          <w:rFonts w:cs="Times New Roman"/>
          <w:lang w:val="fr-CA"/>
        </w:rPr>
        <w:t>une Église soit constituée au moyen d</w:t>
      </w:r>
      <w:r>
        <w:rPr>
          <w:rFonts w:cs="Times New Roman"/>
          <w:lang w:val="fr-CA"/>
        </w:rPr>
        <w:t>’</w:t>
      </w:r>
      <w:r w:rsidRPr="00B61490">
        <w:rPr>
          <w:rFonts w:cs="Times New Roman"/>
          <w:lang w:val="fr-CA"/>
        </w:rPr>
        <w:t>une loi d</w:t>
      </w:r>
      <w:r>
        <w:rPr>
          <w:rFonts w:cs="Times New Roman"/>
          <w:lang w:val="fr-CA"/>
        </w:rPr>
        <w:t>’</w:t>
      </w:r>
      <w:r w:rsidRPr="00B61490">
        <w:rPr>
          <w:rFonts w:cs="Times New Roman"/>
          <w:lang w:val="fr-CA"/>
        </w:rPr>
        <w:t>intérêt privé a pour effet d</w:t>
      </w:r>
      <w:r>
        <w:rPr>
          <w:rFonts w:cs="Times New Roman"/>
          <w:lang w:val="fr-CA"/>
        </w:rPr>
        <w:t>’</w:t>
      </w:r>
      <w:r w:rsidRPr="00B61490">
        <w:rPr>
          <w:rFonts w:cs="Times New Roman"/>
          <w:lang w:val="fr-CA"/>
        </w:rPr>
        <w:t>entraîner une attribution législative de pouvoirs en faveur de cette église :</w:t>
      </w:r>
      <w:r w:rsidRPr="00B61490">
        <w:rPr>
          <w:rFonts w:cs="Times New Roman"/>
          <w:i/>
          <w:lang w:val="fr-CA"/>
        </w:rPr>
        <w:t xml:space="preserve"> </w:t>
      </w:r>
      <w:proofErr w:type="spellStart"/>
      <w:r w:rsidRPr="00B61490">
        <w:rPr>
          <w:rFonts w:cs="Times New Roman"/>
          <w:i/>
          <w:lang w:val="fr-CA"/>
        </w:rPr>
        <w:t>Lindenberger</w:t>
      </w:r>
      <w:proofErr w:type="spellEnd"/>
      <w:r w:rsidRPr="00B61490">
        <w:rPr>
          <w:rFonts w:cs="Times New Roman"/>
          <w:i/>
          <w:lang w:val="fr-CA"/>
        </w:rPr>
        <w:t xml:space="preserve"> c. United Church of Canada</w:t>
      </w:r>
      <w:r w:rsidRPr="00B61490">
        <w:rPr>
          <w:rFonts w:cs="Times New Roman"/>
          <w:lang w:val="fr-CA"/>
        </w:rPr>
        <w:t xml:space="preserve"> (1985), 10 O.A.C. 191 (C. div.), par. 21; </w:t>
      </w:r>
      <w:r w:rsidRPr="00B61490">
        <w:rPr>
          <w:rFonts w:cs="Times New Roman"/>
          <w:i/>
          <w:lang w:val="fr-CA"/>
        </w:rPr>
        <w:t>Davis c. United Church of Canada</w:t>
      </w:r>
      <w:r w:rsidRPr="00B61490">
        <w:rPr>
          <w:rFonts w:cs="Times New Roman"/>
          <w:lang w:val="fr-CA"/>
        </w:rPr>
        <w:t xml:space="preserve"> (1992), 8 O.R. (3d) 75 (Div. </w:t>
      </w:r>
      <w:proofErr w:type="spellStart"/>
      <w:r w:rsidRPr="00B61490">
        <w:rPr>
          <w:rFonts w:cs="Times New Roman"/>
          <w:lang w:val="fr-CA"/>
        </w:rPr>
        <w:t>gén</w:t>
      </w:r>
      <w:proofErr w:type="spellEnd"/>
      <w:r w:rsidRPr="00B61490">
        <w:rPr>
          <w:rFonts w:cs="Times New Roman"/>
          <w:lang w:val="fr-CA"/>
        </w:rPr>
        <w:t>.), p. 78. Une loi d</w:t>
      </w:r>
      <w:r>
        <w:rPr>
          <w:rFonts w:cs="Times New Roman"/>
          <w:lang w:val="fr-CA"/>
        </w:rPr>
        <w:t>’</w:t>
      </w:r>
      <w:r w:rsidRPr="00B61490">
        <w:rPr>
          <w:rFonts w:cs="Times New Roman"/>
          <w:lang w:val="fr-CA"/>
        </w:rPr>
        <w:t>intérêt privé a pour objet de « conférer à une ou plusieurs personnes, ou à un groupe de personnes, des pouvoirs ou avantages spéciaux, ou d</w:t>
      </w:r>
      <w:r>
        <w:rPr>
          <w:rFonts w:cs="Times New Roman"/>
          <w:lang w:val="fr-CA"/>
        </w:rPr>
        <w:t>’</w:t>
      </w:r>
      <w:r w:rsidRPr="00B61490">
        <w:rPr>
          <w:rFonts w:cs="Times New Roman"/>
          <w:lang w:val="fr-CA"/>
        </w:rPr>
        <w:t>exclure de telles personnes de l</w:t>
      </w:r>
      <w:r>
        <w:rPr>
          <w:rFonts w:cs="Times New Roman"/>
          <w:lang w:val="fr-CA"/>
        </w:rPr>
        <w:t>’</w:t>
      </w:r>
      <w:r w:rsidRPr="00B61490">
        <w:rPr>
          <w:rFonts w:cs="Times New Roman"/>
          <w:lang w:val="fr-CA"/>
        </w:rPr>
        <w:t>application générale d</w:t>
      </w:r>
      <w:r>
        <w:rPr>
          <w:rFonts w:cs="Times New Roman"/>
          <w:lang w:val="fr-CA"/>
        </w:rPr>
        <w:t>’</w:t>
      </w:r>
      <w:r w:rsidRPr="00B61490">
        <w:rPr>
          <w:rFonts w:cs="Times New Roman"/>
          <w:lang w:val="fr-CA"/>
        </w:rPr>
        <w:t xml:space="preserve">un texte de loi » : Canada, Parlement, Chambre des Communes, </w:t>
      </w:r>
      <w:r w:rsidRPr="00B61490">
        <w:rPr>
          <w:rFonts w:cs="Times New Roman"/>
          <w:i/>
          <w:lang w:val="fr-CA"/>
        </w:rPr>
        <w:t>La procédure et les usages de la Chambre des communes</w:t>
      </w:r>
      <w:r w:rsidRPr="00B61490">
        <w:rPr>
          <w:rFonts w:cs="Times New Roman"/>
          <w:lang w:val="fr-CA"/>
        </w:rPr>
        <w:t xml:space="preserve"> (2</w:t>
      </w:r>
      <w:r w:rsidRPr="00B61490">
        <w:rPr>
          <w:rFonts w:cs="Times New Roman"/>
          <w:vertAlign w:val="superscript"/>
          <w:lang w:val="fr-CA"/>
        </w:rPr>
        <w:t>e</w:t>
      </w:r>
      <w:r w:rsidRPr="00B61490">
        <w:rPr>
          <w:rFonts w:cs="Times New Roman"/>
          <w:lang w:val="fr-CA"/>
        </w:rPr>
        <w:t> éd. 2009), par A. O</w:t>
      </w:r>
      <w:r>
        <w:rPr>
          <w:rFonts w:cs="Times New Roman"/>
          <w:lang w:val="fr-CA"/>
        </w:rPr>
        <w:t>’</w:t>
      </w:r>
      <w:r w:rsidRPr="00B61490">
        <w:rPr>
          <w:rFonts w:cs="Times New Roman"/>
          <w:lang w:val="fr-CA"/>
        </w:rPr>
        <w:t>Brien et M. Bosc, p. 1177</w:t>
      </w:r>
      <w:r w:rsidR="00281961">
        <w:rPr>
          <w:rFonts w:cs="Times New Roman"/>
          <w:lang w:val="fr-CA"/>
        </w:rPr>
        <w:t>-1178</w:t>
      </w:r>
      <w:r w:rsidRPr="00B61490">
        <w:rPr>
          <w:rFonts w:cs="Times New Roman"/>
          <w:lang w:val="fr-CA"/>
        </w:rPr>
        <w:t>. En conséquence, de par sa nature, une telle loi n</w:t>
      </w:r>
      <w:r>
        <w:rPr>
          <w:rFonts w:cs="Times New Roman"/>
          <w:lang w:val="fr-CA"/>
        </w:rPr>
        <w:t>’</w:t>
      </w:r>
      <w:r w:rsidRPr="00B61490">
        <w:rPr>
          <w:rFonts w:cs="Times New Roman"/>
          <w:lang w:val="fr-CA"/>
        </w:rPr>
        <w:t>est pas une loi d</w:t>
      </w:r>
      <w:r>
        <w:rPr>
          <w:rFonts w:cs="Times New Roman"/>
          <w:lang w:val="fr-CA"/>
        </w:rPr>
        <w:t>’</w:t>
      </w:r>
      <w:r w:rsidRPr="00B61490">
        <w:rPr>
          <w:rFonts w:cs="Times New Roman"/>
          <w:lang w:val="fr-CA"/>
        </w:rPr>
        <w:t>application générale, et sa portée peut s</w:t>
      </w:r>
      <w:r>
        <w:rPr>
          <w:rFonts w:cs="Times New Roman"/>
          <w:lang w:val="fr-CA"/>
        </w:rPr>
        <w:t>’</w:t>
      </w:r>
      <w:r w:rsidRPr="00B61490">
        <w:rPr>
          <w:rFonts w:cs="Times New Roman"/>
          <w:lang w:val="fr-CA"/>
        </w:rPr>
        <w:t xml:space="preserve">avérer très limitée. La </w:t>
      </w:r>
      <w:r w:rsidRPr="00B61490">
        <w:rPr>
          <w:rFonts w:cs="Times New Roman"/>
          <w:i/>
          <w:lang w:val="fr-CA"/>
        </w:rPr>
        <w:t>Loi d</w:t>
      </w:r>
      <w:r>
        <w:rPr>
          <w:rFonts w:cs="Times New Roman"/>
          <w:i/>
          <w:lang w:val="fr-CA"/>
        </w:rPr>
        <w:t>’</w:t>
      </w:r>
      <w:r w:rsidRPr="00B61490">
        <w:rPr>
          <w:rFonts w:cs="Times New Roman"/>
          <w:i/>
          <w:lang w:val="fr-CA"/>
        </w:rPr>
        <w:t>interprétation</w:t>
      </w:r>
      <w:r w:rsidRPr="00B61490">
        <w:rPr>
          <w:rFonts w:cs="Times New Roman"/>
          <w:lang w:val="fr-CA"/>
        </w:rPr>
        <w:t xml:space="preserve"> fédérale, L.R.C. 1985, c. I</w:t>
      </w:r>
      <w:r w:rsidRPr="00B61490">
        <w:rPr>
          <w:rFonts w:cs="Times New Roman"/>
          <w:lang w:val="fr-CA"/>
        </w:rPr>
        <w:noBreakHyphen/>
        <w:t>21, art. 9, précise que « [l]es lois d</w:t>
      </w:r>
      <w:r>
        <w:rPr>
          <w:rFonts w:cs="Times New Roman"/>
          <w:lang w:val="fr-CA"/>
        </w:rPr>
        <w:t>’</w:t>
      </w:r>
      <w:r w:rsidRPr="00B61490">
        <w:rPr>
          <w:rFonts w:cs="Times New Roman"/>
          <w:lang w:val="fr-CA"/>
        </w:rPr>
        <w:t>intérêt privé n</w:t>
      </w:r>
      <w:r>
        <w:rPr>
          <w:rFonts w:cs="Times New Roman"/>
          <w:lang w:val="fr-CA"/>
        </w:rPr>
        <w:t>’</w:t>
      </w:r>
      <w:r w:rsidRPr="00B61490">
        <w:rPr>
          <w:rFonts w:cs="Times New Roman"/>
          <w:lang w:val="fr-CA"/>
        </w:rPr>
        <w:t>ont d</w:t>
      </w:r>
      <w:r>
        <w:rPr>
          <w:rFonts w:cs="Times New Roman"/>
          <w:lang w:val="fr-CA"/>
        </w:rPr>
        <w:t>’</w:t>
      </w:r>
      <w:r w:rsidRPr="00B61490">
        <w:rPr>
          <w:rFonts w:cs="Times New Roman"/>
          <w:lang w:val="fr-CA"/>
        </w:rPr>
        <w:t xml:space="preserve">effet sur les droits subjectifs que dans la mesure qui y est prévue. » Par exemple, la loi intitulée </w:t>
      </w:r>
      <w:r w:rsidRPr="00B61490">
        <w:rPr>
          <w:rFonts w:cs="Times New Roman"/>
          <w:i/>
          <w:lang w:val="fr-CA"/>
        </w:rPr>
        <w:t>United Church of Canada Act</w:t>
      </w:r>
      <w:r w:rsidRPr="00B61490">
        <w:rPr>
          <w:rFonts w:cs="Times New Roman"/>
          <w:lang w:val="fr-CA"/>
        </w:rPr>
        <w:t xml:space="preserve"> (1924), 14 &amp; 15 </w:t>
      </w:r>
      <w:proofErr w:type="spellStart"/>
      <w:r w:rsidRPr="00B61490">
        <w:rPr>
          <w:rFonts w:cs="Times New Roman"/>
          <w:lang w:val="fr-CA"/>
        </w:rPr>
        <w:t>Geo</w:t>
      </w:r>
      <w:proofErr w:type="spellEnd"/>
      <w:r w:rsidRPr="00B61490">
        <w:rPr>
          <w:rFonts w:cs="Times New Roman"/>
          <w:lang w:val="fr-CA"/>
        </w:rPr>
        <w:t xml:space="preserve">. 5, c. 100, a donné effet à un accord de transfert de droits de propriété (par les </w:t>
      </w:r>
      <w:r w:rsidRPr="00B61490">
        <w:rPr>
          <w:rFonts w:cs="Times New Roman"/>
          <w:lang w:val="fr-CA"/>
        </w:rPr>
        <w:lastRenderedPageBreak/>
        <w:t>églises méthodistes et congrégationalistes</w:t>
      </w:r>
      <w:r>
        <w:rPr>
          <w:rFonts w:cs="Times New Roman"/>
          <w:lang w:val="fr-CA"/>
        </w:rPr>
        <w:t>,</w:t>
      </w:r>
      <w:r w:rsidRPr="00B61490">
        <w:rPr>
          <w:rFonts w:cs="Times New Roman"/>
          <w:lang w:val="fr-CA"/>
        </w:rPr>
        <w:t xml:space="preserve"> et par certaines églises presbytériennes) au moment de la création de l</w:t>
      </w:r>
      <w:r>
        <w:rPr>
          <w:rFonts w:cs="Times New Roman"/>
          <w:lang w:val="fr-CA"/>
        </w:rPr>
        <w:t>’</w:t>
      </w:r>
      <w:r w:rsidRPr="00B61490">
        <w:rPr>
          <w:rFonts w:cs="Times New Roman"/>
          <w:lang w:val="fr-CA"/>
        </w:rPr>
        <w:t>Église unie du Canada, il ne s</w:t>
      </w:r>
      <w:r>
        <w:rPr>
          <w:rFonts w:cs="Times New Roman"/>
          <w:lang w:val="fr-CA"/>
        </w:rPr>
        <w:t>’</w:t>
      </w:r>
      <w:r w:rsidRPr="00B61490">
        <w:rPr>
          <w:rFonts w:cs="Times New Roman"/>
          <w:lang w:val="fr-CA"/>
        </w:rPr>
        <w:t>agissait pas d</w:t>
      </w:r>
      <w:r>
        <w:rPr>
          <w:rFonts w:cs="Times New Roman"/>
          <w:lang w:val="fr-CA"/>
        </w:rPr>
        <w:t>’</w:t>
      </w:r>
      <w:r w:rsidRPr="00B61490">
        <w:rPr>
          <w:rFonts w:cs="Times New Roman"/>
          <w:lang w:val="fr-CA"/>
        </w:rPr>
        <w:t>une attribution législative de pouvoirs.</w:t>
      </w:r>
    </w:p>
    <w:p w:rsidR="006A3C1C" w:rsidRDefault="006A3C1C" w:rsidP="00566B15">
      <w:pPr>
        <w:pStyle w:val="ParaNoNdepar-AltN"/>
        <w:widowControl w:val="0"/>
        <w:rPr>
          <w:rFonts w:cs="Times New Roman"/>
          <w:lang w:val="fr-CA"/>
        </w:rPr>
      </w:pPr>
      <w:r w:rsidRPr="00B61490">
        <w:rPr>
          <w:rFonts w:cs="Times New Roman"/>
          <w:lang w:val="fr-CA"/>
        </w:rPr>
        <w:t>Le second courant jurisprudentiel autorisant le contrôle judiciaire des décisions rendues par des associations volontaires qui ne sont pas constituées par une loi (d</w:t>
      </w:r>
      <w:r>
        <w:rPr>
          <w:rFonts w:cs="Times New Roman"/>
          <w:lang w:val="fr-CA"/>
        </w:rPr>
        <w:t>’</w:t>
      </w:r>
      <w:r w:rsidRPr="00B61490">
        <w:rPr>
          <w:rFonts w:cs="Times New Roman"/>
          <w:lang w:val="fr-CA"/>
        </w:rPr>
        <w:t>intérêt public ou privé) s</w:t>
      </w:r>
      <w:r>
        <w:rPr>
          <w:rFonts w:cs="Times New Roman"/>
          <w:lang w:val="fr-CA"/>
        </w:rPr>
        <w:t>’</w:t>
      </w:r>
      <w:r w:rsidRPr="00B61490">
        <w:rPr>
          <w:rFonts w:cs="Times New Roman"/>
          <w:lang w:val="fr-CA"/>
        </w:rPr>
        <w:t>attache seulement à la question de savoir si l</w:t>
      </w:r>
      <w:r>
        <w:rPr>
          <w:rFonts w:cs="Times New Roman"/>
          <w:lang w:val="fr-CA"/>
        </w:rPr>
        <w:t>’</w:t>
      </w:r>
      <w:r w:rsidRPr="00B61490">
        <w:rPr>
          <w:rFonts w:cs="Times New Roman"/>
          <w:lang w:val="fr-CA"/>
        </w:rPr>
        <w:t xml:space="preserve">association ou la décision en cause présente une nature suffisamment publique : </w:t>
      </w:r>
      <w:r w:rsidRPr="00B61490">
        <w:rPr>
          <w:rFonts w:cs="Times New Roman"/>
          <w:i/>
          <w:lang w:val="fr-CA"/>
        </w:rPr>
        <w:t>Graff c. New Democratic Party</w:t>
      </w:r>
      <w:r w:rsidRPr="00B61490">
        <w:rPr>
          <w:rFonts w:cs="Times New Roman"/>
          <w:lang w:val="fr-CA"/>
        </w:rPr>
        <w:t>, 2017 ONSC 3578, par. 18 (</w:t>
      </w:r>
      <w:proofErr w:type="spellStart"/>
      <w:r w:rsidRPr="00B61490">
        <w:rPr>
          <w:rFonts w:cs="Times New Roman"/>
          <w:lang w:val="fr-CA"/>
        </w:rPr>
        <w:t>CanLII</w:t>
      </w:r>
      <w:proofErr w:type="spellEnd"/>
      <w:r w:rsidRPr="00B61490">
        <w:rPr>
          <w:rFonts w:cs="Times New Roman"/>
          <w:lang w:val="fr-CA"/>
        </w:rPr>
        <w:t xml:space="preserve">); </w:t>
      </w:r>
      <w:r w:rsidRPr="00B61490">
        <w:rPr>
          <w:rFonts w:cs="Times New Roman"/>
          <w:i/>
          <w:lang w:val="fr-CA"/>
        </w:rPr>
        <w:t xml:space="preserve">Erin Mills Soccer Club c. Ontario Soccer </w:t>
      </w:r>
      <w:proofErr w:type="spellStart"/>
      <w:r w:rsidRPr="00B61490">
        <w:rPr>
          <w:rFonts w:cs="Times New Roman"/>
          <w:i/>
          <w:lang w:val="fr-CA"/>
        </w:rPr>
        <w:t>Assn</w:t>
      </w:r>
      <w:proofErr w:type="spellEnd"/>
      <w:r w:rsidRPr="00B61490">
        <w:rPr>
          <w:rFonts w:cs="Times New Roman"/>
          <w:i/>
          <w:lang w:val="fr-CA"/>
        </w:rPr>
        <w:t>.</w:t>
      </w:r>
      <w:r w:rsidRPr="00B61490">
        <w:rPr>
          <w:rFonts w:cs="Times New Roman"/>
          <w:lang w:val="fr-CA"/>
        </w:rPr>
        <w:t xml:space="preserve">, 2016 ONSC 7718, 15 Admin. </w:t>
      </w:r>
      <w:r w:rsidRPr="00B61490">
        <w:rPr>
          <w:rFonts w:cs="Times New Roman"/>
          <w:lang w:val="en-US"/>
        </w:rPr>
        <w:t xml:space="preserve">L.R. (6th) 138, par. 60; </w:t>
      </w:r>
      <w:r w:rsidRPr="00B61490">
        <w:rPr>
          <w:rFonts w:cs="Times New Roman"/>
          <w:i/>
          <w:lang w:val="en-US"/>
        </w:rPr>
        <w:t>West Toronto United Football Club c. Ontario Soccer Association</w:t>
      </w:r>
      <w:r w:rsidRPr="00B61490">
        <w:rPr>
          <w:rFonts w:cs="Times New Roman"/>
          <w:lang w:val="en-US"/>
        </w:rPr>
        <w:t>, 2014 ONSC 5881, 327 O.A.C. 29, par. 17</w:t>
      </w:r>
      <w:r w:rsidRPr="00B61490">
        <w:rPr>
          <w:rFonts w:cs="Times New Roman"/>
          <w:lang w:val="en-US"/>
        </w:rPr>
        <w:noBreakHyphen/>
        <w:t xml:space="preserve">18. </w:t>
      </w:r>
      <w:bookmarkStart w:id="5" w:name="_Toc504655777"/>
      <w:r w:rsidRPr="00B61490">
        <w:rPr>
          <w:rFonts w:cs="Times New Roman"/>
          <w:lang w:val="fr-CA"/>
        </w:rPr>
        <w:t>Ces décisions s</w:t>
      </w:r>
      <w:r>
        <w:rPr>
          <w:rFonts w:cs="Times New Roman"/>
          <w:lang w:val="fr-CA"/>
        </w:rPr>
        <w:t>’</w:t>
      </w:r>
      <w:r w:rsidRPr="00B61490">
        <w:rPr>
          <w:rFonts w:cs="Times New Roman"/>
          <w:lang w:val="fr-CA"/>
        </w:rPr>
        <w:t>appuient sur l</w:t>
      </w:r>
      <w:r>
        <w:rPr>
          <w:rFonts w:cs="Times New Roman"/>
          <w:lang w:val="fr-CA"/>
        </w:rPr>
        <w:t>’</w:t>
      </w:r>
      <w:r w:rsidRPr="00B61490">
        <w:rPr>
          <w:rFonts w:cs="Times New Roman"/>
          <w:lang w:val="fr-CA"/>
        </w:rPr>
        <w:t xml:space="preserve">arrêt </w:t>
      </w:r>
      <w:proofErr w:type="spellStart"/>
      <w:r w:rsidRPr="00B61490">
        <w:rPr>
          <w:rFonts w:cs="Times New Roman"/>
          <w:i/>
          <w:lang w:val="fr-CA"/>
        </w:rPr>
        <w:t>Setia</w:t>
      </w:r>
      <w:proofErr w:type="spellEnd"/>
      <w:r w:rsidRPr="00B61490">
        <w:rPr>
          <w:rFonts w:cs="Times New Roman"/>
          <w:i/>
          <w:lang w:val="fr-CA"/>
        </w:rPr>
        <w:t xml:space="preserve"> c. Appleby </w:t>
      </w:r>
      <w:proofErr w:type="spellStart"/>
      <w:r w:rsidRPr="00B61490">
        <w:rPr>
          <w:rFonts w:cs="Times New Roman"/>
          <w:i/>
          <w:lang w:val="fr-CA"/>
        </w:rPr>
        <w:t>College</w:t>
      </w:r>
      <w:proofErr w:type="spellEnd"/>
      <w:r w:rsidRPr="00B61490">
        <w:rPr>
          <w:rFonts w:cs="Times New Roman"/>
          <w:lang w:val="fr-CA"/>
        </w:rPr>
        <w:t>, 2013 ONCA 753, 118 O.R. (3d) 481</w:t>
      </w:r>
      <w:r>
        <w:rPr>
          <w:rFonts w:cs="Times New Roman"/>
          <w:lang w:val="fr-CA"/>
        </w:rPr>
        <w:t>,</w:t>
      </w:r>
      <w:r w:rsidRPr="00B61490">
        <w:rPr>
          <w:rFonts w:cs="Times New Roman"/>
          <w:lang w:val="fr-CA"/>
        </w:rPr>
        <w:t xml:space="preserve"> de la Cour d</w:t>
      </w:r>
      <w:r>
        <w:rPr>
          <w:rFonts w:cs="Times New Roman"/>
          <w:lang w:val="fr-CA"/>
        </w:rPr>
        <w:t>’</w:t>
      </w:r>
      <w:r w:rsidRPr="00B61490">
        <w:rPr>
          <w:rFonts w:cs="Times New Roman"/>
          <w:lang w:val="fr-CA"/>
        </w:rPr>
        <w:t>appel de l</w:t>
      </w:r>
      <w:r>
        <w:rPr>
          <w:rFonts w:cs="Times New Roman"/>
          <w:lang w:val="fr-CA"/>
        </w:rPr>
        <w:t>’</w:t>
      </w:r>
      <w:r w:rsidRPr="00B61490">
        <w:rPr>
          <w:rFonts w:cs="Times New Roman"/>
          <w:lang w:val="fr-CA"/>
        </w:rPr>
        <w:t>Ontario. Dans cette affaire, la Cour d</w:t>
      </w:r>
      <w:r>
        <w:rPr>
          <w:rFonts w:cs="Times New Roman"/>
          <w:lang w:val="fr-CA"/>
        </w:rPr>
        <w:t>’</w:t>
      </w:r>
      <w:r w:rsidRPr="00B61490">
        <w:rPr>
          <w:rFonts w:cs="Times New Roman"/>
          <w:lang w:val="fr-CA"/>
        </w:rPr>
        <w:t>appel a décidé qu</w:t>
      </w:r>
      <w:r>
        <w:rPr>
          <w:rFonts w:cs="Times New Roman"/>
          <w:lang w:val="fr-CA"/>
        </w:rPr>
        <w:t>’</w:t>
      </w:r>
      <w:r w:rsidRPr="00B61490">
        <w:rPr>
          <w:rFonts w:cs="Times New Roman"/>
          <w:lang w:val="fr-CA"/>
        </w:rPr>
        <w:t>il n</w:t>
      </w:r>
      <w:r>
        <w:rPr>
          <w:rFonts w:cs="Times New Roman"/>
          <w:lang w:val="fr-CA"/>
        </w:rPr>
        <w:t>’</w:t>
      </w:r>
      <w:r w:rsidRPr="00B61490">
        <w:rPr>
          <w:rFonts w:cs="Times New Roman"/>
          <w:lang w:val="fr-CA"/>
        </w:rPr>
        <w:t xml:space="preserve">y avait pas ouverture à contrôle judiciaire, parce que la question ne possédait </w:t>
      </w:r>
      <w:r>
        <w:rPr>
          <w:rFonts w:cs="Times New Roman"/>
          <w:lang w:val="fr-CA"/>
        </w:rPr>
        <w:t xml:space="preserve">pas </w:t>
      </w:r>
      <w:r w:rsidRPr="00B61490">
        <w:rPr>
          <w:rFonts w:cs="Times New Roman"/>
          <w:lang w:val="fr-CA"/>
        </w:rPr>
        <w:t>une dimension suffisamment publique, malgré la présence de certains éléments tendant à indiquer le contraire (comme le fait que l</w:t>
      </w:r>
      <w:r>
        <w:rPr>
          <w:rFonts w:cs="Times New Roman"/>
          <w:lang w:val="fr-CA"/>
        </w:rPr>
        <w:t>’</w:t>
      </w:r>
      <w:r w:rsidRPr="00B61490">
        <w:rPr>
          <w:rFonts w:cs="Times New Roman"/>
          <w:lang w:val="fr-CA"/>
        </w:rPr>
        <w:t>école avait été créée par une loi d</w:t>
      </w:r>
      <w:r>
        <w:rPr>
          <w:rFonts w:cs="Times New Roman"/>
          <w:lang w:val="fr-CA"/>
        </w:rPr>
        <w:t>’</w:t>
      </w:r>
      <w:r w:rsidRPr="00B61490">
        <w:rPr>
          <w:rFonts w:cs="Times New Roman"/>
          <w:lang w:val="fr-CA"/>
        </w:rPr>
        <w:t>intérêt privé</w:t>
      </w:r>
      <w:r>
        <w:rPr>
          <w:rFonts w:cs="Times New Roman"/>
          <w:lang w:val="fr-CA"/>
        </w:rPr>
        <w:t xml:space="preserve">) </w:t>
      </w:r>
      <w:r w:rsidRPr="00B61490">
        <w:rPr>
          <w:rFonts w:cs="Times New Roman"/>
          <w:lang w:val="fr-CA"/>
        </w:rPr>
        <w:t xml:space="preserve">(par. 41). </w:t>
      </w:r>
    </w:p>
    <w:p w:rsidR="006A3C1C" w:rsidRPr="00B61490" w:rsidRDefault="006A3C1C" w:rsidP="00566B15">
      <w:pPr>
        <w:pStyle w:val="ParaNoNdepar-AltN"/>
        <w:widowControl w:val="0"/>
        <w:rPr>
          <w:rFonts w:cs="Times New Roman"/>
          <w:lang w:val="fr-CA"/>
        </w:rPr>
      </w:pPr>
      <w:r w:rsidRPr="00B61490">
        <w:rPr>
          <w:rFonts w:cs="Times New Roman"/>
          <w:lang w:val="fr-CA"/>
        </w:rPr>
        <w:t>À mon avis, ces différents jugements n</w:t>
      </w:r>
      <w:r>
        <w:rPr>
          <w:rFonts w:cs="Times New Roman"/>
          <w:lang w:val="fr-CA"/>
        </w:rPr>
        <w:t>’</w:t>
      </w:r>
      <w:r w:rsidRPr="00B61490">
        <w:rPr>
          <w:rFonts w:cs="Times New Roman"/>
          <w:lang w:val="fr-CA"/>
        </w:rPr>
        <w:t>ont pas pour effet d</w:t>
      </w:r>
      <w:r>
        <w:rPr>
          <w:rFonts w:cs="Times New Roman"/>
          <w:lang w:val="fr-CA"/>
        </w:rPr>
        <w:t>’</w:t>
      </w:r>
      <w:r w:rsidRPr="00B61490">
        <w:rPr>
          <w:rFonts w:cs="Times New Roman"/>
          <w:lang w:val="fr-CA"/>
        </w:rPr>
        <w:t>autoriser le contrôle judiciaire des décisions d</w:t>
      </w:r>
      <w:r>
        <w:rPr>
          <w:rFonts w:cs="Times New Roman"/>
          <w:lang w:val="fr-CA"/>
        </w:rPr>
        <w:t>’</w:t>
      </w:r>
      <w:r w:rsidRPr="00B61490">
        <w:rPr>
          <w:rFonts w:cs="Times New Roman"/>
          <w:lang w:val="fr-CA"/>
        </w:rPr>
        <w:t>organismes privés. Les tribunaux se sont demandé comment une loi d</w:t>
      </w:r>
      <w:r>
        <w:rPr>
          <w:rFonts w:cs="Times New Roman"/>
          <w:lang w:val="fr-CA"/>
        </w:rPr>
        <w:t>’</w:t>
      </w:r>
      <w:r w:rsidRPr="00B61490">
        <w:rPr>
          <w:rFonts w:cs="Times New Roman"/>
          <w:lang w:val="fr-CA"/>
        </w:rPr>
        <w:t>intérêt privé — comme celle concernant l</w:t>
      </w:r>
      <w:r>
        <w:rPr>
          <w:rFonts w:cs="Times New Roman"/>
          <w:lang w:val="fr-CA"/>
        </w:rPr>
        <w:t>’</w:t>
      </w:r>
      <w:r w:rsidRPr="00B61490">
        <w:rPr>
          <w:rFonts w:cs="Times New Roman"/>
          <w:lang w:val="fr-CA"/>
        </w:rPr>
        <w:t>Église unie</w:t>
      </w:r>
      <w:r>
        <w:rPr>
          <w:rFonts w:cs="Times New Roman"/>
          <w:lang w:val="fr-CA"/>
        </w:rPr>
        <w:t xml:space="preserve"> du Canada</w:t>
      </w:r>
      <w:r w:rsidRPr="00B61490">
        <w:rPr>
          <w:rFonts w:cs="Times New Roman"/>
          <w:lang w:val="fr-CA"/>
        </w:rPr>
        <w:t xml:space="preserve"> —, qui ne confère aucun pouvoir d</w:t>
      </w:r>
      <w:r>
        <w:rPr>
          <w:rFonts w:cs="Times New Roman"/>
          <w:lang w:val="fr-CA"/>
        </w:rPr>
        <w:t>’</w:t>
      </w:r>
      <w:r w:rsidRPr="00B61490">
        <w:rPr>
          <w:rFonts w:cs="Times New Roman"/>
          <w:lang w:val="fr-CA"/>
        </w:rPr>
        <w:t>origine législative, pouvait donner lieu à l</w:t>
      </w:r>
      <w:r>
        <w:rPr>
          <w:rFonts w:cs="Times New Roman"/>
          <w:lang w:val="fr-CA"/>
        </w:rPr>
        <w:t>’</w:t>
      </w:r>
      <w:r w:rsidRPr="00B61490">
        <w:rPr>
          <w:rFonts w:cs="Times New Roman"/>
          <w:lang w:val="fr-CA"/>
        </w:rPr>
        <w:t xml:space="preserve">exercice de recours en contrôle judiciaire : voir </w:t>
      </w:r>
      <w:proofErr w:type="spellStart"/>
      <w:r w:rsidRPr="00B61490">
        <w:rPr>
          <w:rFonts w:cs="Times New Roman"/>
          <w:i/>
          <w:lang w:val="fr-CA"/>
        </w:rPr>
        <w:t>Greaves</w:t>
      </w:r>
      <w:proofErr w:type="spellEnd"/>
      <w:r w:rsidRPr="00B61490">
        <w:rPr>
          <w:rFonts w:cs="Times New Roman"/>
          <w:i/>
          <w:lang w:val="fr-CA"/>
        </w:rPr>
        <w:t xml:space="preserve"> c. United Church of </w:t>
      </w:r>
      <w:proofErr w:type="spellStart"/>
      <w:r w:rsidRPr="00B61490">
        <w:rPr>
          <w:rFonts w:cs="Times New Roman"/>
          <w:i/>
          <w:lang w:val="fr-CA"/>
        </w:rPr>
        <w:t>God</w:t>
      </w:r>
      <w:proofErr w:type="spellEnd"/>
      <w:r w:rsidRPr="00B61490">
        <w:rPr>
          <w:rFonts w:cs="Times New Roman"/>
          <w:i/>
          <w:lang w:val="fr-CA"/>
        </w:rPr>
        <w:t xml:space="preserve"> Canada</w:t>
      </w:r>
      <w:r w:rsidRPr="00B61490">
        <w:rPr>
          <w:rFonts w:cs="Times New Roman"/>
          <w:lang w:val="fr-CA"/>
        </w:rPr>
        <w:t xml:space="preserve">, 2003 </w:t>
      </w:r>
      <w:r w:rsidRPr="00B61490">
        <w:rPr>
          <w:rFonts w:cs="Times New Roman"/>
          <w:lang w:val="fr-CA"/>
        </w:rPr>
        <w:lastRenderedPageBreak/>
        <w:t xml:space="preserve">BCSC 1365, 27 C.C.E.L. (3d) 46, par. 29; </w:t>
      </w:r>
      <w:proofErr w:type="spellStart"/>
      <w:r w:rsidRPr="00B61490">
        <w:rPr>
          <w:rFonts w:cs="Times New Roman"/>
          <w:i/>
          <w:lang w:val="fr-CA"/>
        </w:rPr>
        <w:t>Setia</w:t>
      </w:r>
      <w:proofErr w:type="spellEnd"/>
      <w:r w:rsidRPr="00B61490">
        <w:rPr>
          <w:rFonts w:cs="Times New Roman"/>
          <w:lang w:val="fr-CA"/>
        </w:rPr>
        <w:t>, par. 36. Les jugements qui se fondent sur l</w:t>
      </w:r>
      <w:r>
        <w:rPr>
          <w:rFonts w:cs="Times New Roman"/>
          <w:lang w:val="fr-CA"/>
        </w:rPr>
        <w:t>’</w:t>
      </w:r>
      <w:r w:rsidRPr="00B61490">
        <w:rPr>
          <w:rFonts w:cs="Times New Roman"/>
          <w:lang w:val="fr-CA"/>
        </w:rPr>
        <w:t xml:space="preserve">arrêt </w:t>
      </w:r>
      <w:proofErr w:type="spellStart"/>
      <w:r w:rsidRPr="00B61490">
        <w:rPr>
          <w:rFonts w:cs="Times New Roman"/>
          <w:i/>
          <w:lang w:val="fr-CA"/>
        </w:rPr>
        <w:t>Setia</w:t>
      </w:r>
      <w:proofErr w:type="spellEnd"/>
      <w:r w:rsidRPr="00B61490">
        <w:rPr>
          <w:rFonts w:cs="Times New Roman"/>
          <w:lang w:val="fr-CA"/>
        </w:rPr>
        <w:t xml:space="preserve"> présentent le problème suivant : les tribunaux y concluent qu</w:t>
      </w:r>
      <w:r>
        <w:rPr>
          <w:rFonts w:cs="Times New Roman"/>
          <w:lang w:val="fr-CA"/>
        </w:rPr>
        <w:t>’</w:t>
      </w:r>
      <w:r w:rsidRPr="00B61490">
        <w:rPr>
          <w:rFonts w:cs="Times New Roman"/>
          <w:lang w:val="fr-CA"/>
        </w:rPr>
        <w:t>une décision ayant des répercussions publiques considérables (« </w:t>
      </w:r>
      <w:proofErr w:type="spellStart"/>
      <w:r w:rsidRPr="00B61490">
        <w:rPr>
          <w:rFonts w:cs="Times New Roman"/>
          <w:i/>
          <w:lang w:val="fr-CA"/>
        </w:rPr>
        <w:t>broad</w:t>
      </w:r>
      <w:proofErr w:type="spellEnd"/>
      <w:r w:rsidRPr="00B61490">
        <w:rPr>
          <w:rFonts w:cs="Times New Roman"/>
          <w:i/>
          <w:lang w:val="fr-CA"/>
        </w:rPr>
        <w:t xml:space="preserve"> public impact</w:t>
      </w:r>
      <w:r w:rsidRPr="00B61490">
        <w:rPr>
          <w:rFonts w:cs="Times New Roman"/>
          <w:lang w:val="fr-CA"/>
        </w:rPr>
        <w:t xml:space="preserve"> ») </w:t>
      </w:r>
      <w:r>
        <w:rPr>
          <w:rFonts w:cs="Times New Roman"/>
          <w:lang w:val="fr-CA"/>
        </w:rPr>
        <w:t xml:space="preserve">possède </w:t>
      </w:r>
      <w:r w:rsidRPr="00B61490">
        <w:rPr>
          <w:rFonts w:cs="Times New Roman"/>
          <w:lang w:val="fr-CA"/>
        </w:rPr>
        <w:t xml:space="preserve">une nature suffisamment publique et est donc susceptible de contrôle judiciaire : </w:t>
      </w:r>
      <w:r w:rsidRPr="00B61490">
        <w:rPr>
          <w:rFonts w:cs="Times New Roman"/>
          <w:i/>
          <w:lang w:val="fr-CA"/>
        </w:rPr>
        <w:t>Graff</w:t>
      </w:r>
      <w:r w:rsidRPr="00B61490">
        <w:rPr>
          <w:rFonts w:cs="Times New Roman"/>
          <w:lang w:val="fr-CA"/>
        </w:rPr>
        <w:t xml:space="preserve">, par. 18; </w:t>
      </w:r>
      <w:r w:rsidRPr="00B61490">
        <w:rPr>
          <w:rFonts w:cs="Times New Roman"/>
          <w:i/>
          <w:lang w:val="fr-CA"/>
        </w:rPr>
        <w:t>West Toronto United Football Club</w:t>
      </w:r>
      <w:r w:rsidRPr="00B61490">
        <w:rPr>
          <w:rFonts w:cs="Times New Roman"/>
          <w:lang w:val="fr-CA"/>
        </w:rPr>
        <w:t>, par. 24. Aucune distinction n</w:t>
      </w:r>
      <w:r>
        <w:rPr>
          <w:rFonts w:cs="Times New Roman"/>
          <w:lang w:val="fr-CA"/>
        </w:rPr>
        <w:t>’</w:t>
      </w:r>
      <w:r w:rsidRPr="00B61490">
        <w:rPr>
          <w:rFonts w:cs="Times New Roman"/>
          <w:lang w:val="fr-CA"/>
        </w:rPr>
        <w:t>est faite dans ces jugements entre l</w:t>
      </w:r>
      <w:r>
        <w:rPr>
          <w:rFonts w:cs="Times New Roman"/>
          <w:lang w:val="fr-CA"/>
        </w:rPr>
        <w:t>’</w:t>
      </w:r>
      <w:r w:rsidRPr="00B61490">
        <w:rPr>
          <w:rFonts w:cs="Times New Roman"/>
          <w:lang w:val="fr-CA"/>
        </w:rPr>
        <w:t>adjectif anglais « </w:t>
      </w:r>
      <w:r w:rsidRPr="00B61490">
        <w:rPr>
          <w:rFonts w:cs="Times New Roman"/>
          <w:i/>
          <w:lang w:val="fr-CA"/>
        </w:rPr>
        <w:t>public</w:t>
      </w:r>
      <w:r w:rsidRPr="00B61490">
        <w:rPr>
          <w:rFonts w:cs="Times New Roman"/>
          <w:lang w:val="fr-CA"/>
        </w:rPr>
        <w:t> » (« public, que » en français) utilisé dans son sens général et le sens de ce même mot dans l</w:t>
      </w:r>
      <w:r>
        <w:rPr>
          <w:rFonts w:cs="Times New Roman"/>
          <w:lang w:val="fr-CA"/>
        </w:rPr>
        <w:t>’</w:t>
      </w:r>
      <w:r w:rsidRPr="00B61490">
        <w:rPr>
          <w:rFonts w:cs="Times New Roman"/>
          <w:lang w:val="fr-CA"/>
        </w:rPr>
        <w:t>expression « </w:t>
      </w:r>
      <w:r w:rsidRPr="00B61490">
        <w:rPr>
          <w:rFonts w:cs="Times New Roman"/>
          <w:i/>
          <w:lang w:val="fr-CA"/>
        </w:rPr>
        <w:t xml:space="preserve">public </w:t>
      </w:r>
      <w:proofErr w:type="spellStart"/>
      <w:r w:rsidRPr="00B61490">
        <w:rPr>
          <w:rFonts w:cs="Times New Roman"/>
          <w:i/>
          <w:lang w:val="fr-CA"/>
        </w:rPr>
        <w:t>law</w:t>
      </w:r>
      <w:proofErr w:type="spellEnd"/>
      <w:r w:rsidRPr="00B61490">
        <w:rPr>
          <w:rFonts w:cs="Times New Roman"/>
          <w:lang w:val="fr-CA"/>
        </w:rPr>
        <w:t> » (« droit public »). Selon moi, une décision est considérée comme étant de nature publique lorsqu</w:t>
      </w:r>
      <w:r>
        <w:rPr>
          <w:rFonts w:cs="Times New Roman"/>
          <w:lang w:val="fr-CA"/>
        </w:rPr>
        <w:t>’</w:t>
      </w:r>
      <w:r w:rsidRPr="00B61490">
        <w:rPr>
          <w:rFonts w:cs="Times New Roman"/>
          <w:lang w:val="fr-CA"/>
        </w:rPr>
        <w:t>elle porte sur des questions relatives à la primauté du droit et aux limites de l</w:t>
      </w:r>
      <w:r>
        <w:rPr>
          <w:rFonts w:cs="Times New Roman"/>
          <w:lang w:val="fr-CA"/>
        </w:rPr>
        <w:t>’</w:t>
      </w:r>
      <w:r w:rsidRPr="00B61490">
        <w:rPr>
          <w:rFonts w:cs="Times New Roman"/>
          <w:lang w:val="fr-CA"/>
        </w:rPr>
        <w:t>exercice par un décideur administratif de ses pouvoirs. Le simple fait qu</w:t>
      </w:r>
      <w:r>
        <w:rPr>
          <w:rFonts w:cs="Times New Roman"/>
          <w:lang w:val="fr-CA"/>
        </w:rPr>
        <w:t>’</w:t>
      </w:r>
      <w:r w:rsidRPr="00B61490">
        <w:rPr>
          <w:rFonts w:cs="Times New Roman"/>
          <w:lang w:val="fr-CA"/>
        </w:rPr>
        <w:t>une décision ait des répercussions sur un large segment du public n</w:t>
      </w:r>
      <w:r>
        <w:rPr>
          <w:rFonts w:cs="Times New Roman"/>
          <w:lang w:val="fr-CA"/>
        </w:rPr>
        <w:t>’</w:t>
      </w:r>
      <w:r w:rsidRPr="00B61490">
        <w:rPr>
          <w:rFonts w:cs="Times New Roman"/>
          <w:lang w:val="fr-CA"/>
        </w:rPr>
        <w:t>a pas pour effet de conférer à cette décision un caractère « public » au sens du droit administratif. Je le répète, le contrôle judiciaire vise la légalité des décisions prises par l</w:t>
      </w:r>
      <w:r>
        <w:rPr>
          <w:rFonts w:cs="Times New Roman"/>
          <w:lang w:val="fr-CA"/>
        </w:rPr>
        <w:t>’</w:t>
      </w:r>
      <w:r w:rsidRPr="00B61490">
        <w:rPr>
          <w:rFonts w:cs="Times New Roman"/>
          <w:lang w:val="fr-CA"/>
        </w:rPr>
        <w:t>État.</w:t>
      </w:r>
    </w:p>
    <w:p w:rsidR="006A3C1C" w:rsidRPr="00B61490" w:rsidRDefault="006A3C1C" w:rsidP="00566B15">
      <w:pPr>
        <w:pStyle w:val="ParaNoNdepar-AltN"/>
        <w:widowControl w:val="0"/>
        <w:rPr>
          <w:rFonts w:cs="Times New Roman"/>
          <w:lang w:val="fr-CA"/>
        </w:rPr>
      </w:pPr>
      <w:r w:rsidRPr="00B61490">
        <w:rPr>
          <w:rFonts w:cs="Times New Roman"/>
          <w:lang w:val="fr-CA"/>
        </w:rPr>
        <w:t>La confusion semble venir, du moins en partie, du fait que les tribunaux se sont appuyés sur l</w:t>
      </w:r>
      <w:r>
        <w:rPr>
          <w:rFonts w:cs="Times New Roman"/>
          <w:lang w:val="fr-CA"/>
        </w:rPr>
        <w:t>’</w:t>
      </w:r>
      <w:r w:rsidRPr="00B61490">
        <w:rPr>
          <w:rFonts w:cs="Times New Roman"/>
          <w:lang w:val="fr-CA"/>
        </w:rPr>
        <w:t xml:space="preserve">arrêt </w:t>
      </w:r>
      <w:r w:rsidRPr="00B61490">
        <w:rPr>
          <w:rFonts w:cs="Times New Roman"/>
          <w:i/>
          <w:lang w:val="fr-CA"/>
        </w:rPr>
        <w:t xml:space="preserve">Air Canada </w:t>
      </w:r>
      <w:r w:rsidRPr="00B61490">
        <w:rPr>
          <w:rFonts w:cs="Times New Roman"/>
          <w:lang w:val="fr-CA"/>
        </w:rPr>
        <w:t xml:space="preserve">pour déterminer si la question dont ils étaient saisis possédait une nature « suffisamment publique ». Toutefois, la question qui se posait dans </w:t>
      </w:r>
      <w:r w:rsidRPr="00B61490">
        <w:rPr>
          <w:rFonts w:cs="Times New Roman"/>
          <w:i/>
          <w:lang w:val="fr-CA"/>
        </w:rPr>
        <w:t xml:space="preserve">Air Canada </w:t>
      </w:r>
      <w:r w:rsidRPr="00B61490">
        <w:rPr>
          <w:rFonts w:cs="Times New Roman"/>
          <w:lang w:val="fr-CA"/>
        </w:rPr>
        <w:t>était celle de savoir si certaines entités publiques agissaient en qualité d</w:t>
      </w:r>
      <w:r>
        <w:rPr>
          <w:rFonts w:cs="Times New Roman"/>
          <w:lang w:val="fr-CA"/>
        </w:rPr>
        <w:t>’</w:t>
      </w:r>
      <w:r w:rsidRPr="00B61490">
        <w:rPr>
          <w:rFonts w:cs="Times New Roman"/>
          <w:lang w:val="fr-CA"/>
        </w:rPr>
        <w:t>offices fédéraux et étaient en conséquence assujetties au pouvoir de contrôle de la Cour fédérale. La proposition selon laquelle les décisions de nature privée des organismes publics ne sont pas susceptibles de contrôle judiciaire n</w:t>
      </w:r>
      <w:r>
        <w:rPr>
          <w:rFonts w:cs="Times New Roman"/>
          <w:lang w:val="fr-CA"/>
        </w:rPr>
        <w:t>’</w:t>
      </w:r>
      <w:r w:rsidRPr="00B61490">
        <w:rPr>
          <w:rFonts w:cs="Times New Roman"/>
          <w:lang w:val="fr-CA"/>
        </w:rPr>
        <w:t>implique pas que l</w:t>
      </w:r>
      <w:r>
        <w:rPr>
          <w:rFonts w:cs="Times New Roman"/>
          <w:lang w:val="fr-CA"/>
        </w:rPr>
        <w:t>’</w:t>
      </w:r>
      <w:r w:rsidRPr="00B61490">
        <w:rPr>
          <w:rFonts w:cs="Times New Roman"/>
          <w:lang w:val="fr-CA"/>
        </w:rPr>
        <w:t>inverse est vrai. Par conséquent, il ne s</w:t>
      </w:r>
      <w:r>
        <w:rPr>
          <w:rFonts w:cs="Times New Roman"/>
          <w:lang w:val="fr-CA"/>
        </w:rPr>
        <w:t>’</w:t>
      </w:r>
      <w:r w:rsidRPr="00B61490">
        <w:rPr>
          <w:rFonts w:cs="Times New Roman"/>
          <w:lang w:val="fr-CA"/>
        </w:rPr>
        <w:t xml:space="preserve">ensuit pas que les décisions de nature </w:t>
      </w:r>
      <w:r w:rsidRPr="00B61490">
        <w:rPr>
          <w:rFonts w:cs="Times New Roman"/>
          <w:lang w:val="fr-CA"/>
        </w:rPr>
        <w:lastRenderedPageBreak/>
        <w:t>« publique » prises par un organisme privé — c</w:t>
      </w:r>
      <w:r>
        <w:rPr>
          <w:rFonts w:cs="Times New Roman"/>
          <w:lang w:val="fr-CA"/>
        </w:rPr>
        <w:t>’</w:t>
      </w:r>
      <w:r w:rsidRPr="00B61490">
        <w:rPr>
          <w:rFonts w:cs="Times New Roman"/>
          <w:lang w:val="fr-CA"/>
        </w:rPr>
        <w:t>est</w:t>
      </w:r>
      <w:r w:rsidRPr="00B61490">
        <w:rPr>
          <w:rFonts w:cs="Times New Roman"/>
          <w:lang w:val="fr-CA"/>
        </w:rPr>
        <w:noBreakHyphen/>
        <w:t>à</w:t>
      </w:r>
      <w:r w:rsidRPr="00B61490">
        <w:rPr>
          <w:rFonts w:cs="Times New Roman"/>
          <w:lang w:val="fr-CA"/>
        </w:rPr>
        <w:noBreakHyphen/>
        <w:t>dire celles ayant des répercussions considérables — sont susceptibles de contrôle. La question qu</w:t>
      </w:r>
      <w:r>
        <w:rPr>
          <w:rFonts w:cs="Times New Roman"/>
          <w:lang w:val="fr-CA"/>
        </w:rPr>
        <w:t>’</w:t>
      </w:r>
      <w:r w:rsidRPr="00B61490">
        <w:rPr>
          <w:rFonts w:cs="Times New Roman"/>
          <w:lang w:val="fr-CA"/>
        </w:rPr>
        <w:t>il convient de se poser consiste à se demander si la légalité des décisions prises par l</w:t>
      </w:r>
      <w:r>
        <w:rPr>
          <w:rFonts w:cs="Times New Roman"/>
          <w:lang w:val="fr-CA"/>
        </w:rPr>
        <w:t>’</w:t>
      </w:r>
      <w:r w:rsidRPr="00B61490">
        <w:rPr>
          <w:rFonts w:cs="Times New Roman"/>
          <w:lang w:val="fr-CA"/>
        </w:rPr>
        <w:t>État est en jeu.</w:t>
      </w:r>
    </w:p>
    <w:p w:rsidR="006A3C1C" w:rsidRDefault="006A3C1C" w:rsidP="00566B15">
      <w:pPr>
        <w:pStyle w:val="ParaNoNdepar-AltN"/>
        <w:widowControl w:val="0"/>
        <w:rPr>
          <w:rFonts w:cs="Times New Roman"/>
          <w:lang w:val="fr-CA"/>
        </w:rPr>
      </w:pPr>
      <w:r w:rsidRPr="00B61490">
        <w:rPr>
          <w:rFonts w:cs="Times New Roman"/>
          <w:lang w:val="fr-CA"/>
        </w:rPr>
        <w:t>La présente affaire ne soulève aucune question relativement à la primauté du droit. La Congrégation n</w:t>
      </w:r>
      <w:r>
        <w:rPr>
          <w:rFonts w:cs="Times New Roman"/>
          <w:lang w:val="fr-CA"/>
        </w:rPr>
        <w:t>’</w:t>
      </w:r>
      <w:r w:rsidRPr="00B61490">
        <w:rPr>
          <w:rFonts w:cs="Times New Roman"/>
          <w:lang w:val="fr-CA"/>
        </w:rPr>
        <w:t>est pas constituée par une loi d</w:t>
      </w:r>
      <w:r>
        <w:rPr>
          <w:rFonts w:cs="Times New Roman"/>
          <w:lang w:val="fr-CA"/>
        </w:rPr>
        <w:t>’</w:t>
      </w:r>
      <w:r w:rsidRPr="00B61490">
        <w:rPr>
          <w:rFonts w:cs="Times New Roman"/>
          <w:lang w:val="fr-CA"/>
        </w:rPr>
        <w:t>intérêt privé et elle n</w:t>
      </w:r>
      <w:r>
        <w:rPr>
          <w:rFonts w:cs="Times New Roman"/>
          <w:lang w:val="fr-CA"/>
        </w:rPr>
        <w:t>’</w:t>
      </w:r>
      <w:r w:rsidRPr="00B61490">
        <w:rPr>
          <w:rFonts w:cs="Times New Roman"/>
          <w:lang w:val="fr-CA"/>
        </w:rPr>
        <w:t>exerce d</w:t>
      </w:r>
      <w:r>
        <w:rPr>
          <w:rFonts w:cs="Times New Roman"/>
          <w:lang w:val="fr-CA"/>
        </w:rPr>
        <w:t>’</w:t>
      </w:r>
      <w:r w:rsidRPr="00B61490">
        <w:rPr>
          <w:rFonts w:cs="Times New Roman"/>
          <w:lang w:val="fr-CA"/>
        </w:rPr>
        <w:t xml:space="preserve">aucune façon des pouvoirs étatiques. </w:t>
      </w:r>
    </w:p>
    <w:p w:rsidR="006A3C1C" w:rsidRPr="00B61490" w:rsidRDefault="006A3C1C" w:rsidP="00566B15">
      <w:pPr>
        <w:pStyle w:val="ParaNoNdepar-AltN"/>
        <w:widowControl w:val="0"/>
        <w:rPr>
          <w:rFonts w:cs="Times New Roman"/>
          <w:lang w:val="fr-CA"/>
        </w:rPr>
      </w:pPr>
      <w:r w:rsidRPr="00B61490">
        <w:rPr>
          <w:rFonts w:cs="Times New Roman"/>
          <w:lang w:val="fr-CA"/>
        </w:rPr>
        <w:t>Enfin, bien que M. Wall ait fait valoir à la Cour qu</w:t>
      </w:r>
      <w:r>
        <w:rPr>
          <w:rFonts w:cs="Times New Roman"/>
          <w:lang w:val="fr-CA"/>
        </w:rPr>
        <w:t>’</w:t>
      </w:r>
      <w:r w:rsidRPr="00B61490">
        <w:rPr>
          <w:rFonts w:cs="Times New Roman"/>
          <w:lang w:val="fr-CA"/>
        </w:rPr>
        <w:t>il ne demandait pas de contrôle judiciaire, c</w:t>
      </w:r>
      <w:r>
        <w:rPr>
          <w:rFonts w:cs="Times New Roman"/>
          <w:lang w:val="fr-CA"/>
        </w:rPr>
        <w:t>’</w:t>
      </w:r>
      <w:r w:rsidRPr="00B61490">
        <w:rPr>
          <w:rFonts w:cs="Times New Roman"/>
          <w:lang w:val="fr-CA"/>
        </w:rPr>
        <w:t>est néanmoins ce qu</w:t>
      </w:r>
      <w:r>
        <w:rPr>
          <w:rFonts w:cs="Times New Roman"/>
          <w:lang w:val="fr-CA"/>
        </w:rPr>
        <w:t>’</w:t>
      </w:r>
      <w:r w:rsidRPr="00B61490">
        <w:rPr>
          <w:rFonts w:cs="Times New Roman"/>
          <w:lang w:val="fr-CA"/>
        </w:rPr>
        <w:t>il fait dans sa demande introductive d</w:t>
      </w:r>
      <w:r>
        <w:rPr>
          <w:rFonts w:cs="Times New Roman"/>
          <w:lang w:val="fr-CA"/>
        </w:rPr>
        <w:t>’</w:t>
      </w:r>
      <w:r w:rsidRPr="00B61490">
        <w:rPr>
          <w:rFonts w:cs="Times New Roman"/>
          <w:lang w:val="fr-CA"/>
        </w:rPr>
        <w:t xml:space="preserve">instance en contrôle judiciaire. En effet, dans cette demande, il sollicite une ordonnance de </w:t>
      </w:r>
      <w:proofErr w:type="spellStart"/>
      <w:r w:rsidRPr="00B61490">
        <w:rPr>
          <w:rFonts w:cs="Times New Roman"/>
          <w:i/>
          <w:lang w:val="fr-CA"/>
        </w:rPr>
        <w:t>certiorari</w:t>
      </w:r>
      <w:proofErr w:type="spellEnd"/>
      <w:r w:rsidRPr="00B61490">
        <w:rPr>
          <w:rFonts w:cs="Times New Roman"/>
          <w:lang w:val="fr-CA"/>
        </w:rPr>
        <w:t xml:space="preserve"> qui annulerait la décision d</w:t>
      </w:r>
      <w:r>
        <w:rPr>
          <w:rFonts w:cs="Times New Roman"/>
          <w:lang w:val="fr-CA"/>
        </w:rPr>
        <w:t>’</w:t>
      </w:r>
      <w:r w:rsidRPr="00B61490">
        <w:rPr>
          <w:rFonts w:cs="Times New Roman"/>
          <w:lang w:val="fr-CA"/>
        </w:rPr>
        <w:t>excommunication dont il fait l</w:t>
      </w:r>
      <w:r>
        <w:rPr>
          <w:rFonts w:cs="Times New Roman"/>
          <w:lang w:val="fr-CA"/>
        </w:rPr>
        <w:t>’</w:t>
      </w:r>
      <w:r w:rsidRPr="00B61490">
        <w:rPr>
          <w:rFonts w:cs="Times New Roman"/>
          <w:lang w:val="fr-CA"/>
        </w:rPr>
        <w:t>objet. Je reconnais que M. Wall n</w:t>
      </w:r>
      <w:r>
        <w:rPr>
          <w:rFonts w:cs="Times New Roman"/>
          <w:lang w:val="fr-CA"/>
        </w:rPr>
        <w:t>’</w:t>
      </w:r>
      <w:r w:rsidRPr="00B61490">
        <w:rPr>
          <w:rFonts w:cs="Times New Roman"/>
          <w:lang w:val="fr-CA"/>
        </w:rPr>
        <w:t>était pas représenté lorsqu</w:t>
      </w:r>
      <w:r>
        <w:rPr>
          <w:rFonts w:cs="Times New Roman"/>
          <w:lang w:val="fr-CA"/>
        </w:rPr>
        <w:t>’</w:t>
      </w:r>
      <w:r w:rsidRPr="00B61490">
        <w:rPr>
          <w:rFonts w:cs="Times New Roman"/>
          <w:lang w:val="fr-CA"/>
        </w:rPr>
        <w:t>il a déposé sa demande. Les commentaires qui précèdent ne doivent pas être considérés comme une indication que je rejette le pourvoi pour une simple question de forme ou pour cause d</w:t>
      </w:r>
      <w:r>
        <w:rPr>
          <w:rFonts w:cs="Times New Roman"/>
          <w:lang w:val="fr-CA"/>
        </w:rPr>
        <w:t>’</w:t>
      </w:r>
      <w:r w:rsidRPr="00B61490">
        <w:rPr>
          <w:rFonts w:cs="Times New Roman"/>
          <w:lang w:val="fr-CA"/>
        </w:rPr>
        <w:t>erreurs sémantiques dans la demande. Toutefois, il faut néanmoins tenir compte des implications du fait d</w:t>
      </w:r>
      <w:r>
        <w:rPr>
          <w:rFonts w:cs="Times New Roman"/>
          <w:lang w:val="fr-CA"/>
        </w:rPr>
        <w:t>’</w:t>
      </w:r>
      <w:r w:rsidRPr="00B61490">
        <w:rPr>
          <w:rFonts w:cs="Times New Roman"/>
          <w:lang w:val="fr-CA"/>
        </w:rPr>
        <w:t>accueillir un pourvoi. Le présent appel ne porte que sur la question de la compétence du tribunal concerné; il est difficile de déterminer quelle autre réparation serait demandée si l</w:t>
      </w:r>
      <w:r>
        <w:rPr>
          <w:rFonts w:cs="Times New Roman"/>
          <w:lang w:val="fr-CA"/>
        </w:rPr>
        <w:t>’</w:t>
      </w:r>
      <w:r w:rsidRPr="00B61490">
        <w:rPr>
          <w:rFonts w:cs="Times New Roman"/>
          <w:lang w:val="fr-CA"/>
        </w:rPr>
        <w:t>affaire était renvoyée à la Cour du Banc de la Reine pour audition sur le fond. Cependant, comme je l</w:t>
      </w:r>
      <w:r>
        <w:rPr>
          <w:rFonts w:cs="Times New Roman"/>
          <w:lang w:val="fr-CA"/>
        </w:rPr>
        <w:t>’</w:t>
      </w:r>
      <w:r w:rsidRPr="00B61490">
        <w:rPr>
          <w:rFonts w:cs="Times New Roman"/>
          <w:lang w:val="fr-CA"/>
        </w:rPr>
        <w:t>ai indiqué précédemment, le contrôle judiciaire n</w:t>
      </w:r>
      <w:r>
        <w:rPr>
          <w:rFonts w:cs="Times New Roman"/>
          <w:lang w:val="fr-CA"/>
        </w:rPr>
        <w:t>’</w:t>
      </w:r>
      <w:r w:rsidRPr="00B61490">
        <w:rPr>
          <w:rFonts w:cs="Times New Roman"/>
          <w:lang w:val="fr-CA"/>
        </w:rPr>
        <w:t>est pas un recours ouvert en l</w:t>
      </w:r>
      <w:r>
        <w:rPr>
          <w:rFonts w:cs="Times New Roman"/>
          <w:lang w:val="fr-CA"/>
        </w:rPr>
        <w:t>’</w:t>
      </w:r>
      <w:r w:rsidRPr="00B61490">
        <w:rPr>
          <w:rFonts w:cs="Times New Roman"/>
          <w:lang w:val="fr-CA"/>
        </w:rPr>
        <w:t>espèce.</w:t>
      </w:r>
    </w:p>
    <w:p w:rsidR="006A3C1C" w:rsidRPr="00B61490" w:rsidRDefault="006A3C1C" w:rsidP="00566B15">
      <w:pPr>
        <w:pStyle w:val="Title2LevelTitre2Niveau"/>
        <w:widowControl w:val="0"/>
        <w:rPr>
          <w:rFonts w:cs="Times New Roman"/>
          <w:lang w:val="fr-CA"/>
        </w:rPr>
      </w:pPr>
      <w:r w:rsidRPr="00B61490">
        <w:rPr>
          <w:rFonts w:cs="Times New Roman"/>
          <w:lang w:val="fr-CA"/>
        </w:rPr>
        <w:t>La capacité des tribunaux de contrôler les décisions d</w:t>
      </w:r>
      <w:r>
        <w:rPr>
          <w:rFonts w:cs="Times New Roman"/>
          <w:lang w:val="fr-CA"/>
        </w:rPr>
        <w:t>’</w:t>
      </w:r>
      <w:r w:rsidRPr="00B61490">
        <w:rPr>
          <w:rFonts w:cs="Times New Roman"/>
          <w:lang w:val="fr-CA"/>
        </w:rPr>
        <w:t xml:space="preserve">associations </w:t>
      </w:r>
      <w:bookmarkEnd w:id="5"/>
      <w:r w:rsidRPr="00B61490">
        <w:rPr>
          <w:rFonts w:cs="Times New Roman"/>
          <w:lang w:val="fr-CA"/>
        </w:rPr>
        <w:t xml:space="preserve">volontaires </w:t>
      </w:r>
      <w:r w:rsidRPr="00B61490">
        <w:rPr>
          <w:rFonts w:cs="Times New Roman"/>
          <w:lang w:val="fr-CA"/>
        </w:rPr>
        <w:lastRenderedPageBreak/>
        <w:t>pour des motifs fondés sur l</w:t>
      </w:r>
      <w:r>
        <w:rPr>
          <w:rFonts w:cs="Times New Roman"/>
          <w:lang w:val="fr-CA"/>
        </w:rPr>
        <w:t>’</w:t>
      </w:r>
      <w:r w:rsidRPr="00B61490">
        <w:rPr>
          <w:rFonts w:cs="Times New Roman"/>
          <w:lang w:val="fr-CA"/>
        </w:rPr>
        <w:t>équité procédurale</w:t>
      </w:r>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Même si M. Wall avait intenté une action ordinaire en déposant une déclaration, la seule question de son appartenance à une organisation religieuse — appartenance qui ne confère ni droit civil ni droit de propriété — ne devrait pas faire l</w:t>
      </w:r>
      <w:r>
        <w:rPr>
          <w:rFonts w:cs="Times New Roman"/>
          <w:lang w:val="fr-CA"/>
        </w:rPr>
        <w:t>’</w:t>
      </w:r>
      <w:r w:rsidRPr="00B61490">
        <w:rPr>
          <w:rFonts w:cs="Times New Roman"/>
          <w:lang w:val="fr-CA"/>
        </w:rPr>
        <w:t>objet d</w:t>
      </w:r>
      <w:r>
        <w:rPr>
          <w:rFonts w:cs="Times New Roman"/>
          <w:lang w:val="fr-CA"/>
        </w:rPr>
        <w:t>’</w:t>
      </w:r>
      <w:r w:rsidRPr="00B61490">
        <w:rPr>
          <w:rFonts w:cs="Times New Roman"/>
          <w:lang w:val="fr-CA"/>
        </w:rPr>
        <w:t>intervention de la part des tribunaux. En effet, il n</w:t>
      </w:r>
      <w:r>
        <w:rPr>
          <w:rFonts w:cs="Times New Roman"/>
          <w:lang w:val="fr-CA"/>
        </w:rPr>
        <w:t>’</w:t>
      </w:r>
      <w:r w:rsidRPr="00B61490">
        <w:rPr>
          <w:rFonts w:cs="Times New Roman"/>
          <w:lang w:val="fr-CA"/>
        </w:rPr>
        <w:t>existe aucun droit autonome à l</w:t>
      </w:r>
      <w:r>
        <w:rPr>
          <w:rFonts w:cs="Times New Roman"/>
          <w:lang w:val="fr-CA"/>
        </w:rPr>
        <w:t>’</w:t>
      </w:r>
      <w:r w:rsidRPr="00B61490">
        <w:rPr>
          <w:rFonts w:cs="Times New Roman"/>
          <w:lang w:val="fr-CA"/>
        </w:rPr>
        <w:t>équité procédurale relativement aux décisions prises par des associations volontaires. Une simple allégation de violation des principes de justice naturelle ou le seul fait que le plaignant a épuisé les processus internes de l</w:t>
      </w:r>
      <w:r>
        <w:rPr>
          <w:rFonts w:cs="Times New Roman"/>
          <w:lang w:val="fr-CA"/>
        </w:rPr>
        <w:t>’</w:t>
      </w:r>
      <w:r w:rsidRPr="00B61490">
        <w:rPr>
          <w:rFonts w:cs="Times New Roman"/>
          <w:lang w:val="fr-CA"/>
        </w:rPr>
        <w:t>organisation ne sauraient donner compétence aux tribunaux. Pour qu</w:t>
      </w:r>
      <w:r>
        <w:rPr>
          <w:rFonts w:cs="Times New Roman"/>
          <w:lang w:val="fr-CA"/>
        </w:rPr>
        <w:t>’</w:t>
      </w:r>
      <w:r w:rsidRPr="00B61490">
        <w:rPr>
          <w:rFonts w:cs="Times New Roman"/>
          <w:lang w:val="fr-CA"/>
        </w:rPr>
        <w:t>ils aient compétence, il doit exister un droit légal qu</w:t>
      </w:r>
      <w:r>
        <w:rPr>
          <w:rFonts w:cs="Times New Roman"/>
          <w:lang w:val="fr-CA"/>
        </w:rPr>
        <w:t>’</w:t>
      </w:r>
      <w:r w:rsidRPr="00B61490">
        <w:rPr>
          <w:rFonts w:cs="Times New Roman"/>
          <w:lang w:val="fr-CA"/>
        </w:rPr>
        <w:t>une partie cherche à faire valoir. Ce n</w:t>
      </w:r>
      <w:r>
        <w:rPr>
          <w:rFonts w:cs="Times New Roman"/>
          <w:lang w:val="fr-CA"/>
        </w:rPr>
        <w:t>’</w:t>
      </w:r>
      <w:r w:rsidRPr="00B61490">
        <w:rPr>
          <w:rFonts w:cs="Times New Roman"/>
          <w:lang w:val="fr-CA"/>
        </w:rPr>
        <w:t>est que dans de tels cas que les tribunaux peuvent examiner le respect par une association de ses propres procédures et (dans certaines circonstances) l</w:t>
      </w:r>
      <w:r>
        <w:rPr>
          <w:rFonts w:cs="Times New Roman"/>
          <w:lang w:val="fr-CA"/>
        </w:rPr>
        <w:t>’</w:t>
      </w:r>
      <w:r w:rsidRPr="00B61490">
        <w:rPr>
          <w:rFonts w:cs="Times New Roman"/>
          <w:lang w:val="fr-CA"/>
        </w:rPr>
        <w:t>équité de ces procédures.</w:t>
      </w:r>
    </w:p>
    <w:p w:rsidR="006A3C1C" w:rsidRPr="00B61490" w:rsidRDefault="006A3C1C" w:rsidP="00566B15">
      <w:pPr>
        <w:pStyle w:val="ParaNoNdepar-AltN"/>
        <w:widowControl w:val="0"/>
        <w:rPr>
          <w:rFonts w:cs="Times New Roman"/>
          <w:lang w:val="fr-CA"/>
        </w:rPr>
      </w:pPr>
      <w:r w:rsidRPr="00B61490">
        <w:rPr>
          <w:rFonts w:cs="Times New Roman"/>
          <w:lang w:val="fr-CA"/>
        </w:rPr>
        <w:t>Les juges majoritaires de la Cour d</w:t>
      </w:r>
      <w:r>
        <w:rPr>
          <w:rFonts w:cs="Times New Roman"/>
          <w:lang w:val="fr-CA"/>
        </w:rPr>
        <w:t>’</w:t>
      </w:r>
      <w:r w:rsidRPr="00B61490">
        <w:rPr>
          <w:rFonts w:cs="Times New Roman"/>
          <w:lang w:val="fr-CA"/>
        </w:rPr>
        <w:t>appel ont conclu à l</w:t>
      </w:r>
      <w:r>
        <w:rPr>
          <w:rFonts w:cs="Times New Roman"/>
          <w:lang w:val="fr-CA"/>
        </w:rPr>
        <w:t>’</w:t>
      </w:r>
      <w:r w:rsidRPr="00B61490">
        <w:rPr>
          <w:rFonts w:cs="Times New Roman"/>
          <w:lang w:val="fr-CA"/>
        </w:rPr>
        <w:t>existence d</w:t>
      </w:r>
      <w:r>
        <w:rPr>
          <w:rFonts w:cs="Times New Roman"/>
          <w:lang w:val="fr-CA"/>
        </w:rPr>
        <w:t>’</w:t>
      </w:r>
      <w:r w:rsidRPr="00B61490">
        <w:rPr>
          <w:rFonts w:cs="Times New Roman"/>
          <w:lang w:val="fr-CA"/>
        </w:rPr>
        <w:t>un tel droit autonome à l</w:t>
      </w:r>
      <w:r>
        <w:rPr>
          <w:rFonts w:cs="Times New Roman"/>
          <w:lang w:val="fr-CA"/>
        </w:rPr>
        <w:t>’</w:t>
      </w:r>
      <w:r w:rsidRPr="00B61490">
        <w:rPr>
          <w:rFonts w:cs="Times New Roman"/>
          <w:lang w:val="fr-CA"/>
        </w:rPr>
        <w:t>équité procédurale. Toutefois, les affaires sur lesquelles ils se sont appuyés n</w:t>
      </w:r>
      <w:r>
        <w:rPr>
          <w:rFonts w:cs="Times New Roman"/>
          <w:lang w:val="fr-CA"/>
        </w:rPr>
        <w:t>’</w:t>
      </w:r>
      <w:r w:rsidRPr="00B61490">
        <w:rPr>
          <w:rFonts w:cs="Times New Roman"/>
          <w:lang w:val="fr-CA"/>
        </w:rPr>
        <w:t>étayent pas cette proposition. Ces affaires portaient presque toutes sur un droit légal sous</w:t>
      </w:r>
      <w:r w:rsidRPr="00B61490">
        <w:rPr>
          <w:rFonts w:cs="Times New Roman"/>
          <w:lang w:val="fr-CA"/>
        </w:rPr>
        <w:noBreakHyphen/>
        <w:t>jacent, par exemple un congédiement injustifié (</w:t>
      </w:r>
      <w:proofErr w:type="spellStart"/>
      <w:r w:rsidRPr="00B61490">
        <w:rPr>
          <w:rFonts w:cs="Times New Roman"/>
          <w:i/>
          <w:lang w:val="fr-CA"/>
        </w:rPr>
        <w:t>McCaw</w:t>
      </w:r>
      <w:proofErr w:type="spellEnd"/>
      <w:r w:rsidRPr="00B61490">
        <w:rPr>
          <w:rFonts w:cs="Times New Roman"/>
          <w:i/>
          <w:lang w:val="fr-CA"/>
        </w:rPr>
        <w:t xml:space="preserve"> c. United Church of Canada</w:t>
      </w:r>
      <w:r w:rsidRPr="00B61490">
        <w:rPr>
          <w:rFonts w:cs="Times New Roman"/>
          <w:lang w:val="fr-CA"/>
        </w:rPr>
        <w:t xml:space="preserve"> (1991), 4 O.R. (3d) 481 (C.A.); </w:t>
      </w:r>
      <w:r w:rsidRPr="00B61490">
        <w:rPr>
          <w:rFonts w:cs="Times New Roman"/>
          <w:i/>
          <w:lang w:val="fr-CA"/>
        </w:rPr>
        <w:t>Pederson c. Fulton</w:t>
      </w:r>
      <w:r w:rsidRPr="00B61490">
        <w:rPr>
          <w:rFonts w:cs="Times New Roman"/>
          <w:lang w:val="fr-CA"/>
        </w:rPr>
        <w:t xml:space="preserve">, 1994 </w:t>
      </w:r>
      <w:proofErr w:type="spellStart"/>
      <w:r w:rsidRPr="00B61490">
        <w:rPr>
          <w:rFonts w:cs="Times New Roman"/>
          <w:lang w:val="fr-CA"/>
        </w:rPr>
        <w:t>CanLII</w:t>
      </w:r>
      <w:proofErr w:type="spellEnd"/>
      <w:r w:rsidRPr="00B61490">
        <w:rPr>
          <w:rFonts w:cs="Times New Roman"/>
          <w:lang w:val="fr-CA"/>
        </w:rPr>
        <w:t xml:space="preserve"> 7483 (C.S. Ont. (Div. </w:t>
      </w:r>
      <w:proofErr w:type="spellStart"/>
      <w:r w:rsidRPr="00B61490">
        <w:rPr>
          <w:rFonts w:cs="Times New Roman"/>
          <w:lang w:val="fr-CA"/>
        </w:rPr>
        <w:t>gén</w:t>
      </w:r>
      <w:proofErr w:type="spellEnd"/>
      <w:r w:rsidRPr="00B61490">
        <w:rPr>
          <w:rFonts w:cs="Times New Roman"/>
          <w:lang w:val="fr-CA"/>
        </w:rPr>
        <w:t>.)), ou une cause d</w:t>
      </w:r>
      <w:r>
        <w:rPr>
          <w:rFonts w:cs="Times New Roman"/>
          <w:lang w:val="fr-CA"/>
        </w:rPr>
        <w:t>’</w:t>
      </w:r>
      <w:r w:rsidRPr="00B61490">
        <w:rPr>
          <w:rFonts w:cs="Times New Roman"/>
          <w:lang w:val="fr-CA"/>
        </w:rPr>
        <w:t>action prévue par la loi (</w:t>
      </w:r>
      <w:r w:rsidRPr="00406C8E">
        <w:rPr>
          <w:rFonts w:cs="Times New Roman"/>
          <w:i/>
          <w:lang w:val="fr-CA"/>
        </w:rPr>
        <w:t xml:space="preserve">Lutz v. Faith </w:t>
      </w:r>
      <w:proofErr w:type="spellStart"/>
      <w:r w:rsidRPr="00406C8E">
        <w:rPr>
          <w:rFonts w:cs="Times New Roman"/>
          <w:i/>
          <w:lang w:val="fr-CA"/>
        </w:rPr>
        <w:t>Lutheran</w:t>
      </w:r>
      <w:proofErr w:type="spellEnd"/>
      <w:r w:rsidRPr="00406C8E">
        <w:rPr>
          <w:rFonts w:cs="Times New Roman"/>
          <w:i/>
          <w:lang w:val="fr-CA"/>
        </w:rPr>
        <w:t xml:space="preserve"> Church of Kelowna</w:t>
      </w:r>
      <w:r w:rsidRPr="00B61490">
        <w:rPr>
          <w:rFonts w:cs="Times New Roman"/>
          <w:lang w:val="fr-CA"/>
        </w:rPr>
        <w:t>, 2009 BCSC 59). Une autre demande avait été rejetée au motif qu</w:t>
      </w:r>
      <w:r>
        <w:rPr>
          <w:rFonts w:cs="Times New Roman"/>
          <w:lang w:val="fr-CA"/>
        </w:rPr>
        <w:t>’</w:t>
      </w:r>
      <w:r w:rsidRPr="00B61490">
        <w:rPr>
          <w:rFonts w:cs="Times New Roman"/>
          <w:lang w:val="fr-CA"/>
        </w:rPr>
        <w:t>elle n</w:t>
      </w:r>
      <w:r>
        <w:rPr>
          <w:rFonts w:cs="Times New Roman"/>
          <w:lang w:val="fr-CA"/>
        </w:rPr>
        <w:t>’</w:t>
      </w:r>
      <w:r w:rsidRPr="00B61490">
        <w:rPr>
          <w:rFonts w:cs="Times New Roman"/>
          <w:lang w:val="fr-CA"/>
        </w:rPr>
        <w:t xml:space="preserve">était pas justiciable en raison de la nature ecclésiastique du différend : </w:t>
      </w:r>
      <w:r w:rsidRPr="00B61490">
        <w:rPr>
          <w:rFonts w:cs="Times New Roman"/>
          <w:i/>
          <w:lang w:val="fr-CA"/>
        </w:rPr>
        <w:t xml:space="preserve">Hart c. Roman Catholic </w:t>
      </w:r>
      <w:proofErr w:type="spellStart"/>
      <w:r w:rsidRPr="00B61490">
        <w:rPr>
          <w:rFonts w:cs="Times New Roman"/>
          <w:i/>
          <w:lang w:val="fr-CA"/>
        </w:rPr>
        <w:t>Episcopal</w:t>
      </w:r>
      <w:proofErr w:type="spellEnd"/>
      <w:r w:rsidRPr="00B61490">
        <w:rPr>
          <w:rFonts w:cs="Times New Roman"/>
          <w:i/>
          <w:lang w:val="fr-CA"/>
        </w:rPr>
        <w:t xml:space="preserve"> Corp. of the </w:t>
      </w:r>
      <w:proofErr w:type="spellStart"/>
      <w:r w:rsidRPr="00B61490">
        <w:rPr>
          <w:rFonts w:cs="Times New Roman"/>
          <w:i/>
          <w:lang w:val="fr-CA"/>
        </w:rPr>
        <w:t>Diocese</w:t>
      </w:r>
      <w:proofErr w:type="spellEnd"/>
      <w:r w:rsidRPr="00B61490">
        <w:rPr>
          <w:rFonts w:cs="Times New Roman"/>
          <w:i/>
          <w:lang w:val="fr-CA"/>
        </w:rPr>
        <w:t xml:space="preserve"> of Kingston</w:t>
      </w:r>
      <w:r w:rsidRPr="00B61490">
        <w:rPr>
          <w:rFonts w:cs="Times New Roman"/>
          <w:lang w:val="fr-CA"/>
        </w:rPr>
        <w:t xml:space="preserve">, 2011 ONCA 728, </w:t>
      </w:r>
      <w:r w:rsidRPr="00B61490">
        <w:rPr>
          <w:rFonts w:cs="Times New Roman"/>
          <w:lang w:val="fr-CA"/>
        </w:rPr>
        <w:lastRenderedPageBreak/>
        <w:t>285 O.A.C. 354.</w:t>
      </w:r>
    </w:p>
    <w:p w:rsidR="006A3C1C" w:rsidRPr="00B61490" w:rsidRDefault="006A3C1C" w:rsidP="00566B15">
      <w:pPr>
        <w:pStyle w:val="ParaNoNdepar-AltN"/>
        <w:widowControl w:val="0"/>
        <w:rPr>
          <w:rFonts w:cs="Times New Roman"/>
          <w:lang w:val="fr-CA"/>
        </w:rPr>
      </w:pPr>
      <w:r w:rsidRPr="00B61490">
        <w:rPr>
          <w:rFonts w:cs="Times New Roman"/>
          <w:lang w:val="fr-CA"/>
        </w:rPr>
        <w:t>En outre, il est évident que la jurisprudence anglaise citée par M. Wall requiert elle aussi l</w:t>
      </w:r>
      <w:r>
        <w:rPr>
          <w:rFonts w:cs="Times New Roman"/>
          <w:lang w:val="fr-CA"/>
        </w:rPr>
        <w:t>’</w:t>
      </w:r>
      <w:r w:rsidRPr="00B61490">
        <w:rPr>
          <w:rFonts w:cs="Times New Roman"/>
          <w:lang w:val="fr-CA"/>
        </w:rPr>
        <w:t>existence d</w:t>
      </w:r>
      <w:r>
        <w:rPr>
          <w:rFonts w:cs="Times New Roman"/>
          <w:lang w:val="fr-CA"/>
        </w:rPr>
        <w:t>’</w:t>
      </w:r>
      <w:r w:rsidRPr="00B61490">
        <w:rPr>
          <w:rFonts w:cs="Times New Roman"/>
          <w:lang w:val="fr-CA"/>
        </w:rPr>
        <w:t>un droit légal sous</w:t>
      </w:r>
      <w:r w:rsidRPr="00B61490">
        <w:rPr>
          <w:rFonts w:cs="Times New Roman"/>
          <w:lang w:val="fr-CA"/>
        </w:rPr>
        <w:noBreakHyphen/>
        <w:t xml:space="preserve">jacent. Dans </w:t>
      </w:r>
      <w:proofErr w:type="spellStart"/>
      <w:r w:rsidRPr="00B61490">
        <w:rPr>
          <w:rFonts w:cs="Times New Roman"/>
          <w:i/>
          <w:lang w:val="fr-CA"/>
        </w:rPr>
        <w:t>Shergill</w:t>
      </w:r>
      <w:proofErr w:type="spellEnd"/>
      <w:r w:rsidRPr="00B61490">
        <w:rPr>
          <w:rFonts w:cs="Times New Roman"/>
          <w:i/>
          <w:lang w:val="fr-CA"/>
        </w:rPr>
        <w:t xml:space="preserve"> c. </w:t>
      </w:r>
      <w:proofErr w:type="spellStart"/>
      <w:r w:rsidRPr="00B61490">
        <w:rPr>
          <w:rFonts w:cs="Times New Roman"/>
          <w:i/>
          <w:lang w:val="fr-CA"/>
        </w:rPr>
        <w:t>Khai</w:t>
      </w:r>
      <w:r>
        <w:rPr>
          <w:rFonts w:cs="Times New Roman"/>
          <w:i/>
          <w:lang w:val="fr-CA"/>
        </w:rPr>
        <w:t>r</w:t>
      </w:r>
      <w:r w:rsidRPr="00B61490">
        <w:rPr>
          <w:rFonts w:cs="Times New Roman"/>
          <w:i/>
          <w:lang w:val="fr-CA"/>
        </w:rPr>
        <w:t>a</w:t>
      </w:r>
      <w:proofErr w:type="spellEnd"/>
      <w:r w:rsidRPr="00B61490">
        <w:rPr>
          <w:rFonts w:cs="Times New Roman"/>
          <w:lang w:val="fr-CA"/>
        </w:rPr>
        <w:t>, [2014] UKSC 33, [2015] A.C. 359, par. 46</w:t>
      </w:r>
      <w:r>
        <w:rPr>
          <w:rFonts w:cs="Times New Roman"/>
          <w:lang w:val="fr-CA"/>
        </w:rPr>
        <w:noBreakHyphen/>
      </w:r>
      <w:r w:rsidRPr="00B61490">
        <w:rPr>
          <w:rFonts w:cs="Times New Roman"/>
          <w:lang w:val="fr-CA"/>
        </w:rPr>
        <w:t>48, et</w:t>
      </w:r>
      <w:r w:rsidRPr="00B61490">
        <w:rPr>
          <w:rFonts w:cs="Times New Roman"/>
          <w:i/>
          <w:lang w:val="fr-CA"/>
        </w:rPr>
        <w:t xml:space="preserve"> Lee c. </w:t>
      </w:r>
      <w:proofErr w:type="spellStart"/>
      <w:r w:rsidRPr="00B61490">
        <w:rPr>
          <w:rFonts w:cs="Times New Roman"/>
          <w:i/>
          <w:lang w:val="fr-CA"/>
        </w:rPr>
        <w:t>Showmen</w:t>
      </w:r>
      <w:r>
        <w:rPr>
          <w:rFonts w:cs="Times New Roman"/>
          <w:i/>
          <w:lang w:val="fr-CA"/>
        </w:rPr>
        <w:t>’</w:t>
      </w:r>
      <w:r w:rsidRPr="00B61490">
        <w:rPr>
          <w:rFonts w:cs="Times New Roman"/>
          <w:i/>
          <w:lang w:val="fr-CA"/>
        </w:rPr>
        <w:t>s</w:t>
      </w:r>
      <w:proofErr w:type="spellEnd"/>
      <w:r w:rsidRPr="00B61490">
        <w:rPr>
          <w:rFonts w:cs="Times New Roman"/>
          <w:i/>
          <w:lang w:val="fr-CA"/>
        </w:rPr>
        <w:t xml:space="preserve"> </w:t>
      </w:r>
      <w:proofErr w:type="spellStart"/>
      <w:r w:rsidRPr="00B61490">
        <w:rPr>
          <w:rFonts w:cs="Times New Roman"/>
          <w:i/>
          <w:lang w:val="fr-CA"/>
        </w:rPr>
        <w:t>Guild</w:t>
      </w:r>
      <w:proofErr w:type="spellEnd"/>
      <w:r>
        <w:rPr>
          <w:rFonts w:cs="Times New Roman"/>
          <w:i/>
          <w:lang w:val="fr-CA"/>
        </w:rPr>
        <w:t xml:space="preserve"> of Great </w:t>
      </w:r>
      <w:proofErr w:type="spellStart"/>
      <w:r>
        <w:rPr>
          <w:rFonts w:cs="Times New Roman"/>
          <w:i/>
          <w:lang w:val="fr-CA"/>
        </w:rPr>
        <w:t>Britain</w:t>
      </w:r>
      <w:proofErr w:type="spellEnd"/>
      <w:r w:rsidRPr="00B61490">
        <w:rPr>
          <w:rFonts w:cs="Times New Roman"/>
          <w:lang w:val="fr-CA"/>
        </w:rPr>
        <w:t>, [1952] 1 All E.R. 1175 (C.A.), les tribunaux anglais ont jugé que les associations volontaires en cause étaient régies par des contrats. Je ne considère pas que l</w:t>
      </w:r>
      <w:r>
        <w:rPr>
          <w:rFonts w:cs="Times New Roman"/>
          <w:lang w:val="fr-CA"/>
        </w:rPr>
        <w:t>’</w:t>
      </w:r>
      <w:r w:rsidRPr="00B61490">
        <w:rPr>
          <w:rFonts w:cs="Times New Roman"/>
          <w:lang w:val="fr-CA"/>
        </w:rPr>
        <w:t xml:space="preserve">arrêt </w:t>
      </w:r>
      <w:proofErr w:type="spellStart"/>
      <w:r w:rsidRPr="00B61490">
        <w:rPr>
          <w:rFonts w:cs="Times New Roman"/>
          <w:i/>
          <w:lang w:val="fr-CA"/>
        </w:rPr>
        <w:t>Shergill</w:t>
      </w:r>
      <w:proofErr w:type="spellEnd"/>
      <w:r w:rsidRPr="00B61490">
        <w:rPr>
          <w:rFonts w:cs="Times New Roman"/>
          <w:lang w:val="fr-CA"/>
        </w:rPr>
        <w:t xml:space="preserve"> appuie la proposition voulant qu</w:t>
      </w:r>
      <w:r>
        <w:rPr>
          <w:rFonts w:cs="Times New Roman"/>
          <w:lang w:val="fr-CA"/>
        </w:rPr>
        <w:t>’</w:t>
      </w:r>
      <w:r w:rsidRPr="00B61490">
        <w:rPr>
          <w:rFonts w:cs="Times New Roman"/>
          <w:lang w:val="fr-CA"/>
        </w:rPr>
        <w:t>il existe un droit autonome à l</w:t>
      </w:r>
      <w:r>
        <w:rPr>
          <w:rFonts w:cs="Times New Roman"/>
          <w:lang w:val="fr-CA"/>
        </w:rPr>
        <w:t>’</w:t>
      </w:r>
      <w:r w:rsidRPr="00B61490">
        <w:rPr>
          <w:rFonts w:cs="Times New Roman"/>
          <w:lang w:val="fr-CA"/>
        </w:rPr>
        <w:t>équité procédurale en ce qui concerne les décisions d</w:t>
      </w:r>
      <w:r>
        <w:rPr>
          <w:rFonts w:cs="Times New Roman"/>
          <w:lang w:val="fr-CA"/>
        </w:rPr>
        <w:t>’</w:t>
      </w:r>
      <w:r w:rsidRPr="00B61490">
        <w:rPr>
          <w:rFonts w:cs="Times New Roman"/>
          <w:lang w:val="fr-CA"/>
        </w:rPr>
        <w:t>associations volontaires —religieuses ou autres — en l</w:t>
      </w:r>
      <w:r>
        <w:rPr>
          <w:rFonts w:cs="Times New Roman"/>
          <w:lang w:val="fr-CA"/>
        </w:rPr>
        <w:t>’</w:t>
      </w:r>
      <w:r w:rsidRPr="00B61490">
        <w:rPr>
          <w:rFonts w:cs="Times New Roman"/>
          <w:lang w:val="fr-CA"/>
        </w:rPr>
        <w:t>absence d</w:t>
      </w:r>
      <w:r>
        <w:rPr>
          <w:rFonts w:cs="Times New Roman"/>
          <w:lang w:val="fr-CA"/>
        </w:rPr>
        <w:t>’</w:t>
      </w:r>
      <w:r w:rsidRPr="00B61490">
        <w:rPr>
          <w:rFonts w:cs="Times New Roman"/>
          <w:lang w:val="fr-CA"/>
        </w:rPr>
        <w:t>un droit légal sous</w:t>
      </w:r>
      <w:r w:rsidRPr="00B61490">
        <w:rPr>
          <w:rFonts w:cs="Times New Roman"/>
          <w:lang w:val="fr-CA"/>
        </w:rPr>
        <w:noBreakHyphen/>
        <w:t>jacent. Dans cet arrêt, l</w:t>
      </w:r>
      <w:r>
        <w:rPr>
          <w:rFonts w:cs="Times New Roman"/>
          <w:lang w:val="fr-CA"/>
        </w:rPr>
        <w:t>’</w:t>
      </w:r>
      <w:r w:rsidRPr="00B61490">
        <w:rPr>
          <w:rFonts w:cs="Times New Roman"/>
          <w:lang w:val="fr-CA"/>
        </w:rPr>
        <w:t>exigence relative au respect de l</w:t>
      </w:r>
      <w:r>
        <w:rPr>
          <w:rFonts w:cs="Times New Roman"/>
          <w:lang w:val="fr-CA"/>
        </w:rPr>
        <w:t>’</w:t>
      </w:r>
      <w:r w:rsidRPr="00B61490">
        <w:rPr>
          <w:rFonts w:cs="Times New Roman"/>
          <w:lang w:val="fr-CA"/>
        </w:rPr>
        <w:t>équité procédurale se voulait plutôt un moyen d</w:t>
      </w:r>
      <w:r>
        <w:rPr>
          <w:rFonts w:cs="Times New Roman"/>
          <w:lang w:val="fr-CA"/>
        </w:rPr>
        <w:t>’</w:t>
      </w:r>
      <w:r w:rsidRPr="00B61490">
        <w:rPr>
          <w:rFonts w:cs="Times New Roman"/>
          <w:lang w:val="fr-CA"/>
        </w:rPr>
        <w:t>assurer l</w:t>
      </w:r>
      <w:r>
        <w:rPr>
          <w:rFonts w:cs="Times New Roman"/>
          <w:lang w:val="fr-CA"/>
        </w:rPr>
        <w:t>’</w:t>
      </w:r>
      <w:r w:rsidRPr="00B61490">
        <w:rPr>
          <w:rFonts w:cs="Times New Roman"/>
          <w:lang w:val="fr-CA"/>
        </w:rPr>
        <w:t>exécution du contrat (par. 48). De même, dans l</w:t>
      </w:r>
      <w:r>
        <w:rPr>
          <w:rFonts w:cs="Times New Roman"/>
          <w:lang w:val="fr-CA"/>
        </w:rPr>
        <w:t>’</w:t>
      </w:r>
      <w:r w:rsidRPr="00B61490">
        <w:rPr>
          <w:rFonts w:cs="Times New Roman"/>
          <w:lang w:val="fr-CA"/>
        </w:rPr>
        <w:t xml:space="preserve">arrêt </w:t>
      </w:r>
      <w:r w:rsidRPr="00B61490">
        <w:rPr>
          <w:rFonts w:cs="Times New Roman"/>
          <w:i/>
          <w:lang w:val="fr-CA"/>
        </w:rPr>
        <w:t>Lee</w:t>
      </w:r>
      <w:r w:rsidRPr="00B61490">
        <w:rPr>
          <w:rFonts w:cs="Times New Roman"/>
          <w:lang w:val="fr-CA"/>
        </w:rPr>
        <w:t xml:space="preserve">, lord </w:t>
      </w:r>
      <w:proofErr w:type="spellStart"/>
      <w:r w:rsidRPr="00B61490">
        <w:rPr>
          <w:rFonts w:cs="Times New Roman"/>
          <w:lang w:val="fr-CA"/>
        </w:rPr>
        <w:t>Denning</w:t>
      </w:r>
      <w:proofErr w:type="spellEnd"/>
      <w:r w:rsidRPr="00B61490">
        <w:rPr>
          <w:rFonts w:cs="Times New Roman"/>
          <w:lang w:val="fr-CA"/>
        </w:rPr>
        <w:t xml:space="preserve"> a conclu que [</w:t>
      </w:r>
      <w:r w:rsidRPr="00B61490">
        <w:rPr>
          <w:rFonts w:cs="Times New Roman"/>
          <w:smallCaps/>
          <w:lang w:val="fr-CA"/>
        </w:rPr>
        <w:t>traduction</w:t>
      </w:r>
      <w:r w:rsidRPr="00B61490">
        <w:rPr>
          <w:rFonts w:cs="Times New Roman"/>
          <w:lang w:val="fr-CA"/>
        </w:rPr>
        <w:t>] « [l]a compétence d</w:t>
      </w:r>
      <w:r>
        <w:rPr>
          <w:rFonts w:cs="Times New Roman"/>
          <w:lang w:val="fr-CA"/>
        </w:rPr>
        <w:t>’</w:t>
      </w:r>
      <w:r w:rsidRPr="00B61490">
        <w:rPr>
          <w:rFonts w:cs="Times New Roman"/>
          <w:lang w:val="fr-CA"/>
        </w:rPr>
        <w:t xml:space="preserve">un tribunal interne, tel le comité de la </w:t>
      </w:r>
      <w:proofErr w:type="spellStart"/>
      <w:r w:rsidRPr="00B61490">
        <w:rPr>
          <w:rFonts w:cs="Times New Roman"/>
          <w:lang w:val="fr-CA"/>
        </w:rPr>
        <w:t>Showmen</w:t>
      </w:r>
      <w:r>
        <w:rPr>
          <w:rFonts w:cs="Times New Roman"/>
          <w:lang w:val="fr-CA"/>
        </w:rPr>
        <w:t>’</w:t>
      </w:r>
      <w:r w:rsidRPr="00B61490">
        <w:rPr>
          <w:rFonts w:cs="Times New Roman"/>
          <w:lang w:val="fr-CA"/>
        </w:rPr>
        <w:t>s</w:t>
      </w:r>
      <w:proofErr w:type="spellEnd"/>
      <w:r w:rsidRPr="00B61490">
        <w:rPr>
          <w:rFonts w:cs="Times New Roman"/>
          <w:lang w:val="fr-CA"/>
        </w:rPr>
        <w:t xml:space="preserve"> </w:t>
      </w:r>
      <w:proofErr w:type="spellStart"/>
      <w:r w:rsidRPr="00B61490">
        <w:rPr>
          <w:rFonts w:cs="Times New Roman"/>
          <w:lang w:val="fr-CA"/>
        </w:rPr>
        <w:t>Guild</w:t>
      </w:r>
      <w:proofErr w:type="spellEnd"/>
      <w:r w:rsidRPr="00B61490">
        <w:rPr>
          <w:rFonts w:cs="Times New Roman"/>
          <w:lang w:val="fr-CA"/>
        </w:rPr>
        <w:t>, doit reposer sur un contrat, exprès ou implicite »</w:t>
      </w:r>
      <w:r>
        <w:rPr>
          <w:rFonts w:cs="Times New Roman"/>
          <w:lang w:val="fr-CA"/>
        </w:rPr>
        <w:t xml:space="preserve"> (p. 1180).</w:t>
      </w:r>
    </w:p>
    <w:p w:rsidR="006A3C1C" w:rsidRPr="00B61490" w:rsidRDefault="006A3C1C" w:rsidP="00566B15">
      <w:pPr>
        <w:pStyle w:val="ParaNoNdepar-AltN"/>
        <w:widowControl w:val="0"/>
        <w:rPr>
          <w:rFonts w:cs="Times New Roman"/>
          <w:lang w:val="fr-CA"/>
        </w:rPr>
      </w:pPr>
      <w:r w:rsidRPr="00B61490">
        <w:rPr>
          <w:rFonts w:cs="Times New Roman"/>
          <w:lang w:val="fr-CA"/>
        </w:rPr>
        <w:t>Devant la Cour, M. Wall a plaidé qu</w:t>
      </w:r>
      <w:r>
        <w:rPr>
          <w:rFonts w:cs="Times New Roman"/>
          <w:lang w:val="fr-CA"/>
        </w:rPr>
        <w:t>’</w:t>
      </w:r>
      <w:r w:rsidRPr="00B61490">
        <w:rPr>
          <w:rFonts w:cs="Times New Roman"/>
          <w:lang w:val="fr-CA"/>
        </w:rPr>
        <w:t>il est possible d</w:t>
      </w:r>
      <w:r>
        <w:rPr>
          <w:rFonts w:cs="Times New Roman"/>
          <w:lang w:val="fr-CA"/>
        </w:rPr>
        <w:t>’</w:t>
      </w:r>
      <w:r w:rsidRPr="00B61490">
        <w:rPr>
          <w:rFonts w:cs="Times New Roman"/>
          <w:lang w:val="fr-CA"/>
        </w:rPr>
        <w:t>interpréter l</w:t>
      </w:r>
      <w:r>
        <w:rPr>
          <w:rFonts w:cs="Times New Roman"/>
          <w:lang w:val="fr-CA"/>
        </w:rPr>
        <w:t>’</w:t>
      </w:r>
      <w:r w:rsidRPr="00B61490">
        <w:rPr>
          <w:rFonts w:cs="Times New Roman"/>
          <w:lang w:val="fr-CA"/>
        </w:rPr>
        <w:t xml:space="preserve">arrêt </w:t>
      </w:r>
      <w:proofErr w:type="spellStart"/>
      <w:r w:rsidRPr="00B61490">
        <w:rPr>
          <w:rFonts w:cs="Times New Roman"/>
          <w:i/>
          <w:lang w:val="fr-CA"/>
        </w:rPr>
        <w:t>Lakeside</w:t>
      </w:r>
      <w:proofErr w:type="spellEnd"/>
      <w:r w:rsidRPr="00B61490">
        <w:rPr>
          <w:rFonts w:cs="Times New Roman"/>
          <w:i/>
          <w:lang w:val="fr-CA"/>
        </w:rPr>
        <w:t xml:space="preserve"> </w:t>
      </w:r>
      <w:proofErr w:type="spellStart"/>
      <w:r w:rsidRPr="00B61490">
        <w:rPr>
          <w:rFonts w:cs="Times New Roman"/>
          <w:i/>
          <w:lang w:val="fr-CA"/>
        </w:rPr>
        <w:t>Colony</w:t>
      </w:r>
      <w:proofErr w:type="spellEnd"/>
      <w:r w:rsidRPr="00B61490">
        <w:rPr>
          <w:rFonts w:cs="Times New Roman"/>
          <w:i/>
          <w:lang w:val="fr-CA"/>
        </w:rPr>
        <w:t xml:space="preserve"> of </w:t>
      </w:r>
      <w:proofErr w:type="spellStart"/>
      <w:r w:rsidRPr="00B61490">
        <w:rPr>
          <w:rFonts w:cs="Times New Roman"/>
          <w:i/>
          <w:lang w:val="fr-CA"/>
        </w:rPr>
        <w:t>Hutterian</w:t>
      </w:r>
      <w:proofErr w:type="spellEnd"/>
      <w:r w:rsidRPr="00B61490">
        <w:rPr>
          <w:rFonts w:cs="Times New Roman"/>
          <w:i/>
          <w:lang w:val="fr-CA"/>
        </w:rPr>
        <w:t xml:space="preserve"> </w:t>
      </w:r>
      <w:proofErr w:type="spellStart"/>
      <w:r w:rsidRPr="00B61490">
        <w:rPr>
          <w:rFonts w:cs="Times New Roman"/>
          <w:i/>
          <w:lang w:val="fr-CA"/>
        </w:rPr>
        <w:t>Bretheren</w:t>
      </w:r>
      <w:proofErr w:type="spellEnd"/>
      <w:r w:rsidRPr="00B61490">
        <w:rPr>
          <w:rFonts w:cs="Times New Roman"/>
          <w:i/>
          <w:lang w:val="fr-CA"/>
        </w:rPr>
        <w:t xml:space="preserve"> c. Hofer</w:t>
      </w:r>
      <w:r w:rsidRPr="00B61490">
        <w:rPr>
          <w:rFonts w:cs="Times New Roman"/>
          <w:lang w:val="fr-CA"/>
        </w:rPr>
        <w:t>, [1992] 3 R.C.S. 165, d</w:t>
      </w:r>
      <w:r>
        <w:rPr>
          <w:rFonts w:cs="Times New Roman"/>
          <w:lang w:val="fr-CA"/>
        </w:rPr>
        <w:t>’</w:t>
      </w:r>
      <w:r w:rsidRPr="00B61490">
        <w:rPr>
          <w:rFonts w:cs="Times New Roman"/>
          <w:lang w:val="fr-CA"/>
        </w:rPr>
        <w:t>une manière qui a pour effet de permettre aux tribunaux de contrôler, pour des motifs fondés sur l</w:t>
      </w:r>
      <w:r>
        <w:rPr>
          <w:rFonts w:cs="Times New Roman"/>
          <w:lang w:val="fr-CA"/>
        </w:rPr>
        <w:t>’</w:t>
      </w:r>
      <w:r w:rsidRPr="00B61490">
        <w:rPr>
          <w:rFonts w:cs="Times New Roman"/>
          <w:lang w:val="fr-CA"/>
        </w:rPr>
        <w:t>équité procédurale, les décisions d</w:t>
      </w:r>
      <w:r>
        <w:rPr>
          <w:rFonts w:cs="Times New Roman"/>
          <w:lang w:val="fr-CA"/>
        </w:rPr>
        <w:t>’</w:t>
      </w:r>
      <w:r w:rsidRPr="00B61490">
        <w:rPr>
          <w:rFonts w:cs="Times New Roman"/>
          <w:lang w:val="fr-CA"/>
        </w:rPr>
        <w:t>organisations volontaires lorsque les questions qu</w:t>
      </w:r>
      <w:r>
        <w:rPr>
          <w:rFonts w:cs="Times New Roman"/>
          <w:lang w:val="fr-CA"/>
        </w:rPr>
        <w:t>’</w:t>
      </w:r>
      <w:r w:rsidRPr="00B61490">
        <w:rPr>
          <w:rFonts w:cs="Times New Roman"/>
          <w:lang w:val="fr-CA"/>
        </w:rPr>
        <w:t>elles soulèvent sont « suffisamment important[es] », et ce, même si aucun droit de propriété ni droit contractuel n</w:t>
      </w:r>
      <w:r>
        <w:rPr>
          <w:rFonts w:cs="Times New Roman"/>
          <w:lang w:val="fr-CA"/>
        </w:rPr>
        <w:t>’</w:t>
      </w:r>
      <w:r w:rsidRPr="00B61490">
        <w:rPr>
          <w:rFonts w:cs="Times New Roman"/>
          <w:lang w:val="fr-CA"/>
        </w:rPr>
        <w:t>est en cause. Il s</w:t>
      </w:r>
      <w:r>
        <w:rPr>
          <w:rFonts w:cs="Times New Roman"/>
          <w:lang w:val="fr-CA"/>
        </w:rPr>
        <w:t>’</w:t>
      </w:r>
      <w:r w:rsidRPr="00B61490">
        <w:rPr>
          <w:rFonts w:cs="Times New Roman"/>
          <w:lang w:val="fr-CA"/>
        </w:rPr>
        <w:t>agit là d</w:t>
      </w:r>
      <w:r>
        <w:rPr>
          <w:rFonts w:cs="Times New Roman"/>
          <w:lang w:val="fr-CA"/>
        </w:rPr>
        <w:t>’</w:t>
      </w:r>
      <w:r w:rsidRPr="00B61490">
        <w:rPr>
          <w:rFonts w:cs="Times New Roman"/>
          <w:lang w:val="fr-CA"/>
        </w:rPr>
        <w:t>une interprétation erronée de l</w:t>
      </w:r>
      <w:r>
        <w:rPr>
          <w:rFonts w:cs="Times New Roman"/>
          <w:lang w:val="fr-CA"/>
        </w:rPr>
        <w:t>’</w:t>
      </w:r>
      <w:r w:rsidRPr="00B61490">
        <w:rPr>
          <w:rFonts w:cs="Times New Roman"/>
          <w:lang w:val="fr-CA"/>
        </w:rPr>
        <w:t xml:space="preserve">arrêt </w:t>
      </w:r>
      <w:proofErr w:type="spellStart"/>
      <w:r w:rsidRPr="00B61490">
        <w:rPr>
          <w:rFonts w:cs="Times New Roman"/>
          <w:i/>
          <w:lang w:val="fr-CA"/>
        </w:rPr>
        <w:t>Lakeside</w:t>
      </w:r>
      <w:proofErr w:type="spellEnd"/>
      <w:r w:rsidRPr="00B61490">
        <w:rPr>
          <w:rFonts w:cs="Times New Roman"/>
          <w:i/>
          <w:lang w:val="fr-CA"/>
        </w:rPr>
        <w:t xml:space="preserve"> </w:t>
      </w:r>
      <w:proofErr w:type="spellStart"/>
      <w:r w:rsidRPr="00B61490">
        <w:rPr>
          <w:rFonts w:cs="Times New Roman"/>
          <w:i/>
          <w:lang w:val="fr-CA"/>
        </w:rPr>
        <w:t>Colony</w:t>
      </w:r>
      <w:proofErr w:type="spellEnd"/>
      <w:r w:rsidRPr="00B61490">
        <w:rPr>
          <w:rFonts w:cs="Times New Roman"/>
          <w:lang w:val="fr-CA"/>
        </w:rPr>
        <w:t>. Ce qui est requis, c</w:t>
      </w:r>
      <w:r>
        <w:rPr>
          <w:rFonts w:cs="Times New Roman"/>
          <w:lang w:val="fr-CA"/>
        </w:rPr>
        <w:t>’</w:t>
      </w:r>
      <w:r w:rsidRPr="00B61490">
        <w:rPr>
          <w:rFonts w:cs="Times New Roman"/>
          <w:lang w:val="fr-CA"/>
        </w:rPr>
        <w:t>est qu</w:t>
      </w:r>
      <w:r>
        <w:rPr>
          <w:rFonts w:cs="Times New Roman"/>
          <w:lang w:val="fr-CA"/>
        </w:rPr>
        <w:t>’</w:t>
      </w:r>
      <w:r w:rsidRPr="00B61490">
        <w:rPr>
          <w:rFonts w:cs="Times New Roman"/>
          <w:lang w:val="fr-CA"/>
        </w:rPr>
        <w:t xml:space="preserve">un </w:t>
      </w:r>
      <w:r w:rsidRPr="00B61490">
        <w:rPr>
          <w:rFonts w:cs="Times New Roman"/>
          <w:i/>
          <w:lang w:val="fr-CA"/>
        </w:rPr>
        <w:t>droit légal</w:t>
      </w:r>
      <w:r w:rsidRPr="00B61490">
        <w:rPr>
          <w:rFonts w:cs="Times New Roman"/>
          <w:lang w:val="fr-CA"/>
        </w:rPr>
        <w:t xml:space="preserve"> revêtant une importance suffisante — tel un droit de propriété ou un droit contractuel — soit en jeu : </w:t>
      </w:r>
      <w:r w:rsidRPr="00B61490">
        <w:rPr>
          <w:rFonts w:cs="Times New Roman"/>
          <w:lang w:val="fr-CA"/>
        </w:rPr>
        <w:lastRenderedPageBreak/>
        <w:t xml:space="preserve">voir également </w:t>
      </w:r>
      <w:proofErr w:type="spellStart"/>
      <w:r w:rsidRPr="00B61490">
        <w:rPr>
          <w:rFonts w:cs="Times New Roman"/>
          <w:i/>
          <w:lang w:val="fr-CA"/>
        </w:rPr>
        <w:t>Ukrainian</w:t>
      </w:r>
      <w:proofErr w:type="spellEnd"/>
      <w:r w:rsidRPr="00B61490">
        <w:rPr>
          <w:rFonts w:cs="Times New Roman"/>
          <w:i/>
          <w:lang w:val="fr-CA"/>
        </w:rPr>
        <w:t xml:space="preserve"> Greek </w:t>
      </w:r>
      <w:proofErr w:type="spellStart"/>
      <w:r w:rsidRPr="00B61490">
        <w:rPr>
          <w:rFonts w:cs="Times New Roman"/>
          <w:i/>
          <w:lang w:val="fr-CA"/>
        </w:rPr>
        <w:t>Orthodox</w:t>
      </w:r>
      <w:proofErr w:type="spellEnd"/>
      <w:r w:rsidRPr="00B61490">
        <w:rPr>
          <w:rFonts w:cs="Times New Roman"/>
          <w:i/>
          <w:lang w:val="fr-CA"/>
        </w:rPr>
        <w:t xml:space="preserve"> Church of Canada c. Trustees of the </w:t>
      </w:r>
      <w:proofErr w:type="spellStart"/>
      <w:r w:rsidRPr="00B61490">
        <w:rPr>
          <w:rFonts w:cs="Times New Roman"/>
          <w:i/>
          <w:lang w:val="fr-CA"/>
        </w:rPr>
        <w:t>Ukrainian</w:t>
      </w:r>
      <w:proofErr w:type="spellEnd"/>
      <w:r w:rsidRPr="00B61490">
        <w:rPr>
          <w:rFonts w:cs="Times New Roman"/>
          <w:i/>
          <w:lang w:val="fr-CA"/>
        </w:rPr>
        <w:t xml:space="preserve"> Greek </w:t>
      </w:r>
      <w:proofErr w:type="spellStart"/>
      <w:r w:rsidRPr="00B61490">
        <w:rPr>
          <w:rFonts w:cs="Times New Roman"/>
          <w:i/>
          <w:lang w:val="fr-CA"/>
        </w:rPr>
        <w:t>Orthodox</w:t>
      </w:r>
      <w:proofErr w:type="spellEnd"/>
      <w:r w:rsidRPr="00B61490">
        <w:rPr>
          <w:rFonts w:cs="Times New Roman"/>
          <w:i/>
          <w:lang w:val="fr-CA"/>
        </w:rPr>
        <w:t xml:space="preserve"> </w:t>
      </w:r>
      <w:proofErr w:type="spellStart"/>
      <w:r w:rsidRPr="00B61490">
        <w:rPr>
          <w:rFonts w:cs="Times New Roman"/>
          <w:i/>
          <w:lang w:val="fr-CA"/>
        </w:rPr>
        <w:t>Cathedral</w:t>
      </w:r>
      <w:proofErr w:type="spellEnd"/>
      <w:r w:rsidRPr="00B61490">
        <w:rPr>
          <w:rFonts w:cs="Times New Roman"/>
          <w:i/>
          <w:lang w:val="fr-CA"/>
        </w:rPr>
        <w:t xml:space="preserve"> of St. Mary the </w:t>
      </w:r>
      <w:proofErr w:type="spellStart"/>
      <w:r w:rsidRPr="00B61490">
        <w:rPr>
          <w:rFonts w:cs="Times New Roman"/>
          <w:i/>
          <w:lang w:val="fr-CA"/>
        </w:rPr>
        <w:t>Protectress</w:t>
      </w:r>
      <w:proofErr w:type="spellEnd"/>
      <w:r w:rsidRPr="00B61490">
        <w:rPr>
          <w:rFonts w:cs="Times New Roman"/>
          <w:lang w:val="fr-CA"/>
        </w:rPr>
        <w:t>, [1940] R.C.S. 586. Il ne suffit pas qu</w:t>
      </w:r>
      <w:r>
        <w:rPr>
          <w:rFonts w:cs="Times New Roman"/>
          <w:lang w:val="fr-CA"/>
        </w:rPr>
        <w:t>’</w:t>
      </w:r>
      <w:r w:rsidRPr="00B61490">
        <w:rPr>
          <w:rFonts w:cs="Times New Roman"/>
          <w:lang w:val="fr-CA"/>
        </w:rPr>
        <w:t>une question revête une « importance suffisante » dans quelque sens abstrait. Comme le soulignait le juge Gonthier</w:t>
      </w:r>
      <w:r>
        <w:rPr>
          <w:rFonts w:cs="Times New Roman"/>
          <w:lang w:val="fr-CA"/>
        </w:rPr>
        <w:t xml:space="preserve"> dans </w:t>
      </w:r>
      <w:proofErr w:type="spellStart"/>
      <w:r w:rsidRPr="005C2FC1">
        <w:rPr>
          <w:rFonts w:cs="Times New Roman"/>
          <w:i/>
          <w:lang w:val="fr-CA"/>
        </w:rPr>
        <w:t>Lakeside</w:t>
      </w:r>
      <w:proofErr w:type="spellEnd"/>
      <w:r w:rsidRPr="005C2FC1">
        <w:rPr>
          <w:rFonts w:cs="Times New Roman"/>
          <w:i/>
          <w:lang w:val="fr-CA"/>
        </w:rPr>
        <w:t xml:space="preserve"> </w:t>
      </w:r>
      <w:proofErr w:type="spellStart"/>
      <w:r w:rsidRPr="005C2FC1">
        <w:rPr>
          <w:rFonts w:cs="Times New Roman"/>
          <w:i/>
          <w:lang w:val="fr-CA"/>
        </w:rPr>
        <w:t>Colony</w:t>
      </w:r>
      <w:proofErr w:type="spellEnd"/>
      <w:r w:rsidRPr="00B61490">
        <w:rPr>
          <w:rFonts w:cs="Times New Roman"/>
          <w:lang w:val="fr-CA"/>
        </w:rPr>
        <w:t>, la nature du droit légal en jeu différait selon le point de vue à partir duquel il était considéré : pour la colonie, le différend portait sur un droit de propriété; pour les membres, il était de nature contractuelle. Dans un cas comme dans l</w:t>
      </w:r>
      <w:r>
        <w:rPr>
          <w:rFonts w:cs="Times New Roman"/>
          <w:lang w:val="fr-CA"/>
        </w:rPr>
        <w:t>’</w:t>
      </w:r>
      <w:r w:rsidRPr="00B61490">
        <w:rPr>
          <w:rFonts w:cs="Times New Roman"/>
          <w:lang w:val="fr-CA"/>
        </w:rPr>
        <w:t>autre, le critère de l</w:t>
      </w:r>
      <w:r>
        <w:rPr>
          <w:rFonts w:cs="Times New Roman"/>
          <w:lang w:val="fr-CA"/>
        </w:rPr>
        <w:t>’</w:t>
      </w:r>
      <w:r w:rsidRPr="00B61490">
        <w:rPr>
          <w:rFonts w:cs="Times New Roman"/>
          <w:lang w:val="fr-CA"/>
        </w:rPr>
        <w:t>« importance suffisante » n</w:t>
      </w:r>
      <w:r>
        <w:rPr>
          <w:rFonts w:cs="Times New Roman"/>
          <w:lang w:val="fr-CA"/>
        </w:rPr>
        <w:t>’</w:t>
      </w:r>
      <w:r w:rsidRPr="00B61490">
        <w:rPr>
          <w:rFonts w:cs="Times New Roman"/>
          <w:lang w:val="fr-CA"/>
        </w:rPr>
        <w:t>a jamais été envisagé comme fondement justifiant de reconnaître compétence aux tribunaux en l</w:t>
      </w:r>
      <w:r>
        <w:rPr>
          <w:rFonts w:cs="Times New Roman"/>
          <w:lang w:val="fr-CA"/>
        </w:rPr>
        <w:t>’</w:t>
      </w:r>
      <w:r w:rsidRPr="00B61490">
        <w:rPr>
          <w:rFonts w:cs="Times New Roman"/>
          <w:lang w:val="fr-CA"/>
        </w:rPr>
        <w:t>absence de décisions sur l</w:t>
      </w:r>
      <w:r>
        <w:rPr>
          <w:rFonts w:cs="Times New Roman"/>
          <w:lang w:val="fr-CA"/>
        </w:rPr>
        <w:t>’</w:t>
      </w:r>
      <w:r w:rsidRPr="00B61490">
        <w:rPr>
          <w:rFonts w:cs="Times New Roman"/>
          <w:lang w:val="fr-CA"/>
        </w:rPr>
        <w:t>existence de droits légaux.</w:t>
      </w:r>
    </w:p>
    <w:p w:rsidR="006A3C1C"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M. Wall prétend que la Congrégation et lui sont liés par un droit</w:t>
      </w:r>
      <w:r w:rsidRPr="00B61490">
        <w:rPr>
          <w:rFonts w:cs="Times New Roman"/>
          <w:b/>
          <w:lang w:val="fr-CA"/>
        </w:rPr>
        <w:t xml:space="preserve"> </w:t>
      </w:r>
      <w:r w:rsidRPr="00B61490">
        <w:rPr>
          <w:rFonts w:cs="Times New Roman"/>
          <w:lang w:val="fr-CA"/>
        </w:rPr>
        <w:t>contractuel (ou quelque chose qui s</w:t>
      </w:r>
      <w:r>
        <w:rPr>
          <w:rFonts w:cs="Times New Roman"/>
          <w:lang w:val="fr-CA"/>
        </w:rPr>
        <w:t>’</w:t>
      </w:r>
      <w:r w:rsidRPr="00B61490">
        <w:rPr>
          <w:rFonts w:cs="Times New Roman"/>
          <w:lang w:val="fr-CA"/>
        </w:rPr>
        <w:t>en rapproche). Le juge en cabinet n</w:t>
      </w:r>
      <w:r>
        <w:rPr>
          <w:rFonts w:cs="Times New Roman"/>
          <w:lang w:val="fr-CA"/>
        </w:rPr>
        <w:t>’</w:t>
      </w:r>
      <w:r w:rsidRPr="00B61490">
        <w:rPr>
          <w:rFonts w:cs="Times New Roman"/>
          <w:lang w:val="fr-CA"/>
        </w:rPr>
        <w:t>a pas tiré de conclusion en ce sens. Il n</w:t>
      </w:r>
      <w:r>
        <w:rPr>
          <w:rFonts w:cs="Times New Roman"/>
          <w:lang w:val="fr-CA"/>
        </w:rPr>
        <w:t>’</w:t>
      </w:r>
      <w:r w:rsidRPr="00B61490">
        <w:rPr>
          <w:rFonts w:cs="Times New Roman"/>
          <w:lang w:val="fr-CA"/>
        </w:rPr>
        <w:t>a été présenté aucun élément indiquant que M. Wall et la Congrégation entendaient établir des rapports juridiques. Contrairement à bon nombre d</w:t>
      </w:r>
      <w:r>
        <w:rPr>
          <w:rFonts w:cs="Times New Roman"/>
          <w:lang w:val="fr-CA"/>
        </w:rPr>
        <w:t>’</w:t>
      </w:r>
      <w:r w:rsidRPr="00B61490">
        <w:rPr>
          <w:rFonts w:cs="Times New Roman"/>
          <w:lang w:val="fr-CA"/>
        </w:rPr>
        <w:t>autres organismes, telles les associations professionnelles, la Congrégation n</w:t>
      </w:r>
      <w:r>
        <w:rPr>
          <w:rFonts w:cs="Times New Roman"/>
          <w:lang w:val="fr-CA"/>
        </w:rPr>
        <w:t>’</w:t>
      </w:r>
      <w:r w:rsidRPr="00B61490">
        <w:rPr>
          <w:rFonts w:cs="Times New Roman"/>
          <w:lang w:val="fr-CA"/>
        </w:rPr>
        <w:t>a ni constitution écrite, ni règlement administratif, ni règles qui autoriseraient ses membres à demander et obtenir l</w:t>
      </w:r>
      <w:r>
        <w:rPr>
          <w:rFonts w:cs="Times New Roman"/>
          <w:lang w:val="fr-CA"/>
        </w:rPr>
        <w:t>’</w:t>
      </w:r>
      <w:r w:rsidRPr="00B61490">
        <w:rPr>
          <w:rFonts w:cs="Times New Roman"/>
          <w:lang w:val="fr-CA"/>
        </w:rPr>
        <w:t xml:space="preserve">exécution de tels </w:t>
      </w:r>
      <w:r>
        <w:rPr>
          <w:rFonts w:cs="Times New Roman"/>
          <w:lang w:val="fr-CA"/>
        </w:rPr>
        <w:t>accords conformément à leurs modalités</w:t>
      </w:r>
      <w:r w:rsidRPr="00B61490">
        <w:rPr>
          <w:rFonts w:cs="Times New Roman"/>
          <w:lang w:val="fr-CA"/>
        </w:rPr>
        <w:t>. Dans l</w:t>
      </w:r>
      <w:r>
        <w:rPr>
          <w:rFonts w:cs="Times New Roman"/>
          <w:lang w:val="fr-CA"/>
        </w:rPr>
        <w:t>’</w:t>
      </w:r>
      <w:r w:rsidRPr="00B61490">
        <w:rPr>
          <w:rFonts w:cs="Times New Roman"/>
          <w:lang w:val="fr-CA"/>
        </w:rPr>
        <w:t xml:space="preserve">arrêt </w:t>
      </w:r>
      <w:proofErr w:type="spellStart"/>
      <w:r w:rsidRPr="009D7A53">
        <w:rPr>
          <w:rFonts w:cs="Times New Roman"/>
          <w:i/>
          <w:lang w:val="fr-CA"/>
        </w:rPr>
        <w:t>Zebroski</w:t>
      </w:r>
      <w:proofErr w:type="spellEnd"/>
      <w:r w:rsidRPr="009D7A53">
        <w:rPr>
          <w:rFonts w:cs="Times New Roman"/>
          <w:i/>
          <w:lang w:val="fr-CA"/>
        </w:rPr>
        <w:t xml:space="preserve"> c. </w:t>
      </w:r>
      <w:proofErr w:type="spellStart"/>
      <w:r w:rsidRPr="009D7A53">
        <w:rPr>
          <w:rFonts w:cs="Times New Roman"/>
          <w:i/>
          <w:lang w:val="fr-CA"/>
        </w:rPr>
        <w:t>Jehovah</w:t>
      </w:r>
      <w:r>
        <w:rPr>
          <w:rFonts w:cs="Times New Roman"/>
          <w:i/>
          <w:lang w:val="fr-CA"/>
        </w:rPr>
        <w:t>’</w:t>
      </w:r>
      <w:r w:rsidRPr="009D7A53">
        <w:rPr>
          <w:rFonts w:cs="Times New Roman"/>
          <w:i/>
          <w:lang w:val="fr-CA"/>
        </w:rPr>
        <w:t>s</w:t>
      </w:r>
      <w:proofErr w:type="spellEnd"/>
      <w:r w:rsidRPr="009D7A53">
        <w:rPr>
          <w:rFonts w:cs="Times New Roman"/>
          <w:i/>
          <w:lang w:val="fr-CA"/>
        </w:rPr>
        <w:t xml:space="preserve"> </w:t>
      </w:r>
      <w:proofErr w:type="spellStart"/>
      <w:r w:rsidRPr="009D7A53">
        <w:rPr>
          <w:rFonts w:cs="Times New Roman"/>
          <w:i/>
          <w:lang w:val="fr-CA"/>
        </w:rPr>
        <w:t>Witnesses</w:t>
      </w:r>
      <w:proofErr w:type="spellEnd"/>
      <w:r w:rsidRPr="00B61490">
        <w:rPr>
          <w:rFonts w:cs="Times New Roman"/>
          <w:lang w:val="fr-CA"/>
        </w:rPr>
        <w:t xml:space="preserve"> </w:t>
      </w:r>
      <w:r>
        <w:rPr>
          <w:rFonts w:cs="Times New Roman"/>
          <w:lang w:val="fr-CA"/>
        </w:rPr>
        <w:t>(</w:t>
      </w:r>
      <w:r w:rsidRPr="00B61490">
        <w:rPr>
          <w:rFonts w:cs="Times New Roman"/>
          <w:lang w:val="fr-CA"/>
        </w:rPr>
        <w:t>1988</w:t>
      </w:r>
      <w:r>
        <w:rPr>
          <w:rFonts w:cs="Times New Roman"/>
          <w:lang w:val="fr-CA"/>
        </w:rPr>
        <w:t>),</w:t>
      </w:r>
      <w:r w:rsidRPr="00B61490">
        <w:rPr>
          <w:rFonts w:cs="Times New Roman"/>
          <w:lang w:val="fr-CA"/>
        </w:rPr>
        <w:t xml:space="preserve"> 87 A.R. 229, par. 22</w:t>
      </w:r>
      <w:r w:rsidRPr="00B61490">
        <w:rPr>
          <w:rFonts w:cs="Times New Roman"/>
          <w:lang w:val="fr-CA"/>
        </w:rPr>
        <w:noBreakHyphen/>
        <w:t>25, la Cour d</w:t>
      </w:r>
      <w:r>
        <w:rPr>
          <w:rFonts w:cs="Times New Roman"/>
          <w:lang w:val="fr-CA"/>
        </w:rPr>
        <w:t>’</w:t>
      </w:r>
      <w:r w:rsidRPr="00B61490">
        <w:rPr>
          <w:rFonts w:cs="Times New Roman"/>
          <w:lang w:val="fr-CA"/>
        </w:rPr>
        <w:t>appel de l</w:t>
      </w:r>
      <w:r>
        <w:rPr>
          <w:rFonts w:cs="Times New Roman"/>
          <w:lang w:val="fr-CA"/>
        </w:rPr>
        <w:t>’</w:t>
      </w:r>
      <w:r w:rsidRPr="00B61490">
        <w:rPr>
          <w:rFonts w:cs="Times New Roman"/>
          <w:lang w:val="fr-CA"/>
        </w:rPr>
        <w:t>Alberta a jugé que l</w:t>
      </w:r>
      <w:r>
        <w:rPr>
          <w:rFonts w:cs="Times New Roman"/>
          <w:lang w:val="fr-CA"/>
        </w:rPr>
        <w:t>’</w:t>
      </w:r>
      <w:r w:rsidRPr="00B61490">
        <w:rPr>
          <w:rFonts w:cs="Times New Roman"/>
          <w:lang w:val="fr-CA"/>
        </w:rPr>
        <w:t xml:space="preserve">appartenance à une congrégation de constitution similaire ne conférait pas en soi de droit contractuel. Par conséquent, le pourvoi peut être distingué des affaires </w:t>
      </w:r>
      <w:r w:rsidRPr="00D61ADC">
        <w:rPr>
          <w:rFonts w:cs="Times New Roman"/>
          <w:i/>
          <w:lang w:val="fr-CA"/>
        </w:rPr>
        <w:t>Hofer c. Hofer</w:t>
      </w:r>
      <w:r w:rsidRPr="00B61490">
        <w:rPr>
          <w:rFonts w:cs="Times New Roman"/>
          <w:lang w:val="fr-CA"/>
        </w:rPr>
        <w:t xml:space="preserve">, [1970] R.C.S. 958, p. 961 et 963, </w:t>
      </w:r>
      <w:r w:rsidRPr="00D61ADC">
        <w:rPr>
          <w:rFonts w:cs="Times New Roman"/>
          <w:i/>
          <w:lang w:val="fr-CA"/>
        </w:rPr>
        <w:t>Senez c. Chambre d</w:t>
      </w:r>
      <w:r>
        <w:rPr>
          <w:rFonts w:cs="Times New Roman"/>
          <w:i/>
          <w:lang w:val="fr-CA"/>
        </w:rPr>
        <w:t>’</w:t>
      </w:r>
      <w:r w:rsidRPr="00D61ADC">
        <w:rPr>
          <w:rFonts w:cs="Times New Roman"/>
          <w:i/>
          <w:lang w:val="fr-CA"/>
        </w:rPr>
        <w:t>Immeuble de Montréal</w:t>
      </w:r>
      <w:r w:rsidRPr="00B61490">
        <w:rPr>
          <w:rFonts w:cs="Times New Roman"/>
          <w:lang w:val="fr-CA"/>
        </w:rPr>
        <w:t>, [1980] 2 R.C.S. 555, p. 566 et 568</w:t>
      </w:r>
      <w:r>
        <w:rPr>
          <w:rFonts w:cs="Times New Roman"/>
          <w:lang w:val="fr-CA"/>
        </w:rPr>
        <w:t>,</w:t>
      </w:r>
      <w:r w:rsidRPr="00B61490">
        <w:rPr>
          <w:rFonts w:cs="Times New Roman"/>
          <w:lang w:val="fr-CA"/>
        </w:rPr>
        <w:t xml:space="preserve"> et </w:t>
      </w:r>
      <w:proofErr w:type="spellStart"/>
      <w:r w:rsidRPr="009D7A53">
        <w:rPr>
          <w:rFonts w:cs="Times New Roman"/>
          <w:i/>
          <w:lang w:val="fr-CA"/>
        </w:rPr>
        <w:t>Lakeside</w:t>
      </w:r>
      <w:proofErr w:type="spellEnd"/>
      <w:r w:rsidRPr="009D7A53">
        <w:rPr>
          <w:rFonts w:cs="Times New Roman"/>
          <w:i/>
          <w:lang w:val="fr-CA"/>
        </w:rPr>
        <w:t xml:space="preserve"> </w:t>
      </w:r>
      <w:proofErr w:type="spellStart"/>
      <w:r w:rsidRPr="009D7A53">
        <w:rPr>
          <w:rFonts w:cs="Times New Roman"/>
          <w:i/>
          <w:lang w:val="fr-CA"/>
        </w:rPr>
        <w:t>Colony</w:t>
      </w:r>
      <w:proofErr w:type="spellEnd"/>
      <w:r w:rsidRPr="00B61490">
        <w:rPr>
          <w:rFonts w:cs="Times New Roman"/>
          <w:lang w:val="fr-CA"/>
        </w:rPr>
        <w:t xml:space="preserve">, p. 174. Dans toutes ces affaires, notre Cour a conclu que les modalités régissant les </w:t>
      </w:r>
      <w:r w:rsidRPr="00B61490">
        <w:rPr>
          <w:rFonts w:cs="Times New Roman"/>
          <w:lang w:val="fr-CA"/>
        </w:rPr>
        <w:lastRenderedPageBreak/>
        <w:t xml:space="preserve">associations volontaires concernées constituaient des obligations contractuelles liant les parties. </w:t>
      </w:r>
    </w:p>
    <w:p w:rsidR="006A3C1C"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 xml:space="preserve">Qui plus est, la </w:t>
      </w:r>
      <w:r w:rsidRPr="005115ED">
        <w:rPr>
          <w:rFonts w:cs="Times New Roman"/>
          <w:i/>
          <w:lang w:val="fr-CA"/>
        </w:rPr>
        <w:t>simple</w:t>
      </w:r>
      <w:r w:rsidRPr="00B61490">
        <w:rPr>
          <w:rFonts w:cs="Times New Roman"/>
          <w:lang w:val="fr-CA"/>
        </w:rPr>
        <w:t xml:space="preserve"> appartenance à une organisation religieuse, lorsque cette appartenance n</w:t>
      </w:r>
      <w:r>
        <w:rPr>
          <w:rFonts w:cs="Times New Roman"/>
          <w:lang w:val="fr-CA"/>
        </w:rPr>
        <w:t>’</w:t>
      </w:r>
      <w:r w:rsidRPr="00B61490">
        <w:rPr>
          <w:rFonts w:cs="Times New Roman"/>
          <w:lang w:val="fr-CA"/>
        </w:rPr>
        <w:t>a pas pour effet de conférer formellement de droit civil ou de droit de propriété, devrait demeurer en dehors du champ d</w:t>
      </w:r>
      <w:r>
        <w:rPr>
          <w:rFonts w:cs="Times New Roman"/>
          <w:lang w:val="fr-CA"/>
        </w:rPr>
        <w:t>’</w:t>
      </w:r>
      <w:r w:rsidRPr="00B61490">
        <w:rPr>
          <w:rFonts w:cs="Times New Roman"/>
          <w:lang w:val="fr-CA"/>
        </w:rPr>
        <w:t>application du critère de l</w:t>
      </w:r>
      <w:r>
        <w:rPr>
          <w:rFonts w:cs="Times New Roman"/>
          <w:lang w:val="fr-CA"/>
        </w:rPr>
        <w:t>’</w:t>
      </w:r>
      <w:r w:rsidRPr="00B61490">
        <w:rPr>
          <w:rFonts w:cs="Times New Roman"/>
          <w:lang w:val="fr-CA"/>
        </w:rPr>
        <w:t xml:space="preserve">arrêt </w:t>
      </w:r>
      <w:proofErr w:type="spellStart"/>
      <w:r w:rsidRPr="0044612E">
        <w:rPr>
          <w:rFonts w:cs="Times New Roman"/>
          <w:i/>
          <w:lang w:val="fr-CA"/>
        </w:rPr>
        <w:t>Lakeside</w:t>
      </w:r>
      <w:proofErr w:type="spellEnd"/>
      <w:r w:rsidRPr="0044612E">
        <w:rPr>
          <w:rFonts w:cs="Times New Roman"/>
          <w:i/>
          <w:lang w:val="fr-CA"/>
        </w:rPr>
        <w:t xml:space="preserve"> </w:t>
      </w:r>
      <w:proofErr w:type="spellStart"/>
      <w:r w:rsidRPr="0044612E">
        <w:rPr>
          <w:rFonts w:cs="Times New Roman"/>
          <w:i/>
          <w:lang w:val="fr-CA"/>
        </w:rPr>
        <w:t>Colony</w:t>
      </w:r>
      <w:proofErr w:type="spellEnd"/>
      <w:r w:rsidRPr="00B61490">
        <w:rPr>
          <w:rFonts w:cs="Times New Roman"/>
          <w:lang w:val="fr-CA"/>
        </w:rPr>
        <w:t>. Autrement, ce critère serait dénué de tout sens et objet. En réalité, il est possible que les membres d</w:t>
      </w:r>
      <w:r>
        <w:rPr>
          <w:rFonts w:cs="Times New Roman"/>
          <w:lang w:val="fr-CA"/>
        </w:rPr>
        <w:t>’</w:t>
      </w:r>
      <w:r w:rsidRPr="00B61490">
        <w:rPr>
          <w:rFonts w:cs="Times New Roman"/>
          <w:lang w:val="fr-CA"/>
        </w:rPr>
        <w:t>une congrégation ne considèrent pas que, par le simple fait d</w:t>
      </w:r>
      <w:r>
        <w:rPr>
          <w:rFonts w:cs="Times New Roman"/>
          <w:lang w:val="fr-CA"/>
        </w:rPr>
        <w:t>’</w:t>
      </w:r>
      <w:r w:rsidRPr="00B61490">
        <w:rPr>
          <w:rFonts w:cs="Times New Roman"/>
          <w:lang w:val="fr-CA"/>
        </w:rPr>
        <w:t>adhérer à une organisation religieuse, ils se trouvent à conclure un contrat susceptible d</w:t>
      </w:r>
      <w:r>
        <w:rPr>
          <w:rFonts w:cs="Times New Roman"/>
          <w:lang w:val="fr-CA"/>
        </w:rPr>
        <w:t>’</w:t>
      </w:r>
      <w:r w:rsidRPr="00B61490">
        <w:rPr>
          <w:rFonts w:cs="Times New Roman"/>
          <w:lang w:val="fr-CA"/>
        </w:rPr>
        <w:t xml:space="preserve">exécution devant les tribunaux, étant donné </w:t>
      </w:r>
      <w:proofErr w:type="gramStart"/>
      <w:r w:rsidRPr="00B61490">
        <w:rPr>
          <w:rFonts w:cs="Times New Roman"/>
          <w:lang w:val="fr-CA"/>
        </w:rPr>
        <w:t>qu</w:t>
      </w:r>
      <w:r>
        <w:rPr>
          <w:rFonts w:cs="Times New Roman"/>
          <w:lang w:val="fr-CA"/>
        </w:rPr>
        <w:t>’</w:t>
      </w:r>
      <w:r w:rsidRPr="00B61490">
        <w:rPr>
          <w:rFonts w:cs="Times New Roman"/>
          <w:lang w:val="fr-CA"/>
        </w:rPr>
        <w:t>[</w:t>
      </w:r>
      <w:proofErr w:type="gramEnd"/>
      <w:r w:rsidRPr="00B61490">
        <w:rPr>
          <w:rFonts w:cs="Times New Roman"/>
          <w:smallCaps/>
          <w:lang w:val="fr-CA"/>
        </w:rPr>
        <w:t>traduction</w:t>
      </w:r>
      <w:r w:rsidRPr="00B61490">
        <w:rPr>
          <w:rFonts w:cs="Times New Roman"/>
          <w:lang w:val="fr-CA"/>
        </w:rPr>
        <w:t>] « un contrat religieux repose sur des normes souvent ancrées dans la foi et profondément respectées »</w:t>
      </w:r>
      <w:r w:rsidR="00F25236">
        <w:rPr>
          <w:rFonts w:cs="Times New Roman"/>
          <w:lang w:val="fr-CA"/>
        </w:rPr>
        <w:t xml:space="preserve"> : </w:t>
      </w:r>
      <w:r>
        <w:rPr>
          <w:rFonts w:cs="Times New Roman"/>
          <w:lang w:val="fr-CA"/>
        </w:rPr>
        <w:t>R. Moon, « </w:t>
      </w:r>
      <w:proofErr w:type="spellStart"/>
      <w:r w:rsidRPr="009D7A53">
        <w:rPr>
          <w:rFonts w:cs="Times New Roman"/>
          <w:i/>
          <w:lang w:val="fr-CA"/>
        </w:rPr>
        <w:t>Bruker</w:t>
      </w:r>
      <w:proofErr w:type="spellEnd"/>
      <w:r w:rsidRPr="009D7A53">
        <w:rPr>
          <w:rFonts w:cs="Times New Roman"/>
          <w:i/>
          <w:lang w:val="fr-CA"/>
        </w:rPr>
        <w:t xml:space="preserve"> v. </w:t>
      </w:r>
      <w:proofErr w:type="spellStart"/>
      <w:r w:rsidRPr="009D7A53">
        <w:rPr>
          <w:rFonts w:cs="Times New Roman"/>
          <w:i/>
          <w:lang w:val="fr-CA"/>
        </w:rPr>
        <w:t>Marcovitz</w:t>
      </w:r>
      <w:proofErr w:type="spellEnd"/>
      <w:r w:rsidR="008D5129" w:rsidRPr="008D5129">
        <w:rPr>
          <w:rFonts w:cs="Times New Roman"/>
          <w:lang w:val="fr-CA"/>
        </w:rPr>
        <w:t xml:space="preserve"> </w:t>
      </w:r>
      <w:r w:rsidRPr="00B61490">
        <w:rPr>
          <w:rFonts w:cs="Times New Roman"/>
          <w:lang w:val="fr-CA"/>
        </w:rPr>
        <w:t xml:space="preserve">: Divorce and the </w:t>
      </w:r>
      <w:proofErr w:type="spellStart"/>
      <w:r w:rsidRPr="00B61490">
        <w:rPr>
          <w:rFonts w:cs="Times New Roman"/>
          <w:lang w:val="fr-CA"/>
        </w:rPr>
        <w:t>Marriage</w:t>
      </w:r>
      <w:proofErr w:type="spellEnd"/>
      <w:r w:rsidRPr="00B61490">
        <w:rPr>
          <w:rFonts w:cs="Times New Roman"/>
          <w:lang w:val="fr-CA"/>
        </w:rPr>
        <w:t xml:space="preserve"> of Law and Religion</w:t>
      </w:r>
      <w:r>
        <w:rPr>
          <w:rFonts w:cs="Times New Roman"/>
          <w:lang w:val="fr-CA"/>
        </w:rPr>
        <w:t> »</w:t>
      </w:r>
      <w:r w:rsidRPr="00B61490">
        <w:rPr>
          <w:rFonts w:cs="Times New Roman"/>
          <w:lang w:val="fr-CA"/>
        </w:rPr>
        <w:t xml:space="preserve"> (2008), 42 </w:t>
      </w:r>
      <w:r w:rsidRPr="009E5029">
        <w:rPr>
          <w:rFonts w:cs="Times New Roman"/>
          <w:i/>
          <w:lang w:val="fr-CA"/>
        </w:rPr>
        <w:t>S.C.L.R.</w:t>
      </w:r>
      <w:r w:rsidRPr="00B61490">
        <w:rPr>
          <w:rFonts w:cs="Times New Roman"/>
          <w:lang w:val="fr-CA"/>
        </w:rPr>
        <w:t xml:space="preserve"> (2d) 37, p. 45. La partie qui allègue l</w:t>
      </w:r>
      <w:r>
        <w:rPr>
          <w:rFonts w:cs="Times New Roman"/>
          <w:lang w:val="fr-CA"/>
        </w:rPr>
        <w:t>’</w:t>
      </w:r>
      <w:r w:rsidRPr="00B61490">
        <w:rPr>
          <w:rFonts w:cs="Times New Roman"/>
          <w:lang w:val="fr-CA"/>
        </w:rPr>
        <w:t>existence d</w:t>
      </w:r>
      <w:r>
        <w:rPr>
          <w:rFonts w:cs="Times New Roman"/>
          <w:lang w:val="fr-CA"/>
        </w:rPr>
        <w:t>’</w:t>
      </w:r>
      <w:r w:rsidRPr="00B61490">
        <w:rPr>
          <w:rFonts w:cs="Times New Roman"/>
          <w:lang w:val="fr-CA"/>
        </w:rPr>
        <w:t>un contrat doit démontrer que les parties avaient l</w:t>
      </w:r>
      <w:r>
        <w:rPr>
          <w:rFonts w:cs="Times New Roman"/>
          <w:lang w:val="fr-CA"/>
        </w:rPr>
        <w:t>’</w:t>
      </w:r>
      <w:r w:rsidRPr="00B61490">
        <w:rPr>
          <w:rFonts w:cs="Times New Roman"/>
          <w:lang w:val="fr-CA"/>
        </w:rPr>
        <w:t>intention d</w:t>
      </w:r>
      <w:r>
        <w:rPr>
          <w:rFonts w:cs="Times New Roman"/>
          <w:lang w:val="fr-CA"/>
        </w:rPr>
        <w:t>’</w:t>
      </w:r>
      <w:r w:rsidRPr="00B61490">
        <w:rPr>
          <w:rFonts w:cs="Times New Roman"/>
          <w:lang w:val="fr-CA"/>
        </w:rPr>
        <w:t>établir des rapports contractuels. Bien que cela puisse se révéler plus difficile à démontrer dans un contexte religieux, les principes généraux du droit des contrats s</w:t>
      </w:r>
      <w:r>
        <w:rPr>
          <w:rFonts w:cs="Times New Roman"/>
          <w:lang w:val="fr-CA"/>
        </w:rPr>
        <w:t>’</w:t>
      </w:r>
      <w:r w:rsidRPr="00B61490">
        <w:rPr>
          <w:rFonts w:cs="Times New Roman"/>
          <w:lang w:val="fr-CA"/>
        </w:rPr>
        <w:t>appliqueront dans un tel cas.</w:t>
      </w:r>
      <w:r>
        <w:rPr>
          <w:rFonts w:cs="Times New Roman"/>
          <w:lang w:val="fr-CA"/>
        </w:rPr>
        <w:t xml:space="preserve"> </w:t>
      </w:r>
    </w:p>
    <w:p w:rsidR="006A3C1C"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Devant le juge en cabinet, M. Wall a également plaidé que ses droits sont en jeu, car la décision du Comité de discipline religieuse a porté atteinte à ses intérêts financiers en réduisant sa clientèle. Sur ce point, je me dissocie une fois de plus des juridictions inférieures</w:t>
      </w:r>
      <w:r>
        <w:rPr>
          <w:rFonts w:cs="Times New Roman"/>
          <w:lang w:val="fr-CA"/>
        </w:rPr>
        <w:t>.</w:t>
      </w:r>
      <w:r w:rsidRPr="00B61490">
        <w:rPr>
          <w:rFonts w:cs="Times New Roman"/>
          <w:lang w:val="fr-CA"/>
        </w:rPr>
        <w:t xml:space="preserve"> Le maintien par M. Wall de sa clientèle ne constituait pas pour lui un droit de propriété. Comme l</w:t>
      </w:r>
      <w:r>
        <w:rPr>
          <w:rFonts w:cs="Times New Roman"/>
          <w:lang w:val="fr-CA"/>
        </w:rPr>
        <w:t>’</w:t>
      </w:r>
      <w:r w:rsidRPr="00B61490">
        <w:rPr>
          <w:rFonts w:cs="Times New Roman"/>
          <w:lang w:val="fr-CA"/>
        </w:rPr>
        <w:t xml:space="preserve">a indiqué le juge </w:t>
      </w:r>
      <w:proofErr w:type="spellStart"/>
      <w:r w:rsidRPr="00B61490">
        <w:rPr>
          <w:rFonts w:cs="Times New Roman"/>
          <w:lang w:val="fr-CA"/>
        </w:rPr>
        <w:t>Wakeling</w:t>
      </w:r>
      <w:proofErr w:type="spellEnd"/>
      <w:r w:rsidRPr="00B61490">
        <w:rPr>
          <w:rFonts w:cs="Times New Roman"/>
          <w:lang w:val="fr-CA"/>
        </w:rPr>
        <w:t xml:space="preserve"> dans ses motifs</w:t>
      </w:r>
      <w:r>
        <w:rPr>
          <w:rFonts w:cs="Times New Roman"/>
          <w:lang w:val="fr-CA"/>
        </w:rPr>
        <w:t xml:space="preserve"> de</w:t>
      </w:r>
      <w:r w:rsidRPr="00B61490">
        <w:rPr>
          <w:rFonts w:cs="Times New Roman"/>
          <w:lang w:val="fr-CA"/>
        </w:rPr>
        <w:t xml:space="preserve"> dissidence en Cour d</w:t>
      </w:r>
      <w:r>
        <w:rPr>
          <w:rFonts w:cs="Times New Roman"/>
          <w:lang w:val="fr-CA"/>
        </w:rPr>
        <w:t>’</w:t>
      </w:r>
      <w:r w:rsidRPr="00B61490">
        <w:rPr>
          <w:rFonts w:cs="Times New Roman"/>
          <w:lang w:val="fr-CA"/>
        </w:rPr>
        <w:t xml:space="preserve">appel, M. Wall ne dispose pas du droit de faire affaire avec les </w:t>
      </w:r>
      <w:r w:rsidRPr="00B61490">
        <w:rPr>
          <w:rFonts w:cs="Times New Roman"/>
          <w:lang w:val="fr-CA"/>
        </w:rPr>
        <w:lastRenderedPageBreak/>
        <w:t>membres de la Congrégation : motifs de la Cour d</w:t>
      </w:r>
      <w:r>
        <w:rPr>
          <w:rFonts w:cs="Times New Roman"/>
          <w:lang w:val="fr-CA"/>
        </w:rPr>
        <w:t>’</w:t>
      </w:r>
      <w:r w:rsidRPr="00B61490">
        <w:rPr>
          <w:rFonts w:cs="Times New Roman"/>
          <w:lang w:val="fr-CA"/>
        </w:rPr>
        <w:t>appel, par. 139. À titre d</w:t>
      </w:r>
      <w:r>
        <w:rPr>
          <w:rFonts w:cs="Times New Roman"/>
          <w:lang w:val="fr-CA"/>
        </w:rPr>
        <w:t>’</w:t>
      </w:r>
      <w:r w:rsidRPr="00B61490">
        <w:rPr>
          <w:rFonts w:cs="Times New Roman"/>
          <w:lang w:val="fr-CA"/>
        </w:rPr>
        <w:t xml:space="preserve">exemple, voir </w:t>
      </w:r>
      <w:proofErr w:type="spellStart"/>
      <w:r w:rsidRPr="00D61ADC">
        <w:rPr>
          <w:rFonts w:cs="Times New Roman"/>
          <w:i/>
          <w:lang w:val="fr-CA"/>
        </w:rPr>
        <w:t>Mott</w:t>
      </w:r>
      <w:proofErr w:type="spellEnd"/>
      <w:r w:rsidRPr="00D61ADC">
        <w:rPr>
          <w:rFonts w:cs="Times New Roman"/>
          <w:i/>
          <w:lang w:val="fr-CA"/>
        </w:rPr>
        <w:noBreakHyphen/>
        <w:t xml:space="preserve">Trille c. </w:t>
      </w:r>
      <w:proofErr w:type="spellStart"/>
      <w:r w:rsidRPr="00D61ADC">
        <w:rPr>
          <w:rFonts w:cs="Times New Roman"/>
          <w:i/>
          <w:lang w:val="fr-CA"/>
        </w:rPr>
        <w:t>Steed</w:t>
      </w:r>
      <w:proofErr w:type="spellEnd"/>
      <w:r w:rsidRPr="00B61490">
        <w:rPr>
          <w:rFonts w:cs="Times New Roman"/>
          <w:lang w:val="fr-CA"/>
        </w:rPr>
        <w:t xml:space="preserve">, [1998] O.J. No. 3583 (C.J. (Div. </w:t>
      </w:r>
      <w:proofErr w:type="spellStart"/>
      <w:r w:rsidRPr="00B61490">
        <w:rPr>
          <w:rFonts w:cs="Times New Roman"/>
          <w:lang w:val="fr-CA"/>
        </w:rPr>
        <w:t>gén</w:t>
      </w:r>
      <w:proofErr w:type="spellEnd"/>
      <w:r w:rsidRPr="00B61490">
        <w:rPr>
          <w:rFonts w:cs="Times New Roman"/>
          <w:lang w:val="fr-CA"/>
        </w:rPr>
        <w:t>.)), par. 14 et 45, inf. pour d</w:t>
      </w:r>
      <w:r>
        <w:rPr>
          <w:rFonts w:cs="Times New Roman"/>
          <w:lang w:val="fr-CA"/>
        </w:rPr>
        <w:t>’</w:t>
      </w:r>
      <w:r w:rsidRPr="00B61490">
        <w:rPr>
          <w:rFonts w:cs="Times New Roman"/>
          <w:lang w:val="fr-CA"/>
        </w:rPr>
        <w:t xml:space="preserve">autres motifs, 1999 </w:t>
      </w:r>
      <w:proofErr w:type="spellStart"/>
      <w:r w:rsidRPr="00B61490">
        <w:rPr>
          <w:rFonts w:cs="Times New Roman"/>
          <w:lang w:val="fr-CA"/>
        </w:rPr>
        <w:t>CanLII</w:t>
      </w:r>
      <w:proofErr w:type="spellEnd"/>
      <w:r w:rsidRPr="00B61490">
        <w:rPr>
          <w:rFonts w:cs="Times New Roman"/>
          <w:lang w:val="fr-CA"/>
        </w:rPr>
        <w:t xml:space="preserve"> 2618 (C.A. Ont.).</w:t>
      </w:r>
    </w:p>
    <w:p w:rsidR="006A3C1C"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Si M. Wall avait été en mesure de démontrer que ses droits légaux avaient subi un quelconque préjudice découlant de la décision concernant son appartenance à la Congrégation, il aurait pu demander réparation en se prévalant des recours de droit privé appropriés. Cela ne veut pas dire que les mesures prises par la Congrégation n</w:t>
      </w:r>
      <w:r>
        <w:rPr>
          <w:rFonts w:cs="Times New Roman"/>
          <w:lang w:val="fr-CA"/>
        </w:rPr>
        <w:t>’</w:t>
      </w:r>
      <w:r w:rsidRPr="00B61490">
        <w:rPr>
          <w:rFonts w:cs="Times New Roman"/>
          <w:lang w:val="fr-CA"/>
        </w:rPr>
        <w:t>ont pas eu de répercussions sur M. Wall. J</w:t>
      </w:r>
      <w:r>
        <w:rPr>
          <w:rFonts w:cs="Times New Roman"/>
          <w:lang w:val="fr-CA"/>
        </w:rPr>
        <w:t>’</w:t>
      </w:r>
      <w:r w:rsidRPr="00B61490">
        <w:rPr>
          <w:rFonts w:cs="Times New Roman"/>
          <w:lang w:val="fr-CA"/>
        </w:rPr>
        <w:t>accepte son témoignage qu</w:t>
      </w:r>
      <w:r>
        <w:rPr>
          <w:rFonts w:cs="Times New Roman"/>
          <w:lang w:val="fr-CA"/>
        </w:rPr>
        <w:t>’</w:t>
      </w:r>
      <w:r w:rsidRPr="00B61490">
        <w:rPr>
          <w:rFonts w:cs="Times New Roman"/>
          <w:lang w:val="fr-CA"/>
        </w:rPr>
        <w:t xml:space="preserve">elles en ont </w:t>
      </w:r>
      <w:proofErr w:type="gramStart"/>
      <w:r w:rsidRPr="00B61490">
        <w:rPr>
          <w:rFonts w:cs="Times New Roman"/>
          <w:lang w:val="fr-CA"/>
        </w:rPr>
        <w:t>eues</w:t>
      </w:r>
      <w:proofErr w:type="gramEnd"/>
      <w:r w:rsidRPr="00B61490">
        <w:rPr>
          <w:rFonts w:cs="Times New Roman"/>
          <w:lang w:val="fr-CA"/>
        </w:rPr>
        <w:t>. Toutefois, eu égard aux circonstances de l</w:t>
      </w:r>
      <w:r>
        <w:rPr>
          <w:rFonts w:cs="Times New Roman"/>
          <w:lang w:val="fr-CA"/>
        </w:rPr>
        <w:t>’</w:t>
      </w:r>
      <w:r w:rsidRPr="00B61490">
        <w:rPr>
          <w:rFonts w:cs="Times New Roman"/>
          <w:lang w:val="fr-CA"/>
        </w:rPr>
        <w:t>espèce, ces répercussions négatives n</w:t>
      </w:r>
      <w:r>
        <w:rPr>
          <w:rFonts w:cs="Times New Roman"/>
          <w:lang w:val="fr-CA"/>
        </w:rPr>
        <w:t>’</w:t>
      </w:r>
      <w:r w:rsidRPr="00B61490">
        <w:rPr>
          <w:rFonts w:cs="Times New Roman"/>
          <w:lang w:val="fr-CA"/>
        </w:rPr>
        <w:t>ont pas fait naître de droit d</w:t>
      </w:r>
      <w:r>
        <w:rPr>
          <w:rFonts w:cs="Times New Roman"/>
          <w:lang w:val="fr-CA"/>
        </w:rPr>
        <w:t>’</w:t>
      </w:r>
      <w:r w:rsidRPr="00B61490">
        <w:rPr>
          <w:rFonts w:cs="Times New Roman"/>
          <w:lang w:val="fr-CA"/>
        </w:rPr>
        <w:t>action. En conséquence, rien ne justifie l</w:t>
      </w:r>
      <w:r>
        <w:rPr>
          <w:rFonts w:cs="Times New Roman"/>
          <w:lang w:val="fr-CA"/>
        </w:rPr>
        <w:t>’</w:t>
      </w:r>
      <w:r w:rsidRPr="00B61490">
        <w:rPr>
          <w:rFonts w:cs="Times New Roman"/>
          <w:lang w:val="fr-CA"/>
        </w:rPr>
        <w:t>intervention des tribunaux dans le processus décisionnel de la Congrégation. Autrement dit, les questions en litige ne relèvent pas de la compétence des tribunaux.</w:t>
      </w:r>
    </w:p>
    <w:p w:rsidR="006A3C1C" w:rsidRPr="00B61490" w:rsidRDefault="006A3C1C" w:rsidP="00566B15">
      <w:pPr>
        <w:pStyle w:val="Title2LevelTitre2Niveau"/>
        <w:widowControl w:val="0"/>
        <w:rPr>
          <w:rFonts w:cs="Times New Roman"/>
          <w:lang w:val="fr-CA"/>
        </w:rPr>
      </w:pPr>
      <w:proofErr w:type="spellStart"/>
      <w:r w:rsidRPr="00B61490">
        <w:rPr>
          <w:rFonts w:cs="Times New Roman"/>
          <w:lang w:val="fr-CA"/>
        </w:rPr>
        <w:t>Justiciabilité</w:t>
      </w:r>
      <w:proofErr w:type="spellEnd"/>
    </w:p>
    <w:p w:rsidR="006A3C1C" w:rsidRPr="00B61490" w:rsidRDefault="006A3C1C" w:rsidP="00566B15">
      <w:pPr>
        <w:pStyle w:val="ParaNoNdepar-AltN"/>
        <w:widowControl w:val="0"/>
        <w:rPr>
          <w:rFonts w:cs="Times New Roman"/>
          <w:lang w:val="fr-CA"/>
        </w:rPr>
      </w:pPr>
      <w:r w:rsidRPr="00B61490">
        <w:rPr>
          <w:rFonts w:cs="Times New Roman"/>
          <w:lang w:val="fr-CA"/>
        </w:rPr>
        <w:t xml:space="preserve">Il est possible de faire droit au présent pourvoi pour les motifs énoncés précédemment. Toutefois, je tiens à ajouter quelques observations sur la question de la </w:t>
      </w:r>
      <w:proofErr w:type="spellStart"/>
      <w:r w:rsidRPr="00B61490">
        <w:rPr>
          <w:rFonts w:cs="Times New Roman"/>
          <w:lang w:val="fr-CA"/>
        </w:rPr>
        <w:t>justiciabilité</w:t>
      </w:r>
      <w:proofErr w:type="spellEnd"/>
      <w:r w:rsidRPr="00B61490">
        <w:rPr>
          <w:rFonts w:cs="Times New Roman"/>
          <w:lang w:val="fr-CA"/>
        </w:rPr>
        <w:t>, puisque celle</w:t>
      </w:r>
      <w:r w:rsidRPr="00B61490">
        <w:rPr>
          <w:rFonts w:cs="Times New Roman"/>
          <w:lang w:val="fr-CA"/>
        </w:rPr>
        <w:noBreakHyphen/>
        <w:t>ci a été soulevée par les parties et examinée par la Cour d</w:t>
      </w:r>
      <w:r>
        <w:rPr>
          <w:rFonts w:cs="Times New Roman"/>
          <w:lang w:val="fr-CA"/>
        </w:rPr>
        <w:t>’</w:t>
      </w:r>
      <w:r w:rsidRPr="00B61490">
        <w:rPr>
          <w:rFonts w:cs="Times New Roman"/>
          <w:lang w:val="fr-CA"/>
        </w:rPr>
        <w:t>appel. En plus d</w:t>
      </w:r>
      <w:r>
        <w:rPr>
          <w:rFonts w:cs="Times New Roman"/>
          <w:lang w:val="fr-CA"/>
        </w:rPr>
        <w:t>’</w:t>
      </w:r>
      <w:r w:rsidRPr="00B61490">
        <w:rPr>
          <w:rFonts w:cs="Times New Roman"/>
          <w:lang w:val="fr-CA"/>
        </w:rPr>
        <w:t>être limitée par des questions de compétence, et ce, même lorsque leur intervention est demandée uniquement pour des raisons fondées sur l</w:t>
      </w:r>
      <w:r>
        <w:rPr>
          <w:rFonts w:cs="Times New Roman"/>
          <w:lang w:val="fr-CA"/>
        </w:rPr>
        <w:t>’</w:t>
      </w:r>
      <w:r w:rsidRPr="00B61490">
        <w:rPr>
          <w:rFonts w:cs="Times New Roman"/>
          <w:lang w:val="fr-CA"/>
        </w:rPr>
        <w:t>équité procédurale, la capacité des tribunaux d</w:t>
      </w:r>
      <w:r>
        <w:rPr>
          <w:rFonts w:cs="Times New Roman"/>
          <w:lang w:val="fr-CA"/>
        </w:rPr>
        <w:t>’</w:t>
      </w:r>
      <w:r w:rsidRPr="00B61490">
        <w:rPr>
          <w:rFonts w:cs="Times New Roman"/>
          <w:lang w:val="fr-CA"/>
        </w:rPr>
        <w:t>intervenir à l</w:t>
      </w:r>
      <w:r>
        <w:rPr>
          <w:rFonts w:cs="Times New Roman"/>
          <w:lang w:val="fr-CA"/>
        </w:rPr>
        <w:t>’</w:t>
      </w:r>
      <w:r w:rsidRPr="00B61490">
        <w:rPr>
          <w:rFonts w:cs="Times New Roman"/>
          <w:lang w:val="fr-CA"/>
        </w:rPr>
        <w:t>égard des décisions d</w:t>
      </w:r>
      <w:r>
        <w:rPr>
          <w:rFonts w:cs="Times New Roman"/>
          <w:lang w:val="fr-CA"/>
        </w:rPr>
        <w:t>’</w:t>
      </w:r>
      <w:r w:rsidRPr="00B61490">
        <w:rPr>
          <w:rFonts w:cs="Times New Roman"/>
          <w:lang w:val="fr-CA"/>
        </w:rPr>
        <w:t xml:space="preserve">associations volontaires est également limitée par la notion de </w:t>
      </w:r>
      <w:proofErr w:type="spellStart"/>
      <w:r w:rsidRPr="00B61490">
        <w:rPr>
          <w:rFonts w:cs="Times New Roman"/>
          <w:lang w:val="fr-CA"/>
        </w:rPr>
        <w:t>justiciabilité</w:t>
      </w:r>
      <w:proofErr w:type="spellEnd"/>
      <w:r w:rsidRPr="00B61490">
        <w:rPr>
          <w:rFonts w:cs="Times New Roman"/>
          <w:lang w:val="fr-CA"/>
        </w:rPr>
        <w:t xml:space="preserve">. La </w:t>
      </w:r>
      <w:proofErr w:type="spellStart"/>
      <w:r w:rsidRPr="00B61490">
        <w:rPr>
          <w:rFonts w:cs="Times New Roman"/>
          <w:lang w:val="fr-CA"/>
        </w:rPr>
        <w:t>justiciabilité</w:t>
      </w:r>
      <w:proofErr w:type="spellEnd"/>
      <w:r w:rsidRPr="00B61490">
        <w:rPr>
          <w:rFonts w:cs="Times New Roman"/>
          <w:lang w:val="fr-CA"/>
        </w:rPr>
        <w:t xml:space="preserve"> est une notion qui s</w:t>
      </w:r>
      <w:r>
        <w:rPr>
          <w:rFonts w:cs="Times New Roman"/>
          <w:lang w:val="fr-CA"/>
        </w:rPr>
        <w:t>’</w:t>
      </w:r>
      <w:r w:rsidRPr="00B61490">
        <w:rPr>
          <w:rFonts w:cs="Times New Roman"/>
          <w:lang w:val="fr-CA"/>
        </w:rPr>
        <w:t>attache à l</w:t>
      </w:r>
      <w:r>
        <w:rPr>
          <w:rFonts w:cs="Times New Roman"/>
          <w:lang w:val="fr-CA"/>
        </w:rPr>
        <w:t>’</w:t>
      </w:r>
      <w:r w:rsidRPr="00B61490">
        <w:rPr>
          <w:rFonts w:cs="Times New Roman"/>
          <w:lang w:val="fr-CA"/>
        </w:rPr>
        <w:t xml:space="preserve">objet du différend et se traduit par la </w:t>
      </w:r>
      <w:r w:rsidRPr="00B61490">
        <w:rPr>
          <w:rFonts w:cs="Times New Roman"/>
          <w:lang w:val="fr-CA"/>
        </w:rPr>
        <w:lastRenderedPageBreak/>
        <w:t>question générale suivante</w:t>
      </w:r>
      <w:r>
        <w:rPr>
          <w:rFonts w:cs="Times New Roman"/>
          <w:lang w:val="fr-CA"/>
        </w:rPr>
        <w:t> :</w:t>
      </w:r>
      <w:r w:rsidRPr="00B61490">
        <w:rPr>
          <w:rFonts w:cs="Times New Roman"/>
          <w:lang w:val="fr-CA"/>
        </w:rPr>
        <w:t xml:space="preserve"> Est</w:t>
      </w:r>
      <w:r w:rsidRPr="00B61490">
        <w:rPr>
          <w:rFonts w:cs="Times New Roman"/>
          <w:lang w:val="fr-CA"/>
        </w:rPr>
        <w:noBreakHyphen/>
        <w:t>on en présence d</w:t>
      </w:r>
      <w:r>
        <w:rPr>
          <w:rFonts w:cs="Times New Roman"/>
          <w:lang w:val="fr-CA"/>
        </w:rPr>
        <w:t>’</w:t>
      </w:r>
      <w:r w:rsidRPr="00B61490">
        <w:rPr>
          <w:rFonts w:cs="Times New Roman"/>
          <w:lang w:val="fr-CA"/>
        </w:rPr>
        <w:t>une question qu</w:t>
      </w:r>
      <w:r>
        <w:rPr>
          <w:rFonts w:cs="Times New Roman"/>
          <w:lang w:val="fr-CA"/>
        </w:rPr>
        <w:t>’</w:t>
      </w:r>
      <w:r w:rsidRPr="00B61490">
        <w:rPr>
          <w:rFonts w:cs="Times New Roman"/>
          <w:lang w:val="fr-CA"/>
        </w:rPr>
        <w:t>il convient de faire trancher par un tribunal?</w:t>
      </w:r>
    </w:p>
    <w:p w:rsidR="006A3C1C" w:rsidRPr="00B61490" w:rsidRDefault="006A3C1C" w:rsidP="00566B15">
      <w:pPr>
        <w:pStyle w:val="ParaNoNdepar-AltN"/>
        <w:widowControl w:val="0"/>
        <w:rPr>
          <w:rFonts w:cs="Times New Roman"/>
          <w:lang w:val="fr-CA"/>
        </w:rPr>
      </w:pPr>
      <w:r w:rsidRPr="00B61490">
        <w:rPr>
          <w:rFonts w:cs="Times New Roman"/>
          <w:lang w:val="fr-CA"/>
        </w:rPr>
        <w:t>Lorne M. </w:t>
      </w:r>
      <w:proofErr w:type="spellStart"/>
      <w:r w:rsidRPr="00B61490">
        <w:rPr>
          <w:rFonts w:cs="Times New Roman"/>
          <w:lang w:val="fr-CA"/>
        </w:rPr>
        <w:t>Sossin</w:t>
      </w:r>
      <w:proofErr w:type="spellEnd"/>
      <w:r w:rsidRPr="00B61490">
        <w:rPr>
          <w:rFonts w:cs="Times New Roman"/>
          <w:lang w:val="fr-CA"/>
        </w:rPr>
        <w:t xml:space="preserve"> définit ainsi la </w:t>
      </w:r>
      <w:proofErr w:type="spellStart"/>
      <w:r w:rsidRPr="00B61490">
        <w:rPr>
          <w:rFonts w:cs="Times New Roman"/>
          <w:lang w:val="fr-CA"/>
        </w:rPr>
        <w:t>justiciabilité</w:t>
      </w:r>
      <w:proofErr w:type="spellEnd"/>
      <w:r w:rsidRPr="00B61490">
        <w:rPr>
          <w:rFonts w:cs="Times New Roman"/>
          <w:lang w:val="fr-CA"/>
        </w:rPr>
        <w:t xml:space="preserve"> : </w:t>
      </w:r>
    </w:p>
    <w:p w:rsidR="006A3C1C" w:rsidRPr="00B61490" w:rsidRDefault="006A3C1C" w:rsidP="00566B15">
      <w:pPr>
        <w:pStyle w:val="Citation-AltC"/>
        <w:widowControl w:val="0"/>
        <w:spacing w:after="240"/>
        <w:ind w:hanging="1166"/>
        <w:contextualSpacing w:val="0"/>
        <w:rPr>
          <w:lang w:val="fr-CA"/>
        </w:rPr>
      </w:pPr>
      <w:r w:rsidRPr="00B61490">
        <w:rPr>
          <w:lang w:val="fr-CA"/>
        </w:rPr>
        <w:tab/>
        <w:t>[</w:t>
      </w:r>
      <w:r w:rsidRPr="00B61490">
        <w:rPr>
          <w:smallCaps/>
          <w:lang w:val="fr-CA"/>
        </w:rPr>
        <w:t>traduction</w:t>
      </w:r>
      <w:proofErr w:type="gramStart"/>
      <w:r w:rsidRPr="00B61490">
        <w:rPr>
          <w:lang w:val="fr-CA"/>
        </w:rPr>
        <w:t>] .</w:t>
      </w:r>
      <w:proofErr w:type="gramEnd"/>
      <w:r w:rsidRPr="00B61490">
        <w:rPr>
          <w:lang w:val="fr-CA"/>
        </w:rPr>
        <w:t> . . un ensemble de règles, de normes et de principes jurisprudentiels qui délimitent le champ d</w:t>
      </w:r>
      <w:r>
        <w:rPr>
          <w:lang w:val="fr-CA"/>
        </w:rPr>
        <w:t>’</w:t>
      </w:r>
      <w:r w:rsidRPr="00B61490">
        <w:rPr>
          <w:lang w:val="fr-CA"/>
        </w:rPr>
        <w:t>application de l</w:t>
      </w:r>
      <w:r>
        <w:rPr>
          <w:lang w:val="fr-CA"/>
        </w:rPr>
        <w:t>’</w:t>
      </w:r>
      <w:r w:rsidRPr="00B61490">
        <w:rPr>
          <w:lang w:val="fr-CA"/>
        </w:rPr>
        <w:t>intervention judiciaire dans la vie sociale, politique et économique. Bref, si une question est considérée comme se prêtant à une décision judiciaire, on dit qu</w:t>
      </w:r>
      <w:r>
        <w:rPr>
          <w:lang w:val="fr-CA"/>
        </w:rPr>
        <w:t>’</w:t>
      </w:r>
      <w:r w:rsidRPr="00B61490">
        <w:rPr>
          <w:lang w:val="fr-CA"/>
        </w:rPr>
        <w:t>elle est justiciable; si une question n</w:t>
      </w:r>
      <w:r>
        <w:rPr>
          <w:lang w:val="fr-CA"/>
        </w:rPr>
        <w:t>’</w:t>
      </w:r>
      <w:r w:rsidRPr="00B61490">
        <w:rPr>
          <w:lang w:val="fr-CA"/>
        </w:rPr>
        <w:t>est pas considérée comme se prêtant à une décision judiciaire, on dit qu</w:t>
      </w:r>
      <w:r>
        <w:rPr>
          <w:lang w:val="fr-CA"/>
        </w:rPr>
        <w:t>’</w:t>
      </w:r>
      <w:r w:rsidRPr="00B61490">
        <w:rPr>
          <w:lang w:val="fr-CA"/>
        </w:rPr>
        <w:t>elle n</w:t>
      </w:r>
      <w:r>
        <w:rPr>
          <w:lang w:val="fr-CA"/>
        </w:rPr>
        <w:t>’</w:t>
      </w:r>
      <w:r w:rsidRPr="00B61490">
        <w:rPr>
          <w:lang w:val="fr-CA"/>
        </w:rPr>
        <w:t>est pas justiciable.</w:t>
      </w:r>
    </w:p>
    <w:p w:rsidR="006A3C1C" w:rsidRPr="00B61490" w:rsidRDefault="006A3C1C" w:rsidP="00566B15">
      <w:pPr>
        <w:pStyle w:val="Citation-AltC"/>
        <w:widowControl w:val="0"/>
        <w:ind w:left="0"/>
        <w:contextualSpacing w:val="0"/>
      </w:pPr>
      <w:r w:rsidRPr="00B61490">
        <w:t>(</w:t>
      </w:r>
      <w:r w:rsidRPr="00B61490">
        <w:rPr>
          <w:i/>
        </w:rPr>
        <w:t xml:space="preserve">Boundaries of Judicial </w:t>
      </w:r>
      <w:proofErr w:type="gramStart"/>
      <w:r w:rsidRPr="00B61490">
        <w:rPr>
          <w:i/>
        </w:rPr>
        <w:t>Review</w:t>
      </w:r>
      <w:r w:rsidR="008D5129">
        <w:rPr>
          <w:i/>
        </w:rPr>
        <w:t xml:space="preserve"> </w:t>
      </w:r>
      <w:r w:rsidRPr="00B61490">
        <w:rPr>
          <w:i/>
        </w:rPr>
        <w:t>:</w:t>
      </w:r>
      <w:proofErr w:type="gramEnd"/>
      <w:r w:rsidRPr="00B61490">
        <w:rPr>
          <w:i/>
        </w:rPr>
        <w:t xml:space="preserve"> The Law of Justiciability in Canada </w:t>
      </w:r>
      <w:r w:rsidRPr="00B61490">
        <w:t>(2</w:t>
      </w:r>
      <w:r w:rsidRPr="00B61490">
        <w:rPr>
          <w:vertAlign w:val="superscript"/>
        </w:rPr>
        <w:t>e</w:t>
      </w:r>
      <w:r w:rsidRPr="00B61490">
        <w:t xml:space="preserve"> </w:t>
      </w:r>
      <w:proofErr w:type="spellStart"/>
      <w:r w:rsidRPr="00B61490">
        <w:t>éd</w:t>
      </w:r>
      <w:proofErr w:type="spellEnd"/>
      <w:r w:rsidRPr="00B61490">
        <w:t xml:space="preserve">. 2012), p. 7) </w:t>
      </w:r>
    </w:p>
    <w:p w:rsidR="006A3C1C" w:rsidRPr="00B61490" w:rsidRDefault="006A3C1C" w:rsidP="00566B15">
      <w:pPr>
        <w:pStyle w:val="ContinueParaSuitedupar-AltP"/>
        <w:widowControl w:val="0"/>
        <w:rPr>
          <w:rFonts w:cs="Times New Roman"/>
          <w:lang w:val="fr-CA"/>
        </w:rPr>
      </w:pPr>
      <w:r w:rsidRPr="00B61490">
        <w:rPr>
          <w:rFonts w:cs="Times New Roman"/>
          <w:lang w:val="fr-CA"/>
        </w:rPr>
        <w:t>En termes plus simples, [</w:t>
      </w:r>
      <w:r w:rsidRPr="00B61490">
        <w:rPr>
          <w:rFonts w:cs="Times New Roman"/>
          <w:smallCaps/>
          <w:lang w:val="fr-CA"/>
        </w:rPr>
        <w:t>traduction</w:t>
      </w:r>
      <w:r w:rsidRPr="00B61490">
        <w:rPr>
          <w:rFonts w:cs="Times New Roman"/>
          <w:lang w:val="fr-CA"/>
        </w:rPr>
        <w:t xml:space="preserve">] « [l]a </w:t>
      </w:r>
      <w:proofErr w:type="spellStart"/>
      <w:r w:rsidRPr="00B61490">
        <w:rPr>
          <w:rFonts w:cs="Times New Roman"/>
          <w:lang w:val="fr-CA"/>
        </w:rPr>
        <w:t>justiciabilité</w:t>
      </w:r>
      <w:proofErr w:type="spellEnd"/>
      <w:r w:rsidRPr="00B61490">
        <w:rPr>
          <w:rFonts w:cs="Times New Roman"/>
          <w:lang w:val="fr-CA"/>
        </w:rPr>
        <w:t xml:space="preserve"> ou non</w:t>
      </w:r>
      <w:r w:rsidRPr="00B61490">
        <w:rPr>
          <w:rFonts w:cs="Times New Roman"/>
          <w:lang w:val="fr-CA"/>
        </w:rPr>
        <w:noBreakHyphen/>
      </w:r>
      <w:proofErr w:type="spellStart"/>
      <w:r w:rsidRPr="00B61490">
        <w:rPr>
          <w:rFonts w:cs="Times New Roman"/>
          <w:lang w:val="fr-CA"/>
        </w:rPr>
        <w:t>justiciabilité</w:t>
      </w:r>
      <w:proofErr w:type="spellEnd"/>
      <w:r w:rsidRPr="00B61490">
        <w:rPr>
          <w:rFonts w:cs="Times New Roman"/>
          <w:lang w:val="fr-CA"/>
        </w:rPr>
        <w:t xml:space="preserve"> d</w:t>
      </w:r>
      <w:r>
        <w:rPr>
          <w:rFonts w:cs="Times New Roman"/>
          <w:lang w:val="fr-CA"/>
        </w:rPr>
        <w:t>’</w:t>
      </w:r>
      <w:r w:rsidRPr="00B61490">
        <w:rPr>
          <w:rFonts w:cs="Times New Roman"/>
          <w:lang w:val="fr-CA"/>
        </w:rPr>
        <w:t>une question consiste à décider si celle</w:t>
      </w:r>
      <w:r w:rsidRPr="00B61490">
        <w:rPr>
          <w:rFonts w:cs="Times New Roman"/>
          <w:lang w:val="fr-CA"/>
        </w:rPr>
        <w:noBreakHyphen/>
        <w:t xml:space="preserve">ci doit être tranchée par les tribunaux » : </w:t>
      </w:r>
      <w:r w:rsidRPr="00B61490">
        <w:rPr>
          <w:rFonts w:cs="Times New Roman"/>
          <w:i/>
          <w:lang w:val="fr-CA"/>
        </w:rPr>
        <w:t>ibid.</w:t>
      </w:r>
      <w:r w:rsidRPr="00B61490">
        <w:rPr>
          <w:rFonts w:cs="Times New Roman"/>
          <w:lang w:val="fr-CA"/>
        </w:rPr>
        <w:t>, p. 1.</w:t>
      </w:r>
    </w:p>
    <w:p w:rsidR="006A3C1C" w:rsidRPr="00B61490" w:rsidRDefault="006A3C1C" w:rsidP="00566B15">
      <w:pPr>
        <w:pStyle w:val="ParaNoNdepar-AltN"/>
        <w:widowControl w:val="0"/>
        <w:rPr>
          <w:rFonts w:cs="Times New Roman"/>
          <w:lang w:val="fr-CA"/>
        </w:rPr>
      </w:pPr>
      <w:r w:rsidRPr="00B61490">
        <w:rPr>
          <w:rFonts w:cs="Times New Roman"/>
          <w:lang w:val="fr-CA"/>
        </w:rPr>
        <w:t>Il n</w:t>
      </w:r>
      <w:r>
        <w:rPr>
          <w:rFonts w:cs="Times New Roman"/>
          <w:lang w:val="fr-CA"/>
        </w:rPr>
        <w:t>’</w:t>
      </w:r>
      <w:r w:rsidRPr="00B61490">
        <w:rPr>
          <w:rFonts w:cs="Times New Roman"/>
          <w:lang w:val="fr-CA"/>
        </w:rPr>
        <w:t>existe pas un ensemble précis de règles délimitant le champ d</w:t>
      </w:r>
      <w:r>
        <w:rPr>
          <w:rFonts w:cs="Times New Roman"/>
          <w:lang w:val="fr-CA"/>
        </w:rPr>
        <w:t>’</w:t>
      </w:r>
      <w:r w:rsidRPr="00B61490">
        <w:rPr>
          <w:rFonts w:cs="Times New Roman"/>
          <w:lang w:val="fr-CA"/>
        </w:rPr>
        <w:t xml:space="preserve">application de la notion de </w:t>
      </w:r>
      <w:proofErr w:type="spellStart"/>
      <w:r w:rsidRPr="00B61490">
        <w:rPr>
          <w:rFonts w:cs="Times New Roman"/>
          <w:lang w:val="fr-CA"/>
        </w:rPr>
        <w:t>justiciabilité</w:t>
      </w:r>
      <w:proofErr w:type="spellEnd"/>
      <w:r w:rsidRPr="00B61490">
        <w:rPr>
          <w:rFonts w:cs="Times New Roman"/>
          <w:lang w:val="fr-CA"/>
        </w:rPr>
        <w:t xml:space="preserve">. En effet, la </w:t>
      </w:r>
      <w:proofErr w:type="spellStart"/>
      <w:r w:rsidRPr="00B61490">
        <w:rPr>
          <w:rFonts w:cs="Times New Roman"/>
          <w:lang w:val="fr-CA"/>
        </w:rPr>
        <w:t>justiciabilité</w:t>
      </w:r>
      <w:proofErr w:type="spellEnd"/>
      <w:r w:rsidRPr="00B61490">
        <w:rPr>
          <w:rFonts w:cs="Times New Roman"/>
          <w:lang w:val="fr-CA"/>
        </w:rPr>
        <w:t xml:space="preserve"> est dans une certaine mesure tributaire du contexte, et l</w:t>
      </w:r>
      <w:r>
        <w:rPr>
          <w:rFonts w:cs="Times New Roman"/>
          <w:lang w:val="fr-CA"/>
        </w:rPr>
        <w:t>’</w:t>
      </w:r>
      <w:r w:rsidRPr="00B61490">
        <w:rPr>
          <w:rFonts w:cs="Times New Roman"/>
          <w:lang w:val="fr-CA"/>
        </w:rPr>
        <w:t xml:space="preserve">approche appropriée pour statuer sur la </w:t>
      </w:r>
      <w:proofErr w:type="spellStart"/>
      <w:r w:rsidRPr="00B61490">
        <w:rPr>
          <w:rFonts w:cs="Times New Roman"/>
          <w:lang w:val="fr-CA"/>
        </w:rPr>
        <w:t>justiciabilité</w:t>
      </w:r>
      <w:proofErr w:type="spellEnd"/>
      <w:r w:rsidRPr="00B61490">
        <w:rPr>
          <w:rFonts w:cs="Times New Roman"/>
          <w:lang w:val="fr-CA"/>
        </w:rPr>
        <w:t xml:space="preserve"> d</w:t>
      </w:r>
      <w:r>
        <w:rPr>
          <w:rFonts w:cs="Times New Roman"/>
          <w:lang w:val="fr-CA"/>
        </w:rPr>
        <w:t>’</w:t>
      </w:r>
      <w:r w:rsidRPr="00B61490">
        <w:rPr>
          <w:rFonts w:cs="Times New Roman"/>
          <w:lang w:val="fr-CA"/>
        </w:rPr>
        <w:t>une question doit être empreinte de souplesse. Le tribunal qui est appelé à le faire doit se demander s</w:t>
      </w:r>
      <w:r>
        <w:rPr>
          <w:rFonts w:cs="Times New Roman"/>
          <w:lang w:val="fr-CA"/>
        </w:rPr>
        <w:t>’</w:t>
      </w:r>
      <w:r w:rsidRPr="00B61490">
        <w:rPr>
          <w:rFonts w:cs="Times New Roman"/>
          <w:lang w:val="fr-CA"/>
        </w:rPr>
        <w:t xml:space="preserve">il dispose des attributions institutionnelles et </w:t>
      </w:r>
      <w:proofErr w:type="gramStart"/>
      <w:r w:rsidRPr="00B61490">
        <w:rPr>
          <w:rFonts w:cs="Times New Roman"/>
          <w:lang w:val="fr-CA"/>
        </w:rPr>
        <w:t>de la légitimité requises</w:t>
      </w:r>
      <w:proofErr w:type="gramEnd"/>
      <w:r w:rsidRPr="00B61490">
        <w:rPr>
          <w:rFonts w:cs="Times New Roman"/>
          <w:lang w:val="fr-CA"/>
        </w:rPr>
        <w:t xml:space="preserve"> pour trancher la question : voir </w:t>
      </w:r>
      <w:proofErr w:type="spellStart"/>
      <w:r w:rsidRPr="00B61490">
        <w:rPr>
          <w:rFonts w:cs="Times New Roman"/>
          <w:lang w:val="fr-CA"/>
        </w:rPr>
        <w:t>Sossin</w:t>
      </w:r>
      <w:proofErr w:type="spellEnd"/>
      <w:r w:rsidRPr="00B61490">
        <w:rPr>
          <w:rFonts w:cs="Times New Roman"/>
          <w:lang w:val="fr-CA"/>
        </w:rPr>
        <w:t>, p. 294. Pour conclure au caractère justiciable d</w:t>
      </w:r>
      <w:r>
        <w:rPr>
          <w:rFonts w:cs="Times New Roman"/>
          <w:lang w:val="fr-CA"/>
        </w:rPr>
        <w:t>’</w:t>
      </w:r>
      <w:r w:rsidRPr="00B61490">
        <w:rPr>
          <w:rFonts w:cs="Times New Roman"/>
          <w:lang w:val="fr-CA"/>
        </w:rPr>
        <w:t>une question, le tribunal doit être d</w:t>
      </w:r>
      <w:r>
        <w:rPr>
          <w:rFonts w:cs="Times New Roman"/>
          <w:lang w:val="fr-CA"/>
        </w:rPr>
        <w:t>’</w:t>
      </w:r>
      <w:r w:rsidRPr="00B61490">
        <w:rPr>
          <w:rFonts w:cs="Times New Roman"/>
          <w:lang w:val="fr-CA"/>
        </w:rPr>
        <w:t>avis [</w:t>
      </w:r>
      <w:r w:rsidRPr="00B61490">
        <w:rPr>
          <w:rFonts w:cs="Times New Roman"/>
          <w:smallCaps/>
          <w:lang w:val="fr-CA"/>
        </w:rPr>
        <w:t>traduction</w:t>
      </w:r>
      <w:r w:rsidRPr="00B61490">
        <w:rPr>
          <w:rFonts w:cs="Times New Roman"/>
          <w:lang w:val="fr-CA"/>
        </w:rPr>
        <w:t>] « que le fait pour lui de résoudre la question constituerait une utilisation économique et efficace de ses ressources, qu</w:t>
      </w:r>
      <w:r>
        <w:rPr>
          <w:rFonts w:cs="Times New Roman"/>
          <w:lang w:val="fr-CA"/>
        </w:rPr>
        <w:t>’</w:t>
      </w:r>
      <w:r w:rsidRPr="00B61490">
        <w:rPr>
          <w:rFonts w:cs="Times New Roman"/>
          <w:lang w:val="fr-CA"/>
        </w:rPr>
        <w:t>il existe suffisamment de faits et d</w:t>
      </w:r>
      <w:r>
        <w:rPr>
          <w:rFonts w:cs="Times New Roman"/>
          <w:lang w:val="fr-CA"/>
        </w:rPr>
        <w:t>’</w:t>
      </w:r>
      <w:r w:rsidRPr="00B61490">
        <w:rPr>
          <w:rFonts w:cs="Times New Roman"/>
          <w:lang w:val="fr-CA"/>
        </w:rPr>
        <w:t>éléments de preuve au soutien de la demande, qu</w:t>
      </w:r>
      <w:r>
        <w:rPr>
          <w:rFonts w:cs="Times New Roman"/>
          <w:lang w:val="fr-CA"/>
        </w:rPr>
        <w:t>’</w:t>
      </w:r>
      <w:r w:rsidRPr="00B61490">
        <w:rPr>
          <w:rFonts w:cs="Times New Roman"/>
          <w:lang w:val="fr-CA"/>
        </w:rPr>
        <w:t xml:space="preserve">un exposé adéquat des positions contradictoires des parties sera présenté </w:t>
      </w:r>
      <w:r w:rsidRPr="00B61490">
        <w:rPr>
          <w:rFonts w:cs="Times New Roman"/>
          <w:lang w:val="fr-CA"/>
        </w:rPr>
        <w:lastRenderedPageBreak/>
        <w:t>et qu</w:t>
      </w:r>
      <w:r>
        <w:rPr>
          <w:rFonts w:cs="Times New Roman"/>
          <w:lang w:val="fr-CA"/>
        </w:rPr>
        <w:t>’</w:t>
      </w:r>
      <w:r w:rsidRPr="00B61490">
        <w:rPr>
          <w:rFonts w:cs="Times New Roman"/>
          <w:lang w:val="fr-CA"/>
        </w:rPr>
        <w:t>aucun organisme administratif ou corps politique ne s</w:t>
      </w:r>
      <w:r>
        <w:rPr>
          <w:rFonts w:cs="Times New Roman"/>
          <w:lang w:val="fr-CA"/>
        </w:rPr>
        <w:t>’</w:t>
      </w:r>
      <w:r w:rsidRPr="00B61490">
        <w:rPr>
          <w:rFonts w:cs="Times New Roman"/>
          <w:lang w:val="fr-CA"/>
        </w:rPr>
        <w:t>est pas déjà vu conférer par voie législative compétence à l</w:t>
      </w:r>
      <w:r>
        <w:rPr>
          <w:rFonts w:cs="Times New Roman"/>
          <w:lang w:val="fr-CA"/>
        </w:rPr>
        <w:t>’</w:t>
      </w:r>
      <w:r w:rsidRPr="00B61490">
        <w:rPr>
          <w:rFonts w:cs="Times New Roman"/>
          <w:lang w:val="fr-CA"/>
        </w:rPr>
        <w:t>égard de la question »</w:t>
      </w:r>
      <w:r>
        <w:rPr>
          <w:rFonts w:cs="Times New Roman"/>
          <w:lang w:val="fr-CA"/>
        </w:rPr>
        <w:t xml:space="preserve"> (</w:t>
      </w:r>
      <w:r w:rsidRPr="00B61490">
        <w:rPr>
          <w:rFonts w:cs="Times New Roman"/>
          <w:i/>
          <w:lang w:val="fr-CA"/>
        </w:rPr>
        <w:t>ibid</w:t>
      </w:r>
      <w:r w:rsidR="008D5129">
        <w:rPr>
          <w:rFonts w:cs="Times New Roman"/>
          <w:i/>
          <w:lang w:val="fr-CA"/>
        </w:rPr>
        <w:t>.</w:t>
      </w:r>
      <w:r w:rsidRPr="003335E0">
        <w:rPr>
          <w:rFonts w:cs="Times New Roman"/>
          <w:lang w:val="fr-CA"/>
        </w:rPr>
        <w:t>)</w:t>
      </w:r>
      <w:r w:rsidRPr="00B61490">
        <w:rPr>
          <w:rFonts w:cs="Times New Roman"/>
          <w:lang w:val="fr-CA"/>
        </w:rPr>
        <w:t>.</w:t>
      </w:r>
    </w:p>
    <w:p w:rsidR="006A3C1C" w:rsidRPr="00B61490" w:rsidRDefault="006A3C1C" w:rsidP="00566B15">
      <w:pPr>
        <w:pStyle w:val="ParaNoNdepar-AltN"/>
        <w:widowControl w:val="0"/>
        <w:rPr>
          <w:rFonts w:cs="Times New Roman"/>
          <w:lang w:val="fr-CA"/>
        </w:rPr>
      </w:pPr>
      <w:r w:rsidRPr="00B61490">
        <w:rPr>
          <w:rFonts w:cs="Times New Roman"/>
          <w:lang w:val="fr-CA"/>
        </w:rPr>
        <w:t>À titre d</w:t>
      </w:r>
      <w:r>
        <w:rPr>
          <w:rFonts w:cs="Times New Roman"/>
          <w:lang w:val="fr-CA"/>
        </w:rPr>
        <w:t>’</w:t>
      </w:r>
      <w:r w:rsidRPr="00B61490">
        <w:rPr>
          <w:rFonts w:cs="Times New Roman"/>
          <w:lang w:val="fr-CA"/>
        </w:rPr>
        <w:t>exemple, les tribunaux pourraient, faute de légitimité, n</w:t>
      </w:r>
      <w:r>
        <w:rPr>
          <w:rFonts w:cs="Times New Roman"/>
          <w:lang w:val="fr-CA"/>
        </w:rPr>
        <w:t>’</w:t>
      </w:r>
      <w:r w:rsidRPr="00B61490">
        <w:rPr>
          <w:rFonts w:cs="Times New Roman"/>
          <w:lang w:val="fr-CA"/>
        </w:rPr>
        <w:t>être d</w:t>
      </w:r>
      <w:r>
        <w:rPr>
          <w:rFonts w:cs="Times New Roman"/>
          <w:lang w:val="fr-CA"/>
        </w:rPr>
        <w:t>’</w:t>
      </w:r>
      <w:r w:rsidRPr="00B61490">
        <w:rPr>
          <w:rFonts w:cs="Times New Roman"/>
          <w:lang w:val="fr-CA"/>
        </w:rPr>
        <w:t>aucun secours pour régler un différend portant sur l</w:t>
      </w:r>
      <w:r>
        <w:rPr>
          <w:rFonts w:cs="Times New Roman"/>
          <w:lang w:val="fr-CA"/>
        </w:rPr>
        <w:t>’</w:t>
      </w:r>
      <w:r w:rsidRPr="00B61490">
        <w:rPr>
          <w:rFonts w:cs="Times New Roman"/>
          <w:lang w:val="fr-CA"/>
        </w:rPr>
        <w:t>identité du meilleur joueur de hockey de tous les temps, sur un joueur de bridge que l</w:t>
      </w:r>
      <w:r>
        <w:rPr>
          <w:rFonts w:cs="Times New Roman"/>
          <w:lang w:val="fr-CA"/>
        </w:rPr>
        <w:t>’</w:t>
      </w:r>
      <w:r w:rsidRPr="00B61490">
        <w:rPr>
          <w:rFonts w:cs="Times New Roman"/>
          <w:lang w:val="fr-CA"/>
        </w:rPr>
        <w:t>on écarte de son habituelle soirée de jeu hebdomadaire ou sur une cousine convaincue qu</w:t>
      </w:r>
      <w:r>
        <w:rPr>
          <w:rFonts w:cs="Times New Roman"/>
          <w:lang w:val="fr-CA"/>
        </w:rPr>
        <w:t>’</w:t>
      </w:r>
      <w:r w:rsidRPr="00B61490">
        <w:rPr>
          <w:rFonts w:cs="Times New Roman"/>
          <w:lang w:val="fr-CA"/>
        </w:rPr>
        <w:t>elle aurait dû être invitée à un mariage : motifs de la Cour d</w:t>
      </w:r>
      <w:r>
        <w:rPr>
          <w:rFonts w:cs="Times New Roman"/>
          <w:lang w:val="fr-CA"/>
        </w:rPr>
        <w:t>’</w:t>
      </w:r>
      <w:r w:rsidRPr="00B61490">
        <w:rPr>
          <w:rFonts w:cs="Times New Roman"/>
          <w:lang w:val="fr-CA"/>
        </w:rPr>
        <w:t>appel, par. 82</w:t>
      </w:r>
      <w:r w:rsidRPr="00B61490">
        <w:rPr>
          <w:rFonts w:cs="Times New Roman"/>
          <w:lang w:val="fr-CA"/>
        </w:rPr>
        <w:noBreakHyphen/>
        <w:t>84, le juge d</w:t>
      </w:r>
      <w:r>
        <w:rPr>
          <w:rFonts w:cs="Times New Roman"/>
          <w:lang w:val="fr-CA"/>
        </w:rPr>
        <w:t>’</w:t>
      </w:r>
      <w:r w:rsidRPr="00B61490">
        <w:rPr>
          <w:rFonts w:cs="Times New Roman"/>
          <w:lang w:val="fr-CA"/>
        </w:rPr>
        <w:t xml:space="preserve">appel </w:t>
      </w:r>
      <w:proofErr w:type="spellStart"/>
      <w:r w:rsidRPr="00B61490">
        <w:rPr>
          <w:rFonts w:cs="Times New Roman"/>
          <w:lang w:val="fr-CA"/>
        </w:rPr>
        <w:t>Wakeling</w:t>
      </w:r>
      <w:proofErr w:type="spellEnd"/>
      <w:r w:rsidRPr="00B61490">
        <w:rPr>
          <w:rFonts w:cs="Times New Roman"/>
          <w:lang w:val="fr-CA"/>
        </w:rPr>
        <w:t xml:space="preserve">. </w:t>
      </w:r>
    </w:p>
    <w:p w:rsidR="006A3C1C" w:rsidRPr="00B61490" w:rsidRDefault="006A3C1C" w:rsidP="00566B15">
      <w:pPr>
        <w:pStyle w:val="ParaNoNdepar-AltN"/>
        <w:widowControl w:val="0"/>
        <w:rPr>
          <w:rFonts w:cs="Times New Roman"/>
          <w:lang w:val="fr-CA"/>
        </w:rPr>
      </w:pPr>
      <w:r w:rsidRPr="00B61490">
        <w:rPr>
          <w:rFonts w:cs="Times New Roman"/>
          <w:lang w:val="fr-CA"/>
        </w:rPr>
        <w:t>La Cour s</w:t>
      </w:r>
      <w:r>
        <w:rPr>
          <w:rFonts w:cs="Times New Roman"/>
          <w:lang w:val="fr-CA"/>
        </w:rPr>
        <w:t>’</w:t>
      </w:r>
      <w:r w:rsidRPr="00B61490">
        <w:rPr>
          <w:rFonts w:cs="Times New Roman"/>
          <w:lang w:val="fr-CA"/>
        </w:rPr>
        <w:t>est penchée sur l</w:t>
      </w:r>
      <w:r>
        <w:rPr>
          <w:rFonts w:cs="Times New Roman"/>
          <w:lang w:val="fr-CA"/>
        </w:rPr>
        <w:t>’</w:t>
      </w:r>
      <w:r w:rsidRPr="00B61490">
        <w:rPr>
          <w:rFonts w:cs="Times New Roman"/>
          <w:lang w:val="fr-CA"/>
        </w:rPr>
        <w:t xml:space="preserve">interaction de la religion et de la </w:t>
      </w:r>
      <w:proofErr w:type="spellStart"/>
      <w:r w:rsidRPr="00B61490">
        <w:rPr>
          <w:rFonts w:cs="Times New Roman"/>
          <w:lang w:val="fr-CA"/>
        </w:rPr>
        <w:t>justiciabilité</w:t>
      </w:r>
      <w:proofErr w:type="spellEnd"/>
      <w:r w:rsidRPr="00B61490">
        <w:rPr>
          <w:rFonts w:cs="Times New Roman"/>
          <w:lang w:val="fr-CA"/>
        </w:rPr>
        <w:t xml:space="preserve">. Dans </w:t>
      </w:r>
      <w:proofErr w:type="spellStart"/>
      <w:r w:rsidRPr="00B61490">
        <w:rPr>
          <w:rFonts w:cs="Times New Roman"/>
          <w:i/>
          <w:lang w:val="fr-CA"/>
        </w:rPr>
        <w:t>Bruker</w:t>
      </w:r>
      <w:proofErr w:type="spellEnd"/>
      <w:r w:rsidRPr="00B61490">
        <w:rPr>
          <w:rFonts w:cs="Times New Roman"/>
          <w:i/>
          <w:lang w:val="fr-CA"/>
        </w:rPr>
        <w:t xml:space="preserve"> c. </w:t>
      </w:r>
      <w:proofErr w:type="spellStart"/>
      <w:r w:rsidRPr="00B61490">
        <w:rPr>
          <w:rFonts w:cs="Times New Roman"/>
          <w:i/>
          <w:lang w:val="fr-CA"/>
        </w:rPr>
        <w:t>Marcovitz</w:t>
      </w:r>
      <w:proofErr w:type="spellEnd"/>
      <w:r w:rsidRPr="00B61490">
        <w:rPr>
          <w:rFonts w:cs="Times New Roman"/>
          <w:lang w:val="fr-CA"/>
        </w:rPr>
        <w:t xml:space="preserve">, 2007 CSC 54, [2007] 3 R.C.S. 607, </w:t>
      </w:r>
      <w:r>
        <w:rPr>
          <w:rFonts w:cs="Times New Roman"/>
          <w:lang w:val="fr-CA"/>
        </w:rPr>
        <w:t xml:space="preserve">par. 41, </w:t>
      </w:r>
      <w:r w:rsidRPr="00B61490">
        <w:rPr>
          <w:rFonts w:cs="Times New Roman"/>
          <w:lang w:val="fr-CA"/>
        </w:rPr>
        <w:t>la juge Abella a déclaré ce qui suit : « Le fait qu</w:t>
      </w:r>
      <w:r>
        <w:rPr>
          <w:rFonts w:cs="Times New Roman"/>
          <w:lang w:val="fr-CA"/>
        </w:rPr>
        <w:t>’</w:t>
      </w:r>
      <w:r w:rsidRPr="00B61490">
        <w:rPr>
          <w:rFonts w:cs="Times New Roman"/>
          <w:lang w:val="fr-CA"/>
        </w:rPr>
        <w:t>un litige comporte un aspect religieux ne le rend pas nécessairement non justiciable. » Cela dit, les tribunaux ne devraient pas trancher les questions de dogmes religieux. Comme l</w:t>
      </w:r>
      <w:r>
        <w:rPr>
          <w:rFonts w:cs="Times New Roman"/>
          <w:lang w:val="fr-CA"/>
        </w:rPr>
        <w:t>’</w:t>
      </w:r>
      <w:r w:rsidRPr="00B61490">
        <w:rPr>
          <w:rFonts w:cs="Times New Roman"/>
          <w:lang w:val="fr-CA"/>
        </w:rPr>
        <w:t>a indiqué notre Cour, dans l</w:t>
      </w:r>
      <w:r>
        <w:rPr>
          <w:rFonts w:cs="Times New Roman"/>
          <w:lang w:val="fr-CA"/>
        </w:rPr>
        <w:t>’</w:t>
      </w:r>
      <w:r w:rsidRPr="00B61490">
        <w:rPr>
          <w:rFonts w:cs="Times New Roman"/>
          <w:lang w:val="fr-CA"/>
        </w:rPr>
        <w:t xml:space="preserve">arrêt </w:t>
      </w:r>
      <w:r w:rsidRPr="00B61490">
        <w:rPr>
          <w:rFonts w:cs="Times New Roman"/>
          <w:i/>
          <w:lang w:val="fr-CA"/>
        </w:rPr>
        <w:t xml:space="preserve">Syndicat </w:t>
      </w:r>
      <w:proofErr w:type="spellStart"/>
      <w:r w:rsidRPr="00B61490">
        <w:rPr>
          <w:rFonts w:cs="Times New Roman"/>
          <w:i/>
          <w:lang w:val="fr-CA"/>
        </w:rPr>
        <w:t>Northcrest</w:t>
      </w:r>
      <w:proofErr w:type="spellEnd"/>
      <w:r w:rsidRPr="00B61490">
        <w:rPr>
          <w:rFonts w:cs="Times New Roman"/>
          <w:i/>
          <w:lang w:val="fr-CA"/>
        </w:rPr>
        <w:t xml:space="preserve"> c. </w:t>
      </w:r>
      <w:proofErr w:type="spellStart"/>
      <w:r w:rsidRPr="00B61490">
        <w:rPr>
          <w:rFonts w:cs="Times New Roman"/>
          <w:i/>
          <w:lang w:val="fr-CA"/>
        </w:rPr>
        <w:t>Amselem</w:t>
      </w:r>
      <w:proofErr w:type="spellEnd"/>
      <w:r w:rsidRPr="00B61490">
        <w:rPr>
          <w:rFonts w:cs="Times New Roman"/>
          <w:lang w:val="fr-CA"/>
        </w:rPr>
        <w:t>, 2004 CSC 47, [2004] 2 R.C.S. 551, par. 50 : « S</w:t>
      </w:r>
      <w:proofErr w:type="spellStart"/>
      <w:r w:rsidRPr="00B61490">
        <w:rPr>
          <w:rFonts w:cs="Times New Roman"/>
          <w:lang w:val="fr-FR"/>
        </w:rPr>
        <w:t>tatuer</w:t>
      </w:r>
      <w:proofErr w:type="spellEnd"/>
      <w:r w:rsidRPr="00B61490">
        <w:rPr>
          <w:rFonts w:cs="Times New Roman"/>
          <w:lang w:val="fr-FR"/>
        </w:rPr>
        <w:t xml:space="preserve"> sur des différends théologiques ou religieux ou sur des questions litigieuses touchant la doctrine religieuse amènerait les tribunaux à s</w:t>
      </w:r>
      <w:r>
        <w:rPr>
          <w:rFonts w:cs="Times New Roman"/>
          <w:lang w:val="fr-FR"/>
        </w:rPr>
        <w:t>’</w:t>
      </w:r>
      <w:r w:rsidRPr="00B61490">
        <w:rPr>
          <w:rFonts w:cs="Times New Roman"/>
          <w:lang w:val="fr-FR"/>
        </w:rPr>
        <w:t xml:space="preserve">empêtrer sans justification dans le domaine de la religion. » </w:t>
      </w:r>
      <w:r w:rsidRPr="00B61490">
        <w:rPr>
          <w:rFonts w:cs="Times New Roman"/>
          <w:lang w:val="fr-CA"/>
        </w:rPr>
        <w:t>Les tribunaux n</w:t>
      </w:r>
      <w:r>
        <w:rPr>
          <w:rFonts w:cs="Times New Roman"/>
          <w:lang w:val="fr-CA"/>
        </w:rPr>
        <w:t>’</w:t>
      </w:r>
      <w:r w:rsidRPr="00B61490">
        <w:rPr>
          <w:rFonts w:cs="Times New Roman"/>
          <w:lang w:val="fr-CA"/>
        </w:rPr>
        <w:t xml:space="preserve">ont ni la légitimité ni les attributions institutionnelles requises pour se saisir de questions de la sorte, et ils ont maintes fois refusé de le faire : voir </w:t>
      </w:r>
      <w:proofErr w:type="spellStart"/>
      <w:r w:rsidRPr="00B61490">
        <w:rPr>
          <w:rFonts w:cs="Times New Roman"/>
          <w:i/>
          <w:lang w:val="fr-CA"/>
        </w:rPr>
        <w:t>Demiris</w:t>
      </w:r>
      <w:proofErr w:type="spellEnd"/>
      <w:r w:rsidRPr="00B61490">
        <w:rPr>
          <w:rFonts w:cs="Times New Roman"/>
          <w:i/>
          <w:lang w:val="fr-CA"/>
        </w:rPr>
        <w:t xml:space="preserve"> c. </w:t>
      </w:r>
      <w:proofErr w:type="spellStart"/>
      <w:r w:rsidRPr="00B61490">
        <w:rPr>
          <w:rFonts w:cs="Times New Roman"/>
          <w:i/>
          <w:lang w:val="fr-CA"/>
        </w:rPr>
        <w:t>Hellenic</w:t>
      </w:r>
      <w:proofErr w:type="spellEnd"/>
      <w:r w:rsidRPr="00B61490">
        <w:rPr>
          <w:rFonts w:cs="Times New Roman"/>
          <w:i/>
          <w:lang w:val="fr-CA"/>
        </w:rPr>
        <w:t xml:space="preserve"> Community of Vancouver</w:t>
      </w:r>
      <w:r w:rsidRPr="00B61490">
        <w:rPr>
          <w:rFonts w:cs="Times New Roman"/>
          <w:lang w:val="fr-CA"/>
        </w:rPr>
        <w:t>, 2000 BCSC 733, par. 33 (</w:t>
      </w:r>
      <w:proofErr w:type="spellStart"/>
      <w:r w:rsidRPr="00B61490">
        <w:rPr>
          <w:rFonts w:cs="Times New Roman"/>
          <w:lang w:val="fr-CA"/>
        </w:rPr>
        <w:t>CanLII</w:t>
      </w:r>
      <w:proofErr w:type="spellEnd"/>
      <w:r w:rsidRPr="00B61490">
        <w:rPr>
          <w:rFonts w:cs="Times New Roman"/>
          <w:lang w:val="fr-CA"/>
        </w:rPr>
        <w:t xml:space="preserve">); </w:t>
      </w:r>
      <w:proofErr w:type="spellStart"/>
      <w:r w:rsidRPr="00B61490">
        <w:rPr>
          <w:rFonts w:cs="Times New Roman"/>
          <w:i/>
          <w:lang w:val="fr-CA"/>
        </w:rPr>
        <w:t>Amselem</w:t>
      </w:r>
      <w:proofErr w:type="spellEnd"/>
      <w:r w:rsidRPr="00B61490">
        <w:rPr>
          <w:rFonts w:cs="Times New Roman"/>
          <w:lang w:val="fr-CA"/>
        </w:rPr>
        <w:t>, par. 49</w:t>
      </w:r>
      <w:r w:rsidRPr="00B61490">
        <w:rPr>
          <w:rFonts w:cs="Times New Roman"/>
          <w:lang w:val="fr-CA"/>
        </w:rPr>
        <w:noBreakHyphen/>
        <w:t>51.</w:t>
      </w:r>
    </w:p>
    <w:p w:rsidR="006A3C1C" w:rsidRPr="00B61490" w:rsidRDefault="006A3C1C" w:rsidP="00566B15">
      <w:pPr>
        <w:pStyle w:val="ParaNoNdepar-AltN"/>
        <w:widowControl w:val="0"/>
        <w:rPr>
          <w:rFonts w:cs="Times New Roman"/>
          <w:lang w:val="fr-CA"/>
        </w:rPr>
      </w:pPr>
      <w:r w:rsidRPr="00B61490">
        <w:rPr>
          <w:rFonts w:cs="Times New Roman"/>
          <w:lang w:val="fr-CA"/>
        </w:rPr>
        <w:t xml:space="preserve">La Cour a tiré la conclusion suivante dans </w:t>
      </w:r>
      <w:proofErr w:type="spellStart"/>
      <w:r w:rsidRPr="00B61490">
        <w:rPr>
          <w:rFonts w:cs="Times New Roman"/>
          <w:i/>
          <w:lang w:val="fr-CA"/>
        </w:rPr>
        <w:t>Lakeside</w:t>
      </w:r>
      <w:proofErr w:type="spellEnd"/>
      <w:r w:rsidRPr="00B61490">
        <w:rPr>
          <w:rFonts w:cs="Times New Roman"/>
          <w:i/>
          <w:lang w:val="fr-CA"/>
        </w:rPr>
        <w:t xml:space="preserve"> </w:t>
      </w:r>
      <w:proofErr w:type="spellStart"/>
      <w:r w:rsidRPr="00B61490">
        <w:rPr>
          <w:rFonts w:cs="Times New Roman"/>
          <w:i/>
          <w:lang w:val="fr-CA"/>
        </w:rPr>
        <w:t>Colony</w:t>
      </w:r>
      <w:proofErr w:type="spellEnd"/>
      <w:r>
        <w:rPr>
          <w:rFonts w:cs="Times New Roman"/>
          <w:lang w:val="fr-CA"/>
        </w:rPr>
        <w:t xml:space="preserve"> </w:t>
      </w:r>
      <w:r w:rsidRPr="00B61490">
        <w:rPr>
          <w:rFonts w:cs="Times New Roman"/>
          <w:lang w:val="fr-CA"/>
        </w:rPr>
        <w:t>(p. 175 (je souligne)) :</w:t>
      </w:r>
    </w:p>
    <w:p w:rsidR="006A3C1C" w:rsidRPr="00B61490" w:rsidRDefault="006A3C1C" w:rsidP="00566B15">
      <w:pPr>
        <w:pStyle w:val="Citation-AltC"/>
        <w:widowControl w:val="0"/>
        <w:spacing w:after="240"/>
        <w:ind w:hanging="1166"/>
        <w:contextualSpacing w:val="0"/>
        <w:rPr>
          <w:lang w:val="fr-CA"/>
        </w:rPr>
      </w:pPr>
      <w:r w:rsidRPr="00B61490">
        <w:rPr>
          <w:lang w:val="fr-CA"/>
        </w:rPr>
        <w:lastRenderedPageBreak/>
        <w:tab/>
      </w:r>
      <w:r w:rsidRPr="00B61490">
        <w:rPr>
          <w:lang w:val="fr-CA"/>
        </w:rPr>
        <w:tab/>
        <w:t xml:space="preserve">Afin de trancher la question du statut de membre ou de résidant des défendeurs, la cour doit décider si leur expulsion de la colonie est valide. </w:t>
      </w:r>
      <w:r w:rsidRPr="00B61490">
        <w:rPr>
          <w:u w:val="single"/>
          <w:lang w:val="fr-CA"/>
        </w:rPr>
        <w:t>Il n</w:t>
      </w:r>
      <w:r>
        <w:rPr>
          <w:u w:val="single"/>
          <w:lang w:val="fr-CA"/>
        </w:rPr>
        <w:t>’</w:t>
      </w:r>
      <w:r w:rsidRPr="00B61490">
        <w:rPr>
          <w:u w:val="single"/>
          <w:lang w:val="fr-CA"/>
        </w:rPr>
        <w:t>appartient pas à la cour d</w:t>
      </w:r>
      <w:r>
        <w:rPr>
          <w:u w:val="single"/>
          <w:lang w:val="fr-CA"/>
        </w:rPr>
        <w:t>’</w:t>
      </w:r>
      <w:r w:rsidRPr="00B61490">
        <w:rPr>
          <w:u w:val="single"/>
          <w:lang w:val="fr-CA"/>
        </w:rPr>
        <w:t>examiner le bien</w:t>
      </w:r>
      <w:r w:rsidRPr="00B61490">
        <w:rPr>
          <w:u w:val="single"/>
          <w:lang w:val="fr-CA"/>
        </w:rPr>
        <w:noBreakHyphen/>
        <w:t>fondé de la décision d</w:t>
      </w:r>
      <w:r>
        <w:rPr>
          <w:u w:val="single"/>
          <w:lang w:val="fr-CA"/>
        </w:rPr>
        <w:t>’</w:t>
      </w:r>
      <w:r w:rsidRPr="00B61490">
        <w:rPr>
          <w:u w:val="single"/>
          <w:lang w:val="fr-CA"/>
        </w:rPr>
        <w:t>expulser.</w:t>
      </w:r>
      <w:r w:rsidRPr="00B61490">
        <w:rPr>
          <w:b/>
          <w:lang w:val="fr-CA"/>
        </w:rPr>
        <w:t xml:space="preserve"> </w:t>
      </w:r>
      <w:r w:rsidRPr="00B61490">
        <w:rPr>
          <w:lang w:val="fr-CA"/>
        </w:rPr>
        <w:t>Elle est appelée, toutefois, à décider si l</w:t>
      </w:r>
      <w:r>
        <w:rPr>
          <w:lang w:val="fr-CA"/>
        </w:rPr>
        <w:t>’</w:t>
      </w:r>
      <w:r w:rsidRPr="00B61490">
        <w:rPr>
          <w:lang w:val="fr-CA"/>
        </w:rPr>
        <w:t>expulsion présumée a été faite conformément aux règles applicables, dans le respect des principes de justice naturelle et sans mauvaise foi. Cette norme remonte au moins aussi loin que l</w:t>
      </w:r>
      <w:r>
        <w:rPr>
          <w:lang w:val="fr-CA"/>
        </w:rPr>
        <w:t>’</w:t>
      </w:r>
      <w:r w:rsidRPr="00B61490">
        <w:rPr>
          <w:lang w:val="fr-CA"/>
        </w:rPr>
        <w:t>énoncé du juge Stirling dans l</w:t>
      </w:r>
      <w:r>
        <w:rPr>
          <w:lang w:val="fr-CA"/>
        </w:rPr>
        <w:t>’</w:t>
      </w:r>
      <w:r w:rsidRPr="00B61490">
        <w:rPr>
          <w:lang w:val="fr-CA"/>
        </w:rPr>
        <w:t xml:space="preserve">arrêt </w:t>
      </w:r>
      <w:r w:rsidRPr="00B61490">
        <w:rPr>
          <w:i/>
          <w:lang w:val="fr-CA"/>
        </w:rPr>
        <w:t>Baird c. Wells</w:t>
      </w:r>
      <w:r w:rsidRPr="00B61490">
        <w:rPr>
          <w:lang w:val="fr-CA"/>
        </w:rPr>
        <w:t xml:space="preserve"> (1890), 44 Ch. D. 661, p. 670</w:t>
      </w:r>
      <w:r w:rsidR="00F25236">
        <w:rPr>
          <w:lang w:val="fr-CA"/>
        </w:rPr>
        <w:t xml:space="preserve"> </w:t>
      </w:r>
      <w:r w:rsidRPr="00B61490">
        <w:rPr>
          <w:lang w:val="fr-CA"/>
        </w:rPr>
        <w:t>:</w:t>
      </w:r>
    </w:p>
    <w:p w:rsidR="006A3C1C" w:rsidRPr="00B61490" w:rsidRDefault="006A3C1C" w:rsidP="00566B15">
      <w:pPr>
        <w:pStyle w:val="Citation-AltC"/>
        <w:widowControl w:val="0"/>
        <w:ind w:left="1418" w:hanging="1418"/>
        <w:contextualSpacing w:val="0"/>
        <w:rPr>
          <w:lang w:val="fr-CA"/>
        </w:rPr>
      </w:pPr>
      <w:r w:rsidRPr="00B61490">
        <w:rPr>
          <w:lang w:val="fr-CA"/>
        </w:rPr>
        <w:tab/>
        <w:t>[</w:t>
      </w:r>
      <w:r w:rsidRPr="00B61490">
        <w:rPr>
          <w:smallCaps/>
          <w:lang w:val="fr-CA"/>
        </w:rPr>
        <w:t>traduction</w:t>
      </w:r>
      <w:r w:rsidRPr="00B61490">
        <w:rPr>
          <w:lang w:val="fr-CA"/>
        </w:rPr>
        <w:t xml:space="preserve">] Les seules questions dont notre cour peut connaître sont les suivantes : Premièrement, les règles du club </w:t>
      </w:r>
      <w:proofErr w:type="spellStart"/>
      <w:r w:rsidRPr="00B61490">
        <w:rPr>
          <w:lang w:val="fr-CA"/>
        </w:rPr>
        <w:t>ont</w:t>
      </w:r>
      <w:r w:rsidRPr="00B61490">
        <w:rPr>
          <w:lang w:val="fr-CA"/>
        </w:rPr>
        <w:noBreakHyphen/>
        <w:t>elles</w:t>
      </w:r>
      <w:proofErr w:type="spellEnd"/>
      <w:r w:rsidRPr="00B61490">
        <w:rPr>
          <w:lang w:val="fr-CA"/>
        </w:rPr>
        <w:t xml:space="preserve"> été observées? Deuxièmement, a</w:t>
      </w:r>
      <w:r w:rsidRPr="00B61490">
        <w:rPr>
          <w:lang w:val="fr-CA"/>
        </w:rPr>
        <w:noBreakHyphen/>
        <w:t>t</w:t>
      </w:r>
      <w:r w:rsidRPr="00B61490">
        <w:rPr>
          <w:lang w:val="fr-CA"/>
        </w:rPr>
        <w:noBreakHyphen/>
        <w:t>on fait quelque chose de contraire à la justice naturelle? Et, troisièmement, la décision attaquée a</w:t>
      </w:r>
      <w:r w:rsidRPr="00B61490">
        <w:rPr>
          <w:lang w:val="fr-CA"/>
        </w:rPr>
        <w:noBreakHyphen/>
        <w:t>t</w:t>
      </w:r>
      <w:r w:rsidRPr="00B61490">
        <w:rPr>
          <w:lang w:val="fr-CA"/>
        </w:rPr>
        <w:noBreakHyphen/>
        <w:t>elle été prise de bonne foi?</w:t>
      </w:r>
    </w:p>
    <w:p w:rsidR="006A3C1C" w:rsidRPr="00B61490" w:rsidRDefault="006A3C1C" w:rsidP="00566B15">
      <w:pPr>
        <w:pStyle w:val="ContinueParaSuitedupar-AltP"/>
        <w:widowControl w:val="0"/>
        <w:rPr>
          <w:rFonts w:cs="Times New Roman"/>
          <w:lang w:val="fr-CA"/>
        </w:rPr>
      </w:pPr>
      <w:r w:rsidRPr="00B61490">
        <w:rPr>
          <w:rFonts w:cs="Times New Roman"/>
          <w:lang w:val="fr-CA"/>
        </w:rPr>
        <w:t>Il ressort clairement de ce passage que les tribunaux n</w:t>
      </w:r>
      <w:r>
        <w:rPr>
          <w:rFonts w:cs="Times New Roman"/>
          <w:lang w:val="fr-CA"/>
        </w:rPr>
        <w:t>’</w:t>
      </w:r>
      <w:r w:rsidRPr="00B61490">
        <w:rPr>
          <w:rFonts w:cs="Times New Roman"/>
          <w:lang w:val="fr-CA"/>
        </w:rPr>
        <w:t>examineront pas le bien</w:t>
      </w:r>
      <w:r w:rsidRPr="00B61490">
        <w:rPr>
          <w:rFonts w:cs="Times New Roman"/>
          <w:lang w:val="fr-CA"/>
        </w:rPr>
        <w:noBreakHyphen/>
        <w:t>fondé d</w:t>
      </w:r>
      <w:r>
        <w:rPr>
          <w:rFonts w:cs="Times New Roman"/>
          <w:lang w:val="fr-CA"/>
        </w:rPr>
        <w:t>’</w:t>
      </w:r>
      <w:r w:rsidRPr="00B61490">
        <w:rPr>
          <w:rFonts w:cs="Times New Roman"/>
          <w:lang w:val="fr-CA"/>
        </w:rPr>
        <w:t>un principe religieux; les questions de cette nature ne sont pas justiciables.</w:t>
      </w:r>
    </w:p>
    <w:p w:rsidR="006A3C1C" w:rsidRPr="00B61490" w:rsidRDefault="006A3C1C" w:rsidP="00566B15">
      <w:pPr>
        <w:pStyle w:val="ParaNoNdepar-AltN"/>
        <w:widowControl w:val="0"/>
        <w:rPr>
          <w:rFonts w:cs="Times New Roman"/>
          <w:lang w:val="fr-CA"/>
        </w:rPr>
      </w:pPr>
      <w:r w:rsidRPr="00B61490">
        <w:rPr>
          <w:rFonts w:cs="Times New Roman"/>
          <w:lang w:val="fr-CA"/>
        </w:rPr>
        <w:t>En outre, il arrive parfois que même les règles de procédure d</w:t>
      </w:r>
      <w:r>
        <w:rPr>
          <w:rFonts w:cs="Times New Roman"/>
          <w:lang w:val="fr-CA"/>
        </w:rPr>
        <w:t>’</w:t>
      </w:r>
      <w:r w:rsidRPr="00B61490">
        <w:rPr>
          <w:rFonts w:cs="Times New Roman"/>
          <w:lang w:val="fr-CA"/>
        </w:rPr>
        <w:t xml:space="preserve">un groupe religieux </w:t>
      </w:r>
      <w:r>
        <w:rPr>
          <w:rFonts w:cs="Times New Roman"/>
          <w:lang w:val="fr-CA"/>
        </w:rPr>
        <w:t>impliquent</w:t>
      </w:r>
      <w:r w:rsidRPr="00B61490">
        <w:rPr>
          <w:rFonts w:cs="Times New Roman"/>
          <w:lang w:val="fr-CA"/>
        </w:rPr>
        <w:t xml:space="preserve"> l</w:t>
      </w:r>
      <w:r>
        <w:rPr>
          <w:rFonts w:cs="Times New Roman"/>
          <w:lang w:val="fr-CA"/>
        </w:rPr>
        <w:t>’</w:t>
      </w:r>
      <w:r w:rsidRPr="00B61490">
        <w:rPr>
          <w:rFonts w:cs="Times New Roman"/>
          <w:lang w:val="fr-CA"/>
        </w:rPr>
        <w:t>interprétation d</w:t>
      </w:r>
      <w:r>
        <w:rPr>
          <w:rFonts w:cs="Times New Roman"/>
          <w:lang w:val="fr-CA"/>
        </w:rPr>
        <w:t>’</w:t>
      </w:r>
      <w:r w:rsidRPr="00B61490">
        <w:rPr>
          <w:rFonts w:cs="Times New Roman"/>
          <w:lang w:val="fr-CA"/>
        </w:rPr>
        <w:t xml:space="preserve">une doctrine religieuse. Par exemple, le manuel </w:t>
      </w:r>
      <w:r w:rsidRPr="00B61490">
        <w:rPr>
          <w:rFonts w:cs="Times New Roman"/>
          <w:i/>
          <w:lang w:val="fr-CA"/>
        </w:rPr>
        <w:t>Organisés pour faire la volonté de Jéhovah</w:t>
      </w:r>
      <w:r w:rsidRPr="00B61490">
        <w:rPr>
          <w:rFonts w:cs="Times New Roman"/>
          <w:lang w:val="fr-CA"/>
        </w:rPr>
        <w:t xml:space="preserve"> (2005) expose la marche à suivre en cas de transgression grave : « Après avoir suivi la démarche définie en Matthi</w:t>
      </w:r>
      <w:r w:rsidR="00F25236">
        <w:rPr>
          <w:rFonts w:cs="Times New Roman"/>
          <w:lang w:val="fr-CA"/>
        </w:rPr>
        <w:t xml:space="preserve">eu 18:15, </w:t>
      </w:r>
      <w:r w:rsidRPr="00B61490">
        <w:rPr>
          <w:rFonts w:cs="Times New Roman"/>
          <w:lang w:val="fr-CA"/>
        </w:rPr>
        <w:t>16, un frère ou une sœur portera peut</w:t>
      </w:r>
      <w:r w:rsidRPr="00B61490">
        <w:rPr>
          <w:rFonts w:cs="Times New Roman"/>
          <w:lang w:val="fr-CA"/>
        </w:rPr>
        <w:noBreakHyphen/>
        <w:t>être à l</w:t>
      </w:r>
      <w:r>
        <w:rPr>
          <w:rFonts w:cs="Times New Roman"/>
          <w:lang w:val="fr-CA"/>
        </w:rPr>
        <w:t>’</w:t>
      </w:r>
      <w:r w:rsidRPr="00B61490">
        <w:rPr>
          <w:rFonts w:cs="Times New Roman"/>
          <w:lang w:val="fr-CA"/>
        </w:rPr>
        <w:t>attention des anciens un cas de faute grave qui n</w:t>
      </w:r>
      <w:r>
        <w:rPr>
          <w:rFonts w:cs="Times New Roman"/>
          <w:lang w:val="fr-CA"/>
        </w:rPr>
        <w:t>’</w:t>
      </w:r>
      <w:r w:rsidRPr="00B61490">
        <w:rPr>
          <w:rFonts w:cs="Times New Roman"/>
          <w:lang w:val="fr-CA"/>
        </w:rPr>
        <w:t>a p</w:t>
      </w:r>
      <w:r>
        <w:rPr>
          <w:rFonts w:cs="Times New Roman"/>
          <w:lang w:val="fr-CA"/>
        </w:rPr>
        <w:t>u être</w:t>
      </w:r>
      <w:r w:rsidRPr="00B61490">
        <w:rPr>
          <w:rFonts w:cs="Times New Roman"/>
          <w:lang w:val="fr-CA"/>
        </w:rPr>
        <w:t xml:space="preserve"> réglé » (p. 151). Les tribunaux n</w:t>
      </w:r>
      <w:r>
        <w:rPr>
          <w:rFonts w:cs="Times New Roman"/>
          <w:lang w:val="fr-CA"/>
        </w:rPr>
        <w:t>’</w:t>
      </w:r>
      <w:r w:rsidRPr="00B61490">
        <w:rPr>
          <w:rFonts w:cs="Times New Roman"/>
          <w:lang w:val="fr-CA"/>
        </w:rPr>
        <w:t>ont ni la légitimité ni les attributions institutionnelles pour évaluer si les étapes que prévoit l</w:t>
      </w:r>
      <w:r>
        <w:rPr>
          <w:rFonts w:cs="Times New Roman"/>
          <w:lang w:val="fr-CA"/>
        </w:rPr>
        <w:t>’</w:t>
      </w:r>
      <w:r w:rsidRPr="00B61490">
        <w:rPr>
          <w:rFonts w:cs="Times New Roman"/>
          <w:lang w:val="fr-CA"/>
        </w:rPr>
        <w:t>Évangile selon Matthieu ont bel et bien été suivies. De telles questions d</w:t>
      </w:r>
      <w:r>
        <w:rPr>
          <w:rFonts w:cs="Times New Roman"/>
          <w:lang w:val="fr-CA"/>
        </w:rPr>
        <w:t>’</w:t>
      </w:r>
      <w:r w:rsidRPr="00B61490">
        <w:rPr>
          <w:rFonts w:cs="Times New Roman"/>
          <w:lang w:val="fr-CA"/>
        </w:rPr>
        <w:t xml:space="preserve">ordre procédural sont, elles aussi, non justiciables. Cela étant posé, les tribunaux peuvent néanmoins contrôler les règles de procédure basées sur un contrat intervenu entre deux parties, même si ce contrat vise à mettre en œuvre des principes de doctrine religieuse : </w:t>
      </w:r>
      <w:proofErr w:type="spellStart"/>
      <w:r w:rsidRPr="00B61490">
        <w:rPr>
          <w:rFonts w:cs="Times New Roman"/>
          <w:i/>
          <w:lang w:val="fr-CA"/>
        </w:rPr>
        <w:t>Marcovitz</w:t>
      </w:r>
      <w:proofErr w:type="spellEnd"/>
      <w:r w:rsidRPr="00B61490">
        <w:rPr>
          <w:rFonts w:cs="Times New Roman"/>
          <w:lang w:val="fr-CA"/>
        </w:rPr>
        <w:t>, par. 47. En l</w:t>
      </w:r>
      <w:r>
        <w:rPr>
          <w:rFonts w:cs="Times New Roman"/>
          <w:lang w:val="fr-CA"/>
        </w:rPr>
        <w:t>’</w:t>
      </w:r>
      <w:r w:rsidRPr="00B61490">
        <w:rPr>
          <w:rFonts w:cs="Times New Roman"/>
          <w:lang w:val="fr-CA"/>
        </w:rPr>
        <w:t>espèce, toutefois, M. Wall n</w:t>
      </w:r>
      <w:r>
        <w:rPr>
          <w:rFonts w:cs="Times New Roman"/>
          <w:lang w:val="fr-CA"/>
        </w:rPr>
        <w:t>’</w:t>
      </w:r>
      <w:r w:rsidRPr="00B61490">
        <w:rPr>
          <w:rFonts w:cs="Times New Roman"/>
          <w:lang w:val="fr-CA"/>
        </w:rPr>
        <w:t>a pas su démontrer que ses droits légaux étaient en jeu.</w:t>
      </w:r>
    </w:p>
    <w:p w:rsidR="006A3C1C" w:rsidRPr="00B61490" w:rsidRDefault="006A3C1C" w:rsidP="00566B15">
      <w:pPr>
        <w:pStyle w:val="ParaNoNdepar-AltN"/>
        <w:widowControl w:val="0"/>
        <w:rPr>
          <w:rFonts w:cs="Times New Roman"/>
          <w:lang w:val="fr-CA"/>
        </w:rPr>
      </w:pPr>
      <w:r w:rsidRPr="00B61490">
        <w:rPr>
          <w:rFonts w:cs="Times New Roman"/>
          <w:lang w:val="fr-CA"/>
        </w:rPr>
        <w:lastRenderedPageBreak/>
        <w:t xml:space="preserve">La question de la </w:t>
      </w:r>
      <w:proofErr w:type="spellStart"/>
      <w:r w:rsidRPr="00B61490">
        <w:rPr>
          <w:rFonts w:cs="Times New Roman"/>
          <w:lang w:val="fr-CA"/>
        </w:rPr>
        <w:t>justiciabilité</w:t>
      </w:r>
      <w:proofErr w:type="spellEnd"/>
      <w:r w:rsidRPr="00B61490">
        <w:rPr>
          <w:rFonts w:cs="Times New Roman"/>
          <w:lang w:val="fr-CA"/>
        </w:rPr>
        <w:t xml:space="preserve"> s</w:t>
      </w:r>
      <w:r>
        <w:rPr>
          <w:rFonts w:cs="Times New Roman"/>
          <w:lang w:val="fr-CA"/>
        </w:rPr>
        <w:t>’</w:t>
      </w:r>
      <w:r w:rsidRPr="00B61490">
        <w:rPr>
          <w:rFonts w:cs="Times New Roman"/>
          <w:lang w:val="fr-CA"/>
        </w:rPr>
        <w:t>est soulevée d</w:t>
      </w:r>
      <w:r>
        <w:rPr>
          <w:rFonts w:cs="Times New Roman"/>
          <w:lang w:val="fr-CA"/>
        </w:rPr>
        <w:t>’</w:t>
      </w:r>
      <w:r w:rsidRPr="00B61490">
        <w:rPr>
          <w:rFonts w:cs="Times New Roman"/>
          <w:lang w:val="fr-CA"/>
        </w:rPr>
        <w:t>une autre façon. La Congrégation et M. Wall ont tous deux prétendu que leurs droits à la liberté de religion et à la liberté d</w:t>
      </w:r>
      <w:r>
        <w:rPr>
          <w:rFonts w:cs="Times New Roman"/>
          <w:lang w:val="fr-CA"/>
        </w:rPr>
        <w:t>’</w:t>
      </w:r>
      <w:r w:rsidRPr="00B61490">
        <w:rPr>
          <w:rFonts w:cs="Times New Roman"/>
          <w:lang w:val="fr-CA"/>
        </w:rPr>
        <w:t>association devaient être pris en compte dans la décision de la Cour. Le juge d</w:t>
      </w:r>
      <w:r>
        <w:rPr>
          <w:rFonts w:cs="Times New Roman"/>
          <w:lang w:val="fr-CA"/>
        </w:rPr>
        <w:t>’</w:t>
      </w:r>
      <w:r w:rsidRPr="00B61490">
        <w:rPr>
          <w:rFonts w:cs="Times New Roman"/>
          <w:lang w:val="fr-CA"/>
        </w:rPr>
        <w:t>appel dissident a formulé des commentaires à cet égard, affirmant que les questions religieuses n</w:t>
      </w:r>
      <w:r>
        <w:rPr>
          <w:rFonts w:cs="Times New Roman"/>
          <w:lang w:val="fr-CA"/>
        </w:rPr>
        <w:t>’</w:t>
      </w:r>
      <w:r w:rsidRPr="00B61490">
        <w:rPr>
          <w:rFonts w:cs="Times New Roman"/>
          <w:lang w:val="fr-CA"/>
        </w:rPr>
        <w:t>étaient pas justiciables, en partie en raison de la protection dont jouit la liberté de religion garantie par l</w:t>
      </w:r>
      <w:r>
        <w:rPr>
          <w:rFonts w:cs="Times New Roman"/>
          <w:lang w:val="fr-CA"/>
        </w:rPr>
        <w:t>’</w:t>
      </w:r>
      <w:r w:rsidRPr="00B61490">
        <w:rPr>
          <w:rFonts w:cs="Times New Roman"/>
          <w:lang w:val="fr-CA"/>
        </w:rPr>
        <w:t>al. 2</w:t>
      </w:r>
      <w:r w:rsidRPr="00B61490">
        <w:rPr>
          <w:rFonts w:cs="Times New Roman"/>
          <w:i/>
          <w:lang w:val="fr-CA"/>
        </w:rPr>
        <w:t>a</w:t>
      </w:r>
      <w:r w:rsidRPr="00B61490">
        <w:rPr>
          <w:rFonts w:cs="Times New Roman"/>
          <w:lang w:val="fr-CA"/>
        </w:rPr>
        <w:t xml:space="preserve">) de la </w:t>
      </w:r>
      <w:r w:rsidRPr="00B61490">
        <w:rPr>
          <w:rFonts w:cs="Times New Roman"/>
          <w:i/>
          <w:lang w:val="fr-CA"/>
        </w:rPr>
        <w:t>Charte canadienne des droits et libertés</w:t>
      </w:r>
      <w:r w:rsidRPr="00B61490">
        <w:rPr>
          <w:rFonts w:cs="Times New Roman"/>
          <w:lang w:val="fr-CA"/>
        </w:rPr>
        <w:t xml:space="preserve">. Comme a conclu notre Cour dans </w:t>
      </w:r>
      <w:r w:rsidRPr="00B61490">
        <w:rPr>
          <w:rFonts w:cs="Times New Roman"/>
          <w:i/>
          <w:lang w:val="fr-CA"/>
        </w:rPr>
        <w:t xml:space="preserve">SDGMR c. </w:t>
      </w:r>
      <w:proofErr w:type="spellStart"/>
      <w:r w:rsidRPr="00B61490">
        <w:rPr>
          <w:rFonts w:cs="Times New Roman"/>
          <w:i/>
          <w:lang w:val="fr-CA"/>
        </w:rPr>
        <w:t>Dolphin</w:t>
      </w:r>
      <w:proofErr w:type="spellEnd"/>
      <w:r w:rsidRPr="00B61490">
        <w:rPr>
          <w:rFonts w:cs="Times New Roman"/>
          <w:i/>
          <w:lang w:val="fr-CA"/>
        </w:rPr>
        <w:t xml:space="preserve"> Delivery Ltd</w:t>
      </w:r>
      <w:r w:rsidRPr="00B61490">
        <w:rPr>
          <w:rFonts w:cs="Times New Roman"/>
          <w:lang w:val="fr-CA"/>
        </w:rPr>
        <w:t xml:space="preserve">., [1986] 2 R.C.S. 573, p. 603, la </w:t>
      </w:r>
      <w:r w:rsidRPr="00B61490">
        <w:rPr>
          <w:rFonts w:cs="Times New Roman"/>
          <w:i/>
          <w:lang w:val="fr-CA"/>
        </w:rPr>
        <w:t>Charte</w:t>
      </w:r>
      <w:r w:rsidRPr="00B61490">
        <w:rPr>
          <w:rFonts w:cs="Times New Roman"/>
          <w:lang w:val="fr-CA"/>
        </w:rPr>
        <w:t xml:space="preserve"> ne s</w:t>
      </w:r>
      <w:r>
        <w:rPr>
          <w:rFonts w:cs="Times New Roman"/>
          <w:lang w:val="fr-CA"/>
        </w:rPr>
        <w:t>’</w:t>
      </w:r>
      <w:r w:rsidRPr="00B61490">
        <w:rPr>
          <w:rFonts w:cs="Times New Roman"/>
          <w:lang w:val="fr-CA"/>
        </w:rPr>
        <w:t>applique pas aux litiges privés. L</w:t>
      </w:r>
      <w:r>
        <w:rPr>
          <w:rFonts w:cs="Times New Roman"/>
          <w:lang w:val="fr-CA"/>
        </w:rPr>
        <w:t>’</w:t>
      </w:r>
      <w:r w:rsidRPr="00B61490">
        <w:rPr>
          <w:rFonts w:cs="Times New Roman"/>
          <w:lang w:val="fr-CA"/>
        </w:rPr>
        <w:t xml:space="preserve">article 32 de la </w:t>
      </w:r>
      <w:r w:rsidRPr="00B61490">
        <w:rPr>
          <w:rFonts w:cs="Times New Roman"/>
          <w:i/>
          <w:lang w:val="fr-CA"/>
        </w:rPr>
        <w:t>Charte</w:t>
      </w:r>
      <w:r w:rsidRPr="00B61490">
        <w:rPr>
          <w:rFonts w:cs="Times New Roman"/>
          <w:lang w:val="fr-CA"/>
        </w:rPr>
        <w:t xml:space="preserve"> précise que celle</w:t>
      </w:r>
      <w:r w:rsidRPr="00B61490">
        <w:rPr>
          <w:rFonts w:cs="Times New Roman"/>
          <w:lang w:val="fr-CA"/>
        </w:rPr>
        <w:noBreakHyphen/>
        <w:t>ci s</w:t>
      </w:r>
      <w:r>
        <w:rPr>
          <w:rFonts w:cs="Times New Roman"/>
          <w:lang w:val="fr-CA"/>
        </w:rPr>
        <w:t>’</w:t>
      </w:r>
      <w:r w:rsidRPr="00B61490">
        <w:rPr>
          <w:rFonts w:cs="Times New Roman"/>
          <w:lang w:val="fr-CA"/>
        </w:rPr>
        <w:t xml:space="preserve">applique aux pouvoirs législatif, exécutif et administratif du gouvernement : </w:t>
      </w:r>
      <w:r w:rsidRPr="00B61490">
        <w:rPr>
          <w:rFonts w:cs="Times New Roman"/>
          <w:i/>
          <w:lang w:val="fr-CA"/>
        </w:rPr>
        <w:t>ibid.</w:t>
      </w:r>
      <w:r w:rsidRPr="00B61490">
        <w:rPr>
          <w:rFonts w:cs="Times New Roman"/>
          <w:lang w:val="fr-CA"/>
        </w:rPr>
        <w:t>, p. 603</w:t>
      </w:r>
      <w:r w:rsidRPr="00B61490">
        <w:rPr>
          <w:rFonts w:cs="Times New Roman"/>
          <w:lang w:val="fr-CA"/>
        </w:rPr>
        <w:noBreakHyphen/>
        <w:t xml:space="preserve">604. La </w:t>
      </w:r>
      <w:r w:rsidRPr="00B61490">
        <w:rPr>
          <w:rFonts w:cs="Times New Roman"/>
          <w:i/>
          <w:lang w:val="fr-CA"/>
        </w:rPr>
        <w:t>Charte</w:t>
      </w:r>
      <w:r w:rsidRPr="00B61490">
        <w:rPr>
          <w:rFonts w:cs="Times New Roman"/>
          <w:lang w:val="fr-CA"/>
        </w:rPr>
        <w:t xml:space="preserve"> ne s</w:t>
      </w:r>
      <w:r>
        <w:rPr>
          <w:rFonts w:cs="Times New Roman"/>
          <w:lang w:val="fr-CA"/>
        </w:rPr>
        <w:t>’</w:t>
      </w:r>
      <w:r w:rsidRPr="00B61490">
        <w:rPr>
          <w:rFonts w:cs="Times New Roman"/>
          <w:lang w:val="fr-CA"/>
        </w:rPr>
        <w:t>applique pas directement en l</w:t>
      </w:r>
      <w:r>
        <w:rPr>
          <w:rFonts w:cs="Times New Roman"/>
          <w:lang w:val="fr-CA"/>
        </w:rPr>
        <w:t>’</w:t>
      </w:r>
      <w:r w:rsidRPr="00B61490">
        <w:rPr>
          <w:rFonts w:cs="Times New Roman"/>
          <w:lang w:val="fr-CA"/>
        </w:rPr>
        <w:t>espèce, puisqu</w:t>
      </w:r>
      <w:r>
        <w:rPr>
          <w:rFonts w:cs="Times New Roman"/>
          <w:lang w:val="fr-CA"/>
        </w:rPr>
        <w:t>’</w:t>
      </w:r>
      <w:r w:rsidRPr="00B61490">
        <w:rPr>
          <w:rFonts w:cs="Times New Roman"/>
          <w:lang w:val="fr-CA"/>
        </w:rPr>
        <w:t>aucune mesure étatique n</w:t>
      </w:r>
      <w:r>
        <w:rPr>
          <w:rFonts w:cs="Times New Roman"/>
          <w:lang w:val="fr-CA"/>
        </w:rPr>
        <w:t>’</w:t>
      </w:r>
      <w:r w:rsidRPr="00B61490">
        <w:rPr>
          <w:rFonts w:cs="Times New Roman"/>
          <w:lang w:val="fr-CA"/>
        </w:rPr>
        <w:t>est contestée, mais elle peut néanmoins guider l</w:t>
      </w:r>
      <w:r>
        <w:rPr>
          <w:rFonts w:cs="Times New Roman"/>
          <w:lang w:val="fr-CA"/>
        </w:rPr>
        <w:t>’</w:t>
      </w:r>
      <w:r w:rsidRPr="00B61490">
        <w:rPr>
          <w:rFonts w:cs="Times New Roman"/>
          <w:lang w:val="fr-CA"/>
        </w:rPr>
        <w:t xml:space="preserve">évolution de la </w:t>
      </w:r>
      <w:proofErr w:type="spellStart"/>
      <w:r w:rsidRPr="00B61490">
        <w:rPr>
          <w:rFonts w:cs="Times New Roman"/>
          <w:lang w:val="fr-CA"/>
        </w:rPr>
        <w:t>common</w:t>
      </w:r>
      <w:proofErr w:type="spellEnd"/>
      <w:r w:rsidRPr="00B61490">
        <w:rPr>
          <w:rFonts w:cs="Times New Roman"/>
          <w:lang w:val="fr-CA"/>
        </w:rPr>
        <w:t xml:space="preserve"> </w:t>
      </w:r>
      <w:proofErr w:type="spellStart"/>
      <w:r w:rsidRPr="00B61490">
        <w:rPr>
          <w:rFonts w:cs="Times New Roman"/>
          <w:lang w:val="fr-CA"/>
        </w:rPr>
        <w:t>law</w:t>
      </w:r>
      <w:proofErr w:type="spellEnd"/>
      <w:r w:rsidRPr="00B61490">
        <w:rPr>
          <w:rFonts w:cs="Times New Roman"/>
          <w:lang w:val="fr-CA"/>
        </w:rPr>
        <w:t xml:space="preserve"> : </w:t>
      </w:r>
      <w:r w:rsidRPr="00B61490">
        <w:rPr>
          <w:rFonts w:cs="Times New Roman"/>
          <w:i/>
          <w:lang w:val="fr-CA"/>
        </w:rPr>
        <w:t>ibid.</w:t>
      </w:r>
      <w:r w:rsidRPr="00B61490">
        <w:rPr>
          <w:rFonts w:cs="Times New Roman"/>
          <w:lang w:val="fr-CA"/>
        </w:rPr>
        <w:t>, p. 603. En définitive, les groupes religieux sont libres de décider qui peut être membre de leur organisation, et d</w:t>
      </w:r>
      <w:r>
        <w:rPr>
          <w:rFonts w:cs="Times New Roman"/>
          <w:lang w:val="fr-CA"/>
        </w:rPr>
        <w:t>’</w:t>
      </w:r>
      <w:r w:rsidRPr="00B61490">
        <w:rPr>
          <w:rFonts w:cs="Times New Roman"/>
          <w:lang w:val="fr-CA"/>
        </w:rPr>
        <w:t>établir leurs propres règles de fonctionnement; les tribunaux n</w:t>
      </w:r>
      <w:r>
        <w:rPr>
          <w:rFonts w:cs="Times New Roman"/>
          <w:lang w:val="fr-CA"/>
        </w:rPr>
        <w:t>’</w:t>
      </w:r>
      <w:r w:rsidRPr="00B61490">
        <w:rPr>
          <w:rFonts w:cs="Times New Roman"/>
          <w:lang w:val="fr-CA"/>
        </w:rPr>
        <w:t>interviendront pas à l</w:t>
      </w:r>
      <w:r>
        <w:rPr>
          <w:rFonts w:cs="Times New Roman"/>
          <w:lang w:val="fr-CA"/>
        </w:rPr>
        <w:t>’</w:t>
      </w:r>
      <w:r w:rsidRPr="00B61490">
        <w:rPr>
          <w:rFonts w:cs="Times New Roman"/>
          <w:lang w:val="fr-CA"/>
        </w:rPr>
        <w:t>égard de telles questions, à moins qu</w:t>
      </w:r>
      <w:r>
        <w:rPr>
          <w:rFonts w:cs="Times New Roman"/>
          <w:lang w:val="fr-CA"/>
        </w:rPr>
        <w:t>’</w:t>
      </w:r>
      <w:r w:rsidRPr="00B61490">
        <w:rPr>
          <w:rFonts w:cs="Times New Roman"/>
          <w:lang w:val="fr-CA"/>
        </w:rPr>
        <w:t>il ne soit nécessaire de le faire pour trancher un différend de nature juridique sous</w:t>
      </w:r>
      <w:r w:rsidRPr="00B61490">
        <w:rPr>
          <w:rFonts w:cs="Times New Roman"/>
          <w:lang w:val="fr-CA"/>
        </w:rPr>
        <w:noBreakHyphen/>
        <w:t>jacent.</w:t>
      </w:r>
    </w:p>
    <w:p w:rsidR="006A3C1C" w:rsidRPr="00B61490" w:rsidRDefault="006A3C1C" w:rsidP="00566B15">
      <w:pPr>
        <w:pStyle w:val="Title1LevelTitre1Niveau-AltL"/>
        <w:widowControl w:val="0"/>
        <w:numPr>
          <w:ilvl w:val="0"/>
          <w:numId w:val="8"/>
        </w:numPr>
        <w:jc w:val="left"/>
        <w:rPr>
          <w:rFonts w:cs="Times New Roman"/>
        </w:rPr>
      </w:pPr>
      <w:proofErr w:type="spellStart"/>
      <w:r w:rsidRPr="00B61490">
        <w:rPr>
          <w:rFonts w:cs="Times New Roman"/>
        </w:rPr>
        <w:t>Dispositif</w:t>
      </w:r>
      <w:proofErr w:type="spellEnd"/>
    </w:p>
    <w:p w:rsidR="006A3C1C" w:rsidRPr="00B61490" w:rsidRDefault="006A3C1C" w:rsidP="00566B15">
      <w:pPr>
        <w:pStyle w:val="ParaNoNdepar-AltN"/>
        <w:widowControl w:val="0"/>
        <w:tabs>
          <w:tab w:val="clear" w:pos="1152"/>
          <w:tab w:val="left" w:pos="1166"/>
        </w:tabs>
        <w:rPr>
          <w:rFonts w:cs="Times New Roman"/>
          <w:lang w:val="fr-CA"/>
        </w:rPr>
      </w:pPr>
      <w:r w:rsidRPr="00B61490">
        <w:rPr>
          <w:rFonts w:cs="Times New Roman"/>
          <w:lang w:val="fr-CA"/>
        </w:rPr>
        <w:t>Je suis d</w:t>
      </w:r>
      <w:r>
        <w:rPr>
          <w:rFonts w:cs="Times New Roman"/>
          <w:lang w:val="fr-CA"/>
        </w:rPr>
        <w:t>’</w:t>
      </w:r>
      <w:r w:rsidRPr="00B61490">
        <w:rPr>
          <w:rFonts w:cs="Times New Roman"/>
          <w:lang w:val="fr-CA"/>
        </w:rPr>
        <w:t>avis d</w:t>
      </w:r>
      <w:r>
        <w:rPr>
          <w:rFonts w:cs="Times New Roman"/>
          <w:lang w:val="fr-CA"/>
        </w:rPr>
        <w:t>’</w:t>
      </w:r>
      <w:r w:rsidRPr="00B61490">
        <w:rPr>
          <w:rFonts w:cs="Times New Roman"/>
          <w:lang w:val="fr-CA"/>
        </w:rPr>
        <w:t>accueillir l</w:t>
      </w:r>
      <w:r>
        <w:rPr>
          <w:rFonts w:cs="Times New Roman"/>
          <w:lang w:val="fr-CA"/>
        </w:rPr>
        <w:t>’</w:t>
      </w:r>
      <w:r w:rsidRPr="00B61490">
        <w:rPr>
          <w:rFonts w:cs="Times New Roman"/>
          <w:lang w:val="fr-CA"/>
        </w:rPr>
        <w:t>appel et d</w:t>
      </w:r>
      <w:r>
        <w:rPr>
          <w:rFonts w:cs="Times New Roman"/>
          <w:lang w:val="fr-CA"/>
        </w:rPr>
        <w:t>’</w:t>
      </w:r>
      <w:r w:rsidRPr="00B61490">
        <w:rPr>
          <w:rFonts w:cs="Times New Roman"/>
          <w:lang w:val="fr-CA"/>
        </w:rPr>
        <w:t>annuler la demande introductive d</w:t>
      </w:r>
      <w:r>
        <w:rPr>
          <w:rFonts w:cs="Times New Roman"/>
          <w:lang w:val="fr-CA"/>
        </w:rPr>
        <w:t>’</w:t>
      </w:r>
      <w:r w:rsidRPr="00B61490">
        <w:rPr>
          <w:rFonts w:cs="Times New Roman"/>
          <w:lang w:val="fr-CA"/>
        </w:rPr>
        <w:t>instance en contrôle judiciaire déposée par M. Wall. Comme les appelants ont demandé qu</w:t>
      </w:r>
      <w:r>
        <w:rPr>
          <w:rFonts w:cs="Times New Roman"/>
          <w:lang w:val="fr-CA"/>
        </w:rPr>
        <w:t>’</w:t>
      </w:r>
      <w:r w:rsidRPr="00B61490">
        <w:rPr>
          <w:rFonts w:cs="Times New Roman"/>
          <w:lang w:val="fr-CA"/>
        </w:rPr>
        <w:t>aucuns dépens ne soient adjugés, je n</w:t>
      </w:r>
      <w:r>
        <w:rPr>
          <w:rFonts w:cs="Times New Roman"/>
          <w:lang w:val="fr-CA"/>
        </w:rPr>
        <w:t>’</w:t>
      </w:r>
      <w:r w:rsidRPr="00B61490">
        <w:rPr>
          <w:rFonts w:cs="Times New Roman"/>
          <w:lang w:val="fr-CA"/>
        </w:rPr>
        <w:t>en accorde pas.</w:t>
      </w:r>
    </w:p>
    <w:p w:rsidR="004D7D95" w:rsidRPr="00AB6144" w:rsidRDefault="00C8759F" w:rsidP="00566B15">
      <w:pPr>
        <w:pStyle w:val="SCCNormalDoubleSpacing"/>
        <w:widowControl w:val="0"/>
        <w:spacing w:after="480"/>
        <w:rPr>
          <w:i/>
          <w:lang w:val="fr-CA"/>
        </w:rPr>
      </w:pPr>
      <w:r w:rsidRPr="00AB6144">
        <w:rPr>
          <w:lang w:val="fr-CA"/>
        </w:rPr>
        <w:tab/>
      </w:r>
      <w:r w:rsidRPr="00AB6144">
        <w:rPr>
          <w:i/>
          <w:lang w:val="fr-CA"/>
        </w:rPr>
        <w:t>Pourvoi</w:t>
      </w:r>
      <w:r w:rsidR="00BD7858" w:rsidRPr="00AB6144">
        <w:rPr>
          <w:i/>
          <w:lang w:val="fr-CA"/>
        </w:rPr>
        <w:t xml:space="preserve"> accueilli.</w:t>
      </w:r>
    </w:p>
    <w:p w:rsidR="00D34B6A" w:rsidRPr="00AB6144" w:rsidRDefault="006F5034" w:rsidP="00566B15">
      <w:pPr>
        <w:pStyle w:val="SCCLawFirm"/>
        <w:widowControl w:val="0"/>
        <w:spacing w:after="480"/>
        <w:rPr>
          <w:lang w:val="fr-CA"/>
        </w:rPr>
      </w:pPr>
      <w:r w:rsidRPr="00AB6144">
        <w:rPr>
          <w:lang w:val="fr-CA"/>
        </w:rPr>
        <w:lastRenderedPageBreak/>
        <w:tab/>
        <w:t>Procureurs</w:t>
      </w:r>
      <w:r w:rsidR="00032FFE" w:rsidRPr="00AB6144">
        <w:rPr>
          <w:lang w:val="fr-CA"/>
        </w:rPr>
        <w:t xml:space="preserve"> des </w:t>
      </w:r>
      <w:r w:rsidRPr="00AB6144">
        <w:rPr>
          <w:lang w:val="fr-CA"/>
        </w:rPr>
        <w:t>appelant</w:t>
      </w:r>
      <w:r w:rsidR="00032FFE" w:rsidRPr="00AB6144">
        <w:rPr>
          <w:lang w:val="fr-CA"/>
        </w:rPr>
        <w:t>s</w:t>
      </w:r>
      <w:r w:rsidR="00B104C4" w:rsidRPr="00AB6144">
        <w:rPr>
          <w:lang w:val="fr-CA"/>
        </w:rPr>
        <w:t> :</w:t>
      </w:r>
      <w:r w:rsidR="001672CC" w:rsidRPr="00AB6144">
        <w:rPr>
          <w:lang w:val="fr-CA"/>
        </w:rPr>
        <w:t> W. </w:t>
      </w:r>
      <w:r w:rsidRPr="00AB6144">
        <w:rPr>
          <w:lang w:val="fr-CA"/>
        </w:rPr>
        <w:t>Glen How &amp; Associates</w:t>
      </w:r>
      <w:r w:rsidR="00C8759F" w:rsidRPr="00AB6144">
        <w:rPr>
          <w:lang w:val="fr-CA"/>
        </w:rPr>
        <w:t>, Georgetown</w:t>
      </w:r>
      <w:r w:rsidR="009E350A" w:rsidRPr="00AB6144">
        <w:rPr>
          <w:lang w:val="fr-CA"/>
        </w:rPr>
        <w:t>, Ontario</w:t>
      </w:r>
      <w:r w:rsidR="00C8759F" w:rsidRPr="00AB6144">
        <w:rPr>
          <w:lang w:val="fr-CA"/>
        </w:rPr>
        <w:t>.</w:t>
      </w:r>
    </w:p>
    <w:p w:rsidR="00D34B6A" w:rsidRPr="00AB6144" w:rsidRDefault="006F5034" w:rsidP="00566B15">
      <w:pPr>
        <w:pStyle w:val="SCCLawFirm"/>
        <w:widowControl w:val="0"/>
        <w:spacing w:after="480"/>
        <w:rPr>
          <w:lang w:val="fr-CA"/>
        </w:rPr>
      </w:pPr>
      <w:r w:rsidRPr="00AB6144">
        <w:rPr>
          <w:lang w:val="fr-CA"/>
        </w:rPr>
        <w:tab/>
        <w:t>Procureurs</w:t>
      </w:r>
      <w:r w:rsidR="001672CC" w:rsidRPr="00AB6144">
        <w:rPr>
          <w:lang w:val="fr-CA"/>
        </w:rPr>
        <w:t xml:space="preserve"> </w:t>
      </w:r>
      <w:r w:rsidR="00C8759F" w:rsidRPr="00AB6144">
        <w:rPr>
          <w:lang w:val="fr-CA"/>
        </w:rPr>
        <w:t>de l</w:t>
      </w:r>
      <w:r w:rsidR="006173FB" w:rsidRPr="00AB6144">
        <w:rPr>
          <w:lang w:val="fr-CA"/>
        </w:rPr>
        <w:t>’</w:t>
      </w:r>
      <w:r w:rsidRPr="00AB6144">
        <w:rPr>
          <w:lang w:val="fr-CA"/>
        </w:rPr>
        <w:t>intimé</w:t>
      </w:r>
      <w:r w:rsidR="00B104C4" w:rsidRPr="00AB6144">
        <w:rPr>
          <w:lang w:val="fr-CA"/>
        </w:rPr>
        <w:t> :</w:t>
      </w:r>
      <w:r w:rsidR="001672CC" w:rsidRPr="00AB6144">
        <w:rPr>
          <w:lang w:val="fr-CA"/>
        </w:rPr>
        <w:t> </w:t>
      </w:r>
      <w:r w:rsidR="00C8759F" w:rsidRPr="00AB6144">
        <w:rPr>
          <w:lang w:val="fr-CA"/>
        </w:rPr>
        <w:t xml:space="preserve">McCarthy </w:t>
      </w:r>
      <w:proofErr w:type="spellStart"/>
      <w:r w:rsidR="00C8759F" w:rsidRPr="00AB6144">
        <w:rPr>
          <w:lang w:val="fr-CA"/>
        </w:rPr>
        <w:t>Tétrault</w:t>
      </w:r>
      <w:proofErr w:type="spellEnd"/>
      <w:r w:rsidR="00C8759F" w:rsidRPr="00AB6144">
        <w:rPr>
          <w:lang w:val="fr-CA"/>
        </w:rPr>
        <w:t>, Vancouver.</w:t>
      </w:r>
    </w:p>
    <w:p w:rsidR="00D34B6A" w:rsidRPr="00AB6144" w:rsidRDefault="00C8759F" w:rsidP="00566B15">
      <w:pPr>
        <w:pStyle w:val="SCCLawFirm"/>
        <w:widowControl w:val="0"/>
        <w:spacing w:after="480"/>
        <w:rPr>
          <w:lang w:val="en-US"/>
        </w:rPr>
      </w:pPr>
      <w:r w:rsidRPr="00AB6144">
        <w:rPr>
          <w:lang w:val="fr-CA"/>
        </w:rPr>
        <w:tab/>
      </w:r>
      <w:r w:rsidRPr="00AB6144">
        <w:rPr>
          <w:lang w:val="en-US"/>
        </w:rPr>
        <w:t>Procureu</w:t>
      </w:r>
      <w:r w:rsidR="006F5034" w:rsidRPr="00AB6144">
        <w:rPr>
          <w:lang w:val="en-US"/>
        </w:rPr>
        <w:t>r</w:t>
      </w:r>
      <w:r w:rsidRPr="00AB6144">
        <w:rPr>
          <w:lang w:val="en-US"/>
        </w:rPr>
        <w:t xml:space="preserve"> de </w:t>
      </w:r>
      <w:proofErr w:type="spellStart"/>
      <w:r w:rsidRPr="00AB6144">
        <w:rPr>
          <w:lang w:val="en-US"/>
        </w:rPr>
        <w:t>l</w:t>
      </w:r>
      <w:r w:rsidR="006173FB" w:rsidRPr="00AB6144">
        <w:rPr>
          <w:lang w:val="en-US"/>
        </w:rPr>
        <w:t>’</w:t>
      </w:r>
      <w:r w:rsidR="006F5034" w:rsidRPr="00AB6144">
        <w:rPr>
          <w:lang w:val="en-US"/>
        </w:rPr>
        <w:t>intervenant</w:t>
      </w:r>
      <w:proofErr w:type="spellEnd"/>
      <w:r w:rsidRPr="00AB6144">
        <w:rPr>
          <w:lang w:val="en-US"/>
        </w:rPr>
        <w:t xml:space="preserve"> Canadian Council of Christian </w:t>
      </w:r>
      <w:proofErr w:type="gramStart"/>
      <w:r w:rsidRPr="00AB6144">
        <w:rPr>
          <w:lang w:val="en-US"/>
        </w:rPr>
        <w:t>Charities</w:t>
      </w:r>
      <w:r w:rsidR="00B104C4" w:rsidRPr="00AB6144">
        <w:rPr>
          <w:lang w:val="en-US"/>
        </w:rPr>
        <w:t> :</w:t>
      </w:r>
      <w:proofErr w:type="gramEnd"/>
      <w:r w:rsidR="001672CC" w:rsidRPr="00AB6144">
        <w:rPr>
          <w:lang w:val="en-US"/>
        </w:rPr>
        <w:t> </w:t>
      </w:r>
      <w:r w:rsidR="00F500A8" w:rsidRPr="00AB6144">
        <w:rPr>
          <w:lang w:val="en-US"/>
        </w:rPr>
        <w:t>Canadian Council of Christian Charities</w:t>
      </w:r>
      <w:r w:rsidR="009E350A" w:rsidRPr="00AB6144">
        <w:rPr>
          <w:lang w:val="en-US"/>
        </w:rPr>
        <w:t>, Elmira, Ontario</w:t>
      </w:r>
      <w:r w:rsidR="00BC4095" w:rsidRPr="00AB6144">
        <w:rPr>
          <w:lang w:val="en-US"/>
        </w:rPr>
        <w:t>.</w:t>
      </w:r>
    </w:p>
    <w:p w:rsidR="00D34B6A" w:rsidRPr="00AB6144" w:rsidRDefault="00C8759F" w:rsidP="00566B15">
      <w:pPr>
        <w:pStyle w:val="SCCLawFirm"/>
        <w:widowControl w:val="0"/>
        <w:spacing w:after="480"/>
        <w:rPr>
          <w:lang w:val="en-US"/>
        </w:rPr>
      </w:pPr>
      <w:r w:rsidRPr="00AB6144">
        <w:rPr>
          <w:lang w:val="en-US"/>
        </w:rPr>
        <w:tab/>
      </w:r>
      <w:r w:rsidR="009E350A" w:rsidRPr="00AB6144">
        <w:rPr>
          <w:lang w:val="en-US"/>
        </w:rPr>
        <w:t xml:space="preserve">Procureur </w:t>
      </w:r>
      <w:r w:rsidRPr="00AB6144">
        <w:rPr>
          <w:lang w:val="en-US"/>
        </w:rPr>
        <w:t xml:space="preserve">de </w:t>
      </w:r>
      <w:proofErr w:type="spellStart"/>
      <w:r w:rsidRPr="00AB6144">
        <w:rPr>
          <w:lang w:val="en-US"/>
        </w:rPr>
        <w:t>l</w:t>
      </w:r>
      <w:r w:rsidR="006173FB" w:rsidRPr="00AB6144">
        <w:rPr>
          <w:lang w:val="en-US"/>
        </w:rPr>
        <w:t>’</w:t>
      </w:r>
      <w:r w:rsidR="006F5034" w:rsidRPr="00AB6144">
        <w:rPr>
          <w:lang w:val="en-US"/>
        </w:rPr>
        <w:t>intervenant</w:t>
      </w:r>
      <w:r w:rsidRPr="00AB6144">
        <w:rPr>
          <w:lang w:val="en-US"/>
        </w:rPr>
        <w:t>e</w:t>
      </w:r>
      <w:proofErr w:type="spellEnd"/>
      <w:r w:rsidRPr="00AB6144">
        <w:rPr>
          <w:lang w:val="en-US"/>
        </w:rPr>
        <w:t xml:space="preserve"> Association for Reformed Political Action </w:t>
      </w:r>
      <w:proofErr w:type="gramStart"/>
      <w:r w:rsidRPr="00AB6144">
        <w:rPr>
          <w:lang w:val="en-US"/>
        </w:rPr>
        <w:t>Canada</w:t>
      </w:r>
      <w:r w:rsidR="00B104C4" w:rsidRPr="00AB6144">
        <w:rPr>
          <w:lang w:val="en-US"/>
        </w:rPr>
        <w:t> :</w:t>
      </w:r>
      <w:proofErr w:type="gramEnd"/>
      <w:r w:rsidR="001672CC" w:rsidRPr="00AB6144">
        <w:rPr>
          <w:lang w:val="en-US"/>
        </w:rPr>
        <w:t> </w:t>
      </w:r>
      <w:r w:rsidRPr="00AB6144">
        <w:rPr>
          <w:lang w:val="en-US"/>
        </w:rPr>
        <w:t>Association for Reformed Political Action Canada, Ottawa.</w:t>
      </w:r>
    </w:p>
    <w:p w:rsidR="00D34B6A" w:rsidRPr="00AB6144" w:rsidRDefault="00C8759F" w:rsidP="00566B15">
      <w:pPr>
        <w:pStyle w:val="SCCLawFirm"/>
        <w:widowControl w:val="0"/>
        <w:spacing w:after="480"/>
        <w:rPr>
          <w:lang w:val="en-US"/>
        </w:rPr>
      </w:pPr>
      <w:r w:rsidRPr="00AB6144">
        <w:rPr>
          <w:lang w:val="en-US"/>
        </w:rPr>
        <w:tab/>
      </w:r>
      <w:proofErr w:type="spellStart"/>
      <w:r w:rsidRPr="00AB6144">
        <w:rPr>
          <w:lang w:val="en-US"/>
        </w:rPr>
        <w:t>Procureur</w:t>
      </w:r>
      <w:r w:rsidR="006F5034" w:rsidRPr="00AB6144">
        <w:rPr>
          <w:lang w:val="en-US"/>
        </w:rPr>
        <w:t>s</w:t>
      </w:r>
      <w:proofErr w:type="spellEnd"/>
      <w:r w:rsidRPr="00AB6144">
        <w:rPr>
          <w:lang w:val="en-US"/>
        </w:rPr>
        <w:t xml:space="preserve"> de </w:t>
      </w:r>
      <w:proofErr w:type="spellStart"/>
      <w:r w:rsidRPr="00AB6144">
        <w:rPr>
          <w:lang w:val="en-US"/>
        </w:rPr>
        <w:t>l</w:t>
      </w:r>
      <w:r w:rsidR="006173FB" w:rsidRPr="00AB6144">
        <w:rPr>
          <w:lang w:val="en-US"/>
        </w:rPr>
        <w:t>’</w:t>
      </w:r>
      <w:r w:rsidR="006F5034" w:rsidRPr="00AB6144">
        <w:rPr>
          <w:lang w:val="en-US"/>
        </w:rPr>
        <w:t>intervenante</w:t>
      </w:r>
      <w:proofErr w:type="spellEnd"/>
      <w:r w:rsidRPr="00AB6144">
        <w:rPr>
          <w:lang w:val="en-US"/>
        </w:rPr>
        <w:t xml:space="preserve"> Canadian Constitution </w:t>
      </w:r>
      <w:proofErr w:type="gramStart"/>
      <w:r w:rsidRPr="00AB6144">
        <w:rPr>
          <w:lang w:val="en-US"/>
        </w:rPr>
        <w:t>Foundatio</w:t>
      </w:r>
      <w:r w:rsidR="006F5034" w:rsidRPr="00AB6144">
        <w:rPr>
          <w:lang w:val="en-US"/>
        </w:rPr>
        <w:t>n</w:t>
      </w:r>
      <w:r w:rsidR="00B104C4" w:rsidRPr="00AB6144">
        <w:rPr>
          <w:lang w:val="en-US"/>
        </w:rPr>
        <w:t> :</w:t>
      </w:r>
      <w:proofErr w:type="gramEnd"/>
      <w:r w:rsidR="001672CC" w:rsidRPr="00AB6144">
        <w:rPr>
          <w:lang w:val="en-US"/>
        </w:rPr>
        <w:t> </w:t>
      </w:r>
      <w:r w:rsidR="006F5034" w:rsidRPr="00AB6144">
        <w:rPr>
          <w:lang w:val="en-US"/>
        </w:rPr>
        <w:t xml:space="preserve">Osler, </w:t>
      </w:r>
      <w:proofErr w:type="spellStart"/>
      <w:r w:rsidR="006F5034" w:rsidRPr="00AB6144">
        <w:rPr>
          <w:lang w:val="en-US"/>
        </w:rPr>
        <w:t>Hoskin</w:t>
      </w:r>
      <w:proofErr w:type="spellEnd"/>
      <w:r w:rsidR="006F5034" w:rsidRPr="00AB6144">
        <w:rPr>
          <w:lang w:val="en-US"/>
        </w:rPr>
        <w:t xml:space="preserve"> &amp; Harcourt</w:t>
      </w:r>
      <w:r w:rsidRPr="00AB6144">
        <w:rPr>
          <w:lang w:val="en-US"/>
        </w:rPr>
        <w:t>, Toronto.</w:t>
      </w:r>
    </w:p>
    <w:p w:rsidR="00D34B6A" w:rsidRPr="00AB6144" w:rsidRDefault="00C8759F" w:rsidP="00566B15">
      <w:pPr>
        <w:pStyle w:val="SCCLawFirm"/>
        <w:widowControl w:val="0"/>
        <w:spacing w:after="480"/>
        <w:rPr>
          <w:lang w:val="fr-CA"/>
        </w:rPr>
      </w:pPr>
      <w:r w:rsidRPr="00AB6144">
        <w:rPr>
          <w:lang w:val="en-US"/>
        </w:rPr>
        <w:tab/>
      </w:r>
      <w:r w:rsidR="006F5034" w:rsidRPr="00AB6144">
        <w:rPr>
          <w:lang w:val="fr-CA"/>
        </w:rPr>
        <w:t>Procureurs des intervenantes</w:t>
      </w:r>
      <w:r w:rsidRPr="00AB6144">
        <w:rPr>
          <w:lang w:val="fr-CA"/>
        </w:rPr>
        <w:t xml:space="preserve"> </w:t>
      </w:r>
      <w:r w:rsidR="00032FFE" w:rsidRPr="00AB6144">
        <w:rPr>
          <w:lang w:val="fr-CA"/>
        </w:rPr>
        <w:t>l’</w:t>
      </w:r>
      <w:r w:rsidRPr="00AB6144">
        <w:rPr>
          <w:lang w:val="fr-CA"/>
        </w:rPr>
        <w:t>Alliance évangélique du Canada</w:t>
      </w:r>
      <w:r w:rsidR="006F5034" w:rsidRPr="00AB6144">
        <w:rPr>
          <w:lang w:val="fr-CA"/>
        </w:rPr>
        <w:t xml:space="preserve"> et</w:t>
      </w:r>
      <w:r w:rsidR="00032FFE" w:rsidRPr="00AB6144">
        <w:rPr>
          <w:lang w:val="fr-CA"/>
        </w:rPr>
        <w:t xml:space="preserve"> </w:t>
      </w:r>
      <w:r w:rsidR="00ED676B" w:rsidRPr="00AB6144">
        <w:rPr>
          <w:lang w:val="fr-CA"/>
        </w:rPr>
        <w:t>Catholic Civil Rights League</w:t>
      </w:r>
      <w:r w:rsidR="00B104C4" w:rsidRPr="00AB6144">
        <w:rPr>
          <w:lang w:val="fr-CA"/>
        </w:rPr>
        <w:t> :</w:t>
      </w:r>
      <w:r w:rsidR="001672CC" w:rsidRPr="00AB6144">
        <w:rPr>
          <w:lang w:val="fr-CA"/>
        </w:rPr>
        <w:t> </w:t>
      </w:r>
      <w:r w:rsidRPr="00AB6144">
        <w:rPr>
          <w:lang w:val="fr-CA"/>
        </w:rPr>
        <w:t xml:space="preserve">Vincent </w:t>
      </w:r>
      <w:proofErr w:type="spellStart"/>
      <w:r w:rsidRPr="00AB6144">
        <w:rPr>
          <w:lang w:val="fr-CA"/>
        </w:rPr>
        <w:t>Dagenais</w:t>
      </w:r>
      <w:proofErr w:type="spellEnd"/>
      <w:r w:rsidRPr="00AB6144">
        <w:rPr>
          <w:lang w:val="fr-CA"/>
        </w:rPr>
        <w:t xml:space="preserve"> Gibson, Ottawa.</w:t>
      </w:r>
    </w:p>
    <w:p w:rsidR="00D34B6A" w:rsidRPr="00AB6144" w:rsidRDefault="006F5034" w:rsidP="00566B15">
      <w:pPr>
        <w:pStyle w:val="SCCLawFirm"/>
        <w:widowControl w:val="0"/>
        <w:spacing w:after="480"/>
        <w:rPr>
          <w:lang w:val="fr-CA"/>
        </w:rPr>
      </w:pPr>
      <w:r w:rsidRPr="00AB6144">
        <w:rPr>
          <w:lang w:val="fr-CA"/>
        </w:rPr>
        <w:tab/>
        <w:t>Procureur</w:t>
      </w:r>
      <w:r w:rsidR="00C8759F" w:rsidRPr="00AB6144">
        <w:rPr>
          <w:lang w:val="fr-CA"/>
        </w:rPr>
        <w:t xml:space="preserve"> de l</w:t>
      </w:r>
      <w:r w:rsidR="006173FB" w:rsidRPr="00AB6144">
        <w:rPr>
          <w:lang w:val="fr-CA"/>
        </w:rPr>
        <w:t>’</w:t>
      </w:r>
      <w:r w:rsidRPr="00AB6144">
        <w:rPr>
          <w:lang w:val="fr-CA"/>
        </w:rPr>
        <w:t xml:space="preserve">intervenante </w:t>
      </w:r>
      <w:r w:rsidR="00032FFE" w:rsidRPr="00AB6144">
        <w:rPr>
          <w:lang w:val="fr-CA"/>
        </w:rPr>
        <w:t>l’</w:t>
      </w:r>
      <w:r w:rsidR="00C8759F" w:rsidRPr="00AB6144">
        <w:rPr>
          <w:lang w:val="fr-CA"/>
        </w:rPr>
        <w:t>Alliance des chrétiens en droit</w:t>
      </w:r>
      <w:r w:rsidR="00B104C4" w:rsidRPr="00AB6144">
        <w:rPr>
          <w:lang w:val="fr-CA"/>
        </w:rPr>
        <w:t> :</w:t>
      </w:r>
      <w:r w:rsidR="001672CC" w:rsidRPr="00AB6144">
        <w:rPr>
          <w:lang w:val="fr-CA"/>
        </w:rPr>
        <w:t> </w:t>
      </w:r>
      <w:r w:rsidR="00EE06D8" w:rsidRPr="00AB6144">
        <w:rPr>
          <w:lang w:val="fr-CA"/>
        </w:rPr>
        <w:t xml:space="preserve">Alliance des chrétiens en droit, </w:t>
      </w:r>
      <w:r w:rsidR="00C8759F" w:rsidRPr="00AB6144">
        <w:rPr>
          <w:lang w:val="fr-CA"/>
        </w:rPr>
        <w:t>London</w:t>
      </w:r>
      <w:r w:rsidR="000A01BF" w:rsidRPr="00AB6144">
        <w:rPr>
          <w:lang w:val="fr-CA"/>
        </w:rPr>
        <w:t>, Ontario</w:t>
      </w:r>
      <w:r w:rsidR="00C8759F" w:rsidRPr="00AB6144">
        <w:rPr>
          <w:lang w:val="fr-CA"/>
        </w:rPr>
        <w:t>.</w:t>
      </w:r>
    </w:p>
    <w:p w:rsidR="00D34B6A" w:rsidRPr="00AB6144" w:rsidRDefault="006F5034" w:rsidP="00566B15">
      <w:pPr>
        <w:pStyle w:val="SCCLawFirm"/>
        <w:widowControl w:val="0"/>
        <w:spacing w:after="480"/>
        <w:rPr>
          <w:lang w:val="en-US"/>
        </w:rPr>
      </w:pPr>
      <w:r w:rsidRPr="00AB6144">
        <w:rPr>
          <w:lang w:val="fr-CA"/>
        </w:rPr>
        <w:tab/>
      </w:r>
      <w:r w:rsidRPr="00AB6144">
        <w:rPr>
          <w:lang w:val="en-US"/>
        </w:rPr>
        <w:t>Procureur</w:t>
      </w:r>
      <w:r w:rsidR="00C8759F" w:rsidRPr="00AB6144">
        <w:rPr>
          <w:lang w:val="en-US"/>
        </w:rPr>
        <w:t xml:space="preserve"> de </w:t>
      </w:r>
      <w:proofErr w:type="spellStart"/>
      <w:r w:rsidR="00C8759F" w:rsidRPr="00AB6144">
        <w:rPr>
          <w:lang w:val="en-US"/>
        </w:rPr>
        <w:t>l</w:t>
      </w:r>
      <w:r w:rsidR="006173FB" w:rsidRPr="00AB6144">
        <w:rPr>
          <w:lang w:val="en-US"/>
        </w:rPr>
        <w:t>’</w:t>
      </w:r>
      <w:r w:rsidR="00D80460" w:rsidRPr="00AB6144">
        <w:rPr>
          <w:lang w:val="en-US"/>
        </w:rPr>
        <w:t>intervenante</w:t>
      </w:r>
      <w:proofErr w:type="spellEnd"/>
      <w:r w:rsidR="00C8759F" w:rsidRPr="00AB6144">
        <w:rPr>
          <w:lang w:val="en-US"/>
        </w:rPr>
        <w:t xml:space="preserve"> </w:t>
      </w:r>
      <w:r w:rsidR="00D80460" w:rsidRPr="00AB6144">
        <w:t xml:space="preserve">World Sikh Organization of </w:t>
      </w:r>
      <w:proofErr w:type="gramStart"/>
      <w:r w:rsidR="00D80460" w:rsidRPr="00AB6144">
        <w:t>Canada</w:t>
      </w:r>
      <w:r w:rsidR="00B104C4" w:rsidRPr="00AB6144">
        <w:rPr>
          <w:lang w:val="en-US"/>
        </w:rPr>
        <w:t> :</w:t>
      </w:r>
      <w:proofErr w:type="gramEnd"/>
      <w:r w:rsidR="001672CC" w:rsidRPr="00AB6144">
        <w:rPr>
          <w:lang w:val="en-US"/>
        </w:rPr>
        <w:t> </w:t>
      </w:r>
      <w:r w:rsidR="00D80460" w:rsidRPr="00AB6144">
        <w:t>World Sikh Organization of Canada</w:t>
      </w:r>
      <w:r w:rsidR="00C050E2" w:rsidRPr="00AB6144">
        <w:rPr>
          <w:lang w:val="en-US"/>
        </w:rPr>
        <w:t xml:space="preserve">, </w:t>
      </w:r>
      <w:proofErr w:type="spellStart"/>
      <w:r w:rsidR="00C050E2" w:rsidRPr="00AB6144">
        <w:rPr>
          <w:lang w:val="en-US"/>
        </w:rPr>
        <w:t>Newmarket</w:t>
      </w:r>
      <w:proofErr w:type="spellEnd"/>
      <w:r w:rsidR="00C050E2" w:rsidRPr="00AB6144">
        <w:rPr>
          <w:lang w:val="en-US"/>
        </w:rPr>
        <w:t>, Ontario</w:t>
      </w:r>
      <w:r w:rsidR="00C8759F" w:rsidRPr="00AB6144">
        <w:rPr>
          <w:lang w:val="en-US"/>
        </w:rPr>
        <w:t>.</w:t>
      </w:r>
    </w:p>
    <w:p w:rsidR="00D34B6A" w:rsidRPr="00AB6144" w:rsidRDefault="00F500A8" w:rsidP="00566B15">
      <w:pPr>
        <w:pStyle w:val="SCCLawFirm"/>
        <w:widowControl w:val="0"/>
        <w:spacing w:after="480"/>
        <w:rPr>
          <w:lang w:val="fr-CA"/>
        </w:rPr>
      </w:pPr>
      <w:r w:rsidRPr="00AB6144">
        <w:rPr>
          <w:lang w:val="en-US"/>
        </w:rPr>
        <w:tab/>
      </w:r>
      <w:r w:rsidRPr="00AB6144">
        <w:rPr>
          <w:lang w:val="fr-CA"/>
        </w:rPr>
        <w:t>Procureurs</w:t>
      </w:r>
      <w:r w:rsidR="00C8759F" w:rsidRPr="00AB6144">
        <w:rPr>
          <w:lang w:val="fr-CA"/>
        </w:rPr>
        <w:t xml:space="preserve"> de</w:t>
      </w:r>
      <w:r w:rsidRPr="00AB6144">
        <w:rPr>
          <w:lang w:val="fr-CA"/>
        </w:rPr>
        <w:t>s intervenantes</w:t>
      </w:r>
      <w:r w:rsidR="00C8759F" w:rsidRPr="00AB6144">
        <w:rPr>
          <w:lang w:val="fr-CA"/>
        </w:rPr>
        <w:t xml:space="preserve"> </w:t>
      </w:r>
      <w:r w:rsidR="00E04821" w:rsidRPr="00AB6144">
        <w:rPr>
          <w:lang w:val="fr-CA"/>
        </w:rPr>
        <w:t>l’</w:t>
      </w:r>
      <w:r w:rsidR="00C8759F" w:rsidRPr="00AB6144">
        <w:rPr>
          <w:lang w:val="fr-CA"/>
        </w:rPr>
        <w:t xml:space="preserve">Église adventiste du septième jour au </w:t>
      </w:r>
      <w:r w:rsidR="00C8759F" w:rsidRPr="00AB6144">
        <w:rPr>
          <w:lang w:val="fr-CA"/>
        </w:rPr>
        <w:lastRenderedPageBreak/>
        <w:t>Canada</w:t>
      </w:r>
      <w:r w:rsidRPr="00AB6144">
        <w:rPr>
          <w:lang w:val="fr-CA"/>
        </w:rPr>
        <w:t xml:space="preserve"> et </w:t>
      </w:r>
      <w:r w:rsidR="00E04821" w:rsidRPr="00AB6144">
        <w:rPr>
          <w:lang w:val="fr-CA"/>
        </w:rPr>
        <w:t>l’</w:t>
      </w:r>
      <w:r w:rsidRPr="00AB6144">
        <w:rPr>
          <w:lang w:val="fr-CA"/>
        </w:rPr>
        <w:t>Église de Jésus</w:t>
      </w:r>
      <w:r w:rsidR="00B104C4" w:rsidRPr="00AB6144">
        <w:rPr>
          <w:lang w:val="fr-CA"/>
        </w:rPr>
        <w:noBreakHyphen/>
      </w:r>
      <w:r w:rsidRPr="00AB6144">
        <w:rPr>
          <w:lang w:val="fr-CA"/>
        </w:rPr>
        <w:t>Christ des saints des derniers jours au Canada</w:t>
      </w:r>
      <w:r w:rsidR="00B104C4" w:rsidRPr="00AB6144">
        <w:rPr>
          <w:lang w:val="fr-CA"/>
        </w:rPr>
        <w:t> :</w:t>
      </w:r>
      <w:r w:rsidR="001672CC" w:rsidRPr="00AB6144">
        <w:rPr>
          <w:lang w:val="fr-CA"/>
        </w:rPr>
        <w:t> </w:t>
      </w:r>
      <w:r w:rsidR="00C8759F" w:rsidRPr="00AB6144">
        <w:rPr>
          <w:lang w:val="fr-CA"/>
        </w:rPr>
        <w:t>Miller Thomson, Calgary.</w:t>
      </w:r>
    </w:p>
    <w:p w:rsidR="00D34B6A" w:rsidRPr="00AB6144" w:rsidRDefault="00F500A8" w:rsidP="00566B15">
      <w:pPr>
        <w:pStyle w:val="SCCLawFirm"/>
        <w:widowControl w:val="0"/>
        <w:spacing w:after="480"/>
        <w:rPr>
          <w:lang w:val="fr-CA"/>
        </w:rPr>
      </w:pPr>
      <w:r w:rsidRPr="00AB6144">
        <w:rPr>
          <w:lang w:val="fr-CA"/>
        </w:rPr>
        <w:tab/>
        <w:t>Procureur</w:t>
      </w:r>
      <w:r w:rsidR="009E350A" w:rsidRPr="00AB6144">
        <w:rPr>
          <w:lang w:val="fr-CA"/>
        </w:rPr>
        <w:t xml:space="preserve"> </w:t>
      </w:r>
      <w:r w:rsidR="00C8759F" w:rsidRPr="00AB6144">
        <w:rPr>
          <w:lang w:val="fr-CA"/>
        </w:rPr>
        <w:t>de</w:t>
      </w:r>
      <w:r w:rsidRPr="00AB6144">
        <w:rPr>
          <w:lang w:val="fr-CA"/>
        </w:rPr>
        <w:t xml:space="preserve"> l’intervenant </w:t>
      </w:r>
      <w:r w:rsidR="00C8759F" w:rsidRPr="00AB6144">
        <w:rPr>
          <w:lang w:val="fr-CA"/>
        </w:rPr>
        <w:t xml:space="preserve">Justice Centre for </w:t>
      </w:r>
      <w:proofErr w:type="spellStart"/>
      <w:r w:rsidR="00C8759F" w:rsidRPr="00AB6144">
        <w:rPr>
          <w:lang w:val="fr-CA"/>
        </w:rPr>
        <w:t>Constitutional</w:t>
      </w:r>
      <w:proofErr w:type="spellEnd"/>
      <w:r w:rsidR="00C8759F" w:rsidRPr="00AB6144">
        <w:rPr>
          <w:lang w:val="fr-CA"/>
        </w:rPr>
        <w:t xml:space="preserve"> </w:t>
      </w:r>
      <w:proofErr w:type="spellStart"/>
      <w:r w:rsidR="00C8759F" w:rsidRPr="00AB6144">
        <w:rPr>
          <w:lang w:val="fr-CA"/>
        </w:rPr>
        <w:t>Freedoms</w:t>
      </w:r>
      <w:proofErr w:type="spellEnd"/>
      <w:r w:rsidR="00B104C4" w:rsidRPr="00AB6144">
        <w:rPr>
          <w:lang w:val="fr-CA"/>
        </w:rPr>
        <w:t> :</w:t>
      </w:r>
      <w:r w:rsidR="001672CC" w:rsidRPr="00AB6144">
        <w:rPr>
          <w:lang w:val="fr-CA"/>
        </w:rPr>
        <w:t> </w:t>
      </w:r>
      <w:r w:rsidR="00C8759F" w:rsidRPr="00AB6144">
        <w:rPr>
          <w:lang w:val="fr-CA"/>
        </w:rPr>
        <w:t xml:space="preserve">Justice Centre for </w:t>
      </w:r>
      <w:proofErr w:type="spellStart"/>
      <w:r w:rsidR="00C8759F" w:rsidRPr="00AB6144">
        <w:rPr>
          <w:lang w:val="fr-CA"/>
        </w:rPr>
        <w:t>Constitutional</w:t>
      </w:r>
      <w:proofErr w:type="spellEnd"/>
      <w:r w:rsidR="00C8759F" w:rsidRPr="00AB6144">
        <w:rPr>
          <w:lang w:val="fr-CA"/>
        </w:rPr>
        <w:t xml:space="preserve"> </w:t>
      </w:r>
      <w:proofErr w:type="spellStart"/>
      <w:r w:rsidR="00C8759F" w:rsidRPr="00AB6144">
        <w:rPr>
          <w:lang w:val="fr-CA"/>
        </w:rPr>
        <w:t>Freedoms</w:t>
      </w:r>
      <w:proofErr w:type="spellEnd"/>
      <w:r w:rsidR="00C8759F" w:rsidRPr="00AB6144">
        <w:rPr>
          <w:lang w:val="fr-CA"/>
        </w:rPr>
        <w:t>, Calgary.</w:t>
      </w:r>
    </w:p>
    <w:p w:rsidR="00D34B6A" w:rsidRPr="00AB6144" w:rsidRDefault="009E350A" w:rsidP="00566B15">
      <w:pPr>
        <w:pStyle w:val="SCCLawFirm"/>
        <w:widowControl w:val="0"/>
        <w:spacing w:after="480"/>
        <w:rPr>
          <w:lang w:val="fr-CA"/>
        </w:rPr>
      </w:pPr>
      <w:r w:rsidRPr="00AB6144">
        <w:rPr>
          <w:lang w:val="fr-CA"/>
        </w:rPr>
        <w:tab/>
        <w:t>Procureurs</w:t>
      </w:r>
      <w:r w:rsidR="00C8759F" w:rsidRPr="00AB6144">
        <w:rPr>
          <w:lang w:val="fr-CA"/>
        </w:rPr>
        <w:t xml:space="preserve"> de l</w:t>
      </w:r>
      <w:r w:rsidR="006173FB" w:rsidRPr="00AB6144">
        <w:rPr>
          <w:lang w:val="fr-CA"/>
        </w:rPr>
        <w:t>’</w:t>
      </w:r>
      <w:r w:rsidR="00C8759F" w:rsidRPr="00AB6144">
        <w:rPr>
          <w:lang w:val="fr-CA"/>
        </w:rPr>
        <w:t>intervenante British Columbia Civil Liberties Association</w:t>
      </w:r>
      <w:r w:rsidR="00B104C4" w:rsidRPr="00AB6144">
        <w:rPr>
          <w:lang w:val="fr-CA"/>
        </w:rPr>
        <w:t> :</w:t>
      </w:r>
      <w:r w:rsidR="001672CC" w:rsidRPr="00AB6144">
        <w:rPr>
          <w:lang w:val="fr-CA"/>
        </w:rPr>
        <w:t> </w:t>
      </w:r>
      <w:r w:rsidR="00C8759F" w:rsidRPr="00AB6144">
        <w:rPr>
          <w:lang w:val="fr-CA"/>
        </w:rPr>
        <w:t xml:space="preserve">Blake, </w:t>
      </w:r>
      <w:proofErr w:type="spellStart"/>
      <w:r w:rsidR="00C8759F" w:rsidRPr="00AB6144">
        <w:rPr>
          <w:lang w:val="fr-CA"/>
        </w:rPr>
        <w:t>Cassels</w:t>
      </w:r>
      <w:proofErr w:type="spellEnd"/>
      <w:r w:rsidR="00C8759F" w:rsidRPr="00AB6144">
        <w:rPr>
          <w:lang w:val="fr-CA"/>
        </w:rPr>
        <w:t xml:space="preserve"> &amp; </w:t>
      </w:r>
      <w:proofErr w:type="spellStart"/>
      <w:r w:rsidR="00C8759F" w:rsidRPr="00AB6144">
        <w:rPr>
          <w:lang w:val="fr-CA"/>
        </w:rPr>
        <w:t>Gra</w:t>
      </w:r>
      <w:r w:rsidRPr="00AB6144">
        <w:rPr>
          <w:lang w:val="fr-CA"/>
        </w:rPr>
        <w:t>ydon</w:t>
      </w:r>
      <w:proofErr w:type="spellEnd"/>
      <w:r w:rsidR="00C8759F" w:rsidRPr="00AB6144">
        <w:rPr>
          <w:lang w:val="fr-CA"/>
        </w:rPr>
        <w:t>, Vancouver.</w:t>
      </w:r>
    </w:p>
    <w:p w:rsidR="00D34B6A" w:rsidRPr="00AB6144" w:rsidRDefault="009E350A" w:rsidP="00566B15">
      <w:pPr>
        <w:pStyle w:val="SCCLawFirm"/>
        <w:widowControl w:val="0"/>
        <w:rPr>
          <w:lang w:val="fr-CA"/>
        </w:rPr>
      </w:pPr>
      <w:r w:rsidRPr="00AB6144">
        <w:rPr>
          <w:lang w:val="fr-CA"/>
        </w:rPr>
        <w:tab/>
        <w:t>Procureur</w:t>
      </w:r>
      <w:r w:rsidR="00C8759F" w:rsidRPr="00AB6144">
        <w:rPr>
          <w:lang w:val="fr-CA"/>
        </w:rPr>
        <w:t>s de l</w:t>
      </w:r>
      <w:r w:rsidR="006173FB" w:rsidRPr="00AB6144">
        <w:rPr>
          <w:lang w:val="fr-CA"/>
        </w:rPr>
        <w:t>’</w:t>
      </w:r>
      <w:r w:rsidRPr="00AB6144">
        <w:rPr>
          <w:lang w:val="fr-CA"/>
        </w:rPr>
        <w:t>intervenante</w:t>
      </w:r>
      <w:r w:rsidR="00C8759F" w:rsidRPr="00AB6144">
        <w:rPr>
          <w:lang w:val="fr-CA"/>
        </w:rPr>
        <w:t xml:space="preserve"> </w:t>
      </w:r>
      <w:r w:rsidR="00E04821" w:rsidRPr="00AB6144">
        <w:rPr>
          <w:lang w:val="fr-CA"/>
        </w:rPr>
        <w:t>l’</w:t>
      </w:r>
      <w:r w:rsidR="00C8759F" w:rsidRPr="00AB6144">
        <w:rPr>
          <w:lang w:val="fr-CA"/>
        </w:rPr>
        <w:t xml:space="preserve">Association </w:t>
      </w:r>
      <w:r w:rsidR="00D80460" w:rsidRPr="00AB6144">
        <w:rPr>
          <w:lang w:val="fr-CA"/>
        </w:rPr>
        <w:t>c</w:t>
      </w:r>
      <w:r w:rsidR="00C8759F" w:rsidRPr="00AB6144">
        <w:rPr>
          <w:lang w:val="fr-CA"/>
        </w:rPr>
        <w:t xml:space="preserve">anadienne des </w:t>
      </w:r>
      <w:r w:rsidR="00D80460" w:rsidRPr="00AB6144">
        <w:rPr>
          <w:lang w:val="fr-CA"/>
        </w:rPr>
        <w:t>a</w:t>
      </w:r>
      <w:r w:rsidRPr="00AB6144">
        <w:rPr>
          <w:lang w:val="fr-CA"/>
        </w:rPr>
        <w:t xml:space="preserve">vocats </w:t>
      </w:r>
      <w:r w:rsidR="00D80460" w:rsidRPr="00AB6144">
        <w:rPr>
          <w:lang w:val="fr-CA"/>
        </w:rPr>
        <w:t>m</w:t>
      </w:r>
      <w:r w:rsidRPr="00AB6144">
        <w:rPr>
          <w:lang w:val="fr-CA"/>
        </w:rPr>
        <w:t>usulmans</w:t>
      </w:r>
      <w:r w:rsidR="00B104C4" w:rsidRPr="00AB6144">
        <w:rPr>
          <w:lang w:val="fr-CA"/>
        </w:rPr>
        <w:t> :</w:t>
      </w:r>
      <w:r w:rsidR="001672CC" w:rsidRPr="00AB6144">
        <w:rPr>
          <w:lang w:val="fr-CA"/>
        </w:rPr>
        <w:t> </w:t>
      </w:r>
      <w:r w:rsidRPr="00AB6144">
        <w:rPr>
          <w:lang w:val="fr-CA"/>
        </w:rPr>
        <w:t>Abrahams</w:t>
      </w:r>
      <w:r w:rsidR="00C8759F" w:rsidRPr="00AB6144">
        <w:rPr>
          <w:lang w:val="fr-CA"/>
        </w:rPr>
        <w:t>, Toronto.</w:t>
      </w:r>
    </w:p>
    <w:sectPr w:rsidR="00D34B6A" w:rsidRPr="00AB614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75" w:rsidRDefault="004A2475">
      <w:r>
        <w:separator/>
      </w:r>
    </w:p>
  </w:endnote>
  <w:endnote w:type="continuationSeparator" w:id="0">
    <w:p w:rsidR="004A2475" w:rsidRDefault="004A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A0" w:rsidRDefault="00FC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A0" w:rsidRDefault="00FC0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A0" w:rsidRDefault="00FC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75" w:rsidRDefault="004A2475">
      <w:r>
        <w:separator/>
      </w:r>
    </w:p>
  </w:footnote>
  <w:footnote w:type="continuationSeparator" w:id="0">
    <w:p w:rsidR="004A2475" w:rsidRDefault="004A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A0" w:rsidRDefault="00FC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A0" w:rsidRDefault="00FC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9896589E"/>
    <w:lvl w:ilvl="0">
      <w:start w:val="1"/>
      <w:numFmt w:val="decimal"/>
      <w:pStyle w:val="ParaNoNdepar-AltN"/>
      <w:lvlText w:val="[%1]"/>
      <w:lvlJc w:val="left"/>
      <w:pPr>
        <w:tabs>
          <w:tab w:val="num" w:pos="1152"/>
        </w:tabs>
        <w:ind w:left="0" w:firstLine="0"/>
      </w:pPr>
      <w:rPr>
        <w:rFonts w:ascii="Times New Roman" w:hAnsi="Times New Roman" w:hint="default"/>
        <w:strike w:val="0"/>
        <w:color w:val="auto"/>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41B"/>
    <w:rsid w:val="0002075B"/>
    <w:rsid w:val="00023FC7"/>
    <w:rsid w:val="00025198"/>
    <w:rsid w:val="00032FFE"/>
    <w:rsid w:val="000578A3"/>
    <w:rsid w:val="0006079E"/>
    <w:rsid w:val="000648CC"/>
    <w:rsid w:val="000A01BF"/>
    <w:rsid w:val="000C59B8"/>
    <w:rsid w:val="000C6AF0"/>
    <w:rsid w:val="000D0A77"/>
    <w:rsid w:val="000D6917"/>
    <w:rsid w:val="000E454D"/>
    <w:rsid w:val="000E7225"/>
    <w:rsid w:val="000F7993"/>
    <w:rsid w:val="00104F33"/>
    <w:rsid w:val="00111DE2"/>
    <w:rsid w:val="00116B38"/>
    <w:rsid w:val="0012379A"/>
    <w:rsid w:val="00130F16"/>
    <w:rsid w:val="00135406"/>
    <w:rsid w:val="00135972"/>
    <w:rsid w:val="001426A9"/>
    <w:rsid w:val="001511E9"/>
    <w:rsid w:val="00154D7C"/>
    <w:rsid w:val="001570B0"/>
    <w:rsid w:val="0015752C"/>
    <w:rsid w:val="00157737"/>
    <w:rsid w:val="001609FE"/>
    <w:rsid w:val="0016268C"/>
    <w:rsid w:val="00163FC4"/>
    <w:rsid w:val="00165277"/>
    <w:rsid w:val="001672CC"/>
    <w:rsid w:val="00170592"/>
    <w:rsid w:val="001720F7"/>
    <w:rsid w:val="00183FC1"/>
    <w:rsid w:val="00184591"/>
    <w:rsid w:val="00195D83"/>
    <w:rsid w:val="001A00C1"/>
    <w:rsid w:val="001A55DC"/>
    <w:rsid w:val="001B33E0"/>
    <w:rsid w:val="001B4573"/>
    <w:rsid w:val="001C779F"/>
    <w:rsid w:val="001D2AC1"/>
    <w:rsid w:val="001D4E88"/>
    <w:rsid w:val="001E68F7"/>
    <w:rsid w:val="001E6C71"/>
    <w:rsid w:val="00200F5C"/>
    <w:rsid w:val="00207003"/>
    <w:rsid w:val="00207291"/>
    <w:rsid w:val="00220FC2"/>
    <w:rsid w:val="002222F4"/>
    <w:rsid w:val="00224FC0"/>
    <w:rsid w:val="00225EA4"/>
    <w:rsid w:val="00226EAF"/>
    <w:rsid w:val="00231F3A"/>
    <w:rsid w:val="002406EE"/>
    <w:rsid w:val="00243EC8"/>
    <w:rsid w:val="00270D93"/>
    <w:rsid w:val="002745CC"/>
    <w:rsid w:val="00281961"/>
    <w:rsid w:val="00284C48"/>
    <w:rsid w:val="002A7A00"/>
    <w:rsid w:val="002B6FBE"/>
    <w:rsid w:val="002B7924"/>
    <w:rsid w:val="002C10A6"/>
    <w:rsid w:val="002D28C3"/>
    <w:rsid w:val="002D39A4"/>
    <w:rsid w:val="002E6705"/>
    <w:rsid w:val="0030329A"/>
    <w:rsid w:val="0031086F"/>
    <w:rsid w:val="00310E39"/>
    <w:rsid w:val="0031414C"/>
    <w:rsid w:val="00314E01"/>
    <w:rsid w:val="0032089D"/>
    <w:rsid w:val="00327253"/>
    <w:rsid w:val="003310DE"/>
    <w:rsid w:val="003323B0"/>
    <w:rsid w:val="00340A49"/>
    <w:rsid w:val="00347489"/>
    <w:rsid w:val="0035169A"/>
    <w:rsid w:val="0035259D"/>
    <w:rsid w:val="00353013"/>
    <w:rsid w:val="00364B18"/>
    <w:rsid w:val="00367353"/>
    <w:rsid w:val="00372983"/>
    <w:rsid w:val="00390BB5"/>
    <w:rsid w:val="003A125D"/>
    <w:rsid w:val="003A4C70"/>
    <w:rsid w:val="003A6BC2"/>
    <w:rsid w:val="003B215F"/>
    <w:rsid w:val="003B7302"/>
    <w:rsid w:val="003C799C"/>
    <w:rsid w:val="003D0399"/>
    <w:rsid w:val="003D37DD"/>
    <w:rsid w:val="003E1C71"/>
    <w:rsid w:val="003F327B"/>
    <w:rsid w:val="00406166"/>
    <w:rsid w:val="00406809"/>
    <w:rsid w:val="0040704B"/>
    <w:rsid w:val="00407A57"/>
    <w:rsid w:val="00410A55"/>
    <w:rsid w:val="00411300"/>
    <w:rsid w:val="00413F17"/>
    <w:rsid w:val="00415417"/>
    <w:rsid w:val="00420A24"/>
    <w:rsid w:val="00426659"/>
    <w:rsid w:val="00450352"/>
    <w:rsid w:val="00454BDB"/>
    <w:rsid w:val="00465132"/>
    <w:rsid w:val="00466D7D"/>
    <w:rsid w:val="00480C90"/>
    <w:rsid w:val="0048396F"/>
    <w:rsid w:val="00493C18"/>
    <w:rsid w:val="004A2475"/>
    <w:rsid w:val="004A3598"/>
    <w:rsid w:val="004A600C"/>
    <w:rsid w:val="004A6118"/>
    <w:rsid w:val="004C2548"/>
    <w:rsid w:val="004C478D"/>
    <w:rsid w:val="004D7D95"/>
    <w:rsid w:val="004E2486"/>
    <w:rsid w:val="004E2C26"/>
    <w:rsid w:val="005125A8"/>
    <w:rsid w:val="00512E69"/>
    <w:rsid w:val="00517549"/>
    <w:rsid w:val="00520ABC"/>
    <w:rsid w:val="00521AE8"/>
    <w:rsid w:val="00527180"/>
    <w:rsid w:val="00545319"/>
    <w:rsid w:val="00555291"/>
    <w:rsid w:val="0055604D"/>
    <w:rsid w:val="00566AD1"/>
    <w:rsid w:val="00566B15"/>
    <w:rsid w:val="00583EDE"/>
    <w:rsid w:val="00586643"/>
    <w:rsid w:val="00586C20"/>
    <w:rsid w:val="00590615"/>
    <w:rsid w:val="005A6079"/>
    <w:rsid w:val="005C539B"/>
    <w:rsid w:val="005C7EC8"/>
    <w:rsid w:val="005D3305"/>
    <w:rsid w:val="005E4698"/>
    <w:rsid w:val="00603924"/>
    <w:rsid w:val="00610539"/>
    <w:rsid w:val="00613969"/>
    <w:rsid w:val="006173FB"/>
    <w:rsid w:val="00625C35"/>
    <w:rsid w:val="00641C3A"/>
    <w:rsid w:val="00641F14"/>
    <w:rsid w:val="00641FA4"/>
    <w:rsid w:val="00647E49"/>
    <w:rsid w:val="00647F42"/>
    <w:rsid w:val="00656313"/>
    <w:rsid w:val="006565F4"/>
    <w:rsid w:val="006760B3"/>
    <w:rsid w:val="00684EEA"/>
    <w:rsid w:val="006927A9"/>
    <w:rsid w:val="0069689B"/>
    <w:rsid w:val="006A3C1C"/>
    <w:rsid w:val="006B192E"/>
    <w:rsid w:val="006B5FF5"/>
    <w:rsid w:val="006C1889"/>
    <w:rsid w:val="006F30AF"/>
    <w:rsid w:val="006F5034"/>
    <w:rsid w:val="00701759"/>
    <w:rsid w:val="00705C15"/>
    <w:rsid w:val="007110F6"/>
    <w:rsid w:val="007208D1"/>
    <w:rsid w:val="00743B35"/>
    <w:rsid w:val="00744518"/>
    <w:rsid w:val="00747288"/>
    <w:rsid w:val="00747DD3"/>
    <w:rsid w:val="007549C8"/>
    <w:rsid w:val="00766D14"/>
    <w:rsid w:val="00767A0F"/>
    <w:rsid w:val="0078107E"/>
    <w:rsid w:val="00791272"/>
    <w:rsid w:val="007A05F6"/>
    <w:rsid w:val="007B6F4A"/>
    <w:rsid w:val="007C18BD"/>
    <w:rsid w:val="007C6D0D"/>
    <w:rsid w:val="007E0BDF"/>
    <w:rsid w:val="007E1C47"/>
    <w:rsid w:val="007E337A"/>
    <w:rsid w:val="007E5C70"/>
    <w:rsid w:val="007E6EDB"/>
    <w:rsid w:val="007F2FF5"/>
    <w:rsid w:val="007F3F08"/>
    <w:rsid w:val="00804CC6"/>
    <w:rsid w:val="00817190"/>
    <w:rsid w:val="0082530E"/>
    <w:rsid w:val="008260E2"/>
    <w:rsid w:val="008322BD"/>
    <w:rsid w:val="00832FE0"/>
    <w:rsid w:val="00834F73"/>
    <w:rsid w:val="008468B2"/>
    <w:rsid w:val="00864C8A"/>
    <w:rsid w:val="00864CF8"/>
    <w:rsid w:val="00874914"/>
    <w:rsid w:val="00891422"/>
    <w:rsid w:val="00892E1A"/>
    <w:rsid w:val="0089589E"/>
    <w:rsid w:val="008B660A"/>
    <w:rsid w:val="008C01DA"/>
    <w:rsid w:val="008C129D"/>
    <w:rsid w:val="008D129A"/>
    <w:rsid w:val="008D23D4"/>
    <w:rsid w:val="008D5129"/>
    <w:rsid w:val="008E4696"/>
    <w:rsid w:val="008F2674"/>
    <w:rsid w:val="008F44C0"/>
    <w:rsid w:val="008F78E9"/>
    <w:rsid w:val="009179F9"/>
    <w:rsid w:val="00917C7A"/>
    <w:rsid w:val="00927571"/>
    <w:rsid w:val="00933E5E"/>
    <w:rsid w:val="00935218"/>
    <w:rsid w:val="00937C52"/>
    <w:rsid w:val="009403F3"/>
    <w:rsid w:val="00954A3C"/>
    <w:rsid w:val="009555B7"/>
    <w:rsid w:val="009567AA"/>
    <w:rsid w:val="009602C9"/>
    <w:rsid w:val="00967374"/>
    <w:rsid w:val="00973A4C"/>
    <w:rsid w:val="00991784"/>
    <w:rsid w:val="009A343A"/>
    <w:rsid w:val="009B2C4C"/>
    <w:rsid w:val="009B2F23"/>
    <w:rsid w:val="009B57B3"/>
    <w:rsid w:val="009B69BE"/>
    <w:rsid w:val="009D2920"/>
    <w:rsid w:val="009D5AEB"/>
    <w:rsid w:val="009E350A"/>
    <w:rsid w:val="009E41C8"/>
    <w:rsid w:val="009E546D"/>
    <w:rsid w:val="009E632F"/>
    <w:rsid w:val="009F0E33"/>
    <w:rsid w:val="00A149DF"/>
    <w:rsid w:val="00A1755C"/>
    <w:rsid w:val="00A21B90"/>
    <w:rsid w:val="00A22AAC"/>
    <w:rsid w:val="00A31106"/>
    <w:rsid w:val="00A41805"/>
    <w:rsid w:val="00A51882"/>
    <w:rsid w:val="00A52AFB"/>
    <w:rsid w:val="00A548CB"/>
    <w:rsid w:val="00A5521C"/>
    <w:rsid w:val="00A643E7"/>
    <w:rsid w:val="00A722AB"/>
    <w:rsid w:val="00A73C38"/>
    <w:rsid w:val="00A85A6E"/>
    <w:rsid w:val="00A8700F"/>
    <w:rsid w:val="00A921A7"/>
    <w:rsid w:val="00AA6275"/>
    <w:rsid w:val="00AB2470"/>
    <w:rsid w:val="00AB6144"/>
    <w:rsid w:val="00AB670D"/>
    <w:rsid w:val="00AD35F0"/>
    <w:rsid w:val="00AF03C5"/>
    <w:rsid w:val="00B000D8"/>
    <w:rsid w:val="00B00F75"/>
    <w:rsid w:val="00B0566E"/>
    <w:rsid w:val="00B070F5"/>
    <w:rsid w:val="00B104C4"/>
    <w:rsid w:val="00B145B6"/>
    <w:rsid w:val="00B24371"/>
    <w:rsid w:val="00B279EB"/>
    <w:rsid w:val="00B50C81"/>
    <w:rsid w:val="00B557F8"/>
    <w:rsid w:val="00B815FC"/>
    <w:rsid w:val="00B84867"/>
    <w:rsid w:val="00B93FBC"/>
    <w:rsid w:val="00BA07DA"/>
    <w:rsid w:val="00BA7DA0"/>
    <w:rsid w:val="00BB2EE4"/>
    <w:rsid w:val="00BB4C92"/>
    <w:rsid w:val="00BC2108"/>
    <w:rsid w:val="00BC4095"/>
    <w:rsid w:val="00BD0E9E"/>
    <w:rsid w:val="00BD1BEC"/>
    <w:rsid w:val="00BD32FF"/>
    <w:rsid w:val="00BD7858"/>
    <w:rsid w:val="00BF6FE9"/>
    <w:rsid w:val="00C02092"/>
    <w:rsid w:val="00C050E2"/>
    <w:rsid w:val="00C22AF6"/>
    <w:rsid w:val="00C24D91"/>
    <w:rsid w:val="00C26DB2"/>
    <w:rsid w:val="00C53F14"/>
    <w:rsid w:val="00C600CF"/>
    <w:rsid w:val="00C6084F"/>
    <w:rsid w:val="00C62A66"/>
    <w:rsid w:val="00C66359"/>
    <w:rsid w:val="00C71458"/>
    <w:rsid w:val="00C73BA8"/>
    <w:rsid w:val="00C77613"/>
    <w:rsid w:val="00C828E7"/>
    <w:rsid w:val="00C8566B"/>
    <w:rsid w:val="00C86719"/>
    <w:rsid w:val="00C8759F"/>
    <w:rsid w:val="00C921DD"/>
    <w:rsid w:val="00CA6391"/>
    <w:rsid w:val="00CC2EE7"/>
    <w:rsid w:val="00CE036E"/>
    <w:rsid w:val="00CE305D"/>
    <w:rsid w:val="00CE3171"/>
    <w:rsid w:val="00CF1601"/>
    <w:rsid w:val="00D0172F"/>
    <w:rsid w:val="00D01E33"/>
    <w:rsid w:val="00D068A7"/>
    <w:rsid w:val="00D165D9"/>
    <w:rsid w:val="00D17476"/>
    <w:rsid w:val="00D17B0E"/>
    <w:rsid w:val="00D32086"/>
    <w:rsid w:val="00D3408F"/>
    <w:rsid w:val="00D34B6A"/>
    <w:rsid w:val="00D37A3F"/>
    <w:rsid w:val="00D4431D"/>
    <w:rsid w:val="00D4667A"/>
    <w:rsid w:val="00D55857"/>
    <w:rsid w:val="00D6290E"/>
    <w:rsid w:val="00D63A1C"/>
    <w:rsid w:val="00D7516F"/>
    <w:rsid w:val="00D80460"/>
    <w:rsid w:val="00D95F8E"/>
    <w:rsid w:val="00DA0590"/>
    <w:rsid w:val="00DC1739"/>
    <w:rsid w:val="00DC1788"/>
    <w:rsid w:val="00DE319C"/>
    <w:rsid w:val="00DE7624"/>
    <w:rsid w:val="00DF0CA8"/>
    <w:rsid w:val="00DF12F3"/>
    <w:rsid w:val="00DF1A44"/>
    <w:rsid w:val="00DF2B48"/>
    <w:rsid w:val="00DF49A7"/>
    <w:rsid w:val="00E04821"/>
    <w:rsid w:val="00E07EE2"/>
    <w:rsid w:val="00E07FD1"/>
    <w:rsid w:val="00E228E8"/>
    <w:rsid w:val="00E24573"/>
    <w:rsid w:val="00E25E1E"/>
    <w:rsid w:val="00E27EE7"/>
    <w:rsid w:val="00E35404"/>
    <w:rsid w:val="00E45109"/>
    <w:rsid w:val="00E47B7A"/>
    <w:rsid w:val="00E5539F"/>
    <w:rsid w:val="00E56A44"/>
    <w:rsid w:val="00E60269"/>
    <w:rsid w:val="00E81A2D"/>
    <w:rsid w:val="00E83C6B"/>
    <w:rsid w:val="00E93C48"/>
    <w:rsid w:val="00E97830"/>
    <w:rsid w:val="00EA6F23"/>
    <w:rsid w:val="00ED56E5"/>
    <w:rsid w:val="00ED61C2"/>
    <w:rsid w:val="00ED676B"/>
    <w:rsid w:val="00EE06D8"/>
    <w:rsid w:val="00EE0830"/>
    <w:rsid w:val="00EE33A2"/>
    <w:rsid w:val="00EE6CB8"/>
    <w:rsid w:val="00EF0683"/>
    <w:rsid w:val="00EF0827"/>
    <w:rsid w:val="00F0070C"/>
    <w:rsid w:val="00F00E92"/>
    <w:rsid w:val="00F00EB7"/>
    <w:rsid w:val="00F124B2"/>
    <w:rsid w:val="00F24D1C"/>
    <w:rsid w:val="00F25236"/>
    <w:rsid w:val="00F36AB6"/>
    <w:rsid w:val="00F37A09"/>
    <w:rsid w:val="00F409CE"/>
    <w:rsid w:val="00F4379D"/>
    <w:rsid w:val="00F500A8"/>
    <w:rsid w:val="00F50D2D"/>
    <w:rsid w:val="00F52247"/>
    <w:rsid w:val="00F54F78"/>
    <w:rsid w:val="00F56C8B"/>
    <w:rsid w:val="00F62639"/>
    <w:rsid w:val="00F66810"/>
    <w:rsid w:val="00F81BA2"/>
    <w:rsid w:val="00F84DF4"/>
    <w:rsid w:val="00F85C97"/>
    <w:rsid w:val="00FA4A90"/>
    <w:rsid w:val="00FB3799"/>
    <w:rsid w:val="00FB37D2"/>
    <w:rsid w:val="00FC07A0"/>
    <w:rsid w:val="00FC176B"/>
    <w:rsid w:val="00FC4EFB"/>
    <w:rsid w:val="00FD068D"/>
    <w:rsid w:val="00FD1B07"/>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FB3799"/>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FB3799"/>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A3C1C"/>
    <w:pPr>
      <w:spacing w:after="480"/>
    </w:pPr>
    <w:rPr>
      <w:rFonts w:eastAsiaTheme="minorHAnsi" w:cstheme="minorBidi"/>
      <w:szCs w:val="22"/>
      <w:lang w:eastAsia="en-US"/>
    </w:rPr>
  </w:style>
  <w:style w:type="paragraph" w:customStyle="1" w:styleId="SCCCoram">
    <w:name w:val="SCC.Coram"/>
    <w:basedOn w:val="Normal"/>
    <w:next w:val="Normal"/>
    <w:link w:val="SCCCoramChar"/>
    <w:rsid w:val="006A3C1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A3C1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A3C1C"/>
    <w:rPr>
      <w:rFonts w:eastAsiaTheme="minorHAnsi" w:cstheme="minorBidi"/>
      <w:sz w:val="24"/>
      <w:szCs w:val="22"/>
      <w:lang w:eastAsia="en-US"/>
    </w:rPr>
  </w:style>
  <w:style w:type="character" w:customStyle="1" w:styleId="SCCBanSummaryChar">
    <w:name w:val="SCC.BanSummary Char"/>
    <w:basedOn w:val="DefaultParagraphFont"/>
    <w:link w:val="SCCBanSummary"/>
    <w:rsid w:val="006A3C1C"/>
    <w:rPr>
      <w:b/>
      <w:sz w:val="24"/>
    </w:rPr>
  </w:style>
  <w:style w:type="table" w:styleId="TableGrid">
    <w:name w:val="Table Grid"/>
    <w:basedOn w:val="TableNormal"/>
    <w:uiPriority w:val="59"/>
    <w:rsid w:val="006A3C1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A3C1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A3C1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A3C1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A3C1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A3C1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A3C1C"/>
    <w:pPr>
      <w:numPr>
        <w:ilvl w:val="2"/>
      </w:numPr>
      <w:outlineLvl w:val="2"/>
    </w:pPr>
  </w:style>
  <w:style w:type="paragraph" w:customStyle="1" w:styleId="Title4LevelTitre4Niveau">
    <w:name w:val="Title 4 Level / Titre 4 Niveau"/>
    <w:basedOn w:val="Title3LevelTitre3Niveau"/>
    <w:next w:val="ParaNoNdepar-AltN"/>
    <w:uiPriority w:val="4"/>
    <w:qFormat/>
    <w:rsid w:val="006A3C1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A3C1C"/>
    <w:pPr>
      <w:numPr>
        <w:ilvl w:val="4"/>
      </w:numPr>
      <w:outlineLvl w:val="4"/>
    </w:pPr>
  </w:style>
  <w:style w:type="paragraph" w:styleId="TOC1">
    <w:name w:val="toc 1"/>
    <w:basedOn w:val="Normal"/>
    <w:next w:val="Normal"/>
    <w:autoRedefine/>
    <w:uiPriority w:val="39"/>
    <w:unhideWhenUsed/>
    <w:rsid w:val="006A3C1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A3C1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A3C1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A3C1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A3C1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A3C1C"/>
    <w:pPr>
      <w:tabs>
        <w:tab w:val="left" w:pos="2160"/>
        <w:tab w:val="right" w:leader="dot" w:pos="8270"/>
      </w:tabs>
      <w:spacing w:after="100"/>
      <w:ind w:left="1800"/>
    </w:pPr>
    <w:rPr>
      <w:noProof/>
    </w:rPr>
  </w:style>
  <w:style w:type="table" w:customStyle="1" w:styleId="TableGrid1">
    <w:name w:val="Table Grid1"/>
    <w:basedOn w:val="TableNormal"/>
    <w:uiPriority w:val="59"/>
    <w:rsid w:val="006A3C1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A3C1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A3C1C"/>
    <w:pPr>
      <w:numPr>
        <w:ilvl w:val="5"/>
      </w:numPr>
      <w:outlineLvl w:val="5"/>
    </w:pPr>
    <w:rPr>
      <w:i/>
      <w:u w:val="none"/>
    </w:rPr>
  </w:style>
  <w:style w:type="paragraph" w:styleId="FootnoteText">
    <w:name w:val="footnote text"/>
    <w:basedOn w:val="Normal"/>
    <w:link w:val="FootnoteTextChar"/>
    <w:uiPriority w:val="99"/>
    <w:unhideWhenUsed/>
    <w:rsid w:val="006A3C1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A3C1C"/>
  </w:style>
  <w:style w:type="character" w:styleId="FootnoteReference">
    <w:name w:val="footnote reference"/>
    <w:basedOn w:val="DefaultParagraphFont"/>
    <w:uiPriority w:val="99"/>
    <w:semiHidden/>
    <w:unhideWhenUsed/>
    <w:rsid w:val="006A3C1C"/>
    <w:rPr>
      <w:vertAlign w:val="superscript"/>
    </w:rPr>
  </w:style>
  <w:style w:type="character" w:customStyle="1" w:styleId="nowrap">
    <w:name w:val="nowrap"/>
    <w:basedOn w:val="DefaultParagraphFont"/>
    <w:rsid w:val="006A3C1C"/>
  </w:style>
  <w:style w:type="table" w:customStyle="1" w:styleId="TableGrid2">
    <w:name w:val="Table Grid2"/>
    <w:basedOn w:val="TableNormal"/>
    <w:next w:val="TableGrid"/>
    <w:uiPriority w:val="59"/>
    <w:rsid w:val="006A3C1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C176B"/>
    <w:rPr>
      <w:lang w:val="fr-CA"/>
    </w:rPr>
  </w:style>
  <w:style w:type="paragraph" w:customStyle="1" w:styleId="SCCLsocPrefix">
    <w:name w:val="SCC.Lsoc.Prefix"/>
    <w:basedOn w:val="Normal"/>
    <w:next w:val="Normal"/>
    <w:link w:val="SCCLsocPrefixChar"/>
    <w:rsid w:val="00FC176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C176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7A3B-7859-40B0-85D6-640C071A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7246</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2018-05-31T17:57:00Z</dcterms:created>
  <dcterms:modified xsi:type="dcterms:W3CDTF">2019-03-25T19:04:00Z</dcterms:modified>
</cp:coreProperties>
</file>