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2B6" w:rsidRDefault="002A02B6" w:rsidP="002F5296">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3.9pt" o:ole="">
            <v:imagedata r:id="rId7" o:title=""/>
          </v:shape>
          <o:OLEObject Type="Embed" ProgID="Presentations.Drawing.13" ShapeID="_x0000_i1025" DrawAspect="Content" ObjectID="_1616399260" r:id="rId8"/>
        </w:object>
      </w:r>
      <w:bookmarkEnd w:id="0"/>
      <w:r>
        <w:t xml:space="preserve"> </w:t>
      </w:r>
      <w:r>
        <w:ptab w:relativeTo="margin" w:alignment="right" w:leader="none"/>
      </w:r>
    </w:p>
    <w:p w:rsidR="002A02B6" w:rsidRDefault="002A02B6" w:rsidP="002A02B6">
      <w:pPr>
        <w:pStyle w:val="Header"/>
      </w:pPr>
    </w:p>
    <w:p w:rsidR="002A02B6" w:rsidRPr="001E12E2" w:rsidRDefault="002A02B6" w:rsidP="002A02B6">
      <w:pPr>
        <w:jc w:val="center"/>
        <w:rPr>
          <w:b/>
        </w:rPr>
      </w:pPr>
      <w:r w:rsidRPr="001E12E2">
        <w:rPr>
          <w:b/>
        </w:rPr>
        <w:t>COUR SUPRÊME DU CANADA</w:t>
      </w:r>
    </w:p>
    <w:p w:rsidR="002A02B6" w:rsidRDefault="002A02B6" w:rsidP="002A02B6"/>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030"/>
        <w:gridCol w:w="3546"/>
      </w:tblGrid>
      <w:tr w:rsidR="002A02B6" w:rsidRPr="001E12E2" w:rsidTr="00412C45">
        <w:trPr>
          <w:cantSplit/>
        </w:trPr>
        <w:tc>
          <w:tcPr>
            <w:tcW w:w="6030" w:type="dxa"/>
          </w:tcPr>
          <w:p w:rsidR="002A02B6" w:rsidRPr="002A02B6" w:rsidRDefault="002A02B6" w:rsidP="00412C45">
            <w:pPr>
              <w:rPr>
                <w:lang w:val="fr-CA"/>
              </w:rPr>
            </w:pPr>
            <w:r w:rsidRPr="002A02B6">
              <w:rPr>
                <w:b/>
                <w:smallCaps/>
                <w:lang w:val="fr-CA"/>
              </w:rPr>
              <w:t>Référence :</w:t>
            </w:r>
            <w:r w:rsidRPr="002A02B6">
              <w:rPr>
                <w:lang w:val="fr-CA"/>
              </w:rPr>
              <w:t xml:space="preserve"> R. </w:t>
            </w:r>
            <w:r w:rsidRPr="002A02B6">
              <w:rPr>
                <w:i/>
                <w:lang w:val="fr-CA"/>
              </w:rPr>
              <w:t>c.</w:t>
            </w:r>
            <w:r w:rsidRPr="002A02B6">
              <w:rPr>
                <w:lang w:val="fr-CA"/>
              </w:rPr>
              <w:t xml:space="preserve"> Suter, 2018 CSC 34</w:t>
            </w:r>
            <w:r>
              <w:rPr>
                <w:lang w:val="fr-CA"/>
              </w:rPr>
              <w:t>, [2018] 2 R.C.S. 496</w:t>
            </w:r>
          </w:p>
        </w:tc>
        <w:tc>
          <w:tcPr>
            <w:tcW w:w="3546" w:type="dxa"/>
          </w:tcPr>
          <w:p w:rsidR="002A02B6" w:rsidRPr="002A02B6" w:rsidRDefault="002A02B6" w:rsidP="00412C45">
            <w:pPr>
              <w:rPr>
                <w:lang w:val="fr-CA"/>
              </w:rPr>
            </w:pPr>
            <w:r w:rsidRPr="002A02B6">
              <w:rPr>
                <w:b/>
                <w:smallCaps/>
                <w:lang w:val="fr-CA"/>
              </w:rPr>
              <w:t>Appel entendu :</w:t>
            </w:r>
            <w:r w:rsidRPr="002A02B6">
              <w:rPr>
                <w:lang w:val="fr-CA"/>
              </w:rPr>
              <w:t xml:space="preserve"> 11 octobre 2017</w:t>
            </w:r>
          </w:p>
          <w:p w:rsidR="002A02B6" w:rsidRPr="002A02B6" w:rsidRDefault="002A02B6" w:rsidP="00412C45">
            <w:pPr>
              <w:rPr>
                <w:lang w:val="fr-CA"/>
              </w:rPr>
            </w:pPr>
            <w:r w:rsidRPr="002A02B6">
              <w:rPr>
                <w:b/>
                <w:smallCaps/>
                <w:lang w:val="fr-CA"/>
              </w:rPr>
              <w:t>Jugement rendu :</w:t>
            </w:r>
            <w:r w:rsidRPr="002A02B6">
              <w:rPr>
                <w:lang w:val="fr-CA"/>
              </w:rPr>
              <w:t xml:space="preserve"> 29 juin 2018</w:t>
            </w:r>
          </w:p>
          <w:p w:rsidR="002A02B6" w:rsidRPr="001E12E2" w:rsidRDefault="002A02B6" w:rsidP="00412C45">
            <w:r w:rsidRPr="001E12E2">
              <w:rPr>
                <w:b/>
                <w:smallCaps/>
              </w:rPr>
              <w:t>Do</w:t>
            </w:r>
            <w:r>
              <w:rPr>
                <w:b/>
                <w:smallCaps/>
              </w:rPr>
              <w:t>ssier :</w:t>
            </w:r>
            <w:r w:rsidRPr="001E12E2">
              <w:t xml:space="preserve"> </w:t>
            </w:r>
            <w:r>
              <w:t>37247</w:t>
            </w:r>
          </w:p>
        </w:tc>
      </w:tr>
    </w:tbl>
    <w:p w:rsidR="002A02B6" w:rsidRPr="001E12E2" w:rsidRDefault="002A02B6" w:rsidP="002A02B6"/>
    <w:p w:rsidR="002A02B6" w:rsidRDefault="002A02B6" w:rsidP="002A02B6">
      <w:pPr>
        <w:pStyle w:val="SCCLsocPrefix"/>
      </w:pPr>
      <w:r>
        <w:t>Entre :</w:t>
      </w:r>
    </w:p>
    <w:p w:rsidR="002A02B6" w:rsidRDefault="002A02B6" w:rsidP="002A02B6">
      <w:pPr>
        <w:pStyle w:val="SCCLsocParty"/>
      </w:pPr>
    </w:p>
    <w:p w:rsidR="002A02B6" w:rsidRDefault="002A02B6" w:rsidP="002A02B6">
      <w:pPr>
        <w:pStyle w:val="SCCLsocParty"/>
        <w:jc w:val="center"/>
      </w:pPr>
      <w:r>
        <w:t>Richard Alan Suter</w:t>
      </w:r>
    </w:p>
    <w:p w:rsidR="002A02B6" w:rsidRDefault="002A02B6" w:rsidP="002A02B6">
      <w:pPr>
        <w:jc w:val="center"/>
      </w:pPr>
      <w:r>
        <w:t>Appelant</w:t>
      </w:r>
    </w:p>
    <w:p w:rsidR="002A02B6" w:rsidRDefault="002A02B6" w:rsidP="002A02B6">
      <w:pPr>
        <w:pStyle w:val="SCCLsocVersus"/>
        <w:spacing w:after="0"/>
        <w:jc w:val="center"/>
      </w:pPr>
    </w:p>
    <w:p w:rsidR="002A02B6" w:rsidRPr="002A02B6" w:rsidRDefault="002A02B6" w:rsidP="002A02B6">
      <w:pPr>
        <w:pStyle w:val="SCCLsocVersus"/>
        <w:spacing w:after="0"/>
        <w:jc w:val="center"/>
        <w:rPr>
          <w:i w:val="0"/>
        </w:rPr>
      </w:pPr>
      <w:r w:rsidRPr="002A02B6">
        <w:rPr>
          <w:i w:val="0"/>
        </w:rPr>
        <w:t>et</w:t>
      </w:r>
    </w:p>
    <w:p w:rsidR="002A02B6" w:rsidRDefault="002A02B6" w:rsidP="002A02B6">
      <w:pPr>
        <w:pStyle w:val="SCCLsocParty"/>
        <w:jc w:val="center"/>
      </w:pPr>
    </w:p>
    <w:p w:rsidR="002A02B6" w:rsidRPr="002A02B6" w:rsidRDefault="002A02B6" w:rsidP="002A02B6">
      <w:pPr>
        <w:pStyle w:val="SCCLsocParty"/>
        <w:jc w:val="center"/>
        <w:rPr>
          <w:lang w:val="fr-CA"/>
        </w:rPr>
      </w:pPr>
      <w:r w:rsidRPr="002A02B6">
        <w:rPr>
          <w:lang w:val="fr-CA"/>
        </w:rPr>
        <w:t>Sa Majesté la Reine</w:t>
      </w:r>
    </w:p>
    <w:p w:rsidR="002A02B6" w:rsidRPr="002A02B6" w:rsidRDefault="002A02B6" w:rsidP="002A02B6">
      <w:pPr>
        <w:jc w:val="center"/>
        <w:rPr>
          <w:lang w:val="fr-CA"/>
        </w:rPr>
      </w:pPr>
      <w:r w:rsidRPr="002A02B6">
        <w:rPr>
          <w:lang w:val="fr-CA"/>
        </w:rPr>
        <w:t>Intimée</w:t>
      </w:r>
    </w:p>
    <w:p w:rsidR="002A02B6" w:rsidRPr="002A02B6" w:rsidRDefault="002A02B6" w:rsidP="002A02B6">
      <w:pPr>
        <w:jc w:val="center"/>
        <w:rPr>
          <w:lang w:val="fr-CA"/>
        </w:rPr>
      </w:pPr>
    </w:p>
    <w:p w:rsidR="002A02B6" w:rsidRPr="002A02B6" w:rsidRDefault="002A02B6" w:rsidP="002A02B6">
      <w:pPr>
        <w:jc w:val="center"/>
        <w:rPr>
          <w:lang w:val="fr-CA"/>
        </w:rPr>
      </w:pPr>
    </w:p>
    <w:p w:rsidR="002A02B6" w:rsidRPr="002A02B6" w:rsidRDefault="002A02B6" w:rsidP="002A02B6">
      <w:pPr>
        <w:jc w:val="center"/>
        <w:rPr>
          <w:b/>
          <w:smallCaps/>
          <w:lang w:val="fr-CA"/>
        </w:rPr>
      </w:pPr>
      <w:r w:rsidRPr="002A02B6">
        <w:rPr>
          <w:b/>
          <w:smallCaps/>
          <w:lang w:val="fr-CA"/>
        </w:rPr>
        <w:t>Traduction française officielle</w:t>
      </w:r>
    </w:p>
    <w:p w:rsidR="002A02B6" w:rsidRPr="002A02B6" w:rsidRDefault="002A02B6" w:rsidP="002A02B6">
      <w:pPr>
        <w:rPr>
          <w:lang w:val="fr-CA"/>
        </w:rPr>
      </w:pPr>
    </w:p>
    <w:p w:rsidR="002A02B6" w:rsidRPr="002A02B6" w:rsidRDefault="002A02B6" w:rsidP="002A02B6">
      <w:pPr>
        <w:rPr>
          <w:lang w:val="fr-CA"/>
        </w:rPr>
      </w:pPr>
      <w:r w:rsidRPr="002A02B6">
        <w:rPr>
          <w:b/>
          <w:smallCaps/>
          <w:lang w:val="fr-CA"/>
        </w:rPr>
        <w:t>Coram :</w:t>
      </w:r>
      <w:r w:rsidRPr="002A02B6">
        <w:rPr>
          <w:lang w:val="fr-CA"/>
        </w:rPr>
        <w:t xml:space="preserve"> Les juges Abella, Moldaver, Karakatsanis, Wagner, Gascon, Côté et Rowe</w:t>
      </w:r>
    </w:p>
    <w:p w:rsidR="002A02B6" w:rsidRPr="002A02B6" w:rsidRDefault="002A02B6" w:rsidP="002A02B6">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A02B6" w:rsidRPr="002F5296" w:rsidTr="00412C45">
        <w:trPr>
          <w:cantSplit/>
        </w:trPr>
        <w:tc>
          <w:tcPr>
            <w:tcW w:w="3618" w:type="dxa"/>
          </w:tcPr>
          <w:p w:rsidR="002A02B6" w:rsidRPr="002A02B6" w:rsidRDefault="002A02B6" w:rsidP="00412C45">
            <w:pPr>
              <w:rPr>
                <w:b/>
                <w:smallCaps/>
                <w:lang w:val="fr-CA"/>
              </w:rPr>
            </w:pPr>
            <w:r w:rsidRPr="002A02B6">
              <w:rPr>
                <w:b/>
                <w:smallCaps/>
                <w:lang w:val="fr-CA"/>
              </w:rPr>
              <w:t>Motifs de jugement :</w:t>
            </w:r>
          </w:p>
          <w:p w:rsidR="002A02B6" w:rsidRPr="002A02B6" w:rsidRDefault="002A02B6" w:rsidP="00412C45">
            <w:pPr>
              <w:rPr>
                <w:lang w:val="fr-CA"/>
              </w:rPr>
            </w:pPr>
            <w:r w:rsidRPr="002A02B6">
              <w:rPr>
                <w:lang w:val="fr-CA"/>
              </w:rPr>
              <w:t>(par. 1 à 104)</w:t>
            </w:r>
          </w:p>
        </w:tc>
        <w:tc>
          <w:tcPr>
            <w:tcW w:w="5958" w:type="dxa"/>
          </w:tcPr>
          <w:p w:rsidR="002A02B6" w:rsidRPr="002A02B6" w:rsidRDefault="002A02B6" w:rsidP="00412C45">
            <w:pPr>
              <w:rPr>
                <w:lang w:val="fr-CA"/>
              </w:rPr>
            </w:pPr>
            <w:r w:rsidRPr="002A02B6">
              <w:rPr>
                <w:lang w:val="fr-CA"/>
              </w:rPr>
              <w:t xml:space="preserve">Le juge Moldaver (avec l’accord des juges Abella, Karakatsanis, Wagner, Côté et Rowe) </w:t>
            </w:r>
          </w:p>
        </w:tc>
      </w:tr>
      <w:tr w:rsidR="002A02B6" w:rsidRPr="001E12E2" w:rsidTr="00412C45">
        <w:trPr>
          <w:cantSplit/>
        </w:trPr>
        <w:tc>
          <w:tcPr>
            <w:tcW w:w="3618" w:type="dxa"/>
          </w:tcPr>
          <w:p w:rsidR="002A02B6" w:rsidRPr="002A02B6" w:rsidRDefault="002A02B6" w:rsidP="00412C45">
            <w:pPr>
              <w:rPr>
                <w:b/>
                <w:smallCaps/>
                <w:lang w:val="fr-CA"/>
              </w:rPr>
            </w:pPr>
            <w:r w:rsidRPr="002A02B6">
              <w:rPr>
                <w:b/>
                <w:smallCaps/>
                <w:lang w:val="fr-CA"/>
              </w:rPr>
              <w:t>Motifs dissidents en partie :</w:t>
            </w:r>
          </w:p>
          <w:p w:rsidR="002A02B6" w:rsidRPr="002A02B6" w:rsidRDefault="002A02B6" w:rsidP="00412C45">
            <w:pPr>
              <w:rPr>
                <w:b/>
                <w:smallCaps/>
                <w:lang w:val="fr-CA"/>
              </w:rPr>
            </w:pPr>
            <w:r w:rsidRPr="002A02B6">
              <w:rPr>
                <w:lang w:val="fr-CA"/>
              </w:rPr>
              <w:t>(par. 105 à 202)</w:t>
            </w:r>
          </w:p>
        </w:tc>
        <w:tc>
          <w:tcPr>
            <w:tcW w:w="5958" w:type="dxa"/>
          </w:tcPr>
          <w:p w:rsidR="002A02B6" w:rsidRDefault="002A02B6" w:rsidP="00412C45">
            <w:r>
              <w:t>Le juge Gascon</w:t>
            </w:r>
          </w:p>
        </w:tc>
      </w:tr>
    </w:tbl>
    <w:p w:rsidR="002A02B6" w:rsidRDefault="002A02B6" w:rsidP="002A02B6"/>
    <w:p w:rsidR="002A02B6" w:rsidRPr="002A02B6" w:rsidRDefault="002A02B6" w:rsidP="002A02B6">
      <w:pPr>
        <w:rPr>
          <w:lang w:val="fr-CA"/>
        </w:rPr>
      </w:pPr>
      <w:r>
        <w:rPr>
          <w:noProof/>
          <w:lang w:val="en-US" w:eastAsia="en-US"/>
        </w:rPr>
        <mc:AlternateContent>
          <mc:Choice Requires="wps">
            <w:drawing>
              <wp:anchor distT="0" distB="0" distL="114300" distR="114300" simplePos="0" relativeHeight="251659264" behindDoc="0" locked="0" layoutInCell="1" allowOverlap="1" wp14:anchorId="4F42F7A1" wp14:editId="5722C5A9">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E8BE6D"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2A02B6" w:rsidRDefault="002A02B6" w:rsidP="009B2C4A">
      <w:pPr>
        <w:spacing w:after="720"/>
        <w:jc w:val="both"/>
        <w:rPr>
          <w:rStyle w:val="SCCAppellantForRunningHeadChar"/>
          <w:smallCaps w:val="0"/>
          <w:lang w:val="fr-CA"/>
        </w:rPr>
      </w:pPr>
    </w:p>
    <w:p w:rsidR="004D7D95" w:rsidRPr="00FB5C36" w:rsidRDefault="00FB5C36" w:rsidP="009B2C4A">
      <w:pPr>
        <w:spacing w:after="720"/>
        <w:jc w:val="both"/>
        <w:rPr>
          <w:smallCaps/>
          <w:lang w:val="fr-CA"/>
        </w:rPr>
      </w:pPr>
      <w:r>
        <w:rPr>
          <w:rStyle w:val="SCCAppellantForRunningHeadChar"/>
          <w:smallCaps w:val="0"/>
          <w:lang w:val="fr-CA"/>
        </w:rPr>
        <w:t>R</w:t>
      </w:r>
      <w:r w:rsidR="00AA5E14" w:rsidRPr="00FB5C36">
        <w:rPr>
          <w:rStyle w:val="SCCAppellantForRunningHeadChar"/>
          <w:smallCaps w:val="0"/>
          <w:lang w:val="fr-CA"/>
        </w:rPr>
        <w:t xml:space="preserve">. </w:t>
      </w:r>
      <w:r w:rsidR="00AA5E14" w:rsidRPr="00FB5C36">
        <w:rPr>
          <w:i/>
          <w:lang w:val="fr-CA"/>
        </w:rPr>
        <w:t>c.</w:t>
      </w:r>
      <w:r w:rsidR="00AA5E14" w:rsidRPr="00FB5C36">
        <w:rPr>
          <w:smallCaps/>
          <w:lang w:val="fr-CA"/>
        </w:rPr>
        <w:t xml:space="preserve"> </w:t>
      </w:r>
      <w:r>
        <w:rPr>
          <w:rStyle w:val="SCCAppellantForRunningHeadChar"/>
          <w:smallCaps w:val="0"/>
          <w:lang w:val="fr-CA"/>
        </w:rPr>
        <w:t>S</w:t>
      </w:r>
      <w:r w:rsidR="004D7D95" w:rsidRPr="00FB5C36">
        <w:rPr>
          <w:rStyle w:val="SCCAppellantForRunningHeadChar"/>
          <w:smallCaps w:val="0"/>
          <w:lang w:val="fr-CA"/>
        </w:rPr>
        <w:t>uter</w:t>
      </w:r>
      <w:r>
        <w:rPr>
          <w:rStyle w:val="SCCAppellantForRunningHeadChar"/>
          <w:smallCaps w:val="0"/>
          <w:lang w:val="fr-CA"/>
        </w:rPr>
        <w:t xml:space="preserve">, </w:t>
      </w:r>
      <w:r w:rsidRPr="009B2C4A">
        <w:rPr>
          <w:lang w:val="fr-CA"/>
        </w:rPr>
        <w:t>2018 CSC 34</w:t>
      </w:r>
      <w:r>
        <w:rPr>
          <w:lang w:val="fr-CA"/>
        </w:rPr>
        <w:t>, [2018] 2 R.C.S. 496</w:t>
      </w:r>
    </w:p>
    <w:p w:rsidR="00090A30" w:rsidRPr="009B2C4A" w:rsidRDefault="00667AB3" w:rsidP="00EC2BDA">
      <w:pPr>
        <w:pStyle w:val="SCCLsocLastPartyInRole"/>
        <w:spacing w:before="720"/>
        <w:rPr>
          <w:lang w:val="fr-CA"/>
        </w:rPr>
      </w:pPr>
      <w:r w:rsidRPr="009B2C4A">
        <w:rPr>
          <w:lang w:val="fr-CA"/>
        </w:rPr>
        <w:t>Richard Alan Suter</w:t>
      </w:r>
      <w:r w:rsidR="000704DA" w:rsidRPr="009B2C4A">
        <w:rPr>
          <w:rStyle w:val="SCCLsocPartyRole"/>
          <w:lang w:val="fr-CA"/>
        </w:rPr>
        <w:tab/>
        <w:t>Appelant</w:t>
      </w:r>
    </w:p>
    <w:p w:rsidR="00090A30" w:rsidRPr="009B2C4A" w:rsidRDefault="00667AB3">
      <w:pPr>
        <w:pStyle w:val="SCCLsocVersus"/>
        <w:rPr>
          <w:lang w:val="fr-CA"/>
        </w:rPr>
      </w:pPr>
      <w:r w:rsidRPr="009B2C4A">
        <w:rPr>
          <w:lang w:val="fr-CA"/>
        </w:rPr>
        <w:t>c.</w:t>
      </w:r>
    </w:p>
    <w:p w:rsidR="00090A30" w:rsidRPr="009B2C4A" w:rsidRDefault="00667AB3">
      <w:pPr>
        <w:pStyle w:val="SCCLsocLastPartyInRole"/>
        <w:rPr>
          <w:lang w:val="fr-CA"/>
        </w:rPr>
      </w:pPr>
      <w:r w:rsidRPr="009B2C4A">
        <w:rPr>
          <w:lang w:val="fr-CA"/>
        </w:rPr>
        <w:t>Sa Majesté la Reine</w:t>
      </w:r>
      <w:r w:rsidR="000704DA" w:rsidRPr="009B2C4A">
        <w:rPr>
          <w:rStyle w:val="SCCLsocPartyRole"/>
          <w:lang w:val="fr-CA"/>
        </w:rPr>
        <w:tab/>
        <w:t>Intimée</w:t>
      </w:r>
    </w:p>
    <w:p w:rsidR="004D7D95" w:rsidRPr="009B2C4A" w:rsidRDefault="000704DA" w:rsidP="00EC2BDA">
      <w:pPr>
        <w:spacing w:after="720"/>
        <w:jc w:val="both"/>
        <w:rPr>
          <w:b/>
          <w:lang w:val="fr-CA"/>
        </w:rPr>
      </w:pPr>
      <w:r w:rsidRPr="009B2C4A">
        <w:rPr>
          <w:b/>
          <w:lang w:val="fr-CA"/>
        </w:rPr>
        <w:lastRenderedPageBreak/>
        <w:t>Répertorié</w:t>
      </w:r>
      <w:r w:rsidR="009B2C4A" w:rsidRPr="009B2C4A">
        <w:rPr>
          <w:b/>
          <w:lang w:val="fr-CA"/>
        </w:rPr>
        <w:t> :</w:t>
      </w:r>
      <w:r w:rsidRPr="009B2C4A">
        <w:rPr>
          <w:b/>
          <w:lang w:val="fr-CA"/>
        </w:rPr>
        <w:t> R.</w:t>
      </w:r>
      <w:r w:rsidR="004D7D95" w:rsidRPr="009B2C4A">
        <w:rPr>
          <w:b/>
          <w:lang w:val="fr-CA"/>
        </w:rPr>
        <w:t xml:space="preserve"> </w:t>
      </w:r>
      <w:r w:rsidR="004D7D95" w:rsidRPr="009B2C4A">
        <w:rPr>
          <w:b/>
          <w:i/>
          <w:lang w:val="fr-CA"/>
        </w:rPr>
        <w:t>c.</w:t>
      </w:r>
      <w:r w:rsidRPr="009B2C4A">
        <w:rPr>
          <w:rStyle w:val="SCCAppellantForIndexChar"/>
          <w:lang w:val="fr-CA"/>
        </w:rPr>
        <w:t xml:space="preserve"> Suter</w:t>
      </w:r>
    </w:p>
    <w:p w:rsidR="004D7D95" w:rsidRPr="009B2C4A" w:rsidRDefault="00B56423" w:rsidP="00EC2BDA">
      <w:pPr>
        <w:pStyle w:val="SCCSystemYear"/>
        <w:spacing w:after="720"/>
        <w:jc w:val="both"/>
        <w:rPr>
          <w:lang w:val="fr-CA"/>
        </w:rPr>
      </w:pPr>
      <w:r w:rsidRPr="009B2C4A">
        <w:rPr>
          <w:lang w:val="fr-CA"/>
        </w:rPr>
        <w:t>2018</w:t>
      </w:r>
      <w:r w:rsidR="004D7D95" w:rsidRPr="009B2C4A">
        <w:rPr>
          <w:lang w:val="fr-CA"/>
        </w:rPr>
        <w:t xml:space="preserve"> CSC </w:t>
      </w:r>
      <w:r w:rsidR="00957AB6" w:rsidRPr="009B2C4A">
        <w:rPr>
          <w:lang w:val="fr-CA"/>
        </w:rPr>
        <w:t>34</w:t>
      </w:r>
    </w:p>
    <w:p w:rsidR="004D7D95" w:rsidRPr="009B2C4A" w:rsidRDefault="004D7D95" w:rsidP="00EC2BDA">
      <w:pPr>
        <w:spacing w:after="720"/>
        <w:jc w:val="both"/>
        <w:rPr>
          <w:lang w:val="fr-CA"/>
        </w:rPr>
      </w:pPr>
      <w:r w:rsidRPr="009B2C4A">
        <w:rPr>
          <w:lang w:val="fr-CA"/>
        </w:rPr>
        <w:t>N</w:t>
      </w:r>
      <w:r w:rsidRPr="009B2C4A">
        <w:rPr>
          <w:vertAlign w:val="superscript"/>
          <w:lang w:val="fr-CA"/>
        </w:rPr>
        <w:t>o</w:t>
      </w:r>
      <w:r w:rsidRPr="009B2C4A">
        <w:rPr>
          <w:lang w:val="fr-CA"/>
        </w:rPr>
        <w:t xml:space="preserve"> du greffe</w:t>
      </w:r>
      <w:r w:rsidR="009B2C4A" w:rsidRPr="009B2C4A">
        <w:rPr>
          <w:lang w:val="fr-CA"/>
        </w:rPr>
        <w:t> :</w:t>
      </w:r>
      <w:r w:rsidRPr="009B2C4A">
        <w:rPr>
          <w:lang w:val="fr-CA"/>
        </w:rPr>
        <w:t> 37247.</w:t>
      </w:r>
    </w:p>
    <w:p w:rsidR="004D7D95" w:rsidRPr="009B2C4A" w:rsidRDefault="000704DA" w:rsidP="00EC2BDA">
      <w:pPr>
        <w:spacing w:after="720"/>
        <w:jc w:val="both"/>
        <w:rPr>
          <w:lang w:val="fr-CA"/>
        </w:rPr>
      </w:pPr>
      <w:r w:rsidRPr="009B2C4A">
        <w:rPr>
          <w:lang w:val="fr-CA"/>
        </w:rPr>
        <w:t>2017</w:t>
      </w:r>
      <w:r w:rsidR="009B2C4A" w:rsidRPr="009B2C4A">
        <w:rPr>
          <w:lang w:val="fr-CA"/>
        </w:rPr>
        <w:t> :</w:t>
      </w:r>
      <w:r w:rsidR="00EC2BDA" w:rsidRPr="009B2C4A">
        <w:rPr>
          <w:lang w:val="fr-CA"/>
        </w:rPr>
        <w:t> </w:t>
      </w:r>
      <w:r w:rsidR="00D17B0E" w:rsidRPr="009B2C4A">
        <w:rPr>
          <w:lang w:val="fr-CA"/>
        </w:rPr>
        <w:t>11</w:t>
      </w:r>
      <w:r w:rsidR="00EC2BDA" w:rsidRPr="009B2C4A">
        <w:rPr>
          <w:lang w:val="fr-CA"/>
        </w:rPr>
        <w:t> </w:t>
      </w:r>
      <w:r w:rsidR="00D17B0E" w:rsidRPr="009B2C4A">
        <w:rPr>
          <w:lang w:val="fr-CA"/>
        </w:rPr>
        <w:t>octobre</w:t>
      </w:r>
      <w:r w:rsidR="004D7D95" w:rsidRPr="009B2C4A">
        <w:rPr>
          <w:lang w:val="fr-CA"/>
        </w:rPr>
        <w:t xml:space="preserve">; </w:t>
      </w:r>
      <w:r w:rsidR="003305DD" w:rsidRPr="009B2C4A">
        <w:rPr>
          <w:lang w:val="fr-CA"/>
        </w:rPr>
        <w:t>2018</w:t>
      </w:r>
      <w:r w:rsidR="009B2C4A" w:rsidRPr="009B2C4A">
        <w:rPr>
          <w:lang w:val="fr-CA"/>
        </w:rPr>
        <w:t> :</w:t>
      </w:r>
      <w:r w:rsidR="003305DD" w:rsidRPr="009B2C4A">
        <w:rPr>
          <w:lang w:val="fr-CA"/>
        </w:rPr>
        <w:t xml:space="preserve"> 29 juin</w:t>
      </w:r>
      <w:r w:rsidR="004D7D95" w:rsidRPr="009B2C4A">
        <w:rPr>
          <w:lang w:val="fr-CA"/>
        </w:rPr>
        <w:t>.</w:t>
      </w:r>
    </w:p>
    <w:p w:rsidR="004D7D95" w:rsidRPr="009B2C4A" w:rsidRDefault="004D7D95" w:rsidP="00EC2BDA">
      <w:pPr>
        <w:spacing w:after="720"/>
        <w:jc w:val="both"/>
        <w:rPr>
          <w:lang w:val="fr-CA"/>
        </w:rPr>
      </w:pPr>
      <w:r w:rsidRPr="009B2C4A">
        <w:rPr>
          <w:lang w:val="fr-CA"/>
        </w:rPr>
        <w:t>Présents</w:t>
      </w:r>
      <w:r w:rsidR="009B2C4A" w:rsidRPr="009B2C4A">
        <w:rPr>
          <w:lang w:val="fr-CA"/>
        </w:rPr>
        <w:t> :</w:t>
      </w:r>
      <w:r w:rsidRPr="009B2C4A">
        <w:rPr>
          <w:lang w:val="fr-CA"/>
        </w:rPr>
        <w:t> Les juges Abella, Moldaver, Karakatsanis, Wagner, Gascon, Côté et Rowe.</w:t>
      </w:r>
    </w:p>
    <w:p w:rsidR="004D7D95" w:rsidRPr="009B2C4A" w:rsidRDefault="004D7D95" w:rsidP="00EC2BDA">
      <w:pPr>
        <w:spacing w:after="720"/>
        <w:jc w:val="both"/>
        <w:rPr>
          <w:smallCaps/>
          <w:lang w:val="fr-CA"/>
        </w:rPr>
      </w:pPr>
      <w:r w:rsidRPr="009B2C4A">
        <w:rPr>
          <w:smallCaps/>
          <w:lang w:val="fr-CA"/>
        </w:rPr>
        <w:t>en appel de la cour</w:t>
      </w:r>
      <w:r w:rsidR="000704DA" w:rsidRPr="009B2C4A">
        <w:rPr>
          <w:smallCaps/>
          <w:lang w:val="fr-CA"/>
        </w:rPr>
        <w:t xml:space="preserve"> d</w:t>
      </w:r>
      <w:r w:rsidR="009B2C4A" w:rsidRPr="009B2C4A">
        <w:rPr>
          <w:smallCaps/>
          <w:lang w:val="fr-CA"/>
        </w:rPr>
        <w:t>’</w:t>
      </w:r>
      <w:r w:rsidR="000704DA" w:rsidRPr="009B2C4A">
        <w:rPr>
          <w:smallCaps/>
          <w:lang w:val="fr-CA"/>
        </w:rPr>
        <w:t>appel de l</w:t>
      </w:r>
      <w:r w:rsidR="009B2C4A" w:rsidRPr="009B2C4A">
        <w:rPr>
          <w:smallCaps/>
          <w:lang w:val="fr-CA"/>
        </w:rPr>
        <w:t>’</w:t>
      </w:r>
      <w:r w:rsidR="000704DA" w:rsidRPr="009B2C4A">
        <w:rPr>
          <w:smallCaps/>
          <w:lang w:val="fr-CA"/>
        </w:rPr>
        <w:t>alberta</w:t>
      </w:r>
    </w:p>
    <w:p w:rsidR="009921E8" w:rsidRPr="009B2C4A" w:rsidRDefault="004D7D95" w:rsidP="009921E8">
      <w:pPr>
        <w:pStyle w:val="SCCNormalDoubleSpacing"/>
        <w:spacing w:after="480"/>
        <w:rPr>
          <w:i/>
          <w:lang w:val="fr-CA"/>
        </w:rPr>
      </w:pPr>
      <w:r w:rsidRPr="009B2C4A">
        <w:rPr>
          <w:lang w:val="fr-CA"/>
        </w:rPr>
        <w:tab/>
      </w:r>
      <w:r w:rsidR="009921E8" w:rsidRPr="009B2C4A">
        <w:rPr>
          <w:i/>
          <w:lang w:val="fr-CA"/>
        </w:rPr>
        <w:t>Droit criminel — Détermination de la peine — Facteurs devant être pris en considération — Conséquences indirectes — Facteurs atténuants — Accusé fonçant accidentellement avec son véhicule dans la terrasse d</w:t>
      </w:r>
      <w:r w:rsidR="009B2C4A" w:rsidRPr="009B2C4A">
        <w:rPr>
          <w:i/>
          <w:lang w:val="fr-CA"/>
        </w:rPr>
        <w:t>’</w:t>
      </w:r>
      <w:r w:rsidR="009921E8" w:rsidRPr="009B2C4A">
        <w:rPr>
          <w:i/>
          <w:lang w:val="fr-CA"/>
        </w:rPr>
        <w:t>un restaurant et tuant un enfant — Accusé plaidant coupable à une infraction de refus de fournir un échantillon d</w:t>
      </w:r>
      <w:r w:rsidR="009B2C4A" w:rsidRPr="009B2C4A">
        <w:rPr>
          <w:i/>
          <w:lang w:val="fr-CA"/>
        </w:rPr>
        <w:t>’</w:t>
      </w:r>
      <w:r w:rsidR="009921E8" w:rsidRPr="009B2C4A">
        <w:rPr>
          <w:i/>
          <w:lang w:val="fr-CA"/>
        </w:rPr>
        <w:t>haleine alors qu</w:t>
      </w:r>
      <w:r w:rsidR="009B2C4A" w:rsidRPr="009B2C4A">
        <w:rPr>
          <w:i/>
          <w:lang w:val="fr-CA"/>
        </w:rPr>
        <w:t>’</w:t>
      </w:r>
      <w:r w:rsidR="009921E8" w:rsidRPr="009B2C4A">
        <w:rPr>
          <w:i/>
          <w:lang w:val="fr-CA"/>
        </w:rPr>
        <w:t>il savait avoir causé un accident ayant occasionné la mort, puis condamné à une peine d</w:t>
      </w:r>
      <w:r w:rsidR="009B2C4A" w:rsidRPr="009B2C4A">
        <w:rPr>
          <w:i/>
          <w:lang w:val="fr-CA"/>
        </w:rPr>
        <w:t>’</w:t>
      </w:r>
      <w:r w:rsidR="009921E8" w:rsidRPr="009B2C4A">
        <w:rPr>
          <w:i/>
          <w:lang w:val="fr-CA"/>
        </w:rPr>
        <w:t xml:space="preserve">emprisonnement de quatre mois et à une interdiction de conduire — Peine augmentée à </w:t>
      </w:r>
      <w:r w:rsidR="00F71CD9">
        <w:rPr>
          <w:i/>
          <w:lang w:val="fr-CA"/>
        </w:rPr>
        <w:t xml:space="preserve">26 </w:t>
      </w:r>
      <w:r w:rsidR="009921E8" w:rsidRPr="009B2C4A">
        <w:rPr>
          <w:i/>
          <w:lang w:val="fr-CA"/>
        </w:rPr>
        <w:t>mois d</w:t>
      </w:r>
      <w:r w:rsidR="009B2C4A" w:rsidRPr="009B2C4A">
        <w:rPr>
          <w:i/>
          <w:lang w:val="fr-CA"/>
        </w:rPr>
        <w:t>’</w:t>
      </w:r>
      <w:r w:rsidR="009921E8" w:rsidRPr="009B2C4A">
        <w:rPr>
          <w:i/>
          <w:lang w:val="fr-CA"/>
        </w:rPr>
        <w:t>emprisonnement par la Cour d</w:t>
      </w:r>
      <w:r w:rsidR="009B2C4A" w:rsidRPr="009B2C4A">
        <w:rPr>
          <w:i/>
          <w:lang w:val="fr-CA"/>
        </w:rPr>
        <w:t>’</w:t>
      </w:r>
      <w:r w:rsidR="009921E8" w:rsidRPr="009B2C4A">
        <w:rPr>
          <w:i/>
          <w:lang w:val="fr-CA"/>
        </w:rPr>
        <w:t>appel — Les juridictions inférieures ont</w:t>
      </w:r>
      <w:r w:rsidR="00DE61E1">
        <w:rPr>
          <w:i/>
          <w:lang w:val="fr-CA"/>
        </w:rPr>
        <w:t>-</w:t>
      </w:r>
      <w:r w:rsidR="009921E8" w:rsidRPr="009B2C4A">
        <w:rPr>
          <w:i/>
          <w:lang w:val="fr-CA"/>
        </w:rPr>
        <w:t>elles commis une erreur en déterminant la peine appropriée? — Code criminel, L.R.C</w:t>
      </w:r>
      <w:r w:rsidR="00123730">
        <w:rPr>
          <w:i/>
          <w:lang w:val="fr-CA"/>
        </w:rPr>
        <w:t>. 1985, c. </w:t>
      </w:r>
      <w:r w:rsidR="009921E8" w:rsidRPr="009B2C4A">
        <w:rPr>
          <w:i/>
          <w:lang w:val="fr-CA"/>
        </w:rPr>
        <w:t>C</w:t>
      </w:r>
      <w:r w:rsidR="009B2C4A" w:rsidRPr="009B2C4A">
        <w:rPr>
          <w:i/>
          <w:lang w:val="fr-CA"/>
        </w:rPr>
        <w:noBreakHyphen/>
      </w:r>
      <w:r w:rsidR="009921E8" w:rsidRPr="009B2C4A">
        <w:rPr>
          <w:i/>
          <w:lang w:val="fr-CA"/>
        </w:rPr>
        <w:t xml:space="preserve">46, </w:t>
      </w:r>
      <w:r w:rsidR="009B2C4A" w:rsidRPr="009B2C4A">
        <w:rPr>
          <w:i/>
          <w:lang w:val="fr-CA"/>
        </w:rPr>
        <w:t>art. </w:t>
      </w:r>
      <w:r w:rsidR="009921E8" w:rsidRPr="009B2C4A">
        <w:rPr>
          <w:i/>
          <w:lang w:val="fr-CA"/>
        </w:rPr>
        <w:t>255(3.2), 718 à 718.2.</w:t>
      </w:r>
    </w:p>
    <w:p w:rsidR="009921E8" w:rsidRPr="009B2C4A" w:rsidRDefault="009921E8" w:rsidP="005647DE">
      <w:pPr>
        <w:pStyle w:val="SCCNormalDoubleSpacing"/>
        <w:spacing w:after="480"/>
        <w:rPr>
          <w:noProof/>
          <w:lang w:val="fr-CA"/>
        </w:rPr>
      </w:pPr>
      <w:r w:rsidRPr="009B2C4A">
        <w:rPr>
          <w:lang w:val="fr-CA"/>
        </w:rPr>
        <w:tab/>
        <w:t xml:space="preserve">S a foncé </w:t>
      </w:r>
      <w:r w:rsidRPr="009B2C4A">
        <w:rPr>
          <w:noProof/>
          <w:lang w:val="fr-CA"/>
        </w:rPr>
        <w:t>avec son véhicule dans la terrasse d</w:t>
      </w:r>
      <w:r w:rsidR="009B2C4A" w:rsidRPr="009B2C4A">
        <w:rPr>
          <w:noProof/>
          <w:lang w:val="fr-CA"/>
        </w:rPr>
        <w:t>’</w:t>
      </w:r>
      <w:r w:rsidRPr="009B2C4A">
        <w:rPr>
          <w:noProof/>
          <w:lang w:val="fr-CA"/>
        </w:rPr>
        <w:t>un restaurant et tué un enfant de deux ans</w:t>
      </w:r>
      <w:r w:rsidRPr="009B2C4A">
        <w:rPr>
          <w:lang w:val="fr-CA"/>
        </w:rPr>
        <w:t>. Les policiers ont exigé un échantillon d</w:t>
      </w:r>
      <w:r w:rsidR="009B2C4A" w:rsidRPr="009B2C4A">
        <w:rPr>
          <w:lang w:val="fr-CA"/>
        </w:rPr>
        <w:t>’</w:t>
      </w:r>
      <w:r w:rsidRPr="009B2C4A">
        <w:rPr>
          <w:lang w:val="fr-CA"/>
        </w:rPr>
        <w:t>haleine après l</w:t>
      </w:r>
      <w:r w:rsidR="009B2C4A" w:rsidRPr="009B2C4A">
        <w:rPr>
          <w:lang w:val="fr-CA"/>
        </w:rPr>
        <w:t>’</w:t>
      </w:r>
      <w:r w:rsidRPr="009B2C4A">
        <w:rPr>
          <w:lang w:val="fr-CA"/>
        </w:rPr>
        <w:t>accident, mais S a refusé suivant les conseils d</w:t>
      </w:r>
      <w:r w:rsidR="009B2C4A" w:rsidRPr="009B2C4A">
        <w:rPr>
          <w:lang w:val="fr-CA"/>
        </w:rPr>
        <w:t>’</w:t>
      </w:r>
      <w:r w:rsidRPr="009B2C4A">
        <w:rPr>
          <w:lang w:val="fr-CA"/>
        </w:rPr>
        <w:t>un avocat — dont les services étaient offerts par l</w:t>
      </w:r>
      <w:r w:rsidR="009B2C4A" w:rsidRPr="009B2C4A">
        <w:rPr>
          <w:lang w:val="fr-CA"/>
        </w:rPr>
        <w:t>’</w:t>
      </w:r>
      <w:r w:rsidRPr="009B2C4A">
        <w:rPr>
          <w:lang w:val="fr-CA"/>
        </w:rPr>
        <w:t>État — à qui il avait parlé après son arrestation. Il a été accusé de</w:t>
      </w:r>
      <w:r w:rsidRPr="009B2C4A">
        <w:rPr>
          <w:noProof/>
          <w:lang w:val="fr-CA"/>
        </w:rPr>
        <w:t xml:space="preserve"> refus de fournir un échantillon </w:t>
      </w:r>
      <w:r w:rsidRPr="009B2C4A">
        <w:rPr>
          <w:noProof/>
          <w:lang w:val="fr-CA"/>
        </w:rPr>
        <w:lastRenderedPageBreak/>
        <w:t>d</w:t>
      </w:r>
      <w:r w:rsidR="009B2C4A" w:rsidRPr="009B2C4A">
        <w:rPr>
          <w:noProof/>
          <w:lang w:val="fr-CA"/>
        </w:rPr>
        <w:t>’</w:t>
      </w:r>
      <w:r w:rsidRPr="009B2C4A">
        <w:rPr>
          <w:noProof/>
          <w:lang w:val="fr-CA"/>
        </w:rPr>
        <w:t xml:space="preserve">haleine après avoir causé un accident ayant occasionné la mort, </w:t>
      </w:r>
      <w:r w:rsidR="00D32D1E">
        <w:rPr>
          <w:noProof/>
          <w:lang w:val="fr-CA"/>
        </w:rPr>
        <w:t>infraction prévue au</w:t>
      </w:r>
      <w:r w:rsidRPr="009B2C4A">
        <w:rPr>
          <w:noProof/>
          <w:lang w:val="fr-CA"/>
        </w:rPr>
        <w:t xml:space="preserve"> </w:t>
      </w:r>
      <w:r w:rsidR="009B2C4A" w:rsidRPr="009B2C4A">
        <w:rPr>
          <w:noProof/>
          <w:lang w:val="fr-CA"/>
        </w:rPr>
        <w:t>par. </w:t>
      </w:r>
      <w:r w:rsidRPr="009B2C4A">
        <w:rPr>
          <w:noProof/>
          <w:lang w:val="fr-CA"/>
        </w:rPr>
        <w:t xml:space="preserve">255(3.2) du </w:t>
      </w:r>
      <w:r w:rsidRPr="009B2C4A">
        <w:rPr>
          <w:i/>
          <w:noProof/>
          <w:lang w:val="fr-CA"/>
        </w:rPr>
        <w:t>Code criminel</w:t>
      </w:r>
      <w:r w:rsidRPr="009B2C4A">
        <w:rPr>
          <w:noProof/>
          <w:lang w:val="fr-CA"/>
        </w:rPr>
        <w:t>, de conduite avec capacités affaiblies causant la mort et de conduite avec capacités affaiblies causant des lésions corporelles. Quelque temps après, S a été kidnappé par des justiciers, qui lui ont coupé un pouce avec un sécateur en raison du rôle qu</w:t>
      </w:r>
      <w:r w:rsidR="009B2C4A" w:rsidRPr="009B2C4A">
        <w:rPr>
          <w:noProof/>
          <w:lang w:val="fr-CA"/>
        </w:rPr>
        <w:t>’</w:t>
      </w:r>
      <w:r w:rsidRPr="009B2C4A">
        <w:rPr>
          <w:noProof/>
          <w:lang w:val="fr-CA"/>
        </w:rPr>
        <w:t>il avait joué dans le décès de l</w:t>
      </w:r>
      <w:r w:rsidR="009B2C4A" w:rsidRPr="009B2C4A">
        <w:rPr>
          <w:noProof/>
          <w:lang w:val="fr-CA"/>
        </w:rPr>
        <w:t>’</w:t>
      </w:r>
      <w:r w:rsidRPr="009B2C4A">
        <w:rPr>
          <w:noProof/>
          <w:lang w:val="fr-CA"/>
        </w:rPr>
        <w:t xml:space="preserve">enfant. </w:t>
      </w:r>
      <w:r w:rsidRPr="009B2C4A">
        <w:rPr>
          <w:lang w:val="fr-CA"/>
        </w:rPr>
        <w:t>S a finalement plaidé coupable à l</w:t>
      </w:r>
      <w:r w:rsidR="009B2C4A" w:rsidRPr="009B2C4A">
        <w:rPr>
          <w:lang w:val="fr-CA"/>
        </w:rPr>
        <w:t>’</w:t>
      </w:r>
      <w:r w:rsidRPr="009B2C4A">
        <w:rPr>
          <w:lang w:val="fr-CA"/>
        </w:rPr>
        <w:t>infraction</w:t>
      </w:r>
      <w:r w:rsidR="00D32D1E">
        <w:rPr>
          <w:lang w:val="fr-CA"/>
        </w:rPr>
        <w:t xml:space="preserve"> visée</w:t>
      </w:r>
      <w:r w:rsidRPr="009B2C4A">
        <w:rPr>
          <w:lang w:val="fr-CA"/>
        </w:rPr>
        <w:t xml:space="preserve"> au </w:t>
      </w:r>
      <w:r w:rsidR="009B2C4A" w:rsidRPr="009B2C4A">
        <w:rPr>
          <w:lang w:val="fr-CA"/>
        </w:rPr>
        <w:t>par. </w:t>
      </w:r>
      <w:r w:rsidRPr="009B2C4A">
        <w:rPr>
          <w:lang w:val="fr-CA"/>
        </w:rPr>
        <w:t>255(3.2) et les autres accusations ont été retirées.</w:t>
      </w:r>
    </w:p>
    <w:p w:rsidR="009921E8" w:rsidRPr="009B2C4A" w:rsidRDefault="009921E8" w:rsidP="009921E8">
      <w:pPr>
        <w:pStyle w:val="SCCNormalDoubleSpacing"/>
        <w:spacing w:after="480"/>
        <w:rPr>
          <w:lang w:val="fr-CA"/>
        </w:rPr>
      </w:pPr>
      <w:r w:rsidRPr="009B2C4A">
        <w:rPr>
          <w:lang w:val="fr-CA"/>
        </w:rPr>
        <w:tab/>
        <w:t xml:space="preserve">Le juge de la peine </w:t>
      </w:r>
      <w:r w:rsidRPr="009B2C4A">
        <w:rPr>
          <w:noProof/>
          <w:lang w:val="fr-CA"/>
        </w:rPr>
        <w:t>a condamné S à une peine d</w:t>
      </w:r>
      <w:r w:rsidR="009B2C4A" w:rsidRPr="009B2C4A">
        <w:rPr>
          <w:noProof/>
          <w:lang w:val="fr-CA"/>
        </w:rPr>
        <w:t>’</w:t>
      </w:r>
      <w:r w:rsidRPr="009B2C4A">
        <w:rPr>
          <w:noProof/>
          <w:lang w:val="fr-CA"/>
        </w:rPr>
        <w:t xml:space="preserve">emprisonnement de 4 mois et à une interdiction de conduire de 30 mois. </w:t>
      </w:r>
      <w:r w:rsidRPr="009B2C4A">
        <w:rPr>
          <w:lang w:val="fr-CA"/>
        </w:rPr>
        <w:t>Il a conclu que l</w:t>
      </w:r>
      <w:r w:rsidR="009B2C4A" w:rsidRPr="009B2C4A">
        <w:rPr>
          <w:lang w:val="fr-CA"/>
        </w:rPr>
        <w:t>’</w:t>
      </w:r>
      <w:r w:rsidRPr="009B2C4A">
        <w:rPr>
          <w:lang w:val="fr-CA"/>
        </w:rPr>
        <w:t xml:space="preserve">accident avait été </w:t>
      </w:r>
      <w:r w:rsidRPr="009B2C4A">
        <w:rPr>
          <w:noProof/>
          <w:lang w:val="fr-CA"/>
        </w:rPr>
        <w:t>causé par une erreur de conduite commise par une personne dont les facultés n</w:t>
      </w:r>
      <w:r w:rsidR="009B2C4A" w:rsidRPr="009B2C4A">
        <w:rPr>
          <w:noProof/>
          <w:lang w:val="fr-CA"/>
        </w:rPr>
        <w:t>’</w:t>
      </w:r>
      <w:r w:rsidRPr="009B2C4A">
        <w:rPr>
          <w:noProof/>
          <w:lang w:val="fr-CA"/>
        </w:rPr>
        <w:t>étaient pas affaiblies</w:t>
      </w:r>
      <w:r w:rsidRPr="009B2C4A">
        <w:rPr>
          <w:lang w:val="fr-CA"/>
        </w:rPr>
        <w:t>, S ayant appuyé sur l</w:t>
      </w:r>
      <w:r w:rsidR="009B2C4A" w:rsidRPr="009B2C4A">
        <w:rPr>
          <w:lang w:val="fr-CA"/>
        </w:rPr>
        <w:t>’</w:t>
      </w:r>
      <w:r w:rsidRPr="009B2C4A">
        <w:rPr>
          <w:lang w:val="fr-CA"/>
        </w:rPr>
        <w:t xml:space="preserve">accélérateur plutôt que sur la pédale du frein. Il a estimé en outre que S avait refusé </w:t>
      </w:r>
      <w:r w:rsidRPr="009B2C4A">
        <w:rPr>
          <w:noProof/>
          <w:lang w:val="fr-CA"/>
        </w:rPr>
        <w:t>de fournir un échantillon d</w:t>
      </w:r>
      <w:r w:rsidR="009B2C4A" w:rsidRPr="009B2C4A">
        <w:rPr>
          <w:noProof/>
          <w:lang w:val="fr-CA"/>
        </w:rPr>
        <w:t>’</w:t>
      </w:r>
      <w:r w:rsidRPr="009B2C4A">
        <w:rPr>
          <w:noProof/>
          <w:lang w:val="fr-CA"/>
        </w:rPr>
        <w:t>haleine parce qu</w:t>
      </w:r>
      <w:r w:rsidR="009B2C4A" w:rsidRPr="009B2C4A">
        <w:rPr>
          <w:noProof/>
          <w:lang w:val="fr-CA"/>
        </w:rPr>
        <w:t>’</w:t>
      </w:r>
      <w:r w:rsidRPr="009B2C4A">
        <w:rPr>
          <w:noProof/>
          <w:lang w:val="fr-CA"/>
        </w:rPr>
        <w:t>il avait été mal conseillé par un avocat et que ce refus constituait une erreur de droit, ce qui changeait de manière fondamentale la culpabilité morale de S</w:t>
      </w:r>
      <w:r w:rsidRPr="009B2C4A">
        <w:rPr>
          <w:lang w:val="fr-CA"/>
        </w:rPr>
        <w:t xml:space="preserve">. En plus de cela et des autres facteurs atténuants, le juge de la peine a tenu compte </w:t>
      </w:r>
      <w:r w:rsidRPr="009B2C4A">
        <w:rPr>
          <w:noProof/>
          <w:lang w:val="fr-CA"/>
        </w:rPr>
        <w:t>des actes de violence perpétrés par des justiciers contre S</w:t>
      </w:r>
      <w:r w:rsidRPr="009B2C4A">
        <w:rPr>
          <w:lang w:val="fr-CA"/>
        </w:rPr>
        <w:t>. La Cour d</w:t>
      </w:r>
      <w:r w:rsidR="009B2C4A" w:rsidRPr="009B2C4A">
        <w:rPr>
          <w:lang w:val="fr-CA"/>
        </w:rPr>
        <w:t>’</w:t>
      </w:r>
      <w:r w:rsidRPr="009B2C4A">
        <w:rPr>
          <w:lang w:val="fr-CA"/>
        </w:rPr>
        <w:t xml:space="preserve">appel </w:t>
      </w:r>
      <w:r w:rsidRPr="009B2C4A">
        <w:rPr>
          <w:noProof/>
          <w:lang w:val="fr-CA"/>
        </w:rPr>
        <w:t>a accueilli l</w:t>
      </w:r>
      <w:r w:rsidR="009B2C4A" w:rsidRPr="009B2C4A">
        <w:rPr>
          <w:noProof/>
          <w:lang w:val="fr-CA"/>
        </w:rPr>
        <w:t>’</w:t>
      </w:r>
      <w:r w:rsidRPr="009B2C4A">
        <w:rPr>
          <w:noProof/>
          <w:lang w:val="fr-CA"/>
        </w:rPr>
        <w:t>appel interjeté par la Couronne à l</w:t>
      </w:r>
      <w:r w:rsidR="009B2C4A" w:rsidRPr="009B2C4A">
        <w:rPr>
          <w:noProof/>
          <w:lang w:val="fr-CA"/>
        </w:rPr>
        <w:t>’</w:t>
      </w:r>
      <w:r w:rsidRPr="009B2C4A">
        <w:rPr>
          <w:noProof/>
          <w:lang w:val="fr-CA"/>
        </w:rPr>
        <w:t>encontre de cette peine et a porté à 26 mois la partie privative de liberté de celle</w:t>
      </w:r>
      <w:r w:rsidR="009B2C4A" w:rsidRPr="009B2C4A">
        <w:rPr>
          <w:noProof/>
          <w:lang w:val="fr-CA"/>
        </w:rPr>
        <w:noBreakHyphen/>
      </w:r>
      <w:r w:rsidRPr="009B2C4A">
        <w:rPr>
          <w:noProof/>
          <w:lang w:val="fr-CA"/>
        </w:rPr>
        <w:t>ci. Elle a conclu que les mauvais conseils donnés par l</w:t>
      </w:r>
      <w:r w:rsidR="009B2C4A" w:rsidRPr="009B2C4A">
        <w:rPr>
          <w:noProof/>
          <w:lang w:val="fr-CA"/>
        </w:rPr>
        <w:t>’</w:t>
      </w:r>
      <w:r w:rsidRPr="009B2C4A">
        <w:rPr>
          <w:noProof/>
          <w:lang w:val="fr-CA"/>
        </w:rPr>
        <w:t>avocat ne constituaient pas une erreur de droit et ne pouvaient pas servir à atténuer la peine de S.</w:t>
      </w:r>
      <w:r w:rsidRPr="009B2C4A">
        <w:rPr>
          <w:lang w:val="fr-CA"/>
        </w:rPr>
        <w:t xml:space="preserve"> Elle a également estimé, d</w:t>
      </w:r>
      <w:r w:rsidR="009B2C4A" w:rsidRPr="009B2C4A">
        <w:rPr>
          <w:lang w:val="fr-CA"/>
        </w:rPr>
        <w:t>’</w:t>
      </w:r>
      <w:r w:rsidRPr="009B2C4A">
        <w:rPr>
          <w:lang w:val="fr-CA"/>
        </w:rPr>
        <w:t xml:space="preserve">une part, que </w:t>
      </w:r>
      <w:r w:rsidRPr="009B2C4A">
        <w:rPr>
          <w:noProof/>
          <w:lang w:val="fr-CA"/>
        </w:rPr>
        <w:t>le juge de la peine n</w:t>
      </w:r>
      <w:r w:rsidR="009B2C4A" w:rsidRPr="009B2C4A">
        <w:rPr>
          <w:noProof/>
          <w:lang w:val="fr-CA"/>
        </w:rPr>
        <w:t>’</w:t>
      </w:r>
      <w:r w:rsidRPr="009B2C4A">
        <w:rPr>
          <w:noProof/>
          <w:lang w:val="fr-CA"/>
        </w:rPr>
        <w:t>avait pas pris en considération, à titre de facteur aggravant, le fait que S avait décidé de prendre le volant alors qu</w:t>
      </w:r>
      <w:r w:rsidR="009B2C4A" w:rsidRPr="009B2C4A">
        <w:rPr>
          <w:noProof/>
          <w:lang w:val="fr-CA"/>
        </w:rPr>
        <w:t>’</w:t>
      </w:r>
      <w:r w:rsidRPr="009B2C4A">
        <w:rPr>
          <w:noProof/>
          <w:lang w:val="fr-CA"/>
        </w:rPr>
        <w:t>il était distrait, eu égard à son état de santé et à des problèmes d</w:t>
      </w:r>
      <w:r w:rsidR="009B2C4A" w:rsidRPr="009B2C4A">
        <w:rPr>
          <w:noProof/>
          <w:lang w:val="fr-CA"/>
        </w:rPr>
        <w:t>’</w:t>
      </w:r>
      <w:r w:rsidRPr="009B2C4A">
        <w:rPr>
          <w:noProof/>
          <w:lang w:val="fr-CA"/>
        </w:rPr>
        <w:t>alcool préexistants</w:t>
      </w:r>
      <w:r w:rsidRPr="009B2C4A">
        <w:rPr>
          <w:lang w:val="fr-CA"/>
        </w:rPr>
        <w:t>, et, d</w:t>
      </w:r>
      <w:r w:rsidR="009B2C4A" w:rsidRPr="009B2C4A">
        <w:rPr>
          <w:lang w:val="fr-CA"/>
        </w:rPr>
        <w:t>’</w:t>
      </w:r>
      <w:r w:rsidRPr="009B2C4A">
        <w:rPr>
          <w:lang w:val="fr-CA"/>
        </w:rPr>
        <w:t xml:space="preserve">autre part, que le juge de la peine </w:t>
      </w:r>
      <w:r w:rsidRPr="009B2C4A">
        <w:rPr>
          <w:noProof/>
          <w:lang w:val="fr-CA"/>
        </w:rPr>
        <w:t>avait tenu compte à tort des actes de violence justicière</w:t>
      </w:r>
      <w:r w:rsidRPr="009B2C4A">
        <w:rPr>
          <w:lang w:val="fr-CA"/>
        </w:rPr>
        <w:t>.</w:t>
      </w:r>
    </w:p>
    <w:p w:rsidR="009921E8" w:rsidRPr="009B2C4A" w:rsidRDefault="009921E8" w:rsidP="009921E8">
      <w:pPr>
        <w:pStyle w:val="SCCNormalDoubleSpacing"/>
        <w:spacing w:after="480"/>
        <w:rPr>
          <w:lang w:val="fr-CA"/>
        </w:rPr>
      </w:pPr>
      <w:r w:rsidRPr="009B2C4A">
        <w:rPr>
          <w:lang w:val="fr-CA"/>
        </w:rPr>
        <w:lastRenderedPageBreak/>
        <w:tab/>
      </w:r>
      <w:r w:rsidRPr="009B2C4A">
        <w:rPr>
          <w:rStyle w:val="QuoteChar"/>
          <w:color w:val="auto"/>
          <w:lang w:val="fr-CA"/>
        </w:rPr>
        <w:t xml:space="preserve">Arrêt </w:t>
      </w:r>
      <w:r w:rsidRPr="00156534">
        <w:rPr>
          <w:rStyle w:val="QuoteChar"/>
          <w:i w:val="0"/>
          <w:color w:val="auto"/>
          <w:lang w:val="fr-CA"/>
        </w:rPr>
        <w:t>(le juge Gascon est dissident en partie)</w:t>
      </w:r>
      <w:r w:rsidR="009B2C4A" w:rsidRPr="00314596">
        <w:rPr>
          <w:rStyle w:val="QuoteChar"/>
          <w:i w:val="0"/>
          <w:color w:val="auto"/>
          <w:lang w:val="fr-CA"/>
        </w:rPr>
        <w:t> :</w:t>
      </w:r>
      <w:r w:rsidRPr="009B2C4A">
        <w:rPr>
          <w:i/>
          <w:lang w:val="fr-CA"/>
        </w:rPr>
        <w:t xml:space="preserve"> </w:t>
      </w:r>
      <w:r w:rsidRPr="009B2C4A">
        <w:rPr>
          <w:lang w:val="fr-CA"/>
        </w:rPr>
        <w:t>Le pourvoi est accueilli en partie. La peine de 26 mois d</w:t>
      </w:r>
      <w:r w:rsidR="009B2C4A" w:rsidRPr="009B2C4A">
        <w:rPr>
          <w:lang w:val="fr-CA"/>
        </w:rPr>
        <w:t>’</w:t>
      </w:r>
      <w:r w:rsidRPr="009B2C4A">
        <w:rPr>
          <w:lang w:val="fr-CA"/>
        </w:rPr>
        <w:t>emprisonnement infligée par la Cour d</w:t>
      </w:r>
      <w:r w:rsidR="009B2C4A" w:rsidRPr="009B2C4A">
        <w:rPr>
          <w:lang w:val="fr-CA"/>
        </w:rPr>
        <w:t>’</w:t>
      </w:r>
      <w:r w:rsidRPr="009B2C4A">
        <w:rPr>
          <w:lang w:val="fr-CA"/>
        </w:rPr>
        <w:t>appel est annulée et remplacée par une peine correspondant à la période de détention déjà purgée. L</w:t>
      </w:r>
      <w:r w:rsidR="009B2C4A" w:rsidRPr="009B2C4A">
        <w:rPr>
          <w:lang w:val="fr-CA"/>
        </w:rPr>
        <w:t>’</w:t>
      </w:r>
      <w:r w:rsidRPr="009B2C4A">
        <w:rPr>
          <w:lang w:val="fr-CA"/>
        </w:rPr>
        <w:t>interdiction de conduire de 30 mois est confirmée.</w:t>
      </w:r>
    </w:p>
    <w:p w:rsidR="009921E8" w:rsidRPr="009B2C4A" w:rsidRDefault="009921E8" w:rsidP="00123730">
      <w:pPr>
        <w:pStyle w:val="SCCNormalDoubleSpacing"/>
        <w:spacing w:after="480"/>
        <w:rPr>
          <w:lang w:val="fr-CA"/>
        </w:rPr>
      </w:pPr>
      <w:r w:rsidRPr="009B2C4A">
        <w:rPr>
          <w:lang w:val="fr-CA"/>
        </w:rPr>
        <w:tab/>
      </w:r>
      <w:r w:rsidRPr="009B2C4A">
        <w:rPr>
          <w:i/>
          <w:lang w:val="fr-CA"/>
        </w:rPr>
        <w:t>Les</w:t>
      </w:r>
      <w:r w:rsidRPr="009B2C4A">
        <w:rPr>
          <w:lang w:val="fr-CA"/>
        </w:rPr>
        <w:t xml:space="preserve"> juges Abella, </w:t>
      </w:r>
      <w:r w:rsidRPr="009E59A8">
        <w:rPr>
          <w:lang w:val="fr-CA"/>
        </w:rPr>
        <w:t>Moldaver</w:t>
      </w:r>
      <w:r w:rsidRPr="009B2C4A">
        <w:rPr>
          <w:lang w:val="fr-CA"/>
        </w:rPr>
        <w:t>, Karakatsanis, Wagner, Côté et Rowe</w:t>
      </w:r>
      <w:r w:rsidR="009B2C4A" w:rsidRPr="009B2C4A">
        <w:rPr>
          <w:lang w:val="fr-CA"/>
        </w:rPr>
        <w:t> :</w:t>
      </w:r>
      <w:r w:rsidRPr="009B2C4A">
        <w:rPr>
          <w:lang w:val="fr-CA"/>
        </w:rPr>
        <w:t xml:space="preserve"> La fourchette de peines applicable à l</w:t>
      </w:r>
      <w:r w:rsidR="009B2C4A" w:rsidRPr="009B2C4A">
        <w:rPr>
          <w:lang w:val="fr-CA"/>
        </w:rPr>
        <w:t>’</w:t>
      </w:r>
      <w:r w:rsidRPr="009B2C4A">
        <w:rPr>
          <w:lang w:val="fr-CA"/>
        </w:rPr>
        <w:t xml:space="preserve">infraction prévue au </w:t>
      </w:r>
      <w:r w:rsidR="009B2C4A" w:rsidRPr="009B2C4A">
        <w:rPr>
          <w:lang w:val="fr-CA"/>
        </w:rPr>
        <w:t>par. </w:t>
      </w:r>
      <w:r w:rsidRPr="009B2C4A">
        <w:rPr>
          <w:lang w:val="fr-CA"/>
        </w:rPr>
        <w:t>255(3.2) est la même que celle prévue en cas de conduite avec capacités affaiblies causant la mort et de conduite avec une « alcoolémie supérieure à 80 mg » causant la mort — allant de peines d</w:t>
      </w:r>
      <w:r w:rsidR="009B2C4A" w:rsidRPr="009B2C4A">
        <w:rPr>
          <w:lang w:val="fr-CA"/>
        </w:rPr>
        <w:t>’</w:t>
      </w:r>
      <w:r w:rsidRPr="009B2C4A">
        <w:rPr>
          <w:lang w:val="fr-CA"/>
        </w:rPr>
        <w:t xml:space="preserve">emprisonnement peu élevées de 2 à 3 ans à des peines plus lourdes de 8 à 10 ans. </w:t>
      </w:r>
      <w:r w:rsidRPr="009B2C4A">
        <w:rPr>
          <w:noProof/>
          <w:lang w:val="fr-CA"/>
        </w:rPr>
        <w:t>La fourchette de peines est large, car ces infractions visent un vaste éventail de délinquants et de circonstances. Dans certains cas uniques, l</w:t>
      </w:r>
      <w:r w:rsidRPr="009B2C4A">
        <w:rPr>
          <w:lang w:val="fr-CA"/>
        </w:rPr>
        <w:t>es facteurs atténuants, les conséquences indirectes ou d</w:t>
      </w:r>
      <w:r w:rsidR="009B2C4A" w:rsidRPr="009B2C4A">
        <w:rPr>
          <w:lang w:val="fr-CA"/>
        </w:rPr>
        <w:t>’</w:t>
      </w:r>
      <w:r w:rsidRPr="009B2C4A">
        <w:rPr>
          <w:lang w:val="fr-CA"/>
        </w:rPr>
        <w:t>autres circonstances atténuantes liées à la perpétration de l</w:t>
      </w:r>
      <w:r w:rsidR="009B2C4A" w:rsidRPr="009B2C4A">
        <w:rPr>
          <w:lang w:val="fr-CA"/>
        </w:rPr>
        <w:t>’</w:t>
      </w:r>
      <w:r w:rsidRPr="009B2C4A">
        <w:rPr>
          <w:lang w:val="fr-CA"/>
        </w:rPr>
        <w:t>infraction ou à la situation du délinquant pourraient justifier l</w:t>
      </w:r>
      <w:r w:rsidR="009B2C4A" w:rsidRPr="009B2C4A">
        <w:rPr>
          <w:lang w:val="fr-CA"/>
        </w:rPr>
        <w:t>’</w:t>
      </w:r>
      <w:r w:rsidRPr="009B2C4A">
        <w:rPr>
          <w:lang w:val="fr-CA"/>
        </w:rPr>
        <w:t>infliction d</w:t>
      </w:r>
      <w:r w:rsidR="009B2C4A" w:rsidRPr="009B2C4A">
        <w:rPr>
          <w:lang w:val="fr-CA"/>
        </w:rPr>
        <w:t>’</w:t>
      </w:r>
      <w:r w:rsidRPr="009B2C4A">
        <w:rPr>
          <w:lang w:val="fr-CA"/>
        </w:rPr>
        <w:t>une peine qui se situe en deçà de cette large fourchette, ou encore, les facteurs aggravants pourraient justifier l</w:t>
      </w:r>
      <w:r w:rsidR="009B2C4A" w:rsidRPr="009B2C4A">
        <w:rPr>
          <w:lang w:val="fr-CA"/>
        </w:rPr>
        <w:t>’</w:t>
      </w:r>
      <w:r w:rsidRPr="009B2C4A">
        <w:rPr>
          <w:lang w:val="fr-CA"/>
        </w:rPr>
        <w:t>imposition d</w:t>
      </w:r>
      <w:r w:rsidR="009B2C4A" w:rsidRPr="009B2C4A">
        <w:rPr>
          <w:lang w:val="fr-CA"/>
        </w:rPr>
        <w:t>’</w:t>
      </w:r>
      <w:r w:rsidRPr="009B2C4A">
        <w:rPr>
          <w:lang w:val="fr-CA"/>
        </w:rPr>
        <w:t>une peine qui se situe au</w:t>
      </w:r>
      <w:r w:rsidR="009B2C4A" w:rsidRPr="009B2C4A">
        <w:rPr>
          <w:lang w:val="fr-CA"/>
        </w:rPr>
        <w:noBreakHyphen/>
      </w:r>
      <w:r w:rsidRPr="009B2C4A">
        <w:rPr>
          <w:lang w:val="fr-CA"/>
        </w:rPr>
        <w:t xml:space="preserve">delà de cette fourchette. Dans la mesure où les objectifs et les principes de la détermination de la peine codifiés aux </w:t>
      </w:r>
      <w:r w:rsidR="009B2C4A" w:rsidRPr="009B2C4A">
        <w:rPr>
          <w:lang w:val="fr-CA"/>
        </w:rPr>
        <w:t>art. </w:t>
      </w:r>
      <w:r w:rsidRPr="009B2C4A">
        <w:rPr>
          <w:lang w:val="fr-CA"/>
        </w:rPr>
        <w:t xml:space="preserve">718 à 718.2 du </w:t>
      </w:r>
      <w:r w:rsidRPr="009B2C4A">
        <w:rPr>
          <w:i/>
          <w:lang w:val="fr-CA"/>
        </w:rPr>
        <w:t>Code criminel</w:t>
      </w:r>
      <w:r w:rsidRPr="009B2C4A">
        <w:rPr>
          <w:lang w:val="fr-CA"/>
        </w:rPr>
        <w:t xml:space="preserve"> sont respectés, la peine sera indiquée.</w:t>
      </w:r>
    </w:p>
    <w:p w:rsidR="009921E8" w:rsidRPr="009B2C4A" w:rsidRDefault="009921E8" w:rsidP="009921E8">
      <w:pPr>
        <w:pStyle w:val="SCCNormalDoubleSpacing"/>
        <w:spacing w:after="480"/>
        <w:rPr>
          <w:lang w:val="fr-CA"/>
        </w:rPr>
      </w:pPr>
      <w:r w:rsidRPr="009B2C4A">
        <w:rPr>
          <w:lang w:val="fr-CA"/>
        </w:rPr>
        <w:tab/>
        <w:t>Les faits qui n</w:t>
      </w:r>
      <w:r w:rsidR="009B2C4A" w:rsidRPr="009B2C4A">
        <w:rPr>
          <w:lang w:val="fr-CA"/>
        </w:rPr>
        <w:t>’</w:t>
      </w:r>
      <w:r w:rsidRPr="009B2C4A">
        <w:rPr>
          <w:lang w:val="fr-CA"/>
        </w:rPr>
        <w:t>ont aucune pertinence quant à la gravité d</w:t>
      </w:r>
      <w:r w:rsidR="009B2C4A" w:rsidRPr="009B2C4A">
        <w:rPr>
          <w:lang w:val="fr-CA"/>
        </w:rPr>
        <w:t>’</w:t>
      </w:r>
      <w:r w:rsidRPr="009B2C4A">
        <w:rPr>
          <w:lang w:val="fr-CA"/>
        </w:rPr>
        <w:t>une infraction et au degré de culpabilité morale du délinquant à l</w:t>
      </w:r>
      <w:r w:rsidR="009B2C4A" w:rsidRPr="009B2C4A">
        <w:rPr>
          <w:lang w:val="fr-CA"/>
        </w:rPr>
        <w:t>’</w:t>
      </w:r>
      <w:r w:rsidRPr="009B2C4A">
        <w:rPr>
          <w:lang w:val="fr-CA"/>
        </w:rPr>
        <w:t>égard de cette infraction ne peuvent être invoqués à titre de facteurs aggravants dans l</w:t>
      </w:r>
      <w:r w:rsidR="009B2C4A" w:rsidRPr="009B2C4A">
        <w:rPr>
          <w:lang w:val="fr-CA"/>
        </w:rPr>
        <w:t>’</w:t>
      </w:r>
      <w:r w:rsidRPr="009B2C4A">
        <w:rPr>
          <w:lang w:val="fr-CA"/>
        </w:rPr>
        <w:t>analyse relative à la détermination de la peine. Prendre en considération de tels faits constitue une erreur de principe susceptible d</w:t>
      </w:r>
      <w:r w:rsidR="009B2C4A" w:rsidRPr="009B2C4A">
        <w:rPr>
          <w:lang w:val="fr-CA"/>
        </w:rPr>
        <w:t>’</w:t>
      </w:r>
      <w:r w:rsidRPr="009B2C4A">
        <w:rPr>
          <w:lang w:val="fr-CA"/>
        </w:rPr>
        <w:t>amener un tribunal à punir le délinquant pour une infraction à l</w:t>
      </w:r>
      <w:r w:rsidR="009B2C4A" w:rsidRPr="009B2C4A">
        <w:rPr>
          <w:lang w:val="fr-CA"/>
        </w:rPr>
        <w:t>’</w:t>
      </w:r>
      <w:r w:rsidRPr="009B2C4A">
        <w:rPr>
          <w:lang w:val="fr-CA"/>
        </w:rPr>
        <w:t xml:space="preserve">égard de </w:t>
      </w:r>
      <w:r w:rsidRPr="009B2C4A">
        <w:rPr>
          <w:lang w:val="fr-CA"/>
        </w:rPr>
        <w:lastRenderedPageBreak/>
        <w:t xml:space="preserve">laquelle il </w:t>
      </w:r>
      <w:r w:rsidR="00DC5DB6">
        <w:rPr>
          <w:lang w:val="fr-CA"/>
        </w:rPr>
        <w:t xml:space="preserve">n’a </w:t>
      </w:r>
      <w:r w:rsidRPr="009B2C4A">
        <w:rPr>
          <w:noProof/>
          <w:lang w:val="fr-CA"/>
        </w:rPr>
        <w:t>pas subi de procès et dont il n</w:t>
      </w:r>
      <w:r w:rsidR="009B2C4A" w:rsidRPr="009B2C4A">
        <w:rPr>
          <w:noProof/>
          <w:lang w:val="fr-CA"/>
        </w:rPr>
        <w:t>’</w:t>
      </w:r>
      <w:r w:rsidRPr="009B2C4A">
        <w:rPr>
          <w:noProof/>
          <w:lang w:val="fr-CA"/>
        </w:rPr>
        <w:t>a pas été déclaré coupable</w:t>
      </w:r>
      <w:r w:rsidRPr="009B2C4A">
        <w:rPr>
          <w:lang w:val="fr-CA"/>
        </w:rPr>
        <w:t>, et de mener à l</w:t>
      </w:r>
      <w:r w:rsidR="009B2C4A" w:rsidRPr="009B2C4A">
        <w:rPr>
          <w:lang w:val="fr-CA"/>
        </w:rPr>
        <w:t>’</w:t>
      </w:r>
      <w:r w:rsidRPr="009B2C4A">
        <w:rPr>
          <w:lang w:val="fr-CA"/>
        </w:rPr>
        <w:t>infliction d</w:t>
      </w:r>
      <w:r w:rsidR="009B2C4A" w:rsidRPr="009B2C4A">
        <w:rPr>
          <w:lang w:val="fr-CA"/>
        </w:rPr>
        <w:t>’</w:t>
      </w:r>
      <w:r w:rsidRPr="009B2C4A">
        <w:rPr>
          <w:lang w:val="fr-CA"/>
        </w:rPr>
        <w:t>une peine non indiquée.</w:t>
      </w:r>
    </w:p>
    <w:p w:rsidR="009921E8" w:rsidRPr="009B2C4A" w:rsidRDefault="009921E8" w:rsidP="00123730">
      <w:pPr>
        <w:pStyle w:val="SCCNormalDoubleSpacing"/>
        <w:spacing w:after="480"/>
        <w:rPr>
          <w:lang w:val="fr-CA"/>
        </w:rPr>
      </w:pPr>
      <w:r w:rsidRPr="009B2C4A">
        <w:rPr>
          <w:lang w:val="fr-CA"/>
        </w:rPr>
        <w:tab/>
        <w:t>Adapter les peines aux circonstances de l</w:t>
      </w:r>
      <w:r w:rsidR="009B2C4A" w:rsidRPr="009B2C4A">
        <w:rPr>
          <w:lang w:val="fr-CA"/>
        </w:rPr>
        <w:t>’</w:t>
      </w:r>
      <w:r w:rsidRPr="009B2C4A">
        <w:rPr>
          <w:lang w:val="fr-CA"/>
        </w:rPr>
        <w:t>infraction et à la situation du délinquant peut exiger du juge de la peine qu</w:t>
      </w:r>
      <w:r w:rsidR="009B2C4A" w:rsidRPr="009B2C4A">
        <w:rPr>
          <w:lang w:val="fr-CA"/>
        </w:rPr>
        <w:t>’</w:t>
      </w:r>
      <w:r w:rsidRPr="009B2C4A">
        <w:rPr>
          <w:lang w:val="fr-CA"/>
        </w:rPr>
        <w:t>il procède à un examen des conséquences indirectes. Une conséquence indirecte s</w:t>
      </w:r>
      <w:r w:rsidR="009B2C4A" w:rsidRPr="009B2C4A">
        <w:rPr>
          <w:lang w:val="fr-CA"/>
        </w:rPr>
        <w:t>’</w:t>
      </w:r>
      <w:r w:rsidRPr="009B2C4A">
        <w:rPr>
          <w:lang w:val="fr-CA"/>
        </w:rPr>
        <w:t>entend de toute conséquence découlant de la perpétration d</w:t>
      </w:r>
      <w:r w:rsidR="009B2C4A" w:rsidRPr="009B2C4A">
        <w:rPr>
          <w:lang w:val="fr-CA"/>
        </w:rPr>
        <w:t>’</w:t>
      </w:r>
      <w:r w:rsidRPr="009B2C4A">
        <w:rPr>
          <w:lang w:val="fr-CA"/>
        </w:rPr>
        <w:t>une infraction, de la déclaration de culpabilité pour une infraction ou de la peine infligée pour une infraction, que peut subir le délinquant. Il n</w:t>
      </w:r>
      <w:r w:rsidR="009B2C4A" w:rsidRPr="009B2C4A">
        <w:rPr>
          <w:lang w:val="fr-CA"/>
        </w:rPr>
        <w:t>’</w:t>
      </w:r>
      <w:r w:rsidRPr="009B2C4A">
        <w:rPr>
          <w:lang w:val="fr-CA"/>
        </w:rPr>
        <w:t>est pas nécessaire que les conséquences indirectes soient prévisibles ou qu</w:t>
      </w:r>
      <w:r w:rsidR="009B2C4A" w:rsidRPr="009B2C4A">
        <w:rPr>
          <w:lang w:val="fr-CA"/>
        </w:rPr>
        <w:t>’</w:t>
      </w:r>
      <w:r w:rsidRPr="009B2C4A">
        <w:rPr>
          <w:lang w:val="fr-CA"/>
        </w:rPr>
        <w:t>elles découlent naturellement de la déclaration de culpabilité, de la peine ou de la perpétration de l</w:t>
      </w:r>
      <w:r w:rsidR="009B2C4A" w:rsidRPr="009B2C4A">
        <w:rPr>
          <w:lang w:val="fr-CA"/>
        </w:rPr>
        <w:t>’</w:t>
      </w:r>
      <w:r w:rsidRPr="009B2C4A">
        <w:rPr>
          <w:lang w:val="fr-CA"/>
        </w:rPr>
        <w:t>infraction; elles doivent toutefois se rapporter à l</w:t>
      </w:r>
      <w:r w:rsidR="009B2C4A" w:rsidRPr="009B2C4A">
        <w:rPr>
          <w:lang w:val="fr-CA"/>
        </w:rPr>
        <w:t>’</w:t>
      </w:r>
      <w:r w:rsidRPr="009B2C4A">
        <w:rPr>
          <w:lang w:val="fr-CA"/>
        </w:rPr>
        <w:t>infraction et à la situation du délinquant. Aucune formule rigide n</w:t>
      </w:r>
      <w:r w:rsidR="009B2C4A" w:rsidRPr="009B2C4A">
        <w:rPr>
          <w:lang w:val="fr-CA"/>
        </w:rPr>
        <w:t>’</w:t>
      </w:r>
      <w:r w:rsidRPr="009B2C4A">
        <w:rPr>
          <w:lang w:val="fr-CA"/>
        </w:rPr>
        <w:t>encadre la prise en considération des conséquences indirectes, et il n</w:t>
      </w:r>
      <w:r w:rsidR="009B2C4A" w:rsidRPr="009B2C4A">
        <w:rPr>
          <w:lang w:val="fr-CA"/>
        </w:rPr>
        <w:t>’</w:t>
      </w:r>
      <w:r w:rsidRPr="009B2C4A">
        <w:rPr>
          <w:lang w:val="fr-CA"/>
        </w:rPr>
        <w:t>est pas nécessaire que de telles conséquences découlent de la conduite répréhensible de représentants de l</w:t>
      </w:r>
      <w:r w:rsidR="009B2C4A" w:rsidRPr="009B2C4A">
        <w:rPr>
          <w:lang w:val="fr-CA"/>
        </w:rPr>
        <w:t>’</w:t>
      </w:r>
      <w:r w:rsidRPr="009B2C4A">
        <w:rPr>
          <w:lang w:val="fr-CA"/>
        </w:rPr>
        <w:t>État pour qu</w:t>
      </w:r>
      <w:r w:rsidR="009B2C4A" w:rsidRPr="009B2C4A">
        <w:rPr>
          <w:lang w:val="fr-CA"/>
        </w:rPr>
        <w:t>’</w:t>
      </w:r>
      <w:r w:rsidRPr="009B2C4A">
        <w:rPr>
          <w:lang w:val="fr-CA"/>
        </w:rPr>
        <w:t>elles puissent être considérées comme un facteur lors de la détermination de la peine. Cependant, le principe fondamental de la proportionnalité doit prévaloir dans tous les cas — les conséquences indirectes ne sauraient permettre de réduire une peine au point où celle</w:t>
      </w:r>
      <w:r w:rsidR="009B2C4A" w:rsidRPr="009B2C4A">
        <w:rPr>
          <w:lang w:val="fr-CA"/>
        </w:rPr>
        <w:noBreakHyphen/>
      </w:r>
      <w:r w:rsidRPr="009B2C4A">
        <w:rPr>
          <w:lang w:val="fr-CA"/>
        </w:rPr>
        <w:t>ci n</w:t>
      </w:r>
      <w:r w:rsidR="009B2C4A" w:rsidRPr="009B2C4A">
        <w:rPr>
          <w:lang w:val="fr-CA"/>
        </w:rPr>
        <w:t>’</w:t>
      </w:r>
      <w:r w:rsidRPr="009B2C4A">
        <w:rPr>
          <w:lang w:val="fr-CA"/>
        </w:rPr>
        <w:t>est plus proportionnelle à la gravité de l</w:t>
      </w:r>
      <w:r w:rsidR="009B2C4A" w:rsidRPr="009B2C4A">
        <w:rPr>
          <w:lang w:val="fr-CA"/>
        </w:rPr>
        <w:t>’</w:t>
      </w:r>
      <w:r w:rsidRPr="009B2C4A">
        <w:rPr>
          <w:lang w:val="fr-CA"/>
        </w:rPr>
        <w:t>infraction ou à la culpabilité morale du délinquant. Les actes violents commis à l</w:t>
      </w:r>
      <w:r w:rsidR="009B2C4A" w:rsidRPr="009B2C4A">
        <w:rPr>
          <w:lang w:val="fr-CA"/>
        </w:rPr>
        <w:t>’</w:t>
      </w:r>
      <w:r w:rsidRPr="009B2C4A">
        <w:rPr>
          <w:lang w:val="fr-CA"/>
        </w:rPr>
        <w:t>endroit d</w:t>
      </w:r>
      <w:r w:rsidR="009B2C4A" w:rsidRPr="009B2C4A">
        <w:rPr>
          <w:lang w:val="fr-CA"/>
        </w:rPr>
        <w:t>’</w:t>
      </w:r>
      <w:r w:rsidRPr="009B2C4A">
        <w:rPr>
          <w:lang w:val="fr-CA"/>
        </w:rPr>
        <w:t>un délinquant à cause du rôle qu</w:t>
      </w:r>
      <w:r w:rsidR="009B2C4A" w:rsidRPr="009B2C4A">
        <w:rPr>
          <w:lang w:val="fr-CA"/>
        </w:rPr>
        <w:t>’</w:t>
      </w:r>
      <w:r w:rsidRPr="009B2C4A">
        <w:rPr>
          <w:lang w:val="fr-CA"/>
        </w:rPr>
        <w:t>il a joué dans la perpétration d</w:t>
      </w:r>
      <w:r w:rsidR="009B2C4A" w:rsidRPr="009B2C4A">
        <w:rPr>
          <w:lang w:val="fr-CA"/>
        </w:rPr>
        <w:t>’</w:t>
      </w:r>
      <w:r w:rsidRPr="009B2C4A">
        <w:rPr>
          <w:lang w:val="fr-CA"/>
        </w:rPr>
        <w:t>une infraction font nécessairement partie de la situation personnelle de ce délinquant et doivent donc être pris en compte dans la détermination de la peine appropriée. Toutefois, les act</w:t>
      </w:r>
      <w:r w:rsidR="00D32D1E">
        <w:rPr>
          <w:lang w:val="fr-CA"/>
        </w:rPr>
        <w:t>es de violence justicière ne doive</w:t>
      </w:r>
      <w:r w:rsidRPr="009B2C4A">
        <w:rPr>
          <w:lang w:val="fr-CA"/>
        </w:rPr>
        <w:t>nt être pris en compte que dans une mesure limitée, parce que leur accorder une trop grande importance lors de la détermination de la peine confère à ce type de comportement criminel une légitimité indue dans le processus judiciaire.</w:t>
      </w:r>
    </w:p>
    <w:p w:rsidR="009921E8" w:rsidRPr="009B2C4A" w:rsidRDefault="009921E8" w:rsidP="00123730">
      <w:pPr>
        <w:pStyle w:val="SCCNormalDoubleSpacing"/>
        <w:spacing w:after="480"/>
        <w:rPr>
          <w:lang w:val="fr-CA"/>
        </w:rPr>
      </w:pPr>
      <w:r w:rsidRPr="009B2C4A">
        <w:rPr>
          <w:lang w:val="fr-CA"/>
        </w:rPr>
        <w:lastRenderedPageBreak/>
        <w:tab/>
        <w:t>Bien qu</w:t>
      </w:r>
      <w:r w:rsidR="009B2C4A" w:rsidRPr="009B2C4A">
        <w:rPr>
          <w:lang w:val="fr-CA"/>
        </w:rPr>
        <w:t>’</w:t>
      </w:r>
      <w:r w:rsidRPr="009B2C4A">
        <w:rPr>
          <w:lang w:val="fr-CA"/>
        </w:rPr>
        <w:t>elle ne constitue pas un moyen de défense contre une accusation criminelle, l</w:t>
      </w:r>
      <w:r w:rsidR="009B2C4A" w:rsidRPr="009B2C4A">
        <w:rPr>
          <w:lang w:val="fr-CA"/>
        </w:rPr>
        <w:t>’</w:t>
      </w:r>
      <w:r w:rsidRPr="009B2C4A">
        <w:rPr>
          <w:lang w:val="fr-CA"/>
        </w:rPr>
        <w:t>erreur de droit peut servir de facteur atténuant lors de la détermination de la peine, et ce, parce que la culpabilité morale des délinquants qui croient sincèrement, mais à tort, à la légalité de leurs actes est moindre</w:t>
      </w:r>
      <w:r w:rsidRPr="009B2C4A">
        <w:rPr>
          <w:i/>
          <w:lang w:val="fr-CA"/>
        </w:rPr>
        <w:t xml:space="preserve"> </w:t>
      </w:r>
      <w:r w:rsidRPr="009B2C4A">
        <w:rPr>
          <w:lang w:val="fr-CA"/>
        </w:rPr>
        <w:t>que celle des délinquants qui ne sont pas sûrs de la légalité de leurs actes ou savent que ceux</w:t>
      </w:r>
      <w:r w:rsidR="009B2C4A" w:rsidRPr="009B2C4A">
        <w:rPr>
          <w:lang w:val="fr-CA"/>
        </w:rPr>
        <w:noBreakHyphen/>
      </w:r>
      <w:r w:rsidRPr="009B2C4A">
        <w:rPr>
          <w:lang w:val="fr-CA"/>
        </w:rPr>
        <w:t>ci sont illégaux. L</w:t>
      </w:r>
      <w:r w:rsidR="009B2C4A" w:rsidRPr="009B2C4A">
        <w:rPr>
          <w:lang w:val="fr-CA"/>
        </w:rPr>
        <w:t>’</w:t>
      </w:r>
      <w:r w:rsidRPr="009B2C4A">
        <w:rPr>
          <w:lang w:val="fr-CA"/>
        </w:rPr>
        <w:t>erreur de droit est un concept juridique aux exigences rigoureuses qui se produit uniquement lorsqu</w:t>
      </w:r>
      <w:r w:rsidR="009B2C4A" w:rsidRPr="009B2C4A">
        <w:rPr>
          <w:lang w:val="fr-CA"/>
        </w:rPr>
        <w:t>’</w:t>
      </w:r>
      <w:r w:rsidRPr="009B2C4A">
        <w:rPr>
          <w:lang w:val="fr-CA"/>
        </w:rPr>
        <w:t>une personne croit sincèrement, mais à tort, à la légalité de ses actes. La confusion dans l</w:t>
      </w:r>
      <w:r w:rsidR="009B2C4A" w:rsidRPr="009B2C4A">
        <w:rPr>
          <w:lang w:val="fr-CA"/>
        </w:rPr>
        <w:t>’</w:t>
      </w:r>
      <w:r w:rsidRPr="009B2C4A">
        <w:rPr>
          <w:lang w:val="fr-CA"/>
        </w:rPr>
        <w:t>esprit d</w:t>
      </w:r>
      <w:r w:rsidR="009B2C4A" w:rsidRPr="009B2C4A">
        <w:rPr>
          <w:lang w:val="fr-CA"/>
        </w:rPr>
        <w:t>’</w:t>
      </w:r>
      <w:r w:rsidRPr="009B2C4A">
        <w:rPr>
          <w:lang w:val="fr-CA"/>
        </w:rPr>
        <w:t>une personne ou l</w:t>
      </w:r>
      <w:r w:rsidR="009B2C4A" w:rsidRPr="009B2C4A">
        <w:rPr>
          <w:lang w:val="fr-CA"/>
        </w:rPr>
        <w:t>’</w:t>
      </w:r>
      <w:r w:rsidRPr="009B2C4A">
        <w:rPr>
          <w:lang w:val="fr-CA"/>
        </w:rPr>
        <w:t>incertitude de celle</w:t>
      </w:r>
      <w:r w:rsidR="009B2C4A" w:rsidRPr="009B2C4A">
        <w:rPr>
          <w:lang w:val="fr-CA"/>
        </w:rPr>
        <w:noBreakHyphen/>
      </w:r>
      <w:r w:rsidRPr="009B2C4A">
        <w:rPr>
          <w:lang w:val="fr-CA"/>
        </w:rPr>
        <w:t>ci à l</w:t>
      </w:r>
      <w:r w:rsidR="009B2C4A" w:rsidRPr="009B2C4A">
        <w:rPr>
          <w:lang w:val="fr-CA"/>
        </w:rPr>
        <w:t>’</w:t>
      </w:r>
      <w:r w:rsidRPr="009B2C4A">
        <w:rPr>
          <w:lang w:val="fr-CA"/>
        </w:rPr>
        <w:t>égard de la légalité de ses actes ne satisfait pas aux exigences légales de l</w:t>
      </w:r>
      <w:r w:rsidR="009B2C4A" w:rsidRPr="009B2C4A">
        <w:rPr>
          <w:lang w:val="fr-CA"/>
        </w:rPr>
        <w:t>’</w:t>
      </w:r>
      <w:r w:rsidRPr="009B2C4A">
        <w:rPr>
          <w:lang w:val="fr-CA"/>
        </w:rPr>
        <w:t>erreur de droit; cependant, selon les faits de l</w:t>
      </w:r>
      <w:r w:rsidR="009B2C4A" w:rsidRPr="009B2C4A">
        <w:rPr>
          <w:lang w:val="fr-CA"/>
        </w:rPr>
        <w:t>’</w:t>
      </w:r>
      <w:r w:rsidRPr="009B2C4A">
        <w:rPr>
          <w:lang w:val="fr-CA"/>
        </w:rPr>
        <w:t>affaire, une telle confusion peut quand même être pertinente pour l</w:t>
      </w:r>
      <w:r w:rsidR="009B2C4A" w:rsidRPr="009B2C4A">
        <w:rPr>
          <w:lang w:val="fr-CA"/>
        </w:rPr>
        <w:t>’</w:t>
      </w:r>
      <w:r w:rsidRPr="009B2C4A">
        <w:rPr>
          <w:lang w:val="fr-CA"/>
        </w:rPr>
        <w:t>analyse relative à la détermination de la peine. Son effet atténuant, s</w:t>
      </w:r>
      <w:r w:rsidR="009B2C4A" w:rsidRPr="009B2C4A">
        <w:rPr>
          <w:lang w:val="fr-CA"/>
        </w:rPr>
        <w:t>’</w:t>
      </w:r>
      <w:r w:rsidRPr="009B2C4A">
        <w:rPr>
          <w:lang w:val="fr-CA"/>
        </w:rPr>
        <w:t>il en est, sera nécessairement moindre que dans le cas où il y a une véritable erreur de droit.</w:t>
      </w:r>
    </w:p>
    <w:p w:rsidR="009921E8" w:rsidRPr="009B2C4A" w:rsidRDefault="009921E8" w:rsidP="00123730">
      <w:pPr>
        <w:pStyle w:val="SCCNormalDoubleSpacing"/>
        <w:spacing w:after="480"/>
        <w:rPr>
          <w:lang w:val="fr-CA"/>
        </w:rPr>
      </w:pPr>
      <w:r w:rsidRPr="009B2C4A">
        <w:rPr>
          <w:lang w:val="fr-CA"/>
        </w:rPr>
        <w:tab/>
        <w:t>Une conclusion d</w:t>
      </w:r>
      <w:r w:rsidR="009B2C4A" w:rsidRPr="009B2C4A">
        <w:rPr>
          <w:lang w:val="fr-CA"/>
        </w:rPr>
        <w:t>’</w:t>
      </w:r>
      <w:r w:rsidRPr="009B2C4A">
        <w:rPr>
          <w:lang w:val="fr-CA"/>
        </w:rPr>
        <w:t>absence d</w:t>
      </w:r>
      <w:r w:rsidR="009B2C4A" w:rsidRPr="009B2C4A">
        <w:rPr>
          <w:lang w:val="fr-CA"/>
        </w:rPr>
        <w:t>’</w:t>
      </w:r>
      <w:r w:rsidRPr="009B2C4A">
        <w:rPr>
          <w:lang w:val="fr-CA"/>
        </w:rPr>
        <w:t>affaiblissement des facultés constitue un facteur atténuant pertinent lors de la détermination de la peine à infliger à un délinquant qui a refusé de fournir un échantillon d</w:t>
      </w:r>
      <w:r w:rsidR="009B2C4A" w:rsidRPr="009B2C4A">
        <w:rPr>
          <w:lang w:val="fr-CA"/>
        </w:rPr>
        <w:t>’</w:t>
      </w:r>
      <w:r w:rsidRPr="009B2C4A">
        <w:rPr>
          <w:lang w:val="fr-CA"/>
        </w:rPr>
        <w:t>haleine, mais son effet atténuant doit être limité pour plusieurs raisons. Premièrement, les audiences de détermination de la peine concernant les infractions de refus d</w:t>
      </w:r>
      <w:r w:rsidR="009B2C4A" w:rsidRPr="009B2C4A">
        <w:rPr>
          <w:lang w:val="fr-CA"/>
        </w:rPr>
        <w:t>’</w:t>
      </w:r>
      <w:r w:rsidRPr="009B2C4A">
        <w:rPr>
          <w:lang w:val="fr-CA"/>
        </w:rPr>
        <w:t>obtempérer pourraient se transformer dans les faits en procès pour conduite avec capacités affaiblies, ce qui ajouterait à la complexité et à la durée des procédures, en plus de réduire les ressources judiciaires limitées. Deuxièmement, comme les infractions de refus d</w:t>
      </w:r>
      <w:r w:rsidR="009B2C4A" w:rsidRPr="009B2C4A">
        <w:rPr>
          <w:lang w:val="fr-CA"/>
        </w:rPr>
        <w:t>’</w:t>
      </w:r>
      <w:r w:rsidRPr="009B2C4A">
        <w:rPr>
          <w:lang w:val="fr-CA"/>
        </w:rPr>
        <w:t>obtempérer servent essentiellement à recueillir des éléments de preuve en vue de permettre d</w:t>
      </w:r>
      <w:r w:rsidR="009B2C4A" w:rsidRPr="009B2C4A">
        <w:rPr>
          <w:lang w:val="fr-CA"/>
        </w:rPr>
        <w:t>’</w:t>
      </w:r>
      <w:r w:rsidRPr="009B2C4A">
        <w:rPr>
          <w:lang w:val="fr-CA"/>
        </w:rPr>
        <w:t>obtenir la preuve la plus fiable d</w:t>
      </w:r>
      <w:r w:rsidR="009B2C4A" w:rsidRPr="009B2C4A">
        <w:rPr>
          <w:lang w:val="fr-CA"/>
        </w:rPr>
        <w:t>’</w:t>
      </w:r>
      <w:r w:rsidRPr="009B2C4A">
        <w:rPr>
          <w:lang w:val="fr-CA"/>
        </w:rPr>
        <w:t>affaiblissement des facultés, la gravité de l</w:t>
      </w:r>
      <w:r w:rsidR="009B2C4A" w:rsidRPr="009B2C4A">
        <w:rPr>
          <w:lang w:val="fr-CA"/>
        </w:rPr>
        <w:t>’</w:t>
      </w:r>
      <w:r w:rsidRPr="009B2C4A">
        <w:rPr>
          <w:lang w:val="fr-CA"/>
        </w:rPr>
        <w:t>infraction et la culpabilité morale du délinquant découlent surtout du refus lui</w:t>
      </w:r>
      <w:r w:rsidR="009B2C4A" w:rsidRPr="009B2C4A">
        <w:rPr>
          <w:lang w:val="fr-CA"/>
        </w:rPr>
        <w:noBreakHyphen/>
      </w:r>
      <w:r w:rsidRPr="009B2C4A">
        <w:rPr>
          <w:lang w:val="fr-CA"/>
        </w:rPr>
        <w:t>même, et non du degré d</w:t>
      </w:r>
      <w:r w:rsidR="009B2C4A" w:rsidRPr="009B2C4A">
        <w:rPr>
          <w:lang w:val="fr-CA"/>
        </w:rPr>
        <w:t>’</w:t>
      </w:r>
      <w:r w:rsidRPr="009B2C4A">
        <w:rPr>
          <w:lang w:val="fr-CA"/>
        </w:rPr>
        <w:t xml:space="preserve">affaiblissement des </w:t>
      </w:r>
      <w:r w:rsidRPr="009B2C4A">
        <w:rPr>
          <w:lang w:val="fr-CA"/>
        </w:rPr>
        <w:lastRenderedPageBreak/>
        <w:t>facultés du délinquant. Troisièmement, cela pourrait inciter des personnes à ne pas fournir d</w:t>
      </w:r>
      <w:r w:rsidR="009B2C4A" w:rsidRPr="009B2C4A">
        <w:rPr>
          <w:lang w:val="fr-CA"/>
        </w:rPr>
        <w:t>’</w:t>
      </w:r>
      <w:r w:rsidRPr="009B2C4A">
        <w:rPr>
          <w:lang w:val="fr-CA"/>
        </w:rPr>
        <w:t>échantillon d</w:t>
      </w:r>
      <w:r w:rsidR="009B2C4A" w:rsidRPr="009B2C4A">
        <w:rPr>
          <w:lang w:val="fr-CA"/>
        </w:rPr>
        <w:t>’</w:t>
      </w:r>
      <w:r w:rsidRPr="009B2C4A">
        <w:rPr>
          <w:lang w:val="fr-CA"/>
        </w:rPr>
        <w:t>haleine, à être reconnues coupables de l</w:t>
      </w:r>
      <w:r w:rsidR="009B2C4A" w:rsidRPr="009B2C4A">
        <w:rPr>
          <w:lang w:val="fr-CA"/>
        </w:rPr>
        <w:t>’</w:t>
      </w:r>
      <w:r w:rsidRPr="009B2C4A">
        <w:rPr>
          <w:lang w:val="fr-CA"/>
        </w:rPr>
        <w:t>infraction de refus d</w:t>
      </w:r>
      <w:r w:rsidR="009B2C4A" w:rsidRPr="009B2C4A">
        <w:rPr>
          <w:lang w:val="fr-CA"/>
        </w:rPr>
        <w:t>’</w:t>
      </w:r>
      <w:r w:rsidRPr="009B2C4A">
        <w:rPr>
          <w:lang w:val="fr-CA"/>
        </w:rPr>
        <w:t>obtempérer pour ensuite faire valoir à l</w:t>
      </w:r>
      <w:r w:rsidR="009B2C4A" w:rsidRPr="009B2C4A">
        <w:rPr>
          <w:lang w:val="fr-CA"/>
        </w:rPr>
        <w:t>’</w:t>
      </w:r>
      <w:r w:rsidRPr="009B2C4A">
        <w:rPr>
          <w:lang w:val="fr-CA"/>
        </w:rPr>
        <w:t>audience de détermination de la peine que leurs capacités n</w:t>
      </w:r>
      <w:r w:rsidR="009B2C4A" w:rsidRPr="009B2C4A">
        <w:rPr>
          <w:lang w:val="fr-CA"/>
        </w:rPr>
        <w:t>’</w:t>
      </w:r>
      <w:r w:rsidRPr="009B2C4A">
        <w:rPr>
          <w:lang w:val="fr-CA"/>
        </w:rPr>
        <w:t>étaient pas affaiblies afin de bénéficier d</w:t>
      </w:r>
      <w:r w:rsidR="009B2C4A" w:rsidRPr="009B2C4A">
        <w:rPr>
          <w:lang w:val="fr-CA"/>
        </w:rPr>
        <w:t>’</w:t>
      </w:r>
      <w:r w:rsidRPr="009B2C4A">
        <w:rPr>
          <w:lang w:val="fr-CA"/>
        </w:rPr>
        <w:t>une peine réduite. La mesure dans laquelle l</w:t>
      </w:r>
      <w:r w:rsidR="009B2C4A" w:rsidRPr="009B2C4A">
        <w:rPr>
          <w:lang w:val="fr-CA"/>
        </w:rPr>
        <w:t>’</w:t>
      </w:r>
      <w:r w:rsidRPr="009B2C4A">
        <w:rPr>
          <w:lang w:val="fr-CA"/>
        </w:rPr>
        <w:t>effet atténuant doit être limité est une démarche factuelle qui dépend des circonstances particulières de l</w:t>
      </w:r>
      <w:r w:rsidR="009B2C4A" w:rsidRPr="009B2C4A">
        <w:rPr>
          <w:lang w:val="fr-CA"/>
        </w:rPr>
        <w:t>’</w:t>
      </w:r>
      <w:r w:rsidR="00156534">
        <w:rPr>
          <w:lang w:val="fr-CA"/>
        </w:rPr>
        <w:t>affaire</w:t>
      </w:r>
      <w:r w:rsidRPr="009B2C4A">
        <w:rPr>
          <w:lang w:val="fr-CA"/>
        </w:rPr>
        <w:t xml:space="preserve"> et il incombe au délinquant d</w:t>
      </w:r>
      <w:r w:rsidR="009B2C4A" w:rsidRPr="009B2C4A">
        <w:rPr>
          <w:lang w:val="fr-CA"/>
        </w:rPr>
        <w:t>’</w:t>
      </w:r>
      <w:r w:rsidRPr="009B2C4A">
        <w:rPr>
          <w:lang w:val="fr-CA"/>
        </w:rPr>
        <w:t>établir, selon la prépondérance des probabilités, que ses capacités n</w:t>
      </w:r>
      <w:r w:rsidR="009B2C4A" w:rsidRPr="009B2C4A">
        <w:rPr>
          <w:lang w:val="fr-CA"/>
        </w:rPr>
        <w:t>’</w:t>
      </w:r>
      <w:r w:rsidRPr="009B2C4A">
        <w:rPr>
          <w:lang w:val="fr-CA"/>
        </w:rPr>
        <w:t>étaient pas affaiblies au moment où l</w:t>
      </w:r>
      <w:r w:rsidR="009B2C4A" w:rsidRPr="009B2C4A">
        <w:rPr>
          <w:lang w:val="fr-CA"/>
        </w:rPr>
        <w:t>’</w:t>
      </w:r>
      <w:r w:rsidRPr="009B2C4A">
        <w:rPr>
          <w:lang w:val="fr-CA"/>
        </w:rPr>
        <w:t>infraction a été commise.</w:t>
      </w:r>
    </w:p>
    <w:p w:rsidR="009921E8" w:rsidRPr="009B2C4A" w:rsidRDefault="009921E8" w:rsidP="00123730">
      <w:pPr>
        <w:pStyle w:val="SCCNormalDoubleSpacing"/>
        <w:spacing w:after="480"/>
        <w:rPr>
          <w:lang w:val="fr-CA"/>
        </w:rPr>
      </w:pPr>
      <w:r w:rsidRPr="009B2C4A">
        <w:rPr>
          <w:lang w:val="fr-CA"/>
        </w:rPr>
        <w:tab/>
        <w:t>En l</w:t>
      </w:r>
      <w:r w:rsidR="009B2C4A" w:rsidRPr="009B2C4A">
        <w:rPr>
          <w:lang w:val="fr-CA"/>
        </w:rPr>
        <w:t>’</w:t>
      </w:r>
      <w:r w:rsidRPr="009B2C4A">
        <w:rPr>
          <w:lang w:val="fr-CA"/>
        </w:rPr>
        <w:t>espèce,</w:t>
      </w:r>
      <w:r w:rsidRPr="009B2C4A">
        <w:rPr>
          <w:noProof/>
          <w:lang w:val="fr-CA"/>
        </w:rPr>
        <w:t xml:space="preserve"> le juge de la peine et la Cour d</w:t>
      </w:r>
      <w:r w:rsidR="009B2C4A" w:rsidRPr="009B2C4A">
        <w:rPr>
          <w:noProof/>
          <w:lang w:val="fr-CA"/>
        </w:rPr>
        <w:t>’</w:t>
      </w:r>
      <w:r w:rsidRPr="009B2C4A">
        <w:rPr>
          <w:noProof/>
          <w:lang w:val="fr-CA"/>
        </w:rPr>
        <w:t>appel ont commis des erreurs de principe dans la détermination des peines qu</w:t>
      </w:r>
      <w:r w:rsidR="009B2C4A" w:rsidRPr="009B2C4A">
        <w:rPr>
          <w:noProof/>
          <w:lang w:val="fr-CA"/>
        </w:rPr>
        <w:t>’</w:t>
      </w:r>
      <w:r w:rsidRPr="009B2C4A">
        <w:rPr>
          <w:noProof/>
          <w:lang w:val="fr-CA"/>
        </w:rPr>
        <w:t>ils ont infligées et ces erreurs ont mené à l</w:t>
      </w:r>
      <w:r w:rsidR="009B2C4A" w:rsidRPr="009B2C4A">
        <w:rPr>
          <w:noProof/>
          <w:lang w:val="fr-CA"/>
        </w:rPr>
        <w:t>’</w:t>
      </w:r>
      <w:r w:rsidRPr="009B2C4A">
        <w:rPr>
          <w:noProof/>
          <w:lang w:val="fr-CA"/>
        </w:rPr>
        <w:t>imposition de peines non indiquées</w:t>
      </w:r>
      <w:r w:rsidRPr="009B2C4A">
        <w:rPr>
          <w:lang w:val="fr-CA"/>
        </w:rPr>
        <w:t xml:space="preserve">. </w:t>
      </w:r>
      <w:r w:rsidRPr="009B2C4A">
        <w:rPr>
          <w:noProof/>
          <w:lang w:val="fr-CA"/>
        </w:rPr>
        <w:t>La Cour d</w:t>
      </w:r>
      <w:r w:rsidR="009B2C4A" w:rsidRPr="009B2C4A">
        <w:rPr>
          <w:noProof/>
          <w:lang w:val="fr-CA"/>
        </w:rPr>
        <w:t>’</w:t>
      </w:r>
      <w:r w:rsidRPr="009B2C4A">
        <w:rPr>
          <w:noProof/>
          <w:lang w:val="fr-CA"/>
        </w:rPr>
        <w:t>appel a commis une erreur, d</w:t>
      </w:r>
      <w:r w:rsidR="009B2C4A" w:rsidRPr="009B2C4A">
        <w:rPr>
          <w:noProof/>
          <w:lang w:val="fr-CA"/>
        </w:rPr>
        <w:t>’</w:t>
      </w:r>
      <w:r w:rsidRPr="009B2C4A">
        <w:rPr>
          <w:noProof/>
          <w:lang w:val="fr-CA"/>
        </w:rPr>
        <w:t>une part, en redéfinissant les circonstances de l</w:t>
      </w:r>
      <w:r w:rsidR="009B2C4A" w:rsidRPr="009B2C4A">
        <w:rPr>
          <w:noProof/>
          <w:lang w:val="fr-CA"/>
        </w:rPr>
        <w:t>’</w:t>
      </w:r>
      <w:r w:rsidRPr="009B2C4A">
        <w:rPr>
          <w:noProof/>
          <w:lang w:val="fr-CA"/>
        </w:rPr>
        <w:t xml:space="preserve">accident et en condamnant dans les faits S pour une </w:t>
      </w:r>
      <w:r w:rsidRPr="009B2C4A">
        <w:rPr>
          <w:lang w:val="fr-CA"/>
        </w:rPr>
        <w:t>infraction</w:t>
      </w:r>
      <w:r w:rsidRPr="009B2C4A">
        <w:rPr>
          <w:noProof/>
          <w:lang w:val="fr-CA"/>
        </w:rPr>
        <w:t xml:space="preserve"> de conduite imprudente, ou de conduite dangereuse causant la mort, n</w:t>
      </w:r>
      <w:r w:rsidR="009B2C4A" w:rsidRPr="009B2C4A">
        <w:rPr>
          <w:noProof/>
          <w:lang w:val="fr-CA"/>
        </w:rPr>
        <w:t>’</w:t>
      </w:r>
      <w:r w:rsidRPr="009B2C4A">
        <w:rPr>
          <w:noProof/>
          <w:lang w:val="fr-CA"/>
        </w:rPr>
        <w:t>ayant fait l</w:t>
      </w:r>
      <w:r w:rsidR="009B2C4A" w:rsidRPr="009B2C4A">
        <w:rPr>
          <w:noProof/>
          <w:lang w:val="fr-CA"/>
        </w:rPr>
        <w:t>’</w:t>
      </w:r>
      <w:r w:rsidRPr="009B2C4A">
        <w:rPr>
          <w:noProof/>
          <w:lang w:val="fr-CA"/>
        </w:rPr>
        <w:t>objet d</w:t>
      </w:r>
      <w:r w:rsidR="009B2C4A" w:rsidRPr="009B2C4A">
        <w:rPr>
          <w:noProof/>
          <w:lang w:val="fr-CA"/>
        </w:rPr>
        <w:t>’</w:t>
      </w:r>
      <w:r w:rsidRPr="009B2C4A">
        <w:rPr>
          <w:noProof/>
          <w:lang w:val="fr-CA"/>
        </w:rPr>
        <w:t>aucune accusation, et, d</w:t>
      </w:r>
      <w:r w:rsidR="009B2C4A" w:rsidRPr="009B2C4A">
        <w:rPr>
          <w:noProof/>
          <w:lang w:val="fr-CA"/>
        </w:rPr>
        <w:t>’</w:t>
      </w:r>
      <w:r w:rsidRPr="009B2C4A">
        <w:rPr>
          <w:noProof/>
          <w:lang w:val="fr-CA"/>
        </w:rPr>
        <w:t>autre part, en concluant que les actes de violence justicière dont S a été victime ne pouvaient être pris en considération dans l</w:t>
      </w:r>
      <w:r w:rsidR="009B2C4A" w:rsidRPr="009B2C4A">
        <w:rPr>
          <w:noProof/>
          <w:lang w:val="fr-CA"/>
        </w:rPr>
        <w:t>’</w:t>
      </w:r>
      <w:r w:rsidRPr="009B2C4A">
        <w:rPr>
          <w:noProof/>
          <w:lang w:val="fr-CA"/>
        </w:rPr>
        <w:t>établissement de la peine appropriée</w:t>
      </w:r>
      <w:r w:rsidRPr="009B2C4A">
        <w:rPr>
          <w:lang w:val="fr-CA"/>
        </w:rPr>
        <w:t xml:space="preserve">. </w:t>
      </w:r>
      <w:r w:rsidRPr="009B2C4A">
        <w:rPr>
          <w:noProof/>
          <w:lang w:val="fr-CA"/>
        </w:rPr>
        <w:t>Le juge de la peine a fait erreur en statuant que S agissait sur le fondement d</w:t>
      </w:r>
      <w:r w:rsidR="009B2C4A" w:rsidRPr="009B2C4A">
        <w:rPr>
          <w:noProof/>
          <w:lang w:val="fr-CA"/>
        </w:rPr>
        <w:t>’</w:t>
      </w:r>
      <w:r w:rsidRPr="009B2C4A">
        <w:rPr>
          <w:noProof/>
          <w:lang w:val="fr-CA"/>
        </w:rPr>
        <w:t>une erreur de droit lorsqu</w:t>
      </w:r>
      <w:r w:rsidR="009B2C4A" w:rsidRPr="009B2C4A">
        <w:rPr>
          <w:noProof/>
          <w:lang w:val="fr-CA"/>
        </w:rPr>
        <w:t>’</w:t>
      </w:r>
      <w:r w:rsidRPr="009B2C4A">
        <w:rPr>
          <w:noProof/>
          <w:lang w:val="fr-CA"/>
        </w:rPr>
        <w:t>il a refusé de fournir un échantillon d</w:t>
      </w:r>
      <w:r w:rsidR="009B2C4A" w:rsidRPr="009B2C4A">
        <w:rPr>
          <w:noProof/>
          <w:lang w:val="fr-CA"/>
        </w:rPr>
        <w:t>’</w:t>
      </w:r>
      <w:r w:rsidRPr="009B2C4A">
        <w:rPr>
          <w:noProof/>
          <w:lang w:val="fr-CA"/>
        </w:rPr>
        <w:t>haleine et que ce facteur changeait de manière fondamentale sa culpabilité morale; il a également commis une erreur en accordant une importance indue à l</w:t>
      </w:r>
      <w:r w:rsidR="009B2C4A" w:rsidRPr="009B2C4A">
        <w:rPr>
          <w:noProof/>
          <w:lang w:val="fr-CA"/>
        </w:rPr>
        <w:t>’</w:t>
      </w:r>
      <w:r w:rsidRPr="009B2C4A">
        <w:rPr>
          <w:noProof/>
          <w:lang w:val="fr-CA"/>
        </w:rPr>
        <w:t>absence d</w:t>
      </w:r>
      <w:r w:rsidR="009B2C4A" w:rsidRPr="009B2C4A">
        <w:rPr>
          <w:noProof/>
          <w:lang w:val="fr-CA"/>
        </w:rPr>
        <w:t>’</w:t>
      </w:r>
      <w:r w:rsidRPr="009B2C4A">
        <w:rPr>
          <w:noProof/>
          <w:lang w:val="fr-CA"/>
        </w:rPr>
        <w:t>affaiblissement des facultés de S en tant que facteur atténuant.</w:t>
      </w:r>
    </w:p>
    <w:p w:rsidR="009921E8" w:rsidRPr="009B2C4A" w:rsidRDefault="009921E8" w:rsidP="00123730">
      <w:pPr>
        <w:pStyle w:val="SCCNormalDoubleSpacing"/>
        <w:spacing w:after="480"/>
        <w:rPr>
          <w:lang w:val="fr-CA"/>
        </w:rPr>
      </w:pPr>
      <w:r w:rsidRPr="009B2C4A">
        <w:rPr>
          <w:lang w:val="fr-CA"/>
        </w:rPr>
        <w:tab/>
        <w:t>Dans le cas unique de S, les facteurs suivants font en sorte que la peine à lui imposer ne fait pas partie de la fourchette habituelle de peines applicable à l</w:t>
      </w:r>
      <w:r w:rsidR="009B2C4A" w:rsidRPr="009B2C4A">
        <w:rPr>
          <w:lang w:val="fr-CA"/>
        </w:rPr>
        <w:t>’</w:t>
      </w:r>
      <w:r w:rsidRPr="009B2C4A">
        <w:rPr>
          <w:lang w:val="fr-CA"/>
        </w:rPr>
        <w:t xml:space="preserve">infraction visée au </w:t>
      </w:r>
      <w:r w:rsidR="009B2C4A" w:rsidRPr="009B2C4A">
        <w:rPr>
          <w:lang w:val="fr-CA"/>
        </w:rPr>
        <w:t>par. </w:t>
      </w:r>
      <w:r w:rsidRPr="009B2C4A">
        <w:rPr>
          <w:lang w:val="fr-CA"/>
        </w:rPr>
        <w:t>255(3.2)</w:t>
      </w:r>
      <w:r w:rsidR="009B2C4A" w:rsidRPr="009B2C4A">
        <w:rPr>
          <w:lang w:val="fr-CA"/>
        </w:rPr>
        <w:t> :</w:t>
      </w:r>
      <w:r w:rsidRPr="009B2C4A">
        <w:rPr>
          <w:lang w:val="fr-CA"/>
        </w:rPr>
        <w:t xml:space="preserve"> il n</w:t>
      </w:r>
      <w:r w:rsidR="009B2C4A" w:rsidRPr="009B2C4A">
        <w:rPr>
          <w:lang w:val="fr-CA"/>
        </w:rPr>
        <w:t>’</w:t>
      </w:r>
      <w:r w:rsidRPr="009B2C4A">
        <w:rPr>
          <w:lang w:val="fr-CA"/>
        </w:rPr>
        <w:t xml:space="preserve">avait pas les facultés affaiblies au moment de </w:t>
      </w:r>
      <w:r w:rsidRPr="009B2C4A">
        <w:rPr>
          <w:lang w:val="fr-CA"/>
        </w:rPr>
        <w:lastRenderedPageBreak/>
        <w:t>l</w:t>
      </w:r>
      <w:r w:rsidR="009B2C4A" w:rsidRPr="009B2C4A">
        <w:rPr>
          <w:lang w:val="fr-CA"/>
        </w:rPr>
        <w:t>’</w:t>
      </w:r>
      <w:r w:rsidRPr="009B2C4A">
        <w:rPr>
          <w:lang w:val="fr-CA"/>
        </w:rPr>
        <w:t>accident, il a refusé de fournir un échantillon d</w:t>
      </w:r>
      <w:r w:rsidR="009B2C4A" w:rsidRPr="009B2C4A">
        <w:rPr>
          <w:lang w:val="fr-CA"/>
        </w:rPr>
        <w:t>’</w:t>
      </w:r>
      <w:r w:rsidRPr="009B2C4A">
        <w:rPr>
          <w:lang w:val="fr-CA"/>
        </w:rPr>
        <w:t xml:space="preserve">haleine en raison des conseils erronés que lui a donnés un avocat mal informé et il a été attaqué par des justiciers. Cependant, ces facteurs ne justifient pas la peine imposée par </w:t>
      </w:r>
      <w:r w:rsidR="00CB0EE1">
        <w:rPr>
          <w:lang w:val="fr-CA"/>
        </w:rPr>
        <w:t xml:space="preserve">le </w:t>
      </w:r>
      <w:r w:rsidRPr="009B2C4A">
        <w:rPr>
          <w:lang w:val="fr-CA"/>
        </w:rPr>
        <w:t>juge de la peine, laquelle ne tient pas dûment compte de la gravité de l</w:t>
      </w:r>
      <w:r w:rsidR="009B2C4A" w:rsidRPr="009B2C4A">
        <w:rPr>
          <w:lang w:val="fr-CA"/>
        </w:rPr>
        <w:t>’</w:t>
      </w:r>
      <w:r w:rsidRPr="009B2C4A">
        <w:rPr>
          <w:lang w:val="fr-CA"/>
        </w:rPr>
        <w:t>infraction. Une peine de 15 à 18 mois d</w:t>
      </w:r>
      <w:r w:rsidR="009B2C4A" w:rsidRPr="009B2C4A">
        <w:rPr>
          <w:lang w:val="fr-CA"/>
        </w:rPr>
        <w:t>’</w:t>
      </w:r>
      <w:r w:rsidRPr="009B2C4A">
        <w:rPr>
          <w:lang w:val="fr-CA"/>
        </w:rPr>
        <w:t>emprisonnement aurait constitué une peine indiquée au moment de la détermination de la peine. Cependant, S a déjà purgé un peu plus de 10 mois et demi de sa peine d</w:t>
      </w:r>
      <w:r w:rsidR="009B2C4A" w:rsidRPr="009B2C4A">
        <w:rPr>
          <w:lang w:val="fr-CA"/>
        </w:rPr>
        <w:t>’</w:t>
      </w:r>
      <w:r w:rsidRPr="009B2C4A">
        <w:rPr>
          <w:lang w:val="fr-CA"/>
        </w:rPr>
        <w:t xml:space="preserve">emprisonnement et il a passé presque 9 mois à attendre la décision de </w:t>
      </w:r>
      <w:r w:rsidR="00CB0EE1">
        <w:rPr>
          <w:lang w:val="fr-CA"/>
        </w:rPr>
        <w:t>la</w:t>
      </w:r>
      <w:r w:rsidRPr="009B2C4A">
        <w:rPr>
          <w:lang w:val="fr-CA"/>
        </w:rPr>
        <w:t xml:space="preserve"> Cour. Il ne serait pas dans l</w:t>
      </w:r>
      <w:r w:rsidR="009B2C4A" w:rsidRPr="009B2C4A">
        <w:rPr>
          <w:lang w:val="fr-CA"/>
        </w:rPr>
        <w:t>’</w:t>
      </w:r>
      <w:r w:rsidRPr="009B2C4A">
        <w:rPr>
          <w:lang w:val="fr-CA"/>
        </w:rPr>
        <w:t>intérêt de la justice de réincarcérer S à ce moment</w:t>
      </w:r>
      <w:r w:rsidR="009B2C4A" w:rsidRPr="009B2C4A">
        <w:rPr>
          <w:lang w:val="fr-CA"/>
        </w:rPr>
        <w:noBreakHyphen/>
      </w:r>
      <w:r w:rsidRPr="009B2C4A">
        <w:rPr>
          <w:lang w:val="fr-CA"/>
        </w:rPr>
        <w:t>ci; cela lui causerait un préjudice indu et ne servirait à rien.</w:t>
      </w:r>
    </w:p>
    <w:p w:rsidR="009921E8" w:rsidRPr="009B2C4A" w:rsidRDefault="009921E8" w:rsidP="00123730">
      <w:pPr>
        <w:pStyle w:val="SCCNormalDoubleSpacing"/>
        <w:spacing w:after="480"/>
        <w:rPr>
          <w:lang w:val="fr-CA"/>
        </w:rPr>
      </w:pPr>
      <w:r w:rsidRPr="009B2C4A">
        <w:rPr>
          <w:lang w:val="fr-CA"/>
        </w:rPr>
        <w:tab/>
      </w:r>
      <w:r w:rsidRPr="009B2C4A">
        <w:rPr>
          <w:i/>
          <w:lang w:val="fr-CA"/>
        </w:rPr>
        <w:t xml:space="preserve">Le </w:t>
      </w:r>
      <w:r w:rsidRPr="009B2C4A">
        <w:rPr>
          <w:lang w:val="fr-CA"/>
        </w:rPr>
        <w:t>juge</w:t>
      </w:r>
      <w:r w:rsidRPr="009B2C4A">
        <w:rPr>
          <w:b/>
          <w:lang w:val="fr-CA"/>
        </w:rPr>
        <w:t xml:space="preserve"> </w:t>
      </w:r>
      <w:r w:rsidRPr="001B36FA">
        <w:rPr>
          <w:lang w:val="fr-CA"/>
        </w:rPr>
        <w:t>Gascon</w:t>
      </w:r>
      <w:r w:rsidRPr="009B2C4A">
        <w:rPr>
          <w:lang w:val="fr-CA"/>
        </w:rPr>
        <w:t xml:space="preserve"> (dissident en partie)</w:t>
      </w:r>
      <w:r w:rsidR="009B2C4A" w:rsidRPr="009B2C4A">
        <w:rPr>
          <w:lang w:val="fr-CA"/>
        </w:rPr>
        <w:t> :</w:t>
      </w:r>
      <w:r w:rsidRPr="009B2C4A">
        <w:rPr>
          <w:lang w:val="fr-CA"/>
        </w:rPr>
        <w:t xml:space="preserve"> Il y a accord avec les juges majoritaires pour dire que la peine de 26 mois d</w:t>
      </w:r>
      <w:r w:rsidR="009B2C4A" w:rsidRPr="009B2C4A">
        <w:rPr>
          <w:lang w:val="fr-CA"/>
        </w:rPr>
        <w:t>’</w:t>
      </w:r>
      <w:r w:rsidRPr="009B2C4A">
        <w:rPr>
          <w:lang w:val="fr-CA"/>
        </w:rPr>
        <w:t>emprisonnement infligée par la Cour d</w:t>
      </w:r>
      <w:r w:rsidR="009B2C4A" w:rsidRPr="009B2C4A">
        <w:rPr>
          <w:lang w:val="fr-CA"/>
        </w:rPr>
        <w:t>’</w:t>
      </w:r>
      <w:r w:rsidRPr="009B2C4A">
        <w:rPr>
          <w:lang w:val="fr-CA"/>
        </w:rPr>
        <w:t>appel était non indiquée. Il y a toutefois désaccord quant à la peine de 15 à 18 mois d</w:t>
      </w:r>
      <w:r w:rsidR="009B2C4A" w:rsidRPr="009B2C4A">
        <w:rPr>
          <w:lang w:val="fr-CA"/>
        </w:rPr>
        <w:t>’</w:t>
      </w:r>
      <w:r w:rsidRPr="009B2C4A">
        <w:rPr>
          <w:lang w:val="fr-CA"/>
        </w:rPr>
        <w:t>emprisonnement prescrite par ceux</w:t>
      </w:r>
      <w:r w:rsidR="009B2C4A" w:rsidRPr="009B2C4A">
        <w:rPr>
          <w:lang w:val="fr-CA"/>
        </w:rPr>
        <w:noBreakHyphen/>
      </w:r>
      <w:r w:rsidRPr="009B2C4A">
        <w:rPr>
          <w:lang w:val="fr-CA"/>
        </w:rPr>
        <w:t>ci. La peine de quatre mois prononcée par le juge de la peine devrait être rétablie. Elle ne peut être réexaminée en appel parce qu</w:t>
      </w:r>
      <w:r w:rsidR="009B2C4A" w:rsidRPr="009B2C4A">
        <w:rPr>
          <w:lang w:val="fr-CA"/>
        </w:rPr>
        <w:t>’</w:t>
      </w:r>
      <w:r w:rsidRPr="009B2C4A">
        <w:rPr>
          <w:lang w:val="fr-CA"/>
        </w:rPr>
        <w:t>elle ne met pas en cause un processus d</w:t>
      </w:r>
      <w:r w:rsidR="009B2C4A" w:rsidRPr="009B2C4A">
        <w:rPr>
          <w:lang w:val="fr-CA"/>
        </w:rPr>
        <w:t>’</w:t>
      </w:r>
      <w:r w:rsidRPr="009B2C4A">
        <w:rPr>
          <w:lang w:val="fr-CA"/>
        </w:rPr>
        <w:t xml:space="preserve">analyse erroné (erreurs importantes dans le raisonnement) — comme une erreur de principe ou une erreur consistant à soupeser de façon déraisonnable un facteur pertinent — ou un résultat erroné (caractère manifestement non indiqué). </w:t>
      </w:r>
    </w:p>
    <w:p w:rsidR="009921E8" w:rsidRPr="009B2C4A" w:rsidRDefault="009921E8" w:rsidP="00123730">
      <w:pPr>
        <w:pStyle w:val="SCCNormalDoubleSpacing"/>
        <w:spacing w:after="480"/>
        <w:rPr>
          <w:lang w:val="fr-CA"/>
        </w:rPr>
      </w:pPr>
      <w:r w:rsidRPr="009B2C4A">
        <w:rPr>
          <w:lang w:val="fr-CA"/>
        </w:rPr>
        <w:tab/>
        <w:t>Le juge de la peine n</w:t>
      </w:r>
      <w:r w:rsidR="009B2C4A" w:rsidRPr="009B2C4A">
        <w:rPr>
          <w:lang w:val="fr-CA"/>
        </w:rPr>
        <w:t>’</w:t>
      </w:r>
      <w:r w:rsidRPr="009B2C4A">
        <w:rPr>
          <w:lang w:val="fr-CA"/>
        </w:rPr>
        <w:t>a commis aucune erreur de principe dans son analyse de l</w:t>
      </w:r>
      <w:r w:rsidR="009B2C4A" w:rsidRPr="009B2C4A">
        <w:rPr>
          <w:lang w:val="fr-CA"/>
        </w:rPr>
        <w:t>’</w:t>
      </w:r>
      <w:r w:rsidRPr="009B2C4A">
        <w:rPr>
          <w:lang w:val="fr-CA"/>
        </w:rPr>
        <w:t>erreur de droit de S. Une erreur de droit n</w:t>
      </w:r>
      <w:r w:rsidR="009B2C4A" w:rsidRPr="009B2C4A">
        <w:rPr>
          <w:lang w:val="fr-CA"/>
        </w:rPr>
        <w:t>’</w:t>
      </w:r>
      <w:r w:rsidRPr="009B2C4A">
        <w:rPr>
          <w:lang w:val="fr-CA"/>
        </w:rPr>
        <w:t>exige pas qu</w:t>
      </w:r>
      <w:r w:rsidR="009B2C4A" w:rsidRPr="009B2C4A">
        <w:rPr>
          <w:lang w:val="fr-CA"/>
        </w:rPr>
        <w:t>’</w:t>
      </w:r>
      <w:r w:rsidRPr="009B2C4A">
        <w:rPr>
          <w:lang w:val="fr-CA"/>
        </w:rPr>
        <w:t>un délinquant soit certain de la légalité de sa conduite. Cette interprétation stricte va à l</w:t>
      </w:r>
      <w:r w:rsidR="009B2C4A" w:rsidRPr="009B2C4A">
        <w:rPr>
          <w:lang w:val="fr-CA"/>
        </w:rPr>
        <w:t>’</w:t>
      </w:r>
      <w:r w:rsidRPr="009B2C4A">
        <w:rPr>
          <w:lang w:val="fr-CA"/>
        </w:rPr>
        <w:t>encontre de la nature contextuelle et individualisée de la détermination de la peine. L</w:t>
      </w:r>
      <w:r w:rsidR="009B2C4A" w:rsidRPr="009B2C4A">
        <w:rPr>
          <w:lang w:val="fr-CA"/>
        </w:rPr>
        <w:t>’</w:t>
      </w:r>
      <w:r w:rsidRPr="009B2C4A">
        <w:rPr>
          <w:lang w:val="fr-CA"/>
        </w:rPr>
        <w:t xml:space="preserve">erreur de droit constitue une notion souple qui est assez large pour inclure un certain degré de </w:t>
      </w:r>
      <w:r w:rsidRPr="009B2C4A">
        <w:rPr>
          <w:lang w:val="fr-CA"/>
        </w:rPr>
        <w:lastRenderedPageBreak/>
        <w:t>confusion ou d</w:t>
      </w:r>
      <w:r w:rsidR="009B2C4A" w:rsidRPr="009B2C4A">
        <w:rPr>
          <w:lang w:val="fr-CA"/>
        </w:rPr>
        <w:t>’</w:t>
      </w:r>
      <w:r w:rsidRPr="009B2C4A">
        <w:rPr>
          <w:lang w:val="fr-CA"/>
        </w:rPr>
        <w:t>incertitude quant à l</w:t>
      </w:r>
      <w:r w:rsidR="009B2C4A" w:rsidRPr="009B2C4A">
        <w:rPr>
          <w:lang w:val="fr-CA"/>
        </w:rPr>
        <w:t>’</w:t>
      </w:r>
      <w:r w:rsidRPr="009B2C4A">
        <w:rPr>
          <w:lang w:val="fr-CA"/>
        </w:rPr>
        <w:t>état du droit. En conséquence, le fait de croire qu</w:t>
      </w:r>
      <w:r w:rsidR="009B2C4A" w:rsidRPr="009B2C4A">
        <w:rPr>
          <w:lang w:val="fr-CA"/>
        </w:rPr>
        <w:t>’</w:t>
      </w:r>
      <w:r w:rsidRPr="009B2C4A">
        <w:rPr>
          <w:lang w:val="fr-CA"/>
        </w:rPr>
        <w:t>une conduite est probablement légale, mais sans en être certain, est suffisant pour constituer une erreur de droit. L</w:t>
      </w:r>
      <w:r w:rsidR="009B2C4A" w:rsidRPr="009B2C4A">
        <w:rPr>
          <w:lang w:val="fr-CA"/>
        </w:rPr>
        <w:t>’</w:t>
      </w:r>
      <w:r w:rsidRPr="009B2C4A">
        <w:rPr>
          <w:lang w:val="fr-CA"/>
        </w:rPr>
        <w:t>erreur de droit ne doit pas s</w:t>
      </w:r>
      <w:r w:rsidR="009B2C4A" w:rsidRPr="009B2C4A">
        <w:rPr>
          <w:lang w:val="fr-CA"/>
        </w:rPr>
        <w:t>’</w:t>
      </w:r>
      <w:r w:rsidRPr="009B2C4A">
        <w:rPr>
          <w:lang w:val="fr-CA"/>
        </w:rPr>
        <w:t>inscrire dans une logique binaire, où seul le cas où une personne est tout à fait convaincue que sa conduite est légale peut changer de manière fondamentale la culpabilité. Il convient de compter sur les juges de première instance pour adopter une approche contextuelle — c</w:t>
      </w:r>
      <w:r w:rsidR="009B2C4A" w:rsidRPr="009B2C4A">
        <w:rPr>
          <w:lang w:val="fr-CA"/>
        </w:rPr>
        <w:t>’</w:t>
      </w:r>
      <w:r w:rsidRPr="009B2C4A">
        <w:rPr>
          <w:lang w:val="fr-CA"/>
        </w:rPr>
        <w:t>est</w:t>
      </w:r>
      <w:r w:rsidR="009B2C4A" w:rsidRPr="009B2C4A">
        <w:rPr>
          <w:lang w:val="fr-CA"/>
        </w:rPr>
        <w:noBreakHyphen/>
      </w:r>
      <w:r w:rsidRPr="009B2C4A">
        <w:rPr>
          <w:lang w:val="fr-CA"/>
        </w:rPr>
        <w:t>à</w:t>
      </w:r>
      <w:r w:rsidR="009B2C4A" w:rsidRPr="009B2C4A">
        <w:rPr>
          <w:lang w:val="fr-CA"/>
        </w:rPr>
        <w:noBreakHyphen/>
      </w:r>
      <w:r w:rsidRPr="009B2C4A">
        <w:rPr>
          <w:lang w:val="fr-CA"/>
        </w:rPr>
        <w:t>dire une approche qui prend en considération la source, la nature et le caractère raisonnable de l</w:t>
      </w:r>
      <w:r w:rsidR="009B2C4A" w:rsidRPr="009B2C4A">
        <w:rPr>
          <w:lang w:val="fr-CA"/>
        </w:rPr>
        <w:t>’</w:t>
      </w:r>
      <w:r w:rsidRPr="009B2C4A">
        <w:rPr>
          <w:lang w:val="fr-CA"/>
        </w:rPr>
        <w:t>erreur ainsi que tous les degrés d</w:t>
      </w:r>
      <w:r w:rsidR="009B2C4A" w:rsidRPr="009B2C4A">
        <w:rPr>
          <w:lang w:val="fr-CA"/>
        </w:rPr>
        <w:t>’</w:t>
      </w:r>
      <w:r w:rsidRPr="009B2C4A">
        <w:rPr>
          <w:lang w:val="fr-CA"/>
        </w:rPr>
        <w:t>incertitude — lorsqu</w:t>
      </w:r>
      <w:r w:rsidR="009B2C4A" w:rsidRPr="009B2C4A">
        <w:rPr>
          <w:lang w:val="fr-CA"/>
        </w:rPr>
        <w:t>’</w:t>
      </w:r>
      <w:r w:rsidRPr="009B2C4A">
        <w:rPr>
          <w:lang w:val="fr-CA"/>
        </w:rPr>
        <w:t>il s</w:t>
      </w:r>
      <w:r w:rsidR="009B2C4A" w:rsidRPr="009B2C4A">
        <w:rPr>
          <w:lang w:val="fr-CA"/>
        </w:rPr>
        <w:t>’</w:t>
      </w:r>
      <w:r w:rsidRPr="009B2C4A">
        <w:rPr>
          <w:lang w:val="fr-CA"/>
        </w:rPr>
        <w:t>agit d</w:t>
      </w:r>
      <w:r w:rsidR="009B2C4A" w:rsidRPr="009B2C4A">
        <w:rPr>
          <w:lang w:val="fr-CA"/>
        </w:rPr>
        <w:t>’</w:t>
      </w:r>
      <w:r w:rsidRPr="009B2C4A">
        <w:rPr>
          <w:lang w:val="fr-CA"/>
        </w:rPr>
        <w:t>accorder un effet atténuant à une erreur de droit aux fins de la détermination de la peine. Quoi qu</w:t>
      </w:r>
      <w:r w:rsidR="009B2C4A" w:rsidRPr="009B2C4A">
        <w:rPr>
          <w:lang w:val="fr-CA"/>
        </w:rPr>
        <w:t>’</w:t>
      </w:r>
      <w:r w:rsidRPr="009B2C4A">
        <w:rPr>
          <w:lang w:val="fr-CA"/>
        </w:rPr>
        <w:t>il en soit, en l</w:t>
      </w:r>
      <w:r w:rsidR="009B2C4A" w:rsidRPr="009B2C4A">
        <w:rPr>
          <w:lang w:val="fr-CA"/>
        </w:rPr>
        <w:t>’</w:t>
      </w:r>
      <w:r w:rsidRPr="009B2C4A">
        <w:rPr>
          <w:lang w:val="fr-CA"/>
        </w:rPr>
        <w:t>espèce, S était certain qu</w:t>
      </w:r>
      <w:r w:rsidR="009B2C4A" w:rsidRPr="009B2C4A">
        <w:rPr>
          <w:lang w:val="fr-CA"/>
        </w:rPr>
        <w:t>’</w:t>
      </w:r>
      <w:r w:rsidRPr="009B2C4A">
        <w:rPr>
          <w:lang w:val="fr-CA"/>
        </w:rPr>
        <w:t>il était légal de refuser de fournir un échantillon d</w:t>
      </w:r>
      <w:r w:rsidR="009B2C4A" w:rsidRPr="009B2C4A">
        <w:rPr>
          <w:lang w:val="fr-CA"/>
        </w:rPr>
        <w:t>’</w:t>
      </w:r>
      <w:r w:rsidRPr="009B2C4A">
        <w:rPr>
          <w:lang w:val="fr-CA"/>
        </w:rPr>
        <w:t>haleine et il a donc commis une erreur de droit, même selon le critère des juges majoritaires.</w:t>
      </w:r>
    </w:p>
    <w:p w:rsidR="009921E8" w:rsidRPr="009B2C4A" w:rsidRDefault="009921E8" w:rsidP="009921E8">
      <w:pPr>
        <w:pStyle w:val="SCCNormalDoubleSpacing"/>
        <w:spacing w:after="480"/>
        <w:rPr>
          <w:lang w:val="fr-CA"/>
        </w:rPr>
      </w:pPr>
      <w:r w:rsidRPr="009B2C4A">
        <w:rPr>
          <w:lang w:val="fr-CA"/>
        </w:rPr>
        <w:tab/>
        <w:t>Le juge de la peine n</w:t>
      </w:r>
      <w:r w:rsidR="009B2C4A" w:rsidRPr="009B2C4A">
        <w:rPr>
          <w:lang w:val="fr-CA"/>
        </w:rPr>
        <w:t>’</w:t>
      </w:r>
      <w:r w:rsidRPr="009B2C4A">
        <w:rPr>
          <w:lang w:val="fr-CA"/>
        </w:rPr>
        <w:t>a pas accordé trop d</w:t>
      </w:r>
      <w:r w:rsidR="009B2C4A" w:rsidRPr="009B2C4A">
        <w:rPr>
          <w:lang w:val="fr-CA"/>
        </w:rPr>
        <w:t>’</w:t>
      </w:r>
      <w:r w:rsidRPr="009B2C4A">
        <w:rPr>
          <w:lang w:val="fr-CA"/>
        </w:rPr>
        <w:t>importance au fait que S n</w:t>
      </w:r>
      <w:r w:rsidR="009B2C4A" w:rsidRPr="009B2C4A">
        <w:rPr>
          <w:lang w:val="fr-CA"/>
        </w:rPr>
        <w:t>’</w:t>
      </w:r>
      <w:r w:rsidRPr="009B2C4A">
        <w:rPr>
          <w:lang w:val="fr-CA"/>
        </w:rPr>
        <w:t>était pas ivre. Une cour d</w:t>
      </w:r>
      <w:r w:rsidR="009B2C4A" w:rsidRPr="009B2C4A">
        <w:rPr>
          <w:lang w:val="fr-CA"/>
        </w:rPr>
        <w:t>’</w:t>
      </w:r>
      <w:r w:rsidRPr="009B2C4A">
        <w:rPr>
          <w:lang w:val="fr-CA"/>
        </w:rPr>
        <w:t>appel peut intervenir à l</w:t>
      </w:r>
      <w:r w:rsidR="009B2C4A" w:rsidRPr="009B2C4A">
        <w:rPr>
          <w:lang w:val="fr-CA"/>
        </w:rPr>
        <w:t>’</w:t>
      </w:r>
      <w:r w:rsidRPr="009B2C4A">
        <w:rPr>
          <w:lang w:val="fr-CA"/>
        </w:rPr>
        <w:t>égard d</w:t>
      </w:r>
      <w:r w:rsidR="009B2C4A" w:rsidRPr="009B2C4A">
        <w:rPr>
          <w:lang w:val="fr-CA"/>
        </w:rPr>
        <w:t>’</w:t>
      </w:r>
      <w:r w:rsidRPr="009B2C4A">
        <w:rPr>
          <w:lang w:val="fr-CA"/>
        </w:rPr>
        <w:t>une peine lorsque le juge de la peine soupèse de façon déraisonnable un facteur particulier, mais non lorsqu</w:t>
      </w:r>
      <w:r w:rsidR="009B2C4A" w:rsidRPr="009B2C4A">
        <w:rPr>
          <w:lang w:val="fr-CA"/>
        </w:rPr>
        <w:t>’</w:t>
      </w:r>
      <w:r w:rsidRPr="009B2C4A">
        <w:rPr>
          <w:lang w:val="fr-CA"/>
        </w:rPr>
        <w:t>elle aurait simplement attribué un poids différent au facteur pertinent. Lorsqu</w:t>
      </w:r>
      <w:r w:rsidR="009B2C4A" w:rsidRPr="009B2C4A">
        <w:rPr>
          <w:lang w:val="fr-CA"/>
        </w:rPr>
        <w:t>’</w:t>
      </w:r>
      <w:r w:rsidRPr="009B2C4A">
        <w:rPr>
          <w:lang w:val="fr-CA"/>
        </w:rPr>
        <w:t>elles examinent les motifs de première instance, les cours d</w:t>
      </w:r>
      <w:r w:rsidR="009B2C4A" w:rsidRPr="009B2C4A">
        <w:rPr>
          <w:lang w:val="fr-CA"/>
        </w:rPr>
        <w:t>’</w:t>
      </w:r>
      <w:r w:rsidRPr="009B2C4A">
        <w:rPr>
          <w:lang w:val="fr-CA"/>
        </w:rPr>
        <w:t xml:space="preserve">appel doivent considérer les motifs globalement et ne doivent pas examiner isolément certains passages </w:t>
      </w:r>
      <w:r w:rsidR="00AD618F">
        <w:rPr>
          <w:lang w:val="fr-CA"/>
        </w:rPr>
        <w:t>de ceux</w:t>
      </w:r>
      <w:r w:rsidR="00AD618F">
        <w:rPr>
          <w:lang w:val="fr-CA"/>
        </w:rPr>
        <w:noBreakHyphen/>
        <w:t>ci</w:t>
      </w:r>
      <w:r w:rsidRPr="009B2C4A">
        <w:rPr>
          <w:lang w:val="fr-CA"/>
        </w:rPr>
        <w:t xml:space="preserve"> pour déceler des erreurs dans le raisonnement. En l</w:t>
      </w:r>
      <w:r w:rsidR="009B2C4A" w:rsidRPr="009B2C4A">
        <w:rPr>
          <w:lang w:val="fr-CA"/>
        </w:rPr>
        <w:t>’</w:t>
      </w:r>
      <w:r w:rsidRPr="009B2C4A">
        <w:rPr>
          <w:lang w:val="fr-CA"/>
        </w:rPr>
        <w:t>espèce, le fait d</w:t>
      </w:r>
      <w:r w:rsidR="009B2C4A" w:rsidRPr="009B2C4A">
        <w:rPr>
          <w:lang w:val="fr-CA"/>
        </w:rPr>
        <w:t>’</w:t>
      </w:r>
      <w:r w:rsidRPr="009B2C4A">
        <w:rPr>
          <w:lang w:val="fr-CA"/>
        </w:rPr>
        <w:t>isoler un passage de la décision du juge de la peine pour conclure qu</w:t>
      </w:r>
      <w:r w:rsidR="009B2C4A" w:rsidRPr="009B2C4A">
        <w:rPr>
          <w:lang w:val="fr-CA"/>
        </w:rPr>
        <w:t>’</w:t>
      </w:r>
      <w:r w:rsidRPr="009B2C4A">
        <w:rPr>
          <w:lang w:val="fr-CA"/>
        </w:rPr>
        <w:t>il a accordé trop d</w:t>
      </w:r>
      <w:r w:rsidR="009B2C4A" w:rsidRPr="009B2C4A">
        <w:rPr>
          <w:lang w:val="fr-CA"/>
        </w:rPr>
        <w:t>’</w:t>
      </w:r>
      <w:r w:rsidRPr="009B2C4A">
        <w:rPr>
          <w:lang w:val="fr-CA"/>
        </w:rPr>
        <w:t xml:space="preserve">importance </w:t>
      </w:r>
      <w:r w:rsidR="00BB7AA9">
        <w:rPr>
          <w:lang w:val="fr-CA"/>
        </w:rPr>
        <w:t xml:space="preserve">à l’absence d’ivresse de </w:t>
      </w:r>
      <w:r w:rsidRPr="009B2C4A">
        <w:rPr>
          <w:lang w:val="fr-CA"/>
        </w:rPr>
        <w:t>S</w:t>
      </w:r>
      <w:r w:rsidR="00BB7AA9">
        <w:rPr>
          <w:lang w:val="fr-CA"/>
        </w:rPr>
        <w:t>,</w:t>
      </w:r>
      <w:r w:rsidRPr="009B2C4A">
        <w:rPr>
          <w:lang w:val="fr-CA"/>
        </w:rPr>
        <w:t xml:space="preserve"> au moment de déterminer </w:t>
      </w:r>
      <w:r w:rsidR="00BB7AA9">
        <w:rPr>
          <w:lang w:val="fr-CA"/>
        </w:rPr>
        <w:t>l</w:t>
      </w:r>
      <w:r w:rsidRPr="009B2C4A">
        <w:rPr>
          <w:lang w:val="fr-CA"/>
        </w:rPr>
        <w:t>a peine</w:t>
      </w:r>
      <w:r w:rsidR="00BB7AA9">
        <w:rPr>
          <w:lang w:val="fr-CA"/>
        </w:rPr>
        <w:t>,</w:t>
      </w:r>
      <w:r w:rsidRPr="009B2C4A">
        <w:rPr>
          <w:lang w:val="fr-CA"/>
        </w:rPr>
        <w:t xml:space="preserve"> dénature les motifs du juge de la peine. Ce dernier s</w:t>
      </w:r>
      <w:r w:rsidR="009B2C4A" w:rsidRPr="009B2C4A">
        <w:rPr>
          <w:lang w:val="fr-CA"/>
        </w:rPr>
        <w:t>’</w:t>
      </w:r>
      <w:r w:rsidRPr="009B2C4A">
        <w:rPr>
          <w:lang w:val="fr-CA"/>
        </w:rPr>
        <w:t>est penché sur l</w:t>
      </w:r>
      <w:r w:rsidR="009B2C4A" w:rsidRPr="009B2C4A">
        <w:rPr>
          <w:lang w:val="fr-CA"/>
        </w:rPr>
        <w:t>’</w:t>
      </w:r>
      <w:r w:rsidRPr="009B2C4A">
        <w:rPr>
          <w:lang w:val="fr-CA"/>
        </w:rPr>
        <w:t>effet combiné de l</w:t>
      </w:r>
      <w:r w:rsidR="009B2C4A" w:rsidRPr="009B2C4A">
        <w:rPr>
          <w:lang w:val="fr-CA"/>
        </w:rPr>
        <w:t>’</w:t>
      </w:r>
      <w:r w:rsidRPr="009B2C4A">
        <w:rPr>
          <w:lang w:val="fr-CA"/>
        </w:rPr>
        <w:t>absence d</w:t>
      </w:r>
      <w:r w:rsidR="009B2C4A" w:rsidRPr="009B2C4A">
        <w:rPr>
          <w:lang w:val="fr-CA"/>
        </w:rPr>
        <w:t>’</w:t>
      </w:r>
      <w:r w:rsidRPr="009B2C4A">
        <w:rPr>
          <w:lang w:val="fr-CA"/>
        </w:rPr>
        <w:t>état d</w:t>
      </w:r>
      <w:r w:rsidR="009B2C4A" w:rsidRPr="009B2C4A">
        <w:rPr>
          <w:lang w:val="fr-CA"/>
        </w:rPr>
        <w:t>’</w:t>
      </w:r>
      <w:r w:rsidRPr="009B2C4A">
        <w:rPr>
          <w:lang w:val="fr-CA"/>
        </w:rPr>
        <w:t xml:space="preserve">ébriété, des mauvais conseils juridiques, des actes de violence justicière et des nombreux autres </w:t>
      </w:r>
      <w:r w:rsidRPr="009B2C4A">
        <w:rPr>
          <w:lang w:val="fr-CA"/>
        </w:rPr>
        <w:lastRenderedPageBreak/>
        <w:t>facteurs atténuants en l</w:t>
      </w:r>
      <w:r w:rsidR="009B2C4A" w:rsidRPr="009B2C4A">
        <w:rPr>
          <w:lang w:val="fr-CA"/>
        </w:rPr>
        <w:t>’</w:t>
      </w:r>
      <w:r w:rsidRPr="009B2C4A">
        <w:rPr>
          <w:lang w:val="fr-CA"/>
        </w:rPr>
        <w:t>espèce. Sa pondération de l</w:t>
      </w:r>
      <w:r w:rsidR="009B2C4A" w:rsidRPr="009B2C4A">
        <w:rPr>
          <w:lang w:val="fr-CA"/>
        </w:rPr>
        <w:t>’</w:t>
      </w:r>
      <w:r w:rsidRPr="009B2C4A">
        <w:rPr>
          <w:lang w:val="fr-CA"/>
        </w:rPr>
        <w:t>absence d</w:t>
      </w:r>
      <w:r w:rsidR="009B2C4A" w:rsidRPr="009B2C4A">
        <w:rPr>
          <w:lang w:val="fr-CA"/>
        </w:rPr>
        <w:t>’</w:t>
      </w:r>
      <w:r w:rsidRPr="009B2C4A">
        <w:rPr>
          <w:lang w:val="fr-CA"/>
        </w:rPr>
        <w:t>état d</w:t>
      </w:r>
      <w:r w:rsidR="009B2C4A" w:rsidRPr="009B2C4A">
        <w:rPr>
          <w:lang w:val="fr-CA"/>
        </w:rPr>
        <w:t>’</w:t>
      </w:r>
      <w:r w:rsidRPr="009B2C4A">
        <w:rPr>
          <w:lang w:val="fr-CA"/>
        </w:rPr>
        <w:t>ébriété ne justifie donc pas une intervention en appel.</w:t>
      </w:r>
    </w:p>
    <w:p w:rsidR="009921E8" w:rsidRPr="009B2C4A" w:rsidRDefault="009921E8" w:rsidP="009921E8">
      <w:pPr>
        <w:pStyle w:val="SCCNormalDoubleSpacing"/>
        <w:spacing w:after="480"/>
        <w:rPr>
          <w:lang w:val="fr-CA"/>
        </w:rPr>
      </w:pPr>
      <w:r w:rsidRPr="009B2C4A">
        <w:rPr>
          <w:lang w:val="fr-CA"/>
        </w:rPr>
        <w:tab/>
        <w:t>Même si un juge de première instance n</w:t>
      </w:r>
      <w:r w:rsidR="009B2C4A" w:rsidRPr="009B2C4A">
        <w:rPr>
          <w:lang w:val="fr-CA"/>
        </w:rPr>
        <w:t>’</w:t>
      </w:r>
      <w:r w:rsidRPr="009B2C4A">
        <w:rPr>
          <w:lang w:val="fr-CA"/>
        </w:rPr>
        <w:t>a commis aucune erreur dans le processus de détermination de la peine, une cour d</w:t>
      </w:r>
      <w:r w:rsidR="009B2C4A" w:rsidRPr="009B2C4A">
        <w:rPr>
          <w:lang w:val="fr-CA"/>
        </w:rPr>
        <w:t>’</w:t>
      </w:r>
      <w:r w:rsidRPr="009B2C4A">
        <w:rPr>
          <w:lang w:val="fr-CA"/>
        </w:rPr>
        <w:t>appel peut intervenir si la peine finalement imposée est manifestement non indiquée, c</w:t>
      </w:r>
      <w:r w:rsidR="009B2C4A" w:rsidRPr="009B2C4A">
        <w:rPr>
          <w:lang w:val="fr-CA"/>
        </w:rPr>
        <w:t>’</w:t>
      </w:r>
      <w:r w:rsidRPr="009B2C4A">
        <w:rPr>
          <w:lang w:val="fr-CA"/>
        </w:rPr>
        <w:t>est</w:t>
      </w:r>
      <w:r w:rsidR="009B2C4A" w:rsidRPr="009B2C4A">
        <w:rPr>
          <w:lang w:val="fr-CA"/>
        </w:rPr>
        <w:noBreakHyphen/>
      </w:r>
      <w:r w:rsidRPr="009B2C4A">
        <w:rPr>
          <w:lang w:val="fr-CA"/>
        </w:rPr>
        <w:t>à</w:t>
      </w:r>
      <w:r w:rsidR="009B2C4A" w:rsidRPr="009B2C4A">
        <w:rPr>
          <w:lang w:val="fr-CA"/>
        </w:rPr>
        <w:noBreakHyphen/>
      </w:r>
      <w:r w:rsidR="00AD618F">
        <w:rPr>
          <w:lang w:val="fr-CA"/>
        </w:rPr>
        <w:t>dire</w:t>
      </w:r>
      <w:r w:rsidRPr="009B2C4A">
        <w:rPr>
          <w:lang w:val="fr-CA"/>
        </w:rPr>
        <w:t xml:space="preserve"> nettement déraisonnable. L</w:t>
      </w:r>
      <w:r w:rsidR="009B2C4A" w:rsidRPr="009B2C4A">
        <w:rPr>
          <w:lang w:val="fr-CA"/>
        </w:rPr>
        <w:t>’</w:t>
      </w:r>
      <w:r w:rsidRPr="009B2C4A">
        <w:rPr>
          <w:lang w:val="fr-CA"/>
        </w:rPr>
        <w:t>examen du caractère manifestement non indiqué d</w:t>
      </w:r>
      <w:r w:rsidR="009B2C4A" w:rsidRPr="009B2C4A">
        <w:rPr>
          <w:lang w:val="fr-CA"/>
        </w:rPr>
        <w:t>’</w:t>
      </w:r>
      <w:r w:rsidRPr="009B2C4A">
        <w:rPr>
          <w:lang w:val="fr-CA"/>
        </w:rPr>
        <w:t>une peine n</w:t>
      </w:r>
      <w:r w:rsidR="009B2C4A" w:rsidRPr="009B2C4A">
        <w:rPr>
          <w:lang w:val="fr-CA"/>
        </w:rPr>
        <w:t>’</w:t>
      </w:r>
      <w:r w:rsidRPr="009B2C4A">
        <w:rPr>
          <w:lang w:val="fr-CA"/>
        </w:rPr>
        <w:t>est pas un examen subjectif sans restriction. Une cour d</w:t>
      </w:r>
      <w:r w:rsidR="009B2C4A" w:rsidRPr="009B2C4A">
        <w:rPr>
          <w:lang w:val="fr-CA"/>
        </w:rPr>
        <w:t>’</w:t>
      </w:r>
      <w:r w:rsidRPr="009B2C4A">
        <w:rPr>
          <w:lang w:val="fr-CA"/>
        </w:rPr>
        <w:t>appel doit démontrer le caractère non indiqué d</w:t>
      </w:r>
      <w:r w:rsidR="009B2C4A" w:rsidRPr="009B2C4A">
        <w:rPr>
          <w:lang w:val="fr-CA"/>
        </w:rPr>
        <w:t>’</w:t>
      </w:r>
      <w:r w:rsidRPr="009B2C4A">
        <w:rPr>
          <w:lang w:val="fr-CA"/>
        </w:rPr>
        <w:t>une peine en s</w:t>
      </w:r>
      <w:r w:rsidR="009B2C4A" w:rsidRPr="009B2C4A">
        <w:rPr>
          <w:lang w:val="fr-CA"/>
        </w:rPr>
        <w:t>’</w:t>
      </w:r>
      <w:r w:rsidRPr="009B2C4A">
        <w:rPr>
          <w:lang w:val="fr-CA"/>
        </w:rPr>
        <w:t xml:space="preserve">appuyant sur les principes de détermination de la peine du </w:t>
      </w:r>
      <w:r w:rsidRPr="009B2C4A">
        <w:rPr>
          <w:i/>
          <w:lang w:val="fr-CA"/>
        </w:rPr>
        <w:t>Code criminel</w:t>
      </w:r>
      <w:r w:rsidRPr="009B2C4A">
        <w:rPr>
          <w:lang w:val="fr-CA"/>
        </w:rPr>
        <w:t>, dont le principe de la proportionnalité (</w:t>
      </w:r>
      <w:r w:rsidR="009B2C4A" w:rsidRPr="009B2C4A">
        <w:rPr>
          <w:lang w:val="fr-CA"/>
        </w:rPr>
        <w:t>art. </w:t>
      </w:r>
      <w:r w:rsidRPr="009B2C4A">
        <w:rPr>
          <w:lang w:val="fr-CA"/>
        </w:rPr>
        <w:t>718.1), les objectifs de détermination de la peine (</w:t>
      </w:r>
      <w:r w:rsidR="009B2C4A" w:rsidRPr="009B2C4A">
        <w:rPr>
          <w:lang w:val="fr-CA"/>
        </w:rPr>
        <w:t>art. </w:t>
      </w:r>
      <w:r w:rsidRPr="009B2C4A">
        <w:rPr>
          <w:lang w:val="fr-CA"/>
        </w:rPr>
        <w:t>718) ainsi que les principes d</w:t>
      </w:r>
      <w:r w:rsidR="009B2C4A" w:rsidRPr="009B2C4A">
        <w:rPr>
          <w:lang w:val="fr-CA"/>
        </w:rPr>
        <w:t>’</w:t>
      </w:r>
      <w:r w:rsidRPr="009B2C4A">
        <w:rPr>
          <w:lang w:val="fr-CA"/>
        </w:rPr>
        <w:t>individualisation (</w:t>
      </w:r>
      <w:r w:rsidR="009B2C4A" w:rsidRPr="009B2C4A">
        <w:rPr>
          <w:lang w:val="fr-CA"/>
        </w:rPr>
        <w:t>al. </w:t>
      </w:r>
      <w:r w:rsidRPr="009B2C4A">
        <w:rPr>
          <w:lang w:val="fr-CA"/>
        </w:rPr>
        <w:t>718.2a)) et de parité (</w:t>
      </w:r>
      <w:r w:rsidR="009B2C4A" w:rsidRPr="009B2C4A">
        <w:rPr>
          <w:lang w:val="fr-CA"/>
        </w:rPr>
        <w:t>al. </w:t>
      </w:r>
      <w:r w:rsidRPr="009B2C4A">
        <w:rPr>
          <w:lang w:val="fr-CA"/>
        </w:rPr>
        <w:t>718.2b)). Suivant cette approche établie à l</w:t>
      </w:r>
      <w:r w:rsidR="009B2C4A" w:rsidRPr="009B2C4A">
        <w:rPr>
          <w:lang w:val="fr-CA"/>
        </w:rPr>
        <w:t>’</w:t>
      </w:r>
      <w:r w:rsidRPr="009B2C4A">
        <w:rPr>
          <w:lang w:val="fr-CA"/>
        </w:rPr>
        <w:t>égard des appels en matière de détermination de la peine, une peine de quatre mois d</w:t>
      </w:r>
      <w:r w:rsidR="009B2C4A" w:rsidRPr="009B2C4A">
        <w:rPr>
          <w:lang w:val="fr-CA"/>
        </w:rPr>
        <w:t>’</w:t>
      </w:r>
      <w:r w:rsidRPr="009B2C4A">
        <w:rPr>
          <w:lang w:val="fr-CA"/>
        </w:rPr>
        <w:t>emprisonnement n</w:t>
      </w:r>
      <w:r w:rsidR="009B2C4A" w:rsidRPr="009B2C4A">
        <w:rPr>
          <w:lang w:val="fr-CA"/>
        </w:rPr>
        <w:t>’</w:t>
      </w:r>
      <w:r w:rsidRPr="009B2C4A">
        <w:rPr>
          <w:lang w:val="fr-CA"/>
        </w:rPr>
        <w:t>est pas manifestement non indiquée dans les circonstances de l</w:t>
      </w:r>
      <w:r w:rsidR="009B2C4A" w:rsidRPr="009B2C4A">
        <w:rPr>
          <w:lang w:val="fr-CA"/>
        </w:rPr>
        <w:t>’</w:t>
      </w:r>
      <w:r w:rsidRPr="009B2C4A">
        <w:rPr>
          <w:lang w:val="fr-CA"/>
        </w:rPr>
        <w:t>espèce.</w:t>
      </w:r>
    </w:p>
    <w:p w:rsidR="009921E8" w:rsidRPr="009B2C4A" w:rsidRDefault="009921E8" w:rsidP="00123730">
      <w:pPr>
        <w:pStyle w:val="SCCNormalDoubleSpacing"/>
        <w:spacing w:after="480"/>
        <w:rPr>
          <w:lang w:val="fr-CA"/>
        </w:rPr>
      </w:pPr>
      <w:r w:rsidRPr="009B2C4A">
        <w:rPr>
          <w:lang w:val="fr-CA"/>
        </w:rPr>
        <w:tab/>
        <w:t>Une peine indiquée est proportionnelle à la gravité de l</w:t>
      </w:r>
      <w:r w:rsidR="009B2C4A" w:rsidRPr="009B2C4A">
        <w:rPr>
          <w:lang w:val="fr-CA"/>
        </w:rPr>
        <w:t>’</w:t>
      </w:r>
      <w:r w:rsidRPr="009B2C4A">
        <w:rPr>
          <w:lang w:val="fr-CA"/>
        </w:rPr>
        <w:t>infraction (c.</w:t>
      </w:r>
      <w:r w:rsidR="009B2C4A" w:rsidRPr="009B2C4A">
        <w:rPr>
          <w:lang w:val="fr-CA"/>
        </w:rPr>
        <w:noBreakHyphen/>
      </w:r>
      <w:r w:rsidRPr="009B2C4A">
        <w:rPr>
          <w:lang w:val="fr-CA"/>
        </w:rPr>
        <w:t>à</w:t>
      </w:r>
      <w:r w:rsidR="009B2C4A" w:rsidRPr="009B2C4A">
        <w:rPr>
          <w:lang w:val="fr-CA"/>
        </w:rPr>
        <w:noBreakHyphen/>
      </w:r>
      <w:r w:rsidRPr="009B2C4A">
        <w:rPr>
          <w:lang w:val="fr-CA"/>
        </w:rPr>
        <w:t>d. à quel point l</w:t>
      </w:r>
      <w:r w:rsidR="009B2C4A" w:rsidRPr="009B2C4A">
        <w:rPr>
          <w:lang w:val="fr-CA"/>
        </w:rPr>
        <w:t>’</w:t>
      </w:r>
      <w:r w:rsidRPr="009B2C4A">
        <w:rPr>
          <w:lang w:val="fr-CA"/>
        </w:rPr>
        <w:t>infraction est grave) et au degré de responsabilité du délinquant (c.</w:t>
      </w:r>
      <w:r w:rsidR="009B2C4A" w:rsidRPr="009B2C4A">
        <w:rPr>
          <w:lang w:val="fr-CA"/>
        </w:rPr>
        <w:noBreakHyphen/>
      </w:r>
      <w:r w:rsidRPr="009B2C4A">
        <w:rPr>
          <w:lang w:val="fr-CA"/>
        </w:rPr>
        <w:t>à</w:t>
      </w:r>
      <w:r w:rsidR="009B2C4A" w:rsidRPr="009B2C4A">
        <w:rPr>
          <w:lang w:val="fr-CA"/>
        </w:rPr>
        <w:noBreakHyphen/>
      </w:r>
      <w:r w:rsidRPr="009B2C4A">
        <w:rPr>
          <w:lang w:val="fr-CA"/>
        </w:rPr>
        <w:t>d. sa culpabilité morale). En l</w:t>
      </w:r>
      <w:r w:rsidR="009B2C4A" w:rsidRPr="009B2C4A">
        <w:rPr>
          <w:lang w:val="fr-CA"/>
        </w:rPr>
        <w:t>’</w:t>
      </w:r>
      <w:r w:rsidRPr="009B2C4A">
        <w:rPr>
          <w:lang w:val="fr-CA"/>
        </w:rPr>
        <w:t>espèce, l</w:t>
      </w:r>
      <w:r w:rsidR="009B2C4A" w:rsidRPr="009B2C4A">
        <w:rPr>
          <w:lang w:val="fr-CA"/>
        </w:rPr>
        <w:t>’</w:t>
      </w:r>
      <w:r w:rsidRPr="009B2C4A">
        <w:rPr>
          <w:lang w:val="fr-CA"/>
        </w:rPr>
        <w:t>infraction — refuser de fournir un échantillon d</w:t>
      </w:r>
      <w:r w:rsidR="009B2C4A" w:rsidRPr="009B2C4A">
        <w:rPr>
          <w:lang w:val="fr-CA"/>
        </w:rPr>
        <w:t>’</w:t>
      </w:r>
      <w:r w:rsidRPr="009B2C4A">
        <w:rPr>
          <w:lang w:val="fr-CA"/>
        </w:rPr>
        <w:t>haleine après un accident de voiture mortel — est très grave. Toutefois, la culpabilité morale de S — en tant que conducteur sobre impliqué dans un</w:t>
      </w:r>
      <w:r w:rsidR="00AD618F">
        <w:rPr>
          <w:lang w:val="fr-CA"/>
        </w:rPr>
        <w:t xml:space="preserve"> véritable accident de voiture</w:t>
      </w:r>
      <w:r w:rsidR="00BF4009">
        <w:rPr>
          <w:lang w:val="fr-CA"/>
        </w:rPr>
        <w:t>,</w:t>
      </w:r>
      <w:r w:rsidR="00AD618F">
        <w:rPr>
          <w:lang w:val="fr-CA"/>
        </w:rPr>
        <w:t xml:space="preserve"> </w:t>
      </w:r>
      <w:r w:rsidRPr="009B2C4A">
        <w:rPr>
          <w:lang w:val="fr-CA"/>
        </w:rPr>
        <w:t>causé par une erreur de conduite commise par une personne dont les facultés n</w:t>
      </w:r>
      <w:r w:rsidR="009B2C4A" w:rsidRPr="009B2C4A">
        <w:rPr>
          <w:lang w:val="fr-CA"/>
        </w:rPr>
        <w:t>’</w:t>
      </w:r>
      <w:r w:rsidRPr="009B2C4A">
        <w:rPr>
          <w:lang w:val="fr-CA"/>
        </w:rPr>
        <w:t>étaient pas affaiblies</w:t>
      </w:r>
      <w:r w:rsidR="00BF4009">
        <w:rPr>
          <w:lang w:val="fr-CA"/>
        </w:rPr>
        <w:t>,</w:t>
      </w:r>
      <w:r w:rsidRPr="009B2C4A">
        <w:rPr>
          <w:lang w:val="fr-CA"/>
        </w:rPr>
        <w:t xml:space="preserve"> et qui a refusé de fournir un échantillon d</w:t>
      </w:r>
      <w:r w:rsidR="009B2C4A" w:rsidRPr="009B2C4A">
        <w:rPr>
          <w:lang w:val="fr-CA"/>
        </w:rPr>
        <w:t>’</w:t>
      </w:r>
      <w:r w:rsidRPr="009B2C4A">
        <w:rPr>
          <w:lang w:val="fr-CA"/>
        </w:rPr>
        <w:t>haleine uniquement parce que son avocat lui a expressément conseillé de le faire — pourrait difficilement être plus faible. Les tensions inévitables qu</w:t>
      </w:r>
      <w:r w:rsidR="009B2C4A" w:rsidRPr="009B2C4A">
        <w:rPr>
          <w:lang w:val="fr-CA"/>
        </w:rPr>
        <w:t>’</w:t>
      </w:r>
      <w:r w:rsidRPr="009B2C4A">
        <w:rPr>
          <w:lang w:val="fr-CA"/>
        </w:rPr>
        <w:t xml:space="preserve">engendre la mise en balance de ces </w:t>
      </w:r>
      <w:r w:rsidRPr="009B2C4A">
        <w:rPr>
          <w:lang w:val="fr-CA"/>
        </w:rPr>
        <w:lastRenderedPageBreak/>
        <w:t>considérations contradictoires sous</w:t>
      </w:r>
      <w:r w:rsidR="009B2C4A" w:rsidRPr="009B2C4A">
        <w:rPr>
          <w:lang w:val="fr-CA"/>
        </w:rPr>
        <w:noBreakHyphen/>
      </w:r>
      <w:r w:rsidRPr="009B2C4A">
        <w:rPr>
          <w:lang w:val="fr-CA"/>
        </w:rPr>
        <w:t>tendent la tâche particulièrement délicate consistant à s</w:t>
      </w:r>
      <w:r w:rsidR="009B2C4A" w:rsidRPr="009B2C4A">
        <w:rPr>
          <w:lang w:val="fr-CA"/>
        </w:rPr>
        <w:t>’</w:t>
      </w:r>
      <w:r w:rsidRPr="009B2C4A">
        <w:rPr>
          <w:lang w:val="fr-CA"/>
        </w:rPr>
        <w:t>assurer de la proportionnalité. Cependant, les cours d</w:t>
      </w:r>
      <w:r w:rsidR="009B2C4A" w:rsidRPr="009B2C4A">
        <w:rPr>
          <w:lang w:val="fr-CA"/>
        </w:rPr>
        <w:t>’</w:t>
      </w:r>
      <w:r w:rsidRPr="009B2C4A">
        <w:rPr>
          <w:lang w:val="fr-CA"/>
        </w:rPr>
        <w:t>appel ne sont pas mieux placées que le juge de la peine pour concilier ces considérations qui s</w:t>
      </w:r>
      <w:r w:rsidR="009B2C4A" w:rsidRPr="009B2C4A">
        <w:rPr>
          <w:lang w:val="fr-CA"/>
        </w:rPr>
        <w:t>’</w:t>
      </w:r>
      <w:r w:rsidRPr="009B2C4A">
        <w:rPr>
          <w:lang w:val="fr-CA"/>
        </w:rPr>
        <w:t xml:space="preserve">opposent; compte tenu de </w:t>
      </w:r>
      <w:r w:rsidR="006A1001">
        <w:rPr>
          <w:lang w:val="fr-CA"/>
        </w:rPr>
        <w:t>s</w:t>
      </w:r>
      <w:r w:rsidRPr="009B2C4A">
        <w:rPr>
          <w:lang w:val="fr-CA"/>
        </w:rPr>
        <w:t>a proximité avec les faits de l</w:t>
      </w:r>
      <w:r w:rsidR="009B2C4A" w:rsidRPr="009B2C4A">
        <w:rPr>
          <w:lang w:val="fr-CA"/>
        </w:rPr>
        <w:t>’</w:t>
      </w:r>
      <w:r w:rsidRPr="009B2C4A">
        <w:rPr>
          <w:lang w:val="fr-CA"/>
        </w:rPr>
        <w:t>espèce et de son expertise institutionnelle, les cours d</w:t>
      </w:r>
      <w:r w:rsidR="009B2C4A" w:rsidRPr="009B2C4A">
        <w:rPr>
          <w:lang w:val="fr-CA"/>
        </w:rPr>
        <w:t>’</w:t>
      </w:r>
      <w:r w:rsidRPr="009B2C4A">
        <w:rPr>
          <w:lang w:val="fr-CA"/>
        </w:rPr>
        <w:t>appel sont en réalité moins bien placées que lui pour le faire. Les cours d</w:t>
      </w:r>
      <w:r w:rsidR="009B2C4A" w:rsidRPr="009B2C4A">
        <w:rPr>
          <w:lang w:val="fr-CA"/>
        </w:rPr>
        <w:t>’</w:t>
      </w:r>
      <w:r w:rsidRPr="009B2C4A">
        <w:rPr>
          <w:lang w:val="fr-CA"/>
        </w:rPr>
        <w:t>appel doivent faire preuve de déférence envers le juge de la peine en ce qui a trait à ce processus complexe de mise en balance.</w:t>
      </w:r>
    </w:p>
    <w:p w:rsidR="009921E8" w:rsidRPr="009B2C4A" w:rsidRDefault="009921E8" w:rsidP="00123730">
      <w:pPr>
        <w:pStyle w:val="SCCNormalDoubleSpacing"/>
        <w:spacing w:after="480"/>
        <w:rPr>
          <w:lang w:val="fr-CA"/>
        </w:rPr>
      </w:pPr>
      <w:r w:rsidRPr="009B2C4A">
        <w:rPr>
          <w:lang w:val="fr-CA"/>
        </w:rPr>
        <w:tab/>
        <w:t>Hormis l</w:t>
      </w:r>
      <w:r w:rsidR="009B2C4A" w:rsidRPr="009B2C4A">
        <w:rPr>
          <w:lang w:val="fr-CA"/>
        </w:rPr>
        <w:t>’</w:t>
      </w:r>
      <w:r w:rsidRPr="009B2C4A">
        <w:rPr>
          <w:lang w:val="fr-CA"/>
        </w:rPr>
        <w:t>expertise du juge de la peine et la situation unique de S, deux autres facteurs confirment le caractère proportionnel d</w:t>
      </w:r>
      <w:r w:rsidR="009B2C4A" w:rsidRPr="009B2C4A">
        <w:rPr>
          <w:lang w:val="fr-CA"/>
        </w:rPr>
        <w:t>’</w:t>
      </w:r>
      <w:r w:rsidRPr="009B2C4A">
        <w:rPr>
          <w:lang w:val="fr-CA"/>
        </w:rPr>
        <w:t>une peine considérablement réduite. Premièrement, S s</w:t>
      </w:r>
      <w:r w:rsidR="009B2C4A" w:rsidRPr="009B2C4A">
        <w:rPr>
          <w:lang w:val="fr-CA"/>
        </w:rPr>
        <w:t>’</w:t>
      </w:r>
      <w:r w:rsidRPr="009B2C4A">
        <w:rPr>
          <w:lang w:val="fr-CA"/>
        </w:rPr>
        <w:t>est non seulement mépris en droit, mais il s</w:t>
      </w:r>
      <w:r w:rsidR="009B2C4A" w:rsidRPr="009B2C4A">
        <w:rPr>
          <w:lang w:val="fr-CA"/>
        </w:rPr>
        <w:t>’</w:t>
      </w:r>
      <w:r w:rsidRPr="009B2C4A">
        <w:rPr>
          <w:lang w:val="fr-CA"/>
        </w:rPr>
        <w:t>est aussi mépris de façon raisonnable. Il s</w:t>
      </w:r>
      <w:r w:rsidR="009B2C4A" w:rsidRPr="009B2C4A">
        <w:rPr>
          <w:lang w:val="fr-CA"/>
        </w:rPr>
        <w:t>’</w:t>
      </w:r>
      <w:r w:rsidRPr="009B2C4A">
        <w:rPr>
          <w:lang w:val="fr-CA"/>
        </w:rPr>
        <w:t>est fié aux conseils d</w:t>
      </w:r>
      <w:r w:rsidR="009B2C4A" w:rsidRPr="009B2C4A">
        <w:rPr>
          <w:lang w:val="fr-CA"/>
        </w:rPr>
        <w:t>’</w:t>
      </w:r>
      <w:r w:rsidRPr="009B2C4A">
        <w:rPr>
          <w:lang w:val="fr-CA"/>
        </w:rPr>
        <w:t>un avocat dont les services étaient offerts par l</w:t>
      </w:r>
      <w:r w:rsidR="009B2C4A" w:rsidRPr="009B2C4A">
        <w:rPr>
          <w:lang w:val="fr-CA"/>
        </w:rPr>
        <w:t>’</w:t>
      </w:r>
      <w:r w:rsidRPr="009B2C4A">
        <w:rPr>
          <w:lang w:val="fr-CA"/>
        </w:rPr>
        <w:t>État pour refuser de fournir un échantillon d</w:t>
      </w:r>
      <w:r w:rsidR="009B2C4A" w:rsidRPr="009B2C4A">
        <w:rPr>
          <w:lang w:val="fr-CA"/>
        </w:rPr>
        <w:t>’</w:t>
      </w:r>
      <w:r w:rsidRPr="009B2C4A">
        <w:rPr>
          <w:lang w:val="fr-CA"/>
        </w:rPr>
        <w:t>haleine et il était raisonnable pour lui de le faire. Sa culpabilité morale est donc extrêmement faible. Deuxièmement, l</w:t>
      </w:r>
      <w:r w:rsidR="009B2C4A" w:rsidRPr="009B2C4A">
        <w:rPr>
          <w:lang w:val="fr-CA"/>
        </w:rPr>
        <w:t>’</w:t>
      </w:r>
      <w:r w:rsidRPr="009B2C4A">
        <w:rPr>
          <w:lang w:val="fr-CA"/>
        </w:rPr>
        <w:t>importance constitutionnelle du droit à l</w:t>
      </w:r>
      <w:r w:rsidR="009B2C4A" w:rsidRPr="009B2C4A">
        <w:rPr>
          <w:lang w:val="fr-CA"/>
        </w:rPr>
        <w:t>’</w:t>
      </w:r>
      <w:r w:rsidRPr="009B2C4A">
        <w:rPr>
          <w:lang w:val="fr-CA"/>
        </w:rPr>
        <w:t>assistance d</w:t>
      </w:r>
      <w:r w:rsidR="009B2C4A" w:rsidRPr="009B2C4A">
        <w:rPr>
          <w:lang w:val="fr-CA"/>
        </w:rPr>
        <w:t>’</w:t>
      </w:r>
      <w:r w:rsidRPr="009B2C4A">
        <w:rPr>
          <w:lang w:val="fr-CA"/>
        </w:rPr>
        <w:t>un avocat milite aussi en faveur d</w:t>
      </w:r>
      <w:r w:rsidR="009B2C4A" w:rsidRPr="009B2C4A">
        <w:rPr>
          <w:lang w:val="fr-CA"/>
        </w:rPr>
        <w:t>’</w:t>
      </w:r>
      <w:r w:rsidRPr="009B2C4A">
        <w:rPr>
          <w:lang w:val="fr-CA"/>
        </w:rPr>
        <w:t>une peine considérablement réduite. Les gens doivent pouvoir s</w:t>
      </w:r>
      <w:r w:rsidR="009B2C4A" w:rsidRPr="009B2C4A">
        <w:rPr>
          <w:lang w:val="fr-CA"/>
        </w:rPr>
        <w:t>’</w:t>
      </w:r>
      <w:r w:rsidRPr="009B2C4A">
        <w:rPr>
          <w:lang w:val="fr-CA"/>
        </w:rPr>
        <w:t>appuyer sur les conseils juridiques reçus dans l</w:t>
      </w:r>
      <w:r w:rsidR="009B2C4A" w:rsidRPr="009B2C4A">
        <w:rPr>
          <w:lang w:val="fr-CA"/>
        </w:rPr>
        <w:t>’</w:t>
      </w:r>
      <w:r w:rsidRPr="009B2C4A">
        <w:rPr>
          <w:lang w:val="fr-CA"/>
        </w:rPr>
        <w:t>exercice de leur droit constitutionnel à l</w:t>
      </w:r>
      <w:r w:rsidR="009B2C4A" w:rsidRPr="009B2C4A">
        <w:rPr>
          <w:lang w:val="fr-CA"/>
        </w:rPr>
        <w:t>’</w:t>
      </w:r>
      <w:r w:rsidRPr="009B2C4A">
        <w:rPr>
          <w:lang w:val="fr-CA"/>
        </w:rPr>
        <w:t>assistance d</w:t>
      </w:r>
      <w:r w:rsidR="009B2C4A" w:rsidRPr="009B2C4A">
        <w:rPr>
          <w:lang w:val="fr-CA"/>
        </w:rPr>
        <w:t>’</w:t>
      </w:r>
      <w:r w:rsidRPr="009B2C4A">
        <w:rPr>
          <w:lang w:val="fr-CA"/>
        </w:rPr>
        <w:t>un avocat.</w:t>
      </w:r>
    </w:p>
    <w:p w:rsidR="009921E8" w:rsidRPr="009B2C4A" w:rsidRDefault="009921E8" w:rsidP="009921E8">
      <w:pPr>
        <w:pStyle w:val="SCCNormalDoubleSpacing"/>
        <w:spacing w:after="480"/>
        <w:rPr>
          <w:lang w:val="fr-CA"/>
        </w:rPr>
      </w:pPr>
      <w:r w:rsidRPr="009B2C4A">
        <w:rPr>
          <w:lang w:val="fr-CA"/>
        </w:rPr>
        <w:tab/>
        <w:t>Les objectifs de détermination de la peine applicables confirment le caractère proportionnel de la peine. Dans le contexte de la conduite avec capacités affaiblies, il est nécessaire de privilégier l</w:t>
      </w:r>
      <w:r w:rsidR="009B2C4A" w:rsidRPr="009B2C4A">
        <w:rPr>
          <w:lang w:val="fr-CA"/>
        </w:rPr>
        <w:t>’</w:t>
      </w:r>
      <w:r w:rsidRPr="009B2C4A">
        <w:rPr>
          <w:lang w:val="fr-CA"/>
        </w:rPr>
        <w:t>objectif consistant à dissuader les délinquants, et quiconque, de commettre des infractions. Toutefois, on ne peut pas ne pas tenir compte des faits de l</w:t>
      </w:r>
      <w:r w:rsidR="009B2C4A" w:rsidRPr="009B2C4A">
        <w:rPr>
          <w:lang w:val="fr-CA"/>
        </w:rPr>
        <w:t>’</w:t>
      </w:r>
      <w:r w:rsidRPr="009B2C4A">
        <w:rPr>
          <w:lang w:val="fr-CA"/>
        </w:rPr>
        <w:t>espèce, car ils jouent un rôle crucial dans l</w:t>
      </w:r>
      <w:r w:rsidR="009B2C4A" w:rsidRPr="009B2C4A">
        <w:rPr>
          <w:lang w:val="fr-CA"/>
        </w:rPr>
        <w:t>’</w:t>
      </w:r>
      <w:r w:rsidRPr="009B2C4A">
        <w:rPr>
          <w:lang w:val="fr-CA"/>
        </w:rPr>
        <w:t>infliction d</w:t>
      </w:r>
      <w:r w:rsidR="009B2C4A" w:rsidRPr="009B2C4A">
        <w:rPr>
          <w:lang w:val="fr-CA"/>
        </w:rPr>
        <w:t>’</w:t>
      </w:r>
      <w:r w:rsidRPr="009B2C4A">
        <w:rPr>
          <w:lang w:val="fr-CA"/>
        </w:rPr>
        <w:t>une peine proportionnée à S. Ce dernier n</w:t>
      </w:r>
      <w:r w:rsidR="009B2C4A" w:rsidRPr="009B2C4A">
        <w:rPr>
          <w:lang w:val="fr-CA"/>
        </w:rPr>
        <w:t>’</w:t>
      </w:r>
      <w:r w:rsidRPr="009B2C4A">
        <w:rPr>
          <w:lang w:val="fr-CA"/>
        </w:rPr>
        <w:t xml:space="preserve">a pas été tenté de commettre un crime et </w:t>
      </w:r>
      <w:r w:rsidRPr="009B2C4A">
        <w:rPr>
          <w:lang w:val="fr-CA"/>
        </w:rPr>
        <w:lastRenderedPageBreak/>
        <w:t>n</w:t>
      </w:r>
      <w:r w:rsidR="009B2C4A" w:rsidRPr="009B2C4A">
        <w:rPr>
          <w:lang w:val="fr-CA"/>
        </w:rPr>
        <w:t>’</w:t>
      </w:r>
      <w:r w:rsidRPr="009B2C4A">
        <w:rPr>
          <w:lang w:val="fr-CA"/>
        </w:rPr>
        <w:t>a pas non plus commis un crime en raison d</w:t>
      </w:r>
      <w:r w:rsidR="009B2C4A" w:rsidRPr="009B2C4A">
        <w:rPr>
          <w:lang w:val="fr-CA"/>
        </w:rPr>
        <w:t>’</w:t>
      </w:r>
      <w:r w:rsidRPr="009B2C4A">
        <w:rPr>
          <w:lang w:val="fr-CA"/>
        </w:rPr>
        <w:t>une dissuasion insuffisante. Il a refusé de fournir un échantillon d</w:t>
      </w:r>
      <w:r w:rsidR="009B2C4A" w:rsidRPr="009B2C4A">
        <w:rPr>
          <w:lang w:val="fr-CA"/>
        </w:rPr>
        <w:t>’</w:t>
      </w:r>
      <w:r w:rsidRPr="009B2C4A">
        <w:rPr>
          <w:lang w:val="fr-CA"/>
        </w:rPr>
        <w:t>haleine parce que c</w:t>
      </w:r>
      <w:r w:rsidR="009B2C4A" w:rsidRPr="009B2C4A">
        <w:rPr>
          <w:lang w:val="fr-CA"/>
        </w:rPr>
        <w:t>’</w:t>
      </w:r>
      <w:r w:rsidRPr="009B2C4A">
        <w:rPr>
          <w:lang w:val="fr-CA"/>
        </w:rPr>
        <w:t>est ce que son avocat lui a dit de faire. L</w:t>
      </w:r>
      <w:r w:rsidR="009B2C4A" w:rsidRPr="009B2C4A">
        <w:rPr>
          <w:lang w:val="fr-CA"/>
        </w:rPr>
        <w:t>’</w:t>
      </w:r>
      <w:r w:rsidRPr="009B2C4A">
        <w:rPr>
          <w:lang w:val="fr-CA"/>
        </w:rPr>
        <w:t>infliction d</w:t>
      </w:r>
      <w:r w:rsidR="009B2C4A" w:rsidRPr="009B2C4A">
        <w:rPr>
          <w:lang w:val="fr-CA"/>
        </w:rPr>
        <w:t>’</w:t>
      </w:r>
      <w:r w:rsidRPr="009B2C4A">
        <w:rPr>
          <w:lang w:val="fr-CA"/>
        </w:rPr>
        <w:t>une peine sévère en l</w:t>
      </w:r>
      <w:r w:rsidR="009B2C4A" w:rsidRPr="009B2C4A">
        <w:rPr>
          <w:lang w:val="fr-CA"/>
        </w:rPr>
        <w:t>’</w:t>
      </w:r>
      <w:r w:rsidRPr="009B2C4A">
        <w:rPr>
          <w:lang w:val="fr-CA"/>
        </w:rPr>
        <w:t>espèce n</w:t>
      </w:r>
      <w:r w:rsidR="009B2C4A" w:rsidRPr="009B2C4A">
        <w:rPr>
          <w:lang w:val="fr-CA"/>
        </w:rPr>
        <w:t>’</w:t>
      </w:r>
      <w:r w:rsidRPr="009B2C4A">
        <w:rPr>
          <w:lang w:val="fr-CA"/>
        </w:rPr>
        <w:t>aura pas pour effet de dissuader d</w:t>
      </w:r>
      <w:r w:rsidR="009B2C4A" w:rsidRPr="009B2C4A">
        <w:rPr>
          <w:lang w:val="fr-CA"/>
        </w:rPr>
        <w:t>’</w:t>
      </w:r>
      <w:r w:rsidRPr="009B2C4A">
        <w:rPr>
          <w:lang w:val="fr-CA"/>
        </w:rPr>
        <w:t>autres personnes de refuser de fournir un échantillon d</w:t>
      </w:r>
      <w:r w:rsidR="009B2C4A" w:rsidRPr="009B2C4A">
        <w:rPr>
          <w:lang w:val="fr-CA"/>
        </w:rPr>
        <w:t>’</w:t>
      </w:r>
      <w:r w:rsidRPr="009B2C4A">
        <w:rPr>
          <w:lang w:val="fr-CA"/>
        </w:rPr>
        <w:t>haleine; elle aura plutôt pour effet de dissuader d</w:t>
      </w:r>
      <w:r w:rsidR="009B2C4A" w:rsidRPr="009B2C4A">
        <w:rPr>
          <w:lang w:val="fr-CA"/>
        </w:rPr>
        <w:t>’</w:t>
      </w:r>
      <w:r w:rsidRPr="009B2C4A">
        <w:rPr>
          <w:lang w:val="fr-CA"/>
        </w:rPr>
        <w:t>autres personnes de suivre les conseils de leur avocat. Il est également nécessaire de privilégier l</w:t>
      </w:r>
      <w:r w:rsidR="009B2C4A" w:rsidRPr="009B2C4A">
        <w:rPr>
          <w:lang w:val="fr-CA"/>
        </w:rPr>
        <w:t>’</w:t>
      </w:r>
      <w:r w:rsidRPr="009B2C4A">
        <w:rPr>
          <w:lang w:val="fr-CA"/>
        </w:rPr>
        <w:t>objectif consistant à dénoncer le comportement illégal et le tort causé par celui</w:t>
      </w:r>
      <w:r w:rsidR="009B2C4A" w:rsidRPr="009B2C4A">
        <w:rPr>
          <w:lang w:val="fr-CA"/>
        </w:rPr>
        <w:noBreakHyphen/>
      </w:r>
      <w:r w:rsidRPr="009B2C4A">
        <w:rPr>
          <w:lang w:val="fr-CA"/>
        </w:rPr>
        <w:t>ci aux victimes ou à la collectivité, mais sans faire abstraction des faits uniques de la présente affaire. La simple perpétration d</w:t>
      </w:r>
      <w:r w:rsidR="009B2C4A" w:rsidRPr="009B2C4A">
        <w:rPr>
          <w:lang w:val="fr-CA"/>
        </w:rPr>
        <w:t>’</w:t>
      </w:r>
      <w:r w:rsidRPr="009B2C4A">
        <w:rPr>
          <w:lang w:val="fr-CA"/>
        </w:rPr>
        <w:t>une infraction administrative, suivant les conseils donnés par un avocat dont les services sont offerts par l</w:t>
      </w:r>
      <w:r w:rsidR="009B2C4A" w:rsidRPr="009B2C4A">
        <w:rPr>
          <w:lang w:val="fr-CA"/>
        </w:rPr>
        <w:t>’</w:t>
      </w:r>
      <w:r w:rsidRPr="009B2C4A">
        <w:rPr>
          <w:lang w:val="fr-CA"/>
        </w:rPr>
        <w:t>État, ne justifie pas une dénonciation rigoureuse en raison de l</w:t>
      </w:r>
      <w:r w:rsidR="009B2C4A" w:rsidRPr="009B2C4A">
        <w:rPr>
          <w:lang w:val="fr-CA"/>
        </w:rPr>
        <w:t>’</w:t>
      </w:r>
      <w:r w:rsidRPr="009B2C4A">
        <w:rPr>
          <w:lang w:val="fr-CA"/>
        </w:rPr>
        <w:t>absence de la culpabilité morale nécessaire.</w:t>
      </w:r>
    </w:p>
    <w:p w:rsidR="009921E8" w:rsidRPr="009B2C4A" w:rsidRDefault="009921E8" w:rsidP="00123730">
      <w:pPr>
        <w:pStyle w:val="SCCNormalDoubleSpacing"/>
        <w:spacing w:after="480"/>
        <w:rPr>
          <w:lang w:val="fr-CA"/>
        </w:rPr>
      </w:pPr>
      <w:r w:rsidRPr="009B2C4A">
        <w:rPr>
          <w:lang w:val="fr-CA"/>
        </w:rPr>
        <w:tab/>
        <w:t>Une peine devrait être réduite pour tenir compte des circonstances atténuantes liées à la perpétration de l</w:t>
      </w:r>
      <w:r w:rsidR="009B2C4A" w:rsidRPr="009B2C4A">
        <w:rPr>
          <w:lang w:val="fr-CA"/>
        </w:rPr>
        <w:t>’</w:t>
      </w:r>
      <w:r w:rsidRPr="009B2C4A">
        <w:rPr>
          <w:lang w:val="fr-CA"/>
        </w:rPr>
        <w:t>infraction. En l</w:t>
      </w:r>
      <w:r w:rsidR="009B2C4A" w:rsidRPr="009B2C4A">
        <w:rPr>
          <w:lang w:val="fr-CA"/>
        </w:rPr>
        <w:t>’</w:t>
      </w:r>
      <w:r w:rsidRPr="009B2C4A">
        <w:rPr>
          <w:lang w:val="fr-CA"/>
        </w:rPr>
        <w:t>espèce, le fait que S se soit fié à de mauvais conseils juridiques, son absence d</w:t>
      </w:r>
      <w:r w:rsidR="009B2C4A" w:rsidRPr="009B2C4A">
        <w:rPr>
          <w:lang w:val="fr-CA"/>
        </w:rPr>
        <w:t>’</w:t>
      </w:r>
      <w:r w:rsidRPr="009B2C4A">
        <w:rPr>
          <w:lang w:val="fr-CA"/>
        </w:rPr>
        <w:t>ivresse et les attaques qu</w:t>
      </w:r>
      <w:r w:rsidR="009B2C4A" w:rsidRPr="009B2C4A">
        <w:rPr>
          <w:lang w:val="fr-CA"/>
        </w:rPr>
        <w:t>’</w:t>
      </w:r>
      <w:r w:rsidRPr="009B2C4A">
        <w:rPr>
          <w:lang w:val="fr-CA"/>
        </w:rPr>
        <w:t>il a subies aux mains de justiciers ne sont pas les seuls facteurs atténuants. La peine de S doit aussi être réduite en raison des facteurs suivants</w:t>
      </w:r>
      <w:r w:rsidR="009B2C4A" w:rsidRPr="009B2C4A">
        <w:rPr>
          <w:lang w:val="fr-CA"/>
        </w:rPr>
        <w:t> :</w:t>
      </w:r>
      <w:r w:rsidRPr="009B2C4A">
        <w:rPr>
          <w:lang w:val="fr-CA"/>
        </w:rPr>
        <w:t xml:space="preserve"> son plaidoyer de culpabilité, ses immenses remords, l</w:t>
      </w:r>
      <w:r w:rsidR="009B2C4A" w:rsidRPr="009B2C4A">
        <w:rPr>
          <w:lang w:val="fr-CA"/>
        </w:rPr>
        <w:t>’</w:t>
      </w:r>
      <w:r w:rsidRPr="009B2C4A">
        <w:rPr>
          <w:lang w:val="fr-CA"/>
        </w:rPr>
        <w:t>absence de casier judiciaire, l</w:t>
      </w:r>
      <w:r w:rsidR="009B2C4A" w:rsidRPr="009B2C4A">
        <w:rPr>
          <w:lang w:val="fr-CA"/>
        </w:rPr>
        <w:t>’</w:t>
      </w:r>
      <w:r w:rsidRPr="009B2C4A">
        <w:rPr>
          <w:lang w:val="fr-CA"/>
        </w:rPr>
        <w:t>appui solide de la collectivité et le fait qu</w:t>
      </w:r>
      <w:r w:rsidR="009B2C4A" w:rsidRPr="009B2C4A">
        <w:rPr>
          <w:lang w:val="fr-CA"/>
        </w:rPr>
        <w:t>’</w:t>
      </w:r>
      <w:r w:rsidRPr="009B2C4A">
        <w:rPr>
          <w:lang w:val="fr-CA"/>
        </w:rPr>
        <w:t>il a été un membre productif de la société. Il faut considérer l</w:t>
      </w:r>
      <w:r w:rsidR="009B2C4A" w:rsidRPr="009B2C4A">
        <w:rPr>
          <w:lang w:val="fr-CA"/>
        </w:rPr>
        <w:t>’</w:t>
      </w:r>
      <w:r w:rsidRPr="009B2C4A">
        <w:rPr>
          <w:lang w:val="fr-CA"/>
        </w:rPr>
        <w:t>effet combiné de ces facteurs atténuants pour prononcer une peine qui est indiquée. Pris ensemble, ces</w:t>
      </w:r>
      <w:r w:rsidR="005301F5">
        <w:rPr>
          <w:lang w:val="fr-CA"/>
        </w:rPr>
        <w:t xml:space="preserve"> facteurs</w:t>
      </w:r>
      <w:r w:rsidRPr="009B2C4A">
        <w:rPr>
          <w:lang w:val="fr-CA"/>
        </w:rPr>
        <w:t xml:space="preserve"> ont un effet atténuant marqué. Le fait que les juges majoritaires soient prêts à infliger en définitive une peine de 10 mois et demi</w:t>
      </w:r>
      <w:r w:rsidR="005301F5">
        <w:rPr>
          <w:lang w:val="fr-CA"/>
        </w:rPr>
        <w:t xml:space="preserve"> d’emprisonnement</w:t>
      </w:r>
      <w:r w:rsidRPr="009B2C4A">
        <w:rPr>
          <w:lang w:val="fr-CA"/>
        </w:rPr>
        <w:t>, bien qu</w:t>
      </w:r>
      <w:r w:rsidR="009B2C4A" w:rsidRPr="009B2C4A">
        <w:rPr>
          <w:lang w:val="fr-CA"/>
        </w:rPr>
        <w:t>’</w:t>
      </w:r>
      <w:r w:rsidRPr="009B2C4A">
        <w:rPr>
          <w:lang w:val="fr-CA"/>
        </w:rPr>
        <w:t>ils aient signalé que la conduite de S justifiait l</w:t>
      </w:r>
      <w:r w:rsidR="009B2C4A" w:rsidRPr="009B2C4A">
        <w:rPr>
          <w:lang w:val="fr-CA"/>
        </w:rPr>
        <w:t>’</w:t>
      </w:r>
      <w:r w:rsidRPr="009B2C4A">
        <w:rPr>
          <w:lang w:val="fr-CA"/>
        </w:rPr>
        <w:t>imposition d</w:t>
      </w:r>
      <w:r w:rsidR="009B2C4A" w:rsidRPr="009B2C4A">
        <w:rPr>
          <w:lang w:val="fr-CA"/>
        </w:rPr>
        <w:t>’</w:t>
      </w:r>
      <w:r w:rsidRPr="009B2C4A">
        <w:rPr>
          <w:lang w:val="fr-CA"/>
        </w:rPr>
        <w:t>une peine pouvant aller jusqu</w:t>
      </w:r>
      <w:r w:rsidR="009B2C4A" w:rsidRPr="009B2C4A">
        <w:rPr>
          <w:lang w:val="fr-CA"/>
        </w:rPr>
        <w:t>’</w:t>
      </w:r>
      <w:r w:rsidRPr="009B2C4A">
        <w:rPr>
          <w:lang w:val="fr-CA"/>
        </w:rPr>
        <w:t>à 18 mois, démontre qu</w:t>
      </w:r>
      <w:r w:rsidR="009B2C4A" w:rsidRPr="009B2C4A">
        <w:rPr>
          <w:lang w:val="fr-CA"/>
        </w:rPr>
        <w:t>’</w:t>
      </w:r>
      <w:r w:rsidRPr="009B2C4A">
        <w:rPr>
          <w:lang w:val="fr-CA"/>
        </w:rPr>
        <w:t xml:space="preserve">une peine aussi sévère serait disproportionnée par rapport à la situation de S. La manière précise dont ces facteurs atténuants se reflètent dans une peine en </w:t>
      </w:r>
      <w:r w:rsidRPr="009B2C4A">
        <w:rPr>
          <w:lang w:val="fr-CA"/>
        </w:rPr>
        <w:lastRenderedPageBreak/>
        <w:t>particulier est déterminée de façon très empirique par l</w:t>
      </w:r>
      <w:r w:rsidR="009B2C4A" w:rsidRPr="009B2C4A">
        <w:rPr>
          <w:lang w:val="fr-CA"/>
        </w:rPr>
        <w:t>’</w:t>
      </w:r>
      <w:r w:rsidRPr="009B2C4A">
        <w:rPr>
          <w:lang w:val="fr-CA"/>
        </w:rPr>
        <w:t>application du principe de détermination de la peine que constitue la parité et qui prévoit l</w:t>
      </w:r>
      <w:r w:rsidR="009B2C4A" w:rsidRPr="009B2C4A">
        <w:rPr>
          <w:lang w:val="fr-CA"/>
        </w:rPr>
        <w:t>’</w:t>
      </w:r>
      <w:r w:rsidRPr="009B2C4A">
        <w:rPr>
          <w:lang w:val="fr-CA"/>
        </w:rPr>
        <w:t>harmonisation des peines, c</w:t>
      </w:r>
      <w:r w:rsidR="009B2C4A" w:rsidRPr="009B2C4A">
        <w:rPr>
          <w:lang w:val="fr-CA"/>
        </w:rPr>
        <w:t>’</w:t>
      </w:r>
      <w:r w:rsidRPr="009B2C4A">
        <w:rPr>
          <w:lang w:val="fr-CA"/>
        </w:rPr>
        <w:t>est</w:t>
      </w:r>
      <w:r w:rsidR="009B2C4A" w:rsidRPr="009B2C4A">
        <w:rPr>
          <w:lang w:val="fr-CA"/>
        </w:rPr>
        <w:noBreakHyphen/>
      </w:r>
      <w:r w:rsidRPr="009B2C4A">
        <w:rPr>
          <w:lang w:val="fr-CA"/>
        </w:rPr>
        <w:t>à</w:t>
      </w:r>
      <w:r w:rsidR="009B2C4A" w:rsidRPr="009B2C4A">
        <w:rPr>
          <w:lang w:val="fr-CA"/>
        </w:rPr>
        <w:noBreakHyphen/>
      </w:r>
      <w:r w:rsidRPr="009B2C4A">
        <w:rPr>
          <w:lang w:val="fr-CA"/>
        </w:rPr>
        <w:t>dire l</w:t>
      </w:r>
      <w:r w:rsidR="009B2C4A" w:rsidRPr="009B2C4A">
        <w:rPr>
          <w:lang w:val="fr-CA"/>
        </w:rPr>
        <w:t>’</w:t>
      </w:r>
      <w:r w:rsidRPr="009B2C4A">
        <w:rPr>
          <w:lang w:val="fr-CA"/>
        </w:rPr>
        <w:t>infliction de peines semblables à celles infligées à des délinquants pour des infractions semblables commises dans des circonstances semblables. Les faits propres au cas de S sont tout à fait uniques. Il n</w:t>
      </w:r>
      <w:r w:rsidR="009B2C4A" w:rsidRPr="009B2C4A">
        <w:rPr>
          <w:lang w:val="fr-CA"/>
        </w:rPr>
        <w:t>’</w:t>
      </w:r>
      <w:r w:rsidRPr="009B2C4A">
        <w:rPr>
          <w:lang w:val="fr-CA"/>
        </w:rPr>
        <w:t>y a pas de délinquants ayant commis des infractions semblables dans des circonstances semblables par rapport auxquels sa peine peut raisonnablement être appréciée. Dans la décision dont les faits se rapprochent le plus de ceux de la présente affaire en ce qui a trait à la culpabilité morale, on a imposé la même peine d</w:t>
      </w:r>
      <w:r w:rsidR="009B2C4A" w:rsidRPr="009B2C4A">
        <w:rPr>
          <w:lang w:val="fr-CA"/>
        </w:rPr>
        <w:t>’</w:t>
      </w:r>
      <w:r w:rsidRPr="009B2C4A">
        <w:rPr>
          <w:lang w:val="fr-CA"/>
        </w:rPr>
        <w:t>emprisonnement que celle infligée en l</w:t>
      </w:r>
      <w:r w:rsidR="009B2C4A" w:rsidRPr="009B2C4A">
        <w:rPr>
          <w:lang w:val="fr-CA"/>
        </w:rPr>
        <w:t>’</w:t>
      </w:r>
      <w:r w:rsidRPr="009B2C4A">
        <w:rPr>
          <w:lang w:val="fr-CA"/>
        </w:rPr>
        <w:t>espèce (soit quatre mois). De plus, la jurisprudence établit une fourchette de peines allant jusqu</w:t>
      </w:r>
      <w:r w:rsidR="009B2C4A" w:rsidRPr="009B2C4A">
        <w:rPr>
          <w:lang w:val="fr-CA"/>
        </w:rPr>
        <w:t>’</w:t>
      </w:r>
      <w:r w:rsidRPr="009B2C4A">
        <w:rPr>
          <w:lang w:val="fr-CA"/>
        </w:rPr>
        <w:t>à un an d</w:t>
      </w:r>
      <w:r w:rsidR="009B2C4A" w:rsidRPr="009B2C4A">
        <w:rPr>
          <w:lang w:val="fr-CA"/>
        </w:rPr>
        <w:t>’</w:t>
      </w:r>
      <w:r w:rsidRPr="009B2C4A">
        <w:rPr>
          <w:lang w:val="fr-CA"/>
        </w:rPr>
        <w:t>emprisonnement lorsqu</w:t>
      </w:r>
      <w:r w:rsidR="009B2C4A" w:rsidRPr="009B2C4A">
        <w:rPr>
          <w:lang w:val="fr-CA"/>
        </w:rPr>
        <w:t>’</w:t>
      </w:r>
      <w:r w:rsidRPr="009B2C4A">
        <w:rPr>
          <w:lang w:val="fr-CA"/>
        </w:rPr>
        <w:t>il s</w:t>
      </w:r>
      <w:r w:rsidR="009B2C4A" w:rsidRPr="009B2C4A">
        <w:rPr>
          <w:lang w:val="fr-CA"/>
        </w:rPr>
        <w:t>’</w:t>
      </w:r>
      <w:r w:rsidRPr="009B2C4A">
        <w:rPr>
          <w:lang w:val="fr-CA"/>
        </w:rPr>
        <w:t>agit de déterminer la peine à infliger pour cette infraction dans le cas où celle</w:t>
      </w:r>
      <w:r w:rsidR="009B2C4A" w:rsidRPr="009B2C4A">
        <w:rPr>
          <w:lang w:val="fr-CA"/>
        </w:rPr>
        <w:noBreakHyphen/>
      </w:r>
      <w:r w:rsidRPr="009B2C4A">
        <w:rPr>
          <w:lang w:val="fr-CA"/>
        </w:rPr>
        <w:t>ci est considérée uniquement sous l</w:t>
      </w:r>
      <w:r w:rsidR="009B2C4A" w:rsidRPr="009B2C4A">
        <w:rPr>
          <w:lang w:val="fr-CA"/>
        </w:rPr>
        <w:t>’</w:t>
      </w:r>
      <w:r w:rsidRPr="009B2C4A">
        <w:rPr>
          <w:lang w:val="fr-CA"/>
        </w:rPr>
        <w:t>angle de l</w:t>
      </w:r>
      <w:r w:rsidR="009B2C4A" w:rsidRPr="009B2C4A">
        <w:rPr>
          <w:lang w:val="fr-CA"/>
        </w:rPr>
        <w:t>’</w:t>
      </w:r>
      <w:r w:rsidRPr="009B2C4A">
        <w:rPr>
          <w:lang w:val="fr-CA"/>
        </w:rPr>
        <w:t>entrave à la justice, plutôt que sous celui où elle sert de substitut à une infraction de conduite avec les capacités affaiblies. La souplesse constatée dans la jurisprudence démontre que le Parlement a voulu que l</w:t>
      </w:r>
      <w:r w:rsidR="009B2C4A" w:rsidRPr="009B2C4A">
        <w:rPr>
          <w:lang w:val="fr-CA"/>
        </w:rPr>
        <w:t>’</w:t>
      </w:r>
      <w:r w:rsidRPr="009B2C4A">
        <w:rPr>
          <w:lang w:val="fr-CA"/>
        </w:rPr>
        <w:t xml:space="preserve">infraction visée au </w:t>
      </w:r>
      <w:r w:rsidR="009B2C4A" w:rsidRPr="009B2C4A">
        <w:rPr>
          <w:lang w:val="fr-CA"/>
        </w:rPr>
        <w:t>par. </w:t>
      </w:r>
      <w:r w:rsidRPr="009B2C4A">
        <w:rPr>
          <w:lang w:val="fr-CA"/>
        </w:rPr>
        <w:t>255(3.2) s</w:t>
      </w:r>
      <w:r w:rsidR="009B2C4A" w:rsidRPr="009B2C4A">
        <w:rPr>
          <w:lang w:val="fr-CA"/>
        </w:rPr>
        <w:t>’</w:t>
      </w:r>
      <w:r w:rsidRPr="009B2C4A">
        <w:rPr>
          <w:lang w:val="fr-CA"/>
        </w:rPr>
        <w:t>applique de manière suffisamment sévère pour décourager toute tentation de refuser de donner un échantillon d</w:t>
      </w:r>
      <w:r w:rsidR="009B2C4A" w:rsidRPr="009B2C4A">
        <w:rPr>
          <w:lang w:val="fr-CA"/>
        </w:rPr>
        <w:t>’</w:t>
      </w:r>
      <w:r w:rsidRPr="009B2C4A">
        <w:rPr>
          <w:lang w:val="fr-CA"/>
        </w:rPr>
        <w:t>haleine, mais de manière suffisamment flexible pour reconnaître qu</w:t>
      </w:r>
      <w:r w:rsidR="009B2C4A" w:rsidRPr="009B2C4A">
        <w:rPr>
          <w:lang w:val="fr-CA"/>
        </w:rPr>
        <w:t>’</w:t>
      </w:r>
      <w:r w:rsidRPr="009B2C4A">
        <w:rPr>
          <w:lang w:val="fr-CA"/>
        </w:rPr>
        <w:t>un refus ne coïncide pas toujours avec le fait d</w:t>
      </w:r>
      <w:r w:rsidR="009B2C4A" w:rsidRPr="009B2C4A">
        <w:rPr>
          <w:lang w:val="fr-CA"/>
        </w:rPr>
        <w:t>’</w:t>
      </w:r>
      <w:r w:rsidRPr="009B2C4A">
        <w:rPr>
          <w:lang w:val="fr-CA"/>
        </w:rPr>
        <w:t>avoir conduit un véhicule avec les facultés affaiblies. En conséquence, compte tenu des faits uniques de l</w:t>
      </w:r>
      <w:r w:rsidR="009B2C4A" w:rsidRPr="009B2C4A">
        <w:rPr>
          <w:lang w:val="fr-CA"/>
        </w:rPr>
        <w:t>’</w:t>
      </w:r>
      <w:r w:rsidRPr="009B2C4A">
        <w:rPr>
          <w:lang w:val="fr-CA"/>
        </w:rPr>
        <w:t>espèce et de la jurisprudence, rien ne permet d</w:t>
      </w:r>
      <w:r w:rsidR="009B2C4A" w:rsidRPr="009B2C4A">
        <w:rPr>
          <w:lang w:val="fr-CA"/>
        </w:rPr>
        <w:t>’</w:t>
      </w:r>
      <w:r w:rsidRPr="009B2C4A">
        <w:rPr>
          <w:lang w:val="fr-CA"/>
        </w:rPr>
        <w:t>affirmer que la peine d</w:t>
      </w:r>
      <w:r w:rsidR="009B2C4A" w:rsidRPr="009B2C4A">
        <w:rPr>
          <w:lang w:val="fr-CA"/>
        </w:rPr>
        <w:t>’</w:t>
      </w:r>
      <w:r w:rsidRPr="009B2C4A">
        <w:rPr>
          <w:lang w:val="fr-CA"/>
        </w:rPr>
        <w:t>emprisonnement de quatre mois à laquelle S a été condamné était manifestement non indiquée.</w:t>
      </w:r>
    </w:p>
    <w:p w:rsidR="004D7D95" w:rsidRPr="009B2C4A" w:rsidRDefault="004D7D95" w:rsidP="009921E8">
      <w:pPr>
        <w:pStyle w:val="SCCNormalDoubleSpacing"/>
        <w:spacing w:before="480" w:after="480"/>
        <w:rPr>
          <w:b/>
          <w:lang w:val="fr-CA"/>
        </w:rPr>
      </w:pPr>
      <w:r w:rsidRPr="009B2C4A">
        <w:rPr>
          <w:b/>
          <w:lang w:val="fr-CA"/>
        </w:rPr>
        <w:t>Jurisprudence</w:t>
      </w:r>
    </w:p>
    <w:p w:rsidR="004D7D95" w:rsidRPr="009B2C4A" w:rsidRDefault="005212E9" w:rsidP="00F72EA4">
      <w:pPr>
        <w:pStyle w:val="SCCNormalDoubleSpacing"/>
        <w:tabs>
          <w:tab w:val="left" w:pos="1822"/>
        </w:tabs>
        <w:spacing w:after="720" w:line="240" w:lineRule="auto"/>
        <w:rPr>
          <w:lang w:val="fr-CA"/>
        </w:rPr>
      </w:pPr>
      <w:r w:rsidRPr="009B2C4A">
        <w:rPr>
          <w:lang w:val="fr-CA"/>
        </w:rPr>
        <w:t>Citée par le</w:t>
      </w:r>
      <w:r w:rsidR="00F72EA4" w:rsidRPr="009B2C4A">
        <w:rPr>
          <w:lang w:val="fr-CA"/>
        </w:rPr>
        <w:t xml:space="preserve"> juge Moldaver</w:t>
      </w:r>
    </w:p>
    <w:p w:rsidR="004D7D95" w:rsidRPr="009B2C4A" w:rsidRDefault="004D7D95" w:rsidP="00EC2BDA">
      <w:pPr>
        <w:pStyle w:val="SCCNormalDoubleSpacing"/>
        <w:spacing w:before="480" w:after="480"/>
        <w:rPr>
          <w:lang w:val="fr-CA"/>
        </w:rPr>
      </w:pPr>
      <w:r w:rsidRPr="009B2C4A">
        <w:rPr>
          <w:lang w:val="fr-CA"/>
        </w:rPr>
        <w:lastRenderedPageBreak/>
        <w:tab/>
      </w:r>
      <w:r w:rsidR="00CB4B74" w:rsidRPr="00CB4B74">
        <w:rPr>
          <w:b/>
          <w:lang w:val="fr-CA"/>
        </w:rPr>
        <w:t>Arrêts appliqués :</w:t>
      </w:r>
      <w:r w:rsidR="00CB4B74">
        <w:rPr>
          <w:lang w:val="fr-CA"/>
        </w:rPr>
        <w:t xml:space="preserve"> </w:t>
      </w:r>
      <w:r w:rsidR="00CB4B74" w:rsidRPr="009B2C4A">
        <w:rPr>
          <w:i/>
          <w:lang w:val="fr-CA"/>
        </w:rPr>
        <w:t>R. c. Lacasse</w:t>
      </w:r>
      <w:r w:rsidR="00CB4B74" w:rsidRPr="009B2C4A">
        <w:rPr>
          <w:lang w:val="fr-CA"/>
        </w:rPr>
        <w:t>, 2015 CSC 64, [2015] 3 R.C.S. 1089;</w:t>
      </w:r>
      <w:r w:rsidR="00CB4B74">
        <w:rPr>
          <w:lang w:val="fr-CA"/>
        </w:rPr>
        <w:t xml:space="preserve"> </w:t>
      </w:r>
      <w:r w:rsidR="00CB4B74" w:rsidRPr="009B2C4A">
        <w:rPr>
          <w:i/>
          <w:lang w:val="fr-CA"/>
        </w:rPr>
        <w:t>R. c. Mian</w:t>
      </w:r>
      <w:r w:rsidR="00CB4B74" w:rsidRPr="009B2C4A">
        <w:rPr>
          <w:lang w:val="fr-CA"/>
        </w:rPr>
        <w:t xml:space="preserve">, 2014 CSC 54, [2014] 2 R.C.S. </w:t>
      </w:r>
      <w:r w:rsidR="00CB4B74" w:rsidRPr="00CB4B74">
        <w:rPr>
          <w:lang w:val="fr-CA"/>
        </w:rPr>
        <w:t>689;</w:t>
      </w:r>
      <w:r w:rsidR="00CB4B74" w:rsidRPr="00CB4B74">
        <w:rPr>
          <w:i/>
          <w:lang w:val="fr-CA"/>
        </w:rPr>
        <w:t xml:space="preserve"> </w:t>
      </w:r>
      <w:r w:rsidR="00CB4B74" w:rsidRPr="00CB4B74">
        <w:rPr>
          <w:b/>
          <w:lang w:val="fr-CA"/>
        </w:rPr>
        <w:t>a</w:t>
      </w:r>
      <w:r w:rsidRPr="00CB4B74">
        <w:rPr>
          <w:b/>
          <w:lang w:val="fr-CA"/>
        </w:rPr>
        <w:t>rrêts mentionnés</w:t>
      </w:r>
      <w:r w:rsidR="009B2C4A" w:rsidRPr="00CB4B74">
        <w:rPr>
          <w:b/>
          <w:lang w:val="fr-CA"/>
        </w:rPr>
        <w:t> :</w:t>
      </w:r>
      <w:r w:rsidRPr="00CB4B74">
        <w:rPr>
          <w:lang w:val="fr-CA"/>
        </w:rPr>
        <w:t xml:space="preserve"> </w:t>
      </w:r>
      <w:r w:rsidR="00941293" w:rsidRPr="00CB4B74">
        <w:rPr>
          <w:i/>
          <w:lang w:val="fr-CA"/>
        </w:rPr>
        <w:t>R. c</w:t>
      </w:r>
      <w:r w:rsidR="00941293" w:rsidRPr="009B2C4A">
        <w:rPr>
          <w:i/>
          <w:lang w:val="fr-CA"/>
        </w:rPr>
        <w:t>. Brydges</w:t>
      </w:r>
      <w:r w:rsidR="00941293" w:rsidRPr="009B2C4A">
        <w:rPr>
          <w:lang w:val="fr-CA"/>
        </w:rPr>
        <w:t xml:space="preserve">, [1990] 1 R.C.S. 190; </w:t>
      </w:r>
      <w:r w:rsidR="00F72EA4" w:rsidRPr="009B2C4A">
        <w:rPr>
          <w:i/>
          <w:lang w:val="fr-CA"/>
        </w:rPr>
        <w:t>R. c. Shropshire</w:t>
      </w:r>
      <w:r w:rsidR="00F72EA4" w:rsidRPr="009B2C4A">
        <w:rPr>
          <w:lang w:val="fr-CA"/>
        </w:rPr>
        <w:t xml:space="preserve">, [1995] 4 R.C.S. 227; </w:t>
      </w:r>
      <w:r w:rsidR="00F72EA4" w:rsidRPr="009B2C4A">
        <w:rPr>
          <w:i/>
          <w:lang w:val="fr-CA"/>
        </w:rPr>
        <w:t>R. c. L.F.W.</w:t>
      </w:r>
      <w:r w:rsidR="00F72EA4" w:rsidRPr="009B2C4A">
        <w:rPr>
          <w:lang w:val="fr-CA"/>
        </w:rPr>
        <w:t xml:space="preserve">, 2000 CSC 6, [2000] 1 R.C.S. 132; </w:t>
      </w:r>
      <w:r w:rsidR="00F72EA4" w:rsidRPr="009B2C4A">
        <w:rPr>
          <w:i/>
          <w:lang w:val="fr-CA"/>
        </w:rPr>
        <w:t>R. c. L.M.</w:t>
      </w:r>
      <w:r w:rsidR="00F72EA4" w:rsidRPr="009B2C4A">
        <w:rPr>
          <w:lang w:val="fr-CA"/>
        </w:rPr>
        <w:t xml:space="preserve">, 2008 CSC 31, [2008] 2 </w:t>
      </w:r>
      <w:r w:rsidR="00855D89" w:rsidRPr="009B2C4A">
        <w:rPr>
          <w:lang w:val="fr-CA"/>
        </w:rPr>
        <w:t>R</w:t>
      </w:r>
      <w:r w:rsidR="00F72EA4" w:rsidRPr="009B2C4A">
        <w:rPr>
          <w:lang w:val="fr-CA"/>
        </w:rPr>
        <w:t>.C.</w:t>
      </w:r>
      <w:r w:rsidR="00855D89" w:rsidRPr="009B2C4A">
        <w:rPr>
          <w:lang w:val="fr-CA"/>
        </w:rPr>
        <w:t>S</w:t>
      </w:r>
      <w:r w:rsidR="00F72EA4" w:rsidRPr="009B2C4A">
        <w:rPr>
          <w:lang w:val="fr-CA"/>
        </w:rPr>
        <w:t xml:space="preserve">. 163; </w:t>
      </w:r>
      <w:r w:rsidR="00F72EA4" w:rsidRPr="009B2C4A">
        <w:rPr>
          <w:i/>
          <w:lang w:val="fr-CA"/>
        </w:rPr>
        <w:t xml:space="preserve">R. </w:t>
      </w:r>
      <w:r w:rsidR="00C22535" w:rsidRPr="009B2C4A">
        <w:rPr>
          <w:i/>
          <w:lang w:val="fr-CA"/>
        </w:rPr>
        <w:t>c</w:t>
      </w:r>
      <w:r w:rsidR="00F72EA4" w:rsidRPr="009B2C4A">
        <w:rPr>
          <w:i/>
          <w:lang w:val="fr-CA"/>
        </w:rPr>
        <w:t>. Nasogaluak</w:t>
      </w:r>
      <w:r w:rsidR="00F72EA4" w:rsidRPr="009B2C4A">
        <w:rPr>
          <w:lang w:val="fr-CA"/>
        </w:rPr>
        <w:t xml:space="preserve">, 2010 </w:t>
      </w:r>
      <w:r w:rsidR="00C22535" w:rsidRPr="009B2C4A">
        <w:rPr>
          <w:lang w:val="fr-CA"/>
        </w:rPr>
        <w:t>CSC</w:t>
      </w:r>
      <w:r w:rsidR="00F72EA4" w:rsidRPr="009B2C4A">
        <w:rPr>
          <w:lang w:val="fr-CA"/>
        </w:rPr>
        <w:t xml:space="preserve"> 6</w:t>
      </w:r>
      <w:r w:rsidR="00C22535" w:rsidRPr="009B2C4A">
        <w:rPr>
          <w:lang w:val="fr-CA"/>
        </w:rPr>
        <w:t>, [2010] 1 R.C.S. 206</w:t>
      </w:r>
      <w:r w:rsidR="00F72EA4" w:rsidRPr="009B2C4A">
        <w:rPr>
          <w:lang w:val="fr-CA"/>
        </w:rPr>
        <w:t xml:space="preserve">; </w:t>
      </w:r>
      <w:r w:rsidR="00F72EA4" w:rsidRPr="009B2C4A">
        <w:rPr>
          <w:i/>
          <w:lang w:val="fr-CA"/>
        </w:rPr>
        <w:t xml:space="preserve">R. </w:t>
      </w:r>
      <w:r w:rsidR="009B03B9" w:rsidRPr="009B2C4A">
        <w:rPr>
          <w:i/>
          <w:lang w:val="fr-CA"/>
        </w:rPr>
        <w:t>c</w:t>
      </w:r>
      <w:r w:rsidR="00F72EA4" w:rsidRPr="009B2C4A">
        <w:rPr>
          <w:i/>
          <w:lang w:val="fr-CA"/>
        </w:rPr>
        <w:t>. Junkert</w:t>
      </w:r>
      <w:r w:rsidR="00F72EA4" w:rsidRPr="009B2C4A">
        <w:rPr>
          <w:lang w:val="fr-CA"/>
        </w:rPr>
        <w:t>, 2010 ONCA 549</w:t>
      </w:r>
      <w:r w:rsidR="009B03B9" w:rsidRPr="009B2C4A">
        <w:rPr>
          <w:lang w:val="fr-CA"/>
        </w:rPr>
        <w:t>, 103 O.R. (3d) 284</w:t>
      </w:r>
      <w:r w:rsidR="00F72EA4" w:rsidRPr="009B2C4A">
        <w:rPr>
          <w:lang w:val="fr-CA"/>
        </w:rPr>
        <w:t xml:space="preserve">; </w:t>
      </w:r>
      <w:r w:rsidR="00F72EA4" w:rsidRPr="009B2C4A">
        <w:rPr>
          <w:i/>
          <w:lang w:val="fr-CA"/>
        </w:rPr>
        <w:t xml:space="preserve">R. </w:t>
      </w:r>
      <w:r w:rsidR="009B03B9" w:rsidRPr="009B2C4A">
        <w:rPr>
          <w:i/>
          <w:lang w:val="fr-CA"/>
        </w:rPr>
        <w:t>c</w:t>
      </w:r>
      <w:r w:rsidR="00F72EA4" w:rsidRPr="009B2C4A">
        <w:rPr>
          <w:i/>
          <w:lang w:val="fr-CA"/>
        </w:rPr>
        <w:t>. Kummer</w:t>
      </w:r>
      <w:r w:rsidR="00F72EA4" w:rsidRPr="009B2C4A">
        <w:rPr>
          <w:lang w:val="fr-CA"/>
        </w:rPr>
        <w:t>, 2011 ONCA 39</w:t>
      </w:r>
      <w:r w:rsidR="009B03B9" w:rsidRPr="009B2C4A">
        <w:rPr>
          <w:lang w:val="fr-CA"/>
        </w:rPr>
        <w:t>, 103 O.R. (3d) 64</w:t>
      </w:r>
      <w:r w:rsidR="0054220C">
        <w:rPr>
          <w:lang w:val="fr-CA"/>
        </w:rPr>
        <w:t>1</w:t>
      </w:r>
      <w:r w:rsidR="00F72EA4" w:rsidRPr="009B2C4A">
        <w:rPr>
          <w:lang w:val="fr-CA"/>
        </w:rPr>
        <w:t xml:space="preserve">; </w:t>
      </w:r>
      <w:r w:rsidR="00F72EA4" w:rsidRPr="009B2C4A">
        <w:rPr>
          <w:i/>
          <w:lang w:val="fr-CA"/>
        </w:rPr>
        <w:t xml:space="preserve">R. </w:t>
      </w:r>
      <w:r w:rsidR="00E54DB2" w:rsidRPr="009B2C4A">
        <w:rPr>
          <w:i/>
          <w:lang w:val="fr-CA"/>
        </w:rPr>
        <w:t>c</w:t>
      </w:r>
      <w:r w:rsidR="00F72EA4" w:rsidRPr="009B2C4A">
        <w:rPr>
          <w:i/>
          <w:lang w:val="fr-CA"/>
        </w:rPr>
        <w:t>. Angelillo</w:t>
      </w:r>
      <w:r w:rsidR="00F72EA4" w:rsidRPr="009B2C4A">
        <w:rPr>
          <w:lang w:val="fr-CA"/>
        </w:rPr>
        <w:t xml:space="preserve">, 2006 </w:t>
      </w:r>
      <w:r w:rsidR="00E54DB2" w:rsidRPr="009B2C4A">
        <w:rPr>
          <w:lang w:val="fr-CA"/>
        </w:rPr>
        <w:t>CSC</w:t>
      </w:r>
      <w:r w:rsidR="00F72EA4" w:rsidRPr="009B2C4A">
        <w:rPr>
          <w:lang w:val="fr-CA"/>
        </w:rPr>
        <w:t xml:space="preserve"> 55</w:t>
      </w:r>
      <w:r w:rsidR="00E54DB2" w:rsidRPr="009B2C4A">
        <w:rPr>
          <w:lang w:val="fr-CA"/>
        </w:rPr>
        <w:t>, [2006] 2 R.C.S. 728</w:t>
      </w:r>
      <w:r w:rsidR="00F72EA4" w:rsidRPr="009B2C4A">
        <w:rPr>
          <w:lang w:val="fr-CA"/>
        </w:rPr>
        <w:t xml:space="preserve">; </w:t>
      </w:r>
      <w:r w:rsidR="00F72EA4" w:rsidRPr="009B2C4A">
        <w:rPr>
          <w:i/>
          <w:lang w:val="fr-CA"/>
        </w:rPr>
        <w:t xml:space="preserve">R. </w:t>
      </w:r>
      <w:r w:rsidR="00683B51" w:rsidRPr="009B2C4A">
        <w:rPr>
          <w:i/>
          <w:lang w:val="fr-CA"/>
        </w:rPr>
        <w:t>c</w:t>
      </w:r>
      <w:r w:rsidR="00F72EA4" w:rsidRPr="009B2C4A">
        <w:rPr>
          <w:i/>
          <w:lang w:val="fr-CA"/>
        </w:rPr>
        <w:t>. Larche</w:t>
      </w:r>
      <w:r w:rsidR="00F72EA4" w:rsidRPr="009B2C4A">
        <w:rPr>
          <w:lang w:val="fr-CA"/>
        </w:rPr>
        <w:t xml:space="preserve">, 2006 </w:t>
      </w:r>
      <w:r w:rsidR="00DA7CAF" w:rsidRPr="009B2C4A">
        <w:rPr>
          <w:lang w:val="fr-CA"/>
        </w:rPr>
        <w:t>CSC</w:t>
      </w:r>
      <w:r w:rsidR="00F72EA4" w:rsidRPr="009B2C4A">
        <w:rPr>
          <w:lang w:val="fr-CA"/>
        </w:rPr>
        <w:t xml:space="preserve"> 56</w:t>
      </w:r>
      <w:r w:rsidR="00683B51" w:rsidRPr="009B2C4A">
        <w:rPr>
          <w:lang w:val="fr-CA"/>
        </w:rPr>
        <w:t xml:space="preserve">, [2006] 2 </w:t>
      </w:r>
      <w:r w:rsidR="00ED1D2C" w:rsidRPr="009B2C4A">
        <w:rPr>
          <w:lang w:val="fr-CA"/>
        </w:rPr>
        <w:t>R</w:t>
      </w:r>
      <w:r w:rsidR="00683B51" w:rsidRPr="009B2C4A">
        <w:rPr>
          <w:lang w:val="fr-CA"/>
        </w:rPr>
        <w:t>.C.</w:t>
      </w:r>
      <w:r w:rsidR="00ED1D2C" w:rsidRPr="009B2C4A">
        <w:rPr>
          <w:lang w:val="fr-CA"/>
        </w:rPr>
        <w:t>S</w:t>
      </w:r>
      <w:r w:rsidR="00683B51" w:rsidRPr="009B2C4A">
        <w:rPr>
          <w:lang w:val="fr-CA"/>
        </w:rPr>
        <w:t>. 762</w:t>
      </w:r>
      <w:r w:rsidR="00F72EA4" w:rsidRPr="009B2C4A">
        <w:rPr>
          <w:lang w:val="fr-CA"/>
        </w:rPr>
        <w:t xml:space="preserve">; </w:t>
      </w:r>
      <w:r w:rsidR="00F72EA4" w:rsidRPr="009B2C4A">
        <w:rPr>
          <w:i/>
          <w:lang w:val="fr-CA"/>
        </w:rPr>
        <w:t xml:space="preserve">R. </w:t>
      </w:r>
      <w:r w:rsidR="000E146C" w:rsidRPr="009B2C4A">
        <w:rPr>
          <w:i/>
          <w:lang w:val="fr-CA"/>
        </w:rPr>
        <w:t>c</w:t>
      </w:r>
      <w:r w:rsidR="00F72EA4" w:rsidRPr="009B2C4A">
        <w:rPr>
          <w:i/>
          <w:lang w:val="fr-CA"/>
        </w:rPr>
        <w:t>. Proulx</w:t>
      </w:r>
      <w:r w:rsidR="00F72EA4" w:rsidRPr="009B2C4A">
        <w:rPr>
          <w:lang w:val="fr-CA"/>
        </w:rPr>
        <w:t xml:space="preserve">, 2000 </w:t>
      </w:r>
      <w:r w:rsidR="000E146C" w:rsidRPr="009B2C4A">
        <w:rPr>
          <w:lang w:val="fr-CA"/>
        </w:rPr>
        <w:t xml:space="preserve">CSC </w:t>
      </w:r>
      <w:r w:rsidR="00F72EA4" w:rsidRPr="009B2C4A">
        <w:rPr>
          <w:lang w:val="fr-CA"/>
        </w:rPr>
        <w:t>5</w:t>
      </w:r>
      <w:r w:rsidR="000E146C" w:rsidRPr="009B2C4A">
        <w:rPr>
          <w:lang w:val="fr-CA"/>
        </w:rPr>
        <w:t>, [2000] 1 R.C.S. 61</w:t>
      </w:r>
      <w:r w:rsidR="00F72EA4" w:rsidRPr="009B2C4A">
        <w:rPr>
          <w:lang w:val="fr-CA"/>
        </w:rPr>
        <w:t xml:space="preserve">; </w:t>
      </w:r>
      <w:r w:rsidR="00F72EA4" w:rsidRPr="009B2C4A">
        <w:rPr>
          <w:i/>
          <w:lang w:val="fr-CA"/>
        </w:rPr>
        <w:t xml:space="preserve">R. </w:t>
      </w:r>
      <w:r w:rsidR="00DA7CAF" w:rsidRPr="009B2C4A">
        <w:rPr>
          <w:i/>
          <w:lang w:val="fr-CA"/>
        </w:rPr>
        <w:t>c</w:t>
      </w:r>
      <w:r w:rsidR="00F72EA4" w:rsidRPr="009B2C4A">
        <w:rPr>
          <w:i/>
          <w:lang w:val="fr-CA"/>
        </w:rPr>
        <w:t>. Ipeelee</w:t>
      </w:r>
      <w:r w:rsidR="00F72EA4" w:rsidRPr="009B2C4A">
        <w:rPr>
          <w:lang w:val="fr-CA"/>
        </w:rPr>
        <w:t xml:space="preserve">, 2012 </w:t>
      </w:r>
      <w:r w:rsidR="00DA7CAF" w:rsidRPr="009B2C4A">
        <w:rPr>
          <w:lang w:val="fr-CA"/>
        </w:rPr>
        <w:t>CSC</w:t>
      </w:r>
      <w:r w:rsidR="00F72EA4" w:rsidRPr="009B2C4A">
        <w:rPr>
          <w:lang w:val="fr-CA"/>
        </w:rPr>
        <w:t xml:space="preserve"> 13</w:t>
      </w:r>
      <w:r w:rsidR="00DA7CAF" w:rsidRPr="009B2C4A">
        <w:rPr>
          <w:lang w:val="fr-CA"/>
        </w:rPr>
        <w:t>, [2012] 1 R.C.S. 433</w:t>
      </w:r>
      <w:r w:rsidR="00F72EA4" w:rsidRPr="009B2C4A">
        <w:rPr>
          <w:lang w:val="fr-CA"/>
        </w:rPr>
        <w:t xml:space="preserve">; </w:t>
      </w:r>
      <w:r w:rsidR="00F72EA4" w:rsidRPr="009B2C4A">
        <w:rPr>
          <w:i/>
          <w:lang w:val="fr-CA"/>
        </w:rPr>
        <w:t xml:space="preserve">R. </w:t>
      </w:r>
      <w:r w:rsidR="00E37688" w:rsidRPr="009B2C4A">
        <w:rPr>
          <w:i/>
          <w:lang w:val="fr-CA"/>
        </w:rPr>
        <w:t>c</w:t>
      </w:r>
      <w:r w:rsidR="00F72EA4" w:rsidRPr="009B2C4A">
        <w:rPr>
          <w:i/>
          <w:lang w:val="fr-CA"/>
        </w:rPr>
        <w:t>. Pham</w:t>
      </w:r>
      <w:r w:rsidR="00F72EA4" w:rsidRPr="009B2C4A">
        <w:rPr>
          <w:lang w:val="fr-CA"/>
        </w:rPr>
        <w:t xml:space="preserve">, 2013 </w:t>
      </w:r>
      <w:r w:rsidR="00E37688" w:rsidRPr="009B2C4A">
        <w:rPr>
          <w:lang w:val="fr-CA"/>
        </w:rPr>
        <w:t>CSC</w:t>
      </w:r>
      <w:r w:rsidR="00F72EA4" w:rsidRPr="009B2C4A">
        <w:rPr>
          <w:lang w:val="fr-CA"/>
        </w:rPr>
        <w:t xml:space="preserve"> 15</w:t>
      </w:r>
      <w:r w:rsidR="00E37688" w:rsidRPr="009B2C4A">
        <w:rPr>
          <w:lang w:val="fr-CA"/>
        </w:rPr>
        <w:t>, [2013] 1 R.C.S. 739</w:t>
      </w:r>
      <w:r w:rsidR="00F72EA4" w:rsidRPr="009B2C4A">
        <w:rPr>
          <w:lang w:val="fr-CA"/>
        </w:rPr>
        <w:t xml:space="preserve">; </w:t>
      </w:r>
      <w:r w:rsidR="00AA37CA" w:rsidRPr="009B2C4A">
        <w:rPr>
          <w:i/>
          <w:lang w:val="fr-CA"/>
        </w:rPr>
        <w:t>R. c</w:t>
      </w:r>
      <w:r w:rsidR="00996D8B" w:rsidRPr="009B2C4A">
        <w:rPr>
          <w:i/>
          <w:lang w:val="fr-CA"/>
        </w:rPr>
        <w:t xml:space="preserve">. Bunn </w:t>
      </w:r>
      <w:r w:rsidR="00AA37CA" w:rsidRPr="009B2C4A">
        <w:rPr>
          <w:lang w:val="fr-CA"/>
        </w:rPr>
        <w:t>(1997), 118 Man. R. (2d) 300</w:t>
      </w:r>
      <w:r w:rsidR="00F72EA4" w:rsidRPr="009B2C4A">
        <w:rPr>
          <w:lang w:val="fr-CA"/>
        </w:rPr>
        <w:t xml:space="preserve">; </w:t>
      </w:r>
      <w:r w:rsidR="00F72EA4" w:rsidRPr="009B2C4A">
        <w:rPr>
          <w:i/>
          <w:lang w:val="fr-CA"/>
        </w:rPr>
        <w:t xml:space="preserve">R. </w:t>
      </w:r>
      <w:r w:rsidR="00AA37CA" w:rsidRPr="009B2C4A">
        <w:rPr>
          <w:i/>
          <w:lang w:val="fr-CA"/>
        </w:rPr>
        <w:t>c</w:t>
      </w:r>
      <w:r w:rsidR="00F72EA4" w:rsidRPr="009B2C4A">
        <w:rPr>
          <w:i/>
          <w:lang w:val="fr-CA"/>
        </w:rPr>
        <w:t>. Bunn</w:t>
      </w:r>
      <w:r w:rsidR="00F72EA4" w:rsidRPr="009B2C4A">
        <w:rPr>
          <w:lang w:val="fr-CA"/>
        </w:rPr>
        <w:t xml:space="preserve">, 2000 </w:t>
      </w:r>
      <w:r w:rsidR="00AA37CA" w:rsidRPr="009B2C4A">
        <w:rPr>
          <w:lang w:val="fr-CA"/>
        </w:rPr>
        <w:t>CSC</w:t>
      </w:r>
      <w:r w:rsidR="00F72EA4" w:rsidRPr="009B2C4A">
        <w:rPr>
          <w:lang w:val="fr-CA"/>
        </w:rPr>
        <w:t xml:space="preserve"> 9</w:t>
      </w:r>
      <w:r w:rsidR="00AA37CA" w:rsidRPr="009B2C4A">
        <w:rPr>
          <w:lang w:val="fr-CA"/>
        </w:rPr>
        <w:t>, [2000] 1 R.C.S. 183</w:t>
      </w:r>
      <w:r w:rsidR="00F72EA4" w:rsidRPr="009B2C4A">
        <w:rPr>
          <w:lang w:val="fr-CA"/>
        </w:rPr>
        <w:t xml:space="preserve">; </w:t>
      </w:r>
      <w:r w:rsidR="00F72EA4" w:rsidRPr="009B2C4A">
        <w:rPr>
          <w:i/>
          <w:lang w:val="fr-CA"/>
        </w:rPr>
        <w:t xml:space="preserve">Tran </w:t>
      </w:r>
      <w:r w:rsidR="00FA15E3" w:rsidRPr="009B2C4A">
        <w:rPr>
          <w:i/>
          <w:lang w:val="fr-CA"/>
        </w:rPr>
        <w:t>c</w:t>
      </w:r>
      <w:r w:rsidR="00F72EA4" w:rsidRPr="009B2C4A">
        <w:rPr>
          <w:i/>
          <w:lang w:val="fr-CA"/>
        </w:rPr>
        <w:t>. Canada (</w:t>
      </w:r>
      <w:r w:rsidR="00FA15E3" w:rsidRPr="009B2C4A">
        <w:rPr>
          <w:i/>
          <w:lang w:val="fr-CA"/>
        </w:rPr>
        <w:t>Sécurité publique et Protection civile</w:t>
      </w:r>
      <w:r w:rsidR="00F72EA4" w:rsidRPr="009B2C4A">
        <w:rPr>
          <w:i/>
          <w:lang w:val="fr-CA"/>
        </w:rPr>
        <w:t>)</w:t>
      </w:r>
      <w:r w:rsidR="00F72EA4" w:rsidRPr="009B2C4A">
        <w:rPr>
          <w:lang w:val="fr-CA"/>
        </w:rPr>
        <w:t xml:space="preserve">, 2017 </w:t>
      </w:r>
      <w:r w:rsidR="00FA15E3" w:rsidRPr="009B2C4A">
        <w:rPr>
          <w:lang w:val="fr-CA"/>
        </w:rPr>
        <w:t>CSC</w:t>
      </w:r>
      <w:r w:rsidR="00F72EA4" w:rsidRPr="009B2C4A">
        <w:rPr>
          <w:lang w:val="fr-CA"/>
        </w:rPr>
        <w:t xml:space="preserve"> 50</w:t>
      </w:r>
      <w:r w:rsidR="00FA15E3" w:rsidRPr="009B2C4A">
        <w:rPr>
          <w:lang w:val="fr-CA"/>
        </w:rPr>
        <w:t>, [2017] 2 R.C.S. 289</w:t>
      </w:r>
      <w:r w:rsidR="00F72EA4" w:rsidRPr="009B2C4A">
        <w:rPr>
          <w:lang w:val="fr-CA"/>
        </w:rPr>
        <w:t xml:space="preserve">; </w:t>
      </w:r>
      <w:r w:rsidR="00F72EA4" w:rsidRPr="009B2C4A">
        <w:rPr>
          <w:i/>
          <w:lang w:val="fr-CA"/>
        </w:rPr>
        <w:t xml:space="preserve">R. </w:t>
      </w:r>
      <w:r w:rsidR="00983EAF" w:rsidRPr="009B2C4A">
        <w:rPr>
          <w:i/>
          <w:lang w:val="fr-CA"/>
        </w:rPr>
        <w:t>c</w:t>
      </w:r>
      <w:r w:rsidR="00F72EA4" w:rsidRPr="009B2C4A">
        <w:rPr>
          <w:i/>
          <w:lang w:val="fr-CA"/>
        </w:rPr>
        <w:t>. MacFarlane</w:t>
      </w:r>
      <w:r w:rsidR="00F72EA4" w:rsidRPr="009B2C4A">
        <w:rPr>
          <w:lang w:val="fr-CA"/>
        </w:rPr>
        <w:t>,</w:t>
      </w:r>
      <w:r w:rsidR="00F72EA4" w:rsidRPr="009B2C4A">
        <w:rPr>
          <w:i/>
          <w:lang w:val="fr-CA"/>
        </w:rPr>
        <w:t xml:space="preserve"> </w:t>
      </w:r>
      <w:r w:rsidR="00F72EA4" w:rsidRPr="009B2C4A">
        <w:rPr>
          <w:lang w:val="fr-CA"/>
        </w:rPr>
        <w:t>2012 ONCA 82</w:t>
      </w:r>
      <w:r w:rsidR="00983EAF" w:rsidRPr="009B2C4A">
        <w:rPr>
          <w:lang w:val="fr-CA"/>
        </w:rPr>
        <w:t>, 288 O.A.C. 114</w:t>
      </w:r>
      <w:r w:rsidR="00F72EA4" w:rsidRPr="009B2C4A">
        <w:rPr>
          <w:lang w:val="fr-CA"/>
        </w:rPr>
        <w:t xml:space="preserve">; </w:t>
      </w:r>
      <w:r w:rsidR="00866319" w:rsidRPr="009B2C4A">
        <w:rPr>
          <w:i/>
          <w:lang w:val="fr-CA"/>
        </w:rPr>
        <w:t>R. c. Folino</w:t>
      </w:r>
      <w:r w:rsidR="00A352B0" w:rsidRPr="009B2C4A">
        <w:rPr>
          <w:lang w:val="fr-CA"/>
        </w:rPr>
        <w:t>, 2005 ONCA 258</w:t>
      </w:r>
      <w:r w:rsidR="00FD10E1" w:rsidRPr="009B2C4A">
        <w:rPr>
          <w:lang w:val="fr-CA"/>
        </w:rPr>
        <w:t>, 77 O.R. (3d) 641</w:t>
      </w:r>
      <w:r w:rsidR="00F72EA4" w:rsidRPr="009B2C4A">
        <w:rPr>
          <w:lang w:val="fr-CA"/>
        </w:rPr>
        <w:t xml:space="preserve">; </w:t>
      </w:r>
      <w:r w:rsidR="00F72EA4" w:rsidRPr="009B2C4A">
        <w:rPr>
          <w:i/>
          <w:lang w:val="fr-CA"/>
        </w:rPr>
        <w:t xml:space="preserve">R. </w:t>
      </w:r>
      <w:r w:rsidR="00866319" w:rsidRPr="009B2C4A">
        <w:rPr>
          <w:i/>
          <w:lang w:val="fr-CA"/>
        </w:rPr>
        <w:t>c</w:t>
      </w:r>
      <w:r w:rsidR="00F72EA4" w:rsidRPr="009B2C4A">
        <w:rPr>
          <w:i/>
          <w:lang w:val="fr-CA"/>
        </w:rPr>
        <w:t>. Anderson</w:t>
      </w:r>
      <w:r w:rsidR="00F72EA4" w:rsidRPr="009B2C4A">
        <w:rPr>
          <w:lang w:val="fr-CA"/>
        </w:rPr>
        <w:t xml:space="preserve">, 2014 ONSC 3646; </w:t>
      </w:r>
      <w:r w:rsidR="00D74136" w:rsidRPr="009B2C4A">
        <w:rPr>
          <w:i/>
          <w:lang w:val="fr-CA"/>
        </w:rPr>
        <w:t>R. c. Mamarika</w:t>
      </w:r>
      <w:r w:rsidR="00D74136" w:rsidRPr="009B2C4A">
        <w:rPr>
          <w:lang w:val="fr-CA"/>
        </w:rPr>
        <w:t>, [1982] FCA 94, 42 A.L.R. 94</w:t>
      </w:r>
      <w:r w:rsidR="00F72EA4" w:rsidRPr="009B2C4A">
        <w:rPr>
          <w:lang w:val="fr-CA"/>
        </w:rPr>
        <w:t xml:space="preserve">; </w:t>
      </w:r>
      <w:r w:rsidR="00F72EA4" w:rsidRPr="009B2C4A">
        <w:rPr>
          <w:i/>
          <w:lang w:val="fr-CA"/>
        </w:rPr>
        <w:t xml:space="preserve">R. </w:t>
      </w:r>
      <w:r w:rsidR="002C4CF1" w:rsidRPr="009B2C4A">
        <w:rPr>
          <w:i/>
          <w:lang w:val="fr-CA"/>
        </w:rPr>
        <w:t>c</w:t>
      </w:r>
      <w:r w:rsidR="00F72EA4" w:rsidRPr="009B2C4A">
        <w:rPr>
          <w:i/>
          <w:lang w:val="fr-CA"/>
        </w:rPr>
        <w:t>. McDonald</w:t>
      </w:r>
      <w:r w:rsidR="00F72EA4" w:rsidRPr="009B2C4A">
        <w:rPr>
          <w:lang w:val="fr-CA"/>
        </w:rPr>
        <w:t xml:space="preserve">, 2016 NUCA 4; </w:t>
      </w:r>
      <w:r w:rsidR="002C4CF1" w:rsidRPr="009B2C4A">
        <w:rPr>
          <w:i/>
          <w:lang w:val="fr-CA"/>
        </w:rPr>
        <w:t>R. c. Stanberry</w:t>
      </w:r>
      <w:r w:rsidR="002C4CF1" w:rsidRPr="009B2C4A">
        <w:rPr>
          <w:lang w:val="fr-CA"/>
        </w:rPr>
        <w:t>, 2015 QCCQ 1097, 18 C.R. (7th) 87</w:t>
      </w:r>
      <w:r w:rsidR="00F72EA4" w:rsidRPr="009B2C4A">
        <w:rPr>
          <w:lang w:val="fr-CA"/>
        </w:rPr>
        <w:t xml:space="preserve">; </w:t>
      </w:r>
      <w:r w:rsidR="008F6EEB" w:rsidRPr="009B2C4A">
        <w:rPr>
          <w:i/>
          <w:lang w:val="fr-CA"/>
        </w:rPr>
        <w:t>R. c. Bell</w:t>
      </w:r>
      <w:r w:rsidR="008F6EEB" w:rsidRPr="009B2C4A">
        <w:rPr>
          <w:lang w:val="fr-CA"/>
        </w:rPr>
        <w:t>, 2013 MBQB 80, 290 Man. R. (2d) 79</w:t>
      </w:r>
      <w:r w:rsidR="00F72EA4" w:rsidRPr="009B2C4A">
        <w:rPr>
          <w:lang w:val="fr-CA"/>
        </w:rPr>
        <w:t xml:space="preserve">; </w:t>
      </w:r>
      <w:r w:rsidR="00F72EA4" w:rsidRPr="009B2C4A">
        <w:rPr>
          <w:i/>
          <w:lang w:val="fr-CA"/>
        </w:rPr>
        <w:t xml:space="preserve">R. </w:t>
      </w:r>
      <w:r w:rsidR="008F6EEB" w:rsidRPr="009B2C4A">
        <w:rPr>
          <w:i/>
          <w:lang w:val="fr-CA"/>
        </w:rPr>
        <w:t>c</w:t>
      </w:r>
      <w:r w:rsidR="00F72EA4" w:rsidRPr="009B2C4A">
        <w:rPr>
          <w:i/>
          <w:lang w:val="fr-CA"/>
        </w:rPr>
        <w:t>. Heatherington</w:t>
      </w:r>
      <w:r w:rsidR="00F72EA4" w:rsidRPr="009B2C4A">
        <w:rPr>
          <w:lang w:val="fr-CA"/>
        </w:rPr>
        <w:t>, 2005 ABCA 393</w:t>
      </w:r>
      <w:r w:rsidR="008F6EEB" w:rsidRPr="009B2C4A">
        <w:rPr>
          <w:lang w:val="fr-CA"/>
        </w:rPr>
        <w:t>, 380 A.R. 395</w:t>
      </w:r>
      <w:r w:rsidR="00F72EA4" w:rsidRPr="009B2C4A">
        <w:rPr>
          <w:lang w:val="fr-CA"/>
        </w:rPr>
        <w:t xml:space="preserve">; </w:t>
      </w:r>
      <w:r w:rsidR="00686C5C" w:rsidRPr="009B2C4A">
        <w:rPr>
          <w:i/>
          <w:lang w:val="fr-CA"/>
        </w:rPr>
        <w:t>R. c. Owens</w:t>
      </w:r>
      <w:r w:rsidR="00985476" w:rsidRPr="009B2C4A">
        <w:rPr>
          <w:i/>
          <w:lang w:val="fr-CA"/>
        </w:rPr>
        <w:t xml:space="preserve"> </w:t>
      </w:r>
      <w:r w:rsidR="00686C5C" w:rsidRPr="009B2C4A">
        <w:rPr>
          <w:lang w:val="fr-CA"/>
        </w:rPr>
        <w:t>(2002), 161 O.A.C. 229</w:t>
      </w:r>
      <w:r w:rsidR="00F72EA4" w:rsidRPr="009B2C4A">
        <w:rPr>
          <w:lang w:val="fr-CA"/>
        </w:rPr>
        <w:t xml:space="preserve">; </w:t>
      </w:r>
      <w:r w:rsidR="00A068DF" w:rsidRPr="009B2C4A">
        <w:rPr>
          <w:i/>
          <w:lang w:val="fr-CA"/>
        </w:rPr>
        <w:t>R. c. Abouabdellah</w:t>
      </w:r>
      <w:r w:rsidR="00A068DF" w:rsidRPr="009B2C4A">
        <w:rPr>
          <w:lang w:val="fr-CA"/>
        </w:rPr>
        <w:t xml:space="preserve">, </w:t>
      </w:r>
      <w:r w:rsidR="00F72EA4" w:rsidRPr="009B2C4A">
        <w:rPr>
          <w:lang w:val="fr-CA"/>
        </w:rPr>
        <w:t>1996</w:t>
      </w:r>
      <w:r w:rsidR="00A068DF" w:rsidRPr="009B2C4A">
        <w:rPr>
          <w:lang w:val="fr-CA"/>
        </w:rPr>
        <w:t xml:space="preserve"> CanLII 6502</w:t>
      </w:r>
      <w:r w:rsidR="00F72EA4" w:rsidRPr="009B2C4A">
        <w:rPr>
          <w:lang w:val="fr-CA"/>
        </w:rPr>
        <w:t xml:space="preserve">; </w:t>
      </w:r>
      <w:r w:rsidR="00460EED" w:rsidRPr="009B2C4A">
        <w:rPr>
          <w:i/>
          <w:lang w:val="fr-CA"/>
        </w:rPr>
        <w:t xml:space="preserve">R. </w:t>
      </w:r>
      <w:r w:rsidR="003F04F0" w:rsidRPr="009B2C4A">
        <w:rPr>
          <w:i/>
          <w:lang w:val="fr-CA"/>
        </w:rPr>
        <w:t>c</w:t>
      </w:r>
      <w:r w:rsidR="00460EED" w:rsidRPr="009B2C4A">
        <w:rPr>
          <w:i/>
          <w:lang w:val="fr-CA"/>
        </w:rPr>
        <w:t xml:space="preserve">. Carroll </w:t>
      </w:r>
      <w:r w:rsidR="00460EED" w:rsidRPr="009B2C4A">
        <w:rPr>
          <w:lang w:val="fr-CA"/>
        </w:rPr>
        <w:t>(1995), 56 B.C.A.C. 138</w:t>
      </w:r>
      <w:r w:rsidR="00F72EA4" w:rsidRPr="009B2C4A">
        <w:rPr>
          <w:lang w:val="fr-CA"/>
        </w:rPr>
        <w:t xml:space="preserve">; </w:t>
      </w:r>
      <w:r w:rsidR="00F72EA4" w:rsidRPr="009B2C4A">
        <w:rPr>
          <w:i/>
          <w:lang w:val="fr-CA"/>
        </w:rPr>
        <w:t xml:space="preserve">R. </w:t>
      </w:r>
      <w:r w:rsidR="00D668F3" w:rsidRPr="009B2C4A">
        <w:rPr>
          <w:i/>
          <w:lang w:val="fr-CA"/>
        </w:rPr>
        <w:t>c</w:t>
      </w:r>
      <w:r w:rsidR="00F72EA4" w:rsidRPr="009B2C4A">
        <w:rPr>
          <w:i/>
          <w:lang w:val="fr-CA"/>
        </w:rPr>
        <w:t>. Forster</w:t>
      </w:r>
      <w:r w:rsidR="00F72EA4" w:rsidRPr="009B2C4A">
        <w:rPr>
          <w:lang w:val="fr-CA"/>
        </w:rPr>
        <w:t xml:space="preserve">, [1992] 1 </w:t>
      </w:r>
      <w:r w:rsidR="00D668F3" w:rsidRPr="009B2C4A">
        <w:rPr>
          <w:lang w:val="fr-CA"/>
        </w:rPr>
        <w:t>R</w:t>
      </w:r>
      <w:r w:rsidR="00F72EA4" w:rsidRPr="009B2C4A">
        <w:rPr>
          <w:lang w:val="fr-CA"/>
        </w:rPr>
        <w:t>.C.</w:t>
      </w:r>
      <w:r w:rsidR="00D668F3" w:rsidRPr="009B2C4A">
        <w:rPr>
          <w:lang w:val="fr-CA"/>
        </w:rPr>
        <w:t>S</w:t>
      </w:r>
      <w:r w:rsidR="00F72EA4" w:rsidRPr="009B2C4A">
        <w:rPr>
          <w:lang w:val="fr-CA"/>
        </w:rPr>
        <w:t xml:space="preserve">. 339; </w:t>
      </w:r>
      <w:r w:rsidR="00F72EA4" w:rsidRPr="009B2C4A">
        <w:rPr>
          <w:i/>
          <w:lang w:val="fr-CA"/>
        </w:rPr>
        <w:t xml:space="preserve">R. </w:t>
      </w:r>
      <w:r w:rsidR="00857361" w:rsidRPr="009B2C4A">
        <w:rPr>
          <w:i/>
          <w:lang w:val="fr-CA"/>
        </w:rPr>
        <w:t>c</w:t>
      </w:r>
      <w:r w:rsidR="00F72EA4" w:rsidRPr="009B2C4A">
        <w:rPr>
          <w:i/>
          <w:lang w:val="fr-CA"/>
        </w:rPr>
        <w:t>. Pontes</w:t>
      </w:r>
      <w:r w:rsidR="00F72EA4" w:rsidRPr="009B2C4A">
        <w:rPr>
          <w:lang w:val="fr-CA"/>
        </w:rPr>
        <w:t xml:space="preserve">, [1995] 3 </w:t>
      </w:r>
      <w:r w:rsidR="00857361" w:rsidRPr="009B2C4A">
        <w:rPr>
          <w:lang w:val="fr-CA"/>
        </w:rPr>
        <w:t>R</w:t>
      </w:r>
      <w:r w:rsidR="00F72EA4" w:rsidRPr="009B2C4A">
        <w:rPr>
          <w:lang w:val="fr-CA"/>
        </w:rPr>
        <w:t>.C.</w:t>
      </w:r>
      <w:r w:rsidR="00857361" w:rsidRPr="009B2C4A">
        <w:rPr>
          <w:lang w:val="fr-CA"/>
        </w:rPr>
        <w:t>S</w:t>
      </w:r>
      <w:r w:rsidR="00F72EA4" w:rsidRPr="009B2C4A">
        <w:rPr>
          <w:lang w:val="fr-CA"/>
        </w:rPr>
        <w:t xml:space="preserve">. 44; </w:t>
      </w:r>
      <w:r w:rsidR="00F72EA4" w:rsidRPr="009B2C4A">
        <w:rPr>
          <w:i/>
          <w:lang w:val="fr-CA"/>
        </w:rPr>
        <w:t xml:space="preserve">R. </w:t>
      </w:r>
      <w:r w:rsidR="007C4E73" w:rsidRPr="009B2C4A">
        <w:rPr>
          <w:i/>
          <w:lang w:val="fr-CA"/>
        </w:rPr>
        <w:t>c</w:t>
      </w:r>
      <w:r w:rsidR="00F72EA4" w:rsidRPr="009B2C4A">
        <w:rPr>
          <w:i/>
          <w:lang w:val="fr-CA"/>
        </w:rPr>
        <w:t>. MacDonald</w:t>
      </w:r>
      <w:r w:rsidR="00F72EA4" w:rsidRPr="009B2C4A">
        <w:rPr>
          <w:lang w:val="fr-CA"/>
        </w:rPr>
        <w:t xml:space="preserve">, 2014 </w:t>
      </w:r>
      <w:r w:rsidR="007C4E73" w:rsidRPr="009B2C4A">
        <w:rPr>
          <w:lang w:val="fr-CA"/>
        </w:rPr>
        <w:t>CSC</w:t>
      </w:r>
      <w:r w:rsidR="00F72EA4" w:rsidRPr="009B2C4A">
        <w:rPr>
          <w:lang w:val="fr-CA"/>
        </w:rPr>
        <w:t xml:space="preserve"> 3</w:t>
      </w:r>
      <w:r w:rsidR="007C4E73" w:rsidRPr="009B2C4A">
        <w:rPr>
          <w:lang w:val="fr-CA"/>
        </w:rPr>
        <w:t>, [2014] 1 R.C.S. 37</w:t>
      </w:r>
      <w:r w:rsidR="00F72EA4" w:rsidRPr="009B2C4A">
        <w:rPr>
          <w:lang w:val="fr-CA"/>
        </w:rPr>
        <w:t>.</w:t>
      </w:r>
    </w:p>
    <w:p w:rsidR="007F57F4" w:rsidRPr="009B2C4A" w:rsidRDefault="007F57F4" w:rsidP="00EC2BDA">
      <w:pPr>
        <w:pStyle w:val="SCCNormalDoubleSpacing"/>
        <w:spacing w:after="720" w:line="240" w:lineRule="auto"/>
        <w:rPr>
          <w:lang w:val="fr-CA"/>
        </w:rPr>
      </w:pPr>
      <w:r w:rsidRPr="009B2C4A">
        <w:rPr>
          <w:lang w:val="fr-CA"/>
        </w:rPr>
        <w:t>Citée par le juge Gascon</w:t>
      </w:r>
      <w:r w:rsidR="003305DD" w:rsidRPr="009B2C4A">
        <w:rPr>
          <w:lang w:val="fr-CA"/>
        </w:rPr>
        <w:t xml:space="preserve"> (dissident</w:t>
      </w:r>
      <w:r w:rsidR="00CB4B74">
        <w:rPr>
          <w:lang w:val="fr-CA"/>
        </w:rPr>
        <w:t xml:space="preserve"> en partie</w:t>
      </w:r>
      <w:r w:rsidR="003305DD" w:rsidRPr="009B2C4A">
        <w:rPr>
          <w:lang w:val="fr-CA"/>
        </w:rPr>
        <w:t>)</w:t>
      </w:r>
    </w:p>
    <w:p w:rsidR="007F57F4" w:rsidRPr="009B2C4A" w:rsidRDefault="007F57F4" w:rsidP="00EC2BDA">
      <w:pPr>
        <w:pStyle w:val="SCCNormalDoubleSpacing"/>
        <w:spacing w:before="480" w:after="480"/>
        <w:rPr>
          <w:b/>
          <w:lang w:val="fr-CA"/>
        </w:rPr>
      </w:pPr>
      <w:r w:rsidRPr="009B2C4A">
        <w:rPr>
          <w:lang w:val="fr-CA"/>
        </w:rPr>
        <w:tab/>
      </w:r>
      <w:r w:rsidR="00D372E0" w:rsidRPr="009B2C4A">
        <w:rPr>
          <w:i/>
          <w:lang w:val="fr-CA"/>
        </w:rPr>
        <w:t>R. c. Kresko</w:t>
      </w:r>
      <w:r w:rsidR="00D372E0" w:rsidRPr="009B2C4A">
        <w:rPr>
          <w:lang w:val="fr-CA"/>
        </w:rPr>
        <w:t xml:space="preserve">, 2013 ONSC 1631, 42 M.V.R. (6th) 224; </w:t>
      </w:r>
      <w:r w:rsidR="00D372E0" w:rsidRPr="009B2C4A">
        <w:rPr>
          <w:i/>
          <w:lang w:val="fr-CA"/>
        </w:rPr>
        <w:t>R. c. Lacasse</w:t>
      </w:r>
      <w:r w:rsidR="00D372E0" w:rsidRPr="009B2C4A">
        <w:rPr>
          <w:lang w:val="fr-CA"/>
        </w:rPr>
        <w:t xml:space="preserve">, 2015 CSC 64, [2015] 3 R.C.S. 1089; </w:t>
      </w:r>
      <w:r w:rsidR="00D372E0" w:rsidRPr="009B2C4A">
        <w:rPr>
          <w:i/>
          <w:lang w:val="fr-CA"/>
        </w:rPr>
        <w:t>R. c. Forster</w:t>
      </w:r>
      <w:r w:rsidR="00D372E0" w:rsidRPr="009B2C4A">
        <w:rPr>
          <w:lang w:val="fr-CA"/>
        </w:rPr>
        <w:t xml:space="preserve">, [1992] 1 R.C.S. 339; </w:t>
      </w:r>
      <w:r w:rsidR="00D372E0" w:rsidRPr="009B2C4A">
        <w:rPr>
          <w:i/>
          <w:lang w:val="fr-CA"/>
        </w:rPr>
        <w:t>R. c. Pontes</w:t>
      </w:r>
      <w:r w:rsidR="00D372E0" w:rsidRPr="009B2C4A">
        <w:rPr>
          <w:lang w:val="fr-CA"/>
        </w:rPr>
        <w:t xml:space="preserve">, [1995] 3 R.C.S. 44; </w:t>
      </w:r>
      <w:r w:rsidR="00D372E0" w:rsidRPr="009B2C4A">
        <w:rPr>
          <w:i/>
          <w:lang w:val="fr-CA"/>
        </w:rPr>
        <w:t>R. c. MacDonald</w:t>
      </w:r>
      <w:r w:rsidR="00D372E0" w:rsidRPr="009B2C4A">
        <w:rPr>
          <w:lang w:val="fr-CA"/>
        </w:rPr>
        <w:t xml:space="preserve">, 2014 CSC 3, [2014] 1 R.C.S. 37; </w:t>
      </w:r>
      <w:r w:rsidR="00D372E0" w:rsidRPr="009B2C4A">
        <w:rPr>
          <w:i/>
          <w:lang w:val="fr-CA"/>
        </w:rPr>
        <w:t>R. c.</w:t>
      </w:r>
      <w:r w:rsidR="00D372E0" w:rsidRPr="009B2C4A">
        <w:rPr>
          <w:lang w:val="fr-CA"/>
        </w:rPr>
        <w:t xml:space="preserve"> </w:t>
      </w:r>
      <w:r w:rsidR="00D372E0" w:rsidRPr="009B2C4A">
        <w:rPr>
          <w:i/>
          <w:lang w:val="fr-CA"/>
        </w:rPr>
        <w:t>Oickle</w:t>
      </w:r>
      <w:r w:rsidR="00D372E0" w:rsidRPr="009B2C4A">
        <w:rPr>
          <w:lang w:val="fr-CA"/>
        </w:rPr>
        <w:t xml:space="preserve">, 2000 CSC 38, [2000] 2 R.C.S. 3; </w:t>
      </w:r>
      <w:r w:rsidR="00D372E0" w:rsidRPr="009B2C4A">
        <w:rPr>
          <w:i/>
          <w:lang w:val="fr-CA"/>
        </w:rPr>
        <w:t>Rothman c. La Reine</w:t>
      </w:r>
      <w:r w:rsidR="00D372E0" w:rsidRPr="009B2C4A">
        <w:rPr>
          <w:lang w:val="fr-CA"/>
        </w:rPr>
        <w:t xml:space="preserve">, [1981] 1 R.C.S. 640; </w:t>
      </w:r>
      <w:r w:rsidR="00D372E0" w:rsidRPr="009B2C4A">
        <w:rPr>
          <w:i/>
          <w:lang w:val="fr-CA"/>
        </w:rPr>
        <w:t>R. c.</w:t>
      </w:r>
      <w:r w:rsidR="00D372E0" w:rsidRPr="009B2C4A">
        <w:rPr>
          <w:lang w:val="fr-CA"/>
        </w:rPr>
        <w:t xml:space="preserve"> </w:t>
      </w:r>
      <w:r w:rsidR="00D372E0" w:rsidRPr="009B2C4A">
        <w:rPr>
          <w:i/>
          <w:lang w:val="fr-CA"/>
        </w:rPr>
        <w:t>Collins</w:t>
      </w:r>
      <w:r w:rsidR="00D372E0" w:rsidRPr="009B2C4A">
        <w:rPr>
          <w:lang w:val="fr-CA"/>
        </w:rPr>
        <w:t xml:space="preserve">, </w:t>
      </w:r>
      <w:r w:rsidR="00D372E0" w:rsidRPr="009B2C4A">
        <w:rPr>
          <w:lang w:val="fr-CA"/>
        </w:rPr>
        <w:lastRenderedPageBreak/>
        <w:t xml:space="preserve">[1987] 1 R.C.S. 265; </w:t>
      </w:r>
      <w:r w:rsidR="00D372E0" w:rsidRPr="009B2C4A">
        <w:rPr>
          <w:i/>
          <w:lang w:val="fr-CA"/>
        </w:rPr>
        <w:t>R. c. Sinclair</w:t>
      </w:r>
      <w:r w:rsidR="00D372E0" w:rsidRPr="009B2C4A">
        <w:rPr>
          <w:lang w:val="fr-CA"/>
        </w:rPr>
        <w:t xml:space="preserve">, 2010 CSC 35, [2010] 2 R.C.S. 310; </w:t>
      </w:r>
      <w:r w:rsidR="00D372E0" w:rsidRPr="009B2C4A">
        <w:rPr>
          <w:i/>
          <w:lang w:val="fr-CA"/>
        </w:rPr>
        <w:t>R. c. Nasogaluak</w:t>
      </w:r>
      <w:r w:rsidR="00D372E0" w:rsidRPr="009B2C4A">
        <w:rPr>
          <w:lang w:val="fr-CA"/>
        </w:rPr>
        <w:t xml:space="preserve">, 2010 CSC 6, [2010] 1 R.C.S. 206; </w:t>
      </w:r>
      <w:r w:rsidR="00D372E0" w:rsidRPr="009B2C4A">
        <w:rPr>
          <w:i/>
          <w:lang w:val="fr-CA"/>
        </w:rPr>
        <w:t xml:space="preserve">R. </w:t>
      </w:r>
      <w:r w:rsidR="00D372E0" w:rsidRPr="009B2C4A">
        <w:rPr>
          <w:i/>
          <w:iCs/>
          <w:lang w:val="fr-CA"/>
        </w:rPr>
        <w:t>c.</w:t>
      </w:r>
      <w:r w:rsidR="00D372E0" w:rsidRPr="009B2C4A">
        <w:rPr>
          <w:i/>
          <w:lang w:val="fr-CA"/>
        </w:rPr>
        <w:t xml:space="preserve"> Rhyason</w:t>
      </w:r>
      <w:r w:rsidR="00D372E0" w:rsidRPr="009B2C4A">
        <w:rPr>
          <w:lang w:val="fr-CA"/>
        </w:rPr>
        <w:t xml:space="preserve">, 2007 CSC 39, [2007] 3 R.C.S. 108; </w:t>
      </w:r>
      <w:r w:rsidR="00D372E0" w:rsidRPr="009B2C4A">
        <w:rPr>
          <w:i/>
          <w:lang w:val="fr-CA"/>
        </w:rPr>
        <w:t>R. c. Rezaie</w:t>
      </w:r>
      <w:r w:rsidR="00D372E0" w:rsidRPr="009B2C4A">
        <w:rPr>
          <w:lang w:val="fr-CA"/>
        </w:rPr>
        <w:t xml:space="preserve"> (1996), </w:t>
      </w:r>
      <w:r w:rsidR="00AF77CD" w:rsidRPr="009B2C4A">
        <w:rPr>
          <w:lang w:val="fr-CA"/>
        </w:rPr>
        <w:t>31 O.R. (3d) 713</w:t>
      </w:r>
      <w:r w:rsidR="00D372E0" w:rsidRPr="009B2C4A">
        <w:rPr>
          <w:lang w:val="fr-CA"/>
        </w:rPr>
        <w:t xml:space="preserve">; </w:t>
      </w:r>
      <w:r w:rsidR="00D372E0" w:rsidRPr="009B2C4A">
        <w:rPr>
          <w:i/>
          <w:lang w:val="fr-CA"/>
        </w:rPr>
        <w:t>R. c. Shropshire</w:t>
      </w:r>
      <w:r w:rsidR="00D372E0" w:rsidRPr="009B2C4A">
        <w:rPr>
          <w:lang w:val="fr-CA"/>
        </w:rPr>
        <w:t xml:space="preserve">, [1995] 4 R.C.S. 227; </w:t>
      </w:r>
      <w:r w:rsidR="00D372E0" w:rsidRPr="009B2C4A">
        <w:rPr>
          <w:i/>
          <w:lang w:val="fr-CA"/>
        </w:rPr>
        <w:t>R. c. Proulx</w:t>
      </w:r>
      <w:r w:rsidR="00D372E0" w:rsidRPr="009B2C4A">
        <w:rPr>
          <w:lang w:val="fr-CA"/>
        </w:rPr>
        <w:t xml:space="preserve">, 2000 CSC 5, [2000] 1 R.C.S. 61; </w:t>
      </w:r>
      <w:r w:rsidR="00D372E0" w:rsidRPr="009B2C4A">
        <w:rPr>
          <w:i/>
          <w:lang w:val="fr-CA"/>
        </w:rPr>
        <w:t>R. c. Ramage</w:t>
      </w:r>
      <w:r w:rsidR="00D372E0" w:rsidRPr="009B2C4A">
        <w:rPr>
          <w:lang w:val="fr-CA"/>
        </w:rPr>
        <w:t xml:space="preserve">, 2010 ONCA 488, 257 C.C.C. (3d) 261; </w:t>
      </w:r>
      <w:r w:rsidR="00D372E0" w:rsidRPr="009B2C4A">
        <w:rPr>
          <w:i/>
          <w:lang w:val="fr-CA"/>
        </w:rPr>
        <w:t>R. c. L.M.</w:t>
      </w:r>
      <w:r w:rsidR="00D372E0" w:rsidRPr="009B2C4A">
        <w:rPr>
          <w:lang w:val="fr-CA"/>
        </w:rPr>
        <w:t xml:space="preserve">, 2008 CSC 31, [2008] 2 R.C.S. 163; </w:t>
      </w:r>
      <w:r w:rsidR="00D372E0" w:rsidRPr="009B2C4A">
        <w:rPr>
          <w:i/>
          <w:lang w:val="fr-CA"/>
        </w:rPr>
        <w:t>R. c. Bartle</w:t>
      </w:r>
      <w:r w:rsidR="00D372E0" w:rsidRPr="009B2C4A">
        <w:rPr>
          <w:lang w:val="fr-CA"/>
        </w:rPr>
        <w:t xml:space="preserve">, [1994] 3 R.C.S. 173; </w:t>
      </w:r>
      <w:r w:rsidR="00D372E0" w:rsidRPr="009B2C4A">
        <w:rPr>
          <w:i/>
          <w:lang w:val="fr-CA"/>
        </w:rPr>
        <w:t xml:space="preserve">R. </w:t>
      </w:r>
      <w:r w:rsidR="005F64ED" w:rsidRPr="009B2C4A">
        <w:rPr>
          <w:i/>
          <w:lang w:val="fr-CA"/>
        </w:rPr>
        <w:t>c</w:t>
      </w:r>
      <w:r w:rsidR="00D372E0" w:rsidRPr="009B2C4A">
        <w:rPr>
          <w:i/>
          <w:lang w:val="fr-CA"/>
        </w:rPr>
        <w:t>. Brydges</w:t>
      </w:r>
      <w:r w:rsidR="00D372E0" w:rsidRPr="009B2C4A">
        <w:rPr>
          <w:lang w:val="fr-CA"/>
        </w:rPr>
        <w:t xml:space="preserve">, [1990] 1 </w:t>
      </w:r>
      <w:r w:rsidR="005F64ED" w:rsidRPr="009B2C4A">
        <w:rPr>
          <w:lang w:val="fr-CA"/>
        </w:rPr>
        <w:t>R</w:t>
      </w:r>
      <w:r w:rsidR="00D372E0" w:rsidRPr="009B2C4A">
        <w:rPr>
          <w:lang w:val="fr-CA"/>
        </w:rPr>
        <w:t>.C.</w:t>
      </w:r>
      <w:r w:rsidR="005F64ED" w:rsidRPr="009B2C4A">
        <w:rPr>
          <w:lang w:val="fr-CA"/>
        </w:rPr>
        <w:t>S</w:t>
      </w:r>
      <w:r w:rsidR="00D372E0" w:rsidRPr="009B2C4A">
        <w:rPr>
          <w:lang w:val="fr-CA"/>
        </w:rPr>
        <w:t xml:space="preserve">. 190; </w:t>
      </w:r>
      <w:r w:rsidR="00D372E0" w:rsidRPr="009B2C4A">
        <w:rPr>
          <w:i/>
          <w:lang w:val="fr-CA"/>
        </w:rPr>
        <w:t xml:space="preserve">R. </w:t>
      </w:r>
      <w:r w:rsidR="005F64ED" w:rsidRPr="009B2C4A">
        <w:rPr>
          <w:i/>
          <w:lang w:val="fr-CA"/>
        </w:rPr>
        <w:t>c</w:t>
      </w:r>
      <w:r w:rsidR="00D372E0" w:rsidRPr="009B2C4A">
        <w:rPr>
          <w:i/>
          <w:lang w:val="fr-CA"/>
        </w:rPr>
        <w:t>.</w:t>
      </w:r>
      <w:r w:rsidR="00D372E0" w:rsidRPr="009B2C4A">
        <w:rPr>
          <w:lang w:val="fr-CA"/>
        </w:rPr>
        <w:t xml:space="preserve"> </w:t>
      </w:r>
      <w:r w:rsidR="00D372E0" w:rsidRPr="009B2C4A">
        <w:rPr>
          <w:i/>
          <w:lang w:val="fr-CA"/>
        </w:rPr>
        <w:t>Hebert</w:t>
      </w:r>
      <w:r w:rsidR="00D372E0" w:rsidRPr="009B2C4A">
        <w:rPr>
          <w:lang w:val="fr-CA"/>
        </w:rPr>
        <w:t xml:space="preserve">, [1990] 2 </w:t>
      </w:r>
      <w:r w:rsidR="005F64ED" w:rsidRPr="009B2C4A">
        <w:rPr>
          <w:lang w:val="fr-CA"/>
        </w:rPr>
        <w:t>R</w:t>
      </w:r>
      <w:r w:rsidR="00D372E0" w:rsidRPr="009B2C4A">
        <w:rPr>
          <w:lang w:val="fr-CA"/>
        </w:rPr>
        <w:t>.C.</w:t>
      </w:r>
      <w:r w:rsidR="005F64ED" w:rsidRPr="009B2C4A">
        <w:rPr>
          <w:lang w:val="fr-CA"/>
        </w:rPr>
        <w:t>S</w:t>
      </w:r>
      <w:r w:rsidR="00D372E0" w:rsidRPr="009B2C4A">
        <w:rPr>
          <w:lang w:val="fr-CA"/>
        </w:rPr>
        <w:t xml:space="preserve">. 151; </w:t>
      </w:r>
      <w:r w:rsidR="00D372E0" w:rsidRPr="009B2C4A">
        <w:rPr>
          <w:i/>
          <w:lang w:val="fr-CA"/>
        </w:rPr>
        <w:t xml:space="preserve">Clarkson </w:t>
      </w:r>
      <w:r w:rsidR="005F64ED" w:rsidRPr="009B2C4A">
        <w:rPr>
          <w:i/>
          <w:lang w:val="fr-CA"/>
        </w:rPr>
        <w:t>c</w:t>
      </w:r>
      <w:r w:rsidR="00D372E0" w:rsidRPr="009B2C4A">
        <w:rPr>
          <w:i/>
          <w:lang w:val="fr-CA"/>
        </w:rPr>
        <w:t xml:space="preserve">. </w:t>
      </w:r>
      <w:r w:rsidR="005F64ED" w:rsidRPr="009B2C4A">
        <w:rPr>
          <w:i/>
          <w:lang w:val="fr-CA"/>
        </w:rPr>
        <w:t>La Reine</w:t>
      </w:r>
      <w:r w:rsidR="00D372E0" w:rsidRPr="009B2C4A">
        <w:rPr>
          <w:lang w:val="fr-CA"/>
        </w:rPr>
        <w:t xml:space="preserve">, [1986] 1 </w:t>
      </w:r>
      <w:r w:rsidR="005F64ED" w:rsidRPr="009B2C4A">
        <w:rPr>
          <w:lang w:val="fr-CA"/>
        </w:rPr>
        <w:t>R</w:t>
      </w:r>
      <w:r w:rsidR="00D372E0" w:rsidRPr="009B2C4A">
        <w:rPr>
          <w:lang w:val="fr-CA"/>
        </w:rPr>
        <w:t>.C.</w:t>
      </w:r>
      <w:r w:rsidR="005F64ED" w:rsidRPr="009B2C4A">
        <w:rPr>
          <w:lang w:val="fr-CA"/>
        </w:rPr>
        <w:t>S</w:t>
      </w:r>
      <w:r w:rsidR="00D372E0" w:rsidRPr="009B2C4A">
        <w:rPr>
          <w:lang w:val="fr-CA"/>
        </w:rPr>
        <w:t xml:space="preserve">. 383; </w:t>
      </w:r>
      <w:r w:rsidR="00D372E0" w:rsidRPr="009B2C4A">
        <w:rPr>
          <w:i/>
          <w:lang w:val="fr-CA"/>
        </w:rPr>
        <w:t xml:space="preserve">R. </w:t>
      </w:r>
      <w:r w:rsidR="005F64ED" w:rsidRPr="009B2C4A">
        <w:rPr>
          <w:i/>
          <w:lang w:val="fr-CA"/>
        </w:rPr>
        <w:t>c</w:t>
      </w:r>
      <w:r w:rsidR="00D372E0" w:rsidRPr="009B2C4A">
        <w:rPr>
          <w:i/>
          <w:lang w:val="fr-CA"/>
        </w:rPr>
        <w:t>.</w:t>
      </w:r>
      <w:r w:rsidR="00D372E0" w:rsidRPr="009B2C4A">
        <w:rPr>
          <w:lang w:val="fr-CA"/>
        </w:rPr>
        <w:t xml:space="preserve"> </w:t>
      </w:r>
      <w:r w:rsidR="00D372E0" w:rsidRPr="009B2C4A">
        <w:rPr>
          <w:i/>
          <w:lang w:val="fr-CA"/>
        </w:rPr>
        <w:t>Singh</w:t>
      </w:r>
      <w:r w:rsidR="00D372E0" w:rsidRPr="009B2C4A">
        <w:rPr>
          <w:lang w:val="fr-CA"/>
        </w:rPr>
        <w:t xml:space="preserve">, 2007 </w:t>
      </w:r>
      <w:r w:rsidR="005F64ED" w:rsidRPr="009B2C4A">
        <w:rPr>
          <w:lang w:val="fr-CA"/>
        </w:rPr>
        <w:t>CSC</w:t>
      </w:r>
      <w:r w:rsidR="00D372E0" w:rsidRPr="009B2C4A">
        <w:rPr>
          <w:lang w:val="fr-CA"/>
        </w:rPr>
        <w:t xml:space="preserve"> 48, [2007] 3 </w:t>
      </w:r>
      <w:r w:rsidR="005F64ED" w:rsidRPr="009B2C4A">
        <w:rPr>
          <w:lang w:val="fr-CA"/>
        </w:rPr>
        <w:t>R</w:t>
      </w:r>
      <w:r w:rsidR="00D372E0" w:rsidRPr="009B2C4A">
        <w:rPr>
          <w:lang w:val="fr-CA"/>
        </w:rPr>
        <w:t>.C.</w:t>
      </w:r>
      <w:r w:rsidR="005F64ED" w:rsidRPr="009B2C4A">
        <w:rPr>
          <w:lang w:val="fr-CA"/>
        </w:rPr>
        <w:t>S</w:t>
      </w:r>
      <w:r w:rsidR="00D372E0" w:rsidRPr="009B2C4A">
        <w:rPr>
          <w:lang w:val="fr-CA"/>
        </w:rPr>
        <w:t xml:space="preserve">. 405; </w:t>
      </w:r>
      <w:r w:rsidR="00D372E0" w:rsidRPr="009B2C4A">
        <w:rPr>
          <w:i/>
          <w:lang w:val="fr-CA"/>
        </w:rPr>
        <w:t xml:space="preserve">R. </w:t>
      </w:r>
      <w:r w:rsidR="005F64ED" w:rsidRPr="009B2C4A">
        <w:rPr>
          <w:i/>
          <w:lang w:val="fr-CA"/>
        </w:rPr>
        <w:t>c</w:t>
      </w:r>
      <w:r w:rsidR="00D372E0" w:rsidRPr="009B2C4A">
        <w:rPr>
          <w:i/>
          <w:lang w:val="fr-CA"/>
        </w:rPr>
        <w:t>. Smith</w:t>
      </w:r>
      <w:r w:rsidR="00D372E0" w:rsidRPr="009B2C4A">
        <w:rPr>
          <w:lang w:val="fr-CA"/>
        </w:rPr>
        <w:t xml:space="preserve">, 2017 MBPC 16, 10 M.V.R. (7th) 152; </w:t>
      </w:r>
      <w:r w:rsidR="00D372E0" w:rsidRPr="009B2C4A">
        <w:rPr>
          <w:i/>
          <w:lang w:val="fr-CA"/>
        </w:rPr>
        <w:t xml:space="preserve">R. </w:t>
      </w:r>
      <w:r w:rsidR="005F64ED" w:rsidRPr="009B2C4A">
        <w:rPr>
          <w:i/>
          <w:lang w:val="fr-CA"/>
        </w:rPr>
        <w:t>c</w:t>
      </w:r>
      <w:r w:rsidR="00D372E0" w:rsidRPr="009B2C4A">
        <w:rPr>
          <w:i/>
          <w:lang w:val="fr-CA"/>
        </w:rPr>
        <w:t>. Ipeelee</w:t>
      </w:r>
      <w:r w:rsidR="00D372E0" w:rsidRPr="009B2C4A">
        <w:rPr>
          <w:lang w:val="fr-CA"/>
        </w:rPr>
        <w:t xml:space="preserve">, 2012 </w:t>
      </w:r>
      <w:r w:rsidR="005F64ED" w:rsidRPr="009B2C4A">
        <w:rPr>
          <w:lang w:val="fr-CA"/>
        </w:rPr>
        <w:t>CSC</w:t>
      </w:r>
      <w:r w:rsidR="00D372E0" w:rsidRPr="009B2C4A">
        <w:rPr>
          <w:lang w:val="fr-CA"/>
        </w:rPr>
        <w:t xml:space="preserve"> 13, [2012] 1 </w:t>
      </w:r>
      <w:r w:rsidR="005F64ED" w:rsidRPr="009B2C4A">
        <w:rPr>
          <w:lang w:val="fr-CA"/>
        </w:rPr>
        <w:t>R</w:t>
      </w:r>
      <w:r w:rsidR="00D372E0" w:rsidRPr="009B2C4A">
        <w:rPr>
          <w:lang w:val="fr-CA"/>
        </w:rPr>
        <w:t>.C.</w:t>
      </w:r>
      <w:r w:rsidR="005F64ED" w:rsidRPr="009B2C4A">
        <w:rPr>
          <w:lang w:val="fr-CA"/>
        </w:rPr>
        <w:t>S</w:t>
      </w:r>
      <w:r w:rsidR="00D372E0" w:rsidRPr="009B2C4A">
        <w:rPr>
          <w:lang w:val="fr-CA"/>
        </w:rPr>
        <w:t xml:space="preserve">. 433; </w:t>
      </w:r>
      <w:r w:rsidR="00D372E0" w:rsidRPr="009B2C4A">
        <w:rPr>
          <w:i/>
          <w:lang w:val="fr-CA"/>
        </w:rPr>
        <w:t xml:space="preserve">R. </w:t>
      </w:r>
      <w:r w:rsidR="005F64ED" w:rsidRPr="009B2C4A">
        <w:rPr>
          <w:i/>
          <w:lang w:val="fr-CA"/>
        </w:rPr>
        <w:t>c</w:t>
      </w:r>
      <w:r w:rsidR="00D372E0" w:rsidRPr="009B2C4A">
        <w:rPr>
          <w:i/>
          <w:lang w:val="fr-CA"/>
        </w:rPr>
        <w:t>. Holliday</w:t>
      </w:r>
      <w:r w:rsidR="00D372E0" w:rsidRPr="009B2C4A">
        <w:rPr>
          <w:lang w:val="fr-CA"/>
        </w:rPr>
        <w:t xml:space="preserve">, 2009 ONCJ 323, 87 M.V.R. (5th) 148; </w:t>
      </w:r>
      <w:r w:rsidR="00D372E0" w:rsidRPr="009B2C4A">
        <w:rPr>
          <w:i/>
          <w:lang w:val="fr-CA"/>
        </w:rPr>
        <w:t xml:space="preserve">R. </w:t>
      </w:r>
      <w:r w:rsidR="005F64ED" w:rsidRPr="009B2C4A">
        <w:rPr>
          <w:i/>
          <w:lang w:val="fr-CA"/>
        </w:rPr>
        <w:t>c</w:t>
      </w:r>
      <w:r w:rsidR="00D372E0" w:rsidRPr="009B2C4A">
        <w:rPr>
          <w:i/>
          <w:lang w:val="fr-CA"/>
        </w:rPr>
        <w:t>. Wallace</w:t>
      </w:r>
      <w:r w:rsidR="00D372E0" w:rsidRPr="009B2C4A">
        <w:rPr>
          <w:lang w:val="fr-CA"/>
        </w:rPr>
        <w:t>, 201</w:t>
      </w:r>
      <w:r w:rsidR="002B69CE" w:rsidRPr="009B2C4A">
        <w:rPr>
          <w:lang w:val="fr-CA"/>
        </w:rPr>
        <w:t xml:space="preserve">2 MBCA 54, 280 Man. R. (2d) 209; </w:t>
      </w:r>
      <w:r w:rsidR="002B69CE" w:rsidRPr="009B2C4A">
        <w:rPr>
          <w:i/>
          <w:lang w:val="fr-CA"/>
        </w:rPr>
        <w:t>R. c. M. (C.A.)</w:t>
      </w:r>
      <w:r w:rsidR="002B69CE" w:rsidRPr="009B2C4A">
        <w:rPr>
          <w:lang w:val="fr-CA"/>
        </w:rPr>
        <w:t>, [1996] 1 R.C.S. 500.</w:t>
      </w:r>
    </w:p>
    <w:p w:rsidR="004D7D95" w:rsidRPr="009B2C4A" w:rsidRDefault="004D7D95" w:rsidP="00EC2BDA">
      <w:pPr>
        <w:pStyle w:val="SCCNormalDoubleSpacing"/>
        <w:tabs>
          <w:tab w:val="left" w:pos="2830"/>
        </w:tabs>
        <w:spacing w:after="720" w:line="240" w:lineRule="auto"/>
        <w:rPr>
          <w:lang w:val="fr-CA"/>
        </w:rPr>
      </w:pPr>
      <w:r w:rsidRPr="009B2C4A">
        <w:rPr>
          <w:b/>
          <w:lang w:val="fr-CA"/>
        </w:rPr>
        <w:t>Lois et règlements cités</w:t>
      </w:r>
    </w:p>
    <w:p w:rsidR="00941293" w:rsidRPr="009B2C4A" w:rsidRDefault="00941293" w:rsidP="00EC2BDA">
      <w:pPr>
        <w:pStyle w:val="SCCNormalDoubleSpacing"/>
        <w:spacing w:after="240" w:line="240" w:lineRule="auto"/>
        <w:ind w:left="547" w:hanging="547"/>
        <w:rPr>
          <w:lang w:val="fr-CA"/>
        </w:rPr>
      </w:pPr>
      <w:r w:rsidRPr="009B2C4A">
        <w:rPr>
          <w:i/>
          <w:lang w:val="fr-CA"/>
        </w:rPr>
        <w:t>Charte canadienne des droits et libertés</w:t>
      </w:r>
      <w:r w:rsidRPr="009B2C4A">
        <w:rPr>
          <w:lang w:val="fr-CA"/>
        </w:rPr>
        <w:t xml:space="preserve">, </w:t>
      </w:r>
      <w:r w:rsidR="009B2C4A" w:rsidRPr="009B2C4A">
        <w:rPr>
          <w:lang w:val="fr-CA"/>
        </w:rPr>
        <w:t>art. </w:t>
      </w:r>
      <w:r w:rsidRPr="009B2C4A">
        <w:rPr>
          <w:lang w:val="fr-CA"/>
        </w:rPr>
        <w:t>10</w:t>
      </w:r>
      <w:r w:rsidRPr="009B2C4A">
        <w:rPr>
          <w:i/>
          <w:lang w:val="fr-CA"/>
        </w:rPr>
        <w:t>b</w:t>
      </w:r>
      <w:r w:rsidRPr="009B2C4A">
        <w:rPr>
          <w:lang w:val="fr-CA"/>
        </w:rPr>
        <w:t>).</w:t>
      </w:r>
    </w:p>
    <w:p w:rsidR="00F72EA4" w:rsidRPr="009B2C4A" w:rsidRDefault="00C03782" w:rsidP="00EC2BDA">
      <w:pPr>
        <w:pStyle w:val="SCCNormalDoubleSpacing"/>
        <w:spacing w:after="240" w:line="240" w:lineRule="auto"/>
        <w:ind w:left="547" w:hanging="547"/>
        <w:rPr>
          <w:lang w:val="fr-CA"/>
        </w:rPr>
      </w:pPr>
      <w:r w:rsidRPr="009B2C4A">
        <w:rPr>
          <w:i/>
          <w:lang w:val="fr-CA"/>
        </w:rPr>
        <w:t>Code criminel</w:t>
      </w:r>
      <w:r w:rsidR="00F72EA4" w:rsidRPr="009B2C4A">
        <w:rPr>
          <w:lang w:val="fr-CA"/>
        </w:rPr>
        <w:t xml:space="preserve">, </w:t>
      </w:r>
      <w:r w:rsidRPr="009B2C4A">
        <w:rPr>
          <w:lang w:val="fr-CA"/>
        </w:rPr>
        <w:t>L</w:t>
      </w:r>
      <w:r w:rsidR="00F72EA4" w:rsidRPr="009B2C4A">
        <w:rPr>
          <w:lang w:val="fr-CA"/>
        </w:rPr>
        <w:t>.</w:t>
      </w:r>
      <w:r w:rsidRPr="009B2C4A">
        <w:rPr>
          <w:lang w:val="fr-CA"/>
        </w:rPr>
        <w:t>R.C.</w:t>
      </w:r>
      <w:r w:rsidR="005647DE">
        <w:rPr>
          <w:lang w:val="fr-CA"/>
        </w:rPr>
        <w:t xml:space="preserve"> 1985, c. </w:t>
      </w:r>
      <w:r w:rsidRPr="009B2C4A">
        <w:rPr>
          <w:lang w:val="fr-CA"/>
        </w:rPr>
        <w:t>C</w:t>
      </w:r>
      <w:r w:rsidR="009B2C4A" w:rsidRPr="009B2C4A">
        <w:rPr>
          <w:lang w:val="fr-CA"/>
        </w:rPr>
        <w:noBreakHyphen/>
      </w:r>
      <w:r w:rsidR="00F72EA4" w:rsidRPr="009B2C4A">
        <w:rPr>
          <w:lang w:val="fr-CA"/>
        </w:rPr>
        <w:t xml:space="preserve">46, </w:t>
      </w:r>
      <w:r w:rsidR="009B2C4A" w:rsidRPr="009B2C4A">
        <w:rPr>
          <w:lang w:val="fr-CA"/>
        </w:rPr>
        <w:t>art. </w:t>
      </w:r>
      <w:r w:rsidR="00BA3DB2" w:rsidRPr="009B2C4A">
        <w:rPr>
          <w:lang w:val="fr-CA"/>
        </w:rPr>
        <w:t>19, 249(4), 254(5), 255</w:t>
      </w:r>
      <w:r w:rsidR="009B2017" w:rsidRPr="009B2C4A">
        <w:rPr>
          <w:lang w:val="fr-CA"/>
        </w:rPr>
        <w:t xml:space="preserve">(1)a)(i), </w:t>
      </w:r>
      <w:r w:rsidR="00BA3DB2" w:rsidRPr="009B2C4A">
        <w:rPr>
          <w:lang w:val="fr-CA"/>
        </w:rPr>
        <w:t>(2), (2.2) [aj. 2008, c.</w:t>
      </w:r>
      <w:r w:rsidR="00EC2BDA" w:rsidRPr="009B2C4A">
        <w:rPr>
          <w:lang w:val="fr-CA"/>
        </w:rPr>
        <w:t> </w:t>
      </w:r>
      <w:r w:rsidR="00BA3DB2" w:rsidRPr="009B2C4A">
        <w:rPr>
          <w:lang w:val="fr-CA"/>
        </w:rPr>
        <w:t xml:space="preserve">6, </w:t>
      </w:r>
      <w:r w:rsidR="009B2C4A" w:rsidRPr="009B2C4A">
        <w:rPr>
          <w:lang w:val="fr-CA"/>
        </w:rPr>
        <w:t>art. </w:t>
      </w:r>
      <w:r w:rsidR="00BA3DB2" w:rsidRPr="009B2C4A">
        <w:rPr>
          <w:lang w:val="fr-CA"/>
        </w:rPr>
        <w:t>21(3)], (3), (3.1), (3.2) [</w:t>
      </w:r>
      <w:r w:rsidR="00F66F78" w:rsidRPr="009B2C4A">
        <w:rPr>
          <w:i/>
          <w:lang w:val="fr-CA"/>
        </w:rPr>
        <w:t>idem</w:t>
      </w:r>
      <w:r w:rsidR="00BA3DB2" w:rsidRPr="009B2C4A">
        <w:rPr>
          <w:lang w:val="fr-CA"/>
        </w:rPr>
        <w:t>],</w:t>
      </w:r>
      <w:r w:rsidR="009B2017" w:rsidRPr="009B2C4A">
        <w:rPr>
          <w:lang w:val="fr-CA"/>
        </w:rPr>
        <w:t xml:space="preserve"> (3.3), 258(3),</w:t>
      </w:r>
      <w:r w:rsidR="00BA3DB2" w:rsidRPr="009B2C4A">
        <w:rPr>
          <w:lang w:val="fr-CA"/>
        </w:rPr>
        <w:t xml:space="preserve"> 718 à 718.2,</w:t>
      </w:r>
      <w:r w:rsidR="009B2017" w:rsidRPr="009B2C4A">
        <w:rPr>
          <w:lang w:val="fr-CA"/>
        </w:rPr>
        <w:t xml:space="preserve"> </w:t>
      </w:r>
      <w:r w:rsidR="00F607C7" w:rsidRPr="009B2C4A">
        <w:rPr>
          <w:lang w:val="fr-CA"/>
        </w:rPr>
        <w:t xml:space="preserve">718, 718a), b), 718.1, 718.2a), b), e), </w:t>
      </w:r>
      <w:r w:rsidR="009B2017" w:rsidRPr="009B2C4A">
        <w:rPr>
          <w:lang w:val="fr-CA"/>
        </w:rPr>
        <w:t>718.3(1),</w:t>
      </w:r>
      <w:r w:rsidR="00BA3DB2" w:rsidRPr="009B2C4A">
        <w:rPr>
          <w:lang w:val="fr-CA"/>
        </w:rPr>
        <w:t xml:space="preserve"> 725(1)c), </w:t>
      </w:r>
      <w:r w:rsidR="00FC1534" w:rsidRPr="009B2C4A">
        <w:rPr>
          <w:lang w:val="fr-CA"/>
        </w:rPr>
        <w:t>(2)</w:t>
      </w:r>
      <w:r w:rsidR="00BA3DB2" w:rsidRPr="009B2C4A">
        <w:rPr>
          <w:lang w:val="fr-CA"/>
        </w:rPr>
        <w:t>b).</w:t>
      </w:r>
    </w:p>
    <w:p w:rsidR="004D7D95" w:rsidRPr="009B2C4A" w:rsidRDefault="00F72EA4" w:rsidP="00F72EA4">
      <w:pPr>
        <w:pStyle w:val="SCCNormalDoubleSpacing"/>
        <w:spacing w:after="720" w:line="240" w:lineRule="auto"/>
        <w:ind w:left="539" w:hanging="539"/>
        <w:rPr>
          <w:lang w:val="en-US"/>
        </w:rPr>
      </w:pPr>
      <w:r w:rsidRPr="009B2C4A">
        <w:rPr>
          <w:i/>
          <w:lang w:val="en-US"/>
        </w:rPr>
        <w:t>Traffic Safety Act</w:t>
      </w:r>
      <w:r w:rsidRPr="009B2C4A">
        <w:rPr>
          <w:lang w:val="en-US"/>
        </w:rPr>
        <w:t>, R.S.A. 2000, c.</w:t>
      </w:r>
      <w:r w:rsidR="00EC2BDA" w:rsidRPr="009B2C4A">
        <w:rPr>
          <w:lang w:val="en-US"/>
        </w:rPr>
        <w:t> </w:t>
      </w:r>
      <w:r w:rsidRPr="009B2C4A">
        <w:rPr>
          <w:lang w:val="en-US"/>
        </w:rPr>
        <w:t>T</w:t>
      </w:r>
      <w:r w:rsidR="009B2C4A" w:rsidRPr="009B2C4A">
        <w:rPr>
          <w:lang w:val="en-US"/>
        </w:rPr>
        <w:noBreakHyphen/>
      </w:r>
      <w:r w:rsidRPr="009B2C4A">
        <w:rPr>
          <w:lang w:val="en-US"/>
        </w:rPr>
        <w:t xml:space="preserve">6, </w:t>
      </w:r>
      <w:r w:rsidR="009B2C4A" w:rsidRPr="009B2C4A">
        <w:rPr>
          <w:lang w:val="en-US"/>
        </w:rPr>
        <w:t>art. </w:t>
      </w:r>
      <w:r w:rsidRPr="009B2C4A">
        <w:rPr>
          <w:lang w:val="en-US"/>
        </w:rPr>
        <w:t>115</w:t>
      </w:r>
      <w:r w:rsidR="003305DD" w:rsidRPr="009B2C4A">
        <w:rPr>
          <w:lang w:val="en-US"/>
        </w:rPr>
        <w:t>.</w:t>
      </w:r>
    </w:p>
    <w:p w:rsidR="004D7D95" w:rsidRPr="009B2C4A" w:rsidRDefault="004D7D95" w:rsidP="00F72EA4">
      <w:pPr>
        <w:pStyle w:val="SCCNormalDoubleSpacing"/>
        <w:spacing w:after="720" w:line="240" w:lineRule="auto"/>
        <w:rPr>
          <w:b/>
          <w:lang w:val="fr-CA"/>
        </w:rPr>
      </w:pPr>
      <w:r w:rsidRPr="009B2C4A">
        <w:rPr>
          <w:b/>
          <w:lang w:val="fr-CA"/>
        </w:rPr>
        <w:t>Doctrine et autres documents cités</w:t>
      </w:r>
    </w:p>
    <w:p w:rsidR="009821CC" w:rsidRPr="009B2C4A" w:rsidRDefault="009821CC" w:rsidP="00EC2BDA">
      <w:pPr>
        <w:pStyle w:val="SCCNormalDoubleSpacing"/>
        <w:spacing w:after="240" w:line="240" w:lineRule="auto"/>
        <w:ind w:left="547" w:hanging="547"/>
        <w:rPr>
          <w:lang w:val="en-US"/>
        </w:rPr>
      </w:pPr>
      <w:r w:rsidRPr="009B2C4A">
        <w:rPr>
          <w:lang w:val="fr-CA"/>
        </w:rPr>
        <w:t xml:space="preserve">Ashworth, Andrew. </w:t>
      </w:r>
      <w:r w:rsidRPr="009B2C4A">
        <w:rPr>
          <w:i/>
          <w:lang w:val="en-US"/>
        </w:rPr>
        <w:t>Sentencing and Criminal Justice</w:t>
      </w:r>
      <w:r w:rsidRPr="009B2C4A">
        <w:rPr>
          <w:lang w:val="en-US"/>
        </w:rPr>
        <w:t>, 5th ed., Cambridge, Cambridge University Press, 2010.</w:t>
      </w:r>
    </w:p>
    <w:p w:rsidR="00EB564C" w:rsidRPr="009B2C4A" w:rsidRDefault="00EB564C" w:rsidP="00EC2BDA">
      <w:pPr>
        <w:pStyle w:val="SCCNormalDoubleSpacing"/>
        <w:spacing w:after="240" w:line="240" w:lineRule="auto"/>
        <w:ind w:left="547" w:hanging="547"/>
        <w:rPr>
          <w:lang w:val="en-US"/>
        </w:rPr>
      </w:pPr>
      <w:r w:rsidRPr="009B2C4A">
        <w:rPr>
          <w:lang w:val="en-US"/>
        </w:rPr>
        <w:t>Foy, James. « Proportionality in Sentence Appeals</w:t>
      </w:r>
      <w:r w:rsidR="0012659D">
        <w:rPr>
          <w:lang w:val="en-US"/>
        </w:rPr>
        <w:t xml:space="preserve"> </w:t>
      </w:r>
      <w:r w:rsidRPr="009B2C4A">
        <w:rPr>
          <w:lang w:val="en-US"/>
        </w:rPr>
        <w:t xml:space="preserve">: Towards a Guiding Principle of Appellate Review » (2018), 23 </w:t>
      </w:r>
      <w:r w:rsidRPr="009B2C4A">
        <w:rPr>
          <w:i/>
          <w:lang w:val="en-US"/>
        </w:rPr>
        <w:t>Rev. can. D.</w:t>
      </w:r>
      <w:r w:rsidR="009B2C4A" w:rsidRPr="009B2C4A">
        <w:rPr>
          <w:i/>
          <w:lang w:val="en-US"/>
        </w:rPr>
        <w:t>P. </w:t>
      </w:r>
      <w:r w:rsidRPr="009B2C4A">
        <w:rPr>
          <w:lang w:val="en-US"/>
        </w:rPr>
        <w:t>77.</w:t>
      </w:r>
    </w:p>
    <w:p w:rsidR="00323886" w:rsidRPr="009B2C4A" w:rsidRDefault="00323886" w:rsidP="00EC2BDA">
      <w:pPr>
        <w:pStyle w:val="SCCNormalDoubleSpacing"/>
        <w:spacing w:after="240" w:line="240" w:lineRule="auto"/>
        <w:ind w:left="547" w:hanging="547"/>
      </w:pPr>
      <w:r w:rsidRPr="009B2C4A">
        <w:rPr>
          <w:i/>
          <w:lang w:val="en-US"/>
        </w:rPr>
        <w:t>Kenny</w:t>
      </w:r>
      <w:r w:rsidR="009B2C4A" w:rsidRPr="009B2C4A">
        <w:rPr>
          <w:i/>
          <w:lang w:val="en-US"/>
        </w:rPr>
        <w:t>’</w:t>
      </w:r>
      <w:r w:rsidRPr="009B2C4A">
        <w:rPr>
          <w:i/>
          <w:lang w:val="en-US"/>
        </w:rPr>
        <w:t>s Outlines of Criminal Law</w:t>
      </w:r>
      <w:r w:rsidR="007F57F4" w:rsidRPr="009B2C4A">
        <w:rPr>
          <w:lang w:val="en-US"/>
        </w:rPr>
        <w:t xml:space="preserve">, 19th </w:t>
      </w:r>
      <w:r w:rsidR="007F57F4" w:rsidRPr="009B2C4A">
        <w:t>ed.</w:t>
      </w:r>
      <w:r w:rsidRPr="009B2C4A">
        <w:t xml:space="preserve"> by J.</w:t>
      </w:r>
      <w:r w:rsidR="00EC2BDA" w:rsidRPr="009B2C4A">
        <w:t> </w:t>
      </w:r>
      <w:r w:rsidRPr="009B2C4A">
        <w:t>W.</w:t>
      </w:r>
      <w:r w:rsidR="00EC2BDA" w:rsidRPr="009B2C4A">
        <w:t> </w:t>
      </w:r>
      <w:r w:rsidRPr="009B2C4A">
        <w:t>Cecil Turner, Cambridge, University Press, 1966.</w:t>
      </w:r>
    </w:p>
    <w:p w:rsidR="002C339E" w:rsidRPr="009B2C4A" w:rsidRDefault="002C339E" w:rsidP="00EC2BDA">
      <w:pPr>
        <w:pStyle w:val="SCCNormalDoubleSpacing"/>
        <w:spacing w:after="240" w:line="240" w:lineRule="auto"/>
        <w:ind w:left="547" w:hanging="547"/>
      </w:pPr>
      <w:r w:rsidRPr="009B2C4A">
        <w:t xml:space="preserve">Manson, Allan. </w:t>
      </w:r>
      <w:r w:rsidRPr="009B2C4A">
        <w:rPr>
          <w:i/>
        </w:rPr>
        <w:t>The Law of Sentencing</w:t>
      </w:r>
      <w:r w:rsidRPr="009B2C4A">
        <w:t>, Toronto, Irwin Law, 2001.</w:t>
      </w:r>
    </w:p>
    <w:p w:rsidR="004D7D95" w:rsidRPr="009B2C4A" w:rsidRDefault="00EC2BDA" w:rsidP="002C339E">
      <w:pPr>
        <w:pStyle w:val="SCCNormalDoubleSpacing"/>
        <w:spacing w:after="720" w:line="240" w:lineRule="auto"/>
        <w:ind w:left="539" w:hanging="539"/>
        <w:rPr>
          <w:lang w:val="en-US"/>
        </w:rPr>
      </w:pPr>
      <w:r w:rsidRPr="009B2C4A">
        <w:lastRenderedPageBreak/>
        <w:t>Ruby, Clayton C., Gerald </w:t>
      </w:r>
      <w:r w:rsidR="005647DE">
        <w:t>J. Chan and Nader </w:t>
      </w:r>
      <w:r w:rsidR="002C339E" w:rsidRPr="009B2C4A">
        <w:t xml:space="preserve">R. Hasan. </w:t>
      </w:r>
      <w:r w:rsidR="002C339E" w:rsidRPr="009B2C4A">
        <w:rPr>
          <w:i/>
        </w:rPr>
        <w:t>Sentencing</w:t>
      </w:r>
      <w:r w:rsidRPr="009B2C4A">
        <w:t>, 8th </w:t>
      </w:r>
      <w:r w:rsidR="002C339E" w:rsidRPr="009B2C4A">
        <w:t>ed., Markham (Ont.), LexisNexis, 2012.</w:t>
      </w:r>
    </w:p>
    <w:p w:rsidR="004D7D95" w:rsidRPr="009B2C4A" w:rsidRDefault="004D7D95" w:rsidP="00EC2BDA">
      <w:pPr>
        <w:pStyle w:val="SCCNormalDoubleSpacing"/>
        <w:spacing w:before="480" w:after="480"/>
        <w:rPr>
          <w:lang w:val="fr-CA"/>
        </w:rPr>
      </w:pPr>
      <w:r w:rsidRPr="009B2C4A">
        <w:rPr>
          <w:lang w:val="en-US"/>
        </w:rPr>
        <w:tab/>
      </w:r>
      <w:r w:rsidRPr="009B2C4A">
        <w:rPr>
          <w:lang w:val="fr-CA"/>
        </w:rPr>
        <w:t>POURVOI contre un arrêt de la Cour d</w:t>
      </w:r>
      <w:r w:rsidR="009B2C4A" w:rsidRPr="009B2C4A">
        <w:rPr>
          <w:lang w:val="fr-CA"/>
        </w:rPr>
        <w:t>’</w:t>
      </w:r>
      <w:r w:rsidRPr="009B2C4A">
        <w:rPr>
          <w:lang w:val="fr-CA"/>
        </w:rPr>
        <w:t>appel de l</w:t>
      </w:r>
      <w:r w:rsidR="009B2C4A" w:rsidRPr="009B2C4A">
        <w:rPr>
          <w:lang w:val="fr-CA"/>
        </w:rPr>
        <w:t>’</w:t>
      </w:r>
      <w:r w:rsidR="00196C20" w:rsidRPr="009B2C4A">
        <w:rPr>
          <w:lang w:val="fr-CA"/>
        </w:rPr>
        <w:t xml:space="preserve">Alberta (les juges Watson, Bielby et Schutz), 2016 ABCA 235, 341 C.C.C. (3d) 21, 41 Alta. L.R. (6th) 268, 100 M.V.R. (6th) 177, [2016] A.J. </w:t>
      </w:r>
      <w:r w:rsidR="009B2C4A" w:rsidRPr="009B2C4A">
        <w:rPr>
          <w:lang w:val="fr-CA"/>
        </w:rPr>
        <w:t>No. </w:t>
      </w:r>
      <w:r w:rsidR="00196C20" w:rsidRPr="009B2C4A">
        <w:rPr>
          <w:lang w:val="fr-CA"/>
        </w:rPr>
        <w:t>785 (QL), 2016 CarswellAlta 1461 (WL Can.), qui a modifié la peine i</w:t>
      </w:r>
      <w:r w:rsidR="00BF4009">
        <w:rPr>
          <w:lang w:val="fr-CA"/>
        </w:rPr>
        <w:t>nflig</w:t>
      </w:r>
      <w:r w:rsidR="00196C20" w:rsidRPr="009B2C4A">
        <w:rPr>
          <w:lang w:val="fr-CA"/>
        </w:rPr>
        <w:t xml:space="preserve">ée par le juge en chef adjoint Anderson de la Cour provinciale, 2015 ABPC 269, 94 M.V.R. (6th) 91, [2015] A.J. </w:t>
      </w:r>
      <w:r w:rsidR="009B2C4A" w:rsidRPr="009B2C4A">
        <w:rPr>
          <w:lang w:val="fr-CA"/>
        </w:rPr>
        <w:t>No. </w:t>
      </w:r>
      <w:r w:rsidR="00196C20" w:rsidRPr="009B2C4A">
        <w:rPr>
          <w:lang w:val="fr-CA"/>
        </w:rPr>
        <w:t>1407 (QL), 2015 CarswellAlta 2333 (WL Can.). Pourvoi</w:t>
      </w:r>
      <w:r w:rsidR="009700AD" w:rsidRPr="009B2C4A">
        <w:rPr>
          <w:lang w:val="fr-CA"/>
        </w:rPr>
        <w:t xml:space="preserve"> accueilli en partie, le juge Gascon est dissident en partie</w:t>
      </w:r>
      <w:r w:rsidR="00196C20" w:rsidRPr="009B2C4A">
        <w:rPr>
          <w:lang w:val="fr-CA"/>
        </w:rPr>
        <w:t>.</w:t>
      </w:r>
    </w:p>
    <w:p w:rsidR="00090A30" w:rsidRPr="009B2C4A" w:rsidRDefault="00667AB3" w:rsidP="00EC2BDA">
      <w:pPr>
        <w:pStyle w:val="SCCNormalDoubleSpacing"/>
        <w:spacing w:before="480" w:after="480"/>
        <w:rPr>
          <w:lang w:val="fr-CA"/>
        </w:rPr>
      </w:pPr>
      <w:r w:rsidRPr="009B2C4A">
        <w:rPr>
          <w:rStyle w:val="SCCCounselNameChar"/>
          <w:lang w:val="fr-CA"/>
        </w:rPr>
        <w:tab/>
        <w:t>Dino Bottos</w:t>
      </w:r>
      <w:r w:rsidRPr="009B2C4A">
        <w:rPr>
          <w:rStyle w:val="SCCCounselSeparatorChar"/>
          <w:lang w:val="fr-CA"/>
        </w:rPr>
        <w:t xml:space="preserve">, </w:t>
      </w:r>
      <w:r w:rsidRPr="009B2C4A">
        <w:rPr>
          <w:rStyle w:val="SCCCounselNameChar"/>
          <w:lang w:val="fr-CA"/>
        </w:rPr>
        <w:t>Will Van Engen</w:t>
      </w:r>
      <w:r w:rsidRPr="009B2C4A">
        <w:rPr>
          <w:rStyle w:val="SCCCounselNameChar"/>
          <w:i w:val="0"/>
          <w:lang w:val="fr-CA"/>
        </w:rPr>
        <w:t>,</w:t>
      </w:r>
      <w:r w:rsidRPr="009B2C4A">
        <w:rPr>
          <w:rStyle w:val="SCCCounselNameChar"/>
          <w:lang w:val="fr-CA"/>
        </w:rPr>
        <w:t xml:space="preserve"> Fady Mansour</w:t>
      </w:r>
      <w:r w:rsidRPr="009B2C4A">
        <w:rPr>
          <w:rStyle w:val="SCCCounselSeparatorChar"/>
          <w:lang w:val="fr-CA"/>
        </w:rPr>
        <w:t xml:space="preserve"> et </w:t>
      </w:r>
      <w:r w:rsidRPr="009B2C4A">
        <w:rPr>
          <w:rStyle w:val="SCCCounselNameChar"/>
          <w:lang w:val="fr-CA"/>
        </w:rPr>
        <w:t>Peter Sankoff</w:t>
      </w:r>
      <w:r w:rsidRPr="009B2C4A">
        <w:rPr>
          <w:rStyle w:val="SCCCounselPartyRoleChar"/>
          <w:lang w:val="fr-CA"/>
        </w:rPr>
        <w:t>, pour l</w:t>
      </w:r>
      <w:r w:rsidR="009B2C4A" w:rsidRPr="009B2C4A">
        <w:rPr>
          <w:rStyle w:val="SCCCounselPartyRoleChar"/>
          <w:lang w:val="fr-CA"/>
        </w:rPr>
        <w:t>’</w:t>
      </w:r>
      <w:r w:rsidRPr="009B2C4A">
        <w:rPr>
          <w:rStyle w:val="SCCCounselPartyRoleChar"/>
          <w:lang w:val="fr-CA"/>
        </w:rPr>
        <w:t>appelant.</w:t>
      </w:r>
    </w:p>
    <w:p w:rsidR="00090A30" w:rsidRDefault="00667AB3" w:rsidP="00EC2BDA">
      <w:pPr>
        <w:pStyle w:val="SCCNormalDoubleSpacing"/>
        <w:spacing w:before="480" w:after="480"/>
        <w:rPr>
          <w:rStyle w:val="SCCCounselPartyRoleChar"/>
          <w:lang w:val="fr-CA"/>
        </w:rPr>
      </w:pPr>
      <w:r w:rsidRPr="009B2C4A">
        <w:rPr>
          <w:rStyle w:val="SCCCounselNameChar"/>
          <w:lang w:val="fr-CA"/>
        </w:rPr>
        <w:tab/>
        <w:t>Joanne Dartana</w:t>
      </w:r>
      <w:r w:rsidRPr="009B2C4A">
        <w:rPr>
          <w:rStyle w:val="SCCCounselSeparatorChar"/>
          <w:lang w:val="fr-CA"/>
        </w:rPr>
        <w:t xml:space="preserve"> et </w:t>
      </w:r>
      <w:r w:rsidR="00EC2BDA" w:rsidRPr="009B2C4A">
        <w:rPr>
          <w:rStyle w:val="SCCCounselNameChar"/>
          <w:lang w:val="fr-CA"/>
        </w:rPr>
        <w:t>David </w:t>
      </w:r>
      <w:r w:rsidRPr="009B2C4A">
        <w:rPr>
          <w:rStyle w:val="SCCCounselNameChar"/>
          <w:lang w:val="fr-CA"/>
        </w:rPr>
        <w:t>A. Labrenz</w:t>
      </w:r>
      <w:r w:rsidRPr="009B2C4A">
        <w:rPr>
          <w:rStyle w:val="SCCCounselNameChar"/>
          <w:i w:val="0"/>
          <w:lang w:val="fr-CA"/>
        </w:rPr>
        <w:t>,</w:t>
      </w:r>
      <w:r w:rsidRPr="009B2C4A">
        <w:rPr>
          <w:rStyle w:val="SCCCounselNameChar"/>
          <w:lang w:val="fr-CA"/>
        </w:rPr>
        <w:t xml:space="preserve"> c.r.</w:t>
      </w:r>
      <w:r w:rsidRPr="009B2C4A">
        <w:rPr>
          <w:rStyle w:val="SCCCounselPartyRoleChar"/>
          <w:lang w:val="fr-CA"/>
        </w:rPr>
        <w:t>, pour l</w:t>
      </w:r>
      <w:r w:rsidR="009B2C4A" w:rsidRPr="009B2C4A">
        <w:rPr>
          <w:rStyle w:val="SCCCounselPartyRoleChar"/>
          <w:lang w:val="fr-CA"/>
        </w:rPr>
        <w:t>’</w:t>
      </w:r>
      <w:r w:rsidRPr="009B2C4A">
        <w:rPr>
          <w:rStyle w:val="SCCCounselPartyRoleChar"/>
          <w:lang w:val="fr-CA"/>
        </w:rPr>
        <w:t xml:space="preserve">intimée. </w:t>
      </w:r>
    </w:p>
    <w:p w:rsidR="001A0BA2" w:rsidRPr="00CD39C5" w:rsidRDefault="00CD39C5" w:rsidP="00CD39C5">
      <w:pPr>
        <w:pStyle w:val="SCCNormalDoubleSpacing"/>
        <w:spacing w:before="480" w:after="480"/>
        <w:rPr>
          <w:rStyle w:val="SCCCounselNameChar"/>
          <w:i w:val="0"/>
          <w:lang w:val="fr-FR"/>
        </w:rPr>
      </w:pPr>
      <w:r w:rsidRPr="009E59A8">
        <w:rPr>
          <w:rStyle w:val="SCCCounselNameChar"/>
          <w:i w:val="0"/>
          <w:lang w:val="fr-CA"/>
        </w:rPr>
        <w:tab/>
      </w:r>
      <w:r w:rsidR="001A0BA2" w:rsidRPr="00CD39C5">
        <w:rPr>
          <w:rStyle w:val="SCCCounselNameChar"/>
          <w:i w:val="0"/>
          <w:lang w:val="fr-FR"/>
        </w:rPr>
        <w:t>Version française du jugement des juges Abella, Moldaver, Karakatsanis, Wagner, Côté et Rowe rendu par</w:t>
      </w:r>
    </w:p>
    <w:p w:rsidR="001A0BA2" w:rsidRPr="001B30C8" w:rsidRDefault="001A0BA2" w:rsidP="001A0BA2">
      <w:pPr>
        <w:pStyle w:val="JudgeJuge"/>
        <w:spacing w:before="480"/>
        <w:rPr>
          <w:noProof/>
          <w:lang w:val="fr-CA"/>
        </w:rPr>
      </w:pPr>
      <w:r w:rsidRPr="001B30C8">
        <w:rPr>
          <w:noProof/>
          <w:lang w:val="fr-CA"/>
        </w:rPr>
        <w:tab/>
        <w:t xml:space="preserve">Le juge Moldaver — </w:t>
      </w:r>
    </w:p>
    <w:p w:rsidR="001A0BA2" w:rsidRPr="001B30C8" w:rsidRDefault="001A0BA2" w:rsidP="001A0BA2">
      <w:pPr>
        <w:pStyle w:val="Title1LevelTitre1Niveau-AltL"/>
        <w:rPr>
          <w:rFonts w:cs="Times New Roman"/>
          <w:b/>
          <w:noProof/>
          <w:lang w:val="fr-CA"/>
        </w:rPr>
      </w:pPr>
      <w:r w:rsidRPr="001B30C8">
        <w:rPr>
          <w:rFonts w:cs="Times New Roman"/>
          <w:noProof/>
          <w:lang w:val="fr-CA"/>
        </w:rPr>
        <w:t>Aperçu</w:t>
      </w:r>
    </w:p>
    <w:p w:rsidR="001A0BA2" w:rsidRPr="001B30C8" w:rsidRDefault="001A0BA2" w:rsidP="001A0BA2">
      <w:pPr>
        <w:pStyle w:val="ParaNoNdepar-AltN"/>
        <w:rPr>
          <w:rFonts w:cs="Times New Roman"/>
          <w:noProof/>
          <w:lang w:val="fr-CA"/>
        </w:rPr>
      </w:pPr>
      <w:r w:rsidRPr="001B30C8">
        <w:rPr>
          <w:rFonts w:cs="Times New Roman"/>
          <w:noProof/>
          <w:lang w:val="fr-CA"/>
        </w:rPr>
        <w:t>Les circonstances de l</w:t>
      </w:r>
      <w:r>
        <w:rPr>
          <w:rFonts w:cs="Times New Roman"/>
          <w:noProof/>
          <w:lang w:val="fr-CA"/>
        </w:rPr>
        <w:t>’</w:t>
      </w:r>
      <w:r w:rsidRPr="001B30C8">
        <w:rPr>
          <w:rFonts w:cs="Times New Roman"/>
          <w:noProof/>
          <w:lang w:val="fr-CA"/>
        </w:rPr>
        <w:t>espèce sont tragiques. Geo Mounsef, un garçonnet de deux ans, a été tué lorsque l</w:t>
      </w:r>
      <w:r>
        <w:rPr>
          <w:rFonts w:cs="Times New Roman"/>
          <w:noProof/>
          <w:lang w:val="fr-CA"/>
        </w:rPr>
        <w:t>’</w:t>
      </w:r>
      <w:r w:rsidRPr="001B30C8">
        <w:rPr>
          <w:rFonts w:cs="Times New Roman"/>
          <w:noProof/>
          <w:lang w:val="fr-CA"/>
        </w:rPr>
        <w:t>appelant, Richard Suter, a foncé avec son véhicule dans la terrasse d</w:t>
      </w:r>
      <w:r>
        <w:rPr>
          <w:rFonts w:cs="Times New Roman"/>
          <w:noProof/>
          <w:lang w:val="fr-CA"/>
        </w:rPr>
        <w:t>’</w:t>
      </w:r>
      <w:r w:rsidRPr="001B30C8">
        <w:rPr>
          <w:rFonts w:cs="Times New Roman"/>
          <w:noProof/>
          <w:lang w:val="fr-CA"/>
        </w:rPr>
        <w:t xml:space="preserve">un restaurant où soupait la famille Mounsef. En quelques secondes, </w:t>
      </w:r>
      <w:r w:rsidRPr="001B30C8">
        <w:rPr>
          <w:rFonts w:cs="Times New Roman"/>
          <w:noProof/>
          <w:lang w:val="fr-CA"/>
        </w:rPr>
        <w:lastRenderedPageBreak/>
        <w:t>George Mounsef et Sage Morin ont perdu un fils, alors que Quentin Mounsef a perdu son frère. Ces conséquences dévastatrices témoignent de l</w:t>
      </w:r>
      <w:r>
        <w:rPr>
          <w:rFonts w:cs="Times New Roman"/>
          <w:noProof/>
          <w:lang w:val="fr-CA"/>
        </w:rPr>
        <w:t>’</w:t>
      </w:r>
      <w:r w:rsidRPr="001B30C8">
        <w:rPr>
          <w:rFonts w:cs="Times New Roman"/>
          <w:noProof/>
          <w:lang w:val="fr-CA"/>
        </w:rPr>
        <w:t>ampleur de la tragédie.</w:t>
      </w:r>
    </w:p>
    <w:p w:rsidR="001A0BA2" w:rsidRPr="001B30C8" w:rsidRDefault="001A0BA2" w:rsidP="001A0BA2">
      <w:pPr>
        <w:pStyle w:val="ParaNoNdepar-AltN"/>
        <w:rPr>
          <w:rFonts w:cs="Times New Roman"/>
          <w:noProof/>
          <w:lang w:val="fr-CA"/>
        </w:rPr>
      </w:pPr>
      <w:r>
        <w:rPr>
          <w:rFonts w:cs="Times New Roman"/>
          <w:noProof/>
          <w:lang w:val="fr-CA"/>
        </w:rPr>
        <w:t xml:space="preserve">Monsieur </w:t>
      </w:r>
      <w:r w:rsidRPr="001B30C8">
        <w:rPr>
          <w:rFonts w:cs="Times New Roman"/>
          <w:noProof/>
          <w:lang w:val="fr-CA"/>
        </w:rPr>
        <w:t>Suter a d</w:t>
      </w:r>
      <w:r>
        <w:rPr>
          <w:rFonts w:cs="Times New Roman"/>
          <w:noProof/>
          <w:lang w:val="fr-CA"/>
        </w:rPr>
        <w:t>’</w:t>
      </w:r>
      <w:r w:rsidRPr="001B30C8">
        <w:rPr>
          <w:rFonts w:cs="Times New Roman"/>
          <w:noProof/>
          <w:lang w:val="fr-CA"/>
        </w:rPr>
        <w:t>abord été accusé de trois infractions découlant de cet incident, notamment de conduite avec capacités affaiblies causant la mort et de conduite avec capacités affaiblies causant des lésions corporelles. La Couronne a retiré par la suite les accusations de conduite avec capacités affaiblies lorsque M. Suter a plaidé coupable à un chef de refus de fournir un échantillon d</w:t>
      </w:r>
      <w:r>
        <w:rPr>
          <w:rFonts w:cs="Times New Roman"/>
          <w:noProof/>
          <w:lang w:val="fr-CA"/>
        </w:rPr>
        <w:t>’</w:t>
      </w:r>
      <w:r w:rsidRPr="001B30C8">
        <w:rPr>
          <w:rFonts w:cs="Times New Roman"/>
          <w:noProof/>
          <w:lang w:val="fr-CA"/>
        </w:rPr>
        <w:t>haleine alors qu</w:t>
      </w:r>
      <w:r>
        <w:rPr>
          <w:rFonts w:cs="Times New Roman"/>
          <w:noProof/>
          <w:lang w:val="fr-CA"/>
        </w:rPr>
        <w:t>’</w:t>
      </w:r>
      <w:r w:rsidRPr="001B30C8">
        <w:rPr>
          <w:rFonts w:cs="Times New Roman"/>
          <w:noProof/>
          <w:lang w:val="fr-CA"/>
        </w:rPr>
        <w:t xml:space="preserve">il savait avoir causé un accident ayant occasionné la mort, une infraction prévue au par. 255(3.2) du </w:t>
      </w:r>
      <w:r w:rsidRPr="001B30C8">
        <w:rPr>
          <w:rFonts w:cs="Times New Roman"/>
          <w:i/>
          <w:noProof/>
          <w:lang w:val="fr-CA"/>
        </w:rPr>
        <w:t>Code criminel</w:t>
      </w:r>
      <w:r w:rsidRPr="001B30C8">
        <w:rPr>
          <w:rFonts w:cs="Times New Roman"/>
          <w:noProof/>
          <w:lang w:val="fr-CA"/>
        </w:rPr>
        <w:t>, L.R.C. 1985, c. C</w:t>
      </w:r>
      <w:r w:rsidRPr="001B30C8">
        <w:rPr>
          <w:rFonts w:cs="Times New Roman"/>
          <w:noProof/>
          <w:lang w:val="fr-CA"/>
        </w:rPr>
        <w:noBreakHyphen/>
        <w:t>46. Le refus de fournir à la police un échantillon d</w:t>
      </w:r>
      <w:r>
        <w:rPr>
          <w:rFonts w:cs="Times New Roman"/>
          <w:noProof/>
          <w:lang w:val="fr-CA"/>
        </w:rPr>
        <w:t>’</w:t>
      </w:r>
      <w:r w:rsidRPr="001B30C8">
        <w:rPr>
          <w:rFonts w:cs="Times New Roman"/>
          <w:noProof/>
          <w:lang w:val="fr-CA"/>
        </w:rPr>
        <w:t>haleine est toujours une infraction grave, mais en particulier lorsqu</w:t>
      </w:r>
      <w:r>
        <w:rPr>
          <w:rFonts w:cs="Times New Roman"/>
          <w:noProof/>
          <w:lang w:val="fr-CA"/>
        </w:rPr>
        <w:t>’</w:t>
      </w:r>
      <w:r w:rsidRPr="001B30C8">
        <w:rPr>
          <w:rFonts w:cs="Times New Roman"/>
          <w:noProof/>
          <w:lang w:val="fr-CA"/>
        </w:rPr>
        <w:t>un décès survient. Cette infraction est passible d</w:t>
      </w:r>
      <w:r>
        <w:rPr>
          <w:rFonts w:cs="Times New Roman"/>
          <w:noProof/>
          <w:lang w:val="fr-CA"/>
        </w:rPr>
        <w:t>’</w:t>
      </w:r>
      <w:r w:rsidRPr="001B30C8">
        <w:rPr>
          <w:rFonts w:cs="Times New Roman"/>
          <w:noProof/>
          <w:lang w:val="fr-CA"/>
        </w:rPr>
        <w:t>une peine maximale d</w:t>
      </w:r>
      <w:r>
        <w:rPr>
          <w:rFonts w:cs="Times New Roman"/>
          <w:noProof/>
          <w:lang w:val="fr-CA"/>
        </w:rPr>
        <w:t>’</w:t>
      </w:r>
      <w:r w:rsidRPr="001B30C8">
        <w:rPr>
          <w:rFonts w:cs="Times New Roman"/>
          <w:noProof/>
          <w:lang w:val="fr-CA"/>
        </w:rPr>
        <w:t>emprisonnement à perpétuité — tout comme la conduite avec capacités affaiblies causant la mort et la conduite avec une alcoolémie « supérieure à 80 mg » causant la mort. Précisons qu</w:t>
      </w:r>
      <w:r>
        <w:rPr>
          <w:rFonts w:cs="Times New Roman"/>
          <w:noProof/>
          <w:lang w:val="fr-CA"/>
        </w:rPr>
        <w:t>’</w:t>
      </w:r>
      <w:r w:rsidRPr="001B30C8">
        <w:rPr>
          <w:rFonts w:cs="Times New Roman"/>
          <w:noProof/>
          <w:lang w:val="fr-CA"/>
        </w:rPr>
        <w:t>aux fins de la détermination de la peine, ces trois infractions seront généralement traitées de la même façon.</w:t>
      </w:r>
    </w:p>
    <w:p w:rsidR="001A0BA2" w:rsidRPr="001B30C8" w:rsidRDefault="001A0BA2" w:rsidP="001A0BA2">
      <w:pPr>
        <w:pStyle w:val="ParaNoNdepar-AltN"/>
        <w:rPr>
          <w:rFonts w:cs="Times New Roman"/>
          <w:noProof/>
          <w:lang w:val="fr-CA"/>
        </w:rPr>
      </w:pPr>
      <w:r w:rsidRPr="001B30C8">
        <w:rPr>
          <w:rFonts w:cs="Times New Roman"/>
          <w:noProof/>
          <w:lang w:val="fr-CA"/>
        </w:rPr>
        <w:t>Cela dit, les circonstances de l</w:t>
      </w:r>
      <w:r>
        <w:rPr>
          <w:rFonts w:cs="Times New Roman"/>
          <w:noProof/>
          <w:lang w:val="fr-CA"/>
        </w:rPr>
        <w:t>’</w:t>
      </w:r>
      <w:r w:rsidRPr="001B30C8">
        <w:rPr>
          <w:rFonts w:cs="Times New Roman"/>
          <w:noProof/>
          <w:lang w:val="fr-CA"/>
        </w:rPr>
        <w:t>espèce sont uniques. Comme nous le verrons, l</w:t>
      </w:r>
      <w:r>
        <w:rPr>
          <w:rFonts w:cs="Times New Roman"/>
          <w:noProof/>
          <w:lang w:val="fr-CA"/>
        </w:rPr>
        <w:t>’</w:t>
      </w:r>
      <w:r w:rsidRPr="001B30C8">
        <w:rPr>
          <w:rFonts w:cs="Times New Roman"/>
          <w:noProof/>
          <w:lang w:val="fr-CA"/>
        </w:rPr>
        <w:t>accident mortel a été causé par une erreur de conduite commise par une personne dont les facultés n</w:t>
      </w:r>
      <w:r>
        <w:rPr>
          <w:rFonts w:cs="Times New Roman"/>
          <w:noProof/>
          <w:lang w:val="fr-CA"/>
        </w:rPr>
        <w:t>’</w:t>
      </w:r>
      <w:r w:rsidRPr="001B30C8">
        <w:rPr>
          <w:rFonts w:cs="Times New Roman"/>
          <w:noProof/>
          <w:lang w:val="fr-CA"/>
        </w:rPr>
        <w:t>étaient pas affaiblies, et M. Suter a refusé de fournir à la police un échantillon d</w:t>
      </w:r>
      <w:r>
        <w:rPr>
          <w:rFonts w:cs="Times New Roman"/>
          <w:noProof/>
          <w:lang w:val="fr-CA"/>
        </w:rPr>
        <w:t>’</w:t>
      </w:r>
      <w:r w:rsidRPr="001B30C8">
        <w:rPr>
          <w:rFonts w:cs="Times New Roman"/>
          <w:noProof/>
          <w:lang w:val="fr-CA"/>
        </w:rPr>
        <w:t>haleine parce qu</w:t>
      </w:r>
      <w:r>
        <w:rPr>
          <w:rFonts w:cs="Times New Roman"/>
          <w:noProof/>
          <w:lang w:val="fr-CA"/>
        </w:rPr>
        <w:t>’</w:t>
      </w:r>
      <w:r w:rsidRPr="001B30C8">
        <w:rPr>
          <w:rFonts w:cs="Times New Roman"/>
          <w:noProof/>
          <w:lang w:val="fr-CA"/>
        </w:rPr>
        <w:t>il a été mal conseillé par un avocat. L</w:t>
      </w:r>
      <w:r>
        <w:rPr>
          <w:rFonts w:cs="Times New Roman"/>
          <w:noProof/>
          <w:lang w:val="fr-CA"/>
        </w:rPr>
        <w:t>’</w:t>
      </w:r>
      <w:r w:rsidRPr="001B30C8">
        <w:rPr>
          <w:rFonts w:cs="Times New Roman"/>
          <w:noProof/>
          <w:lang w:val="fr-CA"/>
        </w:rPr>
        <w:t>avocat que M. Suter a appelé alors qu</w:t>
      </w:r>
      <w:r>
        <w:rPr>
          <w:rFonts w:cs="Times New Roman"/>
          <w:noProof/>
          <w:lang w:val="fr-CA"/>
        </w:rPr>
        <w:t>’</w:t>
      </w:r>
      <w:r w:rsidRPr="001B30C8">
        <w:rPr>
          <w:rFonts w:cs="Times New Roman"/>
          <w:noProof/>
          <w:lang w:val="fr-CA"/>
        </w:rPr>
        <w:t>il se trouvait au poste de police lui a expressément dit de ne pas fournir un échantillon d</w:t>
      </w:r>
      <w:r>
        <w:rPr>
          <w:rFonts w:cs="Times New Roman"/>
          <w:noProof/>
          <w:lang w:val="fr-CA"/>
        </w:rPr>
        <w:t>’</w:t>
      </w:r>
      <w:r w:rsidRPr="001B30C8">
        <w:rPr>
          <w:rFonts w:cs="Times New Roman"/>
          <w:noProof/>
          <w:lang w:val="fr-CA"/>
        </w:rPr>
        <w:t>haleine, et M. Suter a donc refusé. De plus, peu de temps après l</w:t>
      </w:r>
      <w:r>
        <w:rPr>
          <w:rFonts w:cs="Times New Roman"/>
          <w:noProof/>
          <w:lang w:val="fr-CA"/>
        </w:rPr>
        <w:t>’</w:t>
      </w:r>
      <w:r w:rsidRPr="001B30C8">
        <w:rPr>
          <w:rFonts w:cs="Times New Roman"/>
          <w:noProof/>
          <w:lang w:val="fr-CA"/>
        </w:rPr>
        <w:t xml:space="preserve">accident, M. Suter a été attaqué par un groupe de justiciers qui lui ont </w:t>
      </w:r>
      <w:r w:rsidRPr="001B30C8">
        <w:rPr>
          <w:rFonts w:cs="Times New Roman"/>
          <w:noProof/>
          <w:lang w:val="fr-CA"/>
        </w:rPr>
        <w:lastRenderedPageBreak/>
        <w:t>coupé un pouce à l</w:t>
      </w:r>
      <w:r>
        <w:rPr>
          <w:rFonts w:cs="Times New Roman"/>
          <w:noProof/>
          <w:lang w:val="fr-CA"/>
        </w:rPr>
        <w:t>’</w:t>
      </w:r>
      <w:r w:rsidRPr="001B30C8">
        <w:rPr>
          <w:rFonts w:cs="Times New Roman"/>
          <w:noProof/>
          <w:lang w:val="fr-CA"/>
        </w:rPr>
        <w:t>aide d</w:t>
      </w:r>
      <w:r>
        <w:rPr>
          <w:rFonts w:cs="Times New Roman"/>
          <w:noProof/>
          <w:lang w:val="fr-CA"/>
        </w:rPr>
        <w:t>’</w:t>
      </w:r>
      <w:r w:rsidRPr="001B30C8">
        <w:rPr>
          <w:rFonts w:cs="Times New Roman"/>
          <w:noProof/>
          <w:lang w:val="fr-CA"/>
        </w:rPr>
        <w:t>un sécateur. Sa femme a elle aussi été attaquée lors d</w:t>
      </w:r>
      <w:r>
        <w:rPr>
          <w:rFonts w:cs="Times New Roman"/>
          <w:noProof/>
          <w:lang w:val="fr-CA"/>
        </w:rPr>
        <w:t>’</w:t>
      </w:r>
      <w:r w:rsidRPr="001B30C8">
        <w:rPr>
          <w:rFonts w:cs="Times New Roman"/>
          <w:noProof/>
          <w:lang w:val="fr-CA"/>
        </w:rPr>
        <w:t>un autre incident.</w:t>
      </w:r>
    </w:p>
    <w:p w:rsidR="001A0BA2" w:rsidRPr="001B30C8" w:rsidRDefault="001A0BA2" w:rsidP="001A0BA2">
      <w:pPr>
        <w:pStyle w:val="ParaNoNdepar-AltN"/>
        <w:rPr>
          <w:rFonts w:cs="Times New Roman"/>
          <w:noProof/>
          <w:lang w:val="fr-CA"/>
        </w:rPr>
      </w:pPr>
      <w:r w:rsidRPr="001B30C8">
        <w:rPr>
          <w:rFonts w:cs="Times New Roman"/>
          <w:noProof/>
          <w:lang w:val="fr-CA"/>
        </w:rPr>
        <w:t>La détermination de la peine est une opération éminemment individualisée. Une pondération délicate des différents principes et objectifs en la matière s</w:t>
      </w:r>
      <w:r>
        <w:rPr>
          <w:rFonts w:cs="Times New Roman"/>
          <w:noProof/>
          <w:lang w:val="fr-CA"/>
        </w:rPr>
        <w:t>’</w:t>
      </w:r>
      <w:r w:rsidRPr="001B30C8">
        <w:rPr>
          <w:rFonts w:cs="Times New Roman"/>
          <w:noProof/>
          <w:lang w:val="fr-CA"/>
        </w:rPr>
        <w:t>impose, conformément au principe prépondérant selon lequel « la peine est proportionnelle à la gravité de l</w:t>
      </w:r>
      <w:r>
        <w:rPr>
          <w:rFonts w:cs="Times New Roman"/>
          <w:noProof/>
          <w:lang w:val="fr-CA"/>
        </w:rPr>
        <w:t>’</w:t>
      </w:r>
      <w:r w:rsidRPr="001B30C8">
        <w:rPr>
          <w:rFonts w:cs="Times New Roman"/>
          <w:noProof/>
          <w:lang w:val="fr-CA"/>
        </w:rPr>
        <w:t xml:space="preserve">infraction et au degré de responsabilité du délinquant » (art. 718.1 du </w:t>
      </w:r>
      <w:r w:rsidRPr="001B30C8">
        <w:rPr>
          <w:rFonts w:cs="Times New Roman"/>
          <w:i/>
          <w:noProof/>
          <w:lang w:val="fr-CA"/>
        </w:rPr>
        <w:t>Code criminel</w:t>
      </w:r>
      <w:r w:rsidRPr="001B30C8">
        <w:rPr>
          <w:rFonts w:cs="Times New Roman"/>
          <w:noProof/>
          <w:lang w:val="fr-CA"/>
        </w:rPr>
        <w:t>). En conséquence, il y aura des cas où les circonstances particulières de l</w:t>
      </w:r>
      <w:r>
        <w:rPr>
          <w:rFonts w:cs="Times New Roman"/>
          <w:noProof/>
          <w:lang w:val="fr-CA"/>
        </w:rPr>
        <w:t>’</w:t>
      </w:r>
      <w:r w:rsidRPr="001B30C8">
        <w:rPr>
          <w:rFonts w:cs="Times New Roman"/>
          <w:noProof/>
          <w:lang w:val="fr-CA"/>
        </w:rPr>
        <w:t>infraction et</w:t>
      </w:r>
      <w:r w:rsidRPr="001B30C8">
        <w:rPr>
          <w:rFonts w:cs="Times New Roman"/>
          <w:lang w:val="fr-CA"/>
        </w:rPr>
        <w:t xml:space="preserve">/ou </w:t>
      </w:r>
      <w:r w:rsidRPr="001B30C8">
        <w:rPr>
          <w:rFonts w:cs="Times New Roman"/>
          <w:noProof/>
          <w:lang w:val="fr-CA"/>
        </w:rPr>
        <w:t>la situation particulière du délinquant commanderont l</w:t>
      </w:r>
      <w:r>
        <w:rPr>
          <w:rFonts w:cs="Times New Roman"/>
          <w:noProof/>
          <w:lang w:val="fr-CA"/>
        </w:rPr>
        <w:t>’</w:t>
      </w:r>
      <w:r w:rsidRPr="001B30C8">
        <w:rPr>
          <w:rFonts w:cs="Times New Roman"/>
          <w:noProof/>
          <w:lang w:val="fr-CA"/>
        </w:rPr>
        <w:t>infliction d</w:t>
      </w:r>
      <w:r>
        <w:rPr>
          <w:rFonts w:cs="Times New Roman"/>
          <w:noProof/>
          <w:lang w:val="fr-CA"/>
        </w:rPr>
        <w:t>’</w:t>
      </w:r>
      <w:r w:rsidRPr="001B30C8">
        <w:rPr>
          <w:rFonts w:cs="Times New Roman"/>
          <w:noProof/>
          <w:lang w:val="fr-CA"/>
        </w:rPr>
        <w:t>une peine ne se situant pas dans la fourchette de peines habituelle. Nous sommes en présence d</w:t>
      </w:r>
      <w:r>
        <w:rPr>
          <w:rFonts w:cs="Times New Roman"/>
          <w:noProof/>
          <w:lang w:val="fr-CA"/>
        </w:rPr>
        <w:t>’</w:t>
      </w:r>
      <w:r w:rsidRPr="001B30C8">
        <w:rPr>
          <w:rFonts w:cs="Times New Roman"/>
          <w:noProof/>
          <w:lang w:val="fr-CA"/>
        </w:rPr>
        <w:t>un tel cas en l</w:t>
      </w:r>
      <w:r>
        <w:rPr>
          <w:rFonts w:cs="Times New Roman"/>
          <w:noProof/>
          <w:lang w:val="fr-CA"/>
        </w:rPr>
        <w:t>’</w:t>
      </w:r>
      <w:r w:rsidRPr="001B30C8">
        <w:rPr>
          <w:rFonts w:cs="Times New Roman"/>
          <w:noProof/>
          <w:lang w:val="fr-CA"/>
        </w:rPr>
        <w:t>espèce.</w:t>
      </w:r>
    </w:p>
    <w:p w:rsidR="001A0BA2" w:rsidRPr="001B30C8" w:rsidRDefault="001A0BA2" w:rsidP="001A0BA2">
      <w:pPr>
        <w:pStyle w:val="ParaNoNdepar-AltN"/>
        <w:tabs>
          <w:tab w:val="clear" w:pos="1152"/>
          <w:tab w:val="left" w:pos="1166"/>
        </w:tabs>
        <w:rPr>
          <w:rFonts w:cs="Times New Roman"/>
          <w:lang w:val="fr-CA"/>
        </w:rPr>
      </w:pPr>
      <w:r w:rsidRPr="001B30C8">
        <w:rPr>
          <w:rFonts w:cs="Times New Roman"/>
          <w:noProof/>
          <w:lang w:val="fr-CA"/>
        </w:rPr>
        <w:t>Le juge de la peine a condamné M. Suter à une peine d</w:t>
      </w:r>
      <w:r>
        <w:rPr>
          <w:rFonts w:cs="Times New Roman"/>
          <w:noProof/>
          <w:lang w:val="fr-CA"/>
        </w:rPr>
        <w:t>’</w:t>
      </w:r>
      <w:r w:rsidRPr="001B30C8">
        <w:rPr>
          <w:rFonts w:cs="Times New Roman"/>
          <w:noProof/>
          <w:lang w:val="fr-CA"/>
        </w:rPr>
        <w:t>emprisonnement de 4 mois et à une interdiction de conduire de 30 mois. La Cour d</w:t>
      </w:r>
      <w:r>
        <w:rPr>
          <w:rFonts w:cs="Times New Roman"/>
          <w:noProof/>
          <w:lang w:val="fr-CA"/>
        </w:rPr>
        <w:t>’</w:t>
      </w:r>
      <w:r w:rsidRPr="001B30C8">
        <w:rPr>
          <w:rFonts w:cs="Times New Roman"/>
          <w:noProof/>
          <w:lang w:val="fr-CA"/>
        </w:rPr>
        <w:t>appel de l</w:t>
      </w:r>
      <w:r>
        <w:rPr>
          <w:rFonts w:cs="Times New Roman"/>
          <w:noProof/>
          <w:lang w:val="fr-CA"/>
        </w:rPr>
        <w:t>’</w:t>
      </w:r>
      <w:r w:rsidRPr="001B30C8">
        <w:rPr>
          <w:rFonts w:cs="Times New Roman"/>
          <w:noProof/>
          <w:lang w:val="fr-CA"/>
        </w:rPr>
        <w:t>Alberta a accueilli l</w:t>
      </w:r>
      <w:r>
        <w:rPr>
          <w:rFonts w:cs="Times New Roman"/>
          <w:noProof/>
          <w:lang w:val="fr-CA"/>
        </w:rPr>
        <w:t>’</w:t>
      </w:r>
      <w:r w:rsidRPr="001B30C8">
        <w:rPr>
          <w:rFonts w:cs="Times New Roman"/>
          <w:noProof/>
          <w:lang w:val="fr-CA"/>
        </w:rPr>
        <w:t>appel interjeté par la Couronne à l</w:t>
      </w:r>
      <w:r>
        <w:rPr>
          <w:rFonts w:cs="Times New Roman"/>
          <w:noProof/>
          <w:lang w:val="fr-CA"/>
        </w:rPr>
        <w:t>’</w:t>
      </w:r>
      <w:r w:rsidRPr="001B30C8">
        <w:rPr>
          <w:rFonts w:cs="Times New Roman"/>
          <w:noProof/>
          <w:lang w:val="fr-CA"/>
        </w:rPr>
        <w:t>encontre de cette peine et a porté à 26 mois la partie privative de liberté de celle</w:t>
      </w:r>
      <w:r w:rsidRPr="001B30C8">
        <w:rPr>
          <w:rFonts w:cs="Times New Roman"/>
          <w:noProof/>
          <w:lang w:val="fr-CA"/>
        </w:rPr>
        <w:noBreakHyphen/>
        <w:t>ci. Pour les motifs qui suivent, et soit dit en tout respect, j</w:t>
      </w:r>
      <w:r>
        <w:rPr>
          <w:rFonts w:cs="Times New Roman"/>
          <w:noProof/>
          <w:lang w:val="fr-CA"/>
        </w:rPr>
        <w:t>’</w:t>
      </w:r>
      <w:r w:rsidRPr="001B30C8">
        <w:rPr>
          <w:rFonts w:cs="Times New Roman"/>
          <w:noProof/>
          <w:lang w:val="fr-CA"/>
        </w:rPr>
        <w:t>estime que le juge de la peine et la Cour d</w:t>
      </w:r>
      <w:r>
        <w:rPr>
          <w:rFonts w:cs="Times New Roman"/>
          <w:noProof/>
          <w:lang w:val="fr-CA"/>
        </w:rPr>
        <w:t>’</w:t>
      </w:r>
      <w:r w:rsidRPr="001B30C8">
        <w:rPr>
          <w:rFonts w:cs="Times New Roman"/>
          <w:noProof/>
          <w:lang w:val="fr-CA"/>
        </w:rPr>
        <w:t>appel ont commis des erreurs de principe dans la détermination des peines qu</w:t>
      </w:r>
      <w:r>
        <w:rPr>
          <w:rFonts w:cs="Times New Roman"/>
          <w:noProof/>
          <w:lang w:val="fr-CA"/>
        </w:rPr>
        <w:t>’</w:t>
      </w:r>
      <w:r w:rsidRPr="001B30C8">
        <w:rPr>
          <w:rFonts w:cs="Times New Roman"/>
          <w:noProof/>
          <w:lang w:val="fr-CA"/>
        </w:rPr>
        <w:t>ils ont infligées et que ces erreurs ont mené à l</w:t>
      </w:r>
      <w:r>
        <w:rPr>
          <w:rFonts w:cs="Times New Roman"/>
          <w:noProof/>
          <w:lang w:val="fr-CA"/>
        </w:rPr>
        <w:t>’</w:t>
      </w:r>
      <w:r w:rsidRPr="001B30C8">
        <w:rPr>
          <w:rFonts w:cs="Times New Roman"/>
          <w:noProof/>
          <w:lang w:val="fr-CA"/>
        </w:rPr>
        <w:t>imposition de peines non indiquées.</w:t>
      </w:r>
      <w:r w:rsidRPr="001B30C8">
        <w:rPr>
          <w:rFonts w:cs="Times New Roman"/>
          <w:lang w:val="fr-CA"/>
        </w:rPr>
        <w:t xml:space="preserve"> En conséquence, la Cour peut effectuer sa propre analyse en vue de déterminer une peine indiquée. </w:t>
      </w:r>
    </w:p>
    <w:p w:rsidR="001A0BA2" w:rsidRPr="001B30C8" w:rsidRDefault="001A0BA2" w:rsidP="001A0BA2">
      <w:pPr>
        <w:pStyle w:val="ParaNoNdepar-AltN"/>
        <w:rPr>
          <w:rFonts w:cs="Times New Roman"/>
          <w:noProof/>
          <w:lang w:val="fr-CA"/>
        </w:rPr>
      </w:pPr>
      <w:r w:rsidRPr="001B30C8">
        <w:rPr>
          <w:rFonts w:cs="Times New Roman"/>
          <w:noProof/>
          <w:lang w:val="fr-CA"/>
        </w:rPr>
        <w:t>La Cour d</w:t>
      </w:r>
      <w:r>
        <w:rPr>
          <w:rFonts w:cs="Times New Roman"/>
          <w:noProof/>
          <w:lang w:val="fr-CA"/>
        </w:rPr>
        <w:t>’</w:t>
      </w:r>
      <w:r w:rsidRPr="001B30C8">
        <w:rPr>
          <w:rFonts w:cs="Times New Roman"/>
          <w:noProof/>
          <w:lang w:val="fr-CA"/>
        </w:rPr>
        <w:t>appel a commis une erreur en redéfinissant les circonstances de l</w:t>
      </w:r>
      <w:r>
        <w:rPr>
          <w:rFonts w:cs="Times New Roman"/>
          <w:noProof/>
          <w:lang w:val="fr-CA"/>
        </w:rPr>
        <w:t>’</w:t>
      </w:r>
      <w:r w:rsidRPr="001B30C8">
        <w:rPr>
          <w:rFonts w:cs="Times New Roman"/>
          <w:noProof/>
          <w:lang w:val="fr-CA"/>
        </w:rPr>
        <w:t>accident et en condamnant dans les faits M. Suter pour une infraction de conduite imprudente, ou peut</w:t>
      </w:r>
      <w:r w:rsidRPr="001B30C8">
        <w:rPr>
          <w:rFonts w:cs="Times New Roman"/>
          <w:noProof/>
          <w:lang w:val="fr-CA"/>
        </w:rPr>
        <w:noBreakHyphen/>
        <w:t>être de conduite dangereuse causant la mort, qui n</w:t>
      </w:r>
      <w:r>
        <w:rPr>
          <w:rFonts w:cs="Times New Roman"/>
          <w:noProof/>
          <w:lang w:val="fr-CA"/>
        </w:rPr>
        <w:t>’</w:t>
      </w:r>
      <w:r w:rsidRPr="001B30C8">
        <w:rPr>
          <w:rFonts w:cs="Times New Roman"/>
          <w:noProof/>
          <w:lang w:val="fr-CA"/>
        </w:rPr>
        <w:t>avait fait l</w:t>
      </w:r>
      <w:r>
        <w:rPr>
          <w:rFonts w:cs="Times New Roman"/>
          <w:noProof/>
          <w:lang w:val="fr-CA"/>
        </w:rPr>
        <w:t>’</w:t>
      </w:r>
      <w:r w:rsidRPr="001B30C8">
        <w:rPr>
          <w:rFonts w:cs="Times New Roman"/>
          <w:noProof/>
          <w:lang w:val="fr-CA"/>
        </w:rPr>
        <w:t>objet d</w:t>
      </w:r>
      <w:r>
        <w:rPr>
          <w:rFonts w:cs="Times New Roman"/>
          <w:noProof/>
          <w:lang w:val="fr-CA"/>
        </w:rPr>
        <w:t>’</w:t>
      </w:r>
      <w:r w:rsidRPr="001B30C8">
        <w:rPr>
          <w:rFonts w:cs="Times New Roman"/>
          <w:noProof/>
          <w:lang w:val="fr-CA"/>
        </w:rPr>
        <w:t xml:space="preserve">aucune accusation. Elle a également commis une erreur en concluant que les actes de </w:t>
      </w:r>
      <w:r w:rsidRPr="001B30C8">
        <w:rPr>
          <w:rFonts w:cs="Times New Roman"/>
          <w:noProof/>
          <w:lang w:val="fr-CA"/>
        </w:rPr>
        <w:lastRenderedPageBreak/>
        <w:t>violence justicière dont M. Suter a été victime ne pouvaient être pris en considération dans l</w:t>
      </w:r>
      <w:r>
        <w:rPr>
          <w:rFonts w:cs="Times New Roman"/>
          <w:noProof/>
          <w:lang w:val="fr-CA"/>
        </w:rPr>
        <w:t>’</w:t>
      </w:r>
      <w:r w:rsidRPr="001B30C8">
        <w:rPr>
          <w:rFonts w:cs="Times New Roman"/>
          <w:noProof/>
          <w:lang w:val="fr-CA"/>
        </w:rPr>
        <w:t>établissement de la peine appropriée. Le juge de la peine a fait erreur en statuant que M. Suter agissait sur le fondement d</w:t>
      </w:r>
      <w:r>
        <w:rPr>
          <w:rFonts w:cs="Times New Roman"/>
          <w:noProof/>
          <w:lang w:val="fr-CA"/>
        </w:rPr>
        <w:t>’</w:t>
      </w:r>
      <w:r w:rsidRPr="001B30C8">
        <w:rPr>
          <w:rFonts w:cs="Times New Roman"/>
          <w:noProof/>
          <w:lang w:val="fr-CA"/>
        </w:rPr>
        <w:t>une erreur de droit lorsqu</w:t>
      </w:r>
      <w:r>
        <w:rPr>
          <w:rFonts w:cs="Times New Roman"/>
          <w:noProof/>
          <w:lang w:val="fr-CA"/>
        </w:rPr>
        <w:t>’</w:t>
      </w:r>
      <w:r w:rsidRPr="001B30C8">
        <w:rPr>
          <w:rFonts w:cs="Times New Roman"/>
          <w:noProof/>
          <w:lang w:val="fr-CA"/>
        </w:rPr>
        <w:t>il a refusé de fournir à la police un échantillon d</w:t>
      </w:r>
      <w:r>
        <w:rPr>
          <w:rFonts w:cs="Times New Roman"/>
          <w:noProof/>
          <w:lang w:val="fr-CA"/>
        </w:rPr>
        <w:t>’</w:t>
      </w:r>
      <w:r w:rsidRPr="001B30C8">
        <w:rPr>
          <w:rFonts w:cs="Times New Roman"/>
          <w:noProof/>
          <w:lang w:val="fr-CA"/>
        </w:rPr>
        <w:t>haleine et que ce facteur changeait de manière fondamentale la culpabilité morale</w:t>
      </w:r>
      <w:r w:rsidRPr="001B30C8">
        <w:rPr>
          <w:rFonts w:cs="Times New Roman"/>
          <w:i/>
          <w:noProof/>
          <w:lang w:val="fr-CA"/>
        </w:rPr>
        <w:t xml:space="preserve"> </w:t>
      </w:r>
      <w:r w:rsidRPr="001B30C8">
        <w:rPr>
          <w:rFonts w:cs="Times New Roman"/>
          <w:noProof/>
          <w:lang w:val="fr-CA"/>
        </w:rPr>
        <w:t>de</w:t>
      </w:r>
      <w:r w:rsidRPr="001B30C8">
        <w:rPr>
          <w:rFonts w:cs="Times New Roman"/>
          <w:i/>
          <w:noProof/>
          <w:lang w:val="fr-CA"/>
        </w:rPr>
        <w:t xml:space="preserve"> </w:t>
      </w:r>
      <w:r w:rsidRPr="001B30C8">
        <w:rPr>
          <w:rFonts w:cs="Times New Roman"/>
          <w:noProof/>
          <w:lang w:val="fr-CA"/>
        </w:rPr>
        <w:t>M. Suter. Il a également commis une erreur en accordant une importance indue à l</w:t>
      </w:r>
      <w:r>
        <w:rPr>
          <w:rFonts w:cs="Times New Roman"/>
          <w:noProof/>
          <w:lang w:val="fr-CA"/>
        </w:rPr>
        <w:t>’</w:t>
      </w:r>
      <w:r w:rsidRPr="001B30C8">
        <w:rPr>
          <w:rFonts w:cs="Times New Roman"/>
          <w:noProof/>
          <w:lang w:val="fr-CA"/>
        </w:rPr>
        <w:t>absence d</w:t>
      </w:r>
      <w:r>
        <w:rPr>
          <w:rFonts w:cs="Times New Roman"/>
          <w:noProof/>
          <w:lang w:val="fr-CA"/>
        </w:rPr>
        <w:t>’</w:t>
      </w:r>
      <w:r w:rsidRPr="001B30C8">
        <w:rPr>
          <w:rFonts w:cs="Times New Roman"/>
          <w:noProof/>
          <w:lang w:val="fr-CA"/>
        </w:rPr>
        <w:t>affaiblissement des facultés de M. Suter en tant que facteur atténuant.</w:t>
      </w:r>
    </w:p>
    <w:p w:rsidR="001A0BA2" w:rsidRPr="001B30C8" w:rsidRDefault="001A0BA2" w:rsidP="001A0BA2">
      <w:pPr>
        <w:pStyle w:val="ParaNoNdepar-AltN"/>
        <w:rPr>
          <w:rFonts w:cs="Times New Roman"/>
          <w:noProof/>
          <w:lang w:val="fr-CA"/>
        </w:rPr>
      </w:pPr>
      <w:r w:rsidRPr="001B30C8">
        <w:rPr>
          <w:rFonts w:cs="Times New Roman"/>
          <w:noProof/>
          <w:lang w:val="fr-CA"/>
        </w:rPr>
        <w:t>Les erreurs commises par la Cour d</w:t>
      </w:r>
      <w:r>
        <w:rPr>
          <w:rFonts w:cs="Times New Roman"/>
          <w:noProof/>
          <w:lang w:val="fr-CA"/>
        </w:rPr>
        <w:t>’</w:t>
      </w:r>
      <w:r w:rsidRPr="001B30C8">
        <w:rPr>
          <w:rFonts w:cs="Times New Roman"/>
          <w:noProof/>
          <w:lang w:val="fr-CA"/>
        </w:rPr>
        <w:t>appel et le juge de la peine ont contribué de manière appréciable aux peines qu</w:t>
      </w:r>
      <w:r>
        <w:rPr>
          <w:rFonts w:cs="Times New Roman"/>
          <w:noProof/>
          <w:lang w:val="fr-CA"/>
        </w:rPr>
        <w:t>’</w:t>
      </w:r>
      <w:r w:rsidRPr="001B30C8">
        <w:rPr>
          <w:rFonts w:cs="Times New Roman"/>
          <w:noProof/>
          <w:lang w:val="fr-CA"/>
        </w:rPr>
        <w:t>ils ont respectivement infligées. Dans les circonstances, j</w:t>
      </w:r>
      <w:r>
        <w:rPr>
          <w:rFonts w:cs="Times New Roman"/>
          <w:noProof/>
          <w:lang w:val="fr-CA"/>
        </w:rPr>
        <w:t>’</w:t>
      </w:r>
      <w:r w:rsidRPr="001B30C8">
        <w:rPr>
          <w:rFonts w:cs="Times New Roman"/>
          <w:noProof/>
          <w:lang w:val="fr-CA"/>
        </w:rPr>
        <w:t>accueillerais le pourvoi de M. Suter en ce qui concerne la peine d</w:t>
      </w:r>
      <w:r>
        <w:rPr>
          <w:rFonts w:cs="Times New Roman"/>
          <w:noProof/>
          <w:lang w:val="fr-CA"/>
        </w:rPr>
        <w:t>’</w:t>
      </w:r>
      <w:r w:rsidRPr="001B30C8">
        <w:rPr>
          <w:rFonts w:cs="Times New Roman"/>
          <w:noProof/>
          <w:lang w:val="fr-CA"/>
        </w:rPr>
        <w:t>emprisonnement de 26 mois imposée par la Cour d</w:t>
      </w:r>
      <w:r>
        <w:rPr>
          <w:rFonts w:cs="Times New Roman"/>
          <w:noProof/>
          <w:lang w:val="fr-CA"/>
        </w:rPr>
        <w:t>’</w:t>
      </w:r>
      <w:r w:rsidRPr="001B30C8">
        <w:rPr>
          <w:rFonts w:cs="Times New Roman"/>
          <w:noProof/>
          <w:lang w:val="fr-CA"/>
        </w:rPr>
        <w:t>appel et, pour des raisons qui deviendront évidentes, je réduirais celle</w:t>
      </w:r>
      <w:r w:rsidRPr="001B30C8">
        <w:rPr>
          <w:rFonts w:cs="Times New Roman"/>
          <w:noProof/>
          <w:lang w:val="fr-CA"/>
        </w:rPr>
        <w:noBreakHyphen/>
        <w:t xml:space="preserve">ci à une peine correspondant à la période de détention déjà purgée </w:t>
      </w:r>
      <w:r w:rsidRPr="001B30C8">
        <w:rPr>
          <w:rFonts w:cs="Times New Roman"/>
          <w:lang w:val="fr-CA"/>
        </w:rPr>
        <w:t>— soit à juste un peu plus de 10 mois et demi d</w:t>
      </w:r>
      <w:r>
        <w:rPr>
          <w:rFonts w:cs="Times New Roman"/>
          <w:lang w:val="fr-CA"/>
        </w:rPr>
        <w:t>’</w:t>
      </w:r>
      <w:r w:rsidRPr="001B30C8">
        <w:rPr>
          <w:rFonts w:cs="Times New Roman"/>
          <w:lang w:val="fr-CA"/>
        </w:rPr>
        <w:t>emprisonnement</w:t>
      </w:r>
      <w:r w:rsidRPr="001B30C8">
        <w:rPr>
          <w:rFonts w:cs="Times New Roman"/>
          <w:noProof/>
          <w:lang w:val="fr-CA"/>
        </w:rPr>
        <w:t>. À l</w:t>
      </w:r>
      <w:r>
        <w:rPr>
          <w:rFonts w:cs="Times New Roman"/>
          <w:noProof/>
          <w:lang w:val="fr-CA"/>
        </w:rPr>
        <w:t>’</w:t>
      </w:r>
      <w:r w:rsidRPr="001B30C8">
        <w:rPr>
          <w:rFonts w:cs="Times New Roman"/>
          <w:noProof/>
          <w:lang w:val="fr-CA"/>
        </w:rPr>
        <w:t>instar de la Cour d</w:t>
      </w:r>
      <w:r>
        <w:rPr>
          <w:rFonts w:cs="Times New Roman"/>
          <w:noProof/>
          <w:lang w:val="fr-CA"/>
        </w:rPr>
        <w:t>’</w:t>
      </w:r>
      <w:r w:rsidRPr="001B30C8">
        <w:rPr>
          <w:rFonts w:cs="Times New Roman"/>
          <w:noProof/>
          <w:lang w:val="fr-CA"/>
        </w:rPr>
        <w:t>appel, je ne modifierais pas l</w:t>
      </w:r>
      <w:r>
        <w:rPr>
          <w:rFonts w:cs="Times New Roman"/>
          <w:noProof/>
          <w:lang w:val="fr-CA"/>
        </w:rPr>
        <w:t>’</w:t>
      </w:r>
      <w:r w:rsidRPr="001B30C8">
        <w:rPr>
          <w:rFonts w:cs="Times New Roman"/>
          <w:noProof/>
          <w:lang w:val="fr-CA"/>
        </w:rPr>
        <w:t>interdiction de conduire.</w:t>
      </w:r>
    </w:p>
    <w:p w:rsidR="001A0BA2" w:rsidRPr="001B30C8" w:rsidRDefault="001A0BA2" w:rsidP="001A0BA2">
      <w:pPr>
        <w:pStyle w:val="Title1LevelTitre1Niveau-AltL"/>
        <w:rPr>
          <w:rFonts w:cs="Times New Roman"/>
          <w:noProof/>
          <w:lang w:val="fr-CA"/>
        </w:rPr>
      </w:pPr>
      <w:r w:rsidRPr="001B30C8">
        <w:rPr>
          <w:rFonts w:cs="Times New Roman"/>
          <w:noProof/>
          <w:lang w:val="fr-CA"/>
        </w:rPr>
        <w:t>Faits</w:t>
      </w:r>
    </w:p>
    <w:p w:rsidR="001A0BA2" w:rsidRPr="001B30C8" w:rsidRDefault="001A0BA2" w:rsidP="001A0BA2">
      <w:pPr>
        <w:pStyle w:val="ParaNoNdepar-AltN"/>
        <w:rPr>
          <w:rFonts w:cs="Times New Roman"/>
          <w:noProof/>
          <w:lang w:val="fr-CA"/>
        </w:rPr>
      </w:pPr>
      <w:r w:rsidRPr="001B30C8">
        <w:rPr>
          <w:rFonts w:cs="Times New Roman"/>
          <w:noProof/>
          <w:lang w:val="fr-CA"/>
        </w:rPr>
        <w:t>Les faits de la présente affaire sont tirés de l</w:t>
      </w:r>
      <w:r>
        <w:rPr>
          <w:rFonts w:cs="Times New Roman"/>
          <w:noProof/>
          <w:lang w:val="fr-CA"/>
        </w:rPr>
        <w:t>’</w:t>
      </w:r>
      <w:r w:rsidRPr="001B30C8">
        <w:rPr>
          <w:rFonts w:cs="Times New Roman"/>
          <w:noProof/>
          <w:lang w:val="fr-CA"/>
        </w:rPr>
        <w:t>audience de détermination de la peine de M.</w:t>
      </w:r>
      <w:r w:rsidRPr="001B30C8">
        <w:rPr>
          <w:rFonts w:cs="Times New Roman"/>
          <w:lang w:val="fr-CA"/>
        </w:rPr>
        <w:t> Suter</w:t>
      </w:r>
      <w:r w:rsidRPr="001B30C8">
        <w:rPr>
          <w:rFonts w:cs="Times New Roman"/>
          <w:noProof/>
          <w:lang w:val="fr-CA"/>
        </w:rPr>
        <w:t>. Ce qui suit est un résumé des faits incontestés et des conclusions pertinentes auxquelles est arrivé le juge de la peine.</w:t>
      </w:r>
    </w:p>
    <w:p w:rsidR="001A0BA2" w:rsidRDefault="001A0BA2" w:rsidP="001A0BA2">
      <w:pPr>
        <w:pStyle w:val="ParaNoNdepar-AltN"/>
        <w:rPr>
          <w:rFonts w:cs="Times New Roman"/>
          <w:noProof/>
          <w:lang w:val="fr-CA"/>
        </w:rPr>
      </w:pPr>
      <w:r w:rsidRPr="001B30C8">
        <w:rPr>
          <w:rFonts w:cs="Times New Roman"/>
          <w:noProof/>
          <w:lang w:val="fr-CA"/>
        </w:rPr>
        <w:t>Le 19 mai 2013, M. Suter et sa femme sont allés souper dans un restaurant Chili</w:t>
      </w:r>
      <w:r>
        <w:rPr>
          <w:rFonts w:cs="Times New Roman"/>
          <w:noProof/>
          <w:lang w:val="fr-CA"/>
        </w:rPr>
        <w:t>’</w:t>
      </w:r>
      <w:r w:rsidRPr="001B30C8">
        <w:rPr>
          <w:rFonts w:cs="Times New Roman"/>
          <w:noProof/>
          <w:lang w:val="fr-CA"/>
        </w:rPr>
        <w:t>s. Ils ont tous deux pris une boisson alcoolisée. Lorsque leur commande est arrivée, le plat de M. Suter était froid. Celui</w:t>
      </w:r>
      <w:r w:rsidRPr="001B30C8">
        <w:rPr>
          <w:rFonts w:cs="Times New Roman"/>
          <w:noProof/>
          <w:lang w:val="fr-CA"/>
        </w:rPr>
        <w:noBreakHyphen/>
        <w:t>ci s</w:t>
      </w:r>
      <w:r>
        <w:rPr>
          <w:rFonts w:cs="Times New Roman"/>
          <w:noProof/>
          <w:lang w:val="fr-CA"/>
        </w:rPr>
        <w:t>’</w:t>
      </w:r>
      <w:r w:rsidRPr="001B30C8">
        <w:rPr>
          <w:rFonts w:cs="Times New Roman"/>
          <w:noProof/>
          <w:lang w:val="fr-CA"/>
        </w:rPr>
        <w:t>est fâché et a insisté pour aller manger ailleurs. M</w:t>
      </w:r>
      <w:r w:rsidRPr="001B30C8">
        <w:rPr>
          <w:rFonts w:cs="Times New Roman"/>
          <w:noProof/>
          <w:vertAlign w:val="superscript"/>
          <w:lang w:val="fr-CA"/>
        </w:rPr>
        <w:t>me</w:t>
      </w:r>
      <w:r w:rsidRPr="001B30C8">
        <w:rPr>
          <w:rFonts w:cs="Times New Roman"/>
          <w:noProof/>
          <w:lang w:val="fr-CA"/>
        </w:rPr>
        <w:t xml:space="preserve"> Suter était mécontente, mais a accepté de partir. Une dispute a ensuite </w:t>
      </w:r>
      <w:r w:rsidRPr="001B30C8">
        <w:rPr>
          <w:rFonts w:cs="Times New Roman"/>
          <w:noProof/>
          <w:lang w:val="fr-CA"/>
        </w:rPr>
        <w:lastRenderedPageBreak/>
        <w:t>éclaté alors que le couple se rendait en voiture dans un restaurant voisin du nom de Ric</w:t>
      </w:r>
      <w:r>
        <w:rPr>
          <w:rFonts w:cs="Times New Roman"/>
          <w:noProof/>
          <w:lang w:val="fr-CA"/>
        </w:rPr>
        <w:t>’</w:t>
      </w:r>
      <w:r w:rsidRPr="001B30C8">
        <w:rPr>
          <w:rFonts w:cs="Times New Roman"/>
          <w:noProof/>
          <w:lang w:val="fr-CA"/>
        </w:rPr>
        <w:t>s Grill. En arrivant à destination, M. Suter est entré dans un espace de stationnement adjacent à la terrasse du restaurant. Le véhicule s</w:t>
      </w:r>
      <w:r>
        <w:rPr>
          <w:rFonts w:cs="Times New Roman"/>
          <w:noProof/>
          <w:lang w:val="fr-CA"/>
        </w:rPr>
        <w:t>’</w:t>
      </w:r>
      <w:r w:rsidRPr="001B30C8">
        <w:rPr>
          <w:rFonts w:cs="Times New Roman"/>
          <w:noProof/>
          <w:lang w:val="fr-CA"/>
        </w:rPr>
        <w:t>est arrêté à quelques mètres de la cloison vitrée qui séparait la terrasse du trottoir; cependant, M. Suter n</w:t>
      </w:r>
      <w:r>
        <w:rPr>
          <w:rFonts w:cs="Times New Roman"/>
          <w:noProof/>
          <w:lang w:val="fr-CA"/>
        </w:rPr>
        <w:t>’</w:t>
      </w:r>
      <w:r w:rsidRPr="001B30C8">
        <w:rPr>
          <w:rFonts w:cs="Times New Roman"/>
          <w:noProof/>
          <w:lang w:val="fr-CA"/>
        </w:rPr>
        <w:t>a pas placé le levier de vitesses en position P (stationnement), car il s</w:t>
      </w:r>
      <w:r>
        <w:rPr>
          <w:rFonts w:cs="Times New Roman"/>
          <w:noProof/>
          <w:lang w:val="fr-CA"/>
        </w:rPr>
        <w:t>’</w:t>
      </w:r>
      <w:r w:rsidRPr="001B30C8">
        <w:rPr>
          <w:rFonts w:cs="Times New Roman"/>
          <w:noProof/>
          <w:lang w:val="fr-CA"/>
        </w:rPr>
        <w:t>est rendu compte qu</w:t>
      </w:r>
      <w:r>
        <w:rPr>
          <w:rFonts w:cs="Times New Roman"/>
          <w:noProof/>
          <w:lang w:val="fr-CA"/>
        </w:rPr>
        <w:t>’</w:t>
      </w:r>
      <w:r w:rsidRPr="001B30C8">
        <w:rPr>
          <w:rFonts w:cs="Times New Roman"/>
          <w:noProof/>
          <w:lang w:val="fr-CA"/>
        </w:rPr>
        <w:t>il se trouvait par erreur dans un espace « réservé aux détenteurs de permis ».</w:t>
      </w:r>
    </w:p>
    <w:p w:rsidR="001A0BA2" w:rsidRPr="001B30C8" w:rsidRDefault="001A0BA2" w:rsidP="001A0BA2">
      <w:pPr>
        <w:pStyle w:val="ParaNoNdepar-AltN"/>
        <w:rPr>
          <w:rFonts w:cs="Times New Roman"/>
          <w:noProof/>
          <w:lang w:val="fr-CA"/>
        </w:rPr>
      </w:pPr>
      <w:r w:rsidRPr="001B30C8">
        <w:rPr>
          <w:rFonts w:cs="Times New Roman"/>
          <w:noProof/>
          <w:lang w:val="fr-CA"/>
        </w:rPr>
        <w:t>Pendant que le véhicule était immobilisé dans cet espace, M</w:t>
      </w:r>
      <w:r w:rsidRPr="001B30C8">
        <w:rPr>
          <w:rFonts w:cs="Times New Roman"/>
          <w:noProof/>
          <w:vertAlign w:val="superscript"/>
          <w:lang w:val="fr-CA"/>
        </w:rPr>
        <w:t>me</w:t>
      </w:r>
      <w:r w:rsidRPr="001B30C8">
        <w:rPr>
          <w:rFonts w:cs="Times New Roman"/>
          <w:noProof/>
          <w:lang w:val="fr-CA"/>
        </w:rPr>
        <w:t> Suter s</w:t>
      </w:r>
      <w:r>
        <w:rPr>
          <w:rFonts w:cs="Times New Roman"/>
          <w:noProof/>
          <w:lang w:val="fr-CA"/>
        </w:rPr>
        <w:t>’</w:t>
      </w:r>
      <w:r w:rsidRPr="001B30C8">
        <w:rPr>
          <w:rFonts w:cs="Times New Roman"/>
          <w:noProof/>
          <w:lang w:val="fr-CA"/>
        </w:rPr>
        <w:t>est tournée vers son mari en s</w:t>
      </w:r>
      <w:r>
        <w:rPr>
          <w:rFonts w:cs="Times New Roman"/>
          <w:noProof/>
          <w:lang w:val="fr-CA"/>
        </w:rPr>
        <w:t>’</w:t>
      </w:r>
      <w:r w:rsidRPr="001B30C8">
        <w:rPr>
          <w:rFonts w:cs="Times New Roman"/>
          <w:noProof/>
          <w:lang w:val="fr-CA"/>
        </w:rPr>
        <w:t>écriant</w:t>
      </w:r>
      <w:r w:rsidRPr="001B30C8">
        <w:rPr>
          <w:rFonts w:cs="Times New Roman"/>
          <w:lang w:val="fr-CA"/>
        </w:rPr>
        <w:t xml:space="preserve"> : </w:t>
      </w:r>
      <w:r w:rsidRPr="001B30C8">
        <w:rPr>
          <w:rFonts w:cs="Times New Roman"/>
          <w:smallCaps/>
          <w:noProof/>
          <w:lang w:val="fr-CA"/>
        </w:rPr>
        <w:t>[traduction]</w:t>
      </w:r>
      <w:r w:rsidRPr="001B30C8">
        <w:rPr>
          <w:rFonts w:cs="Times New Roman"/>
          <w:noProof/>
          <w:lang w:val="fr-CA"/>
        </w:rPr>
        <w:t xml:space="preserve"> « Nous devrions peut</w:t>
      </w:r>
      <w:r w:rsidRPr="001B30C8">
        <w:rPr>
          <w:rFonts w:cs="Times New Roman"/>
          <w:noProof/>
          <w:lang w:val="fr-CA"/>
        </w:rPr>
        <w:noBreakHyphen/>
        <w:t>être divorcer ». À peu près au même moment, elle a constaté que le véhicule avançait lentement et elle a crié à son époux d</w:t>
      </w:r>
      <w:r>
        <w:rPr>
          <w:rFonts w:cs="Times New Roman"/>
          <w:noProof/>
          <w:lang w:val="fr-CA"/>
        </w:rPr>
        <w:t>’</w:t>
      </w:r>
      <w:r w:rsidRPr="001B30C8">
        <w:rPr>
          <w:rFonts w:cs="Times New Roman"/>
          <w:noProof/>
          <w:lang w:val="fr-CA"/>
        </w:rPr>
        <w:t>arrêter. Malheureusement, M. Suter avait retiré son pied de la pédale du frein et, au lieu de freiner, il a appuyé sur l</w:t>
      </w:r>
      <w:r>
        <w:rPr>
          <w:rFonts w:cs="Times New Roman"/>
          <w:noProof/>
          <w:lang w:val="fr-CA"/>
        </w:rPr>
        <w:t>’</w:t>
      </w:r>
      <w:r w:rsidRPr="001B30C8">
        <w:rPr>
          <w:rFonts w:cs="Times New Roman"/>
          <w:noProof/>
          <w:lang w:val="fr-CA"/>
        </w:rPr>
        <w:t>accélérateur. Le véhicule a foncé dans la cloison vitrée et, en quelques secondes, a percuté le mur du restaurant.</w:t>
      </w:r>
    </w:p>
    <w:p w:rsidR="001A0BA2" w:rsidRPr="001B30C8" w:rsidRDefault="001A0BA2" w:rsidP="001A0BA2">
      <w:pPr>
        <w:pStyle w:val="ParaNoNdepar-AltN"/>
        <w:rPr>
          <w:rFonts w:cs="Times New Roman"/>
          <w:noProof/>
          <w:lang w:val="fr-CA"/>
        </w:rPr>
      </w:pPr>
      <w:r w:rsidRPr="001B30C8">
        <w:rPr>
          <w:rFonts w:cs="Times New Roman"/>
          <w:noProof/>
          <w:lang w:val="fr-CA"/>
        </w:rPr>
        <w:t xml:space="preserve">George Mounsef, sa femme, Sage Morin, et leurs deux jeunes enfants, Geo et Quentin, étaient en train de souper sur la terrasse lorsque le véhicule de M. Suter est passé à travers la cloison vitrée. Ils ont été heurtés par le véhicule et, pendant </w:t>
      </w:r>
      <w:r w:rsidR="007D51DC">
        <w:rPr>
          <w:rFonts w:cs="Times New Roman"/>
          <w:noProof/>
          <w:lang w:val="fr-CA"/>
        </w:rPr>
        <w:t>environ 30 secondes, Geo Mounsef</w:t>
      </w:r>
      <w:r w:rsidRPr="001B30C8">
        <w:rPr>
          <w:rFonts w:cs="Times New Roman"/>
          <w:noProof/>
          <w:lang w:val="fr-CA"/>
        </w:rPr>
        <w:t xml:space="preserve"> est resté cloué contre le mur du restaurant. Parmi les hurlements qui ont suivi, M. Suter a entendu quelqu</w:t>
      </w:r>
      <w:r>
        <w:rPr>
          <w:rFonts w:cs="Times New Roman"/>
          <w:noProof/>
          <w:lang w:val="fr-CA"/>
        </w:rPr>
        <w:t>’</w:t>
      </w:r>
      <w:r w:rsidRPr="001B30C8">
        <w:rPr>
          <w:rFonts w:cs="Times New Roman"/>
          <w:noProof/>
          <w:lang w:val="fr-CA"/>
        </w:rPr>
        <w:t>un lui dire qu</w:t>
      </w:r>
      <w:r>
        <w:rPr>
          <w:rFonts w:cs="Times New Roman"/>
          <w:noProof/>
          <w:lang w:val="fr-CA"/>
        </w:rPr>
        <w:t>’</w:t>
      </w:r>
      <w:r w:rsidRPr="001B30C8">
        <w:rPr>
          <w:rFonts w:cs="Times New Roman"/>
          <w:noProof/>
          <w:lang w:val="fr-CA"/>
        </w:rPr>
        <w:t>un enfant était sous le véhicule et il a reculé lentement. Il a alors été arraché de son siège, projeté au sol et battu par des témoins présents sur les lieux. À l</w:t>
      </w:r>
      <w:r>
        <w:rPr>
          <w:rFonts w:cs="Times New Roman"/>
          <w:noProof/>
          <w:lang w:val="fr-CA"/>
        </w:rPr>
        <w:t>’</w:t>
      </w:r>
      <w:r w:rsidRPr="001B30C8">
        <w:rPr>
          <w:rFonts w:cs="Times New Roman"/>
          <w:noProof/>
          <w:lang w:val="fr-CA"/>
        </w:rPr>
        <w:t>arrivée des policiers, M. Suter était couché en position fœtale sur le pavé du stationnement. Il a été arrêté, a été conduit au poste de police et on lui a ordonné de fournir un échantillon d</w:t>
      </w:r>
      <w:r>
        <w:rPr>
          <w:rFonts w:cs="Times New Roman"/>
          <w:noProof/>
          <w:lang w:val="fr-CA"/>
        </w:rPr>
        <w:t>’</w:t>
      </w:r>
      <w:r w:rsidRPr="001B30C8">
        <w:rPr>
          <w:rFonts w:cs="Times New Roman"/>
          <w:noProof/>
          <w:lang w:val="fr-CA"/>
        </w:rPr>
        <w:t>haleine.</w:t>
      </w:r>
    </w:p>
    <w:p w:rsidR="001A0BA2" w:rsidRPr="001B30C8" w:rsidRDefault="001A0BA2" w:rsidP="001A0BA2">
      <w:pPr>
        <w:pStyle w:val="ParaNoNdepar-AltN"/>
        <w:rPr>
          <w:rFonts w:cs="Times New Roman"/>
          <w:noProof/>
          <w:lang w:val="fr-CA"/>
        </w:rPr>
      </w:pPr>
      <w:r w:rsidRPr="001B30C8">
        <w:rPr>
          <w:rFonts w:cs="Times New Roman"/>
          <w:noProof/>
          <w:lang w:val="fr-CA"/>
        </w:rPr>
        <w:lastRenderedPageBreak/>
        <w:t>Au poste de police, M. Suter a essayé sans succès de joindre par téléphone un avocat qu</w:t>
      </w:r>
      <w:r>
        <w:rPr>
          <w:rFonts w:cs="Times New Roman"/>
          <w:noProof/>
          <w:lang w:val="fr-CA"/>
        </w:rPr>
        <w:t>’</w:t>
      </w:r>
      <w:r w:rsidRPr="001B30C8">
        <w:rPr>
          <w:rFonts w:cs="Times New Roman"/>
          <w:noProof/>
          <w:lang w:val="fr-CA"/>
        </w:rPr>
        <w:t>il connaissait. Les policiers lui ont suggéré d</w:t>
      </w:r>
      <w:r>
        <w:rPr>
          <w:rFonts w:cs="Times New Roman"/>
          <w:noProof/>
          <w:lang w:val="fr-CA"/>
        </w:rPr>
        <w:t>’</w:t>
      </w:r>
      <w:r w:rsidRPr="001B30C8">
        <w:rPr>
          <w:rFonts w:cs="Times New Roman"/>
          <w:noProof/>
          <w:lang w:val="fr-CA"/>
        </w:rPr>
        <w:t>appeler un avocat qui acceptait des mandats de l</w:t>
      </w:r>
      <w:r>
        <w:rPr>
          <w:rFonts w:cs="Times New Roman"/>
          <w:noProof/>
          <w:lang w:val="fr-CA"/>
        </w:rPr>
        <w:t>’</w:t>
      </w:r>
      <w:r w:rsidRPr="001B30C8">
        <w:rPr>
          <w:rFonts w:cs="Times New Roman"/>
          <w:noProof/>
          <w:lang w:val="fr-CA"/>
        </w:rPr>
        <w:t xml:space="preserve">aide juridique </w:t>
      </w:r>
      <w:r w:rsidRPr="001B30C8">
        <w:rPr>
          <w:rFonts w:cs="Times New Roman"/>
          <w:lang w:val="fr-CA"/>
        </w:rPr>
        <w:t>(également connu sous le nom d</w:t>
      </w:r>
      <w:r>
        <w:rPr>
          <w:rFonts w:cs="Times New Roman"/>
          <w:lang w:val="fr-CA"/>
        </w:rPr>
        <w:t>’</w:t>
      </w:r>
      <w:r w:rsidRPr="001B30C8">
        <w:rPr>
          <w:rFonts w:cs="Times New Roman"/>
          <w:lang w:val="fr-CA"/>
        </w:rPr>
        <w:t xml:space="preserve">« avocat du genre visé dans </w:t>
      </w:r>
      <w:r w:rsidRPr="001B30C8">
        <w:rPr>
          <w:rFonts w:cs="Times New Roman"/>
          <w:i/>
          <w:lang w:val="fr-CA"/>
        </w:rPr>
        <w:t>Brydges</w:t>
      </w:r>
      <w:r w:rsidRPr="001B30C8">
        <w:rPr>
          <w:rFonts w:cs="Times New Roman"/>
          <w:lang w:val="fr-CA"/>
        </w:rPr>
        <w:t xml:space="preserve"> » : voir </w:t>
      </w:r>
      <w:r w:rsidRPr="001B30C8">
        <w:rPr>
          <w:rFonts w:cs="Times New Roman"/>
          <w:i/>
          <w:lang w:val="fr-CA"/>
        </w:rPr>
        <w:t>R. c. Brydges</w:t>
      </w:r>
      <w:r w:rsidRPr="001B30C8">
        <w:rPr>
          <w:rFonts w:cs="Times New Roman"/>
          <w:lang w:val="fr-CA"/>
        </w:rPr>
        <w:t>, [1990] 1 R.C.S. 190)</w:t>
      </w:r>
      <w:r w:rsidRPr="001B30C8">
        <w:rPr>
          <w:rFonts w:cs="Times New Roman"/>
          <w:noProof/>
          <w:lang w:val="fr-CA"/>
        </w:rPr>
        <w:t>, ce qu</w:t>
      </w:r>
      <w:r>
        <w:rPr>
          <w:rFonts w:cs="Times New Roman"/>
          <w:noProof/>
          <w:lang w:val="fr-CA"/>
        </w:rPr>
        <w:t>’</w:t>
      </w:r>
      <w:r w:rsidRPr="001B30C8">
        <w:rPr>
          <w:rFonts w:cs="Times New Roman"/>
          <w:noProof/>
          <w:lang w:val="fr-CA"/>
        </w:rPr>
        <w:t>il a fait. Pendant la conversation, l</w:t>
      </w:r>
      <w:r>
        <w:rPr>
          <w:rFonts w:cs="Times New Roman"/>
          <w:noProof/>
          <w:lang w:val="fr-CA"/>
        </w:rPr>
        <w:t>’</w:t>
      </w:r>
      <w:r w:rsidRPr="001B30C8">
        <w:rPr>
          <w:rFonts w:cs="Times New Roman"/>
          <w:noProof/>
          <w:lang w:val="fr-CA"/>
        </w:rPr>
        <w:t xml:space="preserve">avocat du genre visé dans </w:t>
      </w:r>
      <w:r w:rsidRPr="001B30C8">
        <w:rPr>
          <w:rFonts w:cs="Times New Roman"/>
          <w:i/>
          <w:noProof/>
          <w:lang w:val="fr-CA"/>
        </w:rPr>
        <w:t>Brydges</w:t>
      </w:r>
      <w:r w:rsidRPr="001B30C8">
        <w:rPr>
          <w:rFonts w:cs="Times New Roman"/>
          <w:noProof/>
          <w:lang w:val="fr-CA"/>
        </w:rPr>
        <w:t xml:space="preserve"> a employé un jargon juridique qui a semé la confusion dans l</w:t>
      </w:r>
      <w:r>
        <w:rPr>
          <w:rFonts w:cs="Times New Roman"/>
          <w:noProof/>
          <w:lang w:val="fr-CA"/>
        </w:rPr>
        <w:t>’</w:t>
      </w:r>
      <w:r w:rsidRPr="001B30C8">
        <w:rPr>
          <w:rFonts w:cs="Times New Roman"/>
          <w:noProof/>
          <w:lang w:val="fr-CA"/>
        </w:rPr>
        <w:t>esprit de M. Suter. Il ne lui a jamais demandé quelle quantité d</w:t>
      </w:r>
      <w:r>
        <w:rPr>
          <w:rFonts w:cs="Times New Roman"/>
          <w:noProof/>
          <w:lang w:val="fr-CA"/>
        </w:rPr>
        <w:t>’</w:t>
      </w:r>
      <w:r w:rsidRPr="001B30C8">
        <w:rPr>
          <w:rFonts w:cs="Times New Roman"/>
          <w:noProof/>
          <w:lang w:val="fr-CA"/>
        </w:rPr>
        <w:t>alcool il avait consommée ce jour</w:t>
      </w:r>
      <w:r w:rsidRPr="001B30C8">
        <w:rPr>
          <w:rFonts w:cs="Times New Roman"/>
          <w:noProof/>
          <w:lang w:val="fr-CA"/>
        </w:rPr>
        <w:noBreakHyphen/>
        <w:t>là. En fin de compte, il lui a dit expressément de ne pas fournir un échantillon d</w:t>
      </w:r>
      <w:r>
        <w:rPr>
          <w:rFonts w:cs="Times New Roman"/>
          <w:noProof/>
          <w:lang w:val="fr-CA"/>
        </w:rPr>
        <w:t>’</w:t>
      </w:r>
      <w:r w:rsidRPr="001B30C8">
        <w:rPr>
          <w:rFonts w:cs="Times New Roman"/>
          <w:noProof/>
          <w:lang w:val="fr-CA"/>
        </w:rPr>
        <w:t>haleine à la police. Par conséquent, quand on lui a demandé d</w:t>
      </w:r>
      <w:r>
        <w:rPr>
          <w:rFonts w:cs="Times New Roman"/>
          <w:noProof/>
          <w:lang w:val="fr-CA"/>
        </w:rPr>
        <w:t>’</w:t>
      </w:r>
      <w:r w:rsidRPr="001B30C8">
        <w:rPr>
          <w:rFonts w:cs="Times New Roman"/>
          <w:noProof/>
          <w:lang w:val="fr-CA"/>
        </w:rPr>
        <w:t>en fournir un, M. Suter a refusé, bien que le policier l</w:t>
      </w:r>
      <w:r>
        <w:rPr>
          <w:rFonts w:cs="Times New Roman"/>
          <w:noProof/>
          <w:lang w:val="fr-CA"/>
        </w:rPr>
        <w:t>’</w:t>
      </w:r>
      <w:r w:rsidRPr="001B30C8">
        <w:rPr>
          <w:rFonts w:cs="Times New Roman"/>
          <w:noProof/>
          <w:lang w:val="fr-CA"/>
        </w:rPr>
        <w:t>ait informé qu</w:t>
      </w:r>
      <w:r>
        <w:rPr>
          <w:rFonts w:cs="Times New Roman"/>
          <w:noProof/>
          <w:lang w:val="fr-CA"/>
        </w:rPr>
        <w:t>’</w:t>
      </w:r>
      <w:r w:rsidRPr="001B30C8">
        <w:rPr>
          <w:rFonts w:cs="Times New Roman"/>
          <w:noProof/>
          <w:lang w:val="fr-CA"/>
        </w:rPr>
        <w:t>un refus de le faire constituait une infraction.</w:t>
      </w:r>
    </w:p>
    <w:p w:rsidR="001A0BA2" w:rsidRPr="001B30C8" w:rsidRDefault="001A0BA2" w:rsidP="001A0BA2">
      <w:pPr>
        <w:pStyle w:val="ParaNoNdepar-AltN"/>
        <w:rPr>
          <w:rFonts w:cs="Times New Roman"/>
          <w:noProof/>
          <w:lang w:val="fr-CA"/>
        </w:rPr>
      </w:pPr>
      <w:r w:rsidRPr="001B30C8">
        <w:rPr>
          <w:rFonts w:cs="Times New Roman"/>
          <w:noProof/>
          <w:lang w:val="fr-CA"/>
        </w:rPr>
        <w:t>Monsieur Suter a été accusé de trois infractions : refus de fournir un échantillon d</w:t>
      </w:r>
      <w:r>
        <w:rPr>
          <w:rFonts w:cs="Times New Roman"/>
          <w:noProof/>
          <w:lang w:val="fr-CA"/>
        </w:rPr>
        <w:t>’</w:t>
      </w:r>
      <w:r w:rsidRPr="001B30C8">
        <w:rPr>
          <w:rFonts w:cs="Times New Roman"/>
          <w:noProof/>
          <w:lang w:val="fr-CA"/>
        </w:rPr>
        <w:t xml:space="preserve">haleine après avoir causé un accident ayant occasionné la mort (par. 255(3.2) du </w:t>
      </w:r>
      <w:r w:rsidRPr="001B30C8">
        <w:rPr>
          <w:rFonts w:cs="Times New Roman"/>
          <w:i/>
          <w:noProof/>
          <w:lang w:val="fr-CA"/>
        </w:rPr>
        <w:t>Code criminel</w:t>
      </w:r>
      <w:r w:rsidRPr="001B30C8">
        <w:rPr>
          <w:rFonts w:cs="Times New Roman"/>
          <w:noProof/>
          <w:lang w:val="fr-CA"/>
        </w:rPr>
        <w:t xml:space="preserve">), conduite avec capacités affaiblies causant la mort (par. 255(3) du </w:t>
      </w:r>
      <w:r w:rsidRPr="001B30C8">
        <w:rPr>
          <w:rFonts w:cs="Times New Roman"/>
          <w:i/>
          <w:noProof/>
          <w:lang w:val="fr-CA"/>
        </w:rPr>
        <w:t>Code criminel</w:t>
      </w:r>
      <w:r w:rsidRPr="001B30C8">
        <w:rPr>
          <w:rFonts w:cs="Times New Roman"/>
          <w:noProof/>
          <w:lang w:val="fr-CA"/>
        </w:rPr>
        <w:t xml:space="preserve">) et conduite avec capacités affaiblies causant des lésions corporelles (par. 255(2) du </w:t>
      </w:r>
      <w:r w:rsidRPr="001B30C8">
        <w:rPr>
          <w:rFonts w:cs="Times New Roman"/>
          <w:i/>
          <w:noProof/>
          <w:lang w:val="fr-CA"/>
        </w:rPr>
        <w:t>Code criminel</w:t>
      </w:r>
      <w:r w:rsidRPr="001B30C8">
        <w:rPr>
          <w:rFonts w:cs="Times New Roman"/>
          <w:noProof/>
          <w:lang w:val="fr-CA"/>
        </w:rPr>
        <w:t>).</w:t>
      </w:r>
    </w:p>
    <w:p w:rsidR="001A0BA2" w:rsidRPr="001B30C8" w:rsidRDefault="001A0BA2" w:rsidP="001A0BA2">
      <w:pPr>
        <w:pStyle w:val="ParaNoNdepar-AltN"/>
        <w:rPr>
          <w:rFonts w:cs="Times New Roman"/>
          <w:noProof/>
          <w:lang w:val="fr-CA"/>
        </w:rPr>
      </w:pPr>
      <w:r w:rsidRPr="001B30C8">
        <w:rPr>
          <w:rFonts w:cs="Times New Roman"/>
          <w:noProof/>
          <w:lang w:val="fr-CA"/>
        </w:rPr>
        <w:t>Quelque temps après, M. Suter a été kidnappé par des justiciers. Trois hommes la tête couverte d</w:t>
      </w:r>
      <w:r>
        <w:rPr>
          <w:rFonts w:cs="Times New Roman"/>
          <w:noProof/>
          <w:lang w:val="fr-CA"/>
        </w:rPr>
        <w:t>’</w:t>
      </w:r>
      <w:r w:rsidRPr="001B30C8">
        <w:rPr>
          <w:rFonts w:cs="Times New Roman"/>
          <w:noProof/>
          <w:lang w:val="fr-CA"/>
        </w:rPr>
        <w:t>un capuchon l</w:t>
      </w:r>
      <w:r>
        <w:rPr>
          <w:rFonts w:cs="Times New Roman"/>
          <w:noProof/>
          <w:lang w:val="fr-CA"/>
        </w:rPr>
        <w:t>’</w:t>
      </w:r>
      <w:r w:rsidRPr="001B30C8">
        <w:rPr>
          <w:rFonts w:cs="Times New Roman"/>
          <w:noProof/>
          <w:lang w:val="fr-CA"/>
        </w:rPr>
        <w:t>ont enlevé de chez lui en pleine nuit, l</w:t>
      </w:r>
      <w:r>
        <w:rPr>
          <w:rFonts w:cs="Times New Roman"/>
          <w:noProof/>
          <w:lang w:val="fr-CA"/>
        </w:rPr>
        <w:t>’</w:t>
      </w:r>
      <w:r w:rsidRPr="001B30C8">
        <w:rPr>
          <w:rFonts w:cs="Times New Roman"/>
          <w:noProof/>
          <w:lang w:val="fr-CA"/>
        </w:rPr>
        <w:t>ont menotté et lui ont mis un sac de toile sur la tête. Ses agresseurs l</w:t>
      </w:r>
      <w:r>
        <w:rPr>
          <w:rFonts w:cs="Times New Roman"/>
          <w:noProof/>
          <w:lang w:val="fr-CA"/>
        </w:rPr>
        <w:t>’</w:t>
      </w:r>
      <w:r w:rsidRPr="001B30C8">
        <w:rPr>
          <w:rFonts w:cs="Times New Roman"/>
          <w:noProof/>
          <w:lang w:val="fr-CA"/>
        </w:rPr>
        <w:t>ont ensuite emmené en voiture dans un lieu isolé, lui ont coupé un pouce avec un sécateur et l</w:t>
      </w:r>
      <w:r>
        <w:rPr>
          <w:rFonts w:cs="Times New Roman"/>
          <w:noProof/>
          <w:lang w:val="fr-CA"/>
        </w:rPr>
        <w:t>’</w:t>
      </w:r>
      <w:r w:rsidRPr="001B30C8">
        <w:rPr>
          <w:rFonts w:cs="Times New Roman"/>
          <w:noProof/>
          <w:lang w:val="fr-CA"/>
        </w:rPr>
        <w:t>ont abandonné inconscient dans la neige. M</w:t>
      </w:r>
      <w:r w:rsidRPr="001B30C8">
        <w:rPr>
          <w:rFonts w:cs="Times New Roman"/>
          <w:noProof/>
          <w:vertAlign w:val="superscript"/>
          <w:lang w:val="fr-CA"/>
        </w:rPr>
        <w:t>me</w:t>
      </w:r>
      <w:r w:rsidRPr="001B30C8">
        <w:rPr>
          <w:rFonts w:cs="Times New Roman"/>
          <w:noProof/>
          <w:lang w:val="fr-CA"/>
        </w:rPr>
        <w:t> Suter a été elle aussi attaquée par des justiciers dans le stationnement d</w:t>
      </w:r>
      <w:r>
        <w:rPr>
          <w:rFonts w:cs="Times New Roman"/>
          <w:noProof/>
          <w:lang w:val="fr-CA"/>
        </w:rPr>
        <w:t>’</w:t>
      </w:r>
      <w:r w:rsidRPr="001B30C8">
        <w:rPr>
          <w:rFonts w:cs="Times New Roman"/>
          <w:noProof/>
          <w:lang w:val="fr-CA"/>
        </w:rPr>
        <w:t>un centre commercial. Les deux incidents sont liés au rôle que M. et M</w:t>
      </w:r>
      <w:r w:rsidRPr="001B30C8">
        <w:rPr>
          <w:rFonts w:cs="Times New Roman"/>
          <w:noProof/>
          <w:vertAlign w:val="superscript"/>
          <w:lang w:val="fr-CA"/>
        </w:rPr>
        <w:t>me </w:t>
      </w:r>
      <w:r w:rsidRPr="001B30C8">
        <w:rPr>
          <w:rFonts w:cs="Times New Roman"/>
          <w:noProof/>
          <w:lang w:val="fr-CA"/>
        </w:rPr>
        <w:t>Suter ont joué dans le décès de Geo Mounsef.</w:t>
      </w:r>
    </w:p>
    <w:p w:rsidR="001A0BA2" w:rsidRPr="001B30C8" w:rsidRDefault="001A0BA2" w:rsidP="001A0BA2">
      <w:pPr>
        <w:pStyle w:val="ParaNoNdepar-AltN"/>
        <w:rPr>
          <w:rFonts w:cs="Times New Roman"/>
          <w:noProof/>
          <w:lang w:val="fr-CA"/>
        </w:rPr>
      </w:pPr>
      <w:r w:rsidRPr="001B30C8">
        <w:rPr>
          <w:rFonts w:cs="Times New Roman"/>
          <w:noProof/>
          <w:lang w:val="fr-CA"/>
        </w:rPr>
        <w:lastRenderedPageBreak/>
        <w:t>Le 5 juin 2015, M. Suter a enregistré un plaidoyer de culpabilité à l</w:t>
      </w:r>
      <w:r>
        <w:rPr>
          <w:rFonts w:cs="Times New Roman"/>
          <w:noProof/>
          <w:lang w:val="fr-CA"/>
        </w:rPr>
        <w:t>’</w:t>
      </w:r>
      <w:r w:rsidRPr="001B30C8">
        <w:rPr>
          <w:rFonts w:cs="Times New Roman"/>
          <w:noProof/>
          <w:lang w:val="fr-CA"/>
        </w:rPr>
        <w:t>égard de l</w:t>
      </w:r>
      <w:r>
        <w:rPr>
          <w:rFonts w:cs="Times New Roman"/>
          <w:noProof/>
          <w:lang w:val="fr-CA"/>
        </w:rPr>
        <w:t>’</w:t>
      </w:r>
      <w:r w:rsidRPr="001B30C8">
        <w:rPr>
          <w:rFonts w:cs="Times New Roman"/>
          <w:noProof/>
          <w:lang w:val="fr-CA"/>
        </w:rPr>
        <w:t>infraction prévue au par. 255(3.2). Comme nous l</w:t>
      </w:r>
      <w:r>
        <w:rPr>
          <w:rFonts w:cs="Times New Roman"/>
          <w:noProof/>
          <w:lang w:val="fr-CA"/>
        </w:rPr>
        <w:t>’</w:t>
      </w:r>
      <w:r w:rsidRPr="001B30C8">
        <w:rPr>
          <w:rFonts w:cs="Times New Roman"/>
          <w:noProof/>
          <w:lang w:val="fr-CA"/>
        </w:rPr>
        <w:t>avons vu, la Couronne a retiré les accusations de conduite avec capacités affaiblies.</w:t>
      </w:r>
    </w:p>
    <w:p w:rsidR="001A0BA2" w:rsidRPr="001B30C8" w:rsidRDefault="001A0BA2" w:rsidP="001A0BA2">
      <w:pPr>
        <w:pStyle w:val="Title1LevelTitre1Niveau-AltL"/>
        <w:rPr>
          <w:rFonts w:cs="Times New Roman"/>
          <w:noProof/>
          <w:lang w:val="fr-CA"/>
        </w:rPr>
      </w:pPr>
      <w:r w:rsidRPr="001B30C8">
        <w:rPr>
          <w:rFonts w:cs="Times New Roman"/>
          <w:noProof/>
          <w:lang w:val="fr-CA"/>
        </w:rPr>
        <w:t>Décisions des juridictions inférieures</w:t>
      </w:r>
    </w:p>
    <w:p w:rsidR="001A0BA2" w:rsidRPr="001B30C8" w:rsidRDefault="001A0BA2" w:rsidP="001A0BA2">
      <w:pPr>
        <w:pStyle w:val="Title2LevelTitre2Niveau"/>
        <w:rPr>
          <w:rFonts w:cs="Times New Roman"/>
          <w:noProof/>
          <w:lang w:val="fr-CA"/>
        </w:rPr>
      </w:pPr>
      <w:r w:rsidRPr="001B30C8">
        <w:rPr>
          <w:rFonts w:cs="Times New Roman"/>
          <w:noProof/>
          <w:lang w:val="fr-CA"/>
        </w:rPr>
        <w:t>La décision relative à la peine (le juge en chef adjoint Anderson), 2015 ABPC 269, 94 M.V.R. (6th) 91</w:t>
      </w:r>
    </w:p>
    <w:p w:rsidR="001A0BA2" w:rsidRPr="001B30C8" w:rsidRDefault="001A0BA2" w:rsidP="001A0BA2">
      <w:pPr>
        <w:pStyle w:val="ParaNoNdepar-AltN"/>
        <w:rPr>
          <w:rFonts w:cs="Times New Roman"/>
          <w:noProof/>
          <w:lang w:val="fr-CA"/>
        </w:rPr>
      </w:pPr>
      <w:r w:rsidRPr="001B30C8">
        <w:rPr>
          <w:rFonts w:cs="Times New Roman"/>
          <w:noProof/>
          <w:lang w:val="fr-CA"/>
        </w:rPr>
        <w:t>À l</w:t>
      </w:r>
      <w:r>
        <w:rPr>
          <w:rFonts w:cs="Times New Roman"/>
          <w:noProof/>
          <w:lang w:val="fr-CA"/>
        </w:rPr>
        <w:t>’</w:t>
      </w:r>
      <w:r w:rsidRPr="001B30C8">
        <w:rPr>
          <w:rFonts w:cs="Times New Roman"/>
          <w:noProof/>
          <w:lang w:val="fr-CA"/>
        </w:rPr>
        <w:t>audience de détermination de la peine, l</w:t>
      </w:r>
      <w:r>
        <w:rPr>
          <w:rFonts w:cs="Times New Roman"/>
          <w:noProof/>
          <w:lang w:val="fr-CA"/>
        </w:rPr>
        <w:t>’</w:t>
      </w:r>
      <w:r w:rsidRPr="001B30C8">
        <w:rPr>
          <w:rFonts w:cs="Times New Roman"/>
          <w:noProof/>
          <w:lang w:val="fr-CA"/>
        </w:rPr>
        <w:t>avocat de la défense a sollicité une peine autre que l</w:t>
      </w:r>
      <w:r>
        <w:rPr>
          <w:rFonts w:cs="Times New Roman"/>
          <w:noProof/>
          <w:lang w:val="fr-CA"/>
        </w:rPr>
        <w:t>’</w:t>
      </w:r>
      <w:r w:rsidRPr="001B30C8">
        <w:rPr>
          <w:rFonts w:cs="Times New Roman"/>
          <w:noProof/>
          <w:lang w:val="fr-CA"/>
        </w:rPr>
        <w:t>incarcération — soit une amende, soit une amende assortie d</w:t>
      </w:r>
      <w:r>
        <w:rPr>
          <w:rFonts w:cs="Times New Roman"/>
          <w:noProof/>
          <w:lang w:val="fr-CA"/>
        </w:rPr>
        <w:t>’</w:t>
      </w:r>
      <w:r w:rsidRPr="001B30C8">
        <w:rPr>
          <w:rFonts w:cs="Times New Roman"/>
          <w:noProof/>
          <w:lang w:val="fr-CA"/>
        </w:rPr>
        <w:t>une ordonnance de probation. En revanche, l</w:t>
      </w:r>
      <w:r>
        <w:rPr>
          <w:rFonts w:cs="Times New Roman"/>
          <w:noProof/>
          <w:lang w:val="fr-CA"/>
        </w:rPr>
        <w:t>’</w:t>
      </w:r>
      <w:r w:rsidRPr="001B30C8">
        <w:rPr>
          <w:rFonts w:cs="Times New Roman"/>
          <w:noProof/>
          <w:lang w:val="fr-CA"/>
        </w:rPr>
        <w:t>avocat de la Couronne a demandé une peine d</w:t>
      </w:r>
      <w:r>
        <w:rPr>
          <w:rFonts w:cs="Times New Roman"/>
          <w:noProof/>
          <w:lang w:val="fr-CA"/>
        </w:rPr>
        <w:t>’</w:t>
      </w:r>
      <w:r w:rsidRPr="001B30C8">
        <w:rPr>
          <w:rFonts w:cs="Times New Roman"/>
          <w:noProof/>
          <w:lang w:val="fr-CA"/>
        </w:rPr>
        <w:t>emprisonnement de trois ans. Rappelons que le juge de la peine a imposé une peine de 4 mois d</w:t>
      </w:r>
      <w:r>
        <w:rPr>
          <w:rFonts w:cs="Times New Roman"/>
          <w:noProof/>
          <w:lang w:val="fr-CA"/>
        </w:rPr>
        <w:t>’</w:t>
      </w:r>
      <w:r w:rsidRPr="001B30C8">
        <w:rPr>
          <w:rFonts w:cs="Times New Roman"/>
          <w:noProof/>
          <w:lang w:val="fr-CA"/>
        </w:rPr>
        <w:t>emprisonnement assortie d</w:t>
      </w:r>
      <w:r>
        <w:rPr>
          <w:rFonts w:cs="Times New Roman"/>
          <w:noProof/>
          <w:lang w:val="fr-CA"/>
        </w:rPr>
        <w:t>’</w:t>
      </w:r>
      <w:r w:rsidRPr="001B30C8">
        <w:rPr>
          <w:rFonts w:cs="Times New Roman"/>
          <w:noProof/>
          <w:lang w:val="fr-CA"/>
        </w:rPr>
        <w:t>une interdiction de conduire de 30 mois.</w:t>
      </w:r>
    </w:p>
    <w:p w:rsidR="001A0BA2" w:rsidRPr="001B30C8" w:rsidRDefault="001A0BA2" w:rsidP="001A0BA2">
      <w:pPr>
        <w:pStyle w:val="ParaNoNdepar-AltN"/>
        <w:rPr>
          <w:rFonts w:cs="Times New Roman"/>
          <w:noProof/>
          <w:lang w:val="fr-CA"/>
        </w:rPr>
      </w:pPr>
      <w:r w:rsidRPr="001B30C8">
        <w:rPr>
          <w:rFonts w:cs="Times New Roman"/>
          <w:noProof/>
          <w:lang w:val="fr-CA"/>
        </w:rPr>
        <w:t>Dans ses motifs, le juge de la peine a souligné le caractère unique de la présente affaire. Malgré ses conséquences tragiques, l</w:t>
      </w:r>
      <w:r>
        <w:rPr>
          <w:rFonts w:cs="Times New Roman"/>
          <w:noProof/>
          <w:lang w:val="fr-CA"/>
        </w:rPr>
        <w:t>’</w:t>
      </w:r>
      <w:r w:rsidRPr="001B30C8">
        <w:rPr>
          <w:rFonts w:cs="Times New Roman"/>
          <w:noProof/>
          <w:lang w:val="fr-CA"/>
        </w:rPr>
        <w:t>accident a, à son avis, été [</w:t>
      </w:r>
      <w:r w:rsidRPr="001B30C8">
        <w:rPr>
          <w:rFonts w:cs="Times New Roman"/>
          <w:smallCaps/>
          <w:noProof/>
          <w:lang w:val="fr-CA"/>
        </w:rPr>
        <w:t>traduction</w:t>
      </w:r>
      <w:r w:rsidRPr="001B30C8">
        <w:rPr>
          <w:rFonts w:cs="Times New Roman"/>
          <w:noProof/>
          <w:lang w:val="fr-CA"/>
        </w:rPr>
        <w:t>] « causé par une erreur de conduite commise par une personne dont les facultés n</w:t>
      </w:r>
      <w:r>
        <w:rPr>
          <w:rFonts w:cs="Times New Roman"/>
          <w:noProof/>
          <w:lang w:val="fr-CA"/>
        </w:rPr>
        <w:t>’</w:t>
      </w:r>
      <w:r w:rsidRPr="001B30C8">
        <w:rPr>
          <w:rFonts w:cs="Times New Roman"/>
          <w:noProof/>
          <w:lang w:val="fr-CA"/>
        </w:rPr>
        <w:t>étaient pas affaiblies » (par. 76). Il a conclu en outre que le refus de M. Suter de fournir un échantillon d</w:t>
      </w:r>
      <w:r>
        <w:rPr>
          <w:rFonts w:cs="Times New Roman"/>
          <w:noProof/>
          <w:lang w:val="fr-CA"/>
        </w:rPr>
        <w:t>’</w:t>
      </w:r>
      <w:r w:rsidRPr="001B30C8">
        <w:rPr>
          <w:rFonts w:cs="Times New Roman"/>
          <w:noProof/>
          <w:lang w:val="fr-CA"/>
        </w:rPr>
        <w:t>haleine résultait d</w:t>
      </w:r>
      <w:r>
        <w:rPr>
          <w:rFonts w:cs="Times New Roman"/>
          <w:noProof/>
          <w:lang w:val="fr-CA"/>
        </w:rPr>
        <w:t>’</w:t>
      </w:r>
      <w:r w:rsidRPr="001B30C8">
        <w:rPr>
          <w:rFonts w:cs="Times New Roman"/>
          <w:noProof/>
          <w:lang w:val="fr-CA"/>
        </w:rPr>
        <w:t>« une situation, espérons</w:t>
      </w:r>
      <w:r w:rsidRPr="001B30C8">
        <w:rPr>
          <w:rFonts w:cs="Times New Roman"/>
          <w:noProof/>
          <w:lang w:val="fr-CA"/>
        </w:rPr>
        <w:noBreakHyphen/>
        <w:t>le, rare, où il a été mal conseillé par un avocat mal informé » (</w:t>
      </w:r>
      <w:r w:rsidRPr="001B30C8">
        <w:rPr>
          <w:rFonts w:cs="Times New Roman"/>
          <w:i/>
          <w:noProof/>
          <w:lang w:val="fr-CA"/>
        </w:rPr>
        <w:t>ibid.</w:t>
      </w:r>
      <w:r w:rsidRPr="001B30C8">
        <w:rPr>
          <w:rFonts w:cs="Times New Roman"/>
          <w:noProof/>
          <w:lang w:val="fr-CA"/>
        </w:rPr>
        <w:t>). Selon le juge de la peine, ce fait ne permettait pas d</w:t>
      </w:r>
      <w:r>
        <w:rPr>
          <w:rFonts w:cs="Times New Roman"/>
          <w:noProof/>
          <w:lang w:val="fr-CA"/>
        </w:rPr>
        <w:t>’</w:t>
      </w:r>
      <w:r w:rsidRPr="001B30C8">
        <w:rPr>
          <w:rFonts w:cs="Times New Roman"/>
          <w:noProof/>
          <w:lang w:val="fr-CA"/>
        </w:rPr>
        <w:t>absoudre M. Suter, « car l</w:t>
      </w:r>
      <w:r>
        <w:rPr>
          <w:rFonts w:cs="Times New Roman"/>
          <w:noProof/>
          <w:lang w:val="fr-CA"/>
        </w:rPr>
        <w:t>’</w:t>
      </w:r>
      <w:r w:rsidRPr="001B30C8">
        <w:rPr>
          <w:rFonts w:cs="Times New Roman"/>
          <w:noProof/>
          <w:lang w:val="fr-CA"/>
        </w:rPr>
        <w:t>erreur de droit ne constitue pas un moyen de défense », mais il «</w:t>
      </w:r>
      <w:r w:rsidRPr="001B30C8">
        <w:rPr>
          <w:rFonts w:cs="Times New Roman"/>
          <w:lang w:val="fr-CA"/>
        </w:rPr>
        <w:t> </w:t>
      </w:r>
      <w:r w:rsidRPr="001B30C8">
        <w:rPr>
          <w:rFonts w:cs="Times New Roman"/>
          <w:noProof/>
          <w:lang w:val="fr-CA"/>
        </w:rPr>
        <w:t>chang[eait] » néanmoins « de manière fondamentale la culpabilité morale de M.</w:t>
      </w:r>
      <w:r w:rsidRPr="001B30C8">
        <w:rPr>
          <w:rFonts w:cs="Times New Roman"/>
          <w:lang w:val="fr-CA"/>
        </w:rPr>
        <w:t> Suter</w:t>
      </w:r>
      <w:r w:rsidRPr="001B30C8">
        <w:rPr>
          <w:rFonts w:cs="Times New Roman"/>
          <w:noProof/>
          <w:lang w:val="fr-CA"/>
        </w:rPr>
        <w:t> » (</w:t>
      </w:r>
      <w:r w:rsidRPr="001B30C8">
        <w:rPr>
          <w:rFonts w:cs="Times New Roman"/>
          <w:i/>
          <w:noProof/>
          <w:lang w:val="fr-CA"/>
        </w:rPr>
        <w:t>ibid.</w:t>
      </w:r>
      <w:r w:rsidRPr="001B30C8">
        <w:rPr>
          <w:rFonts w:cs="Times New Roman"/>
          <w:noProof/>
          <w:lang w:val="fr-CA"/>
        </w:rPr>
        <w:t>).</w:t>
      </w:r>
    </w:p>
    <w:p w:rsidR="001A0BA2" w:rsidRPr="001B30C8" w:rsidRDefault="001A0BA2" w:rsidP="001A0BA2">
      <w:pPr>
        <w:pStyle w:val="ParaNoNdepar-AltN"/>
        <w:rPr>
          <w:rFonts w:cs="Times New Roman"/>
          <w:noProof/>
          <w:lang w:val="fr-CA"/>
        </w:rPr>
      </w:pPr>
      <w:r w:rsidRPr="001B30C8">
        <w:rPr>
          <w:rFonts w:cs="Times New Roman"/>
          <w:noProof/>
          <w:lang w:val="fr-CA"/>
        </w:rPr>
        <w:lastRenderedPageBreak/>
        <w:t>Le juge de la peine a relevé plusieurs autres facteurs atténuants en l</w:t>
      </w:r>
      <w:r>
        <w:rPr>
          <w:rFonts w:cs="Times New Roman"/>
          <w:noProof/>
          <w:lang w:val="fr-CA"/>
        </w:rPr>
        <w:t>’</w:t>
      </w:r>
      <w:r w:rsidRPr="001B30C8">
        <w:rPr>
          <w:rFonts w:cs="Times New Roman"/>
          <w:noProof/>
          <w:lang w:val="fr-CA"/>
        </w:rPr>
        <w:t xml:space="preserve">espèce, dont le plaidoyer de culpabilité inscrit par M. Suter, </w:t>
      </w:r>
      <w:r w:rsidRPr="001B30C8">
        <w:rPr>
          <w:rFonts w:cs="Times New Roman"/>
          <w:smallCaps/>
          <w:noProof/>
          <w:lang w:val="fr-CA"/>
        </w:rPr>
        <w:t>[traduction]</w:t>
      </w:r>
      <w:r w:rsidRPr="001B30C8">
        <w:rPr>
          <w:rFonts w:cs="Times New Roman"/>
          <w:noProof/>
          <w:lang w:val="fr-CA"/>
        </w:rPr>
        <w:t xml:space="preserve"> « ses remords, qui dépassaient largement ce qui ressort du plaidoyer de culpabilité lui</w:t>
      </w:r>
      <w:r w:rsidRPr="001B30C8">
        <w:rPr>
          <w:rFonts w:cs="Times New Roman"/>
          <w:noProof/>
          <w:lang w:val="fr-CA"/>
        </w:rPr>
        <w:noBreakHyphen/>
        <w:t>même », l</w:t>
      </w:r>
      <w:r>
        <w:rPr>
          <w:rFonts w:cs="Times New Roman"/>
          <w:noProof/>
          <w:lang w:val="fr-CA"/>
        </w:rPr>
        <w:t>’</w:t>
      </w:r>
      <w:r w:rsidRPr="001B30C8">
        <w:rPr>
          <w:rFonts w:cs="Times New Roman"/>
          <w:noProof/>
          <w:lang w:val="fr-CA"/>
        </w:rPr>
        <w:t>absence de casier judiciaire et l</w:t>
      </w:r>
      <w:r>
        <w:rPr>
          <w:rFonts w:cs="Times New Roman"/>
          <w:noProof/>
          <w:lang w:val="fr-CA"/>
        </w:rPr>
        <w:t>’</w:t>
      </w:r>
      <w:r w:rsidRPr="001B30C8">
        <w:rPr>
          <w:rFonts w:cs="Times New Roman"/>
          <w:noProof/>
          <w:lang w:val="fr-CA"/>
        </w:rPr>
        <w:t>appui solide de la collectivité, ainsi que le fait qu</w:t>
      </w:r>
      <w:r>
        <w:rPr>
          <w:rFonts w:cs="Times New Roman"/>
          <w:noProof/>
          <w:lang w:val="fr-CA"/>
        </w:rPr>
        <w:t>’</w:t>
      </w:r>
      <w:r w:rsidRPr="001B30C8">
        <w:rPr>
          <w:rFonts w:cs="Times New Roman"/>
          <w:noProof/>
          <w:lang w:val="fr-CA"/>
        </w:rPr>
        <w:t>il avait occupé un emploi pendant presque toute sa vie adulte (par. 79). Le juge a également tenu compte — bien que « dans une moindre mesure » — « des propos d</w:t>
      </w:r>
      <w:r>
        <w:rPr>
          <w:rFonts w:cs="Times New Roman"/>
          <w:noProof/>
          <w:lang w:val="fr-CA"/>
        </w:rPr>
        <w:t>’</w:t>
      </w:r>
      <w:r w:rsidRPr="001B30C8">
        <w:rPr>
          <w:rFonts w:cs="Times New Roman"/>
          <w:noProof/>
          <w:lang w:val="fr-CA"/>
        </w:rPr>
        <w:t>une virulence extrême, du mépris public et des menaces » auxquels M. Suter avait été exposé, ainsi que des « actes de violence perpétrés par des justiciers contre M. et M</w:t>
      </w:r>
      <w:r w:rsidRPr="001B30C8">
        <w:rPr>
          <w:rFonts w:cs="Times New Roman"/>
          <w:noProof/>
          <w:vertAlign w:val="superscript"/>
          <w:lang w:val="fr-CA"/>
        </w:rPr>
        <w:t>me</w:t>
      </w:r>
      <w:r w:rsidRPr="001B30C8">
        <w:rPr>
          <w:rFonts w:cs="Times New Roman"/>
          <w:noProof/>
          <w:lang w:val="fr-CA"/>
        </w:rPr>
        <w:t> Suter » (par. 81). Selon lui, tous ces facteurs ont eu pour effet de « réduire considérablement la peine par rapport à celle qui, autrement, serait indiquée » (par. 82). Le juge a conclu qu</w:t>
      </w:r>
      <w:r>
        <w:rPr>
          <w:rFonts w:cs="Times New Roman"/>
          <w:noProof/>
          <w:lang w:val="fr-CA"/>
        </w:rPr>
        <w:t>’</w:t>
      </w:r>
      <w:r w:rsidRPr="001B30C8">
        <w:rPr>
          <w:rFonts w:cs="Times New Roman"/>
          <w:noProof/>
          <w:lang w:val="fr-CA"/>
        </w:rPr>
        <w:t>une peine d</w:t>
      </w:r>
      <w:r>
        <w:rPr>
          <w:rFonts w:cs="Times New Roman"/>
          <w:noProof/>
          <w:lang w:val="fr-CA"/>
        </w:rPr>
        <w:t>’</w:t>
      </w:r>
      <w:r w:rsidRPr="001B30C8">
        <w:rPr>
          <w:rFonts w:cs="Times New Roman"/>
          <w:noProof/>
          <w:lang w:val="fr-CA"/>
        </w:rPr>
        <w:t>emprisonnement de 4 mois, assortie d</w:t>
      </w:r>
      <w:r>
        <w:rPr>
          <w:rFonts w:cs="Times New Roman"/>
          <w:noProof/>
          <w:lang w:val="fr-CA"/>
        </w:rPr>
        <w:t>’</w:t>
      </w:r>
      <w:r w:rsidRPr="001B30C8">
        <w:rPr>
          <w:rFonts w:cs="Times New Roman"/>
          <w:noProof/>
          <w:lang w:val="fr-CA"/>
        </w:rPr>
        <w:t>une interdiction de conduire de 30 mois, était appropriée dans les circonstances. M. Suter et la Couronne ont tous deux fait appel de cette peine.</w:t>
      </w:r>
    </w:p>
    <w:p w:rsidR="001A0BA2" w:rsidRPr="001B30C8" w:rsidRDefault="001A0BA2" w:rsidP="001A0BA2">
      <w:pPr>
        <w:pStyle w:val="Title2LevelTitre2Niveau"/>
        <w:rPr>
          <w:rFonts w:cs="Times New Roman"/>
          <w:noProof/>
          <w:lang w:val="fr-CA"/>
        </w:rPr>
      </w:pPr>
      <w:r w:rsidRPr="001B30C8">
        <w:rPr>
          <w:rFonts w:cs="Times New Roman"/>
          <w:noProof/>
          <w:lang w:val="fr-CA"/>
        </w:rPr>
        <w:t>La décision de la Cour d</w:t>
      </w:r>
      <w:r>
        <w:rPr>
          <w:rFonts w:cs="Times New Roman"/>
          <w:noProof/>
          <w:lang w:val="fr-CA"/>
        </w:rPr>
        <w:t>’</w:t>
      </w:r>
      <w:r w:rsidRPr="001B30C8">
        <w:rPr>
          <w:rFonts w:cs="Times New Roman"/>
          <w:noProof/>
          <w:lang w:val="fr-CA"/>
        </w:rPr>
        <w:t>appel (les juges Watson, Bielby et Schutz), 2016 ABCA 235, 41 Alta. L.R. (6th) 268</w:t>
      </w:r>
    </w:p>
    <w:p w:rsidR="001A0BA2" w:rsidRPr="001B30C8" w:rsidRDefault="001A0BA2" w:rsidP="001A0BA2">
      <w:pPr>
        <w:pStyle w:val="ParaNoNdepar-AltN"/>
        <w:rPr>
          <w:rFonts w:cs="Times New Roman"/>
          <w:noProof/>
          <w:lang w:val="fr-CA"/>
        </w:rPr>
      </w:pPr>
      <w:r w:rsidRPr="001B30C8">
        <w:rPr>
          <w:rFonts w:cs="Times New Roman"/>
          <w:noProof/>
          <w:lang w:val="fr-CA"/>
        </w:rPr>
        <w:t>La Cour d</w:t>
      </w:r>
      <w:r>
        <w:rPr>
          <w:rFonts w:cs="Times New Roman"/>
          <w:noProof/>
          <w:lang w:val="fr-CA"/>
        </w:rPr>
        <w:t>’</w:t>
      </w:r>
      <w:r w:rsidRPr="001B30C8">
        <w:rPr>
          <w:rFonts w:cs="Times New Roman"/>
          <w:noProof/>
          <w:lang w:val="fr-CA"/>
        </w:rPr>
        <w:t>appel de l</w:t>
      </w:r>
      <w:r>
        <w:rPr>
          <w:rFonts w:cs="Times New Roman"/>
          <w:noProof/>
          <w:lang w:val="fr-CA"/>
        </w:rPr>
        <w:t>’</w:t>
      </w:r>
      <w:r w:rsidRPr="001B30C8">
        <w:rPr>
          <w:rFonts w:cs="Times New Roman"/>
          <w:noProof/>
          <w:lang w:val="fr-CA"/>
        </w:rPr>
        <w:t>Alberta a statué que le juge de la peine avait commis plusieurs erreurs dans sa décision, erreurs qui, prises ensemble, avaient donné lieu à une peine non indiquée.</w:t>
      </w:r>
    </w:p>
    <w:p w:rsidR="001A0BA2" w:rsidRPr="001B30C8" w:rsidRDefault="001A0BA2" w:rsidP="001A0BA2">
      <w:pPr>
        <w:pStyle w:val="ParaNoNdepar-AltN"/>
        <w:rPr>
          <w:rFonts w:cs="Times New Roman"/>
          <w:noProof/>
          <w:lang w:val="fr-CA"/>
        </w:rPr>
      </w:pPr>
      <w:r w:rsidRPr="001B30C8">
        <w:rPr>
          <w:rFonts w:cs="Times New Roman"/>
          <w:noProof/>
          <w:lang w:val="fr-CA"/>
        </w:rPr>
        <w:t>Premièrement, la cour a conclu que le juge de la peine avait commis une erreur de principe en estimant que M. Suter agissait sur le fondement d</w:t>
      </w:r>
      <w:r>
        <w:rPr>
          <w:rFonts w:cs="Times New Roman"/>
          <w:noProof/>
          <w:lang w:val="fr-CA"/>
        </w:rPr>
        <w:t>’</w:t>
      </w:r>
      <w:r w:rsidRPr="001B30C8">
        <w:rPr>
          <w:rFonts w:cs="Times New Roman"/>
          <w:noProof/>
          <w:lang w:val="fr-CA"/>
        </w:rPr>
        <w:t>une erreur de droit lorsqu</w:t>
      </w:r>
      <w:r>
        <w:rPr>
          <w:rFonts w:cs="Times New Roman"/>
          <w:noProof/>
          <w:lang w:val="fr-CA"/>
        </w:rPr>
        <w:t>’</w:t>
      </w:r>
      <w:r w:rsidRPr="001B30C8">
        <w:rPr>
          <w:rFonts w:cs="Times New Roman"/>
          <w:noProof/>
          <w:lang w:val="fr-CA"/>
        </w:rPr>
        <w:t>il a refusé de fournir à la police un échantillon d</w:t>
      </w:r>
      <w:r>
        <w:rPr>
          <w:rFonts w:cs="Times New Roman"/>
          <w:noProof/>
          <w:lang w:val="fr-CA"/>
        </w:rPr>
        <w:t>’</w:t>
      </w:r>
      <w:r w:rsidRPr="001B30C8">
        <w:rPr>
          <w:rFonts w:cs="Times New Roman"/>
          <w:noProof/>
          <w:lang w:val="fr-CA"/>
        </w:rPr>
        <w:t xml:space="preserve">haleine. Selon elle, les mauvais conseils que lui a donnés son avocat ne constituaient pas une erreur de droit et ne pouvaient pas servir à atténuer sa peine. Deuxièmement, la cour a estimé que le </w:t>
      </w:r>
      <w:r w:rsidRPr="001B30C8">
        <w:rPr>
          <w:rFonts w:cs="Times New Roman"/>
          <w:noProof/>
          <w:lang w:val="fr-CA"/>
        </w:rPr>
        <w:lastRenderedPageBreak/>
        <w:t>juge de la peine n</w:t>
      </w:r>
      <w:r>
        <w:rPr>
          <w:rFonts w:cs="Times New Roman"/>
          <w:noProof/>
          <w:lang w:val="fr-CA"/>
        </w:rPr>
        <w:t>’</w:t>
      </w:r>
      <w:r w:rsidRPr="001B30C8">
        <w:rPr>
          <w:rFonts w:cs="Times New Roman"/>
          <w:noProof/>
          <w:lang w:val="fr-CA"/>
        </w:rPr>
        <w:t>avait pas pris en considération, à titre de facteur aggravant pertinent, le fait que M. Suter avait [</w:t>
      </w:r>
      <w:r w:rsidRPr="001B30C8">
        <w:rPr>
          <w:rFonts w:cs="Times New Roman"/>
          <w:smallCaps/>
          <w:noProof/>
          <w:lang w:val="fr-CA"/>
        </w:rPr>
        <w:t>traduction</w:t>
      </w:r>
      <w:r w:rsidRPr="001B30C8">
        <w:rPr>
          <w:rFonts w:cs="Times New Roman"/>
          <w:noProof/>
          <w:lang w:val="fr-CA"/>
        </w:rPr>
        <w:t>] « déci[dé] de prendre le volant alors qu</w:t>
      </w:r>
      <w:r>
        <w:rPr>
          <w:rFonts w:cs="Times New Roman"/>
          <w:noProof/>
          <w:lang w:val="fr-CA"/>
        </w:rPr>
        <w:t>’</w:t>
      </w:r>
      <w:r w:rsidRPr="001B30C8">
        <w:rPr>
          <w:rFonts w:cs="Times New Roman"/>
          <w:noProof/>
          <w:lang w:val="fr-CA"/>
        </w:rPr>
        <w:t>il était distrait, eu égard à son état de santé et à des problèmes d</w:t>
      </w:r>
      <w:r>
        <w:rPr>
          <w:rFonts w:cs="Times New Roman"/>
          <w:noProof/>
          <w:lang w:val="fr-CA"/>
        </w:rPr>
        <w:t>’</w:t>
      </w:r>
      <w:r w:rsidRPr="001B30C8">
        <w:rPr>
          <w:rFonts w:cs="Times New Roman"/>
          <w:noProof/>
          <w:lang w:val="fr-CA"/>
        </w:rPr>
        <w:t>alcool préexistants » (par. 100). Troisièmement, la cour a statué que le juge de la peine avait tenu compte à tort des actes de violence justicière au moment de déterminer la peine appropriée. De tels actes de violence, a</w:t>
      </w:r>
      <w:r w:rsidRPr="001B30C8">
        <w:rPr>
          <w:rFonts w:cs="Times New Roman"/>
          <w:noProof/>
          <w:lang w:val="fr-CA"/>
        </w:rPr>
        <w:noBreakHyphen/>
        <w:t>t</w:t>
      </w:r>
      <w:r w:rsidRPr="001B30C8">
        <w:rPr>
          <w:rFonts w:cs="Times New Roman"/>
          <w:noProof/>
          <w:lang w:val="fr-CA"/>
        </w:rPr>
        <w:noBreakHyphen/>
        <w:t>elle maintenu, « ne découlaient pas de la conduite répréhensible de représentants de l</w:t>
      </w:r>
      <w:r>
        <w:rPr>
          <w:rFonts w:cs="Times New Roman"/>
          <w:noProof/>
          <w:lang w:val="fr-CA"/>
        </w:rPr>
        <w:t>’</w:t>
      </w:r>
      <w:r w:rsidRPr="001B30C8">
        <w:rPr>
          <w:rFonts w:cs="Times New Roman"/>
          <w:noProof/>
          <w:lang w:val="fr-CA"/>
        </w:rPr>
        <w:t>État » et ne pouvaient donc pas changer « ce qui autrement constituerait une peine proportionnée » (par. 106).</w:t>
      </w:r>
    </w:p>
    <w:p w:rsidR="001A0BA2" w:rsidRPr="001B30C8" w:rsidRDefault="001A0BA2" w:rsidP="001A0BA2">
      <w:pPr>
        <w:pStyle w:val="ParaNoNdepar-AltN"/>
        <w:rPr>
          <w:rFonts w:cs="Times New Roman"/>
          <w:noProof/>
          <w:lang w:val="fr-CA"/>
        </w:rPr>
      </w:pPr>
      <w:r w:rsidRPr="001B30C8">
        <w:rPr>
          <w:rFonts w:cs="Times New Roman"/>
          <w:noProof/>
          <w:lang w:val="fr-CA"/>
        </w:rPr>
        <w:t>La Cour d</w:t>
      </w:r>
      <w:r>
        <w:rPr>
          <w:rFonts w:cs="Times New Roman"/>
          <w:noProof/>
          <w:lang w:val="fr-CA"/>
        </w:rPr>
        <w:t>’</w:t>
      </w:r>
      <w:r w:rsidRPr="001B30C8">
        <w:rPr>
          <w:rFonts w:cs="Times New Roman"/>
          <w:noProof/>
          <w:lang w:val="fr-CA"/>
        </w:rPr>
        <w:t>appel a annulé la peine d</w:t>
      </w:r>
      <w:r>
        <w:rPr>
          <w:rFonts w:cs="Times New Roman"/>
          <w:noProof/>
          <w:lang w:val="fr-CA"/>
        </w:rPr>
        <w:t>’</w:t>
      </w:r>
      <w:r w:rsidRPr="001B30C8">
        <w:rPr>
          <w:rFonts w:cs="Times New Roman"/>
          <w:noProof/>
          <w:lang w:val="fr-CA"/>
        </w:rPr>
        <w:t>emprisonnement de 4 mois et en a infligé une de 26 mois. Elle n</w:t>
      </w:r>
      <w:r>
        <w:rPr>
          <w:rFonts w:cs="Times New Roman"/>
          <w:noProof/>
          <w:lang w:val="fr-CA"/>
        </w:rPr>
        <w:t>’</w:t>
      </w:r>
      <w:r w:rsidRPr="001B30C8">
        <w:rPr>
          <w:rFonts w:cs="Times New Roman"/>
          <w:noProof/>
          <w:lang w:val="fr-CA"/>
        </w:rPr>
        <w:t>a pas modifié l</w:t>
      </w:r>
      <w:r>
        <w:rPr>
          <w:rFonts w:cs="Times New Roman"/>
          <w:noProof/>
          <w:lang w:val="fr-CA"/>
        </w:rPr>
        <w:t>’</w:t>
      </w:r>
      <w:r w:rsidRPr="001B30C8">
        <w:rPr>
          <w:rFonts w:cs="Times New Roman"/>
          <w:noProof/>
          <w:lang w:val="fr-CA"/>
        </w:rPr>
        <w:t>interdiction de conduire de 30 mois.</w:t>
      </w:r>
    </w:p>
    <w:p w:rsidR="001A0BA2" w:rsidRPr="001B30C8" w:rsidRDefault="001A0BA2" w:rsidP="001A0BA2">
      <w:pPr>
        <w:pStyle w:val="ParaNoNdepar-AltN"/>
        <w:rPr>
          <w:rFonts w:cs="Times New Roman"/>
          <w:noProof/>
          <w:lang w:val="fr-CA"/>
        </w:rPr>
      </w:pPr>
      <w:r>
        <w:rPr>
          <w:rFonts w:cs="Times New Roman"/>
          <w:noProof/>
          <w:lang w:val="fr-CA"/>
        </w:rPr>
        <w:t xml:space="preserve">Monsieur </w:t>
      </w:r>
      <w:r w:rsidRPr="001B30C8">
        <w:rPr>
          <w:rFonts w:cs="Times New Roman"/>
          <w:noProof/>
          <w:lang w:val="fr-CA"/>
        </w:rPr>
        <w:t>Suter se pourvoit à présent devant notre Cour contre cette peine.</w:t>
      </w:r>
    </w:p>
    <w:p w:rsidR="001A0BA2" w:rsidRPr="001B30C8" w:rsidRDefault="001A0BA2" w:rsidP="001A0BA2">
      <w:pPr>
        <w:pStyle w:val="Title1LevelTitre1Niveau-AltL"/>
        <w:rPr>
          <w:rFonts w:cs="Times New Roman"/>
          <w:noProof/>
          <w:lang w:val="fr-CA"/>
        </w:rPr>
      </w:pPr>
      <w:r w:rsidRPr="001B30C8">
        <w:rPr>
          <w:rFonts w:cs="Times New Roman"/>
          <w:noProof/>
          <w:lang w:val="fr-CA"/>
        </w:rPr>
        <w:t xml:space="preserve">Analyse </w:t>
      </w:r>
    </w:p>
    <w:p w:rsidR="001A0BA2" w:rsidRPr="001B30C8" w:rsidRDefault="001A0BA2" w:rsidP="001A0BA2">
      <w:pPr>
        <w:pStyle w:val="ParaNoNdepar-AltN"/>
        <w:rPr>
          <w:rFonts w:cs="Times New Roman"/>
          <w:noProof/>
          <w:lang w:val="fr-CA"/>
        </w:rPr>
      </w:pPr>
      <w:r w:rsidRPr="001B30C8">
        <w:rPr>
          <w:rFonts w:cs="Times New Roman"/>
          <w:noProof/>
          <w:lang w:val="fr-CA"/>
        </w:rPr>
        <w:t>Il est bien établi que les tribunaux d</w:t>
      </w:r>
      <w:r>
        <w:rPr>
          <w:rFonts w:cs="Times New Roman"/>
          <w:noProof/>
          <w:lang w:val="fr-CA"/>
        </w:rPr>
        <w:t>’</w:t>
      </w:r>
      <w:r w:rsidRPr="001B30C8">
        <w:rPr>
          <w:rFonts w:cs="Times New Roman"/>
          <w:noProof/>
          <w:lang w:val="fr-CA"/>
        </w:rPr>
        <w:t xml:space="preserve">appel ne peuvent modifier à la légère des décisions relatives à la peine (voir </w:t>
      </w:r>
      <w:r w:rsidRPr="001B30C8">
        <w:rPr>
          <w:rFonts w:cs="Times New Roman"/>
          <w:i/>
          <w:noProof/>
          <w:lang w:val="fr-CA"/>
        </w:rPr>
        <w:t>R. c. Shropshire</w:t>
      </w:r>
      <w:r w:rsidRPr="001B30C8">
        <w:rPr>
          <w:rFonts w:cs="Times New Roman"/>
          <w:noProof/>
          <w:lang w:val="fr-CA"/>
        </w:rPr>
        <w:t xml:space="preserve">, [1995] 4 R.C.S. 227, par. 48; </w:t>
      </w:r>
      <w:r w:rsidRPr="001B30C8">
        <w:rPr>
          <w:rFonts w:cs="Times New Roman"/>
          <w:i/>
          <w:noProof/>
          <w:lang w:val="fr-CA"/>
        </w:rPr>
        <w:t>R. c. L.F.W.</w:t>
      </w:r>
      <w:r w:rsidRPr="001B30C8">
        <w:rPr>
          <w:rFonts w:cs="Times New Roman"/>
          <w:noProof/>
          <w:lang w:val="fr-CA"/>
        </w:rPr>
        <w:t xml:space="preserve">, 2000 CSC 6, [2000] 1 R.C.S. 132, par. 25; </w:t>
      </w:r>
      <w:r w:rsidRPr="001B30C8">
        <w:rPr>
          <w:rFonts w:cs="Times New Roman"/>
          <w:i/>
          <w:noProof/>
          <w:lang w:val="fr-CA"/>
        </w:rPr>
        <w:t>R. c. L.M.</w:t>
      </w:r>
      <w:r w:rsidRPr="001B30C8">
        <w:rPr>
          <w:rFonts w:cs="Times New Roman"/>
          <w:noProof/>
          <w:lang w:val="fr-CA"/>
        </w:rPr>
        <w:t xml:space="preserve">, 2008 CSC 31, [2008] 2 R.C.S. 163, par. 14; </w:t>
      </w:r>
      <w:r w:rsidRPr="001B30C8">
        <w:rPr>
          <w:rFonts w:cs="Times New Roman"/>
          <w:i/>
          <w:noProof/>
          <w:lang w:val="fr-CA"/>
        </w:rPr>
        <w:t>R. c. Nasogaluak</w:t>
      </w:r>
      <w:r w:rsidRPr="001B30C8">
        <w:rPr>
          <w:rFonts w:cs="Times New Roman"/>
          <w:noProof/>
          <w:lang w:val="fr-CA"/>
        </w:rPr>
        <w:t xml:space="preserve">, 2010 CSC 6, [2010] 1 R.C.S. 206, par. 46; </w:t>
      </w:r>
      <w:r w:rsidRPr="001B30C8">
        <w:rPr>
          <w:rFonts w:cs="Times New Roman"/>
          <w:i/>
          <w:noProof/>
          <w:lang w:val="fr-CA"/>
        </w:rPr>
        <w:t>R. c. Lacasse</w:t>
      </w:r>
      <w:r w:rsidRPr="001B30C8">
        <w:rPr>
          <w:rFonts w:cs="Times New Roman"/>
          <w:noProof/>
          <w:lang w:val="fr-CA"/>
        </w:rPr>
        <w:t>, 2015 CSC 64, [2015] 3 R.C.S. 1089, par. 39). En effet, le juge de première instance jouit « d</w:t>
      </w:r>
      <w:r>
        <w:rPr>
          <w:rFonts w:cs="Times New Roman"/>
          <w:noProof/>
          <w:lang w:val="fr-CA"/>
        </w:rPr>
        <w:t>’</w:t>
      </w:r>
      <w:r w:rsidRPr="001B30C8">
        <w:rPr>
          <w:rFonts w:cs="Times New Roman"/>
          <w:noProof/>
          <w:lang w:val="fr-CA"/>
        </w:rPr>
        <w:t>une grande discrétion pour prononcer la peine qui lui semble appropriée dans les limites déterminées par la loi » (</w:t>
      </w:r>
      <w:r w:rsidRPr="001B30C8">
        <w:rPr>
          <w:rFonts w:cs="Times New Roman"/>
          <w:i/>
          <w:noProof/>
          <w:lang w:val="fr-CA"/>
        </w:rPr>
        <w:t>Lacasse</w:t>
      </w:r>
      <w:r w:rsidRPr="001B30C8">
        <w:rPr>
          <w:rFonts w:cs="Times New Roman"/>
          <w:noProof/>
          <w:lang w:val="fr-CA"/>
        </w:rPr>
        <w:t>, par. 39).</w:t>
      </w:r>
    </w:p>
    <w:p w:rsidR="001A0BA2" w:rsidRPr="001B30C8" w:rsidRDefault="001A0BA2" w:rsidP="001A0BA2">
      <w:pPr>
        <w:pStyle w:val="ParaNoNdepar-AltN"/>
        <w:rPr>
          <w:rFonts w:cs="Times New Roman"/>
          <w:noProof/>
          <w:lang w:val="fr-CA"/>
        </w:rPr>
      </w:pPr>
      <w:r w:rsidRPr="001B30C8">
        <w:rPr>
          <w:rFonts w:cs="Times New Roman"/>
          <w:noProof/>
          <w:lang w:val="fr-CA"/>
        </w:rPr>
        <w:t>Dans l</w:t>
      </w:r>
      <w:r>
        <w:rPr>
          <w:rFonts w:cs="Times New Roman"/>
          <w:noProof/>
          <w:lang w:val="fr-CA"/>
        </w:rPr>
        <w:t>’</w:t>
      </w:r>
      <w:r w:rsidRPr="001B30C8">
        <w:rPr>
          <w:rFonts w:cs="Times New Roman"/>
          <w:noProof/>
          <w:lang w:val="fr-CA"/>
        </w:rPr>
        <w:t xml:space="preserve">arrêt </w:t>
      </w:r>
      <w:r w:rsidRPr="001B30C8">
        <w:rPr>
          <w:rFonts w:cs="Times New Roman"/>
          <w:i/>
          <w:noProof/>
          <w:lang w:val="fr-CA"/>
        </w:rPr>
        <w:t>Lacasse</w:t>
      </w:r>
      <w:r w:rsidRPr="001B30C8">
        <w:rPr>
          <w:rFonts w:cs="Times New Roman"/>
          <w:noProof/>
          <w:lang w:val="fr-CA"/>
        </w:rPr>
        <w:t>, les juges majoritaires de notre Cour ont statué qu</w:t>
      </w:r>
      <w:r>
        <w:rPr>
          <w:rFonts w:cs="Times New Roman"/>
          <w:noProof/>
          <w:lang w:val="fr-CA"/>
        </w:rPr>
        <w:t>’</w:t>
      </w:r>
      <w:r w:rsidRPr="001B30C8">
        <w:rPr>
          <w:rFonts w:cs="Times New Roman"/>
          <w:noProof/>
          <w:lang w:val="fr-CA"/>
        </w:rPr>
        <w:t>une cour d</w:t>
      </w:r>
      <w:r>
        <w:rPr>
          <w:rFonts w:cs="Times New Roman"/>
          <w:noProof/>
          <w:lang w:val="fr-CA"/>
        </w:rPr>
        <w:t>’</w:t>
      </w:r>
      <w:r w:rsidRPr="001B30C8">
        <w:rPr>
          <w:rFonts w:cs="Times New Roman"/>
          <w:noProof/>
          <w:lang w:val="fr-CA"/>
        </w:rPr>
        <w:t>appel ne peut modifier une peine que dans l</w:t>
      </w:r>
      <w:r>
        <w:rPr>
          <w:rFonts w:cs="Times New Roman"/>
          <w:noProof/>
          <w:lang w:val="fr-CA"/>
        </w:rPr>
        <w:t>’</w:t>
      </w:r>
      <w:r w:rsidRPr="001B30C8">
        <w:rPr>
          <w:rFonts w:cs="Times New Roman"/>
          <w:noProof/>
          <w:lang w:val="fr-CA"/>
        </w:rPr>
        <w:t>une ou l</w:t>
      </w:r>
      <w:r>
        <w:rPr>
          <w:rFonts w:cs="Times New Roman"/>
          <w:noProof/>
          <w:lang w:val="fr-CA"/>
        </w:rPr>
        <w:t>’</w:t>
      </w:r>
      <w:r w:rsidRPr="001B30C8">
        <w:rPr>
          <w:rFonts w:cs="Times New Roman"/>
          <w:noProof/>
          <w:lang w:val="fr-CA"/>
        </w:rPr>
        <w:t xml:space="preserve">autre des deux situations </w:t>
      </w:r>
      <w:r w:rsidRPr="001B30C8">
        <w:rPr>
          <w:rFonts w:cs="Times New Roman"/>
          <w:noProof/>
          <w:lang w:val="fr-CA"/>
        </w:rPr>
        <w:lastRenderedPageBreak/>
        <w:t>suivantes : (1) la peine infligée par le juge de la peine est « manifestement non indiquée » (par. 41); (2) le juge de la peine commet une erreur de principe, ne tient pas compte d</w:t>
      </w:r>
      <w:r>
        <w:rPr>
          <w:rFonts w:cs="Times New Roman"/>
          <w:noProof/>
          <w:lang w:val="fr-CA"/>
        </w:rPr>
        <w:t>’</w:t>
      </w:r>
      <w:r w:rsidRPr="001B30C8">
        <w:rPr>
          <w:rFonts w:cs="Times New Roman"/>
          <w:noProof/>
          <w:lang w:val="fr-CA"/>
        </w:rPr>
        <w:t xml:space="preserve">un facteur pertinent ou encore, prend erronément en considération un facteur aggravant ou atténuant, </w:t>
      </w:r>
      <w:r w:rsidRPr="001B30C8">
        <w:rPr>
          <w:rFonts w:cs="Times New Roman"/>
          <w:i/>
          <w:noProof/>
          <w:lang w:val="fr-CA"/>
        </w:rPr>
        <w:t xml:space="preserve">et </w:t>
      </w:r>
      <w:r w:rsidRPr="001B30C8">
        <w:rPr>
          <w:rFonts w:cs="Times New Roman"/>
          <w:noProof/>
          <w:lang w:val="fr-CA"/>
        </w:rPr>
        <w:t>une telle erreur a une incidence sur la peine infligée (par. 44). Dans les deux cas, la cour d</w:t>
      </w:r>
      <w:r>
        <w:rPr>
          <w:rFonts w:cs="Times New Roman"/>
          <w:noProof/>
          <w:lang w:val="fr-CA"/>
        </w:rPr>
        <w:t>’</w:t>
      </w:r>
      <w:r w:rsidRPr="001B30C8">
        <w:rPr>
          <w:rFonts w:cs="Times New Roman"/>
          <w:noProof/>
          <w:lang w:val="fr-CA"/>
        </w:rPr>
        <w:t>appel peut annuler la peine et procéder à sa propre analyse pour déterminer la peine indiquée dans les circonstances.</w:t>
      </w:r>
    </w:p>
    <w:p w:rsidR="001A0BA2" w:rsidRPr="001B30C8" w:rsidRDefault="001A0BA2" w:rsidP="001A0BA2">
      <w:pPr>
        <w:pStyle w:val="ParaNoNdepar-AltN"/>
        <w:rPr>
          <w:rFonts w:cs="Times New Roman"/>
          <w:noProof/>
          <w:lang w:val="fr-CA"/>
        </w:rPr>
      </w:pPr>
      <w:r w:rsidRPr="001B30C8">
        <w:rPr>
          <w:rFonts w:cs="Times New Roman"/>
          <w:noProof/>
          <w:lang w:val="fr-CA"/>
        </w:rPr>
        <w:t>Une peine qui déroge à une fourchette donnée n</w:t>
      </w:r>
      <w:r>
        <w:rPr>
          <w:rFonts w:cs="Times New Roman"/>
          <w:noProof/>
          <w:lang w:val="fr-CA"/>
        </w:rPr>
        <w:t>’</w:t>
      </w:r>
      <w:r w:rsidRPr="001B30C8">
        <w:rPr>
          <w:rFonts w:cs="Times New Roman"/>
          <w:noProof/>
          <w:lang w:val="fr-CA"/>
        </w:rPr>
        <w:t xml:space="preserve">est pas nécessairement non indiquée (voir </w:t>
      </w:r>
      <w:r w:rsidRPr="001B30C8">
        <w:rPr>
          <w:rFonts w:cs="Times New Roman"/>
          <w:i/>
          <w:noProof/>
          <w:lang w:val="fr-CA"/>
        </w:rPr>
        <w:t>Lacasse</w:t>
      </w:r>
      <w:r w:rsidRPr="001B30C8">
        <w:rPr>
          <w:rFonts w:cs="Times New Roman"/>
          <w:noProof/>
          <w:lang w:val="fr-CA"/>
        </w:rPr>
        <w:t xml:space="preserve">, par. 58; </w:t>
      </w:r>
      <w:r w:rsidRPr="001B30C8">
        <w:rPr>
          <w:rFonts w:cs="Times New Roman"/>
          <w:i/>
          <w:noProof/>
          <w:lang w:val="fr-CA"/>
        </w:rPr>
        <w:t>Nasogaluak</w:t>
      </w:r>
      <w:r w:rsidRPr="001B30C8">
        <w:rPr>
          <w:rFonts w:cs="Times New Roman"/>
          <w:noProof/>
          <w:lang w:val="fr-CA"/>
        </w:rPr>
        <w:t>, par. 44). Les fourchettes de peines ne sont que des lignes directrices et qu</w:t>
      </w:r>
      <w:r>
        <w:rPr>
          <w:rFonts w:cs="Times New Roman"/>
          <w:noProof/>
          <w:lang w:val="fr-CA"/>
        </w:rPr>
        <w:t>’</w:t>
      </w:r>
      <w:r w:rsidRPr="001B30C8">
        <w:rPr>
          <w:rFonts w:cs="Times New Roman"/>
          <w:noProof/>
          <w:lang w:val="fr-CA"/>
        </w:rPr>
        <w:t>« un outil parmi d</w:t>
      </w:r>
      <w:r>
        <w:rPr>
          <w:rFonts w:cs="Times New Roman"/>
          <w:noProof/>
          <w:lang w:val="fr-CA"/>
        </w:rPr>
        <w:t>’</w:t>
      </w:r>
      <w:r w:rsidRPr="001B30C8">
        <w:rPr>
          <w:rFonts w:cs="Times New Roman"/>
          <w:noProof/>
          <w:lang w:val="fr-CA"/>
        </w:rPr>
        <w:t>autres destinés à faciliter la tâche des juges d</w:t>
      </w:r>
      <w:r>
        <w:rPr>
          <w:rFonts w:cs="Times New Roman"/>
          <w:noProof/>
          <w:lang w:val="fr-CA"/>
        </w:rPr>
        <w:t>’</w:t>
      </w:r>
      <w:r w:rsidRPr="001B30C8">
        <w:rPr>
          <w:rFonts w:cs="Times New Roman"/>
          <w:noProof/>
          <w:lang w:val="fr-CA"/>
        </w:rPr>
        <w:t>instance » (</w:t>
      </w:r>
      <w:r w:rsidRPr="001B30C8">
        <w:rPr>
          <w:rFonts w:cs="Times New Roman"/>
          <w:i/>
          <w:noProof/>
          <w:lang w:val="fr-CA"/>
        </w:rPr>
        <w:t>Lacasse</w:t>
      </w:r>
      <w:r w:rsidRPr="001B30C8">
        <w:rPr>
          <w:rFonts w:cs="Times New Roman"/>
          <w:noProof/>
          <w:lang w:val="fr-CA"/>
        </w:rPr>
        <w:t>, par. 69). Il s</w:t>
      </w:r>
      <w:r>
        <w:rPr>
          <w:rFonts w:cs="Times New Roman"/>
          <w:noProof/>
          <w:lang w:val="fr-CA"/>
        </w:rPr>
        <w:t>’</w:t>
      </w:r>
      <w:r w:rsidRPr="001B30C8">
        <w:rPr>
          <w:rFonts w:cs="Times New Roman"/>
          <w:noProof/>
          <w:lang w:val="fr-CA"/>
        </w:rPr>
        <w:t>ensuit qu</w:t>
      </w:r>
      <w:r>
        <w:rPr>
          <w:rFonts w:cs="Times New Roman"/>
          <w:noProof/>
          <w:lang w:val="fr-CA"/>
        </w:rPr>
        <w:t>’</w:t>
      </w:r>
      <w:r w:rsidRPr="001B30C8">
        <w:rPr>
          <w:rFonts w:cs="Times New Roman"/>
          <w:noProof/>
          <w:lang w:val="fr-CA"/>
        </w:rPr>
        <w:t>une dérogation à une fourchette de peines ne justifie pas automatiquement l</w:t>
      </w:r>
      <w:r>
        <w:rPr>
          <w:rFonts w:cs="Times New Roman"/>
          <w:noProof/>
          <w:lang w:val="fr-CA"/>
        </w:rPr>
        <w:t>’</w:t>
      </w:r>
      <w:r w:rsidRPr="001B30C8">
        <w:rPr>
          <w:rFonts w:cs="Times New Roman"/>
          <w:noProof/>
          <w:lang w:val="fr-CA"/>
        </w:rPr>
        <w:t>intervention d</w:t>
      </w:r>
      <w:r>
        <w:rPr>
          <w:rFonts w:cs="Times New Roman"/>
          <w:noProof/>
          <w:lang w:val="fr-CA"/>
        </w:rPr>
        <w:t>’</w:t>
      </w:r>
      <w:r w:rsidRPr="001B30C8">
        <w:rPr>
          <w:rFonts w:cs="Times New Roman"/>
          <w:noProof/>
          <w:lang w:val="fr-CA"/>
        </w:rPr>
        <w:t>une cour d</w:t>
      </w:r>
      <w:r>
        <w:rPr>
          <w:rFonts w:cs="Times New Roman"/>
          <w:noProof/>
          <w:lang w:val="fr-CA"/>
        </w:rPr>
        <w:t>’</w:t>
      </w:r>
      <w:r w:rsidRPr="001B30C8">
        <w:rPr>
          <w:rFonts w:cs="Times New Roman"/>
          <w:noProof/>
          <w:lang w:val="fr-CA"/>
        </w:rPr>
        <w:t>appel (</w:t>
      </w:r>
      <w:r w:rsidRPr="001B30C8">
        <w:rPr>
          <w:rFonts w:cs="Times New Roman"/>
          <w:i/>
          <w:noProof/>
          <w:lang w:val="fr-CA"/>
        </w:rPr>
        <w:t>ibid.</w:t>
      </w:r>
      <w:r w:rsidRPr="001B30C8">
        <w:rPr>
          <w:rFonts w:cs="Times New Roman"/>
          <w:noProof/>
          <w:lang w:val="fr-CA"/>
        </w:rPr>
        <w:t>, par. 67).</w:t>
      </w:r>
    </w:p>
    <w:p w:rsidR="001A0BA2" w:rsidRPr="001B30C8" w:rsidRDefault="001A0BA2" w:rsidP="001A0BA2">
      <w:pPr>
        <w:pStyle w:val="ParaNoNdepar-AltN"/>
        <w:rPr>
          <w:rFonts w:cs="Times New Roman"/>
          <w:noProof/>
          <w:lang w:val="fr-CA"/>
        </w:rPr>
      </w:pPr>
      <w:r w:rsidRPr="001B30C8">
        <w:rPr>
          <w:rFonts w:cs="Times New Roman"/>
          <w:noProof/>
          <w:lang w:val="fr-CA"/>
        </w:rPr>
        <w:t>Le juge de la peine et la Cour d</w:t>
      </w:r>
      <w:r>
        <w:rPr>
          <w:rFonts w:cs="Times New Roman"/>
          <w:noProof/>
          <w:lang w:val="fr-CA"/>
        </w:rPr>
        <w:t>’</w:t>
      </w:r>
      <w:r w:rsidRPr="001B30C8">
        <w:rPr>
          <w:rFonts w:cs="Times New Roman"/>
          <w:noProof/>
          <w:lang w:val="fr-CA"/>
        </w:rPr>
        <w:t>appel ont conclu à bon droit que la fourchette de peines applicable à l</w:t>
      </w:r>
      <w:r>
        <w:rPr>
          <w:rFonts w:cs="Times New Roman"/>
          <w:noProof/>
          <w:lang w:val="fr-CA"/>
        </w:rPr>
        <w:t>’</w:t>
      </w:r>
      <w:r w:rsidRPr="001B30C8">
        <w:rPr>
          <w:rFonts w:cs="Times New Roman"/>
          <w:noProof/>
          <w:lang w:val="fr-CA"/>
        </w:rPr>
        <w:t>infraction visée au par. 255(3.2) est la même que celle prévue pour l</w:t>
      </w:r>
      <w:r>
        <w:rPr>
          <w:rFonts w:cs="Times New Roman"/>
          <w:noProof/>
          <w:lang w:val="fr-CA"/>
        </w:rPr>
        <w:t>’</w:t>
      </w:r>
      <w:r w:rsidRPr="001B30C8">
        <w:rPr>
          <w:rFonts w:cs="Times New Roman"/>
          <w:noProof/>
          <w:lang w:val="fr-CA"/>
        </w:rPr>
        <w:t>infraction de conduite avec capacités affaiblies causant la mort. À mon avis, cette fourchette s</w:t>
      </w:r>
      <w:r>
        <w:rPr>
          <w:rFonts w:cs="Times New Roman"/>
          <w:noProof/>
          <w:lang w:val="fr-CA"/>
        </w:rPr>
        <w:t>’</w:t>
      </w:r>
      <w:r w:rsidRPr="001B30C8">
        <w:rPr>
          <w:rFonts w:cs="Times New Roman"/>
          <w:noProof/>
          <w:lang w:val="fr-CA"/>
        </w:rPr>
        <w:t>applique également à l</w:t>
      </w:r>
      <w:r>
        <w:rPr>
          <w:rFonts w:cs="Times New Roman"/>
          <w:noProof/>
          <w:lang w:val="fr-CA"/>
        </w:rPr>
        <w:t>’</w:t>
      </w:r>
      <w:r w:rsidRPr="001B30C8">
        <w:rPr>
          <w:rFonts w:cs="Times New Roman"/>
          <w:noProof/>
          <w:lang w:val="fr-CA"/>
        </w:rPr>
        <w:t xml:space="preserve">infraction de conduite avec une alcoolémie « supérieure à 80 mg » causant la mort (prévue au par. 255(3.1) du </w:t>
      </w:r>
      <w:r w:rsidRPr="001B30C8">
        <w:rPr>
          <w:rFonts w:cs="Times New Roman"/>
          <w:i/>
          <w:noProof/>
          <w:lang w:val="fr-CA"/>
        </w:rPr>
        <w:t>Code criminel</w:t>
      </w:r>
      <w:r w:rsidRPr="001B30C8">
        <w:rPr>
          <w:rFonts w:cs="Times New Roman"/>
          <w:noProof/>
          <w:lang w:val="fr-CA"/>
        </w:rPr>
        <w:t>). Ces trois infractions sont passibles d</w:t>
      </w:r>
      <w:r>
        <w:rPr>
          <w:rFonts w:cs="Times New Roman"/>
          <w:noProof/>
          <w:lang w:val="fr-CA"/>
        </w:rPr>
        <w:t>’</w:t>
      </w:r>
      <w:r w:rsidRPr="001B30C8">
        <w:rPr>
          <w:rFonts w:cs="Times New Roman"/>
          <w:noProof/>
          <w:lang w:val="fr-CA"/>
        </w:rPr>
        <w:t>une peine maximale d</w:t>
      </w:r>
      <w:r>
        <w:rPr>
          <w:rFonts w:cs="Times New Roman"/>
          <w:noProof/>
          <w:lang w:val="fr-CA"/>
        </w:rPr>
        <w:t>’</w:t>
      </w:r>
      <w:r w:rsidRPr="001B30C8">
        <w:rPr>
          <w:rFonts w:cs="Times New Roman"/>
          <w:noProof/>
          <w:lang w:val="fr-CA"/>
        </w:rPr>
        <w:t>emprisonnement à perpétuité —une indication selon laquelle le Parlement voulait qu</w:t>
      </w:r>
      <w:r>
        <w:rPr>
          <w:rFonts w:cs="Times New Roman"/>
          <w:noProof/>
          <w:lang w:val="fr-CA"/>
        </w:rPr>
        <w:t>’</w:t>
      </w:r>
      <w:r w:rsidRPr="001B30C8">
        <w:rPr>
          <w:rFonts w:cs="Times New Roman"/>
          <w:noProof/>
          <w:lang w:val="fr-CA"/>
        </w:rPr>
        <w:t>on les considère comme des infractions tout aussi graves l</w:t>
      </w:r>
      <w:r>
        <w:rPr>
          <w:rFonts w:cs="Times New Roman"/>
          <w:noProof/>
          <w:lang w:val="fr-CA"/>
        </w:rPr>
        <w:t>’</w:t>
      </w:r>
      <w:r w:rsidRPr="001B30C8">
        <w:rPr>
          <w:rFonts w:cs="Times New Roman"/>
          <w:noProof/>
          <w:lang w:val="fr-CA"/>
        </w:rPr>
        <w:t>une que l</w:t>
      </w:r>
      <w:r>
        <w:rPr>
          <w:rFonts w:cs="Times New Roman"/>
          <w:noProof/>
          <w:lang w:val="fr-CA"/>
        </w:rPr>
        <w:t>’</w:t>
      </w:r>
      <w:r w:rsidRPr="001B30C8">
        <w:rPr>
          <w:rFonts w:cs="Times New Roman"/>
          <w:noProof/>
          <w:lang w:val="fr-CA"/>
        </w:rPr>
        <w:t>autre. De plus, ces infractions visent toutes le même objectif primordial : décourager la conduite en état d</w:t>
      </w:r>
      <w:r>
        <w:rPr>
          <w:rFonts w:cs="Times New Roman"/>
          <w:noProof/>
          <w:lang w:val="fr-CA"/>
        </w:rPr>
        <w:t>’</w:t>
      </w:r>
      <w:r w:rsidRPr="001B30C8">
        <w:rPr>
          <w:rFonts w:cs="Times New Roman"/>
          <w:noProof/>
          <w:lang w:val="fr-CA"/>
        </w:rPr>
        <w:t>ébriété.</w:t>
      </w:r>
    </w:p>
    <w:p w:rsidR="001A0BA2" w:rsidRPr="001B30C8" w:rsidRDefault="001A0BA2" w:rsidP="001A0BA2">
      <w:pPr>
        <w:pStyle w:val="ParaNoNdepar-AltN"/>
        <w:rPr>
          <w:rFonts w:cs="Times New Roman"/>
          <w:noProof/>
          <w:lang w:val="fr-CA"/>
        </w:rPr>
      </w:pPr>
      <w:r w:rsidRPr="001B30C8">
        <w:rPr>
          <w:rFonts w:cs="Times New Roman"/>
          <w:noProof/>
          <w:lang w:val="fr-CA"/>
        </w:rPr>
        <w:lastRenderedPageBreak/>
        <w:t>La fourchette de peines applicable à ces infractions est assez large — allant de peines d</w:t>
      </w:r>
      <w:r>
        <w:rPr>
          <w:rFonts w:cs="Times New Roman"/>
          <w:noProof/>
          <w:lang w:val="fr-CA"/>
        </w:rPr>
        <w:t>’</w:t>
      </w:r>
      <w:r w:rsidRPr="001B30C8">
        <w:rPr>
          <w:rFonts w:cs="Times New Roman"/>
          <w:noProof/>
          <w:lang w:val="fr-CA"/>
        </w:rPr>
        <w:t>emprisonnement peu élevées de 2 ou 3 ans à des peines plus lourdes de 8 à 10 ans —, car les tribunaux ont reconnu qu</w:t>
      </w:r>
      <w:r>
        <w:rPr>
          <w:rFonts w:cs="Times New Roman"/>
          <w:noProof/>
          <w:lang w:val="fr-CA"/>
        </w:rPr>
        <w:t>’</w:t>
      </w:r>
      <w:r w:rsidRPr="001B30C8">
        <w:rPr>
          <w:rFonts w:cs="Times New Roman"/>
          <w:noProof/>
          <w:lang w:val="fr-CA"/>
        </w:rPr>
        <w:t xml:space="preserve">elles visent un vaste éventail de délinquants et de circonstances (voir </w:t>
      </w:r>
      <w:r w:rsidRPr="001B30C8">
        <w:rPr>
          <w:rFonts w:cs="Times New Roman"/>
          <w:i/>
          <w:noProof/>
          <w:lang w:val="fr-CA"/>
        </w:rPr>
        <w:t>R. c. Junkert</w:t>
      </w:r>
      <w:r w:rsidRPr="001B30C8">
        <w:rPr>
          <w:rFonts w:cs="Times New Roman"/>
          <w:noProof/>
          <w:lang w:val="fr-CA"/>
        </w:rPr>
        <w:t xml:space="preserve">, 2010 ONCA 549, 103 O.R. (3d) 284, par. 40; </w:t>
      </w:r>
      <w:r w:rsidRPr="001B30C8">
        <w:rPr>
          <w:rFonts w:cs="Times New Roman"/>
          <w:i/>
          <w:noProof/>
          <w:lang w:val="fr-CA"/>
        </w:rPr>
        <w:t>R. c. Kummer</w:t>
      </w:r>
      <w:r w:rsidRPr="001B30C8">
        <w:rPr>
          <w:rFonts w:cs="Times New Roman"/>
          <w:noProof/>
          <w:lang w:val="fr-CA"/>
        </w:rPr>
        <w:t xml:space="preserve">, 2011 ONCA 39, 103 O.R. (3d) 641, par. 21; </w:t>
      </w:r>
      <w:r w:rsidRPr="001B30C8">
        <w:rPr>
          <w:rFonts w:cs="Times New Roman"/>
          <w:i/>
          <w:noProof/>
          <w:lang w:val="fr-CA"/>
        </w:rPr>
        <w:t>Lacasse</w:t>
      </w:r>
      <w:r w:rsidRPr="001B30C8">
        <w:rPr>
          <w:rFonts w:cs="Times New Roman"/>
          <w:noProof/>
          <w:lang w:val="fr-CA"/>
        </w:rPr>
        <w:t>, par. 66). Le degré de culpabilité morale d</w:t>
      </w:r>
      <w:r>
        <w:rPr>
          <w:rFonts w:cs="Times New Roman"/>
          <w:noProof/>
          <w:lang w:val="fr-CA"/>
        </w:rPr>
        <w:t>’</w:t>
      </w:r>
      <w:r w:rsidRPr="001B30C8">
        <w:rPr>
          <w:rFonts w:cs="Times New Roman"/>
          <w:noProof/>
          <w:lang w:val="fr-CA"/>
        </w:rPr>
        <w:t>un délinquant variera considérablement selon les circonstances aggravantes et atténuantes de l</w:t>
      </w:r>
      <w:r>
        <w:rPr>
          <w:rFonts w:cs="Times New Roman"/>
          <w:noProof/>
          <w:lang w:val="fr-CA"/>
        </w:rPr>
        <w:t>’</w:t>
      </w:r>
      <w:r w:rsidRPr="001B30C8">
        <w:rPr>
          <w:rFonts w:cs="Times New Roman"/>
          <w:noProof/>
          <w:lang w:val="fr-CA"/>
        </w:rPr>
        <w:t>affaire. Dans certains cas uniques, les facteurs atténuants, les conséquences indirectes ou d</w:t>
      </w:r>
      <w:r>
        <w:rPr>
          <w:rFonts w:cs="Times New Roman"/>
          <w:noProof/>
          <w:lang w:val="fr-CA"/>
        </w:rPr>
        <w:t>’</w:t>
      </w:r>
      <w:r w:rsidRPr="001B30C8">
        <w:rPr>
          <w:rFonts w:cs="Times New Roman"/>
          <w:noProof/>
          <w:lang w:val="fr-CA"/>
        </w:rPr>
        <w:t>autres circonstances atténuantes liées à la perpétration de l</w:t>
      </w:r>
      <w:r>
        <w:rPr>
          <w:rFonts w:cs="Times New Roman"/>
          <w:noProof/>
          <w:lang w:val="fr-CA"/>
        </w:rPr>
        <w:t>’</w:t>
      </w:r>
      <w:r w:rsidRPr="001B30C8">
        <w:rPr>
          <w:rFonts w:cs="Times New Roman"/>
          <w:noProof/>
          <w:lang w:val="fr-CA"/>
        </w:rPr>
        <w:t>infraction ou à la situation du délinquant pourraient justifier l</w:t>
      </w:r>
      <w:r>
        <w:rPr>
          <w:rFonts w:cs="Times New Roman"/>
          <w:noProof/>
          <w:lang w:val="fr-CA"/>
        </w:rPr>
        <w:t>’</w:t>
      </w:r>
      <w:r w:rsidRPr="001B30C8">
        <w:rPr>
          <w:rFonts w:cs="Times New Roman"/>
          <w:noProof/>
          <w:lang w:val="fr-CA"/>
        </w:rPr>
        <w:t>infliction d</w:t>
      </w:r>
      <w:r>
        <w:rPr>
          <w:rFonts w:cs="Times New Roman"/>
          <w:noProof/>
          <w:lang w:val="fr-CA"/>
        </w:rPr>
        <w:t>’</w:t>
      </w:r>
      <w:r w:rsidR="00F02104">
        <w:rPr>
          <w:rFonts w:cs="Times New Roman"/>
          <w:noProof/>
          <w:lang w:val="fr-CA"/>
        </w:rPr>
        <w:t>une peine qui se situe en deçà</w:t>
      </w:r>
      <w:r w:rsidRPr="001B30C8">
        <w:rPr>
          <w:rFonts w:cs="Times New Roman"/>
          <w:noProof/>
          <w:lang w:val="fr-CA"/>
        </w:rPr>
        <w:t xml:space="preserve"> de cette large fourchette.</w:t>
      </w:r>
      <w:r w:rsidRPr="001B30C8">
        <w:rPr>
          <w:rFonts w:cs="Times New Roman"/>
          <w:lang w:val="fr-CA"/>
        </w:rPr>
        <w:t xml:space="preserve"> Dans le même ordre d</w:t>
      </w:r>
      <w:r>
        <w:rPr>
          <w:rFonts w:cs="Times New Roman"/>
          <w:lang w:val="fr-CA"/>
        </w:rPr>
        <w:t>’</w:t>
      </w:r>
      <w:r w:rsidRPr="001B30C8">
        <w:rPr>
          <w:rFonts w:cs="Times New Roman"/>
          <w:lang w:val="fr-CA"/>
        </w:rPr>
        <w:t>idées, les circonstances aggravantes de l</w:t>
      </w:r>
      <w:r>
        <w:rPr>
          <w:rFonts w:cs="Times New Roman"/>
          <w:lang w:val="fr-CA"/>
        </w:rPr>
        <w:t>’</w:t>
      </w:r>
      <w:r w:rsidRPr="001B30C8">
        <w:rPr>
          <w:rFonts w:cs="Times New Roman"/>
          <w:lang w:val="fr-CA"/>
        </w:rPr>
        <w:t>affaire pourraient justifier l</w:t>
      </w:r>
      <w:r>
        <w:rPr>
          <w:rFonts w:cs="Times New Roman"/>
          <w:lang w:val="fr-CA"/>
        </w:rPr>
        <w:t>’</w:t>
      </w:r>
      <w:r w:rsidRPr="001B30C8">
        <w:rPr>
          <w:rFonts w:cs="Times New Roman"/>
          <w:lang w:val="fr-CA"/>
        </w:rPr>
        <w:t>imposition d</w:t>
      </w:r>
      <w:r>
        <w:rPr>
          <w:rFonts w:cs="Times New Roman"/>
          <w:lang w:val="fr-CA"/>
        </w:rPr>
        <w:t>’</w:t>
      </w:r>
      <w:r w:rsidRPr="001B30C8">
        <w:rPr>
          <w:rFonts w:cs="Times New Roman"/>
          <w:lang w:val="fr-CA"/>
        </w:rPr>
        <w:t>une peine qui se situe au</w:t>
      </w:r>
      <w:r w:rsidRPr="001B30C8">
        <w:rPr>
          <w:rFonts w:cs="Times New Roman"/>
          <w:lang w:val="fr-CA"/>
        </w:rPr>
        <w:noBreakHyphen/>
        <w:t xml:space="preserve">delà de cette fourchette. </w:t>
      </w:r>
      <w:r w:rsidRPr="001B30C8">
        <w:rPr>
          <w:rFonts w:cs="Times New Roman"/>
          <w:noProof/>
          <w:lang w:val="fr-CA"/>
        </w:rPr>
        <w:t xml:space="preserve">Dans la mesure où elle respecte les principes et les objectifs de la détermination de la peine codifiés aux art. 718 à 718.2 du </w:t>
      </w:r>
      <w:r w:rsidRPr="001B30C8">
        <w:rPr>
          <w:rFonts w:cs="Times New Roman"/>
          <w:i/>
          <w:noProof/>
          <w:lang w:val="fr-CA"/>
        </w:rPr>
        <w:t>Code criminel</w:t>
      </w:r>
      <w:r w:rsidRPr="001B30C8">
        <w:rPr>
          <w:rFonts w:cs="Times New Roman"/>
          <w:noProof/>
          <w:lang w:val="fr-CA"/>
        </w:rPr>
        <w:t xml:space="preserve"> et où elle est proportionnelle à la gravité de l</w:t>
      </w:r>
      <w:r>
        <w:rPr>
          <w:rFonts w:cs="Times New Roman"/>
          <w:noProof/>
          <w:lang w:val="fr-CA"/>
        </w:rPr>
        <w:t>’</w:t>
      </w:r>
      <w:r w:rsidRPr="001B30C8">
        <w:rPr>
          <w:rFonts w:cs="Times New Roman"/>
          <w:noProof/>
          <w:lang w:val="fr-CA"/>
        </w:rPr>
        <w:t>infraction et au degré de culpabilité morale du délinquant, la peine sera indiquée.</w:t>
      </w:r>
    </w:p>
    <w:p w:rsidR="001A0BA2" w:rsidRPr="001B30C8" w:rsidRDefault="001A0BA2" w:rsidP="001A0BA2">
      <w:pPr>
        <w:pStyle w:val="ParaNoNdepar-AltN"/>
        <w:rPr>
          <w:rFonts w:cs="Times New Roman"/>
          <w:noProof/>
          <w:lang w:val="fr-CA"/>
        </w:rPr>
      </w:pPr>
      <w:r w:rsidRPr="001B30C8">
        <w:rPr>
          <w:rFonts w:cs="Times New Roman"/>
          <w:noProof/>
          <w:lang w:val="fr-CA"/>
        </w:rPr>
        <w:t>Comme je l</w:t>
      </w:r>
      <w:r>
        <w:rPr>
          <w:rFonts w:cs="Times New Roman"/>
          <w:noProof/>
          <w:lang w:val="fr-CA"/>
        </w:rPr>
        <w:t>’</w:t>
      </w:r>
      <w:r w:rsidRPr="001B30C8">
        <w:rPr>
          <w:rFonts w:cs="Times New Roman"/>
          <w:noProof/>
          <w:lang w:val="fr-CA"/>
        </w:rPr>
        <w:t>expliquerai, et soit dit en tout respect, j</w:t>
      </w:r>
      <w:r>
        <w:rPr>
          <w:rFonts w:cs="Times New Roman"/>
          <w:noProof/>
          <w:lang w:val="fr-CA"/>
        </w:rPr>
        <w:t>’</w:t>
      </w:r>
      <w:r w:rsidRPr="001B30C8">
        <w:rPr>
          <w:rFonts w:cs="Times New Roman"/>
          <w:noProof/>
          <w:lang w:val="fr-CA"/>
        </w:rPr>
        <w:t>estime que le juge de la peine et la Cour d</w:t>
      </w:r>
      <w:r>
        <w:rPr>
          <w:rFonts w:cs="Times New Roman"/>
          <w:noProof/>
          <w:lang w:val="fr-CA"/>
        </w:rPr>
        <w:t>’</w:t>
      </w:r>
      <w:r w:rsidRPr="001B30C8">
        <w:rPr>
          <w:rFonts w:cs="Times New Roman"/>
          <w:noProof/>
          <w:lang w:val="fr-CA"/>
        </w:rPr>
        <w:t>appel ont commis des erreurs de principe et que ces erreurs ont amené les deux juridictions à infliger des peines non indiquées dans les circonstances de l</w:t>
      </w:r>
      <w:r>
        <w:rPr>
          <w:rFonts w:cs="Times New Roman"/>
          <w:noProof/>
          <w:lang w:val="fr-CA"/>
        </w:rPr>
        <w:t>’</w:t>
      </w:r>
      <w:r w:rsidRPr="001B30C8">
        <w:rPr>
          <w:rFonts w:cs="Times New Roman"/>
          <w:noProof/>
          <w:lang w:val="fr-CA"/>
        </w:rPr>
        <w:t>espèce.</w:t>
      </w:r>
    </w:p>
    <w:p w:rsidR="001A0BA2" w:rsidRPr="001B30C8" w:rsidRDefault="001A0BA2" w:rsidP="001A0BA2">
      <w:pPr>
        <w:pStyle w:val="Title2LevelTitre2Niveau"/>
        <w:rPr>
          <w:rFonts w:cs="Times New Roman"/>
          <w:noProof/>
          <w:lang w:val="fr-CA"/>
        </w:rPr>
      </w:pPr>
      <w:r w:rsidRPr="001B30C8">
        <w:rPr>
          <w:rFonts w:cs="Times New Roman"/>
          <w:noProof/>
          <w:lang w:val="fr-CA"/>
        </w:rPr>
        <w:t>La décision de la Cour d</w:t>
      </w:r>
      <w:r>
        <w:rPr>
          <w:rFonts w:cs="Times New Roman"/>
          <w:noProof/>
          <w:lang w:val="fr-CA"/>
        </w:rPr>
        <w:t>’</w:t>
      </w:r>
      <w:r w:rsidRPr="001B30C8">
        <w:rPr>
          <w:rFonts w:cs="Times New Roman"/>
          <w:noProof/>
          <w:lang w:val="fr-CA"/>
        </w:rPr>
        <w:t>appel de l</w:t>
      </w:r>
      <w:r>
        <w:rPr>
          <w:rFonts w:cs="Times New Roman"/>
          <w:noProof/>
          <w:lang w:val="fr-CA"/>
        </w:rPr>
        <w:t>’</w:t>
      </w:r>
      <w:r w:rsidRPr="001B30C8">
        <w:rPr>
          <w:rFonts w:cs="Times New Roman"/>
          <w:noProof/>
          <w:lang w:val="fr-CA"/>
        </w:rPr>
        <w:t>Alberta</w:t>
      </w:r>
    </w:p>
    <w:p w:rsidR="001A0BA2" w:rsidRPr="001B30C8" w:rsidRDefault="001A0BA2" w:rsidP="001A0BA2">
      <w:pPr>
        <w:pStyle w:val="Title3LevelTitre3Niveau"/>
        <w:rPr>
          <w:rFonts w:cs="Times New Roman"/>
          <w:noProof/>
          <w:lang w:val="fr-CA"/>
        </w:rPr>
      </w:pPr>
      <w:r w:rsidRPr="001B30C8">
        <w:rPr>
          <w:rFonts w:cs="Times New Roman"/>
          <w:noProof/>
          <w:lang w:val="fr-CA"/>
        </w:rPr>
        <w:t>La Cour d</w:t>
      </w:r>
      <w:r>
        <w:rPr>
          <w:rFonts w:cs="Times New Roman"/>
          <w:noProof/>
          <w:lang w:val="fr-CA"/>
        </w:rPr>
        <w:t>’</w:t>
      </w:r>
      <w:r w:rsidRPr="001B30C8">
        <w:rPr>
          <w:rFonts w:cs="Times New Roman"/>
          <w:noProof/>
          <w:lang w:val="fr-CA"/>
        </w:rPr>
        <w:t>appel n</w:t>
      </w:r>
      <w:r>
        <w:rPr>
          <w:rFonts w:cs="Times New Roman"/>
          <w:noProof/>
          <w:lang w:val="fr-CA"/>
        </w:rPr>
        <w:t>’</w:t>
      </w:r>
      <w:r w:rsidRPr="001B30C8">
        <w:rPr>
          <w:rFonts w:cs="Times New Roman"/>
          <w:noProof/>
          <w:lang w:val="fr-CA"/>
        </w:rPr>
        <w:t>a pas commis d</w:t>
      </w:r>
      <w:r>
        <w:rPr>
          <w:rFonts w:cs="Times New Roman"/>
          <w:noProof/>
          <w:lang w:val="fr-CA"/>
        </w:rPr>
        <w:t>’</w:t>
      </w:r>
      <w:r w:rsidRPr="001B30C8">
        <w:rPr>
          <w:rFonts w:cs="Times New Roman"/>
          <w:noProof/>
          <w:lang w:val="fr-CA"/>
        </w:rPr>
        <w:t>erreur en soulevant de nouvelles questions</w:t>
      </w:r>
    </w:p>
    <w:p w:rsidR="001A0BA2" w:rsidRPr="001B30C8" w:rsidRDefault="001A0BA2" w:rsidP="001A0BA2">
      <w:pPr>
        <w:pStyle w:val="ParaNoNdepar-AltN"/>
        <w:rPr>
          <w:rFonts w:cs="Times New Roman"/>
          <w:noProof/>
          <w:lang w:val="fr-CA"/>
        </w:rPr>
      </w:pPr>
      <w:r w:rsidRPr="001B30C8">
        <w:rPr>
          <w:rFonts w:cs="Times New Roman"/>
          <w:noProof/>
          <w:lang w:val="fr-CA"/>
        </w:rPr>
        <w:lastRenderedPageBreak/>
        <w:t>Avant de me pencher sur les erreurs commises par la Cour d</w:t>
      </w:r>
      <w:r>
        <w:rPr>
          <w:rFonts w:cs="Times New Roman"/>
          <w:noProof/>
          <w:lang w:val="fr-CA"/>
        </w:rPr>
        <w:t>’</w:t>
      </w:r>
      <w:r w:rsidRPr="001B30C8">
        <w:rPr>
          <w:rFonts w:cs="Times New Roman"/>
          <w:noProof/>
          <w:lang w:val="fr-CA"/>
        </w:rPr>
        <w:t>appel dans son analyse relative à la détermination de la peine, j</w:t>
      </w:r>
      <w:r>
        <w:rPr>
          <w:rFonts w:cs="Times New Roman"/>
          <w:noProof/>
          <w:lang w:val="fr-CA"/>
        </w:rPr>
        <w:t>’</w:t>
      </w:r>
      <w:r w:rsidRPr="001B30C8">
        <w:rPr>
          <w:rFonts w:cs="Times New Roman"/>
          <w:noProof/>
          <w:lang w:val="fr-CA"/>
        </w:rPr>
        <w:t>examinerai brièvement l</w:t>
      </w:r>
      <w:r>
        <w:rPr>
          <w:rFonts w:cs="Times New Roman"/>
          <w:noProof/>
          <w:lang w:val="fr-CA"/>
        </w:rPr>
        <w:t>’</w:t>
      </w:r>
      <w:r w:rsidRPr="001B30C8">
        <w:rPr>
          <w:rFonts w:cs="Times New Roman"/>
          <w:noProof/>
          <w:lang w:val="fr-CA"/>
        </w:rPr>
        <w:t>argument de M. Suter voulant que la cour ait commis une erreur en soulevant à tort de nouvelles questions, contrairement à l</w:t>
      </w:r>
      <w:r>
        <w:rPr>
          <w:rFonts w:cs="Times New Roman"/>
          <w:noProof/>
          <w:lang w:val="fr-CA"/>
        </w:rPr>
        <w:t>’</w:t>
      </w:r>
      <w:r w:rsidRPr="001B30C8">
        <w:rPr>
          <w:rFonts w:cs="Times New Roman"/>
          <w:noProof/>
          <w:lang w:val="fr-CA"/>
        </w:rPr>
        <w:t xml:space="preserve">arrêt </w:t>
      </w:r>
      <w:r w:rsidRPr="001B30C8">
        <w:rPr>
          <w:rFonts w:cs="Times New Roman"/>
          <w:i/>
          <w:noProof/>
          <w:lang w:val="fr-CA"/>
        </w:rPr>
        <w:t>R. c. Mian</w:t>
      </w:r>
      <w:r w:rsidRPr="001B30C8">
        <w:rPr>
          <w:rFonts w:cs="Times New Roman"/>
          <w:noProof/>
          <w:lang w:val="fr-CA"/>
        </w:rPr>
        <w:t>, 2014 CSC 54, [2014] 2 R.C.S. 689, de notre Cour.</w:t>
      </w:r>
    </w:p>
    <w:p w:rsidR="001A0BA2" w:rsidRPr="001B30C8" w:rsidRDefault="001A0BA2" w:rsidP="001A0BA2">
      <w:pPr>
        <w:pStyle w:val="ParaNoNdepar-AltN"/>
        <w:rPr>
          <w:rFonts w:cs="Times New Roman"/>
          <w:noProof/>
          <w:lang w:val="fr-CA"/>
        </w:rPr>
      </w:pPr>
      <w:r w:rsidRPr="001B30C8">
        <w:rPr>
          <w:rFonts w:cs="Times New Roman"/>
          <w:noProof/>
          <w:lang w:val="fr-CA"/>
        </w:rPr>
        <w:t>Suivant l</w:t>
      </w:r>
      <w:r>
        <w:rPr>
          <w:rFonts w:cs="Times New Roman"/>
          <w:noProof/>
          <w:lang w:val="fr-CA"/>
        </w:rPr>
        <w:t>’</w:t>
      </w:r>
      <w:r w:rsidRPr="001B30C8">
        <w:rPr>
          <w:rFonts w:cs="Times New Roman"/>
          <w:noProof/>
          <w:lang w:val="fr-CA"/>
        </w:rPr>
        <w:t xml:space="preserve">arrêt </w:t>
      </w:r>
      <w:r w:rsidRPr="001B30C8">
        <w:rPr>
          <w:rFonts w:cs="Times New Roman"/>
          <w:i/>
          <w:noProof/>
          <w:lang w:val="fr-CA"/>
        </w:rPr>
        <w:t>Mian</w:t>
      </w:r>
      <w:r w:rsidRPr="001B30C8">
        <w:rPr>
          <w:rFonts w:cs="Times New Roman"/>
          <w:noProof/>
          <w:lang w:val="fr-CA"/>
        </w:rPr>
        <w:t>, les questions nouvelles sont « différentes, sur les plans juridique et factuel, des moyens d</w:t>
      </w:r>
      <w:r>
        <w:rPr>
          <w:rFonts w:cs="Times New Roman"/>
          <w:noProof/>
          <w:lang w:val="fr-CA"/>
        </w:rPr>
        <w:t>’</w:t>
      </w:r>
      <w:r w:rsidRPr="001B30C8">
        <w:rPr>
          <w:rFonts w:cs="Times New Roman"/>
          <w:noProof/>
          <w:lang w:val="fr-CA"/>
        </w:rPr>
        <w:t>appel soulevés par les parties » et « on ne peut pas raisonnablement prétendre qu</w:t>
      </w:r>
      <w:r>
        <w:rPr>
          <w:rFonts w:cs="Times New Roman"/>
          <w:noProof/>
          <w:lang w:val="fr-CA"/>
        </w:rPr>
        <w:t>’</w:t>
      </w:r>
      <w:r w:rsidRPr="001B30C8">
        <w:rPr>
          <w:rFonts w:cs="Times New Roman"/>
          <w:noProof/>
          <w:lang w:val="fr-CA"/>
        </w:rPr>
        <w:t xml:space="preserve">elles découlent des questions formulées par les parties » (par. 30 et 35). </w:t>
      </w:r>
      <w:r w:rsidRPr="001B30C8">
        <w:rPr>
          <w:rFonts w:cs="Times New Roman"/>
          <w:lang w:val="fr-CA"/>
        </w:rPr>
        <w:t>De telles questions ne peuvent être soulevées que si l</w:t>
      </w:r>
      <w:r>
        <w:rPr>
          <w:rFonts w:cs="Times New Roman"/>
          <w:lang w:val="fr-CA"/>
        </w:rPr>
        <w:t>’</w:t>
      </w:r>
      <w:r w:rsidRPr="001B30C8">
        <w:rPr>
          <w:rFonts w:cs="Times New Roman"/>
          <w:lang w:val="fr-CA"/>
        </w:rPr>
        <w:t>omission de le faire risquerait d</w:t>
      </w:r>
      <w:r>
        <w:rPr>
          <w:rFonts w:cs="Times New Roman"/>
          <w:lang w:val="fr-CA"/>
        </w:rPr>
        <w:t>’</w:t>
      </w:r>
      <w:r w:rsidRPr="001B30C8">
        <w:rPr>
          <w:rFonts w:cs="Times New Roman"/>
          <w:lang w:val="fr-CA"/>
        </w:rPr>
        <w:t>entraîner une injustice, par exemple si la cour d</w:t>
      </w:r>
      <w:r>
        <w:rPr>
          <w:rFonts w:cs="Times New Roman"/>
          <w:lang w:val="fr-CA"/>
        </w:rPr>
        <w:t>’</w:t>
      </w:r>
      <w:r w:rsidRPr="001B30C8">
        <w:rPr>
          <w:rFonts w:cs="Times New Roman"/>
          <w:lang w:val="fr-CA"/>
        </w:rPr>
        <w:t xml:space="preserve">appel a </w:t>
      </w:r>
      <w:r w:rsidRPr="001B30C8">
        <w:rPr>
          <w:rFonts w:cs="Times New Roman"/>
          <w:noProof/>
          <w:lang w:val="fr-CA"/>
        </w:rPr>
        <w:t>« une bonne raison de croire que le résultat aurait réalistement été différent si l</w:t>
      </w:r>
      <w:r>
        <w:rPr>
          <w:rFonts w:cs="Times New Roman"/>
          <w:noProof/>
          <w:lang w:val="fr-CA"/>
        </w:rPr>
        <w:t>’</w:t>
      </w:r>
      <w:r w:rsidRPr="001B30C8">
        <w:rPr>
          <w:rFonts w:cs="Times New Roman"/>
          <w:noProof/>
          <w:lang w:val="fr-CA"/>
        </w:rPr>
        <w:t>erreur n</w:t>
      </w:r>
      <w:r>
        <w:rPr>
          <w:rFonts w:cs="Times New Roman"/>
          <w:noProof/>
          <w:lang w:val="fr-CA"/>
        </w:rPr>
        <w:t>’</w:t>
      </w:r>
      <w:r w:rsidRPr="001B30C8">
        <w:rPr>
          <w:rFonts w:cs="Times New Roman"/>
          <w:noProof/>
          <w:lang w:val="fr-CA"/>
        </w:rPr>
        <w:t>avait pas été commise » (par. 45). Une question sera soulevée à bon droit si les parties en sont notifiées et ont l</w:t>
      </w:r>
      <w:r>
        <w:rPr>
          <w:rFonts w:cs="Times New Roman"/>
          <w:noProof/>
          <w:lang w:val="fr-CA"/>
        </w:rPr>
        <w:t>’</w:t>
      </w:r>
      <w:r w:rsidRPr="001B30C8">
        <w:rPr>
          <w:rFonts w:cs="Times New Roman"/>
          <w:noProof/>
          <w:lang w:val="fr-CA"/>
        </w:rPr>
        <w:t>occasion d</w:t>
      </w:r>
      <w:r>
        <w:rPr>
          <w:rFonts w:cs="Times New Roman"/>
          <w:noProof/>
          <w:lang w:val="fr-CA"/>
        </w:rPr>
        <w:t>’</w:t>
      </w:r>
      <w:r w:rsidRPr="001B30C8">
        <w:rPr>
          <w:rFonts w:cs="Times New Roman"/>
          <w:noProof/>
          <w:lang w:val="fr-CA"/>
        </w:rPr>
        <w:t>y répondre (par. 54). Pour que la notification soit suffisante, la cour d</w:t>
      </w:r>
      <w:r>
        <w:rPr>
          <w:rFonts w:cs="Times New Roman"/>
          <w:noProof/>
          <w:lang w:val="fr-CA"/>
        </w:rPr>
        <w:t>’</w:t>
      </w:r>
      <w:r w:rsidRPr="001B30C8">
        <w:rPr>
          <w:rFonts w:cs="Times New Roman"/>
          <w:noProof/>
          <w:lang w:val="fr-CA"/>
        </w:rPr>
        <w:t>appel doit « aviser les parties qu</w:t>
      </w:r>
      <w:r>
        <w:rPr>
          <w:rFonts w:cs="Times New Roman"/>
          <w:noProof/>
          <w:lang w:val="fr-CA"/>
        </w:rPr>
        <w:t>’</w:t>
      </w:r>
      <w:r w:rsidRPr="001B30C8">
        <w:rPr>
          <w:rFonts w:cs="Times New Roman"/>
          <w:noProof/>
          <w:lang w:val="fr-CA"/>
        </w:rPr>
        <w:t>elle a identifié une question susceptible de se poser et veiller à ce que les parties en soient suffisamment informées pour qu</w:t>
      </w:r>
      <w:r>
        <w:rPr>
          <w:rFonts w:cs="Times New Roman"/>
          <w:noProof/>
          <w:lang w:val="fr-CA"/>
        </w:rPr>
        <w:t>’</w:t>
      </w:r>
      <w:r w:rsidRPr="001B30C8">
        <w:rPr>
          <w:rFonts w:cs="Times New Roman"/>
          <w:noProof/>
          <w:lang w:val="fr-CA"/>
        </w:rPr>
        <w:t>elles puissent se préparer et y répondre » (</w:t>
      </w:r>
      <w:r w:rsidRPr="001B30C8">
        <w:rPr>
          <w:rFonts w:cs="Times New Roman"/>
          <w:i/>
          <w:noProof/>
          <w:lang w:val="fr-CA"/>
        </w:rPr>
        <w:t>ibid.</w:t>
      </w:r>
      <w:r w:rsidRPr="001B30C8">
        <w:rPr>
          <w:rFonts w:cs="Times New Roman"/>
          <w:noProof/>
          <w:lang w:val="fr-CA"/>
        </w:rPr>
        <w:t>). L</w:t>
      </w:r>
      <w:r>
        <w:rPr>
          <w:rFonts w:cs="Times New Roman"/>
          <w:noProof/>
          <w:lang w:val="fr-CA"/>
        </w:rPr>
        <w:t>’</w:t>
      </w:r>
      <w:r w:rsidRPr="001B30C8">
        <w:rPr>
          <w:rFonts w:cs="Times New Roman"/>
          <w:noProof/>
          <w:lang w:val="fr-CA"/>
        </w:rPr>
        <w:t>occasion de répondre comprend la possibilité de déposer des arguments écrits, de présenter des observations orales sur le sujet ou de faire les deux (par. 59).</w:t>
      </w:r>
    </w:p>
    <w:p w:rsidR="001A0BA2" w:rsidRPr="001B30C8" w:rsidRDefault="001A0BA2" w:rsidP="001A0BA2">
      <w:pPr>
        <w:pStyle w:val="ParaNoNdepar-AltN"/>
        <w:rPr>
          <w:rFonts w:cs="Times New Roman"/>
          <w:noProof/>
          <w:lang w:val="fr-CA"/>
        </w:rPr>
      </w:pPr>
      <w:r w:rsidRPr="001B30C8">
        <w:rPr>
          <w:rFonts w:cs="Times New Roman"/>
          <w:noProof/>
          <w:lang w:val="fr-CA"/>
        </w:rPr>
        <w:t>Monsieur Suter soutient que la Cour d</w:t>
      </w:r>
      <w:r>
        <w:rPr>
          <w:rFonts w:cs="Times New Roman"/>
          <w:noProof/>
          <w:lang w:val="fr-CA"/>
        </w:rPr>
        <w:t>’</w:t>
      </w:r>
      <w:r w:rsidRPr="001B30C8">
        <w:rPr>
          <w:rFonts w:cs="Times New Roman"/>
          <w:noProof/>
          <w:lang w:val="fr-CA"/>
        </w:rPr>
        <w:t>appel a soulevé à tort deux questions, à savoir : (1) si les actes de violence justicière qu</w:t>
      </w:r>
      <w:r>
        <w:rPr>
          <w:rFonts w:cs="Times New Roman"/>
          <w:noProof/>
          <w:lang w:val="fr-CA"/>
        </w:rPr>
        <w:t>’</w:t>
      </w:r>
      <w:r w:rsidRPr="001B30C8">
        <w:rPr>
          <w:rFonts w:cs="Times New Roman"/>
          <w:noProof/>
          <w:lang w:val="fr-CA"/>
        </w:rPr>
        <w:t>il a subis auraient dû être considérés comme un facteur atténuant et (2) si sa manière de conduire aurait dû être considérée comme un facteur aggravant.</w:t>
      </w:r>
    </w:p>
    <w:p w:rsidR="001A0BA2" w:rsidRPr="001B30C8" w:rsidRDefault="001A0BA2" w:rsidP="001A0BA2">
      <w:pPr>
        <w:pStyle w:val="ParaNoNdepar-AltN"/>
        <w:rPr>
          <w:rFonts w:cs="Times New Roman"/>
          <w:noProof/>
          <w:lang w:val="fr-CA"/>
        </w:rPr>
      </w:pPr>
      <w:r w:rsidRPr="001B30C8">
        <w:rPr>
          <w:rFonts w:cs="Times New Roman"/>
          <w:noProof/>
          <w:lang w:val="fr-CA"/>
        </w:rPr>
        <w:lastRenderedPageBreak/>
        <w:t>J</w:t>
      </w:r>
      <w:r>
        <w:rPr>
          <w:rFonts w:cs="Times New Roman"/>
          <w:noProof/>
          <w:lang w:val="fr-CA"/>
        </w:rPr>
        <w:t>’</w:t>
      </w:r>
      <w:r w:rsidRPr="001B30C8">
        <w:rPr>
          <w:rFonts w:cs="Times New Roman"/>
          <w:noProof/>
          <w:lang w:val="fr-CA"/>
        </w:rPr>
        <w:t>examinerai d</w:t>
      </w:r>
      <w:r>
        <w:rPr>
          <w:rFonts w:cs="Times New Roman"/>
          <w:noProof/>
          <w:lang w:val="fr-CA"/>
        </w:rPr>
        <w:t>’</w:t>
      </w:r>
      <w:r w:rsidRPr="001B30C8">
        <w:rPr>
          <w:rFonts w:cs="Times New Roman"/>
          <w:noProof/>
          <w:lang w:val="fr-CA"/>
        </w:rPr>
        <w:t>abord la première question : l</w:t>
      </w:r>
      <w:r>
        <w:rPr>
          <w:rFonts w:cs="Times New Roman"/>
          <w:noProof/>
          <w:lang w:val="fr-CA"/>
        </w:rPr>
        <w:t>’</w:t>
      </w:r>
      <w:r w:rsidRPr="001B30C8">
        <w:rPr>
          <w:rFonts w:cs="Times New Roman"/>
          <w:noProof/>
          <w:lang w:val="fr-CA"/>
        </w:rPr>
        <w:t>effet des actes de violence justicière sur la peine de M. Suter. Au cours des plaidoiries devant la Cour d</w:t>
      </w:r>
      <w:r>
        <w:rPr>
          <w:rFonts w:cs="Times New Roman"/>
          <w:noProof/>
          <w:lang w:val="fr-CA"/>
        </w:rPr>
        <w:t>’</w:t>
      </w:r>
      <w:r w:rsidRPr="001B30C8">
        <w:rPr>
          <w:rFonts w:cs="Times New Roman"/>
          <w:noProof/>
          <w:lang w:val="fr-CA"/>
        </w:rPr>
        <w:t>appel, les deux parties ont parlé de l</w:t>
      </w:r>
      <w:r>
        <w:rPr>
          <w:rFonts w:cs="Times New Roman"/>
          <w:noProof/>
          <w:lang w:val="fr-CA"/>
        </w:rPr>
        <w:t>’</w:t>
      </w:r>
      <w:r w:rsidRPr="001B30C8">
        <w:rPr>
          <w:rFonts w:cs="Times New Roman"/>
          <w:noProof/>
          <w:lang w:val="fr-CA"/>
        </w:rPr>
        <w:t>importance à accorder à de tels actes de violence lors de la détermination de la peine. Il s</w:t>
      </w:r>
      <w:r>
        <w:rPr>
          <w:rFonts w:cs="Times New Roman"/>
          <w:noProof/>
          <w:lang w:val="fr-CA"/>
        </w:rPr>
        <w:t>’</w:t>
      </w:r>
      <w:r w:rsidRPr="001B30C8">
        <w:rPr>
          <w:rFonts w:cs="Times New Roman"/>
          <w:noProof/>
          <w:lang w:val="fr-CA"/>
        </w:rPr>
        <w:t>ensuit, à mon avis, qu</w:t>
      </w:r>
      <w:r>
        <w:rPr>
          <w:rFonts w:cs="Times New Roman"/>
          <w:noProof/>
          <w:lang w:val="fr-CA"/>
        </w:rPr>
        <w:t>’</w:t>
      </w:r>
      <w:r w:rsidRPr="001B30C8">
        <w:rPr>
          <w:rFonts w:cs="Times New Roman"/>
          <w:noProof/>
          <w:lang w:val="fr-CA"/>
        </w:rPr>
        <w:t>il ne s</w:t>
      </w:r>
      <w:r>
        <w:rPr>
          <w:rFonts w:cs="Times New Roman"/>
          <w:noProof/>
          <w:lang w:val="fr-CA"/>
        </w:rPr>
        <w:t>’</w:t>
      </w:r>
      <w:r w:rsidRPr="001B30C8">
        <w:rPr>
          <w:rFonts w:cs="Times New Roman"/>
          <w:noProof/>
          <w:lang w:val="fr-CA"/>
        </w:rPr>
        <w:t>agissait pas d</w:t>
      </w:r>
      <w:r>
        <w:rPr>
          <w:rFonts w:cs="Times New Roman"/>
          <w:noProof/>
          <w:lang w:val="fr-CA"/>
        </w:rPr>
        <w:t>’</w:t>
      </w:r>
      <w:r w:rsidRPr="001B30C8">
        <w:rPr>
          <w:rFonts w:cs="Times New Roman"/>
          <w:noProof/>
          <w:lang w:val="fr-CA"/>
        </w:rPr>
        <w:t>une nouvelle question au sens de l</w:t>
      </w:r>
      <w:r>
        <w:rPr>
          <w:rFonts w:cs="Times New Roman"/>
          <w:noProof/>
          <w:lang w:val="fr-CA"/>
        </w:rPr>
        <w:t>’</w:t>
      </w:r>
      <w:r w:rsidRPr="001B30C8">
        <w:rPr>
          <w:rFonts w:cs="Times New Roman"/>
          <w:noProof/>
          <w:lang w:val="fr-CA"/>
        </w:rPr>
        <w:t xml:space="preserve">arrêt </w:t>
      </w:r>
      <w:r w:rsidRPr="001B30C8">
        <w:rPr>
          <w:rFonts w:cs="Times New Roman"/>
          <w:i/>
          <w:noProof/>
          <w:lang w:val="fr-CA"/>
        </w:rPr>
        <w:t>Mian</w:t>
      </w:r>
      <w:r w:rsidRPr="001B30C8">
        <w:rPr>
          <w:rFonts w:cs="Times New Roman"/>
          <w:noProof/>
          <w:lang w:val="fr-CA"/>
        </w:rPr>
        <w:t xml:space="preserve"> — celle</w:t>
      </w:r>
      <w:r w:rsidRPr="001B30C8">
        <w:rPr>
          <w:rFonts w:cs="Times New Roman"/>
          <w:noProof/>
          <w:lang w:val="fr-CA"/>
        </w:rPr>
        <w:noBreakHyphen/>
        <w:t>ci n</w:t>
      </w:r>
      <w:r>
        <w:rPr>
          <w:rFonts w:cs="Times New Roman"/>
          <w:noProof/>
          <w:lang w:val="fr-CA"/>
        </w:rPr>
        <w:t>’</w:t>
      </w:r>
      <w:r w:rsidRPr="001B30C8">
        <w:rPr>
          <w:rFonts w:cs="Times New Roman"/>
          <w:noProof/>
          <w:lang w:val="fr-CA"/>
        </w:rPr>
        <w:t>était pas différente, sur les plans juridique et factuel, des questions soulevées par les parties. Par conséquent, la Cour d</w:t>
      </w:r>
      <w:r>
        <w:rPr>
          <w:rFonts w:cs="Times New Roman"/>
          <w:noProof/>
          <w:lang w:val="fr-CA"/>
        </w:rPr>
        <w:t>’</w:t>
      </w:r>
      <w:r w:rsidRPr="001B30C8">
        <w:rPr>
          <w:rFonts w:cs="Times New Roman"/>
          <w:noProof/>
          <w:lang w:val="fr-CA"/>
        </w:rPr>
        <w:t>appel pouvait examiner celle</w:t>
      </w:r>
      <w:r w:rsidRPr="001B30C8">
        <w:rPr>
          <w:rFonts w:cs="Times New Roman"/>
          <w:noProof/>
          <w:lang w:val="fr-CA"/>
        </w:rPr>
        <w:noBreakHyphen/>
        <w:t>ci.</w:t>
      </w:r>
    </w:p>
    <w:p w:rsidR="001A0BA2" w:rsidRPr="001B30C8" w:rsidRDefault="001A0BA2" w:rsidP="001A0BA2">
      <w:pPr>
        <w:pStyle w:val="ParaNoNdepar-AltN"/>
        <w:rPr>
          <w:rFonts w:cs="Times New Roman"/>
          <w:noProof/>
          <w:lang w:val="fr-CA"/>
        </w:rPr>
      </w:pPr>
      <w:r w:rsidRPr="001B30C8">
        <w:rPr>
          <w:rFonts w:cs="Times New Roman"/>
          <w:noProof/>
          <w:lang w:val="fr-CA"/>
        </w:rPr>
        <w:t>En ce qui concerne la deuxième question, celle de l</w:t>
      </w:r>
      <w:r>
        <w:rPr>
          <w:rFonts w:cs="Times New Roman"/>
          <w:noProof/>
          <w:lang w:val="fr-CA"/>
        </w:rPr>
        <w:t>’</w:t>
      </w:r>
      <w:r w:rsidRPr="001B30C8">
        <w:rPr>
          <w:rFonts w:cs="Times New Roman"/>
          <w:noProof/>
          <w:lang w:val="fr-CA"/>
        </w:rPr>
        <w:t>effet aggravant de la manière de conduire de M. Suter, je conviens qu</w:t>
      </w:r>
      <w:r>
        <w:rPr>
          <w:rFonts w:cs="Times New Roman"/>
          <w:noProof/>
          <w:lang w:val="fr-CA"/>
        </w:rPr>
        <w:t>’</w:t>
      </w:r>
      <w:r w:rsidRPr="001B30C8">
        <w:rPr>
          <w:rFonts w:cs="Times New Roman"/>
          <w:noProof/>
          <w:lang w:val="fr-CA"/>
        </w:rPr>
        <w:t>il s</w:t>
      </w:r>
      <w:r>
        <w:rPr>
          <w:rFonts w:cs="Times New Roman"/>
          <w:noProof/>
          <w:lang w:val="fr-CA"/>
        </w:rPr>
        <w:t>’</w:t>
      </w:r>
      <w:r w:rsidRPr="001B30C8">
        <w:rPr>
          <w:rFonts w:cs="Times New Roman"/>
          <w:noProof/>
          <w:lang w:val="fr-CA"/>
        </w:rPr>
        <w:t>agissait là d</w:t>
      </w:r>
      <w:r>
        <w:rPr>
          <w:rFonts w:cs="Times New Roman"/>
          <w:noProof/>
          <w:lang w:val="fr-CA"/>
        </w:rPr>
        <w:t>’</w:t>
      </w:r>
      <w:r w:rsidRPr="001B30C8">
        <w:rPr>
          <w:rFonts w:cs="Times New Roman"/>
          <w:noProof/>
          <w:lang w:val="fr-CA"/>
        </w:rPr>
        <w:t>une nouvelle question. Je suis néanmoins convaincu qu</w:t>
      </w:r>
      <w:r>
        <w:rPr>
          <w:rFonts w:cs="Times New Roman"/>
          <w:noProof/>
          <w:lang w:val="fr-CA"/>
        </w:rPr>
        <w:t>’</w:t>
      </w:r>
      <w:r w:rsidRPr="001B30C8">
        <w:rPr>
          <w:rFonts w:cs="Times New Roman"/>
          <w:noProof/>
          <w:lang w:val="fr-CA"/>
        </w:rPr>
        <w:t>elle a été soulevée à bon droit. Premièrement, la Cour d</w:t>
      </w:r>
      <w:r>
        <w:rPr>
          <w:rFonts w:cs="Times New Roman"/>
          <w:noProof/>
          <w:lang w:val="fr-CA"/>
        </w:rPr>
        <w:t>’</w:t>
      </w:r>
      <w:r w:rsidRPr="001B30C8">
        <w:rPr>
          <w:rFonts w:cs="Times New Roman"/>
          <w:noProof/>
          <w:lang w:val="fr-CA"/>
        </w:rPr>
        <w:t>appel pouvait conclure que la peine infligée par le juge de la peine n</w:t>
      </w:r>
      <w:r>
        <w:rPr>
          <w:rFonts w:cs="Times New Roman"/>
          <w:noProof/>
          <w:lang w:val="fr-CA"/>
        </w:rPr>
        <w:t>’</w:t>
      </w:r>
      <w:r w:rsidRPr="001B30C8">
        <w:rPr>
          <w:rFonts w:cs="Times New Roman"/>
          <w:noProof/>
          <w:lang w:val="fr-CA"/>
        </w:rPr>
        <w:t>aurait pas été la même s</w:t>
      </w:r>
      <w:r>
        <w:rPr>
          <w:rFonts w:cs="Times New Roman"/>
          <w:noProof/>
          <w:lang w:val="fr-CA"/>
        </w:rPr>
        <w:t>’</w:t>
      </w:r>
      <w:r w:rsidRPr="001B30C8">
        <w:rPr>
          <w:rFonts w:cs="Times New Roman"/>
          <w:noProof/>
          <w:lang w:val="fr-CA"/>
        </w:rPr>
        <w:t>il avait tenu compte de la manière de conduire de M. Suter. Deuxièmement, la Cour d</w:t>
      </w:r>
      <w:r>
        <w:rPr>
          <w:rFonts w:cs="Times New Roman"/>
          <w:noProof/>
          <w:lang w:val="fr-CA"/>
        </w:rPr>
        <w:t>’</w:t>
      </w:r>
      <w:r w:rsidRPr="001B30C8">
        <w:rPr>
          <w:rFonts w:cs="Times New Roman"/>
          <w:noProof/>
          <w:lang w:val="fr-CA"/>
        </w:rPr>
        <w:t>appel a donné un avis suffisant aux parties et une occasion de répondre. À l</w:t>
      </w:r>
      <w:r>
        <w:rPr>
          <w:rFonts w:cs="Times New Roman"/>
          <w:noProof/>
          <w:lang w:val="fr-CA"/>
        </w:rPr>
        <w:t>’</w:t>
      </w:r>
      <w:r w:rsidRPr="001B30C8">
        <w:rPr>
          <w:rFonts w:cs="Times New Roman"/>
          <w:noProof/>
          <w:lang w:val="fr-CA"/>
        </w:rPr>
        <w:t>audience, la cour a informé les parties qu</w:t>
      </w:r>
      <w:r>
        <w:rPr>
          <w:rFonts w:cs="Times New Roman"/>
          <w:noProof/>
          <w:lang w:val="fr-CA"/>
        </w:rPr>
        <w:t>’</w:t>
      </w:r>
      <w:r w:rsidRPr="001B30C8">
        <w:rPr>
          <w:rFonts w:cs="Times New Roman"/>
          <w:noProof/>
          <w:lang w:val="fr-CA"/>
        </w:rPr>
        <w:t>elle avait relevé une question susceptible de se poser et elle les a invitées à présenter des observations. Dans l</w:t>
      </w:r>
      <w:r>
        <w:rPr>
          <w:rFonts w:cs="Times New Roman"/>
          <w:noProof/>
          <w:lang w:val="fr-CA"/>
        </w:rPr>
        <w:t>’</w:t>
      </w:r>
      <w:r w:rsidRPr="001B30C8">
        <w:rPr>
          <w:rFonts w:cs="Times New Roman"/>
          <w:noProof/>
          <w:lang w:val="fr-CA"/>
        </w:rPr>
        <w:t xml:space="preserve">arrêt </w:t>
      </w:r>
      <w:r w:rsidRPr="001B30C8">
        <w:rPr>
          <w:rFonts w:cs="Times New Roman"/>
          <w:i/>
          <w:noProof/>
          <w:lang w:val="fr-CA"/>
        </w:rPr>
        <w:t>Mian</w:t>
      </w:r>
      <w:r w:rsidRPr="001B30C8">
        <w:rPr>
          <w:rFonts w:cs="Times New Roman"/>
          <w:noProof/>
          <w:lang w:val="fr-CA"/>
        </w:rPr>
        <w:t>,</w:t>
      </w:r>
      <w:r w:rsidRPr="001B30C8">
        <w:rPr>
          <w:rFonts w:cs="Times New Roman"/>
          <w:i/>
          <w:noProof/>
          <w:lang w:val="fr-CA"/>
        </w:rPr>
        <w:t xml:space="preserve"> </w:t>
      </w:r>
      <w:r w:rsidRPr="001B30C8">
        <w:rPr>
          <w:rFonts w:cs="Times New Roman"/>
          <w:noProof/>
          <w:lang w:val="fr-CA"/>
        </w:rPr>
        <w:t>notre Cour a explicitement rejeté une approche formaliste qui consisterait à prescrire des normes de procédure rigoureuses, car une telle approche « ferait abstraction du fait que la question peut se présenter dans diverses situations selon les dossiers » (par. 55).</w:t>
      </w:r>
    </w:p>
    <w:p w:rsidR="001A0BA2" w:rsidRPr="001B30C8" w:rsidRDefault="001A0BA2" w:rsidP="001A0BA2">
      <w:pPr>
        <w:pStyle w:val="ParaNoNdepar-AltN"/>
        <w:rPr>
          <w:rFonts w:cs="Times New Roman"/>
          <w:noProof/>
          <w:lang w:val="fr-CA"/>
        </w:rPr>
      </w:pPr>
      <w:r w:rsidRPr="001B30C8">
        <w:rPr>
          <w:rFonts w:cs="Times New Roman"/>
          <w:noProof/>
          <w:lang w:val="fr-CA"/>
        </w:rPr>
        <w:t>J</w:t>
      </w:r>
      <w:r>
        <w:rPr>
          <w:rFonts w:cs="Times New Roman"/>
          <w:noProof/>
          <w:lang w:val="fr-CA"/>
        </w:rPr>
        <w:t>’</w:t>
      </w:r>
      <w:r w:rsidRPr="001B30C8">
        <w:rPr>
          <w:rFonts w:cs="Times New Roman"/>
          <w:noProof/>
          <w:lang w:val="fr-CA"/>
        </w:rPr>
        <w:t>estime que la Cour d</w:t>
      </w:r>
      <w:r>
        <w:rPr>
          <w:rFonts w:cs="Times New Roman"/>
          <w:noProof/>
          <w:lang w:val="fr-CA"/>
        </w:rPr>
        <w:t>’</w:t>
      </w:r>
      <w:r w:rsidRPr="001B30C8">
        <w:rPr>
          <w:rFonts w:cs="Times New Roman"/>
          <w:noProof/>
          <w:lang w:val="fr-CA"/>
        </w:rPr>
        <w:t>appel a satisfait aux exigences de l</w:t>
      </w:r>
      <w:r>
        <w:rPr>
          <w:rFonts w:cs="Times New Roman"/>
          <w:noProof/>
          <w:lang w:val="fr-CA"/>
        </w:rPr>
        <w:t>’</w:t>
      </w:r>
      <w:r w:rsidRPr="001B30C8">
        <w:rPr>
          <w:rFonts w:cs="Times New Roman"/>
          <w:noProof/>
          <w:lang w:val="fr-CA"/>
        </w:rPr>
        <w:t>arrêt </w:t>
      </w:r>
      <w:r w:rsidRPr="001B30C8">
        <w:rPr>
          <w:rFonts w:cs="Times New Roman"/>
          <w:i/>
          <w:noProof/>
          <w:lang w:val="fr-CA"/>
        </w:rPr>
        <w:t>Mian</w:t>
      </w:r>
      <w:r w:rsidRPr="001B30C8">
        <w:rPr>
          <w:rFonts w:cs="Times New Roman"/>
          <w:noProof/>
          <w:lang w:val="fr-CA"/>
        </w:rPr>
        <w:t>.</w:t>
      </w:r>
    </w:p>
    <w:p w:rsidR="001A0BA2" w:rsidRPr="001B30C8" w:rsidRDefault="001A0BA2" w:rsidP="001A0BA2">
      <w:pPr>
        <w:pStyle w:val="Title3LevelTitre3Niveau"/>
        <w:rPr>
          <w:rFonts w:cs="Times New Roman"/>
          <w:noProof/>
          <w:lang w:val="fr-CA"/>
        </w:rPr>
      </w:pPr>
      <w:r w:rsidRPr="001B30C8">
        <w:rPr>
          <w:rFonts w:cs="Times New Roman"/>
          <w:noProof/>
          <w:lang w:val="fr-CA"/>
        </w:rPr>
        <w:t>La Cour d</w:t>
      </w:r>
      <w:r>
        <w:rPr>
          <w:rFonts w:cs="Times New Roman"/>
          <w:noProof/>
          <w:lang w:val="fr-CA"/>
        </w:rPr>
        <w:t>’</w:t>
      </w:r>
      <w:r w:rsidRPr="001B30C8">
        <w:rPr>
          <w:rFonts w:cs="Times New Roman"/>
          <w:noProof/>
          <w:lang w:val="fr-CA"/>
        </w:rPr>
        <w:t>appel a commis une erreur en condamnant dans les faits M. Suter pour l</w:t>
      </w:r>
      <w:r>
        <w:rPr>
          <w:rFonts w:cs="Times New Roman"/>
          <w:noProof/>
          <w:lang w:val="fr-CA"/>
        </w:rPr>
        <w:t>’</w:t>
      </w:r>
      <w:r w:rsidRPr="001B30C8">
        <w:rPr>
          <w:rFonts w:cs="Times New Roman"/>
          <w:noProof/>
          <w:lang w:val="fr-CA"/>
        </w:rPr>
        <w:t>infraction de conduite imprudente, ou de conduite dangereuse causant la mort, qui n</w:t>
      </w:r>
      <w:r>
        <w:rPr>
          <w:rFonts w:cs="Times New Roman"/>
          <w:noProof/>
          <w:lang w:val="fr-CA"/>
        </w:rPr>
        <w:t>’</w:t>
      </w:r>
      <w:r w:rsidRPr="001B30C8">
        <w:rPr>
          <w:rFonts w:cs="Times New Roman"/>
          <w:noProof/>
          <w:lang w:val="fr-CA"/>
        </w:rPr>
        <w:t>avait fait l</w:t>
      </w:r>
      <w:r>
        <w:rPr>
          <w:rFonts w:cs="Times New Roman"/>
          <w:noProof/>
          <w:lang w:val="fr-CA"/>
        </w:rPr>
        <w:t>’</w:t>
      </w:r>
      <w:r w:rsidRPr="001B30C8">
        <w:rPr>
          <w:rFonts w:cs="Times New Roman"/>
          <w:noProof/>
          <w:lang w:val="fr-CA"/>
        </w:rPr>
        <w:t>objet d</w:t>
      </w:r>
      <w:r>
        <w:rPr>
          <w:rFonts w:cs="Times New Roman"/>
          <w:noProof/>
          <w:lang w:val="fr-CA"/>
        </w:rPr>
        <w:t>’</w:t>
      </w:r>
      <w:r w:rsidRPr="001B30C8">
        <w:rPr>
          <w:rFonts w:cs="Times New Roman"/>
          <w:noProof/>
          <w:lang w:val="fr-CA"/>
        </w:rPr>
        <w:t>aucune accusation</w:t>
      </w:r>
    </w:p>
    <w:p w:rsidR="001A0BA2" w:rsidRPr="001B30C8" w:rsidRDefault="001A0BA2" w:rsidP="001A0BA2">
      <w:pPr>
        <w:pStyle w:val="ParaNoNdepar-AltN"/>
        <w:rPr>
          <w:rFonts w:cs="Times New Roman"/>
          <w:noProof/>
          <w:lang w:val="fr-CA"/>
        </w:rPr>
      </w:pPr>
      <w:r w:rsidRPr="001B30C8">
        <w:rPr>
          <w:rFonts w:cs="Times New Roman"/>
          <w:noProof/>
          <w:lang w:val="fr-CA"/>
        </w:rPr>
        <w:lastRenderedPageBreak/>
        <w:t>En règle générale, les tribunaux ne peuvent imposer une peine à un délinquant pour un crime dont il n</w:t>
      </w:r>
      <w:r>
        <w:rPr>
          <w:rFonts w:cs="Times New Roman"/>
          <w:noProof/>
          <w:lang w:val="fr-CA"/>
        </w:rPr>
        <w:t>’</w:t>
      </w:r>
      <w:r w:rsidRPr="001B30C8">
        <w:rPr>
          <w:rFonts w:cs="Times New Roman"/>
          <w:noProof/>
          <w:lang w:val="fr-CA"/>
        </w:rPr>
        <w:t xml:space="preserve">a pas été déclaré </w:t>
      </w:r>
      <w:r w:rsidRPr="001B30C8">
        <w:rPr>
          <w:rFonts w:cs="Times New Roman"/>
          <w:lang w:val="fr-CA"/>
        </w:rPr>
        <w:t>coupable (voir</w:t>
      </w:r>
      <w:r w:rsidRPr="001B30C8">
        <w:rPr>
          <w:rFonts w:cs="Times New Roman"/>
          <w:noProof/>
          <w:lang w:val="fr-CA"/>
        </w:rPr>
        <w:t xml:space="preserve"> </w:t>
      </w:r>
      <w:r w:rsidRPr="001B30C8">
        <w:rPr>
          <w:rFonts w:cs="Times New Roman"/>
          <w:i/>
          <w:noProof/>
          <w:lang w:val="fr-CA"/>
        </w:rPr>
        <w:t>R. c. Angelillo</w:t>
      </w:r>
      <w:r w:rsidRPr="001B30C8">
        <w:rPr>
          <w:rFonts w:cs="Times New Roman"/>
          <w:noProof/>
          <w:lang w:val="fr-CA"/>
        </w:rPr>
        <w:t xml:space="preserve">, 2006 CSC 55, [2006] 2 R.C.S. 728, par. 23 et 32; </w:t>
      </w:r>
      <w:r w:rsidRPr="001B30C8">
        <w:rPr>
          <w:rFonts w:cs="Times New Roman"/>
          <w:i/>
          <w:noProof/>
          <w:lang w:val="fr-CA"/>
        </w:rPr>
        <w:t>R. c. Larche</w:t>
      </w:r>
      <w:r w:rsidRPr="001B30C8">
        <w:rPr>
          <w:rFonts w:cs="Times New Roman"/>
          <w:noProof/>
          <w:lang w:val="fr-CA"/>
        </w:rPr>
        <w:t>, 2006 CSC 56, [2006] 2 R.C.S. 762, par. 1)</w:t>
      </w:r>
      <w:r w:rsidRPr="00AD00F1">
        <w:rPr>
          <w:rStyle w:val="Hyperlink"/>
          <w:u w:val="none"/>
          <w:vertAlign w:val="superscript"/>
        </w:rPr>
        <w:footnoteReference w:id="1"/>
      </w:r>
      <w:r w:rsidRPr="001B30C8">
        <w:rPr>
          <w:rFonts w:cs="Times New Roman"/>
          <w:noProof/>
          <w:lang w:val="fr-CA"/>
        </w:rPr>
        <w:t>. Agir ainsi irait à l</w:t>
      </w:r>
      <w:r>
        <w:rPr>
          <w:rFonts w:cs="Times New Roman"/>
          <w:noProof/>
          <w:lang w:val="fr-CA"/>
        </w:rPr>
        <w:t>’</w:t>
      </w:r>
      <w:r w:rsidRPr="001B30C8">
        <w:rPr>
          <w:rFonts w:cs="Times New Roman"/>
          <w:noProof/>
          <w:lang w:val="fr-CA"/>
        </w:rPr>
        <w:t>encontre de la présomption d</w:t>
      </w:r>
      <w:r>
        <w:rPr>
          <w:rFonts w:cs="Times New Roman"/>
          <w:noProof/>
          <w:lang w:val="fr-CA"/>
        </w:rPr>
        <w:t>’</w:t>
      </w:r>
      <w:r w:rsidRPr="001B30C8">
        <w:rPr>
          <w:rFonts w:cs="Times New Roman"/>
          <w:noProof/>
          <w:lang w:val="fr-CA"/>
        </w:rPr>
        <w:t>innocence. Soit dit en tout respect, c</w:t>
      </w:r>
      <w:r>
        <w:rPr>
          <w:rFonts w:cs="Times New Roman"/>
          <w:noProof/>
          <w:lang w:val="fr-CA"/>
        </w:rPr>
        <w:t>’</w:t>
      </w:r>
      <w:r w:rsidRPr="001B30C8">
        <w:rPr>
          <w:rFonts w:cs="Times New Roman"/>
          <w:noProof/>
          <w:lang w:val="fr-CA"/>
        </w:rPr>
        <w:t>est exactement ce que la Cour d</w:t>
      </w:r>
      <w:r>
        <w:rPr>
          <w:rFonts w:cs="Times New Roman"/>
          <w:noProof/>
          <w:lang w:val="fr-CA"/>
        </w:rPr>
        <w:t>’</w:t>
      </w:r>
      <w:r w:rsidRPr="001B30C8">
        <w:rPr>
          <w:rFonts w:cs="Times New Roman"/>
          <w:noProof/>
          <w:lang w:val="fr-CA"/>
        </w:rPr>
        <w:t>appel a fait en l</w:t>
      </w:r>
      <w:r>
        <w:rPr>
          <w:rFonts w:cs="Times New Roman"/>
          <w:noProof/>
          <w:lang w:val="fr-CA"/>
        </w:rPr>
        <w:t>’</w:t>
      </w:r>
      <w:r w:rsidRPr="001B30C8">
        <w:rPr>
          <w:rFonts w:cs="Times New Roman"/>
          <w:noProof/>
          <w:lang w:val="fr-CA"/>
        </w:rPr>
        <w:t>espèce. En prononçant une peine d</w:t>
      </w:r>
      <w:r>
        <w:rPr>
          <w:rFonts w:cs="Times New Roman"/>
          <w:noProof/>
          <w:lang w:val="fr-CA"/>
        </w:rPr>
        <w:t>’</w:t>
      </w:r>
      <w:r w:rsidRPr="001B30C8">
        <w:rPr>
          <w:rFonts w:cs="Times New Roman"/>
          <w:noProof/>
          <w:lang w:val="fr-CA"/>
        </w:rPr>
        <w:t>emprisonnement de 26 mois, elle a dans les faits condamné M. Suter pour l</w:t>
      </w:r>
      <w:r>
        <w:rPr>
          <w:rFonts w:cs="Times New Roman"/>
          <w:noProof/>
          <w:lang w:val="fr-CA"/>
        </w:rPr>
        <w:t>’</w:t>
      </w:r>
      <w:r w:rsidRPr="001B30C8">
        <w:rPr>
          <w:rFonts w:cs="Times New Roman"/>
          <w:noProof/>
          <w:lang w:val="fr-CA"/>
        </w:rPr>
        <w:t>infraction de conduite imprudente, ou de conduite dangereuse causant la mort, n</w:t>
      </w:r>
      <w:r>
        <w:rPr>
          <w:rFonts w:cs="Times New Roman"/>
          <w:noProof/>
          <w:lang w:val="fr-CA"/>
        </w:rPr>
        <w:t>’</w:t>
      </w:r>
      <w:r w:rsidRPr="001B30C8">
        <w:rPr>
          <w:rFonts w:cs="Times New Roman"/>
          <w:noProof/>
          <w:lang w:val="fr-CA"/>
        </w:rPr>
        <w:t>ayant fait l</w:t>
      </w:r>
      <w:r>
        <w:rPr>
          <w:rFonts w:cs="Times New Roman"/>
          <w:noProof/>
          <w:lang w:val="fr-CA"/>
        </w:rPr>
        <w:t>’</w:t>
      </w:r>
      <w:r w:rsidRPr="001B30C8">
        <w:rPr>
          <w:rFonts w:cs="Times New Roman"/>
          <w:noProof/>
          <w:lang w:val="fr-CA"/>
        </w:rPr>
        <w:t>objet d</w:t>
      </w:r>
      <w:r>
        <w:rPr>
          <w:rFonts w:cs="Times New Roman"/>
          <w:noProof/>
          <w:lang w:val="fr-CA"/>
        </w:rPr>
        <w:t>’</w:t>
      </w:r>
      <w:r w:rsidRPr="001B30C8">
        <w:rPr>
          <w:rFonts w:cs="Times New Roman"/>
          <w:noProof/>
          <w:lang w:val="fr-CA"/>
        </w:rPr>
        <w:t>aucune accusation (infractions prévues respectivement à l</w:t>
      </w:r>
      <w:r>
        <w:rPr>
          <w:rFonts w:cs="Times New Roman"/>
          <w:noProof/>
          <w:lang w:val="fr-CA"/>
        </w:rPr>
        <w:t>’</w:t>
      </w:r>
      <w:r w:rsidRPr="001B30C8">
        <w:rPr>
          <w:rFonts w:cs="Times New Roman"/>
          <w:noProof/>
          <w:lang w:val="fr-CA"/>
        </w:rPr>
        <w:t xml:space="preserve">art. 115 de la </w:t>
      </w:r>
      <w:r w:rsidRPr="001B30C8">
        <w:rPr>
          <w:rFonts w:cs="Times New Roman"/>
          <w:i/>
          <w:noProof/>
          <w:lang w:val="fr-CA"/>
        </w:rPr>
        <w:t>Traffic Safety Act</w:t>
      </w:r>
      <w:r w:rsidRPr="001B30C8">
        <w:rPr>
          <w:rFonts w:cs="Times New Roman"/>
          <w:noProof/>
          <w:lang w:val="fr-CA"/>
        </w:rPr>
        <w:t>, R.S.A. 2000, c. T</w:t>
      </w:r>
      <w:r w:rsidRPr="001B30C8">
        <w:rPr>
          <w:rFonts w:cs="Times New Roman"/>
          <w:noProof/>
          <w:lang w:val="fr-CA"/>
        </w:rPr>
        <w:noBreakHyphen/>
        <w:t xml:space="preserve">6, et au par. 249(4) du </w:t>
      </w:r>
      <w:r w:rsidRPr="001B30C8">
        <w:rPr>
          <w:rFonts w:cs="Times New Roman"/>
          <w:i/>
          <w:noProof/>
          <w:lang w:val="fr-CA"/>
        </w:rPr>
        <w:t>Code criminel</w:t>
      </w:r>
      <w:r w:rsidRPr="001B30C8">
        <w:rPr>
          <w:rFonts w:cs="Times New Roman"/>
          <w:noProof/>
          <w:lang w:val="fr-CA"/>
        </w:rPr>
        <w:t>). Cette erreur a contribué à l</w:t>
      </w:r>
      <w:r>
        <w:rPr>
          <w:rFonts w:cs="Times New Roman"/>
          <w:noProof/>
          <w:lang w:val="fr-CA"/>
        </w:rPr>
        <w:t>’</w:t>
      </w:r>
      <w:r w:rsidRPr="001B30C8">
        <w:rPr>
          <w:rFonts w:cs="Times New Roman"/>
          <w:noProof/>
          <w:lang w:val="fr-CA"/>
        </w:rPr>
        <w:t>infliction d</w:t>
      </w:r>
      <w:r>
        <w:rPr>
          <w:rFonts w:cs="Times New Roman"/>
          <w:noProof/>
          <w:lang w:val="fr-CA"/>
        </w:rPr>
        <w:t>’</w:t>
      </w:r>
      <w:r w:rsidRPr="001B30C8">
        <w:rPr>
          <w:rFonts w:cs="Times New Roman"/>
          <w:noProof/>
          <w:lang w:val="fr-CA"/>
        </w:rPr>
        <w:t>une peine non indiquée dans les circonstances.</w:t>
      </w:r>
    </w:p>
    <w:p w:rsidR="001A0BA2" w:rsidRPr="001B30C8" w:rsidRDefault="001A0BA2" w:rsidP="001A0BA2">
      <w:pPr>
        <w:pStyle w:val="ParaNoNdepar-AltN"/>
        <w:rPr>
          <w:rFonts w:cs="Times New Roman"/>
          <w:noProof/>
          <w:lang w:val="fr-CA"/>
        </w:rPr>
      </w:pPr>
      <w:r w:rsidRPr="001B30C8">
        <w:rPr>
          <w:rFonts w:cs="Times New Roman"/>
          <w:noProof/>
          <w:lang w:val="fr-CA"/>
        </w:rPr>
        <w:t>Les décisions prononcées par le juge de la peine et par la Cour d</w:t>
      </w:r>
      <w:r>
        <w:rPr>
          <w:rFonts w:cs="Times New Roman"/>
          <w:noProof/>
          <w:lang w:val="fr-CA"/>
        </w:rPr>
        <w:t>’</w:t>
      </w:r>
      <w:r w:rsidRPr="001B30C8">
        <w:rPr>
          <w:rFonts w:cs="Times New Roman"/>
          <w:noProof/>
          <w:lang w:val="fr-CA"/>
        </w:rPr>
        <w:t>appel dressent deux portraits très différents des événements survenus le 19 mai 2013. Quoique sensible aux conséquences dévastatrices de la conduite par M. Suter de son véhicule, le juge de la peine a conclu qu</w:t>
      </w:r>
      <w:r>
        <w:rPr>
          <w:rFonts w:cs="Times New Roman"/>
          <w:noProof/>
          <w:lang w:val="fr-CA"/>
        </w:rPr>
        <w:t>’</w:t>
      </w:r>
      <w:r w:rsidRPr="001B30C8">
        <w:rPr>
          <w:rFonts w:cs="Times New Roman"/>
          <w:noProof/>
          <w:lang w:val="fr-CA"/>
        </w:rPr>
        <w:t>il s</w:t>
      </w:r>
      <w:r>
        <w:rPr>
          <w:rFonts w:cs="Times New Roman"/>
          <w:noProof/>
          <w:lang w:val="fr-CA"/>
        </w:rPr>
        <w:t>’</w:t>
      </w:r>
      <w:r w:rsidRPr="001B30C8">
        <w:rPr>
          <w:rFonts w:cs="Times New Roman"/>
          <w:noProof/>
          <w:lang w:val="fr-CA"/>
        </w:rPr>
        <w:t>agissait d</w:t>
      </w:r>
      <w:r>
        <w:rPr>
          <w:rFonts w:cs="Times New Roman"/>
          <w:noProof/>
          <w:lang w:val="fr-CA"/>
        </w:rPr>
        <w:t>’</w:t>
      </w:r>
      <w:r w:rsidRPr="001B30C8">
        <w:rPr>
          <w:rFonts w:cs="Times New Roman"/>
          <w:noProof/>
          <w:lang w:val="fr-CA"/>
        </w:rPr>
        <w:t>un [</w:t>
      </w:r>
      <w:r w:rsidRPr="001B30C8">
        <w:rPr>
          <w:rFonts w:cs="Times New Roman"/>
          <w:smallCaps/>
          <w:noProof/>
          <w:lang w:val="fr-CA"/>
        </w:rPr>
        <w:t>traduction</w:t>
      </w:r>
      <w:r w:rsidRPr="001B30C8">
        <w:rPr>
          <w:rFonts w:cs="Times New Roman"/>
          <w:noProof/>
          <w:lang w:val="fr-CA"/>
        </w:rPr>
        <w:t>] « accident causé par une erreur de conduite commise par une personne dont les facultés n</w:t>
      </w:r>
      <w:r>
        <w:rPr>
          <w:rFonts w:cs="Times New Roman"/>
          <w:noProof/>
          <w:lang w:val="fr-CA"/>
        </w:rPr>
        <w:t>’</w:t>
      </w:r>
      <w:r w:rsidRPr="001B30C8">
        <w:rPr>
          <w:rFonts w:cs="Times New Roman"/>
          <w:noProof/>
          <w:lang w:val="fr-CA"/>
        </w:rPr>
        <w:t>étaient pas affaiblies » (par. 76). À son avis, lors d</w:t>
      </w:r>
      <w:r>
        <w:rPr>
          <w:rFonts w:cs="Times New Roman"/>
          <w:noProof/>
          <w:lang w:val="fr-CA"/>
        </w:rPr>
        <w:t>’</w:t>
      </w:r>
      <w:r w:rsidRPr="001B30C8">
        <w:rPr>
          <w:rFonts w:cs="Times New Roman"/>
          <w:noProof/>
          <w:lang w:val="fr-CA"/>
        </w:rPr>
        <w:t>une distraction momentanée provoquée par une conversation avec sa femme, où celle</w:t>
      </w:r>
      <w:r w:rsidRPr="001B30C8">
        <w:rPr>
          <w:rFonts w:cs="Times New Roman"/>
          <w:noProof/>
          <w:lang w:val="fr-CA"/>
        </w:rPr>
        <w:noBreakHyphen/>
        <w:t>ci a laissé entendre qu</w:t>
      </w:r>
      <w:r>
        <w:rPr>
          <w:rFonts w:cs="Times New Roman"/>
          <w:noProof/>
          <w:lang w:val="fr-CA"/>
        </w:rPr>
        <w:t>’</w:t>
      </w:r>
      <w:r w:rsidRPr="001B30C8">
        <w:rPr>
          <w:rFonts w:cs="Times New Roman"/>
          <w:noProof/>
          <w:lang w:val="fr-CA"/>
        </w:rPr>
        <w:t>ils devraient peut</w:t>
      </w:r>
      <w:r w:rsidRPr="001B30C8">
        <w:rPr>
          <w:rFonts w:cs="Times New Roman"/>
          <w:noProof/>
          <w:lang w:val="fr-CA"/>
        </w:rPr>
        <w:noBreakHyphen/>
        <w:t>être divorcer, M. Suter a accidentellement appuyé sur l</w:t>
      </w:r>
      <w:r>
        <w:rPr>
          <w:rFonts w:cs="Times New Roman"/>
          <w:noProof/>
          <w:lang w:val="fr-CA"/>
        </w:rPr>
        <w:t>’</w:t>
      </w:r>
      <w:r w:rsidRPr="001B30C8">
        <w:rPr>
          <w:rFonts w:cs="Times New Roman"/>
          <w:noProof/>
          <w:lang w:val="fr-CA"/>
        </w:rPr>
        <w:t xml:space="preserve">accélérateur plutôt que sur la pédale du frein. Le véhicule a donc foncé sur la terrasse du restaurant où était assise la famille </w:t>
      </w:r>
      <w:r w:rsidRPr="001B30C8">
        <w:rPr>
          <w:rFonts w:cs="Times New Roman"/>
          <w:noProof/>
          <w:lang w:val="fr-CA"/>
        </w:rPr>
        <w:lastRenderedPageBreak/>
        <w:t>Mounsef. Cette erreur dans la conduite du véhicule, qui n</w:t>
      </w:r>
      <w:r>
        <w:rPr>
          <w:rFonts w:cs="Times New Roman"/>
          <w:noProof/>
          <w:lang w:val="fr-CA"/>
        </w:rPr>
        <w:t>’</w:t>
      </w:r>
      <w:r w:rsidRPr="001B30C8">
        <w:rPr>
          <w:rFonts w:cs="Times New Roman"/>
          <w:noProof/>
          <w:lang w:val="fr-CA"/>
        </w:rPr>
        <w:t>a duré que quelques secondes, a coûté la vie à Geo Mounsef, un garçonnet de deux ans.</w:t>
      </w:r>
    </w:p>
    <w:p w:rsidR="001A0BA2" w:rsidRPr="001B30C8" w:rsidRDefault="001A0BA2" w:rsidP="001A0BA2">
      <w:pPr>
        <w:pStyle w:val="ParaNoNdepar-AltN"/>
        <w:rPr>
          <w:rFonts w:cs="Times New Roman"/>
          <w:noProof/>
          <w:lang w:val="fr-CA"/>
        </w:rPr>
      </w:pPr>
      <w:r w:rsidRPr="001B30C8">
        <w:rPr>
          <w:rFonts w:cs="Times New Roman"/>
          <w:noProof/>
          <w:lang w:val="fr-CA"/>
        </w:rPr>
        <w:t>La Cour d</w:t>
      </w:r>
      <w:r>
        <w:rPr>
          <w:rFonts w:cs="Times New Roman"/>
          <w:noProof/>
          <w:lang w:val="fr-CA"/>
        </w:rPr>
        <w:t>’</w:t>
      </w:r>
      <w:r w:rsidRPr="001B30C8">
        <w:rPr>
          <w:rFonts w:cs="Times New Roman"/>
          <w:noProof/>
          <w:lang w:val="fr-CA"/>
        </w:rPr>
        <w:t>appel a procédé à sa propre interprétation de la preuve et a conclu que ce qui s</w:t>
      </w:r>
      <w:r>
        <w:rPr>
          <w:rFonts w:cs="Times New Roman"/>
          <w:noProof/>
          <w:lang w:val="fr-CA"/>
        </w:rPr>
        <w:t>’</w:t>
      </w:r>
      <w:r w:rsidRPr="001B30C8">
        <w:rPr>
          <w:rFonts w:cs="Times New Roman"/>
          <w:noProof/>
          <w:lang w:val="fr-CA"/>
        </w:rPr>
        <w:t>était passé en l</w:t>
      </w:r>
      <w:r>
        <w:rPr>
          <w:rFonts w:cs="Times New Roman"/>
          <w:noProof/>
          <w:lang w:val="fr-CA"/>
        </w:rPr>
        <w:t>’</w:t>
      </w:r>
      <w:r w:rsidRPr="001B30C8">
        <w:rPr>
          <w:rFonts w:cs="Times New Roman"/>
          <w:noProof/>
          <w:lang w:val="fr-CA"/>
        </w:rPr>
        <w:t>espèce était plus qu</w:t>
      </w:r>
      <w:r>
        <w:rPr>
          <w:rFonts w:cs="Times New Roman"/>
          <w:noProof/>
          <w:lang w:val="fr-CA"/>
        </w:rPr>
        <w:t>’</w:t>
      </w:r>
      <w:r w:rsidRPr="001B30C8">
        <w:rPr>
          <w:rFonts w:cs="Times New Roman"/>
          <w:noProof/>
          <w:lang w:val="fr-CA"/>
        </w:rPr>
        <w:t>une simple erreur momentanée de conduite. Bien qu</w:t>
      </w:r>
      <w:r>
        <w:rPr>
          <w:rFonts w:cs="Times New Roman"/>
          <w:noProof/>
          <w:lang w:val="fr-CA"/>
        </w:rPr>
        <w:t>’</w:t>
      </w:r>
      <w:r w:rsidRPr="001B30C8">
        <w:rPr>
          <w:rFonts w:cs="Times New Roman"/>
          <w:noProof/>
          <w:lang w:val="fr-CA"/>
        </w:rPr>
        <w:t>elle ait reconnu que M. Suter n</w:t>
      </w:r>
      <w:r>
        <w:rPr>
          <w:rFonts w:cs="Times New Roman"/>
          <w:noProof/>
          <w:lang w:val="fr-CA"/>
        </w:rPr>
        <w:t>’</w:t>
      </w:r>
      <w:r w:rsidRPr="001B30C8">
        <w:rPr>
          <w:rFonts w:cs="Times New Roman"/>
          <w:noProof/>
          <w:lang w:val="fr-CA"/>
        </w:rPr>
        <w:t>avait pas les facultés affaiblies par l</w:t>
      </w:r>
      <w:r>
        <w:rPr>
          <w:rFonts w:cs="Times New Roman"/>
          <w:noProof/>
          <w:lang w:val="fr-CA"/>
        </w:rPr>
        <w:t>’</w:t>
      </w:r>
      <w:r w:rsidRPr="001B30C8">
        <w:rPr>
          <w:rFonts w:cs="Times New Roman"/>
          <w:noProof/>
          <w:lang w:val="fr-CA"/>
        </w:rPr>
        <w:t>alcool, la cour a néanmoins conclu que celui</w:t>
      </w:r>
      <w:r w:rsidRPr="001B30C8">
        <w:rPr>
          <w:rFonts w:cs="Times New Roman"/>
          <w:noProof/>
          <w:lang w:val="fr-CA"/>
        </w:rPr>
        <w:noBreakHyphen/>
        <w:t xml:space="preserve">ci </w:t>
      </w:r>
      <w:r w:rsidRPr="001B30C8">
        <w:rPr>
          <w:rFonts w:cs="Times New Roman"/>
          <w:smallCaps/>
          <w:noProof/>
          <w:lang w:val="fr-CA"/>
        </w:rPr>
        <w:t>[traduction]</w:t>
      </w:r>
      <w:r w:rsidRPr="001B30C8">
        <w:rPr>
          <w:rFonts w:cs="Times New Roman"/>
          <w:noProof/>
          <w:lang w:val="fr-CA"/>
        </w:rPr>
        <w:t xml:space="preserve"> « savait » que sa capacité de conduire était « affaiblie par des problèmes de santé et d</w:t>
      </w:r>
      <w:r>
        <w:rPr>
          <w:rFonts w:cs="Times New Roman"/>
          <w:noProof/>
          <w:lang w:val="fr-CA"/>
        </w:rPr>
        <w:t>’</w:t>
      </w:r>
      <w:r w:rsidRPr="001B30C8">
        <w:rPr>
          <w:rFonts w:cs="Times New Roman"/>
          <w:noProof/>
          <w:lang w:val="fr-CA"/>
        </w:rPr>
        <w:t xml:space="preserve">autres facteurs » (par. 1). Plus précisément, elle a statué que la capacité de conduire de M. Suter était </w:t>
      </w:r>
      <w:r w:rsidRPr="001B30C8">
        <w:rPr>
          <w:rFonts w:cs="Times New Roman"/>
          <w:smallCaps/>
          <w:noProof/>
          <w:lang w:val="fr-CA"/>
        </w:rPr>
        <w:t>[traduction]</w:t>
      </w:r>
      <w:r w:rsidRPr="001B30C8">
        <w:rPr>
          <w:rFonts w:cs="Times New Roman"/>
          <w:noProof/>
          <w:lang w:val="fr-CA"/>
        </w:rPr>
        <w:t xml:space="preserve"> « affaiblie par la distraction provoquée par sa dispute avec sa femme, dans le contexte [de ses] problèmes de santé et d</w:t>
      </w:r>
      <w:r>
        <w:rPr>
          <w:rFonts w:cs="Times New Roman"/>
          <w:noProof/>
          <w:lang w:val="fr-CA"/>
        </w:rPr>
        <w:t>’</w:t>
      </w:r>
      <w:r w:rsidRPr="001B30C8">
        <w:rPr>
          <w:rFonts w:cs="Times New Roman"/>
          <w:noProof/>
          <w:lang w:val="fr-CA"/>
        </w:rPr>
        <w:t>alcool » (par. 92).</w:t>
      </w:r>
    </w:p>
    <w:p w:rsidR="001A0BA2" w:rsidRPr="001B30C8" w:rsidRDefault="001A0BA2" w:rsidP="001A0BA2">
      <w:pPr>
        <w:pStyle w:val="ParaNoNdepar-AltN"/>
        <w:rPr>
          <w:rFonts w:cs="Times New Roman"/>
          <w:noProof/>
          <w:lang w:val="fr-CA"/>
        </w:rPr>
      </w:pPr>
      <w:r w:rsidRPr="001B30C8">
        <w:rPr>
          <w:rFonts w:cs="Times New Roman"/>
          <w:noProof/>
          <w:lang w:val="fr-CA"/>
        </w:rPr>
        <w:t>Soit dit en tout respect, la notion de « facultés affaiblies par la distraction » est à la fois nouvelle et source de confusion, et je ne saurais l</w:t>
      </w:r>
      <w:r>
        <w:rPr>
          <w:rFonts w:cs="Times New Roman"/>
          <w:noProof/>
          <w:lang w:val="fr-CA"/>
        </w:rPr>
        <w:t>’</w:t>
      </w:r>
      <w:r w:rsidRPr="001B30C8">
        <w:rPr>
          <w:rFonts w:cs="Times New Roman"/>
          <w:noProof/>
          <w:lang w:val="fr-CA"/>
        </w:rPr>
        <w:t>approuver. Dans le cas qui nous occupe, je considère qu</w:t>
      </w:r>
      <w:r>
        <w:rPr>
          <w:rFonts w:cs="Times New Roman"/>
          <w:noProof/>
          <w:lang w:val="fr-CA"/>
        </w:rPr>
        <w:t>’</w:t>
      </w:r>
      <w:r w:rsidRPr="001B30C8">
        <w:rPr>
          <w:rFonts w:cs="Times New Roman"/>
          <w:noProof/>
          <w:lang w:val="fr-CA"/>
        </w:rPr>
        <w:t>il s</w:t>
      </w:r>
      <w:r>
        <w:rPr>
          <w:rFonts w:cs="Times New Roman"/>
          <w:noProof/>
          <w:lang w:val="fr-CA"/>
        </w:rPr>
        <w:t>’</w:t>
      </w:r>
      <w:r w:rsidRPr="001B30C8">
        <w:rPr>
          <w:rFonts w:cs="Times New Roman"/>
          <w:noProof/>
          <w:lang w:val="fr-CA"/>
        </w:rPr>
        <w:t>agit essentiellement d</w:t>
      </w:r>
      <w:r>
        <w:rPr>
          <w:rFonts w:cs="Times New Roman"/>
          <w:noProof/>
          <w:lang w:val="fr-CA"/>
        </w:rPr>
        <w:t>’</w:t>
      </w:r>
      <w:r w:rsidRPr="001B30C8">
        <w:rPr>
          <w:rFonts w:cs="Times New Roman"/>
          <w:noProof/>
          <w:lang w:val="fr-CA"/>
        </w:rPr>
        <w:t>une manière de contourner la conclusion du juge de la peine selon laquelle l</w:t>
      </w:r>
      <w:r>
        <w:rPr>
          <w:rFonts w:cs="Times New Roman"/>
          <w:noProof/>
          <w:lang w:val="fr-CA"/>
        </w:rPr>
        <w:t>’</w:t>
      </w:r>
      <w:r w:rsidRPr="001B30C8">
        <w:rPr>
          <w:rFonts w:cs="Times New Roman"/>
          <w:noProof/>
          <w:lang w:val="fr-CA"/>
        </w:rPr>
        <w:t>accident était simplement le résultat d</w:t>
      </w:r>
      <w:r>
        <w:rPr>
          <w:rFonts w:cs="Times New Roman"/>
          <w:noProof/>
          <w:lang w:val="fr-CA"/>
        </w:rPr>
        <w:t>’</w:t>
      </w:r>
      <w:r w:rsidRPr="001B30C8">
        <w:rPr>
          <w:rFonts w:cs="Times New Roman"/>
          <w:noProof/>
          <w:lang w:val="fr-CA"/>
        </w:rPr>
        <w:t>« une erreur de conduite commise par une personne dont les facultés n</w:t>
      </w:r>
      <w:r>
        <w:rPr>
          <w:rFonts w:cs="Times New Roman"/>
          <w:noProof/>
          <w:lang w:val="fr-CA"/>
        </w:rPr>
        <w:t>’</w:t>
      </w:r>
      <w:r w:rsidRPr="001B30C8">
        <w:rPr>
          <w:rFonts w:cs="Times New Roman"/>
          <w:noProof/>
          <w:lang w:val="fr-CA"/>
        </w:rPr>
        <w:t>étaient pas affaiblies » (par. 76).</w:t>
      </w:r>
    </w:p>
    <w:p w:rsidR="001A0BA2" w:rsidRPr="001B30C8" w:rsidRDefault="001A0BA2" w:rsidP="001A0BA2">
      <w:pPr>
        <w:pStyle w:val="ParaNoNdepar-AltN"/>
        <w:rPr>
          <w:rFonts w:cs="Times New Roman"/>
          <w:noProof/>
          <w:lang w:val="fr-CA"/>
        </w:rPr>
      </w:pPr>
      <w:r w:rsidRPr="001B30C8">
        <w:rPr>
          <w:rFonts w:cs="Times New Roman"/>
          <w:noProof/>
          <w:lang w:val="fr-CA"/>
        </w:rPr>
        <w:t>En décrivant les circonstances de l</w:t>
      </w:r>
      <w:r>
        <w:rPr>
          <w:rFonts w:cs="Times New Roman"/>
          <w:noProof/>
          <w:lang w:val="fr-CA"/>
        </w:rPr>
        <w:t>’</w:t>
      </w:r>
      <w:r w:rsidRPr="001B30C8">
        <w:rPr>
          <w:rFonts w:cs="Times New Roman"/>
          <w:noProof/>
          <w:lang w:val="fr-CA"/>
        </w:rPr>
        <w:t>accident, la Cour d</w:t>
      </w:r>
      <w:r>
        <w:rPr>
          <w:rFonts w:cs="Times New Roman"/>
          <w:noProof/>
          <w:lang w:val="fr-CA"/>
        </w:rPr>
        <w:t>’</w:t>
      </w:r>
      <w:r w:rsidRPr="001B30C8">
        <w:rPr>
          <w:rFonts w:cs="Times New Roman"/>
          <w:noProof/>
          <w:lang w:val="fr-CA"/>
        </w:rPr>
        <w:t>appel a insisté sur le fait que M. Suter avait décidé d</w:t>
      </w:r>
      <w:r>
        <w:rPr>
          <w:rFonts w:cs="Times New Roman"/>
          <w:noProof/>
          <w:lang w:val="fr-CA"/>
        </w:rPr>
        <w:t>’</w:t>
      </w:r>
      <w:r w:rsidRPr="001B30C8">
        <w:rPr>
          <w:rFonts w:cs="Times New Roman"/>
          <w:noProof/>
          <w:lang w:val="fr-CA"/>
        </w:rPr>
        <w:t>entrer dans un stationnement très fréquenté, alors qu</w:t>
      </w:r>
      <w:r>
        <w:rPr>
          <w:rFonts w:cs="Times New Roman"/>
          <w:noProof/>
          <w:lang w:val="fr-CA"/>
        </w:rPr>
        <w:t>’</w:t>
      </w:r>
      <w:r w:rsidRPr="001B30C8">
        <w:rPr>
          <w:rFonts w:cs="Times New Roman"/>
          <w:noProof/>
          <w:lang w:val="fr-CA"/>
        </w:rPr>
        <w:t>il était en colère et distrait, et dans le contexte de problèmes préexistants d</w:t>
      </w:r>
      <w:r>
        <w:rPr>
          <w:rFonts w:cs="Times New Roman"/>
          <w:noProof/>
          <w:lang w:val="fr-CA"/>
        </w:rPr>
        <w:t>’</w:t>
      </w:r>
      <w:r w:rsidRPr="001B30C8">
        <w:rPr>
          <w:rFonts w:cs="Times New Roman"/>
          <w:noProof/>
          <w:lang w:val="fr-CA"/>
        </w:rPr>
        <w:t>ordre conjugal, de santé et d</w:t>
      </w:r>
      <w:r>
        <w:rPr>
          <w:rFonts w:cs="Times New Roman"/>
          <w:noProof/>
          <w:lang w:val="fr-CA"/>
        </w:rPr>
        <w:t>’</w:t>
      </w:r>
      <w:r w:rsidRPr="001B30C8">
        <w:rPr>
          <w:rFonts w:cs="Times New Roman"/>
          <w:noProof/>
          <w:lang w:val="fr-CA"/>
        </w:rPr>
        <w:t>alcool :</w:t>
      </w:r>
    </w:p>
    <w:p w:rsidR="001A0BA2" w:rsidRPr="001B30C8" w:rsidRDefault="001A0BA2" w:rsidP="001A0BA2">
      <w:pPr>
        <w:pStyle w:val="Citation-AltC"/>
        <w:spacing w:after="240"/>
        <w:ind w:hanging="1166"/>
        <w:contextualSpacing w:val="0"/>
        <w:rPr>
          <w:smallCaps/>
          <w:noProof/>
          <w:lang w:val="fr-CA"/>
        </w:rPr>
      </w:pPr>
      <w:r w:rsidRPr="001B30C8">
        <w:rPr>
          <w:smallCaps/>
          <w:noProof/>
          <w:lang w:val="fr-CA"/>
        </w:rPr>
        <w:tab/>
      </w:r>
      <w:r w:rsidRPr="001B30C8">
        <w:rPr>
          <w:smallCaps/>
          <w:noProof/>
          <w:lang w:val="fr-CA"/>
        </w:rPr>
        <w:tab/>
        <w:t xml:space="preserve">[traduction] </w:t>
      </w:r>
      <w:r w:rsidRPr="001B30C8">
        <w:rPr>
          <w:noProof/>
          <w:lang w:val="fr-CA"/>
        </w:rPr>
        <w:t>Tout en gardant à l</w:t>
      </w:r>
      <w:r>
        <w:rPr>
          <w:noProof/>
          <w:lang w:val="fr-CA"/>
        </w:rPr>
        <w:t>’</w:t>
      </w:r>
      <w:r w:rsidRPr="001B30C8">
        <w:rPr>
          <w:noProof/>
          <w:lang w:val="fr-CA"/>
        </w:rPr>
        <w:t>esprit que le juge de la peine a conclu que M. Suter n</w:t>
      </w:r>
      <w:r>
        <w:rPr>
          <w:noProof/>
          <w:lang w:val="fr-CA"/>
        </w:rPr>
        <w:t>’</w:t>
      </w:r>
      <w:r w:rsidRPr="001B30C8">
        <w:rPr>
          <w:noProof/>
          <w:lang w:val="fr-CA"/>
        </w:rPr>
        <w:t>avait pas les facultés affaiblies au moment en cause, il faut noter que ses aveux démontrent qu</w:t>
      </w:r>
      <w:r>
        <w:rPr>
          <w:noProof/>
          <w:lang w:val="fr-CA"/>
        </w:rPr>
        <w:t>’</w:t>
      </w:r>
      <w:r w:rsidRPr="001B30C8">
        <w:rPr>
          <w:noProof/>
          <w:lang w:val="fr-CA"/>
        </w:rPr>
        <w:t xml:space="preserve">il a néanmoins conduit son véhicule </w:t>
      </w:r>
      <w:r w:rsidRPr="001B30C8">
        <w:rPr>
          <w:noProof/>
          <w:lang w:val="fr-CA"/>
        </w:rPr>
        <w:lastRenderedPageBreak/>
        <w:t>alors qu</w:t>
      </w:r>
      <w:r>
        <w:rPr>
          <w:noProof/>
          <w:lang w:val="fr-CA"/>
        </w:rPr>
        <w:t>’</w:t>
      </w:r>
      <w:r w:rsidRPr="001B30C8">
        <w:rPr>
          <w:noProof/>
          <w:lang w:val="fr-CA"/>
        </w:rPr>
        <w:t>il était très distrait. Il a pris le volant après avoir consommé de l</w:t>
      </w:r>
      <w:r>
        <w:rPr>
          <w:noProof/>
          <w:lang w:val="fr-CA"/>
        </w:rPr>
        <w:t>’</w:t>
      </w:r>
      <w:r w:rsidRPr="001B30C8">
        <w:rPr>
          <w:noProof/>
          <w:lang w:val="fr-CA"/>
        </w:rPr>
        <w:t>alcool, malgré ses problèmes d</w:t>
      </w:r>
      <w:r>
        <w:rPr>
          <w:noProof/>
          <w:lang w:val="fr-CA"/>
        </w:rPr>
        <w:t>’</w:t>
      </w:r>
      <w:r w:rsidRPr="001B30C8">
        <w:rPr>
          <w:noProof/>
          <w:lang w:val="fr-CA"/>
        </w:rPr>
        <w:t>alcool et une détérioration de sa santé et de son bien</w:t>
      </w:r>
      <w:r w:rsidRPr="001B30C8">
        <w:rPr>
          <w:noProof/>
          <w:lang w:val="fr-CA"/>
        </w:rPr>
        <w:noBreakHyphen/>
        <w:t>être dans les semaines ayant précédé la collision. Son mariage battait de l</w:t>
      </w:r>
      <w:r>
        <w:rPr>
          <w:noProof/>
          <w:lang w:val="fr-CA"/>
        </w:rPr>
        <w:t>’</w:t>
      </w:r>
      <w:r w:rsidRPr="001B30C8">
        <w:rPr>
          <w:noProof/>
          <w:lang w:val="fr-CA"/>
        </w:rPr>
        <w:t>aile. Il a décidé de prendre le volant alors qu</w:t>
      </w:r>
      <w:r>
        <w:rPr>
          <w:noProof/>
          <w:lang w:val="fr-CA"/>
        </w:rPr>
        <w:t>’</w:t>
      </w:r>
      <w:r w:rsidRPr="001B30C8">
        <w:rPr>
          <w:noProof/>
          <w:lang w:val="fr-CA"/>
        </w:rPr>
        <w:t>il était en colère et contrarié, et qu</w:t>
      </w:r>
      <w:r>
        <w:rPr>
          <w:noProof/>
          <w:lang w:val="fr-CA"/>
        </w:rPr>
        <w:t>’</w:t>
      </w:r>
      <w:r w:rsidRPr="001B30C8">
        <w:rPr>
          <w:noProof/>
          <w:lang w:val="fr-CA"/>
        </w:rPr>
        <w:t>il se disputait avec sa femme à cause du comportement qu</w:t>
      </w:r>
      <w:r>
        <w:rPr>
          <w:noProof/>
          <w:lang w:val="fr-CA"/>
        </w:rPr>
        <w:t>’</w:t>
      </w:r>
      <w:r w:rsidRPr="001B30C8">
        <w:rPr>
          <w:noProof/>
          <w:lang w:val="fr-CA"/>
        </w:rPr>
        <w:t>il avait eu au restaurant Chili</w:t>
      </w:r>
      <w:r>
        <w:rPr>
          <w:noProof/>
          <w:lang w:val="fr-CA"/>
        </w:rPr>
        <w:t>’</w:t>
      </w:r>
      <w:r w:rsidRPr="001B30C8">
        <w:rPr>
          <w:noProof/>
          <w:lang w:val="fr-CA"/>
        </w:rPr>
        <w:t>s.</w:t>
      </w:r>
    </w:p>
    <w:p w:rsidR="001A0BA2" w:rsidRPr="001B30C8" w:rsidRDefault="001A0BA2" w:rsidP="001A0BA2">
      <w:pPr>
        <w:pStyle w:val="Citation-AltC"/>
        <w:tabs>
          <w:tab w:val="left" w:pos="1440"/>
        </w:tabs>
        <w:ind w:hanging="1166"/>
        <w:contextualSpacing w:val="0"/>
        <w:rPr>
          <w:noProof/>
          <w:lang w:val="fr-CA"/>
        </w:rPr>
      </w:pPr>
      <w:r w:rsidRPr="001B30C8">
        <w:rPr>
          <w:noProof/>
          <w:lang w:val="fr-CA"/>
        </w:rPr>
        <w:tab/>
      </w:r>
      <w:r w:rsidRPr="001B30C8">
        <w:rPr>
          <w:noProof/>
          <w:lang w:val="fr-CA"/>
        </w:rPr>
        <w:tab/>
        <w:t>M. Suter avait eu des problèmes d</w:t>
      </w:r>
      <w:r>
        <w:rPr>
          <w:noProof/>
          <w:lang w:val="fr-CA"/>
        </w:rPr>
        <w:t>’</w:t>
      </w:r>
      <w:r w:rsidRPr="001B30C8">
        <w:rPr>
          <w:noProof/>
          <w:lang w:val="fr-CA"/>
        </w:rPr>
        <w:t>alcool dans un passé relativement récent. En raison de ces problèmes, il avait fallu appeler la police parce qu</w:t>
      </w:r>
      <w:r>
        <w:rPr>
          <w:noProof/>
          <w:lang w:val="fr-CA"/>
        </w:rPr>
        <w:t>’</w:t>
      </w:r>
      <w:r w:rsidRPr="001B30C8">
        <w:rPr>
          <w:noProof/>
          <w:lang w:val="fr-CA"/>
        </w:rPr>
        <w:t>il avait des hallucinations, et une hospitalisation s</w:t>
      </w:r>
      <w:r>
        <w:rPr>
          <w:noProof/>
          <w:lang w:val="fr-CA"/>
        </w:rPr>
        <w:t>’</w:t>
      </w:r>
      <w:r w:rsidRPr="001B30C8">
        <w:rPr>
          <w:noProof/>
          <w:lang w:val="fr-CA"/>
        </w:rPr>
        <w:t>en était suivie. Il s</w:t>
      </w:r>
      <w:r>
        <w:rPr>
          <w:noProof/>
          <w:lang w:val="fr-CA"/>
        </w:rPr>
        <w:t>’</w:t>
      </w:r>
      <w:r w:rsidRPr="001B30C8">
        <w:rPr>
          <w:noProof/>
          <w:lang w:val="fr-CA"/>
        </w:rPr>
        <w:t>était blessé à la tête deux jours avant l</w:t>
      </w:r>
      <w:r>
        <w:rPr>
          <w:noProof/>
          <w:lang w:val="fr-CA"/>
        </w:rPr>
        <w:t>’</w:t>
      </w:r>
      <w:r w:rsidRPr="001B30C8">
        <w:rPr>
          <w:noProof/>
          <w:lang w:val="fr-CA"/>
        </w:rPr>
        <w:t>accident. Il avait récemment recommencé à consommer de l</w:t>
      </w:r>
      <w:r>
        <w:rPr>
          <w:noProof/>
          <w:lang w:val="fr-CA"/>
        </w:rPr>
        <w:t>’</w:t>
      </w:r>
      <w:r w:rsidRPr="001B30C8">
        <w:rPr>
          <w:noProof/>
          <w:lang w:val="fr-CA"/>
        </w:rPr>
        <w:t>alcool et il avait bu (bien que pas au point d</w:t>
      </w:r>
      <w:r>
        <w:rPr>
          <w:noProof/>
          <w:lang w:val="fr-CA"/>
        </w:rPr>
        <w:t>’</w:t>
      </w:r>
      <w:r w:rsidRPr="001B30C8">
        <w:rPr>
          <w:noProof/>
          <w:lang w:val="fr-CA"/>
        </w:rPr>
        <w:t>avoir les facultés affaiblies) au moment de la collision. Il était en colère. Il avait alors une dispute grave et animée avec sa femme au sujet de questions pouvant avoir une incidence permanente sur son mariage. Ces événements l</w:t>
      </w:r>
      <w:r>
        <w:rPr>
          <w:noProof/>
          <w:lang w:val="fr-CA"/>
        </w:rPr>
        <w:t>’</w:t>
      </w:r>
      <w:r w:rsidRPr="001B30C8">
        <w:rPr>
          <w:noProof/>
          <w:lang w:val="fr-CA"/>
        </w:rPr>
        <w:t>ont distrait. Il a quand même continué de s</w:t>
      </w:r>
      <w:r>
        <w:rPr>
          <w:noProof/>
          <w:lang w:val="fr-CA"/>
        </w:rPr>
        <w:t>’</w:t>
      </w:r>
      <w:r w:rsidRPr="001B30C8">
        <w:rPr>
          <w:noProof/>
          <w:lang w:val="fr-CA"/>
        </w:rPr>
        <w:t>engager dans un stationnement très fréquenté, situé à proximité de plusieurs personnes attablées à l</w:t>
      </w:r>
      <w:r>
        <w:rPr>
          <w:noProof/>
          <w:lang w:val="fr-CA"/>
        </w:rPr>
        <w:t>’</w:t>
      </w:r>
      <w:r w:rsidRPr="001B30C8">
        <w:rPr>
          <w:noProof/>
          <w:lang w:val="fr-CA"/>
        </w:rPr>
        <w:t>extérieur. [par. 89</w:t>
      </w:r>
      <w:r w:rsidRPr="001B30C8">
        <w:rPr>
          <w:noProof/>
          <w:lang w:val="fr-CA"/>
        </w:rPr>
        <w:noBreakHyphen/>
        <w:t>90]</w:t>
      </w:r>
    </w:p>
    <w:p w:rsidR="001A0BA2" w:rsidRPr="001B30C8" w:rsidRDefault="001A0BA2" w:rsidP="001A0BA2">
      <w:pPr>
        <w:pStyle w:val="ParaNoNdepar-AltN"/>
        <w:rPr>
          <w:rFonts w:cs="Times New Roman"/>
          <w:noProof/>
          <w:lang w:val="fr-CA"/>
        </w:rPr>
      </w:pPr>
      <w:r w:rsidRPr="001B30C8">
        <w:rPr>
          <w:rFonts w:cs="Times New Roman"/>
          <w:noProof/>
          <w:lang w:val="fr-CA"/>
        </w:rPr>
        <w:t>Bien des faits que la Cour d</w:t>
      </w:r>
      <w:r>
        <w:rPr>
          <w:rFonts w:cs="Times New Roman"/>
          <w:noProof/>
          <w:lang w:val="fr-CA"/>
        </w:rPr>
        <w:t>’</w:t>
      </w:r>
      <w:r w:rsidRPr="001B30C8">
        <w:rPr>
          <w:rFonts w:cs="Times New Roman"/>
          <w:noProof/>
          <w:lang w:val="fr-CA"/>
        </w:rPr>
        <w:t>appel a invoqués à titre de facteurs aggravants n</w:t>
      </w:r>
      <w:r>
        <w:rPr>
          <w:rFonts w:cs="Times New Roman"/>
          <w:noProof/>
          <w:lang w:val="fr-CA"/>
        </w:rPr>
        <w:t>’</w:t>
      </w:r>
      <w:r w:rsidRPr="001B30C8">
        <w:rPr>
          <w:rFonts w:cs="Times New Roman"/>
          <w:noProof/>
          <w:lang w:val="fr-CA"/>
        </w:rPr>
        <w:t>ont, à mon avis, aucune pertinence quant à la gravité de l</w:t>
      </w:r>
      <w:r>
        <w:rPr>
          <w:rFonts w:cs="Times New Roman"/>
          <w:noProof/>
          <w:lang w:val="fr-CA"/>
        </w:rPr>
        <w:t>’</w:t>
      </w:r>
      <w:r w:rsidRPr="001B30C8">
        <w:rPr>
          <w:rFonts w:cs="Times New Roman"/>
          <w:noProof/>
          <w:lang w:val="fr-CA"/>
        </w:rPr>
        <w:t>infraction prévue au par. 255(3.2) et au degré de culpabilité morale de M. Suter à l</w:t>
      </w:r>
      <w:r>
        <w:rPr>
          <w:rFonts w:cs="Times New Roman"/>
          <w:noProof/>
          <w:lang w:val="fr-CA"/>
        </w:rPr>
        <w:t>’</w:t>
      </w:r>
      <w:r w:rsidRPr="001B30C8">
        <w:rPr>
          <w:rFonts w:cs="Times New Roman"/>
          <w:noProof/>
          <w:lang w:val="fr-CA"/>
        </w:rPr>
        <w:t>égard de cette infraction. Parmi ces faits, mentionnons que : (1) M. Suter avait eu des problèmes d</w:t>
      </w:r>
      <w:r>
        <w:rPr>
          <w:rFonts w:cs="Times New Roman"/>
          <w:noProof/>
          <w:lang w:val="fr-CA"/>
        </w:rPr>
        <w:t>’</w:t>
      </w:r>
      <w:r w:rsidRPr="001B30C8">
        <w:rPr>
          <w:rFonts w:cs="Times New Roman"/>
          <w:noProof/>
          <w:lang w:val="fr-CA"/>
        </w:rPr>
        <w:t>alcool dans le passé, (2) il avait connu un épisode d</w:t>
      </w:r>
      <w:r>
        <w:rPr>
          <w:rFonts w:cs="Times New Roman"/>
          <w:noProof/>
          <w:lang w:val="fr-CA"/>
        </w:rPr>
        <w:t>’</w:t>
      </w:r>
      <w:r w:rsidRPr="001B30C8">
        <w:rPr>
          <w:rFonts w:cs="Times New Roman"/>
          <w:noProof/>
          <w:lang w:val="fr-CA"/>
        </w:rPr>
        <w:t>hallucinations deux semaines avant l</w:t>
      </w:r>
      <w:r>
        <w:rPr>
          <w:rFonts w:cs="Times New Roman"/>
          <w:noProof/>
          <w:lang w:val="fr-CA"/>
        </w:rPr>
        <w:t>’</w:t>
      </w:r>
      <w:r w:rsidRPr="001B30C8">
        <w:rPr>
          <w:rFonts w:cs="Times New Roman"/>
          <w:noProof/>
          <w:lang w:val="fr-CA"/>
        </w:rPr>
        <w:t>incident, (3)</w:t>
      </w:r>
      <w:r w:rsidRPr="001B30C8">
        <w:rPr>
          <w:rFonts w:cs="Times New Roman"/>
          <w:lang w:val="fr-CA"/>
        </w:rPr>
        <w:t> </w:t>
      </w:r>
      <w:r w:rsidRPr="001B30C8">
        <w:rPr>
          <w:rFonts w:cs="Times New Roman"/>
          <w:noProof/>
          <w:lang w:val="fr-CA"/>
        </w:rPr>
        <w:t>il avait subi un coup à la tête après une partie de golf deux jours avant l</w:t>
      </w:r>
      <w:r>
        <w:rPr>
          <w:rFonts w:cs="Times New Roman"/>
          <w:noProof/>
          <w:lang w:val="fr-CA"/>
        </w:rPr>
        <w:t>’</w:t>
      </w:r>
      <w:r w:rsidRPr="001B30C8">
        <w:rPr>
          <w:rFonts w:cs="Times New Roman"/>
          <w:noProof/>
          <w:lang w:val="fr-CA"/>
        </w:rPr>
        <w:t>accident, et (4)</w:t>
      </w:r>
      <w:r w:rsidRPr="001B30C8">
        <w:rPr>
          <w:rFonts w:cs="Times New Roman"/>
          <w:lang w:val="fr-CA"/>
        </w:rPr>
        <w:t> </w:t>
      </w:r>
      <w:r w:rsidRPr="001B30C8">
        <w:rPr>
          <w:rFonts w:cs="Times New Roman"/>
          <w:noProof/>
          <w:lang w:val="fr-CA"/>
        </w:rPr>
        <w:t>son mariage battait de l</w:t>
      </w:r>
      <w:r>
        <w:rPr>
          <w:rFonts w:cs="Times New Roman"/>
          <w:noProof/>
          <w:lang w:val="fr-CA"/>
        </w:rPr>
        <w:t>’</w:t>
      </w:r>
      <w:r w:rsidRPr="001B30C8">
        <w:rPr>
          <w:rFonts w:cs="Times New Roman"/>
          <w:noProof/>
          <w:lang w:val="fr-CA"/>
        </w:rPr>
        <w:t>aile.</w:t>
      </w:r>
    </w:p>
    <w:p w:rsidR="001A0BA2" w:rsidRPr="001B30C8" w:rsidRDefault="001A0BA2" w:rsidP="001A0BA2">
      <w:pPr>
        <w:pStyle w:val="ParaNoNdepar-AltN"/>
        <w:rPr>
          <w:rFonts w:cs="Times New Roman"/>
          <w:noProof/>
          <w:lang w:val="fr-CA"/>
        </w:rPr>
      </w:pPr>
      <w:r w:rsidRPr="001B30C8">
        <w:rPr>
          <w:rFonts w:cs="Times New Roman"/>
          <w:noProof/>
          <w:lang w:val="fr-CA"/>
        </w:rPr>
        <w:t>Le juge de la peine a conclu que M. Suter n</w:t>
      </w:r>
      <w:r>
        <w:rPr>
          <w:rFonts w:cs="Times New Roman"/>
          <w:noProof/>
          <w:lang w:val="fr-CA"/>
        </w:rPr>
        <w:t>’</w:t>
      </w:r>
      <w:r w:rsidRPr="001B30C8">
        <w:rPr>
          <w:rFonts w:cs="Times New Roman"/>
          <w:noProof/>
          <w:lang w:val="fr-CA"/>
        </w:rPr>
        <w:t>avait pas les facultés affaiblies par l</w:t>
      </w:r>
      <w:r>
        <w:rPr>
          <w:rFonts w:cs="Times New Roman"/>
          <w:noProof/>
          <w:lang w:val="fr-CA"/>
        </w:rPr>
        <w:t>’</w:t>
      </w:r>
      <w:r w:rsidRPr="001B30C8">
        <w:rPr>
          <w:rFonts w:cs="Times New Roman"/>
          <w:noProof/>
          <w:lang w:val="fr-CA"/>
        </w:rPr>
        <w:t>alcool au moment de l</w:t>
      </w:r>
      <w:r>
        <w:rPr>
          <w:rFonts w:cs="Times New Roman"/>
          <w:noProof/>
          <w:lang w:val="fr-CA"/>
        </w:rPr>
        <w:t>’</w:t>
      </w:r>
      <w:r w:rsidRPr="001B30C8">
        <w:rPr>
          <w:rFonts w:cs="Times New Roman"/>
          <w:noProof/>
          <w:lang w:val="fr-CA"/>
        </w:rPr>
        <w:t>accident. Il a accepté les témoignages de M. et de M</w:t>
      </w:r>
      <w:r w:rsidRPr="001B30C8">
        <w:rPr>
          <w:rFonts w:cs="Times New Roman"/>
          <w:noProof/>
          <w:vertAlign w:val="superscript"/>
          <w:lang w:val="fr-CA"/>
        </w:rPr>
        <w:t>me</w:t>
      </w:r>
      <w:r w:rsidRPr="001B30C8">
        <w:rPr>
          <w:rFonts w:cs="Times New Roman"/>
          <w:noProof/>
          <w:lang w:val="fr-CA"/>
        </w:rPr>
        <w:t> Suter au sujet de la quantité d</w:t>
      </w:r>
      <w:r>
        <w:rPr>
          <w:rFonts w:cs="Times New Roman"/>
          <w:noProof/>
          <w:lang w:val="fr-CA"/>
        </w:rPr>
        <w:t>’</w:t>
      </w:r>
      <w:r w:rsidRPr="001B30C8">
        <w:rPr>
          <w:rFonts w:cs="Times New Roman"/>
          <w:noProof/>
          <w:lang w:val="fr-CA"/>
        </w:rPr>
        <w:t>alcool que M. Suter avait consommée ce jour</w:t>
      </w:r>
      <w:r w:rsidRPr="001B30C8">
        <w:rPr>
          <w:rFonts w:cs="Times New Roman"/>
          <w:noProof/>
          <w:lang w:val="fr-CA"/>
        </w:rPr>
        <w:noBreakHyphen/>
        <w:t>là. Il ressort d</w:t>
      </w:r>
      <w:r>
        <w:rPr>
          <w:rFonts w:cs="Times New Roman"/>
          <w:noProof/>
          <w:lang w:val="fr-CA"/>
        </w:rPr>
        <w:t>’</w:t>
      </w:r>
      <w:r w:rsidRPr="001B30C8">
        <w:rPr>
          <w:rFonts w:cs="Times New Roman"/>
          <w:noProof/>
          <w:lang w:val="fr-CA"/>
        </w:rPr>
        <w:t>un rapport d</w:t>
      </w:r>
      <w:r>
        <w:rPr>
          <w:rFonts w:cs="Times New Roman"/>
          <w:noProof/>
          <w:lang w:val="fr-CA"/>
        </w:rPr>
        <w:t>’</w:t>
      </w:r>
      <w:r w:rsidRPr="001B30C8">
        <w:rPr>
          <w:rFonts w:cs="Times New Roman"/>
          <w:noProof/>
          <w:lang w:val="fr-CA"/>
        </w:rPr>
        <w:t>expert admis en preuve sur consentement qu</w:t>
      </w:r>
      <w:r>
        <w:rPr>
          <w:rFonts w:cs="Times New Roman"/>
          <w:noProof/>
          <w:lang w:val="fr-CA"/>
        </w:rPr>
        <w:t>’</w:t>
      </w:r>
      <w:r w:rsidRPr="001B30C8">
        <w:rPr>
          <w:rFonts w:cs="Times New Roman"/>
          <w:noProof/>
          <w:lang w:val="fr-CA"/>
        </w:rPr>
        <w:t>avec cette quantité d</w:t>
      </w:r>
      <w:r>
        <w:rPr>
          <w:rFonts w:cs="Times New Roman"/>
          <w:noProof/>
          <w:lang w:val="fr-CA"/>
        </w:rPr>
        <w:t>’</w:t>
      </w:r>
      <w:r w:rsidRPr="001B30C8">
        <w:rPr>
          <w:rFonts w:cs="Times New Roman"/>
          <w:noProof/>
          <w:lang w:val="fr-CA"/>
        </w:rPr>
        <w:t>alcool, M. Suter n</w:t>
      </w:r>
      <w:r>
        <w:rPr>
          <w:rFonts w:cs="Times New Roman"/>
          <w:noProof/>
          <w:lang w:val="fr-CA"/>
        </w:rPr>
        <w:t>’</w:t>
      </w:r>
      <w:r w:rsidRPr="001B30C8">
        <w:rPr>
          <w:rFonts w:cs="Times New Roman"/>
          <w:noProof/>
          <w:lang w:val="fr-CA"/>
        </w:rPr>
        <w:t>aurait pas présenté une alcoolémie « supérieure à 80 mg » s</w:t>
      </w:r>
      <w:r>
        <w:rPr>
          <w:rFonts w:cs="Times New Roman"/>
          <w:noProof/>
          <w:lang w:val="fr-CA"/>
        </w:rPr>
        <w:t>’</w:t>
      </w:r>
      <w:r w:rsidRPr="001B30C8">
        <w:rPr>
          <w:rFonts w:cs="Times New Roman"/>
          <w:noProof/>
          <w:lang w:val="fr-CA"/>
        </w:rPr>
        <w:t>il avait fourni à la police un échantillon d</w:t>
      </w:r>
      <w:r>
        <w:rPr>
          <w:rFonts w:cs="Times New Roman"/>
          <w:noProof/>
          <w:lang w:val="fr-CA"/>
        </w:rPr>
        <w:t>’</w:t>
      </w:r>
      <w:r w:rsidRPr="001B30C8">
        <w:rPr>
          <w:rFonts w:cs="Times New Roman"/>
          <w:noProof/>
          <w:lang w:val="fr-CA"/>
        </w:rPr>
        <w:t>haleine. Je ne comprends donc pas en quoi des habitudes de consommation d</w:t>
      </w:r>
      <w:r>
        <w:rPr>
          <w:rFonts w:cs="Times New Roman"/>
          <w:noProof/>
          <w:lang w:val="fr-CA"/>
        </w:rPr>
        <w:t>’</w:t>
      </w:r>
      <w:r w:rsidRPr="001B30C8">
        <w:rPr>
          <w:rFonts w:cs="Times New Roman"/>
          <w:noProof/>
          <w:lang w:val="fr-CA"/>
        </w:rPr>
        <w:t>alcool plusieurs mois avant l</w:t>
      </w:r>
      <w:r>
        <w:rPr>
          <w:rFonts w:cs="Times New Roman"/>
          <w:noProof/>
          <w:lang w:val="fr-CA"/>
        </w:rPr>
        <w:t>’</w:t>
      </w:r>
      <w:r w:rsidRPr="001B30C8">
        <w:rPr>
          <w:rFonts w:cs="Times New Roman"/>
          <w:noProof/>
          <w:lang w:val="fr-CA"/>
        </w:rPr>
        <w:t xml:space="preserve">accident pourraient avoir </w:t>
      </w:r>
      <w:r w:rsidRPr="001B30C8">
        <w:rPr>
          <w:rFonts w:cs="Times New Roman"/>
          <w:noProof/>
          <w:lang w:val="fr-CA"/>
        </w:rPr>
        <w:lastRenderedPageBreak/>
        <w:t>une incidence sur la gravité de l</w:t>
      </w:r>
      <w:r>
        <w:rPr>
          <w:rFonts w:cs="Times New Roman"/>
          <w:noProof/>
          <w:lang w:val="fr-CA"/>
        </w:rPr>
        <w:t>’</w:t>
      </w:r>
      <w:r w:rsidRPr="001B30C8">
        <w:rPr>
          <w:rFonts w:cs="Times New Roman"/>
          <w:noProof/>
          <w:lang w:val="fr-CA"/>
        </w:rPr>
        <w:t>infraction visée au par. 255(3.2) ou sur le degré de culpabilité morale de M. Suter relativement à cette infraction.</w:t>
      </w:r>
    </w:p>
    <w:p w:rsidR="001A0BA2" w:rsidRPr="001B30C8" w:rsidRDefault="001A0BA2" w:rsidP="001A0BA2">
      <w:pPr>
        <w:pStyle w:val="ParaNoNdepar-AltN"/>
        <w:rPr>
          <w:rFonts w:cs="Times New Roman"/>
          <w:noProof/>
          <w:lang w:val="fr-CA"/>
        </w:rPr>
      </w:pPr>
      <w:r w:rsidRPr="001B30C8">
        <w:rPr>
          <w:rFonts w:cs="Times New Roman"/>
          <w:noProof/>
          <w:lang w:val="fr-CA"/>
        </w:rPr>
        <w:t>De même, en l</w:t>
      </w:r>
      <w:r>
        <w:rPr>
          <w:rFonts w:cs="Times New Roman"/>
          <w:noProof/>
          <w:lang w:val="fr-CA"/>
        </w:rPr>
        <w:t>’</w:t>
      </w:r>
      <w:r w:rsidRPr="001B30C8">
        <w:rPr>
          <w:rFonts w:cs="Times New Roman"/>
          <w:noProof/>
          <w:lang w:val="fr-CA"/>
        </w:rPr>
        <w:t>absence de preuve que les hallucinations ou la blessure à la tête ont pu avoir, ou ont effectivement eu, une incidence sur la capacité de conduire de M. Suter, je ne vois pas en quoi ces faits sont pertinents pour l</w:t>
      </w:r>
      <w:r>
        <w:rPr>
          <w:rFonts w:cs="Times New Roman"/>
          <w:noProof/>
          <w:lang w:val="fr-CA"/>
        </w:rPr>
        <w:t>’</w:t>
      </w:r>
      <w:r w:rsidRPr="001B30C8">
        <w:rPr>
          <w:rFonts w:cs="Times New Roman"/>
          <w:noProof/>
          <w:lang w:val="fr-CA"/>
        </w:rPr>
        <w:t>analyse relative à la détermination de la peine. Cela vaut également pour le fait que le mariage de M. Suter battait de l</w:t>
      </w:r>
      <w:r>
        <w:rPr>
          <w:rFonts w:cs="Times New Roman"/>
          <w:noProof/>
          <w:lang w:val="fr-CA"/>
        </w:rPr>
        <w:t>’</w:t>
      </w:r>
      <w:r w:rsidRPr="001B30C8">
        <w:rPr>
          <w:rFonts w:cs="Times New Roman"/>
          <w:noProof/>
          <w:lang w:val="fr-CA"/>
        </w:rPr>
        <w:t>aile depuis un certain temps avant l</w:t>
      </w:r>
      <w:r>
        <w:rPr>
          <w:rFonts w:cs="Times New Roman"/>
          <w:noProof/>
          <w:lang w:val="fr-CA"/>
        </w:rPr>
        <w:t>’</w:t>
      </w:r>
      <w:r w:rsidRPr="001B30C8">
        <w:rPr>
          <w:rFonts w:cs="Times New Roman"/>
          <w:noProof/>
          <w:lang w:val="fr-CA"/>
        </w:rPr>
        <w:t>accident.</w:t>
      </w:r>
    </w:p>
    <w:p w:rsidR="001A0BA2" w:rsidRPr="001B30C8" w:rsidRDefault="001A0BA2" w:rsidP="001A0BA2">
      <w:pPr>
        <w:pStyle w:val="ParaNoNdepar-AltN"/>
        <w:rPr>
          <w:rFonts w:cs="Times New Roman"/>
          <w:noProof/>
          <w:lang w:val="fr-CA"/>
        </w:rPr>
      </w:pPr>
      <w:r w:rsidRPr="001B30C8">
        <w:rPr>
          <w:rFonts w:cs="Times New Roman"/>
          <w:noProof/>
          <w:lang w:val="fr-CA"/>
        </w:rPr>
        <w:t>De plus, la Cour d</w:t>
      </w:r>
      <w:r>
        <w:rPr>
          <w:rFonts w:cs="Times New Roman"/>
          <w:noProof/>
          <w:lang w:val="fr-CA"/>
        </w:rPr>
        <w:t>’</w:t>
      </w:r>
      <w:r w:rsidRPr="001B30C8">
        <w:rPr>
          <w:rFonts w:cs="Times New Roman"/>
          <w:noProof/>
          <w:lang w:val="fr-CA"/>
        </w:rPr>
        <w:t>appel a dit de M. Suter qu</w:t>
      </w:r>
      <w:r>
        <w:rPr>
          <w:rFonts w:cs="Times New Roman"/>
          <w:noProof/>
          <w:lang w:val="fr-CA"/>
        </w:rPr>
        <w:t>’</w:t>
      </w:r>
      <w:r w:rsidRPr="001B30C8">
        <w:rPr>
          <w:rFonts w:cs="Times New Roman"/>
          <w:noProof/>
          <w:lang w:val="fr-CA"/>
        </w:rPr>
        <w:t xml:space="preserve">il était distrait, en colère et engagé dans une </w:t>
      </w:r>
      <w:r w:rsidRPr="001B30C8">
        <w:rPr>
          <w:rFonts w:cs="Times New Roman"/>
          <w:smallCaps/>
          <w:noProof/>
          <w:lang w:val="fr-CA"/>
        </w:rPr>
        <w:t>[traduction]</w:t>
      </w:r>
      <w:r w:rsidRPr="001B30C8">
        <w:rPr>
          <w:rFonts w:cs="Times New Roman"/>
          <w:noProof/>
          <w:lang w:val="fr-CA"/>
        </w:rPr>
        <w:t xml:space="preserve"> « dispute grave et animée » alors qu</w:t>
      </w:r>
      <w:r>
        <w:rPr>
          <w:rFonts w:cs="Times New Roman"/>
          <w:noProof/>
          <w:lang w:val="fr-CA"/>
        </w:rPr>
        <w:t>’</w:t>
      </w:r>
      <w:r w:rsidRPr="001B30C8">
        <w:rPr>
          <w:rFonts w:cs="Times New Roman"/>
          <w:noProof/>
          <w:lang w:val="fr-CA"/>
        </w:rPr>
        <w:t>il entrait dans un « stationnement très fréquenté », au moment de l</w:t>
      </w:r>
      <w:r>
        <w:rPr>
          <w:rFonts w:cs="Times New Roman"/>
          <w:noProof/>
          <w:lang w:val="fr-CA"/>
        </w:rPr>
        <w:t>’</w:t>
      </w:r>
      <w:r w:rsidRPr="001B30C8">
        <w:rPr>
          <w:rFonts w:cs="Times New Roman"/>
          <w:noProof/>
          <w:lang w:val="fr-CA"/>
        </w:rPr>
        <w:t>accident (par. 90). Au paragraphe 100 de ses motifs, la cour fait observer que M. Suter a causé la mort d</w:t>
      </w:r>
      <w:r>
        <w:rPr>
          <w:rFonts w:cs="Times New Roman"/>
          <w:noProof/>
          <w:lang w:val="fr-CA"/>
        </w:rPr>
        <w:t>’</w:t>
      </w:r>
      <w:r w:rsidRPr="001B30C8">
        <w:rPr>
          <w:rFonts w:cs="Times New Roman"/>
          <w:noProof/>
          <w:lang w:val="fr-CA"/>
        </w:rPr>
        <w:t xml:space="preserve">un enfant </w:t>
      </w:r>
      <w:r w:rsidRPr="001B30C8">
        <w:rPr>
          <w:rFonts w:cs="Times New Roman"/>
          <w:smallCaps/>
          <w:noProof/>
          <w:lang w:val="fr-CA"/>
        </w:rPr>
        <w:t>[traduction]</w:t>
      </w:r>
      <w:r w:rsidRPr="001B30C8">
        <w:rPr>
          <w:rFonts w:cs="Times New Roman"/>
          <w:noProof/>
          <w:lang w:val="fr-CA"/>
        </w:rPr>
        <w:t xml:space="preserve"> « non pas intentionnellement, mais </w:t>
      </w:r>
      <w:r w:rsidRPr="001B30C8">
        <w:rPr>
          <w:rFonts w:cs="Times New Roman"/>
          <w:noProof/>
          <w:u w:val="single"/>
          <w:lang w:val="fr-CA"/>
        </w:rPr>
        <w:t>par imprudence</w:t>
      </w:r>
      <w:r w:rsidRPr="001B30C8">
        <w:rPr>
          <w:rFonts w:cs="Times New Roman"/>
          <w:noProof/>
          <w:lang w:val="fr-CA"/>
        </w:rPr>
        <w:t xml:space="preserve">, voire </w:t>
      </w:r>
      <w:r w:rsidRPr="001B30C8">
        <w:rPr>
          <w:rFonts w:cs="Times New Roman"/>
          <w:noProof/>
          <w:u w:val="single"/>
          <w:lang w:val="fr-CA"/>
        </w:rPr>
        <w:t>insouciance</w:t>
      </w:r>
      <w:r w:rsidRPr="001B30C8">
        <w:rPr>
          <w:rFonts w:cs="Times New Roman"/>
          <w:noProof/>
          <w:lang w:val="fr-CA"/>
        </w:rPr>
        <w:t> » (je souligne). En qualifiant ainsi les circonstances de l</w:t>
      </w:r>
      <w:r>
        <w:rPr>
          <w:rFonts w:cs="Times New Roman"/>
          <w:noProof/>
          <w:lang w:val="fr-CA"/>
        </w:rPr>
        <w:t>’</w:t>
      </w:r>
      <w:r w:rsidRPr="001B30C8">
        <w:rPr>
          <w:rFonts w:cs="Times New Roman"/>
          <w:noProof/>
          <w:lang w:val="fr-CA"/>
        </w:rPr>
        <w:t>accident, la cour a accordé une importance indue à des faits qui auraient pu — et j</w:t>
      </w:r>
      <w:r>
        <w:rPr>
          <w:rFonts w:cs="Times New Roman"/>
          <w:noProof/>
          <w:lang w:val="fr-CA"/>
        </w:rPr>
        <w:t>’</w:t>
      </w:r>
      <w:r w:rsidRPr="001B30C8">
        <w:rPr>
          <w:rFonts w:cs="Times New Roman"/>
          <w:noProof/>
          <w:lang w:val="fr-CA"/>
        </w:rPr>
        <w:t>insiste sur le terme « auraient pu » — constituer le fondement d</w:t>
      </w:r>
      <w:r>
        <w:rPr>
          <w:rFonts w:cs="Times New Roman"/>
          <w:noProof/>
          <w:lang w:val="fr-CA"/>
        </w:rPr>
        <w:t>’</w:t>
      </w:r>
      <w:r w:rsidRPr="001B30C8">
        <w:rPr>
          <w:rFonts w:cs="Times New Roman"/>
          <w:noProof/>
          <w:lang w:val="fr-CA"/>
        </w:rPr>
        <w:t>une infraction distincte de conduite imprudente, ou peut</w:t>
      </w:r>
      <w:r w:rsidRPr="001B30C8">
        <w:rPr>
          <w:rFonts w:cs="Times New Roman"/>
          <w:noProof/>
          <w:lang w:val="fr-CA"/>
        </w:rPr>
        <w:noBreakHyphen/>
        <w:t>être de conduite dangereuse causant la mort, qui ne faisait l</w:t>
      </w:r>
      <w:r>
        <w:rPr>
          <w:rFonts w:cs="Times New Roman"/>
          <w:noProof/>
          <w:lang w:val="fr-CA"/>
        </w:rPr>
        <w:t>’</w:t>
      </w:r>
      <w:r w:rsidRPr="001B30C8">
        <w:rPr>
          <w:rFonts w:cs="Times New Roman"/>
          <w:noProof/>
          <w:lang w:val="fr-CA"/>
        </w:rPr>
        <w:t>objet d</w:t>
      </w:r>
      <w:r>
        <w:rPr>
          <w:rFonts w:cs="Times New Roman"/>
          <w:noProof/>
          <w:lang w:val="fr-CA"/>
        </w:rPr>
        <w:t>’</w:t>
      </w:r>
      <w:r w:rsidRPr="001B30C8">
        <w:rPr>
          <w:rFonts w:cs="Times New Roman"/>
          <w:noProof/>
          <w:lang w:val="fr-CA"/>
        </w:rPr>
        <w:t>aucune accusation. C</w:t>
      </w:r>
      <w:r>
        <w:rPr>
          <w:rFonts w:cs="Times New Roman"/>
          <w:noProof/>
          <w:lang w:val="fr-CA"/>
        </w:rPr>
        <w:t>’</w:t>
      </w:r>
      <w:r w:rsidRPr="001B30C8">
        <w:rPr>
          <w:rFonts w:cs="Times New Roman"/>
          <w:noProof/>
          <w:lang w:val="fr-CA"/>
        </w:rPr>
        <w:t>est essentiellement sur ce fondement que la Cour d</w:t>
      </w:r>
      <w:r>
        <w:rPr>
          <w:rFonts w:cs="Times New Roman"/>
          <w:noProof/>
          <w:lang w:val="fr-CA"/>
        </w:rPr>
        <w:t>’</w:t>
      </w:r>
      <w:r w:rsidRPr="001B30C8">
        <w:rPr>
          <w:rFonts w:cs="Times New Roman"/>
          <w:noProof/>
          <w:lang w:val="fr-CA"/>
        </w:rPr>
        <w:t>appel a augmenté considérablement la peine de M. Suter.</w:t>
      </w:r>
    </w:p>
    <w:p w:rsidR="001A0BA2" w:rsidRPr="001B30C8" w:rsidRDefault="001A0BA2" w:rsidP="001A0BA2">
      <w:pPr>
        <w:pStyle w:val="ParaNoNdepar-AltN"/>
        <w:tabs>
          <w:tab w:val="clear" w:pos="1152"/>
          <w:tab w:val="left" w:pos="1166"/>
        </w:tabs>
        <w:rPr>
          <w:rFonts w:cs="Times New Roman"/>
          <w:noProof/>
          <w:lang w:val="fr-CA"/>
        </w:rPr>
      </w:pPr>
      <w:r w:rsidRPr="001B30C8">
        <w:rPr>
          <w:rFonts w:cs="Times New Roman"/>
          <w:noProof/>
          <w:lang w:val="fr-CA"/>
        </w:rPr>
        <w:t>À mon avis, la Cour d</w:t>
      </w:r>
      <w:r>
        <w:rPr>
          <w:rFonts w:cs="Times New Roman"/>
          <w:noProof/>
          <w:lang w:val="fr-CA"/>
        </w:rPr>
        <w:t>’</w:t>
      </w:r>
      <w:r w:rsidRPr="001B30C8">
        <w:rPr>
          <w:rFonts w:cs="Times New Roman"/>
          <w:noProof/>
          <w:lang w:val="fr-CA"/>
        </w:rPr>
        <w:t>appel a, à tort, redéfini l</w:t>
      </w:r>
      <w:r>
        <w:rPr>
          <w:rFonts w:cs="Times New Roman"/>
          <w:noProof/>
          <w:lang w:val="fr-CA"/>
        </w:rPr>
        <w:t>’</w:t>
      </w:r>
      <w:r w:rsidRPr="001B30C8">
        <w:rPr>
          <w:rFonts w:cs="Times New Roman"/>
          <w:noProof/>
          <w:lang w:val="fr-CA"/>
        </w:rPr>
        <w:t>accident comme étant un accident causé par des problèmes de santé et d</w:t>
      </w:r>
      <w:r>
        <w:rPr>
          <w:rFonts w:cs="Times New Roman"/>
          <w:noProof/>
          <w:lang w:val="fr-CA"/>
        </w:rPr>
        <w:t>’</w:t>
      </w:r>
      <w:r w:rsidRPr="001B30C8">
        <w:rPr>
          <w:rFonts w:cs="Times New Roman"/>
          <w:noProof/>
          <w:lang w:val="fr-CA"/>
        </w:rPr>
        <w:t>alcool ainsi que par la colère et la distraction. Elle a apprécié de nouveau la preuve et a pris en considération des facteurs externes qui n</w:t>
      </w:r>
      <w:r>
        <w:rPr>
          <w:rFonts w:cs="Times New Roman"/>
          <w:noProof/>
          <w:lang w:val="fr-CA"/>
        </w:rPr>
        <w:t>’</w:t>
      </w:r>
      <w:r w:rsidRPr="001B30C8">
        <w:rPr>
          <w:rFonts w:cs="Times New Roman"/>
          <w:noProof/>
          <w:lang w:val="fr-CA"/>
        </w:rPr>
        <w:t>avaient aucune incidence sur la gravité de l</w:t>
      </w:r>
      <w:r>
        <w:rPr>
          <w:rFonts w:cs="Times New Roman"/>
          <w:noProof/>
          <w:lang w:val="fr-CA"/>
        </w:rPr>
        <w:t>’</w:t>
      </w:r>
      <w:r w:rsidRPr="001B30C8">
        <w:rPr>
          <w:rFonts w:cs="Times New Roman"/>
          <w:noProof/>
          <w:lang w:val="fr-CA"/>
        </w:rPr>
        <w:t xml:space="preserve">infraction dont M. Suter était </w:t>
      </w:r>
      <w:r w:rsidRPr="001B30C8">
        <w:rPr>
          <w:rFonts w:cs="Times New Roman"/>
          <w:noProof/>
          <w:lang w:val="fr-CA"/>
        </w:rPr>
        <w:lastRenderedPageBreak/>
        <w:t>accusé, ni sur son degré de culpabilité morale. Ce faisant, elle a dans les faits puni M. Suter pour une infraction de conduite imprudente, ou de conduite dangereuse causant la mort, à l</w:t>
      </w:r>
      <w:r>
        <w:rPr>
          <w:rFonts w:cs="Times New Roman"/>
          <w:noProof/>
          <w:lang w:val="fr-CA"/>
        </w:rPr>
        <w:t>’</w:t>
      </w:r>
      <w:r w:rsidRPr="001B30C8">
        <w:rPr>
          <w:rFonts w:cs="Times New Roman"/>
          <w:noProof/>
          <w:lang w:val="fr-CA"/>
        </w:rPr>
        <w:t>égard de laquelle il n</w:t>
      </w:r>
      <w:r>
        <w:rPr>
          <w:rFonts w:cs="Times New Roman"/>
          <w:noProof/>
          <w:lang w:val="fr-CA"/>
        </w:rPr>
        <w:t>’</w:t>
      </w:r>
      <w:r w:rsidRPr="001B30C8">
        <w:rPr>
          <w:rFonts w:cs="Times New Roman"/>
          <w:noProof/>
          <w:lang w:val="fr-CA"/>
        </w:rPr>
        <w:t>avait pas subi de procès et dont il n</w:t>
      </w:r>
      <w:r>
        <w:rPr>
          <w:rFonts w:cs="Times New Roman"/>
          <w:noProof/>
          <w:lang w:val="fr-CA"/>
        </w:rPr>
        <w:t>’</w:t>
      </w:r>
      <w:r w:rsidRPr="001B30C8">
        <w:rPr>
          <w:rFonts w:cs="Times New Roman"/>
          <w:noProof/>
          <w:lang w:val="fr-CA"/>
        </w:rPr>
        <w:t>avait pas été déclaré coupable. Cette erreur de principe a mené, comme je vais l</w:t>
      </w:r>
      <w:r>
        <w:rPr>
          <w:rFonts w:cs="Times New Roman"/>
          <w:noProof/>
          <w:lang w:val="fr-CA"/>
        </w:rPr>
        <w:t>’</w:t>
      </w:r>
      <w:r w:rsidRPr="001B30C8">
        <w:rPr>
          <w:rFonts w:cs="Times New Roman"/>
          <w:noProof/>
          <w:lang w:val="fr-CA"/>
        </w:rPr>
        <w:t>expliquer, à l</w:t>
      </w:r>
      <w:r>
        <w:rPr>
          <w:rFonts w:cs="Times New Roman"/>
          <w:noProof/>
          <w:lang w:val="fr-CA"/>
        </w:rPr>
        <w:t>’</w:t>
      </w:r>
      <w:r w:rsidRPr="001B30C8">
        <w:rPr>
          <w:rFonts w:cs="Times New Roman"/>
          <w:noProof/>
          <w:lang w:val="fr-CA"/>
        </w:rPr>
        <w:t>infliction d</w:t>
      </w:r>
      <w:r>
        <w:rPr>
          <w:rFonts w:cs="Times New Roman"/>
          <w:noProof/>
          <w:lang w:val="fr-CA"/>
        </w:rPr>
        <w:t>’</w:t>
      </w:r>
      <w:r w:rsidRPr="001B30C8">
        <w:rPr>
          <w:rFonts w:cs="Times New Roman"/>
          <w:noProof/>
          <w:lang w:val="fr-CA"/>
        </w:rPr>
        <w:t>une peine non indiquée.</w:t>
      </w:r>
    </w:p>
    <w:p w:rsidR="001A0BA2" w:rsidRPr="001B30C8" w:rsidRDefault="001A0BA2" w:rsidP="001A0BA2">
      <w:pPr>
        <w:pStyle w:val="Title3LevelTitre3Niveau"/>
        <w:rPr>
          <w:rFonts w:cs="Times New Roman"/>
          <w:lang w:val="fr-CA"/>
        </w:rPr>
      </w:pPr>
      <w:r w:rsidRPr="001B30C8">
        <w:rPr>
          <w:rFonts w:cs="Times New Roman"/>
          <w:lang w:val="fr-CA"/>
        </w:rPr>
        <w:t>La Cour d</w:t>
      </w:r>
      <w:r>
        <w:rPr>
          <w:rFonts w:cs="Times New Roman"/>
          <w:lang w:val="fr-CA"/>
        </w:rPr>
        <w:t>’</w:t>
      </w:r>
      <w:r w:rsidRPr="001B30C8">
        <w:rPr>
          <w:rFonts w:cs="Times New Roman"/>
          <w:lang w:val="fr-CA"/>
        </w:rPr>
        <w:t>appel a commis une erreur en concluant que les actes de violence justicière ne peuvent être pris en considération lors de la détermination de la peine</w:t>
      </w:r>
    </w:p>
    <w:p w:rsidR="001A0BA2" w:rsidRPr="001B30C8" w:rsidRDefault="001A0BA2" w:rsidP="001A0BA2">
      <w:pPr>
        <w:pStyle w:val="ParaNoNdepar-AltN"/>
        <w:rPr>
          <w:rFonts w:cs="Times New Roman"/>
          <w:lang w:val="fr-CA"/>
        </w:rPr>
      </w:pPr>
      <w:r w:rsidRPr="001B30C8">
        <w:rPr>
          <w:rFonts w:cs="Times New Roman"/>
          <w:lang w:val="fr-CA"/>
        </w:rPr>
        <w:t xml:space="preserve">Le juge de la peine a conclu, à bon droit selon moi, que les actes de violence justicière dont a été victime M. Suter pouvaient être pris en compte — dans une mesure limitée — </w:t>
      </w:r>
      <w:r w:rsidRPr="001B30C8">
        <w:rPr>
          <w:rFonts w:cs="Times New Roman"/>
          <w:noProof/>
          <w:lang w:val="fr-CA"/>
        </w:rPr>
        <w:t>dans l</w:t>
      </w:r>
      <w:r>
        <w:rPr>
          <w:rFonts w:cs="Times New Roman"/>
          <w:noProof/>
          <w:lang w:val="fr-CA"/>
        </w:rPr>
        <w:t>’</w:t>
      </w:r>
      <w:r w:rsidRPr="001B30C8">
        <w:rPr>
          <w:rFonts w:cs="Times New Roman"/>
          <w:noProof/>
          <w:lang w:val="fr-CA"/>
        </w:rPr>
        <w:t>établissement de la peine appropriée</w:t>
      </w:r>
      <w:r w:rsidRPr="001B30C8">
        <w:rPr>
          <w:rFonts w:cs="Times New Roman"/>
          <w:lang w:val="fr-CA"/>
        </w:rPr>
        <w:t>. Soit dit en tout respect, la Cour d</w:t>
      </w:r>
      <w:r>
        <w:rPr>
          <w:rFonts w:cs="Times New Roman"/>
          <w:lang w:val="fr-CA"/>
        </w:rPr>
        <w:t>’</w:t>
      </w:r>
      <w:r w:rsidRPr="001B30C8">
        <w:rPr>
          <w:rFonts w:cs="Times New Roman"/>
          <w:lang w:val="fr-CA"/>
        </w:rPr>
        <w:t>appel a eu tort de conclure autrement. Cette erreur a aussi contribué à la peine d</w:t>
      </w:r>
      <w:r>
        <w:rPr>
          <w:rFonts w:cs="Times New Roman"/>
          <w:lang w:val="fr-CA"/>
        </w:rPr>
        <w:t>’</w:t>
      </w:r>
      <w:r w:rsidRPr="001B30C8">
        <w:rPr>
          <w:rFonts w:cs="Times New Roman"/>
          <w:lang w:val="fr-CA"/>
        </w:rPr>
        <w:t>emprisonnement de 26 mois qu</w:t>
      </w:r>
      <w:r>
        <w:rPr>
          <w:rFonts w:cs="Times New Roman"/>
          <w:lang w:val="fr-CA"/>
        </w:rPr>
        <w:t>’</w:t>
      </w:r>
      <w:r w:rsidRPr="001B30C8">
        <w:rPr>
          <w:rFonts w:cs="Times New Roman"/>
          <w:lang w:val="fr-CA"/>
        </w:rPr>
        <w:t>elle a infligée.</w:t>
      </w:r>
    </w:p>
    <w:p w:rsidR="001A0BA2" w:rsidRPr="001B30C8" w:rsidRDefault="001A0BA2" w:rsidP="001A0BA2">
      <w:pPr>
        <w:pStyle w:val="ParaNoNdepar-AltN"/>
        <w:rPr>
          <w:rFonts w:cs="Times New Roman"/>
          <w:lang w:val="fr-CA"/>
        </w:rPr>
      </w:pPr>
      <w:r w:rsidRPr="001B30C8">
        <w:rPr>
          <w:rFonts w:cs="Times New Roman"/>
          <w:lang w:val="fr-CA"/>
        </w:rPr>
        <w:t>Comme je l</w:t>
      </w:r>
      <w:r>
        <w:rPr>
          <w:rFonts w:cs="Times New Roman"/>
          <w:lang w:val="fr-CA"/>
        </w:rPr>
        <w:t>’</w:t>
      </w:r>
      <w:r w:rsidRPr="001B30C8">
        <w:rPr>
          <w:rFonts w:cs="Times New Roman"/>
          <w:lang w:val="fr-CA"/>
        </w:rPr>
        <w:t xml:space="preserve">ai fait remarquer, la détermination de la peine est une opération éminemment individualisée (voir </w:t>
      </w:r>
      <w:r w:rsidRPr="001B30C8">
        <w:rPr>
          <w:rFonts w:cs="Times New Roman"/>
          <w:i/>
          <w:lang w:val="fr-CA"/>
        </w:rPr>
        <w:t>Lacasse</w:t>
      </w:r>
      <w:r w:rsidRPr="001B30C8">
        <w:rPr>
          <w:rFonts w:cs="Times New Roman"/>
          <w:lang w:val="fr-CA"/>
        </w:rPr>
        <w:t xml:space="preserve">, par. 54; </w:t>
      </w:r>
      <w:r w:rsidRPr="001B30C8">
        <w:rPr>
          <w:rFonts w:cs="Times New Roman"/>
          <w:i/>
          <w:lang w:val="fr-CA"/>
        </w:rPr>
        <w:t>R. c. Proulx</w:t>
      </w:r>
      <w:r w:rsidRPr="001B30C8">
        <w:rPr>
          <w:rFonts w:cs="Times New Roman"/>
          <w:lang w:val="fr-CA"/>
        </w:rPr>
        <w:t xml:space="preserve">, 2000 CSC 5, [2000] 1 R.C.S. 61, par. 82; </w:t>
      </w:r>
      <w:r w:rsidRPr="001B30C8">
        <w:rPr>
          <w:rFonts w:cs="Times New Roman"/>
          <w:i/>
          <w:lang w:val="fr-CA"/>
        </w:rPr>
        <w:t>Nasogaluak</w:t>
      </w:r>
      <w:r w:rsidRPr="001B30C8">
        <w:rPr>
          <w:rFonts w:cs="Times New Roman"/>
          <w:lang w:val="fr-CA"/>
        </w:rPr>
        <w:t>, par. 43). Dans l</w:t>
      </w:r>
      <w:r>
        <w:rPr>
          <w:rFonts w:cs="Times New Roman"/>
          <w:lang w:val="fr-CA"/>
        </w:rPr>
        <w:t>’</w:t>
      </w:r>
      <w:r w:rsidRPr="001B30C8">
        <w:rPr>
          <w:rFonts w:cs="Times New Roman"/>
          <w:lang w:val="fr-CA"/>
        </w:rPr>
        <w:t xml:space="preserve">arrêt </w:t>
      </w:r>
      <w:r w:rsidRPr="001B30C8">
        <w:rPr>
          <w:rFonts w:cs="Times New Roman"/>
          <w:i/>
          <w:lang w:val="fr-CA"/>
        </w:rPr>
        <w:t>R. c. Ipeelee</w:t>
      </w:r>
      <w:r w:rsidRPr="001B30C8">
        <w:rPr>
          <w:rFonts w:cs="Times New Roman"/>
          <w:lang w:val="fr-CA"/>
        </w:rPr>
        <w:t>, 2012 CSC 13, [2012] 1 R.C.S. 433, notre Cour a déclaré que le juge de la peine doit disposer « d</w:t>
      </w:r>
      <w:r>
        <w:rPr>
          <w:rFonts w:cs="Times New Roman"/>
          <w:lang w:val="fr-CA"/>
        </w:rPr>
        <w:t>’</w:t>
      </w:r>
      <w:r w:rsidRPr="001B30C8">
        <w:rPr>
          <w:rFonts w:cs="Times New Roman"/>
          <w:lang w:val="fr-CA"/>
        </w:rPr>
        <w:t>une latitude suffisante pour [. . .] adapter [les peines] aux circonstances de l</w:t>
      </w:r>
      <w:r>
        <w:rPr>
          <w:rFonts w:cs="Times New Roman"/>
          <w:lang w:val="fr-CA"/>
        </w:rPr>
        <w:t>’</w:t>
      </w:r>
      <w:r w:rsidRPr="001B30C8">
        <w:rPr>
          <w:rFonts w:cs="Times New Roman"/>
          <w:lang w:val="fr-CA"/>
        </w:rPr>
        <w:t>infraction et à la situation du contrevenant en cause » (par. 38). Adapter les peines aux circonstances de l</w:t>
      </w:r>
      <w:r>
        <w:rPr>
          <w:rFonts w:cs="Times New Roman"/>
          <w:lang w:val="fr-CA"/>
        </w:rPr>
        <w:t>’</w:t>
      </w:r>
      <w:r w:rsidRPr="001B30C8">
        <w:rPr>
          <w:rFonts w:cs="Times New Roman"/>
          <w:lang w:val="fr-CA"/>
        </w:rPr>
        <w:t>infraction et à la situation du contrevenant peut exiger du juge de la peine qu</w:t>
      </w:r>
      <w:r>
        <w:rPr>
          <w:rFonts w:cs="Times New Roman"/>
          <w:lang w:val="fr-CA"/>
        </w:rPr>
        <w:t>’</w:t>
      </w:r>
      <w:r w:rsidRPr="001B30C8">
        <w:rPr>
          <w:rFonts w:cs="Times New Roman"/>
          <w:lang w:val="fr-CA"/>
        </w:rPr>
        <w:t>il procède à un examen des conséquences indirectes. Pareil examen permet au juge d</w:t>
      </w:r>
      <w:r>
        <w:rPr>
          <w:rFonts w:cs="Times New Roman"/>
          <w:lang w:val="fr-CA"/>
        </w:rPr>
        <w:t>’</w:t>
      </w:r>
      <w:r w:rsidRPr="001B30C8">
        <w:rPr>
          <w:rFonts w:cs="Times New Roman"/>
          <w:lang w:val="fr-CA"/>
        </w:rPr>
        <w:t xml:space="preserve">établir une peine proportionnée en tenant compte de </w:t>
      </w:r>
      <w:r w:rsidRPr="001B30C8">
        <w:rPr>
          <w:rFonts w:cs="Times New Roman"/>
          <w:i/>
          <w:lang w:val="fr-CA"/>
        </w:rPr>
        <w:t>toutes</w:t>
      </w:r>
      <w:r w:rsidRPr="001B30C8">
        <w:rPr>
          <w:rFonts w:cs="Times New Roman"/>
          <w:lang w:val="fr-CA"/>
        </w:rPr>
        <w:t xml:space="preserve"> les circonstances pertinentes liées à l</w:t>
      </w:r>
      <w:r>
        <w:rPr>
          <w:rFonts w:cs="Times New Roman"/>
          <w:lang w:val="fr-CA"/>
        </w:rPr>
        <w:t>’</w:t>
      </w:r>
      <w:r w:rsidRPr="001B30C8">
        <w:rPr>
          <w:rFonts w:cs="Times New Roman"/>
          <w:lang w:val="fr-CA"/>
        </w:rPr>
        <w:t>infraction et au contrevenant dans une affaire donnée.</w:t>
      </w:r>
    </w:p>
    <w:p w:rsidR="001A0BA2" w:rsidRPr="001B30C8" w:rsidRDefault="001A0BA2" w:rsidP="001A0BA2">
      <w:pPr>
        <w:pStyle w:val="ParaNoNdepar-AltN"/>
        <w:rPr>
          <w:rFonts w:cs="Times New Roman"/>
          <w:lang w:val="fr-CA"/>
        </w:rPr>
      </w:pPr>
      <w:r w:rsidRPr="001B30C8">
        <w:rPr>
          <w:rFonts w:cs="Times New Roman"/>
          <w:lang w:val="fr-CA"/>
        </w:rPr>
        <w:lastRenderedPageBreak/>
        <w:t>Aucune formule rigide n</w:t>
      </w:r>
      <w:r>
        <w:rPr>
          <w:rFonts w:cs="Times New Roman"/>
          <w:lang w:val="fr-CA"/>
        </w:rPr>
        <w:t>’</w:t>
      </w:r>
      <w:r w:rsidRPr="001B30C8">
        <w:rPr>
          <w:rFonts w:cs="Times New Roman"/>
          <w:lang w:val="fr-CA"/>
        </w:rPr>
        <w:t>encadre la prise en considération des conséquences indirectes. Celles</w:t>
      </w:r>
      <w:r w:rsidRPr="001B30C8">
        <w:rPr>
          <w:rFonts w:cs="Times New Roman"/>
          <w:lang w:val="fr-CA"/>
        </w:rPr>
        <w:noBreakHyphen/>
        <w:t>ci peuvent découler de la durée de la peine ou de la déclaration de culpabilité elle</w:t>
      </w:r>
      <w:r w:rsidRPr="001B30C8">
        <w:rPr>
          <w:rFonts w:cs="Times New Roman"/>
          <w:lang w:val="fr-CA"/>
        </w:rPr>
        <w:noBreakHyphen/>
        <w:t xml:space="preserve">même (voir </w:t>
      </w:r>
      <w:r w:rsidRPr="001B30C8">
        <w:rPr>
          <w:rFonts w:cs="Times New Roman"/>
          <w:i/>
          <w:lang w:val="fr-CA"/>
        </w:rPr>
        <w:t>R. c. Pham</w:t>
      </w:r>
      <w:r w:rsidRPr="001B30C8">
        <w:rPr>
          <w:rFonts w:cs="Times New Roman"/>
          <w:lang w:val="fr-CA"/>
        </w:rPr>
        <w:t xml:space="preserve">, 2013 CSC 15, [2013] 1 R.C.S. 739, par. 11; </w:t>
      </w:r>
      <w:r w:rsidRPr="001B30C8">
        <w:rPr>
          <w:rFonts w:cs="Times New Roman"/>
          <w:i/>
          <w:lang w:val="fr-CA"/>
        </w:rPr>
        <w:t>R. c. Bunn</w:t>
      </w:r>
      <w:r w:rsidRPr="001B30C8">
        <w:rPr>
          <w:rFonts w:cs="Times New Roman"/>
          <w:lang w:val="fr-CA"/>
        </w:rPr>
        <w:t xml:space="preserve"> (1997), 118 Man. R. (2d) 300 (C.A.), par. 23; </w:t>
      </w:r>
      <w:r w:rsidRPr="001B30C8">
        <w:rPr>
          <w:rFonts w:cs="Times New Roman"/>
          <w:i/>
          <w:lang w:val="fr-CA"/>
        </w:rPr>
        <w:t>R. c. Bunn</w:t>
      </w:r>
      <w:r w:rsidRPr="001B30C8">
        <w:rPr>
          <w:rFonts w:cs="Times New Roman"/>
          <w:lang w:val="fr-CA"/>
        </w:rPr>
        <w:t>, 2000 CSC 9, [2000] 1 R.C.S. 183 (« </w:t>
      </w:r>
      <w:r w:rsidRPr="001B30C8">
        <w:rPr>
          <w:rFonts w:cs="Times New Roman"/>
          <w:i/>
          <w:lang w:val="fr-CA"/>
        </w:rPr>
        <w:t>Bunn</w:t>
      </w:r>
      <w:r w:rsidRPr="001B30C8">
        <w:rPr>
          <w:rFonts w:cs="Times New Roman"/>
          <w:lang w:val="fr-CA"/>
        </w:rPr>
        <w:t xml:space="preserve"> (CSC) »), par. 23; </w:t>
      </w:r>
      <w:r w:rsidRPr="001B30C8">
        <w:rPr>
          <w:rFonts w:cs="Times New Roman"/>
          <w:i/>
          <w:lang w:val="fr-CA"/>
        </w:rPr>
        <w:t>Tran c. Canada (Sécurité publique et Protection civile)</w:t>
      </w:r>
      <w:r w:rsidRPr="001B30C8">
        <w:rPr>
          <w:rFonts w:cs="Times New Roman"/>
          <w:lang w:val="fr-CA"/>
        </w:rPr>
        <w:t xml:space="preserve">, 2017 CSC 50, [2017] 2 R.C.S. 289). Dans son ouvrage intitulé </w:t>
      </w:r>
      <w:r w:rsidRPr="001B30C8">
        <w:rPr>
          <w:rFonts w:cs="Times New Roman"/>
          <w:i/>
          <w:lang w:val="fr-CA"/>
        </w:rPr>
        <w:t xml:space="preserve">The Law of Sentencing </w:t>
      </w:r>
      <w:r w:rsidRPr="001B30C8">
        <w:rPr>
          <w:rFonts w:cs="Times New Roman"/>
          <w:lang w:val="fr-CA"/>
        </w:rPr>
        <w:t>(2001), le professeur Allan Manson observe qu</w:t>
      </w:r>
      <w:r>
        <w:rPr>
          <w:rFonts w:cs="Times New Roman"/>
          <w:lang w:val="fr-CA"/>
        </w:rPr>
        <w:t>’</w:t>
      </w:r>
      <w:r w:rsidRPr="001B30C8">
        <w:rPr>
          <w:rFonts w:cs="Times New Roman"/>
          <w:lang w:val="fr-CA"/>
        </w:rPr>
        <w:t>elles peuvent aussi découler de la perpétration même de l</w:t>
      </w:r>
      <w:r>
        <w:rPr>
          <w:rFonts w:cs="Times New Roman"/>
          <w:lang w:val="fr-CA"/>
        </w:rPr>
        <w:t>’</w:t>
      </w:r>
      <w:r w:rsidRPr="001B30C8">
        <w:rPr>
          <w:rFonts w:cs="Times New Roman"/>
          <w:lang w:val="fr-CA"/>
        </w:rPr>
        <w:t>infraction :</w:t>
      </w:r>
    </w:p>
    <w:p w:rsidR="001A0BA2" w:rsidRPr="001B30C8" w:rsidRDefault="001A0BA2" w:rsidP="001A0BA2">
      <w:pPr>
        <w:pStyle w:val="Citation-AltC"/>
        <w:ind w:left="1168" w:hanging="1168"/>
        <w:contextualSpacing w:val="0"/>
        <w:rPr>
          <w:lang w:val="fr-CA"/>
        </w:rPr>
      </w:pPr>
      <w:r w:rsidRPr="001B30C8">
        <w:rPr>
          <w:lang w:val="fr-CA"/>
        </w:rPr>
        <w:tab/>
      </w:r>
      <w:r w:rsidRPr="001B30C8">
        <w:rPr>
          <w:lang w:val="fr-CA"/>
        </w:rPr>
        <w:tab/>
        <w:t>[</w:t>
      </w:r>
      <w:r w:rsidRPr="001B30C8">
        <w:rPr>
          <w:smallCaps/>
          <w:lang w:val="fr-CA"/>
        </w:rPr>
        <w:t>traduction</w:t>
      </w:r>
      <w:r w:rsidRPr="001B30C8">
        <w:rPr>
          <w:lang w:val="fr-CA"/>
        </w:rPr>
        <w:t xml:space="preserve">] </w:t>
      </w:r>
      <w:r w:rsidRPr="001B30C8">
        <w:rPr>
          <w:u w:val="single"/>
          <w:lang w:val="fr-CA"/>
        </w:rPr>
        <w:t>Par suite de la perpétration d</w:t>
      </w:r>
      <w:r>
        <w:rPr>
          <w:u w:val="single"/>
          <w:lang w:val="fr-CA"/>
        </w:rPr>
        <w:t>’</w:t>
      </w:r>
      <w:r w:rsidRPr="001B30C8">
        <w:rPr>
          <w:u w:val="single"/>
          <w:lang w:val="fr-CA"/>
        </w:rPr>
        <w:t>une infraction</w:t>
      </w:r>
      <w:r w:rsidRPr="001B30C8">
        <w:rPr>
          <w:lang w:val="fr-CA"/>
        </w:rPr>
        <w:t>, le délinquant peut subir des conséquences physiques, émotives, sociales ou financières. Bien que ces conséquences ne constituent pas vraiment des punitions au sens de peines ou de fardeaux imposés par l</w:t>
      </w:r>
      <w:r>
        <w:rPr>
          <w:lang w:val="fr-CA"/>
        </w:rPr>
        <w:t>’</w:t>
      </w:r>
      <w:r w:rsidRPr="001B30C8">
        <w:rPr>
          <w:lang w:val="fr-CA"/>
        </w:rPr>
        <w:t>État à la suite d</w:t>
      </w:r>
      <w:r>
        <w:rPr>
          <w:lang w:val="fr-CA"/>
        </w:rPr>
        <w:t>’</w:t>
      </w:r>
      <w:r w:rsidRPr="001B30C8">
        <w:rPr>
          <w:lang w:val="fr-CA"/>
        </w:rPr>
        <w:t>une déclaration de culpabilité, elles sont souvent prises en compte aux fins d</w:t>
      </w:r>
      <w:r>
        <w:rPr>
          <w:lang w:val="fr-CA"/>
        </w:rPr>
        <w:t>’</w:t>
      </w:r>
      <w:r w:rsidRPr="001B30C8">
        <w:rPr>
          <w:lang w:val="fr-CA"/>
        </w:rPr>
        <w:t>atténuation de la peine. [Je souligne; p. 136.]</w:t>
      </w:r>
    </w:p>
    <w:p w:rsidR="001A0BA2" w:rsidRPr="001B30C8" w:rsidRDefault="001A0BA2" w:rsidP="001A0BA2">
      <w:pPr>
        <w:pStyle w:val="ContinueParaSuitedupar-AltP"/>
        <w:rPr>
          <w:rFonts w:cs="Times New Roman"/>
          <w:lang w:val="fr-CA"/>
        </w:rPr>
      </w:pPr>
      <w:r w:rsidRPr="001B30C8">
        <w:rPr>
          <w:rFonts w:cs="Times New Roman"/>
          <w:lang w:val="fr-CA"/>
        </w:rPr>
        <w:t>Je souscris à l</w:t>
      </w:r>
      <w:r>
        <w:rPr>
          <w:rFonts w:cs="Times New Roman"/>
          <w:lang w:val="fr-CA"/>
        </w:rPr>
        <w:t>’</w:t>
      </w:r>
      <w:r w:rsidRPr="001B30C8">
        <w:rPr>
          <w:rFonts w:cs="Times New Roman"/>
          <w:lang w:val="fr-CA"/>
        </w:rPr>
        <w:t>observation du professeur Manson, d</w:t>
      </w:r>
      <w:r>
        <w:rPr>
          <w:rFonts w:cs="Times New Roman"/>
          <w:lang w:val="fr-CA"/>
        </w:rPr>
        <w:t>’</w:t>
      </w:r>
      <w:r w:rsidRPr="001B30C8">
        <w:rPr>
          <w:rFonts w:cs="Times New Roman"/>
          <w:lang w:val="fr-CA"/>
        </w:rPr>
        <w:t>autant plus qu</w:t>
      </w:r>
      <w:r>
        <w:rPr>
          <w:rFonts w:cs="Times New Roman"/>
          <w:lang w:val="fr-CA"/>
        </w:rPr>
        <w:t>’</w:t>
      </w:r>
      <w:r w:rsidRPr="001B30C8">
        <w:rPr>
          <w:rFonts w:cs="Times New Roman"/>
          <w:lang w:val="fr-CA"/>
        </w:rPr>
        <w:t>elle s</w:t>
      </w:r>
      <w:r>
        <w:rPr>
          <w:rFonts w:cs="Times New Roman"/>
          <w:lang w:val="fr-CA"/>
        </w:rPr>
        <w:t>’</w:t>
      </w:r>
      <w:r w:rsidRPr="001B30C8">
        <w:rPr>
          <w:rFonts w:cs="Times New Roman"/>
          <w:lang w:val="fr-CA"/>
        </w:rPr>
        <w:t>inscrit dans le prolongement de la description des conséquences indirectes faite par notre Cour dans l</w:t>
      </w:r>
      <w:r>
        <w:rPr>
          <w:rFonts w:cs="Times New Roman"/>
          <w:lang w:val="fr-CA"/>
        </w:rPr>
        <w:t>’</w:t>
      </w:r>
      <w:r w:rsidRPr="001B30C8">
        <w:rPr>
          <w:rFonts w:cs="Times New Roman"/>
          <w:lang w:val="fr-CA"/>
        </w:rPr>
        <w:t xml:space="preserve">arrêt </w:t>
      </w:r>
      <w:r w:rsidRPr="001B30C8">
        <w:rPr>
          <w:rFonts w:cs="Times New Roman"/>
          <w:i/>
          <w:lang w:val="fr-CA"/>
        </w:rPr>
        <w:t>Pham</w:t>
      </w:r>
      <w:r w:rsidRPr="001B30C8">
        <w:rPr>
          <w:rFonts w:cs="Times New Roman"/>
          <w:lang w:val="fr-CA"/>
        </w:rPr>
        <w:t>. À mon avis, une conséquence indirecte s</w:t>
      </w:r>
      <w:r>
        <w:rPr>
          <w:rFonts w:cs="Times New Roman"/>
          <w:lang w:val="fr-CA"/>
        </w:rPr>
        <w:t>’</w:t>
      </w:r>
      <w:r w:rsidRPr="001B30C8">
        <w:rPr>
          <w:rFonts w:cs="Times New Roman"/>
          <w:lang w:val="fr-CA"/>
        </w:rPr>
        <w:t>entend de toute conséquence découlant de la perpétration d</w:t>
      </w:r>
      <w:r>
        <w:rPr>
          <w:rFonts w:cs="Times New Roman"/>
          <w:lang w:val="fr-CA"/>
        </w:rPr>
        <w:t>’</w:t>
      </w:r>
      <w:r w:rsidRPr="001B30C8">
        <w:rPr>
          <w:rFonts w:cs="Times New Roman"/>
          <w:lang w:val="fr-CA"/>
        </w:rPr>
        <w:t xml:space="preserve">une infraction, de la déclaration de culpabilité pour une infraction ou de la peine infligée pour une infraction, que peut subir le délinquant. </w:t>
      </w:r>
    </w:p>
    <w:p w:rsidR="001A0BA2" w:rsidRPr="001B30C8" w:rsidRDefault="001A0BA2" w:rsidP="001A0BA2">
      <w:pPr>
        <w:pStyle w:val="ParaNoNdepar-AltN"/>
        <w:rPr>
          <w:rFonts w:cs="Times New Roman"/>
          <w:lang w:val="fr-CA"/>
        </w:rPr>
      </w:pPr>
      <w:r w:rsidRPr="001B30C8">
        <w:rPr>
          <w:rFonts w:cs="Times New Roman"/>
          <w:lang w:val="fr-CA"/>
        </w:rPr>
        <w:t>Bien qu</w:t>
      </w:r>
      <w:r>
        <w:rPr>
          <w:rFonts w:cs="Times New Roman"/>
          <w:lang w:val="fr-CA"/>
        </w:rPr>
        <w:t>’</w:t>
      </w:r>
      <w:r w:rsidRPr="001B30C8">
        <w:rPr>
          <w:rFonts w:cs="Times New Roman"/>
          <w:lang w:val="fr-CA"/>
        </w:rPr>
        <w:t>elles ne constituent pas nécessairement des facteurs « aggravants » ou « atténuants » au sens de l</w:t>
      </w:r>
      <w:r>
        <w:rPr>
          <w:rFonts w:cs="Times New Roman"/>
          <w:lang w:val="fr-CA"/>
        </w:rPr>
        <w:t>’</w:t>
      </w:r>
      <w:r w:rsidRPr="001B30C8">
        <w:rPr>
          <w:rFonts w:cs="Times New Roman"/>
          <w:lang w:val="fr-CA"/>
        </w:rPr>
        <w:t xml:space="preserve">al. 718.2a) du </w:t>
      </w:r>
      <w:r w:rsidRPr="001B30C8">
        <w:rPr>
          <w:rFonts w:cs="Times New Roman"/>
          <w:i/>
          <w:lang w:val="fr-CA"/>
        </w:rPr>
        <w:t>Code criminel</w:t>
      </w:r>
      <w:r w:rsidRPr="001B30C8">
        <w:rPr>
          <w:rFonts w:cs="Times New Roman"/>
          <w:lang w:val="fr-CA"/>
        </w:rPr>
        <w:t xml:space="preserve"> — puisqu</w:t>
      </w:r>
      <w:r>
        <w:rPr>
          <w:rFonts w:cs="Times New Roman"/>
          <w:lang w:val="fr-CA"/>
        </w:rPr>
        <w:t>’</w:t>
      </w:r>
      <w:r w:rsidRPr="001B30C8">
        <w:rPr>
          <w:rFonts w:cs="Times New Roman"/>
          <w:lang w:val="fr-CA"/>
        </w:rPr>
        <w:t>elles ne se rattachent pas à la gravité de l</w:t>
      </w:r>
      <w:r>
        <w:rPr>
          <w:rFonts w:cs="Times New Roman"/>
          <w:lang w:val="fr-CA"/>
        </w:rPr>
        <w:t>’</w:t>
      </w:r>
      <w:r w:rsidRPr="001B30C8">
        <w:rPr>
          <w:rFonts w:cs="Times New Roman"/>
          <w:lang w:val="fr-CA"/>
        </w:rPr>
        <w:t>infraction ou au degré de responsabilité du délinquant — les conséquences indirectes sont néanmoins liées à la « situation personnelle du délinquant » (</w:t>
      </w:r>
      <w:r w:rsidRPr="001B30C8">
        <w:rPr>
          <w:rFonts w:cs="Times New Roman"/>
          <w:i/>
          <w:lang w:val="fr-CA"/>
        </w:rPr>
        <w:t>Pham</w:t>
      </w:r>
      <w:r w:rsidRPr="001B30C8">
        <w:rPr>
          <w:rFonts w:cs="Times New Roman"/>
          <w:lang w:val="fr-CA"/>
        </w:rPr>
        <w:t>, par. 11). Leur pertinence découle, en partie, de l</w:t>
      </w:r>
      <w:r>
        <w:rPr>
          <w:rFonts w:cs="Times New Roman"/>
          <w:lang w:val="fr-CA"/>
        </w:rPr>
        <w:t>’</w:t>
      </w:r>
      <w:r w:rsidRPr="001B30C8">
        <w:rPr>
          <w:rFonts w:cs="Times New Roman"/>
          <w:lang w:val="fr-CA"/>
        </w:rPr>
        <w:t>application des principes d</w:t>
      </w:r>
      <w:r>
        <w:rPr>
          <w:rFonts w:cs="Times New Roman"/>
          <w:lang w:val="fr-CA"/>
        </w:rPr>
        <w:t>’</w:t>
      </w:r>
      <w:r w:rsidRPr="001B30C8">
        <w:rPr>
          <w:rFonts w:cs="Times New Roman"/>
          <w:lang w:val="fr-CA"/>
        </w:rPr>
        <w:t>individualisation et de parité en matière de détermination de la peine (</w:t>
      </w:r>
      <w:r w:rsidRPr="001B30C8">
        <w:rPr>
          <w:rFonts w:cs="Times New Roman"/>
          <w:i/>
          <w:lang w:val="fr-CA"/>
        </w:rPr>
        <w:t>ibid.</w:t>
      </w:r>
      <w:r w:rsidRPr="001B30C8">
        <w:rPr>
          <w:rFonts w:cs="Times New Roman"/>
          <w:lang w:val="fr-CA"/>
        </w:rPr>
        <w:t xml:space="preserve">; </w:t>
      </w:r>
      <w:r w:rsidRPr="001B30C8">
        <w:rPr>
          <w:rFonts w:cs="Times New Roman"/>
          <w:lang w:val="fr-CA"/>
        </w:rPr>
        <w:lastRenderedPageBreak/>
        <w:t xml:space="preserve">al. 718.2b) du </w:t>
      </w:r>
      <w:r w:rsidRPr="001B30C8">
        <w:rPr>
          <w:rFonts w:cs="Times New Roman"/>
          <w:i/>
          <w:lang w:val="fr-CA"/>
        </w:rPr>
        <w:t>Code criminel</w:t>
      </w:r>
      <w:r w:rsidRPr="001B30C8">
        <w:rPr>
          <w:rFonts w:cs="Times New Roman"/>
          <w:lang w:val="fr-CA"/>
        </w:rPr>
        <w:t>)</w:t>
      </w:r>
      <w:r w:rsidRPr="00AD00F1">
        <w:rPr>
          <w:rStyle w:val="Hyperlink"/>
          <w:u w:val="none"/>
          <w:vertAlign w:val="superscript"/>
        </w:rPr>
        <w:footnoteReference w:id="2"/>
      </w:r>
      <w:r w:rsidRPr="001B30C8">
        <w:rPr>
          <w:rFonts w:cs="Times New Roman"/>
          <w:lang w:val="fr-CA"/>
        </w:rPr>
        <w:t>. La question n</w:t>
      </w:r>
      <w:r>
        <w:rPr>
          <w:rFonts w:cs="Times New Roman"/>
          <w:lang w:val="fr-CA"/>
        </w:rPr>
        <w:t>’</w:t>
      </w:r>
      <w:r w:rsidRPr="001B30C8">
        <w:rPr>
          <w:rFonts w:cs="Times New Roman"/>
          <w:lang w:val="fr-CA"/>
        </w:rPr>
        <w:t>est pas de savoir si les conséquences indirectes diminuent la culpabilité morale du délinquant ou la gravité de l</w:t>
      </w:r>
      <w:r>
        <w:rPr>
          <w:rFonts w:cs="Times New Roman"/>
          <w:lang w:val="fr-CA"/>
        </w:rPr>
        <w:t>’</w:t>
      </w:r>
      <w:r w:rsidRPr="001B30C8">
        <w:rPr>
          <w:rFonts w:cs="Times New Roman"/>
          <w:lang w:val="fr-CA"/>
        </w:rPr>
        <w:t>infraction, mais si, du fait de telles conséquences, une peine donnée aurait une incidence plus importante sur le délinquant en raison de sa situation. Les délinquants semblables devraient recevoir un traitement semblable et il est possible qu</w:t>
      </w:r>
      <w:r>
        <w:rPr>
          <w:rFonts w:cs="Times New Roman"/>
          <w:lang w:val="fr-CA"/>
        </w:rPr>
        <w:t>’</w:t>
      </w:r>
      <w:r w:rsidRPr="001B30C8">
        <w:rPr>
          <w:rFonts w:cs="Times New Roman"/>
          <w:lang w:val="fr-CA"/>
        </w:rPr>
        <w:t>en raison de conséquences indirectes, un délinquant ne soit plus « semblable » aux autres et qu</w:t>
      </w:r>
      <w:r>
        <w:rPr>
          <w:rFonts w:cs="Times New Roman"/>
          <w:lang w:val="fr-CA"/>
        </w:rPr>
        <w:t>’</w:t>
      </w:r>
      <w:r w:rsidRPr="001B30C8">
        <w:rPr>
          <w:rFonts w:cs="Times New Roman"/>
          <w:lang w:val="fr-CA"/>
        </w:rPr>
        <w:t>une peine donnée devienne non indiquée</w:t>
      </w:r>
      <w:r w:rsidRPr="00AD00F1">
        <w:rPr>
          <w:rStyle w:val="Hyperlink"/>
          <w:u w:val="none"/>
          <w:vertAlign w:val="superscript"/>
        </w:rPr>
        <w:footnoteReference w:id="3"/>
      </w:r>
      <w:r w:rsidRPr="001B30C8">
        <w:rPr>
          <w:rFonts w:cs="Times New Roman"/>
          <w:lang w:val="fr-CA"/>
        </w:rPr>
        <w:t>.</w:t>
      </w:r>
    </w:p>
    <w:p w:rsidR="001A0BA2" w:rsidRPr="001B30C8" w:rsidRDefault="001A0BA2" w:rsidP="001A0BA2">
      <w:pPr>
        <w:pStyle w:val="ParaNoNdepar-AltN"/>
        <w:rPr>
          <w:rFonts w:cs="Times New Roman"/>
          <w:lang w:val="fr-CA"/>
        </w:rPr>
      </w:pPr>
      <w:r w:rsidRPr="001B30C8">
        <w:rPr>
          <w:rFonts w:cs="Times New Roman"/>
          <w:lang w:val="fr-CA"/>
        </w:rPr>
        <w:t>Il n</w:t>
      </w:r>
      <w:r>
        <w:rPr>
          <w:rFonts w:cs="Times New Roman"/>
          <w:lang w:val="fr-CA"/>
        </w:rPr>
        <w:t>’</w:t>
      </w:r>
      <w:r w:rsidRPr="001B30C8">
        <w:rPr>
          <w:rFonts w:cs="Times New Roman"/>
          <w:lang w:val="fr-CA"/>
        </w:rPr>
        <w:t>est pas nécessaire que les conséquences indirectes soient prévisibles ou qu</w:t>
      </w:r>
      <w:r>
        <w:rPr>
          <w:rFonts w:cs="Times New Roman"/>
          <w:lang w:val="fr-CA"/>
        </w:rPr>
        <w:t>’</w:t>
      </w:r>
      <w:r w:rsidRPr="001B30C8">
        <w:rPr>
          <w:rFonts w:cs="Times New Roman"/>
          <w:lang w:val="fr-CA"/>
        </w:rPr>
        <w:t xml:space="preserve">elles découlent </w:t>
      </w:r>
      <w:r w:rsidRPr="001B30C8">
        <w:rPr>
          <w:rFonts w:cs="Times New Roman"/>
          <w:i/>
          <w:lang w:val="fr-CA"/>
        </w:rPr>
        <w:t>naturellement</w:t>
      </w:r>
      <w:r w:rsidRPr="001B30C8">
        <w:rPr>
          <w:rFonts w:cs="Times New Roman"/>
          <w:lang w:val="fr-CA"/>
        </w:rPr>
        <w:t xml:space="preserve"> de la déclaration de culpabilité, de la peine ou de la perpétration de l</w:t>
      </w:r>
      <w:r>
        <w:rPr>
          <w:rFonts w:cs="Times New Roman"/>
          <w:lang w:val="fr-CA"/>
        </w:rPr>
        <w:t>’</w:t>
      </w:r>
      <w:r w:rsidRPr="001B30C8">
        <w:rPr>
          <w:rFonts w:cs="Times New Roman"/>
          <w:lang w:val="fr-CA"/>
        </w:rPr>
        <w:t>infraction. En fait, [</w:t>
      </w:r>
      <w:r w:rsidRPr="001B30C8">
        <w:rPr>
          <w:rFonts w:cs="Times New Roman"/>
          <w:smallCaps/>
          <w:lang w:val="fr-CA"/>
        </w:rPr>
        <w:t>traduction</w:t>
      </w:r>
      <w:r w:rsidRPr="001B30C8">
        <w:rPr>
          <w:rFonts w:cs="Times New Roman"/>
          <w:lang w:val="fr-CA"/>
        </w:rPr>
        <w:t>] « [l]orsque la conséquence est à ce point directement liée à la nature de l</w:t>
      </w:r>
      <w:r>
        <w:rPr>
          <w:rFonts w:cs="Times New Roman"/>
          <w:lang w:val="fr-CA"/>
        </w:rPr>
        <w:t>’</w:t>
      </w:r>
      <w:r w:rsidRPr="001B30C8">
        <w:rPr>
          <w:rFonts w:cs="Times New Roman"/>
          <w:lang w:val="fr-CA"/>
        </w:rPr>
        <w:t>infraction qu</w:t>
      </w:r>
      <w:r>
        <w:rPr>
          <w:rFonts w:cs="Times New Roman"/>
          <w:lang w:val="fr-CA"/>
        </w:rPr>
        <w:t>’</w:t>
      </w:r>
      <w:r w:rsidRPr="001B30C8">
        <w:rPr>
          <w:rFonts w:cs="Times New Roman"/>
          <w:lang w:val="fr-CA"/>
        </w:rPr>
        <w:t>elle est presque inévitable, son rôle à titre de facteur atténuant est grandement réduit » (Manson, p. 137). Néanmoins, pour être prises en compte lors de la détermination de la peine, les conséquences indirectes doivent se rapporter à l</w:t>
      </w:r>
      <w:r>
        <w:rPr>
          <w:rFonts w:cs="Times New Roman"/>
          <w:lang w:val="fr-CA"/>
        </w:rPr>
        <w:t>’</w:t>
      </w:r>
      <w:r w:rsidRPr="001B30C8">
        <w:rPr>
          <w:rFonts w:cs="Times New Roman"/>
          <w:lang w:val="fr-CA"/>
        </w:rPr>
        <w:t>infraction et à la situation du délinquant.</w:t>
      </w:r>
    </w:p>
    <w:p w:rsidR="001A0BA2" w:rsidRPr="001B30C8" w:rsidRDefault="001A0BA2" w:rsidP="001A0BA2">
      <w:pPr>
        <w:pStyle w:val="ParaNoNdepar-AltN"/>
        <w:rPr>
          <w:rFonts w:cs="Times New Roman"/>
          <w:lang w:val="fr-CA"/>
        </w:rPr>
      </w:pPr>
      <w:r w:rsidRPr="001B30C8">
        <w:rPr>
          <w:rFonts w:cs="Times New Roman"/>
          <w:lang w:val="fr-CA"/>
        </w:rPr>
        <w:t>Le professeur Manson écrit : [</w:t>
      </w:r>
      <w:r w:rsidRPr="001B30C8">
        <w:rPr>
          <w:rFonts w:cs="Times New Roman"/>
          <w:smallCaps/>
          <w:lang w:val="fr-CA"/>
        </w:rPr>
        <w:t>traduction</w:t>
      </w:r>
      <w:r w:rsidRPr="001B30C8">
        <w:rPr>
          <w:rFonts w:cs="Times New Roman"/>
          <w:lang w:val="fr-CA"/>
        </w:rPr>
        <w:t>] « Lorsqu</w:t>
      </w:r>
      <w:r>
        <w:rPr>
          <w:rFonts w:cs="Times New Roman"/>
          <w:lang w:val="fr-CA"/>
        </w:rPr>
        <w:t>’</w:t>
      </w:r>
      <w:r w:rsidRPr="001B30C8">
        <w:rPr>
          <w:rFonts w:cs="Times New Roman"/>
          <w:lang w:val="fr-CA"/>
        </w:rPr>
        <w:t>un délinquant subit un préjudice physique par suite d</w:t>
      </w:r>
      <w:r>
        <w:rPr>
          <w:rFonts w:cs="Times New Roman"/>
          <w:lang w:val="fr-CA"/>
        </w:rPr>
        <w:t>’</w:t>
      </w:r>
      <w:r w:rsidRPr="001B30C8">
        <w:rPr>
          <w:rFonts w:cs="Times New Roman"/>
          <w:lang w:val="fr-CA"/>
        </w:rPr>
        <w:t>une infraction, il peut être pertinent d</w:t>
      </w:r>
      <w:r>
        <w:rPr>
          <w:rFonts w:cs="Times New Roman"/>
          <w:lang w:val="fr-CA"/>
        </w:rPr>
        <w:t>’</w:t>
      </w:r>
      <w:r w:rsidRPr="001B30C8">
        <w:rPr>
          <w:rFonts w:cs="Times New Roman"/>
          <w:lang w:val="fr-CA"/>
        </w:rPr>
        <w:t>en tenir compte dans la détermination de la peine, surtout s</w:t>
      </w:r>
      <w:r>
        <w:rPr>
          <w:rFonts w:cs="Times New Roman"/>
          <w:lang w:val="fr-CA"/>
        </w:rPr>
        <w:t>’</w:t>
      </w:r>
      <w:r w:rsidRPr="001B30C8">
        <w:rPr>
          <w:rFonts w:cs="Times New Roman"/>
          <w:lang w:val="fr-CA"/>
        </w:rPr>
        <w:t>il va y avoir des effets durables » (p. 136). Même si le professeur Manson songeait au cas du délinquant qui est blessé alors qu</w:t>
      </w:r>
      <w:r>
        <w:rPr>
          <w:rFonts w:cs="Times New Roman"/>
          <w:lang w:val="fr-CA"/>
        </w:rPr>
        <w:t>’</w:t>
      </w:r>
      <w:r w:rsidRPr="001B30C8">
        <w:rPr>
          <w:rFonts w:cs="Times New Roman"/>
          <w:lang w:val="fr-CA"/>
        </w:rPr>
        <w:t>il commet une infraction en matière de conduite automobile, j</w:t>
      </w:r>
      <w:r>
        <w:rPr>
          <w:rFonts w:cs="Times New Roman"/>
          <w:lang w:val="fr-CA"/>
        </w:rPr>
        <w:t>’</w:t>
      </w:r>
      <w:r w:rsidRPr="001B30C8">
        <w:rPr>
          <w:rFonts w:cs="Times New Roman"/>
          <w:lang w:val="fr-CA"/>
        </w:rPr>
        <w:t xml:space="preserve">estime que ses </w:t>
      </w:r>
      <w:r w:rsidRPr="001B30C8">
        <w:rPr>
          <w:rFonts w:cs="Times New Roman"/>
          <w:lang w:val="fr-CA"/>
        </w:rPr>
        <w:lastRenderedPageBreak/>
        <w:t>commentaires s</w:t>
      </w:r>
      <w:r>
        <w:rPr>
          <w:rFonts w:cs="Times New Roman"/>
          <w:lang w:val="fr-CA"/>
        </w:rPr>
        <w:t>’</w:t>
      </w:r>
      <w:r w:rsidRPr="001B30C8">
        <w:rPr>
          <w:rFonts w:cs="Times New Roman"/>
          <w:lang w:val="fr-CA"/>
        </w:rPr>
        <w:t>appliquent à tout délinquant qui est blessé par suite d</w:t>
      </w:r>
      <w:r>
        <w:rPr>
          <w:rFonts w:cs="Times New Roman"/>
          <w:lang w:val="fr-CA"/>
        </w:rPr>
        <w:t>’</w:t>
      </w:r>
      <w:r w:rsidRPr="001B30C8">
        <w:rPr>
          <w:rFonts w:cs="Times New Roman"/>
          <w:lang w:val="fr-CA"/>
        </w:rPr>
        <w:t>une infraction. En fait, l</w:t>
      </w:r>
      <w:r>
        <w:rPr>
          <w:rFonts w:cs="Times New Roman"/>
          <w:lang w:val="fr-CA"/>
        </w:rPr>
        <w:t>’</w:t>
      </w:r>
      <w:r w:rsidRPr="001B30C8">
        <w:rPr>
          <w:rFonts w:cs="Times New Roman"/>
          <w:lang w:val="fr-CA"/>
        </w:rPr>
        <w:t>effet atténuant d</w:t>
      </w:r>
      <w:r>
        <w:rPr>
          <w:rFonts w:cs="Times New Roman"/>
          <w:lang w:val="fr-CA"/>
        </w:rPr>
        <w:t>’</w:t>
      </w:r>
      <w:r w:rsidRPr="001B30C8">
        <w:rPr>
          <w:rFonts w:cs="Times New Roman"/>
          <w:lang w:val="fr-CA"/>
        </w:rPr>
        <w:t>une blessure sur la peine infligée sera vraisemblablement moindre si la blessure est à ce point directement liée à l</w:t>
      </w:r>
      <w:r>
        <w:rPr>
          <w:rFonts w:cs="Times New Roman"/>
          <w:lang w:val="fr-CA"/>
        </w:rPr>
        <w:t>’</w:t>
      </w:r>
      <w:r w:rsidRPr="001B30C8">
        <w:rPr>
          <w:rFonts w:cs="Times New Roman"/>
          <w:lang w:val="fr-CA"/>
        </w:rPr>
        <w:t>infraction qu</w:t>
      </w:r>
      <w:r>
        <w:rPr>
          <w:rFonts w:cs="Times New Roman"/>
          <w:lang w:val="fr-CA"/>
        </w:rPr>
        <w:t>’</w:t>
      </w:r>
      <w:r w:rsidRPr="001B30C8">
        <w:rPr>
          <w:rFonts w:cs="Times New Roman"/>
          <w:lang w:val="fr-CA"/>
        </w:rPr>
        <w:t>elle est presque inévitable (voir par. 49). Par exemple, une blessure causée par suite d</w:t>
      </w:r>
      <w:r>
        <w:rPr>
          <w:rFonts w:cs="Times New Roman"/>
          <w:lang w:val="fr-CA"/>
        </w:rPr>
        <w:t>’</w:t>
      </w:r>
      <w:r w:rsidRPr="001B30C8">
        <w:rPr>
          <w:rFonts w:cs="Times New Roman"/>
          <w:lang w:val="fr-CA"/>
        </w:rPr>
        <w:t>une infraction de conduite avec les capacités affaiblies (une conséquence prévisible de la conduite avec les capacités affaiblies) peut avoir un effet atténuant moindre sur la peine infligée que si la même blessure était imputable à un événement imprévisible découlant de la perpétration de l</w:t>
      </w:r>
      <w:r>
        <w:rPr>
          <w:rFonts w:cs="Times New Roman"/>
          <w:lang w:val="fr-CA"/>
        </w:rPr>
        <w:t>’</w:t>
      </w:r>
      <w:r w:rsidRPr="001B30C8">
        <w:rPr>
          <w:rFonts w:cs="Times New Roman"/>
          <w:lang w:val="fr-CA"/>
        </w:rPr>
        <w:t xml:space="preserve">infraction. </w:t>
      </w:r>
    </w:p>
    <w:p w:rsidR="001A0BA2" w:rsidRDefault="001A0BA2" w:rsidP="001A0BA2">
      <w:pPr>
        <w:pStyle w:val="ParaNoNdepar-AltN"/>
        <w:rPr>
          <w:rFonts w:cs="Times New Roman"/>
          <w:lang w:val="fr-CA"/>
        </w:rPr>
      </w:pPr>
      <w:r w:rsidRPr="001B30C8">
        <w:rPr>
          <w:rFonts w:cs="Times New Roman"/>
          <w:lang w:val="fr-CA"/>
        </w:rPr>
        <w:t>Nos tribunaux ont conclu que, lorsqu</w:t>
      </w:r>
      <w:r>
        <w:rPr>
          <w:rFonts w:cs="Times New Roman"/>
          <w:lang w:val="fr-CA"/>
        </w:rPr>
        <w:t>’</w:t>
      </w:r>
      <w:r w:rsidRPr="001B30C8">
        <w:rPr>
          <w:rFonts w:cs="Times New Roman"/>
          <w:lang w:val="fr-CA"/>
        </w:rPr>
        <w:t>un délinquant est attaqué par des codétenus en milieu carcéral et que l</w:t>
      </w:r>
      <w:r>
        <w:rPr>
          <w:rFonts w:cs="Times New Roman"/>
          <w:lang w:val="fr-CA"/>
        </w:rPr>
        <w:t>’</w:t>
      </w:r>
      <w:r w:rsidRPr="001B30C8">
        <w:rPr>
          <w:rFonts w:cs="Times New Roman"/>
          <w:lang w:val="fr-CA"/>
        </w:rPr>
        <w:t>attaque est liée à l</w:t>
      </w:r>
      <w:r>
        <w:rPr>
          <w:rFonts w:cs="Times New Roman"/>
          <w:lang w:val="fr-CA"/>
        </w:rPr>
        <w:t>’</w:t>
      </w:r>
      <w:r w:rsidRPr="001B30C8">
        <w:rPr>
          <w:rFonts w:cs="Times New Roman"/>
          <w:lang w:val="fr-CA"/>
        </w:rPr>
        <w:t xml:space="preserve">infraction pour laquelle il est détenu, ces actes de violence peuvent être considérés comme un facteur qui entre en jeu lors de la détermination de la peine (voir </w:t>
      </w:r>
      <w:r w:rsidRPr="001B30C8">
        <w:rPr>
          <w:rFonts w:cs="Times New Roman"/>
          <w:i/>
          <w:lang w:val="fr-CA"/>
        </w:rPr>
        <w:t>R. c. MacFarlane</w:t>
      </w:r>
      <w:r w:rsidRPr="001B30C8">
        <w:rPr>
          <w:rFonts w:cs="Times New Roman"/>
          <w:lang w:val="fr-CA"/>
        </w:rPr>
        <w:t xml:space="preserve">, 2012 ONCA 82, 288 O.A.C. 114, par. 3; </w:t>
      </w:r>
      <w:r w:rsidRPr="001B30C8">
        <w:rPr>
          <w:rFonts w:cs="Times New Roman"/>
          <w:i/>
          <w:lang w:val="fr-CA"/>
        </w:rPr>
        <w:t>R. c. Folino</w:t>
      </w:r>
      <w:r w:rsidRPr="001B30C8">
        <w:rPr>
          <w:rFonts w:cs="Times New Roman"/>
          <w:lang w:val="fr-CA"/>
        </w:rPr>
        <w:t xml:space="preserve">, 2005 ONCA 258, 77 O.R. (3d) 641, par. 29; </w:t>
      </w:r>
      <w:r w:rsidRPr="001B30C8">
        <w:rPr>
          <w:rFonts w:cs="Times New Roman"/>
          <w:i/>
          <w:lang w:val="fr-CA"/>
        </w:rPr>
        <w:t>R. c. Anderson</w:t>
      </w:r>
      <w:r w:rsidRPr="001B30C8">
        <w:rPr>
          <w:rFonts w:cs="Times New Roman"/>
          <w:lang w:val="fr-CA"/>
        </w:rPr>
        <w:t>, 2014 ONSC 3646, par. 14 et 18 (CanLII)). Bien qu</w:t>
      </w:r>
      <w:r>
        <w:rPr>
          <w:rFonts w:cs="Times New Roman"/>
          <w:lang w:val="fr-CA"/>
        </w:rPr>
        <w:t>’</w:t>
      </w:r>
      <w:r w:rsidRPr="001B30C8">
        <w:rPr>
          <w:rFonts w:cs="Times New Roman"/>
          <w:lang w:val="fr-CA"/>
        </w:rPr>
        <w:t>être agressé par un codétenu ne soit pas la même chose qu</w:t>
      </w:r>
      <w:r>
        <w:rPr>
          <w:rFonts w:cs="Times New Roman"/>
          <w:lang w:val="fr-CA"/>
        </w:rPr>
        <w:t>’</w:t>
      </w:r>
      <w:r w:rsidRPr="001B30C8">
        <w:rPr>
          <w:rFonts w:cs="Times New Roman"/>
          <w:lang w:val="fr-CA"/>
        </w:rPr>
        <w:t>être enlevé et attaqué par des justiciers, la logique qui sous</w:t>
      </w:r>
      <w:r w:rsidRPr="001B30C8">
        <w:rPr>
          <w:rFonts w:cs="Times New Roman"/>
          <w:lang w:val="fr-CA"/>
        </w:rPr>
        <w:noBreakHyphen/>
        <w:t>tend la prise en considération de ces conséquences indirectes lors de la détermination de la peine demeure. Dans les deux cas, les attaques liées à la perpétration de l</w:t>
      </w:r>
      <w:r>
        <w:rPr>
          <w:rFonts w:cs="Times New Roman"/>
          <w:lang w:val="fr-CA"/>
        </w:rPr>
        <w:t>’</w:t>
      </w:r>
      <w:r w:rsidRPr="001B30C8">
        <w:rPr>
          <w:rFonts w:cs="Times New Roman"/>
          <w:lang w:val="fr-CA"/>
        </w:rPr>
        <w:t>infraction font partie de la situation personnelle du délinquant. Pour que les principes d</w:t>
      </w:r>
      <w:r>
        <w:rPr>
          <w:rFonts w:cs="Times New Roman"/>
          <w:lang w:val="fr-CA"/>
        </w:rPr>
        <w:t>’</w:t>
      </w:r>
      <w:r w:rsidRPr="001B30C8">
        <w:rPr>
          <w:rFonts w:cs="Times New Roman"/>
          <w:lang w:val="fr-CA"/>
        </w:rPr>
        <w:t>individualisation et de parité soient respectés, ces attaques sont prises en compte lors de la détermination de la peine</w:t>
      </w:r>
      <w:r>
        <w:rPr>
          <w:rFonts w:cs="Times New Roman"/>
          <w:lang w:val="fr-CA"/>
        </w:rPr>
        <w:t>.</w:t>
      </w:r>
      <w:r w:rsidRPr="001B30C8">
        <w:rPr>
          <w:rFonts w:cs="Times New Roman"/>
          <w:lang w:val="fr-CA"/>
        </w:rPr>
        <w:t xml:space="preserve"> </w:t>
      </w:r>
    </w:p>
    <w:p w:rsidR="001A0BA2" w:rsidRPr="001B30C8" w:rsidRDefault="001A0BA2" w:rsidP="001A0BA2">
      <w:pPr>
        <w:pStyle w:val="ParaNoNdepar-AltN"/>
        <w:rPr>
          <w:rFonts w:cs="Times New Roman"/>
          <w:lang w:val="fr-CA"/>
        </w:rPr>
      </w:pPr>
      <w:r w:rsidRPr="001B30C8">
        <w:rPr>
          <w:rFonts w:cs="Times New Roman"/>
          <w:lang w:val="fr-CA"/>
        </w:rPr>
        <w:t xml:space="preserve">La jurisprudence australienne a reconnu que des représailles violentes exercées par des citoyens étaient une conséquence indirecte pertinente pour la détermination de la peine. Dans </w:t>
      </w:r>
      <w:r w:rsidRPr="001B30C8">
        <w:rPr>
          <w:rFonts w:cs="Times New Roman"/>
          <w:i/>
          <w:lang w:val="fr-CA"/>
        </w:rPr>
        <w:t>R. c. Mamarika</w:t>
      </w:r>
      <w:r w:rsidRPr="001B30C8">
        <w:rPr>
          <w:rFonts w:cs="Times New Roman"/>
          <w:lang w:val="fr-CA"/>
        </w:rPr>
        <w:t xml:space="preserve">, [1982] FCA 94, 42 A.L.R. 94, la Cour </w:t>
      </w:r>
      <w:r w:rsidRPr="001B30C8">
        <w:rPr>
          <w:rFonts w:cs="Times New Roman"/>
          <w:lang w:val="fr-CA"/>
        </w:rPr>
        <w:lastRenderedPageBreak/>
        <w:t>fédérale d</w:t>
      </w:r>
      <w:r>
        <w:rPr>
          <w:rFonts w:cs="Times New Roman"/>
          <w:lang w:val="fr-CA"/>
        </w:rPr>
        <w:t>’</w:t>
      </w:r>
      <w:r w:rsidRPr="001B30C8">
        <w:rPr>
          <w:rFonts w:cs="Times New Roman"/>
          <w:lang w:val="fr-CA"/>
        </w:rPr>
        <w:t>Australie a accepté que les actes de violence infligés à M. Mamarika par des membres de sa collectivité à cause du rôle qu</w:t>
      </w:r>
      <w:r>
        <w:rPr>
          <w:rFonts w:cs="Times New Roman"/>
          <w:lang w:val="fr-CA"/>
        </w:rPr>
        <w:t>’</w:t>
      </w:r>
      <w:r w:rsidRPr="001B30C8">
        <w:rPr>
          <w:rFonts w:cs="Times New Roman"/>
          <w:lang w:val="fr-CA"/>
        </w:rPr>
        <w:t>il avait joué dans la mort de la victime pouvaient être pris en compte lors de la détermination de la peine. Plus précisément, elle a souligné :</w:t>
      </w:r>
    </w:p>
    <w:p w:rsidR="001A0BA2" w:rsidRPr="001B30C8" w:rsidRDefault="001A0BA2" w:rsidP="001A0BA2">
      <w:pPr>
        <w:pStyle w:val="Citation-AltC"/>
        <w:ind w:left="1168" w:hanging="1168"/>
        <w:contextualSpacing w:val="0"/>
        <w:rPr>
          <w:lang w:val="fr-CA"/>
        </w:rPr>
      </w:pPr>
      <w:r w:rsidRPr="001B30C8">
        <w:rPr>
          <w:lang w:val="fr-CA"/>
        </w:rPr>
        <w:tab/>
      </w:r>
      <w:r w:rsidRPr="001B30C8">
        <w:rPr>
          <w:lang w:val="fr-CA"/>
        </w:rPr>
        <w:tab/>
        <w:t>[</w:t>
      </w:r>
      <w:r w:rsidRPr="001B30C8">
        <w:rPr>
          <w:smallCaps/>
          <w:lang w:val="fr-CA"/>
        </w:rPr>
        <w:t>traduction</w:t>
      </w:r>
      <w:r w:rsidRPr="001B30C8">
        <w:rPr>
          <w:lang w:val="fr-CA"/>
        </w:rPr>
        <w:t>] . . . à cause de ses gestes, l</w:t>
      </w:r>
      <w:r>
        <w:rPr>
          <w:lang w:val="fr-CA"/>
        </w:rPr>
        <w:t>’</w:t>
      </w:r>
      <w:r w:rsidRPr="001B30C8">
        <w:rPr>
          <w:lang w:val="fr-CA"/>
        </w:rPr>
        <w:t>appelant s</w:t>
      </w:r>
      <w:r>
        <w:rPr>
          <w:lang w:val="fr-CA"/>
        </w:rPr>
        <w:t>’</w:t>
      </w:r>
      <w:r w:rsidRPr="001B30C8">
        <w:rPr>
          <w:lang w:val="fr-CA"/>
        </w:rPr>
        <w:t>est attiré la colère de certains membres de la collectivité et [. . .], de ce fait, il a subi des blessures graves dont, heureusement, il s</w:t>
      </w:r>
      <w:r>
        <w:rPr>
          <w:lang w:val="fr-CA"/>
        </w:rPr>
        <w:t>’</w:t>
      </w:r>
      <w:r w:rsidRPr="001B30C8">
        <w:rPr>
          <w:lang w:val="fr-CA"/>
        </w:rPr>
        <w:t>est bien remis. Envisagé de cette façon, il s</w:t>
      </w:r>
      <w:r>
        <w:rPr>
          <w:lang w:val="fr-CA"/>
        </w:rPr>
        <w:t>’</w:t>
      </w:r>
      <w:r w:rsidRPr="001B30C8">
        <w:rPr>
          <w:lang w:val="fr-CA"/>
        </w:rPr>
        <w:t>agit d</w:t>
      </w:r>
      <w:r>
        <w:rPr>
          <w:lang w:val="fr-CA"/>
        </w:rPr>
        <w:t>’</w:t>
      </w:r>
      <w:r w:rsidRPr="001B30C8">
        <w:rPr>
          <w:lang w:val="fr-CA"/>
        </w:rPr>
        <w:t>un élément qu</w:t>
      </w:r>
      <w:r>
        <w:rPr>
          <w:lang w:val="fr-CA"/>
        </w:rPr>
        <w:t>’</w:t>
      </w:r>
      <w:r w:rsidRPr="001B30C8">
        <w:rPr>
          <w:lang w:val="fr-CA"/>
        </w:rPr>
        <w:t>il convient de prendre en considération lors de la détermination de la peine appropriée, sans pour autant approuver ce qui s</w:t>
      </w:r>
      <w:r>
        <w:rPr>
          <w:lang w:val="fr-CA"/>
        </w:rPr>
        <w:t>’</w:t>
      </w:r>
      <w:r w:rsidRPr="001B30C8">
        <w:rPr>
          <w:lang w:val="fr-CA"/>
        </w:rPr>
        <w:t>est passé. [p. 97]</w:t>
      </w:r>
    </w:p>
    <w:p w:rsidR="001A0BA2" w:rsidRPr="001B30C8" w:rsidRDefault="001A0BA2" w:rsidP="001A0BA2">
      <w:pPr>
        <w:pStyle w:val="ParaNoNdepar-AltN"/>
        <w:rPr>
          <w:rFonts w:cs="Times New Roman"/>
          <w:lang w:val="fr-CA"/>
        </w:rPr>
      </w:pPr>
      <w:r w:rsidRPr="001B30C8">
        <w:rPr>
          <w:rFonts w:cs="Times New Roman"/>
          <w:lang w:val="fr-CA"/>
        </w:rPr>
        <w:t>Je souscris à cette approche. Je le répète, les actes violents commis à l</w:t>
      </w:r>
      <w:r>
        <w:rPr>
          <w:rFonts w:cs="Times New Roman"/>
          <w:lang w:val="fr-CA"/>
        </w:rPr>
        <w:t>’</w:t>
      </w:r>
      <w:r w:rsidRPr="001B30C8">
        <w:rPr>
          <w:rFonts w:cs="Times New Roman"/>
          <w:lang w:val="fr-CA"/>
        </w:rPr>
        <w:t>endroit d</w:t>
      </w:r>
      <w:r>
        <w:rPr>
          <w:rFonts w:cs="Times New Roman"/>
          <w:lang w:val="fr-CA"/>
        </w:rPr>
        <w:t>’</w:t>
      </w:r>
      <w:r w:rsidRPr="001B30C8">
        <w:rPr>
          <w:rFonts w:cs="Times New Roman"/>
          <w:lang w:val="fr-CA"/>
        </w:rPr>
        <w:t>un délinquant à cause du rôle qu</w:t>
      </w:r>
      <w:r>
        <w:rPr>
          <w:rFonts w:cs="Times New Roman"/>
          <w:lang w:val="fr-CA"/>
        </w:rPr>
        <w:t>’</w:t>
      </w:r>
      <w:r w:rsidRPr="001B30C8">
        <w:rPr>
          <w:rFonts w:cs="Times New Roman"/>
          <w:lang w:val="fr-CA"/>
        </w:rPr>
        <w:t>il a joué dans la perpétration d</w:t>
      </w:r>
      <w:r>
        <w:rPr>
          <w:rFonts w:cs="Times New Roman"/>
          <w:lang w:val="fr-CA"/>
        </w:rPr>
        <w:t>’</w:t>
      </w:r>
      <w:r w:rsidRPr="001B30C8">
        <w:rPr>
          <w:rFonts w:cs="Times New Roman"/>
          <w:lang w:val="fr-CA"/>
        </w:rPr>
        <w:t>une infraction — que ces actes soient le fait d</w:t>
      </w:r>
      <w:r>
        <w:rPr>
          <w:rFonts w:cs="Times New Roman"/>
          <w:lang w:val="fr-CA"/>
        </w:rPr>
        <w:t>’</w:t>
      </w:r>
      <w:r w:rsidRPr="001B30C8">
        <w:rPr>
          <w:rFonts w:cs="Times New Roman"/>
          <w:lang w:val="fr-CA"/>
        </w:rPr>
        <w:t>un codétenu ou d</w:t>
      </w:r>
      <w:r>
        <w:rPr>
          <w:rFonts w:cs="Times New Roman"/>
          <w:lang w:val="fr-CA"/>
        </w:rPr>
        <w:t>’</w:t>
      </w:r>
      <w:r w:rsidRPr="001B30C8">
        <w:rPr>
          <w:rFonts w:cs="Times New Roman"/>
          <w:lang w:val="fr-CA"/>
        </w:rPr>
        <w:t>un groupe de justiciers — font nécessairement partie de la situation personnelle de ce délinquant et doivent donc être pris en compte dans la détermination de la peine appropriée.</w:t>
      </w:r>
    </w:p>
    <w:p w:rsidR="001A0BA2" w:rsidRPr="001B30C8" w:rsidRDefault="001A0BA2" w:rsidP="001A0BA2">
      <w:pPr>
        <w:pStyle w:val="ParaNoNdepar-AltN"/>
        <w:rPr>
          <w:rFonts w:cs="Times New Roman"/>
          <w:lang w:val="fr-CA"/>
        </w:rPr>
      </w:pPr>
      <w:r w:rsidRPr="001B30C8">
        <w:rPr>
          <w:rFonts w:cs="Times New Roman"/>
          <w:lang w:val="fr-CA"/>
        </w:rPr>
        <w:t>Les actes de violence justicière en l</w:t>
      </w:r>
      <w:r>
        <w:rPr>
          <w:rFonts w:cs="Times New Roman"/>
          <w:lang w:val="fr-CA"/>
        </w:rPr>
        <w:t>’</w:t>
      </w:r>
      <w:r w:rsidRPr="001B30C8">
        <w:rPr>
          <w:rFonts w:cs="Times New Roman"/>
          <w:lang w:val="fr-CA"/>
        </w:rPr>
        <w:t>espèce résultaient de la perception du public quant aux événements du 19 mai 2013, ainsi que des conséquences tragiques des actes de M. Suter. Bien qu</w:t>
      </w:r>
      <w:r>
        <w:rPr>
          <w:rFonts w:cs="Times New Roman"/>
          <w:lang w:val="fr-CA"/>
        </w:rPr>
        <w:t>’</w:t>
      </w:r>
      <w:r w:rsidRPr="001B30C8">
        <w:rPr>
          <w:rFonts w:cs="Times New Roman"/>
          <w:lang w:val="fr-CA"/>
        </w:rPr>
        <w:t>ils ne découlent pas directement de la perpétration de l</w:t>
      </w:r>
      <w:r>
        <w:rPr>
          <w:rFonts w:cs="Times New Roman"/>
          <w:lang w:val="fr-CA"/>
        </w:rPr>
        <w:t>’</w:t>
      </w:r>
      <w:r w:rsidRPr="001B30C8">
        <w:rPr>
          <w:rFonts w:cs="Times New Roman"/>
          <w:lang w:val="fr-CA"/>
        </w:rPr>
        <w:t>infraction prévue au par. 255(3.2) (et qu</w:t>
      </w:r>
      <w:r>
        <w:rPr>
          <w:rFonts w:cs="Times New Roman"/>
          <w:lang w:val="fr-CA"/>
        </w:rPr>
        <w:t>’</w:t>
      </w:r>
      <w:r w:rsidRPr="001B30C8">
        <w:rPr>
          <w:rFonts w:cs="Times New Roman"/>
          <w:lang w:val="fr-CA"/>
        </w:rPr>
        <w:t>ils ne découlent pas non plus de la durée de la peine ou de la déclaration de culpabilité elle</w:t>
      </w:r>
      <w:r w:rsidRPr="001B30C8">
        <w:rPr>
          <w:rFonts w:cs="Times New Roman"/>
          <w:lang w:val="fr-CA"/>
        </w:rPr>
        <w:noBreakHyphen/>
        <w:t>même), ces actes de violence constituent néanmoins une conséquence indirecte, car ils sont inextricablement liés aux circonstances de l</w:t>
      </w:r>
      <w:r>
        <w:rPr>
          <w:rFonts w:cs="Times New Roman"/>
          <w:lang w:val="fr-CA"/>
        </w:rPr>
        <w:t>’</w:t>
      </w:r>
      <w:r w:rsidRPr="001B30C8">
        <w:rPr>
          <w:rFonts w:cs="Times New Roman"/>
          <w:lang w:val="fr-CA"/>
        </w:rPr>
        <w:t xml:space="preserve">infraction. </w:t>
      </w:r>
    </w:p>
    <w:p w:rsidR="001A0BA2" w:rsidRPr="001B30C8" w:rsidRDefault="001A0BA2" w:rsidP="001A0BA2">
      <w:pPr>
        <w:pStyle w:val="ParaNoNdepar-AltN"/>
        <w:rPr>
          <w:rFonts w:cs="Times New Roman"/>
          <w:lang w:val="fr-CA"/>
        </w:rPr>
      </w:pPr>
      <w:r w:rsidRPr="001B30C8">
        <w:rPr>
          <w:rFonts w:cs="Times New Roman"/>
          <w:lang w:val="fr-CA"/>
        </w:rPr>
        <w:t>La Cour d</w:t>
      </w:r>
      <w:r>
        <w:rPr>
          <w:rFonts w:cs="Times New Roman"/>
          <w:lang w:val="fr-CA"/>
        </w:rPr>
        <w:t>’</w:t>
      </w:r>
      <w:r w:rsidRPr="001B30C8">
        <w:rPr>
          <w:rFonts w:cs="Times New Roman"/>
          <w:lang w:val="fr-CA"/>
        </w:rPr>
        <w:t>appel a reconnu que M. Suter avait été [</w:t>
      </w:r>
      <w:r w:rsidRPr="001B30C8">
        <w:rPr>
          <w:rFonts w:cs="Times New Roman"/>
          <w:smallCaps/>
          <w:lang w:val="fr-CA"/>
        </w:rPr>
        <w:t>traduction</w:t>
      </w:r>
      <w:r w:rsidRPr="001B30C8">
        <w:rPr>
          <w:rFonts w:cs="Times New Roman"/>
          <w:lang w:val="fr-CA"/>
        </w:rPr>
        <w:t>] « attaqué brutalement, battu violemment, et qu</w:t>
      </w:r>
      <w:r>
        <w:rPr>
          <w:rFonts w:cs="Times New Roman"/>
          <w:lang w:val="fr-CA"/>
        </w:rPr>
        <w:t>’</w:t>
      </w:r>
      <w:r w:rsidRPr="001B30C8">
        <w:rPr>
          <w:rFonts w:cs="Times New Roman"/>
          <w:lang w:val="fr-CA"/>
        </w:rPr>
        <w:t>on lui avait sauvagement coupé un doigt à l</w:t>
      </w:r>
      <w:r>
        <w:rPr>
          <w:rFonts w:cs="Times New Roman"/>
          <w:lang w:val="fr-CA"/>
        </w:rPr>
        <w:t>’</w:t>
      </w:r>
      <w:r w:rsidRPr="001B30C8">
        <w:rPr>
          <w:rFonts w:cs="Times New Roman"/>
          <w:lang w:val="fr-CA"/>
        </w:rPr>
        <w:t xml:space="preserve">aide </w:t>
      </w:r>
      <w:r w:rsidRPr="001B30C8">
        <w:rPr>
          <w:rFonts w:cs="Times New Roman"/>
          <w:lang w:val="fr-CA"/>
        </w:rPr>
        <w:lastRenderedPageBreak/>
        <w:t>d</w:t>
      </w:r>
      <w:r>
        <w:rPr>
          <w:rFonts w:cs="Times New Roman"/>
          <w:lang w:val="fr-CA"/>
        </w:rPr>
        <w:t>’</w:t>
      </w:r>
      <w:r w:rsidRPr="001B30C8">
        <w:rPr>
          <w:rFonts w:cs="Times New Roman"/>
          <w:lang w:val="fr-CA"/>
        </w:rPr>
        <w:t>un sécateur, dans ce qui constituait une forme de violence justicière » (par. 106). Cette attaque a été menée contre M. Suter en guise de représailles pour son rôle dans le décès de Geo Mounsef. La cour a toutefois conclu que, puisqu</w:t>
      </w:r>
      <w:r>
        <w:rPr>
          <w:rFonts w:cs="Times New Roman"/>
          <w:lang w:val="fr-CA"/>
        </w:rPr>
        <w:t>’</w:t>
      </w:r>
      <w:r w:rsidRPr="001B30C8">
        <w:rPr>
          <w:rFonts w:cs="Times New Roman"/>
          <w:lang w:val="fr-CA"/>
        </w:rPr>
        <w:t>ils ne [</w:t>
      </w:r>
      <w:r w:rsidRPr="001B30C8">
        <w:rPr>
          <w:rFonts w:cs="Times New Roman"/>
          <w:smallCaps/>
          <w:lang w:val="fr-CA"/>
        </w:rPr>
        <w:t>traduction</w:t>
      </w:r>
      <w:r w:rsidRPr="001B30C8">
        <w:rPr>
          <w:rFonts w:cs="Times New Roman"/>
          <w:lang w:val="fr-CA"/>
        </w:rPr>
        <w:t>] « découlaient pas de la conduite répréhensible de représentants de l</w:t>
      </w:r>
      <w:r>
        <w:rPr>
          <w:rFonts w:cs="Times New Roman"/>
          <w:lang w:val="fr-CA"/>
        </w:rPr>
        <w:t>’</w:t>
      </w:r>
      <w:r w:rsidRPr="001B30C8">
        <w:rPr>
          <w:rFonts w:cs="Times New Roman"/>
          <w:lang w:val="fr-CA"/>
        </w:rPr>
        <w:t>État », ces faits ne devaient pas changer « ce qui autrement constituerait une peine proportionnée » (</w:t>
      </w:r>
      <w:r w:rsidRPr="001B30C8">
        <w:rPr>
          <w:rFonts w:cs="Times New Roman"/>
          <w:i/>
          <w:lang w:val="fr-CA"/>
        </w:rPr>
        <w:t>ibid.</w:t>
      </w:r>
      <w:r w:rsidRPr="001B30C8">
        <w:rPr>
          <w:rFonts w:cs="Times New Roman"/>
          <w:lang w:val="fr-CA"/>
        </w:rPr>
        <w:t>).</w:t>
      </w:r>
    </w:p>
    <w:p w:rsidR="001A0BA2" w:rsidRPr="001B30C8" w:rsidRDefault="001A0BA2" w:rsidP="001A0BA2">
      <w:pPr>
        <w:pStyle w:val="ParaNoNdepar-AltN"/>
        <w:rPr>
          <w:rFonts w:cs="Times New Roman"/>
          <w:lang w:val="fr-CA"/>
        </w:rPr>
      </w:pPr>
      <w:r w:rsidRPr="001B30C8">
        <w:rPr>
          <w:rFonts w:cs="Times New Roman"/>
          <w:lang w:val="fr-CA"/>
        </w:rPr>
        <w:t>Je suis d</w:t>
      </w:r>
      <w:r>
        <w:rPr>
          <w:rFonts w:cs="Times New Roman"/>
          <w:lang w:val="fr-CA"/>
        </w:rPr>
        <w:t>’</w:t>
      </w:r>
      <w:r w:rsidRPr="001B30C8">
        <w:rPr>
          <w:rFonts w:cs="Times New Roman"/>
          <w:lang w:val="fr-CA"/>
        </w:rPr>
        <w:t>accord avec la Cour d</w:t>
      </w:r>
      <w:r>
        <w:rPr>
          <w:rFonts w:cs="Times New Roman"/>
          <w:lang w:val="fr-CA"/>
        </w:rPr>
        <w:t>’</w:t>
      </w:r>
      <w:r w:rsidRPr="001B30C8">
        <w:rPr>
          <w:rFonts w:cs="Times New Roman"/>
          <w:lang w:val="fr-CA"/>
        </w:rPr>
        <w:t>appel pour dire que le principe fondamental de la proportionnalité doit prévaloir dans tous les cas — les conséquences indirectes ne sauraient permettre de réduire une peine au point où celle</w:t>
      </w:r>
      <w:r w:rsidRPr="001B30C8">
        <w:rPr>
          <w:rFonts w:cs="Times New Roman"/>
          <w:lang w:val="fr-CA"/>
        </w:rPr>
        <w:noBreakHyphen/>
        <w:t>ci n</w:t>
      </w:r>
      <w:r>
        <w:rPr>
          <w:rFonts w:cs="Times New Roman"/>
          <w:lang w:val="fr-CA"/>
        </w:rPr>
        <w:t>’</w:t>
      </w:r>
      <w:r w:rsidRPr="001B30C8">
        <w:rPr>
          <w:rFonts w:cs="Times New Roman"/>
          <w:lang w:val="fr-CA"/>
        </w:rPr>
        <w:t>est plus proportionnelle à la gravité de l</w:t>
      </w:r>
      <w:r>
        <w:rPr>
          <w:rFonts w:cs="Times New Roman"/>
          <w:lang w:val="fr-CA"/>
        </w:rPr>
        <w:t>’</w:t>
      </w:r>
      <w:r w:rsidRPr="001B30C8">
        <w:rPr>
          <w:rFonts w:cs="Times New Roman"/>
          <w:lang w:val="fr-CA"/>
        </w:rPr>
        <w:t>infraction ou à la culpabilité morale du délinquant. Il n</w:t>
      </w:r>
      <w:r>
        <w:rPr>
          <w:rFonts w:cs="Times New Roman"/>
          <w:lang w:val="fr-CA"/>
        </w:rPr>
        <w:t>’</w:t>
      </w:r>
      <w:r w:rsidRPr="001B30C8">
        <w:rPr>
          <w:rFonts w:cs="Times New Roman"/>
          <w:lang w:val="fr-CA"/>
        </w:rPr>
        <w:t>est toutefois pas nécessaire que les conséquences indirectes découlent de la conduite répréhensible de représentants de l</w:t>
      </w:r>
      <w:r>
        <w:rPr>
          <w:rFonts w:cs="Times New Roman"/>
          <w:lang w:val="fr-CA"/>
        </w:rPr>
        <w:t>’</w:t>
      </w:r>
      <w:r w:rsidRPr="001B30C8">
        <w:rPr>
          <w:rFonts w:cs="Times New Roman"/>
          <w:lang w:val="fr-CA"/>
        </w:rPr>
        <w:t>État pour qu</w:t>
      </w:r>
      <w:r>
        <w:rPr>
          <w:rFonts w:cs="Times New Roman"/>
          <w:lang w:val="fr-CA"/>
        </w:rPr>
        <w:t>’</w:t>
      </w:r>
      <w:r w:rsidRPr="001B30C8">
        <w:rPr>
          <w:rFonts w:cs="Times New Roman"/>
          <w:lang w:val="fr-CA"/>
        </w:rPr>
        <w:t xml:space="preserve">elles puissent être considérées comme un facteur qui entre en jeu lors de la détermination de la peine (voir </w:t>
      </w:r>
      <w:r w:rsidRPr="001B30C8">
        <w:rPr>
          <w:rFonts w:cs="Times New Roman"/>
          <w:i/>
          <w:lang w:val="fr-CA"/>
        </w:rPr>
        <w:t>Bunn</w:t>
      </w:r>
      <w:r w:rsidRPr="001B30C8">
        <w:rPr>
          <w:rFonts w:cs="Times New Roman"/>
          <w:lang w:val="fr-CA"/>
        </w:rPr>
        <w:t xml:space="preserve"> (CSC), par. 23; </w:t>
      </w:r>
      <w:r w:rsidRPr="001B30C8">
        <w:rPr>
          <w:rFonts w:cs="Times New Roman"/>
          <w:i/>
          <w:lang w:val="fr-CA"/>
        </w:rPr>
        <w:t>R. c. McDonald</w:t>
      </w:r>
      <w:r w:rsidRPr="001B30C8">
        <w:rPr>
          <w:rFonts w:cs="Times New Roman"/>
          <w:lang w:val="fr-CA"/>
        </w:rPr>
        <w:t>, 2016 NUCA 4, par. 41</w:t>
      </w:r>
      <w:r w:rsidRPr="001B30C8">
        <w:rPr>
          <w:rFonts w:cs="Times New Roman"/>
          <w:lang w:val="fr-CA"/>
        </w:rPr>
        <w:noBreakHyphen/>
        <w:t xml:space="preserve">44 (CanLII); </w:t>
      </w:r>
      <w:r w:rsidRPr="001B30C8">
        <w:rPr>
          <w:rFonts w:cs="Times New Roman"/>
          <w:i/>
          <w:lang w:val="fr-CA"/>
        </w:rPr>
        <w:t>R. c. Stanberry</w:t>
      </w:r>
      <w:r w:rsidRPr="001B30C8">
        <w:rPr>
          <w:rFonts w:cs="Times New Roman"/>
          <w:lang w:val="fr-CA"/>
        </w:rPr>
        <w:t>, 2015 QCCQ 1097, 18 C.R. (7th) 87, par. 18</w:t>
      </w:r>
      <w:r w:rsidRPr="001B30C8">
        <w:rPr>
          <w:rFonts w:cs="Times New Roman"/>
          <w:lang w:val="fr-CA"/>
        </w:rPr>
        <w:noBreakHyphen/>
        <w:t xml:space="preserve">20; </w:t>
      </w:r>
      <w:r w:rsidRPr="001B30C8">
        <w:rPr>
          <w:rFonts w:cs="Times New Roman"/>
          <w:i/>
          <w:lang w:val="fr-CA"/>
        </w:rPr>
        <w:t>R. c. Bell</w:t>
      </w:r>
      <w:r w:rsidRPr="001B30C8">
        <w:rPr>
          <w:rFonts w:cs="Times New Roman"/>
          <w:lang w:val="fr-CA"/>
        </w:rPr>
        <w:t xml:space="preserve">, 2013 MBQB 80, 290 Man. R. (2d) 79, par. 87; </w:t>
      </w:r>
      <w:r w:rsidRPr="001B30C8">
        <w:rPr>
          <w:rFonts w:cs="Times New Roman"/>
          <w:i/>
          <w:lang w:val="fr-CA"/>
        </w:rPr>
        <w:t>Folino</w:t>
      </w:r>
      <w:r w:rsidRPr="001B30C8">
        <w:rPr>
          <w:rFonts w:cs="Times New Roman"/>
          <w:lang w:val="fr-CA"/>
        </w:rPr>
        <w:t xml:space="preserve">, par. 29; </w:t>
      </w:r>
      <w:r w:rsidRPr="001B30C8">
        <w:rPr>
          <w:rFonts w:cs="Times New Roman"/>
          <w:i/>
          <w:lang w:val="fr-CA"/>
        </w:rPr>
        <w:t>R. c. Heatherington</w:t>
      </w:r>
      <w:r w:rsidRPr="001B30C8">
        <w:rPr>
          <w:rFonts w:cs="Times New Roman"/>
          <w:lang w:val="fr-CA"/>
        </w:rPr>
        <w:t>, 2005 ABCA 393, 380 A.R. 395, par. 5</w:t>
      </w:r>
      <w:r w:rsidRPr="001B30C8">
        <w:rPr>
          <w:rFonts w:cs="Times New Roman"/>
          <w:lang w:val="fr-CA"/>
        </w:rPr>
        <w:noBreakHyphen/>
        <w:t xml:space="preserve">6; </w:t>
      </w:r>
      <w:r w:rsidRPr="001B30C8">
        <w:rPr>
          <w:rFonts w:cs="Times New Roman"/>
          <w:i/>
          <w:lang w:val="fr-CA"/>
        </w:rPr>
        <w:t>R. c. Owens</w:t>
      </w:r>
      <w:r w:rsidRPr="001B30C8">
        <w:rPr>
          <w:rFonts w:cs="Times New Roman"/>
          <w:lang w:val="fr-CA"/>
        </w:rPr>
        <w:t xml:space="preserve"> (2002), 161 O.A.C. 229, par. 10</w:t>
      </w:r>
      <w:r w:rsidRPr="001B30C8">
        <w:rPr>
          <w:rFonts w:cs="Times New Roman"/>
          <w:lang w:val="fr-CA"/>
        </w:rPr>
        <w:noBreakHyphen/>
        <w:t xml:space="preserve">11; </w:t>
      </w:r>
      <w:r w:rsidRPr="001B30C8">
        <w:rPr>
          <w:rFonts w:cs="Times New Roman"/>
          <w:i/>
          <w:lang w:val="fr-CA"/>
        </w:rPr>
        <w:t>R. c. Abouabdellah</w:t>
      </w:r>
      <w:r w:rsidRPr="001B30C8">
        <w:rPr>
          <w:rFonts w:cs="Times New Roman"/>
          <w:lang w:val="fr-CA"/>
        </w:rPr>
        <w:t xml:space="preserve">, </w:t>
      </w:r>
      <w:r w:rsidR="0054220C">
        <w:rPr>
          <w:rFonts w:cs="Times New Roman"/>
          <w:lang w:val="fr-CA"/>
        </w:rPr>
        <w:t>1996 CanLII 6502</w:t>
      </w:r>
      <w:r w:rsidRPr="001B30C8">
        <w:rPr>
          <w:rFonts w:cs="Times New Roman"/>
          <w:lang w:val="fr-CA"/>
        </w:rPr>
        <w:t xml:space="preserve"> (C.A. Qc), p</w:t>
      </w:r>
      <w:r w:rsidR="0054220C">
        <w:rPr>
          <w:rFonts w:cs="Times New Roman"/>
          <w:lang w:val="fr-CA"/>
        </w:rPr>
        <w:t>ar. 9</w:t>
      </w:r>
      <w:r w:rsidRPr="001B30C8">
        <w:rPr>
          <w:rFonts w:cs="Times New Roman"/>
          <w:lang w:val="fr-CA"/>
        </w:rPr>
        <w:t xml:space="preserve">; </w:t>
      </w:r>
      <w:r w:rsidRPr="001B30C8">
        <w:rPr>
          <w:rFonts w:cs="Times New Roman"/>
          <w:i/>
          <w:lang w:val="fr-CA"/>
        </w:rPr>
        <w:t>R. c. Carroll</w:t>
      </w:r>
      <w:r w:rsidRPr="001B30C8">
        <w:rPr>
          <w:rFonts w:cs="Times New Roman"/>
          <w:lang w:val="fr-CA"/>
        </w:rPr>
        <w:t xml:space="preserve"> (1995), 56 B.C.A.C. 138, par. 11</w:t>
      </w:r>
      <w:r w:rsidRPr="001B30C8">
        <w:rPr>
          <w:rFonts w:cs="Times New Roman"/>
          <w:lang w:val="fr-CA"/>
        </w:rPr>
        <w:noBreakHyphen/>
        <w:t>12).</w:t>
      </w:r>
    </w:p>
    <w:p w:rsidR="001A0BA2" w:rsidRPr="001B30C8" w:rsidRDefault="001A0BA2" w:rsidP="001A0BA2">
      <w:pPr>
        <w:pStyle w:val="ParaNoNdepar-AltN"/>
        <w:rPr>
          <w:rFonts w:cs="Times New Roman"/>
          <w:lang w:val="fr-CA"/>
        </w:rPr>
      </w:pPr>
      <w:r w:rsidRPr="001B30C8">
        <w:rPr>
          <w:rFonts w:cs="Times New Roman"/>
          <w:lang w:val="fr-CA"/>
        </w:rPr>
        <w:t>En conséquence, les actes de violence dont M. Suter a été victime aux mains de justiciers n</w:t>
      </w:r>
      <w:r>
        <w:rPr>
          <w:rFonts w:cs="Times New Roman"/>
          <w:lang w:val="fr-CA"/>
        </w:rPr>
        <w:t>’</w:t>
      </w:r>
      <w:r w:rsidRPr="001B30C8">
        <w:rPr>
          <w:rFonts w:cs="Times New Roman"/>
          <w:lang w:val="fr-CA"/>
        </w:rPr>
        <w:t>agissant pas au nom de l</w:t>
      </w:r>
      <w:r>
        <w:rPr>
          <w:rFonts w:cs="Times New Roman"/>
          <w:lang w:val="fr-CA"/>
        </w:rPr>
        <w:t>’</w:t>
      </w:r>
      <w:r w:rsidRPr="001B30C8">
        <w:rPr>
          <w:rFonts w:cs="Times New Roman"/>
          <w:lang w:val="fr-CA"/>
        </w:rPr>
        <w:t>État peuvent être pris en compte au moment de déterminer la peine appropriée. L</w:t>
      </w:r>
      <w:r>
        <w:rPr>
          <w:rFonts w:cs="Times New Roman"/>
          <w:lang w:val="fr-CA"/>
        </w:rPr>
        <w:t>’</w:t>
      </w:r>
      <w:r w:rsidRPr="001B30C8">
        <w:rPr>
          <w:rFonts w:cs="Times New Roman"/>
          <w:lang w:val="fr-CA"/>
        </w:rPr>
        <w:t>attaque violente qu</w:t>
      </w:r>
      <w:r>
        <w:rPr>
          <w:rFonts w:cs="Times New Roman"/>
          <w:lang w:val="fr-CA"/>
        </w:rPr>
        <w:t>’</w:t>
      </w:r>
      <w:r w:rsidRPr="001B30C8">
        <w:rPr>
          <w:rFonts w:cs="Times New Roman"/>
          <w:lang w:val="fr-CA"/>
        </w:rPr>
        <w:t>il a subie était liée au rôle qu</w:t>
      </w:r>
      <w:r>
        <w:rPr>
          <w:rFonts w:cs="Times New Roman"/>
          <w:lang w:val="fr-CA"/>
        </w:rPr>
        <w:t>’</w:t>
      </w:r>
      <w:r w:rsidRPr="001B30C8">
        <w:rPr>
          <w:rFonts w:cs="Times New Roman"/>
          <w:lang w:val="fr-CA"/>
        </w:rPr>
        <w:t xml:space="preserve">il a joué dans le décès de Geo Mounsef, et le préjudice physique permanent ainsi que le traumatisme psychologique qui lui ont été causés du fait de cette attaque font nécessairement partie de sa situation personnelle. Compte tenu des principes </w:t>
      </w:r>
      <w:r w:rsidRPr="001B30C8">
        <w:rPr>
          <w:rFonts w:cs="Times New Roman"/>
          <w:lang w:val="fr-CA"/>
        </w:rPr>
        <w:lastRenderedPageBreak/>
        <w:t>d</w:t>
      </w:r>
      <w:r>
        <w:rPr>
          <w:rFonts w:cs="Times New Roman"/>
          <w:lang w:val="fr-CA"/>
        </w:rPr>
        <w:t>’</w:t>
      </w:r>
      <w:r w:rsidRPr="001B30C8">
        <w:rPr>
          <w:rFonts w:cs="Times New Roman"/>
          <w:lang w:val="fr-CA"/>
        </w:rPr>
        <w:t>individualisation et de parité en matière de détermination de la peine, l</w:t>
      </w:r>
      <w:r>
        <w:rPr>
          <w:rFonts w:cs="Times New Roman"/>
          <w:lang w:val="fr-CA"/>
        </w:rPr>
        <w:t>’</w:t>
      </w:r>
      <w:r w:rsidRPr="001B30C8">
        <w:rPr>
          <w:rFonts w:cs="Times New Roman"/>
          <w:lang w:val="fr-CA"/>
        </w:rPr>
        <w:t xml:space="preserve">attaque menée par des justiciers contre M. Suter était une conséquence indirecte pertinente à prendre en considération lors de la détermination de la peine. </w:t>
      </w:r>
    </w:p>
    <w:p w:rsidR="001A0BA2" w:rsidRPr="001B30C8" w:rsidRDefault="001A0BA2" w:rsidP="001A0BA2">
      <w:pPr>
        <w:pStyle w:val="ParaNoNdepar-AltN"/>
        <w:rPr>
          <w:rFonts w:cs="Times New Roman"/>
          <w:lang w:val="fr-CA"/>
        </w:rPr>
      </w:pPr>
      <w:r w:rsidRPr="001B30C8">
        <w:rPr>
          <w:rFonts w:cs="Times New Roman"/>
          <w:lang w:val="fr-CA"/>
        </w:rPr>
        <w:t>Cela dit, cette conséquence indirecte particulière ne devrait être prise en compte que dans une mesure limitée. Accorder une trop grande importance aux actes de violence justicière lors de la détermination de la peine confère à ce type de comportement criminel une légitimité indue dans le processus judiciaire. Il convient d</w:t>
      </w:r>
      <w:r>
        <w:rPr>
          <w:rFonts w:cs="Times New Roman"/>
          <w:lang w:val="fr-CA"/>
        </w:rPr>
        <w:t>’</w:t>
      </w:r>
      <w:r w:rsidRPr="001B30C8">
        <w:rPr>
          <w:rFonts w:cs="Times New Roman"/>
          <w:lang w:val="fr-CA"/>
        </w:rPr>
        <w:t>éviter cela. Le phénomène des justiciers mine la primauté du droit et nuit à l</w:t>
      </w:r>
      <w:r>
        <w:rPr>
          <w:rFonts w:cs="Times New Roman"/>
          <w:lang w:val="fr-CA"/>
        </w:rPr>
        <w:t>’</w:t>
      </w:r>
      <w:r w:rsidRPr="001B30C8">
        <w:rPr>
          <w:rFonts w:cs="Times New Roman"/>
          <w:lang w:val="fr-CA"/>
        </w:rPr>
        <w:t>administration de la justice. Il a pour effet de retirer à la police et aux tribunaux leur responsabilité en matière de justice et de laisser celle</w:t>
      </w:r>
      <w:r w:rsidRPr="001B30C8">
        <w:rPr>
          <w:rFonts w:cs="Times New Roman"/>
          <w:lang w:val="fr-CA"/>
        </w:rPr>
        <w:noBreakHyphen/>
        <w:t>ci entre les mains de criminels. En règle générale, les personnes qui se livrent à ce type d</w:t>
      </w:r>
      <w:r>
        <w:rPr>
          <w:rFonts w:cs="Times New Roman"/>
          <w:lang w:val="fr-CA"/>
        </w:rPr>
        <w:t>’</w:t>
      </w:r>
      <w:r w:rsidRPr="001B30C8">
        <w:rPr>
          <w:rFonts w:cs="Times New Roman"/>
          <w:lang w:val="fr-CA"/>
        </w:rPr>
        <w:t>actes devraient s</w:t>
      </w:r>
      <w:r>
        <w:rPr>
          <w:rFonts w:cs="Times New Roman"/>
          <w:lang w:val="fr-CA"/>
        </w:rPr>
        <w:t>’</w:t>
      </w:r>
      <w:r w:rsidRPr="001B30C8">
        <w:rPr>
          <w:rFonts w:cs="Times New Roman"/>
          <w:lang w:val="fr-CA"/>
        </w:rPr>
        <w:t>attendre à être traitées sévèrement.</w:t>
      </w:r>
    </w:p>
    <w:p w:rsidR="001A0BA2" w:rsidRPr="001B30C8" w:rsidRDefault="001A0BA2" w:rsidP="001A0BA2">
      <w:pPr>
        <w:pStyle w:val="ParaNoNdepar-AltN"/>
        <w:rPr>
          <w:rFonts w:cs="Times New Roman"/>
          <w:lang w:val="fr-CA"/>
        </w:rPr>
      </w:pPr>
      <w:r w:rsidRPr="001B30C8">
        <w:rPr>
          <w:rFonts w:cs="Times New Roman"/>
          <w:lang w:val="fr-CA"/>
        </w:rPr>
        <w:t xml:space="preserve">En résumé, le juge de la peine pouvait tenir compte, dans une </w:t>
      </w:r>
      <w:r w:rsidRPr="001B30C8">
        <w:rPr>
          <w:rFonts w:cs="Times New Roman"/>
          <w:i/>
          <w:lang w:val="fr-CA"/>
        </w:rPr>
        <w:t>mesure limitée</w:t>
      </w:r>
      <w:r w:rsidRPr="001B30C8">
        <w:rPr>
          <w:rFonts w:cs="Times New Roman"/>
          <w:lang w:val="fr-CA"/>
        </w:rPr>
        <w:t>, des actes de violence justicière dont M. Suter a été victime à cause de son rôle dans le décès de Geo Mounsef. La Cour d</w:t>
      </w:r>
      <w:r>
        <w:rPr>
          <w:rFonts w:cs="Times New Roman"/>
          <w:lang w:val="fr-CA"/>
        </w:rPr>
        <w:t>’</w:t>
      </w:r>
      <w:r w:rsidRPr="001B30C8">
        <w:rPr>
          <w:rFonts w:cs="Times New Roman"/>
          <w:lang w:val="fr-CA"/>
        </w:rPr>
        <w:t>appel a donc commis une erreur en refusant de prendre en considération ces actes.</w:t>
      </w:r>
    </w:p>
    <w:p w:rsidR="001A0BA2" w:rsidRPr="001B30C8" w:rsidRDefault="001A0BA2" w:rsidP="001A0BA2">
      <w:pPr>
        <w:pStyle w:val="Title3LevelTitre3Niveau"/>
        <w:rPr>
          <w:rFonts w:cs="Times New Roman"/>
          <w:lang w:val="fr-CA"/>
        </w:rPr>
      </w:pPr>
      <w:r w:rsidRPr="001B30C8">
        <w:rPr>
          <w:rFonts w:cs="Times New Roman"/>
          <w:lang w:val="fr-CA"/>
        </w:rPr>
        <w:t>Conclusion</w:t>
      </w:r>
    </w:p>
    <w:p w:rsidR="001A0BA2" w:rsidRPr="001B30C8" w:rsidRDefault="001A0BA2" w:rsidP="001A0BA2">
      <w:pPr>
        <w:pStyle w:val="ParaNoNdepar-AltN"/>
        <w:rPr>
          <w:rFonts w:cs="Times New Roman"/>
          <w:lang w:val="fr-CA"/>
        </w:rPr>
      </w:pPr>
      <w:r w:rsidRPr="001B30C8">
        <w:rPr>
          <w:rFonts w:cs="Times New Roman"/>
          <w:lang w:val="fr-CA"/>
        </w:rPr>
        <w:t>Les erreurs commises par la Cour d</w:t>
      </w:r>
      <w:r>
        <w:rPr>
          <w:rFonts w:cs="Times New Roman"/>
          <w:lang w:val="fr-CA"/>
        </w:rPr>
        <w:t>’</w:t>
      </w:r>
      <w:r w:rsidRPr="001B30C8">
        <w:rPr>
          <w:rFonts w:cs="Times New Roman"/>
          <w:lang w:val="fr-CA"/>
        </w:rPr>
        <w:t>appel — condamner M. Suter pour une infraction de conduite imprudente, ou de conduite dangereuse causant la mort, n</w:t>
      </w:r>
      <w:r>
        <w:rPr>
          <w:rFonts w:cs="Times New Roman"/>
          <w:lang w:val="fr-CA"/>
        </w:rPr>
        <w:t>’</w:t>
      </w:r>
      <w:r w:rsidRPr="001B30C8">
        <w:rPr>
          <w:rFonts w:cs="Times New Roman"/>
          <w:lang w:val="fr-CA"/>
        </w:rPr>
        <w:t>ayant fait l</w:t>
      </w:r>
      <w:r>
        <w:rPr>
          <w:rFonts w:cs="Times New Roman"/>
          <w:lang w:val="fr-CA"/>
        </w:rPr>
        <w:t>’</w:t>
      </w:r>
      <w:r w:rsidRPr="001B30C8">
        <w:rPr>
          <w:rFonts w:cs="Times New Roman"/>
          <w:lang w:val="fr-CA"/>
        </w:rPr>
        <w:t>objet d</w:t>
      </w:r>
      <w:r>
        <w:rPr>
          <w:rFonts w:cs="Times New Roman"/>
          <w:lang w:val="fr-CA"/>
        </w:rPr>
        <w:t>’</w:t>
      </w:r>
      <w:r w:rsidRPr="001B30C8">
        <w:rPr>
          <w:rFonts w:cs="Times New Roman"/>
          <w:lang w:val="fr-CA"/>
        </w:rPr>
        <w:t>aucune accusation, et ne pas tenir compte des actes de violence justicière dont il a été victime — ont contribué à l</w:t>
      </w:r>
      <w:r>
        <w:rPr>
          <w:rFonts w:cs="Times New Roman"/>
          <w:lang w:val="fr-CA"/>
        </w:rPr>
        <w:t>’</w:t>
      </w:r>
      <w:r w:rsidRPr="001B30C8">
        <w:rPr>
          <w:rFonts w:cs="Times New Roman"/>
          <w:lang w:val="fr-CA"/>
        </w:rPr>
        <w:t>infliction de la peine de 26 mois d</w:t>
      </w:r>
      <w:r>
        <w:rPr>
          <w:rFonts w:cs="Times New Roman"/>
          <w:lang w:val="fr-CA"/>
        </w:rPr>
        <w:t>’</w:t>
      </w:r>
      <w:r w:rsidRPr="001B30C8">
        <w:rPr>
          <w:rFonts w:cs="Times New Roman"/>
          <w:lang w:val="fr-CA"/>
        </w:rPr>
        <w:t>emprisonnement et, à mon humble avis, ont rendu cette peine non indiquée.</w:t>
      </w:r>
    </w:p>
    <w:p w:rsidR="001A0BA2" w:rsidRPr="001B30C8" w:rsidRDefault="001A0BA2" w:rsidP="001A0BA2">
      <w:pPr>
        <w:pStyle w:val="ParaNoNdepar-AltN"/>
        <w:rPr>
          <w:rFonts w:cs="Times New Roman"/>
          <w:lang w:val="fr-CA"/>
        </w:rPr>
      </w:pPr>
      <w:r w:rsidRPr="001B30C8">
        <w:rPr>
          <w:rFonts w:cs="Times New Roman"/>
          <w:lang w:val="fr-CA"/>
        </w:rPr>
        <w:lastRenderedPageBreak/>
        <w:t>Je vais maintenant examiner les erreurs commises par le juge de la peine.</w:t>
      </w:r>
    </w:p>
    <w:p w:rsidR="001A0BA2" w:rsidRPr="001B30C8" w:rsidRDefault="001A0BA2" w:rsidP="001A0BA2">
      <w:pPr>
        <w:pStyle w:val="Title2LevelTitre2Niveau"/>
        <w:rPr>
          <w:rFonts w:cs="Times New Roman"/>
          <w:lang w:val="fr-CA"/>
        </w:rPr>
      </w:pPr>
      <w:r w:rsidRPr="001B30C8">
        <w:rPr>
          <w:rFonts w:cs="Times New Roman"/>
          <w:lang w:val="fr-CA"/>
        </w:rPr>
        <w:t>La décision du juge de la peine</w:t>
      </w:r>
    </w:p>
    <w:p w:rsidR="001A0BA2" w:rsidRPr="001B30C8" w:rsidRDefault="001A0BA2" w:rsidP="001A0BA2">
      <w:pPr>
        <w:pStyle w:val="Title3LevelTitre3Niveau"/>
        <w:rPr>
          <w:rFonts w:cs="Times New Roman"/>
          <w:lang w:val="fr-CA"/>
        </w:rPr>
      </w:pPr>
      <w:r w:rsidRPr="001B30C8">
        <w:rPr>
          <w:rFonts w:cs="Times New Roman"/>
          <w:lang w:val="fr-CA"/>
        </w:rPr>
        <w:t>Le juge de la peine a commis une erreur en concluant à une erreur de droit en l</w:t>
      </w:r>
      <w:r>
        <w:rPr>
          <w:rFonts w:cs="Times New Roman"/>
          <w:lang w:val="fr-CA"/>
        </w:rPr>
        <w:t>’</w:t>
      </w:r>
      <w:r w:rsidRPr="001B30C8">
        <w:rPr>
          <w:rFonts w:cs="Times New Roman"/>
          <w:lang w:val="fr-CA"/>
        </w:rPr>
        <w:t xml:space="preserve">espèce </w:t>
      </w:r>
    </w:p>
    <w:p w:rsidR="001A0BA2" w:rsidRPr="001B30C8" w:rsidRDefault="001A0BA2" w:rsidP="001A0BA2">
      <w:pPr>
        <w:pStyle w:val="ParaNoNdepar-AltN"/>
        <w:rPr>
          <w:rFonts w:cs="Times New Roman"/>
          <w:lang w:val="fr-CA"/>
        </w:rPr>
      </w:pPr>
      <w:r w:rsidRPr="001B30C8">
        <w:rPr>
          <w:rFonts w:cs="Times New Roman"/>
          <w:lang w:val="fr-CA"/>
        </w:rPr>
        <w:t>Le juge de la peine a commis une erreur en statuant que M. Suter agissait sur le fondement d</w:t>
      </w:r>
      <w:r>
        <w:rPr>
          <w:rFonts w:cs="Times New Roman"/>
          <w:lang w:val="fr-CA"/>
        </w:rPr>
        <w:t>’</w:t>
      </w:r>
      <w:r w:rsidRPr="001B30C8">
        <w:rPr>
          <w:rFonts w:cs="Times New Roman"/>
          <w:lang w:val="fr-CA"/>
        </w:rPr>
        <w:t>une erreur de droit lorsqu</w:t>
      </w:r>
      <w:r>
        <w:rPr>
          <w:rFonts w:cs="Times New Roman"/>
          <w:lang w:val="fr-CA"/>
        </w:rPr>
        <w:t>’</w:t>
      </w:r>
      <w:r w:rsidRPr="001B30C8">
        <w:rPr>
          <w:rFonts w:cs="Times New Roman"/>
          <w:lang w:val="fr-CA"/>
        </w:rPr>
        <w:t>il a refusé de fournir à la police un échantillon de son haleine. Il n</w:t>
      </w:r>
      <w:r>
        <w:rPr>
          <w:rFonts w:cs="Times New Roman"/>
          <w:lang w:val="fr-CA"/>
        </w:rPr>
        <w:t>’</w:t>
      </w:r>
      <w:r w:rsidRPr="001B30C8">
        <w:rPr>
          <w:rFonts w:cs="Times New Roman"/>
          <w:lang w:val="fr-CA"/>
        </w:rPr>
        <w:t>a tiré aucune conclusion expresse quant à savoir si M. Suter croyait sincèrement, mais à tort, que son refus était légal — un élément essentiel de l</w:t>
      </w:r>
      <w:r>
        <w:rPr>
          <w:rFonts w:cs="Times New Roman"/>
          <w:lang w:val="fr-CA"/>
        </w:rPr>
        <w:t>’</w:t>
      </w:r>
      <w:r w:rsidRPr="001B30C8">
        <w:rPr>
          <w:rFonts w:cs="Times New Roman"/>
          <w:lang w:val="fr-CA"/>
        </w:rPr>
        <w:t>erreur de droit. Sans une telle conclusion, le juge de la peine ne pouvait conclure à une erreur de droit en l</w:t>
      </w:r>
      <w:r>
        <w:rPr>
          <w:rFonts w:cs="Times New Roman"/>
          <w:lang w:val="fr-CA"/>
        </w:rPr>
        <w:t>’</w:t>
      </w:r>
      <w:r w:rsidRPr="001B30C8">
        <w:rPr>
          <w:rFonts w:cs="Times New Roman"/>
          <w:lang w:val="fr-CA"/>
        </w:rPr>
        <w:t>espèce. Soit dit en tout respect, cette erreur a eu une incidence importante sur son appréciation de la culpabilité morale de M. Suter et elle a contribué de façon non négligeable à la peine manifes</w:t>
      </w:r>
      <w:r w:rsidR="00AD00F1">
        <w:rPr>
          <w:rFonts w:cs="Times New Roman"/>
          <w:lang w:val="fr-CA"/>
        </w:rPr>
        <w:t>tement inadéquate de quatre moi</w:t>
      </w:r>
      <w:r w:rsidRPr="001B30C8">
        <w:rPr>
          <w:rFonts w:cs="Times New Roman"/>
          <w:lang w:val="fr-CA"/>
        </w:rPr>
        <w:t>s d</w:t>
      </w:r>
      <w:r>
        <w:rPr>
          <w:rFonts w:cs="Times New Roman"/>
          <w:lang w:val="fr-CA"/>
        </w:rPr>
        <w:t>’</w:t>
      </w:r>
      <w:r w:rsidRPr="001B30C8">
        <w:rPr>
          <w:rFonts w:cs="Times New Roman"/>
          <w:lang w:val="fr-CA"/>
        </w:rPr>
        <w:t>emprisonnement qu</w:t>
      </w:r>
      <w:r>
        <w:rPr>
          <w:rFonts w:cs="Times New Roman"/>
          <w:lang w:val="fr-CA"/>
        </w:rPr>
        <w:t>’</w:t>
      </w:r>
      <w:r w:rsidRPr="001B30C8">
        <w:rPr>
          <w:rFonts w:cs="Times New Roman"/>
          <w:lang w:val="fr-CA"/>
        </w:rPr>
        <w:t>il a infligée.</w:t>
      </w:r>
    </w:p>
    <w:p w:rsidR="001A0BA2" w:rsidRPr="001B30C8" w:rsidRDefault="001A0BA2" w:rsidP="001A0BA2">
      <w:pPr>
        <w:pStyle w:val="ParaNoNdepar-AltN"/>
        <w:rPr>
          <w:rFonts w:cs="Times New Roman"/>
          <w:lang w:val="fr-CA"/>
        </w:rPr>
      </w:pPr>
      <w:r w:rsidRPr="001B30C8">
        <w:rPr>
          <w:rFonts w:cs="Times New Roman"/>
          <w:lang w:val="fr-CA"/>
        </w:rPr>
        <w:t>Le fait pour une personne de savoir que ses actes sont illégaux peut constituer un facteur pertinent à prendre en compte dans la détermination de la peine. Toutefois, comme c</w:t>
      </w:r>
      <w:r>
        <w:rPr>
          <w:rFonts w:cs="Times New Roman"/>
          <w:lang w:val="fr-CA"/>
        </w:rPr>
        <w:t>’</w:t>
      </w:r>
      <w:r w:rsidRPr="001B30C8">
        <w:rPr>
          <w:rFonts w:cs="Times New Roman"/>
          <w:lang w:val="fr-CA"/>
        </w:rPr>
        <w:t>est le cas pour tous les facteurs pris en considération à cette occasion, l</w:t>
      </w:r>
      <w:r>
        <w:rPr>
          <w:rFonts w:cs="Times New Roman"/>
          <w:lang w:val="fr-CA"/>
        </w:rPr>
        <w:t>’</w:t>
      </w:r>
      <w:r w:rsidRPr="001B30C8">
        <w:rPr>
          <w:rFonts w:cs="Times New Roman"/>
          <w:lang w:val="fr-CA"/>
        </w:rPr>
        <w:t>importance (et l</w:t>
      </w:r>
      <w:r>
        <w:rPr>
          <w:rFonts w:cs="Times New Roman"/>
          <w:lang w:val="fr-CA"/>
        </w:rPr>
        <w:t>’</w:t>
      </w:r>
      <w:r w:rsidRPr="001B30C8">
        <w:rPr>
          <w:rFonts w:cs="Times New Roman"/>
          <w:lang w:val="fr-CA"/>
        </w:rPr>
        <w:t>effet atténuant potentiel) de ce fait variera selon les circonstances.</w:t>
      </w:r>
    </w:p>
    <w:p w:rsidR="001A0BA2" w:rsidRPr="001B30C8" w:rsidRDefault="001A0BA2" w:rsidP="001A0BA2">
      <w:pPr>
        <w:pStyle w:val="ParaNoNdepar-AltN"/>
        <w:rPr>
          <w:rFonts w:cs="Times New Roman"/>
          <w:lang w:val="fr-CA"/>
        </w:rPr>
      </w:pPr>
      <w:r w:rsidRPr="001B30C8">
        <w:rPr>
          <w:rFonts w:cs="Times New Roman"/>
          <w:lang w:val="fr-CA"/>
        </w:rPr>
        <w:t>L</w:t>
      </w:r>
      <w:r>
        <w:rPr>
          <w:rFonts w:cs="Times New Roman"/>
          <w:lang w:val="fr-CA"/>
        </w:rPr>
        <w:t>’</w:t>
      </w:r>
      <w:r w:rsidRPr="001B30C8">
        <w:rPr>
          <w:rFonts w:cs="Times New Roman"/>
          <w:lang w:val="fr-CA"/>
        </w:rPr>
        <w:t>erreur de droit est un concept juridique aux exigences rigoureuses. À mon avis, elle se produit uniquement lorsqu</w:t>
      </w:r>
      <w:r>
        <w:rPr>
          <w:rFonts w:cs="Times New Roman"/>
          <w:lang w:val="fr-CA"/>
        </w:rPr>
        <w:t>’</w:t>
      </w:r>
      <w:r w:rsidRPr="001B30C8">
        <w:rPr>
          <w:rFonts w:cs="Times New Roman"/>
          <w:lang w:val="fr-CA"/>
        </w:rPr>
        <w:t>une personne croit sincèrement, mais à tort, à la légalité de ses actes. Bien qu</w:t>
      </w:r>
      <w:r>
        <w:rPr>
          <w:rFonts w:cs="Times New Roman"/>
          <w:lang w:val="fr-CA"/>
        </w:rPr>
        <w:t>’</w:t>
      </w:r>
      <w:r w:rsidRPr="001B30C8">
        <w:rPr>
          <w:rFonts w:cs="Times New Roman"/>
          <w:lang w:val="fr-CA"/>
        </w:rPr>
        <w:t xml:space="preserve">elle ne constitue pas un moyen de défense contre </w:t>
      </w:r>
      <w:r w:rsidRPr="001B30C8">
        <w:rPr>
          <w:rFonts w:cs="Times New Roman"/>
          <w:lang w:val="fr-CA"/>
        </w:rPr>
        <w:lastRenderedPageBreak/>
        <w:t xml:space="preserve">une accusation criminelle (art. 19 du </w:t>
      </w:r>
      <w:r w:rsidRPr="001B30C8">
        <w:rPr>
          <w:rFonts w:cs="Times New Roman"/>
          <w:i/>
          <w:lang w:val="fr-CA"/>
        </w:rPr>
        <w:t>Code criminel</w:t>
      </w:r>
      <w:r w:rsidRPr="001B30C8">
        <w:rPr>
          <w:rFonts w:cs="Times New Roman"/>
          <w:lang w:val="fr-CA"/>
        </w:rPr>
        <w:t xml:space="preserve">; </w:t>
      </w:r>
      <w:r w:rsidRPr="001B30C8">
        <w:rPr>
          <w:rFonts w:cs="Times New Roman"/>
          <w:i/>
          <w:lang w:val="fr-CA"/>
        </w:rPr>
        <w:t>R. c. Forster</w:t>
      </w:r>
      <w:r w:rsidRPr="001B30C8">
        <w:rPr>
          <w:rFonts w:cs="Times New Roman"/>
          <w:lang w:val="fr-CA"/>
        </w:rPr>
        <w:t>, [1992] 1 R.C.S. 339, p. 346), l</w:t>
      </w:r>
      <w:r>
        <w:rPr>
          <w:rFonts w:cs="Times New Roman"/>
          <w:lang w:val="fr-CA"/>
        </w:rPr>
        <w:t>’</w:t>
      </w:r>
      <w:r w:rsidRPr="001B30C8">
        <w:rPr>
          <w:rFonts w:cs="Times New Roman"/>
          <w:lang w:val="fr-CA"/>
        </w:rPr>
        <w:t xml:space="preserve">erreur de droit peut néanmoins servir de facteur atténuant lors de la détermination de la peine (voir </w:t>
      </w:r>
      <w:r w:rsidRPr="001B30C8">
        <w:rPr>
          <w:rFonts w:cs="Times New Roman"/>
          <w:i/>
          <w:lang w:val="fr-CA"/>
        </w:rPr>
        <w:t>R. c. Pontes</w:t>
      </w:r>
      <w:r w:rsidRPr="001B30C8">
        <w:rPr>
          <w:rFonts w:cs="Times New Roman"/>
          <w:lang w:val="fr-CA"/>
        </w:rPr>
        <w:t xml:space="preserve">, [1995] 3 R.C.S. 44, par. 87; </w:t>
      </w:r>
      <w:r w:rsidRPr="001B30C8">
        <w:rPr>
          <w:rFonts w:cs="Times New Roman"/>
          <w:i/>
          <w:lang w:val="fr-CA"/>
        </w:rPr>
        <w:t>R. c. MacDonald</w:t>
      </w:r>
      <w:r w:rsidRPr="001B30C8">
        <w:rPr>
          <w:rFonts w:cs="Times New Roman"/>
          <w:lang w:val="fr-CA"/>
        </w:rPr>
        <w:t xml:space="preserve">, 2014 CSC 3, [2014] 1 R.C.S. 37, par. 61; </w:t>
      </w:r>
      <w:r w:rsidRPr="001B30C8">
        <w:rPr>
          <w:rFonts w:cs="Times New Roman"/>
          <w:i/>
          <w:lang w:val="fr-CA"/>
        </w:rPr>
        <w:t>Kenny</w:t>
      </w:r>
      <w:r>
        <w:rPr>
          <w:rFonts w:cs="Times New Roman"/>
          <w:i/>
          <w:lang w:val="fr-CA"/>
        </w:rPr>
        <w:t>’</w:t>
      </w:r>
      <w:r w:rsidRPr="001B30C8">
        <w:rPr>
          <w:rFonts w:cs="Times New Roman"/>
          <w:i/>
          <w:lang w:val="fr-CA"/>
        </w:rPr>
        <w:t>s</w:t>
      </w:r>
      <w:r w:rsidRPr="001B30C8">
        <w:rPr>
          <w:rFonts w:cs="Times New Roman"/>
          <w:lang w:val="fr-CA"/>
        </w:rPr>
        <w:t xml:space="preserve"> </w:t>
      </w:r>
      <w:r w:rsidRPr="001B30C8">
        <w:rPr>
          <w:rFonts w:cs="Times New Roman"/>
          <w:i/>
          <w:lang w:val="fr-CA"/>
        </w:rPr>
        <w:t>Outlines of Criminal Law</w:t>
      </w:r>
      <w:r w:rsidRPr="001B30C8">
        <w:rPr>
          <w:rFonts w:cs="Times New Roman"/>
          <w:lang w:val="fr-CA"/>
        </w:rPr>
        <w:t xml:space="preserve"> (19</w:t>
      </w:r>
      <w:r w:rsidRPr="001B30C8">
        <w:rPr>
          <w:rFonts w:cs="Times New Roman"/>
          <w:vertAlign w:val="superscript"/>
          <w:lang w:val="fr-CA"/>
        </w:rPr>
        <w:t>e</w:t>
      </w:r>
      <w:r w:rsidRPr="001B30C8">
        <w:rPr>
          <w:rFonts w:cs="Times New Roman"/>
          <w:lang w:val="fr-CA"/>
        </w:rPr>
        <w:t> éd. 1966), par J. W. Cecil Turner, p. 61</w:t>
      </w:r>
      <w:r w:rsidRPr="001B30C8">
        <w:rPr>
          <w:rFonts w:cs="Times New Roman"/>
          <w:lang w:val="fr-CA"/>
        </w:rPr>
        <w:noBreakHyphen/>
        <w:t xml:space="preserve">62). Il en est ainsi parce que la culpabilité morale des délinquants qui croient sincèrement, mais à tort, à la légalité de leurs actes est </w:t>
      </w:r>
      <w:r w:rsidRPr="001B30C8">
        <w:rPr>
          <w:rFonts w:cs="Times New Roman"/>
          <w:i/>
          <w:lang w:val="fr-CA"/>
        </w:rPr>
        <w:t xml:space="preserve">moindre </w:t>
      </w:r>
      <w:r w:rsidRPr="001B30C8">
        <w:rPr>
          <w:rFonts w:cs="Times New Roman"/>
          <w:lang w:val="fr-CA"/>
        </w:rPr>
        <w:t>que celle des délinquants qui — en commettant la même infraction — ne sont pas sûrs de la légalité de leurs actes ou savent que ceux</w:t>
      </w:r>
      <w:r w:rsidRPr="001B30C8">
        <w:rPr>
          <w:rFonts w:cs="Times New Roman"/>
          <w:lang w:val="fr-CA"/>
        </w:rPr>
        <w:noBreakHyphen/>
        <w:t>ci sont illégaux.</w:t>
      </w:r>
    </w:p>
    <w:p w:rsidR="001A0BA2" w:rsidRPr="001B30C8" w:rsidRDefault="001A0BA2" w:rsidP="001A0BA2">
      <w:pPr>
        <w:pStyle w:val="ParaNoNdepar-AltN"/>
        <w:rPr>
          <w:rFonts w:cs="Times New Roman"/>
          <w:lang w:val="fr-CA"/>
        </w:rPr>
      </w:pPr>
      <w:r w:rsidRPr="001B30C8">
        <w:rPr>
          <w:rFonts w:cs="Times New Roman"/>
          <w:lang w:val="fr-CA"/>
        </w:rPr>
        <w:t>La confusion dans l</w:t>
      </w:r>
      <w:r>
        <w:rPr>
          <w:rFonts w:cs="Times New Roman"/>
          <w:lang w:val="fr-CA"/>
        </w:rPr>
        <w:t>’</w:t>
      </w:r>
      <w:r w:rsidRPr="001B30C8">
        <w:rPr>
          <w:rFonts w:cs="Times New Roman"/>
          <w:lang w:val="fr-CA"/>
        </w:rPr>
        <w:t>esprit d</w:t>
      </w:r>
      <w:r>
        <w:rPr>
          <w:rFonts w:cs="Times New Roman"/>
          <w:lang w:val="fr-CA"/>
        </w:rPr>
        <w:t>’</w:t>
      </w:r>
      <w:r w:rsidRPr="001B30C8">
        <w:rPr>
          <w:rFonts w:cs="Times New Roman"/>
          <w:lang w:val="fr-CA"/>
        </w:rPr>
        <w:t>une personne ou l</w:t>
      </w:r>
      <w:r>
        <w:rPr>
          <w:rFonts w:cs="Times New Roman"/>
          <w:lang w:val="fr-CA"/>
        </w:rPr>
        <w:t>’</w:t>
      </w:r>
      <w:r w:rsidRPr="001B30C8">
        <w:rPr>
          <w:rFonts w:cs="Times New Roman"/>
          <w:lang w:val="fr-CA"/>
        </w:rPr>
        <w:t>incertitude de celle</w:t>
      </w:r>
      <w:r w:rsidRPr="001B30C8">
        <w:rPr>
          <w:rFonts w:cs="Times New Roman"/>
          <w:lang w:val="fr-CA"/>
        </w:rPr>
        <w:noBreakHyphen/>
        <w:t>ci à l</w:t>
      </w:r>
      <w:r>
        <w:rPr>
          <w:rFonts w:cs="Times New Roman"/>
          <w:lang w:val="fr-CA"/>
        </w:rPr>
        <w:t>’</w:t>
      </w:r>
      <w:r w:rsidRPr="001B30C8">
        <w:rPr>
          <w:rFonts w:cs="Times New Roman"/>
          <w:lang w:val="fr-CA"/>
        </w:rPr>
        <w:t>égard de la légalité de ses actes ne satisfait pas, à mon avis, aux exigences légales de l</w:t>
      </w:r>
      <w:r>
        <w:rPr>
          <w:rFonts w:cs="Times New Roman"/>
          <w:lang w:val="fr-CA"/>
        </w:rPr>
        <w:t>’</w:t>
      </w:r>
      <w:r w:rsidRPr="001B30C8">
        <w:rPr>
          <w:rFonts w:cs="Times New Roman"/>
          <w:lang w:val="fr-CA"/>
        </w:rPr>
        <w:t>erreur de droit. Cependant, selon les faits de l</w:t>
      </w:r>
      <w:r>
        <w:rPr>
          <w:rFonts w:cs="Times New Roman"/>
          <w:lang w:val="fr-CA"/>
        </w:rPr>
        <w:t>’</w:t>
      </w:r>
      <w:r w:rsidRPr="001B30C8">
        <w:rPr>
          <w:rFonts w:cs="Times New Roman"/>
          <w:lang w:val="fr-CA"/>
        </w:rPr>
        <w:t>affaire, une telle confusion peut quand même être pertinente pour l</w:t>
      </w:r>
      <w:r>
        <w:rPr>
          <w:rFonts w:cs="Times New Roman"/>
          <w:lang w:val="fr-CA"/>
        </w:rPr>
        <w:t>’</w:t>
      </w:r>
      <w:r w:rsidRPr="001B30C8">
        <w:rPr>
          <w:rFonts w:cs="Times New Roman"/>
          <w:lang w:val="fr-CA"/>
        </w:rPr>
        <w:t>analyse relative à la détermination de la peine. Son effet atténuant, s</w:t>
      </w:r>
      <w:r>
        <w:rPr>
          <w:rFonts w:cs="Times New Roman"/>
          <w:lang w:val="fr-CA"/>
        </w:rPr>
        <w:t>’</w:t>
      </w:r>
      <w:r w:rsidRPr="001B30C8">
        <w:rPr>
          <w:rFonts w:cs="Times New Roman"/>
          <w:lang w:val="fr-CA"/>
        </w:rPr>
        <w:t xml:space="preserve">il en est, sera nécessairement moindre que dans le cas où il y a une véritable erreur de droit. </w:t>
      </w:r>
    </w:p>
    <w:p w:rsidR="001A0BA2" w:rsidRPr="001B30C8" w:rsidRDefault="001A0BA2" w:rsidP="001A0BA2">
      <w:pPr>
        <w:pStyle w:val="ParaNoNdepar-AltN"/>
        <w:rPr>
          <w:rFonts w:cs="Times New Roman"/>
          <w:lang w:val="fr-CA"/>
        </w:rPr>
      </w:pPr>
      <w:r w:rsidRPr="001B30C8">
        <w:rPr>
          <w:rFonts w:cs="Times New Roman"/>
          <w:lang w:val="fr-CA"/>
        </w:rPr>
        <w:t>Le juge de la peine a tiré les conclusions de fait suivantes en l</w:t>
      </w:r>
      <w:r>
        <w:rPr>
          <w:rFonts w:cs="Times New Roman"/>
          <w:lang w:val="fr-CA"/>
        </w:rPr>
        <w:t>’</w:t>
      </w:r>
      <w:r w:rsidRPr="001B30C8">
        <w:rPr>
          <w:rFonts w:cs="Times New Roman"/>
          <w:lang w:val="fr-CA"/>
        </w:rPr>
        <w:t>espèce : (1) les conseils de l</w:t>
      </w:r>
      <w:r>
        <w:rPr>
          <w:rFonts w:cs="Times New Roman"/>
          <w:lang w:val="fr-CA"/>
        </w:rPr>
        <w:t>’</w:t>
      </w:r>
      <w:r w:rsidRPr="001B30C8">
        <w:rPr>
          <w:rFonts w:cs="Times New Roman"/>
          <w:lang w:val="fr-CA"/>
        </w:rPr>
        <w:t>avocat ont au départ semé la confusion dans l</w:t>
      </w:r>
      <w:r>
        <w:rPr>
          <w:rFonts w:cs="Times New Roman"/>
          <w:lang w:val="fr-CA"/>
        </w:rPr>
        <w:t>’</w:t>
      </w:r>
      <w:r w:rsidRPr="001B30C8">
        <w:rPr>
          <w:rFonts w:cs="Times New Roman"/>
          <w:lang w:val="fr-CA"/>
        </w:rPr>
        <w:t>esprit de M. Suter; (2) en fin de compte, l</w:t>
      </w:r>
      <w:r>
        <w:rPr>
          <w:rFonts w:cs="Times New Roman"/>
          <w:lang w:val="fr-CA"/>
        </w:rPr>
        <w:t>’</w:t>
      </w:r>
      <w:r w:rsidRPr="001B30C8">
        <w:rPr>
          <w:rFonts w:cs="Times New Roman"/>
          <w:lang w:val="fr-CA"/>
        </w:rPr>
        <w:t>avocat a expressément dit à M. Suter de ne pas fournir d</w:t>
      </w:r>
      <w:r>
        <w:rPr>
          <w:rFonts w:cs="Times New Roman"/>
          <w:lang w:val="fr-CA"/>
        </w:rPr>
        <w:t>’</w:t>
      </w:r>
      <w:r w:rsidRPr="001B30C8">
        <w:rPr>
          <w:rFonts w:cs="Times New Roman"/>
          <w:lang w:val="fr-CA"/>
        </w:rPr>
        <w:t>échantillon d</w:t>
      </w:r>
      <w:r>
        <w:rPr>
          <w:rFonts w:cs="Times New Roman"/>
          <w:lang w:val="fr-CA"/>
        </w:rPr>
        <w:t>’</w:t>
      </w:r>
      <w:r w:rsidRPr="001B30C8">
        <w:rPr>
          <w:rFonts w:cs="Times New Roman"/>
          <w:lang w:val="fr-CA"/>
        </w:rPr>
        <w:t>haleine à la police; (3) M. Suter a refusé de fournir à la police un échantillon d</w:t>
      </w:r>
      <w:r>
        <w:rPr>
          <w:rFonts w:cs="Times New Roman"/>
          <w:lang w:val="fr-CA"/>
        </w:rPr>
        <w:t>’</w:t>
      </w:r>
      <w:r w:rsidRPr="001B30C8">
        <w:rPr>
          <w:rFonts w:cs="Times New Roman"/>
          <w:lang w:val="fr-CA"/>
        </w:rPr>
        <w:t>haleine en raison des conseils que lui a donnés un avocat mal informé.</w:t>
      </w:r>
    </w:p>
    <w:p w:rsidR="001A0BA2" w:rsidRPr="001B30C8" w:rsidRDefault="001A0BA2" w:rsidP="001A0BA2">
      <w:pPr>
        <w:pStyle w:val="ParaNoNdepar-AltN"/>
        <w:rPr>
          <w:rFonts w:cs="Times New Roman"/>
          <w:lang w:val="fr-CA"/>
        </w:rPr>
      </w:pPr>
      <w:r w:rsidRPr="001B30C8">
        <w:rPr>
          <w:rFonts w:cs="Times New Roman"/>
          <w:lang w:val="fr-CA"/>
        </w:rPr>
        <w:t>Cependant — et cet élément est crucial —</w:t>
      </w:r>
      <w:r w:rsidR="00AD00F1">
        <w:rPr>
          <w:rFonts w:cs="Times New Roman"/>
          <w:lang w:val="fr-CA"/>
        </w:rPr>
        <w:t>,</w:t>
      </w:r>
      <w:r w:rsidRPr="001B30C8">
        <w:rPr>
          <w:rFonts w:cs="Times New Roman"/>
          <w:lang w:val="fr-CA"/>
        </w:rPr>
        <w:t xml:space="preserve"> le juge de la peine n</w:t>
      </w:r>
      <w:r>
        <w:rPr>
          <w:rFonts w:cs="Times New Roman"/>
          <w:lang w:val="fr-CA"/>
        </w:rPr>
        <w:t>’</w:t>
      </w:r>
      <w:r w:rsidRPr="001B30C8">
        <w:rPr>
          <w:rFonts w:cs="Times New Roman"/>
          <w:lang w:val="fr-CA"/>
        </w:rPr>
        <w:t xml:space="preserve">a tiré aucune conclusion expresse sur la question de savoir si M. Suter a cru sincèrement, </w:t>
      </w:r>
      <w:r w:rsidRPr="001B30C8">
        <w:rPr>
          <w:rFonts w:cs="Times New Roman"/>
          <w:lang w:val="fr-CA"/>
        </w:rPr>
        <w:lastRenderedPageBreak/>
        <w:t>mais à tort, qu</w:t>
      </w:r>
      <w:r>
        <w:rPr>
          <w:rFonts w:cs="Times New Roman"/>
          <w:lang w:val="fr-CA"/>
        </w:rPr>
        <w:t>’</w:t>
      </w:r>
      <w:r w:rsidRPr="001B30C8">
        <w:rPr>
          <w:rFonts w:cs="Times New Roman"/>
          <w:lang w:val="fr-CA"/>
        </w:rPr>
        <w:t>en refusant de fournir à la police un échantillon d</w:t>
      </w:r>
      <w:r>
        <w:rPr>
          <w:rFonts w:cs="Times New Roman"/>
          <w:lang w:val="fr-CA"/>
        </w:rPr>
        <w:t>’</w:t>
      </w:r>
      <w:r w:rsidRPr="001B30C8">
        <w:rPr>
          <w:rFonts w:cs="Times New Roman"/>
          <w:lang w:val="fr-CA"/>
        </w:rPr>
        <w:t xml:space="preserve">haleine, il ne commettait aucune infraction criminelle. Au paragraphe 76 de ses motifs, il affirme ce qui suit : </w:t>
      </w:r>
    </w:p>
    <w:p w:rsidR="001A0BA2" w:rsidRPr="001B30C8" w:rsidRDefault="001A0BA2" w:rsidP="001A0BA2">
      <w:pPr>
        <w:pStyle w:val="Citation-AltC"/>
        <w:tabs>
          <w:tab w:val="left" w:pos="1440"/>
        </w:tabs>
        <w:ind w:left="1168" w:hanging="1168"/>
        <w:contextualSpacing w:val="0"/>
        <w:rPr>
          <w:lang w:val="fr-CA"/>
        </w:rPr>
      </w:pPr>
      <w:r w:rsidRPr="001B30C8">
        <w:rPr>
          <w:lang w:val="fr-CA"/>
        </w:rPr>
        <w:tab/>
        <w:t>[</w:t>
      </w:r>
      <w:r w:rsidRPr="001B30C8">
        <w:rPr>
          <w:smallCaps/>
          <w:lang w:val="fr-CA"/>
        </w:rPr>
        <w:t>traduction</w:t>
      </w:r>
      <w:r w:rsidRPr="001B30C8">
        <w:rPr>
          <w:lang w:val="fr-CA"/>
        </w:rPr>
        <w:t>] En l</w:t>
      </w:r>
      <w:r>
        <w:rPr>
          <w:lang w:val="fr-CA"/>
        </w:rPr>
        <w:t>’</w:t>
      </w:r>
      <w:r w:rsidRPr="001B30C8">
        <w:rPr>
          <w:lang w:val="fr-CA"/>
        </w:rPr>
        <w:t>espèce, cependant, la Cour a accepté le témoignage de M. Suter à propos de ce que l</w:t>
      </w:r>
      <w:r>
        <w:rPr>
          <w:lang w:val="fr-CA"/>
        </w:rPr>
        <w:t>’</w:t>
      </w:r>
      <w:r w:rsidRPr="001B30C8">
        <w:rPr>
          <w:lang w:val="fr-CA"/>
        </w:rPr>
        <w:t>avocat lui a dit, et elle estime que le refus reposait sur le fait que l</w:t>
      </w:r>
      <w:r>
        <w:rPr>
          <w:lang w:val="fr-CA"/>
        </w:rPr>
        <w:t>’</w:t>
      </w:r>
      <w:r w:rsidRPr="001B30C8">
        <w:rPr>
          <w:lang w:val="fr-CA"/>
        </w:rPr>
        <w:t>avocat lui a dit expressément de ne pas fournir d</w:t>
      </w:r>
      <w:r>
        <w:rPr>
          <w:lang w:val="fr-CA"/>
        </w:rPr>
        <w:t>’</w:t>
      </w:r>
      <w:r w:rsidRPr="001B30C8">
        <w:rPr>
          <w:lang w:val="fr-CA"/>
        </w:rPr>
        <w:t>échantillon. Ce fait ne permet pas d</w:t>
      </w:r>
      <w:r>
        <w:rPr>
          <w:lang w:val="fr-CA"/>
        </w:rPr>
        <w:t>’</w:t>
      </w:r>
      <w:r w:rsidRPr="001B30C8">
        <w:rPr>
          <w:lang w:val="fr-CA"/>
        </w:rPr>
        <w:t>absoudre</w:t>
      </w:r>
      <w:r>
        <w:rPr>
          <w:noProof/>
          <w:lang w:val="fr-CA"/>
        </w:rPr>
        <w:t xml:space="preserve"> M. Sut</w:t>
      </w:r>
      <w:r w:rsidRPr="001B30C8">
        <w:rPr>
          <w:noProof/>
          <w:lang w:val="fr-CA"/>
        </w:rPr>
        <w:t>er, car l</w:t>
      </w:r>
      <w:r>
        <w:rPr>
          <w:noProof/>
          <w:lang w:val="fr-CA"/>
        </w:rPr>
        <w:t>’</w:t>
      </w:r>
      <w:r w:rsidRPr="001B30C8">
        <w:rPr>
          <w:noProof/>
          <w:lang w:val="fr-CA"/>
        </w:rPr>
        <w:t xml:space="preserve">erreur de droit ne constitue pas un moyen de défense, mais il </w:t>
      </w:r>
      <w:r w:rsidRPr="001B30C8">
        <w:rPr>
          <w:lang w:val="fr-CA"/>
        </w:rPr>
        <w:t xml:space="preserve">change de manière fondamentale la culpabilité morale de M. Suter. </w:t>
      </w:r>
    </w:p>
    <w:p w:rsidR="001A0BA2" w:rsidRPr="001B30C8" w:rsidRDefault="001A0BA2" w:rsidP="001A0BA2">
      <w:pPr>
        <w:pStyle w:val="ContinueParaSuitedupar-AltP"/>
        <w:rPr>
          <w:rFonts w:cs="Times New Roman"/>
          <w:lang w:val="fr-CA"/>
        </w:rPr>
      </w:pPr>
      <w:r w:rsidRPr="001B30C8">
        <w:rPr>
          <w:rFonts w:cs="Times New Roman"/>
          <w:lang w:val="fr-CA"/>
        </w:rPr>
        <w:t>En d</w:t>
      </w:r>
      <w:r>
        <w:rPr>
          <w:rFonts w:cs="Times New Roman"/>
          <w:lang w:val="fr-CA"/>
        </w:rPr>
        <w:t>’</w:t>
      </w:r>
      <w:r w:rsidRPr="001B30C8">
        <w:rPr>
          <w:rFonts w:cs="Times New Roman"/>
          <w:lang w:val="fr-CA"/>
        </w:rPr>
        <w:t xml:space="preserve">autres mots, le juge de la peine a accepté le témoignage de M. Suter à propos de </w:t>
      </w:r>
      <w:r w:rsidRPr="001B30C8">
        <w:rPr>
          <w:rFonts w:cs="Times New Roman"/>
          <w:i/>
          <w:lang w:val="fr-CA"/>
        </w:rPr>
        <w:t>ce que l</w:t>
      </w:r>
      <w:r>
        <w:rPr>
          <w:rFonts w:cs="Times New Roman"/>
          <w:i/>
          <w:lang w:val="fr-CA"/>
        </w:rPr>
        <w:t>’</w:t>
      </w:r>
      <w:r w:rsidRPr="001B30C8">
        <w:rPr>
          <w:rFonts w:cs="Times New Roman"/>
          <w:i/>
          <w:lang w:val="fr-CA"/>
        </w:rPr>
        <w:t>avocat du genre visé dans Brydges lui a dit</w:t>
      </w:r>
      <w:r w:rsidRPr="001B30C8">
        <w:rPr>
          <w:rFonts w:cs="Times New Roman"/>
          <w:lang w:val="fr-CA"/>
        </w:rPr>
        <w:t xml:space="preserve"> (de ne pas fournir d</w:t>
      </w:r>
      <w:r>
        <w:rPr>
          <w:rFonts w:cs="Times New Roman"/>
          <w:lang w:val="fr-CA"/>
        </w:rPr>
        <w:t>’</w:t>
      </w:r>
      <w:r w:rsidRPr="001B30C8">
        <w:rPr>
          <w:rFonts w:cs="Times New Roman"/>
          <w:lang w:val="fr-CA"/>
        </w:rPr>
        <w:t>échantillon d</w:t>
      </w:r>
      <w:r>
        <w:rPr>
          <w:rFonts w:cs="Times New Roman"/>
          <w:lang w:val="fr-CA"/>
        </w:rPr>
        <w:t>’</w:t>
      </w:r>
      <w:r w:rsidRPr="001B30C8">
        <w:rPr>
          <w:rFonts w:cs="Times New Roman"/>
          <w:lang w:val="fr-CA"/>
        </w:rPr>
        <w:t>haleine). Il a aussi accepté que le refus de M. Suter reposait sur les instructions expresses de l</w:t>
      </w:r>
      <w:r>
        <w:rPr>
          <w:rFonts w:cs="Times New Roman"/>
          <w:lang w:val="fr-CA"/>
        </w:rPr>
        <w:t>’</w:t>
      </w:r>
      <w:r w:rsidRPr="001B30C8">
        <w:rPr>
          <w:rFonts w:cs="Times New Roman"/>
          <w:lang w:val="fr-CA"/>
        </w:rPr>
        <w:t>avocat en question. Il a ensuite statué que ces éléments constituaient une erreur de droit et qu</w:t>
      </w:r>
      <w:r>
        <w:rPr>
          <w:rFonts w:cs="Times New Roman"/>
          <w:lang w:val="fr-CA"/>
        </w:rPr>
        <w:t>’</w:t>
      </w:r>
      <w:r w:rsidRPr="001B30C8">
        <w:rPr>
          <w:rFonts w:cs="Times New Roman"/>
          <w:lang w:val="fr-CA"/>
        </w:rPr>
        <w:t xml:space="preserve">ils changeaient donc de manière fondamentale la culpabilité morale de M. Suter. </w:t>
      </w:r>
    </w:p>
    <w:p w:rsidR="001A0BA2" w:rsidRPr="001B30C8" w:rsidRDefault="001A0BA2" w:rsidP="001A0BA2">
      <w:pPr>
        <w:pStyle w:val="ParaNoNdepar-AltN"/>
        <w:rPr>
          <w:rFonts w:cs="Times New Roman"/>
          <w:lang w:val="fr-CA"/>
        </w:rPr>
      </w:pPr>
      <w:r w:rsidRPr="001B30C8">
        <w:rPr>
          <w:rFonts w:cs="Times New Roman"/>
          <w:lang w:val="fr-CA"/>
        </w:rPr>
        <w:t>Soit dit en tout respect, c</w:t>
      </w:r>
      <w:r>
        <w:rPr>
          <w:rFonts w:cs="Times New Roman"/>
          <w:lang w:val="fr-CA"/>
        </w:rPr>
        <w:t>’</w:t>
      </w:r>
      <w:r w:rsidRPr="001B30C8">
        <w:rPr>
          <w:rFonts w:cs="Times New Roman"/>
          <w:lang w:val="fr-CA"/>
        </w:rPr>
        <w:t>est là que le juge de la peine a fait erreur. Ces deux éléments ne satisfont pas à eux seuls aux exigences de l</w:t>
      </w:r>
      <w:r>
        <w:rPr>
          <w:rFonts w:cs="Times New Roman"/>
          <w:lang w:val="fr-CA"/>
        </w:rPr>
        <w:t>’</w:t>
      </w:r>
      <w:r w:rsidRPr="001B30C8">
        <w:rPr>
          <w:rFonts w:cs="Times New Roman"/>
          <w:lang w:val="fr-CA"/>
        </w:rPr>
        <w:t>erreur de droit. Comme nous l</w:t>
      </w:r>
      <w:r>
        <w:rPr>
          <w:rFonts w:cs="Times New Roman"/>
          <w:lang w:val="fr-CA"/>
        </w:rPr>
        <w:t>’</w:t>
      </w:r>
      <w:r w:rsidRPr="001B30C8">
        <w:rPr>
          <w:rFonts w:cs="Times New Roman"/>
          <w:lang w:val="fr-CA"/>
        </w:rPr>
        <w:t>avons vu, il aurait fallu que le juge conclue en outre que M. Suter croyait sincèrement, mais à tort, qu</w:t>
      </w:r>
      <w:r>
        <w:rPr>
          <w:rFonts w:cs="Times New Roman"/>
          <w:lang w:val="fr-CA"/>
        </w:rPr>
        <w:t>’</w:t>
      </w:r>
      <w:r w:rsidRPr="001B30C8">
        <w:rPr>
          <w:rFonts w:cs="Times New Roman"/>
          <w:lang w:val="fr-CA"/>
        </w:rPr>
        <w:t>en refusant de fournir un échantillon d</w:t>
      </w:r>
      <w:r>
        <w:rPr>
          <w:rFonts w:cs="Times New Roman"/>
          <w:lang w:val="fr-CA"/>
        </w:rPr>
        <w:t>’</w:t>
      </w:r>
      <w:r w:rsidRPr="001B30C8">
        <w:rPr>
          <w:rFonts w:cs="Times New Roman"/>
          <w:lang w:val="fr-CA"/>
        </w:rPr>
        <w:t>haleine, il ne commettait pas une infraction criminelle. À cet égard, il convient de rappeler que l</w:t>
      </w:r>
      <w:r>
        <w:rPr>
          <w:rFonts w:cs="Times New Roman"/>
          <w:lang w:val="fr-CA"/>
        </w:rPr>
        <w:t>’</w:t>
      </w:r>
      <w:r w:rsidRPr="001B30C8">
        <w:rPr>
          <w:rFonts w:cs="Times New Roman"/>
          <w:lang w:val="fr-CA"/>
        </w:rPr>
        <w:t>accusé qui invoque l</w:t>
      </w:r>
      <w:r>
        <w:rPr>
          <w:rFonts w:cs="Times New Roman"/>
          <w:lang w:val="fr-CA"/>
        </w:rPr>
        <w:t>’</w:t>
      </w:r>
      <w:r w:rsidRPr="001B30C8">
        <w:rPr>
          <w:rFonts w:cs="Times New Roman"/>
          <w:lang w:val="fr-CA"/>
        </w:rPr>
        <w:t>erreur de droit comme facteur atténuant au moment de la détermination de la peine doit démontrer, selon la prépondérance des probabilités, que les éléments constitutifs de l</w:t>
      </w:r>
      <w:r>
        <w:rPr>
          <w:rFonts w:cs="Times New Roman"/>
          <w:lang w:val="fr-CA"/>
        </w:rPr>
        <w:t>’</w:t>
      </w:r>
      <w:r w:rsidRPr="001B30C8">
        <w:rPr>
          <w:rFonts w:cs="Times New Roman"/>
          <w:lang w:val="fr-CA"/>
        </w:rPr>
        <w:t>erreur de droit sont établis.</w:t>
      </w:r>
    </w:p>
    <w:p w:rsidR="001A0BA2" w:rsidRPr="001B30C8" w:rsidRDefault="001A0BA2" w:rsidP="001A0BA2">
      <w:pPr>
        <w:pStyle w:val="ParaNoNdepar-AltN"/>
        <w:rPr>
          <w:rFonts w:cs="Times New Roman"/>
          <w:lang w:val="fr-CA"/>
        </w:rPr>
      </w:pPr>
      <w:r w:rsidRPr="001B30C8">
        <w:rPr>
          <w:rFonts w:cs="Times New Roman"/>
          <w:lang w:val="fr-CA"/>
        </w:rPr>
        <w:lastRenderedPageBreak/>
        <w:t>Selon le dossier qui lui a été présenté, la Cour n</w:t>
      </w:r>
      <w:r>
        <w:rPr>
          <w:rFonts w:cs="Times New Roman"/>
          <w:lang w:val="fr-CA"/>
        </w:rPr>
        <w:t>’</w:t>
      </w:r>
      <w:r w:rsidRPr="001B30C8">
        <w:rPr>
          <w:rFonts w:cs="Times New Roman"/>
          <w:lang w:val="fr-CA"/>
        </w:rPr>
        <w:t>est pas en mesure d</w:t>
      </w:r>
      <w:r>
        <w:rPr>
          <w:rFonts w:cs="Times New Roman"/>
          <w:lang w:val="fr-CA"/>
        </w:rPr>
        <w:t>’</w:t>
      </w:r>
      <w:r w:rsidRPr="001B30C8">
        <w:rPr>
          <w:rFonts w:cs="Times New Roman"/>
          <w:lang w:val="fr-CA"/>
        </w:rPr>
        <w:t>inférer que le juge de la peine a conclu implicitement que M. Suter croyait sincèrement, mais à tort, à la légalité de son refus. Bien que M. Suter ait témoigné qu</w:t>
      </w:r>
      <w:r>
        <w:rPr>
          <w:rFonts w:cs="Times New Roman"/>
          <w:lang w:val="fr-CA"/>
        </w:rPr>
        <w:t>’</w:t>
      </w:r>
      <w:r w:rsidRPr="001B30C8">
        <w:rPr>
          <w:rFonts w:cs="Times New Roman"/>
          <w:lang w:val="fr-CA"/>
        </w:rPr>
        <w:t>il pensait avoir [</w:t>
      </w:r>
      <w:r w:rsidRPr="001B30C8">
        <w:rPr>
          <w:rFonts w:cs="Times New Roman"/>
          <w:smallCaps/>
          <w:lang w:val="fr-CA"/>
        </w:rPr>
        <w:t>traduction</w:t>
      </w:r>
      <w:r w:rsidRPr="001B30C8">
        <w:rPr>
          <w:rFonts w:cs="Times New Roman"/>
          <w:lang w:val="fr-CA"/>
        </w:rPr>
        <w:t>] « le droit de ne pas fournir d</w:t>
      </w:r>
      <w:r>
        <w:rPr>
          <w:rFonts w:cs="Times New Roman"/>
          <w:lang w:val="fr-CA"/>
        </w:rPr>
        <w:t>’</w:t>
      </w:r>
      <w:r w:rsidRPr="001B30C8">
        <w:rPr>
          <w:rFonts w:cs="Times New Roman"/>
          <w:lang w:val="fr-CA"/>
        </w:rPr>
        <w:t>échantillon » et qu</w:t>
      </w:r>
      <w:r>
        <w:rPr>
          <w:rFonts w:cs="Times New Roman"/>
          <w:lang w:val="fr-CA"/>
        </w:rPr>
        <w:t>’</w:t>
      </w:r>
      <w:r w:rsidRPr="001B30C8">
        <w:rPr>
          <w:rFonts w:cs="Times New Roman"/>
          <w:lang w:val="fr-CA"/>
        </w:rPr>
        <w:t>il ne croyait pas que l</w:t>
      </w:r>
      <w:r>
        <w:rPr>
          <w:rFonts w:cs="Times New Roman"/>
          <w:lang w:val="fr-CA"/>
        </w:rPr>
        <w:t>’</w:t>
      </w:r>
      <w:r w:rsidRPr="001B30C8">
        <w:rPr>
          <w:rFonts w:cs="Times New Roman"/>
          <w:lang w:val="fr-CA"/>
        </w:rPr>
        <w:t>avocat lui aurait dit de faire quelque chose d</w:t>
      </w:r>
      <w:r>
        <w:rPr>
          <w:rFonts w:cs="Times New Roman"/>
          <w:lang w:val="fr-CA"/>
        </w:rPr>
        <w:t>’</w:t>
      </w:r>
      <w:r w:rsidRPr="001B30C8">
        <w:rPr>
          <w:rFonts w:cs="Times New Roman"/>
          <w:lang w:val="fr-CA"/>
        </w:rPr>
        <w:t>illégal, ce témoignage doit être apprécié en fonction des autres éléments de preuve produits à l</w:t>
      </w:r>
      <w:r>
        <w:rPr>
          <w:rFonts w:cs="Times New Roman"/>
          <w:lang w:val="fr-CA"/>
        </w:rPr>
        <w:t>’</w:t>
      </w:r>
      <w:r w:rsidRPr="001B30C8">
        <w:rPr>
          <w:rFonts w:cs="Times New Roman"/>
          <w:lang w:val="fr-CA"/>
        </w:rPr>
        <w:t>audience de détermination de la peine et, ce qui est tout aussi important, en fonction des éléments de preuve qui n</w:t>
      </w:r>
      <w:r>
        <w:rPr>
          <w:rFonts w:cs="Times New Roman"/>
          <w:lang w:val="fr-CA"/>
        </w:rPr>
        <w:t>’</w:t>
      </w:r>
      <w:r w:rsidRPr="001B30C8">
        <w:rPr>
          <w:rFonts w:cs="Times New Roman"/>
          <w:lang w:val="fr-CA"/>
        </w:rPr>
        <w:t>ont pas été produits.</w:t>
      </w:r>
    </w:p>
    <w:p w:rsidR="001A0BA2" w:rsidRPr="001B30C8" w:rsidRDefault="001A0BA2" w:rsidP="001A0BA2">
      <w:pPr>
        <w:pStyle w:val="ParaNoNdepar-AltN"/>
        <w:rPr>
          <w:rFonts w:cs="Times New Roman"/>
          <w:lang w:val="fr-CA"/>
        </w:rPr>
      </w:pPr>
      <w:r w:rsidRPr="001B30C8">
        <w:rPr>
          <w:rFonts w:cs="Times New Roman"/>
          <w:lang w:val="fr-CA"/>
        </w:rPr>
        <w:t>Rien dans le dossier n</w:t>
      </w:r>
      <w:r>
        <w:rPr>
          <w:rFonts w:cs="Times New Roman"/>
          <w:lang w:val="fr-CA"/>
        </w:rPr>
        <w:t>’</w:t>
      </w:r>
      <w:r w:rsidRPr="001B30C8">
        <w:rPr>
          <w:rFonts w:cs="Times New Roman"/>
          <w:lang w:val="fr-CA"/>
        </w:rPr>
        <w:t>indique que l</w:t>
      </w:r>
      <w:r>
        <w:rPr>
          <w:rFonts w:cs="Times New Roman"/>
          <w:lang w:val="fr-CA"/>
        </w:rPr>
        <w:t>’</w:t>
      </w:r>
      <w:r w:rsidRPr="001B30C8">
        <w:rPr>
          <w:rFonts w:cs="Times New Roman"/>
          <w:lang w:val="fr-CA"/>
        </w:rPr>
        <w:t>avocat a dit à M. Suter que le fait de refuser de fournir un échantillon d</w:t>
      </w:r>
      <w:r>
        <w:rPr>
          <w:rFonts w:cs="Times New Roman"/>
          <w:lang w:val="fr-CA"/>
        </w:rPr>
        <w:t>’</w:t>
      </w:r>
      <w:r w:rsidRPr="001B30C8">
        <w:rPr>
          <w:rFonts w:cs="Times New Roman"/>
          <w:lang w:val="fr-CA"/>
        </w:rPr>
        <w:t>haleine à la police ne constituait pas une infraction, et l</w:t>
      </w:r>
      <w:r>
        <w:rPr>
          <w:rFonts w:cs="Times New Roman"/>
          <w:lang w:val="fr-CA"/>
        </w:rPr>
        <w:t>’</w:t>
      </w:r>
      <w:r w:rsidRPr="001B30C8">
        <w:rPr>
          <w:rFonts w:cs="Times New Roman"/>
          <w:lang w:val="fr-CA"/>
        </w:rPr>
        <w:t>avocat n</w:t>
      </w:r>
      <w:r>
        <w:rPr>
          <w:rFonts w:cs="Times New Roman"/>
          <w:lang w:val="fr-CA"/>
        </w:rPr>
        <w:t>’</w:t>
      </w:r>
      <w:r w:rsidRPr="001B30C8">
        <w:rPr>
          <w:rFonts w:cs="Times New Roman"/>
          <w:lang w:val="fr-CA"/>
        </w:rPr>
        <w:t>a pas non plus informé M. Suter qu</w:t>
      </w:r>
      <w:r>
        <w:rPr>
          <w:rFonts w:cs="Times New Roman"/>
          <w:lang w:val="fr-CA"/>
        </w:rPr>
        <w:t>’</w:t>
      </w:r>
      <w:r w:rsidRPr="001B30C8">
        <w:rPr>
          <w:rFonts w:cs="Times New Roman"/>
          <w:lang w:val="fr-CA"/>
        </w:rPr>
        <w:t>il était légalement justifié de refuser de le faire, parce que, par exemple : (1) la police n</w:t>
      </w:r>
      <w:r>
        <w:rPr>
          <w:rFonts w:cs="Times New Roman"/>
          <w:lang w:val="fr-CA"/>
        </w:rPr>
        <w:t>’</w:t>
      </w:r>
      <w:r w:rsidRPr="001B30C8">
        <w:rPr>
          <w:rFonts w:cs="Times New Roman"/>
          <w:lang w:val="fr-CA"/>
        </w:rPr>
        <w:t>avait pas de motifs raisonnables d</w:t>
      </w:r>
      <w:r>
        <w:rPr>
          <w:rFonts w:cs="Times New Roman"/>
          <w:lang w:val="fr-CA"/>
        </w:rPr>
        <w:t>’</w:t>
      </w:r>
      <w:r w:rsidRPr="001B30C8">
        <w:rPr>
          <w:rFonts w:cs="Times New Roman"/>
          <w:lang w:val="fr-CA"/>
        </w:rPr>
        <w:t>exiger un échantillon d</w:t>
      </w:r>
      <w:r>
        <w:rPr>
          <w:rFonts w:cs="Times New Roman"/>
          <w:lang w:val="fr-CA"/>
        </w:rPr>
        <w:t>’</w:t>
      </w:r>
      <w:r w:rsidRPr="001B30C8">
        <w:rPr>
          <w:rFonts w:cs="Times New Roman"/>
          <w:lang w:val="fr-CA"/>
        </w:rPr>
        <w:t>haleine ou (2) un empêchement d</w:t>
      </w:r>
      <w:r>
        <w:rPr>
          <w:rFonts w:cs="Times New Roman"/>
          <w:lang w:val="fr-CA"/>
        </w:rPr>
        <w:t>’</w:t>
      </w:r>
      <w:r w:rsidRPr="001B30C8">
        <w:rPr>
          <w:rFonts w:cs="Times New Roman"/>
          <w:lang w:val="fr-CA"/>
        </w:rPr>
        <w:t>ordre médical justifiait son refus. En clair, il ne faut pas entendre par là qu</w:t>
      </w:r>
      <w:r>
        <w:rPr>
          <w:rFonts w:cs="Times New Roman"/>
          <w:lang w:val="fr-CA"/>
        </w:rPr>
        <w:t>’</w:t>
      </w:r>
      <w:r w:rsidRPr="001B30C8">
        <w:rPr>
          <w:rFonts w:cs="Times New Roman"/>
          <w:lang w:val="fr-CA"/>
        </w:rPr>
        <w:t>il ne peut être satisfait aux exigences de l</w:t>
      </w:r>
      <w:r>
        <w:rPr>
          <w:rFonts w:cs="Times New Roman"/>
          <w:lang w:val="fr-CA"/>
        </w:rPr>
        <w:t>’</w:t>
      </w:r>
      <w:r w:rsidRPr="001B30C8">
        <w:rPr>
          <w:rFonts w:cs="Times New Roman"/>
          <w:lang w:val="fr-CA"/>
        </w:rPr>
        <w:t>erreur de droit que lorsque l</w:t>
      </w:r>
      <w:r>
        <w:rPr>
          <w:rFonts w:cs="Times New Roman"/>
          <w:lang w:val="fr-CA"/>
        </w:rPr>
        <w:t>’</w:t>
      </w:r>
      <w:r w:rsidRPr="001B30C8">
        <w:rPr>
          <w:rFonts w:cs="Times New Roman"/>
          <w:lang w:val="fr-CA"/>
        </w:rPr>
        <w:t>accusé croit que sa conduite est légale, et qu</w:t>
      </w:r>
      <w:r>
        <w:rPr>
          <w:rFonts w:cs="Times New Roman"/>
          <w:lang w:val="fr-CA"/>
        </w:rPr>
        <w:t>’</w:t>
      </w:r>
      <w:r w:rsidRPr="001B30C8">
        <w:rPr>
          <w:rFonts w:cs="Times New Roman"/>
          <w:lang w:val="fr-CA"/>
        </w:rPr>
        <w:t>il connaît aussi le fondement juridique de sa légalité. Ce que je veux plutôt dire c</w:t>
      </w:r>
      <w:r>
        <w:rPr>
          <w:rFonts w:cs="Times New Roman"/>
          <w:lang w:val="fr-CA"/>
        </w:rPr>
        <w:t>’</w:t>
      </w:r>
      <w:r w:rsidRPr="001B30C8">
        <w:rPr>
          <w:rFonts w:cs="Times New Roman"/>
          <w:lang w:val="fr-CA"/>
        </w:rPr>
        <w:t>est que, s</w:t>
      </w:r>
      <w:r>
        <w:rPr>
          <w:rFonts w:cs="Times New Roman"/>
          <w:lang w:val="fr-CA"/>
        </w:rPr>
        <w:t>’</w:t>
      </w:r>
      <w:r w:rsidRPr="001B30C8">
        <w:rPr>
          <w:rFonts w:cs="Times New Roman"/>
          <w:lang w:val="fr-CA"/>
        </w:rPr>
        <w:t>il y avait des éléments de preuve selon lesquels l</w:t>
      </w:r>
      <w:r>
        <w:rPr>
          <w:rFonts w:cs="Times New Roman"/>
          <w:lang w:val="fr-CA"/>
        </w:rPr>
        <w:t>’</w:t>
      </w:r>
      <w:r w:rsidRPr="001B30C8">
        <w:rPr>
          <w:rFonts w:cs="Times New Roman"/>
          <w:lang w:val="fr-CA"/>
        </w:rPr>
        <w:t>avocat avait fourni une telle explication, nous pourrions inférer avec plus de certitude que M. Suter croyait sincèrement à la légalité de sa conduite, malgré l</w:t>
      </w:r>
      <w:r>
        <w:rPr>
          <w:rFonts w:cs="Times New Roman"/>
          <w:lang w:val="fr-CA"/>
        </w:rPr>
        <w:t>’</w:t>
      </w:r>
      <w:r w:rsidRPr="001B30C8">
        <w:rPr>
          <w:rFonts w:cs="Times New Roman"/>
          <w:lang w:val="fr-CA"/>
        </w:rPr>
        <w:t>omission du juge de la peine de tirer une conclusion expresse à cet égard. D</w:t>
      </w:r>
      <w:r>
        <w:rPr>
          <w:rFonts w:cs="Times New Roman"/>
          <w:lang w:val="fr-CA"/>
        </w:rPr>
        <w:t>’</w:t>
      </w:r>
      <w:r w:rsidRPr="001B30C8">
        <w:rPr>
          <w:rFonts w:cs="Times New Roman"/>
          <w:lang w:val="fr-CA"/>
        </w:rPr>
        <w:t>ailleurs, l</w:t>
      </w:r>
      <w:r>
        <w:rPr>
          <w:rFonts w:cs="Times New Roman"/>
          <w:lang w:val="fr-CA"/>
        </w:rPr>
        <w:t>’</w:t>
      </w:r>
      <w:r w:rsidRPr="001B30C8">
        <w:rPr>
          <w:rFonts w:cs="Times New Roman"/>
          <w:lang w:val="fr-CA"/>
        </w:rPr>
        <w:t>avocat a témoigné — et il n</w:t>
      </w:r>
      <w:r>
        <w:rPr>
          <w:rFonts w:cs="Times New Roman"/>
          <w:lang w:val="fr-CA"/>
        </w:rPr>
        <w:t>’</w:t>
      </w:r>
      <w:r w:rsidRPr="001B30C8">
        <w:rPr>
          <w:rFonts w:cs="Times New Roman"/>
          <w:lang w:val="fr-CA"/>
        </w:rPr>
        <w:t>est pas contesté — que les instructions qu</w:t>
      </w:r>
      <w:r>
        <w:rPr>
          <w:rFonts w:cs="Times New Roman"/>
          <w:lang w:val="fr-CA"/>
        </w:rPr>
        <w:t>’</w:t>
      </w:r>
      <w:r w:rsidRPr="001B30C8">
        <w:rPr>
          <w:rFonts w:cs="Times New Roman"/>
          <w:lang w:val="fr-CA"/>
        </w:rPr>
        <w:t>il avait données à M. Suter relevaient d</w:t>
      </w:r>
      <w:r>
        <w:rPr>
          <w:rFonts w:cs="Times New Roman"/>
          <w:lang w:val="fr-CA"/>
        </w:rPr>
        <w:t>’</w:t>
      </w:r>
      <w:r w:rsidRPr="001B30C8">
        <w:rPr>
          <w:rFonts w:cs="Times New Roman"/>
          <w:lang w:val="fr-CA"/>
        </w:rPr>
        <w:t>un choix stratégique fait à partir d</w:t>
      </w:r>
      <w:r>
        <w:rPr>
          <w:rFonts w:cs="Times New Roman"/>
          <w:lang w:val="fr-CA"/>
        </w:rPr>
        <w:t>’</w:t>
      </w:r>
      <w:r w:rsidRPr="001B30C8">
        <w:rPr>
          <w:rFonts w:cs="Times New Roman"/>
          <w:lang w:val="fr-CA"/>
        </w:rPr>
        <w:t>une mauvaise compréhension de l</w:t>
      </w:r>
      <w:r>
        <w:rPr>
          <w:rFonts w:cs="Times New Roman"/>
          <w:lang w:val="fr-CA"/>
        </w:rPr>
        <w:t>’</w:t>
      </w:r>
      <w:r w:rsidRPr="001B30C8">
        <w:rPr>
          <w:rFonts w:cs="Times New Roman"/>
          <w:lang w:val="fr-CA"/>
        </w:rPr>
        <w:t>état actuel du droit. En conséquence, il est également possible d</w:t>
      </w:r>
      <w:r>
        <w:rPr>
          <w:rFonts w:cs="Times New Roman"/>
          <w:lang w:val="fr-CA"/>
        </w:rPr>
        <w:t>’</w:t>
      </w:r>
      <w:r w:rsidRPr="001B30C8">
        <w:rPr>
          <w:rFonts w:cs="Times New Roman"/>
          <w:lang w:val="fr-CA"/>
        </w:rPr>
        <w:t>inférer que les instructions de l</w:t>
      </w:r>
      <w:r>
        <w:rPr>
          <w:rFonts w:cs="Times New Roman"/>
          <w:lang w:val="fr-CA"/>
        </w:rPr>
        <w:t>’</w:t>
      </w:r>
      <w:r w:rsidRPr="001B30C8">
        <w:rPr>
          <w:rFonts w:cs="Times New Roman"/>
          <w:lang w:val="fr-CA"/>
        </w:rPr>
        <w:t xml:space="preserve">avocat de refuser de fournir un </w:t>
      </w:r>
      <w:r w:rsidRPr="001B30C8">
        <w:rPr>
          <w:rFonts w:cs="Times New Roman"/>
          <w:lang w:val="fr-CA"/>
        </w:rPr>
        <w:lastRenderedPageBreak/>
        <w:t>échantillon d</w:t>
      </w:r>
      <w:r>
        <w:rPr>
          <w:rFonts w:cs="Times New Roman"/>
          <w:lang w:val="fr-CA"/>
        </w:rPr>
        <w:t>’</w:t>
      </w:r>
      <w:r w:rsidRPr="001B30C8">
        <w:rPr>
          <w:rFonts w:cs="Times New Roman"/>
          <w:lang w:val="fr-CA"/>
        </w:rPr>
        <w:t>haleine relevaient d</w:t>
      </w:r>
      <w:r>
        <w:rPr>
          <w:rFonts w:cs="Times New Roman"/>
          <w:lang w:val="fr-CA"/>
        </w:rPr>
        <w:t>’</w:t>
      </w:r>
      <w:r w:rsidRPr="001B30C8">
        <w:rPr>
          <w:rFonts w:cs="Times New Roman"/>
          <w:lang w:val="fr-CA"/>
        </w:rPr>
        <w:t>une stratégie en matière de détermination de la peine, ce qui suppose une conscience de l</w:t>
      </w:r>
      <w:r>
        <w:rPr>
          <w:rFonts w:cs="Times New Roman"/>
          <w:lang w:val="fr-CA"/>
        </w:rPr>
        <w:t>’</w:t>
      </w:r>
      <w:r w:rsidRPr="001B30C8">
        <w:rPr>
          <w:rFonts w:cs="Times New Roman"/>
          <w:lang w:val="fr-CA"/>
        </w:rPr>
        <w:t xml:space="preserve">illégalité du refus de fournir un tel échantillon. </w:t>
      </w:r>
    </w:p>
    <w:p w:rsidR="001A0BA2" w:rsidRPr="001B30C8" w:rsidRDefault="001A0BA2" w:rsidP="001A0BA2">
      <w:pPr>
        <w:pStyle w:val="ParaNoNdepar-AltN"/>
        <w:tabs>
          <w:tab w:val="clear" w:pos="1152"/>
          <w:tab w:val="left" w:pos="1166"/>
        </w:tabs>
        <w:rPr>
          <w:rFonts w:cs="Times New Roman"/>
          <w:lang w:val="fr-CA"/>
        </w:rPr>
      </w:pPr>
      <w:r w:rsidRPr="001B30C8">
        <w:rPr>
          <w:rFonts w:cs="Times New Roman"/>
          <w:lang w:val="fr-CA"/>
        </w:rPr>
        <w:t>De plus, M. Suter a admis que l</w:t>
      </w:r>
      <w:r>
        <w:rPr>
          <w:rFonts w:cs="Times New Roman"/>
          <w:lang w:val="fr-CA"/>
        </w:rPr>
        <w:t>’</w:t>
      </w:r>
      <w:r w:rsidRPr="001B30C8">
        <w:rPr>
          <w:rFonts w:cs="Times New Roman"/>
          <w:lang w:val="fr-CA"/>
        </w:rPr>
        <w:t>agent de police lui avait dit que le refus de fournir un échantillon d</w:t>
      </w:r>
      <w:r>
        <w:rPr>
          <w:rFonts w:cs="Times New Roman"/>
          <w:lang w:val="fr-CA"/>
        </w:rPr>
        <w:t>’</w:t>
      </w:r>
      <w:r w:rsidRPr="001B30C8">
        <w:rPr>
          <w:rFonts w:cs="Times New Roman"/>
          <w:lang w:val="fr-CA"/>
        </w:rPr>
        <w:t>haleine constituait une infraction. Bien entendu, on peut comprendre, en particulier dans le contexte d</w:t>
      </w:r>
      <w:r>
        <w:rPr>
          <w:rFonts w:cs="Times New Roman"/>
          <w:lang w:val="fr-CA"/>
        </w:rPr>
        <w:t>’</w:t>
      </w:r>
      <w:r w:rsidRPr="001B30C8">
        <w:rPr>
          <w:rFonts w:cs="Times New Roman"/>
          <w:lang w:val="fr-CA"/>
        </w:rPr>
        <w:t>une arrestation, qu</w:t>
      </w:r>
      <w:r>
        <w:rPr>
          <w:rFonts w:cs="Times New Roman"/>
          <w:lang w:val="fr-CA"/>
        </w:rPr>
        <w:t>’</w:t>
      </w:r>
      <w:r w:rsidRPr="001B30C8">
        <w:rPr>
          <w:rFonts w:cs="Times New Roman"/>
          <w:lang w:val="fr-CA"/>
        </w:rPr>
        <w:t>un détenu décide de suivre les conseils de son avocat — qui partage le même intérêt que lui — plutôt que ceux d</w:t>
      </w:r>
      <w:r>
        <w:rPr>
          <w:rFonts w:cs="Times New Roman"/>
          <w:lang w:val="fr-CA"/>
        </w:rPr>
        <w:t>’</w:t>
      </w:r>
      <w:r w:rsidRPr="001B30C8">
        <w:rPr>
          <w:rFonts w:cs="Times New Roman"/>
          <w:lang w:val="fr-CA"/>
        </w:rPr>
        <w:t>un policier. Je ne mentionne cet aveu de M. Suter que pour souligner qu</w:t>
      </w:r>
      <w:r>
        <w:rPr>
          <w:rFonts w:cs="Times New Roman"/>
          <w:lang w:val="fr-CA"/>
        </w:rPr>
        <w:t>’</w:t>
      </w:r>
      <w:r w:rsidRPr="001B30C8">
        <w:rPr>
          <w:rFonts w:cs="Times New Roman"/>
          <w:lang w:val="fr-CA"/>
        </w:rPr>
        <w:t>il n</w:t>
      </w:r>
      <w:r>
        <w:rPr>
          <w:rFonts w:cs="Times New Roman"/>
          <w:lang w:val="fr-CA"/>
        </w:rPr>
        <w:t>’</w:t>
      </w:r>
      <w:r w:rsidRPr="001B30C8">
        <w:rPr>
          <w:rFonts w:cs="Times New Roman"/>
          <w:lang w:val="fr-CA"/>
        </w:rPr>
        <w:t>a vraisemblablement pas été pris au dépourvu par le fait que le refus de fournir un échantillon d</w:t>
      </w:r>
      <w:r>
        <w:rPr>
          <w:rFonts w:cs="Times New Roman"/>
          <w:lang w:val="fr-CA"/>
        </w:rPr>
        <w:t>’</w:t>
      </w:r>
      <w:r w:rsidRPr="001B30C8">
        <w:rPr>
          <w:rFonts w:cs="Times New Roman"/>
          <w:lang w:val="fr-CA"/>
        </w:rPr>
        <w:t>haleine puisse constituer une infraction criminelle. Quoi qu</w:t>
      </w:r>
      <w:r>
        <w:rPr>
          <w:rFonts w:cs="Times New Roman"/>
          <w:lang w:val="fr-CA"/>
        </w:rPr>
        <w:t>’</w:t>
      </w:r>
      <w:r w:rsidRPr="001B30C8">
        <w:rPr>
          <w:rFonts w:cs="Times New Roman"/>
          <w:lang w:val="fr-CA"/>
        </w:rPr>
        <w:t>il en soit, l</w:t>
      </w:r>
      <w:r>
        <w:rPr>
          <w:rFonts w:cs="Times New Roman"/>
          <w:lang w:val="fr-CA"/>
        </w:rPr>
        <w:t>’</w:t>
      </w:r>
      <w:r w:rsidRPr="001B30C8">
        <w:rPr>
          <w:rFonts w:cs="Times New Roman"/>
          <w:lang w:val="fr-CA"/>
        </w:rPr>
        <w:t>erreur de droit repose sur la croyance subjective de l</w:t>
      </w:r>
      <w:r>
        <w:rPr>
          <w:rFonts w:cs="Times New Roman"/>
          <w:lang w:val="fr-CA"/>
        </w:rPr>
        <w:t>’</w:t>
      </w:r>
      <w:r w:rsidRPr="001B30C8">
        <w:rPr>
          <w:rFonts w:cs="Times New Roman"/>
          <w:lang w:val="fr-CA"/>
        </w:rPr>
        <w:t>accusé à la légalité de sa conduite. Bien que les instructions d</w:t>
      </w:r>
      <w:r>
        <w:rPr>
          <w:rFonts w:cs="Times New Roman"/>
          <w:lang w:val="fr-CA"/>
        </w:rPr>
        <w:t>’</w:t>
      </w:r>
      <w:r w:rsidRPr="001B30C8">
        <w:rPr>
          <w:rFonts w:cs="Times New Roman"/>
          <w:lang w:val="fr-CA"/>
        </w:rPr>
        <w:t>un policier selon lesquelles une certaine conduite équivaut à une infraction</w:t>
      </w:r>
      <w:r>
        <w:rPr>
          <w:rFonts w:cs="Times New Roman"/>
          <w:lang w:val="fr-CA"/>
        </w:rPr>
        <w:t xml:space="preserve"> </w:t>
      </w:r>
      <w:r w:rsidRPr="001B30C8">
        <w:rPr>
          <w:rFonts w:cs="Times New Roman"/>
          <w:lang w:val="fr-CA"/>
        </w:rPr>
        <w:t xml:space="preserve">ne règlent pas la question de cette croyance subjective, elles peuvent être pertinentes en ce qui a trait à la sincérité de la croyance. </w:t>
      </w:r>
    </w:p>
    <w:p w:rsidR="001A0BA2" w:rsidRPr="001B30C8" w:rsidRDefault="001A0BA2" w:rsidP="001A0BA2">
      <w:pPr>
        <w:pStyle w:val="ParaNoNdepar-AltN"/>
        <w:rPr>
          <w:rFonts w:cs="Times New Roman"/>
          <w:lang w:val="fr-CA"/>
        </w:rPr>
      </w:pPr>
      <w:r w:rsidRPr="001B30C8">
        <w:rPr>
          <w:rFonts w:cs="Times New Roman"/>
          <w:lang w:val="fr-CA"/>
        </w:rPr>
        <w:t>Cela étant, la seule conclusion que la Cour peut tirer avec certitude du dossier est que les conseils de l</w:t>
      </w:r>
      <w:r>
        <w:rPr>
          <w:rFonts w:cs="Times New Roman"/>
          <w:lang w:val="fr-CA"/>
        </w:rPr>
        <w:t>’</w:t>
      </w:r>
      <w:r w:rsidRPr="001B30C8">
        <w:rPr>
          <w:rFonts w:cs="Times New Roman"/>
          <w:lang w:val="fr-CA"/>
        </w:rPr>
        <w:t>avocat ont semé la confusion dans l</w:t>
      </w:r>
      <w:r>
        <w:rPr>
          <w:rFonts w:cs="Times New Roman"/>
          <w:lang w:val="fr-CA"/>
        </w:rPr>
        <w:t>’</w:t>
      </w:r>
      <w:r w:rsidRPr="001B30C8">
        <w:rPr>
          <w:rFonts w:cs="Times New Roman"/>
          <w:lang w:val="fr-CA"/>
        </w:rPr>
        <w:t>esprit de M. Suter — une conclusion qui est compatible avec la façon dont le juge de la peine a décrit la conversation téléphonique de M. Suter avec l</w:t>
      </w:r>
      <w:r>
        <w:rPr>
          <w:rFonts w:cs="Times New Roman"/>
          <w:lang w:val="fr-CA"/>
        </w:rPr>
        <w:t>’</w:t>
      </w:r>
      <w:r w:rsidRPr="001B30C8">
        <w:rPr>
          <w:rFonts w:cs="Times New Roman"/>
          <w:lang w:val="fr-CA"/>
        </w:rPr>
        <w:t xml:space="preserve">avocat du genre visé dans </w:t>
      </w:r>
      <w:r w:rsidRPr="001B30C8">
        <w:rPr>
          <w:rFonts w:cs="Times New Roman"/>
          <w:i/>
          <w:lang w:val="fr-CA"/>
        </w:rPr>
        <w:t>Brydges</w:t>
      </w:r>
      <w:r w:rsidRPr="001B30C8">
        <w:rPr>
          <w:rFonts w:cs="Times New Roman"/>
          <w:lang w:val="fr-CA"/>
        </w:rPr>
        <w:t xml:space="preserve">. </w:t>
      </w:r>
    </w:p>
    <w:p w:rsidR="001A0BA2" w:rsidRPr="001B30C8" w:rsidRDefault="001A0BA2" w:rsidP="001A0BA2">
      <w:pPr>
        <w:pStyle w:val="ParaNoNdepar-AltN"/>
        <w:rPr>
          <w:rFonts w:cs="Times New Roman"/>
          <w:lang w:val="fr-CA"/>
        </w:rPr>
      </w:pPr>
      <w:r w:rsidRPr="001B30C8">
        <w:rPr>
          <w:rFonts w:cs="Times New Roman"/>
          <w:lang w:val="fr-CA"/>
        </w:rPr>
        <w:t>Cependant, la simple confusion dans l</w:t>
      </w:r>
      <w:r>
        <w:rPr>
          <w:rFonts w:cs="Times New Roman"/>
          <w:lang w:val="fr-CA"/>
        </w:rPr>
        <w:t>’</w:t>
      </w:r>
      <w:r w:rsidRPr="001B30C8">
        <w:rPr>
          <w:rFonts w:cs="Times New Roman"/>
          <w:lang w:val="fr-CA"/>
        </w:rPr>
        <w:t>esprit d</w:t>
      </w:r>
      <w:r>
        <w:rPr>
          <w:rFonts w:cs="Times New Roman"/>
          <w:lang w:val="fr-CA"/>
        </w:rPr>
        <w:t>’</w:t>
      </w:r>
      <w:r w:rsidRPr="001B30C8">
        <w:rPr>
          <w:rFonts w:cs="Times New Roman"/>
          <w:lang w:val="fr-CA"/>
        </w:rPr>
        <w:t>une personne à l</w:t>
      </w:r>
      <w:r>
        <w:rPr>
          <w:rFonts w:cs="Times New Roman"/>
          <w:lang w:val="fr-CA"/>
        </w:rPr>
        <w:t>’</w:t>
      </w:r>
      <w:r w:rsidRPr="001B30C8">
        <w:rPr>
          <w:rFonts w:cs="Times New Roman"/>
          <w:lang w:val="fr-CA"/>
        </w:rPr>
        <w:t>égard de la légalité de ses actes ne suffit pas pour conclure à une erreur de droit. Bien que M. Suter se soit retrouvé dans une situation regrettable, cela ne justifie pas une dérogation aux exigences rigoureuses de l</w:t>
      </w:r>
      <w:r>
        <w:rPr>
          <w:rFonts w:cs="Times New Roman"/>
          <w:lang w:val="fr-CA"/>
        </w:rPr>
        <w:t>’</w:t>
      </w:r>
      <w:r w:rsidRPr="001B30C8">
        <w:rPr>
          <w:rFonts w:cs="Times New Roman"/>
          <w:lang w:val="fr-CA"/>
        </w:rPr>
        <w:t xml:space="preserve">erreur de droit. </w:t>
      </w:r>
    </w:p>
    <w:p w:rsidR="001A0BA2" w:rsidRPr="001B30C8" w:rsidRDefault="001A0BA2" w:rsidP="001A0BA2">
      <w:pPr>
        <w:pStyle w:val="ParaNoNdepar-AltN"/>
        <w:rPr>
          <w:rFonts w:cs="Times New Roman"/>
          <w:lang w:val="fr-CA"/>
        </w:rPr>
      </w:pPr>
      <w:r w:rsidRPr="001B30C8">
        <w:rPr>
          <w:rFonts w:cs="Times New Roman"/>
          <w:lang w:val="fr-CA"/>
        </w:rPr>
        <w:lastRenderedPageBreak/>
        <w:t>Cela dit, bien que la confusion qui régnait dans l</w:t>
      </w:r>
      <w:r>
        <w:rPr>
          <w:rFonts w:cs="Times New Roman"/>
          <w:lang w:val="fr-CA"/>
        </w:rPr>
        <w:t>’</w:t>
      </w:r>
      <w:r w:rsidRPr="001B30C8">
        <w:rPr>
          <w:rFonts w:cs="Times New Roman"/>
          <w:lang w:val="fr-CA"/>
        </w:rPr>
        <w:t>esprit de M. Suter n</w:t>
      </w:r>
      <w:r>
        <w:rPr>
          <w:rFonts w:cs="Times New Roman"/>
          <w:lang w:val="fr-CA"/>
        </w:rPr>
        <w:t>’</w:t>
      </w:r>
      <w:r w:rsidRPr="001B30C8">
        <w:rPr>
          <w:rFonts w:cs="Times New Roman"/>
          <w:lang w:val="fr-CA"/>
        </w:rPr>
        <w:t>ait pas donné lieu à une erreur de droit, le débat n</w:t>
      </w:r>
      <w:r>
        <w:rPr>
          <w:rFonts w:cs="Times New Roman"/>
          <w:lang w:val="fr-CA"/>
        </w:rPr>
        <w:t>’</w:t>
      </w:r>
      <w:r w:rsidRPr="001B30C8">
        <w:rPr>
          <w:rFonts w:cs="Times New Roman"/>
          <w:lang w:val="fr-CA"/>
        </w:rPr>
        <w:t>est pas clos pour autant. Lorsque l</w:t>
      </w:r>
      <w:r>
        <w:rPr>
          <w:rFonts w:cs="Times New Roman"/>
          <w:lang w:val="fr-CA"/>
        </w:rPr>
        <w:t>’</w:t>
      </w:r>
      <w:r w:rsidRPr="001B30C8">
        <w:rPr>
          <w:rFonts w:cs="Times New Roman"/>
          <w:lang w:val="fr-CA"/>
        </w:rPr>
        <w:t>on considère l</w:t>
      </w:r>
      <w:r>
        <w:rPr>
          <w:rFonts w:cs="Times New Roman"/>
          <w:lang w:val="fr-CA"/>
        </w:rPr>
        <w:t>’</w:t>
      </w:r>
      <w:r w:rsidRPr="001B30C8">
        <w:rPr>
          <w:rFonts w:cs="Times New Roman"/>
          <w:lang w:val="fr-CA"/>
        </w:rPr>
        <w:t>effet atténuant — s</w:t>
      </w:r>
      <w:r>
        <w:rPr>
          <w:rFonts w:cs="Times New Roman"/>
          <w:lang w:val="fr-CA"/>
        </w:rPr>
        <w:t>’</w:t>
      </w:r>
      <w:r w:rsidRPr="001B30C8">
        <w:rPr>
          <w:rFonts w:cs="Times New Roman"/>
          <w:lang w:val="fr-CA"/>
        </w:rPr>
        <w:t>il en est — de l</w:t>
      </w:r>
      <w:r>
        <w:rPr>
          <w:rFonts w:cs="Times New Roman"/>
          <w:lang w:val="fr-CA"/>
        </w:rPr>
        <w:t>’</w:t>
      </w:r>
      <w:r w:rsidRPr="001B30C8">
        <w:rPr>
          <w:rFonts w:cs="Times New Roman"/>
          <w:lang w:val="fr-CA"/>
        </w:rPr>
        <w:t>incertitude de M. Suter quant à la légalité de son refus, il ne faut pas oublier que cette incertitude découle des conseils que lui a donnés un avocat mal informé. Comme l</w:t>
      </w:r>
      <w:r>
        <w:rPr>
          <w:rFonts w:cs="Times New Roman"/>
          <w:lang w:val="fr-CA"/>
        </w:rPr>
        <w:t>’</w:t>
      </w:r>
      <w:r w:rsidRPr="001B30C8">
        <w:rPr>
          <w:rFonts w:cs="Times New Roman"/>
          <w:lang w:val="fr-CA"/>
        </w:rPr>
        <w:t>expliquent Clayton C. Ruby</w:t>
      </w:r>
      <w:r w:rsidR="0054220C">
        <w:rPr>
          <w:rFonts w:cs="Times New Roman"/>
          <w:lang w:val="fr-CA"/>
        </w:rPr>
        <w:t>, Gerald J. Chan et Nader R. Ha</w:t>
      </w:r>
      <w:r w:rsidRPr="001B30C8">
        <w:rPr>
          <w:rFonts w:cs="Times New Roman"/>
          <w:lang w:val="fr-CA"/>
        </w:rPr>
        <w:t xml:space="preserve">san dans leur ouvrage intitulé </w:t>
      </w:r>
      <w:r w:rsidRPr="001B30C8">
        <w:rPr>
          <w:rFonts w:cs="Times New Roman"/>
          <w:i/>
          <w:lang w:val="fr-CA"/>
        </w:rPr>
        <w:t xml:space="preserve">Sentencing </w:t>
      </w:r>
      <w:r w:rsidRPr="001B30C8">
        <w:rPr>
          <w:rFonts w:cs="Times New Roman"/>
          <w:lang w:val="fr-CA"/>
        </w:rPr>
        <w:t>(8</w:t>
      </w:r>
      <w:r w:rsidRPr="001B30C8">
        <w:rPr>
          <w:rFonts w:cs="Times New Roman"/>
          <w:vertAlign w:val="superscript"/>
          <w:lang w:val="fr-CA"/>
        </w:rPr>
        <w:t>e</w:t>
      </w:r>
      <w:r w:rsidRPr="001B30C8">
        <w:rPr>
          <w:rFonts w:cs="Times New Roman"/>
          <w:lang w:val="fr-CA"/>
        </w:rPr>
        <w:t xml:space="preserve"> éd. 2012) :</w:t>
      </w:r>
    </w:p>
    <w:p w:rsidR="001A0BA2" w:rsidRPr="001B30C8" w:rsidRDefault="001A0BA2" w:rsidP="001A0BA2">
      <w:pPr>
        <w:pStyle w:val="Citation-AltC"/>
        <w:ind w:hanging="1166"/>
        <w:contextualSpacing w:val="0"/>
        <w:rPr>
          <w:lang w:val="fr-CA"/>
        </w:rPr>
      </w:pPr>
      <w:r w:rsidRPr="001B30C8">
        <w:rPr>
          <w:lang w:val="fr-CA"/>
        </w:rPr>
        <w:tab/>
        <w:t>[</w:t>
      </w:r>
      <w:r w:rsidRPr="001B30C8">
        <w:rPr>
          <w:smallCaps/>
          <w:lang w:val="fr-CA"/>
        </w:rPr>
        <w:t>traduction</w:t>
      </w:r>
      <w:r w:rsidRPr="001B30C8">
        <w:rPr>
          <w:lang w:val="fr-CA"/>
        </w:rPr>
        <w:t>] L</w:t>
      </w:r>
      <w:r>
        <w:rPr>
          <w:lang w:val="fr-CA"/>
        </w:rPr>
        <w:t>’</w:t>
      </w:r>
      <w:r w:rsidRPr="001B30C8">
        <w:rPr>
          <w:lang w:val="fr-CA"/>
        </w:rPr>
        <w:t>inutilité de punir quelqu</w:t>
      </w:r>
      <w:r>
        <w:rPr>
          <w:lang w:val="fr-CA"/>
        </w:rPr>
        <w:t>’</w:t>
      </w:r>
      <w:r w:rsidRPr="001B30C8">
        <w:rPr>
          <w:lang w:val="fr-CA"/>
        </w:rPr>
        <w:t>un qui ne sait absolument pas qu</w:t>
      </w:r>
      <w:r>
        <w:rPr>
          <w:lang w:val="fr-CA"/>
        </w:rPr>
        <w:t>’</w:t>
      </w:r>
      <w:r w:rsidRPr="001B30C8">
        <w:rPr>
          <w:lang w:val="fr-CA"/>
        </w:rPr>
        <w:t xml:space="preserve">il a enfreint la loi saute aux yeux [. . .] </w:t>
      </w:r>
      <w:r w:rsidRPr="001B30C8">
        <w:rPr>
          <w:u w:val="single"/>
          <w:lang w:val="fr-CA"/>
        </w:rPr>
        <w:t>Il est encore moins logique de punir quelqu</w:t>
      </w:r>
      <w:r>
        <w:rPr>
          <w:u w:val="single"/>
          <w:lang w:val="fr-CA"/>
        </w:rPr>
        <w:t>’</w:t>
      </w:r>
      <w:r w:rsidRPr="001B30C8">
        <w:rPr>
          <w:u w:val="single"/>
          <w:lang w:val="fr-CA"/>
        </w:rPr>
        <w:t>un qui a consulté un avocat</w:t>
      </w:r>
      <w:r w:rsidRPr="001B30C8">
        <w:rPr>
          <w:lang w:val="fr-CA"/>
        </w:rPr>
        <w:t>, ou a adopté une position juridique sans l</w:t>
      </w:r>
      <w:r>
        <w:rPr>
          <w:lang w:val="fr-CA"/>
        </w:rPr>
        <w:t>’</w:t>
      </w:r>
      <w:r w:rsidRPr="001B30C8">
        <w:rPr>
          <w:lang w:val="fr-CA"/>
        </w:rPr>
        <w:t>aide d</w:t>
      </w:r>
      <w:r>
        <w:rPr>
          <w:lang w:val="fr-CA"/>
        </w:rPr>
        <w:t>’</w:t>
      </w:r>
      <w:r w:rsidRPr="001B30C8">
        <w:rPr>
          <w:lang w:val="fr-CA"/>
        </w:rPr>
        <w:t xml:space="preserve">un avocat. [Je souligne; notes </w:t>
      </w:r>
      <w:r w:rsidR="00AD00F1">
        <w:rPr>
          <w:lang w:val="fr-CA"/>
        </w:rPr>
        <w:t>en</w:t>
      </w:r>
      <w:r w:rsidRPr="001B30C8">
        <w:rPr>
          <w:lang w:val="fr-CA"/>
        </w:rPr>
        <w:t xml:space="preserve"> bas de page omises; §5.319.]</w:t>
      </w:r>
    </w:p>
    <w:p w:rsidR="001A0BA2" w:rsidRPr="001B30C8" w:rsidRDefault="001A0BA2" w:rsidP="001A0BA2">
      <w:pPr>
        <w:pStyle w:val="ContinueParaSuitedupar-AltP"/>
        <w:rPr>
          <w:rFonts w:cs="Times New Roman"/>
          <w:lang w:val="fr-CA"/>
        </w:rPr>
      </w:pPr>
      <w:r w:rsidRPr="001B30C8">
        <w:rPr>
          <w:rFonts w:cs="Times New Roman"/>
          <w:lang w:val="fr-CA"/>
        </w:rPr>
        <w:t>Rappelons que M. Suter a consulté un avocat, que les conseils que lui a donnés celui</w:t>
      </w:r>
      <w:r w:rsidRPr="001B30C8">
        <w:rPr>
          <w:rFonts w:cs="Times New Roman"/>
          <w:lang w:val="fr-CA"/>
        </w:rPr>
        <w:noBreakHyphen/>
        <w:t>ci étaient erronés et qu</w:t>
      </w:r>
      <w:r>
        <w:rPr>
          <w:rFonts w:cs="Times New Roman"/>
          <w:lang w:val="fr-CA"/>
        </w:rPr>
        <w:t>’</w:t>
      </w:r>
      <w:r w:rsidRPr="001B30C8">
        <w:rPr>
          <w:rFonts w:cs="Times New Roman"/>
          <w:lang w:val="fr-CA"/>
        </w:rPr>
        <w:t>il a refusé de collaborer avec la police en se fondant sur ceux</w:t>
      </w:r>
      <w:r w:rsidRPr="001B30C8">
        <w:rPr>
          <w:rFonts w:cs="Times New Roman"/>
          <w:lang w:val="fr-CA"/>
        </w:rPr>
        <w:noBreakHyphen/>
        <w:t>ci. Ces faits permettent d</w:t>
      </w:r>
      <w:r>
        <w:rPr>
          <w:rFonts w:cs="Times New Roman"/>
          <w:lang w:val="fr-CA"/>
        </w:rPr>
        <w:t>’</w:t>
      </w:r>
      <w:r w:rsidRPr="001B30C8">
        <w:rPr>
          <w:rFonts w:cs="Times New Roman"/>
          <w:lang w:val="fr-CA"/>
        </w:rPr>
        <w:t>atténuer le degré de culpabilité morale de M. Suter</w:t>
      </w:r>
      <w:r w:rsidRPr="00EC427D">
        <w:rPr>
          <w:rStyle w:val="Hyperlink"/>
          <w:u w:val="none"/>
          <w:vertAlign w:val="superscript"/>
        </w:rPr>
        <w:footnoteReference w:id="4"/>
      </w:r>
      <w:r w:rsidRPr="001B30C8">
        <w:rPr>
          <w:rFonts w:cs="Times New Roman"/>
          <w:lang w:val="fr-CA"/>
        </w:rPr>
        <w:t>.</w:t>
      </w:r>
    </w:p>
    <w:p w:rsidR="001A0BA2" w:rsidRPr="001B30C8" w:rsidRDefault="001A0BA2" w:rsidP="001A0BA2">
      <w:pPr>
        <w:pStyle w:val="ParaNoNdepar-AltN"/>
        <w:rPr>
          <w:rFonts w:cs="Times New Roman"/>
          <w:lang w:val="fr-CA"/>
        </w:rPr>
      </w:pPr>
      <w:r w:rsidRPr="001B30C8">
        <w:rPr>
          <w:rFonts w:cs="Times New Roman"/>
          <w:lang w:val="fr-CA"/>
        </w:rPr>
        <w:t>Cela dit, je tiens à préciser que le cas de M. Suter est unique et qu</w:t>
      </w:r>
      <w:r>
        <w:rPr>
          <w:rFonts w:cs="Times New Roman"/>
          <w:lang w:val="fr-CA"/>
        </w:rPr>
        <w:t>’</w:t>
      </w:r>
      <w:r w:rsidRPr="001B30C8">
        <w:rPr>
          <w:rFonts w:cs="Times New Roman"/>
          <w:lang w:val="fr-CA"/>
        </w:rPr>
        <w:t>il ne faudrait pas considérer à tort que l</w:t>
      </w:r>
      <w:r>
        <w:rPr>
          <w:rFonts w:cs="Times New Roman"/>
          <w:lang w:val="fr-CA"/>
        </w:rPr>
        <w:t>’</w:t>
      </w:r>
      <w:r w:rsidRPr="001B30C8">
        <w:rPr>
          <w:rFonts w:cs="Times New Roman"/>
          <w:lang w:val="fr-CA"/>
        </w:rPr>
        <w:t>atténuation dont il bénéficie tend à indiquer que des conseils juridiques imparfaits sont présumés atténuer la peine. En l</w:t>
      </w:r>
      <w:r>
        <w:rPr>
          <w:rFonts w:cs="Times New Roman"/>
          <w:lang w:val="fr-CA"/>
        </w:rPr>
        <w:t>’</w:t>
      </w:r>
      <w:r w:rsidRPr="001B30C8">
        <w:rPr>
          <w:rFonts w:cs="Times New Roman"/>
          <w:lang w:val="fr-CA"/>
        </w:rPr>
        <w:t>espèce, l</w:t>
      </w:r>
      <w:r>
        <w:rPr>
          <w:rFonts w:cs="Times New Roman"/>
          <w:lang w:val="fr-CA"/>
        </w:rPr>
        <w:t>’</w:t>
      </w:r>
      <w:r w:rsidRPr="001B30C8">
        <w:rPr>
          <w:rFonts w:cs="Times New Roman"/>
          <w:lang w:val="fr-CA"/>
        </w:rPr>
        <w:t xml:space="preserve">avocat du genre visé dans </w:t>
      </w:r>
      <w:r w:rsidRPr="001B30C8">
        <w:rPr>
          <w:rFonts w:cs="Times New Roman"/>
          <w:i/>
          <w:lang w:val="fr-CA"/>
        </w:rPr>
        <w:t>Brydges</w:t>
      </w:r>
      <w:r w:rsidRPr="001B30C8">
        <w:rPr>
          <w:rFonts w:cs="Times New Roman"/>
          <w:lang w:val="fr-CA"/>
        </w:rPr>
        <w:t xml:space="preserve"> a témoigné qu</w:t>
      </w:r>
      <w:r>
        <w:rPr>
          <w:rFonts w:cs="Times New Roman"/>
          <w:lang w:val="fr-CA"/>
        </w:rPr>
        <w:t>’</w:t>
      </w:r>
      <w:r w:rsidRPr="001B30C8">
        <w:rPr>
          <w:rFonts w:cs="Times New Roman"/>
          <w:lang w:val="fr-CA"/>
        </w:rPr>
        <w:t>il ne connaissait pas l</w:t>
      </w:r>
      <w:r>
        <w:rPr>
          <w:rFonts w:cs="Times New Roman"/>
          <w:lang w:val="fr-CA"/>
        </w:rPr>
        <w:t>’</w:t>
      </w:r>
      <w:r w:rsidRPr="001B30C8">
        <w:rPr>
          <w:rFonts w:cs="Times New Roman"/>
          <w:lang w:val="fr-CA"/>
        </w:rPr>
        <w:t>état du droit en ce qui concerne l</w:t>
      </w:r>
      <w:r>
        <w:rPr>
          <w:rFonts w:cs="Times New Roman"/>
          <w:lang w:val="fr-CA"/>
        </w:rPr>
        <w:t>’</w:t>
      </w:r>
      <w:r w:rsidRPr="001B30C8">
        <w:rPr>
          <w:rFonts w:cs="Times New Roman"/>
          <w:lang w:val="fr-CA"/>
        </w:rPr>
        <w:t>infraction prévue au par. 255(3.2) et qu</w:t>
      </w:r>
      <w:r>
        <w:rPr>
          <w:rFonts w:cs="Times New Roman"/>
          <w:lang w:val="fr-CA"/>
        </w:rPr>
        <w:t>’</w:t>
      </w:r>
      <w:r w:rsidRPr="001B30C8">
        <w:rPr>
          <w:rFonts w:cs="Times New Roman"/>
          <w:lang w:val="fr-CA"/>
        </w:rPr>
        <w:t>il avait délibérément tenté d</w:t>
      </w:r>
      <w:r w:rsidR="0054220C">
        <w:rPr>
          <w:rFonts w:cs="Times New Roman"/>
          <w:lang w:val="fr-CA"/>
        </w:rPr>
        <w:t xml:space="preserve">e décourager </w:t>
      </w:r>
      <w:r w:rsidRPr="001B30C8">
        <w:rPr>
          <w:rFonts w:cs="Times New Roman"/>
          <w:lang w:val="fr-CA"/>
        </w:rPr>
        <w:t>M. Suter de donner à la police un échantillon d</w:t>
      </w:r>
      <w:r>
        <w:rPr>
          <w:rFonts w:cs="Times New Roman"/>
          <w:lang w:val="fr-CA"/>
        </w:rPr>
        <w:t>’</w:t>
      </w:r>
      <w:r w:rsidRPr="001B30C8">
        <w:rPr>
          <w:rFonts w:cs="Times New Roman"/>
          <w:lang w:val="fr-CA"/>
        </w:rPr>
        <w:t>haleine. Le juge de la peine a accepté le témoignage de M. Suter, selon lequel l</w:t>
      </w:r>
      <w:r>
        <w:rPr>
          <w:rFonts w:cs="Times New Roman"/>
          <w:lang w:val="fr-CA"/>
        </w:rPr>
        <w:t>’</w:t>
      </w:r>
      <w:r w:rsidRPr="001B30C8">
        <w:rPr>
          <w:rFonts w:cs="Times New Roman"/>
          <w:lang w:val="fr-CA"/>
        </w:rPr>
        <w:t xml:space="preserve">avocat lui a expressément dit de ne </w:t>
      </w:r>
      <w:r w:rsidRPr="001B30C8">
        <w:rPr>
          <w:rFonts w:cs="Times New Roman"/>
          <w:lang w:val="fr-CA"/>
        </w:rPr>
        <w:lastRenderedPageBreak/>
        <w:t>pas fournir d</w:t>
      </w:r>
      <w:r>
        <w:rPr>
          <w:rFonts w:cs="Times New Roman"/>
          <w:lang w:val="fr-CA"/>
        </w:rPr>
        <w:t>’</w:t>
      </w:r>
      <w:r w:rsidRPr="001B30C8">
        <w:rPr>
          <w:rFonts w:cs="Times New Roman"/>
          <w:lang w:val="fr-CA"/>
        </w:rPr>
        <w:t>échantillon d</w:t>
      </w:r>
      <w:r>
        <w:rPr>
          <w:rFonts w:cs="Times New Roman"/>
          <w:lang w:val="fr-CA"/>
        </w:rPr>
        <w:t>’</w:t>
      </w:r>
      <w:r w:rsidRPr="001B30C8">
        <w:rPr>
          <w:rFonts w:cs="Times New Roman"/>
          <w:lang w:val="fr-CA"/>
        </w:rPr>
        <w:t>haleine à la police — c.</w:t>
      </w:r>
      <w:r w:rsidRPr="001B30C8">
        <w:rPr>
          <w:rFonts w:cs="Times New Roman"/>
          <w:lang w:val="fr-CA"/>
        </w:rPr>
        <w:noBreakHyphen/>
        <w:t>à</w:t>
      </w:r>
      <w:r w:rsidRPr="001B30C8">
        <w:rPr>
          <w:rFonts w:cs="Times New Roman"/>
          <w:lang w:val="fr-CA"/>
        </w:rPr>
        <w:noBreakHyphen/>
        <w:t>d. qu</w:t>
      </w:r>
      <w:r>
        <w:rPr>
          <w:rFonts w:cs="Times New Roman"/>
          <w:lang w:val="fr-CA"/>
        </w:rPr>
        <w:t>’</w:t>
      </w:r>
      <w:r w:rsidRPr="001B30C8">
        <w:rPr>
          <w:rFonts w:cs="Times New Roman"/>
          <w:lang w:val="fr-CA"/>
        </w:rPr>
        <w:t>il lui a conseillé d</w:t>
      </w:r>
      <w:r>
        <w:rPr>
          <w:rFonts w:cs="Times New Roman"/>
          <w:lang w:val="fr-CA"/>
        </w:rPr>
        <w:t>’</w:t>
      </w:r>
      <w:r w:rsidRPr="001B30C8">
        <w:rPr>
          <w:rFonts w:cs="Times New Roman"/>
          <w:lang w:val="fr-CA"/>
        </w:rPr>
        <w:t>enfreindre la loi. De plus, le juge a conclu que M. Suter n</w:t>
      </w:r>
      <w:r>
        <w:rPr>
          <w:rFonts w:cs="Times New Roman"/>
          <w:lang w:val="fr-CA"/>
        </w:rPr>
        <w:t>’</w:t>
      </w:r>
      <w:r w:rsidRPr="001B30C8">
        <w:rPr>
          <w:rFonts w:cs="Times New Roman"/>
          <w:lang w:val="fr-CA"/>
        </w:rPr>
        <w:t>avait pas obtempéré à l</w:t>
      </w:r>
      <w:r>
        <w:rPr>
          <w:rFonts w:cs="Times New Roman"/>
          <w:lang w:val="fr-CA"/>
        </w:rPr>
        <w:t>’</w:t>
      </w:r>
      <w:r w:rsidRPr="001B30C8">
        <w:rPr>
          <w:rFonts w:cs="Times New Roman"/>
          <w:lang w:val="fr-CA"/>
        </w:rPr>
        <w:t>ordre de fournir un échantillon d</w:t>
      </w:r>
      <w:r>
        <w:rPr>
          <w:rFonts w:cs="Times New Roman"/>
          <w:lang w:val="fr-CA"/>
        </w:rPr>
        <w:t>’</w:t>
      </w:r>
      <w:r w:rsidRPr="001B30C8">
        <w:rPr>
          <w:rFonts w:cs="Times New Roman"/>
          <w:lang w:val="fr-CA"/>
        </w:rPr>
        <w:t>haleine parce qu</w:t>
      </w:r>
      <w:r>
        <w:rPr>
          <w:rFonts w:cs="Times New Roman"/>
          <w:lang w:val="fr-CA"/>
        </w:rPr>
        <w:t>’</w:t>
      </w:r>
      <w:r w:rsidRPr="001B30C8">
        <w:rPr>
          <w:rFonts w:cs="Times New Roman"/>
          <w:lang w:val="fr-CA"/>
        </w:rPr>
        <w:t>il avait suivi les conseils erronés de son avocat; il n</w:t>
      </w:r>
      <w:r>
        <w:rPr>
          <w:rFonts w:cs="Times New Roman"/>
          <w:lang w:val="fr-CA"/>
        </w:rPr>
        <w:t>’</w:t>
      </w:r>
      <w:r w:rsidRPr="001B30C8">
        <w:rPr>
          <w:rFonts w:cs="Times New Roman"/>
          <w:lang w:val="fr-CA"/>
        </w:rPr>
        <w:t>a pas conclu que le refus relevait d</w:t>
      </w:r>
      <w:r>
        <w:rPr>
          <w:rFonts w:cs="Times New Roman"/>
          <w:lang w:val="fr-CA"/>
        </w:rPr>
        <w:t>’</w:t>
      </w:r>
      <w:r w:rsidRPr="001B30C8">
        <w:rPr>
          <w:rFonts w:cs="Times New Roman"/>
          <w:lang w:val="fr-CA"/>
        </w:rPr>
        <w:t>un choix stratégique de M. Suter. Dans les circonstances, ces faits uniques ont contribué à l</w:t>
      </w:r>
      <w:r>
        <w:rPr>
          <w:rFonts w:cs="Times New Roman"/>
          <w:lang w:val="fr-CA"/>
        </w:rPr>
        <w:t>’</w:t>
      </w:r>
      <w:r w:rsidRPr="001B30C8">
        <w:rPr>
          <w:rFonts w:cs="Times New Roman"/>
          <w:lang w:val="fr-CA"/>
        </w:rPr>
        <w:t>incertitude de M. Suter quant à la légalité de son refus et ont donc permis d</w:t>
      </w:r>
      <w:r>
        <w:rPr>
          <w:rFonts w:cs="Times New Roman"/>
          <w:lang w:val="fr-CA"/>
        </w:rPr>
        <w:t>’</w:t>
      </w:r>
      <w:r w:rsidRPr="001B30C8">
        <w:rPr>
          <w:rFonts w:cs="Times New Roman"/>
          <w:lang w:val="fr-CA"/>
        </w:rPr>
        <w:t>atténuer sa culpabilité morale.</w:t>
      </w:r>
    </w:p>
    <w:p w:rsidR="001A0BA2" w:rsidRPr="001B30C8" w:rsidRDefault="001A0BA2" w:rsidP="001A0BA2">
      <w:pPr>
        <w:pStyle w:val="ParaNoNdepar-AltN"/>
        <w:rPr>
          <w:rFonts w:cs="Times New Roman"/>
          <w:lang w:val="fr-CA"/>
        </w:rPr>
      </w:pPr>
      <w:r w:rsidRPr="001B30C8">
        <w:rPr>
          <w:rFonts w:cs="Times New Roman"/>
          <w:lang w:val="fr-CA"/>
        </w:rPr>
        <w:t>En résumé, le juge de la peine a eu tort de conclure que les conseils juridiques erronés donnés à M. Suter et sur la foi desquels ce dernier a agi équivalaient à une erreur de droit, et changeaient donc de manière fondamentale la culpabilité morale de M. Suter. Cette erreur a contribué de façon non négligeable à la peine manifestement inadéquate de quatre mois d</w:t>
      </w:r>
      <w:r>
        <w:rPr>
          <w:rFonts w:cs="Times New Roman"/>
          <w:lang w:val="fr-CA"/>
        </w:rPr>
        <w:t>’</w:t>
      </w:r>
      <w:r w:rsidRPr="001B30C8">
        <w:rPr>
          <w:rFonts w:cs="Times New Roman"/>
          <w:lang w:val="fr-CA"/>
        </w:rPr>
        <w:t>emprisonnement infligée par le juge.</w:t>
      </w:r>
    </w:p>
    <w:p w:rsidR="001A0BA2" w:rsidRPr="001B30C8" w:rsidRDefault="001A0BA2" w:rsidP="001A0BA2">
      <w:pPr>
        <w:pStyle w:val="Title3LevelTitre3Niveau"/>
        <w:rPr>
          <w:rFonts w:cs="Times New Roman"/>
          <w:lang w:val="fr-CA"/>
        </w:rPr>
      </w:pPr>
      <w:r w:rsidRPr="001B30C8">
        <w:rPr>
          <w:rFonts w:cs="Times New Roman"/>
          <w:lang w:val="fr-CA"/>
        </w:rPr>
        <w:t>Le juge de la peine a commis une erreur en accordant une importance indue à l</w:t>
      </w:r>
      <w:r>
        <w:rPr>
          <w:rFonts w:cs="Times New Roman"/>
          <w:lang w:val="fr-CA"/>
        </w:rPr>
        <w:t>’</w:t>
      </w:r>
      <w:r w:rsidRPr="001B30C8">
        <w:rPr>
          <w:rFonts w:cs="Times New Roman"/>
          <w:lang w:val="fr-CA"/>
        </w:rPr>
        <w:t>absence d</w:t>
      </w:r>
      <w:r>
        <w:rPr>
          <w:rFonts w:cs="Times New Roman"/>
          <w:lang w:val="fr-CA"/>
        </w:rPr>
        <w:t>’</w:t>
      </w:r>
      <w:r w:rsidRPr="001B30C8">
        <w:rPr>
          <w:rFonts w:cs="Times New Roman"/>
          <w:lang w:val="fr-CA"/>
        </w:rPr>
        <w:t>affaiblissement des facultés en tant que facteur atténuant</w:t>
      </w:r>
    </w:p>
    <w:p w:rsidR="001A0BA2" w:rsidRPr="001B30C8" w:rsidRDefault="001A0BA2" w:rsidP="001A0BA2">
      <w:pPr>
        <w:pStyle w:val="ParaNoNdepar-AltN"/>
        <w:rPr>
          <w:rFonts w:cs="Times New Roman"/>
          <w:lang w:val="fr-CA"/>
        </w:rPr>
      </w:pPr>
      <w:r w:rsidRPr="001B30C8">
        <w:rPr>
          <w:rFonts w:cs="Times New Roman"/>
          <w:lang w:val="fr-CA"/>
        </w:rPr>
        <w:t>Bien qu</w:t>
      </w:r>
      <w:r>
        <w:rPr>
          <w:rFonts w:cs="Times New Roman"/>
          <w:lang w:val="fr-CA"/>
        </w:rPr>
        <w:t>’</w:t>
      </w:r>
      <w:r w:rsidRPr="001B30C8">
        <w:rPr>
          <w:rFonts w:cs="Times New Roman"/>
          <w:lang w:val="fr-CA"/>
        </w:rPr>
        <w:t>une conclusion d</w:t>
      </w:r>
      <w:r>
        <w:rPr>
          <w:rFonts w:cs="Times New Roman"/>
          <w:lang w:val="fr-CA"/>
        </w:rPr>
        <w:t>’</w:t>
      </w:r>
      <w:r w:rsidRPr="001B30C8">
        <w:rPr>
          <w:rFonts w:cs="Times New Roman"/>
          <w:lang w:val="fr-CA"/>
        </w:rPr>
        <w:t>absence d</w:t>
      </w:r>
      <w:r>
        <w:rPr>
          <w:rFonts w:cs="Times New Roman"/>
          <w:lang w:val="fr-CA"/>
        </w:rPr>
        <w:t>’</w:t>
      </w:r>
      <w:r w:rsidRPr="001B30C8">
        <w:rPr>
          <w:rFonts w:cs="Times New Roman"/>
          <w:lang w:val="fr-CA"/>
        </w:rPr>
        <w:t>affaiblissement des facultés constitue un facteur atténuant pertinent qui entre en jeu lors de la détermination de la peine à infliger à un délinquant pour une infraction de refus d</w:t>
      </w:r>
      <w:r>
        <w:rPr>
          <w:rFonts w:cs="Times New Roman"/>
          <w:lang w:val="fr-CA"/>
        </w:rPr>
        <w:t>’</w:t>
      </w:r>
      <w:r w:rsidRPr="001B30C8">
        <w:rPr>
          <w:rFonts w:cs="Times New Roman"/>
          <w:lang w:val="fr-CA"/>
        </w:rPr>
        <w:t>obtempérer, son effet atténuant doit être limité. À mon avis, le juge de la peine a commis une erreur en accordant une importance indue à l</w:t>
      </w:r>
      <w:r>
        <w:rPr>
          <w:rFonts w:cs="Times New Roman"/>
          <w:lang w:val="fr-CA"/>
        </w:rPr>
        <w:t>’</w:t>
      </w:r>
      <w:r w:rsidRPr="001B30C8">
        <w:rPr>
          <w:rFonts w:cs="Times New Roman"/>
          <w:lang w:val="fr-CA"/>
        </w:rPr>
        <w:t>absence d</w:t>
      </w:r>
      <w:r>
        <w:rPr>
          <w:rFonts w:cs="Times New Roman"/>
          <w:lang w:val="fr-CA"/>
        </w:rPr>
        <w:t>’</w:t>
      </w:r>
      <w:r w:rsidRPr="001B30C8">
        <w:rPr>
          <w:rFonts w:cs="Times New Roman"/>
          <w:lang w:val="fr-CA"/>
        </w:rPr>
        <w:t>affaiblissement des facultés de M. Suter en tant que facteur atténuant — une erreur qui a également contribué à l</w:t>
      </w:r>
      <w:r>
        <w:rPr>
          <w:rFonts w:cs="Times New Roman"/>
          <w:lang w:val="fr-CA"/>
        </w:rPr>
        <w:t>’</w:t>
      </w:r>
      <w:r w:rsidRPr="001B30C8">
        <w:rPr>
          <w:rFonts w:cs="Times New Roman"/>
          <w:lang w:val="fr-CA"/>
        </w:rPr>
        <w:t>infliction de la peine de quatre mois d</w:t>
      </w:r>
      <w:r>
        <w:rPr>
          <w:rFonts w:cs="Times New Roman"/>
          <w:lang w:val="fr-CA"/>
        </w:rPr>
        <w:t>’</w:t>
      </w:r>
      <w:r w:rsidRPr="001B30C8">
        <w:rPr>
          <w:rFonts w:cs="Times New Roman"/>
          <w:lang w:val="fr-CA"/>
        </w:rPr>
        <w:t>emprisonnement.</w:t>
      </w:r>
    </w:p>
    <w:p w:rsidR="001A0BA2" w:rsidRPr="001B30C8" w:rsidRDefault="001A0BA2" w:rsidP="001A0BA2">
      <w:pPr>
        <w:pStyle w:val="ParaNoNdepar-AltN"/>
        <w:rPr>
          <w:rFonts w:cs="Times New Roman"/>
          <w:lang w:val="fr-CA"/>
        </w:rPr>
      </w:pPr>
      <w:r w:rsidRPr="001B30C8">
        <w:rPr>
          <w:rFonts w:cs="Times New Roman"/>
          <w:lang w:val="fr-CA"/>
        </w:rPr>
        <w:t>Le juge de la peine a souligné ce qui suit :</w:t>
      </w:r>
    </w:p>
    <w:p w:rsidR="001A0BA2" w:rsidRPr="001B30C8" w:rsidRDefault="001A0BA2" w:rsidP="001A0BA2">
      <w:pPr>
        <w:pStyle w:val="Citation-AltC"/>
        <w:ind w:left="1168" w:hanging="1168"/>
        <w:contextualSpacing w:val="0"/>
        <w:rPr>
          <w:lang w:val="fr-CA"/>
        </w:rPr>
      </w:pPr>
      <w:r w:rsidRPr="001B30C8">
        <w:rPr>
          <w:lang w:val="fr-CA"/>
        </w:rPr>
        <w:lastRenderedPageBreak/>
        <w:tab/>
      </w:r>
      <w:r w:rsidRPr="001B30C8">
        <w:rPr>
          <w:lang w:val="fr-CA"/>
        </w:rPr>
        <w:tab/>
        <w:t>[</w:t>
      </w:r>
      <w:r w:rsidRPr="001B30C8">
        <w:rPr>
          <w:smallCaps/>
          <w:lang w:val="fr-CA"/>
        </w:rPr>
        <w:t>traduction</w:t>
      </w:r>
      <w:r w:rsidRPr="001B30C8">
        <w:rPr>
          <w:lang w:val="fr-CA"/>
        </w:rPr>
        <w:t>] Il serait contraire au principe fondamental de la proportionnalité de mettre sur le même pied la culpabilité morale d</w:t>
      </w:r>
      <w:r>
        <w:rPr>
          <w:lang w:val="fr-CA"/>
        </w:rPr>
        <w:t>’</w:t>
      </w:r>
      <w:r w:rsidRPr="001B30C8">
        <w:rPr>
          <w:lang w:val="fr-CA"/>
        </w:rPr>
        <w:t>une personne n</w:t>
      </w:r>
      <w:r>
        <w:rPr>
          <w:lang w:val="fr-CA"/>
        </w:rPr>
        <w:t>’</w:t>
      </w:r>
      <w:r w:rsidRPr="001B30C8">
        <w:rPr>
          <w:lang w:val="fr-CA"/>
        </w:rPr>
        <w:t>étant pas ivre qui suit de mauvais conseils juridiques en refusant d</w:t>
      </w:r>
      <w:r>
        <w:rPr>
          <w:lang w:val="fr-CA"/>
        </w:rPr>
        <w:t>’</w:t>
      </w:r>
      <w:r w:rsidRPr="001B30C8">
        <w:rPr>
          <w:lang w:val="fr-CA"/>
        </w:rPr>
        <w:t>obtempérer à un ordre de la police, d</w:t>
      </w:r>
      <w:r>
        <w:rPr>
          <w:lang w:val="fr-CA"/>
        </w:rPr>
        <w:t>’</w:t>
      </w:r>
      <w:r w:rsidRPr="001B30C8">
        <w:rPr>
          <w:lang w:val="fr-CA"/>
        </w:rPr>
        <w:t>une part, et la culpabilité morale d</w:t>
      </w:r>
      <w:r>
        <w:rPr>
          <w:lang w:val="fr-CA"/>
        </w:rPr>
        <w:t>’</w:t>
      </w:r>
      <w:r w:rsidRPr="001B30C8">
        <w:rPr>
          <w:lang w:val="fr-CA"/>
        </w:rPr>
        <w:t>une personne qui s</w:t>
      </w:r>
      <w:r>
        <w:rPr>
          <w:lang w:val="fr-CA"/>
        </w:rPr>
        <w:t>’</w:t>
      </w:r>
      <w:r w:rsidRPr="001B30C8">
        <w:rPr>
          <w:lang w:val="fr-CA"/>
        </w:rPr>
        <w:t>enivre et tue quelqu</w:t>
      </w:r>
      <w:r>
        <w:rPr>
          <w:lang w:val="fr-CA"/>
        </w:rPr>
        <w:t>’</w:t>
      </w:r>
      <w:r w:rsidRPr="001B30C8">
        <w:rPr>
          <w:lang w:val="fr-CA"/>
        </w:rPr>
        <w:t>un, d</w:t>
      </w:r>
      <w:r>
        <w:rPr>
          <w:lang w:val="fr-CA"/>
        </w:rPr>
        <w:t>’</w:t>
      </w:r>
      <w:r w:rsidRPr="001B30C8">
        <w:rPr>
          <w:lang w:val="fr-CA"/>
        </w:rPr>
        <w:t>autre part.</w:t>
      </w:r>
      <w:r>
        <w:rPr>
          <w:lang w:val="fr-CA"/>
        </w:rPr>
        <w:t xml:space="preserve"> </w:t>
      </w:r>
      <w:r w:rsidRPr="001B30C8">
        <w:rPr>
          <w:lang w:val="fr-CA"/>
        </w:rPr>
        <w:t>[par. 66]</w:t>
      </w:r>
    </w:p>
    <w:p w:rsidR="001A0BA2" w:rsidRPr="001B30C8" w:rsidRDefault="001A0BA2" w:rsidP="001A0BA2">
      <w:pPr>
        <w:pStyle w:val="ContinueParaSuitedupar-AltP"/>
        <w:rPr>
          <w:rFonts w:cs="Times New Roman"/>
          <w:lang w:val="fr-CA"/>
        </w:rPr>
      </w:pPr>
      <w:r w:rsidRPr="001B30C8">
        <w:rPr>
          <w:rFonts w:cs="Times New Roman"/>
          <w:lang w:val="fr-CA"/>
        </w:rPr>
        <w:t>Je suis d</w:t>
      </w:r>
      <w:r>
        <w:rPr>
          <w:rFonts w:cs="Times New Roman"/>
          <w:lang w:val="fr-CA"/>
        </w:rPr>
        <w:t>’</w:t>
      </w:r>
      <w:r w:rsidRPr="001B30C8">
        <w:rPr>
          <w:rFonts w:cs="Times New Roman"/>
          <w:lang w:val="fr-CA"/>
        </w:rPr>
        <w:t>accord. En fait, j</w:t>
      </w:r>
      <w:r>
        <w:rPr>
          <w:rFonts w:cs="Times New Roman"/>
          <w:lang w:val="fr-CA"/>
        </w:rPr>
        <w:t>’</w:t>
      </w:r>
      <w:r w:rsidRPr="001B30C8">
        <w:rPr>
          <w:rFonts w:cs="Times New Roman"/>
          <w:lang w:val="fr-CA"/>
        </w:rPr>
        <w:t>irais plus loin — la culpabilité morale d</w:t>
      </w:r>
      <w:r>
        <w:rPr>
          <w:rFonts w:cs="Times New Roman"/>
          <w:lang w:val="fr-CA"/>
        </w:rPr>
        <w:t>’</w:t>
      </w:r>
      <w:r w:rsidRPr="001B30C8">
        <w:rPr>
          <w:rFonts w:cs="Times New Roman"/>
          <w:lang w:val="fr-CA"/>
        </w:rPr>
        <w:t>une personne n</w:t>
      </w:r>
      <w:r>
        <w:rPr>
          <w:rFonts w:cs="Times New Roman"/>
          <w:lang w:val="fr-CA"/>
        </w:rPr>
        <w:t>’</w:t>
      </w:r>
      <w:r w:rsidRPr="001B30C8">
        <w:rPr>
          <w:rFonts w:cs="Times New Roman"/>
          <w:lang w:val="fr-CA"/>
        </w:rPr>
        <w:t>étant pas ivre qui ne fournit pas d</w:t>
      </w:r>
      <w:r>
        <w:rPr>
          <w:rFonts w:cs="Times New Roman"/>
          <w:lang w:val="fr-CA"/>
        </w:rPr>
        <w:t>’</w:t>
      </w:r>
      <w:r w:rsidRPr="001B30C8">
        <w:rPr>
          <w:rFonts w:cs="Times New Roman"/>
          <w:lang w:val="fr-CA"/>
        </w:rPr>
        <w:t>échantillon d</w:t>
      </w:r>
      <w:r>
        <w:rPr>
          <w:rFonts w:cs="Times New Roman"/>
          <w:lang w:val="fr-CA"/>
        </w:rPr>
        <w:t>’</w:t>
      </w:r>
      <w:r w:rsidRPr="001B30C8">
        <w:rPr>
          <w:rFonts w:cs="Times New Roman"/>
          <w:lang w:val="fr-CA"/>
        </w:rPr>
        <w:t>haleine à la police diffère clairement de celle d</w:t>
      </w:r>
      <w:r>
        <w:rPr>
          <w:rFonts w:cs="Times New Roman"/>
          <w:lang w:val="fr-CA"/>
        </w:rPr>
        <w:t>’</w:t>
      </w:r>
      <w:r w:rsidRPr="001B30C8">
        <w:rPr>
          <w:rFonts w:cs="Times New Roman"/>
          <w:lang w:val="fr-CA"/>
        </w:rPr>
        <w:t>une personne qui l</w:t>
      </w:r>
      <w:r>
        <w:rPr>
          <w:rFonts w:cs="Times New Roman"/>
          <w:lang w:val="fr-CA"/>
        </w:rPr>
        <w:t>’</w:t>
      </w:r>
      <w:r w:rsidRPr="001B30C8">
        <w:rPr>
          <w:rFonts w:cs="Times New Roman"/>
          <w:lang w:val="fr-CA"/>
        </w:rPr>
        <w:t>est et qui ne fournit pas d</w:t>
      </w:r>
      <w:r>
        <w:rPr>
          <w:rFonts w:cs="Times New Roman"/>
          <w:lang w:val="fr-CA"/>
        </w:rPr>
        <w:t>’</w:t>
      </w:r>
      <w:r w:rsidRPr="001B30C8">
        <w:rPr>
          <w:rFonts w:cs="Times New Roman"/>
          <w:lang w:val="fr-CA"/>
        </w:rPr>
        <w:t>échantillon d</w:t>
      </w:r>
      <w:r>
        <w:rPr>
          <w:rFonts w:cs="Times New Roman"/>
          <w:lang w:val="fr-CA"/>
        </w:rPr>
        <w:t>’</w:t>
      </w:r>
      <w:r w:rsidRPr="001B30C8">
        <w:rPr>
          <w:rFonts w:cs="Times New Roman"/>
          <w:lang w:val="fr-CA"/>
        </w:rPr>
        <w:t>haleine à la police. Se pose alors la question suivante : jusqu</w:t>
      </w:r>
      <w:r>
        <w:rPr>
          <w:rFonts w:cs="Times New Roman"/>
          <w:lang w:val="fr-CA"/>
        </w:rPr>
        <w:t>’</w:t>
      </w:r>
      <w:r w:rsidRPr="001B30C8">
        <w:rPr>
          <w:rFonts w:cs="Times New Roman"/>
          <w:lang w:val="fr-CA"/>
        </w:rPr>
        <w:t>à quel point?</w:t>
      </w:r>
    </w:p>
    <w:p w:rsidR="001A0BA2" w:rsidRPr="001B30C8" w:rsidRDefault="001A0BA2" w:rsidP="001A0BA2">
      <w:pPr>
        <w:pStyle w:val="ParaNoNdepar-AltN"/>
        <w:rPr>
          <w:rFonts w:cs="Times New Roman"/>
          <w:lang w:val="fr-CA"/>
        </w:rPr>
      </w:pPr>
      <w:r w:rsidRPr="001B30C8">
        <w:rPr>
          <w:rFonts w:cs="Times New Roman"/>
          <w:lang w:val="fr-CA"/>
        </w:rPr>
        <w:t>Répondre à cette question est, bien sûr, une démarche factuelle qui dépend des circonstances particulières de l</w:t>
      </w:r>
      <w:r>
        <w:rPr>
          <w:rFonts w:cs="Times New Roman"/>
          <w:lang w:val="fr-CA"/>
        </w:rPr>
        <w:t>’</w:t>
      </w:r>
      <w:r w:rsidRPr="001B30C8">
        <w:rPr>
          <w:rFonts w:cs="Times New Roman"/>
          <w:lang w:val="fr-CA"/>
        </w:rPr>
        <w:t>affaire. Cela dit, j</w:t>
      </w:r>
      <w:r>
        <w:rPr>
          <w:rFonts w:cs="Times New Roman"/>
          <w:lang w:val="fr-CA"/>
        </w:rPr>
        <w:t>’</w:t>
      </w:r>
      <w:r w:rsidRPr="001B30C8">
        <w:rPr>
          <w:rFonts w:cs="Times New Roman"/>
          <w:lang w:val="fr-CA"/>
        </w:rPr>
        <w:t>estime que de solides raisons de principe commandent de limiter l</w:t>
      </w:r>
      <w:r>
        <w:rPr>
          <w:rFonts w:cs="Times New Roman"/>
          <w:lang w:val="fr-CA"/>
        </w:rPr>
        <w:t>’</w:t>
      </w:r>
      <w:r w:rsidRPr="001B30C8">
        <w:rPr>
          <w:rFonts w:cs="Times New Roman"/>
          <w:lang w:val="fr-CA"/>
        </w:rPr>
        <w:t>effet atténuant de l</w:t>
      </w:r>
      <w:r>
        <w:rPr>
          <w:rFonts w:cs="Times New Roman"/>
          <w:lang w:val="fr-CA"/>
        </w:rPr>
        <w:t>’</w:t>
      </w:r>
      <w:r w:rsidRPr="001B30C8">
        <w:rPr>
          <w:rFonts w:cs="Times New Roman"/>
          <w:lang w:val="fr-CA"/>
        </w:rPr>
        <w:t>absence d</w:t>
      </w:r>
      <w:r>
        <w:rPr>
          <w:rFonts w:cs="Times New Roman"/>
          <w:lang w:val="fr-CA"/>
        </w:rPr>
        <w:t>’</w:t>
      </w:r>
      <w:r w:rsidRPr="001B30C8">
        <w:rPr>
          <w:rFonts w:cs="Times New Roman"/>
          <w:lang w:val="fr-CA"/>
        </w:rPr>
        <w:t>affaiblissement des facultés lors de l</w:t>
      </w:r>
      <w:r>
        <w:rPr>
          <w:rFonts w:cs="Times New Roman"/>
          <w:lang w:val="fr-CA"/>
        </w:rPr>
        <w:t>’</w:t>
      </w:r>
      <w:r w:rsidRPr="001B30C8">
        <w:rPr>
          <w:rFonts w:cs="Times New Roman"/>
          <w:lang w:val="fr-CA"/>
        </w:rPr>
        <w:t>audience de détermination de la peine à infliger pour une infraction de refus d</w:t>
      </w:r>
      <w:r>
        <w:rPr>
          <w:rFonts w:cs="Times New Roman"/>
          <w:lang w:val="fr-CA"/>
        </w:rPr>
        <w:t>’</w:t>
      </w:r>
      <w:r w:rsidRPr="001B30C8">
        <w:rPr>
          <w:rFonts w:cs="Times New Roman"/>
          <w:lang w:val="fr-CA"/>
        </w:rPr>
        <w:t xml:space="preserve">obtempérer prévue au </w:t>
      </w:r>
      <w:r w:rsidRPr="001B30C8">
        <w:rPr>
          <w:rFonts w:cs="Times New Roman"/>
          <w:i/>
          <w:lang w:val="fr-CA"/>
        </w:rPr>
        <w:t>Code criminel</w:t>
      </w:r>
      <w:r w:rsidRPr="001B30C8">
        <w:rPr>
          <w:rFonts w:cs="Times New Roman"/>
          <w:lang w:val="fr-CA"/>
        </w:rPr>
        <w:t>, qu</w:t>
      </w:r>
      <w:r>
        <w:rPr>
          <w:rFonts w:cs="Times New Roman"/>
          <w:lang w:val="fr-CA"/>
        </w:rPr>
        <w:t>’</w:t>
      </w:r>
      <w:r w:rsidRPr="001B30C8">
        <w:rPr>
          <w:rFonts w:cs="Times New Roman"/>
          <w:lang w:val="fr-CA"/>
        </w:rPr>
        <w:t>il s</w:t>
      </w:r>
      <w:r>
        <w:rPr>
          <w:rFonts w:cs="Times New Roman"/>
          <w:lang w:val="fr-CA"/>
        </w:rPr>
        <w:t>’</w:t>
      </w:r>
      <w:r w:rsidRPr="001B30C8">
        <w:rPr>
          <w:rFonts w:cs="Times New Roman"/>
          <w:lang w:val="fr-CA"/>
        </w:rPr>
        <w:t>agisse du refus de fournir un échantillon d</w:t>
      </w:r>
      <w:r>
        <w:rPr>
          <w:rFonts w:cs="Times New Roman"/>
          <w:lang w:val="fr-CA"/>
        </w:rPr>
        <w:t>’</w:t>
      </w:r>
      <w:r w:rsidRPr="001B30C8">
        <w:rPr>
          <w:rFonts w:cs="Times New Roman"/>
          <w:lang w:val="fr-CA"/>
        </w:rPr>
        <w:t xml:space="preserve">haleine </w:t>
      </w:r>
      <w:r w:rsidRPr="001B30C8">
        <w:rPr>
          <w:rFonts w:cs="Times New Roman"/>
          <w:i/>
          <w:lang w:val="fr-CA"/>
        </w:rPr>
        <w:t>simpliciter</w:t>
      </w:r>
      <w:r w:rsidRPr="001B30C8">
        <w:rPr>
          <w:rFonts w:cs="Times New Roman"/>
          <w:lang w:val="fr-CA"/>
        </w:rPr>
        <w:t xml:space="preserve"> visé au par. 254(5), du refus de fournir un échantillon d</w:t>
      </w:r>
      <w:r>
        <w:rPr>
          <w:rFonts w:cs="Times New Roman"/>
          <w:lang w:val="fr-CA"/>
        </w:rPr>
        <w:t>’</w:t>
      </w:r>
      <w:r w:rsidRPr="001B30C8">
        <w:rPr>
          <w:rFonts w:cs="Times New Roman"/>
          <w:lang w:val="fr-CA"/>
        </w:rPr>
        <w:t>haleine après avoir causé un accident ayant occasionné des lésions corporelles visé au par. 255(2.2) ou du refus de fournir un échantillon d</w:t>
      </w:r>
      <w:r>
        <w:rPr>
          <w:rFonts w:cs="Times New Roman"/>
          <w:lang w:val="fr-CA"/>
        </w:rPr>
        <w:t>’</w:t>
      </w:r>
      <w:r w:rsidRPr="001B30C8">
        <w:rPr>
          <w:rFonts w:cs="Times New Roman"/>
          <w:lang w:val="fr-CA"/>
        </w:rPr>
        <w:t>haleine après avoir causé un accident ayant occasionné la mort visé au par. 255(3.2).</w:t>
      </w:r>
    </w:p>
    <w:p w:rsidR="001A0BA2" w:rsidRPr="001B30C8" w:rsidRDefault="001A0BA2" w:rsidP="001A0BA2">
      <w:pPr>
        <w:pStyle w:val="ParaNoNdepar-AltN"/>
        <w:rPr>
          <w:rFonts w:cs="Times New Roman"/>
          <w:lang w:val="fr-CA"/>
        </w:rPr>
      </w:pPr>
      <w:r w:rsidRPr="001B30C8">
        <w:rPr>
          <w:rFonts w:cs="Times New Roman"/>
          <w:lang w:val="fr-CA"/>
        </w:rPr>
        <w:t>Premièrement, en accordant une trop grande importance à l</w:t>
      </w:r>
      <w:r>
        <w:rPr>
          <w:rFonts w:cs="Times New Roman"/>
          <w:lang w:val="fr-CA"/>
        </w:rPr>
        <w:t>’</w:t>
      </w:r>
      <w:r w:rsidRPr="001B30C8">
        <w:rPr>
          <w:rFonts w:cs="Times New Roman"/>
          <w:lang w:val="fr-CA"/>
        </w:rPr>
        <w:t>effet atténuant de l</w:t>
      </w:r>
      <w:r>
        <w:rPr>
          <w:rFonts w:cs="Times New Roman"/>
          <w:lang w:val="fr-CA"/>
        </w:rPr>
        <w:t>’</w:t>
      </w:r>
      <w:r w:rsidRPr="001B30C8">
        <w:rPr>
          <w:rFonts w:cs="Times New Roman"/>
          <w:lang w:val="fr-CA"/>
        </w:rPr>
        <w:t>absence d</w:t>
      </w:r>
      <w:r>
        <w:rPr>
          <w:rFonts w:cs="Times New Roman"/>
          <w:lang w:val="fr-CA"/>
        </w:rPr>
        <w:t>’</w:t>
      </w:r>
      <w:r w:rsidRPr="001B30C8">
        <w:rPr>
          <w:rFonts w:cs="Times New Roman"/>
          <w:lang w:val="fr-CA"/>
        </w:rPr>
        <w:t>affaiblissement des facultés, on risque de transformer dans les faits les audiences de détermination de la peine concernant les infractions de refus d</w:t>
      </w:r>
      <w:r>
        <w:rPr>
          <w:rFonts w:cs="Times New Roman"/>
          <w:lang w:val="fr-CA"/>
        </w:rPr>
        <w:t>’</w:t>
      </w:r>
      <w:r w:rsidRPr="001B30C8">
        <w:rPr>
          <w:rFonts w:cs="Times New Roman"/>
          <w:lang w:val="fr-CA"/>
        </w:rPr>
        <w:t>obtempérer en procès pour conduite avec capacités affaiblies, ce qui ajouterait à la complexité et à la durée de ces procédures, en plus de réduire les ressources judiciaires limitées.</w:t>
      </w:r>
    </w:p>
    <w:p w:rsidR="001A0BA2" w:rsidRPr="001B30C8" w:rsidRDefault="001A0BA2" w:rsidP="001A0BA2">
      <w:pPr>
        <w:pStyle w:val="ParaNoNdepar-AltN"/>
        <w:rPr>
          <w:rFonts w:cs="Times New Roman"/>
          <w:lang w:val="fr-CA"/>
        </w:rPr>
      </w:pPr>
      <w:r w:rsidRPr="001B30C8">
        <w:rPr>
          <w:rFonts w:cs="Times New Roman"/>
          <w:lang w:val="fr-CA"/>
        </w:rPr>
        <w:lastRenderedPageBreak/>
        <w:t>Deuxièmement, bien que les infractions de refus d</w:t>
      </w:r>
      <w:r>
        <w:rPr>
          <w:rFonts w:cs="Times New Roman"/>
          <w:lang w:val="fr-CA"/>
        </w:rPr>
        <w:t>’</w:t>
      </w:r>
      <w:r w:rsidRPr="001B30C8">
        <w:rPr>
          <w:rFonts w:cs="Times New Roman"/>
          <w:lang w:val="fr-CA"/>
        </w:rPr>
        <w:t xml:space="preserve">obtempérer visent sans aucun doute à décourager la conduite avec facultés affaiblies, le par. 255(3.2) du </w:t>
      </w:r>
      <w:r w:rsidRPr="001B30C8">
        <w:rPr>
          <w:rFonts w:cs="Times New Roman"/>
          <w:i/>
          <w:lang w:val="fr-CA"/>
        </w:rPr>
        <w:t>Code criminel</w:t>
      </w:r>
      <w:r w:rsidRPr="001B30C8">
        <w:rPr>
          <w:rFonts w:cs="Times New Roman"/>
          <w:lang w:val="fr-CA"/>
        </w:rPr>
        <w:t>, à l</w:t>
      </w:r>
      <w:r>
        <w:rPr>
          <w:rFonts w:cs="Times New Roman"/>
          <w:lang w:val="fr-CA"/>
        </w:rPr>
        <w:t>’</w:t>
      </w:r>
      <w:r w:rsidRPr="001B30C8">
        <w:rPr>
          <w:rFonts w:cs="Times New Roman"/>
          <w:lang w:val="fr-CA"/>
        </w:rPr>
        <w:t>instar des par. 254(5) et 255(2.2), sert aussi essentiellement à recueillir des éléments de preuve. En refusant de fournir un échantillon d</w:t>
      </w:r>
      <w:r>
        <w:rPr>
          <w:rFonts w:cs="Times New Roman"/>
          <w:lang w:val="fr-CA"/>
        </w:rPr>
        <w:t>’</w:t>
      </w:r>
      <w:r w:rsidRPr="001B30C8">
        <w:rPr>
          <w:rFonts w:cs="Times New Roman"/>
          <w:lang w:val="fr-CA"/>
        </w:rPr>
        <w:t>haleine, une personne prive la police, le tribunal, le grand public et la famille du défunt de la preuve la plus fiable d</w:t>
      </w:r>
      <w:r>
        <w:rPr>
          <w:rFonts w:cs="Times New Roman"/>
          <w:lang w:val="fr-CA"/>
        </w:rPr>
        <w:t>’</w:t>
      </w:r>
      <w:r w:rsidRPr="001B30C8">
        <w:rPr>
          <w:rFonts w:cs="Times New Roman"/>
          <w:lang w:val="fr-CA"/>
        </w:rPr>
        <w:t>affaiblissement des facultés — ou d</w:t>
      </w:r>
      <w:r>
        <w:rPr>
          <w:rFonts w:cs="Times New Roman"/>
          <w:lang w:val="fr-CA"/>
        </w:rPr>
        <w:t>’</w:t>
      </w:r>
      <w:r w:rsidRPr="001B30C8">
        <w:rPr>
          <w:rFonts w:cs="Times New Roman"/>
          <w:lang w:val="fr-CA"/>
        </w:rPr>
        <w:t>absence d</w:t>
      </w:r>
      <w:r>
        <w:rPr>
          <w:rFonts w:cs="Times New Roman"/>
          <w:lang w:val="fr-CA"/>
        </w:rPr>
        <w:t>’</w:t>
      </w:r>
      <w:r w:rsidRPr="001B30C8">
        <w:rPr>
          <w:rFonts w:cs="Times New Roman"/>
          <w:lang w:val="fr-CA"/>
        </w:rPr>
        <w:t>affaiblissement de celles</w:t>
      </w:r>
      <w:r w:rsidRPr="001B30C8">
        <w:rPr>
          <w:rFonts w:cs="Times New Roman"/>
          <w:lang w:val="fr-CA"/>
        </w:rPr>
        <w:noBreakHyphen/>
        <w:t>ci. Le refus est l</w:t>
      </w:r>
      <w:r>
        <w:rPr>
          <w:rFonts w:cs="Times New Roman"/>
          <w:lang w:val="fr-CA"/>
        </w:rPr>
        <w:t>’</w:t>
      </w:r>
      <w:r w:rsidRPr="001B30C8">
        <w:rPr>
          <w:rFonts w:cs="Times New Roman"/>
          <w:lang w:val="fr-CA"/>
        </w:rPr>
        <w:t>élément essentiel de l</w:t>
      </w:r>
      <w:r>
        <w:rPr>
          <w:rFonts w:cs="Times New Roman"/>
          <w:lang w:val="fr-CA"/>
        </w:rPr>
        <w:t>’</w:t>
      </w:r>
      <w:r w:rsidRPr="001B30C8">
        <w:rPr>
          <w:rFonts w:cs="Times New Roman"/>
          <w:lang w:val="fr-CA"/>
        </w:rPr>
        <w:t>infraction. En conséquence, la gravité de l</w:t>
      </w:r>
      <w:r>
        <w:rPr>
          <w:rFonts w:cs="Times New Roman"/>
          <w:lang w:val="fr-CA"/>
        </w:rPr>
        <w:t>’</w:t>
      </w:r>
      <w:r w:rsidRPr="001B30C8">
        <w:rPr>
          <w:rFonts w:cs="Times New Roman"/>
          <w:lang w:val="fr-CA"/>
        </w:rPr>
        <w:t>infraction et la culpabilité morale du délinquant découlent surtout du refus lui</w:t>
      </w:r>
      <w:r w:rsidRPr="001B30C8">
        <w:rPr>
          <w:rFonts w:cs="Times New Roman"/>
          <w:lang w:val="fr-CA"/>
        </w:rPr>
        <w:noBreakHyphen/>
        <w:t>même, et non du degré d</w:t>
      </w:r>
      <w:r>
        <w:rPr>
          <w:rFonts w:cs="Times New Roman"/>
          <w:lang w:val="fr-CA"/>
        </w:rPr>
        <w:t>’</w:t>
      </w:r>
      <w:r w:rsidRPr="001B30C8">
        <w:rPr>
          <w:rFonts w:cs="Times New Roman"/>
          <w:lang w:val="fr-CA"/>
        </w:rPr>
        <w:t>affaiblissement des facultés du délinquant.</w:t>
      </w:r>
    </w:p>
    <w:p w:rsidR="001A0BA2" w:rsidRPr="001B30C8" w:rsidRDefault="001A0BA2" w:rsidP="001A0BA2">
      <w:pPr>
        <w:pStyle w:val="ParaNoNdepar-AltN"/>
        <w:rPr>
          <w:rFonts w:cs="Times New Roman"/>
          <w:lang w:val="fr-CA"/>
        </w:rPr>
      </w:pPr>
      <w:r w:rsidRPr="001B30C8">
        <w:rPr>
          <w:rFonts w:cs="Times New Roman"/>
          <w:lang w:val="fr-CA"/>
        </w:rPr>
        <w:t>Troisièmement, le fait d</w:t>
      </w:r>
      <w:r>
        <w:rPr>
          <w:rFonts w:cs="Times New Roman"/>
          <w:lang w:val="fr-CA"/>
        </w:rPr>
        <w:t>’</w:t>
      </w:r>
      <w:r w:rsidRPr="001B30C8">
        <w:rPr>
          <w:rFonts w:cs="Times New Roman"/>
          <w:lang w:val="fr-CA"/>
        </w:rPr>
        <w:t>accorder trop d</w:t>
      </w:r>
      <w:r>
        <w:rPr>
          <w:rFonts w:cs="Times New Roman"/>
          <w:lang w:val="fr-CA"/>
        </w:rPr>
        <w:t>’</w:t>
      </w:r>
      <w:r w:rsidRPr="001B30C8">
        <w:rPr>
          <w:rFonts w:cs="Times New Roman"/>
          <w:lang w:val="fr-CA"/>
        </w:rPr>
        <w:t>importance à l</w:t>
      </w:r>
      <w:r>
        <w:rPr>
          <w:rFonts w:cs="Times New Roman"/>
          <w:lang w:val="fr-CA"/>
        </w:rPr>
        <w:t>’</w:t>
      </w:r>
      <w:r w:rsidRPr="001B30C8">
        <w:rPr>
          <w:rFonts w:cs="Times New Roman"/>
          <w:lang w:val="fr-CA"/>
        </w:rPr>
        <w:t>absence d</w:t>
      </w:r>
      <w:r>
        <w:rPr>
          <w:rFonts w:cs="Times New Roman"/>
          <w:lang w:val="fr-CA"/>
        </w:rPr>
        <w:t>’</w:t>
      </w:r>
      <w:r w:rsidRPr="001B30C8">
        <w:rPr>
          <w:rFonts w:cs="Times New Roman"/>
          <w:lang w:val="fr-CA"/>
        </w:rPr>
        <w:t>affaiblissement des facultés en tant que facteur atténuant lors de la détermination de la peine risque concrètement d</w:t>
      </w:r>
      <w:r>
        <w:rPr>
          <w:rFonts w:cs="Times New Roman"/>
          <w:lang w:val="fr-CA"/>
        </w:rPr>
        <w:t>’</w:t>
      </w:r>
      <w:r w:rsidRPr="001B30C8">
        <w:rPr>
          <w:rFonts w:cs="Times New Roman"/>
          <w:lang w:val="fr-CA"/>
        </w:rPr>
        <w:t>inciter des personnes à ne pas fournir d</w:t>
      </w:r>
      <w:r>
        <w:rPr>
          <w:rFonts w:cs="Times New Roman"/>
          <w:lang w:val="fr-CA"/>
        </w:rPr>
        <w:t>’</w:t>
      </w:r>
      <w:r w:rsidRPr="001B30C8">
        <w:rPr>
          <w:rFonts w:cs="Times New Roman"/>
          <w:lang w:val="fr-CA"/>
        </w:rPr>
        <w:t>échantillon d</w:t>
      </w:r>
      <w:r>
        <w:rPr>
          <w:rFonts w:cs="Times New Roman"/>
          <w:lang w:val="fr-CA"/>
        </w:rPr>
        <w:t>’</w:t>
      </w:r>
      <w:r w:rsidRPr="001B30C8">
        <w:rPr>
          <w:rFonts w:cs="Times New Roman"/>
          <w:lang w:val="fr-CA"/>
        </w:rPr>
        <w:t>haleine à la police. Le législateur fédéral a tenté d</w:t>
      </w:r>
      <w:r>
        <w:rPr>
          <w:rFonts w:cs="Times New Roman"/>
          <w:lang w:val="fr-CA"/>
        </w:rPr>
        <w:t>’</w:t>
      </w:r>
      <w:r w:rsidRPr="001B30C8">
        <w:rPr>
          <w:rFonts w:cs="Times New Roman"/>
          <w:lang w:val="fr-CA"/>
        </w:rPr>
        <w:t>éliminer les raisons incitant à refuser d</w:t>
      </w:r>
      <w:r>
        <w:rPr>
          <w:rFonts w:cs="Times New Roman"/>
          <w:lang w:val="fr-CA"/>
        </w:rPr>
        <w:t>’</w:t>
      </w:r>
      <w:r w:rsidRPr="001B30C8">
        <w:rPr>
          <w:rFonts w:cs="Times New Roman"/>
          <w:lang w:val="fr-CA"/>
        </w:rPr>
        <w:t xml:space="preserve">obtempérer dans les modifications apportées au </w:t>
      </w:r>
      <w:r w:rsidRPr="001B30C8">
        <w:rPr>
          <w:rFonts w:cs="Times New Roman"/>
          <w:i/>
          <w:lang w:val="fr-CA"/>
        </w:rPr>
        <w:t>Code criminel</w:t>
      </w:r>
      <w:r w:rsidRPr="001B30C8">
        <w:rPr>
          <w:rFonts w:cs="Times New Roman"/>
          <w:lang w:val="fr-CA"/>
        </w:rPr>
        <w:t xml:space="preserve"> en 2008 (voir la </w:t>
      </w:r>
      <w:r w:rsidRPr="001B30C8">
        <w:rPr>
          <w:rFonts w:cs="Times New Roman"/>
          <w:i/>
          <w:lang w:val="fr-CA"/>
        </w:rPr>
        <w:t>Loi modifiant le Code criminel et d</w:t>
      </w:r>
      <w:r>
        <w:rPr>
          <w:rFonts w:cs="Times New Roman"/>
          <w:i/>
          <w:lang w:val="fr-CA"/>
        </w:rPr>
        <w:t>’</w:t>
      </w:r>
      <w:r w:rsidRPr="001B30C8">
        <w:rPr>
          <w:rFonts w:cs="Times New Roman"/>
          <w:i/>
          <w:lang w:val="fr-CA"/>
        </w:rPr>
        <w:t>autres lois en conséquence</w:t>
      </w:r>
      <w:r w:rsidRPr="001B30C8">
        <w:rPr>
          <w:rFonts w:cs="Times New Roman"/>
          <w:lang w:val="fr-CA"/>
        </w:rPr>
        <w:t>, L.C. 2008, c. 6, par. 21(3), ajoutant les par. 255(2.2) et (3.2)). Avant 2008, l</w:t>
      </w:r>
      <w:r>
        <w:rPr>
          <w:rFonts w:cs="Times New Roman"/>
          <w:lang w:val="fr-CA"/>
        </w:rPr>
        <w:t>’</w:t>
      </w:r>
      <w:r w:rsidRPr="001B30C8">
        <w:rPr>
          <w:rFonts w:cs="Times New Roman"/>
          <w:lang w:val="fr-CA"/>
        </w:rPr>
        <w:t>infraction grave de refus de fournir un échantillon d</w:t>
      </w:r>
      <w:r>
        <w:rPr>
          <w:rFonts w:cs="Times New Roman"/>
          <w:lang w:val="fr-CA"/>
        </w:rPr>
        <w:t>’</w:t>
      </w:r>
      <w:r w:rsidRPr="001B30C8">
        <w:rPr>
          <w:rFonts w:cs="Times New Roman"/>
          <w:lang w:val="fr-CA"/>
        </w:rPr>
        <w:t>haleine dans les cas de conduite ayant causé des lésions corporelles ou la mort n</w:t>
      </w:r>
      <w:r>
        <w:rPr>
          <w:rFonts w:cs="Times New Roman"/>
          <w:lang w:val="fr-CA"/>
        </w:rPr>
        <w:t>’</w:t>
      </w:r>
      <w:r w:rsidRPr="001B30C8">
        <w:rPr>
          <w:rFonts w:cs="Times New Roman"/>
          <w:lang w:val="fr-CA"/>
        </w:rPr>
        <w:t>existait pas — seule l</w:t>
      </w:r>
      <w:r>
        <w:rPr>
          <w:rFonts w:cs="Times New Roman"/>
          <w:lang w:val="fr-CA"/>
        </w:rPr>
        <w:t>’</w:t>
      </w:r>
      <w:r w:rsidRPr="001B30C8">
        <w:rPr>
          <w:rFonts w:cs="Times New Roman"/>
          <w:lang w:val="fr-CA"/>
        </w:rPr>
        <w:t>infraction de refus de fournir un échantillon d</w:t>
      </w:r>
      <w:r>
        <w:rPr>
          <w:rFonts w:cs="Times New Roman"/>
          <w:lang w:val="fr-CA"/>
        </w:rPr>
        <w:t>’</w:t>
      </w:r>
      <w:r w:rsidRPr="001B30C8">
        <w:rPr>
          <w:rFonts w:cs="Times New Roman"/>
          <w:lang w:val="fr-CA"/>
        </w:rPr>
        <w:t xml:space="preserve">haleine </w:t>
      </w:r>
      <w:r w:rsidRPr="001B30C8">
        <w:rPr>
          <w:rFonts w:cs="Times New Roman"/>
          <w:i/>
          <w:lang w:val="fr-CA"/>
        </w:rPr>
        <w:t>simpliciter</w:t>
      </w:r>
      <w:r w:rsidRPr="001B30C8">
        <w:rPr>
          <w:rFonts w:cs="Times New Roman"/>
          <w:lang w:val="fr-CA"/>
        </w:rPr>
        <w:t>, qui était passible d</w:t>
      </w:r>
      <w:r>
        <w:rPr>
          <w:rFonts w:cs="Times New Roman"/>
          <w:lang w:val="fr-CA"/>
        </w:rPr>
        <w:t>’</w:t>
      </w:r>
      <w:r w:rsidRPr="001B30C8">
        <w:rPr>
          <w:rFonts w:cs="Times New Roman"/>
          <w:lang w:val="fr-CA"/>
        </w:rPr>
        <w:t>une peine maximale de cinq ans d</w:t>
      </w:r>
      <w:r>
        <w:rPr>
          <w:rFonts w:cs="Times New Roman"/>
          <w:lang w:val="fr-CA"/>
        </w:rPr>
        <w:t>’</w:t>
      </w:r>
      <w:r w:rsidRPr="001B30C8">
        <w:rPr>
          <w:rFonts w:cs="Times New Roman"/>
          <w:lang w:val="fr-CA"/>
        </w:rPr>
        <w:t>emprisonnement, existait. Il y avait cependant des infractions graves de conduite avec capacités affaiblies et de conduite avec une alcoolémie « supérieure à 80 mg », ayant causé des lésions corporelles ou la mort, qui étaient passibles respectivement d</w:t>
      </w:r>
      <w:r>
        <w:rPr>
          <w:rFonts w:cs="Times New Roman"/>
          <w:lang w:val="fr-CA"/>
        </w:rPr>
        <w:t>’</w:t>
      </w:r>
      <w:r w:rsidRPr="001B30C8">
        <w:rPr>
          <w:rFonts w:cs="Times New Roman"/>
          <w:lang w:val="fr-CA"/>
        </w:rPr>
        <w:t>une peine maximale d</w:t>
      </w:r>
      <w:r>
        <w:rPr>
          <w:rFonts w:cs="Times New Roman"/>
          <w:lang w:val="fr-CA"/>
        </w:rPr>
        <w:t>’</w:t>
      </w:r>
      <w:r w:rsidRPr="001B30C8">
        <w:rPr>
          <w:rFonts w:cs="Times New Roman"/>
          <w:lang w:val="fr-CA"/>
        </w:rPr>
        <w:t>emprisonnement de 10 ans et d</w:t>
      </w:r>
      <w:r>
        <w:rPr>
          <w:rFonts w:cs="Times New Roman"/>
          <w:lang w:val="fr-CA"/>
        </w:rPr>
        <w:t>’</w:t>
      </w:r>
      <w:r w:rsidRPr="001B30C8">
        <w:rPr>
          <w:rFonts w:cs="Times New Roman"/>
          <w:lang w:val="fr-CA"/>
        </w:rPr>
        <w:t>une peine maximale d</w:t>
      </w:r>
      <w:r>
        <w:rPr>
          <w:rFonts w:cs="Times New Roman"/>
          <w:lang w:val="fr-CA"/>
        </w:rPr>
        <w:t>’</w:t>
      </w:r>
      <w:r w:rsidRPr="001B30C8">
        <w:rPr>
          <w:rFonts w:cs="Times New Roman"/>
          <w:lang w:val="fr-CA"/>
        </w:rPr>
        <w:t xml:space="preserve">emprisonnement à perpétuité. </w:t>
      </w:r>
    </w:p>
    <w:p w:rsidR="001A0BA2" w:rsidRPr="001B30C8" w:rsidRDefault="001A0BA2" w:rsidP="001A0BA2">
      <w:pPr>
        <w:pStyle w:val="ParaNoNdepar-AltN"/>
        <w:rPr>
          <w:rFonts w:cs="Times New Roman"/>
          <w:lang w:val="fr-CA"/>
        </w:rPr>
      </w:pPr>
      <w:r w:rsidRPr="001B30C8">
        <w:rPr>
          <w:rFonts w:cs="Times New Roman"/>
          <w:lang w:val="fr-CA"/>
        </w:rPr>
        <w:lastRenderedPageBreak/>
        <w:t>En conséquence, le régime antérieur à 2008 incitait à refuser de fournir un échantillon d</w:t>
      </w:r>
      <w:r>
        <w:rPr>
          <w:rFonts w:cs="Times New Roman"/>
          <w:lang w:val="fr-CA"/>
        </w:rPr>
        <w:t>’</w:t>
      </w:r>
      <w:r w:rsidRPr="001B30C8">
        <w:rPr>
          <w:rFonts w:cs="Times New Roman"/>
          <w:lang w:val="fr-CA"/>
        </w:rPr>
        <w:t>haleine dans les cas de conduite ayant occasionné des lésions corporelles ou la mort en raison de la peine beaucoup plus clémente qui s</w:t>
      </w:r>
      <w:r>
        <w:rPr>
          <w:rFonts w:cs="Times New Roman"/>
          <w:lang w:val="fr-CA"/>
        </w:rPr>
        <w:t>’</w:t>
      </w:r>
      <w:r w:rsidRPr="001B30C8">
        <w:rPr>
          <w:rFonts w:cs="Times New Roman"/>
          <w:lang w:val="fr-CA"/>
        </w:rPr>
        <w:t>attachait à une telle infraction comparativement à celle qui s</w:t>
      </w:r>
      <w:r>
        <w:rPr>
          <w:rFonts w:cs="Times New Roman"/>
          <w:lang w:val="fr-CA"/>
        </w:rPr>
        <w:t>’</w:t>
      </w:r>
      <w:r w:rsidRPr="001B30C8">
        <w:rPr>
          <w:rFonts w:cs="Times New Roman"/>
          <w:lang w:val="fr-CA"/>
        </w:rPr>
        <w:t xml:space="preserve">attachait aux infractions graves de conduite avec capacités affaiblies et de conduite avec une alcoolémie « supérieure à 80 mg ». En 2008, le législateur a modifié le </w:t>
      </w:r>
      <w:r w:rsidRPr="001B30C8">
        <w:rPr>
          <w:rFonts w:cs="Times New Roman"/>
          <w:i/>
          <w:lang w:val="fr-CA"/>
        </w:rPr>
        <w:t xml:space="preserve">Code criminel </w:t>
      </w:r>
      <w:r w:rsidRPr="001B30C8">
        <w:rPr>
          <w:rFonts w:cs="Times New Roman"/>
          <w:lang w:val="fr-CA"/>
        </w:rPr>
        <w:t>et a créé deux nouvelles infractions : le refus de fournir un échantillon d</w:t>
      </w:r>
      <w:r>
        <w:rPr>
          <w:rFonts w:cs="Times New Roman"/>
          <w:lang w:val="fr-CA"/>
        </w:rPr>
        <w:t>’</w:t>
      </w:r>
      <w:r w:rsidRPr="001B30C8">
        <w:rPr>
          <w:rFonts w:cs="Times New Roman"/>
          <w:lang w:val="fr-CA"/>
        </w:rPr>
        <w:t>haleine dans les cas de conduite ayant occasionné des lésions corporelles (par. 255(2.2)) et le refus de fournir un échantillon d</w:t>
      </w:r>
      <w:r>
        <w:rPr>
          <w:rFonts w:cs="Times New Roman"/>
          <w:lang w:val="fr-CA"/>
        </w:rPr>
        <w:t>’</w:t>
      </w:r>
      <w:r w:rsidRPr="001B30C8">
        <w:rPr>
          <w:rFonts w:cs="Times New Roman"/>
          <w:lang w:val="fr-CA"/>
        </w:rPr>
        <w:t>haleine dans les cas de conduite ayant occasionné la mort (par. 255(3.2)). Comme ces nouvelles infractions sont passibles des mêmes peines maximales que les infractions graves de conduite avec capacités affaiblies et de conduite avec une alcoolémie « supérieure à 80 mg », le législateur a éliminé les raisons incitant à refuser de fournir un échantillon d</w:t>
      </w:r>
      <w:r>
        <w:rPr>
          <w:rFonts w:cs="Times New Roman"/>
          <w:lang w:val="fr-CA"/>
        </w:rPr>
        <w:t>’</w:t>
      </w:r>
      <w:r w:rsidRPr="001B30C8">
        <w:rPr>
          <w:rFonts w:cs="Times New Roman"/>
          <w:lang w:val="fr-CA"/>
        </w:rPr>
        <w:t>haleine à la police.</w:t>
      </w:r>
    </w:p>
    <w:p w:rsidR="001A0BA2" w:rsidRPr="001B30C8" w:rsidRDefault="001A0BA2" w:rsidP="001A0BA2">
      <w:pPr>
        <w:pStyle w:val="ParaNoNdepar-AltN"/>
        <w:rPr>
          <w:rFonts w:cs="Times New Roman"/>
          <w:lang w:val="fr-CA"/>
        </w:rPr>
      </w:pPr>
      <w:r w:rsidRPr="001B30C8">
        <w:rPr>
          <w:rFonts w:cs="Times New Roman"/>
          <w:lang w:val="fr-CA"/>
        </w:rPr>
        <w:t>L</w:t>
      </w:r>
      <w:r>
        <w:rPr>
          <w:rFonts w:cs="Times New Roman"/>
          <w:lang w:val="fr-CA"/>
        </w:rPr>
        <w:t>’</w:t>
      </w:r>
      <w:r w:rsidRPr="001B30C8">
        <w:rPr>
          <w:rFonts w:cs="Times New Roman"/>
          <w:lang w:val="fr-CA"/>
        </w:rPr>
        <w:t>importance accordée à l</w:t>
      </w:r>
      <w:r>
        <w:rPr>
          <w:rFonts w:cs="Times New Roman"/>
          <w:lang w:val="fr-CA"/>
        </w:rPr>
        <w:t>’</w:t>
      </w:r>
      <w:r w:rsidRPr="001B30C8">
        <w:rPr>
          <w:rFonts w:cs="Times New Roman"/>
          <w:lang w:val="fr-CA"/>
        </w:rPr>
        <w:t>absence d</w:t>
      </w:r>
      <w:r>
        <w:rPr>
          <w:rFonts w:cs="Times New Roman"/>
          <w:lang w:val="fr-CA"/>
        </w:rPr>
        <w:t>’</w:t>
      </w:r>
      <w:r w:rsidRPr="001B30C8">
        <w:rPr>
          <w:rFonts w:cs="Times New Roman"/>
          <w:lang w:val="fr-CA"/>
        </w:rPr>
        <w:t>affaiblissement des facultés en tant que facteur atténuant lors de la détermination de la peine ne saurait contrecarrer l</w:t>
      </w:r>
      <w:r>
        <w:rPr>
          <w:rFonts w:cs="Times New Roman"/>
          <w:lang w:val="fr-CA"/>
        </w:rPr>
        <w:t>’</w:t>
      </w:r>
      <w:r w:rsidRPr="001B30C8">
        <w:rPr>
          <w:rFonts w:cs="Times New Roman"/>
          <w:lang w:val="fr-CA"/>
        </w:rPr>
        <w:t>intention du législateur à cet égard. Considérer que l</w:t>
      </w:r>
      <w:r>
        <w:rPr>
          <w:rFonts w:cs="Times New Roman"/>
          <w:lang w:val="fr-CA"/>
        </w:rPr>
        <w:t>’</w:t>
      </w:r>
      <w:r w:rsidRPr="001B30C8">
        <w:rPr>
          <w:rFonts w:cs="Times New Roman"/>
          <w:lang w:val="fr-CA"/>
        </w:rPr>
        <w:t>absence d</w:t>
      </w:r>
      <w:r>
        <w:rPr>
          <w:rFonts w:cs="Times New Roman"/>
          <w:lang w:val="fr-CA"/>
        </w:rPr>
        <w:t>’</w:t>
      </w:r>
      <w:r w:rsidRPr="001B30C8">
        <w:rPr>
          <w:rFonts w:cs="Times New Roman"/>
          <w:lang w:val="fr-CA"/>
        </w:rPr>
        <w:t>affaiblissement des facultés constitue un facteur atténuant important pourrait inciter des délinquants à refuser de fournir un échantillon d</w:t>
      </w:r>
      <w:r>
        <w:rPr>
          <w:rFonts w:cs="Times New Roman"/>
          <w:lang w:val="fr-CA"/>
        </w:rPr>
        <w:t>’</w:t>
      </w:r>
      <w:r w:rsidRPr="001B30C8">
        <w:rPr>
          <w:rFonts w:cs="Times New Roman"/>
          <w:lang w:val="fr-CA"/>
        </w:rPr>
        <w:t>haleine à la police, et à être reconnus coupables de l</w:t>
      </w:r>
      <w:r>
        <w:rPr>
          <w:rFonts w:cs="Times New Roman"/>
          <w:lang w:val="fr-CA"/>
        </w:rPr>
        <w:t>’</w:t>
      </w:r>
      <w:r w:rsidRPr="001B30C8">
        <w:rPr>
          <w:rFonts w:cs="Times New Roman"/>
          <w:lang w:val="fr-CA"/>
        </w:rPr>
        <w:t>infraction de refus d</w:t>
      </w:r>
      <w:r>
        <w:rPr>
          <w:rFonts w:cs="Times New Roman"/>
          <w:lang w:val="fr-CA"/>
        </w:rPr>
        <w:t>’</w:t>
      </w:r>
      <w:r w:rsidRPr="001B30C8">
        <w:rPr>
          <w:rFonts w:cs="Times New Roman"/>
          <w:lang w:val="fr-CA"/>
        </w:rPr>
        <w:t>obtempérer pour ensuite faire valoir à l</w:t>
      </w:r>
      <w:r>
        <w:rPr>
          <w:rFonts w:cs="Times New Roman"/>
          <w:lang w:val="fr-CA"/>
        </w:rPr>
        <w:t>’</w:t>
      </w:r>
      <w:r w:rsidRPr="001B30C8">
        <w:rPr>
          <w:rFonts w:cs="Times New Roman"/>
          <w:lang w:val="fr-CA"/>
        </w:rPr>
        <w:t>audience de détermination de la peine que leurs capacités n</w:t>
      </w:r>
      <w:r>
        <w:rPr>
          <w:rFonts w:cs="Times New Roman"/>
          <w:lang w:val="fr-CA"/>
        </w:rPr>
        <w:t>’</w:t>
      </w:r>
      <w:r w:rsidRPr="001B30C8">
        <w:rPr>
          <w:rFonts w:cs="Times New Roman"/>
          <w:lang w:val="fr-CA"/>
        </w:rPr>
        <w:t>étaient pas affaiblies. S</w:t>
      </w:r>
      <w:r>
        <w:rPr>
          <w:rFonts w:cs="Times New Roman"/>
          <w:lang w:val="fr-CA"/>
        </w:rPr>
        <w:t>’</w:t>
      </w:r>
      <w:r w:rsidRPr="001B30C8">
        <w:rPr>
          <w:rFonts w:cs="Times New Roman"/>
          <w:lang w:val="fr-CA"/>
        </w:rPr>
        <w:t>ils avaient gain de cause, ceux</w:t>
      </w:r>
      <w:r w:rsidRPr="001B30C8">
        <w:rPr>
          <w:rFonts w:cs="Times New Roman"/>
          <w:lang w:val="fr-CA"/>
        </w:rPr>
        <w:noBreakHyphen/>
        <w:t>ci bénéficieraient d</w:t>
      </w:r>
      <w:r>
        <w:rPr>
          <w:rFonts w:cs="Times New Roman"/>
          <w:lang w:val="fr-CA"/>
        </w:rPr>
        <w:t>’</w:t>
      </w:r>
      <w:r w:rsidRPr="001B30C8">
        <w:rPr>
          <w:rFonts w:cs="Times New Roman"/>
          <w:lang w:val="fr-CA"/>
        </w:rPr>
        <w:t>une peine considérablement moins lourde que celle dont ils auraient écopé s</w:t>
      </w:r>
      <w:r>
        <w:rPr>
          <w:rFonts w:cs="Times New Roman"/>
          <w:lang w:val="fr-CA"/>
        </w:rPr>
        <w:t>’</w:t>
      </w:r>
      <w:r w:rsidRPr="001B30C8">
        <w:rPr>
          <w:rFonts w:cs="Times New Roman"/>
          <w:lang w:val="fr-CA"/>
        </w:rPr>
        <w:t xml:space="preserve">ils avaient été reconnus coupables de conduite avec capacités affaiblies ou de conduite avec une « alcoolémie supérieure à 80 mg ». </w:t>
      </w:r>
    </w:p>
    <w:p w:rsidR="001A0BA2" w:rsidRPr="001B30C8" w:rsidRDefault="001A0BA2" w:rsidP="001A0BA2">
      <w:pPr>
        <w:pStyle w:val="ParaNoNdepar-AltN"/>
        <w:rPr>
          <w:rFonts w:cs="Times New Roman"/>
          <w:lang w:val="fr-CA"/>
        </w:rPr>
      </w:pPr>
      <w:r w:rsidRPr="001B30C8">
        <w:rPr>
          <w:rFonts w:cs="Times New Roman"/>
          <w:lang w:val="fr-CA"/>
        </w:rPr>
        <w:lastRenderedPageBreak/>
        <w:t>Pour éviter cela, l</w:t>
      </w:r>
      <w:r>
        <w:rPr>
          <w:rFonts w:cs="Times New Roman"/>
          <w:lang w:val="fr-CA"/>
        </w:rPr>
        <w:t>’</w:t>
      </w:r>
      <w:r w:rsidRPr="001B30C8">
        <w:rPr>
          <w:rFonts w:cs="Times New Roman"/>
          <w:lang w:val="fr-CA"/>
        </w:rPr>
        <w:t>effet atténuant de l</w:t>
      </w:r>
      <w:r>
        <w:rPr>
          <w:rFonts w:cs="Times New Roman"/>
          <w:lang w:val="fr-CA"/>
        </w:rPr>
        <w:t>’</w:t>
      </w:r>
      <w:r w:rsidRPr="001B30C8">
        <w:rPr>
          <w:rFonts w:cs="Times New Roman"/>
          <w:lang w:val="fr-CA"/>
        </w:rPr>
        <w:t>absence d</w:t>
      </w:r>
      <w:r>
        <w:rPr>
          <w:rFonts w:cs="Times New Roman"/>
          <w:lang w:val="fr-CA"/>
        </w:rPr>
        <w:t>’</w:t>
      </w:r>
      <w:r w:rsidRPr="001B30C8">
        <w:rPr>
          <w:rFonts w:cs="Times New Roman"/>
          <w:lang w:val="fr-CA"/>
        </w:rPr>
        <w:t>affaiblissement des facultés sur la peine du délinquant devrait être limité. En outre, il incombe au délinquant d</w:t>
      </w:r>
      <w:r>
        <w:rPr>
          <w:rFonts w:cs="Times New Roman"/>
          <w:lang w:val="fr-CA"/>
        </w:rPr>
        <w:t>’</w:t>
      </w:r>
      <w:r w:rsidRPr="001B30C8">
        <w:rPr>
          <w:rFonts w:cs="Times New Roman"/>
          <w:lang w:val="fr-CA"/>
        </w:rPr>
        <w:t>établir, selon la prépondérance des probabilités, que ses capacités n</w:t>
      </w:r>
      <w:r>
        <w:rPr>
          <w:rFonts w:cs="Times New Roman"/>
          <w:lang w:val="fr-CA"/>
        </w:rPr>
        <w:t>’</w:t>
      </w:r>
      <w:r w:rsidRPr="001B30C8">
        <w:rPr>
          <w:rFonts w:cs="Times New Roman"/>
          <w:lang w:val="fr-CA"/>
        </w:rPr>
        <w:t>étaient pas affaiblies au moment où l</w:t>
      </w:r>
      <w:r>
        <w:rPr>
          <w:rFonts w:cs="Times New Roman"/>
          <w:lang w:val="fr-CA"/>
        </w:rPr>
        <w:t>’</w:t>
      </w:r>
      <w:r w:rsidRPr="001B30C8">
        <w:rPr>
          <w:rFonts w:cs="Times New Roman"/>
          <w:lang w:val="fr-CA"/>
        </w:rPr>
        <w:t>infraction a été commise. Cela contribuera à prévenir l</w:t>
      </w:r>
      <w:r>
        <w:rPr>
          <w:rFonts w:cs="Times New Roman"/>
          <w:lang w:val="fr-CA"/>
        </w:rPr>
        <w:t>’</w:t>
      </w:r>
      <w:r w:rsidRPr="001B30C8">
        <w:rPr>
          <w:rFonts w:cs="Times New Roman"/>
          <w:lang w:val="fr-CA"/>
        </w:rPr>
        <w:t>avalanche de procès pour conduite avec capacités affaiblies susceptible de survenir à l</w:t>
      </w:r>
      <w:r>
        <w:rPr>
          <w:rFonts w:cs="Times New Roman"/>
          <w:lang w:val="fr-CA"/>
        </w:rPr>
        <w:t>’</w:t>
      </w:r>
      <w:r w:rsidRPr="001B30C8">
        <w:rPr>
          <w:rFonts w:cs="Times New Roman"/>
          <w:lang w:val="fr-CA"/>
        </w:rPr>
        <w:t>étape de la détermination de la peine des infractions de refus d</w:t>
      </w:r>
      <w:r>
        <w:rPr>
          <w:rFonts w:cs="Times New Roman"/>
          <w:lang w:val="fr-CA"/>
        </w:rPr>
        <w:t>’</w:t>
      </w:r>
      <w:r w:rsidRPr="001B30C8">
        <w:rPr>
          <w:rFonts w:cs="Times New Roman"/>
          <w:lang w:val="fr-CA"/>
        </w:rPr>
        <w:t xml:space="preserve">obtempérer, tout en faisant en sorte que les intentions et les objectifs du législateur soient respectés. </w:t>
      </w:r>
    </w:p>
    <w:p w:rsidR="001A0BA2" w:rsidRPr="001B30C8" w:rsidRDefault="001A0BA2" w:rsidP="001A0BA2">
      <w:pPr>
        <w:pStyle w:val="ParaNoNdepar-AltN"/>
        <w:rPr>
          <w:rFonts w:cs="Times New Roman"/>
          <w:lang w:val="fr-CA"/>
        </w:rPr>
      </w:pPr>
      <w:r w:rsidRPr="001B30C8">
        <w:rPr>
          <w:rFonts w:cs="Times New Roman"/>
          <w:lang w:val="fr-CA"/>
        </w:rPr>
        <w:t>Dans l</w:t>
      </w:r>
      <w:r>
        <w:rPr>
          <w:rFonts w:cs="Times New Roman"/>
          <w:lang w:val="fr-CA"/>
        </w:rPr>
        <w:t>’</w:t>
      </w:r>
      <w:r w:rsidRPr="001B30C8">
        <w:rPr>
          <w:rFonts w:cs="Times New Roman"/>
          <w:lang w:val="fr-CA"/>
        </w:rPr>
        <w:t>affaire qui nous occupe, le juge de la peine a accordé une importance considérable au fait que M. Suter n</w:t>
      </w:r>
      <w:r>
        <w:rPr>
          <w:rFonts w:cs="Times New Roman"/>
          <w:lang w:val="fr-CA"/>
        </w:rPr>
        <w:t>’</w:t>
      </w:r>
      <w:r w:rsidRPr="001B30C8">
        <w:rPr>
          <w:rFonts w:cs="Times New Roman"/>
          <w:lang w:val="fr-CA"/>
        </w:rPr>
        <w:t>avait pas les facultés affaiblies au moment de l</w:t>
      </w:r>
      <w:r>
        <w:rPr>
          <w:rFonts w:cs="Times New Roman"/>
          <w:lang w:val="fr-CA"/>
        </w:rPr>
        <w:t>’</w:t>
      </w:r>
      <w:r w:rsidRPr="001B30C8">
        <w:rPr>
          <w:rFonts w:cs="Times New Roman"/>
          <w:lang w:val="fr-CA"/>
        </w:rPr>
        <w:t>accident. Il a affirmé que [</w:t>
      </w:r>
      <w:r w:rsidRPr="001B30C8">
        <w:rPr>
          <w:rFonts w:cs="Times New Roman"/>
          <w:smallCaps/>
          <w:lang w:val="fr-CA"/>
        </w:rPr>
        <w:t>traduction</w:t>
      </w:r>
      <w:r w:rsidRPr="001B30C8">
        <w:rPr>
          <w:rFonts w:cs="Times New Roman"/>
          <w:lang w:val="fr-CA"/>
        </w:rPr>
        <w:t>] « [s]i la Cour devait infliger une peine pour conduite avec capacités affaiblies causant la mort dans les circonstances, la peine suggérée par la Couronne [trois ans] lui semblerait trop légère » (par. 75). Autrement dit, si M. Suter avait été reconnu coupable de conduite avec capacités affaiblies causant la mort, le juge de la peine lui aurait infligé une peine de plus de trois ans d</w:t>
      </w:r>
      <w:r>
        <w:rPr>
          <w:rFonts w:cs="Times New Roman"/>
          <w:lang w:val="fr-CA"/>
        </w:rPr>
        <w:t>’</w:t>
      </w:r>
      <w:r w:rsidRPr="001B30C8">
        <w:rPr>
          <w:rFonts w:cs="Times New Roman"/>
          <w:lang w:val="fr-CA"/>
        </w:rPr>
        <w:t>emprisonnement. Cependant, il a estimé que M. Suter n</w:t>
      </w:r>
      <w:r>
        <w:rPr>
          <w:rFonts w:cs="Times New Roman"/>
          <w:lang w:val="fr-CA"/>
        </w:rPr>
        <w:t>’</w:t>
      </w:r>
      <w:r w:rsidRPr="001B30C8">
        <w:rPr>
          <w:rFonts w:cs="Times New Roman"/>
          <w:lang w:val="fr-CA"/>
        </w:rPr>
        <w:t>avait pas les facultés affaiblies lorsqu</w:t>
      </w:r>
      <w:r>
        <w:rPr>
          <w:rFonts w:cs="Times New Roman"/>
          <w:lang w:val="fr-CA"/>
        </w:rPr>
        <w:t>’</w:t>
      </w:r>
      <w:r w:rsidRPr="001B30C8">
        <w:rPr>
          <w:rFonts w:cs="Times New Roman"/>
          <w:lang w:val="fr-CA"/>
        </w:rPr>
        <w:t>il a causé la mort de Geo Mounsef. Comme je l</w:t>
      </w:r>
      <w:r>
        <w:rPr>
          <w:rFonts w:cs="Times New Roman"/>
          <w:lang w:val="fr-CA"/>
        </w:rPr>
        <w:t>’</w:t>
      </w:r>
      <w:r w:rsidRPr="001B30C8">
        <w:rPr>
          <w:rFonts w:cs="Times New Roman"/>
          <w:lang w:val="fr-CA"/>
        </w:rPr>
        <w:t>ai dit, il a conclu qu</w:t>
      </w:r>
      <w:r>
        <w:rPr>
          <w:rFonts w:cs="Times New Roman"/>
          <w:lang w:val="fr-CA"/>
        </w:rPr>
        <w:t>’</w:t>
      </w:r>
      <w:r w:rsidRPr="001B30C8">
        <w:rPr>
          <w:rFonts w:cs="Times New Roman"/>
          <w:lang w:val="fr-CA"/>
        </w:rPr>
        <w:t>il s</w:t>
      </w:r>
      <w:r>
        <w:rPr>
          <w:rFonts w:cs="Times New Roman"/>
          <w:lang w:val="fr-CA"/>
        </w:rPr>
        <w:t>’</w:t>
      </w:r>
      <w:r w:rsidRPr="001B30C8">
        <w:rPr>
          <w:rFonts w:cs="Times New Roman"/>
          <w:lang w:val="fr-CA"/>
        </w:rPr>
        <w:t>était produit en l</w:t>
      </w:r>
      <w:r>
        <w:rPr>
          <w:rFonts w:cs="Times New Roman"/>
          <w:lang w:val="fr-CA"/>
        </w:rPr>
        <w:t>’</w:t>
      </w:r>
      <w:r w:rsidRPr="001B30C8">
        <w:rPr>
          <w:rFonts w:cs="Times New Roman"/>
          <w:lang w:val="fr-CA"/>
        </w:rPr>
        <w:t>espèce un [</w:t>
      </w:r>
      <w:r w:rsidRPr="001B30C8">
        <w:rPr>
          <w:rFonts w:cs="Times New Roman"/>
          <w:smallCaps/>
          <w:lang w:val="fr-CA"/>
        </w:rPr>
        <w:t>traduction</w:t>
      </w:r>
      <w:r w:rsidRPr="001B30C8">
        <w:rPr>
          <w:rFonts w:cs="Times New Roman"/>
          <w:lang w:val="fr-CA"/>
        </w:rPr>
        <w:t xml:space="preserve">] « accident </w:t>
      </w:r>
      <w:r w:rsidRPr="001B30C8">
        <w:rPr>
          <w:rFonts w:cs="Times New Roman"/>
          <w:noProof/>
          <w:lang w:val="fr-CA"/>
        </w:rPr>
        <w:t xml:space="preserve">causé par une erreur de conduite commise par une personne dont </w:t>
      </w:r>
      <w:r w:rsidRPr="001B30C8">
        <w:rPr>
          <w:rFonts w:cs="Times New Roman"/>
          <w:noProof/>
          <w:u w:val="single"/>
          <w:lang w:val="fr-CA"/>
        </w:rPr>
        <w:t>les facultés n</w:t>
      </w:r>
      <w:r>
        <w:rPr>
          <w:rFonts w:cs="Times New Roman"/>
          <w:noProof/>
          <w:u w:val="single"/>
          <w:lang w:val="fr-CA"/>
        </w:rPr>
        <w:t>’</w:t>
      </w:r>
      <w:r w:rsidRPr="001B30C8">
        <w:rPr>
          <w:rFonts w:cs="Times New Roman"/>
          <w:noProof/>
          <w:u w:val="single"/>
          <w:lang w:val="fr-CA"/>
        </w:rPr>
        <w:t>étaient pas affaiblies</w:t>
      </w:r>
      <w:r w:rsidRPr="001B30C8">
        <w:rPr>
          <w:rFonts w:cs="Times New Roman"/>
          <w:noProof/>
          <w:lang w:val="fr-CA"/>
        </w:rPr>
        <w:t> </w:t>
      </w:r>
      <w:r w:rsidRPr="001B30C8">
        <w:rPr>
          <w:rFonts w:cs="Times New Roman"/>
          <w:lang w:val="fr-CA"/>
        </w:rPr>
        <w:t>» (par. 76 (je souligne)). La preuve de l</w:t>
      </w:r>
      <w:r>
        <w:rPr>
          <w:rFonts w:cs="Times New Roman"/>
          <w:lang w:val="fr-CA"/>
        </w:rPr>
        <w:t>’</w:t>
      </w:r>
      <w:r w:rsidRPr="001B30C8">
        <w:rPr>
          <w:rFonts w:cs="Times New Roman"/>
          <w:lang w:val="fr-CA"/>
        </w:rPr>
        <w:t>absence d</w:t>
      </w:r>
      <w:r>
        <w:rPr>
          <w:rFonts w:cs="Times New Roman"/>
          <w:lang w:val="fr-CA"/>
        </w:rPr>
        <w:t>’</w:t>
      </w:r>
      <w:r w:rsidRPr="001B30C8">
        <w:rPr>
          <w:rFonts w:cs="Times New Roman"/>
          <w:lang w:val="fr-CA"/>
        </w:rPr>
        <w:t>affaiblissement des facultés — combinée à d</w:t>
      </w:r>
      <w:r>
        <w:rPr>
          <w:rFonts w:cs="Times New Roman"/>
          <w:lang w:val="fr-CA"/>
        </w:rPr>
        <w:t>’</w:t>
      </w:r>
      <w:r w:rsidRPr="001B30C8">
        <w:rPr>
          <w:rFonts w:cs="Times New Roman"/>
          <w:lang w:val="fr-CA"/>
        </w:rPr>
        <w:t>autres facteurs atténuants, notamment les mauvais conseils juridiques qu</w:t>
      </w:r>
      <w:r>
        <w:rPr>
          <w:rFonts w:cs="Times New Roman"/>
          <w:lang w:val="fr-CA"/>
        </w:rPr>
        <w:t>’</w:t>
      </w:r>
      <w:r w:rsidRPr="001B30C8">
        <w:rPr>
          <w:rFonts w:cs="Times New Roman"/>
          <w:lang w:val="fr-CA"/>
        </w:rPr>
        <w:t>a reçus M. Suter — « a amené la Cour à s</w:t>
      </w:r>
      <w:r>
        <w:rPr>
          <w:rFonts w:cs="Times New Roman"/>
          <w:lang w:val="fr-CA"/>
        </w:rPr>
        <w:t>’</w:t>
      </w:r>
      <w:r w:rsidRPr="001B30C8">
        <w:rPr>
          <w:rFonts w:cs="Times New Roman"/>
          <w:lang w:val="fr-CA"/>
        </w:rPr>
        <w:t>écarter de sa position initiale » (</w:t>
      </w:r>
      <w:r w:rsidRPr="001B30C8">
        <w:rPr>
          <w:rFonts w:cs="Times New Roman"/>
          <w:i/>
          <w:lang w:val="fr-CA"/>
        </w:rPr>
        <w:t>ibid.</w:t>
      </w:r>
      <w:r w:rsidRPr="001B30C8">
        <w:rPr>
          <w:rFonts w:cs="Times New Roman"/>
          <w:lang w:val="fr-CA"/>
        </w:rPr>
        <w:t>).</w:t>
      </w:r>
    </w:p>
    <w:p w:rsidR="001A0BA2" w:rsidRPr="001B30C8" w:rsidRDefault="001A0BA2" w:rsidP="001A0BA2">
      <w:pPr>
        <w:pStyle w:val="ParaNoNdepar-AltN"/>
        <w:rPr>
          <w:rFonts w:cs="Times New Roman"/>
          <w:lang w:val="fr-CA"/>
        </w:rPr>
      </w:pPr>
      <w:r w:rsidRPr="001B30C8">
        <w:rPr>
          <w:rFonts w:cs="Times New Roman"/>
          <w:lang w:val="fr-CA"/>
        </w:rPr>
        <w:t>Ramener une peine de plus de trois ans d</w:t>
      </w:r>
      <w:r>
        <w:rPr>
          <w:rFonts w:cs="Times New Roman"/>
          <w:lang w:val="fr-CA"/>
        </w:rPr>
        <w:t>’</w:t>
      </w:r>
      <w:r w:rsidRPr="001B30C8">
        <w:rPr>
          <w:rFonts w:cs="Times New Roman"/>
          <w:lang w:val="fr-CA"/>
        </w:rPr>
        <w:t xml:space="preserve">emprisonnement à une peine de quatre mois est une réduction substantielle. Ce changement radical indique que </w:t>
      </w:r>
      <w:r w:rsidRPr="001B30C8">
        <w:rPr>
          <w:rFonts w:cs="Times New Roman"/>
          <w:lang w:val="fr-CA"/>
        </w:rPr>
        <w:lastRenderedPageBreak/>
        <w:t>l</w:t>
      </w:r>
      <w:r>
        <w:rPr>
          <w:rFonts w:cs="Times New Roman"/>
          <w:lang w:val="fr-CA"/>
        </w:rPr>
        <w:t>’</w:t>
      </w:r>
      <w:r w:rsidRPr="001B30C8">
        <w:rPr>
          <w:rFonts w:cs="Times New Roman"/>
          <w:lang w:val="fr-CA"/>
        </w:rPr>
        <w:t>absence d</w:t>
      </w:r>
      <w:r>
        <w:rPr>
          <w:rFonts w:cs="Times New Roman"/>
          <w:lang w:val="fr-CA"/>
        </w:rPr>
        <w:t>’</w:t>
      </w:r>
      <w:r w:rsidRPr="001B30C8">
        <w:rPr>
          <w:rFonts w:cs="Times New Roman"/>
          <w:lang w:val="fr-CA"/>
        </w:rPr>
        <w:t>affaiblissement des facultés de M. Suter doit avoir contribué de façon non négligeable à la peine manifestement inadéquate de quatre mois d</w:t>
      </w:r>
      <w:r>
        <w:rPr>
          <w:rFonts w:cs="Times New Roman"/>
          <w:lang w:val="fr-CA"/>
        </w:rPr>
        <w:t>’</w:t>
      </w:r>
      <w:r w:rsidRPr="001B30C8">
        <w:rPr>
          <w:rFonts w:cs="Times New Roman"/>
          <w:lang w:val="fr-CA"/>
        </w:rPr>
        <w:t xml:space="preserve">emprisonnement infligée par le juge de la peine. </w:t>
      </w:r>
    </w:p>
    <w:p w:rsidR="001A0BA2" w:rsidRPr="001B30C8" w:rsidRDefault="001A0BA2" w:rsidP="001A0BA2">
      <w:pPr>
        <w:pStyle w:val="Title3LevelTitre3Niveau"/>
        <w:rPr>
          <w:rFonts w:cs="Times New Roman"/>
          <w:lang w:val="fr-CA"/>
        </w:rPr>
      </w:pPr>
      <w:r w:rsidRPr="001B30C8">
        <w:rPr>
          <w:rFonts w:cs="Times New Roman"/>
          <w:lang w:val="fr-CA"/>
        </w:rPr>
        <w:t>Conclusion</w:t>
      </w:r>
    </w:p>
    <w:p w:rsidR="001A0BA2" w:rsidRPr="001B30C8" w:rsidRDefault="001A0BA2" w:rsidP="001A0BA2">
      <w:pPr>
        <w:pStyle w:val="ParaNoNdepar-AltN"/>
        <w:tabs>
          <w:tab w:val="clear" w:pos="1152"/>
          <w:tab w:val="left" w:pos="1166"/>
        </w:tabs>
        <w:rPr>
          <w:rFonts w:cs="Times New Roman"/>
          <w:lang w:val="fr-CA"/>
        </w:rPr>
      </w:pPr>
      <w:r w:rsidRPr="001B30C8">
        <w:rPr>
          <w:rFonts w:cs="Times New Roman"/>
          <w:lang w:val="fr-CA"/>
        </w:rPr>
        <w:t>Les erreurs commises par le juge de la peine — qui a qualifié à tort d</w:t>
      </w:r>
      <w:r>
        <w:rPr>
          <w:rFonts w:cs="Times New Roman"/>
          <w:lang w:val="fr-CA"/>
        </w:rPr>
        <w:t>’</w:t>
      </w:r>
      <w:r w:rsidRPr="001B30C8">
        <w:rPr>
          <w:rFonts w:cs="Times New Roman"/>
          <w:lang w:val="fr-CA"/>
        </w:rPr>
        <w:t>erreur de droit ce qui s</w:t>
      </w:r>
      <w:r>
        <w:rPr>
          <w:rFonts w:cs="Times New Roman"/>
          <w:lang w:val="fr-CA"/>
        </w:rPr>
        <w:t>’</w:t>
      </w:r>
      <w:r w:rsidRPr="001B30C8">
        <w:rPr>
          <w:rFonts w:cs="Times New Roman"/>
          <w:lang w:val="fr-CA"/>
        </w:rPr>
        <w:t>est passé en l</w:t>
      </w:r>
      <w:r>
        <w:rPr>
          <w:rFonts w:cs="Times New Roman"/>
          <w:lang w:val="fr-CA"/>
        </w:rPr>
        <w:t>’</w:t>
      </w:r>
      <w:r w:rsidRPr="001B30C8">
        <w:rPr>
          <w:rFonts w:cs="Times New Roman"/>
          <w:lang w:val="fr-CA"/>
        </w:rPr>
        <w:t>espèce et qui a accordé une importance indue à l</w:t>
      </w:r>
      <w:r>
        <w:rPr>
          <w:rFonts w:cs="Times New Roman"/>
          <w:lang w:val="fr-CA"/>
        </w:rPr>
        <w:t>’</w:t>
      </w:r>
      <w:r w:rsidRPr="001B30C8">
        <w:rPr>
          <w:rFonts w:cs="Times New Roman"/>
          <w:lang w:val="fr-CA"/>
        </w:rPr>
        <w:t>absence d</w:t>
      </w:r>
      <w:r>
        <w:rPr>
          <w:rFonts w:cs="Times New Roman"/>
          <w:lang w:val="fr-CA"/>
        </w:rPr>
        <w:t>’</w:t>
      </w:r>
      <w:r w:rsidRPr="001B30C8">
        <w:rPr>
          <w:rFonts w:cs="Times New Roman"/>
          <w:lang w:val="fr-CA"/>
        </w:rPr>
        <w:t>affaiblissement des facultés de M. Suter en tant que facteur atténuant — ont contribué à sa décision d</w:t>
      </w:r>
      <w:r>
        <w:rPr>
          <w:rFonts w:cs="Times New Roman"/>
          <w:lang w:val="fr-CA"/>
        </w:rPr>
        <w:t>’</w:t>
      </w:r>
      <w:r w:rsidRPr="001B30C8">
        <w:rPr>
          <w:rFonts w:cs="Times New Roman"/>
          <w:lang w:val="fr-CA"/>
        </w:rPr>
        <w:t>infliger une peine de quatre mois d</w:t>
      </w:r>
      <w:r>
        <w:rPr>
          <w:rFonts w:cs="Times New Roman"/>
          <w:lang w:val="fr-CA"/>
        </w:rPr>
        <w:t>’</w:t>
      </w:r>
      <w:r w:rsidRPr="001B30C8">
        <w:rPr>
          <w:rFonts w:cs="Times New Roman"/>
          <w:lang w:val="fr-CA"/>
        </w:rPr>
        <w:t>emprisonnement. Même si l</w:t>
      </w:r>
      <w:r>
        <w:rPr>
          <w:rFonts w:cs="Times New Roman"/>
          <w:lang w:val="fr-CA"/>
        </w:rPr>
        <w:t>’</w:t>
      </w:r>
      <w:r w:rsidRPr="001B30C8">
        <w:rPr>
          <w:rFonts w:cs="Times New Roman"/>
          <w:lang w:val="fr-CA"/>
        </w:rPr>
        <w:t>on prend en considération le caractère unique des facteurs atténuants et des conséquences indirectes en l</w:t>
      </w:r>
      <w:r>
        <w:rPr>
          <w:rFonts w:cs="Times New Roman"/>
          <w:lang w:val="fr-CA"/>
        </w:rPr>
        <w:t>’</w:t>
      </w:r>
      <w:r w:rsidRPr="001B30C8">
        <w:rPr>
          <w:rFonts w:cs="Times New Roman"/>
          <w:lang w:val="fr-CA"/>
        </w:rPr>
        <w:t>espèce, cette peine est manifestement inadéquate à l</w:t>
      </w:r>
      <w:r>
        <w:rPr>
          <w:rFonts w:cs="Times New Roman"/>
          <w:lang w:val="fr-CA"/>
        </w:rPr>
        <w:t>’</w:t>
      </w:r>
      <w:r w:rsidRPr="001B30C8">
        <w:rPr>
          <w:rFonts w:cs="Times New Roman"/>
          <w:lang w:val="fr-CA"/>
        </w:rPr>
        <w:t>égard de l</w:t>
      </w:r>
      <w:r>
        <w:rPr>
          <w:rFonts w:cs="Times New Roman"/>
          <w:lang w:val="fr-CA"/>
        </w:rPr>
        <w:t>’</w:t>
      </w:r>
      <w:r w:rsidRPr="001B30C8">
        <w:rPr>
          <w:rFonts w:cs="Times New Roman"/>
          <w:lang w:val="fr-CA"/>
        </w:rPr>
        <w:t>infraction prévue au par. 255(3.2). En conséquence, une cour d</w:t>
      </w:r>
      <w:r>
        <w:rPr>
          <w:rFonts w:cs="Times New Roman"/>
          <w:lang w:val="fr-CA"/>
        </w:rPr>
        <w:t>’</w:t>
      </w:r>
      <w:r w:rsidRPr="001B30C8">
        <w:rPr>
          <w:rFonts w:cs="Times New Roman"/>
          <w:lang w:val="fr-CA"/>
        </w:rPr>
        <w:t>appel est justifiée d</w:t>
      </w:r>
      <w:r>
        <w:rPr>
          <w:rFonts w:cs="Times New Roman"/>
          <w:lang w:val="fr-CA"/>
        </w:rPr>
        <w:t>’</w:t>
      </w:r>
      <w:r w:rsidRPr="001B30C8">
        <w:rPr>
          <w:rFonts w:cs="Times New Roman"/>
          <w:lang w:val="fr-CA"/>
        </w:rPr>
        <w:t xml:space="preserve">intervenir. </w:t>
      </w:r>
    </w:p>
    <w:p w:rsidR="001A0BA2" w:rsidRPr="001B30C8" w:rsidRDefault="001A0BA2" w:rsidP="001A0BA2">
      <w:pPr>
        <w:pStyle w:val="ParaNoNdepar-AltN"/>
        <w:rPr>
          <w:rFonts w:cs="Times New Roman"/>
          <w:lang w:val="fr-CA"/>
        </w:rPr>
      </w:pPr>
      <w:r w:rsidRPr="001B30C8">
        <w:rPr>
          <w:rFonts w:cs="Times New Roman"/>
          <w:lang w:val="fr-CA"/>
        </w:rPr>
        <w:t>Après avoir conclu que tant la Cour d</w:t>
      </w:r>
      <w:r>
        <w:rPr>
          <w:rFonts w:cs="Times New Roman"/>
          <w:lang w:val="fr-CA"/>
        </w:rPr>
        <w:t>’</w:t>
      </w:r>
      <w:r w:rsidRPr="001B30C8">
        <w:rPr>
          <w:rFonts w:cs="Times New Roman"/>
          <w:lang w:val="fr-CA"/>
        </w:rPr>
        <w:t>appel que le juge de la peine ont commis des erreurs de principe qui ont eu une incidence sur les peines infligées, je me penche maintenant sur ce qui aurait constitué une peine appropriée dans le cas de M. Suter.</w:t>
      </w:r>
    </w:p>
    <w:p w:rsidR="001A0BA2" w:rsidRPr="001B30C8" w:rsidRDefault="001A0BA2" w:rsidP="001A0BA2">
      <w:pPr>
        <w:pStyle w:val="Title2LevelTitre2Niveau"/>
        <w:rPr>
          <w:rFonts w:cs="Times New Roman"/>
          <w:lang w:val="fr-CA"/>
        </w:rPr>
      </w:pPr>
      <w:r w:rsidRPr="001B30C8">
        <w:rPr>
          <w:rFonts w:cs="Times New Roman"/>
          <w:lang w:val="fr-CA"/>
        </w:rPr>
        <w:t>La peine appropriée dans le cas de M. Suter</w:t>
      </w:r>
    </w:p>
    <w:p w:rsidR="001A0BA2" w:rsidRPr="001B30C8" w:rsidRDefault="001A0BA2" w:rsidP="001A0BA2">
      <w:pPr>
        <w:pStyle w:val="ParaNoNdepar-AltN"/>
        <w:rPr>
          <w:rFonts w:cs="Times New Roman"/>
          <w:lang w:val="fr-CA"/>
        </w:rPr>
      </w:pPr>
      <w:r w:rsidRPr="001B30C8">
        <w:rPr>
          <w:rFonts w:cs="Times New Roman"/>
          <w:lang w:val="fr-CA"/>
        </w:rPr>
        <w:t>Comme nous l</w:t>
      </w:r>
      <w:r>
        <w:rPr>
          <w:rFonts w:cs="Times New Roman"/>
          <w:lang w:val="fr-CA"/>
        </w:rPr>
        <w:t>’</w:t>
      </w:r>
      <w:r w:rsidRPr="001B30C8">
        <w:rPr>
          <w:rFonts w:cs="Times New Roman"/>
          <w:lang w:val="fr-CA"/>
        </w:rPr>
        <w:t>avons vu, la fourchette de peines applicable à l</w:t>
      </w:r>
      <w:r>
        <w:rPr>
          <w:rFonts w:cs="Times New Roman"/>
          <w:lang w:val="fr-CA"/>
        </w:rPr>
        <w:t>’</w:t>
      </w:r>
      <w:r w:rsidRPr="001B30C8">
        <w:rPr>
          <w:rFonts w:cs="Times New Roman"/>
          <w:lang w:val="fr-CA"/>
        </w:rPr>
        <w:t>infraction prévue au par. 255(3.2) est la même que celle prévue en cas de conduite avec capacités affaiblies causant la mort et de conduite avec une « alcoolémie supérieure à 80 mg » causant la mort — allant de peines d</w:t>
      </w:r>
      <w:r>
        <w:rPr>
          <w:rFonts w:cs="Times New Roman"/>
          <w:lang w:val="fr-CA"/>
        </w:rPr>
        <w:t>’</w:t>
      </w:r>
      <w:r w:rsidRPr="001B30C8">
        <w:rPr>
          <w:rFonts w:cs="Times New Roman"/>
          <w:lang w:val="fr-CA"/>
        </w:rPr>
        <w:t xml:space="preserve">emprisonnement peu élevées de 2 à 3 ans à des </w:t>
      </w:r>
      <w:r w:rsidRPr="001B30C8">
        <w:rPr>
          <w:rFonts w:cs="Times New Roman"/>
          <w:lang w:val="fr-CA"/>
        </w:rPr>
        <w:lastRenderedPageBreak/>
        <w:t xml:space="preserve">peines plus lourdes de 8 à 10 ans, selon les circonstances. </w:t>
      </w:r>
      <w:r w:rsidRPr="001B30C8">
        <w:rPr>
          <w:rFonts w:cs="Times New Roman"/>
          <w:noProof/>
          <w:lang w:val="fr-CA"/>
        </w:rPr>
        <w:t>Dans certains cas uniques, l</w:t>
      </w:r>
      <w:r w:rsidRPr="001B30C8">
        <w:rPr>
          <w:rFonts w:cs="Times New Roman"/>
          <w:lang w:val="fr-CA"/>
        </w:rPr>
        <w:t>es facteurs atténuants, les conséquences indirectes ou d</w:t>
      </w:r>
      <w:r>
        <w:rPr>
          <w:rFonts w:cs="Times New Roman"/>
          <w:lang w:val="fr-CA"/>
        </w:rPr>
        <w:t>’</w:t>
      </w:r>
      <w:r w:rsidRPr="001B30C8">
        <w:rPr>
          <w:rFonts w:cs="Times New Roman"/>
          <w:lang w:val="fr-CA"/>
        </w:rPr>
        <w:t>autres circonstances atténuantes liées à la perpétration de l</w:t>
      </w:r>
      <w:r>
        <w:rPr>
          <w:rFonts w:cs="Times New Roman"/>
          <w:lang w:val="fr-CA"/>
        </w:rPr>
        <w:t>’</w:t>
      </w:r>
      <w:r w:rsidRPr="001B30C8">
        <w:rPr>
          <w:rFonts w:cs="Times New Roman"/>
          <w:lang w:val="fr-CA"/>
        </w:rPr>
        <w:t>infraction ou à la situation du délinquant pourraient justifier l</w:t>
      </w:r>
      <w:r>
        <w:rPr>
          <w:rFonts w:cs="Times New Roman"/>
          <w:lang w:val="fr-CA"/>
        </w:rPr>
        <w:t>’</w:t>
      </w:r>
      <w:r w:rsidRPr="001B30C8">
        <w:rPr>
          <w:rFonts w:cs="Times New Roman"/>
          <w:lang w:val="fr-CA"/>
        </w:rPr>
        <w:t>infliction d</w:t>
      </w:r>
      <w:r>
        <w:rPr>
          <w:rFonts w:cs="Times New Roman"/>
          <w:lang w:val="fr-CA"/>
        </w:rPr>
        <w:t>’</w:t>
      </w:r>
      <w:r w:rsidRPr="001B30C8">
        <w:rPr>
          <w:rFonts w:cs="Times New Roman"/>
          <w:lang w:val="fr-CA"/>
        </w:rPr>
        <w:t>une peine qui se situe en deçà de cette large fourchette. Dans le même ordre d</w:t>
      </w:r>
      <w:r>
        <w:rPr>
          <w:rFonts w:cs="Times New Roman"/>
          <w:lang w:val="fr-CA"/>
        </w:rPr>
        <w:t>’</w:t>
      </w:r>
      <w:r w:rsidRPr="001B30C8">
        <w:rPr>
          <w:rFonts w:cs="Times New Roman"/>
          <w:lang w:val="fr-CA"/>
        </w:rPr>
        <w:t>idées, les circonstances aggravantes de l</w:t>
      </w:r>
      <w:r>
        <w:rPr>
          <w:rFonts w:cs="Times New Roman"/>
          <w:lang w:val="fr-CA"/>
        </w:rPr>
        <w:t>’</w:t>
      </w:r>
      <w:r w:rsidRPr="001B30C8">
        <w:rPr>
          <w:rFonts w:cs="Times New Roman"/>
          <w:lang w:val="fr-CA"/>
        </w:rPr>
        <w:t>affaire pourraient justifier l</w:t>
      </w:r>
      <w:r>
        <w:rPr>
          <w:rFonts w:cs="Times New Roman"/>
          <w:lang w:val="fr-CA"/>
        </w:rPr>
        <w:t>’</w:t>
      </w:r>
      <w:r w:rsidRPr="001B30C8">
        <w:rPr>
          <w:rFonts w:cs="Times New Roman"/>
          <w:lang w:val="fr-CA"/>
        </w:rPr>
        <w:t>imposition d</w:t>
      </w:r>
      <w:r>
        <w:rPr>
          <w:rFonts w:cs="Times New Roman"/>
          <w:lang w:val="fr-CA"/>
        </w:rPr>
        <w:t>’</w:t>
      </w:r>
      <w:r w:rsidRPr="001B30C8">
        <w:rPr>
          <w:rFonts w:cs="Times New Roman"/>
          <w:lang w:val="fr-CA"/>
        </w:rPr>
        <w:t>une peine qui se situe au</w:t>
      </w:r>
      <w:r w:rsidRPr="001B30C8">
        <w:rPr>
          <w:rFonts w:cs="Times New Roman"/>
          <w:lang w:val="fr-CA"/>
        </w:rPr>
        <w:noBreakHyphen/>
        <w:t xml:space="preserve">delà de cette fourchette. Dans la mesure où les objectifs et les principes de la détermination de la peine codifiés aux art. 718 à 718.2 du </w:t>
      </w:r>
      <w:r w:rsidRPr="001B30C8">
        <w:rPr>
          <w:rFonts w:cs="Times New Roman"/>
          <w:i/>
          <w:lang w:val="fr-CA"/>
        </w:rPr>
        <w:t>Code criminel</w:t>
      </w:r>
      <w:r w:rsidRPr="001B30C8">
        <w:rPr>
          <w:rFonts w:cs="Times New Roman"/>
          <w:lang w:val="fr-CA"/>
        </w:rPr>
        <w:t xml:space="preserve"> sont respectés, la peine sera indiquée.</w:t>
      </w:r>
    </w:p>
    <w:p w:rsidR="001A0BA2" w:rsidRPr="001B30C8" w:rsidRDefault="001A0BA2" w:rsidP="001A0BA2">
      <w:pPr>
        <w:pStyle w:val="ParaNoNdepar-AltN"/>
        <w:rPr>
          <w:rFonts w:cs="Times New Roman"/>
          <w:lang w:val="fr-CA"/>
        </w:rPr>
      </w:pPr>
      <w:r w:rsidRPr="001B30C8">
        <w:rPr>
          <w:rFonts w:cs="Times New Roman"/>
          <w:lang w:val="fr-CA"/>
        </w:rPr>
        <w:t>Je signale qu</w:t>
      </w:r>
      <w:r>
        <w:rPr>
          <w:rFonts w:cs="Times New Roman"/>
          <w:lang w:val="fr-CA"/>
        </w:rPr>
        <w:t>’</w:t>
      </w:r>
      <w:r w:rsidRPr="001B30C8">
        <w:rPr>
          <w:rFonts w:cs="Times New Roman"/>
          <w:lang w:val="fr-CA"/>
        </w:rPr>
        <w:t>il y a très peu de jurisprudence en matiè</w:t>
      </w:r>
      <w:r w:rsidR="0054220C">
        <w:rPr>
          <w:rFonts w:cs="Times New Roman"/>
          <w:lang w:val="fr-CA"/>
        </w:rPr>
        <w:t>re de détermination de la peine</w:t>
      </w:r>
      <w:r w:rsidRPr="001B30C8">
        <w:rPr>
          <w:rFonts w:cs="Times New Roman"/>
          <w:lang w:val="fr-CA"/>
        </w:rPr>
        <w:t xml:space="preserve"> concernant le par. 255(3.2). Mon collègue le juge Gascon souligne à bon droit que, dans les quelques décisions qui ont été publiées, « il n</w:t>
      </w:r>
      <w:r>
        <w:rPr>
          <w:rFonts w:cs="Times New Roman"/>
          <w:lang w:val="fr-CA"/>
        </w:rPr>
        <w:t>’</w:t>
      </w:r>
      <w:r w:rsidRPr="001B30C8">
        <w:rPr>
          <w:rFonts w:cs="Times New Roman"/>
          <w:lang w:val="fr-CA"/>
        </w:rPr>
        <w:t>y a pas de “délinquants [ayant commis] des infractions semblables [. . .] dans des circonstances semblables” par rapport auxquels [l]a peine [de M. Suter] peut raisonnablement être appréciée » (par. 191). La jurisprudence relative au par. 255(3.2) fournit donc peu d</w:t>
      </w:r>
      <w:r>
        <w:rPr>
          <w:rFonts w:cs="Times New Roman"/>
          <w:lang w:val="fr-CA"/>
        </w:rPr>
        <w:t>’</w:t>
      </w:r>
      <w:r w:rsidRPr="001B30C8">
        <w:rPr>
          <w:rFonts w:cs="Times New Roman"/>
          <w:lang w:val="fr-CA"/>
        </w:rPr>
        <w:t>indications.</w:t>
      </w:r>
    </w:p>
    <w:p w:rsidR="001A0BA2" w:rsidRPr="001B30C8" w:rsidRDefault="001A0BA2" w:rsidP="001A0BA2">
      <w:pPr>
        <w:pStyle w:val="ParaNoNdepar-AltN"/>
        <w:rPr>
          <w:rFonts w:cs="Times New Roman"/>
          <w:lang w:val="fr-CA"/>
        </w:rPr>
      </w:pPr>
      <w:r w:rsidRPr="001B30C8">
        <w:rPr>
          <w:rFonts w:cs="Times New Roman"/>
          <w:lang w:val="fr-CA"/>
        </w:rPr>
        <w:t>Le cas de M. Suter est unique. Bien que les conséquences de ses actes soient indubitablement tragiques et que l</w:t>
      </w:r>
      <w:r>
        <w:rPr>
          <w:rFonts w:cs="Times New Roman"/>
          <w:lang w:val="fr-CA"/>
        </w:rPr>
        <w:t>’</w:t>
      </w:r>
      <w:r w:rsidRPr="001B30C8">
        <w:rPr>
          <w:rFonts w:cs="Times New Roman"/>
          <w:lang w:val="fr-CA"/>
        </w:rPr>
        <w:t>infraction de refus d</w:t>
      </w:r>
      <w:r>
        <w:rPr>
          <w:rFonts w:cs="Times New Roman"/>
          <w:lang w:val="fr-CA"/>
        </w:rPr>
        <w:t>’</w:t>
      </w:r>
      <w:r w:rsidRPr="001B30C8">
        <w:rPr>
          <w:rFonts w:cs="Times New Roman"/>
          <w:lang w:val="fr-CA"/>
        </w:rPr>
        <w:t>obtempérer soit très grave, il y a en l</w:t>
      </w:r>
      <w:r>
        <w:rPr>
          <w:rFonts w:cs="Times New Roman"/>
          <w:lang w:val="fr-CA"/>
        </w:rPr>
        <w:t>’</w:t>
      </w:r>
      <w:r w:rsidRPr="001B30C8">
        <w:rPr>
          <w:rFonts w:cs="Times New Roman"/>
          <w:lang w:val="fr-CA"/>
        </w:rPr>
        <w:t>espèce plusieurs facteurs qui, pris ensemble, permettent de réduire sa peine. Les faits portant que M. Suter n</w:t>
      </w:r>
      <w:r>
        <w:rPr>
          <w:rFonts w:cs="Times New Roman"/>
          <w:lang w:val="fr-CA"/>
        </w:rPr>
        <w:t>’</w:t>
      </w:r>
      <w:r w:rsidRPr="001B30C8">
        <w:rPr>
          <w:rFonts w:cs="Times New Roman"/>
          <w:lang w:val="fr-CA"/>
        </w:rPr>
        <w:t>avait pas les facultés affaiblies au moment de l</w:t>
      </w:r>
      <w:r>
        <w:rPr>
          <w:rFonts w:cs="Times New Roman"/>
          <w:lang w:val="fr-CA"/>
        </w:rPr>
        <w:t>’</w:t>
      </w:r>
      <w:r w:rsidRPr="001B30C8">
        <w:rPr>
          <w:rFonts w:cs="Times New Roman"/>
          <w:lang w:val="fr-CA"/>
        </w:rPr>
        <w:t>accident, qu</w:t>
      </w:r>
      <w:r>
        <w:rPr>
          <w:rFonts w:cs="Times New Roman"/>
          <w:lang w:val="fr-CA"/>
        </w:rPr>
        <w:t>’</w:t>
      </w:r>
      <w:r w:rsidRPr="001B30C8">
        <w:rPr>
          <w:rFonts w:cs="Times New Roman"/>
          <w:lang w:val="fr-CA"/>
        </w:rPr>
        <w:t>il a refusé de fournir un échantillon d</w:t>
      </w:r>
      <w:r>
        <w:rPr>
          <w:rFonts w:cs="Times New Roman"/>
          <w:lang w:val="fr-CA"/>
        </w:rPr>
        <w:t>’</w:t>
      </w:r>
      <w:r w:rsidRPr="001B30C8">
        <w:rPr>
          <w:rFonts w:cs="Times New Roman"/>
          <w:lang w:val="fr-CA"/>
        </w:rPr>
        <w:t>haleine à la police en raison des conseils erronés que lui a donnés un avocat mal informé et qu</w:t>
      </w:r>
      <w:r>
        <w:rPr>
          <w:rFonts w:cs="Times New Roman"/>
          <w:lang w:val="fr-CA"/>
        </w:rPr>
        <w:t>’</w:t>
      </w:r>
      <w:r w:rsidRPr="001B30C8">
        <w:rPr>
          <w:rFonts w:cs="Times New Roman"/>
          <w:lang w:val="fr-CA"/>
        </w:rPr>
        <w:t>il a été attaqué par des justiciers qui lui ont coupé un pouce à l</w:t>
      </w:r>
      <w:r>
        <w:rPr>
          <w:rFonts w:cs="Times New Roman"/>
          <w:lang w:val="fr-CA"/>
        </w:rPr>
        <w:t>’</w:t>
      </w:r>
      <w:r w:rsidRPr="001B30C8">
        <w:rPr>
          <w:rFonts w:cs="Times New Roman"/>
          <w:lang w:val="fr-CA"/>
        </w:rPr>
        <w:t>aide d</w:t>
      </w:r>
      <w:r>
        <w:rPr>
          <w:rFonts w:cs="Times New Roman"/>
          <w:lang w:val="fr-CA"/>
        </w:rPr>
        <w:t>’</w:t>
      </w:r>
      <w:r w:rsidRPr="001B30C8">
        <w:rPr>
          <w:rFonts w:cs="Times New Roman"/>
          <w:lang w:val="fr-CA"/>
        </w:rPr>
        <w:t>un sécateur sont tous des facteurs dont il faut tenir compte dans l</w:t>
      </w:r>
      <w:r>
        <w:rPr>
          <w:rFonts w:cs="Times New Roman"/>
          <w:lang w:val="fr-CA"/>
        </w:rPr>
        <w:t>’</w:t>
      </w:r>
      <w:r w:rsidRPr="001B30C8">
        <w:rPr>
          <w:rFonts w:cs="Times New Roman"/>
          <w:lang w:val="fr-CA"/>
        </w:rPr>
        <w:t>établissement de la peine appropriée.</w:t>
      </w:r>
    </w:p>
    <w:p w:rsidR="001A0BA2" w:rsidRPr="001B30C8" w:rsidRDefault="001A0BA2" w:rsidP="001A0BA2">
      <w:pPr>
        <w:pStyle w:val="ParaNoNdepar-AltN"/>
        <w:tabs>
          <w:tab w:val="clear" w:pos="1152"/>
          <w:tab w:val="left" w:pos="1166"/>
        </w:tabs>
        <w:rPr>
          <w:rFonts w:cs="Times New Roman"/>
          <w:lang w:val="fr-CA"/>
        </w:rPr>
      </w:pPr>
      <w:r w:rsidRPr="001B30C8">
        <w:rPr>
          <w:rFonts w:cs="Times New Roman"/>
          <w:lang w:val="fr-CA"/>
        </w:rPr>
        <w:lastRenderedPageBreak/>
        <w:t>N</w:t>
      </w:r>
      <w:r>
        <w:rPr>
          <w:rFonts w:cs="Times New Roman"/>
          <w:lang w:val="fr-CA"/>
        </w:rPr>
        <w:t>’</w:t>
      </w:r>
      <w:r w:rsidRPr="001B30C8">
        <w:rPr>
          <w:rFonts w:cs="Times New Roman"/>
          <w:lang w:val="fr-CA"/>
        </w:rPr>
        <w:t>eût été ces circonstances atténuantes, une peine de trois à cinq ans d</w:t>
      </w:r>
      <w:r>
        <w:rPr>
          <w:rFonts w:cs="Times New Roman"/>
          <w:lang w:val="fr-CA"/>
        </w:rPr>
        <w:t>’</w:t>
      </w:r>
      <w:r w:rsidRPr="001B30C8">
        <w:rPr>
          <w:rFonts w:cs="Times New Roman"/>
          <w:lang w:val="fr-CA"/>
        </w:rPr>
        <w:t>emprisonnement dans un pénitencier n</w:t>
      </w:r>
      <w:r>
        <w:rPr>
          <w:rFonts w:cs="Times New Roman"/>
          <w:lang w:val="fr-CA"/>
        </w:rPr>
        <w:t>’</w:t>
      </w:r>
      <w:r w:rsidRPr="001B30C8">
        <w:rPr>
          <w:rFonts w:cs="Times New Roman"/>
          <w:lang w:val="fr-CA"/>
        </w:rPr>
        <w:t>aurait pas été, à mon avis, disproportionnée. Le refus illégal de fournir à la police un échantillon d</w:t>
      </w:r>
      <w:r>
        <w:rPr>
          <w:rFonts w:cs="Times New Roman"/>
          <w:lang w:val="fr-CA"/>
        </w:rPr>
        <w:t>’</w:t>
      </w:r>
      <w:r w:rsidRPr="001B30C8">
        <w:rPr>
          <w:rFonts w:cs="Times New Roman"/>
          <w:lang w:val="fr-CA"/>
        </w:rPr>
        <w:t>haleine après avoir causé un accident ayant occasionné la mort constitue une infraction extrêmement grave. Le législateur l</w:t>
      </w:r>
      <w:r>
        <w:rPr>
          <w:rFonts w:cs="Times New Roman"/>
          <w:lang w:val="fr-CA"/>
        </w:rPr>
        <w:t>’</w:t>
      </w:r>
      <w:r w:rsidRPr="001B30C8">
        <w:rPr>
          <w:rFonts w:cs="Times New Roman"/>
          <w:lang w:val="fr-CA"/>
        </w:rPr>
        <w:t>a clairement indiqué. Une telle infraction est punissable d</w:t>
      </w:r>
      <w:r>
        <w:rPr>
          <w:rFonts w:cs="Times New Roman"/>
          <w:lang w:val="fr-CA"/>
        </w:rPr>
        <w:t>’</w:t>
      </w:r>
      <w:r w:rsidRPr="001B30C8">
        <w:rPr>
          <w:rFonts w:cs="Times New Roman"/>
          <w:lang w:val="fr-CA"/>
        </w:rPr>
        <w:t>une peine maximale d</w:t>
      </w:r>
      <w:r>
        <w:rPr>
          <w:rFonts w:cs="Times New Roman"/>
          <w:lang w:val="fr-CA"/>
        </w:rPr>
        <w:t>’</w:t>
      </w:r>
      <w:r w:rsidRPr="001B30C8">
        <w:rPr>
          <w:rFonts w:cs="Times New Roman"/>
          <w:lang w:val="fr-CA"/>
        </w:rPr>
        <w:t>emprisonnement à perpétuité — et non sans raison. Le fait pour un conducteur de refuser de fournir un échantillon d</w:t>
      </w:r>
      <w:r>
        <w:rPr>
          <w:rFonts w:cs="Times New Roman"/>
          <w:lang w:val="fr-CA"/>
        </w:rPr>
        <w:t>’</w:t>
      </w:r>
      <w:r w:rsidRPr="001B30C8">
        <w:rPr>
          <w:rFonts w:cs="Times New Roman"/>
          <w:lang w:val="fr-CA"/>
        </w:rPr>
        <w:t>haleine en réponse à une demande légale de le faire prive la police, le tribunal, le grand public et la famille du défunt de la meilleure preuve en ce qui a trait à l</w:t>
      </w:r>
      <w:r>
        <w:rPr>
          <w:rFonts w:cs="Times New Roman"/>
          <w:lang w:val="fr-CA"/>
        </w:rPr>
        <w:t>’</w:t>
      </w:r>
      <w:r w:rsidRPr="001B30C8">
        <w:rPr>
          <w:rFonts w:cs="Times New Roman"/>
          <w:lang w:val="fr-CA"/>
        </w:rPr>
        <w:t>alcoolémie et à l</w:t>
      </w:r>
      <w:r>
        <w:rPr>
          <w:rFonts w:cs="Times New Roman"/>
          <w:lang w:val="fr-CA"/>
        </w:rPr>
        <w:t>’</w:t>
      </w:r>
      <w:r w:rsidRPr="001B30C8">
        <w:rPr>
          <w:rFonts w:cs="Times New Roman"/>
          <w:lang w:val="fr-CA"/>
        </w:rPr>
        <w:t>affaiblissement des facultés du conducteur. De plus, cela fait obstacle aux efforts constants déployés en vue de réaliser l</w:t>
      </w:r>
      <w:r>
        <w:rPr>
          <w:rFonts w:cs="Times New Roman"/>
          <w:lang w:val="fr-CA"/>
        </w:rPr>
        <w:t>’</w:t>
      </w:r>
      <w:r w:rsidRPr="001B30C8">
        <w:rPr>
          <w:rFonts w:cs="Times New Roman"/>
          <w:lang w:val="fr-CA"/>
        </w:rPr>
        <w:t xml:space="preserve">objectif urgent qui consiste à décourager, à dénoncer et à mettre fin au fléau de la conduite avec capacités affaiblies. </w:t>
      </w:r>
    </w:p>
    <w:p w:rsidR="001A0BA2" w:rsidRPr="001B30C8" w:rsidRDefault="001A0BA2" w:rsidP="001A0BA2">
      <w:pPr>
        <w:pStyle w:val="ParaNoNdepar-AltN"/>
        <w:tabs>
          <w:tab w:val="clear" w:pos="1152"/>
          <w:tab w:val="left" w:pos="1166"/>
        </w:tabs>
        <w:rPr>
          <w:rFonts w:cs="Times New Roman"/>
          <w:lang w:val="fr-CA"/>
        </w:rPr>
      </w:pPr>
      <w:r w:rsidRPr="001B30C8">
        <w:rPr>
          <w:rFonts w:cs="Times New Roman"/>
          <w:lang w:val="fr-CA"/>
        </w:rPr>
        <w:t>Cela dit, les divers facteurs atténuants en l</w:t>
      </w:r>
      <w:r>
        <w:rPr>
          <w:rFonts w:cs="Times New Roman"/>
          <w:lang w:val="fr-CA"/>
        </w:rPr>
        <w:t>’</w:t>
      </w:r>
      <w:r w:rsidRPr="001B30C8">
        <w:rPr>
          <w:rFonts w:cs="Times New Roman"/>
          <w:lang w:val="fr-CA"/>
        </w:rPr>
        <w:t>espèce font en sorte que la peine à imposer à M. Suter ne fait pas partie de la fourchette habituelle de peines applicable à l</w:t>
      </w:r>
      <w:r>
        <w:rPr>
          <w:rFonts w:cs="Times New Roman"/>
          <w:lang w:val="fr-CA"/>
        </w:rPr>
        <w:t>’</w:t>
      </w:r>
      <w:r w:rsidRPr="001B30C8">
        <w:rPr>
          <w:rFonts w:cs="Times New Roman"/>
          <w:lang w:val="fr-CA"/>
        </w:rPr>
        <w:t>infraction visée au par. 255(3.2) (voir le par. 90 ci</w:t>
      </w:r>
      <w:r w:rsidRPr="001B30C8">
        <w:rPr>
          <w:rFonts w:cs="Times New Roman"/>
          <w:lang w:val="fr-CA"/>
        </w:rPr>
        <w:noBreakHyphen/>
        <w:t>dessus) et que la peine de 26 mois d</w:t>
      </w:r>
      <w:r>
        <w:rPr>
          <w:rFonts w:cs="Times New Roman"/>
          <w:lang w:val="fr-CA"/>
        </w:rPr>
        <w:t>’</w:t>
      </w:r>
      <w:r w:rsidRPr="001B30C8">
        <w:rPr>
          <w:rFonts w:cs="Times New Roman"/>
          <w:lang w:val="fr-CA"/>
        </w:rPr>
        <w:t>emprisonnement infligée par la Cour d</w:t>
      </w:r>
      <w:r>
        <w:rPr>
          <w:rFonts w:cs="Times New Roman"/>
          <w:lang w:val="fr-CA"/>
        </w:rPr>
        <w:t>’</w:t>
      </w:r>
      <w:r w:rsidRPr="001B30C8">
        <w:rPr>
          <w:rFonts w:cs="Times New Roman"/>
          <w:lang w:val="fr-CA"/>
        </w:rPr>
        <w:t>appel est non indiquée. Dans le même ordre d</w:t>
      </w:r>
      <w:r>
        <w:rPr>
          <w:rFonts w:cs="Times New Roman"/>
          <w:lang w:val="fr-CA"/>
        </w:rPr>
        <w:t>’</w:t>
      </w:r>
      <w:r w:rsidRPr="001B30C8">
        <w:rPr>
          <w:rFonts w:cs="Times New Roman"/>
          <w:lang w:val="fr-CA"/>
        </w:rPr>
        <w:t>idées, ces facteurs ne justifient pas la peine de quatre mois d</w:t>
      </w:r>
      <w:r>
        <w:rPr>
          <w:rFonts w:cs="Times New Roman"/>
          <w:lang w:val="fr-CA"/>
        </w:rPr>
        <w:t>’</w:t>
      </w:r>
      <w:r w:rsidRPr="001B30C8">
        <w:rPr>
          <w:rFonts w:cs="Times New Roman"/>
          <w:lang w:val="fr-CA"/>
        </w:rPr>
        <w:t>emprisonnement imposée par juge de la peine. Soit dit en tout respect, cette peine ne tient pas dûment compte de la gravité de l</w:t>
      </w:r>
      <w:r>
        <w:rPr>
          <w:rFonts w:cs="Times New Roman"/>
          <w:lang w:val="fr-CA"/>
        </w:rPr>
        <w:t>’</w:t>
      </w:r>
      <w:r w:rsidRPr="001B30C8">
        <w:rPr>
          <w:rFonts w:cs="Times New Roman"/>
          <w:lang w:val="fr-CA"/>
        </w:rPr>
        <w:t xml:space="preserve">infraction, ce qui la rend manifestement non indiquée. </w:t>
      </w:r>
    </w:p>
    <w:p w:rsidR="001A0BA2" w:rsidRPr="001B30C8" w:rsidRDefault="001A0BA2" w:rsidP="001A0BA2">
      <w:pPr>
        <w:pStyle w:val="ParaNoNdepar-AltN"/>
        <w:tabs>
          <w:tab w:val="clear" w:pos="1152"/>
          <w:tab w:val="left" w:pos="1166"/>
        </w:tabs>
        <w:rPr>
          <w:rFonts w:cs="Times New Roman"/>
          <w:lang w:val="fr-CA"/>
        </w:rPr>
      </w:pPr>
      <w:r w:rsidRPr="001B30C8">
        <w:rPr>
          <w:rFonts w:cs="Times New Roman"/>
          <w:lang w:val="fr-CA"/>
        </w:rPr>
        <w:t>En somme, je suis d</w:t>
      </w:r>
      <w:r>
        <w:rPr>
          <w:rFonts w:cs="Times New Roman"/>
          <w:lang w:val="fr-CA"/>
        </w:rPr>
        <w:t>’</w:t>
      </w:r>
      <w:r w:rsidRPr="001B30C8">
        <w:rPr>
          <w:rFonts w:cs="Times New Roman"/>
          <w:lang w:val="fr-CA"/>
        </w:rPr>
        <w:t>avis qu</w:t>
      </w:r>
      <w:r>
        <w:rPr>
          <w:rFonts w:cs="Times New Roman"/>
          <w:lang w:val="fr-CA"/>
        </w:rPr>
        <w:t>’</w:t>
      </w:r>
      <w:r w:rsidRPr="001B30C8">
        <w:rPr>
          <w:rFonts w:cs="Times New Roman"/>
          <w:lang w:val="fr-CA"/>
        </w:rPr>
        <w:t>une peine de 15 à 18 mois d</w:t>
      </w:r>
      <w:r>
        <w:rPr>
          <w:rFonts w:cs="Times New Roman"/>
          <w:lang w:val="fr-CA"/>
        </w:rPr>
        <w:t>’</w:t>
      </w:r>
      <w:r w:rsidRPr="001B30C8">
        <w:rPr>
          <w:rFonts w:cs="Times New Roman"/>
          <w:lang w:val="fr-CA"/>
        </w:rPr>
        <w:t>emprisonnement aurait constitué une peine indiquée au moment de la détermination de la peine. Une telle peine prend en considération les divers facteurs atténuants qui rendent la présente affaire unique, tout en tenant compte de la gravité de l</w:t>
      </w:r>
      <w:r>
        <w:rPr>
          <w:rFonts w:cs="Times New Roman"/>
          <w:lang w:val="fr-CA"/>
        </w:rPr>
        <w:t>’</w:t>
      </w:r>
      <w:r w:rsidRPr="001B30C8">
        <w:rPr>
          <w:rFonts w:cs="Times New Roman"/>
          <w:lang w:val="fr-CA"/>
        </w:rPr>
        <w:t xml:space="preserve">infraction visée au par. 255(3.2). </w:t>
      </w:r>
    </w:p>
    <w:p w:rsidR="001A0BA2" w:rsidRPr="001B30C8" w:rsidRDefault="001A0BA2" w:rsidP="001A0BA2">
      <w:pPr>
        <w:pStyle w:val="ParaNoNdepar-AltN"/>
        <w:tabs>
          <w:tab w:val="clear" w:pos="1152"/>
          <w:tab w:val="left" w:pos="1166"/>
        </w:tabs>
        <w:rPr>
          <w:rFonts w:cs="Times New Roman"/>
          <w:lang w:val="fr-CA"/>
        </w:rPr>
      </w:pPr>
      <w:r w:rsidRPr="001B30C8">
        <w:rPr>
          <w:rFonts w:cs="Times New Roman"/>
          <w:lang w:val="fr-CA"/>
        </w:rPr>
        <w:lastRenderedPageBreak/>
        <w:t>En concluant, comme je l</w:t>
      </w:r>
      <w:r>
        <w:rPr>
          <w:rFonts w:cs="Times New Roman"/>
          <w:lang w:val="fr-CA"/>
        </w:rPr>
        <w:t>’</w:t>
      </w:r>
      <w:r w:rsidRPr="001B30C8">
        <w:rPr>
          <w:rFonts w:cs="Times New Roman"/>
          <w:lang w:val="fr-CA"/>
        </w:rPr>
        <w:t>ai fait, qu</w:t>
      </w:r>
      <w:r>
        <w:rPr>
          <w:rFonts w:cs="Times New Roman"/>
          <w:lang w:val="fr-CA"/>
        </w:rPr>
        <w:t>’</w:t>
      </w:r>
      <w:r w:rsidRPr="001B30C8">
        <w:rPr>
          <w:rFonts w:cs="Times New Roman"/>
          <w:lang w:val="fr-CA"/>
        </w:rPr>
        <w:t>une peine de 15 à 18 mois d</w:t>
      </w:r>
      <w:r>
        <w:rPr>
          <w:rFonts w:cs="Times New Roman"/>
          <w:lang w:val="fr-CA"/>
        </w:rPr>
        <w:t>’</w:t>
      </w:r>
      <w:r w:rsidRPr="001B30C8">
        <w:rPr>
          <w:rFonts w:cs="Times New Roman"/>
          <w:lang w:val="fr-CA"/>
        </w:rPr>
        <w:t>emprisonnement aurait constitué une peine indiquée dans le cas de M. Suter, je suis conscient que mon collègue dans ses motifs est d</w:t>
      </w:r>
      <w:r>
        <w:rPr>
          <w:rFonts w:cs="Times New Roman"/>
          <w:lang w:val="fr-CA"/>
        </w:rPr>
        <w:t>’</w:t>
      </w:r>
      <w:r w:rsidRPr="001B30C8">
        <w:rPr>
          <w:rFonts w:cs="Times New Roman"/>
          <w:lang w:val="fr-CA"/>
        </w:rPr>
        <w:t>avis de confirmer le caractère indiqué de la peine de 4 mois imposée par le juge de la peine. Bien que, soit dit en tout respect, je ne puis souscrire à une grande partie du raisonnement de mon collègue et à sa conclusion finale, je ne commenterai que deux points.</w:t>
      </w:r>
    </w:p>
    <w:p w:rsidR="001A0BA2" w:rsidRPr="001B30C8" w:rsidRDefault="001A0BA2" w:rsidP="001A0BA2">
      <w:pPr>
        <w:pStyle w:val="ParaNoNdepar-AltN"/>
        <w:tabs>
          <w:tab w:val="clear" w:pos="1152"/>
          <w:tab w:val="left" w:pos="1166"/>
        </w:tabs>
        <w:rPr>
          <w:rFonts w:cs="Times New Roman"/>
          <w:lang w:val="fr-CA"/>
        </w:rPr>
      </w:pPr>
      <w:r w:rsidRPr="001B30C8">
        <w:rPr>
          <w:rFonts w:cs="Times New Roman"/>
          <w:lang w:val="fr-CA"/>
        </w:rPr>
        <w:t>Premièrement, il est important de reconnaître que le juge de la peine, de son propre chef, a affirmé que, n</w:t>
      </w:r>
      <w:r>
        <w:rPr>
          <w:rFonts w:cs="Times New Roman"/>
          <w:lang w:val="fr-CA"/>
        </w:rPr>
        <w:t>’</w:t>
      </w:r>
      <w:r w:rsidRPr="001B30C8">
        <w:rPr>
          <w:rFonts w:cs="Times New Roman"/>
          <w:lang w:val="fr-CA"/>
        </w:rPr>
        <w:t>eût été les différents facteurs atténuants que pouvait invoquer M. Suter — notamment les mauvais conseils juridiques qu</w:t>
      </w:r>
      <w:r>
        <w:rPr>
          <w:rFonts w:cs="Times New Roman"/>
          <w:lang w:val="fr-CA"/>
        </w:rPr>
        <w:t>’</w:t>
      </w:r>
      <w:r w:rsidRPr="001B30C8">
        <w:rPr>
          <w:rFonts w:cs="Times New Roman"/>
          <w:lang w:val="fr-CA"/>
        </w:rPr>
        <w:t>il a reçus et l</w:t>
      </w:r>
      <w:r>
        <w:rPr>
          <w:rFonts w:cs="Times New Roman"/>
          <w:lang w:val="fr-CA"/>
        </w:rPr>
        <w:t>’</w:t>
      </w:r>
      <w:r w:rsidRPr="001B30C8">
        <w:rPr>
          <w:rFonts w:cs="Times New Roman"/>
          <w:lang w:val="fr-CA"/>
        </w:rPr>
        <w:t>absence d</w:t>
      </w:r>
      <w:r>
        <w:rPr>
          <w:rFonts w:cs="Times New Roman"/>
          <w:lang w:val="fr-CA"/>
        </w:rPr>
        <w:t>’</w:t>
      </w:r>
      <w:r w:rsidRPr="001B30C8">
        <w:rPr>
          <w:rFonts w:cs="Times New Roman"/>
          <w:lang w:val="fr-CA"/>
        </w:rPr>
        <w:t>affaiblissement de ses facultés —, il aurait imposé une peine plus élevée que celle de 36 mois sollicitée par la Couronne. J</w:t>
      </w:r>
      <w:r>
        <w:rPr>
          <w:rFonts w:cs="Times New Roman"/>
          <w:lang w:val="fr-CA"/>
        </w:rPr>
        <w:t>’</w:t>
      </w:r>
      <w:r w:rsidRPr="001B30C8">
        <w:rPr>
          <w:rFonts w:cs="Times New Roman"/>
          <w:lang w:val="fr-CA"/>
        </w:rPr>
        <w:t>en déduis qu</w:t>
      </w:r>
      <w:r>
        <w:rPr>
          <w:rFonts w:cs="Times New Roman"/>
          <w:lang w:val="fr-CA"/>
        </w:rPr>
        <w:t>’</w:t>
      </w:r>
      <w:r w:rsidRPr="001B30C8">
        <w:rPr>
          <w:rFonts w:cs="Times New Roman"/>
          <w:lang w:val="fr-CA"/>
        </w:rPr>
        <w:t>il aurait infligé une peine de 42 à 48 mois. Cependant, à la lumière des divers facteurs atténuants, il a décidé d</w:t>
      </w:r>
      <w:r>
        <w:rPr>
          <w:rFonts w:cs="Times New Roman"/>
          <w:lang w:val="fr-CA"/>
        </w:rPr>
        <w:t>’</w:t>
      </w:r>
      <w:r w:rsidR="00EC427D">
        <w:rPr>
          <w:rFonts w:cs="Times New Roman"/>
          <w:lang w:val="fr-CA"/>
        </w:rPr>
        <w:t>aller bien en deçà</w:t>
      </w:r>
      <w:r w:rsidRPr="001B30C8">
        <w:rPr>
          <w:rFonts w:cs="Times New Roman"/>
          <w:lang w:val="fr-CA"/>
        </w:rPr>
        <w:t xml:space="preserve"> de cette fourchette, prononçant une peine de quatre mois d</w:t>
      </w:r>
      <w:r>
        <w:rPr>
          <w:rFonts w:cs="Times New Roman"/>
          <w:lang w:val="fr-CA"/>
        </w:rPr>
        <w:t>’</w:t>
      </w:r>
      <w:r w:rsidRPr="001B30C8">
        <w:rPr>
          <w:rFonts w:cs="Times New Roman"/>
          <w:lang w:val="fr-CA"/>
        </w:rPr>
        <w:t>emprisonnement. En d</w:t>
      </w:r>
      <w:r>
        <w:rPr>
          <w:rFonts w:cs="Times New Roman"/>
          <w:lang w:val="fr-CA"/>
        </w:rPr>
        <w:t>’</w:t>
      </w:r>
      <w:r w:rsidRPr="001B30C8">
        <w:rPr>
          <w:rFonts w:cs="Times New Roman"/>
          <w:lang w:val="fr-CA"/>
        </w:rPr>
        <w:t>autres termes, il a enlevé 38 à 44 mois à la peine qu</w:t>
      </w:r>
      <w:r>
        <w:rPr>
          <w:rFonts w:cs="Times New Roman"/>
          <w:lang w:val="fr-CA"/>
        </w:rPr>
        <w:t>’</w:t>
      </w:r>
      <w:r w:rsidRPr="001B30C8">
        <w:rPr>
          <w:rFonts w:cs="Times New Roman"/>
          <w:lang w:val="fr-CA"/>
        </w:rPr>
        <w:t>il aurait autrement imposée. En toute déférence, j</w:t>
      </w:r>
      <w:r>
        <w:rPr>
          <w:rFonts w:cs="Times New Roman"/>
          <w:lang w:val="fr-CA"/>
        </w:rPr>
        <w:t>’</w:t>
      </w:r>
      <w:r w:rsidRPr="001B30C8">
        <w:rPr>
          <w:rFonts w:cs="Times New Roman"/>
          <w:lang w:val="fr-CA"/>
        </w:rPr>
        <w:t xml:space="preserve">estime que, ce faisant, il a prononcé une peine manifestement non indiquée. </w:t>
      </w:r>
    </w:p>
    <w:p w:rsidR="001A0BA2" w:rsidRPr="001B30C8" w:rsidRDefault="001A0BA2" w:rsidP="001A0BA2">
      <w:pPr>
        <w:pStyle w:val="ParaNoNdepar-AltN"/>
        <w:tabs>
          <w:tab w:val="clear" w:pos="1152"/>
          <w:tab w:val="left" w:pos="1166"/>
        </w:tabs>
        <w:rPr>
          <w:rFonts w:cs="Times New Roman"/>
          <w:lang w:val="fr-CA"/>
        </w:rPr>
      </w:pPr>
      <w:r w:rsidRPr="001B30C8">
        <w:rPr>
          <w:rFonts w:cs="Times New Roman"/>
          <w:lang w:val="fr-CA"/>
        </w:rPr>
        <w:t>En concluant ainsi, je ne suis pas en désaccord avec le juge de la peine sur le fait que les facteurs atténuants en l</w:t>
      </w:r>
      <w:r>
        <w:rPr>
          <w:rFonts w:cs="Times New Roman"/>
          <w:lang w:val="fr-CA"/>
        </w:rPr>
        <w:t>’</w:t>
      </w:r>
      <w:r w:rsidRPr="001B30C8">
        <w:rPr>
          <w:rFonts w:cs="Times New Roman"/>
          <w:lang w:val="fr-CA"/>
        </w:rPr>
        <w:t>espèce justifiaient une réduction substantielle par rapport à la fourchette de peines qu</w:t>
      </w:r>
      <w:r>
        <w:rPr>
          <w:rFonts w:cs="Times New Roman"/>
          <w:lang w:val="fr-CA"/>
        </w:rPr>
        <w:t>’</w:t>
      </w:r>
      <w:r w:rsidRPr="001B30C8">
        <w:rPr>
          <w:rFonts w:cs="Times New Roman"/>
          <w:lang w:val="fr-CA"/>
        </w:rPr>
        <w:t>il aurait autrement approuvée, soit celle de 42 à 48 mois d</w:t>
      </w:r>
      <w:r>
        <w:rPr>
          <w:rFonts w:cs="Times New Roman"/>
          <w:lang w:val="fr-CA"/>
        </w:rPr>
        <w:t>’</w:t>
      </w:r>
      <w:r w:rsidRPr="001B30C8">
        <w:rPr>
          <w:rFonts w:cs="Times New Roman"/>
          <w:lang w:val="fr-CA"/>
        </w:rPr>
        <w:t>emprisonnement. Je suis toutefois en désaccord avec lui quant à l</w:t>
      </w:r>
      <w:r>
        <w:rPr>
          <w:rFonts w:cs="Times New Roman"/>
          <w:lang w:val="fr-CA"/>
        </w:rPr>
        <w:t>’</w:t>
      </w:r>
      <w:r w:rsidRPr="001B30C8">
        <w:rPr>
          <w:rFonts w:cs="Times New Roman"/>
          <w:lang w:val="fr-CA"/>
        </w:rPr>
        <w:t>étendue de la réduction. À mon avis, celle</w:t>
      </w:r>
      <w:r w:rsidRPr="001B30C8">
        <w:rPr>
          <w:rFonts w:cs="Times New Roman"/>
          <w:lang w:val="fr-CA"/>
        </w:rPr>
        <w:noBreakHyphen/>
        <w:t xml:space="preserve">ci a minimisé indûment la gravité du crime commis par M. Suter. </w:t>
      </w:r>
    </w:p>
    <w:p w:rsidR="001A0BA2" w:rsidRPr="001B30C8" w:rsidRDefault="001A0BA2" w:rsidP="001A0BA2">
      <w:pPr>
        <w:pStyle w:val="ParaNoNdepar-AltN"/>
        <w:tabs>
          <w:tab w:val="clear" w:pos="1152"/>
          <w:tab w:val="left" w:pos="1166"/>
        </w:tabs>
        <w:rPr>
          <w:rFonts w:cs="Times New Roman"/>
          <w:lang w:val="fr-CA"/>
        </w:rPr>
      </w:pPr>
      <w:r w:rsidRPr="001B30C8">
        <w:rPr>
          <w:rFonts w:cs="Times New Roman"/>
          <w:lang w:val="fr-CA"/>
        </w:rPr>
        <w:lastRenderedPageBreak/>
        <w:t>La réduction que j</w:t>
      </w:r>
      <w:r>
        <w:rPr>
          <w:rFonts w:cs="Times New Roman"/>
          <w:lang w:val="fr-CA"/>
        </w:rPr>
        <w:t>’</w:t>
      </w:r>
      <w:r w:rsidRPr="001B30C8">
        <w:rPr>
          <w:rFonts w:cs="Times New Roman"/>
          <w:lang w:val="fr-CA"/>
        </w:rPr>
        <w:t>estime appropriée — 42 à 48 mois d</w:t>
      </w:r>
      <w:r>
        <w:rPr>
          <w:rFonts w:cs="Times New Roman"/>
          <w:lang w:val="fr-CA"/>
        </w:rPr>
        <w:t>’</w:t>
      </w:r>
      <w:r w:rsidRPr="001B30C8">
        <w:rPr>
          <w:rFonts w:cs="Times New Roman"/>
          <w:lang w:val="fr-CA"/>
        </w:rPr>
        <w:t>emprisonnement ramenés à 15 à 18 mois d</w:t>
      </w:r>
      <w:r>
        <w:rPr>
          <w:rFonts w:cs="Times New Roman"/>
          <w:lang w:val="fr-CA"/>
        </w:rPr>
        <w:t>’</w:t>
      </w:r>
      <w:r w:rsidRPr="001B30C8">
        <w:rPr>
          <w:rFonts w:cs="Times New Roman"/>
          <w:lang w:val="fr-CA"/>
        </w:rPr>
        <w:t>emprisonnement — est une réduction très substantielle. Elle reconnaît les facteurs atténuants susceptibles d</w:t>
      </w:r>
      <w:r>
        <w:rPr>
          <w:rFonts w:cs="Times New Roman"/>
          <w:lang w:val="fr-CA"/>
        </w:rPr>
        <w:t>’</w:t>
      </w:r>
      <w:r w:rsidRPr="001B30C8">
        <w:rPr>
          <w:rFonts w:cs="Times New Roman"/>
          <w:lang w:val="fr-CA"/>
        </w:rPr>
        <w:t>être invoqués par M. Suter sans perdre de vue le message clair et explicite du législateur selon lequel le fait de refuser de fournir un échantillon d</w:t>
      </w:r>
      <w:r>
        <w:rPr>
          <w:rFonts w:cs="Times New Roman"/>
          <w:lang w:val="fr-CA"/>
        </w:rPr>
        <w:t>’</w:t>
      </w:r>
      <w:r w:rsidRPr="001B30C8">
        <w:rPr>
          <w:rFonts w:cs="Times New Roman"/>
          <w:lang w:val="fr-CA"/>
        </w:rPr>
        <w:t>haleine dans des circonstances où un accident occasionne la mort constitue un crime très grave punissable d</w:t>
      </w:r>
      <w:r>
        <w:rPr>
          <w:rFonts w:cs="Times New Roman"/>
          <w:lang w:val="fr-CA"/>
        </w:rPr>
        <w:t>’</w:t>
      </w:r>
      <w:r w:rsidRPr="001B30C8">
        <w:rPr>
          <w:rFonts w:cs="Times New Roman"/>
          <w:lang w:val="fr-CA"/>
        </w:rPr>
        <w:t>une peine pouvant aller jusqu</w:t>
      </w:r>
      <w:r>
        <w:rPr>
          <w:rFonts w:cs="Times New Roman"/>
          <w:lang w:val="fr-CA"/>
        </w:rPr>
        <w:t>’</w:t>
      </w:r>
      <w:r w:rsidRPr="001B30C8">
        <w:rPr>
          <w:rFonts w:cs="Times New Roman"/>
          <w:lang w:val="fr-CA"/>
        </w:rPr>
        <w:t>à l</w:t>
      </w:r>
      <w:r>
        <w:rPr>
          <w:rFonts w:cs="Times New Roman"/>
          <w:lang w:val="fr-CA"/>
        </w:rPr>
        <w:t>’</w:t>
      </w:r>
      <w:r w:rsidRPr="001B30C8">
        <w:rPr>
          <w:rFonts w:cs="Times New Roman"/>
          <w:lang w:val="fr-CA"/>
        </w:rPr>
        <w:t xml:space="preserve">emprisonnement à perpétuité. </w:t>
      </w:r>
    </w:p>
    <w:p w:rsidR="001A0BA2" w:rsidRPr="001B30C8" w:rsidRDefault="001A0BA2" w:rsidP="001A0BA2">
      <w:pPr>
        <w:pStyle w:val="ParaNoNdepar-AltN"/>
        <w:rPr>
          <w:rFonts w:cs="Times New Roman"/>
          <w:lang w:val="fr-CA"/>
        </w:rPr>
      </w:pPr>
      <w:r w:rsidRPr="001B30C8">
        <w:rPr>
          <w:rFonts w:cs="Times New Roman"/>
          <w:lang w:val="fr-CA"/>
        </w:rPr>
        <w:t>Mon collègue, pour sa part, ne voit aucune raison de modifier la peine de quatre mois imposée à l</w:t>
      </w:r>
      <w:r>
        <w:rPr>
          <w:rFonts w:cs="Times New Roman"/>
          <w:lang w:val="fr-CA"/>
        </w:rPr>
        <w:t>’</w:t>
      </w:r>
      <w:r w:rsidRPr="001B30C8">
        <w:rPr>
          <w:rFonts w:cs="Times New Roman"/>
          <w:lang w:val="fr-CA"/>
        </w:rPr>
        <w:t>audience de détermination de la peine, même s</w:t>
      </w:r>
      <w:r>
        <w:rPr>
          <w:rFonts w:cs="Times New Roman"/>
          <w:lang w:val="fr-CA"/>
        </w:rPr>
        <w:t>’</w:t>
      </w:r>
      <w:r w:rsidRPr="001B30C8">
        <w:rPr>
          <w:rFonts w:cs="Times New Roman"/>
          <w:lang w:val="fr-CA"/>
        </w:rPr>
        <w:t>il aurait lui</w:t>
      </w:r>
      <w:r w:rsidRPr="001B30C8">
        <w:rPr>
          <w:rFonts w:cs="Times New Roman"/>
          <w:lang w:val="fr-CA"/>
        </w:rPr>
        <w:noBreakHyphen/>
        <w:t>même « accordé plus d</w:t>
      </w:r>
      <w:r>
        <w:rPr>
          <w:rFonts w:cs="Times New Roman"/>
          <w:lang w:val="fr-CA"/>
        </w:rPr>
        <w:t>’</w:t>
      </w:r>
      <w:r w:rsidRPr="001B30C8">
        <w:rPr>
          <w:rFonts w:cs="Times New Roman"/>
          <w:lang w:val="fr-CA"/>
        </w:rPr>
        <w:t>importance à la gravité de l</w:t>
      </w:r>
      <w:r>
        <w:rPr>
          <w:rFonts w:cs="Times New Roman"/>
          <w:lang w:val="fr-CA"/>
        </w:rPr>
        <w:t>’</w:t>
      </w:r>
      <w:r w:rsidRPr="001B30C8">
        <w:rPr>
          <w:rFonts w:cs="Times New Roman"/>
          <w:lang w:val="fr-CA"/>
        </w:rPr>
        <w:t>infraction que ne l</w:t>
      </w:r>
      <w:r>
        <w:rPr>
          <w:rFonts w:cs="Times New Roman"/>
          <w:lang w:val="fr-CA"/>
        </w:rPr>
        <w:t>’</w:t>
      </w:r>
      <w:r w:rsidRPr="001B30C8">
        <w:rPr>
          <w:rFonts w:cs="Times New Roman"/>
          <w:lang w:val="fr-CA"/>
        </w:rPr>
        <w:t>a fait le juge de la peine » (par. 170). J</w:t>
      </w:r>
      <w:r>
        <w:rPr>
          <w:rFonts w:cs="Times New Roman"/>
          <w:lang w:val="fr-CA"/>
        </w:rPr>
        <w:t>’</w:t>
      </w:r>
      <w:r w:rsidRPr="001B30C8">
        <w:rPr>
          <w:rFonts w:cs="Times New Roman"/>
          <w:lang w:val="fr-CA"/>
        </w:rPr>
        <w:t>en conclus que mon collègue aurait infligé une peine de plus de quatre mois d</w:t>
      </w:r>
      <w:r>
        <w:rPr>
          <w:rFonts w:cs="Times New Roman"/>
          <w:lang w:val="fr-CA"/>
        </w:rPr>
        <w:t>’</w:t>
      </w:r>
      <w:r w:rsidRPr="001B30C8">
        <w:rPr>
          <w:rFonts w:cs="Times New Roman"/>
          <w:lang w:val="fr-CA"/>
        </w:rPr>
        <w:t>emprisonnement. Cela m</w:t>
      </w:r>
      <w:r>
        <w:rPr>
          <w:rFonts w:cs="Times New Roman"/>
          <w:lang w:val="fr-CA"/>
        </w:rPr>
        <w:t>’</w:t>
      </w:r>
      <w:r w:rsidRPr="001B30C8">
        <w:rPr>
          <w:rFonts w:cs="Times New Roman"/>
          <w:lang w:val="fr-CA"/>
        </w:rPr>
        <w:t xml:space="preserve">amène au deuxième point sur lequel je souhaite faire des observations. </w:t>
      </w:r>
    </w:p>
    <w:p w:rsidR="001A0BA2" w:rsidRPr="001B30C8" w:rsidRDefault="001A0BA2" w:rsidP="001A0BA2">
      <w:pPr>
        <w:pStyle w:val="ParaNoNdepar-AltN"/>
        <w:rPr>
          <w:rFonts w:cs="Times New Roman"/>
          <w:lang w:val="fr-CA"/>
        </w:rPr>
      </w:pPr>
      <w:r w:rsidRPr="001B30C8">
        <w:rPr>
          <w:rFonts w:cs="Times New Roman"/>
          <w:lang w:val="fr-CA"/>
        </w:rPr>
        <w:t>À mon avis, l</w:t>
      </w:r>
      <w:r>
        <w:rPr>
          <w:rFonts w:cs="Times New Roman"/>
          <w:lang w:val="fr-CA"/>
        </w:rPr>
        <w:t>’</w:t>
      </w:r>
      <w:r w:rsidRPr="001B30C8">
        <w:rPr>
          <w:rFonts w:cs="Times New Roman"/>
          <w:lang w:val="fr-CA"/>
        </w:rPr>
        <w:t>analyse relative à la détermination de la peine effectuée par mon collègue présente des failles. Bien qu</w:t>
      </w:r>
      <w:r>
        <w:rPr>
          <w:rFonts w:cs="Times New Roman"/>
          <w:lang w:val="fr-CA"/>
        </w:rPr>
        <w:t>’</w:t>
      </w:r>
      <w:r w:rsidRPr="001B30C8">
        <w:rPr>
          <w:rFonts w:cs="Times New Roman"/>
          <w:lang w:val="fr-CA"/>
        </w:rPr>
        <w:t>il reconnaisse que l</w:t>
      </w:r>
      <w:r>
        <w:rPr>
          <w:rFonts w:cs="Times New Roman"/>
          <w:lang w:val="fr-CA"/>
        </w:rPr>
        <w:t>’</w:t>
      </w:r>
      <w:r w:rsidRPr="001B30C8">
        <w:rPr>
          <w:rFonts w:cs="Times New Roman"/>
          <w:lang w:val="fr-CA"/>
        </w:rPr>
        <w:t>« infraction — refuser de fournir un échantillon d</w:t>
      </w:r>
      <w:r>
        <w:rPr>
          <w:rFonts w:cs="Times New Roman"/>
          <w:lang w:val="fr-CA"/>
        </w:rPr>
        <w:t>’</w:t>
      </w:r>
      <w:r w:rsidRPr="001B30C8">
        <w:rPr>
          <w:rFonts w:cs="Times New Roman"/>
          <w:lang w:val="fr-CA"/>
        </w:rPr>
        <w:t>haleine après un accident de voiture mortel — est très grave » (par. 169), il soutient néanmoins que le degré de culpabilité morale de M. Suter « pourrait difficilement être plus faible » (</w:t>
      </w:r>
      <w:r w:rsidRPr="001B30C8">
        <w:rPr>
          <w:rFonts w:cs="Times New Roman"/>
          <w:i/>
          <w:lang w:val="fr-CA"/>
        </w:rPr>
        <w:t>ibid.</w:t>
      </w:r>
      <w:r w:rsidRPr="001B30C8">
        <w:rPr>
          <w:rFonts w:cs="Times New Roman"/>
          <w:lang w:val="fr-CA"/>
        </w:rPr>
        <w:t>), que les principes de d</w:t>
      </w:r>
      <w:r w:rsidR="0054220C">
        <w:rPr>
          <w:rFonts w:cs="Times New Roman"/>
          <w:lang w:val="fr-CA"/>
        </w:rPr>
        <w:t>issuasion</w:t>
      </w:r>
      <w:r w:rsidRPr="001B30C8">
        <w:rPr>
          <w:rFonts w:cs="Times New Roman"/>
          <w:lang w:val="fr-CA"/>
        </w:rPr>
        <w:t xml:space="preserve"> générale et de </w:t>
      </w:r>
      <w:r w:rsidR="0054220C">
        <w:rPr>
          <w:rFonts w:cs="Times New Roman"/>
          <w:lang w:val="fr-CA"/>
        </w:rPr>
        <w:t>dénonciation</w:t>
      </w:r>
      <w:r w:rsidRPr="001B30C8">
        <w:rPr>
          <w:rFonts w:cs="Times New Roman"/>
          <w:lang w:val="fr-CA"/>
        </w:rPr>
        <w:t xml:space="preserve"> n</w:t>
      </w:r>
      <w:r>
        <w:rPr>
          <w:rFonts w:cs="Times New Roman"/>
          <w:lang w:val="fr-CA"/>
        </w:rPr>
        <w:t>’</w:t>
      </w:r>
      <w:r w:rsidRPr="001B30C8">
        <w:rPr>
          <w:rFonts w:cs="Times New Roman"/>
          <w:lang w:val="fr-CA"/>
        </w:rPr>
        <w:t>ont virtuellement aucun rôle à jouer en l</w:t>
      </w:r>
      <w:r>
        <w:rPr>
          <w:rFonts w:cs="Times New Roman"/>
          <w:lang w:val="fr-CA"/>
        </w:rPr>
        <w:t>’</w:t>
      </w:r>
      <w:r w:rsidRPr="001B30C8">
        <w:rPr>
          <w:rFonts w:cs="Times New Roman"/>
          <w:lang w:val="fr-CA"/>
        </w:rPr>
        <w:t>espèce (par. 178</w:t>
      </w:r>
      <w:r w:rsidRPr="001B30C8">
        <w:rPr>
          <w:rFonts w:cs="Times New Roman"/>
          <w:lang w:val="fr-CA"/>
        </w:rPr>
        <w:noBreakHyphen/>
        <w:t>184) et que, comme M. Suter « n</w:t>
      </w:r>
      <w:r>
        <w:rPr>
          <w:rFonts w:cs="Times New Roman"/>
          <w:lang w:val="fr-CA"/>
        </w:rPr>
        <w:t>’</w:t>
      </w:r>
      <w:r w:rsidRPr="001B30C8">
        <w:rPr>
          <w:rFonts w:cs="Times New Roman"/>
          <w:lang w:val="fr-CA"/>
        </w:rPr>
        <w:t>aurait fait l</w:t>
      </w:r>
      <w:r>
        <w:rPr>
          <w:rFonts w:cs="Times New Roman"/>
          <w:lang w:val="fr-CA"/>
        </w:rPr>
        <w:t>’</w:t>
      </w:r>
      <w:r w:rsidRPr="001B30C8">
        <w:rPr>
          <w:rFonts w:cs="Times New Roman"/>
          <w:lang w:val="fr-CA"/>
        </w:rPr>
        <w:t>objet d</w:t>
      </w:r>
      <w:r>
        <w:rPr>
          <w:rFonts w:cs="Times New Roman"/>
          <w:lang w:val="fr-CA"/>
        </w:rPr>
        <w:t>’</w:t>
      </w:r>
      <w:r w:rsidRPr="001B30C8">
        <w:rPr>
          <w:rFonts w:cs="Times New Roman"/>
          <w:lang w:val="fr-CA"/>
        </w:rPr>
        <w:t>aucune accusation criminelle s</w:t>
      </w:r>
      <w:r>
        <w:rPr>
          <w:rFonts w:cs="Times New Roman"/>
          <w:lang w:val="fr-CA"/>
        </w:rPr>
        <w:t>’</w:t>
      </w:r>
      <w:r w:rsidRPr="001B30C8">
        <w:rPr>
          <w:rFonts w:cs="Times New Roman"/>
          <w:lang w:val="fr-CA"/>
        </w:rPr>
        <w:t>il avait reçu des conseils juridiques adéquats et fourni un échantillon d</w:t>
      </w:r>
      <w:r>
        <w:rPr>
          <w:rFonts w:cs="Times New Roman"/>
          <w:lang w:val="fr-CA"/>
        </w:rPr>
        <w:t>’</w:t>
      </w:r>
      <w:r w:rsidRPr="001B30C8">
        <w:rPr>
          <w:rFonts w:cs="Times New Roman"/>
          <w:lang w:val="fr-CA"/>
        </w:rPr>
        <w:t xml:space="preserve">haleine », son crime a simplement été de « suivre les conseils négligents de son avocat » (par. 108). </w:t>
      </w:r>
    </w:p>
    <w:p w:rsidR="001A0BA2" w:rsidRPr="001B30C8" w:rsidRDefault="001A0BA2" w:rsidP="001A0BA2">
      <w:pPr>
        <w:pStyle w:val="ParaNoNdepar-AltN"/>
        <w:rPr>
          <w:rFonts w:cs="Times New Roman"/>
          <w:lang w:val="fr-CA"/>
        </w:rPr>
      </w:pPr>
      <w:r w:rsidRPr="001B30C8">
        <w:rPr>
          <w:rFonts w:cs="Times New Roman"/>
          <w:lang w:val="fr-CA"/>
        </w:rPr>
        <w:lastRenderedPageBreak/>
        <w:t>En toute déférence, ces conclusions atténuent au point de faire pratiquement disparaître le crime commis. En fait, mon collègue va jusqu</w:t>
      </w:r>
      <w:r>
        <w:rPr>
          <w:rFonts w:cs="Times New Roman"/>
          <w:lang w:val="fr-CA"/>
        </w:rPr>
        <w:t>’</w:t>
      </w:r>
      <w:r w:rsidRPr="001B30C8">
        <w:rPr>
          <w:rFonts w:cs="Times New Roman"/>
          <w:lang w:val="fr-CA"/>
        </w:rPr>
        <w:t xml:space="preserve">à dire que la seule faute commise par M. Suter a été de « suivre les conseils négligents de son avocat » — ce qui ne constitue clairement pas un crime reconnu dans le </w:t>
      </w:r>
      <w:r w:rsidRPr="001B30C8">
        <w:rPr>
          <w:rFonts w:cs="Times New Roman"/>
          <w:i/>
          <w:lang w:val="fr-CA"/>
        </w:rPr>
        <w:t>Code criminel</w:t>
      </w:r>
      <w:r w:rsidRPr="001B30C8">
        <w:rPr>
          <w:rFonts w:cs="Times New Roman"/>
          <w:lang w:val="fr-CA"/>
        </w:rPr>
        <w:t xml:space="preserve"> (par. 108). Et il aurait toutefois imposé une peine de plus de quatre mois d</w:t>
      </w:r>
      <w:r>
        <w:rPr>
          <w:rFonts w:cs="Times New Roman"/>
          <w:lang w:val="fr-CA"/>
        </w:rPr>
        <w:t>’</w:t>
      </w:r>
      <w:r w:rsidRPr="001B30C8">
        <w:rPr>
          <w:rFonts w:cs="Times New Roman"/>
          <w:lang w:val="fr-CA"/>
        </w:rPr>
        <w:t>emprisonnement. Sa logique, soit dit en tout respect, m</w:t>
      </w:r>
      <w:r>
        <w:rPr>
          <w:rFonts w:cs="Times New Roman"/>
          <w:lang w:val="fr-CA"/>
        </w:rPr>
        <w:t>’</w:t>
      </w:r>
      <w:r w:rsidRPr="001B30C8">
        <w:rPr>
          <w:rFonts w:cs="Times New Roman"/>
          <w:lang w:val="fr-CA"/>
        </w:rPr>
        <w:t>échappe. Suivant sa propre analyse, même les quatre mois d</w:t>
      </w:r>
      <w:r>
        <w:rPr>
          <w:rFonts w:cs="Times New Roman"/>
          <w:lang w:val="fr-CA"/>
        </w:rPr>
        <w:t>’</w:t>
      </w:r>
      <w:r w:rsidRPr="001B30C8">
        <w:rPr>
          <w:rFonts w:cs="Times New Roman"/>
          <w:lang w:val="fr-CA"/>
        </w:rPr>
        <w:t xml:space="preserve">emprisonnement imposés par le juge de la peine sembleraient inappropriés. </w:t>
      </w:r>
    </w:p>
    <w:p w:rsidR="001A0BA2" w:rsidRPr="001B30C8" w:rsidRDefault="001A0BA2" w:rsidP="001A0BA2">
      <w:pPr>
        <w:pStyle w:val="ParaNoNdepar-AltN"/>
        <w:tabs>
          <w:tab w:val="clear" w:pos="1152"/>
          <w:tab w:val="left" w:pos="1166"/>
        </w:tabs>
        <w:rPr>
          <w:rFonts w:cs="Times New Roman"/>
          <w:lang w:val="fr-CA"/>
        </w:rPr>
      </w:pPr>
      <w:r w:rsidRPr="001B30C8">
        <w:rPr>
          <w:rFonts w:cs="Times New Roman"/>
          <w:lang w:val="fr-CA"/>
        </w:rPr>
        <w:t>Ayant conclu qu</w:t>
      </w:r>
      <w:r>
        <w:rPr>
          <w:rFonts w:cs="Times New Roman"/>
          <w:lang w:val="fr-CA"/>
        </w:rPr>
        <w:t>’</w:t>
      </w:r>
      <w:r w:rsidRPr="001B30C8">
        <w:rPr>
          <w:rFonts w:cs="Times New Roman"/>
          <w:lang w:val="fr-CA"/>
        </w:rPr>
        <w:t>une peine de 15 à 18 mois d</w:t>
      </w:r>
      <w:r>
        <w:rPr>
          <w:rFonts w:cs="Times New Roman"/>
          <w:lang w:val="fr-CA"/>
        </w:rPr>
        <w:t>’</w:t>
      </w:r>
      <w:r w:rsidRPr="001B30C8">
        <w:rPr>
          <w:rFonts w:cs="Times New Roman"/>
          <w:lang w:val="fr-CA"/>
        </w:rPr>
        <w:t>emprisonnement aurait constitué une peine indiquée au moment de la détermination de la peine, il existe, à cette étape</w:t>
      </w:r>
      <w:r w:rsidRPr="001B30C8">
        <w:rPr>
          <w:rFonts w:cs="Times New Roman"/>
          <w:lang w:val="fr-CA"/>
        </w:rPr>
        <w:noBreakHyphen/>
        <w:t>ci, des facteurs additionnels qui méritent d</w:t>
      </w:r>
      <w:r>
        <w:rPr>
          <w:rFonts w:cs="Times New Roman"/>
          <w:lang w:val="fr-CA"/>
        </w:rPr>
        <w:t>’</w:t>
      </w:r>
      <w:r w:rsidRPr="001B30C8">
        <w:rPr>
          <w:rFonts w:cs="Times New Roman"/>
          <w:lang w:val="fr-CA"/>
        </w:rPr>
        <w:t>être pris en considération. M. Suter a déjà purgé un peu plus de 10 mois et demi de sa peine d</w:t>
      </w:r>
      <w:r>
        <w:rPr>
          <w:rFonts w:cs="Times New Roman"/>
          <w:lang w:val="fr-CA"/>
        </w:rPr>
        <w:t>’</w:t>
      </w:r>
      <w:r w:rsidRPr="001B30C8">
        <w:rPr>
          <w:rFonts w:cs="Times New Roman"/>
          <w:lang w:val="fr-CA"/>
        </w:rPr>
        <w:t>emprisonnement. Il a passé presque neuf mois à attendre la décision de notre Cour. À mon avis, imposer aujourd</w:t>
      </w:r>
      <w:r>
        <w:rPr>
          <w:rFonts w:cs="Times New Roman"/>
          <w:lang w:val="fr-CA"/>
        </w:rPr>
        <w:t>’</w:t>
      </w:r>
      <w:r w:rsidRPr="001B30C8">
        <w:rPr>
          <w:rFonts w:cs="Times New Roman"/>
          <w:lang w:val="fr-CA"/>
        </w:rPr>
        <w:t>hui à M. Suter ce qui aurait été une décision indiquée au moment de la détermination de la peine lui causerait un préjudice indu et ne servirait à rien. En résumé, il ne serait pas dans l</w:t>
      </w:r>
      <w:r>
        <w:rPr>
          <w:rFonts w:cs="Times New Roman"/>
          <w:lang w:val="fr-CA"/>
        </w:rPr>
        <w:t>’</w:t>
      </w:r>
      <w:r w:rsidRPr="001B30C8">
        <w:rPr>
          <w:rFonts w:cs="Times New Roman"/>
          <w:lang w:val="fr-CA"/>
        </w:rPr>
        <w:t>intérêt de la justice de réincarcérer M. Suter à ce moment</w:t>
      </w:r>
      <w:r w:rsidRPr="001B30C8">
        <w:rPr>
          <w:rFonts w:cs="Times New Roman"/>
          <w:lang w:val="fr-CA"/>
        </w:rPr>
        <w:noBreakHyphen/>
        <w:t>ci.</w:t>
      </w:r>
    </w:p>
    <w:p w:rsidR="001A0BA2" w:rsidRPr="001B30C8" w:rsidRDefault="001A0BA2" w:rsidP="001A0BA2">
      <w:pPr>
        <w:pStyle w:val="Title1LevelTitre1Niveau-AltL"/>
        <w:rPr>
          <w:rFonts w:cs="Times New Roman"/>
          <w:lang w:val="fr-CA"/>
        </w:rPr>
      </w:pPr>
      <w:r w:rsidRPr="001B30C8">
        <w:rPr>
          <w:rFonts w:cs="Times New Roman"/>
          <w:lang w:val="fr-CA"/>
        </w:rPr>
        <w:t>Conclusion</w:t>
      </w:r>
    </w:p>
    <w:p w:rsidR="001A0BA2" w:rsidRPr="001B30C8" w:rsidRDefault="001A0BA2" w:rsidP="001A0BA2">
      <w:pPr>
        <w:pStyle w:val="ParaNoNdepar-AltN"/>
        <w:rPr>
          <w:rFonts w:cs="Times New Roman"/>
          <w:lang w:val="fr-CA"/>
        </w:rPr>
      </w:pPr>
      <w:r w:rsidRPr="001B30C8">
        <w:rPr>
          <w:rFonts w:cs="Times New Roman"/>
          <w:lang w:val="fr-CA"/>
        </w:rPr>
        <w:t>En conséquence, j</w:t>
      </w:r>
      <w:r>
        <w:rPr>
          <w:rFonts w:cs="Times New Roman"/>
          <w:lang w:val="fr-CA"/>
        </w:rPr>
        <w:t>’</w:t>
      </w:r>
      <w:r w:rsidRPr="001B30C8">
        <w:rPr>
          <w:rFonts w:cs="Times New Roman"/>
          <w:lang w:val="fr-CA"/>
        </w:rPr>
        <w:t>accueillerais le pourvoi de M. Suter en partie. J</w:t>
      </w:r>
      <w:r>
        <w:rPr>
          <w:rFonts w:cs="Times New Roman"/>
          <w:lang w:val="fr-CA"/>
        </w:rPr>
        <w:t>’</w:t>
      </w:r>
      <w:r w:rsidRPr="001B30C8">
        <w:rPr>
          <w:rFonts w:cs="Times New Roman"/>
          <w:lang w:val="fr-CA"/>
        </w:rPr>
        <w:t>annulerais la peine de 26 mois d</w:t>
      </w:r>
      <w:r>
        <w:rPr>
          <w:rFonts w:cs="Times New Roman"/>
          <w:lang w:val="fr-CA"/>
        </w:rPr>
        <w:t>’</w:t>
      </w:r>
      <w:r w:rsidRPr="001B30C8">
        <w:rPr>
          <w:rFonts w:cs="Times New Roman"/>
          <w:lang w:val="fr-CA"/>
        </w:rPr>
        <w:t>emprisonnement infligée par la Cour d</w:t>
      </w:r>
      <w:r>
        <w:rPr>
          <w:rFonts w:cs="Times New Roman"/>
          <w:lang w:val="fr-CA"/>
        </w:rPr>
        <w:t>’</w:t>
      </w:r>
      <w:r w:rsidRPr="001B30C8">
        <w:rPr>
          <w:rFonts w:cs="Times New Roman"/>
          <w:lang w:val="fr-CA"/>
        </w:rPr>
        <w:t>appel et je la remplacerais par une peine correspondant à la période de détention déjà purgée. Je confirmerais l</w:t>
      </w:r>
      <w:r>
        <w:rPr>
          <w:rFonts w:cs="Times New Roman"/>
          <w:lang w:val="fr-CA"/>
        </w:rPr>
        <w:t>’</w:t>
      </w:r>
      <w:r w:rsidRPr="001B30C8">
        <w:rPr>
          <w:rFonts w:cs="Times New Roman"/>
          <w:lang w:val="fr-CA"/>
        </w:rPr>
        <w:t>interdiction de conduire de 30 mois.</w:t>
      </w:r>
    </w:p>
    <w:p w:rsidR="001A0BA2" w:rsidRPr="00EC427D" w:rsidRDefault="00EC427D" w:rsidP="00EC427D">
      <w:pPr>
        <w:pStyle w:val="JudgeJuge"/>
        <w:spacing w:before="480"/>
        <w:rPr>
          <w:smallCaps w:val="0"/>
          <w:lang w:val="fr-CA"/>
        </w:rPr>
      </w:pPr>
      <w:r>
        <w:rPr>
          <w:lang w:val="fr-CA"/>
        </w:rPr>
        <w:lastRenderedPageBreak/>
        <w:tab/>
      </w:r>
      <w:r w:rsidR="001A0BA2" w:rsidRPr="00EC427D">
        <w:rPr>
          <w:smallCaps w:val="0"/>
          <w:lang w:val="fr-CA"/>
        </w:rPr>
        <w:t>Version française des motifs rendus par</w:t>
      </w:r>
    </w:p>
    <w:p w:rsidR="001A0BA2" w:rsidRPr="00345FEE" w:rsidRDefault="001A0BA2" w:rsidP="001A0BA2">
      <w:pPr>
        <w:pStyle w:val="JudgeJuge"/>
        <w:spacing w:before="480"/>
        <w:rPr>
          <w:lang w:val="fr-CA"/>
        </w:rPr>
      </w:pPr>
      <w:r w:rsidRPr="00345FEE">
        <w:rPr>
          <w:lang w:val="fr-CA"/>
        </w:rPr>
        <w:tab/>
        <w:t xml:space="preserve">Le juge Gascon — </w:t>
      </w:r>
    </w:p>
    <w:p w:rsidR="001A0BA2" w:rsidRPr="008F4117" w:rsidRDefault="001A0BA2" w:rsidP="008F4117">
      <w:pPr>
        <w:pStyle w:val="Title1LevelTitre1Niveau-AltL"/>
        <w:numPr>
          <w:ilvl w:val="0"/>
          <w:numId w:val="13"/>
        </w:numPr>
        <w:rPr>
          <w:rFonts w:cs="Times New Roman"/>
          <w:lang w:val="fr-CA"/>
        </w:rPr>
      </w:pPr>
      <w:r w:rsidRPr="008F4117">
        <w:rPr>
          <w:rFonts w:cs="Times New Roman"/>
          <w:lang w:val="fr-CA"/>
        </w:rPr>
        <w:t>Aperçu</w:t>
      </w:r>
    </w:p>
    <w:p w:rsidR="001A0BA2" w:rsidRPr="00345FEE" w:rsidRDefault="001A0BA2" w:rsidP="001A0BA2">
      <w:pPr>
        <w:pStyle w:val="ParaNoNdepar-AltN"/>
        <w:rPr>
          <w:rFonts w:cs="Times New Roman"/>
          <w:lang w:val="fr-CA"/>
        </w:rPr>
      </w:pPr>
      <w:r w:rsidRPr="00345FEE">
        <w:rPr>
          <w:rFonts w:cs="Times New Roman"/>
          <w:lang w:val="fr-CA"/>
        </w:rPr>
        <w:t>J’ai lu les motifs des juges majoritaires et je souscris à leur critique de l’arrêt de la Cour d’appel (2016 ABCA 235, 41 Alta. L.R. (6th) 268). Plus précisément, je conviens que la Cour d’appel, en réévaluant le dossier de première instance, « a dans les faits puni M. Suter pour une infraction de conduite imprudente, ou de conduite dangereuse causant la mort, à l’égard de laquelle il n’avait pas subi de procès et dont il n’avait pas été déclaré coupable » (par. 44). Je conviens également que, comme la détermination de la peine est une « opération [. . .] individualisée » (par. 46) qui ne se prête pas aux « formule[s] rigide[s] » (par. 47), la Cour d’appel a conclu à tort que les conséquences indirectes subies aux mains de personnes n’agissant pas au nom de l’État — comme les actes de violence perpétrés par des justiciers — ne pouvaient pas être utilisées pour évaluer le caractère approprié de la peine. Enfin, je conviens que, compte tenu des facteurs atténuants exceptionnels présents en l’espèce, la peine de 26 mois d’emprisonnement infligée par la Cour d’appel était non indiquée. Toutefois, là s’arrête mon accord avec les juges majoritaires.</w:t>
      </w:r>
    </w:p>
    <w:p w:rsidR="001A0BA2" w:rsidRPr="00345FEE" w:rsidRDefault="001A0BA2" w:rsidP="001A0BA2">
      <w:pPr>
        <w:pStyle w:val="ParaNoNdepar-AltN"/>
        <w:rPr>
          <w:rFonts w:cs="Times New Roman"/>
          <w:lang w:val="fr-CA"/>
        </w:rPr>
      </w:pPr>
      <w:r w:rsidRPr="00345FEE">
        <w:rPr>
          <w:rFonts w:cs="Times New Roman"/>
          <w:lang w:val="fr-CA"/>
        </w:rPr>
        <w:t xml:space="preserve">La présente affaire est indéniablement tragique. En effet, rares sont les tragédies pires que la mort d’un enfant. Cependant, les circonstances tragiques de l’affaire ne devraient pas suffire à écarter le cadre d’analyse que notre Cour et le Parlement obligent les juges à appliquer lors de l’infliction d’une peine appropriée. À mon humble avis, les juges majoritaires ont fait fi de ce cadre en prescrivant une peine </w:t>
      </w:r>
      <w:r w:rsidRPr="00345FEE">
        <w:rPr>
          <w:rFonts w:cs="Times New Roman"/>
          <w:lang w:val="fr-CA"/>
        </w:rPr>
        <w:lastRenderedPageBreak/>
        <w:t xml:space="preserve">de 15 à 18 mois d’emprisonnement après une analyse incomplète de la proportionnalité, de l’individualisation, de la parité et des objectifs de la détermination de la peine énoncés au </w:t>
      </w:r>
      <w:r w:rsidRPr="00345FEE">
        <w:rPr>
          <w:rFonts w:cs="Times New Roman"/>
          <w:i/>
          <w:lang w:val="fr-CA"/>
        </w:rPr>
        <w:t>Code criminel</w:t>
      </w:r>
      <w:r w:rsidRPr="00345FEE">
        <w:rPr>
          <w:rFonts w:cs="Times New Roman"/>
          <w:lang w:val="fr-CA"/>
        </w:rPr>
        <w:t>, L.R.C. 1985, c. C</w:t>
      </w:r>
      <w:r w:rsidRPr="00345FEE">
        <w:rPr>
          <w:rFonts w:cs="Times New Roman"/>
          <w:lang w:val="fr-CA"/>
        </w:rPr>
        <w:noBreakHyphen/>
        <w:t>46.</w:t>
      </w:r>
    </w:p>
    <w:p w:rsidR="001A0BA2" w:rsidRPr="00345FEE" w:rsidRDefault="001A0BA2" w:rsidP="001A0BA2">
      <w:pPr>
        <w:pStyle w:val="ParaNoNdepar-AltN"/>
        <w:rPr>
          <w:rFonts w:cs="Times New Roman"/>
          <w:lang w:val="fr-CA"/>
        </w:rPr>
      </w:pPr>
      <w:r w:rsidRPr="00345FEE">
        <w:rPr>
          <w:rFonts w:cs="Times New Roman"/>
          <w:lang w:val="fr-CA"/>
        </w:rPr>
        <w:t>Je tiens à préciser que ma position ne repose pas sur une forme de clémence à l’égard des infractions administratives. De telles infractions — surtout celles se rapportant à la conduite avec capacités affaiblies — doivent être appliquées avec rigueur. Elles sont indispensables à la bonne administration de la justice. Et, dans le contexte de la conduite avec capacités affaiblies, elles sont essentielles en vue de dénoncer et de décourager ce fléau. Toutefois, cette application rigoureuse ne saurait faire abstraction de la nature individuelle de la détermination de la peine ou de circonstances où des faits uniques non seulement justifient, mais commandent, une peine réduite.</w:t>
      </w:r>
    </w:p>
    <w:p w:rsidR="001A0BA2" w:rsidRPr="00345FEE" w:rsidRDefault="001A0BA2" w:rsidP="001A0BA2">
      <w:pPr>
        <w:pStyle w:val="ParaNoNdepar-AltN"/>
        <w:rPr>
          <w:rFonts w:cs="Times New Roman"/>
          <w:lang w:val="fr-CA"/>
        </w:rPr>
      </w:pPr>
      <w:r w:rsidRPr="00345FEE">
        <w:rPr>
          <w:rFonts w:cs="Times New Roman"/>
          <w:lang w:val="fr-CA"/>
        </w:rPr>
        <w:t xml:space="preserve">La présente affaire présente de tels faits uniques. M. Suter a été déclaré coupable d’avoir refusé de fournir un échantillon d’haleine à la suite d’un accident mortel, une infraction qui vise deux formes de méfaits : </w:t>
      </w:r>
      <w:r w:rsidR="0054220C">
        <w:rPr>
          <w:rFonts w:cs="Times New Roman"/>
          <w:lang w:val="fr-CA"/>
        </w:rPr>
        <w:t>(</w:t>
      </w:r>
      <w:r w:rsidRPr="00345FEE">
        <w:rPr>
          <w:rFonts w:cs="Times New Roman"/>
          <w:lang w:val="fr-CA"/>
        </w:rPr>
        <w:t xml:space="preserve">1) directement, l’entrave à la justice, et </w:t>
      </w:r>
      <w:r w:rsidR="0054220C">
        <w:rPr>
          <w:rFonts w:cs="Times New Roman"/>
          <w:lang w:val="fr-CA"/>
        </w:rPr>
        <w:t>(</w:t>
      </w:r>
      <w:r w:rsidRPr="00345FEE">
        <w:rPr>
          <w:rFonts w:cs="Times New Roman"/>
          <w:lang w:val="fr-CA"/>
        </w:rPr>
        <w:t xml:space="preserve">2) indirectement, la conduite avec capacités affaiblies. Toutefois, deux conclusions clés tirées par le juge de la peine montrent que la conduite de M. Suter ne fait entrer en jeu aucune de ces formes de méfaits. Premièrement, son avocat (dont les services étaient fournis par l’État) lui a expressément conseillé de refuser de fournir l’échantillon. M. Suter ne cherchait donc pas à entraver la justice, mais plutôt à suivre les conseils de son avocat. Deuxièmement, il n’était pas en état d’ébriété. Le juge de la peine n’a pas simplement conclu que la Couronne n’avait pas réussi à prouver hors de tout doute raisonnable l’affaiblissement des facultés de M. Suter (une conséquence </w:t>
      </w:r>
      <w:r w:rsidRPr="00345FEE">
        <w:rPr>
          <w:rFonts w:cs="Times New Roman"/>
          <w:lang w:val="fr-CA"/>
        </w:rPr>
        <w:lastRenderedPageBreak/>
        <w:t xml:space="preserve">possible du refus (voir, p. ex., </w:t>
      </w:r>
      <w:r w:rsidRPr="00345FEE">
        <w:rPr>
          <w:rFonts w:cs="Times New Roman"/>
          <w:i/>
          <w:lang w:val="fr-CA"/>
        </w:rPr>
        <w:t>R. c. Kresko</w:t>
      </w:r>
      <w:r w:rsidRPr="00345FEE">
        <w:rPr>
          <w:rFonts w:cs="Times New Roman"/>
          <w:lang w:val="fr-CA"/>
        </w:rPr>
        <w:t xml:space="preserve">, 2013 ONSC 1631, 42 M.V.R. (6th) 224, par. 42)). Il a plutôt estimé que M. Suter était sobre, malgré le fait que, dans le cas des infractions de conduite avec les capacités affaiblies, le </w:t>
      </w:r>
      <w:r w:rsidRPr="00345FEE">
        <w:rPr>
          <w:rFonts w:cs="Times New Roman"/>
          <w:i/>
          <w:lang w:val="fr-CA"/>
        </w:rPr>
        <w:t xml:space="preserve">Code criminel </w:t>
      </w:r>
      <w:r w:rsidRPr="00345FEE">
        <w:rPr>
          <w:rFonts w:cs="Times New Roman"/>
          <w:lang w:val="fr-CA"/>
        </w:rPr>
        <w:t>permet expressément de tirer une inférence défavorable contre l’accusé qui refuse de fournir un échantillon d’haleine (par. 258(3)). En fait, les seuls tiers témoins qui ont évalué l’affaiblissement des facultés de M. Suter avant l’accident — soit sans les variables déconcertantes du choc et du règlement de comptes qui ont suivi l’accident — ont confirmé que M. Suter n’était pas ivre en se fondant sur leur [</w:t>
      </w:r>
      <w:r w:rsidRPr="00345FEE">
        <w:rPr>
          <w:rFonts w:cs="Times New Roman"/>
          <w:smallCaps/>
          <w:lang w:val="fr-CA"/>
        </w:rPr>
        <w:t>traduction</w:t>
      </w:r>
      <w:r w:rsidRPr="00345FEE">
        <w:rPr>
          <w:rFonts w:cs="Times New Roman"/>
          <w:lang w:val="fr-CA"/>
        </w:rPr>
        <w:t>] « expérience considérable » dans le secteur des services (d.a., vol. II, p. 129</w:t>
      </w:r>
      <w:r w:rsidRPr="00345FEE">
        <w:rPr>
          <w:rFonts w:cs="Times New Roman"/>
          <w:lang w:val="fr-CA"/>
        </w:rPr>
        <w:noBreakHyphen/>
        <w:t>131). De plus, un rapport d’expert non contredit indiquait que M. Suter n’aurait pas présenté une alcoolémie « supérieure à 80 mg » selon la preuve retenue par le juge de la peine. L’ensemble de ces faits constatés par le juge de la peine, et qu’aucune des parties ne conteste, démontre l’injustice apparente en l’espèce : M. Suter n’aurait fait l’objet d’aucune accusation criminelle s’il avait reçu des conseils juridiques adéquats et fourni un échantillon d’haleine. Autrement dit, son crime a été de suivre les conseils négligents de son avocat.</w:t>
      </w:r>
    </w:p>
    <w:p w:rsidR="001A0BA2" w:rsidRPr="00345FEE" w:rsidRDefault="001A0BA2" w:rsidP="001A0BA2">
      <w:pPr>
        <w:pStyle w:val="ParaNoNdepar-AltN"/>
        <w:rPr>
          <w:rFonts w:cs="Times New Roman"/>
          <w:lang w:val="fr-CA"/>
        </w:rPr>
      </w:pPr>
      <w:r w:rsidRPr="00345FEE">
        <w:rPr>
          <w:rFonts w:cs="Times New Roman"/>
          <w:lang w:val="fr-CA"/>
        </w:rPr>
        <w:t>Selon les observations des parties et mon examen de la jurisprudence pertinente, les deux conclusions clés tirées en l’espèce — soit les mauvais conseils juridiques et l’absence d’état d’ébriété — ne se sont jamais présentées ensemble dans les annales des décisions judiciaires canadiennes publiées relatives aux infractions de refus d’obtempérer. D’ailleurs, le juge de la peine a qualifié ces faits d’[</w:t>
      </w:r>
      <w:r w:rsidRPr="00345FEE">
        <w:rPr>
          <w:rFonts w:cs="Times New Roman"/>
          <w:smallCaps/>
          <w:lang w:val="fr-CA"/>
        </w:rPr>
        <w:t>traduction</w:t>
      </w:r>
      <w:r w:rsidRPr="00345FEE">
        <w:rPr>
          <w:rFonts w:cs="Times New Roman"/>
          <w:lang w:val="fr-CA"/>
        </w:rPr>
        <w:t>] « uniques » (2015 ABPC 269, 94 M.V.R. (6th) 91, par. 48). De plus, outre ces deux conclusions, il a également conclu que M. Suter et sa femme avaient subi de multiples attaques violentes aux mains de justiciers à la suite de cette tragédie. Ceux</w:t>
      </w:r>
      <w:r w:rsidRPr="00345FEE">
        <w:rPr>
          <w:rFonts w:cs="Times New Roman"/>
          <w:lang w:val="fr-CA"/>
        </w:rPr>
        <w:noBreakHyphen/>
        <w:t xml:space="preserve">ci ont enlevé </w:t>
      </w:r>
      <w:r w:rsidRPr="00345FEE">
        <w:rPr>
          <w:rFonts w:cs="Times New Roman"/>
          <w:lang w:val="fr-CA"/>
        </w:rPr>
        <w:lastRenderedPageBreak/>
        <w:t>et mutilé M. Suter et l’ont abandonné inconscient dans la neige. Ils ont également agressé M</w:t>
      </w:r>
      <w:r w:rsidRPr="00345FEE">
        <w:rPr>
          <w:rFonts w:cs="Times New Roman"/>
          <w:vertAlign w:val="superscript"/>
          <w:lang w:val="fr-CA"/>
        </w:rPr>
        <w:t>me</w:t>
      </w:r>
      <w:r w:rsidRPr="00345FEE">
        <w:rPr>
          <w:rFonts w:cs="Times New Roman"/>
          <w:lang w:val="fr-CA"/>
        </w:rPr>
        <w:t> Suter, lui brisant le nez et les dents. Chacune de ces trois conclusions est en soi exceptionnelle. Qu’elles puissent se présenter ensemble dépasse l’entendement. Ce sont là les faits extraordinaires qui ont amené le juge de la peine à infliger une peine de quatre mois d’emprisonnement. J’aurais soupesé la gravité de l’infraction autrement que ne l’a fait le juge de la peine, mais j’estime qu’il n’y a aucun fondement juridique permettant à notre Cour de modifier la peine initiale imposée.</w:t>
      </w:r>
    </w:p>
    <w:p w:rsidR="001A0BA2" w:rsidRPr="00345FEE" w:rsidRDefault="001A0BA2" w:rsidP="001A0BA2">
      <w:pPr>
        <w:pStyle w:val="ParaNoNdepar-AltN"/>
        <w:rPr>
          <w:rFonts w:cs="Times New Roman"/>
          <w:lang w:val="fr-CA"/>
        </w:rPr>
      </w:pPr>
      <w:r w:rsidRPr="00345FEE">
        <w:rPr>
          <w:rFonts w:cs="Times New Roman"/>
          <w:lang w:val="fr-CA"/>
        </w:rPr>
        <w:t>Sous ce rapport, je ne partage pas l’opinion des juges majoritaires sur quatre points. Premièrement, je conteste le fait qu’une erreur de droit exige qu’un délinquant soit certain de la légalité de sa conduite. Je ne puis trouver aucune source qui appuie cette position. De plus, cette interprétation stricte va à l’encontre, à mon avis, de la nature contextuelle et individualisée de la détermination de la peine. Deuxièmement, je ne suis pas d’accord pour dire que le juge de la peine a accordé trop d’importance au fait que M. Suter n’était pas ivre en l’espèce. À mon avis, les juges majoritaires relèvent cette erreur parce qu’ils interprètent mal la décision relative à la peine. Troisièmement, je mets en doute l’approche retenue par les juges majoritaires, laquelle consiste, en fait, à surseoir à l’exécution de la peine de M. Suter en se fondant uniquement sur le temps que celui</w:t>
      </w:r>
      <w:r w:rsidRPr="00345FEE">
        <w:rPr>
          <w:rFonts w:cs="Times New Roman"/>
          <w:lang w:val="fr-CA"/>
        </w:rPr>
        <w:noBreakHyphen/>
        <w:t xml:space="preserve">ci a passé à attendre qu’il soit statué sur son appel, sans tenir compte des objectifs urgents de dissuasion et de dénonciation sur lesquels ils prétendent s’appuyer lorsqu’ils décrivent la peine qui est indiquée dans les circonstances. À mon humble avis, cette approche ne peut être motivée que par la subsistance de doutes en ce qui concerne la proportionnalité d’une peine de 15 à 18 mois d’emprisonnement dans la situation particulière de M. Suter, et non par des préoccupations associées au fardeau de la réincarcération. Quatrièmement, je ne puis </w:t>
      </w:r>
      <w:r w:rsidRPr="00345FEE">
        <w:rPr>
          <w:rFonts w:cs="Times New Roman"/>
          <w:lang w:val="fr-CA"/>
        </w:rPr>
        <w:lastRenderedPageBreak/>
        <w:t>conclure, sur le plan des principes, qu’une peine de quatre mois d’emprisonnement est manifestement non indiquée dans les circonstances. Ni les faits uniques dont nous sommes saisis ni la jurisprudence pertinente n’appuient pareille affirmation.</w:t>
      </w:r>
    </w:p>
    <w:p w:rsidR="001A0BA2" w:rsidRPr="00345FEE" w:rsidRDefault="001A0BA2" w:rsidP="001A0BA2">
      <w:pPr>
        <w:pStyle w:val="ParaNoNdepar-AltN"/>
        <w:rPr>
          <w:rFonts w:cs="Times New Roman"/>
          <w:lang w:val="fr-CA"/>
        </w:rPr>
      </w:pPr>
      <w:r w:rsidRPr="00345FEE">
        <w:rPr>
          <w:rFonts w:cs="Times New Roman"/>
          <w:lang w:val="fr-CA"/>
        </w:rPr>
        <w:t>Pour ces motifs, j’aurais également accueilli le pourvoi en partie, mais j’aurais rétabli la peine initiale de quatre mois d’emprisonnement.</w:t>
      </w:r>
    </w:p>
    <w:p w:rsidR="001A0BA2" w:rsidRPr="00345FEE" w:rsidRDefault="001A0BA2" w:rsidP="001A0BA2">
      <w:pPr>
        <w:pStyle w:val="Title1LevelTitre1Niveau-AltL"/>
        <w:rPr>
          <w:rFonts w:cs="Times New Roman"/>
          <w:lang w:val="fr-CA"/>
        </w:rPr>
      </w:pPr>
      <w:r w:rsidRPr="00345FEE">
        <w:rPr>
          <w:rFonts w:cs="Times New Roman"/>
          <w:lang w:val="fr-CA"/>
        </w:rPr>
        <w:t>Contexte</w:t>
      </w:r>
    </w:p>
    <w:p w:rsidR="001A0BA2" w:rsidRPr="00345FEE" w:rsidRDefault="001A0BA2" w:rsidP="001A0BA2">
      <w:pPr>
        <w:pStyle w:val="ParaNoNdepar-AltN"/>
        <w:rPr>
          <w:rFonts w:cs="Times New Roman"/>
          <w:lang w:val="fr-CA"/>
        </w:rPr>
      </w:pPr>
      <w:r w:rsidRPr="00345FEE">
        <w:rPr>
          <w:rFonts w:cs="Times New Roman"/>
          <w:lang w:val="fr-CA"/>
        </w:rPr>
        <w:t>Je ne conteste pas le résumé que font les juges majoritaires des faits pertinents et des décisions des cours d’instance inférieure.</w:t>
      </w:r>
    </w:p>
    <w:p w:rsidR="001A0BA2" w:rsidRPr="00345FEE" w:rsidRDefault="001A0BA2" w:rsidP="001A0BA2">
      <w:pPr>
        <w:pStyle w:val="ParaNoNdepar-AltN"/>
        <w:rPr>
          <w:rFonts w:cs="Times New Roman"/>
          <w:lang w:val="fr-CA"/>
        </w:rPr>
      </w:pPr>
      <w:r w:rsidRPr="00345FEE">
        <w:rPr>
          <w:rFonts w:cs="Times New Roman"/>
          <w:lang w:val="fr-CA"/>
        </w:rPr>
        <w:t xml:space="preserve">En ce qui concerne les faits, les juges majoritaires mentionnent à juste titre les nombreux facteurs atténuants qui sont présents en l’espèce : </w:t>
      </w:r>
      <w:r w:rsidR="00EC427D">
        <w:rPr>
          <w:rFonts w:cs="Times New Roman"/>
          <w:lang w:val="fr-CA"/>
        </w:rPr>
        <w:t>(</w:t>
      </w:r>
      <w:r w:rsidRPr="00345FEE">
        <w:rPr>
          <w:rFonts w:cs="Times New Roman"/>
          <w:lang w:val="fr-CA"/>
        </w:rPr>
        <w:t xml:space="preserve">1) l’accident mortel n’a pas été causé par une personne ayant les facultés affaiblies, et la Couronne n’a pas allégué ou tenté de prouver qu’il a été causé par la distraction, </w:t>
      </w:r>
      <w:r w:rsidR="00EC427D">
        <w:rPr>
          <w:rFonts w:cs="Times New Roman"/>
          <w:lang w:val="fr-CA"/>
        </w:rPr>
        <w:t>(</w:t>
      </w:r>
      <w:r w:rsidRPr="00345FEE">
        <w:rPr>
          <w:rFonts w:cs="Times New Roman"/>
          <w:lang w:val="fr-CA"/>
        </w:rPr>
        <w:t xml:space="preserve">2) M. Suter a refusé de fournir un échantillon d’haleine uniquement parce que c’est ce que son avocat (dont les services étaient offerts par l’État) lui a expressément conseillé de faire, </w:t>
      </w:r>
      <w:r w:rsidR="00EC427D">
        <w:rPr>
          <w:rFonts w:cs="Times New Roman"/>
          <w:lang w:val="fr-CA"/>
        </w:rPr>
        <w:t>(</w:t>
      </w:r>
      <w:r w:rsidRPr="00345FEE">
        <w:rPr>
          <w:rFonts w:cs="Times New Roman"/>
          <w:lang w:val="fr-CA"/>
        </w:rPr>
        <w:t xml:space="preserve">3) M. Suter et sa femme ont subi de multiples attaques aux mains de justiciers, et </w:t>
      </w:r>
      <w:r w:rsidR="00EC427D">
        <w:rPr>
          <w:rFonts w:cs="Times New Roman"/>
          <w:lang w:val="fr-CA"/>
        </w:rPr>
        <w:t>(</w:t>
      </w:r>
      <w:r w:rsidRPr="00345FEE">
        <w:rPr>
          <w:rFonts w:cs="Times New Roman"/>
          <w:lang w:val="fr-CA"/>
        </w:rPr>
        <w:t>4) il y avait plusieurs autres facteurs atténuants, notamment le plaidoyer de culpabilité de M. Suter, ses immenses remords et le fait qu’il n’avait pas de casier judiciaire et qu’il jouissait d’un appui solide au sein de la collectivité.</w:t>
      </w:r>
    </w:p>
    <w:p w:rsidR="001A0BA2" w:rsidRPr="00345FEE" w:rsidRDefault="001A0BA2" w:rsidP="001A0BA2">
      <w:pPr>
        <w:pStyle w:val="ParaNoNdepar-AltN"/>
        <w:rPr>
          <w:rFonts w:cs="Times New Roman"/>
          <w:lang w:val="fr-CA"/>
        </w:rPr>
      </w:pPr>
      <w:r w:rsidRPr="00345FEE">
        <w:rPr>
          <w:rFonts w:cs="Times New Roman"/>
          <w:lang w:val="fr-CA"/>
        </w:rPr>
        <w:t xml:space="preserve">Les juges majoritaires résument aussi correctement les décisions des cours d’instance inférieure. Ils soulignent que le juge de la peine a condamné M. Suter à une peine de quatre mois d’emprisonnement en raison des faits « uniques » décrits </w:t>
      </w:r>
      <w:r w:rsidRPr="00345FEE">
        <w:rPr>
          <w:rFonts w:cs="Times New Roman"/>
          <w:lang w:val="fr-CA"/>
        </w:rPr>
        <w:lastRenderedPageBreak/>
        <w:t>précédemment, notamment en quoi le fait de s’être fié aux conseils de son avocat avait « chang[é] [. . .] de manière fondamentale » sa culpabilité morale (par. 17). Les juges majoritaires expliquent également que la Cour d’appel a conclu que la peine déterminée par le juge de première instance était non indiquée et lui a substitué une peine de 26 mois d’emprisonnement au motif que M. Suter n’a pas commis d’erreur de droit, n’aurait pas dû voir sa peine réduite en raison des actes de violence justicière et a été criminellement distrait.</w:t>
      </w:r>
    </w:p>
    <w:p w:rsidR="001A0BA2" w:rsidRPr="00345FEE" w:rsidRDefault="001A0BA2" w:rsidP="001A0BA2">
      <w:pPr>
        <w:pStyle w:val="Title1LevelTitre1Niveau-AltL"/>
        <w:rPr>
          <w:rFonts w:cs="Times New Roman"/>
          <w:lang w:val="fr-CA"/>
        </w:rPr>
      </w:pPr>
      <w:r w:rsidRPr="00345FEE">
        <w:rPr>
          <w:rFonts w:cs="Times New Roman"/>
          <w:lang w:val="fr-CA"/>
        </w:rPr>
        <w:t>Analyse</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Une peine initiale peut être réexaminée en appel si elle met en cause un processus d’analyse erroné (erreurs importantes dans le raisonnement) ou un résultat erroné (caractère manifestement non indiqué) (</w:t>
      </w:r>
      <w:r w:rsidRPr="00345FEE">
        <w:rPr>
          <w:rFonts w:cs="Times New Roman"/>
          <w:i/>
          <w:lang w:val="fr-CA"/>
        </w:rPr>
        <w:t>R. c. Lacasse</w:t>
      </w:r>
      <w:r w:rsidRPr="00345FEE">
        <w:rPr>
          <w:rFonts w:cs="Times New Roman"/>
          <w:lang w:val="fr-CA"/>
        </w:rPr>
        <w:t xml:space="preserve">, 2015 CSC 64, [2015] 3 R.C.S. 1089, par. 11). Comme je l’explique, ni l’un ni l’autre de ces types d’erreurs n’entache ici la décision du juge de la peine. J’aurais donc rétabli la peine initiale. </w:t>
      </w:r>
    </w:p>
    <w:p w:rsidR="001A0BA2" w:rsidRPr="00345FEE" w:rsidRDefault="001A0BA2" w:rsidP="001A0BA2">
      <w:pPr>
        <w:pStyle w:val="Title2LevelTitre2Niveau"/>
        <w:rPr>
          <w:rFonts w:cs="Times New Roman"/>
          <w:lang w:val="fr-CA"/>
        </w:rPr>
      </w:pPr>
      <w:r w:rsidRPr="00345FEE">
        <w:rPr>
          <w:rFonts w:cs="Times New Roman"/>
          <w:lang w:val="fr-CA"/>
        </w:rPr>
        <w:t xml:space="preserve">Processus d’analyse erroné : erreurs dans le raisonnement </w:t>
      </w:r>
    </w:p>
    <w:p w:rsidR="001A0BA2" w:rsidRPr="00345FEE" w:rsidRDefault="001A0BA2" w:rsidP="001A0BA2">
      <w:pPr>
        <w:pStyle w:val="ParaNoNdepar-AltN"/>
        <w:rPr>
          <w:rFonts w:cs="Times New Roman"/>
          <w:lang w:val="fr-CA"/>
        </w:rPr>
      </w:pPr>
      <w:r w:rsidRPr="00345FEE">
        <w:rPr>
          <w:rFonts w:cs="Times New Roman"/>
          <w:lang w:val="fr-CA"/>
        </w:rPr>
        <w:t xml:space="preserve">Les juges majoritaires concluent que le raisonnement du juge de la peine contient deux erreurs justifiant une intervention en appel : (1) sa mauvaise compréhension juridique des erreurs de droit (soit une « erreur de principe » selon l’arrêt </w:t>
      </w:r>
      <w:r w:rsidRPr="00345FEE">
        <w:rPr>
          <w:rFonts w:cs="Times New Roman"/>
          <w:i/>
          <w:lang w:val="fr-CA"/>
        </w:rPr>
        <w:t>Lacasse</w:t>
      </w:r>
      <w:r w:rsidRPr="00345FEE">
        <w:rPr>
          <w:rFonts w:cs="Times New Roman"/>
          <w:lang w:val="fr-CA"/>
        </w:rPr>
        <w:t xml:space="preserve">, par. 44), et (2) l’importance excessive qu’il a accordée au fait que M. Suter n’était pas ivre (soit soupeser « de façon déraisonnable » un facteur pertinent selon l’arrêt </w:t>
      </w:r>
      <w:r w:rsidRPr="00345FEE">
        <w:rPr>
          <w:rFonts w:cs="Times New Roman"/>
          <w:i/>
          <w:lang w:val="fr-CA"/>
        </w:rPr>
        <w:t>Lacasse</w:t>
      </w:r>
      <w:r w:rsidRPr="00345FEE">
        <w:rPr>
          <w:rFonts w:cs="Times New Roman"/>
          <w:lang w:val="fr-CA"/>
        </w:rPr>
        <w:t>, par. 49).</w:t>
      </w:r>
    </w:p>
    <w:p w:rsidR="001A0BA2" w:rsidRPr="00345FEE" w:rsidRDefault="001A0BA2" w:rsidP="001A0BA2">
      <w:pPr>
        <w:pStyle w:val="ParaNoNdepar-AltN"/>
        <w:rPr>
          <w:rFonts w:cs="Times New Roman"/>
          <w:lang w:val="fr-CA"/>
        </w:rPr>
      </w:pPr>
      <w:r w:rsidRPr="00345FEE">
        <w:rPr>
          <w:rFonts w:cs="Times New Roman"/>
          <w:lang w:val="fr-CA"/>
        </w:rPr>
        <w:lastRenderedPageBreak/>
        <w:t>À mon avis, le juge de la peine n’a commis aucune de ces erreurs. Par conséquent, notre Cour ne peut modifier la peine de M. Suter au motif que le raisonnement est entaché d’une erreur.</w:t>
      </w:r>
    </w:p>
    <w:p w:rsidR="001A0BA2" w:rsidRPr="00345FEE" w:rsidRDefault="001A0BA2" w:rsidP="001A0BA2">
      <w:pPr>
        <w:pStyle w:val="Title3LevelTitre3Niveau"/>
        <w:rPr>
          <w:rFonts w:cs="Times New Roman"/>
          <w:lang w:val="fr-CA"/>
        </w:rPr>
      </w:pPr>
      <w:r w:rsidRPr="00345FEE">
        <w:rPr>
          <w:rFonts w:cs="Times New Roman"/>
          <w:lang w:val="fr-CA"/>
        </w:rPr>
        <w:t>Erreur de droit</w:t>
      </w:r>
    </w:p>
    <w:p w:rsidR="001A0BA2" w:rsidRPr="00345FEE" w:rsidRDefault="001A0BA2" w:rsidP="001A0BA2">
      <w:pPr>
        <w:pStyle w:val="ParaNoNdepar-AltN"/>
        <w:rPr>
          <w:rFonts w:cs="Times New Roman"/>
          <w:lang w:val="fr-CA"/>
        </w:rPr>
      </w:pPr>
      <w:r w:rsidRPr="00345FEE">
        <w:rPr>
          <w:rFonts w:cs="Times New Roman"/>
          <w:lang w:val="fr-CA"/>
        </w:rPr>
        <w:t>Selon moi, le juge de la peine n’a commis aucune erreur dans son analyse de l’erreur de droit de M. Suter. Les conclusions contraires des juges majoritaires reposent sur une conception trop restrictive des erreurs de droit et discréditent indûment le témoignage non équivoque de M. Suter, qui a été jugé crédible en tous points par le juge de la peine.</w:t>
      </w:r>
    </w:p>
    <w:p w:rsidR="001A0BA2" w:rsidRPr="00345FEE" w:rsidRDefault="001A0BA2" w:rsidP="0026370F">
      <w:pPr>
        <w:pStyle w:val="Title4LevelTitre4Niveau"/>
        <w:rPr>
          <w:lang w:val="fr-CA"/>
        </w:rPr>
      </w:pPr>
      <w:r w:rsidRPr="00345FEE">
        <w:rPr>
          <w:lang w:val="fr-CA"/>
        </w:rPr>
        <w:t>Le critère juridique</w:t>
      </w:r>
    </w:p>
    <w:p w:rsidR="001A0BA2" w:rsidRPr="00345FEE" w:rsidRDefault="001A0BA2" w:rsidP="001A0BA2">
      <w:pPr>
        <w:pStyle w:val="ParaNoNdepar-AltN"/>
        <w:rPr>
          <w:rFonts w:cs="Times New Roman"/>
          <w:lang w:val="fr-CA"/>
        </w:rPr>
      </w:pPr>
      <w:r w:rsidRPr="00345FEE">
        <w:rPr>
          <w:rFonts w:cs="Times New Roman"/>
          <w:lang w:val="fr-CA"/>
        </w:rPr>
        <w:t>Les juges majoritaires affirment que « l’erreur de droit est un concept juridique aux exigences rigoureuses » (par. 64). Plus précisément, ils affirment qu’une telle erreur se produit uniquement lorsque le délinquant « croit sincèrement, mais à tort, à la légalité de ses actes » (</w:t>
      </w:r>
      <w:r w:rsidRPr="00345FEE">
        <w:rPr>
          <w:rFonts w:cs="Times New Roman"/>
          <w:i/>
          <w:lang w:val="fr-CA"/>
        </w:rPr>
        <w:t>ibid.</w:t>
      </w:r>
      <w:r w:rsidRPr="00345FEE">
        <w:rPr>
          <w:rFonts w:cs="Times New Roman"/>
          <w:lang w:val="fr-CA"/>
        </w:rPr>
        <w:t>). De façon déterminante, ils considèrent également que le fait de ne « pas [être] sû[r] » (</w:t>
      </w:r>
      <w:r w:rsidRPr="00345FEE">
        <w:rPr>
          <w:rFonts w:cs="Times New Roman"/>
          <w:i/>
          <w:lang w:val="fr-CA"/>
        </w:rPr>
        <w:t>ibid.</w:t>
      </w:r>
      <w:r w:rsidRPr="00345FEE">
        <w:rPr>
          <w:rFonts w:cs="Times New Roman"/>
          <w:lang w:val="fr-CA"/>
        </w:rPr>
        <w:t>) ou l’« incertitude » (par. 65) exclut toute possibilité d’erreur de droit. Je trouve cette interprétation trop restrictive.</w:t>
      </w:r>
    </w:p>
    <w:p w:rsidR="001A0BA2" w:rsidRPr="00345FEE" w:rsidRDefault="001A0BA2" w:rsidP="001A0BA2">
      <w:pPr>
        <w:pStyle w:val="ParaNoNdepar-AltN"/>
        <w:rPr>
          <w:rFonts w:cs="Times New Roman"/>
          <w:lang w:val="fr-CA"/>
        </w:rPr>
      </w:pPr>
      <w:r w:rsidRPr="00345FEE">
        <w:rPr>
          <w:rFonts w:cs="Times New Roman"/>
          <w:lang w:val="fr-CA"/>
        </w:rPr>
        <w:t xml:space="preserve">Tout d’abord, il est essentiel de préciser les différents degrés de conscience qu’un délinquant peut avoir quant au caractère criminel de sa conduite. Pour les besoins de la discussion, quatre grandes catégories de degrés de conscience peuvent être établies : </w:t>
      </w:r>
      <w:r w:rsidR="00304F53">
        <w:rPr>
          <w:rFonts w:cs="Times New Roman"/>
          <w:lang w:val="fr-CA"/>
        </w:rPr>
        <w:t>(</w:t>
      </w:r>
      <w:r w:rsidRPr="00345FEE">
        <w:rPr>
          <w:rFonts w:cs="Times New Roman"/>
          <w:lang w:val="fr-CA"/>
        </w:rPr>
        <w:t xml:space="preserve">1) la « certitude exacte » : lorsqu’un délinquant est certain (à juste titre) que sa conduite est illégale, </w:t>
      </w:r>
      <w:r w:rsidR="00304F53">
        <w:rPr>
          <w:rFonts w:cs="Times New Roman"/>
          <w:lang w:val="fr-CA"/>
        </w:rPr>
        <w:t>(</w:t>
      </w:r>
      <w:r w:rsidRPr="00345FEE">
        <w:rPr>
          <w:rFonts w:cs="Times New Roman"/>
          <w:lang w:val="fr-CA"/>
        </w:rPr>
        <w:t xml:space="preserve">2) la « probabilité exacte » : lorsqu’un délinquant croit (à juste </w:t>
      </w:r>
      <w:r w:rsidRPr="00345FEE">
        <w:rPr>
          <w:rFonts w:cs="Times New Roman"/>
          <w:lang w:val="fr-CA"/>
        </w:rPr>
        <w:lastRenderedPageBreak/>
        <w:t xml:space="preserve">titre) qu’il est probable que sa conduite soit illégale, mais n’en est pas certain, </w:t>
      </w:r>
      <w:r w:rsidR="00304F53">
        <w:rPr>
          <w:rFonts w:cs="Times New Roman"/>
          <w:lang w:val="fr-CA"/>
        </w:rPr>
        <w:t>(</w:t>
      </w:r>
      <w:r w:rsidRPr="00345FEE">
        <w:rPr>
          <w:rFonts w:cs="Times New Roman"/>
          <w:lang w:val="fr-CA"/>
        </w:rPr>
        <w:t xml:space="preserve">3) la « probabilité erronée » : lorsqu’un délinquant croit (à tort) qu’il est probable que sa conduite soit légale, mais n’en est pas certain, et </w:t>
      </w:r>
      <w:r w:rsidR="00304F53">
        <w:rPr>
          <w:rFonts w:cs="Times New Roman"/>
          <w:lang w:val="fr-CA"/>
        </w:rPr>
        <w:t>(</w:t>
      </w:r>
      <w:r w:rsidRPr="00345FEE">
        <w:rPr>
          <w:rFonts w:cs="Times New Roman"/>
          <w:lang w:val="fr-CA"/>
        </w:rPr>
        <w:t>4) la « certitude erronée » : lorsqu’un délinquant est certain (à tort) que sa conduite est légale.</w:t>
      </w:r>
    </w:p>
    <w:p w:rsidR="001A0BA2" w:rsidRPr="00345FEE" w:rsidRDefault="001A0BA2" w:rsidP="001A0BA2">
      <w:pPr>
        <w:pStyle w:val="ParaNoNdepar-AltN"/>
        <w:rPr>
          <w:rFonts w:cs="Times New Roman"/>
          <w:lang w:val="fr-CA"/>
        </w:rPr>
      </w:pPr>
      <w:r w:rsidRPr="00345FEE">
        <w:rPr>
          <w:rFonts w:cs="Times New Roman"/>
          <w:lang w:val="fr-CA"/>
        </w:rPr>
        <w:t>Les juges majoritaires affirment que « [l]a confusion [. . .] ou l’incertitude » exclut l’erreur de droit (par. 65). Il semble donc que seule la quatrième catégorie susmentionnée — la certitude erronée — soit suffisante pour constituer une erreur de droit. Par exemple, si un délinquant est tout à fait convaincu qu’il est légal de refuser de fournir un échantillon d’haleine parce que c’est ce que son avocat lui a dit de faire (une certitude erronée), mais qu’une affirmation contraire d’un policier sème ensuite la « confusion dans son esprit » (donc une probabilité erronée), il semble, selon le critère énoncé par les juges majoritaires, que ce délinquant ne soit pas assez « sû[r] » pour commettre une erreur de droit (voir le par. 64).</w:t>
      </w:r>
    </w:p>
    <w:p w:rsidR="001A0BA2" w:rsidRPr="00345FEE" w:rsidRDefault="001A0BA2" w:rsidP="001A0BA2">
      <w:pPr>
        <w:pStyle w:val="ParaNoNdepar-AltN"/>
        <w:rPr>
          <w:rFonts w:cs="Times New Roman"/>
          <w:lang w:val="fr-CA"/>
        </w:rPr>
      </w:pPr>
      <w:r w:rsidRPr="00345FEE">
        <w:rPr>
          <w:rFonts w:cs="Times New Roman"/>
          <w:lang w:val="fr-CA"/>
        </w:rPr>
        <w:t>Je considère cette formulation trop absolue. Je tiens à préciser que je ne soutiens pas que la moindre incertitude atténuera une peine, même si un délinquant demeurait convaincu que sa conduite était probablement illégale (c.</w:t>
      </w:r>
      <w:r w:rsidRPr="00345FEE">
        <w:rPr>
          <w:rFonts w:cs="Times New Roman"/>
          <w:lang w:val="fr-CA"/>
        </w:rPr>
        <w:noBreakHyphen/>
        <w:t>à</w:t>
      </w:r>
      <w:r w:rsidRPr="00345FEE">
        <w:rPr>
          <w:rFonts w:cs="Times New Roman"/>
          <w:lang w:val="fr-CA"/>
        </w:rPr>
        <w:noBreakHyphen/>
        <w:t>d. une probabilité exacte). Certains délinquants peuvent avoir de légers doutes à l’égard de l’illégalité de leur conduite et donc manquer de certitude à l’égard du caractère criminel de leur conduite, sans que ce manque de certitude ne justifie une atténuation de leur peine. Je soutiens plutôt que le fait de croire qu’une conduite est probablement légale, mais sans en être certain (c.</w:t>
      </w:r>
      <w:r w:rsidRPr="00345FEE">
        <w:rPr>
          <w:rFonts w:cs="Times New Roman"/>
          <w:lang w:val="fr-CA"/>
        </w:rPr>
        <w:noBreakHyphen/>
        <w:t>à</w:t>
      </w:r>
      <w:r w:rsidRPr="00345FEE">
        <w:rPr>
          <w:rFonts w:cs="Times New Roman"/>
          <w:lang w:val="fr-CA"/>
        </w:rPr>
        <w:noBreakHyphen/>
        <w:t>d. une probabilité erronée), est néanmoins suffisant pour constituer une erreur de droit.</w:t>
      </w:r>
    </w:p>
    <w:p w:rsidR="001A0BA2" w:rsidRPr="00345FEE" w:rsidRDefault="001A0BA2" w:rsidP="001A0BA2">
      <w:pPr>
        <w:pStyle w:val="ParaNoNdepar-AltN"/>
        <w:rPr>
          <w:rFonts w:cs="Times New Roman"/>
          <w:lang w:val="fr-CA"/>
        </w:rPr>
      </w:pPr>
      <w:r w:rsidRPr="00345FEE">
        <w:rPr>
          <w:rFonts w:cs="Times New Roman"/>
          <w:lang w:val="fr-CA"/>
        </w:rPr>
        <w:lastRenderedPageBreak/>
        <w:t>Je conteste également le fait que l’erreur de droit doive s’inscrire dans une logique binaire, où seule une certitude erronée peut changer « de manière fondamentale » la culpabilité (motifs des juges majoritaires, par. 67). Nous devrions au contraire compter sur les juges de première instance pour adopter une approche contextuelle — c’est</w:t>
      </w:r>
      <w:r w:rsidRPr="00345FEE">
        <w:rPr>
          <w:rFonts w:cs="Times New Roman"/>
          <w:lang w:val="fr-CA"/>
        </w:rPr>
        <w:noBreakHyphen/>
        <w:t>à</w:t>
      </w:r>
      <w:r w:rsidRPr="00345FEE">
        <w:rPr>
          <w:rFonts w:cs="Times New Roman"/>
          <w:lang w:val="fr-CA"/>
        </w:rPr>
        <w:noBreakHyphen/>
        <w:t>dire une approche qui prend en considération la source, la nature et le caractère raisonnable de l’erreur ainsi que tous les degrés d’incertitude — lorsqu’il s’agit d’accorder un effet atténuant à une erreur de droit. En fait, l’on considère que les juges de première instance jouissent d’un pouvoir discrétionnaire semblable (et l’on s’abstient généralement de s’appuyer sur des « formule[s] rigide[s] » (</w:t>
      </w:r>
      <w:r w:rsidRPr="00345FEE">
        <w:rPr>
          <w:rFonts w:cs="Times New Roman"/>
          <w:i/>
          <w:lang w:val="fr-CA"/>
        </w:rPr>
        <w:t>ibid.</w:t>
      </w:r>
      <w:r w:rsidRPr="00345FEE">
        <w:rPr>
          <w:rFonts w:cs="Times New Roman"/>
          <w:lang w:val="fr-CA"/>
        </w:rPr>
        <w:t>, par. 47)) à l’égard de nombreux autres facteurs atténuants lors de la détermination de la peine.</w:t>
      </w:r>
    </w:p>
    <w:p w:rsidR="001A0BA2" w:rsidRPr="00345FEE" w:rsidRDefault="001A0BA2" w:rsidP="001A0BA2">
      <w:pPr>
        <w:pStyle w:val="ParaNoNdepar-AltN"/>
        <w:rPr>
          <w:rFonts w:cs="Times New Roman"/>
          <w:lang w:val="fr-CA"/>
        </w:rPr>
      </w:pPr>
      <w:r w:rsidRPr="00345FEE">
        <w:rPr>
          <w:rFonts w:cs="Times New Roman"/>
          <w:lang w:val="fr-CA"/>
        </w:rPr>
        <w:t>Je me penche maintenant sur les sources en matière d’erreur de droit.</w:t>
      </w:r>
    </w:p>
    <w:p w:rsidR="001A0BA2" w:rsidRPr="00345FEE" w:rsidRDefault="001A0BA2" w:rsidP="001A0BA2">
      <w:pPr>
        <w:pStyle w:val="ParaNoNdepar-AltN"/>
        <w:rPr>
          <w:rFonts w:cs="Times New Roman"/>
          <w:lang w:val="fr-CA"/>
        </w:rPr>
      </w:pPr>
      <w:r w:rsidRPr="00345FEE">
        <w:rPr>
          <w:rFonts w:cs="Times New Roman"/>
          <w:lang w:val="fr-CA"/>
        </w:rPr>
        <w:t xml:space="preserve">Premièrement, je constate que les juges majoritaires ne citent aucune source à l’appui du « point de vue » rigide qu’ils adoptent à l’égard de l’erreur de droit. Ils invoquent à juste titre l’arrêt </w:t>
      </w:r>
      <w:r w:rsidRPr="00345FEE">
        <w:rPr>
          <w:rFonts w:cs="Times New Roman"/>
          <w:i/>
          <w:lang w:val="fr-CA"/>
        </w:rPr>
        <w:t>R. c. Forster</w:t>
      </w:r>
      <w:r w:rsidRPr="00345FEE">
        <w:rPr>
          <w:rFonts w:cs="Times New Roman"/>
          <w:lang w:val="fr-CA"/>
        </w:rPr>
        <w:t xml:space="preserve">, [1992] 1 R.C.S. 339, à l’appui de la proposition voulant que l’erreur de droit ne constitue pas un moyen de défense contre une accusation criminelle. Ils invoquent également à juste titre les arrêts </w:t>
      </w:r>
      <w:r w:rsidRPr="00345FEE">
        <w:rPr>
          <w:rFonts w:cs="Times New Roman"/>
          <w:i/>
          <w:lang w:val="fr-CA"/>
        </w:rPr>
        <w:t>R. c.</w:t>
      </w:r>
      <w:r w:rsidRPr="00345FEE">
        <w:rPr>
          <w:rFonts w:cs="Times New Roman"/>
          <w:lang w:val="fr-CA"/>
        </w:rPr>
        <w:t xml:space="preserve"> </w:t>
      </w:r>
      <w:r w:rsidRPr="00345FEE">
        <w:rPr>
          <w:rFonts w:cs="Times New Roman"/>
          <w:i/>
          <w:lang w:val="fr-CA"/>
        </w:rPr>
        <w:t>Pontes</w:t>
      </w:r>
      <w:r w:rsidRPr="00345FEE">
        <w:rPr>
          <w:rFonts w:cs="Times New Roman"/>
          <w:lang w:val="fr-CA"/>
        </w:rPr>
        <w:t xml:space="preserve">, [1995] 3 R.C.S. 44, et </w:t>
      </w:r>
      <w:r w:rsidRPr="00345FEE">
        <w:rPr>
          <w:rFonts w:cs="Times New Roman"/>
          <w:i/>
          <w:lang w:val="fr-CA"/>
        </w:rPr>
        <w:t>R. c. MacDonald</w:t>
      </w:r>
      <w:r w:rsidRPr="00345FEE">
        <w:rPr>
          <w:rFonts w:cs="Times New Roman"/>
          <w:lang w:val="fr-CA"/>
        </w:rPr>
        <w:t>, 2014 CSC 3, [2014] 1 R.C.S. 37, à l’appui de la proposition selon laquelle, malgré le fait qu’elle ne constitue pas un moyen de défense, l’erreur de droit peut atténuer la peine. Cependant, ils ne citent aucune source à l’appui de leur thèse fondamentale, à savoir que l’« incertitude » d’un délinquant à l’égard de la légalité de sa conduite exclut l’erreur de droit. Aucune des sources invoquées par les juges majoritaires n’appuie cette affirmation nouvelle qu’ils présentent comme une doctrine bien établie.</w:t>
      </w:r>
    </w:p>
    <w:p w:rsidR="001A0BA2" w:rsidRPr="00345FEE" w:rsidRDefault="001A0BA2" w:rsidP="001A0BA2">
      <w:pPr>
        <w:pStyle w:val="ParaNoNdepar-AltN"/>
        <w:rPr>
          <w:rFonts w:cs="Times New Roman"/>
          <w:lang w:val="fr-CA"/>
        </w:rPr>
      </w:pPr>
      <w:r w:rsidRPr="00345FEE">
        <w:rPr>
          <w:rFonts w:cs="Times New Roman"/>
          <w:lang w:val="fr-CA"/>
        </w:rPr>
        <w:lastRenderedPageBreak/>
        <w:t>Deuxièmement, j’estime que les sources suggèrent plutôt le contraire, à savoir que l’erreur de droit constitue une notion souple qui est assez large pour inclure un certain degré de confusion ou d’incertitude quant à l’état du droit.</w:t>
      </w:r>
    </w:p>
    <w:p w:rsidR="001A0BA2" w:rsidRPr="00345FEE" w:rsidRDefault="001A0BA2" w:rsidP="001A0BA2">
      <w:pPr>
        <w:pStyle w:val="ParaNoNdepar-AltN"/>
        <w:rPr>
          <w:rFonts w:cs="Times New Roman"/>
          <w:lang w:val="fr-CA"/>
        </w:rPr>
      </w:pPr>
      <w:r w:rsidRPr="00345FEE">
        <w:rPr>
          <w:rFonts w:cs="Times New Roman"/>
          <w:lang w:val="fr-CA"/>
        </w:rPr>
        <w:t>L’article 19 du</w:t>
      </w:r>
      <w:r w:rsidRPr="00345FEE">
        <w:rPr>
          <w:rFonts w:cs="Times New Roman"/>
          <w:i/>
          <w:lang w:val="fr-CA"/>
        </w:rPr>
        <w:t xml:space="preserve"> Code criminel</w:t>
      </w:r>
      <w:r w:rsidRPr="00345FEE">
        <w:rPr>
          <w:rFonts w:cs="Times New Roman"/>
          <w:lang w:val="fr-CA"/>
        </w:rPr>
        <w:t xml:space="preserve"> prévoit simplement que l’« </w:t>
      </w:r>
      <w:r w:rsidRPr="00345FEE">
        <w:rPr>
          <w:rFonts w:cs="Times New Roman"/>
          <w:u w:val="single"/>
          <w:lang w:val="fr-CA"/>
        </w:rPr>
        <w:t>ignorance</w:t>
      </w:r>
      <w:r w:rsidRPr="00345FEE">
        <w:rPr>
          <w:rFonts w:cs="Times New Roman"/>
          <w:lang w:val="fr-CA"/>
        </w:rPr>
        <w:t xml:space="preserve"> de la loi chez une personne qui commet une infraction n’excuse pas la perpétration de l’infraction ». Mais, cet article est muet sur le lien entre l’ignorance de la loi et la détermination de la peine. Dans la mesure où la portée de l’art. 19 permet de mieux circonscrire la portée de l’erreur de droit aux fins de la détermination de la peine (voir, p. ex.</w:t>
      </w:r>
      <w:r w:rsidR="005310E3">
        <w:rPr>
          <w:rFonts w:cs="Times New Roman"/>
          <w:lang w:val="fr-CA"/>
        </w:rPr>
        <w:t>,</w:t>
      </w:r>
      <w:r w:rsidRPr="00345FEE">
        <w:rPr>
          <w:rFonts w:cs="Times New Roman"/>
          <w:lang w:val="fr-CA"/>
        </w:rPr>
        <w:t xml:space="preserve"> </w:t>
      </w:r>
      <w:r w:rsidRPr="00345FEE">
        <w:rPr>
          <w:rFonts w:cs="Times New Roman"/>
          <w:i/>
          <w:lang w:val="fr-CA"/>
        </w:rPr>
        <w:t>MacDonald</w:t>
      </w:r>
      <w:r w:rsidRPr="00345FEE">
        <w:rPr>
          <w:rFonts w:cs="Times New Roman"/>
          <w:lang w:val="fr-CA"/>
        </w:rPr>
        <w:t>, par. 58</w:t>
      </w:r>
      <w:r w:rsidRPr="00345FEE">
        <w:rPr>
          <w:rFonts w:cs="Times New Roman"/>
          <w:lang w:val="fr-CA"/>
        </w:rPr>
        <w:noBreakHyphen/>
        <w:t xml:space="preserve">59 et 61), la déclaration de </w:t>
      </w:r>
      <w:r w:rsidRPr="00345FEE">
        <w:rPr>
          <w:rFonts w:cs="Times New Roman"/>
          <w:i/>
          <w:lang w:val="fr-CA"/>
        </w:rPr>
        <w:t>non</w:t>
      </w:r>
      <w:r w:rsidRPr="00345FEE">
        <w:rPr>
          <w:rFonts w:cs="Times New Roman"/>
          <w:lang w:val="fr-CA"/>
        </w:rPr>
        <w:noBreakHyphen/>
        <w:t>conscience (l’« ignorance ») sur laquelle l’article s’appuie est assez souple pour viser des délinquants qui ne sont pas certains de la légalité de leur conduite (c.</w:t>
      </w:r>
      <w:r w:rsidRPr="00345FEE">
        <w:rPr>
          <w:rFonts w:cs="Times New Roman"/>
          <w:lang w:val="fr-CA"/>
        </w:rPr>
        <w:noBreakHyphen/>
        <w:t>à</w:t>
      </w:r>
      <w:r w:rsidRPr="00345FEE">
        <w:rPr>
          <w:rFonts w:cs="Times New Roman"/>
          <w:lang w:val="fr-CA"/>
        </w:rPr>
        <w:noBreakHyphen/>
        <w:t xml:space="preserve">d. une probabilité erronée). Cela se reflète dans la jurisprudence, laquelle est également assez souple pour viser une incertitude partielle lorsqu’il s’agit d’atténuer une peine en raison d’une erreur de droit (voir, p. ex., </w:t>
      </w:r>
      <w:r w:rsidRPr="00345FEE">
        <w:rPr>
          <w:rFonts w:cs="Times New Roman"/>
          <w:i/>
          <w:lang w:val="fr-CA"/>
        </w:rPr>
        <w:t>Forster</w:t>
      </w:r>
      <w:r w:rsidRPr="00345FEE">
        <w:rPr>
          <w:rFonts w:cs="Times New Roman"/>
          <w:lang w:val="fr-CA"/>
        </w:rPr>
        <w:t xml:space="preserve">, p. 346; </w:t>
      </w:r>
      <w:r w:rsidRPr="00345FEE">
        <w:rPr>
          <w:rFonts w:cs="Times New Roman"/>
          <w:i/>
          <w:lang w:val="fr-CA"/>
        </w:rPr>
        <w:t>MacDonald</w:t>
      </w:r>
      <w:r w:rsidRPr="00345FEE">
        <w:rPr>
          <w:rFonts w:cs="Times New Roman"/>
          <w:lang w:val="fr-CA"/>
        </w:rPr>
        <w:t>, par. 59).</w:t>
      </w:r>
    </w:p>
    <w:p w:rsidR="001A0BA2" w:rsidRPr="00345FEE" w:rsidRDefault="001A0BA2" w:rsidP="001A0BA2">
      <w:pPr>
        <w:pStyle w:val="ParaNoNdepar-AltN"/>
        <w:rPr>
          <w:rFonts w:cs="Times New Roman"/>
          <w:lang w:val="fr-CA"/>
        </w:rPr>
      </w:pPr>
      <w:r w:rsidRPr="00345FEE">
        <w:rPr>
          <w:rFonts w:cs="Times New Roman"/>
          <w:lang w:val="fr-CA"/>
        </w:rPr>
        <w:t>À mon avis, la portée réelle de ces sources s’harmonise avec la nature individualisée de la détermination de la peine (</w:t>
      </w:r>
      <w:r w:rsidRPr="00345FEE">
        <w:rPr>
          <w:rFonts w:cs="Times New Roman"/>
          <w:i/>
          <w:lang w:val="fr-CA"/>
        </w:rPr>
        <w:t>Code criminel</w:t>
      </w:r>
      <w:r w:rsidRPr="00345FEE">
        <w:rPr>
          <w:rFonts w:cs="Times New Roman"/>
          <w:lang w:val="fr-CA"/>
        </w:rPr>
        <w:t xml:space="preserve">, al. 718.2a); </w:t>
      </w:r>
      <w:r w:rsidRPr="00345FEE">
        <w:rPr>
          <w:rFonts w:cs="Times New Roman"/>
          <w:i/>
          <w:lang w:val="fr-CA"/>
        </w:rPr>
        <w:t>Lacasse</w:t>
      </w:r>
      <w:r w:rsidRPr="00345FEE">
        <w:rPr>
          <w:rFonts w:cs="Times New Roman"/>
          <w:lang w:val="fr-CA"/>
        </w:rPr>
        <w:t xml:space="preserve">, par. 54). La règle stricte que prévoit l’art. 19 du </w:t>
      </w:r>
      <w:r w:rsidRPr="00345FEE">
        <w:rPr>
          <w:rFonts w:cs="Times New Roman"/>
          <w:i/>
          <w:lang w:val="fr-CA"/>
        </w:rPr>
        <w:t>Code criminel</w:t>
      </w:r>
      <w:r w:rsidRPr="00345FEE">
        <w:rPr>
          <w:rFonts w:cs="Times New Roman"/>
          <w:lang w:val="fr-CA"/>
        </w:rPr>
        <w:t xml:space="preserve"> en ce qui concerne la culpabilité justifie que l’on fasse preuve de souplesse dans l’interprétation des erreurs de droit sur le plan de la détermination de la peine. Comme le souligne le professeur Ashworth, [</w:t>
      </w:r>
      <w:r w:rsidRPr="00345FEE">
        <w:rPr>
          <w:rFonts w:cs="Times New Roman"/>
          <w:smallCaps/>
          <w:lang w:val="fr-CA"/>
        </w:rPr>
        <w:t>traduction</w:t>
      </w:r>
      <w:r w:rsidRPr="00345FEE">
        <w:rPr>
          <w:rFonts w:cs="Times New Roman"/>
          <w:lang w:val="fr-CA"/>
        </w:rPr>
        <w:t>] « [l]e droit anglais circonscrit étroitement [le moyen de défense de l’erreur de droit], en partie parce que l’on peut donner effet à différentes formes de culpabilité à l’étape de la détermination de la peine » (</w:t>
      </w:r>
      <w:r w:rsidRPr="00345FEE">
        <w:rPr>
          <w:rFonts w:cs="Times New Roman"/>
          <w:i/>
          <w:lang w:val="fr-CA"/>
        </w:rPr>
        <w:t>Sentencing and Criminal Justice</w:t>
      </w:r>
      <w:r w:rsidRPr="00345FEE">
        <w:rPr>
          <w:rFonts w:cs="Times New Roman"/>
          <w:lang w:val="fr-CA"/>
        </w:rPr>
        <w:t xml:space="preserve"> (5</w:t>
      </w:r>
      <w:r w:rsidRPr="00345FEE">
        <w:rPr>
          <w:rFonts w:cs="Times New Roman"/>
          <w:vertAlign w:val="superscript"/>
          <w:lang w:val="fr-CA"/>
        </w:rPr>
        <w:t>e</w:t>
      </w:r>
      <w:r w:rsidRPr="00345FEE">
        <w:rPr>
          <w:rFonts w:cs="Times New Roman"/>
          <w:lang w:val="fr-CA"/>
        </w:rPr>
        <w:t xml:space="preserve"> éd. 2010), p. 149 (note en bas de page omise)). D’ailleurs, les juges </w:t>
      </w:r>
      <w:r w:rsidRPr="00345FEE">
        <w:rPr>
          <w:rFonts w:cs="Times New Roman"/>
          <w:lang w:val="fr-CA"/>
        </w:rPr>
        <w:lastRenderedPageBreak/>
        <w:t xml:space="preserve">majoritaires concèdent apparemment que la nature individualisée de la détermination de la peine requiert une certaine souplesse lorsque vient le temps de mesurer les degrés de culpabilité en fonction du niveau de conscience qu’a un délinquant du caractère criminel de sa conduite. Pour reprendre les termes employés au par. 64 des motifs des juges majoritaires, si « la culpabilité morale » des délinquants qui croient sincèrement, mais à tort, à la légalité de leurs actes (la certitude erronée) « est </w:t>
      </w:r>
      <w:r w:rsidRPr="00345FEE">
        <w:rPr>
          <w:rFonts w:cs="Times New Roman"/>
          <w:i/>
          <w:lang w:val="fr-CA"/>
        </w:rPr>
        <w:t>moindre </w:t>
      </w:r>
      <w:r w:rsidRPr="00345FEE">
        <w:rPr>
          <w:rFonts w:cs="Times New Roman"/>
          <w:lang w:val="fr-CA"/>
        </w:rPr>
        <w:t>» (en italiques dans l’original) que celle des délinquants qui « ne sont pas sûrs de la légalité de leurs actes » (la probabilité erronée), il s’ensuit que la culpabilité morale des délinquants qui présentent pareil degré d’incertitude est sans doute égale</w:t>
      </w:r>
      <w:r w:rsidR="00883F43">
        <w:rPr>
          <w:rFonts w:cs="Times New Roman"/>
          <w:lang w:val="fr-CA"/>
        </w:rPr>
        <w:t>ment moindre que celle</w:t>
      </w:r>
      <w:r w:rsidRPr="00345FEE">
        <w:rPr>
          <w:rFonts w:cs="Times New Roman"/>
          <w:lang w:val="fr-CA"/>
        </w:rPr>
        <w:t xml:space="preserve"> des délinquants qui « savent que [leurs actes] sont illégaux » (la certitude exacte). On peut supposer qu’un acte criminel comporte une plus grande culpabilité morale lorsqu’il est délibéré que lorsqu’il est commis par inadvertance.</w:t>
      </w:r>
    </w:p>
    <w:p w:rsidR="001A0BA2" w:rsidRPr="00345FEE" w:rsidRDefault="001A0BA2" w:rsidP="001A0BA2">
      <w:pPr>
        <w:pStyle w:val="Title4LevelTitre4Niveau"/>
        <w:rPr>
          <w:rFonts w:cs="Times New Roman"/>
          <w:lang w:val="fr-CA"/>
        </w:rPr>
      </w:pPr>
      <w:r w:rsidRPr="00345FEE">
        <w:rPr>
          <w:rFonts w:cs="Times New Roman"/>
          <w:lang w:val="fr-CA"/>
        </w:rPr>
        <w:t>Application à l’espèce</w:t>
      </w:r>
    </w:p>
    <w:p w:rsidR="001A0BA2" w:rsidRPr="00345FEE" w:rsidRDefault="001A0BA2" w:rsidP="001A0BA2">
      <w:pPr>
        <w:pStyle w:val="ParaNoNdepar-AltN"/>
        <w:rPr>
          <w:rFonts w:cs="Times New Roman"/>
          <w:lang w:val="fr-CA"/>
        </w:rPr>
      </w:pPr>
      <w:r w:rsidRPr="00345FEE">
        <w:rPr>
          <w:rFonts w:cs="Times New Roman"/>
          <w:lang w:val="fr-CA"/>
        </w:rPr>
        <w:t>Comme je l’ai expliqué, je suis d’avis que, lorsqu’il existe une légère confusion dans l’esprit du délinquant relativement à la légalité de sa conduite — mais que celui</w:t>
      </w:r>
      <w:r w:rsidRPr="00345FEE">
        <w:rPr>
          <w:rFonts w:cs="Times New Roman"/>
          <w:lang w:val="fr-CA"/>
        </w:rPr>
        <w:noBreakHyphen/>
        <w:t xml:space="preserve">ci croit quand même que sa conduite est probablement légale — le délinquant commet une erreur de droit. Les juges majoritaires reconnaissent que la confusion régnait dans l’esprit de M. Suter en ce qui a trait à la légalité d’un refus de fournir un échantillon d’haleine, mais ils ne précisent pas </w:t>
      </w:r>
      <w:r w:rsidRPr="00345FEE">
        <w:rPr>
          <w:rFonts w:cs="Times New Roman"/>
          <w:i/>
          <w:lang w:val="fr-CA"/>
        </w:rPr>
        <w:t>dans quelle mesure</w:t>
      </w:r>
      <w:r w:rsidRPr="00345FEE">
        <w:rPr>
          <w:rFonts w:cs="Times New Roman"/>
          <w:lang w:val="fr-CA"/>
        </w:rPr>
        <w:t xml:space="preserve"> (c.</w:t>
      </w:r>
      <w:r w:rsidRPr="00345FEE">
        <w:rPr>
          <w:rFonts w:cs="Times New Roman"/>
          <w:lang w:val="fr-CA"/>
        </w:rPr>
        <w:noBreakHyphen/>
        <w:t>à</w:t>
      </w:r>
      <w:r w:rsidRPr="00345FEE">
        <w:rPr>
          <w:rFonts w:cs="Times New Roman"/>
          <w:lang w:val="fr-CA"/>
        </w:rPr>
        <w:noBreakHyphen/>
        <w:t xml:space="preserve">d. entre la probabilité erronée et la probabilité exacte). Or, comme je l’explique plus loin, cette « confusion » (s’il en existait une) placerait quand même M. Suter dans la catégorie de la probabilité erronée. Par conséquent, M. Suter a commis une erreur de droit, le juge </w:t>
      </w:r>
      <w:r w:rsidRPr="00345FEE">
        <w:rPr>
          <w:rFonts w:cs="Times New Roman"/>
          <w:lang w:val="fr-CA"/>
        </w:rPr>
        <w:lastRenderedPageBreak/>
        <w:t>de la peine ne s’est pas trompé à cet égard et la peine ne peut être réexaminée sur ce fondement.</w:t>
      </w:r>
    </w:p>
    <w:p w:rsidR="001A0BA2" w:rsidRPr="00345FEE" w:rsidRDefault="001A0BA2" w:rsidP="001A0BA2">
      <w:pPr>
        <w:pStyle w:val="ParaNoNdepar-AltN"/>
        <w:rPr>
          <w:rFonts w:cs="Times New Roman"/>
          <w:lang w:val="fr-CA"/>
        </w:rPr>
      </w:pPr>
      <w:r w:rsidRPr="00345FEE">
        <w:rPr>
          <w:rFonts w:cs="Times New Roman"/>
          <w:lang w:val="fr-CA"/>
        </w:rPr>
        <w:t>J’ajouterai que, de toute façon, l’inférence la plus forte qui se dégage des motifs du juge de la peine et du dossier est que M. Suter était certain, à tort, que sa conduite était légale (c.</w:t>
      </w:r>
      <w:r w:rsidRPr="00345FEE">
        <w:rPr>
          <w:rFonts w:cs="Times New Roman"/>
          <w:lang w:val="fr-CA"/>
        </w:rPr>
        <w:noBreakHyphen/>
        <w:t>à</w:t>
      </w:r>
      <w:r w:rsidRPr="00345FEE">
        <w:rPr>
          <w:rFonts w:cs="Times New Roman"/>
          <w:lang w:val="fr-CA"/>
        </w:rPr>
        <w:noBreakHyphen/>
        <w:t>d. une certitude erronée). Il s’ensuit que, même selon le critère étroit des juges majoritaires, M. Suter a commis une erreur de droit.</w:t>
      </w:r>
    </w:p>
    <w:p w:rsidR="001A0BA2" w:rsidRPr="00345FEE" w:rsidRDefault="001A0BA2" w:rsidP="001A0BA2">
      <w:pPr>
        <w:pStyle w:val="ParaNoNdepar-AltN"/>
        <w:rPr>
          <w:rFonts w:cs="Times New Roman"/>
          <w:lang w:val="fr-CA"/>
        </w:rPr>
      </w:pPr>
      <w:r w:rsidRPr="00345FEE">
        <w:rPr>
          <w:rFonts w:cs="Times New Roman"/>
          <w:lang w:val="fr-CA"/>
        </w:rPr>
        <w:t xml:space="preserve">Le juge de la peine a distingué l’effet atténuant de deux types de conseils juridiques (par. 76) : </w:t>
      </w:r>
      <w:r w:rsidR="0026370F">
        <w:rPr>
          <w:rFonts w:cs="Times New Roman"/>
          <w:lang w:val="fr-CA"/>
        </w:rPr>
        <w:t>(</w:t>
      </w:r>
      <w:r w:rsidRPr="00345FEE">
        <w:rPr>
          <w:rFonts w:cs="Times New Roman"/>
          <w:lang w:val="fr-CA"/>
        </w:rPr>
        <w:t xml:space="preserve">1) les mauvais conseils d’ordre </w:t>
      </w:r>
      <w:r w:rsidRPr="00345FEE">
        <w:rPr>
          <w:rFonts w:cs="Times New Roman"/>
          <w:i/>
          <w:lang w:val="fr-CA"/>
        </w:rPr>
        <w:t>stratégique</w:t>
      </w:r>
      <w:r w:rsidRPr="00345FEE">
        <w:rPr>
          <w:rFonts w:cs="Times New Roman"/>
          <w:lang w:val="fr-CA"/>
        </w:rPr>
        <w:t xml:space="preserve"> (soit [</w:t>
      </w:r>
      <w:r w:rsidRPr="00345FEE">
        <w:rPr>
          <w:rFonts w:cs="Times New Roman"/>
          <w:smallCaps/>
          <w:lang w:val="fr-CA"/>
        </w:rPr>
        <w:t>traduction</w:t>
      </w:r>
      <w:r w:rsidRPr="00345FEE">
        <w:rPr>
          <w:rFonts w:cs="Times New Roman"/>
          <w:lang w:val="fr-CA"/>
        </w:rPr>
        <w:t>] « une présentation erronée des possibilités qui s’offrent à lui sur le plan juridique », c.</w:t>
      </w:r>
      <w:r w:rsidRPr="00345FEE">
        <w:rPr>
          <w:rFonts w:cs="Times New Roman"/>
          <w:lang w:val="fr-CA"/>
        </w:rPr>
        <w:noBreakHyphen/>
        <w:t>à</w:t>
      </w:r>
      <w:r w:rsidRPr="00345FEE">
        <w:rPr>
          <w:rFonts w:cs="Times New Roman"/>
          <w:lang w:val="fr-CA"/>
        </w:rPr>
        <w:noBreakHyphen/>
        <w:t xml:space="preserve">d. refuser de fournir un échantillon d’haleine parce que cela entraîne une peine plus légère que le fait de présenter un taux d’alcoolémie supérieur à la limite légale), et </w:t>
      </w:r>
      <w:r w:rsidR="0026370F">
        <w:rPr>
          <w:rFonts w:cs="Times New Roman"/>
          <w:lang w:val="fr-CA"/>
        </w:rPr>
        <w:t>(</w:t>
      </w:r>
      <w:r w:rsidRPr="00345FEE">
        <w:rPr>
          <w:rFonts w:cs="Times New Roman"/>
          <w:lang w:val="fr-CA"/>
        </w:rPr>
        <w:t xml:space="preserve">2) les mauvais conseils </w:t>
      </w:r>
      <w:r w:rsidRPr="00345FEE">
        <w:rPr>
          <w:rFonts w:cs="Times New Roman"/>
          <w:i/>
          <w:lang w:val="fr-CA"/>
        </w:rPr>
        <w:t xml:space="preserve">juridiques </w:t>
      </w:r>
      <w:r w:rsidRPr="00345FEE">
        <w:rPr>
          <w:rFonts w:cs="Times New Roman"/>
          <w:lang w:val="fr-CA"/>
        </w:rPr>
        <w:t>(soit [</w:t>
      </w:r>
      <w:r w:rsidRPr="00345FEE">
        <w:rPr>
          <w:rFonts w:cs="Times New Roman"/>
          <w:smallCaps/>
          <w:lang w:val="fr-CA"/>
        </w:rPr>
        <w:t>traduction</w:t>
      </w:r>
      <w:r w:rsidRPr="00345FEE">
        <w:rPr>
          <w:rFonts w:cs="Times New Roman"/>
          <w:lang w:val="fr-CA"/>
        </w:rPr>
        <w:t xml:space="preserve">] « l’avocat </w:t>
      </w:r>
      <w:r w:rsidRPr="00345FEE">
        <w:rPr>
          <w:rFonts w:eastAsia="Times New Roman" w:cs="Times New Roman"/>
          <w:szCs w:val="24"/>
          <w:lang w:val="fr-CA" w:eastAsia="en-CA"/>
        </w:rPr>
        <w:t>lui a dit expressément de ne pas fournir d’échantillon »,</w:t>
      </w:r>
      <w:r w:rsidRPr="00345FEE">
        <w:rPr>
          <w:rFonts w:cs="Times New Roman"/>
          <w:lang w:val="fr-CA"/>
        </w:rPr>
        <w:t xml:space="preserve"> c.</w:t>
      </w:r>
      <w:r w:rsidRPr="00345FEE">
        <w:rPr>
          <w:rFonts w:cs="Times New Roman"/>
          <w:lang w:val="fr-CA"/>
        </w:rPr>
        <w:noBreakHyphen/>
        <w:t>à</w:t>
      </w:r>
      <w:r w:rsidRPr="00345FEE">
        <w:rPr>
          <w:rFonts w:cs="Times New Roman"/>
          <w:lang w:val="fr-CA"/>
        </w:rPr>
        <w:noBreakHyphen/>
        <w:t xml:space="preserve">d. vous devez refuser de fournir l’échantillon d’haleine). Il a estimé que ce dernier type de conseils avait un effet plus atténuant. Lorsqu’elle reçoit d’un avocat du genre visé dans </w:t>
      </w:r>
      <w:r w:rsidRPr="00345FEE">
        <w:rPr>
          <w:rFonts w:cs="Times New Roman"/>
          <w:i/>
          <w:lang w:val="fr-CA"/>
        </w:rPr>
        <w:t>Brydges</w:t>
      </w:r>
      <w:r w:rsidRPr="00345FEE">
        <w:rPr>
          <w:rFonts w:cs="Times New Roman"/>
          <w:lang w:val="fr-CA"/>
        </w:rPr>
        <w:t xml:space="preserve"> des instructions expresses lui indiquant d’adopter une certaine ligne de conduite (refuser de fournir l’échantillon d’haleine), une personne présume en effet que cette ligne de conduite est légale. C’est d’ailleurs précisément ce que M. Suter décrit dans son témoignage, que le juge de la peine a jugé crédible en tous points :</w:t>
      </w:r>
    </w:p>
    <w:p w:rsidR="001A0BA2" w:rsidRPr="00345FEE" w:rsidRDefault="001A0BA2" w:rsidP="001A0BA2">
      <w:pPr>
        <w:pStyle w:val="Citation-AltC"/>
        <w:spacing w:after="240"/>
        <w:ind w:hanging="1166"/>
        <w:contextualSpacing w:val="0"/>
        <w:rPr>
          <w:lang w:val="fr-CA"/>
        </w:rPr>
      </w:pPr>
      <w:r w:rsidRPr="00345FEE">
        <w:rPr>
          <w:lang w:val="fr-CA"/>
        </w:rPr>
        <w:tab/>
        <w:t>[</w:t>
      </w:r>
      <w:r w:rsidRPr="00345FEE">
        <w:rPr>
          <w:smallCaps/>
          <w:lang w:val="fr-CA"/>
        </w:rPr>
        <w:t>traduction</w:t>
      </w:r>
      <w:r w:rsidRPr="00345FEE">
        <w:rPr>
          <w:lang w:val="fr-CA"/>
        </w:rPr>
        <w:t>] Je ne croyais tout simplement pas que l’avocat m’aurait dit de [. . .] faire quelque chose d’illégal. Je pensais avoir le droit de ne pas fournir d’échantillon . . . </w:t>
      </w:r>
    </w:p>
    <w:p w:rsidR="001A0BA2" w:rsidRPr="00345FEE" w:rsidRDefault="0026370F" w:rsidP="0026370F">
      <w:pPr>
        <w:pStyle w:val="Citation-AltC"/>
        <w:spacing w:after="240"/>
        <w:ind w:firstLine="4"/>
        <w:contextualSpacing w:val="0"/>
        <w:jc w:val="center"/>
        <w:rPr>
          <w:lang w:val="fr-CA"/>
        </w:rPr>
      </w:pPr>
      <w:r>
        <w:rPr>
          <w:lang w:val="fr-CA"/>
        </w:rPr>
        <w:t>. . .</w:t>
      </w:r>
    </w:p>
    <w:p w:rsidR="001A0BA2" w:rsidRPr="00345FEE" w:rsidRDefault="00883F43" w:rsidP="001A0BA2">
      <w:pPr>
        <w:pStyle w:val="Citation-AltC"/>
        <w:spacing w:after="240"/>
        <w:ind w:hanging="1166"/>
        <w:contextualSpacing w:val="0"/>
        <w:rPr>
          <w:lang w:val="fr-CA"/>
        </w:rPr>
      </w:pPr>
      <w:r>
        <w:rPr>
          <w:lang w:val="fr-CA"/>
        </w:rPr>
        <w:lastRenderedPageBreak/>
        <w:tab/>
      </w:r>
      <w:r w:rsidR="001A0BA2" w:rsidRPr="00345FEE">
        <w:rPr>
          <w:lang w:val="fr-CA"/>
        </w:rPr>
        <w:t xml:space="preserve">. . . Pourquoi [l’avocat du genre visé dans </w:t>
      </w:r>
      <w:r w:rsidR="001A0BA2" w:rsidRPr="00345FEE">
        <w:rPr>
          <w:i/>
          <w:lang w:val="fr-CA"/>
        </w:rPr>
        <w:t>Brydges</w:t>
      </w:r>
      <w:r w:rsidR="001A0BA2" w:rsidRPr="00345FEE">
        <w:rPr>
          <w:lang w:val="fr-CA"/>
        </w:rPr>
        <w:t>] m’aurait</w:t>
      </w:r>
      <w:r w:rsidR="001A0BA2" w:rsidRPr="00345FEE">
        <w:rPr>
          <w:lang w:val="fr-CA"/>
        </w:rPr>
        <w:noBreakHyphen/>
        <w:t>il dit de faire quelque chose d’illégal?</w:t>
      </w:r>
    </w:p>
    <w:p w:rsidR="001A0BA2" w:rsidRPr="00345FEE" w:rsidRDefault="001A0BA2" w:rsidP="001A0BA2">
      <w:pPr>
        <w:pStyle w:val="Citation-AltC"/>
        <w:ind w:hanging="1166"/>
        <w:contextualSpacing w:val="0"/>
        <w:rPr>
          <w:lang w:val="fr-CA"/>
        </w:rPr>
      </w:pPr>
      <w:r w:rsidRPr="00345FEE">
        <w:rPr>
          <w:lang w:val="fr-CA"/>
        </w:rPr>
        <w:t>(d.i., p. 40 et 85)</w:t>
      </w:r>
    </w:p>
    <w:p w:rsidR="001A0BA2" w:rsidRPr="00345FEE" w:rsidRDefault="001A0BA2" w:rsidP="001A0BA2">
      <w:pPr>
        <w:pStyle w:val="ParaNoNdepar-AltN"/>
        <w:rPr>
          <w:rFonts w:cs="Times New Roman"/>
          <w:lang w:val="fr-CA"/>
        </w:rPr>
      </w:pPr>
      <w:r w:rsidRPr="00345FEE">
        <w:rPr>
          <w:rFonts w:cs="Times New Roman"/>
          <w:lang w:val="fr-CA"/>
        </w:rPr>
        <w:t>Je ne peux conclure que ces déclarations non équivoques — interprétées à la lumière de la crédibilité inébranlable de M. Suter — laissent planer un doute quelconque quant à la sincérité ou au degré de la croyance de M. Suter à la légalité de sa conduite. Bien que le juge de la peine n’ait pas procédé à un examen ligne par ligne de la transcription de l’interrogatoire de M. Suter et n’ait pas mentionné les phrases qu’il a jugées crédibles, il a clairement accepté la « version des faits » de M. Suter et n’a fait état d’aucune réserve relativement à sa crédibilité.</w:t>
      </w:r>
    </w:p>
    <w:p w:rsidR="001A0BA2" w:rsidRPr="00345FEE" w:rsidRDefault="001A0BA2" w:rsidP="001A0BA2">
      <w:pPr>
        <w:pStyle w:val="ParaNoNdepar-AltN"/>
        <w:rPr>
          <w:rFonts w:cs="Times New Roman"/>
          <w:lang w:val="fr-CA"/>
        </w:rPr>
      </w:pPr>
      <w:r w:rsidRPr="00345FEE">
        <w:rPr>
          <w:rFonts w:cs="Times New Roman"/>
          <w:lang w:val="fr-CA"/>
        </w:rPr>
        <w:t>Soit dit en tout respect, aucune des raisons qu’invoquent les juges majoritaires pour discréditer ces déclarations acceptées par le juge de la peine ne convainc.</w:t>
      </w:r>
    </w:p>
    <w:p w:rsidR="001A0BA2" w:rsidRPr="00345FEE" w:rsidRDefault="001A0BA2" w:rsidP="001A0BA2">
      <w:pPr>
        <w:pStyle w:val="ParaNoNdepar-AltN"/>
        <w:rPr>
          <w:rFonts w:cs="Times New Roman"/>
          <w:lang w:val="fr-CA"/>
        </w:rPr>
      </w:pPr>
      <w:r w:rsidRPr="00345FEE">
        <w:rPr>
          <w:rFonts w:cs="Times New Roman"/>
          <w:lang w:val="fr-CA"/>
        </w:rPr>
        <w:t xml:space="preserve">Premièrement, les juges majoritaires discréditent M. Suter en appel parce que les conseils de l’avocat du genre visé dans </w:t>
      </w:r>
      <w:r w:rsidRPr="00345FEE">
        <w:rPr>
          <w:rFonts w:cs="Times New Roman"/>
          <w:i/>
          <w:lang w:val="fr-CA"/>
        </w:rPr>
        <w:t xml:space="preserve">Brydges </w:t>
      </w:r>
      <w:r w:rsidRPr="00345FEE">
        <w:rPr>
          <w:rFonts w:cs="Times New Roman"/>
          <w:lang w:val="fr-CA"/>
        </w:rPr>
        <w:t>étaient d’ordre « stratégique » (par. 70), ce qui contredirait l’affirmation de M. Suter selon laquelle il pensait que son refus était légal. Or, cela s’appuie sur le témoignage de cet avocat, que le juge de la peine a rejeté, et fait abstraction du témoignage de M. Suter, qui a expressément nié que les conseils de cet avocat étaient d’ordre stratégique (d.a., vol. II, p. 42</w:t>
      </w:r>
      <w:r w:rsidRPr="00345FEE">
        <w:rPr>
          <w:rFonts w:cs="Times New Roman"/>
          <w:lang w:val="fr-CA"/>
        </w:rPr>
        <w:noBreakHyphen/>
        <w:t xml:space="preserve">43). À mon avis, notre Cour ne saurait discréditer un témoin jugé crédible en première instance avec la déposition incompatible d’un autre témoin jugé non crédible en première instance. En conjecturant sur la question de savoir si « les instructions de l’avocat de refuser de fournir un échantillon d’haleine relevaient d’une stratégie en matière de </w:t>
      </w:r>
      <w:r w:rsidRPr="00345FEE">
        <w:rPr>
          <w:rFonts w:cs="Times New Roman"/>
          <w:lang w:val="fr-CA"/>
        </w:rPr>
        <w:lastRenderedPageBreak/>
        <w:t>détermination de la peine » (par. 70), les juges majoritaires réévaluent à tort le dossier, comme ils reprochent du reste à la Cour d’appel de le faire. Quoi qu’il en soit, les juges majoritaires concèdent qu’il « n’a pas [été] conclu que le refus relevait d’un choix stratégique de M. Suter » (par. 75). Je ne vois donc pas comment la raison pour laquelle l’avocat a donné des conseils peut servir à prouver la compréhension qu’avait M. Suter</w:t>
      </w:r>
      <w:r w:rsidRPr="00345FEE">
        <w:rPr>
          <w:rFonts w:cs="Times New Roman"/>
          <w:i/>
          <w:lang w:val="fr-CA"/>
        </w:rPr>
        <w:t xml:space="preserve"> </w:t>
      </w:r>
      <w:r w:rsidRPr="00345FEE">
        <w:rPr>
          <w:rFonts w:cs="Times New Roman"/>
          <w:lang w:val="fr-CA"/>
        </w:rPr>
        <w:t>de la légalité de sa conduite en se fondant sur ces conseils.</w:t>
      </w:r>
    </w:p>
    <w:p w:rsidR="001A0BA2" w:rsidRPr="00345FEE" w:rsidRDefault="001A0BA2" w:rsidP="001A0BA2">
      <w:pPr>
        <w:pStyle w:val="ParaNoNdepar-AltN"/>
        <w:rPr>
          <w:rFonts w:cs="Times New Roman"/>
          <w:lang w:val="fr-CA"/>
        </w:rPr>
      </w:pPr>
      <w:r w:rsidRPr="00345FEE">
        <w:rPr>
          <w:rFonts w:cs="Times New Roman"/>
          <w:lang w:val="fr-CA"/>
        </w:rPr>
        <w:t>Deuxièmement, les juges majoritaires discréditent M. Suter en appel parce qu’il « a admis que l’agent de police lui avait dit que le refus de fournir un échantillon d’haleine constituait une infraction », ce qui est « pertinen[t] en ce qui a trait à la sincérité de [s]a croyance » à l’égard de la légalité de sa conduite (par. 71). Toutefois, comme le reconnaissent les juges majoritaires, « on peut comprendre, en particulier dans le contexte d’une arrestation, qu’un détenu décide de suivre les conseils de son avocat — qui partage le même intérêt que lui — plutôt que ceux d’un policier » (</w:t>
      </w:r>
      <w:r w:rsidRPr="00345FEE">
        <w:rPr>
          <w:rFonts w:cs="Times New Roman"/>
          <w:i/>
          <w:lang w:val="fr-CA"/>
        </w:rPr>
        <w:t>ibid.</w:t>
      </w:r>
      <w:r w:rsidRPr="00345FEE">
        <w:rPr>
          <w:rFonts w:cs="Times New Roman"/>
          <w:lang w:val="fr-CA"/>
        </w:rPr>
        <w:t>). Cela est particulièrement important compte tenu de la grande latitude que notre Cour a accordée aux policiers en les autorisant à user de « formes de supercherie » — notamment en mettant les détenus en présence d’éléments de preuve « exagérés », ou même « faux », censés constituer une preuve de culpabilité « absolument accablante » — pour soutirer des aveux préjudiciables aux détenus (</w:t>
      </w:r>
      <w:r w:rsidRPr="00345FEE">
        <w:rPr>
          <w:rFonts w:cs="Times New Roman"/>
          <w:i/>
          <w:lang w:val="fr-CA"/>
        </w:rPr>
        <w:t>R. c. Oickle</w:t>
      </w:r>
      <w:r w:rsidRPr="00345FEE">
        <w:rPr>
          <w:rFonts w:cs="Times New Roman"/>
          <w:lang w:val="fr-CA"/>
        </w:rPr>
        <w:t>, 2000 CSC 38, [2000] 2 R.C.S. 3, par. 66, 91, 95 et 99</w:t>
      </w:r>
      <w:r w:rsidRPr="00345FEE">
        <w:rPr>
          <w:rFonts w:cs="Times New Roman"/>
          <w:lang w:val="fr-CA"/>
        </w:rPr>
        <w:noBreakHyphen/>
        <w:t xml:space="preserve">100; </w:t>
      </w:r>
      <w:r w:rsidRPr="00345FEE">
        <w:rPr>
          <w:rFonts w:cs="Times New Roman"/>
          <w:i/>
          <w:lang w:val="fr-CA"/>
        </w:rPr>
        <w:t>Rothman c. La Reine</w:t>
      </w:r>
      <w:r w:rsidRPr="00345FEE">
        <w:rPr>
          <w:rFonts w:cs="Times New Roman"/>
          <w:lang w:val="fr-CA"/>
        </w:rPr>
        <w:t>, [1981] 1 R.C.S. 640,</w:t>
      </w:r>
      <w:r w:rsidRPr="00345FEE">
        <w:rPr>
          <w:rFonts w:cs="Times New Roman"/>
          <w:i/>
          <w:lang w:val="fr-CA"/>
        </w:rPr>
        <w:t xml:space="preserve"> </w:t>
      </w:r>
      <w:r w:rsidRPr="00345FEE">
        <w:rPr>
          <w:rFonts w:cs="Times New Roman"/>
          <w:lang w:val="fr-CA"/>
        </w:rPr>
        <w:t xml:space="preserve">p. 697; </w:t>
      </w:r>
      <w:r w:rsidRPr="00345FEE">
        <w:rPr>
          <w:rFonts w:cs="Times New Roman"/>
          <w:i/>
          <w:lang w:val="fr-CA"/>
        </w:rPr>
        <w:t>R. c. Collins</w:t>
      </w:r>
      <w:r w:rsidRPr="00345FEE">
        <w:rPr>
          <w:rFonts w:cs="Times New Roman"/>
          <w:lang w:val="fr-CA"/>
        </w:rPr>
        <w:t>, [1987] 1 R.C.S. 265, p. 286</w:t>
      </w:r>
      <w:r w:rsidRPr="00345FEE">
        <w:rPr>
          <w:rFonts w:cs="Times New Roman"/>
          <w:lang w:val="fr-CA"/>
        </w:rPr>
        <w:noBreakHyphen/>
        <w:t xml:space="preserve">287; </w:t>
      </w:r>
      <w:r w:rsidRPr="00345FEE">
        <w:rPr>
          <w:rFonts w:cs="Times New Roman"/>
          <w:i/>
          <w:lang w:val="fr-CA"/>
        </w:rPr>
        <w:t>R. c. Sinclair</w:t>
      </w:r>
      <w:r w:rsidRPr="00345FEE">
        <w:rPr>
          <w:rFonts w:cs="Times New Roman"/>
          <w:lang w:val="fr-CA"/>
        </w:rPr>
        <w:t>, 2010 CSC 35, [2010] 2 R.C.S. 310, par. 60, 116 et 142). Quoi qu’il en soit, il appartient au juge de la peine, et non à notre Cour, d’évaluer l’incidence de cet aveu sur la crédibilité de M. Suter. Ce dernier a déclaré expressément et à maintes reprises qu’il ne faisait pas confiance à la police lorsque celle</w:t>
      </w:r>
      <w:r w:rsidRPr="00345FEE">
        <w:rPr>
          <w:rFonts w:cs="Times New Roman"/>
          <w:lang w:val="fr-CA"/>
        </w:rPr>
        <w:noBreakHyphen/>
        <w:t xml:space="preserve">ci lui avait dit qu’il serait accusé de refus de fournir </w:t>
      </w:r>
      <w:r w:rsidRPr="00345FEE">
        <w:rPr>
          <w:rFonts w:cs="Times New Roman"/>
          <w:lang w:val="fr-CA"/>
        </w:rPr>
        <w:lastRenderedPageBreak/>
        <w:t>un échantillon d’haleine, et qu’il avait cru comprendre qu’il devait préférer les conseils de son avocat aux affirmations des policiers (d.a., vol. II, p. 13</w:t>
      </w:r>
      <w:r w:rsidRPr="00345FEE">
        <w:rPr>
          <w:rFonts w:cs="Times New Roman"/>
          <w:lang w:val="fr-CA"/>
        </w:rPr>
        <w:noBreakHyphen/>
        <w:t>14 et 38</w:t>
      </w:r>
      <w:r w:rsidRPr="00345FEE">
        <w:rPr>
          <w:rFonts w:cs="Times New Roman"/>
          <w:lang w:val="fr-CA"/>
        </w:rPr>
        <w:noBreakHyphen/>
        <w:t>40; d.i., p. 40). Encore une fois, j’estime que notre Cour ne devrait pas discréditer ces déclarations non équivoques en disséquant le dossier alors que le juge de la peine a conclu que le témoignage de M. Suter était crédible en se fondant sur ce même dossier.</w:t>
      </w:r>
    </w:p>
    <w:p w:rsidR="001A0BA2" w:rsidRPr="00345FEE" w:rsidRDefault="001A0BA2" w:rsidP="001A0BA2">
      <w:pPr>
        <w:pStyle w:val="ParaNoNdepar-AltN"/>
        <w:rPr>
          <w:rFonts w:cs="Times New Roman"/>
          <w:lang w:val="fr-CA"/>
        </w:rPr>
      </w:pPr>
      <w:r w:rsidRPr="00345FEE">
        <w:rPr>
          <w:rFonts w:cs="Times New Roman"/>
          <w:lang w:val="fr-CA"/>
        </w:rPr>
        <w:t xml:space="preserve">Troisièmement, les juges majoritaires discréditent l’affirmation de M. Suter selon laquelle il croyait sincèrement à la légalité de sa conduite, au motif que le juge de la peine a conclu qu’il y avait confusion dans l’esprit de M. Suter pendant sa conversation téléphonique avec l’avocat du genre visé dans </w:t>
      </w:r>
      <w:r w:rsidRPr="00345FEE">
        <w:rPr>
          <w:rFonts w:cs="Times New Roman"/>
          <w:i/>
          <w:lang w:val="fr-CA"/>
        </w:rPr>
        <w:t>Brydges</w:t>
      </w:r>
      <w:r w:rsidRPr="00345FEE">
        <w:rPr>
          <w:rFonts w:cs="Times New Roman"/>
          <w:lang w:val="fr-CA"/>
        </w:rPr>
        <w:t>. Cependant, la confusion qui régnait dans l’esprit de M. Suter pendant cette conversation n’est pas pertinente puisque, à la fin de la conversation, il [</w:t>
      </w:r>
      <w:r w:rsidRPr="00345FEE">
        <w:rPr>
          <w:rFonts w:cs="Times New Roman"/>
          <w:smallCaps/>
          <w:lang w:val="fr-CA"/>
        </w:rPr>
        <w:t>traduction</w:t>
      </w:r>
      <w:r w:rsidRPr="00345FEE">
        <w:rPr>
          <w:rFonts w:cs="Times New Roman"/>
          <w:lang w:val="fr-CA"/>
        </w:rPr>
        <w:t>] « avait bien saisi le message qu’on voulait lui transmettre » et « avait compris les conseils de l’avocat », c.</w:t>
      </w:r>
      <w:r w:rsidRPr="00345FEE">
        <w:rPr>
          <w:rFonts w:cs="Times New Roman"/>
          <w:lang w:val="fr-CA"/>
        </w:rPr>
        <w:noBreakHyphen/>
        <w:t>à</w:t>
      </w:r>
      <w:r w:rsidRPr="00345FEE">
        <w:rPr>
          <w:rFonts w:cs="Times New Roman"/>
          <w:lang w:val="fr-CA"/>
        </w:rPr>
        <w:noBreakHyphen/>
        <w:t>d. de refuser de fournir l’échantillon d’haleine (décision relative à la peine, par. 38 et 41).</w:t>
      </w:r>
    </w:p>
    <w:p w:rsidR="001A0BA2" w:rsidRPr="00345FEE" w:rsidRDefault="001A0BA2" w:rsidP="001A0BA2">
      <w:pPr>
        <w:pStyle w:val="ParaNoNdepar-AltN"/>
        <w:rPr>
          <w:rFonts w:cs="Times New Roman"/>
          <w:lang w:val="fr-CA"/>
        </w:rPr>
      </w:pPr>
      <w:r w:rsidRPr="00345FEE">
        <w:rPr>
          <w:rFonts w:cs="Times New Roman"/>
          <w:lang w:val="fr-CA"/>
        </w:rPr>
        <w:t xml:space="preserve">Enfin, les juges majoritaires discréditent M. Suter en appel parce que « [r]ien dans le dossier n’indique que l’avocat a dit à M. Suter [. . .] qu’il était légalement justifié de refuser » (par. 70). À mon avis, cette affirmation confond la croyance de M. Suter avec le fondement de cette croyance. Cette croyance ne tient pas aux explications de l’avocat du genre visé dans </w:t>
      </w:r>
      <w:r w:rsidRPr="00345FEE">
        <w:rPr>
          <w:rFonts w:cs="Times New Roman"/>
          <w:i/>
          <w:lang w:val="fr-CA"/>
        </w:rPr>
        <w:t xml:space="preserve">Brydges </w:t>
      </w:r>
      <w:r w:rsidRPr="00345FEE">
        <w:rPr>
          <w:rFonts w:cs="Times New Roman"/>
          <w:lang w:val="fr-CA"/>
        </w:rPr>
        <w:t>ou à la perspicacité juridique de M. Suter. Elle tient plutôt à sa sincérité. Dans son témoignage crédible et non contredit, M. Suter a déclaré qu’il [</w:t>
      </w:r>
      <w:r w:rsidRPr="00345FEE">
        <w:rPr>
          <w:rFonts w:cs="Times New Roman"/>
          <w:smallCaps/>
          <w:lang w:val="fr-CA"/>
        </w:rPr>
        <w:t>traduction</w:t>
      </w:r>
      <w:r w:rsidRPr="00345FEE">
        <w:rPr>
          <w:rFonts w:cs="Times New Roman"/>
          <w:lang w:val="fr-CA"/>
        </w:rPr>
        <w:t xml:space="preserve">] « ne croyai[t] [. . .] pas que l’avocat [lui] aurait dit de [. . .] faire quelque chose d’illégal » et qu’il « pensai[t] avoir le droit de ne pas fournir d’échantillon » (d.i., p. 40). Que M. Suter ait su ou non pourquoi il </w:t>
      </w:r>
      <w:r w:rsidRPr="00345FEE">
        <w:rPr>
          <w:rFonts w:cs="Times New Roman"/>
          <w:lang w:val="fr-CA"/>
        </w:rPr>
        <w:lastRenderedPageBreak/>
        <w:t>pouvait refuser de fournir un échantillon, il n’en reste pas moins qu’il croyait assurément qu’il s’agissait d’une décision légale. Dans le contexte d’une détention ou dans tout autre contexte, on fait appel à un avocat précisément pour qu’il nous dise quoi faire en fonction de ce qu’il sait. L’exercice de droits ne doit pas être subordonné à une compréhension complète des assises constitutionnelles de ceux</w:t>
      </w:r>
      <w:r w:rsidRPr="00345FEE">
        <w:rPr>
          <w:rFonts w:cs="Times New Roman"/>
          <w:lang w:val="fr-CA"/>
        </w:rPr>
        <w:noBreakHyphen/>
        <w:t>ci. Sinon, les droits constitutionnels des détenus peu avertis s’en trouveraient forcément dilués, malgré le fait que ce sont eux qui en ont le plus besoin.</w:t>
      </w:r>
    </w:p>
    <w:p w:rsidR="001A0BA2" w:rsidRPr="00345FEE" w:rsidRDefault="001A0BA2" w:rsidP="001A0BA2">
      <w:pPr>
        <w:pStyle w:val="ParaNoNdepar-AltN"/>
        <w:rPr>
          <w:rFonts w:cs="Times New Roman"/>
          <w:lang w:val="fr-CA"/>
        </w:rPr>
      </w:pPr>
      <w:r w:rsidRPr="00345FEE">
        <w:rPr>
          <w:rFonts w:cs="Times New Roman"/>
          <w:lang w:val="fr-CA"/>
        </w:rPr>
        <w:t>Par conséquent, même selon le critère énoncé par les juges majoritaires, j’estime que M. Suter a commis une erreur de droit. Je conviens que nous pourrions « inférer avec plus de certitude » que M. Suter croyait sincèrement à la légalité de sa conduite s’il y avait plus d’éléments de preuve (motifs des juges majoritaires, par. 70). Cependant, les motifs du juge de la peine, combinés aux déclarations non équivoques et crédibles de M. Suter confirmant cette croyance sincère, suffisent amplement dans les circonstances.</w:t>
      </w:r>
    </w:p>
    <w:p w:rsidR="001A0BA2" w:rsidRPr="00345FEE" w:rsidRDefault="001A0BA2" w:rsidP="001A0BA2">
      <w:pPr>
        <w:pStyle w:val="Title3LevelTitre3Niveau"/>
        <w:rPr>
          <w:rFonts w:cs="Times New Roman"/>
          <w:lang w:val="fr-CA"/>
        </w:rPr>
      </w:pPr>
      <w:r w:rsidRPr="00345FEE">
        <w:rPr>
          <w:rFonts w:cs="Times New Roman"/>
          <w:lang w:val="fr-CA"/>
        </w:rPr>
        <w:t>Absence d’état d’ébriété</w:t>
      </w:r>
    </w:p>
    <w:p w:rsidR="001A0BA2" w:rsidRPr="00345FEE" w:rsidRDefault="001A0BA2" w:rsidP="001A0BA2">
      <w:pPr>
        <w:pStyle w:val="ParaNoNdepar-AltN"/>
        <w:rPr>
          <w:rFonts w:cs="Times New Roman"/>
          <w:lang w:val="fr-CA"/>
        </w:rPr>
      </w:pPr>
      <w:r w:rsidRPr="00345FEE">
        <w:rPr>
          <w:rFonts w:cs="Times New Roman"/>
          <w:lang w:val="fr-CA"/>
        </w:rPr>
        <w:t>À mon avis, le juge de la peine n’a pas non plus commis d’erreur lorsqu’il a soupesé le fait que M. Suter était sobre. Soit dit en tout respect, la conclusion contraire des juges majoritaires dénature les motifs du juge de la peine.</w:t>
      </w:r>
    </w:p>
    <w:p w:rsidR="001A0BA2" w:rsidRPr="00345FEE" w:rsidRDefault="001A0BA2" w:rsidP="001A0BA2">
      <w:pPr>
        <w:pStyle w:val="ParaNoNdepar-AltN"/>
        <w:rPr>
          <w:rFonts w:cs="Times New Roman"/>
          <w:lang w:val="fr-CA"/>
        </w:rPr>
      </w:pPr>
      <w:r w:rsidRPr="00345FEE">
        <w:rPr>
          <w:rFonts w:cs="Times New Roman"/>
          <w:lang w:val="fr-CA"/>
        </w:rPr>
        <w:t xml:space="preserve">Tout d’abord, je souligne qu’une cour d’appel peut intervenir à l’égard d’une peine lorsque le juge de la peine soupèse « de façon déraisonnable » un facteur particulier, mais non lorsque la cour d’appel aurait simplement « attribué un poids </w:t>
      </w:r>
      <w:r w:rsidRPr="00345FEE">
        <w:rPr>
          <w:rFonts w:cs="Times New Roman"/>
          <w:u w:val="single"/>
          <w:lang w:val="fr-CA"/>
        </w:rPr>
        <w:t>différent</w:t>
      </w:r>
      <w:r w:rsidRPr="00345FEE">
        <w:rPr>
          <w:rFonts w:cs="Times New Roman"/>
          <w:lang w:val="fr-CA"/>
        </w:rPr>
        <w:t xml:space="preserve"> a[u] facteu[r] pertinen[t] » (</w:t>
      </w:r>
      <w:r w:rsidRPr="00345FEE">
        <w:rPr>
          <w:rFonts w:cs="Times New Roman"/>
          <w:i/>
          <w:lang w:val="fr-CA"/>
        </w:rPr>
        <w:t>Lacasse</w:t>
      </w:r>
      <w:r w:rsidRPr="00345FEE">
        <w:rPr>
          <w:rFonts w:cs="Times New Roman"/>
          <w:lang w:val="fr-CA"/>
        </w:rPr>
        <w:t xml:space="preserve">, par. 49 (je souligne)). En effet, intervenir </w:t>
      </w:r>
      <w:r w:rsidRPr="00345FEE">
        <w:rPr>
          <w:rFonts w:cs="Times New Roman"/>
          <w:lang w:val="fr-CA"/>
        </w:rPr>
        <w:lastRenderedPageBreak/>
        <w:t>sur une peine en se fondant simplement sur l’avis que [</w:t>
      </w:r>
      <w:r w:rsidRPr="00345FEE">
        <w:rPr>
          <w:rFonts w:cs="Times New Roman"/>
          <w:smallCaps/>
          <w:lang w:val="fr-CA"/>
        </w:rPr>
        <w:t>traduction</w:t>
      </w:r>
      <w:r w:rsidRPr="00345FEE">
        <w:rPr>
          <w:rFonts w:cs="Times New Roman"/>
          <w:lang w:val="fr-CA"/>
        </w:rPr>
        <w:t>] « [le juge de première instance] a accordé trop de poids à un facteur pertinent [. . .] équivaut à faire fi de toute déférence » (</w:t>
      </w:r>
      <w:r w:rsidRPr="00345FEE">
        <w:rPr>
          <w:rFonts w:cs="Times New Roman"/>
          <w:i/>
          <w:lang w:val="fr-CA"/>
        </w:rPr>
        <w:t>Lacasse</w:t>
      </w:r>
      <w:r w:rsidRPr="00345FEE">
        <w:rPr>
          <w:rFonts w:cs="Times New Roman"/>
          <w:lang w:val="fr-CA"/>
        </w:rPr>
        <w:t xml:space="preserve">, par. 49, citant </w:t>
      </w:r>
      <w:r w:rsidRPr="00345FEE">
        <w:rPr>
          <w:rFonts w:cs="Times New Roman"/>
          <w:i/>
          <w:lang w:val="fr-CA"/>
        </w:rPr>
        <w:t>R. c. Nasogaluak</w:t>
      </w:r>
      <w:r w:rsidRPr="00345FEE">
        <w:rPr>
          <w:rFonts w:cs="Times New Roman"/>
          <w:lang w:val="fr-CA"/>
        </w:rPr>
        <w:t>, 2010 CSC 6, [2010] 1 R.C.S. 206, par. 46).</w:t>
      </w:r>
    </w:p>
    <w:p w:rsidR="001A0BA2" w:rsidRPr="00345FEE" w:rsidRDefault="001A0BA2" w:rsidP="001A0BA2">
      <w:pPr>
        <w:pStyle w:val="ParaNoNdepar-AltN"/>
        <w:rPr>
          <w:rFonts w:cs="Times New Roman"/>
          <w:lang w:val="fr-CA"/>
        </w:rPr>
      </w:pPr>
      <w:r w:rsidRPr="00345FEE">
        <w:rPr>
          <w:rFonts w:cs="Times New Roman"/>
          <w:lang w:val="fr-CA"/>
        </w:rPr>
        <w:t>Les juges majoritaires affirment que le juge de la peine « a accordé une importance considérable » au fait que M. Suter n’était pas ivre (par. 86) et que l’absence d’état d’ébriété « doit avoir contribué de façon non négligeable » à la peine de quatre mois d’emprisonnement de M. Suter (par. 87). Cependant, à mon avis, ils manquent de cohérence dans leur description de cette importance. Tout d’abord, les juges majoritaires semblent laisser entendre que le juge de la peine aurait atténué la peine d’au moins 32 mois en se fondant seulement sur le fait que M. Suter n’était pas ivre. Plus précisément, ils affirment que si « M. Suter avait été reconnu coupable de conduite avec capacités affaiblies causant la mort, le juge de la peine lui aurait infligé une peine de plus de trois ans d’emprisonnement » (par. 86). Toutefois, ils conviennent par la suite que cette réduction de peine reposait sur le fait que M. Suter n’était pas ivre, « combin[é] à d’autres facteurs atténuants, notamment les mauvais conseils juridiques » (</w:t>
      </w:r>
      <w:r w:rsidRPr="00345FEE">
        <w:rPr>
          <w:rFonts w:cs="Times New Roman"/>
          <w:i/>
          <w:lang w:val="fr-CA"/>
        </w:rPr>
        <w:t>ibid.</w:t>
      </w:r>
      <w:r w:rsidRPr="00345FEE">
        <w:rPr>
          <w:rFonts w:cs="Times New Roman"/>
          <w:lang w:val="fr-CA"/>
        </w:rPr>
        <w:t>). Selon moi, la première interprétation (selon laquelle l’absence d’état d’ébriété a permis à elle seule de réduire la peine à quatre mois) constitue une mauvaise interprétation de la décision relative à la peine, tandis que la seconde interprétation (selon laquelle les nombreux facteurs atténuants, pris ensemble, ont permis de réduire la peine) ne démontre pas une pondération indépendante déraisonnable de l’absence d’état d’ébriété.</w:t>
      </w:r>
    </w:p>
    <w:p w:rsidR="001A0BA2" w:rsidRPr="00345FEE" w:rsidRDefault="001A0BA2" w:rsidP="001A0BA2">
      <w:pPr>
        <w:pStyle w:val="ParaNoNdepar-AltN"/>
        <w:rPr>
          <w:rFonts w:cs="Times New Roman"/>
          <w:lang w:val="fr-CA"/>
        </w:rPr>
      </w:pPr>
      <w:r w:rsidRPr="00345FEE">
        <w:rPr>
          <w:rFonts w:cs="Times New Roman"/>
          <w:lang w:val="fr-CA"/>
        </w:rPr>
        <w:lastRenderedPageBreak/>
        <w:t>La première interprétation rattache la réduction de peine à la seule absence d’état d’ébriété. Or, lorsqu’elles examinent les motifs des juges de première instance, les cours d’appel doivent considérer les motifs « globalement » (</w:t>
      </w:r>
      <w:r w:rsidRPr="00345FEE">
        <w:rPr>
          <w:rFonts w:cs="Times New Roman"/>
          <w:i/>
          <w:lang w:val="fr-CA"/>
        </w:rPr>
        <w:t>R. c</w:t>
      </w:r>
      <w:r w:rsidRPr="00345FEE">
        <w:rPr>
          <w:rFonts w:cs="Times New Roman"/>
          <w:i/>
          <w:iCs/>
          <w:lang w:val="fr-CA"/>
        </w:rPr>
        <w:t>.</w:t>
      </w:r>
      <w:r w:rsidRPr="00345FEE">
        <w:rPr>
          <w:rFonts w:cs="Times New Roman"/>
          <w:i/>
          <w:lang w:val="fr-CA"/>
        </w:rPr>
        <w:t xml:space="preserve"> Rhyason</w:t>
      </w:r>
      <w:r w:rsidRPr="00345FEE">
        <w:rPr>
          <w:rFonts w:cs="Times New Roman"/>
          <w:lang w:val="fr-CA"/>
        </w:rPr>
        <w:t>, 2007 CSC 39, [2007] 3 R.C.S. 108, par. 10). Il s’ensuit que les cours d’appel ne doivent pas examiner isolément certains passages des motifs de première instance pour déceler des erreurs dans le raisonnement. C’est pourtant ce qu’entraîne cette interprétation. Elle isole le passage suivant de la décision du juge de la peine (par. 75) pour conclure qu’il a accordé trop d’importance au fait que M. Suter était sobre au moment de déterminer sa peine : [</w:t>
      </w:r>
      <w:r w:rsidRPr="00345FEE">
        <w:rPr>
          <w:rFonts w:cs="Times New Roman"/>
          <w:smallCaps/>
          <w:lang w:val="fr-CA"/>
        </w:rPr>
        <w:t>traduction</w:t>
      </w:r>
      <w:r w:rsidRPr="00345FEE">
        <w:rPr>
          <w:rFonts w:cs="Times New Roman"/>
          <w:lang w:val="fr-CA"/>
        </w:rPr>
        <w:t>] « Si la cour devait infliger une peine pour conduite avec capacités affaiblies causant la mort dans les circonstances, la peine suggérée par la Couronne [trois ans] lui semblerait trop légère. »</w:t>
      </w:r>
    </w:p>
    <w:p w:rsidR="001A0BA2" w:rsidRPr="00345FEE" w:rsidRDefault="001A0BA2" w:rsidP="001A0BA2">
      <w:pPr>
        <w:pStyle w:val="ParaNoNdepar-AltN"/>
        <w:rPr>
          <w:rFonts w:cs="Times New Roman"/>
          <w:lang w:val="fr-CA"/>
        </w:rPr>
      </w:pPr>
      <w:r w:rsidRPr="00345FEE">
        <w:rPr>
          <w:rFonts w:cs="Times New Roman"/>
          <w:lang w:val="fr-CA"/>
        </w:rPr>
        <w:t>En première instance, la Couronne a réclamé une peine de trois ans d’emprisonnement. En conséquence, selon cette première interprétation, le par. 75 de la décision relative à la peine se lirait ainsi : si M. Suter avait eu les capacités affaiblies (« [s]i la cour devait infliger une peine pour conduite avec capacités affaiblies »), mais que tous les autres faits étaient restés les mêmes (« dans les circonstances »), il se serait vu infliger une peine de plus de trois ans. Cette interprétation implique comme corollaire que le juge de la peine s’est appuyé seulement sur l’absence d’ivresse pour réduire une peine d’au moins trois ans à une peine de quatre mois. Je conviens que cela reviendrait à accorder une importance considérable à l’absence d’état d’ébriété en tant que facteur atténuant. Cependant, l’examen de ce passage dans le contexte immédiat des paragraphes qui suivent le par. 75, et dans le contexte général des motifs considérés globalement, fait échec à cette interprétation.</w:t>
      </w:r>
    </w:p>
    <w:p w:rsidR="001A0BA2" w:rsidRPr="00345FEE" w:rsidRDefault="001A0BA2" w:rsidP="001A0BA2">
      <w:pPr>
        <w:pStyle w:val="ParaNoNdepar-AltN"/>
        <w:rPr>
          <w:rFonts w:cs="Times New Roman"/>
          <w:lang w:val="fr-CA"/>
        </w:rPr>
      </w:pPr>
      <w:r w:rsidRPr="00345FEE">
        <w:rPr>
          <w:rFonts w:cs="Times New Roman"/>
          <w:lang w:val="fr-CA"/>
        </w:rPr>
        <w:lastRenderedPageBreak/>
        <w:t>Le paragraphe 75 et son contexte immédiat se lisent ainsi :</w:t>
      </w:r>
    </w:p>
    <w:p w:rsidR="001A0BA2" w:rsidRPr="00345FEE" w:rsidRDefault="001A0BA2" w:rsidP="001A0BA2">
      <w:pPr>
        <w:pStyle w:val="Citation-AltC"/>
        <w:spacing w:after="240"/>
        <w:ind w:hanging="1166"/>
        <w:contextualSpacing w:val="0"/>
        <w:rPr>
          <w:lang w:val="fr-CA"/>
        </w:rPr>
      </w:pPr>
      <w:r w:rsidRPr="00345FEE">
        <w:rPr>
          <w:lang w:val="fr-CA"/>
        </w:rPr>
        <w:tab/>
      </w:r>
      <w:r w:rsidRPr="00345FEE">
        <w:rPr>
          <w:lang w:val="fr-CA"/>
        </w:rPr>
        <w:tab/>
        <w:t>[</w:t>
      </w:r>
      <w:r w:rsidRPr="00345FEE">
        <w:rPr>
          <w:smallCaps/>
          <w:lang w:val="fr-CA"/>
        </w:rPr>
        <w:t>traduction</w:t>
      </w:r>
      <w:r w:rsidRPr="00345FEE">
        <w:rPr>
          <w:lang w:val="fr-CA"/>
        </w:rPr>
        <w:t>] Si la cour devait infliger une peine pour conduite avec capacités affaiblies causant la mort dans les circonstances, la peine suggérée par la Couronne lui semblerait trop légère.</w:t>
      </w:r>
    </w:p>
    <w:p w:rsidR="001A0BA2" w:rsidRPr="00345FEE" w:rsidRDefault="001A0BA2" w:rsidP="001A0BA2">
      <w:pPr>
        <w:pStyle w:val="Citation-AltC"/>
        <w:spacing w:after="240"/>
        <w:ind w:hanging="1166"/>
        <w:contextualSpacing w:val="0"/>
        <w:rPr>
          <w:lang w:val="fr-CA"/>
        </w:rPr>
      </w:pPr>
      <w:r w:rsidRPr="00345FEE">
        <w:rPr>
          <w:lang w:val="fr-CA"/>
        </w:rPr>
        <w:tab/>
      </w:r>
      <w:r w:rsidRPr="00345FEE">
        <w:rPr>
          <w:lang w:val="fr-CA"/>
        </w:rPr>
        <w:tab/>
      </w:r>
      <w:r w:rsidRPr="00345FEE">
        <w:rPr>
          <w:u w:val="single"/>
          <w:lang w:val="fr-CA"/>
        </w:rPr>
        <w:t>Cependant, la preuve a amené la cour à s’écarter de sa position initiale.</w:t>
      </w:r>
      <w:r w:rsidRPr="00345FEE">
        <w:rPr>
          <w:lang w:val="fr-CA"/>
        </w:rPr>
        <w:t xml:space="preserve"> La cour conclut, selon la prépondérance des probabilités, que, malgré ses conséquences tragiques, cette collision était un accident causé par une erreur de conduite commise par une personne dont les facultés n’étaient pas affaiblies. Comme je l’ai déjà souligné, </w:t>
      </w:r>
      <w:r w:rsidRPr="00345FEE">
        <w:rPr>
          <w:u w:val="single"/>
          <w:lang w:val="fr-CA"/>
        </w:rPr>
        <w:t>la cour conclut également que le refus de M. Suter d’obtempérer à une demande légale résultait d’une situation, espérons</w:t>
      </w:r>
      <w:r w:rsidRPr="00345FEE">
        <w:rPr>
          <w:u w:val="single"/>
          <w:lang w:val="fr-CA"/>
        </w:rPr>
        <w:noBreakHyphen/>
        <w:t xml:space="preserve">le, rare, où il a été mal conseillé par un avocat mal informé. Si les conseils s’étaient limités à une présentation erronée des possibilités qui s’offraient au suspect sur le plan juridique, même s’ils avaient visé à </w:t>
      </w:r>
      <w:r w:rsidR="00883F43">
        <w:rPr>
          <w:u w:val="single"/>
          <w:lang w:val="fr-CA"/>
        </w:rPr>
        <w:t>décourager</w:t>
      </w:r>
      <w:r w:rsidRPr="00345FEE">
        <w:rPr>
          <w:u w:val="single"/>
          <w:lang w:val="fr-CA"/>
        </w:rPr>
        <w:t xml:space="preserve"> celui</w:t>
      </w:r>
      <w:r w:rsidRPr="00345FEE">
        <w:rPr>
          <w:u w:val="single"/>
          <w:lang w:val="fr-CA"/>
        </w:rPr>
        <w:noBreakHyphen/>
        <w:t>ci de fournir un échantillon d’haleine, l’effet atténuant des conseils serait nettement moindre.</w:t>
      </w:r>
      <w:r w:rsidRPr="00345FEE">
        <w:rPr>
          <w:lang w:val="fr-CA"/>
        </w:rPr>
        <w:t xml:space="preserve"> En l’espèce, cependant, la cour a accepté le témoignage de M. Suter à propos de ce que l’avocat lui a dit, et elle estime que le refus reposait sur le fait que l’avocat lui a dit expressément de ne pas fournir d’échantillon. </w:t>
      </w:r>
      <w:r w:rsidRPr="00345FEE">
        <w:rPr>
          <w:u w:val="single"/>
          <w:lang w:val="fr-CA"/>
        </w:rPr>
        <w:t>Ce fait ne permet pas d’absoudre M. Suter, car l’erreur de droit ne constitue pas un moyen de défense, mais il change de manière fondamentale la culpabilité morale de M. Suter.</w:t>
      </w:r>
    </w:p>
    <w:p w:rsidR="001A0BA2" w:rsidRPr="00345FEE" w:rsidRDefault="001A0BA2" w:rsidP="001A0BA2">
      <w:pPr>
        <w:pStyle w:val="Citation-AltC"/>
        <w:ind w:hanging="1166"/>
        <w:contextualSpacing w:val="0"/>
        <w:rPr>
          <w:lang w:val="fr-CA"/>
        </w:rPr>
      </w:pPr>
      <w:r w:rsidRPr="00345FEE">
        <w:rPr>
          <w:lang w:val="fr-CA"/>
        </w:rPr>
        <w:tab/>
      </w:r>
      <w:r w:rsidRPr="00345FEE">
        <w:rPr>
          <w:lang w:val="fr-CA"/>
        </w:rPr>
        <w:tab/>
      </w:r>
      <w:r w:rsidRPr="00345FEE">
        <w:rPr>
          <w:u w:val="single"/>
          <w:lang w:val="fr-CA"/>
        </w:rPr>
        <w:t>Les gens doivent pouvoir s’appuyer sur les conseils juridiques reçus dans l’exercice de leur droit constitutionnel à l’assistance d’un avocat.</w:t>
      </w:r>
      <w:r w:rsidRPr="00345FEE">
        <w:rPr>
          <w:lang w:val="fr-CA"/>
        </w:rPr>
        <w:t xml:space="preserve"> [Je souligne; par. 75</w:t>
      </w:r>
      <w:r w:rsidRPr="00345FEE">
        <w:rPr>
          <w:lang w:val="fr-CA"/>
        </w:rPr>
        <w:noBreakHyphen/>
        <w:t>77.]</w:t>
      </w:r>
    </w:p>
    <w:p w:rsidR="001A0BA2" w:rsidRPr="00345FEE" w:rsidRDefault="001A0BA2" w:rsidP="001A0BA2">
      <w:pPr>
        <w:pStyle w:val="ParaNoNdepar-AltN"/>
        <w:rPr>
          <w:rFonts w:cs="Times New Roman"/>
          <w:lang w:val="fr-CA"/>
        </w:rPr>
      </w:pPr>
      <w:r w:rsidRPr="00345FEE">
        <w:rPr>
          <w:rFonts w:cs="Times New Roman"/>
          <w:lang w:val="fr-CA"/>
        </w:rPr>
        <w:t xml:space="preserve">Si le juge de la peine voulait dire qu’il aurait condamné M. Suter à une peine de trois ans d’emprisonnement s’il avait été ivre, le texte qui suit le mot « [c]ependant » au début du par. 76 ne traiterait que de l’absence d’ivresse de M. Suter. Ce n’est pas le cas. Il y est plutôt question non seulement du fait que M. Suter n’était pas ivre, mais aussi, fait crucial, des mauvais conseils juridiques qu’il a reçus. De la même façon, le dernier paragraphe de la citation qui précède s’intéresse uniquement aux conséquences du fait de ne pas considérer que la culpabilité morale d’une personne est diminuée lorsque son avocat lui a conseillé de commettre une infraction, et ne fait aucune mention de l’absence d’état d’ébriété de M. Suter. Manifestement, le juge de la </w:t>
      </w:r>
      <w:r w:rsidRPr="00345FEE">
        <w:rPr>
          <w:rFonts w:cs="Times New Roman"/>
          <w:lang w:val="fr-CA"/>
        </w:rPr>
        <w:lastRenderedPageBreak/>
        <w:t>peine a considéré que le fait que M. Suter était sobre et les mauvais conseils juridiques qu’il a reçus agissaient ensemble de façon à réduire considérablement sa peine.</w:t>
      </w:r>
    </w:p>
    <w:p w:rsidR="001A0BA2" w:rsidRPr="00345FEE" w:rsidRDefault="001A0BA2" w:rsidP="001A0BA2">
      <w:pPr>
        <w:pStyle w:val="ParaNoNdepar-AltN"/>
        <w:rPr>
          <w:rFonts w:cs="Times New Roman"/>
          <w:lang w:val="fr-CA"/>
        </w:rPr>
      </w:pPr>
      <w:r w:rsidRPr="00345FEE">
        <w:rPr>
          <w:rFonts w:cs="Times New Roman"/>
          <w:lang w:val="fr-CA"/>
        </w:rPr>
        <w:t>Par conséquent, les « circonstances » visées au par. 75 doivent être d’autres circonstances qui ne sont pas mentionnées aux paragraphes suivants (par. 76</w:t>
      </w:r>
      <w:r w:rsidRPr="00345FEE">
        <w:rPr>
          <w:rFonts w:cs="Times New Roman"/>
          <w:lang w:val="fr-CA"/>
        </w:rPr>
        <w:noBreakHyphen/>
        <w:t>82), p. ex.</w:t>
      </w:r>
      <w:r w:rsidR="00883F43">
        <w:rPr>
          <w:rFonts w:cs="Times New Roman"/>
          <w:lang w:val="fr-CA"/>
        </w:rPr>
        <w:t>,</w:t>
      </w:r>
      <w:r w:rsidRPr="00345FEE">
        <w:rPr>
          <w:rFonts w:cs="Times New Roman"/>
          <w:lang w:val="fr-CA"/>
        </w:rPr>
        <w:t xml:space="preserve"> la mort d’un bambin. D’ailleurs, cela cadre bien avec le par. 78, où le juge de la peine ajoute des facteurs atténuants aux [</w:t>
      </w:r>
      <w:r w:rsidRPr="00345FEE">
        <w:rPr>
          <w:rFonts w:cs="Times New Roman"/>
          <w:smallCaps/>
          <w:lang w:val="fr-CA"/>
        </w:rPr>
        <w:t>traduction</w:t>
      </w:r>
      <w:r w:rsidRPr="00345FEE">
        <w:rPr>
          <w:rFonts w:cs="Times New Roman"/>
          <w:lang w:val="fr-CA"/>
        </w:rPr>
        <w:t>] « circonstances de l’événement », ce qui indique que les « circonstances » mentionnées aux par. 75 et 78 ne sont pas exhaustives et excluent certaines circonstances atténuantes en l’espèce.</w:t>
      </w:r>
    </w:p>
    <w:p w:rsidR="001A0BA2" w:rsidRPr="00345FEE" w:rsidRDefault="001A0BA2" w:rsidP="001A0BA2">
      <w:pPr>
        <w:pStyle w:val="ParaNoNdepar-AltN"/>
        <w:rPr>
          <w:rFonts w:cs="Times New Roman"/>
          <w:lang w:val="fr-CA"/>
        </w:rPr>
      </w:pPr>
      <w:r w:rsidRPr="00345FEE">
        <w:rPr>
          <w:rFonts w:cs="Times New Roman"/>
          <w:lang w:val="fr-CA"/>
        </w:rPr>
        <w:t>L’interprétation qui rattache la réduction de peine à la seule absence d’état d’ébriété a donc pour effet de dénaturer les motifs du juge de la peine. Ce serait plutôt les mauvais conseils juridiques — que le juge de la peine a considérés comme [</w:t>
      </w:r>
      <w:r w:rsidRPr="00345FEE">
        <w:rPr>
          <w:rFonts w:cs="Times New Roman"/>
          <w:smallCaps/>
          <w:lang w:val="fr-CA"/>
        </w:rPr>
        <w:t>traduction</w:t>
      </w:r>
      <w:r w:rsidRPr="00345FEE">
        <w:rPr>
          <w:rFonts w:cs="Times New Roman"/>
          <w:lang w:val="fr-CA"/>
        </w:rPr>
        <w:t>] « change[ant] de manière fondamentale la culpabilité morale de M. Suter » (par. 76) — qui ont contribué le plus à la réduction de la peine.</w:t>
      </w:r>
    </w:p>
    <w:p w:rsidR="001A0BA2" w:rsidRPr="00345FEE" w:rsidRDefault="001A0BA2" w:rsidP="001A0BA2">
      <w:pPr>
        <w:pStyle w:val="ParaNoNdepar-AltN"/>
        <w:rPr>
          <w:rFonts w:cs="Times New Roman"/>
          <w:lang w:val="fr-CA"/>
        </w:rPr>
      </w:pPr>
      <w:r w:rsidRPr="00345FEE">
        <w:rPr>
          <w:rFonts w:cs="Times New Roman"/>
          <w:lang w:val="fr-CA"/>
        </w:rPr>
        <w:t>Le contexte général des motifs considérés globalement renforce cette conclusion. Tout au long de ses motifs, le juge de la peine affirme clairement que c’est l’unique combinaison de facteurs atténuants qui a mené à une peine de quatre mois d’emprisonnement et qu’aucun de ces facteurs n’est déterminant. Il écrit ceci :</w:t>
      </w:r>
    </w:p>
    <w:p w:rsidR="001A0BA2" w:rsidRPr="00345FEE" w:rsidRDefault="001A0BA2" w:rsidP="001A0BA2">
      <w:pPr>
        <w:pStyle w:val="Citation-AltC"/>
        <w:spacing w:after="240"/>
        <w:ind w:hanging="1166"/>
        <w:contextualSpacing w:val="0"/>
        <w:rPr>
          <w:lang w:val="fr-CA"/>
        </w:rPr>
      </w:pPr>
      <w:r w:rsidRPr="00345FEE">
        <w:rPr>
          <w:lang w:val="fr-CA"/>
        </w:rPr>
        <w:tab/>
        <w:t>[</w:t>
      </w:r>
      <w:r w:rsidRPr="00345FEE">
        <w:rPr>
          <w:smallCaps/>
          <w:lang w:val="fr-CA"/>
        </w:rPr>
        <w:t>traduction</w:t>
      </w:r>
      <w:r w:rsidRPr="00345FEE">
        <w:rPr>
          <w:lang w:val="fr-CA"/>
        </w:rPr>
        <w:t xml:space="preserve">] La peine infligée doit être semblable à celles infligées à des délinquants pour des infractions semblables commises dans des circonstances semblables. L’application de ce principe en l’espèce constitue un défi particulier parce que cette infraction est nouvelle et que </w:t>
      </w:r>
      <w:r w:rsidRPr="00345FEE">
        <w:rPr>
          <w:u w:val="single"/>
          <w:lang w:val="fr-CA"/>
        </w:rPr>
        <w:t>la combinaison de facteurs est on ne peut plus unique</w:t>
      </w:r>
      <w:r w:rsidRPr="00345FEE">
        <w:rPr>
          <w:lang w:val="fr-CA"/>
        </w:rPr>
        <w:t>.</w:t>
      </w:r>
    </w:p>
    <w:p w:rsidR="001A0BA2" w:rsidRPr="00345FEE" w:rsidRDefault="00461622" w:rsidP="00461622">
      <w:pPr>
        <w:pStyle w:val="Citation-AltC"/>
        <w:spacing w:after="240"/>
        <w:ind w:firstLine="4"/>
        <w:contextualSpacing w:val="0"/>
        <w:jc w:val="center"/>
        <w:rPr>
          <w:lang w:val="fr-CA"/>
        </w:rPr>
      </w:pPr>
      <w:r>
        <w:rPr>
          <w:lang w:val="fr-CA"/>
        </w:rPr>
        <w:t>. . .</w:t>
      </w:r>
    </w:p>
    <w:p w:rsidR="001A0BA2" w:rsidRPr="00345FEE" w:rsidRDefault="001A0BA2" w:rsidP="001A0BA2">
      <w:pPr>
        <w:pStyle w:val="Citation-AltC"/>
        <w:spacing w:after="240"/>
        <w:ind w:hanging="1166"/>
        <w:contextualSpacing w:val="0"/>
        <w:rPr>
          <w:lang w:val="fr-CA"/>
        </w:rPr>
      </w:pPr>
      <w:r w:rsidRPr="00345FEE">
        <w:rPr>
          <w:lang w:val="fr-CA"/>
        </w:rPr>
        <w:lastRenderedPageBreak/>
        <w:tab/>
      </w:r>
      <w:r w:rsidRPr="00345FEE">
        <w:rPr>
          <w:lang w:val="fr-CA"/>
        </w:rPr>
        <w:tab/>
        <w:t xml:space="preserve">Il s’agit d’une infraction grave à tous égards. Cette gravité se traduit en partie par la peine maximale d’emprisonnement à perpétuité. D’autre part, </w:t>
      </w:r>
      <w:r w:rsidRPr="00345FEE">
        <w:rPr>
          <w:u w:val="single"/>
          <w:lang w:val="fr-CA"/>
        </w:rPr>
        <w:t>il y a de nombreux facteurs en l’espèce qui diminuent le degré de responsabilité de M. Suter</w:t>
      </w:r>
      <w:r w:rsidRPr="00345FEE">
        <w:rPr>
          <w:lang w:val="fr-CA"/>
        </w:rPr>
        <w:t xml:space="preserve"> par rapport à ce qui pourrait, avec le temps, devenir la fourchette de peines habituelle pour cette infraction. </w:t>
      </w:r>
      <w:r w:rsidRPr="00345FEE">
        <w:rPr>
          <w:u w:val="single"/>
          <w:lang w:val="fr-CA"/>
        </w:rPr>
        <w:t>Le moins que l’on puisse dire, c’est que l’ensemble des facteurs présents en l’espèce est très inhabituel. Ils forment une combinaison si improbable qu’elle pourrait bien être unique</w:t>
      </w:r>
      <w:r w:rsidRPr="003E3B17">
        <w:rPr>
          <w:u w:val="single"/>
          <w:lang w:val="fr-CA"/>
        </w:rPr>
        <w:t>.</w:t>
      </w:r>
    </w:p>
    <w:p w:rsidR="001A0BA2" w:rsidRPr="00345FEE" w:rsidRDefault="00461622" w:rsidP="00461622">
      <w:pPr>
        <w:pStyle w:val="Citation-AltC"/>
        <w:spacing w:after="240"/>
        <w:ind w:firstLine="4"/>
        <w:contextualSpacing w:val="0"/>
        <w:jc w:val="center"/>
        <w:rPr>
          <w:lang w:val="fr-CA"/>
        </w:rPr>
      </w:pPr>
      <w:r>
        <w:rPr>
          <w:lang w:val="fr-CA"/>
        </w:rPr>
        <w:t>. . .</w:t>
      </w:r>
    </w:p>
    <w:p w:rsidR="001A0BA2" w:rsidRPr="00345FEE" w:rsidRDefault="001A0BA2" w:rsidP="001A0BA2">
      <w:pPr>
        <w:pStyle w:val="Citation-AltC"/>
        <w:ind w:hanging="1166"/>
        <w:contextualSpacing w:val="0"/>
        <w:rPr>
          <w:lang w:val="fr-CA"/>
        </w:rPr>
      </w:pPr>
      <w:r w:rsidRPr="00345FEE">
        <w:rPr>
          <w:lang w:val="fr-CA"/>
        </w:rPr>
        <w:tab/>
      </w:r>
      <w:r w:rsidRPr="00345FEE">
        <w:rPr>
          <w:lang w:val="fr-CA"/>
        </w:rPr>
        <w:tab/>
      </w:r>
      <w:r w:rsidRPr="00345FEE">
        <w:rPr>
          <w:u w:val="single"/>
          <w:lang w:val="fr-CA"/>
        </w:rPr>
        <w:t>Les [huit] facteurs [atténuants énumérés]</w:t>
      </w:r>
      <w:r w:rsidRPr="00345FEE">
        <w:rPr>
          <w:lang w:val="fr-CA"/>
        </w:rPr>
        <w:t xml:space="preserve"> ont pour effet de réduire considérablement la peine par rapport à ce qui autrement aurait été indiqué. [Je souligne; par. 48, 74 et 82.]</w:t>
      </w:r>
    </w:p>
    <w:p w:rsidR="001A0BA2" w:rsidRPr="00345FEE" w:rsidRDefault="001A0BA2" w:rsidP="001A0BA2">
      <w:pPr>
        <w:pStyle w:val="ParaNoNdepar-AltN"/>
        <w:rPr>
          <w:rFonts w:cs="Times New Roman"/>
          <w:lang w:val="fr-CA"/>
        </w:rPr>
      </w:pPr>
      <w:r w:rsidRPr="00345FEE">
        <w:rPr>
          <w:rFonts w:cs="Times New Roman"/>
          <w:lang w:val="fr-CA"/>
        </w:rPr>
        <w:t>En conséquence, lus dans leur intégralité, les motifs contredisent la proposition suivant laquelle la seule absence d’état d’ébriété, et non l’unique combinaison de facteurs atténuants, a permis de réduire considérablement la peine infligée à M. Suter en l’espèce. Bien que la formulation qu’a employée le juge de la peine au par. 75 ([</w:t>
      </w:r>
      <w:r w:rsidRPr="00345FEE">
        <w:rPr>
          <w:rFonts w:cs="Times New Roman"/>
          <w:smallCaps/>
          <w:lang w:val="fr-CA"/>
        </w:rPr>
        <w:t>traduction</w:t>
      </w:r>
      <w:r w:rsidRPr="00345FEE">
        <w:rPr>
          <w:rFonts w:cs="Times New Roman"/>
          <w:lang w:val="fr-CA"/>
        </w:rPr>
        <w:t>] « dans les circonstances ») ne soit pas idéale, elle n’en est pas moins tout à fait compréhensible lorsqu’on la considère dans son contexte et avec un regard empreint, comme il se doit, de déférence.</w:t>
      </w:r>
    </w:p>
    <w:p w:rsidR="001A0BA2" w:rsidRPr="00345FEE" w:rsidRDefault="001A0BA2" w:rsidP="001A0BA2">
      <w:pPr>
        <w:pStyle w:val="ParaNoNdepar-AltN"/>
        <w:rPr>
          <w:rFonts w:cs="Times New Roman"/>
          <w:lang w:val="fr-CA"/>
        </w:rPr>
      </w:pPr>
      <w:r w:rsidRPr="00345FEE">
        <w:rPr>
          <w:rFonts w:cs="Times New Roman"/>
          <w:lang w:val="fr-CA"/>
        </w:rPr>
        <w:t>Cela dit, je souscris à la seconde interprétation (selon laquelle « [l]a preuve de l’absence d’affaiblissement des capacités — combinée à d’autres facteurs atténuants, notamment les mauvais conseils juridiques qu’a reçus M. Suter — [</w:t>
      </w:r>
      <w:r w:rsidRPr="00345FEE">
        <w:rPr>
          <w:rFonts w:cs="Times New Roman"/>
          <w:smallCaps/>
          <w:lang w:val="fr-CA"/>
        </w:rPr>
        <w:t>traduction</w:t>
      </w:r>
      <w:r w:rsidRPr="00345FEE">
        <w:rPr>
          <w:rFonts w:cs="Times New Roman"/>
          <w:lang w:val="fr-CA"/>
        </w:rPr>
        <w:t xml:space="preserve">] “a amené la cour à s’écarter de sa position initiale” » (motifs des juges majoritaires, par. 86)). Mais, à mon avis, cette autre interprétation ne justifie pas une intervention en appel. En effet, puisque le juge de la peine s’est penché sur l’effet combiné de l’absence d’état d’ébriété, des mauvais conseils juridiques, des actes de violence justicière et des nombreux autres facteurs atténuants en l’espèce — et qu’il a examiné ces éléments tous ensemble —, rien ne permet d’étayer l’opinion des juges </w:t>
      </w:r>
      <w:r w:rsidRPr="00345FEE">
        <w:rPr>
          <w:rFonts w:cs="Times New Roman"/>
          <w:lang w:val="fr-CA"/>
        </w:rPr>
        <w:lastRenderedPageBreak/>
        <w:t>majoritaires sur l’importance qu’il aurait isolément accordée à l’absence d’état d’ébriété ou sur le caractère déraisonnable de cette importance.</w:t>
      </w:r>
    </w:p>
    <w:p w:rsidR="001A0BA2" w:rsidRPr="00345FEE" w:rsidRDefault="001A0BA2" w:rsidP="001A0BA2">
      <w:pPr>
        <w:pStyle w:val="Title3LevelTitre3Niveau"/>
        <w:rPr>
          <w:rFonts w:cs="Times New Roman"/>
          <w:lang w:val="fr-CA"/>
        </w:rPr>
      </w:pPr>
      <w:r w:rsidRPr="00345FEE">
        <w:rPr>
          <w:rFonts w:cs="Times New Roman"/>
          <w:lang w:val="fr-CA"/>
        </w:rPr>
        <w:t>Conclusion sur le processus d’analyse erroné</w:t>
      </w:r>
    </w:p>
    <w:p w:rsidR="001A0BA2" w:rsidRPr="00345FEE" w:rsidRDefault="001A0BA2" w:rsidP="001A0BA2">
      <w:pPr>
        <w:pStyle w:val="ParaNoNdepar-AltN"/>
        <w:rPr>
          <w:rFonts w:cs="Times New Roman"/>
          <w:lang w:val="fr-CA"/>
        </w:rPr>
      </w:pPr>
      <w:r w:rsidRPr="00345FEE">
        <w:rPr>
          <w:rFonts w:cs="Times New Roman"/>
          <w:lang w:val="fr-CA"/>
        </w:rPr>
        <w:t>Compte tenu de ce qui précède, j’en conclus que le juge de la peine n’a commis aucune des erreurs de processus d’analyse relevées par les juges majoritaires. Il s’ensuit qu’à mon avis, la Cour ne peut modifier la peine initiale de M. Suter sur le fondement d’une erreur de principe (c.</w:t>
      </w:r>
      <w:r w:rsidRPr="00345FEE">
        <w:rPr>
          <w:rFonts w:cs="Times New Roman"/>
          <w:lang w:val="fr-CA"/>
        </w:rPr>
        <w:noBreakHyphen/>
        <w:t>à</w:t>
      </w:r>
      <w:r w:rsidRPr="00345FEE">
        <w:rPr>
          <w:rFonts w:cs="Times New Roman"/>
          <w:lang w:val="fr-CA"/>
        </w:rPr>
        <w:noBreakHyphen/>
        <w:t>d. la question de l’erreur de droit) ou d’une erreur consistant à soupeser de façon déraisonnable un facteur pertinent (c.</w:t>
      </w:r>
      <w:r w:rsidRPr="00345FEE">
        <w:rPr>
          <w:rFonts w:cs="Times New Roman"/>
          <w:lang w:val="fr-CA"/>
        </w:rPr>
        <w:noBreakHyphen/>
        <w:t>à</w:t>
      </w:r>
      <w:r w:rsidRPr="00345FEE">
        <w:rPr>
          <w:rFonts w:cs="Times New Roman"/>
          <w:lang w:val="fr-CA"/>
        </w:rPr>
        <w:noBreakHyphen/>
        <w:t>d. la question de l’absence d’état d’ébriété).</w:t>
      </w:r>
    </w:p>
    <w:p w:rsidR="001A0BA2" w:rsidRPr="00345FEE" w:rsidRDefault="001A0BA2" w:rsidP="001A0BA2">
      <w:pPr>
        <w:pStyle w:val="Title2LevelTitre2Niveau"/>
        <w:rPr>
          <w:rFonts w:cs="Times New Roman"/>
          <w:lang w:val="fr-CA"/>
        </w:rPr>
      </w:pPr>
      <w:r w:rsidRPr="00345FEE">
        <w:rPr>
          <w:rFonts w:cs="Times New Roman"/>
          <w:lang w:val="fr-CA"/>
        </w:rPr>
        <w:t>Résultat erroné : caractère manifestement non indiqué de la peine</w:t>
      </w:r>
    </w:p>
    <w:p w:rsidR="001A0BA2" w:rsidRPr="00345FEE" w:rsidRDefault="001A0BA2" w:rsidP="001A0BA2">
      <w:pPr>
        <w:pStyle w:val="ParaNoNdepar-AltN"/>
        <w:rPr>
          <w:rFonts w:cs="Times New Roman"/>
          <w:lang w:val="fr-CA"/>
        </w:rPr>
      </w:pPr>
      <w:r w:rsidRPr="00345FEE">
        <w:rPr>
          <w:rFonts w:cs="Times New Roman"/>
          <w:lang w:val="fr-CA"/>
        </w:rPr>
        <w:t>Il reste encore un motif possible d’intervention en l’espèce : le caractère manifestement non indiqué de la peine (</w:t>
      </w:r>
      <w:r w:rsidRPr="00345FEE">
        <w:rPr>
          <w:rFonts w:cs="Times New Roman"/>
          <w:i/>
          <w:lang w:val="fr-CA"/>
        </w:rPr>
        <w:t>Lacasse</w:t>
      </w:r>
      <w:r w:rsidRPr="00345FEE">
        <w:rPr>
          <w:rFonts w:cs="Times New Roman"/>
          <w:lang w:val="fr-CA"/>
        </w:rPr>
        <w:t>, par. 52). Même si un juge de première instance n’a commis aucune erreur dans le processus de détermination de la peine, une cour d’appel peut intervenir si l’issue est « manifestement non indiquée », notion qui a été clairement décrite par le juge Laskin en ces termes :</w:t>
      </w:r>
    </w:p>
    <w:p w:rsidR="001A0BA2" w:rsidRPr="00345FEE" w:rsidRDefault="001A0BA2" w:rsidP="001A0BA2">
      <w:pPr>
        <w:pStyle w:val="Citation-AltC"/>
        <w:spacing w:after="240"/>
        <w:ind w:hanging="1166"/>
        <w:contextualSpacing w:val="0"/>
        <w:rPr>
          <w:lang w:val="fr-CA"/>
        </w:rPr>
      </w:pPr>
      <w:r w:rsidRPr="00345FEE">
        <w:rPr>
          <w:lang w:val="fr-CA"/>
        </w:rPr>
        <w:tab/>
        <w:t>[</w:t>
      </w:r>
      <w:r w:rsidRPr="00345FEE">
        <w:rPr>
          <w:smallCaps/>
          <w:lang w:val="fr-CA"/>
        </w:rPr>
        <w:t>traduction</w:t>
      </w:r>
      <w:r w:rsidRPr="00345FEE">
        <w:rPr>
          <w:lang w:val="fr-CA"/>
        </w:rPr>
        <w:t>] La Cour suprême a employé diverses formulations pour exprimer cette idée : une cour d’appel ne peut intervenir que si la peine est « nettement déraisonnable » ou « manifestement déraisonnable », « nettement ou manifestement excessive », « nettement excessive ou inadéquate », « manifestement non indiquée » ou si elle montre un « écart marqué et important ». Peu importe la formulation, le résultat est le même : les cours d’appel doivent faire preuve de déférence à l’égard de la peine infligée par le juge de première instance, à moins que la peine ne s’écarte d’une fourchette acceptable.</w:t>
      </w:r>
    </w:p>
    <w:p w:rsidR="001A0BA2" w:rsidRPr="00345FEE" w:rsidRDefault="001A0BA2" w:rsidP="001A0BA2">
      <w:pPr>
        <w:pStyle w:val="Citation-AltC"/>
        <w:ind w:hanging="1166"/>
        <w:contextualSpacing w:val="0"/>
        <w:rPr>
          <w:lang w:val="fr-CA"/>
        </w:rPr>
      </w:pPr>
      <w:r w:rsidRPr="00345FEE">
        <w:rPr>
          <w:lang w:val="fr-CA"/>
        </w:rPr>
        <w:t>(</w:t>
      </w:r>
      <w:r w:rsidRPr="00345FEE">
        <w:rPr>
          <w:i/>
          <w:lang w:val="fr-CA"/>
        </w:rPr>
        <w:t>R. c. Rezaie</w:t>
      </w:r>
      <w:r w:rsidRPr="00345FEE">
        <w:rPr>
          <w:lang w:val="fr-CA"/>
        </w:rPr>
        <w:t xml:space="preserve"> (1996), 31 O.R. (3d) 713 (C.A.), p. 720)</w:t>
      </w:r>
    </w:p>
    <w:p w:rsidR="001A0BA2" w:rsidRPr="00345FEE" w:rsidRDefault="001A0BA2" w:rsidP="001A0BA2">
      <w:pPr>
        <w:pStyle w:val="ContinueParaSuitedupar-AltP"/>
        <w:rPr>
          <w:rFonts w:cs="Times New Roman"/>
          <w:lang w:val="fr-CA"/>
        </w:rPr>
      </w:pPr>
      <w:r w:rsidRPr="00345FEE">
        <w:rPr>
          <w:rFonts w:cs="Times New Roman"/>
          <w:lang w:val="fr-CA"/>
        </w:rPr>
        <w:lastRenderedPageBreak/>
        <w:t>Ce « seuil très élevé » (</w:t>
      </w:r>
      <w:r w:rsidRPr="00345FEE">
        <w:rPr>
          <w:rFonts w:cs="Times New Roman"/>
          <w:i/>
          <w:lang w:val="fr-CA"/>
        </w:rPr>
        <w:t>Lacasse</w:t>
      </w:r>
      <w:r w:rsidRPr="00345FEE">
        <w:rPr>
          <w:rFonts w:cs="Times New Roman"/>
          <w:lang w:val="fr-CA"/>
        </w:rPr>
        <w:t>, par. 52) n’est cependant pas atteint en l’espèce.</w:t>
      </w:r>
    </w:p>
    <w:p w:rsidR="001A0BA2" w:rsidRPr="00345FEE" w:rsidRDefault="001A0BA2" w:rsidP="001A0BA2">
      <w:pPr>
        <w:pStyle w:val="ParaNoNdepar-AltN"/>
        <w:rPr>
          <w:rFonts w:cs="Times New Roman"/>
          <w:lang w:val="fr-CA"/>
        </w:rPr>
      </w:pPr>
      <w:r w:rsidRPr="00345FEE">
        <w:rPr>
          <w:rFonts w:cs="Times New Roman"/>
          <w:lang w:val="fr-CA"/>
        </w:rPr>
        <w:t>Les juges de première instance jouissent d’une « grande discrétion » pour infliger la peine qui leur semble indiquée (</w:t>
      </w:r>
      <w:r w:rsidRPr="00345FEE">
        <w:rPr>
          <w:rFonts w:cs="Times New Roman"/>
          <w:i/>
          <w:lang w:val="fr-CA"/>
        </w:rPr>
        <w:t>Lacasse</w:t>
      </w:r>
      <w:r w:rsidRPr="00345FEE">
        <w:rPr>
          <w:rFonts w:cs="Times New Roman"/>
          <w:lang w:val="fr-CA"/>
        </w:rPr>
        <w:t xml:space="preserve">, par. 39). Toutefois, ce pouvoir discrétionnaire n’est pas absolu. Le </w:t>
      </w:r>
      <w:r w:rsidRPr="00345FEE">
        <w:rPr>
          <w:rFonts w:cs="Times New Roman"/>
          <w:i/>
          <w:lang w:val="fr-CA"/>
        </w:rPr>
        <w:t xml:space="preserve">Code criminel </w:t>
      </w:r>
      <w:r w:rsidRPr="00345FEE">
        <w:rPr>
          <w:rFonts w:cs="Times New Roman"/>
          <w:lang w:val="fr-CA"/>
        </w:rPr>
        <w:t>contient un ensemble de dispositions soigneusement rédigées qui trace les grandes lignes du cadre d’analyse applicable en matière de détermination de la peine. Ces dispositions ont été édictées à titre d’[</w:t>
      </w:r>
      <w:r w:rsidRPr="00345FEE">
        <w:rPr>
          <w:rFonts w:cs="Times New Roman"/>
          <w:smallCaps/>
          <w:lang w:val="fr-CA"/>
        </w:rPr>
        <w:t>traduction</w:t>
      </w:r>
      <w:r w:rsidRPr="00345FEE">
        <w:rPr>
          <w:rFonts w:cs="Times New Roman"/>
          <w:lang w:val="fr-CA"/>
        </w:rPr>
        <w:t xml:space="preserve">] « étape vers un processus de détermination de la peine plus normalisé, assurant l’uniformité de l’approche » (C. C. Ruby, G. J. Chan et N. R. Hasan, </w:t>
      </w:r>
      <w:r w:rsidRPr="00345FEE">
        <w:rPr>
          <w:rFonts w:cs="Times New Roman"/>
          <w:i/>
          <w:lang w:val="fr-CA"/>
        </w:rPr>
        <w:t>Sentencing</w:t>
      </w:r>
      <w:r w:rsidRPr="00345FEE">
        <w:rPr>
          <w:rFonts w:cs="Times New Roman"/>
          <w:lang w:val="fr-CA"/>
        </w:rPr>
        <w:t xml:space="preserve"> (8</w:t>
      </w:r>
      <w:r w:rsidRPr="00345FEE">
        <w:rPr>
          <w:rFonts w:cs="Times New Roman"/>
          <w:vertAlign w:val="superscript"/>
          <w:lang w:val="fr-CA"/>
        </w:rPr>
        <w:t>e</w:t>
      </w:r>
      <w:r w:rsidRPr="00345FEE">
        <w:rPr>
          <w:rFonts w:cs="Times New Roman"/>
          <w:lang w:val="fr-CA"/>
        </w:rPr>
        <w:t xml:space="preserve"> éd. 2012), § 1.59). Suivant cette approche, je me vois dans l’obligation de rétablir la peine de quatre mois d’emprisonnement infligée par le juge de la peine. J’aurais pour ma part soupesé la gravité de l’infraction autrement que ne l’a fait le juge de première instance, mais là n’est pas la question. Il suffit de retenir qu’en l’espèce, une peine de quatre mois n’est pas « nettement déraisonnable » ou « manifestement déraisonnable » (</w:t>
      </w:r>
      <w:r w:rsidRPr="00345FEE">
        <w:rPr>
          <w:rFonts w:cs="Times New Roman"/>
          <w:i/>
          <w:lang w:val="fr-CA"/>
        </w:rPr>
        <w:t>Lacasse</w:t>
      </w:r>
      <w:r w:rsidRPr="00345FEE">
        <w:rPr>
          <w:rFonts w:cs="Times New Roman"/>
          <w:lang w:val="fr-CA"/>
        </w:rPr>
        <w:t xml:space="preserve">, par. 52, citant </w:t>
      </w:r>
      <w:r w:rsidRPr="00345FEE">
        <w:rPr>
          <w:rFonts w:cs="Times New Roman"/>
          <w:i/>
          <w:lang w:val="fr-CA"/>
        </w:rPr>
        <w:t>Rezaie</w:t>
      </w:r>
      <w:r w:rsidRPr="00345FEE">
        <w:rPr>
          <w:rFonts w:cs="Times New Roman"/>
          <w:lang w:val="fr-CA"/>
        </w:rPr>
        <w:t>, p. 720).</w:t>
      </w:r>
    </w:p>
    <w:p w:rsidR="001A0BA2" w:rsidRPr="00345FEE" w:rsidRDefault="001A0BA2" w:rsidP="001A0BA2">
      <w:pPr>
        <w:pStyle w:val="Title3LevelTitre3Niveau"/>
        <w:rPr>
          <w:rFonts w:cs="Times New Roman"/>
          <w:lang w:val="fr-CA"/>
        </w:rPr>
      </w:pPr>
      <w:r w:rsidRPr="00345FEE">
        <w:rPr>
          <w:rFonts w:cs="Times New Roman"/>
          <w:lang w:val="fr-CA"/>
        </w:rPr>
        <w:t>La peine initiale infligée à M. Suter</w:t>
      </w:r>
    </w:p>
    <w:p w:rsidR="001A0BA2" w:rsidRPr="00345FEE" w:rsidRDefault="001A0BA2" w:rsidP="001A0BA2">
      <w:pPr>
        <w:pStyle w:val="ParaNoNdepar-AltN"/>
        <w:rPr>
          <w:rFonts w:cs="Times New Roman"/>
          <w:lang w:val="fr-CA"/>
        </w:rPr>
      </w:pPr>
      <w:r w:rsidRPr="00345FEE">
        <w:rPr>
          <w:rFonts w:cs="Times New Roman"/>
          <w:lang w:val="fr-CA"/>
        </w:rPr>
        <w:t xml:space="preserve">Tout d’abord, je souligne que la peine infligée à M. Suter en première instance ne se limitait pas à quatre mois d’emprisonnement. Elle comportait en outre </w:t>
      </w:r>
      <w:r w:rsidR="00461622">
        <w:rPr>
          <w:rFonts w:cs="Times New Roman"/>
          <w:lang w:val="fr-CA"/>
        </w:rPr>
        <w:t>(</w:t>
      </w:r>
      <w:r w:rsidRPr="00345FEE">
        <w:rPr>
          <w:rFonts w:cs="Times New Roman"/>
          <w:lang w:val="fr-CA"/>
        </w:rPr>
        <w:t>1) 5 jours de détention présentencielle</w:t>
      </w:r>
      <w:r w:rsidRPr="00461622">
        <w:rPr>
          <w:rStyle w:val="Hyperlink"/>
          <w:u w:val="none"/>
          <w:vertAlign w:val="superscript"/>
        </w:rPr>
        <w:footnoteReference w:id="5"/>
      </w:r>
      <w:r w:rsidRPr="00345FEE">
        <w:rPr>
          <w:rFonts w:cs="Times New Roman"/>
          <w:lang w:val="fr-CA"/>
        </w:rPr>
        <w:t xml:space="preserve">, </w:t>
      </w:r>
      <w:r w:rsidR="00461622">
        <w:rPr>
          <w:rFonts w:cs="Times New Roman"/>
          <w:lang w:val="fr-CA"/>
        </w:rPr>
        <w:t>(</w:t>
      </w:r>
      <w:r w:rsidRPr="00345FEE">
        <w:rPr>
          <w:rFonts w:cs="Times New Roman"/>
          <w:lang w:val="fr-CA"/>
        </w:rPr>
        <w:t xml:space="preserve">2) une suramende compensatoire de 200 $, </w:t>
      </w:r>
      <w:r w:rsidR="00461622">
        <w:rPr>
          <w:rFonts w:cs="Times New Roman"/>
          <w:lang w:val="fr-CA"/>
        </w:rPr>
        <w:t>(</w:t>
      </w:r>
      <w:r w:rsidRPr="00345FEE">
        <w:rPr>
          <w:rFonts w:cs="Times New Roman"/>
          <w:lang w:val="fr-CA"/>
        </w:rPr>
        <w:t xml:space="preserve">3) une interdiction de conduire de 30 mois commençant à sa sortie de prison, et 4) une </w:t>
      </w:r>
      <w:r w:rsidRPr="00345FEE">
        <w:rPr>
          <w:rFonts w:cs="Times New Roman"/>
          <w:lang w:val="fr-CA"/>
        </w:rPr>
        <w:lastRenderedPageBreak/>
        <w:t>suspension du droit de conduire antérieure à la déclaration de culpabilité, qui, combinée à l’interdiction de conduire, l’empêche de conduire un véhicule à moteur pendant 5 ans.</w:t>
      </w:r>
    </w:p>
    <w:p w:rsidR="001A0BA2" w:rsidRPr="00345FEE" w:rsidRDefault="001A0BA2" w:rsidP="001A0BA2">
      <w:pPr>
        <w:pStyle w:val="ParaNoNdepar-AltN"/>
        <w:rPr>
          <w:rFonts w:cs="Times New Roman"/>
          <w:lang w:val="fr-CA"/>
        </w:rPr>
      </w:pPr>
      <w:r w:rsidRPr="00345FEE">
        <w:rPr>
          <w:rFonts w:cs="Times New Roman"/>
          <w:lang w:val="fr-CA"/>
        </w:rPr>
        <w:t>Nous devons garder à l’esprit l’entièreté de cette peine lorsqu’il s’agit d’évaluer le caractère indiqué de la peine infligée à M. Suter.</w:t>
      </w:r>
    </w:p>
    <w:p w:rsidR="001A0BA2" w:rsidRPr="00345FEE" w:rsidRDefault="001A0BA2" w:rsidP="001A0BA2">
      <w:pPr>
        <w:pStyle w:val="Title3LevelTitre3Niveau"/>
        <w:rPr>
          <w:rFonts w:cs="Times New Roman"/>
          <w:lang w:val="fr-CA"/>
        </w:rPr>
      </w:pPr>
      <w:r w:rsidRPr="00345FEE">
        <w:rPr>
          <w:rFonts w:cs="Times New Roman"/>
          <w:lang w:val="fr-CA"/>
        </w:rPr>
        <w:t>L’approche des juges majoritaires</w:t>
      </w:r>
    </w:p>
    <w:p w:rsidR="001A0BA2" w:rsidRPr="00345FEE" w:rsidRDefault="001A0BA2" w:rsidP="001A0BA2">
      <w:pPr>
        <w:pStyle w:val="ParaNoNdepar-AltN"/>
        <w:rPr>
          <w:rFonts w:cs="Times New Roman"/>
          <w:lang w:val="fr-CA"/>
        </w:rPr>
      </w:pPr>
      <w:r w:rsidRPr="00345FEE">
        <w:rPr>
          <w:rFonts w:cs="Times New Roman"/>
          <w:lang w:val="fr-CA"/>
        </w:rPr>
        <w:t>J’estime que l’approche des juges majoritaires à l’égard de l’examen de la peine infligée à M. Suter est incomplète.</w:t>
      </w:r>
    </w:p>
    <w:p w:rsidR="001A0BA2" w:rsidRPr="00345FEE" w:rsidRDefault="001A0BA2" w:rsidP="001A0BA2">
      <w:pPr>
        <w:pStyle w:val="ParaNoNdepar-AltN"/>
        <w:rPr>
          <w:rFonts w:cs="Times New Roman"/>
          <w:lang w:val="fr-CA"/>
        </w:rPr>
      </w:pPr>
      <w:r w:rsidRPr="00345FEE">
        <w:rPr>
          <w:rFonts w:cs="Times New Roman"/>
          <w:lang w:val="fr-CA"/>
        </w:rPr>
        <w:t xml:space="preserve">Premièrement, l’approche des juges majoritaires en ce qui a trait au choix de la peine indiquée présente des lacunes. Ils soulignent que la fourchette de peines prévue en cas de conduite avec capacités affaiblies causant la mort va de 2 à 10 ans d’emprisonnement, mentionnent en passant le régime législatif régissant la détermination de la peine, soupèsent exactement les mêmes facteurs que ceux qu’a soupesés le juge de la peine (absence d’état d’ébriété, mauvais conseils juridiques et actes de violence justicière), affirment que la peine de 4 mois d’emprisonnement est « manifestement non indiquée » en donnant très peu d’explications (elle « ne tient pas dûment compte de la gravité de l’infraction » (par. 94)) et concluent qu’une peine pouvant aller jusqu’à 18 mois d’emprisonnement aurait constitué une peine indiquée dans les circonstances — en donnant, encore une fois, très peu d’explications (elle met en balance « les divers facteurs atténuants » et « la gravité » de l’infraction (par. 95)). Comme je l’explique, cette approche est loin de correspondre à l’analyse relative à la détermination de la peine que requiert le </w:t>
      </w:r>
      <w:r w:rsidRPr="00345FEE">
        <w:rPr>
          <w:rFonts w:cs="Times New Roman"/>
          <w:i/>
          <w:lang w:val="fr-CA"/>
        </w:rPr>
        <w:t>Code criminel</w:t>
      </w:r>
      <w:r w:rsidRPr="00345FEE">
        <w:rPr>
          <w:rFonts w:cs="Times New Roman"/>
          <w:lang w:val="fr-CA"/>
        </w:rPr>
        <w:t xml:space="preserve">. Les décisions de notre Cour devraient fournir aux cours d’appel des indications sur la manière d’apprécier </w:t>
      </w:r>
      <w:r w:rsidRPr="00345FEE">
        <w:rPr>
          <w:rFonts w:cs="Times New Roman"/>
          <w:lang w:val="fr-CA"/>
        </w:rPr>
        <w:lastRenderedPageBreak/>
        <w:t>rigoureusement le caractère indiqué de la peine. Comme le fait remarquer un commentateur, [</w:t>
      </w:r>
      <w:r w:rsidRPr="00345FEE">
        <w:rPr>
          <w:rFonts w:cs="Times New Roman"/>
          <w:smallCaps/>
          <w:lang w:val="fr-CA"/>
        </w:rPr>
        <w:t>traduction</w:t>
      </w:r>
      <w:r w:rsidRPr="00345FEE">
        <w:rPr>
          <w:rFonts w:cs="Times New Roman"/>
          <w:lang w:val="fr-CA"/>
        </w:rPr>
        <w:t xml:space="preserve">] « . . . une approche uniforme en matière de révision de la peine est nécessaire pour maintenir la confiance dans le système de justice. Sans fondement de principe permettant de déterminer quand intervenir en appel, une approche uniforme est impossible » (J. Foy, « Proportionality in Sentence Appeals: Towards a Guiding Principle of Appellate Review » (2018), 23 </w:t>
      </w:r>
      <w:r w:rsidR="00883F43">
        <w:rPr>
          <w:rFonts w:cs="Times New Roman"/>
          <w:i/>
          <w:lang w:val="fr-CA"/>
        </w:rPr>
        <w:t xml:space="preserve">Rev. can. D.P. </w:t>
      </w:r>
      <w:r w:rsidRPr="00345FEE">
        <w:rPr>
          <w:rFonts w:cs="Times New Roman"/>
          <w:lang w:val="fr-CA"/>
        </w:rPr>
        <w:t>77, p. 78). Malgré cela, les juges majoritaires ne citent aucune décision portant sur l’infliction, en vertu du par. 255(3.2), d’une peine dérogeant à la fourchette habituelle de peines applicable en vue d’étayer leurs affirmations sur le caractère indiqué de la peine dans les circonstances uniques de l’espèce.</w:t>
      </w:r>
    </w:p>
    <w:p w:rsidR="001A0BA2" w:rsidRPr="00345FEE" w:rsidRDefault="001A0BA2" w:rsidP="001A0BA2">
      <w:pPr>
        <w:pStyle w:val="ParaNoNdepar-AltN"/>
        <w:rPr>
          <w:rFonts w:cs="Times New Roman"/>
          <w:lang w:val="fr-CA"/>
        </w:rPr>
      </w:pPr>
      <w:r w:rsidRPr="00345FEE">
        <w:rPr>
          <w:rFonts w:cs="Times New Roman"/>
          <w:lang w:val="fr-CA"/>
        </w:rPr>
        <w:t>Deuxièmement, l’approche des juges majoritaires relativement à l’infliction d’une peine indiquée présente également des lacunes. Bien qu’ils aient signalé qu’il fallait infliger une peine pouvant aller jusqu’à 18 mois d’emprisonnement, les juges majoritaires en viennent en définitive à infliger à M. Suter une peine de 10 mois et demi, qui se compose de sa peine de détention de 4 mois qui est réputée avoir été purgée aux deux tiers (soit 80 jours) et de la période de détention additionnelle de 6 mois et demi qu’il a purgée avant sa libération sous caution</w:t>
      </w:r>
      <w:r w:rsidRPr="00461622">
        <w:rPr>
          <w:rStyle w:val="Hyperlink"/>
          <w:u w:val="none"/>
          <w:vertAlign w:val="superscript"/>
        </w:rPr>
        <w:footnoteReference w:id="6"/>
      </w:r>
      <w:r w:rsidRPr="00345FEE">
        <w:rPr>
          <w:rFonts w:cs="Times New Roman"/>
          <w:lang w:val="fr-CA"/>
        </w:rPr>
        <w:t>. Ils font cela parce que M. Suter a passé presque neuf mois à attendre la décision de notre Cour. Bien qu’il ne s’agisse pas d’une règle [</w:t>
      </w:r>
      <w:r w:rsidRPr="00345FEE">
        <w:rPr>
          <w:rFonts w:cs="Times New Roman"/>
          <w:smallCaps/>
          <w:lang w:val="fr-CA"/>
        </w:rPr>
        <w:t>traduction</w:t>
      </w:r>
      <w:r w:rsidRPr="00345FEE">
        <w:rPr>
          <w:rFonts w:cs="Times New Roman"/>
          <w:lang w:val="fr-CA"/>
        </w:rPr>
        <w:t>] « absolue », les tribunaux peuvent certainement tenir compte de l’intervalle de temps qui s’est écoulé entre le moment où la peine initiale a été prononcée ou purgée et celui où l’appel a été interjeté lors de l’établissement de la peine appropriée en ap</w:t>
      </w:r>
      <w:r w:rsidR="00883F43">
        <w:rPr>
          <w:rFonts w:cs="Times New Roman"/>
          <w:lang w:val="fr-CA"/>
        </w:rPr>
        <w:t xml:space="preserve">pel (Ruby, Chan et Hasan, §4.24 à </w:t>
      </w:r>
      <w:r w:rsidRPr="00345FEE">
        <w:rPr>
          <w:rFonts w:cs="Times New Roman"/>
          <w:lang w:val="fr-CA"/>
        </w:rPr>
        <w:t xml:space="preserve">4.29). </w:t>
      </w:r>
      <w:r w:rsidRPr="00345FEE">
        <w:rPr>
          <w:rFonts w:cs="Times New Roman"/>
          <w:lang w:val="fr-CA"/>
        </w:rPr>
        <w:lastRenderedPageBreak/>
        <w:t>Toutefois, dans un contexte comme celui en l’espèce — c.</w:t>
      </w:r>
      <w:r w:rsidRPr="00345FEE">
        <w:rPr>
          <w:rFonts w:cs="Times New Roman"/>
          <w:lang w:val="fr-CA"/>
        </w:rPr>
        <w:noBreakHyphen/>
        <w:t>à</w:t>
      </w:r>
      <w:r w:rsidRPr="00345FEE">
        <w:rPr>
          <w:rFonts w:cs="Times New Roman"/>
          <w:lang w:val="fr-CA"/>
        </w:rPr>
        <w:noBreakHyphen/>
        <w:t>d. [</w:t>
      </w:r>
      <w:r w:rsidRPr="00345FEE">
        <w:rPr>
          <w:rFonts w:cs="Times New Roman"/>
          <w:smallCaps/>
          <w:lang w:val="fr-CA"/>
        </w:rPr>
        <w:t>traduction</w:t>
      </w:r>
      <w:r w:rsidRPr="00345FEE">
        <w:rPr>
          <w:rFonts w:cs="Times New Roman"/>
          <w:lang w:val="fr-CA"/>
        </w:rPr>
        <w:t>] « lorsque d’autres appels sont interjetés devant les tribunaux supérieurs » —, cet intervalle de temps constituera généralement un facteur atténuant, et non un motif justifiant de surseoir à l’exécution de la peine, contrairement, par exemple, au temps pris par la Couronne pour interjeter appel, qui justifie davantage un tel sursis (</w:t>
      </w:r>
      <w:r w:rsidRPr="00345FEE">
        <w:rPr>
          <w:rFonts w:cs="Times New Roman"/>
          <w:i/>
          <w:lang w:val="fr-CA"/>
        </w:rPr>
        <w:t>ibid.</w:t>
      </w:r>
      <w:r w:rsidRPr="00345FEE">
        <w:rPr>
          <w:rFonts w:cs="Times New Roman"/>
          <w:lang w:val="fr-CA"/>
        </w:rPr>
        <w:t>, §4.28). Par conséquent, bien qu’il ne faille pas s’étonner que je sois favorable à la mise en liberté de M. Suter compte tenu de sa faible culpabilité morale, la décision des juges majoritaires de diminuer presque de moitié la peine de celui</w:t>
      </w:r>
      <w:r w:rsidRPr="00345FEE">
        <w:rPr>
          <w:rFonts w:cs="Times New Roman"/>
          <w:lang w:val="fr-CA"/>
        </w:rPr>
        <w:noBreakHyphen/>
        <w:t>ci me semble, soit dit tout en respect, artificielle. Ils préconisent une peine pouvant aller jusqu’à 18 mois afin de « décourager » et de « dénoncer » la conduite de M. Suter (par. 93), pour ensuite effectivement surseoir à l’exécution du reste de cette peine parce qu’elle « ne servirait [plus] à rien » (par. 103).</w:t>
      </w:r>
    </w:p>
    <w:p w:rsidR="001A0BA2" w:rsidRPr="00345FEE" w:rsidRDefault="001A0BA2" w:rsidP="001A0BA2">
      <w:pPr>
        <w:pStyle w:val="ParaNoNdepar-AltN"/>
        <w:rPr>
          <w:rFonts w:cs="Times New Roman"/>
          <w:lang w:val="fr-CA"/>
        </w:rPr>
      </w:pPr>
      <w:r w:rsidRPr="00345FEE">
        <w:rPr>
          <w:rFonts w:cs="Times New Roman"/>
          <w:lang w:val="fr-CA"/>
        </w:rPr>
        <w:t xml:space="preserve">Je ne vois qu’une explication à cette tension en apparence irréconciliable : les juges majoritaires souhaitent manifester leur opposition à la conduite avec capacités affaiblies en infligeant une peine sévère, mais hésitent à infliger cette peine à M. Suter parce qu’elle serait disproportionnée par rapport à sa situation. À mon avis, cette approche est erronée pour deux motifs. Premièrement, la dénonciation de l’infraction consistant à refuser de fournir un échantillon d’haleine n’est pas inconciliable avec la reconnaissance de l’existence de faits uniques ne faisant entrer en jeu ni le méfait direct (entrave à la justice) ni le méfait indirect (conduite avec capacités affaiblies) visés par l’infraction. Deuxièmement, cette approche, bien qu’elle renforce la proportionnalité de la peine infligée à M. Suter, compromet la proportionnalité des peines qui seront infligées à l’avenir, puisque les accusés qui se trouvent dans une situation inspirant tout autant la sympathie verront leur peine appréciée par rapport à la peine de référence de </w:t>
      </w:r>
      <w:r w:rsidRPr="00345FEE">
        <w:rPr>
          <w:rFonts w:cs="Times New Roman"/>
          <w:lang w:val="fr-CA"/>
        </w:rPr>
        <w:lastRenderedPageBreak/>
        <w:t>15 à 18 mois d’emprisonnement, que je considère excessive, adoptée par les juges majoritaires.</w:t>
      </w:r>
    </w:p>
    <w:p w:rsidR="001A0BA2" w:rsidRPr="00345FEE" w:rsidRDefault="001A0BA2" w:rsidP="001A0BA2">
      <w:pPr>
        <w:pStyle w:val="Title3LevelTitre3Niveau"/>
        <w:rPr>
          <w:rFonts w:cs="Times New Roman"/>
          <w:lang w:val="fr-CA"/>
        </w:rPr>
      </w:pPr>
      <w:r w:rsidRPr="00345FEE">
        <w:rPr>
          <w:rFonts w:cs="Times New Roman"/>
          <w:lang w:val="fr-CA"/>
        </w:rPr>
        <w:t>L’approche établie</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 xml:space="preserve">Soit dit en tout respect, dans les circonstances uniques de l’espèce, il m’est impossible de conclure qu’une peine de quatre mois d’emprisonnement est manifestement non indiquée suivant l’approche établie à l’égard des appels en matière de détermination de la peine. J’explique ma conclusion en traitant, dans un premier temps, du processus déférent que commandent les appels relatifs à la détermination de la peine et, dans un deuxième temps, des principes de détermination de la peine pertinents applicables en l’espèce. </w:t>
      </w:r>
    </w:p>
    <w:p w:rsidR="001A0BA2" w:rsidRPr="00345FEE" w:rsidRDefault="001A0BA2" w:rsidP="001A0BA2">
      <w:pPr>
        <w:pStyle w:val="Title4LevelTitre4Niveau"/>
        <w:rPr>
          <w:rFonts w:cs="Times New Roman"/>
          <w:lang w:val="fr-CA"/>
        </w:rPr>
      </w:pPr>
      <w:r w:rsidRPr="00345FEE">
        <w:rPr>
          <w:rFonts w:cs="Times New Roman"/>
          <w:lang w:val="fr-CA"/>
        </w:rPr>
        <w:t>La déférence en appel d’une peine</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La détermination de la peine est un processus « délicat » (</w:t>
      </w:r>
      <w:r w:rsidRPr="00345FEE">
        <w:rPr>
          <w:rFonts w:cs="Times New Roman"/>
          <w:i/>
          <w:lang w:val="fr-CA"/>
        </w:rPr>
        <w:t>Lacasse</w:t>
      </w:r>
      <w:r w:rsidRPr="00345FEE">
        <w:rPr>
          <w:rFonts w:cs="Times New Roman"/>
          <w:lang w:val="fr-CA"/>
        </w:rPr>
        <w:t>, par. 1) et « profondément subjectif » (</w:t>
      </w:r>
      <w:r w:rsidRPr="00345FEE">
        <w:rPr>
          <w:rFonts w:cs="Times New Roman"/>
          <w:i/>
          <w:lang w:val="fr-CA"/>
        </w:rPr>
        <w:t>ibid.</w:t>
      </w:r>
      <w:r w:rsidRPr="00345FEE">
        <w:rPr>
          <w:rFonts w:cs="Times New Roman"/>
          <w:lang w:val="fr-CA"/>
        </w:rPr>
        <w:t xml:space="preserve">, par. 40, citant </w:t>
      </w:r>
      <w:r w:rsidRPr="00345FEE">
        <w:rPr>
          <w:rFonts w:cs="Times New Roman"/>
          <w:i/>
          <w:lang w:val="fr-CA"/>
        </w:rPr>
        <w:t>R. c. Shropshire</w:t>
      </w:r>
      <w:r w:rsidRPr="00345FEE">
        <w:rPr>
          <w:rFonts w:cs="Times New Roman"/>
          <w:lang w:val="fr-CA"/>
        </w:rPr>
        <w:t>, [1995] 4 R.C.S. 227, par. 46). Pour cette raison, on accorde « une grande latitude au[x] juge[s] qui prononce[nt] la peine », car, à la différence des cours d’appel, ceux</w:t>
      </w:r>
      <w:r w:rsidRPr="00345FEE">
        <w:rPr>
          <w:rFonts w:cs="Times New Roman"/>
          <w:lang w:val="fr-CA"/>
        </w:rPr>
        <w:noBreakHyphen/>
        <w:t>ci ont l’avantage d’entendre et de voir les témoins, d’entendre les observations formulées par les parties lors de la détermination de la peine et de bien connaître les circonstances qui existent dans les districts où ils siègent (</w:t>
      </w:r>
      <w:r w:rsidRPr="00345FEE">
        <w:rPr>
          <w:rFonts w:cs="Times New Roman"/>
          <w:i/>
          <w:lang w:val="fr-CA"/>
        </w:rPr>
        <w:t>Lacasse</w:t>
      </w:r>
      <w:r w:rsidRPr="00345FEE">
        <w:rPr>
          <w:rFonts w:cs="Times New Roman"/>
          <w:lang w:val="fr-CA"/>
        </w:rPr>
        <w:t>, par. 11 et 48). Les juges de la peine sont donc « les mieux placé[s] pour [déterminer] la peine qui est juste et appropriée » (</w:t>
      </w:r>
      <w:r w:rsidRPr="00345FEE">
        <w:rPr>
          <w:rFonts w:cs="Times New Roman"/>
          <w:i/>
          <w:lang w:val="fr-CA"/>
        </w:rPr>
        <w:t>ibid.</w:t>
      </w:r>
      <w:r w:rsidRPr="00345FEE">
        <w:rPr>
          <w:rFonts w:cs="Times New Roman"/>
          <w:lang w:val="fr-CA"/>
        </w:rPr>
        <w:t>, par. 102). C’est la raison pour laquelle le législateur fédéral confère un « pouvoir discrétionnaire » aux juges de première instance appelés à naviguer parmi « différents degrés ou genres de peines à l’égard d’une infraction » (</w:t>
      </w:r>
      <w:r w:rsidRPr="00345FEE">
        <w:rPr>
          <w:rFonts w:cs="Times New Roman"/>
          <w:i/>
          <w:lang w:val="fr-CA"/>
        </w:rPr>
        <w:t>Code criminel</w:t>
      </w:r>
      <w:r w:rsidRPr="00345FEE">
        <w:rPr>
          <w:rFonts w:cs="Times New Roman"/>
          <w:lang w:val="fr-CA"/>
        </w:rPr>
        <w:t>, par. 718.3(1)).</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lastRenderedPageBreak/>
        <w:t>La présente affaire ne fait pas exception. Son extrême complexité ne fait que renforcer l’obligation de faire preuve de déférence. Pour reprendre les propos du juge de la peine :</w:t>
      </w:r>
    </w:p>
    <w:p w:rsidR="001A0BA2" w:rsidRPr="00345FEE" w:rsidRDefault="001A0BA2" w:rsidP="001A0BA2">
      <w:pPr>
        <w:pStyle w:val="Citation-AltC"/>
        <w:ind w:left="1168" w:hanging="1168"/>
        <w:contextualSpacing w:val="0"/>
        <w:rPr>
          <w:lang w:val="fr-CA"/>
        </w:rPr>
      </w:pPr>
      <w:r w:rsidRPr="00345FEE">
        <w:rPr>
          <w:lang w:val="fr-CA"/>
        </w:rPr>
        <w:tab/>
      </w:r>
      <w:r w:rsidRPr="00345FEE">
        <w:rPr>
          <w:lang w:val="fr-CA"/>
        </w:rPr>
        <w:tab/>
        <w:t>[</w:t>
      </w:r>
      <w:r w:rsidRPr="00345FEE">
        <w:rPr>
          <w:smallCaps/>
          <w:lang w:val="fr-CA"/>
        </w:rPr>
        <w:t>traduction</w:t>
      </w:r>
      <w:r w:rsidRPr="00345FEE">
        <w:rPr>
          <w:lang w:val="fr-CA"/>
        </w:rPr>
        <w:t>] La présente affaire est unique à plusieurs égards. La quantité d’éléments de preuve et d’observations présentés lors de la détermination de la peine en l’espèce est exceptionnelle. Il est rare que la procédure de détermination de la peine excède une journée, surtout lorsqu’elle fait suite à un plaidoyer de culpabilité et à un exposé conjoint des faits. Dans la présente affaire, la présentation de la preuve et des arguments a duré une semaine. En plus de recevoir un long exposé conjoint des faits accompagné de pièces, dont la transcription de l’enquête préliminaire, la cour a visionné un enregistrement vidéo, reçu des rapports d’experts, entendu des dépositions d’experts ainsi que celle de M. Suter et d’autres témoins, et, au cours de l’une de ces journées, elle a entendu les déclarations passionnées et éloquentes d’environ 25 personnes affectées par la tragédie. Cinq recueils de sources ont été présentés à la cour en plus des observations écrites et des plaidoiries étoffées. La liste des sources examinées figure à l’annexe A. Bien qu’une seule d’entre elles soit expressément mentionnée dans le présent jugement, elles ont toutes été examinées et intégrées dans le raisonnement de la cour. [par. 6]</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Comme les juges de première instance sont les « experts » en ce qui touche le caractère indiqué de la peine — tant dans les faits que de par la mission que leur a confiée le législateur —, le seul fait qu’ils s’écartent de la fourchette de peines établie par la jurisprudence ne justifie pas l’intervention d’une cour d’appel (</w:t>
      </w:r>
      <w:r w:rsidRPr="00345FEE">
        <w:rPr>
          <w:rFonts w:cs="Times New Roman"/>
          <w:i/>
          <w:lang w:val="fr-CA"/>
        </w:rPr>
        <w:t>Lacasse</w:t>
      </w:r>
      <w:r w:rsidRPr="00345FEE">
        <w:rPr>
          <w:rFonts w:cs="Times New Roman"/>
          <w:lang w:val="fr-CA"/>
        </w:rPr>
        <w:t>, par. 11). Au contraire, en supposant qu’aucune erreur de raisonnement n’a été commise, la peine finalement imposée ne justifie à elle seule l’intervention d’une cour d’appel que lorsqu’elle est « manifestement non indiquée » (</w:t>
      </w:r>
      <w:r w:rsidRPr="00345FEE">
        <w:rPr>
          <w:rFonts w:cs="Times New Roman"/>
          <w:i/>
          <w:lang w:val="fr-CA"/>
        </w:rPr>
        <w:t>ibid.</w:t>
      </w:r>
      <w:r w:rsidRPr="00345FEE">
        <w:rPr>
          <w:rFonts w:cs="Times New Roman"/>
          <w:lang w:val="fr-CA"/>
        </w:rPr>
        <w:t>). Cela reflète le principe selon lequel les cours d’appel doivent faire preuve de « beaucoup de retenue » à l’égard des peines infligées en première instance (</w:t>
      </w:r>
      <w:r w:rsidRPr="00345FEE">
        <w:rPr>
          <w:rFonts w:cs="Times New Roman"/>
          <w:i/>
          <w:lang w:val="fr-CA"/>
        </w:rPr>
        <w:t>ibid.</w:t>
      </w:r>
      <w:r w:rsidRPr="00345FEE">
        <w:rPr>
          <w:rFonts w:cs="Times New Roman"/>
          <w:lang w:val="fr-CA"/>
        </w:rPr>
        <w:t xml:space="preserve">, par. 41, citant </w:t>
      </w:r>
      <w:r w:rsidRPr="00345FEE">
        <w:rPr>
          <w:rFonts w:cs="Times New Roman"/>
          <w:i/>
          <w:lang w:val="fr-CA"/>
        </w:rPr>
        <w:t>R. c. Proulx</w:t>
      </w:r>
      <w:r w:rsidRPr="00345FEE">
        <w:rPr>
          <w:rFonts w:cs="Times New Roman"/>
          <w:lang w:val="fr-CA"/>
        </w:rPr>
        <w:t>, 2000 CSC 5, [2000] 1 R.C.S. 61, par. 123).</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lastRenderedPageBreak/>
        <w:t>Une approche déférente à l’égard des appels en matière de détermination de la peine respecte les rôles institutionnels distincts que jouent les cours de première instance et les cours d’appel. Chacune de ces juridictions exerce ses fonctions à l’intérieur de son champ d’expertise. Les juges de première instance — qui voient un volume plus élevé d’affaires de toute sorte et qui ont l’occasion de s’imprégner des faits uniques (ou courants) des nombreux dossiers dont sont saisis les tribunaux — développent une expertise dans le processus complexe de mise en balance que commande la détermination de la peine (</w:t>
      </w:r>
      <w:r w:rsidRPr="00345FEE">
        <w:rPr>
          <w:rFonts w:cs="Times New Roman"/>
          <w:i/>
          <w:lang w:val="fr-CA"/>
        </w:rPr>
        <w:t>Lacasse</w:t>
      </w:r>
      <w:r w:rsidRPr="00345FEE">
        <w:rPr>
          <w:rFonts w:cs="Times New Roman"/>
          <w:lang w:val="fr-CA"/>
        </w:rPr>
        <w:t>, par. 48</w:t>
      </w:r>
      <w:r w:rsidRPr="00345FEE">
        <w:rPr>
          <w:rFonts w:cs="Times New Roman"/>
          <w:lang w:val="fr-CA"/>
        </w:rPr>
        <w:noBreakHyphen/>
        <w:t>49). Pour leur part, les cours d’appel — qui examinent de façon minutieuse un nombre relativement moins élevé de dossiers, et qui le font surtout sur le plan des principes juridiques — développent une expertise en matière de contrôle judiciaire des décisions en vue de corriger les erreurs commises (</w:t>
      </w:r>
      <w:r w:rsidRPr="00345FEE">
        <w:rPr>
          <w:rFonts w:cs="Times New Roman"/>
          <w:i/>
          <w:lang w:val="fr-CA"/>
        </w:rPr>
        <w:t>ibid.</w:t>
      </w:r>
      <w:r w:rsidRPr="00345FEE">
        <w:rPr>
          <w:rFonts w:cs="Times New Roman"/>
          <w:lang w:val="fr-CA"/>
        </w:rPr>
        <w:t xml:space="preserve">, par. 11). Comme le juge Doherty l’a fait remarquer dans </w:t>
      </w:r>
      <w:r w:rsidRPr="00345FEE">
        <w:rPr>
          <w:rFonts w:cs="Times New Roman"/>
          <w:i/>
          <w:lang w:val="fr-CA"/>
        </w:rPr>
        <w:t>R. c. Ramage</w:t>
      </w:r>
      <w:r w:rsidRPr="00345FEE">
        <w:rPr>
          <w:rFonts w:cs="Times New Roman"/>
          <w:lang w:val="fr-CA"/>
        </w:rPr>
        <w:t>, 2010</w:t>
      </w:r>
      <w:r w:rsidR="000B0C6D">
        <w:rPr>
          <w:rFonts w:cs="Times New Roman"/>
          <w:lang w:val="fr-CA"/>
        </w:rPr>
        <w:t xml:space="preserve"> ONCA 488, 257 C.C.C. (3d) 261, par. 70</w:t>
      </w:r>
      <w:r w:rsidRPr="00345FEE">
        <w:rPr>
          <w:rFonts w:cs="Times New Roman"/>
          <w:lang w:val="fr-CA"/>
        </w:rPr>
        <w:t> :</w:t>
      </w:r>
    </w:p>
    <w:p w:rsidR="001A0BA2" w:rsidRPr="00345FEE" w:rsidRDefault="001A0BA2" w:rsidP="001A0BA2">
      <w:pPr>
        <w:pStyle w:val="Citation-AltC"/>
        <w:ind w:left="1168" w:hanging="1168"/>
        <w:contextualSpacing w:val="0"/>
        <w:rPr>
          <w:lang w:val="fr-CA"/>
        </w:rPr>
      </w:pPr>
      <w:r w:rsidRPr="00345FEE">
        <w:rPr>
          <w:lang w:val="fr-CA"/>
        </w:rPr>
        <w:tab/>
        <w:t>[</w:t>
      </w:r>
      <w:r w:rsidRPr="00345FEE">
        <w:rPr>
          <w:smallCaps/>
          <w:lang w:val="fr-CA"/>
        </w:rPr>
        <w:t>traduction</w:t>
      </w:r>
      <w:r w:rsidRPr="00345FEE">
        <w:rPr>
          <w:lang w:val="fr-CA"/>
        </w:rPr>
        <w:t>] Constitue une utilisation abusive des ressources judiciaires le fait pour une cour d’appel de répéter l’exercice d’appréciation discrétionnaire déjà effectué par le juge de première instance, en l’absence de raison de croire que ce second effort donnera de meilleurs résultats que le premier. En outre, cette intervention retarde l’issue définitive du processus criminel engagé, sans avantage corrélatif pour celui</w:t>
      </w:r>
      <w:r w:rsidRPr="00345FEE">
        <w:rPr>
          <w:lang w:val="fr-CA"/>
        </w:rPr>
        <w:noBreakHyphen/>
        <w:t>ci.</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Compte tenu de ce qui précède, notre Cour a régulièrement rappelé qu’il faut prendre garde de modifier sans retenue les décisions relatives à la peine sous prétexte qu’une peine est manifestement non indiquée. Notre Cour a ainsi souligné qu’une telle intervention ne peut se faire « à la légère » (</w:t>
      </w:r>
      <w:r w:rsidRPr="00345FEE">
        <w:rPr>
          <w:rFonts w:cs="Times New Roman"/>
          <w:i/>
          <w:lang w:val="fr-CA"/>
        </w:rPr>
        <w:t>Lacasse</w:t>
      </w:r>
      <w:r w:rsidRPr="00345FEE">
        <w:rPr>
          <w:rFonts w:cs="Times New Roman"/>
          <w:lang w:val="fr-CA"/>
        </w:rPr>
        <w:t>, par. 39), qu’elle ne saurait avoir lieu simplement parce qu’une cour d’appel « estime qu’une ordonnance différente aurait dû être rendue » (</w:t>
      </w:r>
      <w:r w:rsidRPr="00345FEE">
        <w:rPr>
          <w:rFonts w:cs="Times New Roman"/>
          <w:i/>
          <w:lang w:val="fr-CA"/>
        </w:rPr>
        <w:t>Shropshire</w:t>
      </w:r>
      <w:r w:rsidRPr="00345FEE">
        <w:rPr>
          <w:rFonts w:cs="Times New Roman"/>
          <w:lang w:val="fr-CA"/>
        </w:rPr>
        <w:t>, par. 46) ou « rem[et] en question » la décision du juge de la peine (</w:t>
      </w:r>
      <w:r w:rsidRPr="00345FEE">
        <w:rPr>
          <w:rFonts w:cs="Times New Roman"/>
          <w:i/>
          <w:lang w:val="fr-CA"/>
        </w:rPr>
        <w:t>Proulx</w:t>
      </w:r>
      <w:r w:rsidRPr="00345FEE">
        <w:rPr>
          <w:rFonts w:cs="Times New Roman"/>
          <w:lang w:val="fr-CA"/>
        </w:rPr>
        <w:t xml:space="preserve">, par. 125), et que les cours d’appel ne peuvent </w:t>
      </w:r>
      <w:r w:rsidRPr="00345FEE">
        <w:rPr>
          <w:rFonts w:cs="Times New Roman"/>
          <w:lang w:val="fr-CA"/>
        </w:rPr>
        <w:lastRenderedPageBreak/>
        <w:t>intervenir que lorsqu’une peine est « nettement déraisonnable » (</w:t>
      </w:r>
      <w:r w:rsidRPr="00345FEE">
        <w:rPr>
          <w:rFonts w:cs="Times New Roman"/>
          <w:i/>
          <w:lang w:val="fr-CA"/>
        </w:rPr>
        <w:t>R. c. L.M.</w:t>
      </w:r>
      <w:r w:rsidRPr="00345FEE">
        <w:rPr>
          <w:rFonts w:cs="Times New Roman"/>
          <w:lang w:val="fr-CA"/>
        </w:rPr>
        <w:t>, 2008 CSC 31, [2008] 2 R.C.S. 163, par. 35).</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 xml:space="preserve">L’examen du caractère manifestement non indiqué d’une peine n’est donc pas un examen subjectif sans restriction. Autrement dit, une cour d’appel ne peut simplement déclarer qu’une peine est manifestement non indiquée sans fournir d’explication valable. Elle doit plutôt démontrer ce caractère non indiqué en s’appuyant sur les principes de détermination de la peine du </w:t>
      </w:r>
      <w:r w:rsidRPr="00345FEE">
        <w:rPr>
          <w:rFonts w:cs="Times New Roman"/>
          <w:i/>
          <w:lang w:val="fr-CA"/>
        </w:rPr>
        <w:t>Code criminel</w:t>
      </w:r>
      <w:r w:rsidRPr="00345FEE">
        <w:rPr>
          <w:rFonts w:cs="Times New Roman"/>
          <w:lang w:val="fr-CA"/>
        </w:rPr>
        <w:t>, dont le principe de la proportionnalité (art. 718.1), les objectifs de détermination de la peine (art. 718) ainsi que les principes d’individualisation (al. 718.2a)) et de parité (ou d’harmonisation) (al. 718.2b)). D’ailleurs, comme</w:t>
      </w:r>
      <w:r>
        <w:rPr>
          <w:rFonts w:cs="Times New Roman"/>
          <w:lang w:val="fr-CA"/>
        </w:rPr>
        <w:t xml:space="preserve"> </w:t>
      </w:r>
      <w:r w:rsidRPr="00345FEE">
        <w:rPr>
          <w:rFonts w:cs="Times New Roman"/>
          <w:lang w:val="fr-CA"/>
        </w:rPr>
        <w:t xml:space="preserve">notre Cour l’a souligné dans </w:t>
      </w:r>
      <w:r w:rsidRPr="00345FEE">
        <w:rPr>
          <w:rFonts w:cs="Times New Roman"/>
          <w:i/>
          <w:lang w:val="fr-CA"/>
        </w:rPr>
        <w:t>Lacasse</w:t>
      </w:r>
      <w:r w:rsidRPr="00345FEE">
        <w:rPr>
          <w:rFonts w:cs="Times New Roman"/>
          <w:lang w:val="fr-CA"/>
        </w:rPr>
        <w:t xml:space="preserve">, « [l]’individualisation et l’harmonisation de la peine doivent être conciliées pour qu’il en résulte une peine proportionnelle » (par. 53). </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Je vais maintenant examiner ces concepts.</w:t>
      </w:r>
    </w:p>
    <w:p w:rsidR="001A0BA2" w:rsidRPr="00345FEE" w:rsidRDefault="001A0BA2" w:rsidP="001A0BA2">
      <w:pPr>
        <w:pStyle w:val="Title4LevelTitre4Niveau"/>
        <w:rPr>
          <w:rFonts w:cs="Times New Roman"/>
          <w:lang w:val="fr-CA"/>
        </w:rPr>
      </w:pPr>
      <w:r w:rsidRPr="00345FEE">
        <w:rPr>
          <w:rFonts w:cs="Times New Roman"/>
          <w:lang w:val="fr-CA"/>
        </w:rPr>
        <w:t>Les principes de détermination de la peine</w:t>
      </w:r>
    </w:p>
    <w:p w:rsidR="001A0BA2" w:rsidRPr="00345FEE" w:rsidRDefault="001A0BA2" w:rsidP="001A0BA2">
      <w:pPr>
        <w:pStyle w:val="Title5LevelTitre5Niveau"/>
        <w:rPr>
          <w:rFonts w:cs="Times New Roman"/>
          <w:lang w:val="fr-CA"/>
        </w:rPr>
      </w:pPr>
      <w:r w:rsidRPr="00345FEE">
        <w:rPr>
          <w:rFonts w:cs="Times New Roman"/>
          <w:lang w:val="fr-CA"/>
        </w:rPr>
        <w:t>Proportionnalité (art. 718.1)</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Une peine indiquée « est proportionnelle à la gravité de l’infraction et au degré de responsabilité du délinquant » (</w:t>
      </w:r>
      <w:r w:rsidRPr="00345FEE">
        <w:rPr>
          <w:rFonts w:cs="Times New Roman"/>
          <w:i/>
          <w:lang w:val="fr-CA"/>
        </w:rPr>
        <w:t>Code criminel</w:t>
      </w:r>
      <w:r w:rsidRPr="00345FEE">
        <w:rPr>
          <w:rFonts w:cs="Times New Roman"/>
          <w:lang w:val="fr-CA"/>
        </w:rPr>
        <w:t>, art. 718.1). En d’autres termes, la peine finalement infligée doit correspondre au degré de « gravité de l’infraction » (c.</w:t>
      </w:r>
      <w:r w:rsidRPr="00345FEE">
        <w:rPr>
          <w:rFonts w:cs="Times New Roman"/>
          <w:lang w:val="fr-CA"/>
        </w:rPr>
        <w:noBreakHyphen/>
        <w:t>à</w:t>
      </w:r>
      <w:r w:rsidRPr="00345FEE">
        <w:rPr>
          <w:rFonts w:cs="Times New Roman"/>
          <w:lang w:val="fr-CA"/>
        </w:rPr>
        <w:noBreakHyphen/>
        <w:t>d. à quel point l’infraction est grave) et au degré de « responsabilité du délinquant » (c.</w:t>
      </w:r>
      <w:r w:rsidRPr="00345FEE">
        <w:rPr>
          <w:rFonts w:cs="Times New Roman"/>
          <w:lang w:val="fr-CA"/>
        </w:rPr>
        <w:noBreakHyphen/>
        <w:t>à</w:t>
      </w:r>
      <w:r w:rsidRPr="00345FEE">
        <w:rPr>
          <w:rFonts w:cs="Times New Roman"/>
          <w:lang w:val="fr-CA"/>
        </w:rPr>
        <w:noBreakHyphen/>
        <w:t>d. sa culpabilité morale) (</w:t>
      </w:r>
      <w:r w:rsidRPr="00345FEE">
        <w:rPr>
          <w:rFonts w:cs="Times New Roman"/>
          <w:i/>
          <w:lang w:val="fr-CA"/>
        </w:rPr>
        <w:t>Lacasse</w:t>
      </w:r>
      <w:r w:rsidRPr="00345FEE">
        <w:rPr>
          <w:rFonts w:cs="Times New Roman"/>
          <w:lang w:val="fr-CA"/>
        </w:rPr>
        <w:t>, par. 12).</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lastRenderedPageBreak/>
        <w:t>La présente affaire est difficile justement parce que ces deux facteurs pointent dans des directions opposées. L’infraction — refuser de fournir un échantillon d’haleine après un accident de voiture mortel — est très grave. En fait, c’est en raison de la gravité de l’infraction que le juge de la peine a voulu infliger une peine de prison. Toutefois, la culpabilité morale de M. Suter — en tant que conducteur sobre impliqué dans un véritable « accident » de voiture (soit un accident causé par une [</w:t>
      </w:r>
      <w:r w:rsidRPr="00345FEE">
        <w:rPr>
          <w:rFonts w:cs="Times New Roman"/>
          <w:smallCaps/>
          <w:lang w:val="fr-CA"/>
        </w:rPr>
        <w:t>traduction</w:t>
      </w:r>
      <w:r w:rsidRPr="00345FEE">
        <w:rPr>
          <w:rFonts w:cs="Times New Roman"/>
          <w:lang w:val="fr-CA"/>
        </w:rPr>
        <w:t>] « erreur de conduite commise par une personne dont les facultés n’étaient pas affaiblies » (décision relative à la peine, par. 76)) et qui a refusé de fournir un échantillon d’haleine uniquement parce que son avocat lui a expressément conseillé de le faire — pourrait difficilement être plus faible. Les tensions inévitables qu’engendre la mise en balance de ces considérations contradictoires sous</w:t>
      </w:r>
      <w:r w:rsidRPr="00345FEE">
        <w:rPr>
          <w:rFonts w:cs="Times New Roman"/>
          <w:lang w:val="fr-CA"/>
        </w:rPr>
        <w:noBreakHyphen/>
        <w:t>tendent la tâche particulièrement « délicate » consistant à s’assurer de la proportionnalité (</w:t>
      </w:r>
      <w:r w:rsidRPr="00345FEE">
        <w:rPr>
          <w:rFonts w:cs="Times New Roman"/>
          <w:i/>
          <w:lang w:val="fr-CA"/>
        </w:rPr>
        <w:t>Lacasse</w:t>
      </w:r>
      <w:r w:rsidRPr="00345FEE">
        <w:rPr>
          <w:rFonts w:cs="Times New Roman"/>
          <w:lang w:val="fr-CA"/>
        </w:rPr>
        <w:t>, par. 12). Pour cette raison, il revient au juge de première instance de déterminer « les objectifs qu’il convient de poursuivre et [. . .] la meilleure façon de les réaliser » (</w:t>
      </w:r>
      <w:r w:rsidRPr="00345FEE">
        <w:rPr>
          <w:rFonts w:cs="Times New Roman"/>
          <w:i/>
          <w:lang w:val="fr-CA"/>
        </w:rPr>
        <w:t>ibid.</w:t>
      </w:r>
      <w:r w:rsidRPr="00345FEE">
        <w:rPr>
          <w:rFonts w:cs="Times New Roman"/>
          <w:lang w:val="fr-CA"/>
        </w:rPr>
        <w:t xml:space="preserve">, par. 41, citant </w:t>
      </w:r>
      <w:r w:rsidRPr="00345FEE">
        <w:rPr>
          <w:rFonts w:cs="Times New Roman"/>
          <w:i/>
          <w:lang w:val="fr-CA"/>
        </w:rPr>
        <w:t>Proulx</w:t>
      </w:r>
      <w:r w:rsidRPr="00345FEE">
        <w:rPr>
          <w:rFonts w:cs="Times New Roman"/>
          <w:lang w:val="fr-CA"/>
        </w:rPr>
        <w:t>, par. 125). Bref, nous ne sommes pas mieux placés que le juge de la peine pour concilier ces considérations qui s’opposent. Compte tenu de sa proximité avec les faits de l’espèce et de son expertise institutionnelle, nous sommes en réalité moins bien placés que lui pour le faire.</w:t>
      </w:r>
    </w:p>
    <w:p w:rsidR="001A0BA2" w:rsidRPr="00345FEE" w:rsidRDefault="001A0BA2" w:rsidP="001A0BA2">
      <w:pPr>
        <w:pStyle w:val="ParaNoNdepar-AltN"/>
        <w:rPr>
          <w:rFonts w:cs="Times New Roman"/>
          <w:lang w:val="fr-CA"/>
        </w:rPr>
      </w:pPr>
      <w:r w:rsidRPr="00345FEE">
        <w:rPr>
          <w:rFonts w:cs="Times New Roman"/>
          <w:lang w:val="fr-CA"/>
        </w:rPr>
        <w:t xml:space="preserve">Les juges majoritaires conviennent que la faible culpabilité morale de M. Suter justifie l’infliction d’une peine se situant en deçà de la fourchette de peines établie pour l’infraction en cause, soit une peine en deçà de 2 à 10 ans d’emprisonnement. C’est précisément ce qu’a conclu le juge de la peine. Les juges majoritaires et le juge de la peine conviennent donc que la situation de M. Suter est unique et qu’elle justifie une peine se situant en deçà de la fourchette habituelle de </w:t>
      </w:r>
      <w:r w:rsidRPr="00345FEE">
        <w:rPr>
          <w:rFonts w:cs="Times New Roman"/>
          <w:lang w:val="fr-CA"/>
        </w:rPr>
        <w:lastRenderedPageBreak/>
        <w:t xml:space="preserve">peines applicable à cette infraction. La question qui se pose alors est de savoir dans quelle mesure la peine infligée à M. Suter devrait se situer en deçà de cette fourchette. Autrement dit, il ne reste qu’à déterminer où, compte tenu de la situation unique dans laquelle se trouve M. Suter, devrait se situer sa peine dans la fourchette de peines de zéro à deux ans d’emprisonnement en principe disponible. Le juge de la peine a conclu qu’il convenait d’infliger une peine de 4 mois; les juges majoritaires affirment pour leur part qu’il y avait lieu d’imposer une peine de 15 à 18 mois. Pour ma part, j’aurais accordé plus d’importance à la gravité de l’infraction que ne l’a fait le juge de la peine, mais il s’agit précisément là du processus complexe de mise en balance à l’égard duquel notre Cour a à maintes reprises rappelé aux cours d’appel de faire preuve de déférence. </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Par ailleurs, hormis l’expertise du juge de la peine et la situation unique de M. Suter, deux autres facteurs confirment le caractère proportionnel d’une peine considérablement réduite dans les circonstances.</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 xml:space="preserve">Premièrement, M. Suter s’est non seulement mépris en droit, mais il s’est aussi mépris de façon raisonnable. Le juge de la peine a conclu que M. Suter s’était fié aux conseils d’un avocat du genre visé dans </w:t>
      </w:r>
      <w:r w:rsidRPr="00345FEE">
        <w:rPr>
          <w:rFonts w:cs="Times New Roman"/>
          <w:i/>
          <w:lang w:val="fr-CA"/>
        </w:rPr>
        <w:t xml:space="preserve">Brydges </w:t>
      </w:r>
      <w:r w:rsidRPr="00345FEE">
        <w:rPr>
          <w:rFonts w:cs="Times New Roman"/>
          <w:lang w:val="fr-CA"/>
        </w:rPr>
        <w:t xml:space="preserve">pour refuser de fournir un échantillon d’haleine. Il était raisonnable pour M. Suter de le faire. La fourniture d’un échantillon au moment de la détention était une procédure administrative avec laquelle M. Suter n’était pas familier. Devant cela, il n’a pas cherché à entraver la justice ou à faire preuve d’aveuglement volontaire à l’égard de ses obligations. Il s’est plutôt diligemment penché sur sa situation juridique en consultant un avocat du genre visé dans </w:t>
      </w:r>
      <w:r w:rsidRPr="00345FEE">
        <w:rPr>
          <w:rFonts w:cs="Times New Roman"/>
          <w:i/>
          <w:lang w:val="fr-CA"/>
        </w:rPr>
        <w:t>Brydges</w:t>
      </w:r>
      <w:r w:rsidRPr="00345FEE">
        <w:rPr>
          <w:rFonts w:cs="Times New Roman"/>
          <w:lang w:val="fr-CA"/>
        </w:rPr>
        <w:t>, celui</w:t>
      </w:r>
      <w:r w:rsidRPr="00345FEE">
        <w:rPr>
          <w:rFonts w:cs="Times New Roman"/>
          <w:lang w:val="fr-CA"/>
        </w:rPr>
        <w:noBreakHyphen/>
        <w:t xml:space="preserve">là même que les policiers lui ont offert de consulter. En fin de compte, c’est uniquement parce qu’il s’est fié aux conseils de cet avocat que M. Suter </w:t>
      </w:r>
      <w:r w:rsidRPr="00345FEE">
        <w:rPr>
          <w:rFonts w:cs="Times New Roman"/>
          <w:lang w:val="fr-CA"/>
        </w:rPr>
        <w:lastRenderedPageBreak/>
        <w:t>a refusé de fournir un échantillon d’haleine. Comme l’a fait remarquer le juge de la peine, cela [</w:t>
      </w:r>
      <w:r w:rsidRPr="00345FEE">
        <w:rPr>
          <w:rFonts w:cs="Times New Roman"/>
          <w:smallCaps/>
          <w:lang w:val="fr-CA"/>
        </w:rPr>
        <w:t>traduction</w:t>
      </w:r>
      <w:r w:rsidRPr="00345FEE">
        <w:rPr>
          <w:rFonts w:cs="Times New Roman"/>
          <w:lang w:val="fr-CA"/>
        </w:rPr>
        <w:t>] « chang[eait] de manière fondamentale la culpabilité morale de M. Suter »</w:t>
      </w:r>
      <w:r>
        <w:rPr>
          <w:rFonts w:cs="Times New Roman"/>
          <w:lang w:val="fr-CA"/>
        </w:rPr>
        <w:t xml:space="preserve"> (par. 76)</w:t>
      </w:r>
      <w:r w:rsidRPr="00345FEE">
        <w:rPr>
          <w:rFonts w:cs="Times New Roman"/>
          <w:lang w:val="fr-CA"/>
        </w:rPr>
        <w:t>.</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Le fait que les conseils obtenus par M. Suter aient été donnés par un avocat dont les services étaient offerts par l’État revêt une importance particulière en l’espèce. Les policiers ont dirigé M. Suter vers un avocat du genre visé dans</w:t>
      </w:r>
      <w:r w:rsidRPr="00345FEE">
        <w:rPr>
          <w:rFonts w:cs="Times New Roman"/>
          <w:i/>
          <w:lang w:val="fr-CA"/>
        </w:rPr>
        <w:t xml:space="preserve"> Brydges</w:t>
      </w:r>
      <w:r w:rsidRPr="00345FEE">
        <w:rPr>
          <w:rFonts w:cs="Times New Roman"/>
          <w:lang w:val="fr-CA"/>
        </w:rPr>
        <w:t xml:space="preserve">; cet avocat a conseillé à M. Suter de refuser de donner un échantillon d’haleine et M. Suter a suivi ce conseil. C’est là toute l’étendue de son comportement criminel. Sa culpabilité morale est extrêmement faible. </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Deuxièmement, l’importance constitutionnelle du droit à l’assistance d’un avocat milite aussi en faveur d’une peine considérablement réduite en l’espèce. Comme l’a souligné le juge de la peine : [</w:t>
      </w:r>
      <w:r w:rsidRPr="00345FEE">
        <w:rPr>
          <w:rFonts w:cs="Times New Roman"/>
          <w:smallCaps/>
          <w:lang w:val="fr-CA"/>
        </w:rPr>
        <w:t>traduction</w:t>
      </w:r>
      <w:r w:rsidRPr="00345FEE">
        <w:rPr>
          <w:rFonts w:cs="Times New Roman"/>
          <w:lang w:val="fr-CA"/>
        </w:rPr>
        <w:t xml:space="preserve">] « Les gens doivent pouvoir s’appuyer sur les conseils juridiques reçus dans l’exercice de leur droit constitutionnel à l’assistance d’un avocat » (par. 77). </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L’alinéa 10</w:t>
      </w:r>
      <w:r w:rsidRPr="00345FEE">
        <w:rPr>
          <w:rFonts w:cs="Times New Roman"/>
          <w:i/>
          <w:lang w:val="fr-CA"/>
        </w:rPr>
        <w:t>b</w:t>
      </w:r>
      <w:r w:rsidRPr="00345FEE">
        <w:rPr>
          <w:rFonts w:cs="Times New Roman"/>
          <w:lang w:val="fr-CA"/>
        </w:rPr>
        <w:t xml:space="preserve">) de la </w:t>
      </w:r>
      <w:r w:rsidRPr="00345FEE">
        <w:rPr>
          <w:rFonts w:cs="Times New Roman"/>
          <w:i/>
          <w:lang w:val="fr-CA"/>
        </w:rPr>
        <w:t xml:space="preserve">Charte canadienne des droits et libertés </w:t>
      </w:r>
      <w:r w:rsidRPr="00345FEE">
        <w:rPr>
          <w:rFonts w:cs="Times New Roman"/>
          <w:lang w:val="fr-CA"/>
        </w:rPr>
        <w:t>prévoit que « [c]hacun a le droit, en cas d’arrestation ou de détention [. . .] d’avoir recours sans délai à l’assistance d’un avocat ». Il en est ainsi parce que tout délinquant qui est détenu « est désavantag[é] par rapport à l’État » (</w:t>
      </w:r>
      <w:r w:rsidRPr="00345FEE">
        <w:rPr>
          <w:rFonts w:cs="Times New Roman"/>
          <w:i/>
          <w:lang w:val="fr-CA"/>
        </w:rPr>
        <w:t>R. c. Bartle</w:t>
      </w:r>
      <w:r w:rsidRPr="00345FEE">
        <w:rPr>
          <w:rFonts w:cs="Times New Roman"/>
          <w:lang w:val="fr-CA"/>
        </w:rPr>
        <w:t>, [1994] 3 R.C.S. 173, p. 191) et a le besoin correspondant « d’être inform[é] de ses droits et de ses obligations en vertu de la loi » (</w:t>
      </w:r>
      <w:r w:rsidRPr="00345FEE">
        <w:rPr>
          <w:rFonts w:cs="Times New Roman"/>
          <w:i/>
          <w:lang w:val="fr-CA"/>
        </w:rPr>
        <w:t>Sinclair</w:t>
      </w:r>
      <w:r w:rsidRPr="00345FEE">
        <w:rPr>
          <w:rFonts w:cs="Times New Roman"/>
          <w:lang w:val="fr-CA"/>
        </w:rPr>
        <w:t xml:space="preserve">, par. 26; voir aussi </w:t>
      </w:r>
      <w:r w:rsidRPr="00345FEE">
        <w:rPr>
          <w:rFonts w:cs="Times New Roman"/>
          <w:i/>
          <w:lang w:val="fr-CA"/>
        </w:rPr>
        <w:t>R. c. Brydges</w:t>
      </w:r>
      <w:r w:rsidRPr="00345FEE">
        <w:rPr>
          <w:rFonts w:cs="Times New Roman"/>
          <w:lang w:val="fr-CA"/>
        </w:rPr>
        <w:t>, [1990] 1 R.C.S. 190, p. 209 et 214), ainsi que de recevoir « les conseils appropriés quant au choix qu’il doit faire » (</w:t>
      </w:r>
      <w:r w:rsidRPr="00345FEE">
        <w:rPr>
          <w:rFonts w:cs="Times New Roman"/>
          <w:i/>
          <w:lang w:val="fr-CA"/>
        </w:rPr>
        <w:t>R. c. Hebert</w:t>
      </w:r>
      <w:r w:rsidRPr="00345FEE">
        <w:rPr>
          <w:rFonts w:cs="Times New Roman"/>
          <w:lang w:val="fr-CA"/>
        </w:rPr>
        <w:t>, [1990] 2 R.C.S. 151, p. 176</w:t>
      </w:r>
      <w:r w:rsidRPr="00345FEE">
        <w:rPr>
          <w:rFonts w:cs="Times New Roman"/>
          <w:lang w:val="fr-CA"/>
        </w:rPr>
        <w:noBreakHyphen/>
        <w:t xml:space="preserve">177), surtout pour ce qui est de savoir s’il </w:t>
      </w:r>
      <w:r w:rsidRPr="00345FEE">
        <w:rPr>
          <w:rFonts w:cs="Times New Roman"/>
          <w:lang w:val="fr-CA"/>
        </w:rPr>
        <w:lastRenderedPageBreak/>
        <w:t>doit « coopérer ou non avec la police » (</w:t>
      </w:r>
      <w:r w:rsidRPr="00345FEE">
        <w:rPr>
          <w:rFonts w:cs="Times New Roman"/>
          <w:i/>
          <w:lang w:val="fr-CA"/>
        </w:rPr>
        <w:t>Sinclair</w:t>
      </w:r>
      <w:r w:rsidRPr="00345FEE">
        <w:rPr>
          <w:rFonts w:cs="Times New Roman"/>
          <w:lang w:val="fr-CA"/>
        </w:rPr>
        <w:t>, par. 24). Répondre à ces besoins sert la philosophie sous</w:t>
      </w:r>
      <w:r w:rsidRPr="00345FEE">
        <w:rPr>
          <w:rFonts w:cs="Times New Roman"/>
          <w:lang w:val="fr-CA"/>
        </w:rPr>
        <w:noBreakHyphen/>
        <w:t>tendant l’al. 10</w:t>
      </w:r>
      <w:r w:rsidRPr="00345FEE">
        <w:rPr>
          <w:rFonts w:cs="Times New Roman"/>
          <w:i/>
          <w:lang w:val="fr-CA"/>
        </w:rPr>
        <w:t>b</w:t>
      </w:r>
      <w:r w:rsidRPr="00345FEE">
        <w:rPr>
          <w:rFonts w:cs="Times New Roman"/>
          <w:lang w:val="fr-CA"/>
        </w:rPr>
        <w:t>), soit d’assurer un « traitement équitable dans le processus pénal des personnes [. . .] détenues » (</w:t>
      </w:r>
      <w:r w:rsidRPr="00345FEE">
        <w:rPr>
          <w:rFonts w:cs="Times New Roman"/>
          <w:i/>
          <w:lang w:val="fr-CA"/>
        </w:rPr>
        <w:t>Bartle</w:t>
      </w:r>
      <w:r w:rsidRPr="00345FEE">
        <w:rPr>
          <w:rFonts w:cs="Times New Roman"/>
          <w:lang w:val="fr-CA"/>
        </w:rPr>
        <w:t xml:space="preserve">, p. 191; voir aussi </w:t>
      </w:r>
      <w:r w:rsidRPr="00345FEE">
        <w:rPr>
          <w:rFonts w:cs="Times New Roman"/>
          <w:i/>
          <w:lang w:val="fr-CA"/>
        </w:rPr>
        <w:t>Brydges</w:t>
      </w:r>
      <w:r w:rsidRPr="00345FEE">
        <w:rPr>
          <w:rFonts w:cs="Times New Roman"/>
          <w:lang w:val="fr-CA"/>
        </w:rPr>
        <w:t xml:space="preserve">, p. 203; </w:t>
      </w:r>
      <w:r w:rsidRPr="00345FEE">
        <w:rPr>
          <w:rFonts w:cs="Times New Roman"/>
          <w:i/>
          <w:lang w:val="fr-CA"/>
        </w:rPr>
        <w:t>Clarkson c. La Reine</w:t>
      </w:r>
      <w:r w:rsidRPr="00345FEE">
        <w:rPr>
          <w:rFonts w:cs="Times New Roman"/>
          <w:lang w:val="fr-CA"/>
        </w:rPr>
        <w:t xml:space="preserve">, [1986] 1 R.C.S. 383, p. 394). </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Ce qu’a vécu M. Suter montre l’importance de ces obligations constitutionnelles. Il a simplement suivi les conseils qu’il a reçus d’un avocat du genre visé dans</w:t>
      </w:r>
      <w:r w:rsidRPr="00345FEE">
        <w:rPr>
          <w:rFonts w:cs="Times New Roman"/>
          <w:i/>
          <w:lang w:val="fr-CA"/>
        </w:rPr>
        <w:t xml:space="preserve"> Brydges</w:t>
      </w:r>
      <w:r w:rsidRPr="00345FEE">
        <w:rPr>
          <w:rFonts w:cs="Times New Roman"/>
          <w:lang w:val="fr-CA"/>
        </w:rPr>
        <w:t>. En raison de cela, il a dû présenter sa cause devant 3 cours de paliers différents, en plus d’être réputé avoir purgé 10 mois et demi de prison et d’avoir subi des années d’incertitude quant à son sort. Je ne puis accepter que la majorité de notre Cour approuve une peine d’emprisonnement aussi sévère sachant qu’eu égard aux faits de l’espèce, ce n’est pas la conscience morale de M. Suter qui a fait défaut, mais plutôt le système provincial d’avocats de garde (un point admis par les juges majoritaires au par. 75, note en bas de page 4), qui relève de la « compétence [provinciale] en matière d’administration de la justice » (</w:t>
      </w:r>
      <w:r w:rsidRPr="00345FEE">
        <w:rPr>
          <w:rFonts w:cs="Times New Roman"/>
          <w:i/>
          <w:lang w:val="fr-CA"/>
        </w:rPr>
        <w:t>Bartle</w:t>
      </w:r>
      <w:r w:rsidRPr="00345FEE">
        <w:rPr>
          <w:rFonts w:cs="Times New Roman"/>
          <w:lang w:val="fr-CA"/>
        </w:rPr>
        <w:t>, p. 196).</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Un des objectifs constitutionnels précis qui sous</w:t>
      </w:r>
      <w:r w:rsidRPr="00345FEE">
        <w:rPr>
          <w:rFonts w:cs="Times New Roman"/>
          <w:lang w:val="fr-CA"/>
        </w:rPr>
        <w:noBreakHyphen/>
        <w:t>tend le droit à l’assistance d’un avocat renforce tout autant l’idée que la culpabilité morale de M. Suter est peu élevée en l’espèce et que son erreur est raisonnable. Un des aspects fondamentaux du droit à l’assistance d’un avocat consiste à préserver le droit du détenu de ne pas s’incriminer (</w:t>
      </w:r>
      <w:r w:rsidRPr="00345FEE">
        <w:rPr>
          <w:rFonts w:cs="Times New Roman"/>
          <w:i/>
          <w:lang w:val="fr-CA"/>
        </w:rPr>
        <w:t>R. c. Singh</w:t>
      </w:r>
      <w:r w:rsidRPr="00345FEE">
        <w:rPr>
          <w:rFonts w:cs="Times New Roman"/>
          <w:lang w:val="fr-CA"/>
        </w:rPr>
        <w:t xml:space="preserve">, 2007 CSC 48, [2007] 3 R.C.S. 405, par. 21). Néanmoins, comme notre Cour l’a expliqué dans </w:t>
      </w:r>
      <w:r w:rsidRPr="00345FEE">
        <w:rPr>
          <w:rFonts w:cs="Times New Roman"/>
          <w:i/>
          <w:lang w:val="fr-CA"/>
        </w:rPr>
        <w:t>Bartle</w:t>
      </w:r>
      <w:r w:rsidRPr="00345FEE">
        <w:rPr>
          <w:rFonts w:cs="Times New Roman"/>
          <w:lang w:val="fr-CA"/>
        </w:rPr>
        <w:t>, « [c]e qu’il y a de singulier dans le cas de l’infraction consistant à refuser de fournir un échantillon dans le contexte de la conduite avec facultés affaiblies, c’est qu’elle punit une personne qui refuse de s’incriminer » (p. 215</w:t>
      </w:r>
      <w:r w:rsidRPr="00345FEE">
        <w:rPr>
          <w:rFonts w:cs="Times New Roman"/>
          <w:lang w:val="fr-CA"/>
        </w:rPr>
        <w:noBreakHyphen/>
        <w:t xml:space="preserve">216). La cohérence entre le droit général de ne pas s’incriminer et celui de </w:t>
      </w:r>
      <w:r w:rsidRPr="00345FEE">
        <w:rPr>
          <w:rFonts w:cs="Times New Roman"/>
          <w:lang w:val="fr-CA"/>
        </w:rPr>
        <w:lastRenderedPageBreak/>
        <w:t xml:space="preserve">refuser de fournir un échantillon d’haleine témoigne de l’importance particulière de recevoir des conseils juridiques clairs et appropriés dans ces circonstances inusitées. </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Compte tenu de ces considérations, il m’est impossible de conclure que la peine de quatre mois était manifestement non indiquée. En outre, j’estime que les objectifs de détermination de la peine applicables confirment ici le caractère proportionnel de la peine. Plus précisément, ni la dissuasion ni la dénonciation — soit les objectifs de détermination de la peine sur lesquels les juges majoritaires s’appuient — ne permettent d’établir qu’une peine d’emprisonnement de quatre mois est manifestement non indiquée en l’espèce.</w:t>
      </w:r>
    </w:p>
    <w:p w:rsidR="001A0BA2" w:rsidRPr="00345FEE" w:rsidRDefault="001A0BA2" w:rsidP="001A0BA2">
      <w:pPr>
        <w:pStyle w:val="Title5LevelTitre5Niveau"/>
        <w:rPr>
          <w:rFonts w:cs="Times New Roman"/>
          <w:lang w:val="fr-CA"/>
        </w:rPr>
      </w:pPr>
      <w:r w:rsidRPr="00345FEE">
        <w:rPr>
          <w:rFonts w:cs="Times New Roman"/>
          <w:lang w:val="fr-CA"/>
        </w:rPr>
        <w:t>La dissuasion (al. 718b))</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L’un des objectifs de détermination de la peine est de « dissuader les délinquants, et quiconque, de commettre des infractions » (</w:t>
      </w:r>
      <w:r w:rsidRPr="00345FEE">
        <w:rPr>
          <w:rFonts w:cs="Times New Roman"/>
          <w:i/>
          <w:lang w:val="fr-CA"/>
        </w:rPr>
        <w:t>Code criminel</w:t>
      </w:r>
      <w:r w:rsidRPr="00345FEE">
        <w:rPr>
          <w:rFonts w:cs="Times New Roman"/>
          <w:lang w:val="fr-CA"/>
        </w:rPr>
        <w:t>, al. 718b)). Dans le contexte de la conduite avec capacités affaiblies, il « est nécessaire de privilégier » cet objectif (</w:t>
      </w:r>
      <w:r w:rsidRPr="00345FEE">
        <w:rPr>
          <w:rFonts w:cs="Times New Roman"/>
          <w:i/>
          <w:lang w:val="fr-CA"/>
        </w:rPr>
        <w:t>Lacasse</w:t>
      </w:r>
      <w:r w:rsidRPr="00345FEE">
        <w:rPr>
          <w:rFonts w:cs="Times New Roman"/>
          <w:lang w:val="fr-CA"/>
        </w:rPr>
        <w:t xml:space="preserve">, par. 5). D’ailleurs, « l’objectif urgent qui consiste à décourager [. . .] [le] fléau de la conduite avec capacités affaiblies » est l’un des motifs pour lesquels les juges majoritaires estiment qu’il y a lieu d’infliger une peine de 15 à 18 mois en l’espèce (par. 93). Toutefois, ce raisonnement ne tient pas compte des faits dont nous sommes saisis, lesquels jouent un rôle crucial dans l’infliction d’une peine proportionnée </w:t>
      </w:r>
      <w:r w:rsidRPr="00345FEE">
        <w:rPr>
          <w:rFonts w:cs="Times New Roman"/>
          <w:i/>
          <w:lang w:val="fr-CA"/>
        </w:rPr>
        <w:t>à M. Suter</w:t>
      </w:r>
      <w:r w:rsidRPr="00345FEE">
        <w:rPr>
          <w:rFonts w:cs="Times New Roman"/>
          <w:lang w:val="fr-CA"/>
        </w:rPr>
        <w:t xml:space="preserve">. M. Suter n’a pas été « tenté » de commettre un crime et n’a pas non plus commis un crime en raison d’une dissuasion insuffisante. Il a simplement refusé de fournir un échantillon d’haleine parce que c’est ce que son avocat lui a dit de faire. Par conséquent, l’infliction d’une peine sévère en l’espèce n’aura pas pour effet de dissuader d’autres personnes de refuser de fournir un échantillon d’haleine; elle aura </w:t>
      </w:r>
      <w:r w:rsidRPr="00345FEE">
        <w:rPr>
          <w:rFonts w:cs="Times New Roman"/>
          <w:lang w:val="fr-CA"/>
        </w:rPr>
        <w:lastRenderedPageBreak/>
        <w:t>plutôt pour effet de dissuader d’autres personnes de suivre les conseils de leur avocat malgré l’existence du droit constitutionnel d’obtenir de tels conseils (</w:t>
      </w:r>
      <w:r w:rsidRPr="00345FEE">
        <w:rPr>
          <w:rFonts w:cs="Times New Roman"/>
          <w:i/>
          <w:lang w:val="fr-CA"/>
        </w:rPr>
        <w:t>Singh</w:t>
      </w:r>
      <w:r w:rsidRPr="00345FEE">
        <w:rPr>
          <w:rFonts w:cs="Times New Roman"/>
          <w:lang w:val="fr-CA"/>
        </w:rPr>
        <w:t xml:space="preserve">, par. 33). </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L’importance considérable accordée à la dissuasion générale dans le contexte de crimes liés à la conduite avec capacités affaiblies repose souvent sur le fait qu’il s’agit de crimes fréquemment commis par des citoyens qui respectent par ailleurs la loi (</w:t>
      </w:r>
      <w:r w:rsidRPr="00345FEE">
        <w:rPr>
          <w:rFonts w:cs="Times New Roman"/>
          <w:i/>
          <w:lang w:val="fr-CA"/>
        </w:rPr>
        <w:t>Ramage</w:t>
      </w:r>
      <w:r w:rsidRPr="00345FEE">
        <w:rPr>
          <w:rFonts w:cs="Times New Roman"/>
          <w:lang w:val="fr-CA"/>
        </w:rPr>
        <w:t>, par. 75). Cependant, devant les faits exceptionnels de l’espèce, où M. Suter n’avait pas les facultés affaiblies et où sa seule infraction est d’avoir refusé de fournir un échantillon d’haleine parce c’est ce qu’on lui a dit de faire, la dissuasion générale joue un rôle mineur. Il faut se rappeler que la détermination de la peine est une opération individualisée, et non une occasion pour notre Cour d’employer les grands moyens pour exprimer, peu importe les circonstances, sa répugnance à l’égard de la conduite avec capacités affaiblies.</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Il importe aussi de souligner que la peine peu sévère infligée en l’espèce n’encouragera pas les détenus à chercher à obtenir de piètres conseils juridiques dans le but d’atténuer leur peine. En fait, c’est uniquement en raison des mauvais conseils juridiques qu’il a reçus que M. Suter a été inculpé d’une infraction. Il serait donc absurde de prétendre que ces conseils juridiques l’ont aidé plus qu’ils ne lui ont nui. Quoi qu’il en soit, toute préoccupation relative au fait qu’un avocat de la défense a conseillé à des personnes d’involontairement commettre une infraction administrative (une situation certainement rare) devrait être traitée au moyen d’une procédure, disciplinaire ou autre, contre cet avocat, et non au moyen de l’infliction d’une peine d’emprisonnement sévère aux victimes de ses conseils négligents.</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lastRenderedPageBreak/>
        <w:t>Par conséquent, l’objectif de dissuasion ne justifie pas que la peine de quatre mois soit modifiée eu égard aux faits uniques de l’espèce.</w:t>
      </w:r>
    </w:p>
    <w:p w:rsidR="001A0BA2" w:rsidRPr="00345FEE" w:rsidRDefault="001A0BA2" w:rsidP="001A0BA2">
      <w:pPr>
        <w:pStyle w:val="Title5LevelTitre5Niveau"/>
        <w:rPr>
          <w:rFonts w:cs="Times New Roman"/>
          <w:lang w:val="fr-CA"/>
        </w:rPr>
      </w:pPr>
      <w:r w:rsidRPr="00345FEE">
        <w:rPr>
          <w:rFonts w:cs="Times New Roman"/>
          <w:lang w:val="fr-CA"/>
        </w:rPr>
        <w:t>La dénonciation (al. 718a))</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Un autre objectif de détermination de la peine est de « dénoncer le comportement illégal et le tort causé par celui</w:t>
      </w:r>
      <w:r w:rsidRPr="00345FEE">
        <w:rPr>
          <w:rFonts w:cs="Times New Roman"/>
          <w:lang w:val="fr-CA"/>
        </w:rPr>
        <w:noBreakHyphen/>
        <w:t>ci aux victimes ou à la collectivité » (</w:t>
      </w:r>
      <w:r w:rsidRPr="00345FEE">
        <w:rPr>
          <w:rFonts w:cs="Times New Roman"/>
          <w:i/>
          <w:lang w:val="fr-CA"/>
        </w:rPr>
        <w:t>Code criminel</w:t>
      </w:r>
      <w:r w:rsidRPr="00345FEE">
        <w:rPr>
          <w:rFonts w:cs="Times New Roman"/>
          <w:lang w:val="fr-CA"/>
        </w:rPr>
        <w:t>, al. 718a)). Dans le contexte de la conduite avec capacités affaiblies, il est là aussi « nécessaire de privilégier » cet objectif (</w:t>
      </w:r>
      <w:r w:rsidRPr="00345FEE">
        <w:rPr>
          <w:rFonts w:cs="Times New Roman"/>
          <w:i/>
          <w:lang w:val="fr-CA"/>
        </w:rPr>
        <w:t>Lacasse</w:t>
      </w:r>
      <w:r w:rsidRPr="00345FEE">
        <w:rPr>
          <w:rFonts w:cs="Times New Roman"/>
          <w:lang w:val="fr-CA"/>
        </w:rPr>
        <w:t xml:space="preserve">, par. 5). D’ailleurs, « l’objectif urgent qui consiste à [. . .] dénoncer [. . .] [le] fléau de la conduite avec capacités affaiblies » constitue l’autre motif pour lequel les juges majoritaires estiment qu’il y a lieu d’infliger une peine plus sévère (par. 93). Cependant, pour des raisons similaires à ce que je viens d’énoncer, cette approche ne tient guère plus compte des faits uniques de la présente affaire. M. Suter n’a pas véritablement « choisi » de refuser de fournir un échantillon d’haleine; il a simplement suivi les conseils qu’il a reçus. La simple perpétration d’une infraction administrative, suivant les conseils donnés par un avocat dont les services étaient offerts par l’État, ne justifie pas une dénonciation rigoureuse. Dans de telles circonstances, la conduite — bien que criminelle — découle de mauvais conseils auquel l’accusé s’est fié raisonnablement, d’où l’absence de la culpabilité morale nécessaire pour justifier une telle dénonciation. Si une conduite devait être dénoncée en l’espèce, c’est plutôt celle de l’avocat du genre visé dans </w:t>
      </w:r>
      <w:r w:rsidRPr="00345FEE">
        <w:rPr>
          <w:rFonts w:cs="Times New Roman"/>
          <w:i/>
          <w:lang w:val="fr-CA"/>
        </w:rPr>
        <w:t>Brydges</w:t>
      </w:r>
      <w:r w:rsidRPr="00345FEE">
        <w:rPr>
          <w:rFonts w:cs="Times New Roman"/>
          <w:lang w:val="fr-CA"/>
        </w:rPr>
        <w:t xml:space="preserve"> qui a conseillé à M. Suter de commettre l’infraction (voir</w:t>
      </w:r>
      <w:r w:rsidR="00461622">
        <w:rPr>
          <w:rFonts w:cs="Times New Roman"/>
          <w:lang w:val="fr-CA"/>
        </w:rPr>
        <w:t>, p.</w:t>
      </w:r>
      <w:r w:rsidRPr="00345FEE">
        <w:rPr>
          <w:rFonts w:cs="Times New Roman"/>
          <w:lang w:val="fr-CA"/>
        </w:rPr>
        <w:t xml:space="preserve"> ex.</w:t>
      </w:r>
      <w:r w:rsidR="00461622">
        <w:rPr>
          <w:rFonts w:cs="Times New Roman"/>
          <w:lang w:val="fr-CA"/>
        </w:rPr>
        <w:t>,</w:t>
      </w:r>
      <w:r w:rsidRPr="00345FEE">
        <w:rPr>
          <w:rFonts w:cs="Times New Roman"/>
          <w:lang w:val="fr-CA"/>
        </w:rPr>
        <w:t> </w:t>
      </w:r>
      <w:r w:rsidRPr="00345FEE">
        <w:rPr>
          <w:rFonts w:cs="Times New Roman"/>
          <w:i/>
          <w:lang w:val="fr-CA"/>
        </w:rPr>
        <w:t>Bartle</w:t>
      </w:r>
      <w:r w:rsidR="005310E3">
        <w:rPr>
          <w:rFonts w:cs="Times New Roman"/>
          <w:lang w:val="fr-CA"/>
        </w:rPr>
        <w:t>, p. 215-</w:t>
      </w:r>
      <w:r w:rsidRPr="00345FEE">
        <w:rPr>
          <w:rFonts w:cs="Times New Roman"/>
          <w:lang w:val="fr-CA"/>
        </w:rPr>
        <w:t xml:space="preserve">216) — conseil négligent sans lequel rien de tout cela ne serait jamais arrivé. Comme je l’ai déjà souligné, notre système de justice pénale repose sur l’idée que l’exercice du droit constitutionnel à l’assistance d’un avocat permet effectivement de </w:t>
      </w:r>
      <w:r w:rsidRPr="00345FEE">
        <w:rPr>
          <w:rFonts w:cs="Times New Roman"/>
          <w:lang w:val="fr-CA"/>
        </w:rPr>
        <w:lastRenderedPageBreak/>
        <w:t>préserver les droits des délinquants peu avertis. Il me semble inopportun de vouloir dénoncer vigoureusement la conduite d’un accusé qui, comme l’a affirmé le juge de la peine lorsque les avocats ont présenté leur</w:t>
      </w:r>
      <w:r w:rsidR="00461622">
        <w:rPr>
          <w:rFonts w:cs="Times New Roman"/>
          <w:lang w:val="fr-CA"/>
        </w:rPr>
        <w:t>s</w:t>
      </w:r>
      <w:r w:rsidRPr="00345FEE">
        <w:rPr>
          <w:rFonts w:cs="Times New Roman"/>
          <w:lang w:val="fr-CA"/>
        </w:rPr>
        <w:t xml:space="preserve"> observations relatives à la peine, s’en est tenu à exercer ce droit constitutionnel et dont la seule [</w:t>
      </w:r>
      <w:r w:rsidRPr="00345FEE">
        <w:rPr>
          <w:rFonts w:cs="Times New Roman"/>
          <w:smallCaps/>
          <w:lang w:val="fr-CA"/>
        </w:rPr>
        <w:t>traduction</w:t>
      </w:r>
      <w:r w:rsidRPr="00345FEE">
        <w:rPr>
          <w:rFonts w:cs="Times New Roman"/>
          <w:lang w:val="fr-CA"/>
        </w:rPr>
        <w:t>] « infraction [a été de] suivre des conseils juridiques » (d.a., vol. II, p. 109).</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Je conclus donc que l’objectif de dénonciation ne justifie pas non plus une modification de la peine de quatre mois eu égard aux faits uniques de l’espèce.</w:t>
      </w:r>
    </w:p>
    <w:p w:rsidR="001A0BA2" w:rsidRPr="00345FEE" w:rsidRDefault="001A0BA2" w:rsidP="001A0BA2">
      <w:pPr>
        <w:pStyle w:val="Title5LevelTitre5Niveau"/>
        <w:rPr>
          <w:rFonts w:cs="Times New Roman"/>
          <w:lang w:val="fr-CA"/>
        </w:rPr>
      </w:pPr>
      <w:r w:rsidRPr="00345FEE">
        <w:rPr>
          <w:rFonts w:cs="Times New Roman"/>
          <w:lang w:val="fr-CA"/>
        </w:rPr>
        <w:t>L’individualisation (al. 718.2a))</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Une peine devrait être « réduite » pour tenir compte des « circonstances [. . .] atténuantes liées à la perpétration de l’infraction » (</w:t>
      </w:r>
      <w:r w:rsidRPr="00345FEE">
        <w:rPr>
          <w:rFonts w:cs="Times New Roman"/>
          <w:i/>
          <w:lang w:val="fr-CA"/>
        </w:rPr>
        <w:t>Code criminel</w:t>
      </w:r>
      <w:r w:rsidRPr="00345FEE">
        <w:rPr>
          <w:rFonts w:cs="Times New Roman"/>
          <w:lang w:val="fr-CA"/>
        </w:rPr>
        <w:t>, al. 718.2a)).</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 xml:space="preserve">Les présents motifs s’intéressent plus particulièrement à trois facteurs atténuants : </w:t>
      </w:r>
      <w:r w:rsidR="00883F43">
        <w:rPr>
          <w:rFonts w:cs="Times New Roman"/>
          <w:lang w:val="fr-CA"/>
        </w:rPr>
        <w:t>principalement</w:t>
      </w:r>
      <w:r w:rsidRPr="00345FEE">
        <w:rPr>
          <w:rFonts w:cs="Times New Roman"/>
          <w:lang w:val="fr-CA"/>
        </w:rPr>
        <w:t>, le fait que M. Suter se soit fié à de mauvais conseils juridiques et qu’il n’ait pas été ivre, et, accessoirement, les terribles attaques menées par des justiciers contre sa femme et lui. Toutefois, ce ne sont pas les seuls facteurs atténuants en l’espèce. Comme le juge de la peine l’a souligné, la peine de M. Suter doit aussi être réduite en raison des facteurs suivants : (1) son plaidoyer de culpabilité, (2) ses immenses remords, [</w:t>
      </w:r>
      <w:r w:rsidRPr="00345FEE">
        <w:rPr>
          <w:rFonts w:cs="Times New Roman"/>
          <w:smallCaps/>
          <w:lang w:val="fr-CA"/>
        </w:rPr>
        <w:t>traduction</w:t>
      </w:r>
      <w:r w:rsidRPr="00345FEE">
        <w:rPr>
          <w:rFonts w:cs="Times New Roman"/>
          <w:lang w:val="fr-CA"/>
        </w:rPr>
        <w:t>] « qui dépassaient [. . .] ce qui ressort du plaidoyer de culpabilité lui</w:t>
      </w:r>
      <w:r w:rsidRPr="00345FEE">
        <w:rPr>
          <w:rFonts w:cs="Times New Roman"/>
          <w:lang w:val="fr-CA"/>
        </w:rPr>
        <w:noBreakHyphen/>
        <w:t>même » (par. 79), (3) l’absence de casier judiciaire, (4) l’appui solide de la collectivité et (5) le fait que M. Suter a été un [</w:t>
      </w:r>
      <w:r w:rsidRPr="00345FEE">
        <w:rPr>
          <w:rFonts w:cs="Times New Roman"/>
          <w:smallCaps/>
          <w:lang w:val="fr-CA"/>
        </w:rPr>
        <w:t>traduction</w:t>
      </w:r>
      <w:r w:rsidRPr="00345FEE">
        <w:rPr>
          <w:rFonts w:cs="Times New Roman"/>
          <w:lang w:val="fr-CA"/>
        </w:rPr>
        <w:t>] « membre productif de la société, celui</w:t>
      </w:r>
      <w:r w:rsidRPr="00345FEE">
        <w:rPr>
          <w:rFonts w:cs="Times New Roman"/>
          <w:lang w:val="fr-CA"/>
        </w:rPr>
        <w:noBreakHyphen/>
        <w:t>ci ayant occupé un emploi presque toute sa vie adulte avant de prendre sa retraite » (par. 80).</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lastRenderedPageBreak/>
        <w:t xml:space="preserve">Il faut considérer l’effet combiné de ces huit facteurs atténuants pour prononcer une peine qui est indiquée dans les circonstances. Pris ensemble, ces faits ont un effet atténuant marqué. D’ailleurs, il est difficile d’imaginer des faits inspirant davantage la sympathie que ceux de la présente espèce en ce qui a trait à la culpabilité morale de M. Suter. On pourrait même soutenir qu’il s’agit d’une situation qui s’approche de celle qui pourrait en principe justifier la peine « minimale obligatoire » en ce qui a trait au par. 255(3.2) du </w:t>
      </w:r>
      <w:r w:rsidRPr="00345FEE">
        <w:rPr>
          <w:rFonts w:cs="Times New Roman"/>
          <w:i/>
          <w:lang w:val="fr-CA"/>
        </w:rPr>
        <w:t>Code criminel</w:t>
      </w:r>
      <w:r w:rsidRPr="00461622">
        <w:rPr>
          <w:rStyle w:val="Hyperlink"/>
          <w:u w:val="none"/>
          <w:vertAlign w:val="superscript"/>
        </w:rPr>
        <w:footnoteReference w:id="7"/>
      </w:r>
      <w:r w:rsidRPr="00345FEE">
        <w:rPr>
          <w:rFonts w:cs="Times New Roman"/>
          <w:lang w:val="fr-CA"/>
        </w:rPr>
        <w:t>.</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La manière précise dont ces facteurs se reflètent dans une peine en particulier est déterminée de façon très empirique par l’application du principe de détermination de la peine que constitue la parité et dont je traite en dernier lieu.</w:t>
      </w:r>
    </w:p>
    <w:p w:rsidR="001A0BA2" w:rsidRPr="00345FEE" w:rsidRDefault="001A0BA2" w:rsidP="001A0BA2">
      <w:pPr>
        <w:pStyle w:val="Title5LevelTitre5Niveau"/>
        <w:rPr>
          <w:rFonts w:cs="Times New Roman"/>
          <w:lang w:val="fr-CA"/>
        </w:rPr>
      </w:pPr>
      <w:r w:rsidRPr="00345FEE">
        <w:rPr>
          <w:rFonts w:cs="Times New Roman"/>
          <w:lang w:val="fr-CA"/>
        </w:rPr>
        <w:t>La parité (al. 718.2b))</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 xml:space="preserve">Le </w:t>
      </w:r>
      <w:r w:rsidRPr="00345FEE">
        <w:rPr>
          <w:rFonts w:cs="Times New Roman"/>
          <w:i/>
          <w:lang w:val="fr-CA"/>
        </w:rPr>
        <w:t xml:space="preserve">Code criminel </w:t>
      </w:r>
      <w:r w:rsidRPr="00345FEE">
        <w:rPr>
          <w:rFonts w:cs="Times New Roman"/>
          <w:lang w:val="fr-CA"/>
        </w:rPr>
        <w:t>prévoit « l’harmonisation des peines, c’est</w:t>
      </w:r>
      <w:r w:rsidRPr="00345FEE">
        <w:rPr>
          <w:rFonts w:cs="Times New Roman"/>
          <w:lang w:val="fr-CA"/>
        </w:rPr>
        <w:noBreakHyphen/>
        <w:t>à</w:t>
      </w:r>
      <w:r w:rsidRPr="00345FEE">
        <w:rPr>
          <w:rFonts w:cs="Times New Roman"/>
          <w:lang w:val="fr-CA"/>
        </w:rPr>
        <w:noBreakHyphen/>
        <w:t>dire l’infliction de peines semblables à celles infligées à des délinquants pour des infractions semblables commises dans des circonstances semblables » (al. 718.2b)).</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Ici, le juge de la peine a conclu que [</w:t>
      </w:r>
      <w:r w:rsidRPr="00345FEE">
        <w:rPr>
          <w:rFonts w:cs="Times New Roman"/>
          <w:smallCaps/>
          <w:lang w:val="fr-CA"/>
        </w:rPr>
        <w:t>traduction</w:t>
      </w:r>
      <w:r w:rsidRPr="00345FEE">
        <w:rPr>
          <w:rFonts w:cs="Times New Roman"/>
          <w:lang w:val="fr-CA"/>
        </w:rPr>
        <w:t xml:space="preserve">] « [l’]application [du] principe [de la parité] en l’espèce constitue un défi particulier parce que cette infraction est nouvelle et que la combinaison de facteurs est on ne peut plus unique » (par. 48). Je suis d’accord. Après examen de la jurisprudence, je conclus que les faits propres au dossier de M. Suter sont effectivement tout à fait uniques. Habituellement, les affaires </w:t>
      </w:r>
      <w:r w:rsidRPr="00345FEE">
        <w:rPr>
          <w:rFonts w:cs="Times New Roman"/>
          <w:lang w:val="fr-CA"/>
        </w:rPr>
        <w:lastRenderedPageBreak/>
        <w:t>criminelles s’inscrivent quelque part dans la jurisprudence antérieure, et il revient aux juges de première instance de s’acquitter de la tâche complexe de veiller à ce que les faits qui leur sont présentés — et la peine proportionnée — s’accordent avec l’ensemble de la jurisprudence. Toutefois la présente affaire est différente. Aucune décision publiée ne concerne une affaire où il a été conclu, d’une part, que la personne reconnue coupable d’avoir refusé de fournir un échantillon d’haleine après un accident mortel était en fait sobre au moment de l’accident et, d’autre part, qu’un avocat (dont les services étaient offerts par l’État) lui avait expressément conseillé de refuser de fournir cet échantillon. Bien sûr, je n’ai pas non plus trouvé de décision portant sur une affaire où la personne reconnue coupable et sa femme avaient en plus subi des attaques épouvantables de la part de justiciers.</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En raison du caractère très unique de la situation de M. Suter, il convient de faire preuve de déférence à l’égard de la peine initiale. Autrement dit, il n’y a pas de « délinquants [ayant commis] des infractions semblables [. . .] dans des circonstances semblables » par rapport auxquels sa peine peut raisonnablement être appréciée (</w:t>
      </w:r>
      <w:r w:rsidRPr="00345FEE">
        <w:rPr>
          <w:rFonts w:cs="Times New Roman"/>
          <w:i/>
          <w:lang w:val="fr-CA"/>
        </w:rPr>
        <w:t>Code criminel</w:t>
      </w:r>
      <w:r w:rsidRPr="00345FEE">
        <w:rPr>
          <w:rFonts w:cs="Times New Roman"/>
          <w:lang w:val="fr-CA"/>
        </w:rPr>
        <w:t>, al. 718.2b)). Il est donc difficile de contester le fait que le juge de la peine était le mieux placé pour déterminer une peine proportionnée aux faits uniques de l’espèce.</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De plus, malgré l’absence de faits inspirant tout autant la sympathie dans la jurisprudence relative au par. 255(3.2), un bref examen de celle</w:t>
      </w:r>
      <w:r w:rsidRPr="00345FEE">
        <w:rPr>
          <w:rFonts w:cs="Times New Roman"/>
          <w:lang w:val="fr-CA"/>
        </w:rPr>
        <w:noBreakHyphen/>
        <w:t>ci renforce ma conclusion selon laquelle une peine de quatre mois n’est pas manifestement non indiquée dans les circonstances.</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lastRenderedPageBreak/>
        <w:t xml:space="preserve">Selon l’examen auquel j’ai procédé, l’affaire dont les faits tendant à indiquer la culpabilité morale s’apparentent le plus à ceux de la présente affaire est </w:t>
      </w:r>
      <w:r w:rsidRPr="00345FEE">
        <w:rPr>
          <w:rFonts w:cs="Times New Roman"/>
          <w:i/>
          <w:lang w:val="fr-CA"/>
        </w:rPr>
        <w:t>R. c. Smith</w:t>
      </w:r>
      <w:r w:rsidRPr="00345FEE">
        <w:rPr>
          <w:rFonts w:cs="Times New Roman"/>
          <w:lang w:val="fr-CA"/>
        </w:rPr>
        <w:t>, 2017 MBPC 16, 10 M.V.R. (7th) 152. Je le dis sachant très bien que les circonstances entourant ces deux causes sont fort différentes. Comme je l’ai déjà expliqué, cela justifie que l’on fasse preuve de déférence, et non que l’on intervienne, à l’égard de la peine initiale prononcée par le juge de la peine.</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 xml:space="preserve">Dans </w:t>
      </w:r>
      <w:r w:rsidRPr="00345FEE">
        <w:rPr>
          <w:rFonts w:cs="Times New Roman"/>
          <w:i/>
          <w:lang w:val="fr-CA"/>
        </w:rPr>
        <w:t>Smith</w:t>
      </w:r>
      <w:r w:rsidRPr="00345FEE">
        <w:rPr>
          <w:rFonts w:cs="Times New Roman"/>
          <w:lang w:val="fr-CA"/>
        </w:rPr>
        <w:t xml:space="preserve">, l’accusé avait consommé beaucoup d’alcool et de la marijuana dans les heures ayant précédé l’accident mortel (par. 4), ce qui militait en soi en faveur de l’infliction d’une peine plus sévère que celle qui devrait être imposée à M. Suter, qui lui n’était pas ivre. Cependant, l’accident dans </w:t>
      </w:r>
      <w:r w:rsidRPr="00345FEE">
        <w:rPr>
          <w:rFonts w:cs="Times New Roman"/>
          <w:i/>
          <w:lang w:val="fr-CA"/>
        </w:rPr>
        <w:t xml:space="preserve">Smith </w:t>
      </w:r>
      <w:r w:rsidRPr="00345FEE">
        <w:rPr>
          <w:rFonts w:cs="Times New Roman"/>
          <w:lang w:val="fr-CA"/>
        </w:rPr>
        <w:t xml:space="preserve">semblait être tout autant un « accident » que celui en cause ici (c’est le fait analogue clé dans </w:t>
      </w:r>
      <w:r w:rsidRPr="00345FEE">
        <w:rPr>
          <w:rFonts w:cs="Times New Roman"/>
          <w:i/>
          <w:lang w:val="fr-CA"/>
        </w:rPr>
        <w:t>Smith</w:t>
      </w:r>
      <w:r w:rsidRPr="00345FEE">
        <w:rPr>
          <w:rFonts w:cs="Times New Roman"/>
          <w:lang w:val="fr-CA"/>
        </w:rPr>
        <w:t xml:space="preserve"> et dans le cas de M. Suter). La victime était une personne ivre qui se tenait au milieu de la route au cours de la nuit, vêtue de vêtements foncés, et qui n’est apparue que lorsqu’une voiture, se trouvant devant celle de l’accusé, a fait une embardée au dernier moment (par. 4</w:t>
      </w:r>
      <w:r w:rsidR="00461622">
        <w:rPr>
          <w:rFonts w:cs="Times New Roman"/>
          <w:lang w:val="fr-CA"/>
        </w:rPr>
        <w:t>-5</w:t>
      </w:r>
      <w:r w:rsidRPr="00345FEE">
        <w:rPr>
          <w:rFonts w:cs="Times New Roman"/>
          <w:lang w:val="fr-CA"/>
        </w:rPr>
        <w:t xml:space="preserve"> et 7). Compte tenu de ces faits uniques, le juge de la peine s’est dit d’avis qu’on ne pouvait savoir si l’accusé avait mêm</w:t>
      </w:r>
      <w:r w:rsidR="00461622">
        <w:rPr>
          <w:rFonts w:cs="Times New Roman"/>
          <w:lang w:val="fr-CA"/>
        </w:rPr>
        <w:t>e conduit dangereusement (par. 7</w:t>
      </w:r>
      <w:r w:rsidRPr="00345FEE">
        <w:rPr>
          <w:rFonts w:cs="Times New Roman"/>
          <w:lang w:val="fr-CA"/>
        </w:rPr>
        <w:t>), de sorte qu’il n’était pas certain que l’accusé avait même causé l’accident (par. 15). De plus, comme dans le cas de M. Suter, la situation de l’accusé inspirait grandement la sympathie. Certains [</w:t>
      </w:r>
      <w:r w:rsidRPr="00345FEE">
        <w:rPr>
          <w:rFonts w:cs="Times New Roman"/>
          <w:smallCaps/>
          <w:lang w:val="fr-CA"/>
        </w:rPr>
        <w:t>traduction</w:t>
      </w:r>
      <w:r w:rsidRPr="00345FEE">
        <w:rPr>
          <w:rFonts w:cs="Times New Roman"/>
          <w:lang w:val="fr-CA"/>
        </w:rPr>
        <w:t>] « facteurs pertinents entraient en jeu en raison de son héritage autochtone » (par. 23; voir également par. 19 et 27), il avait un léger casier judiciaire lié à des actes commis dans sa jeunesse (par. 24 et 32), il subvenait aux besoins financiers de sa famille (par. 28 et 30) et il avait obtenu une recommandation favorable à une surveillanc</w:t>
      </w:r>
      <w:r w:rsidR="005310E3">
        <w:rPr>
          <w:rFonts w:cs="Times New Roman"/>
          <w:lang w:val="fr-CA"/>
        </w:rPr>
        <w:t>e dans la collectivité (par. 29-</w:t>
      </w:r>
      <w:r w:rsidRPr="00345FEE">
        <w:rPr>
          <w:rFonts w:cs="Times New Roman"/>
          <w:lang w:val="fr-CA"/>
        </w:rPr>
        <w:t>30). Pour avoir « refusé de fournir une preuve cruciale » à l’État (c’est</w:t>
      </w:r>
      <w:r w:rsidRPr="00345FEE">
        <w:rPr>
          <w:rFonts w:cs="Times New Roman"/>
          <w:lang w:val="fr-CA"/>
        </w:rPr>
        <w:noBreakHyphen/>
        <w:t>à</w:t>
      </w:r>
      <w:r w:rsidRPr="00345FEE">
        <w:rPr>
          <w:rFonts w:cs="Times New Roman"/>
          <w:lang w:val="fr-CA"/>
        </w:rPr>
        <w:noBreakHyphen/>
        <w:t xml:space="preserve">dire pour avoir refusé de fournir un échantillon </w:t>
      </w:r>
      <w:r w:rsidRPr="00345FEE">
        <w:rPr>
          <w:rFonts w:cs="Times New Roman"/>
          <w:lang w:val="fr-CA"/>
        </w:rPr>
        <w:lastRenderedPageBreak/>
        <w:t>d’haleine après un accident mortel), M. Smith a été condamné à une peine d’emprisonnement de quatre mois à être purgée les fins de semaine (par. 31</w:t>
      </w:r>
      <w:r w:rsidRPr="00345FEE">
        <w:rPr>
          <w:rFonts w:cs="Times New Roman"/>
          <w:lang w:val="fr-CA"/>
        </w:rPr>
        <w:noBreakHyphen/>
        <w:t xml:space="preserve">34). Et, puisque, dans les « circonstances de l’infraction, [M. Smith] avait fait usage de drogues illégales (de la marijuana) et avait consommé de l’alcool toute la soirée et jusqu’au petit matin » (encore une fois, au contraire de M. Suter), M. Smith a été condamné à 18 mois de probation sous surveillance pour « veiller à ce qu’il demeure à sa résidence et qu’il ne se mette pas à faire la fête comme celle » qui a mené à l’accident mortel dans cette affaire (par. 36). </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 xml:space="preserve">La décision rendue dans </w:t>
      </w:r>
      <w:r w:rsidRPr="00345FEE">
        <w:rPr>
          <w:rFonts w:cs="Times New Roman"/>
          <w:i/>
          <w:lang w:val="fr-CA"/>
        </w:rPr>
        <w:t>Smith</w:t>
      </w:r>
      <w:r w:rsidRPr="00345FEE">
        <w:rPr>
          <w:rFonts w:cs="Times New Roman"/>
          <w:lang w:val="fr-CA"/>
        </w:rPr>
        <w:t xml:space="preserve"> est celle dont les faits se rapprochent le plus de ceux de la situation de M. Suter en ce qui a trait à la culpabilité morale, et, par pure coïncidence, l’accusé s’est vu infliger la même peine d’emprisonnement que celle prononcée par le juge de la peine en l’espèce. Bien sûr, le fait qu’un délinquant soit un Autochtone peut jouer un rôle important dans la détermination de la peine (</w:t>
      </w:r>
      <w:r w:rsidRPr="00345FEE">
        <w:rPr>
          <w:rFonts w:cs="Times New Roman"/>
          <w:i/>
          <w:lang w:val="fr-CA"/>
        </w:rPr>
        <w:t>Code criminel</w:t>
      </w:r>
      <w:r w:rsidRPr="00345FEE">
        <w:rPr>
          <w:rFonts w:cs="Times New Roman"/>
          <w:lang w:val="fr-CA"/>
        </w:rPr>
        <w:t xml:space="preserve">, al. 718.2e); </w:t>
      </w:r>
      <w:r w:rsidRPr="00345FEE">
        <w:rPr>
          <w:rFonts w:cs="Times New Roman"/>
          <w:i/>
          <w:lang w:val="fr-CA"/>
        </w:rPr>
        <w:t>R. c. Ipeelee</w:t>
      </w:r>
      <w:r w:rsidRPr="00345FEE">
        <w:rPr>
          <w:rFonts w:cs="Times New Roman"/>
          <w:lang w:val="fr-CA"/>
        </w:rPr>
        <w:t xml:space="preserve">, 2012 CSC 13, [2012] 1 R.C.S. 433, par. 59). Toutefois, dans </w:t>
      </w:r>
      <w:r w:rsidRPr="00345FEE">
        <w:rPr>
          <w:rFonts w:cs="Times New Roman"/>
          <w:i/>
          <w:lang w:val="fr-CA"/>
        </w:rPr>
        <w:t>Smith</w:t>
      </w:r>
      <w:r w:rsidRPr="00345FEE">
        <w:rPr>
          <w:rFonts w:cs="Times New Roman"/>
          <w:lang w:val="fr-CA"/>
        </w:rPr>
        <w:t>,</w:t>
      </w:r>
      <w:r w:rsidRPr="00345FEE">
        <w:rPr>
          <w:rFonts w:cs="Times New Roman"/>
          <w:i/>
          <w:lang w:val="fr-CA"/>
        </w:rPr>
        <w:t xml:space="preserve"> </w:t>
      </w:r>
      <w:r w:rsidRPr="00345FEE">
        <w:rPr>
          <w:rFonts w:cs="Times New Roman"/>
          <w:lang w:val="fr-CA"/>
        </w:rPr>
        <w:t>il n’était pas question d’un accusé qui n’était en fait pas ivre et qui avait reçu instruction de la part de son avocat de refuser de fournir un échantillon d’haleine — soit les deux facteurs atténuants les plus importants dans le cas de M. Suter.</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 xml:space="preserve">D’autres décisions révèlent l’existence d’une tendance dans la jurisprudence à punir de deux manières l’infraction visée au par. 255(3.2) : en tant que pure infraction d’entrave à la justice (lorsque jumelée à une déclaration de culpabilité pour une infraction substantielle liée à la conduite d’un véhicule), ou en tant qu’infraction servant de substitut à une infraction substantielle liée à la conduite d’un </w:t>
      </w:r>
      <w:r w:rsidRPr="00345FEE">
        <w:rPr>
          <w:rFonts w:cs="Times New Roman"/>
          <w:lang w:val="fr-CA"/>
        </w:rPr>
        <w:lastRenderedPageBreak/>
        <w:t>véhicule (lorsque non jumelée à une déclaration de culpabilité pour une infraction substantielle liée à la conduite d’un véhicule). Dans le cas d’une pure infraction d’entrave à la justice, les peines vont d</w:t>
      </w:r>
      <w:r w:rsidR="00461622">
        <w:rPr>
          <w:rFonts w:cs="Times New Roman"/>
          <w:lang w:val="fr-CA"/>
        </w:rPr>
        <w:t xml:space="preserve">’un </w:t>
      </w:r>
      <w:r w:rsidRPr="00345FEE">
        <w:rPr>
          <w:rFonts w:cs="Times New Roman"/>
          <w:lang w:val="fr-CA"/>
        </w:rPr>
        <w:t>mois à un an d’emprisonnement (voir</w:t>
      </w:r>
      <w:r w:rsidR="00373033">
        <w:rPr>
          <w:rFonts w:cs="Times New Roman"/>
          <w:lang w:val="fr-CA"/>
        </w:rPr>
        <w:t>, p.</w:t>
      </w:r>
      <w:r w:rsidR="005310E3">
        <w:rPr>
          <w:rFonts w:cs="Times New Roman"/>
          <w:lang w:val="fr-CA"/>
        </w:rPr>
        <w:t xml:space="preserve"> ex.</w:t>
      </w:r>
      <w:r w:rsidR="00883F43">
        <w:rPr>
          <w:rFonts w:cs="Times New Roman"/>
          <w:lang w:val="fr-CA"/>
        </w:rPr>
        <w:t>,</w:t>
      </w:r>
      <w:r w:rsidRPr="00345FEE">
        <w:rPr>
          <w:rFonts w:cs="Times New Roman"/>
          <w:lang w:val="fr-CA"/>
        </w:rPr>
        <w:t xml:space="preserve"> </w:t>
      </w:r>
      <w:r w:rsidRPr="00345FEE">
        <w:rPr>
          <w:rFonts w:cs="Times New Roman"/>
          <w:i/>
          <w:lang w:val="fr-CA"/>
        </w:rPr>
        <w:t>R. c. Holliday</w:t>
      </w:r>
      <w:r w:rsidRPr="00345FEE">
        <w:rPr>
          <w:rFonts w:cs="Times New Roman"/>
          <w:lang w:val="fr-CA"/>
        </w:rPr>
        <w:t xml:space="preserve">, 2009 ONCJ 323, 87 M.V.R. (5th) 148, par. 24, et </w:t>
      </w:r>
      <w:r w:rsidRPr="00345FEE">
        <w:rPr>
          <w:rFonts w:cs="Times New Roman"/>
          <w:i/>
          <w:lang w:val="fr-CA"/>
        </w:rPr>
        <w:t>R. c. Wallace</w:t>
      </w:r>
      <w:r w:rsidRPr="00345FEE">
        <w:rPr>
          <w:rFonts w:cs="Times New Roman"/>
          <w:lang w:val="fr-CA"/>
        </w:rPr>
        <w:t>, 2012 MBCA 54, 280 Man. R. (2d) 209, par. 11 et 63). Par contre, lorsque l’infraction sert de substitut à une infraction substantielle liée à la conduite d’un véhicule, la durée des peines, comme on peut s’y attendre, peut atteindre cinq ans d’emprisonnement (voir</w:t>
      </w:r>
      <w:r w:rsidR="00373033">
        <w:rPr>
          <w:rFonts w:cs="Times New Roman"/>
          <w:lang w:val="fr-CA"/>
        </w:rPr>
        <w:t>, p.</w:t>
      </w:r>
      <w:r w:rsidRPr="00345FEE">
        <w:rPr>
          <w:rFonts w:cs="Times New Roman"/>
          <w:lang w:val="fr-CA"/>
        </w:rPr>
        <w:t xml:space="preserve"> ex.</w:t>
      </w:r>
      <w:r w:rsidR="001971F4">
        <w:rPr>
          <w:rFonts w:cs="Times New Roman"/>
          <w:lang w:val="fr-CA"/>
        </w:rPr>
        <w:t>,</w:t>
      </w:r>
      <w:r w:rsidRPr="00345FEE">
        <w:rPr>
          <w:rFonts w:cs="Times New Roman"/>
          <w:lang w:val="fr-CA"/>
        </w:rPr>
        <w:t xml:space="preserve"> </w:t>
      </w:r>
      <w:r w:rsidRPr="00345FEE">
        <w:rPr>
          <w:rFonts w:cs="Times New Roman"/>
          <w:i/>
          <w:lang w:val="fr-CA"/>
        </w:rPr>
        <w:t>Kresko</w:t>
      </w:r>
      <w:r w:rsidRPr="00345FEE">
        <w:rPr>
          <w:rFonts w:cs="Times New Roman"/>
          <w:lang w:val="fr-CA"/>
        </w:rPr>
        <w:t xml:space="preserve">, par. 4, 42 et 87; je souligne toutefois que, dans </w:t>
      </w:r>
      <w:r w:rsidRPr="00345FEE">
        <w:rPr>
          <w:rFonts w:cs="Times New Roman"/>
          <w:i/>
          <w:lang w:val="fr-CA"/>
        </w:rPr>
        <w:t>Kresko</w:t>
      </w:r>
      <w:r w:rsidRPr="00345FEE">
        <w:rPr>
          <w:rFonts w:cs="Times New Roman"/>
          <w:lang w:val="fr-CA"/>
        </w:rPr>
        <w:t xml:space="preserve">, il y avait non pas une, mais deux victimes). Je ne dis pas que j’approuve sur le plan théorique la distinction entre les infractions d’entrave et les infractions substitutives établie par la jurisprudence. L’objectif est plutôt de démontrer ici que, lorsque les juges de première instance isolent artificiellement l’élément d’entrave que comporte le par. 255(3.2), ils ont tendance à prononcer des peines tournant autour d’un an ou moins. Dans la présente affaire — où M. Suter n’était pas ivre et a été impliqué dans un accident non lié à l’affaiblissement des facultés —, seul l’élément d’entrave du par. 255(3.2) est présent. Il s’ensuit qu’une peine de moins d’un an d’emprisonnement semblerait suffisamment indiquée compte tenu de cette jurisprudence qui reflète la sagesse des juges appelés régulièrement à déterminer les peines appropriées à l’égard de ce type d’infractions. </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Selon moi, la souplesse décrite précédemment illustre bien la façon dont le législateur a voulu que l’infraction en question s’applique, c’est</w:t>
      </w:r>
      <w:r w:rsidRPr="00345FEE">
        <w:rPr>
          <w:rFonts w:cs="Times New Roman"/>
          <w:lang w:val="fr-CA"/>
        </w:rPr>
        <w:noBreakHyphen/>
        <w:t>à</w:t>
      </w:r>
      <w:r w:rsidRPr="00345FEE">
        <w:rPr>
          <w:rFonts w:cs="Times New Roman"/>
          <w:lang w:val="fr-CA"/>
        </w:rPr>
        <w:noBreakHyphen/>
        <w:t xml:space="preserve">dire de manière suffisamment sévère pour décourager toute tentation de refuser de donner un échantillon d’haleine, mais de manière suffisamment flexible pour reconnaître qu’un refus ne coïncide pas toujours avec le fait d’avoir conduit un véhicule avec les facultés affaiblies. Voici ce que dit d’ailleurs le juge de la peine à ce sujet : </w:t>
      </w:r>
    </w:p>
    <w:p w:rsidR="001A0BA2" w:rsidRPr="00345FEE" w:rsidRDefault="001A0BA2" w:rsidP="001A0BA2">
      <w:pPr>
        <w:pStyle w:val="Citation-AltC"/>
        <w:ind w:left="1168" w:hanging="1168"/>
        <w:contextualSpacing w:val="0"/>
        <w:rPr>
          <w:lang w:val="fr-CA"/>
        </w:rPr>
      </w:pPr>
      <w:r w:rsidRPr="00345FEE">
        <w:rPr>
          <w:lang w:val="fr-CA"/>
        </w:rPr>
        <w:lastRenderedPageBreak/>
        <w:tab/>
        <w:t>[</w:t>
      </w:r>
      <w:r w:rsidRPr="00345FEE">
        <w:rPr>
          <w:smallCaps/>
          <w:lang w:val="fr-CA"/>
        </w:rPr>
        <w:t>traduction</w:t>
      </w:r>
      <w:r w:rsidRPr="00345FEE">
        <w:rPr>
          <w:lang w:val="fr-CA"/>
        </w:rPr>
        <w:t xml:space="preserve">] La cour ne peut adhérer à l’idée que la peine applicable à cette infraction doit toujours être la même que celle qui serait applicable dans les cas de conduite avec capacités affaiblies ayant causé la mort, sans égard aux faits. C’est le fait de </w:t>
      </w:r>
      <w:r w:rsidRPr="00345FEE">
        <w:rPr>
          <w:i/>
          <w:lang w:val="fr-CA"/>
        </w:rPr>
        <w:t>s’exposer</w:t>
      </w:r>
      <w:r w:rsidRPr="00345FEE">
        <w:rPr>
          <w:lang w:val="fr-CA"/>
        </w:rPr>
        <w:t xml:space="preserve"> à la même peine qui dissuadera une personne de refuser de donner un échantillon, et non l’existence d’une fourchette de peines prédéterminée s’appliquant en cas de refus peu importe le contexte. Si le législateur avait voulu qu’il y ait une peine fixe ou une fourchette fixe de peines, il au</w:t>
      </w:r>
      <w:r w:rsidR="00883F43">
        <w:rPr>
          <w:lang w:val="fr-CA"/>
        </w:rPr>
        <w:t>rait pu sans problème le dire</w:t>
      </w:r>
      <w:r w:rsidR="00780005">
        <w:rPr>
          <w:lang w:val="fr-CA"/>
        </w:rPr>
        <w:t>.</w:t>
      </w:r>
      <w:r w:rsidR="00883F43">
        <w:rPr>
          <w:lang w:val="fr-CA"/>
        </w:rPr>
        <w:t xml:space="preserve"> [En italique </w:t>
      </w:r>
      <w:r w:rsidRPr="00345FEE">
        <w:rPr>
          <w:lang w:val="fr-CA"/>
        </w:rPr>
        <w:t xml:space="preserve">dans l’original; par. 65.] </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 xml:space="preserve">De fait, la peine minimale obligatoire en cas de refus de fournir un échantillon d’haleine à la suite d’un accident mortel est une peine autre que l’incarcération, à savoir une amende de 1 000 $ (voir le </w:t>
      </w:r>
      <w:r w:rsidRPr="00345FEE">
        <w:rPr>
          <w:rFonts w:cs="Times New Roman"/>
          <w:i/>
          <w:lang w:val="fr-CA"/>
        </w:rPr>
        <w:t>Code criminel</w:t>
      </w:r>
      <w:r w:rsidRPr="00345FEE">
        <w:rPr>
          <w:rFonts w:cs="Times New Roman"/>
          <w:lang w:val="fr-CA"/>
        </w:rPr>
        <w:t>, sous</w:t>
      </w:r>
      <w:r w:rsidRPr="00345FEE">
        <w:rPr>
          <w:rFonts w:cs="Times New Roman"/>
          <w:lang w:val="fr-CA"/>
        </w:rPr>
        <w:noBreakHyphen/>
        <w:t>al. 255(1)a)(i) et par. 255(3.3)).</w:t>
      </w:r>
    </w:p>
    <w:p w:rsidR="001A0BA2" w:rsidRPr="00345FEE" w:rsidRDefault="001A0BA2" w:rsidP="001A0BA2">
      <w:pPr>
        <w:pStyle w:val="Title3LevelTitre3Niveau"/>
        <w:rPr>
          <w:rFonts w:cs="Times New Roman"/>
          <w:lang w:val="fr-CA"/>
        </w:rPr>
      </w:pPr>
      <w:r w:rsidRPr="00345FEE">
        <w:rPr>
          <w:rFonts w:cs="Times New Roman"/>
          <w:lang w:val="fr-CA"/>
        </w:rPr>
        <w:t>Conclusion sur le résultat erroné</w:t>
      </w:r>
    </w:p>
    <w:p w:rsidR="001A0BA2" w:rsidRPr="00345FEE" w:rsidRDefault="001A0BA2" w:rsidP="001A0BA2">
      <w:pPr>
        <w:pStyle w:val="ParaNoNdepar-AltN"/>
        <w:rPr>
          <w:rFonts w:cs="Times New Roman"/>
          <w:lang w:val="fr-CA"/>
        </w:rPr>
      </w:pPr>
      <w:r w:rsidRPr="00345FEE">
        <w:rPr>
          <w:rFonts w:cs="Times New Roman"/>
          <w:lang w:val="fr-CA"/>
        </w:rPr>
        <w:t>Compte tenu des faits uniques de l’espèce et de la jurisprudence décrite précédemment, je suis d’avis que rien ne permet aux juges majoritaires d’affirmer que la peine d’emprisonnement de quatre mois à laquelle M. Suter a été condamné était « manifestement non indiquée » (par. 94). En fait, ce qu’ils reprochent à cette peine n’est pas de « s’écarte[r] de façon marquée et substantielle des peines qui sont habituellement infligées à des délinquants similaires ayant commis des crimes similaires » (</w:t>
      </w:r>
      <w:r w:rsidRPr="00345FEE">
        <w:rPr>
          <w:rFonts w:cs="Times New Roman"/>
          <w:i/>
          <w:lang w:val="fr-CA"/>
        </w:rPr>
        <w:t>R. c. M. (C.A.)</w:t>
      </w:r>
      <w:r w:rsidRPr="00345FEE">
        <w:rPr>
          <w:rFonts w:cs="Times New Roman"/>
          <w:lang w:val="fr-CA"/>
        </w:rPr>
        <w:t xml:space="preserve">, [1996] 1 R.C.S. 500, par. 92; voir aussi </w:t>
      </w:r>
      <w:r w:rsidRPr="00345FEE">
        <w:rPr>
          <w:rFonts w:cs="Times New Roman"/>
          <w:i/>
          <w:lang w:val="fr-CA"/>
        </w:rPr>
        <w:t>Lacasse</w:t>
      </w:r>
      <w:r w:rsidRPr="00345FEE">
        <w:rPr>
          <w:rFonts w:cs="Times New Roman"/>
          <w:lang w:val="fr-CA"/>
        </w:rPr>
        <w:t>, par. 52), mais plutôt de ne pas être celle qu’ils auraient prononcée.</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 xml:space="preserve">Je termine en soulignant ceci. Les juges majoritaires reprochent à la Cour d’appel d’avoir infligé à M. Suter la peine dont il aurait écopé s’il avait été reconnu coupable de conduite dangereuse causant la mort (la peine d’emprisonnement de 26 mois). Ils reprochent également au juge de la peine d’avoir accordé trop </w:t>
      </w:r>
      <w:r w:rsidRPr="00345FEE">
        <w:rPr>
          <w:rFonts w:cs="Times New Roman"/>
          <w:lang w:val="fr-CA"/>
        </w:rPr>
        <w:lastRenderedPageBreak/>
        <w:t>d’importance à la confusion qui régnait dans l’esprit de M. Suter et au fait qu’il n’était pas ivre (la peine d’emprisonnement de quatre mois). Or, il me semble que la méthodologie de la Cour d’appel en matière de détermination de la peine suscite des préoccupations beaucoup plus importantes chez les juges majoritaires que celle utilisée par le juge de la peine. En fin de compte, les juges majoritaires soupèsent pour l’essentiel tous les facteurs que le juge de la peine a pris en compte, mais ils arrivent simplement à un chiffre différent. Cela étant, je saisis mal que les juges majoritaires — si l’on fait abstraction de la généreuse interprétation qu’ils font de l’effet atténuant de l’attente de l’issue du pourvoi — soient favorables à une peine s’approchant plus de celle qu’a infligée la Cour d’appel que de celle retenue par le juge de la peine.</w:t>
      </w:r>
    </w:p>
    <w:p w:rsidR="001A0BA2" w:rsidRPr="00345FEE" w:rsidRDefault="001A0BA2" w:rsidP="0026370F">
      <w:pPr>
        <w:pStyle w:val="Title1LevelTitre1Niveau-AltL"/>
        <w:rPr>
          <w:lang w:val="fr-CA"/>
        </w:rPr>
      </w:pPr>
      <w:r w:rsidRPr="00345FEE">
        <w:rPr>
          <w:lang w:val="fr-CA"/>
        </w:rPr>
        <w:t>Conclusion</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Le pourvoi concerne un accident de voiture mortel, qui n’était en réalité qu’un accident. L’affaiblissement des facultés n’était pas à l’origine de l’accident et il n’a pas non plus été démontré que celui</w:t>
      </w:r>
      <w:r w:rsidRPr="00345FEE">
        <w:rPr>
          <w:rFonts w:cs="Times New Roman"/>
          <w:lang w:val="fr-CA"/>
        </w:rPr>
        <w:noBreakHyphen/>
        <w:t xml:space="preserve">ci a été causé par une distraction. M. Suter a de toute évidence commis une infraction criminelle en refusant de fournir un échantillon d’haleine. Cependant, il a refusé de fournir cet échantillon uniquement parce que c’est ce que son avocat (dont les services étaient offerts par l’État et dont il était en droit de recevoir les conseils en vertu de la </w:t>
      </w:r>
      <w:r w:rsidRPr="00F67401">
        <w:rPr>
          <w:rFonts w:cs="Times New Roman"/>
          <w:lang w:val="fr-CA"/>
        </w:rPr>
        <w:t>Constitution</w:t>
      </w:r>
      <w:r w:rsidRPr="00345FEE">
        <w:rPr>
          <w:rFonts w:cs="Times New Roman"/>
          <w:lang w:val="fr-CA"/>
        </w:rPr>
        <w:t>) lui a expressément et à diverses reprises conseillé de faire. M. Suter a fait ce que la plupart des Canadiens auraient sans doute fait. Dans un contexte administratif complexe avec lequel il n’était pas familier, il</w:t>
      </w:r>
      <w:r>
        <w:rPr>
          <w:rFonts w:cs="Times New Roman"/>
          <w:lang w:val="fr-CA"/>
        </w:rPr>
        <w:t xml:space="preserve"> </w:t>
      </w:r>
      <w:r w:rsidRPr="00345FEE">
        <w:rPr>
          <w:rFonts w:cs="Times New Roman"/>
          <w:lang w:val="fr-CA"/>
        </w:rPr>
        <w:t>a suivi les conseils non équivoques de son avocat (conformément à son droit constitutionnel d’obtenir de tels conseils (</w:t>
      </w:r>
      <w:r w:rsidRPr="00345FEE">
        <w:rPr>
          <w:rFonts w:cs="Times New Roman"/>
          <w:i/>
          <w:lang w:val="fr-CA"/>
        </w:rPr>
        <w:t>Singh</w:t>
      </w:r>
      <w:r w:rsidRPr="00345FEE">
        <w:rPr>
          <w:rFonts w:cs="Times New Roman"/>
          <w:lang w:val="fr-CA"/>
        </w:rPr>
        <w:t xml:space="preserve">, par. 33)). Selon les juges majoritaires, n’eût été le sursis d’exécution effectif qu’ils prononcent en appel, </w:t>
      </w:r>
      <w:r w:rsidRPr="00345FEE">
        <w:rPr>
          <w:rFonts w:cs="Times New Roman"/>
          <w:lang w:val="fr-CA"/>
        </w:rPr>
        <w:lastRenderedPageBreak/>
        <w:t>M. Suter devrait purger une peine de prison pouvant aller jusqu’à 18 mois. Soit dit en tout respect, je ne peux souscrire à cette opinion.</w:t>
      </w:r>
    </w:p>
    <w:p w:rsidR="001A0BA2" w:rsidRPr="00345FEE" w:rsidRDefault="001A0BA2" w:rsidP="001A0BA2">
      <w:pPr>
        <w:pStyle w:val="ParaNoNdepar-AltN"/>
        <w:tabs>
          <w:tab w:val="clear" w:pos="1152"/>
          <w:tab w:val="left" w:pos="1166"/>
        </w:tabs>
        <w:rPr>
          <w:rFonts w:cs="Times New Roman"/>
          <w:lang w:val="fr-CA"/>
        </w:rPr>
      </w:pPr>
      <w:r w:rsidRPr="00345FEE">
        <w:rPr>
          <w:rFonts w:cs="Times New Roman"/>
          <w:lang w:val="fr-CA"/>
        </w:rPr>
        <w:t>Par conséquent, j’accueillerais le pourvoi de M. Suter en partie. Toutefois, contrairement aux juges majoritaires, puisque j’estime qu’aucun motif juridique ne permet une intervention en appel à l’égard de la peine initiale prononcée en l’espèce, j’annulerais la peine de 26 mois d’emprisonnement infligée par la Cour d’appel et je rétablirais la peine de 4 mois prononcée par le juge de la peine. Je confirmerais l’interdiction de conduire de 30 mois.</w:t>
      </w:r>
    </w:p>
    <w:p w:rsidR="004D7D95" w:rsidRPr="009B2C4A" w:rsidRDefault="004D7D95" w:rsidP="00EC2BDA">
      <w:pPr>
        <w:pStyle w:val="SCCNormalDoubleSpacing"/>
        <w:spacing w:after="480"/>
        <w:rPr>
          <w:i/>
          <w:lang w:val="fr-CA"/>
        </w:rPr>
      </w:pPr>
      <w:r w:rsidRPr="009B2C4A">
        <w:rPr>
          <w:lang w:val="fr-CA"/>
        </w:rPr>
        <w:tab/>
      </w:r>
      <w:r w:rsidR="00667AB3" w:rsidRPr="009B2C4A">
        <w:rPr>
          <w:i/>
          <w:lang w:val="fr-CA"/>
        </w:rPr>
        <w:t xml:space="preserve">Pourvoi </w:t>
      </w:r>
      <w:r w:rsidR="009700AD" w:rsidRPr="009B2C4A">
        <w:rPr>
          <w:i/>
          <w:lang w:val="fr-CA"/>
        </w:rPr>
        <w:t xml:space="preserve">accueilli en partie, le juge </w:t>
      </w:r>
      <w:r w:rsidR="00EF7B51" w:rsidRPr="00DB2EE0">
        <w:rPr>
          <w:smallCaps/>
          <w:lang w:val="fr-CA"/>
        </w:rPr>
        <w:t>G</w:t>
      </w:r>
      <w:r w:rsidR="00DB2EE0" w:rsidRPr="00DB2EE0">
        <w:rPr>
          <w:smallCaps/>
          <w:lang w:val="fr-CA"/>
        </w:rPr>
        <w:t>ascon</w:t>
      </w:r>
      <w:r w:rsidR="00EF7B51" w:rsidRPr="009B2C4A">
        <w:rPr>
          <w:lang w:val="fr-CA"/>
        </w:rPr>
        <w:t xml:space="preserve"> </w:t>
      </w:r>
      <w:r w:rsidR="009700AD" w:rsidRPr="009B2C4A">
        <w:rPr>
          <w:i/>
          <w:lang w:val="fr-CA"/>
        </w:rPr>
        <w:t>est dissident en partie</w:t>
      </w:r>
      <w:r w:rsidR="00667AB3" w:rsidRPr="009B2C4A">
        <w:rPr>
          <w:i/>
          <w:lang w:val="fr-CA"/>
        </w:rPr>
        <w:t>.</w:t>
      </w:r>
    </w:p>
    <w:p w:rsidR="00090A30" w:rsidRPr="009B2C4A" w:rsidRDefault="00667AB3" w:rsidP="00EC2BDA">
      <w:pPr>
        <w:pStyle w:val="SCCLawFirm"/>
        <w:spacing w:before="480" w:after="480"/>
        <w:rPr>
          <w:lang w:val="fr-CA"/>
        </w:rPr>
      </w:pPr>
      <w:r w:rsidRPr="009B2C4A">
        <w:rPr>
          <w:lang w:val="fr-CA"/>
        </w:rPr>
        <w:tab/>
        <w:t>Procureurs de l</w:t>
      </w:r>
      <w:r w:rsidR="009B2C4A" w:rsidRPr="009B2C4A">
        <w:rPr>
          <w:lang w:val="fr-CA"/>
        </w:rPr>
        <w:t>’</w:t>
      </w:r>
      <w:r w:rsidRPr="009B2C4A">
        <w:rPr>
          <w:lang w:val="fr-CA"/>
        </w:rPr>
        <w:t>appelant</w:t>
      </w:r>
      <w:r w:rsidR="009B2C4A" w:rsidRPr="009B2C4A">
        <w:rPr>
          <w:lang w:val="fr-CA"/>
        </w:rPr>
        <w:t> :</w:t>
      </w:r>
      <w:r w:rsidR="00EC2BDA" w:rsidRPr="009B2C4A">
        <w:rPr>
          <w:lang w:val="fr-CA"/>
        </w:rPr>
        <w:t> </w:t>
      </w:r>
      <w:r w:rsidRPr="009B2C4A">
        <w:rPr>
          <w:lang w:val="fr-CA"/>
        </w:rPr>
        <w:t>Bottos Law Group, Edmonton.</w:t>
      </w:r>
    </w:p>
    <w:p w:rsidR="009B57B3" w:rsidRPr="009B2C4A" w:rsidRDefault="00667AB3" w:rsidP="00667AB3">
      <w:pPr>
        <w:pStyle w:val="SCCLawFirm"/>
        <w:rPr>
          <w:lang w:val="fr-CA"/>
        </w:rPr>
      </w:pPr>
      <w:r w:rsidRPr="009B2C4A">
        <w:rPr>
          <w:lang w:val="fr-CA"/>
        </w:rPr>
        <w:tab/>
        <w:t>Procureur de l</w:t>
      </w:r>
      <w:r w:rsidR="009B2C4A" w:rsidRPr="009B2C4A">
        <w:rPr>
          <w:lang w:val="fr-CA"/>
        </w:rPr>
        <w:t>’</w:t>
      </w:r>
      <w:r w:rsidRPr="009B2C4A">
        <w:rPr>
          <w:lang w:val="fr-CA"/>
        </w:rPr>
        <w:t>intimée</w:t>
      </w:r>
      <w:r w:rsidR="009B2C4A" w:rsidRPr="009B2C4A">
        <w:rPr>
          <w:lang w:val="fr-CA"/>
        </w:rPr>
        <w:t> :</w:t>
      </w:r>
      <w:r w:rsidR="00EC2BDA" w:rsidRPr="009B2C4A">
        <w:rPr>
          <w:lang w:val="fr-CA"/>
        </w:rPr>
        <w:t> </w:t>
      </w:r>
      <w:r w:rsidRPr="009B2C4A">
        <w:rPr>
          <w:lang w:val="fr-CA"/>
        </w:rPr>
        <w:t>Procureur général de l</w:t>
      </w:r>
      <w:r w:rsidR="009B2C4A" w:rsidRPr="009B2C4A">
        <w:rPr>
          <w:lang w:val="fr-CA"/>
        </w:rPr>
        <w:t>’</w:t>
      </w:r>
      <w:r w:rsidRPr="009B2C4A">
        <w:rPr>
          <w:lang w:val="fr-CA"/>
        </w:rPr>
        <w:t>Alberta, Edmonton.</w:t>
      </w:r>
    </w:p>
    <w:sectPr w:rsidR="009B57B3" w:rsidRPr="009B2C4A"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0EB" w:rsidRDefault="001E30EB">
      <w:r>
        <w:separator/>
      </w:r>
    </w:p>
  </w:endnote>
  <w:endnote w:type="continuationSeparator" w:id="0">
    <w:p w:rsidR="001E30EB" w:rsidRDefault="001E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0EB" w:rsidRDefault="001E30EB">
      <w:r>
        <w:separator/>
      </w:r>
    </w:p>
  </w:footnote>
  <w:footnote w:type="continuationSeparator" w:id="0">
    <w:p w:rsidR="001E30EB" w:rsidRDefault="001E30EB">
      <w:r>
        <w:continuationSeparator/>
      </w:r>
    </w:p>
  </w:footnote>
  <w:footnote w:id="1">
    <w:p w:rsidR="001A0BA2" w:rsidRPr="00200944" w:rsidRDefault="001A0BA2" w:rsidP="001A0BA2">
      <w:pPr>
        <w:pStyle w:val="FootnoteText"/>
        <w:rPr>
          <w:noProof/>
          <w:lang w:val="fr-CA"/>
        </w:rPr>
      </w:pPr>
      <w:r w:rsidRPr="00200944">
        <w:rPr>
          <w:rStyle w:val="FootnoteReference"/>
          <w:lang w:val="fr-CA"/>
        </w:rPr>
        <w:footnoteRef/>
      </w:r>
      <w:r w:rsidRPr="00200944">
        <w:rPr>
          <w:lang w:val="fr-CA"/>
        </w:rPr>
        <w:tab/>
      </w:r>
      <w:r w:rsidRPr="00200944">
        <w:rPr>
          <w:noProof/>
          <w:lang w:val="fr-CA"/>
        </w:rPr>
        <w:t>Cette règle générale comporte deux exceptions, dont aucune ne s</w:t>
      </w:r>
      <w:r>
        <w:rPr>
          <w:noProof/>
          <w:lang w:val="fr-CA"/>
        </w:rPr>
        <w:t>’</w:t>
      </w:r>
      <w:r w:rsidRPr="00200944">
        <w:rPr>
          <w:noProof/>
          <w:lang w:val="fr-CA"/>
        </w:rPr>
        <w:t>applique en l</w:t>
      </w:r>
      <w:r>
        <w:rPr>
          <w:noProof/>
          <w:lang w:val="fr-CA"/>
        </w:rPr>
        <w:t>’</w:t>
      </w:r>
      <w:r w:rsidRPr="00200944">
        <w:rPr>
          <w:noProof/>
          <w:lang w:val="fr-CA"/>
        </w:rPr>
        <w:t>espèce. La première exception est codifiée à l</w:t>
      </w:r>
      <w:r>
        <w:rPr>
          <w:noProof/>
          <w:lang w:val="fr-CA"/>
        </w:rPr>
        <w:t>’</w:t>
      </w:r>
      <w:r w:rsidRPr="00200944">
        <w:rPr>
          <w:noProof/>
          <w:lang w:val="fr-CA"/>
        </w:rPr>
        <w:t xml:space="preserve">al. 725(1)c) du </w:t>
      </w:r>
      <w:r w:rsidRPr="00200944">
        <w:rPr>
          <w:i/>
          <w:noProof/>
          <w:lang w:val="fr-CA"/>
        </w:rPr>
        <w:t>Code criminel</w:t>
      </w:r>
      <w:r w:rsidRPr="00200944">
        <w:rPr>
          <w:noProof/>
          <w:lang w:val="fr-CA"/>
        </w:rPr>
        <w:t>, suivant lequel, pour déterminer la peine appropriée à infliger à un délinquant, le tribunal peut prendre en considération les faits liés à la perpétration de l</w:t>
      </w:r>
      <w:r>
        <w:rPr>
          <w:noProof/>
          <w:lang w:val="fr-CA"/>
        </w:rPr>
        <w:t>’</w:t>
      </w:r>
      <w:r w:rsidRPr="00200944">
        <w:rPr>
          <w:noProof/>
          <w:lang w:val="fr-CA"/>
        </w:rPr>
        <w:t>infraction sur lesquels pourrait être fondée une accusation distincte. Lorsque cette disposition est invoquée, le tribunal doit noter ces faits sur la dénonciation ou l</w:t>
      </w:r>
      <w:r>
        <w:rPr>
          <w:noProof/>
          <w:lang w:val="fr-CA"/>
        </w:rPr>
        <w:t>’</w:t>
      </w:r>
      <w:r w:rsidRPr="00200944">
        <w:rPr>
          <w:noProof/>
          <w:lang w:val="fr-CA"/>
        </w:rPr>
        <w:t>acte d</w:t>
      </w:r>
      <w:r>
        <w:rPr>
          <w:noProof/>
          <w:lang w:val="fr-CA"/>
        </w:rPr>
        <w:t>’</w:t>
      </w:r>
      <w:r w:rsidRPr="00200944">
        <w:rPr>
          <w:noProof/>
          <w:lang w:val="fr-CA"/>
        </w:rPr>
        <w:t>accusation conformément à l</w:t>
      </w:r>
      <w:r>
        <w:rPr>
          <w:noProof/>
          <w:lang w:val="fr-CA"/>
        </w:rPr>
        <w:t>’</w:t>
      </w:r>
      <w:r w:rsidRPr="00200944">
        <w:rPr>
          <w:noProof/>
          <w:lang w:val="fr-CA"/>
        </w:rPr>
        <w:t xml:space="preserve">al. 725(2)b) du </w:t>
      </w:r>
      <w:r w:rsidRPr="00200944">
        <w:rPr>
          <w:i/>
          <w:noProof/>
          <w:lang w:val="fr-CA"/>
        </w:rPr>
        <w:t>Code criminel</w:t>
      </w:r>
      <w:r w:rsidRPr="00200944">
        <w:rPr>
          <w:noProof/>
          <w:lang w:val="fr-CA"/>
        </w:rPr>
        <w:t>. Ce n</w:t>
      </w:r>
      <w:r>
        <w:rPr>
          <w:noProof/>
          <w:lang w:val="fr-CA"/>
        </w:rPr>
        <w:t>’</w:t>
      </w:r>
      <w:r w:rsidRPr="00200944">
        <w:rPr>
          <w:noProof/>
          <w:lang w:val="fr-CA"/>
        </w:rPr>
        <w:t>était pas le cas en l</w:t>
      </w:r>
      <w:r>
        <w:rPr>
          <w:noProof/>
          <w:lang w:val="fr-CA"/>
        </w:rPr>
        <w:t>’</w:t>
      </w:r>
      <w:r w:rsidRPr="00200944">
        <w:rPr>
          <w:noProof/>
          <w:lang w:val="fr-CA"/>
        </w:rPr>
        <w:t>espèce. En conséquence, l</w:t>
      </w:r>
      <w:r>
        <w:rPr>
          <w:noProof/>
          <w:lang w:val="fr-CA"/>
        </w:rPr>
        <w:t>’</w:t>
      </w:r>
      <w:r w:rsidRPr="00200944">
        <w:rPr>
          <w:noProof/>
          <w:lang w:val="fr-CA"/>
        </w:rPr>
        <w:t>exception prévue à l</w:t>
      </w:r>
      <w:r>
        <w:rPr>
          <w:noProof/>
          <w:lang w:val="fr-CA"/>
        </w:rPr>
        <w:t>’</w:t>
      </w:r>
      <w:r w:rsidRPr="00200944">
        <w:rPr>
          <w:noProof/>
          <w:lang w:val="fr-CA"/>
        </w:rPr>
        <w:t>al. 725(1)c) ne s</w:t>
      </w:r>
      <w:r>
        <w:rPr>
          <w:noProof/>
          <w:lang w:val="fr-CA"/>
        </w:rPr>
        <w:t>’</w:t>
      </w:r>
      <w:r w:rsidRPr="00200944">
        <w:rPr>
          <w:noProof/>
          <w:lang w:val="fr-CA"/>
        </w:rPr>
        <w:t xml:space="preserve">applique pas. La deuxième exception est celle où les faits sur lesquels pourrait être fondée une accusation distincte peuvent être révélateurs en ce qui a trait au caractère ou à la réputation du délinquant (voir </w:t>
      </w:r>
      <w:r w:rsidRPr="00200944">
        <w:rPr>
          <w:i/>
          <w:noProof/>
          <w:lang w:val="fr-CA"/>
        </w:rPr>
        <w:t>Angelillo</w:t>
      </w:r>
      <w:r w:rsidRPr="00200944">
        <w:rPr>
          <w:noProof/>
          <w:lang w:val="fr-CA"/>
        </w:rPr>
        <w:t>, par. 29</w:t>
      </w:r>
      <w:r w:rsidRPr="00200944">
        <w:rPr>
          <w:noProof/>
          <w:lang w:val="fr-CA"/>
        </w:rPr>
        <w:noBreakHyphen/>
        <w:t>31). Dans un tel cas, les tribunaux peuvent prendre en considération ces faits pour déterminer la peine à infliger au délinquant. Encore une fois, ce n</w:t>
      </w:r>
      <w:r>
        <w:rPr>
          <w:noProof/>
          <w:lang w:val="fr-CA"/>
        </w:rPr>
        <w:t>’</w:t>
      </w:r>
      <w:r w:rsidRPr="00200944">
        <w:rPr>
          <w:noProof/>
          <w:lang w:val="fr-CA"/>
        </w:rPr>
        <w:t>était pas le cas en l</w:t>
      </w:r>
      <w:r>
        <w:rPr>
          <w:noProof/>
          <w:lang w:val="fr-CA"/>
        </w:rPr>
        <w:t>’</w:t>
      </w:r>
      <w:r w:rsidRPr="00200944">
        <w:rPr>
          <w:noProof/>
          <w:lang w:val="fr-CA"/>
        </w:rPr>
        <w:t>espèce. Cette deuxième exception ne s</w:t>
      </w:r>
      <w:r>
        <w:rPr>
          <w:noProof/>
          <w:lang w:val="fr-CA"/>
        </w:rPr>
        <w:t>’</w:t>
      </w:r>
      <w:r w:rsidRPr="00200944">
        <w:rPr>
          <w:noProof/>
          <w:lang w:val="fr-CA"/>
        </w:rPr>
        <w:t>applique donc pas non plus.</w:t>
      </w:r>
    </w:p>
  </w:footnote>
  <w:footnote w:id="2">
    <w:p w:rsidR="001A0BA2" w:rsidRPr="00200944" w:rsidRDefault="001A0BA2" w:rsidP="001A0BA2">
      <w:pPr>
        <w:pStyle w:val="FootnoteText"/>
        <w:rPr>
          <w:lang w:val="fr-CA"/>
        </w:rPr>
      </w:pPr>
      <w:r w:rsidRPr="00200944">
        <w:rPr>
          <w:rStyle w:val="FootnoteReference"/>
          <w:lang w:val="fr-CA"/>
        </w:rPr>
        <w:footnoteRef/>
      </w:r>
      <w:r w:rsidRPr="00200944">
        <w:rPr>
          <w:lang w:val="fr-CA"/>
        </w:rPr>
        <w:t xml:space="preserve"> </w:t>
      </w:r>
      <w:r w:rsidR="00AD00F1">
        <w:rPr>
          <w:lang w:val="fr-CA"/>
        </w:rPr>
        <w:tab/>
      </w:r>
      <w:r w:rsidRPr="00200944">
        <w:rPr>
          <w:lang w:val="fr-CA"/>
        </w:rPr>
        <w:t>Les conséquences indirectes peuvent aussi être pertinentes à l</w:t>
      </w:r>
      <w:r>
        <w:rPr>
          <w:lang w:val="fr-CA"/>
        </w:rPr>
        <w:t>’</w:t>
      </w:r>
      <w:r w:rsidRPr="00200944">
        <w:rPr>
          <w:lang w:val="fr-CA"/>
        </w:rPr>
        <w:t>égard des objectifs de dissuasion générale et individuelle et de dénonciation. Cependant, de telles considérations ne s</w:t>
      </w:r>
      <w:r>
        <w:rPr>
          <w:lang w:val="fr-CA"/>
        </w:rPr>
        <w:t>’</w:t>
      </w:r>
      <w:r w:rsidRPr="00200944">
        <w:rPr>
          <w:lang w:val="fr-CA"/>
        </w:rPr>
        <w:t>appliquent pas eu égard aux faits de l</w:t>
      </w:r>
      <w:r>
        <w:rPr>
          <w:lang w:val="fr-CA"/>
        </w:rPr>
        <w:t>’</w:t>
      </w:r>
      <w:r w:rsidRPr="00200944">
        <w:rPr>
          <w:lang w:val="fr-CA"/>
        </w:rPr>
        <w:t xml:space="preserve">espèce. </w:t>
      </w:r>
    </w:p>
  </w:footnote>
  <w:footnote w:id="3">
    <w:p w:rsidR="001A0BA2" w:rsidRPr="00200944" w:rsidRDefault="001A0BA2" w:rsidP="001A0BA2">
      <w:pPr>
        <w:pStyle w:val="FootnoteText"/>
        <w:rPr>
          <w:lang w:val="fr-CA"/>
        </w:rPr>
      </w:pPr>
      <w:r w:rsidRPr="00200944">
        <w:rPr>
          <w:rStyle w:val="FootnoteReference"/>
          <w:lang w:val="fr-CA"/>
        </w:rPr>
        <w:footnoteRef/>
      </w:r>
      <w:r w:rsidRPr="00200944">
        <w:rPr>
          <w:lang w:val="fr-CA"/>
        </w:rPr>
        <w:t xml:space="preserve"> </w:t>
      </w:r>
      <w:r w:rsidR="00AD00F1">
        <w:rPr>
          <w:lang w:val="fr-CA"/>
        </w:rPr>
        <w:tab/>
      </w:r>
      <w:r w:rsidRPr="00200944">
        <w:rPr>
          <w:lang w:val="fr-CA"/>
        </w:rPr>
        <w:t>Il convient de préciser que, bien que les conséquences indirectes pertinentes doivent être prises en compte dans l</w:t>
      </w:r>
      <w:r>
        <w:rPr>
          <w:lang w:val="fr-CA"/>
        </w:rPr>
        <w:t>’</w:t>
      </w:r>
      <w:r w:rsidRPr="00200944">
        <w:rPr>
          <w:lang w:val="fr-CA"/>
        </w:rPr>
        <w:t xml:space="preserve">analyse </w:t>
      </w:r>
      <w:r w:rsidRPr="00200944">
        <w:rPr>
          <w:noProof/>
          <w:lang w:val="fr-CA"/>
        </w:rPr>
        <w:t>relative à la détermination de la peine</w:t>
      </w:r>
      <w:r w:rsidRPr="00200944">
        <w:rPr>
          <w:lang w:val="fr-CA"/>
        </w:rPr>
        <w:t>, leur effet atténuant sur la peine infligée variera selon les circonstances. En effet, dans certains cas, elles pourraient n</w:t>
      </w:r>
      <w:r>
        <w:rPr>
          <w:lang w:val="fr-CA"/>
        </w:rPr>
        <w:t>’</w:t>
      </w:r>
      <w:r w:rsidRPr="00200944">
        <w:rPr>
          <w:lang w:val="fr-CA"/>
        </w:rPr>
        <w:t>avoir aucune incidence sur la peine infligée.</w:t>
      </w:r>
    </w:p>
  </w:footnote>
  <w:footnote w:id="4">
    <w:p w:rsidR="001A0BA2" w:rsidRPr="00E91361" w:rsidRDefault="001A0BA2" w:rsidP="001A0BA2">
      <w:pPr>
        <w:pStyle w:val="FootnoteText"/>
        <w:rPr>
          <w:lang w:val="fr-CA"/>
        </w:rPr>
      </w:pPr>
      <w:r w:rsidRPr="00200944">
        <w:rPr>
          <w:rStyle w:val="FootnoteReference"/>
          <w:lang w:val="fr-CA"/>
        </w:rPr>
        <w:footnoteRef/>
      </w:r>
      <w:r w:rsidRPr="00200944">
        <w:rPr>
          <w:lang w:val="fr-CA"/>
        </w:rPr>
        <w:t xml:space="preserve"> </w:t>
      </w:r>
      <w:r w:rsidR="00A36D26">
        <w:rPr>
          <w:lang w:val="fr-CA"/>
        </w:rPr>
        <w:tab/>
      </w:r>
      <w:r w:rsidRPr="00E91361">
        <w:rPr>
          <w:lang w:val="fr-CA"/>
        </w:rPr>
        <w:t>Si l</w:t>
      </w:r>
      <w:r>
        <w:rPr>
          <w:lang w:val="fr-CA"/>
        </w:rPr>
        <w:t>’</w:t>
      </w:r>
      <w:r w:rsidRPr="00E91361">
        <w:rPr>
          <w:lang w:val="fr-CA"/>
        </w:rPr>
        <w:t>on accepte, comme nous devons le faire en l</w:t>
      </w:r>
      <w:r>
        <w:rPr>
          <w:lang w:val="fr-CA"/>
        </w:rPr>
        <w:t>’</w:t>
      </w:r>
      <w:r w:rsidRPr="00E91361">
        <w:rPr>
          <w:lang w:val="fr-CA"/>
        </w:rPr>
        <w:t>espèce, les conclusions qu</w:t>
      </w:r>
      <w:r>
        <w:rPr>
          <w:lang w:val="fr-CA"/>
        </w:rPr>
        <w:t>’</w:t>
      </w:r>
      <w:r w:rsidRPr="00E91361">
        <w:rPr>
          <w:lang w:val="fr-CA"/>
        </w:rPr>
        <w:t>a tirées le juge de</w:t>
      </w:r>
      <w:r>
        <w:rPr>
          <w:lang w:val="fr-CA"/>
        </w:rPr>
        <w:t xml:space="preserve"> la peine</w:t>
      </w:r>
      <w:r w:rsidRPr="00E91361">
        <w:rPr>
          <w:lang w:val="fr-CA"/>
        </w:rPr>
        <w:t xml:space="preserve"> à l</w:t>
      </w:r>
      <w:r>
        <w:rPr>
          <w:lang w:val="fr-CA"/>
        </w:rPr>
        <w:t>’</w:t>
      </w:r>
      <w:r w:rsidRPr="00E91361">
        <w:rPr>
          <w:lang w:val="fr-CA"/>
        </w:rPr>
        <w:t>encontre de l</w:t>
      </w:r>
      <w:r>
        <w:rPr>
          <w:lang w:val="fr-CA"/>
        </w:rPr>
        <w:t>’</w:t>
      </w:r>
      <w:r w:rsidRPr="00E91361">
        <w:rPr>
          <w:lang w:val="fr-CA"/>
        </w:rPr>
        <w:t xml:space="preserve">avocat du genre visé dans </w:t>
      </w:r>
      <w:r w:rsidRPr="00E91361">
        <w:rPr>
          <w:i/>
          <w:lang w:val="fr-CA"/>
        </w:rPr>
        <w:t>Brydges</w:t>
      </w:r>
      <w:r w:rsidRPr="00E91361">
        <w:rPr>
          <w:lang w:val="fr-CA"/>
        </w:rPr>
        <w:t>, les conseils de l</w:t>
      </w:r>
      <w:r>
        <w:rPr>
          <w:lang w:val="fr-CA"/>
        </w:rPr>
        <w:t>’</w:t>
      </w:r>
      <w:r w:rsidRPr="00E91361">
        <w:rPr>
          <w:lang w:val="fr-CA"/>
        </w:rPr>
        <w:t>avocat n</w:t>
      </w:r>
      <w:r>
        <w:rPr>
          <w:lang w:val="fr-CA"/>
        </w:rPr>
        <w:t>’</w:t>
      </w:r>
      <w:r w:rsidRPr="00E91361">
        <w:rPr>
          <w:lang w:val="fr-CA"/>
        </w:rPr>
        <w:t>étaient pas seulement erronés, mais ils représentaient aussi une omission grave de se tenir au courant du droit applicable ainsi qu</w:t>
      </w:r>
      <w:r>
        <w:rPr>
          <w:lang w:val="fr-CA"/>
        </w:rPr>
        <w:t>’</w:t>
      </w:r>
      <w:r w:rsidRPr="00E91361">
        <w:rPr>
          <w:lang w:val="fr-CA"/>
        </w:rPr>
        <w:t>un échec troublant du programme provincial de mise en œuvre des prescriptions de l</w:t>
      </w:r>
      <w:r>
        <w:rPr>
          <w:lang w:val="fr-CA"/>
        </w:rPr>
        <w:t>’</w:t>
      </w:r>
      <w:r w:rsidRPr="00E91361">
        <w:rPr>
          <w:lang w:val="fr-CA"/>
        </w:rPr>
        <w:t xml:space="preserve">arrêt </w:t>
      </w:r>
      <w:r w:rsidRPr="00E91361">
        <w:rPr>
          <w:i/>
          <w:lang w:val="fr-CA"/>
        </w:rPr>
        <w:t>Brydges</w:t>
      </w:r>
      <w:r w:rsidRPr="00E91361">
        <w:rPr>
          <w:lang w:val="fr-CA"/>
        </w:rPr>
        <w:t xml:space="preserve"> — un programme visant à faire en sorte que </w:t>
      </w:r>
      <w:r w:rsidRPr="00E91361">
        <w:rPr>
          <w:i/>
          <w:lang w:val="fr-CA"/>
        </w:rPr>
        <w:t>tous</w:t>
      </w:r>
      <w:r w:rsidRPr="00E91361">
        <w:rPr>
          <w:lang w:val="fr-CA"/>
        </w:rPr>
        <w:t xml:space="preserve"> les détenus aient accès à des conseils juridiques conformément à l</w:t>
      </w:r>
      <w:r>
        <w:rPr>
          <w:lang w:val="fr-CA"/>
        </w:rPr>
        <w:t>’</w:t>
      </w:r>
      <w:r w:rsidRPr="00E91361">
        <w:rPr>
          <w:lang w:val="fr-CA"/>
        </w:rPr>
        <w:t>al. 10</w:t>
      </w:r>
      <w:r w:rsidRPr="00E91361">
        <w:rPr>
          <w:i/>
          <w:lang w:val="fr-CA"/>
        </w:rPr>
        <w:t>b</w:t>
      </w:r>
      <w:r w:rsidRPr="00E91361">
        <w:rPr>
          <w:lang w:val="fr-CA"/>
        </w:rPr>
        <w:t xml:space="preserve">) de la </w:t>
      </w:r>
      <w:r w:rsidRPr="00E91361">
        <w:rPr>
          <w:i/>
          <w:lang w:val="fr-CA"/>
        </w:rPr>
        <w:t xml:space="preserve">Charte canadienne des droits et libertés </w:t>
      </w:r>
      <w:r w:rsidRPr="00E91361">
        <w:rPr>
          <w:lang w:val="fr-CA"/>
        </w:rPr>
        <w:t xml:space="preserve">(voir </w:t>
      </w:r>
      <w:r w:rsidRPr="00E91361">
        <w:rPr>
          <w:i/>
          <w:lang w:val="fr-CA"/>
        </w:rPr>
        <w:t>Brydges</w:t>
      </w:r>
      <w:r w:rsidRPr="00E91361">
        <w:rPr>
          <w:lang w:val="fr-CA"/>
        </w:rPr>
        <w:t xml:space="preserve">, </w:t>
      </w:r>
      <w:r>
        <w:rPr>
          <w:lang w:val="fr-CA"/>
        </w:rPr>
        <w:t>p</w:t>
      </w:r>
      <w:r w:rsidRPr="00E91361">
        <w:rPr>
          <w:lang w:val="fr-CA"/>
        </w:rPr>
        <w:t>. 214</w:t>
      </w:r>
      <w:r w:rsidRPr="00E91361">
        <w:rPr>
          <w:lang w:val="fr-CA"/>
        </w:rPr>
        <w:noBreakHyphen/>
        <w:t>215)</w:t>
      </w:r>
      <w:r>
        <w:rPr>
          <w:lang w:val="fr-CA"/>
        </w:rPr>
        <w:t xml:space="preserve">. </w:t>
      </w:r>
    </w:p>
  </w:footnote>
  <w:footnote w:id="5">
    <w:p w:rsidR="001A0BA2" w:rsidRPr="00F90AC7" w:rsidRDefault="001A0BA2" w:rsidP="001A0BA2">
      <w:pPr>
        <w:pStyle w:val="FootnoteText"/>
        <w:rPr>
          <w:lang w:val="fr-CA"/>
        </w:rPr>
      </w:pPr>
      <w:r w:rsidRPr="00F90AC7">
        <w:rPr>
          <w:rStyle w:val="FootnoteReference"/>
        </w:rPr>
        <w:footnoteRef/>
      </w:r>
      <w:r w:rsidRPr="00F90AC7">
        <w:rPr>
          <w:lang w:val="fr-CA"/>
        </w:rPr>
        <w:t xml:space="preserve"> </w:t>
      </w:r>
      <w:r w:rsidR="005310E3">
        <w:rPr>
          <w:lang w:val="fr-CA"/>
        </w:rPr>
        <w:tab/>
      </w:r>
      <w:r w:rsidRPr="00F90AC7">
        <w:rPr>
          <w:lang w:val="fr-CA"/>
        </w:rPr>
        <w:t>La durée de la détention présentencielle n</w:t>
      </w:r>
      <w:r>
        <w:rPr>
          <w:lang w:val="fr-CA"/>
        </w:rPr>
        <w:t>’</w:t>
      </w:r>
      <w:r w:rsidRPr="00F90AC7">
        <w:rPr>
          <w:lang w:val="fr-CA"/>
        </w:rPr>
        <w:t>est pas précisée dans la décision relative à la pe</w:t>
      </w:r>
      <w:r>
        <w:rPr>
          <w:lang w:val="fr-CA"/>
        </w:rPr>
        <w:t xml:space="preserve">ine, mais elle a été </w:t>
      </w:r>
      <w:r w:rsidRPr="00386126">
        <w:rPr>
          <w:lang w:val="fr-CA"/>
        </w:rPr>
        <w:t>confirmée auprès de l</w:t>
      </w:r>
      <w:r>
        <w:rPr>
          <w:lang w:val="fr-CA"/>
        </w:rPr>
        <w:t>’</w:t>
      </w:r>
      <w:r w:rsidRPr="00386126">
        <w:rPr>
          <w:lang w:val="fr-CA"/>
        </w:rPr>
        <w:t>administrateur en chef des peines du centre de détention provisoire d</w:t>
      </w:r>
      <w:r>
        <w:rPr>
          <w:lang w:val="fr-CA"/>
        </w:rPr>
        <w:t>’</w:t>
      </w:r>
      <w:r w:rsidRPr="00386126">
        <w:rPr>
          <w:lang w:val="fr-CA"/>
        </w:rPr>
        <w:t>Edmonton</w:t>
      </w:r>
      <w:r>
        <w:rPr>
          <w:lang w:val="fr-CA"/>
        </w:rPr>
        <w:t>,</w:t>
      </w:r>
      <w:r w:rsidRPr="00386126">
        <w:rPr>
          <w:lang w:val="fr-CA"/>
        </w:rPr>
        <w:t xml:space="preserve"> et des part</w:t>
      </w:r>
      <w:r w:rsidRPr="00F90AC7">
        <w:rPr>
          <w:lang w:val="fr-CA"/>
        </w:rPr>
        <w:t>ies au présent pourvoi.</w:t>
      </w:r>
    </w:p>
  </w:footnote>
  <w:footnote w:id="6">
    <w:p w:rsidR="001A0BA2" w:rsidRPr="00166245" w:rsidRDefault="001A0BA2" w:rsidP="001A0BA2">
      <w:pPr>
        <w:pStyle w:val="FootnoteText"/>
        <w:rPr>
          <w:lang w:val="fr-CA"/>
        </w:rPr>
      </w:pPr>
      <w:r>
        <w:rPr>
          <w:rStyle w:val="FootnoteReference"/>
        </w:rPr>
        <w:footnoteRef/>
      </w:r>
      <w:r w:rsidRPr="00964375">
        <w:rPr>
          <w:lang w:val="fr-CA"/>
        </w:rPr>
        <w:t xml:space="preserve"> </w:t>
      </w:r>
      <w:r w:rsidR="00461622">
        <w:rPr>
          <w:lang w:val="fr-CA"/>
        </w:rPr>
        <w:tab/>
      </w:r>
      <w:r w:rsidRPr="00166245">
        <w:rPr>
          <w:lang w:val="fr-CA"/>
        </w:rPr>
        <w:t>La durée de la détention de M. Suter n</w:t>
      </w:r>
      <w:r>
        <w:rPr>
          <w:lang w:val="fr-CA"/>
        </w:rPr>
        <w:t>’</w:t>
      </w:r>
      <w:r w:rsidRPr="00166245">
        <w:rPr>
          <w:lang w:val="fr-CA"/>
        </w:rPr>
        <w:t>est pas précisée dans la décision relative à la détermination de la pe</w:t>
      </w:r>
      <w:r>
        <w:rPr>
          <w:lang w:val="fr-CA"/>
        </w:rPr>
        <w:t xml:space="preserve">ine, mais elle a été confirmée </w:t>
      </w:r>
      <w:r w:rsidRPr="00E42A10">
        <w:rPr>
          <w:lang w:val="fr-CA"/>
        </w:rPr>
        <w:t>auprès de l</w:t>
      </w:r>
      <w:r>
        <w:rPr>
          <w:lang w:val="fr-CA"/>
        </w:rPr>
        <w:t>’</w:t>
      </w:r>
      <w:r w:rsidRPr="00E42A10">
        <w:rPr>
          <w:lang w:val="fr-CA"/>
        </w:rPr>
        <w:t xml:space="preserve">administrateur en chef des peines du centre de </w:t>
      </w:r>
      <w:r>
        <w:rPr>
          <w:lang w:val="fr-CA"/>
        </w:rPr>
        <w:t xml:space="preserve">détention provisoire d’Edmonton, </w:t>
      </w:r>
      <w:r w:rsidRPr="00E42A10">
        <w:rPr>
          <w:lang w:val="fr-CA"/>
        </w:rPr>
        <w:t>et des p</w:t>
      </w:r>
      <w:r w:rsidRPr="00166245">
        <w:rPr>
          <w:lang w:val="fr-CA"/>
        </w:rPr>
        <w:t>arties au présent pourvoi.</w:t>
      </w:r>
    </w:p>
  </w:footnote>
  <w:footnote w:id="7">
    <w:p w:rsidR="001A0BA2" w:rsidRPr="000015DF" w:rsidRDefault="001A0BA2" w:rsidP="001A0BA2">
      <w:pPr>
        <w:pStyle w:val="FootnoteText"/>
        <w:rPr>
          <w:lang w:val="fr-CA"/>
        </w:rPr>
      </w:pPr>
      <w:r w:rsidRPr="000015DF">
        <w:rPr>
          <w:rStyle w:val="FootnoteReference"/>
          <w:lang w:val="fr-CA"/>
        </w:rPr>
        <w:footnoteRef/>
      </w:r>
      <w:r w:rsidRPr="000015DF">
        <w:rPr>
          <w:lang w:val="fr-CA"/>
        </w:rPr>
        <w:t xml:space="preserve"> </w:t>
      </w:r>
      <w:r>
        <w:rPr>
          <w:lang w:val="fr-CA"/>
        </w:rPr>
        <w:t>Par contre</w:t>
      </w:r>
      <w:r w:rsidRPr="000015DF">
        <w:rPr>
          <w:lang w:val="fr-CA"/>
        </w:rPr>
        <w:t>, étant donné</w:t>
      </w:r>
      <w:r>
        <w:rPr>
          <w:lang w:val="fr-CA"/>
        </w:rPr>
        <w:t xml:space="preserve"> que les juges majoritaires concluent que M. </w:t>
      </w:r>
      <w:r w:rsidRPr="000015DF">
        <w:rPr>
          <w:lang w:val="fr-CA"/>
        </w:rPr>
        <w:t xml:space="preserve">Suter </w:t>
      </w:r>
      <w:r>
        <w:rPr>
          <w:lang w:val="fr-CA"/>
        </w:rPr>
        <w:t xml:space="preserve">était incertain, ils approuveraient </w:t>
      </w:r>
      <w:r w:rsidRPr="00712072">
        <w:rPr>
          <w:lang w:val="fr-CA"/>
        </w:rPr>
        <w:t>sans doute une peine moins sévèr</w:t>
      </w:r>
      <w:r>
        <w:rPr>
          <w:lang w:val="fr-CA"/>
        </w:rPr>
        <w:t>e dans une affaire ultérieure où</w:t>
      </w:r>
      <w:r w:rsidRPr="00712072">
        <w:rPr>
          <w:lang w:val="fr-CA"/>
        </w:rPr>
        <w:t xml:space="preserve"> le juge </w:t>
      </w:r>
      <w:r>
        <w:rPr>
          <w:lang w:val="fr-CA"/>
        </w:rPr>
        <w:t>de première instance</w:t>
      </w:r>
      <w:r w:rsidRPr="00712072">
        <w:rPr>
          <w:lang w:val="fr-CA"/>
        </w:rPr>
        <w:t xml:space="preserve"> conclut expressément que l</w:t>
      </w:r>
      <w:r>
        <w:rPr>
          <w:lang w:val="fr-CA"/>
        </w:rPr>
        <w:t xml:space="preserve">e détenu était certain de la légalité de son </w:t>
      </w:r>
      <w:r w:rsidRPr="00712072">
        <w:rPr>
          <w:lang w:val="fr-CA"/>
        </w:rPr>
        <w:t xml:space="preserve">refus, tous les autres faits étant </w:t>
      </w:r>
      <w:r w:rsidRPr="004A2C6C">
        <w:rPr>
          <w:lang w:val="fr-CA"/>
        </w:rPr>
        <w:t>par ailleurs identiques.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EC462C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DD311BB"/>
    <w:multiLevelType w:val="hybridMultilevel"/>
    <w:tmpl w:val="E370F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03130A"/>
    <w:multiLevelType w:val="multilevel"/>
    <w:tmpl w:val="21A404FA"/>
    <w:lvl w:ilvl="0">
      <w:start w:val="1"/>
      <w:numFmt w:val="upperRoman"/>
      <w:pStyle w:val="Title1LevelTitre1Niveau-AltL"/>
      <w:lvlText w:val="%1."/>
      <w:lvlJc w:val="left"/>
      <w:pPr>
        <w:tabs>
          <w:tab w:val="num" w:pos="576"/>
        </w:tabs>
        <w:ind w:left="576" w:hanging="576"/>
      </w:pPr>
      <w:rPr>
        <w:rFonts w:hint="default"/>
        <w:b w:val="0"/>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FB18845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26F1AAA"/>
    <w:multiLevelType w:val="hybridMultilevel"/>
    <w:tmpl w:val="74DE02AE"/>
    <w:lvl w:ilvl="0" w:tplc="48E4D312">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2"/>
  </w:num>
  <w:num w:numId="5">
    <w:abstractNumId w:val="6"/>
  </w:num>
  <w:num w:numId="6">
    <w:abstractNumId w:val="7"/>
  </w:num>
  <w:num w:numId="7">
    <w:abstractNumId w:val="5"/>
  </w:num>
  <w:num w:numId="8">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
  </w:num>
  <w:num w:numId="10">
    <w:abstractNumId w:val="0"/>
  </w:num>
  <w:num w:numId="11">
    <w:abstractNumId w:val="9"/>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7E04"/>
    <w:rsid w:val="00023FC7"/>
    <w:rsid w:val="00025198"/>
    <w:rsid w:val="000406AE"/>
    <w:rsid w:val="000578A3"/>
    <w:rsid w:val="000648CC"/>
    <w:rsid w:val="000704DA"/>
    <w:rsid w:val="00090A30"/>
    <w:rsid w:val="000A31F5"/>
    <w:rsid w:val="000B0C6D"/>
    <w:rsid w:val="000C59B8"/>
    <w:rsid w:val="000C6AF0"/>
    <w:rsid w:val="000D0A77"/>
    <w:rsid w:val="000E146C"/>
    <w:rsid w:val="000F7993"/>
    <w:rsid w:val="00104F33"/>
    <w:rsid w:val="00111DE2"/>
    <w:rsid w:val="00116B38"/>
    <w:rsid w:val="00123730"/>
    <w:rsid w:val="0012659D"/>
    <w:rsid w:val="00135406"/>
    <w:rsid w:val="00135972"/>
    <w:rsid w:val="001426A9"/>
    <w:rsid w:val="00144CF8"/>
    <w:rsid w:val="00154D7C"/>
    <w:rsid w:val="00156534"/>
    <w:rsid w:val="001570B0"/>
    <w:rsid w:val="0015752C"/>
    <w:rsid w:val="00157737"/>
    <w:rsid w:val="00165277"/>
    <w:rsid w:val="00170592"/>
    <w:rsid w:val="00171B3D"/>
    <w:rsid w:val="001720F7"/>
    <w:rsid w:val="00195D83"/>
    <w:rsid w:val="00196C20"/>
    <w:rsid w:val="001971F4"/>
    <w:rsid w:val="001A00C1"/>
    <w:rsid w:val="001A0BA2"/>
    <w:rsid w:val="001B33E0"/>
    <w:rsid w:val="001B36FA"/>
    <w:rsid w:val="001B4573"/>
    <w:rsid w:val="001C779F"/>
    <w:rsid w:val="001D2AC1"/>
    <w:rsid w:val="001D427F"/>
    <w:rsid w:val="001D4E88"/>
    <w:rsid w:val="001E30EB"/>
    <w:rsid w:val="00220FC2"/>
    <w:rsid w:val="002222F4"/>
    <w:rsid w:val="00224FC0"/>
    <w:rsid w:val="00225EA4"/>
    <w:rsid w:val="00226EAF"/>
    <w:rsid w:val="00231F3A"/>
    <w:rsid w:val="002406EE"/>
    <w:rsid w:val="00243EC8"/>
    <w:rsid w:val="002512A0"/>
    <w:rsid w:val="0026370F"/>
    <w:rsid w:val="00270D93"/>
    <w:rsid w:val="002745CC"/>
    <w:rsid w:val="002A02B6"/>
    <w:rsid w:val="002B69CE"/>
    <w:rsid w:val="002B6FBE"/>
    <w:rsid w:val="002B7924"/>
    <w:rsid w:val="002C10A6"/>
    <w:rsid w:val="002C339E"/>
    <w:rsid w:val="002C4CF1"/>
    <w:rsid w:val="002C76F5"/>
    <w:rsid w:val="002D28C3"/>
    <w:rsid w:val="002D39A4"/>
    <w:rsid w:val="002E6705"/>
    <w:rsid w:val="002F5296"/>
    <w:rsid w:val="0030329A"/>
    <w:rsid w:val="00304F53"/>
    <w:rsid w:val="0031086F"/>
    <w:rsid w:val="0031414C"/>
    <w:rsid w:val="00314596"/>
    <w:rsid w:val="00314E01"/>
    <w:rsid w:val="0032089D"/>
    <w:rsid w:val="00323886"/>
    <w:rsid w:val="003305DD"/>
    <w:rsid w:val="00330B18"/>
    <w:rsid w:val="003310DE"/>
    <w:rsid w:val="003323B0"/>
    <w:rsid w:val="00334351"/>
    <w:rsid w:val="00340A49"/>
    <w:rsid w:val="003445D5"/>
    <w:rsid w:val="0034633B"/>
    <w:rsid w:val="0035169A"/>
    <w:rsid w:val="0035259D"/>
    <w:rsid w:val="003541A0"/>
    <w:rsid w:val="00364B18"/>
    <w:rsid w:val="00373033"/>
    <w:rsid w:val="003758E3"/>
    <w:rsid w:val="003A125D"/>
    <w:rsid w:val="003A4C70"/>
    <w:rsid w:val="003B215F"/>
    <w:rsid w:val="003C799C"/>
    <w:rsid w:val="003D0399"/>
    <w:rsid w:val="003E1C71"/>
    <w:rsid w:val="003F04F0"/>
    <w:rsid w:val="003F327B"/>
    <w:rsid w:val="003F7ACF"/>
    <w:rsid w:val="00406166"/>
    <w:rsid w:val="0040704B"/>
    <w:rsid w:val="0041053A"/>
    <w:rsid w:val="00410A55"/>
    <w:rsid w:val="00411300"/>
    <w:rsid w:val="00413F17"/>
    <w:rsid w:val="00415417"/>
    <w:rsid w:val="00425B67"/>
    <w:rsid w:val="00426659"/>
    <w:rsid w:val="00450352"/>
    <w:rsid w:val="00454BDB"/>
    <w:rsid w:val="00460EED"/>
    <w:rsid w:val="00461622"/>
    <w:rsid w:val="00465132"/>
    <w:rsid w:val="00480C90"/>
    <w:rsid w:val="0048396F"/>
    <w:rsid w:val="00493C18"/>
    <w:rsid w:val="004A600C"/>
    <w:rsid w:val="004A6118"/>
    <w:rsid w:val="004C478D"/>
    <w:rsid w:val="004D7D95"/>
    <w:rsid w:val="004E2C26"/>
    <w:rsid w:val="005125A8"/>
    <w:rsid w:val="00517549"/>
    <w:rsid w:val="00520ABC"/>
    <w:rsid w:val="005212E9"/>
    <w:rsid w:val="00521AE8"/>
    <w:rsid w:val="00527180"/>
    <w:rsid w:val="005301F5"/>
    <w:rsid w:val="005310E3"/>
    <w:rsid w:val="0054220C"/>
    <w:rsid w:val="00555291"/>
    <w:rsid w:val="005647DE"/>
    <w:rsid w:val="00566AD1"/>
    <w:rsid w:val="00583EDE"/>
    <w:rsid w:val="005A6079"/>
    <w:rsid w:val="005C0FEC"/>
    <w:rsid w:val="005E461E"/>
    <w:rsid w:val="005E4698"/>
    <w:rsid w:val="005F64ED"/>
    <w:rsid w:val="00603924"/>
    <w:rsid w:val="00610539"/>
    <w:rsid w:val="00613969"/>
    <w:rsid w:val="00625C35"/>
    <w:rsid w:val="00647E49"/>
    <w:rsid w:val="00655A56"/>
    <w:rsid w:val="00656313"/>
    <w:rsid w:val="006565F4"/>
    <w:rsid w:val="00667AB3"/>
    <w:rsid w:val="00671F7A"/>
    <w:rsid w:val="00683B51"/>
    <w:rsid w:val="00684EEA"/>
    <w:rsid w:val="006854AF"/>
    <w:rsid w:val="00686C5C"/>
    <w:rsid w:val="0069689B"/>
    <w:rsid w:val="006A1001"/>
    <w:rsid w:val="006B08F9"/>
    <w:rsid w:val="006B5FF5"/>
    <w:rsid w:val="006C6F01"/>
    <w:rsid w:val="006F30AF"/>
    <w:rsid w:val="00701759"/>
    <w:rsid w:val="00705C15"/>
    <w:rsid w:val="007110F6"/>
    <w:rsid w:val="007208D1"/>
    <w:rsid w:val="00744518"/>
    <w:rsid w:val="00747288"/>
    <w:rsid w:val="00747DD3"/>
    <w:rsid w:val="007549C8"/>
    <w:rsid w:val="00765909"/>
    <w:rsid w:val="00766D14"/>
    <w:rsid w:val="00767A0F"/>
    <w:rsid w:val="0077183D"/>
    <w:rsid w:val="00780005"/>
    <w:rsid w:val="00791272"/>
    <w:rsid w:val="007A05F6"/>
    <w:rsid w:val="007B0DF5"/>
    <w:rsid w:val="007B6F4A"/>
    <w:rsid w:val="007C4E73"/>
    <w:rsid w:val="007D51DC"/>
    <w:rsid w:val="007E1C47"/>
    <w:rsid w:val="007E337A"/>
    <w:rsid w:val="007E5C70"/>
    <w:rsid w:val="007F2FF5"/>
    <w:rsid w:val="007F3F08"/>
    <w:rsid w:val="007F57F4"/>
    <w:rsid w:val="00804CC6"/>
    <w:rsid w:val="00817190"/>
    <w:rsid w:val="008260E2"/>
    <w:rsid w:val="008322BD"/>
    <w:rsid w:val="00834F73"/>
    <w:rsid w:val="00850B3B"/>
    <w:rsid w:val="00855D89"/>
    <w:rsid w:val="00857361"/>
    <w:rsid w:val="00864C8A"/>
    <w:rsid w:val="00864CF8"/>
    <w:rsid w:val="00866319"/>
    <w:rsid w:val="00874914"/>
    <w:rsid w:val="00883F43"/>
    <w:rsid w:val="00891422"/>
    <w:rsid w:val="00892E1A"/>
    <w:rsid w:val="008A274B"/>
    <w:rsid w:val="008B660A"/>
    <w:rsid w:val="008C01DA"/>
    <w:rsid w:val="008F2674"/>
    <w:rsid w:val="008F4117"/>
    <w:rsid w:val="008F6EEB"/>
    <w:rsid w:val="008F78E9"/>
    <w:rsid w:val="00900C97"/>
    <w:rsid w:val="009179F9"/>
    <w:rsid w:val="00917C7A"/>
    <w:rsid w:val="00920940"/>
    <w:rsid w:val="0092370E"/>
    <w:rsid w:val="00933E5E"/>
    <w:rsid w:val="00935218"/>
    <w:rsid w:val="00937C52"/>
    <w:rsid w:val="009403F3"/>
    <w:rsid w:val="00941293"/>
    <w:rsid w:val="009555B7"/>
    <w:rsid w:val="009567AA"/>
    <w:rsid w:val="00957AB6"/>
    <w:rsid w:val="009602C9"/>
    <w:rsid w:val="00963A87"/>
    <w:rsid w:val="00967374"/>
    <w:rsid w:val="009700AD"/>
    <w:rsid w:val="009821CC"/>
    <w:rsid w:val="00983EAF"/>
    <w:rsid w:val="00985476"/>
    <w:rsid w:val="009921E8"/>
    <w:rsid w:val="00996D8B"/>
    <w:rsid w:val="009A343A"/>
    <w:rsid w:val="009B03B9"/>
    <w:rsid w:val="009B2017"/>
    <w:rsid w:val="009B2C4A"/>
    <w:rsid w:val="009B2F23"/>
    <w:rsid w:val="009B57B3"/>
    <w:rsid w:val="009D2920"/>
    <w:rsid w:val="009D5AEB"/>
    <w:rsid w:val="009E59A8"/>
    <w:rsid w:val="009F0E33"/>
    <w:rsid w:val="00A068DF"/>
    <w:rsid w:val="00A1026A"/>
    <w:rsid w:val="00A149DF"/>
    <w:rsid w:val="00A1755C"/>
    <w:rsid w:val="00A21B90"/>
    <w:rsid w:val="00A22AAC"/>
    <w:rsid w:val="00A352B0"/>
    <w:rsid w:val="00A36D26"/>
    <w:rsid w:val="00A41805"/>
    <w:rsid w:val="00A51882"/>
    <w:rsid w:val="00A52AFB"/>
    <w:rsid w:val="00A548CB"/>
    <w:rsid w:val="00A5521C"/>
    <w:rsid w:val="00A57398"/>
    <w:rsid w:val="00A643E7"/>
    <w:rsid w:val="00A73C38"/>
    <w:rsid w:val="00A921A7"/>
    <w:rsid w:val="00AA37CA"/>
    <w:rsid w:val="00AA5E14"/>
    <w:rsid w:val="00AB670D"/>
    <w:rsid w:val="00AD00F1"/>
    <w:rsid w:val="00AD618F"/>
    <w:rsid w:val="00AF03C5"/>
    <w:rsid w:val="00AF77CD"/>
    <w:rsid w:val="00B000D8"/>
    <w:rsid w:val="00B00F75"/>
    <w:rsid w:val="00B145B6"/>
    <w:rsid w:val="00B279EB"/>
    <w:rsid w:val="00B41E5B"/>
    <w:rsid w:val="00B50C81"/>
    <w:rsid w:val="00B54D71"/>
    <w:rsid w:val="00B557F8"/>
    <w:rsid w:val="00B56423"/>
    <w:rsid w:val="00B815FC"/>
    <w:rsid w:val="00B93FBC"/>
    <w:rsid w:val="00BA3DB2"/>
    <w:rsid w:val="00BA50A7"/>
    <w:rsid w:val="00BA7DA0"/>
    <w:rsid w:val="00BB2EE4"/>
    <w:rsid w:val="00BB4C92"/>
    <w:rsid w:val="00BB7AA9"/>
    <w:rsid w:val="00BC06A2"/>
    <w:rsid w:val="00BC2108"/>
    <w:rsid w:val="00BD0E9E"/>
    <w:rsid w:val="00BD1BEC"/>
    <w:rsid w:val="00BD32FF"/>
    <w:rsid w:val="00BD7A1A"/>
    <w:rsid w:val="00BF4009"/>
    <w:rsid w:val="00BF6FE9"/>
    <w:rsid w:val="00C01D66"/>
    <w:rsid w:val="00C02092"/>
    <w:rsid w:val="00C03782"/>
    <w:rsid w:val="00C22535"/>
    <w:rsid w:val="00C24D91"/>
    <w:rsid w:val="00C26DB2"/>
    <w:rsid w:val="00C53F14"/>
    <w:rsid w:val="00C600CF"/>
    <w:rsid w:val="00C6084F"/>
    <w:rsid w:val="00C62A66"/>
    <w:rsid w:val="00C66359"/>
    <w:rsid w:val="00C71458"/>
    <w:rsid w:val="00C77613"/>
    <w:rsid w:val="00C828E7"/>
    <w:rsid w:val="00C86719"/>
    <w:rsid w:val="00C921DD"/>
    <w:rsid w:val="00CA6391"/>
    <w:rsid w:val="00CB0EE1"/>
    <w:rsid w:val="00CB4B74"/>
    <w:rsid w:val="00CD39C5"/>
    <w:rsid w:val="00CE036E"/>
    <w:rsid w:val="00CE3171"/>
    <w:rsid w:val="00CF1601"/>
    <w:rsid w:val="00CF6D00"/>
    <w:rsid w:val="00D0172F"/>
    <w:rsid w:val="00D01E33"/>
    <w:rsid w:val="00D068A7"/>
    <w:rsid w:val="00D17476"/>
    <w:rsid w:val="00D17B0E"/>
    <w:rsid w:val="00D32086"/>
    <w:rsid w:val="00D32D1E"/>
    <w:rsid w:val="00D372E0"/>
    <w:rsid w:val="00D37A3F"/>
    <w:rsid w:val="00D4431D"/>
    <w:rsid w:val="00D4667A"/>
    <w:rsid w:val="00D50F1E"/>
    <w:rsid w:val="00D63A1C"/>
    <w:rsid w:val="00D668F3"/>
    <w:rsid w:val="00D708BD"/>
    <w:rsid w:val="00D74136"/>
    <w:rsid w:val="00D7516F"/>
    <w:rsid w:val="00D95F8E"/>
    <w:rsid w:val="00DA0590"/>
    <w:rsid w:val="00DA7CAF"/>
    <w:rsid w:val="00DB2EE0"/>
    <w:rsid w:val="00DC1739"/>
    <w:rsid w:val="00DC1788"/>
    <w:rsid w:val="00DC5DB6"/>
    <w:rsid w:val="00DD48FF"/>
    <w:rsid w:val="00DE319C"/>
    <w:rsid w:val="00DE61E1"/>
    <w:rsid w:val="00DF0CA8"/>
    <w:rsid w:val="00DF2B48"/>
    <w:rsid w:val="00DF49A7"/>
    <w:rsid w:val="00E07EE2"/>
    <w:rsid w:val="00E07FD1"/>
    <w:rsid w:val="00E24573"/>
    <w:rsid w:val="00E25E1E"/>
    <w:rsid w:val="00E27EE7"/>
    <w:rsid w:val="00E33DC3"/>
    <w:rsid w:val="00E35404"/>
    <w:rsid w:val="00E37688"/>
    <w:rsid w:val="00E45109"/>
    <w:rsid w:val="00E47B7A"/>
    <w:rsid w:val="00E54DB2"/>
    <w:rsid w:val="00E56A44"/>
    <w:rsid w:val="00E60269"/>
    <w:rsid w:val="00E97830"/>
    <w:rsid w:val="00EB564C"/>
    <w:rsid w:val="00EC2BDA"/>
    <w:rsid w:val="00EC427D"/>
    <w:rsid w:val="00ED1D2C"/>
    <w:rsid w:val="00EE0830"/>
    <w:rsid w:val="00EE5449"/>
    <w:rsid w:val="00EE6CB8"/>
    <w:rsid w:val="00EF0683"/>
    <w:rsid w:val="00EF7B51"/>
    <w:rsid w:val="00EF7BEA"/>
    <w:rsid w:val="00F0070C"/>
    <w:rsid w:val="00F00EB7"/>
    <w:rsid w:val="00F02104"/>
    <w:rsid w:val="00F15D39"/>
    <w:rsid w:val="00F36AB6"/>
    <w:rsid w:val="00F37A09"/>
    <w:rsid w:val="00F409CE"/>
    <w:rsid w:val="00F4379D"/>
    <w:rsid w:val="00F50D2D"/>
    <w:rsid w:val="00F56C8B"/>
    <w:rsid w:val="00F607C7"/>
    <w:rsid w:val="00F62639"/>
    <w:rsid w:val="00F66810"/>
    <w:rsid w:val="00F66F78"/>
    <w:rsid w:val="00F71CD9"/>
    <w:rsid w:val="00F72EA4"/>
    <w:rsid w:val="00F84DF4"/>
    <w:rsid w:val="00F85C97"/>
    <w:rsid w:val="00FA15E3"/>
    <w:rsid w:val="00FB37D2"/>
    <w:rsid w:val="00FB5C36"/>
    <w:rsid w:val="00FC1534"/>
    <w:rsid w:val="00FC4EFB"/>
    <w:rsid w:val="00FD068D"/>
    <w:rsid w:val="00FD10E1"/>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83D"/>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link w:val="ParaNoNdepar-AltNChar"/>
    <w:qFormat/>
    <w:rsid w:val="009921E8"/>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9921E8"/>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1A0BA2"/>
    <w:pPr>
      <w:spacing w:after="480"/>
    </w:pPr>
    <w:rPr>
      <w:rFonts w:eastAsiaTheme="minorHAnsi" w:cstheme="minorBidi"/>
      <w:szCs w:val="22"/>
      <w:lang w:eastAsia="en-US"/>
    </w:rPr>
  </w:style>
  <w:style w:type="paragraph" w:customStyle="1" w:styleId="SCCCoram">
    <w:name w:val="SCC.Coram"/>
    <w:basedOn w:val="Normal"/>
    <w:next w:val="Normal"/>
    <w:link w:val="SCCCoramChar"/>
    <w:rsid w:val="001A0BA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A0BA2"/>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1A0BA2"/>
    <w:rPr>
      <w:rFonts w:eastAsiaTheme="minorHAnsi" w:cstheme="minorBidi"/>
      <w:sz w:val="24"/>
      <w:szCs w:val="22"/>
      <w:lang w:eastAsia="en-US"/>
    </w:rPr>
  </w:style>
  <w:style w:type="character" w:customStyle="1" w:styleId="SCCBanSummaryChar">
    <w:name w:val="SCC.BanSummary Char"/>
    <w:basedOn w:val="DefaultParagraphFont"/>
    <w:link w:val="SCCBanSummary"/>
    <w:rsid w:val="001A0BA2"/>
    <w:rPr>
      <w:b/>
      <w:sz w:val="24"/>
    </w:rPr>
  </w:style>
  <w:style w:type="table" w:styleId="TableGrid">
    <w:name w:val="Table Grid"/>
    <w:basedOn w:val="TableNormal"/>
    <w:uiPriority w:val="59"/>
    <w:rsid w:val="001A0BA2"/>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A0BA2"/>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1A0BA2"/>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1A0BA2"/>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1A0BA2"/>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A0BA2"/>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A0BA2"/>
    <w:pPr>
      <w:numPr>
        <w:ilvl w:val="2"/>
      </w:numPr>
      <w:outlineLvl w:val="2"/>
    </w:pPr>
  </w:style>
  <w:style w:type="paragraph" w:customStyle="1" w:styleId="Title4LevelTitre4Niveau">
    <w:name w:val="Title 4 Level / Titre 4 Niveau"/>
    <w:basedOn w:val="Title3LevelTitre3Niveau"/>
    <w:next w:val="ParaNoNdepar-AltN"/>
    <w:uiPriority w:val="4"/>
    <w:qFormat/>
    <w:rsid w:val="001A0BA2"/>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A0BA2"/>
    <w:pPr>
      <w:numPr>
        <w:ilvl w:val="4"/>
      </w:numPr>
      <w:outlineLvl w:val="4"/>
    </w:pPr>
  </w:style>
  <w:style w:type="paragraph" w:styleId="TOC1">
    <w:name w:val="toc 1"/>
    <w:basedOn w:val="Normal"/>
    <w:next w:val="Normal"/>
    <w:autoRedefine/>
    <w:uiPriority w:val="39"/>
    <w:unhideWhenUsed/>
    <w:rsid w:val="001A0BA2"/>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1A0BA2"/>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1A0BA2"/>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1A0BA2"/>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1A0BA2"/>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1A0BA2"/>
    <w:pPr>
      <w:tabs>
        <w:tab w:val="left" w:pos="2160"/>
        <w:tab w:val="right" w:leader="dot" w:pos="8270"/>
      </w:tabs>
      <w:spacing w:after="100"/>
      <w:ind w:left="1800"/>
    </w:pPr>
    <w:rPr>
      <w:noProof/>
    </w:rPr>
  </w:style>
  <w:style w:type="table" w:customStyle="1" w:styleId="TableGrid1">
    <w:name w:val="Table Grid1"/>
    <w:basedOn w:val="TableNormal"/>
    <w:uiPriority w:val="59"/>
    <w:rsid w:val="001A0BA2"/>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A0BA2"/>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A0BA2"/>
    <w:pPr>
      <w:numPr>
        <w:ilvl w:val="5"/>
      </w:numPr>
      <w:outlineLvl w:val="5"/>
    </w:pPr>
    <w:rPr>
      <w:i/>
      <w:u w:val="none"/>
    </w:rPr>
  </w:style>
  <w:style w:type="paragraph" w:styleId="FootnoteText">
    <w:name w:val="footnote text"/>
    <w:basedOn w:val="Normal"/>
    <w:link w:val="FootnoteTextChar"/>
    <w:uiPriority w:val="99"/>
    <w:unhideWhenUsed/>
    <w:rsid w:val="001A0BA2"/>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A0BA2"/>
  </w:style>
  <w:style w:type="character" w:styleId="FootnoteReference">
    <w:name w:val="footnote reference"/>
    <w:basedOn w:val="DefaultParagraphFont"/>
    <w:uiPriority w:val="99"/>
    <w:unhideWhenUsed/>
    <w:rsid w:val="001A0BA2"/>
    <w:rPr>
      <w:vertAlign w:val="superscript"/>
    </w:rPr>
  </w:style>
  <w:style w:type="character" w:customStyle="1" w:styleId="lawlabel2">
    <w:name w:val="lawlabel2"/>
    <w:basedOn w:val="DefaultParagraphFont"/>
    <w:rsid w:val="001A0BA2"/>
    <w:rPr>
      <w:b/>
      <w:bCs/>
      <w:color w:val="000000"/>
    </w:rPr>
  </w:style>
  <w:style w:type="paragraph" w:styleId="ListParagraph">
    <w:name w:val="List Paragraph"/>
    <w:basedOn w:val="Normal"/>
    <w:uiPriority w:val="34"/>
    <w:qFormat/>
    <w:rsid w:val="001A0BA2"/>
    <w:pPr>
      <w:ind w:left="720"/>
      <w:contextualSpacing/>
    </w:pPr>
    <w:rPr>
      <w:rFonts w:eastAsiaTheme="minorHAnsi" w:cstheme="minorBidi"/>
      <w:szCs w:val="22"/>
      <w:lang w:val="en-US" w:eastAsia="en-US"/>
    </w:rPr>
  </w:style>
  <w:style w:type="character" w:styleId="Hyperlink">
    <w:name w:val="Hyperlink"/>
    <w:basedOn w:val="DefaultParagraphFont"/>
    <w:uiPriority w:val="99"/>
    <w:unhideWhenUsed/>
    <w:rsid w:val="001A0BA2"/>
    <w:rPr>
      <w:color w:val="0000FF" w:themeColor="hyperlink"/>
      <w:u w:val="single"/>
    </w:rPr>
  </w:style>
  <w:style w:type="character" w:styleId="Emphasis">
    <w:name w:val="Emphasis"/>
    <w:basedOn w:val="DefaultParagraphFont"/>
    <w:uiPriority w:val="20"/>
    <w:qFormat/>
    <w:rsid w:val="001A0BA2"/>
    <w:rPr>
      <w:i/>
      <w:iCs/>
    </w:rPr>
  </w:style>
  <w:style w:type="paragraph" w:styleId="ListBullet">
    <w:name w:val="List Bullet"/>
    <w:basedOn w:val="Normal"/>
    <w:uiPriority w:val="99"/>
    <w:unhideWhenUsed/>
    <w:rsid w:val="001A0BA2"/>
    <w:pPr>
      <w:numPr>
        <w:numId w:val="9"/>
      </w:numPr>
      <w:contextualSpacing/>
    </w:pPr>
    <w:rPr>
      <w:szCs w:val="24"/>
    </w:rPr>
  </w:style>
  <w:style w:type="character" w:styleId="CommentReference">
    <w:name w:val="annotation reference"/>
    <w:basedOn w:val="DefaultParagraphFont"/>
    <w:uiPriority w:val="99"/>
    <w:semiHidden/>
    <w:unhideWhenUsed/>
    <w:rsid w:val="001A0BA2"/>
    <w:rPr>
      <w:sz w:val="16"/>
      <w:szCs w:val="16"/>
    </w:rPr>
  </w:style>
  <w:style w:type="paragraph" w:styleId="CommentText">
    <w:name w:val="annotation text"/>
    <w:basedOn w:val="Normal"/>
    <w:link w:val="CommentTextChar"/>
    <w:uiPriority w:val="99"/>
    <w:semiHidden/>
    <w:unhideWhenUsed/>
    <w:rsid w:val="001A0BA2"/>
    <w:rPr>
      <w:sz w:val="20"/>
    </w:rPr>
  </w:style>
  <w:style w:type="character" w:customStyle="1" w:styleId="CommentTextChar">
    <w:name w:val="Comment Text Char"/>
    <w:basedOn w:val="DefaultParagraphFont"/>
    <w:link w:val="CommentText"/>
    <w:uiPriority w:val="99"/>
    <w:semiHidden/>
    <w:rsid w:val="001A0BA2"/>
  </w:style>
  <w:style w:type="paragraph" w:styleId="CommentSubject">
    <w:name w:val="annotation subject"/>
    <w:basedOn w:val="CommentText"/>
    <w:next w:val="CommentText"/>
    <w:link w:val="CommentSubjectChar"/>
    <w:uiPriority w:val="99"/>
    <w:semiHidden/>
    <w:unhideWhenUsed/>
    <w:rsid w:val="001A0BA2"/>
    <w:rPr>
      <w:b/>
      <w:bCs/>
    </w:rPr>
  </w:style>
  <w:style w:type="character" w:customStyle="1" w:styleId="CommentSubjectChar">
    <w:name w:val="Comment Subject Char"/>
    <w:basedOn w:val="CommentTextChar"/>
    <w:link w:val="CommentSubject"/>
    <w:uiPriority w:val="99"/>
    <w:semiHidden/>
    <w:rsid w:val="001A0BA2"/>
    <w:rPr>
      <w:b/>
      <w:bCs/>
    </w:rPr>
  </w:style>
  <w:style w:type="paragraph" w:styleId="NoSpacing">
    <w:name w:val="No Spacing"/>
    <w:uiPriority w:val="1"/>
    <w:qFormat/>
    <w:rsid w:val="001A0BA2"/>
    <w:rPr>
      <w:sz w:val="24"/>
      <w:szCs w:val="24"/>
    </w:rPr>
  </w:style>
  <w:style w:type="paragraph" w:customStyle="1" w:styleId="felskynumbering121">
    <w:name w:val="felskynumbering121"/>
    <w:basedOn w:val="Normal"/>
    <w:rsid w:val="001A0BA2"/>
    <w:pPr>
      <w:spacing w:before="180" w:after="180"/>
    </w:pPr>
    <w:rPr>
      <w:szCs w:val="24"/>
    </w:rPr>
  </w:style>
  <w:style w:type="paragraph" w:styleId="Revision">
    <w:name w:val="Revision"/>
    <w:hidden/>
    <w:uiPriority w:val="99"/>
    <w:semiHidden/>
    <w:rsid w:val="001A0BA2"/>
    <w:rPr>
      <w:sz w:val="24"/>
      <w:szCs w:val="24"/>
    </w:rPr>
  </w:style>
  <w:style w:type="table" w:customStyle="1" w:styleId="TableGrid2">
    <w:name w:val="Table Grid2"/>
    <w:basedOn w:val="TableNormal"/>
    <w:next w:val="TableGrid"/>
    <w:uiPriority w:val="59"/>
    <w:rsid w:val="001A0BA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2A02B6"/>
    <w:rPr>
      <w:lang w:val="fr-CA"/>
    </w:rPr>
  </w:style>
  <w:style w:type="paragraph" w:customStyle="1" w:styleId="SCCLsocPrefix">
    <w:name w:val="SCC.Lsoc.Prefix"/>
    <w:basedOn w:val="Normal"/>
    <w:next w:val="Normal"/>
    <w:link w:val="SCCLsocPrefixChar"/>
    <w:rsid w:val="002A02B6"/>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2A02B6"/>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26904</Words>
  <Characters>153358</Characters>
  <Application>Microsoft Office Word</Application>
  <DocSecurity>0</DocSecurity>
  <Lines>1277</Lines>
  <Paragraphs>359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179903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2018-07-06T14:52:00Z</dcterms:created>
  <dcterms:modified xsi:type="dcterms:W3CDTF">2019-04-10T15:01:00Z</dcterms:modified>
</cp:coreProperties>
</file>