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863" w:rsidRDefault="00442863" w:rsidP="0020342E">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63.9pt" o:ole="">
            <v:imagedata r:id="rId8" o:title=""/>
          </v:shape>
          <o:OLEObject Type="Embed" ProgID="Presentations.Drawing.13" ShapeID="_x0000_i1025" DrawAspect="Content" ObjectID="_1616400793" r:id="rId9"/>
        </w:object>
      </w:r>
      <w:bookmarkEnd w:id="0"/>
      <w:r>
        <w:t xml:space="preserve"> </w:t>
      </w:r>
      <w:r>
        <w:ptab w:relativeTo="margin" w:alignment="right" w:leader="none"/>
      </w:r>
    </w:p>
    <w:p w:rsidR="00442863" w:rsidRDefault="00442863" w:rsidP="00442863">
      <w:pPr>
        <w:pStyle w:val="Header"/>
      </w:pPr>
    </w:p>
    <w:p w:rsidR="00442863" w:rsidRPr="001E12E2" w:rsidRDefault="00442863" w:rsidP="00442863">
      <w:pPr>
        <w:jc w:val="center"/>
        <w:rPr>
          <w:b/>
        </w:rPr>
      </w:pPr>
      <w:r w:rsidRPr="001E12E2">
        <w:rPr>
          <w:b/>
        </w:rPr>
        <w:t>COUR SUPRÊME DU CANADA</w:t>
      </w:r>
    </w:p>
    <w:p w:rsidR="00442863" w:rsidRDefault="00442863" w:rsidP="00442863"/>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6030"/>
        <w:gridCol w:w="3546"/>
      </w:tblGrid>
      <w:tr w:rsidR="00442863" w:rsidRPr="001E12E2" w:rsidTr="00461B38">
        <w:trPr>
          <w:cantSplit/>
        </w:trPr>
        <w:tc>
          <w:tcPr>
            <w:tcW w:w="6030" w:type="dxa"/>
          </w:tcPr>
          <w:p w:rsidR="00442863" w:rsidRPr="00442863" w:rsidRDefault="00442863" w:rsidP="00461B38">
            <w:pPr>
              <w:rPr>
                <w:lang w:val="fr-CA"/>
              </w:rPr>
            </w:pPr>
            <w:r w:rsidRPr="00442863">
              <w:rPr>
                <w:b/>
                <w:smallCaps/>
                <w:lang w:val="fr-CA"/>
              </w:rPr>
              <w:t>Référence :</w:t>
            </w:r>
            <w:r w:rsidRPr="00442863">
              <w:rPr>
                <w:lang w:val="fr-CA"/>
              </w:rPr>
              <w:t xml:space="preserve"> </w:t>
            </w:r>
            <w:r w:rsidRPr="00D65582">
              <w:rPr>
                <w:rStyle w:val="SCCAppellantForRunningHeadChar"/>
                <w:smallCaps w:val="0"/>
                <w:lang w:val="fr-CA"/>
              </w:rPr>
              <w:t>Mikisew Cree First Nation</w:t>
            </w:r>
            <w:r w:rsidRPr="00D65582">
              <w:rPr>
                <w:smallCaps/>
                <w:lang w:val="fr-CA"/>
              </w:rPr>
              <w:t xml:space="preserve"> </w:t>
            </w:r>
            <w:r w:rsidRPr="00D65582">
              <w:rPr>
                <w:i/>
                <w:lang w:val="fr-CA"/>
              </w:rPr>
              <w:t>c.</w:t>
            </w:r>
            <w:r w:rsidRPr="00D65582">
              <w:rPr>
                <w:smallCaps/>
                <w:lang w:val="fr-CA"/>
              </w:rPr>
              <w:t xml:space="preserve"> </w:t>
            </w:r>
            <w:r w:rsidRPr="00D65582">
              <w:rPr>
                <w:rStyle w:val="SCCRespondentForRunningHeadChar"/>
                <w:smallCaps w:val="0"/>
                <w:lang w:val="fr-CA"/>
              </w:rPr>
              <w:t xml:space="preserve">Canada </w:t>
            </w:r>
            <w:r w:rsidRPr="00C40389">
              <w:rPr>
                <w:lang w:val="fr-CA"/>
              </w:rPr>
              <w:t>(Gouverneur général en conseil)</w:t>
            </w:r>
            <w:r>
              <w:rPr>
                <w:lang w:val="fr-CA"/>
              </w:rPr>
              <w:t xml:space="preserve">, </w:t>
            </w:r>
            <w:r w:rsidRPr="00606C27">
              <w:rPr>
                <w:lang w:val="fr-CA"/>
              </w:rPr>
              <w:t>2018 CSC 40</w:t>
            </w:r>
            <w:r>
              <w:rPr>
                <w:lang w:val="fr-CA"/>
              </w:rPr>
              <w:t>, [2018] 2 R.C.S. 765</w:t>
            </w:r>
          </w:p>
        </w:tc>
        <w:tc>
          <w:tcPr>
            <w:tcW w:w="3546" w:type="dxa"/>
          </w:tcPr>
          <w:p w:rsidR="00442863" w:rsidRPr="00442863" w:rsidRDefault="00442863" w:rsidP="00461B38">
            <w:pPr>
              <w:rPr>
                <w:lang w:val="fr-CA"/>
              </w:rPr>
            </w:pPr>
            <w:r w:rsidRPr="00442863">
              <w:rPr>
                <w:b/>
                <w:smallCaps/>
                <w:lang w:val="fr-CA"/>
              </w:rPr>
              <w:t>Appel entendu :</w:t>
            </w:r>
            <w:r w:rsidRPr="00442863">
              <w:rPr>
                <w:lang w:val="fr-CA"/>
              </w:rPr>
              <w:t xml:space="preserve"> 15 janvier 2018</w:t>
            </w:r>
          </w:p>
          <w:p w:rsidR="00442863" w:rsidRPr="00442863" w:rsidRDefault="00442863" w:rsidP="00461B38">
            <w:pPr>
              <w:rPr>
                <w:b/>
                <w:smallCaps/>
                <w:lang w:val="fr-CA"/>
              </w:rPr>
            </w:pPr>
            <w:r w:rsidRPr="00442863">
              <w:rPr>
                <w:b/>
                <w:smallCaps/>
                <w:lang w:val="fr-CA"/>
              </w:rPr>
              <w:t xml:space="preserve">Jugement rendu : </w:t>
            </w:r>
            <w:r w:rsidRPr="00442863">
              <w:rPr>
                <w:lang w:val="fr-CA"/>
              </w:rPr>
              <w:t>11 octobre 2018</w:t>
            </w:r>
          </w:p>
          <w:p w:rsidR="00442863" w:rsidRPr="001E12E2" w:rsidRDefault="00442863" w:rsidP="00461B38">
            <w:r w:rsidRPr="001E12E2">
              <w:rPr>
                <w:b/>
                <w:smallCaps/>
              </w:rPr>
              <w:t>Do</w:t>
            </w:r>
            <w:r>
              <w:rPr>
                <w:b/>
                <w:smallCaps/>
              </w:rPr>
              <w:t>ssier :</w:t>
            </w:r>
            <w:r w:rsidRPr="001E12E2">
              <w:t xml:space="preserve"> </w:t>
            </w:r>
            <w:r>
              <w:t>37441</w:t>
            </w:r>
          </w:p>
        </w:tc>
      </w:tr>
    </w:tbl>
    <w:p w:rsidR="00442863" w:rsidRPr="001E12E2" w:rsidRDefault="00442863" w:rsidP="00442863"/>
    <w:p w:rsidR="00442863" w:rsidRDefault="00442863" w:rsidP="00442863">
      <w:pPr>
        <w:pStyle w:val="SCCLsocPrefix"/>
      </w:pPr>
      <w:r>
        <w:t xml:space="preserve">Entre : </w:t>
      </w:r>
    </w:p>
    <w:p w:rsidR="00442863" w:rsidRPr="00D67FC1" w:rsidRDefault="00442863" w:rsidP="00442863">
      <w:pPr>
        <w:rPr>
          <w:lang w:val="fr-CA"/>
        </w:rPr>
      </w:pPr>
    </w:p>
    <w:p w:rsidR="00442863" w:rsidRPr="00B01069" w:rsidRDefault="00442863" w:rsidP="00442863">
      <w:pPr>
        <w:jc w:val="center"/>
        <w:rPr>
          <w:lang w:val="fr-FR"/>
        </w:rPr>
      </w:pPr>
      <w:r w:rsidRPr="00B01069">
        <w:rPr>
          <w:b/>
          <w:bCs/>
          <w:lang w:val="fr-FR"/>
        </w:rPr>
        <w:t xml:space="preserve">Le chef Steve Courtoreille, en son nom et </w:t>
      </w:r>
    </w:p>
    <w:p w:rsidR="00442863" w:rsidRPr="00B01069" w:rsidRDefault="00442863" w:rsidP="00442863">
      <w:pPr>
        <w:jc w:val="center"/>
        <w:rPr>
          <w:lang w:val="fr-FR"/>
        </w:rPr>
      </w:pPr>
      <w:r w:rsidRPr="00B01069">
        <w:rPr>
          <w:b/>
          <w:bCs/>
          <w:lang w:val="fr-FR"/>
        </w:rPr>
        <w:t xml:space="preserve">au nom des membres de </w:t>
      </w:r>
      <w:r>
        <w:rPr>
          <w:b/>
          <w:bCs/>
          <w:lang w:val="fr-FR"/>
        </w:rPr>
        <w:t xml:space="preserve">la Mikisew Cree </w:t>
      </w:r>
      <w:r w:rsidRPr="00B01069">
        <w:rPr>
          <w:b/>
          <w:bCs/>
          <w:lang w:val="fr-FR"/>
        </w:rPr>
        <w:t xml:space="preserve">First Nation </w:t>
      </w:r>
    </w:p>
    <w:p w:rsidR="00442863" w:rsidRPr="00B01069" w:rsidRDefault="00442863" w:rsidP="00442863">
      <w:pPr>
        <w:jc w:val="center"/>
        <w:rPr>
          <w:lang w:val="fr-FR"/>
        </w:rPr>
      </w:pPr>
      <w:r w:rsidRPr="00B01069">
        <w:rPr>
          <w:lang w:val="fr-FR"/>
        </w:rPr>
        <w:t>Appelant</w:t>
      </w:r>
    </w:p>
    <w:p w:rsidR="00442863" w:rsidRPr="00B01069" w:rsidRDefault="00442863" w:rsidP="00442863">
      <w:pPr>
        <w:rPr>
          <w:lang w:val="fr-FR"/>
        </w:rPr>
      </w:pPr>
      <w:r w:rsidRPr="00B01069">
        <w:rPr>
          <w:lang w:val="fr-FR"/>
        </w:rPr>
        <w:t> </w:t>
      </w:r>
    </w:p>
    <w:p w:rsidR="00442863" w:rsidRPr="00B01069" w:rsidRDefault="00442863" w:rsidP="00442863">
      <w:pPr>
        <w:jc w:val="center"/>
        <w:rPr>
          <w:lang w:val="fr-FR"/>
        </w:rPr>
      </w:pPr>
      <w:r w:rsidRPr="00B01069">
        <w:rPr>
          <w:lang w:val="fr-FR"/>
        </w:rPr>
        <w:t>et</w:t>
      </w:r>
    </w:p>
    <w:p w:rsidR="00442863" w:rsidRPr="00B01069" w:rsidRDefault="00442863" w:rsidP="00442863">
      <w:pPr>
        <w:rPr>
          <w:lang w:val="fr-FR"/>
        </w:rPr>
      </w:pPr>
      <w:r w:rsidRPr="00B01069">
        <w:rPr>
          <w:lang w:val="fr-FR"/>
        </w:rPr>
        <w:t> </w:t>
      </w:r>
    </w:p>
    <w:p w:rsidR="00442863" w:rsidRPr="00B01069" w:rsidRDefault="00442863" w:rsidP="00442863">
      <w:pPr>
        <w:jc w:val="center"/>
        <w:rPr>
          <w:lang w:val="fr-FR"/>
        </w:rPr>
      </w:pPr>
      <w:r w:rsidRPr="00B01069">
        <w:rPr>
          <w:b/>
          <w:bCs/>
          <w:lang w:val="fr-FR"/>
        </w:rPr>
        <w:t>Gouverneur général en conseil, ministre des Affaires autochtones et du Développement du Nord Canadien, ministre des Finances, ministre de l’Environnement, ministre des Pêches et des Océans, ministre des Transports et ministre des Ressources naturelles</w:t>
      </w:r>
    </w:p>
    <w:p w:rsidR="00442863" w:rsidRPr="00B01069" w:rsidRDefault="00442863" w:rsidP="00442863">
      <w:pPr>
        <w:jc w:val="center"/>
        <w:rPr>
          <w:lang w:val="fr-FR"/>
        </w:rPr>
      </w:pPr>
      <w:r w:rsidRPr="00B01069">
        <w:rPr>
          <w:lang w:val="fr-FR"/>
        </w:rPr>
        <w:t>Intimés</w:t>
      </w:r>
    </w:p>
    <w:p w:rsidR="00442863" w:rsidRPr="00B01069" w:rsidRDefault="00442863" w:rsidP="00442863">
      <w:pPr>
        <w:rPr>
          <w:lang w:val="fr-FR"/>
        </w:rPr>
      </w:pPr>
    </w:p>
    <w:p w:rsidR="00442863" w:rsidRDefault="00442863" w:rsidP="00442863">
      <w:pPr>
        <w:jc w:val="center"/>
        <w:rPr>
          <w:lang w:val="fr-FR"/>
        </w:rPr>
      </w:pPr>
      <w:r w:rsidRPr="00B01069">
        <w:rPr>
          <w:lang w:val="fr-FR"/>
        </w:rPr>
        <w:t xml:space="preserve">- et </w:t>
      </w:r>
      <w:r w:rsidR="00D67FC1">
        <w:rPr>
          <w:lang w:val="fr-FR"/>
        </w:rPr>
        <w:t>-</w:t>
      </w:r>
    </w:p>
    <w:p w:rsidR="00442863" w:rsidRPr="00B01069" w:rsidRDefault="00442863" w:rsidP="00442863">
      <w:pPr>
        <w:jc w:val="center"/>
        <w:rPr>
          <w:lang w:val="fr-FR"/>
        </w:rPr>
      </w:pPr>
    </w:p>
    <w:p w:rsidR="00442863" w:rsidRPr="00B01069" w:rsidRDefault="00442863" w:rsidP="00442863">
      <w:pPr>
        <w:jc w:val="center"/>
        <w:rPr>
          <w:lang w:val="fr-FR"/>
        </w:rPr>
      </w:pPr>
      <w:r w:rsidRPr="00B01069">
        <w:rPr>
          <w:b/>
          <w:bCs/>
          <w:lang w:val="fr-FR"/>
        </w:rPr>
        <w:t>Procureure générale du Québec, procureur général du Nouveau-Brunswick, procureur général de la Colombie-Britannique, procureur général de la Saskatchewan, procureur général de l’Alberta, Champagne and Aishihik First Nations, Kwanlin Dün First Nation, Little Salmon Carmacks First Nation, First Nation of Na-Cho Nyak Dun, Teslin Tlingit Council, First Nations of the Maa-nulth Treaty Society, Assemblée des Premières Nations, Grand Conseil des Cris (Eeyou Istchee), Gouvernement de la nation crie, Fédération métisse du Manitoba, Advocates for the Rule of Law, Federation of Sovereign Indigenous Nations et Gitanyow Hereditary Chiefs</w:t>
      </w:r>
    </w:p>
    <w:p w:rsidR="00442863" w:rsidRPr="00B01069" w:rsidRDefault="00442863" w:rsidP="00442863">
      <w:pPr>
        <w:jc w:val="center"/>
        <w:rPr>
          <w:lang w:val="fr-FR"/>
        </w:rPr>
      </w:pPr>
      <w:r w:rsidRPr="00B01069">
        <w:rPr>
          <w:lang w:val="fr-FR"/>
        </w:rPr>
        <w:t>Intervenants</w:t>
      </w:r>
    </w:p>
    <w:p w:rsidR="00442863" w:rsidRPr="00B01069" w:rsidRDefault="00442863" w:rsidP="00442863">
      <w:pPr>
        <w:rPr>
          <w:lang w:val="fr-FR"/>
        </w:rPr>
      </w:pPr>
      <w:r w:rsidRPr="00B01069">
        <w:rPr>
          <w:lang w:val="fr-FR"/>
        </w:rPr>
        <w:t> </w:t>
      </w:r>
    </w:p>
    <w:p w:rsidR="00442863" w:rsidRPr="00B01069" w:rsidRDefault="00442863" w:rsidP="00442863">
      <w:pPr>
        <w:rPr>
          <w:lang w:val="fr-FR"/>
        </w:rPr>
      </w:pPr>
      <w:r w:rsidRPr="00B01069">
        <w:rPr>
          <w:lang w:val="fr-FR"/>
        </w:rPr>
        <w:t> </w:t>
      </w:r>
    </w:p>
    <w:p w:rsidR="00442863" w:rsidRPr="00B01069" w:rsidRDefault="00442863" w:rsidP="00442863">
      <w:pPr>
        <w:jc w:val="center"/>
        <w:rPr>
          <w:lang w:val="fr-FR"/>
        </w:rPr>
      </w:pPr>
      <w:r w:rsidRPr="00B01069">
        <w:rPr>
          <w:b/>
          <w:bCs/>
          <w:smallCaps/>
          <w:lang w:val="fr-FR"/>
        </w:rPr>
        <w:t>Traduction française officielle</w:t>
      </w:r>
    </w:p>
    <w:p w:rsidR="00442863" w:rsidRPr="00B01069" w:rsidRDefault="00442863" w:rsidP="00442863">
      <w:pPr>
        <w:rPr>
          <w:lang w:val="fr-FR"/>
        </w:rPr>
      </w:pPr>
      <w:r w:rsidRPr="00B01069">
        <w:rPr>
          <w:lang w:val="fr-FR"/>
        </w:rPr>
        <w:t> </w:t>
      </w:r>
    </w:p>
    <w:p w:rsidR="00442863" w:rsidRPr="00B01069" w:rsidRDefault="00442863" w:rsidP="00442863">
      <w:pPr>
        <w:rPr>
          <w:lang w:val="fr-FR"/>
        </w:rPr>
      </w:pPr>
      <w:r w:rsidRPr="00B01069">
        <w:rPr>
          <w:b/>
          <w:bCs/>
          <w:smallCaps/>
          <w:lang w:val="fr-FR"/>
        </w:rPr>
        <w:t>Coram :</w:t>
      </w:r>
      <w:r w:rsidRPr="00B01069">
        <w:rPr>
          <w:lang w:val="fr-FR"/>
        </w:rPr>
        <w:t xml:space="preserve"> Le juge en chef Wagner et les juges Abella, Moldaver, Karakatsanis, Gascon, Côté, Brown, Rowe et Martin</w:t>
      </w:r>
    </w:p>
    <w:p w:rsidR="00442863" w:rsidRPr="00B01069" w:rsidRDefault="00442863" w:rsidP="00442863">
      <w:pPr>
        <w:rPr>
          <w:lang w:val="fr-FR"/>
        </w:rPr>
      </w:pPr>
      <w:r w:rsidRPr="00B01069">
        <w:rPr>
          <w:lang w:val="fr-FR"/>
        </w:rPr>
        <w:t> </w:t>
      </w:r>
    </w:p>
    <w:tbl>
      <w:tblPr>
        <w:tblW w:w="0" w:type="auto"/>
        <w:tblCellMar>
          <w:left w:w="0" w:type="dxa"/>
          <w:right w:w="0" w:type="dxa"/>
        </w:tblCellMar>
        <w:tblLook w:val="04A0" w:firstRow="1" w:lastRow="0" w:firstColumn="1" w:lastColumn="0" w:noHBand="0" w:noVBand="1"/>
      </w:tblPr>
      <w:tblGrid>
        <w:gridCol w:w="3188"/>
        <w:gridCol w:w="5092"/>
      </w:tblGrid>
      <w:tr w:rsidR="00442863" w:rsidRPr="0020342E" w:rsidTr="00461B38">
        <w:trPr>
          <w:cantSplit/>
        </w:trPr>
        <w:tc>
          <w:tcPr>
            <w:tcW w:w="3618" w:type="dxa"/>
            <w:tcMar>
              <w:top w:w="58" w:type="dxa"/>
              <w:left w:w="58" w:type="dxa"/>
              <w:bottom w:w="58" w:type="dxa"/>
              <w:right w:w="58" w:type="dxa"/>
            </w:tcMar>
            <w:hideMark/>
          </w:tcPr>
          <w:p w:rsidR="00442863" w:rsidRPr="00B01069" w:rsidRDefault="00442863" w:rsidP="00461B38">
            <w:pPr>
              <w:rPr>
                <w:lang w:val="fr-CA"/>
              </w:rPr>
            </w:pPr>
            <w:r w:rsidRPr="00B01069">
              <w:rPr>
                <w:b/>
                <w:bCs/>
                <w:smallCaps/>
                <w:lang w:val="fr-CA"/>
              </w:rPr>
              <w:lastRenderedPageBreak/>
              <w:t>Motifs de jugement :</w:t>
            </w:r>
          </w:p>
          <w:p w:rsidR="00442863" w:rsidRPr="00B01069" w:rsidRDefault="00442863" w:rsidP="00461B38">
            <w:pPr>
              <w:rPr>
                <w:lang w:val="fr-CA"/>
              </w:rPr>
            </w:pPr>
            <w:r w:rsidRPr="00B01069">
              <w:rPr>
                <w:lang w:val="fr-CA"/>
              </w:rPr>
              <w:t>(par. 1 à 53)</w:t>
            </w:r>
          </w:p>
        </w:tc>
        <w:tc>
          <w:tcPr>
            <w:tcW w:w="5958" w:type="dxa"/>
            <w:tcMar>
              <w:top w:w="58" w:type="dxa"/>
              <w:left w:w="58" w:type="dxa"/>
              <w:bottom w:w="58" w:type="dxa"/>
              <w:right w:w="58" w:type="dxa"/>
            </w:tcMar>
            <w:hideMark/>
          </w:tcPr>
          <w:p w:rsidR="00442863" w:rsidRPr="00B01069" w:rsidRDefault="00442863" w:rsidP="00461B38">
            <w:pPr>
              <w:rPr>
                <w:lang w:val="fr-CA"/>
              </w:rPr>
            </w:pPr>
            <w:r w:rsidRPr="00B01069">
              <w:rPr>
                <w:lang w:val="fr-CA"/>
              </w:rPr>
              <w:t>La juge Karakatsanis (avec l’accord du juge en chef Wagner et du juge Gascon)</w:t>
            </w:r>
          </w:p>
        </w:tc>
      </w:tr>
    </w:tbl>
    <w:p w:rsidR="00442863" w:rsidRPr="00B01069" w:rsidRDefault="00442863" w:rsidP="00442863">
      <w:pPr>
        <w:rPr>
          <w:lang w:val="fr-FR"/>
        </w:rPr>
      </w:pPr>
      <w:r w:rsidRPr="00B01069">
        <w:rPr>
          <w:lang w:val="fr-FR"/>
        </w:rPr>
        <w:t> </w:t>
      </w:r>
    </w:p>
    <w:tbl>
      <w:tblPr>
        <w:tblW w:w="0" w:type="auto"/>
        <w:tblCellMar>
          <w:left w:w="0" w:type="dxa"/>
          <w:right w:w="0" w:type="dxa"/>
        </w:tblCellMar>
        <w:tblLook w:val="04A0" w:firstRow="1" w:lastRow="0" w:firstColumn="1" w:lastColumn="0" w:noHBand="0" w:noVBand="1"/>
      </w:tblPr>
      <w:tblGrid>
        <w:gridCol w:w="3268"/>
        <w:gridCol w:w="5012"/>
      </w:tblGrid>
      <w:tr w:rsidR="00442863" w:rsidRPr="0020342E" w:rsidTr="00461B38">
        <w:trPr>
          <w:cantSplit/>
        </w:trPr>
        <w:tc>
          <w:tcPr>
            <w:tcW w:w="3618" w:type="dxa"/>
            <w:tcMar>
              <w:top w:w="58" w:type="dxa"/>
              <w:left w:w="58" w:type="dxa"/>
              <w:bottom w:w="58" w:type="dxa"/>
              <w:right w:w="58" w:type="dxa"/>
            </w:tcMar>
            <w:hideMark/>
          </w:tcPr>
          <w:p w:rsidR="00442863" w:rsidRPr="00B01069" w:rsidRDefault="00442863" w:rsidP="00461B38">
            <w:pPr>
              <w:rPr>
                <w:lang w:val="en-US"/>
              </w:rPr>
            </w:pPr>
            <w:r w:rsidRPr="00B01069">
              <w:rPr>
                <w:b/>
                <w:bCs/>
                <w:smallCaps/>
                <w:lang w:val="en-US"/>
              </w:rPr>
              <w:t>Motifs concordants :</w:t>
            </w:r>
          </w:p>
          <w:p w:rsidR="00442863" w:rsidRPr="00B01069" w:rsidRDefault="00442863" w:rsidP="00461B38">
            <w:pPr>
              <w:rPr>
                <w:lang w:val="en-US"/>
              </w:rPr>
            </w:pPr>
            <w:r w:rsidRPr="00B01069">
              <w:rPr>
                <w:lang w:val="en-US"/>
              </w:rPr>
              <w:t>(par. 54 à 99)</w:t>
            </w:r>
          </w:p>
        </w:tc>
        <w:tc>
          <w:tcPr>
            <w:tcW w:w="5958" w:type="dxa"/>
            <w:tcMar>
              <w:top w:w="58" w:type="dxa"/>
              <w:left w:w="58" w:type="dxa"/>
              <w:bottom w:w="58" w:type="dxa"/>
              <w:right w:w="58" w:type="dxa"/>
            </w:tcMar>
            <w:hideMark/>
          </w:tcPr>
          <w:p w:rsidR="00442863" w:rsidRPr="00B01069" w:rsidRDefault="00442863" w:rsidP="00461B38">
            <w:pPr>
              <w:rPr>
                <w:lang w:val="fr-CA"/>
              </w:rPr>
            </w:pPr>
            <w:r w:rsidRPr="00B01069">
              <w:rPr>
                <w:lang w:val="fr-CA"/>
              </w:rPr>
              <w:t>La juge Abella (avec l’accord de la juge Martin)</w:t>
            </w:r>
          </w:p>
        </w:tc>
      </w:tr>
    </w:tbl>
    <w:p w:rsidR="00442863" w:rsidRPr="00B01069" w:rsidRDefault="00442863" w:rsidP="00442863">
      <w:pPr>
        <w:rPr>
          <w:lang w:val="fr-FR"/>
        </w:rPr>
      </w:pPr>
      <w:r w:rsidRPr="00B01069">
        <w:rPr>
          <w:lang w:val="fr-FR"/>
        </w:rPr>
        <w:t> </w:t>
      </w:r>
    </w:p>
    <w:tbl>
      <w:tblPr>
        <w:tblW w:w="0" w:type="auto"/>
        <w:tblCellMar>
          <w:left w:w="0" w:type="dxa"/>
          <w:right w:w="0" w:type="dxa"/>
        </w:tblCellMar>
        <w:tblLook w:val="04A0" w:firstRow="1" w:lastRow="0" w:firstColumn="1" w:lastColumn="0" w:noHBand="0" w:noVBand="1"/>
      </w:tblPr>
      <w:tblGrid>
        <w:gridCol w:w="3274"/>
        <w:gridCol w:w="5006"/>
      </w:tblGrid>
      <w:tr w:rsidR="00442863" w:rsidRPr="00B01069" w:rsidTr="00461B38">
        <w:trPr>
          <w:cantSplit/>
        </w:trPr>
        <w:tc>
          <w:tcPr>
            <w:tcW w:w="3618" w:type="dxa"/>
            <w:tcMar>
              <w:top w:w="58" w:type="dxa"/>
              <w:left w:w="58" w:type="dxa"/>
              <w:bottom w:w="58" w:type="dxa"/>
              <w:right w:w="58" w:type="dxa"/>
            </w:tcMar>
            <w:hideMark/>
          </w:tcPr>
          <w:p w:rsidR="00442863" w:rsidRPr="00B01069" w:rsidRDefault="00442863" w:rsidP="00461B38">
            <w:pPr>
              <w:rPr>
                <w:lang w:val="en-US"/>
              </w:rPr>
            </w:pPr>
            <w:r w:rsidRPr="00B01069">
              <w:rPr>
                <w:b/>
                <w:bCs/>
                <w:smallCaps/>
                <w:lang w:val="en-US"/>
              </w:rPr>
              <w:t>Motifs concordants :</w:t>
            </w:r>
          </w:p>
          <w:p w:rsidR="00442863" w:rsidRPr="00B01069" w:rsidRDefault="00442863" w:rsidP="00461B38">
            <w:pPr>
              <w:rPr>
                <w:lang w:val="en-US"/>
              </w:rPr>
            </w:pPr>
            <w:r w:rsidRPr="00B01069">
              <w:rPr>
                <w:lang w:val="en-US"/>
              </w:rPr>
              <w:t>(par. 100 à 147)</w:t>
            </w:r>
          </w:p>
        </w:tc>
        <w:tc>
          <w:tcPr>
            <w:tcW w:w="5958" w:type="dxa"/>
            <w:tcMar>
              <w:top w:w="58" w:type="dxa"/>
              <w:left w:w="58" w:type="dxa"/>
              <w:bottom w:w="58" w:type="dxa"/>
              <w:right w:w="58" w:type="dxa"/>
            </w:tcMar>
            <w:hideMark/>
          </w:tcPr>
          <w:p w:rsidR="00442863" w:rsidRPr="00B01069" w:rsidRDefault="00442863" w:rsidP="00461B38">
            <w:pPr>
              <w:rPr>
                <w:lang w:val="en-US"/>
              </w:rPr>
            </w:pPr>
            <w:r w:rsidRPr="00B01069">
              <w:rPr>
                <w:lang w:val="en-US"/>
              </w:rPr>
              <w:t>Le juge Brown</w:t>
            </w:r>
          </w:p>
        </w:tc>
      </w:tr>
    </w:tbl>
    <w:p w:rsidR="00442863" w:rsidRPr="00B01069" w:rsidRDefault="00442863" w:rsidP="00442863">
      <w:pPr>
        <w:rPr>
          <w:lang w:val="fr-FR"/>
        </w:rPr>
      </w:pPr>
      <w:r w:rsidRPr="00B01069">
        <w:rPr>
          <w:lang w:val="fr-FR"/>
        </w:rPr>
        <w:t> </w:t>
      </w:r>
    </w:p>
    <w:tbl>
      <w:tblPr>
        <w:tblW w:w="0" w:type="auto"/>
        <w:tblCellMar>
          <w:left w:w="0" w:type="dxa"/>
          <w:right w:w="0" w:type="dxa"/>
        </w:tblCellMar>
        <w:tblLook w:val="04A0" w:firstRow="1" w:lastRow="0" w:firstColumn="1" w:lastColumn="0" w:noHBand="0" w:noVBand="1"/>
      </w:tblPr>
      <w:tblGrid>
        <w:gridCol w:w="3260"/>
        <w:gridCol w:w="5020"/>
      </w:tblGrid>
      <w:tr w:rsidR="00442863" w:rsidRPr="0020342E" w:rsidTr="00461B38">
        <w:trPr>
          <w:cantSplit/>
        </w:trPr>
        <w:tc>
          <w:tcPr>
            <w:tcW w:w="3618" w:type="dxa"/>
            <w:tcMar>
              <w:top w:w="58" w:type="dxa"/>
              <w:left w:w="58" w:type="dxa"/>
              <w:bottom w:w="58" w:type="dxa"/>
              <w:right w:w="58" w:type="dxa"/>
            </w:tcMar>
            <w:hideMark/>
          </w:tcPr>
          <w:p w:rsidR="00442863" w:rsidRPr="00B01069" w:rsidRDefault="00442863" w:rsidP="00461B38">
            <w:pPr>
              <w:rPr>
                <w:lang w:val="en-US"/>
              </w:rPr>
            </w:pPr>
            <w:r w:rsidRPr="00B01069">
              <w:rPr>
                <w:b/>
                <w:bCs/>
                <w:smallCaps/>
                <w:lang w:val="en-US"/>
              </w:rPr>
              <w:t>Motifs concordants :</w:t>
            </w:r>
          </w:p>
          <w:p w:rsidR="00442863" w:rsidRPr="00B01069" w:rsidRDefault="00442863" w:rsidP="00461B38">
            <w:pPr>
              <w:rPr>
                <w:lang w:val="en-US"/>
              </w:rPr>
            </w:pPr>
            <w:r w:rsidRPr="00B01069">
              <w:rPr>
                <w:lang w:val="en-US"/>
              </w:rPr>
              <w:t>(par. 148 à 172)</w:t>
            </w:r>
          </w:p>
        </w:tc>
        <w:tc>
          <w:tcPr>
            <w:tcW w:w="5958" w:type="dxa"/>
            <w:tcMar>
              <w:top w:w="58" w:type="dxa"/>
              <w:left w:w="58" w:type="dxa"/>
              <w:bottom w:w="58" w:type="dxa"/>
              <w:right w:w="58" w:type="dxa"/>
            </w:tcMar>
            <w:hideMark/>
          </w:tcPr>
          <w:p w:rsidR="00442863" w:rsidRPr="00B01069" w:rsidRDefault="00442863" w:rsidP="00461B38">
            <w:pPr>
              <w:rPr>
                <w:lang w:val="fr-CA"/>
              </w:rPr>
            </w:pPr>
            <w:r w:rsidRPr="00B01069">
              <w:rPr>
                <w:lang w:val="fr-CA"/>
              </w:rPr>
              <w:t>Le juge Rowe (avec l’accord des juges Moldaver et Côté)</w:t>
            </w:r>
          </w:p>
        </w:tc>
      </w:tr>
    </w:tbl>
    <w:p w:rsidR="00442863" w:rsidRPr="00B01069" w:rsidRDefault="00442863" w:rsidP="00442863">
      <w:pPr>
        <w:rPr>
          <w:lang w:val="fr-FR"/>
        </w:rPr>
      </w:pPr>
      <w:r w:rsidRPr="00B01069">
        <w:rPr>
          <w:lang w:val="fr-FR"/>
        </w:rPr>
        <w:t> </w:t>
      </w:r>
    </w:p>
    <w:p w:rsidR="00442863" w:rsidRPr="00442863" w:rsidRDefault="00442863" w:rsidP="00442863">
      <w:pPr>
        <w:rPr>
          <w:lang w:val="fr-CA"/>
        </w:rPr>
      </w:pPr>
      <w:r>
        <w:rPr>
          <w:noProof/>
          <w:lang w:val="en-US" w:eastAsia="en-US"/>
        </w:rPr>
        <mc:AlternateContent>
          <mc:Choice Requires="wps">
            <w:drawing>
              <wp:anchor distT="0" distB="0" distL="114300" distR="114300" simplePos="0" relativeHeight="251659264" behindDoc="0" locked="0" layoutInCell="1" allowOverlap="1" wp14:anchorId="251D810F" wp14:editId="77ECF22A">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A66213"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442863" w:rsidRDefault="00442863" w:rsidP="00095239">
      <w:pPr>
        <w:spacing w:after="720"/>
        <w:jc w:val="both"/>
        <w:rPr>
          <w:rStyle w:val="SCCAppellantForRunningHeadChar"/>
          <w:smallCaps w:val="0"/>
          <w:lang w:val="fr-CA"/>
        </w:rPr>
      </w:pPr>
    </w:p>
    <w:p w:rsidR="004D7D95" w:rsidRPr="00C40389" w:rsidRDefault="00C40389" w:rsidP="00095239">
      <w:pPr>
        <w:spacing w:after="720"/>
        <w:jc w:val="both"/>
        <w:rPr>
          <w:smallCaps/>
          <w:lang w:val="fr-CA"/>
        </w:rPr>
      </w:pPr>
      <w:r w:rsidRPr="00C40389">
        <w:rPr>
          <w:rStyle w:val="SCCAppellantForRunningHeadChar"/>
          <w:smallCaps w:val="0"/>
          <w:lang w:val="fr-CA"/>
        </w:rPr>
        <w:t>M</w:t>
      </w:r>
      <w:r w:rsidR="00894498" w:rsidRPr="00C40389">
        <w:rPr>
          <w:rStyle w:val="SCCAppellantForRunningHeadChar"/>
          <w:smallCaps w:val="0"/>
          <w:lang w:val="fr-CA"/>
        </w:rPr>
        <w:t xml:space="preserve">ikisew </w:t>
      </w:r>
      <w:r w:rsidRPr="00C40389">
        <w:rPr>
          <w:rStyle w:val="SCCAppellantForRunningHeadChar"/>
          <w:smallCaps w:val="0"/>
          <w:lang w:val="fr-CA"/>
        </w:rPr>
        <w:t>C</w:t>
      </w:r>
      <w:r w:rsidR="00894498" w:rsidRPr="00C40389">
        <w:rPr>
          <w:rStyle w:val="SCCAppellantForRunningHeadChar"/>
          <w:smallCaps w:val="0"/>
          <w:lang w:val="fr-CA"/>
        </w:rPr>
        <w:t xml:space="preserve">ree </w:t>
      </w:r>
      <w:r w:rsidRPr="00C40389">
        <w:rPr>
          <w:rStyle w:val="SCCAppellantForRunningHeadChar"/>
          <w:smallCaps w:val="0"/>
          <w:lang w:val="fr-CA"/>
        </w:rPr>
        <w:t>F</w:t>
      </w:r>
      <w:r w:rsidR="00894498" w:rsidRPr="00C40389">
        <w:rPr>
          <w:rStyle w:val="SCCAppellantForRunningHeadChar"/>
          <w:smallCaps w:val="0"/>
          <w:lang w:val="fr-CA"/>
        </w:rPr>
        <w:t xml:space="preserve">irst </w:t>
      </w:r>
      <w:r w:rsidRPr="00C40389">
        <w:rPr>
          <w:rStyle w:val="SCCAppellantForRunningHeadChar"/>
          <w:smallCaps w:val="0"/>
          <w:lang w:val="fr-CA"/>
        </w:rPr>
        <w:t>N</w:t>
      </w:r>
      <w:r w:rsidR="00894498" w:rsidRPr="00C40389">
        <w:rPr>
          <w:rStyle w:val="SCCAppellantForRunningHeadChar"/>
          <w:smallCaps w:val="0"/>
          <w:lang w:val="fr-CA"/>
        </w:rPr>
        <w:t>ation</w:t>
      </w:r>
      <w:r w:rsidR="004D7D95" w:rsidRPr="00C40389">
        <w:rPr>
          <w:smallCaps/>
          <w:lang w:val="fr-CA"/>
        </w:rPr>
        <w:t xml:space="preserve"> </w:t>
      </w:r>
      <w:r w:rsidR="004D7D95" w:rsidRPr="00C40389">
        <w:rPr>
          <w:i/>
          <w:lang w:val="fr-CA"/>
        </w:rPr>
        <w:t>c.</w:t>
      </w:r>
      <w:r w:rsidR="004D7D95" w:rsidRPr="00C40389">
        <w:rPr>
          <w:smallCaps/>
          <w:lang w:val="fr-CA"/>
        </w:rPr>
        <w:t xml:space="preserve"> </w:t>
      </w:r>
      <w:r w:rsidRPr="00C40389">
        <w:rPr>
          <w:rStyle w:val="SCCRespondentForRunningHeadChar"/>
          <w:smallCaps w:val="0"/>
          <w:lang w:val="fr-CA"/>
        </w:rPr>
        <w:t>C</w:t>
      </w:r>
      <w:r w:rsidR="00894498" w:rsidRPr="00C40389">
        <w:rPr>
          <w:rStyle w:val="SCCRespondentForRunningHeadChar"/>
          <w:smallCaps w:val="0"/>
          <w:lang w:val="fr-CA"/>
        </w:rPr>
        <w:t xml:space="preserve">anada </w:t>
      </w:r>
      <w:r w:rsidRPr="00C40389">
        <w:rPr>
          <w:lang w:val="fr-CA"/>
        </w:rPr>
        <w:t>(Gouverneur général en conseil)</w:t>
      </w:r>
      <w:r>
        <w:rPr>
          <w:lang w:val="fr-CA"/>
        </w:rPr>
        <w:t xml:space="preserve">, </w:t>
      </w:r>
      <w:r w:rsidRPr="00606C27">
        <w:rPr>
          <w:lang w:val="fr-CA"/>
        </w:rPr>
        <w:t>2018 CSC 40</w:t>
      </w:r>
      <w:r>
        <w:rPr>
          <w:lang w:val="fr-CA"/>
        </w:rPr>
        <w:t xml:space="preserve">, [2018] 2 R.C.S. 765 </w:t>
      </w:r>
    </w:p>
    <w:p w:rsidR="003355B4" w:rsidRPr="00606C27" w:rsidRDefault="00BC73D9" w:rsidP="003355B4">
      <w:pPr>
        <w:pStyle w:val="SCCLsocParty"/>
        <w:rPr>
          <w:lang w:val="fr-CA"/>
        </w:rPr>
      </w:pPr>
      <w:r w:rsidRPr="00606C27">
        <w:rPr>
          <w:lang w:val="fr-CA"/>
        </w:rPr>
        <w:t xml:space="preserve">Le chef </w:t>
      </w:r>
      <w:r w:rsidR="00D07980" w:rsidRPr="00606C27">
        <w:rPr>
          <w:lang w:val="fr-CA"/>
        </w:rPr>
        <w:t>Steve Courtoreille</w:t>
      </w:r>
      <w:r w:rsidRPr="00606C27">
        <w:rPr>
          <w:lang w:val="fr-CA"/>
        </w:rPr>
        <w:t xml:space="preserve">, </w:t>
      </w:r>
      <w:r w:rsidR="003355B4" w:rsidRPr="00606C27">
        <w:rPr>
          <w:lang w:val="fr-CA"/>
        </w:rPr>
        <w:t xml:space="preserve">en son nom et </w:t>
      </w:r>
    </w:p>
    <w:p w:rsidR="003F28B8" w:rsidRPr="00606C27" w:rsidRDefault="003355B4" w:rsidP="003355B4">
      <w:pPr>
        <w:pStyle w:val="SCCLsocLastPartyInRole"/>
        <w:rPr>
          <w:lang w:val="fr-CA"/>
        </w:rPr>
      </w:pPr>
      <w:r w:rsidRPr="00606C27">
        <w:rPr>
          <w:lang w:val="fr-CA"/>
        </w:rPr>
        <w:t>au nom d</w:t>
      </w:r>
      <w:r w:rsidR="00BC73D9" w:rsidRPr="00606C27">
        <w:rPr>
          <w:lang w:val="fr-CA"/>
        </w:rPr>
        <w:t xml:space="preserve">es membres de la </w:t>
      </w:r>
      <w:r w:rsidR="00D07980" w:rsidRPr="00606C27">
        <w:rPr>
          <w:lang w:val="fr-CA"/>
        </w:rPr>
        <w:t>Mikisew Cree First Nation</w:t>
      </w:r>
      <w:r w:rsidR="00D07980" w:rsidRPr="00606C27">
        <w:rPr>
          <w:rStyle w:val="SCCLsocPartyRole"/>
          <w:lang w:val="fr-CA"/>
        </w:rPr>
        <w:tab/>
        <w:t>Appelant</w:t>
      </w:r>
    </w:p>
    <w:p w:rsidR="003F28B8" w:rsidRPr="00606C27" w:rsidRDefault="00D07980">
      <w:pPr>
        <w:pStyle w:val="SCCLsocVersus"/>
        <w:rPr>
          <w:lang w:val="fr-CA"/>
        </w:rPr>
      </w:pPr>
      <w:r w:rsidRPr="00606C27">
        <w:rPr>
          <w:lang w:val="fr-CA"/>
        </w:rPr>
        <w:t>c.</w:t>
      </w:r>
    </w:p>
    <w:p w:rsidR="003F28B8" w:rsidRPr="00606C27" w:rsidRDefault="00D07980">
      <w:pPr>
        <w:pStyle w:val="SCCLsocParty"/>
        <w:rPr>
          <w:lang w:val="fr-CA"/>
        </w:rPr>
      </w:pPr>
      <w:r w:rsidRPr="00606C27">
        <w:rPr>
          <w:lang w:val="fr-CA"/>
        </w:rPr>
        <w:t xml:space="preserve">Gouverneur général </w:t>
      </w:r>
      <w:r w:rsidR="00C468B7" w:rsidRPr="00606C27">
        <w:rPr>
          <w:lang w:val="fr-CA"/>
        </w:rPr>
        <w:t>en conseil</w:t>
      </w:r>
      <w:r w:rsidRPr="00606C27">
        <w:rPr>
          <w:lang w:val="fr-CA"/>
        </w:rPr>
        <w:t>,</w:t>
      </w:r>
    </w:p>
    <w:p w:rsidR="00B22AED" w:rsidRPr="00606C27" w:rsidRDefault="00C468B7" w:rsidP="00417EA2">
      <w:pPr>
        <w:pStyle w:val="SCCLsocParty"/>
        <w:rPr>
          <w:lang w:val="fr-CA"/>
        </w:rPr>
      </w:pPr>
      <w:r w:rsidRPr="00606C27">
        <w:rPr>
          <w:lang w:val="fr-CA"/>
        </w:rPr>
        <w:t xml:space="preserve">ministre des </w:t>
      </w:r>
      <w:r w:rsidR="00D07980" w:rsidRPr="00606C27">
        <w:rPr>
          <w:lang w:val="fr-CA"/>
        </w:rPr>
        <w:t xml:space="preserve">Affaires autochtones et du </w:t>
      </w:r>
    </w:p>
    <w:p w:rsidR="00417EA2" w:rsidRPr="00606C27" w:rsidRDefault="00887812" w:rsidP="00417EA2">
      <w:pPr>
        <w:pStyle w:val="SCCLsocParty"/>
        <w:rPr>
          <w:lang w:val="fr-CA"/>
        </w:rPr>
      </w:pPr>
      <w:r w:rsidRPr="00606C27">
        <w:rPr>
          <w:lang w:val="fr-CA"/>
        </w:rPr>
        <w:t>D</w:t>
      </w:r>
      <w:r w:rsidR="00C468B7" w:rsidRPr="00606C27">
        <w:rPr>
          <w:lang w:val="fr-CA"/>
        </w:rPr>
        <w:t xml:space="preserve">éveloppement du </w:t>
      </w:r>
      <w:r w:rsidR="00D07980" w:rsidRPr="00606C27">
        <w:rPr>
          <w:lang w:val="fr-CA"/>
        </w:rPr>
        <w:t xml:space="preserve">Nord </w:t>
      </w:r>
      <w:r w:rsidR="00C468B7" w:rsidRPr="00606C27">
        <w:rPr>
          <w:lang w:val="fr-CA"/>
        </w:rPr>
        <w:t>canadien</w:t>
      </w:r>
      <w:r w:rsidR="00D07980" w:rsidRPr="00606C27">
        <w:rPr>
          <w:lang w:val="fr-CA"/>
        </w:rPr>
        <w:t xml:space="preserve">, </w:t>
      </w:r>
    </w:p>
    <w:p w:rsidR="00B22AED" w:rsidRPr="00606C27" w:rsidRDefault="00B47CCF" w:rsidP="00417EA2">
      <w:pPr>
        <w:pStyle w:val="SCCLsocParty"/>
        <w:rPr>
          <w:lang w:val="fr-CA"/>
        </w:rPr>
      </w:pPr>
      <w:r w:rsidRPr="00606C27">
        <w:rPr>
          <w:lang w:val="fr-CA"/>
        </w:rPr>
        <w:t>m</w:t>
      </w:r>
      <w:r w:rsidR="00D07980" w:rsidRPr="00606C27">
        <w:rPr>
          <w:lang w:val="fr-CA"/>
        </w:rPr>
        <w:t xml:space="preserve">inistre des Finances, </w:t>
      </w:r>
    </w:p>
    <w:p w:rsidR="00417EA2" w:rsidRPr="00606C27" w:rsidRDefault="00B47CCF" w:rsidP="00417EA2">
      <w:pPr>
        <w:pStyle w:val="SCCLsocParty"/>
        <w:rPr>
          <w:lang w:val="fr-CA"/>
        </w:rPr>
      </w:pPr>
      <w:r w:rsidRPr="00606C27">
        <w:rPr>
          <w:lang w:val="fr-CA"/>
        </w:rPr>
        <w:t>ministre de l</w:t>
      </w:r>
      <w:r w:rsidR="00C46F55" w:rsidRPr="00606C27">
        <w:rPr>
          <w:lang w:val="fr-CA"/>
        </w:rPr>
        <w:t>’</w:t>
      </w:r>
      <w:r w:rsidRPr="00606C27">
        <w:rPr>
          <w:lang w:val="fr-CA"/>
        </w:rPr>
        <w:t>E</w:t>
      </w:r>
      <w:r w:rsidR="00D07980" w:rsidRPr="00606C27">
        <w:rPr>
          <w:lang w:val="fr-CA"/>
        </w:rPr>
        <w:t xml:space="preserve">nvironnement, </w:t>
      </w:r>
    </w:p>
    <w:p w:rsidR="00B22AED" w:rsidRPr="00606C27" w:rsidRDefault="00B47CCF" w:rsidP="00417EA2">
      <w:pPr>
        <w:pStyle w:val="SCCLsocParty"/>
        <w:rPr>
          <w:lang w:val="fr-CA"/>
        </w:rPr>
      </w:pPr>
      <w:r w:rsidRPr="00606C27">
        <w:rPr>
          <w:lang w:val="fr-CA"/>
        </w:rPr>
        <w:t>m</w:t>
      </w:r>
      <w:r w:rsidR="00D07980" w:rsidRPr="00606C27">
        <w:rPr>
          <w:lang w:val="fr-CA"/>
        </w:rPr>
        <w:t>ini</w:t>
      </w:r>
      <w:r w:rsidRPr="00606C27">
        <w:rPr>
          <w:lang w:val="fr-CA"/>
        </w:rPr>
        <w:t xml:space="preserve">stre des Pêches et des Océans, </w:t>
      </w:r>
    </w:p>
    <w:p w:rsidR="00417EA2" w:rsidRPr="00606C27" w:rsidRDefault="00B47CCF" w:rsidP="00417EA2">
      <w:pPr>
        <w:pStyle w:val="SCCLsocParty"/>
        <w:rPr>
          <w:lang w:val="fr-CA"/>
        </w:rPr>
      </w:pPr>
      <w:r w:rsidRPr="00606C27">
        <w:rPr>
          <w:lang w:val="fr-CA"/>
        </w:rPr>
        <w:t>m</w:t>
      </w:r>
      <w:r w:rsidR="00D07980" w:rsidRPr="00606C27">
        <w:rPr>
          <w:lang w:val="fr-CA"/>
        </w:rPr>
        <w:t xml:space="preserve">inistre des Transports et </w:t>
      </w:r>
    </w:p>
    <w:p w:rsidR="003F28B8" w:rsidRPr="00606C27" w:rsidRDefault="00B47CCF">
      <w:pPr>
        <w:pStyle w:val="SCCLsocLastPartyInRole"/>
        <w:rPr>
          <w:lang w:val="fr-CA"/>
        </w:rPr>
      </w:pPr>
      <w:r w:rsidRPr="00606C27">
        <w:rPr>
          <w:lang w:val="fr-CA"/>
        </w:rPr>
        <w:t>m</w:t>
      </w:r>
      <w:r w:rsidR="00D07980" w:rsidRPr="00606C27">
        <w:rPr>
          <w:lang w:val="fr-CA"/>
        </w:rPr>
        <w:t>inistre des Ressources naturelles</w:t>
      </w:r>
      <w:r w:rsidR="00D07980" w:rsidRPr="00606C27">
        <w:rPr>
          <w:rStyle w:val="SCCLsocPartyRole"/>
          <w:lang w:val="fr-CA"/>
        </w:rPr>
        <w:tab/>
        <w:t>Intimés</w:t>
      </w:r>
    </w:p>
    <w:p w:rsidR="003F28B8" w:rsidRPr="00606C27" w:rsidRDefault="00D07980">
      <w:pPr>
        <w:pStyle w:val="SCCLsocOtherPartySeparator"/>
        <w:rPr>
          <w:lang w:val="fr-CA"/>
        </w:rPr>
      </w:pPr>
      <w:r w:rsidRPr="00606C27">
        <w:rPr>
          <w:lang w:val="fr-CA"/>
        </w:rPr>
        <w:t>et</w:t>
      </w:r>
    </w:p>
    <w:p w:rsidR="003F28B8" w:rsidRPr="00606C27" w:rsidRDefault="00D07980">
      <w:pPr>
        <w:pStyle w:val="SCCLsocParty"/>
        <w:rPr>
          <w:lang w:val="fr-CA"/>
        </w:rPr>
      </w:pPr>
      <w:r w:rsidRPr="00606C27">
        <w:rPr>
          <w:lang w:val="fr-CA"/>
        </w:rPr>
        <w:lastRenderedPageBreak/>
        <w:t>Procureure générale du Québec,</w:t>
      </w:r>
    </w:p>
    <w:p w:rsidR="003F28B8" w:rsidRPr="00606C27" w:rsidRDefault="001B7D98">
      <w:pPr>
        <w:pStyle w:val="SCCLsocParty"/>
        <w:rPr>
          <w:lang w:val="fr-CA"/>
        </w:rPr>
      </w:pPr>
      <w:r w:rsidRPr="00606C27">
        <w:rPr>
          <w:lang w:val="fr-CA"/>
        </w:rPr>
        <w:t>p</w:t>
      </w:r>
      <w:r w:rsidR="00D07980" w:rsidRPr="00606C27">
        <w:rPr>
          <w:lang w:val="fr-CA"/>
        </w:rPr>
        <w:t>rocureur général du Nouveau</w:t>
      </w:r>
      <w:r w:rsidR="0005272F" w:rsidRPr="00606C27">
        <w:rPr>
          <w:lang w:val="fr-CA"/>
        </w:rPr>
        <w:noBreakHyphen/>
      </w:r>
      <w:r w:rsidR="00D07980" w:rsidRPr="00606C27">
        <w:rPr>
          <w:lang w:val="fr-CA"/>
        </w:rPr>
        <w:t>Brunswick,</w:t>
      </w:r>
    </w:p>
    <w:p w:rsidR="003F28B8" w:rsidRPr="00606C27" w:rsidRDefault="001B7D98">
      <w:pPr>
        <w:pStyle w:val="SCCLsocParty"/>
        <w:rPr>
          <w:lang w:val="fr-CA"/>
        </w:rPr>
      </w:pPr>
      <w:r w:rsidRPr="00606C27">
        <w:rPr>
          <w:lang w:val="fr-CA"/>
        </w:rPr>
        <w:t>procureur général de la Colombie</w:t>
      </w:r>
      <w:r w:rsidR="0005272F" w:rsidRPr="00606C27">
        <w:rPr>
          <w:lang w:val="fr-CA"/>
        </w:rPr>
        <w:noBreakHyphen/>
      </w:r>
      <w:r w:rsidR="00D07980" w:rsidRPr="00606C27">
        <w:rPr>
          <w:lang w:val="fr-CA"/>
        </w:rPr>
        <w:t>Britannique,</w:t>
      </w:r>
    </w:p>
    <w:p w:rsidR="003F28B8" w:rsidRPr="00606C27" w:rsidRDefault="001B7D98">
      <w:pPr>
        <w:pStyle w:val="SCCLsocParty"/>
        <w:rPr>
          <w:lang w:val="fr-CA"/>
        </w:rPr>
      </w:pPr>
      <w:r w:rsidRPr="00606C27">
        <w:rPr>
          <w:lang w:val="fr-CA"/>
        </w:rPr>
        <w:t>p</w:t>
      </w:r>
      <w:r w:rsidR="00D07980" w:rsidRPr="00606C27">
        <w:rPr>
          <w:lang w:val="fr-CA"/>
        </w:rPr>
        <w:t>rocureur général de la Saskatchewan,</w:t>
      </w:r>
    </w:p>
    <w:p w:rsidR="003F28B8" w:rsidRPr="00606C27" w:rsidRDefault="001B7D98">
      <w:pPr>
        <w:pStyle w:val="SCCLsocParty"/>
        <w:rPr>
          <w:lang w:val="fr-CA"/>
        </w:rPr>
      </w:pPr>
      <w:r w:rsidRPr="00606C27">
        <w:rPr>
          <w:lang w:val="fr-CA"/>
        </w:rPr>
        <w:t>p</w:t>
      </w:r>
      <w:r w:rsidR="00D07980" w:rsidRPr="00606C27">
        <w:rPr>
          <w:lang w:val="fr-CA"/>
        </w:rPr>
        <w:t>rocureur général de l</w:t>
      </w:r>
      <w:r w:rsidR="00C46F55" w:rsidRPr="00606C27">
        <w:rPr>
          <w:lang w:val="fr-CA"/>
        </w:rPr>
        <w:t>’</w:t>
      </w:r>
      <w:r w:rsidR="00D07980" w:rsidRPr="00606C27">
        <w:rPr>
          <w:lang w:val="fr-CA"/>
        </w:rPr>
        <w:t>Alberta,</w:t>
      </w:r>
    </w:p>
    <w:p w:rsidR="00C57BCC" w:rsidRPr="00606C27" w:rsidRDefault="00D07980">
      <w:pPr>
        <w:pStyle w:val="SCCLsocParty"/>
        <w:rPr>
          <w:lang w:val="fr-CA"/>
        </w:rPr>
      </w:pPr>
      <w:r w:rsidRPr="00606C27">
        <w:rPr>
          <w:lang w:val="fr-CA"/>
        </w:rPr>
        <w:t>Champagne an</w:t>
      </w:r>
      <w:r w:rsidR="001B7D98" w:rsidRPr="00606C27">
        <w:rPr>
          <w:lang w:val="fr-CA"/>
        </w:rPr>
        <w:t xml:space="preserve">d Aishihik First Nations, </w:t>
      </w:r>
    </w:p>
    <w:p w:rsidR="00C57BCC" w:rsidRPr="00606C27" w:rsidRDefault="001B7D98">
      <w:pPr>
        <w:pStyle w:val="SCCLsocParty"/>
        <w:rPr>
          <w:lang w:val="en-US"/>
        </w:rPr>
      </w:pPr>
      <w:r w:rsidRPr="00606C27">
        <w:rPr>
          <w:lang w:val="en-US"/>
        </w:rPr>
        <w:t>Kwanli</w:t>
      </w:r>
      <w:r w:rsidR="00D07980" w:rsidRPr="00606C27">
        <w:rPr>
          <w:lang w:val="en-US"/>
        </w:rPr>
        <w:t xml:space="preserve">n Dün First Nation, </w:t>
      </w:r>
    </w:p>
    <w:p w:rsidR="00C57BCC" w:rsidRPr="00606C27" w:rsidRDefault="00D07980">
      <w:pPr>
        <w:pStyle w:val="SCCLsocParty"/>
        <w:rPr>
          <w:lang w:val="en-US"/>
        </w:rPr>
      </w:pPr>
      <w:r w:rsidRPr="00606C27">
        <w:rPr>
          <w:lang w:val="en-US"/>
        </w:rPr>
        <w:t xml:space="preserve">Little Salmon Carmacks First Nation, </w:t>
      </w:r>
    </w:p>
    <w:p w:rsidR="00C57BCC" w:rsidRPr="00606C27" w:rsidRDefault="00D07980">
      <w:pPr>
        <w:pStyle w:val="SCCLsocParty"/>
        <w:rPr>
          <w:lang w:val="en-US"/>
        </w:rPr>
      </w:pPr>
      <w:r w:rsidRPr="00606C27">
        <w:rPr>
          <w:lang w:val="en-US"/>
        </w:rPr>
        <w:t>First Nation of Na</w:t>
      </w:r>
      <w:r w:rsidR="0005272F" w:rsidRPr="00606C27">
        <w:rPr>
          <w:lang w:val="en-US"/>
        </w:rPr>
        <w:noBreakHyphen/>
      </w:r>
      <w:r w:rsidRPr="00606C27">
        <w:rPr>
          <w:lang w:val="en-US"/>
        </w:rPr>
        <w:t xml:space="preserve">Cho Nyak Dun, </w:t>
      </w:r>
    </w:p>
    <w:p w:rsidR="00C57BCC" w:rsidRPr="00606C27" w:rsidRDefault="00D07980">
      <w:pPr>
        <w:pStyle w:val="SCCLsocParty"/>
        <w:rPr>
          <w:lang w:val="en-US"/>
        </w:rPr>
      </w:pPr>
      <w:r w:rsidRPr="00606C27">
        <w:rPr>
          <w:lang w:val="en-US"/>
        </w:rPr>
        <w:t xml:space="preserve">Teslin Tlingit Council, </w:t>
      </w:r>
    </w:p>
    <w:p w:rsidR="003F28B8" w:rsidRPr="00606C27" w:rsidRDefault="00D07980">
      <w:pPr>
        <w:pStyle w:val="SCCLsocParty"/>
        <w:rPr>
          <w:lang w:val="en-US"/>
        </w:rPr>
      </w:pPr>
      <w:r w:rsidRPr="00606C27">
        <w:rPr>
          <w:lang w:val="en-US"/>
        </w:rPr>
        <w:t>First Nations of the Maa</w:t>
      </w:r>
      <w:r w:rsidR="0005272F" w:rsidRPr="00606C27">
        <w:rPr>
          <w:lang w:val="en-US"/>
        </w:rPr>
        <w:noBreakHyphen/>
      </w:r>
      <w:r w:rsidR="00000837" w:rsidRPr="00606C27">
        <w:rPr>
          <w:lang w:val="en-US"/>
        </w:rPr>
        <w:t>n</w:t>
      </w:r>
      <w:r w:rsidRPr="00606C27">
        <w:rPr>
          <w:lang w:val="en-US"/>
        </w:rPr>
        <w:t>ulth Treaty Society,</w:t>
      </w:r>
    </w:p>
    <w:p w:rsidR="003F28B8" w:rsidRPr="00606C27" w:rsidRDefault="00D07980">
      <w:pPr>
        <w:pStyle w:val="SCCLsocParty"/>
        <w:rPr>
          <w:lang w:val="fr-CA"/>
        </w:rPr>
      </w:pPr>
      <w:r w:rsidRPr="00606C27">
        <w:rPr>
          <w:lang w:val="fr-CA"/>
        </w:rPr>
        <w:t>Assembl</w:t>
      </w:r>
      <w:r w:rsidR="00C57BCC" w:rsidRPr="00606C27">
        <w:rPr>
          <w:lang w:val="fr-CA"/>
        </w:rPr>
        <w:t>ée des Premières Nations</w:t>
      </w:r>
      <w:r w:rsidRPr="00606C27">
        <w:rPr>
          <w:lang w:val="fr-CA"/>
        </w:rPr>
        <w:t>,</w:t>
      </w:r>
    </w:p>
    <w:p w:rsidR="00C57BCC" w:rsidRPr="00606C27" w:rsidRDefault="00D07980">
      <w:pPr>
        <w:pStyle w:val="SCCLsocParty"/>
        <w:rPr>
          <w:lang w:val="fr-CA"/>
        </w:rPr>
      </w:pPr>
      <w:r w:rsidRPr="00606C27">
        <w:rPr>
          <w:lang w:val="fr-CA"/>
        </w:rPr>
        <w:t xml:space="preserve">Grand Conseil des Cris (Eeyou Istchee), </w:t>
      </w:r>
    </w:p>
    <w:p w:rsidR="003F28B8" w:rsidRPr="00606C27" w:rsidRDefault="00000837">
      <w:pPr>
        <w:pStyle w:val="SCCLsocParty"/>
        <w:rPr>
          <w:lang w:val="fr-CA"/>
        </w:rPr>
      </w:pPr>
      <w:r w:rsidRPr="00606C27">
        <w:rPr>
          <w:lang w:val="fr-CA"/>
        </w:rPr>
        <w:t>G</w:t>
      </w:r>
      <w:r w:rsidR="00D07980" w:rsidRPr="00606C27">
        <w:rPr>
          <w:lang w:val="fr-CA"/>
        </w:rPr>
        <w:t>ouvernement de la nation crie,</w:t>
      </w:r>
    </w:p>
    <w:p w:rsidR="003F28B8" w:rsidRPr="00606C27" w:rsidRDefault="00D07980">
      <w:pPr>
        <w:pStyle w:val="SCCLsocParty"/>
        <w:rPr>
          <w:lang w:val="en-US"/>
        </w:rPr>
      </w:pPr>
      <w:r w:rsidRPr="00606C27">
        <w:rPr>
          <w:lang w:val="en-US"/>
        </w:rPr>
        <w:t>Fédéra</w:t>
      </w:r>
      <w:r w:rsidR="004B5E3C" w:rsidRPr="00606C27">
        <w:rPr>
          <w:lang w:val="en-US"/>
        </w:rPr>
        <w:t>tion m</w:t>
      </w:r>
      <w:r w:rsidRPr="00606C27">
        <w:rPr>
          <w:lang w:val="en-US"/>
        </w:rPr>
        <w:t>étisse du Manitoba,</w:t>
      </w:r>
    </w:p>
    <w:p w:rsidR="003F28B8" w:rsidRPr="00606C27" w:rsidRDefault="00D07980">
      <w:pPr>
        <w:pStyle w:val="SCCLsocParty"/>
        <w:rPr>
          <w:lang w:val="en-US"/>
        </w:rPr>
      </w:pPr>
      <w:r w:rsidRPr="00606C27">
        <w:rPr>
          <w:lang w:val="en-US"/>
        </w:rPr>
        <w:t>Advocates for the Rule of Law,</w:t>
      </w:r>
    </w:p>
    <w:p w:rsidR="003F28B8" w:rsidRPr="00606C27" w:rsidRDefault="00D07980">
      <w:pPr>
        <w:pStyle w:val="SCCLsocParty"/>
        <w:rPr>
          <w:lang w:val="en-US"/>
        </w:rPr>
      </w:pPr>
      <w:r w:rsidRPr="00606C27">
        <w:rPr>
          <w:lang w:val="en-US"/>
        </w:rPr>
        <w:t xml:space="preserve">Federation </w:t>
      </w:r>
      <w:r w:rsidR="007F13EA" w:rsidRPr="00606C27">
        <w:rPr>
          <w:lang w:val="en-US"/>
        </w:rPr>
        <w:t>of Sovereign Indigenous Nations et</w:t>
      </w:r>
    </w:p>
    <w:p w:rsidR="003F28B8" w:rsidRPr="00606C27" w:rsidRDefault="00D07980">
      <w:pPr>
        <w:pStyle w:val="SCCLsocLastPartyInRole"/>
        <w:rPr>
          <w:lang w:val="fr-CA"/>
        </w:rPr>
      </w:pPr>
      <w:r w:rsidRPr="00606C27">
        <w:rPr>
          <w:lang w:val="fr-CA"/>
        </w:rPr>
        <w:t>Gitanyow Hereditary Chiefs</w:t>
      </w:r>
      <w:r w:rsidR="001B7D98" w:rsidRPr="00606C27">
        <w:rPr>
          <w:rStyle w:val="SCCLsocPartyRole"/>
          <w:lang w:val="fr-CA"/>
        </w:rPr>
        <w:tab/>
        <w:t>Intervenant</w:t>
      </w:r>
      <w:r w:rsidRPr="00606C27">
        <w:rPr>
          <w:rStyle w:val="SCCLsocPartyRole"/>
          <w:lang w:val="fr-CA"/>
        </w:rPr>
        <w:t>s</w:t>
      </w:r>
    </w:p>
    <w:p w:rsidR="004D7D95" w:rsidRPr="00606C27" w:rsidRDefault="004D7D95" w:rsidP="00095239">
      <w:pPr>
        <w:spacing w:after="720"/>
        <w:rPr>
          <w:b/>
          <w:lang w:val="fr-CA"/>
        </w:rPr>
      </w:pPr>
      <w:r w:rsidRPr="00606C27">
        <w:rPr>
          <w:b/>
          <w:lang w:val="fr-CA"/>
        </w:rPr>
        <w:t>Répertorié</w:t>
      </w:r>
      <w:r w:rsidR="0005272F" w:rsidRPr="00606C27">
        <w:rPr>
          <w:b/>
          <w:lang w:val="fr-CA"/>
        </w:rPr>
        <w:t> :</w:t>
      </w:r>
      <w:r w:rsidRPr="00606C27">
        <w:rPr>
          <w:b/>
          <w:lang w:val="fr-CA"/>
        </w:rPr>
        <w:t> </w:t>
      </w:r>
      <w:r w:rsidR="007F13EA" w:rsidRPr="00606C27">
        <w:rPr>
          <w:b/>
          <w:lang w:val="fr-CA"/>
        </w:rPr>
        <w:t xml:space="preserve">Mikisew Cree First Nation </w:t>
      </w:r>
      <w:r w:rsidR="007F13EA" w:rsidRPr="00606C27">
        <w:rPr>
          <w:b/>
          <w:i/>
          <w:lang w:val="fr-CA"/>
        </w:rPr>
        <w:t xml:space="preserve">c. </w:t>
      </w:r>
      <w:r w:rsidR="007F13EA" w:rsidRPr="00606C27">
        <w:rPr>
          <w:b/>
          <w:lang w:val="fr-CA"/>
        </w:rPr>
        <w:t>Canada (Gouverneur général en conseil)</w:t>
      </w:r>
    </w:p>
    <w:p w:rsidR="004D7D95" w:rsidRPr="00606C27" w:rsidRDefault="00D17B0E" w:rsidP="00095239">
      <w:pPr>
        <w:pStyle w:val="SCCSystemYear"/>
        <w:spacing w:after="720"/>
        <w:jc w:val="both"/>
        <w:rPr>
          <w:lang w:val="fr-CA"/>
        </w:rPr>
      </w:pPr>
      <w:r w:rsidRPr="00606C27">
        <w:rPr>
          <w:lang w:val="fr-CA"/>
        </w:rPr>
        <w:t>2018</w:t>
      </w:r>
      <w:r w:rsidR="004D7D95" w:rsidRPr="00606C27">
        <w:rPr>
          <w:lang w:val="fr-CA"/>
        </w:rPr>
        <w:t xml:space="preserve"> CSC </w:t>
      </w:r>
      <w:r w:rsidR="004F3535" w:rsidRPr="00606C27">
        <w:rPr>
          <w:lang w:val="fr-CA"/>
        </w:rPr>
        <w:t>40</w:t>
      </w:r>
    </w:p>
    <w:p w:rsidR="004D7D95" w:rsidRPr="00606C27" w:rsidRDefault="004D7D95" w:rsidP="00095239">
      <w:pPr>
        <w:spacing w:after="720"/>
        <w:jc w:val="both"/>
        <w:rPr>
          <w:lang w:val="fr-CA"/>
        </w:rPr>
      </w:pPr>
      <w:r w:rsidRPr="00606C27">
        <w:rPr>
          <w:lang w:val="fr-CA"/>
        </w:rPr>
        <w:t>N</w:t>
      </w:r>
      <w:r w:rsidRPr="00606C27">
        <w:rPr>
          <w:vertAlign w:val="superscript"/>
          <w:lang w:val="fr-CA"/>
        </w:rPr>
        <w:t>o</w:t>
      </w:r>
      <w:r w:rsidRPr="00606C27">
        <w:rPr>
          <w:lang w:val="fr-CA"/>
        </w:rPr>
        <w:t xml:space="preserve"> du greffe</w:t>
      </w:r>
      <w:r w:rsidR="0005272F" w:rsidRPr="00606C27">
        <w:rPr>
          <w:lang w:val="fr-CA"/>
        </w:rPr>
        <w:t> :</w:t>
      </w:r>
      <w:r w:rsidRPr="00606C27">
        <w:rPr>
          <w:lang w:val="fr-CA"/>
        </w:rPr>
        <w:t> 37441.</w:t>
      </w:r>
    </w:p>
    <w:p w:rsidR="004D7D95" w:rsidRPr="00606C27" w:rsidRDefault="00C52501" w:rsidP="00095239">
      <w:pPr>
        <w:spacing w:after="720"/>
        <w:jc w:val="both"/>
        <w:rPr>
          <w:lang w:val="fr-CA"/>
        </w:rPr>
      </w:pPr>
      <w:r w:rsidRPr="00606C27">
        <w:rPr>
          <w:lang w:val="fr-CA"/>
        </w:rPr>
        <w:t>2018</w:t>
      </w:r>
      <w:r w:rsidR="0005272F" w:rsidRPr="00606C27">
        <w:rPr>
          <w:lang w:val="fr-CA"/>
        </w:rPr>
        <w:t> :</w:t>
      </w:r>
      <w:r w:rsidR="00095239" w:rsidRPr="00606C27">
        <w:rPr>
          <w:lang w:val="fr-CA"/>
        </w:rPr>
        <w:t> </w:t>
      </w:r>
      <w:r w:rsidR="00D17B0E" w:rsidRPr="00606C27">
        <w:rPr>
          <w:lang w:val="fr-CA"/>
        </w:rPr>
        <w:t>15</w:t>
      </w:r>
      <w:r w:rsidR="00095239" w:rsidRPr="00606C27">
        <w:rPr>
          <w:lang w:val="fr-CA"/>
        </w:rPr>
        <w:t> </w:t>
      </w:r>
      <w:r w:rsidR="00D17B0E" w:rsidRPr="00606C27">
        <w:rPr>
          <w:lang w:val="fr-CA"/>
        </w:rPr>
        <w:t>janvier</w:t>
      </w:r>
      <w:r w:rsidR="004D7D95" w:rsidRPr="00606C27">
        <w:rPr>
          <w:lang w:val="fr-CA"/>
        </w:rPr>
        <w:t xml:space="preserve">; </w:t>
      </w:r>
      <w:r w:rsidR="002A1A04" w:rsidRPr="00606C27">
        <w:rPr>
          <w:lang w:val="fr-CA"/>
        </w:rPr>
        <w:t>2018</w:t>
      </w:r>
      <w:r w:rsidR="0005272F" w:rsidRPr="00606C27">
        <w:rPr>
          <w:lang w:val="fr-CA"/>
        </w:rPr>
        <w:t> :</w:t>
      </w:r>
      <w:r w:rsidR="006E2F82" w:rsidRPr="00606C27">
        <w:rPr>
          <w:lang w:val="fr-CA"/>
        </w:rPr>
        <w:t> 11 </w:t>
      </w:r>
      <w:r w:rsidR="000360BA" w:rsidRPr="00606C27">
        <w:rPr>
          <w:lang w:val="fr-CA"/>
        </w:rPr>
        <w:t>octobre.</w:t>
      </w:r>
    </w:p>
    <w:p w:rsidR="004D7D95" w:rsidRPr="00606C27" w:rsidRDefault="004D7D95" w:rsidP="00095239">
      <w:pPr>
        <w:spacing w:after="720"/>
        <w:rPr>
          <w:lang w:val="fr-CA"/>
        </w:rPr>
      </w:pPr>
      <w:r w:rsidRPr="00606C27">
        <w:rPr>
          <w:lang w:val="fr-CA"/>
        </w:rPr>
        <w:t>Présents</w:t>
      </w:r>
      <w:r w:rsidR="0005272F" w:rsidRPr="00606C27">
        <w:rPr>
          <w:lang w:val="fr-CA"/>
        </w:rPr>
        <w:t> :</w:t>
      </w:r>
      <w:r w:rsidRPr="00606C27">
        <w:rPr>
          <w:lang w:val="fr-CA"/>
        </w:rPr>
        <w:t> Le juge en chef Wagner et les juges Abella, Moldaver, Karakatsanis, Gascon, Côté, Brown, Rowe et Martin.</w:t>
      </w:r>
    </w:p>
    <w:p w:rsidR="004D7D95" w:rsidRPr="00606C27" w:rsidRDefault="004D7D95" w:rsidP="00095239">
      <w:pPr>
        <w:spacing w:after="720"/>
        <w:jc w:val="both"/>
        <w:rPr>
          <w:smallCaps/>
          <w:lang w:val="fr-CA"/>
        </w:rPr>
      </w:pPr>
      <w:r w:rsidRPr="00606C27">
        <w:rPr>
          <w:smallCaps/>
          <w:lang w:val="fr-CA"/>
        </w:rPr>
        <w:t>en appel de la cour d</w:t>
      </w:r>
      <w:r w:rsidR="00C46F55" w:rsidRPr="00606C27">
        <w:rPr>
          <w:smallCaps/>
          <w:lang w:val="fr-CA"/>
        </w:rPr>
        <w:t>’</w:t>
      </w:r>
      <w:r w:rsidRPr="00606C27">
        <w:rPr>
          <w:smallCaps/>
          <w:lang w:val="fr-CA"/>
        </w:rPr>
        <w:t>appel fédérale</w:t>
      </w:r>
    </w:p>
    <w:p w:rsidR="008172D6" w:rsidRPr="00606C27" w:rsidRDefault="004D7D95" w:rsidP="00032411">
      <w:pPr>
        <w:pStyle w:val="SCCNormalDoubleSpacing"/>
        <w:spacing w:after="480"/>
        <w:rPr>
          <w:i/>
          <w:lang w:val="fr-CA"/>
        </w:rPr>
      </w:pPr>
      <w:r w:rsidRPr="00606C27">
        <w:rPr>
          <w:lang w:val="fr-CA"/>
        </w:rPr>
        <w:lastRenderedPageBreak/>
        <w:tab/>
      </w:r>
      <w:r w:rsidR="00C62226" w:rsidRPr="00606C27">
        <w:rPr>
          <w:i/>
          <w:lang w:val="fr-CA"/>
        </w:rPr>
        <w:t>Tribunaux</w:t>
      </w:r>
      <w:r w:rsidR="009D4D1D" w:rsidRPr="00606C27">
        <w:rPr>
          <w:i/>
          <w:lang w:val="fr-CA"/>
        </w:rPr>
        <w:t xml:space="preserve"> — </w:t>
      </w:r>
      <w:r w:rsidR="00C62226" w:rsidRPr="00606C27">
        <w:rPr>
          <w:i/>
          <w:lang w:val="fr-CA"/>
        </w:rPr>
        <w:t xml:space="preserve">Cour fédérale </w:t>
      </w:r>
      <w:r w:rsidR="009D4D1D" w:rsidRPr="00606C27">
        <w:rPr>
          <w:i/>
          <w:lang w:val="fr-CA"/>
        </w:rPr>
        <w:t xml:space="preserve">— </w:t>
      </w:r>
      <w:r w:rsidR="00C62226" w:rsidRPr="00606C27">
        <w:rPr>
          <w:i/>
          <w:lang w:val="fr-CA"/>
        </w:rPr>
        <w:t xml:space="preserve">Compétence </w:t>
      </w:r>
      <w:r w:rsidR="009D4D1D" w:rsidRPr="00606C27">
        <w:rPr>
          <w:i/>
          <w:lang w:val="fr-CA"/>
        </w:rPr>
        <w:t xml:space="preserve">— </w:t>
      </w:r>
      <w:r w:rsidR="00C62226" w:rsidRPr="00606C27">
        <w:rPr>
          <w:i/>
          <w:lang w:val="fr-CA"/>
        </w:rPr>
        <w:t xml:space="preserve">Contrôle judiciaire </w:t>
      </w:r>
      <w:r w:rsidR="009D4D1D" w:rsidRPr="00606C27">
        <w:rPr>
          <w:i/>
          <w:lang w:val="fr-CA"/>
        </w:rPr>
        <w:t xml:space="preserve">— </w:t>
      </w:r>
      <w:r w:rsidR="00C62226" w:rsidRPr="00606C27">
        <w:rPr>
          <w:i/>
          <w:lang w:val="fr-CA"/>
        </w:rPr>
        <w:t xml:space="preserve">Adoption par le Parlement </w:t>
      </w:r>
      <w:r w:rsidR="00154467" w:rsidRPr="00606C27">
        <w:rPr>
          <w:i/>
          <w:lang w:val="fr-CA"/>
        </w:rPr>
        <w:t>de l</w:t>
      </w:r>
      <w:r w:rsidR="00C62226" w:rsidRPr="00606C27">
        <w:rPr>
          <w:i/>
          <w:lang w:val="fr-CA"/>
        </w:rPr>
        <w:t>oi</w:t>
      </w:r>
      <w:r w:rsidR="00154467" w:rsidRPr="00606C27">
        <w:rPr>
          <w:i/>
          <w:lang w:val="fr-CA"/>
        </w:rPr>
        <w:t>s</w:t>
      </w:r>
      <w:r w:rsidR="00C62226" w:rsidRPr="00606C27">
        <w:rPr>
          <w:i/>
          <w:lang w:val="fr-CA"/>
        </w:rPr>
        <w:t xml:space="preserve"> modifiant le </w:t>
      </w:r>
      <w:r w:rsidR="008172D6" w:rsidRPr="00606C27">
        <w:rPr>
          <w:i/>
          <w:lang w:val="fr-CA"/>
        </w:rPr>
        <w:t>régime</w:t>
      </w:r>
      <w:r w:rsidR="00C62226" w:rsidRPr="00606C27">
        <w:rPr>
          <w:i/>
          <w:lang w:val="fr-CA"/>
        </w:rPr>
        <w:t xml:space="preserve"> canadien de protection de l’environnement</w:t>
      </w:r>
      <w:r w:rsidR="009D4D1D" w:rsidRPr="00606C27">
        <w:rPr>
          <w:i/>
          <w:lang w:val="fr-CA"/>
        </w:rPr>
        <w:t xml:space="preserve"> — </w:t>
      </w:r>
      <w:r w:rsidR="008172D6" w:rsidRPr="00606C27">
        <w:rPr>
          <w:i/>
          <w:lang w:val="fr-CA"/>
        </w:rPr>
        <w:t xml:space="preserve">Présentation par une </w:t>
      </w:r>
      <w:r w:rsidR="00A55A37" w:rsidRPr="00606C27">
        <w:rPr>
          <w:i/>
          <w:lang w:val="fr-CA"/>
        </w:rPr>
        <w:t>p</w:t>
      </w:r>
      <w:r w:rsidR="008172D6" w:rsidRPr="00606C27">
        <w:rPr>
          <w:i/>
          <w:lang w:val="fr-CA"/>
        </w:rPr>
        <w:t xml:space="preserve">remière </w:t>
      </w:r>
      <w:r w:rsidR="00A55A37" w:rsidRPr="00606C27">
        <w:rPr>
          <w:i/>
          <w:lang w:val="fr-CA"/>
        </w:rPr>
        <w:t>n</w:t>
      </w:r>
      <w:r w:rsidR="008172D6" w:rsidRPr="00606C27">
        <w:rPr>
          <w:i/>
          <w:lang w:val="fr-CA"/>
        </w:rPr>
        <w:t xml:space="preserve">ation </w:t>
      </w:r>
      <w:r w:rsidR="00A55A37" w:rsidRPr="00606C27">
        <w:rPr>
          <w:i/>
          <w:lang w:val="fr-CA"/>
        </w:rPr>
        <w:t xml:space="preserve">d’une demande de contrôle judiciaire </w:t>
      </w:r>
      <w:r w:rsidR="008172D6" w:rsidRPr="00606C27">
        <w:rPr>
          <w:i/>
          <w:lang w:val="fr-CA"/>
        </w:rPr>
        <w:t>concernant l’élaboration et le dépôt de projets de loi</w:t>
      </w:r>
      <w:r w:rsidR="008172D6" w:rsidRPr="00606C27">
        <w:rPr>
          <w:lang w:val="fr-CA"/>
        </w:rPr>
        <w:t xml:space="preserve"> </w:t>
      </w:r>
      <w:r w:rsidR="009D4D1D" w:rsidRPr="00606C27">
        <w:rPr>
          <w:i/>
          <w:lang w:val="fr-CA"/>
        </w:rPr>
        <w:t>—</w:t>
      </w:r>
      <w:r w:rsidR="008172D6" w:rsidRPr="00606C27">
        <w:rPr>
          <w:i/>
          <w:lang w:val="fr-CA"/>
        </w:rPr>
        <w:t xml:space="preserve"> La Cour fédérale avait-elle compétence pour </w:t>
      </w:r>
      <w:r w:rsidR="00F03184" w:rsidRPr="00606C27">
        <w:rPr>
          <w:i/>
          <w:lang w:val="fr-CA"/>
        </w:rPr>
        <w:t>se prononcer quant à</w:t>
      </w:r>
      <w:r w:rsidR="008172D6" w:rsidRPr="00606C27">
        <w:rPr>
          <w:i/>
          <w:lang w:val="fr-CA"/>
        </w:rPr>
        <w:t xml:space="preserve"> la demande de la </w:t>
      </w:r>
      <w:r w:rsidR="00A55A37" w:rsidRPr="00606C27">
        <w:rPr>
          <w:i/>
          <w:lang w:val="fr-CA"/>
        </w:rPr>
        <w:t>p</w:t>
      </w:r>
      <w:r w:rsidR="008172D6" w:rsidRPr="00606C27">
        <w:rPr>
          <w:i/>
          <w:lang w:val="fr-CA"/>
        </w:rPr>
        <w:t xml:space="preserve">remière </w:t>
      </w:r>
      <w:r w:rsidR="00A55A37" w:rsidRPr="00606C27">
        <w:rPr>
          <w:i/>
          <w:lang w:val="fr-CA"/>
        </w:rPr>
        <w:t>n</w:t>
      </w:r>
      <w:r w:rsidR="008172D6" w:rsidRPr="00606C27">
        <w:rPr>
          <w:i/>
          <w:lang w:val="fr-CA"/>
        </w:rPr>
        <w:t>ation?</w:t>
      </w:r>
      <w:r w:rsidR="007F3FD3" w:rsidRPr="00606C27">
        <w:rPr>
          <w:lang w:val="fr-CA"/>
        </w:rPr>
        <w:t xml:space="preserve"> </w:t>
      </w:r>
      <w:r w:rsidR="007F3FD3" w:rsidRPr="00606C27">
        <w:rPr>
          <w:i/>
          <w:lang w:val="fr-CA"/>
        </w:rPr>
        <w:t>— Loi sur les Cours fédérales, L.R.C. 1985, c. F-7, art. 2(1) « office fédéral », 2(2), 17, 18, 18.1.</w:t>
      </w:r>
    </w:p>
    <w:p w:rsidR="00154467" w:rsidRPr="00606C27" w:rsidRDefault="0053387A" w:rsidP="00032411">
      <w:pPr>
        <w:pStyle w:val="SCCNormalDoubleSpacing"/>
        <w:spacing w:after="480"/>
        <w:rPr>
          <w:i/>
          <w:lang w:val="fr-CA"/>
        </w:rPr>
      </w:pPr>
      <w:r w:rsidRPr="00606C27">
        <w:rPr>
          <w:lang w:val="fr-CA"/>
        </w:rPr>
        <w:tab/>
      </w:r>
      <w:r w:rsidRPr="00606C27">
        <w:rPr>
          <w:i/>
          <w:lang w:val="fr-CA"/>
        </w:rPr>
        <w:t xml:space="preserve">Droit constitutionnel — Peuples autochtones — Droits issus de traités </w:t>
      </w:r>
      <w:r w:rsidR="009D4D1D" w:rsidRPr="00606C27">
        <w:rPr>
          <w:i/>
          <w:lang w:val="fr-CA"/>
        </w:rPr>
        <w:t xml:space="preserve">— </w:t>
      </w:r>
      <w:r w:rsidR="00154467" w:rsidRPr="00606C27">
        <w:rPr>
          <w:i/>
          <w:lang w:val="fr-CA"/>
        </w:rPr>
        <w:t xml:space="preserve">Couronne </w:t>
      </w:r>
      <w:r w:rsidR="009D4D1D" w:rsidRPr="00606C27">
        <w:rPr>
          <w:i/>
          <w:lang w:val="fr-CA"/>
        </w:rPr>
        <w:t xml:space="preserve">— </w:t>
      </w:r>
      <w:r w:rsidR="00EE62B5" w:rsidRPr="00606C27">
        <w:rPr>
          <w:i/>
          <w:lang w:val="fr-CA"/>
        </w:rPr>
        <w:t>Obligation de consulter</w:t>
      </w:r>
      <w:r w:rsidR="00154467" w:rsidRPr="00606C27">
        <w:rPr>
          <w:i/>
          <w:lang w:val="fr-CA"/>
        </w:rPr>
        <w:t xml:space="preserve"> </w:t>
      </w:r>
      <w:r w:rsidR="009D4D1D" w:rsidRPr="00606C27">
        <w:rPr>
          <w:i/>
          <w:lang w:val="fr-CA"/>
        </w:rPr>
        <w:t xml:space="preserve">— </w:t>
      </w:r>
      <w:r w:rsidR="00154467" w:rsidRPr="00606C27">
        <w:rPr>
          <w:i/>
          <w:lang w:val="fr-CA"/>
        </w:rPr>
        <w:t xml:space="preserve">Adoption par le Parlement de lois modifiant le régime canadien de protection de l’environnement </w:t>
      </w:r>
      <w:r w:rsidR="009D4D1D" w:rsidRPr="00606C27">
        <w:rPr>
          <w:i/>
          <w:lang w:val="fr-CA"/>
        </w:rPr>
        <w:t>—</w:t>
      </w:r>
      <w:r w:rsidR="00154467" w:rsidRPr="00606C27">
        <w:rPr>
          <w:i/>
          <w:lang w:val="fr-CA"/>
        </w:rPr>
        <w:t xml:space="preserve"> Absence de consultation </w:t>
      </w:r>
      <w:r w:rsidR="00A55A37" w:rsidRPr="00606C27">
        <w:rPr>
          <w:i/>
          <w:lang w:val="fr-CA"/>
        </w:rPr>
        <w:t>d’une</w:t>
      </w:r>
      <w:r w:rsidR="00154467" w:rsidRPr="00606C27">
        <w:rPr>
          <w:i/>
          <w:lang w:val="fr-CA"/>
        </w:rPr>
        <w:t xml:space="preserve"> </w:t>
      </w:r>
      <w:r w:rsidR="00A55A37" w:rsidRPr="00606C27">
        <w:rPr>
          <w:i/>
          <w:lang w:val="fr-CA"/>
        </w:rPr>
        <w:t>p</w:t>
      </w:r>
      <w:r w:rsidR="00154467" w:rsidRPr="00606C27">
        <w:rPr>
          <w:i/>
          <w:lang w:val="fr-CA"/>
        </w:rPr>
        <w:t xml:space="preserve">remière </w:t>
      </w:r>
      <w:r w:rsidR="00A55A37" w:rsidRPr="00606C27">
        <w:rPr>
          <w:i/>
          <w:lang w:val="fr-CA"/>
        </w:rPr>
        <w:t>n</w:t>
      </w:r>
      <w:r w:rsidR="00154467" w:rsidRPr="00606C27">
        <w:rPr>
          <w:i/>
          <w:lang w:val="fr-CA"/>
        </w:rPr>
        <w:t>ation pendant toute l’élaboration des p</w:t>
      </w:r>
      <w:r w:rsidR="00032411" w:rsidRPr="00606C27">
        <w:rPr>
          <w:i/>
          <w:lang w:val="fr-CA"/>
        </w:rPr>
        <w:t>rojets de loi et avant que ceux</w:t>
      </w:r>
      <w:r w:rsidR="00032411" w:rsidRPr="00606C27">
        <w:rPr>
          <w:i/>
          <w:lang w:val="fr-CA"/>
        </w:rPr>
        <w:noBreakHyphen/>
      </w:r>
      <w:r w:rsidR="00154467" w:rsidRPr="00606C27">
        <w:rPr>
          <w:i/>
          <w:lang w:val="fr-CA"/>
        </w:rPr>
        <w:t xml:space="preserve">ci reçoivent la sanction royale </w:t>
      </w:r>
      <w:r w:rsidR="009D4D1D" w:rsidRPr="00606C27">
        <w:rPr>
          <w:i/>
          <w:lang w:val="fr-CA"/>
        </w:rPr>
        <w:t xml:space="preserve">— </w:t>
      </w:r>
      <w:r w:rsidR="00A55A37" w:rsidRPr="00606C27">
        <w:rPr>
          <w:i/>
          <w:lang w:val="fr-CA"/>
        </w:rPr>
        <w:t>Demande par la première nation d’un jugement</w:t>
      </w:r>
      <w:r w:rsidR="00EE62B5" w:rsidRPr="00606C27">
        <w:rPr>
          <w:i/>
          <w:lang w:val="fr-CA"/>
        </w:rPr>
        <w:t xml:space="preserve"> déclarant que </w:t>
      </w:r>
      <w:r w:rsidR="00AE7F7D" w:rsidRPr="00606C27">
        <w:rPr>
          <w:i/>
          <w:lang w:val="fr-CA"/>
        </w:rPr>
        <w:t xml:space="preserve">la Couronne avait </w:t>
      </w:r>
      <w:r w:rsidR="00EE62B5" w:rsidRPr="00606C27">
        <w:rPr>
          <w:i/>
          <w:lang w:val="fr-CA"/>
        </w:rPr>
        <w:t>l’</w:t>
      </w:r>
      <w:r w:rsidR="00AE7F7D" w:rsidRPr="00606C27">
        <w:rPr>
          <w:i/>
          <w:lang w:val="fr-CA"/>
        </w:rPr>
        <w:t>obligation de la consulter</w:t>
      </w:r>
      <w:r w:rsidR="00EE62B5" w:rsidRPr="00606C27">
        <w:rPr>
          <w:i/>
          <w:lang w:val="fr-CA"/>
        </w:rPr>
        <w:t xml:space="preserve"> </w:t>
      </w:r>
      <w:r w:rsidR="00A55A37" w:rsidRPr="00606C27">
        <w:rPr>
          <w:i/>
          <w:lang w:val="fr-CA"/>
        </w:rPr>
        <w:t>parce</w:t>
      </w:r>
      <w:r w:rsidR="00EE62B5" w:rsidRPr="00606C27">
        <w:rPr>
          <w:i/>
          <w:lang w:val="fr-CA"/>
        </w:rPr>
        <w:t xml:space="preserve"> que les mesures législatives étaient susceptibles d’av</w:t>
      </w:r>
      <w:r w:rsidR="00A55A37" w:rsidRPr="00606C27">
        <w:rPr>
          <w:i/>
          <w:lang w:val="fr-CA"/>
        </w:rPr>
        <w:t>oir un effet préjudiciable sur s</w:t>
      </w:r>
      <w:r w:rsidR="00EE62B5" w:rsidRPr="00606C27">
        <w:rPr>
          <w:i/>
          <w:lang w:val="fr-CA"/>
        </w:rPr>
        <w:t xml:space="preserve">es droits </w:t>
      </w:r>
      <w:r w:rsidR="00A55A37" w:rsidRPr="00606C27">
        <w:rPr>
          <w:i/>
          <w:lang w:val="fr-CA"/>
        </w:rPr>
        <w:t xml:space="preserve">de </w:t>
      </w:r>
      <w:r w:rsidR="006E2F82" w:rsidRPr="00606C27">
        <w:rPr>
          <w:i/>
          <w:lang w:val="fr-CA"/>
        </w:rPr>
        <w:t>chasser, de piéger et de pêcher</w:t>
      </w:r>
      <w:r w:rsidR="00A55A37" w:rsidRPr="00606C27">
        <w:rPr>
          <w:i/>
          <w:lang w:val="fr-CA"/>
        </w:rPr>
        <w:t xml:space="preserve"> issus de</w:t>
      </w:r>
      <w:r w:rsidR="00EE62B5" w:rsidRPr="00606C27">
        <w:rPr>
          <w:i/>
          <w:lang w:val="fr-CA"/>
        </w:rPr>
        <w:t xml:space="preserve"> traité et qu’elle a manqué à cette obligation — L’obligation de consulter s’applique-t-elle au processus législatif?</w:t>
      </w:r>
    </w:p>
    <w:p w:rsidR="00E52B53" w:rsidRPr="00606C27" w:rsidRDefault="00E52B53" w:rsidP="00095239">
      <w:pPr>
        <w:pStyle w:val="SCCNormalDoubleSpacing"/>
        <w:spacing w:after="480"/>
        <w:rPr>
          <w:lang w:val="fr-CA"/>
        </w:rPr>
      </w:pPr>
      <w:r w:rsidRPr="00606C27">
        <w:rPr>
          <w:lang w:val="fr-CA"/>
        </w:rPr>
        <w:tab/>
      </w:r>
      <w:r w:rsidR="00032411" w:rsidRPr="00606C27">
        <w:rPr>
          <w:lang w:val="fr-CA"/>
        </w:rPr>
        <w:t xml:space="preserve">Au mois d’avril </w:t>
      </w:r>
      <w:r w:rsidRPr="00606C27">
        <w:rPr>
          <w:lang w:val="fr-CA"/>
        </w:rPr>
        <w:t xml:space="preserve">2012, deux projets de lois omnibus ayant une incidence importante sur le régime canadien de protection environnementale ont été déposés au Parlement. Aucune consultation n’a été menée auprès de la </w:t>
      </w:r>
      <w:r w:rsidR="00E75DE5">
        <w:rPr>
          <w:lang w:val="fr-CA"/>
        </w:rPr>
        <w:t>Mikisew Cree First</w:t>
      </w:r>
      <w:r w:rsidRPr="00606C27">
        <w:rPr>
          <w:lang w:val="fr-CA"/>
        </w:rPr>
        <w:t xml:space="preserve"> Nation quant aux deux projets de loi omnibus ni à quelque étape que ce soit de leur élaboration ni avant qu’ils ne reçoivent la sanction royale. Les Mikisew ont présenté une demande </w:t>
      </w:r>
      <w:r w:rsidRPr="00606C27">
        <w:rPr>
          <w:lang w:val="fr-CA"/>
        </w:rPr>
        <w:lastRenderedPageBreak/>
        <w:t>de contrôle judiciaire devant la Cour fédérale, plaidant que la C</w:t>
      </w:r>
      <w:r w:rsidR="00A55A37" w:rsidRPr="00606C27">
        <w:rPr>
          <w:lang w:val="fr-CA"/>
        </w:rPr>
        <w:t>ouronne avait l’obligation de les</w:t>
      </w:r>
      <w:r w:rsidRPr="00606C27">
        <w:rPr>
          <w:lang w:val="fr-CA"/>
        </w:rPr>
        <w:t xml:space="preserve"> consulter en ce qui concerne l’élaboration des mesures législatives, car </w:t>
      </w:r>
      <w:r w:rsidR="00A55A37" w:rsidRPr="00606C27">
        <w:rPr>
          <w:lang w:val="fr-CA"/>
        </w:rPr>
        <w:t>c</w:t>
      </w:r>
      <w:r w:rsidRPr="00606C27">
        <w:rPr>
          <w:lang w:val="fr-CA"/>
        </w:rPr>
        <w:t>elles</w:t>
      </w:r>
      <w:r w:rsidR="00A55A37" w:rsidRPr="00606C27">
        <w:rPr>
          <w:lang w:val="fr-CA"/>
        </w:rPr>
        <w:noBreakHyphen/>
        <w:t>ci</w:t>
      </w:r>
      <w:r w:rsidRPr="00606C27">
        <w:rPr>
          <w:lang w:val="fr-CA"/>
        </w:rPr>
        <w:t xml:space="preserve"> étaient susceptibles d’avoir un effet préjudiciable sur </w:t>
      </w:r>
      <w:r w:rsidR="00A55A37" w:rsidRPr="00606C27">
        <w:rPr>
          <w:lang w:val="fr-CA"/>
        </w:rPr>
        <w:t>leurs</w:t>
      </w:r>
      <w:r w:rsidRPr="00606C27">
        <w:rPr>
          <w:lang w:val="fr-CA"/>
        </w:rPr>
        <w:t xml:space="preserve"> droits de </w:t>
      </w:r>
      <w:r w:rsidR="00A55A37" w:rsidRPr="00606C27">
        <w:rPr>
          <w:lang w:val="fr-CA"/>
        </w:rPr>
        <w:t>chasse</w:t>
      </w:r>
      <w:r w:rsidRPr="00606C27">
        <w:rPr>
          <w:lang w:val="fr-CA"/>
        </w:rPr>
        <w:t>, de pi</w:t>
      </w:r>
      <w:r w:rsidR="00A55A37" w:rsidRPr="00606C27">
        <w:rPr>
          <w:lang w:val="fr-CA"/>
        </w:rPr>
        <w:t xml:space="preserve">égeage et de pêche, qui leur sont garantis par </w:t>
      </w:r>
      <w:r w:rsidRPr="00606C27">
        <w:rPr>
          <w:lang w:val="fr-CA"/>
        </w:rPr>
        <w:t>le Traité n</w:t>
      </w:r>
      <w:r w:rsidRPr="00606C27">
        <w:rPr>
          <w:vertAlign w:val="superscript"/>
          <w:lang w:val="fr-CA"/>
        </w:rPr>
        <w:t>o</w:t>
      </w:r>
      <w:r w:rsidR="00A55A37" w:rsidRPr="00606C27">
        <w:rPr>
          <w:lang w:val="fr-CA"/>
        </w:rPr>
        <w:t> </w:t>
      </w:r>
      <w:r w:rsidRPr="00606C27">
        <w:rPr>
          <w:lang w:val="fr-CA"/>
        </w:rPr>
        <w:t xml:space="preserve">8. Le juge saisi de la demande de contrôle a </w:t>
      </w:r>
      <w:r w:rsidR="00AD5336" w:rsidRPr="00606C27">
        <w:rPr>
          <w:lang w:val="fr-CA"/>
        </w:rPr>
        <w:t>rendu un</w:t>
      </w:r>
      <w:r w:rsidR="00A55A37" w:rsidRPr="00606C27">
        <w:rPr>
          <w:lang w:val="fr-CA"/>
        </w:rPr>
        <w:t xml:space="preserve"> jugement</w:t>
      </w:r>
      <w:r w:rsidR="00AD5336" w:rsidRPr="00606C27">
        <w:rPr>
          <w:lang w:val="fr-CA"/>
        </w:rPr>
        <w:t xml:space="preserve"> déclaratoire </w:t>
      </w:r>
      <w:r w:rsidR="00A55A37" w:rsidRPr="00606C27">
        <w:rPr>
          <w:lang w:val="fr-CA"/>
        </w:rPr>
        <w:t>portant que</w:t>
      </w:r>
      <w:r w:rsidR="00AD5336" w:rsidRPr="00606C27">
        <w:rPr>
          <w:lang w:val="fr-CA"/>
        </w:rPr>
        <w:t xml:space="preserve"> l’obligation de consulter s’appliquait</w:t>
      </w:r>
      <w:r w:rsidR="00D0374A" w:rsidRPr="00606C27">
        <w:rPr>
          <w:lang w:val="fr-CA"/>
        </w:rPr>
        <w:t xml:space="preserve"> et que les Mikisew avaient le droit de recevoir un avis les informant des dispositions pertinentes des projets de loi et de se voir offrir la possibilité de présenter des observations. En appel, les juges majoritaires de la Cour d’appel fédérale ont </w:t>
      </w:r>
      <w:r w:rsidR="00A55A37" w:rsidRPr="00606C27">
        <w:rPr>
          <w:lang w:val="fr-CA"/>
        </w:rPr>
        <w:t>statué</w:t>
      </w:r>
      <w:r w:rsidR="00D0374A" w:rsidRPr="00606C27">
        <w:rPr>
          <w:lang w:val="fr-CA"/>
        </w:rPr>
        <w:t xml:space="preserve"> que le juge saisi de la demande de contrôle avait commis une erreur en procédant au contrôle judiciaire d’une mesure législative en contravention de la </w:t>
      </w:r>
      <w:r w:rsidR="00D0374A" w:rsidRPr="00606C27">
        <w:rPr>
          <w:i/>
          <w:lang w:val="fr-CA"/>
        </w:rPr>
        <w:t>Loi sur les Cours fédérales</w:t>
      </w:r>
      <w:r w:rsidR="00D0374A" w:rsidRPr="00606C27">
        <w:rPr>
          <w:lang w:val="fr-CA"/>
        </w:rPr>
        <w:t xml:space="preserve">. Les juges majoritaires ont conclu que lorsque les ministres élaborent une politique, ils agissent à titre de législateurs et leurs actions ne sont pas assujetties au </w:t>
      </w:r>
      <w:r w:rsidR="00A55A37" w:rsidRPr="00606C27">
        <w:rPr>
          <w:lang w:val="fr-CA"/>
        </w:rPr>
        <w:t xml:space="preserve">pouvoir de </w:t>
      </w:r>
      <w:r w:rsidR="00D0374A" w:rsidRPr="00606C27">
        <w:rPr>
          <w:lang w:val="fr-CA"/>
        </w:rPr>
        <w:t>contrôle des tribunaux. Selon eux, la décision de première instance ne respectait pas les principes de la souveraineté parlementaire, de la séparation des pouvoirs et du privilège parlementaire.</w:t>
      </w:r>
      <w:r w:rsidR="0020214E" w:rsidRPr="00606C27">
        <w:rPr>
          <w:lang w:val="fr-CA"/>
        </w:rPr>
        <w:t xml:space="preserve"> Les Mikisew </w:t>
      </w:r>
      <w:r w:rsidR="006E2F82" w:rsidRPr="00606C27">
        <w:rPr>
          <w:lang w:val="fr-CA"/>
        </w:rPr>
        <w:t>ont porté la décision en appel</w:t>
      </w:r>
      <w:r w:rsidR="0020214E" w:rsidRPr="00606C27">
        <w:rPr>
          <w:lang w:val="fr-CA"/>
        </w:rPr>
        <w:t>.</w:t>
      </w:r>
    </w:p>
    <w:p w:rsidR="004D7D95" w:rsidRPr="00606C27" w:rsidRDefault="009D4D1D" w:rsidP="00095239">
      <w:pPr>
        <w:pStyle w:val="SCCNormalDoubleSpacing"/>
        <w:spacing w:after="480"/>
        <w:rPr>
          <w:lang w:val="fr-CA"/>
        </w:rPr>
      </w:pPr>
      <w:r w:rsidRPr="00606C27">
        <w:rPr>
          <w:lang w:val="fr-CA"/>
        </w:rPr>
        <w:tab/>
      </w:r>
      <w:r w:rsidR="004D7D95" w:rsidRPr="00606C27">
        <w:rPr>
          <w:i/>
          <w:lang w:val="fr-CA"/>
        </w:rPr>
        <w:t>Arrêt</w:t>
      </w:r>
      <w:r w:rsidR="0005272F" w:rsidRPr="00606C27">
        <w:rPr>
          <w:lang w:val="fr-CA"/>
        </w:rPr>
        <w:t> :</w:t>
      </w:r>
      <w:r w:rsidR="004D7D95" w:rsidRPr="00606C27">
        <w:rPr>
          <w:lang w:val="fr-CA"/>
        </w:rPr>
        <w:t xml:space="preserve"> Le pourvoi est</w:t>
      </w:r>
      <w:r w:rsidR="00C52501" w:rsidRPr="00606C27">
        <w:rPr>
          <w:lang w:val="fr-CA"/>
        </w:rPr>
        <w:t xml:space="preserve"> </w:t>
      </w:r>
      <w:r w:rsidRPr="00606C27">
        <w:rPr>
          <w:lang w:val="fr-CA"/>
        </w:rPr>
        <w:t>rejeté.</w:t>
      </w:r>
    </w:p>
    <w:p w:rsidR="00FF7FA6" w:rsidRPr="00606C27" w:rsidRDefault="004D7D95" w:rsidP="009D4D1D">
      <w:pPr>
        <w:pStyle w:val="SCCNormalDoubleSpacing"/>
        <w:spacing w:before="240" w:after="480"/>
        <w:rPr>
          <w:lang w:val="fr-CA"/>
        </w:rPr>
      </w:pPr>
      <w:r w:rsidRPr="00606C27">
        <w:rPr>
          <w:lang w:val="fr-CA"/>
        </w:rPr>
        <w:tab/>
      </w:r>
      <w:r w:rsidR="00DE4621" w:rsidRPr="00606C27">
        <w:rPr>
          <w:i/>
          <w:lang w:val="fr-CA"/>
        </w:rPr>
        <w:t xml:space="preserve">Le </w:t>
      </w:r>
      <w:r w:rsidR="00DE4621" w:rsidRPr="00E75DE5">
        <w:rPr>
          <w:lang w:val="fr-CA"/>
        </w:rPr>
        <w:t>juge en chef</w:t>
      </w:r>
      <w:r w:rsidR="009D4D1D" w:rsidRPr="00E75DE5">
        <w:rPr>
          <w:lang w:val="fr-CA"/>
        </w:rPr>
        <w:t xml:space="preserve"> </w:t>
      </w:r>
      <w:r w:rsidR="009D4D1D" w:rsidRPr="00606C27">
        <w:rPr>
          <w:lang w:val="fr-CA"/>
        </w:rPr>
        <w:t xml:space="preserve">Wagner </w:t>
      </w:r>
      <w:r w:rsidR="00DE4621" w:rsidRPr="00606C27">
        <w:rPr>
          <w:lang w:val="fr-CA"/>
        </w:rPr>
        <w:t>et les juges</w:t>
      </w:r>
      <w:r w:rsidR="009D4D1D" w:rsidRPr="00606C27">
        <w:rPr>
          <w:lang w:val="fr-CA"/>
        </w:rPr>
        <w:t xml:space="preserve"> </w:t>
      </w:r>
      <w:r w:rsidR="009D4D1D" w:rsidRPr="00E75DE5">
        <w:rPr>
          <w:lang w:val="fr-CA"/>
        </w:rPr>
        <w:t>Karakatsanis</w:t>
      </w:r>
      <w:r w:rsidR="009D4D1D" w:rsidRPr="00606C27">
        <w:rPr>
          <w:lang w:val="fr-CA"/>
        </w:rPr>
        <w:t xml:space="preserve"> </w:t>
      </w:r>
      <w:r w:rsidR="00DE4621" w:rsidRPr="00606C27">
        <w:rPr>
          <w:lang w:val="fr-CA"/>
        </w:rPr>
        <w:t xml:space="preserve">et </w:t>
      </w:r>
      <w:r w:rsidR="009D4D1D" w:rsidRPr="00606C27">
        <w:rPr>
          <w:lang w:val="fr-CA"/>
        </w:rPr>
        <w:t>Gascon</w:t>
      </w:r>
      <w:r w:rsidR="00DE4621" w:rsidRPr="00606C27">
        <w:rPr>
          <w:lang w:val="fr-CA"/>
        </w:rPr>
        <w:t> </w:t>
      </w:r>
      <w:r w:rsidR="009D4D1D" w:rsidRPr="00606C27">
        <w:rPr>
          <w:lang w:val="fr-CA"/>
        </w:rPr>
        <w:t xml:space="preserve">: </w:t>
      </w:r>
      <w:r w:rsidR="00FF7FA6" w:rsidRPr="00606C27">
        <w:rPr>
          <w:lang w:val="fr-CA"/>
        </w:rPr>
        <w:t xml:space="preserve">La Cour fédérale n’avait pas la compétence requise pour se prononcer </w:t>
      </w:r>
      <w:r w:rsidR="00A55A37" w:rsidRPr="00606C27">
        <w:rPr>
          <w:lang w:val="fr-CA"/>
        </w:rPr>
        <w:t xml:space="preserve">sur </w:t>
      </w:r>
      <w:r w:rsidR="00FF7FA6" w:rsidRPr="00606C27">
        <w:rPr>
          <w:lang w:val="fr-CA"/>
        </w:rPr>
        <w:t xml:space="preserve">la demande de contrôle judiciaire des Mikisew. Pour que la Cour fédérale </w:t>
      </w:r>
      <w:r w:rsidR="00A55A37" w:rsidRPr="00606C27">
        <w:rPr>
          <w:lang w:val="fr-CA"/>
        </w:rPr>
        <w:t>ait</w:t>
      </w:r>
      <w:r w:rsidR="00FF7FA6" w:rsidRPr="00606C27">
        <w:rPr>
          <w:lang w:val="fr-CA"/>
        </w:rPr>
        <w:t xml:space="preserve"> compétence, </w:t>
      </w:r>
      <w:r w:rsidR="00A55A37" w:rsidRPr="00606C27">
        <w:rPr>
          <w:lang w:val="fr-CA"/>
        </w:rPr>
        <w:t>elle</w:t>
      </w:r>
      <w:r w:rsidR="00FF7FA6" w:rsidRPr="00606C27">
        <w:rPr>
          <w:lang w:val="fr-CA"/>
        </w:rPr>
        <w:t xml:space="preserve"> doit lui avoir </w:t>
      </w:r>
      <w:r w:rsidR="00A55A37" w:rsidRPr="00606C27">
        <w:rPr>
          <w:lang w:val="fr-CA"/>
        </w:rPr>
        <w:t xml:space="preserve">été </w:t>
      </w:r>
      <w:r w:rsidR="00FF7FA6" w:rsidRPr="00606C27">
        <w:rPr>
          <w:lang w:val="fr-CA"/>
        </w:rPr>
        <w:t>attribuée</w:t>
      </w:r>
      <w:r w:rsidR="00A55A37" w:rsidRPr="00606C27">
        <w:rPr>
          <w:lang w:val="fr-CA"/>
        </w:rPr>
        <w:t xml:space="preserve"> par la loi</w:t>
      </w:r>
      <w:r w:rsidR="00FF7FA6" w:rsidRPr="00606C27">
        <w:rPr>
          <w:lang w:val="fr-CA"/>
        </w:rPr>
        <w:t>. Le paragraphe</w:t>
      </w:r>
      <w:r w:rsidR="00032411" w:rsidRPr="00606C27">
        <w:rPr>
          <w:lang w:val="fr-CA"/>
        </w:rPr>
        <w:t> </w:t>
      </w:r>
      <w:r w:rsidR="00FF7FA6" w:rsidRPr="00606C27">
        <w:rPr>
          <w:lang w:val="fr-CA"/>
        </w:rPr>
        <w:t xml:space="preserve">17(1) de la </w:t>
      </w:r>
      <w:r w:rsidR="00FF7FA6" w:rsidRPr="00606C27">
        <w:rPr>
          <w:i/>
          <w:lang w:val="fr-CA"/>
        </w:rPr>
        <w:t>Loi sur les Cours fédérales</w:t>
      </w:r>
      <w:r w:rsidR="00FF7FA6" w:rsidRPr="00606C27">
        <w:rPr>
          <w:lang w:val="fr-CA"/>
        </w:rPr>
        <w:t xml:space="preserve"> </w:t>
      </w:r>
      <w:r w:rsidR="00FF7FA6" w:rsidRPr="00606C27">
        <w:rPr>
          <w:lang w:val="fr-CA"/>
        </w:rPr>
        <w:lastRenderedPageBreak/>
        <w:t xml:space="preserve">prévoit que la Cour fédérale </w:t>
      </w:r>
      <w:r w:rsidR="00FF7FA6" w:rsidRPr="00606C27">
        <w:rPr>
          <w:lang w:val="fr-FR"/>
        </w:rPr>
        <w:t xml:space="preserve">a compétence concurrente, en première instance, </w:t>
      </w:r>
      <w:r w:rsidR="00A55A37" w:rsidRPr="00606C27">
        <w:rPr>
          <w:lang w:val="fr-FR"/>
        </w:rPr>
        <w:t>en</w:t>
      </w:r>
      <w:r w:rsidR="00FF7FA6" w:rsidRPr="00606C27">
        <w:rPr>
          <w:lang w:val="fr-FR"/>
        </w:rPr>
        <w:t xml:space="preserve"> cas de demande de réparation contre la Couronne</w:t>
      </w:r>
      <w:r w:rsidR="00FF7FA6" w:rsidRPr="00606C27">
        <w:rPr>
          <w:lang w:val="fr-CA"/>
        </w:rPr>
        <w:t xml:space="preserve">, </w:t>
      </w:r>
      <w:r w:rsidR="00A55A37" w:rsidRPr="00606C27">
        <w:rPr>
          <w:lang w:val="fr-CA"/>
        </w:rPr>
        <w:t xml:space="preserve">terme </w:t>
      </w:r>
      <w:r w:rsidR="00FF7FA6" w:rsidRPr="00606C27">
        <w:rPr>
          <w:lang w:val="fr-CA"/>
        </w:rPr>
        <w:t>que la Loi définit comme étant Sa Majesté du chef du Canada. Toutefois, cette définition ne s’étend pas aux acteurs de l’exécutif qui exercent un pouvoir législatif. En l’espèce, les Mikisew contestent des mesures qui sont uniformément de nature législative et, de ce fait, leur demande ne vise pas la Couronne dans l’exercice de sa fonction exécutive.</w:t>
      </w:r>
      <w:r w:rsidR="00C76288" w:rsidRPr="00606C27">
        <w:rPr>
          <w:lang w:val="fr-CA"/>
        </w:rPr>
        <w:t xml:space="preserve"> De plus, les art</w:t>
      </w:r>
      <w:r w:rsidR="00E75DE5">
        <w:rPr>
          <w:lang w:val="fr-CA"/>
        </w:rPr>
        <w:t>.</w:t>
      </w:r>
      <w:r w:rsidR="00C76288" w:rsidRPr="00606C27">
        <w:rPr>
          <w:lang w:val="fr-CA"/>
        </w:rPr>
        <w:t> 18 et 18.1 de la Loi</w:t>
      </w:r>
      <w:r w:rsidR="00C76288" w:rsidRPr="00606C27">
        <w:rPr>
          <w:i/>
          <w:lang w:val="fr-CA"/>
        </w:rPr>
        <w:t xml:space="preserve"> </w:t>
      </w:r>
      <w:r w:rsidR="00C76288" w:rsidRPr="00606C27">
        <w:rPr>
          <w:lang w:val="fr-CA"/>
        </w:rPr>
        <w:t>ne confèrent à la Cour fédérale que la compétence de contrôler les actions</w:t>
      </w:r>
      <w:r w:rsidR="009D008A" w:rsidRPr="00606C27">
        <w:rPr>
          <w:lang w:val="fr-CA"/>
        </w:rPr>
        <w:t xml:space="preserve"> d’un « office fédéral », que le par.</w:t>
      </w:r>
      <w:r w:rsidR="00032411" w:rsidRPr="00606C27">
        <w:rPr>
          <w:lang w:val="fr-CA"/>
        </w:rPr>
        <w:t> </w:t>
      </w:r>
      <w:r w:rsidR="009D008A" w:rsidRPr="00606C27">
        <w:rPr>
          <w:lang w:val="fr-CA"/>
        </w:rPr>
        <w:t xml:space="preserve">2(1) de la Loi définit </w:t>
      </w:r>
      <w:r w:rsidR="009D008A" w:rsidRPr="00606C27">
        <w:rPr>
          <w:lang w:val="fr-FR"/>
        </w:rPr>
        <w:t>comme</w:t>
      </w:r>
      <w:r w:rsidR="00A55A37" w:rsidRPr="00606C27">
        <w:rPr>
          <w:lang w:val="fr-FR"/>
        </w:rPr>
        <w:t xml:space="preserve"> étant</w:t>
      </w:r>
      <w:r w:rsidR="009D008A" w:rsidRPr="00606C27">
        <w:rPr>
          <w:lang w:val="fr-FR"/>
        </w:rPr>
        <w:t xml:space="preserve"> un organisme exerçant une compétence ou des pouvoirs prévus par une loi ou par une ordonnance prise en vertu d’une prérogative royale.</w:t>
      </w:r>
      <w:r w:rsidR="00ED1A57" w:rsidRPr="00606C27">
        <w:rPr>
          <w:lang w:val="fr-FR"/>
        </w:rPr>
        <w:t xml:space="preserve"> Le paragraphe</w:t>
      </w:r>
      <w:r w:rsidR="00032411" w:rsidRPr="00606C27">
        <w:rPr>
          <w:lang w:val="fr-FR"/>
        </w:rPr>
        <w:t> </w:t>
      </w:r>
      <w:r w:rsidR="00ED1A57" w:rsidRPr="00606C27">
        <w:rPr>
          <w:lang w:val="fr-FR"/>
        </w:rPr>
        <w:t>2(2) pré</w:t>
      </w:r>
      <w:r w:rsidR="00A55A37" w:rsidRPr="00606C27">
        <w:rPr>
          <w:lang w:val="fr-FR"/>
        </w:rPr>
        <w:t xml:space="preserve">cise que </w:t>
      </w:r>
      <w:r w:rsidR="00ED1A57" w:rsidRPr="00606C27">
        <w:rPr>
          <w:lang w:val="fr-FR"/>
        </w:rPr>
        <w:t xml:space="preserve">sont exclus de cette définition le Sénat, la Chambre des communes et tout comité </w:t>
      </w:r>
      <w:r w:rsidR="00A55A37" w:rsidRPr="00606C27">
        <w:rPr>
          <w:lang w:val="fr-FR"/>
        </w:rPr>
        <w:t xml:space="preserve">ou membre </w:t>
      </w:r>
      <w:r w:rsidR="00ED1A57" w:rsidRPr="00606C27">
        <w:rPr>
          <w:lang w:val="fr-FR"/>
        </w:rPr>
        <w:t>de l’une ou l’autre chambre. Les ministres n’agissent pas en application de pouvoirs que leur confère la loi lorsqu’ils élaborent les textes législatifs</w:t>
      </w:r>
      <w:r w:rsidR="00ED1A57" w:rsidRPr="00606C27">
        <w:rPr>
          <w:lang w:val="fr-CA"/>
        </w:rPr>
        <w:t xml:space="preserve">; ils agissent plutôt en vertu des pouvoirs qui </w:t>
      </w:r>
      <w:r w:rsidR="00032411" w:rsidRPr="00606C27">
        <w:rPr>
          <w:lang w:val="fr-CA"/>
        </w:rPr>
        <w:t>leur sont dévolus par la partie </w:t>
      </w:r>
      <w:r w:rsidR="00ED1A57" w:rsidRPr="00606C27">
        <w:rPr>
          <w:lang w:val="fr-CA"/>
        </w:rPr>
        <w:t xml:space="preserve">IV de la </w:t>
      </w:r>
      <w:r w:rsidR="00ED1A57" w:rsidRPr="00606C27">
        <w:rPr>
          <w:i/>
          <w:lang w:val="fr-CA"/>
        </w:rPr>
        <w:t>Loi constitutionnelle de 1867</w:t>
      </w:r>
      <w:r w:rsidR="00ED1A57" w:rsidRPr="00606C27">
        <w:rPr>
          <w:lang w:val="fr-CA"/>
        </w:rPr>
        <w:t>. Ainsi, dans le cadre de leur fonction de législateurs, ils n’agissent pas comme un</w:t>
      </w:r>
      <w:r w:rsidR="00032411" w:rsidRPr="00606C27">
        <w:rPr>
          <w:lang w:val="fr-CA"/>
        </w:rPr>
        <w:t xml:space="preserve"> </w:t>
      </w:r>
      <w:r w:rsidR="00ED1A57" w:rsidRPr="00606C27">
        <w:rPr>
          <w:lang w:val="fr-CA"/>
        </w:rPr>
        <w:t>office fédéral et leurs actions ne sont pas assujetties au contrôle des tribunaux. Par conséquent, la Cour fédérale n’a pas été saisie à bon droit de la demande de contrôle judiciaire des Mikisew en l’espèce</w:t>
      </w:r>
      <w:r w:rsidR="00D36D43" w:rsidRPr="00606C27">
        <w:rPr>
          <w:lang w:val="fr-CA"/>
        </w:rPr>
        <w:t>.</w:t>
      </w:r>
    </w:p>
    <w:p w:rsidR="00D622A8" w:rsidRPr="00606C27" w:rsidRDefault="00D36D43" w:rsidP="009D4D1D">
      <w:pPr>
        <w:pStyle w:val="SCCNormalDoubleSpacing"/>
        <w:spacing w:before="240" w:after="480"/>
        <w:rPr>
          <w:lang w:val="fr-CA"/>
        </w:rPr>
      </w:pPr>
      <w:r w:rsidRPr="00606C27">
        <w:rPr>
          <w:lang w:val="fr-CA"/>
        </w:rPr>
        <w:tab/>
      </w:r>
      <w:r w:rsidR="008B2C17" w:rsidRPr="00606C27">
        <w:rPr>
          <w:lang w:val="fr-CA"/>
        </w:rPr>
        <w:t xml:space="preserve">En ce qui concerne l’obligation de consulter, l’élaboration d’une loi par des ministres est une mesure législative qui ne déclenche pas cette obligation. L’obligation de consulter découle de l’honneur de la Couronne, un principe fondamental du droit des Autochtones qui régit la relation entre la Couronne et les </w:t>
      </w:r>
      <w:r w:rsidR="008B2C17" w:rsidRPr="00606C27">
        <w:rPr>
          <w:lang w:val="fr-CA"/>
        </w:rPr>
        <w:lastRenderedPageBreak/>
        <w:t xml:space="preserve">peuples autochtones. Elle oblige la Couronne à consulter les peuples autochtones avant de prendre des mesures susceptibles d’avoir un effet préjudiciable sur les droits protégés par l’art. 35 de la </w:t>
      </w:r>
      <w:r w:rsidR="008B2C17" w:rsidRPr="00606C27">
        <w:rPr>
          <w:i/>
          <w:lang w:val="fr-CA"/>
        </w:rPr>
        <w:t>Loi constitutionnelle de 1982</w:t>
      </w:r>
      <w:r w:rsidR="008B2C17" w:rsidRPr="00606C27">
        <w:rPr>
          <w:lang w:val="fr-CA"/>
        </w:rPr>
        <w:t xml:space="preserve"> </w:t>
      </w:r>
      <w:r w:rsidR="003861DC" w:rsidRPr="00606C27">
        <w:rPr>
          <w:lang w:val="fr-CA"/>
        </w:rPr>
        <w:t xml:space="preserve">qu’ils revendiquent </w:t>
      </w:r>
      <w:r w:rsidR="008B2C17" w:rsidRPr="00606C27">
        <w:rPr>
          <w:lang w:val="fr-CA"/>
        </w:rPr>
        <w:t>ou dont l’existence a été établie</w:t>
      </w:r>
      <w:r w:rsidR="003861DC" w:rsidRPr="00606C27">
        <w:rPr>
          <w:lang w:val="fr-CA"/>
        </w:rPr>
        <w:t>,</w:t>
      </w:r>
      <w:r w:rsidR="008B2C17" w:rsidRPr="00606C27">
        <w:rPr>
          <w:lang w:val="fr-CA"/>
        </w:rPr>
        <w:t xml:space="preserve"> en plus de garantir que la Couronne agit honorablement en l’empêchant d’agir unilatéralement d’une façon qui porte atteinte aux droits visés à l’art. 35. </w:t>
      </w:r>
      <w:r w:rsidR="003861DC" w:rsidRPr="00606C27">
        <w:rPr>
          <w:lang w:val="fr-CA"/>
        </w:rPr>
        <w:t xml:space="preserve">Bien que </w:t>
      </w:r>
      <w:r w:rsidR="008B2C17" w:rsidRPr="00606C27">
        <w:rPr>
          <w:lang w:val="fr-CA"/>
        </w:rPr>
        <w:t>l’obligation de consulter a</w:t>
      </w:r>
      <w:r w:rsidR="003861DC" w:rsidRPr="00606C27">
        <w:rPr>
          <w:lang w:val="fr-CA"/>
        </w:rPr>
        <w:t>it</w:t>
      </w:r>
      <w:r w:rsidR="008B2C17" w:rsidRPr="00606C27">
        <w:rPr>
          <w:lang w:val="fr-CA"/>
        </w:rPr>
        <w:t xml:space="preserve"> été reconnue dans divers contextes, il a été jugé que</w:t>
      </w:r>
      <w:r w:rsidR="00032411" w:rsidRPr="00606C27">
        <w:rPr>
          <w:lang w:val="fr-CA"/>
        </w:rPr>
        <w:t xml:space="preserve"> la conduite de la Couronne </w:t>
      </w:r>
      <w:r w:rsidR="008B2C17" w:rsidRPr="00606C27">
        <w:rPr>
          <w:lang w:val="fr-CA"/>
        </w:rPr>
        <w:t>suffisante pour déclencher</w:t>
      </w:r>
      <w:r w:rsidR="003861DC" w:rsidRPr="00606C27">
        <w:rPr>
          <w:lang w:val="fr-CA"/>
        </w:rPr>
        <w:t xml:space="preserve"> cette obligation</w:t>
      </w:r>
      <w:r w:rsidR="008B2C17" w:rsidRPr="00606C27">
        <w:rPr>
          <w:lang w:val="fr-CA"/>
        </w:rPr>
        <w:t xml:space="preserve"> englobe uniquement les actes </w:t>
      </w:r>
      <w:r w:rsidR="003861DC" w:rsidRPr="00606C27">
        <w:rPr>
          <w:lang w:val="fr-CA"/>
        </w:rPr>
        <w:t>accomplis</w:t>
      </w:r>
      <w:r w:rsidR="008B2C17" w:rsidRPr="00606C27">
        <w:rPr>
          <w:lang w:val="fr-CA"/>
        </w:rPr>
        <w:t xml:space="preserve"> par l’exécutif, ou en son nom</w:t>
      </w:r>
      <w:r w:rsidR="00E64313" w:rsidRPr="00606C27">
        <w:rPr>
          <w:lang w:val="fr-CA"/>
        </w:rPr>
        <w:t xml:space="preserve">. </w:t>
      </w:r>
    </w:p>
    <w:p w:rsidR="00D36D43" w:rsidRPr="00606C27" w:rsidRDefault="00D622A8" w:rsidP="009D4D1D">
      <w:pPr>
        <w:pStyle w:val="SCCNormalDoubleSpacing"/>
        <w:spacing w:before="240" w:after="480"/>
        <w:rPr>
          <w:lang w:val="fr-CA"/>
        </w:rPr>
      </w:pPr>
      <w:r w:rsidRPr="00606C27">
        <w:rPr>
          <w:lang w:val="fr-CA"/>
        </w:rPr>
        <w:tab/>
      </w:r>
      <w:r w:rsidR="00E64313" w:rsidRPr="00606C27">
        <w:rPr>
          <w:lang w:val="fr-CA"/>
        </w:rPr>
        <w:t xml:space="preserve">La doctrine de l’obligation de consulter ne convient pas relativement à l’action législative. Il est rarement approprié que les tribunaux examinent de près </w:t>
      </w:r>
      <w:r w:rsidR="00A52BB9" w:rsidRPr="00606C27">
        <w:rPr>
          <w:lang w:val="fr-CA"/>
        </w:rPr>
        <w:t>le processus législatif, y compris l</w:t>
      </w:r>
      <w:r w:rsidR="00E64313" w:rsidRPr="00606C27">
        <w:rPr>
          <w:lang w:val="fr-CA"/>
        </w:rPr>
        <w:t>’élaboration de projets de loi par les ministres</w:t>
      </w:r>
      <w:r w:rsidR="00A52BB9" w:rsidRPr="00606C27">
        <w:rPr>
          <w:lang w:val="fr-CA"/>
        </w:rPr>
        <w:t xml:space="preserve">. Des principes constitutionnels établis depuis longtemps justifient cette réticence à surveiller le processus législatif. Le principe de la séparation des pouvoirs </w:t>
      </w:r>
      <w:r w:rsidR="003861DC" w:rsidRPr="00606C27">
        <w:rPr>
          <w:lang w:val="fr-CA"/>
        </w:rPr>
        <w:t>est un élément essentiel de la C</w:t>
      </w:r>
      <w:r w:rsidR="00A52BB9" w:rsidRPr="00606C27">
        <w:rPr>
          <w:lang w:val="fr-CA"/>
        </w:rPr>
        <w:t>onstitution du Canada. Il reconnaît qu’un organe du gouvernement ne peut jouer son rôle lorsqu’un autre empiète indûment sur lui. Si l’on devait reconnaître qu’une obligation de consulter s’applique au processus législatif, cela risquerait d’obliger les tribunaux à s’ingérer indûment dans la sphère du législateur. Le principe de la souveraineté parlementaire suppose que l’</w:t>
      </w:r>
      <w:r w:rsidR="003861DC" w:rsidRPr="00606C27">
        <w:rPr>
          <w:lang w:val="fr-CA"/>
        </w:rPr>
        <w:t>a</w:t>
      </w:r>
      <w:r w:rsidR="00A52BB9" w:rsidRPr="00606C27">
        <w:rPr>
          <w:lang w:val="fr-CA"/>
        </w:rPr>
        <w:t xml:space="preserve">ssemblée législative peut adopter ou abroger une loi à son gré, dans les limites des pouvoirs que lui confère la Constitution. </w:t>
      </w:r>
      <w:r w:rsidR="00A52BB9" w:rsidRPr="00606C27">
        <w:rPr>
          <w:szCs w:val="24"/>
          <w:lang w:val="fr-CA"/>
        </w:rPr>
        <w:t xml:space="preserve">Si l’on devait reconnaître </w:t>
      </w:r>
      <w:r w:rsidR="003861DC" w:rsidRPr="00606C27">
        <w:rPr>
          <w:szCs w:val="24"/>
          <w:lang w:val="fr-CA"/>
        </w:rPr>
        <w:t>qu’une a</w:t>
      </w:r>
      <w:r w:rsidR="00A52BB9" w:rsidRPr="00606C27">
        <w:rPr>
          <w:szCs w:val="24"/>
          <w:lang w:val="fr-CA"/>
        </w:rPr>
        <w:t xml:space="preserve">ssemblée législative élue a des obligations précises en matière de consultation, cela risquerait de lui nuire. Le privilège parlementaire </w:t>
      </w:r>
      <w:r w:rsidR="003861DC" w:rsidRPr="00606C27">
        <w:rPr>
          <w:szCs w:val="24"/>
          <w:lang w:val="fr-CA"/>
        </w:rPr>
        <w:t>empêche en outre généralement les tribunaux d’assujettir le processus parlementaire</w:t>
      </w:r>
      <w:r w:rsidR="006E2F82" w:rsidRPr="00606C27">
        <w:rPr>
          <w:szCs w:val="24"/>
          <w:lang w:val="fr-CA"/>
        </w:rPr>
        <w:t xml:space="preserve"> à</w:t>
      </w:r>
      <w:r w:rsidR="003861DC" w:rsidRPr="00606C27">
        <w:rPr>
          <w:szCs w:val="24"/>
          <w:lang w:val="fr-CA"/>
        </w:rPr>
        <w:t xml:space="preserve"> </w:t>
      </w:r>
      <w:r w:rsidR="003861DC" w:rsidRPr="00606C27">
        <w:rPr>
          <w:szCs w:val="24"/>
          <w:lang w:val="fr-CA"/>
        </w:rPr>
        <w:lastRenderedPageBreak/>
        <w:t>des contraintes procédurales</w:t>
      </w:r>
      <w:r w:rsidR="00A52BB9" w:rsidRPr="00606C27">
        <w:rPr>
          <w:szCs w:val="24"/>
          <w:lang w:val="fr-CA"/>
        </w:rPr>
        <w:t xml:space="preserve">. </w:t>
      </w:r>
      <w:r w:rsidR="00A52BB9" w:rsidRPr="00606C27">
        <w:rPr>
          <w:lang w:val="fr-CA"/>
        </w:rPr>
        <w:t>L’application de la doctrine de l’obligation de consulter durant le processus législatif donnerait lieu à une ingérence importante des tribunaux dans les travaux du législateur.</w:t>
      </w:r>
    </w:p>
    <w:p w:rsidR="000625BB" w:rsidRPr="00606C27" w:rsidRDefault="000625BB" w:rsidP="009D4D1D">
      <w:pPr>
        <w:pStyle w:val="SCCNormalDoubleSpacing"/>
        <w:spacing w:before="240" w:after="480"/>
        <w:rPr>
          <w:lang w:val="fr-CA"/>
        </w:rPr>
      </w:pPr>
      <w:r w:rsidRPr="00606C27">
        <w:rPr>
          <w:lang w:val="fr-CA"/>
        </w:rPr>
        <w:tab/>
      </w:r>
      <w:r w:rsidR="006B5A84" w:rsidRPr="00606C27">
        <w:rPr>
          <w:lang w:val="fr-CA"/>
        </w:rPr>
        <w:t xml:space="preserve">Qui plus est, les recours propres au droit administratif qui peuvent être normalement intentés pour manquement à l’obligation de consulter inciteraient davantage les tribunaux à intervenir </w:t>
      </w:r>
      <w:r w:rsidR="00D622A8" w:rsidRPr="00606C27">
        <w:rPr>
          <w:lang w:val="fr-CA"/>
        </w:rPr>
        <w:t xml:space="preserve">indûment </w:t>
      </w:r>
      <w:r w:rsidR="006B5A84" w:rsidRPr="00606C27">
        <w:rPr>
          <w:lang w:val="fr-CA"/>
        </w:rPr>
        <w:t xml:space="preserve">dans la sphère du législateur puisque, suivant cette obligation, il faudrait que les tribunaux interviennent directement dans l’élaboration des projets de loi. Assujettir le processus d’élaboration des projets de loi par les ministres à une obligation de consulter soulèverait aussi des préoccupations d’ordre pratique. Si des amendements sont apportés </w:t>
      </w:r>
      <w:r w:rsidR="003861DC" w:rsidRPr="00606C27">
        <w:rPr>
          <w:lang w:val="fr-CA"/>
        </w:rPr>
        <w:t>au</w:t>
      </w:r>
      <w:r w:rsidR="006B5A84" w:rsidRPr="00606C27">
        <w:rPr>
          <w:lang w:val="fr-CA"/>
        </w:rPr>
        <w:t xml:space="preserve"> projet de loi</w:t>
      </w:r>
      <w:r w:rsidR="003861DC" w:rsidRPr="00606C27">
        <w:rPr>
          <w:lang w:val="fr-CA"/>
        </w:rPr>
        <w:t xml:space="preserve"> proposé</w:t>
      </w:r>
      <w:r w:rsidR="006B5A84" w:rsidRPr="00606C27">
        <w:rPr>
          <w:lang w:val="fr-CA"/>
        </w:rPr>
        <w:t xml:space="preserve"> </w:t>
      </w:r>
      <w:r w:rsidR="003861DC" w:rsidRPr="00606C27">
        <w:rPr>
          <w:lang w:val="fr-CA"/>
        </w:rPr>
        <w:t xml:space="preserve">afin de </w:t>
      </w:r>
      <w:r w:rsidR="006B5A84" w:rsidRPr="00606C27">
        <w:rPr>
          <w:lang w:val="fr-CA"/>
        </w:rPr>
        <w:t xml:space="preserve">tenir compte de préoccupations soulevées pendant des consultations, </w:t>
      </w:r>
      <w:r w:rsidR="004A1D42" w:rsidRPr="00606C27">
        <w:rPr>
          <w:lang w:val="fr-CA"/>
        </w:rPr>
        <w:t xml:space="preserve">ceux-ci </w:t>
      </w:r>
      <w:r w:rsidR="006B5A84" w:rsidRPr="00606C27">
        <w:rPr>
          <w:lang w:val="fr-CA"/>
        </w:rPr>
        <w:t xml:space="preserve">pourraient être supprimés par le Parlement, puisqu’il peut modifier </w:t>
      </w:r>
      <w:r w:rsidR="003861DC" w:rsidRPr="00606C27">
        <w:rPr>
          <w:lang w:val="fr-CA"/>
        </w:rPr>
        <w:t>le texte de loi proposé</w:t>
      </w:r>
      <w:r w:rsidR="004A1D42" w:rsidRPr="00606C27">
        <w:rPr>
          <w:lang w:val="fr-CA"/>
        </w:rPr>
        <w:t>. Les possibilités de trouver des mesures d’accommodement utiles pourraient s’en trouver limitées. De plus, les projets de loi d’initiative parlementaire ne donneraient pas naissance à l’obligation de consulter, ce qui rendrait l’approche incongrue. Par ailleurs, dans la longue série de démarches accomplies pour élaborer une loi, il serait extrêmement difficile de départager les étapes assujetties à l’obligation de consulter (parce qu’elles relèvent du pouvoir exécutif) et les actions qui n’y sont pas subordonnées (parce qu’elles relèvent du pouvoir législatif).</w:t>
      </w:r>
    </w:p>
    <w:p w:rsidR="009D4D1D" w:rsidRPr="00606C27" w:rsidRDefault="00D919A6" w:rsidP="009D4D1D">
      <w:pPr>
        <w:pStyle w:val="SCCNormalDoubleSpacing"/>
        <w:spacing w:before="240" w:after="480"/>
        <w:rPr>
          <w:lang w:val="fr-CA"/>
        </w:rPr>
      </w:pPr>
      <w:r w:rsidRPr="00606C27">
        <w:rPr>
          <w:lang w:val="fr-CA"/>
        </w:rPr>
        <w:tab/>
        <w:t xml:space="preserve">Toutefois, lorsqu’une loi porte atteinte aux droits protégés par l’art. 35, les groupes autochtones ne sont pas </w:t>
      </w:r>
      <w:r w:rsidR="003861DC" w:rsidRPr="00606C27">
        <w:rPr>
          <w:lang w:val="fr-CA"/>
        </w:rPr>
        <w:t>privés</w:t>
      </w:r>
      <w:r w:rsidRPr="00606C27">
        <w:rPr>
          <w:lang w:val="fr-CA"/>
        </w:rPr>
        <w:t xml:space="preserve"> de tout recours.</w:t>
      </w:r>
      <w:r w:rsidR="00353E2D" w:rsidRPr="00606C27">
        <w:rPr>
          <w:lang w:val="fr-CA"/>
        </w:rPr>
        <w:t xml:space="preserve"> L’obligation de consulter n’est </w:t>
      </w:r>
      <w:r w:rsidR="00353E2D" w:rsidRPr="00606C27">
        <w:rPr>
          <w:lang w:val="fr-CA"/>
        </w:rPr>
        <w:lastRenderedPageBreak/>
        <w:t>pas le seul moyen de donner effet au principe de l’honneur de la Couronne. Ce n’est pas parce que la doctrine de l’obligation de consulter, qui a évolué de manière à encadrer la conduite de l’exécutif, ne s’applique pas dans la sphère législative que la Couronne est libérée de son obligation de se comporter honorablement.</w:t>
      </w:r>
      <w:r w:rsidR="00BA5B5B" w:rsidRPr="00606C27">
        <w:rPr>
          <w:lang w:val="fr-CA"/>
        </w:rPr>
        <w:t xml:space="preserve"> Même si un groupe autochtone sera empêché de contester une loi en invoquant un manquement du législateur à l’obligation de consulter, les tribunaux pourront possiblement reconnaître l’existence d’autres mesures de protection dans des causes à venir</w:t>
      </w:r>
      <w:r w:rsidR="00173EF6" w:rsidRPr="00606C27">
        <w:rPr>
          <w:lang w:val="fr-CA"/>
        </w:rPr>
        <w:t xml:space="preserve"> quand une loi </w:t>
      </w:r>
      <w:r w:rsidR="00D622A8" w:rsidRPr="00606C27">
        <w:rPr>
          <w:lang w:val="fr-CA"/>
        </w:rPr>
        <w:t xml:space="preserve">sera </w:t>
      </w:r>
      <w:r w:rsidR="00173EF6" w:rsidRPr="00606C27">
        <w:rPr>
          <w:lang w:val="fr-CA"/>
        </w:rPr>
        <w:t>susceptible d’av</w:t>
      </w:r>
      <w:r w:rsidR="003861DC" w:rsidRPr="00606C27">
        <w:rPr>
          <w:lang w:val="fr-CA"/>
        </w:rPr>
        <w:t>oir un effet préjudiciable sur d</w:t>
      </w:r>
      <w:r w:rsidR="00173EF6" w:rsidRPr="00606C27">
        <w:rPr>
          <w:lang w:val="fr-CA"/>
        </w:rPr>
        <w:t xml:space="preserve">es droits ancestraux ou issus de traités, </w:t>
      </w:r>
      <w:r w:rsidR="003861DC" w:rsidRPr="00606C27">
        <w:rPr>
          <w:lang w:val="fr-CA"/>
        </w:rPr>
        <w:t>par exemple</w:t>
      </w:r>
      <w:r w:rsidR="00173EF6" w:rsidRPr="00606C27">
        <w:rPr>
          <w:lang w:val="fr-CA"/>
        </w:rPr>
        <w:t xml:space="preserve"> un jugement déclaratoire.</w:t>
      </w:r>
    </w:p>
    <w:p w:rsidR="001A6C30" w:rsidRPr="00606C27" w:rsidRDefault="001A6C30" w:rsidP="001A6C30">
      <w:pPr>
        <w:pStyle w:val="SCCNormalDoubleSpacing"/>
        <w:spacing w:before="240" w:after="480"/>
        <w:rPr>
          <w:lang w:val="fr-CA"/>
        </w:rPr>
      </w:pPr>
      <w:r w:rsidRPr="00606C27">
        <w:rPr>
          <w:lang w:val="fr-CA"/>
        </w:rPr>
        <w:tab/>
      </w:r>
      <w:r w:rsidRPr="00606C27">
        <w:rPr>
          <w:i/>
          <w:lang w:val="fr-CA"/>
        </w:rPr>
        <w:t xml:space="preserve">Les </w:t>
      </w:r>
      <w:r w:rsidRPr="00994194">
        <w:rPr>
          <w:lang w:val="fr-CA"/>
        </w:rPr>
        <w:t>juges</w:t>
      </w:r>
      <w:r w:rsidRPr="00606C27">
        <w:rPr>
          <w:lang w:val="fr-CA"/>
        </w:rPr>
        <w:t xml:space="preserve"> </w:t>
      </w:r>
      <w:r w:rsidRPr="00994194">
        <w:rPr>
          <w:lang w:val="fr-CA"/>
        </w:rPr>
        <w:t>Abella</w:t>
      </w:r>
      <w:r w:rsidRPr="00606C27">
        <w:rPr>
          <w:lang w:val="fr-CA"/>
        </w:rPr>
        <w:t xml:space="preserve"> et Martin</w:t>
      </w:r>
      <w:r w:rsidR="00032411" w:rsidRPr="00606C27">
        <w:rPr>
          <w:lang w:val="fr-CA"/>
        </w:rPr>
        <w:t> </w:t>
      </w:r>
      <w:r w:rsidRPr="00606C27">
        <w:rPr>
          <w:lang w:val="fr-CA"/>
        </w:rPr>
        <w:t xml:space="preserve">: Il y a accord avec la juge Karakatsanis pour dire que le pourvoi devrait être rejeté au motif que le contrôle judiciaire prévu par la </w:t>
      </w:r>
      <w:r w:rsidRPr="00606C27">
        <w:rPr>
          <w:i/>
          <w:lang w:val="fr-CA"/>
        </w:rPr>
        <w:t>Loi sur les Cours fédérales</w:t>
      </w:r>
      <w:r w:rsidRPr="00606C27">
        <w:rPr>
          <w:lang w:val="fr-CA"/>
        </w:rPr>
        <w:t xml:space="preserve"> ne pouvait être exercé à l’encontre de mesures prises par des ministres fédéraux dans le cadre du processus parlementaire.  </w:t>
      </w:r>
    </w:p>
    <w:p w:rsidR="001A6C30" w:rsidRPr="00606C27" w:rsidRDefault="001A6C30" w:rsidP="001A6C30">
      <w:pPr>
        <w:pStyle w:val="SCCNormalDoubleSpacing"/>
        <w:spacing w:before="240" w:after="480"/>
        <w:rPr>
          <w:lang w:val="fr-CA"/>
        </w:rPr>
      </w:pPr>
      <w:r w:rsidRPr="00606C27">
        <w:rPr>
          <w:lang w:val="fr-CA"/>
        </w:rPr>
        <w:tab/>
        <w:t>Toutefois, il y a désaccord en ce qui concerne l’obligation de consulter. L’adoption de lois qui sont susceptibles d’avoir un effet préjudiciable sur les droits protégés par l’art.</w:t>
      </w:r>
      <w:r w:rsidR="00032411" w:rsidRPr="00606C27">
        <w:rPr>
          <w:lang w:val="fr-CA"/>
        </w:rPr>
        <w:t> </w:t>
      </w:r>
      <w:r w:rsidRPr="00606C27">
        <w:rPr>
          <w:lang w:val="fr-CA"/>
        </w:rPr>
        <w:t xml:space="preserve">35 de la </w:t>
      </w:r>
      <w:r w:rsidRPr="00606C27">
        <w:rPr>
          <w:i/>
          <w:lang w:val="fr-CA"/>
        </w:rPr>
        <w:t>Loi constitutionnelle de 1982</w:t>
      </w:r>
      <w:r w:rsidRPr="00606C27">
        <w:rPr>
          <w:lang w:val="fr-CA"/>
        </w:rPr>
        <w:t xml:space="preserve"> fait naître une obligation de consulter, et les lois adoptées en violation de cette obligation peuvent être contestées directement en vue d’obtenir réparation. L’honneur de la Couronne régit la relation qui unit le gouvernement du Canada et les peuples autochtones. Ce principe fait naître une obligation de consulter applicable à toutes les mesures gouvernementales envisagées </w:t>
      </w:r>
      <w:r w:rsidRPr="00606C27">
        <w:rPr>
          <w:lang w:val="fr-CA"/>
        </w:rPr>
        <w:lastRenderedPageBreak/>
        <w:t>susceptibles d’avoir un effet préjudiciable sur les droits ancestraux et issus de traités, revendiqués ou établis, y compris aux mesures législatives.</w:t>
      </w:r>
    </w:p>
    <w:p w:rsidR="001A6C30" w:rsidRPr="00606C27" w:rsidRDefault="001A6C30" w:rsidP="001A6C30">
      <w:pPr>
        <w:pStyle w:val="SCCNormalDoubleSpacing"/>
        <w:spacing w:before="240" w:after="480"/>
        <w:rPr>
          <w:lang w:val="fr-CA"/>
        </w:rPr>
      </w:pPr>
      <w:r w:rsidRPr="00606C27">
        <w:rPr>
          <w:lang w:val="fr-CA"/>
        </w:rPr>
        <w:tab/>
        <w:t>L’honneur de la Couronne est toujours en jeu lorsque cette dernière transige avec les peuples autochtones, que ce soit en exerçant ses pouvoirs législatifs ou ses pouvoirs exécutifs. Il s’agit d’un impératif constitutionnel qui donne naissance à des obligations de la Couronne que les tribunaux sont appelés à faire respecter. Lorsque le gouvernement envisage une mesure susceptible d’av</w:t>
      </w:r>
      <w:r w:rsidR="003861DC" w:rsidRPr="00606C27">
        <w:rPr>
          <w:lang w:val="fr-CA"/>
        </w:rPr>
        <w:t>oir un effet préjudiciable sur d</w:t>
      </w:r>
      <w:r w:rsidRPr="00606C27">
        <w:rPr>
          <w:lang w:val="fr-CA"/>
        </w:rPr>
        <w:t>es droits ancestraux ou issus de traités, l’honneur de la Couronne fait naître une obligation de consulter et d’accommoder. Cette obligation de consulter est plus qu’un simple moyen de respecter le principe de l’honneur de la Couronne. Il ne s’agit pas de savoir si l’obligation de consulter convient dans les circonstances, mais de savoir si l’obligation de consulter s’applique à la décision.</w:t>
      </w:r>
    </w:p>
    <w:p w:rsidR="001A6C30" w:rsidRPr="00606C27" w:rsidRDefault="001A6C30" w:rsidP="001A6C30">
      <w:pPr>
        <w:pStyle w:val="SCCNormalDoubleSpacing"/>
        <w:spacing w:before="240" w:after="480"/>
        <w:rPr>
          <w:lang w:val="fr-CA"/>
        </w:rPr>
      </w:pPr>
      <w:r w:rsidRPr="00606C27">
        <w:rPr>
          <w:lang w:val="fr-CA"/>
        </w:rPr>
        <w:tab/>
        <w:t xml:space="preserve">Comme l’honneur de la Couronne imprègne l’ensemble des rapports du gouvernement avec les peuples autochtones, l’obligation de consulter doit s’appliquer à l’exercice de tous les pouvoirs qui sont assujettis à </w:t>
      </w:r>
      <w:r w:rsidR="00032411" w:rsidRPr="00606C27">
        <w:rPr>
          <w:lang w:val="fr-CA"/>
        </w:rPr>
        <w:t>un examen fondé sur l’art. </w:t>
      </w:r>
      <w:r w:rsidRPr="00606C27">
        <w:rPr>
          <w:lang w:val="fr-CA"/>
        </w:rPr>
        <w:t xml:space="preserve">35. Ces pouvoirs comprennent l’adoption des lois. Cette conclusion découle de l’évolution jurisprudentielle de l’obligation de consulter, qui est passée d’un aspect de l’analyse de l’atteinte et de la justification dans l’arrêt </w:t>
      </w:r>
      <w:r w:rsidR="00CD6FE8" w:rsidRPr="00606C27">
        <w:rPr>
          <w:i/>
          <w:lang w:val="fr-CA"/>
        </w:rPr>
        <w:t xml:space="preserve">R. c. </w:t>
      </w:r>
      <w:r w:rsidRPr="00606C27">
        <w:rPr>
          <w:i/>
          <w:lang w:val="fr-CA"/>
        </w:rPr>
        <w:t>Sparrow</w:t>
      </w:r>
      <w:r w:rsidR="00CD6FE8" w:rsidRPr="00606C27">
        <w:rPr>
          <w:lang w:val="fr-CA"/>
        </w:rPr>
        <w:t>, [1990] 1 R.C.S. 1075,</w:t>
      </w:r>
      <w:r w:rsidRPr="00606C27">
        <w:rPr>
          <w:lang w:val="fr-CA"/>
        </w:rPr>
        <w:t xml:space="preserve"> à une obligation indépendante dans </w:t>
      </w:r>
      <w:r w:rsidRPr="00606C27">
        <w:rPr>
          <w:i/>
          <w:lang w:val="fr-CA"/>
        </w:rPr>
        <w:t>Nation haïda</w:t>
      </w:r>
      <w:r w:rsidR="00CD6FE8" w:rsidRPr="00606C27">
        <w:rPr>
          <w:i/>
          <w:lang w:val="fr-CA"/>
        </w:rPr>
        <w:t xml:space="preserve"> c. Colombie</w:t>
      </w:r>
      <w:r w:rsidR="00CD6FE8" w:rsidRPr="00606C27">
        <w:rPr>
          <w:i/>
          <w:lang w:val="fr-CA"/>
        </w:rPr>
        <w:noBreakHyphen/>
        <w:t>Britannique (Minis</w:t>
      </w:r>
      <w:r w:rsidR="006E2F82" w:rsidRPr="00606C27">
        <w:rPr>
          <w:i/>
          <w:lang w:val="fr-CA"/>
        </w:rPr>
        <w:t>tre des F</w:t>
      </w:r>
      <w:r w:rsidR="00CD6FE8" w:rsidRPr="00606C27">
        <w:rPr>
          <w:i/>
          <w:lang w:val="fr-CA"/>
        </w:rPr>
        <w:t>orêts)</w:t>
      </w:r>
      <w:r w:rsidR="00CD6FE8" w:rsidRPr="00606C27">
        <w:rPr>
          <w:lang w:val="fr-CA"/>
        </w:rPr>
        <w:t>, 2004 CSC 73, [2004] 3 R.C.S. 511</w:t>
      </w:r>
      <w:r w:rsidRPr="00606C27">
        <w:rPr>
          <w:lang w:val="fr-CA"/>
        </w:rPr>
        <w:t xml:space="preserve">. N’étant plus limitée au contexte de la justification, l’obligation de consulter fait désormais partie du cadre juridique essentiel </w:t>
      </w:r>
      <w:r w:rsidRPr="00606C27">
        <w:rPr>
          <w:lang w:val="fr-CA"/>
        </w:rPr>
        <w:lastRenderedPageBreak/>
        <w:t>du droit des Autochtones et exige une consultation chaque fois que des mesures sont susceptibles d’avoir un effet préjudiciable sur les droits revendiqués</w:t>
      </w:r>
      <w:r w:rsidR="00032411" w:rsidRPr="00606C27">
        <w:rPr>
          <w:lang w:val="fr-CA"/>
        </w:rPr>
        <w:t xml:space="preserve"> ou établis </w:t>
      </w:r>
      <w:r w:rsidR="00CD6FE8" w:rsidRPr="00606C27">
        <w:rPr>
          <w:lang w:val="fr-CA"/>
        </w:rPr>
        <w:t xml:space="preserve">qui sont </w:t>
      </w:r>
      <w:r w:rsidR="00032411" w:rsidRPr="00606C27">
        <w:rPr>
          <w:lang w:val="fr-CA"/>
        </w:rPr>
        <w:t>protégés par l’art. </w:t>
      </w:r>
      <w:r w:rsidRPr="00606C27">
        <w:rPr>
          <w:lang w:val="fr-CA"/>
        </w:rPr>
        <w:t xml:space="preserve">35. Cette </w:t>
      </w:r>
      <w:r w:rsidR="00CD6FE8" w:rsidRPr="00606C27">
        <w:rPr>
          <w:lang w:val="fr-CA"/>
        </w:rPr>
        <w:t>approche</w:t>
      </w:r>
      <w:r w:rsidRPr="00606C27">
        <w:rPr>
          <w:lang w:val="fr-CA"/>
        </w:rPr>
        <w:t xml:space="preserve"> reconnaît que la sphère législative n’échappe pas au principe de l’honneur de la Couronne. Approuver une telle lacune dans le principe de l’honneur de la Couronne créerait également un vide dans le cadre d’analyse régissant l’art.</w:t>
      </w:r>
      <w:r w:rsidR="00032411" w:rsidRPr="00606C27">
        <w:rPr>
          <w:lang w:val="fr-CA"/>
        </w:rPr>
        <w:t> </w:t>
      </w:r>
      <w:r w:rsidRPr="00606C27">
        <w:rPr>
          <w:lang w:val="fr-CA"/>
        </w:rPr>
        <w:t>35, laissant les titulaires de droits ancestraux vulnérables aux mêmes objectifs gouvernementaux réalisés grâce à des mesures législatives plutôt qu’exécutives.</w:t>
      </w:r>
    </w:p>
    <w:p w:rsidR="001A6C30" w:rsidRPr="00606C27" w:rsidRDefault="001A6C30" w:rsidP="001A6C30">
      <w:pPr>
        <w:pStyle w:val="SCCNormalDoubleSpacing"/>
        <w:spacing w:before="240" w:after="480"/>
        <w:rPr>
          <w:lang w:val="fr-CA"/>
        </w:rPr>
      </w:pPr>
      <w:r w:rsidRPr="00606C27">
        <w:rPr>
          <w:lang w:val="fr-CA"/>
        </w:rPr>
        <w:tab/>
        <w:t xml:space="preserve">Même si les concepts de souveraineté et de privilège parlementaires sont fondamentaux pour assurer que la branche législative du gouvernement est en mesure de s’acquitter de son travail sans interférence indue, ils ne peuvent pas supplanter le principe de l’honneur de la Couronne. Les questions soulevées par le présent appel exigent que la Cour concilie la protection du processus législatif </w:t>
      </w:r>
      <w:r w:rsidR="00CD6FE8" w:rsidRPr="00606C27">
        <w:rPr>
          <w:lang w:val="fr-CA"/>
        </w:rPr>
        <w:t>contre</w:t>
      </w:r>
      <w:r w:rsidRPr="00606C27">
        <w:rPr>
          <w:lang w:val="fr-CA"/>
        </w:rPr>
        <w:t xml:space="preserve"> l’interférence des tribunaux et </w:t>
      </w:r>
      <w:r w:rsidR="00CD6FE8" w:rsidRPr="00606C27">
        <w:rPr>
          <w:lang w:val="fr-CA"/>
        </w:rPr>
        <w:t>la protection</w:t>
      </w:r>
      <w:r w:rsidRPr="00606C27">
        <w:rPr>
          <w:lang w:val="fr-CA"/>
        </w:rPr>
        <w:t xml:space="preserve"> des droits autochtones </w:t>
      </w:r>
      <w:r w:rsidR="00CD6FE8" w:rsidRPr="00606C27">
        <w:rPr>
          <w:lang w:val="fr-CA"/>
        </w:rPr>
        <w:t>contre le</w:t>
      </w:r>
      <w:r w:rsidRPr="00606C27">
        <w:rPr>
          <w:lang w:val="fr-CA"/>
        </w:rPr>
        <w:t xml:space="preserve"> processus législatif, plutôt que de choisir entre elles. Le droit des groupes autochtones d’être consultés quant aux décisions susceptibles d’avoir un effet préjudiciable sur leurs intérêts n’est pas simplement politique. Il s’agit d’un droit juridique ayant force constitutionnelle. Les décisions qui préconisent une protection contre l’ingérence dans le processus parlementaire doivent donc être interprétées dans le contexte d’une obligation qui ne constitue pas seulement un impératif constitutionnel, mais qui consiste en une reconnaissance des limites de la s</w:t>
      </w:r>
      <w:r w:rsidR="00032411" w:rsidRPr="00606C27">
        <w:rPr>
          <w:lang w:val="fr-CA"/>
        </w:rPr>
        <w:t>ouveraineté de la Couronne elle</w:t>
      </w:r>
      <w:r w:rsidR="00032411" w:rsidRPr="00606C27">
        <w:rPr>
          <w:lang w:val="fr-CA"/>
        </w:rPr>
        <w:noBreakHyphen/>
      </w:r>
      <w:r w:rsidRPr="00606C27">
        <w:rPr>
          <w:lang w:val="fr-CA"/>
        </w:rPr>
        <w:t xml:space="preserve">même. La souveraineté parlementaire ne saurait être interprétée de manière à écarter des </w:t>
      </w:r>
      <w:r w:rsidRPr="00606C27">
        <w:rPr>
          <w:lang w:val="fr-CA"/>
        </w:rPr>
        <w:lastRenderedPageBreak/>
        <w:t>obligations découlant de l’honneur de la Couronne. Comme tous les principes constitutionnels, la souveraineté parlementaire doit être mise en balance avec d’autres aspects de l’ordre constitutionnel, dont l’obligation de consulter</w:t>
      </w:r>
      <w:r w:rsidR="006E2F82" w:rsidRPr="00606C27">
        <w:rPr>
          <w:lang w:val="fr-CA"/>
        </w:rPr>
        <w:t>.</w:t>
      </w:r>
      <w:r w:rsidRPr="00606C27">
        <w:rPr>
          <w:lang w:val="fr-CA"/>
        </w:rPr>
        <w:t xml:space="preserve"> </w:t>
      </w:r>
    </w:p>
    <w:p w:rsidR="001A6C30" w:rsidRPr="00606C27" w:rsidRDefault="001A6C30" w:rsidP="001A6C30">
      <w:pPr>
        <w:pStyle w:val="SCCNormalDoubleSpacing"/>
        <w:spacing w:before="240" w:after="480"/>
        <w:rPr>
          <w:lang w:val="fr-CA"/>
        </w:rPr>
      </w:pPr>
      <w:r w:rsidRPr="00606C27">
        <w:rPr>
          <w:lang w:val="fr-CA"/>
        </w:rPr>
        <w:tab/>
        <w:t>Même si la souveraineté parlementaire ne peut supplanter l’honneur de la Couronne, il importe de donner à sa force en tant que principe constitutionnel le poids qui convient afin d’atteindre un juste équilibre entre ces concepts. La souplesse inhérente à la doctrine de l’obligation de consulter devrait être utilisée pour tenir compte du pouvoir discrétionnaire plus large dont le législateur doit pouvoir jouir dans le contexte législatif. Puisque la portée de l’obligation de consulter est fortement tributaire des circonstances, il n’y a aucune raison pour laquelle l’éventail des obligations de consulter et d’accommoder qui peuvent prendre naissance ne suffit pas pour répondre aux difficultés singulières soulevées dans la sphère législative. En outre, les mesures législatives ne vont pas toutes déclencher l’obligation de consulter. Cette obligation est déclenchée uniquement lorsque la Couronne, ayant connaissance de l’existence potentielle du droit ou titre ancestral en cause, envisage d’adopter une loi qui pourrait avoir un effet préjudiciable sur ce droit ou ce titre.</w:t>
      </w:r>
    </w:p>
    <w:p w:rsidR="001A6C30" w:rsidRPr="00606C27" w:rsidRDefault="001A6C30" w:rsidP="001A6C30">
      <w:pPr>
        <w:pStyle w:val="SCCNormalDoubleSpacing"/>
        <w:spacing w:before="240" w:after="480"/>
        <w:rPr>
          <w:lang w:val="fr-CA"/>
        </w:rPr>
      </w:pPr>
      <w:r w:rsidRPr="00606C27">
        <w:rPr>
          <w:lang w:val="fr-CA"/>
        </w:rPr>
        <w:tab/>
        <w:t>La procédure applicable et l’étendue des mesures de réparation lorsque le gouvernement manque à son obligation de consulter dans le contexte du processus législatif sont</w:t>
      </w:r>
      <w:r w:rsidR="00CD6FE8" w:rsidRPr="00606C27">
        <w:rPr>
          <w:lang w:val="fr-CA"/>
        </w:rPr>
        <w:t xml:space="preserve"> également</w:t>
      </w:r>
      <w:r w:rsidRPr="00606C27">
        <w:rPr>
          <w:lang w:val="fr-CA"/>
        </w:rPr>
        <w:t xml:space="preserve"> limitées par la mise en balance constitutionnelle entre le pouvoir judiciaire et le pouvoir législatif. Les contraintes institutionnelles dans le contexte législatif exigent que les demandeurs contestent la loi existante. Autoriser les </w:t>
      </w:r>
      <w:r w:rsidRPr="00606C27">
        <w:rPr>
          <w:lang w:val="fr-CA"/>
        </w:rPr>
        <w:lastRenderedPageBreak/>
        <w:t xml:space="preserve">contestations directes de la procédure parlementaire avant l’adoption de la loi empiéterait indûment sur le processus législatif. Bien que les tribunaux n’aient pas </w:t>
      </w:r>
      <w:r w:rsidR="00CD6FE8" w:rsidRPr="00606C27">
        <w:rPr>
          <w:lang w:val="fr-CA"/>
        </w:rPr>
        <w:t>pour</w:t>
      </w:r>
      <w:r w:rsidRPr="00606C27">
        <w:rPr>
          <w:lang w:val="fr-CA"/>
        </w:rPr>
        <w:t xml:space="preserve"> rôle de dicter les procédures que les législateurs doivent adopter, ils peuvent néanmoins examiner si le processus choisi concorde avec la relation particulière qu’entretient la Couronne avec les peuples autochtones. Contester une loi existante sur le fondement de vices de procédure n’est pas nouveau en droit canadien.</w:t>
      </w:r>
    </w:p>
    <w:p w:rsidR="001A6C30" w:rsidRPr="00606C27" w:rsidRDefault="001A6C30" w:rsidP="001A6C30">
      <w:pPr>
        <w:pStyle w:val="SCCNormalDoubleSpacing"/>
        <w:spacing w:before="240" w:after="480"/>
        <w:rPr>
          <w:lang w:val="fr-CA"/>
        </w:rPr>
      </w:pPr>
      <w:r w:rsidRPr="00606C27">
        <w:rPr>
          <w:lang w:val="fr-CA"/>
        </w:rPr>
        <w:tab/>
        <w:t xml:space="preserve">Toutefois, une contestation fondée sur l’arrêt </w:t>
      </w:r>
      <w:r w:rsidRPr="00606C27">
        <w:rPr>
          <w:i/>
          <w:lang w:val="fr-CA"/>
        </w:rPr>
        <w:t>Nation haïda</w:t>
      </w:r>
      <w:r w:rsidRPr="00606C27">
        <w:rPr>
          <w:lang w:val="fr-CA"/>
        </w:rPr>
        <w:t>, si elle était accueillie, n’invaliderait pas nécessairement la loi</w:t>
      </w:r>
      <w:r w:rsidR="00CD6FE8" w:rsidRPr="00606C27">
        <w:rPr>
          <w:lang w:val="fr-CA"/>
        </w:rPr>
        <w:t xml:space="preserve"> attaquée</w:t>
      </w:r>
      <w:r w:rsidRPr="00606C27">
        <w:rPr>
          <w:lang w:val="fr-CA"/>
        </w:rPr>
        <w:t xml:space="preserve">. L’obligation de consulter vise à encourager les gouvernements à tenir compte des effets des mesures qu’ils adoptent sur les collectivités autochtones et à consulter de façon proactive. Elle ne devrait pas remplacer le test de l’atteinte et de la justification énoncé dans l’arrêt </w:t>
      </w:r>
      <w:r w:rsidRPr="00606C27">
        <w:rPr>
          <w:i/>
          <w:lang w:val="fr-CA"/>
        </w:rPr>
        <w:t>Sparrow</w:t>
      </w:r>
      <w:r w:rsidRPr="00606C27">
        <w:rPr>
          <w:lang w:val="fr-CA"/>
        </w:rPr>
        <w:t xml:space="preserve"> ou devenir un moyen de routine pour invalider la loi. Sans écarter la possibilité que, dans certains cas, une loi adoptée en violation de l’obligation de consulter puisse être invalidée, la mesure de redressement généralement appropriée prendra la forme d’une déclaration, qui permet aux tribunaux de façonner le cadre juridique tout en respectant le rôle constitutionnel d’une autre branche de l’État d’agir à l’intérieur de ces limites. Par conséquent, un groupe autochtone a droit à un jugement déclaratoire si la Couronne ne l’a pas consulté durant le processus menant à l’édiction d’une loi qui pourrait avoir un effet préjudiciable sur ses intérêts.</w:t>
      </w:r>
    </w:p>
    <w:p w:rsidR="00D70B65" w:rsidRPr="00606C27" w:rsidRDefault="009D4D1D" w:rsidP="009D4D1D">
      <w:pPr>
        <w:pStyle w:val="SCCNormalDoubleSpacing"/>
        <w:spacing w:before="480" w:after="480"/>
        <w:rPr>
          <w:lang w:val="fr-CA"/>
        </w:rPr>
      </w:pPr>
      <w:r w:rsidRPr="00606C27">
        <w:rPr>
          <w:i/>
          <w:lang w:val="fr-CA"/>
        </w:rPr>
        <w:lastRenderedPageBreak/>
        <w:tab/>
      </w:r>
      <w:r w:rsidR="00D70B65" w:rsidRPr="00606C27">
        <w:rPr>
          <w:i/>
          <w:lang w:val="fr-CA"/>
        </w:rPr>
        <w:t xml:space="preserve">Le </w:t>
      </w:r>
      <w:r w:rsidR="00D70B65" w:rsidRPr="00994194">
        <w:rPr>
          <w:lang w:val="fr-CA"/>
        </w:rPr>
        <w:t>juge</w:t>
      </w:r>
      <w:r w:rsidRPr="00606C27">
        <w:rPr>
          <w:lang w:val="fr-CA"/>
        </w:rPr>
        <w:t xml:space="preserve"> </w:t>
      </w:r>
      <w:r w:rsidRPr="00994194">
        <w:rPr>
          <w:lang w:val="fr-CA"/>
        </w:rPr>
        <w:t>Brown</w:t>
      </w:r>
      <w:r w:rsidR="00D70B65" w:rsidRPr="00994194">
        <w:rPr>
          <w:lang w:val="fr-CA"/>
        </w:rPr>
        <w:t> </w:t>
      </w:r>
      <w:r w:rsidRPr="00606C27">
        <w:rPr>
          <w:lang w:val="fr-CA"/>
        </w:rPr>
        <w:t xml:space="preserve">: </w:t>
      </w:r>
      <w:r w:rsidR="00D70B65" w:rsidRPr="00606C27">
        <w:rPr>
          <w:lang w:val="fr-CA"/>
        </w:rPr>
        <w:t xml:space="preserve">Il y a accord pour dire que l’appel devrait être rejeté </w:t>
      </w:r>
      <w:r w:rsidR="00F31394" w:rsidRPr="00606C27">
        <w:rPr>
          <w:lang w:val="fr-CA"/>
        </w:rPr>
        <w:t xml:space="preserve">parce </w:t>
      </w:r>
      <w:r w:rsidR="00D70B65" w:rsidRPr="00606C27">
        <w:rPr>
          <w:lang w:val="fr-CA"/>
        </w:rPr>
        <w:t>que la Cour fédérale n’avait pas compétence pour examiner la demande de contrôle judiciaire.</w:t>
      </w:r>
    </w:p>
    <w:p w:rsidR="00EB1B35" w:rsidRPr="00606C27" w:rsidRDefault="00EB1B35" w:rsidP="009D4D1D">
      <w:pPr>
        <w:pStyle w:val="SCCNormalDoubleSpacing"/>
        <w:spacing w:before="480" w:after="480"/>
        <w:rPr>
          <w:lang w:val="fr-CA"/>
        </w:rPr>
      </w:pPr>
      <w:r w:rsidRPr="00606C27">
        <w:rPr>
          <w:lang w:val="fr-CA"/>
        </w:rPr>
        <w:tab/>
      </w:r>
      <w:r w:rsidR="00F31394" w:rsidRPr="00606C27">
        <w:rPr>
          <w:lang w:val="fr-CA"/>
        </w:rPr>
        <w:t>M</w:t>
      </w:r>
      <w:r w:rsidRPr="00606C27">
        <w:rPr>
          <w:lang w:val="fr-CA"/>
        </w:rPr>
        <w:t>ême en faisant fi de cet obstacle juridictionnel, tant la séparation des pouvoirs que le privilège parlementaire,</w:t>
      </w:r>
      <w:r w:rsidR="00F31394" w:rsidRPr="00606C27">
        <w:rPr>
          <w:lang w:val="fr-CA"/>
        </w:rPr>
        <w:t xml:space="preserve"> </w:t>
      </w:r>
      <w:r w:rsidR="00AE4DCE" w:rsidRPr="00606C27">
        <w:rPr>
          <w:lang w:val="fr-CA"/>
        </w:rPr>
        <w:t xml:space="preserve">ainsi </w:t>
      </w:r>
      <w:r w:rsidR="00F31394" w:rsidRPr="00606C27">
        <w:rPr>
          <w:lang w:val="fr-CA"/>
        </w:rPr>
        <w:t>que</w:t>
      </w:r>
      <w:r w:rsidRPr="00606C27">
        <w:rPr>
          <w:lang w:val="fr-CA"/>
        </w:rPr>
        <w:t xml:space="preserve"> la portée bien interprétée du contrôle judiciaire et la jurisprudence existante de la Cour sur l’obligation de consulter mènent à la conclusion que la demande de contrôle judiciaire des Mikisew ne peut pas être accueillie.</w:t>
      </w:r>
      <w:r w:rsidR="006B727C" w:rsidRPr="00606C27">
        <w:rPr>
          <w:lang w:val="fr-CA"/>
        </w:rPr>
        <w:t xml:space="preserve"> L’ensemble du processus législatif — de l’élaboration initiale des politiques à la sanction royale inclusivement — constitue un exercice du pouvoir législatif qui est à l’abri de l’ingérence des tribunaux. Les choix politiques relèvent du pouvoir législatif, tandis que leur mise en œuvre et leur administration incombent au pouvoir exécutif. Cela empêche les tribunaux d’imposer une obligation de consulter dans le cadre du processus législatif.</w:t>
      </w:r>
    </w:p>
    <w:p w:rsidR="006B727C" w:rsidRPr="00606C27" w:rsidRDefault="006B727C" w:rsidP="009D4D1D">
      <w:pPr>
        <w:pStyle w:val="SCCNormalDoubleSpacing"/>
        <w:spacing w:before="480" w:after="480"/>
        <w:rPr>
          <w:lang w:val="fr-CA"/>
        </w:rPr>
      </w:pPr>
      <w:r w:rsidRPr="00606C27">
        <w:rPr>
          <w:lang w:val="fr-CA"/>
        </w:rPr>
        <w:tab/>
        <w:t>La formulation et le dépôt des projets de loi échappent au contrôle judiciaire du fait de la séparation des pouvoirs.</w:t>
      </w:r>
      <w:r w:rsidR="00A12EB6" w:rsidRPr="00606C27">
        <w:rPr>
          <w:lang w:val="fr-CA"/>
        </w:rPr>
        <w:t xml:space="preserve"> Pour que chacun des pouvoirs de l’État </w:t>
      </w:r>
      <w:r w:rsidR="00032411" w:rsidRPr="00606C27">
        <w:rPr>
          <w:lang w:val="fr-CA"/>
        </w:rPr>
        <w:t xml:space="preserve">canadien — </w:t>
      </w:r>
      <w:r w:rsidR="00A12EB6" w:rsidRPr="00606C27">
        <w:rPr>
          <w:lang w:val="fr-CA"/>
        </w:rPr>
        <w:t>le législatif, l’exécutif et le judiciaire —</w:t>
      </w:r>
      <w:r w:rsidR="00F31394" w:rsidRPr="00606C27">
        <w:rPr>
          <w:lang w:val="fr-CA"/>
        </w:rPr>
        <w:t xml:space="preserve"> </w:t>
      </w:r>
      <w:r w:rsidR="00A12EB6" w:rsidRPr="00606C27">
        <w:rPr>
          <w:lang w:val="fr-CA"/>
        </w:rPr>
        <w:t>puisse jouer son rôle, il faut qu’ils n’empiètent pas indûment les uns sur les autres</w:t>
      </w:r>
      <w:r w:rsidR="00E75095" w:rsidRPr="00606C27">
        <w:rPr>
          <w:lang w:val="fr-CA"/>
        </w:rPr>
        <w:t>.</w:t>
      </w:r>
      <w:r w:rsidRPr="00606C27">
        <w:rPr>
          <w:lang w:val="fr-CA"/>
        </w:rPr>
        <w:t xml:space="preserve"> Les ministres de la Couronne jouent un rôle essentiel dans le processus législatif dont ils font partie intégrante</w:t>
      </w:r>
      <w:r w:rsidR="009256B0" w:rsidRPr="00606C27">
        <w:rPr>
          <w:lang w:val="fr-CA"/>
        </w:rPr>
        <w:t xml:space="preserve">. Leur appartenance aux pouvoirs tant exécutif que législatif de l’État canadien </w:t>
      </w:r>
      <w:r w:rsidR="00615153" w:rsidRPr="00606C27">
        <w:rPr>
          <w:lang w:val="fr-CA"/>
        </w:rPr>
        <w:t xml:space="preserve">ne </w:t>
      </w:r>
      <w:r w:rsidR="009256B0" w:rsidRPr="00606C27">
        <w:rPr>
          <w:lang w:val="fr-CA"/>
        </w:rPr>
        <w:t xml:space="preserve">rend </w:t>
      </w:r>
      <w:r w:rsidR="00615153" w:rsidRPr="00606C27">
        <w:rPr>
          <w:lang w:val="fr-CA"/>
        </w:rPr>
        <w:t xml:space="preserve">pas </w:t>
      </w:r>
      <w:r w:rsidR="009256B0" w:rsidRPr="00606C27">
        <w:rPr>
          <w:lang w:val="fr-CA"/>
        </w:rPr>
        <w:t>leurs rôles dans l’une ou l’autre de ces branches indissociables aux fins du contrôle judiciaire.</w:t>
      </w:r>
      <w:r w:rsidR="00615153" w:rsidRPr="00606C27">
        <w:rPr>
          <w:lang w:val="fr-CA"/>
        </w:rPr>
        <w:t xml:space="preserve"> Dans la présente affaire, </w:t>
      </w:r>
      <w:r w:rsidR="003E148F" w:rsidRPr="00606C27">
        <w:rPr>
          <w:lang w:val="fr-CA"/>
        </w:rPr>
        <w:t>d</w:t>
      </w:r>
      <w:r w:rsidR="00615153" w:rsidRPr="00606C27">
        <w:rPr>
          <w:lang w:val="fr-CA"/>
        </w:rPr>
        <w:t xml:space="preserve">es ministres fédéraux ont pris une série de </w:t>
      </w:r>
      <w:r w:rsidR="00615153" w:rsidRPr="00606C27">
        <w:rPr>
          <w:lang w:val="fr-CA"/>
        </w:rPr>
        <w:lastRenderedPageBreak/>
        <w:t>décisions politiques, qui ont mené à la rédaction d’une pr</w:t>
      </w:r>
      <w:r w:rsidR="003E148F" w:rsidRPr="00606C27">
        <w:rPr>
          <w:lang w:val="fr-CA"/>
        </w:rPr>
        <w:t xml:space="preserve">oposition législative et, ensuite, </w:t>
      </w:r>
      <w:r w:rsidR="00615153" w:rsidRPr="00606C27">
        <w:rPr>
          <w:lang w:val="fr-CA"/>
        </w:rPr>
        <w:t>à l’élaboration des projets de loi omnibus et à leur dépôt à la Chambre des communes</w:t>
      </w:r>
      <w:r w:rsidR="003E148F" w:rsidRPr="00606C27">
        <w:rPr>
          <w:lang w:val="fr-CA"/>
        </w:rPr>
        <w:t xml:space="preserve">. Toutes ces mesures appartenaient au processus législatif qui consiste à déposer des projets de loi au Parlement et </w:t>
      </w:r>
      <w:r w:rsidR="00F31394" w:rsidRPr="00606C27">
        <w:rPr>
          <w:lang w:val="fr-CA"/>
        </w:rPr>
        <w:t xml:space="preserve">elles </w:t>
      </w:r>
      <w:r w:rsidR="003E148F" w:rsidRPr="00606C27">
        <w:rPr>
          <w:lang w:val="fr-CA"/>
        </w:rPr>
        <w:t>ont été prises par des ministres qui agissaient en leur capacité législative.</w:t>
      </w:r>
    </w:p>
    <w:p w:rsidR="005F1F1F" w:rsidRPr="00606C27" w:rsidRDefault="003E148F" w:rsidP="009D4D1D">
      <w:pPr>
        <w:pStyle w:val="SCCNormalDoubleSpacing"/>
        <w:spacing w:before="480" w:after="480"/>
        <w:rPr>
          <w:lang w:val="fr-CA"/>
        </w:rPr>
      </w:pPr>
      <w:r w:rsidRPr="00606C27">
        <w:rPr>
          <w:lang w:val="fr-CA"/>
        </w:rPr>
        <w:tab/>
        <w:t>La formulation et le dépôt des projets de loi échappent également au contrôle judiciaire du fait du privilège parlementaire</w:t>
      </w:r>
      <w:r w:rsidR="005F1F1F" w:rsidRPr="00606C27">
        <w:rPr>
          <w:lang w:val="fr-CA"/>
        </w:rPr>
        <w:t xml:space="preserve">, </w:t>
      </w:r>
      <w:r w:rsidR="00F31394" w:rsidRPr="00606C27">
        <w:rPr>
          <w:lang w:val="fr-CA"/>
        </w:rPr>
        <w:t>lequel</w:t>
      </w:r>
      <w:r w:rsidR="005F1F1F" w:rsidRPr="00606C27">
        <w:rPr>
          <w:lang w:val="fr-CA"/>
        </w:rPr>
        <w:t xml:space="preserve"> consiste en une protection contre l’ingérence dans le travail parlementaire des députés. Le principe du privilège parlementaire est essentiel pour que le Parlement s’acquitte de ses fonctions constitutionnelles</w:t>
      </w:r>
      <w:r w:rsidR="00F31394" w:rsidRPr="00606C27">
        <w:rPr>
          <w:lang w:val="fr-CA"/>
        </w:rPr>
        <w:t>,</w:t>
      </w:r>
      <w:r w:rsidR="005F1F1F" w:rsidRPr="00606C27">
        <w:rPr>
          <w:lang w:val="fr-CA"/>
        </w:rPr>
        <w:t xml:space="preserve"> puisqu’il lui accorde le droit d’exercer une liberté absolue pour ce qui est de la formulation, du dépôt, de la modification et de l’adoption d’une loi. </w:t>
      </w:r>
      <w:r w:rsidR="00D622A8" w:rsidRPr="00606C27">
        <w:rPr>
          <w:lang w:val="fr-CA"/>
        </w:rPr>
        <w:t>S’il est vrai que</w:t>
      </w:r>
      <w:r w:rsidR="005F1F1F" w:rsidRPr="00606C27">
        <w:rPr>
          <w:lang w:val="fr-CA"/>
        </w:rPr>
        <w:t xml:space="preserve"> le privilège parlementaire s’applique sous réserve de certaines contraintes imposées par la Constitution, l’obligation de consulter se distingue des exigences quant aux modalités et à la forme imposées par la Constitution que doit respecter le législateur afin d’adopter une loi valide. Tout ce qu’un citoyen canadien peut exiger, sur le plan procédural, c’est qu’un projet de loi fasse l’objet de trois lectures à la Chambre des communes et au Sénat et qu’il reçoive la sanction royale. Bien que la Constitution soit la loi suprême du Canada et qu’elle rende inopérante toute loi incompatible avec ses dispositions, elle ne permet pas aux demandeurs d’écarter le privilège parlementaire</w:t>
      </w:r>
      <w:r w:rsidR="00994194">
        <w:rPr>
          <w:lang w:val="fr-CA"/>
        </w:rPr>
        <w:t>.</w:t>
      </w:r>
    </w:p>
    <w:p w:rsidR="009D4D1D" w:rsidRPr="00606C27" w:rsidRDefault="005F1F1F" w:rsidP="009D4D1D">
      <w:pPr>
        <w:pStyle w:val="SCCNormalDoubleSpacing"/>
        <w:spacing w:before="480" w:after="480"/>
        <w:rPr>
          <w:lang w:val="fr-CA"/>
        </w:rPr>
      </w:pPr>
      <w:r w:rsidRPr="00606C27">
        <w:rPr>
          <w:lang w:val="fr-CA"/>
        </w:rPr>
        <w:tab/>
        <w:t>L’élaboration, le dépôt, l’examen et l’adoption des projets</w:t>
      </w:r>
      <w:r w:rsidR="00CA767E" w:rsidRPr="00606C27">
        <w:rPr>
          <w:lang w:val="fr-CA"/>
        </w:rPr>
        <w:t xml:space="preserve"> de loi ne constituent pas des</w:t>
      </w:r>
      <w:r w:rsidRPr="00606C27">
        <w:rPr>
          <w:lang w:val="fr-CA"/>
        </w:rPr>
        <w:t> conduites</w:t>
      </w:r>
      <w:r w:rsidR="00CA767E" w:rsidRPr="00606C27">
        <w:rPr>
          <w:lang w:val="fr-CA"/>
        </w:rPr>
        <w:t xml:space="preserve"> de la Couronne</w:t>
      </w:r>
      <w:r w:rsidRPr="00606C27">
        <w:rPr>
          <w:lang w:val="fr-CA"/>
        </w:rPr>
        <w:t xml:space="preserve"> qui donne</w:t>
      </w:r>
      <w:r w:rsidR="00CA767E" w:rsidRPr="00606C27">
        <w:rPr>
          <w:lang w:val="fr-CA"/>
        </w:rPr>
        <w:t>nt</w:t>
      </w:r>
      <w:r w:rsidRPr="00606C27">
        <w:rPr>
          <w:lang w:val="fr-CA"/>
        </w:rPr>
        <w:t xml:space="preserve"> naissance à l’obligation de </w:t>
      </w:r>
      <w:r w:rsidRPr="00606C27">
        <w:rPr>
          <w:lang w:val="fr-CA"/>
        </w:rPr>
        <w:lastRenderedPageBreak/>
        <w:t>consult</w:t>
      </w:r>
      <w:r w:rsidR="00CA767E" w:rsidRPr="00606C27">
        <w:rPr>
          <w:lang w:val="fr-CA"/>
        </w:rPr>
        <w:t>er. La conduite</w:t>
      </w:r>
      <w:r w:rsidR="00032411" w:rsidRPr="00606C27">
        <w:rPr>
          <w:lang w:val="fr-CA"/>
        </w:rPr>
        <w:t xml:space="preserve"> de la Couronne </w:t>
      </w:r>
      <w:r w:rsidR="00CA767E" w:rsidRPr="00606C27">
        <w:rPr>
          <w:lang w:val="fr-CA"/>
        </w:rPr>
        <w:t xml:space="preserve">qui fait naître </w:t>
      </w:r>
      <w:r w:rsidR="00D622A8" w:rsidRPr="00606C27">
        <w:rPr>
          <w:lang w:val="fr-CA"/>
        </w:rPr>
        <w:t xml:space="preserve">cette </w:t>
      </w:r>
      <w:r w:rsidR="00CA767E" w:rsidRPr="00606C27">
        <w:rPr>
          <w:lang w:val="fr-CA"/>
        </w:rPr>
        <w:t>obligation exclut les fonctions parlementaires de l’État canadien. Les étapes suivies dans le cadre du processus parlementaire d’élaboration des lois, y compris la sanction royale, ne sont pas le moyen par lequel la Couronne agit. L’exercice de son pouv</w:t>
      </w:r>
      <w:r w:rsidR="00F31394" w:rsidRPr="00606C27">
        <w:rPr>
          <w:lang w:val="fr-CA"/>
        </w:rPr>
        <w:t>oir dans l’adoption des lois (</w:t>
      </w:r>
      <w:r w:rsidR="00CA767E" w:rsidRPr="00606C27">
        <w:rPr>
          <w:lang w:val="fr-CA"/>
        </w:rPr>
        <w:t>lorsqu’elle sanctionne les projets de loi, qu’elle refuse de les sanctionner ou qu’elle réserve sa décision) est de nature législative. Il ne s’agit pas d’une conduite de la Couronne</w:t>
      </w:r>
      <w:r w:rsidR="00F31394" w:rsidRPr="00606C27">
        <w:rPr>
          <w:lang w:val="fr-CA"/>
        </w:rPr>
        <w:t xml:space="preserve"> </w:t>
      </w:r>
      <w:r w:rsidR="00CA767E" w:rsidRPr="00606C27">
        <w:rPr>
          <w:lang w:val="fr-CA"/>
        </w:rPr>
        <w:t>— c’est</w:t>
      </w:r>
      <w:r w:rsidR="00CA767E" w:rsidRPr="00606C27">
        <w:rPr>
          <w:lang w:val="fr-CA"/>
        </w:rPr>
        <w:noBreakHyphen/>
        <w:t>à</w:t>
      </w:r>
      <w:r w:rsidR="00CA767E" w:rsidRPr="00606C27">
        <w:rPr>
          <w:lang w:val="fr-CA"/>
        </w:rPr>
        <w:noBreakHyphen/>
        <w:t>dire d’une conduite de nature exécutive — qui peut donner naissance à l’obligation de consulter. La Couronne n’adopte pas les lois. C’est le Parlement qui le fait.</w:t>
      </w:r>
    </w:p>
    <w:p w:rsidR="00F62350" w:rsidRPr="00606C27" w:rsidRDefault="00F62350" w:rsidP="009D4D1D">
      <w:pPr>
        <w:pStyle w:val="SCCNormalDoubleSpacing"/>
        <w:spacing w:before="480" w:after="480"/>
        <w:rPr>
          <w:lang w:val="fr-CA"/>
        </w:rPr>
      </w:pPr>
      <w:r w:rsidRPr="00606C27">
        <w:rPr>
          <w:lang w:val="fr-CA"/>
        </w:rPr>
        <w:tab/>
        <w:t xml:space="preserve">Par conséquent, procéder au contrôle judiciaire du processus législatif, en contrôlant notamment, après le fait, le processus d’adoption des lois pour vérifier </w:t>
      </w:r>
      <w:r w:rsidR="00F31394" w:rsidRPr="00606C27">
        <w:rPr>
          <w:lang w:val="fr-CA"/>
        </w:rPr>
        <w:t>leur</w:t>
      </w:r>
      <w:r w:rsidRPr="00606C27">
        <w:rPr>
          <w:lang w:val="fr-CA"/>
        </w:rPr>
        <w:t xml:space="preserve"> conformité à l’art. 35 de la </w:t>
      </w:r>
      <w:r w:rsidRPr="00606C27">
        <w:rPr>
          <w:i/>
          <w:lang w:val="fr-CA"/>
        </w:rPr>
        <w:t>Loi constitutionnelle de 1982</w:t>
      </w:r>
      <w:r w:rsidRPr="00606C27">
        <w:rPr>
          <w:lang w:val="fr-CA"/>
        </w:rPr>
        <w:t xml:space="preserve"> et à l’honneur de la Couronne, est inconstitutionnel. Le fait qu’il en soit ainsi ne diminue pas la valeur et la sagesse inhérentes à la consultation des peuples autochtones avant l’adoption de lois susceptibles d’avoir un effet préjudiciable sur l’exercice de droits ancestraux ou issus de traités. La consultation durant le processus législatif est une considération importante dans l’analyse de la justification au regard de l’art. 35. </w:t>
      </w:r>
      <w:r w:rsidR="00F31394" w:rsidRPr="00606C27">
        <w:rPr>
          <w:lang w:val="fr-CA"/>
        </w:rPr>
        <w:t>Toutefois</w:t>
      </w:r>
      <w:r w:rsidRPr="00606C27">
        <w:rPr>
          <w:lang w:val="fr-CA"/>
        </w:rPr>
        <w:t>, l’absence de consultation ou les lacunes de ce processus ne peuvent être examinées qu’une fois la loi adoptée, et encore, uniquement dans le contexte d’une contestation, fondée sur l’art. 35, de la teneur de la loi ainsi adoptée ou de ses effets, par opposition à une contestation du processus législatif.</w:t>
      </w:r>
    </w:p>
    <w:p w:rsidR="004153AC" w:rsidRPr="00606C27" w:rsidRDefault="00F62350" w:rsidP="004153AC">
      <w:pPr>
        <w:pStyle w:val="SCCNormalDoubleSpacing"/>
        <w:spacing w:before="480" w:after="480"/>
        <w:rPr>
          <w:lang w:val="fr-CA"/>
        </w:rPr>
      </w:pPr>
      <w:r w:rsidRPr="00606C27">
        <w:rPr>
          <w:lang w:val="fr-CA"/>
        </w:rPr>
        <w:lastRenderedPageBreak/>
        <w:tab/>
        <w:t>Soulever la possibilité qu’une loi qui au</w:t>
      </w:r>
      <w:r w:rsidR="0022228B" w:rsidRPr="00606C27">
        <w:rPr>
          <w:lang w:val="fr-CA"/>
        </w:rPr>
        <w:t xml:space="preserve">rait un effet préjudiciable sur </w:t>
      </w:r>
      <w:r w:rsidRPr="00606C27">
        <w:rPr>
          <w:lang w:val="fr-CA"/>
        </w:rPr>
        <w:t xml:space="preserve">des droits protégés par l’art. 35 soit déclarée incompatible avec l’honneur de la Couronne mine les principes mêmes </w:t>
      </w:r>
      <w:r w:rsidR="0022228B" w:rsidRPr="00606C27">
        <w:rPr>
          <w:lang w:val="fr-CA"/>
        </w:rPr>
        <w:t xml:space="preserve">de la </w:t>
      </w:r>
      <w:r w:rsidRPr="00606C27">
        <w:rPr>
          <w:lang w:val="fr-CA"/>
        </w:rPr>
        <w:t xml:space="preserve">séparation des pouvoirs et </w:t>
      </w:r>
      <w:r w:rsidR="0022228B" w:rsidRPr="00606C27">
        <w:rPr>
          <w:lang w:val="fr-CA"/>
        </w:rPr>
        <w:t>du</w:t>
      </w:r>
      <w:r w:rsidRPr="00606C27">
        <w:rPr>
          <w:lang w:val="fr-CA"/>
        </w:rPr>
        <w:t xml:space="preserve"> privilège parlementaire</w:t>
      </w:r>
      <w:r w:rsidR="0022228B" w:rsidRPr="00606C27">
        <w:rPr>
          <w:lang w:val="fr-CA"/>
        </w:rPr>
        <w:t xml:space="preserve"> qui mènent à la conclusion selon laquelle l’imposition de l’obligation de consulter</w:t>
      </w:r>
      <w:r w:rsidR="00A12EB6" w:rsidRPr="00606C27">
        <w:rPr>
          <w:lang w:val="fr-CA"/>
        </w:rPr>
        <w:t xml:space="preserve"> constituerait une entrave indue</w:t>
      </w:r>
      <w:r w:rsidR="0022228B" w:rsidRPr="00606C27">
        <w:rPr>
          <w:lang w:val="fr-CA"/>
        </w:rPr>
        <w:t xml:space="preserve"> </w:t>
      </w:r>
      <w:r w:rsidR="00E75095" w:rsidRPr="00606C27">
        <w:rPr>
          <w:lang w:val="fr-CA"/>
        </w:rPr>
        <w:t>dans les circonstances de la présente cause</w:t>
      </w:r>
      <w:r w:rsidR="0022228B" w:rsidRPr="00606C27">
        <w:rPr>
          <w:lang w:val="fr-CA"/>
        </w:rPr>
        <w:t xml:space="preserve">. De plus, cela </w:t>
      </w:r>
      <w:r w:rsidR="0022228B" w:rsidRPr="00606C27">
        <w:rPr>
          <w:rFonts w:eastAsiaTheme="minorHAnsi"/>
          <w:lang w:val="fr-CA"/>
        </w:rPr>
        <w:t xml:space="preserve">jetterait le droit dans une incertitude considérable pour </w:t>
      </w:r>
      <w:r w:rsidR="0022228B" w:rsidRPr="00606C27">
        <w:rPr>
          <w:lang w:val="fr-CA"/>
        </w:rPr>
        <w:t>toutes les personnes qui se fient sur l’efficacité des lois valablement adoptées et conformes à la Constitution.</w:t>
      </w:r>
    </w:p>
    <w:p w:rsidR="004153AC" w:rsidRPr="00606C27" w:rsidRDefault="004153AC" w:rsidP="004153AC">
      <w:pPr>
        <w:pStyle w:val="SCCNormalDoubleSpacing"/>
        <w:spacing w:before="480" w:after="480"/>
        <w:rPr>
          <w:szCs w:val="24"/>
          <w:lang w:val="fr-CA"/>
        </w:rPr>
      </w:pPr>
      <w:r w:rsidRPr="00606C27">
        <w:rPr>
          <w:lang w:val="fr-CA"/>
        </w:rPr>
        <w:tab/>
      </w:r>
      <w:r w:rsidR="00A87D1C" w:rsidRPr="00606C27">
        <w:rPr>
          <w:i/>
          <w:lang w:val="fr-CA"/>
        </w:rPr>
        <w:t xml:space="preserve">Les </w:t>
      </w:r>
      <w:r w:rsidR="00A87D1C" w:rsidRPr="00994194">
        <w:rPr>
          <w:lang w:val="fr-CA"/>
        </w:rPr>
        <w:t>juges</w:t>
      </w:r>
      <w:r w:rsidR="00A87D1C" w:rsidRPr="00606C27">
        <w:rPr>
          <w:i/>
          <w:lang w:val="fr-CA"/>
        </w:rPr>
        <w:t xml:space="preserve"> </w:t>
      </w:r>
      <w:r w:rsidR="009D4D1D" w:rsidRPr="00606C27">
        <w:rPr>
          <w:lang w:val="fr-CA"/>
        </w:rPr>
        <w:t xml:space="preserve">Moldaver, Côté </w:t>
      </w:r>
      <w:r w:rsidR="00A87D1C" w:rsidRPr="00606C27">
        <w:rPr>
          <w:lang w:val="fr-CA"/>
        </w:rPr>
        <w:t xml:space="preserve">et </w:t>
      </w:r>
      <w:r w:rsidR="009D4D1D" w:rsidRPr="00994194">
        <w:rPr>
          <w:lang w:val="fr-CA"/>
        </w:rPr>
        <w:t>Rowe</w:t>
      </w:r>
      <w:r w:rsidR="00A87D1C" w:rsidRPr="00606C27">
        <w:rPr>
          <w:lang w:val="fr-CA"/>
        </w:rPr>
        <w:t> </w:t>
      </w:r>
      <w:r w:rsidR="009D4D1D" w:rsidRPr="00606C27">
        <w:rPr>
          <w:lang w:val="fr-CA"/>
        </w:rPr>
        <w:t xml:space="preserve">: </w:t>
      </w:r>
      <w:r w:rsidR="00CE2F59" w:rsidRPr="00606C27">
        <w:rPr>
          <w:szCs w:val="24"/>
          <w:lang w:val="fr-CA"/>
        </w:rPr>
        <w:t>Il y a accord avec le juge Brown.</w:t>
      </w:r>
      <w:r w:rsidR="009D4D1D" w:rsidRPr="00606C27">
        <w:rPr>
          <w:i/>
          <w:lang w:val="fr-CA"/>
        </w:rPr>
        <w:t xml:space="preserve"> </w:t>
      </w:r>
      <w:r w:rsidR="00CE2F59" w:rsidRPr="00606C27">
        <w:rPr>
          <w:lang w:val="fr-CA"/>
        </w:rPr>
        <w:t xml:space="preserve">De plus, </w:t>
      </w:r>
      <w:r w:rsidR="00CE2F59" w:rsidRPr="00606C27">
        <w:rPr>
          <w:szCs w:val="24"/>
          <w:lang w:val="fr-CA"/>
        </w:rPr>
        <w:t xml:space="preserve">le fait que l’obligation de consulter n’a pas été reconnue comme exigence procédurale dans le cadre du processus législatif ne prive pas les demandeurs autochtones de tout moyen efficace de faire reconnaître par les tribunaux les atteintes à leurs droits protégés par l’art. 35 de la </w:t>
      </w:r>
      <w:r w:rsidR="00CE2F59" w:rsidRPr="00606C27">
        <w:rPr>
          <w:i/>
          <w:szCs w:val="24"/>
          <w:lang w:val="fr-CA"/>
        </w:rPr>
        <w:t>Loi constitutionnelle de 1982</w:t>
      </w:r>
      <w:r w:rsidR="00CE2F59" w:rsidRPr="00606C27">
        <w:rPr>
          <w:szCs w:val="24"/>
          <w:lang w:val="fr-CA"/>
        </w:rPr>
        <w:t>. Q</w:t>
      </w:r>
      <w:r w:rsidR="00CE2F59" w:rsidRPr="00606C27">
        <w:rPr>
          <w:lang w:val="fr-CA"/>
        </w:rPr>
        <w:t xml:space="preserve">uand une loi est adoptée, les parties qui soutiennent qu’elle a pour effet de porter atteinte aux droits protégés par l’art. 35 disposent de recours fondés sur le </w:t>
      </w:r>
      <w:r w:rsidR="00CE2F59" w:rsidRPr="00606C27">
        <w:rPr>
          <w:szCs w:val="24"/>
          <w:lang w:val="fr-CA"/>
        </w:rPr>
        <w:t xml:space="preserve">cadre d’analyse relatif à l’atteinte et à la justification exposé dans l’arrêt </w:t>
      </w:r>
      <w:r w:rsidR="00CE2F59" w:rsidRPr="00606C27">
        <w:rPr>
          <w:i/>
          <w:szCs w:val="24"/>
          <w:lang w:val="fr-CA"/>
        </w:rPr>
        <w:t>R. c. Sparrow</w:t>
      </w:r>
      <w:r w:rsidR="00CE2F59" w:rsidRPr="00606C27">
        <w:rPr>
          <w:szCs w:val="24"/>
          <w:lang w:val="fr-CA"/>
        </w:rPr>
        <w:t>,</w:t>
      </w:r>
      <w:r w:rsidR="00CE2F59" w:rsidRPr="00606C27">
        <w:rPr>
          <w:i/>
          <w:szCs w:val="24"/>
          <w:lang w:val="fr-CA"/>
        </w:rPr>
        <w:t xml:space="preserve"> </w:t>
      </w:r>
      <w:r w:rsidR="00CE2F59" w:rsidRPr="00606C27">
        <w:rPr>
          <w:szCs w:val="24"/>
          <w:lang w:val="fr-CA"/>
        </w:rPr>
        <w:t xml:space="preserve">[1990] 1 R.C.S. 1075. </w:t>
      </w:r>
      <w:r w:rsidR="00CE2F59" w:rsidRPr="00606C27">
        <w:rPr>
          <w:lang w:val="fr-CA"/>
        </w:rPr>
        <w:t>Celles qui prétendent</w:t>
      </w:r>
      <w:r w:rsidR="006E2F82" w:rsidRPr="00606C27">
        <w:rPr>
          <w:lang w:val="fr-CA"/>
        </w:rPr>
        <w:t xml:space="preserve"> qu’une </w:t>
      </w:r>
      <w:r w:rsidR="00CE2F59" w:rsidRPr="00606C27">
        <w:rPr>
          <w:lang w:val="fr-CA"/>
        </w:rPr>
        <w:t xml:space="preserve">décision prise par </w:t>
      </w:r>
      <w:r w:rsidR="00F31394" w:rsidRPr="00606C27">
        <w:rPr>
          <w:lang w:val="fr-CA"/>
        </w:rPr>
        <w:t>le gouvernement</w:t>
      </w:r>
      <w:r w:rsidR="00CE2F59" w:rsidRPr="00606C27">
        <w:rPr>
          <w:lang w:val="fr-CA"/>
        </w:rPr>
        <w:t xml:space="preserve"> en vertu du pouvoir que lui confère </w:t>
      </w:r>
      <w:r w:rsidR="006E2F82" w:rsidRPr="00606C27">
        <w:rPr>
          <w:lang w:val="fr-CA"/>
        </w:rPr>
        <w:t>cette</w:t>
      </w:r>
      <w:r w:rsidR="00CE2F59" w:rsidRPr="00606C27">
        <w:rPr>
          <w:lang w:val="fr-CA"/>
        </w:rPr>
        <w:t xml:space="preserve"> loi nuira à un droit qu’elles revendiquent</w:t>
      </w:r>
      <w:r w:rsidR="00671007" w:rsidRPr="00606C27">
        <w:rPr>
          <w:lang w:val="fr-CA"/>
        </w:rPr>
        <w:t xml:space="preserve"> peuvent invoquer l’obligation de consulter reconnu</w:t>
      </w:r>
      <w:r w:rsidR="00F31394" w:rsidRPr="00606C27">
        <w:rPr>
          <w:lang w:val="fr-CA"/>
        </w:rPr>
        <w:t>e</w:t>
      </w:r>
      <w:r w:rsidR="00671007" w:rsidRPr="00606C27">
        <w:rPr>
          <w:lang w:val="fr-CA"/>
        </w:rPr>
        <w:t xml:space="preserve"> pour la première fois dans l’arrêt </w:t>
      </w:r>
      <w:r w:rsidR="00CE2F59" w:rsidRPr="00606C27">
        <w:rPr>
          <w:i/>
          <w:szCs w:val="24"/>
          <w:lang w:val="fr-CA"/>
        </w:rPr>
        <w:t>Nation haïda c. Colombie</w:t>
      </w:r>
      <w:r w:rsidR="00CE2F59" w:rsidRPr="00606C27">
        <w:rPr>
          <w:i/>
          <w:szCs w:val="24"/>
          <w:lang w:val="fr-CA"/>
        </w:rPr>
        <w:noBreakHyphen/>
        <w:t>Britannique (Ministre des Forêts)</w:t>
      </w:r>
      <w:r w:rsidR="00CE2F59" w:rsidRPr="00606C27">
        <w:rPr>
          <w:szCs w:val="24"/>
          <w:lang w:val="fr-CA"/>
        </w:rPr>
        <w:t>, 2004 CSC 73, [2004] 3 R.C.S. 511</w:t>
      </w:r>
      <w:r w:rsidR="00671007" w:rsidRPr="00606C27">
        <w:rPr>
          <w:szCs w:val="24"/>
          <w:lang w:val="fr-CA"/>
        </w:rPr>
        <w:t xml:space="preserve">. </w:t>
      </w:r>
      <w:r w:rsidR="00671007" w:rsidRPr="00606C27">
        <w:rPr>
          <w:lang w:val="fr-CA"/>
        </w:rPr>
        <w:t>Lorsque survien</w:t>
      </w:r>
      <w:r w:rsidR="00032411" w:rsidRPr="00606C27">
        <w:rPr>
          <w:lang w:val="fr-CA"/>
        </w:rPr>
        <w:t xml:space="preserve">nent de nouvelles situations où </w:t>
      </w:r>
      <w:r w:rsidR="00671007" w:rsidRPr="00606C27">
        <w:rPr>
          <w:lang w:val="fr-CA"/>
        </w:rPr>
        <w:t>il faut adapter ou étendre la jurisprudence existante, les tribunaux constituent un moyen de faire évoluer le droit</w:t>
      </w:r>
      <w:r w:rsidR="00C4301F" w:rsidRPr="00606C27">
        <w:rPr>
          <w:lang w:val="fr-CA"/>
        </w:rPr>
        <w:t xml:space="preserve"> </w:t>
      </w:r>
      <w:r w:rsidR="00C4301F" w:rsidRPr="00606C27">
        <w:rPr>
          <w:lang w:val="fr-CA"/>
        </w:rPr>
        <w:lastRenderedPageBreak/>
        <w:t>davantage</w:t>
      </w:r>
      <w:r w:rsidR="00671007" w:rsidRPr="00606C27">
        <w:rPr>
          <w:lang w:val="fr-CA"/>
        </w:rPr>
        <w:t>.</w:t>
      </w:r>
      <w:r w:rsidR="00C4301F" w:rsidRPr="00606C27">
        <w:rPr>
          <w:lang w:val="fr-CA"/>
        </w:rPr>
        <w:t xml:space="preserve"> Le besoin de le faire n’a toutefois pas été démontré au vu des faits de l’espèce. </w:t>
      </w:r>
      <w:r w:rsidR="00C4301F" w:rsidRPr="00606C27">
        <w:rPr>
          <w:szCs w:val="24"/>
          <w:lang w:val="fr-CA"/>
        </w:rPr>
        <w:t>La jurisprudence actuelle prévoit la protection et la défense des droits ancestraux tout en assurant le respect des principes constitutionnels de la souveraineté parlementaire et de la séparation des pouvoirs.</w:t>
      </w:r>
    </w:p>
    <w:p w:rsidR="004153AC" w:rsidRPr="00606C27" w:rsidRDefault="004153AC" w:rsidP="004153AC">
      <w:pPr>
        <w:pStyle w:val="SCCNormalDoubleSpacing"/>
        <w:spacing w:before="480" w:after="480"/>
        <w:rPr>
          <w:szCs w:val="24"/>
          <w:lang w:val="fr-CA"/>
        </w:rPr>
      </w:pPr>
      <w:r w:rsidRPr="00606C27">
        <w:rPr>
          <w:szCs w:val="24"/>
          <w:lang w:val="fr-CA"/>
        </w:rPr>
        <w:tab/>
        <w:t>Qui plus est, s</w:t>
      </w:r>
      <w:r w:rsidRPr="00606C27">
        <w:rPr>
          <w:lang w:val="fr-CA"/>
        </w:rPr>
        <w:t xml:space="preserve">i l’on reconnaissait l’existence d’une obligation constitutionnelle de consulter les peuples autochtones durant le processus de l’élaboration des projets de loi, cela perturberait grandement l’exécution de ce travail. </w:t>
      </w:r>
      <w:r w:rsidRPr="00606C27">
        <w:rPr>
          <w:szCs w:val="24"/>
          <w:lang w:val="fr-CA"/>
        </w:rPr>
        <w:t xml:space="preserve">L’élaboration des projets de loi n’est pas un processus simple. </w:t>
      </w:r>
      <w:r w:rsidR="00F31394" w:rsidRPr="00606C27">
        <w:rPr>
          <w:szCs w:val="24"/>
          <w:lang w:val="fr-CA"/>
        </w:rPr>
        <w:t>Il s’agit</w:t>
      </w:r>
      <w:r w:rsidRPr="00606C27">
        <w:rPr>
          <w:szCs w:val="24"/>
          <w:lang w:val="fr-CA"/>
        </w:rPr>
        <w:t xml:space="preserve"> plutôt</w:t>
      </w:r>
      <w:r w:rsidR="00F31394" w:rsidRPr="00606C27">
        <w:rPr>
          <w:szCs w:val="24"/>
          <w:lang w:val="fr-CA"/>
        </w:rPr>
        <w:t xml:space="preserve"> d’</w:t>
      </w:r>
      <w:r w:rsidRPr="00606C27">
        <w:rPr>
          <w:szCs w:val="24"/>
          <w:lang w:val="fr-CA"/>
        </w:rPr>
        <w:t>un processus fort complexe qui mobilise de nombreux acteurs au sein du gouvernement. L’imposition de l’obligation de consulter à ce stade pourrait en fait paralyser le fonctionnement interne au quotidien du gouvernement. Ce qui est aujourd’hui complexe et difficile risquerait de devenir interminable et dysfonctionnel.</w:t>
      </w:r>
    </w:p>
    <w:p w:rsidR="009D4D1D" w:rsidRPr="00606C27" w:rsidRDefault="00434582" w:rsidP="00416089">
      <w:pPr>
        <w:pStyle w:val="SCCNormalDoubleSpacing"/>
        <w:spacing w:before="480" w:after="480"/>
        <w:rPr>
          <w:lang w:val="fr-CA"/>
        </w:rPr>
      </w:pPr>
      <w:r w:rsidRPr="00606C27">
        <w:rPr>
          <w:szCs w:val="24"/>
          <w:lang w:val="fr-CA"/>
        </w:rPr>
        <w:tab/>
        <w:t xml:space="preserve">Enfin, </w:t>
      </w:r>
      <w:r w:rsidR="001B4FC1" w:rsidRPr="00606C27">
        <w:rPr>
          <w:szCs w:val="24"/>
          <w:lang w:val="fr-CA"/>
        </w:rPr>
        <w:t xml:space="preserve">reconnaître l’existence d’une obligation de consulter pendant le processus législatif aurait </w:t>
      </w:r>
      <w:r w:rsidRPr="00606C27">
        <w:rPr>
          <w:szCs w:val="24"/>
          <w:lang w:val="fr-CA"/>
        </w:rPr>
        <w:t xml:space="preserve">une autre conséquence </w:t>
      </w:r>
      <w:r w:rsidR="001B4FC1" w:rsidRPr="00606C27">
        <w:rPr>
          <w:szCs w:val="24"/>
          <w:lang w:val="fr-CA"/>
        </w:rPr>
        <w:t>série</w:t>
      </w:r>
      <w:r w:rsidRPr="00606C27">
        <w:rPr>
          <w:szCs w:val="24"/>
          <w:lang w:val="fr-CA"/>
        </w:rPr>
        <w:t>use</w:t>
      </w:r>
      <w:r w:rsidR="001B4FC1" w:rsidRPr="00606C27">
        <w:rPr>
          <w:szCs w:val="24"/>
          <w:lang w:val="fr-CA"/>
        </w:rPr>
        <w:t xml:space="preserve"> : les tribunaux seraient appelés à intervenir pour superviser les interactions entre les parties autochtones et les responsables de l’élaboration des projets de loi soumis à l’examen du Parlement et des législatures provinciales. Si une obligation de consulter durant le processus législatif devait être imposée, </w:t>
      </w:r>
      <w:r w:rsidR="006E2F82" w:rsidRPr="00606C27">
        <w:rPr>
          <w:szCs w:val="24"/>
          <w:lang w:val="fr-CA"/>
        </w:rPr>
        <w:t>des différends se soulèveraient quant à la façon de s’acquitter de cette obligation</w:t>
      </w:r>
      <w:r w:rsidR="001B4FC1" w:rsidRPr="00606C27">
        <w:rPr>
          <w:szCs w:val="24"/>
          <w:lang w:val="fr-CA"/>
        </w:rPr>
        <w:t xml:space="preserve">. </w:t>
      </w:r>
      <w:r w:rsidR="001B4FC1" w:rsidRPr="00606C27">
        <w:rPr>
          <w:lang w:val="fr-CA"/>
        </w:rPr>
        <w:t>Les parties concernées s’adresseraient inévitablement aux tribunaux, qui serai</w:t>
      </w:r>
      <w:r w:rsidR="00F31394" w:rsidRPr="00606C27">
        <w:rPr>
          <w:lang w:val="fr-CA"/>
        </w:rPr>
        <w:t>en</w:t>
      </w:r>
      <w:r w:rsidR="001B4FC1" w:rsidRPr="00606C27">
        <w:rPr>
          <w:lang w:val="fr-CA"/>
        </w:rPr>
        <w:t xml:space="preserve">t appelés à surveiller l’exécution d’une obligation de consulter durant l’élaboration des projets de loi. </w:t>
      </w:r>
      <w:r w:rsidR="001B4FC1" w:rsidRPr="00606C27">
        <w:rPr>
          <w:szCs w:val="24"/>
          <w:lang w:val="fr-CA"/>
        </w:rPr>
        <w:t xml:space="preserve">Les tribunaux sont mal outillés pour traiter des </w:t>
      </w:r>
      <w:r w:rsidR="001B4FC1" w:rsidRPr="00606C27">
        <w:rPr>
          <w:szCs w:val="24"/>
          <w:lang w:val="fr-CA"/>
        </w:rPr>
        <w:lastRenderedPageBreak/>
        <w:t xml:space="preserve">considérations procédurales complexes associées au processus législatif. </w:t>
      </w:r>
      <w:r w:rsidR="001B4FC1" w:rsidRPr="00606C27">
        <w:rPr>
          <w:lang w:val="fr-CA"/>
        </w:rPr>
        <w:t xml:space="preserve">Si </w:t>
      </w:r>
      <w:r w:rsidR="00F31394" w:rsidRPr="00606C27">
        <w:rPr>
          <w:lang w:val="fr-CA"/>
        </w:rPr>
        <w:t>un</w:t>
      </w:r>
      <w:r w:rsidR="001B4FC1" w:rsidRPr="00606C27">
        <w:rPr>
          <w:lang w:val="fr-CA"/>
        </w:rPr>
        <w:t xml:space="preserve"> législat</w:t>
      </w:r>
      <w:r w:rsidR="00F31394" w:rsidRPr="00606C27">
        <w:rPr>
          <w:lang w:val="fr-CA"/>
        </w:rPr>
        <w:t>e</w:t>
      </w:r>
      <w:r w:rsidR="001B4FC1" w:rsidRPr="00606C27">
        <w:rPr>
          <w:lang w:val="fr-CA"/>
        </w:rPr>
        <w:t>ur décidait de prendre part à une consultation avec des peuples autochtones, le stade auquel se tiendrait cette consultation relèverait de son pouvoir discrétionnaire. L’intervention des tribunaux à l’égard de l’exercice d</w:t>
      </w:r>
      <w:r w:rsidR="005F4D2F" w:rsidRPr="00606C27">
        <w:rPr>
          <w:lang w:val="fr-CA"/>
        </w:rPr>
        <w:t>e</w:t>
      </w:r>
      <w:r w:rsidR="001B4FC1" w:rsidRPr="00606C27">
        <w:rPr>
          <w:lang w:val="fr-CA"/>
        </w:rPr>
        <w:t xml:space="preserve"> ce pouvoir discrétionnaire contreviendrait au principe de la séparation des pouvoirs.</w:t>
      </w:r>
      <w:r w:rsidR="005F4D2F" w:rsidRPr="00606C27">
        <w:rPr>
          <w:lang w:val="fr-CA"/>
        </w:rPr>
        <w:t xml:space="preserve"> Amener les tribunaux à encadrer l’exercice par le Parlement et les législatures de leurs pouvoirs et privilèges transformerait de fond en comble le système de gouvernement au Canada.</w:t>
      </w:r>
    </w:p>
    <w:p w:rsidR="004D7D95" w:rsidRPr="00606C27" w:rsidRDefault="004D7D95" w:rsidP="009D4D1D">
      <w:pPr>
        <w:pStyle w:val="SCCNormalDoubleSpacing"/>
        <w:spacing w:before="480" w:after="480"/>
        <w:rPr>
          <w:lang w:val="fr-CA"/>
        </w:rPr>
      </w:pPr>
      <w:r w:rsidRPr="00606C27">
        <w:rPr>
          <w:b/>
          <w:lang w:val="fr-CA"/>
        </w:rPr>
        <w:t>Jurisprudence</w:t>
      </w:r>
    </w:p>
    <w:p w:rsidR="00E75095" w:rsidRPr="00606C27" w:rsidRDefault="00E75095" w:rsidP="00E75095">
      <w:pPr>
        <w:pStyle w:val="SCCNormalDoubleSpacing"/>
        <w:widowControl w:val="0"/>
        <w:spacing w:after="720" w:line="240" w:lineRule="auto"/>
        <w:rPr>
          <w:lang w:val="fr-CA"/>
        </w:rPr>
      </w:pPr>
      <w:r w:rsidRPr="00606C27">
        <w:rPr>
          <w:lang w:val="fr-CA"/>
        </w:rPr>
        <w:t>Citée par la juge Karakatsanis</w:t>
      </w:r>
    </w:p>
    <w:p w:rsidR="00E75095" w:rsidRPr="00606C27" w:rsidRDefault="00E75095" w:rsidP="00E75095">
      <w:pPr>
        <w:pStyle w:val="SCCNormalDoubleSpacing"/>
        <w:spacing w:after="480"/>
        <w:rPr>
          <w:b/>
          <w:lang w:val="fr-CA"/>
        </w:rPr>
      </w:pPr>
      <w:r w:rsidRPr="00606C27">
        <w:rPr>
          <w:lang w:val="fr-CA"/>
        </w:rPr>
        <w:tab/>
      </w:r>
      <w:r w:rsidRPr="00606C27">
        <w:rPr>
          <w:b/>
          <w:lang w:val="fr-CA"/>
        </w:rPr>
        <w:t>Arrêts mentionnés :</w:t>
      </w:r>
      <w:r w:rsidRPr="00606C27">
        <w:rPr>
          <w:lang w:val="fr-CA"/>
        </w:rPr>
        <w:t xml:space="preserve"> </w:t>
      </w:r>
      <w:r w:rsidRPr="00606C27">
        <w:rPr>
          <w:i/>
          <w:lang w:val="fr-CA"/>
        </w:rPr>
        <w:t>Nation haïda c. Colombie</w:t>
      </w:r>
      <w:r w:rsidRPr="00606C27">
        <w:rPr>
          <w:i/>
          <w:lang w:val="fr-CA"/>
        </w:rPr>
        <w:noBreakHyphen/>
        <w:t>Britannique (Ministre des Forêts)</w:t>
      </w:r>
      <w:r w:rsidRPr="00606C27">
        <w:rPr>
          <w:lang w:val="fr-CA"/>
        </w:rPr>
        <w:t xml:space="preserve">, 2004 CSC 73, [2004] 3 R.C.S. 511; </w:t>
      </w:r>
      <w:r w:rsidRPr="00606C27">
        <w:rPr>
          <w:i/>
          <w:lang w:val="fr-CA"/>
        </w:rPr>
        <w:t>Windsor (City) c. Canadian Transit Co.</w:t>
      </w:r>
      <w:r w:rsidRPr="00606C27">
        <w:rPr>
          <w:lang w:val="fr-CA"/>
        </w:rPr>
        <w:t xml:space="preserve">, 2016 CSC 54, [2016] 2 R.C.S. 617; </w:t>
      </w:r>
      <w:r w:rsidRPr="00606C27">
        <w:rPr>
          <w:i/>
          <w:lang w:val="fr-CA"/>
        </w:rPr>
        <w:t>Fédération Franco</w:t>
      </w:r>
      <w:r w:rsidRPr="00606C27">
        <w:rPr>
          <w:i/>
          <w:lang w:val="fr-CA"/>
        </w:rPr>
        <w:noBreakHyphen/>
        <w:t>ténoise c. Canada</w:t>
      </w:r>
      <w:r w:rsidRPr="00606C27">
        <w:rPr>
          <w:lang w:val="fr-CA"/>
        </w:rPr>
        <w:t xml:space="preserve">, 2001 CAF 220, [2001] 3 C.F. 641; </w:t>
      </w:r>
      <w:r w:rsidRPr="00606C27">
        <w:rPr>
          <w:i/>
          <w:lang w:val="fr-CA"/>
        </w:rPr>
        <w:t>Strickland c. Canada (Procureur général)</w:t>
      </w:r>
      <w:r w:rsidRPr="00606C27">
        <w:rPr>
          <w:lang w:val="fr-CA"/>
        </w:rPr>
        <w:t xml:space="preserve">, 2015 CSC 37, [2015] 2 R.C.S. 713; </w:t>
      </w:r>
      <w:r w:rsidRPr="00606C27">
        <w:rPr>
          <w:i/>
          <w:lang w:val="fr-CA"/>
        </w:rPr>
        <w:t>Shade c. Canada (Procureur général)</w:t>
      </w:r>
      <w:r w:rsidRPr="00606C27">
        <w:rPr>
          <w:lang w:val="fr-CA"/>
        </w:rPr>
        <w:t xml:space="preserve">, 2003 CFPI 327; </w:t>
      </w:r>
      <w:r w:rsidRPr="00606C27">
        <w:rPr>
          <w:i/>
          <w:lang w:val="fr-CA"/>
        </w:rPr>
        <w:t>Manitoba Metis Federation Inc. c. Canada (Procureur général)</w:t>
      </w:r>
      <w:r w:rsidRPr="00606C27">
        <w:rPr>
          <w:lang w:val="fr-CA"/>
        </w:rPr>
        <w:t xml:space="preserve">, 2013 CSC 14, [2013] 1 R.C.S. 623; </w:t>
      </w:r>
      <w:r w:rsidRPr="00606C27">
        <w:rPr>
          <w:i/>
          <w:lang w:val="fr-CA"/>
        </w:rPr>
        <w:t>Première nation Tlingit de Taku River c. Colombie</w:t>
      </w:r>
      <w:r w:rsidRPr="00606C27">
        <w:rPr>
          <w:i/>
          <w:lang w:val="fr-CA"/>
        </w:rPr>
        <w:noBreakHyphen/>
        <w:t>Britannique (Directeur d’évaluation de projet)</w:t>
      </w:r>
      <w:r w:rsidRPr="00606C27">
        <w:rPr>
          <w:lang w:val="fr-CA"/>
        </w:rPr>
        <w:t xml:space="preserve">, 2004 CSC 74, [2004] 3 R.C.S. 550; </w:t>
      </w:r>
      <w:r w:rsidRPr="00606C27">
        <w:rPr>
          <w:i/>
          <w:lang w:val="fr-CA"/>
        </w:rPr>
        <w:t>R. c. Badger</w:t>
      </w:r>
      <w:r w:rsidRPr="00606C27">
        <w:rPr>
          <w:lang w:val="fr-CA"/>
        </w:rPr>
        <w:t xml:space="preserve">, [1996] 1 R.C.S. 771; </w:t>
      </w:r>
      <w:r w:rsidRPr="00606C27">
        <w:rPr>
          <w:i/>
          <w:lang w:val="fr-CA"/>
        </w:rPr>
        <w:t>R. c. Sparrow</w:t>
      </w:r>
      <w:r w:rsidRPr="00606C27">
        <w:rPr>
          <w:lang w:val="fr-CA"/>
        </w:rPr>
        <w:t xml:space="preserve">, [1990] 1 R.C.S. 1075; </w:t>
      </w:r>
      <w:r w:rsidRPr="00606C27">
        <w:rPr>
          <w:i/>
          <w:lang w:val="fr-CA"/>
        </w:rPr>
        <w:t>R. c. Van der Peet</w:t>
      </w:r>
      <w:r w:rsidRPr="00606C27">
        <w:rPr>
          <w:lang w:val="fr-CA"/>
        </w:rPr>
        <w:t xml:space="preserve">, [1996] 2 R.C.S. 507; </w:t>
      </w:r>
      <w:r w:rsidRPr="00606C27">
        <w:rPr>
          <w:i/>
          <w:lang w:val="fr-CA"/>
        </w:rPr>
        <w:t>Beckman c. Première nation de Little Salmon/Carmacks</w:t>
      </w:r>
      <w:r w:rsidRPr="00606C27">
        <w:rPr>
          <w:lang w:val="fr-CA"/>
        </w:rPr>
        <w:t xml:space="preserve">, 2010 CSC 53, [2010] 3 R.C.S. 103; </w:t>
      </w:r>
      <w:r w:rsidRPr="00606C27">
        <w:rPr>
          <w:i/>
          <w:lang w:val="fr-CA"/>
        </w:rPr>
        <w:t>Rio Tinto Alcan Inc. c. Conseil tribal Carrier Sekani</w:t>
      </w:r>
      <w:r w:rsidRPr="00606C27">
        <w:rPr>
          <w:lang w:val="fr-CA"/>
        </w:rPr>
        <w:t xml:space="preserve">, 2010 CSC 43, [2010] 2 R.C.S. 650; </w:t>
      </w:r>
      <w:r w:rsidRPr="00606C27">
        <w:rPr>
          <w:i/>
          <w:lang w:val="fr-CA"/>
        </w:rPr>
        <w:t xml:space="preserve">Première nation crie Mikisew c. Canada (Ministre du Patrimoine </w:t>
      </w:r>
      <w:r w:rsidRPr="00606C27">
        <w:rPr>
          <w:i/>
          <w:lang w:val="fr-CA"/>
        </w:rPr>
        <w:lastRenderedPageBreak/>
        <w:t>canadien)</w:t>
      </w:r>
      <w:r w:rsidRPr="00606C27">
        <w:rPr>
          <w:lang w:val="fr-CA"/>
        </w:rPr>
        <w:t xml:space="preserve">, 2005 CSC 69, [2005] 3 R.C.S. 388; </w:t>
      </w:r>
      <w:r w:rsidRPr="00606C27">
        <w:rPr>
          <w:i/>
          <w:lang w:val="fr-CA"/>
        </w:rPr>
        <w:t>Clyde River (Hameau) c. Petroleum Geo</w:t>
      </w:r>
      <w:r w:rsidRPr="00606C27">
        <w:rPr>
          <w:i/>
          <w:lang w:val="fr-CA"/>
        </w:rPr>
        <w:noBreakHyphen/>
        <w:t>Services Inc.</w:t>
      </w:r>
      <w:r w:rsidRPr="00606C27">
        <w:rPr>
          <w:lang w:val="fr-CA"/>
        </w:rPr>
        <w:t xml:space="preserve">, 2017 CSC 40, [2017] 1 R.C.S. 1069; </w:t>
      </w:r>
      <w:r w:rsidRPr="00606C27">
        <w:rPr>
          <w:i/>
          <w:lang w:val="fr-CA"/>
        </w:rPr>
        <w:t>R. c. Marshall</w:t>
      </w:r>
      <w:r w:rsidRPr="00606C27">
        <w:rPr>
          <w:lang w:val="fr-CA"/>
        </w:rPr>
        <w:t xml:space="preserve">, [1999] 3 R.C.S. 456; </w:t>
      </w:r>
      <w:r w:rsidRPr="00606C27">
        <w:rPr>
          <w:i/>
          <w:lang w:val="fr-CA"/>
        </w:rPr>
        <w:t>Renvoi relatif au Régime d’assistance publique du Canada (C.</w:t>
      </w:r>
      <w:r w:rsidRPr="00606C27">
        <w:rPr>
          <w:i/>
          <w:lang w:val="fr-CA"/>
        </w:rPr>
        <w:noBreakHyphen/>
        <w:t>B.)</w:t>
      </w:r>
      <w:r w:rsidRPr="00606C27">
        <w:rPr>
          <w:lang w:val="fr-CA"/>
        </w:rPr>
        <w:t xml:space="preserve">, [1991] 2 R.C.S. 525; </w:t>
      </w:r>
      <w:r w:rsidRPr="00606C27">
        <w:rPr>
          <w:i/>
          <w:lang w:val="fr-CA"/>
        </w:rPr>
        <w:t>Renvoi : Résolution pour modifier la Constitution</w:t>
      </w:r>
      <w:r w:rsidRPr="00606C27">
        <w:rPr>
          <w:lang w:val="fr-CA"/>
        </w:rPr>
        <w:t xml:space="preserve">, [1981] 1 R.C.S. 753; </w:t>
      </w:r>
      <w:r w:rsidRPr="00606C27">
        <w:rPr>
          <w:i/>
          <w:lang w:val="fr-CA"/>
        </w:rPr>
        <w:t>Wells c. Terre</w:t>
      </w:r>
      <w:r w:rsidRPr="00606C27">
        <w:rPr>
          <w:i/>
          <w:lang w:val="fr-CA"/>
        </w:rPr>
        <w:noBreakHyphen/>
        <w:t>Neuve</w:t>
      </w:r>
      <w:r w:rsidRPr="00606C27">
        <w:rPr>
          <w:lang w:val="fr-CA"/>
        </w:rPr>
        <w:t xml:space="preserve">, [1999] 3 R.C.S. 199; </w:t>
      </w:r>
      <w:r w:rsidRPr="00606C27">
        <w:rPr>
          <w:i/>
          <w:lang w:val="fr-CA"/>
        </w:rPr>
        <w:t>Ontario c. Criminal Lawyers’ Association of Ontario</w:t>
      </w:r>
      <w:r w:rsidRPr="00606C27">
        <w:rPr>
          <w:lang w:val="fr-CA"/>
        </w:rPr>
        <w:t xml:space="preserve">, 2013 CSC 43, [2013] 3 R.C.S. 3; </w:t>
      </w:r>
      <w:r w:rsidRPr="00606C27">
        <w:rPr>
          <w:i/>
          <w:lang w:val="fr-CA"/>
        </w:rPr>
        <w:t>Canada (Chambre des communes) c. Vaid</w:t>
      </w:r>
      <w:r w:rsidRPr="00606C27">
        <w:rPr>
          <w:lang w:val="fr-CA"/>
        </w:rPr>
        <w:t xml:space="preserve">, 2005 CSC 30, [2005] 1 R.C.S. 667; </w:t>
      </w:r>
      <w:r w:rsidRPr="00606C27">
        <w:rPr>
          <w:i/>
          <w:lang w:val="fr-CA"/>
        </w:rPr>
        <w:t>Renvoi relatif à la sécession du Québec</w:t>
      </w:r>
      <w:r w:rsidRPr="00606C27">
        <w:rPr>
          <w:lang w:val="fr-CA"/>
        </w:rPr>
        <w:t xml:space="preserve">, [1998] 2 R.C.S. 217; </w:t>
      </w:r>
      <w:r w:rsidRPr="00606C27">
        <w:rPr>
          <w:i/>
          <w:lang w:val="fr-CA"/>
        </w:rPr>
        <w:t>New Brunswick Broadcasting Co. c. Nouvelle</w:t>
      </w:r>
      <w:r w:rsidRPr="00606C27">
        <w:rPr>
          <w:i/>
          <w:lang w:val="fr-CA"/>
        </w:rPr>
        <w:noBreakHyphen/>
        <w:t>Écosse (Président de l’Assemblée législative)</w:t>
      </w:r>
      <w:r w:rsidRPr="00606C27">
        <w:rPr>
          <w:lang w:val="fr-CA"/>
        </w:rPr>
        <w:t xml:space="preserve">, [1993] 1 R.C.S. 319; </w:t>
      </w:r>
      <w:r w:rsidRPr="00606C27">
        <w:rPr>
          <w:i/>
          <w:lang w:val="fr-CA"/>
        </w:rPr>
        <w:t>Williams Lake Indian Band c. Canada (Affaires autochtones et du Développement du Nord)</w:t>
      </w:r>
      <w:r w:rsidRPr="00606C27">
        <w:rPr>
          <w:lang w:val="fr-CA"/>
        </w:rPr>
        <w:t>, 2018 CSC 4</w:t>
      </w:r>
      <w:r w:rsidR="00994194">
        <w:rPr>
          <w:lang w:val="fr-CA"/>
        </w:rPr>
        <w:t>, [2018] 1 R.C.S. 83</w:t>
      </w:r>
      <w:r w:rsidRPr="00606C27">
        <w:rPr>
          <w:lang w:val="fr-CA"/>
        </w:rPr>
        <w:t xml:space="preserve">; </w:t>
      </w:r>
      <w:r w:rsidRPr="00606C27">
        <w:rPr>
          <w:i/>
          <w:lang w:val="fr-CA"/>
        </w:rPr>
        <w:t>Mitchell c. Bande indienne Peguis</w:t>
      </w:r>
      <w:r w:rsidRPr="00606C27">
        <w:rPr>
          <w:lang w:val="fr-CA"/>
        </w:rPr>
        <w:t xml:space="preserve">, [1990] 2 R.C.S. 85; </w:t>
      </w:r>
      <w:r w:rsidRPr="00606C27">
        <w:rPr>
          <w:i/>
          <w:lang w:val="fr-CA"/>
        </w:rPr>
        <w:t>Ross River Dena Council c. Yukon</w:t>
      </w:r>
      <w:r w:rsidRPr="00606C27">
        <w:rPr>
          <w:lang w:val="fr-CA"/>
        </w:rPr>
        <w:t xml:space="preserve">, 2012 YKCA 14, 358 D.L.R. (4th) 100; </w:t>
      </w:r>
      <w:r w:rsidRPr="00606C27">
        <w:rPr>
          <w:i/>
          <w:lang w:val="fr-CA"/>
        </w:rPr>
        <w:t>Canada (Premier ministre) c. Khadr</w:t>
      </w:r>
      <w:r w:rsidRPr="00606C27">
        <w:rPr>
          <w:lang w:val="fr-CA"/>
        </w:rPr>
        <w:t xml:space="preserve">, 2010 CSC 3, [2010] 1 R.C.S. 44; </w:t>
      </w:r>
      <w:r w:rsidRPr="00606C27">
        <w:rPr>
          <w:i/>
          <w:lang w:val="fr-CA"/>
        </w:rPr>
        <w:t>Nation Tsilhqot’in c. Colombie</w:t>
      </w:r>
      <w:r w:rsidRPr="00606C27">
        <w:rPr>
          <w:i/>
          <w:lang w:val="fr-CA"/>
        </w:rPr>
        <w:noBreakHyphen/>
        <w:t>Britannique</w:t>
      </w:r>
      <w:r w:rsidRPr="00606C27">
        <w:rPr>
          <w:lang w:val="fr-CA"/>
        </w:rPr>
        <w:t xml:space="preserve">, 2014 CSC 44, [2014] 2 R.C.S. 257; </w:t>
      </w:r>
      <w:r w:rsidRPr="00606C27">
        <w:rPr>
          <w:i/>
          <w:lang w:val="fr-CA"/>
        </w:rPr>
        <w:t>Delgamuukw c. Colombie</w:t>
      </w:r>
      <w:r w:rsidRPr="00606C27">
        <w:rPr>
          <w:i/>
          <w:lang w:val="fr-CA"/>
        </w:rPr>
        <w:noBreakHyphen/>
        <w:t>Britannique</w:t>
      </w:r>
      <w:r w:rsidRPr="00606C27">
        <w:rPr>
          <w:lang w:val="fr-CA"/>
        </w:rPr>
        <w:t xml:space="preserve">, [1997] 3 R.C.S. 1010; </w:t>
      </w:r>
      <w:r w:rsidRPr="00606C27">
        <w:rPr>
          <w:i/>
          <w:lang w:val="fr-CA"/>
        </w:rPr>
        <w:t>Doré c. Barreau du Québec</w:t>
      </w:r>
      <w:r w:rsidRPr="00606C27">
        <w:rPr>
          <w:lang w:val="fr-CA"/>
        </w:rPr>
        <w:t xml:space="preserve">, 2012 CSC 12, [2012] 1 R.C.S. 395; </w:t>
      </w:r>
      <w:r w:rsidRPr="00606C27">
        <w:rPr>
          <w:i/>
          <w:lang w:val="fr-CA"/>
        </w:rPr>
        <w:t>R. c. Mercure</w:t>
      </w:r>
      <w:r w:rsidRPr="00606C27">
        <w:rPr>
          <w:lang w:val="fr-CA"/>
        </w:rPr>
        <w:t>, [1988] 1 R.C.S. 234.</w:t>
      </w:r>
    </w:p>
    <w:p w:rsidR="00E75095" w:rsidRPr="00606C27" w:rsidRDefault="00E75095" w:rsidP="00E75095">
      <w:pPr>
        <w:pStyle w:val="SCCNormalDoubleSpacing"/>
        <w:widowControl w:val="0"/>
        <w:spacing w:after="720" w:line="240" w:lineRule="auto"/>
        <w:rPr>
          <w:lang w:val="fr-CA"/>
        </w:rPr>
      </w:pPr>
      <w:r w:rsidRPr="00606C27">
        <w:rPr>
          <w:lang w:val="fr-CA"/>
        </w:rPr>
        <w:t xml:space="preserve">Citée par la juge Abella </w:t>
      </w:r>
    </w:p>
    <w:p w:rsidR="00E75095" w:rsidRPr="00606C27" w:rsidRDefault="00E75095" w:rsidP="00E75095">
      <w:pPr>
        <w:pStyle w:val="SCCNormalDoubleSpacing"/>
        <w:spacing w:after="480"/>
        <w:rPr>
          <w:lang w:val="fr-CA"/>
        </w:rPr>
      </w:pPr>
      <w:r w:rsidRPr="00606C27">
        <w:rPr>
          <w:lang w:val="fr-CA"/>
        </w:rPr>
        <w:tab/>
      </w:r>
      <w:r w:rsidR="00F31394" w:rsidRPr="00606C27">
        <w:rPr>
          <w:b/>
          <w:lang w:val="fr-CA"/>
        </w:rPr>
        <w:t>Arrêts examinés :</w:t>
      </w:r>
      <w:r w:rsidR="00F31394" w:rsidRPr="00606C27">
        <w:rPr>
          <w:lang w:val="fr-CA"/>
        </w:rPr>
        <w:t xml:space="preserve"> </w:t>
      </w:r>
      <w:r w:rsidR="00F31394" w:rsidRPr="00606C27">
        <w:rPr>
          <w:i/>
          <w:lang w:val="fr-CA"/>
        </w:rPr>
        <w:t>Nation haïda c. Colombie</w:t>
      </w:r>
      <w:r w:rsidR="00F31394" w:rsidRPr="00606C27">
        <w:rPr>
          <w:i/>
          <w:lang w:val="fr-CA"/>
        </w:rPr>
        <w:noBreakHyphen/>
        <w:t>Britannique (Ministre des Forêts)</w:t>
      </w:r>
      <w:r w:rsidR="00F31394" w:rsidRPr="00606C27">
        <w:rPr>
          <w:lang w:val="fr-CA"/>
        </w:rPr>
        <w:t xml:space="preserve">, 2004 CSC 73, [2004] 3 R.C.S. 511; </w:t>
      </w:r>
      <w:r w:rsidR="00F31394" w:rsidRPr="00606C27">
        <w:rPr>
          <w:i/>
          <w:lang w:val="fr-CA"/>
        </w:rPr>
        <w:t>Manitoba Metis Federation Inc. c. Canada (Procureur général)</w:t>
      </w:r>
      <w:r w:rsidR="00F31394" w:rsidRPr="00606C27">
        <w:rPr>
          <w:lang w:val="fr-CA"/>
        </w:rPr>
        <w:t xml:space="preserve">, 2013 CSC 14, [2013] 1 R.C.S. 623; </w:t>
      </w:r>
      <w:r w:rsidR="00F31394" w:rsidRPr="00606C27">
        <w:rPr>
          <w:i/>
          <w:lang w:val="fr-CA"/>
        </w:rPr>
        <w:t>R. c. Sparrow</w:t>
      </w:r>
      <w:r w:rsidR="00F31394" w:rsidRPr="00606C27">
        <w:rPr>
          <w:lang w:val="fr-CA"/>
        </w:rPr>
        <w:t xml:space="preserve">, [1990] 1 R.C.S. 1075; </w:t>
      </w:r>
      <w:r w:rsidR="00F31394" w:rsidRPr="00606C27">
        <w:rPr>
          <w:i/>
          <w:lang w:val="fr-CA"/>
        </w:rPr>
        <w:t xml:space="preserve">Première nation crie Mikisew c. Canada (Ministre du Patrimoine </w:t>
      </w:r>
      <w:r w:rsidR="00F31394" w:rsidRPr="00606C27">
        <w:rPr>
          <w:i/>
          <w:lang w:val="fr-CA"/>
        </w:rPr>
        <w:lastRenderedPageBreak/>
        <w:t>canadien)</w:t>
      </w:r>
      <w:r w:rsidR="00F31394" w:rsidRPr="00606C27">
        <w:rPr>
          <w:lang w:val="fr-CA"/>
        </w:rPr>
        <w:t xml:space="preserve">, 2005 CSC 69, [2005] 3 R.C.S. 388; </w:t>
      </w:r>
      <w:r w:rsidR="00F31394" w:rsidRPr="00606C27">
        <w:rPr>
          <w:i/>
          <w:lang w:val="fr-CA"/>
        </w:rPr>
        <w:t>Première nation Tlingit de Taku River c. Colombie</w:t>
      </w:r>
      <w:r w:rsidR="00F31394" w:rsidRPr="00606C27">
        <w:rPr>
          <w:i/>
          <w:lang w:val="fr-CA"/>
        </w:rPr>
        <w:noBreakHyphen/>
        <w:t>Britannique (Directeur d’évaluation de projet)</w:t>
      </w:r>
      <w:r w:rsidR="00F31394" w:rsidRPr="00606C27">
        <w:rPr>
          <w:lang w:val="fr-CA"/>
        </w:rPr>
        <w:t xml:space="preserve">, 2004 CSC 74, [2004] 3 R.C.S. 550; </w:t>
      </w:r>
      <w:r w:rsidR="00F31394" w:rsidRPr="00606C27">
        <w:rPr>
          <w:i/>
          <w:lang w:val="fr-CA"/>
        </w:rPr>
        <w:t>Delgamuukw c. Colombie</w:t>
      </w:r>
      <w:r w:rsidR="00F31394" w:rsidRPr="00606C27">
        <w:rPr>
          <w:i/>
          <w:lang w:val="fr-CA"/>
        </w:rPr>
        <w:noBreakHyphen/>
        <w:t>Britannique</w:t>
      </w:r>
      <w:r w:rsidR="00F31394" w:rsidRPr="00606C27">
        <w:rPr>
          <w:lang w:val="fr-CA"/>
        </w:rPr>
        <w:t xml:space="preserve">, [1997] 3 R.C.S. 1010; </w:t>
      </w:r>
      <w:r w:rsidR="00F31394" w:rsidRPr="00606C27">
        <w:rPr>
          <w:i/>
          <w:lang w:val="fr-CA"/>
        </w:rPr>
        <w:t>Rio Tinto Alcan Inc. c. Conseil tribal Carrier Sekani</w:t>
      </w:r>
      <w:r w:rsidR="00F31394" w:rsidRPr="00606C27">
        <w:rPr>
          <w:lang w:val="fr-CA"/>
        </w:rPr>
        <w:t xml:space="preserve">, 2010 CSC 43, [2010] 2 R.C.S. 650; </w:t>
      </w:r>
      <w:r w:rsidR="00F31394" w:rsidRPr="00606C27">
        <w:rPr>
          <w:i/>
          <w:lang w:val="fr-CA"/>
        </w:rPr>
        <w:t>Clyde River (Hameau) c. Petroleum Geo</w:t>
      </w:r>
      <w:r w:rsidR="00F31394" w:rsidRPr="00606C27">
        <w:rPr>
          <w:i/>
          <w:lang w:val="fr-CA"/>
        </w:rPr>
        <w:noBreakHyphen/>
        <w:t>Services Inc.</w:t>
      </w:r>
      <w:r w:rsidR="00F31394" w:rsidRPr="00606C27">
        <w:rPr>
          <w:lang w:val="fr-CA"/>
        </w:rPr>
        <w:t xml:space="preserve">, 2017 CSC 40, [2017] 1 R.C.S. 1069; </w:t>
      </w:r>
      <w:r w:rsidR="00F31394" w:rsidRPr="00606C27">
        <w:rPr>
          <w:i/>
          <w:lang w:val="fr-CA"/>
        </w:rPr>
        <w:t>Chippewas of the Thames First Nation c. Pipelines Enbridge Inc.</w:t>
      </w:r>
      <w:r w:rsidR="00F31394" w:rsidRPr="00606C27">
        <w:rPr>
          <w:lang w:val="fr-CA"/>
        </w:rPr>
        <w:t xml:space="preserve">, 2017 CSC 41, [2017] 1 R.C.S. 1099; </w:t>
      </w:r>
      <w:r w:rsidR="00F31394" w:rsidRPr="00606C27">
        <w:rPr>
          <w:i/>
          <w:lang w:val="fr-CA"/>
        </w:rPr>
        <w:t>Nation Tsilhqot’in c. Colombie</w:t>
      </w:r>
      <w:r w:rsidR="00F31394" w:rsidRPr="00606C27">
        <w:rPr>
          <w:i/>
          <w:lang w:val="fr-CA"/>
        </w:rPr>
        <w:noBreakHyphen/>
        <w:t>Britannique</w:t>
      </w:r>
      <w:r w:rsidR="00F31394" w:rsidRPr="00606C27">
        <w:rPr>
          <w:lang w:val="fr-CA"/>
        </w:rPr>
        <w:t xml:space="preserve">, 2014 CSC 44, [2014] 2 R.C.S. 257; </w:t>
      </w:r>
      <w:r w:rsidR="00F31394" w:rsidRPr="00606C27">
        <w:rPr>
          <w:i/>
          <w:lang w:val="fr-CA"/>
        </w:rPr>
        <w:t>New Brunswick Broadcasting Co. c. Nouvelle</w:t>
      </w:r>
      <w:r w:rsidR="00F31394" w:rsidRPr="00606C27">
        <w:rPr>
          <w:i/>
          <w:lang w:val="fr-CA"/>
        </w:rPr>
        <w:noBreakHyphen/>
        <w:t>Écosse (Président de l’Assemblée législative)</w:t>
      </w:r>
      <w:r w:rsidR="00F31394" w:rsidRPr="00606C27">
        <w:rPr>
          <w:lang w:val="fr-CA"/>
        </w:rPr>
        <w:t xml:space="preserve">, [1993] 1 R.C.S. 319; </w:t>
      </w:r>
      <w:r w:rsidR="00F31394" w:rsidRPr="00606C27">
        <w:rPr>
          <w:i/>
          <w:lang w:val="fr-CA"/>
        </w:rPr>
        <w:t>Authorson c. Canada (Procureur général)</w:t>
      </w:r>
      <w:r w:rsidR="00F31394" w:rsidRPr="00606C27">
        <w:rPr>
          <w:lang w:val="fr-CA"/>
        </w:rPr>
        <w:t xml:space="preserve">, 2003 CSC 39, [2003] 2 R.C.S. 40; </w:t>
      </w:r>
      <w:r w:rsidR="00AE4DCE" w:rsidRPr="00606C27">
        <w:rPr>
          <w:i/>
          <w:lang w:val="fr-CA"/>
        </w:rPr>
        <w:t>British Columbia Teachers’ Federation c. Colombie</w:t>
      </w:r>
      <w:r w:rsidR="00AE4DCE" w:rsidRPr="00606C27">
        <w:rPr>
          <w:i/>
          <w:lang w:val="fr-CA"/>
        </w:rPr>
        <w:noBreakHyphen/>
        <w:t>Britannique</w:t>
      </w:r>
      <w:r w:rsidR="00AE4DCE" w:rsidRPr="00606C27">
        <w:rPr>
          <w:lang w:val="fr-CA"/>
        </w:rPr>
        <w:t xml:space="preserve">, 2016 CSC 49, [2016] 2 R.C.S. 407, inf. (2015), 71 B.C.L.R. (5th) 223; </w:t>
      </w:r>
      <w:r w:rsidR="00AE4DCE" w:rsidRPr="00606C27">
        <w:rPr>
          <w:b/>
          <w:lang w:val="fr-CA"/>
        </w:rPr>
        <w:t>a</w:t>
      </w:r>
      <w:r w:rsidR="00C041C4" w:rsidRPr="00606C27">
        <w:rPr>
          <w:b/>
          <w:lang w:val="fr-CA"/>
        </w:rPr>
        <w:t>rrêts mentionnés :</w:t>
      </w:r>
      <w:r w:rsidR="00C041C4" w:rsidRPr="00606C27">
        <w:rPr>
          <w:lang w:val="fr-CA"/>
        </w:rPr>
        <w:t xml:space="preserve"> </w:t>
      </w:r>
      <w:r w:rsidRPr="00606C27">
        <w:rPr>
          <w:i/>
          <w:lang w:val="fr-CA"/>
        </w:rPr>
        <w:t>Beckman c. Première nation de Little Salmon/Carmacks</w:t>
      </w:r>
      <w:r w:rsidRPr="00606C27">
        <w:rPr>
          <w:lang w:val="fr-CA"/>
        </w:rPr>
        <w:t xml:space="preserve">, 2010 CSC 53, [2010] 3 R.C.S. 103; </w:t>
      </w:r>
      <w:r w:rsidRPr="00606C27">
        <w:rPr>
          <w:i/>
          <w:lang w:val="fr-CA"/>
        </w:rPr>
        <w:t>R. c. Badger</w:t>
      </w:r>
      <w:r w:rsidRPr="00606C27">
        <w:rPr>
          <w:lang w:val="fr-CA"/>
        </w:rPr>
        <w:t xml:space="preserve">, [1996] 1 R.C.S. 771; </w:t>
      </w:r>
      <w:r w:rsidRPr="00606C27">
        <w:rPr>
          <w:i/>
          <w:lang w:val="fr-CA"/>
        </w:rPr>
        <w:t>Mitchell c. M.R.N.</w:t>
      </w:r>
      <w:r w:rsidRPr="00606C27">
        <w:rPr>
          <w:lang w:val="fr-CA"/>
        </w:rPr>
        <w:t xml:space="preserve">, 2001 CSC 33, [2001] 1 R.C.S. 911; </w:t>
      </w:r>
      <w:r w:rsidRPr="00606C27">
        <w:rPr>
          <w:i/>
          <w:lang w:val="fr-CA"/>
        </w:rPr>
        <w:t>Calder c. Procureur général de la Colombie</w:t>
      </w:r>
      <w:r w:rsidRPr="00606C27">
        <w:rPr>
          <w:i/>
          <w:lang w:val="fr-CA"/>
        </w:rPr>
        <w:noBreakHyphen/>
        <w:t>Britannique</w:t>
      </w:r>
      <w:r w:rsidRPr="00606C27">
        <w:rPr>
          <w:lang w:val="fr-CA"/>
        </w:rPr>
        <w:t xml:space="preserve">, [1973] R.C.S. 313; </w:t>
      </w:r>
      <w:r w:rsidRPr="00606C27">
        <w:rPr>
          <w:i/>
          <w:lang w:val="fr-CA"/>
        </w:rPr>
        <w:t>R. c. Marshall</w:t>
      </w:r>
      <w:r w:rsidRPr="00606C27">
        <w:rPr>
          <w:lang w:val="fr-CA"/>
        </w:rPr>
        <w:t xml:space="preserve">, [1999] 3 R.C.S. 456; </w:t>
      </w:r>
      <w:r w:rsidRPr="00606C27">
        <w:rPr>
          <w:i/>
          <w:lang w:val="fr-CA"/>
        </w:rPr>
        <w:t>R. c. Nikal</w:t>
      </w:r>
      <w:r w:rsidRPr="00606C27">
        <w:rPr>
          <w:lang w:val="fr-CA"/>
        </w:rPr>
        <w:t xml:space="preserve">, [1996] 1 R.C.S. 1013; </w:t>
      </w:r>
      <w:r w:rsidRPr="00606C27">
        <w:rPr>
          <w:i/>
          <w:lang w:val="fr-CA"/>
        </w:rPr>
        <w:t>R. c. Gladstone</w:t>
      </w:r>
      <w:r w:rsidRPr="00606C27">
        <w:rPr>
          <w:lang w:val="fr-CA"/>
        </w:rPr>
        <w:t xml:space="preserve">, [1996] 2 R.C.S. 723; </w:t>
      </w:r>
      <w:r w:rsidRPr="00606C27">
        <w:rPr>
          <w:i/>
          <w:lang w:val="fr-CA"/>
        </w:rPr>
        <w:t>Ontario c. Criminal Lawyers’ Association of Ontario</w:t>
      </w:r>
      <w:r w:rsidRPr="00606C27">
        <w:rPr>
          <w:lang w:val="fr-CA"/>
        </w:rPr>
        <w:t xml:space="preserve">, 2013 CSC 43, [2013] 3 R.C.S. 3; </w:t>
      </w:r>
      <w:r w:rsidRPr="00606C27">
        <w:rPr>
          <w:i/>
          <w:lang w:val="fr-CA"/>
        </w:rPr>
        <w:t>Canada (Chambre des communes) c. Vaid</w:t>
      </w:r>
      <w:r w:rsidRPr="00606C27">
        <w:rPr>
          <w:lang w:val="fr-CA"/>
        </w:rPr>
        <w:t xml:space="preserve">, 2005 CSC 30, [2005] 1 R.C.S. 667; </w:t>
      </w:r>
      <w:r w:rsidRPr="00606C27">
        <w:rPr>
          <w:i/>
          <w:lang w:val="fr-CA"/>
        </w:rPr>
        <w:t>St. Catherine’s Milling and Lumber Co. c. The Queen</w:t>
      </w:r>
      <w:r w:rsidRPr="00606C27">
        <w:rPr>
          <w:lang w:val="fr-CA"/>
        </w:rPr>
        <w:t xml:space="preserve"> (1888), 14 App. Cas. 46; </w:t>
      </w:r>
      <w:r w:rsidRPr="00606C27">
        <w:rPr>
          <w:i/>
          <w:lang w:val="fr-CA"/>
        </w:rPr>
        <w:t>Renvoi : Résolution pour modifier la Constitution</w:t>
      </w:r>
      <w:r w:rsidRPr="00606C27">
        <w:rPr>
          <w:lang w:val="fr-CA"/>
        </w:rPr>
        <w:t xml:space="preserve">, [1981] 1 R.C.S. 753; </w:t>
      </w:r>
      <w:r w:rsidRPr="00606C27">
        <w:rPr>
          <w:i/>
          <w:lang w:val="fr-CA"/>
        </w:rPr>
        <w:t>Renvoi relatif au Régime d’assistance publique du Canada (C.</w:t>
      </w:r>
      <w:r w:rsidRPr="00606C27">
        <w:rPr>
          <w:i/>
          <w:lang w:val="fr-CA"/>
        </w:rPr>
        <w:noBreakHyphen/>
        <w:t>B.)</w:t>
      </w:r>
      <w:r w:rsidRPr="00606C27">
        <w:rPr>
          <w:lang w:val="fr-CA"/>
        </w:rPr>
        <w:t xml:space="preserve">, [1991] 2 R.C.S. 525; </w:t>
      </w:r>
      <w:r w:rsidRPr="00606C27">
        <w:rPr>
          <w:i/>
          <w:lang w:val="fr-CA"/>
        </w:rPr>
        <w:t>Renvoi relatif à la sécession du Québec</w:t>
      </w:r>
      <w:r w:rsidRPr="00606C27">
        <w:rPr>
          <w:lang w:val="fr-CA"/>
        </w:rPr>
        <w:t xml:space="preserve">, [1998] 2 R.C.S. 217; </w:t>
      </w:r>
      <w:r w:rsidRPr="00606C27">
        <w:rPr>
          <w:i/>
          <w:lang w:val="fr-CA"/>
        </w:rPr>
        <w:t>Health Services and Support — Facilities Subsector Bargaining Assn. c. Colombie</w:t>
      </w:r>
      <w:r w:rsidRPr="00606C27">
        <w:rPr>
          <w:i/>
          <w:lang w:val="fr-CA"/>
        </w:rPr>
        <w:noBreakHyphen/>
        <w:t>Britannique</w:t>
      </w:r>
      <w:r w:rsidRPr="00606C27">
        <w:rPr>
          <w:lang w:val="fr-CA"/>
        </w:rPr>
        <w:t xml:space="preserve">, 2007 CSC 27, [2007] </w:t>
      </w:r>
      <w:r w:rsidRPr="00606C27">
        <w:rPr>
          <w:lang w:val="fr-CA"/>
        </w:rPr>
        <w:lastRenderedPageBreak/>
        <w:t xml:space="preserve">2 R.C.S. 391; </w:t>
      </w:r>
      <w:r w:rsidRPr="00606C27">
        <w:rPr>
          <w:i/>
          <w:lang w:val="fr-CA"/>
        </w:rPr>
        <w:t>Saskatchewan Federation of Labour c. Saskatchewan</w:t>
      </w:r>
      <w:r w:rsidRPr="00606C27">
        <w:rPr>
          <w:lang w:val="fr-CA"/>
        </w:rPr>
        <w:t xml:space="preserve">, 2015 CSC 4, [2015] 1 R.C.S. 245; </w:t>
      </w:r>
      <w:r w:rsidRPr="00606C27">
        <w:rPr>
          <w:i/>
          <w:lang w:val="fr-CA"/>
        </w:rPr>
        <w:t>Renvoi :</w:t>
      </w:r>
      <w:r w:rsidR="00475FCC">
        <w:rPr>
          <w:i/>
          <w:lang w:val="fr-CA"/>
        </w:rPr>
        <w:t> </w:t>
      </w:r>
      <w:r w:rsidRPr="00606C27">
        <w:rPr>
          <w:i/>
          <w:lang w:val="fr-CA"/>
        </w:rPr>
        <w:t>Droits linguistiques au Manitoba</w:t>
      </w:r>
      <w:r w:rsidRPr="00606C27">
        <w:rPr>
          <w:lang w:val="fr-CA"/>
        </w:rPr>
        <w:t xml:space="preserve">, [1985] 1 R.C.S. 721; </w:t>
      </w:r>
      <w:r w:rsidRPr="00606C27">
        <w:rPr>
          <w:i/>
          <w:lang w:val="fr-CA"/>
        </w:rPr>
        <w:t>Gallant c. The King</w:t>
      </w:r>
      <w:r w:rsidRPr="00606C27">
        <w:rPr>
          <w:lang w:val="fr-CA"/>
        </w:rPr>
        <w:t xml:space="preserve">, [1949] 2 D.L.R. 425; </w:t>
      </w:r>
      <w:r w:rsidRPr="00606C27">
        <w:rPr>
          <w:i/>
          <w:lang w:val="fr-CA"/>
        </w:rPr>
        <w:t>Canada (Premier ministre) c. Khadr</w:t>
      </w:r>
      <w:r w:rsidRPr="00606C27">
        <w:rPr>
          <w:lang w:val="fr-CA"/>
        </w:rPr>
        <w:t xml:space="preserve">, 2010 CSC 3, [2010] 1 R.C.S. 44; </w:t>
      </w:r>
      <w:r w:rsidRPr="00606C27">
        <w:rPr>
          <w:i/>
          <w:lang w:val="fr-CA"/>
        </w:rPr>
        <w:t xml:space="preserve">Mohawks of the Bay of Quinte c. Ministre des Affaires indiennes et du </w:t>
      </w:r>
      <w:r w:rsidR="00475FCC">
        <w:rPr>
          <w:i/>
          <w:lang w:val="fr-CA"/>
        </w:rPr>
        <w:t>Nord canadien</w:t>
      </w:r>
      <w:r w:rsidRPr="00606C27">
        <w:rPr>
          <w:lang w:val="fr-CA"/>
        </w:rPr>
        <w:t>, 2013 CF 669.</w:t>
      </w:r>
    </w:p>
    <w:p w:rsidR="00E75095" w:rsidRPr="00606C27" w:rsidRDefault="00E75095" w:rsidP="00E75095">
      <w:pPr>
        <w:pStyle w:val="SCCNormalDoubleSpacing"/>
        <w:widowControl w:val="0"/>
        <w:spacing w:after="720" w:line="240" w:lineRule="auto"/>
        <w:rPr>
          <w:lang w:val="fr-CA"/>
        </w:rPr>
      </w:pPr>
      <w:r w:rsidRPr="00606C27">
        <w:rPr>
          <w:lang w:val="fr-CA"/>
        </w:rPr>
        <w:t>Citée par le juge Brown</w:t>
      </w:r>
    </w:p>
    <w:p w:rsidR="00E75095" w:rsidRPr="00606C27" w:rsidRDefault="00E75095" w:rsidP="00E75095">
      <w:pPr>
        <w:pStyle w:val="SCCNormalDoubleSpacing"/>
        <w:spacing w:after="480"/>
        <w:rPr>
          <w:lang w:val="fr-CA"/>
        </w:rPr>
      </w:pPr>
      <w:r w:rsidRPr="00606C27">
        <w:rPr>
          <w:lang w:val="fr-CA"/>
        </w:rPr>
        <w:tab/>
      </w:r>
      <w:r w:rsidR="00AE4DCE" w:rsidRPr="00606C27">
        <w:rPr>
          <w:b/>
          <w:lang w:val="fr-CA"/>
        </w:rPr>
        <w:t>Arrêt examiné :</w:t>
      </w:r>
      <w:r w:rsidR="00AE4DCE" w:rsidRPr="00606C27">
        <w:rPr>
          <w:lang w:val="fr-CA"/>
        </w:rPr>
        <w:t xml:space="preserve"> </w:t>
      </w:r>
      <w:r w:rsidR="00AE4DCE" w:rsidRPr="00606C27">
        <w:rPr>
          <w:i/>
          <w:lang w:val="fr-CA"/>
        </w:rPr>
        <w:t>Nation haïda c. Colombie</w:t>
      </w:r>
      <w:r w:rsidR="00AE4DCE" w:rsidRPr="00606C27">
        <w:rPr>
          <w:i/>
          <w:lang w:val="fr-CA"/>
        </w:rPr>
        <w:noBreakHyphen/>
        <w:t>Britannique (Ministre des Forêts)</w:t>
      </w:r>
      <w:r w:rsidR="00AE4DCE" w:rsidRPr="00606C27">
        <w:rPr>
          <w:lang w:val="fr-CA"/>
        </w:rPr>
        <w:t>, 2004 CSC 73, [2004] 3 R.C.S. 511;</w:t>
      </w:r>
      <w:r w:rsidR="00AE4DCE" w:rsidRPr="00606C27">
        <w:rPr>
          <w:b/>
          <w:lang w:val="fr-CA"/>
        </w:rPr>
        <w:t xml:space="preserve"> a</w:t>
      </w:r>
      <w:r w:rsidRPr="00606C27">
        <w:rPr>
          <w:b/>
          <w:lang w:val="fr-CA"/>
        </w:rPr>
        <w:t>rrêts mentionnés :</w:t>
      </w:r>
      <w:r w:rsidRPr="00606C27">
        <w:rPr>
          <w:lang w:val="fr-CA"/>
        </w:rPr>
        <w:t xml:space="preserve"> </w:t>
      </w:r>
      <w:r w:rsidRPr="00606C27">
        <w:rPr>
          <w:i/>
          <w:lang w:val="fr-CA"/>
        </w:rPr>
        <w:t>Canada (Procureur général) c. TeleZone Inc.</w:t>
      </w:r>
      <w:r w:rsidRPr="00606C27">
        <w:rPr>
          <w:lang w:val="fr-CA"/>
        </w:rPr>
        <w:t xml:space="preserve">, 2010 CSC 62, [2010] 3 R.C.S. 585; </w:t>
      </w:r>
      <w:r w:rsidRPr="00606C27">
        <w:rPr>
          <w:i/>
          <w:lang w:val="fr-CA"/>
        </w:rPr>
        <w:t>ITO —</w:t>
      </w:r>
      <w:r w:rsidRPr="00606C27">
        <w:rPr>
          <w:lang w:val="fr-CA"/>
        </w:rPr>
        <w:t xml:space="preserve"> </w:t>
      </w:r>
      <w:r w:rsidRPr="00606C27">
        <w:rPr>
          <w:i/>
          <w:lang w:val="fr-CA"/>
        </w:rPr>
        <w:t>International Terminal Operators Ltd. c. Miida Electronics Inc.</w:t>
      </w:r>
      <w:r w:rsidRPr="00606C27">
        <w:rPr>
          <w:lang w:val="fr-CA"/>
        </w:rPr>
        <w:t xml:space="preserve">, [1986] 1 R.C.S. 752; </w:t>
      </w:r>
      <w:r w:rsidRPr="00606C27">
        <w:rPr>
          <w:i/>
          <w:lang w:val="fr-CA"/>
        </w:rPr>
        <w:t>Anisman c. Canada (Agence des services frontaliers)</w:t>
      </w:r>
      <w:r w:rsidRPr="00606C27">
        <w:rPr>
          <w:lang w:val="fr-CA"/>
        </w:rPr>
        <w:t xml:space="preserve">, 2010 CAF 52; </w:t>
      </w:r>
      <w:r w:rsidRPr="00606C27">
        <w:rPr>
          <w:i/>
          <w:lang w:val="fr-CA"/>
        </w:rPr>
        <w:t>Air Canada c. Administration portuaire de Toronto</w:t>
      </w:r>
      <w:r w:rsidRPr="00606C27">
        <w:rPr>
          <w:lang w:val="fr-CA"/>
        </w:rPr>
        <w:t xml:space="preserve">, 2011 CAF 347, [2013] 3 R.C.F. 605; </w:t>
      </w:r>
      <w:r w:rsidRPr="00606C27">
        <w:rPr>
          <w:i/>
          <w:lang w:val="fr-CA"/>
        </w:rPr>
        <w:t>Babcock c. Canada (Procureur général)</w:t>
      </w:r>
      <w:r w:rsidRPr="00606C27">
        <w:rPr>
          <w:lang w:val="fr-CA"/>
        </w:rPr>
        <w:t xml:space="preserve">, 2002 CSC 57, [2002] 3 R.C.S. 3; </w:t>
      </w:r>
      <w:r w:rsidRPr="00606C27">
        <w:rPr>
          <w:i/>
          <w:lang w:val="fr-CA"/>
        </w:rPr>
        <w:t>Ontario c. Criminal Lawyers’ Association of Ontario</w:t>
      </w:r>
      <w:r w:rsidRPr="00606C27">
        <w:rPr>
          <w:lang w:val="fr-CA"/>
        </w:rPr>
        <w:t xml:space="preserve">, 2013 CSC 43, [2013] 3 R.C.S. 3; </w:t>
      </w:r>
      <w:r w:rsidRPr="00606C27">
        <w:rPr>
          <w:i/>
          <w:lang w:val="fr-CA"/>
        </w:rPr>
        <w:t>Wells c. Terre</w:t>
      </w:r>
      <w:r w:rsidRPr="00606C27">
        <w:rPr>
          <w:i/>
          <w:lang w:val="fr-CA"/>
        </w:rPr>
        <w:noBreakHyphen/>
        <w:t>Neuve</w:t>
      </w:r>
      <w:r w:rsidRPr="00606C27">
        <w:rPr>
          <w:lang w:val="fr-CA"/>
        </w:rPr>
        <w:t xml:space="preserve">, [1999] 3 R.C.S. 199; </w:t>
      </w:r>
      <w:r w:rsidRPr="00606C27">
        <w:rPr>
          <w:i/>
          <w:lang w:val="fr-CA"/>
        </w:rPr>
        <w:t>Renvoi relatif au Régime d’assistance publique du Canada (C.</w:t>
      </w:r>
      <w:r w:rsidRPr="00606C27">
        <w:rPr>
          <w:i/>
          <w:lang w:val="fr-CA"/>
        </w:rPr>
        <w:noBreakHyphen/>
        <w:t>B.)</w:t>
      </w:r>
      <w:r w:rsidRPr="00606C27">
        <w:rPr>
          <w:lang w:val="fr-CA"/>
        </w:rPr>
        <w:t xml:space="preserve">, [1991] 2 R.C.S. 525; </w:t>
      </w:r>
      <w:r w:rsidRPr="00606C27">
        <w:rPr>
          <w:i/>
          <w:lang w:val="fr-CA"/>
        </w:rPr>
        <w:t>Canada (Chambre des communes) c. Vaid</w:t>
      </w:r>
      <w:r w:rsidRPr="00606C27">
        <w:rPr>
          <w:lang w:val="fr-CA"/>
        </w:rPr>
        <w:t xml:space="preserve">, 2005 CSC 30, [2005] 1 R.C.S. 667; </w:t>
      </w:r>
      <w:r w:rsidRPr="00606C27">
        <w:rPr>
          <w:i/>
          <w:lang w:val="fr-CA"/>
        </w:rPr>
        <w:t>Galati c. Canada (Gouverneur général)</w:t>
      </w:r>
      <w:r w:rsidRPr="00606C27">
        <w:rPr>
          <w:lang w:val="fr-CA"/>
        </w:rPr>
        <w:t xml:space="preserve">, 2015 CF 91, [2015] 4 R.C.F. 3; </w:t>
      </w:r>
      <w:r w:rsidRPr="00606C27">
        <w:rPr>
          <w:i/>
          <w:lang w:val="fr-CA"/>
        </w:rPr>
        <w:t>Renvoi : Droits linguistiques au Manitoba</w:t>
      </w:r>
      <w:r w:rsidRPr="00606C27">
        <w:rPr>
          <w:lang w:val="fr-CA"/>
        </w:rPr>
        <w:t xml:space="preserve">, [1985] 1 R.C.S. 721; </w:t>
      </w:r>
      <w:r w:rsidRPr="00606C27">
        <w:rPr>
          <w:i/>
          <w:lang w:val="fr-CA"/>
        </w:rPr>
        <w:t>Authorson c. Canada (Procureur général)</w:t>
      </w:r>
      <w:r w:rsidRPr="00606C27">
        <w:rPr>
          <w:lang w:val="fr-CA"/>
        </w:rPr>
        <w:t xml:space="preserve">, 2003 CSC 39, [2003] 2 R.C.S. 40; </w:t>
      </w:r>
      <w:r w:rsidRPr="00606C27">
        <w:rPr>
          <w:i/>
          <w:lang w:val="fr-CA"/>
        </w:rPr>
        <w:t>Health Services and Support — Facilities Subsector Bargaining Assn. c. Colombie</w:t>
      </w:r>
      <w:r w:rsidRPr="00606C27">
        <w:rPr>
          <w:i/>
          <w:lang w:val="fr-CA"/>
        </w:rPr>
        <w:noBreakHyphen/>
        <w:t>Britannique</w:t>
      </w:r>
      <w:r w:rsidRPr="00606C27">
        <w:rPr>
          <w:lang w:val="fr-CA"/>
        </w:rPr>
        <w:t xml:space="preserve">, 2007 CSC 27, [2007] 2 R.C.S. 391; </w:t>
      </w:r>
      <w:r w:rsidRPr="00606C27">
        <w:rPr>
          <w:i/>
          <w:lang w:val="fr-CA"/>
        </w:rPr>
        <w:t>R. c. Sparrow</w:t>
      </w:r>
      <w:r w:rsidRPr="00606C27">
        <w:rPr>
          <w:lang w:val="fr-CA"/>
        </w:rPr>
        <w:t xml:space="preserve">, [1990] 1 R.C.S. 1075; </w:t>
      </w:r>
      <w:r w:rsidRPr="00606C27">
        <w:rPr>
          <w:i/>
          <w:lang w:val="fr-CA"/>
        </w:rPr>
        <w:t xml:space="preserve">Nation Tsilhqot’in c. </w:t>
      </w:r>
      <w:r w:rsidRPr="00606C27">
        <w:rPr>
          <w:i/>
          <w:lang w:val="fr-CA"/>
        </w:rPr>
        <w:lastRenderedPageBreak/>
        <w:t>Colombie</w:t>
      </w:r>
      <w:r w:rsidRPr="00606C27">
        <w:rPr>
          <w:i/>
          <w:lang w:val="fr-CA"/>
        </w:rPr>
        <w:noBreakHyphen/>
        <w:t>Britannique</w:t>
      </w:r>
      <w:r w:rsidRPr="00606C27">
        <w:rPr>
          <w:lang w:val="fr-CA"/>
        </w:rPr>
        <w:t xml:space="preserve">, 2014 CSC 44, [2014] 2 R.C.S. 257; </w:t>
      </w:r>
      <w:r w:rsidRPr="00606C27">
        <w:rPr>
          <w:i/>
          <w:lang w:val="fr-CA"/>
        </w:rPr>
        <w:t>Case of Proclamations</w:t>
      </w:r>
      <w:r w:rsidRPr="00606C27">
        <w:rPr>
          <w:lang w:val="fr-CA"/>
        </w:rPr>
        <w:t xml:space="preserve"> (1611), 12 Co. Rep. 74, 77 E.R. 1352; </w:t>
      </w:r>
      <w:r w:rsidRPr="00606C27">
        <w:rPr>
          <w:i/>
          <w:lang w:val="fr-CA"/>
        </w:rPr>
        <w:t>Renvoi relatif à la sécession du Québec</w:t>
      </w:r>
      <w:r w:rsidRPr="00606C27">
        <w:rPr>
          <w:lang w:val="fr-CA"/>
        </w:rPr>
        <w:t xml:space="preserve">, [1998] 2 R.C.S. 217; </w:t>
      </w:r>
      <w:r w:rsidRPr="00606C27">
        <w:rPr>
          <w:i/>
          <w:lang w:val="fr-CA"/>
        </w:rPr>
        <w:t>Renvoi relatif à la rémunération des juges de la Cour provinciale de l’Île</w:t>
      </w:r>
      <w:r w:rsidRPr="00606C27">
        <w:rPr>
          <w:i/>
          <w:lang w:val="fr-CA"/>
        </w:rPr>
        <w:noBreakHyphen/>
        <w:t>du</w:t>
      </w:r>
      <w:r w:rsidRPr="00606C27">
        <w:rPr>
          <w:i/>
          <w:lang w:val="fr-CA"/>
        </w:rPr>
        <w:noBreakHyphen/>
        <w:t>Prince</w:t>
      </w:r>
      <w:r w:rsidRPr="00606C27">
        <w:rPr>
          <w:i/>
          <w:lang w:val="fr-CA"/>
        </w:rPr>
        <w:noBreakHyphen/>
        <w:t>Édouard</w:t>
      </w:r>
      <w:r w:rsidRPr="00606C27">
        <w:rPr>
          <w:lang w:val="fr-CA"/>
        </w:rPr>
        <w:t xml:space="preserve">, [1997] 3 R.C.S. 3; </w:t>
      </w:r>
      <w:r w:rsidRPr="00606C27">
        <w:rPr>
          <w:i/>
          <w:lang w:val="fr-CA"/>
        </w:rPr>
        <w:t>Clyde River (Hameau) c. Petroleum Geo</w:t>
      </w:r>
      <w:r w:rsidRPr="00606C27">
        <w:rPr>
          <w:i/>
          <w:lang w:val="fr-CA"/>
        </w:rPr>
        <w:noBreakHyphen/>
        <w:t>Services Inc.</w:t>
      </w:r>
      <w:r w:rsidRPr="00606C27">
        <w:rPr>
          <w:lang w:val="fr-CA"/>
        </w:rPr>
        <w:t xml:space="preserve">, 2017 CSC 40, [2017] 1 R.C.S. 1069; </w:t>
      </w:r>
      <w:r w:rsidRPr="00606C27">
        <w:rPr>
          <w:i/>
          <w:lang w:val="fr-CA"/>
        </w:rPr>
        <w:t>Fédération Franco</w:t>
      </w:r>
      <w:r w:rsidRPr="00606C27">
        <w:rPr>
          <w:i/>
          <w:lang w:val="fr-CA"/>
        </w:rPr>
        <w:noBreakHyphen/>
        <w:t>ténoise c. Canada</w:t>
      </w:r>
      <w:r w:rsidRPr="00606C27">
        <w:rPr>
          <w:lang w:val="fr-CA"/>
        </w:rPr>
        <w:t xml:space="preserve">, 2001 CAF 220, [2001] 3 C.F. 641; </w:t>
      </w:r>
      <w:r w:rsidRPr="00606C27">
        <w:rPr>
          <w:i/>
          <w:lang w:val="fr-CA"/>
        </w:rPr>
        <w:t xml:space="preserve">Manitoba Metis Federation Inc. </w:t>
      </w:r>
      <w:r w:rsidRPr="00606C27">
        <w:rPr>
          <w:i/>
          <w:iCs/>
          <w:lang w:val="fr-CA"/>
        </w:rPr>
        <w:t>c.</w:t>
      </w:r>
      <w:r w:rsidRPr="00606C27">
        <w:rPr>
          <w:i/>
          <w:lang w:val="fr-CA"/>
        </w:rPr>
        <w:t xml:space="preserve"> Canada (Procureur général)</w:t>
      </w:r>
      <w:r w:rsidRPr="00606C27">
        <w:rPr>
          <w:lang w:val="fr-CA"/>
        </w:rPr>
        <w:t>, 2013 CSC 14, [2013] 1 R.C.S. 623.</w:t>
      </w:r>
    </w:p>
    <w:p w:rsidR="00E75095" w:rsidRPr="00606C27" w:rsidRDefault="00E75095" w:rsidP="00E75095">
      <w:pPr>
        <w:pStyle w:val="SCCNormalDoubleSpacing"/>
        <w:widowControl w:val="0"/>
        <w:spacing w:after="720" w:line="240" w:lineRule="auto"/>
        <w:rPr>
          <w:lang w:val="fr-CA"/>
        </w:rPr>
      </w:pPr>
      <w:r w:rsidRPr="00606C27">
        <w:rPr>
          <w:lang w:val="fr-CA"/>
        </w:rPr>
        <w:t>Citée par le juge Rowe</w:t>
      </w:r>
    </w:p>
    <w:p w:rsidR="00E75095" w:rsidRPr="00606C27" w:rsidRDefault="00E75095" w:rsidP="00E75095">
      <w:pPr>
        <w:pStyle w:val="SCCNormalDoubleSpacing"/>
        <w:spacing w:after="480"/>
        <w:rPr>
          <w:i/>
          <w:lang w:val="fr-CA"/>
        </w:rPr>
      </w:pPr>
      <w:r w:rsidRPr="00606C27">
        <w:rPr>
          <w:lang w:val="fr-CA"/>
        </w:rPr>
        <w:tab/>
      </w:r>
      <w:r w:rsidR="00AE4DCE" w:rsidRPr="00606C27">
        <w:rPr>
          <w:b/>
          <w:lang w:val="fr-CA"/>
        </w:rPr>
        <w:t>Arrêts examinés :</w:t>
      </w:r>
      <w:r w:rsidR="00AE4DCE" w:rsidRPr="00606C27">
        <w:rPr>
          <w:lang w:val="fr-CA"/>
        </w:rPr>
        <w:t xml:space="preserve"> </w:t>
      </w:r>
      <w:r w:rsidR="00AE4DCE" w:rsidRPr="00606C27">
        <w:rPr>
          <w:i/>
          <w:lang w:val="fr-CA"/>
        </w:rPr>
        <w:t>Nation haïda c. Colombie</w:t>
      </w:r>
      <w:r w:rsidR="00AE4DCE" w:rsidRPr="00606C27">
        <w:rPr>
          <w:i/>
          <w:lang w:val="fr-CA"/>
        </w:rPr>
        <w:noBreakHyphen/>
        <w:t>Britannique (Ministre des Forêts)</w:t>
      </w:r>
      <w:r w:rsidR="00AE4DCE" w:rsidRPr="00606C27">
        <w:rPr>
          <w:lang w:val="fr-CA"/>
        </w:rPr>
        <w:t xml:space="preserve">, 2004 CSC 73, [2004] 3 R.C.S. 511; </w:t>
      </w:r>
      <w:r w:rsidR="00AE4DCE" w:rsidRPr="00606C27">
        <w:rPr>
          <w:i/>
          <w:lang w:val="fr-CA"/>
        </w:rPr>
        <w:t xml:space="preserve">Rio Tinto Alcan Inc. </w:t>
      </w:r>
      <w:r w:rsidR="00AE4DCE" w:rsidRPr="00606C27">
        <w:rPr>
          <w:i/>
          <w:iCs/>
          <w:lang w:val="fr-CA"/>
        </w:rPr>
        <w:t>c.</w:t>
      </w:r>
      <w:r w:rsidR="00AE4DCE" w:rsidRPr="00606C27">
        <w:rPr>
          <w:i/>
          <w:lang w:val="fr-CA"/>
        </w:rPr>
        <w:t xml:space="preserve"> Conseil tribal Carrier Sekani</w:t>
      </w:r>
      <w:r w:rsidR="00AE4DCE" w:rsidRPr="00606C27">
        <w:rPr>
          <w:lang w:val="fr-CA"/>
        </w:rPr>
        <w:t xml:space="preserve">, 2010 CSC 43, [2010] 2 R.C.S. 650; </w:t>
      </w:r>
      <w:r w:rsidR="00AE4DCE" w:rsidRPr="00606C27">
        <w:rPr>
          <w:b/>
          <w:lang w:val="fr-CA"/>
        </w:rPr>
        <w:t>a</w:t>
      </w:r>
      <w:r w:rsidRPr="00606C27">
        <w:rPr>
          <w:b/>
          <w:lang w:val="fr-CA"/>
        </w:rPr>
        <w:t xml:space="preserve">rrêts mentionnés : </w:t>
      </w:r>
      <w:r w:rsidRPr="00606C27">
        <w:rPr>
          <w:i/>
          <w:lang w:val="fr-CA"/>
        </w:rPr>
        <w:t>R. c. Sparrow</w:t>
      </w:r>
      <w:r w:rsidRPr="00606C27">
        <w:rPr>
          <w:lang w:val="fr-CA"/>
        </w:rPr>
        <w:t xml:space="preserve">, [1990] 1 R.C.S. 1075; </w:t>
      </w:r>
      <w:r w:rsidRPr="00606C27">
        <w:rPr>
          <w:i/>
          <w:lang w:val="fr-CA"/>
        </w:rPr>
        <w:t>Nation Tsilhqot’in c. Colombie</w:t>
      </w:r>
      <w:r w:rsidRPr="00606C27">
        <w:rPr>
          <w:i/>
          <w:lang w:val="fr-CA"/>
        </w:rPr>
        <w:noBreakHyphen/>
        <w:t>Britannique</w:t>
      </w:r>
      <w:r w:rsidRPr="00606C27">
        <w:rPr>
          <w:lang w:val="fr-CA"/>
        </w:rPr>
        <w:t xml:space="preserve">, 2014 CSC 44, [2014] 2 R.C.S. 257; </w:t>
      </w:r>
      <w:r w:rsidRPr="00606C27">
        <w:rPr>
          <w:bCs/>
          <w:i/>
          <w:szCs w:val="24"/>
          <w:lang w:val="fr-CA"/>
        </w:rPr>
        <w:t xml:space="preserve">Bande indienne des Lax Kw’alaams c. Canada (Procureur </w:t>
      </w:r>
      <w:r w:rsidRPr="00606C27">
        <w:rPr>
          <w:i/>
          <w:lang w:val="fr-CA"/>
        </w:rPr>
        <w:t>général</w:t>
      </w:r>
      <w:r w:rsidRPr="00606C27">
        <w:rPr>
          <w:bCs/>
          <w:i/>
          <w:szCs w:val="24"/>
          <w:lang w:val="fr-CA"/>
        </w:rPr>
        <w:t>)</w:t>
      </w:r>
      <w:r w:rsidRPr="00606C27">
        <w:rPr>
          <w:bCs/>
          <w:szCs w:val="24"/>
          <w:lang w:val="fr-CA"/>
        </w:rPr>
        <w:t xml:space="preserve">, </w:t>
      </w:r>
      <w:r w:rsidRPr="00606C27">
        <w:rPr>
          <w:szCs w:val="24"/>
          <w:lang w:val="fr-CA"/>
        </w:rPr>
        <w:t xml:space="preserve">2011 CSC 56, </w:t>
      </w:r>
      <w:r w:rsidRPr="00606C27">
        <w:rPr>
          <w:lang w:val="fr-CA"/>
        </w:rPr>
        <w:t xml:space="preserve">[2011] 3 R.C.S. 535; </w:t>
      </w:r>
      <w:r w:rsidRPr="00606C27">
        <w:rPr>
          <w:bCs/>
          <w:i/>
          <w:lang w:val="fr-CA"/>
        </w:rPr>
        <w:t>Paul c. Colombie</w:t>
      </w:r>
      <w:r w:rsidRPr="00606C27">
        <w:rPr>
          <w:bCs/>
          <w:i/>
          <w:lang w:val="fr-CA"/>
        </w:rPr>
        <w:noBreakHyphen/>
        <w:t>Britannique (Forest Appeals Commission)</w:t>
      </w:r>
      <w:r w:rsidRPr="00606C27">
        <w:rPr>
          <w:bCs/>
          <w:lang w:val="fr-CA"/>
        </w:rPr>
        <w:t xml:space="preserve">, </w:t>
      </w:r>
      <w:r w:rsidRPr="00606C27">
        <w:rPr>
          <w:lang w:val="fr-CA"/>
        </w:rPr>
        <w:t xml:space="preserve">2003 CSC 55, [2003] 2 R.C.S. 585; </w:t>
      </w:r>
      <w:r w:rsidRPr="00606C27">
        <w:rPr>
          <w:bCs/>
          <w:i/>
          <w:lang w:val="fr-CA"/>
        </w:rPr>
        <w:t>Mitchell c. M.R.N.</w:t>
      </w:r>
      <w:r w:rsidRPr="00606C27">
        <w:rPr>
          <w:bCs/>
          <w:lang w:val="fr-CA"/>
        </w:rPr>
        <w:t>,</w:t>
      </w:r>
      <w:r w:rsidRPr="00606C27">
        <w:rPr>
          <w:bCs/>
          <w:i/>
          <w:lang w:val="fr-CA"/>
        </w:rPr>
        <w:t xml:space="preserve"> </w:t>
      </w:r>
      <w:r w:rsidRPr="00606C27">
        <w:rPr>
          <w:lang w:val="fr-CA"/>
        </w:rPr>
        <w:t xml:space="preserve">2001 CSC 33, [2001] 1 R.C.S. 911; </w:t>
      </w:r>
      <w:r w:rsidRPr="00606C27">
        <w:rPr>
          <w:bCs/>
          <w:i/>
          <w:lang w:val="fr-CA"/>
        </w:rPr>
        <w:t>R. c. Marshall</w:t>
      </w:r>
      <w:r w:rsidRPr="00606C27">
        <w:rPr>
          <w:bCs/>
          <w:lang w:val="fr-CA"/>
        </w:rPr>
        <w:t xml:space="preserve">, </w:t>
      </w:r>
      <w:r w:rsidRPr="00606C27">
        <w:rPr>
          <w:lang w:val="fr-CA"/>
        </w:rPr>
        <w:t xml:space="preserve">[1999] 3 R.C.S. 456; </w:t>
      </w:r>
      <w:r w:rsidRPr="00606C27">
        <w:rPr>
          <w:i/>
          <w:lang w:val="fr-CA"/>
        </w:rPr>
        <w:t>Delgamuukw c. Colombie</w:t>
      </w:r>
      <w:r w:rsidRPr="00606C27">
        <w:rPr>
          <w:i/>
          <w:lang w:val="fr-CA"/>
        </w:rPr>
        <w:noBreakHyphen/>
        <w:t>Britannique,</w:t>
      </w:r>
      <w:r w:rsidRPr="00606C27">
        <w:rPr>
          <w:lang w:val="fr-CA"/>
        </w:rPr>
        <w:t xml:space="preserve"> [1997] 3 R.C.S. 1010; </w:t>
      </w:r>
      <w:r w:rsidRPr="00606C27">
        <w:rPr>
          <w:i/>
          <w:lang w:val="fr-FR"/>
        </w:rPr>
        <w:t xml:space="preserve">Ktunaxa Nation </w:t>
      </w:r>
      <w:r w:rsidRPr="00606C27">
        <w:rPr>
          <w:i/>
          <w:iCs/>
          <w:lang w:val="fr-FR"/>
        </w:rPr>
        <w:t>c.</w:t>
      </w:r>
      <w:r w:rsidRPr="00606C27">
        <w:rPr>
          <w:i/>
          <w:lang w:val="fr-FR"/>
        </w:rPr>
        <w:t xml:space="preserve"> Colombie</w:t>
      </w:r>
      <w:r w:rsidRPr="00606C27">
        <w:rPr>
          <w:i/>
          <w:lang w:val="fr-FR"/>
        </w:rPr>
        <w:noBreakHyphen/>
        <w:t>Britannique (Forests, Lands and Natural Resource Operations</w:t>
      </w:r>
      <w:r w:rsidRPr="002731E1">
        <w:rPr>
          <w:i/>
          <w:lang w:val="fr-FR"/>
        </w:rPr>
        <w:t>)</w:t>
      </w:r>
      <w:r w:rsidRPr="00606C27">
        <w:rPr>
          <w:lang w:val="fr-FR"/>
        </w:rPr>
        <w:t xml:space="preserve">, 2017 CSC 54, [2017] 2 R.C.S. 386; </w:t>
      </w:r>
      <w:r w:rsidRPr="00606C27">
        <w:rPr>
          <w:i/>
          <w:lang w:val="fr-FR"/>
        </w:rPr>
        <w:t xml:space="preserve">Behn </w:t>
      </w:r>
      <w:r w:rsidRPr="00606C27">
        <w:rPr>
          <w:i/>
          <w:iCs/>
          <w:lang w:val="fr-FR"/>
        </w:rPr>
        <w:t>c.</w:t>
      </w:r>
      <w:r w:rsidRPr="00606C27">
        <w:rPr>
          <w:i/>
          <w:lang w:val="fr-FR"/>
        </w:rPr>
        <w:t xml:space="preserve"> Moulton Contracting Ltd.</w:t>
      </w:r>
      <w:r w:rsidRPr="00606C27">
        <w:rPr>
          <w:lang w:val="fr-FR"/>
        </w:rPr>
        <w:t>,</w:t>
      </w:r>
      <w:r w:rsidRPr="00606C27">
        <w:rPr>
          <w:i/>
          <w:lang w:val="fr-FR"/>
        </w:rPr>
        <w:t xml:space="preserve"> </w:t>
      </w:r>
      <w:r w:rsidRPr="00606C27">
        <w:rPr>
          <w:lang w:val="fr-FR"/>
        </w:rPr>
        <w:t xml:space="preserve">2013 CSC 26, [2013] 2 R.C.S. 227; </w:t>
      </w:r>
      <w:r w:rsidRPr="00606C27">
        <w:rPr>
          <w:i/>
          <w:lang w:val="fr-CA"/>
        </w:rPr>
        <w:t>Beckman</w:t>
      </w:r>
      <w:r w:rsidRPr="00606C27">
        <w:rPr>
          <w:b/>
          <w:bCs/>
          <w:i/>
          <w:lang w:val="fr-CA"/>
        </w:rPr>
        <w:t xml:space="preserve"> </w:t>
      </w:r>
      <w:r w:rsidRPr="00606C27">
        <w:rPr>
          <w:i/>
          <w:iCs/>
          <w:lang w:val="fr-CA"/>
        </w:rPr>
        <w:t>c.</w:t>
      </w:r>
      <w:r w:rsidRPr="00606C27">
        <w:rPr>
          <w:i/>
          <w:lang w:val="fr-CA"/>
        </w:rPr>
        <w:t xml:space="preserve"> Première nation de</w:t>
      </w:r>
      <w:r w:rsidRPr="00606C27">
        <w:rPr>
          <w:b/>
          <w:bCs/>
          <w:i/>
          <w:lang w:val="fr-CA"/>
        </w:rPr>
        <w:t xml:space="preserve"> </w:t>
      </w:r>
      <w:r w:rsidRPr="00606C27">
        <w:rPr>
          <w:i/>
          <w:lang w:val="fr-CA"/>
        </w:rPr>
        <w:t>Little Salmon/Carmacks,</w:t>
      </w:r>
      <w:r w:rsidRPr="00606C27">
        <w:rPr>
          <w:lang w:val="fr-CA"/>
        </w:rPr>
        <w:t xml:space="preserve"> 2010 CSC 53, [2010] 3 R.C.S. 103; </w:t>
      </w:r>
      <w:r w:rsidRPr="00606C27">
        <w:rPr>
          <w:i/>
          <w:lang w:val="fr-CA"/>
        </w:rPr>
        <w:t xml:space="preserve">Première nation Tlingit de Taku River </w:t>
      </w:r>
      <w:r w:rsidRPr="00606C27">
        <w:rPr>
          <w:i/>
          <w:iCs/>
          <w:lang w:val="fr-CA"/>
        </w:rPr>
        <w:t>c.</w:t>
      </w:r>
      <w:r w:rsidRPr="00606C27">
        <w:rPr>
          <w:i/>
          <w:lang w:val="fr-CA"/>
        </w:rPr>
        <w:t xml:space="preserve"> Colombie</w:t>
      </w:r>
      <w:r w:rsidRPr="00606C27">
        <w:rPr>
          <w:i/>
          <w:lang w:val="fr-CA"/>
        </w:rPr>
        <w:noBreakHyphen/>
        <w:t xml:space="preserve">Britannique </w:t>
      </w:r>
      <w:r w:rsidRPr="00606C27">
        <w:rPr>
          <w:i/>
          <w:lang w:val="fr-CA"/>
        </w:rPr>
        <w:lastRenderedPageBreak/>
        <w:t>(Directeur d’évaluation de projet)</w:t>
      </w:r>
      <w:r w:rsidRPr="00606C27">
        <w:rPr>
          <w:lang w:val="fr-CA"/>
        </w:rPr>
        <w:t>,</w:t>
      </w:r>
      <w:r w:rsidR="00B52F62" w:rsidRPr="00606C27">
        <w:rPr>
          <w:lang w:val="fr-CA"/>
        </w:rPr>
        <w:t xml:space="preserve"> </w:t>
      </w:r>
      <w:r w:rsidRPr="00606C27">
        <w:rPr>
          <w:lang w:val="fr-CA"/>
        </w:rPr>
        <w:t xml:space="preserve">2004 CSC 74, [2004] 3 R.C.S. 550; </w:t>
      </w:r>
      <w:r w:rsidRPr="00606C27">
        <w:rPr>
          <w:i/>
          <w:lang w:val="fr-CA"/>
        </w:rPr>
        <w:t xml:space="preserve">Manitoba Metis Federation Inc. </w:t>
      </w:r>
      <w:r w:rsidRPr="00606C27">
        <w:rPr>
          <w:i/>
          <w:iCs/>
          <w:lang w:val="fr-CA"/>
        </w:rPr>
        <w:t>c.</w:t>
      </w:r>
      <w:r w:rsidRPr="00606C27">
        <w:rPr>
          <w:i/>
          <w:lang w:val="fr-CA"/>
        </w:rPr>
        <w:t xml:space="preserve"> Canada (Procureur général)</w:t>
      </w:r>
      <w:r w:rsidRPr="00606C27">
        <w:rPr>
          <w:lang w:val="fr-CA"/>
        </w:rPr>
        <w:t xml:space="preserve">, 2013 CSC 14, [2013] 1 R.C.S. 623; </w:t>
      </w:r>
      <w:r w:rsidRPr="00606C27">
        <w:rPr>
          <w:i/>
          <w:lang w:val="fr-FR"/>
        </w:rPr>
        <w:t xml:space="preserve">R. </w:t>
      </w:r>
      <w:r w:rsidRPr="00606C27">
        <w:rPr>
          <w:i/>
          <w:iCs/>
          <w:lang w:val="fr-FR"/>
        </w:rPr>
        <w:t>c</w:t>
      </w:r>
      <w:r w:rsidRPr="00606C27">
        <w:rPr>
          <w:i/>
          <w:lang w:val="fr-FR"/>
        </w:rPr>
        <w:t>. Van der Peet</w:t>
      </w:r>
      <w:r w:rsidRPr="00606C27">
        <w:rPr>
          <w:lang w:val="fr-FR"/>
        </w:rPr>
        <w:t xml:space="preserve">, [1996] 2 R.C.S. 507; </w:t>
      </w:r>
      <w:r w:rsidRPr="00606C27">
        <w:rPr>
          <w:i/>
          <w:lang w:val="fr-CA"/>
        </w:rPr>
        <w:t xml:space="preserve">R. </w:t>
      </w:r>
      <w:r w:rsidRPr="00606C27">
        <w:rPr>
          <w:i/>
          <w:iCs/>
          <w:lang w:val="fr-CA"/>
        </w:rPr>
        <w:t>c</w:t>
      </w:r>
      <w:r w:rsidRPr="00606C27">
        <w:rPr>
          <w:i/>
          <w:lang w:val="fr-CA"/>
        </w:rPr>
        <w:t>. Sappier</w:t>
      </w:r>
      <w:r w:rsidRPr="00606C27">
        <w:rPr>
          <w:lang w:val="fr-CA"/>
        </w:rPr>
        <w:t>,</w:t>
      </w:r>
      <w:r w:rsidRPr="00606C27">
        <w:rPr>
          <w:i/>
          <w:lang w:val="fr-CA"/>
        </w:rPr>
        <w:t xml:space="preserve"> </w:t>
      </w:r>
      <w:r w:rsidRPr="00606C27">
        <w:rPr>
          <w:lang w:val="fr-CA"/>
        </w:rPr>
        <w:t xml:space="preserve">2006 CSC 54, [2006] 2 R.C.S. 686; </w:t>
      </w:r>
      <w:r w:rsidRPr="00606C27">
        <w:rPr>
          <w:i/>
          <w:szCs w:val="24"/>
          <w:lang w:val="fr-CA"/>
        </w:rPr>
        <w:t>R. c. Badger</w:t>
      </w:r>
      <w:r w:rsidRPr="00606C27">
        <w:rPr>
          <w:szCs w:val="24"/>
          <w:lang w:val="fr-CA"/>
        </w:rPr>
        <w:t>, [1996] 1 R.C.S. 771;</w:t>
      </w:r>
      <w:r w:rsidRPr="00606C27">
        <w:rPr>
          <w:i/>
          <w:lang w:val="fr-CA"/>
        </w:rPr>
        <w:t xml:space="preserve"> </w:t>
      </w:r>
      <w:r w:rsidRPr="00606C27">
        <w:rPr>
          <w:i/>
          <w:szCs w:val="24"/>
          <w:lang w:val="fr-CA"/>
        </w:rPr>
        <w:t>Authorson c. Canada (Procureur général)</w:t>
      </w:r>
      <w:r w:rsidRPr="00606C27">
        <w:rPr>
          <w:szCs w:val="24"/>
          <w:lang w:val="fr-CA"/>
        </w:rPr>
        <w:t>,</w:t>
      </w:r>
      <w:r w:rsidRPr="00606C27">
        <w:rPr>
          <w:i/>
          <w:szCs w:val="24"/>
          <w:lang w:val="fr-CA"/>
        </w:rPr>
        <w:t xml:space="preserve"> </w:t>
      </w:r>
      <w:r w:rsidRPr="00606C27">
        <w:rPr>
          <w:szCs w:val="24"/>
          <w:lang w:val="fr-CA"/>
        </w:rPr>
        <w:t xml:space="preserve">2003 CSC 39, [2003] 2 R.C.S. 40; </w:t>
      </w:r>
      <w:r w:rsidRPr="00606C27">
        <w:rPr>
          <w:i/>
          <w:szCs w:val="24"/>
          <w:lang w:val="fr-CA"/>
        </w:rPr>
        <w:t>Procureur général du Canada c. Inuit Tapirisat of Canada</w:t>
      </w:r>
      <w:r w:rsidRPr="00606C27">
        <w:rPr>
          <w:szCs w:val="24"/>
          <w:lang w:val="fr-CA"/>
        </w:rPr>
        <w:t xml:space="preserve">, </w:t>
      </w:r>
      <w:r w:rsidRPr="00606C27">
        <w:rPr>
          <w:bCs/>
          <w:szCs w:val="24"/>
          <w:lang w:val="fr-CA"/>
        </w:rPr>
        <w:t xml:space="preserve">[1980] 2 R.C.S. 735; </w:t>
      </w:r>
      <w:r w:rsidRPr="00606C27">
        <w:rPr>
          <w:bCs/>
          <w:i/>
          <w:szCs w:val="24"/>
          <w:lang w:val="fr-CA"/>
        </w:rPr>
        <w:t>Renvoi relatif au Régime d'assistance publique du Canada (C.</w:t>
      </w:r>
      <w:r w:rsidRPr="00606C27">
        <w:rPr>
          <w:bCs/>
          <w:i/>
          <w:szCs w:val="24"/>
          <w:lang w:val="fr-CA"/>
        </w:rPr>
        <w:noBreakHyphen/>
        <w:t>B.)</w:t>
      </w:r>
      <w:r w:rsidRPr="00606C27">
        <w:rPr>
          <w:bCs/>
          <w:szCs w:val="24"/>
          <w:lang w:val="fr-CA"/>
        </w:rPr>
        <w:t xml:space="preserve">, [1991] 2 R.C.S. 525; </w:t>
      </w:r>
      <w:r w:rsidRPr="00606C27">
        <w:rPr>
          <w:bCs/>
          <w:i/>
          <w:szCs w:val="24"/>
          <w:lang w:val="fr-CA"/>
        </w:rPr>
        <w:t>Wells</w:t>
      </w:r>
      <w:r w:rsidRPr="00606C27">
        <w:rPr>
          <w:bCs/>
          <w:i/>
          <w:iCs/>
          <w:szCs w:val="24"/>
          <w:lang w:val="fr-CA"/>
        </w:rPr>
        <w:t xml:space="preserve"> c. Terre</w:t>
      </w:r>
      <w:r w:rsidRPr="00606C27">
        <w:rPr>
          <w:bCs/>
          <w:i/>
          <w:iCs/>
          <w:szCs w:val="24"/>
          <w:lang w:val="fr-CA"/>
        </w:rPr>
        <w:noBreakHyphen/>
        <w:t>Neuve</w:t>
      </w:r>
      <w:r w:rsidRPr="00606C27">
        <w:rPr>
          <w:bCs/>
          <w:szCs w:val="24"/>
          <w:lang w:val="fr-CA"/>
        </w:rPr>
        <w:t>, [1999] 3 R.C.S. 199.</w:t>
      </w:r>
    </w:p>
    <w:p w:rsidR="004D7D95" w:rsidRPr="00606C27" w:rsidRDefault="004D7D95" w:rsidP="0005272F">
      <w:pPr>
        <w:pStyle w:val="SCCNormalDoubleSpacing"/>
        <w:widowControl w:val="0"/>
        <w:spacing w:after="720" w:line="240" w:lineRule="auto"/>
        <w:rPr>
          <w:b/>
          <w:lang w:val="en-US"/>
        </w:rPr>
      </w:pPr>
      <w:r w:rsidRPr="00606C27">
        <w:rPr>
          <w:b/>
          <w:lang w:val="en-US"/>
        </w:rPr>
        <w:t>Lois et règlements cités</w:t>
      </w:r>
    </w:p>
    <w:p w:rsidR="00E75095" w:rsidRPr="00606C27" w:rsidRDefault="00E75095" w:rsidP="00E75095">
      <w:pPr>
        <w:pStyle w:val="SCCNormalDoubleSpacing"/>
        <w:spacing w:after="240" w:line="240" w:lineRule="auto"/>
        <w:ind w:left="540" w:hanging="540"/>
        <w:rPr>
          <w:lang w:val="en-US"/>
        </w:rPr>
      </w:pPr>
      <w:r w:rsidRPr="00606C27">
        <w:rPr>
          <w:i/>
          <w:lang w:val="en-US"/>
        </w:rPr>
        <w:t xml:space="preserve">Act of Settlement </w:t>
      </w:r>
      <w:r w:rsidRPr="00606C27">
        <w:rPr>
          <w:lang w:val="en-US"/>
        </w:rPr>
        <w:t>(Angl.), 12 &amp; 13 Will. 3, c. 2.</w:t>
      </w:r>
    </w:p>
    <w:p w:rsidR="00E75095" w:rsidRPr="00606C27" w:rsidRDefault="00E75095" w:rsidP="00E75095">
      <w:pPr>
        <w:pStyle w:val="SCCNormalDoubleSpacing"/>
        <w:spacing w:after="240" w:line="240" w:lineRule="auto"/>
        <w:ind w:left="540" w:hanging="540"/>
        <w:rPr>
          <w:lang w:val="fr-CA"/>
        </w:rPr>
      </w:pPr>
      <w:r w:rsidRPr="00606C27">
        <w:rPr>
          <w:i/>
          <w:lang w:val="en-US"/>
        </w:rPr>
        <w:t>Bill of Rights</w:t>
      </w:r>
      <w:r w:rsidRPr="00606C27">
        <w:rPr>
          <w:lang w:val="en-US"/>
        </w:rPr>
        <w:t xml:space="preserve"> (Angl.), 1 Will. </w:t>
      </w:r>
      <w:r w:rsidRPr="00606C27">
        <w:rPr>
          <w:lang w:val="fr-CA"/>
        </w:rPr>
        <w:t xml:space="preserve">&amp; Mar., sess. 2, c. 2, art. 9. </w:t>
      </w:r>
    </w:p>
    <w:p w:rsidR="00E75095" w:rsidRPr="00606C27" w:rsidRDefault="00E75095" w:rsidP="00E75095">
      <w:pPr>
        <w:pStyle w:val="SCCNormalDoubleSpacing"/>
        <w:spacing w:after="240" w:line="240" w:lineRule="auto"/>
        <w:ind w:left="540" w:hanging="540"/>
        <w:rPr>
          <w:lang w:val="fr-CA"/>
        </w:rPr>
      </w:pPr>
      <w:r w:rsidRPr="00606C27">
        <w:rPr>
          <w:i/>
          <w:lang w:val="fr-CA"/>
        </w:rPr>
        <w:t>Charte canadienne des droits et libertés</w:t>
      </w:r>
      <w:r w:rsidRPr="00606C27">
        <w:rPr>
          <w:lang w:val="fr-CA"/>
        </w:rPr>
        <w:t>.</w:t>
      </w:r>
    </w:p>
    <w:p w:rsidR="00E75095" w:rsidRDefault="00E75095" w:rsidP="00E75095">
      <w:pPr>
        <w:pStyle w:val="SCCNormalDoubleSpacing"/>
        <w:spacing w:after="240" w:line="240" w:lineRule="auto"/>
        <w:ind w:left="540" w:hanging="540"/>
        <w:rPr>
          <w:lang w:val="fr-CA"/>
        </w:rPr>
      </w:pPr>
      <w:r w:rsidRPr="00606C27">
        <w:rPr>
          <w:i/>
          <w:lang w:val="fr-CA"/>
        </w:rPr>
        <w:t>Déclaration canadienne des droits</w:t>
      </w:r>
      <w:r w:rsidRPr="00606C27">
        <w:rPr>
          <w:lang w:val="fr-CA"/>
        </w:rPr>
        <w:t>, L.R.C. 1985, app. III.</w:t>
      </w:r>
    </w:p>
    <w:p w:rsidR="002731E1" w:rsidRPr="00606C27" w:rsidRDefault="002731E1" w:rsidP="002731E1">
      <w:pPr>
        <w:pStyle w:val="SCCNormalDoubleSpacing"/>
        <w:spacing w:after="240" w:line="240" w:lineRule="auto"/>
        <w:ind w:left="540" w:hanging="540"/>
        <w:rPr>
          <w:lang w:val="fr-CA"/>
        </w:rPr>
      </w:pPr>
      <w:r w:rsidRPr="00606C27">
        <w:rPr>
          <w:i/>
          <w:lang w:val="fr-CA"/>
        </w:rPr>
        <w:t>Loi canadienne sur l’évaluation environnementale</w:t>
      </w:r>
      <w:r w:rsidRPr="00606C27">
        <w:rPr>
          <w:lang w:val="fr-CA"/>
        </w:rPr>
        <w:t xml:space="preserve">, L.C. 1992, c. 37. </w:t>
      </w:r>
    </w:p>
    <w:p w:rsidR="00E75095" w:rsidRPr="00606C27" w:rsidRDefault="00E75095" w:rsidP="00E75095">
      <w:pPr>
        <w:pStyle w:val="SCCNormalDoubleSpacing"/>
        <w:spacing w:after="240" w:line="240" w:lineRule="auto"/>
        <w:ind w:left="540" w:hanging="540"/>
        <w:rPr>
          <w:lang w:val="fr-CA"/>
        </w:rPr>
      </w:pPr>
      <w:r w:rsidRPr="00606C27">
        <w:rPr>
          <w:i/>
          <w:lang w:val="fr-CA"/>
        </w:rPr>
        <w:t>Loi canadienne sur l’évaluation environnementale (2012)</w:t>
      </w:r>
      <w:r w:rsidRPr="00606C27">
        <w:rPr>
          <w:lang w:val="fr-CA"/>
        </w:rPr>
        <w:t>, L.C. 2012, c. 19, art. 52.</w:t>
      </w:r>
    </w:p>
    <w:p w:rsidR="00E75095" w:rsidRPr="00606C27" w:rsidRDefault="00E75095" w:rsidP="00E75095">
      <w:pPr>
        <w:pStyle w:val="SCCNormalDoubleSpacing"/>
        <w:spacing w:after="240" w:line="240" w:lineRule="auto"/>
        <w:ind w:left="540" w:hanging="540"/>
        <w:rPr>
          <w:lang w:val="fr-CA"/>
        </w:rPr>
      </w:pPr>
      <w:r w:rsidRPr="00606C27">
        <w:rPr>
          <w:i/>
          <w:lang w:val="fr-CA"/>
        </w:rPr>
        <w:t>Loi constitutionnelle de 1867</w:t>
      </w:r>
      <w:r w:rsidRPr="00606C27">
        <w:rPr>
          <w:lang w:val="fr-CA"/>
        </w:rPr>
        <w:t xml:space="preserve">, préambule, partie IV, art. 17, 48, 49, 54, 55. </w:t>
      </w:r>
    </w:p>
    <w:p w:rsidR="00E75095" w:rsidRPr="00606C27" w:rsidRDefault="00E75095" w:rsidP="00E75095">
      <w:pPr>
        <w:pStyle w:val="SCCNormalDoubleSpacing"/>
        <w:spacing w:after="240" w:line="240" w:lineRule="auto"/>
        <w:ind w:left="540" w:hanging="540"/>
        <w:rPr>
          <w:lang w:val="fr-CA"/>
        </w:rPr>
      </w:pPr>
      <w:r w:rsidRPr="00606C27">
        <w:rPr>
          <w:i/>
          <w:lang w:val="fr-CA"/>
        </w:rPr>
        <w:t>Loi constitutionnelle de 1982</w:t>
      </w:r>
      <w:r w:rsidRPr="00606C27">
        <w:rPr>
          <w:lang w:val="fr-CA"/>
        </w:rPr>
        <w:t xml:space="preserve">, art. 35, 52. </w:t>
      </w:r>
    </w:p>
    <w:p w:rsidR="00E75095" w:rsidRPr="00606C27" w:rsidRDefault="00E75095" w:rsidP="00E75095">
      <w:pPr>
        <w:pStyle w:val="SCCNormalDoubleSpacing"/>
        <w:spacing w:after="240" w:line="240" w:lineRule="auto"/>
        <w:ind w:left="540" w:hanging="540"/>
        <w:rPr>
          <w:lang w:val="fr-CA"/>
        </w:rPr>
      </w:pPr>
      <w:r w:rsidRPr="00606C27">
        <w:rPr>
          <w:i/>
          <w:lang w:val="fr-CA"/>
        </w:rPr>
        <w:t>Loi de 2012 sur l’emploi et la croissance</w:t>
      </w:r>
      <w:r w:rsidRPr="00606C27">
        <w:rPr>
          <w:lang w:val="fr-CA"/>
        </w:rPr>
        <w:t>, L.C. 2012, c. 31.</w:t>
      </w:r>
    </w:p>
    <w:p w:rsidR="00E75095" w:rsidRPr="00606C27" w:rsidRDefault="00E75095" w:rsidP="00E75095">
      <w:pPr>
        <w:pStyle w:val="SCCNormalDoubleSpacing"/>
        <w:spacing w:after="240" w:line="240" w:lineRule="auto"/>
        <w:ind w:left="540" w:hanging="540"/>
        <w:rPr>
          <w:lang w:val="fr-CA"/>
        </w:rPr>
      </w:pPr>
      <w:r w:rsidRPr="00606C27">
        <w:rPr>
          <w:i/>
          <w:lang w:val="fr-CA"/>
        </w:rPr>
        <w:t>Loi sur l’accord définitif nisga’a</w:t>
      </w:r>
      <w:r w:rsidRPr="00606C27">
        <w:rPr>
          <w:lang w:val="fr-CA"/>
        </w:rPr>
        <w:t>, L.C. 2000, c. 7.</w:t>
      </w:r>
    </w:p>
    <w:p w:rsidR="00E75095" w:rsidRPr="00606C27" w:rsidRDefault="00E75095" w:rsidP="00E75095">
      <w:pPr>
        <w:pStyle w:val="SCCNormalDoubleSpacing"/>
        <w:spacing w:after="240" w:line="240" w:lineRule="auto"/>
        <w:ind w:left="540" w:hanging="540"/>
        <w:rPr>
          <w:lang w:val="fr-CA"/>
        </w:rPr>
      </w:pPr>
      <w:r w:rsidRPr="00606C27">
        <w:rPr>
          <w:i/>
          <w:lang w:val="fr-CA"/>
        </w:rPr>
        <w:t>Loi sur l’emploi, la croissance et la prospérité durable</w:t>
      </w:r>
      <w:r w:rsidRPr="00606C27">
        <w:rPr>
          <w:lang w:val="fr-CA"/>
        </w:rPr>
        <w:t>, L.C. 2012, c. 19.</w:t>
      </w:r>
    </w:p>
    <w:p w:rsidR="00E75095" w:rsidRPr="00606C27" w:rsidRDefault="00E75095" w:rsidP="00E75095">
      <w:pPr>
        <w:pStyle w:val="SCCNormalDoubleSpacing"/>
        <w:spacing w:after="240" w:line="240" w:lineRule="auto"/>
        <w:ind w:left="540" w:hanging="540"/>
        <w:rPr>
          <w:lang w:val="fr-CA"/>
        </w:rPr>
      </w:pPr>
      <w:r w:rsidRPr="00606C27">
        <w:rPr>
          <w:i/>
          <w:lang w:val="fr-CA"/>
        </w:rPr>
        <w:t>Loi sur la gestion des finances publiques</w:t>
      </w:r>
      <w:r w:rsidRPr="00606C27">
        <w:rPr>
          <w:lang w:val="fr-CA"/>
        </w:rPr>
        <w:t>, L.R.C. 1985, c. F</w:t>
      </w:r>
      <w:r w:rsidRPr="00606C27">
        <w:rPr>
          <w:lang w:val="fr-CA"/>
        </w:rPr>
        <w:noBreakHyphen/>
        <w:t>11.</w:t>
      </w:r>
    </w:p>
    <w:p w:rsidR="00E75095" w:rsidRPr="00606C27" w:rsidRDefault="00E75095" w:rsidP="00E75095">
      <w:pPr>
        <w:pStyle w:val="SCCNormalDoubleSpacing"/>
        <w:spacing w:after="240" w:line="240" w:lineRule="auto"/>
        <w:ind w:left="540" w:hanging="540"/>
        <w:rPr>
          <w:lang w:val="fr-CA"/>
        </w:rPr>
      </w:pPr>
      <w:r w:rsidRPr="00606C27">
        <w:rPr>
          <w:i/>
          <w:lang w:val="fr-CA"/>
        </w:rPr>
        <w:t xml:space="preserve">Loi sur la protection de la navigation </w:t>
      </w:r>
      <w:r w:rsidRPr="00606C27">
        <w:rPr>
          <w:lang w:val="fr-CA"/>
        </w:rPr>
        <w:t xml:space="preserve">[auparavant la </w:t>
      </w:r>
      <w:r w:rsidRPr="00606C27">
        <w:rPr>
          <w:i/>
          <w:lang w:val="fr-CA"/>
        </w:rPr>
        <w:t>Loi sur la protection des eaux navigables</w:t>
      </w:r>
      <w:r w:rsidRPr="00606C27">
        <w:rPr>
          <w:lang w:val="fr-CA"/>
        </w:rPr>
        <w:t>], L.R.C. 1985, c. N</w:t>
      </w:r>
      <w:r w:rsidRPr="00606C27">
        <w:rPr>
          <w:lang w:val="fr-CA"/>
        </w:rPr>
        <w:noBreakHyphen/>
        <w:t>22.</w:t>
      </w:r>
    </w:p>
    <w:p w:rsidR="00E75095" w:rsidRPr="00606C27" w:rsidRDefault="00E75095" w:rsidP="00E75095">
      <w:pPr>
        <w:pStyle w:val="SCCNormalDoubleSpacing"/>
        <w:spacing w:after="240" w:line="240" w:lineRule="auto"/>
        <w:ind w:left="540" w:hanging="540"/>
        <w:rPr>
          <w:lang w:val="fr-CA"/>
        </w:rPr>
      </w:pPr>
      <w:r w:rsidRPr="00606C27">
        <w:rPr>
          <w:i/>
          <w:lang w:val="fr-CA"/>
        </w:rPr>
        <w:t>Loi sur le ministère de l’Environnement</w:t>
      </w:r>
      <w:r w:rsidRPr="00606C27">
        <w:rPr>
          <w:lang w:val="fr-CA"/>
        </w:rPr>
        <w:t>, L.R.C. 1985, c. E</w:t>
      </w:r>
      <w:r w:rsidRPr="00606C27">
        <w:rPr>
          <w:lang w:val="fr-CA"/>
        </w:rPr>
        <w:noBreakHyphen/>
        <w:t>10.</w:t>
      </w:r>
    </w:p>
    <w:p w:rsidR="00E75095" w:rsidRPr="00606C27" w:rsidRDefault="00E75095" w:rsidP="00E75095">
      <w:pPr>
        <w:pStyle w:val="SCCNormalDoubleSpacing"/>
        <w:spacing w:after="240" w:line="240" w:lineRule="auto"/>
        <w:ind w:left="540" w:hanging="540"/>
        <w:rPr>
          <w:lang w:val="fr-CA"/>
        </w:rPr>
      </w:pPr>
      <w:r w:rsidRPr="00606C27">
        <w:rPr>
          <w:i/>
          <w:lang w:val="fr-CA"/>
        </w:rPr>
        <w:lastRenderedPageBreak/>
        <w:t>Loi sur le ministère des Affaires indiennes et du Nord canadien</w:t>
      </w:r>
      <w:r w:rsidRPr="00606C27">
        <w:rPr>
          <w:lang w:val="fr-CA"/>
        </w:rPr>
        <w:t>, L.R.C. 1985, c. I</w:t>
      </w:r>
      <w:r w:rsidRPr="00606C27">
        <w:rPr>
          <w:lang w:val="fr-CA"/>
        </w:rPr>
        <w:noBreakHyphen/>
        <w:t>6.</w:t>
      </w:r>
    </w:p>
    <w:p w:rsidR="00E75095" w:rsidRPr="00606C27" w:rsidRDefault="00E75095" w:rsidP="00E75095">
      <w:pPr>
        <w:pStyle w:val="SCCNormalDoubleSpacing"/>
        <w:spacing w:after="240" w:line="240" w:lineRule="auto"/>
        <w:ind w:left="540" w:hanging="540"/>
        <w:rPr>
          <w:lang w:val="fr-CA"/>
        </w:rPr>
      </w:pPr>
      <w:r w:rsidRPr="00606C27">
        <w:rPr>
          <w:i/>
          <w:lang w:val="fr-CA"/>
        </w:rPr>
        <w:t>Loi sur le ministère des Pêches et des Océans</w:t>
      </w:r>
      <w:r w:rsidRPr="00606C27">
        <w:rPr>
          <w:lang w:val="fr-CA"/>
        </w:rPr>
        <w:t>, L.R.C. 1985, c. F</w:t>
      </w:r>
      <w:r w:rsidRPr="00606C27">
        <w:rPr>
          <w:lang w:val="fr-CA"/>
        </w:rPr>
        <w:noBreakHyphen/>
        <w:t>15.</w:t>
      </w:r>
    </w:p>
    <w:p w:rsidR="00E75095" w:rsidRPr="00606C27" w:rsidRDefault="00E75095" w:rsidP="00E75095">
      <w:pPr>
        <w:pStyle w:val="SCCNormalDoubleSpacing"/>
        <w:spacing w:after="240" w:line="240" w:lineRule="auto"/>
        <w:ind w:left="540" w:hanging="540"/>
        <w:rPr>
          <w:lang w:val="fr-CA"/>
        </w:rPr>
      </w:pPr>
      <w:r w:rsidRPr="00606C27">
        <w:rPr>
          <w:i/>
          <w:lang w:val="fr-CA"/>
        </w:rPr>
        <w:t>Loi sur le ministère des Ressources naturelles</w:t>
      </w:r>
      <w:r w:rsidRPr="00606C27">
        <w:rPr>
          <w:lang w:val="fr-CA"/>
        </w:rPr>
        <w:t>, L.C. 1994, c. 41.</w:t>
      </w:r>
    </w:p>
    <w:p w:rsidR="00E75095" w:rsidRPr="00606C27" w:rsidRDefault="00E75095" w:rsidP="00E75095">
      <w:pPr>
        <w:pStyle w:val="SCCNormalDoubleSpacing"/>
        <w:spacing w:after="240" w:line="240" w:lineRule="auto"/>
        <w:ind w:left="540" w:hanging="540"/>
        <w:rPr>
          <w:lang w:val="fr-CA"/>
        </w:rPr>
      </w:pPr>
      <w:r w:rsidRPr="00606C27">
        <w:rPr>
          <w:i/>
          <w:lang w:val="fr-CA"/>
        </w:rPr>
        <w:t>Loi sur le ministère des Transports</w:t>
      </w:r>
      <w:r w:rsidRPr="00606C27">
        <w:rPr>
          <w:lang w:val="fr-CA"/>
        </w:rPr>
        <w:t>, L.R.C. 1985, c. T</w:t>
      </w:r>
      <w:r w:rsidRPr="00606C27">
        <w:rPr>
          <w:lang w:val="fr-CA"/>
        </w:rPr>
        <w:noBreakHyphen/>
        <w:t>18.</w:t>
      </w:r>
    </w:p>
    <w:p w:rsidR="00E75095" w:rsidRPr="00606C27" w:rsidRDefault="00E75095" w:rsidP="00E75095">
      <w:pPr>
        <w:pStyle w:val="SCCNormalDoubleSpacing"/>
        <w:spacing w:after="240" w:line="240" w:lineRule="auto"/>
        <w:ind w:left="540" w:hanging="540"/>
        <w:rPr>
          <w:lang w:val="fr-CA"/>
        </w:rPr>
      </w:pPr>
      <w:r w:rsidRPr="00606C27">
        <w:rPr>
          <w:i/>
          <w:lang w:val="fr-CA"/>
        </w:rPr>
        <w:t>Loi sur les Cours fédérales</w:t>
      </w:r>
      <w:r w:rsidRPr="00606C27">
        <w:rPr>
          <w:lang w:val="fr-CA"/>
        </w:rPr>
        <w:t>, L.R.C. 1985, c. F</w:t>
      </w:r>
      <w:r w:rsidRPr="00606C27">
        <w:rPr>
          <w:lang w:val="fr-CA"/>
        </w:rPr>
        <w:noBreakHyphen/>
        <w:t>7, art. 2(1) « </w:t>
      </w:r>
      <w:r w:rsidR="002731E1">
        <w:rPr>
          <w:lang w:val="fr-CA"/>
        </w:rPr>
        <w:t>C</w:t>
      </w:r>
      <w:r w:rsidRPr="00606C27">
        <w:rPr>
          <w:lang w:val="fr-CA"/>
        </w:rPr>
        <w:t>ouronne », « office fédéral », 2(2), 17, 18, 18.1, 28.</w:t>
      </w:r>
    </w:p>
    <w:p w:rsidR="00E75095" w:rsidRPr="00606C27" w:rsidRDefault="00E75095" w:rsidP="00E75095">
      <w:pPr>
        <w:pStyle w:val="SCCNormalDoubleSpacing"/>
        <w:spacing w:after="240" w:line="240" w:lineRule="auto"/>
        <w:ind w:left="540" w:hanging="540"/>
        <w:rPr>
          <w:lang w:val="fr-CA"/>
        </w:rPr>
      </w:pPr>
      <w:r w:rsidRPr="00606C27">
        <w:rPr>
          <w:i/>
          <w:lang w:val="fr-CA"/>
        </w:rPr>
        <w:t>Loi sur les espèces en péril</w:t>
      </w:r>
      <w:r w:rsidRPr="00606C27">
        <w:rPr>
          <w:lang w:val="fr-CA"/>
        </w:rPr>
        <w:t>, L.C. 2002, c. 29.</w:t>
      </w:r>
    </w:p>
    <w:p w:rsidR="00E75095" w:rsidRPr="00606C27" w:rsidRDefault="00E75095" w:rsidP="00E75095">
      <w:pPr>
        <w:pStyle w:val="SCCNormalDoubleSpacing"/>
        <w:spacing w:after="240" w:line="240" w:lineRule="auto"/>
        <w:ind w:left="540" w:hanging="540"/>
        <w:rPr>
          <w:lang w:val="fr-CA"/>
        </w:rPr>
      </w:pPr>
      <w:r w:rsidRPr="00606C27">
        <w:rPr>
          <w:i/>
          <w:lang w:val="fr-CA"/>
        </w:rPr>
        <w:t>Loi sur les Indiens</w:t>
      </w:r>
      <w:r w:rsidRPr="00606C27">
        <w:rPr>
          <w:lang w:val="fr-CA"/>
        </w:rPr>
        <w:t>, L.R.C. 1985, c. I</w:t>
      </w:r>
      <w:r w:rsidRPr="00606C27">
        <w:rPr>
          <w:lang w:val="fr-CA"/>
        </w:rPr>
        <w:noBreakHyphen/>
        <w:t>5.</w:t>
      </w:r>
    </w:p>
    <w:p w:rsidR="00E75095" w:rsidRDefault="00E75095" w:rsidP="00E75095">
      <w:pPr>
        <w:pStyle w:val="SCCNormalDoubleSpacing"/>
        <w:spacing w:after="240" w:line="240" w:lineRule="auto"/>
        <w:ind w:left="540" w:hanging="540"/>
        <w:rPr>
          <w:lang w:val="fr-CA"/>
        </w:rPr>
      </w:pPr>
      <w:r w:rsidRPr="00606C27">
        <w:rPr>
          <w:i/>
          <w:lang w:val="fr-CA"/>
        </w:rPr>
        <w:t>Loi sur les pêches</w:t>
      </w:r>
      <w:r w:rsidRPr="00606C27">
        <w:rPr>
          <w:lang w:val="fr-CA"/>
        </w:rPr>
        <w:t>, L.R.C. 1985, c. F</w:t>
      </w:r>
      <w:r w:rsidRPr="00606C27">
        <w:rPr>
          <w:lang w:val="fr-CA"/>
        </w:rPr>
        <w:noBreakHyphen/>
        <w:t>14.</w:t>
      </w:r>
    </w:p>
    <w:p w:rsidR="00D8597B" w:rsidRPr="00D8597B" w:rsidRDefault="00D8597B" w:rsidP="00D8597B">
      <w:pPr>
        <w:pStyle w:val="SCCNormalDoubleSpacing"/>
        <w:spacing w:after="240" w:line="240" w:lineRule="auto"/>
        <w:ind w:left="540" w:hanging="540"/>
        <w:rPr>
          <w:lang w:val="en-US"/>
        </w:rPr>
      </w:pPr>
      <w:r w:rsidRPr="00D8597B">
        <w:rPr>
          <w:i/>
          <w:lang w:val="en-US"/>
        </w:rPr>
        <w:t>Magna Carta</w:t>
      </w:r>
      <w:r w:rsidRPr="00D8597B">
        <w:rPr>
          <w:lang w:val="en-US"/>
        </w:rPr>
        <w:t xml:space="preserve"> (1215). </w:t>
      </w:r>
    </w:p>
    <w:p w:rsidR="00E75095" w:rsidRPr="00606C27" w:rsidRDefault="00E75095" w:rsidP="00E75095">
      <w:pPr>
        <w:pStyle w:val="SCCNormalDoubleSpacing"/>
        <w:spacing w:after="240" w:line="240" w:lineRule="auto"/>
        <w:ind w:left="540" w:hanging="540"/>
        <w:rPr>
          <w:lang w:val="en-US"/>
        </w:rPr>
      </w:pPr>
      <w:r w:rsidRPr="00606C27">
        <w:rPr>
          <w:i/>
          <w:lang w:val="en-US"/>
        </w:rPr>
        <w:t>Nisga’a Final Agreement Act</w:t>
      </w:r>
      <w:r w:rsidRPr="00606C27">
        <w:rPr>
          <w:lang w:val="en-US"/>
        </w:rPr>
        <w:t>, S.B.C. 1999, c. 2.</w:t>
      </w:r>
    </w:p>
    <w:p w:rsidR="00E75095" w:rsidRPr="00606C27" w:rsidRDefault="00E75095" w:rsidP="00E75095">
      <w:pPr>
        <w:pStyle w:val="SCCNormalDoubleSpacing"/>
        <w:spacing w:after="240" w:line="240" w:lineRule="auto"/>
        <w:ind w:left="540" w:hanging="540"/>
        <w:rPr>
          <w:lang w:val="fr-CA"/>
        </w:rPr>
      </w:pPr>
      <w:r w:rsidRPr="00606C27">
        <w:rPr>
          <w:i/>
          <w:lang w:val="fr-CA"/>
        </w:rPr>
        <w:t>Proclamation royale</w:t>
      </w:r>
      <w:r w:rsidRPr="00606C27">
        <w:rPr>
          <w:lang w:val="fr-CA"/>
        </w:rPr>
        <w:t xml:space="preserve"> (1763) (reproduite dans L.R.C. 1985, app. II, n</w:t>
      </w:r>
      <w:r w:rsidRPr="00606C27">
        <w:rPr>
          <w:vertAlign w:val="superscript"/>
          <w:lang w:val="fr-CA"/>
        </w:rPr>
        <w:t>o</w:t>
      </w:r>
      <w:r w:rsidR="00032411" w:rsidRPr="00606C27">
        <w:rPr>
          <w:lang w:val="fr-CA"/>
        </w:rPr>
        <w:t> </w:t>
      </w:r>
      <w:r w:rsidRPr="00606C27">
        <w:rPr>
          <w:lang w:val="fr-CA"/>
        </w:rPr>
        <w:t>1).</w:t>
      </w:r>
    </w:p>
    <w:p w:rsidR="00E75095" w:rsidRPr="00606C27" w:rsidRDefault="00E75095" w:rsidP="00E75095">
      <w:pPr>
        <w:pStyle w:val="SCCNormalDoubleSpacing"/>
        <w:spacing w:after="720" w:line="240" w:lineRule="auto"/>
        <w:ind w:left="547" w:hanging="547"/>
        <w:rPr>
          <w:lang w:val="fr-CA"/>
        </w:rPr>
      </w:pPr>
      <w:r w:rsidRPr="00606C27">
        <w:rPr>
          <w:i/>
          <w:lang w:val="fr-CA"/>
        </w:rPr>
        <w:t>Règles des Cours fédérales</w:t>
      </w:r>
      <w:r w:rsidRPr="00606C27">
        <w:rPr>
          <w:lang w:val="fr-CA"/>
        </w:rPr>
        <w:t>, DORS/98</w:t>
      </w:r>
      <w:r w:rsidRPr="00606C27">
        <w:rPr>
          <w:lang w:val="fr-CA"/>
        </w:rPr>
        <w:noBreakHyphen/>
        <w:t xml:space="preserve">106, règle 57. </w:t>
      </w:r>
    </w:p>
    <w:p w:rsidR="00A0682F" w:rsidRPr="00606C27" w:rsidRDefault="00A0682F" w:rsidP="0005272F">
      <w:pPr>
        <w:pStyle w:val="SCCNormalDoubleSpacing"/>
        <w:spacing w:after="720" w:line="240" w:lineRule="auto"/>
        <w:rPr>
          <w:b/>
          <w:lang w:val="fr-CA"/>
        </w:rPr>
      </w:pPr>
      <w:r w:rsidRPr="00606C27">
        <w:rPr>
          <w:b/>
          <w:lang w:val="fr-CA"/>
        </w:rPr>
        <w:t>Traités</w:t>
      </w:r>
      <w:r w:rsidR="00477336" w:rsidRPr="00606C27">
        <w:rPr>
          <w:b/>
          <w:lang w:val="fr-CA"/>
        </w:rPr>
        <w:t xml:space="preserve"> </w:t>
      </w:r>
      <w:r w:rsidR="0007722C" w:rsidRPr="00606C27">
        <w:rPr>
          <w:b/>
          <w:lang w:val="fr-CA"/>
        </w:rPr>
        <w:t>et ententes</w:t>
      </w:r>
    </w:p>
    <w:p w:rsidR="00AF5680" w:rsidRPr="00606C27" w:rsidRDefault="00AF5680" w:rsidP="0005272F">
      <w:pPr>
        <w:pStyle w:val="SCCNormalDoubleSpacing"/>
        <w:spacing w:after="240" w:line="240" w:lineRule="auto"/>
        <w:ind w:left="540" w:hanging="540"/>
        <w:rPr>
          <w:lang w:val="fr-CA"/>
        </w:rPr>
      </w:pPr>
      <w:r w:rsidRPr="00606C27">
        <w:rPr>
          <w:lang w:val="fr-CA"/>
        </w:rPr>
        <w:t xml:space="preserve">Accord définitif </w:t>
      </w:r>
      <w:r w:rsidR="002731E1">
        <w:rPr>
          <w:lang w:val="fr-CA"/>
        </w:rPr>
        <w:t>N</w:t>
      </w:r>
      <w:r w:rsidRPr="00606C27">
        <w:rPr>
          <w:lang w:val="fr-CA"/>
        </w:rPr>
        <w:t xml:space="preserve">isga’a (1999), </w:t>
      </w:r>
      <w:r w:rsidR="0005272F" w:rsidRPr="00606C27">
        <w:rPr>
          <w:lang w:val="fr-CA"/>
        </w:rPr>
        <w:t>c. </w:t>
      </w:r>
      <w:r w:rsidRPr="00606C27">
        <w:rPr>
          <w:lang w:val="fr-CA"/>
        </w:rPr>
        <w:t xml:space="preserve">11, </w:t>
      </w:r>
      <w:r w:rsidR="0005272F" w:rsidRPr="00606C27">
        <w:rPr>
          <w:lang w:val="fr-CA"/>
        </w:rPr>
        <w:t>art. </w:t>
      </w:r>
      <w:r w:rsidRPr="00606C27">
        <w:rPr>
          <w:lang w:val="fr-CA"/>
        </w:rPr>
        <w:t>30, 31.</w:t>
      </w:r>
    </w:p>
    <w:p w:rsidR="000C5082" w:rsidRPr="00606C27" w:rsidRDefault="00A0682F" w:rsidP="0005272F">
      <w:pPr>
        <w:pStyle w:val="SCCNormalDoubleSpacing"/>
        <w:spacing w:after="720" w:line="240" w:lineRule="auto"/>
        <w:ind w:left="547" w:hanging="547"/>
        <w:rPr>
          <w:lang w:val="fr-CA"/>
        </w:rPr>
      </w:pPr>
      <w:r w:rsidRPr="00606C27">
        <w:rPr>
          <w:lang w:val="fr-CA"/>
        </w:rPr>
        <w:t>Traité n</w:t>
      </w:r>
      <w:r w:rsidRPr="00606C27">
        <w:rPr>
          <w:vertAlign w:val="superscript"/>
          <w:lang w:val="fr-CA"/>
        </w:rPr>
        <w:t>o</w:t>
      </w:r>
      <w:r w:rsidR="00432B59" w:rsidRPr="00606C27">
        <w:rPr>
          <w:lang w:val="fr-CA"/>
        </w:rPr>
        <w:t> </w:t>
      </w:r>
      <w:r w:rsidRPr="00606C27">
        <w:rPr>
          <w:lang w:val="fr-CA"/>
        </w:rPr>
        <w:t>8 (1899).</w:t>
      </w:r>
    </w:p>
    <w:p w:rsidR="004D7D95" w:rsidRPr="00606C27" w:rsidRDefault="004D7D95" w:rsidP="0005272F">
      <w:pPr>
        <w:pStyle w:val="SCCNormalDoubleSpacing"/>
        <w:spacing w:after="720" w:line="240" w:lineRule="auto"/>
        <w:rPr>
          <w:b/>
          <w:lang w:val="fr-CA"/>
        </w:rPr>
      </w:pPr>
      <w:r w:rsidRPr="00606C27">
        <w:rPr>
          <w:b/>
          <w:lang w:val="fr-CA"/>
        </w:rPr>
        <w:t>Doctrine et autres documents cités</w:t>
      </w:r>
    </w:p>
    <w:p w:rsidR="00E75095" w:rsidRPr="00606C27" w:rsidRDefault="00E75095" w:rsidP="00E75095">
      <w:pPr>
        <w:pStyle w:val="SCCNormalDoubleSpacing"/>
        <w:spacing w:after="240" w:line="240" w:lineRule="auto"/>
        <w:ind w:left="540" w:hanging="540"/>
        <w:rPr>
          <w:lang w:val="fr-CA"/>
        </w:rPr>
      </w:pPr>
      <w:r w:rsidRPr="00606C27">
        <w:rPr>
          <w:lang w:val="en-US"/>
        </w:rPr>
        <w:t xml:space="preserve">Bankes, Nigel. « The Duty to Consult and the Legislative Process : But What About Reconciliation? » </w:t>
      </w:r>
      <w:r w:rsidRPr="00606C27">
        <w:rPr>
          <w:lang w:val="fr-CA"/>
        </w:rPr>
        <w:t xml:space="preserve">(2016) (en ligne : https://ablawg.ca/2016/12/21/the-duty-to-consult-and-the-legislative-process-but-what-about-reconciliation/; version archivée : </w:t>
      </w:r>
      <w:hyperlink r:id="rId10" w:history="1">
        <w:r w:rsidR="00195E7A" w:rsidRPr="003242BD">
          <w:rPr>
            <w:lang w:val="fr-CA"/>
          </w:rPr>
          <w:t>https://www.scc-csc.ca/cso-dce/2018SCC-CSC40_1_eng.pdf</w:t>
        </w:r>
      </w:hyperlink>
      <w:r w:rsidRPr="00606C27">
        <w:rPr>
          <w:lang w:val="fr-CA"/>
        </w:rPr>
        <w:t>).</w:t>
      </w:r>
    </w:p>
    <w:p w:rsidR="00E75095" w:rsidRPr="00606C27" w:rsidRDefault="00E75095" w:rsidP="00E75095">
      <w:pPr>
        <w:pStyle w:val="SCCNormalDoubleSpacing"/>
        <w:spacing w:after="240" w:line="240" w:lineRule="auto"/>
        <w:ind w:left="540" w:hanging="540"/>
        <w:rPr>
          <w:lang w:val="en-US"/>
        </w:rPr>
      </w:pPr>
      <w:r w:rsidRPr="00606C27">
        <w:rPr>
          <w:lang w:val="en-US"/>
        </w:rPr>
        <w:t xml:space="preserve">Brown, Donald J. M., and John M. Evans, with the assistance of David Fairlie. </w:t>
      </w:r>
      <w:r w:rsidRPr="00606C27">
        <w:rPr>
          <w:i/>
          <w:lang w:val="en-US"/>
        </w:rPr>
        <w:t>Judicial Review of Administrative Action in Canada</w:t>
      </w:r>
      <w:r w:rsidRPr="00606C27">
        <w:rPr>
          <w:lang w:val="en-US"/>
        </w:rPr>
        <w:t>, Toronto, Thomson Reuters, 2013 (loose</w:t>
      </w:r>
      <w:r w:rsidRPr="00606C27">
        <w:rPr>
          <w:lang w:val="en-US"/>
        </w:rPr>
        <w:noBreakHyphen/>
        <w:t>leaf updated April 2018, release 1).</w:t>
      </w:r>
    </w:p>
    <w:p w:rsidR="00E75095" w:rsidRPr="00606C27" w:rsidRDefault="00E75095" w:rsidP="00E75095">
      <w:pPr>
        <w:pStyle w:val="SCCNormalDoubleSpacing"/>
        <w:spacing w:after="240" w:line="240" w:lineRule="auto"/>
        <w:ind w:left="540" w:hanging="540"/>
        <w:rPr>
          <w:lang w:val="fr-CA"/>
        </w:rPr>
      </w:pPr>
      <w:r w:rsidRPr="00606C27">
        <w:rPr>
          <w:lang w:val="fr-CA"/>
        </w:rPr>
        <w:lastRenderedPageBreak/>
        <w:t xml:space="preserve">Canada. Conseil privé. </w:t>
      </w:r>
      <w:r w:rsidRPr="00606C27">
        <w:rPr>
          <w:i/>
          <w:lang w:val="fr-CA"/>
        </w:rPr>
        <w:t>L</w:t>
      </w:r>
      <w:r w:rsidR="002731E1">
        <w:rPr>
          <w:i/>
          <w:lang w:val="fr-CA"/>
        </w:rPr>
        <w:t>ois et règlements : l’essentiel</w:t>
      </w:r>
      <w:r w:rsidR="002731E1" w:rsidRPr="00C02A50">
        <w:rPr>
          <w:lang w:val="fr-CA"/>
        </w:rPr>
        <w:t>,</w:t>
      </w:r>
      <w:r w:rsidRPr="00606C27">
        <w:rPr>
          <w:i/>
          <w:lang w:val="fr-CA"/>
        </w:rPr>
        <w:t xml:space="preserve"> </w:t>
      </w:r>
      <w:r w:rsidRPr="00606C27">
        <w:rPr>
          <w:lang w:val="fr-CA"/>
        </w:rPr>
        <w:t>2</w:t>
      </w:r>
      <w:r w:rsidRPr="00606C27">
        <w:rPr>
          <w:vertAlign w:val="superscript"/>
          <w:lang w:val="fr-CA"/>
        </w:rPr>
        <w:t>e</w:t>
      </w:r>
      <w:r w:rsidRPr="00606C27">
        <w:rPr>
          <w:lang w:val="fr-CA"/>
        </w:rPr>
        <w:t> éd., Ottawa, Conseil Privé/Ministère de la Justice Canada, 2001.</w:t>
      </w:r>
    </w:p>
    <w:p w:rsidR="00E75095" w:rsidRPr="00606C27" w:rsidRDefault="00E75095" w:rsidP="00E75095">
      <w:pPr>
        <w:pStyle w:val="SCCNormalDoubleSpacing"/>
        <w:spacing w:after="240" w:line="240" w:lineRule="auto"/>
        <w:ind w:left="540" w:hanging="540"/>
        <w:rPr>
          <w:lang w:val="en-US"/>
        </w:rPr>
      </w:pPr>
      <w:r w:rsidRPr="00606C27">
        <w:rPr>
          <w:lang w:val="en-US"/>
        </w:rPr>
        <w:t xml:space="preserve">Davis, Zachary. « The Duty to Consult and Legislative Action » (2016), 79 </w:t>
      </w:r>
      <w:r w:rsidRPr="00606C27">
        <w:rPr>
          <w:i/>
          <w:lang w:val="en-US"/>
        </w:rPr>
        <w:t>Sask. L. Rev.</w:t>
      </w:r>
      <w:r w:rsidRPr="00606C27">
        <w:rPr>
          <w:lang w:val="en-US"/>
        </w:rPr>
        <w:t xml:space="preserve"> 17.</w:t>
      </w:r>
    </w:p>
    <w:p w:rsidR="00E75095" w:rsidRPr="00606C27" w:rsidRDefault="00E75095" w:rsidP="00E75095">
      <w:pPr>
        <w:pStyle w:val="SCCNormalDoubleSpacing"/>
        <w:spacing w:after="240" w:line="240" w:lineRule="auto"/>
        <w:ind w:left="540" w:hanging="540"/>
        <w:rPr>
          <w:lang w:val="en-US"/>
        </w:rPr>
      </w:pPr>
      <w:r w:rsidRPr="00606C27">
        <w:rPr>
          <w:lang w:val="en-US"/>
        </w:rPr>
        <w:t xml:space="preserve">Dickson, Jamie D. </w:t>
      </w:r>
      <w:r w:rsidRPr="00606C27">
        <w:rPr>
          <w:i/>
          <w:lang w:val="en-US"/>
        </w:rPr>
        <w:t>The Honour and Dishonour of the Crown : Making Sense of Aboriginal Law in Canada</w:t>
      </w:r>
      <w:r w:rsidRPr="00606C27">
        <w:rPr>
          <w:lang w:val="en-US"/>
        </w:rPr>
        <w:t>, Saskatoon, Purich Publishing, 2015.</w:t>
      </w:r>
    </w:p>
    <w:p w:rsidR="00E75095" w:rsidRPr="00606C27" w:rsidRDefault="00E75095" w:rsidP="00E75095">
      <w:pPr>
        <w:pStyle w:val="SCCNormalDoubleSpacing"/>
        <w:spacing w:after="240" w:line="240" w:lineRule="auto"/>
        <w:ind w:left="540" w:hanging="540"/>
        <w:rPr>
          <w:lang w:val="en-US"/>
        </w:rPr>
      </w:pPr>
      <w:r w:rsidRPr="00606C27">
        <w:rPr>
          <w:lang w:val="en-US"/>
        </w:rPr>
        <w:t xml:space="preserve">Hogg, Peter W. </w:t>
      </w:r>
      <w:r w:rsidRPr="00606C27">
        <w:rPr>
          <w:i/>
          <w:lang w:val="en-US"/>
        </w:rPr>
        <w:t>Constitutional Law of Canada</w:t>
      </w:r>
      <w:r w:rsidRPr="00606C27">
        <w:rPr>
          <w:lang w:val="en-US"/>
        </w:rPr>
        <w:t>, 5th ed. Supp., Scarborough (Ont.), Thomson/Carswell, 2007 (updated 2017, release 1).</w:t>
      </w:r>
    </w:p>
    <w:p w:rsidR="00E75095" w:rsidRPr="00606C27" w:rsidRDefault="00E75095" w:rsidP="00E75095">
      <w:pPr>
        <w:pStyle w:val="SCCNormalDoubleSpacing"/>
        <w:spacing w:after="240" w:line="240" w:lineRule="auto"/>
        <w:ind w:left="540" w:hanging="540"/>
        <w:rPr>
          <w:lang w:val="en-US"/>
        </w:rPr>
      </w:pPr>
      <w:r w:rsidRPr="00606C27">
        <w:rPr>
          <w:lang w:val="en-US"/>
        </w:rPr>
        <w:t xml:space="preserve">Maingot, J. P. Joseph. </w:t>
      </w:r>
      <w:r w:rsidRPr="00606C27">
        <w:rPr>
          <w:i/>
          <w:lang w:val="en-US"/>
        </w:rPr>
        <w:t>Parliamentary Immunity in Canada</w:t>
      </w:r>
      <w:r w:rsidRPr="00606C27">
        <w:rPr>
          <w:lang w:val="en-US"/>
        </w:rPr>
        <w:t>, Toronto, LexisNexis, 2016.</w:t>
      </w:r>
    </w:p>
    <w:p w:rsidR="00E75095" w:rsidRPr="00606C27" w:rsidRDefault="00E75095" w:rsidP="00E75095">
      <w:pPr>
        <w:pStyle w:val="SCCNormalDoubleSpacing"/>
        <w:spacing w:after="240" w:line="240" w:lineRule="auto"/>
        <w:ind w:left="540" w:hanging="540"/>
        <w:rPr>
          <w:lang w:val="en-US"/>
        </w:rPr>
      </w:pPr>
      <w:r w:rsidRPr="00606C27">
        <w:rPr>
          <w:lang w:val="en-US"/>
        </w:rPr>
        <w:t>Manitoba. « Interim Provincial Policy For Crown Consultations with First Nations, Métis Communities and Other Aboriginal Communities» (4 mai 2009) (en ligne : https://www.gov.mb.ca/inr/resources/pubs/interim%20prov%20policy%20for%20crown%20consultation%20-%202009.pdf; version archivée :</w:t>
      </w:r>
      <w:r w:rsidR="00195E7A" w:rsidRPr="00606C27">
        <w:rPr>
          <w:rStyle w:val="Hyperlink"/>
          <w:rFonts w:eastAsiaTheme="majorEastAsia"/>
          <w:color w:val="auto"/>
          <w:lang w:val="en-US"/>
        </w:rPr>
        <w:t xml:space="preserve"> </w:t>
      </w:r>
      <w:hyperlink r:id="rId11" w:history="1">
        <w:r w:rsidR="00195E7A" w:rsidRPr="002731E1">
          <w:rPr>
            <w:rFonts w:eastAsiaTheme="majorEastAsia"/>
          </w:rPr>
          <w:t>https://www.scc-csc.ca/cso-dce/2018SCC-CSC40_2_eng.pdf</w:t>
        </w:r>
      </w:hyperlink>
      <w:r w:rsidRPr="00606C27">
        <w:rPr>
          <w:lang w:val="en-US"/>
        </w:rPr>
        <w:t>).</w:t>
      </w:r>
    </w:p>
    <w:p w:rsidR="00E75095" w:rsidRPr="00606C27" w:rsidRDefault="00E75095" w:rsidP="00E75095">
      <w:pPr>
        <w:pStyle w:val="SCCNormalDoubleSpacing"/>
        <w:spacing w:after="240" w:line="240" w:lineRule="auto"/>
        <w:ind w:left="540" w:hanging="540"/>
        <w:rPr>
          <w:lang w:val="en-US"/>
        </w:rPr>
      </w:pPr>
      <w:r w:rsidRPr="00606C27">
        <w:rPr>
          <w:lang w:val="en-US"/>
        </w:rPr>
        <w:t xml:space="preserve">McCabe, J. Timothy S. </w:t>
      </w:r>
      <w:r w:rsidRPr="00606C27">
        <w:rPr>
          <w:i/>
          <w:lang w:val="en-US"/>
        </w:rPr>
        <w:t>The Honour of the Crown and its Fiduciary Duties to Aboriginal Peoples</w:t>
      </w:r>
      <w:r w:rsidRPr="00606C27">
        <w:rPr>
          <w:lang w:val="en-US"/>
        </w:rPr>
        <w:t>, Markham (Ont.), LexisNexis, 2008.</w:t>
      </w:r>
    </w:p>
    <w:p w:rsidR="00E75095" w:rsidRPr="00606C27" w:rsidRDefault="00E75095" w:rsidP="00E75095">
      <w:pPr>
        <w:pStyle w:val="SCCNormalDoubleSpacing"/>
        <w:spacing w:after="240" w:line="240" w:lineRule="auto"/>
        <w:ind w:left="540" w:hanging="540"/>
        <w:rPr>
          <w:lang w:val="en-US"/>
        </w:rPr>
      </w:pPr>
      <w:r w:rsidRPr="00606C27">
        <w:rPr>
          <w:lang w:val="en-US"/>
        </w:rPr>
        <w:t xml:space="preserve">Newman, Dwight G. </w:t>
      </w:r>
      <w:r w:rsidRPr="00606C27">
        <w:rPr>
          <w:i/>
          <w:lang w:val="en-US"/>
        </w:rPr>
        <w:t>Revisiting the Duty to Consult Aboriginal Peoples</w:t>
      </w:r>
      <w:r w:rsidRPr="00606C27">
        <w:rPr>
          <w:lang w:val="en-US"/>
        </w:rPr>
        <w:t>, Saskatoon, Purich Publishing, 2014.</w:t>
      </w:r>
    </w:p>
    <w:p w:rsidR="00E75095" w:rsidRPr="00606C27" w:rsidRDefault="002731E1" w:rsidP="00E75095">
      <w:pPr>
        <w:pStyle w:val="SCCNormalDoubleSpacing"/>
        <w:spacing w:after="240" w:line="240" w:lineRule="auto"/>
        <w:ind w:left="540" w:hanging="540"/>
        <w:rPr>
          <w:lang w:val="en-US"/>
        </w:rPr>
      </w:pPr>
      <w:r w:rsidRPr="00606C27">
        <w:rPr>
          <w:lang w:val="en-US"/>
        </w:rPr>
        <w:t>O. Hood Phillips, Paul Jackson and Patricia Leopold</w:t>
      </w:r>
      <w:r>
        <w:rPr>
          <w:lang w:val="en-US"/>
        </w:rPr>
        <w:t>.</w:t>
      </w:r>
      <w:r w:rsidRPr="00606C27">
        <w:rPr>
          <w:i/>
          <w:lang w:val="en-US"/>
        </w:rPr>
        <w:t xml:space="preserve"> </w:t>
      </w:r>
      <w:r w:rsidR="00E75095" w:rsidRPr="00606C27">
        <w:rPr>
          <w:i/>
          <w:lang w:val="en-US"/>
        </w:rPr>
        <w:t>O. Hood Phillips &amp; Jackson : Constitutional and Administrative Law</w:t>
      </w:r>
      <w:r w:rsidR="00E75095" w:rsidRPr="00606C27">
        <w:rPr>
          <w:lang w:val="en-US"/>
        </w:rPr>
        <w:t>, 8th ed, London, Sweet &amp; Maxwell, 2001.</w:t>
      </w:r>
    </w:p>
    <w:p w:rsidR="00E75095" w:rsidRPr="00606C27" w:rsidRDefault="00E75095" w:rsidP="00E75095">
      <w:pPr>
        <w:pStyle w:val="SCCNormalDoubleSpacing"/>
        <w:spacing w:after="240" w:line="240" w:lineRule="auto"/>
        <w:ind w:left="540" w:hanging="540"/>
        <w:rPr>
          <w:lang w:val="fr-CA"/>
        </w:rPr>
      </w:pPr>
      <w:r w:rsidRPr="00606C27">
        <w:rPr>
          <w:lang w:val="fr-CA"/>
        </w:rPr>
        <w:t>Québec. Groupe interminis</w:t>
      </w:r>
      <w:r w:rsidR="00803B56">
        <w:rPr>
          <w:lang w:val="fr-CA"/>
        </w:rPr>
        <w:t>t</w:t>
      </w:r>
      <w:r w:rsidRPr="00606C27">
        <w:rPr>
          <w:lang w:val="fr-CA"/>
        </w:rPr>
        <w:t xml:space="preserve">ériel de soutien sur la consultation des Autochtones. </w:t>
      </w:r>
      <w:r w:rsidRPr="00606C27">
        <w:rPr>
          <w:i/>
          <w:lang w:val="fr-CA"/>
        </w:rPr>
        <w:t>Guide intérimaire en matière de consultation des communautés autochtones</w:t>
      </w:r>
      <w:r w:rsidRPr="00606C27">
        <w:rPr>
          <w:lang w:val="fr-CA"/>
        </w:rPr>
        <w:t>, Québec, 2008.</w:t>
      </w:r>
    </w:p>
    <w:p w:rsidR="00E75095" w:rsidRPr="00606C27" w:rsidRDefault="00E75095" w:rsidP="00E75095">
      <w:pPr>
        <w:pStyle w:val="SCCNormalDoubleSpacing"/>
        <w:spacing w:after="240" w:line="240" w:lineRule="auto"/>
        <w:ind w:left="540" w:hanging="540"/>
        <w:rPr>
          <w:lang w:val="en-US"/>
        </w:rPr>
      </w:pPr>
      <w:r w:rsidRPr="00606C27">
        <w:rPr>
          <w:lang w:val="en-US"/>
        </w:rPr>
        <w:t xml:space="preserve">Roach, Kent. </w:t>
      </w:r>
      <w:r w:rsidRPr="00606C27">
        <w:rPr>
          <w:i/>
          <w:lang w:val="en-US"/>
        </w:rPr>
        <w:t>Constitutional Remedies in Canada</w:t>
      </w:r>
      <w:r w:rsidRPr="00606C27">
        <w:rPr>
          <w:lang w:val="en-US"/>
        </w:rPr>
        <w:t>, 2nd ed., Toronto, Canada Law Book, 2013 (loose</w:t>
      </w:r>
      <w:r w:rsidRPr="00606C27">
        <w:rPr>
          <w:lang w:val="en-US"/>
        </w:rPr>
        <w:noBreakHyphen/>
        <w:t>leaf updated November 2017, release 30).</w:t>
      </w:r>
    </w:p>
    <w:p w:rsidR="00E75095" w:rsidRPr="00606C27" w:rsidRDefault="00E75095" w:rsidP="00E75095">
      <w:pPr>
        <w:pStyle w:val="SCCNormalDoubleSpacing"/>
        <w:spacing w:after="240" w:line="240" w:lineRule="auto"/>
        <w:ind w:left="540" w:hanging="540"/>
        <w:rPr>
          <w:lang w:val="fr-CA"/>
        </w:rPr>
      </w:pPr>
      <w:r w:rsidRPr="00606C27">
        <w:rPr>
          <w:lang w:val="fr-CA"/>
        </w:rPr>
        <w:t>Robert, Charles. « The Role of the Crown</w:t>
      </w:r>
      <w:r w:rsidRPr="00606C27">
        <w:rPr>
          <w:lang w:val="fr-CA"/>
        </w:rPr>
        <w:noBreakHyphen/>
        <w:t>in</w:t>
      </w:r>
      <w:r w:rsidRPr="00606C27">
        <w:rPr>
          <w:lang w:val="fr-CA"/>
        </w:rPr>
        <w:noBreakHyphen/>
        <w:t xml:space="preserve">Parliament : A Matter of Form and Substance », dans Michel Bédard et Philippe Lagassé, dir., </w:t>
      </w:r>
      <w:r w:rsidRPr="00606C27">
        <w:rPr>
          <w:i/>
          <w:lang w:val="fr-CA"/>
        </w:rPr>
        <w:t>La Couronne et le Parlement</w:t>
      </w:r>
      <w:r w:rsidRPr="00606C27">
        <w:rPr>
          <w:lang w:val="fr-CA"/>
        </w:rPr>
        <w:t xml:space="preserve">, Montréal, Yvon Blais, 2015, 95. </w:t>
      </w:r>
    </w:p>
    <w:p w:rsidR="00E75095" w:rsidRPr="00606C27" w:rsidRDefault="00E75095" w:rsidP="00E75095">
      <w:pPr>
        <w:pStyle w:val="SCCNormalDoubleSpacing"/>
        <w:spacing w:after="240" w:line="240" w:lineRule="auto"/>
        <w:ind w:left="540" w:hanging="540"/>
        <w:rPr>
          <w:lang w:val="fr-CA"/>
        </w:rPr>
      </w:pPr>
      <w:r w:rsidRPr="00606C27">
        <w:rPr>
          <w:lang w:val="fr-CA"/>
        </w:rPr>
        <w:t>Sas</w:t>
      </w:r>
      <w:r w:rsidR="009277F8">
        <w:rPr>
          <w:lang w:val="fr-CA"/>
        </w:rPr>
        <w:t>katchewan. « First Nation and Mé</w:t>
      </w:r>
      <w:r w:rsidRPr="00606C27">
        <w:rPr>
          <w:lang w:val="fr-CA"/>
        </w:rPr>
        <w:t xml:space="preserve">tis </w:t>
      </w:r>
      <w:r w:rsidR="009277F8">
        <w:rPr>
          <w:lang w:val="fr-CA"/>
        </w:rPr>
        <w:t xml:space="preserve">Consultation </w:t>
      </w:r>
      <w:r w:rsidRPr="00606C27">
        <w:rPr>
          <w:lang w:val="fr-CA"/>
        </w:rPr>
        <w:t xml:space="preserve">Policy Framework » (juin 2010) (en ligne : </w:t>
      </w:r>
      <w:r w:rsidRPr="00BC3D41">
        <w:rPr>
          <w:rStyle w:val="Hyperlink"/>
          <w:color w:val="auto"/>
          <w:u w:val="none"/>
          <w:lang w:val="fr-CA"/>
        </w:rPr>
        <w:t>http://publications.gov.sk.ca/documents/313/98187-Consultation%20-Policy20-Framework.pdf</w:t>
      </w:r>
      <w:r w:rsidRPr="00606C27">
        <w:rPr>
          <w:lang w:val="fr-CA"/>
        </w:rPr>
        <w:t>; version archivée</w:t>
      </w:r>
      <w:r w:rsidR="00032411" w:rsidRPr="00606C27">
        <w:rPr>
          <w:lang w:val="fr-CA"/>
        </w:rPr>
        <w:t> </w:t>
      </w:r>
      <w:r w:rsidRPr="00606C27">
        <w:rPr>
          <w:lang w:val="fr-CA"/>
        </w:rPr>
        <w:t>:</w:t>
      </w:r>
      <w:r w:rsidR="00195E7A" w:rsidRPr="00606C27">
        <w:rPr>
          <w:rStyle w:val="Hyperlink"/>
          <w:rFonts w:eastAsiaTheme="majorEastAsia"/>
          <w:color w:val="auto"/>
          <w:u w:val="none"/>
          <w:lang w:val="fr-CA"/>
        </w:rPr>
        <w:t xml:space="preserve"> </w:t>
      </w:r>
      <w:hyperlink r:id="rId12" w:history="1">
        <w:r w:rsidR="00195E7A" w:rsidRPr="003242BD">
          <w:rPr>
            <w:rFonts w:eastAsiaTheme="majorEastAsia"/>
            <w:lang w:val="fr-CA"/>
          </w:rPr>
          <w:t>https://www.scc-csc.ca/cso-dce/2018SCC-CSC40_3_eng.pdf</w:t>
        </w:r>
      </w:hyperlink>
      <w:r w:rsidRPr="00606C27">
        <w:rPr>
          <w:lang w:val="fr-CA"/>
        </w:rPr>
        <w:t>).</w:t>
      </w:r>
    </w:p>
    <w:p w:rsidR="00E75095" w:rsidRPr="00606C27" w:rsidRDefault="00E75095" w:rsidP="00E75095">
      <w:pPr>
        <w:pStyle w:val="SCCNormalDoubleSpacing"/>
        <w:spacing w:after="240" w:line="240" w:lineRule="auto"/>
        <w:ind w:left="540" w:hanging="540"/>
        <w:rPr>
          <w:lang w:val="en-US"/>
        </w:rPr>
      </w:pPr>
      <w:r w:rsidRPr="00606C27">
        <w:rPr>
          <w:lang w:val="en-US"/>
        </w:rPr>
        <w:t xml:space="preserve">Slattery, Brian. « Aboriginal Rights and the Honour of the Crown » (2005), 29 </w:t>
      </w:r>
      <w:r w:rsidRPr="00606C27">
        <w:rPr>
          <w:i/>
          <w:lang w:val="en-US"/>
        </w:rPr>
        <w:t>S.C.L.R.</w:t>
      </w:r>
      <w:r w:rsidRPr="00606C27">
        <w:rPr>
          <w:lang w:val="en-US"/>
        </w:rPr>
        <w:t xml:space="preserve"> (2d) 433.</w:t>
      </w:r>
    </w:p>
    <w:p w:rsidR="00E75095" w:rsidRPr="00606C27" w:rsidRDefault="00E75095" w:rsidP="00E75095">
      <w:pPr>
        <w:pStyle w:val="SCCNormalDoubleSpacing"/>
        <w:spacing w:after="720" w:line="240" w:lineRule="auto"/>
        <w:ind w:left="547" w:hanging="547"/>
        <w:rPr>
          <w:lang w:val="en-US"/>
        </w:rPr>
      </w:pPr>
      <w:r w:rsidRPr="00606C27">
        <w:rPr>
          <w:lang w:val="en-US"/>
        </w:rPr>
        <w:lastRenderedPageBreak/>
        <w:t xml:space="preserve">Walters, Mark D. « The Morality of Aboriginal Law » (2006), 31 </w:t>
      </w:r>
      <w:r w:rsidRPr="00606C27">
        <w:rPr>
          <w:i/>
          <w:lang w:val="en-US"/>
        </w:rPr>
        <w:t>Queen’s L.J.</w:t>
      </w:r>
      <w:r w:rsidRPr="00606C27">
        <w:rPr>
          <w:lang w:val="en-US"/>
        </w:rPr>
        <w:t xml:space="preserve"> 470.</w:t>
      </w:r>
    </w:p>
    <w:p w:rsidR="00E234E6" w:rsidRPr="00606C27" w:rsidRDefault="002A1A04" w:rsidP="00E234E6">
      <w:pPr>
        <w:pStyle w:val="SCCNormalDoubleSpacing"/>
        <w:spacing w:after="480"/>
        <w:rPr>
          <w:lang w:val="fr-CA"/>
        </w:rPr>
      </w:pPr>
      <w:r w:rsidRPr="00606C27">
        <w:rPr>
          <w:lang w:val="en-US"/>
        </w:rPr>
        <w:tab/>
      </w:r>
      <w:r w:rsidR="00E234E6" w:rsidRPr="00606C27">
        <w:rPr>
          <w:lang w:val="en-US"/>
        </w:rPr>
        <w:t>POURVOI contre un arrêt de la Cour d’appel fédérale (les juges Pelletier, Webb et de Montigny), 2016 CAF 311, [2017] R.C.F. 298, 405 D.L.R. (4th) 721, 5 C.E.L.R. (4th) 302, [2017] 1 C.N.L.R. 354, [2016] A.C.F. n</w:t>
      </w:r>
      <w:r w:rsidR="00E234E6" w:rsidRPr="00B72C53">
        <w:rPr>
          <w:vertAlign w:val="superscript"/>
          <w:lang w:val="en-US"/>
        </w:rPr>
        <w:t>o</w:t>
      </w:r>
      <w:r w:rsidR="00E234E6" w:rsidRPr="00606C27">
        <w:rPr>
          <w:lang w:val="en-US"/>
        </w:rPr>
        <w:t xml:space="preserve"> 1389 (QL), 2016 CarswellNat 9957 (WL Can.), qui a infirmé un jugement déclaratoire du juge Hughes, 2014 CF 1244, 470 F.T.R. 243, 93 C.E.L.R. (3d) 199, [2015] 1 C.N.L.R. 243, [2014] A.C.F. n</w:t>
      </w:r>
      <w:r w:rsidR="00E234E6" w:rsidRPr="002731E1">
        <w:rPr>
          <w:vertAlign w:val="superscript"/>
          <w:lang w:val="en-US"/>
        </w:rPr>
        <w:t>o</w:t>
      </w:r>
      <w:r w:rsidR="00E234E6" w:rsidRPr="00606C27">
        <w:rPr>
          <w:lang w:val="en-US"/>
        </w:rPr>
        <w:t xml:space="preserve"> 1308 (QL), 2014 CarswellNat 8413 (WL Can.). </w:t>
      </w:r>
      <w:r w:rsidR="00E234E6" w:rsidRPr="00606C27">
        <w:rPr>
          <w:lang w:val="fr-CA"/>
        </w:rPr>
        <w:t>Pourvoi rejeté.</w:t>
      </w:r>
    </w:p>
    <w:p w:rsidR="00E234E6" w:rsidRPr="00606C27" w:rsidRDefault="00E234E6" w:rsidP="00E234E6">
      <w:pPr>
        <w:pStyle w:val="SCCNormalDoubleSpacing"/>
        <w:spacing w:after="480"/>
        <w:rPr>
          <w:lang w:val="fr-CA"/>
        </w:rPr>
      </w:pPr>
      <w:r w:rsidRPr="00606C27">
        <w:rPr>
          <w:rStyle w:val="SCCCounselNameChar"/>
          <w:lang w:val="fr-CA"/>
        </w:rPr>
        <w:tab/>
        <w:t>Robert J. M. Janes</w:t>
      </w:r>
      <w:r w:rsidRPr="00606C27">
        <w:rPr>
          <w:rStyle w:val="SCCCounselNameChar"/>
          <w:i w:val="0"/>
          <w:lang w:val="fr-CA"/>
        </w:rPr>
        <w:t>,</w:t>
      </w:r>
      <w:r w:rsidRPr="00606C27">
        <w:rPr>
          <w:rStyle w:val="SCCCounselNameChar"/>
          <w:lang w:val="fr-CA"/>
        </w:rPr>
        <w:t xml:space="preserve"> c.r.</w:t>
      </w:r>
      <w:r w:rsidRPr="00606C27">
        <w:rPr>
          <w:rStyle w:val="SCCCounselSeparatorChar"/>
          <w:lang w:val="fr-CA"/>
        </w:rPr>
        <w:t xml:space="preserve">, </w:t>
      </w:r>
      <w:r w:rsidRPr="00606C27">
        <w:rPr>
          <w:rStyle w:val="SCCCounselNameChar"/>
          <w:lang w:val="fr-CA"/>
        </w:rPr>
        <w:t>Karey Brooks</w:t>
      </w:r>
      <w:r w:rsidRPr="00606C27">
        <w:rPr>
          <w:rStyle w:val="SCCCounselSeparatorChar"/>
          <w:lang w:val="fr-CA"/>
        </w:rPr>
        <w:t xml:space="preserve"> et </w:t>
      </w:r>
      <w:r w:rsidRPr="00606C27">
        <w:rPr>
          <w:rStyle w:val="SCCCounselNameChar"/>
          <w:lang w:val="fr-CA"/>
        </w:rPr>
        <w:t>Estella White</w:t>
      </w:r>
      <w:r w:rsidRPr="00606C27">
        <w:rPr>
          <w:rStyle w:val="SCCCounselPartyRoleChar"/>
          <w:lang w:val="fr-CA"/>
        </w:rPr>
        <w:t>, pour l’appelant.</w:t>
      </w:r>
    </w:p>
    <w:p w:rsidR="00E234E6" w:rsidRPr="00606C27" w:rsidRDefault="00E234E6" w:rsidP="00E234E6">
      <w:pPr>
        <w:pStyle w:val="SCCNormalDoubleSpacing"/>
        <w:spacing w:after="480"/>
        <w:rPr>
          <w:lang w:val="fr-CA"/>
        </w:rPr>
      </w:pPr>
      <w:r w:rsidRPr="00606C27">
        <w:rPr>
          <w:rStyle w:val="SCCCounselNameChar"/>
          <w:lang w:val="fr-CA"/>
        </w:rPr>
        <w:tab/>
        <w:t>Christopher M. Rupar</w:t>
      </w:r>
      <w:r w:rsidRPr="00606C27">
        <w:rPr>
          <w:rStyle w:val="SCCCounselSeparatorChar"/>
          <w:lang w:val="fr-CA"/>
        </w:rPr>
        <w:t xml:space="preserve"> et </w:t>
      </w:r>
      <w:r w:rsidRPr="00606C27">
        <w:rPr>
          <w:rStyle w:val="SCCCounselNameChar"/>
          <w:lang w:val="fr-CA"/>
        </w:rPr>
        <w:t>Cynthia Dickins</w:t>
      </w:r>
      <w:r w:rsidRPr="00606C27">
        <w:rPr>
          <w:rStyle w:val="SCCCounselPartyRoleChar"/>
          <w:lang w:val="fr-CA"/>
        </w:rPr>
        <w:t>, pour les intimés.</w:t>
      </w:r>
    </w:p>
    <w:p w:rsidR="00E234E6" w:rsidRPr="00606C27" w:rsidRDefault="00E234E6" w:rsidP="00E234E6">
      <w:pPr>
        <w:pStyle w:val="SCCNormalDoubleSpacing"/>
        <w:spacing w:after="480"/>
        <w:rPr>
          <w:lang w:val="fr-CA"/>
        </w:rPr>
      </w:pPr>
      <w:r w:rsidRPr="00606C27">
        <w:rPr>
          <w:rStyle w:val="SCCCounselNameChar"/>
          <w:lang w:val="fr-CA"/>
        </w:rPr>
        <w:tab/>
        <w:t>Samuel Chayer</w:t>
      </w:r>
      <w:r w:rsidRPr="00606C27">
        <w:rPr>
          <w:rStyle w:val="SCCCounselPartyRoleChar"/>
          <w:lang w:val="fr-CA"/>
        </w:rPr>
        <w:t>, pour l’intervenante la procureure générale du Québec.</w:t>
      </w:r>
    </w:p>
    <w:p w:rsidR="00E234E6" w:rsidRPr="00606C27" w:rsidRDefault="00E234E6" w:rsidP="00E234E6">
      <w:pPr>
        <w:pStyle w:val="SCCNormalDoubleSpacing"/>
        <w:spacing w:after="480"/>
        <w:rPr>
          <w:lang w:val="fr-CA"/>
        </w:rPr>
      </w:pPr>
      <w:r w:rsidRPr="00606C27">
        <w:rPr>
          <w:rStyle w:val="SCCCounselNameChar"/>
          <w:lang w:val="fr-CA"/>
        </w:rPr>
        <w:tab/>
        <w:t>William Gould</w:t>
      </w:r>
      <w:r w:rsidRPr="00606C27">
        <w:rPr>
          <w:rStyle w:val="SCCCounselSeparatorChar"/>
          <w:lang w:val="fr-CA"/>
        </w:rPr>
        <w:t xml:space="preserve"> et </w:t>
      </w:r>
      <w:r w:rsidRPr="00606C27">
        <w:rPr>
          <w:rStyle w:val="SCCCounselNameChar"/>
          <w:lang w:val="fr-CA"/>
        </w:rPr>
        <w:t>Rachelle Standing</w:t>
      </w:r>
      <w:r w:rsidRPr="00606C27">
        <w:rPr>
          <w:rStyle w:val="SCCCounselPartyRoleChar"/>
          <w:lang w:val="fr-CA"/>
        </w:rPr>
        <w:t>, pour l’intervenant le procureur général du Nouveau</w:t>
      </w:r>
      <w:r w:rsidRPr="00606C27">
        <w:rPr>
          <w:rStyle w:val="SCCCounselPartyRoleChar"/>
          <w:lang w:val="fr-CA"/>
        </w:rPr>
        <w:noBreakHyphen/>
        <w:t>Brunswick.</w:t>
      </w:r>
    </w:p>
    <w:p w:rsidR="00E234E6" w:rsidRPr="00606C27" w:rsidRDefault="00E234E6" w:rsidP="00E234E6">
      <w:pPr>
        <w:pStyle w:val="SCCNormalDoubleSpacing"/>
        <w:spacing w:after="480"/>
        <w:rPr>
          <w:lang w:val="fr-CA"/>
        </w:rPr>
      </w:pPr>
      <w:r w:rsidRPr="00606C27">
        <w:rPr>
          <w:rStyle w:val="SCCCounselNameChar"/>
          <w:lang w:val="fr-CA"/>
        </w:rPr>
        <w:tab/>
        <w:t>Glen R. Thompson</w:t>
      </w:r>
      <w:r w:rsidRPr="00606C27">
        <w:rPr>
          <w:rStyle w:val="SCCCounselSeparatorChar"/>
          <w:lang w:val="fr-CA"/>
        </w:rPr>
        <w:t xml:space="preserve"> et </w:t>
      </w:r>
      <w:r w:rsidRPr="00606C27">
        <w:rPr>
          <w:rStyle w:val="SCCCounselNameChar"/>
          <w:lang w:val="fr-CA"/>
        </w:rPr>
        <w:t>Heather Cochran</w:t>
      </w:r>
      <w:r w:rsidRPr="00606C27">
        <w:rPr>
          <w:rStyle w:val="SCCCounselPartyRoleChar"/>
          <w:lang w:val="fr-CA"/>
        </w:rPr>
        <w:t>, pour l’intervenant le procureur général de la Colombie</w:t>
      </w:r>
      <w:r w:rsidRPr="00606C27">
        <w:rPr>
          <w:rStyle w:val="SCCCounselPartyRoleChar"/>
          <w:lang w:val="fr-CA"/>
        </w:rPr>
        <w:noBreakHyphen/>
        <w:t>Britannique.</w:t>
      </w:r>
    </w:p>
    <w:p w:rsidR="00E234E6" w:rsidRPr="00606C27" w:rsidRDefault="00E234E6" w:rsidP="00E234E6">
      <w:pPr>
        <w:pStyle w:val="SCCNormalDoubleSpacing"/>
        <w:spacing w:after="480"/>
        <w:rPr>
          <w:lang w:val="fr-CA"/>
        </w:rPr>
      </w:pPr>
      <w:r w:rsidRPr="00606C27">
        <w:rPr>
          <w:rStyle w:val="SCCCounselNameChar"/>
          <w:lang w:val="fr-CA"/>
        </w:rPr>
        <w:tab/>
        <w:t>Richard James Fyfe</w:t>
      </w:r>
      <w:r w:rsidRPr="00606C27">
        <w:rPr>
          <w:rStyle w:val="SCCCounselPartyRoleChar"/>
          <w:lang w:val="fr-CA"/>
        </w:rPr>
        <w:t>, pour l’intervenant le procureur général de la Saskatchewan.</w:t>
      </w:r>
    </w:p>
    <w:p w:rsidR="00E234E6" w:rsidRPr="00606C27" w:rsidRDefault="00E234E6" w:rsidP="00E234E6">
      <w:pPr>
        <w:pStyle w:val="SCCNormalDoubleSpacing"/>
        <w:spacing w:after="480"/>
        <w:rPr>
          <w:lang w:val="fr-CA"/>
        </w:rPr>
      </w:pPr>
      <w:r w:rsidRPr="00606C27">
        <w:rPr>
          <w:rStyle w:val="SCCCounselNameChar"/>
          <w:lang w:val="fr-CA"/>
        </w:rPr>
        <w:lastRenderedPageBreak/>
        <w:tab/>
        <w:t>Krista Epton</w:t>
      </w:r>
      <w:r w:rsidRPr="00606C27">
        <w:rPr>
          <w:rStyle w:val="SCCCounselPartyRoleChar"/>
          <w:lang w:val="fr-CA"/>
        </w:rPr>
        <w:t>, pour l’intervenant le procureur général de l’Alberta.</w:t>
      </w:r>
    </w:p>
    <w:p w:rsidR="00E234E6" w:rsidRPr="00606C27" w:rsidRDefault="00E234E6" w:rsidP="00E234E6">
      <w:pPr>
        <w:pStyle w:val="SCCNormalDoubleSpacing"/>
        <w:spacing w:after="480"/>
        <w:rPr>
          <w:lang w:val="en-US"/>
        </w:rPr>
      </w:pPr>
      <w:r w:rsidRPr="00606C27">
        <w:rPr>
          <w:rStyle w:val="SCCCounselNameChar"/>
          <w:lang w:val="fr-CA"/>
        </w:rPr>
        <w:tab/>
      </w:r>
      <w:r w:rsidRPr="00606C27">
        <w:rPr>
          <w:rStyle w:val="SCCCounselNameChar"/>
          <w:lang w:val="en-US"/>
        </w:rPr>
        <w:t>Gregory J. McDade</w:t>
      </w:r>
      <w:r w:rsidRPr="00606C27">
        <w:rPr>
          <w:rStyle w:val="SCCCounselNameChar"/>
          <w:i w:val="0"/>
          <w:lang w:val="en-US"/>
        </w:rPr>
        <w:t>,</w:t>
      </w:r>
      <w:r w:rsidRPr="00606C27">
        <w:rPr>
          <w:rStyle w:val="SCCCounselNameChar"/>
          <w:lang w:val="en-US"/>
        </w:rPr>
        <w:t xml:space="preserve"> c.r.</w:t>
      </w:r>
      <w:r w:rsidRPr="00606C27">
        <w:rPr>
          <w:rStyle w:val="SCCCounselSeparatorChar"/>
          <w:lang w:val="en-US"/>
        </w:rPr>
        <w:t xml:space="preserve">, et </w:t>
      </w:r>
      <w:r w:rsidRPr="00606C27">
        <w:rPr>
          <w:rStyle w:val="SCCCounselNameChar"/>
          <w:lang w:val="en-US"/>
        </w:rPr>
        <w:t>Kate Blomfield</w:t>
      </w:r>
      <w:r w:rsidRPr="00606C27">
        <w:rPr>
          <w:rStyle w:val="SCCCounselPartyRoleChar"/>
          <w:lang w:val="en-US"/>
        </w:rPr>
        <w:t>, pour les intervenants Champagne and Aishihik First Nations, Kwanlin Dün First Nation, Little Salmon Carmacks First Nation, First Nation of Na</w:t>
      </w:r>
      <w:r w:rsidRPr="00606C27">
        <w:rPr>
          <w:rStyle w:val="SCCCounselPartyRoleChar"/>
          <w:lang w:val="en-US"/>
        </w:rPr>
        <w:noBreakHyphen/>
        <w:t>Cho Nyak Dun, Teslin Tlingit Council et First Nations of the Maa</w:t>
      </w:r>
      <w:r w:rsidRPr="00606C27">
        <w:rPr>
          <w:rStyle w:val="SCCCounselPartyRoleChar"/>
          <w:lang w:val="en-US"/>
        </w:rPr>
        <w:noBreakHyphen/>
        <w:t>nulth Treaty Society.</w:t>
      </w:r>
    </w:p>
    <w:p w:rsidR="00E234E6" w:rsidRPr="00606C27" w:rsidRDefault="00E234E6" w:rsidP="00E234E6">
      <w:pPr>
        <w:pStyle w:val="SCCNormalDoubleSpacing"/>
        <w:spacing w:after="480"/>
        <w:rPr>
          <w:lang w:val="fr-CA"/>
        </w:rPr>
      </w:pPr>
      <w:r w:rsidRPr="00606C27">
        <w:rPr>
          <w:rStyle w:val="SCCCounselNameChar"/>
          <w:lang w:val="en-US"/>
        </w:rPr>
        <w:tab/>
      </w:r>
      <w:r w:rsidRPr="00606C27">
        <w:rPr>
          <w:rStyle w:val="SCCCounselNameChar"/>
          <w:lang w:val="fr-CA"/>
        </w:rPr>
        <w:t xml:space="preserve">Julie McGregor </w:t>
      </w:r>
      <w:r w:rsidRPr="00606C27">
        <w:rPr>
          <w:rStyle w:val="SCCCounselSeparatorChar"/>
          <w:lang w:val="fr-CA"/>
        </w:rPr>
        <w:t xml:space="preserve">et </w:t>
      </w:r>
      <w:r w:rsidRPr="00606C27">
        <w:rPr>
          <w:rStyle w:val="SCCCounselNameChar"/>
          <w:lang w:val="fr-CA"/>
        </w:rPr>
        <w:t>Stuart Wuttke</w:t>
      </w:r>
      <w:r w:rsidRPr="00606C27">
        <w:rPr>
          <w:rStyle w:val="SCCCounselPartyRoleChar"/>
          <w:lang w:val="fr-CA"/>
        </w:rPr>
        <w:t>, pour l’intervenante l’Assemblée des Premières Nations.</w:t>
      </w:r>
    </w:p>
    <w:p w:rsidR="00E234E6" w:rsidRPr="00606C27" w:rsidRDefault="00E234E6" w:rsidP="00E234E6">
      <w:pPr>
        <w:pStyle w:val="SCCNormalDoubleSpacing"/>
        <w:spacing w:after="480"/>
        <w:rPr>
          <w:lang w:val="fr-CA"/>
        </w:rPr>
      </w:pPr>
      <w:r w:rsidRPr="00606C27">
        <w:rPr>
          <w:rStyle w:val="SCCCounselNameChar"/>
          <w:lang w:val="fr-CA"/>
        </w:rPr>
        <w:tab/>
        <w:t>John Hurley</w:t>
      </w:r>
      <w:r w:rsidRPr="00606C27">
        <w:rPr>
          <w:rStyle w:val="SCCCounselSeparatorChar"/>
          <w:lang w:val="fr-CA"/>
        </w:rPr>
        <w:t xml:space="preserve"> et </w:t>
      </w:r>
      <w:r w:rsidRPr="00606C27">
        <w:rPr>
          <w:rStyle w:val="SCCCounselNameChar"/>
          <w:lang w:val="fr-CA"/>
        </w:rPr>
        <w:t>François Dandonneau</w:t>
      </w:r>
      <w:r w:rsidRPr="00606C27">
        <w:rPr>
          <w:rStyle w:val="SCCCounselPartyRoleChar"/>
          <w:lang w:val="fr-CA"/>
        </w:rPr>
        <w:t>, pour les intervenants le Grand Conseil des Cris (Eeyou Istchee) et le Gouvernement de la nation crie.</w:t>
      </w:r>
    </w:p>
    <w:p w:rsidR="00E234E6" w:rsidRPr="00606C27" w:rsidRDefault="00E234E6" w:rsidP="00E234E6">
      <w:pPr>
        <w:pStyle w:val="SCCNormalDoubleSpacing"/>
        <w:spacing w:after="480"/>
        <w:rPr>
          <w:lang w:val="fr-CA"/>
        </w:rPr>
      </w:pPr>
      <w:r w:rsidRPr="00606C27">
        <w:rPr>
          <w:rStyle w:val="SCCCounselNameChar"/>
          <w:lang w:val="fr-CA"/>
        </w:rPr>
        <w:tab/>
        <w:t>Jason T. Madden</w:t>
      </w:r>
      <w:r w:rsidRPr="00606C27">
        <w:rPr>
          <w:rStyle w:val="SCCCounselSeparatorChar"/>
          <w:lang w:val="fr-CA"/>
        </w:rPr>
        <w:t xml:space="preserve">, </w:t>
      </w:r>
      <w:r w:rsidRPr="00606C27">
        <w:rPr>
          <w:rStyle w:val="SCCCounselNameChar"/>
          <w:lang w:val="fr-CA"/>
        </w:rPr>
        <w:t>Alexandria Winterburn</w:t>
      </w:r>
      <w:r w:rsidRPr="00606C27">
        <w:rPr>
          <w:rStyle w:val="SCCCounselSeparatorChar"/>
          <w:lang w:val="fr-CA"/>
        </w:rPr>
        <w:t xml:space="preserve"> et </w:t>
      </w:r>
      <w:r w:rsidRPr="00606C27">
        <w:rPr>
          <w:rStyle w:val="SCCCounselNameChar"/>
          <w:lang w:val="fr-CA"/>
        </w:rPr>
        <w:t>Megan Strachan</w:t>
      </w:r>
      <w:r w:rsidRPr="00606C27">
        <w:rPr>
          <w:rStyle w:val="SCCCounselPartyRoleChar"/>
          <w:lang w:val="fr-CA"/>
        </w:rPr>
        <w:t>, pour l’intervenante la Fédération métisse du Manitoba.</w:t>
      </w:r>
    </w:p>
    <w:p w:rsidR="00E234E6" w:rsidRPr="00606C27" w:rsidRDefault="00E234E6" w:rsidP="00E234E6">
      <w:pPr>
        <w:pStyle w:val="SCCNormalDoubleSpacing"/>
        <w:spacing w:after="480"/>
        <w:rPr>
          <w:lang w:val="en-US"/>
        </w:rPr>
      </w:pPr>
      <w:r w:rsidRPr="00606C27">
        <w:rPr>
          <w:rStyle w:val="SCCCounselNameChar"/>
          <w:lang w:val="fr-CA"/>
        </w:rPr>
        <w:tab/>
      </w:r>
      <w:r w:rsidRPr="00606C27">
        <w:rPr>
          <w:rStyle w:val="SCCCounselNameChar"/>
          <w:lang w:val="en-US"/>
        </w:rPr>
        <w:t>Brandon Kain</w:t>
      </w:r>
      <w:r w:rsidRPr="00606C27">
        <w:rPr>
          <w:rStyle w:val="SCCCounselSeparatorChar"/>
          <w:lang w:val="en-US"/>
        </w:rPr>
        <w:t xml:space="preserve">, </w:t>
      </w:r>
      <w:r w:rsidRPr="00606C27">
        <w:rPr>
          <w:rStyle w:val="SCCCounselNameChar"/>
          <w:lang w:val="en-US"/>
        </w:rPr>
        <w:t>Bryn Gray</w:t>
      </w:r>
      <w:r w:rsidRPr="00606C27">
        <w:rPr>
          <w:rStyle w:val="SCCCounselSeparatorChar"/>
          <w:lang w:val="en-US"/>
        </w:rPr>
        <w:t xml:space="preserve"> et </w:t>
      </w:r>
      <w:r w:rsidRPr="00606C27">
        <w:rPr>
          <w:rStyle w:val="SCCCounselNameChar"/>
          <w:lang w:val="en-US"/>
        </w:rPr>
        <w:t>Asher Honickman</w:t>
      </w:r>
      <w:r w:rsidRPr="00606C27">
        <w:rPr>
          <w:rStyle w:val="SCCCounselPartyRoleChar"/>
          <w:lang w:val="en-US"/>
        </w:rPr>
        <w:t>, pour l’intervenant Advocates for the Rule of Law.</w:t>
      </w:r>
    </w:p>
    <w:p w:rsidR="00E234E6" w:rsidRPr="00606C27" w:rsidRDefault="00E234E6" w:rsidP="00E234E6">
      <w:pPr>
        <w:pStyle w:val="SCCNormalDoubleSpacing"/>
        <w:spacing w:after="480"/>
        <w:rPr>
          <w:lang w:val="en-US"/>
        </w:rPr>
      </w:pPr>
      <w:r w:rsidRPr="00606C27">
        <w:rPr>
          <w:rStyle w:val="SCCCounselNameChar"/>
          <w:lang w:val="en-US"/>
        </w:rPr>
        <w:tab/>
        <w:t>Victor Carter</w:t>
      </w:r>
      <w:r w:rsidRPr="00606C27">
        <w:rPr>
          <w:rStyle w:val="SCCCounselSeparatorChar"/>
          <w:lang w:val="en-US"/>
        </w:rPr>
        <w:t xml:space="preserve">, </w:t>
      </w:r>
      <w:r w:rsidRPr="00606C27">
        <w:rPr>
          <w:rStyle w:val="SCCCounselNameChar"/>
          <w:lang w:val="en-US"/>
        </w:rPr>
        <w:t>Allison Lachance</w:t>
      </w:r>
      <w:r w:rsidRPr="00606C27">
        <w:rPr>
          <w:rStyle w:val="SCCCounselSeparatorChar"/>
          <w:lang w:val="en-US"/>
        </w:rPr>
        <w:t xml:space="preserve"> et </w:t>
      </w:r>
      <w:r w:rsidRPr="00606C27">
        <w:rPr>
          <w:rStyle w:val="SCCCounselNameChar"/>
          <w:lang w:val="en-US"/>
        </w:rPr>
        <w:t>Darryl Korell</w:t>
      </w:r>
      <w:r w:rsidRPr="00606C27">
        <w:rPr>
          <w:rStyle w:val="SCCCounselPartyRoleChar"/>
          <w:lang w:val="en-US"/>
        </w:rPr>
        <w:t>, pour l’intervenante Federation of Sovereign Indigenous Nations.</w:t>
      </w:r>
    </w:p>
    <w:p w:rsidR="003F28B8" w:rsidRPr="00606C27" w:rsidRDefault="00E234E6" w:rsidP="00E234E6">
      <w:pPr>
        <w:pStyle w:val="SCCNormalDoubleSpacing"/>
        <w:spacing w:after="480"/>
        <w:rPr>
          <w:lang w:val="en-US"/>
        </w:rPr>
      </w:pPr>
      <w:r w:rsidRPr="00606C27">
        <w:rPr>
          <w:rStyle w:val="SCCCounselNameChar"/>
          <w:lang w:val="en-US"/>
        </w:rPr>
        <w:tab/>
        <w:t xml:space="preserve">Karenna Williams </w:t>
      </w:r>
      <w:r w:rsidRPr="00606C27">
        <w:rPr>
          <w:rStyle w:val="SCCCounselSeparatorChar"/>
          <w:lang w:val="en-US"/>
        </w:rPr>
        <w:t>et</w:t>
      </w:r>
      <w:r w:rsidRPr="00606C27">
        <w:rPr>
          <w:rStyle w:val="SCCCounselNameChar"/>
          <w:lang w:val="en-US"/>
        </w:rPr>
        <w:t xml:space="preserve"> Jeff Huberman</w:t>
      </w:r>
      <w:r w:rsidRPr="00606C27">
        <w:rPr>
          <w:rStyle w:val="SCCCounselPartyRoleChar"/>
          <w:lang w:val="en-US"/>
        </w:rPr>
        <w:t>, pour l’intervenant Gitanyow Hereditary Chiefs.</w:t>
      </w:r>
    </w:p>
    <w:p w:rsidR="00E313A3" w:rsidRPr="00606C27" w:rsidRDefault="002731E1" w:rsidP="002731E1">
      <w:pPr>
        <w:pStyle w:val="SCCNormalDoubleSpacing"/>
        <w:spacing w:after="480"/>
        <w:rPr>
          <w:lang w:val="fr-CA"/>
        </w:rPr>
      </w:pPr>
      <w:r>
        <w:rPr>
          <w:lang w:val="en-US"/>
        </w:rPr>
        <w:lastRenderedPageBreak/>
        <w:tab/>
      </w:r>
      <w:r w:rsidR="00E313A3" w:rsidRPr="00606C27">
        <w:rPr>
          <w:lang w:val="fr-CA"/>
        </w:rPr>
        <w:t>Version française du jugement du juge en chef Wagner et des juges Karakatsanis et Gascon rendu par</w:t>
      </w:r>
    </w:p>
    <w:p w:rsidR="00E313A3" w:rsidRPr="00606C27" w:rsidRDefault="00E313A3" w:rsidP="00E313A3">
      <w:pPr>
        <w:pStyle w:val="JudgeJuge"/>
        <w:spacing w:before="480"/>
        <w:rPr>
          <w:lang w:val="fr-CA"/>
        </w:rPr>
      </w:pPr>
      <w:r w:rsidRPr="00606C27">
        <w:rPr>
          <w:lang w:val="fr-CA"/>
        </w:rPr>
        <w:tab/>
        <w:t xml:space="preserve">La juge Karakatsanis — </w:t>
      </w:r>
    </w:p>
    <w:p w:rsidR="00E313A3" w:rsidRPr="00606C27" w:rsidRDefault="00E313A3" w:rsidP="00E313A3">
      <w:pPr>
        <w:pStyle w:val="Title1LevelTitre1Niveau-AltL"/>
        <w:rPr>
          <w:rFonts w:cs="Times New Roman"/>
          <w:lang w:val="fr-CA"/>
        </w:rPr>
      </w:pPr>
      <w:r w:rsidRPr="00606C27">
        <w:rPr>
          <w:rFonts w:cs="Times New Roman"/>
          <w:lang w:val="fr-CA"/>
        </w:rPr>
        <w:t>Aperçu</w:t>
      </w:r>
    </w:p>
    <w:p w:rsidR="00E313A3" w:rsidRPr="00606C27" w:rsidRDefault="00E313A3" w:rsidP="00E313A3">
      <w:pPr>
        <w:pStyle w:val="ParaNoNdepar-AltN"/>
        <w:tabs>
          <w:tab w:val="clear" w:pos="1152"/>
          <w:tab w:val="left" w:pos="1166"/>
        </w:tabs>
        <w:spacing w:before="240"/>
        <w:rPr>
          <w:rFonts w:cs="Times New Roman"/>
          <w:lang w:val="fr-CA"/>
        </w:rPr>
      </w:pPr>
      <w:r w:rsidRPr="00606C27">
        <w:rPr>
          <w:rFonts w:cs="Times New Roman"/>
          <w:lang w:val="fr-CA"/>
        </w:rPr>
        <w:t xml:space="preserve">Depuis l’arrêt de principe </w:t>
      </w:r>
      <w:r w:rsidRPr="00606C27">
        <w:rPr>
          <w:rFonts w:cs="Times New Roman"/>
          <w:i/>
          <w:lang w:val="fr-CA"/>
        </w:rPr>
        <w:t>Nation haïda c. Colombie</w:t>
      </w:r>
      <w:r w:rsidRPr="00606C27">
        <w:rPr>
          <w:rFonts w:cs="Times New Roman"/>
          <w:i/>
          <w:lang w:val="fr-CA"/>
        </w:rPr>
        <w:noBreakHyphen/>
        <w:t>Britannique (Ministre des Forêts)</w:t>
      </w:r>
      <w:r w:rsidRPr="00606C27">
        <w:rPr>
          <w:rFonts w:cs="Times New Roman"/>
          <w:lang w:val="fr-CA"/>
        </w:rPr>
        <w:t xml:space="preserve">, 2004 CSC 73, [2004] 3 R.C.S. 511, l’obligation de consulter a joué un rôle central pour garantir une véritable protection aux droits ancestraux et issus de traités. Ancrée dans le principe de l’honneur de la Couronne, l’obligation en question exige que cette dernière consulte les peuples autochtones (et, s’il y a lieu, trouve des accommodements) avant de prendre des mesures susceptibles d’avoir un effet préjudiciable sur les droits protégés par l’art. 35 de la </w:t>
      </w:r>
      <w:r w:rsidRPr="00606C27">
        <w:rPr>
          <w:rFonts w:cs="Times New Roman"/>
          <w:i/>
          <w:lang w:val="fr-CA"/>
        </w:rPr>
        <w:t>Loi constitutionnelle de 1982</w:t>
      </w:r>
      <w:r w:rsidRPr="00606C27">
        <w:rPr>
          <w:rFonts w:cs="Times New Roman"/>
          <w:lang w:val="fr-CA"/>
        </w:rPr>
        <w:t xml:space="preserve"> faisant l’objet d’une revendication ou dont l’existence a été établie. L’appelante, la Mikisew Cree First Nation, soutient que la Couronne avait l’obligation de la consulter en ce qui concerne l’élaboration d’une loi de protection environnementale susceptible d’avoir un effet préjudiciable sur les droits de ses membres de chasser, de piéger et de pêcher garantis par traité. La Cour doit donc répondre à une question épineuse laissée à ce jour sans réponse : L’obligation de consulter s’applique</w:t>
      </w:r>
      <w:r w:rsidRPr="00606C27">
        <w:rPr>
          <w:rFonts w:cs="Times New Roman"/>
          <w:lang w:val="fr-CA"/>
        </w:rPr>
        <w:noBreakHyphen/>
        <w:t>t</w:t>
      </w:r>
      <w:r w:rsidRPr="00606C27">
        <w:rPr>
          <w:rFonts w:cs="Times New Roman"/>
          <w:lang w:val="fr-CA"/>
        </w:rPr>
        <w:noBreakHyphen/>
        <w:t xml:space="preserve">elle au processus législatif? </w:t>
      </w:r>
    </w:p>
    <w:p w:rsidR="00E313A3" w:rsidRPr="00606C27" w:rsidRDefault="00E313A3" w:rsidP="00E313A3">
      <w:pPr>
        <w:pStyle w:val="ParaNoNdepar-AltN"/>
        <w:tabs>
          <w:tab w:val="clear" w:pos="1152"/>
          <w:tab w:val="left" w:pos="1166"/>
        </w:tabs>
        <w:rPr>
          <w:rFonts w:cs="Times New Roman"/>
          <w:lang w:val="fr-CA"/>
        </w:rPr>
      </w:pPr>
      <w:r w:rsidRPr="00606C27">
        <w:rPr>
          <w:rFonts w:cs="Times New Roman"/>
          <w:lang w:val="fr-CA"/>
        </w:rPr>
        <w:t xml:space="preserve">Je conclus par la négative. Compte tenu de l’existence de deux principes constitutionnels — la séparation des pouvoirs et la souveraineté parlementaire —, il est </w:t>
      </w:r>
      <w:r w:rsidRPr="00606C27">
        <w:rPr>
          <w:rFonts w:cs="Times New Roman"/>
          <w:lang w:val="fr-CA"/>
        </w:rPr>
        <w:lastRenderedPageBreak/>
        <w:t>rarement approprié que les tribunaux examinent de près le processus législatif. Celui</w:t>
      </w:r>
      <w:r w:rsidRPr="00606C27">
        <w:rPr>
          <w:rFonts w:cs="Times New Roman"/>
          <w:lang w:val="fr-CA"/>
        </w:rPr>
        <w:noBreakHyphen/>
        <w:t xml:space="preserve">ci ne se déroule pas uniquement au Parlement. Il commence plutôt par l’élaboration des projets de loi. À ce stade, les ministres s’acquittent de fonctions parlementaires. Cela étant, les tribunaux doivent faire preuve de retenue lorsqu’ils se penchent sur ce processus. Étendre la doctrine de l’obligation de consulter au processus législatif obligerait l’organe judiciaire à outrepasser les aspects essentiels </w:t>
      </w:r>
      <w:r w:rsidR="009277F8">
        <w:rPr>
          <w:rFonts w:cs="Times New Roman"/>
          <w:lang w:val="fr-CA"/>
        </w:rPr>
        <w:t xml:space="preserve">de </w:t>
      </w:r>
      <w:r w:rsidRPr="00606C27">
        <w:rPr>
          <w:rFonts w:cs="Times New Roman"/>
          <w:lang w:val="fr-CA"/>
        </w:rPr>
        <w:t xml:space="preserve">son rôle institutionnel et menacerait l’équilibre respectueux qui règne entre les trois piliers de notre démocratie. Cela transposerait aussi un cadre de consultation et les recours judiciaires élaborés en relation avec des actes de l’exécutif dans la sphère distincte du législateur. Par conséquent, la doctrine de l’obligation de consulter ne convient pas au processus législatif; un processus qui ne constitue pas une « conduite de la Couronne », élément déclencheur de l’obligation de consulter. </w:t>
      </w:r>
    </w:p>
    <w:p w:rsidR="00E313A3" w:rsidRPr="00606C27" w:rsidRDefault="00E313A3" w:rsidP="00E313A3">
      <w:pPr>
        <w:pStyle w:val="ParaNoNdepar-AltN"/>
        <w:tabs>
          <w:tab w:val="clear" w:pos="1152"/>
          <w:tab w:val="left" w:pos="1166"/>
        </w:tabs>
        <w:rPr>
          <w:rFonts w:cs="Times New Roman"/>
          <w:lang w:val="fr-CA"/>
        </w:rPr>
      </w:pPr>
      <w:r w:rsidRPr="00606C27">
        <w:rPr>
          <w:rFonts w:cs="Times New Roman"/>
          <w:lang w:val="fr-CA"/>
        </w:rPr>
        <w:t xml:space="preserve">Cela ne veut toutefois pas dire que, lorsque la loi porte atteinte aux droits protégés par l’art. 35, les groupes autochtones ne disposent d’aucun recours. Évidemment, si une loi enfreint cette disposition, elle peut être déclarée invalide en application du par. 52(1) de la </w:t>
      </w:r>
      <w:r w:rsidRPr="00606C27">
        <w:rPr>
          <w:rFonts w:cs="Times New Roman"/>
          <w:i/>
          <w:lang w:val="fr-CA"/>
        </w:rPr>
        <w:t>Loi constitutionnelle de 1982</w:t>
      </w:r>
      <w:r w:rsidRPr="00606C27">
        <w:rPr>
          <w:rFonts w:cs="Times New Roman"/>
          <w:lang w:val="fr-CA"/>
        </w:rPr>
        <w:t xml:space="preserve">. En outre, l’honneur de la Couronne peut fort bien commander l’intervention des tribunaux lorsqu’une loi est susceptible d’avoir un effet préjudiciable sur les droits ancestraux et issus de traités, sans nécessairement y porter atteinte. Il faudra toutefois régler ces questions à une autre occasion. Dans le présent pourvoi, la question en litige est celle de savoir si la doctrine de l’obligation de consulter devrait s’appliquer au processus législatif. Je conclus que non. </w:t>
      </w:r>
    </w:p>
    <w:p w:rsidR="00E313A3" w:rsidRPr="00606C27" w:rsidRDefault="00E313A3" w:rsidP="00E313A3">
      <w:pPr>
        <w:pStyle w:val="Title1LevelTitre1Niveau-AltL"/>
        <w:rPr>
          <w:rFonts w:cs="Times New Roman"/>
          <w:lang w:val="fr-CA"/>
        </w:rPr>
      </w:pPr>
      <w:r w:rsidRPr="00606C27">
        <w:rPr>
          <w:rFonts w:cs="Times New Roman"/>
          <w:lang w:val="fr-CA"/>
        </w:rPr>
        <w:lastRenderedPageBreak/>
        <w:t>Contexte</w:t>
      </w:r>
    </w:p>
    <w:p w:rsidR="00E313A3" w:rsidRPr="00606C27" w:rsidRDefault="00E313A3" w:rsidP="00E313A3">
      <w:pPr>
        <w:pStyle w:val="ParaNoNdepar-AltN"/>
        <w:tabs>
          <w:tab w:val="clear" w:pos="1152"/>
          <w:tab w:val="left" w:pos="1166"/>
        </w:tabs>
        <w:rPr>
          <w:rFonts w:cs="Times New Roman"/>
          <w:lang w:val="fr-CA"/>
        </w:rPr>
      </w:pPr>
      <w:r w:rsidRPr="00606C27">
        <w:rPr>
          <w:rFonts w:cs="Times New Roman"/>
          <w:lang w:val="fr-CA"/>
        </w:rPr>
        <w:t xml:space="preserve">Les Mikisew forment une bande, au sens de la </w:t>
      </w:r>
      <w:r w:rsidRPr="00606C27">
        <w:rPr>
          <w:rFonts w:cs="Times New Roman"/>
          <w:i/>
          <w:lang w:val="fr-CA"/>
        </w:rPr>
        <w:t>Loi sur les Indiens</w:t>
      </w:r>
      <w:r w:rsidRPr="00606C27">
        <w:rPr>
          <w:rFonts w:cs="Times New Roman"/>
          <w:lang w:val="fr-CA"/>
        </w:rPr>
        <w:t>, L.R.C. 1985, c. I</w:t>
      </w:r>
      <w:r w:rsidRPr="00606C27">
        <w:rPr>
          <w:rFonts w:cs="Times New Roman"/>
          <w:lang w:val="fr-CA"/>
        </w:rPr>
        <w:noBreakHyphen/>
        <w:t>5, dont le territoire ancestral se trouve principalement dans le nord</w:t>
      </w:r>
      <w:r w:rsidRPr="00606C27">
        <w:rPr>
          <w:rFonts w:cs="Times New Roman"/>
          <w:lang w:val="fr-CA"/>
        </w:rPr>
        <w:noBreakHyphen/>
        <w:t>est de l’Alberta. C’est une région d’une immense beauté qui comprend les terres et les eaux des environs du lac Athabasca ainsi que le delta Paix</w:t>
      </w:r>
      <w:r w:rsidRPr="00606C27">
        <w:rPr>
          <w:rFonts w:cs="Times New Roman"/>
          <w:lang w:val="fr-CA"/>
        </w:rPr>
        <w:noBreakHyphen/>
        <w:t xml:space="preserve">Athabasca, et qui accueille des projets, proposés et existants, d’exploitation des sables bitumineux. </w:t>
      </w:r>
    </w:p>
    <w:p w:rsidR="00E313A3" w:rsidRPr="00606C27" w:rsidRDefault="00E313A3" w:rsidP="00E313A3">
      <w:pPr>
        <w:pStyle w:val="ParaNoNdepar-AltN"/>
        <w:tabs>
          <w:tab w:val="clear" w:pos="1152"/>
          <w:tab w:val="left" w:pos="1166"/>
        </w:tabs>
        <w:rPr>
          <w:rFonts w:cs="Times New Roman"/>
          <w:lang w:val="fr-CA"/>
        </w:rPr>
      </w:pPr>
      <w:r w:rsidRPr="00606C27">
        <w:rPr>
          <w:rFonts w:cs="Times New Roman"/>
          <w:lang w:val="fr-CA"/>
        </w:rPr>
        <w:t>Les Mikisew sont les descendants d’un groupe autochtone qui, avec plusieurs autres Premières Nations, a conclu le Traité n</w:t>
      </w:r>
      <w:r w:rsidRPr="00606C27">
        <w:rPr>
          <w:rFonts w:cs="Times New Roman"/>
          <w:vertAlign w:val="superscript"/>
          <w:lang w:val="fr-CA"/>
        </w:rPr>
        <w:t>o</w:t>
      </w:r>
      <w:r w:rsidRPr="00606C27">
        <w:rPr>
          <w:rFonts w:cs="Times New Roman"/>
          <w:lang w:val="fr-CA"/>
        </w:rPr>
        <w:t> 8 avec Sa Majesté en 1899. Aux termes de ce traité, les Premières Nations ont cédé à la Couronne une vaste superficie de terres — qui représente une grande partie de ce qui constitue aujourd’hui le nord de l’Alberta, le nord</w:t>
      </w:r>
      <w:r w:rsidRPr="00606C27">
        <w:rPr>
          <w:rFonts w:cs="Times New Roman"/>
          <w:lang w:val="fr-CA"/>
        </w:rPr>
        <w:noBreakHyphen/>
        <w:t>est de la Colombie</w:t>
      </w:r>
      <w:r w:rsidRPr="00606C27">
        <w:rPr>
          <w:rFonts w:cs="Times New Roman"/>
          <w:lang w:val="fr-CA"/>
        </w:rPr>
        <w:noBreakHyphen/>
        <w:t>Britannique, le nord</w:t>
      </w:r>
      <w:r w:rsidRPr="00606C27">
        <w:rPr>
          <w:rFonts w:cs="Times New Roman"/>
          <w:lang w:val="fr-CA"/>
        </w:rPr>
        <w:noBreakHyphen/>
        <w:t>ouest de la Saskatchewan et la partie sud des Territoires du Nord</w:t>
      </w:r>
      <w:r w:rsidRPr="00606C27">
        <w:rPr>
          <w:rFonts w:cs="Times New Roman"/>
          <w:lang w:val="fr-CA"/>
        </w:rPr>
        <w:noBreakHyphen/>
        <w:t xml:space="preserve">Ouest — en contrepartie de certaines garanties, dont celle que leurs droits de chasse, de piégeage et de pêche seraient protégés : </w:t>
      </w:r>
    </w:p>
    <w:p w:rsidR="00E313A3" w:rsidRPr="00606C27" w:rsidRDefault="00E313A3" w:rsidP="00E313A3">
      <w:pPr>
        <w:pStyle w:val="Citation-AltC"/>
        <w:tabs>
          <w:tab w:val="left" w:pos="1530"/>
        </w:tabs>
        <w:ind w:hanging="1166"/>
        <w:contextualSpacing w:val="0"/>
        <w:rPr>
          <w:smallCaps/>
          <w:lang w:val="fr-CA"/>
        </w:rPr>
      </w:pPr>
      <w:r w:rsidRPr="00606C27">
        <w:rPr>
          <w:smallCaps/>
          <w:lang w:val="fr-CA"/>
        </w:rPr>
        <w:tab/>
      </w:r>
      <w:r w:rsidRPr="00606C27">
        <w:rPr>
          <w:smallCaps/>
          <w:lang w:val="fr-CA"/>
        </w:rPr>
        <w:tab/>
        <w:t xml:space="preserve">[traduction] </w:t>
      </w:r>
      <w:r w:rsidRPr="00606C27">
        <w:rPr>
          <w:lang w:val="fr-CA"/>
        </w:rPr>
        <w:t xml:space="preserve">Et Sa Majesté la Reine </w:t>
      </w:r>
      <w:r w:rsidR="002731E1" w:rsidRPr="002731E1">
        <w:rPr>
          <w:smallCaps/>
          <w:lang w:val="fr-CA"/>
        </w:rPr>
        <w:t>convient par les présentes</w:t>
      </w:r>
      <w:r w:rsidRPr="00606C27">
        <w:rPr>
          <w:lang w:val="fr-CA"/>
        </w:rPr>
        <w:t xml:space="preserve"> avec les dits Indiens qu’ils auront le droit de se livrer à leurs occupations ordinaires de la chasse au fusil, de la chasse au piège et de la pêche dans l’étendue de pays cédée telle que ci</w:t>
      </w:r>
      <w:r w:rsidRPr="00606C27">
        <w:rPr>
          <w:lang w:val="fr-CA"/>
        </w:rPr>
        <w:noBreakHyphen/>
        <w:t>dessus décrite, subordonnées à tels règlements qui pourront être faits de temps à autre par le gouvernement du pays agissant au nom de Sa Majesté et sauf et excepté tels terrains qui de temps à autre pourront être requis ou pris pour des fins d’établissements, de mine, de commerce de bois, ou autres objets.</w:t>
      </w:r>
    </w:p>
    <w:p w:rsidR="00E313A3" w:rsidRPr="00606C27" w:rsidRDefault="00E313A3" w:rsidP="00E313A3">
      <w:pPr>
        <w:pStyle w:val="ParaNoNdepar-AltN"/>
        <w:tabs>
          <w:tab w:val="clear" w:pos="1152"/>
          <w:tab w:val="left" w:pos="1166"/>
        </w:tabs>
        <w:rPr>
          <w:rFonts w:cs="Times New Roman"/>
          <w:lang w:val="fr-CA"/>
        </w:rPr>
      </w:pPr>
      <w:r w:rsidRPr="00606C27">
        <w:rPr>
          <w:rFonts w:cs="Times New Roman"/>
          <w:lang w:val="fr-CA"/>
        </w:rPr>
        <w:lastRenderedPageBreak/>
        <w:t>La contestation des Mikisew concerne deux lois omnibus qui ont eu une incidence importante sur le régime canadien de protection environnementale. Au mois d’avril 2012, le ministre fédéral des Finances a présenté le projet de loi C</w:t>
      </w:r>
      <w:r w:rsidRPr="00606C27">
        <w:rPr>
          <w:rFonts w:cs="Times New Roman"/>
          <w:lang w:val="fr-CA"/>
        </w:rPr>
        <w:noBreakHyphen/>
        <w:t>38 (adopté sous le nom de</w:t>
      </w:r>
      <w:r w:rsidRPr="00606C27">
        <w:rPr>
          <w:rFonts w:cs="Times New Roman"/>
          <w:i/>
          <w:lang w:val="fr-CA"/>
        </w:rPr>
        <w:t xml:space="preserve"> Loi sur l’emploi, la croissance et la prospérité durable</w:t>
      </w:r>
      <w:r w:rsidRPr="00606C27">
        <w:rPr>
          <w:rFonts w:cs="Times New Roman"/>
          <w:lang w:val="fr-CA"/>
        </w:rPr>
        <w:t>, L.C. 2012, c. 19), qui a reçu la sanction royale au mois de juin 2012. Plus tard cette année</w:t>
      </w:r>
      <w:r w:rsidRPr="00606C27">
        <w:rPr>
          <w:rFonts w:cs="Times New Roman"/>
          <w:lang w:val="fr-CA"/>
        </w:rPr>
        <w:noBreakHyphen/>
        <w:t>là, le ministre a présenté le projet de loi C</w:t>
      </w:r>
      <w:r w:rsidRPr="00606C27">
        <w:rPr>
          <w:rFonts w:cs="Times New Roman"/>
          <w:lang w:val="fr-CA"/>
        </w:rPr>
        <w:noBreakHyphen/>
        <w:t xml:space="preserve">45 (adopté sous le nom de </w:t>
      </w:r>
      <w:r w:rsidRPr="00606C27">
        <w:rPr>
          <w:rFonts w:cs="Times New Roman"/>
          <w:i/>
          <w:lang w:val="fr-CA"/>
        </w:rPr>
        <w:t>Loi de 2012 sur l’emploi et la croissance</w:t>
      </w:r>
      <w:r w:rsidRPr="00606C27">
        <w:rPr>
          <w:rFonts w:cs="Times New Roman"/>
          <w:lang w:val="fr-CA"/>
        </w:rPr>
        <w:t xml:space="preserve">, L.C. 2012, c. 31), qui a reçu la sanction royale au mois de décembre 2012. </w:t>
      </w:r>
    </w:p>
    <w:p w:rsidR="00E313A3" w:rsidRPr="00606C27" w:rsidRDefault="00E313A3" w:rsidP="00E313A3">
      <w:pPr>
        <w:pStyle w:val="ParaNoNdepar-AltN"/>
        <w:tabs>
          <w:tab w:val="clear" w:pos="1152"/>
          <w:tab w:val="left" w:pos="1166"/>
        </w:tabs>
        <w:rPr>
          <w:rFonts w:cs="Times New Roman"/>
          <w:lang w:val="fr-CA"/>
        </w:rPr>
      </w:pPr>
      <w:r w:rsidRPr="00606C27">
        <w:rPr>
          <w:rFonts w:cs="Times New Roman"/>
          <w:lang w:val="fr-CA"/>
        </w:rPr>
        <w:t xml:space="preserve">Ces projets de loi avaient une large portée. Ensemble, ils ont mené à l’abrogation de la </w:t>
      </w:r>
      <w:r w:rsidRPr="00606C27">
        <w:rPr>
          <w:rFonts w:cs="Times New Roman"/>
          <w:i/>
          <w:lang w:val="fr-CA"/>
        </w:rPr>
        <w:t>Loi canadienne sur l’évaluation environnementale</w:t>
      </w:r>
      <w:r w:rsidRPr="00606C27">
        <w:rPr>
          <w:rFonts w:cs="Times New Roman"/>
          <w:lang w:val="fr-CA"/>
        </w:rPr>
        <w:t xml:space="preserve">, L.C. 1992, c. 37, et à l’adoption de la </w:t>
      </w:r>
      <w:r w:rsidRPr="00606C27">
        <w:rPr>
          <w:rFonts w:cs="Times New Roman"/>
          <w:i/>
          <w:lang w:val="fr-CA"/>
        </w:rPr>
        <w:t>Loi canadienne sur l’évaluation environnementale (2012)</w:t>
      </w:r>
      <w:r w:rsidRPr="00606C27">
        <w:rPr>
          <w:rFonts w:cs="Times New Roman"/>
          <w:lang w:val="fr-CA"/>
        </w:rPr>
        <w:t xml:space="preserve">, L.C. 2012, c. 19, art. 52. Ils apportaient également d’importantes modifications au régime de protection mis en place par la </w:t>
      </w:r>
      <w:r w:rsidRPr="00606C27">
        <w:rPr>
          <w:rFonts w:cs="Times New Roman"/>
          <w:i/>
          <w:lang w:val="fr-CA"/>
        </w:rPr>
        <w:t>Loi sur les pêches</w:t>
      </w:r>
      <w:r w:rsidRPr="00606C27">
        <w:rPr>
          <w:rFonts w:cs="Times New Roman"/>
          <w:lang w:val="fr-CA"/>
        </w:rPr>
        <w:t>, L.R.C. 1985, c. F</w:t>
      </w:r>
      <w:r w:rsidRPr="00606C27">
        <w:rPr>
          <w:rFonts w:cs="Times New Roman"/>
          <w:lang w:val="fr-CA"/>
        </w:rPr>
        <w:noBreakHyphen/>
        <w:t xml:space="preserve">14, et ils modifiaient la </w:t>
      </w:r>
      <w:r w:rsidRPr="00606C27">
        <w:rPr>
          <w:rFonts w:cs="Times New Roman"/>
          <w:i/>
          <w:lang w:val="fr-CA"/>
        </w:rPr>
        <w:t>Loi sur les espèces en péril</w:t>
      </w:r>
      <w:r w:rsidRPr="00606C27">
        <w:rPr>
          <w:rFonts w:cs="Times New Roman"/>
          <w:lang w:val="fr-CA"/>
        </w:rPr>
        <w:t xml:space="preserve">, L.C. 2002, c. 29, ainsi que la </w:t>
      </w:r>
      <w:r w:rsidRPr="00606C27">
        <w:rPr>
          <w:rFonts w:cs="Times New Roman"/>
          <w:i/>
          <w:lang w:val="fr-CA"/>
        </w:rPr>
        <w:t>Loi sur la protection des eaux navigables</w:t>
      </w:r>
      <w:r w:rsidRPr="00606C27">
        <w:rPr>
          <w:rFonts w:cs="Times New Roman"/>
          <w:lang w:val="fr-CA"/>
        </w:rPr>
        <w:t xml:space="preserve">, qui a été renommée la </w:t>
      </w:r>
      <w:r w:rsidRPr="00606C27">
        <w:rPr>
          <w:rFonts w:cs="Times New Roman"/>
          <w:i/>
          <w:lang w:val="fr-CA"/>
        </w:rPr>
        <w:t>Loi sur la protection de la navigation</w:t>
      </w:r>
      <w:r w:rsidRPr="00606C27">
        <w:rPr>
          <w:rFonts w:cs="Times New Roman"/>
          <w:lang w:val="fr-CA"/>
        </w:rPr>
        <w:t>, L.R.C. 1985, c. N</w:t>
      </w:r>
      <w:r w:rsidRPr="00606C27">
        <w:rPr>
          <w:rFonts w:cs="Times New Roman"/>
          <w:lang w:val="fr-CA"/>
        </w:rPr>
        <w:noBreakHyphen/>
        <w:t xml:space="preserve">22. </w:t>
      </w:r>
    </w:p>
    <w:p w:rsidR="00E313A3" w:rsidRPr="00606C27" w:rsidRDefault="00E313A3" w:rsidP="00E313A3">
      <w:pPr>
        <w:pStyle w:val="ParaNoNdepar-AltN"/>
        <w:tabs>
          <w:tab w:val="clear" w:pos="1152"/>
          <w:tab w:val="left" w:pos="1166"/>
        </w:tabs>
        <w:rPr>
          <w:rFonts w:cs="Times New Roman"/>
          <w:lang w:val="fr-CA"/>
        </w:rPr>
      </w:pPr>
      <w:r w:rsidRPr="00606C27">
        <w:rPr>
          <w:rFonts w:cs="Times New Roman"/>
          <w:lang w:val="fr-CA"/>
        </w:rPr>
        <w:t xml:space="preserve">Aucune consultation n’a été menée auprès des Mikisew quant aux deux projets de loi omnibus ni à quelque étape que ce soit de leur élaboration ni avant qu’ils ne reçoivent la sanction royale. </w:t>
      </w:r>
    </w:p>
    <w:p w:rsidR="00E313A3" w:rsidRPr="00606C27" w:rsidRDefault="00E313A3" w:rsidP="00E313A3">
      <w:pPr>
        <w:pStyle w:val="ParaNoNdepar-AltN"/>
        <w:tabs>
          <w:tab w:val="clear" w:pos="1152"/>
          <w:tab w:val="left" w:pos="1166"/>
        </w:tabs>
        <w:rPr>
          <w:rFonts w:cs="Times New Roman"/>
          <w:lang w:val="fr-CA"/>
        </w:rPr>
      </w:pPr>
      <w:r w:rsidRPr="00606C27">
        <w:rPr>
          <w:rFonts w:cs="Times New Roman"/>
          <w:lang w:val="fr-CA"/>
        </w:rPr>
        <w:t xml:space="preserve">Les Mikisew ont présenté une demande de contrôle judiciaire en vertu des art. 18 et 18.1 de la </w:t>
      </w:r>
      <w:r w:rsidRPr="00606C27">
        <w:rPr>
          <w:rFonts w:cs="Times New Roman"/>
          <w:i/>
          <w:lang w:val="fr-CA"/>
        </w:rPr>
        <w:t>Loi sur les Cours fédérales</w:t>
      </w:r>
      <w:r w:rsidRPr="00606C27">
        <w:rPr>
          <w:rFonts w:cs="Times New Roman"/>
          <w:lang w:val="fr-CA"/>
        </w:rPr>
        <w:t>, L.R.C. 1985, c. F</w:t>
      </w:r>
      <w:r w:rsidRPr="00606C27">
        <w:rPr>
          <w:rFonts w:cs="Times New Roman"/>
          <w:lang w:val="fr-CA"/>
        </w:rPr>
        <w:noBreakHyphen/>
        <w:t xml:space="preserve">7, par laquelle ils </w:t>
      </w:r>
      <w:r w:rsidRPr="00606C27">
        <w:rPr>
          <w:rFonts w:cs="Times New Roman"/>
          <w:lang w:val="fr-CA"/>
        </w:rPr>
        <w:lastRenderedPageBreak/>
        <w:t>sollicitaient diverses déclarations et ordonnances relatives à l’obligation des ministres intimés de les consulter en ce qui concerne la présentation et l’élaboration des projets de loi omnibus.</w:t>
      </w:r>
    </w:p>
    <w:p w:rsidR="00E313A3" w:rsidRPr="00606C27" w:rsidRDefault="00E313A3" w:rsidP="00E313A3">
      <w:pPr>
        <w:pStyle w:val="ParaNoNdepar-AltN"/>
        <w:tabs>
          <w:tab w:val="clear" w:pos="1152"/>
          <w:tab w:val="left" w:pos="1166"/>
        </w:tabs>
        <w:rPr>
          <w:rFonts w:cs="Times New Roman"/>
          <w:lang w:val="fr-CA"/>
        </w:rPr>
      </w:pPr>
      <w:r w:rsidRPr="00606C27">
        <w:rPr>
          <w:rFonts w:cs="Times New Roman"/>
          <w:lang w:val="fr-CA"/>
        </w:rPr>
        <w:t xml:space="preserve">Le juge Hughes, saisi de la demande de contrôle, a conclu que le par. 2(2) de la </w:t>
      </w:r>
      <w:r w:rsidRPr="00606C27">
        <w:rPr>
          <w:rFonts w:cs="Times New Roman"/>
          <w:i/>
          <w:lang w:val="fr-CA"/>
        </w:rPr>
        <w:t>Loi sur les Cours fédérales</w:t>
      </w:r>
      <w:r w:rsidRPr="00606C27">
        <w:rPr>
          <w:rFonts w:cs="Times New Roman"/>
          <w:lang w:val="fr-CA"/>
        </w:rPr>
        <w:t xml:space="preserve"> n’avait pas pour effet d’exclure l’instance et que cette dernière comportait une question justiciable : </w:t>
      </w:r>
      <w:r w:rsidRPr="00606C27">
        <w:rPr>
          <w:rFonts w:eastAsia="Times New Roman" w:cs="Times New Roman"/>
          <w:szCs w:val="24"/>
          <w:lang w:val="fr-CA" w:eastAsia="en-CA"/>
        </w:rPr>
        <w:t>2014 CF 1244, 470 F.T.R. 243</w:t>
      </w:r>
      <w:r w:rsidRPr="00606C27">
        <w:rPr>
          <w:rFonts w:cs="Times New Roman"/>
          <w:lang w:val="fr-CA"/>
        </w:rPr>
        <w:t xml:space="preserve">. Il a précisé qu’une intervention judiciaire dans le processus législatif contreviendrait au principe de la séparation des pouvoirs. Par conséquent, si l’élaboration d’une politique par les ministres déclenchait une obligation de consulter, les tribunaux ne peuvent voir à son application avant qu’un projet de loi soit déposé au Parlement. Le juge Hughes s’est ensuite demandé s’il existait une obligation de consulter en l’espèce. Il a tenu pour acquis que les mesures que prennent les ministres du Cabinet avant le dépôt d’un projet de loi au Parlement peuvent constituer une conduite de la Couronne qui déclenche l’obligation de consulter. Il a conclu que les propositions contenues dans les projets de loi omnibus étaient susceptibles d’avoir un effet préjudiciable sur les droits des Mikisew garantis par traité. Il a donc déclaré que l’obligation de consulter s’appliquait. Les Mikisew avaient le droit de recevoir un avis les informant des dispositions des projets de loi omnibus qui, raisonnablement, pouvaient porter préjudice à leurs droits issus de traités et de se voir offrir la possibilité de présenter des observations. La Cour fédérale a rendu une ordonnance déclaratoire en ce sens. </w:t>
      </w:r>
    </w:p>
    <w:p w:rsidR="00E313A3" w:rsidRPr="00606C27" w:rsidRDefault="00E313A3" w:rsidP="00E313A3">
      <w:pPr>
        <w:pStyle w:val="ParaNoNdepar-AltN"/>
        <w:tabs>
          <w:tab w:val="clear" w:pos="1152"/>
          <w:tab w:val="left" w:pos="1166"/>
        </w:tabs>
        <w:rPr>
          <w:rFonts w:cs="Times New Roman"/>
          <w:lang w:val="fr-CA"/>
        </w:rPr>
      </w:pPr>
      <w:r w:rsidRPr="00606C27">
        <w:rPr>
          <w:rFonts w:cs="Times New Roman"/>
          <w:lang w:val="fr-CA"/>
        </w:rPr>
        <w:lastRenderedPageBreak/>
        <w:t xml:space="preserve">La Cour d’appel fédérale a accueilli l’appel : 2016 CAF 311, [2017] 3 R.C.F. 298. Les juges de Montigny et Webb, majoritaires, ont conclu que le juge saisi de la demande de contrôle avait commis une erreur en procédant au contrôle judiciaire d’une mesure législative en contravention de la </w:t>
      </w:r>
      <w:r w:rsidRPr="00606C27">
        <w:rPr>
          <w:rFonts w:cs="Times New Roman"/>
          <w:i/>
          <w:lang w:val="fr-CA"/>
        </w:rPr>
        <w:t>Loi sur les Cours fédérales</w:t>
      </w:r>
      <w:r w:rsidRPr="00606C27">
        <w:rPr>
          <w:rFonts w:cs="Times New Roman"/>
          <w:lang w:val="fr-CA"/>
        </w:rPr>
        <w:t xml:space="preserve">. Selon la Cour d’appel, lorsque les ministres élaborent une politique, ils agissent à titre de législateurs et leurs actions ne sont pas assujetties au contrôle des tribunaux. Les juges majoritaires ont également conclu que la décision de première instance ne respectait pas les principes de la souveraineté parlementaire, de la séparation des pouvoirs et du privilège parlementaire. Ces principes exigent que les tribunaux s’abstiennent de superviser le processus législatif. De plus, imposer une obligation de consulter dans le cadre du processus législatif serait peu pratique et entraverait la capacité législative du Parlement. </w:t>
      </w:r>
    </w:p>
    <w:p w:rsidR="00E313A3" w:rsidRPr="00606C27" w:rsidRDefault="00E313A3" w:rsidP="00E313A3">
      <w:pPr>
        <w:pStyle w:val="ParaNoNdepar-AltN"/>
        <w:tabs>
          <w:tab w:val="clear" w:pos="1152"/>
          <w:tab w:val="left" w:pos="1166"/>
        </w:tabs>
        <w:rPr>
          <w:rFonts w:cs="Times New Roman"/>
          <w:lang w:val="fr-CA"/>
        </w:rPr>
      </w:pPr>
      <w:r w:rsidRPr="00606C27">
        <w:rPr>
          <w:rFonts w:cs="Times New Roman"/>
          <w:lang w:val="fr-CA"/>
        </w:rPr>
        <w:t xml:space="preserve">Dans des motifs concordants, le juge Pelletier a conclu que la </w:t>
      </w:r>
      <w:r w:rsidRPr="00606C27">
        <w:rPr>
          <w:rFonts w:cs="Times New Roman"/>
          <w:i/>
          <w:lang w:val="fr-CA"/>
        </w:rPr>
        <w:t>Loi sur les Cours fédérales</w:t>
      </w:r>
      <w:r w:rsidRPr="00606C27">
        <w:rPr>
          <w:rFonts w:cs="Times New Roman"/>
          <w:lang w:val="fr-CA"/>
        </w:rPr>
        <w:t xml:space="preserve"> ne faisait pas obstacle à la demande des Mikisew. Selon lui, bien que la Cour fédérale n’ait peut</w:t>
      </w:r>
      <w:r w:rsidRPr="00606C27">
        <w:rPr>
          <w:rFonts w:cs="Times New Roman"/>
          <w:lang w:val="fr-CA"/>
        </w:rPr>
        <w:noBreakHyphen/>
        <w:t xml:space="preserve">être pas été valablement saisie d’une demande de contrôle judiciaire, elle avait néanmoins compétence sur l’affaire en vertu de l’art. 17 de la </w:t>
      </w:r>
      <w:r w:rsidRPr="00606C27">
        <w:rPr>
          <w:rFonts w:cs="Times New Roman"/>
          <w:i/>
          <w:lang w:val="fr-CA"/>
        </w:rPr>
        <w:t>Loi sur les Cours fédérales</w:t>
      </w:r>
      <w:r w:rsidRPr="00606C27">
        <w:rPr>
          <w:rFonts w:cs="Times New Roman"/>
          <w:lang w:val="fr-CA"/>
        </w:rPr>
        <w:t xml:space="preserve">, puisque les Mikisew demandaient réparation contre la Couronne. Le juge Pelletier a signalé qu’il pourrait se révéler problématique de conclure qu’une mesure législative ne peut </w:t>
      </w:r>
      <w:r w:rsidRPr="00606C27">
        <w:rPr>
          <w:rFonts w:cs="Times New Roman"/>
          <w:i/>
          <w:lang w:val="fr-CA"/>
        </w:rPr>
        <w:t>en aucun cas</w:t>
      </w:r>
      <w:r w:rsidRPr="00606C27">
        <w:rPr>
          <w:rFonts w:cs="Times New Roman"/>
          <w:lang w:val="fr-CA"/>
        </w:rPr>
        <w:t xml:space="preserve"> déclencher l’obligation de consulter. Toutefois, il a conclu que cette obligation ne prend pas naissance s’il s’agit d’une loi d’application générale dont les effets ne sont pas limités aux droits en cause. </w:t>
      </w:r>
      <w:r w:rsidRPr="00606C27">
        <w:rPr>
          <w:rFonts w:cs="Times New Roman"/>
          <w:lang w:val="fr-CA"/>
        </w:rPr>
        <w:lastRenderedPageBreak/>
        <w:t xml:space="preserve">Comme les lois omnibus appartenaient à cette catégorie, l’obligation de consulter n’entrait pas en jeu. </w:t>
      </w:r>
    </w:p>
    <w:p w:rsidR="00E313A3" w:rsidRPr="00606C27" w:rsidRDefault="00E313A3" w:rsidP="00E313A3">
      <w:pPr>
        <w:pStyle w:val="Title1LevelTitre1Niveau-AltL"/>
        <w:rPr>
          <w:rFonts w:cs="Times New Roman"/>
          <w:lang w:val="fr-CA"/>
        </w:rPr>
      </w:pPr>
      <w:r w:rsidRPr="00606C27">
        <w:rPr>
          <w:rFonts w:cs="Times New Roman"/>
          <w:lang w:val="fr-CA"/>
        </w:rPr>
        <w:t>Analyse</w:t>
      </w:r>
    </w:p>
    <w:p w:rsidR="00E313A3" w:rsidRPr="00606C27" w:rsidRDefault="00E313A3" w:rsidP="00E313A3">
      <w:pPr>
        <w:pStyle w:val="Title2LevelTitre2Niveau"/>
        <w:rPr>
          <w:rFonts w:cs="Times New Roman"/>
          <w:lang w:val="fr-CA"/>
        </w:rPr>
      </w:pPr>
      <w:r w:rsidRPr="00606C27">
        <w:rPr>
          <w:rFonts w:cs="Times New Roman"/>
          <w:lang w:val="fr-CA"/>
        </w:rPr>
        <w:t>Compétence</w:t>
      </w:r>
    </w:p>
    <w:p w:rsidR="00E313A3" w:rsidRPr="00606C27" w:rsidRDefault="00E313A3" w:rsidP="00E313A3">
      <w:pPr>
        <w:pStyle w:val="ParaNoNdepar-AltN"/>
        <w:tabs>
          <w:tab w:val="clear" w:pos="1152"/>
          <w:tab w:val="left" w:pos="1166"/>
        </w:tabs>
        <w:rPr>
          <w:rFonts w:cs="Times New Roman"/>
          <w:lang w:val="fr-CA"/>
        </w:rPr>
      </w:pPr>
      <w:r w:rsidRPr="00606C27">
        <w:rPr>
          <w:rFonts w:cs="Times New Roman"/>
          <w:lang w:val="fr-CA"/>
        </w:rPr>
        <w:t xml:space="preserve">Pour que la Cour fédérale puisse avoir compétence, la loi doit la lui avoir attribuée : </w:t>
      </w:r>
      <w:r w:rsidRPr="00606C27">
        <w:rPr>
          <w:rFonts w:cs="Times New Roman"/>
          <w:i/>
          <w:lang w:val="fr-CA"/>
        </w:rPr>
        <w:t>Windsor (</w:t>
      </w:r>
      <w:r w:rsidR="009277F8">
        <w:rPr>
          <w:rFonts w:cs="Times New Roman"/>
          <w:i/>
          <w:lang w:val="fr-CA"/>
        </w:rPr>
        <w:t>City</w:t>
      </w:r>
      <w:r w:rsidRPr="00606C27">
        <w:rPr>
          <w:rFonts w:cs="Times New Roman"/>
          <w:i/>
          <w:lang w:val="fr-CA"/>
        </w:rPr>
        <w:t>) c. Canadian Transit Co.</w:t>
      </w:r>
      <w:r w:rsidRPr="00606C27">
        <w:rPr>
          <w:rFonts w:cs="Times New Roman"/>
          <w:lang w:val="fr-CA"/>
        </w:rPr>
        <w:t>, 2016 CSC 54, [2016] 2 R.C.S. 617, par. 34.</w:t>
      </w:r>
    </w:p>
    <w:p w:rsidR="00E313A3" w:rsidRPr="00606C27" w:rsidRDefault="00E313A3" w:rsidP="00E313A3">
      <w:pPr>
        <w:pStyle w:val="ParaNoNdepar-AltN"/>
        <w:rPr>
          <w:rFonts w:cs="Times New Roman"/>
          <w:lang w:val="fr-CA"/>
        </w:rPr>
      </w:pPr>
      <w:r w:rsidRPr="00606C27">
        <w:rPr>
          <w:rFonts w:cs="Times New Roman"/>
          <w:lang w:val="fr-CA"/>
        </w:rPr>
        <w:t xml:space="preserve">Deux dispositions potentiellement attributives de compétence interviennent dans le présent pourvoi : les art. 17 et 18 de la </w:t>
      </w:r>
      <w:r w:rsidRPr="00606C27">
        <w:rPr>
          <w:rFonts w:cs="Times New Roman"/>
          <w:i/>
          <w:lang w:val="fr-CA"/>
        </w:rPr>
        <w:t>Loi sur les Cours fédérales</w:t>
      </w:r>
      <w:r w:rsidRPr="00606C27">
        <w:rPr>
          <w:rFonts w:cs="Times New Roman"/>
          <w:lang w:val="fr-CA"/>
        </w:rPr>
        <w:t>. Je traiterai de chacune d’elles à tour de rôle.</w:t>
      </w:r>
    </w:p>
    <w:p w:rsidR="00E313A3" w:rsidRPr="00606C27" w:rsidRDefault="00E313A3" w:rsidP="00E313A3">
      <w:pPr>
        <w:pStyle w:val="Title3LevelTitre3Niveau"/>
        <w:numPr>
          <w:ilvl w:val="2"/>
          <w:numId w:val="8"/>
        </w:numPr>
        <w:jc w:val="left"/>
        <w:rPr>
          <w:rFonts w:cs="Times New Roman"/>
          <w:lang w:val="fr-CA"/>
        </w:rPr>
      </w:pPr>
      <w:r w:rsidRPr="00606C27">
        <w:rPr>
          <w:rFonts w:cs="Times New Roman"/>
          <w:lang w:val="fr-CA"/>
        </w:rPr>
        <w:t xml:space="preserve">Article 17 de la </w:t>
      </w:r>
      <w:r w:rsidRPr="00606C27">
        <w:rPr>
          <w:rFonts w:cs="Times New Roman"/>
          <w:i/>
          <w:lang w:val="fr-CA"/>
        </w:rPr>
        <w:t>Loi sur les Cours fédérales</w:t>
      </w:r>
    </w:p>
    <w:p w:rsidR="00E313A3" w:rsidRPr="00606C27" w:rsidRDefault="00E313A3" w:rsidP="00E313A3">
      <w:pPr>
        <w:pStyle w:val="ParaNoNdepar-AltN"/>
        <w:rPr>
          <w:rFonts w:cs="Times New Roman"/>
          <w:lang w:val="fr-CA"/>
        </w:rPr>
      </w:pPr>
      <w:r w:rsidRPr="00606C27">
        <w:rPr>
          <w:rFonts w:cs="Times New Roman"/>
          <w:lang w:val="fr-CA"/>
        </w:rPr>
        <w:t>Les Mikisew n’ont</w:t>
      </w:r>
      <w:r w:rsidR="009277F8">
        <w:rPr>
          <w:rFonts w:cs="Times New Roman"/>
          <w:lang w:val="fr-CA"/>
        </w:rPr>
        <w:t xml:space="preserve"> pas</w:t>
      </w:r>
      <w:r w:rsidRPr="00606C27">
        <w:rPr>
          <w:rFonts w:cs="Times New Roman"/>
          <w:lang w:val="fr-CA"/>
        </w:rPr>
        <w:t xml:space="preserve"> invoqué l’art. 17 en tant que disposition attributive de compétence ni en première instance ni dans leur plaidoirie devant la Cour. Or, le juge Pelletier, de la Cour d’appel fédérale, a déclaré que cette disposition conférait une compétence en l’espèce. De plus, bien que la première demande des Mikisew ait été qualifiée de demande de contrôle judiciaire visée à l’art. 18 (et non à l’art. 17), les </w:t>
      </w:r>
      <w:r w:rsidRPr="00606C27">
        <w:rPr>
          <w:rFonts w:cs="Times New Roman"/>
          <w:i/>
          <w:lang w:val="fr-CA"/>
        </w:rPr>
        <w:t>Règles des Cours fédérales</w:t>
      </w:r>
      <w:r w:rsidRPr="00606C27">
        <w:rPr>
          <w:rFonts w:cs="Times New Roman"/>
          <w:lang w:val="fr-CA"/>
        </w:rPr>
        <w:t>, DORS/98</w:t>
      </w:r>
      <w:r w:rsidRPr="00606C27">
        <w:rPr>
          <w:rFonts w:cs="Times New Roman"/>
          <w:lang w:val="fr-CA"/>
        </w:rPr>
        <w:noBreakHyphen/>
        <w:t xml:space="preserve">106, prévoient que « [l]a </w:t>
      </w:r>
      <w:r w:rsidRPr="00606C27">
        <w:rPr>
          <w:rFonts w:cs="Times New Roman"/>
          <w:lang w:val="fr-FR"/>
        </w:rPr>
        <w:t xml:space="preserve">Cour n’annule pas un </w:t>
      </w:r>
      <w:r w:rsidRPr="00606C27">
        <w:rPr>
          <w:rFonts w:cs="Times New Roman"/>
          <w:lang w:val="fr-FR"/>
        </w:rPr>
        <w:lastRenderedPageBreak/>
        <w:t>acte introductif d’instance au seul motif que l’instance aurait dû être introduite par un autre acte introductif d’instance </w:t>
      </w:r>
      <w:r w:rsidRPr="00606C27">
        <w:rPr>
          <w:rFonts w:cs="Times New Roman"/>
          <w:lang w:val="fr-CA"/>
        </w:rPr>
        <w:t xml:space="preserve">» : règle 57. </w:t>
      </w:r>
    </w:p>
    <w:p w:rsidR="00E313A3" w:rsidRPr="00606C27" w:rsidRDefault="00E313A3" w:rsidP="00E313A3">
      <w:pPr>
        <w:pStyle w:val="ParaNoNdepar-AltN"/>
        <w:rPr>
          <w:rFonts w:cs="Times New Roman"/>
          <w:lang w:val="fr-CA"/>
        </w:rPr>
      </w:pPr>
      <w:r w:rsidRPr="00606C27">
        <w:rPr>
          <w:rFonts w:cs="Times New Roman"/>
          <w:lang w:val="fr-CA"/>
        </w:rPr>
        <w:t>Aux termes du par. 17(1) de la Loi, la « </w:t>
      </w:r>
      <w:r w:rsidRPr="00606C27">
        <w:rPr>
          <w:rFonts w:cs="Times New Roman"/>
          <w:lang w:val="fr-FR"/>
        </w:rPr>
        <w:t>Cour fédérale a compétence concurrente, en première instance, dans les cas de demande de réparation contre la Couronne</w:t>
      </w:r>
      <w:r w:rsidRPr="00606C27">
        <w:rPr>
          <w:rFonts w:cs="Times New Roman"/>
          <w:lang w:val="fr-CA"/>
        </w:rPr>
        <w:t xml:space="preserve"> ». En outre, le par. 2(1) de la Loi définit la </w:t>
      </w:r>
      <w:r w:rsidR="002731E1">
        <w:rPr>
          <w:rFonts w:cs="Times New Roman"/>
          <w:lang w:val="fr-CA"/>
        </w:rPr>
        <w:t>« </w:t>
      </w:r>
      <w:r w:rsidRPr="00606C27">
        <w:rPr>
          <w:rFonts w:cs="Times New Roman"/>
          <w:lang w:val="fr-CA"/>
        </w:rPr>
        <w:t>Couronne</w:t>
      </w:r>
      <w:r w:rsidR="002731E1">
        <w:rPr>
          <w:rFonts w:cs="Times New Roman"/>
          <w:lang w:val="fr-CA"/>
        </w:rPr>
        <w:t> »</w:t>
      </w:r>
      <w:r w:rsidRPr="00606C27">
        <w:rPr>
          <w:rFonts w:cs="Times New Roman"/>
          <w:lang w:val="fr-CA"/>
        </w:rPr>
        <w:t xml:space="preserve"> comme étant « Sa Majesté du chef du Canada ». Je reconnais toutefois que ce nom ne s’étend pas aux acteurs de l’exécutif qui exercent un « pouvoir législatif » : </w:t>
      </w:r>
      <w:r w:rsidRPr="00606C27">
        <w:rPr>
          <w:rFonts w:cs="Times New Roman"/>
          <w:i/>
          <w:lang w:val="fr-CA"/>
        </w:rPr>
        <w:t>Fédération Franco</w:t>
      </w:r>
      <w:r w:rsidRPr="00606C27">
        <w:rPr>
          <w:rFonts w:cs="Times New Roman"/>
          <w:i/>
          <w:lang w:val="fr-CA"/>
        </w:rPr>
        <w:noBreakHyphen/>
        <w:t>ténoise c. Canada</w:t>
      </w:r>
      <w:r w:rsidRPr="00606C27">
        <w:rPr>
          <w:rFonts w:cs="Times New Roman"/>
          <w:lang w:val="fr-CA"/>
        </w:rPr>
        <w:t>, 2001 CAF 220, [2001] 3 C.F. 641, par. 58. En l’espèce, comme je l’expliquerai, les Mikisew contestent des mesures qui sont uniformément de nature législative. Par conséquent, leur demande ne vise pas « la Couronne » dans l’exercice de sa fonction exécutive. L’article 17 ne confère donc pas à la Cour fédérale compétence sur la demande des Mikisew.</w:t>
      </w:r>
    </w:p>
    <w:p w:rsidR="00E313A3" w:rsidRPr="00606C27" w:rsidRDefault="00E313A3" w:rsidP="00E313A3">
      <w:pPr>
        <w:pStyle w:val="Title3LevelTitre3Niveau"/>
        <w:rPr>
          <w:lang w:val="fr-CA"/>
        </w:rPr>
      </w:pPr>
      <w:r w:rsidRPr="00606C27">
        <w:rPr>
          <w:lang w:val="fr-CA"/>
        </w:rPr>
        <w:t xml:space="preserve">Article 18 de la </w:t>
      </w:r>
      <w:r w:rsidRPr="002731E1">
        <w:rPr>
          <w:i/>
          <w:lang w:val="fr-CA"/>
        </w:rPr>
        <w:t>Loi sur les Cours fédérales</w:t>
      </w:r>
    </w:p>
    <w:p w:rsidR="00E313A3" w:rsidRPr="00606C27" w:rsidRDefault="00E313A3" w:rsidP="00E313A3">
      <w:pPr>
        <w:pStyle w:val="ParaNoNdepar-AltN"/>
        <w:tabs>
          <w:tab w:val="clear" w:pos="1152"/>
          <w:tab w:val="left" w:pos="1166"/>
        </w:tabs>
        <w:rPr>
          <w:rFonts w:cs="Times New Roman"/>
          <w:lang w:val="fr-CA"/>
        </w:rPr>
      </w:pPr>
      <w:r w:rsidRPr="00606C27">
        <w:rPr>
          <w:rFonts w:cs="Times New Roman"/>
          <w:lang w:val="fr-CA"/>
        </w:rPr>
        <w:t xml:space="preserve">Les Mikisew ont </w:t>
      </w:r>
      <w:r w:rsidR="009277F8">
        <w:rPr>
          <w:rFonts w:cs="Times New Roman"/>
          <w:lang w:val="fr-CA"/>
        </w:rPr>
        <w:t>déposé</w:t>
      </w:r>
      <w:r w:rsidRPr="00606C27">
        <w:rPr>
          <w:rFonts w:cs="Times New Roman"/>
          <w:lang w:val="fr-CA"/>
        </w:rPr>
        <w:t xml:space="preserve"> la présente demande de contrôle judiciaire, en application des art. 18 et 18.1 de la </w:t>
      </w:r>
      <w:r w:rsidRPr="00606C27">
        <w:rPr>
          <w:rFonts w:cs="Times New Roman"/>
          <w:i/>
          <w:lang w:val="fr-CA"/>
        </w:rPr>
        <w:t>Loi sur les Cours fédérales</w:t>
      </w:r>
      <w:r w:rsidRPr="00606C27">
        <w:rPr>
          <w:rFonts w:cs="Times New Roman"/>
          <w:lang w:val="fr-CA"/>
        </w:rPr>
        <w:t xml:space="preserve">, à l’égard du processus d’élaboration des lois omnibus par les ministres intimés. Je souscris aux conclusions et aux motifs des juges majoritaires de la Cour d’appel fédérale selon lesquels la Cour fédérale n’a pas été saisie à bon droit de la demande de contrôle judiciaire en l’espèce. </w:t>
      </w:r>
    </w:p>
    <w:p w:rsidR="00E313A3" w:rsidRPr="00606C27" w:rsidRDefault="00E313A3" w:rsidP="00E313A3">
      <w:pPr>
        <w:pStyle w:val="ParaNoNdepar-AltN"/>
        <w:tabs>
          <w:tab w:val="clear" w:pos="1152"/>
          <w:tab w:val="left" w:pos="1166"/>
        </w:tabs>
        <w:rPr>
          <w:rFonts w:cs="Times New Roman"/>
          <w:lang w:val="fr-CA"/>
        </w:rPr>
      </w:pPr>
      <w:r w:rsidRPr="00606C27">
        <w:rPr>
          <w:rFonts w:cs="Times New Roman"/>
          <w:lang w:val="fr-CA"/>
        </w:rPr>
        <w:t xml:space="preserve">La </w:t>
      </w:r>
      <w:r w:rsidRPr="00606C27">
        <w:rPr>
          <w:rFonts w:cs="Times New Roman"/>
          <w:i/>
          <w:lang w:val="fr-CA"/>
        </w:rPr>
        <w:t>Loi sur les Cours fédérales</w:t>
      </w:r>
      <w:r w:rsidRPr="00606C27">
        <w:rPr>
          <w:rFonts w:cs="Times New Roman"/>
          <w:lang w:val="fr-CA"/>
        </w:rPr>
        <w:t xml:space="preserve"> n’autorise pas le contrôle judiciaire des activités parlementaires. En effet, les art</w:t>
      </w:r>
      <w:r w:rsidR="002731E1">
        <w:rPr>
          <w:rFonts w:cs="Times New Roman"/>
          <w:lang w:val="fr-CA"/>
        </w:rPr>
        <w:t>.</w:t>
      </w:r>
      <w:r w:rsidRPr="00606C27">
        <w:rPr>
          <w:rFonts w:cs="Times New Roman"/>
          <w:lang w:val="fr-CA"/>
        </w:rPr>
        <w:t xml:space="preserve"> 18 et 18.1 ne confèrent à la Cour fédérale que </w:t>
      </w:r>
      <w:r w:rsidRPr="00606C27">
        <w:rPr>
          <w:rFonts w:cs="Times New Roman"/>
          <w:lang w:val="fr-CA"/>
        </w:rPr>
        <w:lastRenderedPageBreak/>
        <w:t xml:space="preserve">la compétence de contrôler les actions d’un « office fédéral ». Il s’agit, au sens de la </w:t>
      </w:r>
      <w:r w:rsidRPr="002731E1">
        <w:rPr>
          <w:rFonts w:cs="Times New Roman"/>
          <w:lang w:val="fr-CA"/>
        </w:rPr>
        <w:t>Loi</w:t>
      </w:r>
      <w:r w:rsidRPr="00606C27">
        <w:rPr>
          <w:rFonts w:cs="Times New Roman"/>
          <w:lang w:val="fr-CA"/>
        </w:rPr>
        <w:t xml:space="preserve">, sous réserve de certaines exceptions, </w:t>
      </w:r>
      <w:r w:rsidRPr="00606C27">
        <w:rPr>
          <w:rFonts w:cs="Times New Roman"/>
          <w:lang w:val="fr-FR"/>
        </w:rPr>
        <w:t xml:space="preserve">d’un organisme exerçant une compétence ou des pouvoirs prévus par une loi ou par une ordonnance prise en vertu d’une prérogative royale : art. 2; voir aussi </w:t>
      </w:r>
      <w:r w:rsidRPr="00606C27">
        <w:rPr>
          <w:rFonts w:cs="Times New Roman"/>
          <w:i/>
          <w:lang w:val="fr-FR"/>
        </w:rPr>
        <w:t>Strickland c. Canada (Procureur général)</w:t>
      </w:r>
      <w:r w:rsidRPr="00606C27">
        <w:rPr>
          <w:rFonts w:cs="Times New Roman"/>
          <w:lang w:val="fr-FR"/>
        </w:rPr>
        <w:t>, 2015 CSC 37, [2015] 2 R.C.S. 713, par. 64. Le paragraphe 2(2) précise que « le Sénat, la Chambre des communes, tout comité de l’une ou l’autre chambre, tout sénateur ou député » sont exclus de la définition d</w:t>
      </w:r>
      <w:r w:rsidR="002731E1">
        <w:rPr>
          <w:rFonts w:cs="Times New Roman"/>
          <w:lang w:val="fr-FR"/>
        </w:rPr>
        <w:t>’</w:t>
      </w:r>
      <w:r w:rsidRPr="00606C27">
        <w:rPr>
          <w:rFonts w:cs="Times New Roman"/>
          <w:lang w:val="fr-FR"/>
        </w:rPr>
        <w:t>« </w:t>
      </w:r>
      <w:r w:rsidRPr="000D175B">
        <w:rPr>
          <w:rStyle w:val="HTMLDefinition"/>
          <w:rFonts w:cs="Times New Roman"/>
          <w:i w:val="0"/>
          <w:lang w:val="fr-FR"/>
        </w:rPr>
        <w:t>office fédéral</w:t>
      </w:r>
      <w:r w:rsidRPr="00606C27">
        <w:rPr>
          <w:rFonts w:cs="Times New Roman"/>
          <w:lang w:val="fr-FR"/>
        </w:rPr>
        <w:t> ». Cette disposition vise donc à « empêcher le contrôle judiciaire de la filière législative en général » : Cour d’appel, par. 32. Comme je l’expliquerai plus en détail ultérieurement, le Cabinet et les ministres n’agissent pas en application de pouvoirs que leur confère la loi lorsqu’ils élaborent les textes législatifs</w:t>
      </w:r>
      <w:r w:rsidRPr="00606C27">
        <w:rPr>
          <w:rFonts w:cs="Times New Roman"/>
          <w:lang w:val="fr-CA"/>
        </w:rPr>
        <w:t xml:space="preserve">; ils agissent plutôt en vertu des pouvoirs qui leur sont dévolus par la partie IV de la </w:t>
      </w:r>
      <w:r w:rsidRPr="00606C27">
        <w:rPr>
          <w:rFonts w:cs="Times New Roman"/>
          <w:i/>
          <w:lang w:val="fr-CA"/>
        </w:rPr>
        <w:t>Loi constitutionnelle de 1867</w:t>
      </w:r>
      <w:r w:rsidRPr="00606C27">
        <w:rPr>
          <w:rFonts w:cs="Times New Roman"/>
          <w:lang w:val="fr-CA"/>
        </w:rPr>
        <w:t xml:space="preserve">. Ainsi, dans le cadre de leur fonction de législateurs, ils n’agissent pas comme un « office fédéral » au sens de l’art. 2 : voir </w:t>
      </w:r>
      <w:r w:rsidRPr="00606C27">
        <w:rPr>
          <w:rFonts w:cs="Times New Roman"/>
          <w:i/>
          <w:lang w:val="fr-CA"/>
        </w:rPr>
        <w:t>Shade c. Canada (</w:t>
      </w:r>
      <w:r w:rsidR="009277F8">
        <w:rPr>
          <w:rFonts w:cs="Times New Roman"/>
          <w:i/>
          <w:lang w:val="fr-CA"/>
        </w:rPr>
        <w:t>Procureur général</w:t>
      </w:r>
      <w:r w:rsidRPr="00606C27">
        <w:rPr>
          <w:rFonts w:cs="Times New Roman"/>
          <w:i/>
          <w:lang w:val="fr-CA"/>
        </w:rPr>
        <w:t>)</w:t>
      </w:r>
      <w:r w:rsidRPr="00606C27">
        <w:rPr>
          <w:rFonts w:cs="Times New Roman"/>
          <w:lang w:val="fr-CA"/>
        </w:rPr>
        <w:t xml:space="preserve">, </w:t>
      </w:r>
      <w:r w:rsidR="002731E1">
        <w:rPr>
          <w:rFonts w:cs="Times New Roman"/>
          <w:lang w:val="fr-CA"/>
        </w:rPr>
        <w:t>2003 CFPI 327</w:t>
      </w:r>
      <w:r w:rsidRPr="00606C27">
        <w:rPr>
          <w:rFonts w:cs="Times New Roman"/>
          <w:lang w:val="fr-CA"/>
        </w:rPr>
        <w:t>, par. 34</w:t>
      </w:r>
      <w:r w:rsidR="002731E1">
        <w:rPr>
          <w:rFonts w:cs="Times New Roman"/>
          <w:lang w:val="fr-CA"/>
        </w:rPr>
        <w:t xml:space="preserve"> (CanLII)</w:t>
      </w:r>
      <w:r w:rsidRPr="00606C27">
        <w:rPr>
          <w:rFonts w:cs="Times New Roman"/>
          <w:lang w:val="fr-CA"/>
        </w:rPr>
        <w:t>.</w:t>
      </w:r>
    </w:p>
    <w:p w:rsidR="00E313A3" w:rsidRPr="00606C27" w:rsidRDefault="00E313A3" w:rsidP="00E313A3">
      <w:pPr>
        <w:pStyle w:val="ParaNoNdepar-AltN"/>
        <w:tabs>
          <w:tab w:val="clear" w:pos="1152"/>
          <w:tab w:val="left" w:pos="1166"/>
        </w:tabs>
        <w:rPr>
          <w:rFonts w:cs="Times New Roman"/>
          <w:lang w:val="fr-CA"/>
        </w:rPr>
      </w:pPr>
      <w:r w:rsidRPr="00606C27">
        <w:rPr>
          <w:rFonts w:cs="Times New Roman"/>
          <w:lang w:val="fr-CA"/>
        </w:rPr>
        <w:t>Quoi qu’il en soit, les parties ont présenté des observations détaillées sur les questions de fond soulevées dans le présent pourvoi. Dans les circonstances, il est important que la Cour détermine si l’obligation de consulter s’applique au processus législatif.</w:t>
      </w:r>
    </w:p>
    <w:p w:rsidR="00E313A3" w:rsidRPr="00606C27" w:rsidRDefault="00E313A3" w:rsidP="00E313A3">
      <w:pPr>
        <w:pStyle w:val="Title2LevelTitre2Niveau"/>
        <w:rPr>
          <w:rFonts w:cs="Times New Roman"/>
          <w:lang w:val="fr-CA"/>
        </w:rPr>
      </w:pPr>
      <w:r w:rsidRPr="00606C27">
        <w:rPr>
          <w:rFonts w:cs="Times New Roman"/>
          <w:lang w:val="fr-CA"/>
        </w:rPr>
        <w:t>L’honneur de la Couronne et l’obligation de consulter</w:t>
      </w:r>
    </w:p>
    <w:p w:rsidR="00E313A3" w:rsidRPr="00606C27" w:rsidRDefault="00E313A3" w:rsidP="00E313A3">
      <w:pPr>
        <w:pStyle w:val="ParaNoNdepar-AltN"/>
        <w:tabs>
          <w:tab w:val="clear" w:pos="1152"/>
          <w:tab w:val="left" w:pos="1166"/>
        </w:tabs>
        <w:rPr>
          <w:rFonts w:cs="Times New Roman"/>
          <w:lang w:val="fr-CA"/>
        </w:rPr>
      </w:pPr>
      <w:r w:rsidRPr="00606C27">
        <w:rPr>
          <w:rFonts w:cs="Times New Roman"/>
          <w:lang w:val="fr-CA"/>
        </w:rPr>
        <w:t xml:space="preserve">L’obligation de consulter est fondée sur </w:t>
      </w:r>
      <w:r w:rsidR="009277F8">
        <w:rPr>
          <w:rFonts w:cs="Times New Roman"/>
          <w:lang w:val="fr-CA"/>
        </w:rPr>
        <w:t xml:space="preserve">le </w:t>
      </w:r>
      <w:r w:rsidRPr="00606C27">
        <w:rPr>
          <w:rFonts w:cs="Times New Roman"/>
          <w:lang w:val="fr-CA"/>
        </w:rPr>
        <w:t xml:space="preserve">principe de l’honneur de la Couronne : </w:t>
      </w:r>
      <w:r w:rsidRPr="00606C27">
        <w:rPr>
          <w:rFonts w:cs="Times New Roman"/>
          <w:i/>
          <w:lang w:val="fr-CA"/>
        </w:rPr>
        <w:t>Nation haïda</w:t>
      </w:r>
      <w:r w:rsidRPr="00606C27">
        <w:rPr>
          <w:rFonts w:cs="Times New Roman"/>
          <w:lang w:val="fr-CA"/>
        </w:rPr>
        <w:t xml:space="preserve">, par. 16. Je vais donc traiter dans un premier temps des </w:t>
      </w:r>
      <w:r w:rsidRPr="00606C27">
        <w:rPr>
          <w:rFonts w:cs="Times New Roman"/>
          <w:lang w:val="fr-CA"/>
        </w:rPr>
        <w:lastRenderedPageBreak/>
        <w:t>principes qui sous</w:t>
      </w:r>
      <w:r w:rsidRPr="00606C27">
        <w:rPr>
          <w:rFonts w:cs="Times New Roman"/>
          <w:lang w:val="fr-CA"/>
        </w:rPr>
        <w:noBreakHyphen/>
        <w:t xml:space="preserve">tendent l’honneur de la Couronne et de son lien avec l’obligation de consulter. </w:t>
      </w:r>
    </w:p>
    <w:p w:rsidR="00E313A3" w:rsidRPr="00606C27" w:rsidRDefault="00E313A3" w:rsidP="00E313A3">
      <w:pPr>
        <w:pStyle w:val="ParaNoNdepar-AltN"/>
        <w:tabs>
          <w:tab w:val="clear" w:pos="1152"/>
          <w:tab w:val="left" w:pos="1166"/>
        </w:tabs>
        <w:rPr>
          <w:rFonts w:cs="Times New Roman"/>
          <w:lang w:val="fr-CA"/>
        </w:rPr>
      </w:pPr>
      <w:r w:rsidRPr="00606C27">
        <w:rPr>
          <w:rFonts w:cs="Times New Roman"/>
          <w:lang w:val="fr-CA"/>
        </w:rPr>
        <w:t>L’honneur de la Couronne est un principe fondamental du droit des Autochtones qui régit la relation entre la Couronne et les peuples autochtones. Il tire son origine de « l’affirmation par la Couronne de sa souveraineté sur un peuple autochtone et [de] l’exercice de fait de son autorité sur des terres et ressources qui étaient jusque</w:t>
      </w:r>
      <w:r w:rsidRPr="00606C27">
        <w:rPr>
          <w:rFonts w:cs="Times New Roman"/>
          <w:lang w:val="fr-CA"/>
        </w:rPr>
        <w:noBreakHyphen/>
        <w:t xml:space="preserve">là sous l’autorité de ce peuple », et il remonte à la </w:t>
      </w:r>
      <w:r w:rsidRPr="00606C27">
        <w:rPr>
          <w:rFonts w:cs="Times New Roman"/>
          <w:i/>
          <w:lang w:val="fr-CA"/>
        </w:rPr>
        <w:t xml:space="preserve">Proclamation royale </w:t>
      </w:r>
      <w:r w:rsidRPr="002731E1">
        <w:rPr>
          <w:rFonts w:cs="Times New Roman"/>
          <w:lang w:val="fr-CA"/>
        </w:rPr>
        <w:t>de 1763</w:t>
      </w:r>
      <w:r w:rsidRPr="00606C27">
        <w:rPr>
          <w:rFonts w:cs="Times New Roman"/>
          <w:i/>
          <w:lang w:val="fr-CA"/>
        </w:rPr>
        <w:t> </w:t>
      </w:r>
      <w:r w:rsidRPr="00606C27">
        <w:rPr>
          <w:rFonts w:cs="Times New Roman"/>
          <w:lang w:val="fr-CA"/>
        </w:rPr>
        <w:t xml:space="preserve">: </w:t>
      </w:r>
      <w:r w:rsidRPr="00606C27">
        <w:rPr>
          <w:rFonts w:cs="Times New Roman"/>
          <w:i/>
          <w:lang w:val="fr-CA"/>
        </w:rPr>
        <w:t>Nation h</w:t>
      </w:r>
      <w:r w:rsidRPr="00606C27">
        <w:rPr>
          <w:rFonts w:cs="Times New Roman"/>
          <w:i/>
          <w:iCs/>
          <w:lang w:val="fr-CA"/>
        </w:rPr>
        <w:t>aïda</w:t>
      </w:r>
      <w:r w:rsidRPr="00606C27">
        <w:rPr>
          <w:rFonts w:cs="Times New Roman"/>
          <w:lang w:val="fr-CA"/>
        </w:rPr>
        <w:t xml:space="preserve">, par. 32; </w:t>
      </w:r>
      <w:r w:rsidRPr="00606C27">
        <w:rPr>
          <w:rFonts w:cs="Times New Roman"/>
          <w:i/>
          <w:lang w:val="fr-CA"/>
        </w:rPr>
        <w:t>Manitoba Metis Federation Inc. c. Canada (Procureur général)</w:t>
      </w:r>
      <w:r w:rsidRPr="00606C27">
        <w:rPr>
          <w:rFonts w:cs="Times New Roman"/>
          <w:lang w:val="fr-CA"/>
        </w:rPr>
        <w:t xml:space="preserve">, 2013 CSC 14, [2013] 1 R.C.S. 623, par. 66. Il reconnaît que la tension entre l’affirmation de la souveraineté de la Couronne, d’une part, et la souveraineté, les droits et l’occupation préexistants des peuples autochtones, d’autre part, donne naissance à une relation particulière, qui exige que la Couronne agisse honorablement envers ces derniers : </w:t>
      </w:r>
      <w:r w:rsidRPr="00606C27">
        <w:rPr>
          <w:rFonts w:cs="Times New Roman"/>
          <w:i/>
          <w:lang w:val="fr-CA"/>
        </w:rPr>
        <w:t>Manitoba Metis</w:t>
      </w:r>
      <w:r w:rsidRPr="00606C27">
        <w:rPr>
          <w:rFonts w:cs="Times New Roman"/>
          <w:lang w:val="fr-CA"/>
        </w:rPr>
        <w:t xml:space="preserve">, par. 67; B. Slattery, « Aboriginal Rights and the Honour of the Crown » (2005), 29 </w:t>
      </w:r>
      <w:r w:rsidRPr="00606C27">
        <w:rPr>
          <w:rFonts w:cs="Times New Roman"/>
          <w:i/>
          <w:iCs/>
          <w:lang w:val="fr-CA"/>
        </w:rPr>
        <w:t>S.C.L.R.</w:t>
      </w:r>
      <w:r w:rsidRPr="00606C27">
        <w:rPr>
          <w:rFonts w:cs="Times New Roman"/>
          <w:lang w:val="fr-CA"/>
        </w:rPr>
        <w:t xml:space="preserve"> (2d) 433, p. 436. </w:t>
      </w:r>
    </w:p>
    <w:p w:rsidR="00E313A3" w:rsidRPr="00606C27" w:rsidRDefault="00E313A3" w:rsidP="00E313A3">
      <w:pPr>
        <w:pStyle w:val="ParaNoNdepar-AltN"/>
        <w:tabs>
          <w:tab w:val="clear" w:pos="1152"/>
          <w:tab w:val="left" w:pos="1166"/>
        </w:tabs>
        <w:rPr>
          <w:rFonts w:cs="Times New Roman"/>
          <w:lang w:val="fr-CA"/>
        </w:rPr>
      </w:pPr>
      <w:r w:rsidRPr="00606C27">
        <w:rPr>
          <w:rFonts w:cs="Times New Roman"/>
          <w:lang w:val="fr-CA"/>
        </w:rPr>
        <w:t>L’objectif qui sous</w:t>
      </w:r>
      <w:r w:rsidRPr="00606C27">
        <w:rPr>
          <w:rFonts w:cs="Times New Roman"/>
          <w:lang w:val="fr-CA"/>
        </w:rPr>
        <w:noBreakHyphen/>
        <w:t xml:space="preserve">tend le principe de l’honneur de la Couronne est celui de faciliter la réconciliation de ces intérêts : </w:t>
      </w:r>
      <w:r w:rsidRPr="00606C27">
        <w:rPr>
          <w:rFonts w:cs="Times New Roman"/>
          <w:i/>
          <w:lang w:val="fr-CA"/>
        </w:rPr>
        <w:t>Manitoba Metis</w:t>
      </w:r>
      <w:r w:rsidR="00132B37">
        <w:rPr>
          <w:rFonts w:cs="Times New Roman"/>
          <w:lang w:val="fr-CA"/>
        </w:rPr>
        <w:t>, par. 66-</w:t>
      </w:r>
      <w:r w:rsidRPr="00606C27">
        <w:rPr>
          <w:rFonts w:cs="Times New Roman"/>
          <w:lang w:val="fr-CA"/>
        </w:rPr>
        <w:t xml:space="preserve">67. Il contribue à l’atteinte de cet objectif notamment en favorisant la négociation et le règlement juste des revendications autochtones comme solution de rechange aux recours judiciaires et aux résultats imposés par les tribunaux : </w:t>
      </w:r>
      <w:r w:rsidRPr="00606C27">
        <w:rPr>
          <w:rFonts w:cs="Times New Roman"/>
          <w:i/>
          <w:lang w:val="fr-CA"/>
        </w:rPr>
        <w:t>Première nation Tlingit de Taku River c. Colombie</w:t>
      </w:r>
      <w:r w:rsidRPr="00606C27">
        <w:rPr>
          <w:rFonts w:cs="Times New Roman"/>
          <w:i/>
          <w:lang w:val="fr-CA"/>
        </w:rPr>
        <w:noBreakHyphen/>
        <w:t>Britannique (Directeur d’évaluation de projet)</w:t>
      </w:r>
      <w:r w:rsidRPr="00606C27">
        <w:rPr>
          <w:rFonts w:cs="Times New Roman"/>
          <w:lang w:val="fr-CA"/>
        </w:rPr>
        <w:t xml:space="preserve">, 2004 CSC 74, [2004] 3 </w:t>
      </w:r>
      <w:r w:rsidRPr="00606C27">
        <w:rPr>
          <w:rFonts w:cs="Times New Roman"/>
          <w:lang w:val="fr-CA"/>
        </w:rPr>
        <w:lastRenderedPageBreak/>
        <w:t>R.C.S. 550, par. 24. Cette entreprise de réconciliation est un principe de base du droit des Autochtones.</w:t>
      </w:r>
    </w:p>
    <w:p w:rsidR="00E313A3" w:rsidRPr="00606C27" w:rsidRDefault="00E313A3" w:rsidP="00E313A3">
      <w:pPr>
        <w:pStyle w:val="ParaNoNdepar-AltN"/>
        <w:tabs>
          <w:tab w:val="clear" w:pos="1152"/>
          <w:tab w:val="left" w:pos="1166"/>
        </w:tabs>
        <w:rPr>
          <w:rFonts w:cs="Times New Roman"/>
          <w:lang w:val="fr-CA"/>
        </w:rPr>
      </w:pPr>
      <w:r w:rsidRPr="00606C27">
        <w:rPr>
          <w:rFonts w:cs="Times New Roman"/>
          <w:lang w:val="fr-CA"/>
        </w:rPr>
        <w:t xml:space="preserve">L’honneur de la Couronne est toujours en jeu lorsque cette dernière traite avec les peuples autochtones : </w:t>
      </w:r>
      <w:r w:rsidRPr="00606C27">
        <w:rPr>
          <w:rFonts w:cs="Times New Roman"/>
          <w:i/>
          <w:lang w:val="fr-CA"/>
        </w:rPr>
        <w:t>R. c. Badger</w:t>
      </w:r>
      <w:r w:rsidRPr="00606C27">
        <w:rPr>
          <w:rFonts w:cs="Times New Roman"/>
          <w:lang w:val="fr-CA"/>
        </w:rPr>
        <w:t xml:space="preserve">, [1996] 1 R.C.S. 771, par. 41; </w:t>
      </w:r>
      <w:r w:rsidRPr="00606C27">
        <w:rPr>
          <w:rFonts w:cs="Times New Roman"/>
          <w:i/>
          <w:lang w:val="fr-CA"/>
        </w:rPr>
        <w:t>Manitoba Metis</w:t>
      </w:r>
      <w:r w:rsidRPr="00606C27">
        <w:rPr>
          <w:rFonts w:cs="Times New Roman"/>
          <w:lang w:val="fr-CA"/>
        </w:rPr>
        <w:t>, par. 68</w:t>
      </w:r>
      <w:r w:rsidRPr="00606C27">
        <w:rPr>
          <w:rFonts w:cs="Times New Roman"/>
          <w:lang w:val="fr-CA"/>
        </w:rPr>
        <w:noBreakHyphen/>
        <w:t>72. Comme il découle de l’affirmation de la souveraineté de la Couronne, il lie celle</w:t>
      </w:r>
      <w:r w:rsidRPr="00606C27">
        <w:rPr>
          <w:rFonts w:cs="Times New Roman"/>
          <w:lang w:val="fr-CA"/>
        </w:rPr>
        <w:noBreakHyphen/>
        <w:t xml:space="preserve">ci en sa qualité de souveraine. En effet, la Cour a déjà jugé que le principe de l’honneur de la Couronne s’applique quand cette dernière agit soit par le truchement d’une mesure législative, soit dans l’exercice de sa fonction exécutive : voir </w:t>
      </w:r>
      <w:r w:rsidRPr="00606C27">
        <w:rPr>
          <w:rFonts w:cs="Times New Roman"/>
          <w:i/>
          <w:lang w:val="fr-CA"/>
        </w:rPr>
        <w:t>R. c. Sparrow</w:t>
      </w:r>
      <w:r w:rsidRPr="00606C27">
        <w:rPr>
          <w:rFonts w:cs="Times New Roman"/>
          <w:lang w:val="fr-CA"/>
        </w:rPr>
        <w:t xml:space="preserve">, [1990] 1 R.C.S. 1075, p. 1110 et 1114; </w:t>
      </w:r>
      <w:r w:rsidRPr="00606C27">
        <w:rPr>
          <w:rFonts w:cs="Times New Roman"/>
          <w:i/>
          <w:lang w:val="fr-CA"/>
        </w:rPr>
        <w:t>R. c. Van der Peet</w:t>
      </w:r>
      <w:r w:rsidRPr="00606C27">
        <w:rPr>
          <w:rFonts w:cs="Times New Roman"/>
          <w:lang w:val="fr-CA"/>
        </w:rPr>
        <w:t xml:space="preserve">, [1996] 2 R.C.S. 507, par. 231 (la juge McLachlin, plus tard juge en chef, dissidente); </w:t>
      </w:r>
      <w:r w:rsidRPr="00606C27">
        <w:rPr>
          <w:rFonts w:cs="Times New Roman"/>
          <w:i/>
          <w:lang w:val="fr-CA"/>
        </w:rPr>
        <w:t>Nation haïda</w:t>
      </w:r>
      <w:r w:rsidRPr="00606C27">
        <w:rPr>
          <w:rFonts w:cs="Times New Roman"/>
          <w:lang w:val="fr-CA"/>
        </w:rPr>
        <w:t xml:space="preserve">; </w:t>
      </w:r>
      <w:r w:rsidRPr="00606C27">
        <w:rPr>
          <w:rFonts w:cs="Times New Roman"/>
          <w:i/>
          <w:lang w:val="fr-CA"/>
        </w:rPr>
        <w:t>Manitoba Metis</w:t>
      </w:r>
      <w:r w:rsidRPr="00606C27">
        <w:rPr>
          <w:rFonts w:cs="Times New Roman"/>
          <w:lang w:val="fr-CA"/>
        </w:rPr>
        <w:t xml:space="preserve">, par. 69. </w:t>
      </w:r>
    </w:p>
    <w:p w:rsidR="00E313A3" w:rsidRPr="00606C27" w:rsidRDefault="00E313A3" w:rsidP="00E313A3">
      <w:pPr>
        <w:pStyle w:val="ParaNoNdepar-AltN"/>
        <w:tabs>
          <w:tab w:val="clear" w:pos="1152"/>
          <w:tab w:val="left" w:pos="1166"/>
        </w:tabs>
        <w:rPr>
          <w:rFonts w:cs="Times New Roman"/>
          <w:lang w:val="fr-CA"/>
        </w:rPr>
      </w:pPr>
      <w:r w:rsidRPr="00606C27">
        <w:rPr>
          <w:rFonts w:cs="Times New Roman"/>
          <w:lang w:val="fr-CA"/>
        </w:rPr>
        <w:t xml:space="preserve">Comme l’a statué la Cour dans </w:t>
      </w:r>
      <w:r w:rsidRPr="00606C27">
        <w:rPr>
          <w:rFonts w:cs="Times New Roman"/>
          <w:i/>
          <w:lang w:val="fr-CA"/>
        </w:rPr>
        <w:t>Nation haïda</w:t>
      </w:r>
      <w:r w:rsidRPr="00606C27">
        <w:rPr>
          <w:rFonts w:cs="Times New Roman"/>
          <w:lang w:val="fr-CA"/>
        </w:rPr>
        <w:t xml:space="preserve">, l’honneur de la Couronne « [n’est] pas simplement [. . .] une belle formule, mais [. . .] un précepte fondamental qui peut s’appliquer dans des situations concrètes » et qui « fait naître différentes obligations selon les circonstances » : par. 16 et 18. Lorsqu’il est engagé, il fait peser </w:t>
      </w:r>
      <w:r w:rsidR="00132B37" w:rsidRPr="00606C27">
        <w:rPr>
          <w:rFonts w:cs="Times New Roman"/>
          <w:lang w:val="fr-CA"/>
        </w:rPr>
        <w:t>« </w:t>
      </w:r>
      <w:r w:rsidRPr="00606C27">
        <w:rPr>
          <w:rFonts w:cs="Times New Roman"/>
          <w:lang w:val="fr-CA"/>
        </w:rPr>
        <w:t xml:space="preserve">une lourde obligation » sur la Couronne : </w:t>
      </w:r>
      <w:r w:rsidRPr="00606C27">
        <w:rPr>
          <w:rFonts w:cs="Times New Roman"/>
          <w:i/>
          <w:lang w:val="fr-CA"/>
        </w:rPr>
        <w:t>Manitoba Metis</w:t>
      </w:r>
      <w:r w:rsidRPr="00606C27">
        <w:rPr>
          <w:rFonts w:cs="Times New Roman"/>
          <w:lang w:val="fr-CA"/>
        </w:rPr>
        <w:t xml:space="preserve">, par. 68. En effet, vu l’existence d’un lien étroit entre l’art. 35 et le principe de l’honneur de la Couronne, ce dernier a été qualifié de « principe constitutionnel » : </w:t>
      </w:r>
      <w:r w:rsidRPr="00606C27">
        <w:rPr>
          <w:rFonts w:cs="Times New Roman"/>
          <w:i/>
          <w:lang w:val="fr-CA"/>
        </w:rPr>
        <w:t>Beckman c. Première nation de Little Salmon/Carmacks</w:t>
      </w:r>
      <w:r w:rsidRPr="00606C27">
        <w:rPr>
          <w:rFonts w:cs="Times New Roman"/>
          <w:lang w:val="fr-CA"/>
        </w:rPr>
        <w:t>, 2010 CSC 53</w:t>
      </w:r>
      <w:r w:rsidRPr="00606C27">
        <w:rPr>
          <w:rStyle w:val="sccrespondentforrunningheadchar1"/>
          <w:lang w:val="fr-CA"/>
        </w:rPr>
        <w:t>, [2010] 3 R.C.S. 103,</w:t>
      </w:r>
      <w:r w:rsidRPr="00606C27">
        <w:rPr>
          <w:rFonts w:cs="Times New Roman"/>
          <w:lang w:val="fr-CA"/>
        </w:rPr>
        <w:t xml:space="preserve"> par. 42. Toutefois, la Cour a clairement indiqué que les obligations qui en découlent varient en fonction de la situation : </w:t>
      </w:r>
      <w:r w:rsidRPr="00606C27">
        <w:rPr>
          <w:rFonts w:cs="Times New Roman"/>
          <w:i/>
          <w:lang w:val="fr-CA"/>
        </w:rPr>
        <w:t>Manitoba Metis</w:t>
      </w:r>
      <w:r w:rsidRPr="00606C27">
        <w:rPr>
          <w:rFonts w:cs="Times New Roman"/>
          <w:lang w:val="fr-CA"/>
        </w:rPr>
        <w:t xml:space="preserve">, par. 74. La réponse à la question de savoir ce qui constitue </w:t>
      </w:r>
      <w:r w:rsidRPr="00606C27">
        <w:rPr>
          <w:rFonts w:cs="Times New Roman"/>
          <w:lang w:val="fr-CA"/>
        </w:rPr>
        <w:lastRenderedPageBreak/>
        <w:t xml:space="preserve">un comportement honorable et quelles obligations découlent de l’honneur de la Couronne sont fortement tributaires des circonstances : </w:t>
      </w:r>
      <w:r w:rsidRPr="00606C27">
        <w:rPr>
          <w:rFonts w:cs="Times New Roman"/>
          <w:i/>
          <w:lang w:val="fr-CA"/>
        </w:rPr>
        <w:t>Nation haïda</w:t>
      </w:r>
      <w:r w:rsidRPr="00606C27">
        <w:rPr>
          <w:rFonts w:cs="Times New Roman"/>
          <w:lang w:val="fr-CA"/>
        </w:rPr>
        <w:t xml:space="preserve">, par. 38; </w:t>
      </w:r>
      <w:r w:rsidRPr="00606C27">
        <w:rPr>
          <w:rFonts w:cs="Times New Roman"/>
          <w:i/>
          <w:lang w:val="fr-CA"/>
        </w:rPr>
        <w:t>Taku River</w:t>
      </w:r>
      <w:r w:rsidRPr="00606C27">
        <w:rPr>
          <w:rFonts w:cs="Times New Roman"/>
          <w:lang w:val="fr-CA"/>
        </w:rPr>
        <w:t xml:space="preserve">, par. 25; </w:t>
      </w:r>
      <w:r w:rsidRPr="00606C27">
        <w:rPr>
          <w:rFonts w:cs="Times New Roman"/>
          <w:i/>
          <w:lang w:val="fr-CA"/>
        </w:rPr>
        <w:t>Rio Tinto Alcan Inc. c. Conseil tribal Carrier Sekani</w:t>
      </w:r>
      <w:r w:rsidRPr="00606C27">
        <w:rPr>
          <w:rFonts w:cs="Times New Roman"/>
          <w:lang w:val="fr-CA"/>
        </w:rPr>
        <w:t>, 2010 CSC 43, [2010] 2 R.C.S. 650, par. 36</w:t>
      </w:r>
      <w:r w:rsidRPr="00606C27">
        <w:rPr>
          <w:rFonts w:cs="Times New Roman"/>
          <w:lang w:val="fr-CA"/>
        </w:rPr>
        <w:noBreakHyphen/>
        <w:t>37.</w:t>
      </w:r>
    </w:p>
    <w:p w:rsidR="00E313A3" w:rsidRPr="00606C27" w:rsidRDefault="00E313A3" w:rsidP="00E313A3">
      <w:pPr>
        <w:pStyle w:val="ParaNoNdepar-AltN"/>
        <w:tabs>
          <w:tab w:val="clear" w:pos="1152"/>
          <w:tab w:val="left" w:pos="1166"/>
        </w:tabs>
        <w:rPr>
          <w:rFonts w:cs="Times New Roman"/>
          <w:lang w:val="fr-CA"/>
        </w:rPr>
      </w:pPr>
      <w:r w:rsidRPr="00606C27">
        <w:rPr>
          <w:rFonts w:cs="Times New Roman"/>
          <w:lang w:val="fr-CA"/>
        </w:rPr>
        <w:t>L’obligation de consulter est une de ces obligations. Dans les cas où la Couronne envisage de prendre une mesure exécutive susceptible d’avoir un effet préjudiciable sur les droits protégés par l’art. 35, la Cour a jugé que le principe de l’honneur de la Couronne donne lieu à une obligation de consulter justiciable : voir</w:t>
      </w:r>
      <w:r w:rsidR="009277F8">
        <w:rPr>
          <w:rFonts w:cs="Times New Roman"/>
          <w:lang w:val="fr-CA"/>
        </w:rPr>
        <w:t>,</w:t>
      </w:r>
      <w:r w:rsidRPr="00606C27">
        <w:rPr>
          <w:rFonts w:cs="Times New Roman"/>
          <w:lang w:val="fr-CA"/>
        </w:rPr>
        <w:t xml:space="preserve"> p</w:t>
      </w:r>
      <w:r w:rsidR="00D475C1">
        <w:rPr>
          <w:rFonts w:cs="Times New Roman"/>
          <w:lang w:val="fr-CA"/>
        </w:rPr>
        <w:t>.</w:t>
      </w:r>
      <w:r w:rsidR="009277F8">
        <w:rPr>
          <w:rFonts w:cs="Times New Roman"/>
          <w:lang w:val="fr-CA"/>
        </w:rPr>
        <w:t xml:space="preserve"> ex., </w:t>
      </w:r>
      <w:r w:rsidRPr="00606C27">
        <w:rPr>
          <w:rFonts w:cs="Times New Roman"/>
          <w:i/>
          <w:lang w:val="fr-CA"/>
        </w:rPr>
        <w:t>Nation haïda</w:t>
      </w:r>
      <w:r w:rsidRPr="00606C27">
        <w:rPr>
          <w:rFonts w:cs="Times New Roman"/>
          <w:lang w:val="fr-CA"/>
        </w:rPr>
        <w:t xml:space="preserve">; </w:t>
      </w:r>
      <w:r w:rsidRPr="00606C27">
        <w:rPr>
          <w:rFonts w:cs="Times New Roman"/>
          <w:i/>
          <w:lang w:val="fr-CA"/>
        </w:rPr>
        <w:t>Taku River</w:t>
      </w:r>
      <w:r w:rsidRPr="00606C27">
        <w:rPr>
          <w:rFonts w:cs="Times New Roman"/>
          <w:lang w:val="fr-CA"/>
        </w:rPr>
        <w:t xml:space="preserve">; </w:t>
      </w:r>
      <w:r w:rsidRPr="00606C27">
        <w:rPr>
          <w:rFonts w:cs="Times New Roman"/>
          <w:i/>
          <w:lang w:val="fr-CA"/>
        </w:rPr>
        <w:t>Première nation crie Mikisew c. Canada (Ministre du Patrimoine canadien)</w:t>
      </w:r>
      <w:r w:rsidRPr="00606C27">
        <w:rPr>
          <w:rFonts w:cs="Times New Roman"/>
          <w:lang w:val="fr-CA"/>
        </w:rPr>
        <w:t xml:space="preserve">, 2005 CSC 69, [2005] 3 R.C.S. 388; </w:t>
      </w:r>
      <w:r w:rsidRPr="00606C27">
        <w:rPr>
          <w:rFonts w:cs="Times New Roman"/>
          <w:i/>
          <w:lang w:val="fr-CA"/>
        </w:rPr>
        <w:t>Little Salmon</w:t>
      </w:r>
      <w:r w:rsidRPr="00606C27">
        <w:rPr>
          <w:rFonts w:cs="Times New Roman"/>
          <w:lang w:val="fr-CA"/>
        </w:rPr>
        <w:t xml:space="preserve">. Cette obligation a aussi été jugée applicable lorsqu’un décideur habilité par la loi — ne faisant pas partie de l’exécutif — agit au nom de la Couronne : </w:t>
      </w:r>
      <w:r w:rsidRPr="00606C27">
        <w:rPr>
          <w:rFonts w:cs="Times New Roman"/>
          <w:bCs/>
          <w:i/>
          <w:lang w:val="fr-CA"/>
        </w:rPr>
        <w:t>Clyde River (Hameau) c. Petroleum Geo</w:t>
      </w:r>
      <w:r w:rsidRPr="00606C27">
        <w:rPr>
          <w:rFonts w:cs="Times New Roman"/>
          <w:bCs/>
          <w:i/>
          <w:lang w:val="fr-CA"/>
        </w:rPr>
        <w:noBreakHyphen/>
        <w:t>Services Inc.</w:t>
      </w:r>
      <w:r w:rsidRPr="00606C27">
        <w:rPr>
          <w:rFonts w:cs="Times New Roman"/>
          <w:bCs/>
          <w:lang w:val="fr-CA"/>
        </w:rPr>
        <w:t>, 2017 CSC 40</w:t>
      </w:r>
      <w:r w:rsidRPr="00606C27">
        <w:rPr>
          <w:rFonts w:cs="Times New Roman"/>
          <w:lang w:val="fr-CA"/>
        </w:rPr>
        <w:t xml:space="preserve">, [2017] 1 R.C.S. 1069, par. 29. Il ressort de ces arrêts que, dans certaines circonstances, la conduite de la Couronne peut ne pas constituer une « atteinte » à des droits visés à l’art. 35 ayant été établis. Toutefois, agir unilatéralement d’une manière susceptible d’avoir un effet préjudiciable sur ces droits ternit l’honneur de la Couronne et peut de ce fait justifier une intervention à l’issue d’un contrôle judiciaire. </w:t>
      </w:r>
    </w:p>
    <w:p w:rsidR="00E313A3" w:rsidRPr="00606C27" w:rsidRDefault="00E313A3" w:rsidP="00E313A3">
      <w:pPr>
        <w:pStyle w:val="ParaNoNdepar-AltN"/>
        <w:tabs>
          <w:tab w:val="clear" w:pos="1152"/>
          <w:tab w:val="left" w:pos="1166"/>
        </w:tabs>
        <w:rPr>
          <w:rFonts w:cs="Times New Roman"/>
          <w:lang w:val="fr-CA"/>
        </w:rPr>
      </w:pPr>
      <w:r w:rsidRPr="00606C27">
        <w:rPr>
          <w:rFonts w:cs="Times New Roman"/>
          <w:lang w:val="fr-CA"/>
        </w:rPr>
        <w:t xml:space="preserve">Il ressort clairement de la jurisprudence relative à l’obligation de consulter qu’il faut la considérer comme un « complément valable » à l’honneur de la Couronne : </w:t>
      </w:r>
      <w:r w:rsidRPr="00606C27">
        <w:rPr>
          <w:rFonts w:cs="Times New Roman"/>
          <w:i/>
          <w:lang w:val="fr-CA"/>
        </w:rPr>
        <w:t>Little Salmon</w:t>
      </w:r>
      <w:r w:rsidRPr="00606C27">
        <w:rPr>
          <w:rFonts w:cs="Times New Roman"/>
          <w:lang w:val="fr-CA"/>
        </w:rPr>
        <w:t xml:space="preserve">, par. 44. Elle garantit que la Couronne agit honorablement en </w:t>
      </w:r>
      <w:r w:rsidRPr="00606C27">
        <w:rPr>
          <w:rFonts w:cs="Times New Roman"/>
          <w:lang w:val="fr-CA"/>
        </w:rPr>
        <w:lastRenderedPageBreak/>
        <w:t xml:space="preserve">l’empêchant d’agir unilatéralement d’une façon qui porte atteinte aux droits visés à l’art. 35. Cela favorise la réconciliation entre elle et les peuples autochtones, d’abord en fournissant une protection procédurale à ces droits, ensuite en encourageant la négociation et les règlements justes comme solution de rechange aux frais, aux retards et à l’acrimonie découlant de procédures judiciaires intentées pour débattre d’allégations de contravention à l’art. 35 : </w:t>
      </w:r>
      <w:r w:rsidRPr="00606C27">
        <w:rPr>
          <w:rFonts w:cs="Times New Roman"/>
          <w:i/>
          <w:lang w:val="fr-CA"/>
        </w:rPr>
        <w:t>Clyde River</w:t>
      </w:r>
      <w:r w:rsidRPr="00606C27">
        <w:rPr>
          <w:rFonts w:cs="Times New Roman"/>
          <w:lang w:val="fr-CA"/>
        </w:rPr>
        <w:t xml:space="preserve">, par. 1; </w:t>
      </w:r>
      <w:r w:rsidRPr="00606C27">
        <w:rPr>
          <w:rFonts w:cs="Times New Roman"/>
          <w:i/>
          <w:lang w:val="fr-CA"/>
        </w:rPr>
        <w:t>Nation haïda</w:t>
      </w:r>
      <w:r w:rsidRPr="00606C27">
        <w:rPr>
          <w:rFonts w:cs="Times New Roman"/>
          <w:lang w:val="fr-CA"/>
        </w:rPr>
        <w:t xml:space="preserve">, par. 14 et 32; </w:t>
      </w:r>
      <w:r w:rsidRPr="00606C27">
        <w:rPr>
          <w:rFonts w:cs="Times New Roman"/>
          <w:i/>
          <w:lang w:val="fr-CA"/>
        </w:rPr>
        <w:t>Première nation crie</w:t>
      </w:r>
      <w:r w:rsidR="00D475C1">
        <w:rPr>
          <w:rFonts w:cs="Times New Roman"/>
          <w:i/>
          <w:lang w:val="fr-CA"/>
        </w:rPr>
        <w:t xml:space="preserve"> Mikisew</w:t>
      </w:r>
      <w:r w:rsidRPr="00606C27">
        <w:rPr>
          <w:rFonts w:cs="Times New Roman"/>
          <w:lang w:val="fr-CA"/>
        </w:rPr>
        <w:t xml:space="preserve">, par. 63. </w:t>
      </w:r>
    </w:p>
    <w:p w:rsidR="00E313A3" w:rsidRPr="00606C27" w:rsidRDefault="00E313A3" w:rsidP="00E313A3">
      <w:pPr>
        <w:pStyle w:val="ParaNoNdepar-AltN"/>
        <w:tabs>
          <w:tab w:val="clear" w:pos="1152"/>
          <w:tab w:val="left" w:pos="1166"/>
        </w:tabs>
        <w:rPr>
          <w:rFonts w:cs="Times New Roman"/>
          <w:lang w:val="fr-CA"/>
        </w:rPr>
      </w:pPr>
      <w:r w:rsidRPr="00606C27">
        <w:rPr>
          <w:rFonts w:cs="Times New Roman"/>
          <w:lang w:val="fr-CA"/>
        </w:rPr>
        <w:t xml:space="preserve">L’existence de l’obligation de consulter a été reconnue dans divers contextes. Par exemple, dans </w:t>
      </w:r>
      <w:r w:rsidRPr="00606C27">
        <w:rPr>
          <w:rFonts w:cs="Times New Roman"/>
          <w:i/>
          <w:lang w:val="fr-CA"/>
        </w:rPr>
        <w:t>Nation haïda</w:t>
      </w:r>
      <w:r w:rsidRPr="00606C27">
        <w:rPr>
          <w:rFonts w:cs="Times New Roman"/>
          <w:lang w:val="fr-CA"/>
        </w:rPr>
        <w:t xml:space="preserve">, la Cour l’a reconnue lorsque la Couronne a envisagé le remplacement et le transfert de concessions de fermes forestières susceptibles d’avoir une incidence sur des droits ancestraux revendiqués, mais non établis. Dans </w:t>
      </w:r>
      <w:r w:rsidRPr="00606C27">
        <w:rPr>
          <w:rFonts w:cs="Times New Roman"/>
          <w:i/>
          <w:lang w:val="fr-CA"/>
        </w:rPr>
        <w:t>Première nation crie</w:t>
      </w:r>
      <w:r w:rsidR="006C0FC0">
        <w:rPr>
          <w:rFonts w:cs="Times New Roman"/>
          <w:i/>
          <w:lang w:val="fr-CA"/>
        </w:rPr>
        <w:t xml:space="preserve"> Mikisew</w:t>
      </w:r>
      <w:r w:rsidRPr="00606C27">
        <w:rPr>
          <w:rFonts w:cs="Times New Roman"/>
          <w:lang w:val="fr-CA"/>
        </w:rPr>
        <w:t>, la Cour a reconnu que le fait d’envisager la « prise » de terres visées par le Traité n</w:t>
      </w:r>
      <w:r w:rsidRPr="00606C27">
        <w:rPr>
          <w:rFonts w:cs="Times New Roman"/>
          <w:vertAlign w:val="superscript"/>
          <w:lang w:val="fr-CA"/>
        </w:rPr>
        <w:t>o</w:t>
      </w:r>
      <w:r w:rsidRPr="00606C27">
        <w:rPr>
          <w:rFonts w:cs="Times New Roman"/>
          <w:lang w:val="fr-CA"/>
        </w:rPr>
        <w:t xml:space="preserve"> 8 était susceptible d’avoir un effet préjudiciable sur les droits des Mikisew issus de ce traité et commandait donc la tenue d’une consultation. L’incidence de la conduite de la Couronne sur les terres et les ressources n’a pas à être immédiate pour que l’obligation de consulter soit déclenchée. La Cour a reconnu que « la décision prise en haut lieu ou la modification structurelle apportée à la gestion [d’une] ressource » peut en effet aussi déclencher l’obligation de consulter : </w:t>
      </w:r>
      <w:r w:rsidRPr="00606C27">
        <w:rPr>
          <w:rFonts w:cs="Times New Roman"/>
          <w:i/>
          <w:lang w:val="fr-CA"/>
        </w:rPr>
        <w:t>Carrier Sekani</w:t>
      </w:r>
      <w:r w:rsidRPr="00606C27">
        <w:rPr>
          <w:rFonts w:cs="Times New Roman"/>
          <w:lang w:val="fr-CA"/>
        </w:rPr>
        <w:t xml:space="preserve">, par. 47, voir aussi le par. 44. En revanche, jusqu’à présent, l’obligation de consulter n’a été appliquée qu’aux actes posés par l’exécutif ou en son nom. </w:t>
      </w:r>
    </w:p>
    <w:p w:rsidR="00E313A3" w:rsidRPr="00606C27" w:rsidRDefault="00E313A3" w:rsidP="00E313A3">
      <w:pPr>
        <w:pStyle w:val="ParaNoNdepar-AltN"/>
        <w:tabs>
          <w:tab w:val="clear" w:pos="1152"/>
          <w:tab w:val="left" w:pos="1166"/>
        </w:tabs>
        <w:rPr>
          <w:rFonts w:cs="Times New Roman"/>
          <w:lang w:val="fr-CA"/>
        </w:rPr>
      </w:pPr>
      <w:r w:rsidRPr="00606C27">
        <w:rPr>
          <w:rFonts w:cs="Times New Roman"/>
          <w:lang w:val="fr-CA"/>
        </w:rPr>
        <w:lastRenderedPageBreak/>
        <w:t xml:space="preserve">Les droits issus de traités des Mikisew sont protégés par l’art. 35 de la </w:t>
      </w:r>
      <w:r w:rsidRPr="00606C27">
        <w:rPr>
          <w:rFonts w:cs="Times New Roman"/>
          <w:i/>
          <w:lang w:val="fr-CA"/>
        </w:rPr>
        <w:t>Loi constitutionnelle de 1982</w:t>
      </w:r>
      <w:r w:rsidRPr="00606C27">
        <w:rPr>
          <w:rFonts w:cs="Times New Roman"/>
          <w:lang w:val="fr-CA"/>
        </w:rPr>
        <w:t xml:space="preserve"> et les actes de la Couronne touchant ces droits engagent l’honneur de la Couronne. En l’espèce, les Mikisew soutiennent que la conduite de la Couronne est susceptible d’avoir un effet préjudiciable sur leurs droits de chasse, de piégeage et de pêche protégés par le Traité n</w:t>
      </w:r>
      <w:r w:rsidRPr="00606C27">
        <w:rPr>
          <w:rFonts w:cs="Times New Roman"/>
          <w:vertAlign w:val="superscript"/>
          <w:lang w:val="fr-CA"/>
        </w:rPr>
        <w:t>o</w:t>
      </w:r>
      <w:r w:rsidRPr="00606C27">
        <w:rPr>
          <w:rFonts w:cs="Times New Roman"/>
          <w:lang w:val="fr-CA"/>
        </w:rPr>
        <w:t xml:space="preserve"> 8. La Cour a affirmé à maintes reprises que le principe de l’honneur de la Couronne régit la conclusion des traités ainsi que leur mise en œuvre et exige que la Couronne agisse de manière à ce que les traités et les promesses solennelles qu’elle fait aux peuples autochtones atteignent leur but : </w:t>
      </w:r>
      <w:r w:rsidRPr="00606C27">
        <w:rPr>
          <w:rFonts w:cs="Times New Roman"/>
          <w:i/>
          <w:lang w:val="fr-CA"/>
        </w:rPr>
        <w:t xml:space="preserve">Manitoba Metis, </w:t>
      </w:r>
      <w:r w:rsidRPr="00606C27">
        <w:rPr>
          <w:rFonts w:cs="Times New Roman"/>
          <w:lang w:val="fr-CA"/>
        </w:rPr>
        <w:t xml:space="preserve">par. 73 et 75; </w:t>
      </w:r>
      <w:r w:rsidRPr="00606C27">
        <w:rPr>
          <w:rFonts w:cs="Times New Roman"/>
          <w:i/>
          <w:lang w:val="fr-CA"/>
        </w:rPr>
        <w:t>Première nation crie</w:t>
      </w:r>
      <w:r w:rsidR="00F525E1">
        <w:rPr>
          <w:rFonts w:cs="Times New Roman"/>
          <w:i/>
          <w:lang w:val="fr-CA"/>
        </w:rPr>
        <w:t xml:space="preserve"> Mikisew</w:t>
      </w:r>
      <w:r w:rsidRPr="00606C27">
        <w:rPr>
          <w:rFonts w:cs="Times New Roman"/>
          <w:lang w:val="fr-CA"/>
        </w:rPr>
        <w:t xml:space="preserve">, par. 51; </w:t>
      </w:r>
      <w:r w:rsidRPr="00606C27">
        <w:rPr>
          <w:rFonts w:cs="Times New Roman"/>
          <w:i/>
          <w:lang w:val="fr-CA"/>
        </w:rPr>
        <w:t>R. c. Marshall</w:t>
      </w:r>
      <w:r w:rsidRPr="00606C27">
        <w:rPr>
          <w:rFonts w:cs="Times New Roman"/>
          <w:lang w:val="fr-CA"/>
        </w:rPr>
        <w:t xml:space="preserve">, [1999] 3 R.C.S. 456, par. 44; </w:t>
      </w:r>
      <w:r w:rsidRPr="00606C27">
        <w:rPr>
          <w:rFonts w:cs="Times New Roman"/>
          <w:i/>
          <w:lang w:val="fr-CA"/>
        </w:rPr>
        <w:t>Badger</w:t>
      </w:r>
      <w:r w:rsidRPr="00606C27">
        <w:rPr>
          <w:rFonts w:cs="Times New Roman"/>
          <w:lang w:val="fr-CA"/>
        </w:rPr>
        <w:t xml:space="preserve">, par. 41 et 47. Les traités sont sacrés; il est toujours présumé que la Couronne entend respecter ses promesses. Aucune apparence de « manœuvres malhonnêtes » n’est permise : </w:t>
      </w:r>
      <w:r w:rsidRPr="00606C27">
        <w:rPr>
          <w:rFonts w:cs="Times New Roman"/>
          <w:i/>
          <w:lang w:val="fr-CA"/>
        </w:rPr>
        <w:t>Badger</w:t>
      </w:r>
      <w:r w:rsidRPr="00606C27">
        <w:rPr>
          <w:rFonts w:cs="Times New Roman"/>
          <w:lang w:val="fr-CA"/>
        </w:rPr>
        <w:t xml:space="preserve">, par. 41. </w:t>
      </w:r>
    </w:p>
    <w:p w:rsidR="00E313A3" w:rsidRPr="00606C27" w:rsidRDefault="00E313A3" w:rsidP="00E313A3">
      <w:pPr>
        <w:pStyle w:val="ParaNoNdepar-AltN"/>
        <w:tabs>
          <w:tab w:val="clear" w:pos="1152"/>
          <w:tab w:val="left" w:pos="1166"/>
        </w:tabs>
        <w:rPr>
          <w:rFonts w:cs="Times New Roman"/>
          <w:lang w:val="fr-CA"/>
        </w:rPr>
      </w:pPr>
      <w:r w:rsidRPr="00606C27">
        <w:rPr>
          <w:rFonts w:cs="Times New Roman"/>
          <w:lang w:val="fr-CA"/>
        </w:rPr>
        <w:t xml:space="preserve">Or, dans le présent pourvoi, il s’agit de savoir si l’honneur de la Couronne déclenche une obligation de consulter justiciable, lorsque des ministres élaborent des projets de loi susceptibles d’avoir un effet préjudiciable sur les droits issus de traités des Mikisew. Lorsqu’elle est saisie, comme en l’espèce, d’une affaire sans précédent, la Cour doit décider si c’est en invoquant l’obligation de consulter qu’une partie peut demander le respect du principe de l’honneur de la Couronne. Dans le passé, la Cour a expressément choisi de laisser en suspens la question de savoir si le processus d’élaboration des lois constitue une « conduite de la Couronne » qui déclenche l’obligation de consulter : </w:t>
      </w:r>
      <w:r w:rsidRPr="00606C27">
        <w:rPr>
          <w:rFonts w:cs="Times New Roman"/>
          <w:i/>
          <w:lang w:val="fr-CA"/>
        </w:rPr>
        <w:t>Carrier Sekani</w:t>
      </w:r>
      <w:r w:rsidRPr="00606C27">
        <w:rPr>
          <w:rFonts w:cs="Times New Roman"/>
          <w:lang w:val="fr-CA"/>
        </w:rPr>
        <w:t xml:space="preserve">, par. 44; </w:t>
      </w:r>
      <w:r w:rsidRPr="00606C27">
        <w:rPr>
          <w:rFonts w:cs="Times New Roman"/>
          <w:bCs/>
          <w:i/>
          <w:lang w:val="fr-CA"/>
        </w:rPr>
        <w:t>Clyde River</w:t>
      </w:r>
      <w:r w:rsidRPr="00606C27">
        <w:rPr>
          <w:rFonts w:cs="Times New Roman"/>
          <w:bCs/>
          <w:lang w:val="fr-CA"/>
        </w:rPr>
        <w:t>, par. 28</w:t>
      </w:r>
      <w:r w:rsidRPr="00606C27">
        <w:rPr>
          <w:rFonts w:cs="Times New Roman"/>
          <w:lang w:val="fr-CA"/>
        </w:rPr>
        <w:t>. Je vais maintenant procéder à l’analyse de cette question.</w:t>
      </w:r>
    </w:p>
    <w:p w:rsidR="00E313A3" w:rsidRPr="00606C27" w:rsidRDefault="00E313A3" w:rsidP="00E313A3">
      <w:pPr>
        <w:pStyle w:val="Title2LevelTitre2Niveau"/>
        <w:rPr>
          <w:rFonts w:cs="Times New Roman"/>
          <w:lang w:val="fr-CA"/>
        </w:rPr>
      </w:pPr>
      <w:r w:rsidRPr="00606C27">
        <w:rPr>
          <w:rFonts w:cs="Times New Roman"/>
          <w:lang w:val="fr-CA"/>
        </w:rPr>
        <w:lastRenderedPageBreak/>
        <w:t xml:space="preserve">L’obligation de consulter durant le processus législatif </w:t>
      </w:r>
    </w:p>
    <w:p w:rsidR="00E313A3" w:rsidRPr="00606C27" w:rsidRDefault="00E313A3" w:rsidP="00E313A3">
      <w:pPr>
        <w:pStyle w:val="ParaNoNdepar-AltN"/>
        <w:tabs>
          <w:tab w:val="clear" w:pos="1152"/>
          <w:tab w:val="left" w:pos="1166"/>
        </w:tabs>
        <w:rPr>
          <w:rFonts w:cs="Times New Roman"/>
          <w:lang w:val="fr-CA"/>
        </w:rPr>
      </w:pPr>
      <w:r w:rsidRPr="00606C27">
        <w:rPr>
          <w:rFonts w:cs="Times New Roman"/>
          <w:lang w:val="fr-CA"/>
        </w:rPr>
        <w:t>Les Mikisew font valoir que l’élaboration par les ministres d’une politique menant à la rédaction et à la présentation d’un projet de loi susceptible d’avoir une incidence sur les droits protégés par l’art. 35 déclenche l’obligation de consulter. Selon eux, lorsqu’ils élaborent une loi, les ministres exercent des fonctions exécutives et non pas législatives. Il ne serait donc pas contraire au principe de la séparation des pouvoirs ou du privilège parlementaire de conclure que l’élaboration d’une loi déclenche l’obligation de consulter. De plus, selon eux, conclure autrement priverait les demandeurs aux prises avec une loi qui a une incidence sur leurs droits protégés par l’art. 35 d’un recours efficace. En effet, des lois peuvent abolir la surveillance et la participation de la Couronne à l’exploitation des ressources et, par conséquent, éliminer la conduite de la Couronne qui déclencherait l’obligation de consulter. Qui plus est, exiger des demandeurs qu’ils présentent une demande fondée sur la violation de l’art. 35 pour défendre leurs droits leur imposerait un lourd fardeau.</w:t>
      </w:r>
    </w:p>
    <w:p w:rsidR="00E313A3" w:rsidRPr="00606C27" w:rsidRDefault="00E313A3" w:rsidP="00E313A3">
      <w:pPr>
        <w:pStyle w:val="ParaNoNdepar-AltN"/>
        <w:tabs>
          <w:tab w:val="clear" w:pos="1152"/>
          <w:tab w:val="left" w:pos="1166"/>
        </w:tabs>
        <w:rPr>
          <w:rFonts w:cs="Times New Roman"/>
          <w:lang w:val="fr-CA"/>
        </w:rPr>
      </w:pPr>
      <w:r w:rsidRPr="00606C27">
        <w:rPr>
          <w:rFonts w:cs="Times New Roman"/>
          <w:lang w:val="fr-CA"/>
        </w:rPr>
        <w:t xml:space="preserve">Les intimés soutiennent plutôt que l’élaboration d’une loi par des ministres est une mesure législative qui ne déclenche pas l’obligation de consulter, puisque cela serait incompatible avec les principes de souveraineté parlementaire et de séparation des pouvoirs. Selon ces principes, les tribunaux ne peuvent pas superviser le processus législatif. Les intimés fondent leur thèse sur la prémisse que les ministres exercent des fonctions parlementaires, et non pas des fonctions exécutives, lorsqu’ils élaborent des projets de loi. De plus, selon eux, les demandeurs ne sont pas privés d’un recours utile </w:t>
      </w:r>
      <w:r w:rsidRPr="00606C27">
        <w:rPr>
          <w:rFonts w:cs="Times New Roman"/>
          <w:lang w:val="fr-CA"/>
        </w:rPr>
        <w:lastRenderedPageBreak/>
        <w:t xml:space="preserve">du fait que le processus législatif ne déclenche pas l’obligation de consulter. Une fois la loi adoptée, ils peuvent la contester, conformément au cadre d’analyse établi par l’arrêt </w:t>
      </w:r>
      <w:r w:rsidRPr="00606C27">
        <w:rPr>
          <w:rFonts w:cs="Times New Roman"/>
          <w:i/>
          <w:lang w:val="fr-CA"/>
        </w:rPr>
        <w:t>Sparrow</w:t>
      </w:r>
      <w:r w:rsidRPr="00606C27">
        <w:rPr>
          <w:rFonts w:cs="Times New Roman"/>
          <w:lang w:val="fr-CA"/>
        </w:rPr>
        <w:t>,</w:t>
      </w:r>
      <w:r w:rsidRPr="00606C27">
        <w:rPr>
          <w:rFonts w:cs="Times New Roman"/>
          <w:i/>
          <w:lang w:val="fr-CA"/>
        </w:rPr>
        <w:t xml:space="preserve"> </w:t>
      </w:r>
      <w:r w:rsidRPr="00606C27">
        <w:rPr>
          <w:rFonts w:cs="Times New Roman"/>
          <w:lang w:val="fr-CA"/>
        </w:rPr>
        <w:t xml:space="preserve">si elle porte atteinte aux droits protégés par l’art. 35. En outre, des décisions prises </w:t>
      </w:r>
      <w:r w:rsidRPr="00606C27">
        <w:rPr>
          <w:rFonts w:cs="Times New Roman"/>
          <w:i/>
          <w:lang w:val="fr-CA"/>
        </w:rPr>
        <w:t>en application</w:t>
      </w:r>
      <w:r w:rsidRPr="00606C27">
        <w:rPr>
          <w:rFonts w:cs="Times New Roman"/>
          <w:lang w:val="fr-CA"/>
        </w:rPr>
        <w:t xml:space="preserve"> de la nouvelle loi ou de la loi modifiée peuvent donner naissance à l’obligation de consulter.</w:t>
      </w:r>
    </w:p>
    <w:p w:rsidR="00E313A3" w:rsidRPr="00606C27" w:rsidRDefault="00E313A3" w:rsidP="00E313A3">
      <w:pPr>
        <w:pStyle w:val="ParaNoNdepar-AltN"/>
        <w:tabs>
          <w:tab w:val="clear" w:pos="1152"/>
          <w:tab w:val="left" w:pos="1166"/>
        </w:tabs>
        <w:rPr>
          <w:rFonts w:cs="Times New Roman"/>
          <w:lang w:val="fr-CA"/>
        </w:rPr>
      </w:pPr>
      <w:r w:rsidRPr="00606C27">
        <w:rPr>
          <w:rFonts w:cs="Times New Roman"/>
          <w:lang w:val="fr-CA"/>
        </w:rPr>
        <w:t>Pour les motifs exposés ci</w:t>
      </w:r>
      <w:r w:rsidRPr="00606C27">
        <w:rPr>
          <w:rFonts w:cs="Times New Roman"/>
          <w:lang w:val="fr-CA"/>
        </w:rPr>
        <w:noBreakHyphen/>
        <w:t>après, je conclus que le processus législatif — à savoir l’élaboration, l’adoption et la promulgation d’une loi — ne donne pas naissance à l’obligation de consulter. Les principes de la séparation des pouvoirs et de la souveraineté parlementaire exigent que les tribunaux s’abstiennent d’intervenir dans le processus législatif. La doctrine de l’obligation de consulter ne convient donc pas relativement à l’action législative</w:t>
      </w:r>
      <w:r w:rsidRPr="00606C27">
        <w:rPr>
          <w:rFonts w:eastAsia="Times New Roman" w:cs="Times New Roman"/>
          <w:lang w:val="fr-CA" w:eastAsia="en-CA"/>
        </w:rPr>
        <w:t xml:space="preserve">. </w:t>
      </w:r>
    </w:p>
    <w:p w:rsidR="00E313A3" w:rsidRPr="00606C27" w:rsidRDefault="00E313A3" w:rsidP="00E313A3">
      <w:pPr>
        <w:pStyle w:val="ParaNoNdepar-AltN"/>
        <w:tabs>
          <w:tab w:val="clear" w:pos="1152"/>
          <w:tab w:val="left" w:pos="1166"/>
        </w:tabs>
        <w:rPr>
          <w:rFonts w:cs="Times New Roman"/>
          <w:lang w:val="fr-CA"/>
        </w:rPr>
      </w:pPr>
      <w:r w:rsidRPr="00606C27">
        <w:rPr>
          <w:rFonts w:eastAsia="Times New Roman" w:cs="Times New Roman"/>
          <w:lang w:val="fr-CA" w:eastAsia="en-CA"/>
        </w:rPr>
        <w:t>Les Mikisew nous demandent de reconnaître que l’obligation de consulter s’applique aux ministres pendant l’élaboration des projets de loi. De toute évidence, au Canada, il y a un chevauchement entre les fonctions exécutives et législatives; le Cabinet, par exemple, est « </w:t>
      </w:r>
      <w:r w:rsidRPr="00606C27">
        <w:rPr>
          <w:rFonts w:cs="Times New Roman"/>
          <w:lang w:val="fr-CA"/>
        </w:rPr>
        <w:t xml:space="preserve">un comité combiné de telle sorte qu’il sert, comme un trait d’union ou une boucle, à rattacher la partie législative à la partie exécutive du gouvernement » : </w:t>
      </w:r>
      <w:r w:rsidRPr="00606C27">
        <w:rPr>
          <w:rFonts w:cs="Times New Roman"/>
          <w:i/>
          <w:lang w:val="fr-CA"/>
        </w:rPr>
        <w:t>Renvoi relatif au Régime d’assistance publique du Canada (C.</w:t>
      </w:r>
      <w:r w:rsidRPr="00606C27">
        <w:rPr>
          <w:rFonts w:cs="Times New Roman"/>
          <w:i/>
          <w:lang w:val="fr-CA"/>
        </w:rPr>
        <w:noBreakHyphen/>
        <w:t>B.)</w:t>
      </w:r>
      <w:r w:rsidRPr="00606C27">
        <w:rPr>
          <w:rFonts w:cs="Times New Roman"/>
          <w:lang w:val="fr-CA"/>
        </w:rPr>
        <w:t>, [1991] 2 R.C.S. 525, p. 559, citant</w:t>
      </w:r>
      <w:r w:rsidRPr="00606C27">
        <w:rPr>
          <w:rFonts w:cs="Times New Roman"/>
          <w:spacing w:val="-3"/>
          <w:lang w:val="fr-CA"/>
        </w:rPr>
        <w:t xml:space="preserve"> W. Bagehot,</w:t>
      </w:r>
      <w:r w:rsidRPr="00606C27">
        <w:rPr>
          <w:rFonts w:cs="Times New Roman"/>
          <w:i/>
          <w:iCs/>
          <w:spacing w:val="-3"/>
          <w:lang w:val="fr-CA"/>
        </w:rPr>
        <w:t xml:space="preserve"> La Constitution</w:t>
      </w:r>
      <w:r w:rsidRPr="00606C27">
        <w:rPr>
          <w:rFonts w:cs="Times New Roman"/>
          <w:spacing w:val="-3"/>
          <w:lang w:val="fr-CA"/>
        </w:rPr>
        <w:t xml:space="preserve"> </w:t>
      </w:r>
      <w:r w:rsidRPr="00606C27">
        <w:rPr>
          <w:rFonts w:cs="Times New Roman"/>
          <w:i/>
          <w:spacing w:val="-3"/>
          <w:lang w:val="fr-CA"/>
        </w:rPr>
        <w:t>anglaise</w:t>
      </w:r>
      <w:r w:rsidRPr="00606C27">
        <w:rPr>
          <w:rFonts w:cs="Times New Roman"/>
          <w:spacing w:val="-3"/>
          <w:lang w:val="fr-CA"/>
        </w:rPr>
        <w:t xml:space="preserve"> </w:t>
      </w:r>
      <w:r w:rsidR="0060192B">
        <w:rPr>
          <w:rFonts w:cs="Times New Roman"/>
          <w:spacing w:val="-3"/>
          <w:lang w:val="fr-CA"/>
        </w:rPr>
        <w:t>(</w:t>
      </w:r>
      <w:r w:rsidRPr="00606C27">
        <w:rPr>
          <w:rFonts w:cs="Times New Roman"/>
          <w:spacing w:val="-3"/>
          <w:lang w:val="fr-CA"/>
        </w:rPr>
        <w:t>1869</w:t>
      </w:r>
      <w:r w:rsidR="0060192B">
        <w:rPr>
          <w:rFonts w:cs="Times New Roman"/>
          <w:spacing w:val="-3"/>
          <w:lang w:val="fr-CA"/>
        </w:rPr>
        <w:t>)</w:t>
      </w:r>
      <w:r w:rsidRPr="00606C27">
        <w:rPr>
          <w:rFonts w:cs="Times New Roman"/>
          <w:spacing w:val="-3"/>
          <w:lang w:val="fr-CA"/>
        </w:rPr>
        <w:t>, p. 19</w:t>
      </w:r>
      <w:r w:rsidRPr="00606C27">
        <w:rPr>
          <w:rFonts w:eastAsia="Times New Roman" w:cs="Times New Roman"/>
          <w:lang w:val="fr-CA" w:eastAsia="en-CA"/>
        </w:rPr>
        <w:t xml:space="preserve">. Toutefois, je ne suis pas d’accord avec les Mikisew pour dire que les ministres exercent des fonctions exécutives lorsqu’ils élaborent des projets de loi. En l’espèce, l’élaboration des textes de loi ne relevait pas d’un pouvoir conféré par voie législative; </w:t>
      </w:r>
      <w:r w:rsidRPr="00606C27">
        <w:rPr>
          <w:rFonts w:eastAsia="Times New Roman" w:cs="Times New Roman"/>
          <w:lang w:val="fr-CA" w:eastAsia="en-CA"/>
        </w:rPr>
        <w:lastRenderedPageBreak/>
        <w:t>il s’agissait plutôt de l’exercice de pouvoirs législatifs qui sont dévolus par la partie</w:t>
      </w:r>
      <w:r w:rsidRPr="00606C27">
        <w:rPr>
          <w:rFonts w:cs="Times New Roman"/>
          <w:lang w:val="fr-CA"/>
        </w:rPr>
        <w:t xml:space="preserve"> IV de la </w:t>
      </w:r>
      <w:r w:rsidRPr="00606C27">
        <w:rPr>
          <w:rFonts w:cs="Times New Roman"/>
          <w:i/>
          <w:lang w:val="fr-CA"/>
        </w:rPr>
        <w:t>Loi constitutionnelle de 1867</w:t>
      </w:r>
      <w:r w:rsidRPr="00606C27">
        <w:rPr>
          <w:rFonts w:cs="Times New Roman"/>
          <w:lang w:val="fr-CA"/>
        </w:rPr>
        <w:t>. Comme les juges majoritaires de la Cour d’appel l’ont souligné, les lois habilitantes sur lesquelles s’appuient les Mikisew pour démontrer que les ministres exerçaient des fonctions exécutives lorsqu’ils ont élaboré les projets de loi « ne renvoient aucunement, même implicitement, [à] l’élaboration de</w:t>
      </w:r>
      <w:r w:rsidR="0060192B">
        <w:rPr>
          <w:rFonts w:cs="Times New Roman"/>
          <w:lang w:val="fr-CA"/>
        </w:rPr>
        <w:t>s</w:t>
      </w:r>
      <w:r w:rsidRPr="00606C27">
        <w:rPr>
          <w:rFonts w:cs="Times New Roman"/>
          <w:lang w:val="fr-CA"/>
        </w:rPr>
        <w:t xml:space="preserve"> projets de loi pour dépôt au Parlement » : motifs de la Cour d’appel, par. 28; </w:t>
      </w:r>
      <w:r w:rsidRPr="00606C27">
        <w:rPr>
          <w:rFonts w:cs="Times New Roman"/>
          <w:i/>
          <w:lang w:val="fr-CA"/>
        </w:rPr>
        <w:t>Loi sur le ministère des Affaires indiennes et du Nord canadien</w:t>
      </w:r>
      <w:r w:rsidRPr="00606C27">
        <w:rPr>
          <w:rFonts w:cs="Times New Roman"/>
          <w:lang w:val="fr-CA"/>
        </w:rPr>
        <w:t>, L.R.C. 1985, c. I</w:t>
      </w:r>
      <w:r w:rsidRPr="00606C27">
        <w:rPr>
          <w:rFonts w:cs="Times New Roman"/>
          <w:lang w:val="fr-CA"/>
        </w:rPr>
        <w:noBreakHyphen/>
        <w:t>6;</w:t>
      </w:r>
      <w:r w:rsidRPr="00606C27">
        <w:rPr>
          <w:rFonts w:cs="Times New Roman"/>
          <w:i/>
          <w:lang w:val="fr-CA"/>
        </w:rPr>
        <w:t xml:space="preserve"> Loi sur le ministère de l’Environnement</w:t>
      </w:r>
      <w:r w:rsidRPr="00606C27">
        <w:rPr>
          <w:rFonts w:cs="Times New Roman"/>
          <w:lang w:val="fr-CA"/>
        </w:rPr>
        <w:t>, L.R.C. 1985, c. E</w:t>
      </w:r>
      <w:r w:rsidRPr="00606C27">
        <w:rPr>
          <w:rFonts w:cs="Times New Roman"/>
          <w:lang w:val="fr-CA"/>
        </w:rPr>
        <w:noBreakHyphen/>
        <w:t>10;</w:t>
      </w:r>
      <w:r w:rsidRPr="00606C27">
        <w:rPr>
          <w:rFonts w:cs="Times New Roman"/>
          <w:i/>
          <w:lang w:val="fr-CA"/>
        </w:rPr>
        <w:t xml:space="preserve"> Loi sur le ministère des Pêches et des Océans</w:t>
      </w:r>
      <w:r w:rsidRPr="00606C27">
        <w:rPr>
          <w:rFonts w:cs="Times New Roman"/>
          <w:lang w:val="fr-CA"/>
        </w:rPr>
        <w:t>, L.R.C. 1985, c. F</w:t>
      </w:r>
      <w:r w:rsidRPr="00606C27">
        <w:rPr>
          <w:rFonts w:cs="Times New Roman"/>
          <w:lang w:val="fr-CA"/>
        </w:rPr>
        <w:noBreakHyphen/>
        <w:t>15;</w:t>
      </w:r>
      <w:r w:rsidRPr="00606C27">
        <w:rPr>
          <w:rFonts w:cs="Times New Roman"/>
          <w:i/>
          <w:lang w:val="fr-CA"/>
        </w:rPr>
        <w:t xml:space="preserve"> Loi sur le ministère des Transports</w:t>
      </w:r>
      <w:r w:rsidRPr="00606C27">
        <w:rPr>
          <w:rFonts w:cs="Times New Roman"/>
          <w:lang w:val="fr-CA"/>
        </w:rPr>
        <w:t>, L.R.C. 1985, c. T</w:t>
      </w:r>
      <w:r w:rsidRPr="00606C27">
        <w:rPr>
          <w:rFonts w:cs="Times New Roman"/>
          <w:lang w:val="fr-CA"/>
        </w:rPr>
        <w:noBreakHyphen/>
        <w:t>18;</w:t>
      </w:r>
      <w:r w:rsidRPr="00606C27">
        <w:rPr>
          <w:rFonts w:cs="Times New Roman"/>
          <w:i/>
          <w:lang w:val="fr-CA"/>
        </w:rPr>
        <w:t xml:space="preserve"> Loi sur le ministère des Ressources naturelles</w:t>
      </w:r>
      <w:r w:rsidRPr="00606C27">
        <w:rPr>
          <w:rFonts w:cs="Times New Roman"/>
          <w:lang w:val="fr-CA"/>
        </w:rPr>
        <w:t xml:space="preserve">, L.C. 1994, c. 41; </w:t>
      </w:r>
      <w:r w:rsidRPr="00606C27">
        <w:rPr>
          <w:rFonts w:cs="Times New Roman"/>
          <w:i/>
          <w:lang w:val="fr-CA"/>
        </w:rPr>
        <w:t>Loi sur la gestion des finances publiques</w:t>
      </w:r>
      <w:r w:rsidRPr="00606C27">
        <w:rPr>
          <w:rFonts w:cs="Times New Roman"/>
          <w:lang w:val="fr-CA"/>
        </w:rPr>
        <w:t>, L.R.C. 1985, c. F</w:t>
      </w:r>
      <w:r w:rsidRPr="00606C27">
        <w:rPr>
          <w:rFonts w:cs="Times New Roman"/>
          <w:lang w:val="fr-CA"/>
        </w:rPr>
        <w:noBreakHyphen/>
        <w:t>11.</w:t>
      </w:r>
      <w:r w:rsidRPr="00606C27">
        <w:rPr>
          <w:rFonts w:cs="Times New Roman"/>
          <w:i/>
          <w:lang w:val="fr-CA"/>
        </w:rPr>
        <w:t xml:space="preserve"> </w:t>
      </w:r>
    </w:p>
    <w:p w:rsidR="00E313A3" w:rsidRPr="00606C27" w:rsidRDefault="00E313A3" w:rsidP="00E313A3">
      <w:pPr>
        <w:pStyle w:val="ParaNoNdepar-AltN"/>
        <w:tabs>
          <w:tab w:val="clear" w:pos="1152"/>
          <w:tab w:val="left" w:pos="1166"/>
        </w:tabs>
        <w:rPr>
          <w:rFonts w:cs="Times New Roman"/>
          <w:lang w:val="fr-CA"/>
        </w:rPr>
      </w:pPr>
      <w:r w:rsidRPr="00606C27">
        <w:rPr>
          <w:rFonts w:cs="Times New Roman"/>
          <w:lang w:val="fr-CA"/>
        </w:rPr>
        <w:t xml:space="preserve">L’élaboration de projets de loi par les ministres fait partie intégrante du processus législatif, un processus qui est généralement à l’abri du contrôle judiciaire. De plus, la jurisprudence de la Cour établit clairement que, si le Cabinet n’est pas autorisé à présenter un projet de loi, cela revient à restreindre le pouvoir du Parlement : </w:t>
      </w:r>
      <w:r w:rsidRPr="00606C27">
        <w:rPr>
          <w:rFonts w:cs="Times New Roman"/>
          <w:i/>
          <w:lang w:val="fr-CA"/>
        </w:rPr>
        <w:t>Régime d’assistance publique du Canada</w:t>
      </w:r>
      <w:r w:rsidRPr="00606C27">
        <w:rPr>
          <w:rFonts w:cs="Times New Roman"/>
          <w:lang w:val="fr-CA"/>
        </w:rPr>
        <w:t xml:space="preserve">, p. 560. Dans le passé, la Cour a souvent insisté sur l’importance de protéger le processus législatif contre la surveillance judiciaire. Dans le </w:t>
      </w:r>
      <w:r w:rsidRPr="00606C27">
        <w:rPr>
          <w:rFonts w:cs="Times New Roman"/>
          <w:i/>
          <w:lang w:val="fr-CA"/>
        </w:rPr>
        <w:t>Renvoi : Résolution pour modifier la Constitution</w:t>
      </w:r>
      <w:r w:rsidRPr="00606C27">
        <w:rPr>
          <w:rFonts w:cs="Times New Roman"/>
          <w:lang w:val="fr-CA"/>
        </w:rPr>
        <w:t>, [1981] 1 R.C.S. 753</w:t>
      </w:r>
      <w:r w:rsidRPr="00606C27">
        <w:rPr>
          <w:rFonts w:cs="Times New Roman"/>
          <w:bCs/>
          <w:lang w:val="fr-CA"/>
        </w:rPr>
        <w:t xml:space="preserve">, les juges majoritaires de la Cour ont déclaré que « [l]es tribunaux interviennent quand une loi est adoptée et non avant » : p. 785. Dans l’arrêt </w:t>
      </w:r>
      <w:r w:rsidRPr="00606C27">
        <w:rPr>
          <w:rFonts w:cs="Times New Roman"/>
          <w:bCs/>
          <w:i/>
          <w:lang w:val="fr-CA"/>
        </w:rPr>
        <w:t>Régime d’assistance publique du Canada</w:t>
      </w:r>
      <w:r w:rsidRPr="00606C27">
        <w:rPr>
          <w:rFonts w:cs="Times New Roman"/>
          <w:bCs/>
          <w:lang w:val="fr-CA"/>
        </w:rPr>
        <w:t xml:space="preserve">, la Cour a souligné que « [l]a rédaction et le dépôt d’un projet de </w:t>
      </w:r>
      <w:r w:rsidRPr="00606C27">
        <w:rPr>
          <w:rFonts w:cs="Times New Roman"/>
          <w:bCs/>
          <w:lang w:val="fr-CA"/>
        </w:rPr>
        <w:lastRenderedPageBreak/>
        <w:t xml:space="preserve">loi font partie du processus législatif dans lequel les tribunaux ne s’immiscent pas » : </w:t>
      </w:r>
      <w:r w:rsidRPr="00606C27">
        <w:rPr>
          <w:rFonts w:cs="Times New Roman"/>
          <w:lang w:val="fr-CA"/>
        </w:rPr>
        <w:t xml:space="preserve">p. 559. </w:t>
      </w:r>
    </w:p>
    <w:p w:rsidR="00E313A3" w:rsidRPr="00606C27" w:rsidRDefault="00E313A3" w:rsidP="00E313A3">
      <w:pPr>
        <w:pStyle w:val="ParaNoNdepar-AltN"/>
        <w:tabs>
          <w:tab w:val="clear" w:pos="1152"/>
          <w:tab w:val="left" w:pos="1166"/>
        </w:tabs>
        <w:rPr>
          <w:rFonts w:cs="Times New Roman"/>
          <w:lang w:val="fr-CA"/>
        </w:rPr>
      </w:pPr>
      <w:r w:rsidRPr="00606C27">
        <w:rPr>
          <w:rFonts w:cs="Times New Roman"/>
          <w:lang w:val="fr-CA"/>
        </w:rPr>
        <w:t xml:space="preserve">Des principes constitutionnels établis depuis longtemps justifient cette réticence à surveiller le processus législatif. Le principe de la séparation des pouvoirs est « un élément essentiel de notre constitution » : </w:t>
      </w:r>
      <w:r w:rsidRPr="00606C27">
        <w:rPr>
          <w:rFonts w:cs="Times New Roman"/>
          <w:i/>
          <w:lang w:val="fr-CA"/>
        </w:rPr>
        <w:t>Wells c. Terre</w:t>
      </w:r>
      <w:r w:rsidRPr="00606C27">
        <w:rPr>
          <w:rFonts w:cs="Times New Roman"/>
          <w:i/>
          <w:lang w:val="fr-CA"/>
        </w:rPr>
        <w:noBreakHyphen/>
        <w:t>Neuve</w:t>
      </w:r>
      <w:r w:rsidRPr="00606C27">
        <w:rPr>
          <w:rFonts w:cs="Times New Roman"/>
          <w:lang w:val="fr-CA"/>
        </w:rPr>
        <w:t xml:space="preserve">, [1999] 3 R.C.S. 199, par. 52; voir également </w:t>
      </w:r>
      <w:r w:rsidRPr="00606C27">
        <w:rPr>
          <w:rFonts w:cs="Times New Roman"/>
          <w:i/>
          <w:lang w:val="fr-CA"/>
        </w:rPr>
        <w:t>Ontario c. Criminal Lawyers’ Association of Ontario</w:t>
      </w:r>
      <w:r w:rsidRPr="00606C27">
        <w:rPr>
          <w:rFonts w:cs="Times New Roman"/>
          <w:lang w:val="fr-CA"/>
        </w:rPr>
        <w:t xml:space="preserve">, 2013 CSC 43, [2013] 3 R.C.S. 3, par. 27. Il reconnaît qu’un organe du gouvernement « ne peut jouer son rôle lorsqu’un autre empiète indûment sur lui » : </w:t>
      </w:r>
      <w:r w:rsidRPr="00606C27">
        <w:rPr>
          <w:rFonts w:cs="Times New Roman"/>
          <w:i/>
          <w:lang w:val="fr-CA"/>
        </w:rPr>
        <w:t>Criminal Lawyers’ Association</w:t>
      </w:r>
      <w:r w:rsidRPr="00606C27">
        <w:rPr>
          <w:rFonts w:cs="Times New Roman"/>
          <w:lang w:val="fr-CA"/>
        </w:rPr>
        <w:t xml:space="preserve">, par. 29. Il exige que « les tribunaux et le Parlement s’efforcent de respecter leurs rôles respectifs dans la conduite des affaires publiques »; ainsi, il ne fait aucun doute que le Parlement doive pouvoir « exercer ses activités législatives libre de toute ingérence de la part d’organismes ou d’institutions externes, y compris les tribunaux » : </w:t>
      </w:r>
      <w:r w:rsidRPr="00606C27">
        <w:rPr>
          <w:rFonts w:cs="Times New Roman"/>
          <w:i/>
          <w:lang w:val="fr-CA"/>
        </w:rPr>
        <w:t>Canada (Chambre des communes) c. Vaid</w:t>
      </w:r>
      <w:r w:rsidRPr="00606C27">
        <w:rPr>
          <w:rFonts w:cs="Times New Roman"/>
          <w:lang w:val="fr-CA"/>
        </w:rPr>
        <w:t xml:space="preserve">, 2005 CSC 30, [2005] 1 R.C.S. 667, par. 20. Si l’on devait reconnaître qu’une obligation de consulter s’applique au processus législatif, cela risquerait d’obliger les tribunaux à s’ingérer indûment dans la sphère du législateur. </w:t>
      </w:r>
    </w:p>
    <w:p w:rsidR="00E313A3" w:rsidRPr="00606C27" w:rsidRDefault="00E313A3" w:rsidP="00E313A3">
      <w:pPr>
        <w:pStyle w:val="ParaNoNdepar-AltN"/>
        <w:tabs>
          <w:tab w:val="clear" w:pos="1152"/>
          <w:tab w:val="left" w:pos="1166"/>
        </w:tabs>
        <w:rPr>
          <w:rFonts w:cs="Times New Roman"/>
          <w:szCs w:val="24"/>
          <w:lang w:val="fr-CA"/>
        </w:rPr>
      </w:pPr>
      <w:r w:rsidRPr="00606C27">
        <w:rPr>
          <w:rFonts w:cs="Times New Roman"/>
          <w:lang w:val="fr-CA"/>
        </w:rPr>
        <w:t xml:space="preserve">Le principe de la souveraineté parlementaire suppose que l’Assemblée législative peut adopter ou abroger une loi à son gré, dans les limites des pouvoirs que lui confère la Constitution. Bien que l’adoption de la </w:t>
      </w:r>
      <w:r w:rsidRPr="00606C27">
        <w:rPr>
          <w:rFonts w:cs="Times New Roman"/>
          <w:i/>
          <w:lang w:val="fr-CA"/>
        </w:rPr>
        <w:t xml:space="preserve">Charte canadienne des droits et libertés </w:t>
      </w:r>
      <w:r w:rsidRPr="00606C27">
        <w:rPr>
          <w:rFonts w:cs="Times New Roman"/>
          <w:lang w:val="fr-CA"/>
        </w:rPr>
        <w:t xml:space="preserve">ait « dans une large mesure [. . .] fait passer le système canadien de gouvernement de </w:t>
      </w:r>
      <w:r w:rsidRPr="00606C27">
        <w:rPr>
          <w:rFonts w:cs="Times New Roman"/>
          <w:szCs w:val="24"/>
          <w:lang w:val="fr-CA"/>
        </w:rPr>
        <w:t xml:space="preserve">la suprématie parlementaire à la suprématie constitutionnelle » </w:t>
      </w:r>
      <w:r w:rsidRPr="00606C27">
        <w:rPr>
          <w:rFonts w:cs="Times New Roman"/>
          <w:szCs w:val="24"/>
          <w:lang w:val="fr-CA"/>
        </w:rPr>
        <w:lastRenderedPageBreak/>
        <w:t>(</w:t>
      </w:r>
      <w:r w:rsidRPr="00606C27">
        <w:rPr>
          <w:rFonts w:cs="Times New Roman"/>
          <w:i/>
          <w:szCs w:val="24"/>
          <w:lang w:val="fr-CA"/>
        </w:rPr>
        <w:t>Renvoi relatif à la sécession du Québec</w:t>
      </w:r>
      <w:r w:rsidRPr="00606C27">
        <w:rPr>
          <w:rFonts w:cs="Times New Roman"/>
          <w:szCs w:val="24"/>
          <w:lang w:val="fr-CA"/>
        </w:rPr>
        <w:t>, [1998] 2 R.C.S. 217, par. 72), la démocratie demeure l’un des principes non écrits de la Constitution (par. 61</w:t>
      </w:r>
      <w:r w:rsidRPr="00606C27">
        <w:rPr>
          <w:rFonts w:cs="Times New Roman"/>
          <w:szCs w:val="24"/>
          <w:lang w:val="fr-CA"/>
        </w:rPr>
        <w:noBreakHyphen/>
        <w:t>69). Si l’on devait reconnaître que l’assemblée législative élue a des obligations précises en matière de consultation, cela risquerait de lui nuire dans l’accomplissement de son mandat et donc de miner sa capacité de se faire la voix de l’électorat.</w:t>
      </w:r>
    </w:p>
    <w:p w:rsidR="00E313A3" w:rsidRPr="00606C27" w:rsidRDefault="00E313A3" w:rsidP="00E313A3">
      <w:pPr>
        <w:pStyle w:val="ParaNoNdepar-AltN"/>
        <w:tabs>
          <w:tab w:val="clear" w:pos="1152"/>
          <w:tab w:val="left" w:pos="1166"/>
        </w:tabs>
        <w:rPr>
          <w:rFonts w:cs="Times New Roman"/>
          <w:szCs w:val="24"/>
          <w:lang w:val="fr-CA"/>
        </w:rPr>
      </w:pPr>
      <w:r w:rsidRPr="00606C27">
        <w:rPr>
          <w:rFonts w:cs="Times New Roman"/>
          <w:szCs w:val="24"/>
          <w:lang w:val="fr-CA"/>
        </w:rPr>
        <w:t xml:space="preserve">Le principe constitutionnel connexe du privilège parlementaire confirme lui aussi que le processus législatif est largement hors de la portée d’une intervention judiciaire. Il est défini comme étant « la somme des privilèges, immunités et pouvoirs dont jouissent le Sénat, la Chambre des communes et les assemblées législatives provinciales ainsi que les membres de chaque Chambre individuellement, sans lesquels ils ne pourraient s’acquitter de leurs fonctions » : </w:t>
      </w:r>
      <w:r w:rsidRPr="00606C27">
        <w:rPr>
          <w:rFonts w:cs="Times New Roman"/>
          <w:i/>
          <w:szCs w:val="24"/>
          <w:lang w:val="fr-CA"/>
        </w:rPr>
        <w:t>Vaid</w:t>
      </w:r>
      <w:r w:rsidRPr="00606C27">
        <w:rPr>
          <w:rFonts w:cs="Times New Roman"/>
          <w:szCs w:val="24"/>
          <w:lang w:val="fr-CA"/>
        </w:rPr>
        <w:t>, par. 29</w:t>
      </w:r>
      <w:r w:rsidR="003242BD">
        <w:rPr>
          <w:rFonts w:cs="Times New Roman"/>
          <w:szCs w:val="24"/>
          <w:lang w:val="fr-CA"/>
        </w:rPr>
        <w:t>(2)</w:t>
      </w:r>
      <w:r w:rsidRPr="00606C27">
        <w:rPr>
          <w:rFonts w:cs="Times New Roman"/>
          <w:szCs w:val="24"/>
          <w:lang w:val="fr-CA"/>
        </w:rPr>
        <w:t>. Une fois qu’une catégorie de privilèges parlementaires est établie, « c’est au Parlement, et non aux tribunaux, qu’il revient de déterminer si l’</w:t>
      </w:r>
      <w:r w:rsidRPr="00606C27">
        <w:rPr>
          <w:rFonts w:cs="Times New Roman"/>
          <w:i/>
          <w:szCs w:val="24"/>
          <w:lang w:val="fr-CA"/>
        </w:rPr>
        <w:t>exercice</w:t>
      </w:r>
      <w:r w:rsidRPr="00606C27">
        <w:rPr>
          <w:rFonts w:cs="Times New Roman"/>
          <w:szCs w:val="24"/>
          <w:lang w:val="fr-CA"/>
        </w:rPr>
        <w:t xml:space="preserve"> de ce privilège est nécessaire ou approprié dans un cas particulier » : </w:t>
      </w:r>
      <w:r w:rsidRPr="00606C27">
        <w:rPr>
          <w:rFonts w:cs="Times New Roman"/>
          <w:i/>
          <w:szCs w:val="24"/>
          <w:lang w:val="fr-CA"/>
        </w:rPr>
        <w:t>Vaid</w:t>
      </w:r>
      <w:r w:rsidRPr="00606C27">
        <w:rPr>
          <w:rFonts w:cs="Times New Roman"/>
          <w:szCs w:val="24"/>
          <w:lang w:val="fr-CA"/>
        </w:rPr>
        <w:t>, par. 29</w:t>
      </w:r>
      <w:r w:rsidR="003242BD">
        <w:rPr>
          <w:rFonts w:cs="Times New Roman"/>
          <w:szCs w:val="24"/>
          <w:lang w:val="fr-CA"/>
        </w:rPr>
        <w:t>(9)</w:t>
      </w:r>
      <w:r w:rsidRPr="00606C27">
        <w:rPr>
          <w:rFonts w:cs="Times New Roman"/>
          <w:szCs w:val="24"/>
          <w:lang w:val="fr-CA"/>
        </w:rPr>
        <w:t xml:space="preserve"> et par. 47</w:t>
      </w:r>
      <w:r w:rsidRPr="00606C27">
        <w:rPr>
          <w:rFonts w:cs="Times New Roman"/>
          <w:szCs w:val="24"/>
          <w:lang w:val="fr-CA"/>
        </w:rPr>
        <w:noBreakHyphen/>
        <w:t>48 (</w:t>
      </w:r>
      <w:r w:rsidR="003242BD">
        <w:rPr>
          <w:rFonts w:cs="Times New Roman"/>
          <w:szCs w:val="24"/>
          <w:lang w:val="fr-CA"/>
        </w:rPr>
        <w:t xml:space="preserve">en </w:t>
      </w:r>
      <w:r w:rsidRPr="00606C27">
        <w:rPr>
          <w:rFonts w:cs="Times New Roman"/>
          <w:szCs w:val="24"/>
          <w:lang w:val="fr-CA"/>
        </w:rPr>
        <w:t xml:space="preserve">italique dans l’original). Il ressort à l’évidence de la jurisprudence canadienne que le privilège parlementaire met les </w:t>
      </w:r>
      <w:r w:rsidR="003242BD">
        <w:rPr>
          <w:rFonts w:cs="Times New Roman"/>
          <w:szCs w:val="24"/>
          <w:lang w:val="fr-CA"/>
        </w:rPr>
        <w:t>[</w:t>
      </w:r>
      <w:r w:rsidR="003242BD" w:rsidRPr="003242BD">
        <w:rPr>
          <w:rFonts w:cs="Times New Roman"/>
          <w:smallCaps/>
          <w:szCs w:val="24"/>
          <w:lang w:val="fr-CA"/>
        </w:rPr>
        <w:t>traduction</w:t>
      </w:r>
      <w:r w:rsidR="003242BD">
        <w:rPr>
          <w:rFonts w:cs="Times New Roman"/>
          <w:szCs w:val="24"/>
          <w:lang w:val="fr-CA"/>
        </w:rPr>
        <w:t xml:space="preserve">] </w:t>
      </w:r>
      <w:r w:rsidRPr="00606C27">
        <w:rPr>
          <w:rFonts w:cs="Times New Roman"/>
          <w:szCs w:val="24"/>
          <w:lang w:val="fr-CA"/>
        </w:rPr>
        <w:t xml:space="preserve">« débats ou travaux du Parlement » à l’abri du contrôle judiciaire : </w:t>
      </w:r>
      <w:r w:rsidRPr="00606C27">
        <w:rPr>
          <w:rFonts w:cs="Times New Roman"/>
          <w:i/>
          <w:szCs w:val="24"/>
          <w:lang w:val="fr-CA"/>
        </w:rPr>
        <w:t>Vaid</w:t>
      </w:r>
      <w:r w:rsidRPr="00606C27">
        <w:rPr>
          <w:rFonts w:cs="Times New Roman"/>
          <w:szCs w:val="24"/>
          <w:lang w:val="fr-CA"/>
        </w:rPr>
        <w:t>, par. 29</w:t>
      </w:r>
      <w:r w:rsidR="003242BD">
        <w:rPr>
          <w:rFonts w:cs="Times New Roman"/>
          <w:szCs w:val="24"/>
          <w:lang w:val="fr-CA"/>
        </w:rPr>
        <w:t>(10)</w:t>
      </w:r>
      <w:r w:rsidRPr="00606C27">
        <w:rPr>
          <w:rFonts w:cs="Times New Roman"/>
          <w:szCs w:val="24"/>
          <w:lang w:val="fr-CA"/>
        </w:rPr>
        <w:t xml:space="preserve">; J. P. J. Maingot, </w:t>
      </w:r>
      <w:r w:rsidRPr="00606C27">
        <w:rPr>
          <w:rFonts w:cs="Times New Roman"/>
          <w:i/>
          <w:szCs w:val="24"/>
          <w:lang w:val="fr-CA"/>
        </w:rPr>
        <w:t>Parliamentary Immunity in Canada</w:t>
      </w:r>
      <w:r w:rsidRPr="00606C27">
        <w:rPr>
          <w:rFonts w:cs="Times New Roman"/>
          <w:szCs w:val="24"/>
          <w:lang w:val="fr-CA"/>
        </w:rPr>
        <w:t xml:space="preserve"> (2016), p. 166</w:t>
      </w:r>
      <w:r w:rsidRPr="00606C27">
        <w:rPr>
          <w:rFonts w:cs="Times New Roman"/>
          <w:szCs w:val="24"/>
          <w:lang w:val="fr-CA"/>
        </w:rPr>
        <w:noBreakHyphen/>
        <w:t xml:space="preserve">171; voir également </w:t>
      </w:r>
      <w:r w:rsidRPr="00606C27">
        <w:rPr>
          <w:rFonts w:cs="Times New Roman"/>
          <w:i/>
          <w:szCs w:val="24"/>
          <w:lang w:val="fr-CA"/>
        </w:rPr>
        <w:t>New Brunswick Broadcasting Co. c. Nouvelle</w:t>
      </w:r>
      <w:r w:rsidRPr="00606C27">
        <w:rPr>
          <w:rFonts w:cs="Times New Roman"/>
          <w:i/>
          <w:szCs w:val="24"/>
          <w:lang w:val="fr-CA"/>
        </w:rPr>
        <w:noBreakHyphen/>
        <w:t>Écosse (Président de l’Assemblée législative)</w:t>
      </w:r>
      <w:r w:rsidRPr="00606C27">
        <w:rPr>
          <w:rFonts w:cs="Times New Roman"/>
          <w:szCs w:val="24"/>
          <w:lang w:val="fr-CA"/>
        </w:rPr>
        <w:t xml:space="preserve">, [1993] 1 R.C.S. 319, p. 385; P. W. Hogg, </w:t>
      </w:r>
      <w:r w:rsidRPr="00606C27">
        <w:rPr>
          <w:rFonts w:cs="Times New Roman"/>
          <w:i/>
          <w:szCs w:val="24"/>
          <w:lang w:val="fr-CA"/>
        </w:rPr>
        <w:t>Constitutional Law of Canada</w:t>
      </w:r>
      <w:r w:rsidRPr="00606C27">
        <w:rPr>
          <w:rFonts w:cs="Times New Roman"/>
          <w:szCs w:val="24"/>
          <w:lang w:val="fr-CA"/>
        </w:rPr>
        <w:t xml:space="preserve"> (5</w:t>
      </w:r>
      <w:r w:rsidRPr="00606C27">
        <w:rPr>
          <w:rFonts w:cs="Times New Roman"/>
          <w:szCs w:val="24"/>
          <w:vertAlign w:val="superscript"/>
          <w:lang w:val="fr-CA"/>
        </w:rPr>
        <w:t>e</w:t>
      </w:r>
      <w:r w:rsidR="003242BD">
        <w:rPr>
          <w:rFonts w:cs="Times New Roman"/>
          <w:szCs w:val="24"/>
          <w:lang w:val="fr-CA"/>
        </w:rPr>
        <w:t xml:space="preserve"> éd. s</w:t>
      </w:r>
      <w:r w:rsidRPr="00606C27">
        <w:rPr>
          <w:rFonts w:cs="Times New Roman"/>
          <w:szCs w:val="24"/>
          <w:lang w:val="fr-CA"/>
        </w:rPr>
        <w:t>upp</w:t>
      </w:r>
      <w:r w:rsidR="003242BD">
        <w:rPr>
          <w:rFonts w:cs="Times New Roman"/>
          <w:szCs w:val="24"/>
          <w:lang w:val="fr-CA"/>
        </w:rPr>
        <w:t>l</w:t>
      </w:r>
      <w:r w:rsidRPr="00606C27">
        <w:rPr>
          <w:rFonts w:cs="Times New Roman"/>
          <w:szCs w:val="24"/>
          <w:lang w:val="fr-CA"/>
        </w:rPr>
        <w:t xml:space="preserve">.), </w:t>
      </w:r>
      <w:r w:rsidR="003242BD">
        <w:rPr>
          <w:rFonts w:cs="Times New Roman"/>
          <w:szCs w:val="24"/>
          <w:lang w:val="fr-CA"/>
        </w:rPr>
        <w:t xml:space="preserve">par. </w:t>
      </w:r>
      <w:r w:rsidRPr="00606C27">
        <w:rPr>
          <w:rFonts w:cs="Times New Roman"/>
          <w:szCs w:val="24"/>
          <w:lang w:val="fr-CA"/>
        </w:rPr>
        <w:t xml:space="preserve">1.7; art. 9 du </w:t>
      </w:r>
      <w:r w:rsidRPr="00606C27">
        <w:rPr>
          <w:rFonts w:cs="Times New Roman"/>
          <w:i/>
          <w:szCs w:val="24"/>
          <w:lang w:val="fr-CA"/>
        </w:rPr>
        <w:t>Bill of Rights</w:t>
      </w:r>
      <w:r w:rsidRPr="00606C27">
        <w:rPr>
          <w:rFonts w:cs="Times New Roman"/>
          <w:szCs w:val="24"/>
          <w:lang w:val="fr-CA"/>
        </w:rPr>
        <w:t xml:space="preserve"> de 1689 du Royaume</w:t>
      </w:r>
      <w:r w:rsidRPr="00606C27">
        <w:rPr>
          <w:rFonts w:cs="Times New Roman"/>
          <w:szCs w:val="24"/>
          <w:lang w:val="fr-CA"/>
        </w:rPr>
        <w:noBreakHyphen/>
        <w:t xml:space="preserve">Uni. L’existence de ce privilège empêche par ailleurs </w:t>
      </w:r>
      <w:r w:rsidRPr="00606C27">
        <w:rPr>
          <w:rFonts w:cs="Times New Roman"/>
          <w:szCs w:val="24"/>
          <w:lang w:val="fr-CA"/>
        </w:rPr>
        <w:lastRenderedPageBreak/>
        <w:t xml:space="preserve">généralement les tribunaux d’assujettir le processus parlementaire à des contraintes procédurales. </w:t>
      </w:r>
    </w:p>
    <w:p w:rsidR="00E313A3" w:rsidRPr="00606C27" w:rsidRDefault="00E313A3" w:rsidP="00E313A3">
      <w:pPr>
        <w:pStyle w:val="ParaNoNdepar-AltN"/>
        <w:tabs>
          <w:tab w:val="clear" w:pos="1152"/>
          <w:tab w:val="left" w:pos="1166"/>
        </w:tabs>
        <w:rPr>
          <w:rFonts w:cs="Times New Roman"/>
          <w:lang w:val="fr-CA"/>
        </w:rPr>
      </w:pPr>
      <w:r w:rsidRPr="00606C27">
        <w:rPr>
          <w:rFonts w:cs="Times New Roman"/>
          <w:lang w:val="fr-CA"/>
        </w:rPr>
        <w:t>L’application de la doctrine de l’obligation de consulter durant le processus législatif donnerait lieu à une ingérence importante des tribunaux dans les travaux du législateur, et ce, même s’ils ne s’acquittaient de cette obligation qu’après l’adoption de la loi. La jurisprudence sur l’obligation de consulter a fait naître une gamme d’exigences en matière de consultation qui sont adaptées au contexte du processus décisionnel administratif. Transposer ces exigences qui relèvent de l’</w:t>
      </w:r>
      <w:r w:rsidRPr="00606C27">
        <w:rPr>
          <w:rFonts w:cs="Times New Roman"/>
          <w:i/>
          <w:lang w:val="fr-CA"/>
        </w:rPr>
        <w:t>exécutif</w:t>
      </w:r>
      <w:r w:rsidRPr="00606C27">
        <w:rPr>
          <w:rFonts w:cs="Times New Roman"/>
          <w:lang w:val="fr-CA"/>
        </w:rPr>
        <w:t xml:space="preserve"> directement dans la sphère </w:t>
      </w:r>
      <w:r w:rsidRPr="00606C27">
        <w:rPr>
          <w:rFonts w:cs="Times New Roman"/>
          <w:i/>
          <w:lang w:val="fr-CA"/>
        </w:rPr>
        <w:t>législative</w:t>
      </w:r>
      <w:r w:rsidRPr="00606C27">
        <w:rPr>
          <w:rFonts w:cs="Times New Roman"/>
          <w:lang w:val="fr-CA"/>
        </w:rPr>
        <w:t xml:space="preserve"> entraverait indûment la capacité des assemblées législatives d’être maîtresses de leurs propres procédures. </w:t>
      </w:r>
    </w:p>
    <w:p w:rsidR="00E313A3" w:rsidRPr="00606C27" w:rsidRDefault="00E313A3" w:rsidP="00E313A3">
      <w:pPr>
        <w:pStyle w:val="ParaNoNdepar-AltN"/>
        <w:tabs>
          <w:tab w:val="clear" w:pos="1152"/>
          <w:tab w:val="left" w:pos="1166"/>
        </w:tabs>
        <w:rPr>
          <w:rFonts w:cs="Times New Roman"/>
          <w:lang w:val="fr-CA"/>
        </w:rPr>
      </w:pPr>
      <w:r w:rsidRPr="00606C27">
        <w:rPr>
          <w:rFonts w:cs="Times New Roman"/>
          <w:lang w:val="fr-CA"/>
        </w:rPr>
        <w:t>Les recours propres au droit administratif qui peuvent être normalement intentés pour manquement à l’obligation de consulter inciteraient davantage les tribunaux à intervenir indûment dans la sphère du législateur. L’omission par la Couronne de mener des consultations peut donner lieu à diverses mesures réparatrices dont l’annulation de la décision en cause ou l’octroi d’une injonction, de dommages</w:t>
      </w:r>
      <w:r w:rsidRPr="00606C27">
        <w:rPr>
          <w:rFonts w:cs="Times New Roman"/>
          <w:lang w:val="fr-CA"/>
        </w:rPr>
        <w:noBreakHyphen/>
        <w:t xml:space="preserve">intérêts ou d’une ordonnance enjoignant à la Couronne de procéder à des consultations avant de donner suite à l’action proposée : </w:t>
      </w:r>
      <w:r w:rsidRPr="00606C27">
        <w:rPr>
          <w:rFonts w:cs="Times New Roman"/>
          <w:i/>
          <w:lang w:val="fr-CA"/>
        </w:rPr>
        <w:t>Carrier Sekani</w:t>
      </w:r>
      <w:r w:rsidRPr="00606C27">
        <w:rPr>
          <w:rFonts w:cs="Times New Roman"/>
          <w:lang w:val="fr-CA"/>
        </w:rPr>
        <w:t xml:space="preserve">, par. 37 et 54; </w:t>
      </w:r>
      <w:r w:rsidRPr="00606C27">
        <w:rPr>
          <w:rFonts w:cs="Times New Roman"/>
          <w:i/>
          <w:lang w:val="fr-CA"/>
        </w:rPr>
        <w:t>Clyde River</w:t>
      </w:r>
      <w:r w:rsidRPr="00606C27">
        <w:rPr>
          <w:rFonts w:cs="Times New Roman"/>
          <w:lang w:val="fr-CA"/>
        </w:rPr>
        <w:t xml:space="preserve">, par. 24; K. Roach, </w:t>
      </w:r>
      <w:r w:rsidRPr="00606C27">
        <w:rPr>
          <w:rFonts w:cs="Times New Roman"/>
          <w:i/>
          <w:lang w:val="fr-CA"/>
        </w:rPr>
        <w:t xml:space="preserve">Constitutional Remedies in Canada </w:t>
      </w:r>
      <w:r w:rsidRPr="00606C27">
        <w:rPr>
          <w:rFonts w:cs="Times New Roman"/>
          <w:lang w:val="fr-CA"/>
        </w:rPr>
        <w:t>(2</w:t>
      </w:r>
      <w:r w:rsidRPr="00606C27">
        <w:rPr>
          <w:rFonts w:cs="Times New Roman"/>
          <w:vertAlign w:val="superscript"/>
          <w:lang w:val="fr-CA"/>
        </w:rPr>
        <w:t>e</w:t>
      </w:r>
      <w:r w:rsidRPr="00606C27">
        <w:rPr>
          <w:rFonts w:cs="Times New Roman"/>
          <w:lang w:val="fr-CA"/>
        </w:rPr>
        <w:t> éd. (feuilles mobiles)), ¶15.820</w:t>
      </w:r>
      <w:r w:rsidR="002505E3">
        <w:rPr>
          <w:rFonts w:cs="Times New Roman"/>
          <w:lang w:val="fr-CA"/>
        </w:rPr>
        <w:t xml:space="preserve"> à </w:t>
      </w:r>
      <w:r w:rsidRPr="00606C27">
        <w:rPr>
          <w:rFonts w:cs="Times New Roman"/>
          <w:lang w:val="fr-CA"/>
        </w:rPr>
        <w:t xml:space="preserve">15.980. Par conséquent, si une obligation de consulter s’appliquait au processus législatif, il faudrait que les tribunaux interviennent directement dans l’élaboration des projets de loi. Je reconnais que les Mikisew s’en sont tenus à solliciter </w:t>
      </w:r>
      <w:r w:rsidRPr="00606C27">
        <w:rPr>
          <w:rFonts w:cs="Times New Roman"/>
          <w:lang w:val="fr-CA"/>
        </w:rPr>
        <w:lastRenderedPageBreak/>
        <w:t xml:space="preserve">une ordonnance déclaratoire en l’espèce. Toutefois, ils ont invoqué à l’appui de leur demande le fait que le Canada envisageait de modifier son régime de protection environnementale à l’époque où la procédure a été entamée. De plus, ils ont indiqué qu’il pourrait convenir, dans des litiges futurs, que les tribunaux examinent des réparations accessoires consistant à faire en sorte que la loi contestée fasse l’objet de plus amples consultations, qu’il soit sursis à sa mise en œuvre ou qu’elle soit soumise au contrôle judiciaire. De telles mesures pourraient entraver considérablement la volonté du Parlement. </w:t>
      </w:r>
    </w:p>
    <w:p w:rsidR="00E313A3" w:rsidRPr="00606C27" w:rsidRDefault="00E313A3" w:rsidP="00E313A3">
      <w:pPr>
        <w:pStyle w:val="ParaNoNdepar-AltN"/>
        <w:tabs>
          <w:tab w:val="clear" w:pos="1152"/>
          <w:tab w:val="left" w:pos="1166"/>
        </w:tabs>
        <w:rPr>
          <w:rFonts w:cs="Times New Roman"/>
          <w:lang w:val="fr-CA"/>
        </w:rPr>
      </w:pPr>
      <w:r w:rsidRPr="00606C27">
        <w:rPr>
          <w:rFonts w:cs="Times New Roman"/>
          <w:lang w:val="fr-CA"/>
        </w:rPr>
        <w:t>Assujettir le processus d’élaboration des projets de loi par les ministres à une obligation de consulter, comme le proposent les Mikisew, soulèverait aussi des préoccupations d’ordre pratique. En effet, si l’obligation de consulter devait être déclenchée au stade de l’élaboration d’un projet de loi par les ministres, plutôt qu’à un stade ultérieur du processus législatif, les possibilités de trouver des mesures d’accommodement utiles pourraient s’en trouver limitées. En effet, des amendements apportés à un projet de loi au stade de l’élaboration de la politique sous</w:t>
      </w:r>
      <w:r w:rsidRPr="00606C27">
        <w:rPr>
          <w:rFonts w:cs="Times New Roman"/>
          <w:lang w:val="fr-CA"/>
        </w:rPr>
        <w:noBreakHyphen/>
        <w:t xml:space="preserve">jacente, pour tenir compte de préoccupations soulevées pendant des consultations, pourraient être supprimés par le Parlement, puisqu’il peut modifier une loi proposée. De plus, le dépôt de projets de loi d’initiative parlementaire ne donnerait pas naissance à l’obligation de consulter, ce qui rendrait l’approche incongrue. Celle proposée par les Mikisew pourrait aussi être difficile à appliquer lorsque les ministres exercent à la fois des fonctions exécutives et parlementaires dans le cadre du processus décisionnel du Cabinet. Dans la longue série de démarches accomplies pour élaborer une loi, il serait </w:t>
      </w:r>
      <w:r w:rsidRPr="00606C27">
        <w:rPr>
          <w:rFonts w:cs="Times New Roman"/>
          <w:lang w:val="fr-CA"/>
        </w:rPr>
        <w:lastRenderedPageBreak/>
        <w:t xml:space="preserve">extrêmement difficile de départager les étapes assujetties à l’obligation de consulter (parce qu’elles relèvent du pouvoir exécutif) et les actions qui n’y sont pas subordonnées (parce qu’elles relèvent du pouvoir législatif). </w:t>
      </w:r>
    </w:p>
    <w:p w:rsidR="00E313A3" w:rsidRPr="00606C27" w:rsidRDefault="00E313A3" w:rsidP="00E313A3">
      <w:pPr>
        <w:pStyle w:val="ParaNoNdepar-AltN"/>
        <w:tabs>
          <w:tab w:val="clear" w:pos="1152"/>
          <w:tab w:val="left" w:pos="1166"/>
        </w:tabs>
        <w:rPr>
          <w:rFonts w:cs="Times New Roman"/>
          <w:lang w:val="fr-CA"/>
        </w:rPr>
      </w:pPr>
      <w:r w:rsidRPr="00606C27">
        <w:rPr>
          <w:rFonts w:cs="Times New Roman"/>
          <w:lang w:val="fr-CA"/>
        </w:rPr>
        <w:t xml:space="preserve">Pour les motifs qui précèdent, la doctrine de l’obligation de consulter est mal adaptée pour s’appliquer directement au processus législatif. </w:t>
      </w:r>
    </w:p>
    <w:p w:rsidR="00E313A3" w:rsidRPr="00606C27" w:rsidRDefault="00E313A3" w:rsidP="00E313A3">
      <w:pPr>
        <w:pStyle w:val="ParaNoNdepar-AltN"/>
        <w:tabs>
          <w:tab w:val="clear" w:pos="1152"/>
          <w:tab w:val="left" w:pos="1166"/>
        </w:tabs>
        <w:rPr>
          <w:rFonts w:cs="Times New Roman"/>
          <w:lang w:val="fr-CA"/>
        </w:rPr>
      </w:pPr>
      <w:r w:rsidRPr="00606C27">
        <w:rPr>
          <w:rFonts w:cs="Times New Roman"/>
          <w:lang w:val="fr-CA"/>
        </w:rPr>
        <w:t xml:space="preserve">Cela dit, la souveraineté parlementaire et la séparation des pouvoirs ne sont pas les seuls principes constitutionnels en cause dans le présent pourvoi. L’existence de l’obligation de consulter a été reconnue pour aider à protéger les droits constitutionnels consacrés par l’art. 35 et pour préserver l’honneur de la Couronne, qui a lui aussi le statut de principe constitutionnel : </w:t>
      </w:r>
      <w:r w:rsidRPr="00606C27">
        <w:rPr>
          <w:rFonts w:cs="Times New Roman"/>
          <w:i/>
          <w:lang w:val="fr-CA"/>
        </w:rPr>
        <w:t>Little Salmon</w:t>
      </w:r>
      <w:r w:rsidRPr="00606C27">
        <w:rPr>
          <w:rFonts w:cs="Times New Roman"/>
          <w:lang w:val="fr-CA"/>
        </w:rPr>
        <w:t>, par. 42.</w:t>
      </w:r>
    </w:p>
    <w:p w:rsidR="00E313A3" w:rsidRPr="00606C27" w:rsidRDefault="00E313A3" w:rsidP="00E313A3">
      <w:pPr>
        <w:pStyle w:val="ParaNoNdepar-AltN"/>
        <w:tabs>
          <w:tab w:val="clear" w:pos="1152"/>
          <w:tab w:val="left" w:pos="1166"/>
        </w:tabs>
        <w:rPr>
          <w:rFonts w:cs="Times New Roman"/>
          <w:lang w:val="fr-CA"/>
        </w:rPr>
      </w:pPr>
      <w:r w:rsidRPr="00606C27">
        <w:rPr>
          <w:rFonts w:cs="Times New Roman"/>
          <w:lang w:val="fr-CA"/>
        </w:rPr>
        <w:t xml:space="preserve">Les Mikisew prétendent que si l’obligation de consulter ne s’appliquait pas au processus législatif, les droits ancestraux ou issus de traités bénéficieraient d’une protection variable. Lorsque l’exécutif ou un organisme décisionnel habilité par la loi prendrait une mesure susceptible d’avoir une incidence sur les droits, revendiqués ou établis, visés à l’art. 35, l’honneur de la Couronne donnerait lieu à une obligation de consulter. Comme je l’ai souligné précédemment, cela empêcherait la Couronne d’agir unilatéralement d’une manière qui risquerait de miner les droits protégés par l’art. 35 et favoriserait le processus de réconciliation en cours. En revanche, si l’État prenait la </w:t>
      </w:r>
      <w:r w:rsidRPr="00606C27">
        <w:rPr>
          <w:rFonts w:cs="Times New Roman"/>
          <w:i/>
          <w:lang w:val="fr-CA"/>
        </w:rPr>
        <w:t>même mesure</w:t>
      </w:r>
      <w:r w:rsidRPr="00606C27">
        <w:rPr>
          <w:rFonts w:cs="Times New Roman"/>
          <w:lang w:val="fr-CA"/>
        </w:rPr>
        <w:t xml:space="preserve"> par voie législative, les collectivités autochtones dont les droits seraient susceptibles d’être touchés ne disposeraient possiblement d’aucun recours utile. Si cette loi </w:t>
      </w:r>
      <w:r w:rsidRPr="00606C27">
        <w:rPr>
          <w:rFonts w:cs="Times New Roman"/>
          <w:i/>
          <w:lang w:val="fr-CA"/>
        </w:rPr>
        <w:t xml:space="preserve">portait atteinte </w:t>
      </w:r>
      <w:r w:rsidRPr="00606C27">
        <w:rPr>
          <w:rFonts w:cs="Times New Roman"/>
          <w:lang w:val="fr-CA"/>
        </w:rPr>
        <w:t xml:space="preserve">aux droits visés à l’art. 35, elle pourrait être déclarée inopérante </w:t>
      </w:r>
      <w:r w:rsidRPr="00606C27">
        <w:rPr>
          <w:rFonts w:cs="Times New Roman"/>
          <w:lang w:val="fr-CA"/>
        </w:rPr>
        <w:lastRenderedPageBreak/>
        <w:t xml:space="preserve">par application de l’art. 52 de la </w:t>
      </w:r>
      <w:r w:rsidRPr="00606C27">
        <w:rPr>
          <w:rFonts w:cs="Times New Roman"/>
          <w:i/>
          <w:lang w:val="fr-CA"/>
        </w:rPr>
        <w:t>Loi constitutionnelle de 1982</w:t>
      </w:r>
      <w:r w:rsidRPr="00606C27">
        <w:rPr>
          <w:rFonts w:cs="Times New Roman"/>
          <w:lang w:val="fr-CA"/>
        </w:rPr>
        <w:t xml:space="preserve"> : voir </w:t>
      </w:r>
      <w:r w:rsidRPr="00606C27">
        <w:rPr>
          <w:rFonts w:cs="Times New Roman"/>
          <w:i/>
          <w:lang w:val="fr-CA"/>
        </w:rPr>
        <w:t>Sparrow</w:t>
      </w:r>
      <w:r w:rsidRPr="00606C27">
        <w:rPr>
          <w:rFonts w:cs="Times New Roman"/>
          <w:lang w:val="fr-CA"/>
        </w:rPr>
        <w:t xml:space="preserve">. Cependant, si les effets de la loi ne constituaient pas une atteinte à des droits protégés ou si les droits n’étaient que revendiqués (et non établis), le groupe autochtone ne pourrait pas contester avec succès la validité constitutionnelle de la loi suivant le cadre d’analyse établi dans l’arrêt </w:t>
      </w:r>
      <w:r w:rsidRPr="00606C27">
        <w:rPr>
          <w:rFonts w:cs="Times New Roman"/>
          <w:i/>
          <w:lang w:val="fr-CA"/>
        </w:rPr>
        <w:t>Sparrow</w:t>
      </w:r>
      <w:r w:rsidRPr="00606C27">
        <w:rPr>
          <w:rFonts w:cs="Times New Roman"/>
          <w:lang w:val="fr-CA"/>
        </w:rPr>
        <w:t xml:space="preserve">. De plus, il pourrait survenir des situations où la loi supprimerait effectivement l’obligation future de consulter en supprimant le processus décisionnel de la Couronne qui aurait autrement déclenché l’obligation de consulter. </w:t>
      </w:r>
    </w:p>
    <w:p w:rsidR="00E313A3" w:rsidRPr="00606C27" w:rsidRDefault="00E313A3" w:rsidP="00E313A3">
      <w:pPr>
        <w:pStyle w:val="ParaNoNdepar-AltN"/>
        <w:tabs>
          <w:tab w:val="clear" w:pos="1152"/>
          <w:tab w:val="left" w:pos="1166"/>
        </w:tabs>
        <w:rPr>
          <w:rFonts w:cs="Times New Roman"/>
          <w:lang w:val="fr-CA"/>
        </w:rPr>
      </w:pPr>
      <w:r w:rsidRPr="00606C27">
        <w:rPr>
          <w:rFonts w:cs="Times New Roman"/>
          <w:lang w:val="fr-CA"/>
        </w:rPr>
        <w:t xml:space="preserve">J’admets qu’il s’agit là de préoccupations légitimes. Il importe peu aux peuples autochtones de savoir qui de l’exécutif ou du Parlement agit d’une manière susceptible d’avoir un effet préjudiciable sur leurs droits. Les rapports des peuples autochtones « avec la Couronne ou le souverain n’ont jamais été fonction des représentants particuliers de la Couronne visée » : </w:t>
      </w:r>
      <w:r w:rsidRPr="00606C27">
        <w:rPr>
          <w:rFonts w:cs="Times New Roman"/>
          <w:i/>
          <w:lang w:val="fr-CA"/>
        </w:rPr>
        <w:t>Williams Lake Indian Band c.</w:t>
      </w:r>
      <w:r w:rsidRPr="00606C27">
        <w:rPr>
          <w:rFonts w:cs="Times New Roman"/>
          <w:lang w:val="fr-CA"/>
        </w:rPr>
        <w:t xml:space="preserve"> </w:t>
      </w:r>
      <w:r w:rsidRPr="00606C27">
        <w:rPr>
          <w:rFonts w:cs="Times New Roman"/>
          <w:i/>
          <w:lang w:val="fr-CA"/>
        </w:rPr>
        <w:t>Canada (Affaires autochtones et</w:t>
      </w:r>
      <w:r w:rsidRPr="00606C27">
        <w:rPr>
          <w:rFonts w:cs="Times New Roman"/>
          <w:lang w:val="fr-CA"/>
        </w:rPr>
        <w:t xml:space="preserve"> </w:t>
      </w:r>
      <w:r w:rsidRPr="00606C27">
        <w:rPr>
          <w:rFonts w:cs="Times New Roman"/>
          <w:i/>
          <w:lang w:val="fr-CA"/>
        </w:rPr>
        <w:t>Développement du Nord)</w:t>
      </w:r>
      <w:r w:rsidRPr="00606C27">
        <w:rPr>
          <w:rFonts w:cs="Times New Roman"/>
          <w:lang w:val="fr-CA"/>
        </w:rPr>
        <w:t xml:space="preserve">, 2018 CSC 4, </w:t>
      </w:r>
      <w:r w:rsidR="002505E3">
        <w:rPr>
          <w:rFonts w:cs="Times New Roman"/>
          <w:lang w:val="fr-CA"/>
        </w:rPr>
        <w:t xml:space="preserve">[2018] 1 R.C.S. 83, </w:t>
      </w:r>
      <w:r w:rsidRPr="00606C27">
        <w:rPr>
          <w:rFonts w:cs="Times New Roman"/>
          <w:lang w:val="fr-CA"/>
        </w:rPr>
        <w:t xml:space="preserve">par. 130, citant </w:t>
      </w:r>
      <w:r w:rsidRPr="00606C27">
        <w:rPr>
          <w:rFonts w:cs="Times New Roman"/>
          <w:i/>
          <w:lang w:val="fr-CA"/>
        </w:rPr>
        <w:t>Mitchell c. Bande indienne Peguis</w:t>
      </w:r>
      <w:r w:rsidRPr="00606C27">
        <w:rPr>
          <w:rFonts w:cs="Times New Roman"/>
          <w:lang w:val="fr-CA"/>
        </w:rPr>
        <w:t>, [1990] 2 R.C.S. 85, p. 109, le juge en chef Dickson. Comme je l’ai déjà souligné, l’honneur de la Couronne lie celle</w:t>
      </w:r>
      <w:r w:rsidRPr="00606C27">
        <w:rPr>
          <w:rFonts w:cs="Times New Roman"/>
          <w:lang w:val="fr-CA"/>
        </w:rPr>
        <w:noBreakHyphen/>
        <w:t>ci en qualité de souveraine. En effet, si l’on permettait à la Couronne de faire par un moyen ce qu’elle ne peut pas faire par un autre, cela compromettrait l’entreprise de réconciliation qui sous</w:t>
      </w:r>
      <w:r w:rsidRPr="00606C27">
        <w:rPr>
          <w:rFonts w:cs="Times New Roman"/>
          <w:lang w:val="fr-CA"/>
        </w:rPr>
        <w:noBreakHyphen/>
        <w:t>tend le droit des Autochtones. C’est le principe de réconciliation, et non pas un formalisme rigide, qui doit dicter l’évolution de ce domaine du droit.</w:t>
      </w:r>
    </w:p>
    <w:p w:rsidR="00E313A3" w:rsidRPr="00606C27" w:rsidRDefault="00E313A3" w:rsidP="00E313A3">
      <w:pPr>
        <w:pStyle w:val="ParaNoNdepar-AltN"/>
        <w:tabs>
          <w:tab w:val="clear" w:pos="1152"/>
          <w:tab w:val="left" w:pos="1166"/>
        </w:tabs>
        <w:rPr>
          <w:rFonts w:cs="Times New Roman"/>
          <w:lang w:val="fr-CA"/>
        </w:rPr>
      </w:pPr>
      <w:r w:rsidRPr="00606C27">
        <w:rPr>
          <w:rFonts w:cs="Times New Roman"/>
          <w:lang w:val="fr-CA"/>
        </w:rPr>
        <w:lastRenderedPageBreak/>
        <w:t>Étant donné ces préoccupations, il convient de souligner que l’obligation de consulter n’est pas le seul moyen de donner effet au principe de l’honneur de la Couronne quand une loi est susceptible d’avoir un effet préjudiciable sur les droits ancestraux ou issus de traités. Les tribunaux peuvent créer d’autres doctrines pour assurer la protection uniforme des droits protégés par l’art. 35 et donner pleinement effet à l’honneur de la Couronne en contrôlant la loi adoptée.</w:t>
      </w:r>
    </w:p>
    <w:p w:rsidR="00E313A3" w:rsidRPr="00606C27" w:rsidRDefault="00E313A3" w:rsidP="00E313A3">
      <w:pPr>
        <w:pStyle w:val="ParaNoNdepar-AltN"/>
        <w:tabs>
          <w:tab w:val="clear" w:pos="1152"/>
          <w:tab w:val="left" w:pos="1166"/>
        </w:tabs>
        <w:rPr>
          <w:rFonts w:cs="Times New Roman"/>
          <w:lang w:val="fr-CA"/>
        </w:rPr>
      </w:pPr>
      <w:r w:rsidRPr="00606C27">
        <w:rPr>
          <w:rFonts w:cs="Times New Roman"/>
          <w:lang w:val="fr-CA"/>
        </w:rPr>
        <w:t>Par exemple, il n’est peut</w:t>
      </w:r>
      <w:r w:rsidRPr="00606C27">
        <w:rPr>
          <w:rFonts w:cs="Times New Roman"/>
          <w:lang w:val="fr-CA"/>
        </w:rPr>
        <w:noBreakHyphen/>
        <w:t xml:space="preserve">être pas conforme à l’art. 35 de légiférer de façon à empêcher une conduite future de la Couronne qui déclencherait autrement l’obligation de consulter. Je relève que, dans </w:t>
      </w:r>
      <w:r w:rsidRPr="00606C27">
        <w:rPr>
          <w:rFonts w:cs="Times New Roman"/>
          <w:i/>
          <w:lang w:val="fr-CA"/>
        </w:rPr>
        <w:t xml:space="preserve">Ross River </w:t>
      </w:r>
      <w:r w:rsidRPr="00606C27">
        <w:rPr>
          <w:rFonts w:cs="Times New Roman"/>
          <w:i/>
          <w:iCs/>
          <w:lang w:val="fr-CA"/>
        </w:rPr>
        <w:t>Dena Council c. Yukon</w:t>
      </w:r>
      <w:r w:rsidRPr="00606C27">
        <w:rPr>
          <w:rFonts w:cs="Times New Roman"/>
          <w:lang w:val="fr-CA"/>
        </w:rPr>
        <w:t xml:space="preserve">, 2012 YKCA 14, 358 D.L.R. (4th) 100, </w:t>
      </w:r>
      <w:r w:rsidRPr="00606C27">
        <w:rPr>
          <w:rStyle w:val="reflex3-block"/>
          <w:rFonts w:cs="Times New Roman"/>
          <w:szCs w:val="24"/>
          <w:lang w:val="fr-CA"/>
        </w:rPr>
        <w:t>la Cour d’</w:t>
      </w:r>
      <w:r w:rsidR="007E6B18">
        <w:rPr>
          <w:rStyle w:val="reflex3-block"/>
          <w:rFonts w:cs="Times New Roman"/>
          <w:szCs w:val="24"/>
          <w:lang w:val="fr-CA"/>
        </w:rPr>
        <w:t>a</w:t>
      </w:r>
      <w:r w:rsidRPr="00606C27">
        <w:rPr>
          <w:rStyle w:val="reflex3-block"/>
          <w:rFonts w:cs="Times New Roman"/>
          <w:szCs w:val="24"/>
          <w:lang w:val="fr-CA"/>
        </w:rPr>
        <w:t>ppel du Yukon a jugé que [</w:t>
      </w:r>
      <w:r w:rsidRPr="00606C27">
        <w:rPr>
          <w:rStyle w:val="reflex3-block"/>
          <w:rFonts w:cs="Times New Roman"/>
          <w:smallCaps/>
          <w:szCs w:val="24"/>
          <w:lang w:val="fr-CA"/>
        </w:rPr>
        <w:t>traduction</w:t>
      </w:r>
      <w:r w:rsidRPr="00606C27">
        <w:rPr>
          <w:rStyle w:val="reflex3-block"/>
          <w:rFonts w:cs="Times New Roman"/>
          <w:szCs w:val="24"/>
          <w:lang w:val="fr-CA"/>
        </w:rPr>
        <w:t xml:space="preserve">] « [l]es régimes légaux qui ne prévoient pas la tenue de consultation ou un autre moyen tout aussi efficace de reconnaître les revendications des Autochtones et de prendre des mesures d’accommodement sont viciés et ne devraient pas être maintenus » : </w:t>
      </w:r>
      <w:r w:rsidRPr="00606C27">
        <w:rPr>
          <w:rFonts w:cs="Times New Roman"/>
          <w:lang w:val="fr-CA"/>
        </w:rPr>
        <w:t xml:space="preserve">par. 37; voir également la </w:t>
      </w:r>
      <w:r w:rsidRPr="00606C27">
        <w:rPr>
          <w:rFonts w:cs="Times New Roman"/>
          <w:i/>
          <w:lang w:val="fr-CA"/>
        </w:rPr>
        <w:t>Loi constitutionnelle de 1982</w:t>
      </w:r>
      <w:r w:rsidRPr="00606C27">
        <w:rPr>
          <w:rFonts w:cs="Times New Roman"/>
          <w:lang w:val="fr-CA"/>
        </w:rPr>
        <w:t xml:space="preserve">, par. 52(1). </w:t>
      </w:r>
    </w:p>
    <w:p w:rsidR="00E313A3" w:rsidRPr="00606C27" w:rsidRDefault="00E313A3" w:rsidP="00E313A3">
      <w:pPr>
        <w:pStyle w:val="ParaNoNdepar-AltN"/>
        <w:tabs>
          <w:tab w:val="clear" w:pos="1152"/>
          <w:tab w:val="left" w:pos="1166"/>
        </w:tabs>
        <w:rPr>
          <w:rFonts w:cs="Times New Roman"/>
          <w:lang w:val="fr-CA"/>
        </w:rPr>
      </w:pPr>
      <w:r w:rsidRPr="00606C27">
        <w:rPr>
          <w:rFonts w:cs="Times New Roman"/>
          <w:lang w:val="fr-CA"/>
        </w:rPr>
        <w:t xml:space="preserve">Il est également possible d’accorder d’autres formes de réparation. Par exemple, il peut convenir de prononcer un jugement déclaratoire dans un cas où le législateur adopte une loi incompatible avec l’obligation de la Couronne d’agir honorablement envers les peuples autochtones : voir </w:t>
      </w:r>
      <w:r w:rsidRPr="00606C27">
        <w:rPr>
          <w:rFonts w:cs="Times New Roman"/>
          <w:i/>
          <w:lang w:val="fr-CA"/>
        </w:rPr>
        <w:t>Manitoba Metis</w:t>
      </w:r>
      <w:r w:rsidRPr="00606C27">
        <w:rPr>
          <w:rFonts w:cs="Times New Roman"/>
          <w:lang w:val="fr-CA"/>
        </w:rPr>
        <w:t xml:space="preserve">, par. 69 et 143. Il est possible d’obtenir un jugement déclaratoire sans avoir de cause d’action : </w:t>
      </w:r>
      <w:r w:rsidR="007E6B18" w:rsidRPr="007E6B18">
        <w:rPr>
          <w:rFonts w:cs="Times New Roman"/>
          <w:i/>
          <w:lang w:val="fr-CA"/>
        </w:rPr>
        <w:t>ibid.</w:t>
      </w:r>
      <w:r w:rsidR="007E6B18">
        <w:rPr>
          <w:rFonts w:cs="Times New Roman"/>
          <w:lang w:val="fr-CA"/>
        </w:rPr>
        <w:t xml:space="preserve">, </w:t>
      </w:r>
      <w:r w:rsidRPr="00606C27">
        <w:rPr>
          <w:rFonts w:cs="Times New Roman"/>
          <w:lang w:val="fr-CA"/>
        </w:rPr>
        <w:t xml:space="preserve">par. 143. En outre, comme la Cour l’a déjà affirmé, ce type de jugement peut être la mesure de redressement qui convient, même dans les situations où d’autres types de </w:t>
      </w:r>
      <w:r w:rsidRPr="00606C27">
        <w:rPr>
          <w:rFonts w:cs="Times New Roman"/>
          <w:lang w:val="fr-CA"/>
        </w:rPr>
        <w:lastRenderedPageBreak/>
        <w:t xml:space="preserve">mesures ne seraient pas compatibles avec le principe de la séparation des pouvoirs : voir </w:t>
      </w:r>
      <w:r w:rsidRPr="00606C27">
        <w:rPr>
          <w:rFonts w:cs="Times New Roman"/>
          <w:i/>
          <w:lang w:val="fr-CA"/>
        </w:rPr>
        <w:t>Canada (Premier ministre) c. Khadr</w:t>
      </w:r>
      <w:r w:rsidRPr="00606C27">
        <w:rPr>
          <w:rFonts w:cs="Times New Roman"/>
          <w:lang w:val="fr-CA"/>
        </w:rPr>
        <w:t xml:space="preserve">, 2010 CSC 3, [2010] 1 R.C.S. 44, par. 2. </w:t>
      </w:r>
    </w:p>
    <w:p w:rsidR="00E313A3" w:rsidRPr="00606C27" w:rsidRDefault="00E313A3" w:rsidP="00E313A3">
      <w:pPr>
        <w:pStyle w:val="ParaNoNdepar-AltN"/>
        <w:tabs>
          <w:tab w:val="clear" w:pos="1152"/>
          <w:tab w:val="left" w:pos="1166"/>
        </w:tabs>
        <w:rPr>
          <w:rFonts w:cs="Times New Roman"/>
          <w:lang w:val="fr-CA"/>
        </w:rPr>
      </w:pPr>
      <w:r w:rsidRPr="00606C27">
        <w:rPr>
          <w:rFonts w:cs="Times New Roman"/>
          <w:lang w:val="fr-CA"/>
        </w:rPr>
        <w:t xml:space="preserve">En clair, on ne peut pas contester une loi pour le motif que le législateur ne s’est pas acquitté de l’obligation de consulter. La doctrine relative à cette obligation ne s’applique pas au législateur. Toutefois, si d’autres formes de réparation peuvent être accordées, l’étendue de toute consultation, le cas échéant, pourrait fort bien constituer un facteur pertinent — comme elle l’a été dans </w:t>
      </w:r>
      <w:r w:rsidRPr="00606C27">
        <w:rPr>
          <w:rFonts w:cs="Times New Roman"/>
          <w:i/>
          <w:lang w:val="fr-CA"/>
        </w:rPr>
        <w:t>Sparrow</w:t>
      </w:r>
      <w:r w:rsidRPr="00606C27">
        <w:rPr>
          <w:rFonts w:cs="Times New Roman"/>
          <w:lang w:val="fr-CA"/>
        </w:rPr>
        <w:t xml:space="preserve"> — lorsque vient le temps d’évaluer si le texte de loi est compatible avec les principes constitutionnels. Dans </w:t>
      </w:r>
      <w:r w:rsidRPr="00606C27">
        <w:rPr>
          <w:rFonts w:cs="Times New Roman"/>
          <w:i/>
          <w:lang w:val="fr-CA"/>
        </w:rPr>
        <w:t>Sparrow</w:t>
      </w:r>
      <w:r w:rsidRPr="00606C27">
        <w:rPr>
          <w:rFonts w:cs="Times New Roman"/>
          <w:lang w:val="fr-CA"/>
        </w:rPr>
        <w:t xml:space="preserve">, la Cour a établi que, lorsqu’il y a eu violation à première vue d’un droit protégé par l’art. 35, l’honneur de la Couronne est « le premier facteur » à examiner pour déterminer si la mesure législative ou l’action en cause est justifiable : p. 1114. En outre, dans l’analyse, il est notamment important de savoir si le groupe autochtone en cause a été consulté au sujet de la mesure contestée : </w:t>
      </w:r>
      <w:r w:rsidRPr="00606C27">
        <w:rPr>
          <w:rFonts w:cs="Times New Roman"/>
          <w:i/>
          <w:lang w:val="fr-CA"/>
        </w:rPr>
        <w:t>Sparrow</w:t>
      </w:r>
      <w:r w:rsidRPr="00606C27">
        <w:rPr>
          <w:rFonts w:cs="Times New Roman"/>
          <w:lang w:val="fr-CA"/>
        </w:rPr>
        <w:t xml:space="preserve">, p. 1119; voir également </w:t>
      </w:r>
      <w:r w:rsidRPr="00606C27">
        <w:rPr>
          <w:rFonts w:cs="Times New Roman"/>
          <w:i/>
          <w:lang w:val="fr-CA"/>
        </w:rPr>
        <w:t>Badger</w:t>
      </w:r>
      <w:r w:rsidRPr="00606C27">
        <w:rPr>
          <w:rFonts w:cs="Times New Roman"/>
          <w:lang w:val="fr-CA"/>
        </w:rPr>
        <w:t xml:space="preserve">, par. 97; </w:t>
      </w:r>
      <w:r w:rsidRPr="00606C27">
        <w:rPr>
          <w:rFonts w:cs="Times New Roman"/>
          <w:i/>
          <w:lang w:val="fr-CA"/>
        </w:rPr>
        <w:t>Nation Tsilhqot’in c. Colombie</w:t>
      </w:r>
      <w:r w:rsidRPr="00606C27">
        <w:rPr>
          <w:rFonts w:cs="Times New Roman"/>
          <w:i/>
          <w:lang w:val="fr-CA"/>
        </w:rPr>
        <w:noBreakHyphen/>
        <w:t>Britannique</w:t>
      </w:r>
      <w:r w:rsidRPr="00606C27">
        <w:rPr>
          <w:rFonts w:cs="Times New Roman"/>
          <w:lang w:val="fr-CA"/>
        </w:rPr>
        <w:t xml:space="preserve">, 2014 CSC 44, [2014] 2 R.C.S. 257, par. 77, 80 et 125; </w:t>
      </w:r>
      <w:r w:rsidRPr="00606C27">
        <w:rPr>
          <w:rFonts w:cs="Times New Roman"/>
          <w:i/>
          <w:lang w:val="fr-CA"/>
        </w:rPr>
        <w:t xml:space="preserve">Delgamuukw </w:t>
      </w:r>
      <w:r w:rsidRPr="00606C27">
        <w:rPr>
          <w:rFonts w:cs="Times New Roman"/>
          <w:i/>
          <w:iCs/>
          <w:lang w:val="fr-CA"/>
        </w:rPr>
        <w:t>c</w:t>
      </w:r>
      <w:r w:rsidRPr="00606C27">
        <w:rPr>
          <w:rFonts w:cs="Times New Roman"/>
          <w:i/>
          <w:lang w:val="fr-CA"/>
        </w:rPr>
        <w:t>. Colombie</w:t>
      </w:r>
      <w:r w:rsidRPr="00606C27">
        <w:rPr>
          <w:rFonts w:cs="Times New Roman"/>
          <w:i/>
          <w:lang w:val="fr-CA"/>
        </w:rPr>
        <w:noBreakHyphen/>
        <w:t>Britannique</w:t>
      </w:r>
      <w:r w:rsidR="007E6B18">
        <w:rPr>
          <w:rFonts w:cs="Times New Roman"/>
          <w:lang w:val="fr-CA"/>
        </w:rPr>
        <w:t xml:space="preserve">, </w:t>
      </w:r>
      <w:r w:rsidRPr="00606C27">
        <w:rPr>
          <w:rFonts w:cs="Times New Roman"/>
          <w:lang w:val="fr-CA"/>
        </w:rPr>
        <w:t xml:space="preserve">[1997] 3 R.C.S. 1010, par. 168. </w:t>
      </w:r>
    </w:p>
    <w:p w:rsidR="00E313A3" w:rsidRPr="00606C27" w:rsidRDefault="00E313A3" w:rsidP="00E313A3">
      <w:pPr>
        <w:pStyle w:val="ParaNoNdepar-AltN"/>
        <w:tabs>
          <w:tab w:val="clear" w:pos="1152"/>
          <w:tab w:val="left" w:pos="1166"/>
        </w:tabs>
        <w:rPr>
          <w:rFonts w:cs="Times New Roman"/>
          <w:lang w:val="fr-CA"/>
        </w:rPr>
      </w:pPr>
      <w:r w:rsidRPr="00606C27">
        <w:rPr>
          <w:rFonts w:cs="Times New Roman"/>
          <w:lang w:val="fr-CA"/>
        </w:rPr>
        <w:t xml:space="preserve">Cependant, dans le présent pourvoi, la Cour n’est pas directement saisie de la question de savoir si d’autres mesures de protection existent ou devraient exister. Comme je l’ai souligné précédemment, en l’espèce, la Cour fédérale n’a pas été régulièrement saisie de la demande; la Cour ne peut donc pas accorder de réparation. Qui plus est, les Mikisew ont axé leur demande exclusivement sur le fait de savoir si la </w:t>
      </w:r>
      <w:r w:rsidRPr="00606C27">
        <w:rPr>
          <w:rFonts w:cs="Times New Roman"/>
          <w:lang w:val="fr-CA"/>
        </w:rPr>
        <w:lastRenderedPageBreak/>
        <w:t>doctrine de l’obligation de consulter devrait s’appliquer au processus législatif. Les parties nous ont fait part de trop peu d’observations sur la manière dont il conviendrait d’assurer le respect de l’honneur de la Couronne, si ce n’est par le truchement du mécanisme précis de l’obligation de consulter. Un autre contexte ferait intervenir d’autres considérations. Je souligne qu’il y a des différences importantes entre le contrôle judiciaire d’une mesure administrative à la lumière</w:t>
      </w:r>
      <w:r w:rsidR="009277F8">
        <w:rPr>
          <w:rFonts w:cs="Times New Roman"/>
          <w:lang w:val="fr-CA"/>
        </w:rPr>
        <w:t xml:space="preserve"> de</w:t>
      </w:r>
      <w:r w:rsidRPr="00606C27">
        <w:rPr>
          <w:rFonts w:cs="Times New Roman"/>
          <w:lang w:val="fr-CA"/>
        </w:rPr>
        <w:t xml:space="preserve"> l’obligation de consulter et le contrôle judiciaire d’une loi : </w:t>
      </w:r>
      <w:r w:rsidRPr="00606C27">
        <w:rPr>
          <w:rFonts w:cs="Times New Roman"/>
          <w:i/>
          <w:lang w:val="fr-CA"/>
        </w:rPr>
        <w:t>Doré c. Barreau du Québec</w:t>
      </w:r>
      <w:r w:rsidRPr="00606C27">
        <w:rPr>
          <w:rFonts w:cs="Times New Roman"/>
          <w:lang w:val="fr-CA"/>
        </w:rPr>
        <w:t xml:space="preserve">, 2012 CSC 12, [2012] 1 R.C.S. 395, par. 36. </w:t>
      </w:r>
    </w:p>
    <w:p w:rsidR="00E313A3" w:rsidRPr="00606C27" w:rsidRDefault="00E313A3" w:rsidP="00E313A3">
      <w:pPr>
        <w:pStyle w:val="Title1LevelTitre1Niveau-AltL"/>
        <w:rPr>
          <w:rFonts w:cs="Times New Roman"/>
          <w:lang w:val="fr-CA"/>
        </w:rPr>
      </w:pPr>
      <w:r w:rsidRPr="00606C27">
        <w:rPr>
          <w:rFonts w:cs="Times New Roman"/>
          <w:lang w:val="fr-CA"/>
        </w:rPr>
        <w:t>Conclusion</w:t>
      </w:r>
    </w:p>
    <w:p w:rsidR="00E313A3" w:rsidRPr="00606C27" w:rsidRDefault="00E313A3" w:rsidP="00E313A3">
      <w:pPr>
        <w:pStyle w:val="ParaNoNdepar-AltN"/>
        <w:tabs>
          <w:tab w:val="clear" w:pos="1152"/>
          <w:tab w:val="left" w:pos="1166"/>
        </w:tabs>
        <w:rPr>
          <w:rFonts w:cs="Times New Roman"/>
          <w:lang w:val="fr-CA"/>
        </w:rPr>
      </w:pPr>
      <w:r w:rsidRPr="00606C27">
        <w:rPr>
          <w:rFonts w:cs="Times New Roman"/>
          <w:lang w:val="fr-CA"/>
        </w:rPr>
        <w:t>Pour les motifs exposés précédemment, je conclus qu’aucun aspect du processus législatif — du stade de l’élaboration jusqu’à la promulgation — ne déclenche l’obligation de consulter. Dans le contexte de cette obligation, la Cour a jugé que la « conduite de la Couronne » englobe uniquement les actes accomplis par l’exécutif, ou en son nom. Je suis d’avis de ne pas étendre l’application de la doctrine de l’obligation de consulter au processus législatif.</w:t>
      </w:r>
    </w:p>
    <w:p w:rsidR="00E313A3" w:rsidRPr="00606C27" w:rsidRDefault="00E313A3" w:rsidP="00E313A3">
      <w:pPr>
        <w:pStyle w:val="ParaNoNdepar-AltN"/>
        <w:tabs>
          <w:tab w:val="clear" w:pos="1152"/>
          <w:tab w:val="left" w:pos="1166"/>
        </w:tabs>
        <w:rPr>
          <w:rFonts w:cs="Times New Roman"/>
          <w:lang w:val="fr-CA"/>
        </w:rPr>
      </w:pPr>
      <w:r w:rsidRPr="00606C27">
        <w:rPr>
          <w:rFonts w:cs="Times New Roman"/>
          <w:lang w:val="fr-CA"/>
        </w:rPr>
        <w:t>Enfin, mes conclusions au sujet de l’obligation de consulter ne s’appliquent pas au processus dans le cadre duquel des mesures législatives subordonnées (comme des règlements ou des règles) sont prises, puisque ce processus relève clairement du pouvoir exécutif et non du pouvoir législatif : voir N. Bankes, « </w:t>
      </w:r>
      <w:r w:rsidRPr="00606C27">
        <w:rPr>
          <w:rFonts w:cs="Times New Roman"/>
          <w:bCs/>
          <w:lang w:val="fr-CA"/>
        </w:rPr>
        <w:t>The Duty to Consult and the Legislative Process : But What About Reconciliation? »</w:t>
      </w:r>
      <w:r w:rsidRPr="00606C27">
        <w:rPr>
          <w:rFonts w:cs="Times New Roman"/>
          <w:lang w:val="fr-CA"/>
        </w:rPr>
        <w:t xml:space="preserve"> (2016) (en ligne), p. 5. Qui plus est, mes conclusions n’ont aucune incidence sur le caractère exécutoire des </w:t>
      </w:r>
      <w:r w:rsidRPr="00606C27">
        <w:rPr>
          <w:rFonts w:cs="Times New Roman"/>
          <w:lang w:val="fr-CA"/>
        </w:rPr>
        <w:lastRenderedPageBreak/>
        <w:t>dispositions de traités, mis en œuvre au moyen de lois, qui exigent expressément des consultations préalables : voir, p</w:t>
      </w:r>
      <w:r w:rsidR="00051BF0">
        <w:rPr>
          <w:rFonts w:cs="Times New Roman"/>
          <w:lang w:val="fr-CA"/>
        </w:rPr>
        <w:t>. </w:t>
      </w:r>
      <w:r w:rsidRPr="00606C27">
        <w:rPr>
          <w:rFonts w:cs="Times New Roman"/>
          <w:lang w:val="fr-CA"/>
        </w:rPr>
        <w:t xml:space="preserve">ex., </w:t>
      </w:r>
      <w:r w:rsidR="00051BF0">
        <w:rPr>
          <w:rFonts w:cs="Times New Roman"/>
          <w:lang w:val="fr-CA"/>
        </w:rPr>
        <w:t xml:space="preserve">Accord définitif </w:t>
      </w:r>
      <w:r w:rsidRPr="00606C27">
        <w:rPr>
          <w:rFonts w:cs="Times New Roman"/>
          <w:lang w:val="fr-CA"/>
        </w:rPr>
        <w:t>Nisga’a</w:t>
      </w:r>
      <w:r w:rsidR="00051BF0">
        <w:rPr>
          <w:rFonts w:cs="Times New Roman"/>
          <w:lang w:val="fr-CA"/>
        </w:rPr>
        <w:t xml:space="preserve"> (1999)</w:t>
      </w:r>
      <w:r w:rsidRPr="00606C27">
        <w:rPr>
          <w:rFonts w:cs="Times New Roman"/>
          <w:lang w:val="fr-CA"/>
        </w:rPr>
        <w:t xml:space="preserve">, </w:t>
      </w:r>
      <w:r w:rsidR="00051BF0">
        <w:rPr>
          <w:rFonts w:cs="Times New Roman"/>
          <w:lang w:val="fr-CA"/>
        </w:rPr>
        <w:t xml:space="preserve">c. 11, art. 30 et </w:t>
      </w:r>
      <w:r w:rsidRPr="00606C27">
        <w:rPr>
          <w:rFonts w:cs="Times New Roman"/>
          <w:lang w:val="fr-CA"/>
        </w:rPr>
        <w:t xml:space="preserve">31; </w:t>
      </w:r>
      <w:r w:rsidRPr="00606C27">
        <w:rPr>
          <w:rFonts w:cs="Times New Roman"/>
          <w:i/>
          <w:lang w:val="fr-CA"/>
        </w:rPr>
        <w:t>Nisga’a Final Agreement Act</w:t>
      </w:r>
      <w:r w:rsidRPr="00606C27">
        <w:rPr>
          <w:rFonts w:cs="Times New Roman"/>
          <w:lang w:val="fr-CA"/>
        </w:rPr>
        <w:t>,</w:t>
      </w:r>
      <w:r w:rsidRPr="00606C27">
        <w:rPr>
          <w:rFonts w:cs="Times New Roman"/>
          <w:i/>
          <w:lang w:val="fr-CA"/>
        </w:rPr>
        <w:t xml:space="preserve"> </w:t>
      </w:r>
      <w:r w:rsidRPr="00606C27">
        <w:rPr>
          <w:rFonts w:cs="Times New Roman"/>
          <w:lang w:val="fr-CA"/>
        </w:rPr>
        <w:t xml:space="preserve">S.B.C. 1999, c. 2; </w:t>
      </w:r>
      <w:r w:rsidRPr="00606C27">
        <w:rPr>
          <w:rFonts w:cs="Times New Roman"/>
          <w:i/>
          <w:lang w:val="fr-CA"/>
        </w:rPr>
        <w:t>Loi sur l’accord définitif n</w:t>
      </w:r>
      <w:r w:rsidRPr="00606C27">
        <w:rPr>
          <w:rFonts w:cs="Times New Roman"/>
          <w:bCs/>
          <w:i/>
          <w:lang w:val="fr-CA"/>
        </w:rPr>
        <w:t>isga’a</w:t>
      </w:r>
      <w:r w:rsidRPr="00606C27">
        <w:rPr>
          <w:rFonts w:cs="Times New Roman"/>
          <w:bCs/>
          <w:lang w:val="fr-CA"/>
        </w:rPr>
        <w:t>, L.C. 2000, c. 7.</w:t>
      </w:r>
      <w:r w:rsidRPr="00606C27">
        <w:rPr>
          <w:rFonts w:cs="Times New Roman"/>
          <w:lang w:val="fr-CA"/>
        </w:rPr>
        <w:t xml:space="preserve"> Dans ces cas, les modalités et les formes requises par la loi (p</w:t>
      </w:r>
      <w:r w:rsidR="00051BF0">
        <w:rPr>
          <w:rFonts w:cs="Times New Roman"/>
          <w:lang w:val="fr-CA"/>
        </w:rPr>
        <w:t>.</w:t>
      </w:r>
      <w:r w:rsidRPr="00606C27">
        <w:rPr>
          <w:rFonts w:cs="Times New Roman"/>
          <w:lang w:val="fr-CA"/>
        </w:rPr>
        <w:t xml:space="preserve"> ex., les contraintes procédurales relatives à l’édiction des lois) doivent nécessairement être appliquées : Hogg, par. 12.3(b); voir également </w:t>
      </w:r>
      <w:r w:rsidRPr="00606C27">
        <w:rPr>
          <w:rFonts w:cs="Times New Roman"/>
          <w:i/>
          <w:lang w:val="fr-CA"/>
        </w:rPr>
        <w:t>R. c. Mercure</w:t>
      </w:r>
      <w:r w:rsidRPr="00606C27">
        <w:rPr>
          <w:rFonts w:cs="Times New Roman"/>
          <w:lang w:val="fr-CA"/>
        </w:rPr>
        <w:t>, [1988] 1 R.C.S. 234.</w:t>
      </w:r>
    </w:p>
    <w:p w:rsidR="00E313A3" w:rsidRPr="00606C27" w:rsidRDefault="00E313A3" w:rsidP="00E313A3">
      <w:pPr>
        <w:pStyle w:val="ParaNoNdepar-AltN"/>
        <w:tabs>
          <w:tab w:val="clear" w:pos="1152"/>
          <w:tab w:val="left" w:pos="1166"/>
        </w:tabs>
        <w:rPr>
          <w:rFonts w:cs="Times New Roman"/>
          <w:lang w:val="fr-CA"/>
        </w:rPr>
      </w:pPr>
      <w:r w:rsidRPr="00606C27">
        <w:rPr>
          <w:rFonts w:cs="Times New Roman"/>
          <w:lang w:val="fr-CA"/>
        </w:rPr>
        <w:t>J’ajouterais ceci. Même si l’obligation de consulter ne s’applique pas au processus législatif, il ne s’ensuit pas nécessairement que, une fois adoptée, une loi susceptible d’avoir un effet préjudiciable sur les droits protégés par l’art. 35 est conforme au principe de l’honneur de la Couronne. Les principes constitutionnels — comme la séparation des pouvoirs et la souveraineté parlementaire — qui soustraient le processus législatif à l’obligation de consulter ne relèvent pas pour autant la Couronne de son obligation d’agir honorablement ni ne restreignent l’application de l’art. 35. Même si un groupe autochtone sera empêché de contester une loi en invoquant un manquement à l’obligation de consulter, les tribunaux pourront possiblement reconnaître l’existence d’autres mesures de protection dans des causes à venir. Ce n’est pas parce que la doctrine de l’obligation de consulter, qui a évolué de manière à encadrer la conduite de l’exécutif, ne s’applique pas dans la sphère législative que la Couronne, en sa qualité de souveraine, est libérée de son obligation de se comporter honorablement.</w:t>
      </w:r>
    </w:p>
    <w:p w:rsidR="004D7D95" w:rsidRPr="00051BF0" w:rsidRDefault="00E313A3" w:rsidP="00432B59">
      <w:pPr>
        <w:pStyle w:val="ParaNoNdepar-AltN"/>
        <w:tabs>
          <w:tab w:val="clear" w:pos="1152"/>
          <w:tab w:val="left" w:pos="1166"/>
        </w:tabs>
        <w:rPr>
          <w:rFonts w:cs="Times New Roman"/>
          <w:lang w:val="fr-CA"/>
        </w:rPr>
      </w:pPr>
      <w:r w:rsidRPr="00606C27">
        <w:rPr>
          <w:rFonts w:cs="Times New Roman"/>
          <w:lang w:val="fr-CA"/>
        </w:rPr>
        <w:t xml:space="preserve">Pour les motifs exposés précédemment, je suis d’avis de rejeter le pourvoi. </w:t>
      </w:r>
    </w:p>
    <w:p w:rsidR="00E313A3" w:rsidRPr="00606C27" w:rsidRDefault="00051BF0" w:rsidP="00051BF0">
      <w:pPr>
        <w:tabs>
          <w:tab w:val="left" w:pos="1170"/>
        </w:tabs>
        <w:spacing w:after="480" w:line="480" w:lineRule="auto"/>
        <w:rPr>
          <w:lang w:val="fr-CA"/>
        </w:rPr>
      </w:pPr>
      <w:r>
        <w:rPr>
          <w:lang w:val="fr-CA"/>
        </w:rPr>
        <w:lastRenderedPageBreak/>
        <w:tab/>
      </w:r>
      <w:r w:rsidR="00E313A3" w:rsidRPr="00606C27">
        <w:rPr>
          <w:lang w:val="fr-CA"/>
        </w:rPr>
        <w:t>Version française des motifs des juges Abella et Martin rendus par</w:t>
      </w:r>
    </w:p>
    <w:p w:rsidR="00E313A3" w:rsidRPr="00606C27" w:rsidRDefault="00051BF0" w:rsidP="00E313A3">
      <w:pPr>
        <w:pStyle w:val="ParaNoNdepar-AltN"/>
        <w:rPr>
          <w:rFonts w:cs="Times New Roman"/>
          <w:lang w:val="fr-CA"/>
        </w:rPr>
      </w:pPr>
      <w:r w:rsidRPr="00051BF0">
        <w:rPr>
          <w:smallCaps/>
          <w:lang w:val="fr-CA"/>
        </w:rPr>
        <w:t>La juge Abella</w:t>
      </w:r>
      <w:r w:rsidRPr="00606C27">
        <w:rPr>
          <w:lang w:val="fr-CA"/>
        </w:rPr>
        <w:t xml:space="preserve"> — </w:t>
      </w:r>
      <w:r w:rsidR="00E313A3" w:rsidRPr="00606C27">
        <w:rPr>
          <w:rFonts w:cs="Times New Roman"/>
          <w:lang w:val="fr-CA"/>
        </w:rPr>
        <w:t xml:space="preserve">Je souscris à l’opinion de la juge Karakatsanis selon laquelle le pourvoi devrait être rejeté au motif que le contrôle judiciaire prévu par la </w:t>
      </w:r>
      <w:r w:rsidR="00E313A3" w:rsidRPr="00606C27">
        <w:rPr>
          <w:rFonts w:cs="Times New Roman"/>
          <w:i/>
          <w:lang w:val="fr-CA"/>
        </w:rPr>
        <w:t>Loi sur les Cours fédérales</w:t>
      </w:r>
      <w:r w:rsidR="00E313A3" w:rsidRPr="00606C27">
        <w:rPr>
          <w:rFonts w:cs="Times New Roman"/>
          <w:lang w:val="fr-CA"/>
        </w:rPr>
        <w:t>, L.R.C. 1985, c. F</w:t>
      </w:r>
      <w:r w:rsidR="00E313A3" w:rsidRPr="00606C27">
        <w:rPr>
          <w:rFonts w:cs="Times New Roman"/>
          <w:lang w:val="fr-CA"/>
        </w:rPr>
        <w:noBreakHyphen/>
        <w:t xml:space="preserve">7, ne peut être exercé à l’encontre de mesures prises par des ministres fédéraux dans le cadre du processus parlementaire : par. 2(2), art. 18 et 18.1. Cela dit, à mon avis, l’adoption de lois qui sont susceptibles d’avoir un effet préjudiciable sur les droits protégés par l’art. 35 de la </w:t>
      </w:r>
      <w:r w:rsidR="00E313A3" w:rsidRPr="00606C27">
        <w:rPr>
          <w:rFonts w:cs="Times New Roman"/>
          <w:i/>
          <w:lang w:val="fr-CA"/>
        </w:rPr>
        <w:t>Loi constitutionnelle de 1982</w:t>
      </w:r>
      <w:r w:rsidR="00E313A3" w:rsidRPr="00606C27">
        <w:rPr>
          <w:rFonts w:cs="Times New Roman"/>
          <w:lang w:val="fr-CA"/>
        </w:rPr>
        <w:t xml:space="preserve"> fait naître une obligation de consulter, et les lois adoptées en violation de cette obligation peuvent être contestées directement en vue d’obtenir réparation.</w:t>
      </w:r>
    </w:p>
    <w:p w:rsidR="00E313A3" w:rsidRPr="00606C27" w:rsidRDefault="00E313A3" w:rsidP="00E313A3">
      <w:pPr>
        <w:pStyle w:val="ParaNoNdepar-AltN"/>
        <w:rPr>
          <w:rFonts w:cs="Times New Roman"/>
          <w:lang w:val="fr-CA"/>
        </w:rPr>
      </w:pPr>
      <w:r w:rsidRPr="00606C27">
        <w:rPr>
          <w:rFonts w:cs="Times New Roman"/>
          <w:lang w:val="fr-CA"/>
        </w:rPr>
        <w:t xml:space="preserve">Le principe de l’honneur de la Couronne régit la relation qui unit le gouvernement du Canada et les peuples autochtones. Ce principe fait naître une obligation de consulter et d’accommoder applicable à toutes les mesures gouvernementales envisagées susceptibles d’avoir un effet préjudiciable sur les droits ancestraux et issus de traités, revendiqués ou établis, y compris, à mon avis, aux mesures législatives. L’obligation de consulter découle de l’effet, et non de la source, de la mesure gouvernementale. La responsabilité fondamentale de la Couronne d’agir honorablement dans tous ses rapports avec les peuples autochtones ne dépend pas de l’étiquette officielle que l’on appose au genre de mesures que prend le gouvernement à l’égard des droits et intérêts ancestraux protégés par l’art. 35 de la </w:t>
      </w:r>
      <w:r w:rsidRPr="00606C27">
        <w:rPr>
          <w:rFonts w:cs="Times New Roman"/>
          <w:i/>
          <w:lang w:val="fr-CA"/>
        </w:rPr>
        <w:t>Loi constitutionnelle de 1982</w:t>
      </w:r>
      <w:r w:rsidRPr="00606C27">
        <w:rPr>
          <w:rFonts w:cs="Times New Roman"/>
          <w:lang w:val="fr-CA"/>
        </w:rPr>
        <w:t xml:space="preserve">. Comme il s’agit d’un impératif constitutionnel, le principe de l’honneur de la </w:t>
      </w:r>
      <w:r w:rsidRPr="00606C27">
        <w:rPr>
          <w:rFonts w:cs="Times New Roman"/>
          <w:lang w:val="fr-CA"/>
        </w:rPr>
        <w:lastRenderedPageBreak/>
        <w:t>Couronne ne saurait être miné, et encore moins écarté, par l’affirmation de la souveraineté parlementaire du législateur.</w:t>
      </w:r>
    </w:p>
    <w:p w:rsidR="00E313A3" w:rsidRPr="00606C27" w:rsidRDefault="00E313A3" w:rsidP="00E313A3">
      <w:pPr>
        <w:pStyle w:val="ParaNoNdepar-AltN"/>
        <w:rPr>
          <w:rFonts w:cs="Times New Roman"/>
          <w:lang w:val="fr-CA"/>
        </w:rPr>
      </w:pPr>
      <w:r w:rsidRPr="00606C27">
        <w:rPr>
          <w:rFonts w:cs="Times New Roman"/>
          <w:lang w:val="fr-CA"/>
        </w:rPr>
        <w:t>En l’espèce, l’analyse doit débuter par le principe fondamental du droit canadien des Autochtones voulant que les rapports du gouvernement avec les peuples autochtones soient régis par le principe de l’honneur de la Couronne</w:t>
      </w:r>
      <w:r w:rsidRPr="00606C27">
        <w:rPr>
          <w:rFonts w:cs="Times New Roman"/>
          <w:i/>
          <w:lang w:val="fr-CA"/>
        </w:rPr>
        <w:t> </w:t>
      </w:r>
      <w:r w:rsidRPr="00606C27">
        <w:rPr>
          <w:rFonts w:cs="Times New Roman"/>
          <w:lang w:val="fr-CA"/>
        </w:rPr>
        <w:t>:</w:t>
      </w:r>
      <w:r w:rsidRPr="00606C27">
        <w:rPr>
          <w:rFonts w:cs="Times New Roman"/>
          <w:i/>
          <w:lang w:val="fr-CA"/>
        </w:rPr>
        <w:t xml:space="preserve"> Nation haïda c. Colombie</w:t>
      </w:r>
      <w:r w:rsidRPr="00606C27">
        <w:rPr>
          <w:rFonts w:cs="Times New Roman"/>
          <w:i/>
          <w:lang w:val="fr-CA"/>
        </w:rPr>
        <w:noBreakHyphen/>
        <w:t>Britannique (Ministre des Forêts)</w:t>
      </w:r>
      <w:r w:rsidRPr="00606C27">
        <w:rPr>
          <w:rFonts w:cs="Times New Roman"/>
          <w:lang w:val="fr-CA"/>
        </w:rPr>
        <w:t xml:space="preserve">, [2004] 3 R.C.S. 511, par. 17; </w:t>
      </w:r>
      <w:r w:rsidRPr="00606C27">
        <w:rPr>
          <w:rFonts w:cs="Times New Roman"/>
          <w:i/>
          <w:lang w:val="fr-CA"/>
        </w:rPr>
        <w:t>Beckman c. Première nation de Little Salmon/Carmacks</w:t>
      </w:r>
      <w:r w:rsidRPr="00606C27">
        <w:rPr>
          <w:rFonts w:cs="Times New Roman"/>
          <w:lang w:val="fr-CA"/>
        </w:rPr>
        <w:t xml:space="preserve">, [2010] 3 R.C.S. 103, par. 62. Selon ce principe, les fonctionnaires de la Couronne doivent se comporter honorablement lorsqu’ils agissent au nom du souverain : </w:t>
      </w:r>
      <w:r w:rsidRPr="00606C27">
        <w:rPr>
          <w:rFonts w:cs="Times New Roman"/>
          <w:i/>
          <w:lang w:val="fr-CA"/>
        </w:rPr>
        <w:t>Manitoba Metis Federation Inc. c. Canada (Procureur général)</w:t>
      </w:r>
      <w:r w:rsidRPr="00606C27">
        <w:rPr>
          <w:rFonts w:cs="Times New Roman"/>
          <w:lang w:val="fr-CA"/>
        </w:rPr>
        <w:t xml:space="preserve">, [2013] 1 R.C.S. 623, par. 65. L’honneur de la Couronne est toujours en jeu lorsque cette dernière transige avec les peuples autochtones, que ce soit en exerçant ses pouvoirs législatifs (voir </w:t>
      </w:r>
      <w:r w:rsidRPr="00606C27">
        <w:rPr>
          <w:rFonts w:cs="Times New Roman"/>
          <w:i/>
          <w:lang w:val="fr-CA"/>
        </w:rPr>
        <w:t>R. c. Sparrow</w:t>
      </w:r>
      <w:r w:rsidRPr="00606C27">
        <w:rPr>
          <w:rFonts w:cs="Times New Roman"/>
          <w:lang w:val="fr-CA"/>
        </w:rPr>
        <w:t xml:space="preserve">, [1990] 1 R.C.S. 1075, p. 1114) ou ses pouvoirs exécutifs (voir </w:t>
      </w:r>
      <w:r w:rsidRPr="00606C27">
        <w:rPr>
          <w:rFonts w:cs="Times New Roman"/>
          <w:i/>
          <w:lang w:val="fr-CA"/>
        </w:rPr>
        <w:t>R. c. Badger</w:t>
      </w:r>
      <w:r w:rsidRPr="00606C27">
        <w:rPr>
          <w:rFonts w:cs="Times New Roman"/>
          <w:lang w:val="fr-CA"/>
        </w:rPr>
        <w:t>, [1996] 1 R.C.S. 771, par. 41;</w:t>
      </w:r>
      <w:r w:rsidRPr="00606C27">
        <w:rPr>
          <w:rFonts w:cs="Times New Roman"/>
          <w:i/>
          <w:lang w:val="fr-CA"/>
        </w:rPr>
        <w:t xml:space="preserve"> Nation haïda</w:t>
      </w:r>
      <w:r w:rsidRPr="00606C27">
        <w:rPr>
          <w:rFonts w:cs="Times New Roman"/>
          <w:lang w:val="fr-CA"/>
        </w:rPr>
        <w:t>, par. 16).</w:t>
      </w:r>
    </w:p>
    <w:p w:rsidR="00E313A3" w:rsidRPr="00606C27" w:rsidRDefault="00E313A3" w:rsidP="00E313A3">
      <w:pPr>
        <w:pStyle w:val="ParaNoNdepar-AltN"/>
        <w:rPr>
          <w:rFonts w:cs="Times New Roman"/>
          <w:lang w:val="fr-CA"/>
        </w:rPr>
      </w:pPr>
      <w:r w:rsidRPr="00606C27">
        <w:rPr>
          <w:rFonts w:cs="Times New Roman"/>
          <w:lang w:val="fr-CA"/>
        </w:rPr>
        <w:t xml:space="preserve">La position selon laquelle le principe de l’honneur de la Couronne ne lie pas le Parlement me paraît indéfendable à la lumière de la jurisprudence de la Cour en droit des Autochtones. L’honneur de la Couronne découle de l’exercice de fait de l’autorité de cette dernière sur les terres et les ressources que contrôlaient antérieurement les peuples autochtones et de l’affirmation par elle de sa souveraineté sur ces peuples : </w:t>
      </w:r>
      <w:r w:rsidRPr="00606C27">
        <w:rPr>
          <w:rFonts w:cs="Times New Roman"/>
          <w:i/>
          <w:lang w:val="fr-CA"/>
        </w:rPr>
        <w:t>Nation haïda</w:t>
      </w:r>
      <w:r w:rsidRPr="00606C27">
        <w:rPr>
          <w:rFonts w:cs="Times New Roman"/>
          <w:lang w:val="fr-CA"/>
        </w:rPr>
        <w:t xml:space="preserve">, par. 32; </w:t>
      </w:r>
      <w:r w:rsidRPr="00606C27">
        <w:rPr>
          <w:rFonts w:cs="Times New Roman"/>
          <w:i/>
          <w:lang w:val="fr-CA"/>
        </w:rPr>
        <w:t>Manitoba Metis Federation</w:t>
      </w:r>
      <w:r w:rsidRPr="00606C27">
        <w:rPr>
          <w:rFonts w:cs="Times New Roman"/>
          <w:lang w:val="fr-CA"/>
        </w:rPr>
        <w:t xml:space="preserve">, par. 66. À l’époque de la colonisation française et britannique, les peuples autochtones vivaient </w:t>
      </w:r>
      <w:r w:rsidRPr="00606C27">
        <w:rPr>
          <w:rFonts w:cs="Times New Roman"/>
          <w:lang w:val="fr-CA"/>
        </w:rPr>
        <w:lastRenderedPageBreak/>
        <w:t xml:space="preserve">au sein de sociétés distinctes et possédaient leurs propres structures sociales et politiques, ainsi que des lois et des intérêts dans les terres : </w:t>
      </w:r>
      <w:r w:rsidRPr="00606C27">
        <w:rPr>
          <w:rFonts w:cs="Times New Roman"/>
          <w:i/>
          <w:lang w:val="fr-CA"/>
        </w:rPr>
        <w:t>Mitchell c. M.R.N.</w:t>
      </w:r>
      <w:r w:rsidRPr="00606C27">
        <w:rPr>
          <w:rFonts w:cs="Times New Roman"/>
          <w:lang w:val="fr-CA"/>
        </w:rPr>
        <w:t>, [2001] 1 R.C.S. 911, par. 9 (la juge en chef McLachlin). Bien que la politique britannique reconnaissait et respectait certains droits d’occupation des peuples autochtones, elle reposait sur le principe que « la souveraineté et la compétence législative, et même le titre sous</w:t>
      </w:r>
      <w:r w:rsidRPr="00606C27">
        <w:rPr>
          <w:rFonts w:cs="Times New Roman"/>
          <w:lang w:val="fr-CA"/>
        </w:rPr>
        <w:noBreakHyphen/>
        <w:t xml:space="preserve">jacent, à l’égard de ces terres revenaient à Sa Majesté » : </w:t>
      </w:r>
      <w:r w:rsidRPr="00606C27">
        <w:rPr>
          <w:rFonts w:cs="Times New Roman"/>
          <w:i/>
          <w:lang w:val="fr-CA"/>
        </w:rPr>
        <w:t>Sparrow</w:t>
      </w:r>
      <w:r w:rsidRPr="00606C27">
        <w:rPr>
          <w:rFonts w:cs="Times New Roman"/>
          <w:lang w:val="fr-CA"/>
        </w:rPr>
        <w:t xml:space="preserve">, p. 1103. Cette souveraineté présumée a fait naître l’obligation de traiter les peuples autochtones équitablement et honorablement : </w:t>
      </w:r>
      <w:r w:rsidRPr="00606C27">
        <w:rPr>
          <w:rFonts w:cs="Times New Roman"/>
          <w:i/>
          <w:lang w:val="fr-CA"/>
        </w:rPr>
        <w:t>Mitchell</w:t>
      </w:r>
      <w:r w:rsidRPr="00606C27">
        <w:rPr>
          <w:rFonts w:cs="Times New Roman"/>
          <w:lang w:val="fr-CA"/>
        </w:rPr>
        <w:t xml:space="preserve">, par. 9; </w:t>
      </w:r>
      <w:r w:rsidRPr="00606C27">
        <w:rPr>
          <w:rFonts w:cs="Times New Roman"/>
          <w:i/>
          <w:lang w:val="fr-CA"/>
        </w:rPr>
        <w:t>Manitoba Metis Federation</w:t>
      </w:r>
      <w:r w:rsidRPr="00606C27">
        <w:rPr>
          <w:rFonts w:cs="Times New Roman"/>
          <w:lang w:val="fr-CA"/>
        </w:rPr>
        <w:t>, par. 66</w:t>
      </w:r>
      <w:r w:rsidRPr="00606C27">
        <w:rPr>
          <w:rFonts w:cs="Times New Roman"/>
          <w:lang w:val="fr-CA"/>
        </w:rPr>
        <w:noBreakHyphen/>
        <w:t xml:space="preserve">67. </w:t>
      </w:r>
    </w:p>
    <w:p w:rsidR="00E313A3" w:rsidRPr="00606C27" w:rsidRDefault="00E313A3" w:rsidP="00E313A3">
      <w:pPr>
        <w:pStyle w:val="ParaNoNdepar-AltN"/>
        <w:rPr>
          <w:rFonts w:cs="Times New Roman"/>
          <w:lang w:val="fr-CA"/>
        </w:rPr>
      </w:pPr>
      <w:r w:rsidRPr="00606C27">
        <w:rPr>
          <w:rFonts w:cs="Times New Roman"/>
          <w:lang w:val="fr-CA"/>
        </w:rPr>
        <w:t xml:space="preserve">En conséquence, l’objectif fondamental du principe de l’honneur de la Couronne est la réconciliation des sociétés autochtones préexistantes avec l’affirmation de la souveraineté de la Couronne : </w:t>
      </w:r>
      <w:r w:rsidRPr="00606C27">
        <w:rPr>
          <w:rFonts w:cs="Times New Roman"/>
          <w:i/>
          <w:lang w:val="fr-CA"/>
        </w:rPr>
        <w:t>Manitoba Metis Federation</w:t>
      </w:r>
      <w:r w:rsidRPr="00606C27">
        <w:rPr>
          <w:rFonts w:cs="Times New Roman"/>
          <w:lang w:val="fr-CA"/>
        </w:rPr>
        <w:t xml:space="preserve">, par. 66. La réconciliation est l’« objectif fondamental du droit moderne relatif aux droits ancestraux et issus de traités » : </w:t>
      </w:r>
      <w:r w:rsidRPr="00606C27">
        <w:rPr>
          <w:rFonts w:cs="Times New Roman"/>
          <w:i/>
          <w:lang w:val="fr-CA"/>
        </w:rPr>
        <w:t>Première nation crie Mikisew c. Canada (Ministre du Patrimoine canadien)</w:t>
      </w:r>
      <w:r w:rsidRPr="00606C27">
        <w:rPr>
          <w:rFonts w:cs="Times New Roman"/>
          <w:lang w:val="fr-CA"/>
        </w:rPr>
        <w:t xml:space="preserve">, [2005] 3 R.C.S. 388, par. 1 (le juge Binnie). L’objet de l’art. 35 de la </w:t>
      </w:r>
      <w:r w:rsidRPr="00606C27">
        <w:rPr>
          <w:rFonts w:cs="Times New Roman"/>
          <w:i/>
          <w:lang w:val="fr-CA"/>
        </w:rPr>
        <w:t>Loi constitutionnelle de 1982</w:t>
      </w:r>
      <w:r w:rsidRPr="00606C27">
        <w:rPr>
          <w:rFonts w:cs="Times New Roman"/>
          <w:lang w:val="fr-CA"/>
        </w:rPr>
        <w:t xml:space="preserve"> est de favoriser cette réconciliation : </w:t>
      </w:r>
      <w:r w:rsidRPr="00606C27">
        <w:rPr>
          <w:rFonts w:cs="Times New Roman"/>
          <w:i/>
          <w:lang w:val="fr-CA"/>
        </w:rPr>
        <w:t>Première nation Tlingit de Taku River c. Colombie</w:t>
      </w:r>
      <w:r w:rsidRPr="00606C27">
        <w:rPr>
          <w:rFonts w:cs="Times New Roman"/>
          <w:i/>
          <w:lang w:val="fr-CA"/>
        </w:rPr>
        <w:noBreakHyphen/>
        <w:t>Britannique (Directeur d’évaluation de projet)</w:t>
      </w:r>
      <w:r w:rsidRPr="00606C27">
        <w:rPr>
          <w:rFonts w:cs="Times New Roman"/>
          <w:lang w:val="fr-CA"/>
        </w:rPr>
        <w:t xml:space="preserve">, [2004] 3 R.C.S. 550, par. 42. </w:t>
      </w:r>
    </w:p>
    <w:p w:rsidR="00E313A3" w:rsidRPr="00606C27" w:rsidRDefault="00E313A3" w:rsidP="00E313A3">
      <w:pPr>
        <w:pStyle w:val="ParaNoNdepar-AltN"/>
        <w:rPr>
          <w:rFonts w:cs="Times New Roman"/>
          <w:lang w:val="fr-CA"/>
        </w:rPr>
      </w:pPr>
      <w:r w:rsidRPr="00606C27">
        <w:rPr>
          <w:rFonts w:cs="Times New Roman"/>
          <w:lang w:val="fr-CA"/>
        </w:rPr>
        <w:t xml:space="preserve">Le principe de l’honneur de la Couronne définit les rapports historiques qui unissent le gouvernement et les peuples autochtones, et les droits contemporains doivent être définis en fonction de ces rapports : </w:t>
      </w:r>
      <w:r w:rsidRPr="00606C27">
        <w:rPr>
          <w:rFonts w:cs="Times New Roman"/>
          <w:i/>
          <w:lang w:val="fr-CA"/>
        </w:rPr>
        <w:t>Sparrow</w:t>
      </w:r>
      <w:r w:rsidRPr="00606C27">
        <w:rPr>
          <w:rFonts w:cs="Times New Roman"/>
          <w:lang w:val="fr-CA"/>
        </w:rPr>
        <w:t xml:space="preserve">, p. 1108. Il s’agit d’un </w:t>
      </w:r>
      <w:r w:rsidRPr="00606C27">
        <w:rPr>
          <w:rFonts w:cs="Times New Roman"/>
          <w:lang w:val="fr-CA"/>
        </w:rPr>
        <w:lastRenderedPageBreak/>
        <w:t xml:space="preserve">concept profondément enraciné en droit des Autochtones dont on peut retracer les origines dans la </w:t>
      </w:r>
      <w:r w:rsidRPr="00606C27">
        <w:rPr>
          <w:rFonts w:cs="Times New Roman"/>
          <w:i/>
          <w:lang w:val="fr-CA"/>
        </w:rPr>
        <w:t xml:space="preserve">Proclamation royale </w:t>
      </w:r>
      <w:r w:rsidRPr="00606C27">
        <w:rPr>
          <w:rFonts w:cs="Times New Roman"/>
          <w:lang w:val="fr-CA"/>
        </w:rPr>
        <w:t xml:space="preserve">de 1763, un document fondamental que la Cour a décrit comme étant « analogue [à] la Magna Carta » : </w:t>
      </w:r>
      <w:r w:rsidRPr="00606C27">
        <w:rPr>
          <w:rFonts w:cs="Times New Roman"/>
          <w:i/>
          <w:lang w:val="fr-CA"/>
        </w:rPr>
        <w:t>Calder c. Procureur général de la Colombie</w:t>
      </w:r>
      <w:r w:rsidRPr="00606C27">
        <w:rPr>
          <w:rFonts w:cs="Times New Roman"/>
          <w:i/>
          <w:lang w:val="fr-CA"/>
        </w:rPr>
        <w:noBreakHyphen/>
        <w:t>Britannique</w:t>
      </w:r>
      <w:r w:rsidRPr="00606C27">
        <w:rPr>
          <w:rFonts w:cs="Times New Roman"/>
          <w:lang w:val="fr-CA"/>
        </w:rPr>
        <w:t xml:space="preserve">, [1973] R.C.S. 313, p. 395 (le juge Hall). Depuis, ce principe a acquis un statut constitutionnel avec l’enchâssement de l’art. 35 et est donc devenu un impératif constitutionnel qui donne naissance à des obligations de la Couronne que les tribunaux sont appelés à faire respecter : J. Timothy S. McCabe, </w:t>
      </w:r>
      <w:r w:rsidRPr="00606C27">
        <w:rPr>
          <w:rFonts w:cs="Times New Roman"/>
          <w:i/>
          <w:lang w:val="fr-CA"/>
        </w:rPr>
        <w:t>The Honour of the Crown and its Fiduciary Duties to Aboriginal Peoples</w:t>
      </w:r>
      <w:r w:rsidRPr="00606C27">
        <w:rPr>
          <w:rFonts w:cs="Times New Roman"/>
          <w:lang w:val="fr-CA"/>
        </w:rPr>
        <w:t xml:space="preserve"> (2008), p. 53.</w:t>
      </w:r>
    </w:p>
    <w:p w:rsidR="00E313A3" w:rsidRPr="00606C27" w:rsidRDefault="00E313A3" w:rsidP="00E313A3">
      <w:pPr>
        <w:pStyle w:val="ParaNoNdepar-AltN"/>
        <w:rPr>
          <w:rFonts w:cs="Times New Roman"/>
          <w:lang w:val="fr-CA"/>
        </w:rPr>
      </w:pPr>
      <w:r w:rsidRPr="00606C27">
        <w:rPr>
          <w:rFonts w:cs="Times New Roman"/>
          <w:lang w:val="fr-CA"/>
        </w:rPr>
        <w:t xml:space="preserve">Le principe de l’honneur de la Couronne ne constitue toutefois pas en soi une cause d’action. Il s’agit plutôt d’un principe qui concerne la façon dont la Couronne doit s’acquitter d’obligations spécifiques : </w:t>
      </w:r>
      <w:r w:rsidRPr="00606C27">
        <w:rPr>
          <w:rFonts w:cs="Times New Roman"/>
          <w:i/>
          <w:lang w:val="fr-CA"/>
        </w:rPr>
        <w:t>Manitoba Metis Federation</w:t>
      </w:r>
      <w:r w:rsidRPr="00606C27">
        <w:rPr>
          <w:rFonts w:cs="Times New Roman"/>
          <w:lang w:val="fr-CA"/>
        </w:rPr>
        <w:t xml:space="preserve">, par. 73. Ces obligations varient selon les circonstances. Lorsqu’elle négocie et applique des traités, la Couronne doit agir avec intégrité et honneur et éviter la moindre apparence de manœuvres malhonnêtes : </w:t>
      </w:r>
      <w:r w:rsidRPr="00606C27">
        <w:rPr>
          <w:rFonts w:cs="Times New Roman"/>
          <w:i/>
          <w:lang w:val="fr-CA"/>
        </w:rPr>
        <w:t>Nation haïda</w:t>
      </w:r>
      <w:r w:rsidRPr="00606C27">
        <w:rPr>
          <w:rFonts w:cs="Times New Roman"/>
          <w:lang w:val="fr-CA"/>
        </w:rPr>
        <w:t xml:space="preserve">, par. 19; </w:t>
      </w:r>
      <w:r w:rsidRPr="00606C27">
        <w:rPr>
          <w:rFonts w:cs="Times New Roman"/>
          <w:i/>
          <w:lang w:val="fr-CA"/>
        </w:rPr>
        <w:t>Badger</w:t>
      </w:r>
      <w:r w:rsidRPr="00606C27">
        <w:rPr>
          <w:rFonts w:cs="Times New Roman"/>
          <w:lang w:val="fr-CA"/>
        </w:rPr>
        <w:t xml:space="preserve">, par. 41; </w:t>
      </w:r>
      <w:r w:rsidRPr="00606C27">
        <w:rPr>
          <w:rFonts w:cs="Times New Roman"/>
          <w:i/>
          <w:lang w:val="fr-CA"/>
        </w:rPr>
        <w:t>R. c. Marshall</w:t>
      </w:r>
      <w:r w:rsidRPr="00606C27">
        <w:rPr>
          <w:rFonts w:cs="Times New Roman"/>
          <w:lang w:val="fr-CA"/>
        </w:rPr>
        <w:t xml:space="preserve">, [1999] 3 R.C.S. 456, par. 4. Lorsque le gouvernement prend un règlement qui porte atteinte aux droits ancestraux, l’honneur de la Couronne exige que cette mesure soit justifiée : </w:t>
      </w:r>
      <w:r w:rsidRPr="00606C27">
        <w:rPr>
          <w:rFonts w:cs="Times New Roman"/>
          <w:i/>
          <w:lang w:val="fr-CA"/>
        </w:rPr>
        <w:t>Sparrow</w:t>
      </w:r>
      <w:r w:rsidRPr="00606C27">
        <w:rPr>
          <w:rFonts w:cs="Times New Roman"/>
          <w:lang w:val="fr-CA"/>
        </w:rPr>
        <w:t>, p. 1109. Et lorsque le gouvernement envisage une mesure susceptible d’avoir un effet préjudiciable sur les droits ancestraux ou issus de traités, l’honneur de la Couronne fait naître une obligation de consulter et d’accommoder.</w:t>
      </w:r>
    </w:p>
    <w:p w:rsidR="00E313A3" w:rsidRPr="00606C27" w:rsidRDefault="00E313A3" w:rsidP="00E313A3">
      <w:pPr>
        <w:pStyle w:val="ParaNoNdepar-AltN"/>
        <w:rPr>
          <w:rFonts w:cs="Times New Roman"/>
          <w:lang w:val="fr-CA"/>
        </w:rPr>
      </w:pPr>
      <w:r w:rsidRPr="00606C27">
        <w:rPr>
          <w:rFonts w:cs="Times New Roman"/>
          <w:lang w:val="fr-CA"/>
        </w:rPr>
        <w:t xml:space="preserve">Ancrée dans le principe de l’honneur de la Couronne, l’obligation de consulter découle de l’affirmation de la souveraineté de la Couronne et vise à favoriser </w:t>
      </w:r>
      <w:r w:rsidRPr="00606C27">
        <w:rPr>
          <w:rFonts w:cs="Times New Roman"/>
          <w:lang w:val="fr-CA"/>
        </w:rPr>
        <w:lastRenderedPageBreak/>
        <w:t xml:space="preserve">le processus de conciliation : McCabe, p. 90; </w:t>
      </w:r>
      <w:r w:rsidRPr="00606C27">
        <w:rPr>
          <w:rFonts w:cs="Times New Roman"/>
          <w:i/>
          <w:lang w:val="fr-CA"/>
        </w:rPr>
        <w:t>Nation haïda</w:t>
      </w:r>
      <w:r w:rsidRPr="00606C27">
        <w:rPr>
          <w:rFonts w:cs="Times New Roman"/>
          <w:lang w:val="fr-CA"/>
        </w:rPr>
        <w:t>, par. 45 et 59. Elle joue un rôle important dans le « processus de négociation honorable et de conciliation qui débute au moment de l’affirmation de la souveraineté et se poursuit au</w:t>
      </w:r>
      <w:r w:rsidRPr="00606C27">
        <w:rPr>
          <w:rFonts w:cs="Times New Roman"/>
          <w:lang w:val="fr-CA"/>
        </w:rPr>
        <w:noBreakHyphen/>
        <w:t xml:space="preserve">delà du règlement formel des revendications » : </w:t>
      </w:r>
      <w:r w:rsidRPr="00606C27">
        <w:rPr>
          <w:rFonts w:cs="Times New Roman"/>
          <w:i/>
          <w:lang w:val="fr-CA"/>
        </w:rPr>
        <w:t>Nation haïda</w:t>
      </w:r>
      <w:r w:rsidRPr="00606C27">
        <w:rPr>
          <w:rFonts w:cs="Times New Roman"/>
          <w:lang w:val="fr-CA"/>
        </w:rPr>
        <w:t>, par. 32. Cette obligation, lorsqu’elle existe, exige qu’il y ait une véritable consultation entre le gouvernement et le groupe touché, c’est</w:t>
      </w:r>
      <w:r w:rsidRPr="00606C27">
        <w:rPr>
          <w:rFonts w:cs="Times New Roman"/>
          <w:lang w:val="fr-CA"/>
        </w:rPr>
        <w:noBreakHyphen/>
        <w:t>à</w:t>
      </w:r>
      <w:r w:rsidRPr="00606C27">
        <w:rPr>
          <w:rFonts w:cs="Times New Roman"/>
          <w:lang w:val="fr-CA"/>
        </w:rPr>
        <w:noBreakHyphen/>
        <w:t xml:space="preserve">dire un effort réel de la part du gouvernement d’agir en conformité avec le principe de l’honneur de la Couronne dans ce contexte précis : Dwight G. Newman, </w:t>
      </w:r>
      <w:r w:rsidRPr="00606C27">
        <w:rPr>
          <w:rFonts w:cs="Times New Roman"/>
          <w:i/>
          <w:lang w:val="fr-CA"/>
        </w:rPr>
        <w:t>Revisiting the Duty to Consult Aboriginal Peoples</w:t>
      </w:r>
      <w:r w:rsidRPr="00606C27">
        <w:rPr>
          <w:rFonts w:cs="Times New Roman"/>
          <w:lang w:val="fr-CA"/>
        </w:rPr>
        <w:t xml:space="preserve"> (2014), p. 88</w:t>
      </w:r>
      <w:r w:rsidRPr="00606C27">
        <w:rPr>
          <w:rFonts w:cs="Times New Roman"/>
          <w:lang w:val="fr-CA"/>
        </w:rPr>
        <w:noBreakHyphen/>
        <w:t xml:space="preserve">89. On peut utiliser la notion de continuum pour interpréter l’obligation de consulter, qui tient compte des diverses situations selon que la consultation est plus ou moins nécessaire pour atteindre son objectif : </w:t>
      </w:r>
      <w:r w:rsidRPr="00051BF0">
        <w:rPr>
          <w:rFonts w:cs="Times New Roman"/>
          <w:lang w:val="fr-CA"/>
        </w:rPr>
        <w:t>Newman</w:t>
      </w:r>
      <w:r w:rsidRPr="00606C27">
        <w:rPr>
          <w:rFonts w:cs="Times New Roman"/>
          <w:lang w:val="fr-CA"/>
        </w:rPr>
        <w:t xml:space="preserve">, p. 89; </w:t>
      </w:r>
      <w:r w:rsidRPr="00606C27">
        <w:rPr>
          <w:rFonts w:cs="Times New Roman"/>
          <w:i/>
          <w:lang w:val="fr-CA"/>
        </w:rPr>
        <w:t>Nation haïda</w:t>
      </w:r>
      <w:r w:rsidRPr="00606C27">
        <w:rPr>
          <w:rFonts w:cs="Times New Roman"/>
          <w:lang w:val="fr-CA"/>
        </w:rPr>
        <w:t>, par. 43.</w:t>
      </w:r>
    </w:p>
    <w:p w:rsidR="00E313A3" w:rsidRPr="00606C27" w:rsidRDefault="00E313A3" w:rsidP="00E313A3">
      <w:pPr>
        <w:pStyle w:val="ParaNoNdepar-AltN"/>
        <w:rPr>
          <w:rFonts w:cs="Times New Roman"/>
          <w:lang w:val="fr-CA"/>
        </w:rPr>
      </w:pPr>
      <w:r w:rsidRPr="00606C27">
        <w:rPr>
          <w:rFonts w:cs="Times New Roman"/>
          <w:lang w:val="fr-CA"/>
        </w:rPr>
        <w:t xml:space="preserve">J’estime que l’obligation de consulter n’est pas qu’un « moyen » de respecter le principe de l’honneur de la Couronne. L’obligation prend naissance parce qu’il ne serait pas honorable pour la Couronne de prendre des décisions importantes qui ont un effet préjudiciable sur les droits ancestraux et issus de traités sans faire l’effort de consulter les peuples autochtones et, le cas échéant, de trouver des accommodements à leurs préoccupations. La Couronne doit agir honorablement lorsqu’elle définit les droits garantis par l’art. 35 et les concilie avec d’autres droits et intérêts sociétaux. Cette obligation emporte celle de consulter : </w:t>
      </w:r>
      <w:r w:rsidRPr="00606C27">
        <w:rPr>
          <w:rFonts w:cs="Times New Roman"/>
          <w:i/>
          <w:lang w:val="fr-CA"/>
        </w:rPr>
        <w:t>Nation haïda</w:t>
      </w:r>
      <w:r w:rsidRPr="00606C27">
        <w:rPr>
          <w:rFonts w:cs="Times New Roman"/>
          <w:lang w:val="fr-CA"/>
        </w:rPr>
        <w:t xml:space="preserve">, par. 20. Il ne s’agit pas de savoir si l’obligation de consulter </w:t>
      </w:r>
      <w:r w:rsidRPr="00606C27">
        <w:rPr>
          <w:rFonts w:cs="Times New Roman"/>
          <w:i/>
          <w:lang w:val="fr-CA"/>
        </w:rPr>
        <w:t>convient</w:t>
      </w:r>
      <w:r w:rsidRPr="00606C27">
        <w:rPr>
          <w:rFonts w:cs="Times New Roman"/>
          <w:lang w:val="fr-CA"/>
        </w:rPr>
        <w:t xml:space="preserve"> dans les circonstances, mais de savoir si l’obligation de consulter s’applique à la décision.</w:t>
      </w:r>
    </w:p>
    <w:p w:rsidR="00E313A3" w:rsidRPr="00606C27" w:rsidRDefault="00E313A3" w:rsidP="00E313A3">
      <w:pPr>
        <w:pStyle w:val="ParaNoNdepar-AltN"/>
        <w:rPr>
          <w:rFonts w:cs="Times New Roman"/>
          <w:lang w:val="fr-CA"/>
        </w:rPr>
      </w:pPr>
      <w:r w:rsidRPr="00606C27">
        <w:rPr>
          <w:rFonts w:cs="Times New Roman"/>
          <w:lang w:val="fr-CA"/>
        </w:rPr>
        <w:lastRenderedPageBreak/>
        <w:t xml:space="preserve">Comme l’honneur de la Couronne imprègne l’ensemble des rapports du gouvernement avec les peuples autochtones, l’obligation de consulter doit s’appliquer à l’exercice de tous les pouvoirs qui sont assujettis à un examen fondé sur l’art. 35. À mon sens, ces pouvoirs comprennent l’adoption des lois. À l’instar de l’analyse de l’atteinte fondée sur l’arrêt </w:t>
      </w:r>
      <w:r w:rsidRPr="00606C27">
        <w:rPr>
          <w:rFonts w:cs="Times New Roman"/>
          <w:i/>
          <w:lang w:val="fr-CA"/>
        </w:rPr>
        <w:t>Sparrow</w:t>
      </w:r>
      <w:r w:rsidRPr="00606C27">
        <w:rPr>
          <w:rFonts w:cs="Times New Roman"/>
          <w:lang w:val="fr-CA"/>
        </w:rPr>
        <w:t xml:space="preserve">, l’obligation de consulter s’applique indépendamment du genre de mesure gouvernementale en cause et prend naissance dès lors qu’il y </w:t>
      </w:r>
      <w:r w:rsidR="009277F8">
        <w:rPr>
          <w:rFonts w:cs="Times New Roman"/>
          <w:lang w:val="fr-CA"/>
        </w:rPr>
        <w:t xml:space="preserve">a </w:t>
      </w:r>
      <w:r w:rsidRPr="00606C27">
        <w:rPr>
          <w:rFonts w:cs="Times New Roman"/>
          <w:lang w:val="fr-CA"/>
        </w:rPr>
        <w:t>un risque d’</w:t>
      </w:r>
      <w:r w:rsidRPr="00606C27">
        <w:rPr>
          <w:rFonts w:cs="Times New Roman"/>
          <w:i/>
          <w:lang w:val="fr-CA"/>
        </w:rPr>
        <w:t xml:space="preserve">effets </w:t>
      </w:r>
      <w:r w:rsidRPr="00606C27">
        <w:rPr>
          <w:rFonts w:cs="Times New Roman"/>
          <w:lang w:val="fr-CA"/>
        </w:rPr>
        <w:t>préjudiciables.</w:t>
      </w:r>
    </w:p>
    <w:p w:rsidR="00E313A3" w:rsidRPr="00606C27" w:rsidRDefault="00E313A3" w:rsidP="00E313A3">
      <w:pPr>
        <w:pStyle w:val="ParaNoNdepar-AltN"/>
        <w:rPr>
          <w:rFonts w:cs="Times New Roman"/>
          <w:lang w:val="fr-CA"/>
        </w:rPr>
      </w:pPr>
      <w:r w:rsidRPr="00606C27">
        <w:rPr>
          <w:rFonts w:cs="Times New Roman"/>
          <w:lang w:val="fr-CA"/>
        </w:rPr>
        <w:t xml:space="preserve">Cette conclusion découle de l’évolution jurisprudentielle de l’obligation de consulter, qui est passée d’un aspect de l’analyse de l’atteinte dans l’arrêt </w:t>
      </w:r>
      <w:r w:rsidRPr="00606C27">
        <w:rPr>
          <w:rFonts w:cs="Times New Roman"/>
          <w:i/>
          <w:lang w:val="fr-CA"/>
        </w:rPr>
        <w:t>Sparrow</w:t>
      </w:r>
      <w:r w:rsidRPr="00606C27">
        <w:rPr>
          <w:rFonts w:cs="Times New Roman"/>
          <w:lang w:val="fr-CA"/>
        </w:rPr>
        <w:t xml:space="preserve"> à une obligation indépendante dans </w:t>
      </w:r>
      <w:r w:rsidRPr="00606C27">
        <w:rPr>
          <w:rFonts w:cs="Times New Roman"/>
          <w:i/>
          <w:lang w:val="fr-CA"/>
        </w:rPr>
        <w:t>Nation haïda</w:t>
      </w:r>
      <w:r w:rsidRPr="00606C27">
        <w:rPr>
          <w:rFonts w:cs="Times New Roman"/>
          <w:lang w:val="fr-CA"/>
        </w:rPr>
        <w:t xml:space="preserve">. C’est dans l’arrêt </w:t>
      </w:r>
      <w:r w:rsidRPr="00606C27">
        <w:rPr>
          <w:rFonts w:cs="Times New Roman"/>
          <w:i/>
          <w:lang w:val="fr-CA"/>
        </w:rPr>
        <w:t>Sparrow</w:t>
      </w:r>
      <w:r w:rsidRPr="00606C27">
        <w:rPr>
          <w:rFonts w:cs="Times New Roman"/>
          <w:lang w:val="fr-CA"/>
        </w:rPr>
        <w:t xml:space="preserve"> que la Cour a eu l’occasion pour la première fois d’examiner les conséquences juridiques de l’art. 35 et d’ébaucher un cadre d’analyse qui accorderait au caractère constitutionnel des mots « reconnus et confirmés » l’importance qui lui revient : </w:t>
      </w:r>
      <w:r w:rsidRPr="00606C27">
        <w:rPr>
          <w:rFonts w:cs="Times New Roman"/>
          <w:i/>
          <w:lang w:val="fr-CA"/>
        </w:rPr>
        <w:t>Sparrow</w:t>
      </w:r>
      <w:r w:rsidRPr="00606C27">
        <w:rPr>
          <w:rFonts w:cs="Times New Roman"/>
          <w:lang w:val="fr-CA"/>
        </w:rPr>
        <w:t>, p. 1106. Reconnaissant l’importance du contexte et la façon progressive d’aborder l’art. 35, le juge en chef Dickson et le juge La Forest ont proposé un test de justification qui obligerait le gouvernement à établir non seulement qu’il avait un objectif législatif valide, mais aussi que la mesure législative était conforme au principe de l’honneur de la Couronne. Ils sont arrivés, à la p. 1114, à la conclusion suivante :</w:t>
      </w:r>
    </w:p>
    <w:p w:rsidR="00E313A3" w:rsidRPr="00606C27" w:rsidRDefault="00E313A3" w:rsidP="00E313A3">
      <w:pPr>
        <w:pStyle w:val="Citation-AltC"/>
        <w:ind w:hanging="1166"/>
        <w:contextualSpacing w:val="0"/>
        <w:rPr>
          <w:lang w:val="fr-CA"/>
        </w:rPr>
      </w:pPr>
      <w:r w:rsidRPr="00606C27">
        <w:rPr>
          <w:lang w:val="fr-CA"/>
        </w:rPr>
        <w:tab/>
        <w:t xml:space="preserve">. . . l’honneur de Sa Majesté est en jeu lorsqu’elle transige avec les peuples autochtones. Les rapports spéciaux de fiduciaire et la responsabilité du gouvernement envers les autochtones doivent être le premier facteur à examiner en déterminant si la mesure législative ou l’action en cause est justifiable. </w:t>
      </w:r>
    </w:p>
    <w:p w:rsidR="00E313A3" w:rsidRPr="00606C27" w:rsidRDefault="00E313A3" w:rsidP="00E313A3">
      <w:pPr>
        <w:pStyle w:val="ContinueParaSuitedupar-AltP"/>
        <w:rPr>
          <w:rFonts w:cs="Times New Roman"/>
          <w:lang w:val="fr-CA"/>
        </w:rPr>
      </w:pPr>
      <w:r w:rsidRPr="00606C27">
        <w:rPr>
          <w:rFonts w:cs="Times New Roman"/>
          <w:lang w:val="fr-CA"/>
        </w:rPr>
        <w:lastRenderedPageBreak/>
        <w:t xml:space="preserve">Pour déterminer si les mesures législatives de la Couronne étaient conformes au principe de l’honneur de la Couronne, il faudrait, selon les circonstances, examiner si le groupe autochtone en question a été consulté : </w:t>
      </w:r>
      <w:r w:rsidRPr="00606C27">
        <w:rPr>
          <w:rFonts w:cs="Times New Roman"/>
          <w:i/>
          <w:lang w:val="fr-CA"/>
        </w:rPr>
        <w:t>Sparrow</w:t>
      </w:r>
      <w:r w:rsidRPr="00606C27">
        <w:rPr>
          <w:rFonts w:cs="Times New Roman"/>
          <w:lang w:val="fr-CA"/>
        </w:rPr>
        <w:t xml:space="preserve">, p. 1119; voir également </w:t>
      </w:r>
      <w:r w:rsidRPr="00606C27">
        <w:rPr>
          <w:rFonts w:cs="Times New Roman"/>
          <w:i/>
          <w:lang w:val="fr-CA"/>
        </w:rPr>
        <w:t>R. c. Nikal</w:t>
      </w:r>
      <w:r w:rsidRPr="00606C27">
        <w:rPr>
          <w:rFonts w:cs="Times New Roman"/>
          <w:lang w:val="fr-CA"/>
        </w:rPr>
        <w:t xml:space="preserve">, [1996] 1 R.C.S. 1013, par. 110; </w:t>
      </w:r>
      <w:r w:rsidRPr="00606C27">
        <w:rPr>
          <w:rFonts w:cs="Times New Roman"/>
          <w:i/>
          <w:lang w:val="fr-CA"/>
        </w:rPr>
        <w:t>R. c. Gladstone</w:t>
      </w:r>
      <w:r w:rsidRPr="00606C27">
        <w:rPr>
          <w:rFonts w:cs="Times New Roman"/>
          <w:lang w:val="fr-CA"/>
        </w:rPr>
        <w:t>, [1996] 2 R.C.S. 723, par. 64.</w:t>
      </w:r>
    </w:p>
    <w:p w:rsidR="00E313A3" w:rsidRPr="00606C27" w:rsidRDefault="00E313A3" w:rsidP="00E313A3">
      <w:pPr>
        <w:pStyle w:val="ParaNoNdepar-AltN"/>
        <w:rPr>
          <w:rFonts w:cs="Times New Roman"/>
          <w:lang w:val="fr-CA"/>
        </w:rPr>
      </w:pPr>
      <w:r w:rsidRPr="00606C27">
        <w:rPr>
          <w:rFonts w:cs="Times New Roman"/>
          <w:lang w:val="fr-CA"/>
        </w:rPr>
        <w:t xml:space="preserve">La consultation a joué un rôle encore plus important dans l’arrêt </w:t>
      </w:r>
      <w:r w:rsidRPr="00606C27">
        <w:rPr>
          <w:rFonts w:cs="Times New Roman"/>
          <w:i/>
          <w:lang w:val="fr-CA"/>
        </w:rPr>
        <w:t>Delgamuukw c. Colombie</w:t>
      </w:r>
      <w:r w:rsidRPr="00606C27">
        <w:rPr>
          <w:rFonts w:cs="Times New Roman"/>
          <w:i/>
          <w:lang w:val="fr-CA"/>
        </w:rPr>
        <w:noBreakHyphen/>
        <w:t>Britannique</w:t>
      </w:r>
      <w:r w:rsidRPr="00606C27">
        <w:rPr>
          <w:rFonts w:cs="Times New Roman"/>
          <w:lang w:val="fr-CA"/>
        </w:rPr>
        <w:t xml:space="preserve">, [1997] 3 R.C.S. 1010, une affaire portant sur un titre ancestral, où le juge en chef Lamer a reconnu pour la première fois que la consultation était une « obligation » procédurale. À son avis, bien que la nature et la portée de l’obligation varieraient selon les circonstances, « [i]l y a toujours obligation de consulter » : par. 168. Le juge en chef Lamer s’était inspiré de ses commentaires récents sur la doctrine relative à l’ordre de priorité dans l’arrêt </w:t>
      </w:r>
      <w:r w:rsidRPr="00606C27">
        <w:rPr>
          <w:rFonts w:cs="Times New Roman"/>
          <w:i/>
          <w:lang w:val="fr-CA"/>
        </w:rPr>
        <w:t>Gladstone</w:t>
      </w:r>
      <w:r w:rsidRPr="00606C27">
        <w:rPr>
          <w:rFonts w:cs="Times New Roman"/>
          <w:lang w:val="fr-CA"/>
        </w:rPr>
        <w:t>, qui décrivaient un droit à la fois procédural et substantiel : « [à] l’étape de la justification, l’État doit démontrer que les modalités de répartition de la ressource ainsi que la répartition elle</w:t>
      </w:r>
      <w:r w:rsidRPr="00606C27">
        <w:rPr>
          <w:rFonts w:cs="Times New Roman"/>
          <w:lang w:val="fr-CA"/>
        </w:rPr>
        <w:noBreakHyphen/>
        <w:t xml:space="preserve">même reflètent l’intérêt prioritaire des titulaires des droits ancestraux à l’égard de cette pêcherie » : </w:t>
      </w:r>
      <w:r w:rsidRPr="00606C27">
        <w:rPr>
          <w:rFonts w:cs="Times New Roman"/>
          <w:i/>
          <w:lang w:val="fr-CA"/>
        </w:rPr>
        <w:t>Gladstone</w:t>
      </w:r>
      <w:r w:rsidRPr="00606C27">
        <w:rPr>
          <w:rFonts w:cs="Times New Roman"/>
          <w:lang w:val="fr-CA"/>
        </w:rPr>
        <w:t>,</w:t>
      </w:r>
      <w:r w:rsidRPr="00606C27">
        <w:rPr>
          <w:rFonts w:cs="Times New Roman"/>
          <w:i/>
          <w:lang w:val="fr-CA"/>
        </w:rPr>
        <w:t xml:space="preserve"> </w:t>
      </w:r>
      <w:r w:rsidRPr="00606C27">
        <w:rPr>
          <w:rFonts w:cs="Times New Roman"/>
          <w:lang w:val="fr-CA"/>
        </w:rPr>
        <w:t>par. 62. Par analogie, dans le contexte d’un titre ancestral, cela pourrait vouloir dire que « les gouvernements prennent en compte la participation des peuples autochtones à la mise en valeur des ressources de la Colombie</w:t>
      </w:r>
      <w:r w:rsidRPr="00606C27">
        <w:rPr>
          <w:rFonts w:cs="Times New Roman"/>
          <w:lang w:val="fr-CA"/>
        </w:rPr>
        <w:noBreakHyphen/>
        <w:t xml:space="preserve">Britannique » : </w:t>
      </w:r>
      <w:r w:rsidRPr="00606C27">
        <w:rPr>
          <w:rFonts w:cs="Times New Roman"/>
          <w:i/>
          <w:lang w:val="fr-CA"/>
        </w:rPr>
        <w:t>Delgamuukw</w:t>
      </w:r>
      <w:r w:rsidRPr="00606C27">
        <w:rPr>
          <w:rFonts w:cs="Times New Roman"/>
          <w:lang w:val="fr-CA"/>
        </w:rPr>
        <w:t xml:space="preserve">, par. 167. Comme le juge en chef Lamer l’a expliqué, cette obligation de consulter découle des rapports de fiduciaire qui existe entre la Couronne et les peuples autochtones : </w:t>
      </w:r>
      <w:r w:rsidRPr="00606C27">
        <w:rPr>
          <w:rFonts w:cs="Times New Roman"/>
          <w:i/>
          <w:lang w:val="fr-CA"/>
        </w:rPr>
        <w:t>ibid.</w:t>
      </w:r>
      <w:r w:rsidRPr="00606C27">
        <w:rPr>
          <w:rFonts w:cs="Times New Roman"/>
          <w:lang w:val="fr-CA"/>
        </w:rPr>
        <w:t>,</w:t>
      </w:r>
      <w:r w:rsidRPr="00606C27">
        <w:rPr>
          <w:rFonts w:cs="Times New Roman"/>
          <w:i/>
          <w:lang w:val="fr-CA"/>
        </w:rPr>
        <w:t xml:space="preserve"> </w:t>
      </w:r>
      <w:r w:rsidRPr="00606C27">
        <w:rPr>
          <w:rFonts w:cs="Times New Roman"/>
          <w:lang w:val="fr-CA"/>
        </w:rPr>
        <w:t>par. 168.</w:t>
      </w:r>
    </w:p>
    <w:p w:rsidR="00E313A3" w:rsidRPr="00606C27" w:rsidRDefault="00E313A3" w:rsidP="00E313A3">
      <w:pPr>
        <w:pStyle w:val="ParaNoNdepar-AltN"/>
        <w:rPr>
          <w:rFonts w:cs="Times New Roman"/>
          <w:lang w:val="fr-CA"/>
        </w:rPr>
      </w:pPr>
      <w:r w:rsidRPr="00606C27">
        <w:rPr>
          <w:rFonts w:cs="Times New Roman"/>
          <w:lang w:val="fr-CA"/>
        </w:rPr>
        <w:lastRenderedPageBreak/>
        <w:t xml:space="preserve">Ces premières décisions en matière de justification ont établi que l’honneur de la Couronne était un principe fondamental dont il fallait tenir compte pour évaluer les mesures législatives adoptées. Ce principe exigeait non seulement un résultat concret qui accordait l’importance qui leur revient aux droits et aux intérêts ancestraux en jeu, mais également une façon de transiger qui cadrait avec la relation particulière qu’entretient la Couronne avec les titulaires de droits ancestraux. Plus précisément, la Cour a affirmé que la consultation était un facteur important dont il fallait tenir compte pour évaluer si l’atteinte aux droits ancestraux ou issus de traités par le gouvernement était justifiée au regard de l’art. 35. Le genre de mesure gouvernementale en cause ne change rien à l’importance de cette consultation; ainsi, dans l’arrêt </w:t>
      </w:r>
      <w:r w:rsidRPr="00606C27">
        <w:rPr>
          <w:rFonts w:cs="Times New Roman"/>
          <w:i/>
          <w:lang w:val="fr-CA"/>
        </w:rPr>
        <w:t>Sparrow</w:t>
      </w:r>
      <w:r w:rsidRPr="00606C27">
        <w:rPr>
          <w:rFonts w:cs="Times New Roman"/>
          <w:lang w:val="fr-CA"/>
        </w:rPr>
        <w:t xml:space="preserve">, où l’on contestait la </w:t>
      </w:r>
      <w:r w:rsidRPr="00606C27">
        <w:rPr>
          <w:rFonts w:cs="Times New Roman"/>
          <w:i/>
          <w:lang w:val="fr-CA"/>
        </w:rPr>
        <w:t>Loi sur les pêcheries</w:t>
      </w:r>
      <w:r w:rsidRPr="00606C27">
        <w:rPr>
          <w:rFonts w:cs="Times New Roman"/>
          <w:lang w:val="fr-CA"/>
        </w:rPr>
        <w:t>, L.R.C. 1970, c. F</w:t>
      </w:r>
      <w:r w:rsidRPr="00606C27">
        <w:rPr>
          <w:rFonts w:cs="Times New Roman"/>
          <w:lang w:val="fr-CA"/>
        </w:rPr>
        <w:noBreakHyphen/>
        <w:t>14, une loi</w:t>
      </w:r>
      <w:r w:rsidRPr="00606C27">
        <w:rPr>
          <w:rFonts w:cs="Times New Roman"/>
          <w:i/>
          <w:lang w:val="fr-CA"/>
        </w:rPr>
        <w:t xml:space="preserve"> </w:t>
      </w:r>
      <w:r w:rsidRPr="00606C27">
        <w:rPr>
          <w:rFonts w:cs="Times New Roman"/>
          <w:lang w:val="fr-CA"/>
        </w:rPr>
        <w:t>fédérale, la Cour a reconnu l’importance d’informer et de consulter les groupes autochtones visés lorsqu’il est question de mesures de conservation réglementaires : p. 1119.</w:t>
      </w:r>
    </w:p>
    <w:p w:rsidR="00E313A3" w:rsidRPr="00606C27" w:rsidRDefault="00E313A3" w:rsidP="00E313A3">
      <w:pPr>
        <w:pStyle w:val="ParaNoNdepar-AltN"/>
        <w:rPr>
          <w:rFonts w:cs="Times New Roman"/>
          <w:lang w:val="fr-CA"/>
        </w:rPr>
      </w:pPr>
      <w:r w:rsidRPr="00606C27">
        <w:rPr>
          <w:rFonts w:cs="Times New Roman"/>
          <w:lang w:val="fr-CA"/>
        </w:rPr>
        <w:t xml:space="preserve">Bien que, dans ces arrêts, la Cour se soit penchée sur la consultation pour décider si l’atteinte était justifiée, c’est le processus suivi </w:t>
      </w:r>
      <w:r w:rsidRPr="00606C27">
        <w:rPr>
          <w:rFonts w:cs="Times New Roman"/>
          <w:i/>
          <w:lang w:val="fr-CA"/>
        </w:rPr>
        <w:t>avant</w:t>
      </w:r>
      <w:r w:rsidRPr="00606C27">
        <w:rPr>
          <w:rFonts w:cs="Times New Roman"/>
          <w:lang w:val="fr-CA"/>
        </w:rPr>
        <w:t xml:space="preserve"> l’atteinte qui a engagé l’honneur de la Couronne. Ainsi, en toute logique, l’obligation qui incombe à la Couronne de consulter ne dépend pas de la conclusion qu’il y a eu atteinte, mais constitue plutôt une composante de l’obligation primordiale de la Couronne d’agir honorablement envers les peuples autochtones lorsqu’elle réglemente leurs droits. C’est exactement le raisonnement qui a mené la Cour à reconnaître l’obligation indépendante de consulter dans les arrêts de principe </w:t>
      </w:r>
      <w:r w:rsidRPr="00606C27">
        <w:rPr>
          <w:rFonts w:cs="Times New Roman"/>
          <w:i/>
          <w:lang w:val="fr-CA"/>
        </w:rPr>
        <w:t>Nation haïda</w:t>
      </w:r>
      <w:r w:rsidRPr="00606C27">
        <w:rPr>
          <w:rFonts w:cs="Times New Roman"/>
          <w:lang w:val="fr-CA"/>
        </w:rPr>
        <w:t xml:space="preserve">, </w:t>
      </w:r>
      <w:r w:rsidRPr="00606C27">
        <w:rPr>
          <w:rFonts w:cs="Times New Roman"/>
          <w:i/>
          <w:lang w:val="fr-CA"/>
        </w:rPr>
        <w:t>Taku River</w:t>
      </w:r>
      <w:r w:rsidRPr="00606C27">
        <w:rPr>
          <w:rFonts w:cs="Times New Roman"/>
          <w:lang w:val="fr-CA"/>
        </w:rPr>
        <w:t xml:space="preserve"> et </w:t>
      </w:r>
      <w:r w:rsidRPr="00606C27">
        <w:rPr>
          <w:rFonts w:cs="Times New Roman"/>
          <w:i/>
          <w:lang w:val="fr-CA"/>
        </w:rPr>
        <w:t>Première nation crie Mikisew</w:t>
      </w:r>
      <w:r w:rsidRPr="00606C27">
        <w:rPr>
          <w:rFonts w:cs="Times New Roman"/>
          <w:lang w:val="fr-CA"/>
        </w:rPr>
        <w:t>.</w:t>
      </w:r>
    </w:p>
    <w:p w:rsidR="00E313A3" w:rsidRPr="00606C27" w:rsidRDefault="00E313A3" w:rsidP="00E313A3">
      <w:pPr>
        <w:pStyle w:val="ParaNoNdepar-AltN"/>
        <w:rPr>
          <w:rFonts w:cs="Times New Roman"/>
          <w:lang w:val="fr-CA"/>
        </w:rPr>
      </w:pPr>
      <w:r w:rsidRPr="00606C27">
        <w:rPr>
          <w:rFonts w:cs="Times New Roman"/>
          <w:lang w:val="fr-CA"/>
        </w:rPr>
        <w:lastRenderedPageBreak/>
        <w:t xml:space="preserve">Dans les pourvois connexes </w:t>
      </w:r>
      <w:r w:rsidRPr="00606C27">
        <w:rPr>
          <w:rFonts w:cs="Times New Roman"/>
          <w:i/>
          <w:lang w:val="fr-CA"/>
        </w:rPr>
        <w:t>Nation haïda</w:t>
      </w:r>
      <w:r w:rsidRPr="00606C27">
        <w:rPr>
          <w:rFonts w:cs="Times New Roman"/>
          <w:lang w:val="fr-CA"/>
        </w:rPr>
        <w:t xml:space="preserve"> et </w:t>
      </w:r>
      <w:r w:rsidRPr="00606C27">
        <w:rPr>
          <w:rFonts w:cs="Times New Roman"/>
          <w:i/>
          <w:lang w:val="fr-CA"/>
        </w:rPr>
        <w:t>Taku River</w:t>
      </w:r>
      <w:r w:rsidRPr="00606C27">
        <w:rPr>
          <w:rFonts w:cs="Times New Roman"/>
          <w:lang w:val="fr-CA"/>
        </w:rPr>
        <w:t xml:space="preserve">, la juge en chef McLachlin a conclu que l’obligation légale de consulter et d’accommoder prend naissance dès lors que la Couronne a connaissance, concrètement ou par imputation, de l’existence potentielle d’un titre ou de droits ancestraux et envisage des mesures susceptibles d’avoir un effet préjudiciable sur ces droits ou ce titre : </w:t>
      </w:r>
      <w:r w:rsidRPr="00606C27">
        <w:rPr>
          <w:rFonts w:cs="Times New Roman"/>
          <w:i/>
          <w:lang w:val="fr-CA"/>
        </w:rPr>
        <w:t>Nation haïda</w:t>
      </w:r>
      <w:r w:rsidRPr="00606C27">
        <w:rPr>
          <w:rFonts w:cs="Times New Roman"/>
          <w:lang w:val="fr-CA"/>
        </w:rPr>
        <w:t xml:space="preserve">, par. 31; </w:t>
      </w:r>
      <w:r w:rsidRPr="00606C27">
        <w:rPr>
          <w:rFonts w:cs="Times New Roman"/>
          <w:i/>
          <w:lang w:val="fr-CA"/>
        </w:rPr>
        <w:t>Taku River</w:t>
      </w:r>
      <w:r w:rsidRPr="00606C27">
        <w:rPr>
          <w:rFonts w:cs="Times New Roman"/>
          <w:lang w:val="fr-CA"/>
        </w:rPr>
        <w:t>, par. 24</w:t>
      </w:r>
      <w:r w:rsidRPr="00606C27">
        <w:rPr>
          <w:rFonts w:cs="Times New Roman"/>
          <w:lang w:val="fr-CA"/>
        </w:rPr>
        <w:noBreakHyphen/>
        <w:t xml:space="preserve">25. Comme la juge en chef McLachlin l’a expliqué, l’existence de cette obligation légale de consulter le groupe intéressé, avant qu’il ait apporté la preuve de sa revendication, était nécessaire pour comprendre les décisions antérieures de la Cour dans lesquelles elle a examiné la consultation, où la confirmation du droit et celle de la justification de l’atteinte reprochée ont été débattues en même temps. L’obligation de consulter ne pouvait dépendre de l’existence d’un droit prouvé ou, par extension, de la preuve de l’atteinte. Le fait que le comportement de la Couronne adopté </w:t>
      </w:r>
      <w:r w:rsidRPr="00606C27">
        <w:rPr>
          <w:rFonts w:cs="Times New Roman"/>
          <w:i/>
          <w:lang w:val="fr-CA"/>
        </w:rPr>
        <w:t xml:space="preserve">avant </w:t>
      </w:r>
      <w:r w:rsidRPr="00606C27">
        <w:rPr>
          <w:rFonts w:cs="Times New Roman"/>
          <w:lang w:val="fr-CA"/>
        </w:rPr>
        <w:t xml:space="preserve">l’établissement du droit pouvait être examiné dans le contexte de la justification réfutait tout argument à l’effet contraire : </w:t>
      </w:r>
      <w:r w:rsidRPr="00606C27">
        <w:rPr>
          <w:rFonts w:cs="Times New Roman"/>
          <w:i/>
          <w:lang w:val="fr-CA"/>
        </w:rPr>
        <w:t>Nation haïda</w:t>
      </w:r>
      <w:r w:rsidRPr="00606C27">
        <w:rPr>
          <w:rFonts w:cs="Times New Roman"/>
          <w:lang w:val="fr-CA"/>
        </w:rPr>
        <w:t xml:space="preserve">, par. 34. </w:t>
      </w:r>
    </w:p>
    <w:p w:rsidR="00E313A3" w:rsidRPr="00606C27" w:rsidRDefault="00E313A3" w:rsidP="00E313A3">
      <w:pPr>
        <w:pStyle w:val="ParaNoNdepar-AltN"/>
        <w:rPr>
          <w:rFonts w:cs="Times New Roman"/>
          <w:lang w:val="fr-CA"/>
        </w:rPr>
      </w:pPr>
      <w:r w:rsidRPr="00606C27">
        <w:rPr>
          <w:rFonts w:cs="Times New Roman"/>
          <w:lang w:val="fr-CA"/>
        </w:rPr>
        <w:t xml:space="preserve">Alors que les arrêts </w:t>
      </w:r>
      <w:r w:rsidRPr="00606C27">
        <w:rPr>
          <w:rFonts w:cs="Times New Roman"/>
          <w:i/>
          <w:lang w:val="fr-CA"/>
        </w:rPr>
        <w:t xml:space="preserve">Nation haïda </w:t>
      </w:r>
      <w:r w:rsidRPr="00606C27">
        <w:rPr>
          <w:rFonts w:cs="Times New Roman"/>
          <w:lang w:val="fr-CA"/>
        </w:rPr>
        <w:t xml:space="preserve">et </w:t>
      </w:r>
      <w:r w:rsidRPr="00606C27">
        <w:rPr>
          <w:rFonts w:cs="Times New Roman"/>
          <w:i/>
          <w:lang w:val="fr-CA"/>
        </w:rPr>
        <w:t xml:space="preserve">Taku River </w:t>
      </w:r>
      <w:r w:rsidRPr="00606C27">
        <w:rPr>
          <w:rFonts w:cs="Times New Roman"/>
          <w:lang w:val="fr-CA"/>
        </w:rPr>
        <w:t xml:space="preserve">concernaient principalement la protection des revendications non établies durant le processus de négociation de traités, l’arrêt </w:t>
      </w:r>
      <w:r w:rsidRPr="00606C27">
        <w:rPr>
          <w:rFonts w:cs="Times New Roman"/>
          <w:i/>
          <w:lang w:val="fr-CA"/>
        </w:rPr>
        <w:t>Première nation crie Mikisew</w:t>
      </w:r>
      <w:r w:rsidRPr="00606C27">
        <w:rPr>
          <w:rFonts w:cs="Times New Roman"/>
          <w:lang w:val="fr-CA"/>
        </w:rPr>
        <w:t xml:space="preserve"> a clairement indiqué que l’obligation de consulter prend également naissance à l’égard de droits établis. Les parties avaient demandé quelles étaient les obligations de la Couronne lorsqu’elle exerce le pouvoir que lui confère le Traité n</w:t>
      </w:r>
      <w:r w:rsidRPr="00606C27">
        <w:rPr>
          <w:rFonts w:cs="Times New Roman"/>
          <w:vertAlign w:val="superscript"/>
          <w:lang w:val="fr-CA"/>
        </w:rPr>
        <w:t>o</w:t>
      </w:r>
      <w:r w:rsidRPr="00606C27">
        <w:rPr>
          <w:rFonts w:cs="Times New Roman"/>
          <w:lang w:val="fr-CA"/>
        </w:rPr>
        <w:t xml:space="preserve"> 8 de prendre des terres cédées par les Mikisew « de temps à autre ». Le juge Binnie a explicitement rejeté une approche qui conclurait que chaque « prise » effectuée subséquemment par la Couronne serait une </w:t>
      </w:r>
      <w:r w:rsidRPr="00606C27">
        <w:rPr>
          <w:rFonts w:cs="Times New Roman"/>
          <w:lang w:val="fr-CA"/>
        </w:rPr>
        <w:lastRenderedPageBreak/>
        <w:t xml:space="preserve">atteinte aux droits issus de traités des Mikisew, qui devrait être justifiée conformément au test énoncé dans l’arrêt </w:t>
      </w:r>
      <w:r w:rsidRPr="00606C27">
        <w:rPr>
          <w:rFonts w:cs="Times New Roman"/>
          <w:i/>
          <w:lang w:val="fr-CA"/>
        </w:rPr>
        <w:t>Sparrow</w:t>
      </w:r>
      <w:r w:rsidRPr="00606C27">
        <w:rPr>
          <w:rFonts w:cs="Times New Roman"/>
          <w:lang w:val="fr-CA"/>
        </w:rPr>
        <w:t> : par. 31</w:t>
      </w:r>
      <w:r w:rsidRPr="00606C27">
        <w:rPr>
          <w:rFonts w:cs="Times New Roman"/>
          <w:lang w:val="fr-CA"/>
        </w:rPr>
        <w:noBreakHyphen/>
        <w:t>32. Il a plutôt conclu que lorsque la mesure envisagée par la Couronne est susceptible d’avoir un effet préjudiciable sur ces droits issus de traités, l’obligation de consulter devient applicable : par. 34. Même si la « prise » était clairement prévue par le traité, la Couronne était tenue de gérer le processus de façon honorable : par. 31 et 33.</w:t>
      </w:r>
    </w:p>
    <w:p w:rsidR="00E313A3" w:rsidRPr="00606C27" w:rsidRDefault="00E313A3" w:rsidP="00E313A3">
      <w:pPr>
        <w:pStyle w:val="ParaNoNdepar-AltN"/>
        <w:rPr>
          <w:rFonts w:cs="Times New Roman"/>
          <w:lang w:val="fr-CA"/>
        </w:rPr>
      </w:pPr>
      <w:r w:rsidRPr="00606C27">
        <w:rPr>
          <w:rFonts w:cs="Times New Roman"/>
          <w:lang w:val="fr-CA"/>
        </w:rPr>
        <w:t xml:space="preserve">Dans cette trilogie de décisions, la Cour a confirmé que l’obligation de la Couronne de consulter et d’accommoder les groupes autochtones prend naissance indépendamment de son obligation de justifier les atteintes aux droits ancestraux et issus de traités. Dans le contexte de l’obligation de consulter, la question décisive n’est pas de savoir si l’atteinte aux droits est justifiée, mais consiste plutôt à déterminer « ce qui est nécessaire pour préserver l’honneur de la Couronne et pour concilier les intérêts de la Couronne et ceux des Autochtones » : </w:t>
      </w:r>
      <w:r w:rsidRPr="00606C27">
        <w:rPr>
          <w:rFonts w:cs="Times New Roman"/>
          <w:i/>
          <w:lang w:val="fr-CA"/>
        </w:rPr>
        <w:t>Nation haïda</w:t>
      </w:r>
      <w:r w:rsidRPr="00606C27">
        <w:rPr>
          <w:rFonts w:cs="Times New Roman"/>
          <w:lang w:val="fr-CA"/>
        </w:rPr>
        <w:t xml:space="preserve">, par. 45. En ce sens, la trilogie marque un changement en faveur de la conciliation de la souveraineté autochtone et de celle de la Couronne et contribue à percevoir l’honneur de la Couronne comme une limite à sa souveraineté dans le contexte de ses relations avec les peuples autochtones : Mark D. Walters, « The Morality of Aboriginal Law » (2006), 31 </w:t>
      </w:r>
      <w:r w:rsidRPr="00606C27">
        <w:rPr>
          <w:rFonts w:cs="Times New Roman"/>
          <w:i/>
          <w:lang w:val="fr-CA"/>
        </w:rPr>
        <w:t>Queen’s L.J.</w:t>
      </w:r>
      <w:r w:rsidRPr="00606C27">
        <w:rPr>
          <w:rFonts w:cs="Times New Roman"/>
          <w:lang w:val="fr-CA"/>
        </w:rPr>
        <w:t> 470, p. 513</w:t>
      </w:r>
      <w:r w:rsidRPr="00606C27">
        <w:rPr>
          <w:rFonts w:cs="Times New Roman"/>
          <w:lang w:val="fr-CA"/>
        </w:rPr>
        <w:noBreakHyphen/>
        <w:t>514.</w:t>
      </w:r>
    </w:p>
    <w:p w:rsidR="00E313A3" w:rsidRPr="00606C27" w:rsidRDefault="00E313A3" w:rsidP="00E313A3">
      <w:pPr>
        <w:pStyle w:val="ParaNoNdepar-AltN"/>
        <w:rPr>
          <w:rFonts w:cs="Times New Roman"/>
          <w:lang w:val="fr-CA"/>
        </w:rPr>
      </w:pPr>
      <w:r w:rsidRPr="00606C27">
        <w:rPr>
          <w:rFonts w:cs="Times New Roman"/>
          <w:lang w:val="fr-CA"/>
        </w:rPr>
        <w:t xml:space="preserve">L’arrêt </w:t>
      </w:r>
      <w:r w:rsidRPr="00606C27">
        <w:rPr>
          <w:rFonts w:cs="Times New Roman"/>
          <w:i/>
          <w:lang w:val="fr-CA"/>
        </w:rPr>
        <w:t>Nation haïda</w:t>
      </w:r>
      <w:r w:rsidRPr="00606C27">
        <w:rPr>
          <w:rFonts w:cs="Times New Roman"/>
          <w:lang w:val="fr-CA"/>
        </w:rPr>
        <w:t xml:space="preserve"> a établi un nouveau cadre juridique pour nous permettre de comprendre les obligations du gouvernement envers les peuples autochtones, articulées autour du principe de l’honneur de la Couronne : Jamie D. </w:t>
      </w:r>
      <w:r w:rsidRPr="00606C27">
        <w:rPr>
          <w:rFonts w:cs="Times New Roman"/>
          <w:lang w:val="fr-CA"/>
        </w:rPr>
        <w:lastRenderedPageBreak/>
        <w:t xml:space="preserve">Dickson, </w:t>
      </w:r>
      <w:r w:rsidRPr="00606C27">
        <w:rPr>
          <w:rFonts w:cs="Times New Roman"/>
          <w:i/>
          <w:lang w:val="fr-CA"/>
        </w:rPr>
        <w:t>The Honour and Dishonour of the Crown</w:t>
      </w:r>
      <w:r w:rsidR="00051BF0">
        <w:rPr>
          <w:rFonts w:cs="Times New Roman"/>
          <w:i/>
          <w:lang w:val="fr-CA"/>
        </w:rPr>
        <w:t> </w:t>
      </w:r>
      <w:r w:rsidRPr="00606C27">
        <w:rPr>
          <w:rFonts w:cs="Times New Roman"/>
          <w:i/>
          <w:lang w:val="fr-CA"/>
        </w:rPr>
        <w:t>: Making Sense of Aboriginal Law in Canada</w:t>
      </w:r>
      <w:r w:rsidRPr="00606C27">
        <w:rPr>
          <w:rFonts w:cs="Times New Roman"/>
          <w:lang w:val="fr-CA"/>
        </w:rPr>
        <w:t xml:space="preserve"> (2015), p. 116. Il s’agit du cadre fondamental dans lequel l’obligation de consulter, et l’obligation de justifier les atteintes, doivent désormais être interprétées. Suivant le cadre d’analyse établi par l’arrêt </w:t>
      </w:r>
      <w:r w:rsidRPr="00606C27">
        <w:rPr>
          <w:rFonts w:cs="Times New Roman"/>
          <w:i/>
          <w:lang w:val="fr-CA"/>
        </w:rPr>
        <w:t>Sparrow</w:t>
      </w:r>
      <w:r w:rsidRPr="00606C27">
        <w:rPr>
          <w:rFonts w:cs="Times New Roman"/>
          <w:lang w:val="fr-CA"/>
        </w:rPr>
        <w:t xml:space="preserve">, la mesure gouvernementale pourrait toujours être scrutée pour déterminer si elle est compatible avec l’honneur de la Couronne, y compris l’obligation de consulter, peu importe que cette mesure ait été de nature exécutive ou législative. N’étant plus limitée au contexte de la justification, l’obligation de consulter fait désormais « partie du cadre juridique essentiel » du droit des Autochtones au Canada : </w:t>
      </w:r>
      <w:r w:rsidRPr="00606C27">
        <w:rPr>
          <w:rFonts w:cs="Times New Roman"/>
          <w:i/>
          <w:lang w:val="fr-CA"/>
        </w:rPr>
        <w:t>Little Salmon/Carmacks</w:t>
      </w:r>
      <w:r w:rsidRPr="00606C27">
        <w:rPr>
          <w:rFonts w:cs="Times New Roman"/>
          <w:lang w:val="fr-CA"/>
        </w:rPr>
        <w:t xml:space="preserve">, par. 69. À l’instar de l’analyse préconisée dans </w:t>
      </w:r>
      <w:r w:rsidRPr="00606C27">
        <w:rPr>
          <w:rFonts w:cs="Times New Roman"/>
          <w:i/>
          <w:lang w:val="fr-CA"/>
        </w:rPr>
        <w:t>Sparrow</w:t>
      </w:r>
      <w:r w:rsidRPr="00606C27">
        <w:rPr>
          <w:rFonts w:cs="Times New Roman"/>
          <w:lang w:val="fr-CA"/>
        </w:rPr>
        <w:t>, la doctrine de l’obligation de consulter imprègne la sphère des mesures gouvernementales, exigeant une consultation chaque fois que ces mesures sont susceptibles d’avoir un effet préjudiciable sur les droits revendiqués ou établis protégés par l’art. 35.</w:t>
      </w:r>
    </w:p>
    <w:p w:rsidR="00E313A3" w:rsidRPr="00606C27" w:rsidRDefault="00E313A3" w:rsidP="00E313A3">
      <w:pPr>
        <w:pStyle w:val="ParaNoNdepar-AltN"/>
        <w:rPr>
          <w:rFonts w:cs="Times New Roman"/>
          <w:lang w:val="fr-CA"/>
        </w:rPr>
      </w:pPr>
      <w:r w:rsidRPr="00606C27">
        <w:rPr>
          <w:rFonts w:cs="Times New Roman"/>
          <w:lang w:val="fr-CA"/>
        </w:rPr>
        <w:t xml:space="preserve">Des pourvois subséquents ont renforcé cette interprétation élargie de l’obligation de consulter. Dans l’arrêt </w:t>
      </w:r>
      <w:r w:rsidRPr="00606C27">
        <w:rPr>
          <w:rFonts w:cs="Times New Roman"/>
          <w:i/>
          <w:lang w:val="fr-CA"/>
        </w:rPr>
        <w:t>Rio Tinto Alcan Inc. c. Conseil tribal Carrier Sekani</w:t>
      </w:r>
      <w:r w:rsidRPr="00606C27">
        <w:rPr>
          <w:rFonts w:cs="Times New Roman"/>
          <w:lang w:val="fr-CA"/>
        </w:rPr>
        <w:t xml:space="preserve">, [2010] 2 R.C.S. 650, la juge en chef McLachlin a réitéré que c’est « l’approche généreuse et téléologique » qui s’applique à l’obligation de consulter : par. 43. La « mesure gouvernementale » qui donne naissance à l’obligation n’était pas limitée à l’exercice de pouvoirs conférés par la loi. En outre, elle comprenait toute </w:t>
      </w:r>
      <w:r w:rsidR="00051BF0">
        <w:rPr>
          <w:rFonts w:cs="Times New Roman"/>
          <w:lang w:val="fr-CA"/>
        </w:rPr>
        <w:t>[</w:t>
      </w:r>
      <w:r w:rsidR="00051BF0" w:rsidRPr="00051BF0">
        <w:rPr>
          <w:rFonts w:cs="Times New Roman"/>
          <w:smallCaps/>
          <w:lang w:val="fr-CA"/>
        </w:rPr>
        <w:t>traduction</w:t>
      </w:r>
      <w:r w:rsidR="00051BF0">
        <w:rPr>
          <w:rFonts w:cs="Times New Roman"/>
          <w:lang w:val="fr-CA"/>
        </w:rPr>
        <w:t xml:space="preserve">] </w:t>
      </w:r>
      <w:r w:rsidRPr="00606C27">
        <w:rPr>
          <w:rFonts w:cs="Times New Roman"/>
          <w:lang w:val="fr-CA"/>
        </w:rPr>
        <w:t xml:space="preserve">« décision stratégique prise en haut lieu » qui était susceptible d’avoir un effet sur des droits ancestraux ou des revendications autochtones : </w:t>
      </w:r>
      <w:r w:rsidRPr="00606C27">
        <w:rPr>
          <w:rFonts w:cs="Times New Roman"/>
          <w:i/>
          <w:lang w:val="fr-CA"/>
        </w:rPr>
        <w:t>Carrier Sekani</w:t>
      </w:r>
      <w:r w:rsidRPr="00606C27">
        <w:rPr>
          <w:rFonts w:cs="Times New Roman"/>
          <w:lang w:val="fr-CA"/>
        </w:rPr>
        <w:t xml:space="preserve">, par. 44, citant Jack Woodward, </w:t>
      </w:r>
      <w:r w:rsidRPr="00606C27">
        <w:rPr>
          <w:rFonts w:cs="Times New Roman"/>
          <w:i/>
          <w:lang w:val="fr-CA"/>
        </w:rPr>
        <w:t>Native Law</w:t>
      </w:r>
      <w:r w:rsidRPr="00606C27">
        <w:rPr>
          <w:rFonts w:cs="Times New Roman"/>
          <w:lang w:val="fr-CA"/>
        </w:rPr>
        <w:t xml:space="preserve"> (feuilles mobiles), vol. 1, p. 5</w:t>
      </w:r>
      <w:r w:rsidRPr="00606C27">
        <w:rPr>
          <w:rFonts w:cs="Times New Roman"/>
          <w:lang w:val="fr-CA"/>
        </w:rPr>
        <w:noBreakHyphen/>
        <w:t xml:space="preserve">41. Comme la juge en chef </w:t>
      </w:r>
      <w:r w:rsidRPr="00606C27">
        <w:rPr>
          <w:rFonts w:cs="Times New Roman"/>
          <w:lang w:val="fr-CA"/>
        </w:rPr>
        <w:lastRenderedPageBreak/>
        <w:t xml:space="preserve">McLachlin l’a expliqué, les décisions prises en haut lieu ou les modifications structurelles apportées à la gestion des ressources peuvent ouvrir la voie à d’autres décisions qui auront un effet préjudiciable direct sur les terres et les ressources et peuvent faire en sorte que les groupes autochtones soient dépouillés en tout ou en partie de leur droit constitutionnel de voir leurs intérêts pris en considération : </w:t>
      </w:r>
      <w:r w:rsidRPr="00606C27">
        <w:rPr>
          <w:rFonts w:cs="Times New Roman"/>
          <w:i/>
          <w:lang w:val="fr-CA"/>
        </w:rPr>
        <w:t>Carrier Sekani</w:t>
      </w:r>
      <w:r w:rsidRPr="00606C27">
        <w:rPr>
          <w:rFonts w:cs="Times New Roman"/>
          <w:lang w:val="fr-CA"/>
        </w:rPr>
        <w:t xml:space="preserve">, par. 47. Il s’agit là même d’un effet préjudiciable qui suffit à déclencher l’obligation de consulter et d’accommoder reconnue par </w:t>
      </w:r>
      <w:r w:rsidRPr="00606C27">
        <w:rPr>
          <w:rFonts w:cs="Times New Roman"/>
          <w:i/>
          <w:lang w:val="fr-CA"/>
        </w:rPr>
        <w:t>Nation haïda</w:t>
      </w:r>
      <w:r w:rsidRPr="00606C27">
        <w:rPr>
          <w:rFonts w:cs="Times New Roman"/>
          <w:lang w:val="fr-CA"/>
        </w:rPr>
        <w:t>.</w:t>
      </w:r>
    </w:p>
    <w:p w:rsidR="00E313A3" w:rsidRPr="00606C27" w:rsidRDefault="00E313A3" w:rsidP="00E313A3">
      <w:pPr>
        <w:pStyle w:val="ParaNoNdepar-AltN"/>
        <w:rPr>
          <w:rFonts w:cs="Times New Roman"/>
          <w:lang w:val="fr-CA"/>
        </w:rPr>
      </w:pPr>
      <w:r w:rsidRPr="00606C27">
        <w:rPr>
          <w:rFonts w:cs="Times New Roman"/>
          <w:lang w:val="fr-CA"/>
        </w:rPr>
        <w:t xml:space="preserve">Plus récemment, dans l’arrêt </w:t>
      </w:r>
      <w:r w:rsidRPr="00606C27">
        <w:rPr>
          <w:rFonts w:cs="Times New Roman"/>
          <w:i/>
          <w:lang w:val="fr-CA"/>
        </w:rPr>
        <w:t>Clyde River (Hameau) c. Petroleum Geo</w:t>
      </w:r>
      <w:r w:rsidRPr="00606C27">
        <w:rPr>
          <w:rFonts w:cs="Times New Roman"/>
          <w:i/>
          <w:lang w:val="fr-CA"/>
        </w:rPr>
        <w:noBreakHyphen/>
        <w:t>Services Inc.</w:t>
      </w:r>
      <w:r w:rsidRPr="00606C27">
        <w:rPr>
          <w:rFonts w:cs="Times New Roman"/>
          <w:lang w:val="fr-CA"/>
        </w:rPr>
        <w:t xml:space="preserve">, [2017] 1 R.C.S. 1069, et le pourvoi connexe </w:t>
      </w:r>
      <w:r w:rsidRPr="00606C27">
        <w:rPr>
          <w:rFonts w:cs="Times New Roman"/>
          <w:i/>
          <w:lang w:val="fr-CA"/>
        </w:rPr>
        <w:t>Chippewas of the Thames First Nation c. Pipelines Enbridge Inc.</w:t>
      </w:r>
      <w:r w:rsidRPr="00606C27">
        <w:rPr>
          <w:rFonts w:cs="Times New Roman"/>
          <w:lang w:val="fr-CA"/>
        </w:rPr>
        <w:t xml:space="preserve">, [2017] 1 R.C.S. 1099, la Cour a examiné si un régime administratif, à savoir le processus d’approbation de l’Office national de l’énergie, pouvait donner naissance à l’obligation de consulter. Indiquant que l’Office est le « moyen par lequel la Couronne agit », la Cour a conclu que ses décisions constitueraient une mesure de la Couronne emportant l’obligation de consulter : </w:t>
      </w:r>
      <w:r w:rsidRPr="00606C27">
        <w:rPr>
          <w:rFonts w:cs="Times New Roman"/>
          <w:i/>
          <w:lang w:val="fr-CA"/>
        </w:rPr>
        <w:t>Clyde River</w:t>
      </w:r>
      <w:r w:rsidRPr="00606C27">
        <w:rPr>
          <w:rFonts w:cs="Times New Roman"/>
          <w:lang w:val="fr-CA"/>
        </w:rPr>
        <w:t xml:space="preserve">, par. 29; </w:t>
      </w:r>
      <w:r w:rsidRPr="00606C27">
        <w:rPr>
          <w:rFonts w:cs="Times New Roman"/>
          <w:i/>
          <w:lang w:val="fr-CA"/>
        </w:rPr>
        <w:t>Chippewas</w:t>
      </w:r>
      <w:r w:rsidRPr="00606C27">
        <w:rPr>
          <w:rFonts w:cs="Times New Roman"/>
          <w:lang w:val="fr-CA"/>
        </w:rPr>
        <w:t>, par. 29. Ainsi, la Couronne ne peut se soustraire ni à son obligation de consulter ni à l’honneur de la Couronne, en déléguant ses pouvoirs décisionnels à un tribunal établi par le Parlement.</w:t>
      </w:r>
    </w:p>
    <w:p w:rsidR="00E313A3" w:rsidRPr="00606C27" w:rsidRDefault="00E313A3" w:rsidP="00E313A3">
      <w:pPr>
        <w:pStyle w:val="ParaNoNdepar-AltN"/>
        <w:rPr>
          <w:rFonts w:cs="Times New Roman"/>
          <w:lang w:val="fr-CA"/>
        </w:rPr>
      </w:pPr>
      <w:r w:rsidRPr="00606C27">
        <w:rPr>
          <w:rFonts w:cs="Times New Roman"/>
          <w:lang w:val="fr-CA"/>
        </w:rPr>
        <w:t xml:space="preserve">Je ne vois toutefois pas cet élargissement du champ d’application de l’obligation de consulter dans le contexte administratif comme un </w:t>
      </w:r>
      <w:r w:rsidRPr="00606C27">
        <w:rPr>
          <w:rFonts w:cs="Times New Roman"/>
          <w:i/>
          <w:lang w:val="fr-CA"/>
        </w:rPr>
        <w:t>rejet</w:t>
      </w:r>
      <w:r w:rsidRPr="00606C27">
        <w:rPr>
          <w:rFonts w:cs="Times New Roman"/>
          <w:lang w:val="fr-CA"/>
        </w:rPr>
        <w:t xml:space="preserve"> de son application dans d’autres aspects des rapports du gouvernement avec les peuples autochtones, d’autant plus que la Cour s’est expressément abstenue de se prononcer sur </w:t>
      </w:r>
      <w:r w:rsidRPr="00606C27">
        <w:rPr>
          <w:rFonts w:cs="Times New Roman"/>
          <w:lang w:val="fr-CA"/>
        </w:rPr>
        <w:lastRenderedPageBreak/>
        <w:t xml:space="preserve">cette question : </w:t>
      </w:r>
      <w:r w:rsidRPr="00606C27">
        <w:rPr>
          <w:rFonts w:cs="Times New Roman"/>
          <w:i/>
          <w:lang w:val="fr-CA"/>
        </w:rPr>
        <w:t>Carrier Sekani</w:t>
      </w:r>
      <w:r w:rsidRPr="00606C27">
        <w:rPr>
          <w:rFonts w:cs="Times New Roman"/>
          <w:lang w:val="fr-CA"/>
        </w:rPr>
        <w:t xml:space="preserve">, par. 44; voir également </w:t>
      </w:r>
      <w:r w:rsidRPr="00606C27">
        <w:rPr>
          <w:rFonts w:cs="Times New Roman"/>
          <w:i/>
          <w:lang w:val="fr-CA"/>
        </w:rPr>
        <w:t>Clyde River</w:t>
      </w:r>
      <w:r w:rsidRPr="00606C27">
        <w:rPr>
          <w:rFonts w:cs="Times New Roman"/>
          <w:lang w:val="fr-CA"/>
        </w:rPr>
        <w:t xml:space="preserve">, par. 28. Dans </w:t>
      </w:r>
      <w:r w:rsidRPr="00606C27">
        <w:rPr>
          <w:rFonts w:cs="Times New Roman"/>
          <w:i/>
          <w:lang w:val="fr-CA"/>
        </w:rPr>
        <w:t>Clyde River</w:t>
      </w:r>
      <w:r w:rsidR="00051BF0">
        <w:rPr>
          <w:rFonts w:cs="Times New Roman"/>
          <w:lang w:val="fr-CA"/>
        </w:rPr>
        <w:t xml:space="preserve">, </w:t>
      </w:r>
      <w:r w:rsidRPr="00606C27">
        <w:rPr>
          <w:rFonts w:cs="Times New Roman"/>
          <w:lang w:val="fr-CA"/>
        </w:rPr>
        <w:t>par. 25, la Cour a réitéré que les mesures pertinentes prises par la Couronne devaient être définies non pas selon leur forme, mais selon les effets préjudiciables qu’elles peuvent causer :</w:t>
      </w:r>
    </w:p>
    <w:p w:rsidR="00E313A3" w:rsidRPr="00606C27" w:rsidRDefault="00E313A3" w:rsidP="00E313A3">
      <w:pPr>
        <w:pStyle w:val="Citation-AltC"/>
        <w:ind w:hanging="1166"/>
        <w:contextualSpacing w:val="0"/>
        <w:rPr>
          <w:lang w:val="fr-CA"/>
        </w:rPr>
      </w:pPr>
      <w:r w:rsidRPr="00606C27">
        <w:rPr>
          <w:lang w:val="fr-CA"/>
        </w:rPr>
        <w:tab/>
        <w:t xml:space="preserve">Les mesures de la Couronne susceptibles de donner naissance à l’obligation de consulter ne se limitent pas à l’exercice, par la Couronne ou en son nom, de la prérogative royale ou de pouvoirs conférés par la loi, et ne se limitent pas non plus aux décisions qui ont une incidence immédiate sur les terres et les ressources. </w:t>
      </w:r>
      <w:r w:rsidRPr="00606C27">
        <w:rPr>
          <w:u w:val="single"/>
          <w:lang w:val="fr-CA"/>
        </w:rPr>
        <w:t>Il faut se demander si la mesure a des effets préjudiciables, quelle qu’en soit la cause, sur des droits ancestraux ou issus de traités.</w:t>
      </w:r>
      <w:r w:rsidRPr="00606C27">
        <w:rPr>
          <w:lang w:val="fr-CA"/>
        </w:rPr>
        <w:t xml:space="preserve"> D’ailleurs, un des objectifs de la consultation consiste à cerner les effets préjudiciables, à les réduire au minimum et à y remédier si possible (</w:t>
      </w:r>
      <w:r w:rsidRPr="00606C27">
        <w:rPr>
          <w:i/>
          <w:lang w:val="fr-CA"/>
        </w:rPr>
        <w:t>Carrier Sekani</w:t>
      </w:r>
      <w:r w:rsidRPr="00606C27">
        <w:rPr>
          <w:lang w:val="fr-CA"/>
        </w:rPr>
        <w:t>, par. 45</w:t>
      </w:r>
      <w:r w:rsidRPr="00606C27">
        <w:rPr>
          <w:lang w:val="fr-CA"/>
        </w:rPr>
        <w:noBreakHyphen/>
        <w:t>46). [Je souligne.]</w:t>
      </w:r>
    </w:p>
    <w:p w:rsidR="00E313A3" w:rsidRPr="00606C27" w:rsidRDefault="00E313A3" w:rsidP="00E313A3">
      <w:pPr>
        <w:pStyle w:val="ParaNoNdepar-AltN"/>
        <w:rPr>
          <w:rFonts w:cs="Times New Roman"/>
          <w:lang w:val="fr-CA"/>
        </w:rPr>
      </w:pPr>
      <w:r w:rsidRPr="00606C27">
        <w:rPr>
          <w:rFonts w:cs="Times New Roman"/>
          <w:lang w:val="fr-CA"/>
        </w:rPr>
        <w:t>Bien que le droit régissant le contrôle judiciaire, qui s’applique à l’exercice de pouvoirs législatifs ou de la prérogative royale, soit souvent en cause dans des affaires de consultation, l’obligation de consulter elle</w:t>
      </w:r>
      <w:r w:rsidRPr="00606C27">
        <w:rPr>
          <w:rFonts w:cs="Times New Roman"/>
          <w:lang w:val="fr-CA"/>
        </w:rPr>
        <w:noBreakHyphen/>
        <w:t>même se rapporte à tout exercice des pouvoirs de la Couronne, y compris aux mesures législatives.</w:t>
      </w:r>
    </w:p>
    <w:p w:rsidR="00E313A3" w:rsidRPr="00606C27" w:rsidRDefault="00E313A3" w:rsidP="00E313A3">
      <w:pPr>
        <w:pStyle w:val="ParaNoNdepar-AltN"/>
        <w:rPr>
          <w:rFonts w:cs="Times New Roman"/>
          <w:lang w:val="fr-CA"/>
        </w:rPr>
      </w:pPr>
      <w:r w:rsidRPr="00606C27">
        <w:rPr>
          <w:rFonts w:cs="Times New Roman"/>
          <w:lang w:val="fr-CA"/>
        </w:rPr>
        <w:t xml:space="preserve">Les arrêts </w:t>
      </w:r>
      <w:r w:rsidRPr="00606C27">
        <w:rPr>
          <w:rFonts w:cs="Times New Roman"/>
          <w:i/>
          <w:lang w:val="fr-CA"/>
        </w:rPr>
        <w:t>Nation haïda</w:t>
      </w:r>
      <w:r w:rsidRPr="00606C27">
        <w:rPr>
          <w:rFonts w:cs="Times New Roman"/>
          <w:lang w:val="fr-CA"/>
        </w:rPr>
        <w:t xml:space="preserve"> et </w:t>
      </w:r>
      <w:r w:rsidRPr="00606C27">
        <w:rPr>
          <w:rFonts w:cs="Times New Roman"/>
          <w:i/>
          <w:lang w:val="fr-CA"/>
        </w:rPr>
        <w:t xml:space="preserve">Sparrow </w:t>
      </w:r>
      <w:r w:rsidRPr="00606C27">
        <w:rPr>
          <w:rFonts w:cs="Times New Roman"/>
          <w:lang w:val="fr-CA"/>
        </w:rPr>
        <w:t xml:space="preserve">fournissent des analyses distinctes non pas selon le genre de mesure gouvernementale en litige, mais selon la nature de l’intervention dans les droits garantis par l’art. 35. L’arrêt </w:t>
      </w:r>
      <w:r w:rsidRPr="00606C27">
        <w:rPr>
          <w:rFonts w:cs="Times New Roman"/>
          <w:i/>
          <w:lang w:val="fr-CA"/>
        </w:rPr>
        <w:t>Sparrow</w:t>
      </w:r>
      <w:r w:rsidRPr="00606C27">
        <w:rPr>
          <w:rFonts w:cs="Times New Roman"/>
          <w:lang w:val="fr-CA"/>
        </w:rPr>
        <w:t xml:space="preserve"> établit un cadre d’analyse pour déterminer si la mesure gouvernementale, y compris l’exercice d’un pouvoir législatif ou exécutif, constitue une atteinte aux droits protégés par l’art. 35, et si cette atteinte peut être justifiée. L’arrêt </w:t>
      </w:r>
      <w:r w:rsidRPr="00606C27">
        <w:rPr>
          <w:rFonts w:cs="Times New Roman"/>
          <w:i/>
          <w:lang w:val="fr-CA"/>
        </w:rPr>
        <w:t>Nation haïda</w:t>
      </w:r>
      <w:r w:rsidRPr="00606C27">
        <w:rPr>
          <w:rFonts w:cs="Times New Roman"/>
          <w:lang w:val="fr-CA"/>
        </w:rPr>
        <w:t xml:space="preserve">, en revanche, oblige le gouvernement à consulter lorsqu’il envisage une mesure qui est susceptible d’avoir un effet préjudiciable sur ces mêmes droits et revendications. Ensemble, ces obligations </w:t>
      </w:r>
      <w:r w:rsidRPr="00606C27">
        <w:rPr>
          <w:rFonts w:cs="Times New Roman"/>
          <w:lang w:val="fr-CA"/>
        </w:rPr>
        <w:lastRenderedPageBreak/>
        <w:t>complémentaires veillent à ce que l’honneur de la Couronne soit préservé dans l’ensemble des mesures qui font intervenir sa relation particulière avec les peuples autochtones. Le gouvernement a à la fois l’obligation de consulter et l’obligation de justifier les atteintes — aucune obligation n’enlève quoi que ce soit à l’autre, et l’existence de l’une ainsi que le manquement qui peut en découler ne dépendent pas de l’autre.</w:t>
      </w:r>
    </w:p>
    <w:p w:rsidR="00E313A3" w:rsidRPr="00606C27" w:rsidRDefault="00E313A3" w:rsidP="00E313A3">
      <w:pPr>
        <w:pStyle w:val="ParaNoNdepar-AltN"/>
        <w:rPr>
          <w:rFonts w:cs="Times New Roman"/>
          <w:lang w:val="fr-CA"/>
        </w:rPr>
      </w:pPr>
      <w:r w:rsidRPr="00606C27">
        <w:rPr>
          <w:rFonts w:cs="Times New Roman"/>
          <w:lang w:val="fr-CA"/>
        </w:rPr>
        <w:t xml:space="preserve">L’existence conjointe de ces deux obligations a été confirmée par l’arrêt </w:t>
      </w:r>
      <w:r w:rsidRPr="00606C27">
        <w:rPr>
          <w:rFonts w:cs="Times New Roman"/>
          <w:i/>
          <w:lang w:val="fr-CA"/>
        </w:rPr>
        <w:t>Nation Tsilhqot’in c. Colombie</w:t>
      </w:r>
      <w:r w:rsidRPr="00606C27">
        <w:rPr>
          <w:rFonts w:cs="Times New Roman"/>
          <w:i/>
          <w:lang w:val="fr-CA"/>
        </w:rPr>
        <w:noBreakHyphen/>
        <w:t>Britannique</w:t>
      </w:r>
      <w:r w:rsidRPr="00606C27">
        <w:rPr>
          <w:rFonts w:cs="Times New Roman"/>
          <w:lang w:val="fr-CA"/>
        </w:rPr>
        <w:t xml:space="preserve">, [2014] 2 R.C.S. 257 (la juge en chef McLachlin). Comme il y est clairement indiqué, l’obligation procédurale de consulter s’applique </w:t>
      </w:r>
      <w:r w:rsidRPr="00606C27">
        <w:rPr>
          <w:rFonts w:cs="Times New Roman"/>
          <w:i/>
          <w:lang w:val="fr-CA"/>
        </w:rPr>
        <w:t>en plus de</w:t>
      </w:r>
      <w:r w:rsidRPr="00606C27">
        <w:rPr>
          <w:rFonts w:cs="Times New Roman"/>
          <w:lang w:val="fr-CA"/>
        </w:rPr>
        <w:t xml:space="preserve"> l’obligation substantielle qui incombe au gouvernement d’agir en conformité avec les droits ancestraux et issus de traités protégés par l’art. 35 : par. 80. Pour justifier une atteinte, la Couronne doit démontrer qu’elle s’est acquittée de son obligation procédurale au moment où la mesure était envisagée, que l’atteinte poursuit un objectif impérieux et réel, et que l’avantage qu’en retire le public est proportionnel à tout effet préjudiciable de la mesure sur l’intérêt autochtone : </w:t>
      </w:r>
      <w:r w:rsidRPr="00606C27">
        <w:rPr>
          <w:rFonts w:cs="Times New Roman"/>
          <w:i/>
          <w:lang w:val="fr-CA"/>
        </w:rPr>
        <w:t>Tsilhqot’in</w:t>
      </w:r>
      <w:r w:rsidRPr="00606C27">
        <w:rPr>
          <w:rFonts w:cs="Times New Roman"/>
          <w:lang w:val="fr-CA"/>
        </w:rPr>
        <w:t>, par. 125. La même analyse s’applique, que la mesure soit de nature législative ou exécutive : par. 77 et 125.</w:t>
      </w:r>
    </w:p>
    <w:p w:rsidR="00E313A3" w:rsidRPr="00606C27" w:rsidRDefault="00E313A3" w:rsidP="00E313A3">
      <w:pPr>
        <w:pStyle w:val="ParaNoNdepar-AltN"/>
        <w:rPr>
          <w:rFonts w:cs="Times New Roman"/>
          <w:lang w:val="fr-CA"/>
        </w:rPr>
      </w:pPr>
      <w:r w:rsidRPr="00606C27">
        <w:rPr>
          <w:rFonts w:cs="Times New Roman"/>
          <w:lang w:val="fr-CA"/>
        </w:rPr>
        <w:t xml:space="preserve">Puisque le fondement même de l’obligation de consulter s’applique aussi bien en contexte exécutif qu’en contexte législatif, il ne serait pas logique d’adopter une approche analytique différente lorsqu’une mesure législative est contestée. Il est préférable de mener des consultations tout au long du processus plutôt que d’adopter </w:t>
      </w:r>
      <w:r w:rsidRPr="00606C27">
        <w:rPr>
          <w:rFonts w:cs="Times New Roman"/>
          <w:lang w:val="fr-CA"/>
        </w:rPr>
        <w:lastRenderedPageBreak/>
        <w:t xml:space="preserve">l’approche qui consisterait à contester la mesure après coup, puisque la consultation protège les droits garantis par l’art. 35 d’un préjudice irréparable et favorise la réconciliation. Plus important encore, cette façon de faire reconnaît que la sphère législative n’échappe pas au principe de l’honneur de la Couronne, qui se rattache à tout exercice de la souveraineté. Tous deux ancrés dans le principe de l’honneur de la Couronne, les cadres d’analyse établis par les arrêts </w:t>
      </w:r>
      <w:r w:rsidRPr="00606C27">
        <w:rPr>
          <w:rFonts w:cs="Times New Roman"/>
          <w:i/>
          <w:lang w:val="fr-CA"/>
        </w:rPr>
        <w:t>Nation haïda</w:t>
      </w:r>
      <w:r w:rsidRPr="00606C27">
        <w:rPr>
          <w:rFonts w:cs="Times New Roman"/>
          <w:lang w:val="fr-CA"/>
        </w:rPr>
        <w:t xml:space="preserve"> et </w:t>
      </w:r>
      <w:r w:rsidRPr="00606C27">
        <w:rPr>
          <w:rFonts w:cs="Times New Roman"/>
          <w:i/>
          <w:lang w:val="fr-CA"/>
        </w:rPr>
        <w:t>Sparrow</w:t>
      </w:r>
      <w:r w:rsidRPr="00606C27">
        <w:rPr>
          <w:rFonts w:cs="Times New Roman"/>
          <w:lang w:val="fr-CA"/>
        </w:rPr>
        <w:t xml:space="preserve"> englobent tous les champs du processus décisionnel également, exigeant une consultation dès l’existence potentielle d’effets préjudiciables et l’obligation de justifier toute atteinte qui pourrait en découler. Rétablir la situation qui existait avant l’arrêt </w:t>
      </w:r>
      <w:r w:rsidRPr="00606C27">
        <w:rPr>
          <w:rFonts w:cs="Times New Roman"/>
          <w:i/>
          <w:lang w:val="fr-CA"/>
        </w:rPr>
        <w:t>Nation haïda</w:t>
      </w:r>
      <w:r w:rsidRPr="00606C27">
        <w:rPr>
          <w:rFonts w:cs="Times New Roman"/>
          <w:lang w:val="fr-CA"/>
        </w:rPr>
        <w:t xml:space="preserve"> dans ce contexte reviendrait essentiellement à soustraire le processus législatif de l’application du principe de l’honneur de la Couronne en confondant l’obligation de consulter du gouvernement avec son obligation distincte de justifier les atteintes.</w:t>
      </w:r>
    </w:p>
    <w:p w:rsidR="00E313A3" w:rsidRPr="00606C27" w:rsidRDefault="00E313A3" w:rsidP="00E313A3">
      <w:pPr>
        <w:pStyle w:val="ParaNoNdepar-AltN"/>
        <w:rPr>
          <w:rFonts w:cs="Times New Roman"/>
          <w:lang w:val="fr-CA"/>
        </w:rPr>
      </w:pPr>
      <w:r w:rsidRPr="00606C27">
        <w:rPr>
          <w:rFonts w:cs="Times New Roman"/>
          <w:lang w:val="fr-CA"/>
        </w:rPr>
        <w:t xml:space="preserve">Approuver une telle lacune dans le principe de l’honneur de la Couronne laisserait également un vide dans le cadre d’analyse régissant l’art. 35. L’arrêt </w:t>
      </w:r>
      <w:r w:rsidRPr="00606C27">
        <w:rPr>
          <w:rFonts w:cs="Times New Roman"/>
          <w:i/>
          <w:lang w:val="fr-CA"/>
        </w:rPr>
        <w:t>Nation haïda</w:t>
      </w:r>
      <w:r w:rsidRPr="00606C27">
        <w:rPr>
          <w:rFonts w:cs="Times New Roman"/>
          <w:lang w:val="fr-CA"/>
        </w:rPr>
        <w:t xml:space="preserve"> donne ouverture à des mesures de consultation après l’atteinte d’un seuil réduit, en fonction de l’existence potentielle d’effets préjudiciables sur un droit revendiqué ou établi. Si les décisions législatives étaient uniquement assujetties au cadre d’analyse énoncé dans l’arrêt </w:t>
      </w:r>
      <w:r w:rsidRPr="00606C27">
        <w:rPr>
          <w:rFonts w:cs="Times New Roman"/>
          <w:i/>
          <w:lang w:val="fr-CA"/>
        </w:rPr>
        <w:t>Sparrow</w:t>
      </w:r>
      <w:r w:rsidRPr="00606C27">
        <w:rPr>
          <w:rFonts w:cs="Times New Roman"/>
          <w:lang w:val="fr-CA"/>
        </w:rPr>
        <w:t xml:space="preserve">, les groupes autochtones ayant des droits établis seraient tenus de satisfaire au critère d’atteinte le plus sévère pour exercer leurs droits d’être consultés, et ceux dont les revendications ne sont pas établies seraient totalement exclus. Les effets préjudiciables qui ne s’élèveraient pas au rang d’atteinte </w:t>
      </w:r>
      <w:r w:rsidRPr="00606C27">
        <w:rPr>
          <w:rFonts w:cs="Times New Roman"/>
          <w:i/>
          <w:lang w:val="fr-CA"/>
        </w:rPr>
        <w:t>prima facie</w:t>
      </w:r>
      <w:r w:rsidRPr="00606C27">
        <w:rPr>
          <w:rFonts w:cs="Times New Roman"/>
          <w:lang w:val="fr-CA"/>
        </w:rPr>
        <w:t xml:space="preserve"> ne pourraient être redressés, laissant les titulaires de droits ancestraux vulnérables aux </w:t>
      </w:r>
      <w:r w:rsidRPr="00606C27">
        <w:rPr>
          <w:rFonts w:cs="Times New Roman"/>
          <w:lang w:val="fr-CA"/>
        </w:rPr>
        <w:lastRenderedPageBreak/>
        <w:t>mêmes objectifs gouvernementaux réalisés grâce à des mesures législatives plutôt qu’exécutives.</w:t>
      </w:r>
    </w:p>
    <w:p w:rsidR="00E313A3" w:rsidRPr="00606C27" w:rsidRDefault="00E313A3" w:rsidP="00E313A3">
      <w:pPr>
        <w:pStyle w:val="ParaNoNdepar-AltN"/>
        <w:rPr>
          <w:rFonts w:cs="Times New Roman"/>
          <w:lang w:val="fr-CA"/>
        </w:rPr>
      </w:pPr>
      <w:r w:rsidRPr="00606C27">
        <w:rPr>
          <w:rFonts w:cs="Times New Roman"/>
          <w:lang w:val="fr-CA"/>
        </w:rPr>
        <w:t xml:space="preserve">Ce résultat serait contraire à l’esprit de l’arrêt </w:t>
      </w:r>
      <w:r w:rsidRPr="00606C27">
        <w:rPr>
          <w:rFonts w:cs="Times New Roman"/>
          <w:i/>
          <w:lang w:val="fr-CA"/>
        </w:rPr>
        <w:t>Nation haïda</w:t>
      </w:r>
      <w:r w:rsidRPr="00606C27">
        <w:rPr>
          <w:rFonts w:cs="Times New Roman"/>
          <w:lang w:val="fr-CA"/>
        </w:rPr>
        <w:t xml:space="preserve"> de la Cour et cadrerait difficilement avec l’approche adoptée dans l’arrêt </w:t>
      </w:r>
      <w:r w:rsidRPr="00606C27">
        <w:rPr>
          <w:rFonts w:cs="Times New Roman"/>
          <w:i/>
          <w:lang w:val="fr-CA"/>
        </w:rPr>
        <w:t>Première nation crie Mikisew</w:t>
      </w:r>
      <w:r w:rsidRPr="00606C27">
        <w:rPr>
          <w:rFonts w:cs="Times New Roman"/>
          <w:lang w:val="fr-CA"/>
        </w:rPr>
        <w:t>. Lorsque le gouvernement prend des terres en application du Traité n</w:t>
      </w:r>
      <w:r w:rsidRPr="00606C27">
        <w:rPr>
          <w:rFonts w:cs="Times New Roman"/>
          <w:vertAlign w:val="superscript"/>
          <w:lang w:val="fr-CA"/>
        </w:rPr>
        <w:t>o</w:t>
      </w:r>
      <w:r w:rsidRPr="00606C27">
        <w:rPr>
          <w:rFonts w:cs="Times New Roman"/>
          <w:lang w:val="fr-CA"/>
        </w:rPr>
        <w:t xml:space="preserve"> 8, il ne convient pas de passer directement à une analyse fondée sur l’arrêt </w:t>
      </w:r>
      <w:r w:rsidRPr="00606C27">
        <w:rPr>
          <w:rFonts w:cs="Times New Roman"/>
          <w:i/>
          <w:lang w:val="fr-CA"/>
        </w:rPr>
        <w:t>Sparrow</w:t>
      </w:r>
      <w:r w:rsidRPr="00606C27">
        <w:rPr>
          <w:rFonts w:cs="Times New Roman"/>
          <w:lang w:val="fr-CA"/>
        </w:rPr>
        <w:t xml:space="preserve">; le tribunal doit d’abord examiner si le processus était compatible avec l’honneur de la Couronne : </w:t>
      </w:r>
      <w:r w:rsidRPr="00606C27">
        <w:rPr>
          <w:rFonts w:cs="Times New Roman"/>
          <w:i/>
          <w:lang w:val="fr-CA"/>
        </w:rPr>
        <w:t>Première nation crie Mikisew</w:t>
      </w:r>
      <w:r w:rsidRPr="00606C27">
        <w:rPr>
          <w:rFonts w:cs="Times New Roman"/>
          <w:lang w:val="fr-CA"/>
        </w:rPr>
        <w:t>, par. 57 et 59. Une mesure qui aurait un effet préjudiciable sur les droits de chasse, de pêche et de piégeage garantis aux Mikisew déclencherait l’obligation de consulter, peu importe qu’il y ait eu atteinte ou pas : par. 34. La prémisse qui sous</w:t>
      </w:r>
      <w:r w:rsidRPr="00606C27">
        <w:rPr>
          <w:rFonts w:cs="Times New Roman"/>
          <w:lang w:val="fr-CA"/>
        </w:rPr>
        <w:noBreakHyphen/>
        <w:t xml:space="preserve">tend la décision dans </w:t>
      </w:r>
      <w:r w:rsidRPr="00606C27">
        <w:rPr>
          <w:rFonts w:cs="Times New Roman"/>
          <w:i/>
          <w:lang w:val="fr-CA"/>
        </w:rPr>
        <w:t>Première nation crie Mikisew</w:t>
      </w:r>
      <w:r w:rsidRPr="00606C27">
        <w:rPr>
          <w:rFonts w:cs="Times New Roman"/>
          <w:lang w:val="fr-CA"/>
        </w:rPr>
        <w:t xml:space="preserve"> serait contrecarrée si la même mesure pouvait être exécutée au moyen d’une loi sans consultation. Fait à noter, bien que l’arrêt </w:t>
      </w:r>
      <w:r w:rsidRPr="00606C27">
        <w:rPr>
          <w:rFonts w:cs="Times New Roman"/>
          <w:i/>
          <w:lang w:val="fr-CA"/>
        </w:rPr>
        <w:t xml:space="preserve">Première nation crie Mikisew </w:t>
      </w:r>
      <w:r w:rsidRPr="00606C27">
        <w:rPr>
          <w:rFonts w:cs="Times New Roman"/>
          <w:lang w:val="fr-CA"/>
        </w:rPr>
        <w:t>portait sur la disposition régissant la « prise », le Traité n</w:t>
      </w:r>
      <w:r w:rsidRPr="00606C27">
        <w:rPr>
          <w:rFonts w:cs="Times New Roman"/>
          <w:vertAlign w:val="superscript"/>
          <w:lang w:val="fr-CA"/>
        </w:rPr>
        <w:t>o</w:t>
      </w:r>
      <w:r w:rsidRPr="00606C27">
        <w:rPr>
          <w:rFonts w:cs="Times New Roman"/>
          <w:lang w:val="fr-CA"/>
        </w:rPr>
        <w:t xml:space="preserve"> 8 assujettit de la même façon les droits issus de traités des Mikisew à </w:t>
      </w:r>
      <w:r w:rsidR="000A7C3C">
        <w:rPr>
          <w:rFonts w:cs="Times New Roman"/>
          <w:lang w:val="fr-CA"/>
        </w:rPr>
        <w:t>[</w:t>
      </w:r>
      <w:r w:rsidR="000A7C3C" w:rsidRPr="000A7C3C">
        <w:rPr>
          <w:rFonts w:cs="Times New Roman"/>
          <w:smallCaps/>
          <w:lang w:val="fr-CA"/>
        </w:rPr>
        <w:t>traduction</w:t>
      </w:r>
      <w:r w:rsidR="000A7C3C">
        <w:rPr>
          <w:rFonts w:cs="Times New Roman"/>
          <w:lang w:val="fr-CA"/>
        </w:rPr>
        <w:t xml:space="preserve">] </w:t>
      </w:r>
      <w:r w:rsidRPr="00606C27">
        <w:rPr>
          <w:rFonts w:cs="Times New Roman"/>
          <w:lang w:val="fr-CA"/>
        </w:rPr>
        <w:t>« tels règlements qui pourront être faits de temps à autre par le gouvernement du pays agissant au nom de Sa Majesté ». Ce processus doit également être exécuté avec honneur.</w:t>
      </w:r>
    </w:p>
    <w:p w:rsidR="00E313A3" w:rsidRPr="00606C27" w:rsidRDefault="00E313A3" w:rsidP="00E313A3">
      <w:pPr>
        <w:pStyle w:val="ParaNoNdepar-AltN"/>
        <w:rPr>
          <w:rFonts w:cs="Times New Roman"/>
          <w:lang w:val="fr-CA"/>
        </w:rPr>
      </w:pPr>
      <w:r w:rsidRPr="00606C27">
        <w:rPr>
          <w:rFonts w:cs="Times New Roman"/>
          <w:lang w:val="fr-CA"/>
        </w:rPr>
        <w:t xml:space="preserve">Comme le révèle la présente analyse, il n’existe aucune justification, sur les plans tant doctrinal que conceptuel, qui exclurait l’obligation de consulter dans le contexte législatif. Le présent appel invite toutefois la Cour à examiner si et comment les principes de la souveraineté parlementaire et du privilège parlementaire restreignent </w:t>
      </w:r>
      <w:r w:rsidRPr="00606C27">
        <w:rPr>
          <w:rFonts w:cs="Times New Roman"/>
          <w:lang w:val="fr-CA"/>
        </w:rPr>
        <w:lastRenderedPageBreak/>
        <w:t xml:space="preserve">le pouvoir des cours de justice de faire respecter l’obligation de consulter lorsqu’elle est appliquée à la prise de mesures législatives. </w:t>
      </w:r>
    </w:p>
    <w:p w:rsidR="00E313A3" w:rsidRPr="00606C27" w:rsidRDefault="00E313A3" w:rsidP="00E313A3">
      <w:pPr>
        <w:pStyle w:val="ParaNoNdepar-AltN"/>
        <w:rPr>
          <w:rFonts w:cs="Times New Roman"/>
          <w:lang w:val="fr-CA"/>
        </w:rPr>
      </w:pPr>
      <w:r w:rsidRPr="00606C27">
        <w:rPr>
          <w:rFonts w:cs="Times New Roman"/>
          <w:lang w:val="fr-CA"/>
        </w:rPr>
        <w:t xml:space="preserve">La souveraineté parlementaire fait appel au concept selon lequel le Parlement détient le pouvoir d’adopter et d’abroger quelque loi que ce soit : Peter W. Hogg, </w:t>
      </w:r>
      <w:r w:rsidRPr="00606C27">
        <w:rPr>
          <w:rFonts w:cs="Times New Roman"/>
          <w:i/>
          <w:lang w:val="fr-CA"/>
        </w:rPr>
        <w:t>Constitutional Law of Canada</w:t>
      </w:r>
      <w:r w:rsidRPr="00606C27">
        <w:rPr>
          <w:rFonts w:cs="Times New Roman"/>
          <w:lang w:val="fr-CA"/>
        </w:rPr>
        <w:t xml:space="preserve"> (5</w:t>
      </w:r>
      <w:r w:rsidRPr="00606C27">
        <w:rPr>
          <w:rFonts w:cs="Times New Roman"/>
          <w:vertAlign w:val="superscript"/>
          <w:lang w:val="fr-CA"/>
        </w:rPr>
        <w:t>e</w:t>
      </w:r>
      <w:r w:rsidR="000A7C3C">
        <w:rPr>
          <w:rFonts w:cs="Times New Roman"/>
          <w:lang w:val="fr-CA"/>
        </w:rPr>
        <w:t xml:space="preserve"> éd. s</w:t>
      </w:r>
      <w:r w:rsidRPr="00606C27">
        <w:rPr>
          <w:rFonts w:cs="Times New Roman"/>
          <w:lang w:val="fr-CA"/>
        </w:rPr>
        <w:t>upp</w:t>
      </w:r>
      <w:r w:rsidR="000A7C3C">
        <w:rPr>
          <w:rFonts w:cs="Times New Roman"/>
          <w:lang w:val="fr-CA"/>
        </w:rPr>
        <w:t>l</w:t>
      </w:r>
      <w:r w:rsidRPr="00606C27">
        <w:rPr>
          <w:rFonts w:cs="Times New Roman"/>
          <w:lang w:val="fr-CA"/>
        </w:rPr>
        <w:t>.), p. 12</w:t>
      </w:r>
      <w:r w:rsidRPr="00606C27">
        <w:rPr>
          <w:rFonts w:cs="Times New Roman"/>
          <w:lang w:val="fr-CA"/>
        </w:rPr>
        <w:noBreakHyphen/>
        <w:t>1. Le privilège ou l’immunité parlementaire décrit l’ensemble des pouvoirs et privilèges dont jouissent les chambres du Parlement fédéral et les assemblées législatives provinciales qui sont nécessaires pour qu’elles puissent fonctionner comme entités législatives : Hogg, p. 1</w:t>
      </w:r>
      <w:r w:rsidRPr="00606C27">
        <w:rPr>
          <w:rFonts w:cs="Times New Roman"/>
          <w:lang w:val="fr-CA"/>
        </w:rPr>
        <w:noBreakHyphen/>
        <w:t xml:space="preserve">13. </w:t>
      </w:r>
    </w:p>
    <w:p w:rsidR="00E313A3" w:rsidRPr="00606C27" w:rsidRDefault="00E313A3" w:rsidP="00E313A3">
      <w:pPr>
        <w:pStyle w:val="ParaNoNdepar-AltN"/>
        <w:rPr>
          <w:rFonts w:cs="Times New Roman"/>
          <w:lang w:val="fr-CA"/>
        </w:rPr>
      </w:pPr>
      <w:r w:rsidRPr="00606C27">
        <w:rPr>
          <w:rFonts w:cs="Times New Roman"/>
          <w:lang w:val="fr-CA"/>
        </w:rPr>
        <w:t xml:space="preserve">Je ne partage pas l’opinion de mes collègues selon laquelle la séparation des pouvoirs et le privilège parlementaire immunisent nécessairement le processus législatif contre le contrôle judiciaire qui viserait à évaluer s’il y a eu une consultation adéquate des peuples autochtones. L’obligation du gouvernement de consulter lorsqu’il édicte des lois qui réglementent des droits ancestraux est considérée comme une question que les tribunaux sont appelés à faire respecter depuis que la Cour, dans l’arrêt </w:t>
      </w:r>
      <w:r w:rsidRPr="00606C27">
        <w:rPr>
          <w:rFonts w:cs="Times New Roman"/>
          <w:i/>
          <w:lang w:val="fr-CA"/>
        </w:rPr>
        <w:t>Sparrow</w:t>
      </w:r>
      <w:r w:rsidRPr="00606C27">
        <w:rPr>
          <w:rFonts w:cs="Times New Roman"/>
          <w:lang w:val="fr-CA"/>
        </w:rPr>
        <w:t xml:space="preserve">, a reconnu pour la première fois que la consultation est un indicateur pertinent de la justification. À mon avis, il est difficile de voir comment le fait d’évaluer la consultation dans le cadre de l’analyse de la justification préconisée par l’arrêt </w:t>
      </w:r>
      <w:r w:rsidRPr="00606C27">
        <w:rPr>
          <w:rFonts w:cs="Times New Roman"/>
          <w:i/>
          <w:lang w:val="fr-CA"/>
        </w:rPr>
        <w:t xml:space="preserve">Sparrow </w:t>
      </w:r>
      <w:r w:rsidRPr="00606C27">
        <w:rPr>
          <w:rFonts w:cs="Times New Roman"/>
          <w:lang w:val="fr-CA"/>
        </w:rPr>
        <w:t xml:space="preserve">ne contreviendrait pas de la même façon à ces principes. Je ne vois en outre pas comment ces principes compromettraient l’application de l’obligation de consulter consacrée à l’art. 35, mais pas les dispositions des traités modernes mis en œuvre par </w:t>
      </w:r>
      <w:r w:rsidRPr="00606C27">
        <w:rPr>
          <w:rFonts w:cs="Times New Roman"/>
          <w:lang w:val="fr-CA"/>
        </w:rPr>
        <w:lastRenderedPageBreak/>
        <w:t>une loi qui prévoit que la Couronne doit consulter les Premières Nations lorsqu’elle élabore et modifie des lois</w:t>
      </w:r>
      <w:r w:rsidRPr="00606C27">
        <w:rPr>
          <w:rStyle w:val="Hyperlink"/>
          <w:vertAlign w:val="superscript"/>
        </w:rPr>
        <w:footnoteReference w:id="1"/>
      </w:r>
      <w:r w:rsidRPr="00606C27">
        <w:rPr>
          <w:rFonts w:cs="Times New Roman"/>
          <w:lang w:val="fr-CA"/>
        </w:rPr>
        <w:t>.</w:t>
      </w:r>
    </w:p>
    <w:p w:rsidR="00E313A3" w:rsidRPr="00606C27" w:rsidRDefault="00E313A3" w:rsidP="00E313A3">
      <w:pPr>
        <w:pStyle w:val="ParaNoNdepar-AltN"/>
        <w:rPr>
          <w:rFonts w:cs="Times New Roman"/>
          <w:lang w:val="fr-CA"/>
        </w:rPr>
      </w:pPr>
      <w:r w:rsidRPr="00606C27">
        <w:rPr>
          <w:rFonts w:cs="Times New Roman"/>
          <w:lang w:val="fr-CA"/>
        </w:rPr>
        <w:t xml:space="preserve">Il me semble que les questions soulevées par le présent appel exigent que la Cour concilie la protection du processus législatif de l’interférence des tribunaux et celle des droits des Autochtones du processus législatif, plutôt que de choisir entre elles. Comme l’expliquent mes collègues, les concepts de souveraineté et de privilège parlementaires sont fondamentaux pour assurer que la branche législative du gouvernement est en mesure de s’acquitter de son travail sans interférence indue : </w:t>
      </w:r>
      <w:r w:rsidRPr="00606C27">
        <w:rPr>
          <w:rFonts w:cs="Times New Roman"/>
          <w:i/>
          <w:lang w:val="fr-CA"/>
        </w:rPr>
        <w:t>Ontario c. Criminal Lawyers’ Association of Ontario</w:t>
      </w:r>
      <w:r w:rsidRPr="00606C27">
        <w:rPr>
          <w:rFonts w:cs="Times New Roman"/>
          <w:lang w:val="fr-CA"/>
        </w:rPr>
        <w:t>, [2013] 3 R.C.S. 3, par. 28</w:t>
      </w:r>
      <w:r w:rsidRPr="00606C27">
        <w:rPr>
          <w:rFonts w:cs="Times New Roman"/>
          <w:lang w:val="fr-CA"/>
        </w:rPr>
        <w:noBreakHyphen/>
        <w:t xml:space="preserve">29; </w:t>
      </w:r>
      <w:r w:rsidRPr="00606C27">
        <w:rPr>
          <w:rFonts w:cs="Times New Roman"/>
          <w:i/>
          <w:lang w:val="fr-CA"/>
        </w:rPr>
        <w:t>Canada (Chambre des communes) c. Vaid</w:t>
      </w:r>
      <w:r w:rsidRPr="00606C27">
        <w:rPr>
          <w:rFonts w:cs="Times New Roman"/>
          <w:lang w:val="fr-CA"/>
        </w:rPr>
        <w:t xml:space="preserve">, [2005] 1 R.C.S. 667, par. 41; </w:t>
      </w:r>
      <w:r w:rsidRPr="00606C27">
        <w:rPr>
          <w:rFonts w:cs="Times New Roman"/>
          <w:i/>
          <w:lang w:val="fr-CA"/>
        </w:rPr>
        <w:t>New Brunswick Broadcasting Co. c. Nouvelle</w:t>
      </w:r>
      <w:r w:rsidRPr="00606C27">
        <w:rPr>
          <w:rFonts w:cs="Times New Roman"/>
          <w:i/>
          <w:lang w:val="fr-CA"/>
        </w:rPr>
        <w:noBreakHyphen/>
        <w:t>Écosse (Président de l’Assemblée législative)</w:t>
      </w:r>
      <w:r w:rsidRPr="00606C27">
        <w:rPr>
          <w:rFonts w:cs="Times New Roman"/>
          <w:lang w:val="fr-CA"/>
        </w:rPr>
        <w:t xml:space="preserve">, [1993] 1 R.C.S. 319, p. 389. Ces concepts ne peuvent toutefois pas supplanter le principe de l’honneur de la Couronne. La jurisprudence indique clairement que le droit des groupes autochtones d’être consultés quant aux décisions susceptibles d’avoir un effet préjudiciable sur leurs intérêts n’est pas simplement politique. Il s’agit d’un droit juridique ayant force constitutionnelle : </w:t>
      </w:r>
      <w:r w:rsidRPr="00606C27">
        <w:rPr>
          <w:rFonts w:cs="Times New Roman"/>
          <w:i/>
          <w:lang w:val="fr-CA"/>
        </w:rPr>
        <w:t>Nation haïda</w:t>
      </w:r>
      <w:r w:rsidRPr="00606C27">
        <w:rPr>
          <w:rFonts w:cs="Times New Roman"/>
          <w:lang w:val="fr-CA"/>
        </w:rPr>
        <w:t xml:space="preserve">, par. 10 et 34; </w:t>
      </w:r>
      <w:r w:rsidRPr="00606C27">
        <w:rPr>
          <w:rFonts w:cs="Times New Roman"/>
          <w:i/>
          <w:lang w:val="fr-CA"/>
        </w:rPr>
        <w:t>Sparrow</w:t>
      </w:r>
      <w:r w:rsidRPr="00606C27">
        <w:rPr>
          <w:rFonts w:cs="Times New Roman"/>
          <w:lang w:val="fr-CA"/>
        </w:rPr>
        <w:t>, p. 1103</w:t>
      </w:r>
      <w:r w:rsidRPr="00606C27">
        <w:rPr>
          <w:rFonts w:cs="Times New Roman"/>
          <w:lang w:val="fr-CA"/>
        </w:rPr>
        <w:noBreakHyphen/>
        <w:t xml:space="preserve">1104. Je ne saurais accepter une approche qui remplace un droit juridique exécutoire d’être consulté par le droit vague et non exécutoire à ce que le gouvernement « se conduise honorablement ». L’obligation de consulter n’est pas une </w:t>
      </w:r>
      <w:r w:rsidRPr="00606C27">
        <w:rPr>
          <w:rFonts w:cs="Times New Roman"/>
          <w:i/>
          <w:lang w:val="fr-CA"/>
        </w:rPr>
        <w:t>suggestion</w:t>
      </w:r>
      <w:r w:rsidRPr="00606C27">
        <w:rPr>
          <w:rFonts w:cs="Times New Roman"/>
          <w:lang w:val="fr-CA"/>
        </w:rPr>
        <w:t xml:space="preserve"> de consulter, il s’agit d’une obligation, tout comme l’honneur de la </w:t>
      </w:r>
      <w:r w:rsidRPr="00606C27">
        <w:rPr>
          <w:rFonts w:cs="Times New Roman"/>
          <w:lang w:val="fr-CA"/>
        </w:rPr>
        <w:lastRenderedPageBreak/>
        <w:t xml:space="preserve">Couronne n’est pas simplement une « belle formule » ou un objectif ambitieux : </w:t>
      </w:r>
      <w:r w:rsidRPr="00606C27">
        <w:rPr>
          <w:rFonts w:cs="Times New Roman"/>
          <w:i/>
          <w:lang w:val="fr-CA"/>
        </w:rPr>
        <w:t>Nation haïda</w:t>
      </w:r>
      <w:r w:rsidRPr="00606C27">
        <w:rPr>
          <w:rFonts w:cs="Times New Roman"/>
          <w:lang w:val="fr-CA"/>
        </w:rPr>
        <w:t xml:space="preserve">, par. 16. </w:t>
      </w:r>
    </w:p>
    <w:p w:rsidR="00E313A3" w:rsidRPr="00606C27" w:rsidRDefault="00E313A3" w:rsidP="00E313A3">
      <w:pPr>
        <w:pStyle w:val="ParaNoNdepar-AltN"/>
        <w:rPr>
          <w:rFonts w:cs="Times New Roman"/>
          <w:lang w:val="fr-CA"/>
        </w:rPr>
      </w:pPr>
      <w:r w:rsidRPr="00606C27">
        <w:rPr>
          <w:rFonts w:cs="Times New Roman"/>
          <w:lang w:val="fr-CA"/>
        </w:rPr>
        <w:t xml:space="preserve">Il ne fait aucun doute que l’honneur de la Couronne et l’obligation correspondante de consulter peuvent avoir une incidence sur le processus législatif. Cela est toutefois inévitable si l’on veut prendre au sérieux la garantie prévue à l’art. 35. La nécessité d’ajuster le processus législatif ne peut justifier l’effacement des droits garantis par la Constitution. En effet, il ne servirait à rien d’avoir une constitution si les assemblées législatives pouvaient procéder comme si elle n’existait pas lorsque c’est opportun. </w:t>
      </w:r>
    </w:p>
    <w:p w:rsidR="00E313A3" w:rsidRPr="00606C27" w:rsidRDefault="00E313A3" w:rsidP="00E313A3">
      <w:pPr>
        <w:pStyle w:val="ParaNoNdepar-AltN"/>
        <w:rPr>
          <w:rFonts w:cs="Times New Roman"/>
          <w:lang w:val="fr-CA"/>
        </w:rPr>
      </w:pPr>
      <w:r w:rsidRPr="00606C27">
        <w:rPr>
          <w:rFonts w:cs="Times New Roman"/>
          <w:lang w:val="fr-CA"/>
        </w:rPr>
        <w:t xml:space="preserve">Dans l’arrêt </w:t>
      </w:r>
      <w:r w:rsidRPr="00606C27">
        <w:rPr>
          <w:rFonts w:cs="Times New Roman"/>
          <w:i/>
          <w:lang w:val="fr-CA"/>
        </w:rPr>
        <w:t>Sparrow</w:t>
      </w:r>
      <w:r w:rsidRPr="00606C27">
        <w:rPr>
          <w:rFonts w:cs="Times New Roman"/>
          <w:lang w:val="fr-CA"/>
        </w:rPr>
        <w:t xml:space="preserve">, la Cour a jugé impossible de concevoir l’art. 35 comme </w:t>
      </w:r>
      <w:r w:rsidRPr="00606C27">
        <w:rPr>
          <w:rFonts w:cs="Times New Roman"/>
          <w:i/>
          <w:lang w:val="fr-CA"/>
        </w:rPr>
        <w:t xml:space="preserve">autre </w:t>
      </w:r>
      <w:r w:rsidRPr="00606C27">
        <w:rPr>
          <w:rFonts w:cs="Times New Roman"/>
          <w:lang w:val="fr-CA"/>
        </w:rPr>
        <w:t xml:space="preserve">chose </w:t>
      </w:r>
      <w:r w:rsidRPr="00606C27">
        <w:rPr>
          <w:rFonts w:cs="Times New Roman"/>
          <w:i/>
          <w:lang w:val="fr-CA"/>
        </w:rPr>
        <w:t>qu’</w:t>
      </w:r>
      <w:r w:rsidRPr="00606C27">
        <w:rPr>
          <w:rFonts w:cs="Times New Roman"/>
          <w:lang w:val="fr-CA"/>
        </w:rPr>
        <w:t xml:space="preserve">une limite constitutionnelle à l’exercice de la souveraineté parlementaire : p. 1109. Il me semble plutôt ironique que le principe de la souveraineté parlementaire soit désormais utilisé comme bouclier pour </w:t>
      </w:r>
      <w:r w:rsidRPr="00606C27">
        <w:rPr>
          <w:rFonts w:cs="Times New Roman"/>
          <w:i/>
          <w:lang w:val="fr-CA"/>
        </w:rPr>
        <w:t>bloquer</w:t>
      </w:r>
      <w:r w:rsidRPr="00606C27">
        <w:rPr>
          <w:rFonts w:cs="Times New Roman"/>
          <w:lang w:val="fr-CA"/>
        </w:rPr>
        <w:t xml:space="preserve"> la revendication des Mikisew de leur droit d’être consultés. À mon avis, une telle approche ranime l’esprit heureusement réprimé de la décision </w:t>
      </w:r>
      <w:r w:rsidRPr="00606C27">
        <w:rPr>
          <w:rFonts w:cs="Times New Roman"/>
          <w:i/>
          <w:lang w:val="fr-CA"/>
        </w:rPr>
        <w:t xml:space="preserve">St. Catherine’s Milling et Lumber Co. c. The Queen </w:t>
      </w:r>
      <w:r w:rsidRPr="00606C27">
        <w:rPr>
          <w:rFonts w:cs="Times New Roman"/>
          <w:lang w:val="fr-CA"/>
        </w:rPr>
        <w:t>(1888), 14 App. Cas. 46 (C.P.), dans laquelle les droits ancestraux [</w:t>
      </w:r>
      <w:r w:rsidRPr="00606C27">
        <w:rPr>
          <w:rFonts w:cs="Times New Roman"/>
          <w:smallCaps/>
          <w:lang w:val="fr-CA"/>
        </w:rPr>
        <w:t>traduction</w:t>
      </w:r>
      <w:r w:rsidRPr="00606C27">
        <w:rPr>
          <w:rFonts w:cs="Times New Roman"/>
          <w:lang w:val="fr-CA"/>
        </w:rPr>
        <w:t xml:space="preserve">] « dépendaient du bon vouloir du souverain » : p. 54. </w:t>
      </w:r>
    </w:p>
    <w:p w:rsidR="00E313A3" w:rsidRPr="00606C27" w:rsidRDefault="00E313A3" w:rsidP="00E313A3">
      <w:pPr>
        <w:pStyle w:val="ParaNoNdepar-AltN"/>
        <w:rPr>
          <w:rFonts w:cs="Times New Roman"/>
          <w:lang w:val="fr-CA"/>
        </w:rPr>
      </w:pPr>
      <w:r w:rsidRPr="00606C27">
        <w:rPr>
          <w:rFonts w:cs="Times New Roman"/>
          <w:lang w:val="fr-CA"/>
        </w:rPr>
        <w:t xml:space="preserve">Le fait que ces droits ont une incidence politique n’enlève rien à leur force exécutoire en droit. Cela met plutôt en relief leur rôle essentiel pour concilier la souveraineté autochtone et celle de la Couronne. Suivant notre Constitution, il incombe aux pouvoirs exécutif et législatif, ainsi qu’aux dirigeants autochtones, de collaborer et </w:t>
      </w:r>
      <w:r w:rsidRPr="00606C27">
        <w:rPr>
          <w:rFonts w:cs="Times New Roman"/>
          <w:lang w:val="fr-CA"/>
        </w:rPr>
        <w:lastRenderedPageBreak/>
        <w:t>de concilier les revendications opposées et les griefs historiques : Dickson, p. 146. Il s’agit de ce qu’on a appelé l’ordre constitutionnel génératif, qui [</w:t>
      </w:r>
      <w:r w:rsidRPr="00606C27">
        <w:rPr>
          <w:rFonts w:cs="Times New Roman"/>
          <w:smallCaps/>
          <w:lang w:val="fr-CA"/>
        </w:rPr>
        <w:t>traduction</w:t>
      </w:r>
      <w:r w:rsidRPr="00606C27">
        <w:rPr>
          <w:rFonts w:cs="Times New Roman"/>
          <w:lang w:val="fr-CA"/>
        </w:rPr>
        <w:t xml:space="preserve">] « requiert que la Couronne négocie avec les peuples autochtones pour que leurs droits soient reconnus dans leur état actuel, qui met en balance leurs besoins, d’une part, et les intérêts de la société en général, d’autre part » : Brian Slattery, « Aboriginal Rights and the Honour of the Crown » (2005), 29 </w:t>
      </w:r>
      <w:r w:rsidRPr="00606C27">
        <w:rPr>
          <w:rFonts w:cs="Times New Roman"/>
          <w:i/>
          <w:lang w:val="fr-CA"/>
        </w:rPr>
        <w:t>S.C.L.R.</w:t>
      </w:r>
      <w:r w:rsidRPr="00606C27">
        <w:rPr>
          <w:rFonts w:cs="Times New Roman"/>
          <w:lang w:val="fr-CA"/>
        </w:rPr>
        <w:t xml:space="preserve"> (2d) 433, p. 436; </w:t>
      </w:r>
      <w:r w:rsidRPr="00606C27">
        <w:rPr>
          <w:rFonts w:cs="Times New Roman"/>
          <w:i/>
          <w:lang w:val="fr-CA"/>
        </w:rPr>
        <w:t>Carrier Sekani</w:t>
      </w:r>
      <w:r w:rsidRPr="00606C27">
        <w:rPr>
          <w:rFonts w:cs="Times New Roman"/>
          <w:lang w:val="fr-CA"/>
        </w:rPr>
        <w:t>, par. 38. Ce processus est soutenu par le pouvoir judiciaire, qui a comme rôle de faire respecter l’honneur de la Couronne et de tenir celle</w:t>
      </w:r>
      <w:r w:rsidRPr="00606C27">
        <w:rPr>
          <w:rFonts w:cs="Times New Roman"/>
          <w:lang w:val="fr-CA"/>
        </w:rPr>
        <w:noBreakHyphen/>
        <w:t>ci responsable lorsque cette norme n’est pas respectée. La mesure prise unilatéralement est l’antithèse même des principes d’honneur et de réconciliation, qui sous</w:t>
      </w:r>
      <w:r w:rsidRPr="00606C27">
        <w:rPr>
          <w:rFonts w:cs="Times New Roman"/>
          <w:lang w:val="fr-CA"/>
        </w:rPr>
        <w:noBreakHyphen/>
        <w:t xml:space="preserve">tendent tant l’obligation de consulter que le fondement même du droit moderne des Autochtones : </w:t>
      </w:r>
      <w:r w:rsidRPr="00606C27">
        <w:rPr>
          <w:rFonts w:cs="Times New Roman"/>
          <w:i/>
          <w:lang w:val="fr-CA"/>
        </w:rPr>
        <w:t>Mitchell</w:t>
      </w:r>
      <w:r w:rsidRPr="00606C27">
        <w:rPr>
          <w:rFonts w:cs="Times New Roman"/>
          <w:lang w:val="fr-CA"/>
        </w:rPr>
        <w:t>, par. 11.</w:t>
      </w:r>
    </w:p>
    <w:p w:rsidR="00E313A3" w:rsidRPr="00606C27" w:rsidRDefault="00E313A3" w:rsidP="00E313A3">
      <w:pPr>
        <w:pStyle w:val="ParaNoNdepar-AltN"/>
        <w:rPr>
          <w:rFonts w:cs="Times New Roman"/>
          <w:lang w:val="fr-CA"/>
        </w:rPr>
      </w:pPr>
      <w:r w:rsidRPr="00606C27">
        <w:rPr>
          <w:rFonts w:cs="Times New Roman"/>
          <w:lang w:val="fr-CA"/>
        </w:rPr>
        <w:t>Les décisions qui préconisent une protection contre l’ingérence dans le processus parlementaire doivent donc être interprétées dans le contexte d’une obligation qui ne constitue pas seulement un impératif constitutionnel, mais qui consiste en une reconnaissance des limites de la souveraineté de la Couronne elle</w:t>
      </w:r>
      <w:r w:rsidRPr="00606C27">
        <w:rPr>
          <w:rFonts w:cs="Times New Roman"/>
          <w:lang w:val="fr-CA"/>
        </w:rPr>
        <w:noBreakHyphen/>
        <w:t xml:space="preserve">même. La nature unique de l’art. 35 signifie que l’on peut établir une distinction entre ses limites et les décisions qui ont examiné les effets d’autres droits et obligations sur la souveraineté parlementaire. Dans l’arrêt </w:t>
      </w:r>
      <w:r w:rsidRPr="00606C27">
        <w:rPr>
          <w:rFonts w:cs="Times New Roman"/>
          <w:i/>
          <w:lang w:val="fr-CA"/>
        </w:rPr>
        <w:t>New Brunswick Broadcasting Co.</w:t>
      </w:r>
      <w:r w:rsidRPr="00606C27">
        <w:rPr>
          <w:rFonts w:cs="Times New Roman"/>
          <w:lang w:val="fr-CA"/>
        </w:rPr>
        <w:t>, des sociétés de radiodiffusion ont contesté l’interdiction des caméras de télévision imposée par l’Assemblée législative de la Nouvelle</w:t>
      </w:r>
      <w:r w:rsidRPr="00606C27">
        <w:rPr>
          <w:rFonts w:cs="Times New Roman"/>
          <w:lang w:val="fr-CA"/>
        </w:rPr>
        <w:noBreakHyphen/>
        <w:t>Écosse en faisant valoir qu’elle était contraire à l’al. 2</w:t>
      </w:r>
      <w:r w:rsidRPr="00606C27">
        <w:rPr>
          <w:rFonts w:cs="Times New Roman"/>
          <w:i/>
          <w:lang w:val="fr-CA"/>
        </w:rPr>
        <w:t>b</w:t>
      </w:r>
      <w:r w:rsidRPr="00606C27">
        <w:rPr>
          <w:rFonts w:cs="Times New Roman"/>
          <w:lang w:val="fr-CA"/>
        </w:rPr>
        <w:t xml:space="preserve">) de la </w:t>
      </w:r>
      <w:r w:rsidRPr="00606C27">
        <w:rPr>
          <w:rFonts w:cs="Times New Roman"/>
          <w:i/>
          <w:lang w:val="fr-CA"/>
        </w:rPr>
        <w:t>Charte canadienne des droits et liberté</w:t>
      </w:r>
      <w:r w:rsidRPr="0066427D">
        <w:rPr>
          <w:rFonts w:cs="Times New Roman"/>
          <w:i/>
          <w:lang w:val="fr-CA"/>
        </w:rPr>
        <w:t>s</w:t>
      </w:r>
      <w:r w:rsidRPr="00606C27">
        <w:rPr>
          <w:rFonts w:cs="Times New Roman"/>
          <w:lang w:val="fr-CA"/>
        </w:rPr>
        <w:t xml:space="preserve">, qui protège la liberté de la presse et des autres moyens de communication. La juge McLachlin était d’avis </w:t>
      </w:r>
      <w:r w:rsidRPr="00606C27">
        <w:rPr>
          <w:rFonts w:cs="Times New Roman"/>
          <w:lang w:val="fr-CA"/>
        </w:rPr>
        <w:lastRenderedPageBreak/>
        <w:t xml:space="preserve">que la réaffectation des pouvoirs occasionnée par la </w:t>
      </w:r>
      <w:r w:rsidRPr="00606C27">
        <w:rPr>
          <w:rFonts w:cs="Times New Roman"/>
          <w:i/>
          <w:lang w:val="fr-CA"/>
        </w:rPr>
        <w:t>Charte</w:t>
      </w:r>
      <w:r w:rsidRPr="00606C27">
        <w:rPr>
          <w:rFonts w:cs="Times New Roman"/>
          <w:lang w:val="fr-CA"/>
        </w:rPr>
        <w:t xml:space="preserve"> n’allait pas jusqu’à éliminer le droit constitutionnel inhérent du Parlement d’exclure les étrangers de son enceinte : p. 389. Toutefois, bien que la </w:t>
      </w:r>
      <w:r w:rsidRPr="00606C27">
        <w:rPr>
          <w:rFonts w:cs="Times New Roman"/>
          <w:i/>
          <w:lang w:val="fr-CA"/>
        </w:rPr>
        <w:t>Charte</w:t>
      </w:r>
      <w:r w:rsidRPr="00606C27">
        <w:rPr>
          <w:rFonts w:cs="Times New Roman"/>
          <w:lang w:val="fr-CA"/>
        </w:rPr>
        <w:t xml:space="preserve"> définisse un ensemble de droits individuels qui sont protégés contre les mesures de l’État, la majeure partie de la Constitution, y compris l’art. 35, répartit les pouvoirs entre les entités gouvernantes, comme la séparation des pouvoirs entre les gouvernements fédéral et provinciaux, ou la séparation des pouvoirs entre les différentes branches de l’État. De la même façon, l’art. 35 définit la relation entre la souveraineté de la Couronne et les « peuples autochtones du Canada », qui exige de concilier les intérêts de la Couronne et ceux des groupes autochtones.</w:t>
      </w:r>
    </w:p>
    <w:p w:rsidR="00E313A3" w:rsidRPr="00606C27" w:rsidRDefault="00E313A3" w:rsidP="00E313A3">
      <w:pPr>
        <w:pStyle w:val="ParaNoNdepar-AltN"/>
        <w:rPr>
          <w:rFonts w:cs="Times New Roman"/>
          <w:lang w:val="fr-CA"/>
        </w:rPr>
      </w:pPr>
      <w:r w:rsidRPr="00606C27">
        <w:rPr>
          <w:rFonts w:cs="Times New Roman"/>
          <w:lang w:val="fr-CA"/>
        </w:rPr>
        <w:t xml:space="preserve">De même, dans l’arrêt </w:t>
      </w:r>
      <w:r w:rsidRPr="00606C27">
        <w:rPr>
          <w:rFonts w:cs="Times New Roman"/>
          <w:i/>
          <w:lang w:val="fr-CA"/>
        </w:rPr>
        <w:t>Authorson c. Canada (Procureur général)</w:t>
      </w:r>
      <w:r w:rsidRPr="00606C27">
        <w:rPr>
          <w:rFonts w:cs="Times New Roman"/>
          <w:lang w:val="fr-CA"/>
        </w:rPr>
        <w:t xml:space="preserve">, [2003] 2 R.C.S. 40 (le juge Major), la question consistait à savoir si la </w:t>
      </w:r>
      <w:r w:rsidRPr="00606C27">
        <w:rPr>
          <w:rFonts w:cs="Times New Roman"/>
          <w:i/>
          <w:lang w:val="fr-CA"/>
        </w:rPr>
        <w:t>Déclaration canadienne des droits</w:t>
      </w:r>
      <w:r w:rsidRPr="00606C27">
        <w:rPr>
          <w:rFonts w:cs="Times New Roman"/>
          <w:lang w:val="fr-CA"/>
        </w:rPr>
        <w:t xml:space="preserve">, L.R.C. 1985, </w:t>
      </w:r>
      <w:r w:rsidR="000A7C3C">
        <w:rPr>
          <w:rFonts w:cs="Times New Roman"/>
          <w:lang w:val="fr-CA"/>
        </w:rPr>
        <w:t>app</w:t>
      </w:r>
      <w:r w:rsidRPr="00606C27">
        <w:rPr>
          <w:rFonts w:cs="Times New Roman"/>
          <w:lang w:val="fr-CA"/>
        </w:rPr>
        <w:t xml:space="preserve">. III, prévoyait des garanties d’application régulière de la loi aux anciens combattants lorsque le législateur a édicté la loi pour rendre une créance d’intérêts inexécutoire. Le juge Major a fait remarquer que selon la « tradition parlementaire, il est clair que tout ce qu’un citoyen canadien peut exiger, sur le plan procédural, c’est qu’un projet de loi fasse l’objet de trois lectures à la Chambre des communes et au Sénat et qu’il reçoive la sanction royale » : par. 37. Mais la pertinence de cette décision est forcément limitée par son contexte, soit la </w:t>
      </w:r>
      <w:r w:rsidRPr="00606C27">
        <w:rPr>
          <w:rFonts w:cs="Times New Roman"/>
          <w:i/>
          <w:lang w:val="fr-CA"/>
        </w:rPr>
        <w:t>Déclaration canadienne des droits</w:t>
      </w:r>
      <w:r w:rsidRPr="00606C27">
        <w:rPr>
          <w:rFonts w:cs="Times New Roman"/>
          <w:lang w:val="fr-CA"/>
        </w:rPr>
        <w:t xml:space="preserve">, qui, contrairement à la </w:t>
      </w:r>
      <w:r w:rsidRPr="00606C27">
        <w:rPr>
          <w:rFonts w:cs="Times New Roman"/>
          <w:i/>
          <w:lang w:val="fr-CA"/>
        </w:rPr>
        <w:t>Loi constitutionnelle de 1982</w:t>
      </w:r>
      <w:r w:rsidRPr="00606C27">
        <w:rPr>
          <w:rFonts w:cs="Times New Roman"/>
          <w:lang w:val="fr-CA"/>
        </w:rPr>
        <w:t xml:space="preserve">, s’applique uniquement aux lois édictées. De plus, la préoccupation du juge Major selon laquelle l’interprétation de la </w:t>
      </w:r>
      <w:r w:rsidRPr="00606C27">
        <w:rPr>
          <w:rFonts w:cs="Times New Roman"/>
          <w:i/>
          <w:lang w:val="fr-CA"/>
        </w:rPr>
        <w:t>Déclaration canadienne des droits</w:t>
      </w:r>
      <w:r w:rsidRPr="00606C27">
        <w:rPr>
          <w:rFonts w:cs="Times New Roman"/>
          <w:lang w:val="fr-CA"/>
        </w:rPr>
        <w:t xml:space="preserve"> préconisée par les demandeurs </w:t>
      </w:r>
      <w:r w:rsidRPr="00606C27">
        <w:rPr>
          <w:rFonts w:cs="Times New Roman"/>
          <w:lang w:val="fr-CA"/>
        </w:rPr>
        <w:lastRenderedPageBreak/>
        <w:t xml:space="preserve">« modifierait la Constitution canadienne » (par. 41) est moins convaincante dans le contexte de l’art. 35, où les restrictions découlent de fait d’une modification constitutionnelle. De plus, comme l’art. 35 l’indique clairement, il ne convient pas d’assimiler les peuples autochtones à « un citoyen canadien », particulièrement lorsqu’il est question des droits procéduraux prévus par la Constitution. </w:t>
      </w:r>
    </w:p>
    <w:p w:rsidR="00E313A3" w:rsidRPr="00606C27" w:rsidRDefault="00E313A3" w:rsidP="00E313A3">
      <w:pPr>
        <w:pStyle w:val="ParaNoNdepar-AltN"/>
        <w:rPr>
          <w:rFonts w:cs="Times New Roman"/>
          <w:lang w:val="fr-CA"/>
        </w:rPr>
      </w:pPr>
      <w:r w:rsidRPr="00606C27">
        <w:rPr>
          <w:rFonts w:cs="Times New Roman"/>
          <w:lang w:val="fr-CA"/>
        </w:rPr>
        <w:t xml:space="preserve">En fait, d’autres décisions envisagent expressément l’imposition de normes constitutionnelles au processus législatif. Par exemple, dans le </w:t>
      </w:r>
      <w:r w:rsidRPr="00606C27">
        <w:rPr>
          <w:rFonts w:cs="Times New Roman"/>
          <w:i/>
          <w:lang w:val="fr-CA"/>
        </w:rPr>
        <w:t xml:space="preserve">Renvoi : </w:t>
      </w:r>
      <w:r w:rsidR="00CB3C72">
        <w:rPr>
          <w:rFonts w:cs="Times New Roman"/>
          <w:i/>
          <w:lang w:val="fr-CA"/>
        </w:rPr>
        <w:t>R</w:t>
      </w:r>
      <w:r w:rsidRPr="00606C27">
        <w:rPr>
          <w:rFonts w:cs="Times New Roman"/>
          <w:i/>
          <w:lang w:val="fr-CA"/>
        </w:rPr>
        <w:t>ésolution pour modifier la Constitution</w:t>
      </w:r>
      <w:r w:rsidRPr="00606C27">
        <w:rPr>
          <w:rFonts w:cs="Times New Roman"/>
          <w:lang w:val="fr-CA"/>
        </w:rPr>
        <w:t xml:space="preserve">, [1981] 1 R.C.S. 753, sur lequel est fondé l’arrêt </w:t>
      </w:r>
      <w:r w:rsidRPr="00606C27">
        <w:rPr>
          <w:rFonts w:cs="Times New Roman"/>
          <w:i/>
          <w:lang w:val="fr-CA"/>
        </w:rPr>
        <w:t>Authorson</w:t>
      </w:r>
      <w:r w:rsidRPr="00606C27">
        <w:rPr>
          <w:rFonts w:cs="Times New Roman"/>
          <w:lang w:val="fr-CA"/>
        </w:rPr>
        <w:t>, la Cour a indiqué que l’auto</w:t>
      </w:r>
      <w:r w:rsidRPr="00606C27">
        <w:rPr>
          <w:rFonts w:cs="Times New Roman"/>
          <w:lang w:val="fr-CA"/>
        </w:rPr>
        <w:noBreakHyphen/>
        <w:t>définition de la procédure législative s’exerce « sous réserve de prescriptions constitutionnelles prépondérantes, ou de prescriptions auto</w:t>
      </w:r>
      <w:r w:rsidRPr="00606C27">
        <w:rPr>
          <w:rFonts w:cs="Times New Roman"/>
          <w:lang w:val="fr-CA"/>
        </w:rPr>
        <w:noBreakHyphen/>
        <w:t xml:space="preserve">imposées par la loi ou internes » : p. 785. Et, dans le </w:t>
      </w:r>
      <w:r w:rsidRPr="00606C27">
        <w:rPr>
          <w:rFonts w:cs="Times New Roman"/>
          <w:i/>
          <w:lang w:val="fr-CA"/>
        </w:rPr>
        <w:t>Renvoi relatif au Régime d’as</w:t>
      </w:r>
      <w:r w:rsidR="00CB3C72">
        <w:rPr>
          <w:rFonts w:cs="Times New Roman"/>
          <w:i/>
          <w:lang w:val="fr-CA"/>
        </w:rPr>
        <w:t>sistance publique du Canada (C.-</w:t>
      </w:r>
      <w:r w:rsidRPr="00606C27">
        <w:rPr>
          <w:rFonts w:cs="Times New Roman"/>
          <w:i/>
          <w:lang w:val="fr-CA"/>
        </w:rPr>
        <w:t>B.)</w:t>
      </w:r>
      <w:r w:rsidRPr="00606C27">
        <w:rPr>
          <w:rFonts w:cs="Times New Roman"/>
          <w:lang w:val="fr-CA"/>
        </w:rPr>
        <w:t xml:space="preserve">, [1991] 2 R.C.S. 525, qui établit que la rédaction et le dépôt d’un projet de loi ne devraient absolument pas faire l’objet d’une intervention des tribunaux, la Cour ne traite expressément pas de la question de l’examen fondé sur la </w:t>
      </w:r>
      <w:r w:rsidRPr="00606C27">
        <w:rPr>
          <w:rFonts w:cs="Times New Roman"/>
          <w:i/>
          <w:lang w:val="fr-CA"/>
        </w:rPr>
        <w:t xml:space="preserve">Charte </w:t>
      </w:r>
      <w:r w:rsidRPr="00606C27">
        <w:rPr>
          <w:rFonts w:cs="Times New Roman"/>
          <w:lang w:val="fr-CA"/>
        </w:rPr>
        <w:t xml:space="preserve">lorsqu’il pourrait être porté atteinte à un droit garanti : p. 559. Comme je l’ai déjà dit, bien que l’arrêt </w:t>
      </w:r>
      <w:r w:rsidRPr="00606C27">
        <w:rPr>
          <w:rFonts w:cs="Times New Roman"/>
          <w:i/>
          <w:lang w:val="fr-CA"/>
        </w:rPr>
        <w:t>New Brunswick Broadcasting Co.</w:t>
      </w:r>
      <w:r w:rsidRPr="00606C27">
        <w:rPr>
          <w:rFonts w:cs="Times New Roman"/>
          <w:lang w:val="fr-CA"/>
        </w:rPr>
        <w:t xml:space="preserve"> donne à penser que des exigences procédurales ne seront pas facilement imposées dans le contexte de la </w:t>
      </w:r>
      <w:r w:rsidRPr="00606C27">
        <w:rPr>
          <w:rFonts w:cs="Times New Roman"/>
          <w:i/>
          <w:lang w:val="fr-CA"/>
        </w:rPr>
        <w:t>Charte</w:t>
      </w:r>
      <w:r w:rsidRPr="00606C27">
        <w:rPr>
          <w:rFonts w:cs="Times New Roman"/>
          <w:lang w:val="fr-CA"/>
        </w:rPr>
        <w:t>, je doute que ce raisonnement soit convaincant en présence de l’impératif constitutionnel établi à l’art. 35.</w:t>
      </w:r>
    </w:p>
    <w:p w:rsidR="00E313A3" w:rsidRPr="00606C27" w:rsidRDefault="00E313A3" w:rsidP="00E313A3">
      <w:pPr>
        <w:pStyle w:val="ParaNoNdepar-AltN"/>
        <w:rPr>
          <w:rFonts w:cs="Times New Roman"/>
          <w:lang w:val="fr-CA"/>
        </w:rPr>
      </w:pPr>
      <w:r w:rsidRPr="00606C27">
        <w:rPr>
          <w:rFonts w:cs="Times New Roman"/>
          <w:lang w:val="fr-CA"/>
        </w:rPr>
        <w:t xml:space="preserve">Bien que le pouvoir judiciaire doive respecter les rôles distincts de chaque institution dans notre ordre constitutionnel, son propre rôle consiste à veiller au respect </w:t>
      </w:r>
      <w:r w:rsidRPr="00606C27">
        <w:rPr>
          <w:rFonts w:cs="Times New Roman"/>
          <w:lang w:val="fr-CA"/>
        </w:rPr>
        <w:lastRenderedPageBreak/>
        <w:t xml:space="preserve">du principe de la primauté du droit et à protéger les droits garantis par la Constitution : </w:t>
      </w:r>
      <w:r w:rsidRPr="00606C27">
        <w:rPr>
          <w:rFonts w:cs="Times New Roman"/>
          <w:i/>
          <w:lang w:val="fr-CA"/>
        </w:rPr>
        <w:t>Criminal Lawyers</w:t>
      </w:r>
      <w:r w:rsidR="00CB3C72">
        <w:rPr>
          <w:rFonts w:cs="Times New Roman"/>
          <w:i/>
          <w:lang w:val="fr-CA"/>
        </w:rPr>
        <w:t>’</w:t>
      </w:r>
      <w:r w:rsidRPr="00606C27">
        <w:rPr>
          <w:rFonts w:cs="Times New Roman"/>
          <w:i/>
          <w:lang w:val="fr-CA"/>
        </w:rPr>
        <w:t xml:space="preserve"> Association</w:t>
      </w:r>
      <w:r w:rsidRPr="00606C27">
        <w:rPr>
          <w:rFonts w:cs="Times New Roman"/>
          <w:lang w:val="fr-CA"/>
        </w:rPr>
        <w:t>, par. 28</w:t>
      </w:r>
      <w:r w:rsidRPr="00606C27">
        <w:rPr>
          <w:rFonts w:cs="Times New Roman"/>
          <w:lang w:val="fr-CA"/>
        </w:rPr>
        <w:noBreakHyphen/>
        <w:t xml:space="preserve">29; </w:t>
      </w:r>
      <w:r w:rsidRPr="00606C27">
        <w:rPr>
          <w:rFonts w:cs="Times New Roman"/>
          <w:i/>
          <w:lang w:val="fr-CA"/>
        </w:rPr>
        <w:t>New Brunswick Broadcasting Co.</w:t>
      </w:r>
      <w:r w:rsidRPr="00606C27">
        <w:rPr>
          <w:rFonts w:cs="Times New Roman"/>
          <w:lang w:val="fr-CA"/>
        </w:rPr>
        <w:t xml:space="preserve">, p. 389. À mon avis, il serait erroné d’interpréter la souveraineté parlementaire de manière à écarter les obligations découlant de l’honneur de la Couronne qui ont pris naissance dès lors que la souveraineté a été proclamée. Comme tous les principes constitutionnels, la souveraineté parlementaire doit être mise en balance avec d’autres aspects de notre ordre constitutionnel, dont l’obligation de consulter : Zachary Davis, « The Duty to Consult and Legislative Action » (2016), 79 </w:t>
      </w:r>
      <w:r w:rsidRPr="00606C27">
        <w:rPr>
          <w:rFonts w:cs="Times New Roman"/>
          <w:i/>
          <w:lang w:val="fr-CA"/>
        </w:rPr>
        <w:t>Sask L. Rev.</w:t>
      </w:r>
      <w:r w:rsidRPr="00606C27">
        <w:rPr>
          <w:rFonts w:cs="Times New Roman"/>
          <w:lang w:val="fr-CA"/>
        </w:rPr>
        <w:t xml:space="preserve"> 17, p. 21</w:t>
      </w:r>
      <w:r w:rsidRPr="00606C27">
        <w:rPr>
          <w:rFonts w:cs="Times New Roman"/>
          <w:lang w:val="fr-CA"/>
        </w:rPr>
        <w:noBreakHyphen/>
        <w:t xml:space="preserve">22. La « volonté souveraine » à elle seule n’atteste pas en soi de la légitimité dans le contexte d’une démocratie constitutionnelle caractérisée par des valeurs, des droits et des obligations opposés : </w:t>
      </w:r>
      <w:r w:rsidRPr="00606C27">
        <w:rPr>
          <w:rFonts w:cs="Times New Roman"/>
          <w:i/>
          <w:lang w:val="fr-CA"/>
        </w:rPr>
        <w:t>Renvoi relatif à la sécession du Québec</w:t>
      </w:r>
      <w:r w:rsidRPr="00606C27">
        <w:rPr>
          <w:rFonts w:cs="Times New Roman"/>
          <w:lang w:val="fr-CA"/>
        </w:rPr>
        <w:t>, [1998] 2 R.C.S. 217, par. 61</w:t>
      </w:r>
      <w:r w:rsidRPr="00606C27">
        <w:rPr>
          <w:rFonts w:cs="Times New Roman"/>
          <w:lang w:val="fr-CA"/>
        </w:rPr>
        <w:noBreakHyphen/>
        <w:t>63.</w:t>
      </w:r>
    </w:p>
    <w:p w:rsidR="00E313A3" w:rsidRPr="00606C27" w:rsidRDefault="00E313A3" w:rsidP="00E313A3">
      <w:pPr>
        <w:pStyle w:val="ParaNoNdepar-AltN"/>
        <w:rPr>
          <w:rFonts w:cs="Times New Roman"/>
          <w:lang w:val="fr-CA"/>
        </w:rPr>
      </w:pPr>
      <w:r w:rsidRPr="00606C27">
        <w:rPr>
          <w:rFonts w:cs="Times New Roman"/>
          <w:lang w:val="fr-CA"/>
        </w:rPr>
        <w:t xml:space="preserve">Même si la souveraineté parlementaire ne peut supplanter l’honneur de la Couronne, il importe de donner à sa force en tant que principe constitutionnel le poids qui convient afin d’atteindre un juste équilibre entre ces concepts. La souplesse inhérente à la doctrine de l’obligation de consulter devrait être utilisée pour tenir compte du pouvoir discrétionnaire plus large dont le législateur doit pouvoir jouir dans le contexte législatif. Puisque la portée de l’obligation de consulter est fortement tributaire des circonstances, je ne vois pas pourquoi l’éventail des obligations de consulter et d’accommoder qui peuvent prendre naissance ne suffit pas pour répondre aux difficultés singulières soulevées dans la sphère législative : </w:t>
      </w:r>
      <w:r w:rsidRPr="00606C27">
        <w:rPr>
          <w:rFonts w:cs="Times New Roman"/>
          <w:i/>
          <w:lang w:val="fr-CA"/>
        </w:rPr>
        <w:t>Delgamuukw</w:t>
      </w:r>
      <w:r w:rsidRPr="00606C27">
        <w:rPr>
          <w:rFonts w:cs="Times New Roman"/>
          <w:lang w:val="fr-CA"/>
        </w:rPr>
        <w:t xml:space="preserve">, par. 168; </w:t>
      </w:r>
      <w:r w:rsidRPr="00606C27">
        <w:rPr>
          <w:rFonts w:cs="Times New Roman"/>
          <w:i/>
          <w:lang w:val="fr-CA"/>
        </w:rPr>
        <w:t>Nation haïda</w:t>
      </w:r>
      <w:r w:rsidRPr="00606C27">
        <w:rPr>
          <w:rFonts w:cs="Times New Roman"/>
          <w:lang w:val="fr-CA"/>
        </w:rPr>
        <w:t>, par. 43</w:t>
      </w:r>
      <w:r w:rsidRPr="00606C27">
        <w:rPr>
          <w:rFonts w:cs="Times New Roman"/>
          <w:lang w:val="fr-CA"/>
        </w:rPr>
        <w:noBreakHyphen/>
        <w:t xml:space="preserve">45. Des obligations de consulter vues couramment comme celle </w:t>
      </w:r>
      <w:r w:rsidRPr="00606C27">
        <w:rPr>
          <w:rFonts w:cs="Times New Roman"/>
          <w:lang w:val="fr-CA"/>
        </w:rPr>
        <w:lastRenderedPageBreak/>
        <w:t>d’aviser les parties concernées et de leur donner l’occasion de présenter des observations ne sont pas étrangères au processus législatif. En outre, les mesures législatives ne vont pas toutes donner naissance à une obligation de consulter. Cette obligation est déclenchée uniquement lorsque la Couronne, ayant connaissance de l’existence potentielle du droit ou du titre ancestral en cause, envisage d’adopter une loi qui pourrait avoir un effet préjudiciable sur ce droit ou ce titre. Ces effets potentiels doivent être suffisamment prévisibles et directs pour engager l’honneur de la Couronne.</w:t>
      </w:r>
    </w:p>
    <w:p w:rsidR="00E313A3" w:rsidRPr="00606C27" w:rsidRDefault="00E313A3" w:rsidP="00E313A3">
      <w:pPr>
        <w:pStyle w:val="ParaNoNdepar-AltN"/>
        <w:rPr>
          <w:rFonts w:cs="Times New Roman"/>
          <w:lang w:val="fr-CA"/>
        </w:rPr>
      </w:pPr>
      <w:r w:rsidRPr="00606C27">
        <w:rPr>
          <w:rFonts w:cs="Times New Roman"/>
          <w:lang w:val="fr-CA"/>
        </w:rPr>
        <w:t xml:space="preserve">La procédure applicable et l’étendue des mesures de réparation lorsque le gouvernement manque à son obligation de consulter dans le contexte du processus législatif seront forcément aussi limitées par la mise en balance constitutionnelle entre le pouvoir judiciaire et le pouvoir législatif. Dans le cadre du contrôle judiciaire d’une mesure exécutive, les recours relatifs à la consultation sont souvent intentés avant que la décision soit prise, et les réparations habituelles comprennent notamment une ordonnance enjoignant à la Couronne de consulter, la nomination d’un médiateur et une supervision judiciaire continue : Newman, p. 78; </w:t>
      </w:r>
      <w:r w:rsidRPr="00606C27">
        <w:rPr>
          <w:rFonts w:cs="Times New Roman"/>
          <w:i/>
          <w:lang w:val="fr-CA"/>
        </w:rPr>
        <w:t>Clyde River</w:t>
      </w:r>
      <w:r w:rsidRPr="00606C27">
        <w:rPr>
          <w:rFonts w:cs="Times New Roman"/>
          <w:lang w:val="fr-CA"/>
        </w:rPr>
        <w:t xml:space="preserve">, par. 24. Inversement, à mon sens, les contraintes institutionnelles dans le contexte législatif exigent que les demandeurs contestent la loi existante. Autoriser les contestations directes de la procédure parlementaire avant l’adoption de la loi empiéterait indûment sur le processus législatif. Le Parlement a le contrôle exclusif de ses propres débats, qui doivent être respectés par les tribunaux : </w:t>
      </w:r>
      <w:r w:rsidRPr="00606C27">
        <w:rPr>
          <w:rFonts w:cs="Times New Roman"/>
          <w:i/>
          <w:lang w:val="fr-CA"/>
        </w:rPr>
        <w:t>New Brunswick Broadcasting Co.</w:t>
      </w:r>
      <w:r w:rsidRPr="00606C27">
        <w:rPr>
          <w:rFonts w:cs="Times New Roman"/>
          <w:lang w:val="fr-CA"/>
        </w:rPr>
        <w:t xml:space="preserve">, p. 386. Bien que les tribunaux n’aient pas le rôle de dicter les procédures que les législateurs doivent adopter pour respecter leur obligation de consulter, ils peuvent néanmoins </w:t>
      </w:r>
      <w:r w:rsidRPr="00606C27">
        <w:rPr>
          <w:rFonts w:cs="Times New Roman"/>
          <w:lang w:val="fr-CA"/>
        </w:rPr>
        <w:lastRenderedPageBreak/>
        <w:t xml:space="preserve">examiner si le processus choisi concorde avec la relation particulière qu’entretient la Couronne avec les peuples autochtones du Canada. Cet exercice n’a pas à être plus exigeant que le contrôle judiciaire déjà effectué dans le cadre de l’analyse de la justification fondée sur l’arrêt </w:t>
      </w:r>
      <w:r w:rsidRPr="00606C27">
        <w:rPr>
          <w:rFonts w:cs="Times New Roman"/>
          <w:i/>
          <w:lang w:val="fr-CA"/>
        </w:rPr>
        <w:t>Sparrow</w:t>
      </w:r>
      <w:r w:rsidRPr="00606C27">
        <w:rPr>
          <w:rFonts w:cs="Times New Roman"/>
          <w:lang w:val="fr-CA"/>
        </w:rPr>
        <w:t>.</w:t>
      </w:r>
    </w:p>
    <w:p w:rsidR="00E313A3" w:rsidRPr="00606C27" w:rsidRDefault="00E313A3" w:rsidP="00E313A3">
      <w:pPr>
        <w:pStyle w:val="ParaNoNdepar-AltN"/>
        <w:rPr>
          <w:rFonts w:cs="Times New Roman"/>
          <w:lang w:val="fr-CA"/>
        </w:rPr>
      </w:pPr>
      <w:r w:rsidRPr="00606C27">
        <w:rPr>
          <w:rFonts w:cs="Times New Roman"/>
          <w:lang w:val="fr-CA"/>
        </w:rPr>
        <w:t xml:space="preserve">Contester une loi existante sur le fondement de vices de procédure n’est pas nouveau en droit canadien. Dans l’arrêt </w:t>
      </w:r>
      <w:r w:rsidRPr="00606C27">
        <w:rPr>
          <w:rFonts w:cs="Times New Roman"/>
          <w:i/>
          <w:lang w:val="fr-CA"/>
        </w:rPr>
        <w:t>British Columbia Teachers’ Federation c. Colombie</w:t>
      </w:r>
      <w:r w:rsidRPr="00606C27">
        <w:rPr>
          <w:rFonts w:cs="Times New Roman"/>
          <w:i/>
          <w:lang w:val="fr-CA"/>
        </w:rPr>
        <w:noBreakHyphen/>
        <w:t>Britannique</w:t>
      </w:r>
      <w:r w:rsidRPr="00606C27">
        <w:rPr>
          <w:rFonts w:cs="Times New Roman"/>
          <w:lang w:val="fr-CA"/>
        </w:rPr>
        <w:t>, [2016] 2 R.C.S. 407, inf. (2015), 71 B.C.L.R. (5th) 223 (C.A.), les juges majoritaires de la Cour ont approuvé la démarche suivie par le juge Donald de la Cour d’appel de la Colombie</w:t>
      </w:r>
      <w:r w:rsidRPr="00606C27">
        <w:rPr>
          <w:rFonts w:cs="Times New Roman"/>
          <w:lang w:val="fr-CA"/>
        </w:rPr>
        <w:noBreakHyphen/>
        <w:t>Britannique relativement au droit de négocier collectivement garanti par l’al. 2</w:t>
      </w:r>
      <w:r w:rsidRPr="00606C27">
        <w:rPr>
          <w:rFonts w:cs="Times New Roman"/>
          <w:i/>
          <w:lang w:val="fr-CA"/>
        </w:rPr>
        <w:t>d</w:t>
      </w:r>
      <w:r w:rsidRPr="00606C27">
        <w:rPr>
          <w:rFonts w:cs="Times New Roman"/>
          <w:lang w:val="fr-CA"/>
        </w:rPr>
        <w:t xml:space="preserve">) de la </w:t>
      </w:r>
      <w:r w:rsidRPr="00606C27">
        <w:rPr>
          <w:rFonts w:cs="Times New Roman"/>
          <w:i/>
          <w:lang w:val="fr-CA"/>
        </w:rPr>
        <w:t>Charte</w:t>
      </w:r>
      <w:r w:rsidRPr="00606C27">
        <w:rPr>
          <w:rFonts w:cs="Times New Roman"/>
          <w:lang w:val="fr-CA"/>
        </w:rPr>
        <w:t>, qui permettrait aux tribunaux de prendre en considération l’absence de consultation dans le contexte législatif. Dans sa dissidence, le juge Donald a conclu que le Parlement ne pouvait agir unilatéralement au moyen d’une mesure législative pour modifier des modalités d’emploi sans s’acquitter de ses obligations constitutionnelles de tenir une consultation antérieure à l’adoption de la loi comme substitut à la négociation collective protégée par l’al. 2</w:t>
      </w:r>
      <w:r w:rsidRPr="00606C27">
        <w:rPr>
          <w:rFonts w:cs="Times New Roman"/>
          <w:i/>
          <w:lang w:val="fr-CA"/>
        </w:rPr>
        <w:t>d</w:t>
      </w:r>
      <w:r w:rsidRPr="00606C27">
        <w:rPr>
          <w:rFonts w:cs="Times New Roman"/>
          <w:lang w:val="fr-CA"/>
        </w:rPr>
        <w:t xml:space="preserve">). Semblable à l’obligation de consulter dans le contexte autochtone, la liberté d’association en contexte de relations du travail garantit le droit à un processus de négociation collective véritable permettant la réalisation d’objectifs liés au travail : </w:t>
      </w:r>
      <w:r w:rsidRPr="00606C27">
        <w:rPr>
          <w:rFonts w:cs="Times New Roman"/>
          <w:i/>
          <w:lang w:val="fr-CA"/>
        </w:rPr>
        <w:t>Health Services and Support — Facilities Subsector Bargaining Assn. c. Colombie</w:t>
      </w:r>
      <w:r w:rsidRPr="00606C27">
        <w:rPr>
          <w:rFonts w:cs="Times New Roman"/>
          <w:i/>
          <w:lang w:val="fr-CA"/>
        </w:rPr>
        <w:noBreakHyphen/>
        <w:t>Britannique</w:t>
      </w:r>
      <w:r w:rsidRPr="00606C27">
        <w:rPr>
          <w:rFonts w:cs="Times New Roman"/>
          <w:lang w:val="fr-CA"/>
        </w:rPr>
        <w:t xml:space="preserve">, [2007] 2 R.C.S. 391, par. 94; </w:t>
      </w:r>
      <w:r w:rsidRPr="00606C27">
        <w:rPr>
          <w:rFonts w:cs="Times New Roman"/>
          <w:i/>
          <w:lang w:val="fr-CA"/>
        </w:rPr>
        <w:t>Saskatchewan Federation of Labour c. Saskatchewan</w:t>
      </w:r>
      <w:r w:rsidRPr="00606C27">
        <w:rPr>
          <w:rFonts w:cs="Times New Roman"/>
          <w:lang w:val="fr-CA"/>
        </w:rPr>
        <w:t>, [2015] 1 R.C.S. 245, par. 53.</w:t>
      </w:r>
    </w:p>
    <w:p w:rsidR="00E313A3" w:rsidRPr="00606C27" w:rsidRDefault="00E313A3" w:rsidP="00E313A3">
      <w:pPr>
        <w:pStyle w:val="ParaNoNdepar-AltN"/>
        <w:rPr>
          <w:rFonts w:cs="Times New Roman"/>
          <w:lang w:val="fr-CA"/>
        </w:rPr>
      </w:pPr>
      <w:r w:rsidRPr="00606C27">
        <w:rPr>
          <w:rFonts w:cs="Times New Roman"/>
          <w:lang w:val="fr-CA"/>
        </w:rPr>
        <w:lastRenderedPageBreak/>
        <w:t>Dans ses motifs, le juge Donald de la Cour d’appel a reconnu que le fait que les modalités d’emploi soient exprimées dans une convention collective traditionnelle ou au moyen de l’adoption d’une loi ne faisait aucune différence quant aux droits garantis aux employés par l’al. 2</w:t>
      </w:r>
      <w:r w:rsidRPr="00606C27">
        <w:rPr>
          <w:rFonts w:cs="Times New Roman"/>
          <w:i/>
          <w:lang w:val="fr-CA"/>
        </w:rPr>
        <w:t>d</w:t>
      </w:r>
      <w:r w:rsidRPr="00606C27">
        <w:rPr>
          <w:rFonts w:cs="Times New Roman"/>
          <w:lang w:val="fr-CA"/>
        </w:rPr>
        <w:t xml:space="preserve">) : par. 287. Même dans le contexte législatif, une violation de la </w:t>
      </w:r>
      <w:r w:rsidRPr="00606C27">
        <w:rPr>
          <w:rFonts w:cs="Times New Roman"/>
          <w:i/>
          <w:lang w:val="fr-CA"/>
        </w:rPr>
        <w:t>Charte</w:t>
      </w:r>
      <w:r w:rsidRPr="00606C27">
        <w:rPr>
          <w:rFonts w:cs="Times New Roman"/>
          <w:lang w:val="fr-CA"/>
        </w:rPr>
        <w:t xml:space="preserve"> peut découler du défaut du gouvernement de consulter de bonne foi avant l’adoption de la loi. Le juge Donald était conscient de la responsabilité des tribunaux de surveiller et de restreindre les mesures gouvernementales afin de contrôler le déséquilibre des forces en contexte de relations du travail. [</w:t>
      </w:r>
      <w:r w:rsidRPr="00606C27">
        <w:rPr>
          <w:rFonts w:cs="Times New Roman"/>
          <w:smallCaps/>
          <w:lang w:val="fr-CA"/>
        </w:rPr>
        <w:t>traduction</w:t>
      </w:r>
      <w:r w:rsidRPr="00606C27">
        <w:rPr>
          <w:rFonts w:cs="Times New Roman"/>
          <w:lang w:val="fr-CA"/>
        </w:rPr>
        <w:t xml:space="preserve">] « [L]’obligation de consulter dans ce contexte ne restreint pas indûment le législateur, pas plus d’ailleurs que tous les autres droits et libertés protégés par la </w:t>
      </w:r>
      <w:r w:rsidRPr="00606C27">
        <w:rPr>
          <w:rFonts w:cs="Times New Roman"/>
          <w:i/>
          <w:lang w:val="fr-CA"/>
        </w:rPr>
        <w:t>Charte</w:t>
      </w:r>
      <w:r w:rsidRPr="00606C27">
        <w:rPr>
          <w:rFonts w:cs="Times New Roman"/>
          <w:lang w:val="fr-CA"/>
        </w:rPr>
        <w:t xml:space="preserve"> ne restreignent le législateur » : par. 293. Il en est de même pour l’obligation qui incombe à la Couronne en application de l’art. 35 de la </w:t>
      </w:r>
      <w:r w:rsidRPr="00606C27">
        <w:rPr>
          <w:rFonts w:cs="Times New Roman"/>
          <w:i/>
          <w:lang w:val="fr-CA"/>
        </w:rPr>
        <w:t>Loi constitutionnelle de 1982</w:t>
      </w:r>
      <w:r w:rsidRPr="00606C27">
        <w:rPr>
          <w:rFonts w:cs="Times New Roman"/>
          <w:lang w:val="fr-CA"/>
        </w:rPr>
        <w:t xml:space="preserve"> d’agir honorablement.</w:t>
      </w:r>
    </w:p>
    <w:p w:rsidR="00E313A3" w:rsidRPr="00606C27" w:rsidRDefault="00E313A3" w:rsidP="00E313A3">
      <w:pPr>
        <w:pStyle w:val="ParaNoNdepar-AltN"/>
        <w:rPr>
          <w:rFonts w:cs="Times New Roman"/>
          <w:lang w:val="fr-CA"/>
        </w:rPr>
      </w:pPr>
      <w:r w:rsidRPr="00606C27">
        <w:rPr>
          <w:rFonts w:cs="Times New Roman"/>
          <w:lang w:val="fr-CA"/>
        </w:rPr>
        <w:t xml:space="preserve">Toutefois, cela ne signifie pas qu’une contestation fondée sur l’arrêt </w:t>
      </w:r>
      <w:r w:rsidRPr="00606C27">
        <w:rPr>
          <w:rFonts w:cs="Times New Roman"/>
          <w:i/>
          <w:lang w:val="fr-CA"/>
        </w:rPr>
        <w:t>Nation haïda</w:t>
      </w:r>
      <w:r w:rsidRPr="00606C27">
        <w:rPr>
          <w:rFonts w:cs="Times New Roman"/>
          <w:lang w:val="fr-CA"/>
        </w:rPr>
        <w:t xml:space="preserve">, si elle était accueillie, invaliderait nécessairement la loi. L’obligation de consulter vise à encourager les gouvernements à tenir compte des effets des mesures qu’ils adoptent sur les collectivités autochtones et à consulter de façon proactive. Elle ne devrait pas remplacer le test de l’atteinte énoncé dans l’arrêt </w:t>
      </w:r>
      <w:r w:rsidRPr="00606C27">
        <w:rPr>
          <w:rFonts w:cs="Times New Roman"/>
          <w:i/>
          <w:lang w:val="fr-CA"/>
        </w:rPr>
        <w:t>Sparrow</w:t>
      </w:r>
      <w:r w:rsidRPr="00606C27">
        <w:rPr>
          <w:rFonts w:cs="Times New Roman"/>
          <w:lang w:val="fr-CA"/>
        </w:rPr>
        <w:t xml:space="preserve"> ou devenir un moyen de routine pour invalider la loi : </w:t>
      </w:r>
      <w:r w:rsidRPr="00CB3C72">
        <w:rPr>
          <w:rFonts w:cs="Times New Roman"/>
          <w:lang w:val="fr-CA"/>
        </w:rPr>
        <w:t>Newman</w:t>
      </w:r>
      <w:r w:rsidRPr="00606C27">
        <w:rPr>
          <w:rFonts w:cs="Times New Roman"/>
          <w:lang w:val="fr-CA"/>
        </w:rPr>
        <w:t>, p. 63.</w:t>
      </w:r>
      <w:r w:rsidRPr="00606C27">
        <w:rPr>
          <w:rFonts w:cs="Times New Roman"/>
          <w:i/>
          <w:lang w:val="fr-CA"/>
        </w:rPr>
        <w:t xml:space="preserve"> </w:t>
      </w:r>
      <w:r w:rsidRPr="00606C27">
        <w:rPr>
          <w:rFonts w:cs="Times New Roman"/>
          <w:lang w:val="fr-CA"/>
        </w:rPr>
        <w:t>En ce sens, l’obligation de consulter diffère des modalités et de la forme requises (et auto</w:t>
      </w:r>
      <w:r w:rsidRPr="00606C27">
        <w:rPr>
          <w:rFonts w:cs="Times New Roman"/>
          <w:lang w:val="fr-CA"/>
        </w:rPr>
        <w:noBreakHyphen/>
        <w:t>imposées) en matière constitutionnelle, qui permettent également le contrôle judiciaire du processus législatif : voir</w:t>
      </w:r>
      <w:r w:rsidR="00022844">
        <w:rPr>
          <w:rFonts w:cs="Times New Roman"/>
          <w:lang w:val="fr-CA"/>
        </w:rPr>
        <w:t>,</w:t>
      </w:r>
      <w:r w:rsidRPr="00606C27">
        <w:rPr>
          <w:rFonts w:cs="Times New Roman"/>
          <w:lang w:val="fr-CA"/>
        </w:rPr>
        <w:t xml:space="preserve"> p</w:t>
      </w:r>
      <w:r w:rsidR="00CB3C72">
        <w:rPr>
          <w:rFonts w:cs="Times New Roman"/>
          <w:lang w:val="fr-CA"/>
        </w:rPr>
        <w:t>.</w:t>
      </w:r>
      <w:r w:rsidRPr="00606C27">
        <w:rPr>
          <w:rFonts w:cs="Times New Roman"/>
          <w:lang w:val="fr-CA"/>
        </w:rPr>
        <w:t xml:space="preserve"> ex., </w:t>
      </w:r>
      <w:r w:rsidRPr="00606C27">
        <w:rPr>
          <w:rFonts w:cs="Times New Roman"/>
          <w:i/>
          <w:lang w:val="fr-CA"/>
        </w:rPr>
        <w:t>Renvoi : Droits linguistiques au Manitoba</w:t>
      </w:r>
      <w:r w:rsidRPr="00606C27">
        <w:rPr>
          <w:rFonts w:cs="Times New Roman"/>
          <w:lang w:val="fr-CA"/>
        </w:rPr>
        <w:t xml:space="preserve">, [1985] 1 R.C.S. 721; </w:t>
      </w:r>
      <w:r w:rsidRPr="00606C27">
        <w:rPr>
          <w:rFonts w:cs="Times New Roman"/>
          <w:i/>
          <w:lang w:val="fr-CA"/>
        </w:rPr>
        <w:lastRenderedPageBreak/>
        <w:t>Gallant c. The King</w:t>
      </w:r>
      <w:r w:rsidRPr="00606C27">
        <w:rPr>
          <w:rFonts w:cs="Times New Roman"/>
          <w:lang w:val="fr-CA"/>
        </w:rPr>
        <w:t>, [1949] 2 D.L.R. 425 (C.S. Î.</w:t>
      </w:r>
      <w:r w:rsidRPr="00606C27">
        <w:rPr>
          <w:rFonts w:cs="Times New Roman"/>
          <w:lang w:val="fr-CA"/>
        </w:rPr>
        <w:noBreakHyphen/>
        <w:t>P.</w:t>
      </w:r>
      <w:r w:rsidRPr="00606C27">
        <w:rPr>
          <w:rFonts w:cs="Times New Roman"/>
          <w:lang w:val="fr-CA"/>
        </w:rPr>
        <w:noBreakHyphen/>
        <w:t>É.) (le juge en chef Campbell). Le défaut de se conformer à une modalité et à une forme requises entraîne l’invalidité de la loi, puisque [</w:t>
      </w:r>
      <w:r w:rsidRPr="00606C27">
        <w:rPr>
          <w:rFonts w:cs="Times New Roman"/>
          <w:smallCaps/>
          <w:lang w:val="fr-CA"/>
        </w:rPr>
        <w:t>traduction</w:t>
      </w:r>
      <w:r w:rsidRPr="00606C27">
        <w:rPr>
          <w:rFonts w:cs="Times New Roman"/>
          <w:lang w:val="fr-CA"/>
        </w:rPr>
        <w:t>] « le caractère exécutoire des règles dans la Constitution ne fait aucun doute » : Hogg, p. 12</w:t>
      </w:r>
      <w:r w:rsidRPr="00606C27">
        <w:rPr>
          <w:rFonts w:cs="Times New Roman"/>
          <w:lang w:val="fr-CA"/>
        </w:rPr>
        <w:noBreakHyphen/>
        <w:t>11, 12</w:t>
      </w:r>
      <w:r w:rsidRPr="00606C27">
        <w:rPr>
          <w:rFonts w:cs="Times New Roman"/>
          <w:lang w:val="fr-CA"/>
        </w:rPr>
        <w:noBreakHyphen/>
        <w:t>18 et 12</w:t>
      </w:r>
      <w:r w:rsidRPr="00606C27">
        <w:rPr>
          <w:rFonts w:cs="Times New Roman"/>
          <w:lang w:val="fr-CA"/>
        </w:rPr>
        <w:noBreakHyphen/>
        <w:t xml:space="preserve">19. Toutefois, l’obligation de consulter est une obligation constitutionnelle qu’il faut respecter, et non une règle de procédure en soi. Le test consiste à déterminer ce qui est nécessaire pour préserver l’honneur de la Couronne et pour concilier les intérêts dans ces circonstances : </w:t>
      </w:r>
      <w:r w:rsidRPr="00606C27">
        <w:rPr>
          <w:rFonts w:cs="Times New Roman"/>
          <w:i/>
          <w:lang w:val="fr-CA"/>
        </w:rPr>
        <w:t>Nation haïda</w:t>
      </w:r>
      <w:r w:rsidRPr="00606C27">
        <w:rPr>
          <w:rFonts w:cs="Times New Roman"/>
          <w:lang w:val="fr-CA"/>
        </w:rPr>
        <w:t>, par. 45.</w:t>
      </w:r>
    </w:p>
    <w:p w:rsidR="00E313A3" w:rsidRPr="00606C27" w:rsidRDefault="00E313A3" w:rsidP="00E313A3">
      <w:pPr>
        <w:pStyle w:val="ParaNoNdepar-AltN"/>
        <w:rPr>
          <w:rFonts w:cs="Times New Roman"/>
          <w:lang w:val="fr-CA"/>
        </w:rPr>
      </w:pPr>
      <w:r w:rsidRPr="00606C27">
        <w:rPr>
          <w:rFonts w:cs="Times New Roman"/>
          <w:lang w:val="fr-CA"/>
        </w:rPr>
        <w:t xml:space="preserve">Sans écarter la possibilité que, dans certains cas, une loi adoptée en violation de l’obligation de consulter puisse être invalidée par une cour de révision, la mesure de redressement généralement appropriée prendra la forme d’une déclaration.  Le jugement déclaratoire dans ces circonstances reconnaît que l’objectif fondamental de l’obligation de consulter est la conciliation, qui « ne constitue pas une réparation juridique définitive au sens usuel du terme » : </w:t>
      </w:r>
      <w:r w:rsidRPr="00606C27">
        <w:rPr>
          <w:rFonts w:cs="Times New Roman"/>
          <w:i/>
          <w:lang w:val="fr-CA"/>
        </w:rPr>
        <w:t>Nation haïda</w:t>
      </w:r>
      <w:r w:rsidRPr="00606C27">
        <w:rPr>
          <w:rFonts w:cs="Times New Roman"/>
          <w:lang w:val="fr-CA"/>
        </w:rPr>
        <w:t xml:space="preserve">, par. 32. Dans l’arrêt </w:t>
      </w:r>
      <w:r w:rsidRPr="00606C27">
        <w:rPr>
          <w:rFonts w:cs="Times New Roman"/>
          <w:i/>
          <w:lang w:val="fr-CA"/>
        </w:rPr>
        <w:t>Manitoba Metis Federation</w:t>
      </w:r>
      <w:r w:rsidRPr="00606C27">
        <w:rPr>
          <w:rFonts w:cs="Times New Roman"/>
          <w:lang w:val="fr-CA"/>
        </w:rPr>
        <w:t xml:space="preserve">, la Cour a prononcé un jugement déclarant que le Canada n’avait pas agi avec diligence dans l’exécution de l’obligation précise envers les Métis prévue à l’art. 31 de la </w:t>
      </w:r>
      <w:r w:rsidRPr="00606C27">
        <w:rPr>
          <w:rFonts w:cs="Times New Roman"/>
          <w:i/>
          <w:lang w:val="fr-CA"/>
        </w:rPr>
        <w:t>Loi de 1870 sur le Manitoba</w:t>
      </w:r>
      <w:r w:rsidRPr="00606C27">
        <w:rPr>
          <w:rFonts w:cs="Times New Roman"/>
          <w:lang w:val="fr-CA"/>
        </w:rPr>
        <w:t>,</w:t>
      </w:r>
      <w:r w:rsidRPr="00606C27">
        <w:rPr>
          <w:rFonts w:cs="Times New Roman"/>
          <w:i/>
          <w:lang w:val="fr-CA"/>
        </w:rPr>
        <w:t xml:space="preserve"> </w:t>
      </w:r>
      <w:r w:rsidRPr="00606C27">
        <w:rPr>
          <w:rFonts w:cs="Times New Roman"/>
          <w:lang w:val="fr-CA"/>
        </w:rPr>
        <w:t xml:space="preserve">S.C. 1870, c. 3. Ce défaut a entraîné un manquement à une autre obligation précise découlant de l’honneur de la Couronne — l’obligation de s’acquitter de ses obligations constitutionnelles de façon téléologique et avec diligence : Dickson, p. 116. Les jugements déclaratoires constituent une réparation d’une portée restreinte, qui peut être ordonnée, peu importe si une mesure de redressement consécutive peut être accordée : </w:t>
      </w:r>
      <w:r w:rsidRPr="00606C27">
        <w:rPr>
          <w:rFonts w:cs="Times New Roman"/>
          <w:i/>
          <w:lang w:val="fr-CA"/>
        </w:rPr>
        <w:t xml:space="preserve">Manitoba Metis </w:t>
      </w:r>
      <w:r w:rsidRPr="00606C27">
        <w:rPr>
          <w:rFonts w:cs="Times New Roman"/>
          <w:i/>
          <w:lang w:val="fr-CA"/>
        </w:rPr>
        <w:lastRenderedPageBreak/>
        <w:t>Federation</w:t>
      </w:r>
      <w:r w:rsidRPr="00606C27">
        <w:rPr>
          <w:rFonts w:cs="Times New Roman"/>
          <w:lang w:val="fr-CA"/>
        </w:rPr>
        <w:t xml:space="preserve">, par. 143. En contexte législatif, le jugement déclaratoire permet aux tribunaux de façonner le cadre juridique tout en respectant le rôle constitutionnel d’une autre branche de l’État d’agir à l’intérieur de ces limites : </w:t>
      </w:r>
      <w:r w:rsidRPr="00606C27">
        <w:rPr>
          <w:rFonts w:cs="Times New Roman"/>
          <w:i/>
          <w:lang w:val="fr-CA"/>
        </w:rPr>
        <w:t>Canada (Premier ministre) c. Khadr</w:t>
      </w:r>
      <w:r w:rsidRPr="00606C27">
        <w:rPr>
          <w:rFonts w:cs="Times New Roman"/>
          <w:lang w:val="fr-CA"/>
        </w:rPr>
        <w:t>, [2010] 1 R.C.S. 44, par. 46</w:t>
      </w:r>
      <w:r w:rsidRPr="00606C27">
        <w:rPr>
          <w:rFonts w:cs="Times New Roman"/>
          <w:lang w:val="fr-CA"/>
        </w:rPr>
        <w:noBreakHyphen/>
        <w:t>47.</w:t>
      </w:r>
    </w:p>
    <w:p w:rsidR="00E313A3" w:rsidRPr="00606C27" w:rsidRDefault="00E313A3" w:rsidP="00E313A3">
      <w:pPr>
        <w:pStyle w:val="ParaNoNdepar-AltN"/>
        <w:rPr>
          <w:rFonts w:cs="Times New Roman"/>
          <w:lang w:val="fr-CA"/>
        </w:rPr>
      </w:pPr>
      <w:r w:rsidRPr="00606C27">
        <w:rPr>
          <w:rFonts w:cs="Times New Roman"/>
          <w:lang w:val="fr-CA"/>
        </w:rPr>
        <w:t xml:space="preserve">Par conséquent, un groupe autochtone a droit à un jugement déclaratoire si la Couronne ne l’a pas consulté durant le processus menant à l’édiction d’une loi qui pourrait avoir un effet préjudiciable sur ses intérêts. Une mesure de redressement de ce type a l’effet concret de clarifier quels sont les obligations et les droits des deux parties dans le contexte de leur relation particulière et du processus de conciliation : </w:t>
      </w:r>
      <w:r w:rsidRPr="00606C27">
        <w:rPr>
          <w:rFonts w:cs="Times New Roman"/>
          <w:i/>
          <w:lang w:val="fr-CA"/>
        </w:rPr>
        <w:t>Mohawks of the Bay of Quinte c. Ministre des Affaire</w:t>
      </w:r>
      <w:r w:rsidR="006A7C50">
        <w:rPr>
          <w:rFonts w:cs="Times New Roman"/>
          <w:i/>
          <w:lang w:val="fr-CA"/>
        </w:rPr>
        <w:t>s indiennes et du Nord canadien</w:t>
      </w:r>
      <w:r w:rsidRPr="00606C27">
        <w:rPr>
          <w:rFonts w:cs="Times New Roman"/>
          <w:lang w:val="fr-CA"/>
        </w:rPr>
        <w:t>, 2013 CF 669, par. 61</w:t>
      </w:r>
      <w:r w:rsidR="006A7C50">
        <w:rPr>
          <w:rFonts w:cs="Times New Roman"/>
          <w:lang w:val="fr-CA"/>
        </w:rPr>
        <w:t xml:space="preserve"> (CanLII)</w:t>
      </w:r>
      <w:r w:rsidRPr="00606C27">
        <w:rPr>
          <w:rFonts w:cs="Times New Roman"/>
          <w:lang w:val="fr-CA"/>
        </w:rPr>
        <w:t xml:space="preserve"> (le juge Rennie).</w:t>
      </w:r>
    </w:p>
    <w:p w:rsidR="00E313A3" w:rsidRPr="00606C27" w:rsidRDefault="00E313A3" w:rsidP="003F54EA">
      <w:pPr>
        <w:pStyle w:val="Title1LevelTitre1Niveau-AltL"/>
        <w:numPr>
          <w:ilvl w:val="0"/>
          <w:numId w:val="18"/>
        </w:numPr>
        <w:rPr>
          <w:rFonts w:cs="Times New Roman"/>
          <w:lang w:val="fr-CA"/>
        </w:rPr>
      </w:pPr>
      <w:r w:rsidRPr="00606C27">
        <w:rPr>
          <w:rFonts w:cs="Times New Roman"/>
          <w:lang w:val="fr-CA"/>
        </w:rPr>
        <w:t>Dispositif</w:t>
      </w:r>
    </w:p>
    <w:p w:rsidR="00E313A3" w:rsidRPr="006A7C50" w:rsidRDefault="00E313A3" w:rsidP="00432B59">
      <w:pPr>
        <w:pStyle w:val="ParaNoNdepar-AltN"/>
        <w:rPr>
          <w:rFonts w:cs="Times New Roman"/>
          <w:lang w:val="fr-CA"/>
        </w:rPr>
      </w:pPr>
      <w:r w:rsidRPr="00606C27">
        <w:rPr>
          <w:rFonts w:cs="Times New Roman"/>
          <w:lang w:val="fr-CA"/>
        </w:rPr>
        <w:t xml:space="preserve">Puisque la Cour fédérale n’avait pas compétence pour examiner la demande de contrôle judiciaire fondée sur les art. 18 et 18.1 de la </w:t>
      </w:r>
      <w:r w:rsidRPr="00606C27">
        <w:rPr>
          <w:rFonts w:cs="Times New Roman"/>
          <w:i/>
          <w:lang w:val="fr-CA"/>
        </w:rPr>
        <w:t>Loi sur les Cours fédérales</w:t>
      </w:r>
      <w:r w:rsidRPr="00606C27">
        <w:rPr>
          <w:rFonts w:cs="Times New Roman"/>
          <w:lang w:val="fr-CA"/>
        </w:rPr>
        <w:t>, je suis d’avis de rejeter le pourvoi.</w:t>
      </w:r>
    </w:p>
    <w:p w:rsidR="00E313A3" w:rsidRPr="00606C27" w:rsidRDefault="006A7C50" w:rsidP="006A7C50">
      <w:pPr>
        <w:tabs>
          <w:tab w:val="left" w:pos="1170"/>
        </w:tabs>
        <w:spacing w:after="480" w:line="480" w:lineRule="auto"/>
        <w:rPr>
          <w:lang w:val="fr-CA"/>
        </w:rPr>
      </w:pPr>
      <w:r>
        <w:rPr>
          <w:lang w:val="fr-CA"/>
        </w:rPr>
        <w:tab/>
      </w:r>
      <w:r w:rsidR="00E313A3" w:rsidRPr="00606C27">
        <w:rPr>
          <w:lang w:val="fr-CA"/>
        </w:rPr>
        <w:t>Version française des motifs rendus par</w:t>
      </w:r>
    </w:p>
    <w:p w:rsidR="00E313A3" w:rsidRPr="00606C27" w:rsidRDefault="00E313A3" w:rsidP="00E313A3">
      <w:pPr>
        <w:pStyle w:val="JudgeJuge"/>
        <w:spacing w:before="480"/>
        <w:rPr>
          <w:lang w:val="fr-CA"/>
        </w:rPr>
      </w:pPr>
      <w:r w:rsidRPr="00606C27">
        <w:rPr>
          <w:lang w:val="fr-CA"/>
        </w:rPr>
        <w:tab/>
        <w:t xml:space="preserve">Le juge Brown — </w:t>
      </w:r>
    </w:p>
    <w:p w:rsidR="00E313A3" w:rsidRPr="00606C27" w:rsidRDefault="00E313A3" w:rsidP="009B1A32">
      <w:pPr>
        <w:pStyle w:val="Title1LevelTitre1Niveau-AltL"/>
        <w:numPr>
          <w:ilvl w:val="0"/>
          <w:numId w:val="19"/>
        </w:numPr>
        <w:spacing w:before="0"/>
        <w:rPr>
          <w:rFonts w:cs="Times New Roman"/>
          <w:lang w:val="fr-CA"/>
        </w:rPr>
      </w:pPr>
      <w:r w:rsidRPr="00606C27">
        <w:rPr>
          <w:rFonts w:cs="Times New Roman"/>
          <w:lang w:val="fr-CA"/>
        </w:rPr>
        <w:t xml:space="preserve">Introduction </w:t>
      </w:r>
    </w:p>
    <w:p w:rsidR="00E313A3" w:rsidRPr="00606C27" w:rsidRDefault="00E313A3" w:rsidP="00E313A3">
      <w:pPr>
        <w:pStyle w:val="ParaNoNdepar-AltN"/>
        <w:rPr>
          <w:lang w:val="fr-CA"/>
        </w:rPr>
      </w:pPr>
      <w:r w:rsidRPr="00606C27">
        <w:rPr>
          <w:lang w:val="fr-CA"/>
        </w:rPr>
        <w:lastRenderedPageBreak/>
        <w:t xml:space="preserve">Le présent pourvoi soulève deux questions. Premièrement, la </w:t>
      </w:r>
      <w:r w:rsidRPr="00606C27">
        <w:rPr>
          <w:i/>
          <w:lang w:val="fr-CA"/>
        </w:rPr>
        <w:t>Loi sur les Cours fédérales</w:t>
      </w:r>
      <w:r w:rsidRPr="00606C27">
        <w:rPr>
          <w:lang w:val="fr-CA"/>
        </w:rPr>
        <w:t>, L.R.C. 1985, c. F</w:t>
      </w:r>
      <w:r w:rsidRPr="00606C27">
        <w:rPr>
          <w:lang w:val="fr-CA"/>
        </w:rPr>
        <w:noBreakHyphen/>
        <w:t>7, autorise</w:t>
      </w:r>
      <w:r w:rsidRPr="00606C27">
        <w:rPr>
          <w:lang w:val="fr-CA"/>
        </w:rPr>
        <w:noBreakHyphen/>
        <w:t>t</w:t>
      </w:r>
      <w:r w:rsidRPr="00606C27">
        <w:rPr>
          <w:lang w:val="fr-CA"/>
        </w:rPr>
        <w:noBreakHyphen/>
        <w:t>elle le contrôle judiciaire de la conduite contestée qui sous</w:t>
      </w:r>
      <w:r w:rsidRPr="00606C27">
        <w:rPr>
          <w:lang w:val="fr-CA"/>
        </w:rPr>
        <w:noBreakHyphen/>
        <w:t>tend la demande d’un tel contrôle présentée par la Mikisew Cree First Nation (ci-après la « </w:t>
      </w:r>
      <w:r w:rsidR="006A7C50">
        <w:rPr>
          <w:lang w:val="fr-CA"/>
        </w:rPr>
        <w:t>Première Nation crie Mikisew »)</w:t>
      </w:r>
      <w:r w:rsidRPr="00606C27">
        <w:rPr>
          <w:lang w:val="fr-CA"/>
        </w:rPr>
        <w:t>? Et, deuxièmement, la conduite contestée en l’espèce donne</w:t>
      </w:r>
      <w:r w:rsidRPr="00606C27">
        <w:rPr>
          <w:lang w:val="fr-CA"/>
        </w:rPr>
        <w:noBreakHyphen/>
        <w:t>t</w:t>
      </w:r>
      <w:r w:rsidRPr="00606C27">
        <w:rPr>
          <w:lang w:val="fr-CA"/>
        </w:rPr>
        <w:noBreakHyphen/>
        <w:t>elle naissance à</w:t>
      </w:r>
      <w:r w:rsidR="006A7C50">
        <w:rPr>
          <w:lang w:val="fr-CA"/>
        </w:rPr>
        <w:t xml:space="preserve"> l’obligation de consulter</w:t>
      </w:r>
      <w:r w:rsidRPr="00606C27">
        <w:rPr>
          <w:lang w:val="fr-CA"/>
        </w:rPr>
        <w:t>?</w:t>
      </w:r>
    </w:p>
    <w:p w:rsidR="00E313A3" w:rsidRPr="00606C27" w:rsidRDefault="00E313A3" w:rsidP="00E313A3">
      <w:pPr>
        <w:pStyle w:val="ParaNoNdepar-AltN"/>
        <w:rPr>
          <w:rFonts w:cs="Times New Roman"/>
          <w:lang w:val="fr-CA"/>
        </w:rPr>
      </w:pPr>
      <w:r w:rsidRPr="00606C27">
        <w:rPr>
          <w:rFonts w:cs="Times New Roman"/>
          <w:lang w:val="fr-CA"/>
        </w:rPr>
        <w:t xml:space="preserve">Je répondrais à ces deux questions par la négative. Je souscris aux motifs exposés par les juges majoritaires de la Cour d’appel fédérale : 2016 CAF 311, [2017] 3 R.C.F. 298. Les paragraphes 2(1) et 2(2) ainsi que l’art. 18.1 de la </w:t>
      </w:r>
      <w:r w:rsidRPr="00606C27">
        <w:rPr>
          <w:rFonts w:cs="Times New Roman"/>
          <w:i/>
          <w:lang w:val="fr-CA"/>
        </w:rPr>
        <w:t xml:space="preserve">Loi sur les Cours fédérales </w:t>
      </w:r>
      <w:r w:rsidRPr="00606C27">
        <w:rPr>
          <w:rFonts w:cs="Times New Roman"/>
          <w:lang w:val="fr-CA"/>
        </w:rPr>
        <w:t xml:space="preserve">empêchent le contrôle judiciaire de l’élaboration, de la rédaction ou du dépôt des projets de loi omnibus. Lorsque les ministres de la Couronne participent à l’élaboration, à la rédaction ou au dépôt d’un projet de loi, ils agissent à titre de législateurs et tirent leur pouvoir de la partie IV de la </w:t>
      </w:r>
      <w:r w:rsidRPr="00606C27">
        <w:rPr>
          <w:rFonts w:cs="Times New Roman"/>
          <w:i/>
          <w:lang w:val="fr-CA"/>
        </w:rPr>
        <w:t>Loi constitutionnelle de 1867</w:t>
      </w:r>
      <w:r w:rsidRPr="00606C27">
        <w:rPr>
          <w:rFonts w:cs="Times New Roman"/>
          <w:lang w:val="fr-CA"/>
        </w:rPr>
        <w:t xml:space="preserve">, et non pas à titre d’« office fédéral » au sens de la </w:t>
      </w:r>
      <w:r w:rsidRPr="00606C27">
        <w:rPr>
          <w:rFonts w:cs="Times New Roman"/>
          <w:i/>
          <w:lang w:val="fr-CA"/>
        </w:rPr>
        <w:t>Loi sur les Cours fédérales</w:t>
      </w:r>
      <w:r w:rsidRPr="00606C27">
        <w:rPr>
          <w:rFonts w:cs="Times New Roman"/>
          <w:lang w:val="fr-CA"/>
        </w:rPr>
        <w:t xml:space="preserve">. Les décisions prises par les ministres lorsqu’ils s’acquittent de leurs fonctions législatives ne peuvent donc pas faire l’objet d’un contrôle judiciaire. </w:t>
      </w:r>
    </w:p>
    <w:p w:rsidR="00E313A3" w:rsidRPr="00606C27" w:rsidRDefault="00E313A3" w:rsidP="00E313A3">
      <w:pPr>
        <w:pStyle w:val="ParaNoNdepar-AltN"/>
        <w:rPr>
          <w:rFonts w:cs="Times New Roman"/>
          <w:lang w:val="fr-CA"/>
        </w:rPr>
      </w:pPr>
      <w:r w:rsidRPr="00606C27">
        <w:rPr>
          <w:rFonts w:cs="Times New Roman"/>
          <w:lang w:val="fr-CA"/>
        </w:rPr>
        <w:t xml:space="preserve">De plus, les principes de la séparation des pouvoirs et du privilège parlementaire s’appliquent aux activités parlementaires ainsi qu’au processus menant au dépôt d’un projet de loi à la Chambre des communes. L’élaboration, la rédaction et le dépôt des projets de loi omnibus sont ainsi à l’abri d’interventions judiciaires. En outre, aucune des actions menées dans le contexte de l’élaboration, de la rédaction et du dépôt des projets de loi omnibus ne peut être considérée comme une « conduite de </w:t>
      </w:r>
      <w:r w:rsidRPr="00606C27">
        <w:rPr>
          <w:rFonts w:cs="Times New Roman"/>
          <w:lang w:val="fr-CA"/>
        </w:rPr>
        <w:lastRenderedPageBreak/>
        <w:t>la Couronne » donnant naissance à l’obligation de consulter. En l’espèce, la conduite contestée relève entièrement de l’exercice du pouvoir législatif (c’est</w:t>
      </w:r>
      <w:r w:rsidRPr="00606C27">
        <w:rPr>
          <w:rFonts w:cs="Times New Roman"/>
          <w:lang w:val="fr-CA"/>
        </w:rPr>
        <w:noBreakHyphen/>
        <w:t>à</w:t>
      </w:r>
      <w:r w:rsidRPr="00606C27">
        <w:rPr>
          <w:rFonts w:cs="Times New Roman"/>
          <w:lang w:val="fr-CA"/>
        </w:rPr>
        <w:noBreakHyphen/>
        <w:t>dire qu’elle fait partie intégrante du processus législatif) et ne constitue donc pas une conduite de l’exécutif à laquelle s’applique l’obligation de consulter.</w:t>
      </w:r>
    </w:p>
    <w:p w:rsidR="00E313A3" w:rsidRPr="00606C27" w:rsidRDefault="00E313A3" w:rsidP="00E313A3">
      <w:pPr>
        <w:pStyle w:val="ParaNoNdepar-AltN"/>
        <w:rPr>
          <w:rFonts w:cs="Times New Roman"/>
          <w:lang w:val="fr-CA"/>
        </w:rPr>
      </w:pPr>
      <w:r w:rsidRPr="00606C27">
        <w:rPr>
          <w:rFonts w:cs="Times New Roman"/>
          <w:lang w:val="fr-CA"/>
        </w:rPr>
        <w:t>Ma collègue la juge Karakatsanis semble convenir que le privilège parlementaire et la séparation des pouvoirs empêchent les cours de justice d’imposer l’obligation de consulter : par. 2 et 38</w:t>
      </w:r>
      <w:r w:rsidRPr="00606C27">
        <w:rPr>
          <w:rFonts w:cs="Times New Roman"/>
          <w:lang w:val="fr-CA"/>
        </w:rPr>
        <w:noBreakHyphen/>
        <w:t xml:space="preserve">50. J’estime en tout respect que ses conclusions sont loin d’être catégoriques à cet égard (par. 2 : « les tribunaux </w:t>
      </w:r>
      <w:r w:rsidRPr="00606C27">
        <w:rPr>
          <w:lang w:val="fr-CA"/>
        </w:rPr>
        <w:t xml:space="preserve">doivent </w:t>
      </w:r>
      <w:r w:rsidRPr="00606C27">
        <w:rPr>
          <w:i/>
          <w:lang w:val="fr-CA"/>
        </w:rPr>
        <w:t>faire preuve de retenue</w:t>
      </w:r>
      <w:r w:rsidRPr="00606C27">
        <w:rPr>
          <w:lang w:val="fr-CA"/>
        </w:rPr>
        <w:t> </w:t>
      </w:r>
      <w:r w:rsidRPr="00606C27">
        <w:rPr>
          <w:rFonts w:cs="Times New Roman"/>
          <w:lang w:val="fr-CA"/>
        </w:rPr>
        <w:t>»; par. 2, 32 et 41 : « [l]</w:t>
      </w:r>
      <w:r w:rsidRPr="00606C27">
        <w:rPr>
          <w:lang w:val="fr-CA"/>
        </w:rPr>
        <w:t xml:space="preserve">a doctrine de l’obligation de consulter </w:t>
      </w:r>
      <w:r w:rsidRPr="00606C27">
        <w:rPr>
          <w:i/>
          <w:lang w:val="fr-CA"/>
        </w:rPr>
        <w:t>ne convient pas</w:t>
      </w:r>
      <w:r w:rsidRPr="00606C27">
        <w:rPr>
          <w:rFonts w:cs="Times New Roman"/>
          <w:i/>
          <w:lang w:val="fr-CA"/>
        </w:rPr>
        <w:t> </w:t>
      </w:r>
      <w:r w:rsidRPr="00606C27">
        <w:rPr>
          <w:rFonts w:cs="Times New Roman"/>
          <w:lang w:val="fr-CA"/>
        </w:rPr>
        <w:t>»; par. 29 : « </w:t>
      </w:r>
      <w:r w:rsidRPr="00606C27">
        <w:rPr>
          <w:lang w:val="fr-CA"/>
        </w:rPr>
        <w:t xml:space="preserve">si c’est </w:t>
      </w:r>
      <w:r w:rsidRPr="00606C27">
        <w:rPr>
          <w:i/>
          <w:lang w:val="fr-CA"/>
        </w:rPr>
        <w:t>en invoquant</w:t>
      </w:r>
      <w:r w:rsidRPr="00606C27">
        <w:rPr>
          <w:lang w:val="fr-CA"/>
        </w:rPr>
        <w:t xml:space="preserve"> l’obligation de consulter</w:t>
      </w:r>
      <w:r w:rsidRPr="00606C27">
        <w:rPr>
          <w:rFonts w:cs="Times New Roman"/>
          <w:lang w:val="fr-CA"/>
        </w:rPr>
        <w:t> »; par. 32 : « </w:t>
      </w:r>
      <w:r w:rsidRPr="00606C27">
        <w:rPr>
          <w:lang w:val="fr-CA"/>
        </w:rPr>
        <w:t xml:space="preserve">que les tribunaux </w:t>
      </w:r>
      <w:r w:rsidRPr="00606C27">
        <w:rPr>
          <w:i/>
          <w:lang w:val="fr-CA"/>
        </w:rPr>
        <w:t>s’abstiennent</w:t>
      </w:r>
      <w:r w:rsidRPr="00606C27">
        <w:rPr>
          <w:lang w:val="fr-CA"/>
        </w:rPr>
        <w:t xml:space="preserve"> d’intervenir dans le processus législatif</w:t>
      </w:r>
      <w:r w:rsidRPr="00606C27">
        <w:rPr>
          <w:rFonts w:cs="Times New Roman"/>
          <w:lang w:val="fr-CA"/>
        </w:rPr>
        <w:t> »; par. 35 : « </w:t>
      </w:r>
      <w:r w:rsidRPr="00606C27">
        <w:rPr>
          <w:lang w:val="fr-CA"/>
        </w:rPr>
        <w:t xml:space="preserve">cette </w:t>
      </w:r>
      <w:r w:rsidRPr="00606C27">
        <w:rPr>
          <w:i/>
          <w:lang w:val="fr-CA"/>
        </w:rPr>
        <w:t>réticence</w:t>
      </w:r>
      <w:r w:rsidRPr="00606C27">
        <w:rPr>
          <w:lang w:val="fr-CA"/>
        </w:rPr>
        <w:t xml:space="preserve"> à surveiller le processus législatif</w:t>
      </w:r>
      <w:r w:rsidRPr="00606C27">
        <w:rPr>
          <w:rFonts w:cs="Times New Roman"/>
          <w:lang w:val="fr-CA" w:bidi="en-US"/>
        </w:rPr>
        <w:t xml:space="preserve"> »; </w:t>
      </w:r>
      <w:r w:rsidRPr="00606C27">
        <w:rPr>
          <w:rFonts w:cs="Times New Roman"/>
          <w:lang w:val="fr-CA"/>
        </w:rPr>
        <w:t>par. 38 : « </w:t>
      </w:r>
      <w:r w:rsidRPr="00606C27">
        <w:rPr>
          <w:lang w:val="fr-CA"/>
        </w:rPr>
        <w:t xml:space="preserve">entraverait </w:t>
      </w:r>
      <w:r w:rsidRPr="00606C27">
        <w:rPr>
          <w:i/>
          <w:lang w:val="fr-CA"/>
        </w:rPr>
        <w:t>indûment</w:t>
      </w:r>
      <w:r w:rsidRPr="00606C27">
        <w:rPr>
          <w:lang w:val="fr-CA"/>
        </w:rPr>
        <w:t> </w:t>
      </w:r>
      <w:r w:rsidRPr="00606C27">
        <w:rPr>
          <w:rFonts w:cs="Times New Roman"/>
          <w:lang w:val="fr-CA"/>
        </w:rPr>
        <w:t>»; par. 40 : « </w:t>
      </w:r>
      <w:r w:rsidRPr="00606C27">
        <w:rPr>
          <w:lang w:val="fr-CA"/>
        </w:rPr>
        <w:t xml:space="preserve">il serait </w:t>
      </w:r>
      <w:r w:rsidRPr="00606C27">
        <w:rPr>
          <w:i/>
          <w:lang w:val="fr-CA"/>
        </w:rPr>
        <w:t>extrêmement difficile</w:t>
      </w:r>
      <w:r w:rsidR="006A7C50">
        <w:rPr>
          <w:rFonts w:cs="Times New Roman"/>
          <w:lang w:val="fr-CA"/>
        </w:rPr>
        <w:t> » (</w:t>
      </w:r>
      <w:r w:rsidRPr="00606C27">
        <w:rPr>
          <w:rFonts w:cs="Times New Roman"/>
          <w:lang w:val="fr-CA"/>
        </w:rPr>
        <w:t>italiques ajoutés</w:t>
      </w:r>
      <w:r w:rsidR="006A7C50">
        <w:rPr>
          <w:rFonts w:cs="Times New Roman"/>
          <w:lang w:val="fr-CA"/>
        </w:rPr>
        <w:t>)). Pour les motifs qui suivent</w:t>
      </w:r>
      <w:r w:rsidRPr="00606C27">
        <w:rPr>
          <w:rFonts w:cs="Times New Roman"/>
          <w:lang w:val="fr-CA"/>
        </w:rPr>
        <w:t xml:space="preserve"> (section intitulée « II. C. </w:t>
      </w:r>
      <w:r w:rsidRPr="006A7C50">
        <w:rPr>
          <w:rFonts w:cs="Times New Roman"/>
          <w:lang w:val="fr-CA"/>
        </w:rPr>
        <w:t>L’élaboration, le dépôt, l’examen et l’adoption des projets de loi ne constituent pas des “conduites de la Couronneˮ qui donnent naissance à l’obligation de consulter</w:t>
      </w:r>
      <w:r w:rsidRPr="00606C27">
        <w:rPr>
          <w:rFonts w:cs="Times New Roman"/>
          <w:lang w:val="fr-CA"/>
        </w:rPr>
        <w:t> »), la question de savoir si une cour de justice peut imposer l’obligation de consulter dans le contexte du processus par lequel s’exerce le pouvoir législatif n’est pas qu’une simple qu</w:t>
      </w:r>
      <w:r w:rsidR="006A7C50">
        <w:rPr>
          <w:rFonts w:cs="Times New Roman"/>
          <w:lang w:val="fr-CA"/>
        </w:rPr>
        <w:t>estion de « retenue », d’« abstention</w:t>
      </w:r>
      <w:r w:rsidRPr="00606C27">
        <w:rPr>
          <w:rFonts w:cs="Times New Roman"/>
          <w:lang w:val="fr-CA"/>
        </w:rPr>
        <w:t> » ou de « réticence », ou une question de décider si l’imposition d’une telle obligation c</w:t>
      </w:r>
      <w:r w:rsidR="006A7C50">
        <w:rPr>
          <w:rFonts w:cs="Times New Roman"/>
          <w:lang w:val="fr-CA"/>
        </w:rPr>
        <w:t>réerait une contrainte « indue</w:t>
      </w:r>
      <w:r w:rsidRPr="00606C27">
        <w:rPr>
          <w:rFonts w:cs="Times New Roman"/>
          <w:lang w:val="fr-CA"/>
        </w:rPr>
        <w:t xml:space="preserve"> » ou qui « ne convient pas » à cet exercice du pouvoir. Il s’agit plutôt d’une question de constitutionnalité touchant aux limites du pouvoir judiciaire, </w:t>
      </w:r>
      <w:r w:rsidRPr="00606C27">
        <w:rPr>
          <w:rFonts w:cs="Times New Roman"/>
          <w:lang w:val="fr-CA"/>
        </w:rPr>
        <w:lastRenderedPageBreak/>
        <w:t>une question à laquelle une majorité des juges de la Cour devrait donner une réponse claire et correcte sur le plan constitutionnel.</w:t>
      </w:r>
    </w:p>
    <w:p w:rsidR="00E313A3" w:rsidRPr="00606C27" w:rsidRDefault="00E313A3" w:rsidP="00E313A3">
      <w:pPr>
        <w:pStyle w:val="ParaNoNdepar-AltN"/>
        <w:rPr>
          <w:rFonts w:cs="Times New Roman"/>
          <w:lang w:val="fr-CA"/>
        </w:rPr>
      </w:pPr>
      <w:r w:rsidRPr="00606C27">
        <w:rPr>
          <w:rFonts w:cs="Times New Roman"/>
          <w:lang w:val="fr-CA"/>
        </w:rPr>
        <w:t xml:space="preserve">Ma collègue irait toutefois plus loin, en soulevant — mais sans trancher la question — la possibilité qu’une loi qui ne porte pas atteinte aux droits protégés par l’art. 35, mais qui serait « susceptible d’avoir un effet préjudiciable sur [eux] », pourrait être jugée incompatible avec l’honneur de la Couronne : par. 3 et 25. Ce faisant, elle mine toutefois les principes mêmes qui l’ont menée à conclure que l’imposition de l’obligation de consulter </w:t>
      </w:r>
      <w:r w:rsidR="006A7C50">
        <w:rPr>
          <w:rFonts w:cs="Times New Roman"/>
          <w:lang w:val="fr-CA"/>
        </w:rPr>
        <w:t>constituerait une entrave « indue</w:t>
      </w:r>
      <w:r w:rsidRPr="00606C27">
        <w:rPr>
          <w:rFonts w:cs="Times New Roman"/>
          <w:lang w:val="fr-CA"/>
        </w:rPr>
        <w:t xml:space="preserve"> » dans les circonstances de la présente cause. En outre, en soulevant la possibilité (je le souligne, sans qu’aucune des parties au présent appel n’en ait fait la demande) qu’une loi valablement adoptée et conforme à la Constitution, qui n’est pas ou ne pourrait être contestée avec succès sur le fondement de l’art. 35, peut néanmoins être déclarée « incompatible avec [l’honneur de la Couronne] » </w:t>
      </w:r>
      <w:r w:rsidR="006A7C50">
        <w:rPr>
          <w:rFonts w:cs="Times New Roman"/>
          <w:lang w:val="fr-CA"/>
        </w:rPr>
        <w:t xml:space="preserve">(par. 47) </w:t>
      </w:r>
      <w:r w:rsidRPr="00606C27">
        <w:rPr>
          <w:rFonts w:cs="Times New Roman"/>
          <w:lang w:val="fr-CA"/>
        </w:rPr>
        <w:t>par une cour, ma collègue sèmerait une grande incertitude dans ce domaine du droit. Une telle incertitude nuirait aux peuples autochtones, et, de fait, à toutes les personnes qui se fient sur l’efficacité des lois valablement adoptées et conformes à la Constitution.</w:t>
      </w:r>
    </w:p>
    <w:p w:rsidR="00E313A3" w:rsidRPr="00606C27" w:rsidRDefault="00E313A3" w:rsidP="00E313A3">
      <w:pPr>
        <w:pStyle w:val="ParaNoNdepar-AltN"/>
        <w:rPr>
          <w:rFonts w:cs="Times New Roman"/>
          <w:lang w:val="fr-CA"/>
        </w:rPr>
      </w:pPr>
      <w:r w:rsidRPr="00606C27">
        <w:rPr>
          <w:rFonts w:cs="Times New Roman"/>
          <w:lang w:val="fr-CA"/>
        </w:rPr>
        <w:t>Je ne peux donc pas souscrire aux motifs de la juge Karakatsanis. Je suis certes d’avis, comme elle, que l’appel devrait être rejeté, mais je rédige des motifs distincts pour tenter d’apporter à la question une certaine clarté sur le plan analytique. Les faits, les décisions des instances inférieures ainsi que la législation pertinente sont exposés dans les motifs de ma collègue.</w:t>
      </w:r>
    </w:p>
    <w:p w:rsidR="00E313A3" w:rsidRPr="00606C27" w:rsidRDefault="00E313A3" w:rsidP="00E313A3">
      <w:pPr>
        <w:pStyle w:val="Title1LevelTitre1Niveau-AltL"/>
        <w:rPr>
          <w:rFonts w:cs="Times New Roman"/>
          <w:lang w:val="fr-CA"/>
        </w:rPr>
      </w:pPr>
      <w:r w:rsidRPr="00606C27">
        <w:rPr>
          <w:rFonts w:cs="Times New Roman"/>
          <w:lang w:val="fr-CA"/>
        </w:rPr>
        <w:lastRenderedPageBreak/>
        <w:t>Analyse</w:t>
      </w:r>
    </w:p>
    <w:p w:rsidR="00E313A3" w:rsidRPr="00606C27" w:rsidRDefault="00E313A3" w:rsidP="00E313A3">
      <w:pPr>
        <w:pStyle w:val="Title2LevelTitre2Niveau"/>
        <w:rPr>
          <w:lang w:val="fr-CA"/>
        </w:rPr>
      </w:pPr>
      <w:r w:rsidRPr="00606C27">
        <w:rPr>
          <w:lang w:val="fr-CA"/>
        </w:rPr>
        <w:t>La Loi sur les Cours fédérales empêche le contrôle de l’élaboration et de la mise en œuvre de politiques législatives au moyen de projets de loi omnibus par les ministres et le gouverneur général en conseil</w:t>
      </w:r>
    </w:p>
    <w:p w:rsidR="00E313A3" w:rsidRPr="00606C27" w:rsidRDefault="00E313A3" w:rsidP="00E313A3">
      <w:pPr>
        <w:pStyle w:val="ParaNoNdepar-AltN"/>
        <w:rPr>
          <w:rFonts w:cs="Times New Roman"/>
          <w:lang w:val="fr-CA"/>
        </w:rPr>
      </w:pPr>
      <w:r w:rsidRPr="00606C27">
        <w:rPr>
          <w:rFonts w:cs="Times New Roman"/>
          <w:lang w:val="fr-CA"/>
        </w:rPr>
        <w:t xml:space="preserve">Les principes de base sont instructifs. La Cour fédérale ne jouit pas d’une compétence inhérente. Le législateur doit donc lui conférer la compétence voulue pour qu’elle puisse entendre et trancher une affaire : </w:t>
      </w:r>
      <w:r w:rsidRPr="00606C27">
        <w:rPr>
          <w:rFonts w:cs="Times New Roman"/>
          <w:i/>
          <w:lang w:val="fr-CA"/>
        </w:rPr>
        <w:t>Canada (Procureur général) c. TeleZone</w:t>
      </w:r>
      <w:r w:rsidRPr="00606C27">
        <w:rPr>
          <w:rFonts w:cs="Times New Roman"/>
          <w:lang w:val="fr-CA"/>
        </w:rPr>
        <w:t xml:space="preserve"> </w:t>
      </w:r>
      <w:r w:rsidRPr="00606C27">
        <w:rPr>
          <w:rFonts w:cs="Times New Roman"/>
          <w:i/>
          <w:lang w:val="fr-CA"/>
        </w:rPr>
        <w:t>Inc.</w:t>
      </w:r>
      <w:r w:rsidRPr="00606C27">
        <w:rPr>
          <w:rFonts w:cs="Times New Roman"/>
          <w:lang w:val="fr-CA"/>
        </w:rPr>
        <w:t xml:space="preserve">, 2010 CSC 62, [2010] 3 R.C.S. 585, par. 43; </w:t>
      </w:r>
      <w:r w:rsidRPr="00606C27">
        <w:rPr>
          <w:rFonts w:cs="Times New Roman"/>
          <w:i/>
          <w:lang w:val="fr-CA"/>
        </w:rPr>
        <w:t>ITO — International Terminal Operators Ltd. c. Miida Electronics Inc.</w:t>
      </w:r>
      <w:r w:rsidRPr="00606C27">
        <w:rPr>
          <w:rFonts w:cs="Times New Roman"/>
          <w:lang w:val="fr-CA"/>
        </w:rPr>
        <w:t>, [1986] 1 R.C.S. 752, p. 766. En adoptant les art</w:t>
      </w:r>
      <w:r w:rsidR="003B5E3C">
        <w:rPr>
          <w:rFonts w:cs="Times New Roman"/>
          <w:lang w:val="fr-CA"/>
        </w:rPr>
        <w:t>.</w:t>
      </w:r>
      <w:r w:rsidRPr="00606C27">
        <w:rPr>
          <w:rFonts w:cs="Times New Roman"/>
          <w:lang w:val="fr-CA"/>
        </w:rPr>
        <w:t xml:space="preserve"> 18, 18.1 et 28 de la </w:t>
      </w:r>
      <w:r w:rsidRPr="00606C27">
        <w:rPr>
          <w:rFonts w:cs="Times New Roman"/>
          <w:i/>
          <w:lang w:val="fr-CA"/>
        </w:rPr>
        <w:t>Loi sur les Cours fédérales</w:t>
      </w:r>
      <w:r w:rsidRPr="00606C27">
        <w:rPr>
          <w:rFonts w:cs="Times New Roman"/>
          <w:lang w:val="fr-CA"/>
        </w:rPr>
        <w:t xml:space="preserve">, le législateur a accordé à la Cour fédérale et à la Cour d’appel fédérale la compétence exclusive pour contrôler les actes posés par un « office fédéral » ou les décisions prises par un tel « office ». </w:t>
      </w:r>
    </w:p>
    <w:p w:rsidR="00E313A3" w:rsidRPr="00606C27" w:rsidRDefault="00E313A3" w:rsidP="00E313A3">
      <w:pPr>
        <w:pStyle w:val="ParaNoNdepar-AltN"/>
        <w:rPr>
          <w:rFonts w:cs="Times New Roman"/>
          <w:lang w:val="fr-CA"/>
        </w:rPr>
      </w:pPr>
      <w:r w:rsidRPr="00606C27">
        <w:rPr>
          <w:rFonts w:cs="Times New Roman"/>
          <w:lang w:val="fr-CA"/>
        </w:rPr>
        <w:t xml:space="preserve">Le paragraphe 2(1) de la </w:t>
      </w:r>
      <w:r w:rsidRPr="00606C27">
        <w:rPr>
          <w:rFonts w:cs="Times New Roman"/>
          <w:i/>
          <w:lang w:val="fr-CA"/>
        </w:rPr>
        <w:t xml:space="preserve">Loi sur les Cours fédérales </w:t>
      </w:r>
      <w:r w:rsidRPr="00606C27">
        <w:rPr>
          <w:rFonts w:cs="Times New Roman"/>
          <w:lang w:val="fr-CA"/>
        </w:rPr>
        <w:t xml:space="preserve">définit ainsi le terme « office fédéral » : </w:t>
      </w:r>
    </w:p>
    <w:p w:rsidR="00E313A3" w:rsidRPr="00606C27" w:rsidRDefault="00E313A3" w:rsidP="00E313A3">
      <w:pPr>
        <w:pStyle w:val="Citation-AltC"/>
        <w:spacing w:after="240"/>
        <w:ind w:hanging="1166"/>
        <w:contextualSpacing w:val="0"/>
        <w:rPr>
          <w:b/>
          <w:lang w:val="fr-CA"/>
        </w:rPr>
      </w:pPr>
      <w:r w:rsidRPr="00606C27">
        <w:rPr>
          <w:b/>
          <w:lang w:val="fr-CA"/>
        </w:rPr>
        <w:tab/>
        <w:t xml:space="preserve">Définitions </w:t>
      </w:r>
    </w:p>
    <w:p w:rsidR="00E313A3" w:rsidRPr="00606C27" w:rsidRDefault="00E313A3" w:rsidP="00E313A3">
      <w:pPr>
        <w:pStyle w:val="Citation-AltC"/>
        <w:spacing w:after="240"/>
        <w:ind w:hanging="1166"/>
        <w:contextualSpacing w:val="0"/>
        <w:rPr>
          <w:lang w:val="fr-CA"/>
        </w:rPr>
      </w:pPr>
      <w:r w:rsidRPr="00606C27">
        <w:rPr>
          <w:b/>
          <w:lang w:val="fr-CA"/>
        </w:rPr>
        <w:tab/>
        <w:t>2 (1)</w:t>
      </w:r>
      <w:r w:rsidRPr="00606C27">
        <w:rPr>
          <w:lang w:val="fr-CA"/>
        </w:rPr>
        <w:t xml:space="preserve"> Les définitions qui suivent s’appliquent à la présente loi.</w:t>
      </w:r>
    </w:p>
    <w:p w:rsidR="00E313A3" w:rsidRPr="00606C27" w:rsidRDefault="00E313A3" w:rsidP="00E313A3">
      <w:pPr>
        <w:pStyle w:val="ParaNoNdepar-AltN"/>
        <w:numPr>
          <w:ilvl w:val="0"/>
          <w:numId w:val="0"/>
        </w:numPr>
        <w:spacing w:before="0" w:after="240" w:line="240" w:lineRule="auto"/>
        <w:jc w:val="center"/>
        <w:rPr>
          <w:lang w:val="fr-CA"/>
        </w:rPr>
      </w:pPr>
      <w:r w:rsidRPr="00606C27">
        <w:rPr>
          <w:lang w:val="fr-CA"/>
        </w:rPr>
        <w:t>. . .</w:t>
      </w:r>
    </w:p>
    <w:p w:rsidR="00E313A3" w:rsidRPr="00606C27" w:rsidRDefault="00E313A3" w:rsidP="00E313A3">
      <w:pPr>
        <w:pStyle w:val="Citation-AltC"/>
        <w:ind w:hanging="1166"/>
        <w:contextualSpacing w:val="0"/>
        <w:rPr>
          <w:lang w:val="fr-CA"/>
        </w:rPr>
      </w:pPr>
      <w:r w:rsidRPr="00606C27">
        <w:rPr>
          <w:b/>
          <w:lang w:val="fr-CA"/>
        </w:rPr>
        <w:tab/>
      </w:r>
      <w:r w:rsidRPr="003B5E3C">
        <w:rPr>
          <w:b/>
          <w:i/>
          <w:lang w:val="fr-CA"/>
        </w:rPr>
        <w:t>office fédéral</w:t>
      </w:r>
      <w:r w:rsidRPr="00606C27">
        <w:rPr>
          <w:lang w:val="fr-CA"/>
        </w:rPr>
        <w:t xml:space="preserve"> Conseil, bureau, commission ou autre organisme, ou personne ou groupe de personnes, ayant, exerçant ou censé exercer une compétence ou des pouvoirs prévus par une loi fédérale ou par une ordonnance prise en vertu d’une prérogative royale, à l’exclusion de la Cour canadienne de l’impôt et ses juges, d’un organisme constitué sous le régime d’une loi provinciale ou d’une personne ou d’un groupe de </w:t>
      </w:r>
      <w:r w:rsidRPr="00606C27">
        <w:rPr>
          <w:lang w:val="fr-CA"/>
        </w:rPr>
        <w:lastRenderedPageBreak/>
        <w:t xml:space="preserve">personnes nommées aux termes d’une loi provinciale ou de l’article 96 de la </w:t>
      </w:r>
      <w:r w:rsidRPr="00606C27">
        <w:rPr>
          <w:i/>
          <w:lang w:val="fr-CA"/>
        </w:rPr>
        <w:t>Loi constitutionnelle de 1867</w:t>
      </w:r>
      <w:r w:rsidRPr="00606C27">
        <w:rPr>
          <w:lang w:val="fr-CA"/>
        </w:rPr>
        <w:t>.</w:t>
      </w:r>
    </w:p>
    <w:p w:rsidR="00E313A3" w:rsidRPr="00606C27" w:rsidRDefault="00E313A3" w:rsidP="00E313A3">
      <w:pPr>
        <w:pStyle w:val="ParaNoNdepar-AltN"/>
        <w:rPr>
          <w:rFonts w:cs="Times New Roman"/>
          <w:lang w:val="fr-CA"/>
        </w:rPr>
      </w:pPr>
      <w:r w:rsidRPr="00606C27">
        <w:rPr>
          <w:rFonts w:cs="Times New Roman"/>
          <w:lang w:val="fr-CA"/>
        </w:rPr>
        <w:t xml:space="preserve">Le Sénat et la Chambre des communes sont expressément exclus de cette définition aux termes du par. 2(2) de la </w:t>
      </w:r>
      <w:r w:rsidRPr="00606C27">
        <w:rPr>
          <w:rFonts w:cs="Times New Roman"/>
          <w:i/>
          <w:lang w:val="fr-CA"/>
        </w:rPr>
        <w:t>Loi sur les Cours fédérales</w:t>
      </w:r>
      <w:r w:rsidRPr="00606C27">
        <w:rPr>
          <w:rFonts w:cs="Times New Roman"/>
          <w:lang w:val="fr-CA"/>
        </w:rPr>
        <w:t xml:space="preserve"> : </w:t>
      </w:r>
    </w:p>
    <w:p w:rsidR="00E313A3" w:rsidRPr="00606C27" w:rsidRDefault="00E313A3" w:rsidP="00E313A3">
      <w:pPr>
        <w:pStyle w:val="Citation-AltC"/>
        <w:spacing w:after="240"/>
        <w:ind w:hanging="1166"/>
        <w:contextualSpacing w:val="0"/>
        <w:rPr>
          <w:b/>
          <w:lang w:val="fr-CA"/>
        </w:rPr>
      </w:pPr>
      <w:r w:rsidRPr="00606C27">
        <w:rPr>
          <w:b/>
          <w:lang w:val="fr-CA"/>
        </w:rPr>
        <w:tab/>
        <w:t xml:space="preserve">Sénat et Chambre des communes </w:t>
      </w:r>
    </w:p>
    <w:p w:rsidR="00E313A3" w:rsidRPr="00606C27" w:rsidRDefault="00E313A3" w:rsidP="00E313A3">
      <w:pPr>
        <w:pStyle w:val="Citation-AltC"/>
        <w:ind w:hanging="1166"/>
        <w:contextualSpacing w:val="0"/>
        <w:rPr>
          <w:lang w:val="fr-CA"/>
        </w:rPr>
      </w:pPr>
      <w:r w:rsidRPr="00606C27">
        <w:rPr>
          <w:b/>
          <w:lang w:val="fr-CA"/>
        </w:rPr>
        <w:tab/>
        <w:t>(2)</w:t>
      </w:r>
      <w:r w:rsidRPr="00606C27">
        <w:rPr>
          <w:lang w:val="fr-CA"/>
        </w:rPr>
        <w:t xml:space="preserve"> Il est entendu que sont également exclus de la définition de </w:t>
      </w:r>
      <w:r w:rsidRPr="00606C27">
        <w:rPr>
          <w:i/>
          <w:lang w:val="fr-CA"/>
        </w:rPr>
        <w:t>office fédéral</w:t>
      </w:r>
      <w:r w:rsidRPr="00606C27">
        <w:rPr>
          <w:lang w:val="fr-CA"/>
        </w:rPr>
        <w:t xml:space="preserve"> le Sénat, la Chambre des communes, tout comité de l’une ou l’autre chambre, tout sénateur ou député, le conseiller sénatorial en éthique, le commissaire aux conflits d’intérêts et à l’éthique à l’égard de l’exercice de sa compétence et de ses attributions visées aux articles 41.1 à 41.5 et 86 de la </w:t>
      </w:r>
      <w:r w:rsidRPr="00606C27">
        <w:rPr>
          <w:i/>
          <w:lang w:val="fr-CA"/>
        </w:rPr>
        <w:t>Loi sur le Parlement du Canada</w:t>
      </w:r>
      <w:r w:rsidRPr="00606C27">
        <w:rPr>
          <w:lang w:val="fr-CA"/>
        </w:rPr>
        <w:t xml:space="preserve">, le Service de protection parlementaire et le directeur parlementaire du budget. </w:t>
      </w:r>
    </w:p>
    <w:p w:rsidR="00E313A3" w:rsidRPr="00606C27" w:rsidRDefault="00E313A3" w:rsidP="00E313A3">
      <w:pPr>
        <w:pStyle w:val="ParaNoNdepar-AltN"/>
        <w:rPr>
          <w:rFonts w:cs="Times New Roman"/>
          <w:lang w:val="fr-CA"/>
        </w:rPr>
      </w:pPr>
      <w:r w:rsidRPr="00606C27">
        <w:rPr>
          <w:rFonts w:cs="Times New Roman"/>
          <w:lang w:val="fr-CA"/>
        </w:rPr>
        <w:t>Ensemble, les para</w:t>
      </w:r>
      <w:r w:rsidR="003B5E3C">
        <w:rPr>
          <w:rFonts w:cs="Times New Roman"/>
          <w:lang w:val="fr-CA"/>
        </w:rPr>
        <w:t>.</w:t>
      </w:r>
      <w:r w:rsidRPr="00606C27">
        <w:rPr>
          <w:rFonts w:cs="Times New Roman"/>
          <w:lang w:val="fr-CA"/>
        </w:rPr>
        <w:t xml:space="preserve"> 2(1) et 2(2) précisent que la source de la « compétence ou des pouvoirs » exercés est le facteur principal pour juger si un décideur est visé ou non par la définition d’« office fédéral » : </w:t>
      </w:r>
      <w:r w:rsidRPr="00606C27">
        <w:rPr>
          <w:rFonts w:cs="Times New Roman"/>
          <w:i/>
          <w:lang w:val="fr-CA"/>
        </w:rPr>
        <w:t>Anisman c. Canada (Agence des services frontaliers)</w:t>
      </w:r>
      <w:r w:rsidRPr="00606C27">
        <w:rPr>
          <w:rFonts w:cs="Times New Roman"/>
          <w:lang w:val="fr-CA"/>
        </w:rPr>
        <w:t>, 2010 CAF 52, par. 29</w:t>
      </w:r>
      <w:r w:rsidRPr="00606C27">
        <w:rPr>
          <w:rFonts w:cs="Times New Roman"/>
          <w:lang w:val="fr-CA"/>
        </w:rPr>
        <w:noBreakHyphen/>
        <w:t>31</w:t>
      </w:r>
      <w:r w:rsidR="003B5E3C">
        <w:rPr>
          <w:rFonts w:cs="Times New Roman"/>
          <w:lang w:val="fr-CA"/>
        </w:rPr>
        <w:t xml:space="preserve"> (CanLII)</w:t>
      </w:r>
      <w:r w:rsidRPr="00606C27">
        <w:rPr>
          <w:rFonts w:cs="Times New Roman"/>
          <w:lang w:val="fr-CA"/>
        </w:rPr>
        <w:t xml:space="preserve">; </w:t>
      </w:r>
      <w:r w:rsidRPr="00606C27">
        <w:rPr>
          <w:rFonts w:cs="Times New Roman"/>
          <w:i/>
          <w:lang w:val="fr-CA"/>
        </w:rPr>
        <w:t>Air Canada c. Administration portuaire de Toronto</w:t>
      </w:r>
      <w:r w:rsidRPr="00606C27">
        <w:rPr>
          <w:rFonts w:cs="Times New Roman"/>
          <w:lang w:val="fr-CA"/>
        </w:rPr>
        <w:t xml:space="preserve">, 2011 CAF 347, [2013] 3 R.C.F. 605, par. 47; D. J. M. Brown et J. M. Evans, avec le concours de D. Fairlie, </w:t>
      </w:r>
      <w:r w:rsidRPr="00606C27">
        <w:rPr>
          <w:rFonts w:cs="Times New Roman"/>
          <w:i/>
          <w:lang w:val="fr-CA"/>
        </w:rPr>
        <w:t>Judicial Review of Administrative Action in Canada</w:t>
      </w:r>
      <w:r w:rsidRPr="00606C27">
        <w:rPr>
          <w:rFonts w:cs="Times New Roman"/>
          <w:lang w:val="fr-CA"/>
        </w:rPr>
        <w:t xml:space="preserve"> (feuilles mobiles), rubrique 2:4310. En outre, le retrait des législateurs de la définition d’« office fédéral » confirme légalement le principe général, sur lequel je reviendrai plus loin, selon lequel l’exercice de la compétence ou des pouvoirs n’est pas susceptible de contrôle judiciaire lorsqu’il tire son origine du droit régissant le processus législatif. </w:t>
      </w:r>
    </w:p>
    <w:p w:rsidR="00E313A3" w:rsidRPr="00606C27" w:rsidRDefault="00E313A3" w:rsidP="00E313A3">
      <w:pPr>
        <w:pStyle w:val="ParaNoNdepar-AltN"/>
        <w:rPr>
          <w:rFonts w:cs="Times New Roman"/>
          <w:lang w:val="fr-CA"/>
        </w:rPr>
      </w:pPr>
      <w:r w:rsidRPr="00606C27">
        <w:rPr>
          <w:rFonts w:cs="Times New Roman"/>
          <w:lang w:val="fr-CA"/>
        </w:rPr>
        <w:lastRenderedPageBreak/>
        <w:t>La demande de contrôle judiciaire présentée par la Première Nation crie Mikisew était fondée sur le fait que les ministres intimés ne l’avaient pas consultée dans le cadre de l’élaboration de [</w:t>
      </w:r>
      <w:r w:rsidRPr="00606C27">
        <w:rPr>
          <w:rFonts w:cs="Times New Roman"/>
          <w:smallCaps/>
          <w:lang w:val="fr-CA"/>
        </w:rPr>
        <w:t>traduction</w:t>
      </w:r>
      <w:r w:rsidRPr="00606C27">
        <w:rPr>
          <w:rFonts w:cs="Times New Roman"/>
          <w:lang w:val="fr-CA"/>
        </w:rPr>
        <w:t xml:space="preserve">] « politiques environnementales », y compris lors de la mise en œuvre de ces politiques par l’élaboration et le dépôt de deux projets de loi omnibus : la </w:t>
      </w:r>
      <w:r w:rsidRPr="00606C27">
        <w:rPr>
          <w:rFonts w:cs="Times New Roman"/>
          <w:i/>
          <w:lang w:val="fr-CA"/>
        </w:rPr>
        <w:t>Loi sur l’emploi, la croissance et la prospérité durable</w:t>
      </w:r>
      <w:r w:rsidRPr="00606C27">
        <w:rPr>
          <w:rFonts w:cs="Times New Roman"/>
          <w:lang w:val="fr-CA"/>
        </w:rPr>
        <w:t>, L.C. 2012, c. 19 — projet de loi C</w:t>
      </w:r>
      <w:r w:rsidRPr="00606C27">
        <w:rPr>
          <w:rFonts w:cs="Times New Roman"/>
          <w:lang w:val="fr-CA"/>
        </w:rPr>
        <w:noBreakHyphen/>
        <w:t xml:space="preserve">38; la </w:t>
      </w:r>
      <w:r w:rsidRPr="00606C27">
        <w:rPr>
          <w:rFonts w:cs="Times New Roman"/>
          <w:i/>
          <w:lang w:val="fr-CA"/>
        </w:rPr>
        <w:t>Loi de 2012 sur l’emploi et la croissance</w:t>
      </w:r>
      <w:r w:rsidRPr="00606C27">
        <w:rPr>
          <w:rFonts w:cs="Times New Roman"/>
          <w:lang w:val="fr-CA"/>
        </w:rPr>
        <w:t>, L.C. 2012, c. 31 — projet de loi C</w:t>
      </w:r>
      <w:r w:rsidRPr="00606C27">
        <w:rPr>
          <w:rFonts w:cs="Times New Roman"/>
          <w:lang w:val="fr-CA"/>
        </w:rPr>
        <w:noBreakHyphen/>
        <w:t xml:space="preserve">45; avis de demande, d.a., p. 122. Les actes officiels posés par le pouvoir exécutif, qui ne sont ni prévus par la Constitution ni perçus à juste titre comme un exercice d’une prérogative de la Couronne, doivent relever « d’un pouvoir clairement conféré par la loi et exercé de façon régulière » : </w:t>
      </w:r>
      <w:r w:rsidRPr="00606C27">
        <w:rPr>
          <w:rFonts w:cs="Times New Roman"/>
          <w:i/>
          <w:lang w:val="fr-CA"/>
        </w:rPr>
        <w:t>Babcock c. Canada (Procureur général)</w:t>
      </w:r>
      <w:r w:rsidRPr="00606C27">
        <w:rPr>
          <w:rFonts w:cs="Times New Roman"/>
          <w:lang w:val="fr-CA"/>
        </w:rPr>
        <w:t xml:space="preserve">, 2002 CSC 57, [2002] 3 R.C.S. 3, par. 20. </w:t>
      </w:r>
    </w:p>
    <w:p w:rsidR="00E313A3" w:rsidRPr="00606C27" w:rsidRDefault="00E313A3" w:rsidP="00E313A3">
      <w:pPr>
        <w:pStyle w:val="ParaNoNdepar-AltN"/>
        <w:rPr>
          <w:rFonts w:cs="Times New Roman"/>
          <w:lang w:val="fr-CA"/>
        </w:rPr>
      </w:pPr>
      <w:r w:rsidRPr="00606C27">
        <w:rPr>
          <w:rFonts w:cs="Times New Roman"/>
          <w:lang w:val="fr-CA"/>
        </w:rPr>
        <w:t>La Première Nation crie Mikisew n’a toutefois relevé aucun moment pendant l’élaboration, la rédaction ou le dépôt des projets de loi omnibus où les ministres ont exercé un pouvoir conféré par une loi ou une prérogative de la Couronne. Au contraire, comme l’ont reconnu les juges majoritaires de la Cour d’appel (par. 28), les lois habilitantes invoquées par la Première Nation crie Mikisew (m.a.</w:t>
      </w:r>
      <w:r w:rsidR="003B5E3C">
        <w:rPr>
          <w:rFonts w:cs="Times New Roman"/>
          <w:lang w:val="fr-CA"/>
        </w:rPr>
        <w:t>,</w:t>
      </w:r>
      <w:r w:rsidRPr="00606C27">
        <w:rPr>
          <w:rFonts w:cs="Times New Roman"/>
          <w:lang w:val="fr-CA"/>
        </w:rPr>
        <w:t xml:space="preserve"> par. 101,</w:t>
      </w:r>
      <w:r w:rsidRPr="00606C27">
        <w:rPr>
          <w:rFonts w:cs="Times New Roman"/>
          <w:i/>
          <w:lang w:val="fr-CA"/>
        </w:rPr>
        <w:t xml:space="preserve"> </w:t>
      </w:r>
      <w:r w:rsidR="003B5E3C">
        <w:rPr>
          <w:rFonts w:cs="Times New Roman"/>
          <w:lang w:val="fr-CA"/>
        </w:rPr>
        <w:t xml:space="preserve">note en bas de page </w:t>
      </w:r>
      <w:r w:rsidRPr="00606C27">
        <w:rPr>
          <w:rFonts w:cs="Times New Roman"/>
          <w:lang w:val="fr-CA"/>
        </w:rPr>
        <w:t xml:space="preserve">109) pour établir que les ministres exerçaient des pouvoirs exécutifs à titre de ministres de la Couronne au cours de la phase d’élaboration des projets de loi ne font référence qu’à la portée du mandat des ministres ainsi qu’aux obligations et fonctions dont ils peuvent s’acquitter dans l’exécution de leur mandat : voir </w:t>
      </w:r>
      <w:r w:rsidRPr="00606C27">
        <w:rPr>
          <w:rFonts w:cs="Times New Roman"/>
          <w:i/>
          <w:lang w:val="fr-CA"/>
        </w:rPr>
        <w:t>Loi sur le ministère des Pêches et des Océans</w:t>
      </w:r>
      <w:r w:rsidRPr="00606C27">
        <w:rPr>
          <w:rFonts w:cs="Times New Roman"/>
          <w:lang w:val="fr-CA"/>
        </w:rPr>
        <w:t>, L.R.C. 1985, c. F</w:t>
      </w:r>
      <w:r w:rsidRPr="00606C27">
        <w:rPr>
          <w:rFonts w:cs="Times New Roman"/>
          <w:lang w:val="fr-CA"/>
        </w:rPr>
        <w:noBreakHyphen/>
        <w:t xml:space="preserve">15; </w:t>
      </w:r>
      <w:r w:rsidRPr="00606C27">
        <w:rPr>
          <w:rFonts w:cs="Times New Roman"/>
          <w:i/>
          <w:lang w:val="fr-CA"/>
        </w:rPr>
        <w:t>Loi sur le ministère des Affaires indiennes et du Nord canadien</w:t>
      </w:r>
      <w:r w:rsidRPr="00606C27">
        <w:rPr>
          <w:rFonts w:cs="Times New Roman"/>
          <w:lang w:val="fr-CA"/>
        </w:rPr>
        <w:t>, L.R.C. 1985, c. I</w:t>
      </w:r>
      <w:r w:rsidRPr="00606C27">
        <w:rPr>
          <w:rFonts w:cs="Times New Roman"/>
          <w:lang w:val="fr-CA"/>
        </w:rPr>
        <w:noBreakHyphen/>
        <w:t xml:space="preserve">6; </w:t>
      </w:r>
      <w:r w:rsidRPr="00606C27">
        <w:rPr>
          <w:rFonts w:cs="Times New Roman"/>
          <w:i/>
          <w:lang w:val="fr-CA"/>
        </w:rPr>
        <w:t xml:space="preserve">Loi sur le ministère de </w:t>
      </w:r>
      <w:r w:rsidRPr="00606C27">
        <w:rPr>
          <w:rFonts w:cs="Times New Roman"/>
          <w:i/>
          <w:lang w:val="fr-CA"/>
        </w:rPr>
        <w:lastRenderedPageBreak/>
        <w:t>l’Environnement</w:t>
      </w:r>
      <w:r w:rsidRPr="00606C27">
        <w:rPr>
          <w:rFonts w:cs="Times New Roman"/>
          <w:lang w:val="fr-CA"/>
        </w:rPr>
        <w:t>, L.R.C. 1985, c. E</w:t>
      </w:r>
      <w:r w:rsidRPr="00606C27">
        <w:rPr>
          <w:rFonts w:cs="Times New Roman"/>
          <w:lang w:val="fr-CA"/>
        </w:rPr>
        <w:noBreakHyphen/>
        <w:t xml:space="preserve">10; </w:t>
      </w:r>
      <w:r w:rsidRPr="00606C27">
        <w:rPr>
          <w:rFonts w:cs="Times New Roman"/>
          <w:i/>
          <w:lang w:val="fr-CA"/>
        </w:rPr>
        <w:t>Loi sur le ministère des Transports</w:t>
      </w:r>
      <w:r w:rsidRPr="00606C27">
        <w:rPr>
          <w:rFonts w:cs="Times New Roman"/>
          <w:lang w:val="fr-CA"/>
        </w:rPr>
        <w:t>, L.R.C. 1985, c. T</w:t>
      </w:r>
      <w:r w:rsidRPr="00606C27">
        <w:rPr>
          <w:rFonts w:cs="Times New Roman"/>
          <w:lang w:val="fr-CA"/>
        </w:rPr>
        <w:noBreakHyphen/>
        <w:t xml:space="preserve">18; </w:t>
      </w:r>
      <w:r w:rsidRPr="00606C27">
        <w:rPr>
          <w:rFonts w:cs="Times New Roman"/>
          <w:i/>
          <w:lang w:val="fr-CA"/>
        </w:rPr>
        <w:t>Loi sur le ministère des Ressources naturelles</w:t>
      </w:r>
      <w:r w:rsidRPr="00606C27">
        <w:rPr>
          <w:rFonts w:cs="Times New Roman"/>
          <w:lang w:val="fr-CA"/>
        </w:rPr>
        <w:t xml:space="preserve">, L.C. 1994, c. 41; </w:t>
      </w:r>
      <w:r w:rsidRPr="00606C27">
        <w:rPr>
          <w:rFonts w:cs="Times New Roman"/>
          <w:i/>
          <w:lang w:val="fr-CA"/>
        </w:rPr>
        <w:t>Loi sur la gestion des finances publiques</w:t>
      </w:r>
      <w:r w:rsidRPr="00606C27">
        <w:rPr>
          <w:rFonts w:cs="Times New Roman"/>
          <w:lang w:val="fr-CA"/>
        </w:rPr>
        <w:t>, L.R.C. 1985, c. F</w:t>
      </w:r>
      <w:r w:rsidRPr="00606C27">
        <w:rPr>
          <w:rFonts w:cs="Times New Roman"/>
          <w:lang w:val="fr-CA"/>
        </w:rPr>
        <w:noBreakHyphen/>
        <w:t xml:space="preserve">11. </w:t>
      </w:r>
    </w:p>
    <w:p w:rsidR="00E313A3" w:rsidRPr="00606C27" w:rsidRDefault="00E313A3" w:rsidP="00E313A3">
      <w:pPr>
        <w:pStyle w:val="ParaNoNdepar-AltN"/>
        <w:rPr>
          <w:rFonts w:cs="Times New Roman"/>
          <w:lang w:val="fr-CA"/>
        </w:rPr>
      </w:pPr>
      <w:r w:rsidRPr="00606C27">
        <w:rPr>
          <w:rFonts w:cs="Times New Roman"/>
          <w:lang w:val="fr-CA"/>
        </w:rPr>
        <w:t xml:space="preserve">Je constate qu’aucune de ces lois ne traite expressément ou implicitement de l’élaboration des projets de loi en vue de leur dépôt au Parlement. Les ministres n’exerçaient pas des </w:t>
      </w:r>
      <w:r w:rsidRPr="00606C27">
        <w:rPr>
          <w:rFonts w:cs="Times New Roman"/>
          <w:i/>
          <w:lang w:val="fr-CA"/>
        </w:rPr>
        <w:t>fonctions ministérielles</w:t>
      </w:r>
      <w:r w:rsidRPr="00606C27">
        <w:rPr>
          <w:rFonts w:cs="Times New Roman"/>
          <w:lang w:val="fr-CA"/>
        </w:rPr>
        <w:t>,</w:t>
      </w:r>
      <w:r w:rsidRPr="00606C27">
        <w:rPr>
          <w:rFonts w:cs="Times New Roman"/>
          <w:i/>
          <w:lang w:val="fr-CA"/>
        </w:rPr>
        <w:t xml:space="preserve"> c’est</w:t>
      </w:r>
      <w:r w:rsidRPr="00606C27">
        <w:rPr>
          <w:rFonts w:cs="Times New Roman"/>
          <w:i/>
          <w:lang w:val="fr-CA"/>
        </w:rPr>
        <w:noBreakHyphen/>
        <w:t>à</w:t>
      </w:r>
      <w:r w:rsidRPr="00606C27">
        <w:rPr>
          <w:rFonts w:cs="Times New Roman"/>
          <w:i/>
          <w:lang w:val="fr-CA"/>
        </w:rPr>
        <w:noBreakHyphen/>
        <w:t>dire exécutives</w:t>
      </w:r>
      <w:r w:rsidRPr="00606C27">
        <w:rPr>
          <w:rFonts w:cs="Times New Roman"/>
          <w:lang w:val="fr-CA"/>
        </w:rPr>
        <w:t xml:space="preserve">. Il s’ensuit donc qu’aucune des mesures ou des décisions contestées dans la demande de contrôle judiciaire de la Première Nation crie Mikisew n’a été prise par un « office fédéral ». Les juges majoritaires de la Cour d’appel ont donc conclu à bon droit que les tribunaux d’instances inférieures n’avaient pas été valablement saisis de l’affaire. </w:t>
      </w:r>
    </w:p>
    <w:p w:rsidR="00E313A3" w:rsidRPr="00606C27" w:rsidRDefault="00E313A3" w:rsidP="00E313A3">
      <w:pPr>
        <w:pStyle w:val="ParaNoNdepar-AltN"/>
        <w:rPr>
          <w:rFonts w:cs="Times New Roman"/>
          <w:lang w:val="fr-CA"/>
        </w:rPr>
      </w:pPr>
      <w:r w:rsidRPr="00606C27">
        <w:rPr>
          <w:rFonts w:cs="Times New Roman"/>
          <w:lang w:val="fr-CA"/>
        </w:rPr>
        <w:t xml:space="preserve">Cette conclusion s’impose également compte tenu de la partie IV de la </w:t>
      </w:r>
      <w:r w:rsidRPr="00606C27">
        <w:rPr>
          <w:rFonts w:cs="Times New Roman"/>
          <w:i/>
          <w:lang w:val="fr-CA"/>
        </w:rPr>
        <w:t>Loi constitutionnelle de 1867</w:t>
      </w:r>
      <w:r w:rsidRPr="00606C27">
        <w:rPr>
          <w:rFonts w:cs="Times New Roman"/>
          <w:lang w:val="fr-CA"/>
        </w:rPr>
        <w:t xml:space="preserve">, intitulée « Pouvoir législatif ». En effet, cette partie décrit, notamment, les pouvoirs des deux Chambres du Parlement — la Chambre des communes et le Sénat — à l’égard desquels le Parlement est souverain, sous réserve uniquement des limites à son pouvoir législatif établies par la </w:t>
      </w:r>
      <w:r w:rsidRPr="00606C27">
        <w:rPr>
          <w:rFonts w:cs="Times New Roman"/>
          <w:i/>
          <w:lang w:val="fr-CA"/>
        </w:rPr>
        <w:t>Loi constitutionnelle de 1867</w:t>
      </w:r>
      <w:r w:rsidRPr="00606C27">
        <w:rPr>
          <w:rFonts w:cs="Times New Roman"/>
          <w:lang w:val="fr-CA"/>
        </w:rPr>
        <w:t xml:space="preserve">. L’élaboration, le dépôt et l’examen des projets de loi par la Chambre des communes sont tous des exercices nécessaires du pouvoir législatif dans le cadre du processus législatif. Bien que les ministres du Cabinet soient des membres de l’exécutif, ils participent à ce processus — par exemple, en présentant des projets de loi gouvernementaux — en leur capacité législative, et non pas en leur capacité exécutive. </w:t>
      </w:r>
    </w:p>
    <w:p w:rsidR="00E313A3" w:rsidRPr="00606C27" w:rsidRDefault="00E313A3" w:rsidP="00E313A3">
      <w:pPr>
        <w:pStyle w:val="ParaNoNdepar-AltN"/>
        <w:rPr>
          <w:rFonts w:cs="Times New Roman"/>
          <w:lang w:val="fr-CA"/>
        </w:rPr>
      </w:pPr>
      <w:r w:rsidRPr="00606C27">
        <w:rPr>
          <w:rFonts w:cs="Times New Roman"/>
          <w:lang w:val="fr-CA"/>
        </w:rPr>
        <w:lastRenderedPageBreak/>
        <w:t xml:space="preserve">La demande de contrôle judiciaire de la Première Nation crie Mikisew vise donc à contester la conduite adoptée par certains ministres qui agissaient à titre de députés et qui étaient, comme tous les députés, habilités à légiférer par la partie IV de la </w:t>
      </w:r>
      <w:r w:rsidRPr="00606C27">
        <w:rPr>
          <w:rFonts w:cs="Times New Roman"/>
          <w:i/>
          <w:lang w:val="fr-CA"/>
        </w:rPr>
        <w:t>Loi constitutionnelle de 1867</w:t>
      </w:r>
      <w:r w:rsidRPr="00606C27">
        <w:rPr>
          <w:rFonts w:cs="Times New Roman"/>
          <w:lang w:val="fr-CA"/>
        </w:rPr>
        <w:t xml:space="preserve">. Cela renforce ma conclusion voulant que la Cour fédérale n’avait pas compétence pour examiner cette demande de contrôle judiciaire. </w:t>
      </w:r>
    </w:p>
    <w:p w:rsidR="00E313A3" w:rsidRPr="00606C27" w:rsidRDefault="00E313A3" w:rsidP="00E313A3">
      <w:pPr>
        <w:pStyle w:val="ParaNoNdepar-AltN"/>
        <w:rPr>
          <w:rFonts w:cs="Times New Roman"/>
          <w:lang w:val="fr-CA"/>
        </w:rPr>
      </w:pPr>
      <w:r w:rsidRPr="00606C27">
        <w:rPr>
          <w:rFonts w:cs="Times New Roman"/>
          <w:lang w:val="fr-CA"/>
        </w:rPr>
        <w:t xml:space="preserve">Cela dit, même en faisant fi de cet obstacle juridictionnel, tant la séparation des pouvoirs que le privilège parlementaire, la portée bien interprétée du contrôle judiciaire et la jurisprudence de la Cour sur l’obligation de consulter m’amènent à conclure que la demande de contrôle judiciaire de la Première Nation crie Mikisew ne peut pas être accueillie. </w:t>
      </w:r>
    </w:p>
    <w:p w:rsidR="00E313A3" w:rsidRPr="00606C27" w:rsidRDefault="00E313A3" w:rsidP="00E313A3">
      <w:pPr>
        <w:pStyle w:val="Title2LevelTitre2Niveau"/>
        <w:rPr>
          <w:rFonts w:cs="Times New Roman"/>
          <w:lang w:val="fr-CA"/>
        </w:rPr>
      </w:pPr>
      <w:r w:rsidRPr="00606C27">
        <w:rPr>
          <w:rFonts w:cs="Times New Roman"/>
          <w:lang w:val="fr-CA"/>
        </w:rPr>
        <w:t xml:space="preserve">La formulation et le dépôt des projets de loi échappent au contrôle judiciaire du fait de la séparation des pouvoirs et du privilège parlementaire </w:t>
      </w:r>
    </w:p>
    <w:p w:rsidR="00E313A3" w:rsidRPr="00606C27" w:rsidRDefault="00E313A3" w:rsidP="00E313A3">
      <w:pPr>
        <w:pStyle w:val="Title3LevelTitre3Niveau"/>
        <w:rPr>
          <w:lang w:val="fr-CA"/>
        </w:rPr>
      </w:pPr>
      <w:r w:rsidRPr="00606C27">
        <w:rPr>
          <w:lang w:val="fr-CA"/>
        </w:rPr>
        <w:t xml:space="preserve">La </w:t>
      </w:r>
      <w:r w:rsidRPr="00606C27">
        <w:t>séparation</w:t>
      </w:r>
      <w:r w:rsidRPr="00606C27">
        <w:rPr>
          <w:lang w:val="fr-CA"/>
        </w:rPr>
        <w:t xml:space="preserve"> des pouvoirs </w:t>
      </w:r>
    </w:p>
    <w:p w:rsidR="00E313A3" w:rsidRPr="00606C27" w:rsidRDefault="00E313A3" w:rsidP="00E313A3">
      <w:pPr>
        <w:pStyle w:val="ParaNoNdepar-AltN"/>
        <w:rPr>
          <w:rFonts w:cs="Times New Roman"/>
          <w:lang w:val="fr-CA"/>
        </w:rPr>
      </w:pPr>
      <w:r w:rsidRPr="00606C27">
        <w:rPr>
          <w:rFonts w:cs="Times New Roman"/>
          <w:lang w:val="fr-CA"/>
        </w:rPr>
        <w:t>Tant devant la Cour que devant la Cour d’appel fédérale, les parties ont exprimé leur désaccord quant à la portée de l’activité qui est protégée par les principes de séparation des pouvoirs et de privilège parlementaire. La Première Nation crie Mikisew convient que la formulation et le dépôt d’un projet de loi au Parlement sont des mesures législatives qui échappent à tout contrôle judiciaire. Elle plaide toutefois que l’élaboration des politiques qui sous</w:t>
      </w:r>
      <w:r w:rsidRPr="00606C27">
        <w:rPr>
          <w:rFonts w:cs="Times New Roman"/>
          <w:lang w:val="fr-CA"/>
        </w:rPr>
        <w:noBreakHyphen/>
        <w:t xml:space="preserve">tendent cette formulation et ce dépôt est effectuée par des fonctionnaires à la demande de ministres et doit donc être considérée </w:t>
      </w:r>
      <w:r w:rsidRPr="00606C27">
        <w:rPr>
          <w:rFonts w:cs="Times New Roman"/>
          <w:lang w:val="fr-CA"/>
        </w:rPr>
        <w:lastRenderedPageBreak/>
        <w:t xml:space="preserve">comme une conduite de l’exécutif susceptible de contrôle judiciaire. En revanche, le Canada soutient que l’ensemble du processus législatif — de l’élaboration initiale des politiques à la sanction royale — est une activité législative qui ne peut pas être supervisée par les cours de justice. </w:t>
      </w:r>
    </w:p>
    <w:p w:rsidR="00E313A3" w:rsidRPr="00606C27" w:rsidRDefault="00E313A3" w:rsidP="00E313A3">
      <w:pPr>
        <w:pStyle w:val="ParaNoNdepar-AltN"/>
        <w:rPr>
          <w:rFonts w:cs="Times New Roman"/>
          <w:lang w:val="fr-CA"/>
        </w:rPr>
      </w:pPr>
      <w:r w:rsidRPr="00606C27">
        <w:rPr>
          <w:rFonts w:cs="Times New Roman"/>
          <w:lang w:val="fr-CA"/>
        </w:rPr>
        <w:t xml:space="preserve">Je souscris à l’opinion des juges majoritaires de la Cour d’appel selon laquelle l’ensemble du processus législatif — de l’élaboration initiale des politiques à la sanction royale inclusivement — constitue un exercice du pouvoir législatif qui est à l’abri de l’ingérence des tribunaux. Comme la Cour l’a expliqué dans l’arrêt </w:t>
      </w:r>
      <w:r w:rsidRPr="00606C27">
        <w:rPr>
          <w:rFonts w:cs="Times New Roman"/>
          <w:i/>
          <w:lang w:val="fr-CA"/>
        </w:rPr>
        <w:t>Ontario c. Criminal Lawyers’ Association of Ontario</w:t>
      </w:r>
      <w:r w:rsidRPr="00606C27">
        <w:rPr>
          <w:rFonts w:cs="Times New Roman"/>
          <w:lang w:val="fr-CA"/>
        </w:rPr>
        <w:t xml:space="preserve">, 2013 CSC 43, [2013] 3 R.C.S. 3, par. 28, les « choix politiques » relèvent du pouvoir législatif, tandis que leur mise en œuvre et leur administration incombent au pouvoir exécutif. Cela empêche les tribunaux d’imposer une obligation de consulter dans le cadre du processus législatif. </w:t>
      </w:r>
    </w:p>
    <w:p w:rsidR="00E313A3" w:rsidRPr="00606C27" w:rsidRDefault="00E313A3" w:rsidP="00E313A3">
      <w:pPr>
        <w:pStyle w:val="ParaNoNdepar-AltN"/>
        <w:rPr>
          <w:rFonts w:cs="Times New Roman"/>
          <w:lang w:val="fr-CA"/>
        </w:rPr>
      </w:pPr>
      <w:r w:rsidRPr="00606C27">
        <w:rPr>
          <w:rFonts w:cs="Times New Roman"/>
          <w:lang w:val="fr-CA"/>
        </w:rPr>
        <w:t xml:space="preserve">Le principe de la séparation des pouvoirs met en outre le processus d’élaboration par le Cabinet des principes directeurs en matière de législation ainsi que la préparation et le dépôt des projets de loi aux fins d’examen par le Parlement (et par les législatures) à l’abri du contrôle judiciaire. Toujours dans l’arrêt </w:t>
      </w:r>
      <w:r w:rsidRPr="00606C27">
        <w:rPr>
          <w:rFonts w:cs="Times New Roman"/>
          <w:i/>
          <w:lang w:val="fr-CA"/>
        </w:rPr>
        <w:t>Criminal Lawyers’ Association</w:t>
      </w:r>
      <w:r w:rsidRPr="00606C27">
        <w:rPr>
          <w:rFonts w:cs="Times New Roman"/>
          <w:lang w:val="fr-CA"/>
        </w:rPr>
        <w:t xml:space="preserve">, par. 28, la Cour a reconnu que chaque pouvoir de l’État canadien a un rôle distinct : </w:t>
      </w:r>
    </w:p>
    <w:p w:rsidR="00E313A3" w:rsidRPr="00606C27" w:rsidRDefault="00E313A3" w:rsidP="00E313A3">
      <w:pPr>
        <w:pStyle w:val="Citation-AltC"/>
        <w:ind w:hanging="1166"/>
        <w:contextualSpacing w:val="0"/>
        <w:rPr>
          <w:iCs/>
          <w:lang w:val="fr-CA"/>
        </w:rPr>
      </w:pPr>
      <w:r w:rsidRPr="00606C27">
        <w:rPr>
          <w:lang w:val="fr-CA"/>
        </w:rPr>
        <w:tab/>
        <w:t xml:space="preserve">Le pouvoir législatif fait des choix politiques, adopte des lois et tient les cordons de la bourse de l’État, car lui seul peut autoriser l’affectation de fonds publics. L’exécutif met en œuvre et administre ces choix politiques et ces lois par le recours à une fonction publique compétente. Le judiciaire assure la primauté du droit en interprétant et en appliquant ces lois dans le </w:t>
      </w:r>
      <w:r w:rsidRPr="00606C27">
        <w:rPr>
          <w:lang w:val="fr-CA"/>
        </w:rPr>
        <w:lastRenderedPageBreak/>
        <w:t xml:space="preserve">cadre de renvois et de litiges sur lesquels il statue de manière indépendante et impartiale, et il défend les libertés fondamentales garanties par la </w:t>
      </w:r>
      <w:r w:rsidRPr="00606C27">
        <w:rPr>
          <w:i/>
          <w:lang w:val="fr-CA"/>
        </w:rPr>
        <w:t>Charte</w:t>
      </w:r>
      <w:r w:rsidRPr="00606C27">
        <w:rPr>
          <w:lang w:val="fr-CA"/>
        </w:rPr>
        <w:t>.</w:t>
      </w:r>
    </w:p>
    <w:p w:rsidR="00E313A3" w:rsidRPr="00606C27" w:rsidRDefault="00E313A3" w:rsidP="00E313A3">
      <w:pPr>
        <w:pStyle w:val="ContinueParaSuitedupar-AltP"/>
        <w:rPr>
          <w:rFonts w:cs="Times New Roman"/>
          <w:lang w:val="fr-CA"/>
        </w:rPr>
      </w:pPr>
      <w:r w:rsidRPr="00606C27">
        <w:rPr>
          <w:rFonts w:cs="Times New Roman"/>
          <w:lang w:val="fr-CA"/>
        </w:rPr>
        <w:t>Or, un pouvoir ne peut pas jouer son rôle lorsqu’un « autre empiète indûment sur lui » :</w:t>
      </w:r>
      <w:r w:rsidRPr="00606C27">
        <w:rPr>
          <w:rFonts w:cs="Times New Roman"/>
          <w:i/>
          <w:lang w:val="fr-CA"/>
        </w:rPr>
        <w:t xml:space="preserve"> Criminal Lawyers’ Association</w:t>
      </w:r>
      <w:r w:rsidRPr="00606C27">
        <w:rPr>
          <w:rFonts w:cs="Times New Roman"/>
          <w:lang w:val="fr-CA"/>
        </w:rPr>
        <w:t xml:space="preserve">, par. 29. </w:t>
      </w:r>
    </w:p>
    <w:p w:rsidR="00E313A3" w:rsidRPr="00606C27" w:rsidRDefault="00E313A3" w:rsidP="00E313A3">
      <w:pPr>
        <w:pStyle w:val="ParaNoNdepar-AltN"/>
        <w:rPr>
          <w:rFonts w:cs="Times New Roman"/>
          <w:lang w:val="fr-CA"/>
        </w:rPr>
      </w:pPr>
      <w:r w:rsidRPr="00606C27">
        <w:rPr>
          <w:rFonts w:cs="Times New Roman"/>
          <w:lang w:val="fr-CA"/>
        </w:rPr>
        <w:t>Certes, il faut reconnaître que, dans notre système parlementaire, la séparation des pouvoirs « n’est pas une structure rigide et absolue » (</w:t>
      </w:r>
      <w:r w:rsidRPr="00606C27">
        <w:rPr>
          <w:rFonts w:cs="Times New Roman"/>
          <w:i/>
          <w:lang w:val="fr-CA"/>
        </w:rPr>
        <w:t>Wells c. Terre</w:t>
      </w:r>
      <w:r w:rsidRPr="00606C27">
        <w:rPr>
          <w:rFonts w:cs="Times New Roman"/>
          <w:i/>
          <w:lang w:val="fr-CA"/>
        </w:rPr>
        <w:noBreakHyphen/>
        <w:t>Neuve</w:t>
      </w:r>
      <w:r w:rsidRPr="00606C27">
        <w:rPr>
          <w:rFonts w:cs="Times New Roman"/>
          <w:lang w:val="fr-CA"/>
        </w:rPr>
        <w:t>,</w:t>
      </w:r>
      <w:r w:rsidRPr="00606C27">
        <w:rPr>
          <w:rFonts w:cs="Times New Roman"/>
          <w:i/>
          <w:lang w:val="fr-CA"/>
        </w:rPr>
        <w:t xml:space="preserve"> </w:t>
      </w:r>
      <w:r w:rsidRPr="00606C27">
        <w:rPr>
          <w:rFonts w:cs="Times New Roman"/>
          <w:lang w:val="fr-CA"/>
        </w:rPr>
        <w:t xml:space="preserve">[1999] 3 R.C.S. 199, par. 54) qui respecte des limites clairement établies. Les ministres de la Couronne jouent un rôle essentiel dans le processus législatif dont ils font partie intégrante : </w:t>
      </w:r>
      <w:r w:rsidRPr="00606C27">
        <w:rPr>
          <w:rFonts w:cs="Times New Roman"/>
          <w:i/>
          <w:lang w:val="fr-CA"/>
        </w:rPr>
        <w:t>Renvoi relatif au Régime d’assistance publique du Canada (C.</w:t>
      </w:r>
      <w:r w:rsidRPr="00606C27">
        <w:rPr>
          <w:rFonts w:cs="Times New Roman"/>
          <w:i/>
          <w:lang w:val="fr-CA"/>
        </w:rPr>
        <w:noBreakHyphen/>
        <w:t>B.)</w:t>
      </w:r>
      <w:r w:rsidRPr="00606C27">
        <w:rPr>
          <w:rFonts w:cs="Times New Roman"/>
          <w:lang w:val="fr-CA"/>
        </w:rPr>
        <w:t xml:space="preserve">, [1991] 2 R.C.S. 525, p. 559. « [S]auf dans de rares cas, l’exécutif contrôle, fréquemment et de fait, le législatif » : </w:t>
      </w:r>
      <w:r w:rsidRPr="00606C27">
        <w:rPr>
          <w:rFonts w:cs="Times New Roman"/>
          <w:i/>
          <w:lang w:val="fr-CA"/>
        </w:rPr>
        <w:t>Wells</w:t>
      </w:r>
      <w:r w:rsidRPr="00606C27">
        <w:rPr>
          <w:rFonts w:cs="Times New Roman"/>
          <w:lang w:val="fr-CA"/>
        </w:rPr>
        <w:t xml:space="preserve">, par. 54. Cela ne signifie pas pour autant que l’appartenance des ministres aux pouvoirs tant exécutif que législatif de l’État canadien rend leurs rôles dans l’une ou l’autre de ces branches indissociables aux fins du contrôle judiciaire. Dans le </w:t>
      </w:r>
      <w:r w:rsidRPr="00606C27">
        <w:rPr>
          <w:rFonts w:cs="Times New Roman"/>
          <w:i/>
          <w:lang w:val="fr-CA"/>
        </w:rPr>
        <w:t>Renvoi relatif au Régime d’assistance publique du Canada</w:t>
      </w:r>
      <w:r w:rsidRPr="00606C27">
        <w:rPr>
          <w:rFonts w:cs="Times New Roman"/>
          <w:lang w:val="fr-CA"/>
        </w:rPr>
        <w:t>, p. 559</w:t>
      </w:r>
      <w:r w:rsidRPr="00606C27">
        <w:rPr>
          <w:rFonts w:cs="Times New Roman"/>
          <w:i/>
          <w:lang w:val="fr-CA"/>
        </w:rPr>
        <w:t xml:space="preserve">, </w:t>
      </w:r>
      <w:r w:rsidRPr="00606C27">
        <w:rPr>
          <w:rFonts w:cs="Times New Roman"/>
          <w:lang w:val="fr-CA"/>
        </w:rPr>
        <w:t xml:space="preserve">la Cour </w:t>
      </w:r>
      <w:r w:rsidRPr="00606C27">
        <w:rPr>
          <w:rFonts w:cs="Times New Roman"/>
          <w:i/>
          <w:lang w:val="fr-CA"/>
        </w:rPr>
        <w:t xml:space="preserve">a rejeté </w:t>
      </w:r>
      <w:r w:rsidRPr="00606C27">
        <w:rPr>
          <w:rFonts w:cs="Times New Roman"/>
          <w:lang w:val="fr-CA"/>
        </w:rPr>
        <w:t>l’argument de la Colombie</w:t>
      </w:r>
      <w:r w:rsidRPr="00606C27">
        <w:rPr>
          <w:rFonts w:cs="Times New Roman"/>
          <w:lang w:val="fr-CA"/>
        </w:rPr>
        <w:noBreakHyphen/>
        <w:t xml:space="preserve">Britannique selon lequel, bien que le privilège parlementaire protège les procédures parlementaires internes, la théorie de l’expectative légitime pourrait tout de même s’appliquer à l’exécutif de façon à l’empêcher d’élaborer et de déposer le projet de loi contesté. Selon la Cour, « [l]a rédaction et le dépôt d’un projet de loi font partie du processus législatif dans lequel les tribunaux ne s’immiscent pas. </w:t>
      </w:r>
      <w:r w:rsidR="00304E69">
        <w:rPr>
          <w:rFonts w:cs="Times New Roman"/>
          <w:lang w:val="fr-CA"/>
        </w:rPr>
        <w:t xml:space="preserve">[. . .] </w:t>
      </w:r>
      <w:r w:rsidRPr="00606C27">
        <w:rPr>
          <w:rFonts w:cs="Times New Roman"/>
          <w:lang w:val="fr-CA"/>
        </w:rPr>
        <w:t>[I]l n’appartient pas aux tribunaux judiciaires d’intercaler dans le processus législatif d’</w:t>
      </w:r>
      <w:r w:rsidR="00304E69">
        <w:rPr>
          <w:rFonts w:cs="Times New Roman"/>
          <w:lang w:val="fr-CA"/>
        </w:rPr>
        <w:t>autres exigences procédurales. »</w:t>
      </w:r>
      <w:r w:rsidRPr="00606C27">
        <w:rPr>
          <w:rFonts w:cs="Times New Roman"/>
          <w:lang w:val="fr-CA"/>
        </w:rPr>
        <w:t xml:space="preserve"> </w:t>
      </w:r>
    </w:p>
    <w:p w:rsidR="00E313A3" w:rsidRPr="00606C27" w:rsidRDefault="00E313A3" w:rsidP="00E313A3">
      <w:pPr>
        <w:pStyle w:val="ParaNoNdepar-AltN"/>
        <w:rPr>
          <w:rFonts w:cs="Times New Roman"/>
          <w:lang w:val="fr-CA"/>
        </w:rPr>
      </w:pPr>
      <w:r w:rsidRPr="00606C27">
        <w:rPr>
          <w:rFonts w:cs="Times New Roman"/>
          <w:lang w:val="fr-CA"/>
        </w:rPr>
        <w:lastRenderedPageBreak/>
        <w:t xml:space="preserve">Selon la jurisprudence de la Cour, le processus législatif débute lorsque le projet de loi est à l’étape embryonnaire, et ce, même quand il est élaboré par des ministres de la Couronne. Un ministre agit en sa capacité exécutive lorsqu’il exerce des pouvoirs prévus par la loi dans le but de faire avancer une politique du gouvernement; ce n’est toutefois pas ce qui s’est produit en l’espèce. Les ministres désignés ont pris une série de décisions politiques, qui ont mené à la rédaction d’une proposition législative présentée ultérieurement au Cabinet. C’est cette proposition qui a finalement conduit à l’élaboration des projets de loi omnibus et à leur dépôt à la Chambre des communes. Ainsi, toutes les mesures contestées appartenaient au processus législatif qui consiste à déposer des projets de loi au Parlement et elles ont été prises par des ministres qui agissaient en leur capacité législative. </w:t>
      </w:r>
    </w:p>
    <w:p w:rsidR="00E313A3" w:rsidRPr="00606C27" w:rsidRDefault="00E313A3" w:rsidP="00E313A3">
      <w:pPr>
        <w:pStyle w:val="ParaNoNdepar-AltN"/>
        <w:rPr>
          <w:rFonts w:cs="Times New Roman"/>
          <w:lang w:val="fr-CA"/>
        </w:rPr>
      </w:pPr>
      <w:r w:rsidRPr="00606C27">
        <w:rPr>
          <w:rFonts w:cs="Times New Roman"/>
          <w:lang w:val="fr-CA"/>
        </w:rPr>
        <w:t xml:space="preserve">En outre, les mesures contestées en l’espèce ne sont pas devenues « exécutives », plutôt que « législatives », du simple fait qu’elles ont été accomplies par des fonctionnaires, ou avec leur aide. En effet, les fonctionnaires qui formulent des recommandations de politiques avant l’élaboration et le dépôt d’un projet de loi n’« exécutent » pas des politiques ou des directives législatives existantes. Au contraire, leurs mesures visent à orienter les changements qui seront éventuellement apportés aux politiques législatives et elles sont de nature strictement législative. </w:t>
      </w:r>
    </w:p>
    <w:p w:rsidR="00E313A3" w:rsidRPr="00606C27" w:rsidRDefault="00E313A3" w:rsidP="00E313A3">
      <w:pPr>
        <w:pStyle w:val="Title3LevelTitre3Niveau"/>
        <w:rPr>
          <w:rFonts w:cs="Times New Roman"/>
          <w:lang w:val="fr-CA"/>
        </w:rPr>
      </w:pPr>
      <w:r w:rsidRPr="00606C27">
        <w:rPr>
          <w:rFonts w:cs="Times New Roman"/>
          <w:lang w:val="fr-CA"/>
        </w:rPr>
        <w:t xml:space="preserve">Le privilège parlementaire </w:t>
      </w:r>
    </w:p>
    <w:p w:rsidR="00E313A3" w:rsidRPr="00606C27" w:rsidRDefault="00E313A3" w:rsidP="00E313A3">
      <w:pPr>
        <w:pStyle w:val="ParaNoNdepar-AltN"/>
        <w:rPr>
          <w:rFonts w:cs="Times New Roman"/>
          <w:lang w:val="fr-CA"/>
        </w:rPr>
      </w:pPr>
      <w:r w:rsidRPr="00606C27">
        <w:rPr>
          <w:rFonts w:cs="Times New Roman"/>
          <w:lang w:val="fr-CA"/>
        </w:rPr>
        <w:t xml:space="preserve">Il serait aussi contraire au privilège parlementaire d’imposer une obligation de consulter relativement à l’élaboration des politiques législatives puisque ce privilège </w:t>
      </w:r>
      <w:r w:rsidRPr="00606C27">
        <w:rPr>
          <w:rFonts w:cs="Times New Roman"/>
          <w:lang w:val="fr-CA"/>
        </w:rPr>
        <w:lastRenderedPageBreak/>
        <w:t>consiste en une protection contre l’ingérence dans [</w:t>
      </w:r>
      <w:r w:rsidRPr="00606C27">
        <w:rPr>
          <w:rFonts w:cs="Times New Roman"/>
          <w:smallCaps/>
          <w:lang w:val="fr-CA"/>
        </w:rPr>
        <w:t>traduction</w:t>
      </w:r>
      <w:r w:rsidRPr="00606C27">
        <w:rPr>
          <w:rFonts w:cs="Times New Roman"/>
          <w:lang w:val="fr-CA"/>
        </w:rPr>
        <w:t>] « le travail parlementaire des députés — c.</w:t>
      </w:r>
      <w:r w:rsidRPr="00606C27">
        <w:rPr>
          <w:rFonts w:cs="Times New Roman"/>
          <w:lang w:val="fr-CA"/>
        </w:rPr>
        <w:noBreakHyphen/>
        <w:t>à</w:t>
      </w:r>
      <w:r w:rsidRPr="00606C27">
        <w:rPr>
          <w:rFonts w:cs="Times New Roman"/>
          <w:lang w:val="fr-CA"/>
        </w:rPr>
        <w:noBreakHyphen/>
        <w:t>d. dans toute activité de ceux</w:t>
      </w:r>
      <w:r w:rsidRPr="00606C27">
        <w:rPr>
          <w:rFonts w:cs="Times New Roman"/>
          <w:lang w:val="fr-CA"/>
        </w:rPr>
        <w:noBreakHyphen/>
        <w:t xml:space="preserve">ci </w:t>
      </w:r>
      <w:r w:rsidRPr="00606C27">
        <w:rPr>
          <w:rFonts w:cs="Times New Roman"/>
          <w:u w:val="single"/>
          <w:lang w:val="fr-CA"/>
        </w:rPr>
        <w:t>ayant un lien</w:t>
      </w:r>
      <w:r w:rsidRPr="00606C27">
        <w:rPr>
          <w:rFonts w:cs="Times New Roman"/>
          <w:lang w:val="fr-CA"/>
        </w:rPr>
        <w:t xml:space="preserve"> avec les travaux du Parlement » : J. P. J. Maingot, </w:t>
      </w:r>
      <w:r w:rsidRPr="00606C27">
        <w:rPr>
          <w:rFonts w:cs="Times New Roman"/>
          <w:i/>
          <w:lang w:val="fr-CA"/>
        </w:rPr>
        <w:t>Parliamentary Immunity in Canada</w:t>
      </w:r>
      <w:r w:rsidRPr="00606C27">
        <w:rPr>
          <w:rFonts w:cs="Times New Roman"/>
          <w:lang w:val="fr-CA"/>
        </w:rPr>
        <w:t xml:space="preserve"> (2016), p. 16 (je souligne). Il ne s’agit pas d’un anachronisme ou d’une subtilité technique. Le privilège parlementaire est [</w:t>
      </w:r>
      <w:r w:rsidRPr="00606C27">
        <w:rPr>
          <w:rFonts w:cs="Times New Roman"/>
          <w:smallCaps/>
          <w:lang w:val="fr-CA"/>
        </w:rPr>
        <w:t>traduction</w:t>
      </w:r>
      <w:r w:rsidRPr="00606C27">
        <w:rPr>
          <w:rFonts w:cs="Times New Roman"/>
          <w:lang w:val="fr-CA"/>
        </w:rPr>
        <w:t xml:space="preserve">] « l’indispensable immunité que le droit accorde aux députés [. . .] pour leur permettre d’effectuer leur travail législatif, “y compris leur tâche de demander des comptes au gouvernement” » : Maingot, p. 15, citant </w:t>
      </w:r>
      <w:r w:rsidRPr="00606C27">
        <w:rPr>
          <w:rFonts w:cs="Times New Roman"/>
          <w:i/>
          <w:lang w:val="fr-CA"/>
        </w:rPr>
        <w:t>Canada (Chambre des communes) c. Vaid</w:t>
      </w:r>
      <w:r w:rsidRPr="00606C27">
        <w:rPr>
          <w:rFonts w:cs="Times New Roman"/>
          <w:lang w:val="fr-CA"/>
        </w:rPr>
        <w:t>, 2005 CSC 30, [2005] 1 R.C.S. 667, par. 46. Comme la tâche qui consiste à « demander des comptes au gouvernement » est la raison d’être du Parlement (Maingot, p. 317, citant W. Gladstone, Débats de la Chambre des communes du Royaume</w:t>
      </w:r>
      <w:r w:rsidRPr="00606C27">
        <w:rPr>
          <w:rFonts w:cs="Times New Roman"/>
          <w:lang w:val="fr-CA"/>
        </w:rPr>
        <w:noBreakHyphen/>
        <w:t xml:space="preserve">Uni (Hansard), 29 janvier 1855, p. 1202; voir aussi </w:t>
      </w:r>
      <w:r w:rsidRPr="00606C27">
        <w:rPr>
          <w:rFonts w:cs="Times New Roman"/>
          <w:i/>
          <w:lang w:val="fr-CA"/>
        </w:rPr>
        <w:t>Vaid</w:t>
      </w:r>
      <w:r w:rsidRPr="00606C27">
        <w:rPr>
          <w:rFonts w:cs="Times New Roman"/>
          <w:lang w:val="fr-CA"/>
        </w:rPr>
        <w:t xml:space="preserve">, par. 46), le principe du privilège parlementaire est essentiel pour que le Parlement s’acquitte de ses fonctions constitutionnelles. Comme la Cour l’a déclaré dans le </w:t>
      </w:r>
      <w:r w:rsidRPr="00606C27">
        <w:rPr>
          <w:rFonts w:cs="Times New Roman"/>
          <w:i/>
          <w:lang w:val="fr-CA"/>
        </w:rPr>
        <w:t>Renvoi relatif au Régime d’assistance publique du Canada</w:t>
      </w:r>
      <w:r w:rsidRPr="00606C27">
        <w:rPr>
          <w:rFonts w:cs="Times New Roman"/>
          <w:lang w:val="fr-CA"/>
        </w:rPr>
        <w:t>,</w:t>
      </w:r>
      <w:r w:rsidRPr="00606C27">
        <w:rPr>
          <w:rFonts w:cs="Times New Roman"/>
          <w:i/>
          <w:lang w:val="fr-CA"/>
        </w:rPr>
        <w:t xml:space="preserve"> </w:t>
      </w:r>
      <w:r w:rsidRPr="00606C27">
        <w:rPr>
          <w:rFonts w:cs="Times New Roman"/>
          <w:lang w:val="fr-CA"/>
        </w:rPr>
        <w:t>p. 560, « [t]oute restriction imposée au pouvoir [. . .] de déposer des projets de loi constitue une limitation de la souve</w:t>
      </w:r>
      <w:r w:rsidR="00BC7EE9">
        <w:rPr>
          <w:rFonts w:cs="Times New Roman"/>
          <w:lang w:val="fr-CA"/>
        </w:rPr>
        <w:t>raineté du Parlement lui</w:t>
      </w:r>
      <w:r w:rsidR="00BC7EE9">
        <w:rPr>
          <w:rFonts w:cs="Times New Roman"/>
          <w:lang w:val="fr-CA"/>
        </w:rPr>
        <w:noBreakHyphen/>
        <w:t>même. »</w:t>
      </w:r>
      <w:r w:rsidRPr="00606C27">
        <w:rPr>
          <w:rFonts w:cs="Times New Roman"/>
          <w:lang w:val="fr-CA"/>
        </w:rPr>
        <w:t xml:space="preserve"> Le Parlement a donc le droit « d’exercer une liberté absolue pour ce qui est de la formulation, du dépôt, de la modification et de l’adoption d’une loi » : </w:t>
      </w:r>
      <w:r w:rsidRPr="00606C27">
        <w:rPr>
          <w:rFonts w:cs="Times New Roman"/>
          <w:i/>
          <w:lang w:val="fr-CA"/>
        </w:rPr>
        <w:t>Galati c. Canada (Gouverneur général)</w:t>
      </w:r>
      <w:r w:rsidRPr="00606C27">
        <w:rPr>
          <w:rFonts w:cs="Times New Roman"/>
          <w:lang w:val="fr-CA"/>
        </w:rPr>
        <w:t xml:space="preserve">, 2015 CF 91, [2015] 4 R.C.F. 3, par. 34. </w:t>
      </w:r>
    </w:p>
    <w:p w:rsidR="00E313A3" w:rsidRPr="00606C27" w:rsidRDefault="00E313A3" w:rsidP="00E313A3">
      <w:pPr>
        <w:pStyle w:val="ParaNoNdepar-AltN"/>
        <w:rPr>
          <w:rFonts w:cs="Times New Roman"/>
          <w:lang w:val="fr-CA"/>
        </w:rPr>
      </w:pPr>
      <w:r w:rsidRPr="00606C27">
        <w:rPr>
          <w:rFonts w:cs="Times New Roman"/>
          <w:lang w:val="fr-CA"/>
        </w:rPr>
        <w:t xml:space="preserve">Je reconnais que le privilège parlementaire s’applique sous réserve de certaines contraintes imposées par la Constitution du Canada. Par exemple, dans le </w:t>
      </w:r>
      <w:r w:rsidRPr="00606C27">
        <w:rPr>
          <w:rFonts w:cs="Times New Roman"/>
          <w:i/>
          <w:lang w:val="fr-CA"/>
        </w:rPr>
        <w:t>Renvoi</w:t>
      </w:r>
      <w:r w:rsidR="00BC7EE9">
        <w:rPr>
          <w:rFonts w:cs="Times New Roman"/>
          <w:i/>
          <w:lang w:val="fr-CA"/>
        </w:rPr>
        <w:t> : D</w:t>
      </w:r>
      <w:r w:rsidRPr="00606C27">
        <w:rPr>
          <w:rFonts w:cs="Times New Roman"/>
          <w:i/>
          <w:lang w:val="fr-CA"/>
        </w:rPr>
        <w:t>roits linguistiques au Manitoba</w:t>
      </w:r>
      <w:r w:rsidRPr="00606C27">
        <w:rPr>
          <w:rFonts w:cs="Times New Roman"/>
          <w:lang w:val="fr-CA"/>
        </w:rPr>
        <w:t xml:space="preserve">, [1985] 1 R.C.S. 721, la Cour a conclu que </w:t>
      </w:r>
      <w:r w:rsidRPr="00606C27">
        <w:rPr>
          <w:rFonts w:cs="Times New Roman"/>
          <w:lang w:val="fr-CA"/>
        </w:rPr>
        <w:lastRenderedPageBreak/>
        <w:t xml:space="preserve">l’art. 23 de la </w:t>
      </w:r>
      <w:r w:rsidRPr="00606C27">
        <w:rPr>
          <w:rFonts w:cs="Times New Roman"/>
          <w:i/>
          <w:iCs/>
          <w:lang w:val="fr-CA"/>
        </w:rPr>
        <w:t>Loi de 1870 sur le Manitoba</w:t>
      </w:r>
      <w:r w:rsidRPr="00606C27">
        <w:rPr>
          <w:rFonts w:cs="Times New Roman"/>
          <w:iCs/>
          <w:lang w:val="fr-CA"/>
        </w:rPr>
        <w:t>, S.C. 1870, c. 3,</w:t>
      </w:r>
      <w:r w:rsidRPr="00606C27">
        <w:rPr>
          <w:rFonts w:cs="Times New Roman"/>
          <w:i/>
          <w:iCs/>
          <w:lang w:val="fr-CA"/>
        </w:rPr>
        <w:t xml:space="preserve"> </w:t>
      </w:r>
      <w:r w:rsidRPr="00606C27">
        <w:rPr>
          <w:rFonts w:cs="Times New Roman"/>
          <w:lang w:val="fr-CA"/>
        </w:rPr>
        <w:t xml:space="preserve">consacre une exigence d’adopter, d’imprimer et de publier les lois de la province dans les deux langues officielles. Elle impose ainsi à la législature du Manitoba une obligation constitutionnelle quant aux modalités et à la forme de l’adoption valide de ses lois. D’autres exigences quant aux modalités et à la forme sont énoncées à la partie IV de la </w:t>
      </w:r>
      <w:r w:rsidRPr="00606C27">
        <w:rPr>
          <w:rFonts w:cs="Times New Roman"/>
          <w:i/>
          <w:lang w:val="fr-CA"/>
        </w:rPr>
        <w:t>Loi constitutionnelle de 1867</w:t>
      </w:r>
      <w:r w:rsidRPr="00606C27">
        <w:rPr>
          <w:rFonts w:cs="Times New Roman"/>
          <w:lang w:val="fr-CA"/>
        </w:rPr>
        <w:t xml:space="preserve"> : par exemple, à l’art. 48 (« Quorum de la Chambre des communes »), à l’art. 49 (« Votation dans la Chambre des Communes »), et au par. 52(1) de la </w:t>
      </w:r>
      <w:r w:rsidRPr="00606C27">
        <w:rPr>
          <w:rFonts w:cs="Times New Roman"/>
          <w:i/>
          <w:lang w:val="fr-CA"/>
        </w:rPr>
        <w:t>Loi constitutionnelle de 1982</w:t>
      </w:r>
      <w:r w:rsidRPr="00606C27">
        <w:rPr>
          <w:rFonts w:cs="Times New Roman"/>
          <w:lang w:val="fr-CA"/>
        </w:rPr>
        <w:t xml:space="preserve">. </w:t>
      </w:r>
    </w:p>
    <w:p w:rsidR="00E313A3" w:rsidRPr="00606C27" w:rsidRDefault="00E313A3" w:rsidP="00E313A3">
      <w:pPr>
        <w:pStyle w:val="ParaNoNdepar-AltN"/>
        <w:rPr>
          <w:rFonts w:cs="Times New Roman"/>
          <w:lang w:val="fr-CA"/>
        </w:rPr>
      </w:pPr>
      <w:r w:rsidRPr="00606C27">
        <w:rPr>
          <w:rFonts w:cs="Times New Roman"/>
          <w:lang w:val="fr-CA"/>
        </w:rPr>
        <w:t xml:space="preserve">La Première Nation crie Mikisew soutient que l’art. 35 de la </w:t>
      </w:r>
      <w:r w:rsidRPr="00606C27">
        <w:rPr>
          <w:rFonts w:cs="Times New Roman"/>
          <w:i/>
          <w:lang w:val="fr-CA"/>
        </w:rPr>
        <w:t xml:space="preserve">Loi constitutionnelle de 1982 </w:t>
      </w:r>
      <w:r w:rsidRPr="00606C27">
        <w:rPr>
          <w:rFonts w:cs="Times New Roman"/>
          <w:lang w:val="fr-CA"/>
        </w:rPr>
        <w:t xml:space="preserve">a aussi pour effet de créer une exigence quant aux modalités et à la forme applicables au processus législatif qui se traduit par une obligation constitutionnelle de consulter que peuvent sanctionner les tribunaux. Or, l’obligation de consulter se distingue des exigences quant aux modalités et à la forme imposées par la Constitution que doit respecter le législateur afin d’adopter une loi valide. S’agissant de l’exercice du pouvoir législatif, la demande </w:t>
      </w:r>
      <w:r w:rsidRPr="00606C27">
        <w:rPr>
          <w:rFonts w:cs="Times New Roman"/>
          <w:i/>
          <w:lang w:val="fr-CA"/>
        </w:rPr>
        <w:t xml:space="preserve">ne </w:t>
      </w:r>
      <w:r w:rsidRPr="00606C27">
        <w:rPr>
          <w:rFonts w:cs="Times New Roman"/>
          <w:lang w:val="fr-CA"/>
        </w:rPr>
        <w:t xml:space="preserve">vise </w:t>
      </w:r>
      <w:r w:rsidRPr="00606C27">
        <w:rPr>
          <w:rFonts w:cs="Times New Roman"/>
          <w:i/>
          <w:lang w:val="fr-CA"/>
        </w:rPr>
        <w:t>pas</w:t>
      </w:r>
      <w:r w:rsidRPr="00606C27">
        <w:rPr>
          <w:rFonts w:cs="Times New Roman"/>
          <w:lang w:val="fr-CA"/>
        </w:rPr>
        <w:t xml:space="preserve"> les </w:t>
      </w:r>
      <w:r w:rsidRPr="00606C27">
        <w:rPr>
          <w:rFonts w:cs="Times New Roman"/>
          <w:i/>
          <w:lang w:val="fr-CA"/>
        </w:rPr>
        <w:t>modalités et</w:t>
      </w:r>
      <w:r w:rsidRPr="00606C27">
        <w:rPr>
          <w:rFonts w:cs="Times New Roman"/>
          <w:lang w:val="fr-CA"/>
        </w:rPr>
        <w:t xml:space="preserve"> </w:t>
      </w:r>
      <w:r w:rsidRPr="00606C27">
        <w:rPr>
          <w:rFonts w:cs="Times New Roman"/>
          <w:i/>
          <w:lang w:val="fr-CA"/>
        </w:rPr>
        <w:t>la forme</w:t>
      </w:r>
      <w:r w:rsidRPr="00606C27">
        <w:rPr>
          <w:rFonts w:cs="Times New Roman"/>
          <w:lang w:val="fr-CA"/>
        </w:rPr>
        <w:t xml:space="preserve"> de l’adoption des lois, mais plutôt la</w:t>
      </w:r>
      <w:r w:rsidRPr="00606C27">
        <w:rPr>
          <w:rFonts w:cs="Times New Roman"/>
          <w:i/>
          <w:lang w:val="fr-CA"/>
        </w:rPr>
        <w:t xml:space="preserve"> procédure</w:t>
      </w:r>
      <w:r w:rsidRPr="00606C27">
        <w:rPr>
          <w:rFonts w:cs="Times New Roman"/>
          <w:lang w:val="fr-CA"/>
        </w:rPr>
        <w:t xml:space="preserve"> suivie pour l’adoption des lois ou pour y mener. En outre, comme la Cour l’a affirmé dans l’arrêt </w:t>
      </w:r>
      <w:r w:rsidRPr="00606C27">
        <w:rPr>
          <w:rFonts w:cs="Times New Roman"/>
          <w:i/>
          <w:lang w:val="fr-CA"/>
        </w:rPr>
        <w:t>Authorson c. Canada (Procureur général)</w:t>
      </w:r>
      <w:r w:rsidRPr="00606C27">
        <w:rPr>
          <w:rFonts w:cs="Times New Roman"/>
          <w:lang w:val="fr-CA"/>
        </w:rPr>
        <w:t>, 2003 CSC 39, [2003] 2 R.C.S. 40, par. 37, « tout ce qu’un citoyen canadien peut exiger, sur le plan procédural, c’est qu’un projet de loi fasse l’objet de trois lectures à la Chambre des communes et au Sénat et qu’il reçoive la sanction royale ». Dans le même ordre d’idées, bien qu’une loi qui entrave de façon substantielle l’exercice du droit de négociation collective protégé par l’al. 2</w:t>
      </w:r>
      <w:r w:rsidRPr="00606C27">
        <w:rPr>
          <w:rFonts w:cs="Times New Roman"/>
          <w:i/>
          <w:lang w:val="fr-CA"/>
        </w:rPr>
        <w:t>d</w:t>
      </w:r>
      <w:r w:rsidRPr="00606C27">
        <w:rPr>
          <w:rFonts w:cs="Times New Roman"/>
          <w:lang w:val="fr-CA"/>
        </w:rPr>
        <w:t xml:space="preserve">) de la </w:t>
      </w:r>
      <w:r w:rsidRPr="00606C27">
        <w:rPr>
          <w:rFonts w:cs="Times New Roman"/>
          <w:i/>
          <w:lang w:val="fr-CA"/>
        </w:rPr>
        <w:t xml:space="preserve">Charte </w:t>
      </w:r>
      <w:r w:rsidRPr="00606C27">
        <w:rPr>
          <w:rFonts w:cs="Times New Roman"/>
          <w:i/>
          <w:lang w:val="fr-CA"/>
        </w:rPr>
        <w:lastRenderedPageBreak/>
        <w:t>canadienne des droits et libertés</w:t>
      </w:r>
      <w:r w:rsidRPr="00606C27">
        <w:rPr>
          <w:rFonts w:cs="Times New Roman"/>
          <w:lang w:val="fr-CA"/>
        </w:rPr>
        <w:t xml:space="preserve"> puisse être déclarée invalide, « [l]e législateur n’est pas tenu de consulter les parties visées avant d’adopter une mesure législative » : </w:t>
      </w:r>
      <w:r w:rsidRPr="00606C27">
        <w:rPr>
          <w:rFonts w:cs="Times New Roman"/>
          <w:i/>
          <w:lang w:val="fr-CA"/>
        </w:rPr>
        <w:t>Health Services and Support — Facilities Subsector Bargaining Assn. c. Colombie</w:t>
      </w:r>
      <w:r w:rsidRPr="00606C27">
        <w:rPr>
          <w:rFonts w:cs="Times New Roman"/>
          <w:i/>
          <w:lang w:val="fr-CA"/>
        </w:rPr>
        <w:noBreakHyphen/>
        <w:t>Britannique</w:t>
      </w:r>
      <w:r w:rsidRPr="00606C27">
        <w:rPr>
          <w:rFonts w:cs="Times New Roman"/>
          <w:lang w:val="fr-CA"/>
        </w:rPr>
        <w:t xml:space="preserve">, 2007 CSC 27, [2007] 2 R.C.S. 391, par. 157. En résumé, bien que la Constitution soit la loi suprême du Canada et qu’elle rende inopérante toute loi incompatible avec ses dispositions, elle ne permet pas aux demandeurs d’écarter le privilège parlementaire en contestant le processus qui a conduit à la formulation, au dépôt ou à l’adoption d’une loi. </w:t>
      </w:r>
    </w:p>
    <w:p w:rsidR="00E313A3" w:rsidRPr="00606C27" w:rsidRDefault="00E313A3" w:rsidP="00E313A3">
      <w:pPr>
        <w:pStyle w:val="ParaNoNdepar-AltN"/>
        <w:rPr>
          <w:rFonts w:cs="Times New Roman"/>
          <w:lang w:val="fr-CA"/>
        </w:rPr>
      </w:pPr>
      <w:r w:rsidRPr="00606C27">
        <w:rPr>
          <w:rFonts w:cs="Times New Roman"/>
          <w:lang w:val="fr-CA"/>
        </w:rPr>
        <w:t>Considérer que l’élaboration et l’analyse des options politiques relatives à la formulation et au dépôt des projets de loi sont de nature législative est plus conforme à l’interprétation en droit canadien de la portée du contrôle judiciaire (dans le sens de contrôle judiciaire de la constitutionnalité plutôt que de contrôle judiciaire d’une mesure administrative). Le contrôle judiciaire est [</w:t>
      </w:r>
      <w:r w:rsidRPr="00606C27">
        <w:rPr>
          <w:rFonts w:cs="Times New Roman"/>
          <w:smallCaps/>
          <w:lang w:val="fr-CA"/>
        </w:rPr>
        <w:t>traduction</w:t>
      </w:r>
      <w:r w:rsidRPr="00606C27">
        <w:rPr>
          <w:rFonts w:cs="Times New Roman"/>
          <w:lang w:val="fr-CA"/>
        </w:rPr>
        <w:t xml:space="preserve">] « le pouvoir de déterminer si [une] </w:t>
      </w:r>
      <w:r w:rsidRPr="00606C27">
        <w:rPr>
          <w:rFonts w:cs="Times New Roman"/>
          <w:u w:val="single"/>
          <w:lang w:val="fr-CA"/>
        </w:rPr>
        <w:t>loi</w:t>
      </w:r>
      <w:r w:rsidRPr="00606C27">
        <w:rPr>
          <w:rFonts w:cs="Times New Roman"/>
          <w:lang w:val="fr-CA"/>
        </w:rPr>
        <w:t xml:space="preserve"> en particulier est valide ou invalide » : P. W. Hogg, </w:t>
      </w:r>
      <w:r w:rsidRPr="00606C27">
        <w:rPr>
          <w:rFonts w:cs="Times New Roman"/>
          <w:i/>
          <w:lang w:val="fr-CA"/>
        </w:rPr>
        <w:t>Constitutional Law of Canada</w:t>
      </w:r>
      <w:r w:rsidRPr="00606C27">
        <w:rPr>
          <w:rFonts w:cs="Times New Roman"/>
          <w:lang w:val="fr-CA"/>
        </w:rPr>
        <w:t xml:space="preserve"> (5</w:t>
      </w:r>
      <w:r w:rsidRPr="00606C27">
        <w:rPr>
          <w:rFonts w:cs="Times New Roman"/>
          <w:vertAlign w:val="superscript"/>
          <w:lang w:val="fr-CA"/>
        </w:rPr>
        <w:t>e</w:t>
      </w:r>
      <w:r w:rsidRPr="00606C27">
        <w:rPr>
          <w:rFonts w:cs="Times New Roman"/>
          <w:lang w:val="fr-CA"/>
        </w:rPr>
        <w:t> éd. supp</w:t>
      </w:r>
      <w:r w:rsidR="00BC7EE9">
        <w:rPr>
          <w:rFonts w:cs="Times New Roman"/>
          <w:lang w:val="fr-CA"/>
        </w:rPr>
        <w:t>l.), p. 15-2</w:t>
      </w:r>
      <w:r w:rsidRPr="00606C27">
        <w:rPr>
          <w:rFonts w:cs="Times New Roman"/>
          <w:lang w:val="fr-CA"/>
        </w:rPr>
        <w:t xml:space="preserve"> (je souligne). Il s’agit donc de l’examen de lois sanctionnées afin d’en assurer la constitutionnalité, et non pas, en règle générale, de l’examen du processus législatif par les tribunaux. </w:t>
      </w:r>
    </w:p>
    <w:p w:rsidR="00E313A3" w:rsidRPr="00606C27" w:rsidRDefault="00E313A3" w:rsidP="00E313A3">
      <w:pPr>
        <w:pStyle w:val="ParaNoNdepar-AltN"/>
        <w:rPr>
          <w:rFonts w:cs="Times New Roman"/>
          <w:lang w:val="fr-CA"/>
        </w:rPr>
      </w:pPr>
      <w:r w:rsidRPr="00606C27">
        <w:rPr>
          <w:rFonts w:cs="Times New Roman"/>
          <w:lang w:val="fr-CA"/>
        </w:rPr>
        <w:t xml:space="preserve">De plus, ce point de vue cadre avec le libellé du par. 52(1) de la </w:t>
      </w:r>
      <w:r w:rsidRPr="00606C27">
        <w:rPr>
          <w:rFonts w:cs="Times New Roman"/>
          <w:i/>
          <w:lang w:val="fr-CA"/>
        </w:rPr>
        <w:t xml:space="preserve">Loi constitutionnelle de 1982 </w:t>
      </w:r>
      <w:r w:rsidR="008016CF">
        <w:rPr>
          <w:rFonts w:cs="Times New Roman"/>
          <w:lang w:val="fr-CA"/>
        </w:rPr>
        <w:t>selon lequel la Constitution</w:t>
      </w:r>
      <w:r w:rsidRPr="00606C27">
        <w:rPr>
          <w:rFonts w:cs="Times New Roman"/>
          <w:lang w:val="fr-CA"/>
        </w:rPr>
        <w:t xml:space="preserve"> « rend inopérantes les </w:t>
      </w:r>
      <w:r w:rsidRPr="00606C27">
        <w:rPr>
          <w:rFonts w:cs="Times New Roman"/>
          <w:u w:val="single"/>
          <w:lang w:val="fr-CA"/>
        </w:rPr>
        <w:t>dispositions</w:t>
      </w:r>
      <w:r w:rsidRPr="00606C27">
        <w:rPr>
          <w:rFonts w:cs="Times New Roman"/>
          <w:lang w:val="fr-CA"/>
        </w:rPr>
        <w:t xml:space="preserve"> incompatibles de toute autre règle de droit ». Il concorde également avec la mise en balance faite par la Cour dans les arrêts </w:t>
      </w:r>
      <w:r w:rsidRPr="00606C27">
        <w:rPr>
          <w:rFonts w:cs="Times New Roman"/>
          <w:i/>
          <w:lang w:val="fr-CA"/>
        </w:rPr>
        <w:t>R. c. Sparrow</w:t>
      </w:r>
      <w:r w:rsidRPr="00606C27">
        <w:rPr>
          <w:rFonts w:cs="Times New Roman"/>
          <w:lang w:val="fr-CA"/>
        </w:rPr>
        <w:t xml:space="preserve">, [1990] 1 R.C.S. 1075, </w:t>
      </w:r>
      <w:r w:rsidRPr="00606C27">
        <w:rPr>
          <w:rFonts w:cs="Times New Roman"/>
          <w:lang w:val="fr-CA"/>
        </w:rPr>
        <w:lastRenderedPageBreak/>
        <w:t xml:space="preserve">p. 1109, et </w:t>
      </w:r>
      <w:r w:rsidRPr="00606C27">
        <w:rPr>
          <w:rFonts w:cs="Times New Roman"/>
          <w:i/>
          <w:lang w:val="fr-CA"/>
        </w:rPr>
        <w:t>Nation Tsilhqot’in c</w:t>
      </w:r>
      <w:r w:rsidRPr="00606C27">
        <w:rPr>
          <w:rFonts w:cs="Times New Roman"/>
          <w:i/>
          <w:iCs/>
          <w:lang w:val="fr-CA"/>
        </w:rPr>
        <w:t>.</w:t>
      </w:r>
      <w:r w:rsidRPr="00606C27">
        <w:rPr>
          <w:rFonts w:cs="Times New Roman"/>
          <w:i/>
          <w:lang w:val="fr-CA"/>
        </w:rPr>
        <w:t xml:space="preserve"> Colombie</w:t>
      </w:r>
      <w:r w:rsidRPr="00606C27">
        <w:rPr>
          <w:rFonts w:cs="Times New Roman"/>
          <w:i/>
          <w:lang w:val="fr-CA"/>
        </w:rPr>
        <w:noBreakHyphen/>
        <w:t>Britannique</w:t>
      </w:r>
      <w:r w:rsidRPr="00606C27">
        <w:rPr>
          <w:rFonts w:cs="Times New Roman"/>
          <w:lang w:val="fr-CA"/>
        </w:rPr>
        <w:t>, 2014 CSC 44, [2014] 2 R.C.S. 257, par. 77</w:t>
      </w:r>
      <w:r w:rsidRPr="00606C27">
        <w:rPr>
          <w:rFonts w:cs="Times New Roman"/>
          <w:lang w:val="fr-CA"/>
        </w:rPr>
        <w:noBreakHyphen/>
        <w:t xml:space="preserve">78, du pouvoir législatif, d’une part, et des droits garantis par l’art. 35 ainsi que de l’objectif de réconciliation, d’autre part, selon laquelle le « gouvernement » doit justifier toute mesure législative qui porte atteinte à l’art. 35. Je tiens à souligner que cette situation diffère du cadre régissant une conduite — envisagée ou réelle — adoptée par la Couronne en vertu d’une loi habilitante. Je vais maintenant examiner ce cadre. </w:t>
      </w:r>
    </w:p>
    <w:p w:rsidR="00E313A3" w:rsidRPr="00606C27" w:rsidRDefault="00E313A3" w:rsidP="00E313A3">
      <w:pPr>
        <w:pStyle w:val="Title2LevelTitre2Niveau"/>
        <w:rPr>
          <w:rFonts w:cs="Times New Roman"/>
          <w:lang w:val="fr-CA"/>
        </w:rPr>
      </w:pPr>
      <w:r w:rsidRPr="00606C27">
        <w:rPr>
          <w:rFonts w:cs="Times New Roman"/>
          <w:lang w:val="fr-CA"/>
        </w:rPr>
        <w:t xml:space="preserve">L’élaboration, le dépôt, l’examen et l’adoption des projets de loi ne constituent pas des « conduites de la Couronne » qui donnent naissance à l’obligation de consulter </w:t>
      </w:r>
    </w:p>
    <w:p w:rsidR="00E313A3" w:rsidRPr="00606C27" w:rsidRDefault="00E313A3" w:rsidP="00E313A3">
      <w:pPr>
        <w:pStyle w:val="ParaNoNdepar-AltN"/>
        <w:rPr>
          <w:rFonts w:cs="Times New Roman"/>
          <w:lang w:val="fr-CA"/>
        </w:rPr>
      </w:pPr>
      <w:r w:rsidRPr="00606C27">
        <w:rPr>
          <w:rFonts w:cs="Times New Roman"/>
          <w:lang w:val="fr-CA"/>
        </w:rPr>
        <w:t xml:space="preserve">Dans l’arrêt </w:t>
      </w:r>
      <w:r w:rsidRPr="00606C27">
        <w:rPr>
          <w:rFonts w:cs="Times New Roman"/>
          <w:i/>
          <w:lang w:val="fr-CA"/>
        </w:rPr>
        <w:t>Nation haïda c. Colombie</w:t>
      </w:r>
      <w:r w:rsidRPr="00606C27">
        <w:rPr>
          <w:rFonts w:cs="Times New Roman"/>
          <w:i/>
          <w:lang w:val="fr-CA"/>
        </w:rPr>
        <w:noBreakHyphen/>
        <w:t>Britannique (Ministre des Forêts)</w:t>
      </w:r>
      <w:r w:rsidRPr="00606C27">
        <w:rPr>
          <w:rFonts w:cs="Times New Roman"/>
          <w:lang w:val="fr-CA"/>
        </w:rPr>
        <w:t xml:space="preserve">, 2004 CSC 73, [2004] 3 R.C.S. 511, par. 35, la Cour a énoncé les trois éléments qui, pris ensemble, donnent naissance à une obligation de consulter : (i) la Couronne doit avoir connaissance, concrètement ou par imputation, de l’existence potentielle d’un droit ou titre ancestral, (ii) la Couronne doit envisager une conduite, et (iii) cette conduite doit être susceptible d’avoir un effet préjudiciable sur une revendication autochtone ou sur un droit ancestral ou issu de traités. L’obligation de consulter les peuples autochtones et, si nécessaire, de prendre en compte leurs intérêts découle du principe de l’honneur de la Couronne : </w:t>
      </w:r>
      <w:r w:rsidRPr="00606C27">
        <w:rPr>
          <w:rFonts w:cs="Times New Roman"/>
          <w:i/>
          <w:lang w:val="fr-CA"/>
        </w:rPr>
        <w:t>Nation haïda</w:t>
      </w:r>
      <w:r w:rsidRPr="00606C27">
        <w:rPr>
          <w:rFonts w:cs="Times New Roman"/>
          <w:lang w:val="fr-CA"/>
        </w:rPr>
        <w:t>, par. 16.</w:t>
      </w:r>
    </w:p>
    <w:p w:rsidR="00E313A3" w:rsidRPr="00606C27" w:rsidRDefault="00E313A3" w:rsidP="00E313A3">
      <w:pPr>
        <w:pStyle w:val="ParaNoNdepar-AltN"/>
        <w:rPr>
          <w:lang w:val="fr-CA"/>
        </w:rPr>
      </w:pPr>
      <w:r w:rsidRPr="00606C27">
        <w:rPr>
          <w:lang w:val="fr-CA"/>
        </w:rPr>
        <w:t xml:space="preserve">Il faut toutefois comprendre que la « conduite de la Couronne » qui fait naître l’obligation de consulter, exclut les fonctions parlementaires (et, de fait, judiciaires) de l’État canadien. La Couronne représente un ensemble de pouvoirs et de privilèges et le terme « Couronne » est principalement, </w:t>
      </w:r>
      <w:r w:rsidRPr="00606C27">
        <w:rPr>
          <w:i/>
          <w:lang w:val="fr-CA"/>
        </w:rPr>
        <w:t>mais non exclusivement</w:t>
      </w:r>
      <w:r w:rsidRPr="00606C27">
        <w:rPr>
          <w:lang w:val="fr-CA"/>
        </w:rPr>
        <w:t xml:space="preserve">, utilisé </w:t>
      </w:r>
      <w:r w:rsidRPr="00606C27">
        <w:rPr>
          <w:lang w:val="fr-CA"/>
        </w:rPr>
        <w:lastRenderedPageBreak/>
        <w:t xml:space="preserve">pour désigner deux aspects de l’État canadien : le monarque et l’exécutif. En un sens, aucune activité de l’État n’est indépendante de la Couronne : O. Hood Phillips, P. Jackson et P. Leopold, </w:t>
      </w:r>
      <w:r w:rsidRPr="00606C27">
        <w:rPr>
          <w:i/>
          <w:lang w:val="fr-CA"/>
        </w:rPr>
        <w:t>O. Hood Phillips &amp; Jackson</w:t>
      </w:r>
      <w:r w:rsidR="008E3E4B">
        <w:rPr>
          <w:i/>
          <w:lang w:val="fr-CA"/>
        </w:rPr>
        <w:t> </w:t>
      </w:r>
      <w:r w:rsidRPr="00606C27">
        <w:rPr>
          <w:i/>
          <w:lang w:val="fr-CA"/>
        </w:rPr>
        <w:t>: Constitutional and Administrative Law</w:t>
      </w:r>
      <w:r w:rsidRPr="00606C27">
        <w:rPr>
          <w:lang w:val="fr-CA"/>
        </w:rPr>
        <w:t xml:space="preserve"> (8</w:t>
      </w:r>
      <w:r w:rsidRPr="00606C27">
        <w:rPr>
          <w:vertAlign w:val="superscript"/>
          <w:lang w:val="fr-CA"/>
        </w:rPr>
        <w:t>e</w:t>
      </w:r>
      <w:r w:rsidR="008E3E4B">
        <w:rPr>
          <w:lang w:val="fr-CA"/>
        </w:rPr>
        <w:t xml:space="preserve"> éd. 2001), par. 2-</w:t>
      </w:r>
      <w:r w:rsidRPr="00606C27">
        <w:rPr>
          <w:lang w:val="fr-CA"/>
        </w:rPr>
        <w:t xml:space="preserve">020. Cela dit, les fonctions parlementaires et judiciaires ont été clairement soustraites au contrôle de la Couronne : </w:t>
      </w:r>
      <w:r w:rsidRPr="00606C27">
        <w:rPr>
          <w:i/>
          <w:lang w:val="fr-CA"/>
        </w:rPr>
        <w:t xml:space="preserve">Magna Carta </w:t>
      </w:r>
      <w:r w:rsidRPr="00606C27">
        <w:rPr>
          <w:lang w:val="fr-CA"/>
        </w:rPr>
        <w:t xml:space="preserve">(1215); </w:t>
      </w:r>
      <w:r w:rsidRPr="00606C27">
        <w:rPr>
          <w:i/>
          <w:lang w:val="fr-CA"/>
        </w:rPr>
        <w:t xml:space="preserve">Case of Proclamations </w:t>
      </w:r>
      <w:r w:rsidRPr="00606C27">
        <w:rPr>
          <w:lang w:val="fr-CA"/>
        </w:rPr>
        <w:t xml:space="preserve">(1611), 12 Co. Rep. 74, 77 E.R. 1352; </w:t>
      </w:r>
      <w:r w:rsidRPr="00606C27">
        <w:rPr>
          <w:i/>
          <w:lang w:val="fr-CA"/>
        </w:rPr>
        <w:t xml:space="preserve">Bill of Rights </w:t>
      </w:r>
      <w:r w:rsidRPr="00606C27">
        <w:rPr>
          <w:lang w:val="fr-CA"/>
        </w:rPr>
        <w:t>de</w:t>
      </w:r>
      <w:r w:rsidRPr="00606C27">
        <w:rPr>
          <w:i/>
          <w:lang w:val="fr-CA"/>
        </w:rPr>
        <w:t xml:space="preserve"> </w:t>
      </w:r>
      <w:r w:rsidRPr="00606C27">
        <w:rPr>
          <w:lang w:val="fr-CA"/>
        </w:rPr>
        <w:t xml:space="preserve">1689; </w:t>
      </w:r>
      <w:r w:rsidRPr="00606C27">
        <w:rPr>
          <w:i/>
          <w:lang w:val="fr-CA"/>
        </w:rPr>
        <w:t xml:space="preserve">Act of Settlement </w:t>
      </w:r>
      <w:r w:rsidRPr="00606C27">
        <w:rPr>
          <w:lang w:val="fr-CA"/>
        </w:rPr>
        <w:t xml:space="preserve">de 1701; </w:t>
      </w:r>
      <w:r w:rsidRPr="00606C27">
        <w:rPr>
          <w:rFonts w:cs="Times New Roman"/>
          <w:i/>
          <w:lang w:val="fr-CA"/>
        </w:rPr>
        <w:t>Renvoi relatif à la sécession du Québec</w:t>
      </w:r>
      <w:r w:rsidRPr="00606C27">
        <w:rPr>
          <w:rFonts w:cs="Times New Roman"/>
          <w:lang w:val="fr-CA"/>
        </w:rPr>
        <w:t>, [1998] 2 R.C.S. 217, par. 63</w:t>
      </w:r>
      <w:r w:rsidRPr="00606C27">
        <w:rPr>
          <w:lang w:val="fr-CA"/>
        </w:rPr>
        <w:t xml:space="preserve">. Le préambule de la </w:t>
      </w:r>
      <w:r w:rsidRPr="00606C27">
        <w:rPr>
          <w:i/>
          <w:lang w:val="fr-CA"/>
        </w:rPr>
        <w:t>Loi constitutionnelle de 1867</w:t>
      </w:r>
      <w:r w:rsidRPr="00606C27">
        <w:rPr>
          <w:lang w:val="fr-CA"/>
        </w:rPr>
        <w:t>, selon lequel la Constitution du Canada « repos[e] sur les mêmes principes [constitutionnels] que celle du Royaume</w:t>
      </w:r>
      <w:r w:rsidRPr="00606C27">
        <w:rPr>
          <w:lang w:val="fr-CA"/>
        </w:rPr>
        <w:noBreakHyphen/>
        <w:t xml:space="preserve">Uni », est, comme le juge en chef Lamer l’a reconnu, le « portail de l’édifice constitutionnel » par l’entremise duquel les principes énoncés dans ces instruments juridiques font désormais partie de l’architecture même de la Constitution du Canada : </w:t>
      </w:r>
      <w:r w:rsidRPr="00606C27">
        <w:rPr>
          <w:i/>
          <w:lang w:val="fr-CA"/>
        </w:rPr>
        <w:t>Renvoi relatif à la rémunération des juges de la Cour provinciale de l’Île</w:t>
      </w:r>
      <w:r w:rsidRPr="00606C27">
        <w:rPr>
          <w:i/>
          <w:lang w:val="fr-CA"/>
        </w:rPr>
        <w:noBreakHyphen/>
        <w:t>du</w:t>
      </w:r>
      <w:r w:rsidRPr="00606C27">
        <w:rPr>
          <w:i/>
          <w:lang w:val="fr-CA"/>
        </w:rPr>
        <w:noBreakHyphen/>
        <w:t>Prince</w:t>
      </w:r>
      <w:r w:rsidRPr="00606C27">
        <w:rPr>
          <w:i/>
          <w:lang w:val="fr-CA"/>
        </w:rPr>
        <w:noBreakHyphen/>
        <w:t>Édouard</w:t>
      </w:r>
      <w:r w:rsidRPr="00606C27">
        <w:rPr>
          <w:lang w:val="fr-CA"/>
        </w:rPr>
        <w:t xml:space="preserve">, [1997] 3 R.C.S. 3, par. 109; voir également par. 83, 87 et 107. </w:t>
      </w:r>
    </w:p>
    <w:p w:rsidR="00E313A3" w:rsidRPr="00606C27" w:rsidRDefault="00E313A3" w:rsidP="00E313A3">
      <w:pPr>
        <w:pStyle w:val="ParaNoNdepar-AltN"/>
        <w:rPr>
          <w:rFonts w:cs="Times New Roman"/>
          <w:lang w:val="fr-CA"/>
        </w:rPr>
      </w:pPr>
      <w:r w:rsidRPr="00606C27">
        <w:rPr>
          <w:rFonts w:cs="Times New Roman"/>
          <w:lang w:val="fr-CA"/>
        </w:rPr>
        <w:t>Devant la Cour, l’avocat de la Première Nation crie Mikisew a contesté cette affirmation, laissant plutôt entendre que le libellé des formules</w:t>
      </w:r>
      <w:r w:rsidR="00F35FDB">
        <w:rPr>
          <w:rFonts w:cs="Times New Roman"/>
          <w:lang w:val="fr-CA"/>
        </w:rPr>
        <w:t xml:space="preserve"> d’édiction du Canada (« . . .</w:t>
      </w:r>
      <w:r w:rsidRPr="00606C27">
        <w:rPr>
          <w:rFonts w:cs="Times New Roman"/>
          <w:lang w:val="fr-CA"/>
        </w:rPr>
        <w:t xml:space="preserve"> Sa Majesté, sur l’avis et avec le consentement du Sénat et de la Chambre des co</w:t>
      </w:r>
      <w:r w:rsidR="00F35FDB">
        <w:rPr>
          <w:rFonts w:cs="Times New Roman"/>
          <w:lang w:val="fr-CA"/>
        </w:rPr>
        <w:t>mmunes du Canada, édicte . . .</w:t>
      </w:r>
      <w:r w:rsidRPr="00606C27">
        <w:rPr>
          <w:rFonts w:cs="Times New Roman"/>
          <w:lang w:val="fr-CA"/>
        </w:rPr>
        <w:t> ») signifie que la Couronne exerce un contrôle sur le processus d’adoption des lois : transcription, p. 149. Or, il s’agit d’une mauvaise interprétation de la mention de « Sa Majesté » dans ces formules. Cette mention ne signifie pas, comme il l’a plaidé, que [</w:t>
      </w:r>
      <w:r w:rsidRPr="00606C27">
        <w:rPr>
          <w:rFonts w:cs="Times New Roman"/>
          <w:smallCaps/>
          <w:lang w:val="fr-CA"/>
        </w:rPr>
        <w:t>traduction</w:t>
      </w:r>
      <w:r w:rsidRPr="00606C27">
        <w:rPr>
          <w:rFonts w:cs="Times New Roman"/>
          <w:lang w:val="fr-CA"/>
        </w:rPr>
        <w:t xml:space="preserve">] « [l]a loi constitue une mesure de </w:t>
      </w:r>
      <w:r w:rsidRPr="00606C27">
        <w:rPr>
          <w:rFonts w:cs="Times New Roman"/>
          <w:lang w:val="fr-CA"/>
        </w:rPr>
        <w:lastRenderedPageBreak/>
        <w:t xml:space="preserve">la Couronne » : transcription, p. 149. Elle ne fait que rendre compte du rôle de la Couronne au Parlement dans le processus législatif d’adoption des lois. </w:t>
      </w:r>
    </w:p>
    <w:p w:rsidR="00E313A3" w:rsidRPr="00606C27" w:rsidRDefault="00E313A3" w:rsidP="00E313A3">
      <w:pPr>
        <w:pStyle w:val="ParaNoNdepar-AltN"/>
        <w:rPr>
          <w:rFonts w:cs="Times New Roman"/>
          <w:lang w:val="fr-CA"/>
        </w:rPr>
      </w:pPr>
      <w:r w:rsidRPr="00606C27">
        <w:rPr>
          <w:rFonts w:cs="Times New Roman"/>
          <w:lang w:val="fr-CA"/>
        </w:rPr>
        <w:t xml:space="preserve">Je m’explique : le Parlement est composé de la Chambre des communes, du Sénat et de la Reine : </w:t>
      </w:r>
      <w:r w:rsidRPr="00606C27">
        <w:rPr>
          <w:rFonts w:cs="Times New Roman"/>
          <w:i/>
          <w:lang w:val="fr-CA"/>
        </w:rPr>
        <w:t>Loi constitutionnelle de 1867</w:t>
      </w:r>
      <w:r w:rsidRPr="00606C27">
        <w:rPr>
          <w:rFonts w:cs="Times New Roman"/>
          <w:lang w:val="fr-CA"/>
        </w:rPr>
        <w:t>, art. 17. L’étendue du rôle législatif de la Reine — c’est</w:t>
      </w:r>
      <w:r w:rsidRPr="00606C27">
        <w:rPr>
          <w:rFonts w:cs="Times New Roman"/>
          <w:lang w:val="fr-CA"/>
        </w:rPr>
        <w:noBreakHyphen/>
        <w:t>à</w:t>
      </w:r>
      <w:r w:rsidRPr="00606C27">
        <w:rPr>
          <w:rFonts w:cs="Times New Roman"/>
          <w:lang w:val="fr-CA"/>
        </w:rPr>
        <w:noBreakHyphen/>
        <w:t>dire, le rôle de la Couronne au Parlement — comprend [</w:t>
      </w:r>
      <w:r w:rsidRPr="00606C27">
        <w:rPr>
          <w:rFonts w:cs="Times New Roman"/>
          <w:smallCaps/>
          <w:lang w:val="fr-CA"/>
        </w:rPr>
        <w:t>traduction</w:t>
      </w:r>
      <w:r w:rsidRPr="00606C27">
        <w:rPr>
          <w:rFonts w:cs="Times New Roman"/>
          <w:lang w:val="fr-CA"/>
        </w:rPr>
        <w:t xml:space="preserve">] « trois actes déterminants qui relèvent des fonctions principales du Parlement </w:t>
      </w:r>
      <w:r w:rsidRPr="00606C27">
        <w:rPr>
          <w:rFonts w:cs="Times New Roman"/>
          <w:u w:val="single"/>
          <w:lang w:val="fr-CA"/>
        </w:rPr>
        <w:t>à titre d’organe législatif</w:t>
      </w:r>
      <w:r w:rsidRPr="00606C27">
        <w:rPr>
          <w:rFonts w:cs="Times New Roman"/>
          <w:lang w:val="fr-CA"/>
        </w:rPr>
        <w:t> : la recommandation royale, le consentement royal et la sanction royale » : C. Robert, « The Role of the Crown</w:t>
      </w:r>
      <w:r w:rsidRPr="00606C27">
        <w:rPr>
          <w:rFonts w:cs="Times New Roman"/>
          <w:lang w:val="fr-CA"/>
        </w:rPr>
        <w:noBreakHyphen/>
        <w:t>in</w:t>
      </w:r>
      <w:r w:rsidRPr="00606C27">
        <w:rPr>
          <w:rFonts w:cs="Times New Roman"/>
          <w:lang w:val="fr-CA"/>
        </w:rPr>
        <w:noBreakHyphen/>
        <w:t xml:space="preserve">Parliament : A Matter of Form and Substance », dans M. Bédard et P. Lagassé, dir., </w:t>
      </w:r>
      <w:r w:rsidRPr="00606C27">
        <w:rPr>
          <w:rFonts w:cs="Times New Roman"/>
          <w:i/>
          <w:lang w:val="fr-CA"/>
        </w:rPr>
        <w:t>La Couronne et le Parlement</w:t>
      </w:r>
      <w:r w:rsidRPr="00606C27">
        <w:rPr>
          <w:rFonts w:cs="Times New Roman"/>
          <w:lang w:val="fr-CA"/>
        </w:rPr>
        <w:t xml:space="preserve"> (2015), 95, p. 96 (je souligne). </w:t>
      </w:r>
    </w:p>
    <w:p w:rsidR="00E313A3" w:rsidRPr="00606C27" w:rsidRDefault="00E313A3" w:rsidP="00E313A3">
      <w:pPr>
        <w:pStyle w:val="ParaNoNdepar-AltN"/>
        <w:rPr>
          <w:rFonts w:cs="Times New Roman"/>
          <w:lang w:val="fr-CA"/>
        </w:rPr>
      </w:pPr>
      <w:r w:rsidRPr="00606C27">
        <w:rPr>
          <w:rFonts w:cs="Times New Roman"/>
          <w:lang w:val="fr-CA"/>
        </w:rPr>
        <w:t xml:space="preserve">La recommandation royale dont il est question à l’art. 54 de la </w:t>
      </w:r>
      <w:r w:rsidRPr="00606C27">
        <w:rPr>
          <w:rFonts w:cs="Times New Roman"/>
          <w:i/>
          <w:lang w:val="fr-CA"/>
        </w:rPr>
        <w:t>Loi constitutionnelle de 1867</w:t>
      </w:r>
      <w:r w:rsidRPr="00606C27">
        <w:rPr>
          <w:rFonts w:cs="Times New Roman"/>
          <w:lang w:val="fr-CA"/>
        </w:rPr>
        <w:t xml:space="preserve"> constitue la procédure à suivre pour autoriser la dépense de deniers publics. Le consentement royal est une pratique fondée sur une convention qui limite le droit du Parlement de prendre des mesures portant atteinte à la prérogative de la Couronne ou à d’autres droits et intérêts de la Couronne. Cependant, en l’espèce, c’est la sanction royale qui est pertinente, car c’est l’acte prévu par les formules d’édiction invoquées par l’avocat de la Première Nation crie Mikisew. La sanction royale est aussi expressément exigée par l’art. 55 de la </w:t>
      </w:r>
      <w:r w:rsidRPr="00606C27">
        <w:rPr>
          <w:rFonts w:cs="Times New Roman"/>
          <w:i/>
          <w:lang w:val="fr-CA"/>
        </w:rPr>
        <w:t>Loi constitutionnelle de 1867</w:t>
      </w:r>
      <w:r w:rsidRPr="00606C27">
        <w:rPr>
          <w:rFonts w:cs="Times New Roman"/>
          <w:lang w:val="fr-CA"/>
        </w:rPr>
        <w:t>, qui prévoit que, lorsqu’un projet de loi voté par la Chambre des communes et le Sénat est présenté au gouverneur</w:t>
      </w:r>
      <w:r w:rsidRPr="00606C27">
        <w:rPr>
          <w:rFonts w:cs="Times New Roman"/>
          <w:lang w:val="fr-CA"/>
        </w:rPr>
        <w:noBreakHyphen/>
        <w:t xml:space="preserve">général pour la sanction de la Reine, ce dernier déclare qu’il </w:t>
      </w:r>
      <w:r w:rsidRPr="00606C27">
        <w:rPr>
          <w:rFonts w:cs="Times New Roman"/>
          <w:lang w:val="fr-CA"/>
        </w:rPr>
        <w:lastRenderedPageBreak/>
        <w:t xml:space="preserve">le sanctionne (ou refuse cette sanction, ou qu’il réserve le projet de loi) au nom de la Reine. </w:t>
      </w:r>
    </w:p>
    <w:p w:rsidR="00E313A3" w:rsidRPr="00606C27" w:rsidRDefault="00E313A3" w:rsidP="00E313A3">
      <w:pPr>
        <w:pStyle w:val="ParaNoNdepar-AltN"/>
        <w:rPr>
          <w:rFonts w:cs="Times New Roman"/>
          <w:lang w:val="fr-CA"/>
        </w:rPr>
      </w:pPr>
      <w:r w:rsidRPr="00606C27">
        <w:rPr>
          <w:rFonts w:cs="Times New Roman"/>
          <w:lang w:val="fr-CA"/>
        </w:rPr>
        <w:t xml:space="preserve">Les articles 54 et 55 se trouvent dans la partie IV de la </w:t>
      </w:r>
      <w:r w:rsidRPr="00606C27">
        <w:rPr>
          <w:rFonts w:cs="Times New Roman"/>
          <w:i/>
          <w:lang w:val="fr-CA"/>
        </w:rPr>
        <w:t>Loi constitutionnelle</w:t>
      </w:r>
      <w:r w:rsidRPr="00606C27">
        <w:rPr>
          <w:rFonts w:cs="Times New Roman"/>
          <w:lang w:val="fr-CA"/>
        </w:rPr>
        <w:t xml:space="preserve"> </w:t>
      </w:r>
      <w:r w:rsidRPr="00606C27">
        <w:rPr>
          <w:rFonts w:cs="Times New Roman"/>
          <w:i/>
          <w:lang w:val="fr-CA"/>
        </w:rPr>
        <w:t>de 1867</w:t>
      </w:r>
      <w:r w:rsidRPr="00606C27">
        <w:rPr>
          <w:rFonts w:cs="Times New Roman"/>
          <w:lang w:val="fr-CA"/>
        </w:rPr>
        <w:t xml:space="preserve"> et se rapportent donc, aux termes de la Constitution, au « pouvoir législatif ». Cela est logique parce que la recommandation royale, le consentement royal et la sanction royale sont distincts des autres exercices du pouvoir de la Couronne. Contrairement, par exemple, aux organismes d’origine législative comme l’Office national de l’énergie, ou aux ministres de la Couronne qui agissent en vertu d’un pouvoir délégué par la loi, </w:t>
      </w:r>
      <w:r w:rsidR="003D28B3">
        <w:rPr>
          <w:rFonts w:cs="Times New Roman"/>
          <w:lang w:val="fr-CA"/>
        </w:rPr>
        <w:t>la Couronne au Parlement « [n’]</w:t>
      </w:r>
      <w:r w:rsidRPr="00606C27">
        <w:rPr>
          <w:rFonts w:cs="Times New Roman"/>
          <w:lang w:val="fr-CA"/>
        </w:rPr>
        <w:t xml:space="preserve">existe [pas] pour exercer le pouvoir de nature exécutive que le législateur concerné l’autorise à exercer »; en outre, les étapes suivies dans le cadre du processus parlementaire d’élaboration des lois, y compris la sanction royale, ne sont pas « le moyen par lequel la Couronne agit » : </w:t>
      </w:r>
      <w:r w:rsidRPr="00606C27">
        <w:rPr>
          <w:rFonts w:cs="Times New Roman"/>
          <w:i/>
          <w:lang w:val="fr-CA"/>
        </w:rPr>
        <w:t>Clyde River (Hameau) c. Petroleum Geo</w:t>
      </w:r>
      <w:r w:rsidRPr="00606C27">
        <w:rPr>
          <w:rFonts w:cs="Times New Roman"/>
          <w:i/>
          <w:lang w:val="fr-CA"/>
        </w:rPr>
        <w:noBreakHyphen/>
        <w:t>Services Inc.</w:t>
      </w:r>
      <w:r w:rsidRPr="00606C27">
        <w:rPr>
          <w:rFonts w:cs="Times New Roman"/>
          <w:lang w:val="fr-CA"/>
        </w:rPr>
        <w:t>, 2017 CSC 40, [2017] 1 R.C.S. 1069, par. 29. Comme l’a déclaré la Cour aux par. 28</w:t>
      </w:r>
      <w:r w:rsidRPr="00606C27">
        <w:rPr>
          <w:rFonts w:cs="Times New Roman"/>
          <w:lang w:val="fr-CA"/>
        </w:rPr>
        <w:noBreakHyphen/>
        <w:t xml:space="preserve">29 de cet arrêt : </w:t>
      </w:r>
    </w:p>
    <w:p w:rsidR="00E313A3" w:rsidRPr="00606C27" w:rsidRDefault="00E313A3" w:rsidP="00E313A3">
      <w:pPr>
        <w:pStyle w:val="Citation-AltC"/>
        <w:tabs>
          <w:tab w:val="left" w:pos="1440"/>
        </w:tabs>
        <w:spacing w:after="240"/>
        <w:ind w:hanging="1166"/>
        <w:contextualSpacing w:val="0"/>
        <w:rPr>
          <w:lang w:val="fr-CA"/>
        </w:rPr>
      </w:pPr>
      <w:r w:rsidRPr="00606C27">
        <w:rPr>
          <w:lang w:val="fr-CA"/>
        </w:rPr>
        <w:tab/>
      </w:r>
      <w:r w:rsidRPr="00606C27">
        <w:rPr>
          <w:lang w:val="fr-CA"/>
        </w:rPr>
        <w:tab/>
        <w:t xml:space="preserve">Il importe de répéter que l’obligation de consulter incombe à la Couronne. En un sens, la « Couronne » s’entend de la personnification de Sa Majesté de l’État canadien dans l’exercice des prérogatives et des privilèges qui lui sont réservés. </w:t>
      </w:r>
      <w:r w:rsidRPr="00606C27">
        <w:rPr>
          <w:u w:val="single"/>
          <w:lang w:val="fr-CA"/>
        </w:rPr>
        <w:t xml:space="preserve">Cependant, la Couronne désigne aussi la souveraine dans l’exercice de son rôle législatif officiel (lorsqu’elle sanctionne les projets de loi, qu’elle refuse de les sanctionner ou qu’elle réserve sa décision), </w:t>
      </w:r>
      <w:r w:rsidRPr="00606C27">
        <w:rPr>
          <w:i/>
          <w:u w:val="single"/>
          <w:lang w:val="fr-CA"/>
        </w:rPr>
        <w:t>et</w:t>
      </w:r>
      <w:r w:rsidRPr="00606C27">
        <w:rPr>
          <w:u w:val="single"/>
          <w:lang w:val="fr-CA"/>
        </w:rPr>
        <w:t xml:space="preserve"> en tant que chef du pouvoir exécutif</w:t>
      </w:r>
      <w:r w:rsidRPr="00606C27">
        <w:rPr>
          <w:lang w:val="fr-CA"/>
        </w:rPr>
        <w:t xml:space="preserve"> (</w:t>
      </w:r>
      <w:r w:rsidRPr="00606C27">
        <w:rPr>
          <w:i/>
          <w:lang w:val="fr-CA"/>
        </w:rPr>
        <w:t>McAteer c. Canada (Attorney General)</w:t>
      </w:r>
      <w:r w:rsidRPr="00606C27">
        <w:rPr>
          <w:lang w:val="fr-CA"/>
        </w:rPr>
        <w:t xml:space="preserve">, 2014 ONCA 578, 121 O.R. (3d) 1, par. 51; P. W. Hogg, P. J. Monahan et W. K. Wright, </w:t>
      </w:r>
      <w:r w:rsidRPr="00606C27">
        <w:rPr>
          <w:i/>
          <w:lang w:val="fr-CA"/>
        </w:rPr>
        <w:t>Liability of the Crown</w:t>
      </w:r>
      <w:r w:rsidRPr="00606C27">
        <w:rPr>
          <w:lang w:val="fr-CA"/>
        </w:rPr>
        <w:t xml:space="preserve"> (4</w:t>
      </w:r>
      <w:r w:rsidRPr="00606C27">
        <w:rPr>
          <w:vertAlign w:val="superscript"/>
          <w:lang w:val="fr-CA"/>
        </w:rPr>
        <w:t>e</w:t>
      </w:r>
      <w:r w:rsidRPr="00606C27">
        <w:rPr>
          <w:lang w:val="fr-CA"/>
        </w:rPr>
        <w:t> éd. 2011), p. 11</w:t>
      </w:r>
      <w:r w:rsidRPr="00606C27">
        <w:rPr>
          <w:lang w:val="fr-CA"/>
        </w:rPr>
        <w:noBreakHyphen/>
        <w:t xml:space="preserve">12; mais voir </w:t>
      </w:r>
      <w:r w:rsidRPr="00606C27">
        <w:rPr>
          <w:i/>
          <w:lang w:val="fr-CA"/>
        </w:rPr>
        <w:t>Carrier Sekani</w:t>
      </w:r>
      <w:r w:rsidRPr="00606C27">
        <w:rPr>
          <w:lang w:val="fr-CA"/>
        </w:rPr>
        <w:t xml:space="preserve">, par. 44). </w:t>
      </w:r>
      <w:r w:rsidRPr="00606C27">
        <w:rPr>
          <w:u w:val="single"/>
          <w:lang w:val="fr-CA"/>
        </w:rPr>
        <w:t>Pour cette raison, le mot « Couronne » est couramment employé comme symbole du pouvoir exécutif et pour désigner ce pouvoir</w:t>
      </w:r>
      <w:r w:rsidRPr="0003584E">
        <w:rPr>
          <w:u w:val="single"/>
          <w:lang w:val="fr-CA"/>
        </w:rPr>
        <w:t>.</w:t>
      </w:r>
      <w:r w:rsidRPr="00606C27">
        <w:rPr>
          <w:lang w:val="fr-CA"/>
        </w:rPr>
        <w:t xml:space="preserve"> . . </w:t>
      </w:r>
    </w:p>
    <w:p w:rsidR="00E313A3" w:rsidRPr="00606C27" w:rsidRDefault="00E313A3" w:rsidP="00E313A3">
      <w:pPr>
        <w:pStyle w:val="Citation-AltC"/>
        <w:tabs>
          <w:tab w:val="left" w:pos="1440"/>
        </w:tabs>
        <w:ind w:hanging="1166"/>
        <w:contextualSpacing w:val="0"/>
        <w:rPr>
          <w:lang w:val="fr-CA"/>
        </w:rPr>
      </w:pPr>
      <w:r w:rsidRPr="00606C27">
        <w:rPr>
          <w:lang w:val="fr-CA"/>
        </w:rPr>
        <w:lastRenderedPageBreak/>
        <w:tab/>
      </w:r>
      <w:r w:rsidRPr="00606C27">
        <w:rPr>
          <w:lang w:val="fr-CA"/>
        </w:rPr>
        <w:tab/>
        <w:t xml:space="preserve">Selon cette interprétation, l’ONÉ n’est pas, à proprement parler, « la Couronne ». Il n’est pas non plus, à proprement parler, un mandataire de la Couronne, étant donné que — comme l’ONÉ exerce ses activités de manière indépendante des ministres de la Couronne — il n’existe entre eux aucun lien de dépendance (Hogg, Monahan et Wright, p. 465). Cependant, en tant qu’organisme créé par la loi à qui incombe la responsabilité visée à l’al. 5(1)b) de la </w:t>
      </w:r>
      <w:r w:rsidRPr="00606C27">
        <w:rPr>
          <w:i/>
          <w:lang w:val="fr-CA"/>
        </w:rPr>
        <w:t>LOPC</w:t>
      </w:r>
      <w:r w:rsidRPr="00606C27">
        <w:rPr>
          <w:lang w:val="fr-CA"/>
        </w:rPr>
        <w:t xml:space="preserve">, l’ONÉ agit pour le compte de la Couronne lorsqu’il prend une décision définitive à l’égard d’une demande de projet. En termes simples, </w:t>
      </w:r>
      <w:r w:rsidRPr="00606C27">
        <w:rPr>
          <w:u w:val="single"/>
          <w:lang w:val="fr-CA"/>
        </w:rPr>
        <w:t>dès lors que l’on accepte qu’un organisme de réglementation existe pour exercer le pouvoir de nature exécutive que le législateur concerné l’autorise à exercer, toute distinction entre les mesures de cet organisme et celles de la Couronne disparaît rapidement</w:t>
      </w:r>
      <w:r w:rsidRPr="00606C27">
        <w:rPr>
          <w:lang w:val="fr-CA"/>
        </w:rPr>
        <w:t xml:space="preserve">. Dans ce contexte, l’ONÉ est le moyen par lequel la Couronne agit, d’où l’emploi interchangeable dans </w:t>
      </w:r>
      <w:r w:rsidRPr="00606C27">
        <w:rPr>
          <w:i/>
          <w:iCs/>
          <w:lang w:val="fr-CA"/>
        </w:rPr>
        <w:t>Carrier Sekani</w:t>
      </w:r>
      <w:r w:rsidRPr="00606C27">
        <w:rPr>
          <w:lang w:val="fr-CA"/>
        </w:rPr>
        <w:t xml:space="preserve"> des expressions « mesure gouvernementale » et « mesure [. . .] de la Couronne » (par. 42</w:t>
      </w:r>
      <w:r w:rsidRPr="00606C27">
        <w:rPr>
          <w:lang w:val="fr-CA"/>
        </w:rPr>
        <w:noBreakHyphen/>
        <w:t xml:space="preserve">44). Par conséquent, il importe peu que le décideur ultime dans un projet soit le Cabinet ou l’ONÉ. </w:t>
      </w:r>
      <w:r w:rsidRPr="00606C27">
        <w:rPr>
          <w:u w:val="single"/>
          <w:lang w:val="fr-CA"/>
        </w:rPr>
        <w:t>Dans les deux cas, la décision constitue une mesure de la Couronne qui peut donner naissance à l’obligation de consulter.</w:t>
      </w:r>
      <w:r w:rsidRPr="00606C27">
        <w:rPr>
          <w:lang w:val="fr-CA"/>
        </w:rPr>
        <w:t xml:space="preserve"> Comme l’a affirmé en dissidence le juge Rennie de la Cour d’appel fédérale dans </w:t>
      </w:r>
      <w:r w:rsidRPr="00606C27">
        <w:rPr>
          <w:i/>
          <w:iCs/>
          <w:lang w:val="fr-CA"/>
        </w:rPr>
        <w:t>Chippewas of the Thames</w:t>
      </w:r>
      <w:r w:rsidRPr="00606C27">
        <w:rPr>
          <w:lang w:val="fr-CA"/>
        </w:rPr>
        <w:t>,</w:t>
      </w:r>
      <w:r w:rsidRPr="00606C27">
        <w:rPr>
          <w:i/>
          <w:iCs/>
          <w:lang w:val="fr-CA"/>
        </w:rPr>
        <w:t xml:space="preserve"> </w:t>
      </w:r>
      <w:r w:rsidRPr="00606C27">
        <w:rPr>
          <w:lang w:val="fr-CA"/>
        </w:rPr>
        <w:t xml:space="preserve">« [l]’obligation, comme l’honneur de la Couronne, ne s’envole pas en fumée simplement parce qu’une décision sans appel a été rendue par un tribunal établi par le Parlement, plutôt que par le Cabinet » (par. 105). La mesure prise par l’ONÉ dans l’exercice du pouvoir qu’il possède, en vertu de l’al. 5(1)b) de la </w:t>
      </w:r>
      <w:r w:rsidRPr="00606C27">
        <w:rPr>
          <w:i/>
          <w:lang w:val="fr-CA"/>
        </w:rPr>
        <w:t>LOPC</w:t>
      </w:r>
      <w:r w:rsidRPr="00606C27">
        <w:rPr>
          <w:lang w:val="fr-CA"/>
        </w:rPr>
        <w:t>, de prendre la décision ultime concernant des essais tels ceux proposés en l’espèce, constitue manifestement une mesure de la Couronne. [Je souligne.]</w:t>
      </w:r>
    </w:p>
    <w:p w:rsidR="00E313A3" w:rsidRPr="00606C27" w:rsidRDefault="00E313A3" w:rsidP="00E313A3">
      <w:pPr>
        <w:pStyle w:val="ParaNoNdepar-AltN"/>
        <w:rPr>
          <w:rFonts w:cs="Times New Roman"/>
          <w:lang w:val="fr-CA"/>
        </w:rPr>
      </w:pPr>
      <w:r w:rsidRPr="00606C27">
        <w:rPr>
          <w:rFonts w:cs="Times New Roman"/>
          <w:lang w:val="fr-CA"/>
        </w:rPr>
        <w:t>Cette description des divers aspects distincts du pouvoir de la Couronne (et donc de la conduite de la Couronne) confirme que l’exercice de son pouvoir dans l’adoption des lois (« lorsqu’elle sanctionne les projets de loi, qu’elle refuse de les sanctionner ou qu’elle réserve sa décision ») est de nature législative. Il ne s’agit pas d’une « conduite de la Couronne » — c’est</w:t>
      </w:r>
      <w:r w:rsidRPr="00606C27">
        <w:rPr>
          <w:rFonts w:cs="Times New Roman"/>
          <w:lang w:val="fr-CA"/>
        </w:rPr>
        <w:noBreakHyphen/>
        <w:t>à</w:t>
      </w:r>
      <w:r w:rsidRPr="00606C27">
        <w:rPr>
          <w:rFonts w:cs="Times New Roman"/>
          <w:lang w:val="fr-CA"/>
        </w:rPr>
        <w:noBreakHyphen/>
        <w:t xml:space="preserve">dire d’une conduite de nature exécutive — qui peut donner naissance à l’obligation de consulter. </w:t>
      </w:r>
    </w:p>
    <w:p w:rsidR="00E313A3" w:rsidRPr="00606C27" w:rsidRDefault="00E313A3" w:rsidP="00E313A3">
      <w:pPr>
        <w:pStyle w:val="Title2LevelTitre2Niveau"/>
        <w:rPr>
          <w:lang w:val="fr-CA"/>
        </w:rPr>
      </w:pPr>
      <w:r w:rsidRPr="00606C27">
        <w:rPr>
          <w:lang w:val="fr-CA"/>
        </w:rPr>
        <w:t>L’honneur de la Couronne</w:t>
      </w:r>
    </w:p>
    <w:p w:rsidR="00E313A3" w:rsidRPr="00606C27" w:rsidRDefault="00E313A3" w:rsidP="00E313A3">
      <w:pPr>
        <w:pStyle w:val="ParaNoNdepar-AltN"/>
        <w:rPr>
          <w:rFonts w:cs="Times New Roman"/>
          <w:lang w:val="fr-CA"/>
        </w:rPr>
      </w:pPr>
      <w:r w:rsidRPr="00606C27">
        <w:rPr>
          <w:rFonts w:cs="Times New Roman"/>
          <w:lang w:val="fr-CA"/>
        </w:rPr>
        <w:lastRenderedPageBreak/>
        <w:t xml:space="preserve">Ce qui précède constitue une réponse aux motifs concordants du juge Pelletier en Cour d’appel, qui a laissé entendre que l’art. 17 de la </w:t>
      </w:r>
      <w:r w:rsidRPr="00606C27">
        <w:rPr>
          <w:rFonts w:cs="Times New Roman"/>
          <w:i/>
          <w:lang w:val="fr-CA"/>
        </w:rPr>
        <w:t>Loi sur les Cours fédérales</w:t>
      </w:r>
      <w:r w:rsidRPr="00606C27">
        <w:rPr>
          <w:rFonts w:cs="Times New Roman"/>
          <w:lang w:val="fr-CA"/>
        </w:rPr>
        <w:t xml:space="preserve"> — qui prévoit que « [s]</w:t>
      </w:r>
      <w:r w:rsidRPr="00606C27">
        <w:rPr>
          <w:lang w:val="fr-FR"/>
        </w:rPr>
        <w:t xml:space="preserve">auf disposition contraire de la présente loi ou de toute autre loi fédérale, la Cour fédérale a compétence concurrente, en première instance, dans les cas de demande de réparation contre la Couronne » </w:t>
      </w:r>
      <w:r w:rsidRPr="00606C27">
        <w:rPr>
          <w:rFonts w:cs="Times New Roman"/>
          <w:lang w:val="fr-FR"/>
        </w:rPr>
        <w:t>—</w:t>
      </w:r>
      <w:r w:rsidRPr="00606C27">
        <w:rPr>
          <w:lang w:val="fr-FR"/>
        </w:rPr>
        <w:t xml:space="preserve"> permet de solliciter un jugement déclaratoire. Or, en un mot, la référence à la « Couronne » dans cette disposition ne vise pas la Couronne lorsqu’elle s’acquitte de ses fonctions législatives : voir </w:t>
      </w:r>
      <w:r w:rsidR="0003584E">
        <w:rPr>
          <w:i/>
          <w:lang w:val="fr-FR"/>
        </w:rPr>
        <w:t>Fédération F</w:t>
      </w:r>
      <w:r w:rsidRPr="00606C27">
        <w:rPr>
          <w:i/>
          <w:lang w:val="fr-FR"/>
        </w:rPr>
        <w:t>ranco</w:t>
      </w:r>
      <w:r w:rsidRPr="00606C27">
        <w:rPr>
          <w:i/>
          <w:lang w:val="fr-FR"/>
        </w:rPr>
        <w:noBreakHyphen/>
        <w:t>ténoise c. Canada</w:t>
      </w:r>
      <w:r w:rsidRPr="00606C27">
        <w:rPr>
          <w:lang w:val="fr-FR"/>
        </w:rPr>
        <w:t>, 2001 CAF 220, [2001] 3 C.F. 641, par. 58.</w:t>
      </w:r>
    </w:p>
    <w:p w:rsidR="00E313A3" w:rsidRPr="00606C27" w:rsidRDefault="00E313A3" w:rsidP="00E313A3">
      <w:pPr>
        <w:pStyle w:val="ParaNoNdepar-AltN"/>
        <w:rPr>
          <w:rFonts w:cs="Times New Roman"/>
          <w:lang w:val="fr-CA"/>
        </w:rPr>
      </w:pPr>
      <w:r w:rsidRPr="00606C27">
        <w:rPr>
          <w:rFonts w:cs="Times New Roman"/>
          <w:lang w:val="fr-CA"/>
        </w:rPr>
        <w:t xml:space="preserve">Il ressort également de ce qui précède que, contrairement aux prétentions de la Première Nation crie Mikisew ainsi qu’à l’opinion exprimée par ma collègue la juge Abella selon laquelle « l’obligation de consulter [. . .] se rapporte à tout exercice des pouvoirs de la Couronne, y compris aux mesures législatives » (par. 75), la Couronne n’adopte pas les lois. C’est le Parlement qui le fait. Or, le principe de l’honneur de la Couronne ne lie pas le Parlement. </w:t>
      </w:r>
    </w:p>
    <w:p w:rsidR="00E313A3" w:rsidRPr="00606C27" w:rsidRDefault="00E313A3" w:rsidP="00E313A3">
      <w:pPr>
        <w:pStyle w:val="ParaNoNdepar-AltN"/>
        <w:rPr>
          <w:rFonts w:cs="Times New Roman"/>
          <w:lang w:val="fr-CA"/>
        </w:rPr>
      </w:pPr>
      <w:r w:rsidRPr="00606C27">
        <w:rPr>
          <w:rFonts w:cs="Times New Roman"/>
          <w:lang w:val="fr-CA"/>
        </w:rPr>
        <w:t>Ma collègue la juge Karakatsanis semble accepter cette conclusion, du moins en ce qui a trait à l’obligation de consulter. Elle évoque cependant aussi la possibilité qu’une loi qui ne porte pas atteinte aux droits protégés par l’art. 35, mais qui est « susceptible d’avoir un effet préjudiciable sur » ceux</w:t>
      </w:r>
      <w:r w:rsidRPr="00606C27">
        <w:rPr>
          <w:rFonts w:cs="Times New Roman"/>
          <w:lang w:val="fr-CA"/>
        </w:rPr>
        <w:noBreakHyphen/>
        <w:t xml:space="preserve">ci, peut néanmoins être incompatible avec l’honneur de la Couronne : par. 3, 25, 44 et 52. Selon sa vision de la question, </w:t>
      </w:r>
      <w:r w:rsidRPr="00606C27">
        <w:rPr>
          <w:rFonts w:cs="Times New Roman"/>
          <w:i/>
          <w:lang w:val="fr-CA"/>
        </w:rPr>
        <w:t>indépendamment de toute revendication invoquant l’atteinte aux droits</w:t>
      </w:r>
      <w:r w:rsidRPr="00606C27">
        <w:rPr>
          <w:rFonts w:cs="Times New Roman"/>
          <w:lang w:val="fr-CA"/>
        </w:rPr>
        <w:t xml:space="preserve">, celui qui réclame des droits pourrait solliciter un jugement déclarant qu’une loi valablement </w:t>
      </w:r>
      <w:r w:rsidRPr="00606C27">
        <w:rPr>
          <w:rFonts w:cs="Times New Roman"/>
          <w:lang w:val="fr-CA"/>
        </w:rPr>
        <w:lastRenderedPageBreak/>
        <w:t xml:space="preserve">adoptée et conforme à la Constitution — deux caractéristiques qui, en droit, ne découlent pas de la conduite de la Couronne — « [ne] </w:t>
      </w:r>
      <w:r w:rsidRPr="00606C27">
        <w:rPr>
          <w:lang w:val="fr-CA"/>
        </w:rPr>
        <w:t>donn</w:t>
      </w:r>
      <w:r w:rsidR="0003584E">
        <w:rPr>
          <w:lang w:val="fr-CA"/>
        </w:rPr>
        <w:t xml:space="preserve">[e </w:t>
      </w:r>
      <w:r w:rsidRPr="00606C27">
        <w:rPr>
          <w:lang w:val="fr-CA"/>
        </w:rPr>
        <w:t>néanmoins pas] effet au principe de l’honneur de la Couronne </w:t>
      </w:r>
      <w:r w:rsidRPr="00606C27">
        <w:rPr>
          <w:rFonts w:cs="Times New Roman"/>
          <w:lang w:val="fr-CA"/>
        </w:rPr>
        <w:t>» : par. 45. Autrement, « </w:t>
      </w:r>
      <w:r w:rsidRPr="00606C27">
        <w:rPr>
          <w:lang w:val="fr-CA"/>
        </w:rPr>
        <w:t xml:space="preserve">si les effets de la loi ne constituaient pas une atteinte à des droits protégés ou si les droits n’étaient que revendiqués (et non établis), le groupe autochtone ne pourrait pas contester avec succès la validité constitutionnelle de la loi suivant le cadre d’analyse établi dans l’arrêt </w:t>
      </w:r>
      <w:r w:rsidRPr="00606C27">
        <w:rPr>
          <w:i/>
          <w:lang w:val="fr-CA"/>
        </w:rPr>
        <w:t>Sparrow</w:t>
      </w:r>
      <w:r w:rsidRPr="00606C27">
        <w:rPr>
          <w:rFonts w:cs="Times New Roman"/>
          <w:lang w:val="fr-CA"/>
        </w:rPr>
        <w:t> » : par. 43. Permettre à la Couronne de « </w:t>
      </w:r>
      <w:r w:rsidRPr="00606C27">
        <w:rPr>
          <w:lang w:val="fr-CA"/>
        </w:rPr>
        <w:t>faire par un moyen » (présumément en adoptant des lois) « ce qu’elle ne peut pas faire par un autre » (présumément en agissant en vertu de son pouvoir législatif) « compromettrait l’entreprise de réconciliation » : par. 44, ce qui suppose de « </w:t>
      </w:r>
      <w:r w:rsidRPr="00606C27">
        <w:rPr>
          <w:rFonts w:cs="Times New Roman"/>
          <w:lang w:val="fr-CA"/>
        </w:rPr>
        <w:t>favoris[er] la négociation et le règlement juste des revendications autochtones comme solution de rechange aux recours judiciaires et aux résultats imposés par les tribunaux </w:t>
      </w:r>
      <w:r w:rsidRPr="00606C27">
        <w:rPr>
          <w:lang w:val="fr-CA"/>
        </w:rPr>
        <w:t>» : par. 22.</w:t>
      </w:r>
    </w:p>
    <w:p w:rsidR="00E313A3" w:rsidRPr="00606C27" w:rsidRDefault="00E313A3" w:rsidP="00E313A3">
      <w:pPr>
        <w:pStyle w:val="ParaNoNdepar-AltN"/>
        <w:rPr>
          <w:rFonts w:cs="Times New Roman"/>
          <w:lang w:val="fr-CA"/>
        </w:rPr>
      </w:pPr>
      <w:r w:rsidRPr="00606C27">
        <w:rPr>
          <w:rFonts w:cs="Times New Roman"/>
          <w:lang w:val="fr-CA"/>
        </w:rPr>
        <w:t>Ainsi, affirme ma collègue, « </w:t>
      </w:r>
      <w:r w:rsidRPr="00606C27">
        <w:rPr>
          <w:lang w:val="fr-CA"/>
        </w:rPr>
        <w:t xml:space="preserve">l’obligation de consulter n’est pas le seul moyen de donner effet au principe de l’honneur de la Couronne quand une loi est susceptible d’avoir un effet préjudiciable sur les droits ancestraux ou issus de traités » : par. 45. Tout en reconnaissant que « la Cour n’est pas directement saisie de la question de savoir si d’autres mesures de protection existent ou devraient exister » (par. 49), elle avance l’hypothèse que « [l]es tribunaux peuvent créer d’autres doctrines » : </w:t>
      </w:r>
      <w:r w:rsidR="00022844">
        <w:rPr>
          <w:lang w:val="fr-CA"/>
        </w:rPr>
        <w:t>par</w:t>
      </w:r>
      <w:r w:rsidRPr="00606C27">
        <w:rPr>
          <w:lang w:val="fr-CA"/>
        </w:rPr>
        <w:t xml:space="preserve">. 45. Même si « [l]es parties nous ont fait part de trop peu d’observations sur la manière dont il conviendrait d’assurer le respect de l’honneur de la Couronne, si ce n’est par le truchement du mécanisme précis de l’obligation de consulter » (par. 49), elle propose néanmoins qu’il « peut convenir de prononcer un jugement déclaratoire dans un cas où </w:t>
      </w:r>
      <w:r w:rsidRPr="00606C27">
        <w:rPr>
          <w:lang w:val="fr-CA"/>
        </w:rPr>
        <w:lastRenderedPageBreak/>
        <w:t>le législateur adopte une loi incompatible avec l’obligation de la Couronne d’agir honorablement envers les peuples autochtones » : par. 47.</w:t>
      </w:r>
    </w:p>
    <w:p w:rsidR="00E313A3" w:rsidRPr="00606C27" w:rsidRDefault="00E313A3" w:rsidP="00E313A3">
      <w:pPr>
        <w:pStyle w:val="ParaNoNdepar-AltN"/>
        <w:rPr>
          <w:rFonts w:cs="Times New Roman"/>
          <w:lang w:val="fr-CA"/>
        </w:rPr>
      </w:pPr>
      <w:r w:rsidRPr="00606C27">
        <w:rPr>
          <w:rFonts w:cs="Times New Roman"/>
          <w:lang w:val="fr-CA"/>
        </w:rPr>
        <w:t>Tout d’abord, je note qu’une part importante de l’hypothèse de ma collègue est inapplicable en l’espèce. Les droits de la Première Nation crie Mikisew ne sont pas simplement revendiqués. Ce sont des droits consacrés par le Traité n</w:t>
      </w:r>
      <w:r w:rsidRPr="00606C27">
        <w:rPr>
          <w:rFonts w:cs="Times New Roman"/>
          <w:vertAlign w:val="superscript"/>
          <w:lang w:val="fr-CA"/>
        </w:rPr>
        <w:t>o</w:t>
      </w:r>
      <w:r w:rsidRPr="00606C27">
        <w:rPr>
          <w:rFonts w:cs="Times New Roman"/>
          <w:lang w:val="fr-CA"/>
        </w:rPr>
        <w:t> 8. À ce titre, la seule préoccupation soulevée par ma collègue qui pourrait vraisemblablement se concrétiser en l’espèce, c’est qu’il y ait « un effet préjudiciable » sur ces droits, sans qu’il leur soit porté atteinte, par les lois en cause dans le présent appel.</w:t>
      </w:r>
    </w:p>
    <w:p w:rsidR="00E313A3" w:rsidRPr="00606C27" w:rsidRDefault="00E313A3" w:rsidP="00E313A3">
      <w:pPr>
        <w:pStyle w:val="ParaNoNdepar-AltN"/>
        <w:rPr>
          <w:rFonts w:cs="Times New Roman"/>
          <w:lang w:val="fr-CA"/>
        </w:rPr>
      </w:pPr>
      <w:r w:rsidRPr="00606C27">
        <w:rPr>
          <w:rFonts w:cs="Times New Roman"/>
          <w:lang w:val="fr-CA"/>
        </w:rPr>
        <w:t xml:space="preserve">Quoi qu’il en soit, à mon avis, puisqu’elle a reconnu qu’il n’y avait pas d’atteinte prouvée en l’espèce, ma collègue cherche un problème à résoudre (tout en refusant expressément de le résoudre). Elle croit en outre avoir trouvé ce problème dans ce qu’elle perçoit comme la conduite potentiellement déshonorable adoptée par la Couronne lorsqu’elle a adopté des mesures législatives qui ne portent pas atteinte aux droits (même si elles ont « un effet préjudiciable » sur eux) — ce qui, je l’ai déjà exprimé clairement, n’est pas vraiment un problème, puisque, en droit constitutionnel, « la Couronne » n’adopte pas les lois. Autrement dit, ma collègue mine les principes constitutionnels mêmes que sont la séparation des pouvoirs et le privilège parlementaire, ainsi que les limites constitutionnelles qu’ils fixent au contrôle judiciaire du processus législatif qui, précisément, étayent sa conclusion que ce processus, y compris l’adoption de lois, n’est pas assujetti à une obligation de consulter. Ce faisant, elle donne son aval à l’enflure du pouvoir judiciaire — que notre Constitution non </w:t>
      </w:r>
      <w:r w:rsidRPr="00606C27">
        <w:rPr>
          <w:rFonts w:cs="Times New Roman"/>
          <w:lang w:val="fr-CA"/>
        </w:rPr>
        <w:lastRenderedPageBreak/>
        <w:t>seulement ne requiert pas, mais proscrit — au détriment du pouvoir des assemblées législatives sur leurs procédures. Loin de préserver ce que ma collègue appelle « </w:t>
      </w:r>
      <w:r w:rsidRPr="00606C27">
        <w:rPr>
          <w:lang w:val="fr-CA"/>
        </w:rPr>
        <w:t xml:space="preserve">l’équilibre respectueux qui règne entre les [. . .] piliers de notre démocratie » (par. 2), cela mène au </w:t>
      </w:r>
      <w:r w:rsidRPr="00606C27">
        <w:rPr>
          <w:i/>
          <w:lang w:val="fr-CA"/>
        </w:rPr>
        <w:t>manque</w:t>
      </w:r>
      <w:r w:rsidRPr="00606C27">
        <w:rPr>
          <w:lang w:val="fr-CA"/>
        </w:rPr>
        <w:t xml:space="preserve"> de respect entre les institutions. Il ne serait pas plus « respectueux » (ou légitime sur le plan constitutionnel) qu’une assemblée législative provinciale s’estime autorisée à donner des directives à la Cour ou à toute autre cour de justice sur leurs processus délibératifs.</w:t>
      </w:r>
    </w:p>
    <w:p w:rsidR="00E313A3" w:rsidRPr="00606C27" w:rsidRDefault="00E313A3" w:rsidP="00E313A3">
      <w:pPr>
        <w:pStyle w:val="ParaNoNdepar-AltN"/>
        <w:rPr>
          <w:rFonts w:cs="Times New Roman"/>
          <w:lang w:val="fr-CA"/>
        </w:rPr>
      </w:pPr>
      <w:r w:rsidRPr="00606C27">
        <w:rPr>
          <w:rFonts w:cs="Times New Roman"/>
          <w:lang w:val="fr-CA"/>
        </w:rPr>
        <w:t>Même en faisant fi de cette objection, les motifs de ma collègue fondés sur l’honneur de la Couronne semblent ne pas écarter la possibilité qu’une loi valablement adoptée (qui n’est pas ou ne pourrait être contestée avec succès sur le fondement de l’art. 35) puisse être déclarée « incompatible avec [l’honneur de la Couronne] »</w:t>
      </w:r>
      <w:r w:rsidR="00C62631">
        <w:rPr>
          <w:rFonts w:cs="Times New Roman"/>
          <w:lang w:val="fr-CA"/>
        </w:rPr>
        <w:t xml:space="preserve"> (par.</w:t>
      </w:r>
      <w:r w:rsidR="00EF15F2">
        <w:rPr>
          <w:rFonts w:cs="Times New Roman"/>
          <w:lang w:val="fr-CA"/>
        </w:rPr>
        <w:t xml:space="preserve"> 47)</w:t>
      </w:r>
      <w:r w:rsidRPr="00606C27">
        <w:rPr>
          <w:rFonts w:cs="Times New Roman"/>
          <w:lang w:val="fr-CA"/>
        </w:rPr>
        <w:t xml:space="preserve"> parce que le législateur n’aurait pas respecté l’honneur de la Couronne. Ce faisant, elle se heurte aux mêmes principes constitutionnels de la séparation des pouvoirs et du privilège parlementaire qui constituent la totalité du fondement constitutionnel de sa conclusion selon laquelle le processus législatif n’est pas assujetti à une obligation de consulter. L’honneur de la Couronne n’est pas en soi une cause d’action; ce principe sert plutôt à déterminer </w:t>
      </w:r>
      <w:r w:rsidRPr="00606C27">
        <w:rPr>
          <w:rFonts w:cs="Times New Roman"/>
          <w:i/>
          <w:lang w:val="fr-CA"/>
        </w:rPr>
        <w:t xml:space="preserve">comment </w:t>
      </w:r>
      <w:r w:rsidRPr="00606C27">
        <w:rPr>
          <w:rFonts w:cs="Times New Roman"/>
          <w:lang w:val="fr-CA"/>
        </w:rPr>
        <w:t xml:space="preserve">il faut s’acquitter des obligations qui y sont assujetties : </w:t>
      </w:r>
      <w:r w:rsidRPr="00606C27">
        <w:rPr>
          <w:rFonts w:cs="Times New Roman"/>
          <w:i/>
          <w:lang w:val="fr-CA"/>
        </w:rPr>
        <w:t>Manitoba Metis Federation Inc. c. Canada (Procureur général)</w:t>
      </w:r>
      <w:r w:rsidRPr="00606C27">
        <w:rPr>
          <w:rFonts w:cs="Times New Roman"/>
          <w:lang w:val="fr-CA"/>
        </w:rPr>
        <w:t xml:space="preserve">, 2013 CSC 14, [2013] 1 R.C.S. 623, par. 73. Or, tout en concluant que l’obligation de consulter justiciable qui découle de l’honneur de la Couronne ne s’applique pas au processus législatif, ma collègue, en substance, traite ensuite l’honneur de la Couronne comme la source potentielle d’une obligation justiciable incombant </w:t>
      </w:r>
      <w:r w:rsidRPr="00606C27">
        <w:rPr>
          <w:rFonts w:cs="Times New Roman"/>
          <w:i/>
          <w:lang w:val="fr-CA"/>
        </w:rPr>
        <w:t>aux législateurs</w:t>
      </w:r>
      <w:r w:rsidRPr="00606C27">
        <w:rPr>
          <w:rFonts w:cs="Times New Roman"/>
          <w:lang w:val="fr-CA"/>
        </w:rPr>
        <w:t xml:space="preserve"> de s’abstenir </w:t>
      </w:r>
      <w:r w:rsidRPr="00606C27">
        <w:rPr>
          <w:rFonts w:cs="Times New Roman"/>
          <w:lang w:val="fr-CA"/>
        </w:rPr>
        <w:lastRenderedPageBreak/>
        <w:t xml:space="preserve">d’adopter certaines lois parce qu’elles « ont un effet préjudiciable » sur des droits au sens large, ou de ne pas le faire sans consultation. </w:t>
      </w:r>
    </w:p>
    <w:p w:rsidR="00E313A3" w:rsidRPr="00606C27" w:rsidRDefault="00E313A3" w:rsidP="00E313A3">
      <w:pPr>
        <w:pStyle w:val="ParaNoNdepar-AltN"/>
        <w:rPr>
          <w:rFonts w:cs="Times New Roman"/>
          <w:lang w:val="fr-CA"/>
        </w:rPr>
      </w:pPr>
      <w:r w:rsidRPr="00606C27">
        <w:rPr>
          <w:rFonts w:cs="Times New Roman"/>
          <w:lang w:val="fr-CA"/>
        </w:rPr>
        <w:t>À cet égard, le renvoi de ma collègue à « </w:t>
      </w:r>
      <w:r w:rsidRPr="00606C27">
        <w:rPr>
          <w:lang w:val="fr-CA"/>
        </w:rPr>
        <w:t>d’autres formes de réparation [tel] un jugement déclaratoire dans un cas où le législateur adopte une loi incompatible avec l’obligation de la Couronne d’agir honorablement</w:t>
      </w:r>
      <w:r w:rsidR="00EF15F2">
        <w:rPr>
          <w:rFonts w:cs="Times New Roman"/>
          <w:lang w:val="fr-CA"/>
        </w:rPr>
        <w:t xml:space="preserve"> . . .</w:t>
      </w:r>
      <w:r w:rsidRPr="00606C27">
        <w:rPr>
          <w:rFonts w:cs="Times New Roman"/>
          <w:lang w:val="fr-CA"/>
        </w:rPr>
        <w:t xml:space="preserve"> » est éloquent : par. 47. Pour </w:t>
      </w:r>
      <w:r w:rsidRPr="00606C27">
        <w:rPr>
          <w:rFonts w:cs="Times New Roman"/>
          <w:i/>
          <w:lang w:val="fr-CA"/>
        </w:rPr>
        <w:t>quelle raison</w:t>
      </w:r>
      <w:r w:rsidRPr="00606C27">
        <w:rPr>
          <w:rFonts w:cs="Times New Roman"/>
          <w:lang w:val="fr-CA"/>
        </w:rPr>
        <w:t>, précisément, une cour accorderait</w:t>
      </w:r>
      <w:r w:rsidRPr="00606C27">
        <w:rPr>
          <w:rFonts w:cs="Times New Roman"/>
          <w:lang w:val="fr-CA"/>
        </w:rPr>
        <w:noBreakHyphen/>
        <w:t xml:space="preserve">elle une « réparation »? S’il n’est pas porté atteinte à l’art. 35, la réponse est qu’il n’y a aucune raison d’accorder une « réparation », </w:t>
      </w:r>
      <w:r w:rsidRPr="00606C27">
        <w:rPr>
          <w:rFonts w:cs="Times New Roman"/>
          <w:i/>
          <w:lang w:val="fr-CA"/>
        </w:rPr>
        <w:t>à moins</w:t>
      </w:r>
      <w:r w:rsidRPr="00606C27">
        <w:rPr>
          <w:rFonts w:cs="Times New Roman"/>
          <w:lang w:val="fr-CA"/>
        </w:rPr>
        <w:t xml:space="preserve"> que l’obligation de consulter qui découle de l’honneur de la Couronne soit elle</w:t>
      </w:r>
      <w:r w:rsidRPr="00606C27">
        <w:rPr>
          <w:rFonts w:cs="Times New Roman"/>
          <w:lang w:val="fr-CA"/>
        </w:rPr>
        <w:noBreakHyphen/>
        <w:t>même traitée comme si elle était applicable au processus législatif, en dépit de la conclusion contraire de ma collègue. Ainsi, indépendamment de la façon dont une cour pourrait présenter les hypothétiques « </w:t>
      </w:r>
      <w:r w:rsidRPr="00606C27">
        <w:rPr>
          <w:lang w:val="fr-CA"/>
        </w:rPr>
        <w:t xml:space="preserve">autres doctrines » (par. 45) qui pourraient être élaborées </w:t>
      </w:r>
      <w:r w:rsidRPr="00606C27">
        <w:rPr>
          <w:rFonts w:cs="Times New Roman"/>
          <w:lang w:val="fr-CA"/>
        </w:rPr>
        <w:t>— par exemple, comme une obligation d’accommodement, comme une obligation de ne pas « avoir un effet préjudiciable » sur les droits en cause, ou comme une obligation fiduciaire —, il en résulterait une obligation qui serait, en substance, réductible soit à l’obligation que la Première Nation crie Mikisew demande à la Cour d’imposer en l’espèce, soit à une quelconque autre formulation qui se butte encore une fois à la séparation des pouvoirs et au privilège parlementaire. En conséquence, tout en reconnaissant que ma collègue déclare qu’il ne peut y avoir d’obligation de consulter justiciable dans le cadre du processus législatif, la logique de ses motifs risque néanmoins de la mener vers le résultat que préconise la juge Abella, bien que par le truchement du parcours tortueux et incertain de litiges supplémentaires.</w:t>
      </w:r>
    </w:p>
    <w:p w:rsidR="00E313A3" w:rsidRPr="00606C27" w:rsidRDefault="00E313A3" w:rsidP="00E313A3">
      <w:pPr>
        <w:pStyle w:val="ParaNoNdepar-AltN"/>
        <w:rPr>
          <w:rFonts w:eastAsiaTheme="minorHAnsi"/>
          <w:lang w:val="fr-CA"/>
        </w:rPr>
      </w:pPr>
      <w:r w:rsidRPr="00606C27">
        <w:rPr>
          <w:rFonts w:eastAsiaTheme="minorHAnsi"/>
          <w:lang w:val="fr-CA"/>
        </w:rPr>
        <w:lastRenderedPageBreak/>
        <w:t>Cela m’amène à formuler une objection supplémentaire. En soulevant (puis en laissant en suspens) cet argument chimérique quant à l’honneur de la Couronne — que ni l’appelant ni aucun des intervenants n’ont même songé à soulever —, ma collègue</w:t>
      </w:r>
      <w:r w:rsidR="00575EAB">
        <w:rPr>
          <w:rFonts w:eastAsiaTheme="minorHAnsi"/>
          <w:lang w:val="fr-CA"/>
        </w:rPr>
        <w:t xml:space="preserve"> la juge</w:t>
      </w:r>
      <w:r w:rsidRPr="00606C27">
        <w:rPr>
          <w:rFonts w:eastAsiaTheme="minorHAnsi"/>
          <w:lang w:val="fr-CA"/>
        </w:rPr>
        <w:t xml:space="preserve"> Karakatsanis jetterait le droit dans une incertitude considérable. Il vaut la peine de se demander qui souffrirait du poids de cette incertitude. À cet égard, il est ironique que ma collègue insiste pour dire que l’honneur de la Couronne favorise la promotion de la « réconciliation » qui, dit</w:t>
      </w:r>
      <w:r w:rsidRPr="00606C27">
        <w:rPr>
          <w:rFonts w:eastAsiaTheme="minorHAnsi"/>
          <w:lang w:val="fr-CA"/>
        </w:rPr>
        <w:noBreakHyphen/>
        <w:t>elle, suppose de « </w:t>
      </w:r>
      <w:r w:rsidRPr="00606C27">
        <w:rPr>
          <w:rFonts w:cs="Times New Roman"/>
          <w:lang w:val="fr-CA"/>
        </w:rPr>
        <w:t xml:space="preserve">favoris[er] la négociation et le règlement juste des revendications autochtones comme </w:t>
      </w:r>
      <w:r w:rsidRPr="00606C27">
        <w:rPr>
          <w:rFonts w:cs="Times New Roman"/>
          <w:i/>
          <w:lang w:val="fr-CA"/>
        </w:rPr>
        <w:t>solution de rechange</w:t>
      </w:r>
      <w:r w:rsidRPr="00606C27">
        <w:rPr>
          <w:rFonts w:cs="Times New Roman"/>
          <w:lang w:val="fr-CA"/>
        </w:rPr>
        <w:t xml:space="preserve"> </w:t>
      </w:r>
      <w:r w:rsidRPr="00606C27">
        <w:rPr>
          <w:rFonts w:cs="Times New Roman"/>
          <w:i/>
          <w:lang w:val="fr-CA"/>
        </w:rPr>
        <w:t>aux recours judiciaires et aux résultats imposés par les tribunaux</w:t>
      </w:r>
      <w:r w:rsidR="00575EAB">
        <w:rPr>
          <w:lang w:val="fr-CA"/>
        </w:rPr>
        <w:t> » : par. 22</w:t>
      </w:r>
      <w:r w:rsidRPr="00606C27">
        <w:rPr>
          <w:lang w:val="fr-CA"/>
        </w:rPr>
        <w:t xml:space="preserve"> </w:t>
      </w:r>
      <w:r w:rsidR="00575EAB">
        <w:rPr>
          <w:lang w:val="fr-CA"/>
        </w:rPr>
        <w:t>(</w:t>
      </w:r>
      <w:r w:rsidRPr="00606C27">
        <w:rPr>
          <w:lang w:val="fr-CA"/>
        </w:rPr>
        <w:t>italiques ajoutés</w:t>
      </w:r>
      <w:r w:rsidR="00575EAB">
        <w:rPr>
          <w:lang w:val="fr-CA"/>
        </w:rPr>
        <w:t>)</w:t>
      </w:r>
      <w:r w:rsidRPr="00606C27">
        <w:rPr>
          <w:lang w:val="fr-CA"/>
        </w:rPr>
        <w:t>. Les motifs de ma collègue auraient pourtant l’effet opposé. Elle invite les titulaires des droits protégés par l’art. 35 — soit les peuples autochtones eux</w:t>
      </w:r>
      <w:r w:rsidRPr="00606C27">
        <w:rPr>
          <w:lang w:val="fr-CA"/>
        </w:rPr>
        <w:noBreakHyphen/>
        <w:t>mêmes — à consacrer des années et des ressources considérables à des litiges sur la foi d’une faible possib</w:t>
      </w:r>
      <w:r w:rsidR="00575EAB">
        <w:rPr>
          <w:lang w:val="fr-CA"/>
        </w:rPr>
        <w:t>ilité qu’ils aient identifié d’</w:t>
      </w:r>
      <w:r w:rsidRPr="00606C27">
        <w:rPr>
          <w:lang w:val="fr-CA"/>
        </w:rPr>
        <w:t>« autres formes de réparation » que la Cour juge « convenir ». Autrement dit, même si « [o]</w:t>
      </w:r>
      <w:r w:rsidRPr="00606C27">
        <w:rPr>
          <w:rFonts w:cs="Times New Roman"/>
          <w:lang w:val="fr-CA"/>
        </w:rPr>
        <w:t>n ne parvient que rarement, voire jamais, à une véritable réconciliation dans une salle d’audience » (</w:t>
      </w:r>
      <w:r w:rsidRPr="00606C27">
        <w:rPr>
          <w:rFonts w:cs="Times New Roman"/>
          <w:i/>
          <w:lang w:val="fr-CA"/>
        </w:rPr>
        <w:t>Clyde River</w:t>
      </w:r>
      <w:r w:rsidRPr="00606C27">
        <w:rPr>
          <w:rFonts w:cs="Times New Roman"/>
          <w:lang w:val="fr-CA"/>
        </w:rPr>
        <w:t>, par. 24), c’est vers les salles d’audience que la spéculation laissée en suspens par ma collègue les dirigerait. Le fardeau de la réconciliation pèserait ainsi précisément sur le seul groupe de Canadiens dont l’affirmation de souveraineté n’est pas ce qui a besoin d’être réconcilié avec qui que ce soit ou quoi que ce soit.</w:t>
      </w:r>
    </w:p>
    <w:p w:rsidR="00E313A3" w:rsidRPr="00606C27" w:rsidRDefault="00E313A3" w:rsidP="00E313A3">
      <w:pPr>
        <w:pStyle w:val="ParaNoNdepar-AltN"/>
        <w:rPr>
          <w:rFonts w:eastAsiaTheme="minorHAnsi"/>
          <w:lang w:val="fr-CA"/>
        </w:rPr>
      </w:pPr>
      <w:r w:rsidRPr="00606C27">
        <w:rPr>
          <w:rFonts w:eastAsiaTheme="minorHAnsi"/>
          <w:lang w:val="fr-CA"/>
        </w:rPr>
        <w:t>Comme l’explique mon collègue, le juge Rowe (par. 160</w:t>
      </w:r>
      <w:r w:rsidRPr="00606C27">
        <w:rPr>
          <w:rFonts w:eastAsiaTheme="minorHAnsi"/>
          <w:lang w:val="fr-CA"/>
        </w:rPr>
        <w:noBreakHyphen/>
        <w:t xml:space="preserve">165), les effets de l’incertitude juridique que créeraient les motifs de la juge Karakatsanis seraient également ressentis par les législateurs à qui l’on dit, essentiellement, qu’ils ne peuvent </w:t>
      </w:r>
      <w:r w:rsidRPr="00606C27">
        <w:rPr>
          <w:rFonts w:eastAsiaTheme="minorHAnsi"/>
          <w:lang w:val="fr-CA"/>
        </w:rPr>
        <w:lastRenderedPageBreak/>
        <w:t xml:space="preserve">pas adopter des lois qui « ont un effet préjudiciable » sur certains droits qui pourraient exister (mais sans y porter atteinte) </w:t>
      </w:r>
      <w:r w:rsidRPr="00606C27">
        <w:rPr>
          <w:rFonts w:eastAsiaTheme="minorHAnsi" w:cs="Times New Roman"/>
          <w:lang w:val="fr-CA"/>
        </w:rPr>
        <w:t>— et que, s’ils le font, ils pourraient être sujets à un « recours » qui n’est pas encore reconnu. Les législateurs seraient donc dans le noir, possiblement durant de nombreuses années, quant à l’efficacité des projets de loi de crédit (et donc des budgets du gouvernement), et de la législation relative à des questions aussi diverses que l’offre de soins de santé et d’éducation, la protection de l’environnement, l’infrastructure du transport, l’agriculture et l’activité industrielle, même si — cela mérite d’être souligné — cette législation est validement adoptée et totalement conforme aux droits ancestraux et issus de traités protégés par l’art. 35. Cette situation créerait en outre une incertitude intolérable pour les gouvernements responsables de mettre en œuvre une telle législation, et pour tous ceux qui exercent des activités économiques ou autres en se fiant sur l’efficacité de lois valablement adoptées et conformes à la Constitution.</w:t>
      </w:r>
    </w:p>
    <w:p w:rsidR="00E313A3" w:rsidRPr="00606C27" w:rsidRDefault="00E313A3" w:rsidP="00E313A3">
      <w:pPr>
        <w:pStyle w:val="Title1LevelTitre1Niveau-AltL"/>
        <w:rPr>
          <w:lang w:val="fr-CA"/>
        </w:rPr>
      </w:pPr>
      <w:r w:rsidRPr="00606C27">
        <w:rPr>
          <w:lang w:val="fr-CA"/>
        </w:rPr>
        <w:t xml:space="preserve">Conclusion </w:t>
      </w:r>
    </w:p>
    <w:p w:rsidR="00E313A3" w:rsidRPr="00606C27" w:rsidRDefault="00E313A3" w:rsidP="00E313A3">
      <w:pPr>
        <w:pStyle w:val="ParaNoNdepar-AltN"/>
        <w:rPr>
          <w:lang w:val="fr-CA"/>
        </w:rPr>
      </w:pPr>
      <w:r w:rsidRPr="00606C27">
        <w:rPr>
          <w:lang w:val="fr-CA"/>
        </w:rPr>
        <w:t>Une cour de justice qui se trouve au sommet de l’appareil judiciaire ne devrait pas chercher à semer l’incertitude, mais plutôt à la dissiper en énonçant chaque fois que cela est possible, comme c’est le cas en l’espèce, des règles de droit claires. Pour bien me faire comprendre, je le répète : procéder au contrôle judiciaire du processus législatif, en contrôlant notamment, après le fait, le processus d’adoption des lois pour vérifier la conformité à l’art. 35 et à l’honneur de la Couronne, est inconstitutionnel.</w:t>
      </w:r>
    </w:p>
    <w:p w:rsidR="00E313A3" w:rsidRPr="00606C27" w:rsidRDefault="00E313A3" w:rsidP="00E313A3">
      <w:pPr>
        <w:pStyle w:val="ParaNoNdepar-AltN"/>
        <w:rPr>
          <w:rFonts w:cs="Times New Roman"/>
          <w:lang w:val="fr-CA"/>
        </w:rPr>
      </w:pPr>
      <w:r w:rsidRPr="00606C27">
        <w:rPr>
          <w:rFonts w:cs="Times New Roman"/>
          <w:lang w:val="fr-CA"/>
        </w:rPr>
        <w:lastRenderedPageBreak/>
        <w:t xml:space="preserve">Le fait qu’il en soit ainsi ne diminue pas la valeur et la sagesse inhérentes à la consultation des peuples autochtones avant l’adoption de lois susceptibles d’avoir un effet préjudiciable sur l’exercice de droits ancestraux ou issus de traités. La consultation durant le processus législatif, y compris à l’étape de l’élaboration de la politique, est une considération importante dans l’analyse de la justification au regard de l’art. 35 : </w:t>
      </w:r>
      <w:r w:rsidRPr="00606C27">
        <w:rPr>
          <w:rFonts w:cs="Times New Roman"/>
          <w:i/>
          <w:lang w:val="fr-CA"/>
        </w:rPr>
        <w:t>Sparrow</w:t>
      </w:r>
      <w:r w:rsidRPr="00606C27">
        <w:rPr>
          <w:rFonts w:cs="Times New Roman"/>
          <w:lang w:val="fr-CA"/>
        </w:rPr>
        <w:t xml:space="preserve">, p. 1119; </w:t>
      </w:r>
      <w:r w:rsidRPr="00606C27">
        <w:rPr>
          <w:rFonts w:cs="Times New Roman"/>
          <w:i/>
          <w:lang w:val="fr-CA"/>
        </w:rPr>
        <w:t>Tsilhqot’in</w:t>
      </w:r>
      <w:r w:rsidRPr="00606C27">
        <w:rPr>
          <w:rFonts w:cs="Times New Roman"/>
          <w:lang w:val="fr-CA"/>
        </w:rPr>
        <w:t>, par. 77</w:t>
      </w:r>
      <w:r w:rsidRPr="00606C27">
        <w:rPr>
          <w:rFonts w:cs="Times New Roman"/>
          <w:lang w:val="fr-CA"/>
        </w:rPr>
        <w:noBreakHyphen/>
        <w:t>78. Cela dit, l’absence de consultation ou les lacunes de ce processus ne peuvent être examinées qu’une fois la loi adoptée, et encore, uniquement dans le contexte d’une contestation, fondée sur l’art. 35, de la teneur de la loi ainsi adoptée ou de ses effets (par opposition à une contestation du processus législatif jusqu’à l’édiction inclusivement de la loi en question).</w:t>
      </w:r>
    </w:p>
    <w:p w:rsidR="00E313A3" w:rsidRPr="00606C27" w:rsidRDefault="00E313A3" w:rsidP="00E313A3">
      <w:pPr>
        <w:pStyle w:val="ParaNoNdepar-AltN"/>
        <w:rPr>
          <w:rFonts w:cs="Times New Roman"/>
          <w:lang w:val="fr-CA"/>
        </w:rPr>
      </w:pPr>
      <w:r w:rsidRPr="00606C27">
        <w:rPr>
          <w:rFonts w:cs="Times New Roman"/>
          <w:lang w:val="fr-CA"/>
        </w:rPr>
        <w:t>Je rejetterais donc le pourvoi.</w:t>
      </w:r>
    </w:p>
    <w:p w:rsidR="00E313A3" w:rsidRPr="00575EAB" w:rsidRDefault="00E313A3" w:rsidP="00432B59">
      <w:pPr>
        <w:pStyle w:val="ParaNoNdepar-AltN"/>
        <w:rPr>
          <w:rFonts w:cs="Times New Roman"/>
          <w:lang w:val="fr-CA"/>
        </w:rPr>
      </w:pPr>
      <w:r w:rsidRPr="00606C27">
        <w:rPr>
          <w:rFonts w:cs="Times New Roman"/>
          <w:lang w:val="fr-CA"/>
        </w:rPr>
        <w:t>Le Canada ne sollicite aucuns dépens. La Cour d’appel fédérale a adjugé les dépens au Canada quand elle a annulé le jugement déclaratoire de la Cour fédérale. Comme le Canada ne nous a pas demandé de modifier cette ordonnance, je m’abstiendrais de le faire. Je ne rendrais aucune ordonnance au sujet des dépens devant la Cour.</w:t>
      </w:r>
    </w:p>
    <w:p w:rsidR="00E313A3" w:rsidRPr="00575EAB" w:rsidRDefault="00575EAB" w:rsidP="00575EAB">
      <w:pPr>
        <w:pStyle w:val="JudgeJuge"/>
        <w:spacing w:before="480"/>
        <w:rPr>
          <w:smallCaps w:val="0"/>
          <w:lang w:val="fr-CA"/>
        </w:rPr>
      </w:pPr>
      <w:r w:rsidRPr="005C39FE">
        <w:rPr>
          <w:smallCaps w:val="0"/>
          <w:lang w:val="fr-CA"/>
        </w:rPr>
        <w:tab/>
      </w:r>
      <w:r w:rsidR="00E313A3" w:rsidRPr="00575EAB">
        <w:rPr>
          <w:smallCaps w:val="0"/>
          <w:lang w:val="fr-CA"/>
        </w:rPr>
        <w:t>Version française des motifs des juges Moldaver, Côté et Rowe rendus par</w:t>
      </w:r>
    </w:p>
    <w:p w:rsidR="00E313A3" w:rsidRPr="00606C27" w:rsidRDefault="00575EAB" w:rsidP="00E313A3">
      <w:pPr>
        <w:pStyle w:val="ParaNoNdepar-AltN"/>
        <w:rPr>
          <w:rFonts w:cs="Times New Roman"/>
          <w:lang w:val="fr-CA"/>
        </w:rPr>
      </w:pPr>
      <w:r w:rsidRPr="00575EAB">
        <w:rPr>
          <w:smallCaps/>
          <w:lang w:val="fr-CA"/>
        </w:rPr>
        <w:lastRenderedPageBreak/>
        <w:t>Le juge Rowe</w:t>
      </w:r>
      <w:r w:rsidRPr="00575EAB">
        <w:rPr>
          <w:lang w:val="fr-CA"/>
        </w:rPr>
        <w:t xml:space="preserve"> — </w:t>
      </w:r>
      <w:r w:rsidR="00E313A3" w:rsidRPr="00606C27">
        <w:rPr>
          <w:rFonts w:cs="Times New Roman"/>
          <w:lang w:val="fr-CA"/>
        </w:rPr>
        <w:t xml:space="preserve">Je souscris aux motifs du juge Brown. En particulier, je fais mienne son analyse relative à l’absence de compétence de la Cour fédérale pour procéder au contrôle prévu par la </w:t>
      </w:r>
      <w:r w:rsidR="00E313A3" w:rsidRPr="00606C27">
        <w:rPr>
          <w:rFonts w:cs="Times New Roman"/>
          <w:i/>
          <w:lang w:val="fr-CA"/>
        </w:rPr>
        <w:t>Loi sur les Cours fédérales</w:t>
      </w:r>
      <w:r>
        <w:rPr>
          <w:rFonts w:cs="Times New Roman"/>
          <w:lang w:val="fr-CA"/>
        </w:rPr>
        <w:t>, L.R.C. 1985, c. F-</w:t>
      </w:r>
      <w:r w:rsidR="00E313A3" w:rsidRPr="00606C27">
        <w:rPr>
          <w:rFonts w:cs="Times New Roman"/>
          <w:lang w:val="fr-CA"/>
        </w:rPr>
        <w:t xml:space="preserve">7, à la distinction entre la Couronne et le pouvoir législatif, à la préparation des lois en tant que fonction législative, à la séparation des pouvoirs — notamment entre le législatif et le judiciaire —, et à l’importance cruciale de maintenir le privilège parlementaire. </w:t>
      </w:r>
    </w:p>
    <w:p w:rsidR="00E313A3" w:rsidRPr="00606C27" w:rsidRDefault="00E313A3" w:rsidP="00E313A3">
      <w:pPr>
        <w:pStyle w:val="ParaNoNdepar-AltN"/>
        <w:rPr>
          <w:rFonts w:cs="Times New Roman"/>
          <w:szCs w:val="24"/>
          <w:lang w:val="fr-CA"/>
        </w:rPr>
      </w:pPr>
      <w:r w:rsidRPr="00606C27">
        <w:rPr>
          <w:rFonts w:cs="Times New Roman"/>
          <w:szCs w:val="24"/>
          <w:lang w:val="fr-CA"/>
        </w:rPr>
        <w:t xml:space="preserve">J’ajouterais à cela trois principaux éléments. En premier lieu, contrairement aux prétentions de l’appelante la Mikisew Cree First Nation, le fait que l’obligation de consulter n’a pas été reconnue comme exigence procédurale dans le cadre du processus législatif ne prive pas les demandeurs autochtones de tout moyen efficace de faire reconnaître par les tribunaux les atteintes à leurs droits protégés par l’art. 35 de la </w:t>
      </w:r>
      <w:r w:rsidRPr="00606C27">
        <w:rPr>
          <w:rFonts w:cs="Times New Roman"/>
          <w:i/>
          <w:szCs w:val="24"/>
          <w:lang w:val="fr-CA"/>
        </w:rPr>
        <w:t>Loi constitutionnelle de 1982</w:t>
      </w:r>
      <w:r w:rsidRPr="00606C27">
        <w:rPr>
          <w:rFonts w:cs="Times New Roman"/>
          <w:szCs w:val="24"/>
          <w:lang w:val="fr-CA"/>
        </w:rPr>
        <w:t xml:space="preserve">. En second lieu, si l’on reconnaissait l’existence d’une obligation constitutionnelle de consulter les peuples autochtones durant le processus de l’élaboration des projets de loi (et à propos d’autres questions devant être soumises pour examen aux assemblées législatives, notamment les budgets), cela perturberait grandement l’exécution de ce travail. En troisième lieu, la démarche préconisée par l’appelante aurait une autre conséquence sérieuse : les tribunaux seraient appelés à intervenir pour superviser les interactions entre les parties autochtones et les responsables de l’élaboration des projets de loi (et d’autres mesures) soumis à l’examen du Parlement et des législatures provinciales. </w:t>
      </w:r>
    </w:p>
    <w:p w:rsidR="00E313A3" w:rsidRPr="00606C27" w:rsidRDefault="00E313A3" w:rsidP="00CD7F75">
      <w:pPr>
        <w:pStyle w:val="Title1LevelTitre1Niveau-AltL"/>
        <w:numPr>
          <w:ilvl w:val="0"/>
          <w:numId w:val="20"/>
        </w:numPr>
        <w:rPr>
          <w:rFonts w:cs="Times New Roman"/>
          <w:lang w:val="fr-CA"/>
        </w:rPr>
      </w:pPr>
      <w:r w:rsidRPr="00606C27">
        <w:rPr>
          <w:rFonts w:cs="Times New Roman"/>
          <w:lang w:val="fr-CA"/>
        </w:rPr>
        <w:t>Il existe des moyens efficaces de défendre et de protéger les droits garantis par l’art</w:t>
      </w:r>
      <w:r w:rsidR="00575EAB">
        <w:rPr>
          <w:rFonts w:cs="Times New Roman"/>
          <w:lang w:val="fr-CA"/>
        </w:rPr>
        <w:t>.</w:t>
      </w:r>
      <w:r w:rsidRPr="00606C27">
        <w:rPr>
          <w:rFonts w:cs="Times New Roman"/>
          <w:lang w:val="fr-CA"/>
        </w:rPr>
        <w:t> 35</w:t>
      </w:r>
    </w:p>
    <w:p w:rsidR="00E313A3" w:rsidRPr="00606C27" w:rsidRDefault="00E313A3" w:rsidP="00E313A3">
      <w:pPr>
        <w:pStyle w:val="ParaNoNdepar-AltN"/>
        <w:rPr>
          <w:rFonts w:cs="Times New Roman"/>
          <w:bCs/>
          <w:lang w:val="fr-CA"/>
        </w:rPr>
      </w:pPr>
      <w:r w:rsidRPr="00606C27">
        <w:rPr>
          <w:rFonts w:cs="Times New Roman"/>
          <w:lang w:val="fr-CA"/>
        </w:rPr>
        <w:lastRenderedPageBreak/>
        <w:t xml:space="preserve">L’avocat des Mikisew prétend que, si l’obligation de consulter n’était pas étendue au processus législatif, il serait impossible de faire respecter leur droit d’être consultés utilement par la Couronne. Cette affirmation repose sur l’idée qu’une « conduite de la Couronne » englobe les fonctions législatives, une idée que mon collègue le juge Brown a rejetée à juste titre. Cela ne veut pas dire que les Mikisew ne disposent d’aucun recours pour exercer leurs droits issus de traités et contester les projets de loi en cause. </w:t>
      </w:r>
    </w:p>
    <w:p w:rsidR="00E313A3" w:rsidRPr="00606C27" w:rsidRDefault="00E313A3" w:rsidP="00E313A3">
      <w:pPr>
        <w:pStyle w:val="ParaNoNdepar-AltN"/>
        <w:rPr>
          <w:rFonts w:cs="Times New Roman"/>
          <w:bCs/>
          <w:lang w:val="fr-CA"/>
        </w:rPr>
      </w:pPr>
      <w:r w:rsidRPr="00606C27">
        <w:rPr>
          <w:rFonts w:cs="Times New Roman"/>
          <w:lang w:val="fr-CA"/>
        </w:rPr>
        <w:t xml:space="preserve">Comme je l’expliquerai davantage plus loin, les moyens de contester l’atteinte aux droits issus de traités des Mikisew sont bien établis dans </w:t>
      </w:r>
      <w:r w:rsidRPr="00606C27">
        <w:rPr>
          <w:rFonts w:cs="Times New Roman"/>
          <w:i/>
          <w:szCs w:val="24"/>
          <w:lang w:val="fr-CA"/>
        </w:rPr>
        <w:t>R. c. Sparrow</w:t>
      </w:r>
      <w:r w:rsidRPr="00606C27">
        <w:rPr>
          <w:rFonts w:cs="Times New Roman"/>
          <w:szCs w:val="24"/>
          <w:lang w:val="fr-CA"/>
        </w:rPr>
        <w:t>,</w:t>
      </w:r>
      <w:r w:rsidRPr="00606C27">
        <w:rPr>
          <w:rFonts w:cs="Times New Roman"/>
          <w:i/>
          <w:szCs w:val="24"/>
          <w:lang w:val="fr-CA"/>
        </w:rPr>
        <w:t xml:space="preserve"> </w:t>
      </w:r>
      <w:r w:rsidRPr="00606C27">
        <w:rPr>
          <w:rFonts w:cs="Times New Roman"/>
          <w:szCs w:val="24"/>
          <w:lang w:val="fr-CA"/>
        </w:rPr>
        <w:t xml:space="preserve">[1990] 1 R.C.S. 1075, et dans les arrêts </w:t>
      </w:r>
      <w:r w:rsidRPr="00606C27">
        <w:rPr>
          <w:rFonts w:cs="Times New Roman"/>
          <w:lang w:val="fr-CA"/>
        </w:rPr>
        <w:t>subséquents : voir</w:t>
      </w:r>
      <w:r w:rsidR="00575EAB">
        <w:rPr>
          <w:rFonts w:cs="Times New Roman"/>
          <w:lang w:val="fr-CA"/>
        </w:rPr>
        <w:t>,</w:t>
      </w:r>
      <w:r w:rsidRPr="00606C27">
        <w:rPr>
          <w:rFonts w:cs="Times New Roman"/>
          <w:lang w:val="fr-CA"/>
        </w:rPr>
        <w:t xml:space="preserve"> p. ex.</w:t>
      </w:r>
      <w:r w:rsidR="00575EAB">
        <w:rPr>
          <w:rFonts w:cs="Times New Roman"/>
          <w:lang w:val="fr-CA"/>
        </w:rPr>
        <w:t>,</w:t>
      </w:r>
      <w:r w:rsidRPr="00606C27">
        <w:rPr>
          <w:rFonts w:cs="Times New Roman"/>
          <w:lang w:val="fr-CA"/>
        </w:rPr>
        <w:t xml:space="preserve"> </w:t>
      </w:r>
      <w:r w:rsidRPr="00606C27">
        <w:rPr>
          <w:rFonts w:cs="Times New Roman"/>
          <w:i/>
          <w:lang w:val="fr-CA"/>
        </w:rPr>
        <w:t xml:space="preserve">Nation </w:t>
      </w:r>
      <w:r w:rsidRPr="00606C27">
        <w:rPr>
          <w:rFonts w:cs="Times New Roman"/>
          <w:bCs/>
          <w:i/>
          <w:lang w:val="fr-CA"/>
        </w:rPr>
        <w:t>Tsilhqot’in c. Colombie</w:t>
      </w:r>
      <w:r w:rsidRPr="00606C27">
        <w:rPr>
          <w:rFonts w:cs="Times New Roman"/>
          <w:bCs/>
          <w:i/>
          <w:lang w:val="fr-CA"/>
        </w:rPr>
        <w:noBreakHyphen/>
        <w:t>Britannique</w:t>
      </w:r>
      <w:r w:rsidRPr="00606C27">
        <w:rPr>
          <w:rFonts w:cs="Times New Roman"/>
          <w:bCs/>
          <w:lang w:val="fr-CA"/>
        </w:rPr>
        <w:t xml:space="preserve">, </w:t>
      </w:r>
      <w:r w:rsidRPr="00606C27">
        <w:rPr>
          <w:rFonts w:cs="Times New Roman"/>
          <w:lang w:val="fr-CA"/>
        </w:rPr>
        <w:t>2014 CSC 44, [2014] 2 R.C.S. 257;</w:t>
      </w:r>
      <w:r w:rsidRPr="00606C27">
        <w:rPr>
          <w:rFonts w:cs="Times New Roman"/>
          <w:i/>
          <w:lang w:val="fr-CA"/>
        </w:rPr>
        <w:t xml:space="preserve"> Bande indienne des </w:t>
      </w:r>
      <w:r w:rsidRPr="00606C27">
        <w:rPr>
          <w:rFonts w:cs="Times New Roman"/>
          <w:bCs/>
          <w:i/>
          <w:lang w:val="fr-CA"/>
        </w:rPr>
        <w:t>Lax Kw’alaams c. Canada (Procureur général)</w:t>
      </w:r>
      <w:r w:rsidRPr="00606C27">
        <w:rPr>
          <w:rFonts w:cs="Times New Roman"/>
          <w:bCs/>
          <w:lang w:val="fr-CA"/>
        </w:rPr>
        <w:t xml:space="preserve">, </w:t>
      </w:r>
      <w:r w:rsidRPr="00606C27">
        <w:rPr>
          <w:rFonts w:cs="Times New Roman"/>
          <w:lang w:val="fr-CA"/>
        </w:rPr>
        <w:t>2011 CSC 56, [2011] 3 R.C.S. 535;</w:t>
      </w:r>
      <w:r w:rsidRPr="00606C27">
        <w:rPr>
          <w:rFonts w:cs="Times New Roman"/>
          <w:bCs/>
          <w:lang w:val="fr-CA"/>
        </w:rPr>
        <w:t xml:space="preserve"> </w:t>
      </w:r>
      <w:r w:rsidRPr="00606C27">
        <w:rPr>
          <w:rFonts w:cs="Times New Roman"/>
          <w:lang w:val="fr-CA"/>
        </w:rPr>
        <w:t xml:space="preserve"> </w:t>
      </w:r>
      <w:r w:rsidRPr="00606C27">
        <w:rPr>
          <w:rFonts w:cs="Times New Roman"/>
          <w:bCs/>
          <w:i/>
          <w:lang w:val="fr-CA"/>
        </w:rPr>
        <w:t>Paul c. Colombie</w:t>
      </w:r>
      <w:r w:rsidRPr="00606C27">
        <w:rPr>
          <w:rFonts w:cs="Times New Roman"/>
          <w:bCs/>
          <w:i/>
          <w:lang w:val="fr-CA"/>
        </w:rPr>
        <w:noBreakHyphen/>
        <w:t>Britannique (Forest Appeals Commission)</w:t>
      </w:r>
      <w:r w:rsidRPr="00606C27">
        <w:rPr>
          <w:rFonts w:cs="Times New Roman"/>
          <w:bCs/>
          <w:lang w:val="fr-CA"/>
        </w:rPr>
        <w:t xml:space="preserve">, </w:t>
      </w:r>
      <w:r w:rsidRPr="00606C27">
        <w:rPr>
          <w:rFonts w:cs="Times New Roman"/>
          <w:lang w:val="fr-CA"/>
        </w:rPr>
        <w:t>2003 CSC 55, [2003] 2 R.C.S. 585;</w:t>
      </w:r>
      <w:r w:rsidRPr="00606C27">
        <w:rPr>
          <w:rFonts w:cs="Times New Roman"/>
          <w:bCs/>
          <w:lang w:val="fr-CA"/>
        </w:rPr>
        <w:t xml:space="preserve"> </w:t>
      </w:r>
      <w:r w:rsidRPr="00606C27">
        <w:rPr>
          <w:rFonts w:cs="Times New Roman"/>
          <w:bCs/>
          <w:i/>
          <w:lang w:val="fr-CA"/>
        </w:rPr>
        <w:t>Mitchell c. M.R.N.</w:t>
      </w:r>
      <w:r w:rsidRPr="00606C27">
        <w:rPr>
          <w:rFonts w:cs="Times New Roman"/>
          <w:bCs/>
          <w:lang w:val="fr-CA"/>
        </w:rPr>
        <w:t>,</w:t>
      </w:r>
      <w:r w:rsidRPr="00606C27">
        <w:rPr>
          <w:rFonts w:cs="Times New Roman"/>
          <w:bCs/>
          <w:i/>
          <w:lang w:val="fr-CA"/>
        </w:rPr>
        <w:t xml:space="preserve"> </w:t>
      </w:r>
      <w:r w:rsidRPr="00606C27">
        <w:rPr>
          <w:rFonts w:cs="Times New Roman"/>
          <w:lang w:val="fr-CA"/>
        </w:rPr>
        <w:t xml:space="preserve">2001 CSC 33, [2001] 1 R.C.S. 911; </w:t>
      </w:r>
      <w:r w:rsidRPr="00606C27">
        <w:rPr>
          <w:rFonts w:cs="Times New Roman"/>
          <w:bCs/>
          <w:i/>
          <w:lang w:val="fr-CA"/>
        </w:rPr>
        <w:t>R. c. Marshall</w:t>
      </w:r>
      <w:r w:rsidRPr="00606C27">
        <w:rPr>
          <w:rFonts w:cs="Times New Roman"/>
          <w:bCs/>
          <w:lang w:val="fr-CA"/>
        </w:rPr>
        <w:t xml:space="preserve">, </w:t>
      </w:r>
      <w:r w:rsidRPr="00606C27">
        <w:rPr>
          <w:rFonts w:cs="Times New Roman"/>
          <w:lang w:val="fr-CA"/>
        </w:rPr>
        <w:t xml:space="preserve">[1999] 3 R.C.S. 456; </w:t>
      </w:r>
      <w:r w:rsidRPr="00606C27">
        <w:rPr>
          <w:rFonts w:cs="Times New Roman"/>
          <w:i/>
          <w:lang w:val="fr-CA"/>
        </w:rPr>
        <w:t>Delgamuukw c. Colombie</w:t>
      </w:r>
      <w:r w:rsidRPr="00606C27">
        <w:rPr>
          <w:rFonts w:cs="Times New Roman"/>
          <w:i/>
          <w:lang w:val="fr-CA"/>
        </w:rPr>
        <w:noBreakHyphen/>
        <w:t>Britannique</w:t>
      </w:r>
      <w:r w:rsidRPr="00606C27">
        <w:rPr>
          <w:rFonts w:cs="Times New Roman"/>
          <w:lang w:val="fr-CA"/>
        </w:rPr>
        <w:t>, [1997] 3 R.C.S. 1010.</w:t>
      </w:r>
      <w:r w:rsidRPr="00606C27">
        <w:rPr>
          <w:rFonts w:cs="Times New Roman"/>
          <w:bCs/>
          <w:lang w:val="fr-CA"/>
        </w:rPr>
        <w:t xml:space="preserve"> Les </w:t>
      </w:r>
      <w:r w:rsidRPr="00606C27">
        <w:rPr>
          <w:rFonts w:cs="Times New Roman"/>
          <w:lang w:val="fr-CA"/>
        </w:rPr>
        <w:t xml:space="preserve">Mikisew peuvent aussi reprocher à la Couronne d’avoir manqué à son obligation de consulter au moment d’envisager la prise d’une mesure gouvernementale, comme l’exigent l’arrêt </w:t>
      </w:r>
      <w:r w:rsidRPr="00606C27">
        <w:rPr>
          <w:rFonts w:cs="Times New Roman"/>
          <w:i/>
          <w:szCs w:val="24"/>
          <w:lang w:val="fr-CA"/>
        </w:rPr>
        <w:t>Nation haïda c. Colombie</w:t>
      </w:r>
      <w:r w:rsidRPr="00606C27">
        <w:rPr>
          <w:rFonts w:cs="Times New Roman"/>
          <w:i/>
          <w:szCs w:val="24"/>
          <w:lang w:val="fr-CA"/>
        </w:rPr>
        <w:noBreakHyphen/>
        <w:t>Britannique (Ministre des Forêts)</w:t>
      </w:r>
      <w:r w:rsidRPr="00606C27">
        <w:rPr>
          <w:rFonts w:cs="Times New Roman"/>
          <w:szCs w:val="24"/>
          <w:lang w:val="fr-CA"/>
        </w:rPr>
        <w:t xml:space="preserve">, 2004 CSC 73, [2004] 3 R.C.S. 511, et la jurisprudence </w:t>
      </w:r>
      <w:r w:rsidRPr="00606C27">
        <w:rPr>
          <w:rFonts w:cs="Times New Roman"/>
          <w:lang w:val="fr-CA"/>
        </w:rPr>
        <w:t xml:space="preserve">subséquente : voir, p. ex., </w:t>
      </w:r>
      <w:r w:rsidRPr="00606C27">
        <w:rPr>
          <w:rFonts w:cs="Times New Roman"/>
          <w:i/>
          <w:lang w:val="fr-CA"/>
        </w:rPr>
        <w:t>Ktunaxa Nation c. Colombie</w:t>
      </w:r>
      <w:r w:rsidRPr="00606C27">
        <w:rPr>
          <w:rFonts w:cs="Times New Roman"/>
          <w:i/>
          <w:lang w:val="fr-CA"/>
        </w:rPr>
        <w:noBreakHyphen/>
        <w:t>Britannique (Forests, Lands and Natural Resource Operations)</w:t>
      </w:r>
      <w:r w:rsidRPr="00606C27">
        <w:rPr>
          <w:rFonts w:cs="Times New Roman"/>
          <w:lang w:val="fr-CA"/>
        </w:rPr>
        <w:t xml:space="preserve">, 2017 CSC 54, [2017] 2 R.C.S. 386; </w:t>
      </w:r>
      <w:r w:rsidRPr="00606C27">
        <w:rPr>
          <w:rFonts w:cs="Times New Roman"/>
          <w:i/>
          <w:lang w:val="fr-CA"/>
        </w:rPr>
        <w:t>Behn c. Moulton Contracting Ltd.</w:t>
      </w:r>
      <w:r w:rsidRPr="00606C27">
        <w:rPr>
          <w:rFonts w:cs="Times New Roman"/>
          <w:lang w:val="fr-CA"/>
        </w:rPr>
        <w:t xml:space="preserve">, 2013 CSC 26, [2013] 2 R.C.S. 227; </w:t>
      </w:r>
      <w:r w:rsidRPr="00606C27">
        <w:rPr>
          <w:rFonts w:cs="Times New Roman"/>
          <w:i/>
          <w:lang w:val="fr-CA"/>
        </w:rPr>
        <w:t>Beckman c. Première nation de Little Salmon/Carmacks</w:t>
      </w:r>
      <w:r w:rsidRPr="00606C27">
        <w:rPr>
          <w:rFonts w:cs="Times New Roman"/>
          <w:lang w:val="fr-CA"/>
        </w:rPr>
        <w:t xml:space="preserve">, 2010 </w:t>
      </w:r>
      <w:r w:rsidRPr="00606C27">
        <w:rPr>
          <w:rFonts w:cs="Times New Roman"/>
          <w:lang w:val="fr-CA"/>
        </w:rPr>
        <w:lastRenderedPageBreak/>
        <w:t xml:space="preserve">CSC 53, [2010] 3 R.C.S. 103; </w:t>
      </w:r>
      <w:r w:rsidRPr="00606C27">
        <w:rPr>
          <w:rFonts w:cs="Times New Roman"/>
          <w:i/>
          <w:lang w:val="fr-CA"/>
        </w:rPr>
        <w:t>Rio Tinto Alcan Inc. c. Conseil tribal Carrier Sekani</w:t>
      </w:r>
      <w:r w:rsidRPr="00606C27">
        <w:rPr>
          <w:rFonts w:cs="Times New Roman"/>
          <w:lang w:val="fr-CA"/>
        </w:rPr>
        <w:t>, 2010 CSC 43, [2010] 2 R.C.S. 650.</w:t>
      </w:r>
    </w:p>
    <w:p w:rsidR="00E313A3" w:rsidRPr="00606C27" w:rsidRDefault="00E313A3" w:rsidP="00E313A3">
      <w:pPr>
        <w:pStyle w:val="ParaNoNdepar-AltN"/>
        <w:rPr>
          <w:rFonts w:cs="Times New Roman"/>
          <w:szCs w:val="24"/>
          <w:lang w:val="fr-CA"/>
        </w:rPr>
      </w:pPr>
      <w:r w:rsidRPr="00606C27">
        <w:rPr>
          <w:rFonts w:cs="Times New Roman"/>
          <w:szCs w:val="24"/>
          <w:lang w:val="fr-CA"/>
        </w:rPr>
        <w:t xml:space="preserve"> L’appelante demande à la Cour de reconnaître que l’obligation de consulter est déclenchée par l’élaboration d’un projet de loi, autrement dit, à l’étape de la réflexion sur les orientations du processus législatif. Sur le plan pratique, on peut voir cette proposition comme un déplacement de l’obligation procédurale, reconnue la première fois dans </w:t>
      </w:r>
      <w:r w:rsidRPr="00606C27">
        <w:rPr>
          <w:rFonts w:cs="Times New Roman"/>
          <w:i/>
          <w:szCs w:val="24"/>
          <w:lang w:val="fr-CA"/>
        </w:rPr>
        <w:t>Nation haïda</w:t>
      </w:r>
      <w:r w:rsidRPr="00606C27">
        <w:rPr>
          <w:rFonts w:cs="Times New Roman"/>
          <w:szCs w:val="24"/>
          <w:lang w:val="fr-CA"/>
        </w:rPr>
        <w:t>,</w:t>
      </w:r>
      <w:r w:rsidRPr="00606C27">
        <w:rPr>
          <w:rFonts w:cs="Times New Roman"/>
          <w:i/>
          <w:szCs w:val="24"/>
          <w:lang w:val="fr-CA"/>
        </w:rPr>
        <w:t xml:space="preserve"> </w:t>
      </w:r>
      <w:r w:rsidRPr="00606C27">
        <w:rPr>
          <w:rFonts w:cs="Times New Roman"/>
          <w:szCs w:val="24"/>
          <w:lang w:val="fr-CA"/>
        </w:rPr>
        <w:t>de la décision de l’exécutif — que ce soit par l’application d’un projet de loi ou par un autre moyen (</w:t>
      </w:r>
      <w:r w:rsidRPr="00606C27">
        <w:rPr>
          <w:rFonts w:cs="Times New Roman"/>
          <w:i/>
          <w:szCs w:val="24"/>
          <w:lang w:val="fr-CA"/>
        </w:rPr>
        <w:t>Rio Tinto</w:t>
      </w:r>
      <w:r w:rsidRPr="00606C27">
        <w:rPr>
          <w:rFonts w:cs="Times New Roman"/>
          <w:szCs w:val="24"/>
          <w:lang w:val="fr-CA"/>
        </w:rPr>
        <w:t xml:space="preserve">, par. 43) — aux toutes premières étapes du processus législatif. Dans l’état actuel du droit, c’est grâce au cadre d’analyse relatif à l’atteinte et à la justification exposé par la Cour dans </w:t>
      </w:r>
      <w:r w:rsidRPr="00606C27">
        <w:rPr>
          <w:rFonts w:cs="Times New Roman"/>
          <w:i/>
          <w:szCs w:val="24"/>
          <w:lang w:val="fr-CA"/>
        </w:rPr>
        <w:t>Sparrow</w:t>
      </w:r>
      <w:r w:rsidRPr="00606C27">
        <w:rPr>
          <w:rFonts w:cs="Times New Roman"/>
          <w:szCs w:val="24"/>
          <w:lang w:val="fr-CA"/>
        </w:rPr>
        <w:t xml:space="preserve"> et confirmé récemment dans </w:t>
      </w:r>
      <w:r w:rsidRPr="00606C27">
        <w:rPr>
          <w:rFonts w:cs="Times New Roman"/>
          <w:i/>
          <w:szCs w:val="24"/>
          <w:lang w:val="fr-CA"/>
        </w:rPr>
        <w:t xml:space="preserve">Tsilhqot’in </w:t>
      </w:r>
      <w:r w:rsidRPr="00606C27">
        <w:rPr>
          <w:rFonts w:cs="Times New Roman"/>
          <w:szCs w:val="24"/>
          <w:lang w:val="fr-CA"/>
        </w:rPr>
        <w:t>(voir les par. 118</w:t>
      </w:r>
      <w:r w:rsidRPr="00606C27">
        <w:rPr>
          <w:rFonts w:cs="Times New Roman"/>
          <w:szCs w:val="24"/>
          <w:lang w:val="fr-CA"/>
        </w:rPr>
        <w:noBreakHyphen/>
        <w:t>125), que les titulaires lésés de droits ancestraux peuvent contester la constitutionnalité d’une loi sur le fondement de l’art. 35. La proposition des Mikisew court</w:t>
      </w:r>
      <w:r w:rsidRPr="00606C27">
        <w:rPr>
          <w:rFonts w:cs="Times New Roman"/>
          <w:szCs w:val="24"/>
          <w:lang w:val="fr-CA"/>
        </w:rPr>
        <w:noBreakHyphen/>
        <w:t xml:space="preserve">circuiterait ce processus en exigeant qu’il y ait consultation avant même le début de la rédaction d’un projet de loi. Toute mesure législative susceptible d’avoir un effet préjudiciable sur un droit ancestral ou une revendication autochtone serait présumée inconstitutionnelle à moins qu’il y ait eu une consultation adéquate. En pratique, cela transformerait la consultation prélégislative, un facteur du cadre énoncé dans </w:t>
      </w:r>
      <w:r w:rsidRPr="00606C27">
        <w:rPr>
          <w:rFonts w:cs="Times New Roman"/>
          <w:i/>
          <w:szCs w:val="24"/>
          <w:lang w:val="fr-CA"/>
        </w:rPr>
        <w:t xml:space="preserve">Sparrow </w:t>
      </w:r>
      <w:r w:rsidRPr="00606C27">
        <w:rPr>
          <w:rFonts w:cs="Times New Roman"/>
          <w:szCs w:val="24"/>
          <w:lang w:val="fr-CA"/>
        </w:rPr>
        <w:t>(décrit ci</w:t>
      </w:r>
      <w:r w:rsidRPr="00606C27">
        <w:rPr>
          <w:rFonts w:cs="Times New Roman"/>
          <w:szCs w:val="24"/>
          <w:lang w:val="fr-CA"/>
        </w:rPr>
        <w:noBreakHyphen/>
        <w:t xml:space="preserve">après), en une exigence constitutionnelle. Pareille consultation se tiendrait non seulement auprès des titulaires de droits établis, mais également auprès de quiconque a un droit ancestral non établi qui pourrait être compromis par la mesure législative envisagée. </w:t>
      </w:r>
    </w:p>
    <w:p w:rsidR="00E313A3" w:rsidRPr="00606C27" w:rsidRDefault="00E313A3" w:rsidP="00E313A3">
      <w:pPr>
        <w:pStyle w:val="ParaNoNdepar-AltN"/>
        <w:rPr>
          <w:rFonts w:cs="Times New Roman"/>
          <w:szCs w:val="24"/>
          <w:lang w:val="fr-CA"/>
        </w:rPr>
      </w:pPr>
      <w:r w:rsidRPr="00606C27">
        <w:rPr>
          <w:rFonts w:cs="Times New Roman"/>
          <w:szCs w:val="24"/>
          <w:lang w:val="fr-CA"/>
        </w:rPr>
        <w:lastRenderedPageBreak/>
        <w:t xml:space="preserve">Rien ne justifie d’étendre la règle de droit de cette façon. Les droits prévus à l’art. 35 ne sont pas absolus. À l’instar d’autres dispositions de la </w:t>
      </w:r>
      <w:r w:rsidRPr="00606C27">
        <w:rPr>
          <w:rFonts w:cs="Times New Roman"/>
          <w:i/>
          <w:szCs w:val="24"/>
          <w:lang w:val="fr-CA"/>
        </w:rPr>
        <w:t>Loi constitutionnelle de 1982</w:t>
      </w:r>
      <w:r w:rsidRPr="00606C27">
        <w:rPr>
          <w:rFonts w:cs="Times New Roman"/>
          <w:szCs w:val="24"/>
          <w:lang w:val="fr-CA"/>
        </w:rPr>
        <w:t>, l’art. 35 s’appuie sur des principes constitutionnels plus larges, tout en étant restreint par ceux</w:t>
      </w:r>
      <w:r w:rsidRPr="00606C27">
        <w:rPr>
          <w:rFonts w:cs="Times New Roman"/>
          <w:szCs w:val="24"/>
          <w:lang w:val="fr-CA"/>
        </w:rPr>
        <w:noBreakHyphen/>
        <w:t xml:space="preserve">ci. </w:t>
      </w:r>
      <w:r w:rsidRPr="00606C27">
        <w:rPr>
          <w:rFonts w:cs="Times New Roman"/>
          <w:lang w:val="fr-CA"/>
        </w:rPr>
        <w:t>L’honneur de la Couronne découle de l’obligation fiduciaire qui incombe au Canada envers les peuples autochtones depuis l’affirmation de sa souveraineté</w:t>
      </w:r>
      <w:r w:rsidRPr="00606C27">
        <w:rPr>
          <w:rFonts w:cs="Times New Roman"/>
          <w:szCs w:val="24"/>
          <w:lang w:val="fr-CA"/>
        </w:rPr>
        <w:t xml:space="preserve">; il s’agit d’un principe directeur des relations du Canada avec les peuples autochtones : </w:t>
      </w:r>
      <w:r w:rsidRPr="00606C27">
        <w:rPr>
          <w:rFonts w:cs="Times New Roman"/>
          <w:i/>
          <w:szCs w:val="24"/>
          <w:lang w:val="fr-CA"/>
        </w:rPr>
        <w:t xml:space="preserve">Première nation Tlingit de </w:t>
      </w:r>
      <w:r w:rsidRPr="00606C27">
        <w:rPr>
          <w:rStyle w:val="Emphasis"/>
          <w:rFonts w:cs="Times New Roman"/>
          <w:szCs w:val="24"/>
          <w:lang w:val="fr-CA"/>
        </w:rPr>
        <w:t>Taku River c. Colombie</w:t>
      </w:r>
      <w:r w:rsidRPr="00606C27">
        <w:rPr>
          <w:rStyle w:val="Emphasis"/>
          <w:rFonts w:cs="Times New Roman"/>
          <w:szCs w:val="24"/>
          <w:lang w:val="fr-CA"/>
        </w:rPr>
        <w:noBreakHyphen/>
        <w:t>Britannique (Directeur d’évaluation de projet)</w:t>
      </w:r>
      <w:r w:rsidRPr="00606C27">
        <w:rPr>
          <w:rFonts w:cs="Times New Roman"/>
          <w:szCs w:val="24"/>
          <w:lang w:val="fr-CA"/>
        </w:rPr>
        <w:t xml:space="preserve">, 2004 CSC 74, [2004] 3 R.C.S. 550, par. 24, cité avec approbation dans </w:t>
      </w:r>
      <w:r w:rsidRPr="00606C27">
        <w:rPr>
          <w:rFonts w:cs="Times New Roman"/>
          <w:i/>
          <w:szCs w:val="24"/>
          <w:lang w:val="fr-CA"/>
        </w:rPr>
        <w:t>Manitoba Métis Federation Inc. c. Canada (Procureur général)</w:t>
      </w:r>
      <w:r w:rsidRPr="00606C27">
        <w:rPr>
          <w:rFonts w:cs="Times New Roman"/>
          <w:szCs w:val="24"/>
          <w:lang w:val="fr-CA"/>
        </w:rPr>
        <w:t xml:space="preserve">, 2013 CSC 14, [2013] 1 R.C.S. 623, par. 66. La jurisprudence actuelle prévoit la protection et la défense des droits ancestraux </w:t>
      </w:r>
      <w:r w:rsidRPr="00606C27">
        <w:rPr>
          <w:rFonts w:cs="Times New Roman"/>
          <w:i/>
          <w:szCs w:val="24"/>
          <w:lang w:val="fr-CA"/>
        </w:rPr>
        <w:t>ainsi que</w:t>
      </w:r>
      <w:r w:rsidRPr="00606C27">
        <w:rPr>
          <w:rFonts w:cs="Times New Roman"/>
          <w:szCs w:val="24"/>
          <w:lang w:val="fr-CA"/>
        </w:rPr>
        <w:t xml:space="preserve"> le respect des principes constitutionnels de la souveraineté parlementaire et de la séparation des pouvoirs. Il importe de poursuivre ces deux objectifs, ce qui peut se faire tout en prése</w:t>
      </w:r>
      <w:r w:rsidR="000835F8">
        <w:rPr>
          <w:rFonts w:cs="Times New Roman"/>
          <w:szCs w:val="24"/>
          <w:lang w:val="fr-CA"/>
        </w:rPr>
        <w:t>rvant l’honneur de la Couronne.</w:t>
      </w:r>
    </w:p>
    <w:p w:rsidR="00E313A3" w:rsidRPr="00606C27" w:rsidRDefault="00E313A3" w:rsidP="00E313A3">
      <w:pPr>
        <w:pStyle w:val="ParaNoNdepar-AltN"/>
        <w:rPr>
          <w:rFonts w:cs="Times New Roman"/>
          <w:szCs w:val="24"/>
          <w:lang w:val="fr-CA"/>
        </w:rPr>
      </w:pPr>
      <w:r w:rsidRPr="00606C27">
        <w:rPr>
          <w:rFonts w:cs="Times New Roman"/>
          <w:szCs w:val="24"/>
          <w:lang w:val="fr-CA"/>
        </w:rPr>
        <w:t xml:space="preserve">Il est possible de contester une loi qui porterait atteinte à un droit ancestral ou issu de traités en recourant au cadre d’analyse relatif à l’atteinte et à la justification formulé dans </w:t>
      </w:r>
      <w:r w:rsidRPr="00606C27">
        <w:rPr>
          <w:rFonts w:cs="Times New Roman"/>
          <w:i/>
          <w:szCs w:val="24"/>
          <w:lang w:val="fr-CA"/>
        </w:rPr>
        <w:t>Sparrow</w:t>
      </w:r>
      <w:r w:rsidRPr="00606C27">
        <w:rPr>
          <w:rFonts w:cs="Times New Roman"/>
          <w:szCs w:val="24"/>
          <w:lang w:val="fr-CA"/>
        </w:rPr>
        <w:t xml:space="preserve">. Pour établir une violation de l’art. 35, une partie doit d’abord démontrer qu’elle détient un droit ancestral qui n’était pas éteint lors de l’adoption de la </w:t>
      </w:r>
      <w:r w:rsidRPr="00606C27">
        <w:rPr>
          <w:rFonts w:cs="Times New Roman"/>
          <w:i/>
          <w:szCs w:val="24"/>
          <w:lang w:val="fr-CA"/>
        </w:rPr>
        <w:t>Loi constitutionnelle de 1982</w:t>
      </w:r>
      <w:r w:rsidRPr="00606C27">
        <w:rPr>
          <w:rFonts w:cs="Times New Roman"/>
          <w:szCs w:val="24"/>
          <w:lang w:val="fr-CA"/>
        </w:rPr>
        <w:t> (</w:t>
      </w:r>
      <w:r w:rsidRPr="00606C27">
        <w:rPr>
          <w:rFonts w:cs="Times New Roman"/>
          <w:i/>
          <w:szCs w:val="24"/>
          <w:lang w:val="fr-CA"/>
        </w:rPr>
        <w:t>R. c</w:t>
      </w:r>
      <w:r w:rsidRPr="00606C27">
        <w:rPr>
          <w:rFonts w:cs="Times New Roman"/>
          <w:szCs w:val="24"/>
          <w:lang w:val="fr-CA"/>
        </w:rPr>
        <w:t xml:space="preserve">. </w:t>
      </w:r>
      <w:r w:rsidRPr="00606C27">
        <w:rPr>
          <w:rFonts w:cs="Times New Roman"/>
          <w:i/>
          <w:szCs w:val="24"/>
          <w:lang w:val="fr-CA"/>
        </w:rPr>
        <w:t>Van der Peet</w:t>
      </w:r>
      <w:r w:rsidRPr="00606C27">
        <w:rPr>
          <w:rFonts w:cs="Times New Roman"/>
          <w:szCs w:val="24"/>
          <w:lang w:val="fr-CA"/>
        </w:rPr>
        <w:t>, [1996] 2 R.C.S. 507;</w:t>
      </w:r>
      <w:r w:rsidRPr="00606C27">
        <w:rPr>
          <w:rFonts w:cs="Times New Roman"/>
          <w:i/>
          <w:szCs w:val="24"/>
          <w:lang w:val="fr-CA"/>
        </w:rPr>
        <w:t xml:space="preserve"> R. c. Sappier</w:t>
      </w:r>
      <w:r w:rsidRPr="00606C27">
        <w:rPr>
          <w:rFonts w:cs="Times New Roman"/>
          <w:szCs w:val="24"/>
          <w:lang w:val="fr-CA"/>
        </w:rPr>
        <w:t>,</w:t>
      </w:r>
      <w:r w:rsidRPr="00606C27">
        <w:rPr>
          <w:rFonts w:cs="Times New Roman"/>
          <w:i/>
          <w:szCs w:val="24"/>
          <w:lang w:val="fr-CA"/>
        </w:rPr>
        <w:t xml:space="preserve"> </w:t>
      </w:r>
      <w:r w:rsidRPr="00606C27">
        <w:rPr>
          <w:rFonts w:cs="Times New Roman"/>
          <w:szCs w:val="24"/>
          <w:lang w:val="fr-CA"/>
        </w:rPr>
        <w:t>2006 CSC 54, [2006] 2 R.C.S. 686), ou un droit issu de traités (</w:t>
      </w:r>
      <w:r w:rsidRPr="00606C27">
        <w:rPr>
          <w:rFonts w:cs="Times New Roman"/>
          <w:i/>
          <w:szCs w:val="24"/>
          <w:lang w:val="fr-CA"/>
        </w:rPr>
        <w:t>R. c. Badger</w:t>
      </w:r>
      <w:r w:rsidRPr="00606C27">
        <w:rPr>
          <w:rFonts w:cs="Times New Roman"/>
          <w:szCs w:val="24"/>
          <w:lang w:val="fr-CA"/>
        </w:rPr>
        <w:t>, [1996] 1 R.C.S. 771;</w:t>
      </w:r>
      <w:r w:rsidRPr="00606C27">
        <w:rPr>
          <w:rFonts w:cs="Times New Roman"/>
          <w:i/>
          <w:szCs w:val="24"/>
          <w:lang w:val="fr-CA"/>
        </w:rPr>
        <w:t xml:space="preserve"> Delgamuukw</w:t>
      </w:r>
      <w:r w:rsidRPr="00606C27">
        <w:rPr>
          <w:rFonts w:cs="Times New Roman"/>
          <w:szCs w:val="24"/>
          <w:lang w:val="fr-CA"/>
        </w:rPr>
        <w:t>)</w:t>
      </w:r>
      <w:r w:rsidRPr="00606C27">
        <w:rPr>
          <w:rFonts w:cs="Times New Roman"/>
          <w:i/>
          <w:szCs w:val="24"/>
          <w:lang w:val="fr-CA"/>
        </w:rPr>
        <w:t xml:space="preserve">. </w:t>
      </w:r>
      <w:r w:rsidRPr="00606C27">
        <w:rPr>
          <w:rFonts w:cs="Times New Roman"/>
          <w:szCs w:val="24"/>
          <w:lang w:val="fr-CA"/>
        </w:rPr>
        <w:t xml:space="preserve">Ensuite, la partie doit établir qu’il y a eu atteinte </w:t>
      </w:r>
      <w:r w:rsidRPr="00606C27">
        <w:rPr>
          <w:rFonts w:cs="Times New Roman"/>
          <w:i/>
          <w:szCs w:val="24"/>
          <w:lang w:val="fr-CA"/>
        </w:rPr>
        <w:t>prima facie</w:t>
      </w:r>
      <w:r w:rsidRPr="00606C27">
        <w:rPr>
          <w:rFonts w:cs="Times New Roman"/>
          <w:szCs w:val="24"/>
          <w:lang w:val="fr-CA"/>
        </w:rPr>
        <w:t xml:space="preserve"> à ce droit du fait d’une restriction déraisonnable, d’une contrainte excessive ou de la </w:t>
      </w:r>
      <w:r w:rsidRPr="00606C27">
        <w:rPr>
          <w:rFonts w:cs="Times New Roman"/>
          <w:szCs w:val="24"/>
          <w:lang w:val="fr-CA"/>
        </w:rPr>
        <w:lastRenderedPageBreak/>
        <w:t xml:space="preserve">privation du moyen préféré d’exercer le droit : </w:t>
      </w:r>
      <w:r w:rsidRPr="00606C27">
        <w:rPr>
          <w:rFonts w:cs="Times New Roman"/>
          <w:i/>
          <w:szCs w:val="24"/>
          <w:lang w:val="fr-CA"/>
        </w:rPr>
        <w:t>Sparrow</w:t>
      </w:r>
      <w:r w:rsidRPr="00606C27">
        <w:rPr>
          <w:rFonts w:cs="Times New Roman"/>
          <w:szCs w:val="24"/>
          <w:lang w:val="fr-CA"/>
        </w:rPr>
        <w:t>, p. 1112</w:t>
      </w:r>
      <w:r w:rsidRPr="00606C27">
        <w:rPr>
          <w:rFonts w:cs="Times New Roman"/>
          <w:szCs w:val="24"/>
          <w:lang w:val="fr-CA"/>
        </w:rPr>
        <w:noBreakHyphen/>
        <w:t xml:space="preserve">1113. Une fois l’atteinte </w:t>
      </w:r>
      <w:r w:rsidRPr="00606C27">
        <w:rPr>
          <w:rFonts w:cs="Times New Roman"/>
          <w:i/>
          <w:szCs w:val="24"/>
          <w:lang w:val="fr-CA"/>
        </w:rPr>
        <w:t xml:space="preserve">prima facie </w:t>
      </w:r>
      <w:r w:rsidRPr="00606C27">
        <w:rPr>
          <w:rFonts w:cs="Times New Roman"/>
          <w:szCs w:val="24"/>
          <w:lang w:val="fr-CA"/>
        </w:rPr>
        <w:t>établie, il incombe à la Couronne de démontrer que l’atteinte en cause repose sur un objectif législatif régulier et qu’elle est conforme au principe de l’honneur de la Couronne et à l’obligation fiduciaire de celle</w:t>
      </w:r>
      <w:r w:rsidRPr="00606C27">
        <w:rPr>
          <w:rFonts w:cs="Times New Roman"/>
          <w:szCs w:val="24"/>
          <w:lang w:val="fr-CA"/>
        </w:rPr>
        <w:noBreakHyphen/>
        <w:t>ci envers les peuples autochtones. Au même titre que d’autres facteurs, y compris l’indemnisation et le fait de minimiser l’atteinte, toute consultation préalable est prise en compte pour décider si l’atteinte était justifiée. Il est bien établi par la jurisprudence que, s’il y a atteinte à un droit et si celle</w:t>
      </w:r>
      <w:r w:rsidRPr="00606C27">
        <w:rPr>
          <w:rFonts w:cs="Times New Roman"/>
          <w:szCs w:val="24"/>
          <w:lang w:val="fr-CA"/>
        </w:rPr>
        <w:noBreakHyphen/>
        <w:t>ci n’a pas été justifiée (en fonction de la norme juridique applicable), les tribunaux accordent une réparation substantielle afin de la prévenir ou (si cela est impossible) afin d’atténuer les conséquences pour ceux et celles qui sont victimes d’une violation de leurs droits protégés par l’art. 35. Dans le cas d’une disposition législative qui porte atteinte aux droits protégés, cette disposition sera nulle et n’autorisera aucune prise de règlement si le tribunal conclut que l’atteinte est injustifiée : P.</w:t>
      </w:r>
      <w:r w:rsidR="000835F8">
        <w:rPr>
          <w:rFonts w:cs="Times New Roman"/>
          <w:szCs w:val="24"/>
          <w:lang w:val="fr-CA"/>
        </w:rPr>
        <w:t> </w:t>
      </w:r>
      <w:r w:rsidRPr="00606C27">
        <w:rPr>
          <w:rFonts w:cs="Times New Roman"/>
          <w:szCs w:val="24"/>
          <w:lang w:val="fr-CA"/>
        </w:rPr>
        <w:t>W. Hogg,</w:t>
      </w:r>
      <w:r w:rsidRPr="00606C27">
        <w:rPr>
          <w:rFonts w:cs="Times New Roman"/>
          <w:i/>
          <w:szCs w:val="24"/>
          <w:lang w:val="fr-CA"/>
        </w:rPr>
        <w:t xml:space="preserve"> Constitutional Law of Canada</w:t>
      </w:r>
      <w:r w:rsidRPr="00606C27">
        <w:rPr>
          <w:rFonts w:cs="Times New Roman"/>
          <w:szCs w:val="24"/>
          <w:lang w:val="fr-CA"/>
        </w:rPr>
        <w:t xml:space="preserve"> (5</w:t>
      </w:r>
      <w:r w:rsidRPr="00606C27">
        <w:rPr>
          <w:rFonts w:cs="Times New Roman"/>
          <w:szCs w:val="24"/>
          <w:vertAlign w:val="superscript"/>
          <w:lang w:val="fr-CA"/>
        </w:rPr>
        <w:t>e</w:t>
      </w:r>
      <w:r w:rsidRPr="00606C27">
        <w:rPr>
          <w:rFonts w:cs="Times New Roman"/>
          <w:szCs w:val="24"/>
          <w:lang w:val="fr-CA"/>
        </w:rPr>
        <w:t> éd. (feuilles mobiles)), p. 28</w:t>
      </w:r>
      <w:r w:rsidRPr="00606C27">
        <w:rPr>
          <w:rFonts w:cs="Times New Roman"/>
          <w:szCs w:val="24"/>
          <w:lang w:val="fr-CA"/>
        </w:rPr>
        <w:noBreakHyphen/>
        <w:t xml:space="preserve">62. </w:t>
      </w:r>
    </w:p>
    <w:p w:rsidR="00E313A3" w:rsidRPr="00606C27" w:rsidRDefault="00E313A3" w:rsidP="00E313A3">
      <w:pPr>
        <w:pStyle w:val="ParaNoNdepar-AltN"/>
        <w:rPr>
          <w:rFonts w:cs="Times New Roman"/>
          <w:szCs w:val="24"/>
          <w:lang w:val="fr-CA"/>
        </w:rPr>
      </w:pPr>
      <w:r w:rsidRPr="00606C27">
        <w:rPr>
          <w:rFonts w:cs="Times New Roman"/>
          <w:szCs w:val="24"/>
          <w:lang w:val="fr-CA"/>
        </w:rPr>
        <w:t>L’importance que revêt une consultation préalable dans l’analyse relative à l’atteinte et à la justification incite fortement les législateurs à demander l’avis des communautés autochtones dont les intérêts peuvent être touchés par une loi en devenir. À titre d’exemple, des provinces ont reconnu l’importance de consulter les peuples autochtones avant d’adopter une loi susceptible d’avoir un effet préjudiciable sur l’exercice de droits ancestraux ou issus de traités dans la province : voir, p. ex., Saskatche</w:t>
      </w:r>
      <w:r w:rsidR="00022844">
        <w:rPr>
          <w:rFonts w:cs="Times New Roman"/>
          <w:szCs w:val="24"/>
          <w:lang w:val="fr-CA"/>
        </w:rPr>
        <w:t>wan, « First Nation and Mé</w:t>
      </w:r>
      <w:r w:rsidRPr="00606C27">
        <w:rPr>
          <w:rFonts w:cs="Times New Roman"/>
          <w:szCs w:val="24"/>
          <w:lang w:val="fr-CA"/>
        </w:rPr>
        <w:t xml:space="preserve">tis </w:t>
      </w:r>
      <w:r w:rsidR="000835F8">
        <w:rPr>
          <w:rFonts w:cs="Times New Roman"/>
          <w:szCs w:val="24"/>
          <w:lang w:val="fr-CA"/>
        </w:rPr>
        <w:t>Consultation Policy Framework »</w:t>
      </w:r>
      <w:r w:rsidRPr="00606C27">
        <w:rPr>
          <w:rFonts w:cs="Times New Roman"/>
          <w:szCs w:val="24"/>
          <w:lang w:val="fr-CA"/>
        </w:rPr>
        <w:t xml:space="preserve"> (juin 2010)</w:t>
      </w:r>
      <w:r w:rsidR="00022844">
        <w:rPr>
          <w:rFonts w:cs="Times New Roman"/>
          <w:szCs w:val="24"/>
          <w:lang w:val="fr-CA"/>
        </w:rPr>
        <w:t xml:space="preserve"> (en ligne)</w:t>
      </w:r>
      <w:r w:rsidRPr="00606C27">
        <w:rPr>
          <w:rFonts w:cs="Times New Roman"/>
          <w:szCs w:val="24"/>
          <w:lang w:val="fr-CA"/>
        </w:rPr>
        <w:t>, p. 5; Manitoba, « </w:t>
      </w:r>
      <w:r w:rsidRPr="00606C27">
        <w:rPr>
          <w:rFonts w:cs="Times New Roman"/>
          <w:lang w:val="fr-CA"/>
        </w:rPr>
        <w:t>Interim Provincial Policy For Crown Cons</w:t>
      </w:r>
      <w:r w:rsidR="00022844">
        <w:rPr>
          <w:rFonts w:cs="Times New Roman"/>
          <w:lang w:val="fr-CA"/>
        </w:rPr>
        <w:t xml:space="preserve">ultations with </w:t>
      </w:r>
      <w:r w:rsidR="00022844">
        <w:rPr>
          <w:rFonts w:cs="Times New Roman"/>
          <w:lang w:val="fr-CA"/>
        </w:rPr>
        <w:lastRenderedPageBreak/>
        <w:t>First Nations, Mé</w:t>
      </w:r>
      <w:r w:rsidRPr="00606C27">
        <w:rPr>
          <w:rFonts w:cs="Times New Roman"/>
          <w:lang w:val="fr-CA"/>
        </w:rPr>
        <w:t>tis Communities and Other Aboriginal Communities</w:t>
      </w:r>
      <w:r w:rsidR="000835F8">
        <w:rPr>
          <w:rFonts w:cs="Times New Roman"/>
          <w:szCs w:val="24"/>
          <w:lang w:val="fr-CA"/>
        </w:rPr>
        <w:t> »</w:t>
      </w:r>
      <w:r w:rsidRPr="00606C27">
        <w:rPr>
          <w:rFonts w:cs="Times New Roman"/>
          <w:szCs w:val="24"/>
          <w:lang w:val="fr-CA"/>
        </w:rPr>
        <w:t xml:space="preserve"> (</w:t>
      </w:r>
      <w:r w:rsidR="00022844">
        <w:rPr>
          <w:rFonts w:cs="Times New Roman"/>
          <w:szCs w:val="24"/>
          <w:lang w:val="fr-CA"/>
        </w:rPr>
        <w:t xml:space="preserve">4 </w:t>
      </w:r>
      <w:r w:rsidRPr="00606C27">
        <w:rPr>
          <w:rFonts w:cs="Times New Roman"/>
          <w:szCs w:val="24"/>
          <w:lang w:val="fr-CA"/>
        </w:rPr>
        <w:t>mai 2009)</w:t>
      </w:r>
      <w:r w:rsidR="00022844">
        <w:rPr>
          <w:rFonts w:cs="Times New Roman"/>
          <w:szCs w:val="24"/>
          <w:lang w:val="fr-CA"/>
        </w:rPr>
        <w:t xml:space="preserve"> (en ligne)</w:t>
      </w:r>
      <w:r w:rsidRPr="00606C27">
        <w:rPr>
          <w:rFonts w:cs="Times New Roman"/>
          <w:szCs w:val="24"/>
          <w:lang w:val="fr-CA"/>
        </w:rPr>
        <w:t xml:space="preserve">, p. 1; Québec, </w:t>
      </w:r>
      <w:r w:rsidR="000835F8">
        <w:rPr>
          <w:rFonts w:cs="Times New Roman"/>
          <w:szCs w:val="24"/>
          <w:lang w:val="fr-CA"/>
        </w:rPr>
        <w:t>Groupe interministériel de soutien sur la consultation des Autochtones</w:t>
      </w:r>
      <w:r w:rsidRPr="00606C27">
        <w:rPr>
          <w:rFonts w:cs="Times New Roman"/>
          <w:szCs w:val="24"/>
          <w:lang w:val="fr-CA"/>
        </w:rPr>
        <w:t>,</w:t>
      </w:r>
      <w:r w:rsidR="00022844">
        <w:rPr>
          <w:rFonts w:cs="Times New Roman"/>
          <w:szCs w:val="24"/>
          <w:lang w:val="fr-CA"/>
        </w:rPr>
        <w:t xml:space="preserve"> </w:t>
      </w:r>
      <w:r w:rsidRPr="003863B9">
        <w:rPr>
          <w:rFonts w:cs="Times New Roman"/>
          <w:i/>
          <w:lang w:val="fr-CA"/>
        </w:rPr>
        <w:t>Guide intérimaire en matière de consultation des communautés autochtones</w:t>
      </w:r>
      <w:r w:rsidRPr="00606C27">
        <w:rPr>
          <w:rFonts w:cs="Times New Roman"/>
          <w:szCs w:val="24"/>
          <w:lang w:val="fr-CA"/>
        </w:rPr>
        <w:t xml:space="preserve"> (2008), p. 4. Cela dit, une bonne politique publique n’équivaut pas nécessairement à un droit constitutionnel. Il appartient à chaque gouvernement — fédéral, provincial ou territorial — de décider des modalités de la consultation à la lumière de l’arrêt </w:t>
      </w:r>
      <w:r w:rsidRPr="00606C27">
        <w:rPr>
          <w:rFonts w:cs="Times New Roman"/>
          <w:i/>
          <w:szCs w:val="24"/>
          <w:lang w:val="fr-CA"/>
        </w:rPr>
        <w:t>Sparrow</w:t>
      </w:r>
      <w:r w:rsidRPr="00606C27">
        <w:rPr>
          <w:rFonts w:cs="Times New Roman"/>
          <w:szCs w:val="24"/>
          <w:lang w:val="fr-CA"/>
        </w:rPr>
        <w:t>.</w:t>
      </w:r>
    </w:p>
    <w:p w:rsidR="00E313A3" w:rsidRPr="00606C27" w:rsidRDefault="00E313A3" w:rsidP="00E313A3">
      <w:pPr>
        <w:pStyle w:val="ParaNoNdepar-AltN"/>
        <w:rPr>
          <w:rFonts w:cs="Times New Roman"/>
          <w:szCs w:val="24"/>
          <w:lang w:val="fr-CA"/>
        </w:rPr>
      </w:pPr>
      <w:r w:rsidRPr="00606C27">
        <w:rPr>
          <w:rFonts w:cs="Times New Roman"/>
          <w:szCs w:val="24"/>
          <w:lang w:val="fr-CA"/>
        </w:rPr>
        <w:t xml:space="preserve">Je passe maintenant à l’obligation de consulter reconnue dans </w:t>
      </w:r>
      <w:r w:rsidRPr="00606C27">
        <w:rPr>
          <w:rFonts w:cs="Times New Roman"/>
          <w:i/>
          <w:szCs w:val="24"/>
          <w:lang w:val="fr-CA"/>
        </w:rPr>
        <w:t>Nation haïda</w:t>
      </w:r>
      <w:r w:rsidRPr="00606C27">
        <w:rPr>
          <w:rFonts w:cs="Times New Roman"/>
          <w:szCs w:val="24"/>
          <w:lang w:val="fr-CA"/>
        </w:rPr>
        <w:t xml:space="preserve">. Elle prend naissance lorsque trois conditions sont réunies. Premièrement, la Couronne doit avoir connaissance, concrètement ou par imputation, de l’existence potentielle du droit ancestral revendiqué. Deuxièmement, la Couronne doit envisager une mesure ou une décision. Troisièmement, la mesure doit être susceptible d’avoir un effet préjudiciable sur le droit ancestral </w:t>
      </w:r>
      <w:r w:rsidR="003863B9">
        <w:rPr>
          <w:rFonts w:cs="Times New Roman"/>
          <w:szCs w:val="24"/>
          <w:lang w:val="fr-CA"/>
        </w:rPr>
        <w:t xml:space="preserve">revendiqué </w:t>
      </w:r>
      <w:r w:rsidRPr="00606C27">
        <w:rPr>
          <w:rFonts w:cs="Times New Roman"/>
          <w:szCs w:val="24"/>
          <w:lang w:val="fr-CA"/>
        </w:rPr>
        <w:t xml:space="preserve">en question. Du point de vue de la Couronne, l’obligation de consulter sert deux objectifs distincts : elle a d’abord pour fonction d’établir les faits, car, grâce à la consultation, la Couronne se renseigne sur la teneur de l’intérêt ou du droit en cause de même que sur l’incidence qu’aurait la mesure qu’elle envisage sur cet intérêt ou sur ce droit. Le second objectif est d’ordre pratique : la Couronne doit s’interroger sur l’opportunité d’accommoder les intérêts des Autochtones et sur la façon de s’y prendre. Elle doit aborder le processus en cherchant à concilier les intérêts. Si l’on démontre qu’il y a eu manquement à l’obligation de consulter, la décision en question sera annulée et, dans les faits, on dira au décideur de « refaire ses devoirs », cette fois en procédant à une consultation adéquate. Si la </w:t>
      </w:r>
      <w:r w:rsidRPr="00606C27">
        <w:rPr>
          <w:rFonts w:cs="Times New Roman"/>
          <w:szCs w:val="24"/>
          <w:lang w:val="fr-CA"/>
        </w:rPr>
        <w:lastRenderedPageBreak/>
        <w:t xml:space="preserve">consultation s’est révélée adéquate, mais qu’il y a manquement à l’obligation d’accommoder, plusieurs réparations tant procédurales que substantielles peuvent être accordées. </w:t>
      </w:r>
    </w:p>
    <w:p w:rsidR="00E313A3" w:rsidRPr="00606C27" w:rsidRDefault="00E313A3" w:rsidP="00E313A3">
      <w:pPr>
        <w:pStyle w:val="ParaNoNdepar-AltN"/>
        <w:rPr>
          <w:rFonts w:cs="Times New Roman"/>
          <w:szCs w:val="24"/>
          <w:lang w:val="fr-CA"/>
        </w:rPr>
      </w:pPr>
      <w:r w:rsidRPr="00606C27">
        <w:rPr>
          <w:rFonts w:cs="Times New Roman"/>
          <w:szCs w:val="24"/>
          <w:lang w:val="fr-CA"/>
        </w:rPr>
        <w:t xml:space="preserve">La Cour a affirmé dans </w:t>
      </w:r>
      <w:r w:rsidRPr="00606C27">
        <w:rPr>
          <w:rFonts w:cs="Times New Roman"/>
          <w:i/>
          <w:lang w:val="fr-CA"/>
        </w:rPr>
        <w:t xml:space="preserve">Rio Tinto </w:t>
      </w:r>
      <w:r w:rsidRPr="00606C27">
        <w:rPr>
          <w:rFonts w:cs="Times New Roman"/>
          <w:lang w:val="fr-CA"/>
        </w:rPr>
        <w:t xml:space="preserve">que toute </w:t>
      </w:r>
      <w:r w:rsidRPr="00606C27">
        <w:rPr>
          <w:rFonts w:cs="Times New Roman"/>
          <w:i/>
          <w:szCs w:val="24"/>
          <w:lang w:val="fr-CA"/>
        </w:rPr>
        <w:t xml:space="preserve">possibilité </w:t>
      </w:r>
      <w:r w:rsidRPr="00606C27">
        <w:rPr>
          <w:rFonts w:cs="Times New Roman"/>
          <w:szCs w:val="24"/>
          <w:lang w:val="fr-CA"/>
        </w:rPr>
        <w:t xml:space="preserve">qu’une mesure de la Couronne ait un effet préjudiciable donne naissance à l’obligation de consulter et d’accommoder. Toujours selon la Cour, cette obligation peut prendre naissance à l’égard de « décisions de gestion ou politiques qui sont prises en haut lieu » (par. 87). Les décisions politiques en cause dans </w:t>
      </w:r>
      <w:r w:rsidRPr="00606C27">
        <w:rPr>
          <w:rFonts w:cs="Times New Roman"/>
          <w:i/>
          <w:szCs w:val="24"/>
          <w:lang w:val="fr-CA"/>
        </w:rPr>
        <w:t xml:space="preserve">Rio Tinto </w:t>
      </w:r>
      <w:r w:rsidRPr="00606C27">
        <w:rPr>
          <w:rFonts w:cs="Times New Roman"/>
          <w:szCs w:val="24"/>
          <w:lang w:val="fr-CA"/>
        </w:rPr>
        <w:t xml:space="preserve">ont été prises par l’exécutif au sujet d’un </w:t>
      </w:r>
      <w:r w:rsidRPr="00606C27">
        <w:rPr>
          <w:rFonts w:cs="Times New Roman"/>
          <w:i/>
          <w:szCs w:val="24"/>
          <w:lang w:val="fr-CA"/>
        </w:rPr>
        <w:t>projet de développement en particulier</w:t>
      </w:r>
      <w:r w:rsidRPr="00606C27">
        <w:rPr>
          <w:rFonts w:cs="Times New Roman"/>
          <w:szCs w:val="24"/>
          <w:lang w:val="fr-CA"/>
        </w:rPr>
        <w:t>. Dans cette affaire, la décision attaquée portait sur la vente de l’électricité produite à partir d’un barrage hydroélectrique situé sur la rivière Nechako. Il est nécessaire de replacer l’affirmation de la Cour dans le contexte où elle a été faite, ce qui permet de conclure qu’elle n’étaye pas la proposition selon laquelle la Constitution impose l’obligation de consulter durant le processus législatif. Cette conclusion est renforcée par l’exigence que la décision attaquée soit susceptible d’avoir des effets préjudiciables. La Cour a jugé qu’il doit y avoir un « </w:t>
      </w:r>
      <w:r w:rsidRPr="00606C27">
        <w:rPr>
          <w:rFonts w:cs="Times New Roman"/>
          <w:i/>
          <w:szCs w:val="24"/>
          <w:lang w:val="fr-CA"/>
        </w:rPr>
        <w:t xml:space="preserve">lien de causalité </w:t>
      </w:r>
      <w:r w:rsidRPr="00606C27">
        <w:rPr>
          <w:rFonts w:cs="Times New Roman"/>
          <w:szCs w:val="24"/>
          <w:lang w:val="fr-CA"/>
        </w:rPr>
        <w:t xml:space="preserve">entre la mesure ou la décision envisagée par le gouvernement et un effet préjudiciable éventuel sur une revendication autochtone ou un droit ancestral » : par. 45 (italiques ajoutés). L’avocat des Mikisew s’appuie en grande partie sur les motifs donnés par la Cour dans </w:t>
      </w:r>
      <w:r w:rsidRPr="00606C27">
        <w:rPr>
          <w:rFonts w:cs="Times New Roman"/>
          <w:i/>
          <w:lang w:val="fr-CA"/>
        </w:rPr>
        <w:t>Rio Tinto</w:t>
      </w:r>
      <w:r w:rsidRPr="00606C27">
        <w:rPr>
          <w:rFonts w:cs="Times New Roman"/>
          <w:szCs w:val="24"/>
          <w:lang w:val="fr-CA"/>
        </w:rPr>
        <w:t>.</w:t>
      </w:r>
      <w:r w:rsidRPr="00606C27">
        <w:rPr>
          <w:rFonts w:cs="Times New Roman"/>
          <w:lang w:val="fr-CA"/>
        </w:rPr>
        <w:t xml:space="preserve"> Or, cet arrêt n’étaye pas la conclusion que l’obligation de consulter doit s’appliquer au processus législatif. En fait, la Cour a explicitement laissé en suspens la question de savoir si une « mesure gouvernementale » emportant l’obligation de consulter inclut le processus législatif : par. 44.</w:t>
      </w:r>
      <w:r w:rsidRPr="00606C27">
        <w:rPr>
          <w:rFonts w:cs="Times New Roman"/>
          <w:szCs w:val="24"/>
          <w:lang w:val="fr-CA"/>
        </w:rPr>
        <w:t xml:space="preserve">  </w:t>
      </w:r>
    </w:p>
    <w:p w:rsidR="00E313A3" w:rsidRPr="00606C27" w:rsidRDefault="00E313A3" w:rsidP="00E313A3">
      <w:pPr>
        <w:pStyle w:val="ParaNoNdepar-AltN"/>
        <w:rPr>
          <w:rFonts w:cs="Times New Roman"/>
          <w:szCs w:val="24"/>
          <w:lang w:val="fr-CA"/>
        </w:rPr>
      </w:pPr>
      <w:r w:rsidRPr="00606C27">
        <w:rPr>
          <w:rFonts w:cs="Times New Roman"/>
          <w:szCs w:val="24"/>
          <w:lang w:val="fr-CA"/>
        </w:rPr>
        <w:t xml:space="preserve"> Bien que les projets de loi C</w:t>
      </w:r>
      <w:r w:rsidRPr="00606C27">
        <w:rPr>
          <w:rFonts w:cs="Times New Roman"/>
          <w:szCs w:val="24"/>
          <w:lang w:val="fr-CA"/>
        </w:rPr>
        <w:noBreakHyphen/>
        <w:t xml:space="preserve">38 (adopté en tant que </w:t>
      </w:r>
      <w:r w:rsidRPr="00606C27">
        <w:rPr>
          <w:rFonts w:cs="Times New Roman"/>
          <w:i/>
          <w:szCs w:val="24"/>
          <w:lang w:val="fr-CA"/>
        </w:rPr>
        <w:t>Loi sur l’emploi, la croissance et la prospérité durable</w:t>
      </w:r>
      <w:r w:rsidRPr="00606C27">
        <w:rPr>
          <w:rFonts w:cs="Times New Roman"/>
          <w:szCs w:val="24"/>
          <w:lang w:val="fr-CA"/>
        </w:rPr>
        <w:t>, L.C. 2012, c. 19) et C</w:t>
      </w:r>
      <w:r w:rsidRPr="00606C27">
        <w:rPr>
          <w:rFonts w:cs="Times New Roman"/>
          <w:szCs w:val="24"/>
          <w:lang w:val="fr-CA"/>
        </w:rPr>
        <w:noBreakHyphen/>
        <w:t xml:space="preserve">45 (adopté en tant que </w:t>
      </w:r>
      <w:r w:rsidRPr="00606C27">
        <w:rPr>
          <w:rFonts w:cs="Times New Roman"/>
          <w:i/>
          <w:szCs w:val="24"/>
          <w:lang w:val="fr-CA"/>
        </w:rPr>
        <w:t>Loi de 2012 sur l’emploi et la croissance</w:t>
      </w:r>
      <w:r w:rsidRPr="00606C27">
        <w:rPr>
          <w:rFonts w:cs="Times New Roman"/>
          <w:szCs w:val="24"/>
          <w:lang w:val="fr-CA"/>
        </w:rPr>
        <w:t>, L.C. 2012, c. 31) aient modifié le cadre réglementaire applicable à certains cours d’eau, l’usage de ceux</w:t>
      </w:r>
      <w:r w:rsidRPr="00606C27">
        <w:rPr>
          <w:rFonts w:cs="Times New Roman"/>
          <w:szCs w:val="24"/>
          <w:lang w:val="fr-CA"/>
        </w:rPr>
        <w:noBreakHyphen/>
        <w:t>ci n’est pas revenu de ce fait à un état de laissez</w:t>
      </w:r>
      <w:r w:rsidRPr="00606C27">
        <w:rPr>
          <w:rFonts w:cs="Times New Roman"/>
          <w:szCs w:val="24"/>
          <w:lang w:val="fr-CA"/>
        </w:rPr>
        <w:noBreakHyphen/>
        <w:t>faire. La réglementation provinciale, territoriale et fédérale en matière d’environnement continue de s’appliquer. Les appelants soutiennent que la réduction de la surveillance environnementale par le gouvernement fédéral [</w:t>
      </w:r>
      <w:r w:rsidRPr="00606C27">
        <w:rPr>
          <w:rFonts w:cs="Times New Roman"/>
          <w:smallCaps/>
          <w:szCs w:val="24"/>
          <w:lang w:val="fr-CA"/>
        </w:rPr>
        <w:t>traduction</w:t>
      </w:r>
      <w:r w:rsidRPr="00606C27">
        <w:rPr>
          <w:rFonts w:cs="Times New Roman"/>
          <w:szCs w:val="24"/>
          <w:lang w:val="fr-CA"/>
        </w:rPr>
        <w:t xml:space="preserve">] « nuit profondément » aux droits issus de traités en supprimant un processus d’évaluation environnementale qui donnerait naissance à l’obligation de consulter : m.a., par. 13. Cependant, il ne s’agit pas du type d’effet préjudiciable envisagé dans </w:t>
      </w:r>
      <w:r w:rsidRPr="00606C27">
        <w:rPr>
          <w:rFonts w:cs="Times New Roman"/>
          <w:i/>
          <w:szCs w:val="24"/>
          <w:lang w:val="fr-CA"/>
        </w:rPr>
        <w:t xml:space="preserve">Nation haïda </w:t>
      </w:r>
      <w:r w:rsidRPr="00606C27">
        <w:rPr>
          <w:rFonts w:cs="Times New Roman"/>
          <w:szCs w:val="24"/>
          <w:lang w:val="fr-CA"/>
        </w:rPr>
        <w:t>et la jurisprudence subséquente. Ce que protège l’art</w:t>
      </w:r>
      <w:r w:rsidR="003863B9">
        <w:rPr>
          <w:rFonts w:cs="Times New Roman"/>
          <w:szCs w:val="24"/>
          <w:lang w:val="fr-CA"/>
        </w:rPr>
        <w:t>.</w:t>
      </w:r>
      <w:r w:rsidRPr="00606C27">
        <w:rPr>
          <w:rFonts w:cs="Times New Roman"/>
          <w:szCs w:val="24"/>
          <w:lang w:val="fr-CA"/>
        </w:rPr>
        <w:t> 35, c’est le droit ancestral ou issu de traités lui</w:t>
      </w:r>
      <w:r w:rsidRPr="00606C27">
        <w:rPr>
          <w:rFonts w:cs="Times New Roman"/>
          <w:szCs w:val="24"/>
          <w:lang w:val="fr-CA"/>
        </w:rPr>
        <w:noBreakHyphen/>
        <w:t xml:space="preserve">même. Un ensemble précis de dispositions en vue de la réglementation environnementale n’est pas équivalent à un droit protégé par l’art. 35, et tout particulièrement n’est pas équivalent au droit issu d’un traité sur lequel se fondent les Mikisew en l’espèce. Comme la Cour l’a mentionné dans </w:t>
      </w:r>
      <w:r w:rsidRPr="00606C27">
        <w:rPr>
          <w:rFonts w:cs="Times New Roman"/>
          <w:i/>
          <w:szCs w:val="24"/>
          <w:lang w:val="fr-CA"/>
        </w:rPr>
        <w:t>Rio Tinto</w:t>
      </w:r>
      <w:r w:rsidRPr="00606C27">
        <w:rPr>
          <w:rFonts w:cs="Times New Roman"/>
          <w:szCs w:val="24"/>
          <w:lang w:val="fr-CA"/>
        </w:rPr>
        <w:t xml:space="preserve">, « [l]’effet préjudiciable ne s’entend pas [. . .] d’une répercussion négative sur la position de négociation d’un groupe autochtone » : par. 50. Le préjudice doit toucher l’exercice futur du </w:t>
      </w:r>
      <w:r w:rsidRPr="00606C27">
        <w:rPr>
          <w:rFonts w:cs="Times New Roman"/>
          <w:i/>
          <w:szCs w:val="24"/>
          <w:lang w:val="fr-CA"/>
        </w:rPr>
        <w:t>droit lui</w:t>
      </w:r>
      <w:r w:rsidRPr="00606C27">
        <w:rPr>
          <w:rFonts w:cs="Times New Roman"/>
          <w:i/>
          <w:szCs w:val="24"/>
          <w:lang w:val="fr-CA"/>
        </w:rPr>
        <w:noBreakHyphen/>
        <w:t>même </w:t>
      </w:r>
      <w:r w:rsidRPr="00606C27">
        <w:rPr>
          <w:rFonts w:cs="Times New Roman"/>
          <w:szCs w:val="24"/>
          <w:lang w:val="fr-CA"/>
        </w:rPr>
        <w:t xml:space="preserve">: par. 46. </w:t>
      </w:r>
    </w:p>
    <w:p w:rsidR="00E313A3" w:rsidRPr="00606C27" w:rsidRDefault="00E313A3" w:rsidP="00E313A3">
      <w:pPr>
        <w:pStyle w:val="ParaNoNdepar-AltN"/>
        <w:rPr>
          <w:rFonts w:cs="Times New Roman"/>
          <w:lang w:val="fr-CA"/>
        </w:rPr>
      </w:pPr>
      <w:r w:rsidRPr="00606C27">
        <w:rPr>
          <w:rFonts w:cs="Times New Roman"/>
          <w:lang w:val="fr-CA"/>
        </w:rPr>
        <w:t xml:space="preserve">En résumé, quand une loi est adoptée, les parties qui soutiennent qu’elle a pour effet de porter atteinte aux droits protégés par l’art. 35 disposent de recours fondés sur l’arrêt </w:t>
      </w:r>
      <w:r w:rsidRPr="00606C27">
        <w:rPr>
          <w:rFonts w:cs="Times New Roman"/>
          <w:i/>
          <w:lang w:val="fr-CA"/>
        </w:rPr>
        <w:t>Sparrow</w:t>
      </w:r>
      <w:r w:rsidRPr="00606C27">
        <w:rPr>
          <w:rFonts w:cs="Times New Roman"/>
          <w:lang w:val="fr-CA"/>
        </w:rPr>
        <w:t xml:space="preserve">. Celles qui prétendent qu’une décision prise par le gouvernement en vertu du pouvoir que lui confère cette loi nuira à un droit qu’elles revendiquent disposeront de recours fondés sur </w:t>
      </w:r>
      <w:r w:rsidRPr="00606C27">
        <w:rPr>
          <w:rFonts w:cs="Times New Roman"/>
          <w:i/>
          <w:lang w:val="fr-CA"/>
        </w:rPr>
        <w:t>Nation haïda</w:t>
      </w:r>
      <w:r w:rsidRPr="00606C27">
        <w:rPr>
          <w:rFonts w:cs="Times New Roman"/>
          <w:lang w:val="fr-CA"/>
        </w:rPr>
        <w:t>.</w:t>
      </w:r>
      <w:r w:rsidRPr="00606C27">
        <w:rPr>
          <w:rFonts w:cs="Times New Roman"/>
          <w:i/>
          <w:lang w:val="fr-CA"/>
        </w:rPr>
        <w:t xml:space="preserve"> </w:t>
      </w:r>
      <w:r w:rsidRPr="00606C27">
        <w:rPr>
          <w:rFonts w:cs="Times New Roman"/>
          <w:lang w:val="fr-CA"/>
        </w:rPr>
        <w:t xml:space="preserve">D’autres mesures gouvernementales, outre les décisions prises en vertu d’un pouvoir conféré par la loi, peuvent aussi donner naissance à l’obligation de consulter : </w:t>
      </w:r>
      <w:r w:rsidRPr="00606C27">
        <w:rPr>
          <w:rFonts w:cs="Times New Roman"/>
          <w:i/>
          <w:lang w:val="fr-CA"/>
        </w:rPr>
        <w:t>Rio Tinto</w:t>
      </w:r>
      <w:r w:rsidRPr="00606C27">
        <w:rPr>
          <w:rFonts w:cs="Times New Roman"/>
          <w:lang w:val="fr-CA"/>
        </w:rPr>
        <w:t>, par. 43. Lorsque surviennent de nouvelles situations où il faut adapter ou étendre la jurisprudence précitée, les tribunaux constituent un moyen de faire ainsi évoluer le droit. Le besoin de le faire n’a toutefois pas été démontré au vu des faits de l’espèce.</w:t>
      </w:r>
    </w:p>
    <w:p w:rsidR="00E313A3" w:rsidRPr="00606C27" w:rsidRDefault="00E313A3" w:rsidP="00E313A3">
      <w:pPr>
        <w:pStyle w:val="Title1LevelTitre1Niveau-AltL"/>
        <w:rPr>
          <w:rFonts w:cs="Times New Roman"/>
          <w:lang w:val="fr-CA"/>
        </w:rPr>
      </w:pPr>
      <w:r w:rsidRPr="00606C27">
        <w:rPr>
          <w:rFonts w:cs="Times New Roman"/>
          <w:lang w:val="fr-CA"/>
        </w:rPr>
        <w:t xml:space="preserve">Conséquences pour la séparation des pouvoirs </w:t>
      </w:r>
    </w:p>
    <w:p w:rsidR="00E313A3" w:rsidRPr="00606C27" w:rsidRDefault="00E313A3" w:rsidP="00E313A3">
      <w:pPr>
        <w:pStyle w:val="ParaNoNdepar-AltN"/>
        <w:rPr>
          <w:rFonts w:cs="Times New Roman"/>
          <w:szCs w:val="24"/>
          <w:lang w:val="fr-CA"/>
        </w:rPr>
      </w:pPr>
      <w:r w:rsidRPr="00606C27">
        <w:rPr>
          <w:rFonts w:cs="Times New Roman"/>
          <w:szCs w:val="24"/>
          <w:lang w:val="fr-CA"/>
        </w:rPr>
        <w:t xml:space="preserve">Pour saisir les conséquences de l’imposition de l’obligation de consulter lors de l’élaboration des projets de loi qui seront soumis à l’examen du Parlement ou des législatures provinciales, il faut tout d’abord comprendre les nombreuses étapes de ce processus. (Je ne me prononce pas sur les législatures territoriales en raison des différences notables qui existent entre leur fonctionnement et celui du Parlement ainsi que des législatures provinciales.) L’avocat des Mikisew a été d’un grand secours à cet égard en portant à la connaissance de la Cour — et en mentionnant lors de sa plaidoirie — un document dans lequel le Bureau du Conseil privé énumère les nombreuses étapes à suivre : Canada, Conseil privé, </w:t>
      </w:r>
      <w:r w:rsidRPr="00606C27">
        <w:rPr>
          <w:rFonts w:cs="Times New Roman"/>
          <w:i/>
          <w:szCs w:val="24"/>
          <w:lang w:val="fr-CA"/>
        </w:rPr>
        <w:t>Lois et règlements : l’essentiel</w:t>
      </w:r>
      <w:r w:rsidRPr="00606C27">
        <w:rPr>
          <w:rFonts w:cs="Times New Roman"/>
          <w:szCs w:val="24"/>
          <w:lang w:val="fr-CA"/>
        </w:rPr>
        <w:t xml:space="preserve"> (2</w:t>
      </w:r>
      <w:r w:rsidRPr="00606C27">
        <w:rPr>
          <w:rFonts w:cs="Times New Roman"/>
          <w:szCs w:val="24"/>
          <w:vertAlign w:val="superscript"/>
          <w:lang w:val="fr-CA"/>
        </w:rPr>
        <w:t>e</w:t>
      </w:r>
      <w:r w:rsidRPr="00606C27">
        <w:rPr>
          <w:rFonts w:cs="Times New Roman"/>
          <w:szCs w:val="24"/>
          <w:lang w:val="fr-CA"/>
        </w:rPr>
        <w:t> éd 2001), p. 6</w:t>
      </w:r>
      <w:r w:rsidR="005C39FE">
        <w:rPr>
          <w:rFonts w:cs="Times New Roman"/>
          <w:szCs w:val="24"/>
          <w:lang w:val="fr-CA"/>
        </w:rPr>
        <w:t>1</w:t>
      </w:r>
      <w:r w:rsidRPr="00606C27">
        <w:rPr>
          <w:rFonts w:cs="Times New Roman"/>
          <w:szCs w:val="24"/>
          <w:lang w:val="fr-CA"/>
        </w:rPr>
        <w:t>. En paraphrasant légèrement ce document, les étapes en question sont les suivantes :</w:t>
      </w:r>
    </w:p>
    <w:p w:rsidR="00E313A3" w:rsidRPr="00606C27" w:rsidRDefault="00E313A3" w:rsidP="003863B9">
      <w:pPr>
        <w:pStyle w:val="Citation-AltC"/>
        <w:spacing w:after="240" w:line="480" w:lineRule="auto"/>
        <w:ind w:hanging="1166"/>
        <w:contextualSpacing w:val="0"/>
        <w:rPr>
          <w:u w:val="single"/>
        </w:rPr>
      </w:pPr>
      <w:r w:rsidRPr="00606C27">
        <w:rPr>
          <w:u w:val="single"/>
        </w:rPr>
        <w:t>Pr</w:t>
      </w:r>
      <w:r w:rsidRPr="00606C27">
        <w:rPr>
          <w:u w:val="single"/>
          <w:lang w:val="fr-CA"/>
        </w:rPr>
        <w:t>é</w:t>
      </w:r>
      <w:r w:rsidRPr="00606C27">
        <w:rPr>
          <w:u w:val="single"/>
        </w:rPr>
        <w:t xml:space="preserve">paration </w:t>
      </w:r>
    </w:p>
    <w:p w:rsidR="003863B9" w:rsidRPr="003863B9" w:rsidRDefault="00E313A3" w:rsidP="003863B9">
      <w:pPr>
        <w:pStyle w:val="Citation-AltC"/>
        <w:numPr>
          <w:ilvl w:val="6"/>
          <w:numId w:val="1"/>
        </w:numPr>
        <w:spacing w:after="480" w:line="480" w:lineRule="auto"/>
        <w:ind w:left="720" w:hanging="720"/>
        <w:contextualSpacing w:val="0"/>
        <w:rPr>
          <w:lang w:val="fr-CA"/>
        </w:rPr>
      </w:pPr>
      <w:r w:rsidRPr="00606C27">
        <w:rPr>
          <w:lang w:val="fr-CA"/>
        </w:rPr>
        <w:t>Le ministère prépare des analyses et des plans; il faut obtenir l’approbation ministérielle pour procéder à des consultations concernant les orientations.</w:t>
      </w:r>
    </w:p>
    <w:p w:rsidR="003863B9" w:rsidRPr="003863B9" w:rsidRDefault="00E313A3" w:rsidP="003863B9">
      <w:pPr>
        <w:pStyle w:val="Citation-AltC"/>
        <w:numPr>
          <w:ilvl w:val="6"/>
          <w:numId w:val="1"/>
        </w:numPr>
        <w:spacing w:after="480" w:line="480" w:lineRule="auto"/>
        <w:ind w:left="720" w:hanging="720"/>
        <w:contextualSpacing w:val="0"/>
        <w:rPr>
          <w:lang w:val="fr-CA"/>
        </w:rPr>
      </w:pPr>
      <w:r w:rsidRPr="00606C27">
        <w:rPr>
          <w:lang w:val="fr-CA"/>
        </w:rPr>
        <w:t>Le premier ministre examine et approuve les questions liées aux rouages (s’il y a lieu).</w:t>
      </w:r>
    </w:p>
    <w:p w:rsidR="003863B9" w:rsidRPr="003863B9" w:rsidRDefault="00E313A3" w:rsidP="003863B9">
      <w:pPr>
        <w:pStyle w:val="Citation-AltC"/>
        <w:numPr>
          <w:ilvl w:val="6"/>
          <w:numId w:val="1"/>
        </w:numPr>
        <w:spacing w:after="480" w:line="480" w:lineRule="auto"/>
        <w:ind w:left="720" w:hanging="720"/>
        <w:contextualSpacing w:val="0"/>
        <w:rPr>
          <w:lang w:val="fr-CA"/>
        </w:rPr>
      </w:pPr>
      <w:r w:rsidRPr="00606C27">
        <w:rPr>
          <w:lang w:val="fr-CA"/>
        </w:rPr>
        <w:t xml:space="preserve">Le ministre décide des solutions possibles et des recommandations à faire au Cabinet. </w:t>
      </w:r>
    </w:p>
    <w:p w:rsidR="003863B9" w:rsidRPr="003863B9" w:rsidRDefault="00E313A3" w:rsidP="003863B9">
      <w:pPr>
        <w:pStyle w:val="Citation-AltC"/>
        <w:numPr>
          <w:ilvl w:val="6"/>
          <w:numId w:val="1"/>
        </w:numPr>
        <w:spacing w:after="480" w:line="480" w:lineRule="auto"/>
        <w:ind w:left="720" w:hanging="720"/>
        <w:contextualSpacing w:val="0"/>
        <w:rPr>
          <w:lang w:val="fr-CA"/>
        </w:rPr>
      </w:pPr>
      <w:r w:rsidRPr="00606C27">
        <w:rPr>
          <w:lang w:val="fr-CA"/>
        </w:rPr>
        <w:t>Le mémoire au Cabinet est rédigé.</w:t>
      </w:r>
    </w:p>
    <w:p w:rsidR="003863B9" w:rsidRPr="003863B9" w:rsidRDefault="00E313A3" w:rsidP="003863B9">
      <w:pPr>
        <w:pStyle w:val="Citation-AltC"/>
        <w:numPr>
          <w:ilvl w:val="6"/>
          <w:numId w:val="1"/>
        </w:numPr>
        <w:spacing w:after="480" w:line="480" w:lineRule="auto"/>
        <w:ind w:left="720" w:hanging="720"/>
        <w:contextualSpacing w:val="0"/>
        <w:rPr>
          <w:lang w:val="fr-CA"/>
        </w:rPr>
      </w:pPr>
      <w:r w:rsidRPr="00606C27">
        <w:rPr>
          <w:lang w:val="fr-CA"/>
        </w:rPr>
        <w:t xml:space="preserve">Le mémoire au Cabinet fait l’objet de consultations interministérielles. </w:t>
      </w:r>
    </w:p>
    <w:p w:rsidR="003863B9" w:rsidRPr="003863B9" w:rsidRDefault="00E313A3" w:rsidP="003863B9">
      <w:pPr>
        <w:pStyle w:val="Citation-AltC"/>
        <w:numPr>
          <w:ilvl w:val="6"/>
          <w:numId w:val="1"/>
        </w:numPr>
        <w:spacing w:after="480" w:line="480" w:lineRule="auto"/>
        <w:ind w:left="720" w:hanging="720"/>
        <w:contextualSpacing w:val="0"/>
        <w:rPr>
          <w:lang w:val="fr-CA"/>
        </w:rPr>
      </w:pPr>
      <w:r w:rsidRPr="00606C27">
        <w:rPr>
          <w:lang w:val="fr-CA"/>
        </w:rPr>
        <w:t>Le mémoire au Cabinet est approuvé par le sous</w:t>
      </w:r>
      <w:r w:rsidRPr="00606C27">
        <w:rPr>
          <w:lang w:val="fr-CA"/>
        </w:rPr>
        <w:noBreakHyphen/>
        <w:t xml:space="preserve">ministre et la haute direction. </w:t>
      </w:r>
    </w:p>
    <w:p w:rsidR="003863B9" w:rsidRPr="003863B9" w:rsidRDefault="00E313A3" w:rsidP="003863B9">
      <w:pPr>
        <w:pStyle w:val="Citation-AltC"/>
        <w:numPr>
          <w:ilvl w:val="6"/>
          <w:numId w:val="1"/>
        </w:numPr>
        <w:spacing w:after="480" w:line="480" w:lineRule="auto"/>
        <w:ind w:left="720" w:hanging="720"/>
        <w:contextualSpacing w:val="0"/>
        <w:rPr>
          <w:lang w:val="fr-CA"/>
        </w:rPr>
      </w:pPr>
      <w:r w:rsidRPr="00606C27">
        <w:rPr>
          <w:lang w:val="fr-CA"/>
        </w:rPr>
        <w:t xml:space="preserve">Le mémoire au Cabinet est approuvé par le ministre parrain et envoyé au Bureau du Conseil privé. </w:t>
      </w:r>
    </w:p>
    <w:p w:rsidR="003863B9" w:rsidRPr="003863B9" w:rsidRDefault="00E313A3" w:rsidP="003863B9">
      <w:pPr>
        <w:pStyle w:val="Citation-AltC"/>
        <w:numPr>
          <w:ilvl w:val="6"/>
          <w:numId w:val="1"/>
        </w:numPr>
        <w:spacing w:after="240" w:line="480" w:lineRule="auto"/>
        <w:ind w:left="900" w:hanging="900"/>
        <w:contextualSpacing w:val="0"/>
        <w:rPr>
          <w:lang w:val="fr-CA"/>
        </w:rPr>
      </w:pPr>
      <w:r w:rsidRPr="00606C27">
        <w:rPr>
          <w:lang w:val="fr-CA"/>
        </w:rPr>
        <w:t>Le Bureau du Conseil privé renseigne le président du comité du Cabinet.</w:t>
      </w:r>
    </w:p>
    <w:p w:rsidR="003863B9" w:rsidRPr="003863B9" w:rsidRDefault="00E313A3" w:rsidP="003863B9">
      <w:pPr>
        <w:pStyle w:val="Citation-AltC"/>
        <w:numPr>
          <w:ilvl w:val="6"/>
          <w:numId w:val="1"/>
        </w:numPr>
        <w:spacing w:after="480" w:line="480" w:lineRule="auto"/>
        <w:ind w:left="720" w:hanging="720"/>
        <w:contextualSpacing w:val="0"/>
        <w:rPr>
          <w:lang w:val="fr-CA"/>
        </w:rPr>
      </w:pPr>
      <w:r w:rsidRPr="00606C27">
        <w:rPr>
          <w:lang w:val="fr-CA"/>
        </w:rPr>
        <w:t xml:space="preserve">Le comité du Cabinet examine le mémoire au Cabinet et le Bureau du Conseil privé rend public un rapport de comité. </w:t>
      </w:r>
    </w:p>
    <w:p w:rsidR="003863B9" w:rsidRPr="003863B9" w:rsidRDefault="00E313A3" w:rsidP="003863B9">
      <w:pPr>
        <w:pStyle w:val="Citation-AltC"/>
        <w:numPr>
          <w:ilvl w:val="6"/>
          <w:numId w:val="1"/>
        </w:numPr>
        <w:spacing w:after="480" w:line="480" w:lineRule="auto"/>
        <w:ind w:left="720" w:hanging="720"/>
        <w:contextualSpacing w:val="0"/>
        <w:rPr>
          <w:lang w:val="fr-CA"/>
        </w:rPr>
      </w:pPr>
      <w:r w:rsidRPr="00606C27">
        <w:rPr>
          <w:lang w:val="fr-CA"/>
        </w:rPr>
        <w:t>Le Cabinet ratifie le rapport de comité et le Bureau du Conseil privé rend public un compte rendu de décision.</w:t>
      </w:r>
    </w:p>
    <w:p w:rsidR="003863B9" w:rsidRPr="003863B9" w:rsidRDefault="00E313A3" w:rsidP="003863B9">
      <w:pPr>
        <w:pStyle w:val="Citation-AltC"/>
        <w:numPr>
          <w:ilvl w:val="6"/>
          <w:numId w:val="1"/>
        </w:numPr>
        <w:spacing w:after="480" w:line="480" w:lineRule="auto"/>
        <w:ind w:left="720" w:hanging="720"/>
        <w:contextualSpacing w:val="0"/>
        <w:rPr>
          <w:lang w:val="fr-CA"/>
        </w:rPr>
      </w:pPr>
      <w:r w:rsidRPr="00606C27">
        <w:rPr>
          <w:lang w:val="fr-CA"/>
        </w:rPr>
        <w:t>Le ministère de la Justice prépare un avant</w:t>
      </w:r>
      <w:r w:rsidRPr="00606C27">
        <w:rPr>
          <w:lang w:val="fr-CA"/>
        </w:rPr>
        <w:noBreakHyphen/>
        <w:t>projet de loi avec l’aide de l’équipe de rédaction de la Section de la législation, le ministère parrain et les Services juridiques ministériels.</w:t>
      </w:r>
    </w:p>
    <w:p w:rsidR="003863B9" w:rsidRPr="003863B9" w:rsidRDefault="00E313A3" w:rsidP="003863B9">
      <w:pPr>
        <w:pStyle w:val="Citation-AltC"/>
        <w:numPr>
          <w:ilvl w:val="6"/>
          <w:numId w:val="1"/>
        </w:numPr>
        <w:spacing w:after="480" w:line="480" w:lineRule="auto"/>
        <w:ind w:left="720" w:hanging="720"/>
        <w:contextualSpacing w:val="0"/>
        <w:rPr>
          <w:lang w:val="fr-CA"/>
        </w:rPr>
      </w:pPr>
      <w:r w:rsidRPr="00606C27">
        <w:rPr>
          <w:lang w:val="fr-CA"/>
        </w:rPr>
        <w:t>Le projet de loi est approuvé par les hauts fonctionnaires compétents du ministère parrain.</w:t>
      </w:r>
    </w:p>
    <w:p w:rsidR="003863B9" w:rsidRPr="003863B9" w:rsidRDefault="00E313A3" w:rsidP="003863B9">
      <w:pPr>
        <w:pStyle w:val="Citation-AltC"/>
        <w:numPr>
          <w:ilvl w:val="6"/>
          <w:numId w:val="1"/>
        </w:numPr>
        <w:spacing w:after="480" w:line="480" w:lineRule="auto"/>
        <w:ind w:left="720" w:hanging="720"/>
        <w:contextualSpacing w:val="0"/>
        <w:rPr>
          <w:lang w:val="fr-CA"/>
        </w:rPr>
      </w:pPr>
      <w:r w:rsidRPr="00606C27">
        <w:rPr>
          <w:lang w:val="fr-CA"/>
        </w:rPr>
        <w:t>Le ministre parrain étudie et signe le projet de loi.</w:t>
      </w:r>
    </w:p>
    <w:p w:rsidR="003863B9" w:rsidRPr="003863B9" w:rsidRDefault="00E313A3" w:rsidP="003863B9">
      <w:pPr>
        <w:pStyle w:val="Citation-AltC"/>
        <w:numPr>
          <w:ilvl w:val="6"/>
          <w:numId w:val="1"/>
        </w:numPr>
        <w:spacing w:after="480" w:line="480" w:lineRule="auto"/>
        <w:ind w:left="720" w:hanging="720"/>
        <w:contextualSpacing w:val="0"/>
        <w:rPr>
          <w:lang w:val="fr-CA"/>
        </w:rPr>
      </w:pPr>
      <w:r w:rsidRPr="00606C27">
        <w:rPr>
          <w:lang w:val="fr-CA"/>
        </w:rPr>
        <w:t>Le leader du gouvernement à la Chambre des communes étudie le projet de loi.</w:t>
      </w:r>
    </w:p>
    <w:p w:rsidR="003863B9" w:rsidRPr="003863B9" w:rsidRDefault="00E313A3" w:rsidP="003863B9">
      <w:pPr>
        <w:pStyle w:val="Citation-AltC"/>
        <w:numPr>
          <w:ilvl w:val="6"/>
          <w:numId w:val="1"/>
        </w:numPr>
        <w:spacing w:after="480" w:line="480" w:lineRule="auto"/>
        <w:ind w:left="720" w:hanging="720"/>
        <w:contextualSpacing w:val="0"/>
        <w:rPr>
          <w:lang w:val="fr-CA"/>
        </w:rPr>
      </w:pPr>
      <w:r w:rsidRPr="00606C27">
        <w:rPr>
          <w:lang w:val="fr-CA"/>
        </w:rPr>
        <w:t>Le leader du gouvernement à la Chambre des communes demande au Cabinet le pouvoir délégué d’approuver le dépôt du projet de loi.</w:t>
      </w:r>
    </w:p>
    <w:p w:rsidR="003863B9" w:rsidRPr="003863B9" w:rsidRDefault="00E313A3" w:rsidP="003863B9">
      <w:pPr>
        <w:pStyle w:val="Citation-AltC"/>
        <w:numPr>
          <w:ilvl w:val="6"/>
          <w:numId w:val="1"/>
        </w:numPr>
        <w:spacing w:after="480" w:line="480" w:lineRule="auto"/>
        <w:ind w:left="720" w:hanging="720"/>
        <w:contextualSpacing w:val="0"/>
        <w:rPr>
          <w:lang w:val="fr-CA"/>
        </w:rPr>
      </w:pPr>
      <w:r w:rsidRPr="00606C27">
        <w:rPr>
          <w:lang w:val="fr-CA"/>
        </w:rPr>
        <w:t xml:space="preserve">Le Bureau du Conseil privé rend le projet de loi public. </w:t>
      </w:r>
    </w:p>
    <w:p w:rsidR="00E313A3" w:rsidRPr="00606C27" w:rsidRDefault="00E313A3" w:rsidP="003863B9">
      <w:pPr>
        <w:pStyle w:val="Citation-AltC"/>
        <w:spacing w:after="240" w:line="480" w:lineRule="auto"/>
        <w:ind w:left="900" w:hanging="900"/>
        <w:contextualSpacing w:val="0"/>
        <w:rPr>
          <w:u w:val="single"/>
        </w:rPr>
      </w:pPr>
      <w:r w:rsidRPr="00606C27">
        <w:rPr>
          <w:u w:val="single"/>
        </w:rPr>
        <w:t xml:space="preserve">La Chambre des communes </w:t>
      </w:r>
    </w:p>
    <w:p w:rsidR="00E313A3" w:rsidRPr="00606C27" w:rsidRDefault="00E313A3" w:rsidP="003863B9">
      <w:pPr>
        <w:pStyle w:val="Citation-AltC"/>
        <w:numPr>
          <w:ilvl w:val="6"/>
          <w:numId w:val="1"/>
        </w:numPr>
        <w:spacing w:after="480" w:line="480" w:lineRule="auto"/>
        <w:ind w:left="720" w:hanging="720"/>
        <w:contextualSpacing w:val="0"/>
        <w:rPr>
          <w:lang w:val="fr-CA"/>
        </w:rPr>
      </w:pPr>
      <w:r w:rsidRPr="00606C27">
        <w:rPr>
          <w:lang w:val="fr-CA"/>
        </w:rPr>
        <w:t>Le leader du gouvernement à la Chambre des communes donne un avis du dépôt du projet de loi.</w:t>
      </w:r>
    </w:p>
    <w:p w:rsidR="00E313A3" w:rsidRPr="00606C27" w:rsidRDefault="00E313A3" w:rsidP="003863B9">
      <w:pPr>
        <w:pStyle w:val="Citation-AltC"/>
        <w:numPr>
          <w:ilvl w:val="6"/>
          <w:numId w:val="1"/>
        </w:numPr>
        <w:spacing w:after="480" w:line="480" w:lineRule="auto"/>
        <w:ind w:left="720" w:hanging="720"/>
        <w:contextualSpacing w:val="0"/>
        <w:rPr>
          <w:lang w:val="fr-CA"/>
        </w:rPr>
      </w:pPr>
      <w:r w:rsidRPr="00606C27">
        <w:rPr>
          <w:lang w:val="fr-CA"/>
        </w:rPr>
        <w:t xml:space="preserve">Le projet de loi est déposé à la Chambre des communes : première lecture. </w:t>
      </w:r>
    </w:p>
    <w:p w:rsidR="00E313A3" w:rsidRPr="00606C27" w:rsidRDefault="00E313A3" w:rsidP="003863B9">
      <w:pPr>
        <w:pStyle w:val="Citation-AltC"/>
        <w:numPr>
          <w:ilvl w:val="6"/>
          <w:numId w:val="1"/>
        </w:numPr>
        <w:spacing w:after="480" w:line="480" w:lineRule="auto"/>
        <w:ind w:left="720" w:hanging="720"/>
        <w:contextualSpacing w:val="0"/>
        <w:rPr>
          <w:lang w:val="fr-CA"/>
        </w:rPr>
      </w:pPr>
      <w:r w:rsidRPr="00606C27">
        <w:rPr>
          <w:lang w:val="fr-CA"/>
        </w:rPr>
        <w:t>Le projet de loi passe à la deuxième lecture (approbation des orientations).</w:t>
      </w:r>
    </w:p>
    <w:p w:rsidR="00E313A3" w:rsidRPr="00606C27" w:rsidRDefault="00E313A3" w:rsidP="003863B9">
      <w:pPr>
        <w:pStyle w:val="Citation-AltC"/>
        <w:numPr>
          <w:ilvl w:val="6"/>
          <w:numId w:val="1"/>
        </w:numPr>
        <w:spacing w:after="480" w:line="480" w:lineRule="auto"/>
        <w:ind w:left="720" w:hanging="720"/>
        <w:contextualSpacing w:val="0"/>
        <w:rPr>
          <w:lang w:val="fr-CA"/>
        </w:rPr>
      </w:pPr>
      <w:r w:rsidRPr="00606C27">
        <w:rPr>
          <w:lang w:val="fr-CA"/>
        </w:rPr>
        <w:t>Le projet de loi est étudié en comité (étude article par article).</w:t>
      </w:r>
    </w:p>
    <w:p w:rsidR="00E313A3" w:rsidRPr="00606C27" w:rsidRDefault="00E313A3" w:rsidP="003863B9">
      <w:pPr>
        <w:pStyle w:val="Citation-AltC"/>
        <w:numPr>
          <w:ilvl w:val="6"/>
          <w:numId w:val="1"/>
        </w:numPr>
        <w:spacing w:after="480" w:line="480" w:lineRule="auto"/>
        <w:ind w:left="720" w:hanging="720"/>
        <w:contextualSpacing w:val="0"/>
        <w:rPr>
          <w:lang w:val="fr-CA"/>
        </w:rPr>
      </w:pPr>
      <w:r w:rsidRPr="00606C27">
        <w:rPr>
          <w:lang w:val="fr-CA"/>
        </w:rPr>
        <w:t>Le comité fait rapport sur le projet de loi et recommande, le cas échéant, des amendements à celui</w:t>
      </w:r>
      <w:r w:rsidRPr="00606C27">
        <w:rPr>
          <w:lang w:val="fr-CA"/>
        </w:rPr>
        <w:noBreakHyphen/>
        <w:t>ci.</w:t>
      </w:r>
    </w:p>
    <w:p w:rsidR="00E313A3" w:rsidRPr="00606C27" w:rsidRDefault="00E313A3" w:rsidP="003863B9">
      <w:pPr>
        <w:pStyle w:val="Citation-AltC"/>
        <w:numPr>
          <w:ilvl w:val="6"/>
          <w:numId w:val="1"/>
        </w:numPr>
        <w:spacing w:after="480" w:line="480" w:lineRule="auto"/>
        <w:ind w:left="720" w:hanging="720"/>
        <w:contextualSpacing w:val="0"/>
        <w:rPr>
          <w:lang w:val="fr-CA"/>
        </w:rPr>
      </w:pPr>
      <w:r w:rsidRPr="00606C27">
        <w:rPr>
          <w:lang w:val="fr-CA"/>
        </w:rPr>
        <w:t>Le projet de loi passe à la troisième lecture et à l’approbation finale de la Chambre des communes.</w:t>
      </w:r>
    </w:p>
    <w:p w:rsidR="00E313A3" w:rsidRPr="00606C27" w:rsidRDefault="00E313A3" w:rsidP="003863B9">
      <w:pPr>
        <w:pStyle w:val="Citation-AltC"/>
        <w:spacing w:after="240" w:line="480" w:lineRule="auto"/>
        <w:ind w:left="900" w:hanging="900"/>
        <w:contextualSpacing w:val="0"/>
        <w:rPr>
          <w:u w:val="single"/>
        </w:rPr>
      </w:pPr>
      <w:r w:rsidRPr="00606C27">
        <w:rPr>
          <w:u w:val="single"/>
        </w:rPr>
        <w:t>Le Sénat</w:t>
      </w:r>
    </w:p>
    <w:p w:rsidR="00E313A3" w:rsidRPr="00606C27" w:rsidRDefault="00E313A3" w:rsidP="003863B9">
      <w:pPr>
        <w:pStyle w:val="Citation-AltC"/>
        <w:numPr>
          <w:ilvl w:val="6"/>
          <w:numId w:val="1"/>
        </w:numPr>
        <w:spacing w:after="480" w:line="480" w:lineRule="auto"/>
        <w:ind w:left="720" w:hanging="720"/>
        <w:contextualSpacing w:val="0"/>
        <w:rPr>
          <w:lang w:val="fr-CA"/>
        </w:rPr>
      </w:pPr>
      <w:r w:rsidRPr="00606C27">
        <w:rPr>
          <w:lang w:val="fr-CA"/>
        </w:rPr>
        <w:t>Le projet de loi est déposé au Sénat : première lecture.</w:t>
      </w:r>
    </w:p>
    <w:p w:rsidR="00E313A3" w:rsidRPr="00606C27" w:rsidRDefault="00E313A3" w:rsidP="003863B9">
      <w:pPr>
        <w:pStyle w:val="Citation-AltC"/>
        <w:numPr>
          <w:ilvl w:val="6"/>
          <w:numId w:val="1"/>
        </w:numPr>
        <w:spacing w:after="480" w:line="480" w:lineRule="auto"/>
        <w:ind w:left="720" w:hanging="720"/>
        <w:contextualSpacing w:val="0"/>
        <w:rPr>
          <w:lang w:val="fr-CA"/>
        </w:rPr>
      </w:pPr>
      <w:r w:rsidRPr="00606C27">
        <w:rPr>
          <w:lang w:val="fr-CA"/>
        </w:rPr>
        <w:t>Le projet de loi passe à la deuxième lecture (approbation des orientations).</w:t>
      </w:r>
    </w:p>
    <w:p w:rsidR="00E313A3" w:rsidRPr="00606C27" w:rsidRDefault="00E313A3" w:rsidP="003863B9">
      <w:pPr>
        <w:pStyle w:val="Citation-AltC"/>
        <w:numPr>
          <w:ilvl w:val="6"/>
          <w:numId w:val="1"/>
        </w:numPr>
        <w:spacing w:after="480" w:line="480" w:lineRule="auto"/>
        <w:ind w:left="720" w:hanging="720"/>
        <w:contextualSpacing w:val="0"/>
        <w:rPr>
          <w:lang w:val="fr-CA"/>
        </w:rPr>
      </w:pPr>
      <w:r w:rsidRPr="00606C27">
        <w:rPr>
          <w:lang w:val="fr-CA"/>
        </w:rPr>
        <w:t>Le projet de loi est étudié en comité (étude article par article).</w:t>
      </w:r>
    </w:p>
    <w:p w:rsidR="00E313A3" w:rsidRPr="00606C27" w:rsidRDefault="00E313A3" w:rsidP="003863B9">
      <w:pPr>
        <w:pStyle w:val="Citation-AltC"/>
        <w:numPr>
          <w:ilvl w:val="6"/>
          <w:numId w:val="1"/>
        </w:numPr>
        <w:spacing w:after="480" w:line="480" w:lineRule="auto"/>
        <w:ind w:left="720" w:hanging="720"/>
        <w:contextualSpacing w:val="0"/>
        <w:rPr>
          <w:lang w:val="fr-CA"/>
        </w:rPr>
      </w:pPr>
      <w:r w:rsidRPr="00606C27">
        <w:rPr>
          <w:lang w:val="fr-CA"/>
        </w:rPr>
        <w:t>Le comité fait rapport sur le projet de loi et recommande, le cas échéant, des amendements à celui</w:t>
      </w:r>
      <w:r w:rsidRPr="00606C27">
        <w:rPr>
          <w:lang w:val="fr-CA"/>
        </w:rPr>
        <w:noBreakHyphen/>
        <w:t xml:space="preserve">ci. </w:t>
      </w:r>
    </w:p>
    <w:p w:rsidR="00E313A3" w:rsidRPr="00606C27" w:rsidRDefault="00E313A3" w:rsidP="003863B9">
      <w:pPr>
        <w:pStyle w:val="Citation-AltC"/>
        <w:numPr>
          <w:ilvl w:val="6"/>
          <w:numId w:val="1"/>
        </w:numPr>
        <w:spacing w:after="480" w:line="480" w:lineRule="auto"/>
        <w:ind w:left="720" w:hanging="720"/>
        <w:contextualSpacing w:val="0"/>
        <w:rPr>
          <w:lang w:val="fr-CA"/>
        </w:rPr>
      </w:pPr>
      <w:r w:rsidRPr="00606C27">
        <w:rPr>
          <w:lang w:val="fr-CA"/>
        </w:rPr>
        <w:t xml:space="preserve">Le projet de loi passe à la troisième lecture et à l’approbation finale du Sénat. </w:t>
      </w:r>
    </w:p>
    <w:p w:rsidR="00E313A3" w:rsidRPr="00606C27" w:rsidRDefault="00E313A3" w:rsidP="003863B9">
      <w:pPr>
        <w:pStyle w:val="Citation-AltC"/>
        <w:spacing w:after="240" w:line="480" w:lineRule="auto"/>
        <w:ind w:left="900" w:hanging="900"/>
        <w:contextualSpacing w:val="0"/>
        <w:rPr>
          <w:u w:val="single"/>
        </w:rPr>
      </w:pPr>
      <w:r w:rsidRPr="00606C27">
        <w:rPr>
          <w:u w:val="single"/>
        </w:rPr>
        <w:t>Sanction royale</w:t>
      </w:r>
    </w:p>
    <w:p w:rsidR="00E313A3" w:rsidRPr="00606C27" w:rsidRDefault="00E313A3" w:rsidP="003863B9">
      <w:pPr>
        <w:pStyle w:val="Citation-AltC"/>
        <w:numPr>
          <w:ilvl w:val="6"/>
          <w:numId w:val="1"/>
        </w:numPr>
        <w:spacing w:after="480" w:line="480" w:lineRule="auto"/>
        <w:ind w:left="720" w:hanging="720"/>
        <w:contextualSpacing w:val="0"/>
        <w:rPr>
          <w:lang w:val="fr-CA"/>
        </w:rPr>
      </w:pPr>
      <w:r w:rsidRPr="00606C27">
        <w:rPr>
          <w:lang w:val="fr-CA"/>
        </w:rPr>
        <w:t>Le projet de loi reçoit la sanction royale de la part du gouverneur général. </w:t>
      </w:r>
    </w:p>
    <w:p w:rsidR="00E313A3" w:rsidRPr="00606C27" w:rsidRDefault="00E313A3" w:rsidP="003863B9">
      <w:pPr>
        <w:pStyle w:val="Citation-AltC"/>
        <w:numPr>
          <w:ilvl w:val="6"/>
          <w:numId w:val="1"/>
        </w:numPr>
        <w:spacing w:after="480" w:line="480" w:lineRule="auto"/>
        <w:ind w:left="720" w:hanging="720"/>
        <w:contextualSpacing w:val="0"/>
        <w:rPr>
          <w:lang w:val="fr-CA"/>
        </w:rPr>
      </w:pPr>
      <w:r w:rsidRPr="00606C27">
        <w:rPr>
          <w:lang w:val="fr-CA"/>
        </w:rPr>
        <w:t xml:space="preserve">Le texte législatif (désormais une loi) entre en vigueur à la sanction royale ou (si la loi le prévoit) à une date ultérieure. </w:t>
      </w:r>
    </w:p>
    <w:p w:rsidR="00E313A3" w:rsidRPr="00606C27" w:rsidRDefault="00E313A3" w:rsidP="003863B9">
      <w:pPr>
        <w:pStyle w:val="Citation-AltC"/>
        <w:spacing w:after="240" w:line="480" w:lineRule="auto"/>
        <w:ind w:left="900" w:hanging="900"/>
        <w:contextualSpacing w:val="0"/>
        <w:rPr>
          <w:u w:val="single"/>
        </w:rPr>
      </w:pPr>
      <w:r w:rsidRPr="00606C27">
        <w:rPr>
          <w:u w:val="single"/>
          <w:lang w:val="fr-CA"/>
        </w:rPr>
        <w:t>Application de la loi</w:t>
      </w:r>
    </w:p>
    <w:p w:rsidR="00E313A3" w:rsidRPr="00606C27" w:rsidRDefault="00E313A3" w:rsidP="003863B9">
      <w:pPr>
        <w:pStyle w:val="Citation-AltC"/>
        <w:numPr>
          <w:ilvl w:val="6"/>
          <w:numId w:val="1"/>
        </w:numPr>
        <w:spacing w:after="480" w:line="480" w:lineRule="auto"/>
        <w:ind w:left="720" w:hanging="720"/>
        <w:contextualSpacing w:val="0"/>
        <w:rPr>
          <w:lang w:val="fr-CA"/>
        </w:rPr>
      </w:pPr>
      <w:r w:rsidRPr="00606C27">
        <w:rPr>
          <w:lang w:val="fr-CA"/>
        </w:rPr>
        <w:t>Des règlements et des décisions sont pris, en vertu du pouvoir conféré par la loi.</w:t>
      </w:r>
    </w:p>
    <w:p w:rsidR="00E313A3" w:rsidRPr="00606C27" w:rsidRDefault="00E313A3" w:rsidP="00E313A3">
      <w:pPr>
        <w:pStyle w:val="ParaNoNdepar-AltN"/>
        <w:rPr>
          <w:rFonts w:cs="Times New Roman"/>
          <w:szCs w:val="24"/>
          <w:lang w:val="fr-CA"/>
        </w:rPr>
      </w:pPr>
      <w:r w:rsidRPr="00606C27">
        <w:rPr>
          <w:rFonts w:cs="Times New Roman"/>
          <w:szCs w:val="24"/>
          <w:lang w:val="fr-CA"/>
        </w:rPr>
        <w:t>Le portrait est le même dans les provinces, mis à part le fait que leur législature est unicamérale; autrement dit, elles n’ont pas de chambre haute correspondant au Sénat. L’argumentation des Mikisew portait principalement sur les 16 premières étapes énumérées précédemment, qui ont trait à l’élaboration des projets de loi, une tâche qu’ils qualifient à tort de conduite de la Couronne. Le juge Brown a traité de la confusion dans la position des Mikisew du fait qu’ils amalgament la Couronne et le Parlement ou les législatures provinciales : voir, par exemple, l’utilisation du terme ambigu « </w:t>
      </w:r>
      <w:r w:rsidRPr="00606C27">
        <w:rPr>
          <w:rFonts w:cs="Times New Roman"/>
          <w:i/>
          <w:szCs w:val="24"/>
          <w:lang w:val="fr-CA"/>
        </w:rPr>
        <w:t>legislative processes </w:t>
      </w:r>
      <w:r w:rsidRPr="00606C27">
        <w:rPr>
          <w:rFonts w:cs="Times New Roman"/>
          <w:szCs w:val="24"/>
          <w:lang w:val="fr-CA"/>
        </w:rPr>
        <w:t>» ([</w:t>
      </w:r>
      <w:r w:rsidRPr="00606C27">
        <w:rPr>
          <w:rFonts w:cs="Times New Roman"/>
          <w:smallCaps/>
          <w:szCs w:val="24"/>
          <w:lang w:val="fr-CA"/>
        </w:rPr>
        <w:t>traduction</w:t>
      </w:r>
      <w:r w:rsidRPr="00606C27">
        <w:rPr>
          <w:rFonts w:cs="Times New Roman"/>
          <w:szCs w:val="24"/>
          <w:lang w:val="fr-CA"/>
        </w:rPr>
        <w:t xml:space="preserve">] « processus législatifs ») au par. 50 et à d’autres endroits dans leur mémoire. Si la distinction entre la Couronne et le Parlement ou les législatures provinciales était écartée, la prochaine chose logique à faire serait de dire que l’obligation de consulter s’étend à l’étude du projet de loi par le Parlement ou par les législatures provinciales, soit aux étapes 17 à 29 décrites précédemment. </w:t>
      </w:r>
    </w:p>
    <w:p w:rsidR="00E313A3" w:rsidRPr="00606C27" w:rsidRDefault="00E313A3" w:rsidP="00E313A3">
      <w:pPr>
        <w:pStyle w:val="ParaNoNdepar-AltN"/>
        <w:rPr>
          <w:rFonts w:cs="Times New Roman"/>
          <w:szCs w:val="24"/>
          <w:lang w:val="fr-CA"/>
        </w:rPr>
      </w:pPr>
      <w:r w:rsidRPr="00606C27">
        <w:rPr>
          <w:rFonts w:cs="Times New Roman"/>
          <w:szCs w:val="24"/>
          <w:lang w:val="fr-CA"/>
        </w:rPr>
        <w:t>D’un autre point de vue, pourquoi l’obligation de consulter devrait</w:t>
      </w:r>
      <w:r w:rsidRPr="00606C27">
        <w:rPr>
          <w:rFonts w:cs="Times New Roman"/>
          <w:szCs w:val="24"/>
          <w:lang w:val="fr-CA"/>
        </w:rPr>
        <w:noBreakHyphen/>
        <w:t>elle viser uniquement les projets de loi? Pourquoi ne viserait</w:t>
      </w:r>
      <w:r w:rsidRPr="00606C27">
        <w:rPr>
          <w:rFonts w:cs="Times New Roman"/>
          <w:szCs w:val="24"/>
          <w:lang w:val="fr-CA"/>
        </w:rPr>
        <w:noBreakHyphen/>
        <w:t xml:space="preserve">elle pas les mesures budgétaires (dont le budget des dépenses)? Ces mesures sont destinées à l’examen du Parlement et l’on pourrait soutenir qu’elles sont susceptibles de porter atteinte aux droits protégés par l’art. 35 ou d’avoir un effet préjudiciable sur la revendication de ces droits. </w:t>
      </w:r>
    </w:p>
    <w:p w:rsidR="00E313A3" w:rsidRPr="00606C27" w:rsidRDefault="00E313A3" w:rsidP="00E313A3">
      <w:pPr>
        <w:pStyle w:val="ParaNoNdepar-AltN"/>
        <w:rPr>
          <w:rFonts w:cs="Times New Roman"/>
          <w:szCs w:val="24"/>
          <w:lang w:val="fr-CA"/>
        </w:rPr>
      </w:pPr>
      <w:r w:rsidRPr="00606C27">
        <w:rPr>
          <w:rFonts w:cs="Times New Roman"/>
          <w:szCs w:val="24"/>
          <w:lang w:val="fr-CA"/>
        </w:rPr>
        <w:t xml:space="preserve">Si quelqu’un transgresse le principe de la séparation des pouvoirs et considère le Parlement ou les législatures provinciales comme faisant partie de la Couronne, toutes les répercussions susmentionnées peuvent s’ensuivre. Les conséquences de ce qui précède seraient profondes et méritent mûre réflexion. En outre, je le répète, les conséquences toucheraient non seulement le Parlement canadien, mais aussi les législatures provinciales. </w:t>
      </w:r>
    </w:p>
    <w:p w:rsidR="00E313A3" w:rsidRPr="00606C27" w:rsidRDefault="00E313A3" w:rsidP="00E313A3">
      <w:pPr>
        <w:pStyle w:val="ParaNoNdepar-AltN"/>
        <w:rPr>
          <w:rFonts w:cs="Times New Roman"/>
          <w:szCs w:val="24"/>
          <w:lang w:val="fr-CA"/>
        </w:rPr>
      </w:pPr>
      <w:r w:rsidRPr="00606C27">
        <w:rPr>
          <w:rFonts w:cs="Times New Roman"/>
          <w:szCs w:val="24"/>
          <w:lang w:val="fr-CA"/>
        </w:rPr>
        <w:t xml:space="preserve">Les 16 premières étapes de l’élaboration des projets de loi démontrent qu’il ne s’agit pas d’un processus simple. C’est plutôt un processus fort complexe qui mobilise de nombreux acteurs au sein du gouvernement. L’imposition de l’obligation de consulter à ce stade pourrait en fait paralyser le fonctionnement interne au quotidien du gouvernement. Ce qui est aujourd’hui complexe et difficile risquerait de devenir interminable et dysfonctionnel. Inévitablement, des différends se soulèveraient quant à la façon de s’acquitter de cette obligation. Voilà pourquoi le principe de la séparation des pouvoirs fonctionne comme il le fait. Les tribunaux sont mal outillés pour traiter des considérations procédurales complexes associées au processus législatif. Songez aux questions pratiques suivantes qui se poseraient si la Cour devait reconnaître l’existence d’une obligation de consulter durant l’élaboration des projets de loi. </w:t>
      </w:r>
    </w:p>
    <w:p w:rsidR="00E313A3" w:rsidRPr="00606C27" w:rsidRDefault="00E313A3" w:rsidP="00E313A3">
      <w:pPr>
        <w:pStyle w:val="ParaNoNdepar-AltN"/>
        <w:rPr>
          <w:rFonts w:cs="Times New Roman"/>
          <w:szCs w:val="24"/>
          <w:lang w:val="fr-CA"/>
        </w:rPr>
      </w:pPr>
      <w:r w:rsidRPr="00606C27">
        <w:rPr>
          <w:rFonts w:cs="Times New Roman"/>
          <w:szCs w:val="24"/>
          <w:lang w:val="fr-CA"/>
        </w:rPr>
        <w:t xml:space="preserve">Quatre questions (comportant toutes plusieurs facettes) découleraient directement de ce que réclament les Mikisew : </w:t>
      </w:r>
    </w:p>
    <w:p w:rsidR="00E313A3" w:rsidRPr="00606C27" w:rsidRDefault="00E313A3" w:rsidP="00E26BA5">
      <w:pPr>
        <w:pStyle w:val="Citation-AltC"/>
        <w:spacing w:after="480" w:line="480" w:lineRule="auto"/>
        <w:ind w:left="720" w:hanging="720"/>
        <w:contextualSpacing w:val="0"/>
        <w:rPr>
          <w:lang w:val="fr-CA"/>
        </w:rPr>
      </w:pPr>
      <w:r w:rsidRPr="00606C27">
        <w:rPr>
          <w:lang w:val="fr-CA"/>
        </w:rPr>
        <w:t>a)</w:t>
      </w:r>
      <w:r w:rsidRPr="00606C27">
        <w:rPr>
          <w:i/>
          <w:lang w:val="fr-CA"/>
        </w:rPr>
        <w:tab/>
        <w:t>Quels types de lois donneraient naissance à l’obligation de consulter?</w:t>
      </w:r>
      <w:r w:rsidRPr="00606C27">
        <w:rPr>
          <w:lang w:val="fr-CA"/>
        </w:rPr>
        <w:t xml:space="preserve"> Serait</w:t>
      </w:r>
      <w:r w:rsidRPr="00606C27">
        <w:rPr>
          <w:lang w:val="fr-CA"/>
        </w:rPr>
        <w:noBreakHyphen/>
        <w:t xml:space="preserve">ce seulement les lois dont le point de mire est la situation des peuples autochtones? On pourrait soutenir que non; cette obligation s’étendrait plutôt à de nombreuses lois d’application générale (comme en l’espèce).  </w:t>
      </w:r>
    </w:p>
    <w:p w:rsidR="00E313A3" w:rsidRPr="00606C27" w:rsidRDefault="00E313A3" w:rsidP="00E26BA5">
      <w:pPr>
        <w:pStyle w:val="Citation-AltC"/>
        <w:spacing w:after="480" w:line="480" w:lineRule="auto"/>
        <w:ind w:left="720" w:hanging="720"/>
        <w:contextualSpacing w:val="0"/>
        <w:rPr>
          <w:lang w:val="fr-CA"/>
        </w:rPr>
      </w:pPr>
      <w:r w:rsidRPr="00606C27">
        <w:rPr>
          <w:lang w:val="fr-CA"/>
        </w:rPr>
        <w:t>b)</w:t>
      </w:r>
      <w:r w:rsidRPr="00606C27">
        <w:rPr>
          <w:lang w:val="fr-CA"/>
        </w:rPr>
        <w:tab/>
        <w:t xml:space="preserve">Pour donner effet à l’obligation, </w:t>
      </w:r>
      <w:r w:rsidRPr="00606C27">
        <w:rPr>
          <w:i/>
          <w:lang w:val="fr-CA"/>
        </w:rPr>
        <w:t>quels groupes autochtones faudrait</w:t>
      </w:r>
      <w:r w:rsidRPr="00606C27">
        <w:rPr>
          <w:i/>
          <w:lang w:val="fr-CA"/>
        </w:rPr>
        <w:noBreakHyphen/>
        <w:t>il consulter?</w:t>
      </w:r>
      <w:r w:rsidRPr="00606C27">
        <w:rPr>
          <w:lang w:val="fr-CA"/>
        </w:rPr>
        <w:t xml:space="preserve"> De quelle manière seraient</w:t>
      </w:r>
      <w:r w:rsidRPr="00606C27">
        <w:rPr>
          <w:lang w:val="fr-CA"/>
        </w:rPr>
        <w:noBreakHyphen/>
        <w:t>ils identifiés? Dans le cas d’une loi d’application générale, l’obligation requerrait</w:t>
      </w:r>
      <w:r w:rsidRPr="00606C27">
        <w:rPr>
          <w:lang w:val="fr-CA"/>
        </w:rPr>
        <w:noBreakHyphen/>
        <w:t xml:space="preserve">elle que l’on consulte tous les groupes autochtones se trouvant dans le ressort en cause? </w:t>
      </w:r>
    </w:p>
    <w:p w:rsidR="00E313A3" w:rsidRPr="00606C27" w:rsidRDefault="00E313A3" w:rsidP="00E26BA5">
      <w:pPr>
        <w:pStyle w:val="Citation-AltC"/>
        <w:spacing w:after="480" w:line="480" w:lineRule="auto"/>
        <w:ind w:left="720" w:hanging="720"/>
        <w:contextualSpacing w:val="0"/>
        <w:rPr>
          <w:lang w:val="fr-CA"/>
        </w:rPr>
      </w:pPr>
      <w:r w:rsidRPr="00606C27">
        <w:rPr>
          <w:lang w:val="fr-CA"/>
        </w:rPr>
        <w:t>c)</w:t>
      </w:r>
      <w:r w:rsidRPr="00606C27">
        <w:rPr>
          <w:lang w:val="fr-CA"/>
        </w:rPr>
        <w:tab/>
      </w:r>
      <w:r w:rsidRPr="00606C27">
        <w:rPr>
          <w:i/>
          <w:lang w:val="fr-CA"/>
        </w:rPr>
        <w:t>À quel stade (du processus en 16 étapes) la consultation devrait</w:t>
      </w:r>
      <w:r w:rsidRPr="00606C27">
        <w:rPr>
          <w:i/>
          <w:lang w:val="fr-CA"/>
        </w:rPr>
        <w:noBreakHyphen/>
        <w:t>elle avoir lieu?</w:t>
      </w:r>
      <w:r w:rsidRPr="00606C27">
        <w:rPr>
          <w:lang w:val="fr-CA"/>
        </w:rPr>
        <w:t xml:space="preserve"> Se pourrait</w:t>
      </w:r>
      <w:r w:rsidRPr="00606C27">
        <w:rPr>
          <w:lang w:val="fr-CA"/>
        </w:rPr>
        <w:noBreakHyphen/>
        <w:t>il que l’obligation exige de consulter à plus d’une étape, quand on passe de la formulation des orientations possibles au choix d’une démarche recommandée, à l’étude et à l’approbation (peut</w:t>
      </w:r>
      <w:r w:rsidRPr="00606C27">
        <w:rPr>
          <w:lang w:val="fr-CA"/>
        </w:rPr>
        <w:noBreakHyphen/>
        <w:t xml:space="preserve">être avec des changements) d’un comité du Cabinet, puis de tout le Cabinet, à la rédaction du projet de loi et à l’approbation de son dépôt? </w:t>
      </w:r>
    </w:p>
    <w:p w:rsidR="00E313A3" w:rsidRPr="00606C27" w:rsidRDefault="00E313A3" w:rsidP="00E26BA5">
      <w:pPr>
        <w:pStyle w:val="Citation-AltC"/>
        <w:spacing w:after="480" w:line="480" w:lineRule="auto"/>
        <w:ind w:left="720" w:hanging="720"/>
        <w:contextualSpacing w:val="0"/>
        <w:rPr>
          <w:lang w:val="fr-CA"/>
        </w:rPr>
      </w:pPr>
      <w:r w:rsidRPr="00606C27">
        <w:rPr>
          <w:lang w:val="fr-CA"/>
        </w:rPr>
        <w:t>d)</w:t>
      </w:r>
      <w:r w:rsidRPr="00606C27">
        <w:rPr>
          <w:lang w:val="fr-CA"/>
        </w:rPr>
        <w:tab/>
      </w:r>
      <w:r w:rsidRPr="00606C27">
        <w:rPr>
          <w:i/>
          <w:lang w:val="fr-CA"/>
        </w:rPr>
        <w:t>Que faudrait</w:t>
      </w:r>
      <w:r w:rsidRPr="00606C27">
        <w:rPr>
          <w:i/>
          <w:lang w:val="fr-CA"/>
        </w:rPr>
        <w:noBreakHyphen/>
        <w:t>il faire pour s’acquitter de l’obligation de consulter dans différentes situations?</w:t>
      </w:r>
      <w:r w:rsidRPr="00606C27">
        <w:rPr>
          <w:lang w:val="fr-CA"/>
        </w:rPr>
        <w:t xml:space="preserve"> De quelle manière conviendrait</w:t>
      </w:r>
      <w:r w:rsidRPr="00606C27">
        <w:rPr>
          <w:lang w:val="fr-CA"/>
        </w:rPr>
        <w:noBreakHyphen/>
        <w:t xml:space="preserve">il de trancher cette question et à qui reviendrait cette décision?  </w:t>
      </w:r>
    </w:p>
    <w:p w:rsidR="00E313A3" w:rsidRPr="00606C27" w:rsidRDefault="0066427D" w:rsidP="0066427D">
      <w:pPr>
        <w:pStyle w:val="Citation-AltC"/>
        <w:spacing w:after="480" w:line="480" w:lineRule="auto"/>
        <w:ind w:left="720" w:hanging="720"/>
        <w:contextualSpacing w:val="0"/>
        <w:rPr>
          <w:lang w:val="fr-CA"/>
        </w:rPr>
      </w:pPr>
      <w:r>
        <w:rPr>
          <w:lang w:val="fr-CA"/>
        </w:rPr>
        <w:t>e)</w:t>
      </w:r>
      <w:r>
        <w:rPr>
          <w:lang w:val="fr-CA"/>
        </w:rPr>
        <w:tab/>
      </w:r>
      <w:r w:rsidR="00E313A3" w:rsidRPr="00606C27">
        <w:rPr>
          <w:lang w:val="fr-CA"/>
        </w:rPr>
        <w:t>Trois autres questions découleraient de l’élargissement logique du cadre que les Mikisew réclament à la Cour :</w:t>
      </w:r>
    </w:p>
    <w:p w:rsidR="00E313A3" w:rsidRPr="00606C27" w:rsidRDefault="0066427D" w:rsidP="00E26BA5">
      <w:pPr>
        <w:pStyle w:val="Citation-AltC"/>
        <w:spacing w:after="480" w:line="480" w:lineRule="auto"/>
        <w:ind w:left="720" w:hanging="720"/>
        <w:contextualSpacing w:val="0"/>
        <w:rPr>
          <w:lang w:val="fr-CA"/>
        </w:rPr>
      </w:pPr>
      <w:r>
        <w:rPr>
          <w:lang w:val="fr-CA"/>
        </w:rPr>
        <w:t>f</w:t>
      </w:r>
      <w:r w:rsidR="00E313A3" w:rsidRPr="00606C27">
        <w:rPr>
          <w:lang w:val="fr-CA"/>
        </w:rPr>
        <w:t>)</w:t>
      </w:r>
      <w:r w:rsidR="00E313A3" w:rsidRPr="00606C27">
        <w:rPr>
          <w:lang w:val="fr-CA"/>
        </w:rPr>
        <w:tab/>
        <w:t>Si l’élaboration d’un projet de loi susceptible de porter atteinte aux droits protégés par l’art. 35 donnait naissance à l’obligation de consulter, cette obligation ne serait</w:t>
      </w:r>
      <w:r w:rsidR="00E313A3" w:rsidRPr="00606C27">
        <w:rPr>
          <w:lang w:val="fr-CA"/>
        </w:rPr>
        <w:noBreakHyphen/>
        <w:t>elle pas aussi déclenchée par la préparation d’autres mesures soumises à l’étude du Parlement, notamment le budget, y compris le budget des dépenses?</w:t>
      </w:r>
    </w:p>
    <w:p w:rsidR="00E313A3" w:rsidRPr="00606C27" w:rsidRDefault="0066427D" w:rsidP="00E26BA5">
      <w:pPr>
        <w:pStyle w:val="Citation-AltC"/>
        <w:spacing w:after="480" w:line="480" w:lineRule="auto"/>
        <w:ind w:left="720" w:hanging="720"/>
        <w:contextualSpacing w:val="0"/>
        <w:rPr>
          <w:lang w:val="fr-CA"/>
        </w:rPr>
      </w:pPr>
      <w:r>
        <w:rPr>
          <w:lang w:val="fr-CA"/>
        </w:rPr>
        <w:t>g</w:t>
      </w:r>
      <w:r w:rsidR="00E313A3" w:rsidRPr="00606C27">
        <w:rPr>
          <w:lang w:val="fr-CA"/>
        </w:rPr>
        <w:t>)</w:t>
      </w:r>
      <w:r w:rsidR="00E313A3" w:rsidRPr="00606C27">
        <w:rPr>
          <w:lang w:val="fr-CA"/>
        </w:rPr>
        <w:tab/>
        <w:t>De plus, si l’obligation de consulter s’étendait à l’étude par le Parlement et par les législatures provinciales, n’aurait</w:t>
      </w:r>
      <w:r w:rsidR="00E313A3" w:rsidRPr="00606C27">
        <w:rPr>
          <w:lang w:val="fr-CA"/>
        </w:rPr>
        <w:noBreakHyphen/>
        <w:t>elle pas vraisemblablement d’importantes conséquences imprévisibles sur le fonctionnement des assemblées législatives qui nuiraient aux pouvoirs et aux privilèges de ces dernières?</w:t>
      </w:r>
    </w:p>
    <w:p w:rsidR="00E313A3" w:rsidRPr="00606C27" w:rsidRDefault="0066427D" w:rsidP="00E26BA5">
      <w:pPr>
        <w:pStyle w:val="Citation-AltC"/>
        <w:spacing w:after="480" w:line="480" w:lineRule="auto"/>
        <w:ind w:left="720" w:hanging="720"/>
        <w:contextualSpacing w:val="0"/>
        <w:rPr>
          <w:lang w:val="fr-CA"/>
        </w:rPr>
      </w:pPr>
      <w:r>
        <w:rPr>
          <w:lang w:val="fr-CA"/>
        </w:rPr>
        <w:t>h</w:t>
      </w:r>
      <w:r w:rsidR="00E313A3" w:rsidRPr="00606C27">
        <w:rPr>
          <w:lang w:val="fr-CA"/>
        </w:rPr>
        <w:t>)</w:t>
      </w:r>
      <w:r w:rsidR="00E313A3" w:rsidRPr="00606C27">
        <w:rPr>
          <w:lang w:val="fr-CA"/>
        </w:rPr>
        <w:tab/>
        <w:t>Le rapport entre les institutions de l’exécutif et celui entre elles et le Parlement sont complexes. Quel serait l’impact sur le fonctionnement du Cabinet, sur le rôle du premier ministre à titre de chef du Cabinet ainsi que sur la responsabilité du ministère envers le Parlement ou une législature provinciale? N’y aurait</w:t>
      </w:r>
      <w:r w:rsidR="00E313A3" w:rsidRPr="00606C27">
        <w:rPr>
          <w:lang w:val="fr-CA"/>
        </w:rPr>
        <w:noBreakHyphen/>
        <w:t xml:space="preserve">il pas d’importantes conséquences vraisemblablement imprévisibles pour les conventions, les pratiques et les procédures régissant le fonctionnement du Cabinet et sa relation avec le Parlement ou les législatures provinciales? </w:t>
      </w:r>
    </w:p>
    <w:p w:rsidR="00E313A3" w:rsidRPr="00606C27" w:rsidRDefault="00E313A3" w:rsidP="00E313A3">
      <w:pPr>
        <w:pStyle w:val="ParaNoNdepar-AltN"/>
        <w:rPr>
          <w:rFonts w:cs="Times New Roman"/>
          <w:szCs w:val="24"/>
        </w:rPr>
      </w:pPr>
      <w:r w:rsidRPr="00606C27">
        <w:rPr>
          <w:rFonts w:cs="Times New Roman"/>
          <w:lang w:val="fr-CA"/>
        </w:rPr>
        <w:t>Le lecteur attentif de la liste précédente comportant 30 étapes aura constaté la mention des « consultations concernant les orientations » à l’étape 1. En pratique, et pour favoriser une bonne administration publique, les consultations sur les orientations possibles durant l’élaboration des projets de loi sont monnaie courante. Elles ne sont toutefois pas exigées par la Constitution</w:t>
      </w:r>
      <w:r w:rsidRPr="00606C27">
        <w:rPr>
          <w:rFonts w:cs="Times New Roman"/>
        </w:rPr>
        <w:t xml:space="preserve">. </w:t>
      </w:r>
    </w:p>
    <w:p w:rsidR="00E313A3" w:rsidRPr="00606C27" w:rsidRDefault="00E313A3" w:rsidP="00E313A3">
      <w:pPr>
        <w:pStyle w:val="ParaNoNdepar-AltN"/>
        <w:rPr>
          <w:rFonts w:cs="Times New Roman"/>
          <w:szCs w:val="24"/>
          <w:lang w:val="fr-CA"/>
        </w:rPr>
      </w:pPr>
      <w:r w:rsidRPr="00606C27">
        <w:rPr>
          <w:rFonts w:cs="Times New Roman"/>
          <w:lang w:val="fr-CA"/>
        </w:rPr>
        <w:t xml:space="preserve"> De même, je tiens à souligner de nouveau que, selon la jurisprudence, la consultation est un facteur de la justification de toute violation de l’art. 35 suivant le cadre d’analyse établi dans </w:t>
      </w:r>
      <w:r w:rsidRPr="00606C27">
        <w:rPr>
          <w:rFonts w:cs="Times New Roman"/>
          <w:i/>
          <w:lang w:val="fr-CA"/>
        </w:rPr>
        <w:t>Sparrow</w:t>
      </w:r>
      <w:r w:rsidRPr="00606C27">
        <w:rPr>
          <w:rFonts w:cs="Times New Roman"/>
          <w:lang w:val="fr-CA"/>
        </w:rPr>
        <w:t xml:space="preserve">. Ainsi, lorsque l’adoption d’une loi risque de porter atteinte aux droits protégés par l’art. 35, il y a une forte incitation à consulter. Comme je l’ai mentionné précédemment, l’imposition d’une obligation de consulter prescrite par la Constitution est fondamentalement différente et son application serait forcément contrôlée par les tribunaux. Si le Parlement ou une législature provinciale souhaitaient se lier par une exigence de moyen ou de forme qui comporterait l’obligation de consulter les peuples autochtones avant l’adoption des lois, ils seraient libres de le faire : </w:t>
      </w:r>
      <w:r w:rsidRPr="00606C27">
        <w:rPr>
          <w:rFonts w:cs="Times New Roman"/>
          <w:szCs w:val="24"/>
          <w:lang w:val="fr-CA"/>
        </w:rPr>
        <w:t>Hogg, p. 12</w:t>
      </w:r>
      <w:r w:rsidRPr="00606C27">
        <w:rPr>
          <w:rFonts w:cs="Times New Roman"/>
          <w:szCs w:val="24"/>
          <w:lang w:val="fr-CA"/>
        </w:rPr>
        <w:noBreakHyphen/>
        <w:t xml:space="preserve">12. Cela dit, les cours ne vont pas s’ingérer dans le pouvoir discrétionnaire des assemblées législatives en imposant des exigences procédurales supplémentaires à des organismes législatifs : </w:t>
      </w:r>
      <w:r w:rsidRPr="00606C27">
        <w:rPr>
          <w:rFonts w:cs="Times New Roman"/>
          <w:i/>
          <w:szCs w:val="24"/>
          <w:lang w:val="fr-CA"/>
        </w:rPr>
        <w:t>Authorson c. Canada (Procureur général)</w:t>
      </w:r>
      <w:r w:rsidRPr="00606C27">
        <w:rPr>
          <w:rFonts w:cs="Times New Roman"/>
          <w:szCs w:val="24"/>
          <w:lang w:val="fr-CA"/>
        </w:rPr>
        <w:t>, 2003 CSC 39, [2003] 2 R.C.S. 40.</w:t>
      </w:r>
    </w:p>
    <w:p w:rsidR="00E313A3" w:rsidRPr="00606C27" w:rsidRDefault="00E313A3" w:rsidP="00E313A3">
      <w:pPr>
        <w:pStyle w:val="ParaNoNdepar-AltN"/>
        <w:rPr>
          <w:rFonts w:cs="Times New Roman"/>
          <w:szCs w:val="24"/>
          <w:lang w:val="fr-CA"/>
        </w:rPr>
      </w:pPr>
      <w:r w:rsidRPr="00606C27">
        <w:rPr>
          <w:rFonts w:cs="Times New Roman"/>
          <w:lang w:val="fr-CA"/>
        </w:rPr>
        <w:t>Je précise enfin que la loi elle</w:t>
      </w:r>
      <w:r w:rsidRPr="00606C27">
        <w:rPr>
          <w:rFonts w:cs="Times New Roman"/>
          <w:lang w:val="fr-CA"/>
        </w:rPr>
        <w:noBreakHyphen/>
        <w:t xml:space="preserve">même ne porte habituellement pas atteinte à des droits protégés par l’art. 35. Lorsque c’est le cas, il est possible d’intenter un recours pour atteinte en application de l’arrêt </w:t>
      </w:r>
      <w:r w:rsidRPr="00606C27">
        <w:rPr>
          <w:rFonts w:cs="Times New Roman"/>
          <w:i/>
          <w:lang w:val="fr-CA"/>
        </w:rPr>
        <w:t>Sparrow</w:t>
      </w:r>
      <w:r w:rsidRPr="00606C27">
        <w:rPr>
          <w:rFonts w:cs="Times New Roman"/>
          <w:lang w:val="fr-CA"/>
        </w:rPr>
        <w:t>.</w:t>
      </w:r>
      <w:r w:rsidRPr="00606C27">
        <w:rPr>
          <w:rFonts w:cs="Times New Roman"/>
          <w:i/>
          <w:lang w:val="fr-CA"/>
        </w:rPr>
        <w:t xml:space="preserve"> </w:t>
      </w:r>
      <w:r w:rsidRPr="00606C27">
        <w:rPr>
          <w:rFonts w:cs="Times New Roman"/>
          <w:lang w:val="fr-CA"/>
        </w:rPr>
        <w:t xml:space="preserve">En temps normal, c’est plutôt une </w:t>
      </w:r>
      <w:r w:rsidRPr="00606C27">
        <w:rPr>
          <w:rFonts w:cs="Times New Roman"/>
          <w:i/>
          <w:lang w:val="fr-CA"/>
        </w:rPr>
        <w:t>conduite de la Couronne</w:t>
      </w:r>
      <w:r w:rsidRPr="00606C27">
        <w:rPr>
          <w:rFonts w:cs="Times New Roman"/>
          <w:lang w:val="fr-CA"/>
        </w:rPr>
        <w:t>,</w:t>
      </w:r>
      <w:r w:rsidRPr="00606C27">
        <w:rPr>
          <w:rFonts w:cs="Times New Roman"/>
          <w:i/>
          <w:lang w:val="fr-CA"/>
        </w:rPr>
        <w:t xml:space="preserve"> </w:t>
      </w:r>
      <w:r w:rsidRPr="00606C27">
        <w:rPr>
          <w:rFonts w:cs="Times New Roman"/>
          <w:lang w:val="fr-CA"/>
        </w:rPr>
        <w:t xml:space="preserve">que ce soit par l’exercice d’un pouvoir que lui confère la loi ou en vertu de son propre pouvoir, qui porte atteinte à des droits ou qui a des effets préjudiciables sur un droit revendiqué. </w:t>
      </w:r>
      <w:r w:rsidRPr="00606C27">
        <w:rPr>
          <w:rFonts w:cs="Times New Roman"/>
          <w:i/>
          <w:lang w:val="fr-CA"/>
        </w:rPr>
        <w:t xml:space="preserve">Nation haïda </w:t>
      </w:r>
      <w:r w:rsidRPr="00606C27">
        <w:rPr>
          <w:rFonts w:cs="Times New Roman"/>
          <w:lang w:val="fr-CA"/>
        </w:rPr>
        <w:t xml:space="preserve">et les arrêts qui l’ont suivi imposent alors une obligation de consulter et, s’il y a lieu, une obligation d’accommoder. Quant à l’obligation de consulter, les mesures de la Couronne sont susceptibles de contrôle judiciaire selon les principes généraux en la matière : </w:t>
      </w:r>
      <w:r w:rsidRPr="00606C27">
        <w:rPr>
          <w:rFonts w:cs="Times New Roman"/>
          <w:i/>
          <w:lang w:val="fr-CA"/>
        </w:rPr>
        <w:t xml:space="preserve">Nation haïda. </w:t>
      </w:r>
      <w:r w:rsidRPr="00606C27">
        <w:rPr>
          <w:rFonts w:cs="Times New Roman"/>
          <w:lang w:val="fr-CA"/>
        </w:rPr>
        <w:t xml:space="preserve">Ces principes ne permettent pas aux tribunaux de contrôler des décisions de nature législative pour des motifs d’équité procédurale : </w:t>
      </w:r>
      <w:r w:rsidR="00DF607D">
        <w:rPr>
          <w:rFonts w:cs="Times New Roman"/>
          <w:i/>
          <w:lang w:val="fr-CA"/>
        </w:rPr>
        <w:t>Procureur général du Canada</w:t>
      </w:r>
      <w:r w:rsidRPr="00606C27">
        <w:rPr>
          <w:rFonts w:cs="Times New Roman"/>
          <w:i/>
          <w:lang w:val="fr-CA"/>
        </w:rPr>
        <w:t xml:space="preserve"> c. Inuit Tapirisat</w:t>
      </w:r>
      <w:r w:rsidR="00022844">
        <w:rPr>
          <w:rFonts w:cs="Times New Roman"/>
          <w:i/>
          <w:lang w:val="fr-CA"/>
        </w:rPr>
        <w:t xml:space="preserve"> du Canada</w:t>
      </w:r>
      <w:r w:rsidR="00DF607D">
        <w:rPr>
          <w:rFonts w:cs="Times New Roman"/>
          <w:lang w:val="fr-CA"/>
        </w:rPr>
        <w:t>, [1980] 2 R.C.S. 735, p. 758-</w:t>
      </w:r>
      <w:r w:rsidRPr="00606C27">
        <w:rPr>
          <w:rFonts w:cs="Times New Roman"/>
          <w:lang w:val="fr-CA"/>
        </w:rPr>
        <w:t xml:space="preserve">759. Règle générale, le gouvernement n’a pas à faire preuve d’équité procédurale dans l’exercice de fonctions législatives : </w:t>
      </w:r>
      <w:r w:rsidRPr="00606C27">
        <w:rPr>
          <w:rFonts w:cs="Times New Roman"/>
          <w:i/>
          <w:lang w:val="fr-CA"/>
        </w:rPr>
        <w:t>Renvoi relatif au Régime d’assistance publique du Canada (C.</w:t>
      </w:r>
      <w:r w:rsidRPr="00606C27">
        <w:rPr>
          <w:rFonts w:cs="Times New Roman"/>
          <w:i/>
          <w:lang w:val="fr-CA"/>
        </w:rPr>
        <w:noBreakHyphen/>
        <w:t>B.)</w:t>
      </w:r>
      <w:r w:rsidRPr="00606C27">
        <w:rPr>
          <w:rFonts w:cs="Times New Roman"/>
          <w:lang w:val="fr-CA"/>
        </w:rPr>
        <w:t xml:space="preserve">, [1991] 2 R.C.S. 525, p. 558; </w:t>
      </w:r>
      <w:r w:rsidRPr="00606C27">
        <w:rPr>
          <w:rFonts w:cs="Times New Roman"/>
          <w:i/>
          <w:lang w:val="fr-CA"/>
        </w:rPr>
        <w:t>Wells c. Terre</w:t>
      </w:r>
      <w:r w:rsidRPr="00606C27">
        <w:rPr>
          <w:rFonts w:cs="Times New Roman"/>
          <w:i/>
          <w:lang w:val="fr-CA"/>
        </w:rPr>
        <w:noBreakHyphen/>
        <w:t>Neuve</w:t>
      </w:r>
      <w:r w:rsidRPr="00606C27">
        <w:rPr>
          <w:rFonts w:cs="Times New Roman"/>
          <w:lang w:val="fr-CA"/>
        </w:rPr>
        <w:t xml:space="preserve">, [1999] 3 R.C.S. 199, par. 59; </w:t>
      </w:r>
      <w:r w:rsidRPr="00606C27">
        <w:rPr>
          <w:rFonts w:cs="Times New Roman"/>
          <w:i/>
          <w:lang w:val="fr-CA"/>
        </w:rPr>
        <w:t>Authorson</w:t>
      </w:r>
      <w:r w:rsidRPr="00606C27">
        <w:rPr>
          <w:rFonts w:cs="Times New Roman"/>
          <w:lang w:val="fr-CA"/>
        </w:rPr>
        <w:t>, par. 41.</w:t>
      </w:r>
    </w:p>
    <w:p w:rsidR="00E313A3" w:rsidRPr="00606C27" w:rsidRDefault="00E313A3" w:rsidP="00E313A3">
      <w:pPr>
        <w:pStyle w:val="Title1LevelTitre1Niveau-AltL"/>
        <w:rPr>
          <w:rFonts w:cs="Times New Roman"/>
          <w:lang w:val="fr-CA"/>
        </w:rPr>
      </w:pPr>
      <w:r w:rsidRPr="00606C27">
        <w:rPr>
          <w:rFonts w:cs="Times New Roman"/>
          <w:lang w:val="fr-CA"/>
        </w:rPr>
        <w:t xml:space="preserve">Le rôle de la Cour </w:t>
      </w:r>
    </w:p>
    <w:p w:rsidR="00E313A3" w:rsidRPr="00606C27" w:rsidRDefault="00E313A3" w:rsidP="00E313A3">
      <w:pPr>
        <w:pStyle w:val="ParaNoNdepar-AltN"/>
        <w:rPr>
          <w:rFonts w:cs="Times New Roman"/>
          <w:szCs w:val="24"/>
          <w:lang w:val="fr-CA"/>
        </w:rPr>
      </w:pPr>
      <w:r w:rsidRPr="00606C27">
        <w:rPr>
          <w:rFonts w:cs="Times New Roman"/>
          <w:lang w:val="fr-CA"/>
        </w:rPr>
        <w:t>Aussi certainement que la nuit succède au jour, si pareille obligation devait être imposée, il y aurait des mésententes sur les questions susmentionnées et sur bien d’autres. Comment de telles mésententes seraient</w:t>
      </w:r>
      <w:r w:rsidRPr="00606C27">
        <w:rPr>
          <w:rFonts w:cs="Times New Roman"/>
          <w:lang w:val="fr-CA"/>
        </w:rPr>
        <w:noBreakHyphen/>
        <w:t xml:space="preserve">elles réglées? En présence d’une obligation imposée par la Constitution, les parties concernées s’adresseraient inévitablement aux tribunaux. Ces derniers seraient par conséquent appelés à surveiller l’exécution d’une obligation de consulter durant l’élaboration des projets de loi (tout comme, selon toute vraisemblance, d’autres mesures, notamment les budgets, qui nécessitent l’approbation du Parlement ou d’une législature provinciale). Je souscris à l’analyse du juge Brown relative aux conséquences de l’imposition d’une obligation de consulter sur la séparation des pouvoirs. </w:t>
      </w:r>
    </w:p>
    <w:p w:rsidR="00E313A3" w:rsidRPr="00606C27" w:rsidRDefault="00E313A3" w:rsidP="00E313A3">
      <w:pPr>
        <w:pStyle w:val="ParaNoNdepar-AltN"/>
        <w:rPr>
          <w:rFonts w:cs="Times New Roman"/>
          <w:szCs w:val="24"/>
          <w:lang w:val="fr-CA"/>
        </w:rPr>
      </w:pPr>
      <w:r w:rsidRPr="00606C27">
        <w:rPr>
          <w:rFonts w:cs="Times New Roman"/>
          <w:lang w:val="fr-CA"/>
        </w:rPr>
        <w:t>J’ajouterais ce qui suit. Si les tribunaux devaient imposer une obligation de consulter durant l’élaboration des projets de loi, la prochaine chose qu’ils devraient faire en toute logique ne serait</w:t>
      </w:r>
      <w:r w:rsidRPr="00606C27">
        <w:rPr>
          <w:rFonts w:cs="Times New Roman"/>
          <w:lang w:val="fr-CA"/>
        </w:rPr>
        <w:noBreakHyphen/>
        <w:t xml:space="preserve">elle pas d’imposer aux assemblées législatives une obligation de consulter durant leur étude des projets de loi? En pareil cas, il faudrait situer les « consultations » quelque part aux étapes de la première lecture, de la deuxième lecture, de l’étude en comité, du rapport, de la troisième lecture et de la sanction royale. Si le Parlement ou une législature décidait de prendre part à une consultation avec des peuples autochtones conformément à l’arrêt </w:t>
      </w:r>
      <w:r w:rsidRPr="00606C27">
        <w:rPr>
          <w:rFonts w:cs="Times New Roman"/>
          <w:i/>
          <w:lang w:val="fr-CA"/>
        </w:rPr>
        <w:t>Sparrow</w:t>
      </w:r>
      <w:r w:rsidRPr="00606C27">
        <w:rPr>
          <w:rFonts w:cs="Times New Roman"/>
          <w:lang w:val="fr-CA"/>
        </w:rPr>
        <w:t>, le stade auquel se tiendrait cette consultation relèverait de son pouvoir discrétionnaire. C’est pourtant la réparation que le juge du procès a suggérée en l’espèce : la possibilité pour les groupes touchés de présenter des observations au Parlement. Le juge du procès a affirmé dans son ordonnance que l’obligation de consulter a pris naissance « </w:t>
      </w:r>
      <w:r w:rsidRPr="00606C27">
        <w:rPr>
          <w:rFonts w:cs="Times New Roman"/>
          <w:lang w:val="fr-FR"/>
        </w:rPr>
        <w:t xml:space="preserve">à l’époque où chacun des projets de loi </w:t>
      </w:r>
      <w:r w:rsidRPr="00606C27">
        <w:rPr>
          <w:rFonts w:cs="Times New Roman"/>
          <w:lang w:val="fr-CA"/>
        </w:rPr>
        <w:t xml:space="preserve">[. . .] </w:t>
      </w:r>
      <w:r w:rsidRPr="00606C27">
        <w:rPr>
          <w:rFonts w:cs="Times New Roman"/>
          <w:lang w:val="fr-FR"/>
        </w:rPr>
        <w:t>a été déposé au Parlement</w:t>
      </w:r>
      <w:r w:rsidR="004547E6">
        <w:rPr>
          <w:rFonts w:cs="Times New Roman"/>
          <w:lang w:val="fr-FR"/>
        </w:rPr>
        <w:t xml:space="preserve"> »</w:t>
      </w:r>
      <w:r w:rsidRPr="00606C27">
        <w:rPr>
          <w:rFonts w:cs="Times New Roman"/>
          <w:lang w:val="fr-CA"/>
        </w:rPr>
        <w:t> : 2014 CF 1244</w:t>
      </w:r>
      <w:r w:rsidR="00280A73">
        <w:rPr>
          <w:rFonts w:cs="Times New Roman"/>
          <w:lang w:val="fr-CA"/>
        </w:rPr>
        <w:t>, par. 111 (CanLII)</w:t>
      </w:r>
      <w:r w:rsidRPr="00606C27">
        <w:rPr>
          <w:rFonts w:cs="Times New Roman"/>
          <w:lang w:val="fr-CA"/>
        </w:rPr>
        <w:t>. Ce résultat contrevient au principe de la séparation des pouvoirs et il amènerait nécessairement les tribunaux à encadrer l’exercice par le Parlement et les législatures de leurs pouvoirs et privilèges. Cela transformerait de fond en comble notre système de gouvernement.</w:t>
      </w:r>
    </w:p>
    <w:p w:rsidR="00E313A3" w:rsidRPr="00606C27" w:rsidRDefault="00E313A3" w:rsidP="00E313A3">
      <w:pPr>
        <w:pStyle w:val="Title1LevelTitre1Niveau-AltL"/>
        <w:rPr>
          <w:rFonts w:cs="Times New Roman"/>
        </w:rPr>
      </w:pPr>
      <w:r w:rsidRPr="00606C27">
        <w:rPr>
          <w:rFonts w:cs="Times New Roman"/>
        </w:rPr>
        <w:t>Conclusion</w:t>
      </w:r>
    </w:p>
    <w:p w:rsidR="00E313A3" w:rsidRPr="00606C27" w:rsidRDefault="00E313A3" w:rsidP="00E313A3">
      <w:pPr>
        <w:pStyle w:val="ParaNoNdepar-AltN"/>
        <w:rPr>
          <w:rFonts w:cs="Times New Roman"/>
          <w:lang w:val="fr-CA"/>
        </w:rPr>
      </w:pPr>
      <w:r w:rsidRPr="00606C27">
        <w:rPr>
          <w:rFonts w:cs="Times New Roman"/>
          <w:lang w:val="fr-CA"/>
        </w:rPr>
        <w:t>Me voilà revenu au point de départ, soit à la question de savoir s’il y a dans la jurisprudence une « lacune » qui doit être comblée. Comme je l’ai expliqué précédemment, il n’existe aucune lacune de ce genre. La défense des droits protégés par l’art. 35 n’exige pas l’imposition d’une obligation de consulter durant l’élaboration des projets de loi. En fait, l’imposition d’une telle obligation irait à l’encontre de la distinction entre la Couronne et les assemblées législatives. Elle contreviendrait au principe de la sép</w:t>
      </w:r>
      <w:r w:rsidR="00280A73">
        <w:rPr>
          <w:rFonts w:cs="Times New Roman"/>
          <w:lang w:val="fr-CA"/>
        </w:rPr>
        <w:t>aration des pouvoirs. Elle empié</w:t>
      </w:r>
      <w:r w:rsidRPr="00606C27">
        <w:rPr>
          <w:rFonts w:cs="Times New Roman"/>
          <w:lang w:val="fr-CA"/>
        </w:rPr>
        <w:t xml:space="preserve">terait sur le privilège parlementaire. Elle amènerait les tribunaux à superviser des questions qu’ils se sont toujours abstenus de superviser. Bref, l’imposition d’une telle obligation n’offrirait pas aux droits garantis par l’art. 35 la protection dont ils ont besoin. Elle contreviendrait plutôt à des principes constitutionnels fondamentaux et poserait des problèmes plutôt que d’en résoudre. </w:t>
      </w:r>
    </w:p>
    <w:p w:rsidR="00E313A3" w:rsidRPr="00BB4A8D" w:rsidRDefault="00E313A3" w:rsidP="00432B59">
      <w:pPr>
        <w:pStyle w:val="ParaNoNdepar-AltN"/>
        <w:rPr>
          <w:rFonts w:cs="Times New Roman"/>
          <w:lang w:val="fr-CA"/>
        </w:rPr>
      </w:pPr>
      <w:r w:rsidRPr="00606C27">
        <w:rPr>
          <w:rFonts w:cs="Times New Roman"/>
          <w:lang w:val="fr-CA"/>
        </w:rPr>
        <w:t xml:space="preserve">Pour les motifs qui précèdent, je suis d’avis de rejeter le pourvoi sans adjuger de dépens. </w:t>
      </w:r>
    </w:p>
    <w:p w:rsidR="00E234E6" w:rsidRPr="00606C27" w:rsidRDefault="00CC6E6C" w:rsidP="00E234E6">
      <w:pPr>
        <w:pStyle w:val="SCCNormalDoubleSpacing"/>
        <w:tabs>
          <w:tab w:val="left" w:pos="5376"/>
        </w:tabs>
        <w:spacing w:after="480"/>
        <w:rPr>
          <w:lang w:val="fr-CA"/>
        </w:rPr>
      </w:pPr>
      <w:r w:rsidRPr="00606C27">
        <w:rPr>
          <w:lang w:val="fr-CA"/>
        </w:rPr>
        <w:tab/>
      </w:r>
      <w:r w:rsidR="00E234E6" w:rsidRPr="00606C27">
        <w:rPr>
          <w:i/>
          <w:lang w:val="fr-CA"/>
        </w:rPr>
        <w:t>Pourvoi rejeté.</w:t>
      </w:r>
    </w:p>
    <w:p w:rsidR="00E234E6" w:rsidRPr="00606C27" w:rsidRDefault="00E234E6" w:rsidP="00E234E6">
      <w:pPr>
        <w:pStyle w:val="SCCLawFirm"/>
        <w:spacing w:after="480"/>
        <w:rPr>
          <w:lang w:val="fr-CA"/>
        </w:rPr>
      </w:pPr>
      <w:r w:rsidRPr="00606C27">
        <w:rPr>
          <w:lang w:val="fr-CA"/>
        </w:rPr>
        <w:tab/>
        <w:t>Procureurs de l’appelant : JFK Law Corporation, Victoria et Vancouver.</w:t>
      </w:r>
    </w:p>
    <w:p w:rsidR="00E234E6" w:rsidRPr="00606C27" w:rsidRDefault="00E234E6" w:rsidP="00E234E6">
      <w:pPr>
        <w:pStyle w:val="SCCLawFirm"/>
        <w:spacing w:after="480"/>
        <w:rPr>
          <w:lang w:val="fr-CA"/>
        </w:rPr>
      </w:pPr>
      <w:r w:rsidRPr="00606C27">
        <w:rPr>
          <w:lang w:val="fr-CA"/>
        </w:rPr>
        <w:tab/>
        <w:t>Procureur des intimés : Procureur général du Canada, Ottawa.</w:t>
      </w:r>
    </w:p>
    <w:p w:rsidR="00E234E6" w:rsidRPr="00606C27" w:rsidRDefault="00E234E6" w:rsidP="00E234E6">
      <w:pPr>
        <w:pStyle w:val="SCCLawFirm"/>
        <w:spacing w:after="480"/>
        <w:rPr>
          <w:lang w:val="fr-CA"/>
        </w:rPr>
      </w:pPr>
      <w:r w:rsidRPr="00606C27">
        <w:rPr>
          <w:lang w:val="fr-CA"/>
        </w:rPr>
        <w:tab/>
        <w:t>Procureur de l’intervenante la procureure générale du Québec : Procureure générale du Québec, Québec.</w:t>
      </w:r>
    </w:p>
    <w:p w:rsidR="00E234E6" w:rsidRPr="00606C27" w:rsidRDefault="00E234E6" w:rsidP="00E234E6">
      <w:pPr>
        <w:pStyle w:val="SCCLawFirm"/>
        <w:spacing w:after="480"/>
        <w:rPr>
          <w:lang w:val="fr-CA"/>
        </w:rPr>
      </w:pPr>
      <w:r w:rsidRPr="00606C27">
        <w:rPr>
          <w:lang w:val="fr-CA"/>
        </w:rPr>
        <w:tab/>
        <w:t>Procureur de l’intervenant le procureur général du Nouveau</w:t>
      </w:r>
      <w:r w:rsidRPr="00606C27">
        <w:rPr>
          <w:lang w:val="fr-CA"/>
        </w:rPr>
        <w:noBreakHyphen/>
        <w:t>Brunswick : Procureur général du Nouveau</w:t>
      </w:r>
      <w:r w:rsidRPr="00606C27">
        <w:rPr>
          <w:lang w:val="fr-CA"/>
        </w:rPr>
        <w:noBreakHyphen/>
        <w:t>Brunswick, Fredericton.</w:t>
      </w:r>
    </w:p>
    <w:p w:rsidR="00E234E6" w:rsidRPr="00606C27" w:rsidRDefault="00E234E6" w:rsidP="00E234E6">
      <w:pPr>
        <w:pStyle w:val="SCCLawFirm"/>
        <w:spacing w:after="480"/>
        <w:rPr>
          <w:lang w:val="fr-CA"/>
        </w:rPr>
      </w:pPr>
      <w:r w:rsidRPr="00606C27">
        <w:rPr>
          <w:lang w:val="fr-CA"/>
        </w:rPr>
        <w:tab/>
        <w:t>Procureur de l’intervenant le procureur général de la Colombie</w:t>
      </w:r>
      <w:r w:rsidRPr="00606C27">
        <w:rPr>
          <w:lang w:val="fr-CA"/>
        </w:rPr>
        <w:noBreakHyphen/>
        <w:t>Britannique : Procureur général de la Colombie</w:t>
      </w:r>
      <w:r w:rsidRPr="00606C27">
        <w:rPr>
          <w:lang w:val="fr-CA"/>
        </w:rPr>
        <w:noBreakHyphen/>
        <w:t>Britannique, Victoria.</w:t>
      </w:r>
    </w:p>
    <w:p w:rsidR="00E234E6" w:rsidRPr="00606C27" w:rsidRDefault="00E234E6" w:rsidP="00E234E6">
      <w:pPr>
        <w:pStyle w:val="SCCLawFirm"/>
        <w:spacing w:after="480"/>
        <w:rPr>
          <w:lang w:val="fr-CA"/>
        </w:rPr>
      </w:pPr>
      <w:r w:rsidRPr="00606C27">
        <w:rPr>
          <w:lang w:val="fr-CA"/>
        </w:rPr>
        <w:tab/>
        <w:t>Procureur de l’intervenant le procureur général de la Saskatchewan : Procureur général de la Saskatchewan, Regina.</w:t>
      </w:r>
    </w:p>
    <w:p w:rsidR="00E234E6" w:rsidRPr="00606C27" w:rsidRDefault="00E234E6" w:rsidP="00E234E6">
      <w:pPr>
        <w:pStyle w:val="SCCLawFirm"/>
        <w:spacing w:after="480"/>
        <w:rPr>
          <w:lang w:val="fr-CA"/>
        </w:rPr>
      </w:pPr>
      <w:r w:rsidRPr="00606C27">
        <w:rPr>
          <w:lang w:val="fr-CA"/>
        </w:rPr>
        <w:tab/>
        <w:t>Procureur de l’intervenant le procureur général de l’Alberta : Procureur général de l’Alberta, Edmonton.</w:t>
      </w:r>
    </w:p>
    <w:p w:rsidR="00E234E6" w:rsidRPr="00606C27" w:rsidRDefault="00E234E6" w:rsidP="00E234E6">
      <w:pPr>
        <w:pStyle w:val="SCCLawFirm"/>
        <w:spacing w:after="480"/>
        <w:rPr>
          <w:lang w:val="en-US"/>
        </w:rPr>
      </w:pPr>
      <w:r w:rsidRPr="00606C27">
        <w:rPr>
          <w:lang w:val="fr-CA"/>
        </w:rPr>
        <w:tab/>
      </w:r>
      <w:r w:rsidRPr="00606C27">
        <w:rPr>
          <w:lang w:val="en-US"/>
        </w:rPr>
        <w:t>Procureurs des intervenants Champagne and Aishihik First Nations, Kwanlin Dün First Nation, Little Salmon Carmacks First Nation, First Nation of Na</w:t>
      </w:r>
      <w:r w:rsidRPr="00606C27">
        <w:rPr>
          <w:lang w:val="en-US"/>
        </w:rPr>
        <w:noBreakHyphen/>
        <w:t>Cho Nyak Dun, Teslin Tlingit Council, First Nations of the Maa</w:t>
      </w:r>
      <w:r w:rsidRPr="00606C27">
        <w:rPr>
          <w:lang w:val="en-US"/>
        </w:rPr>
        <w:noBreakHyphen/>
        <w:t>nulth Treaty Society : Ratcliff &amp; Company, North Vancouver.</w:t>
      </w:r>
    </w:p>
    <w:p w:rsidR="00E234E6" w:rsidRPr="00606C27" w:rsidRDefault="00E234E6" w:rsidP="00E234E6">
      <w:pPr>
        <w:pStyle w:val="SCCLawFirm"/>
        <w:spacing w:after="480"/>
        <w:rPr>
          <w:lang w:val="fr-CA"/>
        </w:rPr>
      </w:pPr>
      <w:r w:rsidRPr="00606C27">
        <w:rPr>
          <w:lang w:val="en-US"/>
        </w:rPr>
        <w:tab/>
      </w:r>
      <w:r w:rsidRPr="00606C27">
        <w:rPr>
          <w:lang w:val="fr-CA"/>
        </w:rPr>
        <w:t>Procureur de l’intervenante l’Assemblée des Premières Nations : Assemblée des Premières Nations, Ottawa.</w:t>
      </w:r>
    </w:p>
    <w:p w:rsidR="00E234E6" w:rsidRPr="00606C27" w:rsidRDefault="00E234E6" w:rsidP="00E234E6">
      <w:pPr>
        <w:pStyle w:val="SCCLawFirm"/>
        <w:spacing w:after="480"/>
        <w:rPr>
          <w:lang w:val="fr-CA"/>
        </w:rPr>
      </w:pPr>
      <w:r w:rsidRPr="00606C27">
        <w:rPr>
          <w:lang w:val="fr-CA"/>
        </w:rPr>
        <w:tab/>
        <w:t>Procureurs des intervenants le Grand Conseil des Cris (Eeyou Istchee) et le Gouvernement de la nation crie : Gowling WLG (Canada), Montréal.</w:t>
      </w:r>
    </w:p>
    <w:p w:rsidR="00E234E6" w:rsidRPr="00606C27" w:rsidRDefault="00E234E6" w:rsidP="00E234E6">
      <w:pPr>
        <w:pStyle w:val="SCCLawFirm"/>
        <w:spacing w:after="480"/>
        <w:rPr>
          <w:lang w:val="fr-CA"/>
        </w:rPr>
      </w:pPr>
      <w:r w:rsidRPr="00606C27">
        <w:rPr>
          <w:lang w:val="fr-CA"/>
        </w:rPr>
        <w:tab/>
        <w:t>Procureurs de l’intervenante la Fédération métisse du Manitoba : Pape Salter Teillet, Toronto.</w:t>
      </w:r>
    </w:p>
    <w:p w:rsidR="00E234E6" w:rsidRPr="00606C27" w:rsidRDefault="00E234E6" w:rsidP="00E234E6">
      <w:pPr>
        <w:pStyle w:val="SCCLawFirm"/>
        <w:spacing w:after="480"/>
        <w:rPr>
          <w:lang w:val="en-US"/>
        </w:rPr>
      </w:pPr>
      <w:r w:rsidRPr="00606C27">
        <w:rPr>
          <w:lang w:val="fr-CA"/>
        </w:rPr>
        <w:tab/>
      </w:r>
      <w:r w:rsidRPr="00606C27">
        <w:rPr>
          <w:lang w:val="en-US"/>
        </w:rPr>
        <w:t>Procureurs de l’intervenant Advocates for the Rule of Law : McCarthy Tétrault, Toronto.</w:t>
      </w:r>
    </w:p>
    <w:p w:rsidR="00E234E6" w:rsidRPr="00606C27" w:rsidRDefault="00E234E6" w:rsidP="00E234E6">
      <w:pPr>
        <w:pStyle w:val="SCCLawFirm"/>
        <w:spacing w:after="480"/>
        <w:rPr>
          <w:lang w:val="en-US"/>
        </w:rPr>
      </w:pPr>
      <w:r w:rsidRPr="00606C27">
        <w:rPr>
          <w:lang w:val="en-US"/>
        </w:rPr>
        <w:tab/>
        <w:t>Procureurs de l’intervenante Federation of Sovereign Indigenous Nations : Federation of Sovereign Indigenous Nations, Saskatoon; Westaway Law Group Professional Corporation, Ottawa.</w:t>
      </w:r>
    </w:p>
    <w:p w:rsidR="00E234E6" w:rsidRPr="002E1D81" w:rsidRDefault="00E234E6" w:rsidP="00E234E6">
      <w:pPr>
        <w:pStyle w:val="SCCLawFirm"/>
        <w:rPr>
          <w:lang w:val="fr-CA"/>
        </w:rPr>
      </w:pPr>
      <w:r w:rsidRPr="00606C27">
        <w:rPr>
          <w:lang w:val="en-US"/>
        </w:rPr>
        <w:tab/>
      </w:r>
      <w:r w:rsidRPr="00606C27">
        <w:rPr>
          <w:lang w:val="fr-CA"/>
        </w:rPr>
        <w:t>Procureurs de l’intervenant Gitanyow Hereditary Chiefs : Grant Huberman, Vancouver.</w:t>
      </w:r>
    </w:p>
    <w:p w:rsidR="003F28B8" w:rsidRPr="002E1D81" w:rsidRDefault="003F28B8" w:rsidP="00E234E6">
      <w:pPr>
        <w:pStyle w:val="SCCNormalDoubleSpacing"/>
        <w:spacing w:after="480"/>
        <w:rPr>
          <w:lang w:val="fr-CA"/>
        </w:rPr>
      </w:pPr>
    </w:p>
    <w:sectPr w:rsidR="003F28B8" w:rsidRPr="002E1D81" w:rsidSect="000648CC">
      <w:headerReference w:type="even" r:id="rId13"/>
      <w:headerReference w:type="default" r:id="rId14"/>
      <w:footerReference w:type="even" r:id="rId15"/>
      <w:footerReference w:type="default" r:id="rId16"/>
      <w:headerReference w:type="first" r:id="rId17"/>
      <w:footerReference w:type="first" r:id="rId18"/>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FB3" w:rsidRDefault="00230FB3">
      <w:r>
        <w:separator/>
      </w:r>
    </w:p>
  </w:endnote>
  <w:endnote w:type="continuationSeparator" w:id="0">
    <w:p w:rsidR="00230FB3" w:rsidRDefault="00230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1E1" w:rsidRDefault="002731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1E1" w:rsidRDefault="002731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1E1" w:rsidRDefault="002731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FB3" w:rsidRDefault="00230FB3">
      <w:r>
        <w:separator/>
      </w:r>
    </w:p>
  </w:footnote>
  <w:footnote w:type="continuationSeparator" w:id="0">
    <w:p w:rsidR="00230FB3" w:rsidRDefault="00230FB3">
      <w:r>
        <w:continuationSeparator/>
      </w:r>
    </w:p>
  </w:footnote>
  <w:footnote w:id="1">
    <w:p w:rsidR="002731E1" w:rsidRPr="00816745" w:rsidRDefault="002731E1" w:rsidP="00E313A3">
      <w:pPr>
        <w:pStyle w:val="FootnoteText"/>
      </w:pPr>
      <w:r w:rsidRPr="00785367">
        <w:rPr>
          <w:rStyle w:val="FootnoteReference"/>
        </w:rPr>
        <w:footnoteRef/>
      </w:r>
      <w:r w:rsidRPr="00816745">
        <w:t xml:space="preserve"> </w:t>
      </w:r>
      <w:r w:rsidR="000A7C3C">
        <w:tab/>
      </w:r>
      <w:r w:rsidRPr="00816745">
        <w:t>Mémoire des intervenants conjoints, Champagne and Aishihik First Nations, Kwanlin Dün First Nation, Little Salman Carmacks First Nation, First Nation of Na</w:t>
      </w:r>
      <w:r w:rsidRPr="00816745">
        <w:noBreakHyphen/>
        <w:t>Cho Nyak Dun, Teslin Tlingit Council, et First Nations of the Maa</w:t>
      </w:r>
      <w:r w:rsidRPr="00816745">
        <w:noBreakHyphen/>
      </w:r>
      <w:r>
        <w:t>n</w:t>
      </w:r>
      <w:r w:rsidRPr="00816745">
        <w:t>ul</w:t>
      </w:r>
      <w:r>
        <w:t>t</w:t>
      </w:r>
      <w:r w:rsidRPr="00816745">
        <w:t>h Treaty Society.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1E1" w:rsidRDefault="002731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1E1" w:rsidRPr="00450352" w:rsidRDefault="002731E1"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1E1" w:rsidRDefault="002731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3D2CA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F04D0"/>
    <w:multiLevelType w:val="hybridMultilevel"/>
    <w:tmpl w:val="A1FCF1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A0D56"/>
    <w:multiLevelType w:val="hybridMultilevel"/>
    <w:tmpl w:val="96C46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C55194A"/>
    <w:multiLevelType w:val="hybridMultilevel"/>
    <w:tmpl w:val="8870B4F4"/>
    <w:lvl w:ilvl="0" w:tplc="0DAE4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77425D5"/>
    <w:multiLevelType w:val="hybridMultilevel"/>
    <w:tmpl w:val="22A6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612B79"/>
    <w:multiLevelType w:val="hybridMultilevel"/>
    <w:tmpl w:val="96DC14F2"/>
    <w:lvl w:ilvl="0" w:tplc="C20E0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CF22631"/>
    <w:multiLevelType w:val="hybridMultilevel"/>
    <w:tmpl w:val="98209484"/>
    <w:lvl w:ilvl="0" w:tplc="5FC45920">
      <w:start w:val="2"/>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2" w15:restartNumberingAfterBreak="0">
    <w:nsid w:val="53FE0FF5"/>
    <w:multiLevelType w:val="hybridMultilevel"/>
    <w:tmpl w:val="BEDC9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283EE8"/>
    <w:multiLevelType w:val="multilevel"/>
    <w:tmpl w:val="8C262F46"/>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5EE71D3"/>
    <w:multiLevelType w:val="hybridMultilevel"/>
    <w:tmpl w:val="10D4E2C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5"/>
  </w:num>
  <w:num w:numId="4">
    <w:abstractNumId w:val="3"/>
  </w:num>
  <w:num w:numId="5">
    <w:abstractNumId w:val="9"/>
  </w:num>
  <w:num w:numId="6">
    <w:abstractNumId w:val="10"/>
  </w:num>
  <w:num w:numId="7">
    <w:abstractNumId w:val="8"/>
  </w:num>
  <w:num w:numId="8">
    <w:abstractNumId w:val="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2"/>
  </w:num>
  <w:num w:numId="10">
    <w:abstractNumId w:val="4"/>
  </w:num>
  <w:num w:numId="11">
    <w:abstractNumId w:val="2"/>
  </w:num>
  <w:num w:numId="12">
    <w:abstractNumId w:val="1"/>
  </w:num>
  <w:num w:numId="13">
    <w:abstractNumId w:val="7"/>
  </w:num>
  <w:num w:numId="14">
    <w:abstractNumId w:val="6"/>
  </w:num>
  <w:num w:numId="15">
    <w:abstractNumId w:val="0"/>
  </w:num>
  <w:num w:numId="16">
    <w:abstractNumId w:val="11"/>
  </w:num>
  <w:num w:numId="17">
    <w:abstractNumId w:val="1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837"/>
    <w:rsid w:val="00000ED4"/>
    <w:rsid w:val="000058CF"/>
    <w:rsid w:val="00005E7C"/>
    <w:rsid w:val="0001718F"/>
    <w:rsid w:val="00022844"/>
    <w:rsid w:val="00023FC7"/>
    <w:rsid w:val="00025198"/>
    <w:rsid w:val="00027940"/>
    <w:rsid w:val="00027CE4"/>
    <w:rsid w:val="00032411"/>
    <w:rsid w:val="0003584E"/>
    <w:rsid w:val="000360BA"/>
    <w:rsid w:val="0004564F"/>
    <w:rsid w:val="00051BF0"/>
    <w:rsid w:val="0005272F"/>
    <w:rsid w:val="000578A3"/>
    <w:rsid w:val="000602EE"/>
    <w:rsid w:val="000625BB"/>
    <w:rsid w:val="000648CC"/>
    <w:rsid w:val="00067AC5"/>
    <w:rsid w:val="0007722C"/>
    <w:rsid w:val="000835F8"/>
    <w:rsid w:val="00086B94"/>
    <w:rsid w:val="00094B1D"/>
    <w:rsid w:val="00095239"/>
    <w:rsid w:val="00096427"/>
    <w:rsid w:val="000A3502"/>
    <w:rsid w:val="000A7C3C"/>
    <w:rsid w:val="000C0591"/>
    <w:rsid w:val="000C1EDA"/>
    <w:rsid w:val="000C20FF"/>
    <w:rsid w:val="000C4BDD"/>
    <w:rsid w:val="000C5082"/>
    <w:rsid w:val="000C59B8"/>
    <w:rsid w:val="000C6AF0"/>
    <w:rsid w:val="000D0A77"/>
    <w:rsid w:val="000D175B"/>
    <w:rsid w:val="000E41D8"/>
    <w:rsid w:val="000F26CC"/>
    <w:rsid w:val="000F7993"/>
    <w:rsid w:val="001011AD"/>
    <w:rsid w:val="00104F33"/>
    <w:rsid w:val="00111DE2"/>
    <w:rsid w:val="00116B38"/>
    <w:rsid w:val="00132B37"/>
    <w:rsid w:val="00135406"/>
    <w:rsid w:val="00135972"/>
    <w:rsid w:val="001369A3"/>
    <w:rsid w:val="00142237"/>
    <w:rsid w:val="001426A9"/>
    <w:rsid w:val="00154467"/>
    <w:rsid w:val="00154D7C"/>
    <w:rsid w:val="001570B0"/>
    <w:rsid w:val="0015752C"/>
    <w:rsid w:val="00157737"/>
    <w:rsid w:val="001610B0"/>
    <w:rsid w:val="00161B79"/>
    <w:rsid w:val="00165277"/>
    <w:rsid w:val="00170592"/>
    <w:rsid w:val="001720F7"/>
    <w:rsid w:val="00173EF6"/>
    <w:rsid w:val="001812BC"/>
    <w:rsid w:val="00195D83"/>
    <w:rsid w:val="00195E7A"/>
    <w:rsid w:val="001A00C1"/>
    <w:rsid w:val="001A6702"/>
    <w:rsid w:val="001A6C30"/>
    <w:rsid w:val="001B33E0"/>
    <w:rsid w:val="001B4573"/>
    <w:rsid w:val="001B4FC1"/>
    <w:rsid w:val="001B6F70"/>
    <w:rsid w:val="001B7D98"/>
    <w:rsid w:val="001C779F"/>
    <w:rsid w:val="001D2AC1"/>
    <w:rsid w:val="001D3788"/>
    <w:rsid w:val="001D4E88"/>
    <w:rsid w:val="001E411D"/>
    <w:rsid w:val="0020214E"/>
    <w:rsid w:val="0020221D"/>
    <w:rsid w:val="00202989"/>
    <w:rsid w:val="0020342E"/>
    <w:rsid w:val="00220FC2"/>
    <w:rsid w:val="0022228B"/>
    <w:rsid w:val="002222F4"/>
    <w:rsid w:val="00224FC0"/>
    <w:rsid w:val="00225EA4"/>
    <w:rsid w:val="00226EAF"/>
    <w:rsid w:val="00230FB3"/>
    <w:rsid w:val="00231F3A"/>
    <w:rsid w:val="002406EE"/>
    <w:rsid w:val="00243EC8"/>
    <w:rsid w:val="002505E3"/>
    <w:rsid w:val="002634BF"/>
    <w:rsid w:val="00270D93"/>
    <w:rsid w:val="002731E1"/>
    <w:rsid w:val="002745CC"/>
    <w:rsid w:val="00275952"/>
    <w:rsid w:val="00280A73"/>
    <w:rsid w:val="00287C06"/>
    <w:rsid w:val="00296D5F"/>
    <w:rsid w:val="002A1A04"/>
    <w:rsid w:val="002B6FBE"/>
    <w:rsid w:val="002B7924"/>
    <w:rsid w:val="002C10A6"/>
    <w:rsid w:val="002C4852"/>
    <w:rsid w:val="002C7120"/>
    <w:rsid w:val="002C72E2"/>
    <w:rsid w:val="002D216C"/>
    <w:rsid w:val="002D28C3"/>
    <w:rsid w:val="002D39A4"/>
    <w:rsid w:val="002D40FB"/>
    <w:rsid w:val="002D6670"/>
    <w:rsid w:val="002E1D81"/>
    <w:rsid w:val="002E6705"/>
    <w:rsid w:val="002F25B3"/>
    <w:rsid w:val="0030329A"/>
    <w:rsid w:val="00304E69"/>
    <w:rsid w:val="0031086F"/>
    <w:rsid w:val="0031414C"/>
    <w:rsid w:val="00314E01"/>
    <w:rsid w:val="0032089D"/>
    <w:rsid w:val="00320C54"/>
    <w:rsid w:val="00323F8C"/>
    <w:rsid w:val="003242BD"/>
    <w:rsid w:val="003310DE"/>
    <w:rsid w:val="003323B0"/>
    <w:rsid w:val="003355B4"/>
    <w:rsid w:val="00340A49"/>
    <w:rsid w:val="0034389A"/>
    <w:rsid w:val="0035058A"/>
    <w:rsid w:val="0035169A"/>
    <w:rsid w:val="0035259D"/>
    <w:rsid w:val="00353E2D"/>
    <w:rsid w:val="00362125"/>
    <w:rsid w:val="0036344A"/>
    <w:rsid w:val="00363AE5"/>
    <w:rsid w:val="00364B18"/>
    <w:rsid w:val="00367D15"/>
    <w:rsid w:val="00382D9B"/>
    <w:rsid w:val="003861DC"/>
    <w:rsid w:val="003863B9"/>
    <w:rsid w:val="003867E9"/>
    <w:rsid w:val="00390061"/>
    <w:rsid w:val="00390A4E"/>
    <w:rsid w:val="00397C48"/>
    <w:rsid w:val="003A125D"/>
    <w:rsid w:val="003A4C70"/>
    <w:rsid w:val="003B215F"/>
    <w:rsid w:val="003B351A"/>
    <w:rsid w:val="003B5E3C"/>
    <w:rsid w:val="003C7058"/>
    <w:rsid w:val="003C799C"/>
    <w:rsid w:val="003D0399"/>
    <w:rsid w:val="003D28B3"/>
    <w:rsid w:val="003D3C72"/>
    <w:rsid w:val="003D6FC8"/>
    <w:rsid w:val="003E148F"/>
    <w:rsid w:val="003E1C71"/>
    <w:rsid w:val="003E29C4"/>
    <w:rsid w:val="003E38BB"/>
    <w:rsid w:val="003F28B8"/>
    <w:rsid w:val="003F327B"/>
    <w:rsid w:val="003F54EA"/>
    <w:rsid w:val="00402C40"/>
    <w:rsid w:val="00406166"/>
    <w:rsid w:val="0040704B"/>
    <w:rsid w:val="00410A55"/>
    <w:rsid w:val="00411300"/>
    <w:rsid w:val="00413F17"/>
    <w:rsid w:val="004153AC"/>
    <w:rsid w:val="00415417"/>
    <w:rsid w:val="00416089"/>
    <w:rsid w:val="00417EA2"/>
    <w:rsid w:val="00420C3E"/>
    <w:rsid w:val="00426659"/>
    <w:rsid w:val="004273A8"/>
    <w:rsid w:val="00432B59"/>
    <w:rsid w:val="00434582"/>
    <w:rsid w:val="00442863"/>
    <w:rsid w:val="00445925"/>
    <w:rsid w:val="00450352"/>
    <w:rsid w:val="004547E6"/>
    <w:rsid w:val="00454BDB"/>
    <w:rsid w:val="00463C9E"/>
    <w:rsid w:val="00465132"/>
    <w:rsid w:val="00475FCC"/>
    <w:rsid w:val="00477336"/>
    <w:rsid w:val="00480C90"/>
    <w:rsid w:val="0048396F"/>
    <w:rsid w:val="00484608"/>
    <w:rsid w:val="00487C29"/>
    <w:rsid w:val="00493C18"/>
    <w:rsid w:val="0049408F"/>
    <w:rsid w:val="0049605F"/>
    <w:rsid w:val="004A1D42"/>
    <w:rsid w:val="004A600C"/>
    <w:rsid w:val="004A6118"/>
    <w:rsid w:val="004B5E3C"/>
    <w:rsid w:val="004B67BC"/>
    <w:rsid w:val="004C478D"/>
    <w:rsid w:val="004C7D44"/>
    <w:rsid w:val="004D1597"/>
    <w:rsid w:val="004D3FD5"/>
    <w:rsid w:val="004D7D95"/>
    <w:rsid w:val="004E1751"/>
    <w:rsid w:val="004E2C26"/>
    <w:rsid w:val="004F3535"/>
    <w:rsid w:val="005125A8"/>
    <w:rsid w:val="00517549"/>
    <w:rsid w:val="00520ABC"/>
    <w:rsid w:val="00521AE8"/>
    <w:rsid w:val="00527180"/>
    <w:rsid w:val="005272CB"/>
    <w:rsid w:val="00531AD5"/>
    <w:rsid w:val="0053387A"/>
    <w:rsid w:val="00555291"/>
    <w:rsid w:val="00560885"/>
    <w:rsid w:val="00563F81"/>
    <w:rsid w:val="00566AD1"/>
    <w:rsid w:val="00571195"/>
    <w:rsid w:val="00571FDD"/>
    <w:rsid w:val="00575EAB"/>
    <w:rsid w:val="00582283"/>
    <w:rsid w:val="00583EDE"/>
    <w:rsid w:val="005856F9"/>
    <w:rsid w:val="00590FD6"/>
    <w:rsid w:val="00594E78"/>
    <w:rsid w:val="005A13AE"/>
    <w:rsid w:val="005A6079"/>
    <w:rsid w:val="005B6943"/>
    <w:rsid w:val="005C39FE"/>
    <w:rsid w:val="005D3F5A"/>
    <w:rsid w:val="005D67C8"/>
    <w:rsid w:val="005E4698"/>
    <w:rsid w:val="005E60AD"/>
    <w:rsid w:val="005F1F1F"/>
    <w:rsid w:val="005F3DD9"/>
    <w:rsid w:val="005F4D2F"/>
    <w:rsid w:val="005F6019"/>
    <w:rsid w:val="006009A1"/>
    <w:rsid w:val="0060192B"/>
    <w:rsid w:val="00603924"/>
    <w:rsid w:val="00606C27"/>
    <w:rsid w:val="00610539"/>
    <w:rsid w:val="00613969"/>
    <w:rsid w:val="00613D6A"/>
    <w:rsid w:val="00615153"/>
    <w:rsid w:val="00615F76"/>
    <w:rsid w:val="00625C35"/>
    <w:rsid w:val="00647E49"/>
    <w:rsid w:val="00652349"/>
    <w:rsid w:val="00656313"/>
    <w:rsid w:val="006565F4"/>
    <w:rsid w:val="0066427D"/>
    <w:rsid w:val="00671007"/>
    <w:rsid w:val="00680045"/>
    <w:rsid w:val="00684EEA"/>
    <w:rsid w:val="006934EE"/>
    <w:rsid w:val="0069689B"/>
    <w:rsid w:val="006A7C50"/>
    <w:rsid w:val="006B1407"/>
    <w:rsid w:val="006B5A84"/>
    <w:rsid w:val="006B5FF5"/>
    <w:rsid w:val="006B6542"/>
    <w:rsid w:val="006B727C"/>
    <w:rsid w:val="006C01DA"/>
    <w:rsid w:val="006C0FC0"/>
    <w:rsid w:val="006D6218"/>
    <w:rsid w:val="006D7EDD"/>
    <w:rsid w:val="006E20C5"/>
    <w:rsid w:val="006E2F82"/>
    <w:rsid w:val="006F2F0C"/>
    <w:rsid w:val="006F30AF"/>
    <w:rsid w:val="007016C2"/>
    <w:rsid w:val="00701759"/>
    <w:rsid w:val="00704DC5"/>
    <w:rsid w:val="00705C15"/>
    <w:rsid w:val="00710F80"/>
    <w:rsid w:val="007110F6"/>
    <w:rsid w:val="0071333B"/>
    <w:rsid w:val="007208D1"/>
    <w:rsid w:val="00720BB3"/>
    <w:rsid w:val="00744518"/>
    <w:rsid w:val="00747288"/>
    <w:rsid w:val="00747DD3"/>
    <w:rsid w:val="007549C8"/>
    <w:rsid w:val="00766D14"/>
    <w:rsid w:val="00767A0F"/>
    <w:rsid w:val="0077383B"/>
    <w:rsid w:val="00785CA4"/>
    <w:rsid w:val="00785CAD"/>
    <w:rsid w:val="00786BD3"/>
    <w:rsid w:val="00791272"/>
    <w:rsid w:val="007A05F6"/>
    <w:rsid w:val="007A59E5"/>
    <w:rsid w:val="007B6F4A"/>
    <w:rsid w:val="007D328C"/>
    <w:rsid w:val="007E1C47"/>
    <w:rsid w:val="007E2F41"/>
    <w:rsid w:val="007E337A"/>
    <w:rsid w:val="007E5C70"/>
    <w:rsid w:val="007E6B18"/>
    <w:rsid w:val="007E7AC5"/>
    <w:rsid w:val="007F08D8"/>
    <w:rsid w:val="007F13EA"/>
    <w:rsid w:val="007F2FF5"/>
    <w:rsid w:val="007F3CB2"/>
    <w:rsid w:val="007F3F08"/>
    <w:rsid w:val="007F3FD3"/>
    <w:rsid w:val="008016CF"/>
    <w:rsid w:val="00803B56"/>
    <w:rsid w:val="00804CC6"/>
    <w:rsid w:val="008076DA"/>
    <w:rsid w:val="00817190"/>
    <w:rsid w:val="008172D6"/>
    <w:rsid w:val="00820353"/>
    <w:rsid w:val="008260E2"/>
    <w:rsid w:val="008322BD"/>
    <w:rsid w:val="00834F73"/>
    <w:rsid w:val="0085225F"/>
    <w:rsid w:val="0085339F"/>
    <w:rsid w:val="00853ED6"/>
    <w:rsid w:val="0085439A"/>
    <w:rsid w:val="00855231"/>
    <w:rsid w:val="00855DEF"/>
    <w:rsid w:val="00856C30"/>
    <w:rsid w:val="00864C8A"/>
    <w:rsid w:val="00864CF8"/>
    <w:rsid w:val="00871B29"/>
    <w:rsid w:val="00874914"/>
    <w:rsid w:val="00877E3A"/>
    <w:rsid w:val="00884791"/>
    <w:rsid w:val="00887812"/>
    <w:rsid w:val="00891422"/>
    <w:rsid w:val="00892E1A"/>
    <w:rsid w:val="00894498"/>
    <w:rsid w:val="00895811"/>
    <w:rsid w:val="008A0374"/>
    <w:rsid w:val="008A0A63"/>
    <w:rsid w:val="008B2C17"/>
    <w:rsid w:val="008B3132"/>
    <w:rsid w:val="008B660A"/>
    <w:rsid w:val="008C01DA"/>
    <w:rsid w:val="008D6C74"/>
    <w:rsid w:val="008E3E4B"/>
    <w:rsid w:val="008F2674"/>
    <w:rsid w:val="008F78E9"/>
    <w:rsid w:val="00906128"/>
    <w:rsid w:val="00912AA5"/>
    <w:rsid w:val="009179F9"/>
    <w:rsid w:val="00917C7A"/>
    <w:rsid w:val="009256B0"/>
    <w:rsid w:val="009277F8"/>
    <w:rsid w:val="00933E5E"/>
    <w:rsid w:val="00935218"/>
    <w:rsid w:val="00937C52"/>
    <w:rsid w:val="009403F3"/>
    <w:rsid w:val="009423B4"/>
    <w:rsid w:val="00945845"/>
    <w:rsid w:val="00950019"/>
    <w:rsid w:val="00952C9A"/>
    <w:rsid w:val="009555B7"/>
    <w:rsid w:val="009567AA"/>
    <w:rsid w:val="009602C9"/>
    <w:rsid w:val="00967374"/>
    <w:rsid w:val="009823EF"/>
    <w:rsid w:val="00993BCC"/>
    <w:rsid w:val="00994194"/>
    <w:rsid w:val="009A343A"/>
    <w:rsid w:val="009B1A32"/>
    <w:rsid w:val="009B2F23"/>
    <w:rsid w:val="009B57B3"/>
    <w:rsid w:val="009D008A"/>
    <w:rsid w:val="009D1F96"/>
    <w:rsid w:val="009D2920"/>
    <w:rsid w:val="009D4D1D"/>
    <w:rsid w:val="009D5AEB"/>
    <w:rsid w:val="009E0855"/>
    <w:rsid w:val="009E3338"/>
    <w:rsid w:val="009F0E33"/>
    <w:rsid w:val="00A0207D"/>
    <w:rsid w:val="00A038D0"/>
    <w:rsid w:val="00A0682F"/>
    <w:rsid w:val="00A12EB6"/>
    <w:rsid w:val="00A13449"/>
    <w:rsid w:val="00A149DF"/>
    <w:rsid w:val="00A14CB8"/>
    <w:rsid w:val="00A15F75"/>
    <w:rsid w:val="00A1755C"/>
    <w:rsid w:val="00A21B90"/>
    <w:rsid w:val="00A22AAC"/>
    <w:rsid w:val="00A22CA3"/>
    <w:rsid w:val="00A41805"/>
    <w:rsid w:val="00A45226"/>
    <w:rsid w:val="00A467D0"/>
    <w:rsid w:val="00A511F1"/>
    <w:rsid w:val="00A51882"/>
    <w:rsid w:val="00A52AFB"/>
    <w:rsid w:val="00A52BB9"/>
    <w:rsid w:val="00A548CB"/>
    <w:rsid w:val="00A5521C"/>
    <w:rsid w:val="00A55A37"/>
    <w:rsid w:val="00A643E7"/>
    <w:rsid w:val="00A72D4C"/>
    <w:rsid w:val="00A73C38"/>
    <w:rsid w:val="00A76CE2"/>
    <w:rsid w:val="00A8694E"/>
    <w:rsid w:val="00A87D1C"/>
    <w:rsid w:val="00A921A7"/>
    <w:rsid w:val="00A921AF"/>
    <w:rsid w:val="00AA3BE1"/>
    <w:rsid w:val="00AA724F"/>
    <w:rsid w:val="00AB670D"/>
    <w:rsid w:val="00AC7177"/>
    <w:rsid w:val="00AD38E2"/>
    <w:rsid w:val="00AD5336"/>
    <w:rsid w:val="00AE4DCE"/>
    <w:rsid w:val="00AE7F7D"/>
    <w:rsid w:val="00AF03C5"/>
    <w:rsid w:val="00AF0C27"/>
    <w:rsid w:val="00AF5680"/>
    <w:rsid w:val="00B0001A"/>
    <w:rsid w:val="00B000D8"/>
    <w:rsid w:val="00B00F75"/>
    <w:rsid w:val="00B12CAC"/>
    <w:rsid w:val="00B145B6"/>
    <w:rsid w:val="00B14ACD"/>
    <w:rsid w:val="00B22AED"/>
    <w:rsid w:val="00B24CE5"/>
    <w:rsid w:val="00B279EB"/>
    <w:rsid w:val="00B373B1"/>
    <w:rsid w:val="00B47CCF"/>
    <w:rsid w:val="00B50C81"/>
    <w:rsid w:val="00B52F62"/>
    <w:rsid w:val="00B557F8"/>
    <w:rsid w:val="00B55E1F"/>
    <w:rsid w:val="00B6618B"/>
    <w:rsid w:val="00B679A3"/>
    <w:rsid w:val="00B72C53"/>
    <w:rsid w:val="00B815FC"/>
    <w:rsid w:val="00B929E9"/>
    <w:rsid w:val="00B93FBC"/>
    <w:rsid w:val="00BA5B5B"/>
    <w:rsid w:val="00BA6816"/>
    <w:rsid w:val="00BA7DA0"/>
    <w:rsid w:val="00BB2EE4"/>
    <w:rsid w:val="00BB4A8D"/>
    <w:rsid w:val="00BB4C92"/>
    <w:rsid w:val="00BB70F1"/>
    <w:rsid w:val="00BC2108"/>
    <w:rsid w:val="00BC3D41"/>
    <w:rsid w:val="00BC73D9"/>
    <w:rsid w:val="00BC7EE9"/>
    <w:rsid w:val="00BD0E9E"/>
    <w:rsid w:val="00BD1BEC"/>
    <w:rsid w:val="00BD32FF"/>
    <w:rsid w:val="00BE2476"/>
    <w:rsid w:val="00BF49CB"/>
    <w:rsid w:val="00BF6FE9"/>
    <w:rsid w:val="00C01845"/>
    <w:rsid w:val="00C02092"/>
    <w:rsid w:val="00C02A50"/>
    <w:rsid w:val="00C041C4"/>
    <w:rsid w:val="00C13E49"/>
    <w:rsid w:val="00C1607D"/>
    <w:rsid w:val="00C218F6"/>
    <w:rsid w:val="00C24D91"/>
    <w:rsid w:val="00C26DB2"/>
    <w:rsid w:val="00C27283"/>
    <w:rsid w:val="00C40389"/>
    <w:rsid w:val="00C41854"/>
    <w:rsid w:val="00C4301F"/>
    <w:rsid w:val="00C468B7"/>
    <w:rsid w:val="00C46F55"/>
    <w:rsid w:val="00C507E9"/>
    <w:rsid w:val="00C52501"/>
    <w:rsid w:val="00C53F14"/>
    <w:rsid w:val="00C57BCC"/>
    <w:rsid w:val="00C600CF"/>
    <w:rsid w:val="00C6084F"/>
    <w:rsid w:val="00C60CBD"/>
    <w:rsid w:val="00C62226"/>
    <w:rsid w:val="00C62631"/>
    <w:rsid w:val="00C62A66"/>
    <w:rsid w:val="00C64D69"/>
    <w:rsid w:val="00C66359"/>
    <w:rsid w:val="00C71458"/>
    <w:rsid w:val="00C72826"/>
    <w:rsid w:val="00C73C7E"/>
    <w:rsid w:val="00C75460"/>
    <w:rsid w:val="00C76288"/>
    <w:rsid w:val="00C77613"/>
    <w:rsid w:val="00C8263E"/>
    <w:rsid w:val="00C828E7"/>
    <w:rsid w:val="00C82E6D"/>
    <w:rsid w:val="00C86719"/>
    <w:rsid w:val="00C921DD"/>
    <w:rsid w:val="00C92856"/>
    <w:rsid w:val="00CA6391"/>
    <w:rsid w:val="00CA767E"/>
    <w:rsid w:val="00CB3C72"/>
    <w:rsid w:val="00CC31A5"/>
    <w:rsid w:val="00CC6E6C"/>
    <w:rsid w:val="00CC76A1"/>
    <w:rsid w:val="00CD6FE8"/>
    <w:rsid w:val="00CD7F75"/>
    <w:rsid w:val="00CE036E"/>
    <w:rsid w:val="00CE2F59"/>
    <w:rsid w:val="00CE3171"/>
    <w:rsid w:val="00CF1601"/>
    <w:rsid w:val="00D0172F"/>
    <w:rsid w:val="00D01E33"/>
    <w:rsid w:val="00D0374A"/>
    <w:rsid w:val="00D0609A"/>
    <w:rsid w:val="00D068A7"/>
    <w:rsid w:val="00D07980"/>
    <w:rsid w:val="00D12E80"/>
    <w:rsid w:val="00D17476"/>
    <w:rsid w:val="00D17B0E"/>
    <w:rsid w:val="00D241D8"/>
    <w:rsid w:val="00D32086"/>
    <w:rsid w:val="00D36D43"/>
    <w:rsid w:val="00D37A3F"/>
    <w:rsid w:val="00D4431D"/>
    <w:rsid w:val="00D452EE"/>
    <w:rsid w:val="00D4667A"/>
    <w:rsid w:val="00D475C1"/>
    <w:rsid w:val="00D47F4F"/>
    <w:rsid w:val="00D622A8"/>
    <w:rsid w:val="00D63A1C"/>
    <w:rsid w:val="00D67EDD"/>
    <w:rsid w:val="00D67FC1"/>
    <w:rsid w:val="00D70B65"/>
    <w:rsid w:val="00D7516F"/>
    <w:rsid w:val="00D80006"/>
    <w:rsid w:val="00D8053F"/>
    <w:rsid w:val="00D8597B"/>
    <w:rsid w:val="00D919A6"/>
    <w:rsid w:val="00D947DC"/>
    <w:rsid w:val="00D95F8E"/>
    <w:rsid w:val="00DA0590"/>
    <w:rsid w:val="00DB10E7"/>
    <w:rsid w:val="00DB6987"/>
    <w:rsid w:val="00DC1739"/>
    <w:rsid w:val="00DC1788"/>
    <w:rsid w:val="00DD0BC3"/>
    <w:rsid w:val="00DD0DB8"/>
    <w:rsid w:val="00DE13FB"/>
    <w:rsid w:val="00DE2F1E"/>
    <w:rsid w:val="00DE319C"/>
    <w:rsid w:val="00DE4621"/>
    <w:rsid w:val="00DF0CA8"/>
    <w:rsid w:val="00DF2B48"/>
    <w:rsid w:val="00DF49A7"/>
    <w:rsid w:val="00DF607D"/>
    <w:rsid w:val="00E05EC8"/>
    <w:rsid w:val="00E07EE2"/>
    <w:rsid w:val="00E07FD1"/>
    <w:rsid w:val="00E12ACD"/>
    <w:rsid w:val="00E234E6"/>
    <w:rsid w:val="00E24573"/>
    <w:rsid w:val="00E25E1E"/>
    <w:rsid w:val="00E26BA5"/>
    <w:rsid w:val="00E27EE7"/>
    <w:rsid w:val="00E313A3"/>
    <w:rsid w:val="00E35404"/>
    <w:rsid w:val="00E3606C"/>
    <w:rsid w:val="00E45109"/>
    <w:rsid w:val="00E47B7A"/>
    <w:rsid w:val="00E52B53"/>
    <w:rsid w:val="00E56A44"/>
    <w:rsid w:val="00E60269"/>
    <w:rsid w:val="00E632F0"/>
    <w:rsid w:val="00E64313"/>
    <w:rsid w:val="00E64890"/>
    <w:rsid w:val="00E74DDC"/>
    <w:rsid w:val="00E75095"/>
    <w:rsid w:val="00E75DE5"/>
    <w:rsid w:val="00E97171"/>
    <w:rsid w:val="00E97830"/>
    <w:rsid w:val="00EA41AC"/>
    <w:rsid w:val="00EB1B35"/>
    <w:rsid w:val="00ED1A57"/>
    <w:rsid w:val="00EE0830"/>
    <w:rsid w:val="00EE2933"/>
    <w:rsid w:val="00EE2B53"/>
    <w:rsid w:val="00EE5881"/>
    <w:rsid w:val="00EE62B5"/>
    <w:rsid w:val="00EE6CB8"/>
    <w:rsid w:val="00EF0683"/>
    <w:rsid w:val="00EF15F2"/>
    <w:rsid w:val="00EF2CC4"/>
    <w:rsid w:val="00EF4A7A"/>
    <w:rsid w:val="00EF59AC"/>
    <w:rsid w:val="00F0070C"/>
    <w:rsid w:val="00F00EB7"/>
    <w:rsid w:val="00F03184"/>
    <w:rsid w:val="00F061A1"/>
    <w:rsid w:val="00F17889"/>
    <w:rsid w:val="00F310E8"/>
    <w:rsid w:val="00F31394"/>
    <w:rsid w:val="00F35FDB"/>
    <w:rsid w:val="00F36AB6"/>
    <w:rsid w:val="00F37A09"/>
    <w:rsid w:val="00F409CE"/>
    <w:rsid w:val="00F4157C"/>
    <w:rsid w:val="00F43520"/>
    <w:rsid w:val="00F4379D"/>
    <w:rsid w:val="00F50D2D"/>
    <w:rsid w:val="00F525E1"/>
    <w:rsid w:val="00F56C8B"/>
    <w:rsid w:val="00F62350"/>
    <w:rsid w:val="00F62639"/>
    <w:rsid w:val="00F66810"/>
    <w:rsid w:val="00F82E19"/>
    <w:rsid w:val="00F84DF4"/>
    <w:rsid w:val="00F85C97"/>
    <w:rsid w:val="00F91D04"/>
    <w:rsid w:val="00FA0C2C"/>
    <w:rsid w:val="00FB37D2"/>
    <w:rsid w:val="00FB3A5F"/>
    <w:rsid w:val="00FC0529"/>
    <w:rsid w:val="00FC1B61"/>
    <w:rsid w:val="00FC4EFB"/>
    <w:rsid w:val="00FC53F5"/>
    <w:rsid w:val="00FD068D"/>
    <w:rsid w:val="00FD4F28"/>
    <w:rsid w:val="00FD7F55"/>
    <w:rsid w:val="00FE6784"/>
    <w:rsid w:val="00FE7A8B"/>
    <w:rsid w:val="00FE7E64"/>
    <w:rsid w:val="00FF377A"/>
    <w:rsid w:val="00FF7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3A8"/>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styleId="Hyperlink">
    <w:name w:val="Hyperlink"/>
    <w:basedOn w:val="DefaultParagraphFont"/>
    <w:uiPriority w:val="99"/>
    <w:unhideWhenUsed/>
    <w:rsid w:val="0004564F"/>
    <w:rPr>
      <w:color w:val="0000FF" w:themeColor="hyperlink"/>
      <w:u w:val="single"/>
    </w:rPr>
  </w:style>
  <w:style w:type="character" w:styleId="HTMLDefinition">
    <w:name w:val="HTML Definition"/>
    <w:basedOn w:val="DefaultParagraphFont"/>
    <w:uiPriority w:val="99"/>
    <w:semiHidden/>
    <w:unhideWhenUsed/>
    <w:rsid w:val="00ED1A57"/>
    <w:rPr>
      <w:i/>
      <w:iCs/>
    </w:rPr>
  </w:style>
  <w:style w:type="paragraph" w:customStyle="1" w:styleId="ParaNoNdepar-AltN">
    <w:name w:val="Para. No. / Nº de par. - Alt N"/>
    <w:qFormat/>
    <w:rsid w:val="00C4301F"/>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E313A3"/>
    <w:pPr>
      <w:spacing w:after="480"/>
    </w:pPr>
    <w:rPr>
      <w:rFonts w:eastAsiaTheme="minorHAnsi" w:cstheme="minorBidi"/>
      <w:szCs w:val="22"/>
      <w:lang w:eastAsia="en-US"/>
    </w:rPr>
  </w:style>
  <w:style w:type="paragraph" w:customStyle="1" w:styleId="SCCCoram">
    <w:name w:val="SCC.Coram"/>
    <w:basedOn w:val="Normal"/>
    <w:next w:val="Normal"/>
    <w:link w:val="SCCCoramChar"/>
    <w:rsid w:val="00E313A3"/>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E313A3"/>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E313A3"/>
    <w:rPr>
      <w:rFonts w:eastAsiaTheme="minorHAnsi" w:cstheme="minorBidi"/>
      <w:sz w:val="24"/>
      <w:szCs w:val="22"/>
      <w:lang w:eastAsia="en-US"/>
    </w:rPr>
  </w:style>
  <w:style w:type="character" w:customStyle="1" w:styleId="SCCBanSummaryChar">
    <w:name w:val="SCC.BanSummary Char"/>
    <w:basedOn w:val="DefaultParagraphFont"/>
    <w:link w:val="SCCBanSummary"/>
    <w:rsid w:val="00E313A3"/>
    <w:rPr>
      <w:b/>
      <w:sz w:val="24"/>
    </w:rPr>
  </w:style>
  <w:style w:type="table" w:styleId="TableGrid">
    <w:name w:val="Table Grid"/>
    <w:basedOn w:val="TableNormal"/>
    <w:uiPriority w:val="59"/>
    <w:rsid w:val="00E313A3"/>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E313A3"/>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E313A3"/>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E313A3"/>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E313A3"/>
    <w:pPr>
      <w:numPr>
        <w:numId w:val="7"/>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E313A3"/>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E313A3"/>
    <w:pPr>
      <w:numPr>
        <w:ilvl w:val="2"/>
      </w:numPr>
      <w:outlineLvl w:val="2"/>
    </w:pPr>
  </w:style>
  <w:style w:type="paragraph" w:customStyle="1" w:styleId="Title4LevelTitre4Niveau">
    <w:name w:val="Title 4 Level / Titre 4 Niveau"/>
    <w:basedOn w:val="Title3LevelTitre3Niveau"/>
    <w:next w:val="ParaNoNdepar-AltN"/>
    <w:uiPriority w:val="4"/>
    <w:qFormat/>
    <w:rsid w:val="00E313A3"/>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E313A3"/>
    <w:pPr>
      <w:numPr>
        <w:ilvl w:val="4"/>
      </w:numPr>
      <w:outlineLvl w:val="4"/>
    </w:pPr>
  </w:style>
  <w:style w:type="paragraph" w:styleId="TOC1">
    <w:name w:val="toc 1"/>
    <w:basedOn w:val="Normal"/>
    <w:next w:val="Normal"/>
    <w:autoRedefine/>
    <w:uiPriority w:val="39"/>
    <w:unhideWhenUsed/>
    <w:rsid w:val="00E313A3"/>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E313A3"/>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E313A3"/>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E313A3"/>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E313A3"/>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E313A3"/>
    <w:pPr>
      <w:tabs>
        <w:tab w:val="left" w:pos="2160"/>
        <w:tab w:val="right" w:leader="dot" w:pos="8270"/>
      </w:tabs>
      <w:spacing w:after="100"/>
      <w:ind w:left="1800"/>
    </w:pPr>
    <w:rPr>
      <w:noProof/>
    </w:rPr>
  </w:style>
  <w:style w:type="table" w:customStyle="1" w:styleId="TableGrid1">
    <w:name w:val="Table Grid1"/>
    <w:basedOn w:val="TableNormal"/>
    <w:uiPriority w:val="59"/>
    <w:rsid w:val="00E313A3"/>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E313A3"/>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E313A3"/>
    <w:pPr>
      <w:numPr>
        <w:ilvl w:val="5"/>
      </w:numPr>
      <w:outlineLvl w:val="5"/>
    </w:pPr>
    <w:rPr>
      <w:i/>
      <w:u w:val="none"/>
    </w:rPr>
  </w:style>
  <w:style w:type="paragraph" w:styleId="FootnoteText">
    <w:name w:val="footnote text"/>
    <w:basedOn w:val="Normal"/>
    <w:link w:val="FootnoteTextChar"/>
    <w:uiPriority w:val="99"/>
    <w:unhideWhenUsed/>
    <w:rsid w:val="00E313A3"/>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E313A3"/>
  </w:style>
  <w:style w:type="character" w:styleId="FootnoteReference">
    <w:name w:val="footnote reference"/>
    <w:basedOn w:val="DefaultParagraphFont"/>
    <w:uiPriority w:val="99"/>
    <w:semiHidden/>
    <w:unhideWhenUsed/>
    <w:rsid w:val="00E313A3"/>
    <w:rPr>
      <w:vertAlign w:val="superscript"/>
    </w:rPr>
  </w:style>
  <w:style w:type="paragraph" w:styleId="ListParagraph">
    <w:name w:val="List Paragraph"/>
    <w:basedOn w:val="Normal"/>
    <w:uiPriority w:val="34"/>
    <w:qFormat/>
    <w:rsid w:val="00E313A3"/>
    <w:pPr>
      <w:ind w:left="720"/>
      <w:contextualSpacing/>
    </w:pPr>
    <w:rPr>
      <w:szCs w:val="24"/>
    </w:rPr>
  </w:style>
  <w:style w:type="character" w:styleId="CommentReference">
    <w:name w:val="annotation reference"/>
    <w:basedOn w:val="DefaultParagraphFont"/>
    <w:uiPriority w:val="99"/>
    <w:semiHidden/>
    <w:unhideWhenUsed/>
    <w:rsid w:val="00E313A3"/>
    <w:rPr>
      <w:sz w:val="16"/>
      <w:szCs w:val="16"/>
    </w:rPr>
  </w:style>
  <w:style w:type="paragraph" w:styleId="CommentText">
    <w:name w:val="annotation text"/>
    <w:basedOn w:val="Normal"/>
    <w:link w:val="CommentTextChar"/>
    <w:uiPriority w:val="99"/>
    <w:unhideWhenUsed/>
    <w:rsid w:val="00E313A3"/>
    <w:rPr>
      <w:sz w:val="20"/>
    </w:rPr>
  </w:style>
  <w:style w:type="character" w:customStyle="1" w:styleId="CommentTextChar">
    <w:name w:val="Comment Text Char"/>
    <w:basedOn w:val="DefaultParagraphFont"/>
    <w:link w:val="CommentText"/>
    <w:uiPriority w:val="99"/>
    <w:rsid w:val="00E313A3"/>
  </w:style>
  <w:style w:type="paragraph" w:styleId="CommentSubject">
    <w:name w:val="annotation subject"/>
    <w:basedOn w:val="CommentText"/>
    <w:next w:val="CommentText"/>
    <w:link w:val="CommentSubjectChar"/>
    <w:uiPriority w:val="99"/>
    <w:semiHidden/>
    <w:unhideWhenUsed/>
    <w:rsid w:val="00E313A3"/>
    <w:rPr>
      <w:b/>
      <w:bCs/>
    </w:rPr>
  </w:style>
  <w:style w:type="character" w:customStyle="1" w:styleId="CommentSubjectChar">
    <w:name w:val="Comment Subject Char"/>
    <w:basedOn w:val="CommentTextChar"/>
    <w:link w:val="CommentSubject"/>
    <w:uiPriority w:val="99"/>
    <w:semiHidden/>
    <w:rsid w:val="00E313A3"/>
    <w:rPr>
      <w:b/>
      <w:bCs/>
    </w:rPr>
  </w:style>
  <w:style w:type="character" w:customStyle="1" w:styleId="citationcar">
    <w:name w:val="citationcar"/>
    <w:basedOn w:val="DefaultParagraphFont"/>
    <w:rsid w:val="00E313A3"/>
  </w:style>
  <w:style w:type="paragraph" w:customStyle="1" w:styleId="Default">
    <w:name w:val="Default"/>
    <w:rsid w:val="00E313A3"/>
    <w:pPr>
      <w:autoSpaceDE w:val="0"/>
      <w:autoSpaceDN w:val="0"/>
      <w:adjustRightInd w:val="0"/>
    </w:pPr>
    <w:rPr>
      <w:rFonts w:ascii="Arial" w:hAnsi="Arial" w:cs="Arial"/>
      <w:color w:val="000000"/>
      <w:sz w:val="24"/>
      <w:szCs w:val="24"/>
      <w:lang w:val="en-US"/>
    </w:rPr>
  </w:style>
  <w:style w:type="character" w:customStyle="1" w:styleId="reflex3-block">
    <w:name w:val="reflex3-block"/>
    <w:basedOn w:val="DefaultParagraphFont"/>
    <w:rsid w:val="00E313A3"/>
  </w:style>
  <w:style w:type="character" w:customStyle="1" w:styleId="canliisection">
    <w:name w:val="canlii_section"/>
    <w:basedOn w:val="DefaultParagraphFont"/>
    <w:rsid w:val="00E313A3"/>
  </w:style>
  <w:style w:type="character" w:customStyle="1" w:styleId="sccrespondentforrunningheadchar1">
    <w:name w:val="sccrespondentforrunningheadchar1"/>
    <w:basedOn w:val="DefaultParagraphFont"/>
    <w:rsid w:val="00E313A3"/>
    <w:rPr>
      <w:rFonts w:ascii="Times New Roman" w:hAnsi="Times New Roman" w:cs="Times New Roman" w:hint="default"/>
      <w:smallCaps/>
    </w:rPr>
  </w:style>
  <w:style w:type="character" w:customStyle="1" w:styleId="solext01">
    <w:name w:val="solext01"/>
    <w:basedOn w:val="DefaultParagraphFont"/>
    <w:rsid w:val="00E313A3"/>
    <w:rPr>
      <w:shd w:val="clear" w:color="auto" w:fill="BFE8FD"/>
    </w:rPr>
  </w:style>
  <w:style w:type="character" w:customStyle="1" w:styleId="solext110">
    <w:name w:val="solext110"/>
    <w:basedOn w:val="DefaultParagraphFont"/>
    <w:rsid w:val="00E313A3"/>
    <w:rPr>
      <w:shd w:val="clear" w:color="auto" w:fill="F3BFFD"/>
    </w:rPr>
  </w:style>
  <w:style w:type="paragraph" w:styleId="Revision">
    <w:name w:val="Revision"/>
    <w:hidden/>
    <w:uiPriority w:val="99"/>
    <w:semiHidden/>
    <w:rsid w:val="00E313A3"/>
    <w:rPr>
      <w:sz w:val="24"/>
      <w:szCs w:val="24"/>
    </w:rPr>
  </w:style>
  <w:style w:type="character" w:customStyle="1" w:styleId="decisia-reflex2-icon">
    <w:name w:val="decisia-reflex2-icon"/>
    <w:basedOn w:val="DefaultParagraphFont"/>
    <w:rsid w:val="00E313A3"/>
    <w:rPr>
      <w:strike w:val="0"/>
      <w:dstrike w:val="0"/>
      <w:sz w:val="19"/>
      <w:szCs w:val="19"/>
      <w:u w:val="none"/>
      <w:effect w:val="none"/>
    </w:rPr>
  </w:style>
  <w:style w:type="paragraph" w:styleId="ListBullet">
    <w:name w:val="List Bullet"/>
    <w:basedOn w:val="Normal"/>
    <w:uiPriority w:val="99"/>
    <w:unhideWhenUsed/>
    <w:rsid w:val="00E313A3"/>
    <w:pPr>
      <w:numPr>
        <w:numId w:val="15"/>
      </w:numPr>
      <w:contextualSpacing/>
    </w:pPr>
    <w:rPr>
      <w:szCs w:val="24"/>
    </w:rPr>
  </w:style>
  <w:style w:type="character" w:styleId="Emphasis">
    <w:name w:val="Emphasis"/>
    <w:basedOn w:val="DefaultParagraphFont"/>
    <w:uiPriority w:val="20"/>
    <w:qFormat/>
    <w:rsid w:val="00E313A3"/>
    <w:rPr>
      <w:i/>
      <w:iCs/>
    </w:rPr>
  </w:style>
  <w:style w:type="table" w:customStyle="1" w:styleId="TableGrid2">
    <w:name w:val="Table Grid2"/>
    <w:basedOn w:val="TableNormal"/>
    <w:next w:val="TableGrid"/>
    <w:uiPriority w:val="59"/>
    <w:rsid w:val="00E313A3"/>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CCLsocPrefix">
    <w:name w:val="SCC.Lsoc.Prefix"/>
    <w:basedOn w:val="Normal"/>
    <w:next w:val="Normal"/>
    <w:link w:val="SCCLsocPrefixChar"/>
    <w:rsid w:val="00442863"/>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442863"/>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c-csc.ca/cso-dce/2018SCC-CSC40_3_eng.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so-dce/2018SCC-CSC40_2_eng.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cc-csc.ca/cso-dce/2018SCC-CSC40_1_eng.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E4FD1-79BB-4DE4-BBAB-B91B71136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117</Pages>
  <Words>32184</Words>
  <Characters>183454</Characters>
  <Application>Microsoft Office Word</Application>
  <DocSecurity>0</DocSecurity>
  <Lines>1528</Lines>
  <Paragraphs>430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215208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2018-10-16T17:18:00Z</dcterms:created>
  <dcterms:modified xsi:type="dcterms:W3CDTF">2019-04-10T15:25:00Z</dcterms:modified>
</cp:coreProperties>
</file>